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emf" ContentType="image/x-emf"/>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16A66">
      <w:pPr>
        <w:jc w:val="left"/>
        <w:rPr>
          <w:color w:val="auto"/>
          <w:kern w:val="0"/>
        </w:rPr>
      </w:pPr>
      <w:r>
        <w:rPr>
          <w:color w:val="auto"/>
        </w:rPr>
        <w:drawing>
          <wp:anchor distT="0" distB="0" distL="114300" distR="114300" simplePos="0" relativeHeight="251659264" behindDoc="0" locked="0" layoutInCell="1" allowOverlap="1">
            <wp:simplePos x="0" y="0"/>
            <wp:positionH relativeFrom="column">
              <wp:posOffset>3175</wp:posOffset>
            </wp:positionH>
            <wp:positionV relativeFrom="paragraph">
              <wp:posOffset>3810</wp:posOffset>
            </wp:positionV>
            <wp:extent cx="1064895" cy="1050925"/>
            <wp:effectExtent l="0" t="0" r="1905" b="15875"/>
            <wp:wrapNone/>
            <wp:docPr id="1" name="图片 42" descr="C:\Users\Administrator\Documents\Tencent Files\137671372\FileRecv\睿晟LOGO 拷贝.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2" descr="C:\Users\Administrator\Documents\Tencent Files\137671372\FileRecv\睿晟LOGO 拷贝.jpg"/>
                    <pic:cNvPicPr>
                      <a:picLocks noChangeAspect="1"/>
                    </pic:cNvPicPr>
                  </pic:nvPicPr>
                  <pic:blipFill>
                    <a:blip r:embed="rId24"/>
                    <a:stretch>
                      <a:fillRect/>
                    </a:stretch>
                  </pic:blipFill>
                  <pic:spPr>
                    <a:xfrm>
                      <a:off x="0" y="0"/>
                      <a:ext cx="1064895" cy="1050925"/>
                    </a:xfrm>
                    <a:prstGeom prst="rect">
                      <a:avLst/>
                    </a:prstGeom>
                    <a:noFill/>
                    <a:ln>
                      <a:noFill/>
                    </a:ln>
                  </pic:spPr>
                </pic:pic>
              </a:graphicData>
            </a:graphic>
          </wp:anchor>
        </w:drawing>
      </w:r>
      <w:r>
        <w:rPr>
          <w:rFonts w:hint="eastAsia"/>
          <w:color w:val="auto"/>
          <w:kern w:val="0"/>
          <w:lang w:val="en-US" w:eastAsia="zh-CN"/>
        </w:rPr>
        <w:t xml:space="preserve"> </w:t>
      </w:r>
    </w:p>
    <w:p w14:paraId="6A239847">
      <w:pPr>
        <w:ind w:left="420" w:hanging="420"/>
        <w:jc w:val="center"/>
        <w:rPr>
          <w:rFonts w:eastAsia="华文新魏"/>
          <w:color w:val="auto"/>
          <w:sz w:val="48"/>
          <w:szCs w:val="48"/>
        </w:rPr>
      </w:pPr>
    </w:p>
    <w:p w14:paraId="63022904">
      <w:pPr>
        <w:ind w:left="420" w:hanging="420"/>
        <w:jc w:val="center"/>
        <w:rPr>
          <w:rFonts w:eastAsia="华文新魏"/>
          <w:color w:val="auto"/>
          <w:sz w:val="48"/>
          <w:szCs w:val="48"/>
        </w:rPr>
      </w:pPr>
    </w:p>
    <w:p w14:paraId="792B2E00">
      <w:pPr>
        <w:ind w:left="420" w:hanging="420"/>
        <w:jc w:val="center"/>
        <w:rPr>
          <w:rFonts w:eastAsia="华文新魏"/>
          <w:color w:val="auto"/>
          <w:sz w:val="48"/>
          <w:szCs w:val="48"/>
        </w:rPr>
      </w:pPr>
    </w:p>
    <w:p w14:paraId="038C82A4">
      <w:pPr>
        <w:ind w:left="420" w:hanging="420"/>
        <w:jc w:val="center"/>
        <w:rPr>
          <w:rFonts w:hint="eastAsia" w:ascii="楷体" w:hAnsi="楷体" w:eastAsia="楷体" w:cs="楷体"/>
          <w:b/>
          <w:snapToGrid w:val="0"/>
          <w:color w:val="auto"/>
          <w:sz w:val="48"/>
          <w:szCs w:val="48"/>
        </w:rPr>
      </w:pPr>
      <w:r>
        <w:rPr>
          <w:rFonts w:hint="eastAsia" w:ascii="楷体" w:hAnsi="楷体" w:eastAsia="楷体" w:cs="楷体"/>
          <w:b/>
          <w:snapToGrid w:val="0"/>
          <w:color w:val="auto"/>
          <w:sz w:val="48"/>
          <w:szCs w:val="48"/>
        </w:rPr>
        <w:t>淮南市兴华园贸易发展有限公司</w:t>
      </w:r>
    </w:p>
    <w:p w14:paraId="109BB7D1">
      <w:pPr>
        <w:pStyle w:val="264"/>
        <w:spacing w:before="312" w:beforeLines="100" w:after="312" w:afterLines="100"/>
        <w:rPr>
          <w:rFonts w:hint="eastAsia" w:ascii="楷体" w:hAnsi="楷体" w:eastAsia="楷体" w:cs="楷体"/>
          <w:b/>
          <w:color w:val="auto"/>
          <w:spacing w:val="0"/>
          <w:sz w:val="48"/>
          <w:szCs w:val="48"/>
        </w:rPr>
      </w:pPr>
      <w:bookmarkStart w:id="0" w:name="_Toc193872259"/>
      <w:bookmarkStart w:id="1" w:name="_Toc194928749"/>
      <w:bookmarkStart w:id="2" w:name="_Toc188073239"/>
      <w:bookmarkStart w:id="3" w:name="_Toc192821342"/>
      <w:r>
        <w:rPr>
          <w:rFonts w:hint="eastAsia" w:ascii="楷体" w:hAnsi="楷体" w:eastAsia="楷体" w:cs="楷体"/>
          <w:b/>
          <w:color w:val="auto"/>
          <w:spacing w:val="0"/>
          <w:sz w:val="48"/>
          <w:szCs w:val="48"/>
        </w:rPr>
        <w:t>淮南市兴华园码头复工建设项目</w:t>
      </w:r>
    </w:p>
    <w:p w14:paraId="66D40FD6">
      <w:pPr>
        <w:pStyle w:val="264"/>
        <w:spacing w:before="312" w:beforeLines="100" w:after="312" w:afterLines="100" w:line="240" w:lineRule="auto"/>
        <w:rPr>
          <w:rFonts w:hint="eastAsia" w:ascii="楷体" w:hAnsi="楷体" w:eastAsia="楷体" w:cs="楷体"/>
          <w:b/>
          <w:color w:val="auto"/>
          <w:sz w:val="48"/>
          <w:szCs w:val="48"/>
        </w:rPr>
      </w:pPr>
      <w:r>
        <w:rPr>
          <w:rFonts w:hint="eastAsia" w:ascii="楷体" w:hAnsi="楷体" w:eastAsia="楷体" w:cs="楷体"/>
          <w:b/>
          <w:color w:val="auto"/>
          <w:sz w:val="48"/>
          <w:szCs w:val="48"/>
          <w:lang w:val="en-US" w:eastAsia="zh-CN"/>
        </w:rPr>
        <w:t>生态</w:t>
      </w:r>
      <w:r>
        <w:rPr>
          <w:rFonts w:hint="eastAsia" w:ascii="楷体" w:hAnsi="楷体" w:eastAsia="楷体" w:cs="楷体"/>
          <w:b/>
          <w:color w:val="auto"/>
          <w:sz w:val="48"/>
          <w:szCs w:val="48"/>
        </w:rPr>
        <w:t>环境影响报告书</w:t>
      </w:r>
      <w:bookmarkEnd w:id="0"/>
      <w:bookmarkEnd w:id="1"/>
      <w:bookmarkEnd w:id="2"/>
      <w:bookmarkEnd w:id="3"/>
    </w:p>
    <w:p w14:paraId="127C5BC4">
      <w:pPr>
        <w:spacing w:before="120" w:line="560" w:lineRule="exact"/>
        <w:ind w:left="420" w:hanging="420"/>
        <w:jc w:val="center"/>
        <w:rPr>
          <w:rFonts w:eastAsia="楷体"/>
          <w:b/>
          <w:color w:val="auto"/>
          <w:sz w:val="44"/>
          <w:szCs w:val="44"/>
        </w:rPr>
      </w:pPr>
      <w:r>
        <w:rPr>
          <w:rFonts w:eastAsia="楷体"/>
          <w:b/>
          <w:color w:val="auto"/>
          <w:sz w:val="44"/>
          <w:szCs w:val="44"/>
        </w:rPr>
        <w:t>（</w:t>
      </w:r>
      <w:r>
        <w:rPr>
          <w:rFonts w:hint="eastAsia" w:eastAsia="楷体"/>
          <w:b/>
          <w:color w:val="auto"/>
          <w:sz w:val="44"/>
          <w:szCs w:val="44"/>
        </w:rPr>
        <w:t>送审</w:t>
      </w:r>
      <w:r>
        <w:rPr>
          <w:rFonts w:eastAsia="楷体"/>
          <w:b/>
          <w:color w:val="auto"/>
          <w:sz w:val="44"/>
          <w:szCs w:val="44"/>
        </w:rPr>
        <w:t>稿）</w:t>
      </w:r>
    </w:p>
    <w:p w14:paraId="7430FA22">
      <w:pPr>
        <w:spacing w:before="120" w:line="560" w:lineRule="exact"/>
        <w:ind w:left="420" w:hanging="420"/>
        <w:jc w:val="center"/>
        <w:rPr>
          <w:rFonts w:eastAsia="华文新魏"/>
          <w:color w:val="auto"/>
          <w:sz w:val="48"/>
          <w:szCs w:val="48"/>
        </w:rPr>
      </w:pPr>
    </w:p>
    <w:p w14:paraId="289A4577">
      <w:pPr>
        <w:spacing w:before="120" w:line="560" w:lineRule="exact"/>
        <w:ind w:left="420" w:hanging="420"/>
        <w:jc w:val="center"/>
        <w:rPr>
          <w:rFonts w:eastAsia="华文新魏"/>
          <w:color w:val="auto"/>
          <w:sz w:val="48"/>
          <w:szCs w:val="48"/>
        </w:rPr>
      </w:pPr>
    </w:p>
    <w:p w14:paraId="197912ED">
      <w:pPr>
        <w:spacing w:before="120" w:line="560" w:lineRule="exact"/>
        <w:ind w:left="420" w:hanging="420"/>
        <w:jc w:val="center"/>
        <w:rPr>
          <w:rFonts w:eastAsia="华文新魏"/>
          <w:color w:val="auto"/>
          <w:sz w:val="48"/>
          <w:szCs w:val="48"/>
        </w:rPr>
      </w:pPr>
    </w:p>
    <w:p w14:paraId="6AF98574">
      <w:pPr>
        <w:spacing w:before="120" w:line="560" w:lineRule="exact"/>
        <w:ind w:left="420" w:hanging="420"/>
        <w:jc w:val="center"/>
        <w:rPr>
          <w:rFonts w:eastAsia="华文新魏"/>
          <w:color w:val="auto"/>
          <w:sz w:val="48"/>
          <w:szCs w:val="48"/>
        </w:rPr>
      </w:pPr>
    </w:p>
    <w:p w14:paraId="68284BDE">
      <w:pPr>
        <w:spacing w:before="120" w:line="560" w:lineRule="exact"/>
        <w:ind w:left="420" w:hanging="420"/>
        <w:jc w:val="center"/>
        <w:rPr>
          <w:rFonts w:eastAsia="华文新魏"/>
          <w:color w:val="auto"/>
          <w:sz w:val="48"/>
          <w:szCs w:val="48"/>
        </w:rPr>
      </w:pPr>
    </w:p>
    <w:p w14:paraId="458EAD92">
      <w:pPr>
        <w:spacing w:before="120" w:line="560" w:lineRule="exact"/>
        <w:ind w:left="420" w:hanging="420"/>
        <w:jc w:val="center"/>
        <w:rPr>
          <w:rFonts w:eastAsia="华文新魏"/>
          <w:color w:val="auto"/>
          <w:sz w:val="48"/>
          <w:szCs w:val="48"/>
        </w:rPr>
      </w:pPr>
    </w:p>
    <w:p w14:paraId="5DFB74A1">
      <w:pPr>
        <w:spacing w:before="120" w:line="560" w:lineRule="exact"/>
        <w:ind w:left="420" w:hanging="420"/>
        <w:jc w:val="center"/>
        <w:rPr>
          <w:rFonts w:eastAsia="华文新魏"/>
          <w:color w:val="auto"/>
          <w:sz w:val="48"/>
          <w:szCs w:val="48"/>
        </w:rPr>
      </w:pPr>
    </w:p>
    <w:p w14:paraId="62A54799">
      <w:pPr>
        <w:spacing w:before="120" w:line="560" w:lineRule="exact"/>
        <w:ind w:left="420" w:hanging="420"/>
        <w:jc w:val="center"/>
        <w:rPr>
          <w:rFonts w:eastAsia="华文新魏"/>
          <w:color w:val="auto"/>
          <w:sz w:val="48"/>
          <w:szCs w:val="48"/>
        </w:rPr>
      </w:pPr>
    </w:p>
    <w:p w14:paraId="47194A65">
      <w:pPr>
        <w:spacing w:line="312" w:lineRule="auto"/>
        <w:jc w:val="center"/>
        <w:rPr>
          <w:rFonts w:eastAsia="楷体"/>
          <w:b/>
          <w:color w:val="auto"/>
          <w:sz w:val="32"/>
          <w:szCs w:val="32"/>
        </w:rPr>
      </w:pPr>
      <w:r>
        <w:rPr>
          <w:rFonts w:eastAsia="楷体"/>
          <w:b/>
          <w:color w:val="auto"/>
          <w:sz w:val="32"/>
          <w:szCs w:val="32"/>
        </w:rPr>
        <w:t>建设单位：淮南市兴华园贸易发展有限公司</w:t>
      </w:r>
    </w:p>
    <w:p w14:paraId="461D0DFD">
      <w:pPr>
        <w:spacing w:line="312" w:lineRule="auto"/>
        <w:jc w:val="center"/>
        <w:rPr>
          <w:rFonts w:eastAsia="楷体"/>
          <w:b/>
          <w:color w:val="auto"/>
          <w:sz w:val="32"/>
          <w:szCs w:val="32"/>
        </w:rPr>
      </w:pPr>
      <w:r>
        <w:rPr>
          <w:rFonts w:eastAsia="楷体"/>
          <w:b/>
          <w:color w:val="auto"/>
          <w:sz w:val="32"/>
          <w:szCs w:val="32"/>
        </w:rPr>
        <w:t>编制单位：安徽睿晟环境科技有限公司</w:t>
      </w:r>
    </w:p>
    <w:p w14:paraId="3F90C56B">
      <w:pPr>
        <w:spacing w:line="312" w:lineRule="auto"/>
        <w:jc w:val="center"/>
        <w:rPr>
          <w:rFonts w:eastAsia="楷体"/>
          <w:b/>
          <w:color w:val="auto"/>
          <w:sz w:val="32"/>
          <w:szCs w:val="52"/>
        </w:rPr>
      </w:pPr>
      <w:r>
        <w:rPr>
          <w:rFonts w:eastAsia="楷体"/>
          <w:b/>
          <w:color w:val="auto"/>
          <w:sz w:val="32"/>
          <w:szCs w:val="52"/>
        </w:rPr>
        <w:t>202</w:t>
      </w:r>
      <w:r>
        <w:rPr>
          <w:rFonts w:hint="eastAsia" w:eastAsia="楷体"/>
          <w:b/>
          <w:color w:val="auto"/>
          <w:sz w:val="32"/>
          <w:szCs w:val="52"/>
          <w:lang w:val="en-US" w:eastAsia="zh-CN"/>
        </w:rPr>
        <w:t>6</w:t>
      </w:r>
      <w:r>
        <w:rPr>
          <w:rFonts w:eastAsia="楷体"/>
          <w:b/>
          <w:color w:val="auto"/>
          <w:sz w:val="32"/>
          <w:szCs w:val="52"/>
        </w:rPr>
        <w:t>年</w:t>
      </w:r>
      <w:r>
        <w:rPr>
          <w:rFonts w:hint="eastAsia" w:eastAsia="楷体"/>
          <w:b/>
          <w:color w:val="auto"/>
          <w:sz w:val="32"/>
          <w:szCs w:val="52"/>
          <w:lang w:val="en-US" w:eastAsia="zh-CN"/>
        </w:rPr>
        <w:t>8</w:t>
      </w:r>
      <w:r>
        <w:rPr>
          <w:rFonts w:eastAsia="楷体"/>
          <w:b/>
          <w:color w:val="auto"/>
          <w:sz w:val="32"/>
          <w:szCs w:val="52"/>
        </w:rPr>
        <w:t>月</w:t>
      </w:r>
    </w:p>
    <w:p w14:paraId="6DCFA7AB">
      <w:pPr>
        <w:spacing w:line="160" w:lineRule="exact"/>
        <w:jc w:val="center"/>
        <w:rPr>
          <w:rFonts w:eastAsia="楷体"/>
          <w:b/>
          <w:color w:val="auto"/>
          <w:sz w:val="32"/>
          <w:szCs w:val="52"/>
        </w:rPr>
      </w:pPr>
    </w:p>
    <w:p w14:paraId="48F2F660">
      <w:pPr>
        <w:spacing w:line="312" w:lineRule="auto"/>
        <w:jc w:val="center"/>
        <w:rPr>
          <w:rFonts w:eastAsia="楷体"/>
          <w:b/>
          <w:color w:val="auto"/>
          <w:sz w:val="32"/>
          <w:szCs w:val="52"/>
        </w:rPr>
        <w:sectPr>
          <w:headerReference r:id="rId3" w:type="default"/>
          <w:footerReference r:id="rId4" w:type="default"/>
          <w:pgSz w:w="11906" w:h="16838"/>
          <w:pgMar w:top="1418" w:right="1418" w:bottom="1418" w:left="1418" w:header="851" w:footer="851" w:gutter="0"/>
          <w:pgBorders>
            <w:top w:val="none" w:sz="0" w:space="0"/>
            <w:left w:val="none" w:sz="0" w:space="0"/>
            <w:bottom w:val="none" w:sz="0" w:space="0"/>
            <w:right w:val="none" w:sz="0" w:space="0"/>
          </w:pgBorders>
          <w:pgNumType w:fmt="upperRoman" w:start="1"/>
          <w:cols w:space="720" w:num="1"/>
          <w:docGrid w:type="linesAndChars" w:linePitch="312" w:charSpace="0"/>
        </w:sectPr>
      </w:pPr>
    </w:p>
    <w:p w14:paraId="5CBAD46F">
      <w:pPr>
        <w:spacing w:line="360" w:lineRule="auto"/>
        <w:jc w:val="center"/>
        <w:rPr>
          <w:b/>
          <w:color w:val="auto"/>
          <w:sz w:val="36"/>
          <w:szCs w:val="36"/>
        </w:rPr>
      </w:pPr>
      <w:r>
        <w:rPr>
          <w:b/>
          <w:color w:val="auto"/>
          <w:sz w:val="36"/>
          <w:szCs w:val="36"/>
        </w:rPr>
        <w:t>目  录</w:t>
      </w:r>
    </w:p>
    <w:p w14:paraId="18C55190">
      <w:pPr>
        <w:pStyle w:val="38"/>
        <w:keepNext w:val="0"/>
        <w:keepLines w:val="0"/>
        <w:pageBreakBefore w:val="0"/>
        <w:widowControl w:val="0"/>
        <w:tabs>
          <w:tab w:val="right" w:leader="dot" w:pos="9070"/>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b w:val="0"/>
          <w:color w:val="auto"/>
          <w:sz w:val="24"/>
          <w:szCs w:val="24"/>
        </w:rPr>
        <w:fldChar w:fldCharType="begin"/>
      </w:r>
      <w:r>
        <w:rPr>
          <w:rFonts w:hint="default" w:ascii="Times New Roman" w:hAnsi="Times New Roman" w:eastAsia="宋体" w:cs="Times New Roman"/>
          <w:b w:val="0"/>
          <w:color w:val="auto"/>
          <w:sz w:val="24"/>
          <w:szCs w:val="24"/>
        </w:rPr>
        <w:instrText xml:space="preserve"> TOC \o "1-2" \h \z \u </w:instrText>
      </w:r>
      <w:r>
        <w:rPr>
          <w:rFonts w:hint="default" w:ascii="Times New Roman" w:hAnsi="Times New Roman" w:eastAsia="宋体" w:cs="Times New Roman"/>
          <w:b w:val="0"/>
          <w:color w:val="auto"/>
          <w:sz w:val="24"/>
          <w:szCs w:val="24"/>
        </w:rPr>
        <w:fldChar w:fldCharType="separate"/>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_Toc32580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1概  述</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_Toc32580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102528E5">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_Toc12705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1.1项目背景及由来</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_Toc12705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0B7C40F3">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_Toc23840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1.2建设项目的特点</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_Toc23840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7343EFDF">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_Toc30734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1.3环境影响评价的工作过程</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_Toc30734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146195D0">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_Toc24438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1.4分析判定相关情况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_Toc24438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008943BE">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_Toc3923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1.5关注的主要环境问题及环境影响</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_Toc3923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105AC97D">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_Toc24942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1.6环境影响评价的主要结论</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_Toc24942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57A3F76B">
      <w:pPr>
        <w:pStyle w:val="38"/>
        <w:keepNext w:val="0"/>
        <w:keepLines w:val="0"/>
        <w:pageBreakBefore w:val="0"/>
        <w:widowControl w:val="0"/>
        <w:tabs>
          <w:tab w:val="right" w:leader="dot" w:pos="9070"/>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_Toc18995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2总则</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_Toc18995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744E6687">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_Toc9747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2.1编制依据</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_Toc9747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041B7DA4">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_Toc30105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2.2评价因子与评价标准</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_Toc30105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02BE466E">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_Toc11394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2.3评价等级</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_Toc11394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2839C56F">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_Toc27271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2.4评价范围</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_Toc27271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6B6B2217">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_Toc20139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2.5相关政策、规划及环境功能区划相符性</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_Toc20139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2A0C85A5">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_Toc13398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2.6环境保护目标</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_Toc13398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37A843FE">
      <w:pPr>
        <w:pStyle w:val="38"/>
        <w:keepNext w:val="0"/>
        <w:keepLines w:val="0"/>
        <w:pageBreakBefore w:val="0"/>
        <w:widowControl w:val="0"/>
        <w:tabs>
          <w:tab w:val="right" w:leader="dot" w:pos="9070"/>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_Toc18180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44"/>
          <w:sz w:val="24"/>
          <w:szCs w:val="24"/>
          <w:lang w:val="en-US" w:eastAsia="zh-CN" w:bidi="ar-SA"/>
        </w:rPr>
        <w:t>3建设项目工程分析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_Toc18180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380C7B15">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_Toc5659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3.1原项目概况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_Toc5659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5E799285">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_Toc23771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3.2建设项目概况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_Toc23771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72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4BDC5AC6">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_Toc20540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3.3污染源强分析</w:t>
      </w:r>
      <w:bookmarkStart w:id="317" w:name="_GoBack"/>
      <w:bookmarkEnd w:id="317"/>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_Toc20540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107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46F6B799">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_Toc13354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3.4清洁生产</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_Toc13354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125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42FA52EC">
      <w:pPr>
        <w:pStyle w:val="38"/>
        <w:keepNext w:val="0"/>
        <w:keepLines w:val="0"/>
        <w:pageBreakBefore w:val="0"/>
        <w:widowControl w:val="0"/>
        <w:tabs>
          <w:tab w:val="right" w:leader="dot" w:pos="9070"/>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_Toc20324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4环境现状调查与评价</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_Toc20324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129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609EDB91">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_Toc25879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4.1自然环境概况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_Toc25879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129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245FA731">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_Toc30854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4.2环境质量现状调查与评价</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_Toc30854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142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649D0B2F">
      <w:pPr>
        <w:pStyle w:val="38"/>
        <w:keepNext w:val="0"/>
        <w:keepLines w:val="0"/>
        <w:pageBreakBefore w:val="0"/>
        <w:widowControl w:val="0"/>
        <w:tabs>
          <w:tab w:val="right" w:leader="dot" w:pos="9070"/>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_Toc24723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5环境影响预测与评价</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_Toc24723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232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139D1FFD">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_Toc8591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5.1施工期环境影响分析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_Toc8591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232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05F48FCC">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_Toc4774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5.2运营期环境影响评价</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_Toc4774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243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6E98C21E">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_Toc1258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5.3环境风险评价</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_Toc1258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285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5B45E55B">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_Toc30834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5.4进港道路运输影响分析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_Toc30834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293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55CC50B2">
      <w:pPr>
        <w:pStyle w:val="38"/>
        <w:keepNext w:val="0"/>
        <w:keepLines w:val="0"/>
        <w:pageBreakBefore w:val="0"/>
        <w:widowControl w:val="0"/>
        <w:tabs>
          <w:tab w:val="right" w:leader="dot" w:pos="9070"/>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_Toc11796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44"/>
          <w:sz w:val="24"/>
          <w:szCs w:val="24"/>
          <w:lang w:val="en-US" w:eastAsia="zh-CN" w:bidi="ar-SA"/>
        </w:rPr>
        <w:t>6环境保护措施及其可行性论证</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_Toc11796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295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55E15B5E">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_Toc20206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6.1施工期污染防治措施</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_Toc20206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295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3DD7E70A">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_Toc4041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6.2运营期污染防治措施</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_Toc4041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306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4EE9E101">
      <w:pPr>
        <w:pStyle w:val="38"/>
        <w:keepNext w:val="0"/>
        <w:keepLines w:val="0"/>
        <w:pageBreakBefore w:val="0"/>
        <w:widowControl w:val="0"/>
        <w:tabs>
          <w:tab w:val="right" w:leader="dot" w:pos="9070"/>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_Toc26862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44"/>
          <w:sz w:val="24"/>
          <w:szCs w:val="24"/>
          <w:lang w:val="en-US" w:eastAsia="zh-CN" w:bidi="ar-SA"/>
        </w:rPr>
        <w:t>7环境经济损益分析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_Toc26862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331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79FA2171">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_Toc14478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7.1项目社会及经济效益分析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_Toc14478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331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59FCA4EF">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_Toc28146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7.2环保设施投资估算</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_Toc28146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331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75682CE9">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_Toc170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7.3环境经济效益分析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_Toc170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332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58D1EAD1">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_Toc4297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7.4环境经济损益分析小结</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_Toc4297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333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6DDA45A6">
      <w:pPr>
        <w:pStyle w:val="38"/>
        <w:keepNext w:val="0"/>
        <w:keepLines w:val="0"/>
        <w:pageBreakBefore w:val="0"/>
        <w:widowControl w:val="0"/>
        <w:tabs>
          <w:tab w:val="right" w:leader="dot" w:pos="9070"/>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_Toc9418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44"/>
          <w:sz w:val="24"/>
          <w:szCs w:val="24"/>
          <w:lang w:val="en-US" w:eastAsia="zh-CN" w:bidi="ar-SA"/>
        </w:rPr>
        <w:t>8环境管理和环境监测</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_Toc9418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334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24CE8BE0">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_Toc1049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8.1环境管理要求</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_Toc1049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334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766CA518">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_Toc6886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8.2环境信息公开制度</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_Toc6886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338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20F34965">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_Toc25664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8.3环境监测计划</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_Toc25664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339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04AF6413">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_Toc6942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8.4排污口规范化设置</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_Toc6942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342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38FC204A">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_Toc18737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8.5“三同时”验收内容</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_Toc18737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342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35DDAADE">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_Toc25764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8.6总量控制</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_Toc25764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343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78E97C9F">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_Toc2099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8.7污染物排放管理</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_Toc2099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344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0C10E348">
      <w:pPr>
        <w:pStyle w:val="38"/>
        <w:keepNext w:val="0"/>
        <w:keepLines w:val="0"/>
        <w:pageBreakBefore w:val="0"/>
        <w:widowControl w:val="0"/>
        <w:tabs>
          <w:tab w:val="right" w:leader="dot" w:pos="9070"/>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_Toc18172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44"/>
          <w:sz w:val="24"/>
          <w:szCs w:val="24"/>
          <w:lang w:val="en-US" w:eastAsia="zh-CN" w:bidi="ar-SA"/>
        </w:rPr>
        <w:t>9环境影响评价结论</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_Toc18172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346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0374412A">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_Toc11443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9.1项目建设概况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_Toc11443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346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14A287E6">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_Toc31240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9.2产业政策及规划相符性</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_Toc31240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346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0961C69E">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_Toc10374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9.3环境质量现状</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_Toc10374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348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47194415">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_Toc25542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9.4环境影响评价结论</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_Toc25542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348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3CB36C75">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_Toc32585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9.5环境风险影响评价</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_Toc32585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349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717F7F41">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_Toc8360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9.6公众意见采纳情况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_Toc8360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349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48C6C076">
      <w:pPr>
        <w:pStyle w:val="44"/>
        <w:keepNext w:val="0"/>
        <w:keepLines w:val="0"/>
        <w:pageBreakBefore w:val="0"/>
        <w:widowControl w:val="0"/>
        <w:tabs>
          <w:tab w:val="right" w:leader="dot" w:pos="9070"/>
        </w:tabs>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sz w:val="24"/>
          <w:szCs w:val="24"/>
        </w:rPr>
        <w:instrText xml:space="preserve"> HYPERLINK \l _Toc3527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bCs/>
          <w:kern w:val="2"/>
          <w:sz w:val="24"/>
          <w:szCs w:val="24"/>
          <w:lang w:val="en-US" w:eastAsia="zh-CN" w:bidi="ar-SA"/>
        </w:rPr>
        <w:t>9.7环评总结论</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_Toc3527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349</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rPr>
        <w:fldChar w:fldCharType="end"/>
      </w:r>
    </w:p>
    <w:p w14:paraId="18976E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kern w:val="44"/>
          <w:sz w:val="32"/>
          <w:szCs w:val="32"/>
        </w:rPr>
      </w:pPr>
      <w:r>
        <w:rPr>
          <w:rFonts w:hint="default" w:ascii="Times New Roman" w:hAnsi="Times New Roman" w:eastAsia="宋体" w:cs="Times New Roman"/>
          <w:color w:val="auto"/>
          <w:sz w:val="24"/>
          <w:szCs w:val="24"/>
        </w:rPr>
        <w:fldChar w:fldCharType="end"/>
      </w:r>
      <w:r>
        <w:rPr>
          <w:color w:val="auto"/>
          <w:sz w:val="24"/>
        </w:rPr>
        <w:br w:type="page"/>
      </w:r>
      <w:r>
        <w:rPr>
          <w:b/>
          <w:bCs/>
          <w:color w:val="auto"/>
          <w:kern w:val="44"/>
          <w:sz w:val="32"/>
          <w:szCs w:val="32"/>
        </w:rPr>
        <w:t>附件：</w:t>
      </w:r>
    </w:p>
    <w:p w14:paraId="5C7987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Cs/>
          <w:color w:val="auto"/>
          <w:kern w:val="44"/>
          <w:sz w:val="24"/>
          <w:lang w:val="en-US" w:eastAsia="zh-CN"/>
        </w:rPr>
      </w:pPr>
      <w:r>
        <w:rPr>
          <w:rFonts w:hint="default"/>
          <w:bCs/>
          <w:color w:val="auto"/>
          <w:kern w:val="44"/>
          <w:sz w:val="24"/>
          <w:lang w:val="en-US" w:eastAsia="zh-CN"/>
        </w:rPr>
        <w:t>附件1：委托书</w:t>
      </w:r>
    </w:p>
    <w:p w14:paraId="721AE3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Cs/>
          <w:color w:val="auto"/>
          <w:kern w:val="44"/>
          <w:sz w:val="24"/>
          <w:lang w:val="en-US" w:eastAsia="zh-CN"/>
        </w:rPr>
      </w:pPr>
      <w:r>
        <w:rPr>
          <w:rFonts w:hint="default"/>
          <w:bCs/>
          <w:color w:val="auto"/>
          <w:kern w:val="44"/>
          <w:sz w:val="24"/>
          <w:lang w:val="en-US" w:eastAsia="zh-CN"/>
        </w:rPr>
        <w:t>附件2：淮南市潘集区发展和改革委员会《关于</w:t>
      </w:r>
      <w:r>
        <w:rPr>
          <w:rFonts w:hint="eastAsia"/>
          <w:bCs/>
          <w:color w:val="auto"/>
          <w:kern w:val="44"/>
          <w:sz w:val="24"/>
          <w:lang w:val="en-US" w:eastAsia="zh-CN"/>
        </w:rPr>
        <w:t>淮南兴华园中转码头新建项目</w:t>
      </w:r>
      <w:r>
        <w:rPr>
          <w:rFonts w:hint="default"/>
          <w:bCs/>
          <w:color w:val="auto"/>
          <w:kern w:val="44"/>
          <w:sz w:val="24"/>
          <w:lang w:val="en-US" w:eastAsia="zh-CN"/>
        </w:rPr>
        <w:t>备案的函》</w:t>
      </w:r>
      <w:r>
        <w:rPr>
          <w:rFonts w:hint="eastAsia"/>
          <w:bCs/>
          <w:color w:val="auto"/>
          <w:kern w:val="44"/>
          <w:sz w:val="24"/>
          <w:lang w:val="en-US" w:eastAsia="zh-CN"/>
        </w:rPr>
        <w:t>（</w:t>
      </w:r>
      <w:r>
        <w:rPr>
          <w:rFonts w:hint="default"/>
          <w:bCs/>
          <w:color w:val="auto"/>
          <w:kern w:val="44"/>
          <w:sz w:val="24"/>
          <w:lang w:val="en-US" w:eastAsia="zh-CN"/>
        </w:rPr>
        <w:t>潘发改〔2010〕45号，2010年4月1日</w:t>
      </w:r>
      <w:r>
        <w:rPr>
          <w:rFonts w:hint="eastAsia"/>
          <w:bCs/>
          <w:color w:val="auto"/>
          <w:kern w:val="44"/>
          <w:sz w:val="24"/>
          <w:lang w:val="en-US" w:eastAsia="zh-CN"/>
        </w:rPr>
        <w:t>）</w:t>
      </w:r>
    </w:p>
    <w:p w14:paraId="67C28C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eastAsia="zh-CN"/>
        </w:rPr>
      </w:pPr>
      <w:r>
        <w:rPr>
          <w:rFonts w:hint="default"/>
          <w:bCs/>
          <w:color w:val="auto"/>
          <w:kern w:val="44"/>
          <w:sz w:val="24"/>
        </w:rPr>
        <w:t>附件</w:t>
      </w:r>
      <w:r>
        <w:rPr>
          <w:rFonts w:hint="default"/>
          <w:bCs/>
          <w:color w:val="auto"/>
          <w:kern w:val="44"/>
          <w:sz w:val="24"/>
          <w:lang w:val="en-US" w:eastAsia="zh-CN"/>
        </w:rPr>
        <w:t>3</w:t>
      </w:r>
      <w:r>
        <w:rPr>
          <w:rFonts w:hint="default"/>
          <w:bCs/>
          <w:color w:val="auto"/>
          <w:kern w:val="44"/>
          <w:sz w:val="24"/>
        </w:rPr>
        <w:t>：安徽省淮河河道管理局《关于潘集兴华园码头工程建设方案的批复》</w:t>
      </w:r>
      <w:r>
        <w:rPr>
          <w:rFonts w:hint="eastAsia"/>
          <w:bCs/>
          <w:color w:val="auto"/>
          <w:kern w:val="44"/>
          <w:sz w:val="24"/>
          <w:lang w:eastAsia="zh-CN"/>
        </w:rPr>
        <w:t>（</w:t>
      </w:r>
      <w:r>
        <w:rPr>
          <w:rFonts w:hint="default"/>
          <w:bCs/>
          <w:color w:val="auto"/>
          <w:kern w:val="44"/>
          <w:sz w:val="24"/>
        </w:rPr>
        <w:t>淮管水〔2010〕</w:t>
      </w:r>
      <w:bookmarkStart w:id="4" w:name="bookmark111"/>
      <w:bookmarkEnd w:id="4"/>
      <w:r>
        <w:rPr>
          <w:rFonts w:hint="default"/>
          <w:bCs/>
          <w:color w:val="auto"/>
          <w:kern w:val="44"/>
          <w:sz w:val="24"/>
        </w:rPr>
        <w:t>185号，2010年9月19日</w:t>
      </w:r>
      <w:r>
        <w:rPr>
          <w:rFonts w:hint="eastAsia"/>
          <w:bCs/>
          <w:color w:val="auto"/>
          <w:kern w:val="44"/>
          <w:sz w:val="24"/>
          <w:lang w:eastAsia="zh-CN"/>
        </w:rPr>
        <w:t>）</w:t>
      </w:r>
    </w:p>
    <w:p w14:paraId="228D51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eastAsia="zh-CN"/>
        </w:rPr>
      </w:pPr>
      <w:r>
        <w:rPr>
          <w:rFonts w:hint="default"/>
          <w:bCs/>
          <w:color w:val="auto"/>
          <w:kern w:val="44"/>
          <w:sz w:val="24"/>
        </w:rPr>
        <w:t>附件4：安徽省淮南市港航管理局《关于淮南市兴华园贸易发展有限公司兴华园码头工程初步设计的批复》</w:t>
      </w:r>
      <w:r>
        <w:rPr>
          <w:rFonts w:hint="eastAsia"/>
          <w:bCs/>
          <w:color w:val="auto"/>
          <w:kern w:val="44"/>
          <w:sz w:val="24"/>
          <w:lang w:eastAsia="zh-CN"/>
        </w:rPr>
        <w:t>（</w:t>
      </w:r>
      <w:r>
        <w:rPr>
          <w:rFonts w:hint="default"/>
          <w:bCs/>
          <w:color w:val="auto"/>
          <w:kern w:val="44"/>
          <w:sz w:val="24"/>
        </w:rPr>
        <w:t>淮港航规建</w:t>
      </w:r>
      <w:r>
        <w:rPr>
          <w:rFonts w:hint="eastAsia"/>
          <w:bCs/>
          <w:color w:val="auto"/>
          <w:kern w:val="44"/>
          <w:sz w:val="24"/>
          <w:lang w:eastAsia="zh-CN"/>
        </w:rPr>
        <w:t>〔2012〕79号</w:t>
      </w:r>
      <w:r>
        <w:rPr>
          <w:rFonts w:hint="default"/>
          <w:bCs/>
          <w:color w:val="auto"/>
          <w:kern w:val="44"/>
          <w:sz w:val="24"/>
        </w:rPr>
        <w:t>，2012年6月13日</w:t>
      </w:r>
      <w:r>
        <w:rPr>
          <w:rFonts w:hint="eastAsia"/>
          <w:bCs/>
          <w:color w:val="auto"/>
          <w:kern w:val="44"/>
          <w:sz w:val="24"/>
          <w:lang w:eastAsia="zh-CN"/>
        </w:rPr>
        <w:t>）</w:t>
      </w:r>
    </w:p>
    <w:p w14:paraId="638FE7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eastAsia="zh-CN"/>
        </w:rPr>
      </w:pPr>
      <w:r>
        <w:rPr>
          <w:rFonts w:hint="default"/>
          <w:bCs/>
          <w:color w:val="auto"/>
          <w:kern w:val="44"/>
          <w:sz w:val="24"/>
        </w:rPr>
        <w:t>附件5：安徽省港航管理局《关于淮南市兴华园贸易发展有限公司兴华园码头工程建设使用</w:t>
      </w:r>
      <w:bookmarkStart w:id="5" w:name="bookmark119"/>
      <w:bookmarkEnd w:id="5"/>
      <w:r>
        <w:rPr>
          <w:rFonts w:hint="default"/>
          <w:bCs/>
          <w:color w:val="auto"/>
          <w:kern w:val="44"/>
          <w:sz w:val="24"/>
        </w:rPr>
        <w:t>港口非深水岸线的批复》</w:t>
      </w:r>
      <w:r>
        <w:rPr>
          <w:rFonts w:hint="eastAsia"/>
          <w:bCs/>
          <w:color w:val="auto"/>
          <w:kern w:val="44"/>
          <w:sz w:val="24"/>
          <w:lang w:eastAsia="zh-CN"/>
        </w:rPr>
        <w:t>（</w:t>
      </w:r>
      <w:r>
        <w:rPr>
          <w:rFonts w:hint="default"/>
          <w:bCs/>
          <w:color w:val="auto"/>
          <w:kern w:val="44"/>
          <w:sz w:val="24"/>
        </w:rPr>
        <w:t>皖港航港〔2012〕392号</w:t>
      </w:r>
      <w:r>
        <w:rPr>
          <w:rFonts w:hint="eastAsia"/>
          <w:bCs/>
          <w:color w:val="auto"/>
          <w:kern w:val="44"/>
          <w:sz w:val="24"/>
          <w:lang w:eastAsia="zh-CN"/>
        </w:rPr>
        <w:t>，</w:t>
      </w:r>
      <w:r>
        <w:rPr>
          <w:rFonts w:hint="default"/>
          <w:bCs/>
          <w:color w:val="auto"/>
          <w:kern w:val="44"/>
          <w:sz w:val="24"/>
        </w:rPr>
        <w:t>2012年12月28日</w:t>
      </w:r>
      <w:r>
        <w:rPr>
          <w:rFonts w:hint="eastAsia"/>
          <w:bCs/>
          <w:color w:val="auto"/>
          <w:kern w:val="44"/>
          <w:sz w:val="24"/>
          <w:lang w:eastAsia="zh-CN"/>
        </w:rPr>
        <w:t>）</w:t>
      </w:r>
    </w:p>
    <w:p w14:paraId="16008D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eastAsia="zh-CN"/>
        </w:rPr>
      </w:pPr>
      <w:r>
        <w:rPr>
          <w:rFonts w:hint="default"/>
          <w:bCs/>
          <w:color w:val="auto"/>
          <w:kern w:val="44"/>
          <w:sz w:val="24"/>
        </w:rPr>
        <w:t>附件6：环境影响评价报告表审批意见</w:t>
      </w:r>
      <w:r>
        <w:rPr>
          <w:rFonts w:hint="eastAsia"/>
          <w:bCs/>
          <w:color w:val="auto"/>
          <w:kern w:val="44"/>
          <w:sz w:val="24"/>
          <w:lang w:eastAsia="zh-CN"/>
        </w:rPr>
        <w:t>（</w:t>
      </w:r>
      <w:r>
        <w:rPr>
          <w:rFonts w:hint="default"/>
          <w:bCs/>
          <w:color w:val="auto"/>
          <w:kern w:val="44"/>
          <w:sz w:val="24"/>
        </w:rPr>
        <w:t>淮环表批〔2012〕120号，2012年12月31日</w:t>
      </w:r>
      <w:r>
        <w:rPr>
          <w:rFonts w:hint="eastAsia"/>
          <w:bCs/>
          <w:color w:val="auto"/>
          <w:kern w:val="44"/>
          <w:sz w:val="24"/>
          <w:lang w:eastAsia="zh-CN"/>
        </w:rPr>
        <w:t>）</w:t>
      </w:r>
    </w:p>
    <w:p w14:paraId="1A9A28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eastAsia="zh-CN"/>
        </w:rPr>
      </w:pPr>
      <w:r>
        <w:rPr>
          <w:rFonts w:hint="default"/>
          <w:bCs/>
          <w:color w:val="auto"/>
          <w:kern w:val="44"/>
          <w:sz w:val="24"/>
        </w:rPr>
        <w:t>附件7：交通行政许可机关《交通行政许可决定书》</w:t>
      </w:r>
      <w:r>
        <w:rPr>
          <w:rFonts w:hint="eastAsia"/>
          <w:bCs/>
          <w:color w:val="auto"/>
          <w:kern w:val="44"/>
          <w:sz w:val="24"/>
          <w:lang w:eastAsia="zh-CN"/>
        </w:rPr>
        <w:t>（</w:t>
      </w:r>
      <w:r>
        <w:rPr>
          <w:rFonts w:hint="default"/>
          <w:bCs/>
          <w:color w:val="auto"/>
          <w:kern w:val="44"/>
          <w:sz w:val="24"/>
        </w:rPr>
        <w:t>皖交通许</w:t>
      </w:r>
      <w:r>
        <w:rPr>
          <w:rFonts w:hint="eastAsia"/>
          <w:bCs/>
          <w:color w:val="auto"/>
          <w:kern w:val="44"/>
          <w:sz w:val="24"/>
          <w:lang w:eastAsia="zh-CN"/>
        </w:rPr>
        <w:t>〔2013〕8号</w:t>
      </w:r>
      <w:r>
        <w:rPr>
          <w:rFonts w:hint="default"/>
          <w:bCs/>
          <w:color w:val="auto"/>
          <w:kern w:val="44"/>
          <w:sz w:val="24"/>
        </w:rPr>
        <w:t>，2013年2</w:t>
      </w:r>
      <w:bookmarkStart w:id="6" w:name="bookmark124"/>
      <w:bookmarkEnd w:id="6"/>
      <w:bookmarkStart w:id="7" w:name="bookmark123"/>
      <w:bookmarkEnd w:id="7"/>
      <w:r>
        <w:rPr>
          <w:rFonts w:hint="default"/>
          <w:bCs/>
          <w:color w:val="auto"/>
          <w:kern w:val="44"/>
          <w:sz w:val="24"/>
        </w:rPr>
        <w:t>月4日</w:t>
      </w:r>
      <w:r>
        <w:rPr>
          <w:rFonts w:hint="eastAsia"/>
          <w:bCs/>
          <w:color w:val="auto"/>
          <w:kern w:val="44"/>
          <w:sz w:val="24"/>
          <w:lang w:eastAsia="zh-CN"/>
        </w:rPr>
        <w:t>）</w:t>
      </w:r>
    </w:p>
    <w:p w14:paraId="787B83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eastAsia="zh-CN"/>
        </w:rPr>
      </w:pPr>
      <w:r>
        <w:rPr>
          <w:rFonts w:hint="default"/>
          <w:bCs/>
          <w:color w:val="auto"/>
          <w:kern w:val="44"/>
          <w:sz w:val="24"/>
        </w:rPr>
        <w:t>附件8：安徽省淮南市港航局管理文件《关于淮南港潘集港区兴华园码头工程施工图设计的</w:t>
      </w:r>
      <w:bookmarkStart w:id="8" w:name="bookmark126"/>
      <w:bookmarkEnd w:id="8"/>
      <w:r>
        <w:rPr>
          <w:rFonts w:hint="default"/>
          <w:bCs/>
          <w:color w:val="auto"/>
          <w:kern w:val="44"/>
          <w:sz w:val="24"/>
        </w:rPr>
        <w:t>批复》</w:t>
      </w:r>
      <w:r>
        <w:rPr>
          <w:rFonts w:hint="eastAsia"/>
          <w:bCs/>
          <w:color w:val="auto"/>
          <w:kern w:val="44"/>
          <w:sz w:val="24"/>
          <w:lang w:eastAsia="zh-CN"/>
        </w:rPr>
        <w:t>（</w:t>
      </w:r>
      <w:r>
        <w:rPr>
          <w:rFonts w:hint="default"/>
          <w:bCs/>
          <w:color w:val="auto"/>
          <w:kern w:val="44"/>
          <w:sz w:val="24"/>
        </w:rPr>
        <w:t>淮港航规建〔2013〕75号，2013年6月20日</w:t>
      </w:r>
      <w:r>
        <w:rPr>
          <w:rFonts w:hint="eastAsia"/>
          <w:bCs/>
          <w:color w:val="auto"/>
          <w:kern w:val="44"/>
          <w:sz w:val="24"/>
          <w:lang w:eastAsia="zh-CN"/>
        </w:rPr>
        <w:t>）</w:t>
      </w:r>
    </w:p>
    <w:p w14:paraId="01CCCF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eastAsia="zh-CN"/>
        </w:rPr>
      </w:pPr>
      <w:r>
        <w:rPr>
          <w:rFonts w:hint="eastAsia"/>
          <w:bCs/>
          <w:color w:val="auto"/>
          <w:kern w:val="44"/>
          <w:sz w:val="24"/>
        </w:rPr>
        <w:t>附件</w:t>
      </w:r>
      <w:r>
        <w:rPr>
          <w:rFonts w:hint="eastAsia"/>
          <w:bCs/>
          <w:color w:val="auto"/>
          <w:kern w:val="44"/>
          <w:sz w:val="24"/>
          <w:lang w:val="en-US" w:eastAsia="zh-CN"/>
        </w:rPr>
        <w:t>9</w:t>
      </w:r>
      <w:r>
        <w:rPr>
          <w:rFonts w:hint="eastAsia"/>
          <w:bCs/>
          <w:color w:val="auto"/>
          <w:kern w:val="44"/>
          <w:sz w:val="24"/>
        </w:rPr>
        <w:t>：安徽省淮南市地方海事局《关于对淮南港潘集区兴华园码头工程通航安全评估报告的批复》</w:t>
      </w:r>
      <w:r>
        <w:rPr>
          <w:rFonts w:hint="eastAsia"/>
          <w:bCs/>
          <w:color w:val="auto"/>
          <w:kern w:val="44"/>
          <w:sz w:val="24"/>
          <w:lang w:eastAsia="zh-CN"/>
        </w:rPr>
        <w:t>（</w:t>
      </w:r>
      <w:r>
        <w:rPr>
          <w:rFonts w:hint="eastAsia"/>
          <w:bCs/>
          <w:color w:val="auto"/>
          <w:kern w:val="44"/>
          <w:sz w:val="24"/>
        </w:rPr>
        <w:t>淮海管〔2013〕151号，2013年12月13日</w:t>
      </w:r>
      <w:r>
        <w:rPr>
          <w:rFonts w:hint="eastAsia"/>
          <w:bCs/>
          <w:color w:val="auto"/>
          <w:kern w:val="44"/>
          <w:sz w:val="24"/>
          <w:lang w:eastAsia="zh-CN"/>
        </w:rPr>
        <w:t>）</w:t>
      </w:r>
    </w:p>
    <w:p w14:paraId="265EE4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eastAsia="zh-CN"/>
        </w:rPr>
      </w:pPr>
      <w:r>
        <w:rPr>
          <w:rFonts w:hint="eastAsia"/>
          <w:bCs/>
          <w:color w:val="auto"/>
          <w:kern w:val="44"/>
          <w:sz w:val="24"/>
        </w:rPr>
        <w:t>附件1</w:t>
      </w:r>
      <w:r>
        <w:rPr>
          <w:rFonts w:hint="eastAsia"/>
          <w:bCs/>
          <w:color w:val="auto"/>
          <w:kern w:val="44"/>
          <w:sz w:val="24"/>
          <w:lang w:val="en-US" w:eastAsia="zh-CN"/>
        </w:rPr>
        <w:t>0</w:t>
      </w:r>
      <w:r>
        <w:rPr>
          <w:rFonts w:hint="eastAsia"/>
          <w:bCs/>
          <w:color w:val="auto"/>
          <w:kern w:val="44"/>
          <w:sz w:val="24"/>
        </w:rPr>
        <w:t>：安徽省淮南市港航管理局《关于同意淮南市兴华园贸易发展有限公司兴华园码头工程开工备案的函》</w:t>
      </w:r>
      <w:r>
        <w:rPr>
          <w:rFonts w:hint="eastAsia"/>
          <w:bCs/>
          <w:color w:val="auto"/>
          <w:kern w:val="44"/>
          <w:sz w:val="24"/>
          <w:lang w:eastAsia="zh-CN"/>
        </w:rPr>
        <w:t>（</w:t>
      </w:r>
      <w:r>
        <w:rPr>
          <w:rFonts w:hint="eastAsia"/>
          <w:bCs/>
          <w:color w:val="auto"/>
          <w:kern w:val="44"/>
          <w:sz w:val="24"/>
        </w:rPr>
        <w:t>淮港航政函〔2014〕9号，2014年3月19日</w:t>
      </w:r>
      <w:r>
        <w:rPr>
          <w:rFonts w:hint="eastAsia"/>
          <w:bCs/>
          <w:color w:val="auto"/>
          <w:kern w:val="44"/>
          <w:sz w:val="24"/>
          <w:lang w:eastAsia="zh-CN"/>
        </w:rPr>
        <w:t>）</w:t>
      </w:r>
    </w:p>
    <w:p w14:paraId="47251E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eastAsia="zh-CN"/>
        </w:rPr>
      </w:pPr>
      <w:r>
        <w:rPr>
          <w:rFonts w:hint="eastAsia"/>
          <w:bCs/>
          <w:color w:val="auto"/>
          <w:kern w:val="44"/>
          <w:sz w:val="24"/>
        </w:rPr>
        <w:t>附件1</w:t>
      </w:r>
      <w:r>
        <w:rPr>
          <w:rFonts w:hint="eastAsia"/>
          <w:bCs/>
          <w:color w:val="auto"/>
          <w:kern w:val="44"/>
          <w:sz w:val="24"/>
          <w:lang w:val="en-US" w:eastAsia="zh-CN"/>
        </w:rPr>
        <w:t>1</w:t>
      </w:r>
      <w:r>
        <w:rPr>
          <w:rFonts w:hint="eastAsia"/>
          <w:bCs/>
          <w:color w:val="auto"/>
          <w:kern w:val="44"/>
          <w:sz w:val="24"/>
        </w:rPr>
        <w:t>：安徽省淮河河道管理局《关于潘集兴华园码头工程建设意见的函》</w:t>
      </w:r>
      <w:r>
        <w:rPr>
          <w:rFonts w:hint="eastAsia"/>
          <w:bCs/>
          <w:color w:val="auto"/>
          <w:kern w:val="44"/>
          <w:sz w:val="24"/>
          <w:lang w:eastAsia="zh-CN"/>
        </w:rPr>
        <w:t>（</w:t>
      </w:r>
      <w:r>
        <w:rPr>
          <w:rFonts w:hint="eastAsia"/>
          <w:bCs/>
          <w:color w:val="auto"/>
          <w:kern w:val="44"/>
          <w:sz w:val="24"/>
        </w:rPr>
        <w:t>淮管水〔2016〕</w:t>
      </w:r>
      <w:bookmarkStart w:id="9" w:name="bookmark135"/>
      <w:bookmarkEnd w:id="9"/>
      <w:r>
        <w:rPr>
          <w:rFonts w:hint="eastAsia"/>
          <w:bCs/>
          <w:color w:val="auto"/>
          <w:kern w:val="44"/>
          <w:sz w:val="24"/>
        </w:rPr>
        <w:t>75号，2016年7月29日</w:t>
      </w:r>
      <w:r>
        <w:rPr>
          <w:rFonts w:hint="eastAsia"/>
          <w:bCs/>
          <w:color w:val="auto"/>
          <w:kern w:val="44"/>
          <w:sz w:val="24"/>
          <w:lang w:eastAsia="zh-CN"/>
        </w:rPr>
        <w:t>）</w:t>
      </w:r>
    </w:p>
    <w:p w14:paraId="3D20AB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eastAsia="zh-CN"/>
        </w:rPr>
      </w:pPr>
      <w:r>
        <w:rPr>
          <w:rFonts w:hint="eastAsia"/>
          <w:bCs/>
          <w:color w:val="auto"/>
          <w:kern w:val="44"/>
          <w:sz w:val="24"/>
        </w:rPr>
        <w:t>附件1</w:t>
      </w:r>
      <w:r>
        <w:rPr>
          <w:rFonts w:hint="eastAsia"/>
          <w:bCs/>
          <w:color w:val="auto"/>
          <w:kern w:val="44"/>
          <w:sz w:val="24"/>
          <w:lang w:val="en-US" w:eastAsia="zh-CN"/>
        </w:rPr>
        <w:t>2</w:t>
      </w:r>
      <w:r>
        <w:rPr>
          <w:rFonts w:hint="eastAsia"/>
          <w:bCs/>
          <w:color w:val="auto"/>
          <w:kern w:val="44"/>
          <w:sz w:val="24"/>
        </w:rPr>
        <w:t>：淮南市人民政府《关于印发淮南港总体规划调整</w:t>
      </w:r>
      <w:r>
        <w:rPr>
          <w:rFonts w:hint="eastAsia"/>
          <w:bCs/>
          <w:color w:val="auto"/>
          <w:kern w:val="44"/>
          <w:sz w:val="24"/>
          <w:lang w:eastAsia="zh-CN"/>
        </w:rPr>
        <w:t>（</w:t>
      </w:r>
      <w:r>
        <w:rPr>
          <w:rFonts w:hint="eastAsia"/>
          <w:bCs/>
          <w:color w:val="auto"/>
          <w:kern w:val="44"/>
          <w:sz w:val="24"/>
        </w:rPr>
        <w:t>2014-2025年</w:t>
      </w:r>
      <w:r>
        <w:rPr>
          <w:rFonts w:hint="eastAsia"/>
          <w:bCs/>
          <w:color w:val="auto"/>
          <w:kern w:val="44"/>
          <w:sz w:val="24"/>
          <w:lang w:eastAsia="zh-CN"/>
        </w:rPr>
        <w:t>）</w:t>
      </w:r>
      <w:r>
        <w:rPr>
          <w:rFonts w:hint="eastAsia"/>
          <w:bCs/>
          <w:color w:val="auto"/>
          <w:kern w:val="44"/>
          <w:sz w:val="24"/>
        </w:rPr>
        <w:t>的通知》</w:t>
      </w:r>
      <w:r>
        <w:rPr>
          <w:rFonts w:hint="eastAsia"/>
          <w:bCs/>
          <w:color w:val="auto"/>
          <w:kern w:val="44"/>
          <w:sz w:val="24"/>
          <w:lang w:eastAsia="zh-CN"/>
        </w:rPr>
        <w:t>（</w:t>
      </w:r>
      <w:r>
        <w:rPr>
          <w:rFonts w:hint="eastAsia"/>
          <w:bCs/>
          <w:color w:val="auto"/>
          <w:kern w:val="44"/>
          <w:sz w:val="24"/>
        </w:rPr>
        <w:t>2017年1</w:t>
      </w:r>
      <w:bookmarkStart w:id="10" w:name="bookmark137"/>
      <w:bookmarkEnd w:id="10"/>
      <w:r>
        <w:rPr>
          <w:rFonts w:hint="eastAsia"/>
          <w:bCs/>
          <w:color w:val="auto"/>
          <w:kern w:val="44"/>
          <w:sz w:val="24"/>
        </w:rPr>
        <w:t>月4日</w:t>
      </w:r>
      <w:r>
        <w:rPr>
          <w:rFonts w:hint="eastAsia"/>
          <w:bCs/>
          <w:color w:val="auto"/>
          <w:kern w:val="44"/>
          <w:sz w:val="24"/>
          <w:lang w:eastAsia="zh-CN"/>
        </w:rPr>
        <w:t>）</w:t>
      </w:r>
    </w:p>
    <w:p w14:paraId="27D6FF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eastAsia="zh-CN"/>
        </w:rPr>
      </w:pPr>
      <w:r>
        <w:rPr>
          <w:rFonts w:hint="eastAsia"/>
          <w:bCs/>
          <w:color w:val="auto"/>
          <w:kern w:val="44"/>
          <w:sz w:val="24"/>
        </w:rPr>
        <w:t>附件1</w:t>
      </w:r>
      <w:r>
        <w:rPr>
          <w:rFonts w:hint="eastAsia"/>
          <w:bCs/>
          <w:color w:val="auto"/>
          <w:kern w:val="44"/>
          <w:sz w:val="24"/>
          <w:lang w:val="en-US" w:eastAsia="zh-CN"/>
        </w:rPr>
        <w:t>3</w:t>
      </w:r>
      <w:r>
        <w:rPr>
          <w:rFonts w:hint="eastAsia"/>
          <w:bCs/>
          <w:color w:val="auto"/>
          <w:kern w:val="44"/>
          <w:sz w:val="24"/>
        </w:rPr>
        <w:t>：安徽省创优营商环境为企服务平台办理结果查询——关于请求协调解决淮南市兴</w:t>
      </w:r>
      <w:bookmarkStart w:id="11" w:name="bookmark141"/>
      <w:bookmarkEnd w:id="11"/>
      <w:r>
        <w:rPr>
          <w:rFonts w:hint="eastAsia"/>
          <w:bCs/>
          <w:color w:val="auto"/>
          <w:kern w:val="44"/>
          <w:sz w:val="24"/>
        </w:rPr>
        <w:t>华园码头工程复工建设的事宜</w:t>
      </w:r>
      <w:r>
        <w:rPr>
          <w:rFonts w:hint="eastAsia"/>
          <w:bCs/>
          <w:color w:val="auto"/>
          <w:kern w:val="44"/>
          <w:sz w:val="24"/>
          <w:lang w:eastAsia="zh-CN"/>
        </w:rPr>
        <w:t>（</w:t>
      </w:r>
      <w:r>
        <w:rPr>
          <w:rFonts w:hint="eastAsia"/>
          <w:bCs/>
          <w:color w:val="auto"/>
          <w:kern w:val="44"/>
          <w:sz w:val="24"/>
        </w:rPr>
        <w:t>2022年7月</w:t>
      </w:r>
      <w:r>
        <w:rPr>
          <w:rFonts w:hint="eastAsia"/>
          <w:bCs/>
          <w:color w:val="auto"/>
          <w:kern w:val="44"/>
          <w:sz w:val="24"/>
          <w:lang w:eastAsia="zh-CN"/>
        </w:rPr>
        <w:t>）</w:t>
      </w:r>
    </w:p>
    <w:p w14:paraId="7E11B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eastAsia="zh-CN"/>
        </w:rPr>
      </w:pPr>
      <w:r>
        <w:rPr>
          <w:rFonts w:hint="eastAsia"/>
          <w:bCs/>
          <w:color w:val="auto"/>
          <w:kern w:val="44"/>
          <w:sz w:val="24"/>
        </w:rPr>
        <w:t>附件1</w:t>
      </w:r>
      <w:r>
        <w:rPr>
          <w:rFonts w:hint="eastAsia"/>
          <w:bCs/>
          <w:color w:val="auto"/>
          <w:kern w:val="44"/>
          <w:sz w:val="24"/>
          <w:lang w:val="en-US" w:eastAsia="zh-CN"/>
        </w:rPr>
        <w:t>4</w:t>
      </w:r>
      <w:r>
        <w:rPr>
          <w:rFonts w:hint="eastAsia"/>
          <w:bCs/>
          <w:color w:val="auto"/>
          <w:kern w:val="44"/>
          <w:sz w:val="24"/>
        </w:rPr>
        <w:t>：淮南市交通运输局《关于淮南市兴华园码头工程复工建设的复函》</w:t>
      </w:r>
      <w:r>
        <w:rPr>
          <w:rFonts w:hint="eastAsia"/>
          <w:bCs/>
          <w:color w:val="auto"/>
          <w:kern w:val="44"/>
          <w:sz w:val="24"/>
          <w:lang w:eastAsia="zh-CN"/>
        </w:rPr>
        <w:t>（</w:t>
      </w:r>
      <w:r>
        <w:rPr>
          <w:rFonts w:hint="eastAsia"/>
          <w:bCs/>
          <w:color w:val="auto"/>
          <w:kern w:val="44"/>
          <w:sz w:val="24"/>
        </w:rPr>
        <w:t>2022年7月</w:t>
      </w:r>
      <w:bookmarkStart w:id="12" w:name="bookmark143"/>
      <w:bookmarkEnd w:id="12"/>
      <w:r>
        <w:rPr>
          <w:rFonts w:hint="eastAsia"/>
          <w:bCs/>
          <w:color w:val="auto"/>
          <w:kern w:val="44"/>
          <w:sz w:val="24"/>
        </w:rPr>
        <w:t>20日</w:t>
      </w:r>
      <w:r>
        <w:rPr>
          <w:rFonts w:hint="eastAsia"/>
          <w:bCs/>
          <w:color w:val="auto"/>
          <w:kern w:val="44"/>
          <w:sz w:val="24"/>
          <w:lang w:eastAsia="zh-CN"/>
        </w:rPr>
        <w:t>）</w:t>
      </w:r>
    </w:p>
    <w:p w14:paraId="4315FD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eastAsia="zh-CN"/>
        </w:rPr>
      </w:pPr>
      <w:r>
        <w:rPr>
          <w:rFonts w:hint="eastAsia"/>
          <w:bCs/>
          <w:color w:val="auto"/>
          <w:kern w:val="44"/>
          <w:sz w:val="24"/>
        </w:rPr>
        <w:t>附件1</w:t>
      </w:r>
      <w:r>
        <w:rPr>
          <w:rFonts w:hint="eastAsia"/>
          <w:bCs/>
          <w:color w:val="auto"/>
          <w:kern w:val="44"/>
          <w:sz w:val="24"/>
          <w:lang w:val="en-US" w:eastAsia="zh-CN"/>
        </w:rPr>
        <w:t>5：</w:t>
      </w:r>
      <w:r>
        <w:rPr>
          <w:rFonts w:hint="eastAsia"/>
          <w:bCs/>
          <w:color w:val="auto"/>
          <w:kern w:val="44"/>
          <w:sz w:val="24"/>
        </w:rPr>
        <w:t>淮南市兴华园贸易发展有限公司《关于请求审查批准淮南市兴华园码头工程初步设</w:t>
      </w:r>
      <w:bookmarkStart w:id="13" w:name="bookmark145"/>
      <w:bookmarkEnd w:id="13"/>
      <w:r>
        <w:rPr>
          <w:rFonts w:hint="eastAsia"/>
          <w:bCs/>
          <w:color w:val="auto"/>
          <w:kern w:val="44"/>
          <w:sz w:val="24"/>
        </w:rPr>
        <w:t>计和施工图设计变更的报告》</w:t>
      </w:r>
      <w:r>
        <w:rPr>
          <w:rFonts w:hint="eastAsia"/>
          <w:bCs/>
          <w:color w:val="auto"/>
          <w:kern w:val="44"/>
          <w:sz w:val="24"/>
          <w:lang w:eastAsia="zh-CN"/>
        </w:rPr>
        <w:t>（</w:t>
      </w:r>
      <w:r>
        <w:rPr>
          <w:rFonts w:hint="eastAsia"/>
          <w:bCs/>
          <w:color w:val="auto"/>
          <w:kern w:val="44"/>
          <w:sz w:val="24"/>
        </w:rPr>
        <w:t>2022年9月15日</w:t>
      </w:r>
      <w:r>
        <w:rPr>
          <w:rFonts w:hint="eastAsia"/>
          <w:bCs/>
          <w:color w:val="auto"/>
          <w:kern w:val="44"/>
          <w:sz w:val="24"/>
          <w:lang w:eastAsia="zh-CN"/>
        </w:rPr>
        <w:t>）</w:t>
      </w:r>
    </w:p>
    <w:p w14:paraId="527A4C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eastAsia="zh-CN"/>
        </w:rPr>
      </w:pPr>
      <w:r>
        <w:rPr>
          <w:rFonts w:hint="eastAsia"/>
          <w:bCs/>
          <w:color w:val="auto"/>
          <w:kern w:val="44"/>
          <w:sz w:val="24"/>
        </w:rPr>
        <w:t>附件1</w:t>
      </w:r>
      <w:r>
        <w:rPr>
          <w:rFonts w:hint="eastAsia"/>
          <w:bCs/>
          <w:color w:val="auto"/>
          <w:kern w:val="44"/>
          <w:sz w:val="24"/>
          <w:lang w:val="en-US" w:eastAsia="zh-CN"/>
        </w:rPr>
        <w:t>6</w:t>
      </w:r>
      <w:r>
        <w:rPr>
          <w:rFonts w:hint="eastAsia"/>
          <w:bCs/>
          <w:color w:val="auto"/>
          <w:kern w:val="44"/>
          <w:sz w:val="24"/>
        </w:rPr>
        <w:t>：水利部淮河水利委员会关于淮南市兴华园码头复工工程河道管理范围内建设方案</w:t>
      </w:r>
      <w:bookmarkStart w:id="14" w:name="bookmark149"/>
      <w:bookmarkEnd w:id="14"/>
      <w:r>
        <w:rPr>
          <w:rFonts w:hint="eastAsia"/>
          <w:bCs/>
          <w:color w:val="auto"/>
          <w:kern w:val="44"/>
          <w:sz w:val="24"/>
        </w:rPr>
        <w:t>准许行政许可决定书</w:t>
      </w:r>
      <w:r>
        <w:rPr>
          <w:rFonts w:hint="eastAsia"/>
          <w:bCs/>
          <w:color w:val="auto"/>
          <w:kern w:val="44"/>
          <w:sz w:val="24"/>
          <w:lang w:eastAsia="zh-CN"/>
        </w:rPr>
        <w:t>（</w:t>
      </w:r>
      <w:r>
        <w:rPr>
          <w:rFonts w:hint="eastAsia"/>
          <w:bCs/>
          <w:color w:val="auto"/>
          <w:kern w:val="44"/>
          <w:sz w:val="24"/>
        </w:rPr>
        <w:t>2023年10月17日</w:t>
      </w:r>
      <w:r>
        <w:rPr>
          <w:rFonts w:hint="eastAsia"/>
          <w:bCs/>
          <w:color w:val="auto"/>
          <w:kern w:val="44"/>
          <w:sz w:val="24"/>
          <w:lang w:eastAsia="zh-CN"/>
        </w:rPr>
        <w:t>）</w:t>
      </w:r>
    </w:p>
    <w:p w14:paraId="6CE6FB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eastAsia="zh-CN"/>
        </w:rPr>
      </w:pPr>
      <w:r>
        <w:rPr>
          <w:rFonts w:hint="eastAsia"/>
          <w:bCs/>
          <w:color w:val="auto"/>
          <w:kern w:val="44"/>
          <w:sz w:val="24"/>
          <w:lang w:eastAsia="zh-CN"/>
        </w:rPr>
        <w:t>附件</w:t>
      </w:r>
      <w:r>
        <w:rPr>
          <w:rFonts w:hint="eastAsia"/>
          <w:bCs/>
          <w:color w:val="auto"/>
          <w:kern w:val="44"/>
          <w:sz w:val="24"/>
          <w:lang w:val="en-US" w:eastAsia="zh-CN"/>
        </w:rPr>
        <w:t>17</w:t>
      </w:r>
      <w:r>
        <w:rPr>
          <w:rFonts w:hint="eastAsia"/>
          <w:bCs/>
          <w:color w:val="auto"/>
          <w:kern w:val="44"/>
          <w:sz w:val="24"/>
          <w:lang w:eastAsia="zh-CN"/>
        </w:rPr>
        <w:t>：淮南市交通运输局《关于淮南市兴华园贸易发展有限公司兴华园码头工程岸线情</w:t>
      </w:r>
      <w:bookmarkStart w:id="15" w:name="bookmark151"/>
      <w:bookmarkEnd w:id="15"/>
      <w:r>
        <w:rPr>
          <w:rFonts w:hint="eastAsia"/>
          <w:bCs/>
          <w:color w:val="auto"/>
          <w:kern w:val="44"/>
          <w:sz w:val="24"/>
          <w:lang w:eastAsia="zh-CN"/>
        </w:rPr>
        <w:t>况的说明》（2024年1月23日）</w:t>
      </w:r>
    </w:p>
    <w:p w14:paraId="265EF6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eastAsia="zh-CN"/>
        </w:rPr>
      </w:pPr>
      <w:r>
        <w:rPr>
          <w:rFonts w:hint="eastAsia"/>
          <w:bCs/>
          <w:color w:val="auto"/>
          <w:kern w:val="44"/>
          <w:sz w:val="24"/>
          <w:lang w:eastAsia="zh-CN"/>
        </w:rPr>
        <w:t>附件</w:t>
      </w:r>
      <w:r>
        <w:rPr>
          <w:rFonts w:hint="eastAsia"/>
          <w:bCs/>
          <w:color w:val="auto"/>
          <w:kern w:val="44"/>
          <w:sz w:val="24"/>
          <w:lang w:val="en-US" w:eastAsia="zh-CN"/>
        </w:rPr>
        <w:t>18</w:t>
      </w:r>
      <w:r>
        <w:rPr>
          <w:rFonts w:hint="eastAsia"/>
          <w:bCs/>
          <w:color w:val="auto"/>
          <w:kern w:val="44"/>
          <w:sz w:val="24"/>
          <w:lang w:eastAsia="zh-CN"/>
        </w:rPr>
        <w:t>：淮南市自然资源和规划局潘集分局《关于兴华园码头项目不占用“三区三线”的说明》</w:t>
      </w:r>
      <w:bookmarkStart w:id="16" w:name="bookmark153"/>
      <w:bookmarkEnd w:id="16"/>
      <w:r>
        <w:rPr>
          <w:rFonts w:hint="eastAsia"/>
          <w:bCs/>
          <w:color w:val="auto"/>
          <w:kern w:val="44"/>
          <w:sz w:val="24"/>
          <w:lang w:eastAsia="zh-CN"/>
        </w:rPr>
        <w:t>（2024年1月10日）</w:t>
      </w:r>
    </w:p>
    <w:p w14:paraId="4F8614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eastAsia="zh-CN"/>
        </w:rPr>
      </w:pPr>
      <w:r>
        <w:rPr>
          <w:rFonts w:hint="eastAsia"/>
          <w:bCs/>
          <w:color w:val="auto"/>
          <w:kern w:val="44"/>
          <w:sz w:val="24"/>
          <w:lang w:eastAsia="zh-CN"/>
        </w:rPr>
        <w:t>附件</w:t>
      </w:r>
      <w:r>
        <w:rPr>
          <w:rFonts w:hint="eastAsia"/>
          <w:bCs/>
          <w:color w:val="auto"/>
          <w:kern w:val="44"/>
          <w:sz w:val="24"/>
          <w:lang w:val="en-US" w:eastAsia="zh-CN"/>
        </w:rPr>
        <w:t>19</w:t>
      </w:r>
      <w:r>
        <w:rPr>
          <w:rFonts w:hint="eastAsia"/>
          <w:bCs/>
          <w:color w:val="auto"/>
          <w:kern w:val="44"/>
          <w:sz w:val="24"/>
          <w:lang w:eastAsia="zh-CN"/>
        </w:rPr>
        <w:t>：淮南市潘集区人民政府《关于兴华园码头复工建设的情况说明》（2024年1月30</w:t>
      </w:r>
      <w:bookmarkStart w:id="17" w:name="bookmark155"/>
      <w:bookmarkEnd w:id="17"/>
      <w:r>
        <w:rPr>
          <w:rFonts w:hint="eastAsia"/>
          <w:bCs/>
          <w:color w:val="auto"/>
          <w:kern w:val="44"/>
          <w:sz w:val="24"/>
          <w:lang w:eastAsia="zh-CN"/>
        </w:rPr>
        <w:t>日）</w:t>
      </w:r>
    </w:p>
    <w:p w14:paraId="12080B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val="en-US" w:eastAsia="zh-CN"/>
        </w:rPr>
      </w:pPr>
      <w:r>
        <w:rPr>
          <w:rFonts w:hint="eastAsia"/>
          <w:bCs/>
          <w:color w:val="auto"/>
          <w:kern w:val="44"/>
          <w:sz w:val="24"/>
          <w:lang w:val="en-US" w:eastAsia="zh-CN"/>
        </w:rPr>
        <w:t>附件20：声明</w:t>
      </w:r>
    </w:p>
    <w:p w14:paraId="547D77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val="en-US" w:eastAsia="zh-CN"/>
        </w:rPr>
      </w:pPr>
      <w:r>
        <w:rPr>
          <w:rFonts w:hint="eastAsia"/>
          <w:bCs/>
          <w:color w:val="auto"/>
          <w:kern w:val="44"/>
          <w:sz w:val="24"/>
          <w:lang w:val="en-US" w:eastAsia="zh-CN"/>
        </w:rPr>
        <w:t>附件21：淮南港总体规划环境影响报告书审查意见</w:t>
      </w:r>
    </w:p>
    <w:p w14:paraId="6DCCC8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val="en-US" w:eastAsia="zh-CN"/>
        </w:rPr>
      </w:pPr>
      <w:r>
        <w:rPr>
          <w:rFonts w:hint="eastAsia"/>
          <w:bCs/>
          <w:color w:val="auto"/>
          <w:kern w:val="44"/>
          <w:sz w:val="24"/>
          <w:lang w:val="en-US" w:eastAsia="zh-CN"/>
        </w:rPr>
        <w:t>附件22：淮南市兴华园码头复工建设项目生态环境影响报告书评审意见</w:t>
      </w:r>
    </w:p>
    <w:p w14:paraId="3FA304D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val="en-US" w:eastAsia="zh-CN"/>
        </w:rPr>
      </w:pPr>
      <w:r>
        <w:rPr>
          <w:rFonts w:hint="eastAsia"/>
          <w:bCs/>
          <w:color w:val="auto"/>
          <w:kern w:val="44"/>
          <w:sz w:val="24"/>
          <w:lang w:val="en-US" w:eastAsia="zh-CN"/>
        </w:rPr>
        <w:t>附件23：《关于&lt;淮南市兴华园贸易发展有限公司兴华园码头工程对淮河淮南段长吻鮠国家级水产种质资源保护区影响专题论证报告&gt;的审查意见》</w:t>
      </w:r>
    </w:p>
    <w:p w14:paraId="0F1F9A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Cs/>
          <w:color w:val="auto"/>
          <w:kern w:val="44"/>
          <w:sz w:val="24"/>
          <w:lang w:val="en-US" w:eastAsia="zh-CN"/>
        </w:rPr>
      </w:pPr>
      <w:r>
        <w:rPr>
          <w:rFonts w:hint="eastAsia"/>
          <w:bCs/>
          <w:color w:val="auto"/>
          <w:kern w:val="44"/>
          <w:sz w:val="24"/>
          <w:lang w:val="en-US" w:eastAsia="zh-CN"/>
        </w:rPr>
        <w:t>附件24：淮南市兴华园码头复工建设项目生态环境影响报告书修改清单</w:t>
      </w:r>
    </w:p>
    <w:p w14:paraId="6FE3BC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bCs/>
          <w:color w:val="auto"/>
          <w:kern w:val="44"/>
          <w:sz w:val="24"/>
          <w:lang w:val="en-US" w:eastAsia="zh-CN"/>
        </w:rPr>
      </w:pPr>
    </w:p>
    <w:p w14:paraId="3B595867">
      <w:pPr>
        <w:spacing w:line="360" w:lineRule="auto"/>
        <w:rPr>
          <w:b/>
          <w:bCs/>
          <w:color w:val="auto"/>
          <w:kern w:val="44"/>
          <w:sz w:val="32"/>
          <w:szCs w:val="32"/>
        </w:rPr>
      </w:pPr>
      <w:r>
        <w:rPr>
          <w:rFonts w:hint="eastAsia"/>
          <w:b/>
          <w:bCs/>
          <w:color w:val="auto"/>
          <w:kern w:val="44"/>
          <w:sz w:val="32"/>
          <w:szCs w:val="32"/>
        </w:rPr>
        <w:t>附表：</w:t>
      </w:r>
    </w:p>
    <w:p w14:paraId="6E9898CF">
      <w:pPr>
        <w:spacing w:line="360" w:lineRule="auto"/>
        <w:rPr>
          <w:bCs/>
          <w:color w:val="auto"/>
          <w:kern w:val="44"/>
          <w:sz w:val="24"/>
        </w:rPr>
      </w:pPr>
      <w:r>
        <w:rPr>
          <w:rFonts w:hint="eastAsia"/>
          <w:bCs/>
          <w:color w:val="auto"/>
          <w:kern w:val="44"/>
          <w:sz w:val="24"/>
        </w:rPr>
        <w:t>附表1</w:t>
      </w:r>
      <w:r>
        <w:rPr>
          <w:rFonts w:hint="eastAsia"/>
          <w:bCs/>
          <w:color w:val="auto"/>
          <w:kern w:val="44"/>
          <w:sz w:val="24"/>
          <w:lang w:val="en-US" w:eastAsia="zh-CN"/>
        </w:rPr>
        <w:t xml:space="preserve"> </w:t>
      </w:r>
      <w:r>
        <w:rPr>
          <w:rFonts w:hint="eastAsia"/>
          <w:bCs/>
          <w:color w:val="auto"/>
          <w:kern w:val="44"/>
          <w:sz w:val="24"/>
        </w:rPr>
        <w:t>建设项目环境影响评价与排污许可联动内容表；</w:t>
      </w:r>
    </w:p>
    <w:p w14:paraId="1DB9DE77">
      <w:pPr>
        <w:spacing w:line="360" w:lineRule="auto"/>
        <w:rPr>
          <w:rFonts w:hint="eastAsia"/>
          <w:bCs/>
          <w:color w:val="auto"/>
          <w:kern w:val="44"/>
          <w:sz w:val="24"/>
        </w:rPr>
      </w:pPr>
      <w:r>
        <w:rPr>
          <w:rFonts w:hint="eastAsia"/>
          <w:bCs/>
          <w:color w:val="auto"/>
          <w:kern w:val="44"/>
          <w:sz w:val="24"/>
        </w:rPr>
        <w:t>附表2</w:t>
      </w:r>
      <w:r>
        <w:rPr>
          <w:rFonts w:hint="eastAsia"/>
          <w:bCs/>
          <w:color w:val="auto"/>
          <w:kern w:val="44"/>
          <w:sz w:val="24"/>
          <w:lang w:val="en-US" w:eastAsia="zh-CN"/>
        </w:rPr>
        <w:t xml:space="preserve"> </w:t>
      </w:r>
      <w:r>
        <w:rPr>
          <w:rFonts w:hint="eastAsia"/>
          <w:bCs/>
          <w:color w:val="auto"/>
          <w:kern w:val="44"/>
          <w:sz w:val="24"/>
        </w:rPr>
        <w:t>建设项目环境影响报告书审批基础信息表。</w:t>
      </w:r>
    </w:p>
    <w:p w14:paraId="3B77FD0E">
      <w:pPr>
        <w:spacing w:line="360" w:lineRule="auto"/>
        <w:rPr>
          <w:rFonts w:hint="eastAsia"/>
          <w:bCs/>
          <w:color w:val="auto"/>
          <w:kern w:val="44"/>
          <w:sz w:val="24"/>
        </w:rPr>
        <w:sectPr>
          <w:headerReference r:id="rId5" w:type="default"/>
          <w:footerReference r:id="rId6" w:type="default"/>
          <w:pgSz w:w="11906" w:h="16838"/>
          <w:pgMar w:top="1418" w:right="1418" w:bottom="1418" w:left="1418" w:header="851" w:footer="851" w:gutter="0"/>
          <w:pgBorders>
            <w:top w:val="none" w:sz="0" w:space="0"/>
            <w:left w:val="none" w:sz="0" w:space="0"/>
            <w:bottom w:val="none" w:sz="0" w:space="0"/>
            <w:right w:val="none" w:sz="0" w:space="0"/>
          </w:pgBorders>
          <w:pgNumType w:fmt="upperRoman" w:start="1"/>
          <w:cols w:space="720" w:num="1"/>
          <w:docGrid w:type="linesAndChars" w:linePitch="312" w:charSpace="0"/>
        </w:sectPr>
      </w:pPr>
    </w:p>
    <w:p w14:paraId="23EE4C13">
      <w:pPr>
        <w:pStyle w:val="2"/>
        <w:numPr>
          <w:ilvl w:val="0"/>
          <w:numId w:val="0"/>
        </w:numPr>
        <w:rPr>
          <w:color w:val="auto"/>
        </w:rPr>
      </w:pPr>
      <w:bookmarkStart w:id="18" w:name="_Toc32580"/>
      <w:r>
        <w:rPr>
          <w:rFonts w:hint="eastAsia"/>
          <w:color w:val="auto"/>
        </w:rPr>
        <w:t>1</w:t>
      </w:r>
      <w:r>
        <w:rPr>
          <w:rFonts w:hint="eastAsia"/>
          <w:color w:val="auto"/>
          <w:lang w:val="en-US" w:eastAsia="zh-CN"/>
        </w:rPr>
        <w:t xml:space="preserve"> </w:t>
      </w:r>
      <w:r>
        <w:rPr>
          <w:color w:val="auto"/>
        </w:rPr>
        <w:t>概述</w:t>
      </w:r>
      <w:bookmarkEnd w:id="18"/>
    </w:p>
    <w:p w14:paraId="57B624FD">
      <w:pPr>
        <w:pStyle w:val="3"/>
        <w:numPr>
          <w:ilvl w:val="0"/>
          <w:numId w:val="0"/>
        </w:numPr>
        <w:rPr>
          <w:color w:val="auto"/>
        </w:rPr>
      </w:pPr>
      <w:bookmarkStart w:id="19" w:name="_Toc12705"/>
      <w:r>
        <w:rPr>
          <w:rFonts w:hint="eastAsia"/>
          <w:color w:val="auto"/>
        </w:rPr>
        <w:t>1.1</w:t>
      </w:r>
      <w:r>
        <w:rPr>
          <w:color w:val="auto"/>
        </w:rPr>
        <w:t>项目背景及由来</w:t>
      </w:r>
      <w:bookmarkEnd w:id="19"/>
    </w:p>
    <w:p w14:paraId="03C1A08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bCs/>
          <w:color w:val="auto"/>
          <w:sz w:val="24"/>
        </w:rPr>
      </w:pPr>
      <w:r>
        <w:rPr>
          <w:rFonts w:hint="eastAsia"/>
          <w:bCs/>
          <w:color w:val="auto"/>
          <w:sz w:val="24"/>
        </w:rPr>
        <w:t>淮南市兴华园贸易发展有限公司（曾用名：淮南市兴华园商贸有限责任公司），成立于1997年，位于安徽省淮南市淮舜南路，经营范围包括预包装食品批发兼零售，百货、建材、五金、仪器仪表、工矿电力配件、金属材料、铸件及焊接件、保温阻燃材料、环保自动化设备的销售，自动化系统安装、调试。</w:t>
      </w:r>
    </w:p>
    <w:p w14:paraId="21505D5B">
      <w:pPr>
        <w:pStyle w:val="124"/>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Times New Roman" w:hAnsi="Times New Roman"/>
          <w:bCs/>
          <w:color w:val="auto"/>
          <w:sz w:val="24"/>
          <w:szCs w:val="21"/>
        </w:rPr>
      </w:pPr>
      <w:r>
        <w:rPr>
          <w:rFonts w:hint="eastAsia" w:ascii="Times New Roman" w:hAnsi="Times New Roman"/>
          <w:bCs/>
          <w:color w:val="auto"/>
          <w:sz w:val="24"/>
          <w:szCs w:val="21"/>
        </w:rPr>
        <w:t>淮南市是我国华东地区煤炭资源最为丰富的地区，煤炭远景储量444亿吨，探明储量153亿吨，占华东地区32％，煤层气储量5928亿立方米，淮南市还有丰富的石灰石、高岭土以及煤泥、煤矸石、粉煤灰等资源。</w:t>
      </w:r>
    </w:p>
    <w:p w14:paraId="31BDBBA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bCs/>
          <w:color w:val="auto"/>
          <w:sz w:val="24"/>
        </w:rPr>
      </w:pPr>
      <w:r>
        <w:rPr>
          <w:rFonts w:hint="eastAsia"/>
          <w:color w:val="auto"/>
          <w:sz w:val="24"/>
          <w:szCs w:val="24"/>
        </w:rPr>
        <w:t>随着淮南煤炭产量的不断提高和煤炭资源的大幅增长</w:t>
      </w:r>
      <w:r>
        <w:rPr>
          <w:rFonts w:hint="eastAsia"/>
          <w:color w:val="auto"/>
          <w:sz w:val="24"/>
          <w:szCs w:val="24"/>
          <w:lang w:eastAsia="zh-CN"/>
        </w:rPr>
        <w:t>，</w:t>
      </w:r>
      <w:r>
        <w:rPr>
          <w:rFonts w:hint="eastAsia"/>
          <w:color w:val="auto"/>
          <w:sz w:val="24"/>
          <w:szCs w:val="24"/>
        </w:rPr>
        <w:t>铁路、陆路运输成本上涨，水路运输的货源配比越来越大，为减少煤炭滞装时间，提高运载能力，</w:t>
      </w:r>
      <w:r>
        <w:rPr>
          <w:rFonts w:hint="eastAsia"/>
          <w:color w:val="auto"/>
          <w:sz w:val="24"/>
          <w:szCs w:val="24"/>
          <w:lang w:eastAsia="zh-CN"/>
        </w:rPr>
        <w:t>淮南市兴华园贸易发展有限公司</w:t>
      </w:r>
      <w:r>
        <w:rPr>
          <w:rFonts w:hint="eastAsia"/>
          <w:bCs/>
          <w:color w:val="auto"/>
          <w:sz w:val="24"/>
        </w:rPr>
        <w:t>于潘集区平圩镇淮河北汊左岸投资1</w:t>
      </w:r>
      <w:r>
        <w:rPr>
          <w:bCs/>
          <w:color w:val="auto"/>
          <w:sz w:val="24"/>
        </w:rPr>
        <w:t>50</w:t>
      </w:r>
      <w:r>
        <w:rPr>
          <w:rFonts w:hint="eastAsia"/>
          <w:bCs/>
          <w:color w:val="auto"/>
          <w:sz w:val="24"/>
        </w:rPr>
        <w:t>万元建设2个5</w:t>
      </w:r>
      <w:r>
        <w:rPr>
          <w:bCs/>
          <w:color w:val="auto"/>
          <w:sz w:val="24"/>
        </w:rPr>
        <w:t>00</w:t>
      </w:r>
      <w:r>
        <w:rPr>
          <w:rFonts w:hint="eastAsia"/>
          <w:bCs/>
          <w:color w:val="auto"/>
          <w:sz w:val="24"/>
        </w:rPr>
        <w:t>吨级（兼顾1</w:t>
      </w:r>
      <w:r>
        <w:rPr>
          <w:bCs/>
          <w:color w:val="auto"/>
          <w:sz w:val="24"/>
        </w:rPr>
        <w:t>000</w:t>
      </w:r>
      <w:r>
        <w:rPr>
          <w:rFonts w:hint="eastAsia"/>
          <w:bCs/>
          <w:color w:val="auto"/>
          <w:sz w:val="24"/>
        </w:rPr>
        <w:t>吨级）散货出口泊位，设计年吞吐量80万吨，主要承担淮南潘集矿区煤炭出口业务。</w:t>
      </w:r>
    </w:p>
    <w:p w14:paraId="7E204C4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bCs/>
          <w:color w:val="auto"/>
          <w:sz w:val="24"/>
          <w:lang w:eastAsia="zh-CN"/>
        </w:rPr>
      </w:pPr>
      <w:r>
        <w:rPr>
          <w:color w:val="auto"/>
          <w:sz w:val="24"/>
          <w:szCs w:val="24"/>
        </w:rPr>
        <w:t>2010年4月，</w:t>
      </w:r>
      <w:r>
        <w:rPr>
          <w:rFonts w:hint="eastAsia"/>
          <w:color w:val="auto"/>
          <w:sz w:val="24"/>
          <w:szCs w:val="24"/>
          <w:lang w:eastAsia="zh-CN"/>
        </w:rPr>
        <w:t>淮南市兴华园贸易发展有限公司</w:t>
      </w:r>
      <w:r>
        <w:rPr>
          <w:rFonts w:hint="eastAsia"/>
          <w:bCs/>
          <w:color w:val="auto"/>
          <w:sz w:val="24"/>
        </w:rPr>
        <w:t>委托南京智方环保工程有限公司编制《淮南市兴华园贸易发展有限公司淮南兴华园中转码头新建项目环境影响报告表》，2</w:t>
      </w:r>
      <w:r>
        <w:rPr>
          <w:bCs/>
          <w:color w:val="auto"/>
          <w:sz w:val="24"/>
        </w:rPr>
        <w:t>012</w:t>
      </w:r>
      <w:r>
        <w:rPr>
          <w:rFonts w:hint="eastAsia"/>
          <w:bCs/>
          <w:color w:val="auto"/>
          <w:sz w:val="24"/>
        </w:rPr>
        <w:t>年1</w:t>
      </w:r>
      <w:r>
        <w:rPr>
          <w:bCs/>
          <w:color w:val="auto"/>
          <w:sz w:val="24"/>
        </w:rPr>
        <w:t>2</w:t>
      </w:r>
      <w:r>
        <w:rPr>
          <w:rFonts w:hint="eastAsia"/>
          <w:bCs/>
          <w:color w:val="auto"/>
          <w:sz w:val="24"/>
        </w:rPr>
        <w:t>月3</w:t>
      </w:r>
      <w:r>
        <w:rPr>
          <w:bCs/>
          <w:color w:val="auto"/>
          <w:sz w:val="24"/>
        </w:rPr>
        <w:t>1</w:t>
      </w:r>
      <w:r>
        <w:rPr>
          <w:rFonts w:hint="eastAsia"/>
          <w:bCs/>
          <w:color w:val="auto"/>
          <w:sz w:val="24"/>
        </w:rPr>
        <w:t>日获得</w:t>
      </w:r>
      <w:r>
        <w:rPr>
          <w:rFonts w:hint="eastAsia"/>
          <w:bCs/>
          <w:color w:val="auto"/>
          <w:sz w:val="24"/>
          <w:lang w:val="en-US" w:eastAsia="zh-CN"/>
        </w:rPr>
        <w:t>原淮南市环境保护局对</w:t>
      </w:r>
      <w:r>
        <w:rPr>
          <w:rFonts w:hint="eastAsia"/>
          <w:bCs/>
          <w:color w:val="auto"/>
          <w:sz w:val="24"/>
        </w:rPr>
        <w:t>该项目审批意见（</w:t>
      </w:r>
      <w:r>
        <w:rPr>
          <w:color w:val="auto"/>
          <w:sz w:val="24"/>
          <w:szCs w:val="24"/>
        </w:rPr>
        <w:t>淮环</w:t>
      </w:r>
      <w:r>
        <w:rPr>
          <w:rFonts w:hint="eastAsia"/>
          <w:color w:val="auto"/>
          <w:sz w:val="24"/>
          <w:szCs w:val="24"/>
        </w:rPr>
        <w:t>表批</w:t>
      </w:r>
      <w:r>
        <w:rPr>
          <w:color w:val="auto"/>
          <w:sz w:val="24"/>
          <w:szCs w:val="24"/>
        </w:rPr>
        <w:t>〔2012〕120号文</w:t>
      </w:r>
      <w:r>
        <w:rPr>
          <w:rFonts w:hint="eastAsia"/>
          <w:bCs/>
          <w:color w:val="auto"/>
          <w:sz w:val="24"/>
        </w:rPr>
        <w:t>）</w:t>
      </w:r>
      <w:r>
        <w:rPr>
          <w:rFonts w:hint="eastAsia"/>
          <w:bCs/>
          <w:color w:val="auto"/>
          <w:sz w:val="24"/>
          <w:lang w:eastAsia="zh-CN"/>
        </w:rPr>
        <w:t>。</w:t>
      </w:r>
    </w:p>
    <w:p w14:paraId="6C24E33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eastAsia="宋体"/>
          <w:bCs/>
          <w:color w:val="auto"/>
          <w:sz w:val="24"/>
          <w:lang w:val="en-US" w:eastAsia="zh-CN"/>
        </w:rPr>
      </w:pPr>
      <w:r>
        <w:rPr>
          <w:rFonts w:hint="eastAsia"/>
          <w:bCs/>
          <w:color w:val="auto"/>
          <w:sz w:val="24"/>
        </w:rPr>
        <w:t>2013年12月，淮南市“三线四边”城乡环境综合整治工作指挥部发文（淮水治〔2013〕1号），整治淮南市淮河北大堤码头，因此</w:t>
      </w:r>
      <w:r>
        <w:rPr>
          <w:rFonts w:hint="eastAsia"/>
          <w:bCs/>
          <w:color w:val="auto"/>
          <w:sz w:val="24"/>
          <w:lang w:eastAsia="zh-CN"/>
        </w:rPr>
        <w:t>，潘集区</w:t>
      </w:r>
      <w:r>
        <w:rPr>
          <w:rFonts w:hint="eastAsia"/>
          <w:bCs/>
          <w:color w:val="auto"/>
          <w:sz w:val="24"/>
        </w:rPr>
        <w:t>政府于2014年在平圩镇召集会议安排，潘集区境内淮河岸边相关码头暂停建设和使用，在建的兴华园码头被迫停工</w:t>
      </w:r>
      <w:r>
        <w:rPr>
          <w:rFonts w:hint="eastAsia"/>
          <w:bCs/>
          <w:color w:val="auto"/>
          <w:sz w:val="24"/>
          <w:lang w:eastAsia="zh-CN"/>
        </w:rPr>
        <w:t>。</w:t>
      </w:r>
    </w:p>
    <w:p w14:paraId="4C9FE46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bCs/>
          <w:color w:val="auto"/>
          <w:sz w:val="24"/>
        </w:rPr>
      </w:pPr>
      <w:r>
        <w:rPr>
          <w:color w:val="auto"/>
          <w:sz w:val="24"/>
          <w:szCs w:val="24"/>
        </w:rPr>
        <w:t>2014年3月19日</w:t>
      </w:r>
      <w:r>
        <w:rPr>
          <w:rFonts w:hint="eastAsia"/>
          <w:color w:val="auto"/>
          <w:sz w:val="24"/>
          <w:szCs w:val="24"/>
          <w:lang w:eastAsia="zh-CN"/>
        </w:rPr>
        <w:t>，淮南市</w:t>
      </w:r>
      <w:r>
        <w:rPr>
          <w:color w:val="auto"/>
          <w:sz w:val="24"/>
          <w:szCs w:val="24"/>
        </w:rPr>
        <w:t>港航局以淮港航政函〔2014〕9号下发了《关于淮南市兴华园贸易发展有限公司兴华园码头工程开工备案的函》</w:t>
      </w:r>
      <w:r>
        <w:rPr>
          <w:rFonts w:hint="eastAsia"/>
          <w:bCs/>
          <w:color w:val="auto"/>
          <w:sz w:val="24"/>
        </w:rPr>
        <w:t>。</w:t>
      </w:r>
    </w:p>
    <w:p w14:paraId="00DB5CE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bCs/>
          <w:color w:val="auto"/>
          <w:sz w:val="24"/>
        </w:rPr>
      </w:pPr>
      <w:r>
        <w:rPr>
          <w:rFonts w:hint="eastAsia"/>
          <w:bCs/>
          <w:color w:val="auto"/>
          <w:sz w:val="24"/>
        </w:rPr>
        <w:t>2016年7月，安徽省淮河河道管理局以淮管水〔201</w:t>
      </w:r>
      <w:r>
        <w:rPr>
          <w:bCs/>
          <w:color w:val="auto"/>
          <w:sz w:val="24"/>
        </w:rPr>
        <w:t>6</w:t>
      </w:r>
      <w:r>
        <w:rPr>
          <w:rFonts w:hint="eastAsia"/>
          <w:bCs/>
          <w:color w:val="auto"/>
          <w:sz w:val="24"/>
        </w:rPr>
        <w:t>〕7</w:t>
      </w:r>
      <w:r>
        <w:rPr>
          <w:bCs/>
          <w:color w:val="auto"/>
          <w:sz w:val="24"/>
        </w:rPr>
        <w:t>5</w:t>
      </w:r>
      <w:r>
        <w:rPr>
          <w:rFonts w:hint="eastAsia"/>
          <w:bCs/>
          <w:color w:val="auto"/>
          <w:sz w:val="24"/>
        </w:rPr>
        <w:t>号下发了《关于潘集兴华园码头工程建设意见的函》</w:t>
      </w:r>
      <w:r>
        <w:rPr>
          <w:rFonts w:hint="eastAsia"/>
          <w:bCs/>
          <w:color w:val="auto"/>
          <w:sz w:val="24"/>
          <w:lang w:eastAsia="zh-CN"/>
        </w:rPr>
        <w:t>，明确</w:t>
      </w:r>
      <w:r>
        <w:rPr>
          <w:rFonts w:hint="eastAsia"/>
          <w:bCs/>
          <w:color w:val="auto"/>
          <w:sz w:val="24"/>
        </w:rPr>
        <w:t>兴华园码头项目所报送的施工方案和施工图册及相关资料符合建设要求，但文件指出“淮</w:t>
      </w:r>
      <w:r>
        <w:rPr>
          <w:rFonts w:hint="eastAsia"/>
          <w:bCs/>
          <w:color w:val="auto"/>
          <w:sz w:val="24"/>
          <w:lang w:val="en-US" w:eastAsia="zh-CN"/>
        </w:rPr>
        <w:t>河</w:t>
      </w:r>
      <w:r>
        <w:rPr>
          <w:rFonts w:hint="eastAsia"/>
          <w:bCs/>
          <w:color w:val="auto"/>
          <w:sz w:val="24"/>
        </w:rPr>
        <w:t>目前正处于主汛期，其岸线正在‘三线三边’环境整治和淮河治理期间，待环境整治到位后方可实施”。</w:t>
      </w:r>
    </w:p>
    <w:p w14:paraId="4195BD3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auto"/>
          <w:sz w:val="24"/>
          <w:szCs w:val="24"/>
        </w:rPr>
      </w:pPr>
      <w:r>
        <w:rPr>
          <w:rFonts w:hint="eastAsia"/>
          <w:color w:val="auto"/>
          <w:sz w:val="24"/>
          <w:szCs w:val="24"/>
        </w:rPr>
        <w:t>2</w:t>
      </w:r>
      <w:r>
        <w:rPr>
          <w:color w:val="auto"/>
          <w:sz w:val="24"/>
          <w:szCs w:val="24"/>
        </w:rPr>
        <w:t>021</w:t>
      </w:r>
      <w:r>
        <w:rPr>
          <w:rFonts w:hint="eastAsia"/>
          <w:color w:val="auto"/>
          <w:sz w:val="24"/>
          <w:szCs w:val="24"/>
        </w:rPr>
        <w:t>年9月2</w:t>
      </w:r>
      <w:r>
        <w:rPr>
          <w:color w:val="auto"/>
          <w:sz w:val="24"/>
          <w:szCs w:val="24"/>
        </w:rPr>
        <w:t>9</w:t>
      </w:r>
      <w:r>
        <w:rPr>
          <w:rFonts w:hint="eastAsia"/>
          <w:color w:val="auto"/>
          <w:sz w:val="24"/>
          <w:szCs w:val="24"/>
        </w:rPr>
        <w:t>日，淮南市兴华园贸易发展有限公司请求批准淮南市兴华园码头工程项目设计变更升级改造复工建设，同年1</w:t>
      </w:r>
      <w:r>
        <w:rPr>
          <w:color w:val="auto"/>
          <w:sz w:val="24"/>
          <w:szCs w:val="24"/>
        </w:rPr>
        <w:t>1</w:t>
      </w:r>
      <w:r>
        <w:rPr>
          <w:rFonts w:hint="eastAsia"/>
          <w:color w:val="auto"/>
          <w:sz w:val="24"/>
          <w:szCs w:val="24"/>
        </w:rPr>
        <w:t>月1</w:t>
      </w:r>
      <w:r>
        <w:rPr>
          <w:color w:val="auto"/>
          <w:sz w:val="24"/>
          <w:szCs w:val="24"/>
        </w:rPr>
        <w:t>1</w:t>
      </w:r>
      <w:r>
        <w:rPr>
          <w:rFonts w:hint="eastAsia"/>
          <w:color w:val="auto"/>
          <w:sz w:val="24"/>
          <w:szCs w:val="24"/>
        </w:rPr>
        <w:t>日淮南市地方海事局对该项目的复工建设提出要求。根据现行的环保部门要求</w:t>
      </w:r>
      <w:r>
        <w:rPr>
          <w:rFonts w:hint="eastAsia"/>
          <w:color w:val="auto"/>
          <w:sz w:val="24"/>
          <w:szCs w:val="24"/>
          <w:lang w:eastAsia="zh-CN"/>
        </w:rPr>
        <w:t>，结合淮河</w:t>
      </w:r>
      <w:r>
        <w:rPr>
          <w:rFonts w:hint="eastAsia"/>
          <w:color w:val="auto"/>
          <w:sz w:val="24"/>
          <w:szCs w:val="24"/>
        </w:rPr>
        <w:t>航道升级改造，需要按新的标准进行设计，同时取得交通、水利、环保等部门的批准。</w:t>
      </w:r>
      <w:r>
        <w:rPr>
          <w:color w:val="auto"/>
          <w:sz w:val="24"/>
          <w:szCs w:val="24"/>
        </w:rPr>
        <w:t>2022年7月20日</w:t>
      </w:r>
      <w:r>
        <w:rPr>
          <w:rFonts w:hint="eastAsia"/>
          <w:color w:val="auto"/>
          <w:sz w:val="24"/>
          <w:szCs w:val="24"/>
        </w:rPr>
        <w:t>，</w:t>
      </w:r>
      <w:r>
        <w:rPr>
          <w:rFonts w:hint="eastAsia"/>
          <w:color w:val="auto"/>
          <w:sz w:val="24"/>
          <w:szCs w:val="24"/>
          <w:lang w:eastAsia="zh-CN"/>
        </w:rPr>
        <w:t>淮南市交通运输局</w:t>
      </w:r>
      <w:r>
        <w:rPr>
          <w:color w:val="auto"/>
          <w:sz w:val="24"/>
          <w:szCs w:val="24"/>
        </w:rPr>
        <w:t>《关于淮南市兴华园码头工程复工建设的复函》同意项目进行设计变更。2023年7月17日</w:t>
      </w:r>
      <w:r>
        <w:rPr>
          <w:rFonts w:hint="eastAsia"/>
          <w:color w:val="auto"/>
          <w:sz w:val="24"/>
          <w:szCs w:val="24"/>
        </w:rPr>
        <w:t>，</w:t>
      </w:r>
      <w:r>
        <w:rPr>
          <w:rFonts w:hint="eastAsia"/>
          <w:color w:val="auto"/>
          <w:sz w:val="24"/>
          <w:szCs w:val="24"/>
          <w:lang w:eastAsia="zh-CN"/>
        </w:rPr>
        <w:t>淮南市交通运输局</w:t>
      </w:r>
      <w:r>
        <w:rPr>
          <w:color w:val="auto"/>
          <w:sz w:val="24"/>
          <w:szCs w:val="24"/>
        </w:rPr>
        <w:t>《关于兴华园码头建设规模意见的复函》中明</w:t>
      </w:r>
      <w:r>
        <w:rPr>
          <w:rFonts w:ascii="宋体" w:hAnsi="宋体"/>
          <w:color w:val="auto"/>
          <w:sz w:val="24"/>
          <w:szCs w:val="24"/>
        </w:rPr>
        <w:t>确“鉴于你公司所建码头</w:t>
      </w:r>
      <w:r>
        <w:rPr>
          <w:color w:val="auto"/>
          <w:sz w:val="24"/>
          <w:szCs w:val="24"/>
        </w:rPr>
        <w:t>是以往遗留问题，原</w:t>
      </w:r>
      <w:r>
        <w:rPr>
          <w:rFonts w:hint="eastAsia"/>
          <w:color w:val="auto"/>
          <w:sz w:val="24"/>
          <w:szCs w:val="24"/>
          <w:lang w:eastAsia="zh-CN"/>
        </w:rPr>
        <w:t>则上</w:t>
      </w:r>
      <w:r>
        <w:rPr>
          <w:color w:val="auto"/>
          <w:sz w:val="24"/>
          <w:szCs w:val="24"/>
        </w:rPr>
        <w:t>可以按1000吨级兼2000吨级等级建设，但考虑到未来港口运营和航运发展，建议你公司按2000吨级建</w:t>
      </w:r>
      <w:r>
        <w:rPr>
          <w:rFonts w:ascii="宋体" w:hAnsi="宋体"/>
          <w:color w:val="auto"/>
          <w:sz w:val="24"/>
          <w:szCs w:val="24"/>
        </w:rPr>
        <w:t>设”</w:t>
      </w:r>
      <w:r>
        <w:rPr>
          <w:color w:val="auto"/>
          <w:sz w:val="24"/>
          <w:szCs w:val="24"/>
        </w:rPr>
        <w:t>。</w:t>
      </w:r>
    </w:p>
    <w:p w14:paraId="45A4A2D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sz w:val="24"/>
          <w:szCs w:val="24"/>
          <w:lang w:eastAsia="zh-CN"/>
        </w:rPr>
      </w:pPr>
      <w:r>
        <w:rPr>
          <w:rFonts w:hint="eastAsia"/>
          <w:color w:val="auto"/>
          <w:sz w:val="24"/>
          <w:szCs w:val="24"/>
          <w:lang w:val="en-US" w:eastAsia="zh-CN"/>
        </w:rPr>
        <w:t>对照《建设项目环境保护管理条例》，</w:t>
      </w:r>
      <w:r>
        <w:rPr>
          <w:rFonts w:hint="eastAsia"/>
          <w:color w:val="auto"/>
          <w:sz w:val="24"/>
          <w:szCs w:val="24"/>
          <w:lang w:eastAsia="zh-CN"/>
        </w:rPr>
        <w:t>“第十二条：建设项目环境影响报告书、环境影响报告表经批准后，建设项目的性质、规模、地点、采用的生产工艺或者防治污染、防止生态破坏的措施发生重大变动的，建设单位应当重新报批建设项目环境影响报告书、环境影响报告表。</w:t>
      </w:r>
    </w:p>
    <w:p w14:paraId="0FAEF2D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color w:val="auto"/>
          <w:sz w:val="24"/>
          <w:szCs w:val="24"/>
          <w:lang w:eastAsia="zh-CN"/>
        </w:rPr>
      </w:pPr>
      <w:r>
        <w:rPr>
          <w:rFonts w:hint="eastAsia"/>
          <w:color w:val="auto"/>
          <w:sz w:val="24"/>
          <w:szCs w:val="24"/>
          <w:lang w:eastAsia="zh-CN"/>
        </w:rPr>
        <w:t>建设项目环境影响报告书、</w:t>
      </w:r>
      <w:r>
        <w:rPr>
          <w:rFonts w:hint="eastAsia"/>
          <w:b/>
          <w:bCs/>
          <w:color w:val="auto"/>
          <w:sz w:val="24"/>
          <w:szCs w:val="24"/>
          <w:lang w:eastAsia="zh-CN"/>
        </w:rPr>
        <w:t>环境影响报告表自批准之日起满5年，建设项目方开工建设的，其环境影响报告书、环境影响报告表应当报原审批部门重新审核</w:t>
      </w:r>
      <w:r>
        <w:rPr>
          <w:rFonts w:hint="eastAsia"/>
          <w:color w:val="auto"/>
          <w:sz w:val="24"/>
          <w:szCs w:val="24"/>
          <w:lang w:eastAsia="zh-CN"/>
        </w:rPr>
        <w:t>。原审批部门应当自收到建设项目环境影响报告书、环境影响报告表之日起10日内，将审核意见书面通知建设单位；逾期未通知的，视为审核同意”</w:t>
      </w:r>
    </w:p>
    <w:p w14:paraId="26E1A3C5">
      <w:pPr>
        <w:keepNext w:val="0"/>
        <w:keepLines w:val="0"/>
        <w:pageBreakBefore w:val="0"/>
        <w:widowControl w:val="0"/>
        <w:tabs>
          <w:tab w:val="left" w:pos="1079"/>
        </w:tabs>
        <w:kinsoku/>
        <w:wordWrap/>
        <w:overflowPunct/>
        <w:topLinePunct w:val="0"/>
        <w:autoSpaceDE/>
        <w:autoSpaceDN/>
        <w:bidi w:val="0"/>
        <w:adjustRightInd w:val="0"/>
        <w:snapToGrid w:val="0"/>
        <w:spacing w:line="360" w:lineRule="auto"/>
        <w:ind w:left="0" w:firstLine="480" w:firstLineChars="200"/>
        <w:jc w:val="left"/>
        <w:textAlignment w:val="auto"/>
        <w:outlineLvl w:val="9"/>
        <w:rPr>
          <w:rFonts w:hint="eastAsia" w:ascii="Times New Roman" w:hAnsi="Times New Roman" w:eastAsia="宋体" w:cs="Times New Roman"/>
          <w:b w:val="0"/>
          <w:bCs w:val="0"/>
          <w:color w:val="auto"/>
          <w:sz w:val="24"/>
          <w:szCs w:val="24"/>
          <w:highlight w:val="none"/>
          <w:lang w:val="en-US" w:eastAsia="zh-CN" w:bidi="ar-SA"/>
        </w:rPr>
      </w:pPr>
      <w:r>
        <w:rPr>
          <w:rFonts w:ascii="Times New Roman" w:hAnsi="Times New Roman" w:eastAsia="宋体" w:cs="Times New Roman"/>
          <w:color w:val="auto"/>
          <w:sz w:val="24"/>
          <w:szCs w:val="24"/>
          <w:lang w:val="en-US" w:eastAsia="zh-CN" w:bidi="ar-SA"/>
        </w:rPr>
        <w:t>根据</w:t>
      </w:r>
      <w:r>
        <w:rPr>
          <w:rFonts w:hint="eastAsia" w:cs="Times New Roman"/>
          <w:color w:val="auto"/>
          <w:sz w:val="24"/>
          <w:szCs w:val="24"/>
          <w:lang w:val="en-US" w:eastAsia="zh-CN" w:bidi="ar-SA"/>
        </w:rPr>
        <w:t>原环保部办公厅</w:t>
      </w:r>
      <w:r>
        <w:rPr>
          <w:rFonts w:ascii="Times New Roman" w:hAnsi="Times New Roman" w:eastAsia="宋体" w:cs="Times New Roman"/>
          <w:color w:val="auto"/>
          <w:sz w:val="24"/>
          <w:szCs w:val="24"/>
          <w:lang w:val="en-US" w:eastAsia="zh-CN" w:bidi="ar-SA"/>
        </w:rPr>
        <w:t>20</w:t>
      </w:r>
      <w:r>
        <w:rPr>
          <w:rFonts w:hint="eastAsia" w:cs="Times New Roman"/>
          <w:color w:val="auto"/>
          <w:sz w:val="24"/>
          <w:szCs w:val="24"/>
          <w:lang w:val="en-US" w:eastAsia="zh-CN" w:bidi="ar-SA"/>
        </w:rPr>
        <w:t>15</w:t>
      </w:r>
      <w:r>
        <w:rPr>
          <w:rFonts w:ascii="Times New Roman" w:hAnsi="Times New Roman" w:eastAsia="宋体" w:cs="Times New Roman"/>
          <w:color w:val="auto"/>
          <w:sz w:val="24"/>
          <w:szCs w:val="24"/>
          <w:lang w:val="en-US" w:eastAsia="zh-CN" w:bidi="ar-SA"/>
        </w:rPr>
        <w:t>年</w:t>
      </w:r>
      <w:r>
        <w:rPr>
          <w:rFonts w:hint="eastAsia" w:cs="Times New Roman"/>
          <w:color w:val="auto"/>
          <w:sz w:val="24"/>
          <w:szCs w:val="24"/>
          <w:lang w:val="en-US" w:eastAsia="zh-CN" w:bidi="ar-SA"/>
        </w:rPr>
        <w:t>6</w:t>
      </w:r>
      <w:r>
        <w:rPr>
          <w:rFonts w:ascii="Times New Roman" w:hAnsi="Times New Roman" w:eastAsia="宋体" w:cs="Times New Roman"/>
          <w:color w:val="auto"/>
          <w:sz w:val="24"/>
          <w:szCs w:val="24"/>
          <w:lang w:val="en-US" w:eastAsia="zh-CN" w:bidi="ar-SA"/>
        </w:rPr>
        <w:t>月</w:t>
      </w:r>
      <w:r>
        <w:rPr>
          <w:rFonts w:hint="eastAsia" w:cs="Times New Roman"/>
          <w:color w:val="auto"/>
          <w:sz w:val="24"/>
          <w:szCs w:val="24"/>
          <w:lang w:val="en-US" w:eastAsia="zh-CN" w:bidi="ar-SA"/>
        </w:rPr>
        <w:t>4</w:t>
      </w:r>
      <w:r>
        <w:rPr>
          <w:rFonts w:ascii="Times New Roman" w:hAnsi="Times New Roman" w:eastAsia="宋体" w:cs="Times New Roman"/>
          <w:color w:val="auto"/>
          <w:sz w:val="24"/>
          <w:szCs w:val="24"/>
          <w:lang w:val="en-US" w:eastAsia="zh-CN" w:bidi="ar-SA"/>
        </w:rPr>
        <w:t>日发</w:t>
      </w:r>
      <w:r>
        <w:rPr>
          <w:rFonts w:ascii="Times New Roman" w:hAnsi="Times New Roman" w:eastAsia="宋体" w:cs="Times New Roman"/>
          <w:color w:val="auto"/>
          <w:spacing w:val="-1"/>
          <w:sz w:val="24"/>
          <w:szCs w:val="24"/>
          <w:lang w:val="en-US" w:eastAsia="zh-CN" w:bidi="ar-SA"/>
        </w:rPr>
        <w:t>布的</w:t>
      </w:r>
      <w:r>
        <w:rPr>
          <w:rFonts w:hint="eastAsia" w:ascii="Times New Roman" w:hAnsi="Times New Roman" w:eastAsia="宋体" w:cs="Times New Roman"/>
          <w:b w:val="0"/>
          <w:bCs w:val="0"/>
          <w:color w:val="auto"/>
          <w:sz w:val="24"/>
          <w:szCs w:val="24"/>
          <w:highlight w:val="none"/>
          <w:lang w:val="en-US" w:eastAsia="zh-CN" w:bidi="ar-SA"/>
        </w:rPr>
        <w:t>《</w:t>
      </w:r>
      <w:r>
        <w:rPr>
          <w:rFonts w:hint="eastAsia" w:cs="Times New Roman"/>
          <w:b w:val="0"/>
          <w:bCs w:val="0"/>
          <w:color w:val="auto"/>
          <w:sz w:val="24"/>
          <w:szCs w:val="24"/>
          <w:highlight w:val="none"/>
          <w:lang w:val="en-US" w:eastAsia="zh-CN" w:bidi="ar-SA"/>
        </w:rPr>
        <w:t>关于印发环评管理中部分行业建设项目重大变动清单的通知</w:t>
      </w:r>
      <w:r>
        <w:rPr>
          <w:rFonts w:hint="eastAsia" w:ascii="Times New Roman" w:hAnsi="Times New Roman" w:eastAsia="宋体" w:cs="Times New Roman"/>
          <w:b w:val="0"/>
          <w:bCs w:val="0"/>
          <w:color w:val="auto"/>
          <w:sz w:val="24"/>
          <w:szCs w:val="24"/>
          <w:highlight w:val="none"/>
          <w:lang w:val="en-US" w:eastAsia="zh-CN" w:bidi="ar-SA"/>
        </w:rPr>
        <w:t>》（环办〔20</w:t>
      </w:r>
      <w:r>
        <w:rPr>
          <w:rFonts w:hint="eastAsia" w:cs="Times New Roman"/>
          <w:b w:val="0"/>
          <w:bCs w:val="0"/>
          <w:color w:val="auto"/>
          <w:sz w:val="24"/>
          <w:szCs w:val="24"/>
          <w:highlight w:val="none"/>
          <w:lang w:val="en-US" w:eastAsia="zh-CN" w:bidi="ar-SA"/>
        </w:rPr>
        <w:t>15</w:t>
      </w:r>
      <w:r>
        <w:rPr>
          <w:rFonts w:hint="eastAsia" w:ascii="Times New Roman" w:hAnsi="Times New Roman" w:eastAsia="宋体" w:cs="Times New Roman"/>
          <w:b w:val="0"/>
          <w:bCs w:val="0"/>
          <w:color w:val="auto"/>
          <w:sz w:val="24"/>
          <w:szCs w:val="24"/>
          <w:highlight w:val="none"/>
          <w:lang w:val="en-US" w:eastAsia="zh-CN" w:bidi="ar-SA"/>
        </w:rPr>
        <w:t>〕</w:t>
      </w:r>
      <w:r>
        <w:rPr>
          <w:rFonts w:hint="eastAsia" w:cs="Times New Roman"/>
          <w:b w:val="0"/>
          <w:bCs w:val="0"/>
          <w:color w:val="auto"/>
          <w:sz w:val="24"/>
          <w:szCs w:val="24"/>
          <w:highlight w:val="none"/>
          <w:lang w:val="en-US" w:eastAsia="zh-CN" w:bidi="ar-SA"/>
        </w:rPr>
        <w:t>52</w:t>
      </w:r>
      <w:r>
        <w:rPr>
          <w:rFonts w:hint="eastAsia" w:ascii="Times New Roman" w:hAnsi="Times New Roman" w:eastAsia="宋体" w:cs="Times New Roman"/>
          <w:b w:val="0"/>
          <w:bCs w:val="0"/>
          <w:color w:val="auto"/>
          <w:sz w:val="24"/>
          <w:szCs w:val="24"/>
          <w:highlight w:val="none"/>
          <w:lang w:val="en-US" w:eastAsia="zh-CN" w:bidi="ar-SA"/>
        </w:rPr>
        <w:t>号）</w:t>
      </w:r>
      <w:r>
        <w:rPr>
          <w:rFonts w:ascii="Times New Roman" w:hAnsi="Times New Roman" w:eastAsia="宋体" w:cs="Times New Roman"/>
          <w:color w:val="auto"/>
          <w:spacing w:val="-1"/>
          <w:sz w:val="24"/>
          <w:szCs w:val="24"/>
          <w:lang w:val="en-US" w:eastAsia="zh-CN" w:bidi="ar-SA"/>
        </w:rPr>
        <w:t>中</w:t>
      </w:r>
      <w:r>
        <w:rPr>
          <w:rFonts w:hint="eastAsia" w:cs="Times New Roman"/>
          <w:color w:val="auto"/>
          <w:spacing w:val="-1"/>
          <w:sz w:val="24"/>
          <w:szCs w:val="24"/>
          <w:lang w:val="en-US" w:eastAsia="zh-CN" w:bidi="ar-SA"/>
        </w:rPr>
        <w:t>“港口建设项目重大变动清单（试行）”</w:t>
      </w:r>
      <w:r>
        <w:rPr>
          <w:rFonts w:hint="eastAsia" w:ascii="Times New Roman" w:hAnsi="Times New Roman" w:eastAsia="宋体" w:cs="Times New Roman"/>
          <w:b w:val="0"/>
          <w:bCs w:val="0"/>
          <w:color w:val="auto"/>
          <w:sz w:val="24"/>
          <w:szCs w:val="24"/>
          <w:highlight w:val="none"/>
          <w:lang w:val="en-US" w:eastAsia="zh-CN" w:bidi="ar-SA"/>
        </w:rPr>
        <w:t>，建设项目的</w:t>
      </w:r>
      <w:r>
        <w:rPr>
          <w:rFonts w:hint="eastAsia" w:cs="Times New Roman"/>
          <w:b w:val="0"/>
          <w:bCs w:val="0"/>
          <w:color w:val="auto"/>
          <w:sz w:val="24"/>
          <w:szCs w:val="24"/>
          <w:highlight w:val="none"/>
          <w:lang w:val="en-US" w:eastAsia="zh-CN" w:bidi="ar-SA"/>
        </w:rPr>
        <w:t>规模</w:t>
      </w:r>
      <w:r>
        <w:rPr>
          <w:rFonts w:hint="eastAsia" w:ascii="Times New Roman" w:hAnsi="Times New Roman" w:eastAsia="宋体" w:cs="Times New Roman"/>
          <w:b w:val="0"/>
          <w:bCs w:val="0"/>
          <w:color w:val="auto"/>
          <w:sz w:val="24"/>
          <w:szCs w:val="24"/>
          <w:highlight w:val="none"/>
          <w:lang w:val="en-US" w:eastAsia="zh-CN" w:bidi="ar-SA"/>
        </w:rPr>
        <w:t>（</w:t>
      </w:r>
      <w:r>
        <w:rPr>
          <w:rFonts w:hint="eastAsia" w:cs="Times New Roman"/>
          <w:b w:val="0"/>
          <w:bCs w:val="0"/>
          <w:color w:val="auto"/>
          <w:sz w:val="24"/>
          <w:szCs w:val="24"/>
          <w:highlight w:val="none"/>
          <w:lang w:val="en-US" w:eastAsia="zh-CN" w:bidi="ar-SA"/>
        </w:rPr>
        <w:t>泊位等级由500吨增加至1000吨</w:t>
      </w:r>
      <w:r>
        <w:rPr>
          <w:rFonts w:hint="eastAsia" w:ascii="Times New Roman" w:hAnsi="Times New Roman" w:eastAsia="宋体" w:cs="Times New Roman"/>
          <w:b w:val="0"/>
          <w:bCs w:val="0"/>
          <w:color w:val="auto"/>
          <w:sz w:val="24"/>
          <w:szCs w:val="24"/>
          <w:highlight w:val="none"/>
          <w:lang w:val="en-US" w:eastAsia="zh-CN" w:bidi="ar-SA"/>
        </w:rPr>
        <w:t>）</w:t>
      </w:r>
      <w:r>
        <w:rPr>
          <w:rFonts w:hint="eastAsia" w:cs="Times New Roman"/>
          <w:b w:val="0"/>
          <w:bCs w:val="0"/>
          <w:color w:val="auto"/>
          <w:sz w:val="24"/>
          <w:szCs w:val="24"/>
          <w:highlight w:val="none"/>
          <w:lang w:val="en-US" w:eastAsia="zh-CN" w:bidi="ar-SA"/>
        </w:rPr>
        <w:t>、周边敏感点情况（新划定了淮河淮南段长吻鮠国家级水产种质资源保护区）发</w:t>
      </w:r>
      <w:r>
        <w:rPr>
          <w:rFonts w:hint="eastAsia" w:ascii="Times New Roman" w:hAnsi="Times New Roman" w:eastAsia="宋体" w:cs="Times New Roman"/>
          <w:b w:val="0"/>
          <w:bCs w:val="0"/>
          <w:color w:val="auto"/>
          <w:sz w:val="24"/>
          <w:szCs w:val="24"/>
          <w:highlight w:val="none"/>
          <w:lang w:val="en-US" w:eastAsia="zh-CN" w:bidi="ar-SA"/>
        </w:rPr>
        <w:t>生重大变动，因此，</w:t>
      </w:r>
      <w:r>
        <w:rPr>
          <w:rFonts w:hint="eastAsia" w:ascii="Times New Roman" w:hAnsi="Times New Roman" w:eastAsia="宋体" w:cs="Times New Roman"/>
          <w:b/>
          <w:bCs/>
          <w:color w:val="auto"/>
          <w:sz w:val="24"/>
          <w:szCs w:val="24"/>
          <w:highlight w:val="none"/>
          <w:lang w:val="en-US" w:eastAsia="zh-CN" w:bidi="ar-SA"/>
        </w:rPr>
        <w:t>界定该建设项目的相关变动情况属于重大变动范畴</w:t>
      </w:r>
      <w:r>
        <w:rPr>
          <w:rFonts w:hint="eastAsia" w:ascii="Times New Roman" w:hAnsi="Times New Roman" w:eastAsia="宋体" w:cs="Times New Roman"/>
          <w:b w:val="0"/>
          <w:bCs w:val="0"/>
          <w:color w:val="auto"/>
          <w:sz w:val="24"/>
          <w:szCs w:val="24"/>
          <w:highlight w:val="none"/>
          <w:lang w:val="en-US" w:eastAsia="zh-CN" w:bidi="ar-SA"/>
        </w:rPr>
        <w:t>。</w:t>
      </w:r>
    </w:p>
    <w:p w14:paraId="6664F87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auto"/>
          <w:sz w:val="24"/>
          <w:szCs w:val="24"/>
        </w:rPr>
      </w:pPr>
      <w:r>
        <w:rPr>
          <w:bCs/>
          <w:color w:val="auto"/>
          <w:sz w:val="24"/>
        </w:rPr>
        <w:t>根据《建设项目环境影响评价分类管理名录》</w:t>
      </w:r>
      <w:r>
        <w:rPr>
          <w:rFonts w:hint="eastAsia"/>
          <w:bCs/>
          <w:color w:val="auto"/>
          <w:sz w:val="24"/>
        </w:rPr>
        <w:t>（</w:t>
      </w:r>
      <w:r>
        <w:rPr>
          <w:color w:val="auto"/>
          <w:sz w:val="24"/>
          <w:szCs w:val="24"/>
        </w:rPr>
        <w:t>2021</w:t>
      </w:r>
      <w:r>
        <w:rPr>
          <w:rFonts w:ascii="宋体" w:hAnsi="宋体"/>
          <w:color w:val="auto"/>
          <w:sz w:val="24"/>
          <w:szCs w:val="24"/>
        </w:rPr>
        <w:t>版</w:t>
      </w:r>
      <w:r>
        <w:rPr>
          <w:rFonts w:hint="eastAsia"/>
          <w:bCs/>
          <w:color w:val="auto"/>
          <w:sz w:val="24"/>
        </w:rPr>
        <w:t>）</w:t>
      </w:r>
      <w:r>
        <w:rPr>
          <w:bCs/>
          <w:color w:val="auto"/>
          <w:sz w:val="24"/>
        </w:rPr>
        <w:t>可知，本项目属于</w:t>
      </w:r>
      <w:r>
        <w:rPr>
          <w:rFonts w:hint="eastAsia"/>
          <w:bCs/>
          <w:color w:val="auto"/>
          <w:sz w:val="24"/>
        </w:rPr>
        <w:t>“五十二</w:t>
      </w:r>
      <w:r>
        <w:rPr>
          <w:bCs/>
          <w:color w:val="auto"/>
          <w:sz w:val="24"/>
        </w:rPr>
        <w:t>、交通运输业、管道运输业</w:t>
      </w:r>
      <w:r>
        <w:rPr>
          <w:rFonts w:hint="eastAsia"/>
          <w:bCs/>
          <w:color w:val="auto"/>
          <w:sz w:val="24"/>
        </w:rPr>
        <w:t>—139干散货（含煤炭、矿石）、件杂、多用途、通用码头”</w:t>
      </w:r>
      <w:r>
        <w:rPr>
          <w:bCs/>
          <w:color w:val="auto"/>
          <w:sz w:val="24"/>
        </w:rPr>
        <w:t>中的</w:t>
      </w:r>
      <w:r>
        <w:rPr>
          <w:rFonts w:hint="eastAsia"/>
          <w:bCs/>
          <w:color w:val="auto"/>
          <w:sz w:val="24"/>
        </w:rPr>
        <w:t>“单个泊位1000吨级及以上的内河港口”</w:t>
      </w:r>
      <w:r>
        <w:rPr>
          <w:bCs/>
          <w:color w:val="auto"/>
          <w:sz w:val="24"/>
        </w:rPr>
        <w:t>，应编制建设项目环境影响报告书。</w:t>
      </w:r>
      <w:r>
        <w:rPr>
          <w:rFonts w:hint="eastAsia" w:ascii="宋体" w:hAnsi="宋体"/>
          <w:color w:val="auto"/>
          <w:sz w:val="24"/>
          <w:szCs w:val="24"/>
        </w:rPr>
        <w:t>根据《</w:t>
      </w:r>
      <w:r>
        <w:rPr>
          <w:rFonts w:ascii="宋体" w:hAnsi="宋体"/>
          <w:color w:val="auto"/>
          <w:sz w:val="24"/>
          <w:szCs w:val="24"/>
        </w:rPr>
        <w:t>固定污染源排污许可分类管理名录（</w:t>
      </w:r>
      <w:r>
        <w:rPr>
          <w:color w:val="auto"/>
          <w:sz w:val="24"/>
          <w:szCs w:val="24"/>
        </w:rPr>
        <w:t>2019</w:t>
      </w:r>
      <w:r>
        <w:rPr>
          <w:rFonts w:ascii="宋体" w:hAnsi="宋体"/>
          <w:color w:val="auto"/>
          <w:sz w:val="24"/>
          <w:szCs w:val="24"/>
        </w:rPr>
        <w:t>年版）》本项目属</w:t>
      </w:r>
      <w:r>
        <w:rPr>
          <w:rFonts w:hint="eastAsia" w:ascii="宋体" w:hAnsi="宋体"/>
          <w:color w:val="auto"/>
          <w:sz w:val="24"/>
          <w:szCs w:val="24"/>
        </w:rPr>
        <w:t>于“四十三、水上运输辅助活动</w:t>
      </w:r>
      <w:r>
        <w:rPr>
          <w:color w:val="auto"/>
          <w:sz w:val="24"/>
          <w:szCs w:val="24"/>
        </w:rPr>
        <w:t>55</w:t>
      </w:r>
      <w:r>
        <w:rPr>
          <w:rFonts w:hint="eastAsia" w:ascii="宋体" w:hAnsi="宋体"/>
          <w:color w:val="auto"/>
          <w:sz w:val="24"/>
          <w:szCs w:val="24"/>
        </w:rPr>
        <w:t>”中“</w:t>
      </w:r>
      <w:r>
        <w:rPr>
          <w:color w:val="auto"/>
          <w:sz w:val="24"/>
          <w:szCs w:val="24"/>
        </w:rPr>
        <w:t>101.</w:t>
      </w:r>
      <w:r>
        <w:rPr>
          <w:rFonts w:hint="eastAsia" w:ascii="宋体" w:hAnsi="宋体"/>
          <w:color w:val="auto"/>
          <w:sz w:val="24"/>
          <w:szCs w:val="24"/>
        </w:rPr>
        <w:t>水上运输辅助活动</w:t>
      </w:r>
      <w:r>
        <w:rPr>
          <w:color w:val="auto"/>
          <w:sz w:val="24"/>
          <w:szCs w:val="24"/>
        </w:rPr>
        <w:t xml:space="preserve"> 553</w:t>
      </w:r>
      <w:r>
        <w:rPr>
          <w:rFonts w:hint="eastAsia" w:ascii="宋体" w:hAnsi="宋体"/>
          <w:color w:val="auto"/>
          <w:sz w:val="24"/>
          <w:szCs w:val="24"/>
        </w:rPr>
        <w:t>”中“单个泊位1</w:t>
      </w:r>
      <w:r>
        <w:rPr>
          <w:rFonts w:ascii="宋体" w:hAnsi="宋体"/>
          <w:color w:val="auto"/>
          <w:sz w:val="24"/>
          <w:szCs w:val="24"/>
        </w:rPr>
        <w:t>000</w:t>
      </w:r>
      <w:r>
        <w:rPr>
          <w:rFonts w:hint="eastAsia" w:ascii="宋体" w:hAnsi="宋体"/>
          <w:color w:val="auto"/>
          <w:sz w:val="24"/>
          <w:szCs w:val="24"/>
        </w:rPr>
        <w:t>吨级及以上的内河通用散货码头”，</w:t>
      </w:r>
      <w:r>
        <w:rPr>
          <w:rFonts w:ascii="宋体" w:hAnsi="宋体"/>
          <w:color w:val="auto"/>
          <w:sz w:val="24"/>
          <w:szCs w:val="24"/>
        </w:rPr>
        <w:t>为</w:t>
      </w:r>
      <w:r>
        <w:rPr>
          <w:rFonts w:hint="eastAsia" w:ascii="宋体" w:hAnsi="宋体"/>
          <w:color w:val="auto"/>
          <w:sz w:val="24"/>
          <w:szCs w:val="24"/>
        </w:rPr>
        <w:t>简化</w:t>
      </w:r>
      <w:r>
        <w:rPr>
          <w:rFonts w:ascii="宋体" w:hAnsi="宋体"/>
          <w:color w:val="auto"/>
          <w:sz w:val="24"/>
          <w:szCs w:val="24"/>
        </w:rPr>
        <w:t>管理的行业。</w:t>
      </w:r>
    </w:p>
    <w:p w14:paraId="1885521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auto"/>
          <w:sz w:val="24"/>
          <w:szCs w:val="24"/>
        </w:rPr>
      </w:pPr>
      <w:r>
        <w:rPr>
          <w:rFonts w:hint="eastAsia"/>
          <w:bCs/>
          <w:color w:val="auto"/>
          <w:sz w:val="24"/>
        </w:rPr>
        <w:t>淮南市兴华园贸易发展有限公司</w:t>
      </w:r>
      <w:r>
        <w:rPr>
          <w:bCs/>
          <w:color w:val="auto"/>
          <w:sz w:val="24"/>
        </w:rPr>
        <w:t>于202</w:t>
      </w:r>
      <w:r>
        <w:rPr>
          <w:rFonts w:hint="eastAsia"/>
          <w:bCs/>
          <w:color w:val="auto"/>
          <w:sz w:val="24"/>
        </w:rPr>
        <w:t>3</w:t>
      </w:r>
      <w:r>
        <w:rPr>
          <w:bCs/>
          <w:color w:val="auto"/>
          <w:sz w:val="24"/>
        </w:rPr>
        <w:t>年</w:t>
      </w:r>
      <w:r>
        <w:rPr>
          <w:rFonts w:hint="eastAsia"/>
          <w:bCs/>
          <w:color w:val="auto"/>
          <w:sz w:val="24"/>
        </w:rPr>
        <w:t>9</w:t>
      </w:r>
      <w:r>
        <w:rPr>
          <w:bCs/>
          <w:color w:val="auto"/>
          <w:sz w:val="24"/>
        </w:rPr>
        <w:t>月1</w:t>
      </w:r>
      <w:r>
        <w:rPr>
          <w:rFonts w:hint="eastAsia"/>
          <w:bCs/>
          <w:color w:val="auto"/>
          <w:sz w:val="24"/>
        </w:rPr>
        <w:t>1</w:t>
      </w:r>
      <w:r>
        <w:rPr>
          <w:bCs/>
          <w:color w:val="auto"/>
          <w:sz w:val="24"/>
        </w:rPr>
        <w:t>日委托安徽睿晟环境科技有限公司</w:t>
      </w:r>
      <w:r>
        <w:rPr>
          <w:rFonts w:ascii="宋体" w:hAnsi="宋体"/>
          <w:color w:val="auto"/>
          <w:sz w:val="24"/>
          <w:szCs w:val="24"/>
        </w:rPr>
        <w:t>承担</w:t>
      </w:r>
      <w:r>
        <w:rPr>
          <w:rFonts w:hint="eastAsia" w:ascii="宋体" w:hAnsi="宋体"/>
          <w:color w:val="auto"/>
          <w:sz w:val="24"/>
          <w:szCs w:val="24"/>
        </w:rPr>
        <w:t>“</w:t>
      </w:r>
      <w:r>
        <w:rPr>
          <w:rFonts w:hint="eastAsia"/>
          <w:bCs/>
          <w:color w:val="auto"/>
          <w:sz w:val="24"/>
        </w:rPr>
        <w:t>淮南市兴华园码头复工建设项目</w:t>
      </w:r>
      <w:r>
        <w:rPr>
          <w:rFonts w:hint="eastAsia" w:ascii="宋体" w:hAnsi="宋体"/>
          <w:color w:val="auto"/>
          <w:sz w:val="24"/>
          <w:szCs w:val="24"/>
        </w:rPr>
        <w:t>”的</w:t>
      </w:r>
      <w:r>
        <w:rPr>
          <w:rFonts w:ascii="宋体" w:hAnsi="宋体"/>
          <w:color w:val="auto"/>
          <w:sz w:val="24"/>
          <w:szCs w:val="24"/>
        </w:rPr>
        <w:t>环评工作。接受委托后</w:t>
      </w:r>
      <w:r>
        <w:rPr>
          <w:rFonts w:hint="eastAsia" w:ascii="宋体" w:hAnsi="宋体"/>
          <w:color w:val="auto"/>
          <w:sz w:val="24"/>
          <w:szCs w:val="24"/>
          <w:lang w:eastAsia="zh-CN"/>
        </w:rPr>
        <w:t>，安徽</w:t>
      </w:r>
      <w:r>
        <w:rPr>
          <w:rFonts w:ascii="宋体" w:hAnsi="宋体"/>
          <w:color w:val="auto"/>
          <w:sz w:val="24"/>
          <w:szCs w:val="24"/>
        </w:rPr>
        <w:t>睿晟环境科技有限公司对项目拟建地进行了现场踏勘、调查，收集了</w:t>
      </w:r>
      <w:r>
        <w:rPr>
          <w:rFonts w:hint="eastAsia" w:ascii="宋体" w:hAnsi="宋体"/>
          <w:color w:val="auto"/>
          <w:sz w:val="24"/>
          <w:szCs w:val="24"/>
          <w:lang w:eastAsia="zh-CN"/>
        </w:rPr>
        <w:t>与该项目有关的</w:t>
      </w:r>
      <w:r>
        <w:rPr>
          <w:rFonts w:ascii="宋体" w:hAnsi="宋体"/>
          <w:color w:val="auto"/>
          <w:sz w:val="24"/>
          <w:szCs w:val="24"/>
        </w:rPr>
        <w:t>资料，了解项目拟建地周边环境现状及环境问题，预测项目建设的环境影响程度，从环境影响的角度对项目建设所带来的环境问题及环境可行性进行科学论证。在此基础上</w:t>
      </w:r>
      <w:r>
        <w:rPr>
          <w:rFonts w:hint="eastAsia" w:ascii="宋体" w:hAnsi="宋体"/>
          <w:color w:val="auto"/>
          <w:sz w:val="24"/>
          <w:szCs w:val="24"/>
          <w:lang w:eastAsia="zh-CN"/>
        </w:rPr>
        <w:t>，根据</w:t>
      </w:r>
      <w:r>
        <w:rPr>
          <w:rFonts w:ascii="宋体" w:hAnsi="宋体"/>
          <w:color w:val="auto"/>
          <w:sz w:val="24"/>
          <w:szCs w:val="24"/>
        </w:rPr>
        <w:t>国家环保法律、法规、标准和规范等，编制了</w:t>
      </w:r>
      <w:r>
        <w:rPr>
          <w:bCs/>
          <w:color w:val="auto"/>
          <w:sz w:val="24"/>
        </w:rPr>
        <w:t>《</w:t>
      </w:r>
      <w:r>
        <w:rPr>
          <w:rFonts w:hint="eastAsia"/>
          <w:bCs/>
          <w:color w:val="auto"/>
          <w:sz w:val="24"/>
        </w:rPr>
        <w:t>淮南市兴华园贸易发展有限公司淮南市兴华园码头复工建设项目</w:t>
      </w:r>
      <w:r>
        <w:rPr>
          <w:rFonts w:hint="eastAsia"/>
          <w:bCs/>
          <w:color w:val="auto"/>
          <w:sz w:val="24"/>
          <w:lang w:val="en-US" w:eastAsia="zh-CN"/>
        </w:rPr>
        <w:t>生态</w:t>
      </w:r>
      <w:r>
        <w:rPr>
          <w:bCs/>
          <w:color w:val="auto"/>
          <w:sz w:val="24"/>
        </w:rPr>
        <w:t>环境影响报告书》，呈报</w:t>
      </w:r>
      <w:r>
        <w:rPr>
          <w:rFonts w:hint="eastAsia"/>
          <w:bCs/>
          <w:color w:val="auto"/>
          <w:sz w:val="24"/>
        </w:rPr>
        <w:t>生态</w:t>
      </w:r>
      <w:r>
        <w:rPr>
          <w:bCs/>
          <w:color w:val="auto"/>
          <w:sz w:val="24"/>
        </w:rPr>
        <w:t>环境主管部门审批。</w:t>
      </w:r>
    </w:p>
    <w:p w14:paraId="57FAB84B">
      <w:pPr>
        <w:pStyle w:val="3"/>
        <w:numPr>
          <w:ilvl w:val="0"/>
          <w:numId w:val="0"/>
        </w:numPr>
        <w:rPr>
          <w:color w:val="auto"/>
        </w:rPr>
      </w:pPr>
      <w:bookmarkStart w:id="20" w:name="_Toc23840"/>
      <w:r>
        <w:rPr>
          <w:rFonts w:hint="eastAsia"/>
          <w:color w:val="auto"/>
        </w:rPr>
        <w:t>1.2</w:t>
      </w:r>
      <w:r>
        <w:rPr>
          <w:color w:val="auto"/>
        </w:rPr>
        <w:t>建设项目的特点</w:t>
      </w:r>
      <w:bookmarkEnd w:id="20"/>
    </w:p>
    <w:p w14:paraId="5116A52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auto"/>
          <w:sz w:val="24"/>
        </w:rPr>
      </w:pPr>
      <w:r>
        <w:rPr>
          <w:rFonts w:hint="eastAsia"/>
          <w:color w:val="auto"/>
          <w:sz w:val="24"/>
        </w:rPr>
        <w:t>（1）本次工程是淮南市兴华园码头复工建设项目，属于新建项目</w:t>
      </w:r>
      <w:r>
        <w:rPr>
          <w:rFonts w:hint="eastAsia"/>
          <w:color w:val="auto"/>
          <w:sz w:val="24"/>
          <w:lang w:eastAsia="zh-CN"/>
        </w:rPr>
        <w:t>（</w:t>
      </w:r>
      <w:r>
        <w:rPr>
          <w:rFonts w:hint="eastAsia"/>
          <w:color w:val="auto"/>
          <w:sz w:val="24"/>
          <w:lang w:val="en-US" w:eastAsia="zh-CN"/>
        </w:rPr>
        <w:t>重新报批</w:t>
      </w:r>
      <w:r>
        <w:rPr>
          <w:rFonts w:hint="eastAsia"/>
          <w:color w:val="auto"/>
          <w:sz w:val="24"/>
          <w:lang w:eastAsia="zh-CN"/>
        </w:rPr>
        <w:t>）</w:t>
      </w:r>
      <w:r>
        <w:rPr>
          <w:rFonts w:hint="eastAsia"/>
          <w:color w:val="auto"/>
          <w:sz w:val="24"/>
        </w:rPr>
        <w:t>；码头主要货种为煤炭、矿建材料</w:t>
      </w:r>
      <w:r>
        <w:rPr>
          <w:rFonts w:hint="eastAsia"/>
          <w:color w:val="auto"/>
          <w:sz w:val="24"/>
          <w:lang w:eastAsia="zh-CN"/>
        </w:rPr>
        <w:t>、</w:t>
      </w:r>
      <w:r>
        <w:rPr>
          <w:rFonts w:hint="eastAsia"/>
          <w:color w:val="auto"/>
          <w:sz w:val="24"/>
          <w:lang w:val="en-US" w:eastAsia="zh-CN"/>
        </w:rPr>
        <w:t>件杂货</w:t>
      </w:r>
      <w:r>
        <w:rPr>
          <w:rFonts w:hint="eastAsia"/>
          <w:color w:val="auto"/>
          <w:sz w:val="24"/>
        </w:rPr>
        <w:t>，属于通用散货码头；拟建项目符合《淮南市城市总体规划（2010-2020年）》《淮南港总体规划（2035年）》《淮南市城市综合交通规划（2009-2020年）》等规划；</w:t>
      </w:r>
    </w:p>
    <w:p w14:paraId="53D6BF3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auto"/>
          <w:sz w:val="24"/>
        </w:rPr>
      </w:pPr>
      <w:r>
        <w:rPr>
          <w:rFonts w:hint="eastAsia"/>
          <w:color w:val="auto"/>
          <w:sz w:val="24"/>
        </w:rPr>
        <w:t>（2）项目所在地位于</w:t>
      </w:r>
      <w:r>
        <w:rPr>
          <w:color w:val="auto"/>
          <w:sz w:val="24"/>
        </w:rPr>
        <w:t>淮河淮南段长吻鮠国家级水产种质资源保护区</w:t>
      </w:r>
      <w:r>
        <w:rPr>
          <w:rFonts w:hint="eastAsia"/>
          <w:color w:val="auto"/>
          <w:sz w:val="24"/>
        </w:rPr>
        <w:t>试验区内，生态环境敏感。</w:t>
      </w:r>
    </w:p>
    <w:p w14:paraId="348A5CBF">
      <w:pPr>
        <w:pStyle w:val="3"/>
        <w:numPr>
          <w:ilvl w:val="0"/>
          <w:numId w:val="0"/>
        </w:numPr>
        <w:rPr>
          <w:color w:val="auto"/>
        </w:rPr>
      </w:pPr>
      <w:bookmarkStart w:id="21" w:name="_Toc30734"/>
      <w:r>
        <w:rPr>
          <w:rFonts w:hint="eastAsia"/>
          <w:color w:val="auto"/>
        </w:rPr>
        <w:t>1.3</w:t>
      </w:r>
      <w:r>
        <w:rPr>
          <w:color w:val="auto"/>
        </w:rPr>
        <w:t>环境影响评价的工作过程</w:t>
      </w:r>
      <w:bookmarkEnd w:id="21"/>
    </w:p>
    <w:p w14:paraId="5805314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color w:val="auto"/>
          <w:sz w:val="24"/>
        </w:rPr>
      </w:pPr>
      <w:r>
        <w:rPr>
          <w:color w:val="auto"/>
          <w:sz w:val="24"/>
        </w:rPr>
        <w:t>根据《建设项目环境影响评价技术导则 总纲》（HJ2.1-2016）等相关技术规范的要求，评价工作一般分为三个过程，第一阶段为调查分析和工作方案制定阶段；第二阶段</w:t>
      </w:r>
      <w:r>
        <w:rPr>
          <w:rFonts w:hint="eastAsia"/>
          <w:color w:val="auto"/>
          <w:sz w:val="24"/>
          <w:lang w:eastAsia="zh-CN"/>
        </w:rPr>
        <w:t>为分析</w:t>
      </w:r>
      <w:r>
        <w:rPr>
          <w:color w:val="auto"/>
          <w:sz w:val="24"/>
        </w:rPr>
        <w:t>论证和预测评价阶段；</w:t>
      </w:r>
      <w:r>
        <w:rPr>
          <w:rFonts w:hint="eastAsia"/>
          <w:color w:val="auto"/>
          <w:sz w:val="24"/>
        </w:rPr>
        <w:t>第三</w:t>
      </w:r>
      <w:r>
        <w:rPr>
          <w:color w:val="auto"/>
          <w:sz w:val="24"/>
        </w:rPr>
        <w:t>阶段</w:t>
      </w:r>
      <w:r>
        <w:rPr>
          <w:rFonts w:hint="eastAsia"/>
          <w:color w:val="auto"/>
          <w:sz w:val="24"/>
          <w:lang w:eastAsia="zh-CN"/>
        </w:rPr>
        <w:t>为环境影响</w:t>
      </w:r>
      <w:r>
        <w:rPr>
          <w:color w:val="auto"/>
          <w:sz w:val="24"/>
        </w:rPr>
        <w:t>报告编制阶段。具体工作过程见图1.3-1。</w:t>
      </w:r>
    </w:p>
    <w:p w14:paraId="418C5196">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firstLine="480" w:firstLineChars="200"/>
        <w:textAlignment w:val="auto"/>
        <w:rPr>
          <w:color w:val="auto"/>
          <w:sz w:val="24"/>
        </w:rPr>
      </w:pPr>
      <w:r>
        <w:rPr>
          <w:color w:val="auto"/>
          <w:sz w:val="24"/>
        </w:rPr>
        <w:t>202</w:t>
      </w:r>
      <w:r>
        <w:rPr>
          <w:rFonts w:hint="eastAsia"/>
          <w:color w:val="auto"/>
          <w:sz w:val="24"/>
        </w:rPr>
        <w:t>3</w:t>
      </w:r>
      <w:r>
        <w:rPr>
          <w:color w:val="auto"/>
          <w:sz w:val="24"/>
        </w:rPr>
        <w:t>年</w:t>
      </w:r>
      <w:r>
        <w:rPr>
          <w:rFonts w:hint="eastAsia"/>
          <w:color w:val="auto"/>
          <w:sz w:val="24"/>
        </w:rPr>
        <w:t>9</w:t>
      </w:r>
      <w:r>
        <w:rPr>
          <w:color w:val="auto"/>
          <w:sz w:val="24"/>
        </w:rPr>
        <w:t>月</w:t>
      </w:r>
      <w:r>
        <w:rPr>
          <w:rFonts w:hint="eastAsia"/>
          <w:color w:val="auto"/>
          <w:sz w:val="24"/>
        </w:rPr>
        <w:t>1</w:t>
      </w:r>
      <w:r>
        <w:rPr>
          <w:color w:val="auto"/>
          <w:sz w:val="24"/>
        </w:rPr>
        <w:t>5日，安徽睿晟环境科技有限公司受淮南市兴华园贸易发展有限公司的委托，承担《</w:t>
      </w:r>
      <w:r>
        <w:rPr>
          <w:rFonts w:hint="eastAsia"/>
          <w:color w:val="auto"/>
          <w:sz w:val="24"/>
        </w:rPr>
        <w:t>淮南市兴华园贸易发展有限公司淮南市兴华园码头复工建设项目</w:t>
      </w:r>
      <w:r>
        <w:rPr>
          <w:rFonts w:hint="eastAsia"/>
          <w:color w:val="auto"/>
          <w:sz w:val="24"/>
          <w:lang w:val="en-US" w:eastAsia="zh-CN"/>
        </w:rPr>
        <w:t>生态</w:t>
      </w:r>
      <w:r>
        <w:rPr>
          <w:color w:val="auto"/>
          <w:sz w:val="24"/>
        </w:rPr>
        <w:t>环境影响报告书》的编制工作。</w:t>
      </w:r>
    </w:p>
    <w:p w14:paraId="4AFD4803">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firstLine="480" w:firstLineChars="200"/>
        <w:textAlignment w:val="auto"/>
        <w:rPr>
          <w:color w:val="auto"/>
          <w:sz w:val="24"/>
        </w:rPr>
      </w:pPr>
      <w:r>
        <w:rPr>
          <w:color w:val="auto"/>
          <w:sz w:val="24"/>
        </w:rPr>
        <w:t>202</w:t>
      </w:r>
      <w:r>
        <w:rPr>
          <w:rFonts w:hint="eastAsia"/>
          <w:color w:val="auto"/>
          <w:sz w:val="24"/>
        </w:rPr>
        <w:t>3</w:t>
      </w:r>
      <w:r>
        <w:rPr>
          <w:color w:val="auto"/>
          <w:sz w:val="24"/>
        </w:rPr>
        <w:t>年</w:t>
      </w:r>
      <w:r>
        <w:rPr>
          <w:rFonts w:hint="eastAsia"/>
          <w:color w:val="auto"/>
          <w:sz w:val="24"/>
        </w:rPr>
        <w:t>9</w:t>
      </w:r>
      <w:r>
        <w:rPr>
          <w:color w:val="auto"/>
          <w:sz w:val="24"/>
        </w:rPr>
        <w:t>月</w:t>
      </w:r>
      <w:r>
        <w:rPr>
          <w:rFonts w:hint="eastAsia"/>
          <w:color w:val="auto"/>
          <w:sz w:val="24"/>
        </w:rPr>
        <w:t>18</w:t>
      </w:r>
      <w:r>
        <w:rPr>
          <w:color w:val="auto"/>
          <w:sz w:val="24"/>
        </w:rPr>
        <w:t>日，建设单位在淮南市生态环境局网站（网络链接：</w:t>
      </w:r>
      <w:r>
        <w:rPr>
          <w:rFonts w:hint="eastAsia"/>
          <w:color w:val="auto"/>
          <w:sz w:val="24"/>
        </w:rPr>
        <w:t>https://sthjj.huainan.gov.cn/hbyw/xmgl/hpgs/551727166.html</w:t>
      </w:r>
      <w:r>
        <w:rPr>
          <w:color w:val="auto"/>
          <w:sz w:val="24"/>
        </w:rPr>
        <w:t>）对本次环境影响评价工作进行了首次公示。</w:t>
      </w:r>
    </w:p>
    <w:p w14:paraId="76D5C1FD">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firstLine="480" w:firstLineChars="200"/>
        <w:textAlignment w:val="auto"/>
        <w:rPr>
          <w:color w:val="auto"/>
          <w:sz w:val="24"/>
        </w:rPr>
      </w:pPr>
      <w:r>
        <w:rPr>
          <w:color w:val="auto"/>
          <w:sz w:val="24"/>
        </w:rPr>
        <w:t>202</w:t>
      </w:r>
      <w:r>
        <w:rPr>
          <w:rFonts w:hint="eastAsia"/>
          <w:color w:val="auto"/>
          <w:sz w:val="24"/>
        </w:rPr>
        <w:t>3</w:t>
      </w:r>
      <w:r>
        <w:rPr>
          <w:color w:val="auto"/>
          <w:sz w:val="24"/>
        </w:rPr>
        <w:t>年</w:t>
      </w:r>
      <w:r>
        <w:rPr>
          <w:rFonts w:hint="eastAsia"/>
          <w:color w:val="auto"/>
          <w:sz w:val="24"/>
        </w:rPr>
        <w:t>10</w:t>
      </w:r>
      <w:r>
        <w:rPr>
          <w:color w:val="auto"/>
          <w:sz w:val="24"/>
        </w:rPr>
        <w:t>月23日~30日，安徽世标检测技术有限公司对项目区域环境进行了环境质量现状监测。</w:t>
      </w:r>
    </w:p>
    <w:p w14:paraId="1124AD2B">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firstLine="480" w:firstLineChars="200"/>
        <w:textAlignment w:val="auto"/>
        <w:rPr>
          <w:color w:val="auto"/>
          <w:sz w:val="24"/>
        </w:rPr>
      </w:pPr>
      <w:r>
        <w:rPr>
          <w:color w:val="auto"/>
          <w:sz w:val="24"/>
        </w:rPr>
        <w:t>202</w:t>
      </w:r>
      <w:r>
        <w:rPr>
          <w:rFonts w:hint="eastAsia"/>
          <w:color w:val="auto"/>
          <w:sz w:val="24"/>
        </w:rPr>
        <w:t>3</w:t>
      </w:r>
      <w:r>
        <w:rPr>
          <w:color w:val="auto"/>
          <w:sz w:val="24"/>
        </w:rPr>
        <w:t>年</w:t>
      </w:r>
      <w:r>
        <w:rPr>
          <w:rFonts w:hint="eastAsia"/>
          <w:color w:val="auto"/>
          <w:sz w:val="24"/>
        </w:rPr>
        <w:t>10</w:t>
      </w:r>
      <w:r>
        <w:rPr>
          <w:color w:val="auto"/>
          <w:sz w:val="24"/>
        </w:rPr>
        <w:t>月30日，本项目</w:t>
      </w:r>
      <w:r>
        <w:rPr>
          <w:rFonts w:hint="eastAsia"/>
          <w:color w:val="auto"/>
          <w:sz w:val="24"/>
          <w:lang w:val="en-US" w:eastAsia="zh-CN"/>
        </w:rPr>
        <w:t>生态</w:t>
      </w:r>
      <w:r>
        <w:rPr>
          <w:rFonts w:hint="eastAsia"/>
          <w:color w:val="auto"/>
          <w:sz w:val="24"/>
        </w:rPr>
        <w:t>环境</w:t>
      </w:r>
      <w:r>
        <w:rPr>
          <w:color w:val="auto"/>
          <w:sz w:val="24"/>
        </w:rPr>
        <w:t>影响报告书征求意见稿编制完成后，建设单位在淮南市生态环境局网站（网络链接：</w:t>
      </w:r>
      <w:r>
        <w:rPr>
          <w:rFonts w:hint="eastAsia"/>
          <w:color w:val="auto"/>
          <w:sz w:val="24"/>
        </w:rPr>
        <w:t>https://sthjj.huainan.gov.cn/hbyw/xmgl/hpgs/551732285.html</w:t>
      </w:r>
      <w:r>
        <w:rPr>
          <w:color w:val="auto"/>
          <w:sz w:val="24"/>
        </w:rPr>
        <w:t>）对本次环境影响评价工作的进展以及初步评价结论进行了征求意见稿公示。在征求意见稿公示期间，建设单位在区域内居民点（</w:t>
      </w:r>
      <w:r>
        <w:rPr>
          <w:rFonts w:hint="eastAsia"/>
          <w:color w:val="auto"/>
          <w:sz w:val="24"/>
        </w:rPr>
        <w:t>丁郢村</w:t>
      </w:r>
      <w:r>
        <w:rPr>
          <w:color w:val="auto"/>
          <w:sz w:val="24"/>
        </w:rPr>
        <w:t>）张贴了项目公告，并在</w:t>
      </w:r>
      <w:r>
        <w:rPr>
          <w:rFonts w:hint="eastAsia"/>
          <w:color w:val="auto"/>
          <w:sz w:val="24"/>
        </w:rPr>
        <w:t>安徽日报</w:t>
      </w:r>
      <w:r>
        <w:rPr>
          <w:color w:val="auto"/>
          <w:sz w:val="24"/>
        </w:rPr>
        <w:t>进行了两次登报公示。</w:t>
      </w:r>
    </w:p>
    <w:p w14:paraId="4DA35E3A">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left="0" w:firstLine="480" w:firstLineChars="200"/>
        <w:textAlignment w:val="auto"/>
        <w:rPr>
          <w:color w:val="auto"/>
          <w:sz w:val="24"/>
        </w:rPr>
      </w:pPr>
      <w:r>
        <w:rPr>
          <w:color w:val="auto"/>
          <w:sz w:val="24"/>
        </w:rPr>
        <w:t>在此基础上，我单位按照国家相关环保法律、法规及有关技术规范要求，最终编制完成了《</w:t>
      </w:r>
      <w:r>
        <w:rPr>
          <w:rFonts w:hint="eastAsia"/>
          <w:bCs/>
          <w:color w:val="auto"/>
          <w:sz w:val="24"/>
        </w:rPr>
        <w:t>淮南市兴华园贸易发展有限公司淮南市兴华园码头复工建设项目</w:t>
      </w:r>
      <w:r>
        <w:rPr>
          <w:rFonts w:hint="eastAsia"/>
          <w:bCs/>
          <w:color w:val="auto"/>
          <w:sz w:val="24"/>
          <w:lang w:val="en-US" w:eastAsia="zh-CN"/>
        </w:rPr>
        <w:t>生态</w:t>
      </w:r>
      <w:r>
        <w:rPr>
          <w:bCs/>
          <w:color w:val="auto"/>
          <w:sz w:val="24"/>
        </w:rPr>
        <w:t>环境影响报告书</w:t>
      </w:r>
      <w:r>
        <w:rPr>
          <w:color w:val="auto"/>
          <w:sz w:val="24"/>
        </w:rPr>
        <w:t>》。</w:t>
      </w:r>
    </w:p>
    <w:p w14:paraId="2DEC021A">
      <w:pPr>
        <w:spacing w:line="360" w:lineRule="auto"/>
        <w:jc w:val="left"/>
        <w:rPr>
          <w:color w:val="auto"/>
          <w:sz w:val="24"/>
        </w:rPr>
      </w:pPr>
      <w:r>
        <w:rPr>
          <w:color w:val="auto"/>
        </w:rPr>
        <w:drawing>
          <wp:inline distT="0" distB="0" distL="114300" distR="114300">
            <wp:extent cx="5760720" cy="7161530"/>
            <wp:effectExtent l="0" t="0" r="0" b="0"/>
            <wp:docPr id="1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
                    <pic:cNvPicPr>
                      <a:picLocks noChangeAspect="1"/>
                    </pic:cNvPicPr>
                  </pic:nvPicPr>
                  <pic:blipFill>
                    <a:blip r:embed="rId25"/>
                    <a:stretch>
                      <a:fillRect/>
                    </a:stretch>
                  </pic:blipFill>
                  <pic:spPr>
                    <a:xfrm>
                      <a:off x="0" y="0"/>
                      <a:ext cx="5760720" cy="7161530"/>
                    </a:xfrm>
                    <a:prstGeom prst="rect">
                      <a:avLst/>
                    </a:prstGeom>
                    <a:noFill/>
                    <a:ln>
                      <a:noFill/>
                    </a:ln>
                  </pic:spPr>
                </pic:pic>
              </a:graphicData>
            </a:graphic>
          </wp:inline>
        </w:drawing>
      </w:r>
    </w:p>
    <w:p w14:paraId="5E9D9D97">
      <w:pPr>
        <w:spacing w:line="400" w:lineRule="exact"/>
        <w:jc w:val="center"/>
        <w:rPr>
          <w:rFonts w:eastAsia="黑体"/>
          <w:color w:val="auto"/>
          <w:sz w:val="24"/>
        </w:rPr>
      </w:pPr>
      <w:r>
        <w:rPr>
          <w:rFonts w:eastAsia="黑体"/>
          <w:color w:val="auto"/>
          <w:sz w:val="24"/>
        </w:rPr>
        <w:t>图1.3-1  环境影响评价工作程序</w:t>
      </w:r>
    </w:p>
    <w:p w14:paraId="2728C182">
      <w:pPr>
        <w:spacing w:line="360" w:lineRule="auto"/>
        <w:jc w:val="center"/>
        <w:rPr>
          <w:color w:val="auto"/>
          <w:sz w:val="24"/>
        </w:rPr>
      </w:pPr>
    </w:p>
    <w:p w14:paraId="08F39D68">
      <w:pPr>
        <w:spacing w:line="360" w:lineRule="auto"/>
        <w:rPr>
          <w:color w:val="auto"/>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AndChars" w:linePitch="312" w:charSpace="0"/>
        </w:sectPr>
      </w:pPr>
    </w:p>
    <w:p w14:paraId="4535A7A4">
      <w:pPr>
        <w:pStyle w:val="3"/>
        <w:numPr>
          <w:ilvl w:val="0"/>
          <w:numId w:val="0"/>
        </w:numPr>
        <w:rPr>
          <w:color w:val="auto"/>
        </w:rPr>
      </w:pPr>
      <w:bookmarkStart w:id="22" w:name="_Toc24438"/>
      <w:r>
        <w:rPr>
          <w:rFonts w:hint="eastAsia"/>
          <w:color w:val="auto"/>
        </w:rPr>
        <w:t>1.4</w:t>
      </w:r>
      <w:r>
        <w:rPr>
          <w:rFonts w:hint="eastAsia"/>
          <w:color w:val="auto"/>
          <w:lang w:eastAsia="zh-CN"/>
        </w:rPr>
        <w:t xml:space="preserve"> 分析</w:t>
      </w:r>
      <w:r>
        <w:rPr>
          <w:color w:val="auto"/>
        </w:rPr>
        <w:t>判定相关情况</w:t>
      </w:r>
      <w:bookmarkEnd w:id="22"/>
    </w:p>
    <w:p w14:paraId="28A89C9B">
      <w:pPr>
        <w:pStyle w:val="4"/>
        <w:numPr>
          <w:ilvl w:val="0"/>
          <w:numId w:val="0"/>
        </w:numPr>
        <w:rPr>
          <w:color w:val="auto"/>
        </w:rPr>
      </w:pPr>
      <w:r>
        <w:rPr>
          <w:rFonts w:hint="eastAsia"/>
          <w:color w:val="auto"/>
        </w:rPr>
        <w:t>1.4.1</w:t>
      </w:r>
      <w:r>
        <w:rPr>
          <w:color w:val="auto"/>
        </w:rPr>
        <w:t>产业政策相符性</w:t>
      </w:r>
    </w:p>
    <w:p w14:paraId="623E1997">
      <w:pPr>
        <w:spacing w:line="360" w:lineRule="auto"/>
        <w:ind w:firstLine="480" w:firstLineChars="200"/>
        <w:rPr>
          <w:rFonts w:hint="eastAsia"/>
          <w:color w:val="auto"/>
          <w:sz w:val="24"/>
        </w:rPr>
      </w:pPr>
      <w:r>
        <w:rPr>
          <w:color w:val="auto"/>
          <w:sz w:val="24"/>
        </w:rPr>
        <w:t>根据《国民经济行业分类》（GB/T4754-2017）</w:t>
      </w:r>
      <w:r>
        <w:rPr>
          <w:rFonts w:hint="eastAsia"/>
          <w:color w:val="auto"/>
          <w:sz w:val="24"/>
        </w:rPr>
        <w:t>及其修改单</w:t>
      </w:r>
      <w:r>
        <w:rPr>
          <w:color w:val="auto"/>
          <w:sz w:val="24"/>
        </w:rPr>
        <w:t>，本项目属于</w:t>
      </w:r>
      <w:r>
        <w:rPr>
          <w:rFonts w:hint="eastAsia"/>
          <w:color w:val="auto"/>
          <w:sz w:val="24"/>
        </w:rPr>
        <w:t>“</w:t>
      </w:r>
      <w:r>
        <w:rPr>
          <w:color w:val="auto"/>
          <w:sz w:val="24"/>
        </w:rPr>
        <w:t>货运港口（行业代码G5532）</w:t>
      </w:r>
      <w:r>
        <w:rPr>
          <w:rFonts w:hint="eastAsia"/>
          <w:color w:val="auto"/>
          <w:sz w:val="24"/>
        </w:rPr>
        <w:t>”</w:t>
      </w:r>
      <w:r>
        <w:rPr>
          <w:color w:val="auto"/>
          <w:sz w:val="24"/>
        </w:rPr>
        <w:t>；根据</w:t>
      </w:r>
      <w:r>
        <w:rPr>
          <w:rFonts w:hint="eastAsia"/>
          <w:color w:val="auto"/>
          <w:sz w:val="24"/>
        </w:rPr>
        <w:t>《产业结构调整指导目录（20</w:t>
      </w:r>
      <w:r>
        <w:rPr>
          <w:rFonts w:hint="eastAsia"/>
          <w:color w:val="auto"/>
          <w:sz w:val="24"/>
          <w:lang w:val="en-US" w:eastAsia="zh-CN"/>
        </w:rPr>
        <w:t>24年本</w:t>
      </w:r>
      <w:r>
        <w:rPr>
          <w:rFonts w:hint="eastAsia"/>
          <w:color w:val="auto"/>
          <w:sz w:val="24"/>
        </w:rPr>
        <w:t>）</w:t>
      </w:r>
      <w:r>
        <w:rPr>
          <w:rFonts w:hint="eastAsia"/>
          <w:color w:val="auto"/>
          <w:sz w:val="24"/>
          <w:lang w:eastAsia="zh-CN"/>
        </w:rPr>
        <w:t>》</w:t>
      </w:r>
      <w:r>
        <w:rPr>
          <w:color w:val="auto"/>
          <w:sz w:val="24"/>
        </w:rPr>
        <w:t>，本项目属于</w:t>
      </w:r>
      <w:r>
        <w:rPr>
          <w:rFonts w:hint="eastAsia"/>
          <w:color w:val="auto"/>
          <w:sz w:val="24"/>
          <w:lang w:eastAsia="zh-CN"/>
        </w:rPr>
        <w:t>“</w:t>
      </w:r>
      <w:r>
        <w:rPr>
          <w:color w:val="auto"/>
          <w:sz w:val="24"/>
        </w:rPr>
        <w:t>鼓励类：二十五、水运一</w:t>
      </w:r>
      <w:r>
        <w:rPr>
          <w:rFonts w:hint="eastAsia"/>
          <w:color w:val="auto"/>
          <w:sz w:val="24"/>
          <w:lang w:val="en-US" w:eastAsia="zh-CN"/>
        </w:rPr>
        <w:t>2</w:t>
      </w:r>
      <w:r>
        <w:rPr>
          <w:color w:val="auto"/>
          <w:sz w:val="24"/>
        </w:rPr>
        <w:t>、</w:t>
      </w:r>
      <w:r>
        <w:rPr>
          <w:color w:val="auto"/>
          <w:sz w:val="24"/>
          <w:lang w:val="en-US" w:eastAsia="zh-CN"/>
        </w:rPr>
        <w:t>港口枢纽建设：</w:t>
      </w:r>
      <w:r>
        <w:rPr>
          <w:b/>
          <w:bCs/>
          <w:color w:val="auto"/>
          <w:sz w:val="24"/>
          <w:lang w:val="en-US" w:eastAsia="zh-CN"/>
        </w:rPr>
        <w:t>码头泊位建设</w:t>
      </w:r>
      <w:r>
        <w:rPr>
          <w:color w:val="auto"/>
          <w:sz w:val="24"/>
          <w:lang w:val="en-US" w:eastAsia="zh-CN"/>
        </w:rPr>
        <w:t>，船舶污染物港口接收处置</w:t>
      </w:r>
      <w:r>
        <w:rPr>
          <w:rFonts w:hint="default"/>
          <w:color w:val="auto"/>
          <w:sz w:val="24"/>
          <w:lang w:val="en-US" w:eastAsia="zh-CN"/>
        </w:rPr>
        <w:t>设施建设及设备制造，港口危险化学品、油品应急设施建设及设备制造，国际邮轮运输及邮轮母港建设，港口岸电系统建设及船舶受电设施改造，船舶 LNG 加注设施和电动船充换电设施建设</w:t>
      </w:r>
      <w:r>
        <w:rPr>
          <w:rFonts w:hint="eastAsia"/>
          <w:color w:val="auto"/>
          <w:sz w:val="24"/>
          <w:lang w:eastAsia="zh-CN"/>
        </w:rPr>
        <w:t>”</w:t>
      </w:r>
      <w:r>
        <w:rPr>
          <w:color w:val="auto"/>
          <w:sz w:val="24"/>
        </w:rPr>
        <w:t>。</w:t>
      </w:r>
    </w:p>
    <w:p w14:paraId="27DAE6BA">
      <w:pPr>
        <w:spacing w:line="360" w:lineRule="auto"/>
        <w:ind w:firstLine="480" w:firstLineChars="200"/>
        <w:rPr>
          <w:color w:val="auto"/>
          <w:sz w:val="24"/>
        </w:rPr>
      </w:pPr>
      <w:r>
        <w:rPr>
          <w:rFonts w:hint="eastAsia"/>
          <w:color w:val="auto"/>
          <w:sz w:val="24"/>
        </w:rPr>
        <w:t>因此</w:t>
      </w:r>
      <w:r>
        <w:rPr>
          <w:color w:val="auto"/>
          <w:sz w:val="24"/>
        </w:rPr>
        <w:t>，项目建设符合国家产业政策</w:t>
      </w:r>
      <w:r>
        <w:rPr>
          <w:rFonts w:hint="eastAsia"/>
          <w:color w:val="auto"/>
          <w:sz w:val="24"/>
        </w:rPr>
        <w:t>要求</w:t>
      </w:r>
      <w:r>
        <w:rPr>
          <w:color w:val="auto"/>
          <w:sz w:val="24"/>
        </w:rPr>
        <w:t>。</w:t>
      </w:r>
    </w:p>
    <w:p w14:paraId="47AC886A">
      <w:pPr>
        <w:pStyle w:val="4"/>
        <w:numPr>
          <w:ilvl w:val="0"/>
          <w:numId w:val="0"/>
        </w:numPr>
        <w:rPr>
          <w:color w:val="auto"/>
        </w:rPr>
      </w:pPr>
      <w:r>
        <w:rPr>
          <w:rFonts w:hint="eastAsia"/>
          <w:color w:val="auto"/>
        </w:rPr>
        <w:t>1.4.2</w:t>
      </w:r>
      <w:r>
        <w:rPr>
          <w:color w:val="auto"/>
        </w:rPr>
        <w:t>相关规划、政策相符性</w:t>
      </w:r>
    </w:p>
    <w:p w14:paraId="256ACDAE">
      <w:pPr>
        <w:pStyle w:val="29"/>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项目的选址和建设符合国家及地方发布的各项规划、功能区划、生态环境保护规划、法律法规及行动计划；项目的最终平面布局充分考虑了所在地自然条件，吸收了国内同类项目的成功经验，符合环境保护、安全等多方面要求。</w:t>
      </w:r>
    </w:p>
    <w:p w14:paraId="6406A07C">
      <w:pPr>
        <w:pStyle w:val="29"/>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相关情况的判定结果见表1.4-1。</w:t>
      </w:r>
    </w:p>
    <w:p w14:paraId="5B804CDF">
      <w:pPr>
        <w:pStyle w:val="29"/>
        <w:spacing w:line="400" w:lineRule="exact"/>
        <w:jc w:val="center"/>
        <w:rPr>
          <w:rFonts w:ascii="Times New Roman" w:hAnsi="Times New Roman" w:eastAsia="黑体"/>
          <w:color w:val="auto"/>
          <w:sz w:val="24"/>
          <w:szCs w:val="24"/>
        </w:rPr>
      </w:pPr>
      <w:r>
        <w:rPr>
          <w:rFonts w:ascii="Times New Roman" w:hAnsi="Times New Roman" w:eastAsia="黑体"/>
          <w:color w:val="auto"/>
          <w:kern w:val="0"/>
          <w:sz w:val="24"/>
          <w:szCs w:val="24"/>
        </w:rPr>
        <w:t>表1.4-1  项目相关情况判定结果一览表</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621"/>
        <w:gridCol w:w="5823"/>
        <w:gridCol w:w="1146"/>
      </w:tblGrid>
      <w:tr w14:paraId="139577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692" w:type="dxa"/>
            <w:noWrap w:val="0"/>
            <w:vAlign w:val="center"/>
          </w:tcPr>
          <w:p w14:paraId="315A18D4">
            <w:pPr>
              <w:pStyle w:val="29"/>
              <w:keepNext w:val="0"/>
              <w:keepLines w:val="0"/>
              <w:suppressLineNumbers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序号</w:t>
            </w:r>
          </w:p>
        </w:tc>
        <w:tc>
          <w:tcPr>
            <w:tcW w:w="1621" w:type="dxa"/>
            <w:noWrap w:val="0"/>
            <w:vAlign w:val="center"/>
          </w:tcPr>
          <w:p w14:paraId="634349C9">
            <w:pPr>
              <w:pStyle w:val="29"/>
              <w:keepNext w:val="0"/>
              <w:keepLines w:val="0"/>
              <w:suppressLineNumbers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类别</w:t>
            </w:r>
          </w:p>
        </w:tc>
        <w:tc>
          <w:tcPr>
            <w:tcW w:w="5823" w:type="dxa"/>
            <w:noWrap w:val="0"/>
            <w:vAlign w:val="center"/>
          </w:tcPr>
          <w:p w14:paraId="5DD3069C">
            <w:pPr>
              <w:pStyle w:val="29"/>
              <w:keepNext w:val="0"/>
              <w:keepLines w:val="0"/>
              <w:suppressLineNumbers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判定依据</w:t>
            </w:r>
          </w:p>
        </w:tc>
        <w:tc>
          <w:tcPr>
            <w:tcW w:w="1146" w:type="dxa"/>
            <w:noWrap w:val="0"/>
            <w:vAlign w:val="center"/>
          </w:tcPr>
          <w:p w14:paraId="0E7A0B7D">
            <w:pPr>
              <w:pStyle w:val="29"/>
              <w:keepNext w:val="0"/>
              <w:keepLines w:val="0"/>
              <w:suppressLineNumbers w:val="0"/>
              <w:spacing w:before="0" w:beforeAutospacing="0" w:after="0" w:afterAutospacing="0"/>
              <w:ind w:left="0" w:right="0"/>
              <w:jc w:val="center"/>
              <w:rPr>
                <w:rFonts w:hint="default" w:ascii="Times New Roman" w:hAnsi="Times New Roman" w:cs="Times New Roman"/>
                <w:b/>
                <w:color w:val="auto"/>
                <w:szCs w:val="21"/>
              </w:rPr>
            </w:pPr>
            <w:r>
              <w:rPr>
                <w:rFonts w:hint="default" w:ascii="Times New Roman" w:hAnsi="Times New Roman" w:cs="Times New Roman"/>
                <w:b/>
                <w:color w:val="auto"/>
                <w:szCs w:val="21"/>
              </w:rPr>
              <w:t>判定结果</w:t>
            </w:r>
          </w:p>
        </w:tc>
      </w:tr>
      <w:tr w14:paraId="0F6D46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2" w:type="dxa"/>
            <w:noWrap w:val="0"/>
            <w:vAlign w:val="center"/>
          </w:tcPr>
          <w:p w14:paraId="22816074">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1621" w:type="dxa"/>
            <w:noWrap w:val="0"/>
            <w:vAlign w:val="center"/>
          </w:tcPr>
          <w:p w14:paraId="19651A0A">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产业政策</w:t>
            </w:r>
          </w:p>
        </w:tc>
        <w:tc>
          <w:tcPr>
            <w:tcW w:w="5823" w:type="dxa"/>
            <w:noWrap w:val="0"/>
            <w:vAlign w:val="center"/>
          </w:tcPr>
          <w:p w14:paraId="4AEDFAB5">
            <w:pPr>
              <w:pStyle w:val="29"/>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rPr>
            </w:pPr>
            <w:r>
              <w:rPr>
                <w:rFonts w:hint="eastAsia" w:ascii="Times New Roman" w:hAnsi="Times New Roman" w:cs="Times New Roman"/>
                <w:color w:val="auto"/>
                <w:szCs w:val="21"/>
              </w:rPr>
              <w:t>《产业结构调整指导目录（20</w:t>
            </w:r>
            <w:r>
              <w:rPr>
                <w:rFonts w:hint="eastAsia" w:ascii="Times New Roman" w:hAnsi="Times New Roman" w:cs="Times New Roman"/>
                <w:color w:val="auto"/>
                <w:szCs w:val="21"/>
                <w:lang w:val="en-US" w:eastAsia="zh-CN"/>
              </w:rPr>
              <w:t>24年本</w:t>
            </w:r>
            <w:r>
              <w:rPr>
                <w:rFonts w:hint="eastAsia" w:ascii="Times New Roman" w:hAnsi="Times New Roman" w:cs="Times New Roman"/>
                <w:color w:val="auto"/>
                <w:szCs w:val="21"/>
              </w:rPr>
              <w:t>）》</w:t>
            </w:r>
          </w:p>
        </w:tc>
        <w:tc>
          <w:tcPr>
            <w:tcW w:w="1146" w:type="dxa"/>
            <w:noWrap w:val="0"/>
            <w:vAlign w:val="center"/>
          </w:tcPr>
          <w:p w14:paraId="3F9BFF3A">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符合</w:t>
            </w:r>
          </w:p>
        </w:tc>
      </w:tr>
      <w:tr w14:paraId="370D57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2" w:type="dxa"/>
            <w:noWrap w:val="0"/>
            <w:vAlign w:val="center"/>
          </w:tcPr>
          <w:p w14:paraId="36563EDE">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2</w:t>
            </w:r>
          </w:p>
        </w:tc>
        <w:tc>
          <w:tcPr>
            <w:tcW w:w="1621" w:type="dxa"/>
            <w:vMerge w:val="restart"/>
            <w:noWrap w:val="0"/>
            <w:vAlign w:val="center"/>
          </w:tcPr>
          <w:p w14:paraId="49F3E69D">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eastAsia" w:ascii="Times New Roman" w:hAnsi="Times New Roman" w:cs="Times New Roman"/>
                <w:color w:val="auto"/>
                <w:szCs w:val="21"/>
              </w:rPr>
              <w:t>生态</w:t>
            </w:r>
            <w:r>
              <w:rPr>
                <w:rFonts w:hint="default" w:ascii="Times New Roman" w:hAnsi="Times New Roman" w:cs="Times New Roman"/>
                <w:color w:val="auto"/>
                <w:szCs w:val="21"/>
              </w:rPr>
              <w:t>保护规划</w:t>
            </w:r>
          </w:p>
        </w:tc>
        <w:tc>
          <w:tcPr>
            <w:tcW w:w="5823" w:type="dxa"/>
            <w:noWrap w:val="0"/>
            <w:vAlign w:val="center"/>
          </w:tcPr>
          <w:p w14:paraId="39819BFE">
            <w:pPr>
              <w:pStyle w:val="29"/>
              <w:keepNext w:val="0"/>
              <w:keepLines w:val="0"/>
              <w:suppressLineNumbers w:val="0"/>
              <w:spacing w:before="0" w:beforeAutospacing="0" w:after="0" w:afterAutospacing="0"/>
              <w:ind w:left="0" w:right="0"/>
              <w:jc w:val="center"/>
              <w:rPr>
                <w:rFonts w:hint="default" w:cs="Times New Roman"/>
                <w:color w:val="auto"/>
              </w:rPr>
            </w:pPr>
            <w:r>
              <w:rPr>
                <w:rFonts w:hint="default" w:ascii="Times New Roman" w:hAnsi="Times New Roman" w:cs="Times New Roman"/>
                <w:color w:val="auto"/>
                <w:szCs w:val="21"/>
              </w:rPr>
              <w:t>《安徽</w:t>
            </w:r>
            <w:r>
              <w:rPr>
                <w:rFonts w:hint="default" w:hAnsi="宋体" w:cs="Times New Roman"/>
                <w:color w:val="auto"/>
                <w:szCs w:val="21"/>
              </w:rPr>
              <w:t>省“十</w:t>
            </w:r>
            <w:r>
              <w:rPr>
                <w:rFonts w:hint="eastAsia" w:hAnsi="宋体" w:cs="Times New Roman"/>
                <w:color w:val="auto"/>
                <w:szCs w:val="21"/>
              </w:rPr>
              <w:t>四</w:t>
            </w:r>
            <w:r>
              <w:rPr>
                <w:rFonts w:hint="default" w:hAnsi="宋体" w:cs="Times New Roman"/>
                <w:color w:val="auto"/>
                <w:szCs w:val="21"/>
              </w:rPr>
              <w:t>五”生态</w:t>
            </w:r>
            <w:r>
              <w:rPr>
                <w:rFonts w:hint="default" w:ascii="Times New Roman" w:hAnsi="Times New Roman" w:cs="Times New Roman"/>
                <w:color w:val="auto"/>
                <w:szCs w:val="21"/>
              </w:rPr>
              <w:t>环境保护规划》</w:t>
            </w:r>
          </w:p>
          <w:p w14:paraId="2367B623">
            <w:pPr>
              <w:pStyle w:val="29"/>
              <w:keepNext w:val="0"/>
              <w:keepLines w:val="0"/>
              <w:suppressLineNumbers w:val="0"/>
              <w:spacing w:before="0" w:beforeAutospacing="0" w:after="0" w:afterAutospacing="0"/>
              <w:ind w:left="0" w:right="0"/>
              <w:jc w:val="center"/>
              <w:rPr>
                <w:rFonts w:hint="eastAsia" w:eastAsia="宋体" w:cs="Times New Roman"/>
                <w:color w:val="auto"/>
                <w:lang w:eastAsia="zh-CN"/>
              </w:rPr>
            </w:pPr>
            <w:r>
              <w:rPr>
                <w:rFonts w:hint="eastAsia" w:eastAsia="宋体" w:cs="Times New Roman"/>
                <w:color w:val="auto"/>
                <w:lang w:eastAsia="zh-CN"/>
              </w:rPr>
              <w:t>《淮南市“十四五”</w:t>
            </w:r>
            <w:r>
              <w:rPr>
                <w:rFonts w:hint="eastAsia" w:eastAsia="宋体" w:cs="Times New Roman"/>
                <w:color w:val="auto"/>
                <w:lang w:eastAsia="zh-CN"/>
              </w:rPr>
              <w:fldChar w:fldCharType="begin"/>
            </w:r>
            <w:r>
              <w:rPr>
                <w:rFonts w:hint="eastAsia" w:eastAsia="宋体" w:cs="Times New Roman"/>
                <w:color w:val="auto"/>
                <w:lang w:eastAsia="zh-CN"/>
              </w:rPr>
              <w:instrText xml:space="preserve"> HYPERLINK "https://huanbao.bjx.com.cn/topics/daqiwuranfangzhi/" \t "https://huanbao.bjx.com.cn/news/20220718/_blank" </w:instrText>
            </w:r>
            <w:r>
              <w:rPr>
                <w:rFonts w:hint="eastAsia" w:eastAsia="宋体" w:cs="Times New Roman"/>
                <w:color w:val="auto"/>
                <w:lang w:eastAsia="zh-CN"/>
              </w:rPr>
              <w:fldChar w:fldCharType="separate"/>
            </w:r>
            <w:r>
              <w:rPr>
                <w:rFonts w:hint="eastAsia" w:eastAsia="宋体" w:cs="Times New Roman"/>
                <w:color w:val="auto"/>
                <w:lang w:eastAsia="zh-CN"/>
              </w:rPr>
              <w:t>大气污染防治</w:t>
            </w:r>
            <w:r>
              <w:rPr>
                <w:rFonts w:hint="eastAsia" w:eastAsia="宋体" w:cs="Times New Roman"/>
                <w:color w:val="auto"/>
                <w:lang w:eastAsia="zh-CN"/>
              </w:rPr>
              <w:fldChar w:fldCharType="end"/>
            </w:r>
            <w:r>
              <w:rPr>
                <w:rFonts w:hint="eastAsia" w:eastAsia="宋体" w:cs="Times New Roman"/>
                <w:color w:val="auto"/>
                <w:lang w:eastAsia="zh-CN"/>
              </w:rPr>
              <w:t>规划（2021-2025年）》</w:t>
            </w:r>
          </w:p>
        </w:tc>
        <w:tc>
          <w:tcPr>
            <w:tcW w:w="1146" w:type="dxa"/>
            <w:noWrap w:val="0"/>
            <w:vAlign w:val="center"/>
          </w:tcPr>
          <w:p w14:paraId="71C2AB6F">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符合</w:t>
            </w:r>
          </w:p>
        </w:tc>
      </w:tr>
      <w:tr w14:paraId="6217C8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2" w:type="dxa"/>
            <w:noWrap w:val="0"/>
            <w:vAlign w:val="center"/>
          </w:tcPr>
          <w:p w14:paraId="71FBE6EF">
            <w:pPr>
              <w:pStyle w:val="29"/>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3</w:t>
            </w:r>
          </w:p>
        </w:tc>
        <w:tc>
          <w:tcPr>
            <w:tcW w:w="1621" w:type="dxa"/>
            <w:vMerge w:val="continue"/>
            <w:noWrap w:val="0"/>
            <w:vAlign w:val="center"/>
          </w:tcPr>
          <w:p w14:paraId="35B14C29">
            <w:pPr>
              <w:pStyle w:val="29"/>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rPr>
            </w:pPr>
          </w:p>
        </w:tc>
        <w:tc>
          <w:tcPr>
            <w:tcW w:w="5823" w:type="dxa"/>
            <w:noWrap w:val="0"/>
            <w:vAlign w:val="center"/>
          </w:tcPr>
          <w:p w14:paraId="2B1EFBAD">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《淮河流域重要河道岸线保护与利用规划》</w:t>
            </w:r>
          </w:p>
        </w:tc>
        <w:tc>
          <w:tcPr>
            <w:tcW w:w="1146" w:type="dxa"/>
            <w:noWrap w:val="0"/>
            <w:vAlign w:val="center"/>
          </w:tcPr>
          <w:p w14:paraId="35DB0FF5">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符合</w:t>
            </w:r>
          </w:p>
        </w:tc>
      </w:tr>
      <w:tr w14:paraId="56BFA3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2" w:type="dxa"/>
            <w:noWrap w:val="0"/>
            <w:vAlign w:val="center"/>
          </w:tcPr>
          <w:p w14:paraId="441430DD">
            <w:pPr>
              <w:pStyle w:val="29"/>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4</w:t>
            </w:r>
          </w:p>
        </w:tc>
        <w:tc>
          <w:tcPr>
            <w:tcW w:w="1621" w:type="dxa"/>
            <w:vMerge w:val="restart"/>
            <w:noWrap w:val="0"/>
            <w:vAlign w:val="center"/>
          </w:tcPr>
          <w:p w14:paraId="0DAA5DBC">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环境保护法律法规及行动计划</w:t>
            </w:r>
          </w:p>
        </w:tc>
        <w:tc>
          <w:tcPr>
            <w:tcW w:w="5823" w:type="dxa"/>
            <w:noWrap w:val="0"/>
            <w:vAlign w:val="center"/>
          </w:tcPr>
          <w:p w14:paraId="5D671E14">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国务院《关于全面加强生态环境保护坚决打好污染防治攻坚战的意见》</w:t>
            </w:r>
          </w:p>
        </w:tc>
        <w:tc>
          <w:tcPr>
            <w:tcW w:w="1146" w:type="dxa"/>
            <w:noWrap w:val="0"/>
            <w:vAlign w:val="center"/>
          </w:tcPr>
          <w:p w14:paraId="4F8E246C">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符合</w:t>
            </w:r>
          </w:p>
        </w:tc>
      </w:tr>
      <w:tr w14:paraId="74B4AB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2" w:type="dxa"/>
            <w:noWrap w:val="0"/>
            <w:vAlign w:val="center"/>
          </w:tcPr>
          <w:p w14:paraId="7363285D">
            <w:pPr>
              <w:pStyle w:val="29"/>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5</w:t>
            </w:r>
          </w:p>
        </w:tc>
        <w:tc>
          <w:tcPr>
            <w:tcW w:w="1621" w:type="dxa"/>
            <w:vMerge w:val="continue"/>
            <w:noWrap w:val="0"/>
            <w:vAlign w:val="center"/>
          </w:tcPr>
          <w:p w14:paraId="3B8707D2">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p>
        </w:tc>
        <w:tc>
          <w:tcPr>
            <w:tcW w:w="5823" w:type="dxa"/>
            <w:noWrap w:val="0"/>
            <w:vAlign w:val="center"/>
          </w:tcPr>
          <w:p w14:paraId="35AFD6FF">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cs="Times New Roman"/>
                <w:color w:val="auto"/>
                <w:szCs w:val="21"/>
              </w:rPr>
              <w:t>《安徽省淮河流域水污染防治条例》</w:t>
            </w:r>
          </w:p>
        </w:tc>
        <w:tc>
          <w:tcPr>
            <w:tcW w:w="1146" w:type="dxa"/>
            <w:noWrap w:val="0"/>
            <w:vAlign w:val="center"/>
          </w:tcPr>
          <w:p w14:paraId="5A2C082C">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符合</w:t>
            </w:r>
          </w:p>
        </w:tc>
      </w:tr>
      <w:tr w14:paraId="4C0E93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2" w:type="dxa"/>
            <w:noWrap w:val="0"/>
            <w:vAlign w:val="center"/>
          </w:tcPr>
          <w:p w14:paraId="5EB3DF52">
            <w:pPr>
              <w:pStyle w:val="29"/>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6</w:t>
            </w:r>
          </w:p>
        </w:tc>
        <w:tc>
          <w:tcPr>
            <w:tcW w:w="1621" w:type="dxa"/>
            <w:vMerge w:val="continue"/>
            <w:noWrap w:val="0"/>
            <w:vAlign w:val="center"/>
          </w:tcPr>
          <w:p w14:paraId="2804278E">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p>
        </w:tc>
        <w:tc>
          <w:tcPr>
            <w:tcW w:w="5823" w:type="dxa"/>
            <w:noWrap w:val="0"/>
            <w:vAlign w:val="center"/>
          </w:tcPr>
          <w:p w14:paraId="6430326E">
            <w:pPr>
              <w:pStyle w:val="29"/>
              <w:keepNext w:val="0"/>
              <w:keepLines w:val="0"/>
              <w:suppressLineNumbers w:val="0"/>
              <w:spacing w:before="0" w:beforeAutospacing="0" w:after="0" w:afterAutospacing="0"/>
              <w:ind w:left="0" w:right="0"/>
              <w:jc w:val="center"/>
              <w:rPr>
                <w:rFonts w:hint="default" w:cs="Times New Roman"/>
                <w:color w:val="auto"/>
                <w:szCs w:val="21"/>
              </w:rPr>
            </w:pPr>
            <w:r>
              <w:rPr>
                <w:rFonts w:hint="default" w:cs="Times New Roman"/>
                <w:color w:val="auto"/>
                <w:szCs w:val="21"/>
              </w:rPr>
              <w:t>《安徽省贯彻落实淮河生态经济带发展规划实施方案的通知》</w:t>
            </w:r>
          </w:p>
        </w:tc>
        <w:tc>
          <w:tcPr>
            <w:tcW w:w="1146" w:type="dxa"/>
            <w:noWrap w:val="0"/>
            <w:vAlign w:val="center"/>
          </w:tcPr>
          <w:p w14:paraId="1BFB25D6">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符合</w:t>
            </w:r>
          </w:p>
        </w:tc>
      </w:tr>
      <w:tr w14:paraId="1FD59E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2" w:type="dxa"/>
            <w:noWrap w:val="0"/>
            <w:vAlign w:val="center"/>
          </w:tcPr>
          <w:p w14:paraId="23B76C28">
            <w:pPr>
              <w:pStyle w:val="29"/>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7</w:t>
            </w:r>
          </w:p>
        </w:tc>
        <w:tc>
          <w:tcPr>
            <w:tcW w:w="1621" w:type="dxa"/>
            <w:noWrap w:val="0"/>
            <w:vAlign w:val="center"/>
          </w:tcPr>
          <w:p w14:paraId="10094293">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功能区划</w:t>
            </w:r>
          </w:p>
        </w:tc>
        <w:tc>
          <w:tcPr>
            <w:tcW w:w="5823" w:type="dxa"/>
            <w:noWrap w:val="0"/>
            <w:vAlign w:val="center"/>
          </w:tcPr>
          <w:p w14:paraId="329ACA4B">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《安徽省主体功能区规划》</w:t>
            </w:r>
          </w:p>
        </w:tc>
        <w:tc>
          <w:tcPr>
            <w:tcW w:w="1146" w:type="dxa"/>
            <w:noWrap w:val="0"/>
            <w:vAlign w:val="center"/>
          </w:tcPr>
          <w:p w14:paraId="16850B49">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符合</w:t>
            </w:r>
          </w:p>
        </w:tc>
      </w:tr>
      <w:tr w14:paraId="072E7D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2" w:type="dxa"/>
            <w:noWrap w:val="0"/>
            <w:vAlign w:val="center"/>
          </w:tcPr>
          <w:p w14:paraId="2CEFBB4C">
            <w:pPr>
              <w:pStyle w:val="29"/>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8</w:t>
            </w:r>
          </w:p>
        </w:tc>
        <w:tc>
          <w:tcPr>
            <w:tcW w:w="1621" w:type="dxa"/>
            <w:noWrap w:val="0"/>
            <w:vAlign w:val="center"/>
          </w:tcPr>
          <w:p w14:paraId="5B5DF255">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相关规划</w:t>
            </w:r>
          </w:p>
        </w:tc>
        <w:tc>
          <w:tcPr>
            <w:tcW w:w="5823" w:type="dxa"/>
            <w:noWrap w:val="0"/>
            <w:vAlign w:val="center"/>
          </w:tcPr>
          <w:p w14:paraId="59316071">
            <w:pPr>
              <w:pStyle w:val="29"/>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eastAsia="zh-CN"/>
              </w:rPr>
            </w:pPr>
            <w:r>
              <w:rPr>
                <w:rFonts w:hint="eastAsia" w:ascii="Times New Roman" w:hAnsi="Times New Roman" w:cs="Times New Roman"/>
                <w:color w:val="auto"/>
                <w:szCs w:val="21"/>
                <w:lang w:eastAsia="zh-CN"/>
              </w:rPr>
              <w:t>《淮南港总体规划（2035年）》</w:t>
            </w:r>
          </w:p>
        </w:tc>
        <w:tc>
          <w:tcPr>
            <w:tcW w:w="1146" w:type="dxa"/>
            <w:noWrap w:val="0"/>
            <w:vAlign w:val="center"/>
          </w:tcPr>
          <w:p w14:paraId="0391A4F8">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符合</w:t>
            </w:r>
          </w:p>
        </w:tc>
      </w:tr>
      <w:tr w14:paraId="0F5D74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2" w:type="dxa"/>
            <w:noWrap w:val="0"/>
            <w:vAlign w:val="center"/>
          </w:tcPr>
          <w:p w14:paraId="386DEFB7">
            <w:pPr>
              <w:pStyle w:val="29"/>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9</w:t>
            </w:r>
          </w:p>
        </w:tc>
        <w:tc>
          <w:tcPr>
            <w:tcW w:w="1621" w:type="dxa"/>
            <w:noWrap w:val="0"/>
            <w:vAlign w:val="center"/>
          </w:tcPr>
          <w:p w14:paraId="68896AF9">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生态</w:t>
            </w:r>
            <w:r>
              <w:rPr>
                <w:rFonts w:hint="eastAsia" w:ascii="Times New Roman" w:hAnsi="Times New Roman" w:cs="Times New Roman"/>
                <w:color w:val="auto"/>
                <w:szCs w:val="21"/>
                <w:lang w:val="en-US" w:eastAsia="zh-CN"/>
              </w:rPr>
              <w:t>保护</w:t>
            </w:r>
            <w:r>
              <w:rPr>
                <w:rFonts w:hint="default" w:ascii="Times New Roman" w:hAnsi="Times New Roman" w:cs="Times New Roman"/>
                <w:color w:val="auto"/>
                <w:szCs w:val="21"/>
              </w:rPr>
              <w:t>红线</w:t>
            </w:r>
          </w:p>
        </w:tc>
        <w:tc>
          <w:tcPr>
            <w:tcW w:w="5823" w:type="dxa"/>
            <w:noWrap w:val="0"/>
            <w:vAlign w:val="center"/>
          </w:tcPr>
          <w:p w14:paraId="6F2ED67E">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《安徽省生态保护红线》</w:t>
            </w:r>
          </w:p>
        </w:tc>
        <w:tc>
          <w:tcPr>
            <w:tcW w:w="1146" w:type="dxa"/>
            <w:noWrap w:val="0"/>
            <w:vAlign w:val="center"/>
          </w:tcPr>
          <w:p w14:paraId="630ECB1F">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符合</w:t>
            </w:r>
          </w:p>
        </w:tc>
      </w:tr>
      <w:tr w14:paraId="53B574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2" w:type="dxa"/>
            <w:noWrap w:val="0"/>
            <w:vAlign w:val="center"/>
          </w:tcPr>
          <w:p w14:paraId="1C58F9B5">
            <w:pPr>
              <w:pStyle w:val="29"/>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21"/>
                <w:lang w:val="en-US" w:eastAsia="zh-CN"/>
              </w:rPr>
            </w:pPr>
            <w:r>
              <w:rPr>
                <w:rFonts w:hint="eastAsia" w:ascii="Times New Roman" w:hAnsi="Times New Roman" w:cs="Times New Roman"/>
                <w:color w:val="auto"/>
                <w:szCs w:val="21"/>
                <w:lang w:val="en-US" w:eastAsia="zh-CN"/>
              </w:rPr>
              <w:t>10</w:t>
            </w:r>
          </w:p>
        </w:tc>
        <w:tc>
          <w:tcPr>
            <w:tcW w:w="1621" w:type="dxa"/>
            <w:noWrap w:val="0"/>
            <w:vAlign w:val="center"/>
          </w:tcPr>
          <w:p w14:paraId="3DB5D638">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eastAsia" w:cs="Times New Roman"/>
                <w:color w:val="auto"/>
                <w:lang w:val="en-US" w:eastAsia="zh-CN"/>
              </w:rPr>
              <w:t>生态环境分区管控</w:t>
            </w:r>
          </w:p>
        </w:tc>
        <w:tc>
          <w:tcPr>
            <w:tcW w:w="5823" w:type="dxa"/>
            <w:noWrap w:val="0"/>
            <w:vAlign w:val="center"/>
          </w:tcPr>
          <w:p w14:paraId="5896D8E2">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淮南</w:t>
            </w:r>
            <w:r>
              <w:rPr>
                <w:rFonts w:hint="default" w:hAnsi="宋体" w:cs="Times New Roman"/>
                <w:color w:val="auto"/>
                <w:szCs w:val="21"/>
              </w:rPr>
              <w:t>市</w:t>
            </w:r>
            <w:r>
              <w:rPr>
                <w:rFonts w:hint="eastAsia" w:cs="Times New Roman"/>
                <w:color w:val="auto"/>
                <w:lang w:val="en-US" w:eastAsia="zh-CN"/>
              </w:rPr>
              <w:t>生态环境分区管控（“三线一单”）</w:t>
            </w:r>
          </w:p>
        </w:tc>
        <w:tc>
          <w:tcPr>
            <w:tcW w:w="1146" w:type="dxa"/>
            <w:noWrap w:val="0"/>
            <w:vAlign w:val="center"/>
          </w:tcPr>
          <w:p w14:paraId="1F5EBD22">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符合</w:t>
            </w:r>
          </w:p>
        </w:tc>
      </w:tr>
    </w:tbl>
    <w:p w14:paraId="613EF16E">
      <w:pPr>
        <w:pStyle w:val="3"/>
        <w:numPr>
          <w:ilvl w:val="0"/>
          <w:numId w:val="0"/>
        </w:numPr>
        <w:rPr>
          <w:color w:val="auto"/>
        </w:rPr>
      </w:pPr>
      <w:bookmarkStart w:id="23" w:name="_Toc3923"/>
      <w:r>
        <w:rPr>
          <w:rFonts w:hint="eastAsia"/>
          <w:color w:val="auto"/>
        </w:rPr>
        <w:t>1.5</w:t>
      </w:r>
      <w:r>
        <w:rPr>
          <w:rFonts w:hint="eastAsia"/>
          <w:color w:val="auto"/>
          <w:lang w:eastAsia="zh-CN"/>
        </w:rPr>
        <w:t xml:space="preserve"> 关注</w:t>
      </w:r>
      <w:r>
        <w:rPr>
          <w:color w:val="auto"/>
        </w:rPr>
        <w:t>的主要环境问题及环境影响</w:t>
      </w:r>
      <w:bookmarkEnd w:id="23"/>
    </w:p>
    <w:p w14:paraId="2C14838D">
      <w:pPr>
        <w:spacing w:line="360" w:lineRule="auto"/>
        <w:ind w:firstLine="480" w:firstLineChars="200"/>
        <w:rPr>
          <w:color w:val="auto"/>
          <w:sz w:val="24"/>
        </w:rPr>
      </w:pPr>
      <w:r>
        <w:rPr>
          <w:color w:val="auto"/>
          <w:sz w:val="24"/>
        </w:rPr>
        <w:t>本次环境影响评价过程中关注的主要问题包括如下：</w:t>
      </w:r>
    </w:p>
    <w:p w14:paraId="622B16B3">
      <w:pPr>
        <w:spacing w:line="360" w:lineRule="auto"/>
        <w:ind w:firstLine="480" w:firstLineChars="200"/>
        <w:rPr>
          <w:color w:val="auto"/>
          <w:sz w:val="24"/>
        </w:rPr>
      </w:pPr>
      <w:r>
        <w:rPr>
          <w:color w:val="auto"/>
          <w:sz w:val="24"/>
        </w:rPr>
        <w:t>（1）项目为</w:t>
      </w:r>
      <w:r>
        <w:rPr>
          <w:rFonts w:hint="eastAsia"/>
          <w:color w:val="auto"/>
          <w:sz w:val="24"/>
        </w:rPr>
        <w:t>通用散货（含煤炭、矿石</w:t>
      </w:r>
      <w:r>
        <w:rPr>
          <w:rFonts w:hint="eastAsia"/>
          <w:color w:val="auto"/>
          <w:sz w:val="24"/>
          <w:lang w:eastAsia="zh-CN"/>
        </w:rPr>
        <w:t>、</w:t>
      </w:r>
      <w:r>
        <w:rPr>
          <w:rFonts w:hint="eastAsia"/>
          <w:color w:val="auto"/>
          <w:sz w:val="24"/>
          <w:lang w:val="en-US" w:eastAsia="zh-CN"/>
        </w:rPr>
        <w:t>件杂货</w:t>
      </w:r>
      <w:r>
        <w:rPr>
          <w:rFonts w:hint="eastAsia"/>
          <w:color w:val="auto"/>
          <w:sz w:val="24"/>
        </w:rPr>
        <w:t>）</w:t>
      </w:r>
      <w:r>
        <w:rPr>
          <w:color w:val="auto"/>
          <w:sz w:val="24"/>
        </w:rPr>
        <w:t>码头，选址</w:t>
      </w:r>
      <w:r>
        <w:rPr>
          <w:rFonts w:hint="eastAsia"/>
          <w:color w:val="auto"/>
          <w:sz w:val="24"/>
        </w:rPr>
        <w:t>位于淮南市潘集区平圩镇淮河北汊的左岸，上距平圩大件码头约136m，相应淮北大堤桩号68＋052～68＋254，属于淮南港潘集港区平圩作业区范围</w:t>
      </w:r>
      <w:r>
        <w:rPr>
          <w:color w:val="auto"/>
          <w:sz w:val="24"/>
        </w:rPr>
        <w:t>；关注工程选址与</w:t>
      </w:r>
      <w:r>
        <w:rPr>
          <w:rFonts w:hint="eastAsia"/>
          <w:color w:val="auto"/>
          <w:sz w:val="24"/>
        </w:rPr>
        <w:t>《淮南港总体规划（2035年）》</w:t>
      </w:r>
      <w:r>
        <w:rPr>
          <w:color w:val="auto"/>
          <w:sz w:val="24"/>
        </w:rPr>
        <w:t>《</w:t>
      </w:r>
      <w:r>
        <w:rPr>
          <w:rFonts w:hint="eastAsia"/>
          <w:color w:val="auto"/>
          <w:sz w:val="24"/>
        </w:rPr>
        <w:t>淮南市城市综合交通规划</w:t>
      </w:r>
      <w:r>
        <w:rPr>
          <w:color w:val="auto"/>
          <w:sz w:val="24"/>
        </w:rPr>
        <w:t>（20</w:t>
      </w:r>
      <w:r>
        <w:rPr>
          <w:rFonts w:hint="eastAsia"/>
          <w:color w:val="auto"/>
          <w:sz w:val="24"/>
        </w:rPr>
        <w:t>09</w:t>
      </w:r>
      <w:r>
        <w:rPr>
          <w:color w:val="auto"/>
          <w:sz w:val="24"/>
        </w:rPr>
        <w:t>-2020年）》</w:t>
      </w:r>
      <w:r>
        <w:rPr>
          <w:rFonts w:hint="eastAsia"/>
          <w:color w:val="auto"/>
          <w:sz w:val="24"/>
        </w:rPr>
        <w:t>及</w:t>
      </w:r>
      <w:r>
        <w:rPr>
          <w:color w:val="auto"/>
          <w:sz w:val="24"/>
        </w:rPr>
        <w:t>《</w:t>
      </w:r>
      <w:r>
        <w:rPr>
          <w:rFonts w:hint="eastAsia"/>
          <w:color w:val="auto"/>
          <w:sz w:val="24"/>
        </w:rPr>
        <w:t>淮南市新建港口码头配备绿色环保装载运输工具实施方案</w:t>
      </w:r>
      <w:r>
        <w:rPr>
          <w:color w:val="auto"/>
          <w:sz w:val="24"/>
        </w:rPr>
        <w:t>》的相符性。</w:t>
      </w:r>
    </w:p>
    <w:p w14:paraId="29D9880D">
      <w:pPr>
        <w:spacing w:line="360" w:lineRule="auto"/>
        <w:ind w:firstLine="480" w:firstLineChars="200"/>
        <w:rPr>
          <w:color w:val="auto"/>
          <w:sz w:val="24"/>
        </w:rPr>
      </w:pPr>
      <w:r>
        <w:rPr>
          <w:color w:val="auto"/>
          <w:sz w:val="24"/>
        </w:rPr>
        <w:t>（2）调查工程选址周边环境敏感区分布，分析项目与《</w:t>
      </w:r>
      <w:r>
        <w:rPr>
          <w:rFonts w:hint="eastAsia"/>
          <w:color w:val="auto"/>
          <w:sz w:val="24"/>
        </w:rPr>
        <w:t>淮河流域重要河道岸线保护与利用规划</w:t>
      </w:r>
      <w:r>
        <w:rPr>
          <w:color w:val="auto"/>
          <w:sz w:val="24"/>
        </w:rPr>
        <w:t>》</w:t>
      </w:r>
      <w:r>
        <w:rPr>
          <w:rFonts w:hint="eastAsia"/>
          <w:color w:val="auto"/>
          <w:sz w:val="24"/>
          <w:lang w:val="en-US" w:eastAsia="zh-CN"/>
        </w:rPr>
        <w:t>等</w:t>
      </w:r>
      <w:r>
        <w:rPr>
          <w:color w:val="auto"/>
          <w:sz w:val="24"/>
        </w:rPr>
        <w:t>相关符合性。</w:t>
      </w:r>
    </w:p>
    <w:p w14:paraId="3C55C8F7">
      <w:pPr>
        <w:spacing w:line="360" w:lineRule="auto"/>
        <w:ind w:firstLine="480" w:firstLineChars="200"/>
        <w:rPr>
          <w:rFonts w:hint="eastAsia"/>
          <w:color w:val="auto"/>
          <w:sz w:val="24"/>
        </w:rPr>
      </w:pPr>
      <w:r>
        <w:rPr>
          <w:color w:val="auto"/>
          <w:sz w:val="24"/>
        </w:rPr>
        <w:t>（3）关注工程施工期施工方案及施工方式的环境合理性，对施工期各类废（污）水、废气、噪声、固体废物等提出防治或处置措施；重点关注对</w:t>
      </w:r>
      <w:r>
        <w:rPr>
          <w:rFonts w:hint="eastAsia"/>
          <w:color w:val="auto"/>
          <w:sz w:val="24"/>
        </w:rPr>
        <w:t>项目所在地淮</w:t>
      </w:r>
      <w:r>
        <w:rPr>
          <w:color w:val="auto"/>
          <w:sz w:val="24"/>
        </w:rPr>
        <w:t>河</w:t>
      </w:r>
      <w:r>
        <w:rPr>
          <w:rFonts w:hint="eastAsia"/>
          <w:color w:val="auto"/>
          <w:sz w:val="24"/>
        </w:rPr>
        <w:t>下游段</w:t>
      </w:r>
      <w:r>
        <w:rPr>
          <w:color w:val="auto"/>
          <w:sz w:val="24"/>
        </w:rPr>
        <w:t>水质及水生生态的影响，提出施工期污染防治措施</w:t>
      </w:r>
      <w:r>
        <w:rPr>
          <w:rFonts w:hint="eastAsia"/>
          <w:color w:val="auto"/>
          <w:sz w:val="24"/>
        </w:rPr>
        <w:t>。</w:t>
      </w:r>
    </w:p>
    <w:p w14:paraId="7115868A">
      <w:pPr>
        <w:spacing w:line="360" w:lineRule="auto"/>
        <w:ind w:firstLine="480" w:firstLineChars="200"/>
        <w:rPr>
          <w:color w:val="auto"/>
          <w:sz w:val="24"/>
        </w:rPr>
      </w:pPr>
      <w:r>
        <w:rPr>
          <w:color w:val="auto"/>
          <w:sz w:val="24"/>
        </w:rPr>
        <w:t>（4）工程运营期污染物主要为码头装卸</w:t>
      </w:r>
      <w:r>
        <w:rPr>
          <w:rFonts w:hint="eastAsia"/>
          <w:color w:val="auto"/>
          <w:sz w:val="24"/>
        </w:rPr>
        <w:t>粉尘、运输道路扬尘</w:t>
      </w:r>
      <w:r>
        <w:rPr>
          <w:color w:val="auto"/>
          <w:sz w:val="24"/>
        </w:rPr>
        <w:t>；船舶生活污水、船舶</w:t>
      </w:r>
      <w:r>
        <w:rPr>
          <w:rFonts w:hint="eastAsia"/>
          <w:color w:val="auto"/>
          <w:sz w:val="24"/>
        </w:rPr>
        <w:t>含</w:t>
      </w:r>
      <w:r>
        <w:rPr>
          <w:color w:val="auto"/>
          <w:sz w:val="24"/>
        </w:rPr>
        <w:t>油污水</w:t>
      </w:r>
      <w:r>
        <w:rPr>
          <w:rFonts w:hint="eastAsia"/>
          <w:color w:val="auto"/>
          <w:sz w:val="24"/>
        </w:rPr>
        <w:t>、港区生活污水、机械车辆冲洗水、初期雨水、码头地面冲洗废水</w:t>
      </w:r>
      <w:r>
        <w:rPr>
          <w:color w:val="auto"/>
          <w:sz w:val="24"/>
        </w:rPr>
        <w:t>等对环境的影响；重点关注码头装卸</w:t>
      </w:r>
      <w:r>
        <w:rPr>
          <w:rFonts w:hint="eastAsia"/>
          <w:color w:val="auto"/>
          <w:sz w:val="24"/>
        </w:rPr>
        <w:t>粉尘、运输道路扬尘</w:t>
      </w:r>
      <w:r>
        <w:rPr>
          <w:color w:val="auto"/>
          <w:sz w:val="24"/>
        </w:rPr>
        <w:t>和码头各类废水的可控性和污染防治措施的可行性；提出运营期船舶噪声对生态敏感</w:t>
      </w:r>
      <w:r>
        <w:rPr>
          <w:rFonts w:hint="eastAsia"/>
          <w:color w:val="auto"/>
          <w:sz w:val="24"/>
        </w:rPr>
        <w:t>区</w:t>
      </w:r>
      <w:r>
        <w:rPr>
          <w:color w:val="auto"/>
          <w:sz w:val="24"/>
        </w:rPr>
        <w:t>影响的减缓措施。</w:t>
      </w:r>
    </w:p>
    <w:p w14:paraId="07100C77">
      <w:pPr>
        <w:spacing w:line="360" w:lineRule="auto"/>
        <w:ind w:firstLine="480" w:firstLineChars="200"/>
        <w:rPr>
          <w:color w:val="auto"/>
          <w:sz w:val="24"/>
        </w:rPr>
      </w:pPr>
      <w:r>
        <w:rPr>
          <w:color w:val="auto"/>
          <w:sz w:val="24"/>
        </w:rPr>
        <w:t>（5）重点分析本项目</w:t>
      </w:r>
      <w:r>
        <w:rPr>
          <w:rFonts w:hint="eastAsia"/>
          <w:color w:val="auto"/>
          <w:sz w:val="24"/>
        </w:rPr>
        <w:t>施工期及</w:t>
      </w:r>
      <w:r>
        <w:rPr>
          <w:color w:val="auto"/>
          <w:sz w:val="24"/>
        </w:rPr>
        <w:t>运营期的环境风险，全面考虑项目发生环境风险事故时对大气环境、地表水、地下水的影响，特别是对重要生态</w:t>
      </w:r>
      <w:r>
        <w:rPr>
          <w:rFonts w:hint="eastAsia"/>
          <w:color w:val="auto"/>
          <w:sz w:val="24"/>
        </w:rPr>
        <w:t>敏感区</w:t>
      </w:r>
      <w:r>
        <w:rPr>
          <w:color w:val="auto"/>
          <w:sz w:val="24"/>
        </w:rPr>
        <w:t>的影响，提出切实可行的环境风险防范措施和应急措施。</w:t>
      </w:r>
    </w:p>
    <w:p w14:paraId="6EEF632B">
      <w:pPr>
        <w:pStyle w:val="3"/>
        <w:numPr>
          <w:ilvl w:val="0"/>
          <w:numId w:val="0"/>
        </w:numPr>
        <w:rPr>
          <w:color w:val="auto"/>
        </w:rPr>
      </w:pPr>
      <w:bookmarkStart w:id="24" w:name="_Toc24942"/>
      <w:r>
        <w:rPr>
          <w:rFonts w:hint="eastAsia"/>
          <w:color w:val="auto"/>
        </w:rPr>
        <w:t>1.6</w:t>
      </w:r>
      <w:r>
        <w:rPr>
          <w:color w:val="auto"/>
        </w:rPr>
        <w:t>环境影响评价的主要结论</w:t>
      </w:r>
      <w:bookmarkEnd w:id="24"/>
    </w:p>
    <w:p w14:paraId="72CBF42D">
      <w:pPr>
        <w:spacing w:line="360" w:lineRule="auto"/>
        <w:ind w:firstLine="480" w:firstLineChars="200"/>
        <w:rPr>
          <w:rFonts w:hint="eastAsia" w:hAnsi="宋体"/>
          <w:color w:val="auto"/>
          <w:sz w:val="24"/>
          <w:szCs w:val="24"/>
        </w:rPr>
      </w:pPr>
      <w:r>
        <w:rPr>
          <w:rFonts w:hint="eastAsia" w:hAnsi="宋体"/>
          <w:color w:val="auto"/>
          <w:sz w:val="24"/>
          <w:szCs w:val="24"/>
        </w:rPr>
        <w:t>环评单位通过调查、分析和综合评价后认为：本项目符合国家和地方有关环境保护法律法规、标准、政策、规范及相关规划要求；生产过程中所采用的各项污染防治措施技术可行、经济合理，能保证各类污染物长期稳定达标排放；预测结果表明项目所排放的污染物对周围环境和环境保护目标影响较小，对环境的影响可接受；通过采取有针对性的风险防范措施并落实应急预案，项目的环境风险可控。建设单位按照《环境影响评价公众参与办法》开展了公众参与调查，公示期间未收到反馈意见。</w:t>
      </w:r>
    </w:p>
    <w:p w14:paraId="56CE4594">
      <w:pPr>
        <w:spacing w:line="360" w:lineRule="auto"/>
        <w:ind w:firstLine="480" w:firstLineChars="200"/>
        <w:rPr>
          <w:rFonts w:hint="eastAsia" w:hAnsi="宋体"/>
          <w:color w:val="auto"/>
          <w:sz w:val="24"/>
          <w:szCs w:val="24"/>
        </w:rPr>
      </w:pPr>
      <w:r>
        <w:rPr>
          <w:rFonts w:hint="eastAsia" w:hAnsi="宋体"/>
          <w:color w:val="auto"/>
          <w:sz w:val="24"/>
          <w:szCs w:val="24"/>
        </w:rPr>
        <w:t>综上所述，在落实本报告书中的各项环保措施、水产种质资源保护区的影响专题论证报告中各项措施以及各级环保主管部门管理要求的前提下，从环保角度分析，本项目的建设具有环境可行性。</w:t>
      </w:r>
    </w:p>
    <w:p w14:paraId="7F2817A2">
      <w:pPr>
        <w:spacing w:line="360" w:lineRule="auto"/>
        <w:ind w:firstLine="480" w:firstLineChars="200"/>
        <w:rPr>
          <w:color w:val="auto"/>
          <w:sz w:val="24"/>
        </w:rPr>
      </w:pPr>
    </w:p>
    <w:p w14:paraId="294EA4D3">
      <w:pPr>
        <w:spacing w:line="360" w:lineRule="auto"/>
        <w:ind w:firstLine="480" w:firstLineChars="200"/>
        <w:rPr>
          <w:color w:val="auto"/>
          <w:sz w:val="24"/>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AndChars" w:linePitch="312" w:charSpace="0"/>
        </w:sectPr>
      </w:pPr>
    </w:p>
    <w:p w14:paraId="46747910">
      <w:pPr>
        <w:pStyle w:val="2"/>
        <w:numPr>
          <w:ilvl w:val="0"/>
          <w:numId w:val="0"/>
        </w:numPr>
        <w:rPr>
          <w:color w:val="auto"/>
        </w:rPr>
      </w:pPr>
      <w:bookmarkStart w:id="25" w:name="_Toc419403865"/>
      <w:bookmarkStart w:id="26" w:name="_Toc457678950"/>
      <w:bookmarkStart w:id="27" w:name="_Toc328725431"/>
      <w:bookmarkStart w:id="28" w:name="_Toc365749860"/>
      <w:bookmarkStart w:id="29" w:name="_Toc18995"/>
      <w:bookmarkStart w:id="30" w:name="_Toc320532713"/>
      <w:r>
        <w:rPr>
          <w:rFonts w:hint="eastAsia"/>
          <w:color w:val="auto"/>
        </w:rPr>
        <w:t>2</w:t>
      </w:r>
      <w:r>
        <w:rPr>
          <w:color w:val="auto"/>
        </w:rPr>
        <w:t>总则</w:t>
      </w:r>
      <w:bookmarkEnd w:id="25"/>
      <w:bookmarkEnd w:id="26"/>
      <w:bookmarkEnd w:id="27"/>
      <w:bookmarkEnd w:id="28"/>
      <w:bookmarkEnd w:id="29"/>
      <w:bookmarkEnd w:id="30"/>
    </w:p>
    <w:p w14:paraId="7865514A">
      <w:pPr>
        <w:pStyle w:val="3"/>
        <w:numPr>
          <w:ilvl w:val="0"/>
          <w:numId w:val="0"/>
        </w:numPr>
        <w:rPr>
          <w:color w:val="auto"/>
        </w:rPr>
      </w:pPr>
      <w:bookmarkStart w:id="31" w:name="_Toc419403866"/>
      <w:bookmarkStart w:id="32" w:name="_Toc9747"/>
      <w:bookmarkStart w:id="33" w:name="_Toc328725433"/>
      <w:bookmarkStart w:id="34" w:name="_Toc365749863"/>
      <w:bookmarkStart w:id="35" w:name="_Toc294005158"/>
      <w:bookmarkStart w:id="36" w:name="_Toc457678951"/>
      <w:bookmarkStart w:id="37" w:name="_Toc320532715"/>
      <w:bookmarkStart w:id="38" w:name="_Toc306975280"/>
      <w:r>
        <w:rPr>
          <w:rFonts w:hint="eastAsia"/>
          <w:color w:val="auto"/>
        </w:rPr>
        <w:t>2.1</w:t>
      </w:r>
      <w:r>
        <w:rPr>
          <w:color w:val="auto"/>
        </w:rPr>
        <w:t>编制依据</w:t>
      </w:r>
      <w:bookmarkEnd w:id="31"/>
      <w:bookmarkEnd w:id="32"/>
      <w:bookmarkEnd w:id="33"/>
      <w:bookmarkEnd w:id="34"/>
      <w:bookmarkEnd w:id="35"/>
      <w:bookmarkEnd w:id="36"/>
      <w:bookmarkEnd w:id="37"/>
      <w:bookmarkEnd w:id="38"/>
    </w:p>
    <w:p w14:paraId="4E1C38A7">
      <w:pPr>
        <w:pStyle w:val="4"/>
        <w:numPr>
          <w:ilvl w:val="0"/>
          <w:numId w:val="0"/>
        </w:numPr>
        <w:rPr>
          <w:color w:val="auto"/>
        </w:rPr>
      </w:pPr>
      <w:r>
        <w:rPr>
          <w:rFonts w:hint="eastAsia"/>
          <w:color w:val="auto"/>
        </w:rPr>
        <w:t>2.1.1</w:t>
      </w:r>
      <w:r>
        <w:rPr>
          <w:color w:val="auto"/>
        </w:rPr>
        <w:t>国家法律</w:t>
      </w:r>
    </w:p>
    <w:p w14:paraId="672357F4">
      <w:pPr>
        <w:pStyle w:val="24"/>
        <w:numPr>
          <w:ilvl w:val="0"/>
          <w:numId w:val="0"/>
        </w:numPr>
        <w:spacing w:after="0" w:line="360" w:lineRule="auto"/>
        <w:ind w:left="0" w:leftChars="0" w:firstLine="480" w:firstLineChars="200"/>
        <w:rPr>
          <w:rFonts w:hint="default"/>
          <w:color w:val="FF0000"/>
          <w:sz w:val="24"/>
          <w:lang w:val="en-US" w:eastAsia="zh-CN"/>
        </w:rPr>
      </w:pPr>
      <w:r>
        <w:rPr>
          <w:rFonts w:hint="eastAsia" w:ascii="Times New Roman" w:hAnsi="Times New Roman" w:eastAsia="宋体" w:cs="Times New Roman"/>
          <w:color w:val="FF0000"/>
          <w:kern w:val="2"/>
          <w:sz w:val="24"/>
          <w:szCs w:val="21"/>
          <w:lang w:val="en-US" w:eastAsia="zh-CN" w:bidi="ar-SA"/>
        </w:rPr>
        <w:t>（1）</w:t>
      </w:r>
      <w:r>
        <w:rPr>
          <w:rFonts w:hint="default"/>
          <w:color w:val="FF0000"/>
          <w:sz w:val="24"/>
          <w:lang w:val="en-US" w:eastAsia="zh-CN"/>
        </w:rPr>
        <w:t>《中华人民共和国生态环境法典》，中华人民共和国主席令（第七十号），2026年8月15日起施行；</w:t>
      </w:r>
    </w:p>
    <w:p w14:paraId="638E9E29">
      <w:pPr>
        <w:pStyle w:val="24"/>
        <w:numPr>
          <w:ilvl w:val="0"/>
          <w:numId w:val="0"/>
        </w:numPr>
        <w:spacing w:after="0" w:line="360" w:lineRule="auto"/>
        <w:ind w:left="0" w:leftChars="0" w:firstLine="480" w:firstLineChars="200"/>
        <w:rPr>
          <w:color w:val="auto"/>
          <w:sz w:val="24"/>
        </w:rPr>
      </w:pPr>
      <w:r>
        <w:rPr>
          <w:rFonts w:hint="eastAsia" w:ascii="Times New Roman" w:hAnsi="Times New Roman" w:eastAsia="宋体" w:cs="Times New Roman"/>
          <w:color w:val="auto"/>
          <w:kern w:val="2"/>
          <w:sz w:val="24"/>
          <w:szCs w:val="21"/>
          <w:lang w:val="en-US" w:eastAsia="zh-CN" w:bidi="ar-SA"/>
        </w:rPr>
        <w:t>（2）</w:t>
      </w:r>
      <w:r>
        <w:rPr>
          <w:color w:val="auto"/>
          <w:sz w:val="24"/>
        </w:rPr>
        <w:t>《中华人民共和国土地管理法》（修订），2019年8月26日施行；</w:t>
      </w:r>
    </w:p>
    <w:p w14:paraId="459273E2">
      <w:pPr>
        <w:numPr>
          <w:ilvl w:val="0"/>
          <w:numId w:val="0"/>
        </w:numPr>
        <w:spacing w:line="360" w:lineRule="auto"/>
        <w:ind w:left="0" w:leftChars="0" w:firstLine="480" w:firstLineChars="200"/>
        <w:rPr>
          <w:color w:val="auto"/>
          <w:sz w:val="24"/>
        </w:rPr>
      </w:pPr>
      <w:r>
        <w:rPr>
          <w:rFonts w:hint="eastAsia" w:ascii="Times New Roman" w:hAnsi="Times New Roman" w:eastAsia="宋体" w:cs="Times New Roman"/>
          <w:color w:val="auto"/>
          <w:kern w:val="2"/>
          <w:sz w:val="24"/>
          <w:szCs w:val="21"/>
          <w:lang w:val="en-US" w:eastAsia="zh-CN" w:bidi="ar-SA"/>
        </w:rPr>
        <w:t>（3）</w:t>
      </w:r>
      <w:r>
        <w:rPr>
          <w:color w:val="auto"/>
          <w:sz w:val="24"/>
        </w:rPr>
        <w:t>《中华人民共和国水土保持法》，2010年12月25日施行；</w:t>
      </w:r>
    </w:p>
    <w:p w14:paraId="411FCF46">
      <w:pPr>
        <w:pStyle w:val="24"/>
        <w:numPr>
          <w:ilvl w:val="0"/>
          <w:numId w:val="0"/>
        </w:numPr>
        <w:spacing w:after="0" w:line="360" w:lineRule="auto"/>
        <w:ind w:left="0" w:leftChars="0" w:firstLine="480" w:firstLineChars="200"/>
        <w:rPr>
          <w:color w:val="auto"/>
          <w:sz w:val="24"/>
        </w:rPr>
      </w:pPr>
      <w:r>
        <w:rPr>
          <w:rFonts w:hint="eastAsia" w:ascii="Times New Roman" w:hAnsi="Times New Roman" w:eastAsia="宋体" w:cs="Times New Roman"/>
          <w:color w:val="auto"/>
          <w:kern w:val="2"/>
          <w:sz w:val="24"/>
          <w:szCs w:val="21"/>
          <w:lang w:val="en-US" w:eastAsia="zh-CN" w:bidi="ar-SA"/>
        </w:rPr>
        <w:t>（4）</w:t>
      </w:r>
      <w:r>
        <w:rPr>
          <w:color w:val="auto"/>
          <w:sz w:val="24"/>
        </w:rPr>
        <w:t>《中华人民共和国港口法》，2018年12月29日施行；</w:t>
      </w:r>
    </w:p>
    <w:p w14:paraId="3998DD40">
      <w:pPr>
        <w:pStyle w:val="24"/>
        <w:numPr>
          <w:ilvl w:val="0"/>
          <w:numId w:val="0"/>
        </w:numPr>
        <w:spacing w:after="0" w:line="360" w:lineRule="auto"/>
        <w:ind w:left="0" w:leftChars="0" w:firstLine="480" w:firstLineChars="200"/>
        <w:rPr>
          <w:color w:val="auto"/>
          <w:sz w:val="24"/>
        </w:rPr>
      </w:pPr>
      <w:r>
        <w:rPr>
          <w:rFonts w:hint="eastAsia" w:ascii="Times New Roman" w:hAnsi="Times New Roman" w:eastAsia="宋体" w:cs="Times New Roman"/>
          <w:color w:val="auto"/>
          <w:kern w:val="2"/>
          <w:sz w:val="24"/>
          <w:szCs w:val="21"/>
          <w:lang w:val="en-US" w:eastAsia="zh-CN" w:bidi="ar-SA"/>
        </w:rPr>
        <w:t>（5）</w:t>
      </w:r>
      <w:r>
        <w:rPr>
          <w:color w:val="auto"/>
          <w:sz w:val="24"/>
        </w:rPr>
        <w:t>《中华人民共和国水法》（修订），2016年7月2日施行；</w:t>
      </w:r>
    </w:p>
    <w:p w14:paraId="42CB8F4C">
      <w:pPr>
        <w:pStyle w:val="24"/>
        <w:numPr>
          <w:ilvl w:val="0"/>
          <w:numId w:val="0"/>
        </w:numPr>
        <w:spacing w:after="0" w:line="360" w:lineRule="auto"/>
        <w:ind w:left="0" w:leftChars="0" w:firstLine="480" w:firstLineChars="200"/>
        <w:rPr>
          <w:color w:val="auto"/>
          <w:sz w:val="24"/>
        </w:rPr>
      </w:pPr>
      <w:r>
        <w:rPr>
          <w:rFonts w:hint="eastAsia" w:ascii="Times New Roman" w:hAnsi="Times New Roman" w:eastAsia="宋体" w:cs="Times New Roman"/>
          <w:color w:val="auto"/>
          <w:kern w:val="2"/>
          <w:sz w:val="24"/>
          <w:szCs w:val="21"/>
          <w:lang w:val="en-US" w:eastAsia="zh-CN" w:bidi="ar-SA"/>
        </w:rPr>
        <w:t>（6）</w:t>
      </w:r>
      <w:r>
        <w:rPr>
          <w:color w:val="auto"/>
          <w:sz w:val="24"/>
        </w:rPr>
        <w:t>《中华人民共和国渔业法》，2013年12月28日实施；</w:t>
      </w:r>
    </w:p>
    <w:p w14:paraId="5799B2E9">
      <w:pPr>
        <w:pStyle w:val="24"/>
        <w:numPr>
          <w:ilvl w:val="0"/>
          <w:numId w:val="0"/>
        </w:numPr>
        <w:spacing w:after="0" w:line="360" w:lineRule="auto"/>
        <w:ind w:left="0" w:leftChars="0" w:firstLine="480" w:firstLineChars="200"/>
        <w:rPr>
          <w:color w:val="auto"/>
          <w:sz w:val="24"/>
        </w:rPr>
      </w:pPr>
      <w:r>
        <w:rPr>
          <w:rFonts w:hint="eastAsia" w:ascii="Times New Roman" w:hAnsi="Times New Roman" w:eastAsia="宋体" w:cs="Times New Roman"/>
          <w:color w:val="auto"/>
          <w:kern w:val="2"/>
          <w:sz w:val="24"/>
          <w:szCs w:val="21"/>
          <w:lang w:val="en-US" w:eastAsia="zh-CN" w:bidi="ar-SA"/>
        </w:rPr>
        <w:t>（7）</w:t>
      </w:r>
      <w:r>
        <w:rPr>
          <w:color w:val="auto"/>
          <w:sz w:val="24"/>
        </w:rPr>
        <w:t>《中华人民共和国野生动物保护法》，2018年10月26日施行；</w:t>
      </w:r>
    </w:p>
    <w:p w14:paraId="14FE2B44">
      <w:pPr>
        <w:pStyle w:val="24"/>
        <w:numPr>
          <w:ilvl w:val="0"/>
          <w:numId w:val="0"/>
        </w:numPr>
        <w:spacing w:after="0" w:line="360" w:lineRule="auto"/>
        <w:ind w:left="0" w:leftChars="0" w:firstLine="480" w:firstLineChars="200"/>
        <w:rPr>
          <w:color w:val="auto"/>
          <w:sz w:val="24"/>
        </w:rPr>
      </w:pPr>
      <w:r>
        <w:rPr>
          <w:rFonts w:hint="eastAsia" w:ascii="Times New Roman" w:hAnsi="Times New Roman" w:eastAsia="宋体" w:cs="Times New Roman"/>
          <w:color w:val="auto"/>
          <w:kern w:val="2"/>
          <w:sz w:val="24"/>
          <w:szCs w:val="21"/>
          <w:lang w:val="en-US" w:eastAsia="zh-CN" w:bidi="ar-SA"/>
        </w:rPr>
        <w:t>（8）</w:t>
      </w:r>
      <w:r>
        <w:rPr>
          <w:color w:val="auto"/>
          <w:sz w:val="24"/>
        </w:rPr>
        <w:t>《中华人民共和国野生植物保护条例》，2017年10月7日施行；</w:t>
      </w:r>
    </w:p>
    <w:p w14:paraId="2782C3A6">
      <w:pPr>
        <w:pStyle w:val="24"/>
        <w:numPr>
          <w:ilvl w:val="0"/>
          <w:numId w:val="0"/>
        </w:numPr>
        <w:spacing w:after="0" w:line="360" w:lineRule="auto"/>
        <w:ind w:left="0" w:leftChars="0" w:firstLine="480" w:firstLineChars="200"/>
        <w:rPr>
          <w:color w:val="auto"/>
          <w:sz w:val="24"/>
        </w:rPr>
      </w:pPr>
      <w:r>
        <w:rPr>
          <w:rFonts w:hint="eastAsia" w:ascii="Times New Roman" w:hAnsi="Times New Roman" w:eastAsia="宋体" w:cs="Times New Roman"/>
          <w:color w:val="auto"/>
          <w:kern w:val="2"/>
          <w:sz w:val="24"/>
          <w:szCs w:val="21"/>
          <w:lang w:val="en-US" w:eastAsia="zh-CN" w:bidi="ar-SA"/>
        </w:rPr>
        <w:t>（9）</w:t>
      </w:r>
      <w:r>
        <w:rPr>
          <w:color w:val="auto"/>
          <w:sz w:val="24"/>
        </w:rPr>
        <w:t>《地下水管理条例》，</w:t>
      </w:r>
      <w:r>
        <w:rPr>
          <w:rFonts w:hint="eastAsia"/>
          <w:color w:val="auto"/>
          <w:sz w:val="24"/>
        </w:rPr>
        <w:t>2</w:t>
      </w:r>
      <w:r>
        <w:rPr>
          <w:color w:val="auto"/>
          <w:sz w:val="24"/>
        </w:rPr>
        <w:t>021年</w:t>
      </w:r>
      <w:r>
        <w:rPr>
          <w:rFonts w:hint="eastAsia"/>
          <w:color w:val="auto"/>
          <w:sz w:val="24"/>
        </w:rPr>
        <w:t>1</w:t>
      </w:r>
      <w:r>
        <w:rPr>
          <w:color w:val="auto"/>
          <w:sz w:val="24"/>
        </w:rPr>
        <w:t>2月</w:t>
      </w:r>
      <w:r>
        <w:rPr>
          <w:rFonts w:hint="eastAsia"/>
          <w:color w:val="auto"/>
          <w:sz w:val="24"/>
        </w:rPr>
        <w:t>1日施行</w:t>
      </w:r>
      <w:r>
        <w:rPr>
          <w:color w:val="auto"/>
          <w:sz w:val="24"/>
        </w:rPr>
        <w:t>。</w:t>
      </w:r>
    </w:p>
    <w:p w14:paraId="529B5F71">
      <w:pPr>
        <w:pStyle w:val="4"/>
        <w:numPr>
          <w:ilvl w:val="0"/>
          <w:numId w:val="0"/>
        </w:numPr>
        <w:rPr>
          <w:color w:val="auto"/>
        </w:rPr>
      </w:pPr>
      <w:r>
        <w:rPr>
          <w:rFonts w:hint="eastAsia"/>
          <w:color w:val="auto"/>
        </w:rPr>
        <w:t>2.1.2</w:t>
      </w:r>
      <w:r>
        <w:rPr>
          <w:color w:val="auto"/>
        </w:rPr>
        <w:t>国家法规、规章</w:t>
      </w:r>
    </w:p>
    <w:p w14:paraId="1569C393">
      <w:pPr>
        <w:pStyle w:val="24"/>
        <w:spacing w:after="0" w:line="360" w:lineRule="auto"/>
        <w:ind w:firstLine="480" w:firstLineChars="200"/>
        <w:rPr>
          <w:color w:val="auto"/>
          <w:sz w:val="24"/>
        </w:rPr>
      </w:pPr>
      <w:r>
        <w:rPr>
          <w:rFonts w:hint="eastAsia"/>
          <w:color w:val="auto"/>
          <w:sz w:val="24"/>
        </w:rPr>
        <w:t>（1）</w:t>
      </w:r>
      <w:r>
        <w:rPr>
          <w:color w:val="auto"/>
          <w:sz w:val="24"/>
        </w:rPr>
        <w:t>《建设项目环境保护管理条例》，国务院令第682号，2017年10月1日施行；</w:t>
      </w:r>
    </w:p>
    <w:p w14:paraId="01E43BEE">
      <w:pPr>
        <w:pStyle w:val="24"/>
        <w:spacing w:after="0" w:line="360" w:lineRule="auto"/>
        <w:ind w:firstLine="480" w:firstLineChars="200"/>
        <w:rPr>
          <w:color w:val="auto"/>
          <w:sz w:val="24"/>
        </w:rPr>
      </w:pPr>
      <w:r>
        <w:rPr>
          <w:rFonts w:hint="eastAsia"/>
          <w:color w:val="auto"/>
          <w:sz w:val="24"/>
        </w:rPr>
        <w:t>（2）</w:t>
      </w:r>
      <w:r>
        <w:rPr>
          <w:color w:val="auto"/>
          <w:sz w:val="24"/>
        </w:rPr>
        <w:t>《建设项目环境影响评价分类管理名录》，生态环境部</w:t>
      </w:r>
      <w:r>
        <w:rPr>
          <w:rFonts w:hint="eastAsia"/>
          <w:color w:val="auto"/>
          <w:sz w:val="24"/>
        </w:rPr>
        <w:t xml:space="preserve"> </w:t>
      </w:r>
      <w:r>
        <w:rPr>
          <w:color w:val="auto"/>
          <w:sz w:val="24"/>
        </w:rPr>
        <w:t>部令第16号，2021年1月1日起施行；</w:t>
      </w:r>
    </w:p>
    <w:p w14:paraId="3055BC69">
      <w:pPr>
        <w:pStyle w:val="24"/>
        <w:spacing w:after="0" w:line="360" w:lineRule="auto"/>
        <w:ind w:firstLine="480" w:firstLineChars="200"/>
        <w:rPr>
          <w:color w:val="auto"/>
          <w:sz w:val="24"/>
        </w:rPr>
      </w:pPr>
      <w:r>
        <w:rPr>
          <w:rFonts w:hint="eastAsia"/>
          <w:color w:val="auto"/>
          <w:sz w:val="24"/>
        </w:rPr>
        <w:t>（3）</w:t>
      </w:r>
      <w:r>
        <w:rPr>
          <w:color w:val="auto"/>
          <w:sz w:val="24"/>
        </w:rPr>
        <w:t>《环境影响评价公众参与办法》，生态环境部令第4号，2019年1月1日实施；</w:t>
      </w:r>
    </w:p>
    <w:p w14:paraId="79A81494">
      <w:pPr>
        <w:spacing w:line="360" w:lineRule="auto"/>
        <w:ind w:firstLine="480" w:firstLineChars="200"/>
        <w:rPr>
          <w:color w:val="auto"/>
          <w:sz w:val="24"/>
        </w:rPr>
      </w:pPr>
      <w:r>
        <w:rPr>
          <w:rFonts w:hint="eastAsia"/>
          <w:color w:val="auto"/>
          <w:sz w:val="24"/>
        </w:rPr>
        <w:t>（4）</w:t>
      </w:r>
      <w:r>
        <w:rPr>
          <w:color w:val="auto"/>
          <w:sz w:val="24"/>
        </w:rPr>
        <w:t>《关于进一步加强环境影响评价管理防范环境风险的通知》环境保护部，环发〔2012〕77号</w:t>
      </w:r>
      <w:r>
        <w:rPr>
          <w:rFonts w:hint="eastAsia"/>
          <w:color w:val="auto"/>
          <w:sz w:val="24"/>
        </w:rPr>
        <w:t>；</w:t>
      </w:r>
    </w:p>
    <w:p w14:paraId="1C306629">
      <w:pPr>
        <w:spacing w:line="360" w:lineRule="auto"/>
        <w:ind w:firstLine="480" w:firstLineChars="200"/>
        <w:rPr>
          <w:color w:val="auto"/>
          <w:sz w:val="24"/>
        </w:rPr>
      </w:pPr>
      <w:r>
        <w:rPr>
          <w:rFonts w:hint="eastAsia"/>
          <w:color w:val="auto"/>
          <w:sz w:val="24"/>
        </w:rPr>
        <w:t>（5）</w:t>
      </w:r>
      <w:r>
        <w:rPr>
          <w:color w:val="auto"/>
          <w:sz w:val="24"/>
        </w:rPr>
        <w:t>《国务院关于印发</w:t>
      </w:r>
      <w:r>
        <w:rPr>
          <w:color w:val="auto"/>
        </w:rPr>
        <w:t>&lt;</w:t>
      </w:r>
      <w:r>
        <w:rPr>
          <w:color w:val="auto"/>
          <w:sz w:val="24"/>
        </w:rPr>
        <w:t>水污染防治行动计划</w:t>
      </w:r>
      <w:r>
        <w:rPr>
          <w:color w:val="auto"/>
        </w:rPr>
        <w:t>&gt;</w:t>
      </w:r>
      <w:r>
        <w:rPr>
          <w:color w:val="auto"/>
          <w:sz w:val="24"/>
        </w:rPr>
        <w:t>的通知》（国发〔2015〕17号），2015年4月2日；</w:t>
      </w:r>
    </w:p>
    <w:p w14:paraId="337933DF">
      <w:pPr>
        <w:spacing w:line="360" w:lineRule="auto"/>
        <w:ind w:firstLine="480" w:firstLineChars="200"/>
        <w:rPr>
          <w:color w:val="auto"/>
          <w:sz w:val="24"/>
        </w:rPr>
      </w:pPr>
      <w:r>
        <w:rPr>
          <w:rFonts w:hint="eastAsia"/>
          <w:color w:val="auto"/>
          <w:sz w:val="24"/>
        </w:rPr>
        <w:t>（6）</w:t>
      </w:r>
      <w:r>
        <w:rPr>
          <w:color w:val="auto"/>
          <w:sz w:val="24"/>
        </w:rPr>
        <w:t>《国务院关于印发</w:t>
      </w:r>
      <w:r>
        <w:rPr>
          <w:color w:val="auto"/>
        </w:rPr>
        <w:t>&lt;</w:t>
      </w:r>
      <w:r>
        <w:rPr>
          <w:color w:val="auto"/>
          <w:sz w:val="24"/>
        </w:rPr>
        <w:t>土壤污染防治行动计划</w:t>
      </w:r>
      <w:r>
        <w:rPr>
          <w:color w:val="auto"/>
        </w:rPr>
        <w:t>&gt;</w:t>
      </w:r>
      <w:r>
        <w:rPr>
          <w:color w:val="auto"/>
          <w:sz w:val="24"/>
        </w:rPr>
        <w:t>的通知》（国发〔2016〕31号），2016年5月28日；</w:t>
      </w:r>
    </w:p>
    <w:p w14:paraId="60C1D6C8">
      <w:pPr>
        <w:spacing w:line="360" w:lineRule="auto"/>
        <w:ind w:firstLine="480" w:firstLineChars="200"/>
        <w:rPr>
          <w:color w:val="auto"/>
          <w:sz w:val="24"/>
        </w:rPr>
      </w:pPr>
      <w:r>
        <w:rPr>
          <w:rFonts w:hint="eastAsia"/>
          <w:color w:val="auto"/>
          <w:sz w:val="24"/>
        </w:rPr>
        <w:t>（7）</w:t>
      </w:r>
      <w:r>
        <w:rPr>
          <w:color w:val="auto"/>
          <w:sz w:val="24"/>
        </w:rPr>
        <w:t>《关于印发地下水污染防治实施方案的通知》，生态环境部、自然资源部、住房和城乡建设部、水利部、农业农村部，环土壤〔2019〕25号，2019年3月28日；</w:t>
      </w:r>
    </w:p>
    <w:p w14:paraId="1E748FB0">
      <w:pPr>
        <w:spacing w:line="360" w:lineRule="auto"/>
        <w:ind w:firstLine="480" w:firstLineChars="200"/>
        <w:rPr>
          <w:color w:val="auto"/>
          <w:sz w:val="24"/>
        </w:rPr>
      </w:pPr>
      <w:r>
        <w:rPr>
          <w:rFonts w:hint="eastAsia"/>
          <w:color w:val="auto"/>
          <w:sz w:val="24"/>
        </w:rPr>
        <w:t>（8）</w:t>
      </w:r>
      <w:r>
        <w:rPr>
          <w:color w:val="auto"/>
          <w:sz w:val="24"/>
        </w:rPr>
        <w:t>《企业事业单位环境信息公开办法》，环保部令第31号，2015年1月1日起施行；</w:t>
      </w:r>
    </w:p>
    <w:p w14:paraId="7F6807F2">
      <w:pPr>
        <w:spacing w:line="360" w:lineRule="auto"/>
        <w:ind w:firstLine="480" w:firstLineChars="200"/>
        <w:rPr>
          <w:color w:val="auto"/>
          <w:sz w:val="24"/>
        </w:rPr>
      </w:pPr>
      <w:r>
        <w:rPr>
          <w:rFonts w:hint="eastAsia"/>
          <w:color w:val="auto"/>
          <w:sz w:val="24"/>
        </w:rPr>
        <w:t>（9）</w:t>
      </w:r>
      <w:r>
        <w:rPr>
          <w:color w:val="auto"/>
          <w:sz w:val="24"/>
        </w:rPr>
        <w:t>《关于落实大气污染防治行动计划严格环境影响评价准入的通知》（环保部办公厅，环办〔2014〕30号，2014年3月25日）；</w:t>
      </w:r>
    </w:p>
    <w:p w14:paraId="4AD66AE3">
      <w:pPr>
        <w:spacing w:line="360" w:lineRule="auto"/>
        <w:ind w:firstLine="480" w:firstLineChars="200"/>
        <w:rPr>
          <w:color w:val="auto"/>
          <w:sz w:val="24"/>
        </w:rPr>
      </w:pPr>
      <w:r>
        <w:rPr>
          <w:rFonts w:hint="eastAsia"/>
          <w:color w:val="auto"/>
          <w:sz w:val="24"/>
        </w:rPr>
        <w:t>（10）</w:t>
      </w:r>
      <w:r>
        <w:rPr>
          <w:color w:val="auto"/>
          <w:sz w:val="24"/>
        </w:rPr>
        <w:t>《关于发布实施〈限制用地项目目录（2012年本）〉和〈禁止用地项目目录（2012年本）〉的通知》，国土资源部国家发展和改革委员会，2012年5月；</w:t>
      </w:r>
    </w:p>
    <w:p w14:paraId="6C6D660D">
      <w:pPr>
        <w:spacing w:line="360" w:lineRule="auto"/>
        <w:ind w:firstLine="480" w:firstLineChars="200"/>
        <w:rPr>
          <w:color w:val="auto"/>
          <w:sz w:val="24"/>
        </w:rPr>
      </w:pPr>
      <w:r>
        <w:rPr>
          <w:rFonts w:hint="eastAsia"/>
          <w:color w:val="auto"/>
          <w:sz w:val="24"/>
        </w:rPr>
        <w:t>（11）</w:t>
      </w:r>
      <w:r>
        <w:rPr>
          <w:color w:val="auto"/>
          <w:sz w:val="24"/>
        </w:rPr>
        <w:t>《突发环境事件应急管理办法》（环境保护部令第34号，2015年3月19日）；</w:t>
      </w:r>
    </w:p>
    <w:p w14:paraId="42A56A7F">
      <w:pPr>
        <w:spacing w:line="360" w:lineRule="auto"/>
        <w:ind w:firstLine="480" w:firstLineChars="200"/>
        <w:rPr>
          <w:color w:val="auto"/>
          <w:sz w:val="24"/>
        </w:rPr>
      </w:pPr>
      <w:r>
        <w:rPr>
          <w:rFonts w:hint="eastAsia"/>
          <w:color w:val="auto"/>
          <w:sz w:val="24"/>
        </w:rPr>
        <w:t>（12）</w:t>
      </w:r>
      <w:r>
        <w:rPr>
          <w:color w:val="auto"/>
          <w:sz w:val="24"/>
        </w:rPr>
        <w:t>《国家危险废物名录（</w:t>
      </w:r>
      <w:r>
        <w:rPr>
          <w:rFonts w:hint="eastAsia"/>
          <w:color w:val="auto"/>
          <w:sz w:val="24"/>
        </w:rPr>
        <w:t>2</w:t>
      </w:r>
      <w:r>
        <w:rPr>
          <w:color w:val="auto"/>
          <w:sz w:val="24"/>
        </w:rPr>
        <w:t>021年版）》</w:t>
      </w:r>
      <w:r>
        <w:rPr>
          <w:rFonts w:hint="eastAsia"/>
          <w:color w:val="auto"/>
          <w:sz w:val="24"/>
        </w:rPr>
        <w:t>，生态</w:t>
      </w:r>
      <w:r>
        <w:rPr>
          <w:color w:val="auto"/>
          <w:sz w:val="24"/>
        </w:rPr>
        <w:t>环境部、国家发展和改革委员会</w:t>
      </w:r>
      <w:r>
        <w:rPr>
          <w:rFonts w:hint="eastAsia"/>
          <w:color w:val="auto"/>
          <w:sz w:val="24"/>
        </w:rPr>
        <w:t>、</w:t>
      </w:r>
      <w:r>
        <w:rPr>
          <w:color w:val="auto"/>
          <w:sz w:val="24"/>
        </w:rPr>
        <w:t>公安部、交通运输部、国家卫生健康委员会，部令第</w:t>
      </w:r>
      <w:r>
        <w:rPr>
          <w:rFonts w:hint="eastAsia"/>
          <w:color w:val="auto"/>
          <w:sz w:val="24"/>
        </w:rPr>
        <w:t>1</w:t>
      </w:r>
      <w:r>
        <w:rPr>
          <w:color w:val="auto"/>
          <w:sz w:val="24"/>
        </w:rPr>
        <w:t>5号，2021年1月1日；</w:t>
      </w:r>
    </w:p>
    <w:p w14:paraId="38E866C4">
      <w:pPr>
        <w:spacing w:line="360" w:lineRule="auto"/>
        <w:ind w:firstLine="480" w:firstLineChars="200"/>
        <w:rPr>
          <w:color w:val="auto"/>
          <w:sz w:val="24"/>
        </w:rPr>
      </w:pPr>
      <w:r>
        <w:rPr>
          <w:rFonts w:hint="eastAsia"/>
          <w:color w:val="auto"/>
          <w:sz w:val="24"/>
        </w:rPr>
        <w:t>（13）</w:t>
      </w:r>
      <w:r>
        <w:rPr>
          <w:color w:val="auto"/>
          <w:sz w:val="24"/>
        </w:rPr>
        <w:t>《一般工业固体废物贮存</w:t>
      </w:r>
      <w:r>
        <w:rPr>
          <w:rFonts w:hint="eastAsia"/>
          <w:color w:val="auto"/>
          <w:sz w:val="24"/>
        </w:rPr>
        <w:t>和</w:t>
      </w:r>
      <w:r>
        <w:rPr>
          <w:color w:val="auto"/>
          <w:sz w:val="24"/>
        </w:rPr>
        <w:t>填埋污染控制标准</w:t>
      </w:r>
      <w:r>
        <w:rPr>
          <w:rFonts w:hint="eastAsia"/>
          <w:color w:val="auto"/>
          <w:sz w:val="24"/>
          <w:lang w:eastAsia="zh-CN"/>
        </w:rPr>
        <w:t>》（</w:t>
      </w:r>
      <w:r>
        <w:rPr>
          <w:color w:val="auto"/>
          <w:sz w:val="24"/>
        </w:rPr>
        <w:t>GB18599-2020），2021年7月1日</w:t>
      </w:r>
      <w:r>
        <w:rPr>
          <w:rFonts w:hint="eastAsia"/>
          <w:color w:val="auto"/>
          <w:sz w:val="24"/>
          <w:lang w:eastAsia="zh-CN"/>
        </w:rPr>
        <w:t>起施行</w:t>
      </w:r>
      <w:r>
        <w:rPr>
          <w:color w:val="auto"/>
          <w:sz w:val="24"/>
        </w:rPr>
        <w:t>；</w:t>
      </w:r>
    </w:p>
    <w:p w14:paraId="6CA94BE5">
      <w:pPr>
        <w:pStyle w:val="15"/>
        <w:tabs>
          <w:tab w:val="left" w:pos="0"/>
          <w:tab w:val="left" w:pos="1080"/>
        </w:tabs>
        <w:spacing w:line="360" w:lineRule="auto"/>
        <w:ind w:firstLine="480" w:firstLineChars="200"/>
        <w:textAlignment w:val="baseline"/>
        <w:rPr>
          <w:color w:val="auto"/>
          <w:sz w:val="24"/>
          <w:szCs w:val="24"/>
        </w:rPr>
      </w:pPr>
      <w:r>
        <w:rPr>
          <w:rFonts w:hint="eastAsia"/>
          <w:color w:val="auto"/>
          <w:sz w:val="24"/>
          <w:szCs w:val="24"/>
        </w:rPr>
        <w:t>（14）</w:t>
      </w:r>
      <w:r>
        <w:rPr>
          <w:color w:val="auto"/>
          <w:sz w:val="24"/>
        </w:rPr>
        <w:t>《</w:t>
      </w:r>
      <w:r>
        <w:rPr>
          <w:color w:val="auto"/>
          <w:sz w:val="24"/>
          <w:szCs w:val="24"/>
        </w:rPr>
        <w:t>关于印发&lt;重点流域水生生物多样性保护方案&gt;的通知》，生态环境部、农业农村部、水利部，环生态〔2018〕3号，2018年4月3日</w:t>
      </w:r>
      <w:r>
        <w:rPr>
          <w:rFonts w:hint="eastAsia"/>
          <w:color w:val="auto"/>
          <w:sz w:val="24"/>
          <w:szCs w:val="24"/>
        </w:rPr>
        <w:t>；</w:t>
      </w:r>
    </w:p>
    <w:p w14:paraId="78F839C6">
      <w:pPr>
        <w:spacing w:line="360" w:lineRule="auto"/>
        <w:ind w:firstLine="480" w:firstLineChars="200"/>
        <w:rPr>
          <w:color w:val="auto"/>
          <w:sz w:val="24"/>
        </w:rPr>
      </w:pPr>
      <w:r>
        <w:rPr>
          <w:rFonts w:hint="eastAsia"/>
          <w:color w:val="auto"/>
          <w:sz w:val="24"/>
        </w:rPr>
        <w:t>（15）</w:t>
      </w:r>
      <w:r>
        <w:rPr>
          <w:color w:val="auto"/>
          <w:sz w:val="24"/>
        </w:rPr>
        <w:t>《港口建设项目环境影响评价文件审批原则</w:t>
      </w:r>
      <w:r>
        <w:rPr>
          <w:rFonts w:hint="eastAsia"/>
          <w:color w:val="auto"/>
          <w:sz w:val="24"/>
          <w:lang w:eastAsia="zh-CN"/>
        </w:rPr>
        <w:t>（</w:t>
      </w:r>
      <w:r>
        <w:rPr>
          <w:color w:val="auto"/>
          <w:sz w:val="24"/>
        </w:rPr>
        <w:t>试行)》，环境保护部办公厅，2018年1月4日</w:t>
      </w:r>
      <w:r>
        <w:rPr>
          <w:rFonts w:hint="eastAsia"/>
          <w:color w:val="auto"/>
          <w:sz w:val="24"/>
        </w:rPr>
        <w:t>；</w:t>
      </w:r>
    </w:p>
    <w:p w14:paraId="4482C866">
      <w:pPr>
        <w:spacing w:line="360" w:lineRule="auto"/>
        <w:ind w:firstLine="480" w:firstLineChars="200"/>
        <w:rPr>
          <w:color w:val="auto"/>
          <w:sz w:val="24"/>
        </w:rPr>
      </w:pPr>
      <w:r>
        <w:rPr>
          <w:rFonts w:hint="eastAsia"/>
          <w:color w:val="auto"/>
          <w:sz w:val="24"/>
        </w:rPr>
        <w:t>（16）</w:t>
      </w:r>
      <w:r>
        <w:rPr>
          <w:color w:val="auto"/>
          <w:sz w:val="24"/>
        </w:rPr>
        <w:t>《水产种质资源保护区管理暂行办法》，</w:t>
      </w:r>
      <w:r>
        <w:rPr>
          <w:rFonts w:hint="eastAsia"/>
          <w:color w:val="auto"/>
          <w:sz w:val="24"/>
          <w:lang w:eastAsia="zh-CN"/>
        </w:rPr>
        <w:t>农业农村部</w:t>
      </w:r>
      <w:r>
        <w:rPr>
          <w:color w:val="auto"/>
          <w:sz w:val="24"/>
        </w:rPr>
        <w:t>令</w:t>
      </w:r>
      <w:r>
        <w:rPr>
          <w:rFonts w:hint="eastAsia"/>
          <w:color w:val="auto"/>
          <w:sz w:val="24"/>
        </w:rPr>
        <w:t>2</w:t>
      </w:r>
      <w:r>
        <w:rPr>
          <w:color w:val="auto"/>
          <w:sz w:val="24"/>
        </w:rPr>
        <w:t>016年第</w:t>
      </w:r>
      <w:r>
        <w:rPr>
          <w:rFonts w:hint="eastAsia"/>
          <w:color w:val="auto"/>
          <w:sz w:val="24"/>
        </w:rPr>
        <w:t>3号，2</w:t>
      </w:r>
      <w:r>
        <w:rPr>
          <w:color w:val="auto"/>
          <w:sz w:val="24"/>
        </w:rPr>
        <w:t>016年</w:t>
      </w:r>
      <w:r>
        <w:rPr>
          <w:rFonts w:hint="eastAsia"/>
          <w:color w:val="auto"/>
          <w:sz w:val="24"/>
        </w:rPr>
        <w:t>6月1日；</w:t>
      </w:r>
    </w:p>
    <w:p w14:paraId="5036F81A">
      <w:pPr>
        <w:spacing w:line="360" w:lineRule="auto"/>
        <w:ind w:firstLine="480" w:firstLineChars="200"/>
        <w:rPr>
          <w:color w:val="auto"/>
          <w:sz w:val="24"/>
        </w:rPr>
      </w:pPr>
      <w:r>
        <w:rPr>
          <w:rFonts w:hint="eastAsia"/>
          <w:color w:val="auto"/>
          <w:sz w:val="24"/>
        </w:rPr>
        <w:t>（17）</w:t>
      </w:r>
      <w:r>
        <w:rPr>
          <w:color w:val="auto"/>
          <w:sz w:val="24"/>
        </w:rPr>
        <w:t>《内河禁运危险化学品目录（2019 版）》，交通运输部、生态环境部、工业和信息化部、应急管理部 第30号，2019年5月24日；</w:t>
      </w:r>
    </w:p>
    <w:p w14:paraId="6C6C24FF">
      <w:pPr>
        <w:spacing w:line="360" w:lineRule="auto"/>
        <w:ind w:firstLine="480" w:firstLineChars="200"/>
        <w:rPr>
          <w:color w:val="auto"/>
          <w:sz w:val="24"/>
        </w:rPr>
      </w:pPr>
      <w:r>
        <w:rPr>
          <w:rFonts w:hint="eastAsia"/>
          <w:color w:val="auto"/>
          <w:sz w:val="24"/>
        </w:rPr>
        <w:t>（18）</w:t>
      </w:r>
      <w:r>
        <w:rPr>
          <w:color w:val="auto"/>
          <w:sz w:val="24"/>
        </w:rPr>
        <w:t>《船舶与港口污染防治专项行动实施方案（2015～2020年）》，交通运输部，交水发</w:t>
      </w:r>
      <w:r>
        <w:rPr>
          <w:color w:val="auto"/>
          <w:sz w:val="24"/>
          <w:szCs w:val="24"/>
        </w:rPr>
        <w:t>〔2015〕</w:t>
      </w:r>
      <w:r>
        <w:rPr>
          <w:color w:val="auto"/>
          <w:sz w:val="24"/>
        </w:rPr>
        <w:t>133号，2015年8月27日</w:t>
      </w:r>
      <w:r>
        <w:rPr>
          <w:rFonts w:hint="eastAsia"/>
          <w:color w:val="auto"/>
          <w:sz w:val="24"/>
        </w:rPr>
        <w:t>；</w:t>
      </w:r>
    </w:p>
    <w:p w14:paraId="358BBAAD">
      <w:pPr>
        <w:spacing w:line="360" w:lineRule="auto"/>
        <w:ind w:firstLine="480" w:firstLineChars="200"/>
        <w:rPr>
          <w:rFonts w:hint="eastAsia"/>
          <w:color w:val="auto"/>
          <w:sz w:val="24"/>
        </w:rPr>
      </w:pPr>
      <w:r>
        <w:rPr>
          <w:rFonts w:hint="eastAsia"/>
          <w:color w:val="auto"/>
          <w:sz w:val="24"/>
        </w:rPr>
        <w:t>（19）</w:t>
      </w:r>
      <w:r>
        <w:rPr>
          <w:color w:val="auto"/>
          <w:sz w:val="24"/>
        </w:rPr>
        <w:t>《淮河流域重要河道岸线保护与利用规划》，水利部，水河湖〔</w:t>
      </w:r>
      <w:r>
        <w:rPr>
          <w:rFonts w:hint="eastAsia"/>
          <w:color w:val="auto"/>
          <w:sz w:val="24"/>
        </w:rPr>
        <w:t>2</w:t>
      </w:r>
      <w:r>
        <w:rPr>
          <w:color w:val="auto"/>
          <w:sz w:val="24"/>
        </w:rPr>
        <w:t>021〕</w:t>
      </w:r>
      <w:r>
        <w:rPr>
          <w:rFonts w:hint="eastAsia"/>
          <w:color w:val="auto"/>
          <w:sz w:val="24"/>
        </w:rPr>
        <w:t>3</w:t>
      </w:r>
      <w:r>
        <w:rPr>
          <w:color w:val="auto"/>
          <w:sz w:val="24"/>
        </w:rPr>
        <w:t>39号</w:t>
      </w:r>
      <w:r>
        <w:rPr>
          <w:rFonts w:hint="eastAsia"/>
          <w:color w:val="auto"/>
          <w:sz w:val="24"/>
        </w:rPr>
        <w:t>；</w:t>
      </w:r>
    </w:p>
    <w:p w14:paraId="31FA29F5">
      <w:pPr>
        <w:spacing w:line="360" w:lineRule="auto"/>
        <w:ind w:firstLine="480" w:firstLineChars="200"/>
        <w:rPr>
          <w:rFonts w:hint="eastAsia"/>
          <w:color w:val="auto"/>
          <w:sz w:val="24"/>
        </w:rPr>
      </w:pPr>
      <w:r>
        <w:rPr>
          <w:rFonts w:hint="eastAsia"/>
          <w:color w:val="auto"/>
          <w:sz w:val="24"/>
        </w:rPr>
        <w:t>（20）《2</w:t>
      </w:r>
      <w:r>
        <w:rPr>
          <w:color w:val="auto"/>
          <w:sz w:val="24"/>
        </w:rPr>
        <w:t>021-2022年秋冬季大气综合治理攻坚方案</w:t>
      </w:r>
      <w:r>
        <w:rPr>
          <w:rFonts w:hint="eastAsia"/>
          <w:color w:val="auto"/>
          <w:sz w:val="24"/>
        </w:rPr>
        <w:t>》，2</w:t>
      </w:r>
      <w:r>
        <w:rPr>
          <w:color w:val="auto"/>
          <w:sz w:val="24"/>
        </w:rPr>
        <w:t>021年</w:t>
      </w:r>
      <w:r>
        <w:rPr>
          <w:rFonts w:hint="eastAsia"/>
          <w:color w:val="auto"/>
          <w:sz w:val="24"/>
        </w:rPr>
        <w:t>1</w:t>
      </w:r>
      <w:r>
        <w:rPr>
          <w:color w:val="auto"/>
          <w:sz w:val="24"/>
        </w:rPr>
        <w:t>0月29日。</w:t>
      </w:r>
    </w:p>
    <w:p w14:paraId="21E58512">
      <w:pPr>
        <w:pStyle w:val="4"/>
        <w:numPr>
          <w:ilvl w:val="0"/>
          <w:numId w:val="0"/>
        </w:numPr>
        <w:rPr>
          <w:color w:val="auto"/>
        </w:rPr>
      </w:pPr>
      <w:r>
        <w:rPr>
          <w:rFonts w:hint="eastAsia"/>
          <w:color w:val="auto"/>
        </w:rPr>
        <w:t>2.1.3</w:t>
      </w:r>
      <w:r>
        <w:rPr>
          <w:color w:val="auto"/>
        </w:rPr>
        <w:t>地方法规、规章和规划</w:t>
      </w:r>
    </w:p>
    <w:p w14:paraId="0A83E99A">
      <w:pPr>
        <w:pStyle w:val="15"/>
        <w:tabs>
          <w:tab w:val="left" w:pos="0"/>
          <w:tab w:val="left" w:pos="1080"/>
        </w:tabs>
        <w:spacing w:line="360" w:lineRule="auto"/>
        <w:ind w:left="-54" w:firstLine="480"/>
        <w:textAlignment w:val="baseline"/>
        <w:rPr>
          <w:color w:val="auto"/>
          <w:sz w:val="24"/>
        </w:rPr>
      </w:pPr>
      <w:r>
        <w:rPr>
          <w:color w:val="auto"/>
          <w:sz w:val="24"/>
        </w:rPr>
        <w:t>（1）《安徽省环境保护条例</w:t>
      </w:r>
      <w:r>
        <w:rPr>
          <w:rFonts w:hint="eastAsia"/>
          <w:color w:val="auto"/>
          <w:sz w:val="24"/>
          <w:lang w:eastAsia="zh-CN"/>
        </w:rPr>
        <w:t>（</w:t>
      </w:r>
      <w:r>
        <w:rPr>
          <w:color w:val="auto"/>
          <w:sz w:val="24"/>
        </w:rPr>
        <w:t>修订)》，2018年1月1日起施行；</w:t>
      </w:r>
    </w:p>
    <w:p w14:paraId="1EDAAAE5">
      <w:pPr>
        <w:pStyle w:val="15"/>
        <w:tabs>
          <w:tab w:val="left" w:pos="0"/>
          <w:tab w:val="left" w:pos="1080"/>
        </w:tabs>
        <w:spacing w:line="360" w:lineRule="auto"/>
        <w:ind w:left="-54" w:firstLine="480"/>
        <w:textAlignment w:val="baseline"/>
        <w:rPr>
          <w:color w:val="auto"/>
          <w:sz w:val="24"/>
        </w:rPr>
      </w:pPr>
      <w:r>
        <w:rPr>
          <w:color w:val="auto"/>
          <w:sz w:val="24"/>
        </w:rPr>
        <w:t>（2）《安徽省大气污染防治条例》，2015年3月1日起施行；</w:t>
      </w:r>
    </w:p>
    <w:p w14:paraId="4F4FB042">
      <w:pPr>
        <w:pStyle w:val="15"/>
        <w:tabs>
          <w:tab w:val="left" w:pos="0"/>
          <w:tab w:val="left" w:pos="1080"/>
        </w:tabs>
        <w:spacing w:line="360" w:lineRule="auto"/>
        <w:ind w:left="-54" w:firstLine="480"/>
        <w:textAlignment w:val="baseline"/>
        <w:rPr>
          <w:color w:val="auto"/>
          <w:sz w:val="24"/>
        </w:rPr>
      </w:pPr>
      <w:r>
        <w:rPr>
          <w:color w:val="auto"/>
          <w:sz w:val="24"/>
        </w:rPr>
        <w:t>（3）《</w:t>
      </w:r>
      <w:r>
        <w:rPr>
          <w:rFonts w:hint="eastAsia"/>
          <w:color w:val="auto"/>
          <w:sz w:val="24"/>
          <w:lang w:eastAsia="zh-CN"/>
        </w:rPr>
        <w:t>安徽省港口条例</w:t>
      </w:r>
      <w:r>
        <w:rPr>
          <w:color w:val="auto"/>
          <w:sz w:val="24"/>
        </w:rPr>
        <w:t>》，2009年10月1日起施行；</w:t>
      </w:r>
    </w:p>
    <w:p w14:paraId="38747763">
      <w:pPr>
        <w:pStyle w:val="15"/>
        <w:tabs>
          <w:tab w:val="left" w:pos="0"/>
          <w:tab w:val="left" w:pos="1080"/>
        </w:tabs>
        <w:spacing w:line="360" w:lineRule="auto"/>
        <w:ind w:left="-54" w:firstLine="480"/>
        <w:textAlignment w:val="baseline"/>
        <w:rPr>
          <w:color w:val="auto"/>
          <w:sz w:val="24"/>
        </w:rPr>
      </w:pPr>
      <w:r>
        <w:rPr>
          <w:color w:val="auto"/>
          <w:sz w:val="24"/>
        </w:rPr>
        <w:t>（4）《安徽省淮河流域水污染防治条例》，2019年1月1日修订；</w:t>
      </w:r>
    </w:p>
    <w:p w14:paraId="509AAC25">
      <w:pPr>
        <w:pStyle w:val="15"/>
        <w:tabs>
          <w:tab w:val="left" w:pos="0"/>
          <w:tab w:val="left" w:pos="1080"/>
        </w:tabs>
        <w:spacing w:line="360" w:lineRule="auto"/>
        <w:ind w:left="-54" w:firstLine="480"/>
        <w:textAlignment w:val="baseline"/>
        <w:rPr>
          <w:color w:val="auto"/>
          <w:sz w:val="24"/>
        </w:rPr>
      </w:pPr>
      <w:r>
        <w:rPr>
          <w:color w:val="auto"/>
          <w:sz w:val="24"/>
        </w:rPr>
        <w:t>（5）《安徽省人民政府关于印发安徽省水污染防治工作方案的通知》，皖政〔</w:t>
      </w:r>
      <w:r>
        <w:rPr>
          <w:rFonts w:hint="eastAsia"/>
          <w:color w:val="auto"/>
          <w:sz w:val="24"/>
        </w:rPr>
        <w:t>2</w:t>
      </w:r>
      <w:r>
        <w:rPr>
          <w:color w:val="auto"/>
          <w:sz w:val="24"/>
        </w:rPr>
        <w:t>015〕131号；</w:t>
      </w:r>
    </w:p>
    <w:p w14:paraId="67779DBD">
      <w:pPr>
        <w:pStyle w:val="15"/>
        <w:tabs>
          <w:tab w:val="left" w:pos="0"/>
          <w:tab w:val="left" w:pos="1080"/>
        </w:tabs>
        <w:spacing w:line="360" w:lineRule="auto"/>
        <w:ind w:left="-54" w:firstLine="480"/>
        <w:textAlignment w:val="baseline"/>
        <w:rPr>
          <w:color w:val="auto"/>
          <w:sz w:val="24"/>
        </w:rPr>
      </w:pPr>
      <w:r>
        <w:rPr>
          <w:color w:val="auto"/>
          <w:sz w:val="24"/>
        </w:rPr>
        <w:t>（6）《安徽省人民政府关于同意实施安徽省水环境功能区划的批复》皖政秘〔</w:t>
      </w:r>
      <w:r>
        <w:rPr>
          <w:rFonts w:hint="eastAsia"/>
          <w:color w:val="auto"/>
          <w:sz w:val="24"/>
        </w:rPr>
        <w:t>2</w:t>
      </w:r>
      <w:r>
        <w:rPr>
          <w:color w:val="auto"/>
          <w:sz w:val="24"/>
        </w:rPr>
        <w:t>004〕7号；</w:t>
      </w:r>
    </w:p>
    <w:p w14:paraId="1BC97852">
      <w:pPr>
        <w:pStyle w:val="15"/>
        <w:tabs>
          <w:tab w:val="left" w:pos="0"/>
          <w:tab w:val="left" w:pos="1080"/>
        </w:tabs>
        <w:spacing w:line="360" w:lineRule="auto"/>
        <w:ind w:left="-54" w:firstLine="480"/>
        <w:textAlignment w:val="baseline"/>
        <w:rPr>
          <w:color w:val="auto"/>
          <w:sz w:val="24"/>
        </w:rPr>
      </w:pPr>
      <w:r>
        <w:rPr>
          <w:color w:val="auto"/>
          <w:sz w:val="24"/>
        </w:rPr>
        <w:t>（7）《安徽省人民政府关于加强水运基础设施建设和管理加快水运发展的通知》皖政〔</w:t>
      </w:r>
      <w:r>
        <w:rPr>
          <w:rFonts w:hint="eastAsia"/>
          <w:color w:val="auto"/>
          <w:sz w:val="24"/>
        </w:rPr>
        <w:t>2</w:t>
      </w:r>
      <w:r>
        <w:rPr>
          <w:color w:val="auto"/>
          <w:sz w:val="24"/>
        </w:rPr>
        <w:t>008〕109号；</w:t>
      </w:r>
    </w:p>
    <w:p w14:paraId="6B26FCAB">
      <w:pPr>
        <w:pStyle w:val="15"/>
        <w:tabs>
          <w:tab w:val="left" w:pos="1080"/>
        </w:tabs>
        <w:spacing w:line="360" w:lineRule="auto"/>
        <w:ind w:left="-54" w:firstLine="480"/>
        <w:textAlignment w:val="baseline"/>
        <w:rPr>
          <w:color w:val="auto"/>
          <w:sz w:val="24"/>
        </w:rPr>
      </w:pPr>
      <w:r>
        <w:rPr>
          <w:color w:val="auto"/>
          <w:sz w:val="24"/>
        </w:rPr>
        <w:t>（8）《安徽省人民政府关于加快交通运输基础设施建设的意见》皖政〔</w:t>
      </w:r>
      <w:r>
        <w:rPr>
          <w:rFonts w:hint="eastAsia"/>
          <w:color w:val="auto"/>
          <w:sz w:val="24"/>
        </w:rPr>
        <w:t>2</w:t>
      </w:r>
      <w:r>
        <w:rPr>
          <w:color w:val="auto"/>
          <w:sz w:val="24"/>
        </w:rPr>
        <w:t>010〕44号；</w:t>
      </w:r>
    </w:p>
    <w:p w14:paraId="6EA4023B">
      <w:pPr>
        <w:pStyle w:val="15"/>
        <w:tabs>
          <w:tab w:val="left" w:pos="1080"/>
        </w:tabs>
        <w:spacing w:line="360" w:lineRule="auto"/>
        <w:ind w:left="-54" w:firstLine="480"/>
        <w:textAlignment w:val="baseline"/>
        <w:rPr>
          <w:color w:val="auto"/>
          <w:sz w:val="24"/>
        </w:rPr>
      </w:pPr>
      <w:r>
        <w:rPr>
          <w:color w:val="auto"/>
          <w:sz w:val="24"/>
        </w:rPr>
        <w:t>（9）《关于进一步加强水生生物资源保护严格环境影响评价管理的通知》，2013年8月5日；</w:t>
      </w:r>
    </w:p>
    <w:p w14:paraId="2B374FC2">
      <w:pPr>
        <w:pStyle w:val="15"/>
        <w:tabs>
          <w:tab w:val="left" w:pos="1080"/>
        </w:tabs>
        <w:spacing w:line="360" w:lineRule="auto"/>
        <w:ind w:left="-54" w:firstLine="480"/>
        <w:textAlignment w:val="baseline"/>
        <w:rPr>
          <w:color w:val="auto"/>
          <w:sz w:val="24"/>
        </w:rPr>
      </w:pPr>
      <w:r>
        <w:rPr>
          <w:color w:val="auto"/>
          <w:sz w:val="24"/>
        </w:rPr>
        <w:t>（10）《关于加强建设项目环境影响评价工作的通知》，安徽省人民政府办公厅，</w:t>
      </w:r>
      <w:r>
        <w:rPr>
          <w:rFonts w:hint="eastAsia"/>
          <w:color w:val="auto"/>
          <w:sz w:val="24"/>
          <w:lang w:eastAsia="zh-CN"/>
        </w:rPr>
        <w:t>（</w:t>
      </w:r>
      <w:r>
        <w:rPr>
          <w:color w:val="auto"/>
          <w:sz w:val="24"/>
        </w:rPr>
        <w:t>2011)27号，2011年4月12日；</w:t>
      </w:r>
    </w:p>
    <w:p w14:paraId="1900B80C">
      <w:pPr>
        <w:pStyle w:val="15"/>
        <w:tabs>
          <w:tab w:val="left" w:pos="1080"/>
        </w:tabs>
        <w:spacing w:line="360" w:lineRule="auto"/>
        <w:ind w:left="-54" w:firstLine="480"/>
        <w:textAlignment w:val="baseline"/>
        <w:rPr>
          <w:color w:val="auto"/>
          <w:sz w:val="24"/>
        </w:rPr>
      </w:pPr>
      <w:r>
        <w:rPr>
          <w:color w:val="auto"/>
          <w:sz w:val="24"/>
        </w:rPr>
        <w:t>（11）《安徽省人民政府办公厅关于印发安徽省内河航运发展规划要点的通知》（安徽省人民政府办公厅皖政办</w:t>
      </w:r>
      <w:r>
        <w:rPr>
          <w:rFonts w:hint="eastAsia"/>
          <w:color w:val="auto"/>
          <w:sz w:val="24"/>
          <w:lang w:eastAsia="zh-CN"/>
        </w:rPr>
        <w:t>〔2006〕37号</w:t>
      </w:r>
      <w:r>
        <w:rPr>
          <w:color w:val="auto"/>
          <w:sz w:val="24"/>
        </w:rPr>
        <w:t>，2006年5月）；</w:t>
      </w:r>
    </w:p>
    <w:p w14:paraId="430AC65E">
      <w:pPr>
        <w:pStyle w:val="15"/>
        <w:tabs>
          <w:tab w:val="left" w:pos="1080"/>
        </w:tabs>
        <w:spacing w:line="360" w:lineRule="auto"/>
        <w:ind w:left="-54" w:firstLine="480"/>
        <w:textAlignment w:val="baseline"/>
        <w:rPr>
          <w:color w:val="auto"/>
          <w:sz w:val="24"/>
        </w:rPr>
      </w:pPr>
      <w:r>
        <w:rPr>
          <w:color w:val="auto"/>
          <w:sz w:val="24"/>
        </w:rPr>
        <w:t>（12）《中共安徽省委办公厅安徽省人民政府办公厅关于印发&lt;安徽省划定并严守生态保护红线实施方案&gt;的通知》，</w:t>
      </w:r>
      <w:r>
        <w:rPr>
          <w:rFonts w:hint="eastAsia"/>
          <w:color w:val="auto"/>
          <w:sz w:val="24"/>
          <w:lang w:eastAsia="zh-CN"/>
        </w:rPr>
        <w:t>（</w:t>
      </w:r>
      <w:r>
        <w:rPr>
          <w:color w:val="auto"/>
          <w:sz w:val="24"/>
        </w:rPr>
        <w:t>厅</w:t>
      </w:r>
      <w:r>
        <w:rPr>
          <w:rFonts w:hint="eastAsia"/>
          <w:color w:val="auto"/>
          <w:sz w:val="24"/>
          <w:lang w:eastAsia="zh-CN"/>
        </w:rPr>
        <w:t>（</w:t>
      </w:r>
      <w:r>
        <w:rPr>
          <w:color w:val="auto"/>
          <w:sz w:val="24"/>
        </w:rPr>
        <w:t>2017)62号)，2017年9月18日；</w:t>
      </w:r>
    </w:p>
    <w:p w14:paraId="2E885C03">
      <w:pPr>
        <w:pStyle w:val="15"/>
        <w:tabs>
          <w:tab w:val="left" w:pos="0"/>
          <w:tab w:val="left" w:pos="1080"/>
        </w:tabs>
        <w:spacing w:line="360" w:lineRule="auto"/>
        <w:ind w:left="-54" w:firstLine="480"/>
        <w:textAlignment w:val="baseline"/>
        <w:rPr>
          <w:color w:val="auto"/>
          <w:sz w:val="24"/>
        </w:rPr>
      </w:pPr>
      <w:r>
        <w:rPr>
          <w:color w:val="auto"/>
          <w:sz w:val="24"/>
        </w:rPr>
        <w:t>（13）《</w:t>
      </w:r>
      <w:r>
        <w:rPr>
          <w:rFonts w:hint="eastAsia"/>
          <w:color w:val="auto"/>
          <w:sz w:val="24"/>
          <w:lang w:eastAsia="zh-CN"/>
        </w:rPr>
        <w:t>淮南市扬尘污染防治条例</w:t>
      </w:r>
      <w:r>
        <w:rPr>
          <w:color w:val="auto"/>
          <w:sz w:val="24"/>
        </w:rPr>
        <w:t>》（淮南市人民政府令），淮南市人民政府，2016年1月1日</w:t>
      </w:r>
      <w:r>
        <w:rPr>
          <w:rFonts w:hint="eastAsia"/>
          <w:color w:val="auto"/>
          <w:sz w:val="24"/>
        </w:rPr>
        <w:t>；</w:t>
      </w:r>
    </w:p>
    <w:p w14:paraId="5B3A300F">
      <w:pPr>
        <w:pStyle w:val="15"/>
        <w:tabs>
          <w:tab w:val="left" w:pos="0"/>
          <w:tab w:val="left" w:pos="1080"/>
        </w:tabs>
        <w:spacing w:line="360" w:lineRule="auto"/>
        <w:ind w:left="-54" w:firstLine="480"/>
        <w:textAlignment w:val="baseline"/>
        <w:rPr>
          <w:color w:val="auto"/>
          <w:sz w:val="24"/>
        </w:rPr>
      </w:pPr>
      <w:r>
        <w:rPr>
          <w:color w:val="auto"/>
          <w:sz w:val="24"/>
        </w:rPr>
        <w:t>（14）《淮南市人民政府办公室关于印发&lt;淮南市2020年大气污染防治重点工作任务&gt;的通知》，（淮府办秘〔2020〕27号）</w:t>
      </w:r>
      <w:r>
        <w:rPr>
          <w:rFonts w:hint="eastAsia"/>
          <w:color w:val="auto"/>
          <w:sz w:val="24"/>
        </w:rPr>
        <w:t>，</w:t>
      </w:r>
      <w:r>
        <w:rPr>
          <w:color w:val="auto"/>
          <w:sz w:val="24"/>
        </w:rPr>
        <w:t>2020年4月20日；</w:t>
      </w:r>
    </w:p>
    <w:p w14:paraId="22DA73B3">
      <w:pPr>
        <w:spacing w:line="360" w:lineRule="auto"/>
        <w:ind w:left="-54" w:firstLine="480"/>
        <w:rPr>
          <w:color w:val="auto"/>
          <w:sz w:val="24"/>
        </w:rPr>
      </w:pPr>
      <w:r>
        <w:rPr>
          <w:color w:val="auto"/>
          <w:sz w:val="24"/>
        </w:rPr>
        <w:t>（15）</w:t>
      </w:r>
      <w:r>
        <w:rPr>
          <w:rFonts w:hint="eastAsia"/>
          <w:color w:val="auto"/>
          <w:sz w:val="24"/>
          <w:lang w:eastAsia="zh-CN"/>
        </w:rPr>
        <w:t>《</w:t>
      </w:r>
      <w:r>
        <w:rPr>
          <w:color w:val="auto"/>
          <w:sz w:val="24"/>
        </w:rPr>
        <w:t>淮南市人民政府关于印发</w:t>
      </w:r>
      <w:r>
        <w:rPr>
          <w:rFonts w:hint="eastAsia"/>
          <w:color w:val="auto"/>
          <w:sz w:val="24"/>
          <w:lang w:val="en-US" w:eastAsia="zh-CN"/>
        </w:rPr>
        <w:t>&lt;</w:t>
      </w:r>
      <w:r>
        <w:rPr>
          <w:rFonts w:hint="eastAsia"/>
          <w:color w:val="auto"/>
          <w:sz w:val="24"/>
        </w:rPr>
        <w:t>淮南</w:t>
      </w:r>
      <w:r>
        <w:rPr>
          <w:color w:val="auto"/>
          <w:sz w:val="24"/>
        </w:rPr>
        <w:t>市大气污染防治短板攻坚行动实施方案</w:t>
      </w:r>
      <w:r>
        <w:rPr>
          <w:rFonts w:hint="eastAsia"/>
          <w:color w:val="auto"/>
          <w:sz w:val="24"/>
          <w:lang w:val="en-US" w:eastAsia="zh-CN"/>
        </w:rPr>
        <w:t>&gt;</w:t>
      </w:r>
      <w:r>
        <w:rPr>
          <w:color w:val="auto"/>
          <w:sz w:val="24"/>
        </w:rPr>
        <w:t>》（淮府办秘〔2020〕87号）</w:t>
      </w:r>
      <w:r>
        <w:rPr>
          <w:rFonts w:hint="eastAsia"/>
          <w:color w:val="auto"/>
          <w:sz w:val="24"/>
          <w:lang w:eastAsia="zh-CN"/>
        </w:rPr>
        <w:t>，2020</w:t>
      </w:r>
      <w:r>
        <w:rPr>
          <w:color w:val="auto"/>
          <w:sz w:val="24"/>
        </w:rPr>
        <w:t>年11月16日；</w:t>
      </w:r>
    </w:p>
    <w:p w14:paraId="05D5351A">
      <w:pPr>
        <w:pStyle w:val="15"/>
        <w:tabs>
          <w:tab w:val="left" w:pos="0"/>
          <w:tab w:val="left" w:pos="1080"/>
        </w:tabs>
        <w:spacing w:line="360" w:lineRule="auto"/>
        <w:ind w:left="-54" w:firstLine="480"/>
        <w:textAlignment w:val="baseline"/>
        <w:rPr>
          <w:color w:val="auto"/>
          <w:sz w:val="24"/>
        </w:rPr>
      </w:pPr>
      <w:r>
        <w:rPr>
          <w:color w:val="auto"/>
          <w:sz w:val="24"/>
        </w:rPr>
        <w:t>（16）《淮南市港口码头靠港船舶岸电系统建设改造实施方案》，淮南市交通运输局，2018年6月7日；</w:t>
      </w:r>
    </w:p>
    <w:p w14:paraId="65E4EE23">
      <w:pPr>
        <w:pStyle w:val="15"/>
        <w:tabs>
          <w:tab w:val="left" w:pos="0"/>
          <w:tab w:val="left" w:pos="1080"/>
        </w:tabs>
        <w:spacing w:line="360" w:lineRule="auto"/>
        <w:ind w:left="-54" w:firstLine="480"/>
        <w:textAlignment w:val="baseline"/>
        <w:rPr>
          <w:color w:val="auto"/>
          <w:sz w:val="24"/>
        </w:rPr>
      </w:pPr>
      <w:r>
        <w:rPr>
          <w:color w:val="auto"/>
          <w:sz w:val="24"/>
        </w:rPr>
        <w:t>（17）《淮南市</w:t>
      </w:r>
      <w:r>
        <w:rPr>
          <w:rFonts w:hint="eastAsia"/>
          <w:color w:val="auto"/>
          <w:sz w:val="24"/>
        </w:rPr>
        <w:t>新建港口码头配备绿色环保装载运输工具实施方案</w:t>
      </w:r>
      <w:r>
        <w:rPr>
          <w:color w:val="auto"/>
          <w:sz w:val="24"/>
        </w:rPr>
        <w:t>》，淮南市交通运输局，2018年6月</w:t>
      </w:r>
      <w:r>
        <w:rPr>
          <w:rFonts w:hint="eastAsia"/>
          <w:color w:val="auto"/>
          <w:sz w:val="24"/>
        </w:rPr>
        <w:t>12</w:t>
      </w:r>
      <w:r>
        <w:rPr>
          <w:color w:val="auto"/>
          <w:sz w:val="24"/>
        </w:rPr>
        <w:t>日；</w:t>
      </w:r>
    </w:p>
    <w:p w14:paraId="2B32A319">
      <w:pPr>
        <w:spacing w:line="360" w:lineRule="auto"/>
        <w:ind w:left="-54" w:firstLine="480"/>
        <w:rPr>
          <w:color w:val="auto"/>
          <w:sz w:val="24"/>
        </w:rPr>
      </w:pPr>
      <w:r>
        <w:rPr>
          <w:color w:val="auto"/>
          <w:sz w:val="24"/>
        </w:rPr>
        <w:t>（18）</w:t>
      </w:r>
      <w:r>
        <w:rPr>
          <w:rFonts w:hint="eastAsia"/>
          <w:color w:val="auto"/>
          <w:sz w:val="24"/>
        </w:rPr>
        <w:t>《淮南市人民代表大会常务委员会关于加强淮河淮南段长吻鮠、焦岗湖芡实国家级水产种质资源保护区管理的决定》，淮南市人民代表大会常务委员会，2</w:t>
      </w:r>
      <w:r>
        <w:rPr>
          <w:color w:val="auto"/>
          <w:sz w:val="24"/>
        </w:rPr>
        <w:t>021年</w:t>
      </w:r>
      <w:r>
        <w:rPr>
          <w:rFonts w:hint="eastAsia"/>
          <w:color w:val="auto"/>
          <w:sz w:val="24"/>
        </w:rPr>
        <w:t>3月3日；</w:t>
      </w:r>
    </w:p>
    <w:p w14:paraId="14159BC1">
      <w:pPr>
        <w:spacing w:line="360" w:lineRule="auto"/>
        <w:ind w:left="-54" w:firstLine="480"/>
        <w:rPr>
          <w:rFonts w:hint="eastAsia" w:ascii="Times New Roman" w:hAnsi="Times New Roman" w:eastAsia="宋体" w:cs="Times New Roman"/>
          <w:color w:val="auto"/>
          <w:sz w:val="24"/>
          <w:lang w:eastAsia="zh-CN"/>
        </w:rPr>
      </w:pPr>
      <w:r>
        <w:rPr>
          <w:color w:val="auto"/>
          <w:sz w:val="24"/>
        </w:rPr>
        <w:t>（19）《长江（淮南）经济带船舶和港口污染突出问题工作实施方案》（淮交</w:t>
      </w:r>
      <w:r>
        <w:rPr>
          <w:rFonts w:hint="eastAsia"/>
          <w:color w:val="auto"/>
          <w:sz w:val="24"/>
          <w:lang w:eastAsia="zh-CN"/>
        </w:rPr>
        <w:t>〔2020〕11号</w:t>
      </w:r>
      <w:r>
        <w:rPr>
          <w:color w:val="auto"/>
          <w:sz w:val="24"/>
        </w:rPr>
        <w:t>）</w:t>
      </w:r>
      <w:r>
        <w:rPr>
          <w:rFonts w:ascii="Times New Roman" w:hAnsi="Times New Roman" w:eastAsia="宋体" w:cs="Times New Roman"/>
          <w:color w:val="auto"/>
          <w:sz w:val="24"/>
        </w:rPr>
        <w:t>，淮南市交通运输局，</w:t>
      </w:r>
      <w:r>
        <w:rPr>
          <w:rFonts w:hint="eastAsia" w:ascii="Times New Roman" w:hAnsi="Times New Roman" w:eastAsia="宋体" w:cs="Times New Roman"/>
          <w:color w:val="auto"/>
          <w:sz w:val="24"/>
        </w:rPr>
        <w:t>2</w:t>
      </w:r>
      <w:r>
        <w:rPr>
          <w:rFonts w:ascii="Times New Roman" w:hAnsi="Times New Roman" w:eastAsia="宋体" w:cs="Times New Roman"/>
          <w:color w:val="auto"/>
          <w:sz w:val="24"/>
        </w:rPr>
        <w:t>020</w:t>
      </w:r>
      <w:r>
        <w:rPr>
          <w:rFonts w:hint="eastAsia" w:ascii="Times New Roman" w:hAnsi="Times New Roman" w:eastAsia="宋体" w:cs="Times New Roman"/>
          <w:color w:val="auto"/>
          <w:sz w:val="24"/>
        </w:rPr>
        <w:t>年</w:t>
      </w:r>
      <w:r>
        <w:rPr>
          <w:rFonts w:ascii="Times New Roman" w:hAnsi="Times New Roman" w:eastAsia="宋体" w:cs="Times New Roman"/>
          <w:color w:val="auto"/>
          <w:sz w:val="24"/>
        </w:rPr>
        <w:t>3月19日</w:t>
      </w:r>
      <w:r>
        <w:rPr>
          <w:rFonts w:hint="eastAsia" w:ascii="Times New Roman" w:hAnsi="Times New Roman" w:eastAsia="宋体" w:cs="Times New Roman"/>
          <w:color w:val="auto"/>
          <w:sz w:val="24"/>
          <w:lang w:eastAsia="zh-CN"/>
        </w:rPr>
        <w:t>；</w:t>
      </w:r>
    </w:p>
    <w:p w14:paraId="18377D56">
      <w:pPr>
        <w:spacing w:line="360" w:lineRule="auto"/>
        <w:ind w:left="-54" w:firstLine="48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（20）《</w:t>
      </w:r>
      <w:r>
        <w:rPr>
          <w:rFonts w:ascii="Times New Roman" w:hAnsi="Times New Roman" w:eastAsia="宋体" w:cs="Times New Roman"/>
          <w:color w:val="auto"/>
          <w:sz w:val="24"/>
          <w:lang w:val="en-US" w:eastAsia="zh-CN"/>
        </w:rPr>
        <w:t>淮南市“十四五”交通运输发展规划</w:t>
      </w:r>
      <w:r>
        <w:rPr>
          <w:rFonts w:hint="eastAsia" w:ascii="Times New Roman" w:hAnsi="Times New Roman" w:eastAsia="宋体" w:cs="Times New Roman"/>
          <w:color w:val="auto"/>
          <w:sz w:val="24"/>
          <w:lang w:val="en-US" w:eastAsia="zh-CN"/>
        </w:rPr>
        <w:t>》</w:t>
      </w:r>
      <w:r>
        <w:rPr>
          <w:rFonts w:ascii="Times New Roman" w:hAnsi="Times New Roman" w:eastAsia="宋体" w:cs="Times New Roman"/>
          <w:color w:val="auto"/>
          <w:sz w:val="24"/>
          <w:lang w:val="en-US" w:eastAsia="zh-CN"/>
        </w:rPr>
        <w:t>，淮南市交通运输局</w:t>
      </w:r>
      <w:r>
        <w:rPr>
          <w:rFonts w:hint="eastAsia" w:ascii="Times New Roman" w:hAnsi="Times New Roman" w:eastAsia="宋体" w:cs="Times New Roman"/>
          <w:color w:val="auto"/>
          <w:sz w:val="24"/>
          <w:lang w:val="en-US" w:eastAsia="zh-CN"/>
        </w:rPr>
        <w:t>，</w:t>
      </w:r>
      <w:r>
        <w:rPr>
          <w:rFonts w:ascii="Times New Roman" w:hAnsi="Times New Roman" w:eastAsia="宋体" w:cs="Times New Roman"/>
          <w:color w:val="auto"/>
          <w:sz w:val="24"/>
          <w:lang w:val="en-US" w:eastAsia="zh-CN"/>
        </w:rPr>
        <w:t>20</w:t>
      </w:r>
      <w:r>
        <w:rPr>
          <w:rFonts w:hint="eastAsia" w:ascii="Times New Roman" w:hAnsi="Times New Roman" w:eastAsia="宋体" w:cs="Times New Roman"/>
          <w:color w:val="auto"/>
          <w:sz w:val="24"/>
          <w:lang w:val="en-US" w:eastAsia="zh-CN"/>
        </w:rPr>
        <w:t>21</w:t>
      </w:r>
      <w:r>
        <w:rPr>
          <w:rFonts w:ascii="Times New Roman" w:hAnsi="Times New Roman" w:eastAsia="宋体" w:cs="Times New Roman"/>
          <w:color w:val="auto"/>
          <w:sz w:val="24"/>
          <w:lang w:val="en-US" w:eastAsia="zh-CN"/>
        </w:rPr>
        <w:t>年</w:t>
      </w:r>
      <w:r>
        <w:rPr>
          <w:rFonts w:hint="eastAsia" w:ascii="Times New Roman" w:hAnsi="Times New Roman" w:eastAsia="宋体" w:cs="Times New Roman"/>
          <w:color w:val="auto"/>
          <w:sz w:val="24"/>
          <w:lang w:val="en-US" w:eastAsia="zh-CN"/>
        </w:rPr>
        <w:t>7</w:t>
      </w:r>
      <w:r>
        <w:rPr>
          <w:rFonts w:ascii="Times New Roman" w:hAnsi="Times New Roman" w:eastAsia="宋体" w:cs="Times New Roman"/>
          <w:color w:val="auto"/>
          <w:sz w:val="24"/>
          <w:lang w:val="en-US" w:eastAsia="zh-CN"/>
        </w:rPr>
        <w:t>月；</w:t>
      </w:r>
    </w:p>
    <w:p w14:paraId="53DE2F47">
      <w:pPr>
        <w:spacing w:line="360" w:lineRule="auto"/>
        <w:ind w:left="-54" w:firstLine="48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（21）《淮南市“十四五”生态环境保护规划》，2022年5月16日；</w:t>
      </w:r>
    </w:p>
    <w:p w14:paraId="1C5057CB">
      <w:pPr>
        <w:spacing w:line="360" w:lineRule="auto"/>
        <w:ind w:left="-54" w:firstLine="48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（22）</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关于印发</w:t>
      </w:r>
      <w:r>
        <w:rPr>
          <w:rFonts w:hint="eastAsia" w:ascii="Times New Roman" w:hAnsi="Times New Roman" w:eastAsia="宋体" w:cs="Times New Roman"/>
          <w:color w:val="auto"/>
          <w:sz w:val="24"/>
          <w:lang w:val="en-US" w:eastAsia="zh-CN"/>
        </w:rPr>
        <w:t>&lt;</w:t>
      </w:r>
      <w:r>
        <w:rPr>
          <w:rFonts w:ascii="Times New Roman" w:hAnsi="Times New Roman" w:eastAsia="宋体" w:cs="Times New Roman"/>
          <w:color w:val="auto"/>
          <w:sz w:val="24"/>
        </w:rPr>
        <w:t>淮南市“十四五”</w:t>
      </w:r>
      <w:r>
        <w:rPr>
          <w:rFonts w:hint="default" w:ascii="Times New Roman" w:hAnsi="Times New Roman" w:eastAsia="宋体" w:cs="Times New Roman"/>
          <w:color w:val="auto"/>
          <w:sz w:val="24"/>
        </w:rPr>
        <w:fldChar w:fldCharType="begin"/>
      </w:r>
      <w:r>
        <w:rPr>
          <w:rFonts w:hint="default" w:ascii="Times New Roman" w:hAnsi="Times New Roman" w:eastAsia="宋体" w:cs="Times New Roman"/>
          <w:color w:val="auto"/>
          <w:sz w:val="24"/>
        </w:rPr>
        <w:instrText xml:space="preserve"> HYPERLINK "https://huanbao.bjx.com.cn/topics/daqiwuranfangzhi/" \t "https://huanbao.bjx.com.cn/news/20220718/_blank" </w:instrText>
      </w:r>
      <w:r>
        <w:rPr>
          <w:rFonts w:hint="default" w:ascii="Times New Roman" w:hAnsi="Times New Roman" w:eastAsia="宋体" w:cs="Times New Roman"/>
          <w:color w:val="auto"/>
          <w:sz w:val="24"/>
        </w:rPr>
        <w:fldChar w:fldCharType="separate"/>
      </w:r>
      <w:r>
        <w:rPr>
          <w:rFonts w:hint="default" w:ascii="Times New Roman" w:hAnsi="Times New Roman" w:eastAsia="宋体" w:cs="Times New Roman"/>
          <w:color w:val="auto"/>
          <w:sz w:val="24"/>
        </w:rPr>
        <w:t>大气污染防治</w:t>
      </w:r>
      <w:r>
        <w:rPr>
          <w:rFonts w:hint="default" w:ascii="Times New Roman" w:hAnsi="Times New Roman" w:eastAsia="宋体" w:cs="Times New Roman"/>
          <w:color w:val="auto"/>
          <w:sz w:val="24"/>
        </w:rPr>
        <w:fldChar w:fldCharType="end"/>
      </w:r>
      <w:r>
        <w:rPr>
          <w:rFonts w:hint="default" w:ascii="Times New Roman" w:hAnsi="Times New Roman" w:eastAsia="宋体" w:cs="Times New Roman"/>
          <w:color w:val="auto"/>
          <w:sz w:val="24"/>
        </w:rPr>
        <w:t>规划（2021-2025年）</w:t>
      </w:r>
      <w:r>
        <w:rPr>
          <w:rFonts w:hint="eastAsia" w:ascii="Times New Roman" w:hAnsi="Times New Roman" w:eastAsia="宋体" w:cs="Times New Roman"/>
          <w:color w:val="auto"/>
          <w:sz w:val="24"/>
          <w:lang w:val="en-US" w:eastAsia="zh-CN"/>
        </w:rPr>
        <w:t>&gt;</w:t>
      </w:r>
      <w:r>
        <w:rPr>
          <w:rFonts w:hint="eastAsia" w:ascii="Times New Roman" w:hAnsi="Times New Roman" w:eastAsia="宋体" w:cs="Times New Roman"/>
          <w:color w:val="auto"/>
          <w:sz w:val="24"/>
        </w:rPr>
        <w:t>的通知</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rPr>
        <w:t>（淮环委办</w:t>
      </w:r>
      <w:r>
        <w:rPr>
          <w:rFonts w:hint="eastAsia" w:cs="Times New Roman"/>
          <w:color w:val="auto"/>
          <w:sz w:val="24"/>
          <w:lang w:eastAsia="zh-CN"/>
        </w:rPr>
        <w:t>〔2022〕49号</w:t>
      </w: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，2022年6月9日；</w:t>
      </w:r>
    </w:p>
    <w:p w14:paraId="1A306CEA">
      <w:pPr>
        <w:spacing w:line="360" w:lineRule="auto"/>
        <w:ind w:left="-54" w:firstLine="48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（23）《淮南市水生态环境保护“十四五”规划》，2022年12月30日</w:t>
      </w:r>
      <w:r>
        <w:rPr>
          <w:rFonts w:ascii="Times New Roman" w:hAnsi="Times New Roman" w:eastAsia="宋体" w:cs="Times New Roman"/>
          <w:color w:val="auto"/>
          <w:sz w:val="24"/>
        </w:rPr>
        <w:t>。</w:t>
      </w:r>
    </w:p>
    <w:p w14:paraId="2635A8BF">
      <w:pPr>
        <w:pStyle w:val="4"/>
        <w:numPr>
          <w:ilvl w:val="0"/>
          <w:numId w:val="0"/>
        </w:numPr>
        <w:rPr>
          <w:color w:val="auto"/>
        </w:rPr>
      </w:pPr>
      <w:bookmarkStart w:id="39" w:name="_Toc222733386"/>
      <w:bookmarkStart w:id="40" w:name="_Toc227002300"/>
      <w:r>
        <w:rPr>
          <w:rFonts w:hint="eastAsia"/>
          <w:color w:val="auto"/>
        </w:rPr>
        <w:t>2.1.4</w:t>
      </w:r>
      <w:r>
        <w:rPr>
          <w:color w:val="auto"/>
        </w:rPr>
        <w:t>技术导则</w:t>
      </w:r>
      <w:bookmarkEnd w:id="39"/>
      <w:bookmarkEnd w:id="40"/>
      <w:r>
        <w:rPr>
          <w:color w:val="auto"/>
        </w:rPr>
        <w:t>及相关技术规范</w:t>
      </w:r>
    </w:p>
    <w:p w14:paraId="0BF4DABB">
      <w:pPr>
        <w:pStyle w:val="15"/>
        <w:tabs>
          <w:tab w:val="left" w:pos="0"/>
          <w:tab w:val="left" w:pos="1080"/>
        </w:tabs>
        <w:spacing w:line="360" w:lineRule="auto"/>
        <w:ind w:firstLine="480" w:firstLineChars="200"/>
        <w:textAlignment w:val="baseline"/>
        <w:rPr>
          <w:color w:val="auto"/>
          <w:sz w:val="24"/>
        </w:rPr>
      </w:pPr>
      <w:r>
        <w:rPr>
          <w:color w:val="auto"/>
          <w:sz w:val="24"/>
        </w:rPr>
        <w:t>（1）《建设项目环境影响评价技术导则 总纲》（</w:t>
      </w:r>
      <w:r>
        <w:rPr>
          <w:rFonts w:hint="eastAsia"/>
          <w:color w:val="auto"/>
          <w:sz w:val="24"/>
          <w:lang w:eastAsia="zh-CN"/>
        </w:rPr>
        <w:t>HJ 2</w:t>
      </w:r>
      <w:r>
        <w:rPr>
          <w:color w:val="auto"/>
          <w:sz w:val="24"/>
        </w:rPr>
        <w:t>.1-2016）；</w:t>
      </w:r>
    </w:p>
    <w:p w14:paraId="1F7B5746">
      <w:pPr>
        <w:pStyle w:val="15"/>
        <w:tabs>
          <w:tab w:val="left" w:pos="0"/>
          <w:tab w:val="left" w:pos="1080"/>
        </w:tabs>
        <w:spacing w:line="360" w:lineRule="auto"/>
        <w:ind w:firstLine="480" w:firstLineChars="200"/>
        <w:textAlignment w:val="baseline"/>
        <w:rPr>
          <w:color w:val="auto"/>
          <w:sz w:val="24"/>
        </w:rPr>
      </w:pPr>
      <w:r>
        <w:rPr>
          <w:color w:val="auto"/>
          <w:sz w:val="24"/>
        </w:rPr>
        <w:t>（2）《环境影响评价技术导则 大气环境》（</w:t>
      </w:r>
      <w:r>
        <w:rPr>
          <w:rFonts w:hint="eastAsia"/>
          <w:color w:val="auto"/>
          <w:sz w:val="24"/>
          <w:lang w:eastAsia="zh-CN"/>
        </w:rPr>
        <w:t>HJ 2</w:t>
      </w:r>
      <w:r>
        <w:rPr>
          <w:color w:val="auto"/>
          <w:sz w:val="24"/>
        </w:rPr>
        <w:t>.2-2018）；</w:t>
      </w:r>
    </w:p>
    <w:p w14:paraId="1ABC619C">
      <w:pPr>
        <w:pStyle w:val="15"/>
        <w:tabs>
          <w:tab w:val="left" w:pos="0"/>
          <w:tab w:val="left" w:pos="1080"/>
        </w:tabs>
        <w:spacing w:line="360" w:lineRule="auto"/>
        <w:ind w:firstLine="480" w:firstLineChars="200"/>
        <w:textAlignment w:val="baseline"/>
        <w:rPr>
          <w:color w:val="auto"/>
          <w:sz w:val="24"/>
        </w:rPr>
      </w:pPr>
      <w:r>
        <w:rPr>
          <w:color w:val="auto"/>
          <w:sz w:val="24"/>
        </w:rPr>
        <w:t>（3）《环境影响评价技术导则 地表水环境》（</w:t>
      </w:r>
      <w:r>
        <w:rPr>
          <w:rFonts w:hint="eastAsia"/>
          <w:color w:val="auto"/>
          <w:sz w:val="24"/>
          <w:lang w:eastAsia="zh-CN"/>
        </w:rPr>
        <w:t>HJ 2</w:t>
      </w:r>
      <w:r>
        <w:rPr>
          <w:color w:val="auto"/>
          <w:sz w:val="24"/>
        </w:rPr>
        <w:t>.3-2018）；</w:t>
      </w:r>
    </w:p>
    <w:p w14:paraId="20F3E65E">
      <w:pPr>
        <w:pStyle w:val="15"/>
        <w:tabs>
          <w:tab w:val="left" w:pos="0"/>
          <w:tab w:val="left" w:pos="1080"/>
        </w:tabs>
        <w:spacing w:line="360" w:lineRule="auto"/>
        <w:ind w:firstLine="480" w:firstLineChars="200"/>
        <w:textAlignment w:val="baseline"/>
        <w:rPr>
          <w:color w:val="auto"/>
          <w:sz w:val="24"/>
        </w:rPr>
      </w:pPr>
      <w:r>
        <w:rPr>
          <w:color w:val="auto"/>
          <w:sz w:val="24"/>
        </w:rPr>
        <w:t>（4）《环境影响评价技术导则 地下水环境》（</w:t>
      </w:r>
      <w:r>
        <w:rPr>
          <w:rFonts w:hint="eastAsia"/>
          <w:color w:val="auto"/>
          <w:sz w:val="24"/>
          <w:lang w:eastAsia="zh-CN"/>
        </w:rPr>
        <w:t>HJ 610</w:t>
      </w:r>
      <w:r>
        <w:rPr>
          <w:color w:val="auto"/>
          <w:sz w:val="24"/>
        </w:rPr>
        <w:t>-2016）；</w:t>
      </w:r>
    </w:p>
    <w:p w14:paraId="040FCFEC">
      <w:pPr>
        <w:pStyle w:val="15"/>
        <w:tabs>
          <w:tab w:val="left" w:pos="0"/>
          <w:tab w:val="left" w:pos="1080"/>
        </w:tabs>
        <w:spacing w:line="360" w:lineRule="auto"/>
        <w:ind w:firstLine="480" w:firstLineChars="200"/>
        <w:textAlignment w:val="baseline"/>
        <w:rPr>
          <w:color w:val="auto"/>
          <w:sz w:val="24"/>
        </w:rPr>
      </w:pPr>
      <w:r>
        <w:rPr>
          <w:color w:val="auto"/>
          <w:sz w:val="24"/>
        </w:rPr>
        <w:t>（5）《环境影响评价技术导则 声环境》（</w:t>
      </w:r>
      <w:r>
        <w:rPr>
          <w:rFonts w:hint="eastAsia"/>
          <w:color w:val="auto"/>
          <w:sz w:val="24"/>
          <w:lang w:eastAsia="zh-CN"/>
        </w:rPr>
        <w:t>HJ 2</w:t>
      </w:r>
      <w:r>
        <w:rPr>
          <w:color w:val="auto"/>
          <w:sz w:val="24"/>
        </w:rPr>
        <w:t>.4-20</w:t>
      </w:r>
      <w:r>
        <w:rPr>
          <w:rFonts w:hint="eastAsia"/>
          <w:color w:val="auto"/>
          <w:sz w:val="24"/>
        </w:rPr>
        <w:t>21</w:t>
      </w:r>
      <w:r>
        <w:rPr>
          <w:color w:val="auto"/>
          <w:sz w:val="24"/>
        </w:rPr>
        <w:t>）；</w:t>
      </w:r>
    </w:p>
    <w:p w14:paraId="4E73E237">
      <w:pPr>
        <w:pStyle w:val="15"/>
        <w:tabs>
          <w:tab w:val="left" w:pos="0"/>
          <w:tab w:val="left" w:pos="1080"/>
        </w:tabs>
        <w:spacing w:line="360" w:lineRule="auto"/>
        <w:ind w:firstLine="480" w:firstLineChars="200"/>
        <w:textAlignment w:val="baseline"/>
        <w:rPr>
          <w:color w:val="auto"/>
          <w:sz w:val="24"/>
        </w:rPr>
      </w:pPr>
      <w:r>
        <w:rPr>
          <w:color w:val="auto"/>
          <w:sz w:val="24"/>
        </w:rPr>
        <w:t>（6）《环境影响评价技术导则 生态影响》（</w:t>
      </w:r>
      <w:r>
        <w:rPr>
          <w:rFonts w:hint="eastAsia"/>
          <w:color w:val="auto"/>
          <w:sz w:val="24"/>
          <w:lang w:eastAsia="zh-CN"/>
        </w:rPr>
        <w:t>HJ 19</w:t>
      </w:r>
      <w:r>
        <w:rPr>
          <w:color w:val="auto"/>
          <w:sz w:val="24"/>
        </w:rPr>
        <w:t>-20</w:t>
      </w:r>
      <w:r>
        <w:rPr>
          <w:rFonts w:hint="eastAsia"/>
          <w:color w:val="auto"/>
          <w:sz w:val="24"/>
        </w:rPr>
        <w:t>22</w:t>
      </w:r>
      <w:r>
        <w:rPr>
          <w:color w:val="auto"/>
          <w:sz w:val="24"/>
        </w:rPr>
        <w:t>）；</w:t>
      </w:r>
    </w:p>
    <w:p w14:paraId="7F623905">
      <w:pPr>
        <w:pStyle w:val="15"/>
        <w:tabs>
          <w:tab w:val="left" w:pos="0"/>
          <w:tab w:val="left" w:pos="1080"/>
        </w:tabs>
        <w:spacing w:line="360" w:lineRule="auto"/>
        <w:ind w:firstLine="480" w:firstLineChars="200"/>
        <w:textAlignment w:val="baseline"/>
        <w:rPr>
          <w:color w:val="auto"/>
          <w:sz w:val="24"/>
        </w:rPr>
      </w:pPr>
      <w:r>
        <w:rPr>
          <w:color w:val="auto"/>
          <w:sz w:val="24"/>
        </w:rPr>
        <w:t>（7）《建设项目环境风险评价技术导则》（</w:t>
      </w:r>
      <w:r>
        <w:rPr>
          <w:rFonts w:hint="eastAsia"/>
          <w:color w:val="auto"/>
          <w:sz w:val="24"/>
          <w:lang w:eastAsia="zh-CN"/>
        </w:rPr>
        <w:t>HJ 169</w:t>
      </w:r>
      <w:r>
        <w:rPr>
          <w:color w:val="auto"/>
          <w:sz w:val="24"/>
        </w:rPr>
        <w:t>-2018）；</w:t>
      </w:r>
    </w:p>
    <w:p w14:paraId="3B4DC189">
      <w:pPr>
        <w:pStyle w:val="15"/>
        <w:tabs>
          <w:tab w:val="left" w:pos="0"/>
          <w:tab w:val="left" w:pos="1080"/>
        </w:tabs>
        <w:spacing w:line="360" w:lineRule="auto"/>
        <w:ind w:firstLine="480" w:firstLineChars="200"/>
        <w:textAlignment w:val="baseline"/>
        <w:rPr>
          <w:color w:val="auto"/>
          <w:sz w:val="24"/>
        </w:rPr>
      </w:pPr>
      <w:bookmarkStart w:id="41" w:name="_Toc222733387"/>
      <w:bookmarkStart w:id="42" w:name="_Toc227002301"/>
      <w:r>
        <w:rPr>
          <w:color w:val="auto"/>
          <w:sz w:val="24"/>
        </w:rPr>
        <w:t>（8）《建设项目危险废物环境影响评价指南》，2017年10月1日起</w:t>
      </w:r>
      <w:r>
        <w:rPr>
          <w:rFonts w:hint="eastAsia"/>
          <w:color w:val="auto"/>
          <w:sz w:val="24"/>
          <w:lang w:eastAsia="zh-CN"/>
        </w:rPr>
        <w:t>施行</w:t>
      </w:r>
      <w:r>
        <w:rPr>
          <w:color w:val="auto"/>
          <w:sz w:val="24"/>
        </w:rPr>
        <w:t>；</w:t>
      </w:r>
    </w:p>
    <w:p w14:paraId="79650B2B">
      <w:pPr>
        <w:pStyle w:val="15"/>
        <w:tabs>
          <w:tab w:val="left" w:pos="0"/>
          <w:tab w:val="left" w:pos="1080"/>
        </w:tabs>
        <w:spacing w:line="360" w:lineRule="auto"/>
        <w:ind w:firstLine="480" w:firstLineChars="200"/>
        <w:textAlignment w:val="baseline"/>
        <w:rPr>
          <w:color w:val="auto"/>
          <w:sz w:val="24"/>
        </w:rPr>
      </w:pPr>
      <w:r>
        <w:rPr>
          <w:color w:val="auto"/>
          <w:sz w:val="24"/>
        </w:rPr>
        <w:t>（9）《</w:t>
      </w:r>
      <w:r>
        <w:rPr>
          <w:rFonts w:hint="eastAsia"/>
          <w:color w:val="auto"/>
          <w:sz w:val="24"/>
        </w:rPr>
        <w:t>水运工程建设项目环境影响评价指南</w:t>
      </w:r>
      <w:r>
        <w:rPr>
          <w:color w:val="auto"/>
          <w:sz w:val="24"/>
        </w:rPr>
        <w:t>》（JTS/T 105-2021）；</w:t>
      </w:r>
    </w:p>
    <w:p w14:paraId="720C109F">
      <w:pPr>
        <w:pStyle w:val="15"/>
        <w:tabs>
          <w:tab w:val="left" w:pos="0"/>
          <w:tab w:val="left" w:pos="1080"/>
        </w:tabs>
        <w:spacing w:line="360" w:lineRule="auto"/>
        <w:ind w:firstLine="480" w:firstLineChars="200"/>
        <w:textAlignment w:val="baseline"/>
        <w:rPr>
          <w:color w:val="auto"/>
          <w:sz w:val="24"/>
        </w:rPr>
      </w:pPr>
      <w:r>
        <w:rPr>
          <w:color w:val="auto"/>
          <w:sz w:val="24"/>
        </w:rPr>
        <w:t>（10）《水运工程环境保护设计规范》（JTS 149-2018）；</w:t>
      </w:r>
    </w:p>
    <w:p w14:paraId="1C81F747">
      <w:pPr>
        <w:pStyle w:val="15"/>
        <w:tabs>
          <w:tab w:val="left" w:pos="0"/>
          <w:tab w:val="left" w:pos="1080"/>
        </w:tabs>
        <w:spacing w:line="360" w:lineRule="auto"/>
        <w:ind w:firstLine="480" w:firstLineChars="200"/>
        <w:textAlignment w:val="baseline"/>
        <w:rPr>
          <w:color w:val="FF0000"/>
          <w:sz w:val="24"/>
        </w:rPr>
      </w:pPr>
      <w:r>
        <w:rPr>
          <w:color w:val="FF0000"/>
          <w:sz w:val="24"/>
        </w:rPr>
        <w:t>（11）《</w:t>
      </w:r>
      <w:r>
        <w:rPr>
          <w:rFonts w:hint="eastAsia"/>
          <w:color w:val="FF0000"/>
          <w:sz w:val="24"/>
          <w:lang w:eastAsia="zh-CN"/>
        </w:rPr>
        <w:t>港口码头水上污染事故应急防备能力要求</w:t>
      </w:r>
      <w:r>
        <w:rPr>
          <w:color w:val="FF0000"/>
          <w:sz w:val="24"/>
        </w:rPr>
        <w:t>》（</w:t>
      </w:r>
      <w:r>
        <w:rPr>
          <w:rFonts w:hint="eastAsia"/>
          <w:color w:val="FF0000"/>
          <w:sz w:val="24"/>
          <w:lang w:eastAsia="zh-CN"/>
        </w:rPr>
        <w:t>JT/T 451-2017</w:t>
      </w:r>
      <w:r>
        <w:rPr>
          <w:color w:val="FF0000"/>
          <w:sz w:val="24"/>
        </w:rPr>
        <w:t>）；</w:t>
      </w:r>
    </w:p>
    <w:p w14:paraId="234AAF2E">
      <w:pPr>
        <w:pStyle w:val="15"/>
        <w:tabs>
          <w:tab w:val="left" w:pos="0"/>
          <w:tab w:val="left" w:pos="1080"/>
        </w:tabs>
        <w:spacing w:line="360" w:lineRule="auto"/>
        <w:ind w:firstLine="480" w:firstLineChars="200"/>
        <w:textAlignment w:val="baseline"/>
        <w:rPr>
          <w:color w:val="auto"/>
          <w:sz w:val="24"/>
        </w:rPr>
      </w:pPr>
      <w:r>
        <w:rPr>
          <w:color w:val="auto"/>
          <w:sz w:val="24"/>
        </w:rPr>
        <w:t>（12）《港口（港区）溢油应急计划编制指南》，中国海事局，2001年8月；</w:t>
      </w:r>
    </w:p>
    <w:p w14:paraId="0C36C41A">
      <w:pPr>
        <w:pStyle w:val="15"/>
        <w:tabs>
          <w:tab w:val="left" w:pos="0"/>
          <w:tab w:val="left" w:pos="1080"/>
        </w:tabs>
        <w:spacing w:line="360" w:lineRule="auto"/>
        <w:ind w:firstLine="480" w:firstLineChars="200"/>
        <w:textAlignment w:val="baseline"/>
        <w:rPr>
          <w:color w:val="auto"/>
          <w:sz w:val="24"/>
        </w:rPr>
      </w:pPr>
      <w:r>
        <w:rPr>
          <w:color w:val="auto"/>
          <w:sz w:val="24"/>
        </w:rPr>
        <w:t>（13）《煤炭矿石码头粉尘控制设计规范》（</w:t>
      </w:r>
      <w:r>
        <w:rPr>
          <w:rFonts w:hint="eastAsia"/>
          <w:color w:val="auto"/>
          <w:sz w:val="24"/>
          <w:lang w:eastAsia="zh-CN"/>
        </w:rPr>
        <w:t>JTS/T 156-2024</w:t>
      </w:r>
      <w:r>
        <w:rPr>
          <w:color w:val="auto"/>
          <w:sz w:val="24"/>
        </w:rPr>
        <w:t>）；</w:t>
      </w:r>
    </w:p>
    <w:p w14:paraId="3293C5FE">
      <w:pPr>
        <w:pStyle w:val="15"/>
        <w:tabs>
          <w:tab w:val="left" w:pos="0"/>
          <w:tab w:val="left" w:pos="1080"/>
        </w:tabs>
        <w:spacing w:line="360" w:lineRule="auto"/>
        <w:ind w:firstLine="480" w:firstLineChars="200"/>
        <w:textAlignment w:val="baseline"/>
        <w:rPr>
          <w:color w:val="auto"/>
          <w:sz w:val="24"/>
        </w:rPr>
      </w:pPr>
      <w:r>
        <w:rPr>
          <w:color w:val="auto"/>
          <w:sz w:val="24"/>
        </w:rPr>
        <w:t>（14）《排污许可证申请与核发技术规范 码头》（HJ 1107-2020）；</w:t>
      </w:r>
    </w:p>
    <w:p w14:paraId="4C5216B5">
      <w:pPr>
        <w:pStyle w:val="15"/>
        <w:tabs>
          <w:tab w:val="left" w:pos="0"/>
          <w:tab w:val="left" w:pos="1080"/>
        </w:tabs>
        <w:spacing w:line="360" w:lineRule="auto"/>
        <w:ind w:firstLine="480" w:firstLineChars="200"/>
        <w:textAlignment w:val="baseline"/>
        <w:rPr>
          <w:color w:val="auto"/>
          <w:sz w:val="24"/>
        </w:rPr>
      </w:pPr>
      <w:r>
        <w:rPr>
          <w:color w:val="auto"/>
          <w:sz w:val="24"/>
        </w:rPr>
        <w:t>（</w:t>
      </w:r>
      <w:r>
        <w:rPr>
          <w:rFonts w:hint="eastAsia"/>
          <w:color w:val="auto"/>
          <w:sz w:val="24"/>
        </w:rPr>
        <w:t>1</w:t>
      </w:r>
      <w:r>
        <w:rPr>
          <w:rFonts w:hint="eastAsia"/>
          <w:color w:val="auto"/>
          <w:sz w:val="24"/>
          <w:lang w:val="en-US" w:eastAsia="zh-CN"/>
        </w:rPr>
        <w:t>5</w:t>
      </w:r>
      <w:r>
        <w:rPr>
          <w:color w:val="auto"/>
          <w:sz w:val="24"/>
        </w:rPr>
        <w:t>）</w:t>
      </w:r>
      <w:r>
        <w:rPr>
          <w:rFonts w:hint="eastAsia"/>
          <w:color w:val="auto"/>
          <w:sz w:val="24"/>
        </w:rPr>
        <w:t>《水上溢油环境风险评估技术导则》（</w:t>
      </w:r>
      <w:r>
        <w:rPr>
          <w:color w:val="auto"/>
          <w:sz w:val="24"/>
        </w:rPr>
        <w:t>JT/</w:t>
      </w:r>
      <w:r>
        <w:rPr>
          <w:rFonts w:hint="eastAsia"/>
          <w:color w:val="auto"/>
          <w:sz w:val="24"/>
          <w:lang w:eastAsia="zh-CN"/>
        </w:rPr>
        <w:t>T 1143</w:t>
      </w:r>
      <w:r>
        <w:rPr>
          <w:color w:val="auto"/>
          <w:sz w:val="24"/>
        </w:rPr>
        <w:t>-2017</w:t>
      </w:r>
      <w:r>
        <w:rPr>
          <w:rFonts w:hint="eastAsia"/>
          <w:color w:val="auto"/>
          <w:sz w:val="24"/>
        </w:rPr>
        <w:t>）；</w:t>
      </w:r>
    </w:p>
    <w:p w14:paraId="770FA5D4">
      <w:pPr>
        <w:pStyle w:val="15"/>
        <w:tabs>
          <w:tab w:val="left" w:pos="0"/>
          <w:tab w:val="left" w:pos="1080"/>
        </w:tabs>
        <w:spacing w:line="360" w:lineRule="auto"/>
        <w:ind w:firstLine="480" w:firstLineChars="200"/>
        <w:textAlignment w:val="baseline"/>
        <w:rPr>
          <w:rFonts w:hint="eastAsia" w:ascii="Times New Roman" w:hAnsi="Times New Roman" w:eastAsia="宋体" w:cs="Times New Roman"/>
          <w:color w:val="auto"/>
          <w:sz w:val="24"/>
          <w:lang w:eastAsia="zh-CN"/>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1</w:t>
      </w:r>
      <w:r>
        <w:rPr>
          <w:rFonts w:hint="eastAsia" w:cs="Times New Roman"/>
          <w:color w:val="auto"/>
          <w:sz w:val="24"/>
          <w:lang w:val="en-US" w:eastAsia="zh-CN"/>
        </w:rPr>
        <w:t>6</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《船舶溢油应急能力评估导则》（</w:t>
      </w:r>
      <w:r>
        <w:rPr>
          <w:rFonts w:ascii="Times New Roman" w:hAnsi="Times New Roman" w:eastAsia="宋体" w:cs="Times New Roman"/>
          <w:color w:val="auto"/>
          <w:sz w:val="24"/>
        </w:rPr>
        <w:t>JT/</w:t>
      </w:r>
      <w:r>
        <w:rPr>
          <w:rFonts w:hint="eastAsia" w:cs="Times New Roman"/>
          <w:color w:val="auto"/>
          <w:sz w:val="24"/>
          <w:lang w:eastAsia="zh-CN"/>
        </w:rPr>
        <w:t>T 877</w:t>
      </w:r>
      <w:r>
        <w:rPr>
          <w:rFonts w:ascii="Times New Roman" w:hAnsi="Times New Roman" w:eastAsia="宋体" w:cs="Times New Roman"/>
          <w:color w:val="auto"/>
          <w:sz w:val="24"/>
        </w:rPr>
        <w:t>-2013</w:t>
      </w:r>
      <w:r>
        <w:rPr>
          <w:rFonts w:hint="eastAsia" w:ascii="Times New Roman" w:hAnsi="Times New Roman" w:eastAsia="宋体" w:cs="Times New Roman"/>
          <w:color w:val="auto"/>
          <w:sz w:val="24"/>
        </w:rPr>
        <w:t>）</w:t>
      </w:r>
      <w:r>
        <w:rPr>
          <w:rFonts w:hint="eastAsia" w:ascii="Times New Roman" w:hAnsi="Times New Roman" w:eastAsia="宋体" w:cs="Times New Roman"/>
          <w:color w:val="auto"/>
          <w:sz w:val="24"/>
          <w:lang w:eastAsia="zh-CN"/>
        </w:rPr>
        <w:t>；</w:t>
      </w:r>
    </w:p>
    <w:p w14:paraId="1BCDEBD2">
      <w:pPr>
        <w:pStyle w:val="15"/>
        <w:tabs>
          <w:tab w:val="left" w:pos="0"/>
          <w:tab w:val="left" w:pos="1080"/>
        </w:tabs>
        <w:spacing w:line="360" w:lineRule="auto"/>
        <w:ind w:firstLine="480" w:firstLineChars="200"/>
        <w:textAlignment w:val="baseline"/>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w:t>
      </w:r>
      <w:r>
        <w:rPr>
          <w:rFonts w:hint="eastAsia" w:cs="Times New Roman"/>
          <w:color w:val="auto"/>
          <w:sz w:val="24"/>
          <w:lang w:val="en-US" w:eastAsia="zh-CN"/>
        </w:rPr>
        <w:t>17</w:t>
      </w:r>
      <w:r>
        <w:rPr>
          <w:rFonts w:hint="eastAsia" w:ascii="Times New Roman" w:hAnsi="Times New Roman" w:eastAsia="宋体" w:cs="Times New Roman"/>
          <w:color w:val="auto"/>
          <w:sz w:val="24"/>
          <w:lang w:val="en-US" w:eastAsia="zh-CN"/>
        </w:rPr>
        <w:t>）《船舶水污染物内河港口岸上接收设施设计指南》（JTS/T175-2019）；</w:t>
      </w:r>
    </w:p>
    <w:p w14:paraId="15D905CE">
      <w:pPr>
        <w:pStyle w:val="15"/>
        <w:tabs>
          <w:tab w:val="left" w:pos="0"/>
          <w:tab w:val="left" w:pos="1080"/>
        </w:tabs>
        <w:spacing w:line="360" w:lineRule="auto"/>
        <w:ind w:firstLine="480" w:firstLineChars="200"/>
        <w:textAlignment w:val="baseline"/>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w:t>
      </w:r>
      <w:r>
        <w:rPr>
          <w:rFonts w:hint="eastAsia" w:cs="Times New Roman"/>
          <w:color w:val="auto"/>
          <w:sz w:val="24"/>
          <w:lang w:val="en-US" w:eastAsia="zh-CN"/>
        </w:rPr>
        <w:t>18</w:t>
      </w:r>
      <w:r>
        <w:rPr>
          <w:rFonts w:hint="eastAsia" w:ascii="Times New Roman" w:hAnsi="Times New Roman" w:eastAsia="宋体" w:cs="Times New Roman"/>
          <w:color w:val="auto"/>
          <w:sz w:val="24"/>
          <w:lang w:val="en-US" w:eastAsia="zh-CN"/>
        </w:rPr>
        <w:t>）《港口工程绿色设计导则》（JTS/</w:t>
      </w:r>
      <w:r>
        <w:rPr>
          <w:rFonts w:hint="eastAsia" w:cs="Times New Roman"/>
          <w:color w:val="auto"/>
          <w:sz w:val="24"/>
          <w:lang w:val="en-US" w:eastAsia="zh-CN"/>
        </w:rPr>
        <w:t>T 189</w:t>
      </w:r>
      <w:r>
        <w:rPr>
          <w:rFonts w:hint="eastAsia" w:ascii="Times New Roman" w:hAnsi="Times New Roman" w:eastAsia="宋体" w:cs="Times New Roman"/>
          <w:color w:val="auto"/>
          <w:sz w:val="24"/>
          <w:lang w:val="en-US" w:eastAsia="zh-CN"/>
        </w:rPr>
        <w:t>-2023）；</w:t>
      </w:r>
    </w:p>
    <w:p w14:paraId="5692462C">
      <w:pPr>
        <w:pStyle w:val="15"/>
        <w:tabs>
          <w:tab w:val="left" w:pos="0"/>
          <w:tab w:val="left" w:pos="1080"/>
        </w:tabs>
        <w:spacing w:line="360" w:lineRule="auto"/>
        <w:ind w:firstLine="480" w:firstLineChars="200"/>
        <w:textAlignment w:val="baseline"/>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w:t>
      </w:r>
      <w:r>
        <w:rPr>
          <w:rFonts w:hint="eastAsia" w:cs="Times New Roman"/>
          <w:color w:val="auto"/>
          <w:sz w:val="24"/>
          <w:lang w:val="en-US" w:eastAsia="zh-CN"/>
        </w:rPr>
        <w:t>19</w:t>
      </w:r>
      <w:r>
        <w:rPr>
          <w:rFonts w:hint="eastAsia" w:ascii="Times New Roman" w:hAnsi="Times New Roman" w:eastAsia="宋体" w:cs="Times New Roman"/>
          <w:color w:val="auto"/>
          <w:sz w:val="24"/>
          <w:lang w:val="en-US" w:eastAsia="zh-CN"/>
        </w:rPr>
        <w:t>）《港口工程清洁生产设计指南》（JTS/</w:t>
      </w:r>
      <w:r>
        <w:rPr>
          <w:rFonts w:hint="eastAsia" w:cs="Times New Roman"/>
          <w:color w:val="auto"/>
          <w:sz w:val="24"/>
          <w:lang w:val="en-US" w:eastAsia="zh-CN"/>
        </w:rPr>
        <w:t>T 178</w:t>
      </w:r>
      <w:r>
        <w:rPr>
          <w:rFonts w:hint="eastAsia" w:ascii="Times New Roman" w:hAnsi="Times New Roman" w:eastAsia="宋体" w:cs="Times New Roman"/>
          <w:color w:val="auto"/>
          <w:sz w:val="24"/>
          <w:lang w:val="en-US" w:eastAsia="zh-CN"/>
        </w:rPr>
        <w:t>-2020）。</w:t>
      </w:r>
    </w:p>
    <w:bookmarkEnd w:id="41"/>
    <w:bookmarkEnd w:id="42"/>
    <w:p w14:paraId="28122741">
      <w:pPr>
        <w:pStyle w:val="4"/>
        <w:numPr>
          <w:ilvl w:val="0"/>
          <w:numId w:val="0"/>
        </w:numPr>
        <w:rPr>
          <w:color w:val="auto"/>
        </w:rPr>
      </w:pPr>
      <w:r>
        <w:rPr>
          <w:rFonts w:hint="eastAsia"/>
          <w:color w:val="auto"/>
        </w:rPr>
        <w:t>2.1.5</w:t>
      </w:r>
      <w:r>
        <w:rPr>
          <w:color w:val="auto"/>
        </w:rPr>
        <w:t>建设项目相关文件</w:t>
      </w:r>
    </w:p>
    <w:p w14:paraId="53659EB3">
      <w:pPr>
        <w:pStyle w:val="24"/>
        <w:numPr>
          <w:ilvl w:val="0"/>
          <w:numId w:val="7"/>
        </w:numPr>
        <w:spacing w:after="0" w:line="360" w:lineRule="auto"/>
        <w:ind w:left="0" w:firstLine="480" w:firstLineChars="200"/>
        <w:rPr>
          <w:color w:val="auto"/>
          <w:sz w:val="24"/>
        </w:rPr>
      </w:pPr>
      <w:r>
        <w:rPr>
          <w:color w:val="auto"/>
          <w:sz w:val="24"/>
        </w:rPr>
        <w:t>建设项目环境影响评价委托书；</w:t>
      </w:r>
    </w:p>
    <w:p w14:paraId="0568E559">
      <w:pPr>
        <w:pStyle w:val="24"/>
        <w:numPr>
          <w:ilvl w:val="0"/>
          <w:numId w:val="7"/>
        </w:numPr>
        <w:spacing w:after="0" w:line="360" w:lineRule="auto"/>
        <w:ind w:left="0" w:firstLine="480" w:firstLineChars="200"/>
        <w:rPr>
          <w:color w:val="auto"/>
          <w:sz w:val="24"/>
        </w:rPr>
      </w:pPr>
      <w:r>
        <w:rPr>
          <w:rFonts w:hint="eastAsia"/>
          <w:color w:val="auto"/>
          <w:sz w:val="24"/>
        </w:rPr>
        <w:t>项目立项文件；</w:t>
      </w:r>
    </w:p>
    <w:p w14:paraId="6EAD6661">
      <w:pPr>
        <w:pStyle w:val="24"/>
        <w:numPr>
          <w:ilvl w:val="0"/>
          <w:numId w:val="7"/>
        </w:numPr>
        <w:spacing w:after="0" w:line="360" w:lineRule="auto"/>
        <w:ind w:left="0" w:firstLine="480" w:firstLineChars="200"/>
        <w:rPr>
          <w:color w:val="auto"/>
          <w:sz w:val="24"/>
        </w:rPr>
      </w:pPr>
      <w:r>
        <w:rPr>
          <w:rFonts w:hint="eastAsia"/>
          <w:color w:val="auto"/>
          <w:sz w:val="24"/>
        </w:rPr>
        <w:t>《淮南市兴华园贸易发展有限公司淮南兴华园中转码头新建项目环境影响报告表》；</w:t>
      </w:r>
    </w:p>
    <w:p w14:paraId="30287DD8">
      <w:pPr>
        <w:pStyle w:val="24"/>
        <w:numPr>
          <w:ilvl w:val="0"/>
          <w:numId w:val="7"/>
        </w:numPr>
        <w:spacing w:after="0" w:line="360" w:lineRule="auto"/>
        <w:ind w:left="0" w:firstLine="480" w:firstLineChars="200"/>
        <w:rPr>
          <w:color w:val="auto"/>
          <w:sz w:val="24"/>
        </w:rPr>
      </w:pPr>
      <w:r>
        <w:rPr>
          <w:rFonts w:hint="eastAsia"/>
          <w:color w:val="auto"/>
          <w:sz w:val="24"/>
        </w:rPr>
        <w:t>《淮南港潘集港区兴华园码头工程初步设计变更》</w:t>
      </w:r>
      <w:r>
        <w:rPr>
          <w:rFonts w:hint="eastAsia"/>
          <w:color w:val="auto"/>
          <w:sz w:val="24"/>
          <w:lang w:val="en-US" w:eastAsia="zh-CN"/>
        </w:rPr>
        <w:t>及其专家意见</w:t>
      </w:r>
      <w:r>
        <w:rPr>
          <w:rFonts w:hint="eastAsia"/>
          <w:color w:val="auto"/>
          <w:sz w:val="24"/>
        </w:rPr>
        <w:t>；</w:t>
      </w:r>
    </w:p>
    <w:p w14:paraId="3C9F2791">
      <w:pPr>
        <w:pStyle w:val="24"/>
        <w:numPr>
          <w:ilvl w:val="0"/>
          <w:numId w:val="7"/>
        </w:numPr>
        <w:spacing w:after="0" w:line="360" w:lineRule="auto"/>
        <w:ind w:left="0" w:firstLine="480" w:firstLineChars="200"/>
        <w:rPr>
          <w:color w:val="auto"/>
          <w:sz w:val="24"/>
        </w:rPr>
      </w:pPr>
      <w:r>
        <w:rPr>
          <w:rFonts w:hint="eastAsia"/>
          <w:color w:val="auto"/>
          <w:sz w:val="24"/>
        </w:rPr>
        <w:t>《淮南市兴华园码头复工工程防洪影响处理工程专项设计》</w:t>
      </w:r>
      <w:r>
        <w:rPr>
          <w:rFonts w:hint="eastAsia"/>
          <w:color w:val="auto"/>
          <w:sz w:val="24"/>
          <w:lang w:val="en-US" w:eastAsia="zh-CN"/>
        </w:rPr>
        <w:t>及批复</w:t>
      </w:r>
      <w:r>
        <w:rPr>
          <w:rFonts w:hint="eastAsia"/>
          <w:color w:val="auto"/>
          <w:sz w:val="24"/>
        </w:rPr>
        <w:t>；</w:t>
      </w:r>
    </w:p>
    <w:p w14:paraId="2F68406D">
      <w:pPr>
        <w:pStyle w:val="24"/>
        <w:numPr>
          <w:ilvl w:val="0"/>
          <w:numId w:val="7"/>
        </w:numPr>
        <w:spacing w:after="0" w:line="360" w:lineRule="auto"/>
        <w:ind w:left="0" w:firstLine="480" w:firstLineChars="200"/>
        <w:rPr>
          <w:color w:val="auto"/>
          <w:sz w:val="24"/>
        </w:rPr>
      </w:pPr>
      <w:r>
        <w:rPr>
          <w:rFonts w:hint="eastAsia"/>
          <w:color w:val="auto"/>
          <w:sz w:val="24"/>
        </w:rPr>
        <w:t>建设单位提供的工程技术资料等。</w:t>
      </w:r>
    </w:p>
    <w:p w14:paraId="482DFA04">
      <w:pPr>
        <w:pStyle w:val="3"/>
        <w:numPr>
          <w:ilvl w:val="0"/>
          <w:numId w:val="0"/>
        </w:numPr>
        <w:rPr>
          <w:color w:val="auto"/>
        </w:rPr>
      </w:pPr>
      <w:bookmarkStart w:id="43" w:name="_Toc30105"/>
      <w:bookmarkStart w:id="44" w:name="_Toc457678953"/>
      <w:r>
        <w:rPr>
          <w:rFonts w:hint="eastAsia"/>
          <w:color w:val="auto"/>
        </w:rPr>
        <w:t>2.2</w:t>
      </w:r>
      <w:r>
        <w:rPr>
          <w:color w:val="auto"/>
        </w:rPr>
        <w:t>评价因子与评价标准</w:t>
      </w:r>
      <w:bookmarkEnd w:id="43"/>
      <w:bookmarkEnd w:id="44"/>
    </w:p>
    <w:p w14:paraId="006F6746">
      <w:pPr>
        <w:pStyle w:val="4"/>
        <w:numPr>
          <w:ilvl w:val="0"/>
          <w:numId w:val="0"/>
        </w:numPr>
        <w:rPr>
          <w:color w:val="auto"/>
        </w:rPr>
      </w:pPr>
      <w:r>
        <w:rPr>
          <w:rFonts w:hint="eastAsia"/>
          <w:color w:val="auto"/>
        </w:rPr>
        <w:t>2.2.1</w:t>
      </w:r>
      <w:r>
        <w:rPr>
          <w:color w:val="auto"/>
        </w:rPr>
        <w:t>评价因子</w:t>
      </w:r>
    </w:p>
    <w:p w14:paraId="191595CB">
      <w:pPr>
        <w:spacing w:line="360" w:lineRule="auto"/>
        <w:ind w:firstLine="480" w:firstLineChars="200"/>
        <w:rPr>
          <w:color w:val="auto"/>
          <w:sz w:val="24"/>
        </w:rPr>
      </w:pPr>
      <w:r>
        <w:rPr>
          <w:color w:val="auto"/>
          <w:sz w:val="24"/>
        </w:rPr>
        <w:t>根据</w:t>
      </w:r>
      <w:r>
        <w:rPr>
          <w:rFonts w:hint="eastAsia"/>
          <w:color w:val="auto"/>
          <w:sz w:val="24"/>
        </w:rPr>
        <w:t>对拟建项目工程分析和环境影响识别，确定拟建项目主要的评价因子</w:t>
      </w:r>
      <w:r>
        <w:rPr>
          <w:rFonts w:hint="eastAsia"/>
          <w:color w:val="auto"/>
          <w:sz w:val="24"/>
          <w:lang w:eastAsia="zh-CN"/>
        </w:rPr>
        <w:t>，见</w:t>
      </w:r>
      <w:r>
        <w:rPr>
          <w:rFonts w:hint="eastAsia"/>
          <w:color w:val="auto"/>
          <w:sz w:val="24"/>
        </w:rPr>
        <w:t>下表</w:t>
      </w:r>
      <w:r>
        <w:rPr>
          <w:color w:val="auto"/>
          <w:sz w:val="24"/>
        </w:rPr>
        <w:t>。</w:t>
      </w:r>
    </w:p>
    <w:p w14:paraId="29063BD4">
      <w:pPr>
        <w:pStyle w:val="29"/>
        <w:spacing w:line="400" w:lineRule="exact"/>
        <w:jc w:val="center"/>
        <w:rPr>
          <w:rFonts w:ascii="Times New Roman" w:hAnsi="Times New Roman" w:eastAsia="黑体"/>
          <w:color w:val="auto"/>
          <w:kern w:val="0"/>
          <w:sz w:val="24"/>
          <w:szCs w:val="24"/>
        </w:rPr>
      </w:pPr>
      <w:r>
        <w:rPr>
          <w:rFonts w:ascii="Times New Roman" w:hAnsi="Times New Roman" w:eastAsia="黑体"/>
          <w:color w:val="auto"/>
          <w:kern w:val="0"/>
          <w:sz w:val="24"/>
          <w:szCs w:val="24"/>
        </w:rPr>
        <w:t>表2.2-1  建设项目评价因子表</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3809"/>
        <w:gridCol w:w="2445"/>
        <w:gridCol w:w="1578"/>
      </w:tblGrid>
      <w:tr w14:paraId="605795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50" w:type="dxa"/>
            <w:noWrap w:val="0"/>
            <w:vAlign w:val="center"/>
          </w:tcPr>
          <w:p w14:paraId="5B595B92">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b/>
                <w:color w:val="auto"/>
              </w:rPr>
            </w:pPr>
            <w:r>
              <w:rPr>
                <w:rFonts w:hint="eastAsia" w:ascii="Times New Roman" w:hAnsi="Times New Roman" w:cs="Times New Roman"/>
                <w:b/>
                <w:color w:val="auto"/>
              </w:rPr>
              <w:t>环境</w:t>
            </w:r>
            <w:r>
              <w:rPr>
                <w:rFonts w:hint="default" w:ascii="Times New Roman" w:hAnsi="Times New Roman" w:cs="Times New Roman"/>
                <w:b/>
                <w:color w:val="auto"/>
              </w:rPr>
              <w:t>要素</w:t>
            </w:r>
          </w:p>
        </w:tc>
        <w:tc>
          <w:tcPr>
            <w:tcW w:w="3809" w:type="dxa"/>
            <w:noWrap w:val="0"/>
            <w:vAlign w:val="center"/>
          </w:tcPr>
          <w:p w14:paraId="4B3E4F20">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b/>
                <w:color w:val="auto"/>
              </w:rPr>
            </w:pPr>
            <w:r>
              <w:rPr>
                <w:rFonts w:hint="default" w:ascii="Times New Roman" w:hAnsi="Times New Roman" w:cs="Times New Roman"/>
                <w:b/>
                <w:color w:val="auto"/>
              </w:rPr>
              <w:t>环境现状评价因子</w:t>
            </w:r>
          </w:p>
        </w:tc>
        <w:tc>
          <w:tcPr>
            <w:tcW w:w="2445" w:type="dxa"/>
            <w:noWrap w:val="0"/>
            <w:vAlign w:val="center"/>
          </w:tcPr>
          <w:p w14:paraId="64D19081">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b/>
                <w:color w:val="auto"/>
              </w:rPr>
            </w:pPr>
            <w:r>
              <w:rPr>
                <w:rFonts w:hint="default" w:ascii="Times New Roman" w:hAnsi="Times New Roman" w:cs="Times New Roman"/>
                <w:b/>
                <w:color w:val="auto"/>
              </w:rPr>
              <w:t>环境影响评价因子</w:t>
            </w:r>
          </w:p>
        </w:tc>
        <w:tc>
          <w:tcPr>
            <w:tcW w:w="1578" w:type="dxa"/>
            <w:noWrap w:val="0"/>
            <w:vAlign w:val="center"/>
          </w:tcPr>
          <w:p w14:paraId="5141A896">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b/>
                <w:color w:val="auto"/>
              </w:rPr>
            </w:pPr>
            <w:r>
              <w:rPr>
                <w:rFonts w:hint="default" w:ascii="Times New Roman" w:hAnsi="Times New Roman" w:cs="Times New Roman"/>
                <w:b/>
                <w:color w:val="auto"/>
              </w:rPr>
              <w:t>总量控制因子</w:t>
            </w:r>
          </w:p>
        </w:tc>
      </w:tr>
      <w:tr w14:paraId="09E571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50" w:type="dxa"/>
            <w:noWrap w:val="0"/>
            <w:vAlign w:val="center"/>
          </w:tcPr>
          <w:p w14:paraId="5B6E0D68">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大气环境</w:t>
            </w:r>
          </w:p>
        </w:tc>
        <w:tc>
          <w:tcPr>
            <w:tcW w:w="3809" w:type="dxa"/>
            <w:noWrap w:val="0"/>
            <w:vAlign w:val="center"/>
          </w:tcPr>
          <w:p w14:paraId="3533402B">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SO</w:t>
            </w:r>
            <w:r>
              <w:rPr>
                <w:rFonts w:hint="default" w:ascii="Times New Roman" w:hAnsi="Times New Roman" w:cs="Times New Roman"/>
                <w:color w:val="auto"/>
                <w:vertAlign w:val="subscript"/>
              </w:rPr>
              <w:t>2</w:t>
            </w:r>
            <w:r>
              <w:rPr>
                <w:rFonts w:hint="default" w:ascii="Times New Roman" w:hAnsi="Times New Roman" w:cs="Times New Roman"/>
                <w:color w:val="auto"/>
              </w:rPr>
              <w:t>、NO</w:t>
            </w:r>
            <w:r>
              <w:rPr>
                <w:rFonts w:hint="default" w:ascii="Times New Roman" w:hAnsi="Times New Roman" w:cs="Times New Roman"/>
                <w:color w:val="auto"/>
                <w:vertAlign w:val="subscript"/>
              </w:rPr>
              <w:t>2</w:t>
            </w:r>
            <w:r>
              <w:rPr>
                <w:rFonts w:hint="default" w:ascii="Times New Roman" w:hAnsi="Times New Roman" w:cs="Times New Roman"/>
                <w:color w:val="auto"/>
              </w:rPr>
              <w:t>、CO、O</w:t>
            </w:r>
            <w:r>
              <w:rPr>
                <w:rFonts w:hint="default" w:ascii="Times New Roman" w:hAnsi="Times New Roman" w:cs="Times New Roman"/>
                <w:color w:val="auto"/>
                <w:vertAlign w:val="subscript"/>
              </w:rPr>
              <w:t>3</w:t>
            </w:r>
            <w:r>
              <w:rPr>
                <w:rFonts w:hint="default" w:ascii="Times New Roman" w:hAnsi="Times New Roman" w:cs="Times New Roman"/>
                <w:color w:val="auto"/>
              </w:rPr>
              <w:t>、PM</w:t>
            </w:r>
            <w:r>
              <w:rPr>
                <w:rFonts w:hint="default" w:ascii="Times New Roman" w:hAnsi="Times New Roman" w:cs="Times New Roman"/>
                <w:color w:val="auto"/>
                <w:vertAlign w:val="subscript"/>
              </w:rPr>
              <w:t>2.5</w:t>
            </w:r>
            <w:r>
              <w:rPr>
                <w:rFonts w:hint="default" w:ascii="Times New Roman" w:hAnsi="Times New Roman" w:cs="Times New Roman"/>
                <w:color w:val="auto"/>
              </w:rPr>
              <w:t>、PM</w:t>
            </w:r>
            <w:r>
              <w:rPr>
                <w:rFonts w:hint="default" w:ascii="Times New Roman" w:hAnsi="Times New Roman" w:cs="Times New Roman"/>
                <w:color w:val="auto"/>
                <w:vertAlign w:val="subscript"/>
              </w:rPr>
              <w:t>10</w:t>
            </w:r>
            <w:r>
              <w:rPr>
                <w:rFonts w:hint="eastAsia" w:ascii="Times New Roman" w:hAnsi="Times New Roman" w:cs="Times New Roman"/>
                <w:color w:val="auto"/>
              </w:rPr>
              <w:t>、</w:t>
            </w:r>
            <w:r>
              <w:rPr>
                <w:rFonts w:hint="default" w:ascii="Times New Roman" w:hAnsi="Times New Roman" w:cs="Times New Roman"/>
                <w:color w:val="auto"/>
              </w:rPr>
              <w:t>TSP</w:t>
            </w:r>
          </w:p>
        </w:tc>
        <w:tc>
          <w:tcPr>
            <w:tcW w:w="2445" w:type="dxa"/>
            <w:noWrap w:val="0"/>
            <w:vAlign w:val="center"/>
          </w:tcPr>
          <w:p w14:paraId="2F1EDE7A">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TSP</w:t>
            </w:r>
          </w:p>
        </w:tc>
        <w:tc>
          <w:tcPr>
            <w:tcW w:w="1578" w:type="dxa"/>
            <w:noWrap w:val="0"/>
            <w:vAlign w:val="center"/>
          </w:tcPr>
          <w:p w14:paraId="566DFA91">
            <w:pPr>
              <w:keepNext w:val="0"/>
              <w:keepLines w:val="0"/>
              <w:suppressLineNumbers w:val="0"/>
              <w:spacing w:before="0" w:beforeAutospacing="0" w:after="0" w:afterAutospacing="0" w:line="300" w:lineRule="exact"/>
              <w:ind w:left="0" w:right="0"/>
              <w:jc w:val="center"/>
              <w:rPr>
                <w:rFonts w:hint="eastAsia" w:ascii="Times New Roman" w:hAnsi="Times New Roman" w:cs="Times New Roman"/>
                <w:color w:val="auto"/>
              </w:rPr>
            </w:pPr>
            <w:r>
              <w:rPr>
                <w:rFonts w:hint="eastAsia" w:ascii="Times New Roman" w:hAnsi="Times New Roman" w:cs="Times New Roman"/>
                <w:color w:val="auto"/>
              </w:rPr>
              <w:t>烟（粉）尘</w:t>
            </w:r>
          </w:p>
        </w:tc>
      </w:tr>
      <w:tr w14:paraId="2D29CA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50" w:type="dxa"/>
            <w:noWrap w:val="0"/>
            <w:vAlign w:val="center"/>
          </w:tcPr>
          <w:p w14:paraId="34213CC8">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地表水环境</w:t>
            </w:r>
          </w:p>
        </w:tc>
        <w:tc>
          <w:tcPr>
            <w:tcW w:w="3809" w:type="dxa"/>
            <w:noWrap w:val="0"/>
            <w:vAlign w:val="center"/>
          </w:tcPr>
          <w:p w14:paraId="13CB17EA">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pH、COD、BOD</w:t>
            </w:r>
            <w:r>
              <w:rPr>
                <w:rFonts w:hint="default" w:ascii="Times New Roman" w:hAnsi="Times New Roman" w:cs="Times New Roman"/>
                <w:color w:val="auto"/>
                <w:vertAlign w:val="subscript"/>
              </w:rPr>
              <w:t>5</w:t>
            </w:r>
            <w:r>
              <w:rPr>
                <w:rFonts w:hint="default" w:ascii="Times New Roman" w:hAnsi="Times New Roman" w:cs="Times New Roman"/>
                <w:color w:val="auto"/>
              </w:rPr>
              <w:t>、NH</w:t>
            </w:r>
            <w:r>
              <w:rPr>
                <w:rFonts w:hint="default" w:ascii="Times New Roman" w:hAnsi="Times New Roman" w:cs="Times New Roman"/>
                <w:color w:val="auto"/>
                <w:vertAlign w:val="subscript"/>
              </w:rPr>
              <w:t>3</w:t>
            </w:r>
            <w:r>
              <w:rPr>
                <w:rFonts w:hint="default" w:ascii="Times New Roman" w:hAnsi="Times New Roman" w:cs="Times New Roman"/>
                <w:color w:val="auto"/>
              </w:rPr>
              <w:t>-N、TP、石油类</w:t>
            </w:r>
          </w:p>
        </w:tc>
        <w:tc>
          <w:tcPr>
            <w:tcW w:w="2445" w:type="dxa"/>
            <w:noWrap w:val="0"/>
            <w:vAlign w:val="center"/>
          </w:tcPr>
          <w:p w14:paraId="47316F3F">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pH、COD、BOD</w:t>
            </w:r>
            <w:r>
              <w:rPr>
                <w:rFonts w:hint="default" w:ascii="Times New Roman" w:hAnsi="Times New Roman" w:cs="Times New Roman"/>
                <w:color w:val="auto"/>
                <w:vertAlign w:val="subscript"/>
              </w:rPr>
              <w:t>5</w:t>
            </w:r>
            <w:r>
              <w:rPr>
                <w:rFonts w:hint="default" w:ascii="Times New Roman" w:hAnsi="Times New Roman" w:cs="Times New Roman"/>
                <w:color w:val="auto"/>
              </w:rPr>
              <w:t>、NH</w:t>
            </w:r>
            <w:r>
              <w:rPr>
                <w:rFonts w:hint="default" w:ascii="Times New Roman" w:hAnsi="Times New Roman" w:cs="Times New Roman"/>
                <w:color w:val="auto"/>
                <w:vertAlign w:val="subscript"/>
              </w:rPr>
              <w:t>3</w:t>
            </w:r>
            <w:r>
              <w:rPr>
                <w:rFonts w:hint="default" w:ascii="Times New Roman" w:hAnsi="Times New Roman" w:cs="Times New Roman"/>
                <w:color w:val="auto"/>
              </w:rPr>
              <w:t>-N、TP、石油类</w:t>
            </w:r>
          </w:p>
        </w:tc>
        <w:tc>
          <w:tcPr>
            <w:tcW w:w="1578" w:type="dxa"/>
            <w:noWrap w:val="0"/>
            <w:vAlign w:val="center"/>
          </w:tcPr>
          <w:p w14:paraId="5F84676A">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r>
      <w:tr w14:paraId="15B3EC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50" w:type="dxa"/>
            <w:noWrap w:val="0"/>
            <w:vAlign w:val="center"/>
          </w:tcPr>
          <w:p w14:paraId="03E959E2">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声环境</w:t>
            </w:r>
          </w:p>
        </w:tc>
        <w:tc>
          <w:tcPr>
            <w:tcW w:w="3809" w:type="dxa"/>
            <w:noWrap w:val="0"/>
            <w:vAlign w:val="center"/>
          </w:tcPr>
          <w:p w14:paraId="14169E18">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等效</w:t>
            </w:r>
            <w:r>
              <w:rPr>
                <w:rFonts w:hint="eastAsia" w:ascii="Times New Roman" w:hAnsi="Times New Roman" w:cs="Times New Roman"/>
                <w:color w:val="auto"/>
              </w:rPr>
              <w:t>连续A</w:t>
            </w:r>
            <w:r>
              <w:rPr>
                <w:rFonts w:hint="default" w:ascii="Times New Roman" w:hAnsi="Times New Roman" w:cs="Times New Roman"/>
                <w:color w:val="auto"/>
              </w:rPr>
              <w:t>声级</w:t>
            </w:r>
          </w:p>
        </w:tc>
        <w:tc>
          <w:tcPr>
            <w:tcW w:w="2445" w:type="dxa"/>
            <w:noWrap w:val="0"/>
            <w:vAlign w:val="center"/>
          </w:tcPr>
          <w:p w14:paraId="6BE348A1">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等效声级</w:t>
            </w:r>
          </w:p>
        </w:tc>
        <w:tc>
          <w:tcPr>
            <w:tcW w:w="1578" w:type="dxa"/>
            <w:noWrap w:val="0"/>
            <w:vAlign w:val="center"/>
          </w:tcPr>
          <w:p w14:paraId="1CF58797">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r>
      <w:tr w14:paraId="098FE4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50" w:type="dxa"/>
            <w:noWrap w:val="0"/>
            <w:vAlign w:val="center"/>
          </w:tcPr>
          <w:p w14:paraId="012CF1BC">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河道底泥</w:t>
            </w:r>
          </w:p>
        </w:tc>
        <w:tc>
          <w:tcPr>
            <w:tcW w:w="3809" w:type="dxa"/>
            <w:noWrap w:val="0"/>
            <w:vAlign w:val="center"/>
          </w:tcPr>
          <w:p w14:paraId="5E791D98">
            <w:pPr>
              <w:keepNext w:val="0"/>
              <w:keepLines w:val="0"/>
              <w:suppressLineNumbers w:val="0"/>
              <w:spacing w:before="0" w:beforeAutospacing="0" w:after="0" w:afterAutospacing="0" w:line="300" w:lineRule="exact"/>
              <w:ind w:left="0" w:right="0"/>
              <w:jc w:val="center"/>
              <w:rPr>
                <w:rFonts w:hint="eastAsia" w:ascii="Times New Roman" w:hAnsi="Times New Roman" w:cs="Times New Roman"/>
                <w:color w:val="auto"/>
              </w:rPr>
            </w:pPr>
            <w:r>
              <w:rPr>
                <w:rFonts w:hint="default" w:ascii="Times New Roman" w:hAnsi="Times New Roman" w:cs="Times New Roman"/>
                <w:color w:val="auto"/>
              </w:rPr>
              <w:t>镉、汞、砷、铜、铅、铬、锌、镍</w:t>
            </w:r>
            <w:r>
              <w:rPr>
                <w:rFonts w:hint="eastAsia" w:ascii="Times New Roman" w:hAnsi="Times New Roman" w:cs="Times New Roman"/>
                <w:color w:val="auto"/>
              </w:rPr>
              <w:t>、p</w:t>
            </w:r>
            <w:r>
              <w:rPr>
                <w:rFonts w:hint="default" w:ascii="Times New Roman" w:hAnsi="Times New Roman" w:cs="Times New Roman"/>
                <w:color w:val="auto"/>
              </w:rPr>
              <w:t>H</w:t>
            </w:r>
          </w:p>
        </w:tc>
        <w:tc>
          <w:tcPr>
            <w:tcW w:w="2445" w:type="dxa"/>
            <w:noWrap w:val="0"/>
            <w:vAlign w:val="center"/>
          </w:tcPr>
          <w:p w14:paraId="3C12B2AA">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eastAsia" w:ascii="Times New Roman" w:hAnsi="Times New Roman" w:cs="Times New Roman"/>
                <w:color w:val="auto"/>
              </w:rPr>
              <w:t>/</w:t>
            </w:r>
          </w:p>
        </w:tc>
        <w:tc>
          <w:tcPr>
            <w:tcW w:w="1578" w:type="dxa"/>
            <w:noWrap w:val="0"/>
            <w:vAlign w:val="center"/>
          </w:tcPr>
          <w:p w14:paraId="7500668C">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r>
      <w:tr w14:paraId="7D5B9C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50" w:type="dxa"/>
            <w:noWrap w:val="0"/>
            <w:vAlign w:val="center"/>
          </w:tcPr>
          <w:p w14:paraId="06C6A807">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生态环境</w:t>
            </w:r>
          </w:p>
        </w:tc>
        <w:tc>
          <w:tcPr>
            <w:tcW w:w="3809" w:type="dxa"/>
            <w:noWrap w:val="0"/>
            <w:vAlign w:val="center"/>
          </w:tcPr>
          <w:p w14:paraId="49B70FB2">
            <w:pPr>
              <w:keepNext w:val="0"/>
              <w:keepLines w:val="0"/>
              <w:suppressLineNumbers w:val="0"/>
              <w:spacing w:before="0" w:beforeAutospacing="0" w:after="0" w:afterAutospacing="0" w:line="300" w:lineRule="exact"/>
              <w:ind w:left="0" w:right="0"/>
              <w:jc w:val="center"/>
              <w:rPr>
                <w:rFonts w:hint="eastAsia" w:ascii="Times New Roman" w:hAnsi="Times New Roman" w:cs="Times New Roman"/>
                <w:color w:val="auto"/>
              </w:rPr>
            </w:pPr>
            <w:r>
              <w:rPr>
                <w:rFonts w:hint="eastAsia" w:ascii="Times New Roman" w:hAnsi="Times New Roman" w:cs="Times New Roman"/>
                <w:color w:val="auto"/>
              </w:rPr>
              <w:t>鱼类</w:t>
            </w:r>
            <w:r>
              <w:rPr>
                <w:rFonts w:hint="default" w:ascii="Times New Roman" w:hAnsi="Times New Roman" w:cs="Times New Roman"/>
                <w:color w:val="auto"/>
              </w:rPr>
              <w:t>、浮游植物、浮游动物</w:t>
            </w:r>
            <w:r>
              <w:rPr>
                <w:rFonts w:hint="eastAsia" w:ascii="Times New Roman" w:hAnsi="Times New Roman" w:cs="Times New Roman"/>
                <w:color w:val="auto"/>
              </w:rPr>
              <w:t>、</w:t>
            </w:r>
            <w:r>
              <w:rPr>
                <w:rFonts w:hint="default" w:ascii="Times New Roman" w:hAnsi="Times New Roman" w:cs="Times New Roman"/>
                <w:color w:val="auto"/>
              </w:rPr>
              <w:t>底栖动物</w:t>
            </w:r>
            <w:r>
              <w:rPr>
                <w:rFonts w:hint="eastAsia" w:ascii="Times New Roman" w:hAnsi="Times New Roman" w:cs="Times New Roman"/>
                <w:color w:val="auto"/>
              </w:rPr>
              <w:t>；</w:t>
            </w:r>
            <w:r>
              <w:rPr>
                <w:rFonts w:hint="default" w:ascii="Times New Roman" w:hAnsi="Times New Roman" w:cs="Times New Roman"/>
                <w:color w:val="auto"/>
              </w:rPr>
              <w:t>珍稀、特有和濒危水生生物等</w:t>
            </w:r>
          </w:p>
        </w:tc>
        <w:tc>
          <w:tcPr>
            <w:tcW w:w="2445" w:type="dxa"/>
            <w:noWrap w:val="0"/>
            <w:vAlign w:val="center"/>
          </w:tcPr>
          <w:p w14:paraId="0DCB33EE">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鱼类、浮游植物、浮游动物、底栖动物</w:t>
            </w:r>
          </w:p>
        </w:tc>
        <w:tc>
          <w:tcPr>
            <w:tcW w:w="1578" w:type="dxa"/>
            <w:noWrap w:val="0"/>
            <w:vAlign w:val="center"/>
          </w:tcPr>
          <w:p w14:paraId="6BC21BEA">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r>
      <w:tr w14:paraId="1315EA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50" w:type="dxa"/>
            <w:noWrap w:val="0"/>
            <w:vAlign w:val="center"/>
          </w:tcPr>
          <w:p w14:paraId="0AFF0E42">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lang w:val="en-US" w:eastAsia="zh-CN"/>
              </w:rPr>
            </w:pPr>
            <w:bookmarkStart w:id="45" w:name="_Toc365749865"/>
            <w:bookmarkStart w:id="46" w:name="_Toc222733445"/>
            <w:bookmarkStart w:id="47" w:name="_Toc227002306"/>
            <w:bookmarkStart w:id="48" w:name="_Toc288268420"/>
            <w:bookmarkStart w:id="49" w:name="_Toc419403869"/>
            <w:bookmarkStart w:id="50" w:name="_Toc457678954"/>
            <w:bookmarkStart w:id="51" w:name="_Toc320532718"/>
            <w:bookmarkStart w:id="52" w:name="_Toc328725436"/>
            <w:r>
              <w:rPr>
                <w:rFonts w:hint="eastAsia" w:cs="Times New Roman"/>
                <w:color w:val="auto"/>
                <w:lang w:val="en-US" w:eastAsia="zh-CN"/>
              </w:rPr>
              <w:t>环境风险</w:t>
            </w:r>
          </w:p>
        </w:tc>
        <w:tc>
          <w:tcPr>
            <w:tcW w:w="3809" w:type="dxa"/>
            <w:noWrap w:val="0"/>
            <w:vAlign w:val="center"/>
          </w:tcPr>
          <w:p w14:paraId="273CDBF5">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2445" w:type="dxa"/>
            <w:noWrap w:val="0"/>
            <w:vAlign w:val="center"/>
          </w:tcPr>
          <w:p w14:paraId="04846434">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lang w:val="en-US" w:eastAsia="zh-CN"/>
              </w:rPr>
              <w:t>地表水：石油类、可溶性化学品</w:t>
            </w:r>
          </w:p>
          <w:p w14:paraId="58EC4226">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lang w:val="en-US" w:eastAsia="zh-CN"/>
              </w:rPr>
              <w:t>地</w:t>
            </w:r>
            <w:r>
              <w:rPr>
                <w:rFonts w:hint="eastAsia" w:ascii="Times New Roman" w:hAnsi="Times New Roman" w:cs="Times New Roman"/>
                <w:color w:val="auto"/>
                <w:lang w:val="en-US" w:eastAsia="zh-CN"/>
              </w:rPr>
              <w:t>下</w:t>
            </w:r>
            <w:r>
              <w:rPr>
                <w:rFonts w:hint="default" w:ascii="Times New Roman" w:hAnsi="Times New Roman" w:cs="Times New Roman"/>
                <w:color w:val="auto"/>
                <w:lang w:val="en-US" w:eastAsia="zh-CN"/>
              </w:rPr>
              <w:t>水：石油类</w:t>
            </w:r>
          </w:p>
        </w:tc>
        <w:tc>
          <w:tcPr>
            <w:tcW w:w="1578" w:type="dxa"/>
            <w:noWrap w:val="0"/>
            <w:vAlign w:val="center"/>
          </w:tcPr>
          <w:p w14:paraId="746237CD">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lang w:val="en-US" w:eastAsia="zh-CN"/>
              </w:rPr>
            </w:pPr>
            <w:r>
              <w:rPr>
                <w:rFonts w:hint="eastAsia" w:cs="Times New Roman"/>
                <w:color w:val="auto"/>
                <w:lang w:val="en-US" w:eastAsia="zh-CN"/>
              </w:rPr>
              <w:t>/</w:t>
            </w:r>
          </w:p>
        </w:tc>
      </w:tr>
    </w:tbl>
    <w:p w14:paraId="781F30AF">
      <w:pPr>
        <w:pStyle w:val="4"/>
        <w:numPr>
          <w:ilvl w:val="0"/>
          <w:numId w:val="0"/>
        </w:numPr>
        <w:rPr>
          <w:color w:val="auto"/>
        </w:rPr>
      </w:pPr>
      <w:r>
        <w:rPr>
          <w:rFonts w:hint="eastAsia"/>
          <w:color w:val="auto"/>
        </w:rPr>
        <w:t>2.2.2环境功能区划</w:t>
      </w:r>
      <w:bookmarkEnd w:id="45"/>
      <w:bookmarkEnd w:id="46"/>
      <w:bookmarkEnd w:id="47"/>
      <w:bookmarkEnd w:id="48"/>
      <w:bookmarkEnd w:id="49"/>
      <w:bookmarkEnd w:id="50"/>
      <w:bookmarkEnd w:id="51"/>
      <w:bookmarkEnd w:id="52"/>
    </w:p>
    <w:p w14:paraId="669F4F9E">
      <w:pPr>
        <w:spacing w:line="360" w:lineRule="auto"/>
        <w:ind w:firstLine="480" w:firstLineChars="200"/>
        <w:rPr>
          <w:color w:val="auto"/>
          <w:sz w:val="24"/>
        </w:rPr>
      </w:pPr>
      <w:r>
        <w:rPr>
          <w:color w:val="auto"/>
          <w:sz w:val="24"/>
        </w:rPr>
        <w:t>拟建项目所在区域环境功能区划详见表2.2-2。</w:t>
      </w:r>
    </w:p>
    <w:p w14:paraId="2EA5FC90">
      <w:pPr>
        <w:pStyle w:val="29"/>
        <w:spacing w:line="400" w:lineRule="exact"/>
        <w:jc w:val="center"/>
        <w:rPr>
          <w:rFonts w:ascii="Times New Roman" w:hAnsi="Times New Roman" w:eastAsia="黑体"/>
          <w:color w:val="auto"/>
          <w:kern w:val="0"/>
          <w:sz w:val="24"/>
          <w:szCs w:val="24"/>
        </w:rPr>
      </w:pPr>
      <w:r>
        <w:rPr>
          <w:rFonts w:ascii="Times New Roman" w:hAnsi="Times New Roman" w:eastAsia="黑体"/>
          <w:color w:val="auto"/>
          <w:kern w:val="0"/>
          <w:sz w:val="24"/>
          <w:szCs w:val="24"/>
        </w:rPr>
        <w:t>表2.2-2  区域环境功能区划</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280"/>
        <w:gridCol w:w="1036"/>
        <w:gridCol w:w="1704"/>
        <w:gridCol w:w="5050"/>
      </w:tblGrid>
      <w:tr w14:paraId="2F5961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16" w:type="dxa"/>
            <w:gridSpan w:val="2"/>
            <w:noWrap w:val="0"/>
            <w:vAlign w:val="center"/>
          </w:tcPr>
          <w:p w14:paraId="58E35D80">
            <w:pPr>
              <w:keepNext w:val="0"/>
              <w:keepLines w:val="0"/>
              <w:suppressLineNumbers w:val="0"/>
              <w:spacing w:before="0" w:beforeAutospacing="0" w:after="0" w:afterAutospacing="0"/>
              <w:ind w:left="0" w:right="0"/>
              <w:jc w:val="center"/>
              <w:rPr>
                <w:rFonts w:hint="eastAsia" w:ascii="Times New Roman" w:hAnsi="Times New Roman" w:cs="Times New Roman"/>
                <w:b/>
                <w:bCs/>
                <w:color w:val="auto"/>
              </w:rPr>
            </w:pPr>
            <w:r>
              <w:rPr>
                <w:rFonts w:hint="eastAsia" w:ascii="Times New Roman" w:hAnsi="Times New Roman" w:cs="Times New Roman"/>
                <w:b/>
                <w:bCs/>
                <w:color w:val="auto"/>
              </w:rPr>
              <w:t>环境要素</w:t>
            </w:r>
          </w:p>
        </w:tc>
        <w:tc>
          <w:tcPr>
            <w:tcW w:w="1704" w:type="dxa"/>
            <w:noWrap w:val="0"/>
            <w:vAlign w:val="center"/>
          </w:tcPr>
          <w:p w14:paraId="6931B04F">
            <w:pPr>
              <w:keepNext w:val="0"/>
              <w:keepLines w:val="0"/>
              <w:suppressLineNumbers w:val="0"/>
              <w:spacing w:before="0" w:beforeAutospacing="0" w:after="0" w:afterAutospacing="0"/>
              <w:ind w:left="0" w:right="0"/>
              <w:jc w:val="center"/>
              <w:rPr>
                <w:rFonts w:hint="eastAsia" w:ascii="Times New Roman" w:hAnsi="Times New Roman" w:cs="Times New Roman"/>
                <w:b/>
                <w:bCs/>
                <w:color w:val="auto"/>
              </w:rPr>
            </w:pPr>
            <w:r>
              <w:rPr>
                <w:rFonts w:hint="eastAsia" w:ascii="Times New Roman" w:hAnsi="Times New Roman" w:cs="Times New Roman"/>
                <w:b/>
                <w:bCs/>
                <w:color w:val="auto"/>
              </w:rPr>
              <w:t>功能</w:t>
            </w:r>
          </w:p>
        </w:tc>
        <w:tc>
          <w:tcPr>
            <w:tcW w:w="5050" w:type="dxa"/>
            <w:noWrap w:val="0"/>
            <w:vAlign w:val="center"/>
          </w:tcPr>
          <w:p w14:paraId="3E1E44CF">
            <w:pPr>
              <w:keepNext w:val="0"/>
              <w:keepLines w:val="0"/>
              <w:suppressLineNumbers w:val="0"/>
              <w:spacing w:before="0" w:beforeAutospacing="0" w:after="0" w:afterAutospacing="0"/>
              <w:ind w:left="0" w:right="0"/>
              <w:jc w:val="center"/>
              <w:rPr>
                <w:rFonts w:hint="eastAsia" w:ascii="Times New Roman" w:hAnsi="Times New Roman" w:cs="Times New Roman"/>
                <w:b/>
                <w:bCs/>
                <w:color w:val="auto"/>
              </w:rPr>
            </w:pPr>
            <w:r>
              <w:rPr>
                <w:rFonts w:hint="eastAsia" w:ascii="Times New Roman" w:hAnsi="Times New Roman" w:cs="Times New Roman"/>
                <w:b/>
                <w:bCs/>
                <w:color w:val="auto"/>
              </w:rPr>
              <w:t>质量目标</w:t>
            </w:r>
          </w:p>
        </w:tc>
      </w:tr>
      <w:tr w14:paraId="423596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280" w:type="dxa"/>
            <w:noWrap w:val="0"/>
            <w:vAlign w:val="center"/>
          </w:tcPr>
          <w:p w14:paraId="0E767F4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水环境</w:t>
            </w:r>
          </w:p>
        </w:tc>
        <w:tc>
          <w:tcPr>
            <w:tcW w:w="1036" w:type="dxa"/>
            <w:noWrap w:val="0"/>
            <w:vAlign w:val="center"/>
          </w:tcPr>
          <w:p w14:paraId="1FACA40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淮河</w:t>
            </w:r>
          </w:p>
        </w:tc>
        <w:tc>
          <w:tcPr>
            <w:tcW w:w="1704" w:type="dxa"/>
            <w:noWrap w:val="0"/>
            <w:vAlign w:val="center"/>
          </w:tcPr>
          <w:p w14:paraId="111EBB1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3 \* ROMAN  \* MERGEFORMAT </w:instrText>
            </w:r>
            <w:r>
              <w:rPr>
                <w:rFonts w:hint="default" w:ascii="Times New Roman" w:hAnsi="Times New Roman" w:cs="Times New Roman"/>
                <w:color w:val="auto"/>
              </w:rPr>
              <w:fldChar w:fldCharType="separate"/>
            </w:r>
            <w:r>
              <w:rPr>
                <w:rFonts w:hint="default" w:ascii="Times New Roman" w:hAnsi="Times New Roman" w:cs="Times New Roman"/>
                <w:color w:val="auto"/>
              </w:rPr>
              <w:t>III</w:t>
            </w:r>
            <w:r>
              <w:rPr>
                <w:rFonts w:hint="default" w:ascii="Times New Roman" w:hAnsi="Times New Roman" w:cs="Times New Roman"/>
                <w:color w:val="auto"/>
              </w:rPr>
              <w:fldChar w:fldCharType="end"/>
            </w:r>
            <w:r>
              <w:rPr>
                <w:rFonts w:hint="default" w:ascii="Times New Roman" w:hAnsi="Times New Roman" w:cs="Times New Roman"/>
                <w:color w:val="auto"/>
              </w:rPr>
              <w:t>类</w:t>
            </w:r>
          </w:p>
        </w:tc>
        <w:tc>
          <w:tcPr>
            <w:tcW w:w="5050" w:type="dxa"/>
            <w:noWrap w:val="0"/>
            <w:vAlign w:val="center"/>
          </w:tcPr>
          <w:p w14:paraId="03EE65A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《地表水环境质量标准》（GB3838-2002）</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3 \* ROMAN  \* MERGEFORMAT </w:instrText>
            </w:r>
            <w:r>
              <w:rPr>
                <w:rFonts w:hint="default" w:ascii="Times New Roman" w:hAnsi="Times New Roman" w:cs="Times New Roman"/>
                <w:color w:val="auto"/>
              </w:rPr>
              <w:fldChar w:fldCharType="separate"/>
            </w:r>
            <w:r>
              <w:rPr>
                <w:rFonts w:hint="default" w:ascii="Times New Roman" w:hAnsi="Times New Roman" w:cs="Times New Roman"/>
                <w:color w:val="auto"/>
              </w:rPr>
              <w:t>III</w:t>
            </w:r>
            <w:r>
              <w:rPr>
                <w:rFonts w:hint="default" w:ascii="Times New Roman" w:hAnsi="Times New Roman" w:cs="Times New Roman"/>
                <w:color w:val="auto"/>
              </w:rPr>
              <w:fldChar w:fldCharType="end"/>
            </w:r>
            <w:r>
              <w:rPr>
                <w:rFonts w:hint="default" w:ascii="Times New Roman" w:hAnsi="Times New Roman" w:cs="Times New Roman"/>
                <w:color w:val="auto"/>
              </w:rPr>
              <w:t>类</w:t>
            </w:r>
            <w:r>
              <w:rPr>
                <w:rFonts w:hint="eastAsia" w:ascii="Times New Roman" w:hAnsi="Times New Roman" w:cs="Times New Roman"/>
                <w:color w:val="auto"/>
              </w:rPr>
              <w:t>标准</w:t>
            </w:r>
          </w:p>
        </w:tc>
      </w:tr>
      <w:tr w14:paraId="6DCCD9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16" w:type="dxa"/>
            <w:gridSpan w:val="2"/>
            <w:noWrap w:val="0"/>
            <w:vAlign w:val="center"/>
          </w:tcPr>
          <w:p w14:paraId="241C584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地下水环境</w:t>
            </w:r>
          </w:p>
        </w:tc>
        <w:tc>
          <w:tcPr>
            <w:tcW w:w="1704" w:type="dxa"/>
            <w:noWrap w:val="0"/>
            <w:vAlign w:val="center"/>
          </w:tcPr>
          <w:p w14:paraId="668D461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c>
          <w:tcPr>
            <w:tcW w:w="5050" w:type="dxa"/>
            <w:noWrap w:val="0"/>
            <w:vAlign w:val="center"/>
          </w:tcPr>
          <w:p w14:paraId="2EE00B6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《地下水质量标准》（GB/T14848-2017）</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3 \* ROMAN  \* MERGEFORMAT </w:instrText>
            </w:r>
            <w:r>
              <w:rPr>
                <w:rFonts w:hint="default" w:ascii="Times New Roman" w:hAnsi="Times New Roman" w:cs="Times New Roman"/>
                <w:color w:val="auto"/>
              </w:rPr>
              <w:fldChar w:fldCharType="separate"/>
            </w:r>
            <w:r>
              <w:rPr>
                <w:rFonts w:hint="default" w:ascii="Times New Roman" w:hAnsi="Times New Roman" w:cs="Times New Roman"/>
                <w:color w:val="auto"/>
              </w:rPr>
              <w:t>III</w:t>
            </w:r>
            <w:r>
              <w:rPr>
                <w:rFonts w:hint="default" w:ascii="Times New Roman" w:hAnsi="Times New Roman" w:cs="Times New Roman"/>
                <w:color w:val="auto"/>
              </w:rPr>
              <w:fldChar w:fldCharType="end"/>
            </w:r>
            <w:r>
              <w:rPr>
                <w:rFonts w:hint="default" w:ascii="Times New Roman" w:hAnsi="Times New Roman" w:cs="Times New Roman"/>
                <w:color w:val="auto"/>
              </w:rPr>
              <w:t>类标准</w:t>
            </w:r>
          </w:p>
        </w:tc>
      </w:tr>
      <w:tr w14:paraId="069EF7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16" w:type="dxa"/>
            <w:gridSpan w:val="2"/>
            <w:noWrap w:val="0"/>
            <w:vAlign w:val="center"/>
          </w:tcPr>
          <w:p w14:paraId="2B30E75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空气环境</w:t>
            </w:r>
          </w:p>
        </w:tc>
        <w:tc>
          <w:tcPr>
            <w:tcW w:w="1704" w:type="dxa"/>
            <w:noWrap w:val="0"/>
            <w:vAlign w:val="center"/>
          </w:tcPr>
          <w:p w14:paraId="412FC4E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二类区</w:t>
            </w:r>
          </w:p>
        </w:tc>
        <w:tc>
          <w:tcPr>
            <w:tcW w:w="5050" w:type="dxa"/>
            <w:noWrap w:val="0"/>
            <w:vAlign w:val="center"/>
          </w:tcPr>
          <w:p w14:paraId="2796D9C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FF0000"/>
              </w:rPr>
              <w:t>《环境空气质量标准》（</w:t>
            </w:r>
            <w:r>
              <w:rPr>
                <w:rFonts w:hint="eastAsia" w:cs="Times New Roman"/>
                <w:color w:val="FF0000"/>
                <w:lang w:eastAsia="zh-CN"/>
              </w:rPr>
              <w:t>GB 3095-2026</w:t>
            </w:r>
            <w:r>
              <w:rPr>
                <w:rFonts w:hint="default" w:ascii="Times New Roman" w:hAnsi="Times New Roman" w:cs="Times New Roman"/>
                <w:color w:val="FF0000"/>
              </w:rPr>
              <w:t>）二级标准</w:t>
            </w:r>
          </w:p>
        </w:tc>
      </w:tr>
      <w:tr w14:paraId="75F09B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16" w:type="dxa"/>
            <w:gridSpan w:val="2"/>
            <w:noWrap w:val="0"/>
            <w:vAlign w:val="center"/>
          </w:tcPr>
          <w:p w14:paraId="1903476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声环境</w:t>
            </w:r>
          </w:p>
        </w:tc>
        <w:tc>
          <w:tcPr>
            <w:tcW w:w="1704" w:type="dxa"/>
            <w:noWrap w:val="0"/>
            <w:vAlign w:val="center"/>
          </w:tcPr>
          <w:p w14:paraId="4CCADEA8">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2类/</w:t>
            </w:r>
            <w:r>
              <w:rPr>
                <w:rFonts w:hint="default" w:ascii="Times New Roman" w:hAnsi="Times New Roman" w:cs="Times New Roman"/>
                <w:color w:val="auto"/>
              </w:rPr>
              <w:t>4a类区</w:t>
            </w:r>
          </w:p>
        </w:tc>
        <w:tc>
          <w:tcPr>
            <w:tcW w:w="5050" w:type="dxa"/>
            <w:noWrap w:val="0"/>
            <w:vAlign w:val="center"/>
          </w:tcPr>
          <w:p w14:paraId="4772510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《声环境质量标准》（GB3096-2008）2类、4a标准</w:t>
            </w:r>
          </w:p>
        </w:tc>
      </w:tr>
      <w:tr w14:paraId="0F76E3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2316" w:type="dxa"/>
            <w:gridSpan w:val="2"/>
            <w:noWrap w:val="0"/>
            <w:vAlign w:val="center"/>
          </w:tcPr>
          <w:p w14:paraId="63FAC5F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底泥</w:t>
            </w:r>
          </w:p>
        </w:tc>
        <w:tc>
          <w:tcPr>
            <w:tcW w:w="6754" w:type="dxa"/>
            <w:gridSpan w:val="2"/>
            <w:noWrap w:val="0"/>
            <w:vAlign w:val="center"/>
          </w:tcPr>
          <w:p w14:paraId="6020211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lang w:val="en-US" w:eastAsia="zh-CN"/>
              </w:rPr>
              <w:t>参照</w:t>
            </w:r>
            <w:r>
              <w:rPr>
                <w:rFonts w:hint="default" w:ascii="Times New Roman" w:hAnsi="Times New Roman" w:cs="Times New Roman"/>
                <w:color w:val="auto"/>
              </w:rPr>
              <w:t xml:space="preserve">《土壤环境质量 </w:t>
            </w:r>
            <w:r>
              <w:rPr>
                <w:rFonts w:hint="eastAsia" w:ascii="Times New Roman" w:hAnsi="Times New Roman" w:cs="Times New Roman"/>
                <w:color w:val="auto"/>
              </w:rPr>
              <w:t>农</w:t>
            </w:r>
            <w:r>
              <w:rPr>
                <w:rFonts w:hint="default" w:ascii="Times New Roman" w:hAnsi="Times New Roman" w:cs="Times New Roman"/>
                <w:color w:val="auto"/>
              </w:rPr>
              <w:t>用地土壤污染风险管控标准（试行）》</w:t>
            </w:r>
            <w:r>
              <w:rPr>
                <w:rFonts w:hint="eastAsia" w:cs="Times New Roman"/>
                <w:color w:val="auto"/>
                <w:lang w:eastAsia="zh-CN"/>
              </w:rPr>
              <w:t>（</w:t>
            </w:r>
            <w:r>
              <w:rPr>
                <w:rFonts w:hint="default" w:ascii="Times New Roman" w:hAnsi="Times New Roman" w:cs="Times New Roman"/>
                <w:color w:val="auto"/>
              </w:rPr>
              <w:t>GB15618-2018)</w:t>
            </w:r>
          </w:p>
        </w:tc>
      </w:tr>
    </w:tbl>
    <w:p w14:paraId="5567A7BF">
      <w:pPr>
        <w:pStyle w:val="4"/>
        <w:numPr>
          <w:ilvl w:val="0"/>
          <w:numId w:val="0"/>
        </w:numPr>
        <w:rPr>
          <w:color w:val="auto"/>
        </w:rPr>
      </w:pPr>
      <w:r>
        <w:rPr>
          <w:rFonts w:hint="eastAsia"/>
          <w:color w:val="auto"/>
        </w:rPr>
        <w:t>2.2.3</w:t>
      </w:r>
      <w:r>
        <w:rPr>
          <w:color w:val="auto"/>
        </w:rPr>
        <w:t>评价标准</w:t>
      </w:r>
    </w:p>
    <w:p w14:paraId="68748117">
      <w:pPr>
        <w:spacing w:line="360" w:lineRule="auto"/>
        <w:ind w:firstLine="480" w:firstLineChars="200"/>
        <w:rPr>
          <w:color w:val="auto"/>
          <w:sz w:val="24"/>
        </w:rPr>
      </w:pPr>
      <w:r>
        <w:rPr>
          <w:rFonts w:hint="eastAsia"/>
          <w:color w:val="auto"/>
          <w:sz w:val="24"/>
        </w:rPr>
        <w:t>本</w:t>
      </w:r>
      <w:r>
        <w:rPr>
          <w:color w:val="auto"/>
          <w:sz w:val="24"/>
        </w:rPr>
        <w:t>项目拟采取的评价执行标准如下：</w:t>
      </w:r>
    </w:p>
    <w:p w14:paraId="249178DF">
      <w:pPr>
        <w:pStyle w:val="5"/>
        <w:numPr>
          <w:ilvl w:val="0"/>
          <w:numId w:val="0"/>
        </w:numPr>
        <w:rPr>
          <w:color w:val="auto"/>
        </w:rPr>
      </w:pPr>
      <w:r>
        <w:rPr>
          <w:rFonts w:hint="eastAsia"/>
          <w:color w:val="auto"/>
        </w:rPr>
        <w:t>2.2.3.1</w:t>
      </w:r>
      <w:r>
        <w:rPr>
          <w:color w:val="auto"/>
        </w:rPr>
        <w:t>环境质量标准</w:t>
      </w:r>
    </w:p>
    <w:p w14:paraId="6F9978CA">
      <w:pPr>
        <w:pStyle w:val="15"/>
        <w:tabs>
          <w:tab w:val="left" w:pos="0"/>
          <w:tab w:val="left" w:pos="1080"/>
        </w:tabs>
        <w:spacing w:line="360" w:lineRule="auto"/>
        <w:ind w:left="420" w:leftChars="200" w:firstLine="0"/>
        <w:textAlignment w:val="baseline"/>
        <w:rPr>
          <w:color w:val="auto"/>
          <w:sz w:val="24"/>
        </w:rPr>
      </w:pPr>
      <w:r>
        <w:rPr>
          <w:rFonts w:hint="eastAsia"/>
          <w:color w:val="auto"/>
          <w:sz w:val="24"/>
        </w:rPr>
        <w:t>（1）</w:t>
      </w:r>
      <w:r>
        <w:rPr>
          <w:color w:val="auto"/>
          <w:sz w:val="24"/>
        </w:rPr>
        <w:t>环境空气</w:t>
      </w:r>
    </w:p>
    <w:p w14:paraId="6F194337">
      <w:pPr>
        <w:spacing w:line="360" w:lineRule="auto"/>
        <w:ind w:firstLine="480" w:firstLineChars="200"/>
        <w:rPr>
          <w:b/>
          <w:bCs/>
          <w:color w:val="auto"/>
          <w:sz w:val="24"/>
        </w:rPr>
      </w:pPr>
      <w:r>
        <w:rPr>
          <w:rFonts w:hint="default" w:ascii="Times New Roman" w:hAnsi="Times New Roman" w:cs="Times New Roman"/>
          <w:color w:val="auto"/>
          <w:sz w:val="24"/>
          <w:highlight w:val="none"/>
          <w:lang w:val="en-US" w:eastAsia="zh-CN"/>
        </w:rPr>
        <w:t>根据</w:t>
      </w:r>
      <w:r>
        <w:rPr>
          <w:rFonts w:hint="default" w:ascii="Times New Roman" w:hAnsi="Times New Roman" w:cs="Times New Roman"/>
          <w:color w:val="auto"/>
          <w:sz w:val="24"/>
          <w:highlight w:val="none"/>
        </w:rPr>
        <w:t>《环境空气质量标准》（GB3095-20</w:t>
      </w:r>
      <w:r>
        <w:rPr>
          <w:rFonts w:hint="default" w:ascii="Times New Roman" w:hAnsi="Times New Roman" w:cs="Times New Roman"/>
          <w:color w:val="auto"/>
          <w:sz w:val="24"/>
          <w:highlight w:val="none"/>
          <w:lang w:val="en-US" w:eastAsia="zh-CN"/>
        </w:rPr>
        <w:t>26</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现阶段至2030年12月31日起，</w:t>
      </w:r>
      <w:r>
        <w:rPr>
          <w:rFonts w:hint="default" w:ascii="Times New Roman" w:hAnsi="Times New Roman" w:cs="Times New Roman"/>
          <w:color w:val="auto"/>
          <w:sz w:val="24"/>
          <w:highlight w:val="none"/>
        </w:rPr>
        <w:t>SO</w:t>
      </w:r>
      <w:r>
        <w:rPr>
          <w:rFonts w:hint="default" w:ascii="Times New Roman" w:hAnsi="Times New Roman" w:cs="Times New Roman"/>
          <w:color w:val="auto"/>
          <w:sz w:val="24"/>
          <w:highlight w:val="none"/>
          <w:vertAlign w:val="subscript"/>
        </w:rPr>
        <w:t>2</w:t>
      </w:r>
      <w:r>
        <w:rPr>
          <w:rFonts w:hint="default" w:ascii="Times New Roman" w:hAnsi="Times New Roman" w:cs="Times New Roman"/>
          <w:color w:val="auto"/>
          <w:sz w:val="24"/>
          <w:highlight w:val="none"/>
        </w:rPr>
        <w:t>、NO</w:t>
      </w:r>
      <w:r>
        <w:rPr>
          <w:rFonts w:hint="default" w:ascii="Times New Roman" w:hAnsi="Times New Roman" w:cs="Times New Roman"/>
          <w:color w:val="auto"/>
          <w:sz w:val="24"/>
          <w:highlight w:val="none"/>
          <w:vertAlign w:val="subscript"/>
        </w:rPr>
        <w:t>2</w:t>
      </w:r>
      <w:r>
        <w:rPr>
          <w:rFonts w:hint="default" w:ascii="Times New Roman" w:hAnsi="Times New Roman" w:cs="Times New Roman"/>
          <w:color w:val="auto"/>
          <w:sz w:val="24"/>
          <w:highlight w:val="none"/>
        </w:rPr>
        <w:t>、PM</w:t>
      </w:r>
      <w:r>
        <w:rPr>
          <w:rFonts w:hint="default" w:ascii="Times New Roman" w:hAnsi="Times New Roman" w:cs="Times New Roman"/>
          <w:color w:val="auto"/>
          <w:sz w:val="24"/>
          <w:highlight w:val="none"/>
          <w:vertAlign w:val="subscript"/>
        </w:rPr>
        <w:t>10</w:t>
      </w:r>
      <w:r>
        <w:rPr>
          <w:rFonts w:hint="default" w:ascii="Times New Roman" w:hAnsi="Times New Roman" w:cs="Times New Roman"/>
          <w:color w:val="auto"/>
          <w:sz w:val="24"/>
          <w:highlight w:val="none"/>
        </w:rPr>
        <w:t>、PM</w:t>
      </w:r>
      <w:r>
        <w:rPr>
          <w:rFonts w:hint="default" w:ascii="Times New Roman" w:hAnsi="Times New Roman" w:cs="Times New Roman"/>
          <w:color w:val="auto"/>
          <w:sz w:val="24"/>
          <w:highlight w:val="none"/>
          <w:vertAlign w:val="subscript"/>
        </w:rPr>
        <w:t>2.5</w:t>
      </w:r>
      <w:r>
        <w:rPr>
          <w:rFonts w:hint="default" w:ascii="Times New Roman" w:hAnsi="Times New Roman" w:cs="Times New Roman"/>
          <w:color w:val="auto"/>
          <w:sz w:val="24"/>
          <w:highlight w:val="none"/>
        </w:rPr>
        <w:t>、CO、O</w:t>
      </w:r>
      <w:r>
        <w:rPr>
          <w:rFonts w:hint="default" w:ascii="Times New Roman" w:hAnsi="Times New Roman" w:cs="Times New Roman"/>
          <w:color w:val="auto"/>
          <w:sz w:val="24"/>
          <w:highlight w:val="none"/>
          <w:vertAlign w:val="subscript"/>
        </w:rPr>
        <w:t>3</w:t>
      </w:r>
      <w:r>
        <w:rPr>
          <w:rFonts w:hint="default" w:ascii="Times New Roman" w:hAnsi="Times New Roman" w:cs="Times New Roman"/>
          <w:color w:val="auto"/>
          <w:sz w:val="24"/>
          <w:highlight w:val="none"/>
        </w:rPr>
        <w:t>评价标准执行《环境空气质量标准》（GB3095-20</w:t>
      </w:r>
      <w:r>
        <w:rPr>
          <w:rFonts w:hint="default" w:ascii="Times New Roman" w:hAnsi="Times New Roman" w:cs="Times New Roman"/>
          <w:color w:val="auto"/>
          <w:sz w:val="24"/>
          <w:highlight w:val="none"/>
          <w:lang w:val="en-US" w:eastAsia="zh-CN"/>
        </w:rPr>
        <w:t>26</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表1中过渡阶段</w:t>
      </w:r>
      <w:r>
        <w:rPr>
          <w:rFonts w:hint="default" w:ascii="Times New Roman" w:hAnsi="Times New Roman" w:cs="Times New Roman"/>
          <w:color w:val="auto"/>
          <w:sz w:val="24"/>
          <w:highlight w:val="none"/>
        </w:rPr>
        <w:t>二级</w:t>
      </w:r>
      <w:r>
        <w:rPr>
          <w:rFonts w:hint="default" w:ascii="Times New Roman" w:hAnsi="Times New Roman" w:cs="Times New Roman"/>
          <w:color w:val="auto"/>
          <w:sz w:val="24"/>
          <w:highlight w:val="none"/>
          <w:lang w:val="en-US" w:eastAsia="zh-CN"/>
        </w:rPr>
        <w:t>浓度限值</w:t>
      </w:r>
      <w:r>
        <w:rPr>
          <w:rFonts w:hint="default" w:ascii="Times New Roman" w:hAnsi="Times New Roman" w:cs="Times New Roman"/>
          <w:bCs/>
          <w:color w:val="auto"/>
          <w:sz w:val="24"/>
          <w:szCs w:val="24"/>
          <w:highlight w:val="none"/>
          <w:lang w:eastAsia="zh-CN"/>
        </w:rPr>
        <w:t>，</w:t>
      </w:r>
      <w:r>
        <w:rPr>
          <w:rFonts w:hint="default" w:ascii="Times New Roman" w:hAnsi="Times New Roman" w:cs="Times New Roman"/>
          <w:color w:val="auto"/>
          <w:sz w:val="24"/>
          <w:highlight w:val="none"/>
          <w:lang w:val="en-US" w:eastAsia="zh-CN"/>
        </w:rPr>
        <w:t>2031年1月1日起执行表1二级浓度限值；TSP执行</w:t>
      </w:r>
      <w:r>
        <w:rPr>
          <w:rFonts w:hint="default" w:ascii="Times New Roman" w:hAnsi="Times New Roman" w:cs="Times New Roman"/>
          <w:color w:val="auto"/>
          <w:sz w:val="24"/>
          <w:highlight w:val="none"/>
        </w:rPr>
        <w:t>《环境空气质量标准》（GB3095-20</w:t>
      </w:r>
      <w:r>
        <w:rPr>
          <w:rFonts w:hint="default" w:ascii="Times New Roman" w:hAnsi="Times New Roman" w:cs="Times New Roman"/>
          <w:color w:val="auto"/>
          <w:sz w:val="24"/>
          <w:highlight w:val="none"/>
          <w:lang w:val="en-US" w:eastAsia="zh-CN"/>
        </w:rPr>
        <w:t>26</w:t>
      </w:r>
      <w:r>
        <w:rPr>
          <w:rFonts w:hint="default" w:ascii="Times New Roman" w:hAnsi="Times New Roman" w:cs="Times New Roman"/>
          <w:color w:val="auto"/>
          <w:sz w:val="24"/>
          <w:highlight w:val="none"/>
        </w:rPr>
        <w:t>）</w:t>
      </w:r>
      <w:r>
        <w:rPr>
          <w:rFonts w:hint="default" w:ascii="Times New Roman" w:hAnsi="Times New Roman" w:cs="Times New Roman"/>
          <w:color w:val="auto"/>
          <w:sz w:val="24"/>
          <w:highlight w:val="none"/>
          <w:lang w:val="en-US" w:eastAsia="zh-CN"/>
        </w:rPr>
        <w:t>表2浓度限值</w:t>
      </w:r>
      <w:r>
        <w:rPr>
          <w:color w:val="auto"/>
          <w:sz w:val="24"/>
        </w:rPr>
        <w:t>。具体标准值见表2.2-</w:t>
      </w:r>
      <w:r>
        <w:rPr>
          <w:rFonts w:hint="eastAsia"/>
          <w:color w:val="auto"/>
          <w:sz w:val="24"/>
        </w:rPr>
        <w:t>3</w:t>
      </w:r>
      <w:r>
        <w:rPr>
          <w:color w:val="auto"/>
          <w:sz w:val="24"/>
        </w:rPr>
        <w:t>。</w:t>
      </w:r>
    </w:p>
    <w:p w14:paraId="563E77E9">
      <w:pPr>
        <w:pStyle w:val="29"/>
        <w:spacing w:line="400" w:lineRule="exact"/>
        <w:jc w:val="center"/>
        <w:rPr>
          <w:rFonts w:hint="eastAsia" w:ascii="Times New Roman" w:hAnsi="Times New Roman" w:eastAsia="黑体"/>
          <w:color w:val="auto"/>
          <w:kern w:val="0"/>
          <w:sz w:val="24"/>
          <w:szCs w:val="24"/>
        </w:rPr>
      </w:pPr>
      <w:r>
        <w:rPr>
          <w:rFonts w:ascii="Times New Roman" w:hAnsi="Times New Roman" w:eastAsia="黑体"/>
          <w:color w:val="auto"/>
          <w:kern w:val="0"/>
          <w:sz w:val="24"/>
          <w:szCs w:val="24"/>
        </w:rPr>
        <w:t>表2.2-</w:t>
      </w:r>
      <w:r>
        <w:rPr>
          <w:rFonts w:hint="eastAsia" w:ascii="Times New Roman" w:hAnsi="Times New Roman" w:eastAsia="黑体"/>
          <w:color w:val="auto"/>
          <w:kern w:val="0"/>
          <w:sz w:val="24"/>
          <w:szCs w:val="24"/>
        </w:rPr>
        <w:t>3</w:t>
      </w:r>
      <w:r>
        <w:rPr>
          <w:rFonts w:ascii="Times New Roman" w:hAnsi="Times New Roman" w:eastAsia="黑体"/>
          <w:color w:val="auto"/>
          <w:kern w:val="0"/>
          <w:sz w:val="24"/>
          <w:szCs w:val="24"/>
        </w:rPr>
        <w:t xml:space="preserve">  环境空气质量标准值表</w:t>
      </w:r>
    </w:p>
    <w:tbl>
      <w:tblPr>
        <w:tblStyle w:val="53"/>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57" w:type="dxa"/>
          <w:bottom w:w="0" w:type="dxa"/>
          <w:right w:w="57" w:type="dxa"/>
        </w:tblCellMar>
      </w:tblPr>
      <w:tblGrid>
        <w:gridCol w:w="977"/>
        <w:gridCol w:w="2035"/>
        <w:gridCol w:w="2096"/>
        <w:gridCol w:w="1350"/>
        <w:gridCol w:w="966"/>
        <w:gridCol w:w="1754"/>
      </w:tblGrid>
      <w:tr w14:paraId="509579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23" w:hRule="atLeast"/>
          <w:tblHeader/>
          <w:jc w:val="center"/>
        </w:trPr>
        <w:tc>
          <w:tcPr>
            <w:tcW w:w="532" w:type="pct"/>
            <w:vMerge w:val="restart"/>
            <w:tcBorders>
              <w:tl2br w:val="nil"/>
              <w:tr2bl w:val="nil"/>
            </w:tcBorders>
            <w:noWrap w:val="0"/>
            <w:vAlign w:val="center"/>
          </w:tcPr>
          <w:p w14:paraId="7EF82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b/>
                <w:bCs/>
                <w:color w:val="auto"/>
                <w:sz w:val="21"/>
                <w:highlight w:val="none"/>
              </w:rPr>
            </w:pPr>
            <w:r>
              <w:rPr>
                <w:rFonts w:hint="default" w:ascii="Times New Roman" w:hAnsi="Times New Roman" w:eastAsia="宋体" w:cs="Times New Roman"/>
                <w:b/>
                <w:bCs/>
                <w:color w:val="auto"/>
                <w:sz w:val="21"/>
                <w:highlight w:val="none"/>
              </w:rPr>
              <w:t>污染物名称</w:t>
            </w:r>
          </w:p>
        </w:tc>
        <w:tc>
          <w:tcPr>
            <w:tcW w:w="1108" w:type="pct"/>
            <w:vMerge w:val="restart"/>
            <w:tcBorders>
              <w:tl2br w:val="nil"/>
              <w:tr2bl w:val="nil"/>
            </w:tcBorders>
            <w:noWrap w:val="0"/>
            <w:vAlign w:val="center"/>
          </w:tcPr>
          <w:p w14:paraId="66E793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b/>
                <w:bCs/>
                <w:color w:val="auto"/>
                <w:sz w:val="21"/>
                <w:highlight w:val="none"/>
              </w:rPr>
            </w:pPr>
            <w:r>
              <w:rPr>
                <w:rFonts w:hint="default" w:ascii="Times New Roman" w:hAnsi="Times New Roman" w:eastAsia="宋体" w:cs="Times New Roman"/>
                <w:b/>
                <w:bCs/>
                <w:color w:val="auto"/>
                <w:sz w:val="21"/>
                <w:highlight w:val="none"/>
              </w:rPr>
              <w:t>取值时间</w:t>
            </w:r>
          </w:p>
        </w:tc>
        <w:tc>
          <w:tcPr>
            <w:tcW w:w="1141" w:type="pct"/>
            <w:tcBorders>
              <w:tl2br w:val="nil"/>
              <w:tr2bl w:val="nil"/>
            </w:tcBorders>
            <w:noWrap w:val="0"/>
            <w:vAlign w:val="center"/>
          </w:tcPr>
          <w:p w14:paraId="12C91F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b/>
                <w:bCs/>
                <w:color w:val="auto"/>
                <w:sz w:val="21"/>
                <w:highlight w:val="none"/>
                <w:lang w:val="en-US" w:eastAsia="zh-CN"/>
              </w:rPr>
            </w:pPr>
            <w:r>
              <w:rPr>
                <w:rFonts w:hint="default" w:ascii="Times New Roman" w:hAnsi="Times New Roman" w:eastAsia="宋体" w:cs="Times New Roman"/>
                <w:b/>
                <w:bCs/>
                <w:color w:val="auto"/>
                <w:sz w:val="21"/>
                <w:highlight w:val="none"/>
                <w:lang w:val="en-US" w:eastAsia="zh-CN"/>
              </w:rPr>
              <w:t>过渡阶段</w:t>
            </w:r>
            <w:r>
              <w:rPr>
                <w:rFonts w:hint="default" w:ascii="Times New Roman" w:hAnsi="Times New Roman" w:eastAsia="宋体" w:cs="Times New Roman"/>
                <w:b/>
                <w:bCs/>
                <w:color w:val="auto"/>
                <w:sz w:val="21"/>
                <w:highlight w:val="none"/>
              </w:rPr>
              <w:t>浓度限值</w:t>
            </w:r>
          </w:p>
        </w:tc>
        <w:tc>
          <w:tcPr>
            <w:tcW w:w="735" w:type="pct"/>
            <w:tcBorders>
              <w:tl2br w:val="nil"/>
              <w:tr2bl w:val="nil"/>
            </w:tcBorders>
            <w:noWrap w:val="0"/>
            <w:vAlign w:val="center"/>
          </w:tcPr>
          <w:p w14:paraId="07614B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b/>
                <w:bCs/>
                <w:color w:val="auto"/>
                <w:sz w:val="21"/>
                <w:highlight w:val="none"/>
                <w:lang w:val="en-US" w:eastAsia="zh-CN"/>
              </w:rPr>
            </w:pPr>
            <w:r>
              <w:rPr>
                <w:rFonts w:hint="default" w:ascii="Times New Roman" w:hAnsi="Times New Roman" w:eastAsia="宋体" w:cs="Times New Roman"/>
                <w:b/>
                <w:bCs/>
                <w:color w:val="auto"/>
                <w:sz w:val="21"/>
                <w:highlight w:val="none"/>
              </w:rPr>
              <w:t>浓度限值</w:t>
            </w:r>
          </w:p>
        </w:tc>
        <w:tc>
          <w:tcPr>
            <w:tcW w:w="526" w:type="pct"/>
            <w:vMerge w:val="restart"/>
            <w:tcBorders>
              <w:tl2br w:val="nil"/>
              <w:tr2bl w:val="nil"/>
            </w:tcBorders>
            <w:noWrap w:val="0"/>
            <w:vAlign w:val="center"/>
          </w:tcPr>
          <w:p w14:paraId="51789B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b/>
                <w:bCs/>
                <w:color w:val="auto"/>
                <w:sz w:val="21"/>
                <w:highlight w:val="none"/>
                <w:lang w:val="en-US" w:eastAsia="zh-CN"/>
              </w:rPr>
            </w:pPr>
            <w:r>
              <w:rPr>
                <w:rFonts w:hint="default" w:ascii="Times New Roman" w:hAnsi="Times New Roman" w:eastAsia="宋体" w:cs="Times New Roman"/>
                <w:b/>
                <w:bCs/>
                <w:color w:val="auto"/>
                <w:sz w:val="21"/>
                <w:highlight w:val="none"/>
                <w:lang w:val="en-US" w:eastAsia="zh-CN"/>
              </w:rPr>
              <w:t>单位</w:t>
            </w:r>
          </w:p>
        </w:tc>
        <w:tc>
          <w:tcPr>
            <w:tcW w:w="955" w:type="pct"/>
            <w:vMerge w:val="restart"/>
            <w:tcBorders>
              <w:tl2br w:val="nil"/>
              <w:tr2bl w:val="nil"/>
            </w:tcBorders>
            <w:noWrap w:val="0"/>
            <w:vAlign w:val="center"/>
          </w:tcPr>
          <w:p w14:paraId="29D681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b/>
                <w:bCs/>
                <w:color w:val="auto"/>
                <w:sz w:val="21"/>
                <w:highlight w:val="none"/>
              </w:rPr>
            </w:pPr>
            <w:r>
              <w:rPr>
                <w:rFonts w:hint="default" w:ascii="Times New Roman" w:hAnsi="Times New Roman" w:eastAsia="宋体" w:cs="Times New Roman"/>
                <w:b/>
                <w:bCs/>
                <w:color w:val="auto"/>
                <w:sz w:val="21"/>
                <w:highlight w:val="none"/>
              </w:rPr>
              <w:t>标准来源</w:t>
            </w:r>
          </w:p>
        </w:tc>
      </w:tr>
      <w:tr w14:paraId="096DA1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3" w:hRule="atLeast"/>
          <w:tblHeader/>
          <w:jc w:val="center"/>
        </w:trPr>
        <w:tc>
          <w:tcPr>
            <w:tcW w:w="532" w:type="pct"/>
            <w:vMerge w:val="continue"/>
            <w:tcBorders>
              <w:tl2br w:val="nil"/>
              <w:tr2bl w:val="nil"/>
            </w:tcBorders>
            <w:noWrap w:val="0"/>
            <w:vAlign w:val="center"/>
          </w:tcPr>
          <w:p w14:paraId="04B0B5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b/>
                <w:bCs/>
                <w:color w:val="auto"/>
                <w:sz w:val="21"/>
                <w:highlight w:val="none"/>
              </w:rPr>
            </w:pPr>
          </w:p>
        </w:tc>
        <w:tc>
          <w:tcPr>
            <w:tcW w:w="1108" w:type="pct"/>
            <w:vMerge w:val="continue"/>
            <w:tcBorders>
              <w:tl2br w:val="nil"/>
              <w:tr2bl w:val="nil"/>
            </w:tcBorders>
            <w:noWrap w:val="0"/>
            <w:vAlign w:val="center"/>
          </w:tcPr>
          <w:p w14:paraId="7D249D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b/>
                <w:bCs/>
                <w:color w:val="auto"/>
                <w:sz w:val="21"/>
                <w:highlight w:val="none"/>
              </w:rPr>
            </w:pPr>
          </w:p>
        </w:tc>
        <w:tc>
          <w:tcPr>
            <w:tcW w:w="1141" w:type="pct"/>
            <w:tcBorders>
              <w:tl2br w:val="nil"/>
              <w:tr2bl w:val="nil"/>
            </w:tcBorders>
            <w:noWrap w:val="0"/>
            <w:vAlign w:val="center"/>
          </w:tcPr>
          <w:p w14:paraId="66FBB8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b/>
                <w:bCs/>
                <w:color w:val="auto"/>
                <w:sz w:val="21"/>
                <w:highlight w:val="none"/>
                <w:lang w:val="en-US" w:eastAsia="zh-CN"/>
              </w:rPr>
            </w:pPr>
            <w:r>
              <w:rPr>
                <w:rFonts w:hint="default" w:ascii="Times New Roman" w:hAnsi="Times New Roman" w:eastAsia="宋体" w:cs="Times New Roman"/>
                <w:b/>
                <w:bCs/>
                <w:color w:val="auto"/>
                <w:sz w:val="21"/>
                <w:highlight w:val="none"/>
                <w:lang w:val="en-US" w:eastAsia="zh-CN"/>
              </w:rPr>
              <w:t>二级</w:t>
            </w:r>
          </w:p>
        </w:tc>
        <w:tc>
          <w:tcPr>
            <w:tcW w:w="735" w:type="pct"/>
            <w:tcBorders>
              <w:tl2br w:val="nil"/>
              <w:tr2bl w:val="nil"/>
            </w:tcBorders>
            <w:noWrap w:val="0"/>
            <w:vAlign w:val="center"/>
          </w:tcPr>
          <w:p w14:paraId="1273FE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b/>
                <w:bCs/>
                <w:color w:val="auto"/>
                <w:sz w:val="21"/>
                <w:highlight w:val="none"/>
                <w:lang w:val="en-US" w:eastAsia="zh-CN"/>
              </w:rPr>
            </w:pPr>
            <w:r>
              <w:rPr>
                <w:rFonts w:hint="default" w:ascii="Times New Roman" w:hAnsi="Times New Roman" w:eastAsia="宋体" w:cs="Times New Roman"/>
                <w:b/>
                <w:bCs/>
                <w:color w:val="auto"/>
                <w:sz w:val="21"/>
                <w:highlight w:val="none"/>
                <w:lang w:val="en-US" w:eastAsia="zh-CN"/>
              </w:rPr>
              <w:t>二级</w:t>
            </w:r>
          </w:p>
        </w:tc>
        <w:tc>
          <w:tcPr>
            <w:tcW w:w="526" w:type="pct"/>
            <w:vMerge w:val="continue"/>
            <w:tcBorders>
              <w:tl2br w:val="nil"/>
              <w:tr2bl w:val="nil"/>
            </w:tcBorders>
            <w:noWrap w:val="0"/>
            <w:vAlign w:val="center"/>
          </w:tcPr>
          <w:p w14:paraId="3D5AE2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b/>
                <w:bCs/>
                <w:color w:val="auto"/>
                <w:sz w:val="21"/>
                <w:highlight w:val="none"/>
                <w:lang w:val="en-US" w:eastAsia="zh-CN"/>
              </w:rPr>
            </w:pPr>
          </w:p>
        </w:tc>
        <w:tc>
          <w:tcPr>
            <w:tcW w:w="955" w:type="pct"/>
            <w:vMerge w:val="continue"/>
            <w:tcBorders>
              <w:tl2br w:val="nil"/>
              <w:tr2bl w:val="nil"/>
            </w:tcBorders>
            <w:noWrap w:val="0"/>
            <w:vAlign w:val="center"/>
          </w:tcPr>
          <w:p w14:paraId="20A66F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b/>
                <w:bCs/>
                <w:color w:val="auto"/>
                <w:sz w:val="21"/>
                <w:highlight w:val="none"/>
              </w:rPr>
            </w:pPr>
          </w:p>
        </w:tc>
      </w:tr>
      <w:tr w14:paraId="03C9EE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3" w:hRule="atLeast"/>
          <w:jc w:val="center"/>
        </w:trPr>
        <w:tc>
          <w:tcPr>
            <w:tcW w:w="532" w:type="pct"/>
            <w:vMerge w:val="restart"/>
            <w:tcBorders>
              <w:tl2br w:val="nil"/>
              <w:tr2bl w:val="nil"/>
            </w:tcBorders>
            <w:noWrap w:val="0"/>
            <w:vAlign w:val="center"/>
          </w:tcPr>
          <w:p w14:paraId="1B1A8A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SO</w:t>
            </w:r>
            <w:r>
              <w:rPr>
                <w:rFonts w:hint="default" w:ascii="Times New Roman" w:hAnsi="Times New Roman" w:eastAsia="宋体" w:cs="Times New Roman"/>
                <w:color w:val="auto"/>
                <w:sz w:val="21"/>
                <w:highlight w:val="none"/>
                <w:vertAlign w:val="subscript"/>
              </w:rPr>
              <w:t>2</w:t>
            </w:r>
          </w:p>
        </w:tc>
        <w:tc>
          <w:tcPr>
            <w:tcW w:w="1108" w:type="pct"/>
            <w:tcBorders>
              <w:tl2br w:val="nil"/>
              <w:tr2bl w:val="nil"/>
            </w:tcBorders>
            <w:noWrap w:val="0"/>
            <w:vAlign w:val="center"/>
          </w:tcPr>
          <w:p w14:paraId="7D3BD1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年平均</w:t>
            </w:r>
          </w:p>
        </w:tc>
        <w:tc>
          <w:tcPr>
            <w:tcW w:w="1141" w:type="pct"/>
            <w:tcBorders>
              <w:tl2br w:val="nil"/>
              <w:tr2bl w:val="nil"/>
            </w:tcBorders>
            <w:noWrap w:val="0"/>
            <w:vAlign w:val="center"/>
          </w:tcPr>
          <w:p w14:paraId="0F2ED4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60</w:t>
            </w:r>
          </w:p>
        </w:tc>
        <w:tc>
          <w:tcPr>
            <w:tcW w:w="735" w:type="pct"/>
            <w:tcBorders>
              <w:tl2br w:val="nil"/>
              <w:tr2bl w:val="nil"/>
            </w:tcBorders>
            <w:noWrap w:val="0"/>
            <w:vAlign w:val="center"/>
          </w:tcPr>
          <w:p w14:paraId="75E8E5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20</w:t>
            </w:r>
          </w:p>
        </w:tc>
        <w:tc>
          <w:tcPr>
            <w:tcW w:w="526" w:type="pct"/>
            <w:vMerge w:val="restart"/>
            <w:tcBorders>
              <w:tl2br w:val="nil"/>
              <w:tr2bl w:val="nil"/>
            </w:tcBorders>
            <w:noWrap w:val="0"/>
            <w:vAlign w:val="center"/>
          </w:tcPr>
          <w:p w14:paraId="51024E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cs="Times New Roman"/>
                <w:b w:val="0"/>
                <w:bCs w:val="0"/>
                <w:color w:val="auto"/>
                <w:sz w:val="21"/>
                <w:szCs w:val="21"/>
                <w:highlight w:val="none"/>
              </w:rPr>
              <w:t>μg/m</w:t>
            </w:r>
            <w:r>
              <w:rPr>
                <w:rFonts w:hint="default" w:ascii="Times New Roman" w:hAnsi="Times New Roman" w:cs="Times New Roman"/>
                <w:b w:val="0"/>
                <w:bCs w:val="0"/>
                <w:color w:val="auto"/>
                <w:sz w:val="21"/>
                <w:szCs w:val="21"/>
                <w:highlight w:val="none"/>
                <w:vertAlign w:val="superscript"/>
              </w:rPr>
              <w:t>3</w:t>
            </w:r>
          </w:p>
        </w:tc>
        <w:tc>
          <w:tcPr>
            <w:tcW w:w="955" w:type="pct"/>
            <w:vMerge w:val="restart"/>
            <w:tcBorders>
              <w:tl2br w:val="nil"/>
              <w:tr2bl w:val="nil"/>
            </w:tcBorders>
            <w:noWrap w:val="0"/>
            <w:vAlign w:val="center"/>
          </w:tcPr>
          <w:p w14:paraId="00D091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《环境空气质量标准》（GB3095-20</w:t>
            </w:r>
            <w:r>
              <w:rPr>
                <w:rFonts w:hint="default" w:ascii="Times New Roman" w:hAnsi="Times New Roman" w:eastAsia="宋体" w:cs="Times New Roman"/>
                <w:color w:val="auto"/>
                <w:sz w:val="21"/>
                <w:highlight w:val="none"/>
                <w:lang w:val="en-US" w:eastAsia="zh-CN"/>
              </w:rPr>
              <w:t>26</w:t>
            </w:r>
            <w:r>
              <w:rPr>
                <w:rFonts w:hint="default" w:ascii="Times New Roman" w:hAnsi="Times New Roman" w:eastAsia="宋体" w:cs="Times New Roman"/>
                <w:color w:val="auto"/>
                <w:sz w:val="21"/>
                <w:highlight w:val="none"/>
              </w:rPr>
              <w:t>）</w:t>
            </w:r>
          </w:p>
        </w:tc>
      </w:tr>
      <w:tr w14:paraId="1C38C7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3" w:hRule="atLeast"/>
          <w:jc w:val="center"/>
        </w:trPr>
        <w:tc>
          <w:tcPr>
            <w:tcW w:w="532" w:type="pct"/>
            <w:vMerge w:val="continue"/>
            <w:tcBorders>
              <w:tl2br w:val="nil"/>
              <w:tr2bl w:val="nil"/>
            </w:tcBorders>
            <w:noWrap w:val="0"/>
            <w:vAlign w:val="center"/>
          </w:tcPr>
          <w:p w14:paraId="346665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1108" w:type="pct"/>
            <w:tcBorders>
              <w:tl2br w:val="nil"/>
              <w:tr2bl w:val="nil"/>
            </w:tcBorders>
            <w:noWrap w:val="0"/>
            <w:vAlign w:val="center"/>
          </w:tcPr>
          <w:p w14:paraId="68AEC6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24小时平均</w:t>
            </w:r>
          </w:p>
        </w:tc>
        <w:tc>
          <w:tcPr>
            <w:tcW w:w="1141" w:type="pct"/>
            <w:tcBorders>
              <w:tl2br w:val="nil"/>
              <w:tr2bl w:val="nil"/>
            </w:tcBorders>
            <w:noWrap w:val="0"/>
            <w:vAlign w:val="center"/>
          </w:tcPr>
          <w:p w14:paraId="0E9D1B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150</w:t>
            </w:r>
          </w:p>
        </w:tc>
        <w:tc>
          <w:tcPr>
            <w:tcW w:w="735" w:type="pct"/>
            <w:tcBorders>
              <w:tl2br w:val="nil"/>
              <w:tr2bl w:val="nil"/>
            </w:tcBorders>
            <w:noWrap w:val="0"/>
            <w:vAlign w:val="center"/>
          </w:tcPr>
          <w:p w14:paraId="37691D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50</w:t>
            </w:r>
          </w:p>
        </w:tc>
        <w:tc>
          <w:tcPr>
            <w:tcW w:w="526" w:type="pct"/>
            <w:vMerge w:val="continue"/>
            <w:tcBorders>
              <w:tl2br w:val="nil"/>
              <w:tr2bl w:val="nil"/>
            </w:tcBorders>
            <w:noWrap w:val="0"/>
            <w:vAlign w:val="center"/>
          </w:tcPr>
          <w:p w14:paraId="41B151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955" w:type="pct"/>
            <w:vMerge w:val="continue"/>
            <w:tcBorders>
              <w:tl2br w:val="nil"/>
              <w:tr2bl w:val="nil"/>
            </w:tcBorders>
            <w:noWrap w:val="0"/>
            <w:vAlign w:val="center"/>
          </w:tcPr>
          <w:p w14:paraId="7270AC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r>
      <w:tr w14:paraId="63F816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3" w:hRule="atLeast"/>
          <w:jc w:val="center"/>
        </w:trPr>
        <w:tc>
          <w:tcPr>
            <w:tcW w:w="532" w:type="pct"/>
            <w:vMerge w:val="continue"/>
            <w:tcBorders>
              <w:tl2br w:val="nil"/>
              <w:tr2bl w:val="nil"/>
            </w:tcBorders>
            <w:noWrap w:val="0"/>
            <w:vAlign w:val="center"/>
          </w:tcPr>
          <w:p w14:paraId="7D4C00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1108" w:type="pct"/>
            <w:tcBorders>
              <w:tl2br w:val="nil"/>
              <w:tr2bl w:val="nil"/>
            </w:tcBorders>
            <w:noWrap w:val="0"/>
            <w:vAlign w:val="center"/>
          </w:tcPr>
          <w:p w14:paraId="4FD39A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1小时平均</w:t>
            </w:r>
          </w:p>
        </w:tc>
        <w:tc>
          <w:tcPr>
            <w:tcW w:w="1141" w:type="pct"/>
            <w:tcBorders>
              <w:tl2br w:val="nil"/>
              <w:tr2bl w:val="nil"/>
            </w:tcBorders>
            <w:noWrap w:val="0"/>
            <w:vAlign w:val="center"/>
          </w:tcPr>
          <w:p w14:paraId="3D0D80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500</w:t>
            </w:r>
          </w:p>
        </w:tc>
        <w:tc>
          <w:tcPr>
            <w:tcW w:w="735" w:type="pct"/>
            <w:tcBorders>
              <w:tl2br w:val="nil"/>
              <w:tr2bl w:val="nil"/>
            </w:tcBorders>
            <w:noWrap w:val="0"/>
            <w:vAlign w:val="center"/>
          </w:tcPr>
          <w:p w14:paraId="219FE1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150</w:t>
            </w:r>
          </w:p>
        </w:tc>
        <w:tc>
          <w:tcPr>
            <w:tcW w:w="526" w:type="pct"/>
            <w:vMerge w:val="continue"/>
            <w:tcBorders>
              <w:tl2br w:val="nil"/>
              <w:tr2bl w:val="nil"/>
            </w:tcBorders>
            <w:noWrap w:val="0"/>
            <w:vAlign w:val="center"/>
          </w:tcPr>
          <w:p w14:paraId="4B5B0E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955" w:type="pct"/>
            <w:vMerge w:val="continue"/>
            <w:tcBorders>
              <w:tl2br w:val="nil"/>
              <w:tr2bl w:val="nil"/>
            </w:tcBorders>
            <w:noWrap w:val="0"/>
            <w:vAlign w:val="center"/>
          </w:tcPr>
          <w:p w14:paraId="6F042C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r>
      <w:tr w14:paraId="3DA7DB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3" w:hRule="atLeast"/>
          <w:jc w:val="center"/>
        </w:trPr>
        <w:tc>
          <w:tcPr>
            <w:tcW w:w="532" w:type="pct"/>
            <w:vMerge w:val="restart"/>
            <w:tcBorders>
              <w:tl2br w:val="nil"/>
              <w:tr2bl w:val="nil"/>
            </w:tcBorders>
            <w:noWrap w:val="0"/>
            <w:vAlign w:val="center"/>
          </w:tcPr>
          <w:p w14:paraId="478CDE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NO</w:t>
            </w:r>
            <w:r>
              <w:rPr>
                <w:rFonts w:hint="default" w:ascii="Times New Roman" w:hAnsi="Times New Roman" w:eastAsia="宋体" w:cs="Times New Roman"/>
                <w:color w:val="auto"/>
                <w:sz w:val="21"/>
                <w:highlight w:val="none"/>
                <w:vertAlign w:val="subscript"/>
              </w:rPr>
              <w:t>2</w:t>
            </w:r>
          </w:p>
        </w:tc>
        <w:tc>
          <w:tcPr>
            <w:tcW w:w="1108" w:type="pct"/>
            <w:tcBorders>
              <w:tl2br w:val="nil"/>
              <w:tr2bl w:val="nil"/>
            </w:tcBorders>
            <w:noWrap w:val="0"/>
            <w:vAlign w:val="center"/>
          </w:tcPr>
          <w:p w14:paraId="4EFE11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年平均</w:t>
            </w:r>
          </w:p>
        </w:tc>
        <w:tc>
          <w:tcPr>
            <w:tcW w:w="1141" w:type="pct"/>
            <w:tcBorders>
              <w:tl2br w:val="nil"/>
              <w:tr2bl w:val="nil"/>
            </w:tcBorders>
            <w:noWrap w:val="0"/>
            <w:vAlign w:val="center"/>
          </w:tcPr>
          <w:p w14:paraId="0DCF72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40</w:t>
            </w:r>
          </w:p>
        </w:tc>
        <w:tc>
          <w:tcPr>
            <w:tcW w:w="735" w:type="pct"/>
            <w:tcBorders>
              <w:tl2br w:val="nil"/>
              <w:tr2bl w:val="nil"/>
            </w:tcBorders>
            <w:noWrap w:val="0"/>
            <w:vAlign w:val="center"/>
          </w:tcPr>
          <w:p w14:paraId="2E9B5C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30</w:t>
            </w:r>
          </w:p>
        </w:tc>
        <w:tc>
          <w:tcPr>
            <w:tcW w:w="526" w:type="pct"/>
            <w:vMerge w:val="continue"/>
            <w:tcBorders>
              <w:tl2br w:val="nil"/>
              <w:tr2bl w:val="nil"/>
            </w:tcBorders>
            <w:noWrap w:val="0"/>
            <w:vAlign w:val="center"/>
          </w:tcPr>
          <w:p w14:paraId="5157EB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955" w:type="pct"/>
            <w:vMerge w:val="continue"/>
            <w:tcBorders>
              <w:tl2br w:val="nil"/>
              <w:tr2bl w:val="nil"/>
            </w:tcBorders>
            <w:noWrap w:val="0"/>
            <w:vAlign w:val="center"/>
          </w:tcPr>
          <w:p w14:paraId="58E9A2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r>
      <w:tr w14:paraId="63DEB0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3" w:hRule="atLeast"/>
          <w:jc w:val="center"/>
        </w:trPr>
        <w:tc>
          <w:tcPr>
            <w:tcW w:w="532" w:type="pct"/>
            <w:vMerge w:val="continue"/>
            <w:tcBorders>
              <w:tl2br w:val="nil"/>
              <w:tr2bl w:val="nil"/>
            </w:tcBorders>
            <w:noWrap w:val="0"/>
            <w:vAlign w:val="center"/>
          </w:tcPr>
          <w:p w14:paraId="2A250F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1108" w:type="pct"/>
            <w:tcBorders>
              <w:tl2br w:val="nil"/>
              <w:tr2bl w:val="nil"/>
            </w:tcBorders>
            <w:noWrap w:val="0"/>
            <w:vAlign w:val="center"/>
          </w:tcPr>
          <w:p w14:paraId="01817C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24小时平均</w:t>
            </w:r>
          </w:p>
        </w:tc>
        <w:tc>
          <w:tcPr>
            <w:tcW w:w="1141" w:type="pct"/>
            <w:tcBorders>
              <w:tl2br w:val="nil"/>
              <w:tr2bl w:val="nil"/>
            </w:tcBorders>
            <w:noWrap w:val="0"/>
            <w:vAlign w:val="center"/>
          </w:tcPr>
          <w:p w14:paraId="5AF701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80</w:t>
            </w:r>
          </w:p>
        </w:tc>
        <w:tc>
          <w:tcPr>
            <w:tcW w:w="735" w:type="pct"/>
            <w:tcBorders>
              <w:tl2br w:val="nil"/>
              <w:tr2bl w:val="nil"/>
            </w:tcBorders>
            <w:noWrap w:val="0"/>
            <w:vAlign w:val="center"/>
          </w:tcPr>
          <w:p w14:paraId="4ECAD2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50</w:t>
            </w:r>
          </w:p>
        </w:tc>
        <w:tc>
          <w:tcPr>
            <w:tcW w:w="526" w:type="pct"/>
            <w:vMerge w:val="continue"/>
            <w:tcBorders>
              <w:tl2br w:val="nil"/>
              <w:tr2bl w:val="nil"/>
            </w:tcBorders>
            <w:noWrap w:val="0"/>
            <w:vAlign w:val="center"/>
          </w:tcPr>
          <w:p w14:paraId="2B10F5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955" w:type="pct"/>
            <w:vMerge w:val="continue"/>
            <w:tcBorders>
              <w:tl2br w:val="nil"/>
              <w:tr2bl w:val="nil"/>
            </w:tcBorders>
            <w:noWrap w:val="0"/>
            <w:vAlign w:val="center"/>
          </w:tcPr>
          <w:p w14:paraId="5E8E06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r>
      <w:tr w14:paraId="072E04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3" w:hRule="atLeast"/>
          <w:jc w:val="center"/>
        </w:trPr>
        <w:tc>
          <w:tcPr>
            <w:tcW w:w="532" w:type="pct"/>
            <w:vMerge w:val="continue"/>
            <w:tcBorders>
              <w:tl2br w:val="nil"/>
              <w:tr2bl w:val="nil"/>
            </w:tcBorders>
            <w:noWrap w:val="0"/>
            <w:vAlign w:val="center"/>
          </w:tcPr>
          <w:p w14:paraId="489845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1108" w:type="pct"/>
            <w:tcBorders>
              <w:tl2br w:val="nil"/>
              <w:tr2bl w:val="nil"/>
            </w:tcBorders>
            <w:noWrap w:val="0"/>
            <w:vAlign w:val="center"/>
          </w:tcPr>
          <w:p w14:paraId="0F467D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1小时平均</w:t>
            </w:r>
          </w:p>
        </w:tc>
        <w:tc>
          <w:tcPr>
            <w:tcW w:w="1141" w:type="pct"/>
            <w:tcBorders>
              <w:tl2br w:val="nil"/>
              <w:tr2bl w:val="nil"/>
            </w:tcBorders>
            <w:noWrap w:val="0"/>
            <w:vAlign w:val="center"/>
          </w:tcPr>
          <w:p w14:paraId="3B6E66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200</w:t>
            </w:r>
          </w:p>
        </w:tc>
        <w:tc>
          <w:tcPr>
            <w:tcW w:w="735" w:type="pct"/>
            <w:tcBorders>
              <w:tl2br w:val="nil"/>
              <w:tr2bl w:val="nil"/>
            </w:tcBorders>
            <w:noWrap w:val="0"/>
            <w:vAlign w:val="center"/>
          </w:tcPr>
          <w:p w14:paraId="314514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200</w:t>
            </w:r>
          </w:p>
        </w:tc>
        <w:tc>
          <w:tcPr>
            <w:tcW w:w="526" w:type="pct"/>
            <w:vMerge w:val="continue"/>
            <w:tcBorders>
              <w:tl2br w:val="nil"/>
              <w:tr2bl w:val="nil"/>
            </w:tcBorders>
            <w:noWrap w:val="0"/>
            <w:vAlign w:val="center"/>
          </w:tcPr>
          <w:p w14:paraId="63A2AA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955" w:type="pct"/>
            <w:vMerge w:val="continue"/>
            <w:tcBorders>
              <w:tl2br w:val="nil"/>
              <w:tr2bl w:val="nil"/>
            </w:tcBorders>
            <w:noWrap w:val="0"/>
            <w:vAlign w:val="center"/>
          </w:tcPr>
          <w:p w14:paraId="5092C0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r>
      <w:tr w14:paraId="19B2E0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3" w:hRule="atLeast"/>
          <w:jc w:val="center"/>
        </w:trPr>
        <w:tc>
          <w:tcPr>
            <w:tcW w:w="532" w:type="pct"/>
            <w:vMerge w:val="restart"/>
            <w:tcBorders>
              <w:tl2br w:val="nil"/>
              <w:tr2bl w:val="nil"/>
            </w:tcBorders>
            <w:noWrap w:val="0"/>
            <w:vAlign w:val="center"/>
          </w:tcPr>
          <w:p w14:paraId="7EECD7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PM</w:t>
            </w:r>
            <w:r>
              <w:rPr>
                <w:rFonts w:hint="default" w:ascii="Times New Roman" w:hAnsi="Times New Roman" w:eastAsia="宋体" w:cs="Times New Roman"/>
                <w:color w:val="auto"/>
                <w:sz w:val="21"/>
                <w:highlight w:val="none"/>
                <w:vertAlign w:val="subscript"/>
              </w:rPr>
              <w:t>10</w:t>
            </w:r>
          </w:p>
        </w:tc>
        <w:tc>
          <w:tcPr>
            <w:tcW w:w="1108" w:type="pct"/>
            <w:tcBorders>
              <w:tl2br w:val="nil"/>
              <w:tr2bl w:val="nil"/>
            </w:tcBorders>
            <w:noWrap w:val="0"/>
            <w:vAlign w:val="center"/>
          </w:tcPr>
          <w:p w14:paraId="6C4D2B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年平均</w:t>
            </w:r>
          </w:p>
        </w:tc>
        <w:tc>
          <w:tcPr>
            <w:tcW w:w="1141" w:type="pct"/>
            <w:tcBorders>
              <w:tl2br w:val="nil"/>
              <w:tr2bl w:val="nil"/>
            </w:tcBorders>
            <w:noWrap w:val="0"/>
            <w:vAlign w:val="center"/>
          </w:tcPr>
          <w:p w14:paraId="7E2CC8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60</w:t>
            </w:r>
          </w:p>
        </w:tc>
        <w:tc>
          <w:tcPr>
            <w:tcW w:w="735" w:type="pct"/>
            <w:tcBorders>
              <w:tl2br w:val="nil"/>
              <w:tr2bl w:val="nil"/>
            </w:tcBorders>
            <w:noWrap w:val="0"/>
            <w:vAlign w:val="center"/>
          </w:tcPr>
          <w:p w14:paraId="539A11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50</w:t>
            </w:r>
          </w:p>
        </w:tc>
        <w:tc>
          <w:tcPr>
            <w:tcW w:w="526" w:type="pct"/>
            <w:vMerge w:val="continue"/>
            <w:tcBorders>
              <w:tl2br w:val="nil"/>
              <w:tr2bl w:val="nil"/>
            </w:tcBorders>
            <w:noWrap w:val="0"/>
            <w:vAlign w:val="center"/>
          </w:tcPr>
          <w:p w14:paraId="64CA19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p>
        </w:tc>
        <w:tc>
          <w:tcPr>
            <w:tcW w:w="955" w:type="pct"/>
            <w:vMerge w:val="continue"/>
            <w:tcBorders>
              <w:tl2br w:val="nil"/>
              <w:tr2bl w:val="nil"/>
            </w:tcBorders>
            <w:noWrap w:val="0"/>
            <w:vAlign w:val="center"/>
          </w:tcPr>
          <w:p w14:paraId="031355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r>
      <w:tr w14:paraId="7A8EF4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3" w:hRule="atLeast"/>
          <w:jc w:val="center"/>
        </w:trPr>
        <w:tc>
          <w:tcPr>
            <w:tcW w:w="532" w:type="pct"/>
            <w:vMerge w:val="continue"/>
            <w:tcBorders>
              <w:tl2br w:val="nil"/>
              <w:tr2bl w:val="nil"/>
            </w:tcBorders>
            <w:noWrap w:val="0"/>
            <w:vAlign w:val="center"/>
          </w:tcPr>
          <w:p w14:paraId="2B22BA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1108" w:type="pct"/>
            <w:tcBorders>
              <w:tl2br w:val="nil"/>
              <w:tr2bl w:val="nil"/>
            </w:tcBorders>
            <w:noWrap w:val="0"/>
            <w:vAlign w:val="center"/>
          </w:tcPr>
          <w:p w14:paraId="4871D1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24小时平均</w:t>
            </w:r>
          </w:p>
        </w:tc>
        <w:tc>
          <w:tcPr>
            <w:tcW w:w="1141" w:type="pct"/>
            <w:tcBorders>
              <w:tl2br w:val="nil"/>
              <w:tr2bl w:val="nil"/>
            </w:tcBorders>
            <w:noWrap w:val="0"/>
            <w:vAlign w:val="center"/>
          </w:tcPr>
          <w:p w14:paraId="150600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120</w:t>
            </w:r>
          </w:p>
        </w:tc>
        <w:tc>
          <w:tcPr>
            <w:tcW w:w="735" w:type="pct"/>
            <w:tcBorders>
              <w:tl2br w:val="nil"/>
              <w:tr2bl w:val="nil"/>
            </w:tcBorders>
            <w:noWrap w:val="0"/>
            <w:vAlign w:val="center"/>
          </w:tcPr>
          <w:p w14:paraId="2504FE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100</w:t>
            </w:r>
          </w:p>
        </w:tc>
        <w:tc>
          <w:tcPr>
            <w:tcW w:w="526" w:type="pct"/>
            <w:vMerge w:val="continue"/>
            <w:tcBorders>
              <w:tl2br w:val="nil"/>
              <w:tr2bl w:val="nil"/>
            </w:tcBorders>
            <w:noWrap w:val="0"/>
            <w:vAlign w:val="center"/>
          </w:tcPr>
          <w:p w14:paraId="3D7FE5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p>
        </w:tc>
        <w:tc>
          <w:tcPr>
            <w:tcW w:w="955" w:type="pct"/>
            <w:vMerge w:val="continue"/>
            <w:tcBorders>
              <w:tl2br w:val="nil"/>
              <w:tr2bl w:val="nil"/>
            </w:tcBorders>
            <w:noWrap w:val="0"/>
            <w:vAlign w:val="center"/>
          </w:tcPr>
          <w:p w14:paraId="21B858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r>
      <w:tr w14:paraId="05B5DC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3" w:hRule="atLeast"/>
          <w:jc w:val="center"/>
        </w:trPr>
        <w:tc>
          <w:tcPr>
            <w:tcW w:w="532" w:type="pct"/>
            <w:vMerge w:val="restart"/>
            <w:tcBorders>
              <w:tl2br w:val="nil"/>
              <w:tr2bl w:val="nil"/>
            </w:tcBorders>
            <w:noWrap w:val="0"/>
            <w:vAlign w:val="center"/>
          </w:tcPr>
          <w:p w14:paraId="19836A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PM</w:t>
            </w:r>
            <w:r>
              <w:rPr>
                <w:rFonts w:hint="default" w:ascii="Times New Roman" w:hAnsi="Times New Roman" w:eastAsia="宋体" w:cs="Times New Roman"/>
                <w:color w:val="auto"/>
                <w:sz w:val="21"/>
                <w:highlight w:val="none"/>
                <w:vertAlign w:val="subscript"/>
              </w:rPr>
              <w:t>2.5</w:t>
            </w:r>
          </w:p>
        </w:tc>
        <w:tc>
          <w:tcPr>
            <w:tcW w:w="1108" w:type="pct"/>
            <w:tcBorders>
              <w:tl2br w:val="nil"/>
              <w:tr2bl w:val="nil"/>
            </w:tcBorders>
            <w:noWrap w:val="0"/>
            <w:vAlign w:val="center"/>
          </w:tcPr>
          <w:p w14:paraId="45E626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年平均</w:t>
            </w:r>
          </w:p>
        </w:tc>
        <w:tc>
          <w:tcPr>
            <w:tcW w:w="1141" w:type="pct"/>
            <w:tcBorders>
              <w:tl2br w:val="nil"/>
              <w:tr2bl w:val="nil"/>
            </w:tcBorders>
            <w:noWrap w:val="0"/>
            <w:vAlign w:val="center"/>
          </w:tcPr>
          <w:p w14:paraId="66F90A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30</w:t>
            </w:r>
          </w:p>
        </w:tc>
        <w:tc>
          <w:tcPr>
            <w:tcW w:w="735" w:type="pct"/>
            <w:tcBorders>
              <w:tl2br w:val="nil"/>
              <w:tr2bl w:val="nil"/>
            </w:tcBorders>
            <w:noWrap w:val="0"/>
            <w:vAlign w:val="center"/>
          </w:tcPr>
          <w:p w14:paraId="014DDC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25</w:t>
            </w:r>
          </w:p>
        </w:tc>
        <w:tc>
          <w:tcPr>
            <w:tcW w:w="526" w:type="pct"/>
            <w:vMerge w:val="continue"/>
            <w:tcBorders>
              <w:tl2br w:val="nil"/>
              <w:tr2bl w:val="nil"/>
            </w:tcBorders>
            <w:noWrap w:val="0"/>
            <w:vAlign w:val="center"/>
          </w:tcPr>
          <w:p w14:paraId="57EB74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p>
        </w:tc>
        <w:tc>
          <w:tcPr>
            <w:tcW w:w="955" w:type="pct"/>
            <w:vMerge w:val="continue"/>
            <w:tcBorders>
              <w:tl2br w:val="nil"/>
              <w:tr2bl w:val="nil"/>
            </w:tcBorders>
            <w:noWrap w:val="0"/>
            <w:vAlign w:val="center"/>
          </w:tcPr>
          <w:p w14:paraId="2F605F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r>
      <w:tr w14:paraId="4DB8AE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3" w:hRule="atLeast"/>
          <w:jc w:val="center"/>
        </w:trPr>
        <w:tc>
          <w:tcPr>
            <w:tcW w:w="532" w:type="pct"/>
            <w:vMerge w:val="continue"/>
            <w:tcBorders>
              <w:tl2br w:val="nil"/>
              <w:tr2bl w:val="nil"/>
            </w:tcBorders>
            <w:noWrap w:val="0"/>
            <w:vAlign w:val="center"/>
          </w:tcPr>
          <w:p w14:paraId="658B2E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1108" w:type="pct"/>
            <w:tcBorders>
              <w:tl2br w:val="nil"/>
              <w:tr2bl w:val="nil"/>
            </w:tcBorders>
            <w:noWrap w:val="0"/>
            <w:vAlign w:val="center"/>
          </w:tcPr>
          <w:p w14:paraId="628E6B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24小时平均</w:t>
            </w:r>
          </w:p>
        </w:tc>
        <w:tc>
          <w:tcPr>
            <w:tcW w:w="1141" w:type="pct"/>
            <w:tcBorders>
              <w:tl2br w:val="nil"/>
              <w:tr2bl w:val="nil"/>
            </w:tcBorders>
            <w:noWrap w:val="0"/>
            <w:vAlign w:val="center"/>
          </w:tcPr>
          <w:p w14:paraId="09984F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60</w:t>
            </w:r>
          </w:p>
        </w:tc>
        <w:tc>
          <w:tcPr>
            <w:tcW w:w="735" w:type="pct"/>
            <w:tcBorders>
              <w:tl2br w:val="nil"/>
              <w:tr2bl w:val="nil"/>
            </w:tcBorders>
            <w:noWrap w:val="0"/>
            <w:vAlign w:val="center"/>
          </w:tcPr>
          <w:p w14:paraId="45D64D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50</w:t>
            </w:r>
          </w:p>
        </w:tc>
        <w:tc>
          <w:tcPr>
            <w:tcW w:w="526" w:type="pct"/>
            <w:vMerge w:val="continue"/>
            <w:tcBorders>
              <w:tl2br w:val="nil"/>
              <w:tr2bl w:val="nil"/>
            </w:tcBorders>
            <w:noWrap w:val="0"/>
            <w:vAlign w:val="center"/>
          </w:tcPr>
          <w:p w14:paraId="4A5E22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p>
        </w:tc>
        <w:tc>
          <w:tcPr>
            <w:tcW w:w="955" w:type="pct"/>
            <w:vMerge w:val="continue"/>
            <w:tcBorders>
              <w:tl2br w:val="nil"/>
              <w:tr2bl w:val="nil"/>
            </w:tcBorders>
            <w:noWrap w:val="0"/>
            <w:vAlign w:val="center"/>
          </w:tcPr>
          <w:p w14:paraId="6FAC61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r>
      <w:tr w14:paraId="53EC8D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3" w:hRule="atLeast"/>
          <w:jc w:val="center"/>
        </w:trPr>
        <w:tc>
          <w:tcPr>
            <w:tcW w:w="532" w:type="pct"/>
            <w:vMerge w:val="restart"/>
            <w:tcBorders>
              <w:tl2br w:val="nil"/>
              <w:tr2bl w:val="nil"/>
            </w:tcBorders>
            <w:noWrap w:val="0"/>
            <w:vAlign w:val="center"/>
          </w:tcPr>
          <w:p w14:paraId="6765AD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CO</w:t>
            </w:r>
          </w:p>
        </w:tc>
        <w:tc>
          <w:tcPr>
            <w:tcW w:w="1108" w:type="pct"/>
            <w:tcBorders>
              <w:tl2br w:val="nil"/>
              <w:tr2bl w:val="nil"/>
            </w:tcBorders>
            <w:noWrap w:val="0"/>
            <w:vAlign w:val="center"/>
          </w:tcPr>
          <w:p w14:paraId="24C746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24小时平均</w:t>
            </w:r>
          </w:p>
        </w:tc>
        <w:tc>
          <w:tcPr>
            <w:tcW w:w="1141" w:type="pct"/>
            <w:tcBorders>
              <w:tl2br w:val="nil"/>
              <w:tr2bl w:val="nil"/>
            </w:tcBorders>
            <w:noWrap w:val="0"/>
            <w:vAlign w:val="center"/>
          </w:tcPr>
          <w:p w14:paraId="5E5E7F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rPr>
              <w:t>4</w:t>
            </w:r>
          </w:p>
        </w:tc>
        <w:tc>
          <w:tcPr>
            <w:tcW w:w="735" w:type="pct"/>
            <w:tcBorders>
              <w:tl2br w:val="nil"/>
              <w:tr2bl w:val="nil"/>
            </w:tcBorders>
            <w:noWrap w:val="0"/>
            <w:vAlign w:val="center"/>
          </w:tcPr>
          <w:p w14:paraId="712313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4</w:t>
            </w:r>
          </w:p>
        </w:tc>
        <w:tc>
          <w:tcPr>
            <w:tcW w:w="526" w:type="pct"/>
            <w:vMerge w:val="restart"/>
            <w:tcBorders>
              <w:tl2br w:val="nil"/>
              <w:tr2bl w:val="nil"/>
            </w:tcBorders>
            <w:noWrap w:val="0"/>
            <w:vAlign w:val="center"/>
          </w:tcPr>
          <w:p w14:paraId="4C01AD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cs="Times New Roman"/>
                <w:b w:val="0"/>
                <w:bCs w:val="0"/>
                <w:color w:val="auto"/>
                <w:sz w:val="21"/>
                <w:szCs w:val="21"/>
                <w:highlight w:val="none"/>
                <w:lang w:val="en-US" w:eastAsia="zh-CN"/>
              </w:rPr>
              <w:t>m</w:t>
            </w:r>
            <w:r>
              <w:rPr>
                <w:rFonts w:hint="default" w:ascii="Times New Roman" w:hAnsi="Times New Roman" w:cs="Times New Roman"/>
                <w:b w:val="0"/>
                <w:bCs w:val="0"/>
                <w:color w:val="auto"/>
                <w:sz w:val="21"/>
                <w:szCs w:val="21"/>
                <w:highlight w:val="none"/>
              </w:rPr>
              <w:t>g/m</w:t>
            </w:r>
            <w:r>
              <w:rPr>
                <w:rFonts w:hint="default" w:ascii="Times New Roman" w:hAnsi="Times New Roman" w:cs="Times New Roman"/>
                <w:b w:val="0"/>
                <w:bCs w:val="0"/>
                <w:color w:val="auto"/>
                <w:sz w:val="21"/>
                <w:szCs w:val="21"/>
                <w:highlight w:val="none"/>
                <w:vertAlign w:val="superscript"/>
              </w:rPr>
              <w:t>3</w:t>
            </w:r>
          </w:p>
        </w:tc>
        <w:tc>
          <w:tcPr>
            <w:tcW w:w="955" w:type="pct"/>
            <w:vMerge w:val="continue"/>
            <w:tcBorders>
              <w:tl2br w:val="nil"/>
              <w:tr2bl w:val="nil"/>
            </w:tcBorders>
            <w:noWrap w:val="0"/>
            <w:vAlign w:val="center"/>
          </w:tcPr>
          <w:p w14:paraId="7B11CD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r>
      <w:tr w14:paraId="1DA6A9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3" w:hRule="atLeast"/>
          <w:jc w:val="center"/>
        </w:trPr>
        <w:tc>
          <w:tcPr>
            <w:tcW w:w="532" w:type="pct"/>
            <w:vMerge w:val="continue"/>
            <w:tcBorders>
              <w:tl2br w:val="nil"/>
              <w:tr2bl w:val="nil"/>
            </w:tcBorders>
            <w:noWrap w:val="0"/>
            <w:vAlign w:val="center"/>
          </w:tcPr>
          <w:p w14:paraId="5163F2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1108" w:type="pct"/>
            <w:tcBorders>
              <w:tl2br w:val="nil"/>
              <w:tr2bl w:val="nil"/>
            </w:tcBorders>
            <w:noWrap w:val="0"/>
            <w:vAlign w:val="center"/>
          </w:tcPr>
          <w:p w14:paraId="3AF90A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1小时平均</w:t>
            </w:r>
          </w:p>
        </w:tc>
        <w:tc>
          <w:tcPr>
            <w:tcW w:w="1141" w:type="pct"/>
            <w:tcBorders>
              <w:tl2br w:val="nil"/>
              <w:tr2bl w:val="nil"/>
            </w:tcBorders>
            <w:noWrap w:val="0"/>
            <w:vAlign w:val="center"/>
          </w:tcPr>
          <w:p w14:paraId="31DB01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rPr>
              <w:t>10</w:t>
            </w:r>
          </w:p>
        </w:tc>
        <w:tc>
          <w:tcPr>
            <w:tcW w:w="735" w:type="pct"/>
            <w:tcBorders>
              <w:tl2br w:val="nil"/>
              <w:tr2bl w:val="nil"/>
            </w:tcBorders>
            <w:noWrap w:val="0"/>
            <w:vAlign w:val="center"/>
          </w:tcPr>
          <w:p w14:paraId="19B713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10</w:t>
            </w:r>
          </w:p>
        </w:tc>
        <w:tc>
          <w:tcPr>
            <w:tcW w:w="526" w:type="pct"/>
            <w:vMerge w:val="continue"/>
            <w:tcBorders>
              <w:tl2br w:val="nil"/>
              <w:tr2bl w:val="nil"/>
            </w:tcBorders>
            <w:noWrap w:val="0"/>
            <w:vAlign w:val="center"/>
          </w:tcPr>
          <w:p w14:paraId="01EF73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955" w:type="pct"/>
            <w:vMerge w:val="continue"/>
            <w:tcBorders>
              <w:tl2br w:val="nil"/>
              <w:tr2bl w:val="nil"/>
            </w:tcBorders>
            <w:noWrap w:val="0"/>
            <w:vAlign w:val="center"/>
          </w:tcPr>
          <w:p w14:paraId="35E050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r>
      <w:tr w14:paraId="32EDCF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3" w:hRule="atLeast"/>
          <w:jc w:val="center"/>
        </w:trPr>
        <w:tc>
          <w:tcPr>
            <w:tcW w:w="532" w:type="pct"/>
            <w:vMerge w:val="restart"/>
            <w:tcBorders>
              <w:tl2br w:val="nil"/>
              <w:tr2bl w:val="nil"/>
            </w:tcBorders>
            <w:noWrap w:val="0"/>
            <w:vAlign w:val="center"/>
          </w:tcPr>
          <w:p w14:paraId="430497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O</w:t>
            </w:r>
            <w:r>
              <w:rPr>
                <w:rFonts w:hint="default" w:ascii="Times New Roman" w:hAnsi="Times New Roman" w:eastAsia="宋体" w:cs="Times New Roman"/>
                <w:color w:val="auto"/>
                <w:sz w:val="21"/>
                <w:highlight w:val="none"/>
                <w:vertAlign w:val="subscript"/>
              </w:rPr>
              <w:t>3</w:t>
            </w:r>
          </w:p>
        </w:tc>
        <w:tc>
          <w:tcPr>
            <w:tcW w:w="1108" w:type="pct"/>
            <w:tcBorders>
              <w:tl2br w:val="nil"/>
              <w:tr2bl w:val="nil"/>
            </w:tcBorders>
            <w:noWrap w:val="0"/>
            <w:vAlign w:val="center"/>
          </w:tcPr>
          <w:p w14:paraId="5DEA48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日最大8小时平均</w:t>
            </w:r>
          </w:p>
        </w:tc>
        <w:tc>
          <w:tcPr>
            <w:tcW w:w="1141" w:type="pct"/>
            <w:tcBorders>
              <w:tl2br w:val="nil"/>
              <w:tr2bl w:val="nil"/>
            </w:tcBorders>
            <w:noWrap w:val="0"/>
            <w:vAlign w:val="center"/>
          </w:tcPr>
          <w:p w14:paraId="61DDE5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160</w:t>
            </w:r>
          </w:p>
        </w:tc>
        <w:tc>
          <w:tcPr>
            <w:tcW w:w="735" w:type="pct"/>
            <w:tcBorders>
              <w:tl2br w:val="nil"/>
              <w:tr2bl w:val="nil"/>
            </w:tcBorders>
            <w:noWrap w:val="0"/>
            <w:vAlign w:val="center"/>
          </w:tcPr>
          <w:p w14:paraId="6198F2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160</w:t>
            </w:r>
          </w:p>
        </w:tc>
        <w:tc>
          <w:tcPr>
            <w:tcW w:w="526" w:type="pct"/>
            <w:vMerge w:val="restart"/>
            <w:tcBorders>
              <w:tl2br w:val="nil"/>
              <w:tr2bl w:val="nil"/>
            </w:tcBorders>
            <w:noWrap w:val="0"/>
            <w:vAlign w:val="center"/>
          </w:tcPr>
          <w:p w14:paraId="656144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cs="Times New Roman"/>
                <w:b w:val="0"/>
                <w:bCs w:val="0"/>
                <w:color w:val="auto"/>
                <w:sz w:val="21"/>
                <w:szCs w:val="21"/>
                <w:highlight w:val="none"/>
              </w:rPr>
              <w:t>μg/m</w:t>
            </w:r>
            <w:r>
              <w:rPr>
                <w:rFonts w:hint="default" w:ascii="Times New Roman" w:hAnsi="Times New Roman" w:cs="Times New Roman"/>
                <w:b w:val="0"/>
                <w:bCs w:val="0"/>
                <w:color w:val="auto"/>
                <w:sz w:val="21"/>
                <w:szCs w:val="21"/>
                <w:highlight w:val="none"/>
                <w:vertAlign w:val="superscript"/>
              </w:rPr>
              <w:t>3</w:t>
            </w:r>
          </w:p>
        </w:tc>
        <w:tc>
          <w:tcPr>
            <w:tcW w:w="955" w:type="pct"/>
            <w:vMerge w:val="continue"/>
            <w:tcBorders>
              <w:tl2br w:val="nil"/>
              <w:tr2bl w:val="nil"/>
            </w:tcBorders>
            <w:noWrap w:val="0"/>
            <w:vAlign w:val="center"/>
          </w:tcPr>
          <w:p w14:paraId="170E9E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r>
      <w:tr w14:paraId="5B30BB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3" w:hRule="atLeast"/>
          <w:jc w:val="center"/>
        </w:trPr>
        <w:tc>
          <w:tcPr>
            <w:tcW w:w="532" w:type="pct"/>
            <w:vMerge w:val="continue"/>
            <w:tcBorders>
              <w:tl2br w:val="nil"/>
              <w:tr2bl w:val="nil"/>
            </w:tcBorders>
            <w:noWrap w:val="0"/>
            <w:vAlign w:val="center"/>
          </w:tcPr>
          <w:p w14:paraId="6F30EE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1108" w:type="pct"/>
            <w:tcBorders>
              <w:tl2br w:val="nil"/>
              <w:tr2bl w:val="nil"/>
            </w:tcBorders>
            <w:noWrap w:val="0"/>
            <w:vAlign w:val="center"/>
          </w:tcPr>
          <w:p w14:paraId="258FCC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1小时平均</w:t>
            </w:r>
          </w:p>
        </w:tc>
        <w:tc>
          <w:tcPr>
            <w:tcW w:w="1141" w:type="pct"/>
            <w:tcBorders>
              <w:tl2br w:val="nil"/>
              <w:tr2bl w:val="nil"/>
            </w:tcBorders>
            <w:noWrap w:val="0"/>
            <w:vAlign w:val="center"/>
          </w:tcPr>
          <w:p w14:paraId="601551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200</w:t>
            </w:r>
          </w:p>
        </w:tc>
        <w:tc>
          <w:tcPr>
            <w:tcW w:w="735" w:type="pct"/>
            <w:tcBorders>
              <w:tl2br w:val="nil"/>
              <w:tr2bl w:val="nil"/>
            </w:tcBorders>
            <w:noWrap w:val="0"/>
            <w:vAlign w:val="center"/>
          </w:tcPr>
          <w:p w14:paraId="3879CF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200</w:t>
            </w:r>
          </w:p>
        </w:tc>
        <w:tc>
          <w:tcPr>
            <w:tcW w:w="526" w:type="pct"/>
            <w:vMerge w:val="continue"/>
            <w:tcBorders>
              <w:tl2br w:val="nil"/>
              <w:tr2bl w:val="nil"/>
            </w:tcBorders>
            <w:noWrap w:val="0"/>
            <w:vAlign w:val="center"/>
          </w:tcPr>
          <w:p w14:paraId="345F68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955" w:type="pct"/>
            <w:vMerge w:val="continue"/>
            <w:tcBorders>
              <w:tl2br w:val="nil"/>
              <w:tr2bl w:val="nil"/>
            </w:tcBorders>
            <w:noWrap w:val="0"/>
            <w:vAlign w:val="center"/>
          </w:tcPr>
          <w:p w14:paraId="4FD30E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r>
      <w:tr w14:paraId="0C0E8C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3" w:hRule="atLeast"/>
          <w:jc w:val="center"/>
        </w:trPr>
        <w:tc>
          <w:tcPr>
            <w:tcW w:w="532" w:type="pct"/>
            <w:vMerge w:val="restart"/>
            <w:tcBorders>
              <w:tl2br w:val="nil"/>
              <w:tr2bl w:val="nil"/>
            </w:tcBorders>
            <w:noWrap w:val="0"/>
            <w:vAlign w:val="center"/>
          </w:tcPr>
          <w:p w14:paraId="368DCA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TSP</w:t>
            </w:r>
          </w:p>
        </w:tc>
        <w:tc>
          <w:tcPr>
            <w:tcW w:w="1108" w:type="pct"/>
            <w:tcBorders>
              <w:tl2br w:val="nil"/>
              <w:tr2bl w:val="nil"/>
            </w:tcBorders>
            <w:noWrap w:val="0"/>
            <w:vAlign w:val="center"/>
          </w:tcPr>
          <w:p w14:paraId="28D2A7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年平均</w:t>
            </w:r>
          </w:p>
        </w:tc>
        <w:tc>
          <w:tcPr>
            <w:tcW w:w="1141" w:type="pct"/>
            <w:tcBorders>
              <w:tl2br w:val="nil"/>
              <w:tr2bl w:val="nil"/>
            </w:tcBorders>
            <w:noWrap w:val="0"/>
            <w:vAlign w:val="center"/>
          </w:tcPr>
          <w:p w14:paraId="2EFAFB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leftChars="0"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200</w:t>
            </w:r>
          </w:p>
        </w:tc>
        <w:tc>
          <w:tcPr>
            <w:tcW w:w="735" w:type="pct"/>
            <w:tcBorders>
              <w:tl2br w:val="nil"/>
              <w:tr2bl w:val="nil"/>
            </w:tcBorders>
            <w:noWrap w:val="0"/>
            <w:vAlign w:val="center"/>
          </w:tcPr>
          <w:p w14:paraId="511747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leftChars="0" w:right="0" w:firstLine="0" w:firstLineChars="0"/>
              <w:jc w:val="center"/>
              <w:textAlignment w:val="auto"/>
              <w:rPr>
                <w:rFonts w:hint="default" w:ascii="Times New Roman" w:hAnsi="Times New Roman" w:eastAsia="宋体" w:cs="Times New Roman"/>
                <w:color w:val="auto"/>
                <w:kern w:val="2"/>
                <w:sz w:val="21"/>
                <w:szCs w:val="28"/>
                <w:highlight w:val="none"/>
                <w:lang w:val="en-US" w:eastAsia="zh-CN" w:bidi="ar-SA"/>
              </w:rPr>
            </w:pPr>
            <w:r>
              <w:rPr>
                <w:rFonts w:hint="default" w:ascii="Times New Roman" w:hAnsi="Times New Roman" w:eastAsia="宋体" w:cs="Times New Roman"/>
                <w:color w:val="auto"/>
                <w:sz w:val="21"/>
                <w:highlight w:val="none"/>
                <w:lang w:val="en-US" w:eastAsia="zh-CN"/>
              </w:rPr>
              <w:t>200</w:t>
            </w:r>
          </w:p>
        </w:tc>
        <w:tc>
          <w:tcPr>
            <w:tcW w:w="526" w:type="pct"/>
            <w:vMerge w:val="continue"/>
            <w:tcBorders>
              <w:tl2br w:val="nil"/>
              <w:tr2bl w:val="nil"/>
            </w:tcBorders>
            <w:noWrap w:val="0"/>
            <w:vAlign w:val="center"/>
          </w:tcPr>
          <w:p w14:paraId="7460A8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955" w:type="pct"/>
            <w:vMerge w:val="continue"/>
            <w:tcBorders>
              <w:tl2br w:val="nil"/>
              <w:tr2bl w:val="nil"/>
            </w:tcBorders>
            <w:noWrap w:val="0"/>
            <w:vAlign w:val="center"/>
          </w:tcPr>
          <w:p w14:paraId="6CAC3A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r>
      <w:tr w14:paraId="12E325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23" w:hRule="atLeast"/>
          <w:jc w:val="center"/>
        </w:trPr>
        <w:tc>
          <w:tcPr>
            <w:tcW w:w="532" w:type="pct"/>
            <w:vMerge w:val="continue"/>
            <w:tcBorders>
              <w:tl2br w:val="nil"/>
              <w:tr2bl w:val="nil"/>
            </w:tcBorders>
            <w:noWrap w:val="0"/>
            <w:vAlign w:val="center"/>
          </w:tcPr>
          <w:p w14:paraId="759A53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1108" w:type="pct"/>
            <w:tcBorders>
              <w:tl2br w:val="nil"/>
              <w:tr2bl w:val="nil"/>
            </w:tcBorders>
            <w:noWrap w:val="0"/>
            <w:vAlign w:val="center"/>
          </w:tcPr>
          <w:p w14:paraId="176427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24小时平均</w:t>
            </w:r>
          </w:p>
        </w:tc>
        <w:tc>
          <w:tcPr>
            <w:tcW w:w="1141" w:type="pct"/>
            <w:tcBorders>
              <w:tl2br w:val="nil"/>
              <w:tr2bl w:val="nil"/>
            </w:tcBorders>
            <w:noWrap w:val="0"/>
            <w:vAlign w:val="center"/>
          </w:tcPr>
          <w:p w14:paraId="35DD6B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leftChars="0" w:right="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rPr>
              <w:t>300</w:t>
            </w:r>
          </w:p>
        </w:tc>
        <w:tc>
          <w:tcPr>
            <w:tcW w:w="735" w:type="pct"/>
            <w:tcBorders>
              <w:tl2br w:val="nil"/>
              <w:tr2bl w:val="nil"/>
            </w:tcBorders>
            <w:noWrap w:val="0"/>
            <w:vAlign w:val="center"/>
          </w:tcPr>
          <w:p w14:paraId="0CAFEB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leftChars="0" w:right="0" w:firstLine="0" w:firstLineChars="0"/>
              <w:jc w:val="center"/>
              <w:textAlignment w:val="auto"/>
              <w:rPr>
                <w:rFonts w:hint="default" w:ascii="Times New Roman" w:hAnsi="Times New Roman" w:eastAsia="宋体" w:cs="Times New Roman"/>
                <w:color w:val="auto"/>
                <w:kern w:val="2"/>
                <w:sz w:val="21"/>
                <w:szCs w:val="28"/>
                <w:highlight w:val="none"/>
                <w:lang w:val="en-US" w:eastAsia="zh-CN" w:bidi="ar-SA"/>
              </w:rPr>
            </w:pPr>
            <w:r>
              <w:rPr>
                <w:rFonts w:hint="default" w:ascii="Times New Roman" w:hAnsi="Times New Roman" w:eastAsia="宋体" w:cs="Times New Roman"/>
                <w:color w:val="auto"/>
                <w:sz w:val="21"/>
                <w:highlight w:val="none"/>
              </w:rPr>
              <w:t>300</w:t>
            </w:r>
          </w:p>
        </w:tc>
        <w:tc>
          <w:tcPr>
            <w:tcW w:w="526" w:type="pct"/>
            <w:vMerge w:val="continue"/>
            <w:tcBorders>
              <w:tl2br w:val="nil"/>
              <w:tr2bl w:val="nil"/>
            </w:tcBorders>
            <w:noWrap w:val="0"/>
            <w:vAlign w:val="center"/>
          </w:tcPr>
          <w:p w14:paraId="3C2FBC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c>
          <w:tcPr>
            <w:tcW w:w="955" w:type="pct"/>
            <w:vMerge w:val="continue"/>
            <w:tcBorders>
              <w:tl2br w:val="nil"/>
              <w:tr2bl w:val="nil"/>
            </w:tcBorders>
            <w:noWrap w:val="0"/>
            <w:vAlign w:val="center"/>
          </w:tcPr>
          <w:p w14:paraId="4D7203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113" w:right="0" w:firstLine="0" w:firstLineChars="0"/>
              <w:jc w:val="center"/>
              <w:textAlignment w:val="auto"/>
              <w:rPr>
                <w:rFonts w:hint="default" w:ascii="Times New Roman" w:hAnsi="Times New Roman" w:eastAsia="宋体" w:cs="Times New Roman"/>
                <w:color w:val="auto"/>
                <w:sz w:val="21"/>
                <w:highlight w:val="none"/>
              </w:rPr>
            </w:pPr>
          </w:p>
        </w:tc>
      </w:tr>
    </w:tbl>
    <w:p w14:paraId="32742AC8">
      <w:pPr>
        <w:pStyle w:val="15"/>
        <w:tabs>
          <w:tab w:val="left" w:pos="0"/>
          <w:tab w:val="left" w:pos="1080"/>
        </w:tabs>
        <w:spacing w:line="360" w:lineRule="auto"/>
        <w:ind w:left="420" w:leftChars="200" w:firstLine="0"/>
        <w:textAlignment w:val="baseline"/>
        <w:rPr>
          <w:color w:val="auto"/>
          <w:sz w:val="24"/>
        </w:rPr>
      </w:pPr>
      <w:r>
        <w:rPr>
          <w:rFonts w:hint="eastAsia"/>
          <w:color w:val="auto"/>
          <w:sz w:val="24"/>
        </w:rPr>
        <w:t>（2）</w:t>
      </w:r>
      <w:r>
        <w:rPr>
          <w:color w:val="auto"/>
          <w:sz w:val="24"/>
        </w:rPr>
        <w:t>地表水环境</w:t>
      </w:r>
    </w:p>
    <w:p w14:paraId="5AA65467">
      <w:pPr>
        <w:spacing w:line="360" w:lineRule="auto"/>
        <w:ind w:firstLine="480" w:firstLineChars="200"/>
        <w:rPr>
          <w:color w:val="auto"/>
          <w:sz w:val="24"/>
        </w:rPr>
      </w:pPr>
      <w:r>
        <w:rPr>
          <w:rFonts w:hint="default" w:ascii="Times New Roman" w:hAnsi="Times New Roman" w:eastAsia="宋体" w:cs="Times New Roman"/>
          <w:color w:val="auto"/>
          <w:sz w:val="24"/>
          <w:szCs w:val="24"/>
        </w:rPr>
        <w:t>项目评价区域地表水为淮河，执行《地表水环境质量标准》（GB3838-2002）中</w:t>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 3 \* ROMAN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III</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rPr>
        <w:t>类标准</w:t>
      </w:r>
      <w:r>
        <w:rPr>
          <w:rFonts w:hint="default" w:ascii="Times New Roman" w:hAnsi="Times New Roman" w:eastAsia="宋体" w:cs="Times New Roman"/>
          <w:b w:val="0"/>
          <w:bCs w:val="0"/>
          <w:color w:val="FF0000"/>
          <w:sz w:val="24"/>
          <w:szCs w:val="24"/>
          <w:lang w:eastAsia="zh-CN"/>
        </w:rPr>
        <w:t>（</w:t>
      </w:r>
      <w:r>
        <w:rPr>
          <w:rFonts w:hint="default" w:ascii="Times New Roman" w:hAnsi="Times New Roman" w:eastAsia="宋体" w:cs="Times New Roman"/>
          <w:b w:val="0"/>
          <w:bCs w:val="0"/>
          <w:color w:val="FF0000"/>
          <w:sz w:val="24"/>
          <w:szCs w:val="24"/>
        </w:rPr>
        <w:t>悬浮物无国家地表水环境质量标准限值，本次参照已废止的《地表水资源质量标准》</w:t>
      </w:r>
      <w:r>
        <w:rPr>
          <w:rFonts w:hint="default" w:ascii="Times New Roman" w:hAnsi="Times New Roman" w:eastAsia="宋体" w:cs="Times New Roman"/>
          <w:b w:val="0"/>
          <w:bCs w:val="0"/>
          <w:color w:val="FF0000"/>
          <w:sz w:val="24"/>
          <w:szCs w:val="24"/>
          <w:highlight w:val="none"/>
          <w:lang w:val="en-US" w:eastAsia="zh-CN"/>
        </w:rPr>
        <w:t>（SL63-94</w:t>
      </w:r>
      <w:r>
        <w:rPr>
          <w:rFonts w:hint="default" w:ascii="Times New Roman" w:hAnsi="Times New Roman" w:eastAsia="宋体" w:cs="Times New Roman"/>
          <w:b w:val="0"/>
          <w:bCs w:val="0"/>
          <w:color w:val="FF0000"/>
          <w:sz w:val="24"/>
          <w:szCs w:val="24"/>
          <w:lang w:eastAsia="zh-CN"/>
        </w:rPr>
        <w:t>）</w:t>
      </w:r>
      <w:r>
        <w:rPr>
          <w:rFonts w:hint="default" w:ascii="Times New Roman" w:hAnsi="Times New Roman" w:eastAsia="宋体" w:cs="Times New Roman"/>
          <w:b w:val="0"/>
          <w:bCs w:val="0"/>
          <w:color w:val="FF0000"/>
          <w:sz w:val="24"/>
          <w:szCs w:val="24"/>
        </w:rPr>
        <w:t>四类水域限值</w:t>
      </w:r>
      <w:r>
        <w:rPr>
          <w:rStyle w:val="58"/>
          <w:rFonts w:hint="default" w:ascii="Times New Roman" w:hAnsi="Times New Roman" w:eastAsia="宋体" w:cs="Times New Roman"/>
          <w:b w:val="0"/>
          <w:bCs w:val="0"/>
          <w:color w:val="FF0000"/>
          <w:sz w:val="24"/>
          <w:szCs w:val="24"/>
        </w:rPr>
        <w:t>60mg/L</w:t>
      </w:r>
      <w:r>
        <w:rPr>
          <w:rFonts w:hint="default" w:ascii="Times New Roman" w:hAnsi="Times New Roman" w:eastAsia="宋体" w:cs="Times New Roman"/>
          <w:b w:val="0"/>
          <w:bCs w:val="0"/>
          <w:color w:val="FF0000"/>
          <w:sz w:val="24"/>
          <w:szCs w:val="24"/>
          <w:lang w:eastAsia="zh-CN"/>
        </w:rPr>
        <w:t>）</w:t>
      </w:r>
      <w:r>
        <w:rPr>
          <w:color w:val="FF0000"/>
          <w:sz w:val="24"/>
        </w:rPr>
        <w:t>，</w:t>
      </w:r>
      <w:r>
        <w:rPr>
          <w:color w:val="auto"/>
          <w:sz w:val="24"/>
        </w:rPr>
        <w:t>见表2.2-</w:t>
      </w:r>
      <w:r>
        <w:rPr>
          <w:rFonts w:hint="eastAsia"/>
          <w:color w:val="auto"/>
          <w:sz w:val="24"/>
        </w:rPr>
        <w:t>4</w:t>
      </w:r>
      <w:r>
        <w:rPr>
          <w:color w:val="auto"/>
          <w:sz w:val="24"/>
        </w:rPr>
        <w:t>。</w:t>
      </w:r>
    </w:p>
    <w:p w14:paraId="668EAB03">
      <w:pPr>
        <w:pStyle w:val="29"/>
        <w:spacing w:line="400" w:lineRule="exact"/>
        <w:jc w:val="center"/>
        <w:rPr>
          <w:rFonts w:ascii="Times New Roman" w:hAnsi="Times New Roman" w:eastAsia="黑体"/>
          <w:color w:val="auto"/>
          <w:kern w:val="0"/>
          <w:sz w:val="24"/>
          <w:szCs w:val="24"/>
        </w:rPr>
      </w:pPr>
      <w:r>
        <w:rPr>
          <w:rFonts w:ascii="Times New Roman" w:hAnsi="Times New Roman" w:eastAsia="黑体"/>
          <w:color w:val="auto"/>
          <w:kern w:val="0"/>
          <w:sz w:val="24"/>
          <w:szCs w:val="24"/>
        </w:rPr>
        <w:t>表2.2-</w:t>
      </w:r>
      <w:r>
        <w:rPr>
          <w:rFonts w:hint="eastAsia" w:ascii="Times New Roman" w:hAnsi="Times New Roman" w:eastAsia="黑体"/>
          <w:color w:val="auto"/>
          <w:kern w:val="0"/>
          <w:sz w:val="24"/>
          <w:szCs w:val="24"/>
        </w:rPr>
        <w:t>4</w:t>
      </w:r>
      <w:r>
        <w:rPr>
          <w:rFonts w:ascii="Times New Roman" w:hAnsi="Times New Roman" w:eastAsia="黑体"/>
          <w:color w:val="auto"/>
          <w:kern w:val="0"/>
          <w:sz w:val="24"/>
          <w:szCs w:val="24"/>
        </w:rPr>
        <w:t xml:space="preserve">  地表水环境质量标准值表</w:t>
      </w:r>
      <w:r>
        <w:rPr>
          <w:rFonts w:hint="eastAsia" w:ascii="Times New Roman" w:hAnsi="Times New Roman" w:eastAsia="黑体"/>
          <w:color w:val="auto"/>
          <w:kern w:val="0"/>
          <w:sz w:val="24"/>
          <w:szCs w:val="24"/>
        </w:rPr>
        <w:t xml:space="preserve"> </w:t>
      </w:r>
      <w:r>
        <w:rPr>
          <w:rFonts w:ascii="Times New Roman" w:hAnsi="Times New Roman" w:eastAsia="黑体"/>
          <w:color w:val="auto"/>
          <w:kern w:val="0"/>
          <w:sz w:val="24"/>
          <w:szCs w:val="24"/>
        </w:rPr>
        <w:t xml:space="preserve">  </w:t>
      </w:r>
      <w:r>
        <w:rPr>
          <w:rFonts w:hint="eastAsia" w:ascii="Times New Roman" w:hAnsi="Times New Roman" w:eastAsia="黑体"/>
          <w:color w:val="auto"/>
          <w:kern w:val="0"/>
          <w:sz w:val="24"/>
          <w:szCs w:val="24"/>
        </w:rPr>
        <w:t>单位</w:t>
      </w:r>
      <w:r>
        <w:rPr>
          <w:rFonts w:ascii="Times New Roman" w:hAnsi="Times New Roman" w:eastAsia="黑体"/>
          <w:color w:val="auto"/>
          <w:kern w:val="0"/>
          <w:sz w:val="24"/>
          <w:szCs w:val="24"/>
        </w:rPr>
        <w:t>：mg/L，pH</w:t>
      </w:r>
      <w:r>
        <w:rPr>
          <w:rFonts w:hint="eastAsia" w:ascii="Times New Roman" w:hAnsi="Times New Roman" w:eastAsia="黑体"/>
          <w:color w:val="auto"/>
          <w:kern w:val="0"/>
          <w:sz w:val="24"/>
          <w:szCs w:val="24"/>
        </w:rPr>
        <w:t>无</w:t>
      </w:r>
      <w:r>
        <w:rPr>
          <w:rFonts w:ascii="Times New Roman" w:hAnsi="Times New Roman" w:eastAsia="黑体"/>
          <w:color w:val="auto"/>
          <w:kern w:val="0"/>
          <w:sz w:val="24"/>
          <w:szCs w:val="24"/>
        </w:rPr>
        <w:t>量纲</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95"/>
        <w:gridCol w:w="3022"/>
        <w:gridCol w:w="2206"/>
        <w:gridCol w:w="2181"/>
      </w:tblGrid>
      <w:tr w14:paraId="65F9ED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95" w:type="dxa"/>
            <w:noWrap w:val="0"/>
            <w:tcMar>
              <w:left w:w="17" w:type="dxa"/>
              <w:right w:w="17" w:type="dxa"/>
            </w:tcMar>
            <w:vAlign w:val="center"/>
          </w:tcPr>
          <w:p w14:paraId="119401CB">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地表水系</w:t>
            </w:r>
          </w:p>
        </w:tc>
        <w:tc>
          <w:tcPr>
            <w:tcW w:w="3022" w:type="dxa"/>
            <w:noWrap w:val="0"/>
            <w:tcMar>
              <w:left w:w="17" w:type="dxa"/>
              <w:right w:w="17" w:type="dxa"/>
            </w:tcMar>
            <w:vAlign w:val="center"/>
          </w:tcPr>
          <w:p w14:paraId="0ED2B9FC">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项目</w:t>
            </w:r>
          </w:p>
        </w:tc>
        <w:tc>
          <w:tcPr>
            <w:tcW w:w="2206" w:type="dxa"/>
            <w:noWrap w:val="0"/>
            <w:tcMar>
              <w:left w:w="17" w:type="dxa"/>
              <w:right w:w="17" w:type="dxa"/>
            </w:tcMar>
            <w:vAlign w:val="center"/>
          </w:tcPr>
          <w:p w14:paraId="1CBA3B94">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Ⅲ类标准限值</w:t>
            </w:r>
          </w:p>
        </w:tc>
        <w:tc>
          <w:tcPr>
            <w:tcW w:w="2181" w:type="dxa"/>
            <w:noWrap w:val="0"/>
            <w:tcMar>
              <w:left w:w="17" w:type="dxa"/>
              <w:right w:w="17" w:type="dxa"/>
            </w:tcMar>
            <w:vAlign w:val="center"/>
          </w:tcPr>
          <w:p w14:paraId="2B58AE17">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标准来源</w:t>
            </w:r>
          </w:p>
        </w:tc>
      </w:tr>
      <w:tr w14:paraId="663B69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95" w:type="dxa"/>
            <w:vMerge w:val="restart"/>
            <w:noWrap w:val="0"/>
            <w:tcMar>
              <w:left w:w="17" w:type="dxa"/>
              <w:right w:w="17" w:type="dxa"/>
            </w:tcMar>
            <w:vAlign w:val="center"/>
          </w:tcPr>
          <w:p w14:paraId="2BFBB10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淮河</w:t>
            </w:r>
          </w:p>
        </w:tc>
        <w:tc>
          <w:tcPr>
            <w:tcW w:w="3022" w:type="dxa"/>
            <w:noWrap w:val="0"/>
            <w:tcMar>
              <w:left w:w="17" w:type="dxa"/>
              <w:right w:w="17" w:type="dxa"/>
            </w:tcMar>
            <w:vAlign w:val="center"/>
          </w:tcPr>
          <w:p w14:paraId="39394B9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pH</w:t>
            </w:r>
          </w:p>
        </w:tc>
        <w:tc>
          <w:tcPr>
            <w:tcW w:w="2206" w:type="dxa"/>
            <w:noWrap w:val="0"/>
            <w:tcMar>
              <w:left w:w="17" w:type="dxa"/>
              <w:right w:w="17" w:type="dxa"/>
            </w:tcMar>
            <w:vAlign w:val="center"/>
          </w:tcPr>
          <w:p w14:paraId="467F2CD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6~9</w:t>
            </w:r>
          </w:p>
        </w:tc>
        <w:tc>
          <w:tcPr>
            <w:tcW w:w="2181" w:type="dxa"/>
            <w:vMerge w:val="restart"/>
            <w:noWrap w:val="0"/>
            <w:tcMar>
              <w:left w:w="17" w:type="dxa"/>
              <w:right w:w="17" w:type="dxa"/>
            </w:tcMar>
            <w:vAlign w:val="center"/>
          </w:tcPr>
          <w:p w14:paraId="4D523C6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《地表水环境质量标准》（GB3838-2002）中Ⅲ类标准</w:t>
            </w:r>
          </w:p>
        </w:tc>
      </w:tr>
      <w:tr w14:paraId="33F89F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95" w:type="dxa"/>
            <w:vMerge w:val="continue"/>
            <w:noWrap w:val="0"/>
            <w:tcMar>
              <w:left w:w="17" w:type="dxa"/>
              <w:right w:w="17" w:type="dxa"/>
            </w:tcMar>
            <w:vAlign w:val="center"/>
          </w:tcPr>
          <w:p w14:paraId="5F1DB9D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p>
        </w:tc>
        <w:tc>
          <w:tcPr>
            <w:tcW w:w="3022" w:type="dxa"/>
            <w:noWrap w:val="0"/>
            <w:tcMar>
              <w:left w:w="17" w:type="dxa"/>
              <w:right w:w="17" w:type="dxa"/>
            </w:tcMar>
            <w:vAlign w:val="center"/>
          </w:tcPr>
          <w:p w14:paraId="51F62B2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化学需氧量（COD）</w:t>
            </w:r>
          </w:p>
        </w:tc>
        <w:tc>
          <w:tcPr>
            <w:tcW w:w="2206" w:type="dxa"/>
            <w:noWrap w:val="0"/>
            <w:tcMar>
              <w:left w:w="17" w:type="dxa"/>
              <w:right w:w="17" w:type="dxa"/>
            </w:tcMar>
            <w:vAlign w:val="center"/>
          </w:tcPr>
          <w:p w14:paraId="30843F1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≤20</w:t>
            </w:r>
          </w:p>
        </w:tc>
        <w:tc>
          <w:tcPr>
            <w:tcW w:w="2181" w:type="dxa"/>
            <w:vMerge w:val="continue"/>
            <w:noWrap w:val="0"/>
            <w:tcMar>
              <w:left w:w="17" w:type="dxa"/>
              <w:right w:w="17" w:type="dxa"/>
            </w:tcMar>
            <w:vAlign w:val="center"/>
          </w:tcPr>
          <w:p w14:paraId="058F087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p>
        </w:tc>
      </w:tr>
      <w:tr w14:paraId="47B7E1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95" w:type="dxa"/>
            <w:vMerge w:val="continue"/>
            <w:noWrap w:val="0"/>
            <w:tcMar>
              <w:left w:w="17" w:type="dxa"/>
              <w:right w:w="17" w:type="dxa"/>
            </w:tcMar>
            <w:vAlign w:val="center"/>
          </w:tcPr>
          <w:p w14:paraId="18A55A5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p>
        </w:tc>
        <w:tc>
          <w:tcPr>
            <w:tcW w:w="3022" w:type="dxa"/>
            <w:noWrap w:val="0"/>
            <w:tcMar>
              <w:left w:w="17" w:type="dxa"/>
              <w:right w:w="17" w:type="dxa"/>
            </w:tcMar>
            <w:vAlign w:val="center"/>
          </w:tcPr>
          <w:p w14:paraId="035A5D3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五日生化需氧量（BOD</w:t>
            </w:r>
            <w:r>
              <w:rPr>
                <w:rFonts w:hint="default" w:ascii="Times New Roman" w:hAnsi="Times New Roman" w:cs="Times New Roman"/>
                <w:color w:val="auto"/>
                <w:vertAlign w:val="subscript"/>
              </w:rPr>
              <w:t>5</w:t>
            </w:r>
            <w:r>
              <w:rPr>
                <w:rFonts w:hint="default" w:ascii="Times New Roman" w:hAnsi="Times New Roman" w:cs="Times New Roman"/>
                <w:color w:val="auto"/>
              </w:rPr>
              <w:t>）</w:t>
            </w:r>
          </w:p>
        </w:tc>
        <w:tc>
          <w:tcPr>
            <w:tcW w:w="2206" w:type="dxa"/>
            <w:noWrap w:val="0"/>
            <w:tcMar>
              <w:left w:w="17" w:type="dxa"/>
              <w:right w:w="17" w:type="dxa"/>
            </w:tcMar>
            <w:vAlign w:val="center"/>
          </w:tcPr>
          <w:p w14:paraId="553900C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≤4</w:t>
            </w:r>
          </w:p>
        </w:tc>
        <w:tc>
          <w:tcPr>
            <w:tcW w:w="2181" w:type="dxa"/>
            <w:vMerge w:val="continue"/>
            <w:noWrap w:val="0"/>
            <w:tcMar>
              <w:left w:w="17" w:type="dxa"/>
              <w:right w:w="17" w:type="dxa"/>
            </w:tcMar>
            <w:vAlign w:val="center"/>
          </w:tcPr>
          <w:p w14:paraId="5FD80ED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p>
        </w:tc>
      </w:tr>
      <w:tr w14:paraId="375280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95" w:type="dxa"/>
            <w:vMerge w:val="continue"/>
            <w:noWrap w:val="0"/>
            <w:tcMar>
              <w:left w:w="17" w:type="dxa"/>
              <w:right w:w="17" w:type="dxa"/>
            </w:tcMar>
            <w:vAlign w:val="center"/>
          </w:tcPr>
          <w:p w14:paraId="60B7392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p>
        </w:tc>
        <w:tc>
          <w:tcPr>
            <w:tcW w:w="3022" w:type="dxa"/>
            <w:noWrap w:val="0"/>
            <w:tcMar>
              <w:left w:w="17" w:type="dxa"/>
              <w:right w:w="17" w:type="dxa"/>
            </w:tcMar>
            <w:vAlign w:val="center"/>
          </w:tcPr>
          <w:p w14:paraId="3E82525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氨氮（NH</w:t>
            </w:r>
            <w:r>
              <w:rPr>
                <w:rFonts w:hint="default" w:ascii="Times New Roman" w:hAnsi="Times New Roman" w:cs="Times New Roman"/>
                <w:color w:val="auto"/>
                <w:vertAlign w:val="subscript"/>
              </w:rPr>
              <w:t>3</w:t>
            </w:r>
            <w:r>
              <w:rPr>
                <w:rFonts w:hint="default" w:ascii="Times New Roman" w:hAnsi="Times New Roman" w:cs="Times New Roman"/>
                <w:color w:val="auto"/>
              </w:rPr>
              <w:t>-N）</w:t>
            </w:r>
          </w:p>
        </w:tc>
        <w:tc>
          <w:tcPr>
            <w:tcW w:w="2206" w:type="dxa"/>
            <w:noWrap w:val="0"/>
            <w:tcMar>
              <w:left w:w="17" w:type="dxa"/>
              <w:right w:w="17" w:type="dxa"/>
            </w:tcMar>
            <w:vAlign w:val="center"/>
          </w:tcPr>
          <w:p w14:paraId="712C2B6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≤1.0</w:t>
            </w:r>
          </w:p>
        </w:tc>
        <w:tc>
          <w:tcPr>
            <w:tcW w:w="2181" w:type="dxa"/>
            <w:vMerge w:val="continue"/>
            <w:noWrap w:val="0"/>
            <w:tcMar>
              <w:left w:w="17" w:type="dxa"/>
              <w:right w:w="17" w:type="dxa"/>
            </w:tcMar>
            <w:vAlign w:val="center"/>
          </w:tcPr>
          <w:p w14:paraId="4D4E8B0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p>
        </w:tc>
      </w:tr>
      <w:tr w14:paraId="172245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95" w:type="dxa"/>
            <w:vMerge w:val="continue"/>
            <w:noWrap w:val="0"/>
            <w:tcMar>
              <w:left w:w="17" w:type="dxa"/>
              <w:right w:w="17" w:type="dxa"/>
            </w:tcMar>
            <w:vAlign w:val="center"/>
          </w:tcPr>
          <w:p w14:paraId="50335A8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p>
        </w:tc>
        <w:tc>
          <w:tcPr>
            <w:tcW w:w="3022" w:type="dxa"/>
            <w:noWrap w:val="0"/>
            <w:tcMar>
              <w:left w:w="17" w:type="dxa"/>
              <w:right w:w="17" w:type="dxa"/>
            </w:tcMar>
            <w:vAlign w:val="center"/>
          </w:tcPr>
          <w:p w14:paraId="53DA0A3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总磷（TP）</w:t>
            </w:r>
          </w:p>
        </w:tc>
        <w:tc>
          <w:tcPr>
            <w:tcW w:w="2206" w:type="dxa"/>
            <w:noWrap w:val="0"/>
            <w:tcMar>
              <w:left w:w="17" w:type="dxa"/>
              <w:right w:w="17" w:type="dxa"/>
            </w:tcMar>
            <w:vAlign w:val="center"/>
          </w:tcPr>
          <w:p w14:paraId="2B36662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≤0.2</w:t>
            </w:r>
          </w:p>
        </w:tc>
        <w:tc>
          <w:tcPr>
            <w:tcW w:w="2181" w:type="dxa"/>
            <w:vMerge w:val="continue"/>
            <w:noWrap w:val="0"/>
            <w:tcMar>
              <w:left w:w="17" w:type="dxa"/>
              <w:right w:w="17" w:type="dxa"/>
            </w:tcMar>
            <w:vAlign w:val="center"/>
          </w:tcPr>
          <w:p w14:paraId="64C8D53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p>
        </w:tc>
      </w:tr>
      <w:tr w14:paraId="44132A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95" w:type="dxa"/>
            <w:vMerge w:val="continue"/>
            <w:noWrap w:val="0"/>
            <w:tcMar>
              <w:left w:w="17" w:type="dxa"/>
              <w:right w:w="17" w:type="dxa"/>
            </w:tcMar>
            <w:vAlign w:val="center"/>
          </w:tcPr>
          <w:p w14:paraId="62512B1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p>
        </w:tc>
        <w:tc>
          <w:tcPr>
            <w:tcW w:w="3022" w:type="dxa"/>
            <w:noWrap w:val="0"/>
            <w:tcMar>
              <w:left w:w="17" w:type="dxa"/>
              <w:right w:w="17" w:type="dxa"/>
            </w:tcMar>
            <w:vAlign w:val="center"/>
          </w:tcPr>
          <w:p w14:paraId="61A6CED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bCs/>
                <w:color w:val="auto"/>
              </w:rPr>
              <w:t>石油类</w:t>
            </w:r>
          </w:p>
        </w:tc>
        <w:tc>
          <w:tcPr>
            <w:tcW w:w="2206" w:type="dxa"/>
            <w:noWrap w:val="0"/>
            <w:tcMar>
              <w:left w:w="17" w:type="dxa"/>
              <w:right w:w="17" w:type="dxa"/>
            </w:tcMar>
            <w:vAlign w:val="center"/>
          </w:tcPr>
          <w:p w14:paraId="0B1E5FD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≤0.05</w:t>
            </w:r>
          </w:p>
        </w:tc>
        <w:tc>
          <w:tcPr>
            <w:tcW w:w="2181" w:type="dxa"/>
            <w:vMerge w:val="continue"/>
            <w:noWrap w:val="0"/>
            <w:tcMar>
              <w:left w:w="17" w:type="dxa"/>
              <w:right w:w="17" w:type="dxa"/>
            </w:tcMar>
            <w:vAlign w:val="center"/>
          </w:tcPr>
          <w:p w14:paraId="7684FD5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p>
        </w:tc>
      </w:tr>
      <w:tr w14:paraId="281453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95" w:type="dxa"/>
            <w:vMerge w:val="continue"/>
            <w:noWrap w:val="0"/>
            <w:tcMar>
              <w:left w:w="17" w:type="dxa"/>
              <w:right w:w="17" w:type="dxa"/>
            </w:tcMar>
            <w:vAlign w:val="center"/>
          </w:tcPr>
          <w:p w14:paraId="5A3B333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p>
        </w:tc>
        <w:tc>
          <w:tcPr>
            <w:tcW w:w="3022" w:type="dxa"/>
            <w:noWrap w:val="0"/>
            <w:tcMar>
              <w:left w:w="17" w:type="dxa"/>
              <w:right w:w="17" w:type="dxa"/>
            </w:tcMar>
            <w:vAlign w:val="center"/>
          </w:tcPr>
          <w:p w14:paraId="16B83B56">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lang w:val="en-US" w:eastAsia="zh-CN"/>
              </w:rPr>
            </w:pPr>
            <w:r>
              <w:rPr>
                <w:rFonts w:hint="eastAsia" w:ascii="Times New Roman" w:hAnsi="Times New Roman" w:cs="Times New Roman"/>
                <w:bCs/>
                <w:color w:val="auto"/>
                <w:lang w:val="en-US" w:eastAsia="zh-CN"/>
              </w:rPr>
              <w:t>SS</w:t>
            </w:r>
          </w:p>
        </w:tc>
        <w:tc>
          <w:tcPr>
            <w:tcW w:w="2206" w:type="dxa"/>
            <w:noWrap w:val="0"/>
            <w:tcMar>
              <w:left w:w="17" w:type="dxa"/>
              <w:right w:w="17" w:type="dxa"/>
            </w:tcMar>
            <w:vAlign w:val="center"/>
          </w:tcPr>
          <w:p w14:paraId="404D7C7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rPr>
            </w:pPr>
            <w:r>
              <w:rPr>
                <w:rFonts w:hint="default"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lang w:val="en-US" w:eastAsia="zh-CN"/>
              </w:rPr>
              <w:t>60</w:t>
            </w:r>
          </w:p>
        </w:tc>
        <w:tc>
          <w:tcPr>
            <w:tcW w:w="2181" w:type="dxa"/>
            <w:noWrap w:val="0"/>
            <w:tcMar>
              <w:left w:w="17" w:type="dxa"/>
              <w:right w:w="17" w:type="dxa"/>
            </w:tcMar>
            <w:vAlign w:val="center"/>
          </w:tcPr>
          <w:p w14:paraId="709B28A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18"/>
                <w:szCs w:val="18"/>
              </w:rPr>
            </w:pPr>
            <w:r>
              <w:rPr>
                <w:rFonts w:hint="default" w:ascii="Times New Roman" w:hAnsi="Times New Roman" w:eastAsia="宋体" w:cs="Times New Roman"/>
                <w:color w:val="auto"/>
                <w:sz w:val="21"/>
                <w:szCs w:val="21"/>
                <w:highlight w:val="none"/>
                <w:lang w:val="en-US" w:eastAsia="zh-CN"/>
              </w:rPr>
              <w:t>《地表水资源质量标准》（SL63-94）</w:t>
            </w:r>
          </w:p>
        </w:tc>
      </w:tr>
    </w:tbl>
    <w:p w14:paraId="4337DA0F">
      <w:pPr>
        <w:pStyle w:val="15"/>
        <w:tabs>
          <w:tab w:val="left" w:pos="0"/>
          <w:tab w:val="left" w:pos="1080"/>
        </w:tabs>
        <w:spacing w:line="360" w:lineRule="auto"/>
        <w:ind w:firstLine="480" w:firstLineChars="200"/>
        <w:textAlignment w:val="baseline"/>
        <w:rPr>
          <w:color w:val="auto"/>
          <w:sz w:val="24"/>
        </w:rPr>
      </w:pPr>
      <w:r>
        <w:rPr>
          <w:rFonts w:hint="eastAsia"/>
          <w:color w:val="auto"/>
          <w:sz w:val="24"/>
        </w:rPr>
        <w:t>（3）</w:t>
      </w:r>
      <w:r>
        <w:rPr>
          <w:color w:val="auto"/>
          <w:sz w:val="24"/>
        </w:rPr>
        <w:t>声环境</w:t>
      </w:r>
    </w:p>
    <w:p w14:paraId="723FC599">
      <w:pPr>
        <w:spacing w:line="360" w:lineRule="auto"/>
        <w:ind w:firstLine="480" w:firstLineChars="200"/>
        <w:rPr>
          <w:color w:val="auto"/>
          <w:sz w:val="24"/>
        </w:rPr>
      </w:pPr>
      <w:r>
        <w:rPr>
          <w:color w:val="auto"/>
          <w:sz w:val="24"/>
        </w:rPr>
        <w:t>项目所在地声环境执行《声环境质量标准》</w:t>
      </w:r>
      <w:r>
        <w:rPr>
          <w:rFonts w:hint="eastAsia"/>
          <w:color w:val="auto"/>
          <w:sz w:val="24"/>
          <w:lang w:eastAsia="zh-CN"/>
        </w:rPr>
        <w:t>（GB 3096</w:t>
      </w:r>
      <w:r>
        <w:rPr>
          <w:color w:val="auto"/>
          <w:sz w:val="24"/>
        </w:rPr>
        <w:t>-2008)中2类标准；其中内河航道边界线35m范围内执行《声环境质量标准》</w:t>
      </w:r>
      <w:r>
        <w:rPr>
          <w:rFonts w:hint="eastAsia"/>
          <w:color w:val="auto"/>
          <w:sz w:val="24"/>
          <w:lang w:eastAsia="zh-CN"/>
        </w:rPr>
        <w:t>（GB 3096</w:t>
      </w:r>
      <w:r>
        <w:rPr>
          <w:color w:val="auto"/>
          <w:sz w:val="24"/>
        </w:rPr>
        <w:t>-2008)中4a类标准，具体标准值见表2.2-</w:t>
      </w:r>
      <w:r>
        <w:rPr>
          <w:rFonts w:hint="eastAsia"/>
          <w:color w:val="auto"/>
          <w:sz w:val="24"/>
        </w:rPr>
        <w:t>5</w:t>
      </w:r>
      <w:r>
        <w:rPr>
          <w:color w:val="auto"/>
          <w:sz w:val="24"/>
        </w:rPr>
        <w:t>。</w:t>
      </w:r>
    </w:p>
    <w:p w14:paraId="09821574">
      <w:pPr>
        <w:pStyle w:val="29"/>
        <w:spacing w:line="400" w:lineRule="exact"/>
        <w:jc w:val="center"/>
        <w:rPr>
          <w:rFonts w:ascii="Times New Roman" w:hAnsi="Times New Roman" w:eastAsia="黑体"/>
          <w:color w:val="auto"/>
          <w:kern w:val="0"/>
          <w:sz w:val="24"/>
          <w:szCs w:val="24"/>
        </w:rPr>
      </w:pPr>
      <w:r>
        <w:rPr>
          <w:rFonts w:ascii="Times New Roman" w:hAnsi="Times New Roman" w:eastAsia="黑体"/>
          <w:color w:val="auto"/>
          <w:kern w:val="0"/>
          <w:sz w:val="24"/>
          <w:szCs w:val="24"/>
        </w:rPr>
        <w:t>表2.2-</w:t>
      </w:r>
      <w:r>
        <w:rPr>
          <w:rFonts w:hint="eastAsia" w:ascii="Times New Roman" w:hAnsi="Times New Roman" w:eastAsia="黑体"/>
          <w:color w:val="auto"/>
          <w:kern w:val="0"/>
          <w:sz w:val="24"/>
          <w:szCs w:val="24"/>
        </w:rPr>
        <w:t>5</w:t>
      </w:r>
      <w:r>
        <w:rPr>
          <w:rFonts w:ascii="Times New Roman" w:hAnsi="Times New Roman" w:eastAsia="黑体"/>
          <w:color w:val="auto"/>
          <w:kern w:val="0"/>
          <w:sz w:val="24"/>
          <w:szCs w:val="24"/>
        </w:rPr>
        <w:t xml:space="preserve">  声环境质量标准值表</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60"/>
        <w:gridCol w:w="3822"/>
        <w:gridCol w:w="2922"/>
      </w:tblGrid>
      <w:tr w14:paraId="164209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60" w:type="dxa"/>
            <w:noWrap w:val="0"/>
            <w:tcMar>
              <w:left w:w="17" w:type="dxa"/>
              <w:right w:w="17" w:type="dxa"/>
            </w:tcMar>
            <w:vAlign w:val="center"/>
          </w:tcPr>
          <w:p w14:paraId="73EF1B62">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声环境功能区类别</w:t>
            </w:r>
          </w:p>
        </w:tc>
        <w:tc>
          <w:tcPr>
            <w:tcW w:w="3822" w:type="dxa"/>
            <w:noWrap w:val="0"/>
            <w:tcMar>
              <w:left w:w="17" w:type="dxa"/>
              <w:right w:w="17" w:type="dxa"/>
            </w:tcMar>
            <w:vAlign w:val="center"/>
          </w:tcPr>
          <w:p w14:paraId="6F5D9286">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昼间</w:t>
            </w:r>
          </w:p>
        </w:tc>
        <w:tc>
          <w:tcPr>
            <w:tcW w:w="2922" w:type="dxa"/>
            <w:noWrap w:val="0"/>
            <w:tcMar>
              <w:left w:w="17" w:type="dxa"/>
              <w:right w:w="17" w:type="dxa"/>
            </w:tcMar>
            <w:vAlign w:val="center"/>
          </w:tcPr>
          <w:p w14:paraId="05F118D0">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夜间</w:t>
            </w:r>
          </w:p>
        </w:tc>
      </w:tr>
      <w:tr w14:paraId="129ABA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60" w:type="dxa"/>
            <w:noWrap w:val="0"/>
            <w:tcMar>
              <w:left w:w="17" w:type="dxa"/>
              <w:right w:w="17" w:type="dxa"/>
            </w:tcMar>
            <w:vAlign w:val="center"/>
          </w:tcPr>
          <w:p w14:paraId="24C933A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2类</w:t>
            </w:r>
          </w:p>
        </w:tc>
        <w:tc>
          <w:tcPr>
            <w:tcW w:w="3822" w:type="dxa"/>
            <w:noWrap w:val="0"/>
            <w:tcMar>
              <w:left w:w="17" w:type="dxa"/>
              <w:right w:w="17" w:type="dxa"/>
            </w:tcMar>
            <w:vAlign w:val="center"/>
          </w:tcPr>
          <w:p w14:paraId="43C84F7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60dB(A)</w:t>
            </w:r>
          </w:p>
        </w:tc>
        <w:tc>
          <w:tcPr>
            <w:tcW w:w="2922" w:type="dxa"/>
            <w:noWrap w:val="0"/>
            <w:tcMar>
              <w:left w:w="17" w:type="dxa"/>
              <w:right w:w="17" w:type="dxa"/>
            </w:tcMar>
            <w:vAlign w:val="center"/>
          </w:tcPr>
          <w:p w14:paraId="7BE3BBF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50dB(A)</w:t>
            </w:r>
          </w:p>
        </w:tc>
      </w:tr>
      <w:tr w14:paraId="492108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60" w:type="dxa"/>
            <w:noWrap w:val="0"/>
            <w:tcMar>
              <w:left w:w="17" w:type="dxa"/>
              <w:right w:w="17" w:type="dxa"/>
            </w:tcMar>
            <w:vAlign w:val="center"/>
          </w:tcPr>
          <w:p w14:paraId="066B025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4a类</w:t>
            </w:r>
          </w:p>
        </w:tc>
        <w:tc>
          <w:tcPr>
            <w:tcW w:w="3822" w:type="dxa"/>
            <w:noWrap w:val="0"/>
            <w:tcMar>
              <w:left w:w="17" w:type="dxa"/>
              <w:right w:w="17" w:type="dxa"/>
            </w:tcMar>
            <w:vAlign w:val="center"/>
          </w:tcPr>
          <w:p w14:paraId="53E64EF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70dB(A)</w:t>
            </w:r>
          </w:p>
        </w:tc>
        <w:tc>
          <w:tcPr>
            <w:tcW w:w="2922" w:type="dxa"/>
            <w:noWrap w:val="0"/>
            <w:tcMar>
              <w:left w:w="17" w:type="dxa"/>
              <w:right w:w="17" w:type="dxa"/>
            </w:tcMar>
            <w:vAlign w:val="center"/>
          </w:tcPr>
          <w:p w14:paraId="52EE88B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55dB(A)</w:t>
            </w:r>
          </w:p>
        </w:tc>
      </w:tr>
      <w:tr w14:paraId="4FFDCA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360" w:type="dxa"/>
            <w:noWrap w:val="0"/>
            <w:tcMar>
              <w:left w:w="17" w:type="dxa"/>
              <w:right w:w="17" w:type="dxa"/>
            </w:tcMar>
            <w:vAlign w:val="center"/>
          </w:tcPr>
          <w:p w14:paraId="60BB8C8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标准来源</w:t>
            </w:r>
          </w:p>
        </w:tc>
        <w:tc>
          <w:tcPr>
            <w:tcW w:w="6744" w:type="dxa"/>
            <w:gridSpan w:val="2"/>
            <w:noWrap w:val="0"/>
            <w:tcMar>
              <w:left w:w="17" w:type="dxa"/>
              <w:right w:w="17" w:type="dxa"/>
            </w:tcMar>
            <w:vAlign w:val="center"/>
          </w:tcPr>
          <w:p w14:paraId="435A44C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《声环境质量标准》（GB3096-2008）</w:t>
            </w:r>
          </w:p>
        </w:tc>
      </w:tr>
    </w:tbl>
    <w:p w14:paraId="0FB85A09">
      <w:pPr>
        <w:pStyle w:val="15"/>
        <w:tabs>
          <w:tab w:val="left" w:pos="0"/>
          <w:tab w:val="left" w:pos="1080"/>
        </w:tabs>
        <w:spacing w:line="360" w:lineRule="auto"/>
        <w:ind w:firstLine="480" w:firstLineChars="200"/>
        <w:textAlignment w:val="baseline"/>
        <w:rPr>
          <w:color w:val="auto"/>
          <w:sz w:val="24"/>
        </w:rPr>
      </w:pPr>
      <w:r>
        <w:rPr>
          <w:rFonts w:hint="eastAsia"/>
          <w:color w:val="auto"/>
          <w:sz w:val="24"/>
        </w:rPr>
        <w:t>（4）</w:t>
      </w:r>
      <w:r>
        <w:rPr>
          <w:color w:val="auto"/>
          <w:sz w:val="24"/>
        </w:rPr>
        <w:t>底泥环境</w:t>
      </w:r>
    </w:p>
    <w:p w14:paraId="63EF8C4D">
      <w:pPr>
        <w:spacing w:line="360" w:lineRule="auto"/>
        <w:ind w:firstLine="480" w:firstLineChars="200"/>
        <w:rPr>
          <w:color w:val="auto"/>
          <w:sz w:val="24"/>
        </w:rPr>
      </w:pPr>
      <w:r>
        <w:rPr>
          <w:color w:val="auto"/>
          <w:sz w:val="24"/>
        </w:rPr>
        <w:t xml:space="preserve">本项目所在处淮河底泥环境参照执行《土壤环境质量 </w:t>
      </w:r>
      <w:r>
        <w:rPr>
          <w:rFonts w:hint="eastAsia"/>
          <w:color w:val="auto"/>
          <w:sz w:val="24"/>
        </w:rPr>
        <w:t>农</w:t>
      </w:r>
      <w:r>
        <w:rPr>
          <w:color w:val="auto"/>
          <w:sz w:val="24"/>
        </w:rPr>
        <w:t>用地土壤污染风险管控标准（试行）》</w:t>
      </w:r>
      <w:r>
        <w:rPr>
          <w:rFonts w:hint="eastAsia"/>
          <w:color w:val="auto"/>
          <w:sz w:val="24"/>
          <w:lang w:eastAsia="zh-CN"/>
        </w:rPr>
        <w:t>（</w:t>
      </w:r>
      <w:r>
        <w:rPr>
          <w:color w:val="auto"/>
          <w:sz w:val="24"/>
        </w:rPr>
        <w:t>GB15618-2018)中</w:t>
      </w:r>
      <w:r>
        <w:rPr>
          <w:rFonts w:hint="eastAsia"/>
          <w:color w:val="auto"/>
          <w:sz w:val="24"/>
        </w:rPr>
        <w:t>“水田”</w:t>
      </w:r>
      <w:r>
        <w:rPr>
          <w:color w:val="auto"/>
          <w:sz w:val="24"/>
        </w:rPr>
        <w:t>风险筛选值标准，具体标准值见表2.2-</w:t>
      </w:r>
      <w:r>
        <w:rPr>
          <w:rFonts w:hint="eastAsia"/>
          <w:color w:val="auto"/>
          <w:sz w:val="24"/>
        </w:rPr>
        <w:t>6</w:t>
      </w:r>
      <w:r>
        <w:rPr>
          <w:color w:val="auto"/>
          <w:sz w:val="24"/>
        </w:rPr>
        <w:t>。</w:t>
      </w:r>
    </w:p>
    <w:p w14:paraId="4BA885BA">
      <w:pPr>
        <w:pStyle w:val="29"/>
        <w:spacing w:line="400" w:lineRule="exact"/>
        <w:jc w:val="center"/>
        <w:rPr>
          <w:rFonts w:ascii="Times New Roman" w:hAnsi="Times New Roman" w:eastAsia="黑体"/>
          <w:color w:val="auto"/>
          <w:kern w:val="0"/>
          <w:sz w:val="24"/>
          <w:szCs w:val="24"/>
        </w:rPr>
      </w:pPr>
      <w:r>
        <w:rPr>
          <w:rFonts w:ascii="Times New Roman" w:hAnsi="Times New Roman" w:eastAsia="黑体"/>
          <w:color w:val="auto"/>
          <w:kern w:val="0"/>
          <w:sz w:val="24"/>
          <w:szCs w:val="24"/>
        </w:rPr>
        <w:t>表2.2-</w:t>
      </w:r>
      <w:r>
        <w:rPr>
          <w:rFonts w:hint="eastAsia" w:ascii="Times New Roman" w:hAnsi="Times New Roman" w:eastAsia="黑体"/>
          <w:color w:val="auto"/>
          <w:kern w:val="0"/>
          <w:sz w:val="24"/>
          <w:szCs w:val="24"/>
        </w:rPr>
        <w:t>6</w:t>
      </w:r>
      <w:r>
        <w:rPr>
          <w:rFonts w:ascii="Times New Roman" w:hAnsi="Times New Roman" w:eastAsia="黑体"/>
          <w:color w:val="auto"/>
          <w:kern w:val="0"/>
          <w:sz w:val="24"/>
          <w:szCs w:val="24"/>
        </w:rPr>
        <w:t xml:space="preserve">  </w:t>
      </w:r>
      <w:r>
        <w:rPr>
          <w:rFonts w:hint="eastAsia" w:ascii="Times New Roman" w:hAnsi="Times New Roman" w:eastAsia="黑体"/>
          <w:color w:val="auto"/>
          <w:kern w:val="0"/>
          <w:sz w:val="24"/>
          <w:szCs w:val="24"/>
        </w:rPr>
        <w:t>农</w:t>
      </w:r>
      <w:r>
        <w:rPr>
          <w:rFonts w:ascii="Times New Roman" w:hAnsi="Times New Roman" w:eastAsia="黑体"/>
          <w:color w:val="auto"/>
          <w:kern w:val="0"/>
          <w:sz w:val="24"/>
          <w:szCs w:val="24"/>
        </w:rPr>
        <w:t>用地土壤污染风险筛选值</w:t>
      </w:r>
      <w:r>
        <w:rPr>
          <w:rFonts w:hint="eastAsia" w:ascii="Times New Roman" w:hAnsi="Times New Roman" w:eastAsia="黑体"/>
          <w:color w:val="auto"/>
          <w:kern w:val="0"/>
          <w:sz w:val="24"/>
          <w:szCs w:val="24"/>
        </w:rPr>
        <w:t>（基本项目）</w:t>
      </w:r>
      <w:r>
        <w:rPr>
          <w:rFonts w:ascii="Times New Roman" w:hAnsi="Times New Roman" w:eastAsia="黑体"/>
          <w:color w:val="auto"/>
          <w:kern w:val="0"/>
          <w:sz w:val="24"/>
          <w:szCs w:val="24"/>
        </w:rPr>
        <w:t xml:space="preserve">   单位：mg/kg</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6"/>
        <w:gridCol w:w="850"/>
        <w:gridCol w:w="851"/>
        <w:gridCol w:w="1559"/>
        <w:gridCol w:w="1559"/>
        <w:gridCol w:w="1560"/>
        <w:gridCol w:w="1885"/>
      </w:tblGrid>
      <w:tr w14:paraId="644DEA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96" w:type="dxa"/>
            <w:vMerge w:val="restart"/>
            <w:noWrap w:val="0"/>
            <w:vAlign w:val="center"/>
          </w:tcPr>
          <w:p w14:paraId="14E262D7">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序号</w:t>
            </w:r>
          </w:p>
        </w:tc>
        <w:tc>
          <w:tcPr>
            <w:tcW w:w="1701" w:type="dxa"/>
            <w:gridSpan w:val="2"/>
            <w:vMerge w:val="restart"/>
            <w:noWrap w:val="0"/>
            <w:vAlign w:val="center"/>
          </w:tcPr>
          <w:p w14:paraId="7530A309">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污染物项目</w:t>
            </w:r>
            <w:r>
              <w:rPr>
                <w:rFonts w:hint="default" w:ascii="Times New Roman" w:hAnsi="Times New Roman" w:cs="Times New Roman"/>
                <w:b/>
                <w:color w:val="auto"/>
                <w:vertAlign w:val="superscript"/>
              </w:rPr>
              <w:fldChar w:fldCharType="begin"/>
            </w:r>
            <w:r>
              <w:rPr>
                <w:rFonts w:hint="default" w:ascii="Times New Roman" w:hAnsi="Times New Roman" w:cs="Times New Roman"/>
                <w:b/>
                <w:color w:val="auto"/>
                <w:vertAlign w:val="superscript"/>
              </w:rPr>
              <w:instrText xml:space="preserve"> = 1 \* GB3 </w:instrText>
            </w:r>
            <w:r>
              <w:rPr>
                <w:rFonts w:hint="default" w:ascii="Times New Roman" w:hAnsi="Times New Roman" w:cs="Times New Roman"/>
                <w:b/>
                <w:color w:val="auto"/>
                <w:vertAlign w:val="superscript"/>
              </w:rPr>
              <w:fldChar w:fldCharType="separate"/>
            </w:r>
            <w:r>
              <w:rPr>
                <w:rFonts w:hint="eastAsia" w:ascii="宋体" w:hAnsi="宋体" w:cs="宋体"/>
                <w:b/>
                <w:color w:val="auto"/>
                <w:vertAlign w:val="superscript"/>
              </w:rPr>
              <w:t>①</w:t>
            </w:r>
            <w:r>
              <w:rPr>
                <w:rFonts w:hint="default" w:ascii="Times New Roman" w:hAnsi="Times New Roman" w:cs="Times New Roman"/>
                <w:b/>
                <w:color w:val="auto"/>
                <w:vertAlign w:val="superscript"/>
              </w:rPr>
              <w:fldChar w:fldCharType="end"/>
            </w:r>
            <w:r>
              <w:rPr>
                <w:rFonts w:hint="default" w:ascii="Times New Roman" w:hAnsi="Times New Roman" w:cs="Times New Roman"/>
                <w:b/>
                <w:color w:val="auto"/>
                <w:vertAlign w:val="superscript"/>
              </w:rPr>
              <w:fldChar w:fldCharType="begin"/>
            </w:r>
            <w:r>
              <w:rPr>
                <w:rFonts w:hint="default" w:ascii="Times New Roman" w:hAnsi="Times New Roman" w:cs="Times New Roman"/>
                <w:b/>
                <w:color w:val="auto"/>
                <w:vertAlign w:val="superscript"/>
              </w:rPr>
              <w:instrText xml:space="preserve"> = 2 \* GB3 </w:instrText>
            </w:r>
            <w:r>
              <w:rPr>
                <w:rFonts w:hint="default" w:ascii="Times New Roman" w:hAnsi="Times New Roman" w:cs="Times New Roman"/>
                <w:b/>
                <w:color w:val="auto"/>
                <w:vertAlign w:val="superscript"/>
              </w:rPr>
              <w:fldChar w:fldCharType="separate"/>
            </w:r>
            <w:r>
              <w:rPr>
                <w:rFonts w:hint="eastAsia" w:ascii="宋体" w:hAnsi="宋体" w:cs="宋体"/>
                <w:b/>
                <w:color w:val="auto"/>
                <w:vertAlign w:val="superscript"/>
              </w:rPr>
              <w:t>②</w:t>
            </w:r>
            <w:r>
              <w:rPr>
                <w:rFonts w:hint="default" w:ascii="Times New Roman" w:hAnsi="Times New Roman" w:cs="Times New Roman"/>
                <w:b/>
                <w:color w:val="auto"/>
                <w:vertAlign w:val="superscript"/>
              </w:rPr>
              <w:fldChar w:fldCharType="end"/>
            </w:r>
          </w:p>
        </w:tc>
        <w:tc>
          <w:tcPr>
            <w:tcW w:w="6563" w:type="dxa"/>
            <w:gridSpan w:val="4"/>
            <w:noWrap w:val="0"/>
            <w:vAlign w:val="center"/>
          </w:tcPr>
          <w:p w14:paraId="469E3DB0">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风险筛选值</w:t>
            </w:r>
          </w:p>
        </w:tc>
      </w:tr>
      <w:tr w14:paraId="55A4B2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96" w:type="dxa"/>
            <w:vMerge w:val="continue"/>
            <w:noWrap w:val="0"/>
            <w:vAlign w:val="center"/>
          </w:tcPr>
          <w:p w14:paraId="40088600">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p>
        </w:tc>
        <w:tc>
          <w:tcPr>
            <w:tcW w:w="1701" w:type="dxa"/>
            <w:gridSpan w:val="2"/>
            <w:vMerge w:val="continue"/>
            <w:noWrap w:val="0"/>
            <w:vAlign w:val="center"/>
          </w:tcPr>
          <w:p w14:paraId="2BF86D22">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p>
        </w:tc>
        <w:tc>
          <w:tcPr>
            <w:tcW w:w="1559" w:type="dxa"/>
            <w:noWrap w:val="0"/>
            <w:vAlign w:val="center"/>
          </w:tcPr>
          <w:p w14:paraId="0366228B">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pH≤5.5</w:t>
            </w:r>
          </w:p>
        </w:tc>
        <w:tc>
          <w:tcPr>
            <w:tcW w:w="1559" w:type="dxa"/>
            <w:noWrap w:val="0"/>
            <w:vAlign w:val="center"/>
          </w:tcPr>
          <w:p w14:paraId="14339243">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5.5＜pH≤6.5</w:t>
            </w:r>
          </w:p>
        </w:tc>
        <w:tc>
          <w:tcPr>
            <w:tcW w:w="1560" w:type="dxa"/>
            <w:noWrap w:val="0"/>
            <w:vAlign w:val="center"/>
          </w:tcPr>
          <w:p w14:paraId="00BB80AC">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6.5＜pH≤7.5</w:t>
            </w:r>
          </w:p>
        </w:tc>
        <w:tc>
          <w:tcPr>
            <w:tcW w:w="1885" w:type="dxa"/>
            <w:noWrap w:val="0"/>
            <w:vAlign w:val="center"/>
          </w:tcPr>
          <w:p w14:paraId="53BC4073">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pH＞7.5</w:t>
            </w:r>
          </w:p>
        </w:tc>
      </w:tr>
      <w:tr w14:paraId="2D34A6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96" w:type="dxa"/>
            <w:vMerge w:val="restart"/>
            <w:noWrap w:val="0"/>
            <w:vAlign w:val="center"/>
          </w:tcPr>
          <w:p w14:paraId="6FD6528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850" w:type="dxa"/>
            <w:vMerge w:val="restart"/>
            <w:noWrap w:val="0"/>
            <w:vAlign w:val="center"/>
          </w:tcPr>
          <w:p w14:paraId="15F206A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镉</w:t>
            </w:r>
          </w:p>
        </w:tc>
        <w:tc>
          <w:tcPr>
            <w:tcW w:w="851" w:type="dxa"/>
            <w:noWrap w:val="0"/>
            <w:vAlign w:val="center"/>
          </w:tcPr>
          <w:p w14:paraId="0B9C67A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水田</w:t>
            </w:r>
          </w:p>
        </w:tc>
        <w:tc>
          <w:tcPr>
            <w:tcW w:w="1559" w:type="dxa"/>
            <w:noWrap w:val="0"/>
            <w:vAlign w:val="center"/>
          </w:tcPr>
          <w:p w14:paraId="19B7946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0.3</w:t>
            </w:r>
          </w:p>
        </w:tc>
        <w:tc>
          <w:tcPr>
            <w:tcW w:w="1559" w:type="dxa"/>
            <w:noWrap w:val="0"/>
            <w:vAlign w:val="center"/>
          </w:tcPr>
          <w:p w14:paraId="18865D3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0.4</w:t>
            </w:r>
          </w:p>
        </w:tc>
        <w:tc>
          <w:tcPr>
            <w:tcW w:w="1560" w:type="dxa"/>
            <w:noWrap w:val="0"/>
            <w:vAlign w:val="center"/>
          </w:tcPr>
          <w:p w14:paraId="1DFA1DB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0.6</w:t>
            </w:r>
          </w:p>
        </w:tc>
        <w:tc>
          <w:tcPr>
            <w:tcW w:w="1885" w:type="dxa"/>
            <w:noWrap w:val="0"/>
            <w:vAlign w:val="center"/>
          </w:tcPr>
          <w:p w14:paraId="20B03B6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0.8</w:t>
            </w:r>
          </w:p>
        </w:tc>
      </w:tr>
      <w:tr w14:paraId="762EA6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96" w:type="dxa"/>
            <w:vMerge w:val="continue"/>
            <w:noWrap w:val="0"/>
            <w:vAlign w:val="center"/>
          </w:tcPr>
          <w:p w14:paraId="069DB6A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0" w:type="dxa"/>
            <w:vMerge w:val="continue"/>
            <w:noWrap w:val="0"/>
            <w:vAlign w:val="center"/>
          </w:tcPr>
          <w:p w14:paraId="768340E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1" w:type="dxa"/>
            <w:noWrap w:val="0"/>
            <w:vAlign w:val="center"/>
          </w:tcPr>
          <w:p w14:paraId="53AEF77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其他</w:t>
            </w:r>
          </w:p>
        </w:tc>
        <w:tc>
          <w:tcPr>
            <w:tcW w:w="1559" w:type="dxa"/>
            <w:noWrap w:val="0"/>
            <w:vAlign w:val="center"/>
          </w:tcPr>
          <w:p w14:paraId="69776C8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0.3</w:t>
            </w:r>
          </w:p>
        </w:tc>
        <w:tc>
          <w:tcPr>
            <w:tcW w:w="1559" w:type="dxa"/>
            <w:noWrap w:val="0"/>
            <w:vAlign w:val="center"/>
          </w:tcPr>
          <w:p w14:paraId="565D11D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0.3</w:t>
            </w:r>
          </w:p>
        </w:tc>
        <w:tc>
          <w:tcPr>
            <w:tcW w:w="1560" w:type="dxa"/>
            <w:noWrap w:val="0"/>
            <w:vAlign w:val="center"/>
          </w:tcPr>
          <w:p w14:paraId="47180AE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0.3</w:t>
            </w:r>
          </w:p>
        </w:tc>
        <w:tc>
          <w:tcPr>
            <w:tcW w:w="1885" w:type="dxa"/>
            <w:noWrap w:val="0"/>
            <w:vAlign w:val="center"/>
          </w:tcPr>
          <w:p w14:paraId="2830C17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0.6</w:t>
            </w:r>
          </w:p>
        </w:tc>
      </w:tr>
      <w:tr w14:paraId="37AAA2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96" w:type="dxa"/>
            <w:vMerge w:val="restart"/>
            <w:noWrap w:val="0"/>
            <w:vAlign w:val="center"/>
          </w:tcPr>
          <w:p w14:paraId="21D0F8F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850" w:type="dxa"/>
            <w:vMerge w:val="restart"/>
            <w:noWrap w:val="0"/>
            <w:vAlign w:val="center"/>
          </w:tcPr>
          <w:p w14:paraId="2FC8BBA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汞</w:t>
            </w:r>
          </w:p>
        </w:tc>
        <w:tc>
          <w:tcPr>
            <w:tcW w:w="851" w:type="dxa"/>
            <w:noWrap w:val="0"/>
            <w:vAlign w:val="center"/>
          </w:tcPr>
          <w:p w14:paraId="6BFA824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水田</w:t>
            </w:r>
          </w:p>
        </w:tc>
        <w:tc>
          <w:tcPr>
            <w:tcW w:w="1559" w:type="dxa"/>
            <w:noWrap w:val="0"/>
            <w:vAlign w:val="center"/>
          </w:tcPr>
          <w:p w14:paraId="5E75B68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0.5</w:t>
            </w:r>
          </w:p>
        </w:tc>
        <w:tc>
          <w:tcPr>
            <w:tcW w:w="1559" w:type="dxa"/>
            <w:noWrap w:val="0"/>
            <w:vAlign w:val="center"/>
          </w:tcPr>
          <w:p w14:paraId="2504CEE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0.5</w:t>
            </w:r>
          </w:p>
        </w:tc>
        <w:tc>
          <w:tcPr>
            <w:tcW w:w="1560" w:type="dxa"/>
            <w:noWrap w:val="0"/>
            <w:vAlign w:val="center"/>
          </w:tcPr>
          <w:p w14:paraId="090F964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0.6</w:t>
            </w:r>
          </w:p>
        </w:tc>
        <w:tc>
          <w:tcPr>
            <w:tcW w:w="1885" w:type="dxa"/>
            <w:noWrap w:val="0"/>
            <w:vAlign w:val="center"/>
          </w:tcPr>
          <w:p w14:paraId="60075F7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1.0</w:t>
            </w:r>
          </w:p>
        </w:tc>
      </w:tr>
      <w:tr w14:paraId="2575D6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96" w:type="dxa"/>
            <w:vMerge w:val="continue"/>
            <w:noWrap w:val="0"/>
            <w:vAlign w:val="center"/>
          </w:tcPr>
          <w:p w14:paraId="01705B9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0" w:type="dxa"/>
            <w:vMerge w:val="continue"/>
            <w:noWrap w:val="0"/>
            <w:vAlign w:val="center"/>
          </w:tcPr>
          <w:p w14:paraId="3412160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1" w:type="dxa"/>
            <w:noWrap w:val="0"/>
            <w:vAlign w:val="center"/>
          </w:tcPr>
          <w:p w14:paraId="5373190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其他</w:t>
            </w:r>
          </w:p>
        </w:tc>
        <w:tc>
          <w:tcPr>
            <w:tcW w:w="1559" w:type="dxa"/>
            <w:noWrap w:val="0"/>
            <w:vAlign w:val="center"/>
          </w:tcPr>
          <w:p w14:paraId="7EC44D9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1.3</w:t>
            </w:r>
          </w:p>
        </w:tc>
        <w:tc>
          <w:tcPr>
            <w:tcW w:w="1559" w:type="dxa"/>
            <w:noWrap w:val="0"/>
            <w:vAlign w:val="center"/>
          </w:tcPr>
          <w:p w14:paraId="25953B5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1.8</w:t>
            </w:r>
          </w:p>
        </w:tc>
        <w:tc>
          <w:tcPr>
            <w:tcW w:w="1560" w:type="dxa"/>
            <w:noWrap w:val="0"/>
            <w:vAlign w:val="center"/>
          </w:tcPr>
          <w:p w14:paraId="072D769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2.4</w:t>
            </w:r>
          </w:p>
        </w:tc>
        <w:tc>
          <w:tcPr>
            <w:tcW w:w="1885" w:type="dxa"/>
            <w:noWrap w:val="0"/>
            <w:vAlign w:val="center"/>
          </w:tcPr>
          <w:p w14:paraId="1F5B017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3.4</w:t>
            </w:r>
          </w:p>
        </w:tc>
      </w:tr>
      <w:tr w14:paraId="6ED100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96" w:type="dxa"/>
            <w:vMerge w:val="restart"/>
            <w:noWrap w:val="0"/>
            <w:vAlign w:val="center"/>
          </w:tcPr>
          <w:p w14:paraId="2353965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850" w:type="dxa"/>
            <w:vMerge w:val="restart"/>
            <w:noWrap w:val="0"/>
            <w:vAlign w:val="center"/>
          </w:tcPr>
          <w:p w14:paraId="2A73A1A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砷</w:t>
            </w:r>
          </w:p>
        </w:tc>
        <w:tc>
          <w:tcPr>
            <w:tcW w:w="851" w:type="dxa"/>
            <w:noWrap w:val="0"/>
            <w:vAlign w:val="center"/>
          </w:tcPr>
          <w:p w14:paraId="4595DD6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水田</w:t>
            </w:r>
          </w:p>
        </w:tc>
        <w:tc>
          <w:tcPr>
            <w:tcW w:w="1559" w:type="dxa"/>
            <w:noWrap w:val="0"/>
            <w:vAlign w:val="center"/>
          </w:tcPr>
          <w:p w14:paraId="16335A1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30</w:t>
            </w:r>
          </w:p>
        </w:tc>
        <w:tc>
          <w:tcPr>
            <w:tcW w:w="1559" w:type="dxa"/>
            <w:noWrap w:val="0"/>
            <w:vAlign w:val="center"/>
          </w:tcPr>
          <w:p w14:paraId="2649B1E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30</w:t>
            </w:r>
          </w:p>
        </w:tc>
        <w:tc>
          <w:tcPr>
            <w:tcW w:w="1560" w:type="dxa"/>
            <w:noWrap w:val="0"/>
            <w:vAlign w:val="center"/>
          </w:tcPr>
          <w:p w14:paraId="2502C18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25</w:t>
            </w:r>
          </w:p>
        </w:tc>
        <w:tc>
          <w:tcPr>
            <w:tcW w:w="1885" w:type="dxa"/>
            <w:noWrap w:val="0"/>
            <w:vAlign w:val="center"/>
          </w:tcPr>
          <w:p w14:paraId="762B403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20</w:t>
            </w:r>
          </w:p>
        </w:tc>
      </w:tr>
      <w:tr w14:paraId="26854D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96" w:type="dxa"/>
            <w:vMerge w:val="continue"/>
            <w:noWrap w:val="0"/>
            <w:vAlign w:val="center"/>
          </w:tcPr>
          <w:p w14:paraId="7CBF040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0" w:type="dxa"/>
            <w:vMerge w:val="continue"/>
            <w:noWrap w:val="0"/>
            <w:vAlign w:val="center"/>
          </w:tcPr>
          <w:p w14:paraId="06EAD14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1" w:type="dxa"/>
            <w:noWrap w:val="0"/>
            <w:vAlign w:val="center"/>
          </w:tcPr>
          <w:p w14:paraId="17658A5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其他</w:t>
            </w:r>
          </w:p>
        </w:tc>
        <w:tc>
          <w:tcPr>
            <w:tcW w:w="1559" w:type="dxa"/>
            <w:noWrap w:val="0"/>
            <w:vAlign w:val="center"/>
          </w:tcPr>
          <w:p w14:paraId="10482E1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40</w:t>
            </w:r>
          </w:p>
        </w:tc>
        <w:tc>
          <w:tcPr>
            <w:tcW w:w="1559" w:type="dxa"/>
            <w:noWrap w:val="0"/>
            <w:vAlign w:val="center"/>
          </w:tcPr>
          <w:p w14:paraId="69C3D43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40</w:t>
            </w:r>
          </w:p>
        </w:tc>
        <w:tc>
          <w:tcPr>
            <w:tcW w:w="1560" w:type="dxa"/>
            <w:noWrap w:val="0"/>
            <w:vAlign w:val="center"/>
          </w:tcPr>
          <w:p w14:paraId="726EC72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30</w:t>
            </w:r>
          </w:p>
        </w:tc>
        <w:tc>
          <w:tcPr>
            <w:tcW w:w="1885" w:type="dxa"/>
            <w:noWrap w:val="0"/>
            <w:vAlign w:val="center"/>
          </w:tcPr>
          <w:p w14:paraId="7A735C1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25</w:t>
            </w:r>
          </w:p>
        </w:tc>
      </w:tr>
      <w:tr w14:paraId="09BDDD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96" w:type="dxa"/>
            <w:vMerge w:val="restart"/>
            <w:noWrap w:val="0"/>
            <w:vAlign w:val="center"/>
          </w:tcPr>
          <w:p w14:paraId="4F7DEAA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4</w:t>
            </w:r>
          </w:p>
        </w:tc>
        <w:tc>
          <w:tcPr>
            <w:tcW w:w="850" w:type="dxa"/>
            <w:vMerge w:val="restart"/>
            <w:noWrap w:val="0"/>
            <w:vAlign w:val="center"/>
          </w:tcPr>
          <w:p w14:paraId="062DC53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铅</w:t>
            </w:r>
          </w:p>
        </w:tc>
        <w:tc>
          <w:tcPr>
            <w:tcW w:w="851" w:type="dxa"/>
            <w:noWrap w:val="0"/>
            <w:vAlign w:val="center"/>
          </w:tcPr>
          <w:p w14:paraId="55BA226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水田</w:t>
            </w:r>
          </w:p>
        </w:tc>
        <w:tc>
          <w:tcPr>
            <w:tcW w:w="1559" w:type="dxa"/>
            <w:noWrap w:val="0"/>
            <w:vAlign w:val="center"/>
          </w:tcPr>
          <w:p w14:paraId="33A1F1D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80</w:t>
            </w:r>
          </w:p>
        </w:tc>
        <w:tc>
          <w:tcPr>
            <w:tcW w:w="1559" w:type="dxa"/>
            <w:noWrap w:val="0"/>
            <w:vAlign w:val="center"/>
          </w:tcPr>
          <w:p w14:paraId="198521C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100</w:t>
            </w:r>
          </w:p>
        </w:tc>
        <w:tc>
          <w:tcPr>
            <w:tcW w:w="1560" w:type="dxa"/>
            <w:noWrap w:val="0"/>
            <w:vAlign w:val="center"/>
          </w:tcPr>
          <w:p w14:paraId="4A1DC39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140</w:t>
            </w:r>
          </w:p>
        </w:tc>
        <w:tc>
          <w:tcPr>
            <w:tcW w:w="1885" w:type="dxa"/>
            <w:noWrap w:val="0"/>
            <w:vAlign w:val="center"/>
          </w:tcPr>
          <w:p w14:paraId="3B52D51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240</w:t>
            </w:r>
          </w:p>
        </w:tc>
      </w:tr>
      <w:tr w14:paraId="3B2909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96" w:type="dxa"/>
            <w:vMerge w:val="continue"/>
            <w:noWrap w:val="0"/>
            <w:vAlign w:val="center"/>
          </w:tcPr>
          <w:p w14:paraId="5572602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0" w:type="dxa"/>
            <w:vMerge w:val="continue"/>
            <w:noWrap w:val="0"/>
            <w:vAlign w:val="center"/>
          </w:tcPr>
          <w:p w14:paraId="1FE2384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1" w:type="dxa"/>
            <w:noWrap w:val="0"/>
            <w:vAlign w:val="center"/>
          </w:tcPr>
          <w:p w14:paraId="47491AE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其他</w:t>
            </w:r>
          </w:p>
        </w:tc>
        <w:tc>
          <w:tcPr>
            <w:tcW w:w="1559" w:type="dxa"/>
            <w:noWrap w:val="0"/>
            <w:vAlign w:val="center"/>
          </w:tcPr>
          <w:p w14:paraId="752064D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70</w:t>
            </w:r>
          </w:p>
        </w:tc>
        <w:tc>
          <w:tcPr>
            <w:tcW w:w="1559" w:type="dxa"/>
            <w:noWrap w:val="0"/>
            <w:vAlign w:val="center"/>
          </w:tcPr>
          <w:p w14:paraId="4986AE5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90</w:t>
            </w:r>
          </w:p>
        </w:tc>
        <w:tc>
          <w:tcPr>
            <w:tcW w:w="1560" w:type="dxa"/>
            <w:noWrap w:val="0"/>
            <w:vAlign w:val="center"/>
          </w:tcPr>
          <w:p w14:paraId="420CEB7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120</w:t>
            </w:r>
          </w:p>
        </w:tc>
        <w:tc>
          <w:tcPr>
            <w:tcW w:w="1885" w:type="dxa"/>
            <w:noWrap w:val="0"/>
            <w:vAlign w:val="center"/>
          </w:tcPr>
          <w:p w14:paraId="11890E7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170</w:t>
            </w:r>
          </w:p>
        </w:tc>
      </w:tr>
      <w:tr w14:paraId="5D194A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96" w:type="dxa"/>
            <w:vMerge w:val="restart"/>
            <w:noWrap w:val="0"/>
            <w:vAlign w:val="center"/>
          </w:tcPr>
          <w:p w14:paraId="0106CD6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w:t>
            </w:r>
          </w:p>
        </w:tc>
        <w:tc>
          <w:tcPr>
            <w:tcW w:w="850" w:type="dxa"/>
            <w:vMerge w:val="restart"/>
            <w:noWrap w:val="0"/>
            <w:vAlign w:val="center"/>
          </w:tcPr>
          <w:p w14:paraId="0C09CDD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铬</w:t>
            </w:r>
          </w:p>
        </w:tc>
        <w:tc>
          <w:tcPr>
            <w:tcW w:w="851" w:type="dxa"/>
            <w:noWrap w:val="0"/>
            <w:vAlign w:val="center"/>
          </w:tcPr>
          <w:p w14:paraId="0B80510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水田</w:t>
            </w:r>
          </w:p>
        </w:tc>
        <w:tc>
          <w:tcPr>
            <w:tcW w:w="1559" w:type="dxa"/>
            <w:noWrap w:val="0"/>
            <w:vAlign w:val="center"/>
          </w:tcPr>
          <w:p w14:paraId="37F5850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250</w:t>
            </w:r>
          </w:p>
        </w:tc>
        <w:tc>
          <w:tcPr>
            <w:tcW w:w="1559" w:type="dxa"/>
            <w:noWrap w:val="0"/>
            <w:vAlign w:val="center"/>
          </w:tcPr>
          <w:p w14:paraId="49065F4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250</w:t>
            </w:r>
          </w:p>
        </w:tc>
        <w:tc>
          <w:tcPr>
            <w:tcW w:w="1560" w:type="dxa"/>
            <w:noWrap w:val="0"/>
            <w:vAlign w:val="center"/>
          </w:tcPr>
          <w:p w14:paraId="0357C23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300</w:t>
            </w:r>
          </w:p>
        </w:tc>
        <w:tc>
          <w:tcPr>
            <w:tcW w:w="1885" w:type="dxa"/>
            <w:noWrap w:val="0"/>
            <w:vAlign w:val="center"/>
          </w:tcPr>
          <w:p w14:paraId="35FCDF7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350</w:t>
            </w:r>
          </w:p>
        </w:tc>
      </w:tr>
      <w:tr w14:paraId="4AB6E3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96" w:type="dxa"/>
            <w:vMerge w:val="continue"/>
            <w:noWrap w:val="0"/>
            <w:vAlign w:val="center"/>
          </w:tcPr>
          <w:p w14:paraId="5F23062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0" w:type="dxa"/>
            <w:vMerge w:val="continue"/>
            <w:noWrap w:val="0"/>
            <w:vAlign w:val="center"/>
          </w:tcPr>
          <w:p w14:paraId="361C8BD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1" w:type="dxa"/>
            <w:noWrap w:val="0"/>
            <w:vAlign w:val="center"/>
          </w:tcPr>
          <w:p w14:paraId="60A377E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其他</w:t>
            </w:r>
          </w:p>
        </w:tc>
        <w:tc>
          <w:tcPr>
            <w:tcW w:w="1559" w:type="dxa"/>
            <w:noWrap w:val="0"/>
            <w:vAlign w:val="center"/>
          </w:tcPr>
          <w:p w14:paraId="4D22486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150</w:t>
            </w:r>
          </w:p>
        </w:tc>
        <w:tc>
          <w:tcPr>
            <w:tcW w:w="1559" w:type="dxa"/>
            <w:noWrap w:val="0"/>
            <w:vAlign w:val="center"/>
          </w:tcPr>
          <w:p w14:paraId="56F72B5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150</w:t>
            </w:r>
          </w:p>
        </w:tc>
        <w:tc>
          <w:tcPr>
            <w:tcW w:w="1560" w:type="dxa"/>
            <w:noWrap w:val="0"/>
            <w:vAlign w:val="center"/>
          </w:tcPr>
          <w:p w14:paraId="6961605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200</w:t>
            </w:r>
          </w:p>
        </w:tc>
        <w:tc>
          <w:tcPr>
            <w:tcW w:w="1885" w:type="dxa"/>
            <w:noWrap w:val="0"/>
            <w:vAlign w:val="center"/>
          </w:tcPr>
          <w:p w14:paraId="09C4094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250</w:t>
            </w:r>
          </w:p>
        </w:tc>
      </w:tr>
      <w:tr w14:paraId="34FFCD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96" w:type="dxa"/>
            <w:vMerge w:val="restart"/>
            <w:noWrap w:val="0"/>
            <w:vAlign w:val="center"/>
          </w:tcPr>
          <w:p w14:paraId="06AB567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6</w:t>
            </w:r>
          </w:p>
        </w:tc>
        <w:tc>
          <w:tcPr>
            <w:tcW w:w="850" w:type="dxa"/>
            <w:vMerge w:val="restart"/>
            <w:noWrap w:val="0"/>
            <w:vAlign w:val="center"/>
          </w:tcPr>
          <w:p w14:paraId="3A752B5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铜</w:t>
            </w:r>
          </w:p>
        </w:tc>
        <w:tc>
          <w:tcPr>
            <w:tcW w:w="851" w:type="dxa"/>
            <w:noWrap w:val="0"/>
            <w:vAlign w:val="center"/>
          </w:tcPr>
          <w:p w14:paraId="2431025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水田</w:t>
            </w:r>
          </w:p>
        </w:tc>
        <w:tc>
          <w:tcPr>
            <w:tcW w:w="1559" w:type="dxa"/>
            <w:noWrap w:val="0"/>
            <w:vAlign w:val="center"/>
          </w:tcPr>
          <w:p w14:paraId="03DA7E0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150</w:t>
            </w:r>
          </w:p>
        </w:tc>
        <w:tc>
          <w:tcPr>
            <w:tcW w:w="1559" w:type="dxa"/>
            <w:noWrap w:val="0"/>
            <w:vAlign w:val="center"/>
          </w:tcPr>
          <w:p w14:paraId="72985AA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150</w:t>
            </w:r>
          </w:p>
        </w:tc>
        <w:tc>
          <w:tcPr>
            <w:tcW w:w="1560" w:type="dxa"/>
            <w:noWrap w:val="0"/>
            <w:vAlign w:val="center"/>
          </w:tcPr>
          <w:p w14:paraId="23AF73F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200</w:t>
            </w:r>
          </w:p>
        </w:tc>
        <w:tc>
          <w:tcPr>
            <w:tcW w:w="1885" w:type="dxa"/>
            <w:noWrap w:val="0"/>
            <w:vAlign w:val="center"/>
          </w:tcPr>
          <w:p w14:paraId="724409B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200</w:t>
            </w:r>
          </w:p>
        </w:tc>
      </w:tr>
      <w:tr w14:paraId="6B0CA0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96" w:type="dxa"/>
            <w:vMerge w:val="continue"/>
            <w:noWrap w:val="0"/>
            <w:vAlign w:val="center"/>
          </w:tcPr>
          <w:p w14:paraId="2419E1A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0" w:type="dxa"/>
            <w:vMerge w:val="continue"/>
            <w:noWrap w:val="0"/>
            <w:vAlign w:val="center"/>
          </w:tcPr>
          <w:p w14:paraId="7CFDDC6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1" w:type="dxa"/>
            <w:noWrap w:val="0"/>
            <w:vAlign w:val="center"/>
          </w:tcPr>
          <w:p w14:paraId="78ACCB8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其他</w:t>
            </w:r>
          </w:p>
        </w:tc>
        <w:tc>
          <w:tcPr>
            <w:tcW w:w="1559" w:type="dxa"/>
            <w:noWrap w:val="0"/>
            <w:vAlign w:val="center"/>
          </w:tcPr>
          <w:p w14:paraId="4442764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50</w:t>
            </w:r>
          </w:p>
        </w:tc>
        <w:tc>
          <w:tcPr>
            <w:tcW w:w="1559" w:type="dxa"/>
            <w:noWrap w:val="0"/>
            <w:vAlign w:val="center"/>
          </w:tcPr>
          <w:p w14:paraId="12A435D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50</w:t>
            </w:r>
          </w:p>
        </w:tc>
        <w:tc>
          <w:tcPr>
            <w:tcW w:w="1560" w:type="dxa"/>
            <w:noWrap w:val="0"/>
            <w:vAlign w:val="center"/>
          </w:tcPr>
          <w:p w14:paraId="23A8F73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100</w:t>
            </w:r>
          </w:p>
        </w:tc>
        <w:tc>
          <w:tcPr>
            <w:tcW w:w="1885" w:type="dxa"/>
            <w:noWrap w:val="0"/>
            <w:vAlign w:val="center"/>
          </w:tcPr>
          <w:p w14:paraId="2CF62A3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100</w:t>
            </w:r>
          </w:p>
        </w:tc>
      </w:tr>
      <w:tr w14:paraId="736F83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96" w:type="dxa"/>
            <w:noWrap w:val="0"/>
            <w:vAlign w:val="center"/>
          </w:tcPr>
          <w:p w14:paraId="5A25738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7</w:t>
            </w:r>
          </w:p>
        </w:tc>
        <w:tc>
          <w:tcPr>
            <w:tcW w:w="1701" w:type="dxa"/>
            <w:gridSpan w:val="2"/>
            <w:noWrap w:val="0"/>
            <w:vAlign w:val="center"/>
          </w:tcPr>
          <w:p w14:paraId="0F7E68C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镍</w:t>
            </w:r>
          </w:p>
        </w:tc>
        <w:tc>
          <w:tcPr>
            <w:tcW w:w="1559" w:type="dxa"/>
            <w:noWrap w:val="0"/>
            <w:vAlign w:val="center"/>
          </w:tcPr>
          <w:p w14:paraId="7D60D98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60</w:t>
            </w:r>
          </w:p>
        </w:tc>
        <w:tc>
          <w:tcPr>
            <w:tcW w:w="1559" w:type="dxa"/>
            <w:noWrap w:val="0"/>
            <w:vAlign w:val="center"/>
          </w:tcPr>
          <w:p w14:paraId="02009C6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70</w:t>
            </w:r>
          </w:p>
        </w:tc>
        <w:tc>
          <w:tcPr>
            <w:tcW w:w="1560" w:type="dxa"/>
            <w:noWrap w:val="0"/>
            <w:vAlign w:val="center"/>
          </w:tcPr>
          <w:p w14:paraId="72024E0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100</w:t>
            </w:r>
          </w:p>
        </w:tc>
        <w:tc>
          <w:tcPr>
            <w:tcW w:w="1885" w:type="dxa"/>
            <w:noWrap w:val="0"/>
            <w:vAlign w:val="center"/>
          </w:tcPr>
          <w:p w14:paraId="7A3D901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190</w:t>
            </w:r>
          </w:p>
        </w:tc>
      </w:tr>
      <w:tr w14:paraId="196547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96" w:type="dxa"/>
            <w:noWrap w:val="0"/>
            <w:vAlign w:val="center"/>
          </w:tcPr>
          <w:p w14:paraId="37CED85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8</w:t>
            </w:r>
          </w:p>
        </w:tc>
        <w:tc>
          <w:tcPr>
            <w:tcW w:w="1701" w:type="dxa"/>
            <w:gridSpan w:val="2"/>
            <w:noWrap w:val="0"/>
            <w:vAlign w:val="center"/>
          </w:tcPr>
          <w:p w14:paraId="22FA507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锌</w:t>
            </w:r>
          </w:p>
        </w:tc>
        <w:tc>
          <w:tcPr>
            <w:tcW w:w="1559" w:type="dxa"/>
            <w:noWrap w:val="0"/>
            <w:vAlign w:val="center"/>
          </w:tcPr>
          <w:p w14:paraId="4B7956F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200</w:t>
            </w:r>
          </w:p>
        </w:tc>
        <w:tc>
          <w:tcPr>
            <w:tcW w:w="1559" w:type="dxa"/>
            <w:noWrap w:val="0"/>
            <w:vAlign w:val="center"/>
          </w:tcPr>
          <w:p w14:paraId="0BFE064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200</w:t>
            </w:r>
          </w:p>
        </w:tc>
        <w:tc>
          <w:tcPr>
            <w:tcW w:w="1560" w:type="dxa"/>
            <w:noWrap w:val="0"/>
            <w:vAlign w:val="center"/>
          </w:tcPr>
          <w:p w14:paraId="623D4F9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250</w:t>
            </w:r>
          </w:p>
        </w:tc>
        <w:tc>
          <w:tcPr>
            <w:tcW w:w="1885" w:type="dxa"/>
            <w:noWrap w:val="0"/>
            <w:vAlign w:val="center"/>
          </w:tcPr>
          <w:p w14:paraId="518CBA6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300</w:t>
            </w:r>
          </w:p>
        </w:tc>
      </w:tr>
      <w:tr w14:paraId="3325E5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160" w:type="dxa"/>
            <w:gridSpan w:val="7"/>
            <w:noWrap w:val="0"/>
            <w:vAlign w:val="center"/>
          </w:tcPr>
          <w:p w14:paraId="58C24D86">
            <w:pPr>
              <w:keepNext w:val="0"/>
              <w:keepLines w:val="0"/>
              <w:suppressLineNumbers w:val="0"/>
              <w:spacing w:before="0" w:beforeAutospacing="0" w:after="0" w:afterAutospacing="0"/>
              <w:ind w:left="0" w:right="0"/>
              <w:jc w:val="left"/>
              <w:rPr>
                <w:rFonts w:hint="default" w:ascii="Times New Roman" w:hAnsi="Times New Roman" w:cs="Times New Roman"/>
                <w:color w:val="auto"/>
              </w:rPr>
            </w:pPr>
            <w:r>
              <w:rPr>
                <w:rFonts w:hint="default" w:ascii="Times New Roman" w:hAnsi="Times New Roman" w:cs="Times New Roman"/>
                <w:color w:val="auto"/>
              </w:rPr>
              <w:t>注</w:t>
            </w:r>
            <w:r>
              <w:rPr>
                <w:rFonts w:hint="eastAsia" w:ascii="Times New Roman" w:hAnsi="Times New Roman" w:cs="Times New Roman"/>
                <w:color w:val="auto"/>
              </w:rPr>
              <w:t>：</w:t>
            </w:r>
            <w:r>
              <w:rPr>
                <w:rFonts w:hint="eastAsia" w:ascii="宋体" w:hAnsi="宋体" w:cs="宋体"/>
                <w:color w:val="auto"/>
              </w:rPr>
              <w:t>①</w:t>
            </w:r>
            <w:r>
              <w:rPr>
                <w:rFonts w:hint="default" w:ascii="Times New Roman" w:hAnsi="Times New Roman" w:cs="Times New Roman"/>
                <w:color w:val="auto"/>
              </w:rPr>
              <w:t>重金属和类金属砷均按元素总量计。</w:t>
            </w:r>
          </w:p>
          <w:p w14:paraId="521A3C53">
            <w:pPr>
              <w:keepNext w:val="0"/>
              <w:keepLines w:val="0"/>
              <w:suppressLineNumbers w:val="0"/>
              <w:spacing w:before="0" w:beforeAutospacing="0" w:after="0" w:afterAutospacing="0"/>
              <w:ind w:left="0" w:right="0" w:firstLine="420" w:firstLineChars="200"/>
              <w:jc w:val="left"/>
              <w:rPr>
                <w:rFonts w:hint="default" w:ascii="Times New Roman" w:hAnsi="Times New Roman" w:cs="Times New Roman"/>
                <w:color w:val="auto"/>
              </w:rPr>
            </w:pPr>
            <w:r>
              <w:rPr>
                <w:rFonts w:hint="eastAsia" w:ascii="宋体" w:hAnsi="宋体" w:cs="宋体"/>
                <w:color w:val="auto"/>
              </w:rPr>
              <w:t>②</w:t>
            </w:r>
            <w:r>
              <w:rPr>
                <w:rFonts w:hint="default" w:ascii="Times New Roman" w:hAnsi="Times New Roman" w:cs="Times New Roman"/>
                <w:color w:val="auto"/>
              </w:rPr>
              <w:t>对于水早轮作地，采用其中较严格的风险筛选值。</w:t>
            </w:r>
          </w:p>
        </w:tc>
      </w:tr>
    </w:tbl>
    <w:p w14:paraId="0F678093">
      <w:pPr>
        <w:pStyle w:val="5"/>
        <w:numPr>
          <w:ilvl w:val="0"/>
          <w:numId w:val="0"/>
        </w:numPr>
        <w:rPr>
          <w:color w:val="auto"/>
        </w:rPr>
      </w:pPr>
      <w:bookmarkStart w:id="53" w:name="_Toc299001224"/>
      <w:r>
        <w:rPr>
          <w:rFonts w:hint="eastAsia"/>
          <w:color w:val="auto"/>
        </w:rPr>
        <w:t>2.2.3.2</w:t>
      </w:r>
      <w:r>
        <w:rPr>
          <w:color w:val="auto"/>
        </w:rPr>
        <w:t>污染物排放标准</w:t>
      </w:r>
      <w:bookmarkEnd w:id="53"/>
    </w:p>
    <w:p w14:paraId="3D14049A">
      <w:pPr>
        <w:pStyle w:val="15"/>
        <w:tabs>
          <w:tab w:val="left" w:pos="0"/>
          <w:tab w:val="left" w:pos="1050"/>
          <w:tab w:val="left" w:pos="1080"/>
        </w:tabs>
        <w:spacing w:line="360" w:lineRule="auto"/>
        <w:ind w:firstLine="480" w:firstLineChars="200"/>
        <w:textAlignment w:val="baseline"/>
        <w:rPr>
          <w:color w:val="auto"/>
          <w:sz w:val="24"/>
        </w:rPr>
      </w:pPr>
      <w:r>
        <w:rPr>
          <w:color w:val="auto"/>
          <w:sz w:val="24"/>
        </w:rPr>
        <w:t>（1）大气污染物排放标准</w:t>
      </w:r>
    </w:p>
    <w:p w14:paraId="5B38F80B">
      <w:pPr>
        <w:spacing w:line="360" w:lineRule="auto"/>
        <w:ind w:firstLine="480" w:firstLineChars="200"/>
        <w:rPr>
          <w:rFonts w:hint="eastAsia"/>
          <w:color w:val="auto"/>
          <w:sz w:val="24"/>
          <w:lang w:val="en-US" w:eastAsia="zh-CN"/>
        </w:rPr>
      </w:pPr>
      <w:r>
        <w:rPr>
          <w:rFonts w:hint="eastAsia" w:ascii="宋体" w:hAnsi="宋体" w:eastAsia="宋体" w:cs="宋体"/>
          <w:color w:val="auto"/>
          <w:sz w:val="24"/>
          <w:lang w:eastAsia="zh-CN"/>
        </w:rPr>
        <w:t>①</w:t>
      </w:r>
      <w:r>
        <w:rPr>
          <w:rFonts w:hint="eastAsia"/>
          <w:color w:val="auto"/>
          <w:sz w:val="24"/>
          <w:lang w:val="en-US" w:eastAsia="zh-CN"/>
        </w:rPr>
        <w:t>施工期</w:t>
      </w:r>
    </w:p>
    <w:p w14:paraId="54515337">
      <w:pPr>
        <w:keepNext w:val="0"/>
        <w:keepLines w:val="0"/>
        <w:pageBreakBefore w:val="0"/>
        <w:widowControl w:val="0"/>
        <w:kinsoku/>
        <w:wordWrap/>
        <w:overflowPunct/>
        <w:topLinePunct w:val="0"/>
        <w:autoSpaceDE/>
        <w:autoSpaceDN/>
        <w:bidi w:val="0"/>
        <w:adjustRightInd/>
        <w:snapToGrid/>
        <w:spacing w:before="0" w:line="360" w:lineRule="auto"/>
        <w:ind w:left="0" w:right="0" w:firstLine="480" w:firstLineChars="200"/>
        <w:jc w:val="both"/>
        <w:textAlignment w:val="auto"/>
        <w:rPr>
          <w:rFonts w:hint="default" w:ascii="Times New Roman" w:hAnsi="Times New Roman" w:eastAsia="宋体" w:cs="Times New Roman"/>
          <w:b w:val="0"/>
          <w:bCs w:val="0"/>
          <w:color w:val="auto"/>
          <w:kern w:val="2"/>
          <w:sz w:val="24"/>
          <w:szCs w:val="21"/>
          <w:lang w:val="en-US" w:eastAsia="zh-CN" w:bidi="ar-SA"/>
        </w:rPr>
      </w:pPr>
      <w:r>
        <w:rPr>
          <w:rFonts w:hint="default" w:ascii="Times New Roman" w:hAnsi="Times New Roman" w:eastAsia="宋体" w:cs="Times New Roman"/>
          <w:b w:val="0"/>
          <w:bCs w:val="0"/>
          <w:color w:val="auto"/>
          <w:kern w:val="2"/>
          <w:sz w:val="24"/>
          <w:szCs w:val="21"/>
          <w:lang w:val="en-US" w:eastAsia="zh-CN" w:bidi="ar-SA"/>
        </w:rPr>
        <w:t>施工期颗粒物排放执行</w:t>
      </w:r>
      <w:r>
        <w:rPr>
          <w:rFonts w:hint="eastAsia" w:ascii="Times New Roman" w:hAnsi="Times New Roman" w:eastAsia="宋体" w:cs="Times New Roman"/>
          <w:b w:val="0"/>
          <w:bCs w:val="0"/>
          <w:color w:val="auto"/>
          <w:sz w:val="24"/>
          <w:szCs w:val="32"/>
          <w:lang w:val="en-US" w:eastAsia="zh-CN"/>
        </w:rPr>
        <w:t>《施工场地颗粒物排放标准》</w:t>
      </w:r>
      <w:r>
        <w:rPr>
          <w:rFonts w:hint="eastAsia" w:eastAsia="宋体" w:cs="Times New Roman"/>
          <w:b w:val="0"/>
          <w:bCs w:val="0"/>
          <w:color w:val="auto"/>
          <w:sz w:val="24"/>
          <w:szCs w:val="32"/>
          <w:lang w:val="en-US" w:eastAsia="zh-CN"/>
        </w:rPr>
        <w:t>（</w:t>
      </w:r>
      <w:r>
        <w:rPr>
          <w:rFonts w:hint="eastAsia" w:ascii="Times New Roman" w:hAnsi="Times New Roman" w:eastAsia="宋体" w:cs="Times New Roman"/>
          <w:b w:val="0"/>
          <w:bCs w:val="0"/>
          <w:color w:val="auto"/>
          <w:sz w:val="24"/>
          <w:szCs w:val="32"/>
          <w:lang w:val="en-US" w:eastAsia="zh-CN"/>
        </w:rPr>
        <w:t>DB34/4811-2024</w:t>
      </w:r>
      <w:r>
        <w:rPr>
          <w:rFonts w:hint="eastAsia" w:eastAsia="宋体" w:cs="Times New Roman"/>
          <w:b w:val="0"/>
          <w:bCs w:val="0"/>
          <w:color w:val="auto"/>
          <w:sz w:val="24"/>
          <w:szCs w:val="32"/>
          <w:lang w:val="en-US" w:eastAsia="zh-CN"/>
        </w:rPr>
        <w:t>）</w:t>
      </w:r>
      <w:r>
        <w:rPr>
          <w:rFonts w:hint="default" w:ascii="Times New Roman" w:hAnsi="Times New Roman" w:eastAsia="宋体" w:cs="Times New Roman"/>
          <w:b w:val="0"/>
          <w:bCs w:val="0"/>
          <w:color w:val="auto"/>
          <w:kern w:val="2"/>
          <w:sz w:val="24"/>
          <w:szCs w:val="21"/>
          <w:lang w:val="en-US" w:eastAsia="zh-CN" w:bidi="ar-SA"/>
        </w:rPr>
        <w:t>中监控点浓度限值，排放标准如下：</w:t>
      </w:r>
    </w:p>
    <w:p w14:paraId="7EAEB9C0">
      <w:pPr>
        <w:tabs>
          <w:tab w:val="left" w:pos="6312"/>
        </w:tabs>
        <w:spacing w:before="7"/>
        <w:ind w:left="1596" w:right="0" w:firstLine="0"/>
        <w:jc w:val="left"/>
        <w:rPr>
          <w:rFonts w:ascii="Times New Roman" w:hAnsi="Times New Roman" w:eastAsia="黑体" w:cs="Times New Roman"/>
          <w:color w:val="auto"/>
          <w:kern w:val="0"/>
          <w:sz w:val="24"/>
          <w:szCs w:val="24"/>
          <w:lang w:val="en-US" w:eastAsia="zh-CN" w:bidi="ar-SA"/>
        </w:rPr>
      </w:pPr>
      <w:r>
        <w:rPr>
          <w:rFonts w:ascii="Times New Roman" w:hAnsi="Times New Roman" w:eastAsia="黑体" w:cs="Times New Roman"/>
          <w:color w:val="auto"/>
          <w:kern w:val="0"/>
          <w:sz w:val="24"/>
          <w:szCs w:val="24"/>
          <w:lang w:val="en-US" w:eastAsia="zh-CN" w:bidi="ar-SA"/>
        </w:rPr>
        <w:t xml:space="preserve">表 </w:t>
      </w:r>
      <w:r>
        <w:rPr>
          <w:rFonts w:hint="eastAsia" w:eastAsia="黑体" w:cs="Times New Roman"/>
          <w:color w:val="auto"/>
          <w:kern w:val="0"/>
          <w:sz w:val="24"/>
          <w:szCs w:val="24"/>
          <w:lang w:val="en-US" w:eastAsia="zh-CN" w:bidi="ar-SA"/>
        </w:rPr>
        <w:t>2.2-7</w:t>
      </w:r>
      <w:r>
        <w:rPr>
          <w:rFonts w:ascii="Times New Roman" w:hAnsi="Times New Roman" w:eastAsia="黑体" w:cs="Times New Roman"/>
          <w:color w:val="auto"/>
          <w:kern w:val="0"/>
          <w:sz w:val="24"/>
          <w:szCs w:val="24"/>
          <w:lang w:val="en-US" w:eastAsia="zh-CN" w:bidi="ar-SA"/>
        </w:rPr>
        <w:t xml:space="preserve"> 施工期监控点颗粒物控制要求</w:t>
      </w:r>
      <w:r>
        <w:rPr>
          <w:rFonts w:hint="eastAsia" w:ascii="Times New Roman" w:hAnsi="Times New Roman" w:eastAsia="黑体" w:cs="Times New Roman"/>
          <w:color w:val="auto"/>
          <w:kern w:val="0"/>
          <w:sz w:val="24"/>
          <w:szCs w:val="24"/>
          <w:lang w:val="en-US" w:eastAsia="zh-CN" w:bidi="ar-SA"/>
        </w:rPr>
        <w:t xml:space="preserve"> </w:t>
      </w:r>
      <w:r>
        <w:rPr>
          <w:rFonts w:ascii="Times New Roman" w:hAnsi="Times New Roman" w:eastAsia="黑体" w:cs="Times New Roman"/>
          <w:color w:val="auto"/>
          <w:kern w:val="0"/>
          <w:sz w:val="24"/>
          <w:szCs w:val="24"/>
          <w:lang w:val="en-US" w:eastAsia="zh-CN" w:bidi="ar-SA"/>
        </w:rPr>
        <w:t>单位：mg/m</w:t>
      </w:r>
      <w:r>
        <w:rPr>
          <w:rFonts w:ascii="Times New Roman" w:hAnsi="Times New Roman" w:eastAsia="黑体" w:cs="Times New Roman"/>
          <w:color w:val="auto"/>
          <w:kern w:val="0"/>
          <w:sz w:val="24"/>
          <w:szCs w:val="24"/>
          <w:vertAlign w:val="superscript"/>
          <w:lang w:val="en-US" w:eastAsia="zh-CN" w:bidi="ar-SA"/>
        </w:rPr>
        <w:t>3</w:t>
      </w:r>
    </w:p>
    <w:tbl>
      <w:tblPr>
        <w:tblStyle w:val="53"/>
        <w:tblW w:w="0" w:type="auto"/>
        <w:jc w:val="center"/>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3110"/>
        <w:gridCol w:w="2918"/>
        <w:gridCol w:w="2918"/>
      </w:tblGrid>
      <w:tr w14:paraId="775BF13F">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110" w:type="dxa"/>
            <w:tcBorders>
              <w:tl2br w:val="nil"/>
              <w:tr2bl w:val="nil"/>
            </w:tcBorders>
            <w:vAlign w:val="top"/>
          </w:tcPr>
          <w:p w14:paraId="537296F7">
            <w:pPr>
              <w:keepNext w:val="0"/>
              <w:keepLines w:val="0"/>
              <w:suppressLineNumbers w:val="0"/>
              <w:spacing w:before="0" w:beforeAutospacing="0" w:after="0" w:afterAutospacing="0"/>
              <w:ind w:left="0" w:right="0"/>
              <w:jc w:val="center"/>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控制项目</w:t>
            </w:r>
          </w:p>
        </w:tc>
        <w:tc>
          <w:tcPr>
            <w:tcW w:w="2918" w:type="dxa"/>
            <w:tcBorders>
              <w:tl2br w:val="nil"/>
              <w:tr2bl w:val="nil"/>
            </w:tcBorders>
            <w:vAlign w:val="top"/>
          </w:tcPr>
          <w:p w14:paraId="5FFF7B7C">
            <w:pPr>
              <w:keepNext w:val="0"/>
              <w:keepLines w:val="0"/>
              <w:suppressLineNumbers w:val="0"/>
              <w:spacing w:before="0" w:beforeAutospacing="0" w:after="0" w:afterAutospacing="0"/>
              <w:ind w:left="0" w:right="0"/>
              <w:jc w:val="center"/>
              <w:rPr>
                <w:rFonts w:hint="eastAsia"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监控点浓度限值</w:t>
            </w:r>
          </w:p>
        </w:tc>
        <w:tc>
          <w:tcPr>
            <w:tcW w:w="2918" w:type="dxa"/>
            <w:tcBorders>
              <w:tl2br w:val="nil"/>
              <w:tr2bl w:val="nil"/>
            </w:tcBorders>
            <w:vAlign w:val="top"/>
          </w:tcPr>
          <w:p w14:paraId="5D655206">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lang w:val="en-US" w:eastAsia="zh-CN"/>
              </w:rPr>
            </w:pPr>
            <w:r>
              <w:rPr>
                <w:rFonts w:hint="eastAsia" w:ascii="Times New Roman" w:hAnsi="Times New Roman" w:cs="Times New Roman"/>
                <w:b/>
                <w:bCs/>
                <w:color w:val="auto"/>
                <w:lang w:val="en-US" w:eastAsia="zh-CN"/>
              </w:rPr>
              <w:t>达标判定依据</w:t>
            </w:r>
            <w:r>
              <w:rPr>
                <w:rFonts w:hint="default" w:ascii="Times New Roman" w:hAnsi="Times New Roman" w:cs="Times New Roman"/>
                <w:b/>
                <w:bCs/>
                <w:color w:val="auto"/>
                <w:lang w:val="en-US" w:eastAsia="zh-CN"/>
              </w:rPr>
              <w:t>*</w:t>
            </w:r>
          </w:p>
        </w:tc>
      </w:tr>
      <w:tr w14:paraId="4E0AE5A5">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110" w:type="dxa"/>
            <w:tcBorders>
              <w:tl2br w:val="nil"/>
              <w:tr2bl w:val="nil"/>
            </w:tcBorders>
            <w:vAlign w:val="top"/>
          </w:tcPr>
          <w:p w14:paraId="5A11BF18">
            <w:pPr>
              <w:keepNext w:val="0"/>
              <w:keepLines w:val="0"/>
              <w:suppressLineNumbers w:val="0"/>
              <w:spacing w:before="0" w:beforeAutospacing="0" w:after="0" w:afterAutospacing="0"/>
              <w:ind w:left="0" w:right="0"/>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颗粒物</w:t>
            </w:r>
          </w:p>
        </w:tc>
        <w:tc>
          <w:tcPr>
            <w:tcW w:w="2918" w:type="dxa"/>
            <w:tcBorders>
              <w:tl2br w:val="nil"/>
              <w:tr2bl w:val="nil"/>
            </w:tcBorders>
            <w:vAlign w:val="top"/>
          </w:tcPr>
          <w:p w14:paraId="503EF875">
            <w:pPr>
              <w:keepNext w:val="0"/>
              <w:keepLines w:val="0"/>
              <w:suppressLineNumbers w:val="0"/>
              <w:spacing w:before="0" w:beforeAutospacing="0" w:after="0" w:afterAutospacing="0"/>
              <w:ind w:left="0" w:right="0"/>
              <w:jc w:val="center"/>
              <w:rPr>
                <w:rFonts w:hint="default" w:ascii="Times New Roman" w:hAnsi="Times New Roman" w:cs="Times New Roman"/>
                <w:color w:val="auto"/>
                <w:lang w:val="en-US" w:eastAsia="zh-CN"/>
              </w:rPr>
            </w:pPr>
            <w:r>
              <w:rPr>
                <w:rFonts w:hint="eastAsia" w:cs="Times New Roman"/>
                <w:color w:val="auto"/>
                <w:lang w:val="en-US" w:eastAsia="zh-CN"/>
              </w:rPr>
              <w:t>1.0</w:t>
            </w:r>
          </w:p>
        </w:tc>
        <w:tc>
          <w:tcPr>
            <w:tcW w:w="2918" w:type="dxa"/>
            <w:tcBorders>
              <w:tl2br w:val="nil"/>
              <w:tr2bl w:val="nil"/>
            </w:tcBorders>
            <w:vAlign w:val="top"/>
          </w:tcPr>
          <w:p w14:paraId="049DCB9F">
            <w:pPr>
              <w:keepNext w:val="0"/>
              <w:keepLines w:val="0"/>
              <w:suppressLineNumbers w:val="0"/>
              <w:spacing w:before="0" w:beforeAutospacing="0" w:after="0" w:afterAutospacing="0"/>
              <w:ind w:left="0" w:right="0"/>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 xml:space="preserve">1 </w:t>
            </w:r>
            <w:r>
              <w:rPr>
                <w:rFonts w:hint="eastAsia" w:ascii="Times New Roman" w:hAnsi="Times New Roman" w:cs="Times New Roman"/>
                <w:color w:val="auto"/>
                <w:lang w:val="en-US" w:eastAsia="zh-CN"/>
              </w:rPr>
              <w:t>次</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日</w:t>
            </w:r>
          </w:p>
        </w:tc>
      </w:tr>
      <w:tr w14:paraId="2893280A">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110" w:type="dxa"/>
            <w:tcBorders>
              <w:tl2br w:val="nil"/>
              <w:tr2bl w:val="nil"/>
            </w:tcBorders>
            <w:vAlign w:val="top"/>
          </w:tcPr>
          <w:p w14:paraId="7159D430">
            <w:pPr>
              <w:keepNext w:val="0"/>
              <w:keepLines w:val="0"/>
              <w:suppressLineNumbers w:val="0"/>
              <w:spacing w:before="0" w:beforeAutospacing="0" w:after="0" w:afterAutospacing="0"/>
              <w:ind w:left="0" w:right="0"/>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颗粒物</w:t>
            </w:r>
          </w:p>
        </w:tc>
        <w:tc>
          <w:tcPr>
            <w:tcW w:w="2918" w:type="dxa"/>
            <w:tcBorders>
              <w:tl2br w:val="nil"/>
              <w:tr2bl w:val="nil"/>
            </w:tcBorders>
            <w:vAlign w:val="top"/>
          </w:tcPr>
          <w:p w14:paraId="322ABABE">
            <w:pPr>
              <w:keepNext w:val="0"/>
              <w:keepLines w:val="0"/>
              <w:suppressLineNumbers w:val="0"/>
              <w:spacing w:before="0" w:beforeAutospacing="0" w:after="0" w:afterAutospacing="0"/>
              <w:ind w:left="0" w:right="0"/>
              <w:jc w:val="center"/>
              <w:rPr>
                <w:rFonts w:hint="default" w:ascii="Times New Roman" w:hAnsi="Times New Roman" w:cs="Times New Roman"/>
                <w:color w:val="auto"/>
                <w:lang w:val="en-US" w:eastAsia="zh-CN"/>
              </w:rPr>
            </w:pPr>
            <w:r>
              <w:rPr>
                <w:rFonts w:hint="eastAsia" w:cs="Times New Roman"/>
                <w:color w:val="auto"/>
                <w:lang w:val="en-US" w:eastAsia="zh-CN"/>
              </w:rPr>
              <w:t>0.5</w:t>
            </w:r>
          </w:p>
        </w:tc>
        <w:tc>
          <w:tcPr>
            <w:tcW w:w="2918" w:type="dxa"/>
            <w:tcBorders>
              <w:tl2br w:val="nil"/>
              <w:tr2bl w:val="nil"/>
            </w:tcBorders>
            <w:vAlign w:val="top"/>
          </w:tcPr>
          <w:p w14:paraId="65A70E54">
            <w:pPr>
              <w:keepNext w:val="0"/>
              <w:keepLines w:val="0"/>
              <w:suppressLineNumbers w:val="0"/>
              <w:spacing w:before="0" w:beforeAutospacing="0" w:after="0" w:afterAutospacing="0"/>
              <w:ind w:left="0" w:right="0"/>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 xml:space="preserve">6 </w:t>
            </w:r>
            <w:r>
              <w:rPr>
                <w:rFonts w:hint="eastAsia" w:ascii="Times New Roman" w:hAnsi="Times New Roman" w:cs="Times New Roman"/>
                <w:color w:val="auto"/>
                <w:lang w:val="en-US" w:eastAsia="zh-CN"/>
              </w:rPr>
              <w:t>次</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日</w:t>
            </w:r>
          </w:p>
        </w:tc>
      </w:tr>
    </w:tbl>
    <w:p w14:paraId="06D2B3AC">
      <w:pPr>
        <w:spacing w:before="1"/>
        <w:ind w:left="168" w:right="0" w:firstLine="0"/>
        <w:jc w:val="left"/>
        <w:rPr>
          <w:rFonts w:hint="eastAsia" w:ascii="仿宋" w:eastAsia="仿宋"/>
          <w:color w:val="auto"/>
          <w:sz w:val="21"/>
          <w:szCs w:val="22"/>
        </w:rPr>
      </w:pPr>
      <w:r>
        <w:rPr>
          <w:rFonts w:ascii="Times New Roman" w:eastAsia="Times New Roman"/>
          <w:color w:val="auto"/>
          <w:sz w:val="21"/>
          <w:szCs w:val="22"/>
        </w:rPr>
        <w:t>*</w:t>
      </w:r>
      <w:r>
        <w:rPr>
          <w:rFonts w:hint="eastAsia" w:ascii="仿宋" w:eastAsia="仿宋"/>
          <w:color w:val="auto"/>
          <w:sz w:val="21"/>
          <w:szCs w:val="22"/>
        </w:rPr>
        <w:t>：一日内颗粒物</w:t>
      </w:r>
      <w:r>
        <w:rPr>
          <w:rFonts w:ascii="Times New Roman" w:eastAsia="Times New Roman"/>
          <w:color w:val="auto"/>
          <w:sz w:val="21"/>
          <w:szCs w:val="22"/>
        </w:rPr>
        <w:t>15</w:t>
      </w:r>
      <w:r>
        <w:rPr>
          <w:rFonts w:hint="eastAsia" w:ascii="仿宋" w:eastAsia="仿宋"/>
          <w:color w:val="auto"/>
          <w:sz w:val="21"/>
          <w:szCs w:val="22"/>
        </w:rPr>
        <w:t>分钟浓度均值超过监控点浓度限值的次数。</w:t>
      </w:r>
    </w:p>
    <w:p w14:paraId="7E42915F">
      <w:pPr>
        <w:spacing w:line="360" w:lineRule="auto"/>
        <w:ind w:firstLine="480" w:firstLineChars="200"/>
        <w:rPr>
          <w:rFonts w:hint="eastAsia" w:ascii="Times New Roman" w:hAnsi="Times New Roman" w:eastAsia="宋体" w:cs="Times New Roman"/>
          <w:color w:val="auto"/>
          <w:sz w:val="24"/>
          <w:lang w:val="en-US" w:eastAsia="zh-CN"/>
        </w:rPr>
      </w:pPr>
      <w:r>
        <w:rPr>
          <w:rFonts w:hint="default" w:ascii="Times New Roman" w:hAnsi="Times New Roman" w:cs="Times New Roman"/>
          <w:color w:val="auto"/>
          <w:sz w:val="24"/>
          <w:lang w:val="en-US" w:eastAsia="en-US"/>
        </w:rPr>
        <w:t>施工期在用非道路柴油移动机械和车载柴油机设备的排气烟度执行《</w:t>
      </w:r>
      <w:r>
        <w:rPr>
          <w:rFonts w:hint="eastAsia" w:cs="Times New Roman"/>
          <w:color w:val="auto"/>
          <w:sz w:val="24"/>
          <w:lang w:val="en-US" w:eastAsia="zh-CN"/>
        </w:rPr>
        <w:t>非道路移动柴油机械排气烟度限值及测量方法</w:t>
      </w:r>
      <w:r>
        <w:rPr>
          <w:rFonts w:hint="default" w:ascii="Times New Roman" w:hAnsi="Times New Roman" w:cs="Times New Roman"/>
          <w:color w:val="auto"/>
          <w:sz w:val="24"/>
          <w:lang w:val="en-US" w:eastAsia="en-US"/>
        </w:rPr>
        <w:t>》（</w:t>
      </w:r>
      <w:r>
        <w:rPr>
          <w:rFonts w:hint="eastAsia" w:cs="Times New Roman"/>
          <w:color w:val="auto"/>
          <w:sz w:val="24"/>
          <w:lang w:val="en-US" w:eastAsia="zh-CN"/>
        </w:rPr>
        <w:t>GB 36886</w:t>
      </w:r>
      <w:r>
        <w:rPr>
          <w:rFonts w:hint="default" w:ascii="Times New Roman" w:hAnsi="Times New Roman" w:cs="Times New Roman"/>
          <w:color w:val="auto"/>
          <w:sz w:val="24"/>
          <w:lang w:val="en-US" w:eastAsia="en-US"/>
        </w:rPr>
        <w:t>-2018），排放标准如下</w:t>
      </w:r>
      <w:r>
        <w:rPr>
          <w:rFonts w:hint="eastAsia" w:cs="Times New Roman"/>
          <w:color w:val="auto"/>
          <w:sz w:val="24"/>
          <w:lang w:val="en-US" w:eastAsia="zh-CN"/>
        </w:rPr>
        <w:t>：</w:t>
      </w:r>
    </w:p>
    <w:p w14:paraId="04BDB650">
      <w:pPr>
        <w:keepNext w:val="0"/>
        <w:keepLines w:val="0"/>
        <w:pageBreakBefore w:val="0"/>
        <w:widowControl w:val="0"/>
        <w:tabs>
          <w:tab w:val="left" w:pos="6312"/>
        </w:tabs>
        <w:kinsoku/>
        <w:wordWrap/>
        <w:overflowPunct/>
        <w:topLinePunct w:val="0"/>
        <w:autoSpaceDE/>
        <w:autoSpaceDN/>
        <w:bidi w:val="0"/>
        <w:adjustRightInd/>
        <w:snapToGrid/>
        <w:ind w:left="0" w:right="0" w:firstLine="0"/>
        <w:jc w:val="center"/>
        <w:textAlignment w:val="auto"/>
        <w:rPr>
          <w:rFonts w:ascii="Times New Roman" w:hAnsi="Times New Roman" w:eastAsia="黑体" w:cs="Times New Roman"/>
          <w:color w:val="auto"/>
          <w:kern w:val="0"/>
          <w:sz w:val="24"/>
          <w:szCs w:val="24"/>
          <w:lang w:val="en-US" w:eastAsia="en-US" w:bidi="ar-SA"/>
        </w:rPr>
      </w:pPr>
      <w:r>
        <w:rPr>
          <w:rFonts w:ascii="Times New Roman" w:hAnsi="Times New Roman" w:eastAsia="黑体" w:cs="Times New Roman"/>
          <w:color w:val="auto"/>
          <w:kern w:val="0"/>
          <w:sz w:val="24"/>
          <w:szCs w:val="24"/>
          <w:lang w:val="en-US" w:eastAsia="en-US" w:bidi="ar-SA"/>
        </w:rPr>
        <w:t xml:space="preserve">表 </w:t>
      </w:r>
      <w:r>
        <w:rPr>
          <w:rFonts w:hint="eastAsia" w:eastAsia="黑体" w:cs="Times New Roman"/>
          <w:color w:val="auto"/>
          <w:kern w:val="0"/>
          <w:sz w:val="24"/>
          <w:szCs w:val="24"/>
          <w:lang w:val="en-US" w:eastAsia="zh-CN" w:bidi="ar-SA"/>
        </w:rPr>
        <w:t xml:space="preserve">2.2-8 </w:t>
      </w:r>
      <w:r>
        <w:rPr>
          <w:rFonts w:ascii="Times New Roman" w:hAnsi="Times New Roman" w:eastAsia="黑体" w:cs="Times New Roman"/>
          <w:color w:val="auto"/>
          <w:kern w:val="0"/>
          <w:sz w:val="24"/>
          <w:szCs w:val="24"/>
          <w:lang w:val="en-US" w:eastAsia="en-US" w:bidi="ar-SA"/>
        </w:rPr>
        <w:t xml:space="preserve"> 在用非道路柴油移动机械和车载柴油机设备的排气烟度限值</w:t>
      </w:r>
    </w:p>
    <w:tbl>
      <w:tblPr>
        <w:tblStyle w:val="53"/>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130"/>
        <w:gridCol w:w="2692"/>
        <w:gridCol w:w="2550"/>
        <w:gridCol w:w="2572"/>
      </w:tblGrid>
      <w:tr w14:paraId="5CF1B4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30" w:type="dxa"/>
            <w:vAlign w:val="center"/>
          </w:tcPr>
          <w:p w14:paraId="4C231D4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lang w:val="en-US" w:eastAsia="en-US"/>
              </w:rPr>
            </w:pPr>
            <w:r>
              <w:rPr>
                <w:rFonts w:hint="default" w:ascii="Times New Roman" w:hAnsi="Times New Roman" w:eastAsia="宋体" w:cs="Times New Roman"/>
                <w:b/>
                <w:bCs/>
                <w:color w:val="auto"/>
                <w:sz w:val="21"/>
                <w:szCs w:val="21"/>
                <w:lang w:val="en-US" w:eastAsia="en-US"/>
              </w:rPr>
              <w:t>类别</w:t>
            </w:r>
          </w:p>
        </w:tc>
        <w:tc>
          <w:tcPr>
            <w:tcW w:w="2692" w:type="dxa"/>
            <w:vAlign w:val="center"/>
          </w:tcPr>
          <w:p w14:paraId="7232D977">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lang w:val="en-US" w:eastAsia="en-US"/>
              </w:rPr>
            </w:pPr>
            <w:r>
              <w:rPr>
                <w:rFonts w:hint="default" w:ascii="Times New Roman" w:hAnsi="Times New Roman" w:eastAsia="宋体" w:cs="Times New Roman"/>
                <w:b/>
                <w:bCs/>
                <w:color w:val="auto"/>
                <w:sz w:val="21"/>
                <w:szCs w:val="21"/>
                <w:lang w:val="en-US" w:eastAsia="en-US"/>
              </w:rPr>
              <w:t>额定净功率（P</w:t>
            </w:r>
            <w:r>
              <w:rPr>
                <w:rFonts w:hint="default" w:ascii="Times New Roman" w:hAnsi="Times New Roman" w:eastAsia="宋体" w:cs="Times New Roman"/>
                <w:b/>
                <w:bCs/>
                <w:color w:val="auto"/>
                <w:sz w:val="21"/>
                <w:szCs w:val="21"/>
                <w:vertAlign w:val="subscript"/>
                <w:lang w:val="en-US" w:eastAsia="en-US"/>
              </w:rPr>
              <w:t>max</w:t>
            </w:r>
            <w:r>
              <w:rPr>
                <w:rFonts w:hint="default" w:ascii="Times New Roman" w:hAnsi="Times New Roman" w:eastAsia="宋体" w:cs="Times New Roman"/>
                <w:b/>
                <w:bCs/>
                <w:color w:val="auto"/>
                <w:sz w:val="21"/>
                <w:szCs w:val="21"/>
                <w:lang w:val="en-US" w:eastAsia="en-US"/>
              </w:rPr>
              <w:t>）</w:t>
            </w:r>
          </w:p>
          <w:p w14:paraId="392C0EF0">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lang w:val="en-US" w:eastAsia="en-US"/>
              </w:rPr>
            </w:pPr>
            <w:r>
              <w:rPr>
                <w:rFonts w:hint="eastAsia" w:cs="Times New Roman"/>
                <w:b/>
                <w:bCs/>
                <w:color w:val="auto"/>
                <w:sz w:val="21"/>
                <w:szCs w:val="21"/>
                <w:lang w:val="en-US" w:eastAsia="zh-CN"/>
              </w:rPr>
              <w:t>(</w:t>
            </w:r>
            <w:r>
              <w:rPr>
                <w:rFonts w:hint="default" w:ascii="Times New Roman" w:hAnsi="Times New Roman" w:eastAsia="宋体" w:cs="Times New Roman"/>
                <w:b/>
                <w:bCs/>
                <w:color w:val="auto"/>
                <w:sz w:val="21"/>
                <w:szCs w:val="21"/>
                <w:lang w:val="en-US" w:eastAsia="en-US"/>
              </w:rPr>
              <w:t>kW</w:t>
            </w:r>
            <w:r>
              <w:rPr>
                <w:rFonts w:hint="eastAsia" w:cs="Times New Roman"/>
                <w:b/>
                <w:bCs/>
                <w:color w:val="auto"/>
                <w:sz w:val="21"/>
                <w:szCs w:val="21"/>
                <w:lang w:val="en-US" w:eastAsia="zh-CN"/>
              </w:rPr>
              <w:t>)</w:t>
            </w:r>
          </w:p>
        </w:tc>
        <w:tc>
          <w:tcPr>
            <w:tcW w:w="2550" w:type="dxa"/>
            <w:vAlign w:val="center"/>
          </w:tcPr>
          <w:p w14:paraId="68C0C9C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lang w:val="en-US" w:eastAsia="en-US"/>
              </w:rPr>
            </w:pPr>
            <w:r>
              <w:rPr>
                <w:rFonts w:hint="default" w:ascii="Times New Roman" w:hAnsi="Times New Roman" w:eastAsia="宋体" w:cs="Times New Roman"/>
                <w:b/>
                <w:bCs/>
                <w:color w:val="auto"/>
                <w:sz w:val="21"/>
                <w:szCs w:val="21"/>
                <w:lang w:val="en-US" w:eastAsia="en-US"/>
              </w:rPr>
              <w:t>光吸收系数（m</w:t>
            </w:r>
            <w:r>
              <w:rPr>
                <w:rFonts w:hint="default" w:ascii="Times New Roman" w:hAnsi="Times New Roman" w:eastAsia="宋体" w:cs="Times New Roman"/>
                <w:b/>
                <w:bCs/>
                <w:color w:val="auto"/>
                <w:sz w:val="21"/>
                <w:szCs w:val="21"/>
                <w:vertAlign w:val="superscript"/>
                <w:lang w:val="en-US" w:eastAsia="en-US"/>
              </w:rPr>
              <w:t>-1</w:t>
            </w:r>
            <w:r>
              <w:rPr>
                <w:rFonts w:hint="default" w:ascii="Times New Roman" w:hAnsi="Times New Roman" w:eastAsia="宋体" w:cs="Times New Roman"/>
                <w:b/>
                <w:bCs/>
                <w:color w:val="auto"/>
                <w:sz w:val="21"/>
                <w:szCs w:val="21"/>
                <w:lang w:val="en-US" w:eastAsia="en-US"/>
              </w:rPr>
              <w:t>）</w:t>
            </w:r>
          </w:p>
        </w:tc>
        <w:tc>
          <w:tcPr>
            <w:tcW w:w="2572" w:type="dxa"/>
            <w:vAlign w:val="center"/>
          </w:tcPr>
          <w:p w14:paraId="71EA3B77">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lang w:val="en-US" w:eastAsia="en-US"/>
              </w:rPr>
            </w:pPr>
            <w:r>
              <w:rPr>
                <w:rFonts w:hint="default" w:ascii="Times New Roman" w:hAnsi="Times New Roman" w:eastAsia="宋体" w:cs="Times New Roman"/>
                <w:b/>
                <w:bCs/>
                <w:color w:val="auto"/>
                <w:sz w:val="21"/>
                <w:szCs w:val="21"/>
                <w:lang w:val="en-US" w:eastAsia="en-US"/>
              </w:rPr>
              <w:t>林格曼黑度级数</w:t>
            </w:r>
          </w:p>
        </w:tc>
      </w:tr>
      <w:tr w14:paraId="07356A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30" w:type="dxa"/>
            <w:vMerge w:val="restart"/>
            <w:vAlign w:val="center"/>
          </w:tcPr>
          <w:p w14:paraId="628560A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Ⅰ类</w:t>
            </w:r>
          </w:p>
        </w:tc>
        <w:tc>
          <w:tcPr>
            <w:tcW w:w="2692" w:type="dxa"/>
            <w:vAlign w:val="center"/>
          </w:tcPr>
          <w:p w14:paraId="654E261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P</w:t>
            </w:r>
            <w:r>
              <w:rPr>
                <w:rFonts w:hint="default" w:ascii="Times New Roman" w:hAnsi="Times New Roman" w:eastAsia="宋体" w:cs="Times New Roman"/>
                <w:color w:val="auto"/>
                <w:sz w:val="21"/>
                <w:szCs w:val="21"/>
                <w:vertAlign w:val="subscript"/>
                <w:lang w:val="en-US" w:eastAsia="en-US"/>
              </w:rPr>
              <w:t xml:space="preserve">max </w:t>
            </w:r>
            <w:r>
              <w:rPr>
                <w:rFonts w:hint="default" w:ascii="Times New Roman" w:hAnsi="Times New Roman" w:eastAsia="宋体" w:cs="Times New Roman"/>
                <w:color w:val="auto"/>
                <w:sz w:val="21"/>
                <w:szCs w:val="21"/>
                <w:lang w:val="en-US" w:eastAsia="en-US"/>
              </w:rPr>
              <w:t>&lt;19</w:t>
            </w:r>
          </w:p>
        </w:tc>
        <w:tc>
          <w:tcPr>
            <w:tcW w:w="2550" w:type="dxa"/>
            <w:vAlign w:val="center"/>
          </w:tcPr>
          <w:p w14:paraId="26DB31F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3.00</w:t>
            </w:r>
          </w:p>
        </w:tc>
        <w:tc>
          <w:tcPr>
            <w:tcW w:w="2572" w:type="dxa"/>
            <w:vMerge w:val="restart"/>
            <w:vAlign w:val="center"/>
          </w:tcPr>
          <w:p w14:paraId="0C423EA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1</w:t>
            </w:r>
          </w:p>
        </w:tc>
      </w:tr>
      <w:tr w14:paraId="491F4E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30" w:type="dxa"/>
            <w:vMerge w:val="continue"/>
            <w:tcBorders>
              <w:top w:val="nil"/>
            </w:tcBorders>
            <w:vAlign w:val="center"/>
          </w:tcPr>
          <w:p w14:paraId="214186E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p>
        </w:tc>
        <w:tc>
          <w:tcPr>
            <w:tcW w:w="2692" w:type="dxa"/>
            <w:vAlign w:val="center"/>
          </w:tcPr>
          <w:p w14:paraId="5522FED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19≤P</w:t>
            </w:r>
            <w:r>
              <w:rPr>
                <w:rFonts w:hint="default" w:ascii="Times New Roman" w:hAnsi="Times New Roman" w:eastAsia="宋体" w:cs="Times New Roman"/>
                <w:color w:val="auto"/>
                <w:sz w:val="21"/>
                <w:szCs w:val="21"/>
                <w:vertAlign w:val="subscript"/>
                <w:lang w:val="en-US" w:eastAsia="en-US"/>
              </w:rPr>
              <w:t>max</w:t>
            </w:r>
            <w:r>
              <w:rPr>
                <w:rFonts w:hint="default" w:ascii="Times New Roman" w:hAnsi="Times New Roman" w:eastAsia="宋体" w:cs="Times New Roman"/>
                <w:color w:val="auto"/>
                <w:sz w:val="21"/>
                <w:szCs w:val="21"/>
                <w:lang w:val="en-US" w:eastAsia="en-US"/>
              </w:rPr>
              <w:t>&lt;37</w:t>
            </w:r>
          </w:p>
        </w:tc>
        <w:tc>
          <w:tcPr>
            <w:tcW w:w="2550" w:type="dxa"/>
            <w:vAlign w:val="center"/>
          </w:tcPr>
          <w:p w14:paraId="184CB5D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2.00</w:t>
            </w:r>
          </w:p>
        </w:tc>
        <w:tc>
          <w:tcPr>
            <w:tcW w:w="2572" w:type="dxa"/>
            <w:vMerge w:val="continue"/>
            <w:tcBorders>
              <w:top w:val="nil"/>
            </w:tcBorders>
            <w:vAlign w:val="center"/>
          </w:tcPr>
          <w:p w14:paraId="1437ACD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p>
        </w:tc>
      </w:tr>
      <w:tr w14:paraId="51CFEC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23" w:hRule="atLeast"/>
          <w:jc w:val="center"/>
        </w:trPr>
        <w:tc>
          <w:tcPr>
            <w:tcW w:w="1130" w:type="dxa"/>
            <w:vMerge w:val="continue"/>
            <w:tcBorders>
              <w:top w:val="nil"/>
            </w:tcBorders>
            <w:vAlign w:val="center"/>
          </w:tcPr>
          <w:p w14:paraId="38E403B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p>
        </w:tc>
        <w:tc>
          <w:tcPr>
            <w:tcW w:w="2692" w:type="dxa"/>
            <w:vAlign w:val="center"/>
          </w:tcPr>
          <w:p w14:paraId="1058164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37≤P</w:t>
            </w:r>
            <w:r>
              <w:rPr>
                <w:rFonts w:hint="default" w:ascii="Times New Roman" w:hAnsi="Times New Roman" w:eastAsia="宋体" w:cs="Times New Roman"/>
                <w:color w:val="auto"/>
                <w:sz w:val="21"/>
                <w:szCs w:val="21"/>
                <w:vertAlign w:val="subscript"/>
                <w:lang w:val="en-US" w:eastAsia="en-US"/>
              </w:rPr>
              <w:t>max</w:t>
            </w:r>
            <w:r>
              <w:rPr>
                <w:rFonts w:hint="default" w:ascii="Times New Roman" w:hAnsi="Times New Roman" w:eastAsia="宋体" w:cs="Times New Roman"/>
                <w:color w:val="auto"/>
                <w:sz w:val="21"/>
                <w:szCs w:val="21"/>
                <w:lang w:val="en-US" w:eastAsia="en-US"/>
              </w:rPr>
              <w:t>≤560</w:t>
            </w:r>
          </w:p>
        </w:tc>
        <w:tc>
          <w:tcPr>
            <w:tcW w:w="2550" w:type="dxa"/>
            <w:vAlign w:val="center"/>
          </w:tcPr>
          <w:p w14:paraId="4F4FC73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1.61</w:t>
            </w:r>
          </w:p>
        </w:tc>
        <w:tc>
          <w:tcPr>
            <w:tcW w:w="2572" w:type="dxa"/>
            <w:vMerge w:val="continue"/>
            <w:tcBorders>
              <w:top w:val="nil"/>
            </w:tcBorders>
            <w:vAlign w:val="center"/>
          </w:tcPr>
          <w:p w14:paraId="3826AE4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p>
        </w:tc>
      </w:tr>
      <w:tr w14:paraId="0ADBF4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30" w:type="dxa"/>
            <w:vMerge w:val="restart"/>
            <w:vAlign w:val="center"/>
          </w:tcPr>
          <w:p w14:paraId="1CBF827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Ⅱ类</w:t>
            </w:r>
          </w:p>
        </w:tc>
        <w:tc>
          <w:tcPr>
            <w:tcW w:w="2692" w:type="dxa"/>
            <w:vAlign w:val="center"/>
          </w:tcPr>
          <w:p w14:paraId="4D1E97E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P</w:t>
            </w:r>
            <w:r>
              <w:rPr>
                <w:rFonts w:hint="default" w:ascii="Times New Roman" w:hAnsi="Times New Roman" w:eastAsia="宋体" w:cs="Times New Roman"/>
                <w:color w:val="auto"/>
                <w:sz w:val="21"/>
                <w:szCs w:val="21"/>
                <w:vertAlign w:val="subscript"/>
                <w:lang w:val="en-US" w:eastAsia="en-US"/>
              </w:rPr>
              <w:t>max</w:t>
            </w:r>
            <w:r>
              <w:rPr>
                <w:rFonts w:hint="default" w:ascii="Times New Roman" w:hAnsi="Times New Roman" w:eastAsia="宋体" w:cs="Times New Roman"/>
                <w:color w:val="auto"/>
                <w:sz w:val="21"/>
                <w:szCs w:val="21"/>
                <w:lang w:val="en-US" w:eastAsia="en-US"/>
              </w:rPr>
              <w:t xml:space="preserve"> &lt;19</w:t>
            </w:r>
          </w:p>
        </w:tc>
        <w:tc>
          <w:tcPr>
            <w:tcW w:w="2550" w:type="dxa"/>
            <w:vAlign w:val="center"/>
          </w:tcPr>
          <w:p w14:paraId="35D66DA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2.00</w:t>
            </w:r>
          </w:p>
        </w:tc>
        <w:tc>
          <w:tcPr>
            <w:tcW w:w="2572" w:type="dxa"/>
            <w:vAlign w:val="center"/>
          </w:tcPr>
          <w:p w14:paraId="6083479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1</w:t>
            </w:r>
          </w:p>
        </w:tc>
      </w:tr>
      <w:tr w14:paraId="5B24F0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30" w:type="dxa"/>
            <w:vMerge w:val="continue"/>
            <w:tcBorders>
              <w:top w:val="nil"/>
            </w:tcBorders>
            <w:vAlign w:val="center"/>
          </w:tcPr>
          <w:p w14:paraId="2FB75B1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p>
        </w:tc>
        <w:tc>
          <w:tcPr>
            <w:tcW w:w="2692" w:type="dxa"/>
            <w:vAlign w:val="center"/>
          </w:tcPr>
          <w:p w14:paraId="752BE6D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19≤P</w:t>
            </w:r>
            <w:r>
              <w:rPr>
                <w:rFonts w:hint="default" w:ascii="Times New Roman" w:hAnsi="Times New Roman" w:eastAsia="宋体" w:cs="Times New Roman"/>
                <w:color w:val="auto"/>
                <w:sz w:val="21"/>
                <w:szCs w:val="21"/>
                <w:vertAlign w:val="subscript"/>
                <w:lang w:val="en-US" w:eastAsia="en-US"/>
              </w:rPr>
              <w:t>max</w:t>
            </w:r>
            <w:r>
              <w:rPr>
                <w:rFonts w:hint="default" w:ascii="Times New Roman" w:hAnsi="Times New Roman" w:eastAsia="宋体" w:cs="Times New Roman"/>
                <w:color w:val="auto"/>
                <w:sz w:val="21"/>
                <w:szCs w:val="21"/>
                <w:lang w:val="en-US" w:eastAsia="en-US"/>
              </w:rPr>
              <w:t>&lt;37</w:t>
            </w:r>
          </w:p>
        </w:tc>
        <w:tc>
          <w:tcPr>
            <w:tcW w:w="2550" w:type="dxa"/>
            <w:vAlign w:val="center"/>
          </w:tcPr>
          <w:p w14:paraId="09FDA9F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1.00</w:t>
            </w:r>
          </w:p>
        </w:tc>
        <w:tc>
          <w:tcPr>
            <w:tcW w:w="2572" w:type="dxa"/>
            <w:vMerge w:val="restart"/>
            <w:vAlign w:val="center"/>
          </w:tcPr>
          <w:p w14:paraId="36CFE93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1（不能有可见烟）</w:t>
            </w:r>
          </w:p>
        </w:tc>
      </w:tr>
      <w:tr w14:paraId="04D93D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30" w:type="dxa"/>
            <w:vMerge w:val="continue"/>
            <w:tcBorders>
              <w:top w:val="nil"/>
            </w:tcBorders>
            <w:vAlign w:val="center"/>
          </w:tcPr>
          <w:p w14:paraId="00049B7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p>
        </w:tc>
        <w:tc>
          <w:tcPr>
            <w:tcW w:w="2692" w:type="dxa"/>
            <w:vAlign w:val="center"/>
          </w:tcPr>
          <w:p w14:paraId="70077AA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P</w:t>
            </w:r>
            <w:r>
              <w:rPr>
                <w:rFonts w:hint="default" w:ascii="Times New Roman" w:hAnsi="Times New Roman" w:eastAsia="宋体" w:cs="Times New Roman"/>
                <w:color w:val="auto"/>
                <w:sz w:val="21"/>
                <w:szCs w:val="21"/>
                <w:vertAlign w:val="subscript"/>
                <w:lang w:val="en-US" w:eastAsia="en-US"/>
              </w:rPr>
              <w:t>max</w:t>
            </w:r>
            <w:r>
              <w:rPr>
                <w:rFonts w:hint="default" w:ascii="Times New Roman" w:hAnsi="Times New Roman" w:eastAsia="宋体" w:cs="Times New Roman"/>
                <w:color w:val="auto"/>
                <w:sz w:val="21"/>
                <w:szCs w:val="21"/>
                <w:lang w:val="en-US" w:eastAsia="en-US"/>
              </w:rPr>
              <w:t>≥37</w:t>
            </w:r>
          </w:p>
        </w:tc>
        <w:tc>
          <w:tcPr>
            <w:tcW w:w="2550" w:type="dxa"/>
            <w:vAlign w:val="center"/>
          </w:tcPr>
          <w:p w14:paraId="5C9D2A5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0.80</w:t>
            </w:r>
          </w:p>
        </w:tc>
        <w:tc>
          <w:tcPr>
            <w:tcW w:w="2572" w:type="dxa"/>
            <w:vMerge w:val="continue"/>
            <w:tcBorders>
              <w:top w:val="nil"/>
            </w:tcBorders>
            <w:vAlign w:val="center"/>
          </w:tcPr>
          <w:p w14:paraId="5F8ECBB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p>
        </w:tc>
      </w:tr>
      <w:tr w14:paraId="5CBEA7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30" w:type="dxa"/>
            <w:vMerge w:val="restart"/>
            <w:vAlign w:val="center"/>
          </w:tcPr>
          <w:p w14:paraId="0AB9C58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Ⅲ类</w:t>
            </w:r>
          </w:p>
        </w:tc>
        <w:tc>
          <w:tcPr>
            <w:tcW w:w="2692" w:type="dxa"/>
            <w:vAlign w:val="center"/>
          </w:tcPr>
          <w:p w14:paraId="7D75CA4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P</w:t>
            </w:r>
            <w:r>
              <w:rPr>
                <w:rFonts w:hint="default" w:ascii="Times New Roman" w:hAnsi="Times New Roman" w:eastAsia="宋体" w:cs="Times New Roman"/>
                <w:color w:val="auto"/>
                <w:sz w:val="21"/>
                <w:szCs w:val="21"/>
                <w:vertAlign w:val="subscript"/>
                <w:lang w:val="en-US" w:eastAsia="en-US"/>
              </w:rPr>
              <w:t>max</w:t>
            </w:r>
            <w:r>
              <w:rPr>
                <w:rFonts w:hint="default" w:ascii="Times New Roman" w:hAnsi="Times New Roman" w:eastAsia="宋体" w:cs="Times New Roman"/>
                <w:color w:val="auto"/>
                <w:sz w:val="21"/>
                <w:szCs w:val="21"/>
                <w:lang w:val="en-US" w:eastAsia="en-US"/>
              </w:rPr>
              <w:t>≥37</w:t>
            </w:r>
          </w:p>
        </w:tc>
        <w:tc>
          <w:tcPr>
            <w:tcW w:w="2550" w:type="dxa"/>
            <w:vAlign w:val="center"/>
          </w:tcPr>
          <w:p w14:paraId="5EF06F8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0.50</w:t>
            </w:r>
          </w:p>
        </w:tc>
        <w:tc>
          <w:tcPr>
            <w:tcW w:w="2572" w:type="dxa"/>
            <w:vMerge w:val="restart"/>
            <w:vAlign w:val="center"/>
          </w:tcPr>
          <w:p w14:paraId="1E7C141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1（不能有可见烟）</w:t>
            </w:r>
          </w:p>
        </w:tc>
      </w:tr>
      <w:tr w14:paraId="1BD0A3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1130" w:type="dxa"/>
            <w:vMerge w:val="continue"/>
            <w:tcBorders>
              <w:top w:val="nil"/>
            </w:tcBorders>
            <w:vAlign w:val="center"/>
          </w:tcPr>
          <w:p w14:paraId="4DA9AE2D">
            <w:pPr>
              <w:keepNext w:val="0"/>
              <w:keepLines w:val="0"/>
              <w:suppressLineNumbers w:val="0"/>
              <w:autoSpaceDE w:val="0"/>
              <w:autoSpaceDN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lang w:eastAsia="en-US"/>
              </w:rPr>
            </w:pPr>
          </w:p>
        </w:tc>
        <w:tc>
          <w:tcPr>
            <w:tcW w:w="2692" w:type="dxa"/>
            <w:vAlign w:val="center"/>
          </w:tcPr>
          <w:p w14:paraId="37F329E1">
            <w:pPr>
              <w:keepNext w:val="0"/>
              <w:keepLines w:val="0"/>
              <w:widowControl w:val="0"/>
              <w:suppressLineNumbers w:val="0"/>
              <w:autoSpaceDE w:val="0"/>
              <w:autoSpaceDN w:val="0"/>
              <w:spacing w:before="0" w:beforeAutospacing="0" w:after="0" w:afterAutospacing="0" w:line="222" w:lineRule="exact"/>
              <w:ind w:left="398" w:right="39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position w:val="2"/>
                <w:sz w:val="21"/>
                <w:szCs w:val="21"/>
                <w:lang w:val="en-US" w:eastAsia="en-US" w:bidi="ar-SA"/>
              </w:rPr>
              <w:t>P</w:t>
            </w:r>
            <w:r>
              <w:rPr>
                <w:rFonts w:hint="default" w:ascii="Times New Roman" w:hAnsi="Times New Roman" w:eastAsia="宋体" w:cs="Times New Roman"/>
                <w:color w:val="auto"/>
                <w:position w:val="2"/>
                <w:sz w:val="21"/>
                <w:szCs w:val="21"/>
                <w:vertAlign w:val="subscript"/>
                <w:lang w:val="en-US" w:eastAsia="en-US" w:bidi="ar-SA"/>
              </w:rPr>
              <w:t>max</w:t>
            </w:r>
            <w:r>
              <w:rPr>
                <w:rFonts w:hint="default" w:ascii="Times New Roman" w:hAnsi="Times New Roman" w:eastAsia="宋体" w:cs="Times New Roman"/>
                <w:color w:val="auto"/>
                <w:position w:val="2"/>
                <w:sz w:val="21"/>
                <w:szCs w:val="21"/>
                <w:vertAlign w:val="baseline"/>
                <w:lang w:val="en-US" w:eastAsia="en-US" w:bidi="ar-SA"/>
              </w:rPr>
              <w:t>&lt;37</w:t>
            </w:r>
          </w:p>
        </w:tc>
        <w:tc>
          <w:tcPr>
            <w:tcW w:w="2550" w:type="dxa"/>
            <w:vAlign w:val="center"/>
          </w:tcPr>
          <w:p w14:paraId="23ED151E">
            <w:pPr>
              <w:keepNext w:val="0"/>
              <w:keepLines w:val="0"/>
              <w:widowControl w:val="0"/>
              <w:suppressLineNumbers w:val="0"/>
              <w:autoSpaceDE w:val="0"/>
              <w:autoSpaceDN w:val="0"/>
              <w:spacing w:before="0" w:beforeAutospacing="0" w:after="0" w:afterAutospacing="0" w:line="221" w:lineRule="exact"/>
              <w:ind w:left="371" w:right="361"/>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0.80</w:t>
            </w:r>
          </w:p>
        </w:tc>
        <w:tc>
          <w:tcPr>
            <w:tcW w:w="2572" w:type="dxa"/>
            <w:vMerge w:val="continue"/>
            <w:tcBorders>
              <w:top w:val="nil"/>
            </w:tcBorders>
            <w:vAlign w:val="center"/>
          </w:tcPr>
          <w:p w14:paraId="2FF95555">
            <w:pPr>
              <w:keepNext w:val="0"/>
              <w:keepLines w:val="0"/>
              <w:suppressLineNumbers w:val="0"/>
              <w:autoSpaceDE w:val="0"/>
              <w:autoSpaceDN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lang w:eastAsia="en-US"/>
              </w:rPr>
            </w:pPr>
          </w:p>
        </w:tc>
      </w:tr>
    </w:tbl>
    <w:p w14:paraId="02C4B295">
      <w:pPr>
        <w:spacing w:line="360" w:lineRule="auto"/>
        <w:ind w:firstLine="480" w:firstLineChars="200"/>
        <w:rPr>
          <w:rFonts w:hint="default" w:ascii="Times New Roman" w:hAnsi="Times New Roman" w:cs="Times New Roman"/>
          <w:color w:val="auto"/>
          <w:sz w:val="24"/>
          <w:lang w:val="en-US" w:eastAsia="en-US"/>
        </w:rPr>
      </w:pPr>
      <w:r>
        <w:rPr>
          <w:rFonts w:hint="default" w:ascii="Times New Roman" w:hAnsi="Times New Roman" w:cs="Times New Roman"/>
          <w:color w:val="auto"/>
          <w:sz w:val="24"/>
          <w:lang w:val="en-US" w:eastAsia="en-US"/>
        </w:rPr>
        <w:t>其中，</w:t>
      </w:r>
      <w:r>
        <w:rPr>
          <w:rFonts w:hint="eastAsia" w:cs="Times New Roman"/>
          <w:color w:val="auto"/>
          <w:sz w:val="24"/>
          <w:lang w:val="en-US" w:eastAsia="zh-CN"/>
        </w:rPr>
        <w:t>GB 20891-2014</w:t>
      </w:r>
      <w:r>
        <w:rPr>
          <w:rFonts w:hint="default" w:ascii="Times New Roman" w:hAnsi="Times New Roman" w:cs="Times New Roman"/>
          <w:color w:val="auto"/>
          <w:sz w:val="24"/>
          <w:lang w:val="en-US" w:eastAsia="en-US"/>
        </w:rPr>
        <w:t xml:space="preserve"> 第二及以前阶段排放标准的非道路移动机械，执行Ⅰ类限值； </w:t>
      </w:r>
      <w:r>
        <w:rPr>
          <w:rFonts w:hint="eastAsia" w:cs="Times New Roman"/>
          <w:color w:val="auto"/>
          <w:sz w:val="24"/>
          <w:lang w:val="en-US" w:eastAsia="zh-CN"/>
        </w:rPr>
        <w:t>GB 20891</w:t>
      </w:r>
      <w:r>
        <w:rPr>
          <w:rFonts w:hint="default" w:ascii="Times New Roman" w:hAnsi="Times New Roman" w:cs="Times New Roman"/>
          <w:color w:val="auto"/>
          <w:sz w:val="24"/>
          <w:lang w:val="en-US" w:eastAsia="en-US"/>
        </w:rPr>
        <w:t>-2014 第三及以后阶段排放标准的非道路移动机械，执行Ⅱ类限值；城市人民政府可以根据大气环境质量状况，划定并公布禁止使用高排放非道路柴油移动机械的区域，限定区域内可选择执行Ⅲ类限值。</w:t>
      </w:r>
    </w:p>
    <w:p w14:paraId="172CD71B">
      <w:pPr>
        <w:spacing w:line="360" w:lineRule="auto"/>
        <w:ind w:firstLine="480" w:firstLineChars="200"/>
        <w:rPr>
          <w:rFonts w:hint="default" w:ascii="Times New Roman" w:hAnsi="Times New Roman" w:cs="Times New Roman"/>
          <w:color w:val="auto"/>
          <w:sz w:val="24"/>
          <w:lang w:val="en-US" w:eastAsia="en-US"/>
        </w:rPr>
      </w:pPr>
      <w:r>
        <w:rPr>
          <w:rFonts w:hint="default" w:ascii="Times New Roman" w:hAnsi="Times New Roman" w:cs="Times New Roman"/>
          <w:color w:val="auto"/>
          <w:sz w:val="24"/>
          <w:lang w:val="en-US" w:eastAsia="en-US"/>
        </w:rPr>
        <w:t>施工期2014年10月1日后购买的非道路移动机械用柴油机排气执行《非道路移动机械用柴油机排气污染物排放限值及测量方法（中国第三、四阶段）》（GB20891-2014），排放标准如下：</w:t>
      </w:r>
    </w:p>
    <w:p w14:paraId="43739467">
      <w:pPr>
        <w:keepNext w:val="0"/>
        <w:keepLines w:val="0"/>
        <w:pageBreakBefore w:val="0"/>
        <w:widowControl w:val="0"/>
        <w:tabs>
          <w:tab w:val="left" w:pos="6312"/>
        </w:tabs>
        <w:kinsoku/>
        <w:wordWrap/>
        <w:overflowPunct/>
        <w:topLinePunct w:val="0"/>
        <w:autoSpaceDE/>
        <w:autoSpaceDN/>
        <w:bidi w:val="0"/>
        <w:adjustRightInd/>
        <w:snapToGrid/>
        <w:ind w:left="0" w:right="0" w:firstLine="0"/>
        <w:jc w:val="center"/>
        <w:textAlignment w:val="auto"/>
        <w:rPr>
          <w:rFonts w:ascii="Times New Roman" w:hAnsi="Times New Roman" w:eastAsia="黑体" w:cs="Times New Roman"/>
          <w:color w:val="auto"/>
          <w:kern w:val="0"/>
          <w:sz w:val="24"/>
          <w:szCs w:val="24"/>
          <w:lang w:val="en-US" w:eastAsia="en-US" w:bidi="ar-SA"/>
        </w:rPr>
      </w:pPr>
      <w:r>
        <w:rPr>
          <w:rFonts w:ascii="Times New Roman" w:hAnsi="Times New Roman" w:eastAsia="黑体" w:cs="Times New Roman"/>
          <w:color w:val="auto"/>
          <w:kern w:val="0"/>
          <w:sz w:val="24"/>
          <w:szCs w:val="24"/>
          <w:lang w:val="en-US" w:eastAsia="en-US" w:bidi="ar-SA"/>
        </w:rPr>
        <w:t xml:space="preserve">表 </w:t>
      </w:r>
      <w:r>
        <w:rPr>
          <w:rFonts w:hint="eastAsia" w:eastAsia="黑体" w:cs="Times New Roman"/>
          <w:color w:val="auto"/>
          <w:kern w:val="0"/>
          <w:sz w:val="24"/>
          <w:szCs w:val="24"/>
          <w:lang w:val="en-US" w:eastAsia="zh-CN" w:bidi="ar-SA"/>
        </w:rPr>
        <w:t>2.2-9</w:t>
      </w:r>
      <w:r>
        <w:rPr>
          <w:rFonts w:ascii="Times New Roman" w:hAnsi="Times New Roman" w:eastAsia="黑体" w:cs="Times New Roman"/>
          <w:color w:val="auto"/>
          <w:kern w:val="0"/>
          <w:sz w:val="24"/>
          <w:szCs w:val="24"/>
          <w:lang w:val="en-US" w:eastAsia="en-US" w:bidi="ar-SA"/>
        </w:rPr>
        <w:t xml:space="preserve"> 非道路移动机械用柴油机排气污染物排放限值</w:t>
      </w:r>
    </w:p>
    <w:tbl>
      <w:tblPr>
        <w:tblStyle w:val="53"/>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562"/>
        <w:gridCol w:w="1846"/>
        <w:gridCol w:w="1277"/>
        <w:gridCol w:w="1275"/>
        <w:gridCol w:w="1493"/>
        <w:gridCol w:w="1251"/>
        <w:gridCol w:w="1246"/>
      </w:tblGrid>
      <w:tr w14:paraId="6BBD1C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62" w:type="dxa"/>
            <w:vAlign w:val="center"/>
          </w:tcPr>
          <w:p w14:paraId="0E54131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阶</w:t>
            </w:r>
          </w:p>
          <w:p w14:paraId="7ACBFAA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段</w:t>
            </w:r>
          </w:p>
        </w:tc>
        <w:tc>
          <w:tcPr>
            <w:tcW w:w="1846" w:type="dxa"/>
            <w:vAlign w:val="center"/>
          </w:tcPr>
          <w:p w14:paraId="19F15740">
            <w:pPr>
              <w:keepNext w:val="0"/>
              <w:keepLines w:val="0"/>
              <w:widowControl w:val="0"/>
              <w:suppressLineNumbers w:val="0"/>
              <w:autoSpaceDE w:val="0"/>
              <w:autoSpaceDN w:val="0"/>
              <w:spacing w:before="0" w:beforeAutospacing="0" w:after="0" w:afterAutospacing="0" w:line="307" w:lineRule="exact"/>
              <w:ind w:left="186" w:right="173"/>
              <w:jc w:val="center"/>
              <w:rPr>
                <w:rFonts w:hint="default" w:ascii="Times New Roman" w:hAnsi="Times New Roman" w:eastAsia="宋体" w:cs="Times New Roman"/>
                <w:b/>
                <w:color w:val="auto"/>
                <w:sz w:val="21"/>
                <w:szCs w:val="21"/>
                <w:lang w:val="en-US" w:eastAsia="en-US" w:bidi="ar-SA"/>
              </w:rPr>
            </w:pPr>
            <w:r>
              <w:rPr>
                <w:rFonts w:hint="default" w:ascii="Times New Roman" w:hAnsi="Times New Roman" w:eastAsia="宋体" w:cs="Times New Roman"/>
                <w:b/>
                <w:color w:val="auto"/>
                <w:sz w:val="21"/>
                <w:szCs w:val="21"/>
                <w:lang w:val="en-US" w:eastAsia="en-US" w:bidi="ar-SA"/>
              </w:rPr>
              <w:t>额定净功率</w:t>
            </w:r>
          </w:p>
          <w:p w14:paraId="1E15A953">
            <w:pPr>
              <w:keepNext w:val="0"/>
              <w:keepLines w:val="0"/>
              <w:widowControl w:val="0"/>
              <w:suppressLineNumbers w:val="0"/>
              <w:autoSpaceDE w:val="0"/>
              <w:autoSpaceDN w:val="0"/>
              <w:spacing w:before="0" w:beforeAutospacing="0" w:after="0" w:afterAutospacing="0" w:line="284" w:lineRule="exact"/>
              <w:ind w:left="188" w:right="173"/>
              <w:jc w:val="center"/>
              <w:rPr>
                <w:rFonts w:hint="default" w:ascii="Times New Roman" w:hAnsi="Times New Roman" w:eastAsia="宋体" w:cs="Times New Roman"/>
                <w:b/>
                <w:color w:val="auto"/>
                <w:sz w:val="21"/>
                <w:szCs w:val="21"/>
                <w:lang w:val="en-US" w:eastAsia="en-US" w:bidi="ar-SA"/>
              </w:rPr>
            </w:pPr>
            <w:r>
              <w:rPr>
                <w:rFonts w:hint="default" w:ascii="Times New Roman" w:hAnsi="Times New Roman" w:eastAsia="宋体" w:cs="Times New Roman"/>
                <w:b/>
                <w:color w:val="auto"/>
                <w:spacing w:val="-3"/>
                <w:w w:val="100"/>
                <w:position w:val="2"/>
                <w:sz w:val="21"/>
                <w:szCs w:val="21"/>
                <w:lang w:val="en-US" w:eastAsia="en-US" w:bidi="ar-SA"/>
              </w:rPr>
              <w:t>（</w:t>
            </w:r>
            <w:r>
              <w:rPr>
                <w:rFonts w:hint="default" w:ascii="Times New Roman" w:hAnsi="Times New Roman" w:eastAsia="宋体" w:cs="Times New Roman"/>
                <w:b/>
                <w:color w:val="auto"/>
                <w:w w:val="100"/>
                <w:position w:val="2"/>
                <w:sz w:val="21"/>
                <w:szCs w:val="21"/>
                <w:lang w:val="en-US" w:eastAsia="en-US" w:bidi="ar-SA"/>
              </w:rPr>
              <w:t>P</w:t>
            </w:r>
            <w:r>
              <w:rPr>
                <w:rFonts w:hint="default" w:ascii="Times New Roman" w:hAnsi="Times New Roman" w:eastAsia="宋体" w:cs="Times New Roman"/>
                <w:b/>
                <w:color w:val="auto"/>
                <w:spacing w:val="-1"/>
                <w:w w:val="97"/>
                <w:position w:val="2"/>
                <w:sz w:val="21"/>
                <w:szCs w:val="21"/>
                <w:vertAlign w:val="subscript"/>
                <w:lang w:val="en-US" w:eastAsia="en-US" w:bidi="ar-SA"/>
              </w:rPr>
              <w:t>m</w:t>
            </w:r>
            <w:r>
              <w:rPr>
                <w:rFonts w:hint="default" w:ascii="Times New Roman" w:hAnsi="Times New Roman" w:eastAsia="宋体" w:cs="Times New Roman"/>
                <w:b/>
                <w:color w:val="auto"/>
                <w:w w:val="97"/>
                <w:position w:val="2"/>
                <w:sz w:val="21"/>
                <w:szCs w:val="21"/>
                <w:vertAlign w:val="subscript"/>
                <w:lang w:val="en-US" w:eastAsia="en-US" w:bidi="ar-SA"/>
              </w:rPr>
              <w:t>a</w:t>
            </w:r>
            <w:r>
              <w:rPr>
                <w:rFonts w:hint="default" w:ascii="Times New Roman" w:hAnsi="Times New Roman" w:eastAsia="宋体" w:cs="Times New Roman"/>
                <w:b/>
                <w:color w:val="auto"/>
                <w:spacing w:val="2"/>
                <w:w w:val="97"/>
                <w:position w:val="2"/>
                <w:sz w:val="21"/>
                <w:szCs w:val="21"/>
                <w:vertAlign w:val="subscript"/>
                <w:lang w:val="en-US" w:eastAsia="en-US" w:bidi="ar-SA"/>
              </w:rPr>
              <w:t>x</w:t>
            </w:r>
            <w:r>
              <w:rPr>
                <w:rFonts w:hint="default" w:ascii="Times New Roman" w:hAnsi="Times New Roman" w:eastAsia="宋体" w:cs="Times New Roman"/>
                <w:b/>
                <w:color w:val="auto"/>
                <w:spacing w:val="-106"/>
                <w:w w:val="100"/>
                <w:position w:val="2"/>
                <w:sz w:val="21"/>
                <w:szCs w:val="21"/>
                <w:vertAlign w:val="baseline"/>
                <w:lang w:val="en-US" w:eastAsia="en-US" w:bidi="ar-SA"/>
              </w:rPr>
              <w:t>）</w:t>
            </w:r>
            <w:r>
              <w:rPr>
                <w:rFonts w:hint="default" w:ascii="Times New Roman" w:hAnsi="Times New Roman" w:eastAsia="宋体" w:cs="Times New Roman"/>
                <w:b/>
                <w:color w:val="auto"/>
                <w:spacing w:val="-3"/>
                <w:w w:val="100"/>
                <w:position w:val="2"/>
                <w:sz w:val="21"/>
                <w:szCs w:val="21"/>
                <w:vertAlign w:val="baseline"/>
                <w:lang w:val="en-US" w:eastAsia="en-US" w:bidi="ar-SA"/>
              </w:rPr>
              <w:t>（</w:t>
            </w:r>
            <w:r>
              <w:rPr>
                <w:rFonts w:hint="default" w:ascii="Times New Roman" w:hAnsi="Times New Roman" w:eastAsia="宋体" w:cs="Times New Roman"/>
                <w:b/>
                <w:color w:val="auto"/>
                <w:w w:val="100"/>
                <w:position w:val="2"/>
                <w:sz w:val="21"/>
                <w:szCs w:val="21"/>
                <w:vertAlign w:val="baseline"/>
                <w:lang w:val="en-US" w:eastAsia="en-US" w:bidi="ar-SA"/>
              </w:rPr>
              <w:t>kW）</w:t>
            </w:r>
          </w:p>
        </w:tc>
        <w:tc>
          <w:tcPr>
            <w:tcW w:w="1277" w:type="dxa"/>
            <w:vAlign w:val="center"/>
          </w:tcPr>
          <w:p w14:paraId="7A7010EC">
            <w:pPr>
              <w:keepNext w:val="0"/>
              <w:keepLines w:val="0"/>
              <w:widowControl w:val="0"/>
              <w:suppressLineNumbers w:val="0"/>
              <w:autoSpaceDE w:val="0"/>
              <w:autoSpaceDN w:val="0"/>
              <w:spacing w:before="31" w:beforeAutospacing="0" w:after="0" w:afterAutospacing="0" w:line="233" w:lineRule="exact"/>
              <w:ind w:left="60" w:right="52"/>
              <w:jc w:val="center"/>
              <w:rPr>
                <w:rFonts w:hint="default" w:ascii="Times New Roman" w:hAnsi="Times New Roman" w:eastAsia="宋体" w:cs="Times New Roman"/>
                <w:b/>
                <w:color w:val="auto"/>
                <w:sz w:val="21"/>
                <w:szCs w:val="21"/>
                <w:lang w:val="en-US" w:eastAsia="en-US" w:bidi="ar-SA"/>
              </w:rPr>
            </w:pPr>
            <w:r>
              <w:rPr>
                <w:rFonts w:hint="default" w:ascii="Times New Roman" w:hAnsi="Times New Roman" w:eastAsia="宋体" w:cs="Times New Roman"/>
                <w:b/>
                <w:color w:val="auto"/>
                <w:sz w:val="21"/>
                <w:szCs w:val="21"/>
                <w:lang w:val="en-US" w:eastAsia="en-US" w:bidi="ar-SA"/>
              </w:rPr>
              <w:t>CO</w:t>
            </w:r>
          </w:p>
          <w:p w14:paraId="1548B2BF">
            <w:pPr>
              <w:keepNext w:val="0"/>
              <w:keepLines w:val="0"/>
              <w:widowControl w:val="0"/>
              <w:suppressLineNumbers w:val="0"/>
              <w:autoSpaceDE w:val="0"/>
              <w:autoSpaceDN w:val="0"/>
              <w:spacing w:before="0" w:beforeAutospacing="0" w:after="0" w:afterAutospacing="0" w:line="327" w:lineRule="exact"/>
              <w:ind w:left="60" w:right="46"/>
              <w:jc w:val="center"/>
              <w:rPr>
                <w:rFonts w:hint="default" w:ascii="Times New Roman" w:hAnsi="Times New Roman" w:eastAsia="宋体" w:cs="Times New Roman"/>
                <w:b/>
                <w:color w:val="auto"/>
                <w:sz w:val="21"/>
                <w:szCs w:val="21"/>
                <w:lang w:val="en-US" w:eastAsia="en-US" w:bidi="ar-SA"/>
              </w:rPr>
            </w:pPr>
            <w:r>
              <w:rPr>
                <w:rFonts w:hint="default" w:ascii="Times New Roman" w:hAnsi="Times New Roman" w:eastAsia="宋体" w:cs="Times New Roman"/>
                <w:b/>
                <w:color w:val="auto"/>
                <w:sz w:val="21"/>
                <w:szCs w:val="21"/>
                <w:lang w:val="en-US" w:eastAsia="en-US" w:bidi="ar-SA"/>
              </w:rPr>
              <w:t>（g/kWh）</w:t>
            </w:r>
          </w:p>
        </w:tc>
        <w:tc>
          <w:tcPr>
            <w:tcW w:w="1275" w:type="dxa"/>
            <w:vAlign w:val="center"/>
          </w:tcPr>
          <w:p w14:paraId="78808CC4">
            <w:pPr>
              <w:keepNext w:val="0"/>
              <w:keepLines w:val="0"/>
              <w:widowControl w:val="0"/>
              <w:suppressLineNumbers w:val="0"/>
              <w:autoSpaceDE w:val="0"/>
              <w:autoSpaceDN w:val="0"/>
              <w:spacing w:before="31" w:beforeAutospacing="0" w:after="0" w:afterAutospacing="0" w:line="233" w:lineRule="exact"/>
              <w:ind w:left="98" w:right="95"/>
              <w:jc w:val="center"/>
              <w:rPr>
                <w:rFonts w:hint="default" w:ascii="Times New Roman" w:hAnsi="Times New Roman" w:eastAsia="宋体" w:cs="Times New Roman"/>
                <w:b/>
                <w:color w:val="auto"/>
                <w:sz w:val="21"/>
                <w:szCs w:val="21"/>
                <w:lang w:val="en-US" w:eastAsia="en-US" w:bidi="ar-SA"/>
              </w:rPr>
            </w:pPr>
            <w:r>
              <w:rPr>
                <w:rFonts w:hint="default" w:ascii="Times New Roman" w:hAnsi="Times New Roman" w:eastAsia="宋体" w:cs="Times New Roman"/>
                <w:b/>
                <w:color w:val="auto"/>
                <w:sz w:val="21"/>
                <w:szCs w:val="21"/>
                <w:lang w:val="en-US" w:eastAsia="en-US" w:bidi="ar-SA"/>
              </w:rPr>
              <w:t>HC</w:t>
            </w:r>
          </w:p>
          <w:p w14:paraId="4BA9B343">
            <w:pPr>
              <w:keepNext w:val="0"/>
              <w:keepLines w:val="0"/>
              <w:widowControl w:val="0"/>
              <w:suppressLineNumbers w:val="0"/>
              <w:autoSpaceDE w:val="0"/>
              <w:autoSpaceDN w:val="0"/>
              <w:spacing w:before="0" w:beforeAutospacing="0" w:after="0" w:afterAutospacing="0" w:line="327" w:lineRule="exact"/>
              <w:ind w:left="101" w:right="95"/>
              <w:jc w:val="center"/>
              <w:rPr>
                <w:rFonts w:hint="default" w:ascii="Times New Roman" w:hAnsi="Times New Roman" w:eastAsia="宋体" w:cs="Times New Roman"/>
                <w:b/>
                <w:color w:val="auto"/>
                <w:sz w:val="21"/>
                <w:szCs w:val="21"/>
                <w:lang w:val="en-US" w:eastAsia="en-US" w:bidi="ar-SA"/>
              </w:rPr>
            </w:pPr>
            <w:r>
              <w:rPr>
                <w:rFonts w:hint="default" w:ascii="Times New Roman" w:hAnsi="Times New Roman" w:eastAsia="宋体" w:cs="Times New Roman"/>
                <w:b/>
                <w:color w:val="auto"/>
                <w:sz w:val="21"/>
                <w:szCs w:val="21"/>
                <w:lang w:val="en-US" w:eastAsia="en-US" w:bidi="ar-SA"/>
              </w:rPr>
              <w:t>（g/kWh）</w:t>
            </w:r>
          </w:p>
        </w:tc>
        <w:tc>
          <w:tcPr>
            <w:tcW w:w="1493" w:type="dxa"/>
            <w:vAlign w:val="center"/>
          </w:tcPr>
          <w:p w14:paraId="5F453C1F">
            <w:pPr>
              <w:keepNext w:val="0"/>
              <w:keepLines w:val="0"/>
              <w:widowControl w:val="0"/>
              <w:suppressLineNumbers w:val="0"/>
              <w:autoSpaceDE w:val="0"/>
              <w:autoSpaceDN w:val="0"/>
              <w:spacing w:before="31" w:beforeAutospacing="0" w:after="0" w:afterAutospacing="0" w:line="244" w:lineRule="exact"/>
              <w:ind w:left="137" w:right="136"/>
              <w:jc w:val="center"/>
              <w:rPr>
                <w:rFonts w:hint="default" w:ascii="Times New Roman" w:hAnsi="Times New Roman" w:eastAsia="宋体" w:cs="Times New Roman"/>
                <w:b/>
                <w:color w:val="auto"/>
                <w:sz w:val="21"/>
                <w:szCs w:val="21"/>
                <w:lang w:val="en-US" w:eastAsia="en-US" w:bidi="ar-SA"/>
              </w:rPr>
            </w:pPr>
            <w:r>
              <w:rPr>
                <w:rFonts w:hint="default" w:ascii="Times New Roman" w:hAnsi="Times New Roman" w:eastAsia="宋体" w:cs="Times New Roman"/>
                <w:b/>
                <w:color w:val="auto"/>
                <w:position w:val="2"/>
                <w:sz w:val="21"/>
                <w:szCs w:val="21"/>
                <w:lang w:val="en-US" w:eastAsia="en-US" w:bidi="ar-SA"/>
              </w:rPr>
              <w:t>NO</w:t>
            </w:r>
            <w:r>
              <w:rPr>
                <w:rFonts w:hint="default" w:ascii="Times New Roman" w:hAnsi="Times New Roman" w:eastAsia="宋体" w:cs="Times New Roman"/>
                <w:b/>
                <w:color w:val="auto"/>
                <w:position w:val="2"/>
                <w:sz w:val="21"/>
                <w:szCs w:val="21"/>
                <w:vertAlign w:val="subscript"/>
                <w:lang w:val="en-US" w:eastAsia="en-US" w:bidi="ar-SA"/>
              </w:rPr>
              <w:t>X</w:t>
            </w:r>
          </w:p>
          <w:p w14:paraId="16070C6D">
            <w:pPr>
              <w:keepNext w:val="0"/>
              <w:keepLines w:val="0"/>
              <w:widowControl w:val="0"/>
              <w:suppressLineNumbers w:val="0"/>
              <w:autoSpaceDE w:val="0"/>
              <w:autoSpaceDN w:val="0"/>
              <w:spacing w:before="0" w:beforeAutospacing="0" w:after="0" w:afterAutospacing="0" w:line="317" w:lineRule="exact"/>
              <w:ind w:left="137" w:right="129"/>
              <w:jc w:val="center"/>
              <w:rPr>
                <w:rFonts w:hint="default" w:ascii="Times New Roman" w:hAnsi="Times New Roman" w:eastAsia="宋体" w:cs="Times New Roman"/>
                <w:b/>
                <w:color w:val="auto"/>
                <w:sz w:val="21"/>
                <w:szCs w:val="21"/>
                <w:lang w:val="en-US" w:eastAsia="en-US" w:bidi="ar-SA"/>
              </w:rPr>
            </w:pPr>
            <w:r>
              <w:rPr>
                <w:rFonts w:hint="default" w:ascii="Times New Roman" w:hAnsi="Times New Roman" w:eastAsia="宋体" w:cs="Times New Roman"/>
                <w:b/>
                <w:color w:val="auto"/>
                <w:sz w:val="21"/>
                <w:szCs w:val="21"/>
                <w:lang w:val="en-US" w:eastAsia="en-US" w:bidi="ar-SA"/>
              </w:rPr>
              <w:t>（g/kWh）</w:t>
            </w:r>
          </w:p>
        </w:tc>
        <w:tc>
          <w:tcPr>
            <w:tcW w:w="1251" w:type="dxa"/>
            <w:vAlign w:val="center"/>
          </w:tcPr>
          <w:p w14:paraId="01BD8B61">
            <w:pPr>
              <w:keepNext w:val="0"/>
              <w:keepLines w:val="0"/>
              <w:widowControl w:val="0"/>
              <w:suppressLineNumbers w:val="0"/>
              <w:autoSpaceDE w:val="0"/>
              <w:autoSpaceDN w:val="0"/>
              <w:spacing w:before="31" w:beforeAutospacing="0" w:after="0" w:afterAutospacing="0" w:line="244" w:lineRule="exact"/>
              <w:ind w:left="197" w:right="0"/>
              <w:jc w:val="center"/>
              <w:rPr>
                <w:rFonts w:hint="default" w:ascii="Times New Roman" w:hAnsi="Times New Roman" w:eastAsia="宋体" w:cs="Times New Roman"/>
                <w:b/>
                <w:color w:val="auto"/>
                <w:sz w:val="21"/>
                <w:szCs w:val="21"/>
                <w:lang w:val="en-US" w:eastAsia="en-US" w:bidi="ar-SA"/>
              </w:rPr>
            </w:pPr>
            <w:r>
              <w:rPr>
                <w:rFonts w:hint="default" w:ascii="Times New Roman" w:hAnsi="Times New Roman" w:eastAsia="宋体" w:cs="Times New Roman"/>
                <w:b/>
                <w:color w:val="auto"/>
                <w:position w:val="2"/>
                <w:sz w:val="21"/>
                <w:szCs w:val="21"/>
                <w:lang w:val="en-US" w:eastAsia="en-US" w:bidi="ar-SA"/>
              </w:rPr>
              <w:t>HC+NO</w:t>
            </w:r>
            <w:r>
              <w:rPr>
                <w:rFonts w:hint="default" w:ascii="Times New Roman" w:hAnsi="Times New Roman" w:eastAsia="宋体" w:cs="Times New Roman"/>
                <w:b/>
                <w:color w:val="auto"/>
                <w:position w:val="2"/>
                <w:sz w:val="21"/>
                <w:szCs w:val="21"/>
                <w:vertAlign w:val="subscript"/>
                <w:lang w:val="en-US" w:eastAsia="en-US" w:bidi="ar-SA"/>
              </w:rPr>
              <w:t>X</w:t>
            </w:r>
          </w:p>
          <w:p w14:paraId="53DF17C9">
            <w:pPr>
              <w:keepNext w:val="0"/>
              <w:keepLines w:val="0"/>
              <w:widowControl w:val="0"/>
              <w:suppressLineNumbers w:val="0"/>
              <w:autoSpaceDE w:val="0"/>
              <w:autoSpaceDN w:val="0"/>
              <w:spacing w:before="0" w:beforeAutospacing="0" w:after="0" w:afterAutospacing="0" w:line="317" w:lineRule="exact"/>
              <w:ind w:left="110" w:right="0"/>
              <w:jc w:val="center"/>
              <w:rPr>
                <w:rFonts w:hint="default" w:ascii="Times New Roman" w:hAnsi="Times New Roman" w:eastAsia="宋体" w:cs="Times New Roman"/>
                <w:b/>
                <w:color w:val="auto"/>
                <w:sz w:val="21"/>
                <w:szCs w:val="21"/>
                <w:lang w:val="en-US" w:eastAsia="en-US" w:bidi="ar-SA"/>
              </w:rPr>
            </w:pPr>
            <w:r>
              <w:rPr>
                <w:rFonts w:hint="default" w:ascii="Times New Roman" w:hAnsi="Times New Roman" w:eastAsia="宋体" w:cs="Times New Roman"/>
                <w:b/>
                <w:color w:val="auto"/>
                <w:sz w:val="21"/>
                <w:szCs w:val="21"/>
                <w:lang w:val="en-US" w:eastAsia="en-US" w:bidi="ar-SA"/>
              </w:rPr>
              <w:t>（g/kWh）</w:t>
            </w:r>
          </w:p>
        </w:tc>
        <w:tc>
          <w:tcPr>
            <w:tcW w:w="1246" w:type="dxa"/>
            <w:vAlign w:val="center"/>
          </w:tcPr>
          <w:p w14:paraId="6B0CB3B2">
            <w:pPr>
              <w:keepNext w:val="0"/>
              <w:keepLines w:val="0"/>
              <w:widowControl w:val="0"/>
              <w:suppressLineNumbers w:val="0"/>
              <w:autoSpaceDE w:val="0"/>
              <w:autoSpaceDN w:val="0"/>
              <w:spacing w:before="31" w:beforeAutospacing="0" w:after="0" w:afterAutospacing="0" w:line="233" w:lineRule="exact"/>
              <w:ind w:left="83" w:right="79"/>
              <w:jc w:val="center"/>
              <w:rPr>
                <w:rFonts w:hint="default" w:ascii="Times New Roman" w:hAnsi="Times New Roman" w:eastAsia="宋体" w:cs="Times New Roman"/>
                <w:b/>
                <w:color w:val="auto"/>
                <w:sz w:val="21"/>
                <w:szCs w:val="21"/>
                <w:lang w:val="en-US" w:eastAsia="en-US" w:bidi="ar-SA"/>
              </w:rPr>
            </w:pPr>
            <w:r>
              <w:rPr>
                <w:rFonts w:hint="default" w:ascii="Times New Roman" w:hAnsi="Times New Roman" w:eastAsia="宋体" w:cs="Times New Roman"/>
                <w:b/>
                <w:color w:val="auto"/>
                <w:sz w:val="21"/>
                <w:szCs w:val="21"/>
                <w:lang w:val="en-US" w:eastAsia="en-US" w:bidi="ar-SA"/>
              </w:rPr>
              <w:t>PM</w:t>
            </w:r>
          </w:p>
          <w:p w14:paraId="4DAF141D">
            <w:pPr>
              <w:keepNext w:val="0"/>
              <w:keepLines w:val="0"/>
              <w:widowControl w:val="0"/>
              <w:suppressLineNumbers w:val="0"/>
              <w:autoSpaceDE w:val="0"/>
              <w:autoSpaceDN w:val="0"/>
              <w:spacing w:before="0" w:beforeAutospacing="0" w:after="0" w:afterAutospacing="0" w:line="327" w:lineRule="exact"/>
              <w:ind w:left="88" w:right="79"/>
              <w:jc w:val="center"/>
              <w:rPr>
                <w:rFonts w:hint="default" w:ascii="Times New Roman" w:hAnsi="Times New Roman" w:eastAsia="宋体" w:cs="Times New Roman"/>
                <w:b/>
                <w:color w:val="auto"/>
                <w:sz w:val="21"/>
                <w:szCs w:val="21"/>
                <w:lang w:val="en-US" w:eastAsia="en-US" w:bidi="ar-SA"/>
              </w:rPr>
            </w:pPr>
            <w:r>
              <w:rPr>
                <w:rFonts w:hint="default" w:ascii="Times New Roman" w:hAnsi="Times New Roman" w:eastAsia="宋体" w:cs="Times New Roman"/>
                <w:b/>
                <w:color w:val="auto"/>
                <w:sz w:val="21"/>
                <w:szCs w:val="21"/>
                <w:lang w:val="en-US" w:eastAsia="en-US" w:bidi="ar-SA"/>
              </w:rPr>
              <w:t>（g/kWh）</w:t>
            </w:r>
          </w:p>
        </w:tc>
      </w:tr>
      <w:tr w14:paraId="0CB8A6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62" w:type="dxa"/>
            <w:vMerge w:val="restart"/>
            <w:vAlign w:val="center"/>
          </w:tcPr>
          <w:p w14:paraId="726D837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第三阶段</w:t>
            </w:r>
          </w:p>
        </w:tc>
        <w:tc>
          <w:tcPr>
            <w:tcW w:w="1846" w:type="dxa"/>
            <w:vAlign w:val="center"/>
          </w:tcPr>
          <w:p w14:paraId="6E4F3D4F">
            <w:pPr>
              <w:keepNext w:val="0"/>
              <w:keepLines w:val="0"/>
              <w:widowControl w:val="0"/>
              <w:suppressLineNumbers w:val="0"/>
              <w:autoSpaceDE w:val="0"/>
              <w:autoSpaceDN w:val="0"/>
              <w:spacing w:before="0" w:beforeAutospacing="0" w:after="0" w:afterAutospacing="0" w:line="222" w:lineRule="exact"/>
              <w:ind w:left="181" w:right="17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position w:val="2"/>
                <w:sz w:val="21"/>
                <w:szCs w:val="21"/>
                <w:lang w:val="en-US" w:eastAsia="en-US" w:bidi="ar-SA"/>
              </w:rPr>
              <w:t>P</w:t>
            </w:r>
            <w:r>
              <w:rPr>
                <w:rFonts w:hint="default" w:ascii="Times New Roman" w:hAnsi="Times New Roman" w:eastAsia="宋体" w:cs="Times New Roman"/>
                <w:color w:val="auto"/>
                <w:position w:val="2"/>
                <w:sz w:val="21"/>
                <w:szCs w:val="21"/>
                <w:vertAlign w:val="subscript"/>
                <w:lang w:val="en-US" w:eastAsia="en-US" w:bidi="ar-SA"/>
              </w:rPr>
              <w:t>max</w:t>
            </w:r>
            <w:r>
              <w:rPr>
                <w:rFonts w:hint="default" w:ascii="Times New Roman" w:hAnsi="Times New Roman" w:eastAsia="宋体" w:cs="Times New Roman"/>
                <w:color w:val="auto"/>
                <w:position w:val="2"/>
                <w:sz w:val="21"/>
                <w:szCs w:val="21"/>
                <w:vertAlign w:val="baseline"/>
                <w:lang w:val="en-US" w:eastAsia="en-US" w:bidi="ar-SA"/>
              </w:rPr>
              <w:t>&gt;560</w:t>
            </w:r>
          </w:p>
        </w:tc>
        <w:tc>
          <w:tcPr>
            <w:tcW w:w="1277" w:type="dxa"/>
            <w:vAlign w:val="center"/>
          </w:tcPr>
          <w:p w14:paraId="68C23B14">
            <w:pPr>
              <w:keepNext w:val="0"/>
              <w:keepLines w:val="0"/>
              <w:widowControl w:val="0"/>
              <w:suppressLineNumbers w:val="0"/>
              <w:autoSpaceDE w:val="0"/>
              <w:autoSpaceDN w:val="0"/>
              <w:spacing w:before="0" w:beforeAutospacing="0" w:after="0" w:afterAutospacing="0" w:line="221" w:lineRule="exact"/>
              <w:ind w:left="60" w:right="5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3.5</w:t>
            </w:r>
          </w:p>
        </w:tc>
        <w:tc>
          <w:tcPr>
            <w:tcW w:w="1275" w:type="dxa"/>
            <w:vAlign w:val="center"/>
          </w:tcPr>
          <w:p w14:paraId="5B7B91EF">
            <w:pPr>
              <w:keepNext w:val="0"/>
              <w:keepLines w:val="0"/>
              <w:widowControl w:val="0"/>
              <w:suppressLineNumbers w:val="0"/>
              <w:autoSpaceDE w:val="0"/>
              <w:autoSpaceDN w:val="0"/>
              <w:spacing w:before="0" w:beforeAutospacing="0" w:after="0" w:afterAutospacing="0" w:line="221" w:lineRule="exact"/>
              <w:ind w:left="2"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493" w:type="dxa"/>
            <w:vAlign w:val="center"/>
          </w:tcPr>
          <w:p w14:paraId="3921F4EA">
            <w:pPr>
              <w:keepNext w:val="0"/>
              <w:keepLines w:val="0"/>
              <w:widowControl w:val="0"/>
              <w:suppressLineNumbers w:val="0"/>
              <w:autoSpaceDE w:val="0"/>
              <w:autoSpaceDN w:val="0"/>
              <w:spacing w:before="0" w:beforeAutospacing="0" w:after="0" w:afterAutospacing="0" w:line="221" w:lineRule="exact"/>
              <w:ind w:left="0"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251" w:type="dxa"/>
            <w:vAlign w:val="center"/>
          </w:tcPr>
          <w:p w14:paraId="2BDE8E4D">
            <w:pPr>
              <w:keepNext w:val="0"/>
              <w:keepLines w:val="0"/>
              <w:widowControl w:val="0"/>
              <w:suppressLineNumbers w:val="0"/>
              <w:autoSpaceDE w:val="0"/>
              <w:autoSpaceDN w:val="0"/>
              <w:spacing w:before="0" w:beforeAutospacing="0" w:after="0" w:afterAutospacing="0" w:line="221" w:lineRule="exact"/>
              <w:ind w:left="472" w:right="465"/>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6.4</w:t>
            </w:r>
          </w:p>
        </w:tc>
        <w:tc>
          <w:tcPr>
            <w:tcW w:w="1246" w:type="dxa"/>
            <w:vAlign w:val="center"/>
          </w:tcPr>
          <w:p w14:paraId="44E18914">
            <w:pPr>
              <w:keepNext w:val="0"/>
              <w:keepLines w:val="0"/>
              <w:widowControl w:val="0"/>
              <w:suppressLineNumbers w:val="0"/>
              <w:autoSpaceDE w:val="0"/>
              <w:autoSpaceDN w:val="0"/>
              <w:spacing w:before="0" w:beforeAutospacing="0" w:after="0" w:afterAutospacing="0" w:line="221" w:lineRule="exact"/>
              <w:ind w:left="436"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0.20</w:t>
            </w:r>
          </w:p>
        </w:tc>
      </w:tr>
      <w:tr w14:paraId="3AA6D8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62" w:type="dxa"/>
            <w:vMerge w:val="continue"/>
            <w:tcBorders>
              <w:top w:val="nil"/>
            </w:tcBorders>
            <w:vAlign w:val="center"/>
          </w:tcPr>
          <w:p w14:paraId="3AAA139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p>
        </w:tc>
        <w:tc>
          <w:tcPr>
            <w:tcW w:w="1846" w:type="dxa"/>
            <w:vAlign w:val="center"/>
          </w:tcPr>
          <w:p w14:paraId="3B8A669A">
            <w:pPr>
              <w:keepNext w:val="0"/>
              <w:keepLines w:val="0"/>
              <w:widowControl w:val="0"/>
              <w:suppressLineNumbers w:val="0"/>
              <w:autoSpaceDE w:val="0"/>
              <w:autoSpaceDN w:val="0"/>
              <w:spacing w:before="0" w:beforeAutospacing="0" w:after="0" w:afterAutospacing="0" w:line="284" w:lineRule="exact"/>
              <w:ind w:left="183" w:right="17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position w:val="2"/>
                <w:sz w:val="21"/>
                <w:szCs w:val="21"/>
                <w:lang w:val="en-US" w:eastAsia="en-US" w:bidi="ar-SA"/>
              </w:rPr>
              <w:t>130≤P</w:t>
            </w:r>
            <w:r>
              <w:rPr>
                <w:rFonts w:hint="default" w:ascii="Times New Roman" w:hAnsi="Times New Roman" w:eastAsia="宋体" w:cs="Times New Roman"/>
                <w:color w:val="auto"/>
                <w:position w:val="2"/>
                <w:sz w:val="21"/>
                <w:szCs w:val="21"/>
                <w:vertAlign w:val="subscript"/>
                <w:lang w:val="en-US" w:eastAsia="en-US" w:bidi="ar-SA"/>
              </w:rPr>
              <w:t>max</w:t>
            </w:r>
            <w:r>
              <w:rPr>
                <w:rFonts w:hint="default" w:ascii="Times New Roman" w:hAnsi="Times New Roman" w:eastAsia="宋体" w:cs="Times New Roman"/>
                <w:color w:val="auto"/>
                <w:position w:val="2"/>
                <w:sz w:val="21"/>
                <w:szCs w:val="21"/>
                <w:vertAlign w:val="baseline"/>
                <w:lang w:val="en-US" w:eastAsia="en-US" w:bidi="ar-SA"/>
              </w:rPr>
              <w:t>≤560</w:t>
            </w:r>
          </w:p>
        </w:tc>
        <w:tc>
          <w:tcPr>
            <w:tcW w:w="1277" w:type="dxa"/>
            <w:vAlign w:val="center"/>
          </w:tcPr>
          <w:p w14:paraId="75FAA600">
            <w:pPr>
              <w:keepNext w:val="0"/>
              <w:keepLines w:val="0"/>
              <w:widowControl w:val="0"/>
              <w:suppressLineNumbers w:val="0"/>
              <w:autoSpaceDE w:val="0"/>
              <w:autoSpaceDN w:val="0"/>
              <w:spacing w:before="31" w:beforeAutospacing="0" w:after="0" w:afterAutospacing="0" w:line="240" w:lineRule="auto"/>
              <w:ind w:left="60" w:right="5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3.5</w:t>
            </w:r>
          </w:p>
        </w:tc>
        <w:tc>
          <w:tcPr>
            <w:tcW w:w="1275" w:type="dxa"/>
            <w:vAlign w:val="center"/>
          </w:tcPr>
          <w:p w14:paraId="08B6CB17">
            <w:pPr>
              <w:keepNext w:val="0"/>
              <w:keepLines w:val="0"/>
              <w:widowControl w:val="0"/>
              <w:suppressLineNumbers w:val="0"/>
              <w:autoSpaceDE w:val="0"/>
              <w:autoSpaceDN w:val="0"/>
              <w:spacing w:before="31" w:beforeAutospacing="0" w:after="0" w:afterAutospacing="0" w:line="240" w:lineRule="auto"/>
              <w:ind w:left="2"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493" w:type="dxa"/>
            <w:vAlign w:val="center"/>
          </w:tcPr>
          <w:p w14:paraId="3AFF253A">
            <w:pPr>
              <w:keepNext w:val="0"/>
              <w:keepLines w:val="0"/>
              <w:widowControl w:val="0"/>
              <w:suppressLineNumbers w:val="0"/>
              <w:autoSpaceDE w:val="0"/>
              <w:autoSpaceDN w:val="0"/>
              <w:spacing w:before="31" w:beforeAutospacing="0" w:after="0" w:afterAutospacing="0" w:line="240" w:lineRule="auto"/>
              <w:ind w:left="0"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251" w:type="dxa"/>
            <w:vAlign w:val="center"/>
          </w:tcPr>
          <w:p w14:paraId="758DB831">
            <w:pPr>
              <w:keepNext w:val="0"/>
              <w:keepLines w:val="0"/>
              <w:widowControl w:val="0"/>
              <w:suppressLineNumbers w:val="0"/>
              <w:autoSpaceDE w:val="0"/>
              <w:autoSpaceDN w:val="0"/>
              <w:spacing w:before="31" w:beforeAutospacing="0" w:after="0" w:afterAutospacing="0" w:line="240" w:lineRule="auto"/>
              <w:ind w:left="472" w:right="465"/>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4.0</w:t>
            </w:r>
          </w:p>
        </w:tc>
        <w:tc>
          <w:tcPr>
            <w:tcW w:w="1246" w:type="dxa"/>
            <w:vAlign w:val="center"/>
          </w:tcPr>
          <w:p w14:paraId="277398AE">
            <w:pPr>
              <w:keepNext w:val="0"/>
              <w:keepLines w:val="0"/>
              <w:widowControl w:val="0"/>
              <w:suppressLineNumbers w:val="0"/>
              <w:autoSpaceDE w:val="0"/>
              <w:autoSpaceDN w:val="0"/>
              <w:spacing w:before="31" w:beforeAutospacing="0" w:after="0" w:afterAutospacing="0" w:line="240" w:lineRule="auto"/>
              <w:ind w:left="436"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0.20</w:t>
            </w:r>
          </w:p>
        </w:tc>
      </w:tr>
      <w:tr w14:paraId="5981A9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62" w:type="dxa"/>
            <w:vMerge w:val="continue"/>
            <w:tcBorders>
              <w:top w:val="nil"/>
            </w:tcBorders>
            <w:vAlign w:val="center"/>
          </w:tcPr>
          <w:p w14:paraId="006CE5E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p>
        </w:tc>
        <w:tc>
          <w:tcPr>
            <w:tcW w:w="1846" w:type="dxa"/>
            <w:vAlign w:val="center"/>
          </w:tcPr>
          <w:p w14:paraId="021490EF">
            <w:pPr>
              <w:keepNext w:val="0"/>
              <w:keepLines w:val="0"/>
              <w:widowControl w:val="0"/>
              <w:suppressLineNumbers w:val="0"/>
              <w:autoSpaceDE w:val="0"/>
              <w:autoSpaceDN w:val="0"/>
              <w:spacing w:before="0" w:beforeAutospacing="0" w:after="0" w:afterAutospacing="0" w:line="287" w:lineRule="exact"/>
              <w:ind w:left="183" w:right="17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position w:val="2"/>
                <w:sz w:val="21"/>
                <w:szCs w:val="21"/>
                <w:lang w:val="en-US" w:eastAsia="en-US" w:bidi="ar-SA"/>
              </w:rPr>
              <w:t>75≤P</w:t>
            </w:r>
            <w:r>
              <w:rPr>
                <w:rFonts w:hint="default" w:ascii="Times New Roman" w:hAnsi="Times New Roman" w:eastAsia="宋体" w:cs="Times New Roman"/>
                <w:color w:val="auto"/>
                <w:position w:val="2"/>
                <w:sz w:val="21"/>
                <w:szCs w:val="21"/>
                <w:vertAlign w:val="subscript"/>
                <w:lang w:val="en-US" w:eastAsia="en-US" w:bidi="ar-SA"/>
              </w:rPr>
              <w:t>max</w:t>
            </w:r>
            <w:r>
              <w:rPr>
                <w:rFonts w:hint="default" w:ascii="Times New Roman" w:hAnsi="Times New Roman" w:eastAsia="宋体" w:cs="Times New Roman"/>
                <w:color w:val="auto"/>
                <w:position w:val="2"/>
                <w:sz w:val="21"/>
                <w:szCs w:val="21"/>
                <w:vertAlign w:val="baseline"/>
                <w:lang w:val="en-US" w:eastAsia="en-US" w:bidi="ar-SA"/>
              </w:rPr>
              <w:t>&lt;130</w:t>
            </w:r>
          </w:p>
        </w:tc>
        <w:tc>
          <w:tcPr>
            <w:tcW w:w="1277" w:type="dxa"/>
            <w:vAlign w:val="center"/>
          </w:tcPr>
          <w:p w14:paraId="026D0987">
            <w:pPr>
              <w:keepNext w:val="0"/>
              <w:keepLines w:val="0"/>
              <w:widowControl w:val="0"/>
              <w:suppressLineNumbers w:val="0"/>
              <w:autoSpaceDE w:val="0"/>
              <w:autoSpaceDN w:val="0"/>
              <w:spacing w:before="34" w:beforeAutospacing="0" w:after="0" w:afterAutospacing="0" w:line="240" w:lineRule="auto"/>
              <w:ind w:left="60" w:right="5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5.0</w:t>
            </w:r>
          </w:p>
        </w:tc>
        <w:tc>
          <w:tcPr>
            <w:tcW w:w="1275" w:type="dxa"/>
            <w:vAlign w:val="center"/>
          </w:tcPr>
          <w:p w14:paraId="0E845FB2">
            <w:pPr>
              <w:keepNext w:val="0"/>
              <w:keepLines w:val="0"/>
              <w:widowControl w:val="0"/>
              <w:suppressLineNumbers w:val="0"/>
              <w:autoSpaceDE w:val="0"/>
              <w:autoSpaceDN w:val="0"/>
              <w:spacing w:before="34" w:beforeAutospacing="0" w:after="0" w:afterAutospacing="0" w:line="240" w:lineRule="auto"/>
              <w:ind w:left="2"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493" w:type="dxa"/>
            <w:vAlign w:val="center"/>
          </w:tcPr>
          <w:p w14:paraId="75ACB8BA">
            <w:pPr>
              <w:keepNext w:val="0"/>
              <w:keepLines w:val="0"/>
              <w:widowControl w:val="0"/>
              <w:suppressLineNumbers w:val="0"/>
              <w:autoSpaceDE w:val="0"/>
              <w:autoSpaceDN w:val="0"/>
              <w:spacing w:before="34" w:beforeAutospacing="0" w:after="0" w:afterAutospacing="0" w:line="240" w:lineRule="auto"/>
              <w:ind w:left="0"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251" w:type="dxa"/>
            <w:vAlign w:val="center"/>
          </w:tcPr>
          <w:p w14:paraId="33BF9476">
            <w:pPr>
              <w:keepNext w:val="0"/>
              <w:keepLines w:val="0"/>
              <w:widowControl w:val="0"/>
              <w:suppressLineNumbers w:val="0"/>
              <w:autoSpaceDE w:val="0"/>
              <w:autoSpaceDN w:val="0"/>
              <w:spacing w:before="34" w:beforeAutospacing="0" w:after="0" w:afterAutospacing="0" w:line="240" w:lineRule="auto"/>
              <w:ind w:left="472" w:right="465"/>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4.0</w:t>
            </w:r>
          </w:p>
        </w:tc>
        <w:tc>
          <w:tcPr>
            <w:tcW w:w="1246" w:type="dxa"/>
            <w:vAlign w:val="center"/>
          </w:tcPr>
          <w:p w14:paraId="5197E4B8">
            <w:pPr>
              <w:keepNext w:val="0"/>
              <w:keepLines w:val="0"/>
              <w:widowControl w:val="0"/>
              <w:suppressLineNumbers w:val="0"/>
              <w:autoSpaceDE w:val="0"/>
              <w:autoSpaceDN w:val="0"/>
              <w:spacing w:before="34" w:beforeAutospacing="0" w:after="0" w:afterAutospacing="0" w:line="240" w:lineRule="auto"/>
              <w:ind w:left="436"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0.30</w:t>
            </w:r>
          </w:p>
        </w:tc>
      </w:tr>
      <w:tr w14:paraId="3BDCCD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62" w:type="dxa"/>
            <w:vMerge w:val="continue"/>
            <w:tcBorders>
              <w:top w:val="nil"/>
            </w:tcBorders>
            <w:vAlign w:val="center"/>
          </w:tcPr>
          <w:p w14:paraId="35D3350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p>
        </w:tc>
        <w:tc>
          <w:tcPr>
            <w:tcW w:w="1846" w:type="dxa"/>
            <w:vAlign w:val="center"/>
          </w:tcPr>
          <w:p w14:paraId="2E90CF8C">
            <w:pPr>
              <w:keepNext w:val="0"/>
              <w:keepLines w:val="0"/>
              <w:widowControl w:val="0"/>
              <w:suppressLineNumbers w:val="0"/>
              <w:autoSpaceDE w:val="0"/>
              <w:autoSpaceDN w:val="0"/>
              <w:spacing w:before="0" w:beforeAutospacing="0" w:after="0" w:afterAutospacing="0" w:line="287" w:lineRule="exact"/>
              <w:ind w:left="183" w:right="17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position w:val="2"/>
                <w:sz w:val="21"/>
                <w:szCs w:val="21"/>
                <w:lang w:val="en-US" w:eastAsia="en-US" w:bidi="ar-SA"/>
              </w:rPr>
              <w:t>37≤P</w:t>
            </w:r>
            <w:r>
              <w:rPr>
                <w:rFonts w:hint="default" w:ascii="Times New Roman" w:hAnsi="Times New Roman" w:eastAsia="宋体" w:cs="Times New Roman"/>
                <w:color w:val="auto"/>
                <w:position w:val="2"/>
                <w:sz w:val="21"/>
                <w:szCs w:val="21"/>
                <w:vertAlign w:val="subscript"/>
                <w:lang w:val="en-US" w:eastAsia="en-US" w:bidi="ar-SA"/>
              </w:rPr>
              <w:t>max</w:t>
            </w:r>
            <w:r>
              <w:rPr>
                <w:rFonts w:hint="default" w:ascii="Times New Roman" w:hAnsi="Times New Roman" w:eastAsia="宋体" w:cs="Times New Roman"/>
                <w:color w:val="auto"/>
                <w:position w:val="2"/>
                <w:sz w:val="21"/>
                <w:szCs w:val="21"/>
                <w:vertAlign w:val="baseline"/>
                <w:lang w:val="en-US" w:eastAsia="en-US" w:bidi="ar-SA"/>
              </w:rPr>
              <w:t>&lt;75</w:t>
            </w:r>
          </w:p>
        </w:tc>
        <w:tc>
          <w:tcPr>
            <w:tcW w:w="1277" w:type="dxa"/>
            <w:vAlign w:val="center"/>
          </w:tcPr>
          <w:p w14:paraId="6AA66C81">
            <w:pPr>
              <w:keepNext w:val="0"/>
              <w:keepLines w:val="0"/>
              <w:widowControl w:val="0"/>
              <w:suppressLineNumbers w:val="0"/>
              <w:autoSpaceDE w:val="0"/>
              <w:autoSpaceDN w:val="0"/>
              <w:spacing w:before="31" w:beforeAutospacing="0" w:after="0" w:afterAutospacing="0" w:line="240" w:lineRule="auto"/>
              <w:ind w:left="60" w:right="5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5.0</w:t>
            </w:r>
          </w:p>
        </w:tc>
        <w:tc>
          <w:tcPr>
            <w:tcW w:w="1275" w:type="dxa"/>
            <w:vAlign w:val="center"/>
          </w:tcPr>
          <w:p w14:paraId="23BEC962">
            <w:pPr>
              <w:keepNext w:val="0"/>
              <w:keepLines w:val="0"/>
              <w:widowControl w:val="0"/>
              <w:suppressLineNumbers w:val="0"/>
              <w:autoSpaceDE w:val="0"/>
              <w:autoSpaceDN w:val="0"/>
              <w:spacing w:before="31" w:beforeAutospacing="0" w:after="0" w:afterAutospacing="0" w:line="240" w:lineRule="auto"/>
              <w:ind w:left="2"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493" w:type="dxa"/>
            <w:vAlign w:val="center"/>
          </w:tcPr>
          <w:p w14:paraId="471234EA">
            <w:pPr>
              <w:keepNext w:val="0"/>
              <w:keepLines w:val="0"/>
              <w:widowControl w:val="0"/>
              <w:suppressLineNumbers w:val="0"/>
              <w:autoSpaceDE w:val="0"/>
              <w:autoSpaceDN w:val="0"/>
              <w:spacing w:before="31" w:beforeAutospacing="0" w:after="0" w:afterAutospacing="0" w:line="240" w:lineRule="auto"/>
              <w:ind w:left="0"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251" w:type="dxa"/>
            <w:vAlign w:val="center"/>
          </w:tcPr>
          <w:p w14:paraId="4E0A3F94">
            <w:pPr>
              <w:keepNext w:val="0"/>
              <w:keepLines w:val="0"/>
              <w:widowControl w:val="0"/>
              <w:suppressLineNumbers w:val="0"/>
              <w:autoSpaceDE w:val="0"/>
              <w:autoSpaceDN w:val="0"/>
              <w:spacing w:before="31" w:beforeAutospacing="0" w:after="0" w:afterAutospacing="0" w:line="240" w:lineRule="auto"/>
              <w:ind w:left="472" w:right="465"/>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4.7</w:t>
            </w:r>
          </w:p>
        </w:tc>
        <w:tc>
          <w:tcPr>
            <w:tcW w:w="1246" w:type="dxa"/>
            <w:vAlign w:val="center"/>
          </w:tcPr>
          <w:p w14:paraId="5BF29949">
            <w:pPr>
              <w:keepNext w:val="0"/>
              <w:keepLines w:val="0"/>
              <w:widowControl w:val="0"/>
              <w:suppressLineNumbers w:val="0"/>
              <w:autoSpaceDE w:val="0"/>
              <w:autoSpaceDN w:val="0"/>
              <w:spacing w:before="31" w:beforeAutospacing="0" w:after="0" w:afterAutospacing="0" w:line="240" w:lineRule="auto"/>
              <w:ind w:left="436"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0.40</w:t>
            </w:r>
          </w:p>
        </w:tc>
      </w:tr>
      <w:tr w14:paraId="1991A7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62" w:type="dxa"/>
            <w:vMerge w:val="continue"/>
            <w:tcBorders>
              <w:top w:val="nil"/>
            </w:tcBorders>
            <w:vAlign w:val="center"/>
          </w:tcPr>
          <w:p w14:paraId="3FA4AC7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p>
        </w:tc>
        <w:tc>
          <w:tcPr>
            <w:tcW w:w="1846" w:type="dxa"/>
            <w:vAlign w:val="center"/>
          </w:tcPr>
          <w:p w14:paraId="29B733D4">
            <w:pPr>
              <w:keepNext w:val="0"/>
              <w:keepLines w:val="0"/>
              <w:widowControl w:val="0"/>
              <w:suppressLineNumbers w:val="0"/>
              <w:autoSpaceDE w:val="0"/>
              <w:autoSpaceDN w:val="0"/>
              <w:spacing w:before="0" w:beforeAutospacing="0" w:after="0" w:afterAutospacing="0" w:line="220" w:lineRule="exact"/>
              <w:ind w:left="181" w:right="17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position w:val="2"/>
                <w:sz w:val="21"/>
                <w:szCs w:val="21"/>
                <w:lang w:val="en-US" w:eastAsia="en-US" w:bidi="ar-SA"/>
              </w:rPr>
              <w:t>P</w:t>
            </w:r>
            <w:r>
              <w:rPr>
                <w:rFonts w:hint="default" w:ascii="Times New Roman" w:hAnsi="Times New Roman" w:eastAsia="宋体" w:cs="Times New Roman"/>
                <w:color w:val="auto"/>
                <w:position w:val="2"/>
                <w:sz w:val="21"/>
                <w:szCs w:val="21"/>
                <w:vertAlign w:val="subscript"/>
                <w:lang w:val="en-US" w:eastAsia="en-US" w:bidi="ar-SA"/>
              </w:rPr>
              <w:t>max</w:t>
            </w:r>
            <w:r>
              <w:rPr>
                <w:rFonts w:hint="default" w:ascii="Times New Roman" w:hAnsi="Times New Roman" w:eastAsia="宋体" w:cs="Times New Roman"/>
                <w:color w:val="auto"/>
                <w:position w:val="2"/>
                <w:sz w:val="21"/>
                <w:szCs w:val="21"/>
                <w:vertAlign w:val="baseline"/>
                <w:lang w:val="en-US" w:eastAsia="en-US" w:bidi="ar-SA"/>
              </w:rPr>
              <w:t xml:space="preserve"> &lt;37</w:t>
            </w:r>
          </w:p>
        </w:tc>
        <w:tc>
          <w:tcPr>
            <w:tcW w:w="1277" w:type="dxa"/>
            <w:vAlign w:val="center"/>
          </w:tcPr>
          <w:p w14:paraId="418CE522">
            <w:pPr>
              <w:keepNext w:val="0"/>
              <w:keepLines w:val="0"/>
              <w:widowControl w:val="0"/>
              <w:suppressLineNumbers w:val="0"/>
              <w:autoSpaceDE w:val="0"/>
              <w:autoSpaceDN w:val="0"/>
              <w:spacing w:before="0" w:beforeAutospacing="0" w:after="0" w:afterAutospacing="0" w:line="220" w:lineRule="exact"/>
              <w:ind w:left="60" w:right="5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5.5</w:t>
            </w:r>
          </w:p>
        </w:tc>
        <w:tc>
          <w:tcPr>
            <w:tcW w:w="1275" w:type="dxa"/>
            <w:vAlign w:val="center"/>
          </w:tcPr>
          <w:p w14:paraId="2E04DDA1">
            <w:pPr>
              <w:keepNext w:val="0"/>
              <w:keepLines w:val="0"/>
              <w:widowControl w:val="0"/>
              <w:suppressLineNumbers w:val="0"/>
              <w:autoSpaceDE w:val="0"/>
              <w:autoSpaceDN w:val="0"/>
              <w:spacing w:before="0" w:beforeAutospacing="0" w:after="0" w:afterAutospacing="0" w:line="220" w:lineRule="exact"/>
              <w:ind w:left="2"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493" w:type="dxa"/>
            <w:vAlign w:val="center"/>
          </w:tcPr>
          <w:p w14:paraId="14456AC9">
            <w:pPr>
              <w:keepNext w:val="0"/>
              <w:keepLines w:val="0"/>
              <w:widowControl w:val="0"/>
              <w:suppressLineNumbers w:val="0"/>
              <w:autoSpaceDE w:val="0"/>
              <w:autoSpaceDN w:val="0"/>
              <w:spacing w:before="0" w:beforeAutospacing="0" w:after="0" w:afterAutospacing="0" w:line="220" w:lineRule="exact"/>
              <w:ind w:left="0"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251" w:type="dxa"/>
            <w:vAlign w:val="center"/>
          </w:tcPr>
          <w:p w14:paraId="54968399">
            <w:pPr>
              <w:keepNext w:val="0"/>
              <w:keepLines w:val="0"/>
              <w:widowControl w:val="0"/>
              <w:suppressLineNumbers w:val="0"/>
              <w:autoSpaceDE w:val="0"/>
              <w:autoSpaceDN w:val="0"/>
              <w:spacing w:before="0" w:beforeAutospacing="0" w:after="0" w:afterAutospacing="0" w:line="220" w:lineRule="exact"/>
              <w:ind w:left="472" w:right="465"/>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7.5</w:t>
            </w:r>
          </w:p>
        </w:tc>
        <w:tc>
          <w:tcPr>
            <w:tcW w:w="1246" w:type="dxa"/>
            <w:vAlign w:val="center"/>
          </w:tcPr>
          <w:p w14:paraId="4CD95902">
            <w:pPr>
              <w:keepNext w:val="0"/>
              <w:keepLines w:val="0"/>
              <w:widowControl w:val="0"/>
              <w:suppressLineNumbers w:val="0"/>
              <w:autoSpaceDE w:val="0"/>
              <w:autoSpaceDN w:val="0"/>
              <w:spacing w:before="0" w:beforeAutospacing="0" w:after="0" w:afterAutospacing="0" w:line="220" w:lineRule="exact"/>
              <w:ind w:left="436"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0.60</w:t>
            </w:r>
          </w:p>
        </w:tc>
      </w:tr>
      <w:tr w14:paraId="5608CF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62" w:type="dxa"/>
            <w:vMerge w:val="restart"/>
            <w:vAlign w:val="center"/>
          </w:tcPr>
          <w:p w14:paraId="0A0AD65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p>
          <w:p w14:paraId="5382BA2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en-US"/>
              </w:rPr>
            </w:pPr>
            <w:r>
              <w:rPr>
                <w:rFonts w:hint="default" w:ascii="Times New Roman" w:hAnsi="Times New Roman" w:eastAsia="宋体" w:cs="Times New Roman"/>
                <w:color w:val="auto"/>
                <w:sz w:val="21"/>
                <w:szCs w:val="21"/>
                <w:lang w:val="en-US" w:eastAsia="en-US"/>
              </w:rPr>
              <w:t>第四阶段</w:t>
            </w:r>
          </w:p>
        </w:tc>
        <w:tc>
          <w:tcPr>
            <w:tcW w:w="1846" w:type="dxa"/>
            <w:vAlign w:val="center"/>
          </w:tcPr>
          <w:p w14:paraId="008CC966">
            <w:pPr>
              <w:keepNext w:val="0"/>
              <w:keepLines w:val="0"/>
              <w:widowControl w:val="0"/>
              <w:suppressLineNumbers w:val="0"/>
              <w:autoSpaceDE w:val="0"/>
              <w:autoSpaceDN w:val="0"/>
              <w:spacing w:before="33" w:beforeAutospacing="0" w:after="0" w:afterAutospacing="0" w:line="253" w:lineRule="exact"/>
              <w:ind w:left="181" w:right="17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position w:val="2"/>
                <w:sz w:val="21"/>
                <w:szCs w:val="21"/>
                <w:lang w:val="en-US" w:eastAsia="en-US" w:bidi="ar-SA"/>
              </w:rPr>
              <w:t>P</w:t>
            </w:r>
            <w:r>
              <w:rPr>
                <w:rFonts w:hint="default" w:ascii="Times New Roman" w:hAnsi="Times New Roman" w:eastAsia="宋体" w:cs="Times New Roman"/>
                <w:color w:val="auto"/>
                <w:position w:val="2"/>
                <w:sz w:val="21"/>
                <w:szCs w:val="21"/>
                <w:vertAlign w:val="subscript"/>
                <w:lang w:val="en-US" w:eastAsia="en-US" w:bidi="ar-SA"/>
              </w:rPr>
              <w:t>max</w:t>
            </w:r>
            <w:r>
              <w:rPr>
                <w:rFonts w:hint="default" w:ascii="Times New Roman" w:hAnsi="Times New Roman" w:eastAsia="宋体" w:cs="Times New Roman"/>
                <w:color w:val="auto"/>
                <w:position w:val="2"/>
                <w:sz w:val="21"/>
                <w:szCs w:val="21"/>
                <w:vertAlign w:val="baseline"/>
                <w:lang w:val="en-US" w:eastAsia="en-US" w:bidi="ar-SA"/>
              </w:rPr>
              <w:t>&gt;560</w:t>
            </w:r>
          </w:p>
        </w:tc>
        <w:tc>
          <w:tcPr>
            <w:tcW w:w="1277" w:type="dxa"/>
            <w:vAlign w:val="center"/>
          </w:tcPr>
          <w:p w14:paraId="627A23A2">
            <w:pPr>
              <w:keepNext w:val="0"/>
              <w:keepLines w:val="0"/>
              <w:widowControl w:val="0"/>
              <w:suppressLineNumbers w:val="0"/>
              <w:autoSpaceDE w:val="0"/>
              <w:autoSpaceDN w:val="0"/>
              <w:spacing w:before="34" w:beforeAutospacing="0" w:after="0" w:afterAutospacing="0" w:line="240" w:lineRule="auto"/>
              <w:ind w:left="60" w:right="5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3.5</w:t>
            </w:r>
          </w:p>
        </w:tc>
        <w:tc>
          <w:tcPr>
            <w:tcW w:w="1275" w:type="dxa"/>
            <w:vAlign w:val="center"/>
          </w:tcPr>
          <w:p w14:paraId="2A737F82">
            <w:pPr>
              <w:keepNext w:val="0"/>
              <w:keepLines w:val="0"/>
              <w:widowControl w:val="0"/>
              <w:suppressLineNumbers w:val="0"/>
              <w:autoSpaceDE w:val="0"/>
              <w:autoSpaceDN w:val="0"/>
              <w:spacing w:before="34" w:beforeAutospacing="0" w:after="0" w:afterAutospacing="0" w:line="240" w:lineRule="auto"/>
              <w:ind w:left="99" w:right="95"/>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0.40</w:t>
            </w:r>
          </w:p>
        </w:tc>
        <w:tc>
          <w:tcPr>
            <w:tcW w:w="1493" w:type="dxa"/>
            <w:vAlign w:val="center"/>
          </w:tcPr>
          <w:p w14:paraId="3BF59180">
            <w:pPr>
              <w:keepNext w:val="0"/>
              <w:keepLines w:val="0"/>
              <w:widowControl w:val="0"/>
              <w:suppressLineNumbers w:val="0"/>
              <w:autoSpaceDE w:val="0"/>
              <w:autoSpaceDN w:val="0"/>
              <w:spacing w:before="0" w:beforeAutospacing="0" w:after="0" w:afterAutospacing="0" w:line="287" w:lineRule="exact"/>
              <w:ind w:left="137" w:right="136"/>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3.5，0.67</w:t>
            </w:r>
            <w:r>
              <w:rPr>
                <w:rFonts w:hint="default" w:ascii="Times New Roman" w:hAnsi="Times New Roman" w:eastAsia="宋体" w:cs="Times New Roman"/>
                <w:color w:val="auto"/>
                <w:position w:val="8"/>
                <w:sz w:val="21"/>
                <w:szCs w:val="21"/>
                <w:lang w:val="en-US" w:eastAsia="en-US" w:bidi="ar-SA"/>
              </w:rPr>
              <w:t>（</w:t>
            </w:r>
            <w:r>
              <w:rPr>
                <w:rFonts w:hint="default" w:ascii="Times New Roman" w:hAnsi="Times New Roman" w:eastAsia="宋体" w:cs="Times New Roman"/>
                <w:color w:val="auto"/>
                <w:position w:val="7"/>
                <w:sz w:val="21"/>
                <w:szCs w:val="21"/>
                <w:lang w:val="en-US" w:eastAsia="en-US" w:bidi="ar-SA"/>
              </w:rPr>
              <w:t>1</w:t>
            </w:r>
            <w:r>
              <w:rPr>
                <w:rFonts w:hint="default" w:ascii="Times New Roman" w:hAnsi="Times New Roman" w:eastAsia="宋体" w:cs="Times New Roman"/>
                <w:color w:val="auto"/>
                <w:position w:val="8"/>
                <w:sz w:val="21"/>
                <w:szCs w:val="21"/>
                <w:lang w:val="en-US" w:eastAsia="en-US" w:bidi="ar-SA"/>
              </w:rPr>
              <w:t>）</w:t>
            </w:r>
          </w:p>
        </w:tc>
        <w:tc>
          <w:tcPr>
            <w:tcW w:w="1251" w:type="dxa"/>
            <w:vAlign w:val="center"/>
          </w:tcPr>
          <w:p w14:paraId="6224D749">
            <w:pPr>
              <w:keepNext w:val="0"/>
              <w:keepLines w:val="0"/>
              <w:widowControl w:val="0"/>
              <w:suppressLineNumbers w:val="0"/>
              <w:autoSpaceDE w:val="0"/>
              <w:autoSpaceDN w:val="0"/>
              <w:spacing w:before="34" w:beforeAutospacing="0" w:after="0" w:afterAutospacing="0" w:line="240" w:lineRule="auto"/>
              <w:ind w:left="6"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246" w:type="dxa"/>
            <w:vAlign w:val="center"/>
          </w:tcPr>
          <w:p w14:paraId="21B129F8">
            <w:pPr>
              <w:keepNext w:val="0"/>
              <w:keepLines w:val="0"/>
              <w:widowControl w:val="0"/>
              <w:suppressLineNumbers w:val="0"/>
              <w:autoSpaceDE w:val="0"/>
              <w:autoSpaceDN w:val="0"/>
              <w:spacing w:before="34" w:beforeAutospacing="0" w:after="0" w:afterAutospacing="0" w:line="240" w:lineRule="auto"/>
              <w:ind w:left="436"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0.10</w:t>
            </w:r>
          </w:p>
        </w:tc>
      </w:tr>
      <w:tr w14:paraId="6D5B63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62" w:type="dxa"/>
            <w:vMerge w:val="continue"/>
            <w:tcBorders>
              <w:top w:val="nil"/>
            </w:tcBorders>
            <w:vAlign w:val="center"/>
          </w:tcPr>
          <w:p w14:paraId="33E0852A">
            <w:pPr>
              <w:keepNext w:val="0"/>
              <w:keepLines w:val="0"/>
              <w:suppressLineNumbers w:val="0"/>
              <w:autoSpaceDE w:val="0"/>
              <w:autoSpaceDN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lang w:eastAsia="en-US"/>
              </w:rPr>
            </w:pPr>
          </w:p>
        </w:tc>
        <w:tc>
          <w:tcPr>
            <w:tcW w:w="1846" w:type="dxa"/>
            <w:vAlign w:val="center"/>
          </w:tcPr>
          <w:p w14:paraId="74A76F00">
            <w:pPr>
              <w:keepNext w:val="0"/>
              <w:keepLines w:val="0"/>
              <w:widowControl w:val="0"/>
              <w:suppressLineNumbers w:val="0"/>
              <w:autoSpaceDE w:val="0"/>
              <w:autoSpaceDN w:val="0"/>
              <w:spacing w:before="0" w:beforeAutospacing="0" w:after="0" w:afterAutospacing="0" w:line="287" w:lineRule="exact"/>
              <w:ind w:left="183" w:right="17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position w:val="2"/>
                <w:sz w:val="21"/>
                <w:szCs w:val="21"/>
                <w:lang w:val="en-US" w:eastAsia="en-US" w:bidi="ar-SA"/>
              </w:rPr>
              <w:t>130≤P</w:t>
            </w:r>
            <w:r>
              <w:rPr>
                <w:rFonts w:hint="default" w:ascii="Times New Roman" w:hAnsi="Times New Roman" w:eastAsia="宋体" w:cs="Times New Roman"/>
                <w:color w:val="auto"/>
                <w:position w:val="2"/>
                <w:sz w:val="21"/>
                <w:szCs w:val="21"/>
                <w:vertAlign w:val="subscript"/>
                <w:lang w:val="en-US" w:eastAsia="en-US" w:bidi="ar-SA"/>
              </w:rPr>
              <w:t>max</w:t>
            </w:r>
            <w:r>
              <w:rPr>
                <w:rFonts w:hint="default" w:ascii="Times New Roman" w:hAnsi="Times New Roman" w:eastAsia="宋体" w:cs="Times New Roman"/>
                <w:color w:val="auto"/>
                <w:position w:val="2"/>
                <w:sz w:val="21"/>
                <w:szCs w:val="21"/>
                <w:vertAlign w:val="baseline"/>
                <w:lang w:val="en-US" w:eastAsia="en-US" w:bidi="ar-SA"/>
              </w:rPr>
              <w:t>≤560</w:t>
            </w:r>
          </w:p>
        </w:tc>
        <w:tc>
          <w:tcPr>
            <w:tcW w:w="1277" w:type="dxa"/>
            <w:vAlign w:val="center"/>
          </w:tcPr>
          <w:p w14:paraId="7E5277BF">
            <w:pPr>
              <w:keepNext w:val="0"/>
              <w:keepLines w:val="0"/>
              <w:widowControl w:val="0"/>
              <w:suppressLineNumbers w:val="0"/>
              <w:autoSpaceDE w:val="0"/>
              <w:autoSpaceDN w:val="0"/>
              <w:spacing w:before="31" w:beforeAutospacing="0" w:after="0" w:afterAutospacing="0" w:line="240" w:lineRule="auto"/>
              <w:ind w:left="60" w:right="5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3.5</w:t>
            </w:r>
          </w:p>
        </w:tc>
        <w:tc>
          <w:tcPr>
            <w:tcW w:w="1275" w:type="dxa"/>
            <w:vAlign w:val="center"/>
          </w:tcPr>
          <w:p w14:paraId="747334D9">
            <w:pPr>
              <w:keepNext w:val="0"/>
              <w:keepLines w:val="0"/>
              <w:widowControl w:val="0"/>
              <w:suppressLineNumbers w:val="0"/>
              <w:autoSpaceDE w:val="0"/>
              <w:autoSpaceDN w:val="0"/>
              <w:spacing w:before="31" w:beforeAutospacing="0" w:after="0" w:afterAutospacing="0" w:line="240" w:lineRule="auto"/>
              <w:ind w:left="99" w:right="95"/>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0.19</w:t>
            </w:r>
          </w:p>
        </w:tc>
        <w:tc>
          <w:tcPr>
            <w:tcW w:w="1493" w:type="dxa"/>
            <w:vAlign w:val="center"/>
          </w:tcPr>
          <w:p w14:paraId="50B9D3A0">
            <w:pPr>
              <w:keepNext w:val="0"/>
              <w:keepLines w:val="0"/>
              <w:widowControl w:val="0"/>
              <w:suppressLineNumbers w:val="0"/>
              <w:autoSpaceDE w:val="0"/>
              <w:autoSpaceDN w:val="0"/>
              <w:spacing w:before="31" w:beforeAutospacing="0" w:after="0" w:afterAutospacing="0" w:line="240" w:lineRule="auto"/>
              <w:ind w:left="137" w:right="136"/>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2.0</w:t>
            </w:r>
          </w:p>
        </w:tc>
        <w:tc>
          <w:tcPr>
            <w:tcW w:w="1251" w:type="dxa"/>
            <w:vAlign w:val="center"/>
          </w:tcPr>
          <w:p w14:paraId="0FD82F50">
            <w:pPr>
              <w:keepNext w:val="0"/>
              <w:keepLines w:val="0"/>
              <w:widowControl w:val="0"/>
              <w:suppressLineNumbers w:val="0"/>
              <w:autoSpaceDE w:val="0"/>
              <w:autoSpaceDN w:val="0"/>
              <w:spacing w:before="31" w:beforeAutospacing="0" w:after="0" w:afterAutospacing="0" w:line="240" w:lineRule="auto"/>
              <w:ind w:left="6"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246" w:type="dxa"/>
            <w:vAlign w:val="center"/>
          </w:tcPr>
          <w:p w14:paraId="6D0FEE9E">
            <w:pPr>
              <w:keepNext w:val="0"/>
              <w:keepLines w:val="0"/>
              <w:widowControl w:val="0"/>
              <w:suppressLineNumbers w:val="0"/>
              <w:autoSpaceDE w:val="0"/>
              <w:autoSpaceDN w:val="0"/>
              <w:spacing w:before="31" w:beforeAutospacing="0" w:after="0" w:afterAutospacing="0" w:line="240" w:lineRule="auto"/>
              <w:ind w:left="383"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0.025</w:t>
            </w:r>
          </w:p>
        </w:tc>
      </w:tr>
      <w:tr w14:paraId="712A7F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62" w:type="dxa"/>
            <w:vMerge w:val="continue"/>
            <w:tcBorders>
              <w:top w:val="nil"/>
            </w:tcBorders>
            <w:vAlign w:val="center"/>
          </w:tcPr>
          <w:p w14:paraId="2D80EE30">
            <w:pPr>
              <w:keepNext w:val="0"/>
              <w:keepLines w:val="0"/>
              <w:suppressLineNumbers w:val="0"/>
              <w:autoSpaceDE w:val="0"/>
              <w:autoSpaceDN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lang w:eastAsia="en-US"/>
              </w:rPr>
            </w:pPr>
          </w:p>
        </w:tc>
        <w:tc>
          <w:tcPr>
            <w:tcW w:w="1846" w:type="dxa"/>
            <w:vAlign w:val="center"/>
          </w:tcPr>
          <w:p w14:paraId="6B7A3D93">
            <w:pPr>
              <w:keepNext w:val="0"/>
              <w:keepLines w:val="0"/>
              <w:widowControl w:val="0"/>
              <w:suppressLineNumbers w:val="0"/>
              <w:autoSpaceDE w:val="0"/>
              <w:autoSpaceDN w:val="0"/>
              <w:spacing w:before="0" w:beforeAutospacing="0" w:after="0" w:afterAutospacing="0" w:line="284" w:lineRule="exact"/>
              <w:ind w:left="183" w:right="17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position w:val="2"/>
                <w:sz w:val="21"/>
                <w:szCs w:val="21"/>
                <w:lang w:val="en-US" w:eastAsia="en-US" w:bidi="ar-SA"/>
              </w:rPr>
              <w:t>75≤P</w:t>
            </w:r>
            <w:r>
              <w:rPr>
                <w:rFonts w:hint="default" w:ascii="Times New Roman" w:hAnsi="Times New Roman" w:eastAsia="宋体" w:cs="Times New Roman"/>
                <w:color w:val="auto"/>
                <w:position w:val="2"/>
                <w:sz w:val="21"/>
                <w:szCs w:val="21"/>
                <w:vertAlign w:val="subscript"/>
                <w:lang w:val="en-US" w:eastAsia="en-US" w:bidi="ar-SA"/>
              </w:rPr>
              <w:t>max</w:t>
            </w:r>
            <w:r>
              <w:rPr>
                <w:rFonts w:hint="default" w:ascii="Times New Roman" w:hAnsi="Times New Roman" w:eastAsia="宋体" w:cs="Times New Roman"/>
                <w:color w:val="auto"/>
                <w:position w:val="2"/>
                <w:sz w:val="21"/>
                <w:szCs w:val="21"/>
                <w:vertAlign w:val="baseline"/>
                <w:lang w:val="en-US" w:eastAsia="en-US" w:bidi="ar-SA"/>
              </w:rPr>
              <w:t>&lt;130</w:t>
            </w:r>
          </w:p>
        </w:tc>
        <w:tc>
          <w:tcPr>
            <w:tcW w:w="1277" w:type="dxa"/>
            <w:vAlign w:val="center"/>
          </w:tcPr>
          <w:p w14:paraId="394EF3D0">
            <w:pPr>
              <w:keepNext w:val="0"/>
              <w:keepLines w:val="0"/>
              <w:widowControl w:val="0"/>
              <w:suppressLineNumbers w:val="0"/>
              <w:autoSpaceDE w:val="0"/>
              <w:autoSpaceDN w:val="0"/>
              <w:spacing w:before="31" w:beforeAutospacing="0" w:after="0" w:afterAutospacing="0" w:line="240" w:lineRule="auto"/>
              <w:ind w:left="60" w:right="5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5.0</w:t>
            </w:r>
          </w:p>
        </w:tc>
        <w:tc>
          <w:tcPr>
            <w:tcW w:w="1275" w:type="dxa"/>
            <w:vAlign w:val="center"/>
          </w:tcPr>
          <w:p w14:paraId="0E7FB2DA">
            <w:pPr>
              <w:keepNext w:val="0"/>
              <w:keepLines w:val="0"/>
              <w:widowControl w:val="0"/>
              <w:suppressLineNumbers w:val="0"/>
              <w:autoSpaceDE w:val="0"/>
              <w:autoSpaceDN w:val="0"/>
              <w:spacing w:before="31" w:beforeAutospacing="0" w:after="0" w:afterAutospacing="0" w:line="240" w:lineRule="auto"/>
              <w:ind w:left="99" w:right="95"/>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0.19</w:t>
            </w:r>
          </w:p>
        </w:tc>
        <w:tc>
          <w:tcPr>
            <w:tcW w:w="1493" w:type="dxa"/>
            <w:vAlign w:val="center"/>
          </w:tcPr>
          <w:p w14:paraId="763A1EE9">
            <w:pPr>
              <w:keepNext w:val="0"/>
              <w:keepLines w:val="0"/>
              <w:widowControl w:val="0"/>
              <w:suppressLineNumbers w:val="0"/>
              <w:autoSpaceDE w:val="0"/>
              <w:autoSpaceDN w:val="0"/>
              <w:spacing w:before="31" w:beforeAutospacing="0" w:after="0" w:afterAutospacing="0" w:line="240" w:lineRule="auto"/>
              <w:ind w:left="137" w:right="136"/>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3.3</w:t>
            </w:r>
          </w:p>
        </w:tc>
        <w:tc>
          <w:tcPr>
            <w:tcW w:w="1251" w:type="dxa"/>
            <w:vAlign w:val="center"/>
          </w:tcPr>
          <w:p w14:paraId="6893187F">
            <w:pPr>
              <w:keepNext w:val="0"/>
              <w:keepLines w:val="0"/>
              <w:widowControl w:val="0"/>
              <w:suppressLineNumbers w:val="0"/>
              <w:autoSpaceDE w:val="0"/>
              <w:autoSpaceDN w:val="0"/>
              <w:spacing w:before="31" w:beforeAutospacing="0" w:after="0" w:afterAutospacing="0" w:line="240" w:lineRule="auto"/>
              <w:ind w:left="6"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246" w:type="dxa"/>
            <w:vAlign w:val="center"/>
          </w:tcPr>
          <w:p w14:paraId="2C7F6BC6">
            <w:pPr>
              <w:keepNext w:val="0"/>
              <w:keepLines w:val="0"/>
              <w:widowControl w:val="0"/>
              <w:suppressLineNumbers w:val="0"/>
              <w:autoSpaceDE w:val="0"/>
              <w:autoSpaceDN w:val="0"/>
              <w:spacing w:before="31" w:beforeAutospacing="0" w:after="0" w:afterAutospacing="0" w:line="240" w:lineRule="auto"/>
              <w:ind w:left="383"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0.025</w:t>
            </w:r>
          </w:p>
        </w:tc>
      </w:tr>
      <w:tr w14:paraId="5E9B57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62" w:type="dxa"/>
            <w:vMerge w:val="continue"/>
            <w:tcBorders>
              <w:top w:val="nil"/>
            </w:tcBorders>
            <w:vAlign w:val="center"/>
          </w:tcPr>
          <w:p w14:paraId="757166D9">
            <w:pPr>
              <w:keepNext w:val="0"/>
              <w:keepLines w:val="0"/>
              <w:suppressLineNumbers w:val="0"/>
              <w:autoSpaceDE w:val="0"/>
              <w:autoSpaceDN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lang w:eastAsia="en-US"/>
              </w:rPr>
            </w:pPr>
          </w:p>
        </w:tc>
        <w:tc>
          <w:tcPr>
            <w:tcW w:w="1846" w:type="dxa"/>
            <w:vAlign w:val="center"/>
          </w:tcPr>
          <w:p w14:paraId="66560EFF">
            <w:pPr>
              <w:keepNext w:val="0"/>
              <w:keepLines w:val="0"/>
              <w:widowControl w:val="0"/>
              <w:suppressLineNumbers w:val="0"/>
              <w:autoSpaceDE w:val="0"/>
              <w:autoSpaceDN w:val="0"/>
              <w:spacing w:before="0" w:beforeAutospacing="0" w:after="0" w:afterAutospacing="0" w:line="287" w:lineRule="exact"/>
              <w:ind w:left="183" w:right="17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position w:val="2"/>
                <w:sz w:val="21"/>
                <w:szCs w:val="21"/>
                <w:lang w:val="en-US" w:eastAsia="en-US" w:bidi="ar-SA"/>
              </w:rPr>
              <w:t>56≤P</w:t>
            </w:r>
            <w:r>
              <w:rPr>
                <w:rFonts w:hint="default" w:ascii="Times New Roman" w:hAnsi="Times New Roman" w:eastAsia="宋体" w:cs="Times New Roman"/>
                <w:color w:val="auto"/>
                <w:position w:val="2"/>
                <w:sz w:val="21"/>
                <w:szCs w:val="21"/>
                <w:vertAlign w:val="subscript"/>
                <w:lang w:val="en-US" w:eastAsia="en-US" w:bidi="ar-SA"/>
              </w:rPr>
              <w:t>max</w:t>
            </w:r>
            <w:r>
              <w:rPr>
                <w:rFonts w:hint="default" w:ascii="Times New Roman" w:hAnsi="Times New Roman" w:eastAsia="宋体" w:cs="Times New Roman"/>
                <w:color w:val="auto"/>
                <w:position w:val="2"/>
                <w:sz w:val="21"/>
                <w:szCs w:val="21"/>
                <w:vertAlign w:val="baseline"/>
                <w:lang w:val="en-US" w:eastAsia="en-US" w:bidi="ar-SA"/>
              </w:rPr>
              <w:t>&lt;75</w:t>
            </w:r>
          </w:p>
        </w:tc>
        <w:tc>
          <w:tcPr>
            <w:tcW w:w="1277" w:type="dxa"/>
            <w:vAlign w:val="center"/>
          </w:tcPr>
          <w:p w14:paraId="5EC92B1F">
            <w:pPr>
              <w:keepNext w:val="0"/>
              <w:keepLines w:val="0"/>
              <w:widowControl w:val="0"/>
              <w:suppressLineNumbers w:val="0"/>
              <w:autoSpaceDE w:val="0"/>
              <w:autoSpaceDN w:val="0"/>
              <w:spacing w:before="31" w:beforeAutospacing="0" w:after="0" w:afterAutospacing="0" w:line="240" w:lineRule="auto"/>
              <w:ind w:left="60" w:right="5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5.0</w:t>
            </w:r>
          </w:p>
        </w:tc>
        <w:tc>
          <w:tcPr>
            <w:tcW w:w="1275" w:type="dxa"/>
            <w:vAlign w:val="center"/>
          </w:tcPr>
          <w:p w14:paraId="1DDB09D7">
            <w:pPr>
              <w:keepNext w:val="0"/>
              <w:keepLines w:val="0"/>
              <w:widowControl w:val="0"/>
              <w:suppressLineNumbers w:val="0"/>
              <w:autoSpaceDE w:val="0"/>
              <w:autoSpaceDN w:val="0"/>
              <w:spacing w:before="31" w:beforeAutospacing="0" w:after="0" w:afterAutospacing="0" w:line="240" w:lineRule="auto"/>
              <w:ind w:left="99" w:right="95"/>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0.19</w:t>
            </w:r>
          </w:p>
        </w:tc>
        <w:tc>
          <w:tcPr>
            <w:tcW w:w="1493" w:type="dxa"/>
            <w:vAlign w:val="center"/>
          </w:tcPr>
          <w:p w14:paraId="5FA83DCA">
            <w:pPr>
              <w:keepNext w:val="0"/>
              <w:keepLines w:val="0"/>
              <w:widowControl w:val="0"/>
              <w:suppressLineNumbers w:val="0"/>
              <w:autoSpaceDE w:val="0"/>
              <w:autoSpaceDN w:val="0"/>
              <w:spacing w:before="31" w:beforeAutospacing="0" w:after="0" w:afterAutospacing="0" w:line="240" w:lineRule="auto"/>
              <w:ind w:left="137" w:right="136"/>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3.3</w:t>
            </w:r>
          </w:p>
        </w:tc>
        <w:tc>
          <w:tcPr>
            <w:tcW w:w="1251" w:type="dxa"/>
            <w:vAlign w:val="center"/>
          </w:tcPr>
          <w:p w14:paraId="3FAE6E29">
            <w:pPr>
              <w:keepNext w:val="0"/>
              <w:keepLines w:val="0"/>
              <w:widowControl w:val="0"/>
              <w:suppressLineNumbers w:val="0"/>
              <w:autoSpaceDE w:val="0"/>
              <w:autoSpaceDN w:val="0"/>
              <w:spacing w:before="31" w:beforeAutospacing="0" w:after="0" w:afterAutospacing="0" w:line="240" w:lineRule="auto"/>
              <w:ind w:left="6"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246" w:type="dxa"/>
            <w:vAlign w:val="center"/>
          </w:tcPr>
          <w:p w14:paraId="4F119EF7">
            <w:pPr>
              <w:keepNext w:val="0"/>
              <w:keepLines w:val="0"/>
              <w:widowControl w:val="0"/>
              <w:suppressLineNumbers w:val="0"/>
              <w:autoSpaceDE w:val="0"/>
              <w:autoSpaceDN w:val="0"/>
              <w:spacing w:before="31" w:beforeAutospacing="0" w:after="0" w:afterAutospacing="0" w:line="240" w:lineRule="auto"/>
              <w:ind w:left="383"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0.025</w:t>
            </w:r>
          </w:p>
        </w:tc>
      </w:tr>
      <w:tr w14:paraId="7CDD890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62" w:type="dxa"/>
            <w:vMerge w:val="continue"/>
            <w:tcBorders>
              <w:top w:val="nil"/>
            </w:tcBorders>
            <w:vAlign w:val="center"/>
          </w:tcPr>
          <w:p w14:paraId="4450B47C">
            <w:pPr>
              <w:keepNext w:val="0"/>
              <w:keepLines w:val="0"/>
              <w:suppressLineNumbers w:val="0"/>
              <w:autoSpaceDE w:val="0"/>
              <w:autoSpaceDN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lang w:eastAsia="en-US"/>
              </w:rPr>
            </w:pPr>
          </w:p>
        </w:tc>
        <w:tc>
          <w:tcPr>
            <w:tcW w:w="1846" w:type="dxa"/>
            <w:vAlign w:val="center"/>
          </w:tcPr>
          <w:p w14:paraId="3B699A61">
            <w:pPr>
              <w:keepNext w:val="0"/>
              <w:keepLines w:val="0"/>
              <w:widowControl w:val="0"/>
              <w:suppressLineNumbers w:val="0"/>
              <w:autoSpaceDE w:val="0"/>
              <w:autoSpaceDN w:val="0"/>
              <w:spacing w:before="0" w:beforeAutospacing="0" w:after="0" w:afterAutospacing="0" w:line="284" w:lineRule="exact"/>
              <w:ind w:left="183" w:right="17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position w:val="2"/>
                <w:sz w:val="21"/>
                <w:szCs w:val="21"/>
                <w:lang w:val="en-US" w:eastAsia="en-US" w:bidi="ar-SA"/>
              </w:rPr>
              <w:t>37≤P</w:t>
            </w:r>
            <w:r>
              <w:rPr>
                <w:rFonts w:hint="default" w:ascii="Times New Roman" w:hAnsi="Times New Roman" w:eastAsia="宋体" w:cs="Times New Roman"/>
                <w:color w:val="auto"/>
                <w:position w:val="2"/>
                <w:sz w:val="21"/>
                <w:szCs w:val="21"/>
                <w:vertAlign w:val="subscript"/>
                <w:lang w:val="en-US" w:eastAsia="en-US" w:bidi="ar-SA"/>
              </w:rPr>
              <w:t>max</w:t>
            </w:r>
            <w:r>
              <w:rPr>
                <w:rFonts w:hint="default" w:ascii="Times New Roman" w:hAnsi="Times New Roman" w:eastAsia="宋体" w:cs="Times New Roman"/>
                <w:color w:val="auto"/>
                <w:position w:val="2"/>
                <w:sz w:val="21"/>
                <w:szCs w:val="21"/>
                <w:vertAlign w:val="baseline"/>
                <w:lang w:val="en-US" w:eastAsia="en-US" w:bidi="ar-SA"/>
              </w:rPr>
              <w:t>&lt;56</w:t>
            </w:r>
          </w:p>
        </w:tc>
        <w:tc>
          <w:tcPr>
            <w:tcW w:w="1277" w:type="dxa"/>
            <w:vAlign w:val="center"/>
          </w:tcPr>
          <w:p w14:paraId="18B7964C">
            <w:pPr>
              <w:keepNext w:val="0"/>
              <w:keepLines w:val="0"/>
              <w:widowControl w:val="0"/>
              <w:suppressLineNumbers w:val="0"/>
              <w:autoSpaceDE w:val="0"/>
              <w:autoSpaceDN w:val="0"/>
              <w:spacing w:before="31" w:beforeAutospacing="0" w:after="0" w:afterAutospacing="0" w:line="240" w:lineRule="auto"/>
              <w:ind w:left="60" w:right="5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5.0</w:t>
            </w:r>
          </w:p>
        </w:tc>
        <w:tc>
          <w:tcPr>
            <w:tcW w:w="1275" w:type="dxa"/>
            <w:vAlign w:val="center"/>
          </w:tcPr>
          <w:p w14:paraId="6D9199A7">
            <w:pPr>
              <w:keepNext w:val="0"/>
              <w:keepLines w:val="0"/>
              <w:widowControl w:val="0"/>
              <w:suppressLineNumbers w:val="0"/>
              <w:autoSpaceDE w:val="0"/>
              <w:autoSpaceDN w:val="0"/>
              <w:spacing w:before="31" w:beforeAutospacing="0" w:after="0" w:afterAutospacing="0" w:line="240" w:lineRule="auto"/>
              <w:ind w:left="2"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493" w:type="dxa"/>
            <w:vAlign w:val="center"/>
          </w:tcPr>
          <w:p w14:paraId="16B7E9E7">
            <w:pPr>
              <w:keepNext w:val="0"/>
              <w:keepLines w:val="0"/>
              <w:widowControl w:val="0"/>
              <w:suppressLineNumbers w:val="0"/>
              <w:autoSpaceDE w:val="0"/>
              <w:autoSpaceDN w:val="0"/>
              <w:spacing w:before="31" w:beforeAutospacing="0" w:after="0" w:afterAutospacing="0" w:line="240" w:lineRule="auto"/>
              <w:ind w:left="0"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251" w:type="dxa"/>
            <w:vAlign w:val="center"/>
          </w:tcPr>
          <w:p w14:paraId="4E112BD7">
            <w:pPr>
              <w:keepNext w:val="0"/>
              <w:keepLines w:val="0"/>
              <w:widowControl w:val="0"/>
              <w:suppressLineNumbers w:val="0"/>
              <w:autoSpaceDE w:val="0"/>
              <w:autoSpaceDN w:val="0"/>
              <w:spacing w:before="31" w:beforeAutospacing="0" w:after="0" w:afterAutospacing="0" w:line="240" w:lineRule="auto"/>
              <w:ind w:left="472" w:right="465"/>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4.7</w:t>
            </w:r>
          </w:p>
        </w:tc>
        <w:tc>
          <w:tcPr>
            <w:tcW w:w="1246" w:type="dxa"/>
            <w:vAlign w:val="center"/>
          </w:tcPr>
          <w:p w14:paraId="53202944">
            <w:pPr>
              <w:keepNext w:val="0"/>
              <w:keepLines w:val="0"/>
              <w:widowControl w:val="0"/>
              <w:suppressLineNumbers w:val="0"/>
              <w:autoSpaceDE w:val="0"/>
              <w:autoSpaceDN w:val="0"/>
              <w:spacing w:before="31" w:beforeAutospacing="0" w:after="0" w:afterAutospacing="0" w:line="240" w:lineRule="auto"/>
              <w:ind w:left="383"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0.025</w:t>
            </w:r>
          </w:p>
        </w:tc>
      </w:tr>
      <w:tr w14:paraId="08A4C0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62" w:type="dxa"/>
            <w:vMerge w:val="continue"/>
            <w:tcBorders>
              <w:top w:val="nil"/>
            </w:tcBorders>
            <w:vAlign w:val="center"/>
          </w:tcPr>
          <w:p w14:paraId="60C81925">
            <w:pPr>
              <w:keepNext w:val="0"/>
              <w:keepLines w:val="0"/>
              <w:suppressLineNumbers w:val="0"/>
              <w:autoSpaceDE w:val="0"/>
              <w:autoSpaceDN w:val="0"/>
              <w:spacing w:before="0" w:beforeAutospacing="0" w:after="0" w:afterAutospacing="0" w:line="240" w:lineRule="auto"/>
              <w:ind w:left="0" w:right="0"/>
              <w:jc w:val="center"/>
              <w:rPr>
                <w:rFonts w:hint="default" w:ascii="Times New Roman" w:hAnsi="Times New Roman" w:eastAsia="宋体" w:cs="Times New Roman"/>
                <w:color w:val="auto"/>
                <w:kern w:val="0"/>
                <w:sz w:val="21"/>
                <w:szCs w:val="21"/>
                <w:lang w:eastAsia="en-US"/>
              </w:rPr>
            </w:pPr>
          </w:p>
        </w:tc>
        <w:tc>
          <w:tcPr>
            <w:tcW w:w="1846" w:type="dxa"/>
            <w:vAlign w:val="center"/>
          </w:tcPr>
          <w:p w14:paraId="198FB1BE">
            <w:pPr>
              <w:keepNext w:val="0"/>
              <w:keepLines w:val="0"/>
              <w:widowControl w:val="0"/>
              <w:suppressLineNumbers w:val="0"/>
              <w:autoSpaceDE w:val="0"/>
              <w:autoSpaceDN w:val="0"/>
              <w:spacing w:before="0" w:beforeAutospacing="0" w:after="0" w:afterAutospacing="0" w:line="222" w:lineRule="exact"/>
              <w:ind w:left="181" w:right="17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position w:val="2"/>
                <w:sz w:val="21"/>
                <w:szCs w:val="21"/>
                <w:lang w:val="en-US" w:eastAsia="en-US" w:bidi="ar-SA"/>
              </w:rPr>
              <w:t>P</w:t>
            </w:r>
            <w:r>
              <w:rPr>
                <w:rFonts w:hint="default" w:ascii="Times New Roman" w:hAnsi="Times New Roman" w:eastAsia="宋体" w:cs="Times New Roman"/>
                <w:color w:val="auto"/>
                <w:position w:val="2"/>
                <w:sz w:val="21"/>
                <w:szCs w:val="21"/>
                <w:vertAlign w:val="subscript"/>
                <w:lang w:val="en-US" w:eastAsia="en-US" w:bidi="ar-SA"/>
              </w:rPr>
              <w:t>max</w:t>
            </w:r>
            <w:r>
              <w:rPr>
                <w:rFonts w:hint="default" w:ascii="Times New Roman" w:hAnsi="Times New Roman" w:eastAsia="宋体" w:cs="Times New Roman"/>
                <w:color w:val="auto"/>
                <w:position w:val="2"/>
                <w:sz w:val="21"/>
                <w:szCs w:val="21"/>
                <w:vertAlign w:val="baseline"/>
                <w:lang w:val="en-US" w:eastAsia="en-US" w:bidi="ar-SA"/>
              </w:rPr>
              <w:t xml:space="preserve"> &lt;37</w:t>
            </w:r>
          </w:p>
        </w:tc>
        <w:tc>
          <w:tcPr>
            <w:tcW w:w="1277" w:type="dxa"/>
            <w:vAlign w:val="center"/>
          </w:tcPr>
          <w:p w14:paraId="1EFFC52B">
            <w:pPr>
              <w:keepNext w:val="0"/>
              <w:keepLines w:val="0"/>
              <w:widowControl w:val="0"/>
              <w:suppressLineNumbers w:val="0"/>
              <w:autoSpaceDE w:val="0"/>
              <w:autoSpaceDN w:val="0"/>
              <w:spacing w:before="0" w:beforeAutospacing="0" w:after="0" w:afterAutospacing="0" w:line="221" w:lineRule="exact"/>
              <w:ind w:left="60" w:right="53"/>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5.5</w:t>
            </w:r>
          </w:p>
        </w:tc>
        <w:tc>
          <w:tcPr>
            <w:tcW w:w="1275" w:type="dxa"/>
            <w:vAlign w:val="center"/>
          </w:tcPr>
          <w:p w14:paraId="3523F45B">
            <w:pPr>
              <w:keepNext w:val="0"/>
              <w:keepLines w:val="0"/>
              <w:widowControl w:val="0"/>
              <w:suppressLineNumbers w:val="0"/>
              <w:autoSpaceDE w:val="0"/>
              <w:autoSpaceDN w:val="0"/>
              <w:spacing w:before="0" w:beforeAutospacing="0" w:after="0" w:afterAutospacing="0" w:line="221" w:lineRule="exact"/>
              <w:ind w:left="2"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493" w:type="dxa"/>
            <w:vAlign w:val="center"/>
          </w:tcPr>
          <w:p w14:paraId="76748B62">
            <w:pPr>
              <w:keepNext w:val="0"/>
              <w:keepLines w:val="0"/>
              <w:widowControl w:val="0"/>
              <w:suppressLineNumbers w:val="0"/>
              <w:autoSpaceDE w:val="0"/>
              <w:autoSpaceDN w:val="0"/>
              <w:spacing w:before="0" w:beforeAutospacing="0" w:after="0" w:afterAutospacing="0" w:line="221" w:lineRule="exact"/>
              <w:ind w:left="0"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w w:val="100"/>
                <w:sz w:val="21"/>
                <w:szCs w:val="21"/>
                <w:lang w:val="en-US" w:eastAsia="en-US" w:bidi="ar-SA"/>
              </w:rPr>
              <w:t>-</w:t>
            </w:r>
          </w:p>
        </w:tc>
        <w:tc>
          <w:tcPr>
            <w:tcW w:w="1251" w:type="dxa"/>
            <w:vAlign w:val="center"/>
          </w:tcPr>
          <w:p w14:paraId="241DFB9D">
            <w:pPr>
              <w:keepNext w:val="0"/>
              <w:keepLines w:val="0"/>
              <w:widowControl w:val="0"/>
              <w:suppressLineNumbers w:val="0"/>
              <w:autoSpaceDE w:val="0"/>
              <w:autoSpaceDN w:val="0"/>
              <w:spacing w:before="0" w:beforeAutospacing="0" w:after="0" w:afterAutospacing="0" w:line="221" w:lineRule="exact"/>
              <w:ind w:left="472" w:right="465"/>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7.5</w:t>
            </w:r>
          </w:p>
        </w:tc>
        <w:tc>
          <w:tcPr>
            <w:tcW w:w="1246" w:type="dxa"/>
            <w:vAlign w:val="center"/>
          </w:tcPr>
          <w:p w14:paraId="757AB187">
            <w:pPr>
              <w:keepNext w:val="0"/>
              <w:keepLines w:val="0"/>
              <w:widowControl w:val="0"/>
              <w:suppressLineNumbers w:val="0"/>
              <w:autoSpaceDE w:val="0"/>
              <w:autoSpaceDN w:val="0"/>
              <w:spacing w:before="0" w:beforeAutospacing="0" w:after="0" w:afterAutospacing="0" w:line="221" w:lineRule="exact"/>
              <w:ind w:left="436"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sz w:val="21"/>
                <w:szCs w:val="21"/>
                <w:lang w:val="en-US" w:eastAsia="en-US" w:bidi="ar-SA"/>
              </w:rPr>
              <w:t>0.60</w:t>
            </w:r>
          </w:p>
        </w:tc>
      </w:tr>
      <w:tr w14:paraId="627019E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950" w:type="dxa"/>
            <w:gridSpan w:val="7"/>
            <w:vAlign w:val="center"/>
          </w:tcPr>
          <w:p w14:paraId="7EB321CB">
            <w:pPr>
              <w:keepNext w:val="0"/>
              <w:keepLines w:val="0"/>
              <w:widowControl w:val="0"/>
              <w:suppressLineNumbers w:val="0"/>
              <w:autoSpaceDE w:val="0"/>
              <w:autoSpaceDN w:val="0"/>
              <w:spacing w:before="0" w:beforeAutospacing="0" w:after="0" w:afterAutospacing="0" w:line="287" w:lineRule="exact"/>
              <w:ind w:left="107" w:right="0"/>
              <w:jc w:val="center"/>
              <w:rPr>
                <w:rFonts w:hint="default" w:ascii="Times New Roman" w:hAnsi="Times New Roman" w:eastAsia="宋体" w:cs="Times New Roman"/>
                <w:color w:val="auto"/>
                <w:sz w:val="21"/>
                <w:szCs w:val="21"/>
                <w:lang w:val="en-US" w:eastAsia="en-US" w:bidi="ar-SA"/>
              </w:rPr>
            </w:pPr>
            <w:r>
              <w:rPr>
                <w:rFonts w:hint="default" w:ascii="Times New Roman" w:hAnsi="Times New Roman" w:eastAsia="宋体" w:cs="Times New Roman"/>
                <w:color w:val="auto"/>
                <w:position w:val="2"/>
                <w:sz w:val="21"/>
                <w:szCs w:val="21"/>
                <w:lang w:val="en-US" w:eastAsia="en-US" w:bidi="ar-SA"/>
              </w:rPr>
              <w:t>（1）适用于可移动式发电机组用 P</w:t>
            </w:r>
            <w:r>
              <w:rPr>
                <w:rFonts w:hint="default" w:ascii="Times New Roman" w:hAnsi="Times New Roman" w:eastAsia="宋体" w:cs="Times New Roman"/>
                <w:color w:val="auto"/>
                <w:position w:val="2"/>
                <w:sz w:val="21"/>
                <w:szCs w:val="21"/>
                <w:vertAlign w:val="subscript"/>
                <w:lang w:val="en-US" w:eastAsia="en-US" w:bidi="ar-SA"/>
              </w:rPr>
              <w:t>max</w:t>
            </w:r>
            <w:r>
              <w:rPr>
                <w:rFonts w:hint="default" w:ascii="Times New Roman" w:hAnsi="Times New Roman" w:eastAsia="宋体" w:cs="Times New Roman"/>
                <w:color w:val="auto"/>
                <w:position w:val="2"/>
                <w:sz w:val="21"/>
                <w:szCs w:val="21"/>
                <w:vertAlign w:val="baseline"/>
                <w:lang w:val="en-US" w:eastAsia="en-US" w:bidi="ar-SA"/>
              </w:rPr>
              <w:t>&gt;900 kW 的柴油机。</w:t>
            </w:r>
          </w:p>
        </w:tc>
      </w:tr>
    </w:tbl>
    <w:p w14:paraId="7E30A6AB">
      <w:pPr>
        <w:spacing w:line="360" w:lineRule="auto"/>
        <w:ind w:firstLine="480" w:firstLineChars="200"/>
        <w:rPr>
          <w:rFonts w:hint="eastAsia"/>
          <w:color w:val="auto"/>
          <w:sz w:val="24"/>
          <w:lang w:val="en-US" w:eastAsia="zh-CN"/>
        </w:rPr>
      </w:pPr>
      <w:r>
        <w:rPr>
          <w:rFonts w:hint="eastAsia" w:ascii="宋体" w:hAnsi="宋体" w:eastAsia="宋体" w:cs="宋体"/>
          <w:color w:val="auto"/>
          <w:sz w:val="24"/>
        </w:rPr>
        <w:t>②</w:t>
      </w:r>
      <w:r>
        <w:rPr>
          <w:rFonts w:hint="eastAsia"/>
          <w:color w:val="auto"/>
          <w:sz w:val="24"/>
          <w:lang w:val="en-US" w:eastAsia="zh-CN"/>
        </w:rPr>
        <w:t>运营期</w:t>
      </w:r>
    </w:p>
    <w:p w14:paraId="611BB09F">
      <w:pPr>
        <w:spacing w:line="360" w:lineRule="auto"/>
        <w:ind w:firstLine="480" w:firstLineChars="200"/>
        <w:rPr>
          <w:color w:val="auto"/>
          <w:sz w:val="24"/>
        </w:rPr>
      </w:pPr>
      <w:r>
        <w:rPr>
          <w:color w:val="auto"/>
          <w:sz w:val="24"/>
        </w:rPr>
        <w:t>项目废气主要为码头</w:t>
      </w:r>
      <w:r>
        <w:rPr>
          <w:rFonts w:hint="eastAsia"/>
          <w:color w:val="auto"/>
          <w:sz w:val="24"/>
        </w:rPr>
        <w:t>装卸</w:t>
      </w:r>
      <w:r>
        <w:rPr>
          <w:color w:val="auto"/>
          <w:sz w:val="24"/>
        </w:rPr>
        <w:t>粉尘、运输道路扬尘</w:t>
      </w:r>
      <w:r>
        <w:rPr>
          <w:rFonts w:hint="eastAsia"/>
          <w:color w:val="auto"/>
          <w:sz w:val="24"/>
        </w:rPr>
        <w:t>等</w:t>
      </w:r>
      <w:r>
        <w:rPr>
          <w:color w:val="auto"/>
          <w:sz w:val="24"/>
        </w:rPr>
        <w:t>。本项目废气排放执行《大气污染物综合排放标准》</w:t>
      </w:r>
      <w:r>
        <w:rPr>
          <w:rFonts w:hint="eastAsia"/>
          <w:color w:val="auto"/>
          <w:sz w:val="24"/>
          <w:lang w:eastAsia="zh-CN"/>
        </w:rPr>
        <w:t>（GB 16297</w:t>
      </w:r>
      <w:r>
        <w:rPr>
          <w:color w:val="auto"/>
          <w:sz w:val="24"/>
        </w:rPr>
        <w:t>-1996)中无组织排放控制浓度限值，具体标准限值见表2.2-</w:t>
      </w:r>
      <w:r>
        <w:rPr>
          <w:rFonts w:hint="eastAsia"/>
          <w:color w:val="auto"/>
          <w:sz w:val="24"/>
          <w:lang w:val="en-US" w:eastAsia="zh-CN"/>
        </w:rPr>
        <w:t>10</w:t>
      </w:r>
      <w:r>
        <w:rPr>
          <w:color w:val="auto"/>
          <w:sz w:val="24"/>
        </w:rPr>
        <w:t>。</w:t>
      </w:r>
    </w:p>
    <w:p w14:paraId="790A0409">
      <w:pPr>
        <w:spacing w:line="400" w:lineRule="exact"/>
        <w:jc w:val="center"/>
        <w:rPr>
          <w:rFonts w:hint="eastAsia" w:eastAsia="黑体"/>
          <w:color w:val="auto"/>
          <w:sz w:val="24"/>
        </w:rPr>
      </w:pPr>
      <w:r>
        <w:rPr>
          <w:rFonts w:eastAsia="黑体"/>
          <w:color w:val="auto"/>
          <w:sz w:val="24"/>
        </w:rPr>
        <w:t>表2.2-</w:t>
      </w:r>
      <w:r>
        <w:rPr>
          <w:rFonts w:hint="eastAsia" w:eastAsia="黑体"/>
          <w:color w:val="auto"/>
          <w:sz w:val="24"/>
          <w:lang w:val="en-US" w:eastAsia="zh-CN"/>
        </w:rPr>
        <w:t>10</w:t>
      </w:r>
      <w:r>
        <w:rPr>
          <w:rFonts w:eastAsia="黑体"/>
          <w:color w:val="auto"/>
          <w:sz w:val="24"/>
        </w:rPr>
        <w:t xml:space="preserve">  大气污染物排放标准值</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671"/>
        <w:gridCol w:w="3431"/>
        <w:gridCol w:w="3032"/>
      </w:tblGrid>
      <w:tr w14:paraId="506F94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blHeader/>
          <w:jc w:val="center"/>
        </w:trPr>
        <w:tc>
          <w:tcPr>
            <w:tcW w:w="2671" w:type="dxa"/>
            <w:vMerge w:val="restart"/>
            <w:noWrap w:val="0"/>
            <w:vAlign w:val="center"/>
          </w:tcPr>
          <w:p w14:paraId="50B3A643">
            <w:pPr>
              <w:pStyle w:val="299"/>
              <w:keepNext w:val="0"/>
              <w:keepLines w:val="0"/>
              <w:widowControl/>
              <w:suppressLineNumbers w:val="0"/>
              <w:spacing w:before="0" w:beforeAutospacing="0" w:after="0" w:afterAutospacing="0" w:line="240" w:lineRule="auto"/>
              <w:ind w:left="0" w:right="0"/>
              <w:rPr>
                <w:rFonts w:hint="default" w:ascii="Times New Roman" w:hAnsi="Times New Roman" w:cs="Times New Roman"/>
                <w:b/>
                <w:color w:val="auto"/>
                <w:kern w:val="2"/>
                <w:szCs w:val="21"/>
              </w:rPr>
            </w:pPr>
            <w:r>
              <w:rPr>
                <w:rFonts w:hint="default" w:ascii="Times New Roman" w:hAnsi="Times New Roman" w:cs="Times New Roman"/>
                <w:b/>
                <w:color w:val="auto"/>
                <w:kern w:val="2"/>
                <w:szCs w:val="21"/>
              </w:rPr>
              <w:t>污染物</w:t>
            </w:r>
          </w:p>
        </w:tc>
        <w:tc>
          <w:tcPr>
            <w:tcW w:w="6463" w:type="dxa"/>
            <w:gridSpan w:val="2"/>
            <w:noWrap w:val="0"/>
            <w:vAlign w:val="center"/>
          </w:tcPr>
          <w:p w14:paraId="4860890D">
            <w:pPr>
              <w:pStyle w:val="299"/>
              <w:keepNext w:val="0"/>
              <w:keepLines w:val="0"/>
              <w:widowControl/>
              <w:suppressLineNumbers w:val="0"/>
              <w:spacing w:before="0" w:beforeAutospacing="0" w:after="0" w:afterAutospacing="0" w:line="240" w:lineRule="auto"/>
              <w:ind w:left="0" w:right="0"/>
              <w:rPr>
                <w:rFonts w:hint="default" w:ascii="Times New Roman" w:hAnsi="Times New Roman" w:cs="Times New Roman"/>
                <w:b/>
                <w:color w:val="auto"/>
                <w:kern w:val="2"/>
                <w:szCs w:val="21"/>
              </w:rPr>
            </w:pPr>
            <w:r>
              <w:rPr>
                <w:rFonts w:hint="default" w:ascii="Times New Roman" w:hAnsi="Times New Roman" w:cs="Times New Roman"/>
                <w:b/>
                <w:color w:val="auto"/>
                <w:kern w:val="2"/>
                <w:szCs w:val="21"/>
              </w:rPr>
              <w:t>无组织排放监控浓度限值</w:t>
            </w:r>
          </w:p>
        </w:tc>
      </w:tr>
      <w:tr w14:paraId="21A570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blHeader/>
          <w:jc w:val="center"/>
        </w:trPr>
        <w:tc>
          <w:tcPr>
            <w:tcW w:w="2671" w:type="dxa"/>
            <w:vMerge w:val="continue"/>
            <w:noWrap w:val="0"/>
            <w:vAlign w:val="center"/>
          </w:tcPr>
          <w:p w14:paraId="562A27BB">
            <w:pPr>
              <w:pStyle w:val="299"/>
              <w:keepNext w:val="0"/>
              <w:keepLines w:val="0"/>
              <w:widowControl/>
              <w:suppressLineNumbers w:val="0"/>
              <w:spacing w:before="0" w:beforeAutospacing="0" w:after="0" w:afterAutospacing="0" w:line="240" w:lineRule="auto"/>
              <w:ind w:left="0" w:right="0"/>
              <w:rPr>
                <w:rFonts w:hint="default" w:ascii="Times New Roman" w:hAnsi="Times New Roman" w:cs="Times New Roman"/>
                <w:b/>
                <w:color w:val="auto"/>
                <w:kern w:val="28"/>
                <w:szCs w:val="21"/>
              </w:rPr>
            </w:pPr>
          </w:p>
        </w:tc>
        <w:tc>
          <w:tcPr>
            <w:tcW w:w="3431" w:type="dxa"/>
            <w:noWrap w:val="0"/>
            <w:vAlign w:val="center"/>
          </w:tcPr>
          <w:p w14:paraId="7101EACD">
            <w:pPr>
              <w:pStyle w:val="299"/>
              <w:keepNext w:val="0"/>
              <w:keepLines w:val="0"/>
              <w:widowControl/>
              <w:suppressLineNumbers w:val="0"/>
              <w:spacing w:before="0" w:beforeAutospacing="0" w:after="0" w:afterAutospacing="0" w:line="240" w:lineRule="auto"/>
              <w:ind w:left="0" w:right="0"/>
              <w:rPr>
                <w:rFonts w:hint="default" w:ascii="Times New Roman" w:hAnsi="Times New Roman" w:cs="Times New Roman"/>
                <w:b/>
                <w:color w:val="auto"/>
                <w:kern w:val="28"/>
                <w:szCs w:val="21"/>
              </w:rPr>
            </w:pPr>
            <w:r>
              <w:rPr>
                <w:rFonts w:hint="eastAsia" w:ascii="Times New Roman" w:hAnsi="Times New Roman" w:cs="Times New Roman"/>
                <w:b/>
                <w:color w:val="auto"/>
                <w:kern w:val="2"/>
                <w:szCs w:val="21"/>
              </w:rPr>
              <w:t>监控点</w:t>
            </w:r>
          </w:p>
        </w:tc>
        <w:tc>
          <w:tcPr>
            <w:tcW w:w="3032" w:type="dxa"/>
            <w:noWrap w:val="0"/>
            <w:vAlign w:val="center"/>
          </w:tcPr>
          <w:p w14:paraId="6BD314F1">
            <w:pPr>
              <w:pStyle w:val="299"/>
              <w:keepNext w:val="0"/>
              <w:keepLines w:val="0"/>
              <w:widowControl/>
              <w:suppressLineNumbers w:val="0"/>
              <w:spacing w:before="0" w:beforeAutospacing="0" w:after="0" w:afterAutospacing="0" w:line="240" w:lineRule="auto"/>
              <w:ind w:left="0" w:right="0"/>
              <w:rPr>
                <w:rFonts w:hint="default" w:ascii="Times New Roman" w:hAnsi="Times New Roman" w:cs="Times New Roman"/>
                <w:b/>
                <w:color w:val="auto"/>
                <w:kern w:val="28"/>
                <w:szCs w:val="21"/>
              </w:rPr>
            </w:pPr>
            <w:r>
              <w:rPr>
                <w:rFonts w:hint="default" w:ascii="Times New Roman" w:hAnsi="Times New Roman" w:cs="Times New Roman"/>
                <w:b/>
                <w:color w:val="auto"/>
                <w:kern w:val="2"/>
                <w:szCs w:val="21"/>
                <w:lang w:val="en-GB"/>
              </w:rPr>
              <w:t>浓度（</w:t>
            </w:r>
            <w:r>
              <w:rPr>
                <w:rFonts w:hint="default" w:ascii="Times New Roman" w:hAnsi="Times New Roman" w:cs="Times New Roman"/>
                <w:b/>
                <w:color w:val="auto"/>
                <w:kern w:val="2"/>
                <w:szCs w:val="21"/>
              </w:rPr>
              <w:t>mg/m</w:t>
            </w:r>
            <w:r>
              <w:rPr>
                <w:rFonts w:hint="default" w:ascii="Times New Roman" w:hAnsi="Times New Roman" w:cs="Times New Roman"/>
                <w:b/>
                <w:color w:val="auto"/>
                <w:kern w:val="2"/>
                <w:szCs w:val="21"/>
                <w:vertAlign w:val="superscript"/>
              </w:rPr>
              <w:t>3</w:t>
            </w:r>
            <w:r>
              <w:rPr>
                <w:rFonts w:hint="default" w:ascii="Times New Roman" w:hAnsi="Times New Roman" w:cs="Times New Roman"/>
                <w:b/>
                <w:color w:val="auto"/>
                <w:kern w:val="2"/>
                <w:szCs w:val="21"/>
                <w:lang w:val="en-GB"/>
              </w:rPr>
              <w:t>）</w:t>
            </w:r>
          </w:p>
        </w:tc>
      </w:tr>
      <w:tr w14:paraId="537A26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2671" w:type="dxa"/>
            <w:noWrap w:val="0"/>
            <w:vAlign w:val="center"/>
          </w:tcPr>
          <w:p w14:paraId="6E978584">
            <w:pPr>
              <w:pStyle w:val="299"/>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kern w:val="28"/>
                <w:szCs w:val="21"/>
              </w:rPr>
            </w:pPr>
            <w:r>
              <w:rPr>
                <w:rFonts w:hint="default" w:ascii="Times New Roman" w:hAnsi="Times New Roman" w:cs="Times New Roman"/>
                <w:color w:val="auto"/>
                <w:kern w:val="2"/>
                <w:szCs w:val="21"/>
              </w:rPr>
              <w:t>颗粒物</w:t>
            </w:r>
          </w:p>
        </w:tc>
        <w:tc>
          <w:tcPr>
            <w:tcW w:w="3431" w:type="dxa"/>
            <w:noWrap w:val="0"/>
            <w:vAlign w:val="center"/>
          </w:tcPr>
          <w:p w14:paraId="6CE40A48">
            <w:pPr>
              <w:pStyle w:val="299"/>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kern w:val="28"/>
                <w:szCs w:val="21"/>
              </w:rPr>
            </w:pPr>
            <w:r>
              <w:rPr>
                <w:rFonts w:hint="eastAsia" w:cs="Times New Roman"/>
                <w:color w:val="auto"/>
                <w:kern w:val="2"/>
                <w:szCs w:val="21"/>
                <w:lang w:eastAsia="zh-CN"/>
              </w:rPr>
              <w:t>厂</w:t>
            </w:r>
            <w:r>
              <w:rPr>
                <w:rFonts w:hint="eastAsia" w:ascii="Times New Roman" w:hAnsi="Times New Roman" w:cs="Times New Roman"/>
                <w:color w:val="auto"/>
                <w:kern w:val="2"/>
                <w:szCs w:val="21"/>
              </w:rPr>
              <w:t>界</w:t>
            </w:r>
            <w:r>
              <w:rPr>
                <w:rFonts w:hint="default" w:ascii="Times New Roman" w:hAnsi="Times New Roman" w:cs="Times New Roman"/>
                <w:color w:val="auto"/>
                <w:kern w:val="2"/>
                <w:szCs w:val="21"/>
              </w:rPr>
              <w:t>排放监控点</w:t>
            </w:r>
          </w:p>
        </w:tc>
        <w:tc>
          <w:tcPr>
            <w:tcW w:w="3032" w:type="dxa"/>
            <w:noWrap w:val="0"/>
            <w:vAlign w:val="center"/>
          </w:tcPr>
          <w:p w14:paraId="227F36F3">
            <w:pPr>
              <w:pStyle w:val="299"/>
              <w:keepNext w:val="0"/>
              <w:keepLines w:val="0"/>
              <w:widowControl/>
              <w:suppressLineNumbers w:val="0"/>
              <w:spacing w:before="0" w:beforeAutospacing="0" w:after="0" w:afterAutospacing="0" w:line="240" w:lineRule="auto"/>
              <w:ind w:left="0" w:right="0"/>
              <w:rPr>
                <w:rFonts w:hint="default" w:ascii="Times New Roman" w:hAnsi="Times New Roman" w:cs="Times New Roman"/>
                <w:color w:val="auto"/>
                <w:kern w:val="28"/>
                <w:szCs w:val="21"/>
              </w:rPr>
            </w:pPr>
            <w:r>
              <w:rPr>
                <w:rFonts w:hint="default" w:ascii="Times New Roman" w:hAnsi="Times New Roman" w:cs="Times New Roman"/>
                <w:color w:val="auto"/>
                <w:kern w:val="2"/>
                <w:szCs w:val="21"/>
              </w:rPr>
              <w:t>1.0</w:t>
            </w:r>
          </w:p>
        </w:tc>
      </w:tr>
    </w:tbl>
    <w:p w14:paraId="362DB78C">
      <w:pPr>
        <w:pStyle w:val="15"/>
        <w:tabs>
          <w:tab w:val="left" w:pos="0"/>
          <w:tab w:val="left" w:pos="1050"/>
          <w:tab w:val="left" w:pos="1080"/>
        </w:tabs>
        <w:spacing w:line="360" w:lineRule="auto"/>
        <w:ind w:firstLine="480" w:firstLineChars="200"/>
        <w:textAlignment w:val="baseline"/>
        <w:rPr>
          <w:color w:val="auto"/>
          <w:sz w:val="24"/>
        </w:rPr>
      </w:pPr>
      <w:r>
        <w:rPr>
          <w:color w:val="auto"/>
          <w:sz w:val="24"/>
        </w:rPr>
        <w:t>（2）废水排放标准</w:t>
      </w:r>
    </w:p>
    <w:p w14:paraId="1400D269">
      <w:pPr>
        <w:spacing w:line="360" w:lineRule="auto"/>
        <w:ind w:firstLine="480" w:firstLineChars="200"/>
        <w:rPr>
          <w:rFonts w:hint="eastAsia"/>
          <w:color w:val="auto"/>
          <w:sz w:val="24"/>
          <w:lang w:val="en-US" w:eastAsia="zh-CN"/>
        </w:rPr>
      </w:pPr>
      <w:r>
        <w:rPr>
          <w:rFonts w:hint="eastAsia" w:ascii="宋体" w:hAnsi="宋体" w:eastAsia="宋体" w:cs="宋体"/>
          <w:color w:val="auto"/>
          <w:sz w:val="24"/>
          <w:lang w:eastAsia="zh-CN"/>
        </w:rPr>
        <w:t>①</w:t>
      </w:r>
      <w:r>
        <w:rPr>
          <w:rFonts w:hint="eastAsia"/>
          <w:color w:val="auto"/>
          <w:sz w:val="24"/>
          <w:lang w:val="en-US" w:eastAsia="zh-CN"/>
        </w:rPr>
        <w:t>施工期</w:t>
      </w:r>
    </w:p>
    <w:p w14:paraId="2568C775">
      <w:pPr>
        <w:pStyle w:val="24"/>
        <w:keepNext w:val="0"/>
        <w:keepLines w:val="0"/>
        <w:pageBreakBefore w:val="0"/>
        <w:widowControl w:val="0"/>
        <w:kinsoku/>
        <w:wordWrap/>
        <w:overflowPunct/>
        <w:topLinePunct w:val="0"/>
        <w:autoSpaceDE/>
        <w:autoSpaceDN/>
        <w:bidi w:val="0"/>
        <w:adjustRightInd/>
        <w:snapToGrid/>
        <w:spacing w:after="0" w:line="360" w:lineRule="auto"/>
        <w:ind w:left="0" w:right="0" w:firstLine="482"/>
        <w:textAlignment w:val="auto"/>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kern w:val="2"/>
          <w:sz w:val="24"/>
          <w:szCs w:val="21"/>
          <w:lang w:val="en-US" w:eastAsia="zh-CN" w:bidi="ar-SA"/>
        </w:rPr>
        <w:t>本项目施工期生产废</w:t>
      </w:r>
      <w:r>
        <w:rPr>
          <w:rFonts w:hint="eastAsia" w:cs="Times New Roman"/>
          <w:color w:val="auto"/>
          <w:kern w:val="2"/>
          <w:sz w:val="24"/>
          <w:szCs w:val="21"/>
          <w:lang w:val="en-US" w:eastAsia="zh-CN" w:bidi="ar-SA"/>
        </w:rPr>
        <w:t>水</w:t>
      </w:r>
      <w:r>
        <w:rPr>
          <w:rFonts w:hint="eastAsia" w:ascii="Times New Roman" w:hAnsi="Times New Roman" w:eastAsia="宋体" w:cs="Times New Roman"/>
          <w:color w:val="auto"/>
          <w:kern w:val="2"/>
          <w:sz w:val="24"/>
          <w:szCs w:val="21"/>
          <w:lang w:val="en-US" w:eastAsia="zh-CN" w:bidi="ar-SA"/>
        </w:rPr>
        <w:t>经隔油池和沉淀池处理后重复利用，不外排；生活污水经旱厕收集后做农肥，不外排。</w:t>
      </w:r>
    </w:p>
    <w:p w14:paraId="19DD6EE8">
      <w:pPr>
        <w:spacing w:line="360" w:lineRule="auto"/>
        <w:ind w:firstLine="480" w:firstLineChars="200"/>
        <w:rPr>
          <w:rFonts w:hint="eastAsia"/>
          <w:color w:val="auto"/>
          <w:sz w:val="24"/>
          <w:lang w:val="en-US" w:eastAsia="zh-CN"/>
        </w:rPr>
      </w:pPr>
      <w:r>
        <w:rPr>
          <w:rFonts w:hint="eastAsia" w:ascii="宋体" w:hAnsi="宋体" w:eastAsia="宋体" w:cs="宋体"/>
          <w:color w:val="auto"/>
          <w:sz w:val="24"/>
        </w:rPr>
        <w:t>②</w:t>
      </w:r>
      <w:r>
        <w:rPr>
          <w:rFonts w:hint="eastAsia"/>
          <w:color w:val="auto"/>
          <w:sz w:val="24"/>
          <w:lang w:val="en-US" w:eastAsia="zh-CN"/>
        </w:rPr>
        <w:t>运营期</w:t>
      </w:r>
    </w:p>
    <w:p w14:paraId="67917080">
      <w:pPr>
        <w:spacing w:line="360" w:lineRule="auto"/>
        <w:ind w:firstLine="480" w:firstLineChars="200"/>
        <w:rPr>
          <w:rFonts w:hint="eastAsia"/>
          <w:color w:val="auto"/>
          <w:sz w:val="24"/>
        </w:rPr>
      </w:pPr>
      <w:r>
        <w:rPr>
          <w:rFonts w:hint="eastAsia"/>
          <w:color w:val="auto"/>
          <w:sz w:val="24"/>
        </w:rPr>
        <w:t>1）到港船舶污水排放</w:t>
      </w:r>
    </w:p>
    <w:p w14:paraId="316C93D5">
      <w:pPr>
        <w:spacing w:line="360" w:lineRule="auto"/>
        <w:ind w:firstLine="480" w:firstLineChars="200"/>
        <w:rPr>
          <w:color w:val="auto"/>
          <w:sz w:val="24"/>
        </w:rPr>
      </w:pPr>
      <w:r>
        <w:rPr>
          <w:rFonts w:hint="eastAsia"/>
          <w:color w:val="auto"/>
          <w:sz w:val="24"/>
        </w:rPr>
        <w:t>到港船舶废水执行《船舶水污染物排放控制标准》（GB3552-2018）相关标准。</w:t>
      </w:r>
    </w:p>
    <w:p w14:paraId="7D0947FD">
      <w:pPr>
        <w:spacing w:line="360" w:lineRule="auto"/>
        <w:ind w:firstLine="480" w:firstLineChars="200"/>
        <w:rPr>
          <w:rFonts w:hint="eastAsia"/>
          <w:color w:val="auto"/>
          <w:sz w:val="24"/>
        </w:rPr>
      </w:pPr>
      <w:r>
        <w:rPr>
          <w:rFonts w:hint="eastAsia"/>
          <w:color w:val="auto"/>
          <w:sz w:val="24"/>
          <w:lang w:val="en-US" w:eastAsia="zh-CN"/>
        </w:rPr>
        <w:t>a.</w:t>
      </w:r>
      <w:r>
        <w:rPr>
          <w:rFonts w:hint="eastAsia"/>
          <w:color w:val="auto"/>
          <w:sz w:val="24"/>
        </w:rPr>
        <w:t>船舶含油污水</w:t>
      </w:r>
    </w:p>
    <w:p w14:paraId="52498955">
      <w:pPr>
        <w:spacing w:line="360" w:lineRule="auto"/>
        <w:ind w:firstLine="480" w:firstLineChars="200"/>
        <w:rPr>
          <w:color w:val="auto"/>
        </w:rPr>
      </w:pPr>
      <w:r>
        <w:rPr>
          <w:rFonts w:hint="eastAsia" w:ascii="宋体" w:hAnsi="宋体"/>
          <w:color w:val="auto"/>
          <w:sz w:val="24"/>
          <w:szCs w:val="24"/>
        </w:rPr>
        <w:t>船舶含油污水按照建造的船舶日期分别要求，内河航行的自</w:t>
      </w:r>
      <w:r>
        <w:rPr>
          <w:rFonts w:hint="eastAsia"/>
          <w:color w:val="auto"/>
          <w:sz w:val="24"/>
          <w:szCs w:val="24"/>
        </w:rPr>
        <w:t>2021</w:t>
      </w:r>
      <w:r>
        <w:rPr>
          <w:rFonts w:hint="eastAsia" w:ascii="宋体" w:hAnsi="宋体"/>
          <w:color w:val="auto"/>
          <w:sz w:val="24"/>
          <w:szCs w:val="24"/>
        </w:rPr>
        <w:t>年</w:t>
      </w:r>
      <w:r>
        <w:rPr>
          <w:rFonts w:hint="eastAsia"/>
          <w:color w:val="auto"/>
          <w:sz w:val="24"/>
          <w:szCs w:val="24"/>
        </w:rPr>
        <w:t>1</w:t>
      </w:r>
      <w:r>
        <w:rPr>
          <w:rFonts w:hint="eastAsia" w:ascii="宋体" w:hAnsi="宋体"/>
          <w:color w:val="auto"/>
          <w:sz w:val="24"/>
          <w:szCs w:val="24"/>
        </w:rPr>
        <w:t>月</w:t>
      </w:r>
      <w:r>
        <w:rPr>
          <w:rFonts w:hint="eastAsia"/>
          <w:color w:val="auto"/>
          <w:sz w:val="24"/>
          <w:szCs w:val="24"/>
        </w:rPr>
        <w:t>1</w:t>
      </w:r>
      <w:r>
        <w:rPr>
          <w:rFonts w:hint="eastAsia" w:ascii="宋体" w:hAnsi="宋体"/>
          <w:color w:val="auto"/>
          <w:sz w:val="24"/>
          <w:szCs w:val="24"/>
        </w:rPr>
        <w:t>日之前建造的船舶</w:t>
      </w:r>
      <w:r>
        <w:rPr>
          <w:rFonts w:hint="eastAsia" w:ascii="宋体" w:hAnsi="宋体"/>
          <w:color w:val="auto"/>
          <w:sz w:val="24"/>
          <w:szCs w:val="24"/>
          <w:lang w:eastAsia="zh-CN"/>
        </w:rPr>
        <w:t>，其含油</w:t>
      </w:r>
      <w:r>
        <w:rPr>
          <w:rFonts w:hint="eastAsia" w:ascii="宋体" w:hAnsi="宋体"/>
          <w:color w:val="auto"/>
          <w:sz w:val="24"/>
          <w:szCs w:val="24"/>
        </w:rPr>
        <w:t>污水可收集并排入接收设施或达标后排放；内河航行的自</w:t>
      </w:r>
      <w:r>
        <w:rPr>
          <w:rFonts w:hint="eastAsia"/>
          <w:color w:val="auto"/>
          <w:sz w:val="24"/>
          <w:szCs w:val="24"/>
        </w:rPr>
        <w:t>2021</w:t>
      </w:r>
      <w:r>
        <w:rPr>
          <w:rFonts w:hint="eastAsia" w:ascii="宋体" w:hAnsi="宋体"/>
          <w:color w:val="auto"/>
          <w:sz w:val="24"/>
          <w:szCs w:val="24"/>
        </w:rPr>
        <w:t>年</w:t>
      </w:r>
      <w:r>
        <w:rPr>
          <w:rFonts w:hint="eastAsia"/>
          <w:color w:val="auto"/>
          <w:sz w:val="24"/>
          <w:szCs w:val="24"/>
        </w:rPr>
        <w:t>1</w:t>
      </w:r>
      <w:r>
        <w:rPr>
          <w:rFonts w:hint="eastAsia" w:ascii="宋体" w:hAnsi="宋体"/>
          <w:color w:val="auto"/>
          <w:sz w:val="24"/>
          <w:szCs w:val="24"/>
        </w:rPr>
        <w:t>月</w:t>
      </w:r>
      <w:r>
        <w:rPr>
          <w:rFonts w:hint="eastAsia"/>
          <w:color w:val="auto"/>
          <w:sz w:val="24"/>
          <w:szCs w:val="24"/>
        </w:rPr>
        <w:t>1</w:t>
      </w:r>
      <w:r>
        <w:rPr>
          <w:rFonts w:hint="eastAsia" w:ascii="宋体" w:hAnsi="宋体"/>
          <w:color w:val="auto"/>
          <w:sz w:val="24"/>
          <w:szCs w:val="24"/>
        </w:rPr>
        <w:t>日及以后建造的船舶含油污水只可收集并排入接收设施，</w:t>
      </w:r>
      <w:r>
        <w:rPr>
          <w:rFonts w:hint="eastAsia"/>
          <w:color w:val="auto"/>
          <w:sz w:val="24"/>
        </w:rPr>
        <w:t>具体标准详见下表2.2-</w:t>
      </w:r>
      <w:r>
        <w:rPr>
          <w:rFonts w:hint="eastAsia"/>
          <w:color w:val="auto"/>
          <w:sz w:val="24"/>
          <w:lang w:val="en-US" w:eastAsia="zh-CN"/>
        </w:rPr>
        <w:t>11</w:t>
      </w:r>
      <w:r>
        <w:rPr>
          <w:rFonts w:hint="eastAsia"/>
          <w:color w:val="auto"/>
          <w:sz w:val="24"/>
        </w:rPr>
        <w:t>。</w:t>
      </w:r>
    </w:p>
    <w:p w14:paraId="02A1E5C1">
      <w:pPr>
        <w:spacing w:line="400" w:lineRule="exact"/>
        <w:jc w:val="center"/>
        <w:rPr>
          <w:rFonts w:eastAsia="黑体"/>
          <w:color w:val="auto"/>
          <w:sz w:val="24"/>
        </w:rPr>
      </w:pPr>
      <w:r>
        <w:rPr>
          <w:rFonts w:eastAsia="黑体"/>
          <w:color w:val="auto"/>
          <w:sz w:val="24"/>
        </w:rPr>
        <w:t>表2.2-</w:t>
      </w:r>
      <w:r>
        <w:rPr>
          <w:rFonts w:hint="eastAsia" w:eastAsia="黑体"/>
          <w:color w:val="auto"/>
          <w:sz w:val="24"/>
          <w:lang w:val="en-US" w:eastAsia="zh-CN"/>
        </w:rPr>
        <w:t>11</w:t>
      </w:r>
      <w:r>
        <w:rPr>
          <w:rFonts w:eastAsia="黑体"/>
          <w:color w:val="auto"/>
          <w:sz w:val="24"/>
        </w:rPr>
        <w:t xml:space="preserve">  </w:t>
      </w:r>
      <w:r>
        <w:rPr>
          <w:rFonts w:hint="eastAsia" w:eastAsia="黑体"/>
          <w:color w:val="auto"/>
          <w:sz w:val="24"/>
        </w:rPr>
        <w:t>船舶</w:t>
      </w:r>
      <w:r>
        <w:rPr>
          <w:rFonts w:eastAsia="黑体"/>
          <w:color w:val="auto"/>
          <w:sz w:val="24"/>
        </w:rPr>
        <w:t>含油污水排放控制要求</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
        <w:gridCol w:w="857"/>
        <w:gridCol w:w="3244"/>
        <w:gridCol w:w="988"/>
        <w:gridCol w:w="881"/>
        <w:gridCol w:w="2365"/>
      </w:tblGrid>
      <w:tr w14:paraId="3BCE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2" w:type="pct"/>
            <w:vMerge w:val="restart"/>
            <w:tcBorders>
              <w:top w:val="single" w:color="auto" w:sz="12" w:space="0"/>
              <w:left w:val="nil"/>
              <w:bottom w:val="single" w:color="auto" w:sz="4" w:space="0"/>
              <w:right w:val="single" w:color="auto" w:sz="4" w:space="0"/>
            </w:tcBorders>
            <w:noWrap w:val="0"/>
            <w:vAlign w:val="center"/>
          </w:tcPr>
          <w:p w14:paraId="142D903D">
            <w:pPr>
              <w:keepNext w:val="0"/>
              <w:keepLines w:val="0"/>
              <w:suppressLineNumbers w:val="0"/>
              <w:spacing w:before="0" w:beforeAutospacing="0" w:after="0" w:afterAutospacing="0"/>
              <w:ind w:left="0" w:right="0"/>
              <w:jc w:val="center"/>
              <w:rPr>
                <w:rFonts w:hint="default" w:ascii="宋体" w:hAnsi="宋体" w:cs="Times New Roman"/>
                <w:b/>
                <w:color w:val="auto"/>
              </w:rPr>
            </w:pPr>
            <w:r>
              <w:rPr>
                <w:rFonts w:hint="eastAsia" w:ascii="宋体" w:hAnsi="宋体" w:cs="Times New Roman"/>
                <w:b/>
                <w:color w:val="auto"/>
              </w:rPr>
              <w:t>污水</w:t>
            </w:r>
          </w:p>
          <w:p w14:paraId="4FD2F1D8">
            <w:pPr>
              <w:keepNext w:val="0"/>
              <w:keepLines w:val="0"/>
              <w:suppressLineNumbers w:val="0"/>
              <w:spacing w:before="0" w:beforeAutospacing="0" w:after="0" w:afterAutospacing="0"/>
              <w:ind w:left="0" w:right="0"/>
              <w:jc w:val="center"/>
              <w:rPr>
                <w:rFonts w:hint="eastAsia" w:ascii="宋体" w:hAnsi="宋体" w:cs="Times New Roman"/>
                <w:b/>
                <w:color w:val="auto"/>
              </w:rPr>
            </w:pPr>
            <w:r>
              <w:rPr>
                <w:rFonts w:hint="eastAsia" w:ascii="宋体" w:hAnsi="宋体" w:cs="Times New Roman"/>
                <w:b/>
                <w:color w:val="auto"/>
              </w:rPr>
              <w:t>类别</w:t>
            </w:r>
          </w:p>
        </w:tc>
        <w:tc>
          <w:tcPr>
            <w:tcW w:w="461" w:type="pct"/>
            <w:vMerge w:val="restart"/>
            <w:tcBorders>
              <w:top w:val="single" w:color="auto" w:sz="12" w:space="0"/>
              <w:left w:val="single" w:color="auto" w:sz="4" w:space="0"/>
              <w:bottom w:val="single" w:color="auto" w:sz="4" w:space="0"/>
              <w:right w:val="single" w:color="auto" w:sz="4" w:space="0"/>
            </w:tcBorders>
            <w:noWrap w:val="0"/>
            <w:vAlign w:val="center"/>
          </w:tcPr>
          <w:p w14:paraId="65B4E372">
            <w:pPr>
              <w:keepNext w:val="0"/>
              <w:keepLines w:val="0"/>
              <w:suppressLineNumbers w:val="0"/>
              <w:spacing w:before="0" w:beforeAutospacing="0" w:after="0" w:afterAutospacing="0"/>
              <w:ind w:left="0" w:right="0"/>
              <w:jc w:val="center"/>
              <w:rPr>
                <w:rFonts w:hint="default" w:ascii="宋体" w:hAnsi="宋体" w:cs="Times New Roman"/>
                <w:b/>
                <w:color w:val="auto"/>
              </w:rPr>
            </w:pPr>
            <w:r>
              <w:rPr>
                <w:rFonts w:hint="eastAsia" w:ascii="宋体" w:hAnsi="宋体" w:cs="Times New Roman"/>
                <w:b/>
                <w:color w:val="auto"/>
              </w:rPr>
              <w:t>水域</w:t>
            </w:r>
          </w:p>
          <w:p w14:paraId="79191481">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eastAsia" w:ascii="宋体" w:hAnsi="宋体" w:cs="Times New Roman"/>
                <w:b/>
                <w:color w:val="auto"/>
              </w:rPr>
              <w:t>类别</w:t>
            </w:r>
          </w:p>
        </w:tc>
        <w:tc>
          <w:tcPr>
            <w:tcW w:w="1746" w:type="pct"/>
            <w:vMerge w:val="restart"/>
            <w:tcBorders>
              <w:top w:val="single" w:color="auto" w:sz="12" w:space="0"/>
              <w:left w:val="single" w:color="auto" w:sz="4" w:space="0"/>
              <w:bottom w:val="single" w:color="auto" w:sz="4" w:space="0"/>
              <w:right w:val="single" w:color="auto" w:sz="4" w:space="0"/>
            </w:tcBorders>
            <w:noWrap w:val="0"/>
            <w:vAlign w:val="center"/>
          </w:tcPr>
          <w:p w14:paraId="1A3CFC1E">
            <w:pPr>
              <w:keepNext w:val="0"/>
              <w:keepLines w:val="0"/>
              <w:suppressLineNumbers w:val="0"/>
              <w:spacing w:before="0" w:beforeAutospacing="0" w:after="0" w:afterAutospacing="0"/>
              <w:ind w:left="0" w:right="0"/>
              <w:jc w:val="center"/>
              <w:rPr>
                <w:rFonts w:hint="eastAsia" w:ascii="宋体" w:hAnsi="宋体" w:cs="Times New Roman"/>
                <w:b/>
                <w:color w:val="auto"/>
              </w:rPr>
            </w:pPr>
            <w:r>
              <w:rPr>
                <w:rFonts w:hint="eastAsia" w:ascii="宋体" w:hAnsi="宋体" w:cs="Times New Roman"/>
                <w:b/>
                <w:color w:val="auto"/>
              </w:rPr>
              <w:t>船舶类别</w:t>
            </w:r>
          </w:p>
        </w:tc>
        <w:tc>
          <w:tcPr>
            <w:tcW w:w="2279" w:type="pct"/>
            <w:gridSpan w:val="3"/>
            <w:tcBorders>
              <w:top w:val="single" w:color="auto" w:sz="12" w:space="0"/>
              <w:left w:val="single" w:color="auto" w:sz="4" w:space="0"/>
              <w:bottom w:val="single" w:color="auto" w:sz="4" w:space="0"/>
              <w:right w:val="nil"/>
            </w:tcBorders>
            <w:noWrap w:val="0"/>
            <w:vAlign w:val="center"/>
          </w:tcPr>
          <w:p w14:paraId="0A3F3102">
            <w:pPr>
              <w:keepNext w:val="0"/>
              <w:keepLines w:val="0"/>
              <w:suppressLineNumbers w:val="0"/>
              <w:spacing w:before="0" w:beforeAutospacing="0" w:after="0" w:afterAutospacing="0"/>
              <w:ind w:left="0" w:right="0"/>
              <w:jc w:val="center"/>
              <w:rPr>
                <w:rFonts w:hint="eastAsia" w:ascii="宋体" w:hAnsi="宋体" w:cs="Times New Roman"/>
                <w:b/>
                <w:color w:val="auto"/>
              </w:rPr>
            </w:pPr>
            <w:r>
              <w:rPr>
                <w:rFonts w:hint="eastAsia" w:ascii="宋体" w:hAnsi="宋体" w:cs="Times New Roman"/>
                <w:b/>
                <w:color w:val="auto"/>
              </w:rPr>
              <w:t>排放控制要求</w:t>
            </w:r>
          </w:p>
        </w:tc>
      </w:tr>
      <w:tr w14:paraId="21DE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2" w:type="pct"/>
            <w:vMerge w:val="continue"/>
            <w:tcBorders>
              <w:top w:val="single" w:color="auto" w:sz="4" w:space="0"/>
              <w:left w:val="nil"/>
              <w:bottom w:val="single" w:color="auto" w:sz="4" w:space="0"/>
              <w:right w:val="single" w:color="auto" w:sz="4" w:space="0"/>
            </w:tcBorders>
            <w:noWrap w:val="0"/>
            <w:vAlign w:val="center"/>
          </w:tcPr>
          <w:p w14:paraId="1B2A0F08">
            <w:pPr>
              <w:keepNext w:val="0"/>
              <w:keepLines w:val="0"/>
              <w:widowControl/>
              <w:suppressLineNumbers w:val="0"/>
              <w:spacing w:before="0" w:beforeAutospacing="0" w:after="0" w:afterAutospacing="0"/>
              <w:ind w:left="0" w:right="0"/>
              <w:jc w:val="left"/>
              <w:rPr>
                <w:rFonts w:hint="default" w:ascii="宋体" w:hAnsi="宋体" w:cs="Times New Roman"/>
                <w:b/>
                <w:color w:val="auto"/>
              </w:rPr>
            </w:pPr>
          </w:p>
        </w:tc>
        <w:tc>
          <w:tcPr>
            <w:tcW w:w="461" w:type="pct"/>
            <w:vMerge w:val="continue"/>
            <w:tcBorders>
              <w:top w:val="single" w:color="auto" w:sz="4" w:space="0"/>
              <w:left w:val="single" w:color="auto" w:sz="4" w:space="0"/>
              <w:bottom w:val="single" w:color="auto" w:sz="4" w:space="0"/>
              <w:right w:val="single" w:color="auto" w:sz="4" w:space="0"/>
            </w:tcBorders>
            <w:noWrap w:val="0"/>
            <w:vAlign w:val="center"/>
          </w:tcPr>
          <w:p w14:paraId="389D0347">
            <w:pPr>
              <w:keepNext w:val="0"/>
              <w:keepLines w:val="0"/>
              <w:widowControl/>
              <w:suppressLineNumbers w:val="0"/>
              <w:spacing w:before="0" w:beforeAutospacing="0" w:after="0" w:afterAutospacing="0"/>
              <w:ind w:left="0" w:right="0"/>
              <w:jc w:val="left"/>
              <w:rPr>
                <w:rFonts w:hint="default" w:ascii="宋体" w:hAnsi="宋体" w:cs="Times New Roman"/>
                <w:b/>
                <w:color w:val="auto"/>
              </w:rPr>
            </w:pPr>
          </w:p>
        </w:tc>
        <w:tc>
          <w:tcPr>
            <w:tcW w:w="1746" w:type="pct"/>
            <w:vMerge w:val="continue"/>
            <w:tcBorders>
              <w:top w:val="single" w:color="auto" w:sz="4" w:space="0"/>
              <w:left w:val="single" w:color="auto" w:sz="4" w:space="0"/>
              <w:bottom w:val="single" w:color="auto" w:sz="4" w:space="0"/>
              <w:right w:val="single" w:color="auto" w:sz="4" w:space="0"/>
            </w:tcBorders>
            <w:noWrap w:val="0"/>
            <w:vAlign w:val="center"/>
          </w:tcPr>
          <w:p w14:paraId="601665B3">
            <w:pPr>
              <w:keepNext w:val="0"/>
              <w:keepLines w:val="0"/>
              <w:widowControl/>
              <w:suppressLineNumbers w:val="0"/>
              <w:spacing w:before="0" w:beforeAutospacing="0" w:after="0" w:afterAutospacing="0"/>
              <w:ind w:left="0" w:right="0"/>
              <w:jc w:val="left"/>
              <w:rPr>
                <w:rFonts w:hint="default" w:ascii="宋体" w:hAnsi="宋体" w:cs="Times New Roman"/>
                <w:b/>
                <w:color w:val="auto"/>
              </w:rPr>
            </w:pPr>
          </w:p>
        </w:tc>
        <w:tc>
          <w:tcPr>
            <w:tcW w:w="1006" w:type="pct"/>
            <w:gridSpan w:val="2"/>
            <w:tcBorders>
              <w:top w:val="nil"/>
              <w:left w:val="single" w:color="auto" w:sz="4" w:space="0"/>
              <w:bottom w:val="single" w:color="auto" w:sz="4" w:space="0"/>
              <w:right w:val="single" w:color="auto" w:sz="4" w:space="0"/>
            </w:tcBorders>
            <w:noWrap w:val="0"/>
            <w:vAlign w:val="center"/>
          </w:tcPr>
          <w:p w14:paraId="34085333">
            <w:pPr>
              <w:keepNext w:val="0"/>
              <w:keepLines w:val="0"/>
              <w:suppressLineNumbers w:val="0"/>
              <w:spacing w:before="0" w:beforeAutospacing="0" w:after="0" w:afterAutospacing="0"/>
              <w:ind w:left="0" w:right="0"/>
              <w:jc w:val="center"/>
              <w:rPr>
                <w:rFonts w:hint="eastAsia" w:ascii="宋体" w:hAnsi="宋体" w:cs="Times New Roman"/>
                <w:b/>
                <w:color w:val="auto"/>
              </w:rPr>
            </w:pPr>
            <w:r>
              <w:rPr>
                <w:rFonts w:hint="eastAsia" w:ascii="宋体" w:hAnsi="宋体" w:cs="Times New Roman"/>
                <w:b/>
                <w:color w:val="auto"/>
              </w:rPr>
              <w:t>达标排放</w:t>
            </w:r>
          </w:p>
        </w:tc>
        <w:tc>
          <w:tcPr>
            <w:tcW w:w="1272" w:type="pct"/>
            <w:tcBorders>
              <w:top w:val="single" w:color="auto" w:sz="4" w:space="0"/>
              <w:left w:val="single" w:color="auto" w:sz="4" w:space="0"/>
              <w:bottom w:val="single" w:color="auto" w:sz="4" w:space="0"/>
              <w:right w:val="nil"/>
            </w:tcBorders>
            <w:noWrap w:val="0"/>
            <w:vAlign w:val="center"/>
          </w:tcPr>
          <w:p w14:paraId="70863E1B">
            <w:pPr>
              <w:keepNext w:val="0"/>
              <w:keepLines w:val="0"/>
              <w:suppressLineNumbers w:val="0"/>
              <w:spacing w:before="0" w:beforeAutospacing="0" w:after="0" w:afterAutospacing="0"/>
              <w:ind w:left="0" w:right="0"/>
              <w:jc w:val="center"/>
              <w:rPr>
                <w:rFonts w:hint="eastAsia" w:ascii="宋体" w:hAnsi="宋体" w:cs="Times New Roman"/>
                <w:b/>
                <w:color w:val="auto"/>
              </w:rPr>
            </w:pPr>
            <w:r>
              <w:rPr>
                <w:rFonts w:hint="eastAsia" w:ascii="宋体" w:hAnsi="宋体" w:cs="Times New Roman"/>
                <w:b/>
                <w:color w:val="auto"/>
              </w:rPr>
              <w:t>污染物排放监控位置</w:t>
            </w:r>
          </w:p>
        </w:tc>
      </w:tr>
      <w:tr w14:paraId="4FA4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2" w:type="pct"/>
            <w:vMerge w:val="restart"/>
            <w:tcBorders>
              <w:top w:val="nil"/>
              <w:left w:val="nil"/>
              <w:bottom w:val="single" w:color="auto" w:sz="4" w:space="0"/>
              <w:right w:val="single" w:color="auto" w:sz="4" w:space="0"/>
            </w:tcBorders>
            <w:noWrap w:val="0"/>
            <w:vAlign w:val="center"/>
          </w:tcPr>
          <w:p w14:paraId="1925536A">
            <w:pPr>
              <w:keepNext w:val="0"/>
              <w:keepLines w:val="0"/>
              <w:suppressLineNumbers w:val="0"/>
              <w:spacing w:before="0" w:beforeAutospacing="0" w:after="0" w:afterAutospacing="0"/>
              <w:ind w:left="0" w:right="0"/>
              <w:jc w:val="center"/>
              <w:rPr>
                <w:rFonts w:hint="default" w:ascii="宋体" w:hAnsi="宋体" w:cs="Times New Roman"/>
                <w:color w:val="auto"/>
              </w:rPr>
            </w:pPr>
            <w:r>
              <w:rPr>
                <w:rFonts w:hint="eastAsia" w:ascii="宋体" w:hAnsi="宋体" w:cs="Times New Roman"/>
                <w:color w:val="auto"/>
              </w:rPr>
              <w:t>含油</w:t>
            </w:r>
          </w:p>
          <w:p w14:paraId="00F97BEF">
            <w:pPr>
              <w:keepNext w:val="0"/>
              <w:keepLines w:val="0"/>
              <w:suppressLineNumbers w:val="0"/>
              <w:spacing w:before="0" w:beforeAutospacing="0" w:after="0" w:afterAutospacing="0"/>
              <w:ind w:left="0" w:right="0"/>
              <w:jc w:val="center"/>
              <w:rPr>
                <w:rFonts w:hint="eastAsia" w:ascii="宋体" w:hAnsi="宋体" w:cs="Times New Roman"/>
                <w:color w:val="auto"/>
              </w:rPr>
            </w:pPr>
            <w:r>
              <w:rPr>
                <w:rFonts w:hint="eastAsia" w:ascii="宋体" w:hAnsi="宋体" w:cs="Times New Roman"/>
                <w:color w:val="auto"/>
              </w:rPr>
              <w:t>污水</w:t>
            </w:r>
          </w:p>
        </w:tc>
        <w:tc>
          <w:tcPr>
            <w:tcW w:w="461" w:type="pct"/>
            <w:vMerge w:val="restart"/>
            <w:tcBorders>
              <w:top w:val="nil"/>
              <w:left w:val="single" w:color="auto" w:sz="4" w:space="0"/>
              <w:bottom w:val="single" w:color="auto" w:sz="4" w:space="0"/>
              <w:right w:val="single" w:color="auto" w:sz="4" w:space="0"/>
            </w:tcBorders>
            <w:noWrap w:val="0"/>
            <w:vAlign w:val="center"/>
          </w:tcPr>
          <w:p w14:paraId="7B3FC5D0">
            <w:pPr>
              <w:keepNext w:val="0"/>
              <w:keepLines w:val="0"/>
              <w:suppressLineNumbers w:val="0"/>
              <w:spacing w:before="0" w:beforeAutospacing="0" w:after="0" w:afterAutospacing="0"/>
              <w:ind w:left="0" w:right="0"/>
              <w:jc w:val="center"/>
              <w:rPr>
                <w:rFonts w:hint="eastAsia" w:ascii="宋体" w:hAnsi="宋体" w:cs="Times New Roman"/>
                <w:color w:val="auto"/>
              </w:rPr>
            </w:pPr>
            <w:r>
              <w:rPr>
                <w:rFonts w:hint="eastAsia" w:ascii="宋体" w:hAnsi="宋体" w:cs="Times New Roman"/>
                <w:color w:val="auto"/>
              </w:rPr>
              <w:t>内河</w:t>
            </w:r>
          </w:p>
        </w:tc>
        <w:tc>
          <w:tcPr>
            <w:tcW w:w="1746" w:type="pct"/>
            <w:tcBorders>
              <w:top w:val="single" w:color="auto" w:sz="4" w:space="0"/>
              <w:left w:val="single" w:color="auto" w:sz="4" w:space="0"/>
              <w:bottom w:val="single" w:color="auto" w:sz="4" w:space="0"/>
              <w:right w:val="single" w:color="auto" w:sz="4" w:space="0"/>
            </w:tcBorders>
            <w:noWrap w:val="0"/>
            <w:vAlign w:val="center"/>
          </w:tcPr>
          <w:p w14:paraId="119F05C7">
            <w:pPr>
              <w:keepNext w:val="0"/>
              <w:keepLines w:val="0"/>
              <w:suppressLineNumbers w:val="0"/>
              <w:spacing w:before="0" w:beforeAutospacing="0" w:after="0" w:afterAutospacing="0"/>
              <w:ind w:left="0" w:right="0"/>
              <w:jc w:val="center"/>
              <w:rPr>
                <w:rFonts w:hint="eastAsia" w:ascii="宋体" w:hAnsi="宋体"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021</w:t>
            </w:r>
            <w:r>
              <w:rPr>
                <w:rFonts w:hint="default" w:ascii="宋体" w:hAnsi="宋体" w:cs="Times New Roman"/>
                <w:color w:val="auto"/>
              </w:rPr>
              <w:t>年</w:t>
            </w:r>
            <w:r>
              <w:rPr>
                <w:rFonts w:hint="eastAsia" w:ascii="Times New Roman" w:hAnsi="Times New Roman" w:cs="Times New Roman"/>
                <w:color w:val="auto"/>
              </w:rPr>
              <w:t>1</w:t>
            </w:r>
            <w:r>
              <w:rPr>
                <w:rFonts w:hint="eastAsia" w:ascii="宋体" w:hAnsi="宋体" w:cs="Times New Roman"/>
                <w:color w:val="auto"/>
              </w:rPr>
              <w:t>月</w:t>
            </w:r>
            <w:r>
              <w:rPr>
                <w:rFonts w:hint="eastAsia" w:ascii="Times New Roman" w:hAnsi="Times New Roman" w:cs="Times New Roman"/>
                <w:color w:val="auto"/>
              </w:rPr>
              <w:t>1</w:t>
            </w:r>
            <w:r>
              <w:rPr>
                <w:rFonts w:hint="eastAsia" w:ascii="宋体" w:hAnsi="宋体" w:cs="Times New Roman"/>
                <w:color w:val="auto"/>
              </w:rPr>
              <w:t>日之前建造的船舶</w:t>
            </w:r>
          </w:p>
        </w:tc>
        <w:tc>
          <w:tcPr>
            <w:tcW w:w="532" w:type="pct"/>
            <w:tcBorders>
              <w:top w:val="nil"/>
              <w:left w:val="single" w:color="auto" w:sz="4" w:space="0"/>
              <w:bottom w:val="single" w:color="auto" w:sz="4" w:space="0"/>
              <w:right w:val="single" w:color="auto" w:sz="4" w:space="0"/>
            </w:tcBorders>
            <w:noWrap w:val="0"/>
            <w:vAlign w:val="center"/>
          </w:tcPr>
          <w:p w14:paraId="7391C0F2">
            <w:pPr>
              <w:keepNext w:val="0"/>
              <w:keepLines w:val="0"/>
              <w:suppressLineNumbers w:val="0"/>
              <w:spacing w:before="0" w:beforeAutospacing="0" w:after="0" w:afterAutospacing="0"/>
              <w:ind w:left="0" w:right="0"/>
              <w:jc w:val="center"/>
              <w:rPr>
                <w:rFonts w:hint="eastAsia" w:ascii="宋体" w:hAnsi="宋体" w:cs="Times New Roman"/>
                <w:color w:val="auto"/>
              </w:rPr>
            </w:pPr>
            <w:r>
              <w:rPr>
                <w:rFonts w:hint="eastAsia" w:ascii="宋体" w:hAnsi="宋体" w:cs="Times New Roman"/>
                <w:color w:val="auto"/>
              </w:rPr>
              <w:t>石油类</w:t>
            </w:r>
          </w:p>
        </w:tc>
        <w:tc>
          <w:tcPr>
            <w:tcW w:w="474" w:type="pct"/>
            <w:tcBorders>
              <w:top w:val="single" w:color="auto" w:sz="4" w:space="0"/>
              <w:left w:val="single" w:color="auto" w:sz="4" w:space="0"/>
              <w:bottom w:val="single" w:color="auto" w:sz="4" w:space="0"/>
              <w:right w:val="single" w:color="auto" w:sz="4" w:space="0"/>
            </w:tcBorders>
            <w:noWrap w:val="0"/>
            <w:vAlign w:val="center"/>
          </w:tcPr>
          <w:p w14:paraId="72AA0DF9">
            <w:pPr>
              <w:keepNext w:val="0"/>
              <w:keepLines w:val="0"/>
              <w:suppressLineNumbers w:val="0"/>
              <w:spacing w:before="0" w:beforeAutospacing="0" w:after="0" w:afterAutospacing="0"/>
              <w:ind w:left="0" w:right="0"/>
              <w:jc w:val="center"/>
              <w:rPr>
                <w:rFonts w:hint="eastAsia" w:ascii="宋体" w:hAnsi="宋体"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5mg/L</w:t>
            </w:r>
          </w:p>
        </w:tc>
        <w:tc>
          <w:tcPr>
            <w:tcW w:w="1272" w:type="pct"/>
            <w:tcBorders>
              <w:top w:val="single" w:color="auto" w:sz="4" w:space="0"/>
              <w:left w:val="single" w:color="auto" w:sz="4" w:space="0"/>
              <w:bottom w:val="single" w:color="auto" w:sz="4" w:space="0"/>
              <w:right w:val="nil"/>
            </w:tcBorders>
            <w:noWrap w:val="0"/>
            <w:vAlign w:val="center"/>
          </w:tcPr>
          <w:p w14:paraId="6EA69982">
            <w:pPr>
              <w:keepNext w:val="0"/>
              <w:keepLines w:val="0"/>
              <w:suppressLineNumbers w:val="0"/>
              <w:spacing w:before="0" w:beforeAutospacing="0" w:after="0" w:afterAutospacing="0"/>
              <w:ind w:left="0" w:right="0"/>
              <w:jc w:val="center"/>
              <w:rPr>
                <w:rFonts w:hint="eastAsia" w:ascii="宋体" w:hAnsi="宋体" w:cs="Times New Roman"/>
                <w:color w:val="auto"/>
              </w:rPr>
            </w:pPr>
            <w:r>
              <w:rPr>
                <w:rFonts w:hint="eastAsia" w:ascii="宋体" w:hAnsi="宋体" w:cs="Times New Roman"/>
                <w:color w:val="auto"/>
              </w:rPr>
              <w:t>油污水处理装置出水口</w:t>
            </w:r>
          </w:p>
        </w:tc>
      </w:tr>
      <w:tr w14:paraId="58EAE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12" w:type="pct"/>
            <w:vMerge w:val="continue"/>
            <w:tcBorders>
              <w:top w:val="nil"/>
              <w:left w:val="nil"/>
              <w:bottom w:val="single" w:color="auto" w:sz="12" w:space="0"/>
              <w:right w:val="single" w:color="auto" w:sz="4" w:space="0"/>
            </w:tcBorders>
            <w:noWrap w:val="0"/>
            <w:vAlign w:val="center"/>
          </w:tcPr>
          <w:p w14:paraId="79AA505D">
            <w:pPr>
              <w:keepNext w:val="0"/>
              <w:keepLines w:val="0"/>
              <w:widowControl/>
              <w:suppressLineNumbers w:val="0"/>
              <w:spacing w:before="0" w:beforeAutospacing="0" w:after="0" w:afterAutospacing="0"/>
              <w:ind w:left="0" w:right="0"/>
              <w:jc w:val="left"/>
              <w:rPr>
                <w:rFonts w:hint="default" w:ascii="宋体" w:hAnsi="宋体" w:cs="Times New Roman"/>
                <w:color w:val="auto"/>
              </w:rPr>
            </w:pPr>
          </w:p>
        </w:tc>
        <w:tc>
          <w:tcPr>
            <w:tcW w:w="461" w:type="pct"/>
            <w:vMerge w:val="continue"/>
            <w:tcBorders>
              <w:top w:val="nil"/>
              <w:left w:val="single" w:color="auto" w:sz="4" w:space="0"/>
              <w:bottom w:val="single" w:color="auto" w:sz="12" w:space="0"/>
              <w:right w:val="single" w:color="auto" w:sz="4" w:space="0"/>
            </w:tcBorders>
            <w:noWrap w:val="0"/>
            <w:vAlign w:val="center"/>
          </w:tcPr>
          <w:p w14:paraId="6006973F">
            <w:pPr>
              <w:keepNext w:val="0"/>
              <w:keepLines w:val="0"/>
              <w:widowControl/>
              <w:suppressLineNumbers w:val="0"/>
              <w:spacing w:before="0" w:beforeAutospacing="0" w:after="0" w:afterAutospacing="0"/>
              <w:ind w:left="0" w:right="0"/>
              <w:jc w:val="left"/>
              <w:rPr>
                <w:rFonts w:hint="default" w:ascii="宋体" w:hAnsi="宋体" w:cs="Times New Roman"/>
                <w:color w:val="auto"/>
              </w:rPr>
            </w:pPr>
          </w:p>
        </w:tc>
        <w:tc>
          <w:tcPr>
            <w:tcW w:w="1746" w:type="pct"/>
            <w:tcBorders>
              <w:top w:val="single" w:color="auto" w:sz="4" w:space="0"/>
              <w:left w:val="single" w:color="auto" w:sz="4" w:space="0"/>
              <w:bottom w:val="single" w:color="auto" w:sz="12" w:space="0"/>
              <w:right w:val="single" w:color="auto" w:sz="4" w:space="0"/>
            </w:tcBorders>
            <w:noWrap w:val="0"/>
            <w:vAlign w:val="center"/>
          </w:tcPr>
          <w:p w14:paraId="21319BD1">
            <w:pPr>
              <w:keepNext w:val="0"/>
              <w:keepLines w:val="0"/>
              <w:suppressLineNumbers w:val="0"/>
              <w:spacing w:before="0" w:beforeAutospacing="0" w:after="0" w:afterAutospacing="0"/>
              <w:ind w:left="0" w:right="0"/>
              <w:jc w:val="center"/>
              <w:rPr>
                <w:rFonts w:hint="eastAsia" w:ascii="宋体" w:hAnsi="宋体"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021</w:t>
            </w:r>
            <w:r>
              <w:rPr>
                <w:rFonts w:hint="default" w:ascii="宋体" w:hAnsi="宋体" w:cs="Times New Roman"/>
                <w:color w:val="auto"/>
              </w:rPr>
              <w:t>年</w:t>
            </w:r>
            <w:r>
              <w:rPr>
                <w:rFonts w:hint="eastAsia" w:ascii="Times New Roman" w:hAnsi="Times New Roman" w:cs="Times New Roman"/>
                <w:color w:val="auto"/>
              </w:rPr>
              <w:t>1</w:t>
            </w:r>
            <w:r>
              <w:rPr>
                <w:rFonts w:hint="eastAsia" w:ascii="宋体" w:hAnsi="宋体" w:cs="Times New Roman"/>
                <w:color w:val="auto"/>
              </w:rPr>
              <w:t>月</w:t>
            </w:r>
            <w:r>
              <w:rPr>
                <w:rFonts w:hint="eastAsia" w:ascii="Times New Roman" w:hAnsi="Times New Roman" w:cs="Times New Roman"/>
                <w:color w:val="auto"/>
              </w:rPr>
              <w:t>1</w:t>
            </w:r>
            <w:r>
              <w:rPr>
                <w:rFonts w:hint="eastAsia" w:ascii="宋体" w:hAnsi="宋体" w:cs="Times New Roman"/>
                <w:color w:val="auto"/>
              </w:rPr>
              <w:t>日之后建造的船舶</w:t>
            </w:r>
          </w:p>
        </w:tc>
        <w:tc>
          <w:tcPr>
            <w:tcW w:w="2279" w:type="pct"/>
            <w:gridSpan w:val="3"/>
            <w:tcBorders>
              <w:top w:val="single" w:color="auto" w:sz="4" w:space="0"/>
              <w:left w:val="single" w:color="auto" w:sz="4" w:space="0"/>
              <w:bottom w:val="single" w:color="auto" w:sz="12" w:space="0"/>
              <w:right w:val="nil"/>
            </w:tcBorders>
            <w:noWrap w:val="0"/>
            <w:vAlign w:val="center"/>
          </w:tcPr>
          <w:p w14:paraId="1F98424E">
            <w:pPr>
              <w:keepNext w:val="0"/>
              <w:keepLines w:val="0"/>
              <w:suppressLineNumbers w:val="0"/>
              <w:spacing w:before="0" w:beforeAutospacing="0" w:after="0" w:afterAutospacing="0"/>
              <w:ind w:left="0" w:right="0"/>
              <w:jc w:val="center"/>
              <w:rPr>
                <w:rFonts w:hint="eastAsia" w:ascii="宋体" w:hAnsi="宋体" w:cs="Times New Roman"/>
                <w:color w:val="auto"/>
              </w:rPr>
            </w:pPr>
            <w:r>
              <w:rPr>
                <w:rFonts w:hint="eastAsia" w:ascii="宋体" w:hAnsi="宋体" w:cs="Times New Roman"/>
                <w:color w:val="auto"/>
              </w:rPr>
              <w:t>收集并排入接收设施</w:t>
            </w:r>
          </w:p>
        </w:tc>
      </w:tr>
    </w:tbl>
    <w:p w14:paraId="18F91BA9">
      <w:pPr>
        <w:spacing w:line="360" w:lineRule="auto"/>
        <w:ind w:firstLine="480" w:firstLineChars="200"/>
        <w:rPr>
          <w:color w:val="auto"/>
          <w:sz w:val="24"/>
        </w:rPr>
      </w:pPr>
      <w:r>
        <w:rPr>
          <w:rFonts w:hint="eastAsia"/>
          <w:color w:val="auto"/>
          <w:sz w:val="24"/>
          <w:lang w:val="en-US" w:eastAsia="zh-CN"/>
        </w:rPr>
        <w:t>b.</w:t>
      </w:r>
      <w:r>
        <w:rPr>
          <w:rFonts w:hint="eastAsia"/>
          <w:color w:val="auto"/>
          <w:sz w:val="24"/>
        </w:rPr>
        <w:t>生活污水</w:t>
      </w:r>
    </w:p>
    <w:p w14:paraId="58D1A356">
      <w:pPr>
        <w:spacing w:line="360" w:lineRule="auto"/>
        <w:ind w:firstLine="480" w:firstLineChars="200"/>
        <w:rPr>
          <w:rFonts w:hint="eastAsia"/>
          <w:color w:val="auto"/>
          <w:sz w:val="24"/>
        </w:rPr>
      </w:pPr>
      <w:r>
        <w:rPr>
          <w:rFonts w:hint="eastAsia"/>
          <w:color w:val="auto"/>
          <w:sz w:val="24"/>
        </w:rPr>
        <w:t>内河船舶生活污水不得直接排入环境水体，可利用船载收集装置收集，排入接收设施；利用船载生活污水处理装置处理，达标后排放，达标排放标准详见表2</w:t>
      </w:r>
      <w:r>
        <w:rPr>
          <w:color w:val="auto"/>
          <w:sz w:val="24"/>
        </w:rPr>
        <w:t>.2-</w:t>
      </w:r>
      <w:r>
        <w:rPr>
          <w:rFonts w:hint="eastAsia"/>
          <w:color w:val="auto"/>
          <w:sz w:val="24"/>
          <w:lang w:val="en-US" w:eastAsia="zh-CN"/>
        </w:rPr>
        <w:t>12</w:t>
      </w:r>
      <w:r>
        <w:rPr>
          <w:rFonts w:hint="eastAsia"/>
          <w:color w:val="auto"/>
          <w:sz w:val="24"/>
        </w:rPr>
        <w:t>。</w:t>
      </w:r>
    </w:p>
    <w:p w14:paraId="10E745AA">
      <w:pPr>
        <w:spacing w:line="400" w:lineRule="exact"/>
        <w:jc w:val="center"/>
        <w:rPr>
          <w:rFonts w:hint="eastAsia" w:eastAsia="黑体"/>
          <w:color w:val="auto"/>
          <w:sz w:val="24"/>
        </w:rPr>
      </w:pPr>
      <w:r>
        <w:rPr>
          <w:rFonts w:eastAsia="黑体"/>
          <w:color w:val="auto"/>
          <w:sz w:val="24"/>
        </w:rPr>
        <w:t>表2.2-</w:t>
      </w:r>
      <w:r>
        <w:rPr>
          <w:rFonts w:hint="eastAsia" w:eastAsia="黑体"/>
          <w:color w:val="auto"/>
          <w:sz w:val="24"/>
          <w:lang w:val="en-US" w:eastAsia="zh-CN"/>
        </w:rPr>
        <w:t>12</w:t>
      </w:r>
      <w:r>
        <w:rPr>
          <w:rFonts w:eastAsia="黑体"/>
          <w:color w:val="auto"/>
          <w:sz w:val="24"/>
        </w:rPr>
        <w:t xml:space="preserve">  </w:t>
      </w:r>
      <w:r>
        <w:rPr>
          <w:rFonts w:hint="eastAsia" w:eastAsia="黑体"/>
          <w:color w:val="auto"/>
          <w:sz w:val="24"/>
        </w:rPr>
        <w:t>船舶生活</w:t>
      </w:r>
      <w:r>
        <w:rPr>
          <w:rFonts w:eastAsia="黑体"/>
          <w:color w:val="auto"/>
          <w:sz w:val="24"/>
        </w:rPr>
        <w:t>污水</w:t>
      </w:r>
      <w:r>
        <w:rPr>
          <w:rFonts w:hint="eastAsia" w:eastAsia="黑体"/>
          <w:color w:val="auto"/>
          <w:sz w:val="24"/>
        </w:rPr>
        <w:t>污染物</w:t>
      </w:r>
      <w:r>
        <w:rPr>
          <w:rFonts w:eastAsia="黑体"/>
          <w:color w:val="auto"/>
          <w:sz w:val="24"/>
        </w:rPr>
        <w:t>排放限值</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60"/>
        <w:gridCol w:w="1851"/>
        <w:gridCol w:w="1985"/>
        <w:gridCol w:w="2126"/>
        <w:gridCol w:w="803"/>
      </w:tblGrid>
      <w:tr w14:paraId="347CF5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60" w:type="dxa"/>
            <w:vMerge w:val="restart"/>
            <w:noWrap w:val="0"/>
            <w:vAlign w:val="center"/>
          </w:tcPr>
          <w:p w14:paraId="11F9CB20">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污染物项目</w:t>
            </w:r>
          </w:p>
        </w:tc>
        <w:tc>
          <w:tcPr>
            <w:tcW w:w="5962" w:type="dxa"/>
            <w:gridSpan w:val="3"/>
            <w:noWrap w:val="0"/>
            <w:vAlign w:val="center"/>
          </w:tcPr>
          <w:p w14:paraId="3B9B3B30">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限值</w:t>
            </w:r>
          </w:p>
        </w:tc>
        <w:tc>
          <w:tcPr>
            <w:tcW w:w="803" w:type="dxa"/>
            <w:vMerge w:val="restart"/>
            <w:noWrap w:val="0"/>
            <w:vAlign w:val="center"/>
          </w:tcPr>
          <w:p w14:paraId="7A1B7AB6">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污染物排放监控位置</w:t>
            </w:r>
          </w:p>
        </w:tc>
      </w:tr>
      <w:tr w14:paraId="60199D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60" w:type="dxa"/>
            <w:vMerge w:val="continue"/>
            <w:noWrap w:val="0"/>
            <w:vAlign w:val="center"/>
          </w:tcPr>
          <w:p w14:paraId="114C48A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851" w:type="dxa"/>
            <w:noWrap w:val="0"/>
            <w:vAlign w:val="center"/>
          </w:tcPr>
          <w:p w14:paraId="51D42E0A">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2</w:t>
            </w:r>
            <w:r>
              <w:rPr>
                <w:rFonts w:hint="default" w:ascii="Times New Roman" w:hAnsi="Times New Roman" w:cs="Times New Roman"/>
                <w:b/>
                <w:bCs/>
                <w:color w:val="auto"/>
                <w:sz w:val="21"/>
                <w:szCs w:val="21"/>
              </w:rPr>
              <w:t>012年</w:t>
            </w:r>
            <w:r>
              <w:rPr>
                <w:rFonts w:hint="eastAsia" w:ascii="Times New Roman" w:hAnsi="Times New Roman" w:cs="Times New Roman"/>
                <w:b/>
                <w:bCs/>
                <w:color w:val="auto"/>
                <w:sz w:val="21"/>
                <w:szCs w:val="21"/>
              </w:rPr>
              <w:t>1月1日以前安装（含更换）生活污水处理装置的船舶</w:t>
            </w:r>
          </w:p>
        </w:tc>
        <w:tc>
          <w:tcPr>
            <w:tcW w:w="1985" w:type="dxa"/>
            <w:noWrap w:val="0"/>
            <w:vAlign w:val="center"/>
          </w:tcPr>
          <w:p w14:paraId="33FD8C11">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2</w:t>
            </w:r>
            <w:r>
              <w:rPr>
                <w:rFonts w:hint="default" w:ascii="Times New Roman" w:hAnsi="Times New Roman" w:cs="Times New Roman"/>
                <w:b/>
                <w:bCs/>
                <w:color w:val="auto"/>
                <w:sz w:val="21"/>
                <w:szCs w:val="21"/>
              </w:rPr>
              <w:t>012年</w:t>
            </w:r>
            <w:r>
              <w:rPr>
                <w:rFonts w:hint="eastAsia" w:ascii="Times New Roman" w:hAnsi="Times New Roman" w:cs="Times New Roman"/>
                <w:b/>
                <w:bCs/>
                <w:color w:val="auto"/>
                <w:sz w:val="21"/>
                <w:szCs w:val="21"/>
              </w:rPr>
              <w:t>1月1日以后安装（含更换）生活污水处理装置的船舶</w:t>
            </w:r>
          </w:p>
        </w:tc>
        <w:tc>
          <w:tcPr>
            <w:tcW w:w="2126" w:type="dxa"/>
            <w:noWrap w:val="0"/>
            <w:vAlign w:val="center"/>
          </w:tcPr>
          <w:p w14:paraId="5E4DC3B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2</w:t>
            </w:r>
            <w:r>
              <w:rPr>
                <w:rFonts w:hint="default" w:ascii="Times New Roman" w:hAnsi="Times New Roman" w:cs="Times New Roman"/>
                <w:b/>
                <w:bCs/>
                <w:color w:val="auto"/>
                <w:sz w:val="21"/>
                <w:szCs w:val="21"/>
              </w:rPr>
              <w:t>021年</w:t>
            </w:r>
            <w:r>
              <w:rPr>
                <w:rFonts w:hint="eastAsia" w:ascii="Times New Roman" w:hAnsi="Times New Roman" w:cs="Times New Roman"/>
                <w:b/>
                <w:bCs/>
                <w:color w:val="auto"/>
                <w:sz w:val="21"/>
                <w:szCs w:val="21"/>
              </w:rPr>
              <w:t>1月1日及以后安装（含更换）生活污水处理装置的客运船舶</w:t>
            </w:r>
          </w:p>
        </w:tc>
        <w:tc>
          <w:tcPr>
            <w:tcW w:w="803" w:type="dxa"/>
            <w:vMerge w:val="continue"/>
            <w:noWrap w:val="0"/>
            <w:vAlign w:val="center"/>
          </w:tcPr>
          <w:p w14:paraId="2E1380F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r>
      <w:tr w14:paraId="08F163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60" w:type="dxa"/>
            <w:noWrap w:val="0"/>
            <w:vAlign w:val="center"/>
          </w:tcPr>
          <w:p w14:paraId="134DDAF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B</w:t>
            </w:r>
            <w:r>
              <w:rPr>
                <w:rFonts w:hint="default" w:ascii="Times New Roman" w:hAnsi="Times New Roman" w:cs="Times New Roman"/>
                <w:color w:val="auto"/>
                <w:sz w:val="21"/>
                <w:szCs w:val="21"/>
              </w:rPr>
              <w:t>OD</w:t>
            </w:r>
            <w:r>
              <w:rPr>
                <w:rFonts w:hint="default" w:ascii="Times New Roman" w:hAnsi="Times New Roman" w:cs="Times New Roman"/>
                <w:color w:val="auto"/>
                <w:sz w:val="21"/>
                <w:szCs w:val="21"/>
                <w:vertAlign w:val="subscript"/>
              </w:rPr>
              <w:t>5</w:t>
            </w:r>
            <w:r>
              <w:rPr>
                <w:rFonts w:hint="default" w:ascii="Times New Roman" w:hAnsi="Times New Roman" w:cs="Times New Roman"/>
                <w:color w:val="auto"/>
                <w:sz w:val="21"/>
                <w:szCs w:val="21"/>
              </w:rPr>
              <w:t>（mg/L）</w:t>
            </w:r>
          </w:p>
        </w:tc>
        <w:tc>
          <w:tcPr>
            <w:tcW w:w="1851" w:type="dxa"/>
            <w:noWrap w:val="0"/>
            <w:vAlign w:val="center"/>
          </w:tcPr>
          <w:p w14:paraId="1746226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w:t>
            </w:r>
            <w:r>
              <w:rPr>
                <w:rFonts w:hint="default" w:ascii="Times New Roman" w:hAnsi="Times New Roman" w:cs="Times New Roman"/>
                <w:color w:val="auto"/>
                <w:sz w:val="21"/>
                <w:szCs w:val="21"/>
              </w:rPr>
              <w:t>0</w:t>
            </w:r>
          </w:p>
        </w:tc>
        <w:tc>
          <w:tcPr>
            <w:tcW w:w="1985" w:type="dxa"/>
            <w:noWrap w:val="0"/>
            <w:vAlign w:val="center"/>
          </w:tcPr>
          <w:p w14:paraId="6BD052A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w:t>
            </w:r>
            <w:r>
              <w:rPr>
                <w:rFonts w:hint="default" w:ascii="Times New Roman" w:hAnsi="Times New Roman" w:cs="Times New Roman"/>
                <w:color w:val="auto"/>
                <w:sz w:val="21"/>
                <w:szCs w:val="21"/>
              </w:rPr>
              <w:t>5</w:t>
            </w:r>
          </w:p>
        </w:tc>
        <w:tc>
          <w:tcPr>
            <w:tcW w:w="2126" w:type="dxa"/>
            <w:noWrap w:val="0"/>
            <w:vAlign w:val="center"/>
          </w:tcPr>
          <w:p w14:paraId="2CEC371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w:t>
            </w:r>
            <w:r>
              <w:rPr>
                <w:rFonts w:hint="default" w:ascii="Times New Roman" w:hAnsi="Times New Roman" w:cs="Times New Roman"/>
                <w:color w:val="auto"/>
                <w:sz w:val="21"/>
                <w:szCs w:val="21"/>
              </w:rPr>
              <w:t>0</w:t>
            </w:r>
          </w:p>
        </w:tc>
        <w:tc>
          <w:tcPr>
            <w:tcW w:w="803" w:type="dxa"/>
            <w:vMerge w:val="restart"/>
            <w:noWrap w:val="0"/>
            <w:vAlign w:val="center"/>
          </w:tcPr>
          <w:p w14:paraId="23E6DE9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生活污水处理装置出水口</w:t>
            </w:r>
          </w:p>
        </w:tc>
      </w:tr>
      <w:tr w14:paraId="3FE583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60" w:type="dxa"/>
            <w:noWrap w:val="0"/>
            <w:vAlign w:val="center"/>
          </w:tcPr>
          <w:p w14:paraId="35E3F9E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S</w:t>
            </w:r>
            <w:r>
              <w:rPr>
                <w:rFonts w:hint="default" w:ascii="Times New Roman" w:hAnsi="Times New Roman" w:cs="Times New Roman"/>
                <w:color w:val="auto"/>
                <w:sz w:val="21"/>
                <w:szCs w:val="21"/>
              </w:rPr>
              <w:t>S（mg/L）</w:t>
            </w:r>
          </w:p>
        </w:tc>
        <w:tc>
          <w:tcPr>
            <w:tcW w:w="1851" w:type="dxa"/>
            <w:noWrap w:val="0"/>
            <w:vAlign w:val="center"/>
          </w:tcPr>
          <w:p w14:paraId="017A1BF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50</w:t>
            </w:r>
          </w:p>
        </w:tc>
        <w:tc>
          <w:tcPr>
            <w:tcW w:w="1985" w:type="dxa"/>
            <w:noWrap w:val="0"/>
            <w:vAlign w:val="center"/>
          </w:tcPr>
          <w:p w14:paraId="42FD64A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w:t>
            </w:r>
            <w:r>
              <w:rPr>
                <w:rFonts w:hint="default" w:ascii="Times New Roman" w:hAnsi="Times New Roman" w:cs="Times New Roman"/>
                <w:color w:val="auto"/>
                <w:sz w:val="21"/>
                <w:szCs w:val="21"/>
              </w:rPr>
              <w:t>5</w:t>
            </w:r>
          </w:p>
        </w:tc>
        <w:tc>
          <w:tcPr>
            <w:tcW w:w="2126" w:type="dxa"/>
            <w:noWrap w:val="0"/>
            <w:vAlign w:val="center"/>
          </w:tcPr>
          <w:p w14:paraId="52F84F6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w:t>
            </w:r>
            <w:r>
              <w:rPr>
                <w:rFonts w:hint="default" w:ascii="Times New Roman" w:hAnsi="Times New Roman" w:cs="Times New Roman"/>
                <w:color w:val="auto"/>
                <w:sz w:val="21"/>
                <w:szCs w:val="21"/>
              </w:rPr>
              <w:t>0</w:t>
            </w:r>
          </w:p>
        </w:tc>
        <w:tc>
          <w:tcPr>
            <w:tcW w:w="803" w:type="dxa"/>
            <w:vMerge w:val="continue"/>
            <w:noWrap w:val="0"/>
            <w:vAlign w:val="center"/>
          </w:tcPr>
          <w:p w14:paraId="0392EDA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p>
        </w:tc>
      </w:tr>
      <w:tr w14:paraId="7E5704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2260" w:type="dxa"/>
            <w:noWrap w:val="0"/>
            <w:vAlign w:val="center"/>
          </w:tcPr>
          <w:p w14:paraId="35D1297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耐热大肠菌群数（</w:t>
            </w:r>
            <w:r>
              <w:rPr>
                <w:rFonts w:hint="eastAsia" w:ascii="Times New Roman" w:hAnsi="Times New Roman" w:cs="Times New Roman"/>
                <w:color w:val="auto"/>
                <w:sz w:val="21"/>
                <w:szCs w:val="21"/>
              </w:rPr>
              <w:t>个</w:t>
            </w:r>
            <w:r>
              <w:rPr>
                <w:rFonts w:hint="default" w:ascii="Times New Roman" w:hAnsi="Times New Roman" w:cs="Times New Roman"/>
                <w:color w:val="auto"/>
                <w:sz w:val="21"/>
                <w:szCs w:val="21"/>
              </w:rPr>
              <w:t>/L）</w:t>
            </w:r>
          </w:p>
        </w:tc>
        <w:tc>
          <w:tcPr>
            <w:tcW w:w="1851" w:type="dxa"/>
            <w:noWrap w:val="0"/>
            <w:vAlign w:val="center"/>
          </w:tcPr>
          <w:p w14:paraId="2C97CA7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w:t>
            </w:r>
            <w:r>
              <w:rPr>
                <w:rFonts w:hint="default" w:ascii="Times New Roman" w:hAnsi="Times New Roman" w:cs="Times New Roman"/>
                <w:color w:val="auto"/>
                <w:sz w:val="21"/>
                <w:szCs w:val="21"/>
              </w:rPr>
              <w:t>500</w:t>
            </w:r>
          </w:p>
        </w:tc>
        <w:tc>
          <w:tcPr>
            <w:tcW w:w="1985" w:type="dxa"/>
            <w:noWrap w:val="0"/>
            <w:vAlign w:val="center"/>
          </w:tcPr>
          <w:p w14:paraId="52D9068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000</w:t>
            </w:r>
          </w:p>
        </w:tc>
        <w:tc>
          <w:tcPr>
            <w:tcW w:w="2126" w:type="dxa"/>
            <w:noWrap w:val="0"/>
            <w:vAlign w:val="center"/>
          </w:tcPr>
          <w:p w14:paraId="74656F6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000</w:t>
            </w:r>
          </w:p>
        </w:tc>
        <w:tc>
          <w:tcPr>
            <w:tcW w:w="803" w:type="dxa"/>
            <w:vMerge w:val="continue"/>
            <w:noWrap w:val="0"/>
            <w:vAlign w:val="center"/>
          </w:tcPr>
          <w:p w14:paraId="7A5C464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p>
        </w:tc>
      </w:tr>
      <w:tr w14:paraId="31A3B4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60" w:type="dxa"/>
            <w:noWrap w:val="0"/>
            <w:vAlign w:val="center"/>
          </w:tcPr>
          <w:p w14:paraId="7F2AB72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C</w:t>
            </w:r>
            <w:r>
              <w:rPr>
                <w:rFonts w:hint="default" w:ascii="Times New Roman" w:hAnsi="Times New Roman" w:cs="Times New Roman"/>
                <w:color w:val="auto"/>
                <w:sz w:val="21"/>
                <w:szCs w:val="21"/>
              </w:rPr>
              <w:t>OD（mg/L）</w:t>
            </w:r>
          </w:p>
        </w:tc>
        <w:tc>
          <w:tcPr>
            <w:tcW w:w="1851" w:type="dxa"/>
            <w:noWrap w:val="0"/>
            <w:vAlign w:val="center"/>
          </w:tcPr>
          <w:p w14:paraId="66285A6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985" w:type="dxa"/>
            <w:noWrap w:val="0"/>
            <w:vAlign w:val="center"/>
          </w:tcPr>
          <w:p w14:paraId="527C5D7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25</w:t>
            </w:r>
          </w:p>
        </w:tc>
        <w:tc>
          <w:tcPr>
            <w:tcW w:w="2126" w:type="dxa"/>
            <w:noWrap w:val="0"/>
            <w:vAlign w:val="center"/>
          </w:tcPr>
          <w:p w14:paraId="6D3FEBE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w:t>
            </w:r>
            <w:r>
              <w:rPr>
                <w:rFonts w:hint="default" w:ascii="Times New Roman" w:hAnsi="Times New Roman" w:cs="Times New Roman"/>
                <w:color w:val="auto"/>
                <w:sz w:val="21"/>
                <w:szCs w:val="21"/>
              </w:rPr>
              <w:t>0</w:t>
            </w:r>
          </w:p>
        </w:tc>
        <w:tc>
          <w:tcPr>
            <w:tcW w:w="803" w:type="dxa"/>
            <w:vMerge w:val="continue"/>
            <w:noWrap w:val="0"/>
            <w:vAlign w:val="center"/>
          </w:tcPr>
          <w:p w14:paraId="7630673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p>
        </w:tc>
      </w:tr>
      <w:tr w14:paraId="019950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2260" w:type="dxa"/>
            <w:noWrap w:val="0"/>
            <w:vAlign w:val="center"/>
          </w:tcPr>
          <w:p w14:paraId="04896FA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pH（</w:t>
            </w:r>
            <w:r>
              <w:rPr>
                <w:rFonts w:hint="eastAsia" w:cs="Times New Roman"/>
                <w:color w:val="auto"/>
                <w:sz w:val="21"/>
                <w:szCs w:val="21"/>
                <w:lang w:eastAsia="zh-CN"/>
              </w:rPr>
              <w:t>无量纲)</w:t>
            </w:r>
          </w:p>
        </w:tc>
        <w:tc>
          <w:tcPr>
            <w:tcW w:w="1851" w:type="dxa"/>
            <w:noWrap w:val="0"/>
            <w:vAlign w:val="center"/>
          </w:tcPr>
          <w:p w14:paraId="575E199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985" w:type="dxa"/>
            <w:noWrap w:val="0"/>
            <w:vAlign w:val="center"/>
          </w:tcPr>
          <w:p w14:paraId="457BCAD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w:t>
            </w:r>
            <w:r>
              <w:rPr>
                <w:rFonts w:hint="default" w:ascii="Times New Roman" w:hAnsi="Times New Roman" w:cs="Times New Roman"/>
                <w:color w:val="auto"/>
                <w:sz w:val="21"/>
                <w:szCs w:val="21"/>
              </w:rPr>
              <w:t>8.5</w:t>
            </w:r>
          </w:p>
        </w:tc>
        <w:tc>
          <w:tcPr>
            <w:tcW w:w="2126" w:type="dxa"/>
            <w:noWrap w:val="0"/>
            <w:vAlign w:val="center"/>
          </w:tcPr>
          <w:p w14:paraId="01EE24D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w:t>
            </w:r>
            <w:r>
              <w:rPr>
                <w:rFonts w:hint="default" w:ascii="Times New Roman" w:hAnsi="Times New Roman" w:cs="Times New Roman"/>
                <w:color w:val="auto"/>
                <w:sz w:val="21"/>
                <w:szCs w:val="21"/>
              </w:rPr>
              <w:t>8.5</w:t>
            </w:r>
          </w:p>
        </w:tc>
        <w:tc>
          <w:tcPr>
            <w:tcW w:w="803" w:type="dxa"/>
            <w:vMerge w:val="continue"/>
            <w:noWrap w:val="0"/>
            <w:vAlign w:val="center"/>
          </w:tcPr>
          <w:p w14:paraId="001D9D9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p>
        </w:tc>
      </w:tr>
      <w:tr w14:paraId="0CE1E1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60" w:type="dxa"/>
            <w:noWrap w:val="0"/>
            <w:vAlign w:val="center"/>
          </w:tcPr>
          <w:p w14:paraId="7B1DBEB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总氯（总余氯）（mg/L）</w:t>
            </w:r>
          </w:p>
        </w:tc>
        <w:tc>
          <w:tcPr>
            <w:tcW w:w="1851" w:type="dxa"/>
            <w:noWrap w:val="0"/>
            <w:vAlign w:val="center"/>
          </w:tcPr>
          <w:p w14:paraId="632B7A7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985" w:type="dxa"/>
            <w:noWrap w:val="0"/>
            <w:vAlign w:val="center"/>
          </w:tcPr>
          <w:p w14:paraId="0B62D12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0</w:t>
            </w:r>
            <w:r>
              <w:rPr>
                <w:rFonts w:hint="default" w:ascii="Times New Roman" w:hAnsi="Times New Roman" w:cs="Times New Roman"/>
                <w:color w:val="auto"/>
                <w:sz w:val="21"/>
                <w:szCs w:val="21"/>
              </w:rPr>
              <w:t>.5</w:t>
            </w:r>
          </w:p>
        </w:tc>
        <w:tc>
          <w:tcPr>
            <w:tcW w:w="2126" w:type="dxa"/>
            <w:noWrap w:val="0"/>
            <w:vAlign w:val="center"/>
          </w:tcPr>
          <w:p w14:paraId="7AFD63D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0</w:t>
            </w:r>
            <w:r>
              <w:rPr>
                <w:rFonts w:hint="default" w:ascii="Times New Roman" w:hAnsi="Times New Roman" w:cs="Times New Roman"/>
                <w:color w:val="auto"/>
                <w:sz w:val="21"/>
                <w:szCs w:val="21"/>
              </w:rPr>
              <w:t>.5</w:t>
            </w:r>
          </w:p>
        </w:tc>
        <w:tc>
          <w:tcPr>
            <w:tcW w:w="803" w:type="dxa"/>
            <w:vMerge w:val="continue"/>
            <w:noWrap w:val="0"/>
            <w:vAlign w:val="center"/>
          </w:tcPr>
          <w:p w14:paraId="711D48E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p>
        </w:tc>
      </w:tr>
      <w:tr w14:paraId="67A80B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60" w:type="dxa"/>
            <w:noWrap w:val="0"/>
            <w:vAlign w:val="center"/>
          </w:tcPr>
          <w:p w14:paraId="4A40A67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总氮（mg/L）</w:t>
            </w:r>
          </w:p>
        </w:tc>
        <w:tc>
          <w:tcPr>
            <w:tcW w:w="1851" w:type="dxa"/>
            <w:noWrap w:val="0"/>
            <w:vAlign w:val="center"/>
          </w:tcPr>
          <w:p w14:paraId="582A534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w:t>
            </w:r>
          </w:p>
        </w:tc>
        <w:tc>
          <w:tcPr>
            <w:tcW w:w="1985" w:type="dxa"/>
            <w:noWrap w:val="0"/>
            <w:vAlign w:val="center"/>
          </w:tcPr>
          <w:p w14:paraId="43D460C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w:t>
            </w:r>
          </w:p>
        </w:tc>
        <w:tc>
          <w:tcPr>
            <w:tcW w:w="2126" w:type="dxa"/>
            <w:noWrap w:val="0"/>
            <w:vAlign w:val="center"/>
          </w:tcPr>
          <w:p w14:paraId="77162C4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w:t>
            </w:r>
            <w:r>
              <w:rPr>
                <w:rFonts w:hint="default" w:ascii="Times New Roman" w:hAnsi="Times New Roman" w:cs="Times New Roman"/>
                <w:color w:val="auto"/>
                <w:sz w:val="21"/>
                <w:szCs w:val="21"/>
              </w:rPr>
              <w:t>0</w:t>
            </w:r>
          </w:p>
        </w:tc>
        <w:tc>
          <w:tcPr>
            <w:tcW w:w="803" w:type="dxa"/>
            <w:vMerge w:val="continue"/>
            <w:noWrap w:val="0"/>
            <w:vAlign w:val="center"/>
          </w:tcPr>
          <w:p w14:paraId="7707394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p>
        </w:tc>
      </w:tr>
      <w:tr w14:paraId="53F1A2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60" w:type="dxa"/>
            <w:noWrap w:val="0"/>
            <w:vAlign w:val="center"/>
          </w:tcPr>
          <w:p w14:paraId="3109C6C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氨氮（mg/L）</w:t>
            </w:r>
          </w:p>
        </w:tc>
        <w:tc>
          <w:tcPr>
            <w:tcW w:w="1851" w:type="dxa"/>
            <w:noWrap w:val="0"/>
            <w:vAlign w:val="center"/>
          </w:tcPr>
          <w:p w14:paraId="2715BB9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w:t>
            </w:r>
          </w:p>
        </w:tc>
        <w:tc>
          <w:tcPr>
            <w:tcW w:w="1985" w:type="dxa"/>
            <w:noWrap w:val="0"/>
            <w:vAlign w:val="center"/>
          </w:tcPr>
          <w:p w14:paraId="5E227B8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w:t>
            </w:r>
          </w:p>
        </w:tc>
        <w:tc>
          <w:tcPr>
            <w:tcW w:w="2126" w:type="dxa"/>
            <w:noWrap w:val="0"/>
            <w:vAlign w:val="center"/>
          </w:tcPr>
          <w:p w14:paraId="6FFAAA5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5</w:t>
            </w:r>
          </w:p>
        </w:tc>
        <w:tc>
          <w:tcPr>
            <w:tcW w:w="803" w:type="dxa"/>
            <w:vMerge w:val="continue"/>
            <w:noWrap w:val="0"/>
            <w:vAlign w:val="center"/>
          </w:tcPr>
          <w:p w14:paraId="4E20391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p>
        </w:tc>
      </w:tr>
      <w:tr w14:paraId="639E04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60" w:type="dxa"/>
            <w:noWrap w:val="0"/>
            <w:vAlign w:val="center"/>
          </w:tcPr>
          <w:p w14:paraId="643DE94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总磷（mg/L）</w:t>
            </w:r>
          </w:p>
        </w:tc>
        <w:tc>
          <w:tcPr>
            <w:tcW w:w="1851" w:type="dxa"/>
            <w:noWrap w:val="0"/>
            <w:vAlign w:val="center"/>
          </w:tcPr>
          <w:p w14:paraId="3375DAC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w:t>
            </w:r>
          </w:p>
        </w:tc>
        <w:tc>
          <w:tcPr>
            <w:tcW w:w="1985" w:type="dxa"/>
            <w:noWrap w:val="0"/>
            <w:vAlign w:val="center"/>
          </w:tcPr>
          <w:p w14:paraId="5962878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w:t>
            </w:r>
          </w:p>
        </w:tc>
        <w:tc>
          <w:tcPr>
            <w:tcW w:w="2126" w:type="dxa"/>
            <w:noWrap w:val="0"/>
            <w:vAlign w:val="center"/>
          </w:tcPr>
          <w:p w14:paraId="1AC9C43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.0</w:t>
            </w:r>
          </w:p>
        </w:tc>
        <w:tc>
          <w:tcPr>
            <w:tcW w:w="803" w:type="dxa"/>
            <w:vMerge w:val="continue"/>
            <w:noWrap w:val="0"/>
            <w:vAlign w:val="center"/>
          </w:tcPr>
          <w:p w14:paraId="13EBA78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4"/>
                <w:szCs w:val="24"/>
              </w:rPr>
            </w:pPr>
          </w:p>
        </w:tc>
      </w:tr>
    </w:tbl>
    <w:p w14:paraId="2B5F02F5">
      <w:pPr>
        <w:spacing w:line="360" w:lineRule="auto"/>
        <w:ind w:firstLine="480" w:firstLineChars="200"/>
        <w:rPr>
          <w:color w:val="auto"/>
          <w:sz w:val="24"/>
        </w:rPr>
      </w:pPr>
      <w:r>
        <w:rPr>
          <w:rFonts w:hint="eastAsia"/>
          <w:color w:val="auto"/>
          <w:sz w:val="24"/>
        </w:rPr>
        <w:t>2）</w:t>
      </w:r>
      <w:r>
        <w:rPr>
          <w:color w:val="auto"/>
          <w:sz w:val="24"/>
        </w:rPr>
        <w:t>码头污水排放</w:t>
      </w:r>
    </w:p>
    <w:p w14:paraId="0DAB6CB6">
      <w:pPr>
        <w:pStyle w:val="288"/>
        <w:spacing w:line="360" w:lineRule="auto"/>
        <w:ind w:firstLine="480"/>
        <w:rPr>
          <w:rFonts w:ascii="宋体" w:hAnsi="宋体"/>
          <w:color w:val="auto"/>
        </w:rPr>
      </w:pPr>
      <w:r>
        <w:rPr>
          <w:color w:val="auto"/>
        </w:rPr>
        <w:t>项目运营</w:t>
      </w:r>
      <w:r>
        <w:rPr>
          <w:rFonts w:hint="eastAsia"/>
          <w:color w:val="auto"/>
          <w:lang w:eastAsia="zh-CN"/>
        </w:rPr>
        <w:t>期船舶产生的生活污水经隔油沉淀池预处理后，进入一体化污水处理设施处理，回用于道路喷洒、机械车辆冲洗、绿化及码头地面冲洗，不外排；本项目到港船舶含油污水经隔油沉淀池预处理后，进入一体化污水处理设施处理，经处理后回用于道路喷洒、机械车辆冲洗、绿化及码头地面冲洗，不外排；初期雨水</w:t>
      </w:r>
      <w:r>
        <w:rPr>
          <w:rFonts w:hint="eastAsia"/>
          <w:color w:val="auto"/>
          <w:lang w:val="en-US" w:eastAsia="zh-CN"/>
        </w:rPr>
        <w:t>经</w:t>
      </w:r>
      <w:r>
        <w:rPr>
          <w:rFonts w:hint="eastAsia"/>
          <w:color w:val="auto"/>
          <w:lang w:eastAsia="zh-CN"/>
        </w:rPr>
        <w:t>隔油沉淀池预处理后进入一体化污水处理设备处理后，作为码头地面冲洗用水、道路喷洒用水、机械车辆冲洗用水及绿化用水；冲洗废水</w:t>
      </w:r>
      <w:r>
        <w:rPr>
          <w:rFonts w:hint="eastAsia"/>
          <w:color w:val="auto"/>
          <w:lang w:val="en-US" w:eastAsia="zh-CN"/>
        </w:rPr>
        <w:t>经</w:t>
      </w:r>
      <w:r>
        <w:rPr>
          <w:rFonts w:hint="eastAsia"/>
          <w:color w:val="auto"/>
          <w:lang w:eastAsia="zh-CN"/>
        </w:rPr>
        <w:t>隔油沉淀池预处理后进入一体化污水处理设备处理，处理后废水全部回用于码头地面冲洗、道路喷洒、机械车辆冲洗及绿化，不外排。</w:t>
      </w:r>
      <w:r>
        <w:rPr>
          <w:color w:val="auto"/>
        </w:rPr>
        <w:t>回用水水质满足《城市污水再生利用</w:t>
      </w:r>
      <w:r>
        <w:rPr>
          <w:rFonts w:hint="eastAsia"/>
          <w:color w:val="auto"/>
        </w:rPr>
        <w:t xml:space="preserve"> 城市杂用水水质</w:t>
      </w:r>
      <w:r>
        <w:rPr>
          <w:color w:val="auto"/>
        </w:rPr>
        <w:t>》（</w:t>
      </w:r>
      <w:r>
        <w:rPr>
          <w:rFonts w:hint="eastAsia"/>
          <w:color w:val="auto"/>
        </w:rPr>
        <w:t>G</w:t>
      </w:r>
      <w:r>
        <w:rPr>
          <w:color w:val="auto"/>
        </w:rPr>
        <w:t>B/</w:t>
      </w:r>
      <w:r>
        <w:rPr>
          <w:rFonts w:hint="eastAsia"/>
          <w:color w:val="auto"/>
          <w:lang w:eastAsia="zh-CN"/>
        </w:rPr>
        <w:t>T 18920</w:t>
      </w:r>
      <w:r>
        <w:rPr>
          <w:color w:val="auto"/>
        </w:rPr>
        <w:t>-2020）中城市绿化、道路清扫、车辆冲洗的标准要求，具体标准详见表2.2-1</w:t>
      </w:r>
      <w:r>
        <w:rPr>
          <w:rFonts w:hint="eastAsia"/>
          <w:color w:val="auto"/>
          <w:lang w:val="en-US" w:eastAsia="zh-CN"/>
        </w:rPr>
        <w:t>3</w:t>
      </w:r>
      <w:r>
        <w:rPr>
          <w:color w:val="auto"/>
        </w:rPr>
        <w:t>。</w:t>
      </w:r>
    </w:p>
    <w:p w14:paraId="3C2F1FD7">
      <w:pPr>
        <w:spacing w:line="400" w:lineRule="exact"/>
        <w:jc w:val="center"/>
        <w:rPr>
          <w:rFonts w:eastAsia="黑体"/>
          <w:color w:val="auto"/>
          <w:sz w:val="24"/>
        </w:rPr>
      </w:pPr>
      <w:r>
        <w:rPr>
          <w:rFonts w:eastAsia="黑体"/>
          <w:color w:val="auto"/>
          <w:sz w:val="24"/>
        </w:rPr>
        <w:t>表2.2-</w:t>
      </w:r>
      <w:r>
        <w:rPr>
          <w:rFonts w:hint="eastAsia" w:eastAsia="黑体"/>
          <w:color w:val="auto"/>
          <w:sz w:val="24"/>
        </w:rPr>
        <w:t>1</w:t>
      </w:r>
      <w:r>
        <w:rPr>
          <w:rFonts w:hint="eastAsia" w:eastAsia="黑体"/>
          <w:color w:val="auto"/>
          <w:sz w:val="24"/>
          <w:lang w:val="en-US" w:eastAsia="zh-CN"/>
        </w:rPr>
        <w:t>3</w:t>
      </w:r>
      <w:r>
        <w:rPr>
          <w:rFonts w:eastAsia="黑体"/>
          <w:color w:val="auto"/>
          <w:sz w:val="24"/>
        </w:rPr>
        <w:t xml:space="preserve">  城市杂用水水质</w:t>
      </w:r>
      <w:r>
        <w:rPr>
          <w:rFonts w:hint="eastAsia" w:eastAsia="黑体"/>
          <w:color w:val="auto"/>
          <w:sz w:val="24"/>
        </w:rPr>
        <w:t>基本</w:t>
      </w:r>
      <w:r>
        <w:rPr>
          <w:rFonts w:eastAsia="黑体"/>
          <w:color w:val="auto"/>
          <w:sz w:val="24"/>
        </w:rPr>
        <w:t>控制项目及限值</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2"/>
        <w:gridCol w:w="3298"/>
        <w:gridCol w:w="2584"/>
        <w:gridCol w:w="2722"/>
      </w:tblGrid>
      <w:tr w14:paraId="19B8FE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center"/>
          </w:tcPr>
          <w:p w14:paraId="7A9EBD6F">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序号</w:t>
            </w:r>
          </w:p>
        </w:tc>
        <w:tc>
          <w:tcPr>
            <w:tcW w:w="3298" w:type="dxa"/>
            <w:noWrap w:val="0"/>
            <w:vAlign w:val="center"/>
          </w:tcPr>
          <w:p w14:paraId="76FA40DA">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项目</w:t>
            </w:r>
          </w:p>
        </w:tc>
        <w:tc>
          <w:tcPr>
            <w:tcW w:w="2584" w:type="dxa"/>
            <w:noWrap w:val="0"/>
            <w:vAlign w:val="center"/>
          </w:tcPr>
          <w:p w14:paraId="5F2FAE65">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冲厕、车辆冲洗</w:t>
            </w:r>
          </w:p>
        </w:tc>
        <w:tc>
          <w:tcPr>
            <w:tcW w:w="2722" w:type="dxa"/>
            <w:noWrap w:val="0"/>
            <w:vAlign w:val="center"/>
          </w:tcPr>
          <w:p w14:paraId="11EC6904">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城市绿化、道路清扫、消防、建筑施工</w:t>
            </w:r>
          </w:p>
        </w:tc>
      </w:tr>
      <w:tr w14:paraId="46F2AF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center"/>
          </w:tcPr>
          <w:p w14:paraId="2E9065CF">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3298" w:type="dxa"/>
            <w:noWrap w:val="0"/>
            <w:vAlign w:val="center"/>
          </w:tcPr>
          <w:p w14:paraId="22F2A03A">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pH</w:t>
            </w:r>
          </w:p>
        </w:tc>
        <w:tc>
          <w:tcPr>
            <w:tcW w:w="2584" w:type="dxa"/>
            <w:noWrap w:val="0"/>
            <w:vAlign w:val="center"/>
          </w:tcPr>
          <w:p w14:paraId="58AEB74A">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w:t>
            </w:r>
            <w:r>
              <w:rPr>
                <w:rFonts w:hint="default" w:ascii="Times New Roman" w:hAnsi="Times New Roman" w:cs="Times New Roman"/>
                <w:color w:val="auto"/>
                <w:sz w:val="21"/>
                <w:szCs w:val="21"/>
              </w:rPr>
              <w:t>.0~9.0</w:t>
            </w:r>
          </w:p>
        </w:tc>
        <w:tc>
          <w:tcPr>
            <w:tcW w:w="2722" w:type="dxa"/>
            <w:noWrap w:val="0"/>
            <w:vAlign w:val="center"/>
          </w:tcPr>
          <w:p w14:paraId="092E327B">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w:t>
            </w:r>
            <w:r>
              <w:rPr>
                <w:rFonts w:hint="default" w:ascii="Times New Roman" w:hAnsi="Times New Roman" w:cs="Times New Roman"/>
                <w:color w:val="auto"/>
                <w:sz w:val="21"/>
                <w:szCs w:val="21"/>
              </w:rPr>
              <w:t>.0~9.0</w:t>
            </w:r>
          </w:p>
        </w:tc>
      </w:tr>
      <w:tr w14:paraId="0B6ACE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center"/>
          </w:tcPr>
          <w:p w14:paraId="5BF17EC3">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3298" w:type="dxa"/>
            <w:noWrap w:val="0"/>
            <w:vAlign w:val="center"/>
          </w:tcPr>
          <w:p w14:paraId="7B1142E2">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色/度≤</w:t>
            </w:r>
          </w:p>
        </w:tc>
        <w:tc>
          <w:tcPr>
            <w:tcW w:w="2584" w:type="dxa"/>
            <w:noWrap w:val="0"/>
            <w:vAlign w:val="center"/>
          </w:tcPr>
          <w:p w14:paraId="32D63B31">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5</w:t>
            </w:r>
          </w:p>
        </w:tc>
        <w:tc>
          <w:tcPr>
            <w:tcW w:w="2722" w:type="dxa"/>
            <w:noWrap w:val="0"/>
            <w:vAlign w:val="center"/>
          </w:tcPr>
          <w:p w14:paraId="20D79DE2">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w:t>
            </w:r>
            <w:r>
              <w:rPr>
                <w:rFonts w:hint="default" w:ascii="Times New Roman" w:hAnsi="Times New Roman" w:cs="Times New Roman"/>
                <w:color w:val="auto"/>
                <w:sz w:val="21"/>
                <w:szCs w:val="21"/>
              </w:rPr>
              <w:t>0</w:t>
            </w:r>
          </w:p>
        </w:tc>
      </w:tr>
      <w:tr w14:paraId="418821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center"/>
          </w:tcPr>
          <w:p w14:paraId="6A388412">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3298" w:type="dxa"/>
            <w:noWrap w:val="0"/>
            <w:vAlign w:val="center"/>
          </w:tcPr>
          <w:p w14:paraId="1336AB8A">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嗅</w:t>
            </w:r>
          </w:p>
        </w:tc>
        <w:tc>
          <w:tcPr>
            <w:tcW w:w="2584" w:type="dxa"/>
            <w:noWrap w:val="0"/>
            <w:vAlign w:val="center"/>
          </w:tcPr>
          <w:p w14:paraId="07F01D74">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无不快感</w:t>
            </w:r>
          </w:p>
        </w:tc>
        <w:tc>
          <w:tcPr>
            <w:tcW w:w="2722" w:type="dxa"/>
            <w:noWrap w:val="0"/>
            <w:vAlign w:val="center"/>
          </w:tcPr>
          <w:p w14:paraId="506E326A">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无不快感</w:t>
            </w:r>
          </w:p>
        </w:tc>
      </w:tr>
      <w:tr w14:paraId="3F52B7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center"/>
          </w:tcPr>
          <w:p w14:paraId="1F0763C5">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w:t>
            </w:r>
          </w:p>
        </w:tc>
        <w:tc>
          <w:tcPr>
            <w:tcW w:w="3298" w:type="dxa"/>
            <w:noWrap w:val="0"/>
            <w:vAlign w:val="center"/>
          </w:tcPr>
          <w:p w14:paraId="48F7A894">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浊度/NTU≤</w:t>
            </w:r>
          </w:p>
        </w:tc>
        <w:tc>
          <w:tcPr>
            <w:tcW w:w="2584" w:type="dxa"/>
            <w:noWrap w:val="0"/>
            <w:vAlign w:val="center"/>
          </w:tcPr>
          <w:p w14:paraId="2BBF13B0">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w:t>
            </w:r>
          </w:p>
        </w:tc>
        <w:tc>
          <w:tcPr>
            <w:tcW w:w="2722" w:type="dxa"/>
            <w:noWrap w:val="0"/>
            <w:vAlign w:val="center"/>
          </w:tcPr>
          <w:p w14:paraId="31DCE104">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0</w:t>
            </w:r>
          </w:p>
        </w:tc>
      </w:tr>
      <w:tr w14:paraId="626A65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center"/>
          </w:tcPr>
          <w:p w14:paraId="7F6E561B">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w:t>
            </w:r>
          </w:p>
        </w:tc>
        <w:tc>
          <w:tcPr>
            <w:tcW w:w="3298" w:type="dxa"/>
            <w:noWrap w:val="0"/>
            <w:vAlign w:val="center"/>
          </w:tcPr>
          <w:p w14:paraId="7B1C0009">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五日生化需氧量（BOD</w:t>
            </w:r>
            <w:r>
              <w:rPr>
                <w:rFonts w:hint="default" w:ascii="Times New Roman" w:hAnsi="Times New Roman" w:cs="Times New Roman"/>
                <w:color w:val="auto"/>
                <w:sz w:val="21"/>
                <w:szCs w:val="21"/>
                <w:vertAlign w:val="subscript"/>
              </w:rPr>
              <w:t>5</w:t>
            </w:r>
            <w:r>
              <w:rPr>
                <w:rFonts w:hint="default" w:ascii="Times New Roman" w:hAnsi="Times New Roman" w:cs="Times New Roman"/>
                <w:color w:val="auto"/>
                <w:sz w:val="21"/>
                <w:szCs w:val="21"/>
              </w:rPr>
              <w:t>）/（mg/L）≤</w:t>
            </w:r>
          </w:p>
        </w:tc>
        <w:tc>
          <w:tcPr>
            <w:tcW w:w="2584" w:type="dxa"/>
            <w:noWrap w:val="0"/>
            <w:vAlign w:val="center"/>
          </w:tcPr>
          <w:p w14:paraId="79A26FC6">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0</w:t>
            </w:r>
          </w:p>
        </w:tc>
        <w:tc>
          <w:tcPr>
            <w:tcW w:w="2722" w:type="dxa"/>
            <w:noWrap w:val="0"/>
            <w:vAlign w:val="center"/>
          </w:tcPr>
          <w:p w14:paraId="733515B2">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0</w:t>
            </w:r>
          </w:p>
        </w:tc>
      </w:tr>
      <w:tr w14:paraId="6E765E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center"/>
          </w:tcPr>
          <w:p w14:paraId="3A8B755E">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w:t>
            </w:r>
          </w:p>
        </w:tc>
        <w:tc>
          <w:tcPr>
            <w:tcW w:w="3298" w:type="dxa"/>
            <w:noWrap w:val="0"/>
            <w:vAlign w:val="center"/>
          </w:tcPr>
          <w:p w14:paraId="2148F96B">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氨氮/（mg/L）≤</w:t>
            </w:r>
          </w:p>
        </w:tc>
        <w:tc>
          <w:tcPr>
            <w:tcW w:w="2584" w:type="dxa"/>
            <w:noWrap w:val="0"/>
            <w:vAlign w:val="center"/>
          </w:tcPr>
          <w:p w14:paraId="7D2D7186">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w:t>
            </w:r>
          </w:p>
        </w:tc>
        <w:tc>
          <w:tcPr>
            <w:tcW w:w="2722" w:type="dxa"/>
            <w:noWrap w:val="0"/>
            <w:vAlign w:val="center"/>
          </w:tcPr>
          <w:p w14:paraId="02B97A5F">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8</w:t>
            </w:r>
          </w:p>
        </w:tc>
      </w:tr>
      <w:tr w14:paraId="4BCEDC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center"/>
          </w:tcPr>
          <w:p w14:paraId="2AED13F0">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w:t>
            </w:r>
          </w:p>
        </w:tc>
        <w:tc>
          <w:tcPr>
            <w:tcW w:w="3298" w:type="dxa"/>
            <w:noWrap w:val="0"/>
            <w:vAlign w:val="center"/>
          </w:tcPr>
          <w:p w14:paraId="7230BCDB">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阴离子表面活性剂/（mg/L）≤</w:t>
            </w:r>
          </w:p>
        </w:tc>
        <w:tc>
          <w:tcPr>
            <w:tcW w:w="2584" w:type="dxa"/>
            <w:noWrap w:val="0"/>
            <w:vAlign w:val="center"/>
          </w:tcPr>
          <w:p w14:paraId="02D36D38">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0</w:t>
            </w:r>
            <w:r>
              <w:rPr>
                <w:rFonts w:hint="default" w:ascii="Times New Roman" w:hAnsi="Times New Roman" w:cs="Times New Roman"/>
                <w:color w:val="auto"/>
                <w:sz w:val="21"/>
                <w:szCs w:val="21"/>
              </w:rPr>
              <w:t>.5</w:t>
            </w:r>
          </w:p>
        </w:tc>
        <w:tc>
          <w:tcPr>
            <w:tcW w:w="2722" w:type="dxa"/>
            <w:noWrap w:val="0"/>
            <w:vAlign w:val="center"/>
          </w:tcPr>
          <w:p w14:paraId="149E3F39">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0</w:t>
            </w:r>
            <w:r>
              <w:rPr>
                <w:rFonts w:hint="default" w:ascii="Times New Roman" w:hAnsi="Times New Roman" w:cs="Times New Roman"/>
                <w:color w:val="auto"/>
                <w:sz w:val="21"/>
                <w:szCs w:val="21"/>
              </w:rPr>
              <w:t>.5</w:t>
            </w:r>
          </w:p>
        </w:tc>
      </w:tr>
      <w:tr w14:paraId="007AF0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center"/>
          </w:tcPr>
          <w:p w14:paraId="65A25395">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8</w:t>
            </w:r>
          </w:p>
        </w:tc>
        <w:tc>
          <w:tcPr>
            <w:tcW w:w="3298" w:type="dxa"/>
            <w:noWrap w:val="0"/>
            <w:vAlign w:val="center"/>
          </w:tcPr>
          <w:p w14:paraId="1B6389BC">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铁/（mg/L）≤</w:t>
            </w:r>
          </w:p>
        </w:tc>
        <w:tc>
          <w:tcPr>
            <w:tcW w:w="2584" w:type="dxa"/>
            <w:noWrap w:val="0"/>
            <w:vAlign w:val="center"/>
          </w:tcPr>
          <w:p w14:paraId="0318C1D9">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0</w:t>
            </w:r>
            <w:r>
              <w:rPr>
                <w:rFonts w:hint="default" w:ascii="Times New Roman" w:hAnsi="Times New Roman" w:cs="Times New Roman"/>
                <w:color w:val="auto"/>
                <w:sz w:val="21"/>
                <w:szCs w:val="21"/>
              </w:rPr>
              <w:t>.3</w:t>
            </w:r>
          </w:p>
        </w:tc>
        <w:tc>
          <w:tcPr>
            <w:tcW w:w="2722" w:type="dxa"/>
            <w:noWrap w:val="0"/>
            <w:vAlign w:val="center"/>
          </w:tcPr>
          <w:p w14:paraId="5A04B948">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65DC58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center"/>
          </w:tcPr>
          <w:p w14:paraId="66325C0E">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9</w:t>
            </w:r>
          </w:p>
        </w:tc>
        <w:tc>
          <w:tcPr>
            <w:tcW w:w="3298" w:type="dxa"/>
            <w:noWrap w:val="0"/>
            <w:vAlign w:val="center"/>
          </w:tcPr>
          <w:p w14:paraId="033BBDB1">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锰/（mg/L）≤</w:t>
            </w:r>
          </w:p>
        </w:tc>
        <w:tc>
          <w:tcPr>
            <w:tcW w:w="2584" w:type="dxa"/>
            <w:noWrap w:val="0"/>
            <w:vAlign w:val="center"/>
          </w:tcPr>
          <w:p w14:paraId="5799A2A5">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0</w:t>
            </w:r>
            <w:r>
              <w:rPr>
                <w:rFonts w:hint="default" w:ascii="Times New Roman" w:hAnsi="Times New Roman" w:cs="Times New Roman"/>
                <w:color w:val="auto"/>
                <w:sz w:val="21"/>
                <w:szCs w:val="21"/>
              </w:rPr>
              <w:t>.1</w:t>
            </w:r>
          </w:p>
        </w:tc>
        <w:tc>
          <w:tcPr>
            <w:tcW w:w="2722" w:type="dxa"/>
            <w:noWrap w:val="0"/>
            <w:vAlign w:val="center"/>
          </w:tcPr>
          <w:p w14:paraId="25DCAAE3">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24ED0C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center"/>
          </w:tcPr>
          <w:p w14:paraId="4494E43E">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0</w:t>
            </w:r>
          </w:p>
        </w:tc>
        <w:tc>
          <w:tcPr>
            <w:tcW w:w="3298" w:type="dxa"/>
            <w:noWrap w:val="0"/>
            <w:vAlign w:val="center"/>
          </w:tcPr>
          <w:p w14:paraId="3C8894F9">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溶解性总固体/（mg/L）≤</w:t>
            </w:r>
          </w:p>
        </w:tc>
        <w:tc>
          <w:tcPr>
            <w:tcW w:w="2584" w:type="dxa"/>
            <w:noWrap w:val="0"/>
            <w:vAlign w:val="center"/>
          </w:tcPr>
          <w:p w14:paraId="4FA5FF95">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000（</w:t>
            </w:r>
            <w:r>
              <w:rPr>
                <w:rFonts w:hint="eastAsia" w:ascii="Times New Roman" w:hAnsi="Times New Roman" w:cs="Times New Roman"/>
                <w:color w:val="auto"/>
                <w:sz w:val="21"/>
                <w:szCs w:val="21"/>
              </w:rPr>
              <w:t>2</w:t>
            </w:r>
            <w:r>
              <w:rPr>
                <w:rFonts w:hint="default" w:ascii="Times New Roman" w:hAnsi="Times New Roman" w:cs="Times New Roman"/>
                <w:color w:val="auto"/>
                <w:sz w:val="21"/>
                <w:szCs w:val="21"/>
              </w:rPr>
              <w:t>000）</w:t>
            </w:r>
            <w:r>
              <w:rPr>
                <w:rFonts w:hint="default" w:ascii="Times New Roman" w:hAnsi="Times New Roman" w:cs="Times New Roman"/>
                <w:color w:val="auto"/>
                <w:sz w:val="21"/>
                <w:szCs w:val="21"/>
                <w:vertAlign w:val="superscript"/>
              </w:rPr>
              <w:t>a</w:t>
            </w:r>
          </w:p>
        </w:tc>
        <w:tc>
          <w:tcPr>
            <w:tcW w:w="2722" w:type="dxa"/>
            <w:noWrap w:val="0"/>
            <w:vAlign w:val="center"/>
          </w:tcPr>
          <w:p w14:paraId="447FBBD9">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000（</w:t>
            </w:r>
            <w:r>
              <w:rPr>
                <w:rFonts w:hint="eastAsia" w:ascii="Times New Roman" w:hAnsi="Times New Roman" w:cs="Times New Roman"/>
                <w:color w:val="auto"/>
                <w:sz w:val="21"/>
                <w:szCs w:val="21"/>
              </w:rPr>
              <w:t>2</w:t>
            </w:r>
            <w:r>
              <w:rPr>
                <w:rFonts w:hint="default" w:ascii="Times New Roman" w:hAnsi="Times New Roman" w:cs="Times New Roman"/>
                <w:color w:val="auto"/>
                <w:sz w:val="21"/>
                <w:szCs w:val="21"/>
              </w:rPr>
              <w:t>000）</w:t>
            </w:r>
            <w:r>
              <w:rPr>
                <w:rFonts w:hint="default" w:ascii="Times New Roman" w:hAnsi="Times New Roman" w:cs="Times New Roman"/>
                <w:color w:val="auto"/>
                <w:sz w:val="21"/>
                <w:szCs w:val="21"/>
                <w:vertAlign w:val="superscript"/>
              </w:rPr>
              <w:t>a</w:t>
            </w:r>
          </w:p>
        </w:tc>
      </w:tr>
      <w:tr w14:paraId="21E9DF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center"/>
          </w:tcPr>
          <w:p w14:paraId="17A7AB2B">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1</w:t>
            </w:r>
          </w:p>
        </w:tc>
        <w:tc>
          <w:tcPr>
            <w:tcW w:w="3298" w:type="dxa"/>
            <w:noWrap w:val="0"/>
            <w:vAlign w:val="center"/>
          </w:tcPr>
          <w:p w14:paraId="50B1C4E2">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溶解氧/（mg/L）≥</w:t>
            </w:r>
          </w:p>
        </w:tc>
        <w:tc>
          <w:tcPr>
            <w:tcW w:w="2584" w:type="dxa"/>
            <w:noWrap w:val="0"/>
            <w:vAlign w:val="center"/>
          </w:tcPr>
          <w:p w14:paraId="411E790D">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w:t>
            </w:r>
            <w:r>
              <w:rPr>
                <w:rFonts w:hint="default" w:ascii="Times New Roman" w:hAnsi="Times New Roman" w:cs="Times New Roman"/>
                <w:color w:val="auto"/>
                <w:sz w:val="21"/>
                <w:szCs w:val="21"/>
              </w:rPr>
              <w:t>.0</w:t>
            </w:r>
          </w:p>
        </w:tc>
        <w:tc>
          <w:tcPr>
            <w:tcW w:w="2722" w:type="dxa"/>
            <w:noWrap w:val="0"/>
            <w:vAlign w:val="center"/>
          </w:tcPr>
          <w:p w14:paraId="1FC4DF50">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w:t>
            </w:r>
            <w:r>
              <w:rPr>
                <w:rFonts w:hint="default" w:ascii="Times New Roman" w:hAnsi="Times New Roman" w:cs="Times New Roman"/>
                <w:color w:val="auto"/>
                <w:sz w:val="21"/>
                <w:szCs w:val="21"/>
              </w:rPr>
              <w:t>.0</w:t>
            </w:r>
          </w:p>
        </w:tc>
      </w:tr>
      <w:tr w14:paraId="0282DB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center"/>
          </w:tcPr>
          <w:p w14:paraId="68B4434C">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2</w:t>
            </w:r>
          </w:p>
        </w:tc>
        <w:tc>
          <w:tcPr>
            <w:tcW w:w="3298" w:type="dxa"/>
            <w:noWrap w:val="0"/>
            <w:vAlign w:val="center"/>
          </w:tcPr>
          <w:p w14:paraId="35900F32">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总氯/（mg/L）≥</w:t>
            </w:r>
          </w:p>
        </w:tc>
        <w:tc>
          <w:tcPr>
            <w:tcW w:w="2584" w:type="dxa"/>
            <w:noWrap w:val="0"/>
            <w:vAlign w:val="center"/>
          </w:tcPr>
          <w:p w14:paraId="2407BF93">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.0（出厂），</w:t>
            </w:r>
            <w:r>
              <w:rPr>
                <w:rFonts w:hint="eastAsia" w:ascii="Times New Roman" w:hAnsi="Times New Roman" w:cs="Times New Roman"/>
                <w:color w:val="auto"/>
                <w:sz w:val="21"/>
                <w:szCs w:val="21"/>
              </w:rPr>
              <w:t>0</w:t>
            </w:r>
            <w:r>
              <w:rPr>
                <w:rFonts w:hint="default" w:ascii="Times New Roman" w:hAnsi="Times New Roman" w:cs="Times New Roman"/>
                <w:color w:val="auto"/>
                <w:sz w:val="21"/>
                <w:szCs w:val="21"/>
              </w:rPr>
              <w:t>.2（管网末端）</w:t>
            </w:r>
          </w:p>
        </w:tc>
        <w:tc>
          <w:tcPr>
            <w:tcW w:w="2722" w:type="dxa"/>
            <w:noWrap w:val="0"/>
            <w:vAlign w:val="center"/>
          </w:tcPr>
          <w:p w14:paraId="5CCFE98C">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.0（出厂），</w:t>
            </w:r>
            <w:r>
              <w:rPr>
                <w:rFonts w:hint="eastAsia" w:ascii="Times New Roman" w:hAnsi="Times New Roman" w:cs="Times New Roman"/>
                <w:color w:val="auto"/>
                <w:sz w:val="21"/>
                <w:szCs w:val="21"/>
              </w:rPr>
              <w:t>0</w:t>
            </w:r>
            <w:r>
              <w:rPr>
                <w:rFonts w:hint="default" w:ascii="Times New Roman" w:hAnsi="Times New Roman" w:cs="Times New Roman"/>
                <w:color w:val="auto"/>
                <w:sz w:val="21"/>
                <w:szCs w:val="21"/>
              </w:rPr>
              <w:t>.2</w:t>
            </w:r>
            <w:r>
              <w:rPr>
                <w:rFonts w:hint="default" w:ascii="Times New Roman" w:hAnsi="Times New Roman" w:cs="Times New Roman"/>
                <w:color w:val="auto"/>
                <w:sz w:val="21"/>
                <w:szCs w:val="21"/>
                <w:vertAlign w:val="superscript"/>
              </w:rPr>
              <w:t>b</w:t>
            </w:r>
            <w:r>
              <w:rPr>
                <w:rFonts w:hint="default" w:ascii="Times New Roman" w:hAnsi="Times New Roman" w:cs="Times New Roman"/>
                <w:color w:val="auto"/>
                <w:sz w:val="21"/>
                <w:szCs w:val="21"/>
              </w:rPr>
              <w:t>（管网末端）</w:t>
            </w:r>
          </w:p>
        </w:tc>
      </w:tr>
      <w:tr w14:paraId="1F290F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2" w:type="dxa"/>
            <w:noWrap w:val="0"/>
            <w:vAlign w:val="center"/>
          </w:tcPr>
          <w:p w14:paraId="712EF97D">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3</w:t>
            </w:r>
          </w:p>
        </w:tc>
        <w:tc>
          <w:tcPr>
            <w:tcW w:w="3298" w:type="dxa"/>
            <w:noWrap w:val="0"/>
            <w:vAlign w:val="center"/>
          </w:tcPr>
          <w:p w14:paraId="543C41FA">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大肠</w:t>
            </w:r>
            <w:r>
              <w:rPr>
                <w:rFonts w:hint="default" w:ascii="Times New Roman" w:hAnsi="Times New Roman" w:cs="Times New Roman"/>
                <w:color w:val="auto"/>
                <w:sz w:val="21"/>
                <w:szCs w:val="21"/>
              </w:rPr>
              <w:t>埃希氏菌</w:t>
            </w:r>
            <w:r>
              <w:rPr>
                <w:rFonts w:hint="eastAsia" w:ascii="Times New Roman" w:hAnsi="Times New Roman" w:cs="Times New Roman"/>
                <w:color w:val="auto"/>
                <w:sz w:val="21"/>
                <w:szCs w:val="21"/>
              </w:rPr>
              <w:t>/（M</w:t>
            </w:r>
            <w:r>
              <w:rPr>
                <w:rFonts w:hint="default" w:ascii="Times New Roman" w:hAnsi="Times New Roman" w:cs="Times New Roman"/>
                <w:color w:val="auto"/>
                <w:sz w:val="21"/>
                <w:szCs w:val="21"/>
              </w:rPr>
              <w:t>PN/100mL或</w:t>
            </w:r>
            <w:r>
              <w:rPr>
                <w:rFonts w:hint="eastAsia" w:ascii="Times New Roman" w:hAnsi="Times New Roman" w:cs="Times New Roman"/>
                <w:color w:val="auto"/>
                <w:sz w:val="21"/>
                <w:szCs w:val="21"/>
              </w:rPr>
              <w:t>C</w:t>
            </w:r>
            <w:r>
              <w:rPr>
                <w:rFonts w:hint="default" w:ascii="Times New Roman" w:hAnsi="Times New Roman" w:cs="Times New Roman"/>
                <w:color w:val="auto"/>
                <w:sz w:val="21"/>
                <w:szCs w:val="21"/>
              </w:rPr>
              <w:t>FU/100mL</w:t>
            </w:r>
            <w:r>
              <w:rPr>
                <w:rFonts w:hint="eastAsia" w:ascii="Times New Roman" w:hAnsi="Times New Roman" w:cs="Times New Roman"/>
                <w:color w:val="auto"/>
                <w:sz w:val="21"/>
                <w:szCs w:val="21"/>
              </w:rPr>
              <w:t>）</w:t>
            </w:r>
          </w:p>
        </w:tc>
        <w:tc>
          <w:tcPr>
            <w:tcW w:w="2584" w:type="dxa"/>
            <w:noWrap w:val="0"/>
            <w:vAlign w:val="center"/>
          </w:tcPr>
          <w:p w14:paraId="01F03938">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无</w:t>
            </w:r>
            <w:r>
              <w:rPr>
                <w:rFonts w:hint="default" w:ascii="Times New Roman" w:hAnsi="Times New Roman" w:cs="Times New Roman"/>
                <w:color w:val="auto"/>
                <w:sz w:val="21"/>
                <w:szCs w:val="21"/>
                <w:vertAlign w:val="superscript"/>
              </w:rPr>
              <w:t>c</w:t>
            </w:r>
          </w:p>
        </w:tc>
        <w:tc>
          <w:tcPr>
            <w:tcW w:w="2722" w:type="dxa"/>
            <w:noWrap w:val="0"/>
            <w:vAlign w:val="center"/>
          </w:tcPr>
          <w:p w14:paraId="2CC455C2">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jc w:val="center"/>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无</w:t>
            </w:r>
            <w:r>
              <w:rPr>
                <w:rFonts w:hint="default" w:ascii="Times New Roman" w:hAnsi="Times New Roman" w:cs="Times New Roman"/>
                <w:color w:val="auto"/>
                <w:sz w:val="21"/>
                <w:szCs w:val="21"/>
                <w:vertAlign w:val="superscript"/>
              </w:rPr>
              <w:t>c</w:t>
            </w:r>
          </w:p>
        </w:tc>
      </w:tr>
      <w:tr w14:paraId="2958C2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286" w:type="dxa"/>
            <w:gridSpan w:val="4"/>
            <w:noWrap w:val="0"/>
            <w:vAlign w:val="center"/>
          </w:tcPr>
          <w:p w14:paraId="148953BE">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注：“—”表示对此项无要求。</w:t>
            </w:r>
          </w:p>
        </w:tc>
      </w:tr>
      <w:tr w14:paraId="2696CE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286" w:type="dxa"/>
            <w:gridSpan w:val="4"/>
            <w:noWrap w:val="0"/>
            <w:vAlign w:val="center"/>
          </w:tcPr>
          <w:p w14:paraId="1157FF9B">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textAlignment w:val="baseline"/>
              <w:rPr>
                <w:rFonts w:hint="default" w:ascii="Times New Roman" w:hAnsi="Times New Roman" w:cs="Times New Roman"/>
                <w:color w:val="auto"/>
                <w:sz w:val="21"/>
                <w:szCs w:val="21"/>
              </w:rPr>
            </w:pPr>
            <w:r>
              <w:rPr>
                <w:rFonts w:hint="default" w:ascii="Times New Roman" w:hAnsi="Times New Roman" w:cs="Times New Roman"/>
                <w:color w:val="auto"/>
                <w:sz w:val="21"/>
                <w:szCs w:val="21"/>
                <w:vertAlign w:val="superscript"/>
              </w:rPr>
              <w:t>a</w:t>
            </w:r>
            <w:r>
              <w:rPr>
                <w:rFonts w:hint="eastAsia" w:ascii="Times New Roman" w:hAnsi="Times New Roman" w:cs="Times New Roman"/>
                <w:color w:val="auto"/>
                <w:sz w:val="21"/>
                <w:szCs w:val="21"/>
              </w:rPr>
              <w:t>括号内指标值为沿海及本地水源中溶解性固体含量较高的区域的指标。</w:t>
            </w:r>
          </w:p>
          <w:p w14:paraId="4B6C2D99">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textAlignment w:val="baseline"/>
              <w:rPr>
                <w:rFonts w:hint="eastAsia" w:ascii="Times New Roman" w:hAnsi="Times New Roman" w:cs="Times New Roman"/>
                <w:color w:val="auto"/>
                <w:sz w:val="21"/>
                <w:szCs w:val="21"/>
              </w:rPr>
            </w:pPr>
            <w:r>
              <w:rPr>
                <w:rFonts w:hint="eastAsia" w:ascii="Times New Roman" w:hAnsi="Times New Roman" w:cs="Times New Roman"/>
                <w:color w:val="auto"/>
                <w:sz w:val="21"/>
                <w:szCs w:val="21"/>
                <w:vertAlign w:val="superscript"/>
              </w:rPr>
              <w:t>b</w:t>
            </w:r>
            <w:r>
              <w:rPr>
                <w:rFonts w:hint="eastAsia" w:ascii="Times New Roman" w:hAnsi="Times New Roman" w:cs="Times New Roman"/>
                <w:color w:val="auto"/>
                <w:sz w:val="21"/>
                <w:szCs w:val="21"/>
              </w:rPr>
              <w:t>用于城市绿化时，不应超过2.5mg/L。</w:t>
            </w:r>
          </w:p>
          <w:p w14:paraId="457C8393">
            <w:pPr>
              <w:pStyle w:val="15"/>
              <w:keepNext w:val="0"/>
              <w:keepLines w:val="0"/>
              <w:suppressLineNumbers w:val="0"/>
              <w:tabs>
                <w:tab w:val="left" w:pos="0"/>
                <w:tab w:val="left" w:pos="1050"/>
                <w:tab w:val="left" w:pos="1080"/>
              </w:tabs>
              <w:spacing w:before="0" w:beforeAutospacing="0" w:after="0" w:afterAutospacing="0" w:line="300" w:lineRule="exact"/>
              <w:ind w:left="0" w:right="0" w:firstLine="0"/>
              <w:textAlignment w:val="baseline"/>
              <w:rPr>
                <w:rFonts w:hint="default" w:ascii="Times New Roman" w:hAnsi="Times New Roman" w:cs="Times New Roman"/>
                <w:color w:val="auto"/>
                <w:sz w:val="21"/>
                <w:szCs w:val="21"/>
              </w:rPr>
            </w:pPr>
            <w:r>
              <w:rPr>
                <w:rFonts w:hint="eastAsia" w:ascii="Times New Roman" w:hAnsi="Times New Roman" w:cs="Times New Roman"/>
                <w:color w:val="auto"/>
                <w:sz w:val="21"/>
                <w:szCs w:val="21"/>
                <w:vertAlign w:val="superscript"/>
              </w:rPr>
              <w:t>c</w:t>
            </w:r>
            <w:r>
              <w:rPr>
                <w:rFonts w:hint="eastAsia" w:ascii="Times New Roman" w:hAnsi="Times New Roman" w:cs="Times New Roman"/>
                <w:color w:val="auto"/>
                <w:sz w:val="21"/>
                <w:szCs w:val="21"/>
              </w:rPr>
              <w:t>大肠埃希氏菌不应检出。</w:t>
            </w:r>
          </w:p>
        </w:tc>
      </w:tr>
    </w:tbl>
    <w:p w14:paraId="52D9FF79">
      <w:pPr>
        <w:spacing w:line="360" w:lineRule="auto"/>
        <w:ind w:firstLine="480" w:firstLineChars="200"/>
        <w:rPr>
          <w:color w:val="auto"/>
          <w:sz w:val="24"/>
        </w:rPr>
      </w:pPr>
      <w:r>
        <w:rPr>
          <w:color w:val="auto"/>
          <w:sz w:val="24"/>
        </w:rPr>
        <w:t>（3）噪声标准</w:t>
      </w:r>
    </w:p>
    <w:p w14:paraId="2B331314">
      <w:pPr>
        <w:spacing w:line="360" w:lineRule="auto"/>
        <w:ind w:firstLine="480" w:firstLineChars="200"/>
        <w:rPr>
          <w:color w:val="auto"/>
          <w:sz w:val="24"/>
        </w:rPr>
      </w:pPr>
      <w:r>
        <w:rPr>
          <w:color w:val="auto"/>
          <w:sz w:val="24"/>
        </w:rPr>
        <w:t>本项目施工期噪声排放执行《</w:t>
      </w:r>
      <w:r>
        <w:rPr>
          <w:rFonts w:hint="eastAsia"/>
          <w:color w:val="auto"/>
          <w:sz w:val="24"/>
          <w:lang w:eastAsia="zh-CN"/>
        </w:rPr>
        <w:t>建筑施工噪声排放标准</w:t>
      </w:r>
      <w:r>
        <w:rPr>
          <w:color w:val="auto"/>
          <w:sz w:val="24"/>
        </w:rPr>
        <w:t>》（</w:t>
      </w:r>
      <w:r>
        <w:rPr>
          <w:rFonts w:hint="eastAsia"/>
          <w:color w:val="auto"/>
          <w:sz w:val="24"/>
          <w:lang w:eastAsia="zh-CN"/>
        </w:rPr>
        <w:t>GB 12523-2025</w:t>
      </w:r>
      <w:r>
        <w:rPr>
          <w:color w:val="auto"/>
          <w:sz w:val="24"/>
        </w:rPr>
        <w:t>），详见表2.2-1</w:t>
      </w:r>
      <w:r>
        <w:rPr>
          <w:rFonts w:hint="eastAsia"/>
          <w:color w:val="auto"/>
          <w:sz w:val="24"/>
          <w:lang w:val="en-US" w:eastAsia="zh-CN"/>
        </w:rPr>
        <w:t>4</w:t>
      </w:r>
      <w:r>
        <w:rPr>
          <w:color w:val="auto"/>
          <w:sz w:val="24"/>
        </w:rPr>
        <w:t>。</w:t>
      </w:r>
    </w:p>
    <w:p w14:paraId="31FE0A07">
      <w:pPr>
        <w:pStyle w:val="159"/>
        <w:numPr>
          <w:ilvl w:val="0"/>
          <w:numId w:val="0"/>
        </w:numPr>
        <w:spacing w:line="240" w:lineRule="auto"/>
        <w:rPr>
          <w:color w:val="auto"/>
          <w:kern w:val="2"/>
          <w:szCs w:val="21"/>
        </w:rPr>
      </w:pPr>
      <w:r>
        <w:rPr>
          <w:color w:val="auto"/>
          <w:kern w:val="2"/>
          <w:szCs w:val="21"/>
        </w:rPr>
        <w:t>表2.2-1</w:t>
      </w:r>
      <w:r>
        <w:rPr>
          <w:rFonts w:hint="eastAsia"/>
          <w:color w:val="auto"/>
          <w:kern w:val="2"/>
          <w:szCs w:val="21"/>
          <w:lang w:val="en-US" w:eastAsia="zh-CN"/>
        </w:rPr>
        <w:t>4</w:t>
      </w:r>
      <w:r>
        <w:rPr>
          <w:color w:val="auto"/>
          <w:kern w:val="2"/>
          <w:szCs w:val="21"/>
        </w:rPr>
        <w:t xml:space="preserve">  本项目施工期噪声排放执行标准</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2471"/>
        <w:gridCol w:w="3963"/>
        <w:gridCol w:w="2636"/>
      </w:tblGrid>
      <w:tr w14:paraId="41D680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84" w:hRule="atLeast"/>
          <w:jc w:val="center"/>
        </w:trPr>
        <w:tc>
          <w:tcPr>
            <w:tcW w:w="2471" w:type="dxa"/>
            <w:noWrap w:val="0"/>
            <w:vAlign w:val="center"/>
          </w:tcPr>
          <w:p w14:paraId="040B08BD">
            <w:pPr>
              <w:pStyle w:val="114"/>
              <w:keepNext w:val="0"/>
              <w:keepLines w:val="0"/>
              <w:suppressLineNumbers w:val="0"/>
              <w:tabs>
                <w:tab w:val="left" w:pos="995"/>
              </w:tabs>
              <w:spacing w:before="0" w:beforeAutospacing="0" w:after="0" w:afterAutospacing="0" w:line="240" w:lineRule="auto"/>
              <w:ind w:left="0" w:right="0"/>
              <w:rPr>
                <w:rFonts w:hint="default" w:ascii="Times New Roman" w:hAnsi="Times New Roman" w:cs="Times New Roman"/>
                <w:b/>
                <w:color w:val="auto"/>
                <w:szCs w:val="21"/>
              </w:rPr>
            </w:pPr>
            <w:r>
              <w:rPr>
                <w:rFonts w:hint="default" w:ascii="Times New Roman" w:hAnsi="Times New Roman" w:cs="Times New Roman"/>
                <w:b/>
                <w:color w:val="auto"/>
                <w:szCs w:val="21"/>
              </w:rPr>
              <w:t>类别</w:t>
            </w:r>
          </w:p>
        </w:tc>
        <w:tc>
          <w:tcPr>
            <w:tcW w:w="3963" w:type="dxa"/>
            <w:noWrap w:val="0"/>
            <w:vAlign w:val="center"/>
          </w:tcPr>
          <w:p w14:paraId="301DA354">
            <w:pPr>
              <w:pStyle w:val="114"/>
              <w:keepNext w:val="0"/>
              <w:keepLines w:val="0"/>
              <w:suppressLineNumbers w:val="0"/>
              <w:tabs>
                <w:tab w:val="left" w:pos="995"/>
              </w:tabs>
              <w:spacing w:before="0" w:beforeAutospacing="0" w:after="0" w:afterAutospacing="0" w:line="240" w:lineRule="auto"/>
              <w:ind w:left="0" w:right="0"/>
              <w:rPr>
                <w:rFonts w:hint="default" w:ascii="Times New Roman" w:hAnsi="Times New Roman" w:cs="Times New Roman"/>
                <w:b/>
                <w:color w:val="auto"/>
                <w:szCs w:val="21"/>
              </w:rPr>
            </w:pPr>
            <w:r>
              <w:rPr>
                <w:rFonts w:hint="default" w:ascii="Times New Roman" w:hAnsi="Times New Roman" w:cs="Times New Roman"/>
                <w:b/>
                <w:color w:val="auto"/>
                <w:szCs w:val="21"/>
              </w:rPr>
              <w:t>昼间dB（A）</w:t>
            </w:r>
          </w:p>
        </w:tc>
        <w:tc>
          <w:tcPr>
            <w:tcW w:w="2636" w:type="dxa"/>
            <w:noWrap w:val="0"/>
            <w:vAlign w:val="center"/>
          </w:tcPr>
          <w:p w14:paraId="37B0446C">
            <w:pPr>
              <w:pStyle w:val="114"/>
              <w:keepNext w:val="0"/>
              <w:keepLines w:val="0"/>
              <w:suppressLineNumbers w:val="0"/>
              <w:tabs>
                <w:tab w:val="left" w:pos="995"/>
              </w:tabs>
              <w:spacing w:before="0" w:beforeAutospacing="0" w:after="0" w:afterAutospacing="0" w:line="240" w:lineRule="auto"/>
              <w:ind w:left="0" w:right="0"/>
              <w:rPr>
                <w:rFonts w:hint="default" w:ascii="Times New Roman" w:hAnsi="Times New Roman" w:cs="Times New Roman"/>
                <w:b/>
                <w:color w:val="auto"/>
                <w:szCs w:val="21"/>
              </w:rPr>
            </w:pPr>
            <w:r>
              <w:rPr>
                <w:rFonts w:hint="default" w:ascii="Times New Roman" w:hAnsi="Times New Roman" w:cs="Times New Roman"/>
                <w:b/>
                <w:color w:val="auto"/>
                <w:szCs w:val="21"/>
              </w:rPr>
              <w:t>夜间dB（A）</w:t>
            </w:r>
          </w:p>
        </w:tc>
      </w:tr>
      <w:tr w14:paraId="498C2B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84" w:hRule="atLeast"/>
          <w:jc w:val="center"/>
        </w:trPr>
        <w:tc>
          <w:tcPr>
            <w:tcW w:w="2471" w:type="dxa"/>
            <w:noWrap w:val="0"/>
            <w:vAlign w:val="center"/>
          </w:tcPr>
          <w:p w14:paraId="33619F8A">
            <w:pPr>
              <w:pStyle w:val="114"/>
              <w:keepNext w:val="0"/>
              <w:keepLines w:val="0"/>
              <w:suppressLineNumbers w:val="0"/>
              <w:tabs>
                <w:tab w:val="left" w:pos="995"/>
              </w:tabs>
              <w:spacing w:before="0" w:beforeAutospacing="0" w:after="0" w:afterAutospacing="0" w:line="240" w:lineRule="auto"/>
              <w:ind w:left="0" w:right="0"/>
              <w:rPr>
                <w:rFonts w:hint="default" w:ascii="Times New Roman" w:hAnsi="Times New Roman" w:cs="Times New Roman"/>
                <w:color w:val="auto"/>
                <w:szCs w:val="21"/>
              </w:rPr>
            </w:pPr>
            <w:r>
              <w:rPr>
                <w:rFonts w:hint="default" w:ascii="Times New Roman" w:hAnsi="Times New Roman" w:cs="Times New Roman"/>
                <w:color w:val="auto"/>
                <w:szCs w:val="21"/>
              </w:rPr>
              <w:t>/</w:t>
            </w:r>
          </w:p>
        </w:tc>
        <w:tc>
          <w:tcPr>
            <w:tcW w:w="3963" w:type="dxa"/>
            <w:noWrap w:val="0"/>
            <w:vAlign w:val="center"/>
          </w:tcPr>
          <w:p w14:paraId="72B3C0EB">
            <w:pPr>
              <w:pStyle w:val="114"/>
              <w:keepNext w:val="0"/>
              <w:keepLines w:val="0"/>
              <w:suppressLineNumbers w:val="0"/>
              <w:tabs>
                <w:tab w:val="left" w:pos="995"/>
              </w:tabs>
              <w:spacing w:before="0" w:beforeAutospacing="0" w:after="0" w:afterAutospacing="0" w:line="240" w:lineRule="auto"/>
              <w:ind w:left="0" w:right="0"/>
              <w:rPr>
                <w:rFonts w:hint="default" w:ascii="Times New Roman" w:hAnsi="Times New Roman" w:cs="Times New Roman"/>
                <w:color w:val="auto"/>
                <w:szCs w:val="21"/>
              </w:rPr>
            </w:pPr>
            <w:r>
              <w:rPr>
                <w:rFonts w:hint="default" w:ascii="Times New Roman" w:hAnsi="Times New Roman" w:cs="Times New Roman"/>
                <w:color w:val="auto"/>
                <w:szCs w:val="21"/>
              </w:rPr>
              <w:t>70</w:t>
            </w:r>
          </w:p>
        </w:tc>
        <w:tc>
          <w:tcPr>
            <w:tcW w:w="2636" w:type="dxa"/>
            <w:noWrap w:val="0"/>
            <w:vAlign w:val="center"/>
          </w:tcPr>
          <w:p w14:paraId="0DDDA1DF">
            <w:pPr>
              <w:pStyle w:val="114"/>
              <w:keepNext w:val="0"/>
              <w:keepLines w:val="0"/>
              <w:suppressLineNumbers w:val="0"/>
              <w:tabs>
                <w:tab w:val="left" w:pos="995"/>
              </w:tabs>
              <w:spacing w:before="0" w:beforeAutospacing="0" w:after="0" w:afterAutospacing="0" w:line="240" w:lineRule="auto"/>
              <w:ind w:left="0" w:right="0"/>
              <w:rPr>
                <w:rFonts w:hint="default" w:ascii="Times New Roman" w:hAnsi="Times New Roman" w:cs="Times New Roman"/>
                <w:color w:val="auto"/>
                <w:szCs w:val="21"/>
              </w:rPr>
            </w:pPr>
            <w:r>
              <w:rPr>
                <w:rFonts w:hint="default" w:ascii="Times New Roman" w:hAnsi="Times New Roman" w:cs="Times New Roman"/>
                <w:color w:val="auto"/>
                <w:szCs w:val="21"/>
              </w:rPr>
              <w:t>55</w:t>
            </w:r>
          </w:p>
        </w:tc>
      </w:tr>
      <w:tr w14:paraId="75E5B5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84" w:hRule="atLeast"/>
          <w:jc w:val="center"/>
        </w:trPr>
        <w:tc>
          <w:tcPr>
            <w:tcW w:w="2471" w:type="dxa"/>
            <w:noWrap w:val="0"/>
            <w:vAlign w:val="center"/>
          </w:tcPr>
          <w:p w14:paraId="0240D2D5">
            <w:pPr>
              <w:pStyle w:val="114"/>
              <w:keepNext w:val="0"/>
              <w:keepLines w:val="0"/>
              <w:suppressLineNumbers w:val="0"/>
              <w:tabs>
                <w:tab w:val="left" w:pos="995"/>
              </w:tabs>
              <w:spacing w:before="0" w:beforeAutospacing="0" w:after="0" w:afterAutospacing="0" w:line="240" w:lineRule="auto"/>
              <w:ind w:left="0" w:right="0"/>
              <w:rPr>
                <w:rFonts w:hint="default" w:ascii="Times New Roman" w:hAnsi="Times New Roman" w:cs="Times New Roman"/>
                <w:color w:val="auto"/>
                <w:szCs w:val="21"/>
              </w:rPr>
            </w:pPr>
            <w:r>
              <w:rPr>
                <w:rFonts w:hint="default" w:ascii="Times New Roman" w:hAnsi="Times New Roman" w:cs="Times New Roman"/>
                <w:color w:val="auto"/>
                <w:szCs w:val="21"/>
              </w:rPr>
              <w:t>标准来源</w:t>
            </w:r>
          </w:p>
        </w:tc>
        <w:tc>
          <w:tcPr>
            <w:tcW w:w="6599" w:type="dxa"/>
            <w:gridSpan w:val="2"/>
            <w:noWrap w:val="0"/>
            <w:vAlign w:val="center"/>
          </w:tcPr>
          <w:p w14:paraId="58323E39">
            <w:pPr>
              <w:pStyle w:val="114"/>
              <w:keepNext w:val="0"/>
              <w:keepLines w:val="0"/>
              <w:suppressLineNumbers w:val="0"/>
              <w:tabs>
                <w:tab w:val="left" w:pos="995"/>
              </w:tabs>
              <w:spacing w:before="0" w:beforeAutospacing="0" w:after="0" w:afterAutospacing="0" w:line="240" w:lineRule="auto"/>
              <w:ind w:left="0" w:right="0"/>
              <w:rPr>
                <w:rFonts w:hint="default" w:ascii="Times New Roman" w:hAnsi="Times New Roman" w:cs="Times New Roman"/>
                <w:color w:val="auto"/>
                <w:szCs w:val="21"/>
              </w:rPr>
            </w:pPr>
            <w:r>
              <w:rPr>
                <w:rFonts w:hint="default" w:ascii="Times New Roman" w:hAnsi="Times New Roman" w:cs="Times New Roman"/>
                <w:color w:val="auto"/>
                <w:szCs w:val="21"/>
              </w:rPr>
              <w:t>《</w:t>
            </w:r>
            <w:r>
              <w:rPr>
                <w:rFonts w:hint="eastAsia" w:cs="Times New Roman"/>
                <w:color w:val="auto"/>
                <w:szCs w:val="21"/>
                <w:lang w:eastAsia="zh-CN"/>
              </w:rPr>
              <w:t>建筑施工噪声排放标准</w:t>
            </w:r>
            <w:r>
              <w:rPr>
                <w:rFonts w:hint="default" w:ascii="Times New Roman" w:hAnsi="Times New Roman" w:cs="Times New Roman"/>
                <w:color w:val="auto"/>
                <w:szCs w:val="21"/>
              </w:rPr>
              <w:t>》（</w:t>
            </w:r>
            <w:r>
              <w:rPr>
                <w:rFonts w:hint="eastAsia" w:cs="Times New Roman"/>
                <w:color w:val="auto"/>
                <w:szCs w:val="21"/>
                <w:lang w:eastAsia="zh-CN"/>
              </w:rPr>
              <w:t>GB 12523-2025</w:t>
            </w:r>
            <w:r>
              <w:rPr>
                <w:rFonts w:hint="default" w:ascii="Times New Roman" w:hAnsi="Times New Roman" w:cs="Times New Roman"/>
                <w:color w:val="auto"/>
                <w:szCs w:val="21"/>
              </w:rPr>
              <w:t>）</w:t>
            </w:r>
          </w:p>
        </w:tc>
      </w:tr>
    </w:tbl>
    <w:p w14:paraId="439007E8">
      <w:pPr>
        <w:rPr>
          <w:b/>
          <w:bCs/>
          <w:color w:val="auto"/>
          <w:kern w:val="0"/>
          <w:sz w:val="18"/>
          <w:szCs w:val="18"/>
        </w:rPr>
      </w:pPr>
      <w:r>
        <w:rPr>
          <w:b/>
          <w:bCs/>
          <w:color w:val="auto"/>
          <w:kern w:val="0"/>
          <w:sz w:val="18"/>
          <w:szCs w:val="18"/>
        </w:rPr>
        <w:t>注：夜间噪声最大声级超过限值的幅度不得高于15dB（A）。</w:t>
      </w:r>
    </w:p>
    <w:p w14:paraId="284C0299">
      <w:pPr>
        <w:spacing w:line="360" w:lineRule="auto"/>
        <w:ind w:firstLine="480" w:firstLineChars="200"/>
        <w:rPr>
          <w:color w:val="auto"/>
          <w:sz w:val="24"/>
        </w:rPr>
      </w:pPr>
      <w:r>
        <w:rPr>
          <w:color w:val="auto"/>
          <w:sz w:val="24"/>
        </w:rPr>
        <w:t>运营期项目码头临</w:t>
      </w:r>
      <w:r>
        <w:rPr>
          <w:rFonts w:hint="eastAsia"/>
          <w:color w:val="auto"/>
          <w:sz w:val="24"/>
        </w:rPr>
        <w:t>淮</w:t>
      </w:r>
      <w:r>
        <w:rPr>
          <w:color w:val="auto"/>
          <w:sz w:val="24"/>
        </w:rPr>
        <w:t>河航道侧场界</w:t>
      </w:r>
      <w:r>
        <w:rPr>
          <w:rFonts w:hint="eastAsia"/>
          <w:color w:val="auto"/>
          <w:sz w:val="24"/>
          <w:lang w:eastAsia="zh-CN"/>
        </w:rPr>
        <w:t>（</w:t>
      </w:r>
      <w:r>
        <w:rPr>
          <w:rFonts w:hint="eastAsia"/>
          <w:color w:val="auto"/>
          <w:sz w:val="24"/>
          <w:lang w:val="en-US" w:eastAsia="zh-CN"/>
        </w:rPr>
        <w:t>南侧</w:t>
      </w:r>
      <w:r>
        <w:rPr>
          <w:rFonts w:hint="eastAsia"/>
          <w:color w:val="auto"/>
          <w:sz w:val="24"/>
          <w:lang w:eastAsia="zh-CN"/>
        </w:rPr>
        <w:t>）</w:t>
      </w:r>
      <w:r>
        <w:rPr>
          <w:color w:val="auto"/>
          <w:sz w:val="24"/>
        </w:rPr>
        <w:t>噪声执行《工业企业厂界环境噪声排放标准》（</w:t>
      </w:r>
      <w:r>
        <w:rPr>
          <w:rFonts w:hint="eastAsia"/>
          <w:color w:val="auto"/>
          <w:sz w:val="24"/>
          <w:lang w:eastAsia="zh-CN"/>
        </w:rPr>
        <w:t>GB 12348</w:t>
      </w:r>
      <w:r>
        <w:rPr>
          <w:color w:val="auto"/>
          <w:sz w:val="24"/>
        </w:rPr>
        <w:t>-2008）4类排放限值；项目其他</w:t>
      </w:r>
      <w:r>
        <w:rPr>
          <w:rFonts w:hint="eastAsia"/>
          <w:color w:val="auto"/>
          <w:sz w:val="24"/>
        </w:rPr>
        <w:t>场界</w:t>
      </w:r>
      <w:r>
        <w:rPr>
          <w:rFonts w:hint="eastAsia"/>
          <w:color w:val="auto"/>
          <w:sz w:val="24"/>
          <w:lang w:eastAsia="zh-CN"/>
        </w:rPr>
        <w:t>（</w:t>
      </w:r>
      <w:r>
        <w:rPr>
          <w:rFonts w:hint="eastAsia"/>
          <w:color w:val="auto"/>
          <w:sz w:val="24"/>
          <w:lang w:val="en-US" w:eastAsia="zh-CN"/>
        </w:rPr>
        <w:t>东、西、北侧</w:t>
      </w:r>
      <w:r>
        <w:rPr>
          <w:rFonts w:hint="eastAsia"/>
          <w:color w:val="auto"/>
          <w:sz w:val="24"/>
          <w:lang w:eastAsia="zh-CN"/>
        </w:rPr>
        <w:t>）</w:t>
      </w:r>
      <w:r>
        <w:rPr>
          <w:rFonts w:hint="eastAsia"/>
          <w:color w:val="auto"/>
          <w:sz w:val="24"/>
          <w:lang w:val="en-US" w:eastAsia="zh-CN"/>
        </w:rPr>
        <w:t>及周边敏感点</w:t>
      </w:r>
      <w:r>
        <w:rPr>
          <w:color w:val="auto"/>
          <w:sz w:val="24"/>
        </w:rPr>
        <w:t>噪声执行2类排放限值。具体标准值见表2.2-1</w:t>
      </w:r>
      <w:r>
        <w:rPr>
          <w:rFonts w:hint="eastAsia"/>
          <w:color w:val="auto"/>
          <w:sz w:val="24"/>
          <w:lang w:val="en-US" w:eastAsia="zh-CN"/>
        </w:rPr>
        <w:t>5</w:t>
      </w:r>
      <w:r>
        <w:rPr>
          <w:color w:val="auto"/>
          <w:sz w:val="24"/>
        </w:rPr>
        <w:t>。</w:t>
      </w:r>
    </w:p>
    <w:p w14:paraId="5CD7D95C">
      <w:pPr>
        <w:spacing w:line="400" w:lineRule="exact"/>
        <w:jc w:val="center"/>
        <w:rPr>
          <w:rFonts w:hint="eastAsia" w:eastAsia="黑体"/>
          <w:b/>
          <w:color w:val="auto"/>
          <w:sz w:val="24"/>
        </w:rPr>
      </w:pPr>
      <w:r>
        <w:rPr>
          <w:rFonts w:eastAsia="黑体"/>
          <w:color w:val="auto"/>
          <w:sz w:val="24"/>
        </w:rPr>
        <w:t>表2.2-1</w:t>
      </w:r>
      <w:r>
        <w:rPr>
          <w:rFonts w:hint="eastAsia" w:eastAsia="黑体"/>
          <w:color w:val="auto"/>
          <w:sz w:val="24"/>
          <w:lang w:val="en-US" w:eastAsia="zh-CN"/>
        </w:rPr>
        <w:t>5</w:t>
      </w:r>
      <w:r>
        <w:rPr>
          <w:rFonts w:eastAsia="黑体"/>
          <w:color w:val="auto"/>
          <w:sz w:val="24"/>
        </w:rPr>
        <w:t xml:space="preserve">  </w:t>
      </w:r>
      <w:r>
        <w:rPr>
          <w:rFonts w:hint="eastAsia" w:eastAsia="黑体"/>
          <w:color w:val="auto"/>
          <w:sz w:val="24"/>
        </w:rPr>
        <w:t>项目</w:t>
      </w:r>
      <w:r>
        <w:rPr>
          <w:rFonts w:eastAsia="黑体"/>
          <w:color w:val="auto"/>
          <w:sz w:val="24"/>
        </w:rPr>
        <w:t>噪声排放标准值表</w:t>
      </w:r>
      <w:r>
        <w:rPr>
          <w:rFonts w:hint="eastAsia" w:eastAsia="黑体"/>
          <w:color w:val="auto"/>
          <w:sz w:val="24"/>
        </w:rPr>
        <w:t xml:space="preserve"> </w:t>
      </w:r>
      <w:r>
        <w:rPr>
          <w:rFonts w:eastAsia="黑体"/>
          <w:color w:val="auto"/>
          <w:sz w:val="24"/>
        </w:rPr>
        <w:t xml:space="preserve"> 单位：</w:t>
      </w:r>
      <w:r>
        <w:rPr>
          <w:color w:val="auto"/>
          <w:sz w:val="24"/>
        </w:rPr>
        <w:t>dB(A)</w:t>
      </w:r>
    </w:p>
    <w:tbl>
      <w:tblPr>
        <w:tblStyle w:val="53"/>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45"/>
        <w:gridCol w:w="1129"/>
        <w:gridCol w:w="1654"/>
        <w:gridCol w:w="1843"/>
        <w:gridCol w:w="3133"/>
      </w:tblGrid>
      <w:tr w14:paraId="78BEE48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474" w:type="dxa"/>
            <w:gridSpan w:val="2"/>
            <w:tcBorders>
              <w:top w:val="single" w:color="auto" w:sz="12" w:space="0"/>
              <w:tl2br w:val="single" w:color="auto" w:sz="4" w:space="0"/>
            </w:tcBorders>
            <w:noWrap w:val="0"/>
            <w:tcMar>
              <w:left w:w="17" w:type="dxa"/>
              <w:right w:w="17" w:type="dxa"/>
            </w:tcMar>
            <w:vAlign w:val="center"/>
          </w:tcPr>
          <w:p w14:paraId="5A5DB795">
            <w:pPr>
              <w:keepNext w:val="0"/>
              <w:keepLines w:val="0"/>
              <w:suppressLineNumbers w:val="0"/>
              <w:snapToGrid w:val="0"/>
              <w:spacing w:before="0" w:beforeAutospacing="0" w:after="0" w:afterAutospacing="0"/>
              <w:ind w:left="0" w:right="0"/>
              <w:jc w:val="right"/>
              <w:rPr>
                <w:rFonts w:hint="default" w:ascii="Times New Roman" w:hAnsi="Times New Roman" w:cs="Times New Roman"/>
                <w:b/>
                <w:color w:val="auto"/>
              </w:rPr>
            </w:pPr>
            <w:r>
              <w:rPr>
                <w:rFonts w:hint="default" w:ascii="Times New Roman" w:hAnsi="Times New Roman" w:cs="Times New Roman"/>
                <w:b/>
                <w:color w:val="auto"/>
              </w:rPr>
              <w:t>项目</w:t>
            </w:r>
          </w:p>
          <w:p w14:paraId="698AC890">
            <w:pPr>
              <w:keepNext w:val="0"/>
              <w:keepLines w:val="0"/>
              <w:suppressLineNumbers w:val="0"/>
              <w:spacing w:before="0" w:beforeAutospacing="0" w:after="0" w:afterAutospacing="0"/>
              <w:ind w:left="0" w:right="0"/>
              <w:jc w:val="left"/>
              <w:rPr>
                <w:rFonts w:hint="default" w:ascii="Times New Roman" w:hAnsi="Times New Roman" w:cs="Times New Roman"/>
                <w:b/>
                <w:color w:val="auto"/>
              </w:rPr>
            </w:pPr>
            <w:r>
              <w:rPr>
                <w:rFonts w:hint="default" w:ascii="Times New Roman" w:hAnsi="Times New Roman" w:cs="Times New Roman"/>
                <w:b/>
                <w:color w:val="auto"/>
              </w:rPr>
              <w:t>时段</w:t>
            </w:r>
          </w:p>
        </w:tc>
        <w:tc>
          <w:tcPr>
            <w:tcW w:w="1654" w:type="dxa"/>
            <w:tcBorders>
              <w:top w:val="single" w:color="auto" w:sz="12" w:space="0"/>
            </w:tcBorders>
            <w:noWrap w:val="0"/>
            <w:tcMar>
              <w:left w:w="17" w:type="dxa"/>
              <w:right w:w="17" w:type="dxa"/>
            </w:tcMar>
            <w:vAlign w:val="center"/>
          </w:tcPr>
          <w:p w14:paraId="46EEC0C3">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昼间</w:t>
            </w:r>
          </w:p>
        </w:tc>
        <w:tc>
          <w:tcPr>
            <w:tcW w:w="1843" w:type="dxa"/>
            <w:tcBorders>
              <w:top w:val="single" w:color="auto" w:sz="12" w:space="0"/>
            </w:tcBorders>
            <w:noWrap w:val="0"/>
            <w:tcMar>
              <w:left w:w="17" w:type="dxa"/>
              <w:right w:w="17" w:type="dxa"/>
            </w:tcMar>
            <w:vAlign w:val="center"/>
          </w:tcPr>
          <w:p w14:paraId="715D04B2">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夜间</w:t>
            </w:r>
          </w:p>
        </w:tc>
        <w:tc>
          <w:tcPr>
            <w:tcW w:w="3133" w:type="dxa"/>
            <w:tcBorders>
              <w:top w:val="single" w:color="auto" w:sz="12" w:space="0"/>
            </w:tcBorders>
            <w:noWrap w:val="0"/>
            <w:tcMar>
              <w:left w:w="17" w:type="dxa"/>
              <w:right w:w="17" w:type="dxa"/>
            </w:tcMar>
            <w:vAlign w:val="center"/>
          </w:tcPr>
          <w:p w14:paraId="0164C89D">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标准来源</w:t>
            </w:r>
          </w:p>
        </w:tc>
      </w:tr>
      <w:tr w14:paraId="6CF85E3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5" w:type="dxa"/>
            <w:vMerge w:val="restart"/>
            <w:noWrap w:val="0"/>
            <w:tcMar>
              <w:left w:w="17" w:type="dxa"/>
              <w:right w:w="17" w:type="dxa"/>
            </w:tcMar>
            <w:vAlign w:val="center"/>
          </w:tcPr>
          <w:p w14:paraId="79FE658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运营期</w:t>
            </w:r>
          </w:p>
        </w:tc>
        <w:tc>
          <w:tcPr>
            <w:tcW w:w="1129" w:type="dxa"/>
            <w:noWrap w:val="0"/>
            <w:tcMar>
              <w:left w:w="17" w:type="dxa"/>
              <w:right w:w="17" w:type="dxa"/>
            </w:tcMar>
            <w:vAlign w:val="center"/>
          </w:tcPr>
          <w:p w14:paraId="0E7434F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2类</w:t>
            </w:r>
          </w:p>
        </w:tc>
        <w:tc>
          <w:tcPr>
            <w:tcW w:w="1654" w:type="dxa"/>
            <w:noWrap w:val="0"/>
            <w:tcMar>
              <w:left w:w="17" w:type="dxa"/>
              <w:right w:w="17" w:type="dxa"/>
            </w:tcMar>
            <w:vAlign w:val="center"/>
          </w:tcPr>
          <w:p w14:paraId="7271CFC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60</w:t>
            </w:r>
          </w:p>
        </w:tc>
        <w:tc>
          <w:tcPr>
            <w:tcW w:w="1843" w:type="dxa"/>
            <w:noWrap w:val="0"/>
            <w:tcMar>
              <w:left w:w="17" w:type="dxa"/>
              <w:right w:w="17" w:type="dxa"/>
            </w:tcMar>
            <w:vAlign w:val="center"/>
          </w:tcPr>
          <w:p w14:paraId="319C2C1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50</w:t>
            </w:r>
          </w:p>
        </w:tc>
        <w:tc>
          <w:tcPr>
            <w:tcW w:w="3133" w:type="dxa"/>
            <w:vMerge w:val="restart"/>
            <w:noWrap w:val="0"/>
            <w:tcMar>
              <w:left w:w="17" w:type="dxa"/>
              <w:right w:w="17" w:type="dxa"/>
            </w:tcMar>
            <w:vAlign w:val="center"/>
          </w:tcPr>
          <w:p w14:paraId="2176A2E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《工业企业厂界环境噪声排放标准》（GB12348-2008）</w:t>
            </w:r>
          </w:p>
        </w:tc>
      </w:tr>
      <w:tr w14:paraId="5284B92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5" w:type="dxa"/>
            <w:vMerge w:val="continue"/>
            <w:tcBorders>
              <w:bottom w:val="single" w:color="auto" w:sz="12" w:space="0"/>
            </w:tcBorders>
            <w:noWrap w:val="0"/>
            <w:tcMar>
              <w:left w:w="17" w:type="dxa"/>
              <w:right w:w="17" w:type="dxa"/>
            </w:tcMar>
            <w:vAlign w:val="center"/>
          </w:tcPr>
          <w:p w14:paraId="15B82DC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9" w:type="dxa"/>
            <w:tcBorders>
              <w:bottom w:val="single" w:color="auto" w:sz="12" w:space="0"/>
            </w:tcBorders>
            <w:noWrap w:val="0"/>
            <w:tcMar>
              <w:left w:w="17" w:type="dxa"/>
              <w:right w:w="17" w:type="dxa"/>
            </w:tcMar>
            <w:vAlign w:val="center"/>
          </w:tcPr>
          <w:p w14:paraId="35A82B5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4类</w:t>
            </w:r>
          </w:p>
        </w:tc>
        <w:tc>
          <w:tcPr>
            <w:tcW w:w="1654" w:type="dxa"/>
            <w:tcBorders>
              <w:bottom w:val="single" w:color="auto" w:sz="12" w:space="0"/>
            </w:tcBorders>
            <w:noWrap w:val="0"/>
            <w:tcMar>
              <w:left w:w="17" w:type="dxa"/>
              <w:right w:w="17" w:type="dxa"/>
            </w:tcMar>
            <w:vAlign w:val="center"/>
          </w:tcPr>
          <w:p w14:paraId="11758B7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70</w:t>
            </w:r>
          </w:p>
        </w:tc>
        <w:tc>
          <w:tcPr>
            <w:tcW w:w="1843" w:type="dxa"/>
            <w:tcBorders>
              <w:bottom w:val="single" w:color="auto" w:sz="12" w:space="0"/>
            </w:tcBorders>
            <w:noWrap w:val="0"/>
            <w:tcMar>
              <w:left w:w="17" w:type="dxa"/>
              <w:right w:w="17" w:type="dxa"/>
            </w:tcMar>
            <w:vAlign w:val="center"/>
          </w:tcPr>
          <w:p w14:paraId="171282B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55</w:t>
            </w:r>
          </w:p>
        </w:tc>
        <w:tc>
          <w:tcPr>
            <w:tcW w:w="3133" w:type="dxa"/>
            <w:vMerge w:val="continue"/>
            <w:tcBorders>
              <w:bottom w:val="single" w:color="auto" w:sz="12" w:space="0"/>
            </w:tcBorders>
            <w:noWrap w:val="0"/>
            <w:tcMar>
              <w:left w:w="17" w:type="dxa"/>
              <w:right w:w="17" w:type="dxa"/>
            </w:tcMar>
            <w:vAlign w:val="center"/>
          </w:tcPr>
          <w:p w14:paraId="5D09A30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bl>
    <w:p w14:paraId="032A9EC3">
      <w:pPr>
        <w:spacing w:line="360" w:lineRule="auto"/>
        <w:ind w:firstLine="480" w:firstLineChars="200"/>
        <w:rPr>
          <w:color w:val="auto"/>
          <w:sz w:val="24"/>
        </w:rPr>
      </w:pPr>
      <w:r>
        <w:rPr>
          <w:color w:val="auto"/>
          <w:sz w:val="24"/>
        </w:rPr>
        <w:t>（4）固体废物</w:t>
      </w:r>
    </w:p>
    <w:p w14:paraId="41860999">
      <w:pPr>
        <w:spacing w:line="360" w:lineRule="auto"/>
        <w:ind w:firstLine="480" w:firstLineChars="200"/>
        <w:rPr>
          <w:color w:val="auto"/>
          <w:sz w:val="24"/>
        </w:rPr>
      </w:pPr>
      <w:r>
        <w:rPr>
          <w:rFonts w:hint="eastAsia" w:ascii="Times New Roman" w:hAnsi="Times New Roman" w:eastAsia="宋体" w:cs="Times New Roman"/>
          <w:color w:val="auto"/>
          <w:sz w:val="24"/>
          <w:lang w:val="en-US" w:eastAsia="zh-CN"/>
        </w:rPr>
        <w:t>施工期及运营期</w:t>
      </w:r>
      <w:r>
        <w:rPr>
          <w:rFonts w:ascii="Times New Roman" w:hAnsi="Times New Roman" w:eastAsia="宋体" w:cs="Times New Roman"/>
          <w:color w:val="auto"/>
          <w:sz w:val="24"/>
        </w:rPr>
        <w:t>一般</w:t>
      </w:r>
      <w:r>
        <w:rPr>
          <w:rFonts w:hint="eastAsia" w:cs="Times New Roman"/>
          <w:color w:val="auto"/>
          <w:sz w:val="24"/>
          <w:lang w:val="en-US" w:eastAsia="zh-CN"/>
        </w:rPr>
        <w:t>工业</w:t>
      </w:r>
      <w:r>
        <w:rPr>
          <w:rFonts w:ascii="Times New Roman" w:hAnsi="Times New Roman" w:eastAsia="宋体" w:cs="Times New Roman"/>
          <w:color w:val="auto"/>
          <w:sz w:val="24"/>
        </w:rPr>
        <w:t>固废参照执行《一般工业固体废物贮存</w:t>
      </w:r>
      <w:r>
        <w:rPr>
          <w:rFonts w:hint="eastAsia" w:ascii="Times New Roman" w:hAnsi="Times New Roman" w:eastAsia="宋体" w:cs="Times New Roman"/>
          <w:color w:val="auto"/>
          <w:sz w:val="24"/>
        </w:rPr>
        <w:t>和</w:t>
      </w:r>
      <w:r>
        <w:rPr>
          <w:rFonts w:ascii="Times New Roman" w:hAnsi="Times New Roman" w:eastAsia="宋体" w:cs="Times New Roman"/>
          <w:color w:val="auto"/>
          <w:sz w:val="24"/>
        </w:rPr>
        <w:t>填埋污染控制标准》</w:t>
      </w:r>
      <w:r>
        <w:rPr>
          <w:rFonts w:hint="eastAsia" w:cs="Times New Roman"/>
          <w:color w:val="auto"/>
          <w:sz w:val="24"/>
          <w:lang w:eastAsia="zh-CN"/>
        </w:rPr>
        <w:t>（</w:t>
      </w:r>
      <w:r>
        <w:rPr>
          <w:rFonts w:ascii="Times New Roman" w:hAnsi="Times New Roman" w:eastAsia="宋体" w:cs="Times New Roman"/>
          <w:color w:val="auto"/>
          <w:sz w:val="24"/>
        </w:rPr>
        <w:t>GB18599-2020)的有关规</w:t>
      </w:r>
      <w:r>
        <w:rPr>
          <w:color w:val="auto"/>
          <w:sz w:val="24"/>
        </w:rPr>
        <w:t>定，危险废物贮存执行《危险废物贮存污染控制标准》（</w:t>
      </w:r>
      <w:r>
        <w:rPr>
          <w:rFonts w:hint="eastAsia"/>
          <w:color w:val="auto"/>
          <w:sz w:val="24"/>
        </w:rPr>
        <w:t>GB18597-2023</w:t>
      </w:r>
      <w:r>
        <w:rPr>
          <w:color w:val="auto"/>
          <w:sz w:val="24"/>
        </w:rPr>
        <w:t>）的</w:t>
      </w:r>
      <w:r>
        <w:rPr>
          <w:rFonts w:hint="eastAsia"/>
          <w:color w:val="auto"/>
          <w:sz w:val="24"/>
          <w:lang w:eastAsia="zh-CN"/>
        </w:rPr>
        <w:t>规定</w:t>
      </w:r>
      <w:r>
        <w:rPr>
          <w:color w:val="auto"/>
          <w:sz w:val="24"/>
        </w:rPr>
        <w:t>。</w:t>
      </w:r>
    </w:p>
    <w:p w14:paraId="45DF423A">
      <w:pPr>
        <w:pStyle w:val="3"/>
        <w:numPr>
          <w:ilvl w:val="0"/>
          <w:numId w:val="0"/>
        </w:numPr>
        <w:rPr>
          <w:color w:val="auto"/>
        </w:rPr>
      </w:pPr>
      <w:bookmarkStart w:id="54" w:name="_Toc11394"/>
      <w:bookmarkStart w:id="55" w:name="_Toc328725437"/>
      <w:bookmarkStart w:id="56" w:name="_Toc419403870"/>
      <w:bookmarkStart w:id="57" w:name="_Toc320532719"/>
      <w:bookmarkStart w:id="58" w:name="_Toc222733446"/>
      <w:bookmarkStart w:id="59" w:name="_Toc227002307"/>
      <w:bookmarkStart w:id="60" w:name="_Toc457678955"/>
      <w:bookmarkStart w:id="61" w:name="_Toc288268421"/>
      <w:bookmarkStart w:id="62" w:name="_Toc365749866"/>
      <w:r>
        <w:rPr>
          <w:rFonts w:hint="eastAsia"/>
          <w:color w:val="auto"/>
        </w:rPr>
        <w:t>2.3</w:t>
      </w:r>
      <w:r>
        <w:rPr>
          <w:color w:val="auto"/>
        </w:rPr>
        <w:t>评价等级</w:t>
      </w:r>
      <w:bookmarkEnd w:id="54"/>
      <w:bookmarkEnd w:id="55"/>
      <w:bookmarkEnd w:id="56"/>
      <w:bookmarkEnd w:id="57"/>
      <w:bookmarkEnd w:id="58"/>
      <w:bookmarkEnd w:id="59"/>
      <w:bookmarkEnd w:id="60"/>
      <w:bookmarkEnd w:id="61"/>
      <w:bookmarkEnd w:id="62"/>
    </w:p>
    <w:p w14:paraId="7A3B3978">
      <w:pPr>
        <w:pStyle w:val="4"/>
        <w:numPr>
          <w:ilvl w:val="0"/>
          <w:numId w:val="0"/>
        </w:numPr>
        <w:rPr>
          <w:color w:val="auto"/>
        </w:rPr>
      </w:pPr>
      <w:bookmarkStart w:id="63" w:name="_Toc212195564"/>
      <w:bookmarkStart w:id="64" w:name="_Toc227002309"/>
      <w:bookmarkStart w:id="65" w:name="_Toc222733448"/>
      <w:r>
        <w:rPr>
          <w:rFonts w:hint="eastAsia"/>
          <w:color w:val="auto"/>
        </w:rPr>
        <w:t>2.3.1</w:t>
      </w:r>
      <w:r>
        <w:rPr>
          <w:color w:val="auto"/>
        </w:rPr>
        <w:t>地表水环境评价等级</w:t>
      </w:r>
    </w:p>
    <w:p w14:paraId="79FF2568">
      <w:pPr>
        <w:pStyle w:val="5"/>
        <w:numPr>
          <w:ilvl w:val="0"/>
          <w:numId w:val="0"/>
        </w:numPr>
        <w:rPr>
          <w:color w:val="auto"/>
        </w:rPr>
      </w:pPr>
      <w:r>
        <w:rPr>
          <w:rFonts w:hint="eastAsia"/>
          <w:color w:val="auto"/>
        </w:rPr>
        <w:t>2.3.1.1</w:t>
      </w:r>
      <w:r>
        <w:rPr>
          <w:color w:val="auto"/>
        </w:rPr>
        <w:t>水污染影响型</w:t>
      </w:r>
    </w:p>
    <w:p w14:paraId="7D5530FF">
      <w:pPr>
        <w:spacing w:line="360" w:lineRule="auto"/>
        <w:ind w:firstLine="480" w:firstLineChars="200"/>
        <w:rPr>
          <w:color w:val="auto"/>
          <w:sz w:val="24"/>
        </w:rPr>
      </w:pPr>
      <w:r>
        <w:rPr>
          <w:color w:val="auto"/>
          <w:sz w:val="24"/>
        </w:rPr>
        <w:t>本项目废水主要包括员工生活污水、初期雨水、码头地面冲洗废水、机械车辆冲洗废水、船舶生活污水和船舶含油污水</w:t>
      </w:r>
      <w:r>
        <w:rPr>
          <w:rFonts w:hint="eastAsia"/>
          <w:color w:val="auto"/>
          <w:sz w:val="24"/>
        </w:rPr>
        <w:t>。</w:t>
      </w:r>
    </w:p>
    <w:p w14:paraId="20C55AE3">
      <w:pPr>
        <w:pStyle w:val="288"/>
        <w:spacing w:line="360" w:lineRule="auto"/>
        <w:ind w:firstLine="480"/>
        <w:rPr>
          <w:rFonts w:hint="eastAsia"/>
          <w:color w:val="auto"/>
          <w:lang w:eastAsia="zh-CN"/>
        </w:rPr>
      </w:pPr>
      <w:r>
        <w:rPr>
          <w:rFonts w:hint="eastAsia"/>
          <w:color w:val="auto"/>
          <w:lang w:eastAsia="zh-CN"/>
        </w:rPr>
        <w:t>运输船舶产生的生活污水经隔油沉淀池预处理后，进入一体化污水处理设施处理后，回用于道路喷洒、机械车辆冲洗、绿化及码头地面冲洗，不外排；本项目到港船舶含油污水经隔油沉淀池预处理后，进入一体化污水处理设施处理，经处理后回用于道路喷洒、机械车辆冲洗、绿化及码头地面冲洗，不外排；初期雨水</w:t>
      </w:r>
      <w:r>
        <w:rPr>
          <w:rFonts w:hint="eastAsia"/>
          <w:color w:val="auto"/>
          <w:lang w:val="en-US" w:eastAsia="zh-CN"/>
        </w:rPr>
        <w:t>经</w:t>
      </w:r>
      <w:r>
        <w:rPr>
          <w:rFonts w:hint="eastAsia"/>
          <w:color w:val="auto"/>
          <w:lang w:eastAsia="zh-CN"/>
        </w:rPr>
        <w:t>隔油沉淀池预处理后进入一体化污水处理设备处理，作为码头地面冲洗用水、道路喷洒用水、机械车辆冲洗用水（</w:t>
      </w:r>
      <w:r>
        <w:rPr>
          <w:rFonts w:hint="eastAsia"/>
          <w:color w:val="auto"/>
          <w:lang w:val="en-US" w:eastAsia="zh-CN"/>
        </w:rPr>
        <w:t>流动机械及车辆冲洗废水</w:t>
      </w:r>
      <w:r>
        <w:rPr>
          <w:rFonts w:hint="eastAsia"/>
          <w:color w:val="auto"/>
          <w:lang w:eastAsia="zh-CN"/>
        </w:rPr>
        <w:t>）及绿化用水；冲洗废水</w:t>
      </w:r>
      <w:r>
        <w:rPr>
          <w:rFonts w:hint="eastAsia"/>
          <w:color w:val="auto"/>
          <w:lang w:val="en-US" w:eastAsia="zh-CN"/>
        </w:rPr>
        <w:t>经</w:t>
      </w:r>
      <w:r>
        <w:rPr>
          <w:rFonts w:hint="eastAsia"/>
          <w:color w:val="auto"/>
          <w:lang w:eastAsia="zh-CN"/>
        </w:rPr>
        <w:t>隔油沉淀池预处理后进入一体化污水处理设备处理，处理后废水全部回用于码头地面冲洗、道路喷洒、机械车辆冲洗及绿化，不外排。</w:t>
      </w:r>
    </w:p>
    <w:p w14:paraId="0BB804E9">
      <w:pPr>
        <w:spacing w:line="360" w:lineRule="auto"/>
        <w:ind w:firstLine="480" w:firstLineChars="200"/>
        <w:rPr>
          <w:color w:val="auto"/>
          <w:sz w:val="24"/>
          <w:szCs w:val="24"/>
        </w:rPr>
      </w:pPr>
      <w:r>
        <w:rPr>
          <w:color w:val="auto"/>
          <w:sz w:val="24"/>
          <w:szCs w:val="24"/>
        </w:rPr>
        <w:t>根据《环境影响评价技术导则 地表水环境》（</w:t>
      </w:r>
      <w:r>
        <w:rPr>
          <w:rFonts w:hint="eastAsia"/>
          <w:color w:val="auto"/>
          <w:sz w:val="24"/>
          <w:szCs w:val="24"/>
          <w:lang w:eastAsia="zh-CN"/>
        </w:rPr>
        <w:t>HJ 2</w:t>
      </w:r>
      <w:r>
        <w:rPr>
          <w:color w:val="auto"/>
          <w:sz w:val="24"/>
          <w:szCs w:val="24"/>
        </w:rPr>
        <w:t>.3-2018</w:t>
      </w:r>
      <w:r>
        <w:rPr>
          <w:rFonts w:hint="eastAsia"/>
          <w:color w:val="auto"/>
          <w:sz w:val="24"/>
          <w:szCs w:val="24"/>
          <w:lang w:eastAsia="zh-CN"/>
        </w:rPr>
        <w:t>）</w:t>
      </w:r>
      <w:r>
        <w:rPr>
          <w:color w:val="auto"/>
          <w:sz w:val="24"/>
          <w:szCs w:val="24"/>
        </w:rPr>
        <w:t>，本项目属于间接排放，确定地表水环境影响评价工作等级为三级B。具体见表2.3-</w:t>
      </w:r>
      <w:r>
        <w:rPr>
          <w:rFonts w:hint="eastAsia"/>
          <w:color w:val="auto"/>
          <w:sz w:val="24"/>
          <w:szCs w:val="24"/>
        </w:rPr>
        <w:t>1</w:t>
      </w:r>
      <w:r>
        <w:rPr>
          <w:color w:val="auto"/>
          <w:sz w:val="24"/>
          <w:szCs w:val="24"/>
        </w:rPr>
        <w:t>。</w:t>
      </w:r>
    </w:p>
    <w:p w14:paraId="4AA53D0D">
      <w:pPr>
        <w:widowControl/>
        <w:tabs>
          <w:tab w:val="left" w:pos="360"/>
        </w:tabs>
        <w:adjustRightInd w:val="0"/>
        <w:snapToGrid w:val="0"/>
        <w:jc w:val="center"/>
        <w:rPr>
          <w:rFonts w:eastAsia="黑体"/>
          <w:color w:val="auto"/>
          <w:sz w:val="24"/>
        </w:rPr>
      </w:pPr>
      <w:r>
        <w:rPr>
          <w:rFonts w:eastAsia="黑体"/>
          <w:color w:val="auto"/>
          <w:sz w:val="24"/>
        </w:rPr>
        <w:t>表2.3-</w:t>
      </w:r>
      <w:r>
        <w:rPr>
          <w:rFonts w:hint="eastAsia" w:eastAsia="黑体"/>
          <w:color w:val="auto"/>
          <w:sz w:val="24"/>
        </w:rPr>
        <w:t>1</w:t>
      </w:r>
      <w:r>
        <w:rPr>
          <w:rFonts w:eastAsia="黑体"/>
          <w:color w:val="auto"/>
          <w:sz w:val="24"/>
        </w:rPr>
        <w:t xml:space="preserve">  地表水评价工作等级判定</w:t>
      </w:r>
    </w:p>
    <w:tbl>
      <w:tblPr>
        <w:tblStyle w:val="53"/>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Layout w:type="fixed"/>
        <w:tblCellMar>
          <w:top w:w="0" w:type="dxa"/>
          <w:left w:w="108" w:type="dxa"/>
          <w:bottom w:w="0" w:type="dxa"/>
          <w:right w:w="108" w:type="dxa"/>
        </w:tblCellMar>
      </w:tblPr>
      <w:tblGrid>
        <w:gridCol w:w="1593"/>
        <w:gridCol w:w="1776"/>
        <w:gridCol w:w="5917"/>
      </w:tblGrid>
      <w:tr w14:paraId="35D909FF">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108" w:type="dxa"/>
            <w:bottom w:w="0" w:type="dxa"/>
            <w:right w:w="108" w:type="dxa"/>
          </w:tblCellMar>
        </w:tblPrEx>
        <w:trPr>
          <w:cantSplit/>
          <w:trHeight w:val="369" w:hRule="atLeast"/>
          <w:jc w:val="center"/>
        </w:trPr>
        <w:tc>
          <w:tcPr>
            <w:tcW w:w="1593" w:type="dxa"/>
            <w:vMerge w:val="restart"/>
            <w:noWrap w:val="0"/>
            <w:vAlign w:val="center"/>
          </w:tcPr>
          <w:p w14:paraId="64281479">
            <w:pPr>
              <w:keepNext w:val="0"/>
              <w:keepLines w:val="0"/>
              <w:widowControl/>
              <w:suppressLineNumbers w:val="0"/>
              <w:adjustRightInd w:val="0"/>
              <w:snapToGrid w:val="0"/>
              <w:spacing w:before="0" w:beforeAutospacing="0" w:after="0" w:afterAutospacing="0" w:line="300" w:lineRule="exact"/>
              <w:ind w:left="0" w:right="0"/>
              <w:jc w:val="center"/>
              <w:textAlignment w:val="baseline"/>
              <w:rPr>
                <w:rFonts w:hint="default" w:ascii="Times New Roman" w:hAnsi="Times New Roman" w:cs="Times New Roman"/>
                <w:b/>
                <w:color w:val="auto"/>
              </w:rPr>
            </w:pPr>
            <w:r>
              <w:rPr>
                <w:rFonts w:hint="default" w:ascii="Times New Roman" w:hAnsi="Times New Roman" w:cs="Times New Roman"/>
                <w:b/>
                <w:color w:val="auto"/>
              </w:rPr>
              <w:t>评价等级</w:t>
            </w:r>
          </w:p>
        </w:tc>
        <w:tc>
          <w:tcPr>
            <w:tcW w:w="7693" w:type="dxa"/>
            <w:gridSpan w:val="2"/>
            <w:noWrap w:val="0"/>
            <w:vAlign w:val="center"/>
          </w:tcPr>
          <w:p w14:paraId="1B65DA45">
            <w:pPr>
              <w:keepNext w:val="0"/>
              <w:keepLines w:val="0"/>
              <w:widowControl/>
              <w:suppressLineNumbers w:val="0"/>
              <w:adjustRightInd w:val="0"/>
              <w:snapToGrid w:val="0"/>
              <w:spacing w:before="0" w:beforeAutospacing="0" w:after="0" w:afterAutospacing="0" w:line="300" w:lineRule="exact"/>
              <w:ind w:left="0" w:right="0"/>
              <w:jc w:val="center"/>
              <w:textAlignment w:val="baseline"/>
              <w:rPr>
                <w:rFonts w:hint="default" w:ascii="Times New Roman" w:hAnsi="Times New Roman" w:cs="Times New Roman"/>
                <w:b/>
                <w:color w:val="auto"/>
              </w:rPr>
            </w:pPr>
            <w:r>
              <w:rPr>
                <w:rFonts w:hint="default" w:ascii="Times New Roman" w:hAnsi="Times New Roman" w:cs="Times New Roman"/>
                <w:b/>
                <w:color w:val="auto"/>
              </w:rPr>
              <w:t>判定依据</w:t>
            </w:r>
          </w:p>
        </w:tc>
      </w:tr>
      <w:tr w14:paraId="0FFF04D6">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108" w:type="dxa"/>
            <w:bottom w:w="0" w:type="dxa"/>
            <w:right w:w="108" w:type="dxa"/>
          </w:tblCellMar>
        </w:tblPrEx>
        <w:trPr>
          <w:cantSplit/>
          <w:trHeight w:val="369" w:hRule="atLeast"/>
          <w:jc w:val="center"/>
        </w:trPr>
        <w:tc>
          <w:tcPr>
            <w:tcW w:w="1593" w:type="dxa"/>
            <w:vMerge w:val="continue"/>
            <w:noWrap w:val="0"/>
            <w:vAlign w:val="center"/>
          </w:tcPr>
          <w:p w14:paraId="5CDDBD3D">
            <w:pPr>
              <w:keepNext w:val="0"/>
              <w:keepLines w:val="0"/>
              <w:widowControl/>
              <w:suppressLineNumbers w:val="0"/>
              <w:spacing w:before="0" w:beforeAutospacing="0" w:after="0" w:afterAutospacing="0" w:line="300" w:lineRule="exact"/>
              <w:ind w:left="0" w:right="0"/>
              <w:jc w:val="left"/>
              <w:textAlignment w:val="baseline"/>
              <w:rPr>
                <w:rFonts w:hint="default" w:ascii="Times New Roman" w:hAnsi="Times New Roman" w:cs="Times New Roman"/>
                <w:b/>
                <w:color w:val="auto"/>
              </w:rPr>
            </w:pPr>
          </w:p>
        </w:tc>
        <w:tc>
          <w:tcPr>
            <w:tcW w:w="1776" w:type="dxa"/>
            <w:noWrap w:val="0"/>
            <w:vAlign w:val="center"/>
          </w:tcPr>
          <w:p w14:paraId="0A8B3C51">
            <w:pPr>
              <w:keepNext w:val="0"/>
              <w:keepLines w:val="0"/>
              <w:widowControl/>
              <w:suppressLineNumbers w:val="0"/>
              <w:adjustRightInd w:val="0"/>
              <w:snapToGrid w:val="0"/>
              <w:spacing w:before="0" w:beforeAutospacing="0" w:after="0" w:afterAutospacing="0" w:line="300" w:lineRule="exact"/>
              <w:ind w:left="0" w:right="0"/>
              <w:jc w:val="center"/>
              <w:textAlignment w:val="baseline"/>
              <w:rPr>
                <w:rFonts w:hint="default" w:ascii="Times New Roman" w:hAnsi="Times New Roman" w:cs="Times New Roman"/>
                <w:b/>
                <w:color w:val="auto"/>
              </w:rPr>
            </w:pPr>
            <w:r>
              <w:rPr>
                <w:rFonts w:hint="default" w:ascii="Times New Roman" w:hAnsi="Times New Roman" w:cs="Times New Roman"/>
                <w:b/>
                <w:color w:val="auto"/>
              </w:rPr>
              <w:t>排放方式</w:t>
            </w:r>
          </w:p>
        </w:tc>
        <w:tc>
          <w:tcPr>
            <w:tcW w:w="5917" w:type="dxa"/>
            <w:noWrap w:val="0"/>
            <w:vAlign w:val="center"/>
          </w:tcPr>
          <w:p w14:paraId="65B19364">
            <w:pPr>
              <w:keepNext w:val="0"/>
              <w:keepLines w:val="0"/>
              <w:widowControl/>
              <w:suppressLineNumbers w:val="0"/>
              <w:adjustRightInd w:val="0"/>
              <w:snapToGrid w:val="0"/>
              <w:spacing w:before="0" w:beforeAutospacing="0" w:after="0" w:afterAutospacing="0" w:line="300" w:lineRule="exact"/>
              <w:ind w:left="0" w:right="0"/>
              <w:jc w:val="center"/>
              <w:textAlignment w:val="baseline"/>
              <w:rPr>
                <w:rFonts w:hint="default" w:ascii="Times New Roman" w:hAnsi="Times New Roman" w:cs="Times New Roman"/>
                <w:b/>
                <w:color w:val="auto"/>
              </w:rPr>
            </w:pPr>
            <w:r>
              <w:rPr>
                <w:rFonts w:hint="default" w:ascii="Times New Roman" w:hAnsi="Times New Roman" w:cs="Times New Roman"/>
                <w:b/>
                <w:color w:val="auto"/>
              </w:rPr>
              <w:t>废水排放量Q/（m</w:t>
            </w:r>
            <w:r>
              <w:rPr>
                <w:rFonts w:hint="default" w:ascii="Times New Roman" w:hAnsi="Times New Roman" w:cs="Times New Roman"/>
                <w:b/>
                <w:color w:val="auto"/>
                <w:vertAlign w:val="superscript"/>
              </w:rPr>
              <w:t>3</w:t>
            </w:r>
            <w:r>
              <w:rPr>
                <w:rFonts w:hint="default" w:ascii="Times New Roman" w:hAnsi="Times New Roman" w:cs="Times New Roman"/>
                <w:b/>
                <w:color w:val="auto"/>
              </w:rPr>
              <w:t>/d）；水污染物当量属W/（无量纲）</w:t>
            </w:r>
          </w:p>
        </w:tc>
      </w:tr>
      <w:tr w14:paraId="27DF5E6D">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108" w:type="dxa"/>
            <w:bottom w:w="0" w:type="dxa"/>
            <w:right w:w="108" w:type="dxa"/>
          </w:tblCellMar>
        </w:tblPrEx>
        <w:trPr>
          <w:cantSplit/>
          <w:trHeight w:val="369" w:hRule="atLeast"/>
          <w:jc w:val="center"/>
        </w:trPr>
        <w:tc>
          <w:tcPr>
            <w:tcW w:w="1593" w:type="dxa"/>
            <w:noWrap w:val="0"/>
            <w:vAlign w:val="center"/>
          </w:tcPr>
          <w:p w14:paraId="376E1E09">
            <w:pPr>
              <w:keepNext w:val="0"/>
              <w:keepLines w:val="0"/>
              <w:widowControl/>
              <w:suppressLineNumbers w:val="0"/>
              <w:adjustRightInd w:val="0"/>
              <w:snapToGrid w:val="0"/>
              <w:spacing w:before="0" w:beforeAutospacing="0" w:after="0" w:afterAutospacing="0" w:line="300" w:lineRule="exact"/>
              <w:ind w:left="0" w:right="0"/>
              <w:jc w:val="center"/>
              <w:textAlignment w:val="baseline"/>
              <w:rPr>
                <w:rFonts w:hint="default" w:ascii="Times New Roman" w:hAnsi="Times New Roman" w:cs="Times New Roman"/>
                <w:bCs/>
                <w:color w:val="auto"/>
              </w:rPr>
            </w:pPr>
            <w:r>
              <w:rPr>
                <w:rFonts w:hint="default" w:ascii="Times New Roman" w:hAnsi="Times New Roman" w:cs="Times New Roman"/>
                <w:bCs/>
                <w:color w:val="auto"/>
              </w:rPr>
              <w:t>一级</w:t>
            </w:r>
          </w:p>
        </w:tc>
        <w:tc>
          <w:tcPr>
            <w:tcW w:w="1776" w:type="dxa"/>
            <w:noWrap w:val="0"/>
            <w:vAlign w:val="center"/>
          </w:tcPr>
          <w:p w14:paraId="2384E1C6">
            <w:pPr>
              <w:keepNext w:val="0"/>
              <w:keepLines w:val="0"/>
              <w:widowControl/>
              <w:suppressLineNumbers w:val="0"/>
              <w:adjustRightInd w:val="0"/>
              <w:snapToGrid w:val="0"/>
              <w:spacing w:before="0" w:beforeAutospacing="0" w:after="0" w:afterAutospacing="0" w:line="300" w:lineRule="exact"/>
              <w:ind w:left="0" w:right="0"/>
              <w:jc w:val="center"/>
              <w:textAlignment w:val="baseline"/>
              <w:rPr>
                <w:rFonts w:hint="default" w:ascii="Times New Roman" w:hAnsi="Times New Roman" w:cs="Times New Roman"/>
                <w:bCs/>
                <w:color w:val="auto"/>
              </w:rPr>
            </w:pPr>
            <w:r>
              <w:rPr>
                <w:rFonts w:hint="default" w:ascii="Times New Roman" w:hAnsi="Times New Roman" w:cs="Times New Roman"/>
                <w:bCs/>
                <w:color w:val="auto"/>
              </w:rPr>
              <w:t>直接排放</w:t>
            </w:r>
          </w:p>
        </w:tc>
        <w:tc>
          <w:tcPr>
            <w:tcW w:w="5917" w:type="dxa"/>
            <w:noWrap w:val="0"/>
            <w:vAlign w:val="center"/>
          </w:tcPr>
          <w:p w14:paraId="326528EA">
            <w:pPr>
              <w:keepNext w:val="0"/>
              <w:keepLines w:val="0"/>
              <w:widowControl/>
              <w:suppressLineNumbers w:val="0"/>
              <w:adjustRightInd w:val="0"/>
              <w:snapToGrid w:val="0"/>
              <w:spacing w:before="0" w:beforeAutospacing="0" w:after="0" w:afterAutospacing="0" w:line="300" w:lineRule="exact"/>
              <w:ind w:left="0" w:right="0"/>
              <w:jc w:val="center"/>
              <w:textAlignment w:val="baseline"/>
              <w:rPr>
                <w:rFonts w:hint="default" w:ascii="Times New Roman" w:hAnsi="Times New Roman" w:cs="Times New Roman"/>
                <w:bCs/>
                <w:color w:val="auto"/>
              </w:rPr>
            </w:pPr>
            <w:r>
              <w:rPr>
                <w:rFonts w:hint="default" w:ascii="Times New Roman" w:hAnsi="Times New Roman" w:cs="Times New Roman"/>
                <w:bCs/>
                <w:color w:val="auto"/>
              </w:rPr>
              <w:t>Q≥20000或W≥600000</w:t>
            </w:r>
          </w:p>
        </w:tc>
      </w:tr>
      <w:tr w14:paraId="6AD4A290">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108" w:type="dxa"/>
            <w:bottom w:w="0" w:type="dxa"/>
            <w:right w:w="108" w:type="dxa"/>
          </w:tblCellMar>
        </w:tblPrEx>
        <w:trPr>
          <w:cantSplit/>
          <w:trHeight w:val="369" w:hRule="atLeast"/>
          <w:jc w:val="center"/>
        </w:trPr>
        <w:tc>
          <w:tcPr>
            <w:tcW w:w="1593" w:type="dxa"/>
            <w:noWrap w:val="0"/>
            <w:vAlign w:val="center"/>
          </w:tcPr>
          <w:p w14:paraId="43A9A237">
            <w:pPr>
              <w:keepNext w:val="0"/>
              <w:keepLines w:val="0"/>
              <w:widowControl/>
              <w:suppressLineNumbers w:val="0"/>
              <w:adjustRightInd w:val="0"/>
              <w:snapToGrid w:val="0"/>
              <w:spacing w:before="0" w:beforeAutospacing="0" w:after="0" w:afterAutospacing="0" w:line="300" w:lineRule="exact"/>
              <w:ind w:left="0" w:right="0"/>
              <w:jc w:val="center"/>
              <w:textAlignment w:val="baseline"/>
              <w:rPr>
                <w:rFonts w:hint="default" w:ascii="Times New Roman" w:hAnsi="Times New Roman" w:cs="Times New Roman"/>
                <w:bCs/>
                <w:color w:val="auto"/>
              </w:rPr>
            </w:pPr>
            <w:r>
              <w:rPr>
                <w:rFonts w:hint="default" w:ascii="Times New Roman" w:hAnsi="Times New Roman" w:cs="Times New Roman"/>
                <w:bCs/>
                <w:color w:val="auto"/>
              </w:rPr>
              <w:t>二级</w:t>
            </w:r>
          </w:p>
        </w:tc>
        <w:tc>
          <w:tcPr>
            <w:tcW w:w="1776" w:type="dxa"/>
            <w:noWrap w:val="0"/>
            <w:vAlign w:val="center"/>
          </w:tcPr>
          <w:p w14:paraId="2B32019C">
            <w:pPr>
              <w:keepNext w:val="0"/>
              <w:keepLines w:val="0"/>
              <w:widowControl/>
              <w:suppressLineNumbers w:val="0"/>
              <w:adjustRightInd w:val="0"/>
              <w:snapToGrid w:val="0"/>
              <w:spacing w:before="0" w:beforeAutospacing="0" w:after="0" w:afterAutospacing="0" w:line="300" w:lineRule="exact"/>
              <w:ind w:left="0" w:right="0"/>
              <w:jc w:val="center"/>
              <w:textAlignment w:val="baseline"/>
              <w:rPr>
                <w:rFonts w:hint="default" w:ascii="Times New Roman" w:hAnsi="Times New Roman" w:cs="Times New Roman"/>
                <w:bCs/>
                <w:color w:val="auto"/>
              </w:rPr>
            </w:pPr>
            <w:r>
              <w:rPr>
                <w:rFonts w:hint="default" w:ascii="Times New Roman" w:hAnsi="Times New Roman" w:cs="Times New Roman"/>
                <w:bCs/>
                <w:color w:val="auto"/>
              </w:rPr>
              <w:t>直接排放</w:t>
            </w:r>
          </w:p>
        </w:tc>
        <w:tc>
          <w:tcPr>
            <w:tcW w:w="5917" w:type="dxa"/>
            <w:noWrap w:val="0"/>
            <w:vAlign w:val="center"/>
          </w:tcPr>
          <w:p w14:paraId="1D3AAA69">
            <w:pPr>
              <w:keepNext w:val="0"/>
              <w:keepLines w:val="0"/>
              <w:widowControl/>
              <w:suppressLineNumbers w:val="0"/>
              <w:adjustRightInd w:val="0"/>
              <w:snapToGrid w:val="0"/>
              <w:spacing w:before="0" w:beforeAutospacing="0" w:after="0" w:afterAutospacing="0" w:line="300" w:lineRule="exact"/>
              <w:ind w:left="0" w:right="0"/>
              <w:jc w:val="center"/>
              <w:textAlignment w:val="baseline"/>
              <w:rPr>
                <w:rFonts w:hint="default" w:ascii="Times New Roman" w:hAnsi="Times New Roman" w:cs="Times New Roman"/>
                <w:bCs/>
                <w:color w:val="auto"/>
              </w:rPr>
            </w:pPr>
            <w:r>
              <w:rPr>
                <w:rFonts w:hint="default" w:ascii="Times New Roman" w:hAnsi="Times New Roman" w:cs="Times New Roman"/>
                <w:bCs/>
                <w:color w:val="auto"/>
              </w:rPr>
              <w:t>其他</w:t>
            </w:r>
          </w:p>
        </w:tc>
      </w:tr>
      <w:tr w14:paraId="3EC288CC">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108" w:type="dxa"/>
            <w:bottom w:w="0" w:type="dxa"/>
            <w:right w:w="108" w:type="dxa"/>
          </w:tblCellMar>
        </w:tblPrEx>
        <w:trPr>
          <w:cantSplit/>
          <w:trHeight w:val="369" w:hRule="atLeast"/>
          <w:jc w:val="center"/>
        </w:trPr>
        <w:tc>
          <w:tcPr>
            <w:tcW w:w="1593" w:type="dxa"/>
            <w:noWrap w:val="0"/>
            <w:vAlign w:val="center"/>
          </w:tcPr>
          <w:p w14:paraId="5807D88C">
            <w:pPr>
              <w:keepNext w:val="0"/>
              <w:keepLines w:val="0"/>
              <w:widowControl/>
              <w:suppressLineNumbers w:val="0"/>
              <w:adjustRightInd w:val="0"/>
              <w:snapToGrid w:val="0"/>
              <w:spacing w:before="0" w:beforeAutospacing="0" w:after="0" w:afterAutospacing="0" w:line="300" w:lineRule="exact"/>
              <w:ind w:left="0" w:right="0"/>
              <w:jc w:val="center"/>
              <w:textAlignment w:val="baseline"/>
              <w:rPr>
                <w:rFonts w:hint="default" w:ascii="Times New Roman" w:hAnsi="Times New Roman" w:cs="Times New Roman"/>
                <w:bCs/>
                <w:color w:val="auto"/>
              </w:rPr>
            </w:pPr>
            <w:r>
              <w:rPr>
                <w:rFonts w:hint="default" w:ascii="Times New Roman" w:hAnsi="Times New Roman" w:cs="Times New Roman"/>
                <w:bCs/>
                <w:color w:val="auto"/>
              </w:rPr>
              <w:t>三级A</w:t>
            </w:r>
          </w:p>
        </w:tc>
        <w:tc>
          <w:tcPr>
            <w:tcW w:w="1776" w:type="dxa"/>
            <w:noWrap w:val="0"/>
            <w:vAlign w:val="center"/>
          </w:tcPr>
          <w:p w14:paraId="10F05ECE">
            <w:pPr>
              <w:keepNext w:val="0"/>
              <w:keepLines w:val="0"/>
              <w:widowControl/>
              <w:suppressLineNumbers w:val="0"/>
              <w:adjustRightInd w:val="0"/>
              <w:snapToGrid w:val="0"/>
              <w:spacing w:before="0" w:beforeAutospacing="0" w:after="0" w:afterAutospacing="0" w:line="300" w:lineRule="exact"/>
              <w:ind w:left="0" w:right="0"/>
              <w:jc w:val="center"/>
              <w:textAlignment w:val="baseline"/>
              <w:rPr>
                <w:rFonts w:hint="default" w:ascii="Times New Roman" w:hAnsi="Times New Roman" w:cs="Times New Roman"/>
                <w:bCs/>
                <w:color w:val="auto"/>
              </w:rPr>
            </w:pPr>
            <w:r>
              <w:rPr>
                <w:rFonts w:hint="default" w:ascii="Times New Roman" w:hAnsi="Times New Roman" w:cs="Times New Roman"/>
                <w:bCs/>
                <w:color w:val="auto"/>
              </w:rPr>
              <w:t>直接排放</w:t>
            </w:r>
          </w:p>
        </w:tc>
        <w:tc>
          <w:tcPr>
            <w:tcW w:w="5917" w:type="dxa"/>
            <w:noWrap w:val="0"/>
            <w:vAlign w:val="center"/>
          </w:tcPr>
          <w:p w14:paraId="3E0A1116">
            <w:pPr>
              <w:keepNext w:val="0"/>
              <w:keepLines w:val="0"/>
              <w:widowControl/>
              <w:suppressLineNumbers w:val="0"/>
              <w:adjustRightInd w:val="0"/>
              <w:snapToGrid w:val="0"/>
              <w:spacing w:before="0" w:beforeAutospacing="0" w:after="0" w:afterAutospacing="0" w:line="300" w:lineRule="exact"/>
              <w:ind w:left="0" w:right="0"/>
              <w:jc w:val="center"/>
              <w:textAlignment w:val="baseline"/>
              <w:rPr>
                <w:rFonts w:hint="default" w:ascii="Times New Roman" w:hAnsi="Times New Roman" w:cs="Times New Roman"/>
                <w:bCs/>
                <w:color w:val="auto"/>
              </w:rPr>
            </w:pPr>
            <w:r>
              <w:rPr>
                <w:rFonts w:hint="default" w:ascii="Times New Roman" w:hAnsi="Times New Roman" w:cs="Times New Roman"/>
                <w:bCs/>
                <w:color w:val="auto"/>
              </w:rPr>
              <w:t>Q＜200且W＜6000</w:t>
            </w:r>
          </w:p>
        </w:tc>
      </w:tr>
      <w:tr w14:paraId="6AA0402C">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108" w:type="dxa"/>
            <w:bottom w:w="0" w:type="dxa"/>
            <w:right w:w="108" w:type="dxa"/>
          </w:tblCellMar>
        </w:tblPrEx>
        <w:trPr>
          <w:cantSplit/>
          <w:trHeight w:val="369" w:hRule="atLeast"/>
          <w:jc w:val="center"/>
        </w:trPr>
        <w:tc>
          <w:tcPr>
            <w:tcW w:w="1593" w:type="dxa"/>
            <w:shd w:val="clear" w:color="auto" w:fill="BEBEBE"/>
            <w:noWrap w:val="0"/>
            <w:vAlign w:val="center"/>
          </w:tcPr>
          <w:p w14:paraId="4C14004D">
            <w:pPr>
              <w:keepNext w:val="0"/>
              <w:keepLines w:val="0"/>
              <w:widowControl/>
              <w:suppressLineNumbers w:val="0"/>
              <w:adjustRightInd w:val="0"/>
              <w:snapToGrid w:val="0"/>
              <w:spacing w:before="0" w:beforeAutospacing="0" w:after="0" w:afterAutospacing="0" w:line="300" w:lineRule="exact"/>
              <w:ind w:left="0" w:right="0"/>
              <w:jc w:val="center"/>
              <w:textAlignment w:val="baseline"/>
              <w:rPr>
                <w:rFonts w:hint="default" w:ascii="Times New Roman" w:hAnsi="Times New Roman" w:cs="Times New Roman"/>
                <w:bCs/>
                <w:color w:val="auto"/>
              </w:rPr>
            </w:pPr>
            <w:r>
              <w:rPr>
                <w:rFonts w:hint="default" w:ascii="Times New Roman" w:hAnsi="Times New Roman" w:cs="Times New Roman"/>
                <w:bCs/>
                <w:color w:val="auto"/>
              </w:rPr>
              <w:t>三级B</w:t>
            </w:r>
          </w:p>
        </w:tc>
        <w:tc>
          <w:tcPr>
            <w:tcW w:w="1776" w:type="dxa"/>
            <w:shd w:val="clear" w:color="auto" w:fill="BEBEBE"/>
            <w:noWrap w:val="0"/>
            <w:vAlign w:val="center"/>
          </w:tcPr>
          <w:p w14:paraId="0A9B9CE7">
            <w:pPr>
              <w:keepNext w:val="0"/>
              <w:keepLines w:val="0"/>
              <w:widowControl/>
              <w:suppressLineNumbers w:val="0"/>
              <w:adjustRightInd w:val="0"/>
              <w:snapToGrid w:val="0"/>
              <w:spacing w:before="0" w:beforeAutospacing="0" w:after="0" w:afterAutospacing="0" w:line="300" w:lineRule="exact"/>
              <w:ind w:left="0" w:right="0"/>
              <w:jc w:val="center"/>
              <w:textAlignment w:val="baseline"/>
              <w:rPr>
                <w:rFonts w:hint="default" w:ascii="Times New Roman" w:hAnsi="Times New Roman" w:cs="Times New Roman"/>
                <w:bCs/>
                <w:color w:val="auto"/>
              </w:rPr>
            </w:pPr>
            <w:r>
              <w:rPr>
                <w:rFonts w:hint="default" w:ascii="Times New Roman" w:hAnsi="Times New Roman" w:cs="Times New Roman"/>
                <w:bCs/>
                <w:color w:val="auto"/>
              </w:rPr>
              <w:t>间接排放</w:t>
            </w:r>
          </w:p>
        </w:tc>
        <w:tc>
          <w:tcPr>
            <w:tcW w:w="5917" w:type="dxa"/>
            <w:shd w:val="clear" w:color="auto" w:fill="BEBEBE"/>
            <w:noWrap w:val="0"/>
            <w:vAlign w:val="center"/>
          </w:tcPr>
          <w:p w14:paraId="624DCF83">
            <w:pPr>
              <w:keepNext w:val="0"/>
              <w:keepLines w:val="0"/>
              <w:widowControl/>
              <w:suppressLineNumbers w:val="0"/>
              <w:adjustRightInd w:val="0"/>
              <w:snapToGrid w:val="0"/>
              <w:spacing w:before="0" w:beforeAutospacing="0" w:after="0" w:afterAutospacing="0" w:line="300" w:lineRule="exact"/>
              <w:ind w:left="0" w:right="0"/>
              <w:jc w:val="center"/>
              <w:textAlignment w:val="baseline"/>
              <w:rPr>
                <w:rFonts w:hint="default" w:ascii="Times New Roman" w:hAnsi="Times New Roman" w:cs="Times New Roman"/>
                <w:bCs/>
                <w:color w:val="auto"/>
              </w:rPr>
            </w:pPr>
            <w:r>
              <w:rPr>
                <w:rFonts w:hint="default" w:ascii="Times New Roman" w:hAnsi="Times New Roman" w:cs="Times New Roman"/>
                <w:bCs/>
                <w:color w:val="auto"/>
              </w:rPr>
              <w:t>——</w:t>
            </w:r>
          </w:p>
        </w:tc>
      </w:tr>
    </w:tbl>
    <w:p w14:paraId="7681B92D">
      <w:pPr>
        <w:pStyle w:val="5"/>
        <w:numPr>
          <w:ilvl w:val="0"/>
          <w:numId w:val="0"/>
        </w:numPr>
        <w:rPr>
          <w:color w:val="auto"/>
          <w:highlight w:val="cyan"/>
        </w:rPr>
      </w:pPr>
      <w:r>
        <w:rPr>
          <w:rFonts w:hint="eastAsia"/>
          <w:color w:val="auto"/>
        </w:rPr>
        <w:t>2.3.1.2</w:t>
      </w:r>
      <w:r>
        <w:rPr>
          <w:color w:val="auto"/>
        </w:rPr>
        <w:t>水</w:t>
      </w:r>
      <w:r>
        <w:rPr>
          <w:rFonts w:hint="eastAsia"/>
          <w:color w:val="auto"/>
        </w:rPr>
        <w:t>文</w:t>
      </w:r>
      <w:r>
        <w:rPr>
          <w:color w:val="auto"/>
        </w:rPr>
        <w:t>要素影响型</w:t>
      </w:r>
    </w:p>
    <w:p w14:paraId="03235A60">
      <w:pPr>
        <w:spacing w:line="360" w:lineRule="auto"/>
        <w:ind w:firstLine="480" w:firstLineChars="200"/>
        <w:rPr>
          <w:rFonts w:hint="eastAsia"/>
          <w:color w:val="auto"/>
          <w:sz w:val="24"/>
        </w:rPr>
      </w:pPr>
      <w:r>
        <w:rPr>
          <w:color w:val="auto"/>
          <w:sz w:val="24"/>
        </w:rPr>
        <w:t>本项目码头（1#~</w:t>
      </w:r>
      <w:r>
        <w:rPr>
          <w:rFonts w:hint="eastAsia"/>
          <w:color w:val="auto"/>
          <w:sz w:val="24"/>
        </w:rPr>
        <w:t>2</w:t>
      </w:r>
      <w:r>
        <w:rPr>
          <w:color w:val="auto"/>
          <w:sz w:val="24"/>
        </w:rPr>
        <w:t>#泊位）采用顺岸连片式布置型式，泊位</w:t>
      </w:r>
      <w:r>
        <w:rPr>
          <w:rFonts w:hint="eastAsia"/>
          <w:color w:val="auto"/>
          <w:sz w:val="24"/>
        </w:rPr>
        <w:t>总</w:t>
      </w:r>
      <w:r>
        <w:rPr>
          <w:color w:val="auto"/>
          <w:sz w:val="24"/>
        </w:rPr>
        <w:t>长度</w:t>
      </w:r>
      <w:r>
        <w:rPr>
          <w:rFonts w:hint="eastAsia"/>
          <w:color w:val="auto"/>
          <w:sz w:val="24"/>
        </w:rPr>
        <w:t>160</w:t>
      </w:r>
      <w:r>
        <w:rPr>
          <w:color w:val="auto"/>
          <w:sz w:val="24"/>
        </w:rPr>
        <w:t>m，码头前沿停泊水域宽</w:t>
      </w:r>
      <w:r>
        <w:rPr>
          <w:rFonts w:hint="eastAsia"/>
          <w:color w:val="auto"/>
          <w:sz w:val="24"/>
        </w:rPr>
        <w:t>21</w:t>
      </w:r>
      <w:r>
        <w:rPr>
          <w:color w:val="auto"/>
          <w:sz w:val="24"/>
        </w:rPr>
        <w:t>.6m，港池设计底高程-12.3m，回旋水域沿垂直水流方向宽度为</w:t>
      </w:r>
      <w:r>
        <w:rPr>
          <w:rFonts w:hint="eastAsia"/>
          <w:color w:val="auto"/>
          <w:sz w:val="24"/>
        </w:rPr>
        <w:t>90</w:t>
      </w:r>
      <w:r>
        <w:rPr>
          <w:color w:val="auto"/>
          <w:sz w:val="24"/>
        </w:rPr>
        <w:t>m。</w:t>
      </w:r>
      <w:r>
        <w:rPr>
          <w:rFonts w:hint="eastAsia"/>
          <w:color w:val="auto"/>
          <w:sz w:val="24"/>
        </w:rPr>
        <w:t>本</w:t>
      </w:r>
      <w:r>
        <w:rPr>
          <w:color w:val="auto"/>
          <w:sz w:val="24"/>
        </w:rPr>
        <w:t>项目开挖港池（疏浚）宽度最大为</w:t>
      </w:r>
      <w:r>
        <w:rPr>
          <w:rFonts w:hint="eastAsia"/>
          <w:color w:val="auto"/>
          <w:sz w:val="24"/>
        </w:rPr>
        <w:t>55</w:t>
      </w:r>
      <w:r>
        <w:rPr>
          <w:color w:val="auto"/>
          <w:sz w:val="24"/>
        </w:rPr>
        <w:t>m，过水断面宽度占用比例</w:t>
      </w:r>
      <w:r>
        <w:rPr>
          <w:rFonts w:hint="eastAsia"/>
          <w:color w:val="auto"/>
          <w:sz w:val="24"/>
        </w:rPr>
        <w:t>R为1.8</w:t>
      </w:r>
      <w:r>
        <w:rPr>
          <w:color w:val="auto"/>
          <w:sz w:val="24"/>
        </w:rPr>
        <w:t>%＜</w:t>
      </w:r>
      <w:r>
        <w:rPr>
          <w:rFonts w:hint="eastAsia"/>
          <w:color w:val="auto"/>
          <w:sz w:val="24"/>
        </w:rPr>
        <w:t>5%。</w:t>
      </w:r>
      <w:r>
        <w:rPr>
          <w:color w:val="auto"/>
          <w:sz w:val="24"/>
        </w:rPr>
        <w:t>根据《环境影响评价技术导则 地表水环境》（</w:t>
      </w:r>
      <w:r>
        <w:rPr>
          <w:rFonts w:hint="eastAsia"/>
          <w:color w:val="auto"/>
          <w:sz w:val="24"/>
          <w:lang w:eastAsia="zh-CN"/>
        </w:rPr>
        <w:t>HJ 2</w:t>
      </w:r>
      <w:r>
        <w:rPr>
          <w:color w:val="auto"/>
          <w:sz w:val="24"/>
        </w:rPr>
        <w:t>.3-2018）表2，本项目A</w:t>
      </w:r>
      <w:r>
        <w:rPr>
          <w:color w:val="auto"/>
          <w:sz w:val="24"/>
          <w:vertAlign w:val="subscript"/>
        </w:rPr>
        <w:t>1</w:t>
      </w:r>
      <w:r>
        <w:rPr>
          <w:color w:val="auto"/>
          <w:sz w:val="24"/>
        </w:rPr>
        <w:t>=0.0</w:t>
      </w:r>
      <w:r>
        <w:rPr>
          <w:rFonts w:hint="eastAsia"/>
          <w:color w:val="auto"/>
          <w:sz w:val="24"/>
          <w:lang w:val="en-US" w:eastAsia="zh-CN"/>
        </w:rPr>
        <w:t>024</w:t>
      </w:r>
      <w:r>
        <w:rPr>
          <w:color w:val="auto"/>
          <w:sz w:val="24"/>
        </w:rPr>
        <w:t>km</w:t>
      </w:r>
      <w:r>
        <w:rPr>
          <w:color w:val="auto"/>
          <w:sz w:val="24"/>
          <w:vertAlign w:val="superscript"/>
        </w:rPr>
        <w:t>2</w:t>
      </w:r>
      <w:r>
        <w:rPr>
          <w:color w:val="auto"/>
          <w:sz w:val="24"/>
        </w:rPr>
        <w:t>≤0.05km</w:t>
      </w:r>
      <w:r>
        <w:rPr>
          <w:color w:val="auto"/>
          <w:sz w:val="24"/>
          <w:vertAlign w:val="superscript"/>
        </w:rPr>
        <w:t>2</w:t>
      </w:r>
      <w:r>
        <w:rPr>
          <w:rFonts w:hint="eastAsia"/>
          <w:color w:val="auto"/>
          <w:sz w:val="24"/>
          <w:vertAlign w:val="baseline"/>
          <w:lang w:eastAsia="zh-CN"/>
        </w:rPr>
        <w:t>（</w:t>
      </w:r>
      <w:r>
        <w:rPr>
          <w:rFonts w:hint="eastAsia"/>
          <w:color w:val="auto"/>
          <w:sz w:val="24"/>
          <w:lang w:val="en-US" w:eastAsia="zh-CN"/>
        </w:rPr>
        <w:t>本项目前沿投影面积，约为0.0024</w:t>
      </w:r>
      <w:r>
        <w:rPr>
          <w:color w:val="auto"/>
          <w:sz w:val="24"/>
        </w:rPr>
        <w:t>km</w:t>
      </w:r>
      <w:r>
        <w:rPr>
          <w:color w:val="auto"/>
          <w:sz w:val="24"/>
          <w:vertAlign w:val="superscript"/>
        </w:rPr>
        <w:t>2</w:t>
      </w:r>
      <w:r>
        <w:rPr>
          <w:rFonts w:hint="eastAsia"/>
          <w:color w:val="auto"/>
          <w:sz w:val="24"/>
          <w:vertAlign w:val="baseline"/>
          <w:lang w:eastAsia="zh-CN"/>
        </w:rPr>
        <w:t>；</w:t>
      </w:r>
      <w:r>
        <w:rPr>
          <w:rFonts w:hint="eastAsia"/>
          <w:color w:val="auto"/>
          <w:sz w:val="24"/>
        </w:rPr>
        <w:t>码头</w:t>
      </w:r>
      <w:r>
        <w:rPr>
          <w:rFonts w:hint="eastAsia"/>
          <w:color w:val="auto"/>
          <w:sz w:val="24"/>
          <w:lang w:val="en-US" w:eastAsia="zh-CN"/>
        </w:rPr>
        <w:t>泊位</w:t>
      </w:r>
      <w:r>
        <w:rPr>
          <w:rFonts w:hint="eastAsia"/>
          <w:color w:val="auto"/>
          <w:sz w:val="24"/>
        </w:rPr>
        <w:t>尺度为1</w:t>
      </w:r>
      <w:r>
        <w:rPr>
          <w:rFonts w:hint="eastAsia"/>
          <w:color w:val="auto"/>
          <w:sz w:val="24"/>
          <w:lang w:val="en-US" w:eastAsia="zh-CN"/>
        </w:rPr>
        <w:t>60</w:t>
      </w:r>
      <w:r>
        <w:rPr>
          <w:rFonts w:hint="eastAsia"/>
          <w:color w:val="auto"/>
          <w:sz w:val="24"/>
        </w:rPr>
        <w:t>m×15m</w:t>
      </w:r>
      <w:r>
        <w:rPr>
          <w:rFonts w:hint="eastAsia"/>
          <w:color w:val="auto"/>
          <w:sz w:val="24"/>
          <w:lang w:eastAsia="zh-CN"/>
        </w:rPr>
        <w:t>，</w:t>
      </w:r>
      <w:r>
        <w:rPr>
          <w:rFonts w:hint="eastAsia"/>
          <w:color w:val="auto"/>
          <w:sz w:val="24"/>
          <w:lang w:val="en-US" w:eastAsia="zh-CN"/>
        </w:rPr>
        <w:t>160*15/1000000=0.0024</w:t>
      </w:r>
      <w:r>
        <w:rPr>
          <w:color w:val="auto"/>
          <w:sz w:val="24"/>
        </w:rPr>
        <w:t>km</w:t>
      </w:r>
      <w:r>
        <w:rPr>
          <w:color w:val="auto"/>
          <w:sz w:val="24"/>
          <w:vertAlign w:val="superscript"/>
        </w:rPr>
        <w:t>2</w:t>
      </w:r>
      <w:r>
        <w:rPr>
          <w:rFonts w:hint="eastAsia"/>
          <w:color w:val="auto"/>
          <w:sz w:val="24"/>
          <w:lang w:eastAsia="zh-CN"/>
        </w:rPr>
        <w:t>）</w:t>
      </w:r>
      <w:r>
        <w:rPr>
          <w:color w:val="auto"/>
          <w:sz w:val="24"/>
        </w:rPr>
        <w:t>，确定地表水水文要素影响评价工作等级为三级。</w:t>
      </w:r>
    </w:p>
    <w:p w14:paraId="4DE85D48">
      <w:pPr>
        <w:pStyle w:val="159"/>
        <w:numPr>
          <w:ilvl w:val="0"/>
          <w:numId w:val="0"/>
        </w:numPr>
        <w:spacing w:line="400" w:lineRule="exact"/>
        <w:rPr>
          <w:color w:val="auto"/>
          <w:kern w:val="2"/>
          <w:szCs w:val="21"/>
        </w:rPr>
      </w:pPr>
      <w:r>
        <w:rPr>
          <w:color w:val="auto"/>
          <w:kern w:val="2"/>
          <w:szCs w:val="21"/>
        </w:rPr>
        <w:t>表2.3-</w:t>
      </w:r>
      <w:r>
        <w:rPr>
          <w:rFonts w:hint="eastAsia"/>
          <w:color w:val="auto"/>
          <w:kern w:val="2"/>
          <w:szCs w:val="21"/>
        </w:rPr>
        <w:t>2</w:t>
      </w:r>
      <w:r>
        <w:rPr>
          <w:color w:val="auto"/>
          <w:kern w:val="2"/>
          <w:szCs w:val="21"/>
        </w:rPr>
        <w:t xml:space="preserve">  地表水环境影响评价等级判定（水文要素影响型）</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45"/>
        <w:gridCol w:w="1085"/>
        <w:gridCol w:w="1220"/>
        <w:gridCol w:w="1055"/>
        <w:gridCol w:w="1670"/>
        <w:gridCol w:w="1670"/>
        <w:gridCol w:w="2041"/>
      </w:tblGrid>
      <w:tr w14:paraId="6C083C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45" w:type="dxa"/>
            <w:vMerge w:val="restart"/>
            <w:noWrap w:val="0"/>
            <w:vAlign w:val="center"/>
          </w:tcPr>
          <w:p w14:paraId="6B29D915">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评价等级</w:t>
            </w:r>
          </w:p>
        </w:tc>
        <w:tc>
          <w:tcPr>
            <w:tcW w:w="1085" w:type="dxa"/>
            <w:noWrap w:val="0"/>
            <w:vAlign w:val="center"/>
          </w:tcPr>
          <w:p w14:paraId="284C5053">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水温</w:t>
            </w:r>
          </w:p>
        </w:tc>
        <w:tc>
          <w:tcPr>
            <w:tcW w:w="2275" w:type="dxa"/>
            <w:gridSpan w:val="2"/>
            <w:noWrap w:val="0"/>
            <w:vAlign w:val="center"/>
          </w:tcPr>
          <w:p w14:paraId="7FE8C23B">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径流</w:t>
            </w:r>
          </w:p>
        </w:tc>
        <w:tc>
          <w:tcPr>
            <w:tcW w:w="5381" w:type="dxa"/>
            <w:gridSpan w:val="3"/>
            <w:noWrap w:val="0"/>
            <w:vAlign w:val="center"/>
          </w:tcPr>
          <w:p w14:paraId="1175BFE3">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受影响地表水域</w:t>
            </w:r>
          </w:p>
        </w:tc>
      </w:tr>
      <w:tr w14:paraId="529F67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45" w:type="dxa"/>
            <w:vMerge w:val="continue"/>
            <w:noWrap w:val="0"/>
            <w:vAlign w:val="center"/>
          </w:tcPr>
          <w:p w14:paraId="36EC31E6">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360"/>
              <w:textAlignment w:val="auto"/>
              <w:rPr>
                <w:rFonts w:hint="default" w:ascii="Times New Roman" w:hAnsi="Times New Roman" w:cs="Times New Roman"/>
                <w:b/>
                <w:color w:val="auto"/>
                <w:sz w:val="21"/>
                <w:szCs w:val="21"/>
              </w:rPr>
            </w:pPr>
          </w:p>
        </w:tc>
        <w:tc>
          <w:tcPr>
            <w:tcW w:w="1085" w:type="dxa"/>
            <w:vMerge w:val="restart"/>
            <w:noWrap w:val="0"/>
            <w:vAlign w:val="center"/>
          </w:tcPr>
          <w:p w14:paraId="5B818EDB">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年径流量与总库容百分比α/%</w:t>
            </w:r>
          </w:p>
        </w:tc>
        <w:tc>
          <w:tcPr>
            <w:tcW w:w="1220" w:type="dxa"/>
            <w:vMerge w:val="restart"/>
            <w:noWrap w:val="0"/>
            <w:vAlign w:val="center"/>
          </w:tcPr>
          <w:p w14:paraId="2023A32C">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兴利库容与年径流量百分比β/%</w:t>
            </w:r>
          </w:p>
        </w:tc>
        <w:tc>
          <w:tcPr>
            <w:tcW w:w="1055" w:type="dxa"/>
            <w:vMerge w:val="restart"/>
            <w:noWrap w:val="0"/>
            <w:vAlign w:val="center"/>
          </w:tcPr>
          <w:p w14:paraId="6A302DE0">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取水量占多年平均径流量百分比γ/%</w:t>
            </w:r>
          </w:p>
        </w:tc>
        <w:tc>
          <w:tcPr>
            <w:tcW w:w="3340" w:type="dxa"/>
            <w:gridSpan w:val="2"/>
            <w:noWrap w:val="0"/>
            <w:vAlign w:val="center"/>
          </w:tcPr>
          <w:p w14:paraId="46275E6E">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工程垂直投影面积及外扩面积范围A1/km</w:t>
            </w:r>
            <w:r>
              <w:rPr>
                <w:rFonts w:hint="default" w:ascii="Times New Roman" w:hAnsi="Times New Roman" w:cs="Times New Roman"/>
                <w:b/>
                <w:color w:val="auto"/>
                <w:sz w:val="21"/>
                <w:szCs w:val="21"/>
                <w:vertAlign w:val="superscript"/>
              </w:rPr>
              <w:t>2</w:t>
            </w:r>
            <w:r>
              <w:rPr>
                <w:rFonts w:hint="default" w:ascii="Times New Roman" w:hAnsi="Times New Roman" w:cs="Times New Roman"/>
                <w:b/>
                <w:color w:val="auto"/>
                <w:sz w:val="21"/>
                <w:szCs w:val="21"/>
              </w:rPr>
              <w:t>；工程扰动水底面积A2/km</w:t>
            </w:r>
            <w:r>
              <w:rPr>
                <w:rFonts w:hint="default" w:ascii="Times New Roman" w:hAnsi="Times New Roman" w:cs="Times New Roman"/>
                <w:b/>
                <w:color w:val="auto"/>
                <w:sz w:val="21"/>
                <w:szCs w:val="21"/>
                <w:vertAlign w:val="superscript"/>
              </w:rPr>
              <w:t>2</w:t>
            </w:r>
            <w:r>
              <w:rPr>
                <w:rFonts w:hint="default" w:ascii="Times New Roman" w:hAnsi="Times New Roman" w:cs="Times New Roman"/>
                <w:b/>
                <w:color w:val="auto"/>
                <w:sz w:val="21"/>
                <w:szCs w:val="21"/>
              </w:rPr>
              <w:t>；过水断面宽度占用比例或占用水域比例R%</w:t>
            </w:r>
          </w:p>
        </w:tc>
        <w:tc>
          <w:tcPr>
            <w:tcW w:w="2041" w:type="dxa"/>
            <w:noWrap w:val="0"/>
            <w:vAlign w:val="center"/>
          </w:tcPr>
          <w:p w14:paraId="26DBE19E">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工程垂直投影面积及外扩范围A1/km</w:t>
            </w:r>
            <w:r>
              <w:rPr>
                <w:rFonts w:hint="default" w:ascii="Times New Roman" w:hAnsi="Times New Roman" w:cs="Times New Roman"/>
                <w:b/>
                <w:color w:val="auto"/>
                <w:sz w:val="21"/>
                <w:szCs w:val="21"/>
                <w:vertAlign w:val="superscript"/>
              </w:rPr>
              <w:t>2</w:t>
            </w:r>
            <w:r>
              <w:rPr>
                <w:rFonts w:hint="default" w:ascii="Times New Roman" w:hAnsi="Times New Roman" w:cs="Times New Roman"/>
                <w:b/>
                <w:color w:val="auto"/>
                <w:sz w:val="21"/>
                <w:szCs w:val="21"/>
              </w:rPr>
              <w:t>；工程扰动水底面积A2/km</w:t>
            </w:r>
            <w:r>
              <w:rPr>
                <w:rFonts w:hint="default" w:ascii="Times New Roman" w:hAnsi="Times New Roman" w:cs="Times New Roman"/>
                <w:b/>
                <w:color w:val="auto"/>
                <w:sz w:val="21"/>
                <w:szCs w:val="21"/>
                <w:vertAlign w:val="superscript"/>
              </w:rPr>
              <w:t>2</w:t>
            </w:r>
            <w:r>
              <w:rPr>
                <w:rFonts w:hint="default" w:ascii="Times New Roman" w:hAnsi="Times New Roman" w:cs="Times New Roman"/>
                <w:b/>
                <w:color w:val="auto"/>
                <w:sz w:val="21"/>
                <w:szCs w:val="21"/>
              </w:rPr>
              <w:t>；</w:t>
            </w:r>
          </w:p>
        </w:tc>
      </w:tr>
      <w:tr w14:paraId="560D99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45" w:type="dxa"/>
            <w:vMerge w:val="continue"/>
            <w:noWrap w:val="0"/>
            <w:vAlign w:val="center"/>
          </w:tcPr>
          <w:p w14:paraId="312AD69A">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360"/>
              <w:textAlignment w:val="auto"/>
              <w:rPr>
                <w:rFonts w:hint="default" w:ascii="Times New Roman" w:hAnsi="Times New Roman" w:cs="Times New Roman"/>
                <w:b/>
                <w:color w:val="auto"/>
                <w:sz w:val="21"/>
                <w:szCs w:val="21"/>
              </w:rPr>
            </w:pPr>
          </w:p>
        </w:tc>
        <w:tc>
          <w:tcPr>
            <w:tcW w:w="1085" w:type="dxa"/>
            <w:vMerge w:val="continue"/>
            <w:noWrap w:val="0"/>
            <w:vAlign w:val="center"/>
          </w:tcPr>
          <w:p w14:paraId="4A8FB596">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360"/>
              <w:textAlignment w:val="auto"/>
              <w:rPr>
                <w:rFonts w:hint="default" w:ascii="Times New Roman" w:hAnsi="Times New Roman" w:cs="Times New Roman"/>
                <w:b/>
                <w:color w:val="auto"/>
                <w:sz w:val="21"/>
                <w:szCs w:val="21"/>
              </w:rPr>
            </w:pPr>
          </w:p>
        </w:tc>
        <w:tc>
          <w:tcPr>
            <w:tcW w:w="1220" w:type="dxa"/>
            <w:vMerge w:val="continue"/>
            <w:noWrap w:val="0"/>
            <w:vAlign w:val="center"/>
          </w:tcPr>
          <w:p w14:paraId="689CDA7E">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360"/>
              <w:textAlignment w:val="auto"/>
              <w:rPr>
                <w:rFonts w:hint="default" w:ascii="Times New Roman" w:hAnsi="Times New Roman" w:cs="Times New Roman"/>
                <w:b/>
                <w:color w:val="auto"/>
                <w:sz w:val="21"/>
                <w:szCs w:val="21"/>
              </w:rPr>
            </w:pPr>
          </w:p>
        </w:tc>
        <w:tc>
          <w:tcPr>
            <w:tcW w:w="1055" w:type="dxa"/>
            <w:vMerge w:val="continue"/>
            <w:noWrap w:val="0"/>
            <w:vAlign w:val="center"/>
          </w:tcPr>
          <w:p w14:paraId="32B986BE">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360"/>
              <w:textAlignment w:val="auto"/>
              <w:rPr>
                <w:rFonts w:hint="default" w:ascii="Times New Roman" w:hAnsi="Times New Roman" w:cs="Times New Roman"/>
                <w:b/>
                <w:color w:val="auto"/>
                <w:sz w:val="21"/>
                <w:szCs w:val="21"/>
              </w:rPr>
            </w:pPr>
          </w:p>
        </w:tc>
        <w:tc>
          <w:tcPr>
            <w:tcW w:w="1670" w:type="dxa"/>
            <w:noWrap w:val="0"/>
            <w:vAlign w:val="center"/>
          </w:tcPr>
          <w:p w14:paraId="2712A1F7">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河流</w:t>
            </w:r>
          </w:p>
        </w:tc>
        <w:tc>
          <w:tcPr>
            <w:tcW w:w="1670" w:type="dxa"/>
            <w:noWrap w:val="0"/>
            <w:vAlign w:val="center"/>
          </w:tcPr>
          <w:p w14:paraId="6174103E">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湖库</w:t>
            </w:r>
          </w:p>
        </w:tc>
        <w:tc>
          <w:tcPr>
            <w:tcW w:w="2041" w:type="dxa"/>
            <w:noWrap w:val="0"/>
            <w:vAlign w:val="center"/>
          </w:tcPr>
          <w:p w14:paraId="57793202">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入海河口、近岸海域</w:t>
            </w:r>
          </w:p>
        </w:tc>
      </w:tr>
      <w:tr w14:paraId="20A731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45" w:type="dxa"/>
            <w:noWrap w:val="0"/>
            <w:vAlign w:val="center"/>
          </w:tcPr>
          <w:p w14:paraId="44350786">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一级</w:t>
            </w:r>
          </w:p>
        </w:tc>
        <w:tc>
          <w:tcPr>
            <w:tcW w:w="1085" w:type="dxa"/>
            <w:noWrap w:val="0"/>
            <w:vAlign w:val="center"/>
          </w:tcPr>
          <w:p w14:paraId="4C0F0060">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α≤10；或稳定</w:t>
            </w:r>
          </w:p>
        </w:tc>
        <w:tc>
          <w:tcPr>
            <w:tcW w:w="1220" w:type="dxa"/>
            <w:noWrap w:val="0"/>
            <w:vAlign w:val="center"/>
          </w:tcPr>
          <w:p w14:paraId="353A9F0A">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β≥20；或完全年调节与多年调节</w:t>
            </w:r>
          </w:p>
        </w:tc>
        <w:tc>
          <w:tcPr>
            <w:tcW w:w="1055" w:type="dxa"/>
            <w:noWrap w:val="0"/>
            <w:vAlign w:val="center"/>
          </w:tcPr>
          <w:p w14:paraId="6FD366B3">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γ≥30</w:t>
            </w:r>
          </w:p>
        </w:tc>
        <w:tc>
          <w:tcPr>
            <w:tcW w:w="1670" w:type="dxa"/>
            <w:noWrap w:val="0"/>
            <w:vAlign w:val="center"/>
          </w:tcPr>
          <w:p w14:paraId="1EC3AF04">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A1≥0.3；或A2≥1.5；或R≥10</w:t>
            </w:r>
          </w:p>
        </w:tc>
        <w:tc>
          <w:tcPr>
            <w:tcW w:w="1670" w:type="dxa"/>
            <w:noWrap w:val="0"/>
            <w:vAlign w:val="center"/>
          </w:tcPr>
          <w:p w14:paraId="6BA4E153">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A1≥0.3；或A2≥1.5；或R≥10</w:t>
            </w:r>
          </w:p>
        </w:tc>
        <w:tc>
          <w:tcPr>
            <w:tcW w:w="2041" w:type="dxa"/>
            <w:noWrap w:val="0"/>
            <w:vAlign w:val="center"/>
          </w:tcPr>
          <w:p w14:paraId="66120C43">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A1≥0.5；或A2≥3</w:t>
            </w:r>
          </w:p>
        </w:tc>
      </w:tr>
      <w:tr w14:paraId="31A5D3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45" w:type="dxa"/>
            <w:noWrap w:val="0"/>
            <w:vAlign w:val="center"/>
          </w:tcPr>
          <w:p w14:paraId="41A3A674">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二级</w:t>
            </w:r>
          </w:p>
        </w:tc>
        <w:tc>
          <w:tcPr>
            <w:tcW w:w="1085" w:type="dxa"/>
            <w:noWrap w:val="0"/>
            <w:vAlign w:val="center"/>
          </w:tcPr>
          <w:p w14:paraId="0C110F2E">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2＞α＞10；或不稳定分层</w:t>
            </w:r>
          </w:p>
        </w:tc>
        <w:tc>
          <w:tcPr>
            <w:tcW w:w="1220" w:type="dxa"/>
            <w:noWrap w:val="0"/>
            <w:vAlign w:val="center"/>
          </w:tcPr>
          <w:p w14:paraId="0AD2B7CE">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36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20＞β＞2；或季调节与不完全年调节</w:t>
            </w:r>
          </w:p>
        </w:tc>
        <w:tc>
          <w:tcPr>
            <w:tcW w:w="1055" w:type="dxa"/>
            <w:noWrap w:val="0"/>
            <w:vAlign w:val="center"/>
          </w:tcPr>
          <w:p w14:paraId="28579B08">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30＞γ＞10</w:t>
            </w:r>
          </w:p>
        </w:tc>
        <w:tc>
          <w:tcPr>
            <w:tcW w:w="1670" w:type="dxa"/>
            <w:noWrap w:val="0"/>
            <w:vAlign w:val="center"/>
          </w:tcPr>
          <w:p w14:paraId="09F763C2">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0.3＞A1＞0.05；或1.5＞A2＞0.2；或10＞R＞5</w:t>
            </w:r>
          </w:p>
        </w:tc>
        <w:tc>
          <w:tcPr>
            <w:tcW w:w="1670" w:type="dxa"/>
            <w:shd w:val="clear" w:color="auto" w:fill="auto"/>
            <w:noWrap w:val="0"/>
            <w:vAlign w:val="center"/>
          </w:tcPr>
          <w:p w14:paraId="4AD28287">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0.3＞A1＞0.05；或1.5＞A2＞0.2；或10＞R＞5</w:t>
            </w:r>
          </w:p>
        </w:tc>
        <w:tc>
          <w:tcPr>
            <w:tcW w:w="2041" w:type="dxa"/>
            <w:shd w:val="clear" w:color="auto" w:fill="auto"/>
            <w:noWrap w:val="0"/>
            <w:vAlign w:val="center"/>
          </w:tcPr>
          <w:p w14:paraId="0CAE2907">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0.5＞A1＞0.15；或3＞A2＞0.5</w:t>
            </w:r>
          </w:p>
        </w:tc>
      </w:tr>
      <w:tr w14:paraId="502B1B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45" w:type="dxa"/>
            <w:noWrap w:val="0"/>
            <w:vAlign w:val="center"/>
          </w:tcPr>
          <w:p w14:paraId="00847E37">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三级</w:t>
            </w:r>
          </w:p>
        </w:tc>
        <w:tc>
          <w:tcPr>
            <w:tcW w:w="1085" w:type="dxa"/>
            <w:noWrap w:val="0"/>
            <w:vAlign w:val="center"/>
          </w:tcPr>
          <w:p w14:paraId="06571952">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α≥20；或混合型</w:t>
            </w:r>
          </w:p>
        </w:tc>
        <w:tc>
          <w:tcPr>
            <w:tcW w:w="1220" w:type="dxa"/>
            <w:noWrap w:val="0"/>
            <w:vAlign w:val="center"/>
          </w:tcPr>
          <w:p w14:paraId="3283B165">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36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β≤2；或无调节</w:t>
            </w:r>
          </w:p>
        </w:tc>
        <w:tc>
          <w:tcPr>
            <w:tcW w:w="1055" w:type="dxa"/>
            <w:noWrap w:val="0"/>
            <w:vAlign w:val="center"/>
          </w:tcPr>
          <w:p w14:paraId="615557DE">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γ≤10</w:t>
            </w:r>
          </w:p>
        </w:tc>
        <w:tc>
          <w:tcPr>
            <w:tcW w:w="1670" w:type="dxa"/>
            <w:noWrap w:val="0"/>
            <w:vAlign w:val="center"/>
          </w:tcPr>
          <w:p w14:paraId="0C03D616">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A1≤0.05；或A2≤0.2；或R≤5</w:t>
            </w:r>
          </w:p>
        </w:tc>
        <w:tc>
          <w:tcPr>
            <w:tcW w:w="1670" w:type="dxa"/>
            <w:noWrap w:val="0"/>
            <w:vAlign w:val="center"/>
          </w:tcPr>
          <w:p w14:paraId="7BF2A088">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36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A1≤0.05；或A2≤0.2；或R≤5</w:t>
            </w:r>
          </w:p>
        </w:tc>
        <w:tc>
          <w:tcPr>
            <w:tcW w:w="2041" w:type="dxa"/>
            <w:shd w:val="clear" w:color="auto" w:fill="BEBEBE" w:themeFill="background1" w:themeFillShade="BF"/>
            <w:noWrap w:val="0"/>
            <w:vAlign w:val="center"/>
          </w:tcPr>
          <w:p w14:paraId="199757E4">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A1≤0.15；或A2≤0.5</w:t>
            </w:r>
          </w:p>
        </w:tc>
      </w:tr>
      <w:tr w14:paraId="2C428A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286" w:type="dxa"/>
            <w:gridSpan w:val="7"/>
            <w:noWrap w:val="0"/>
            <w:vAlign w:val="center"/>
          </w:tcPr>
          <w:p w14:paraId="2A16D319">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360"/>
              <w:jc w:val="left"/>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注1：影响范围涉及饮用水水源保护区、重点保护与珍稀水生生物的栖息地、重要水生生物的自然产卵场、自然保护区等保护目标，评价等级应不低于二级。</w:t>
            </w:r>
          </w:p>
          <w:p w14:paraId="70394AC4">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360"/>
              <w:jc w:val="left"/>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注2：跨流域调水、引水式电站、可能受到河流感潮河段影响，评价等级不低于二级。</w:t>
            </w:r>
          </w:p>
          <w:p w14:paraId="2678FBB5">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360"/>
              <w:jc w:val="left"/>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注3：造成入海河口（湾口）宽度束窄（束窄尺度达到原宽度的5%以上），评价等级应不低于二级。</w:t>
            </w:r>
          </w:p>
          <w:p w14:paraId="501F646C">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360"/>
              <w:jc w:val="left"/>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注4：对不透水的单方向建筑尺度较长的水工建筑物（如防波堤、导流堤等），其与潮流或水流主流向切线垂直方向投影长度大于2km时，评价等级应不低于二级。</w:t>
            </w:r>
          </w:p>
          <w:p w14:paraId="7125E627">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360"/>
              <w:jc w:val="left"/>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注5：允许在一类海域建设的项目，评价等级为一级。</w:t>
            </w:r>
          </w:p>
          <w:p w14:paraId="6E4B9A60">
            <w:pPr>
              <w:pStyle w:val="329"/>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firstLine="360"/>
              <w:jc w:val="left"/>
              <w:textAlignment w:val="auto"/>
              <w:rPr>
                <w:rFonts w:hint="default" w:ascii="Times New Roman" w:hAnsi="Times New Roman" w:cs="Times New Roman"/>
                <w:bCs/>
                <w:color w:val="auto"/>
                <w:sz w:val="21"/>
                <w:szCs w:val="21"/>
              </w:rPr>
            </w:pPr>
            <w:r>
              <w:rPr>
                <w:rFonts w:hint="default" w:ascii="Times New Roman" w:hAnsi="Times New Roman" w:cs="Times New Roman"/>
                <w:bCs/>
                <w:color w:val="auto"/>
                <w:sz w:val="21"/>
                <w:szCs w:val="21"/>
              </w:rPr>
              <w:t>注6：同时存在多个水文要素影响的建设项目，分别判定各水文要素影响评价等级，并取其中最高等级作为水文要素影响型建设项目评价等级。</w:t>
            </w:r>
          </w:p>
        </w:tc>
      </w:tr>
    </w:tbl>
    <w:p w14:paraId="5D23256D">
      <w:pPr>
        <w:spacing w:line="360" w:lineRule="auto"/>
        <w:ind w:firstLine="480" w:firstLineChars="200"/>
        <w:rPr>
          <w:rFonts w:hint="default" w:eastAsia="宋体"/>
          <w:color w:val="auto"/>
          <w:sz w:val="24"/>
          <w:lang w:val="en-US" w:eastAsia="zh-CN"/>
        </w:rPr>
      </w:pPr>
      <w:r>
        <w:rPr>
          <w:rFonts w:hint="eastAsia"/>
          <w:color w:val="auto"/>
          <w:sz w:val="24"/>
          <w:lang w:val="en-US" w:eastAsia="zh-CN"/>
        </w:rPr>
        <w:t>项目涉及淮河淮南段长吻鮠国家级水产种质资源保护区实验区，虽然保护区中珍稀水生生物长吻鮠（淮王鱼）、江黄颡的栖息地主要位于保护区核心区内八公山以西的硖山口、八公山以北的黑龙潭附近，但考虑到项目在实验区中建设，距离长吻鮠、江黄颡的栖息地较近，码头的建设、运营过程中可能对其栖息地造成影响，故项目</w:t>
      </w:r>
      <w:r>
        <w:rPr>
          <w:rFonts w:hint="eastAsia"/>
          <w:color w:val="auto"/>
          <w:sz w:val="24"/>
        </w:rPr>
        <w:t>水文要素影响</w:t>
      </w:r>
      <w:r>
        <w:rPr>
          <w:rFonts w:hint="eastAsia"/>
          <w:color w:val="auto"/>
          <w:sz w:val="24"/>
          <w:lang w:val="en-US" w:eastAsia="zh-CN"/>
        </w:rPr>
        <w:t>评价等级取二级。</w:t>
      </w:r>
    </w:p>
    <w:p w14:paraId="75B4270B">
      <w:pPr>
        <w:spacing w:line="360" w:lineRule="auto"/>
        <w:ind w:firstLine="480" w:firstLineChars="200"/>
        <w:rPr>
          <w:b/>
          <w:bCs/>
          <w:color w:val="auto"/>
        </w:rPr>
      </w:pPr>
      <w:r>
        <w:rPr>
          <w:rFonts w:hint="eastAsia"/>
          <w:b/>
          <w:bCs/>
          <w:color w:val="auto"/>
          <w:sz w:val="24"/>
        </w:rPr>
        <w:t>综合分析，本项目地表水环境影响评价等级为水污染影响型三级B</w:t>
      </w:r>
      <w:r>
        <w:rPr>
          <w:rFonts w:hint="eastAsia"/>
          <w:b/>
          <w:bCs/>
          <w:color w:val="auto"/>
          <w:sz w:val="24"/>
          <w:lang w:eastAsia="zh-CN"/>
        </w:rPr>
        <w:t>，</w:t>
      </w:r>
      <w:r>
        <w:rPr>
          <w:rFonts w:hint="eastAsia"/>
          <w:b/>
          <w:bCs/>
          <w:color w:val="auto"/>
          <w:sz w:val="24"/>
        </w:rPr>
        <w:t>水文要素影响型</w:t>
      </w:r>
      <w:r>
        <w:rPr>
          <w:rFonts w:hint="eastAsia"/>
          <w:b/>
          <w:bCs/>
          <w:color w:val="auto"/>
          <w:sz w:val="24"/>
          <w:lang w:val="en-US" w:eastAsia="zh-CN"/>
        </w:rPr>
        <w:t>二</w:t>
      </w:r>
      <w:r>
        <w:rPr>
          <w:rFonts w:hint="eastAsia"/>
          <w:b/>
          <w:bCs/>
          <w:color w:val="auto"/>
          <w:sz w:val="24"/>
        </w:rPr>
        <w:t>级。</w:t>
      </w:r>
    </w:p>
    <w:p w14:paraId="48DFDC23">
      <w:pPr>
        <w:pStyle w:val="4"/>
        <w:numPr>
          <w:ilvl w:val="0"/>
          <w:numId w:val="0"/>
        </w:numPr>
        <w:rPr>
          <w:color w:val="auto"/>
        </w:rPr>
      </w:pPr>
      <w:r>
        <w:rPr>
          <w:rFonts w:hint="eastAsia"/>
          <w:color w:val="auto"/>
        </w:rPr>
        <w:t>2.3.2</w:t>
      </w:r>
      <w:r>
        <w:rPr>
          <w:color w:val="auto"/>
        </w:rPr>
        <w:t>地下水环境评价等级</w:t>
      </w:r>
    </w:p>
    <w:p w14:paraId="4AAF904F">
      <w:pPr>
        <w:spacing w:line="360" w:lineRule="auto"/>
        <w:ind w:firstLine="480" w:firstLineChars="200"/>
        <w:rPr>
          <w:color w:val="auto"/>
          <w:sz w:val="24"/>
        </w:rPr>
      </w:pPr>
      <w:r>
        <w:rPr>
          <w:rFonts w:hint="eastAsia"/>
          <w:color w:val="auto"/>
          <w:sz w:val="24"/>
        </w:rPr>
        <w:t>对照</w:t>
      </w:r>
      <w:r>
        <w:rPr>
          <w:color w:val="auto"/>
          <w:sz w:val="24"/>
        </w:rPr>
        <w:t>《环境影响评价技术导则 地下水环境》（HJ610-2016）</w:t>
      </w:r>
      <w:r>
        <w:rPr>
          <w:rFonts w:hint="eastAsia"/>
          <w:color w:val="auto"/>
          <w:sz w:val="24"/>
        </w:rPr>
        <w:t>中“附录A 地下水环境影响评价行业分类表”</w:t>
      </w:r>
      <w:r>
        <w:rPr>
          <w:color w:val="auto"/>
          <w:sz w:val="24"/>
        </w:rPr>
        <w:t>，</w:t>
      </w:r>
      <w:r>
        <w:rPr>
          <w:rFonts w:hint="eastAsia"/>
          <w:color w:val="auto"/>
          <w:sz w:val="24"/>
        </w:rPr>
        <w:t>本项目为“S 水运：</w:t>
      </w:r>
      <w:r>
        <w:rPr>
          <w:color w:val="auto"/>
          <w:sz w:val="24"/>
        </w:rPr>
        <w:t>130</w:t>
      </w:r>
      <w:r>
        <w:rPr>
          <w:rFonts w:hint="eastAsia"/>
          <w:color w:val="auto"/>
          <w:sz w:val="24"/>
        </w:rPr>
        <w:t>、干散货（含煤炭、矿石）、件杂、多用途、通用码头”，</w:t>
      </w:r>
      <w:r>
        <w:rPr>
          <w:color w:val="auto"/>
          <w:sz w:val="24"/>
        </w:rPr>
        <w:t>属于Ⅳ类建设项目，可不开展地下水环境影响评价。</w:t>
      </w:r>
    </w:p>
    <w:p w14:paraId="391649EC">
      <w:pPr>
        <w:pStyle w:val="4"/>
        <w:numPr>
          <w:ilvl w:val="0"/>
          <w:numId w:val="0"/>
        </w:numPr>
        <w:rPr>
          <w:color w:val="auto"/>
        </w:rPr>
      </w:pPr>
      <w:r>
        <w:rPr>
          <w:rFonts w:hint="eastAsia"/>
          <w:color w:val="auto"/>
        </w:rPr>
        <w:t>2.3.3</w:t>
      </w:r>
      <w:r>
        <w:rPr>
          <w:color w:val="auto"/>
        </w:rPr>
        <w:t>大气环境影响评价等级</w:t>
      </w:r>
    </w:p>
    <w:p w14:paraId="6EC7747D">
      <w:pPr>
        <w:spacing w:line="360" w:lineRule="auto"/>
        <w:ind w:firstLine="480" w:firstLineChars="200"/>
        <w:rPr>
          <w:color w:val="auto"/>
          <w:sz w:val="24"/>
        </w:rPr>
      </w:pPr>
      <w:r>
        <w:rPr>
          <w:color w:val="auto"/>
          <w:sz w:val="24"/>
        </w:rPr>
        <w:t>按照《环境影响评价技术导则  大气环境》（HJ2.2-2018），根据项目污染源调查结果，分别计算项目排放主要污染物的最大地面空气质量浓度占标率P</w:t>
      </w:r>
      <w:r>
        <w:rPr>
          <w:color w:val="auto"/>
          <w:sz w:val="24"/>
          <w:vertAlign w:val="subscript"/>
        </w:rPr>
        <w:t>i</w:t>
      </w:r>
      <w:r>
        <w:rPr>
          <w:color w:val="auto"/>
          <w:sz w:val="24"/>
        </w:rPr>
        <w:t>（第i个污染物，简</w:t>
      </w:r>
      <w:r>
        <w:rPr>
          <w:rFonts w:ascii="宋体" w:hAnsi="宋体"/>
          <w:color w:val="auto"/>
          <w:sz w:val="24"/>
        </w:rPr>
        <w:t>称“最大浓度占标率”</w:t>
      </w:r>
      <w:r>
        <w:rPr>
          <w:color w:val="auto"/>
          <w:sz w:val="24"/>
        </w:rPr>
        <w:t>），及第i个污染物的地面空气质量浓度达到标准值的10%时所对应的最远距离D</w:t>
      </w:r>
      <w:r>
        <w:rPr>
          <w:color w:val="auto"/>
          <w:sz w:val="24"/>
          <w:vertAlign w:val="subscript"/>
        </w:rPr>
        <w:t>10%</w:t>
      </w:r>
      <w:r>
        <w:rPr>
          <w:color w:val="auto"/>
          <w:sz w:val="24"/>
        </w:rPr>
        <w:t>，其中P</w:t>
      </w:r>
      <w:r>
        <w:rPr>
          <w:color w:val="auto"/>
          <w:sz w:val="24"/>
          <w:vertAlign w:val="subscript"/>
        </w:rPr>
        <w:t>i</w:t>
      </w:r>
      <w:r>
        <w:rPr>
          <w:color w:val="auto"/>
          <w:sz w:val="24"/>
        </w:rPr>
        <w:t>定义为：</w:t>
      </w:r>
    </w:p>
    <w:p w14:paraId="15D96EFB">
      <w:pPr>
        <w:spacing w:line="360" w:lineRule="auto"/>
        <w:jc w:val="center"/>
        <w:rPr>
          <w:b/>
          <w:color w:val="auto"/>
          <w:sz w:val="24"/>
        </w:rPr>
      </w:pPr>
      <w:r>
        <w:rPr>
          <w:b/>
          <w:snapToGrid w:val="0"/>
          <w:color w:val="auto"/>
          <w:sz w:val="24"/>
        </w:rPr>
        <w:t>P</w:t>
      </w:r>
      <w:r>
        <w:rPr>
          <w:b/>
          <w:snapToGrid w:val="0"/>
          <w:color w:val="auto"/>
          <w:sz w:val="24"/>
          <w:vertAlign w:val="subscript"/>
        </w:rPr>
        <w:t>i</w:t>
      </w:r>
      <w:r>
        <w:rPr>
          <w:b/>
          <w:snapToGrid w:val="0"/>
          <w:color w:val="auto"/>
          <w:sz w:val="24"/>
        </w:rPr>
        <w:t>＝（C</w:t>
      </w:r>
      <w:r>
        <w:rPr>
          <w:b/>
          <w:snapToGrid w:val="0"/>
          <w:color w:val="auto"/>
          <w:sz w:val="24"/>
          <w:vertAlign w:val="subscript"/>
        </w:rPr>
        <w:t>i</w:t>
      </w:r>
      <w:r>
        <w:rPr>
          <w:b/>
          <w:snapToGrid w:val="0"/>
          <w:color w:val="auto"/>
          <w:sz w:val="24"/>
        </w:rPr>
        <w:t>/C</w:t>
      </w:r>
      <w:r>
        <w:rPr>
          <w:b/>
          <w:snapToGrid w:val="0"/>
          <w:color w:val="auto"/>
          <w:sz w:val="24"/>
          <w:vertAlign w:val="subscript"/>
        </w:rPr>
        <w:t>0i</w:t>
      </w:r>
      <w:r>
        <w:rPr>
          <w:b/>
          <w:snapToGrid w:val="0"/>
          <w:color w:val="auto"/>
          <w:sz w:val="24"/>
        </w:rPr>
        <w:t>）×100%</w:t>
      </w:r>
    </w:p>
    <w:p w14:paraId="1C1CF714">
      <w:pPr>
        <w:spacing w:line="360" w:lineRule="auto"/>
        <w:ind w:firstLine="480" w:firstLineChars="200"/>
        <w:rPr>
          <w:snapToGrid w:val="0"/>
          <w:color w:val="auto"/>
          <w:sz w:val="24"/>
        </w:rPr>
      </w:pPr>
      <w:r>
        <w:rPr>
          <w:snapToGrid w:val="0"/>
          <w:color w:val="auto"/>
          <w:sz w:val="24"/>
        </w:rPr>
        <w:t>式中：</w:t>
      </w:r>
    </w:p>
    <w:p w14:paraId="29863E5A">
      <w:pPr>
        <w:spacing w:line="360" w:lineRule="auto"/>
        <w:ind w:firstLine="480" w:firstLineChars="200"/>
        <w:rPr>
          <w:snapToGrid w:val="0"/>
          <w:color w:val="auto"/>
          <w:sz w:val="24"/>
        </w:rPr>
      </w:pPr>
      <w:r>
        <w:rPr>
          <w:b/>
          <w:i/>
          <w:snapToGrid w:val="0"/>
          <w:color w:val="auto"/>
          <w:sz w:val="24"/>
        </w:rPr>
        <w:t>P</w:t>
      </w:r>
      <w:r>
        <w:rPr>
          <w:b/>
          <w:i/>
          <w:snapToGrid w:val="0"/>
          <w:color w:val="auto"/>
          <w:sz w:val="24"/>
          <w:vertAlign w:val="subscript"/>
        </w:rPr>
        <w:t>i</w:t>
      </w:r>
      <w:r>
        <w:rPr>
          <w:snapToGrid w:val="0"/>
          <w:color w:val="auto"/>
          <w:sz w:val="24"/>
        </w:rPr>
        <w:t>－第i个污染物的最大地面空气质量浓度占标率，%；</w:t>
      </w:r>
    </w:p>
    <w:p w14:paraId="2160FA60">
      <w:pPr>
        <w:spacing w:line="360" w:lineRule="auto"/>
        <w:ind w:firstLine="480" w:firstLineChars="200"/>
        <w:rPr>
          <w:snapToGrid w:val="0"/>
          <w:color w:val="auto"/>
          <w:sz w:val="24"/>
        </w:rPr>
      </w:pPr>
      <w:r>
        <w:rPr>
          <w:b/>
          <w:i/>
          <w:snapToGrid w:val="0"/>
          <w:color w:val="auto"/>
          <w:sz w:val="24"/>
        </w:rPr>
        <w:t>C</w:t>
      </w:r>
      <w:r>
        <w:rPr>
          <w:b/>
          <w:i/>
          <w:snapToGrid w:val="0"/>
          <w:color w:val="auto"/>
          <w:sz w:val="24"/>
          <w:vertAlign w:val="subscript"/>
        </w:rPr>
        <w:t>i</w:t>
      </w:r>
      <w:r>
        <w:rPr>
          <w:snapToGrid w:val="0"/>
          <w:color w:val="auto"/>
          <w:sz w:val="24"/>
        </w:rPr>
        <w:t>－采用估算模式计算出的第i个污染物的最大1h地面空气质量浓度，mg/m</w:t>
      </w:r>
      <w:r>
        <w:rPr>
          <w:snapToGrid w:val="0"/>
          <w:color w:val="auto"/>
          <w:sz w:val="24"/>
          <w:vertAlign w:val="superscript"/>
        </w:rPr>
        <w:t>3</w:t>
      </w:r>
      <w:r>
        <w:rPr>
          <w:snapToGrid w:val="0"/>
          <w:color w:val="auto"/>
          <w:sz w:val="24"/>
        </w:rPr>
        <w:t>；</w:t>
      </w:r>
    </w:p>
    <w:p w14:paraId="5B21E471">
      <w:pPr>
        <w:spacing w:line="360" w:lineRule="auto"/>
        <w:ind w:firstLine="480" w:firstLineChars="200"/>
        <w:rPr>
          <w:snapToGrid w:val="0"/>
          <w:color w:val="auto"/>
          <w:sz w:val="24"/>
        </w:rPr>
      </w:pPr>
      <w:r>
        <w:rPr>
          <w:b/>
          <w:i/>
          <w:snapToGrid w:val="0"/>
          <w:color w:val="auto"/>
          <w:sz w:val="24"/>
        </w:rPr>
        <w:t>C</w:t>
      </w:r>
      <w:r>
        <w:rPr>
          <w:b/>
          <w:i/>
          <w:snapToGrid w:val="0"/>
          <w:color w:val="auto"/>
          <w:sz w:val="24"/>
          <w:vertAlign w:val="subscript"/>
        </w:rPr>
        <w:t>0i</w:t>
      </w:r>
      <w:r>
        <w:rPr>
          <w:snapToGrid w:val="0"/>
          <w:color w:val="auto"/>
          <w:sz w:val="24"/>
        </w:rPr>
        <w:t>－第i个污染物的环境空气质量浓度标准，mg/m</w:t>
      </w:r>
      <w:r>
        <w:rPr>
          <w:snapToGrid w:val="0"/>
          <w:color w:val="auto"/>
          <w:sz w:val="24"/>
          <w:vertAlign w:val="superscript"/>
        </w:rPr>
        <w:t>3</w:t>
      </w:r>
      <w:r>
        <w:rPr>
          <w:snapToGrid w:val="0"/>
          <w:color w:val="auto"/>
          <w:sz w:val="24"/>
        </w:rPr>
        <w:t>。一般选用GB3095中1h平均质量浓度的二级浓度限值，如项目位于一类环境空气功能区，应选择相应的一级浓度限值；对该标准中未包含的污染物，使用5.2确定的各评价因子1h平均质量浓度限值。对仅有8h平均质量浓度限值、日平均质量浓度限值或年平均质量浓度限值的，可分别按2倍、3倍、6倍折算为1h平均质量浓度限值。</w:t>
      </w:r>
    </w:p>
    <w:p w14:paraId="3B57FD05">
      <w:pPr>
        <w:spacing w:line="360" w:lineRule="auto"/>
        <w:ind w:firstLine="480" w:firstLineChars="200"/>
        <w:rPr>
          <w:color w:val="auto"/>
          <w:sz w:val="24"/>
        </w:rPr>
      </w:pPr>
      <w:r>
        <w:rPr>
          <w:rFonts w:hint="eastAsia"/>
          <w:color w:val="auto"/>
          <w:sz w:val="24"/>
        </w:rPr>
        <w:t>根据《环境影响评价技术导则  大气环境》（HJ2.2-2018）推荐模式清单中的</w:t>
      </w:r>
      <w:r>
        <w:rPr>
          <w:color w:val="auto"/>
          <w:sz w:val="24"/>
        </w:rPr>
        <w:t>估算</w:t>
      </w:r>
      <w:r>
        <w:rPr>
          <w:rFonts w:hint="eastAsia"/>
          <w:color w:val="auto"/>
          <w:sz w:val="24"/>
        </w:rPr>
        <w:t>模式分别计算本项目各个污染源排放污染物的下风向轴线浓度，并计算相应浓度占标率，估算模型参数取值见</w:t>
      </w:r>
      <w:r>
        <w:rPr>
          <w:color w:val="auto"/>
          <w:sz w:val="24"/>
        </w:rPr>
        <w:t>表2.3-</w:t>
      </w:r>
      <w:r>
        <w:rPr>
          <w:rFonts w:hint="eastAsia"/>
          <w:color w:val="auto"/>
          <w:sz w:val="24"/>
        </w:rPr>
        <w:t>3</w:t>
      </w:r>
      <w:r>
        <w:rPr>
          <w:color w:val="auto"/>
          <w:sz w:val="24"/>
        </w:rPr>
        <w:t>。</w:t>
      </w:r>
    </w:p>
    <w:p w14:paraId="372A5410">
      <w:pPr>
        <w:spacing w:line="400" w:lineRule="exact"/>
        <w:jc w:val="center"/>
        <w:rPr>
          <w:rFonts w:eastAsia="黑体"/>
          <w:color w:val="auto"/>
          <w:sz w:val="24"/>
        </w:rPr>
      </w:pPr>
      <w:r>
        <w:rPr>
          <w:rFonts w:eastAsia="黑体"/>
          <w:color w:val="auto"/>
          <w:sz w:val="24"/>
        </w:rPr>
        <w:t>表</w:t>
      </w:r>
      <w:r>
        <w:rPr>
          <w:color w:val="auto"/>
          <w:sz w:val="24"/>
        </w:rPr>
        <w:t>2.3-</w:t>
      </w:r>
      <w:r>
        <w:rPr>
          <w:rFonts w:hint="eastAsia"/>
          <w:color w:val="auto"/>
          <w:sz w:val="24"/>
        </w:rPr>
        <w:t>3</w:t>
      </w:r>
      <w:r>
        <w:rPr>
          <w:rFonts w:eastAsia="黑体"/>
          <w:color w:val="auto"/>
          <w:sz w:val="24"/>
        </w:rPr>
        <w:t xml:space="preserve">  估算模型参数表</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135"/>
        <w:gridCol w:w="3134"/>
        <w:gridCol w:w="2802"/>
      </w:tblGrid>
      <w:tr w14:paraId="5B4776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69" w:type="dxa"/>
            <w:gridSpan w:val="2"/>
            <w:noWrap w:val="0"/>
            <w:vAlign w:val="center"/>
          </w:tcPr>
          <w:p w14:paraId="758B07AE">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参数</w:t>
            </w:r>
          </w:p>
        </w:tc>
        <w:tc>
          <w:tcPr>
            <w:tcW w:w="2802" w:type="dxa"/>
            <w:noWrap w:val="0"/>
            <w:vAlign w:val="center"/>
          </w:tcPr>
          <w:p w14:paraId="1E365023">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取值</w:t>
            </w:r>
          </w:p>
        </w:tc>
      </w:tr>
      <w:tr w14:paraId="7EB6FE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35" w:type="dxa"/>
            <w:vMerge w:val="restart"/>
            <w:noWrap w:val="0"/>
            <w:vAlign w:val="center"/>
          </w:tcPr>
          <w:p w14:paraId="4377CE3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城市/农村选项</w:t>
            </w:r>
          </w:p>
        </w:tc>
        <w:tc>
          <w:tcPr>
            <w:tcW w:w="3134" w:type="dxa"/>
            <w:noWrap w:val="0"/>
            <w:vAlign w:val="center"/>
          </w:tcPr>
          <w:p w14:paraId="20FA007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城市/农村</w:t>
            </w:r>
          </w:p>
        </w:tc>
        <w:tc>
          <w:tcPr>
            <w:tcW w:w="2802" w:type="dxa"/>
            <w:noWrap w:val="0"/>
            <w:vAlign w:val="center"/>
          </w:tcPr>
          <w:p w14:paraId="5280B62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农村</w:t>
            </w:r>
          </w:p>
        </w:tc>
      </w:tr>
      <w:tr w14:paraId="3051B0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35" w:type="dxa"/>
            <w:vMerge w:val="continue"/>
            <w:noWrap w:val="0"/>
            <w:vAlign w:val="center"/>
          </w:tcPr>
          <w:p w14:paraId="7340E7C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3134" w:type="dxa"/>
            <w:noWrap w:val="0"/>
            <w:vAlign w:val="center"/>
          </w:tcPr>
          <w:p w14:paraId="1EAB61E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人口数（城市选项时）</w:t>
            </w:r>
          </w:p>
        </w:tc>
        <w:tc>
          <w:tcPr>
            <w:tcW w:w="2802" w:type="dxa"/>
            <w:noWrap w:val="0"/>
            <w:vAlign w:val="center"/>
          </w:tcPr>
          <w:p w14:paraId="6040BBE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r>
      <w:tr w14:paraId="6EF678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69" w:type="dxa"/>
            <w:gridSpan w:val="2"/>
            <w:noWrap w:val="0"/>
            <w:vAlign w:val="center"/>
          </w:tcPr>
          <w:p w14:paraId="1182D77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最高环境温度/℃</w:t>
            </w:r>
          </w:p>
        </w:tc>
        <w:tc>
          <w:tcPr>
            <w:tcW w:w="2802" w:type="dxa"/>
            <w:noWrap w:val="0"/>
            <w:vAlign w:val="center"/>
          </w:tcPr>
          <w:p w14:paraId="02790B7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40.6</w:t>
            </w:r>
          </w:p>
        </w:tc>
      </w:tr>
      <w:tr w14:paraId="1D2F0C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69" w:type="dxa"/>
            <w:gridSpan w:val="2"/>
            <w:noWrap w:val="0"/>
            <w:vAlign w:val="center"/>
          </w:tcPr>
          <w:p w14:paraId="0D3D425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最低环境温度/℃</w:t>
            </w:r>
          </w:p>
        </w:tc>
        <w:tc>
          <w:tcPr>
            <w:tcW w:w="2802" w:type="dxa"/>
            <w:noWrap w:val="0"/>
            <w:vAlign w:val="center"/>
          </w:tcPr>
          <w:p w14:paraId="4080CD7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-10.4</w:t>
            </w:r>
          </w:p>
        </w:tc>
      </w:tr>
      <w:tr w14:paraId="741F9D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69" w:type="dxa"/>
            <w:gridSpan w:val="2"/>
            <w:noWrap w:val="0"/>
            <w:vAlign w:val="center"/>
          </w:tcPr>
          <w:p w14:paraId="5A0BCDF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土地利用类型</w:t>
            </w:r>
          </w:p>
        </w:tc>
        <w:tc>
          <w:tcPr>
            <w:tcW w:w="2802" w:type="dxa"/>
            <w:noWrap w:val="0"/>
            <w:vAlign w:val="center"/>
          </w:tcPr>
          <w:p w14:paraId="42E00305">
            <w:pPr>
              <w:keepNext w:val="0"/>
              <w:keepLines w:val="0"/>
              <w:widowControl/>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农作地</w:t>
            </w:r>
          </w:p>
        </w:tc>
      </w:tr>
      <w:tr w14:paraId="7297F7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269" w:type="dxa"/>
            <w:gridSpan w:val="2"/>
            <w:noWrap w:val="0"/>
            <w:vAlign w:val="center"/>
          </w:tcPr>
          <w:p w14:paraId="2B81B4E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区域湿度条件</w:t>
            </w:r>
          </w:p>
        </w:tc>
        <w:tc>
          <w:tcPr>
            <w:tcW w:w="2802" w:type="dxa"/>
            <w:noWrap w:val="0"/>
            <w:vAlign w:val="center"/>
          </w:tcPr>
          <w:p w14:paraId="05FC4A0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中等湿度</w:t>
            </w:r>
          </w:p>
        </w:tc>
      </w:tr>
      <w:tr w14:paraId="694DF6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35" w:type="dxa"/>
            <w:vMerge w:val="restart"/>
            <w:noWrap w:val="0"/>
            <w:vAlign w:val="center"/>
          </w:tcPr>
          <w:p w14:paraId="3DFAAE7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是否考虑地形</w:t>
            </w:r>
          </w:p>
        </w:tc>
        <w:tc>
          <w:tcPr>
            <w:tcW w:w="3134" w:type="dxa"/>
            <w:noWrap w:val="0"/>
            <w:vAlign w:val="center"/>
          </w:tcPr>
          <w:p w14:paraId="6758BDA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考虑地形</w:t>
            </w:r>
          </w:p>
        </w:tc>
        <w:tc>
          <w:tcPr>
            <w:tcW w:w="2802" w:type="dxa"/>
            <w:noWrap w:val="0"/>
            <w:vAlign w:val="center"/>
          </w:tcPr>
          <w:p w14:paraId="00DDD555">
            <w:pPr>
              <w:keepNext w:val="0"/>
              <w:keepLines w:val="0"/>
              <w:widowControl/>
              <w:suppressLineNumbers w:val="0"/>
              <w:spacing w:before="0" w:beforeAutospacing="0" w:after="0" w:afterAutospacing="0"/>
              <w:ind w:left="0" w:right="0" w:firstLine="525" w:firstLineChars="250"/>
              <w:rPr>
                <w:rFonts w:hint="default" w:ascii="Times New Roman" w:hAnsi="Times New Roman" w:cs="Times New Roman"/>
                <w:color w:val="auto"/>
              </w:rPr>
            </w:pPr>
            <w:r>
              <w:rPr>
                <w:rFonts w:hint="default" w:ascii="Times New Roman" w:hAnsi="Times New Roman" w:cs="Times New Roman"/>
                <w:color w:val="auto"/>
              </w:rPr>
              <w:t>是√          否</w:t>
            </w:r>
          </w:p>
        </w:tc>
      </w:tr>
      <w:tr w14:paraId="02A025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35" w:type="dxa"/>
            <w:vMerge w:val="continue"/>
            <w:noWrap w:val="0"/>
            <w:vAlign w:val="center"/>
          </w:tcPr>
          <w:p w14:paraId="3335BFC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3134" w:type="dxa"/>
            <w:noWrap w:val="0"/>
            <w:vAlign w:val="center"/>
          </w:tcPr>
          <w:p w14:paraId="6A14115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地形数据分辨率/m</w:t>
            </w:r>
          </w:p>
        </w:tc>
        <w:tc>
          <w:tcPr>
            <w:tcW w:w="2802" w:type="dxa"/>
            <w:noWrap w:val="0"/>
            <w:vAlign w:val="center"/>
          </w:tcPr>
          <w:p w14:paraId="00C7E9D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90m</w:t>
            </w:r>
          </w:p>
        </w:tc>
      </w:tr>
      <w:tr w14:paraId="62410F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35" w:type="dxa"/>
            <w:vMerge w:val="restart"/>
            <w:noWrap w:val="0"/>
            <w:vAlign w:val="center"/>
          </w:tcPr>
          <w:p w14:paraId="25887D4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是否考虑岸线熏烟</w:t>
            </w:r>
          </w:p>
        </w:tc>
        <w:tc>
          <w:tcPr>
            <w:tcW w:w="3134" w:type="dxa"/>
            <w:noWrap w:val="0"/>
            <w:vAlign w:val="center"/>
          </w:tcPr>
          <w:p w14:paraId="119F506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考虑岸线熏烟</w:t>
            </w:r>
          </w:p>
        </w:tc>
        <w:tc>
          <w:tcPr>
            <w:tcW w:w="2802" w:type="dxa"/>
            <w:noWrap w:val="0"/>
            <w:vAlign w:val="center"/>
          </w:tcPr>
          <w:p w14:paraId="6644AD1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是           否√</w:t>
            </w:r>
          </w:p>
        </w:tc>
      </w:tr>
      <w:tr w14:paraId="5164E0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35" w:type="dxa"/>
            <w:vMerge w:val="continue"/>
            <w:noWrap w:val="0"/>
            <w:vAlign w:val="center"/>
          </w:tcPr>
          <w:p w14:paraId="4A17F2F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3134" w:type="dxa"/>
            <w:noWrap w:val="0"/>
            <w:vAlign w:val="center"/>
          </w:tcPr>
          <w:p w14:paraId="713B0C4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岸线距离/km</w:t>
            </w:r>
          </w:p>
        </w:tc>
        <w:tc>
          <w:tcPr>
            <w:tcW w:w="2802" w:type="dxa"/>
            <w:noWrap w:val="0"/>
            <w:vAlign w:val="center"/>
          </w:tcPr>
          <w:p w14:paraId="110EEEA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r>
      <w:tr w14:paraId="6EA3B0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35" w:type="dxa"/>
            <w:vMerge w:val="continue"/>
            <w:noWrap w:val="0"/>
            <w:vAlign w:val="center"/>
          </w:tcPr>
          <w:p w14:paraId="6156C14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3134" w:type="dxa"/>
            <w:noWrap w:val="0"/>
            <w:vAlign w:val="center"/>
          </w:tcPr>
          <w:p w14:paraId="527ADB3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岸线方向/°</w:t>
            </w:r>
          </w:p>
        </w:tc>
        <w:tc>
          <w:tcPr>
            <w:tcW w:w="2802" w:type="dxa"/>
            <w:noWrap w:val="0"/>
            <w:vAlign w:val="center"/>
          </w:tcPr>
          <w:p w14:paraId="145B24A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r>
    </w:tbl>
    <w:p w14:paraId="79B52B41">
      <w:pPr>
        <w:ind w:firstLine="412"/>
        <w:rPr>
          <w:color w:val="auto"/>
          <w:spacing w:val="-2"/>
          <w:kern w:val="0"/>
        </w:rPr>
      </w:pPr>
      <w:r>
        <w:rPr>
          <w:rFonts w:hint="eastAsia"/>
          <w:color w:val="auto"/>
          <w:spacing w:val="-2"/>
          <w:kern w:val="0"/>
        </w:rPr>
        <w:t>注：①本项目位于淮南市潘集区平圩镇淮河北汊的左岸潘集港区规划作业区</w:t>
      </w:r>
      <w:r>
        <w:rPr>
          <w:color w:val="auto"/>
          <w:szCs w:val="24"/>
        </w:rPr>
        <w:t>，</w:t>
      </w:r>
      <w:r>
        <w:rPr>
          <w:rFonts w:hint="eastAsia"/>
          <w:color w:val="auto"/>
          <w:szCs w:val="24"/>
        </w:rPr>
        <w:t>周边3km半径范围内城市建成区或规划区</w:t>
      </w:r>
      <w:r>
        <w:rPr>
          <w:rFonts w:hint="eastAsia"/>
          <w:color w:val="auto"/>
          <w:szCs w:val="24"/>
          <w:lang w:eastAsia="zh-CN"/>
        </w:rPr>
        <w:t>面积小于</w:t>
      </w:r>
      <w:r>
        <w:rPr>
          <w:rFonts w:hint="eastAsia"/>
          <w:color w:val="auto"/>
          <w:szCs w:val="24"/>
        </w:rPr>
        <w:t>一半，</w:t>
      </w:r>
      <w:r>
        <w:rPr>
          <w:rFonts w:hint="eastAsia"/>
          <w:color w:val="auto"/>
          <w:spacing w:val="-2"/>
          <w:kern w:val="0"/>
        </w:rPr>
        <w:t>因此选择农村</w:t>
      </w:r>
      <w:r>
        <w:rPr>
          <w:rFonts w:hint="eastAsia"/>
          <w:color w:val="auto"/>
          <w:spacing w:val="-2"/>
          <w:kern w:val="0"/>
          <w:lang w:eastAsia="zh-CN"/>
        </w:rPr>
        <w:t>。</w:t>
      </w:r>
    </w:p>
    <w:p w14:paraId="36BFE19C">
      <w:pPr>
        <w:ind w:firstLine="412"/>
        <w:rPr>
          <w:color w:val="auto"/>
          <w:spacing w:val="-2"/>
          <w:kern w:val="0"/>
        </w:rPr>
      </w:pPr>
      <w:r>
        <w:rPr>
          <w:rFonts w:hint="eastAsia"/>
          <w:color w:val="auto"/>
          <w:spacing w:val="-2"/>
          <w:kern w:val="0"/>
        </w:rPr>
        <w:t>②土地利用类型</w:t>
      </w:r>
      <w:r>
        <w:rPr>
          <w:rFonts w:hint="eastAsia"/>
          <w:color w:val="auto"/>
          <w:spacing w:val="-2"/>
          <w:kern w:val="0"/>
          <w:lang w:eastAsia="zh-CN"/>
        </w:rPr>
        <w:t>按</w:t>
      </w:r>
      <w:r>
        <w:rPr>
          <w:rFonts w:hint="eastAsia"/>
          <w:color w:val="auto"/>
          <w:spacing w:val="-2"/>
          <w:kern w:val="0"/>
        </w:rPr>
        <w:t>项目周边3km范围内占地面积最大的土地利用类型确定；</w:t>
      </w:r>
    </w:p>
    <w:p w14:paraId="4E847FD9">
      <w:pPr>
        <w:ind w:firstLine="412"/>
        <w:rPr>
          <w:color w:val="auto"/>
          <w:spacing w:val="-2"/>
          <w:kern w:val="0"/>
        </w:rPr>
      </w:pPr>
      <w:r>
        <w:rPr>
          <w:rFonts w:hint="eastAsia"/>
          <w:color w:val="auto"/>
          <w:spacing w:val="-2"/>
          <w:kern w:val="0"/>
        </w:rPr>
        <w:t>③潮湿气候划分根据中国干湿地区划分</w:t>
      </w:r>
      <w:r>
        <w:rPr>
          <w:rFonts w:hint="eastAsia"/>
          <w:color w:val="auto"/>
          <w:spacing w:val="-2"/>
          <w:kern w:val="0"/>
          <w:lang w:eastAsia="zh-CN"/>
        </w:rPr>
        <w:t>图</w:t>
      </w:r>
      <w:r>
        <w:rPr>
          <w:rFonts w:hint="eastAsia"/>
          <w:color w:val="auto"/>
          <w:spacing w:val="-2"/>
          <w:kern w:val="0"/>
        </w:rPr>
        <w:t>确定，本项目为中等湿润区</w:t>
      </w:r>
      <w:r>
        <w:rPr>
          <w:rFonts w:hint="eastAsia"/>
          <w:color w:val="auto"/>
          <w:spacing w:val="-2"/>
          <w:kern w:val="0"/>
          <w:lang w:eastAsia="zh-CN"/>
        </w:rPr>
        <w:t>。</w:t>
      </w:r>
    </w:p>
    <w:p w14:paraId="70700F0B">
      <w:pPr>
        <w:ind w:firstLine="412"/>
        <w:jc w:val="left"/>
        <w:rPr>
          <w:b/>
          <w:bCs/>
          <w:color w:val="auto"/>
        </w:rPr>
      </w:pPr>
      <w:r>
        <w:rPr>
          <w:rFonts w:hint="eastAsia"/>
          <w:color w:val="auto"/>
          <w:spacing w:val="-2"/>
          <w:kern w:val="0"/>
        </w:rPr>
        <w:t>④根据《环境影响评价技术导则 大气环境》</w:t>
      </w:r>
      <w:r>
        <w:rPr>
          <w:rFonts w:hint="eastAsia"/>
          <w:color w:val="auto"/>
          <w:spacing w:val="-2"/>
          <w:kern w:val="0"/>
          <w:lang w:eastAsia="zh-CN"/>
        </w:rPr>
        <w:t>（</w:t>
      </w:r>
      <w:r>
        <w:rPr>
          <w:rFonts w:hint="eastAsia"/>
          <w:color w:val="auto"/>
          <w:spacing w:val="-2"/>
          <w:kern w:val="0"/>
        </w:rPr>
        <w:t>HJ2.2-2018)：当建设项目处于大型水体</w:t>
      </w:r>
      <w:r>
        <w:rPr>
          <w:rFonts w:hint="eastAsia"/>
          <w:color w:val="auto"/>
          <w:spacing w:val="-2"/>
          <w:kern w:val="0"/>
          <w:lang w:eastAsia="zh-CN"/>
        </w:rPr>
        <w:t>（</w:t>
      </w:r>
      <w:r>
        <w:rPr>
          <w:rFonts w:hint="eastAsia"/>
          <w:color w:val="auto"/>
          <w:spacing w:val="-2"/>
          <w:kern w:val="0"/>
        </w:rPr>
        <w:t>海或湖）岸边3km范围内时，应首先采用附录A估算模型判定是否会发生熏烟现象。本项目3km范围内无大型水体，不考虑熏烟现象。</w:t>
      </w:r>
    </w:p>
    <w:p w14:paraId="18E48D8D">
      <w:pPr>
        <w:spacing w:line="360" w:lineRule="auto"/>
        <w:ind w:firstLine="480" w:firstLineChars="200"/>
        <w:rPr>
          <w:color w:val="auto"/>
          <w:sz w:val="24"/>
        </w:rPr>
      </w:pPr>
      <w:r>
        <w:rPr>
          <w:color w:val="auto"/>
          <w:sz w:val="24"/>
        </w:rPr>
        <w:t>AERSCREEN估算模型计算结果</w:t>
      </w:r>
      <w:r>
        <w:rPr>
          <w:rFonts w:hint="eastAsia"/>
          <w:color w:val="auto"/>
          <w:sz w:val="24"/>
          <w:lang w:eastAsia="zh-CN"/>
        </w:rPr>
        <w:t>如下</w:t>
      </w:r>
      <w:r>
        <w:rPr>
          <w:color w:val="auto"/>
          <w:sz w:val="24"/>
        </w:rPr>
        <w:t>表所示。</w:t>
      </w:r>
    </w:p>
    <w:p w14:paraId="4A3491E7">
      <w:pPr>
        <w:spacing w:line="400" w:lineRule="exact"/>
        <w:jc w:val="center"/>
        <w:rPr>
          <w:rFonts w:eastAsia="黑体"/>
          <w:color w:val="auto"/>
          <w:sz w:val="24"/>
        </w:rPr>
      </w:pPr>
      <w:r>
        <w:rPr>
          <w:rFonts w:eastAsia="黑体"/>
          <w:color w:val="auto"/>
          <w:sz w:val="24"/>
        </w:rPr>
        <w:t>表2.3-</w:t>
      </w:r>
      <w:r>
        <w:rPr>
          <w:rFonts w:hint="eastAsia" w:eastAsia="黑体"/>
          <w:color w:val="auto"/>
          <w:sz w:val="24"/>
        </w:rPr>
        <w:t>4</w:t>
      </w:r>
      <w:r>
        <w:rPr>
          <w:rFonts w:eastAsia="黑体"/>
          <w:color w:val="auto"/>
          <w:sz w:val="24"/>
        </w:rPr>
        <w:t xml:space="preserve">  本项目废气污染物估算模型计算结果</w:t>
      </w:r>
    </w:p>
    <w:tbl>
      <w:tblPr>
        <w:tblStyle w:val="53"/>
        <w:tblpPr w:leftFromText="180" w:rightFromText="180" w:vertAnchor="text" w:tblpXSpec="center" w:tblpY="1"/>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891"/>
        <w:gridCol w:w="1842"/>
        <w:gridCol w:w="1272"/>
        <w:gridCol w:w="1558"/>
        <w:gridCol w:w="1031"/>
        <w:gridCol w:w="1060"/>
      </w:tblGrid>
      <w:tr w14:paraId="5E5D28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3" w:type="dxa"/>
            <w:gridSpan w:val="2"/>
            <w:noWrap w:val="0"/>
            <w:vAlign w:val="center"/>
          </w:tcPr>
          <w:p w14:paraId="282FAD7F">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
                <w:color w:val="auto"/>
                <w:lang w:val="zh-CN"/>
              </w:rPr>
            </w:pPr>
            <w:r>
              <w:rPr>
                <w:rFonts w:hint="default" w:ascii="Times New Roman" w:hAnsi="Times New Roman" w:cs="Times New Roman"/>
                <w:b/>
                <w:color w:val="auto"/>
                <w:lang w:val="zh-CN"/>
              </w:rPr>
              <w:t>项目</w:t>
            </w:r>
          </w:p>
        </w:tc>
        <w:tc>
          <w:tcPr>
            <w:tcW w:w="1842" w:type="dxa"/>
            <w:noWrap w:val="0"/>
            <w:vAlign w:val="center"/>
          </w:tcPr>
          <w:p w14:paraId="13E2FB7A">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
                <w:color w:val="auto"/>
                <w:lang w:val="zh-CN"/>
              </w:rPr>
            </w:pPr>
            <w:r>
              <w:rPr>
                <w:rFonts w:hint="default" w:ascii="Times New Roman" w:hAnsi="Times New Roman" w:cs="Times New Roman"/>
                <w:b/>
                <w:color w:val="auto"/>
                <w:lang w:val="zh-CN"/>
              </w:rPr>
              <w:t>最大地面浓度</w:t>
            </w:r>
          </w:p>
          <w:p w14:paraId="27AFF687">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
                <w:color w:val="auto"/>
                <w:lang w:val="zh-CN"/>
              </w:rPr>
            </w:pPr>
            <w:r>
              <w:rPr>
                <w:rFonts w:hint="default" w:ascii="Times New Roman" w:hAnsi="Times New Roman" w:cs="Times New Roman"/>
                <w:b/>
                <w:color w:val="auto"/>
                <w:lang w:val="zh-CN"/>
              </w:rPr>
              <w:t>(μg/m</w:t>
            </w:r>
            <w:r>
              <w:rPr>
                <w:rFonts w:hint="default" w:ascii="Times New Roman" w:hAnsi="Times New Roman" w:cs="Times New Roman"/>
                <w:b/>
                <w:color w:val="auto"/>
                <w:vertAlign w:val="superscript"/>
                <w:lang w:val="zh-CN"/>
              </w:rPr>
              <w:t>3</w:t>
            </w:r>
            <w:r>
              <w:rPr>
                <w:rFonts w:hint="default" w:ascii="Times New Roman" w:hAnsi="Times New Roman" w:cs="Times New Roman"/>
                <w:b/>
                <w:color w:val="auto"/>
                <w:lang w:val="zh-CN"/>
              </w:rPr>
              <w:t>)</w:t>
            </w:r>
          </w:p>
        </w:tc>
        <w:tc>
          <w:tcPr>
            <w:tcW w:w="1272" w:type="dxa"/>
            <w:noWrap w:val="0"/>
            <w:vAlign w:val="center"/>
          </w:tcPr>
          <w:p w14:paraId="533C14B7">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
                <w:color w:val="auto"/>
                <w:lang w:val="zh-CN"/>
              </w:rPr>
            </w:pPr>
            <w:r>
              <w:rPr>
                <w:rFonts w:hint="default" w:ascii="Times New Roman" w:hAnsi="Times New Roman" w:cs="Times New Roman"/>
                <w:b/>
                <w:color w:val="auto"/>
                <w:lang w:val="zh-CN"/>
              </w:rPr>
              <w:t>占标率</w:t>
            </w:r>
          </w:p>
          <w:p w14:paraId="429B48DE">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
                <w:color w:val="auto"/>
                <w:lang w:val="zh-CN"/>
              </w:rPr>
            </w:pPr>
            <w:r>
              <w:rPr>
                <w:rFonts w:hint="default" w:ascii="Times New Roman" w:hAnsi="Times New Roman" w:cs="Times New Roman"/>
                <w:b/>
                <w:color w:val="auto"/>
                <w:lang w:val="zh-CN"/>
              </w:rPr>
              <w:t>(%)</w:t>
            </w:r>
          </w:p>
        </w:tc>
        <w:tc>
          <w:tcPr>
            <w:tcW w:w="1558" w:type="dxa"/>
            <w:noWrap w:val="0"/>
            <w:vAlign w:val="center"/>
          </w:tcPr>
          <w:p w14:paraId="14F52004">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
                <w:color w:val="auto"/>
                <w:lang w:val="zh-CN"/>
              </w:rPr>
            </w:pPr>
            <w:r>
              <w:rPr>
                <w:rFonts w:hint="default" w:ascii="Times New Roman" w:hAnsi="Times New Roman" w:cs="Times New Roman"/>
                <w:b/>
                <w:color w:val="auto"/>
                <w:lang w:val="zh-CN"/>
              </w:rPr>
              <w:t>最大浓度距离(m)</w:t>
            </w:r>
          </w:p>
        </w:tc>
        <w:tc>
          <w:tcPr>
            <w:tcW w:w="1031" w:type="dxa"/>
            <w:noWrap w:val="0"/>
            <w:vAlign w:val="center"/>
          </w:tcPr>
          <w:p w14:paraId="3B839E31">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
                <w:color w:val="auto"/>
                <w:lang w:val="zh-CN"/>
              </w:rPr>
            </w:pPr>
            <w:r>
              <w:rPr>
                <w:rFonts w:hint="default" w:ascii="Times New Roman" w:hAnsi="Times New Roman" w:cs="Times New Roman"/>
                <w:b/>
                <w:color w:val="auto"/>
                <w:lang w:val="zh-CN"/>
              </w:rPr>
              <w:t>D</w:t>
            </w:r>
            <w:r>
              <w:rPr>
                <w:rFonts w:hint="default" w:ascii="Times New Roman" w:hAnsi="Times New Roman" w:cs="Times New Roman"/>
                <w:b/>
                <w:color w:val="auto"/>
                <w:vertAlign w:val="subscript"/>
                <w:lang w:val="zh-CN"/>
              </w:rPr>
              <w:t>10%</w:t>
            </w:r>
          </w:p>
        </w:tc>
        <w:tc>
          <w:tcPr>
            <w:tcW w:w="1060" w:type="dxa"/>
            <w:noWrap w:val="0"/>
            <w:vAlign w:val="center"/>
          </w:tcPr>
          <w:p w14:paraId="51097107">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b/>
                <w:color w:val="auto"/>
                <w:lang w:val="zh-CN"/>
              </w:rPr>
            </w:pPr>
            <w:r>
              <w:rPr>
                <w:rFonts w:hint="default" w:ascii="Times New Roman" w:hAnsi="Times New Roman" w:cs="Times New Roman"/>
                <w:b/>
                <w:color w:val="auto"/>
                <w:lang w:val="zh-CN"/>
              </w:rPr>
              <w:t>评价等级</w:t>
            </w:r>
          </w:p>
        </w:tc>
      </w:tr>
      <w:tr w14:paraId="7DE3D4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32" w:type="dxa"/>
            <w:noWrap w:val="0"/>
            <w:vAlign w:val="center"/>
          </w:tcPr>
          <w:p w14:paraId="08E0DB5C">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color w:val="auto"/>
                <w:lang w:val="zh-CN"/>
              </w:rPr>
            </w:pPr>
            <w:r>
              <w:rPr>
                <w:rFonts w:hint="default" w:ascii="Times New Roman" w:hAnsi="Times New Roman" w:cs="Times New Roman"/>
                <w:color w:val="auto"/>
                <w:lang w:val="zh-CN"/>
              </w:rPr>
              <w:t>无组织排放</w:t>
            </w:r>
          </w:p>
        </w:tc>
        <w:tc>
          <w:tcPr>
            <w:tcW w:w="891" w:type="dxa"/>
            <w:noWrap w:val="0"/>
            <w:vAlign w:val="center"/>
          </w:tcPr>
          <w:p w14:paraId="34517CD5">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color w:val="auto"/>
                <w:vertAlign w:val="subscript"/>
                <w:lang w:val="en-US"/>
              </w:rPr>
            </w:pPr>
            <w:r>
              <w:rPr>
                <w:rFonts w:hint="eastAsia" w:cs="Times New Roman"/>
                <w:color w:val="auto"/>
                <w:lang w:val="en-US" w:eastAsia="zh-CN"/>
              </w:rPr>
              <w:t>TSP</w:t>
            </w:r>
          </w:p>
        </w:tc>
        <w:tc>
          <w:tcPr>
            <w:tcW w:w="1842" w:type="dxa"/>
            <w:noWrap w:val="0"/>
            <w:vAlign w:val="center"/>
          </w:tcPr>
          <w:p w14:paraId="1EF88089">
            <w:pPr>
              <w:keepNext w:val="0"/>
              <w:keepLines w:val="0"/>
              <w:suppressLineNumbers w:val="0"/>
              <w:tabs>
                <w:tab w:val="left" w:pos="10300"/>
              </w:tabs>
              <w:adjustRightInd w:val="0"/>
              <w:snapToGrid w:val="0"/>
              <w:spacing w:before="0" w:beforeAutospacing="0" w:after="0" w:afterAutospacing="0" w:line="280" w:lineRule="exact"/>
              <w:ind w:left="0" w:right="0"/>
              <w:jc w:val="center"/>
              <w:rPr>
                <w:rFonts w:hint="default" w:ascii="Times New Roman" w:hAnsi="Times New Roman" w:cs="Times New Roman"/>
                <w:color w:val="auto"/>
                <w:spacing w:val="-2"/>
              </w:rPr>
            </w:pPr>
            <w:r>
              <w:rPr>
                <w:rFonts w:hint="eastAsia" w:cs="Times New Roman"/>
                <w:color w:val="auto"/>
                <w:spacing w:val="-2"/>
                <w:lang w:val="en-US" w:eastAsia="zh-CN"/>
              </w:rPr>
              <w:t>70</w:t>
            </w:r>
            <w:r>
              <w:rPr>
                <w:rFonts w:hint="eastAsia" w:ascii="Times New Roman" w:hAnsi="Times New Roman" w:cs="Times New Roman"/>
                <w:color w:val="auto"/>
                <w:spacing w:val="-2"/>
              </w:rPr>
              <w:t>.58</w:t>
            </w:r>
          </w:p>
        </w:tc>
        <w:tc>
          <w:tcPr>
            <w:tcW w:w="1272" w:type="dxa"/>
            <w:noWrap w:val="0"/>
            <w:vAlign w:val="center"/>
          </w:tcPr>
          <w:p w14:paraId="74199B54">
            <w:pPr>
              <w:keepNext w:val="0"/>
              <w:keepLines w:val="0"/>
              <w:suppressLineNumbers w:val="0"/>
              <w:tabs>
                <w:tab w:val="left" w:pos="10300"/>
              </w:tabs>
              <w:adjustRightInd w:val="0"/>
              <w:snapToGrid w:val="0"/>
              <w:spacing w:before="0" w:beforeAutospacing="0" w:after="0" w:afterAutospacing="0" w:line="280" w:lineRule="exact"/>
              <w:ind w:left="0" w:right="0"/>
              <w:jc w:val="center"/>
              <w:rPr>
                <w:rFonts w:hint="default" w:ascii="Times New Roman" w:hAnsi="Times New Roman" w:eastAsia="宋体" w:cs="Times New Roman"/>
                <w:color w:val="auto"/>
                <w:spacing w:val="-2"/>
                <w:lang w:val="en-US" w:eastAsia="zh-CN"/>
              </w:rPr>
            </w:pPr>
            <w:r>
              <w:rPr>
                <w:rFonts w:hint="eastAsia" w:cs="Times New Roman"/>
                <w:color w:val="auto"/>
                <w:spacing w:val="-2"/>
                <w:lang w:val="en-US" w:eastAsia="zh-CN"/>
              </w:rPr>
              <w:t>7.84</w:t>
            </w:r>
          </w:p>
        </w:tc>
        <w:tc>
          <w:tcPr>
            <w:tcW w:w="1558" w:type="dxa"/>
            <w:noWrap w:val="0"/>
            <w:vAlign w:val="center"/>
          </w:tcPr>
          <w:p w14:paraId="3EA6FECA">
            <w:pPr>
              <w:keepNext w:val="0"/>
              <w:keepLines w:val="0"/>
              <w:suppressLineNumbers w:val="0"/>
              <w:spacing w:before="0" w:beforeAutospacing="0" w:after="0" w:afterAutospacing="0" w:line="280" w:lineRule="exact"/>
              <w:ind w:left="0" w:right="0"/>
              <w:jc w:val="center"/>
              <w:rPr>
                <w:rFonts w:hint="default" w:ascii="Times New Roman" w:hAnsi="Times New Roman" w:eastAsia="宋体" w:cs="Times New Roman"/>
                <w:color w:val="auto"/>
                <w:lang w:val="en-US" w:eastAsia="zh-CN"/>
              </w:rPr>
            </w:pPr>
            <w:r>
              <w:rPr>
                <w:rFonts w:hint="eastAsia" w:cs="Times New Roman"/>
                <w:color w:val="auto"/>
                <w:lang w:val="en-US" w:eastAsia="zh-CN"/>
              </w:rPr>
              <w:t>26</w:t>
            </w:r>
          </w:p>
        </w:tc>
        <w:tc>
          <w:tcPr>
            <w:tcW w:w="1031" w:type="dxa"/>
            <w:noWrap w:val="0"/>
            <w:vAlign w:val="center"/>
          </w:tcPr>
          <w:p w14:paraId="34F25978">
            <w:pPr>
              <w:keepNext w:val="0"/>
              <w:keepLines w:val="0"/>
              <w:suppressLineNumbers w:val="0"/>
              <w:spacing w:before="0" w:beforeAutospacing="0" w:after="0" w:afterAutospacing="0" w:line="280" w:lineRule="exact"/>
              <w:ind w:left="0" w:right="0"/>
              <w:jc w:val="center"/>
              <w:rPr>
                <w:rFonts w:hint="eastAsia" w:ascii="Times New Roman" w:hAnsi="Times New Roman" w:eastAsia="宋体" w:cs="Times New Roman"/>
                <w:color w:val="auto"/>
                <w:lang w:eastAsia="zh-CN"/>
              </w:rPr>
            </w:pPr>
            <w:r>
              <w:rPr>
                <w:rFonts w:hint="eastAsia" w:cs="Times New Roman"/>
                <w:color w:val="auto"/>
                <w:lang w:val="en-US" w:eastAsia="zh-CN"/>
              </w:rPr>
              <w:t>/</w:t>
            </w:r>
          </w:p>
        </w:tc>
        <w:tc>
          <w:tcPr>
            <w:tcW w:w="1060" w:type="dxa"/>
            <w:noWrap w:val="0"/>
            <w:vAlign w:val="center"/>
          </w:tcPr>
          <w:p w14:paraId="283A6909">
            <w:pPr>
              <w:keepNext w:val="0"/>
              <w:keepLines w:val="0"/>
              <w:suppressLineNumbers w:val="0"/>
              <w:spacing w:before="0" w:beforeAutospacing="0" w:after="0" w:afterAutospacing="0" w:line="280" w:lineRule="exact"/>
              <w:ind w:left="0" w:right="0"/>
              <w:jc w:val="center"/>
              <w:rPr>
                <w:rFonts w:hint="default" w:ascii="Times New Roman" w:hAnsi="Times New Roman" w:cs="Times New Roman"/>
                <w:color w:val="auto"/>
              </w:rPr>
            </w:pPr>
            <w:r>
              <w:rPr>
                <w:rFonts w:hint="eastAsia" w:cs="Times New Roman"/>
                <w:b/>
                <w:color w:val="auto"/>
                <w:lang w:val="en-US" w:eastAsia="zh-CN"/>
              </w:rPr>
              <w:t>二</w:t>
            </w:r>
            <w:r>
              <w:rPr>
                <w:rFonts w:hint="default" w:ascii="Times New Roman" w:hAnsi="Times New Roman" w:cs="Times New Roman"/>
                <w:b/>
                <w:color w:val="auto"/>
              </w:rPr>
              <w:t>级</w:t>
            </w:r>
          </w:p>
        </w:tc>
      </w:tr>
    </w:tbl>
    <w:p w14:paraId="57FE3C80">
      <w:pPr>
        <w:spacing w:line="360" w:lineRule="auto"/>
        <w:ind w:firstLine="480" w:firstLineChars="200"/>
        <w:rPr>
          <w:color w:val="auto"/>
          <w:sz w:val="24"/>
        </w:rPr>
      </w:pPr>
      <w:r>
        <w:rPr>
          <w:color w:val="auto"/>
          <w:sz w:val="24"/>
        </w:rPr>
        <w:t>综上所述，本项目大气环境影响评价等级判定表</w:t>
      </w:r>
      <w:r>
        <w:rPr>
          <w:rFonts w:hint="eastAsia"/>
          <w:color w:val="auto"/>
          <w:sz w:val="24"/>
          <w:lang w:eastAsia="zh-CN"/>
        </w:rPr>
        <w:t>如下</w:t>
      </w:r>
      <w:r>
        <w:rPr>
          <w:color w:val="auto"/>
          <w:sz w:val="24"/>
        </w:rPr>
        <w:t>表所示。</w:t>
      </w:r>
    </w:p>
    <w:p w14:paraId="56AC5E25">
      <w:pPr>
        <w:spacing w:line="400" w:lineRule="exact"/>
        <w:jc w:val="center"/>
        <w:rPr>
          <w:rFonts w:eastAsia="黑体"/>
          <w:color w:val="auto"/>
          <w:sz w:val="24"/>
        </w:rPr>
      </w:pPr>
      <w:r>
        <w:rPr>
          <w:rFonts w:eastAsia="黑体"/>
          <w:color w:val="auto"/>
          <w:sz w:val="24"/>
        </w:rPr>
        <w:t>表2.3-</w:t>
      </w:r>
      <w:r>
        <w:rPr>
          <w:rFonts w:hint="eastAsia" w:eastAsia="黑体"/>
          <w:color w:val="auto"/>
          <w:sz w:val="24"/>
        </w:rPr>
        <w:t>5</w:t>
      </w:r>
      <w:r>
        <w:rPr>
          <w:rFonts w:eastAsia="黑体"/>
          <w:color w:val="auto"/>
          <w:sz w:val="24"/>
        </w:rPr>
        <w:t xml:space="preserve">  大气环境影响评价工作等级判据</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911"/>
        <w:gridCol w:w="5375"/>
      </w:tblGrid>
      <w:tr w14:paraId="41504B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911" w:type="dxa"/>
            <w:noWrap w:val="0"/>
            <w:vAlign w:val="center"/>
          </w:tcPr>
          <w:p w14:paraId="251ACB88">
            <w:pPr>
              <w:keepNext w:val="0"/>
              <w:keepLines w:val="0"/>
              <w:suppressLineNumbers w:val="0"/>
              <w:spacing w:before="0" w:beforeAutospacing="0" w:after="0" w:afterAutospacing="0"/>
              <w:ind w:left="0" w:right="0"/>
              <w:jc w:val="center"/>
              <w:rPr>
                <w:rFonts w:hint="default" w:ascii="Times New Roman" w:hAnsi="Times New Roman" w:cs="Times New Roman"/>
                <w:b/>
                <w:color w:val="auto"/>
                <w:lang w:val="zh-CN"/>
              </w:rPr>
            </w:pPr>
            <w:r>
              <w:rPr>
                <w:rFonts w:hint="default" w:ascii="Times New Roman" w:hAnsi="Times New Roman" w:cs="Times New Roman"/>
                <w:b/>
                <w:color w:val="auto"/>
                <w:lang w:val="zh-CN"/>
              </w:rPr>
              <w:t>评价工作等级</w:t>
            </w:r>
          </w:p>
        </w:tc>
        <w:tc>
          <w:tcPr>
            <w:tcW w:w="5375" w:type="dxa"/>
            <w:noWrap w:val="0"/>
            <w:vAlign w:val="center"/>
          </w:tcPr>
          <w:p w14:paraId="70569F69">
            <w:pPr>
              <w:keepNext w:val="0"/>
              <w:keepLines w:val="0"/>
              <w:suppressLineNumbers w:val="0"/>
              <w:spacing w:before="0" w:beforeAutospacing="0" w:after="0" w:afterAutospacing="0"/>
              <w:ind w:left="0" w:right="0"/>
              <w:jc w:val="center"/>
              <w:rPr>
                <w:rFonts w:hint="default" w:ascii="Times New Roman" w:hAnsi="Times New Roman" w:cs="Times New Roman"/>
                <w:b/>
                <w:color w:val="auto"/>
                <w:lang w:val="zh-CN"/>
              </w:rPr>
            </w:pPr>
            <w:r>
              <w:rPr>
                <w:rFonts w:hint="default" w:ascii="Times New Roman" w:hAnsi="Times New Roman" w:cs="Times New Roman"/>
                <w:b/>
                <w:color w:val="auto"/>
                <w:lang w:val="zh-CN"/>
              </w:rPr>
              <w:t>评价工作分级判据</w:t>
            </w:r>
          </w:p>
        </w:tc>
      </w:tr>
      <w:tr w14:paraId="3E0430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911" w:type="dxa"/>
            <w:noWrap w:val="0"/>
            <w:vAlign w:val="center"/>
          </w:tcPr>
          <w:p w14:paraId="6B847F0B">
            <w:pPr>
              <w:keepNext w:val="0"/>
              <w:keepLines w:val="0"/>
              <w:suppressLineNumbers w:val="0"/>
              <w:spacing w:before="0" w:beforeAutospacing="0" w:after="0" w:afterAutospacing="0"/>
              <w:ind w:left="0" w:right="0"/>
              <w:jc w:val="center"/>
              <w:rPr>
                <w:rFonts w:hint="default" w:ascii="Times New Roman" w:hAnsi="Times New Roman" w:cs="Times New Roman"/>
                <w:color w:val="auto"/>
                <w:lang w:val="zh-CN"/>
              </w:rPr>
            </w:pPr>
            <w:r>
              <w:rPr>
                <w:rFonts w:hint="default" w:ascii="Times New Roman" w:hAnsi="Times New Roman" w:cs="Times New Roman"/>
                <w:color w:val="auto"/>
                <w:lang w:val="zh-CN"/>
              </w:rPr>
              <w:t>一级</w:t>
            </w:r>
          </w:p>
        </w:tc>
        <w:tc>
          <w:tcPr>
            <w:tcW w:w="5375" w:type="dxa"/>
            <w:noWrap w:val="0"/>
            <w:vAlign w:val="center"/>
          </w:tcPr>
          <w:p w14:paraId="27F12FDC">
            <w:pPr>
              <w:keepNext w:val="0"/>
              <w:keepLines w:val="0"/>
              <w:suppressLineNumbers w:val="0"/>
              <w:spacing w:before="0" w:beforeAutospacing="0" w:after="0" w:afterAutospacing="0"/>
              <w:ind w:left="0" w:right="0"/>
              <w:jc w:val="center"/>
              <w:rPr>
                <w:rFonts w:hint="default" w:ascii="Times New Roman" w:hAnsi="Times New Roman" w:cs="Times New Roman"/>
                <w:color w:val="auto"/>
                <w:lang w:val="zh-CN"/>
              </w:rPr>
            </w:pPr>
            <w:r>
              <w:rPr>
                <w:rFonts w:hint="default" w:ascii="Times New Roman" w:hAnsi="Times New Roman" w:cs="Times New Roman"/>
                <w:color w:val="auto"/>
                <w:lang w:val="zh-CN"/>
              </w:rPr>
              <w:t>P</w:t>
            </w:r>
            <w:r>
              <w:rPr>
                <w:rFonts w:hint="default" w:ascii="Times New Roman" w:hAnsi="Times New Roman" w:cs="Times New Roman"/>
                <w:color w:val="auto"/>
                <w:vertAlign w:val="subscript"/>
                <w:lang w:val="zh-CN"/>
              </w:rPr>
              <w:t>max</w:t>
            </w:r>
            <w:r>
              <w:rPr>
                <w:rFonts w:hint="default" w:ascii="Times New Roman" w:hAnsi="Times New Roman" w:cs="Times New Roman"/>
                <w:color w:val="auto"/>
                <w:lang w:val="zh-CN"/>
              </w:rPr>
              <w:t>≥10%</w:t>
            </w:r>
          </w:p>
        </w:tc>
      </w:tr>
      <w:tr w14:paraId="39FE2A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911" w:type="dxa"/>
            <w:noWrap w:val="0"/>
            <w:vAlign w:val="center"/>
          </w:tcPr>
          <w:p w14:paraId="48B4E41F">
            <w:pPr>
              <w:keepNext w:val="0"/>
              <w:keepLines w:val="0"/>
              <w:suppressLineNumbers w:val="0"/>
              <w:spacing w:before="0" w:beforeAutospacing="0" w:after="0" w:afterAutospacing="0"/>
              <w:ind w:left="0" w:right="0"/>
              <w:jc w:val="center"/>
              <w:rPr>
                <w:rFonts w:hint="default" w:ascii="Times New Roman" w:hAnsi="Times New Roman" w:cs="Times New Roman"/>
                <w:color w:val="auto"/>
                <w:lang w:val="zh-CN"/>
              </w:rPr>
            </w:pPr>
            <w:r>
              <w:rPr>
                <w:rFonts w:hint="default" w:ascii="Times New Roman" w:hAnsi="Times New Roman" w:cs="Times New Roman"/>
                <w:color w:val="auto"/>
                <w:lang w:val="zh-CN"/>
              </w:rPr>
              <w:t>二级</w:t>
            </w:r>
          </w:p>
        </w:tc>
        <w:tc>
          <w:tcPr>
            <w:tcW w:w="5375" w:type="dxa"/>
            <w:noWrap w:val="0"/>
            <w:vAlign w:val="center"/>
          </w:tcPr>
          <w:p w14:paraId="50E036B4">
            <w:pPr>
              <w:keepNext w:val="0"/>
              <w:keepLines w:val="0"/>
              <w:suppressLineNumbers w:val="0"/>
              <w:spacing w:before="0" w:beforeAutospacing="0" w:after="0" w:afterAutospacing="0"/>
              <w:ind w:left="0" w:right="0"/>
              <w:jc w:val="center"/>
              <w:rPr>
                <w:rFonts w:hint="default" w:ascii="Times New Roman" w:hAnsi="Times New Roman" w:cs="Times New Roman"/>
                <w:color w:val="auto"/>
                <w:lang w:val="zh-CN"/>
              </w:rPr>
            </w:pPr>
            <w:r>
              <w:rPr>
                <w:rFonts w:hint="default" w:ascii="Times New Roman" w:hAnsi="Times New Roman" w:cs="Times New Roman"/>
                <w:color w:val="auto"/>
                <w:lang w:val="zh-CN"/>
              </w:rPr>
              <w:t>1%≤P</w:t>
            </w:r>
            <w:r>
              <w:rPr>
                <w:rFonts w:hint="default" w:ascii="Times New Roman" w:hAnsi="Times New Roman" w:cs="Times New Roman"/>
                <w:color w:val="auto"/>
                <w:vertAlign w:val="subscript"/>
                <w:lang w:val="zh-CN"/>
              </w:rPr>
              <w:t>max</w:t>
            </w:r>
            <w:r>
              <w:rPr>
                <w:rFonts w:hint="default" w:ascii="Times New Roman" w:hAnsi="Times New Roman" w:cs="Times New Roman"/>
                <w:color w:val="auto"/>
                <w:lang w:val="zh-CN"/>
              </w:rPr>
              <w:t>＜10%</w:t>
            </w:r>
          </w:p>
        </w:tc>
      </w:tr>
      <w:tr w14:paraId="659E2C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911" w:type="dxa"/>
            <w:noWrap w:val="0"/>
            <w:vAlign w:val="center"/>
          </w:tcPr>
          <w:p w14:paraId="4C85D9B2">
            <w:pPr>
              <w:keepNext w:val="0"/>
              <w:keepLines w:val="0"/>
              <w:suppressLineNumbers w:val="0"/>
              <w:spacing w:before="0" w:beforeAutospacing="0" w:after="0" w:afterAutospacing="0"/>
              <w:ind w:left="0" w:right="0"/>
              <w:jc w:val="center"/>
              <w:rPr>
                <w:rFonts w:hint="default" w:ascii="Times New Roman" w:hAnsi="Times New Roman" w:cs="Times New Roman"/>
                <w:color w:val="auto"/>
                <w:lang w:val="zh-CN"/>
              </w:rPr>
            </w:pPr>
            <w:r>
              <w:rPr>
                <w:rFonts w:hint="default" w:ascii="Times New Roman" w:hAnsi="Times New Roman" w:cs="Times New Roman"/>
                <w:color w:val="auto"/>
                <w:lang w:val="zh-CN"/>
              </w:rPr>
              <w:t>三级</w:t>
            </w:r>
          </w:p>
        </w:tc>
        <w:tc>
          <w:tcPr>
            <w:tcW w:w="5375" w:type="dxa"/>
            <w:noWrap w:val="0"/>
            <w:vAlign w:val="center"/>
          </w:tcPr>
          <w:p w14:paraId="102D8374">
            <w:pPr>
              <w:keepNext w:val="0"/>
              <w:keepLines w:val="0"/>
              <w:suppressLineNumbers w:val="0"/>
              <w:spacing w:before="0" w:beforeAutospacing="0" w:after="0" w:afterAutospacing="0"/>
              <w:ind w:left="0" w:right="0"/>
              <w:jc w:val="center"/>
              <w:rPr>
                <w:rFonts w:hint="default" w:ascii="Times New Roman" w:hAnsi="Times New Roman" w:cs="Times New Roman"/>
                <w:color w:val="auto"/>
                <w:lang w:val="zh-CN"/>
              </w:rPr>
            </w:pPr>
            <w:r>
              <w:rPr>
                <w:rFonts w:hint="default" w:ascii="Times New Roman" w:hAnsi="Times New Roman" w:cs="Times New Roman"/>
                <w:color w:val="auto"/>
                <w:lang w:val="zh-CN"/>
              </w:rPr>
              <w:t>P</w:t>
            </w:r>
            <w:r>
              <w:rPr>
                <w:rFonts w:hint="default" w:ascii="Times New Roman" w:hAnsi="Times New Roman" w:cs="Times New Roman"/>
                <w:color w:val="auto"/>
                <w:vertAlign w:val="subscript"/>
                <w:lang w:val="zh-CN"/>
              </w:rPr>
              <w:t>max</w:t>
            </w:r>
            <w:r>
              <w:rPr>
                <w:rFonts w:hint="default" w:ascii="Times New Roman" w:hAnsi="Times New Roman" w:cs="Times New Roman"/>
                <w:color w:val="auto"/>
                <w:lang w:val="zh-CN"/>
              </w:rPr>
              <w:t>＜1%</w:t>
            </w:r>
          </w:p>
        </w:tc>
      </w:tr>
    </w:tbl>
    <w:p w14:paraId="7523A2BE">
      <w:pPr>
        <w:spacing w:line="360" w:lineRule="auto"/>
        <w:ind w:firstLine="480" w:firstLineChars="200"/>
        <w:rPr>
          <w:color w:val="auto"/>
          <w:sz w:val="24"/>
        </w:rPr>
      </w:pPr>
      <w:r>
        <w:rPr>
          <w:color w:val="auto"/>
          <w:sz w:val="24"/>
        </w:rPr>
        <w:t>根据《环境影响评价技术导则 大气环境》（HJ2.2-2018）中推荐的估算模式，本项目排放的</w:t>
      </w:r>
      <w:r>
        <w:rPr>
          <w:rFonts w:hint="eastAsia"/>
          <w:color w:val="auto"/>
          <w:sz w:val="24"/>
          <w:lang w:val="en-US" w:eastAsia="zh-CN"/>
        </w:rPr>
        <w:t>TSP</w:t>
      </w:r>
      <w:r>
        <w:rPr>
          <w:color w:val="auto"/>
          <w:sz w:val="24"/>
        </w:rPr>
        <w:t>的最大浓度占标率</w:t>
      </w:r>
      <w:r>
        <w:rPr>
          <w:rFonts w:hint="default"/>
          <w:color w:val="auto"/>
          <w:sz w:val="24"/>
          <w:lang w:val="zh-CN"/>
        </w:rPr>
        <w:t>1%≤P</w:t>
      </w:r>
      <w:r>
        <w:rPr>
          <w:rFonts w:hint="default"/>
          <w:color w:val="auto"/>
          <w:sz w:val="24"/>
          <w:vertAlign w:val="subscript"/>
          <w:lang w:val="zh-CN"/>
        </w:rPr>
        <w:t>max</w:t>
      </w:r>
      <w:r>
        <w:rPr>
          <w:rFonts w:hint="default"/>
          <w:color w:val="auto"/>
          <w:sz w:val="24"/>
          <w:lang w:val="zh-CN"/>
        </w:rPr>
        <w:t>＜10%</w:t>
      </w:r>
      <w:r>
        <w:rPr>
          <w:color w:val="auto"/>
          <w:sz w:val="24"/>
        </w:rPr>
        <w:t>，</w:t>
      </w:r>
      <w:r>
        <w:rPr>
          <w:rFonts w:hint="eastAsia"/>
          <w:color w:val="auto"/>
          <w:sz w:val="24"/>
        </w:rPr>
        <w:t>因此</w:t>
      </w:r>
      <w:r>
        <w:rPr>
          <w:color w:val="auto"/>
          <w:sz w:val="24"/>
        </w:rPr>
        <w:t>，本项目环境空气影响评价等级为</w:t>
      </w:r>
      <w:r>
        <w:rPr>
          <w:rFonts w:hint="eastAsia"/>
          <w:color w:val="auto"/>
          <w:sz w:val="24"/>
          <w:lang w:val="en-US" w:eastAsia="zh-CN"/>
        </w:rPr>
        <w:t>二</w:t>
      </w:r>
      <w:r>
        <w:rPr>
          <w:color w:val="auto"/>
          <w:sz w:val="24"/>
        </w:rPr>
        <w:t>级。</w:t>
      </w:r>
    </w:p>
    <w:p w14:paraId="1E56F671">
      <w:pPr>
        <w:pStyle w:val="4"/>
        <w:numPr>
          <w:ilvl w:val="0"/>
          <w:numId w:val="0"/>
        </w:numPr>
        <w:rPr>
          <w:color w:val="auto"/>
        </w:rPr>
      </w:pPr>
      <w:r>
        <w:rPr>
          <w:rFonts w:hint="eastAsia"/>
          <w:color w:val="auto"/>
        </w:rPr>
        <w:t>2.3.4</w:t>
      </w:r>
      <w:r>
        <w:rPr>
          <w:color w:val="auto"/>
        </w:rPr>
        <w:t>声环境影响评价等级</w:t>
      </w:r>
    </w:p>
    <w:p w14:paraId="0A9125B9">
      <w:pPr>
        <w:spacing w:line="360" w:lineRule="auto"/>
        <w:ind w:firstLine="480" w:firstLineChars="200"/>
        <w:rPr>
          <w:color w:val="auto"/>
          <w:sz w:val="24"/>
        </w:rPr>
      </w:pPr>
      <w:r>
        <w:rPr>
          <w:rFonts w:hint="eastAsia"/>
          <w:color w:val="auto"/>
          <w:sz w:val="24"/>
        </w:rPr>
        <w:t>根据《环境影响评价技术导则 声环境》（HJ 2.4-2021）中的相关规定，</w:t>
      </w:r>
      <w:r>
        <w:rPr>
          <w:color w:val="auto"/>
          <w:sz w:val="24"/>
        </w:rPr>
        <w:t>项目所处的</w:t>
      </w:r>
      <w:r>
        <w:rPr>
          <w:rFonts w:hint="eastAsia"/>
          <w:color w:val="auto"/>
          <w:sz w:val="24"/>
        </w:rPr>
        <w:t>声环境功能区</w:t>
      </w:r>
      <w:r>
        <w:rPr>
          <w:color w:val="auto"/>
          <w:sz w:val="24"/>
        </w:rPr>
        <w:t>为《声环境质量标准》（GB3096-2008）</w:t>
      </w:r>
      <w:r>
        <w:rPr>
          <w:rFonts w:hint="eastAsia"/>
          <w:color w:val="auto"/>
          <w:sz w:val="24"/>
        </w:rPr>
        <w:t>中的</w:t>
      </w:r>
      <w:r>
        <w:rPr>
          <w:color w:val="auto"/>
          <w:sz w:val="24"/>
        </w:rPr>
        <w:t>2类</w:t>
      </w:r>
      <w:r>
        <w:rPr>
          <w:rFonts w:hint="eastAsia"/>
          <w:color w:val="auto"/>
          <w:sz w:val="24"/>
        </w:rPr>
        <w:t>及4a类地</w:t>
      </w:r>
      <w:r>
        <w:rPr>
          <w:color w:val="auto"/>
          <w:sz w:val="24"/>
        </w:rPr>
        <w:t>区，</w:t>
      </w:r>
      <w:r>
        <w:rPr>
          <w:rFonts w:hint="eastAsia"/>
          <w:color w:val="auto"/>
          <w:sz w:val="24"/>
        </w:rPr>
        <w:t>且</w:t>
      </w:r>
      <w:r>
        <w:rPr>
          <w:color w:val="auto"/>
          <w:sz w:val="24"/>
        </w:rPr>
        <w:t>项目建设前后评价范围内敏感目标噪声级增高量在3～5dB（A）之间，则确定本次声环境评价工作等级为二级。具体见表2.3-</w:t>
      </w:r>
      <w:r>
        <w:rPr>
          <w:rFonts w:hint="eastAsia"/>
          <w:color w:val="auto"/>
          <w:sz w:val="24"/>
        </w:rPr>
        <w:t>6</w:t>
      </w:r>
      <w:r>
        <w:rPr>
          <w:color w:val="auto"/>
          <w:sz w:val="24"/>
        </w:rPr>
        <w:t>。</w:t>
      </w:r>
    </w:p>
    <w:p w14:paraId="3AE731A3">
      <w:pPr>
        <w:spacing w:line="400" w:lineRule="exact"/>
        <w:jc w:val="center"/>
        <w:rPr>
          <w:rFonts w:eastAsia="黑体"/>
          <w:color w:val="auto"/>
          <w:sz w:val="24"/>
        </w:rPr>
      </w:pPr>
      <w:r>
        <w:rPr>
          <w:rFonts w:eastAsia="黑体"/>
          <w:color w:val="auto"/>
          <w:sz w:val="24"/>
        </w:rPr>
        <w:t>表2.3-</w:t>
      </w:r>
      <w:r>
        <w:rPr>
          <w:rFonts w:hint="eastAsia" w:eastAsia="黑体"/>
          <w:color w:val="auto"/>
          <w:sz w:val="24"/>
        </w:rPr>
        <w:t>6</w:t>
      </w:r>
      <w:r>
        <w:rPr>
          <w:rFonts w:eastAsia="黑体"/>
          <w:color w:val="auto"/>
          <w:sz w:val="24"/>
        </w:rPr>
        <w:t xml:space="preserve">  声环境评价工作等级判定表</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92"/>
        <w:gridCol w:w="2749"/>
        <w:gridCol w:w="2323"/>
        <w:gridCol w:w="2322"/>
      </w:tblGrid>
      <w:tr w14:paraId="5327EA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92" w:type="dxa"/>
            <w:noWrap w:val="0"/>
            <w:vAlign w:val="center"/>
          </w:tcPr>
          <w:p w14:paraId="6CDD35D2">
            <w:pPr>
              <w:pStyle w:val="266"/>
              <w:keepNext w:val="0"/>
              <w:keepLines w:val="0"/>
              <w:suppressLineNumbers w:val="0"/>
              <w:spacing w:before="0" w:beforeAutospacing="0" w:after="0" w:afterAutospacing="0"/>
              <w:ind w:left="0" w:right="0"/>
              <w:rPr>
                <w:rFonts w:hint="default" w:ascii="Times New Roman" w:hAnsi="Times New Roman" w:cs="Times New Roman"/>
                <w:b/>
                <w:bCs/>
                <w:color w:val="auto"/>
              </w:rPr>
            </w:pPr>
            <w:r>
              <w:rPr>
                <w:rFonts w:hint="default" w:ascii="Times New Roman" w:hAnsi="Times New Roman" w:cs="Times New Roman"/>
                <w:b/>
                <w:bCs/>
                <w:color w:val="auto"/>
              </w:rPr>
              <w:t>功能区</w:t>
            </w:r>
          </w:p>
        </w:tc>
        <w:tc>
          <w:tcPr>
            <w:tcW w:w="2749" w:type="dxa"/>
            <w:noWrap w:val="0"/>
            <w:vAlign w:val="center"/>
          </w:tcPr>
          <w:p w14:paraId="4796EE8B">
            <w:pPr>
              <w:pStyle w:val="266"/>
              <w:keepNext w:val="0"/>
              <w:keepLines w:val="0"/>
              <w:suppressLineNumbers w:val="0"/>
              <w:spacing w:before="0" w:beforeAutospacing="0" w:after="0" w:afterAutospacing="0"/>
              <w:ind w:left="0" w:right="0"/>
              <w:rPr>
                <w:rFonts w:hint="default" w:ascii="Times New Roman" w:hAnsi="Times New Roman" w:cs="Times New Roman"/>
                <w:b/>
                <w:bCs/>
                <w:color w:val="auto"/>
              </w:rPr>
            </w:pPr>
            <w:r>
              <w:rPr>
                <w:rFonts w:hint="default" w:ascii="Times New Roman" w:hAnsi="Times New Roman" w:cs="Times New Roman"/>
                <w:b/>
                <w:bCs/>
                <w:color w:val="auto"/>
              </w:rPr>
              <w:t>建设前后</w:t>
            </w:r>
            <w:r>
              <w:rPr>
                <w:rFonts w:hint="eastAsia" w:ascii="Times New Roman" w:hAnsi="Times New Roman" w:cs="Times New Roman"/>
                <w:b/>
                <w:bCs/>
                <w:color w:val="auto"/>
              </w:rPr>
              <w:t>环境保护目标处</w:t>
            </w:r>
            <w:r>
              <w:rPr>
                <w:rFonts w:hint="default" w:ascii="Times New Roman" w:hAnsi="Times New Roman" w:cs="Times New Roman"/>
                <w:b/>
                <w:bCs/>
                <w:color w:val="auto"/>
              </w:rPr>
              <w:t>噪声级的增加量</w:t>
            </w:r>
          </w:p>
        </w:tc>
        <w:tc>
          <w:tcPr>
            <w:tcW w:w="2323" w:type="dxa"/>
            <w:noWrap w:val="0"/>
            <w:vAlign w:val="center"/>
          </w:tcPr>
          <w:p w14:paraId="6A099B96">
            <w:pPr>
              <w:pStyle w:val="266"/>
              <w:keepNext w:val="0"/>
              <w:keepLines w:val="0"/>
              <w:suppressLineNumbers w:val="0"/>
              <w:spacing w:before="0" w:beforeAutospacing="0" w:after="0" w:afterAutospacing="0"/>
              <w:ind w:left="0" w:right="0"/>
              <w:rPr>
                <w:rFonts w:hint="default" w:ascii="Times New Roman" w:hAnsi="Times New Roman" w:cs="Times New Roman"/>
                <w:b/>
                <w:bCs/>
                <w:color w:val="auto"/>
              </w:rPr>
            </w:pPr>
            <w:r>
              <w:rPr>
                <w:rFonts w:hint="default" w:ascii="Times New Roman" w:hAnsi="Times New Roman" w:cs="Times New Roman"/>
                <w:b/>
                <w:bCs/>
                <w:color w:val="auto"/>
              </w:rPr>
              <w:t>受影响人口变化情况</w:t>
            </w:r>
          </w:p>
        </w:tc>
        <w:tc>
          <w:tcPr>
            <w:tcW w:w="2322" w:type="dxa"/>
            <w:noWrap w:val="0"/>
            <w:vAlign w:val="center"/>
          </w:tcPr>
          <w:p w14:paraId="63E7F84E">
            <w:pPr>
              <w:pStyle w:val="266"/>
              <w:keepNext w:val="0"/>
              <w:keepLines w:val="0"/>
              <w:suppressLineNumbers w:val="0"/>
              <w:spacing w:before="0" w:beforeAutospacing="0" w:after="0" w:afterAutospacing="0"/>
              <w:ind w:left="0" w:right="0"/>
              <w:rPr>
                <w:rFonts w:hint="default" w:ascii="Times New Roman" w:hAnsi="Times New Roman" w:cs="Times New Roman"/>
                <w:b/>
                <w:bCs/>
                <w:color w:val="auto"/>
              </w:rPr>
            </w:pPr>
            <w:r>
              <w:rPr>
                <w:rFonts w:hint="default" w:ascii="Times New Roman" w:hAnsi="Times New Roman" w:cs="Times New Roman"/>
                <w:b/>
                <w:bCs/>
                <w:color w:val="auto"/>
              </w:rPr>
              <w:t>判定等级</w:t>
            </w:r>
          </w:p>
        </w:tc>
      </w:tr>
      <w:tr w14:paraId="5A39B3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892" w:type="dxa"/>
            <w:noWrap w:val="0"/>
            <w:vAlign w:val="center"/>
          </w:tcPr>
          <w:p w14:paraId="49F16336">
            <w:pPr>
              <w:pStyle w:val="266"/>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2类及4a类</w:t>
            </w:r>
          </w:p>
        </w:tc>
        <w:tc>
          <w:tcPr>
            <w:tcW w:w="2749" w:type="dxa"/>
            <w:noWrap w:val="0"/>
            <w:vAlign w:val="center"/>
          </w:tcPr>
          <w:p w14:paraId="40C1CC14">
            <w:pPr>
              <w:pStyle w:val="266"/>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3</w:t>
            </w:r>
            <w:r>
              <w:rPr>
                <w:rFonts w:hint="eastAsia" w:ascii="Times New Roman" w:hAnsi="Times New Roman" w:cs="Times New Roman"/>
                <w:color w:val="auto"/>
              </w:rPr>
              <w:t>~5</w:t>
            </w:r>
            <w:r>
              <w:rPr>
                <w:rFonts w:hint="default" w:ascii="Times New Roman" w:hAnsi="Times New Roman" w:cs="Times New Roman"/>
                <w:color w:val="auto"/>
              </w:rPr>
              <w:t>dB(A)</w:t>
            </w:r>
          </w:p>
        </w:tc>
        <w:tc>
          <w:tcPr>
            <w:tcW w:w="2323" w:type="dxa"/>
            <w:noWrap w:val="0"/>
            <w:vAlign w:val="center"/>
          </w:tcPr>
          <w:p w14:paraId="5EC41520">
            <w:pPr>
              <w:pStyle w:val="266"/>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不大</w:t>
            </w:r>
          </w:p>
        </w:tc>
        <w:tc>
          <w:tcPr>
            <w:tcW w:w="2322" w:type="dxa"/>
            <w:noWrap w:val="0"/>
            <w:vAlign w:val="center"/>
          </w:tcPr>
          <w:p w14:paraId="426626FC">
            <w:pPr>
              <w:pStyle w:val="266"/>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eastAsia" w:ascii="Times New Roman" w:hAnsi="Times New Roman" w:cs="Times New Roman"/>
                <w:color w:val="auto"/>
              </w:rPr>
              <w:t>二</w:t>
            </w:r>
            <w:r>
              <w:rPr>
                <w:rFonts w:hint="default" w:ascii="Times New Roman" w:hAnsi="Times New Roman" w:cs="Times New Roman"/>
                <w:color w:val="auto"/>
              </w:rPr>
              <w:t>级</w:t>
            </w:r>
          </w:p>
        </w:tc>
      </w:tr>
    </w:tbl>
    <w:p w14:paraId="2614A572">
      <w:pPr>
        <w:pStyle w:val="4"/>
        <w:numPr>
          <w:ilvl w:val="0"/>
          <w:numId w:val="0"/>
        </w:numPr>
        <w:rPr>
          <w:color w:val="auto"/>
        </w:rPr>
      </w:pPr>
      <w:r>
        <w:rPr>
          <w:rFonts w:hint="eastAsia"/>
          <w:color w:val="auto"/>
        </w:rPr>
        <w:t>2.3.5</w:t>
      </w:r>
      <w:r>
        <w:rPr>
          <w:color w:val="auto"/>
        </w:rPr>
        <w:t>生态环境影响评价等级</w:t>
      </w:r>
    </w:p>
    <w:p w14:paraId="4B1493A7">
      <w:pPr>
        <w:spacing w:line="360" w:lineRule="auto"/>
        <w:ind w:firstLine="480" w:firstLineChars="200"/>
        <w:rPr>
          <w:rFonts w:hint="eastAsia"/>
          <w:color w:val="auto"/>
          <w:sz w:val="24"/>
        </w:rPr>
      </w:pPr>
      <w:r>
        <w:rPr>
          <w:color w:val="auto"/>
          <w:sz w:val="24"/>
        </w:rPr>
        <w:t>根据《环境影响评价技术导则 生态影响》</w:t>
      </w:r>
      <w:r>
        <w:rPr>
          <w:rFonts w:hint="eastAsia"/>
          <w:color w:val="auto"/>
          <w:sz w:val="24"/>
        </w:rPr>
        <w:t>（</w:t>
      </w:r>
      <w:r>
        <w:rPr>
          <w:rFonts w:hint="eastAsia"/>
          <w:color w:val="auto"/>
          <w:sz w:val="24"/>
          <w:lang w:eastAsia="zh-CN"/>
        </w:rPr>
        <w:t>HJ 19</w:t>
      </w:r>
      <w:r>
        <w:rPr>
          <w:color w:val="auto"/>
          <w:sz w:val="24"/>
        </w:rPr>
        <w:t>-20</w:t>
      </w:r>
      <w:r>
        <w:rPr>
          <w:rFonts w:hint="eastAsia"/>
          <w:color w:val="auto"/>
          <w:sz w:val="24"/>
        </w:rPr>
        <w:t>22）</w:t>
      </w:r>
      <w:r>
        <w:rPr>
          <w:color w:val="auto"/>
          <w:sz w:val="24"/>
        </w:rPr>
        <w:t>，</w:t>
      </w:r>
      <w:r>
        <w:rPr>
          <w:rFonts w:hint="eastAsia"/>
          <w:color w:val="auto"/>
          <w:sz w:val="24"/>
        </w:rPr>
        <w:t>依据建设项目影响区域的生态敏感性和影响程度，评价等级划分为一级、二级和三级。</w:t>
      </w:r>
    </w:p>
    <w:p w14:paraId="163A1840">
      <w:pPr>
        <w:spacing w:line="400" w:lineRule="exact"/>
        <w:jc w:val="center"/>
        <w:rPr>
          <w:rFonts w:eastAsia="黑体"/>
          <w:color w:val="auto"/>
          <w:sz w:val="24"/>
        </w:rPr>
      </w:pPr>
      <w:r>
        <w:rPr>
          <w:rFonts w:eastAsia="黑体"/>
          <w:color w:val="auto"/>
          <w:sz w:val="24"/>
        </w:rPr>
        <w:t>表2.3-</w:t>
      </w:r>
      <w:r>
        <w:rPr>
          <w:rFonts w:hint="eastAsia" w:eastAsia="黑体"/>
          <w:color w:val="auto"/>
          <w:sz w:val="24"/>
        </w:rPr>
        <w:t>7</w:t>
      </w:r>
      <w:r>
        <w:rPr>
          <w:rFonts w:eastAsia="黑体"/>
          <w:color w:val="auto"/>
          <w:sz w:val="24"/>
        </w:rPr>
        <w:t xml:space="preserve">  </w:t>
      </w:r>
      <w:r>
        <w:rPr>
          <w:rFonts w:hint="eastAsia" w:eastAsia="黑体"/>
          <w:color w:val="auto"/>
          <w:sz w:val="24"/>
        </w:rPr>
        <w:t>生态</w:t>
      </w:r>
      <w:r>
        <w:rPr>
          <w:rFonts w:eastAsia="黑体"/>
          <w:color w:val="auto"/>
          <w:sz w:val="24"/>
        </w:rPr>
        <w:t>环境评价工作等级判定表</w:t>
      </w:r>
    </w:p>
    <w:tbl>
      <w:tblPr>
        <w:tblStyle w:val="53"/>
        <w:tblW w:w="499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600"/>
        <w:gridCol w:w="2342"/>
        <w:gridCol w:w="2342"/>
      </w:tblGrid>
      <w:tr w14:paraId="049752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2477" w:type="pct"/>
            <w:tcBorders>
              <w:top w:val="single" w:color="auto" w:sz="12" w:space="0"/>
              <w:left w:val="nil"/>
              <w:bottom w:val="single" w:color="auto" w:sz="4" w:space="0"/>
              <w:right w:val="single" w:color="auto" w:sz="4" w:space="0"/>
            </w:tcBorders>
            <w:noWrap w:val="0"/>
            <w:vAlign w:val="center"/>
          </w:tcPr>
          <w:p w14:paraId="18F7C542">
            <w:pPr>
              <w:keepNext w:val="0"/>
              <w:keepLines w:val="0"/>
              <w:widowControl/>
              <w:suppressLineNumbers w:val="0"/>
              <w:spacing w:before="0" w:beforeAutospacing="0" w:after="0" w:afterAutospacing="0"/>
              <w:ind w:left="0" w:right="0"/>
              <w:jc w:val="center"/>
              <w:rPr>
                <w:rFonts w:hint="default" w:ascii="Times New Roman" w:hAnsi="Times New Roman" w:cs="宋体"/>
                <w:b/>
                <w:bCs/>
                <w:color w:val="auto"/>
                <w:szCs w:val="22"/>
              </w:rPr>
            </w:pPr>
            <w:r>
              <w:rPr>
                <w:rFonts w:hint="eastAsia" w:ascii="Times New Roman" w:hAnsi="Times New Roman" w:cs="宋体"/>
                <w:b/>
                <w:bCs/>
                <w:color w:val="auto"/>
                <w:szCs w:val="22"/>
              </w:rPr>
              <w:t>等级判定依据</w:t>
            </w:r>
          </w:p>
        </w:tc>
        <w:tc>
          <w:tcPr>
            <w:tcW w:w="1261" w:type="pct"/>
            <w:tcBorders>
              <w:top w:val="single" w:color="auto" w:sz="12" w:space="0"/>
              <w:left w:val="single" w:color="auto" w:sz="4" w:space="0"/>
              <w:bottom w:val="single" w:color="auto" w:sz="4" w:space="0"/>
              <w:right w:val="nil"/>
            </w:tcBorders>
            <w:noWrap w:val="0"/>
            <w:vAlign w:val="center"/>
          </w:tcPr>
          <w:p w14:paraId="58236E63">
            <w:pPr>
              <w:keepNext w:val="0"/>
              <w:keepLines w:val="0"/>
              <w:widowControl/>
              <w:suppressLineNumbers w:val="0"/>
              <w:spacing w:before="0" w:beforeAutospacing="0" w:after="0" w:afterAutospacing="0"/>
              <w:ind w:left="0" w:right="0"/>
              <w:jc w:val="center"/>
              <w:rPr>
                <w:rFonts w:hint="default" w:ascii="Times New Roman" w:hAnsi="Times New Roman" w:eastAsia="宋体" w:cs="宋体"/>
                <w:b/>
                <w:bCs/>
                <w:color w:val="auto"/>
                <w:szCs w:val="22"/>
                <w:highlight w:val="none"/>
                <w:lang w:val="en-US" w:eastAsia="zh-CN"/>
              </w:rPr>
            </w:pPr>
            <w:r>
              <w:rPr>
                <w:rFonts w:hint="eastAsia" w:cs="宋体"/>
                <w:b/>
                <w:bCs/>
                <w:color w:val="auto"/>
                <w:szCs w:val="22"/>
                <w:highlight w:val="none"/>
                <w:lang w:val="en-US" w:eastAsia="zh-CN"/>
              </w:rPr>
              <w:t>陆域</w:t>
            </w:r>
            <w:r>
              <w:rPr>
                <w:rFonts w:hint="eastAsia" w:ascii="Times New Roman" w:hAnsi="Times New Roman" w:cs="宋体"/>
                <w:b/>
                <w:bCs/>
                <w:color w:val="auto"/>
                <w:szCs w:val="22"/>
                <w:highlight w:val="none"/>
                <w:lang w:val="en-US" w:eastAsia="zh-CN"/>
              </w:rPr>
              <w:t>判定等级</w:t>
            </w:r>
          </w:p>
        </w:tc>
        <w:tc>
          <w:tcPr>
            <w:tcW w:w="1261" w:type="pct"/>
            <w:tcBorders>
              <w:top w:val="single" w:color="auto" w:sz="12" w:space="0"/>
              <w:left w:val="single" w:color="auto" w:sz="4" w:space="0"/>
              <w:bottom w:val="single" w:color="auto" w:sz="4" w:space="0"/>
              <w:right w:val="nil"/>
            </w:tcBorders>
            <w:noWrap w:val="0"/>
            <w:vAlign w:val="center"/>
          </w:tcPr>
          <w:p w14:paraId="19D7393C">
            <w:pPr>
              <w:keepNext w:val="0"/>
              <w:keepLines w:val="0"/>
              <w:widowControl/>
              <w:suppressLineNumbers w:val="0"/>
              <w:spacing w:before="0" w:beforeAutospacing="0" w:after="0" w:afterAutospacing="0"/>
              <w:ind w:left="0" w:right="0"/>
              <w:jc w:val="center"/>
              <w:rPr>
                <w:rFonts w:hint="eastAsia" w:ascii="Times New Roman" w:hAnsi="Times New Roman" w:cs="宋体"/>
                <w:b/>
                <w:bCs/>
                <w:color w:val="auto"/>
                <w:szCs w:val="22"/>
                <w:highlight w:val="none"/>
                <w:lang w:val="en-US" w:eastAsia="zh-CN"/>
              </w:rPr>
            </w:pPr>
            <w:r>
              <w:rPr>
                <w:rFonts w:hint="eastAsia" w:cs="宋体"/>
                <w:b/>
                <w:bCs/>
                <w:color w:val="auto"/>
                <w:szCs w:val="22"/>
                <w:highlight w:val="none"/>
                <w:lang w:val="en-US" w:eastAsia="zh-CN"/>
              </w:rPr>
              <w:t>水域</w:t>
            </w:r>
            <w:r>
              <w:rPr>
                <w:rFonts w:hint="eastAsia" w:ascii="Times New Roman" w:hAnsi="Times New Roman" w:cs="宋体"/>
                <w:b/>
                <w:bCs/>
                <w:color w:val="auto"/>
                <w:szCs w:val="22"/>
                <w:highlight w:val="none"/>
                <w:lang w:val="en-US" w:eastAsia="zh-CN"/>
              </w:rPr>
              <w:t>判定等级</w:t>
            </w:r>
          </w:p>
        </w:tc>
      </w:tr>
      <w:tr w14:paraId="4F698B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2477" w:type="pct"/>
            <w:tcBorders>
              <w:top w:val="single" w:color="auto" w:sz="4" w:space="0"/>
              <w:left w:val="nil"/>
              <w:bottom w:val="single" w:color="auto" w:sz="4" w:space="0"/>
              <w:right w:val="single" w:color="auto" w:sz="4" w:space="0"/>
            </w:tcBorders>
            <w:noWrap w:val="0"/>
            <w:vAlign w:val="center"/>
          </w:tcPr>
          <w:p w14:paraId="059EBC74">
            <w:pPr>
              <w:keepNext w:val="0"/>
              <w:keepLines w:val="0"/>
              <w:widowControl/>
              <w:suppressLineNumbers w:val="0"/>
              <w:spacing w:before="0" w:beforeAutospacing="0" w:after="0" w:afterAutospacing="0"/>
              <w:ind w:left="0" w:right="0"/>
              <w:jc w:val="left"/>
              <w:rPr>
                <w:rFonts w:hint="default" w:ascii="Times New Roman" w:hAnsi="Times New Roman" w:cs="宋体"/>
                <w:color w:val="auto"/>
                <w:szCs w:val="22"/>
              </w:rPr>
            </w:pPr>
            <w:r>
              <w:rPr>
                <w:rFonts w:hint="eastAsia" w:ascii="Times New Roman" w:hAnsi="Times New Roman" w:cs="宋体"/>
                <w:color w:val="auto"/>
                <w:szCs w:val="22"/>
              </w:rPr>
              <w:t>a）涉及国家公园、自然保护区、世界自然遗产、重要生境时，评价等级为一级；</w:t>
            </w:r>
          </w:p>
        </w:tc>
        <w:tc>
          <w:tcPr>
            <w:tcW w:w="1261" w:type="pct"/>
            <w:tcBorders>
              <w:top w:val="single" w:color="auto" w:sz="4" w:space="0"/>
              <w:left w:val="single" w:color="auto" w:sz="4" w:space="0"/>
              <w:bottom w:val="single" w:color="auto" w:sz="4" w:space="0"/>
              <w:right w:val="nil"/>
            </w:tcBorders>
            <w:noWrap w:val="0"/>
            <w:vAlign w:val="center"/>
          </w:tcPr>
          <w:p w14:paraId="655AF505">
            <w:pPr>
              <w:keepNext w:val="0"/>
              <w:keepLines w:val="0"/>
              <w:widowControl/>
              <w:suppressLineNumbers w:val="0"/>
              <w:spacing w:before="0" w:beforeAutospacing="0" w:after="0" w:afterAutospacing="0"/>
              <w:ind w:left="0" w:right="0"/>
              <w:jc w:val="center"/>
              <w:rPr>
                <w:rFonts w:hint="default" w:ascii="Times New Roman" w:hAnsi="Times New Roman" w:eastAsia="宋体" w:cs="宋体"/>
                <w:color w:val="auto"/>
                <w:szCs w:val="22"/>
                <w:highlight w:val="none"/>
                <w:lang w:val="en-US" w:eastAsia="zh-CN"/>
              </w:rPr>
            </w:pPr>
            <w:r>
              <w:rPr>
                <w:rFonts w:hint="eastAsia" w:ascii="Times New Roman" w:hAnsi="Times New Roman" w:cs="宋体"/>
                <w:color w:val="auto"/>
                <w:szCs w:val="22"/>
                <w:highlight w:val="none"/>
              </w:rPr>
              <w:t>本项目</w:t>
            </w:r>
            <w:r>
              <w:rPr>
                <w:rFonts w:hint="eastAsia" w:cs="宋体"/>
                <w:color w:val="auto"/>
                <w:szCs w:val="22"/>
                <w:highlight w:val="none"/>
                <w:lang w:val="en-US" w:eastAsia="zh-CN"/>
              </w:rPr>
              <w:t>陆域</w:t>
            </w:r>
            <w:r>
              <w:rPr>
                <w:rFonts w:hint="eastAsia" w:ascii="Times New Roman" w:hAnsi="Times New Roman" w:cs="宋体"/>
                <w:color w:val="auto"/>
                <w:szCs w:val="22"/>
                <w:highlight w:val="none"/>
              </w:rPr>
              <w:t>不涉及</w:t>
            </w:r>
          </w:p>
        </w:tc>
        <w:tc>
          <w:tcPr>
            <w:tcW w:w="1261" w:type="pct"/>
            <w:tcBorders>
              <w:top w:val="single" w:color="auto" w:sz="4" w:space="0"/>
              <w:left w:val="single" w:color="auto" w:sz="4" w:space="0"/>
              <w:bottom w:val="single" w:color="auto" w:sz="4" w:space="0"/>
              <w:right w:val="nil"/>
            </w:tcBorders>
            <w:noWrap w:val="0"/>
            <w:vAlign w:val="center"/>
          </w:tcPr>
          <w:p w14:paraId="0959824F">
            <w:pPr>
              <w:keepNext w:val="0"/>
              <w:keepLines w:val="0"/>
              <w:widowControl/>
              <w:suppressLineNumbers w:val="0"/>
              <w:spacing w:before="0" w:beforeAutospacing="0" w:after="0" w:afterAutospacing="0"/>
              <w:ind w:left="0" w:right="0"/>
              <w:jc w:val="center"/>
              <w:rPr>
                <w:rFonts w:hint="default" w:ascii="Times New Roman" w:hAnsi="Times New Roman" w:cs="宋体"/>
                <w:color w:val="auto"/>
                <w:szCs w:val="22"/>
                <w:highlight w:val="none"/>
                <w:lang w:val="en-US" w:eastAsia="zh-CN"/>
              </w:rPr>
            </w:pPr>
            <w:r>
              <w:rPr>
                <w:rFonts w:hint="default" w:ascii="Times New Roman" w:hAnsi="Times New Roman" w:cs="宋体"/>
                <w:color w:val="auto"/>
                <w:szCs w:val="22"/>
                <w:highlight w:val="none"/>
              </w:rPr>
              <w:t>本项目</w:t>
            </w:r>
            <w:r>
              <w:rPr>
                <w:rFonts w:hint="eastAsia" w:cs="宋体"/>
                <w:color w:val="auto"/>
                <w:szCs w:val="22"/>
                <w:highlight w:val="none"/>
                <w:lang w:val="en-US" w:eastAsia="zh-CN"/>
              </w:rPr>
              <w:t>水域影响范围涉及</w:t>
            </w:r>
            <w:r>
              <w:rPr>
                <w:rFonts w:hint="default" w:ascii="Times New Roman" w:hAnsi="Times New Roman" w:cs="宋体"/>
                <w:color w:val="auto"/>
                <w:szCs w:val="22"/>
                <w:highlight w:val="none"/>
              </w:rPr>
              <w:t>淮河淮南段长吻鮠水产种质资源</w:t>
            </w:r>
            <w:r>
              <w:rPr>
                <w:rFonts w:hint="eastAsia" w:cs="宋体"/>
                <w:color w:val="auto"/>
                <w:szCs w:val="22"/>
                <w:highlight w:val="none"/>
                <w:lang w:val="en-US" w:eastAsia="zh-CN"/>
              </w:rPr>
              <w:t>试验区，评价等级为一级</w:t>
            </w:r>
          </w:p>
        </w:tc>
      </w:tr>
      <w:tr w14:paraId="59CD9A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2477" w:type="pct"/>
            <w:tcBorders>
              <w:top w:val="single" w:color="auto" w:sz="4" w:space="0"/>
              <w:left w:val="nil"/>
              <w:bottom w:val="single" w:color="auto" w:sz="4" w:space="0"/>
              <w:right w:val="single" w:color="auto" w:sz="4" w:space="0"/>
            </w:tcBorders>
            <w:noWrap w:val="0"/>
            <w:vAlign w:val="center"/>
          </w:tcPr>
          <w:p w14:paraId="14CB4952">
            <w:pPr>
              <w:keepNext w:val="0"/>
              <w:keepLines w:val="0"/>
              <w:widowControl/>
              <w:suppressLineNumbers w:val="0"/>
              <w:spacing w:before="0" w:beforeAutospacing="0" w:after="0" w:afterAutospacing="0"/>
              <w:ind w:left="0" w:right="0"/>
              <w:jc w:val="left"/>
              <w:rPr>
                <w:rFonts w:hint="eastAsia" w:ascii="Times New Roman" w:hAnsi="Times New Roman" w:cs="宋体"/>
                <w:color w:val="auto"/>
                <w:szCs w:val="22"/>
              </w:rPr>
            </w:pPr>
            <w:r>
              <w:rPr>
                <w:rFonts w:hint="eastAsia" w:ascii="Times New Roman" w:hAnsi="Times New Roman" w:cs="宋体"/>
                <w:color w:val="auto"/>
                <w:szCs w:val="22"/>
              </w:rPr>
              <w:t>b）涉及自然公园时，评价等级为二级；</w:t>
            </w:r>
          </w:p>
        </w:tc>
        <w:tc>
          <w:tcPr>
            <w:tcW w:w="1261" w:type="pct"/>
            <w:tcBorders>
              <w:top w:val="single" w:color="auto" w:sz="4" w:space="0"/>
              <w:left w:val="single" w:color="auto" w:sz="4" w:space="0"/>
              <w:bottom w:val="single" w:color="auto" w:sz="4" w:space="0"/>
              <w:right w:val="nil"/>
            </w:tcBorders>
            <w:noWrap w:val="0"/>
            <w:vAlign w:val="center"/>
          </w:tcPr>
          <w:p w14:paraId="2EF02398">
            <w:pPr>
              <w:keepNext w:val="0"/>
              <w:keepLines w:val="0"/>
              <w:widowControl/>
              <w:suppressLineNumbers w:val="0"/>
              <w:spacing w:before="0" w:beforeAutospacing="0" w:after="0" w:afterAutospacing="0"/>
              <w:ind w:left="0" w:right="0"/>
              <w:jc w:val="center"/>
              <w:rPr>
                <w:rFonts w:hint="default" w:ascii="Times New Roman" w:hAnsi="Times New Roman" w:eastAsia="宋体" w:cs="宋体"/>
                <w:color w:val="auto"/>
                <w:szCs w:val="22"/>
                <w:lang w:val="en-US" w:eastAsia="zh-CN"/>
              </w:rPr>
            </w:pPr>
            <w:r>
              <w:rPr>
                <w:rFonts w:hint="eastAsia" w:ascii="Times New Roman" w:hAnsi="Times New Roman" w:cs="宋体"/>
                <w:color w:val="auto"/>
                <w:szCs w:val="22"/>
              </w:rPr>
              <w:t>本项目位于淮南港潘集港区平圩作业区</w:t>
            </w:r>
            <w:r>
              <w:rPr>
                <w:rFonts w:hint="eastAsia" w:cs="宋体"/>
                <w:color w:val="auto"/>
                <w:szCs w:val="22"/>
                <w:lang w:eastAsia="zh-CN"/>
              </w:rPr>
              <w:t>，</w:t>
            </w:r>
            <w:r>
              <w:rPr>
                <w:rFonts w:hint="eastAsia" w:cs="宋体"/>
                <w:color w:val="auto"/>
                <w:szCs w:val="22"/>
                <w:lang w:val="en-US" w:eastAsia="zh-CN"/>
              </w:rPr>
              <w:t>不涉及自然保护区。</w:t>
            </w:r>
          </w:p>
        </w:tc>
        <w:tc>
          <w:tcPr>
            <w:tcW w:w="1261" w:type="pct"/>
            <w:tcBorders>
              <w:top w:val="single" w:color="auto" w:sz="4" w:space="0"/>
              <w:left w:val="single" w:color="auto" w:sz="4" w:space="0"/>
              <w:bottom w:val="single" w:color="auto" w:sz="4" w:space="0"/>
              <w:right w:val="nil"/>
            </w:tcBorders>
            <w:noWrap w:val="0"/>
            <w:vAlign w:val="center"/>
          </w:tcPr>
          <w:p w14:paraId="0CF3B880">
            <w:pPr>
              <w:keepNext w:val="0"/>
              <w:keepLines w:val="0"/>
              <w:widowControl/>
              <w:suppressLineNumbers w:val="0"/>
              <w:spacing w:before="0" w:beforeAutospacing="0" w:after="0" w:afterAutospacing="0"/>
              <w:ind w:left="0" w:right="0"/>
              <w:jc w:val="center"/>
              <w:rPr>
                <w:rFonts w:hint="default" w:ascii="Times New Roman" w:hAnsi="Times New Roman" w:cs="宋体"/>
                <w:color w:val="auto"/>
                <w:szCs w:val="22"/>
                <w:lang w:val="en-US"/>
              </w:rPr>
            </w:pPr>
            <w:r>
              <w:rPr>
                <w:rFonts w:hint="default" w:ascii="Times New Roman" w:hAnsi="Times New Roman" w:cs="宋体"/>
                <w:color w:val="auto"/>
                <w:szCs w:val="22"/>
              </w:rPr>
              <w:t>本项目</w:t>
            </w:r>
            <w:r>
              <w:rPr>
                <w:rFonts w:hint="eastAsia" w:cs="宋体"/>
                <w:color w:val="auto"/>
                <w:szCs w:val="22"/>
                <w:lang w:val="en-US" w:eastAsia="zh-CN"/>
              </w:rPr>
              <w:t>水域不涉及</w:t>
            </w:r>
          </w:p>
        </w:tc>
      </w:tr>
      <w:tr w14:paraId="54FEDB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2477" w:type="pct"/>
            <w:tcBorders>
              <w:top w:val="single" w:color="auto" w:sz="4" w:space="0"/>
              <w:left w:val="nil"/>
              <w:bottom w:val="single" w:color="auto" w:sz="4" w:space="0"/>
              <w:right w:val="single" w:color="auto" w:sz="4" w:space="0"/>
            </w:tcBorders>
            <w:noWrap w:val="0"/>
            <w:vAlign w:val="center"/>
          </w:tcPr>
          <w:p w14:paraId="548356B5">
            <w:pPr>
              <w:keepNext w:val="0"/>
              <w:keepLines w:val="0"/>
              <w:widowControl/>
              <w:suppressLineNumbers w:val="0"/>
              <w:spacing w:before="0" w:beforeAutospacing="0" w:after="0" w:afterAutospacing="0"/>
              <w:ind w:left="0" w:right="0"/>
              <w:jc w:val="left"/>
              <w:rPr>
                <w:rFonts w:hint="eastAsia" w:ascii="Times New Roman" w:hAnsi="Times New Roman" w:cs="宋体"/>
                <w:color w:val="auto"/>
                <w:szCs w:val="22"/>
              </w:rPr>
            </w:pPr>
            <w:r>
              <w:rPr>
                <w:rFonts w:hint="eastAsia" w:ascii="Times New Roman" w:hAnsi="Times New Roman" w:cs="宋体"/>
                <w:color w:val="auto"/>
                <w:szCs w:val="22"/>
              </w:rPr>
              <w:t>c）涉及生态保护红线时，评价等级不低于二级；</w:t>
            </w:r>
          </w:p>
        </w:tc>
        <w:tc>
          <w:tcPr>
            <w:tcW w:w="1261" w:type="pct"/>
            <w:tcBorders>
              <w:top w:val="single" w:color="auto" w:sz="4" w:space="0"/>
              <w:left w:val="single" w:color="auto" w:sz="4" w:space="0"/>
              <w:bottom w:val="single" w:color="auto" w:sz="4" w:space="0"/>
              <w:right w:val="nil"/>
            </w:tcBorders>
            <w:noWrap w:val="0"/>
            <w:vAlign w:val="center"/>
          </w:tcPr>
          <w:p w14:paraId="58BAC719">
            <w:pPr>
              <w:keepNext w:val="0"/>
              <w:keepLines w:val="0"/>
              <w:widowControl/>
              <w:suppressLineNumbers w:val="0"/>
              <w:spacing w:before="0" w:beforeAutospacing="0" w:after="0" w:afterAutospacing="0"/>
              <w:ind w:left="0" w:right="0"/>
              <w:jc w:val="center"/>
              <w:rPr>
                <w:rFonts w:hint="eastAsia" w:ascii="Times New Roman" w:hAnsi="Times New Roman" w:cs="宋体"/>
                <w:color w:val="auto"/>
                <w:szCs w:val="22"/>
              </w:rPr>
            </w:pPr>
            <w:r>
              <w:rPr>
                <w:rFonts w:hint="eastAsia" w:ascii="Times New Roman" w:hAnsi="Times New Roman" w:cs="宋体"/>
                <w:color w:val="auto"/>
                <w:szCs w:val="22"/>
              </w:rPr>
              <w:t>本项目</w:t>
            </w:r>
            <w:r>
              <w:rPr>
                <w:rFonts w:hint="eastAsia" w:cs="宋体"/>
                <w:color w:val="auto"/>
                <w:szCs w:val="22"/>
                <w:lang w:val="en-US" w:eastAsia="zh-CN"/>
              </w:rPr>
              <w:t>陆域</w:t>
            </w:r>
            <w:r>
              <w:rPr>
                <w:rFonts w:hint="eastAsia" w:ascii="Times New Roman" w:hAnsi="Times New Roman" w:cs="宋体"/>
                <w:color w:val="auto"/>
                <w:szCs w:val="22"/>
              </w:rPr>
              <w:t>不涉及</w:t>
            </w:r>
          </w:p>
        </w:tc>
        <w:tc>
          <w:tcPr>
            <w:tcW w:w="1261" w:type="pct"/>
            <w:tcBorders>
              <w:top w:val="single" w:color="auto" w:sz="4" w:space="0"/>
              <w:left w:val="single" w:color="auto" w:sz="4" w:space="0"/>
              <w:bottom w:val="single" w:color="auto" w:sz="4" w:space="0"/>
              <w:right w:val="nil"/>
            </w:tcBorders>
            <w:noWrap w:val="0"/>
            <w:vAlign w:val="center"/>
          </w:tcPr>
          <w:p w14:paraId="286CA126">
            <w:pPr>
              <w:keepNext w:val="0"/>
              <w:keepLines w:val="0"/>
              <w:widowControl/>
              <w:suppressLineNumbers w:val="0"/>
              <w:spacing w:before="0" w:beforeAutospacing="0" w:after="0" w:afterAutospacing="0"/>
              <w:ind w:left="0" w:right="0"/>
              <w:jc w:val="center"/>
              <w:rPr>
                <w:rFonts w:hint="eastAsia" w:ascii="Times New Roman" w:hAnsi="Times New Roman" w:cs="宋体"/>
                <w:color w:val="auto"/>
                <w:szCs w:val="22"/>
              </w:rPr>
            </w:pPr>
            <w:r>
              <w:rPr>
                <w:rFonts w:hint="default" w:ascii="Times New Roman" w:hAnsi="Times New Roman" w:cs="宋体"/>
                <w:color w:val="auto"/>
                <w:szCs w:val="22"/>
              </w:rPr>
              <w:t>本项目</w:t>
            </w:r>
            <w:r>
              <w:rPr>
                <w:rFonts w:hint="eastAsia" w:cs="宋体"/>
                <w:color w:val="auto"/>
                <w:szCs w:val="22"/>
                <w:lang w:val="en-US" w:eastAsia="zh-CN"/>
              </w:rPr>
              <w:t>水域不涉及</w:t>
            </w:r>
          </w:p>
        </w:tc>
      </w:tr>
      <w:tr w14:paraId="04C593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2477" w:type="pct"/>
            <w:tcBorders>
              <w:top w:val="single" w:color="auto" w:sz="4" w:space="0"/>
              <w:left w:val="nil"/>
              <w:bottom w:val="single" w:color="auto" w:sz="4" w:space="0"/>
              <w:right w:val="single" w:color="auto" w:sz="4" w:space="0"/>
            </w:tcBorders>
            <w:noWrap w:val="0"/>
            <w:vAlign w:val="center"/>
          </w:tcPr>
          <w:p w14:paraId="51D7A21D">
            <w:pPr>
              <w:keepNext w:val="0"/>
              <w:keepLines w:val="0"/>
              <w:widowControl/>
              <w:suppressLineNumbers w:val="0"/>
              <w:spacing w:before="0" w:beforeAutospacing="0" w:after="0" w:afterAutospacing="0"/>
              <w:ind w:left="0" w:right="0"/>
              <w:jc w:val="left"/>
              <w:rPr>
                <w:rFonts w:hint="eastAsia" w:ascii="Times New Roman" w:hAnsi="Times New Roman" w:cs="宋体"/>
                <w:color w:val="auto"/>
                <w:szCs w:val="22"/>
              </w:rPr>
            </w:pPr>
            <w:r>
              <w:rPr>
                <w:rFonts w:hint="eastAsia" w:ascii="Times New Roman" w:hAnsi="Times New Roman" w:cs="宋体"/>
                <w:color w:val="auto"/>
                <w:szCs w:val="22"/>
              </w:rPr>
              <w:t>d）根据HJ2.3判断属于水文要素影响型且地表水评价等级不低于二级的建设项目，生态影响评价等级不低于二级；</w:t>
            </w:r>
          </w:p>
        </w:tc>
        <w:tc>
          <w:tcPr>
            <w:tcW w:w="1261" w:type="pct"/>
            <w:tcBorders>
              <w:top w:val="single" w:color="auto" w:sz="4" w:space="0"/>
              <w:left w:val="single" w:color="auto" w:sz="4" w:space="0"/>
              <w:bottom w:val="single" w:color="auto" w:sz="4" w:space="0"/>
              <w:right w:val="nil"/>
            </w:tcBorders>
            <w:noWrap w:val="0"/>
            <w:vAlign w:val="center"/>
          </w:tcPr>
          <w:p w14:paraId="6A5980E9">
            <w:pPr>
              <w:keepNext w:val="0"/>
              <w:keepLines w:val="0"/>
              <w:widowControl/>
              <w:suppressLineNumbers w:val="0"/>
              <w:spacing w:before="0" w:beforeAutospacing="0" w:after="0" w:afterAutospacing="0"/>
              <w:ind w:left="0" w:right="0"/>
              <w:jc w:val="center"/>
              <w:rPr>
                <w:rFonts w:hint="eastAsia" w:ascii="Times New Roman" w:hAnsi="Times New Roman" w:cs="宋体"/>
                <w:color w:val="auto"/>
                <w:szCs w:val="22"/>
              </w:rPr>
            </w:pPr>
            <w:r>
              <w:rPr>
                <w:rFonts w:hint="eastAsia" w:ascii="Times New Roman" w:hAnsi="Times New Roman" w:cs="宋体"/>
                <w:color w:val="auto"/>
                <w:szCs w:val="22"/>
              </w:rPr>
              <w:t>本项目</w:t>
            </w:r>
            <w:r>
              <w:rPr>
                <w:rFonts w:hint="eastAsia" w:cs="宋体"/>
                <w:color w:val="auto"/>
                <w:szCs w:val="22"/>
                <w:lang w:val="en-US" w:eastAsia="zh-CN"/>
              </w:rPr>
              <w:t>陆域</w:t>
            </w:r>
            <w:r>
              <w:rPr>
                <w:rFonts w:hint="eastAsia" w:ascii="Times New Roman" w:hAnsi="Times New Roman" w:cs="宋体"/>
                <w:color w:val="auto"/>
                <w:szCs w:val="22"/>
              </w:rPr>
              <w:t>不涉及</w:t>
            </w:r>
          </w:p>
        </w:tc>
        <w:tc>
          <w:tcPr>
            <w:tcW w:w="1261" w:type="pct"/>
            <w:tcBorders>
              <w:top w:val="single" w:color="auto" w:sz="4" w:space="0"/>
              <w:left w:val="single" w:color="auto" w:sz="4" w:space="0"/>
              <w:bottom w:val="single" w:color="auto" w:sz="4" w:space="0"/>
              <w:right w:val="nil"/>
            </w:tcBorders>
            <w:noWrap w:val="0"/>
            <w:vAlign w:val="center"/>
          </w:tcPr>
          <w:p w14:paraId="3FD97622">
            <w:pPr>
              <w:keepNext w:val="0"/>
              <w:keepLines w:val="0"/>
              <w:widowControl/>
              <w:suppressLineNumbers w:val="0"/>
              <w:spacing w:before="0" w:beforeAutospacing="0" w:after="0" w:afterAutospacing="0"/>
              <w:ind w:left="0" w:right="0"/>
              <w:jc w:val="center"/>
              <w:rPr>
                <w:rFonts w:hint="eastAsia" w:ascii="Times New Roman" w:hAnsi="Times New Roman" w:cs="宋体"/>
                <w:color w:val="auto"/>
                <w:szCs w:val="22"/>
              </w:rPr>
            </w:pPr>
            <w:r>
              <w:rPr>
                <w:rFonts w:hint="default" w:ascii="Times New Roman" w:hAnsi="Times New Roman" w:cs="宋体"/>
                <w:color w:val="auto"/>
                <w:szCs w:val="22"/>
              </w:rPr>
              <w:t>本项目</w:t>
            </w:r>
            <w:r>
              <w:rPr>
                <w:rFonts w:hint="eastAsia" w:cs="宋体"/>
                <w:color w:val="auto"/>
                <w:szCs w:val="22"/>
                <w:lang w:val="en-US" w:eastAsia="zh-CN"/>
              </w:rPr>
              <w:t>水域影响范围属于</w:t>
            </w:r>
            <w:r>
              <w:rPr>
                <w:rFonts w:hint="eastAsia" w:ascii="Times New Roman" w:hAnsi="Times New Roman" w:cs="宋体"/>
                <w:color w:val="auto"/>
                <w:szCs w:val="22"/>
              </w:rPr>
              <w:t>地表水评价等级</w:t>
            </w:r>
            <w:r>
              <w:rPr>
                <w:rFonts w:hint="eastAsia" w:cs="宋体"/>
                <w:color w:val="auto"/>
                <w:szCs w:val="22"/>
                <w:lang w:val="en-US" w:eastAsia="zh-CN"/>
              </w:rPr>
              <w:t>二</w:t>
            </w:r>
            <w:r>
              <w:rPr>
                <w:rFonts w:hint="eastAsia" w:ascii="Times New Roman" w:hAnsi="Times New Roman" w:cs="宋体"/>
                <w:color w:val="auto"/>
                <w:szCs w:val="22"/>
              </w:rPr>
              <w:t>级的</w:t>
            </w:r>
            <w:r>
              <w:rPr>
                <w:rFonts w:hint="eastAsia" w:cs="宋体"/>
                <w:color w:val="auto"/>
                <w:szCs w:val="22"/>
                <w:lang w:eastAsia="zh-CN"/>
              </w:rPr>
              <w:t>建设项目。</w:t>
            </w:r>
          </w:p>
        </w:tc>
      </w:tr>
      <w:tr w14:paraId="0C01DD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2477" w:type="pct"/>
            <w:tcBorders>
              <w:top w:val="single" w:color="auto" w:sz="4" w:space="0"/>
              <w:left w:val="nil"/>
              <w:bottom w:val="single" w:color="auto" w:sz="4" w:space="0"/>
              <w:right w:val="single" w:color="auto" w:sz="4" w:space="0"/>
            </w:tcBorders>
            <w:noWrap w:val="0"/>
            <w:vAlign w:val="center"/>
          </w:tcPr>
          <w:p w14:paraId="560B27CE">
            <w:pPr>
              <w:keepNext w:val="0"/>
              <w:keepLines w:val="0"/>
              <w:widowControl/>
              <w:suppressLineNumbers w:val="0"/>
              <w:spacing w:before="0" w:beforeAutospacing="0" w:after="0" w:afterAutospacing="0"/>
              <w:ind w:left="0" w:right="0"/>
              <w:jc w:val="left"/>
              <w:rPr>
                <w:rFonts w:hint="eastAsia" w:ascii="Times New Roman" w:hAnsi="Times New Roman" w:cs="宋体"/>
                <w:color w:val="auto"/>
                <w:szCs w:val="22"/>
              </w:rPr>
            </w:pPr>
            <w:r>
              <w:rPr>
                <w:rFonts w:hint="eastAsia" w:ascii="Times New Roman" w:hAnsi="Times New Roman" w:cs="宋体"/>
                <w:color w:val="auto"/>
                <w:szCs w:val="22"/>
              </w:rPr>
              <w:t>e）根据HJ 610、HJ 964判断地下水水位或土壤影响范围内分布有天然林、公益林、湿地等生态保护目标的建设项目，生态影响评价等级不低于二级；</w:t>
            </w:r>
          </w:p>
        </w:tc>
        <w:tc>
          <w:tcPr>
            <w:tcW w:w="1261" w:type="pct"/>
            <w:tcBorders>
              <w:top w:val="single" w:color="auto" w:sz="4" w:space="0"/>
              <w:left w:val="single" w:color="auto" w:sz="4" w:space="0"/>
              <w:bottom w:val="single" w:color="auto" w:sz="4" w:space="0"/>
              <w:right w:val="nil"/>
            </w:tcBorders>
            <w:noWrap w:val="0"/>
            <w:vAlign w:val="center"/>
          </w:tcPr>
          <w:p w14:paraId="7DC66310">
            <w:pPr>
              <w:keepNext w:val="0"/>
              <w:keepLines w:val="0"/>
              <w:widowControl/>
              <w:suppressLineNumbers w:val="0"/>
              <w:spacing w:before="0" w:beforeAutospacing="0" w:after="0" w:afterAutospacing="0"/>
              <w:ind w:left="0" w:right="0"/>
              <w:jc w:val="center"/>
              <w:rPr>
                <w:rFonts w:hint="eastAsia" w:ascii="Times New Roman" w:hAnsi="Times New Roman" w:cs="宋体"/>
                <w:color w:val="auto"/>
                <w:szCs w:val="22"/>
              </w:rPr>
            </w:pPr>
            <w:r>
              <w:rPr>
                <w:rFonts w:hint="eastAsia" w:ascii="Times New Roman" w:hAnsi="Times New Roman" w:cs="宋体"/>
                <w:color w:val="auto"/>
                <w:szCs w:val="22"/>
              </w:rPr>
              <w:t>本项目</w:t>
            </w:r>
            <w:r>
              <w:rPr>
                <w:rFonts w:hint="eastAsia" w:cs="宋体"/>
                <w:color w:val="auto"/>
                <w:szCs w:val="22"/>
                <w:lang w:val="en-US" w:eastAsia="zh-CN"/>
              </w:rPr>
              <w:t>陆域</w:t>
            </w:r>
            <w:r>
              <w:rPr>
                <w:rFonts w:hint="eastAsia" w:ascii="Times New Roman" w:hAnsi="Times New Roman" w:cs="宋体"/>
                <w:color w:val="auto"/>
                <w:szCs w:val="22"/>
              </w:rPr>
              <w:t>不涉及</w:t>
            </w:r>
          </w:p>
        </w:tc>
        <w:tc>
          <w:tcPr>
            <w:tcW w:w="1261" w:type="pct"/>
            <w:tcBorders>
              <w:top w:val="single" w:color="auto" w:sz="4" w:space="0"/>
              <w:left w:val="single" w:color="auto" w:sz="4" w:space="0"/>
              <w:bottom w:val="single" w:color="auto" w:sz="4" w:space="0"/>
              <w:right w:val="nil"/>
            </w:tcBorders>
            <w:noWrap w:val="0"/>
            <w:vAlign w:val="center"/>
          </w:tcPr>
          <w:p w14:paraId="684AB7F7">
            <w:pPr>
              <w:keepNext w:val="0"/>
              <w:keepLines w:val="0"/>
              <w:widowControl/>
              <w:suppressLineNumbers w:val="0"/>
              <w:spacing w:before="0" w:beforeAutospacing="0" w:after="0" w:afterAutospacing="0"/>
              <w:ind w:left="0" w:right="0"/>
              <w:jc w:val="center"/>
              <w:rPr>
                <w:rFonts w:hint="eastAsia" w:ascii="Times New Roman" w:hAnsi="Times New Roman" w:cs="宋体"/>
                <w:color w:val="auto"/>
                <w:szCs w:val="22"/>
              </w:rPr>
            </w:pPr>
            <w:r>
              <w:rPr>
                <w:rFonts w:hint="eastAsia" w:ascii="Times New Roman" w:hAnsi="Times New Roman" w:cs="宋体"/>
                <w:color w:val="auto"/>
                <w:szCs w:val="22"/>
              </w:rPr>
              <w:t>本项目</w:t>
            </w:r>
            <w:r>
              <w:rPr>
                <w:rFonts w:hint="eastAsia" w:cs="宋体"/>
                <w:color w:val="auto"/>
                <w:szCs w:val="22"/>
                <w:lang w:val="en-US" w:eastAsia="zh-CN"/>
              </w:rPr>
              <w:t>水域</w:t>
            </w:r>
            <w:r>
              <w:rPr>
                <w:rFonts w:hint="eastAsia" w:ascii="Times New Roman" w:hAnsi="Times New Roman" w:cs="宋体"/>
                <w:color w:val="auto"/>
                <w:szCs w:val="22"/>
              </w:rPr>
              <w:t>不涉及</w:t>
            </w:r>
          </w:p>
        </w:tc>
      </w:tr>
      <w:tr w14:paraId="239AE9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2477" w:type="pct"/>
            <w:tcBorders>
              <w:top w:val="single" w:color="auto" w:sz="4" w:space="0"/>
              <w:left w:val="nil"/>
              <w:bottom w:val="single" w:color="auto" w:sz="4" w:space="0"/>
              <w:right w:val="single" w:color="auto" w:sz="4" w:space="0"/>
            </w:tcBorders>
            <w:noWrap w:val="0"/>
            <w:vAlign w:val="center"/>
          </w:tcPr>
          <w:p w14:paraId="4EA3EB11">
            <w:pPr>
              <w:keepNext w:val="0"/>
              <w:keepLines w:val="0"/>
              <w:widowControl/>
              <w:suppressLineNumbers w:val="0"/>
              <w:spacing w:before="0" w:beforeAutospacing="0" w:after="0" w:afterAutospacing="0"/>
              <w:ind w:left="0" w:right="0"/>
              <w:jc w:val="left"/>
              <w:rPr>
                <w:rFonts w:hint="eastAsia" w:ascii="Times New Roman" w:hAnsi="Times New Roman" w:cs="宋体"/>
                <w:color w:val="auto"/>
                <w:szCs w:val="22"/>
              </w:rPr>
            </w:pPr>
            <w:r>
              <w:rPr>
                <w:rFonts w:hint="eastAsia" w:ascii="Times New Roman" w:hAnsi="Times New Roman" w:cs="宋体"/>
                <w:color w:val="auto"/>
                <w:szCs w:val="22"/>
              </w:rPr>
              <w:t>f）当工程占地规模大于20km</w:t>
            </w:r>
            <w:r>
              <w:rPr>
                <w:rFonts w:hint="eastAsia" w:ascii="Times New Roman" w:hAnsi="Times New Roman" w:cs="宋体"/>
                <w:color w:val="auto"/>
                <w:szCs w:val="22"/>
                <w:vertAlign w:val="superscript"/>
              </w:rPr>
              <w:t>2</w:t>
            </w:r>
            <w:r>
              <w:rPr>
                <w:rFonts w:hint="eastAsia" w:ascii="Times New Roman" w:hAnsi="Times New Roman" w:cs="宋体"/>
                <w:color w:val="auto"/>
                <w:szCs w:val="22"/>
              </w:rPr>
              <w:t>时（包括永久和临时占用陆域和水域），评价等级不低于二级；改扩建项目的占地范围以新增占地（包括陆域和水域）确定；</w:t>
            </w:r>
          </w:p>
        </w:tc>
        <w:tc>
          <w:tcPr>
            <w:tcW w:w="1261" w:type="pct"/>
            <w:tcBorders>
              <w:top w:val="single" w:color="auto" w:sz="4" w:space="0"/>
              <w:left w:val="single" w:color="auto" w:sz="4" w:space="0"/>
              <w:bottom w:val="single" w:color="auto" w:sz="4" w:space="0"/>
              <w:right w:val="nil"/>
            </w:tcBorders>
            <w:noWrap w:val="0"/>
            <w:vAlign w:val="center"/>
          </w:tcPr>
          <w:p w14:paraId="1369949F">
            <w:pPr>
              <w:keepNext w:val="0"/>
              <w:keepLines w:val="0"/>
              <w:widowControl/>
              <w:suppressLineNumbers w:val="0"/>
              <w:spacing w:before="0" w:beforeAutospacing="0" w:after="0" w:afterAutospacing="0"/>
              <w:ind w:left="0" w:right="0"/>
              <w:jc w:val="center"/>
              <w:rPr>
                <w:rFonts w:hint="eastAsia" w:ascii="Times New Roman" w:hAnsi="Times New Roman" w:cs="宋体"/>
                <w:color w:val="auto"/>
                <w:szCs w:val="22"/>
              </w:rPr>
            </w:pPr>
            <w:r>
              <w:rPr>
                <w:rFonts w:hint="eastAsia" w:ascii="Times New Roman" w:hAnsi="Times New Roman" w:cs="宋体"/>
                <w:color w:val="auto"/>
                <w:szCs w:val="22"/>
              </w:rPr>
              <w:t>本项目</w:t>
            </w:r>
            <w:r>
              <w:rPr>
                <w:rFonts w:hint="eastAsia" w:cs="宋体"/>
                <w:color w:val="auto"/>
                <w:szCs w:val="22"/>
                <w:lang w:val="en-US" w:eastAsia="zh-CN"/>
              </w:rPr>
              <w:t>陆域</w:t>
            </w:r>
            <w:r>
              <w:rPr>
                <w:rFonts w:hint="eastAsia" w:ascii="Times New Roman" w:hAnsi="Times New Roman" w:cs="宋体"/>
                <w:color w:val="auto"/>
                <w:szCs w:val="22"/>
              </w:rPr>
              <w:t>占地约</w:t>
            </w:r>
            <w:r>
              <w:rPr>
                <w:rFonts w:hint="default" w:ascii="Times New Roman" w:hAnsi="Times New Roman" w:cs="Times New Roman"/>
                <w:color w:val="auto"/>
              </w:rPr>
              <w:t>0.</w:t>
            </w:r>
            <w:r>
              <w:rPr>
                <w:rFonts w:hint="eastAsia" w:cs="Times New Roman"/>
                <w:color w:val="auto"/>
                <w:lang w:eastAsia="zh-CN"/>
              </w:rPr>
              <w:t>0273km²</w:t>
            </w:r>
            <w:r>
              <w:rPr>
                <w:rFonts w:hint="default" w:ascii="Times New Roman" w:hAnsi="Times New Roman" w:cs="Times New Roman"/>
                <w:color w:val="auto"/>
              </w:rPr>
              <w:t>&lt;20km</w:t>
            </w:r>
            <w:r>
              <w:rPr>
                <w:rFonts w:hint="default" w:ascii="Times New Roman" w:hAnsi="Times New Roman" w:cs="Times New Roman"/>
                <w:color w:val="auto"/>
                <w:vertAlign w:val="superscript"/>
              </w:rPr>
              <w:t>2</w:t>
            </w:r>
          </w:p>
        </w:tc>
        <w:tc>
          <w:tcPr>
            <w:tcW w:w="1261" w:type="pct"/>
            <w:tcBorders>
              <w:top w:val="single" w:color="auto" w:sz="4" w:space="0"/>
              <w:left w:val="single" w:color="auto" w:sz="4" w:space="0"/>
              <w:bottom w:val="single" w:color="auto" w:sz="4" w:space="0"/>
              <w:right w:val="nil"/>
            </w:tcBorders>
            <w:noWrap w:val="0"/>
            <w:vAlign w:val="center"/>
          </w:tcPr>
          <w:p w14:paraId="407B7109">
            <w:pPr>
              <w:keepNext w:val="0"/>
              <w:keepLines w:val="0"/>
              <w:widowControl/>
              <w:suppressLineNumbers w:val="0"/>
              <w:spacing w:before="0" w:beforeAutospacing="0" w:after="0" w:afterAutospacing="0"/>
              <w:ind w:left="0" w:right="0"/>
              <w:jc w:val="center"/>
              <w:rPr>
                <w:rFonts w:hint="eastAsia" w:ascii="Times New Roman" w:hAnsi="Times New Roman" w:cs="宋体"/>
                <w:color w:val="auto"/>
                <w:szCs w:val="22"/>
              </w:rPr>
            </w:pPr>
            <w:r>
              <w:rPr>
                <w:rFonts w:hint="eastAsia" w:ascii="Times New Roman" w:hAnsi="Times New Roman" w:cs="宋体"/>
                <w:color w:val="auto"/>
                <w:szCs w:val="22"/>
              </w:rPr>
              <w:t>本</w:t>
            </w:r>
            <w:r>
              <w:rPr>
                <w:rFonts w:hint="eastAsia" w:ascii="Times New Roman" w:hAnsi="Times New Roman" w:cs="宋体"/>
                <w:color w:val="auto"/>
                <w:sz w:val="21"/>
                <w:szCs w:val="21"/>
              </w:rPr>
              <w:t>项目</w:t>
            </w:r>
            <w:r>
              <w:rPr>
                <w:rFonts w:hint="eastAsia" w:cs="宋体"/>
                <w:color w:val="auto"/>
                <w:sz w:val="21"/>
                <w:szCs w:val="21"/>
                <w:lang w:val="en-US" w:eastAsia="zh-CN"/>
              </w:rPr>
              <w:t>水域</w:t>
            </w:r>
            <w:r>
              <w:rPr>
                <w:rFonts w:hint="eastAsia" w:ascii="Times New Roman" w:hAnsi="Times New Roman" w:cs="宋体"/>
                <w:color w:val="auto"/>
                <w:sz w:val="21"/>
                <w:szCs w:val="21"/>
              </w:rPr>
              <w:t>占地约</w:t>
            </w:r>
            <w:r>
              <w:rPr>
                <w:rFonts w:hint="default"/>
                <w:color w:val="auto"/>
                <w:sz w:val="21"/>
                <w:szCs w:val="21"/>
              </w:rPr>
              <w:t>0.0</w:t>
            </w:r>
            <w:r>
              <w:rPr>
                <w:rFonts w:hint="eastAsia"/>
                <w:color w:val="auto"/>
                <w:sz w:val="21"/>
                <w:szCs w:val="21"/>
                <w:lang w:val="en-US" w:eastAsia="zh-CN"/>
              </w:rPr>
              <w:t>024</w:t>
            </w:r>
            <w:r>
              <w:rPr>
                <w:rFonts w:hint="default"/>
                <w:color w:val="auto"/>
                <w:sz w:val="21"/>
                <w:szCs w:val="21"/>
              </w:rPr>
              <w:t>km</w:t>
            </w:r>
            <w:r>
              <w:rPr>
                <w:rFonts w:hint="default"/>
                <w:color w:val="auto"/>
                <w:sz w:val="21"/>
                <w:szCs w:val="21"/>
                <w:vertAlign w:val="superscript"/>
              </w:rPr>
              <w:t>2</w:t>
            </w:r>
            <w:r>
              <w:rPr>
                <w:rFonts w:hint="default" w:ascii="Times New Roman" w:hAnsi="Times New Roman" w:cs="Times New Roman"/>
                <w:color w:val="auto"/>
                <w:sz w:val="21"/>
                <w:szCs w:val="21"/>
              </w:rPr>
              <w:t>&lt;20k</w:t>
            </w:r>
            <w:r>
              <w:rPr>
                <w:rFonts w:hint="default" w:ascii="Times New Roman" w:hAnsi="Times New Roman" w:cs="Times New Roman"/>
                <w:color w:val="auto"/>
              </w:rPr>
              <w:t>m</w:t>
            </w:r>
            <w:r>
              <w:rPr>
                <w:rFonts w:hint="default" w:ascii="Times New Roman" w:hAnsi="Times New Roman" w:cs="Times New Roman"/>
                <w:color w:val="auto"/>
                <w:vertAlign w:val="superscript"/>
              </w:rPr>
              <w:t>2</w:t>
            </w:r>
          </w:p>
        </w:tc>
      </w:tr>
      <w:tr w14:paraId="39F2AB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2477" w:type="pct"/>
            <w:tcBorders>
              <w:top w:val="single" w:color="auto" w:sz="4" w:space="0"/>
              <w:left w:val="nil"/>
              <w:bottom w:val="single" w:color="auto" w:sz="4" w:space="0"/>
              <w:right w:val="single" w:color="auto" w:sz="4" w:space="0"/>
            </w:tcBorders>
            <w:noWrap w:val="0"/>
            <w:vAlign w:val="center"/>
          </w:tcPr>
          <w:p w14:paraId="7D049F87">
            <w:pPr>
              <w:keepNext w:val="0"/>
              <w:keepLines w:val="0"/>
              <w:widowControl/>
              <w:suppressLineNumbers w:val="0"/>
              <w:spacing w:before="0" w:beforeAutospacing="0" w:after="0" w:afterAutospacing="0"/>
              <w:ind w:left="0" w:right="0"/>
              <w:jc w:val="left"/>
              <w:rPr>
                <w:rFonts w:hint="eastAsia" w:ascii="Times New Roman" w:hAnsi="Times New Roman" w:cs="宋体"/>
                <w:color w:val="auto"/>
                <w:szCs w:val="22"/>
              </w:rPr>
            </w:pPr>
            <w:r>
              <w:rPr>
                <w:rFonts w:hint="eastAsia" w:ascii="Times New Roman" w:hAnsi="Times New Roman" w:cs="宋体"/>
                <w:color w:val="auto"/>
                <w:szCs w:val="22"/>
              </w:rPr>
              <w:t>g）除本条a）、b）、c）、d）、e）、f）以外的情况，评价等级为三级；</w:t>
            </w:r>
          </w:p>
        </w:tc>
        <w:tc>
          <w:tcPr>
            <w:tcW w:w="1261" w:type="pct"/>
            <w:tcBorders>
              <w:top w:val="single" w:color="auto" w:sz="4" w:space="0"/>
              <w:left w:val="single" w:color="auto" w:sz="4" w:space="0"/>
              <w:bottom w:val="single" w:color="auto" w:sz="4" w:space="0"/>
              <w:right w:val="nil"/>
            </w:tcBorders>
            <w:noWrap w:val="0"/>
            <w:vAlign w:val="center"/>
          </w:tcPr>
          <w:p w14:paraId="6DA2E7DD">
            <w:pPr>
              <w:keepNext w:val="0"/>
              <w:keepLines w:val="0"/>
              <w:widowControl/>
              <w:suppressLineNumbers w:val="0"/>
              <w:spacing w:before="0" w:beforeAutospacing="0" w:after="0" w:afterAutospacing="0"/>
              <w:ind w:left="0" w:right="0"/>
              <w:jc w:val="center"/>
              <w:rPr>
                <w:rFonts w:hint="default" w:ascii="Times New Roman" w:hAnsi="Times New Roman" w:eastAsia="宋体" w:cs="宋体"/>
                <w:color w:val="auto"/>
                <w:szCs w:val="22"/>
                <w:lang w:val="en-US" w:eastAsia="zh-CN"/>
              </w:rPr>
            </w:pPr>
            <w:r>
              <w:rPr>
                <w:rFonts w:hint="eastAsia" w:ascii="Times New Roman" w:hAnsi="Times New Roman" w:cs="宋体"/>
                <w:color w:val="auto"/>
                <w:szCs w:val="22"/>
              </w:rPr>
              <w:t>本项目</w:t>
            </w:r>
            <w:r>
              <w:rPr>
                <w:rFonts w:hint="eastAsia" w:cs="宋体"/>
                <w:color w:val="auto"/>
                <w:szCs w:val="22"/>
                <w:lang w:val="en-US" w:eastAsia="zh-CN"/>
              </w:rPr>
              <w:t>陆域</w:t>
            </w:r>
            <w:r>
              <w:rPr>
                <w:rFonts w:hint="eastAsia" w:ascii="Times New Roman" w:hAnsi="Times New Roman" w:cs="宋体"/>
                <w:color w:val="auto"/>
                <w:szCs w:val="22"/>
              </w:rPr>
              <w:t>不涉及</w:t>
            </w:r>
            <w:r>
              <w:rPr>
                <w:rFonts w:hint="eastAsia" w:cs="宋体"/>
                <w:color w:val="auto"/>
                <w:szCs w:val="22"/>
                <w:lang w:eastAsia="zh-CN"/>
              </w:rPr>
              <w:t>，</w:t>
            </w:r>
            <w:r>
              <w:rPr>
                <w:rFonts w:hint="eastAsia" w:cs="宋体"/>
                <w:color w:val="auto"/>
                <w:szCs w:val="22"/>
                <w:lang w:val="en-US" w:eastAsia="zh-CN"/>
              </w:rPr>
              <w:t>评价等级为三级</w:t>
            </w:r>
          </w:p>
        </w:tc>
        <w:tc>
          <w:tcPr>
            <w:tcW w:w="1261" w:type="pct"/>
            <w:tcBorders>
              <w:top w:val="single" w:color="auto" w:sz="4" w:space="0"/>
              <w:left w:val="single" w:color="auto" w:sz="4" w:space="0"/>
              <w:bottom w:val="single" w:color="auto" w:sz="4" w:space="0"/>
              <w:right w:val="nil"/>
            </w:tcBorders>
            <w:noWrap w:val="0"/>
            <w:vAlign w:val="center"/>
          </w:tcPr>
          <w:p w14:paraId="1A38B0D1">
            <w:pPr>
              <w:keepNext w:val="0"/>
              <w:keepLines w:val="0"/>
              <w:widowControl/>
              <w:suppressLineNumbers w:val="0"/>
              <w:spacing w:before="0" w:beforeAutospacing="0" w:after="0" w:afterAutospacing="0"/>
              <w:ind w:left="0" w:right="0"/>
              <w:jc w:val="center"/>
              <w:rPr>
                <w:rFonts w:hint="eastAsia" w:ascii="Times New Roman" w:hAnsi="Times New Roman" w:eastAsia="宋体" w:cs="宋体"/>
                <w:color w:val="auto"/>
                <w:szCs w:val="22"/>
                <w:lang w:val="en-US" w:eastAsia="zh-CN"/>
              </w:rPr>
            </w:pPr>
            <w:r>
              <w:rPr>
                <w:rFonts w:hint="eastAsia" w:cs="宋体"/>
                <w:color w:val="auto"/>
                <w:szCs w:val="22"/>
                <w:lang w:val="en-US" w:eastAsia="zh-CN"/>
              </w:rPr>
              <w:t>/</w:t>
            </w:r>
          </w:p>
        </w:tc>
      </w:tr>
      <w:tr w14:paraId="1DF129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2477" w:type="pct"/>
            <w:tcBorders>
              <w:top w:val="single" w:color="auto" w:sz="4" w:space="0"/>
              <w:left w:val="nil"/>
              <w:bottom w:val="single" w:color="auto" w:sz="12" w:space="0"/>
              <w:right w:val="single" w:color="auto" w:sz="4" w:space="0"/>
            </w:tcBorders>
            <w:noWrap w:val="0"/>
            <w:vAlign w:val="center"/>
          </w:tcPr>
          <w:p w14:paraId="4894761D">
            <w:pPr>
              <w:keepNext w:val="0"/>
              <w:keepLines w:val="0"/>
              <w:widowControl/>
              <w:suppressLineNumbers w:val="0"/>
              <w:spacing w:before="0" w:beforeAutospacing="0" w:after="0" w:afterAutospacing="0"/>
              <w:ind w:left="0" w:right="0"/>
              <w:jc w:val="left"/>
              <w:rPr>
                <w:rFonts w:hint="eastAsia" w:ascii="Times New Roman" w:hAnsi="Times New Roman" w:cs="宋体"/>
                <w:color w:val="auto"/>
                <w:szCs w:val="22"/>
              </w:rPr>
            </w:pPr>
            <w:r>
              <w:rPr>
                <w:rFonts w:hint="eastAsia" w:ascii="Times New Roman" w:hAnsi="Times New Roman" w:cs="宋体"/>
                <w:color w:val="auto"/>
                <w:szCs w:val="22"/>
              </w:rPr>
              <w:t>生态影响评价等级判定结果</w:t>
            </w:r>
          </w:p>
        </w:tc>
        <w:tc>
          <w:tcPr>
            <w:tcW w:w="1261" w:type="pct"/>
            <w:tcBorders>
              <w:top w:val="single" w:color="auto" w:sz="4" w:space="0"/>
              <w:left w:val="single" w:color="auto" w:sz="4" w:space="0"/>
              <w:bottom w:val="single" w:color="auto" w:sz="12" w:space="0"/>
              <w:right w:val="nil"/>
            </w:tcBorders>
            <w:noWrap w:val="0"/>
            <w:vAlign w:val="center"/>
          </w:tcPr>
          <w:p w14:paraId="36CC50FC">
            <w:pPr>
              <w:keepNext w:val="0"/>
              <w:keepLines w:val="0"/>
              <w:widowControl/>
              <w:suppressLineNumbers w:val="0"/>
              <w:spacing w:before="0" w:beforeAutospacing="0" w:after="0" w:afterAutospacing="0"/>
              <w:ind w:left="0" w:right="0"/>
              <w:jc w:val="center"/>
              <w:rPr>
                <w:rFonts w:hint="eastAsia" w:ascii="Times New Roman" w:hAnsi="Times New Roman" w:eastAsia="宋体" w:cs="宋体"/>
                <w:color w:val="auto"/>
                <w:szCs w:val="22"/>
                <w:lang w:val="en-US" w:eastAsia="zh-CN"/>
              </w:rPr>
            </w:pPr>
            <w:r>
              <w:rPr>
                <w:rFonts w:hint="eastAsia" w:cs="宋体"/>
                <w:color w:val="auto"/>
                <w:szCs w:val="22"/>
                <w:lang w:val="en-US" w:eastAsia="zh-CN"/>
              </w:rPr>
              <w:t>三级</w:t>
            </w:r>
          </w:p>
        </w:tc>
        <w:tc>
          <w:tcPr>
            <w:tcW w:w="1261" w:type="pct"/>
            <w:tcBorders>
              <w:top w:val="single" w:color="auto" w:sz="4" w:space="0"/>
              <w:left w:val="single" w:color="auto" w:sz="4" w:space="0"/>
              <w:bottom w:val="single" w:color="auto" w:sz="12" w:space="0"/>
              <w:right w:val="nil"/>
            </w:tcBorders>
            <w:noWrap w:val="0"/>
            <w:vAlign w:val="center"/>
          </w:tcPr>
          <w:p w14:paraId="4EFE5485">
            <w:pPr>
              <w:keepNext w:val="0"/>
              <w:keepLines w:val="0"/>
              <w:widowControl/>
              <w:suppressLineNumbers w:val="0"/>
              <w:spacing w:before="0" w:beforeAutospacing="0" w:after="0" w:afterAutospacing="0"/>
              <w:ind w:left="0" w:right="0"/>
              <w:jc w:val="center"/>
              <w:rPr>
                <w:rFonts w:hint="eastAsia" w:ascii="Times New Roman" w:hAnsi="Times New Roman" w:eastAsia="宋体" w:cs="宋体"/>
                <w:color w:val="auto"/>
                <w:szCs w:val="22"/>
                <w:lang w:val="en-US" w:eastAsia="zh-CN"/>
              </w:rPr>
            </w:pPr>
            <w:r>
              <w:rPr>
                <w:rFonts w:hint="eastAsia" w:cs="宋体"/>
                <w:color w:val="auto"/>
                <w:szCs w:val="22"/>
                <w:lang w:val="en-US" w:eastAsia="zh-CN"/>
              </w:rPr>
              <w:t>一级</w:t>
            </w:r>
          </w:p>
        </w:tc>
      </w:tr>
    </w:tbl>
    <w:p w14:paraId="5EE28764">
      <w:pPr>
        <w:spacing w:line="360" w:lineRule="auto"/>
        <w:ind w:firstLine="480" w:firstLineChars="200"/>
        <w:rPr>
          <w:rFonts w:hint="eastAsia" w:ascii="宋体" w:eastAsia="宋体"/>
          <w:color w:val="auto"/>
          <w:kern w:val="0"/>
          <w:sz w:val="24"/>
          <w:szCs w:val="22"/>
          <w:highlight w:val="cyan"/>
          <w:lang w:val="en-US" w:eastAsia="zh-CN"/>
        </w:rPr>
      </w:pPr>
      <w:r>
        <w:rPr>
          <w:color w:val="auto"/>
          <w:kern w:val="0"/>
          <w:sz w:val="24"/>
          <w:szCs w:val="22"/>
        </w:rPr>
        <w:t>拟建项目选址位于淮南市潘集区平圩镇淮河北汊的左岸潘集港区规划作业区</w:t>
      </w:r>
      <w:r>
        <w:rPr>
          <w:rFonts w:hint="eastAsia"/>
          <w:color w:val="auto"/>
          <w:kern w:val="0"/>
          <w:sz w:val="24"/>
          <w:szCs w:val="22"/>
        </w:rPr>
        <w:t>，</w:t>
      </w:r>
      <w:r>
        <w:rPr>
          <w:snapToGrid w:val="0"/>
          <w:color w:val="auto"/>
          <w:kern w:val="0"/>
          <w:sz w:val="24"/>
          <w:szCs w:val="22"/>
        </w:rPr>
        <w:t>根据《环境影响评价技术导则 生态影响》（</w:t>
      </w:r>
      <w:r>
        <w:rPr>
          <w:rFonts w:hint="eastAsia"/>
          <w:snapToGrid w:val="0"/>
          <w:color w:val="auto"/>
          <w:kern w:val="0"/>
          <w:sz w:val="24"/>
          <w:szCs w:val="22"/>
          <w:lang w:eastAsia="zh-CN"/>
        </w:rPr>
        <w:t>HJ 19</w:t>
      </w:r>
      <w:r>
        <w:rPr>
          <w:snapToGrid w:val="0"/>
          <w:color w:val="auto"/>
          <w:kern w:val="0"/>
          <w:sz w:val="24"/>
          <w:szCs w:val="22"/>
        </w:rPr>
        <w:t>-2022）中6.1.2：b），本项目</w:t>
      </w:r>
      <w:r>
        <w:rPr>
          <w:rFonts w:hint="eastAsia"/>
          <w:snapToGrid w:val="0"/>
          <w:color w:val="auto"/>
          <w:kern w:val="0"/>
          <w:sz w:val="24"/>
          <w:szCs w:val="22"/>
          <w:lang w:val="en-US" w:eastAsia="zh-CN"/>
        </w:rPr>
        <w:t>水域</w:t>
      </w:r>
      <w:r>
        <w:rPr>
          <w:snapToGrid w:val="0"/>
          <w:color w:val="auto"/>
          <w:kern w:val="0"/>
          <w:sz w:val="24"/>
          <w:szCs w:val="22"/>
        </w:rPr>
        <w:t>生态环境影响评价工作等级为一级</w:t>
      </w:r>
      <w:r>
        <w:rPr>
          <w:rFonts w:hint="eastAsia"/>
          <w:snapToGrid w:val="0"/>
          <w:color w:val="auto"/>
          <w:kern w:val="0"/>
          <w:sz w:val="24"/>
          <w:szCs w:val="22"/>
          <w:lang w:eastAsia="zh-CN"/>
        </w:rPr>
        <w:t>，</w:t>
      </w:r>
      <w:r>
        <w:rPr>
          <w:rFonts w:hint="eastAsia"/>
          <w:snapToGrid w:val="0"/>
          <w:color w:val="auto"/>
          <w:kern w:val="0"/>
          <w:sz w:val="24"/>
          <w:szCs w:val="22"/>
          <w:lang w:val="en-US" w:eastAsia="zh-CN"/>
        </w:rPr>
        <w:t>陆域生态环境评价等级为三级</w:t>
      </w:r>
      <w:r>
        <w:rPr>
          <w:snapToGrid w:val="0"/>
          <w:color w:val="auto"/>
          <w:kern w:val="0"/>
          <w:sz w:val="24"/>
          <w:szCs w:val="22"/>
        </w:rPr>
        <w:t>。</w:t>
      </w:r>
      <w:r>
        <w:rPr>
          <w:rFonts w:hint="eastAsia"/>
          <w:snapToGrid w:val="0"/>
          <w:color w:val="auto"/>
          <w:kern w:val="0"/>
          <w:sz w:val="24"/>
          <w:szCs w:val="22"/>
          <w:lang w:val="en-US" w:eastAsia="zh-CN"/>
        </w:rPr>
        <w:t xml:space="preserve"> </w:t>
      </w:r>
    </w:p>
    <w:p w14:paraId="251DAF28">
      <w:pPr>
        <w:pStyle w:val="4"/>
        <w:numPr>
          <w:ilvl w:val="0"/>
          <w:numId w:val="0"/>
        </w:numPr>
        <w:rPr>
          <w:color w:val="auto"/>
        </w:rPr>
      </w:pPr>
      <w:r>
        <w:rPr>
          <w:rFonts w:hint="eastAsia"/>
          <w:color w:val="auto"/>
        </w:rPr>
        <w:t>2.3.6</w:t>
      </w:r>
      <w:r>
        <w:rPr>
          <w:color w:val="auto"/>
        </w:rPr>
        <w:t>土壤环境评价等级</w:t>
      </w:r>
    </w:p>
    <w:p w14:paraId="7D55DA44">
      <w:pPr>
        <w:spacing w:line="360" w:lineRule="auto"/>
        <w:ind w:firstLine="480" w:firstLineChars="200"/>
        <w:rPr>
          <w:color w:val="auto"/>
          <w:sz w:val="24"/>
        </w:rPr>
      </w:pPr>
      <w:r>
        <w:rPr>
          <w:color w:val="auto"/>
          <w:sz w:val="24"/>
        </w:rPr>
        <w:t>根据《环境影响评价技术导则 土壤环境（试行）》（HJ964-2018）附录A土壤环境影响评价项目类别，本项目属于</w:t>
      </w:r>
      <w:r>
        <w:rPr>
          <w:color w:val="auto"/>
          <w:sz w:val="24"/>
        </w:rPr>
        <w:fldChar w:fldCharType="begin"/>
      </w:r>
      <w:r>
        <w:rPr>
          <w:color w:val="auto"/>
          <w:sz w:val="24"/>
        </w:rPr>
        <w:instrText xml:space="preserve"> = 4 \* ROMAN </w:instrText>
      </w:r>
      <w:r>
        <w:rPr>
          <w:color w:val="auto"/>
          <w:sz w:val="24"/>
        </w:rPr>
        <w:fldChar w:fldCharType="separate"/>
      </w:r>
      <w:r>
        <w:rPr>
          <w:color w:val="auto"/>
          <w:sz w:val="24"/>
        </w:rPr>
        <w:t>IV</w:t>
      </w:r>
      <w:r>
        <w:rPr>
          <w:color w:val="auto"/>
          <w:sz w:val="24"/>
        </w:rPr>
        <w:fldChar w:fldCharType="end"/>
      </w:r>
      <w:r>
        <w:rPr>
          <w:color w:val="auto"/>
          <w:sz w:val="24"/>
        </w:rPr>
        <w:t>类建设项目，可不开展土壤环境影响评价。</w:t>
      </w:r>
    </w:p>
    <w:p w14:paraId="76C30F06">
      <w:pPr>
        <w:pStyle w:val="4"/>
        <w:numPr>
          <w:ilvl w:val="0"/>
          <w:numId w:val="0"/>
        </w:numPr>
        <w:rPr>
          <w:color w:val="auto"/>
        </w:rPr>
      </w:pPr>
      <w:r>
        <w:rPr>
          <w:rFonts w:hint="eastAsia"/>
          <w:color w:val="auto"/>
        </w:rPr>
        <w:t>2.3.7</w:t>
      </w:r>
      <w:r>
        <w:rPr>
          <w:color w:val="auto"/>
        </w:rPr>
        <w:t>环境风险评价等级</w:t>
      </w:r>
    </w:p>
    <w:p w14:paraId="4B8EC891">
      <w:pPr>
        <w:spacing w:line="360" w:lineRule="auto"/>
        <w:ind w:firstLine="480" w:firstLineChars="200"/>
        <w:rPr>
          <w:rFonts w:hint="eastAsia"/>
          <w:color w:val="auto"/>
          <w:sz w:val="24"/>
        </w:rPr>
      </w:pPr>
      <w:r>
        <w:rPr>
          <w:rFonts w:hint="eastAsia"/>
          <w:color w:val="auto"/>
          <w:sz w:val="24"/>
        </w:rPr>
        <w:t>根据《建设项目环境风险评价技术导则》（HJ169-2018）中有关规定，本项目生产、使用、存储过程中均未涉及附录B中确定的有毒有害、易燃易爆物质。</w:t>
      </w:r>
    </w:p>
    <w:p w14:paraId="7EC2A93C">
      <w:pPr>
        <w:spacing w:line="360" w:lineRule="auto"/>
        <w:ind w:firstLine="480" w:firstLineChars="200"/>
        <w:rPr>
          <w:color w:val="auto"/>
          <w:sz w:val="24"/>
        </w:rPr>
      </w:pPr>
      <w:r>
        <w:rPr>
          <w:rFonts w:hint="eastAsia"/>
          <w:color w:val="auto"/>
          <w:sz w:val="24"/>
        </w:rPr>
        <w:t>根据《水上溢油环境风险评估技术导则》（JT</w:t>
      </w:r>
      <w:r>
        <w:rPr>
          <w:color w:val="auto"/>
          <w:sz w:val="24"/>
        </w:rPr>
        <w:t>/</w:t>
      </w:r>
      <w:r>
        <w:rPr>
          <w:rFonts w:hint="eastAsia"/>
          <w:color w:val="auto"/>
          <w:sz w:val="24"/>
        </w:rPr>
        <w:t>T1143-2017），水运工程项目的可能最大水上溢油事故溢油量按照实际航行和作业船舶中载油量最大船型的1个货油边舱或燃料油边舱的容积确定，本项目事故溢油主要为船舶自身的燃料油，根据查阅《水上溢油环境风险评估技术导则》（JT/T1143-2017）附录C，以2000吨级杂货船燃油舱储油量测算，货船发生事故时燃油舱单舱燃油量大约为61m</w:t>
      </w:r>
      <w:r>
        <w:rPr>
          <w:rFonts w:hint="eastAsia"/>
          <w:color w:val="auto"/>
          <w:sz w:val="24"/>
          <w:vertAlign w:val="superscript"/>
        </w:rPr>
        <w:t>3</w:t>
      </w:r>
      <w:r>
        <w:rPr>
          <w:rFonts w:hint="eastAsia"/>
          <w:color w:val="auto"/>
          <w:sz w:val="24"/>
        </w:rPr>
        <w:t>左右。船舶燃油的主要成分为柴油，密度按0.85t/m</w:t>
      </w:r>
      <w:r>
        <w:rPr>
          <w:rFonts w:hint="eastAsia"/>
          <w:color w:val="auto"/>
          <w:sz w:val="24"/>
          <w:vertAlign w:val="superscript"/>
        </w:rPr>
        <w:t>3</w:t>
      </w:r>
      <w:r>
        <w:rPr>
          <w:rFonts w:hint="eastAsia"/>
          <w:color w:val="auto"/>
          <w:sz w:val="24"/>
        </w:rPr>
        <w:t>计，则泄漏体积为61m</w:t>
      </w:r>
      <w:r>
        <w:rPr>
          <w:rFonts w:hint="eastAsia"/>
          <w:color w:val="auto"/>
          <w:sz w:val="24"/>
          <w:vertAlign w:val="superscript"/>
        </w:rPr>
        <w:t>3</w:t>
      </w:r>
      <w:r>
        <w:rPr>
          <w:rFonts w:hint="eastAsia"/>
          <w:color w:val="auto"/>
          <w:sz w:val="24"/>
        </w:rPr>
        <w:t>，则泄漏量为51.85t，溢油形式按突发性瞬间点源。</w:t>
      </w:r>
    </w:p>
    <w:p w14:paraId="3FD9CFFA">
      <w:pPr>
        <w:spacing w:line="360" w:lineRule="auto"/>
        <w:ind w:firstLine="480" w:firstLineChars="200"/>
        <w:rPr>
          <w:rFonts w:hint="eastAsia"/>
          <w:color w:val="auto"/>
          <w:sz w:val="24"/>
        </w:rPr>
      </w:pPr>
      <w:r>
        <w:rPr>
          <w:rFonts w:hint="eastAsia"/>
          <w:color w:val="auto"/>
          <w:sz w:val="24"/>
        </w:rPr>
        <w:t>根据《建设项目环境风险评价技术导则》（HJ169-2018）附录B的范畴，其临界量为2500t（油类物质），则Q=0.02074&lt;1，该项目环境风险潜势为</w:t>
      </w:r>
      <w:r>
        <w:rPr>
          <w:color w:val="auto"/>
          <w:sz w:val="24"/>
        </w:rPr>
        <w:fldChar w:fldCharType="begin"/>
      </w:r>
      <w:r>
        <w:rPr>
          <w:color w:val="auto"/>
          <w:sz w:val="24"/>
        </w:rPr>
        <w:instrText xml:space="preserve"> </w:instrText>
      </w:r>
      <w:r>
        <w:rPr>
          <w:rFonts w:hint="eastAsia"/>
          <w:color w:val="auto"/>
          <w:sz w:val="24"/>
        </w:rPr>
        <w:instrText xml:space="preserve">= 1 \* ROMAN</w:instrText>
      </w:r>
      <w:r>
        <w:rPr>
          <w:color w:val="auto"/>
          <w:sz w:val="24"/>
        </w:rPr>
        <w:instrText xml:space="preserve"> </w:instrText>
      </w:r>
      <w:r>
        <w:rPr>
          <w:color w:val="auto"/>
          <w:sz w:val="24"/>
        </w:rPr>
        <w:fldChar w:fldCharType="separate"/>
      </w:r>
      <w:r>
        <w:rPr>
          <w:color w:val="auto"/>
          <w:sz w:val="24"/>
        </w:rPr>
        <w:t>I</w:t>
      </w:r>
      <w:r>
        <w:rPr>
          <w:color w:val="auto"/>
          <w:sz w:val="24"/>
        </w:rPr>
        <w:fldChar w:fldCharType="end"/>
      </w:r>
      <w:r>
        <w:rPr>
          <w:rFonts w:hint="eastAsia"/>
          <w:color w:val="auto"/>
          <w:sz w:val="24"/>
        </w:rPr>
        <w:t>。</w:t>
      </w:r>
    </w:p>
    <w:p w14:paraId="723671E9">
      <w:pPr>
        <w:spacing w:line="360" w:lineRule="auto"/>
        <w:ind w:firstLine="480" w:firstLineChars="200"/>
        <w:rPr>
          <w:rFonts w:hint="eastAsia"/>
          <w:color w:val="auto"/>
          <w:sz w:val="24"/>
        </w:rPr>
      </w:pPr>
      <w:r>
        <w:rPr>
          <w:rFonts w:hint="eastAsia"/>
          <w:color w:val="auto"/>
          <w:sz w:val="24"/>
        </w:rPr>
        <w:t>依据《建设项目环境风险评价技术导则》（HJ169-2018）表1评价工作等级划分一览表判定，当项目环境风险潜势为</w:t>
      </w:r>
      <w:r>
        <w:rPr>
          <w:color w:val="auto"/>
          <w:sz w:val="24"/>
        </w:rPr>
        <w:fldChar w:fldCharType="begin"/>
      </w:r>
      <w:r>
        <w:rPr>
          <w:color w:val="auto"/>
          <w:sz w:val="24"/>
        </w:rPr>
        <w:instrText xml:space="preserve"> </w:instrText>
      </w:r>
      <w:r>
        <w:rPr>
          <w:rFonts w:hint="eastAsia"/>
          <w:color w:val="auto"/>
          <w:sz w:val="24"/>
        </w:rPr>
        <w:instrText xml:space="preserve">= 1 \* ROMAN</w:instrText>
      </w:r>
      <w:r>
        <w:rPr>
          <w:color w:val="auto"/>
          <w:sz w:val="24"/>
        </w:rPr>
        <w:instrText xml:space="preserve"> </w:instrText>
      </w:r>
      <w:r>
        <w:rPr>
          <w:color w:val="auto"/>
          <w:sz w:val="24"/>
        </w:rPr>
        <w:fldChar w:fldCharType="separate"/>
      </w:r>
      <w:r>
        <w:rPr>
          <w:color w:val="auto"/>
          <w:sz w:val="24"/>
        </w:rPr>
        <w:t>I</w:t>
      </w:r>
      <w:r>
        <w:rPr>
          <w:color w:val="auto"/>
          <w:sz w:val="24"/>
        </w:rPr>
        <w:fldChar w:fldCharType="end"/>
      </w:r>
      <w:r>
        <w:rPr>
          <w:rFonts w:hint="eastAsia"/>
          <w:color w:val="auto"/>
          <w:sz w:val="24"/>
        </w:rPr>
        <w:t>时，评价工作等级为简单分析。考虑到码头位于淮河淮南段长吻鮠国家级水产种质资源保护区上游2</w:t>
      </w:r>
      <w:r>
        <w:rPr>
          <w:color w:val="auto"/>
          <w:sz w:val="24"/>
        </w:rPr>
        <w:t>60m</w:t>
      </w:r>
      <w:r>
        <w:rPr>
          <w:rFonts w:hint="eastAsia"/>
          <w:color w:val="auto"/>
          <w:sz w:val="24"/>
        </w:rPr>
        <w:t>，报告采用定性方式预测计算本项目船舶碰撞事故燃料油泄漏导致水体污染影响，关注风险防范对策措施及应急要求。</w:t>
      </w:r>
    </w:p>
    <w:p w14:paraId="09FD6FC5">
      <w:pPr>
        <w:pStyle w:val="159"/>
        <w:numPr>
          <w:ilvl w:val="0"/>
          <w:numId w:val="0"/>
        </w:numPr>
        <w:snapToGrid/>
        <w:spacing w:line="400" w:lineRule="exact"/>
        <w:rPr>
          <w:color w:val="auto"/>
        </w:rPr>
      </w:pPr>
      <w:r>
        <w:rPr>
          <w:color w:val="auto"/>
        </w:rPr>
        <w:t>表2.3-</w:t>
      </w:r>
      <w:r>
        <w:rPr>
          <w:rFonts w:hint="eastAsia"/>
          <w:color w:val="auto"/>
          <w:lang w:val="en-US" w:eastAsia="zh-CN"/>
        </w:rPr>
        <w:t>8</w:t>
      </w:r>
      <w:r>
        <w:rPr>
          <w:color w:val="auto"/>
        </w:rPr>
        <w:t xml:space="preserve">  环境风险评价工作等级</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2448"/>
        <w:gridCol w:w="1465"/>
        <w:gridCol w:w="1891"/>
        <w:gridCol w:w="1753"/>
        <w:gridCol w:w="1729"/>
      </w:tblGrid>
      <w:tr w14:paraId="7F109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18" w:hRule="atLeast"/>
          <w:tblHeader/>
          <w:jc w:val="center"/>
        </w:trPr>
        <w:tc>
          <w:tcPr>
            <w:tcW w:w="2448" w:type="dxa"/>
            <w:tcBorders>
              <w:top w:val="single" w:color="auto" w:sz="12" w:space="0"/>
              <w:left w:val="nil"/>
            </w:tcBorders>
            <w:noWrap w:val="0"/>
            <w:vAlign w:val="center"/>
          </w:tcPr>
          <w:p w14:paraId="55617CBC">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环境风险潜势</w:t>
            </w:r>
          </w:p>
        </w:tc>
        <w:tc>
          <w:tcPr>
            <w:tcW w:w="1465" w:type="dxa"/>
            <w:tcBorders>
              <w:top w:val="single" w:color="auto" w:sz="12" w:space="0"/>
            </w:tcBorders>
            <w:noWrap w:val="0"/>
            <w:vAlign w:val="center"/>
          </w:tcPr>
          <w:p w14:paraId="1294ABE5">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IV、IV</w:t>
            </w:r>
            <w:r>
              <w:rPr>
                <w:rFonts w:hint="default" w:ascii="Times New Roman" w:hAnsi="Times New Roman" w:cs="Times New Roman"/>
                <w:b/>
                <w:bCs/>
                <w:color w:val="auto"/>
                <w:vertAlign w:val="superscript"/>
              </w:rPr>
              <w:t>+</w:t>
            </w:r>
          </w:p>
        </w:tc>
        <w:tc>
          <w:tcPr>
            <w:tcW w:w="1891" w:type="dxa"/>
            <w:tcBorders>
              <w:top w:val="single" w:color="auto" w:sz="12" w:space="0"/>
            </w:tcBorders>
            <w:noWrap w:val="0"/>
            <w:vAlign w:val="center"/>
          </w:tcPr>
          <w:p w14:paraId="73D25796">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III</w:t>
            </w:r>
          </w:p>
        </w:tc>
        <w:tc>
          <w:tcPr>
            <w:tcW w:w="1753" w:type="dxa"/>
            <w:tcBorders>
              <w:top w:val="single" w:color="auto" w:sz="12" w:space="0"/>
            </w:tcBorders>
            <w:noWrap w:val="0"/>
            <w:vAlign w:val="center"/>
          </w:tcPr>
          <w:p w14:paraId="25D58C19">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II</w:t>
            </w:r>
          </w:p>
        </w:tc>
        <w:tc>
          <w:tcPr>
            <w:tcW w:w="1729" w:type="dxa"/>
            <w:tcBorders>
              <w:top w:val="single" w:color="auto" w:sz="12" w:space="0"/>
              <w:right w:val="nil"/>
            </w:tcBorders>
            <w:noWrap w:val="0"/>
            <w:vAlign w:val="center"/>
          </w:tcPr>
          <w:p w14:paraId="1C472D9A">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I</w:t>
            </w:r>
          </w:p>
        </w:tc>
      </w:tr>
      <w:tr w14:paraId="5E98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60" w:hRule="atLeast"/>
          <w:jc w:val="center"/>
        </w:trPr>
        <w:tc>
          <w:tcPr>
            <w:tcW w:w="2448" w:type="dxa"/>
            <w:tcBorders>
              <w:left w:val="nil"/>
              <w:bottom w:val="single" w:color="auto" w:sz="12" w:space="0"/>
            </w:tcBorders>
            <w:shd w:val="clear" w:color="auto" w:fill="auto"/>
            <w:noWrap w:val="0"/>
            <w:vAlign w:val="center"/>
          </w:tcPr>
          <w:p w14:paraId="138AD5A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评价工作等级</w:t>
            </w:r>
          </w:p>
        </w:tc>
        <w:tc>
          <w:tcPr>
            <w:tcW w:w="1465" w:type="dxa"/>
            <w:tcBorders>
              <w:bottom w:val="single" w:color="auto" w:sz="12" w:space="0"/>
            </w:tcBorders>
            <w:shd w:val="clear" w:color="auto" w:fill="auto"/>
            <w:noWrap w:val="0"/>
            <w:vAlign w:val="center"/>
          </w:tcPr>
          <w:p w14:paraId="7FC7810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一</w:t>
            </w:r>
          </w:p>
        </w:tc>
        <w:tc>
          <w:tcPr>
            <w:tcW w:w="1891" w:type="dxa"/>
            <w:tcBorders>
              <w:bottom w:val="single" w:color="auto" w:sz="12" w:space="0"/>
            </w:tcBorders>
            <w:shd w:val="clear" w:color="auto" w:fill="auto"/>
            <w:noWrap w:val="0"/>
            <w:vAlign w:val="center"/>
          </w:tcPr>
          <w:p w14:paraId="41C8179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二</w:t>
            </w:r>
          </w:p>
        </w:tc>
        <w:tc>
          <w:tcPr>
            <w:tcW w:w="1753" w:type="dxa"/>
            <w:tcBorders>
              <w:bottom w:val="single" w:color="auto" w:sz="12" w:space="0"/>
            </w:tcBorders>
            <w:shd w:val="clear" w:color="auto" w:fill="auto"/>
            <w:noWrap w:val="0"/>
            <w:vAlign w:val="center"/>
          </w:tcPr>
          <w:p w14:paraId="79AD0DE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三</w:t>
            </w:r>
          </w:p>
        </w:tc>
        <w:tc>
          <w:tcPr>
            <w:tcW w:w="1729" w:type="dxa"/>
            <w:tcBorders>
              <w:bottom w:val="single" w:color="auto" w:sz="12" w:space="0"/>
              <w:right w:val="nil"/>
            </w:tcBorders>
            <w:shd w:val="clear" w:color="auto" w:fill="A6A6A6"/>
            <w:noWrap w:val="0"/>
            <w:vAlign w:val="center"/>
          </w:tcPr>
          <w:p w14:paraId="4570AD6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简单分析</w:t>
            </w:r>
          </w:p>
        </w:tc>
      </w:tr>
      <w:bookmarkEnd w:id="63"/>
      <w:bookmarkEnd w:id="64"/>
      <w:bookmarkEnd w:id="65"/>
    </w:tbl>
    <w:p w14:paraId="62F229AD">
      <w:pPr>
        <w:pStyle w:val="3"/>
        <w:numPr>
          <w:ilvl w:val="0"/>
          <w:numId w:val="0"/>
        </w:numPr>
        <w:rPr>
          <w:color w:val="auto"/>
        </w:rPr>
      </w:pPr>
      <w:bookmarkStart w:id="66" w:name="_Toc457678956"/>
      <w:bookmarkStart w:id="67" w:name="_Toc419403871"/>
      <w:bookmarkStart w:id="68" w:name="_Toc365749867"/>
      <w:bookmarkStart w:id="69" w:name="_Toc328725438"/>
      <w:bookmarkStart w:id="70" w:name="_Toc27271"/>
      <w:r>
        <w:rPr>
          <w:rFonts w:hint="eastAsia"/>
          <w:color w:val="auto"/>
        </w:rPr>
        <w:t>2.4</w:t>
      </w:r>
      <w:r>
        <w:rPr>
          <w:color w:val="auto"/>
        </w:rPr>
        <w:t>评价</w:t>
      </w:r>
      <w:bookmarkEnd w:id="66"/>
      <w:bookmarkEnd w:id="67"/>
      <w:bookmarkEnd w:id="68"/>
      <w:bookmarkEnd w:id="69"/>
      <w:r>
        <w:rPr>
          <w:color w:val="auto"/>
        </w:rPr>
        <w:t>范围</w:t>
      </w:r>
      <w:bookmarkEnd w:id="70"/>
    </w:p>
    <w:p w14:paraId="26231E86">
      <w:pPr>
        <w:pStyle w:val="4"/>
        <w:numPr>
          <w:ilvl w:val="0"/>
          <w:numId w:val="0"/>
        </w:numPr>
        <w:rPr>
          <w:color w:val="auto"/>
        </w:rPr>
      </w:pPr>
      <w:r>
        <w:rPr>
          <w:rFonts w:hint="eastAsia"/>
          <w:color w:val="auto"/>
        </w:rPr>
        <w:t>2.4.1</w:t>
      </w:r>
      <w:r>
        <w:rPr>
          <w:color w:val="auto"/>
        </w:rPr>
        <w:t>评价时间范围</w:t>
      </w:r>
    </w:p>
    <w:p w14:paraId="12B3712A">
      <w:pPr>
        <w:spacing w:line="360" w:lineRule="auto"/>
        <w:ind w:firstLine="480" w:firstLineChars="200"/>
        <w:rPr>
          <w:color w:val="auto"/>
          <w:sz w:val="24"/>
        </w:rPr>
      </w:pPr>
      <w:r>
        <w:rPr>
          <w:color w:val="auto"/>
          <w:sz w:val="24"/>
        </w:rPr>
        <w:t>本码头</w:t>
      </w:r>
      <w:r>
        <w:rPr>
          <w:rFonts w:hint="eastAsia"/>
          <w:color w:val="auto"/>
          <w:sz w:val="24"/>
        </w:rPr>
        <w:t>为新建码头（复工）工程</w:t>
      </w:r>
      <w:r>
        <w:rPr>
          <w:color w:val="auto"/>
          <w:sz w:val="24"/>
        </w:rPr>
        <w:t>，评价的时间范围</w:t>
      </w:r>
      <w:r>
        <w:rPr>
          <w:rFonts w:hint="eastAsia"/>
          <w:color w:val="auto"/>
          <w:sz w:val="24"/>
        </w:rPr>
        <w:t>包括施工期及</w:t>
      </w:r>
      <w:r>
        <w:rPr>
          <w:color w:val="auto"/>
          <w:sz w:val="24"/>
        </w:rPr>
        <w:t>运营期。</w:t>
      </w:r>
    </w:p>
    <w:p w14:paraId="6D63E8E3">
      <w:pPr>
        <w:pStyle w:val="4"/>
        <w:numPr>
          <w:ilvl w:val="0"/>
          <w:numId w:val="0"/>
        </w:numPr>
        <w:rPr>
          <w:color w:val="auto"/>
        </w:rPr>
      </w:pPr>
      <w:r>
        <w:rPr>
          <w:rFonts w:hint="eastAsia"/>
          <w:color w:val="auto"/>
        </w:rPr>
        <w:t>2.4.2</w:t>
      </w:r>
      <w:r>
        <w:rPr>
          <w:color w:val="auto"/>
        </w:rPr>
        <w:t>评价空间范围</w:t>
      </w:r>
    </w:p>
    <w:p w14:paraId="2150FB22">
      <w:pPr>
        <w:spacing w:line="360" w:lineRule="auto"/>
        <w:ind w:firstLine="480" w:firstLineChars="200"/>
        <w:rPr>
          <w:color w:val="auto"/>
          <w:sz w:val="24"/>
        </w:rPr>
      </w:pPr>
      <w:r>
        <w:rPr>
          <w:color w:val="auto"/>
          <w:sz w:val="24"/>
        </w:rPr>
        <w:t>本项目评价的空间范围包括项目相关的陆域和水域在内的评价区。根据评价等级确定评价范围，见表2.4-1。</w:t>
      </w:r>
    </w:p>
    <w:p w14:paraId="1578A6AF">
      <w:pPr>
        <w:spacing w:line="400" w:lineRule="exact"/>
        <w:jc w:val="center"/>
        <w:rPr>
          <w:rFonts w:eastAsia="黑体"/>
          <w:color w:val="auto"/>
          <w:sz w:val="24"/>
        </w:rPr>
      </w:pPr>
      <w:r>
        <w:rPr>
          <w:rFonts w:eastAsia="黑体"/>
          <w:color w:val="auto"/>
          <w:sz w:val="24"/>
        </w:rPr>
        <w:t>表2.4-1  环境影响评价范围</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9"/>
        <w:gridCol w:w="6504"/>
      </w:tblGrid>
      <w:tr w14:paraId="0AFA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9" w:type="dxa"/>
            <w:tcBorders>
              <w:top w:val="single" w:color="auto" w:sz="12" w:space="0"/>
              <w:left w:val="nil"/>
            </w:tcBorders>
            <w:noWrap w:val="0"/>
            <w:vAlign w:val="center"/>
          </w:tcPr>
          <w:p w14:paraId="418EC916">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评价内容</w:t>
            </w:r>
          </w:p>
        </w:tc>
        <w:tc>
          <w:tcPr>
            <w:tcW w:w="6504" w:type="dxa"/>
            <w:tcBorders>
              <w:top w:val="single" w:color="auto" w:sz="12" w:space="0"/>
              <w:right w:val="nil"/>
            </w:tcBorders>
            <w:noWrap w:val="0"/>
            <w:vAlign w:val="center"/>
          </w:tcPr>
          <w:p w14:paraId="193CF821">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评价范围</w:t>
            </w:r>
          </w:p>
        </w:tc>
      </w:tr>
      <w:tr w14:paraId="73C98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9" w:type="dxa"/>
            <w:tcBorders>
              <w:left w:val="nil"/>
            </w:tcBorders>
            <w:noWrap w:val="0"/>
            <w:vAlign w:val="center"/>
          </w:tcPr>
          <w:p w14:paraId="263A911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大气环境</w:t>
            </w:r>
          </w:p>
        </w:tc>
        <w:tc>
          <w:tcPr>
            <w:tcW w:w="6504" w:type="dxa"/>
            <w:tcBorders>
              <w:right w:val="nil"/>
            </w:tcBorders>
            <w:noWrap w:val="0"/>
            <w:vAlign w:val="center"/>
          </w:tcPr>
          <w:p w14:paraId="4932141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以</w:t>
            </w:r>
            <w:r>
              <w:rPr>
                <w:rFonts w:hint="default" w:ascii="Times New Roman" w:hAnsi="Times New Roman" w:cs="Times New Roman"/>
                <w:color w:val="auto"/>
              </w:rPr>
              <w:t>码头为中心边长5km的矩形区域</w:t>
            </w:r>
          </w:p>
        </w:tc>
      </w:tr>
      <w:tr w14:paraId="1C61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9" w:type="dxa"/>
            <w:tcBorders>
              <w:left w:val="nil"/>
            </w:tcBorders>
            <w:noWrap w:val="0"/>
            <w:vAlign w:val="center"/>
          </w:tcPr>
          <w:p w14:paraId="1355CA4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地表水环境</w:t>
            </w:r>
          </w:p>
        </w:tc>
        <w:tc>
          <w:tcPr>
            <w:tcW w:w="6504" w:type="dxa"/>
            <w:tcBorders>
              <w:right w:val="nil"/>
            </w:tcBorders>
            <w:noWrap w:val="0"/>
            <w:vAlign w:val="center"/>
          </w:tcPr>
          <w:p w14:paraId="671AA68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码头区淮河上游500m至下游3</w:t>
            </w:r>
            <w:r>
              <w:rPr>
                <w:rFonts w:hint="eastAsia" w:cs="Times New Roman"/>
                <w:color w:val="auto"/>
                <w:lang w:val="en-US" w:eastAsia="zh-CN"/>
              </w:rPr>
              <w:t>5</w:t>
            </w:r>
            <w:r>
              <w:rPr>
                <w:rFonts w:hint="default" w:ascii="Times New Roman" w:hAnsi="Times New Roman" w:cs="Times New Roman"/>
                <w:color w:val="auto"/>
              </w:rPr>
              <w:t>00m</w:t>
            </w:r>
          </w:p>
        </w:tc>
      </w:tr>
      <w:tr w14:paraId="2F95F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9" w:type="dxa"/>
            <w:tcBorders>
              <w:left w:val="nil"/>
            </w:tcBorders>
            <w:noWrap w:val="0"/>
            <w:vAlign w:val="center"/>
          </w:tcPr>
          <w:p w14:paraId="7C1F8FB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声环境</w:t>
            </w:r>
          </w:p>
        </w:tc>
        <w:tc>
          <w:tcPr>
            <w:tcW w:w="6504" w:type="dxa"/>
            <w:tcBorders>
              <w:right w:val="nil"/>
            </w:tcBorders>
            <w:noWrap w:val="0"/>
            <w:vAlign w:val="center"/>
          </w:tcPr>
          <w:p w14:paraId="062CFE6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码头区边界外200m范围</w:t>
            </w:r>
          </w:p>
        </w:tc>
      </w:tr>
      <w:tr w14:paraId="7571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9" w:type="dxa"/>
            <w:tcBorders>
              <w:left w:val="nil"/>
            </w:tcBorders>
            <w:noWrap w:val="0"/>
            <w:vAlign w:val="center"/>
          </w:tcPr>
          <w:p w14:paraId="39E6AE5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生态影响</w:t>
            </w:r>
          </w:p>
        </w:tc>
        <w:tc>
          <w:tcPr>
            <w:tcW w:w="6504" w:type="dxa"/>
            <w:tcBorders>
              <w:right w:val="nil"/>
            </w:tcBorders>
            <w:noWrap w:val="0"/>
            <w:vAlign w:val="center"/>
          </w:tcPr>
          <w:p w14:paraId="6C0EA23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陆域：码头场界外延200m范围</w:t>
            </w:r>
          </w:p>
          <w:p w14:paraId="4D33A484">
            <w:pPr>
              <w:keepNext w:val="0"/>
              <w:keepLines w:val="0"/>
              <w:suppressLineNumbers w:val="0"/>
              <w:spacing w:before="0" w:beforeAutospacing="0" w:after="0" w:afterAutospacing="0"/>
              <w:ind w:left="0" w:right="0"/>
              <w:jc w:val="center"/>
              <w:rPr>
                <w:rFonts w:hint="eastAsia" w:cs="Times New Roman"/>
                <w:color w:val="auto"/>
                <w:lang w:val="en-US" w:eastAsia="zh-CN"/>
              </w:rPr>
            </w:pPr>
            <w:r>
              <w:rPr>
                <w:rFonts w:hint="default" w:ascii="Times New Roman" w:hAnsi="Times New Roman" w:cs="Times New Roman"/>
                <w:color w:val="auto"/>
              </w:rPr>
              <w:t>水域：码头上游</w:t>
            </w:r>
            <w:r>
              <w:rPr>
                <w:rFonts w:hint="eastAsia" w:cs="Times New Roman"/>
                <w:color w:val="auto"/>
                <w:lang w:val="en-US" w:eastAsia="zh-CN"/>
              </w:rPr>
              <w:t>34000</w:t>
            </w:r>
            <w:r>
              <w:rPr>
                <w:rFonts w:hint="default" w:ascii="Times New Roman" w:hAnsi="Times New Roman" w:cs="Times New Roman"/>
                <w:color w:val="auto"/>
              </w:rPr>
              <w:t>m至下游</w:t>
            </w:r>
            <w:r>
              <w:rPr>
                <w:rFonts w:hint="eastAsia" w:cs="Times New Roman"/>
                <w:color w:val="auto"/>
                <w:lang w:val="en-US" w:eastAsia="zh-CN"/>
              </w:rPr>
              <w:t>2500</w:t>
            </w:r>
            <w:r>
              <w:rPr>
                <w:rFonts w:hint="default" w:ascii="Times New Roman" w:hAnsi="Times New Roman" w:cs="Times New Roman"/>
                <w:color w:val="auto"/>
              </w:rPr>
              <w:t>m的淮河水域</w:t>
            </w:r>
            <w:r>
              <w:rPr>
                <w:rFonts w:hint="eastAsia" w:cs="Times New Roman"/>
                <w:color w:val="auto"/>
                <w:lang w:eastAsia="zh-CN"/>
              </w:rPr>
              <w:t>（</w:t>
            </w:r>
            <w:r>
              <w:rPr>
                <w:rFonts w:hint="eastAsia" w:cs="Times New Roman"/>
                <w:color w:val="auto"/>
                <w:lang w:val="en-US" w:eastAsia="zh-CN"/>
              </w:rPr>
              <w:t>为体现生态完整性，上游长吻鮠国家级水产种质资源核心区保护区边界约为34km，</w:t>
            </w:r>
          </w:p>
          <w:p w14:paraId="67EC565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cs="Times New Roman"/>
                <w:color w:val="auto"/>
                <w:lang w:val="en-US" w:eastAsia="zh-CN"/>
              </w:rPr>
              <w:t>上游长吻鮠国家级水产种质资源试验区保护区边界约为24km；下游长吻鮠国家级水产种质资源试验区保护区边界约为2.5km</w:t>
            </w:r>
            <w:r>
              <w:rPr>
                <w:rFonts w:hint="eastAsia" w:cs="Times New Roman"/>
                <w:color w:val="auto"/>
                <w:lang w:eastAsia="zh-CN"/>
              </w:rPr>
              <w:t>）</w:t>
            </w:r>
          </w:p>
        </w:tc>
      </w:tr>
      <w:tr w14:paraId="11E08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39" w:type="dxa"/>
            <w:tcBorders>
              <w:left w:val="nil"/>
              <w:bottom w:val="single" w:color="auto" w:sz="12" w:space="0"/>
            </w:tcBorders>
            <w:noWrap w:val="0"/>
            <w:vAlign w:val="center"/>
          </w:tcPr>
          <w:p w14:paraId="2D5B859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环境风险</w:t>
            </w:r>
          </w:p>
        </w:tc>
        <w:tc>
          <w:tcPr>
            <w:tcW w:w="6504" w:type="dxa"/>
            <w:tcBorders>
              <w:bottom w:val="single" w:color="auto" w:sz="12" w:space="0"/>
              <w:right w:val="nil"/>
            </w:tcBorders>
            <w:noWrap w:val="0"/>
            <w:vAlign w:val="center"/>
          </w:tcPr>
          <w:p w14:paraId="426437B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大气环境风险评价范围：</w:t>
            </w:r>
            <w:r>
              <w:rPr>
                <w:rFonts w:hint="eastAsia" w:cs="Times New Roman"/>
                <w:color w:val="auto"/>
                <w:lang w:val="en-US" w:eastAsia="zh-CN"/>
              </w:rPr>
              <w:t>/</w:t>
            </w:r>
            <w:r>
              <w:rPr>
                <w:rFonts w:hint="eastAsia" w:ascii="Times New Roman" w:hAnsi="Times New Roman" w:cs="Times New Roman"/>
                <w:color w:val="auto"/>
              </w:rPr>
              <w:t>；</w:t>
            </w:r>
          </w:p>
          <w:p w14:paraId="2E7938F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地表水环境风险评价范围为码头上游500m至码头下游</w:t>
            </w:r>
            <w:r>
              <w:rPr>
                <w:rFonts w:hint="eastAsia" w:cs="Times New Roman"/>
                <w:color w:val="auto"/>
                <w:lang w:val="en-US" w:eastAsia="zh-CN"/>
              </w:rPr>
              <w:t>3</w:t>
            </w:r>
            <w:r>
              <w:rPr>
                <w:rFonts w:hint="eastAsia" w:ascii="Times New Roman" w:hAnsi="Times New Roman" w:cs="Times New Roman"/>
                <w:color w:val="auto"/>
              </w:rPr>
              <w:t>.5km的淮南第四自来水厂取水口</w:t>
            </w:r>
            <w:r>
              <w:rPr>
                <w:rFonts w:hint="eastAsia" w:cs="Times New Roman"/>
                <w:color w:val="auto"/>
                <w:lang w:val="en-US" w:eastAsia="zh-CN"/>
              </w:rPr>
              <w:t>二级保护区</w:t>
            </w:r>
            <w:r>
              <w:rPr>
                <w:rFonts w:hint="default" w:ascii="Times New Roman" w:hAnsi="Times New Roman" w:cs="Times New Roman"/>
                <w:color w:val="auto"/>
              </w:rPr>
              <w:t>的范围</w:t>
            </w:r>
            <w:r>
              <w:rPr>
                <w:rFonts w:hint="eastAsia" w:cs="Times New Roman"/>
                <w:color w:val="auto"/>
                <w:lang w:eastAsia="zh-CN"/>
              </w:rPr>
              <w:t>（</w:t>
            </w:r>
            <w:r>
              <w:rPr>
                <w:rFonts w:hint="eastAsia" w:cs="Times New Roman"/>
                <w:color w:val="auto"/>
                <w:lang w:val="en-US" w:eastAsia="zh-CN"/>
              </w:rPr>
              <w:t>已覆盖环境风险影响范围所及的水环境保护目标水域</w:t>
            </w:r>
            <w:r>
              <w:rPr>
                <w:rFonts w:hint="eastAsia" w:cs="Times New Roman"/>
                <w:color w:val="auto"/>
                <w:lang w:eastAsia="zh-CN"/>
              </w:rPr>
              <w:t>）</w:t>
            </w:r>
            <w:r>
              <w:rPr>
                <w:rFonts w:hint="eastAsia" w:ascii="Times New Roman" w:hAnsi="Times New Roman" w:cs="Times New Roman"/>
                <w:color w:val="auto"/>
              </w:rPr>
              <w:t>。</w:t>
            </w:r>
          </w:p>
        </w:tc>
      </w:tr>
    </w:tbl>
    <w:p w14:paraId="3ED6E6F0">
      <w:pPr>
        <w:pStyle w:val="3"/>
        <w:numPr>
          <w:ilvl w:val="0"/>
          <w:numId w:val="0"/>
        </w:numPr>
        <w:rPr>
          <w:color w:val="auto"/>
        </w:rPr>
      </w:pPr>
      <w:bookmarkStart w:id="71" w:name="_Toc20139"/>
      <w:r>
        <w:rPr>
          <w:rFonts w:hint="eastAsia"/>
          <w:color w:val="auto"/>
        </w:rPr>
        <w:t>2.5</w:t>
      </w:r>
      <w:r>
        <w:rPr>
          <w:color w:val="auto"/>
        </w:rPr>
        <w:t>相关政策、规划及环境功能区划相符性</w:t>
      </w:r>
      <w:bookmarkEnd w:id="71"/>
    </w:p>
    <w:p w14:paraId="3D79D890">
      <w:pPr>
        <w:pStyle w:val="4"/>
        <w:numPr>
          <w:ilvl w:val="0"/>
          <w:numId w:val="0"/>
        </w:numPr>
        <w:rPr>
          <w:color w:val="auto"/>
        </w:rPr>
      </w:pPr>
      <w:r>
        <w:rPr>
          <w:rFonts w:hint="eastAsia"/>
          <w:color w:val="auto"/>
        </w:rPr>
        <w:t>2.5.1</w:t>
      </w:r>
      <w:r>
        <w:rPr>
          <w:color w:val="auto"/>
        </w:rPr>
        <w:t>相关产业政策相符性分析</w:t>
      </w:r>
    </w:p>
    <w:p w14:paraId="11D7EDC0">
      <w:pPr>
        <w:pStyle w:val="5"/>
        <w:numPr>
          <w:ilvl w:val="0"/>
          <w:numId w:val="0"/>
        </w:numPr>
        <w:rPr>
          <w:color w:val="auto"/>
        </w:rPr>
      </w:pPr>
      <w:r>
        <w:rPr>
          <w:rFonts w:hint="eastAsia"/>
          <w:color w:val="auto"/>
        </w:rPr>
        <w:t>2.5.1.1</w:t>
      </w:r>
      <w:r>
        <w:rPr>
          <w:color w:val="auto"/>
        </w:rPr>
        <w:t>与《产业结构调整指导目录》的相符性</w:t>
      </w:r>
    </w:p>
    <w:p w14:paraId="62C01933">
      <w:pPr>
        <w:spacing w:line="360" w:lineRule="auto"/>
        <w:ind w:firstLine="480" w:firstLineChars="200"/>
        <w:rPr>
          <w:color w:val="auto"/>
          <w:sz w:val="24"/>
        </w:rPr>
      </w:pPr>
      <w:r>
        <w:rPr>
          <w:color w:val="auto"/>
          <w:sz w:val="24"/>
        </w:rPr>
        <w:t>根据《国民经济行业分类》（GB/T4754-2017）</w:t>
      </w:r>
      <w:r>
        <w:rPr>
          <w:rFonts w:hint="eastAsia"/>
          <w:color w:val="auto"/>
          <w:sz w:val="24"/>
        </w:rPr>
        <w:t>及其修改单</w:t>
      </w:r>
      <w:r>
        <w:rPr>
          <w:color w:val="auto"/>
          <w:sz w:val="24"/>
        </w:rPr>
        <w:t>，本项目属于</w:t>
      </w:r>
      <w:r>
        <w:rPr>
          <w:rFonts w:hint="eastAsia"/>
          <w:color w:val="auto"/>
          <w:sz w:val="24"/>
        </w:rPr>
        <w:t>“</w:t>
      </w:r>
      <w:r>
        <w:rPr>
          <w:color w:val="auto"/>
          <w:sz w:val="24"/>
        </w:rPr>
        <w:t>货运港口（行业代码G5532）</w:t>
      </w:r>
      <w:r>
        <w:rPr>
          <w:rFonts w:hint="eastAsia"/>
          <w:color w:val="auto"/>
          <w:sz w:val="24"/>
        </w:rPr>
        <w:t>”</w:t>
      </w:r>
      <w:r>
        <w:rPr>
          <w:color w:val="auto"/>
          <w:sz w:val="24"/>
        </w:rPr>
        <w:t>；根据</w:t>
      </w:r>
      <w:r>
        <w:rPr>
          <w:rFonts w:hint="eastAsia"/>
          <w:color w:val="auto"/>
          <w:sz w:val="24"/>
        </w:rPr>
        <w:t>《产业结构调整指导目录（20</w:t>
      </w:r>
      <w:r>
        <w:rPr>
          <w:rFonts w:hint="eastAsia"/>
          <w:color w:val="auto"/>
          <w:sz w:val="24"/>
          <w:lang w:val="en-US" w:eastAsia="zh-CN"/>
        </w:rPr>
        <w:t>24年本</w:t>
      </w:r>
      <w:r>
        <w:rPr>
          <w:rFonts w:hint="eastAsia"/>
          <w:color w:val="auto"/>
          <w:sz w:val="24"/>
        </w:rPr>
        <w:t>）</w:t>
      </w:r>
      <w:r>
        <w:rPr>
          <w:rFonts w:hint="eastAsia"/>
          <w:color w:val="auto"/>
          <w:sz w:val="24"/>
          <w:lang w:eastAsia="zh-CN"/>
        </w:rPr>
        <w:t>》</w:t>
      </w:r>
      <w:r>
        <w:rPr>
          <w:color w:val="auto"/>
          <w:sz w:val="24"/>
        </w:rPr>
        <w:t>，本项目属于</w:t>
      </w:r>
      <w:r>
        <w:rPr>
          <w:rFonts w:hint="eastAsia"/>
          <w:color w:val="auto"/>
          <w:sz w:val="24"/>
          <w:lang w:eastAsia="zh-CN"/>
        </w:rPr>
        <w:t>“</w:t>
      </w:r>
      <w:r>
        <w:rPr>
          <w:color w:val="auto"/>
          <w:sz w:val="24"/>
        </w:rPr>
        <w:t>鼓励类：二十五、水运一</w:t>
      </w:r>
      <w:r>
        <w:rPr>
          <w:rFonts w:hint="eastAsia"/>
          <w:color w:val="auto"/>
          <w:sz w:val="24"/>
          <w:lang w:val="en-US" w:eastAsia="zh-CN"/>
        </w:rPr>
        <w:t>2</w:t>
      </w:r>
      <w:r>
        <w:rPr>
          <w:color w:val="auto"/>
          <w:sz w:val="24"/>
        </w:rPr>
        <w:t>、</w:t>
      </w:r>
      <w:r>
        <w:rPr>
          <w:color w:val="auto"/>
          <w:sz w:val="24"/>
          <w:lang w:val="en-US" w:eastAsia="zh-CN"/>
        </w:rPr>
        <w:t>港口枢纽建设：</w:t>
      </w:r>
      <w:r>
        <w:rPr>
          <w:b/>
          <w:bCs/>
          <w:color w:val="auto"/>
          <w:sz w:val="24"/>
          <w:lang w:val="en-US" w:eastAsia="zh-CN"/>
        </w:rPr>
        <w:t>码头泊位建设</w:t>
      </w:r>
      <w:r>
        <w:rPr>
          <w:color w:val="auto"/>
          <w:sz w:val="24"/>
          <w:lang w:val="en-US" w:eastAsia="zh-CN"/>
        </w:rPr>
        <w:t>，船舶污染物港口接收处置</w:t>
      </w:r>
      <w:r>
        <w:rPr>
          <w:rFonts w:hint="default"/>
          <w:color w:val="auto"/>
          <w:sz w:val="24"/>
          <w:lang w:val="en-US" w:eastAsia="zh-CN"/>
        </w:rPr>
        <w:t>设施建设及设备制造，港口危险化学品、油品应急设施建设及设备制造，国际邮轮运输及邮轮母港建设，港口岸电系统建设及船舶受电设施改造，船舶 LNG 加注设施和电动船充换电设施建设</w:t>
      </w:r>
      <w:r>
        <w:rPr>
          <w:color w:val="auto"/>
          <w:sz w:val="24"/>
        </w:rPr>
        <w:t>。</w:t>
      </w:r>
      <w:r>
        <w:rPr>
          <w:rFonts w:hint="eastAsia"/>
          <w:color w:val="auto"/>
          <w:sz w:val="24"/>
        </w:rPr>
        <w:t>，</w:t>
      </w:r>
      <w:r>
        <w:rPr>
          <w:color w:val="auto"/>
          <w:sz w:val="24"/>
        </w:rPr>
        <w:t>故本项目的建设符合国家产业政策</w:t>
      </w:r>
      <w:r>
        <w:rPr>
          <w:rFonts w:hint="eastAsia"/>
          <w:color w:val="auto"/>
          <w:sz w:val="24"/>
          <w:lang w:eastAsia="zh-CN"/>
        </w:rPr>
        <w:t>，</w:t>
      </w:r>
      <w:r>
        <w:rPr>
          <w:rFonts w:hint="eastAsia"/>
          <w:color w:val="auto"/>
          <w:sz w:val="24"/>
          <w:lang w:val="en-US" w:eastAsia="zh-CN"/>
        </w:rPr>
        <w:t>同时本项目</w:t>
      </w:r>
      <w:r>
        <w:rPr>
          <w:rFonts w:hint="eastAsia" w:ascii="宋体" w:hAnsi="宋体" w:eastAsia="宋体" w:cs="宋体"/>
          <w:color w:val="auto"/>
          <w:kern w:val="0"/>
          <w:sz w:val="24"/>
          <w:szCs w:val="24"/>
          <w:lang w:val="en-US" w:eastAsia="zh-CN" w:bidi="ar"/>
        </w:rPr>
        <w:t>不装卸《内河禁运危险化学品目录（</w:t>
      </w:r>
      <w:r>
        <w:rPr>
          <w:rFonts w:hint="default" w:ascii="Times New Roman" w:hAnsi="Times New Roman" w:eastAsia="宋体" w:cs="Times New Roman"/>
          <w:color w:val="auto"/>
          <w:kern w:val="0"/>
          <w:sz w:val="24"/>
          <w:szCs w:val="24"/>
          <w:lang w:val="en-US" w:eastAsia="zh-CN" w:bidi="ar"/>
        </w:rPr>
        <w:t xml:space="preserve">2019 </w:t>
      </w:r>
      <w:r>
        <w:rPr>
          <w:rFonts w:hint="eastAsia" w:ascii="宋体" w:hAnsi="宋体" w:eastAsia="宋体" w:cs="宋体"/>
          <w:color w:val="auto"/>
          <w:kern w:val="0"/>
          <w:sz w:val="24"/>
          <w:szCs w:val="24"/>
          <w:lang w:val="en-US" w:eastAsia="zh-CN" w:bidi="ar"/>
        </w:rPr>
        <w:t>版）》中禁运的化学品</w:t>
      </w:r>
      <w:r>
        <w:rPr>
          <w:rFonts w:hint="eastAsia"/>
          <w:color w:val="auto"/>
          <w:sz w:val="24"/>
          <w:lang w:eastAsia="zh-CN"/>
        </w:rPr>
        <w:t>”</w:t>
      </w:r>
      <w:r>
        <w:rPr>
          <w:color w:val="auto"/>
          <w:sz w:val="24"/>
        </w:rPr>
        <w:t>。</w:t>
      </w:r>
    </w:p>
    <w:p w14:paraId="425E40AA">
      <w:pPr>
        <w:pStyle w:val="4"/>
        <w:numPr>
          <w:ilvl w:val="0"/>
          <w:numId w:val="0"/>
        </w:numPr>
        <w:rPr>
          <w:color w:val="auto"/>
        </w:rPr>
      </w:pPr>
      <w:r>
        <w:rPr>
          <w:rFonts w:hint="eastAsia"/>
          <w:color w:val="auto"/>
        </w:rPr>
        <w:t>2.5.2</w:t>
      </w:r>
      <w:r>
        <w:rPr>
          <w:color w:val="auto"/>
        </w:rPr>
        <w:t>与相关总体规划符合性分析</w:t>
      </w:r>
    </w:p>
    <w:p w14:paraId="1140B4B4">
      <w:pPr>
        <w:pStyle w:val="5"/>
        <w:numPr>
          <w:ilvl w:val="0"/>
          <w:numId w:val="0"/>
        </w:numPr>
        <w:rPr>
          <w:color w:val="auto"/>
        </w:rPr>
      </w:pPr>
      <w:r>
        <w:rPr>
          <w:rFonts w:hint="eastAsia"/>
          <w:color w:val="auto"/>
        </w:rPr>
        <w:t>2.5.2.1</w:t>
      </w:r>
      <w:r>
        <w:rPr>
          <w:color w:val="auto"/>
        </w:rPr>
        <w:t>与《淮南港总体规划（</w:t>
      </w:r>
      <w:r>
        <w:rPr>
          <w:rFonts w:hint="eastAsia"/>
          <w:color w:val="auto"/>
          <w:lang w:val="en-US" w:eastAsia="zh-CN"/>
        </w:rPr>
        <w:t>2035</w:t>
      </w:r>
      <w:r>
        <w:rPr>
          <w:color w:val="auto"/>
        </w:rPr>
        <w:t>年）》及其规划环评的相符性分析</w:t>
      </w:r>
    </w:p>
    <w:p w14:paraId="4C220FC3">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
          <w14:textFill>
            <w14:solidFill>
              <w14:schemeClr w14:val="tx1"/>
            </w14:solidFill>
          </w14:textFill>
        </w:rPr>
        <w:t>（</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1</w:t>
      </w:r>
      <w:r>
        <w:rPr>
          <w:rFonts w:hint="eastAsia" w:ascii="宋体" w:hAnsi="宋体" w:eastAsia="宋体" w:cs="宋体"/>
          <w:color w:val="000000" w:themeColor="text1"/>
          <w:kern w:val="2"/>
          <w:sz w:val="24"/>
          <w:szCs w:val="24"/>
          <w:lang w:val="en-US" w:eastAsia="zh-CN" w:bidi="ar"/>
          <w14:textFill>
            <w14:solidFill>
              <w14:schemeClr w14:val="tx1"/>
            </w14:solidFill>
          </w14:textFill>
        </w:rPr>
        <w:t>）与淮南港潘集港区总体规划相符性分析</w:t>
      </w:r>
    </w:p>
    <w:p w14:paraId="0CCFCB7F">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
          <w14:textFill>
            <w14:solidFill>
              <w14:schemeClr w14:val="tx1"/>
            </w14:solidFill>
          </w14:textFill>
        </w:rPr>
        <w:t>根据《淮南港总体规划（</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2035</w:t>
      </w:r>
      <w:r>
        <w:rPr>
          <w:rFonts w:hint="eastAsia" w:ascii="宋体" w:hAnsi="宋体" w:eastAsia="宋体" w:cs="宋体"/>
          <w:color w:val="000000" w:themeColor="text1"/>
          <w:kern w:val="2"/>
          <w:sz w:val="24"/>
          <w:szCs w:val="24"/>
          <w:lang w:val="en-US" w:eastAsia="zh-CN" w:bidi="ar"/>
          <w14:textFill>
            <w14:solidFill>
              <w14:schemeClr w14:val="tx1"/>
            </w14:solidFill>
          </w14:textFill>
        </w:rPr>
        <w:t>年）》，将淮南港按照行政区域划分为毛集港区、潘集港区、八公山港区、田家庵港区、大通港区、凤台港区和寿县港区。规划淮南港总体形成“一港七区，三核一群”的总体布局，淮南港分为七个港区，“三核”即陶圩作业区、新桥作业区、凤台九里湾</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w:t>
      </w:r>
      <w:r>
        <w:rPr>
          <w:rFonts w:hint="eastAsia" w:ascii="宋体" w:hAnsi="宋体" w:eastAsia="宋体" w:cs="宋体"/>
          <w:color w:val="000000" w:themeColor="text1"/>
          <w:kern w:val="2"/>
          <w:sz w:val="24"/>
          <w:szCs w:val="24"/>
          <w:lang w:val="en-US" w:eastAsia="zh-CN" w:bidi="ar"/>
          <w14:textFill>
            <w14:solidFill>
              <w14:schemeClr w14:val="tx1"/>
            </w14:solidFill>
          </w14:textFill>
        </w:rPr>
        <w:t>何台作业区为核心作业区，“一群”即架河作业区、祁集作业区、平圩作业区形成潘集港口群。</w:t>
      </w:r>
    </w:p>
    <w:p w14:paraId="580587DD">
      <w:pPr>
        <w:keepNext w:val="0"/>
        <w:keepLines w:val="0"/>
        <w:widowControl w:val="0"/>
        <w:suppressLineNumbers w:val="0"/>
        <w:spacing w:before="0" w:beforeAutospacing="0" w:after="0" w:afterAutospacing="0" w:line="360" w:lineRule="auto"/>
        <w:ind w:left="0" w:right="0" w:firstLine="480" w:firstLineChars="200"/>
        <w:jc w:val="both"/>
        <w:rPr>
          <w:rFonts w:hint="eastAsia" w:ascii="Times New Roman" w:hAnsi="Times New Roman" w:eastAsia="宋体" w:cs="Times New Roman"/>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
          <w14:textFill>
            <w14:solidFill>
              <w14:schemeClr w14:val="tx1"/>
            </w14:solidFill>
          </w14:textFill>
        </w:rPr>
        <w:t>平圩作业区位于潘集区平圩镇丁郢村附近、淮河左岸，规划港口岸线</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1660m</w:t>
      </w:r>
      <w:r>
        <w:rPr>
          <w:rFonts w:hint="eastAsia" w:ascii="宋体" w:hAnsi="宋体" w:eastAsia="宋体" w:cs="宋体"/>
          <w:color w:val="000000" w:themeColor="text1"/>
          <w:kern w:val="2"/>
          <w:sz w:val="24"/>
          <w:szCs w:val="24"/>
          <w:lang w:val="en-US" w:eastAsia="zh-CN" w:bidi="ar"/>
          <w14:textFill>
            <w14:solidFill>
              <w14:schemeClr w14:val="tx1"/>
            </w14:solidFill>
          </w14:textFill>
        </w:rPr>
        <w:t>，其中已利用岸线</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480m</w:t>
      </w:r>
      <w:r>
        <w:rPr>
          <w:rFonts w:hint="eastAsia" w:ascii="宋体" w:hAnsi="宋体" w:eastAsia="宋体" w:cs="宋体"/>
          <w:color w:val="000000" w:themeColor="text1"/>
          <w:kern w:val="2"/>
          <w:sz w:val="24"/>
          <w:szCs w:val="24"/>
          <w:lang w:val="en-US" w:eastAsia="zh-CN" w:bidi="ar"/>
          <w14:textFill>
            <w14:solidFill>
              <w14:schemeClr w14:val="tx1"/>
            </w14:solidFill>
          </w14:textFill>
        </w:rPr>
        <w:t>，规划利用岸线</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1180m</w:t>
      </w:r>
      <w:r>
        <w:rPr>
          <w:rFonts w:hint="eastAsia" w:ascii="宋体" w:hAnsi="宋体" w:eastAsia="宋体" w:cs="宋体"/>
          <w:color w:val="000000" w:themeColor="text1"/>
          <w:kern w:val="2"/>
          <w:sz w:val="24"/>
          <w:szCs w:val="24"/>
          <w:lang w:val="en-US" w:eastAsia="zh-CN" w:bidi="ar"/>
          <w14:textFill>
            <w14:solidFill>
              <w14:schemeClr w14:val="tx1"/>
            </w14:solidFill>
          </w14:textFill>
        </w:rPr>
        <w:t>。规划该作业区以件杂货和散货运输为主，主要为平圩电厂和周边地区经济发展服务，作业区规划通用泊位区和现状码头区。</w:t>
      </w:r>
    </w:p>
    <w:p w14:paraId="0D5DF2BA">
      <w:pPr>
        <w:keepNext w:val="0"/>
        <w:keepLines w:val="0"/>
        <w:widowControl w:val="0"/>
        <w:suppressLineNumbers w:val="0"/>
        <w:spacing w:before="0" w:beforeAutospacing="0" w:after="0" w:afterAutospacing="0" w:line="360" w:lineRule="auto"/>
        <w:ind w:left="0" w:right="0" w:firstLine="480" w:firstLineChars="200"/>
        <w:jc w:val="both"/>
        <w:rPr>
          <w:rFonts w:hint="eastAsia" w:ascii="Times New Roman" w:hAnsi="Times New Roman" w:eastAsia="宋体" w:cs="Times New Roman"/>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
          <w14:textFill>
            <w14:solidFill>
              <w14:schemeClr w14:val="tx1"/>
            </w14:solidFill>
          </w14:textFill>
        </w:rPr>
        <w:t>通用泊位区现有鹏源煤炭码头</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1</w:t>
      </w:r>
      <w:r>
        <w:rPr>
          <w:rFonts w:hint="eastAsia" w:ascii="宋体" w:hAnsi="宋体" w:eastAsia="宋体" w:cs="宋体"/>
          <w:color w:val="000000" w:themeColor="text1"/>
          <w:kern w:val="2"/>
          <w:sz w:val="24"/>
          <w:szCs w:val="24"/>
          <w:lang w:val="en-US" w:eastAsia="zh-CN" w:bidi="ar"/>
          <w14:textFill>
            <w14:solidFill>
              <w14:schemeClr w14:val="tx1"/>
            </w14:solidFill>
          </w14:textFill>
        </w:rPr>
        <w:t>个</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500</w:t>
      </w:r>
      <w:r>
        <w:rPr>
          <w:rFonts w:hint="eastAsia" w:ascii="宋体" w:hAnsi="宋体" w:eastAsia="宋体" w:cs="宋体"/>
          <w:color w:val="000000" w:themeColor="text1"/>
          <w:kern w:val="2"/>
          <w:sz w:val="24"/>
          <w:szCs w:val="24"/>
          <w:lang w:val="en-US" w:eastAsia="zh-CN" w:bidi="ar"/>
          <w14:textFill>
            <w14:solidFill>
              <w14:schemeClr w14:val="tx1"/>
            </w14:solidFill>
          </w14:textFill>
        </w:rPr>
        <w:t>吨级泊位，利用岸线</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80m</w:t>
      </w:r>
      <w:r>
        <w:rPr>
          <w:rFonts w:hint="eastAsia" w:ascii="宋体" w:hAnsi="宋体" w:eastAsia="宋体" w:cs="宋体"/>
          <w:color w:val="000000" w:themeColor="text1"/>
          <w:kern w:val="2"/>
          <w:sz w:val="24"/>
          <w:szCs w:val="24"/>
          <w:lang w:val="en-US" w:eastAsia="zh-CN" w:bidi="ar"/>
          <w14:textFill>
            <w14:solidFill>
              <w14:schemeClr w14:val="tx1"/>
            </w14:solidFill>
          </w14:textFill>
        </w:rPr>
        <w:t>，店集码头</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1</w:t>
      </w:r>
      <w:r>
        <w:rPr>
          <w:rFonts w:hint="eastAsia" w:ascii="宋体" w:hAnsi="宋体" w:eastAsia="宋体" w:cs="宋体"/>
          <w:color w:val="000000" w:themeColor="text1"/>
          <w:kern w:val="2"/>
          <w:sz w:val="24"/>
          <w:szCs w:val="24"/>
          <w:lang w:val="en-US" w:eastAsia="zh-CN" w:bidi="ar"/>
          <w14:textFill>
            <w14:solidFill>
              <w14:schemeClr w14:val="tx1"/>
            </w14:solidFill>
          </w14:textFill>
        </w:rPr>
        <w:t>个</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1000</w:t>
      </w:r>
      <w:r>
        <w:rPr>
          <w:rFonts w:hint="eastAsia" w:ascii="宋体" w:hAnsi="宋体" w:eastAsia="宋体" w:cs="宋体"/>
          <w:color w:val="000000" w:themeColor="text1"/>
          <w:kern w:val="2"/>
          <w:sz w:val="24"/>
          <w:szCs w:val="24"/>
          <w:lang w:val="en-US" w:eastAsia="zh-CN" w:bidi="ar"/>
          <w14:textFill>
            <w14:solidFill>
              <w14:schemeClr w14:val="tx1"/>
            </w14:solidFill>
          </w14:textFill>
        </w:rPr>
        <w:t>吨级泊位，利用岸线</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80m</w:t>
      </w:r>
      <w:r>
        <w:rPr>
          <w:rFonts w:hint="eastAsia" w:ascii="宋体" w:hAnsi="宋体" w:eastAsia="宋体" w:cs="宋体"/>
          <w:color w:val="000000" w:themeColor="text1"/>
          <w:kern w:val="2"/>
          <w:sz w:val="24"/>
          <w:szCs w:val="24"/>
          <w:lang w:val="en-US" w:eastAsia="zh-CN" w:bidi="ar"/>
          <w14:textFill>
            <w14:solidFill>
              <w14:schemeClr w14:val="tx1"/>
            </w14:solidFill>
          </w14:textFill>
        </w:rPr>
        <w:t>，设计通过能力共</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98</w:t>
      </w:r>
      <w:r>
        <w:rPr>
          <w:rFonts w:hint="eastAsia" w:ascii="宋体" w:hAnsi="宋体" w:eastAsia="宋体" w:cs="宋体"/>
          <w:color w:val="000000" w:themeColor="text1"/>
          <w:kern w:val="2"/>
          <w:sz w:val="24"/>
          <w:szCs w:val="24"/>
          <w:lang w:val="en-US" w:eastAsia="zh-CN" w:bidi="ar"/>
          <w14:textFill>
            <w14:solidFill>
              <w14:schemeClr w14:val="tx1"/>
            </w14:solidFill>
          </w14:textFill>
        </w:rPr>
        <w:t>万吨。现状码头泊位等级已与航道等级、船舶吨位不匹配，靠泊能力无法满足航运需求，应整合资源并改造提升至</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2000</w:t>
      </w:r>
      <w:r>
        <w:rPr>
          <w:rFonts w:hint="eastAsia" w:ascii="宋体" w:hAnsi="宋体" w:eastAsia="宋体" w:cs="宋体"/>
          <w:color w:val="000000" w:themeColor="text1"/>
          <w:kern w:val="2"/>
          <w:sz w:val="24"/>
          <w:szCs w:val="24"/>
          <w:lang w:val="en-US" w:eastAsia="zh-CN" w:bidi="ar"/>
          <w14:textFill>
            <w14:solidFill>
              <w14:schemeClr w14:val="tx1"/>
            </w14:solidFill>
          </w14:textFill>
        </w:rPr>
        <w:t>吨级泊位，共规划</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14</w:t>
      </w:r>
      <w:r>
        <w:rPr>
          <w:rFonts w:hint="eastAsia" w:ascii="宋体" w:hAnsi="宋体" w:eastAsia="宋体" w:cs="宋体"/>
          <w:color w:val="000000" w:themeColor="text1"/>
          <w:kern w:val="2"/>
          <w:sz w:val="24"/>
          <w:szCs w:val="24"/>
          <w:lang w:val="en-US" w:eastAsia="zh-CN" w:bidi="ar"/>
          <w14:textFill>
            <w14:solidFill>
              <w14:schemeClr w14:val="tx1"/>
            </w14:solidFill>
          </w14:textFill>
        </w:rPr>
        <w:t>个</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2000</w:t>
      </w:r>
      <w:r>
        <w:rPr>
          <w:rFonts w:hint="eastAsia" w:ascii="宋体" w:hAnsi="宋体" w:eastAsia="宋体" w:cs="宋体"/>
          <w:color w:val="000000" w:themeColor="text1"/>
          <w:kern w:val="2"/>
          <w:sz w:val="24"/>
          <w:szCs w:val="24"/>
          <w:lang w:val="en-US" w:eastAsia="zh-CN" w:bidi="ar"/>
          <w14:textFill>
            <w14:solidFill>
              <w14:schemeClr w14:val="tx1"/>
            </w14:solidFill>
          </w14:textFill>
        </w:rPr>
        <w:t>吨级通用泊位，利用岸线</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1340m</w:t>
      </w:r>
      <w:r>
        <w:rPr>
          <w:rFonts w:hint="eastAsia" w:ascii="宋体" w:hAnsi="宋体" w:eastAsia="宋体" w:cs="宋体"/>
          <w:color w:val="000000" w:themeColor="text1"/>
          <w:kern w:val="2"/>
          <w:sz w:val="24"/>
          <w:szCs w:val="24"/>
          <w:lang w:val="en-US" w:eastAsia="zh-CN" w:bidi="ar"/>
          <w14:textFill>
            <w14:solidFill>
              <w14:schemeClr w14:val="tx1"/>
            </w14:solidFill>
          </w14:textFill>
        </w:rPr>
        <w:t>，形成年通过能力</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700</w:t>
      </w:r>
      <w:r>
        <w:rPr>
          <w:rFonts w:hint="eastAsia" w:ascii="宋体" w:hAnsi="宋体" w:eastAsia="宋体" w:cs="宋体"/>
          <w:color w:val="000000" w:themeColor="text1"/>
          <w:kern w:val="2"/>
          <w:sz w:val="24"/>
          <w:szCs w:val="24"/>
          <w:lang w:val="en-US" w:eastAsia="zh-CN" w:bidi="ar"/>
          <w14:textFill>
            <w14:solidFill>
              <w14:schemeClr w14:val="tx1"/>
            </w14:solidFill>
          </w14:textFill>
        </w:rPr>
        <w:t>万吨。作业区陆域纵深</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300m</w:t>
      </w:r>
      <w:r>
        <w:rPr>
          <w:rFonts w:hint="eastAsia" w:ascii="宋体" w:hAnsi="宋体" w:eastAsia="宋体" w:cs="宋体"/>
          <w:color w:val="000000" w:themeColor="text1"/>
          <w:kern w:val="2"/>
          <w:sz w:val="24"/>
          <w:szCs w:val="24"/>
          <w:lang w:val="en-US" w:eastAsia="zh-CN" w:bidi="ar"/>
          <w14:textFill>
            <w14:solidFill>
              <w14:schemeClr w14:val="tx1"/>
            </w14:solidFill>
          </w14:textFill>
        </w:rPr>
        <w:t>，共占用陆地面积</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27.3</w:t>
      </w:r>
      <w:r>
        <w:rPr>
          <w:rFonts w:hint="eastAsia" w:ascii="宋体" w:hAnsi="宋体" w:eastAsia="宋体" w:cs="宋体"/>
          <w:color w:val="000000" w:themeColor="text1"/>
          <w:kern w:val="2"/>
          <w:sz w:val="24"/>
          <w:szCs w:val="24"/>
          <w:lang w:val="en-US" w:eastAsia="zh-CN" w:bidi="ar"/>
          <w14:textFill>
            <w14:solidFill>
              <w14:schemeClr w14:val="tx1"/>
            </w14:solidFill>
          </w14:textFill>
        </w:rPr>
        <w:t>万</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m</w:t>
      </w:r>
      <w:r>
        <w:rPr>
          <w:rFonts w:hint="default" w:ascii="Times New Roman" w:hAnsi="Times New Roman" w:eastAsia="宋体" w:cs="Times New Roman"/>
          <w:color w:val="000000" w:themeColor="text1"/>
          <w:kern w:val="2"/>
          <w:sz w:val="24"/>
          <w:szCs w:val="24"/>
          <w:vertAlign w:val="superscript"/>
          <w:lang w:val="en-US" w:eastAsia="zh-CN" w:bidi="ar"/>
          <w14:textFill>
            <w14:solidFill>
              <w14:schemeClr w14:val="tx1"/>
            </w14:solidFill>
          </w14:textFill>
        </w:rPr>
        <w:t>2</w:t>
      </w:r>
      <w:r>
        <w:rPr>
          <w:rFonts w:hint="eastAsia" w:ascii="宋体" w:hAnsi="宋体" w:eastAsia="宋体" w:cs="宋体"/>
          <w:color w:val="000000" w:themeColor="text1"/>
          <w:kern w:val="2"/>
          <w:sz w:val="24"/>
          <w:szCs w:val="24"/>
          <w:lang w:val="en-US" w:eastAsia="zh-CN" w:bidi="ar"/>
          <w14:textFill>
            <w14:solidFill>
              <w14:schemeClr w14:val="tx1"/>
            </w14:solidFill>
          </w14:textFill>
        </w:rPr>
        <w:t>。作业区经疏港道路连接后方煤化工大道，其中散货可通过新建管廊连接后方厂区。</w:t>
      </w:r>
    </w:p>
    <w:p w14:paraId="5BFB2952">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lang w:val="en-US" w:eastAsia="zh-CN" w:bidi="ar"/>
          <w14:textFill>
            <w14:solidFill>
              <w14:schemeClr w14:val="tx1"/>
            </w14:solidFill>
          </w14:textFill>
        </w:rPr>
        <w:t>本项目位于规划的平圩作业区内，岸线功能规划为散货码头，占用岸线</w:t>
      </w:r>
      <w:r>
        <w:rPr>
          <w:rFonts w:hint="default" w:ascii="Times New Roman" w:hAnsi="Times New Roman" w:eastAsia="宋体" w:cs="Times New Roman"/>
          <w:color w:val="000000" w:themeColor="text1"/>
          <w:kern w:val="2"/>
          <w:sz w:val="24"/>
          <w:szCs w:val="24"/>
          <w:lang w:val="en-US" w:eastAsia="zh-CN" w:bidi="ar"/>
          <w14:textFill>
            <w14:solidFill>
              <w14:schemeClr w14:val="tx1"/>
            </w14:solidFill>
          </w14:textFill>
        </w:rPr>
        <w:t>160m</w:t>
      </w:r>
      <w:r>
        <w:rPr>
          <w:rFonts w:hint="eastAsia" w:ascii="宋体" w:hAnsi="宋体" w:eastAsia="宋体" w:cs="宋体"/>
          <w:color w:val="000000" w:themeColor="text1"/>
          <w:kern w:val="2"/>
          <w:sz w:val="24"/>
          <w:szCs w:val="24"/>
          <w:lang w:val="en-US" w:eastAsia="zh-CN" w:bidi="ar"/>
          <w14:textFill>
            <w14:solidFill>
              <w14:schemeClr w14:val="tx1"/>
            </w14:solidFill>
          </w14:textFill>
        </w:rPr>
        <w:t>，处于规划利用岸线内。本项目属于散货码头，符合淮南港区的主要功能定位。</w:t>
      </w:r>
    </w:p>
    <w:p w14:paraId="34A81A68">
      <w:pPr>
        <w:pStyle w:val="233"/>
        <w:widowControl/>
        <w:rPr>
          <w:rFonts w:hint="default" w:ascii="Times New Roman" w:hAnsi="Times New Roman" w:eastAsia="宋体" w:cs="Times New Roman"/>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综上所述，本项目总体上符合《淮南港总体规划（</w:t>
      </w:r>
      <w:r>
        <w:rPr>
          <w:rFonts w:hint="default" w:ascii="Times New Roman" w:hAnsi="Times New Roman" w:eastAsia="宋体" w:cs="Times New Roman"/>
          <w:color w:val="000000" w:themeColor="text1"/>
          <w:kern w:val="2"/>
          <w:sz w:val="24"/>
          <w:szCs w:val="24"/>
          <w14:textFill>
            <w14:solidFill>
              <w14:schemeClr w14:val="tx1"/>
            </w14:solidFill>
          </w14:textFill>
        </w:rPr>
        <w:t>2035</w:t>
      </w:r>
      <w:r>
        <w:rPr>
          <w:rFonts w:hint="eastAsia" w:ascii="宋体" w:hAnsi="宋体" w:eastAsia="宋体" w:cs="宋体"/>
          <w:color w:val="000000" w:themeColor="text1"/>
          <w:kern w:val="2"/>
          <w:sz w:val="24"/>
          <w:szCs w:val="24"/>
          <w14:textFill>
            <w14:solidFill>
              <w14:schemeClr w14:val="tx1"/>
            </w14:solidFill>
          </w14:textFill>
        </w:rPr>
        <w:t>年）》中相关规划要求。</w:t>
      </w:r>
    </w:p>
    <w:p w14:paraId="79EFC77F">
      <w:pPr>
        <w:pStyle w:val="233"/>
        <w:widowControl/>
        <w:rPr>
          <w:rFonts w:hint="default" w:ascii="Times New Roman" w:hAnsi="Times New Roman" w:eastAsia="宋体" w:cs="Times New Roman"/>
          <w:color w:val="000000" w:themeColor="text1"/>
          <w:kern w:val="2"/>
          <w:sz w:val="24"/>
          <w:szCs w:val="24"/>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w:t>
      </w:r>
      <w:r>
        <w:rPr>
          <w:rFonts w:hint="default" w:ascii="Times New Roman" w:hAnsi="Times New Roman" w:eastAsia="宋体" w:cs="Times New Roman"/>
          <w:color w:val="000000" w:themeColor="text1"/>
          <w:kern w:val="2"/>
          <w:sz w:val="24"/>
          <w:szCs w:val="24"/>
          <w14:textFill>
            <w14:solidFill>
              <w14:schemeClr w14:val="tx1"/>
            </w14:solidFill>
          </w14:textFill>
        </w:rPr>
        <w:t>2</w:t>
      </w:r>
      <w:r>
        <w:rPr>
          <w:rFonts w:hint="eastAsia" w:ascii="宋体" w:hAnsi="宋体" w:eastAsia="宋体" w:cs="宋体"/>
          <w:color w:val="000000" w:themeColor="text1"/>
          <w:kern w:val="2"/>
          <w:sz w:val="24"/>
          <w:szCs w:val="24"/>
          <w14:textFill>
            <w14:solidFill>
              <w14:schemeClr w14:val="tx1"/>
            </w14:solidFill>
          </w14:textFill>
        </w:rPr>
        <w:t>）与《淮南港总体规划（</w:t>
      </w:r>
      <w:r>
        <w:rPr>
          <w:rFonts w:hint="default" w:ascii="Times New Roman" w:hAnsi="Times New Roman" w:eastAsia="宋体" w:cs="Times New Roman"/>
          <w:color w:val="000000" w:themeColor="text1"/>
          <w:kern w:val="2"/>
          <w:sz w:val="24"/>
          <w:szCs w:val="24"/>
          <w14:textFill>
            <w14:solidFill>
              <w14:schemeClr w14:val="tx1"/>
            </w14:solidFill>
          </w14:textFill>
        </w:rPr>
        <w:t>2035</w:t>
      </w:r>
      <w:r>
        <w:rPr>
          <w:rFonts w:hint="eastAsia" w:ascii="宋体" w:hAnsi="宋体" w:eastAsia="宋体" w:cs="宋体"/>
          <w:color w:val="000000" w:themeColor="text1"/>
          <w:kern w:val="2"/>
          <w:sz w:val="24"/>
          <w:szCs w:val="24"/>
          <w14:textFill>
            <w14:solidFill>
              <w14:schemeClr w14:val="tx1"/>
            </w14:solidFill>
          </w14:textFill>
        </w:rPr>
        <w:t>年）环境影响报告书》</w:t>
      </w:r>
      <w:r>
        <w:rPr>
          <w:rFonts w:hint="eastAsia" w:ascii="宋体" w:hAnsi="宋体" w:eastAsia="宋体" w:cs="宋体"/>
          <w:color w:val="000000" w:themeColor="text1"/>
          <w:kern w:val="2"/>
          <w:sz w:val="24"/>
          <w:szCs w:val="24"/>
          <w:lang w:val="en-US" w:eastAsia="zh-CN"/>
          <w14:textFill>
            <w14:solidFill>
              <w14:schemeClr w14:val="tx1"/>
            </w14:solidFill>
          </w14:textFill>
        </w:rPr>
        <w:t>及其审查意见</w:t>
      </w:r>
      <w:r>
        <w:rPr>
          <w:rFonts w:hint="eastAsia" w:ascii="宋体" w:hAnsi="宋体" w:eastAsia="宋体" w:cs="宋体"/>
          <w:color w:val="000000" w:themeColor="text1"/>
          <w:kern w:val="2"/>
          <w:sz w:val="24"/>
          <w:szCs w:val="24"/>
          <w14:textFill>
            <w14:solidFill>
              <w14:schemeClr w14:val="tx1"/>
            </w14:solidFill>
          </w14:textFill>
        </w:rPr>
        <w:t>相符性分析</w:t>
      </w:r>
    </w:p>
    <w:p w14:paraId="12AE5B80">
      <w:pPr>
        <w:pStyle w:val="48"/>
        <w:keepNext w:val="0"/>
        <w:keepLines w:val="0"/>
        <w:widowControl/>
        <w:suppressLineNumbers w:val="0"/>
        <w:spacing w:before="0" w:beforeAutospacing="0" w:after="0" w:afterAutospacing="0" w:line="360" w:lineRule="auto"/>
        <w:ind w:left="0" w:right="0" w:firstLine="480" w:firstLineChars="200"/>
        <w:jc w:val="both"/>
        <w:rPr>
          <w:rFonts w:hint="eastAsia" w:ascii="Times New Roman" w:hAnsi="Times New Roman" w:eastAsia="宋体" w:cs="Times New Roman"/>
          <w:color w:val="000000"/>
          <w:kern w:val="2"/>
          <w:sz w:val="24"/>
          <w:szCs w:val="24"/>
        </w:rPr>
      </w:pPr>
      <w:r>
        <w:rPr>
          <w:rFonts w:hint="eastAsia" w:ascii="宋体" w:hAnsi="宋体" w:eastAsia="宋体" w:cs="宋体"/>
          <w:color w:val="000000"/>
          <w:kern w:val="2"/>
          <w:sz w:val="24"/>
          <w:szCs w:val="24"/>
          <w:lang w:val="en-US" w:eastAsia="zh-CN" w:bidi="ar"/>
        </w:rPr>
        <w:t>项目与《淮南港总体规划（</w:t>
      </w:r>
      <w:r>
        <w:rPr>
          <w:rFonts w:hint="default" w:ascii="Times New Roman" w:hAnsi="Times New Roman" w:eastAsia="宋体" w:cs="Times New Roman"/>
          <w:color w:val="000000"/>
          <w:kern w:val="2"/>
          <w:sz w:val="24"/>
          <w:szCs w:val="24"/>
          <w:lang w:val="en-US" w:eastAsia="zh-CN" w:bidi="ar"/>
        </w:rPr>
        <w:t>2035</w:t>
      </w:r>
      <w:r>
        <w:rPr>
          <w:rFonts w:hint="eastAsia" w:ascii="宋体" w:hAnsi="宋体" w:eastAsia="宋体" w:cs="宋体"/>
          <w:color w:val="000000"/>
          <w:kern w:val="2"/>
          <w:sz w:val="24"/>
          <w:szCs w:val="24"/>
          <w:lang w:val="en-US" w:eastAsia="zh-CN" w:bidi="ar"/>
        </w:rPr>
        <w:t>年）环境影响报告书》及其审查意见相符性分析详见表</w:t>
      </w:r>
      <w:r>
        <w:rPr>
          <w:rFonts w:hint="default" w:ascii="Times New Roman" w:hAnsi="Times New Roman" w:eastAsia="宋体" w:cs="Times New Roman"/>
          <w:color w:val="000000"/>
          <w:kern w:val="2"/>
          <w:sz w:val="24"/>
          <w:szCs w:val="24"/>
          <w:lang w:val="en-US" w:eastAsia="zh-CN" w:bidi="ar"/>
        </w:rPr>
        <w:t>2.5-1</w:t>
      </w:r>
      <w:r>
        <w:rPr>
          <w:rFonts w:hint="eastAsia" w:ascii="宋体" w:hAnsi="宋体" w:eastAsia="宋体" w:cs="宋体"/>
          <w:color w:val="000000"/>
          <w:kern w:val="2"/>
          <w:sz w:val="24"/>
          <w:szCs w:val="24"/>
          <w:lang w:val="en-US" w:eastAsia="zh-CN" w:bidi="ar"/>
        </w:rPr>
        <w:t>。</w:t>
      </w:r>
    </w:p>
    <w:p w14:paraId="439AB807">
      <w:pPr>
        <w:pStyle w:val="48"/>
        <w:keepNext w:val="0"/>
        <w:keepLines w:val="0"/>
        <w:widowControl/>
        <w:suppressLineNumbers w:val="0"/>
        <w:spacing w:before="0" w:beforeAutospacing="0" w:after="0" w:afterAutospacing="0" w:line="400" w:lineRule="exact"/>
        <w:ind w:left="0" w:right="0" w:firstLine="0" w:firstLineChars="0"/>
        <w:jc w:val="center"/>
        <w:rPr>
          <w:rFonts w:hint="default" w:ascii="Times New Roman" w:hAnsi="Times New Roman" w:eastAsia="黑体" w:cs="Times New Roman"/>
          <w:color w:val="000000"/>
          <w:kern w:val="2"/>
          <w:sz w:val="24"/>
          <w:szCs w:val="24"/>
        </w:rPr>
      </w:pPr>
      <w:r>
        <w:rPr>
          <w:rFonts w:hint="eastAsia" w:ascii="黑体" w:hAnsi="宋体" w:eastAsia="黑体" w:cs="黑体"/>
          <w:color w:val="000000"/>
          <w:kern w:val="2"/>
          <w:sz w:val="24"/>
          <w:szCs w:val="24"/>
          <w:lang w:val="en-US" w:eastAsia="zh-CN" w:bidi="ar"/>
        </w:rPr>
        <w:t>表</w:t>
      </w:r>
      <w:r>
        <w:rPr>
          <w:rFonts w:hint="default" w:ascii="Times New Roman" w:hAnsi="Times New Roman" w:eastAsia="黑体" w:cs="Times New Roman"/>
          <w:color w:val="000000"/>
          <w:kern w:val="2"/>
          <w:sz w:val="24"/>
          <w:szCs w:val="24"/>
          <w:lang w:val="en-US" w:eastAsia="zh-CN" w:bidi="ar"/>
        </w:rPr>
        <w:t xml:space="preserve">2.5-1  </w:t>
      </w:r>
      <w:r>
        <w:rPr>
          <w:rFonts w:hint="eastAsia" w:ascii="黑体" w:hAnsi="宋体" w:eastAsia="黑体" w:cs="黑体"/>
          <w:color w:val="000000"/>
          <w:kern w:val="2"/>
          <w:sz w:val="24"/>
          <w:szCs w:val="24"/>
          <w:lang w:val="en-US" w:eastAsia="zh-CN" w:bidi="ar"/>
        </w:rPr>
        <w:t>项目与《淮南港总体规划（</w:t>
      </w:r>
      <w:r>
        <w:rPr>
          <w:rFonts w:hint="default" w:ascii="Times New Roman" w:hAnsi="Times New Roman" w:eastAsia="黑体" w:cs="Times New Roman"/>
          <w:color w:val="000000"/>
          <w:kern w:val="2"/>
          <w:sz w:val="24"/>
          <w:szCs w:val="24"/>
          <w:lang w:val="en-US" w:eastAsia="zh-CN" w:bidi="ar"/>
        </w:rPr>
        <w:t>2035</w:t>
      </w:r>
      <w:r>
        <w:rPr>
          <w:rFonts w:hint="eastAsia" w:ascii="黑体" w:hAnsi="宋体" w:eastAsia="黑体" w:cs="黑体"/>
          <w:color w:val="000000"/>
          <w:kern w:val="2"/>
          <w:sz w:val="24"/>
          <w:szCs w:val="24"/>
          <w:lang w:val="en-US" w:eastAsia="zh-CN" w:bidi="ar"/>
        </w:rPr>
        <w:t>年）环境影响报告书》及其审查意见相符性分析</w:t>
      </w:r>
    </w:p>
    <w:tbl>
      <w:tblPr>
        <w:tblStyle w:val="53"/>
        <w:tblW w:w="0" w:type="auto"/>
        <w:jc w:val="center"/>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tblLayout w:type="fixed"/>
        <w:tblCellMar>
          <w:top w:w="0" w:type="dxa"/>
          <w:left w:w="108" w:type="dxa"/>
          <w:bottom w:w="0" w:type="dxa"/>
          <w:right w:w="108" w:type="dxa"/>
        </w:tblCellMar>
      </w:tblPr>
      <w:tblGrid>
        <w:gridCol w:w="5225"/>
        <w:gridCol w:w="3199"/>
        <w:gridCol w:w="858"/>
      </w:tblGrid>
      <w:tr w14:paraId="20319B53">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tblCellMar>
            <w:top w:w="0" w:type="dxa"/>
            <w:left w:w="108" w:type="dxa"/>
            <w:bottom w:w="0" w:type="dxa"/>
            <w:right w:w="108" w:type="dxa"/>
          </w:tblCellMar>
        </w:tblPrEx>
        <w:trPr>
          <w:trHeight w:val="336" w:hRule="atLeast"/>
          <w:jc w:val="center"/>
        </w:trPr>
        <w:tc>
          <w:tcPr>
            <w:tcW w:w="5225" w:type="dxa"/>
            <w:tcBorders>
              <w:top w:val="single" w:color="auto" w:sz="12" w:space="0"/>
              <w:left w:val="nil"/>
              <w:bottom w:val="single" w:color="auto" w:sz="4" w:space="0"/>
              <w:right w:val="single" w:color="auto" w:sz="4" w:space="0"/>
            </w:tcBorders>
            <w:shd w:val="clear"/>
            <w:vAlign w:val="center"/>
          </w:tcPr>
          <w:p w14:paraId="4CEA7DC3">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000000"/>
                <w:kern w:val="2"/>
                <w:sz w:val="21"/>
                <w:szCs w:val="21"/>
                <w:bdr w:val="none" w:color="auto" w:sz="0" w:space="0"/>
              </w:rPr>
            </w:pPr>
            <w:r>
              <w:rPr>
                <w:rFonts w:hint="eastAsia" w:ascii="宋体" w:hAnsi="宋体" w:eastAsia="宋体" w:cs="宋体"/>
                <w:b/>
                <w:bCs w:val="0"/>
                <w:color w:val="000000"/>
                <w:kern w:val="2"/>
                <w:sz w:val="21"/>
                <w:szCs w:val="21"/>
                <w:bdr w:val="none" w:color="auto" w:sz="0" w:space="0"/>
                <w:lang w:val="en-US" w:eastAsia="zh-CN" w:bidi="ar"/>
              </w:rPr>
              <w:t>《淮南港总体规划（</w:t>
            </w:r>
            <w:r>
              <w:rPr>
                <w:rFonts w:hint="default" w:ascii="Times New Roman" w:hAnsi="Times New Roman" w:eastAsia="宋体" w:cs="Times New Roman"/>
                <w:b/>
                <w:bCs w:val="0"/>
                <w:color w:val="000000"/>
                <w:kern w:val="2"/>
                <w:sz w:val="21"/>
                <w:szCs w:val="21"/>
                <w:bdr w:val="none" w:color="auto" w:sz="0" w:space="0"/>
                <w:lang w:val="en-US" w:eastAsia="zh-CN" w:bidi="ar"/>
              </w:rPr>
              <w:t>2035</w:t>
            </w:r>
            <w:r>
              <w:rPr>
                <w:rFonts w:hint="eastAsia" w:ascii="宋体" w:hAnsi="宋体" w:eastAsia="宋体" w:cs="宋体"/>
                <w:b/>
                <w:bCs w:val="0"/>
                <w:color w:val="000000"/>
                <w:kern w:val="2"/>
                <w:sz w:val="21"/>
                <w:szCs w:val="21"/>
                <w:bdr w:val="none" w:color="auto" w:sz="0" w:space="0"/>
                <w:lang w:val="en-US" w:eastAsia="zh-CN" w:bidi="ar"/>
              </w:rPr>
              <w:t>年）环境影响报告书》内容</w:t>
            </w:r>
          </w:p>
        </w:tc>
        <w:tc>
          <w:tcPr>
            <w:tcW w:w="3199" w:type="dxa"/>
            <w:tcBorders>
              <w:top w:val="single" w:color="auto" w:sz="12" w:space="0"/>
              <w:left w:val="nil"/>
              <w:bottom w:val="single" w:color="auto" w:sz="4" w:space="0"/>
              <w:right w:val="single" w:color="auto" w:sz="4" w:space="0"/>
            </w:tcBorders>
            <w:shd w:val="clear"/>
            <w:vAlign w:val="center"/>
          </w:tcPr>
          <w:p w14:paraId="280DE494">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000000"/>
                <w:kern w:val="2"/>
                <w:sz w:val="21"/>
                <w:szCs w:val="21"/>
                <w:bdr w:val="none" w:color="auto" w:sz="0" w:space="0"/>
              </w:rPr>
            </w:pPr>
            <w:r>
              <w:rPr>
                <w:rFonts w:hint="eastAsia" w:ascii="宋体" w:hAnsi="宋体" w:eastAsia="宋体" w:cs="宋体"/>
                <w:b/>
                <w:bCs w:val="0"/>
                <w:color w:val="000000"/>
                <w:kern w:val="2"/>
                <w:sz w:val="21"/>
                <w:szCs w:val="21"/>
                <w:bdr w:val="none" w:color="auto" w:sz="0" w:space="0"/>
                <w:lang w:val="en-US" w:eastAsia="zh-CN" w:bidi="ar"/>
              </w:rPr>
              <w:t>项目情况</w:t>
            </w:r>
          </w:p>
        </w:tc>
        <w:tc>
          <w:tcPr>
            <w:tcW w:w="858" w:type="dxa"/>
            <w:tcBorders>
              <w:top w:val="single" w:color="auto" w:sz="12" w:space="0"/>
              <w:left w:val="nil"/>
              <w:bottom w:val="single" w:color="auto" w:sz="4" w:space="0"/>
              <w:right w:val="nil"/>
            </w:tcBorders>
            <w:shd w:val="clear"/>
            <w:vAlign w:val="center"/>
          </w:tcPr>
          <w:p w14:paraId="601FA8A9">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000000"/>
                <w:kern w:val="2"/>
                <w:sz w:val="21"/>
                <w:szCs w:val="21"/>
                <w:bdr w:val="none" w:color="auto" w:sz="0" w:space="0"/>
              </w:rPr>
            </w:pPr>
            <w:r>
              <w:rPr>
                <w:rFonts w:hint="eastAsia" w:ascii="宋体" w:hAnsi="宋体" w:eastAsia="宋体" w:cs="宋体"/>
                <w:b/>
                <w:bCs w:val="0"/>
                <w:color w:val="000000"/>
                <w:kern w:val="2"/>
                <w:sz w:val="21"/>
                <w:szCs w:val="21"/>
                <w:bdr w:val="none" w:color="auto" w:sz="0" w:space="0"/>
                <w:lang w:val="en-US" w:eastAsia="zh-CN" w:bidi="ar"/>
              </w:rPr>
              <w:t>符合性</w:t>
            </w:r>
          </w:p>
        </w:tc>
      </w:tr>
      <w:tr w14:paraId="1C185856">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tblCellMar>
            <w:top w:w="0" w:type="dxa"/>
            <w:left w:w="108" w:type="dxa"/>
            <w:bottom w:w="0" w:type="dxa"/>
            <w:right w:w="108" w:type="dxa"/>
          </w:tblCellMar>
        </w:tblPrEx>
        <w:trPr>
          <w:trHeight w:val="336" w:hRule="atLeast"/>
          <w:jc w:val="center"/>
        </w:trPr>
        <w:tc>
          <w:tcPr>
            <w:tcW w:w="5225" w:type="dxa"/>
            <w:tcBorders>
              <w:top w:val="single" w:color="auto" w:sz="4" w:space="0"/>
              <w:left w:val="nil"/>
              <w:bottom w:val="single" w:color="auto" w:sz="4" w:space="0"/>
              <w:right w:val="single" w:color="auto" w:sz="4" w:space="0"/>
            </w:tcBorders>
            <w:shd w:val="clear"/>
            <w:vAlign w:val="center"/>
          </w:tcPr>
          <w:p w14:paraId="1A76A249">
            <w:pPr>
              <w:pStyle w:val="48"/>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港区划分及功能定位：根据淮南港的发展基础、面临形势、发展需求、港口性质等，研究确定淮南港应具备以下功能：装卸存储功能、多式联运功能、综合服务功能、现代物流功能、临港开发功能、旅游客运等多功能的现代化综合性港口。</w:t>
            </w:r>
          </w:p>
          <w:p w14:paraId="6ED00A62">
            <w:pPr>
              <w:pStyle w:val="48"/>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2"/>
                <w:sz w:val="21"/>
                <w:szCs w:val="21"/>
                <w:bdr w:val="none" w:color="auto" w:sz="0" w:space="0"/>
              </w:rPr>
            </w:pPr>
            <w:r>
              <w:rPr>
                <w:rFonts w:hint="default" w:ascii="Times New Roman" w:hAnsi="Times New Roman" w:eastAsia="宋体" w:cs="Times New Roman"/>
                <w:color w:val="000000"/>
                <w:kern w:val="2"/>
                <w:sz w:val="21"/>
                <w:szCs w:val="21"/>
                <w:bdr w:val="none" w:color="auto" w:sz="0" w:space="0"/>
                <w:lang w:val="en-US" w:eastAsia="zh-CN" w:bidi="ar"/>
              </w:rPr>
              <w:t>3.</w:t>
            </w:r>
            <w:r>
              <w:rPr>
                <w:rFonts w:hint="eastAsia" w:ascii="宋体" w:hAnsi="宋体" w:eastAsia="宋体" w:cs="宋体"/>
                <w:color w:val="000000"/>
                <w:kern w:val="2"/>
                <w:sz w:val="21"/>
                <w:szCs w:val="21"/>
                <w:bdr w:val="none" w:color="auto" w:sz="0" w:space="0"/>
                <w:lang w:val="en-US" w:eastAsia="zh-CN" w:bidi="ar"/>
              </w:rPr>
              <w:t>潘集港区</w:t>
            </w:r>
          </w:p>
          <w:p w14:paraId="6D23406E">
            <w:pPr>
              <w:pStyle w:val="48"/>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潘集港区以煤炭、矿建材料、危化品、粮食等散货和件杂货运输为主，集装箱运输为辅，主要为安徽淮南现代煤化工产业园等重点园区以及潘集区区域社会发展的大宗货物运输提供服务。</w:t>
            </w:r>
          </w:p>
        </w:tc>
        <w:tc>
          <w:tcPr>
            <w:tcW w:w="3199" w:type="dxa"/>
            <w:tcBorders>
              <w:top w:val="single" w:color="auto" w:sz="4" w:space="0"/>
              <w:left w:val="nil"/>
              <w:bottom w:val="single" w:color="auto" w:sz="4" w:space="0"/>
              <w:right w:val="single" w:color="auto" w:sz="4" w:space="0"/>
            </w:tcBorders>
            <w:shd w:val="clear"/>
            <w:vAlign w:val="center"/>
          </w:tcPr>
          <w:p w14:paraId="3D9A98A9">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本项目为新建货运码头项目，主要货种为矿建材料（石子）、件杂货及煤炭；位于潘集港区平圩作业区内，符合港口功能及潘集港区定位要求</w:t>
            </w:r>
          </w:p>
        </w:tc>
        <w:tc>
          <w:tcPr>
            <w:tcW w:w="858" w:type="dxa"/>
            <w:tcBorders>
              <w:top w:val="single" w:color="auto" w:sz="4" w:space="0"/>
              <w:left w:val="nil"/>
              <w:bottom w:val="single" w:color="auto" w:sz="4" w:space="0"/>
              <w:right w:val="nil"/>
            </w:tcBorders>
            <w:shd w:val="clear"/>
            <w:vAlign w:val="center"/>
          </w:tcPr>
          <w:p w14:paraId="73C8CD6F">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符合</w:t>
            </w:r>
          </w:p>
        </w:tc>
      </w:tr>
      <w:tr w14:paraId="22B1A942">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tblCellMar>
            <w:top w:w="0" w:type="dxa"/>
            <w:left w:w="108" w:type="dxa"/>
            <w:bottom w:w="0" w:type="dxa"/>
            <w:right w:w="108" w:type="dxa"/>
          </w:tblCellMar>
        </w:tblPrEx>
        <w:trPr>
          <w:trHeight w:val="336" w:hRule="atLeast"/>
          <w:jc w:val="center"/>
        </w:trPr>
        <w:tc>
          <w:tcPr>
            <w:tcW w:w="5225" w:type="dxa"/>
            <w:tcBorders>
              <w:top w:val="single" w:color="auto" w:sz="4" w:space="0"/>
              <w:left w:val="nil"/>
              <w:bottom w:val="single" w:color="auto" w:sz="4" w:space="0"/>
              <w:right w:val="single" w:color="auto" w:sz="4" w:space="0"/>
            </w:tcBorders>
            <w:shd w:val="clear"/>
            <w:vAlign w:val="center"/>
          </w:tcPr>
          <w:p w14:paraId="6ED37914">
            <w:pPr>
              <w:pStyle w:val="48"/>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港区布置规划：</w:t>
            </w:r>
            <w:r>
              <w:rPr>
                <w:rFonts w:hint="default" w:ascii="Times New Roman" w:hAnsi="Times New Roman" w:eastAsia="宋体" w:cs="Times New Roman"/>
                <w:color w:val="000000"/>
                <w:kern w:val="2"/>
                <w:sz w:val="21"/>
                <w:szCs w:val="21"/>
                <w:bdr w:val="none" w:color="auto" w:sz="0" w:space="0"/>
                <w:lang w:val="en-US" w:eastAsia="zh-CN" w:bidi="ar"/>
              </w:rPr>
              <w:t>3.</w:t>
            </w:r>
            <w:r>
              <w:rPr>
                <w:rFonts w:hint="eastAsia" w:ascii="宋体" w:hAnsi="宋体" w:eastAsia="宋体" w:cs="宋体"/>
                <w:color w:val="000000"/>
                <w:kern w:val="2"/>
                <w:sz w:val="21"/>
                <w:szCs w:val="21"/>
                <w:bdr w:val="none" w:color="auto" w:sz="0" w:space="0"/>
                <w:lang w:val="en-US" w:eastAsia="zh-CN" w:bidi="ar"/>
              </w:rPr>
              <w:t>平圩作业区</w:t>
            </w:r>
          </w:p>
          <w:p w14:paraId="4A97B396">
            <w:pPr>
              <w:pStyle w:val="48"/>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平圩作业区位于潘集区平圩镇丁郢村附近、淮河左岸，规划港口岸线</w:t>
            </w:r>
            <w:r>
              <w:rPr>
                <w:rFonts w:hint="default" w:ascii="Times New Roman" w:hAnsi="Times New Roman" w:eastAsia="宋体" w:cs="Times New Roman"/>
                <w:color w:val="000000"/>
                <w:kern w:val="2"/>
                <w:sz w:val="21"/>
                <w:szCs w:val="21"/>
                <w:bdr w:val="none" w:color="auto" w:sz="0" w:space="0"/>
                <w:lang w:val="en-US" w:eastAsia="zh-CN" w:bidi="ar"/>
              </w:rPr>
              <w:t>1660m</w:t>
            </w:r>
            <w:r>
              <w:rPr>
                <w:rFonts w:hint="eastAsia" w:ascii="宋体" w:hAnsi="宋体" w:eastAsia="宋体" w:cs="宋体"/>
                <w:color w:val="000000"/>
                <w:kern w:val="2"/>
                <w:sz w:val="21"/>
                <w:szCs w:val="21"/>
                <w:bdr w:val="none" w:color="auto" w:sz="0" w:space="0"/>
                <w:lang w:val="en-US" w:eastAsia="zh-CN" w:bidi="ar"/>
              </w:rPr>
              <w:t>，其中已利用岸线</w:t>
            </w:r>
            <w:r>
              <w:rPr>
                <w:rFonts w:hint="default" w:ascii="Times New Roman" w:hAnsi="Times New Roman" w:eastAsia="宋体" w:cs="Times New Roman"/>
                <w:color w:val="000000"/>
                <w:kern w:val="2"/>
                <w:sz w:val="21"/>
                <w:szCs w:val="21"/>
                <w:bdr w:val="none" w:color="auto" w:sz="0" w:space="0"/>
                <w:lang w:val="en-US" w:eastAsia="zh-CN" w:bidi="ar"/>
              </w:rPr>
              <w:t>480m</w:t>
            </w:r>
            <w:r>
              <w:rPr>
                <w:rFonts w:hint="eastAsia" w:ascii="宋体" w:hAnsi="宋体" w:eastAsia="宋体" w:cs="宋体"/>
                <w:color w:val="000000"/>
                <w:kern w:val="2"/>
                <w:sz w:val="21"/>
                <w:szCs w:val="21"/>
                <w:bdr w:val="none" w:color="auto" w:sz="0" w:space="0"/>
                <w:lang w:val="en-US" w:eastAsia="zh-CN" w:bidi="ar"/>
              </w:rPr>
              <w:t>，规划利用岸线</w:t>
            </w:r>
            <w:r>
              <w:rPr>
                <w:rFonts w:hint="default" w:ascii="Times New Roman" w:hAnsi="Times New Roman" w:eastAsia="宋体" w:cs="Times New Roman"/>
                <w:color w:val="000000"/>
                <w:kern w:val="2"/>
                <w:sz w:val="21"/>
                <w:szCs w:val="21"/>
                <w:bdr w:val="none" w:color="auto" w:sz="0" w:space="0"/>
                <w:lang w:val="en-US" w:eastAsia="zh-CN" w:bidi="ar"/>
              </w:rPr>
              <w:t>1180m</w:t>
            </w:r>
            <w:r>
              <w:rPr>
                <w:rFonts w:hint="eastAsia" w:ascii="宋体" w:hAnsi="宋体" w:eastAsia="宋体" w:cs="宋体"/>
                <w:color w:val="000000"/>
                <w:kern w:val="2"/>
                <w:sz w:val="21"/>
                <w:szCs w:val="21"/>
                <w:bdr w:val="none" w:color="auto" w:sz="0" w:space="0"/>
                <w:lang w:val="en-US" w:eastAsia="zh-CN" w:bidi="ar"/>
              </w:rPr>
              <w:t>。规划该作业区以件杂货和散货运输为主，主要为平圩电厂和周边地区经济发展服务，作业区规划通用泊位区和现状码头区。</w:t>
            </w:r>
          </w:p>
          <w:p w14:paraId="31BE054F">
            <w:pPr>
              <w:pStyle w:val="48"/>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通用泊位区现有鹏源煤炭码头</w:t>
            </w:r>
            <w:r>
              <w:rPr>
                <w:rFonts w:hint="default" w:ascii="Times New Roman" w:hAnsi="Times New Roman" w:eastAsia="宋体" w:cs="Times New Roman"/>
                <w:color w:val="000000"/>
                <w:kern w:val="2"/>
                <w:sz w:val="21"/>
                <w:szCs w:val="21"/>
                <w:bdr w:val="none" w:color="auto" w:sz="0" w:space="0"/>
                <w:lang w:val="en-US" w:eastAsia="zh-CN" w:bidi="ar"/>
              </w:rPr>
              <w:t>1</w:t>
            </w:r>
            <w:r>
              <w:rPr>
                <w:rFonts w:hint="eastAsia" w:ascii="宋体" w:hAnsi="宋体" w:eastAsia="宋体" w:cs="宋体"/>
                <w:color w:val="000000"/>
                <w:kern w:val="2"/>
                <w:sz w:val="21"/>
                <w:szCs w:val="21"/>
                <w:bdr w:val="none" w:color="auto" w:sz="0" w:space="0"/>
                <w:lang w:val="en-US" w:eastAsia="zh-CN" w:bidi="ar"/>
              </w:rPr>
              <w:t>个</w:t>
            </w:r>
            <w:r>
              <w:rPr>
                <w:rFonts w:hint="default" w:ascii="Times New Roman" w:hAnsi="Times New Roman" w:eastAsia="宋体" w:cs="Times New Roman"/>
                <w:color w:val="000000"/>
                <w:kern w:val="2"/>
                <w:sz w:val="21"/>
                <w:szCs w:val="21"/>
                <w:bdr w:val="none" w:color="auto" w:sz="0" w:space="0"/>
                <w:lang w:val="en-US" w:eastAsia="zh-CN" w:bidi="ar"/>
              </w:rPr>
              <w:t>500</w:t>
            </w:r>
            <w:r>
              <w:rPr>
                <w:rFonts w:hint="eastAsia" w:ascii="宋体" w:hAnsi="宋体" w:eastAsia="宋体" w:cs="宋体"/>
                <w:color w:val="000000"/>
                <w:kern w:val="2"/>
                <w:sz w:val="21"/>
                <w:szCs w:val="21"/>
                <w:bdr w:val="none" w:color="auto" w:sz="0" w:space="0"/>
                <w:lang w:val="en-US" w:eastAsia="zh-CN" w:bidi="ar"/>
              </w:rPr>
              <w:t>吨级泊位，利用岸线</w:t>
            </w:r>
            <w:r>
              <w:rPr>
                <w:rFonts w:hint="default" w:ascii="Times New Roman" w:hAnsi="Times New Roman" w:eastAsia="宋体" w:cs="Times New Roman"/>
                <w:color w:val="000000"/>
                <w:kern w:val="2"/>
                <w:sz w:val="21"/>
                <w:szCs w:val="21"/>
                <w:bdr w:val="none" w:color="auto" w:sz="0" w:space="0"/>
                <w:lang w:val="en-US" w:eastAsia="zh-CN" w:bidi="ar"/>
              </w:rPr>
              <w:t>80m</w:t>
            </w:r>
            <w:r>
              <w:rPr>
                <w:rFonts w:hint="eastAsia" w:ascii="宋体" w:hAnsi="宋体" w:eastAsia="宋体" w:cs="宋体"/>
                <w:color w:val="000000"/>
                <w:kern w:val="2"/>
                <w:sz w:val="21"/>
                <w:szCs w:val="21"/>
                <w:bdr w:val="none" w:color="auto" w:sz="0" w:space="0"/>
                <w:lang w:val="en-US" w:eastAsia="zh-CN" w:bidi="ar"/>
              </w:rPr>
              <w:t>，店集码头</w:t>
            </w:r>
            <w:r>
              <w:rPr>
                <w:rFonts w:hint="default" w:ascii="Times New Roman" w:hAnsi="Times New Roman" w:eastAsia="宋体" w:cs="Times New Roman"/>
                <w:color w:val="000000"/>
                <w:kern w:val="2"/>
                <w:sz w:val="21"/>
                <w:szCs w:val="21"/>
                <w:bdr w:val="none" w:color="auto" w:sz="0" w:space="0"/>
                <w:lang w:val="en-US" w:eastAsia="zh-CN" w:bidi="ar"/>
              </w:rPr>
              <w:t>1</w:t>
            </w:r>
            <w:r>
              <w:rPr>
                <w:rFonts w:hint="eastAsia" w:ascii="宋体" w:hAnsi="宋体" w:eastAsia="宋体" w:cs="宋体"/>
                <w:color w:val="000000"/>
                <w:kern w:val="2"/>
                <w:sz w:val="21"/>
                <w:szCs w:val="21"/>
                <w:bdr w:val="none" w:color="auto" w:sz="0" w:space="0"/>
                <w:lang w:val="en-US" w:eastAsia="zh-CN" w:bidi="ar"/>
              </w:rPr>
              <w:t>个</w:t>
            </w:r>
            <w:r>
              <w:rPr>
                <w:rFonts w:hint="default" w:ascii="Times New Roman" w:hAnsi="Times New Roman" w:eastAsia="宋体" w:cs="Times New Roman"/>
                <w:color w:val="000000"/>
                <w:kern w:val="2"/>
                <w:sz w:val="21"/>
                <w:szCs w:val="21"/>
                <w:bdr w:val="none" w:color="auto" w:sz="0" w:space="0"/>
                <w:lang w:val="en-US" w:eastAsia="zh-CN" w:bidi="ar"/>
              </w:rPr>
              <w:t>1000</w:t>
            </w:r>
            <w:r>
              <w:rPr>
                <w:rFonts w:hint="eastAsia" w:ascii="宋体" w:hAnsi="宋体" w:eastAsia="宋体" w:cs="宋体"/>
                <w:color w:val="000000"/>
                <w:kern w:val="2"/>
                <w:sz w:val="21"/>
                <w:szCs w:val="21"/>
                <w:bdr w:val="none" w:color="auto" w:sz="0" w:space="0"/>
                <w:lang w:val="en-US" w:eastAsia="zh-CN" w:bidi="ar"/>
              </w:rPr>
              <w:t>吨级泊位，利用岸线</w:t>
            </w:r>
            <w:r>
              <w:rPr>
                <w:rFonts w:hint="default" w:ascii="Times New Roman" w:hAnsi="Times New Roman" w:eastAsia="宋体" w:cs="Times New Roman"/>
                <w:color w:val="000000"/>
                <w:kern w:val="2"/>
                <w:sz w:val="21"/>
                <w:szCs w:val="21"/>
                <w:bdr w:val="none" w:color="auto" w:sz="0" w:space="0"/>
                <w:lang w:val="en-US" w:eastAsia="zh-CN" w:bidi="ar"/>
              </w:rPr>
              <w:t>80m</w:t>
            </w:r>
            <w:r>
              <w:rPr>
                <w:rFonts w:hint="eastAsia" w:ascii="宋体" w:hAnsi="宋体" w:eastAsia="宋体" w:cs="宋体"/>
                <w:color w:val="000000"/>
                <w:kern w:val="2"/>
                <w:sz w:val="21"/>
                <w:szCs w:val="21"/>
                <w:bdr w:val="none" w:color="auto" w:sz="0" w:space="0"/>
                <w:lang w:val="en-US" w:eastAsia="zh-CN" w:bidi="ar"/>
              </w:rPr>
              <w:t>，设计通过能力共</w:t>
            </w:r>
            <w:r>
              <w:rPr>
                <w:rFonts w:hint="default" w:ascii="Times New Roman" w:hAnsi="Times New Roman" w:eastAsia="宋体" w:cs="Times New Roman"/>
                <w:color w:val="000000"/>
                <w:kern w:val="2"/>
                <w:sz w:val="21"/>
                <w:szCs w:val="21"/>
                <w:bdr w:val="none" w:color="auto" w:sz="0" w:space="0"/>
                <w:lang w:val="en-US" w:eastAsia="zh-CN" w:bidi="ar"/>
              </w:rPr>
              <w:t>98</w:t>
            </w:r>
            <w:r>
              <w:rPr>
                <w:rFonts w:hint="eastAsia" w:ascii="宋体" w:hAnsi="宋体" w:eastAsia="宋体" w:cs="宋体"/>
                <w:color w:val="000000"/>
                <w:kern w:val="2"/>
                <w:sz w:val="21"/>
                <w:szCs w:val="21"/>
                <w:bdr w:val="none" w:color="auto" w:sz="0" w:space="0"/>
                <w:lang w:val="en-US" w:eastAsia="zh-CN" w:bidi="ar"/>
              </w:rPr>
              <w:t>万吨。现状码头泊位等级已与航道等级、船舶吨位不匹配，靠泊能力无法满足航运需求，应整合资源并改造提升至</w:t>
            </w:r>
            <w:r>
              <w:rPr>
                <w:rFonts w:hint="default" w:ascii="Times New Roman" w:hAnsi="Times New Roman" w:eastAsia="宋体" w:cs="Times New Roman"/>
                <w:color w:val="000000"/>
                <w:kern w:val="2"/>
                <w:sz w:val="21"/>
                <w:szCs w:val="21"/>
                <w:bdr w:val="none" w:color="auto" w:sz="0" w:space="0"/>
                <w:lang w:val="en-US" w:eastAsia="zh-CN" w:bidi="ar"/>
              </w:rPr>
              <w:t>2000</w:t>
            </w:r>
            <w:r>
              <w:rPr>
                <w:rFonts w:hint="eastAsia" w:ascii="宋体" w:hAnsi="宋体" w:eastAsia="宋体" w:cs="宋体"/>
                <w:color w:val="000000"/>
                <w:kern w:val="2"/>
                <w:sz w:val="21"/>
                <w:szCs w:val="21"/>
                <w:bdr w:val="none" w:color="auto" w:sz="0" w:space="0"/>
                <w:lang w:val="en-US" w:eastAsia="zh-CN" w:bidi="ar"/>
              </w:rPr>
              <w:t>吨级泊位，共规划</w:t>
            </w:r>
            <w:r>
              <w:rPr>
                <w:rFonts w:hint="default" w:ascii="Times New Roman" w:hAnsi="Times New Roman" w:eastAsia="宋体" w:cs="Times New Roman"/>
                <w:color w:val="000000"/>
                <w:kern w:val="2"/>
                <w:sz w:val="21"/>
                <w:szCs w:val="21"/>
                <w:bdr w:val="none" w:color="auto" w:sz="0" w:space="0"/>
                <w:lang w:val="en-US" w:eastAsia="zh-CN" w:bidi="ar"/>
              </w:rPr>
              <w:t>14</w:t>
            </w:r>
            <w:r>
              <w:rPr>
                <w:rFonts w:hint="eastAsia" w:ascii="宋体" w:hAnsi="宋体" w:eastAsia="宋体" w:cs="宋体"/>
                <w:color w:val="000000"/>
                <w:kern w:val="2"/>
                <w:sz w:val="21"/>
                <w:szCs w:val="21"/>
                <w:bdr w:val="none" w:color="auto" w:sz="0" w:space="0"/>
                <w:lang w:val="en-US" w:eastAsia="zh-CN" w:bidi="ar"/>
              </w:rPr>
              <w:t>个</w:t>
            </w:r>
            <w:r>
              <w:rPr>
                <w:rFonts w:hint="default" w:ascii="Times New Roman" w:hAnsi="Times New Roman" w:eastAsia="宋体" w:cs="Times New Roman"/>
                <w:color w:val="000000"/>
                <w:kern w:val="2"/>
                <w:sz w:val="21"/>
                <w:szCs w:val="21"/>
                <w:bdr w:val="none" w:color="auto" w:sz="0" w:space="0"/>
                <w:lang w:val="en-US" w:eastAsia="zh-CN" w:bidi="ar"/>
              </w:rPr>
              <w:t>2000</w:t>
            </w:r>
            <w:r>
              <w:rPr>
                <w:rFonts w:hint="eastAsia" w:ascii="宋体" w:hAnsi="宋体" w:eastAsia="宋体" w:cs="宋体"/>
                <w:color w:val="000000"/>
                <w:kern w:val="2"/>
                <w:sz w:val="21"/>
                <w:szCs w:val="21"/>
                <w:bdr w:val="none" w:color="auto" w:sz="0" w:space="0"/>
                <w:lang w:val="en-US" w:eastAsia="zh-CN" w:bidi="ar"/>
              </w:rPr>
              <w:t>吨级通用泊位，利用岸线</w:t>
            </w:r>
            <w:r>
              <w:rPr>
                <w:rFonts w:hint="default" w:ascii="Times New Roman" w:hAnsi="Times New Roman" w:eastAsia="宋体" w:cs="Times New Roman"/>
                <w:color w:val="000000"/>
                <w:kern w:val="2"/>
                <w:sz w:val="21"/>
                <w:szCs w:val="21"/>
                <w:bdr w:val="none" w:color="auto" w:sz="0" w:space="0"/>
                <w:lang w:val="en-US" w:eastAsia="zh-CN" w:bidi="ar"/>
              </w:rPr>
              <w:t>1340m</w:t>
            </w:r>
            <w:r>
              <w:rPr>
                <w:rFonts w:hint="eastAsia" w:ascii="宋体" w:hAnsi="宋体" w:eastAsia="宋体" w:cs="宋体"/>
                <w:color w:val="000000"/>
                <w:kern w:val="2"/>
                <w:sz w:val="21"/>
                <w:szCs w:val="21"/>
                <w:bdr w:val="none" w:color="auto" w:sz="0" w:space="0"/>
                <w:lang w:val="en-US" w:eastAsia="zh-CN" w:bidi="ar"/>
              </w:rPr>
              <w:t>，形成年通过能力</w:t>
            </w:r>
            <w:r>
              <w:rPr>
                <w:rFonts w:hint="default" w:ascii="Times New Roman" w:hAnsi="Times New Roman" w:eastAsia="宋体" w:cs="Times New Roman"/>
                <w:color w:val="000000"/>
                <w:kern w:val="2"/>
                <w:sz w:val="21"/>
                <w:szCs w:val="21"/>
                <w:bdr w:val="none" w:color="auto" w:sz="0" w:space="0"/>
                <w:lang w:val="en-US" w:eastAsia="zh-CN" w:bidi="ar"/>
              </w:rPr>
              <w:t>700</w:t>
            </w:r>
            <w:r>
              <w:rPr>
                <w:rFonts w:hint="eastAsia" w:ascii="宋体" w:hAnsi="宋体" w:eastAsia="宋体" w:cs="宋体"/>
                <w:color w:val="000000"/>
                <w:kern w:val="2"/>
                <w:sz w:val="21"/>
                <w:szCs w:val="21"/>
                <w:bdr w:val="none" w:color="auto" w:sz="0" w:space="0"/>
                <w:lang w:val="en-US" w:eastAsia="zh-CN" w:bidi="ar"/>
              </w:rPr>
              <w:t>万吨。作业区陆域纵深</w:t>
            </w:r>
            <w:r>
              <w:rPr>
                <w:rFonts w:hint="default" w:ascii="Times New Roman" w:hAnsi="Times New Roman" w:eastAsia="宋体" w:cs="Times New Roman"/>
                <w:color w:val="000000"/>
                <w:kern w:val="2"/>
                <w:sz w:val="21"/>
                <w:szCs w:val="21"/>
                <w:bdr w:val="none" w:color="auto" w:sz="0" w:space="0"/>
                <w:lang w:val="en-US" w:eastAsia="zh-CN" w:bidi="ar"/>
              </w:rPr>
              <w:t>300m</w:t>
            </w:r>
            <w:r>
              <w:rPr>
                <w:rFonts w:hint="eastAsia" w:ascii="宋体" w:hAnsi="宋体" w:eastAsia="宋体" w:cs="宋体"/>
                <w:color w:val="000000"/>
                <w:kern w:val="2"/>
                <w:sz w:val="21"/>
                <w:szCs w:val="21"/>
                <w:bdr w:val="none" w:color="auto" w:sz="0" w:space="0"/>
                <w:lang w:val="en-US" w:eastAsia="zh-CN" w:bidi="ar"/>
              </w:rPr>
              <w:t>，共占用陆地面积</w:t>
            </w:r>
            <w:r>
              <w:rPr>
                <w:rFonts w:hint="default" w:ascii="Times New Roman" w:hAnsi="Times New Roman" w:eastAsia="宋体" w:cs="Times New Roman"/>
                <w:color w:val="000000"/>
                <w:kern w:val="2"/>
                <w:sz w:val="21"/>
                <w:szCs w:val="21"/>
                <w:bdr w:val="none" w:color="auto" w:sz="0" w:space="0"/>
                <w:lang w:val="en-US" w:eastAsia="zh-CN" w:bidi="ar"/>
              </w:rPr>
              <w:t>27.3</w:t>
            </w:r>
            <w:r>
              <w:rPr>
                <w:rFonts w:hint="eastAsia" w:ascii="宋体" w:hAnsi="宋体" w:eastAsia="宋体" w:cs="宋体"/>
                <w:color w:val="000000"/>
                <w:kern w:val="2"/>
                <w:sz w:val="21"/>
                <w:szCs w:val="21"/>
                <w:bdr w:val="none" w:color="auto" w:sz="0" w:space="0"/>
                <w:lang w:val="en-US" w:eastAsia="zh-CN" w:bidi="ar"/>
              </w:rPr>
              <w:t>万</w:t>
            </w:r>
            <w:r>
              <w:rPr>
                <w:rFonts w:hint="default" w:ascii="Times New Roman" w:hAnsi="Times New Roman" w:eastAsia="宋体" w:cs="Times New Roman"/>
                <w:color w:val="000000"/>
                <w:kern w:val="2"/>
                <w:sz w:val="21"/>
                <w:szCs w:val="21"/>
                <w:bdr w:val="none" w:color="auto" w:sz="0" w:space="0"/>
                <w:lang w:val="en-US" w:eastAsia="zh-CN" w:bidi="ar"/>
              </w:rPr>
              <w:t>m2</w:t>
            </w:r>
            <w:r>
              <w:rPr>
                <w:rFonts w:hint="eastAsia" w:ascii="宋体" w:hAnsi="宋体" w:eastAsia="宋体" w:cs="宋体"/>
                <w:color w:val="000000"/>
                <w:kern w:val="2"/>
                <w:sz w:val="21"/>
                <w:szCs w:val="21"/>
                <w:bdr w:val="none" w:color="auto" w:sz="0" w:space="0"/>
                <w:lang w:val="en-US" w:eastAsia="zh-CN" w:bidi="ar"/>
              </w:rPr>
              <w:t>。作业区经疏港道路连接后方煤化工大道，其中散货可通过新建管廊连接后方厂区。</w:t>
            </w:r>
          </w:p>
          <w:p w14:paraId="4034E699">
            <w:pPr>
              <w:pStyle w:val="48"/>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现状码头区包括舜龙煤炭码头</w:t>
            </w:r>
            <w:r>
              <w:rPr>
                <w:rFonts w:hint="default" w:ascii="Times New Roman" w:hAnsi="Times New Roman" w:eastAsia="宋体" w:cs="Times New Roman"/>
                <w:color w:val="000000"/>
                <w:kern w:val="2"/>
                <w:sz w:val="21"/>
                <w:szCs w:val="21"/>
                <w:bdr w:val="none" w:color="auto" w:sz="0" w:space="0"/>
                <w:lang w:val="en-US" w:eastAsia="zh-CN" w:bidi="ar"/>
              </w:rPr>
              <w:t>2</w:t>
            </w:r>
            <w:r>
              <w:rPr>
                <w:rFonts w:hint="eastAsia" w:ascii="宋体" w:hAnsi="宋体" w:eastAsia="宋体" w:cs="宋体"/>
                <w:color w:val="000000"/>
                <w:kern w:val="2"/>
                <w:sz w:val="21"/>
                <w:szCs w:val="21"/>
                <w:bdr w:val="none" w:color="auto" w:sz="0" w:space="0"/>
                <w:lang w:val="en-US" w:eastAsia="zh-CN" w:bidi="ar"/>
              </w:rPr>
              <w:t>个</w:t>
            </w:r>
            <w:r>
              <w:rPr>
                <w:rFonts w:hint="default" w:ascii="Times New Roman" w:hAnsi="Times New Roman" w:eastAsia="宋体" w:cs="Times New Roman"/>
                <w:color w:val="000000"/>
                <w:kern w:val="2"/>
                <w:sz w:val="21"/>
                <w:szCs w:val="21"/>
                <w:bdr w:val="none" w:color="auto" w:sz="0" w:space="0"/>
                <w:lang w:val="en-US" w:eastAsia="zh-CN" w:bidi="ar"/>
              </w:rPr>
              <w:t>500</w:t>
            </w:r>
            <w:r>
              <w:rPr>
                <w:rFonts w:hint="eastAsia" w:ascii="宋体" w:hAnsi="宋体" w:eastAsia="宋体" w:cs="宋体"/>
                <w:color w:val="000000"/>
                <w:kern w:val="2"/>
                <w:sz w:val="21"/>
                <w:szCs w:val="21"/>
                <w:bdr w:val="none" w:color="auto" w:sz="0" w:space="0"/>
                <w:lang w:val="en-US" w:eastAsia="zh-CN" w:bidi="ar"/>
              </w:rPr>
              <w:t>吨级泊位，鑫淮码头</w:t>
            </w:r>
            <w:r>
              <w:rPr>
                <w:rFonts w:hint="default" w:ascii="Times New Roman" w:hAnsi="Times New Roman" w:eastAsia="宋体" w:cs="Times New Roman"/>
                <w:color w:val="000000"/>
                <w:kern w:val="2"/>
                <w:sz w:val="21"/>
                <w:szCs w:val="21"/>
                <w:bdr w:val="none" w:color="auto" w:sz="0" w:space="0"/>
                <w:lang w:val="en-US" w:eastAsia="zh-CN" w:bidi="ar"/>
              </w:rPr>
              <w:t>1</w:t>
            </w:r>
            <w:r>
              <w:rPr>
                <w:rFonts w:hint="eastAsia" w:ascii="宋体" w:hAnsi="宋体" w:eastAsia="宋体" w:cs="宋体"/>
                <w:color w:val="000000"/>
                <w:kern w:val="2"/>
                <w:sz w:val="21"/>
                <w:szCs w:val="21"/>
                <w:bdr w:val="none" w:color="auto" w:sz="0" w:space="0"/>
                <w:lang w:val="en-US" w:eastAsia="zh-CN" w:bidi="ar"/>
              </w:rPr>
              <w:t>个</w:t>
            </w:r>
            <w:r>
              <w:rPr>
                <w:rFonts w:hint="default" w:ascii="Times New Roman" w:hAnsi="Times New Roman" w:eastAsia="宋体" w:cs="Times New Roman"/>
                <w:color w:val="000000"/>
                <w:kern w:val="2"/>
                <w:sz w:val="21"/>
                <w:szCs w:val="21"/>
                <w:bdr w:val="none" w:color="auto" w:sz="0" w:space="0"/>
                <w:lang w:val="en-US" w:eastAsia="zh-CN" w:bidi="ar"/>
              </w:rPr>
              <w:t>1000</w:t>
            </w:r>
            <w:r>
              <w:rPr>
                <w:rFonts w:hint="eastAsia" w:ascii="宋体" w:hAnsi="宋体" w:eastAsia="宋体" w:cs="宋体"/>
                <w:color w:val="000000"/>
                <w:kern w:val="2"/>
                <w:sz w:val="21"/>
                <w:szCs w:val="21"/>
                <w:bdr w:val="none" w:color="auto" w:sz="0" w:space="0"/>
                <w:lang w:val="en-US" w:eastAsia="zh-CN" w:bidi="ar"/>
              </w:rPr>
              <w:t>吨级泊位，春庆码头</w:t>
            </w:r>
            <w:r>
              <w:rPr>
                <w:rFonts w:hint="default" w:ascii="Times New Roman" w:hAnsi="Times New Roman" w:eastAsia="宋体" w:cs="Times New Roman"/>
                <w:color w:val="000000"/>
                <w:kern w:val="2"/>
                <w:sz w:val="21"/>
                <w:szCs w:val="21"/>
                <w:bdr w:val="none" w:color="auto" w:sz="0" w:space="0"/>
                <w:lang w:val="en-US" w:eastAsia="zh-CN" w:bidi="ar"/>
              </w:rPr>
              <w:t>1</w:t>
            </w:r>
            <w:r>
              <w:rPr>
                <w:rFonts w:hint="eastAsia" w:ascii="宋体" w:hAnsi="宋体" w:eastAsia="宋体" w:cs="宋体"/>
                <w:color w:val="000000"/>
                <w:kern w:val="2"/>
                <w:sz w:val="21"/>
                <w:szCs w:val="21"/>
                <w:bdr w:val="none" w:color="auto" w:sz="0" w:space="0"/>
                <w:lang w:val="en-US" w:eastAsia="zh-CN" w:bidi="ar"/>
              </w:rPr>
              <w:t>个</w:t>
            </w:r>
            <w:r>
              <w:rPr>
                <w:rFonts w:hint="default" w:ascii="Times New Roman" w:hAnsi="Times New Roman" w:eastAsia="宋体" w:cs="Times New Roman"/>
                <w:color w:val="000000"/>
                <w:kern w:val="2"/>
                <w:sz w:val="21"/>
                <w:szCs w:val="21"/>
                <w:bdr w:val="none" w:color="auto" w:sz="0" w:space="0"/>
                <w:lang w:val="en-US" w:eastAsia="zh-CN" w:bidi="ar"/>
              </w:rPr>
              <w:t>500</w:t>
            </w:r>
            <w:r>
              <w:rPr>
                <w:rFonts w:hint="eastAsia" w:ascii="宋体" w:hAnsi="宋体" w:eastAsia="宋体" w:cs="宋体"/>
                <w:color w:val="000000"/>
                <w:kern w:val="2"/>
                <w:sz w:val="21"/>
                <w:szCs w:val="21"/>
                <w:bdr w:val="none" w:color="auto" w:sz="0" w:space="0"/>
                <w:lang w:val="en-US" w:eastAsia="zh-CN" w:bidi="ar"/>
              </w:rPr>
              <w:t>吨级泊位，共利用岸线</w:t>
            </w:r>
            <w:r>
              <w:rPr>
                <w:rFonts w:hint="default" w:ascii="Times New Roman" w:hAnsi="Times New Roman" w:eastAsia="宋体" w:cs="Times New Roman"/>
                <w:color w:val="000000"/>
                <w:kern w:val="2"/>
                <w:sz w:val="21"/>
                <w:szCs w:val="21"/>
                <w:bdr w:val="none" w:color="auto" w:sz="0" w:space="0"/>
                <w:lang w:val="en-US" w:eastAsia="zh-CN" w:bidi="ar"/>
              </w:rPr>
              <w:t>320m</w:t>
            </w:r>
            <w:r>
              <w:rPr>
                <w:rFonts w:hint="eastAsia" w:ascii="宋体" w:hAnsi="宋体" w:eastAsia="宋体" w:cs="宋体"/>
                <w:color w:val="000000"/>
                <w:kern w:val="2"/>
                <w:sz w:val="21"/>
                <w:szCs w:val="21"/>
                <w:bdr w:val="none" w:color="auto" w:sz="0" w:space="0"/>
                <w:lang w:val="en-US" w:eastAsia="zh-CN" w:bidi="ar"/>
              </w:rPr>
              <w:t>，设计通过能力</w:t>
            </w:r>
            <w:r>
              <w:rPr>
                <w:rFonts w:hint="default" w:ascii="Times New Roman" w:hAnsi="Times New Roman" w:eastAsia="宋体" w:cs="Times New Roman"/>
                <w:color w:val="000000"/>
                <w:kern w:val="2"/>
                <w:sz w:val="21"/>
                <w:szCs w:val="21"/>
                <w:bdr w:val="none" w:color="auto" w:sz="0" w:space="0"/>
                <w:lang w:val="en-US" w:eastAsia="zh-CN" w:bidi="ar"/>
              </w:rPr>
              <w:t>200</w:t>
            </w:r>
            <w:r>
              <w:rPr>
                <w:rFonts w:hint="eastAsia" w:ascii="宋体" w:hAnsi="宋体" w:eastAsia="宋体" w:cs="宋体"/>
                <w:color w:val="000000"/>
                <w:kern w:val="2"/>
                <w:sz w:val="21"/>
                <w:szCs w:val="21"/>
                <w:bdr w:val="none" w:color="auto" w:sz="0" w:space="0"/>
                <w:lang w:val="en-US" w:eastAsia="zh-CN" w:bidi="ar"/>
              </w:rPr>
              <w:t>万吨，现状码头泊位等级已与航道等级、船舶吨位不匹配，靠泊能力无法满足航运需求，现状码头应逐步退出市场。</w:t>
            </w:r>
          </w:p>
        </w:tc>
        <w:tc>
          <w:tcPr>
            <w:tcW w:w="3199" w:type="dxa"/>
            <w:tcBorders>
              <w:top w:val="single" w:color="auto" w:sz="4" w:space="0"/>
              <w:left w:val="nil"/>
              <w:bottom w:val="single" w:color="auto" w:sz="4" w:space="0"/>
              <w:right w:val="single" w:color="auto" w:sz="4" w:space="0"/>
            </w:tcBorders>
            <w:shd w:val="clear"/>
            <w:vAlign w:val="center"/>
          </w:tcPr>
          <w:p w14:paraId="2D5464B6">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本项目为新建货运码头项目，位于平圩作业区内，平圩作业区港口岸线长度</w:t>
            </w:r>
            <w:r>
              <w:rPr>
                <w:rFonts w:hint="default" w:ascii="Times New Roman" w:hAnsi="Times New Roman" w:eastAsia="宋体" w:cs="Times New Roman"/>
                <w:color w:val="000000"/>
                <w:kern w:val="2"/>
                <w:sz w:val="21"/>
                <w:szCs w:val="21"/>
                <w:bdr w:val="none" w:color="auto" w:sz="0" w:space="0"/>
                <w:lang w:val="en-US" w:eastAsia="zh-CN" w:bidi="ar"/>
              </w:rPr>
              <w:t>1660m</w:t>
            </w:r>
            <w:r>
              <w:rPr>
                <w:rFonts w:hint="eastAsia" w:ascii="宋体" w:hAnsi="宋体" w:eastAsia="宋体" w:cs="宋体"/>
                <w:color w:val="000000"/>
                <w:kern w:val="2"/>
                <w:sz w:val="21"/>
                <w:szCs w:val="21"/>
                <w:bdr w:val="none" w:color="auto" w:sz="0" w:space="0"/>
                <w:lang w:val="en-US" w:eastAsia="zh-CN" w:bidi="ar"/>
              </w:rPr>
              <w:t>，本项目占用岸线长度为</w:t>
            </w:r>
            <w:r>
              <w:rPr>
                <w:rFonts w:hint="default" w:ascii="Times New Roman" w:hAnsi="Times New Roman" w:eastAsia="宋体" w:cs="Times New Roman"/>
                <w:color w:val="000000"/>
                <w:kern w:val="2"/>
                <w:sz w:val="21"/>
                <w:szCs w:val="21"/>
                <w:bdr w:val="none" w:color="auto" w:sz="0" w:space="0"/>
                <w:lang w:val="en-US" w:eastAsia="zh-CN" w:bidi="ar"/>
              </w:rPr>
              <w:t>160m</w:t>
            </w:r>
            <w:r>
              <w:rPr>
                <w:rFonts w:hint="eastAsia" w:ascii="宋体" w:hAnsi="宋体" w:eastAsia="宋体" w:cs="宋体"/>
                <w:color w:val="000000"/>
                <w:kern w:val="2"/>
                <w:sz w:val="21"/>
                <w:szCs w:val="21"/>
                <w:bdr w:val="none" w:color="auto" w:sz="0" w:space="0"/>
                <w:lang w:val="en-US" w:eastAsia="zh-CN" w:bidi="ar"/>
              </w:rPr>
              <w:t>，本项目拟建设</w:t>
            </w:r>
            <w:r>
              <w:rPr>
                <w:rFonts w:hint="default" w:ascii="Times New Roman" w:hAnsi="Times New Roman" w:eastAsia="宋体" w:cs="Times New Roman"/>
                <w:color w:val="000000"/>
                <w:kern w:val="2"/>
                <w:sz w:val="21"/>
                <w:szCs w:val="21"/>
                <w:bdr w:val="none" w:color="auto" w:sz="0" w:space="0"/>
                <w:lang w:val="en-US" w:eastAsia="zh-CN" w:bidi="ar"/>
              </w:rPr>
              <w:t>2</w:t>
            </w:r>
            <w:r>
              <w:rPr>
                <w:rFonts w:hint="eastAsia" w:ascii="宋体" w:hAnsi="宋体" w:eastAsia="宋体" w:cs="宋体"/>
                <w:color w:val="000000"/>
                <w:kern w:val="2"/>
                <w:sz w:val="21"/>
                <w:szCs w:val="21"/>
                <w:bdr w:val="none" w:color="auto" w:sz="0" w:space="0"/>
                <w:lang w:val="en-US" w:eastAsia="zh-CN" w:bidi="ar"/>
              </w:rPr>
              <w:t>个</w:t>
            </w:r>
            <w:r>
              <w:rPr>
                <w:rFonts w:hint="default" w:ascii="Times New Roman" w:hAnsi="Times New Roman" w:eastAsia="宋体" w:cs="Times New Roman"/>
                <w:color w:val="000000"/>
                <w:kern w:val="2"/>
                <w:sz w:val="21"/>
                <w:szCs w:val="21"/>
                <w:bdr w:val="none" w:color="auto" w:sz="0" w:space="0"/>
                <w:lang w:val="en-US" w:eastAsia="zh-CN" w:bidi="ar"/>
              </w:rPr>
              <w:t>1000</w:t>
            </w:r>
            <w:r>
              <w:rPr>
                <w:rFonts w:hint="eastAsia" w:ascii="宋体" w:hAnsi="宋体" w:eastAsia="宋体" w:cs="宋体"/>
                <w:color w:val="000000"/>
                <w:kern w:val="2"/>
                <w:sz w:val="21"/>
                <w:szCs w:val="21"/>
                <w:bdr w:val="none" w:color="auto" w:sz="0" w:space="0"/>
                <w:lang w:val="en-US" w:eastAsia="zh-CN" w:bidi="ar"/>
              </w:rPr>
              <w:t>吨级兼顾</w:t>
            </w:r>
            <w:r>
              <w:rPr>
                <w:rFonts w:hint="default" w:ascii="Times New Roman" w:hAnsi="Times New Roman" w:eastAsia="宋体" w:cs="Times New Roman"/>
                <w:color w:val="000000"/>
                <w:kern w:val="2"/>
                <w:sz w:val="21"/>
                <w:szCs w:val="21"/>
                <w:bdr w:val="none" w:color="auto" w:sz="0" w:space="0"/>
                <w:lang w:val="en-US" w:eastAsia="zh-CN" w:bidi="ar"/>
              </w:rPr>
              <w:t>2000</w:t>
            </w:r>
            <w:r>
              <w:rPr>
                <w:rFonts w:hint="eastAsia" w:ascii="宋体" w:hAnsi="宋体" w:eastAsia="宋体" w:cs="宋体"/>
                <w:color w:val="000000"/>
                <w:kern w:val="2"/>
                <w:sz w:val="21"/>
                <w:szCs w:val="21"/>
                <w:bdr w:val="none" w:color="auto" w:sz="0" w:space="0"/>
                <w:lang w:val="en-US" w:eastAsia="zh-CN" w:bidi="ar"/>
              </w:rPr>
              <w:t>吨级通用散货泊位，属于通用散货码头，项目设计年吞吐量为</w:t>
            </w:r>
            <w:r>
              <w:rPr>
                <w:rFonts w:hint="default" w:ascii="Times New Roman" w:hAnsi="Times New Roman" w:eastAsia="宋体" w:cs="Times New Roman"/>
                <w:color w:val="000000"/>
                <w:kern w:val="2"/>
                <w:sz w:val="21"/>
                <w:szCs w:val="21"/>
                <w:bdr w:val="none" w:color="auto" w:sz="0" w:space="0"/>
                <w:lang w:val="en-US" w:eastAsia="zh-CN" w:bidi="ar"/>
              </w:rPr>
              <w:t>80</w:t>
            </w:r>
            <w:r>
              <w:rPr>
                <w:rFonts w:hint="eastAsia" w:ascii="宋体" w:hAnsi="宋体" w:eastAsia="宋体" w:cs="宋体"/>
                <w:color w:val="000000"/>
                <w:kern w:val="2"/>
                <w:sz w:val="21"/>
                <w:szCs w:val="21"/>
                <w:bdr w:val="none" w:color="auto" w:sz="0" w:space="0"/>
                <w:lang w:val="en-US" w:eastAsia="zh-CN" w:bidi="ar"/>
              </w:rPr>
              <w:t>万吨，对照《淮南港总体规划（</w:t>
            </w:r>
            <w:r>
              <w:rPr>
                <w:rFonts w:hint="default" w:ascii="Times New Roman" w:hAnsi="Times New Roman" w:eastAsia="宋体" w:cs="Times New Roman"/>
                <w:color w:val="000000"/>
                <w:kern w:val="2"/>
                <w:sz w:val="21"/>
                <w:szCs w:val="21"/>
                <w:bdr w:val="none" w:color="auto" w:sz="0" w:space="0"/>
                <w:lang w:val="en-US" w:eastAsia="zh-CN" w:bidi="ar"/>
              </w:rPr>
              <w:t>2035</w:t>
            </w:r>
            <w:r>
              <w:rPr>
                <w:rFonts w:hint="eastAsia" w:ascii="宋体" w:hAnsi="宋体" w:eastAsia="宋体" w:cs="宋体"/>
                <w:color w:val="000000"/>
                <w:kern w:val="2"/>
                <w:sz w:val="21"/>
                <w:szCs w:val="21"/>
                <w:bdr w:val="none" w:color="auto" w:sz="0" w:space="0"/>
                <w:lang w:val="en-US" w:eastAsia="zh-CN" w:bidi="ar"/>
              </w:rPr>
              <w:t>年）环境影响报告书》，本项目位于规划的</w:t>
            </w:r>
            <w:r>
              <w:rPr>
                <w:rFonts w:hint="default" w:ascii="Times New Roman" w:hAnsi="Times New Roman" w:eastAsia="宋体" w:cs="Times New Roman"/>
                <w:color w:val="000000"/>
                <w:kern w:val="2"/>
                <w:sz w:val="21"/>
                <w:szCs w:val="21"/>
                <w:bdr w:val="none" w:color="auto" w:sz="0" w:space="0"/>
                <w:lang w:val="en-US" w:eastAsia="zh-CN" w:bidi="ar"/>
              </w:rPr>
              <w:t>14</w:t>
            </w:r>
            <w:r>
              <w:rPr>
                <w:rFonts w:hint="eastAsia" w:ascii="宋体" w:hAnsi="宋体" w:eastAsia="宋体" w:cs="宋体"/>
                <w:color w:val="000000"/>
                <w:kern w:val="2"/>
                <w:sz w:val="21"/>
                <w:szCs w:val="21"/>
                <w:bdr w:val="none" w:color="auto" w:sz="0" w:space="0"/>
                <w:lang w:val="en-US" w:eastAsia="zh-CN" w:bidi="ar"/>
              </w:rPr>
              <w:t>个</w:t>
            </w:r>
            <w:r>
              <w:rPr>
                <w:rFonts w:hint="default" w:ascii="Times New Roman" w:hAnsi="Times New Roman" w:eastAsia="宋体" w:cs="Times New Roman"/>
                <w:color w:val="000000"/>
                <w:kern w:val="2"/>
                <w:sz w:val="21"/>
                <w:szCs w:val="21"/>
                <w:bdr w:val="none" w:color="auto" w:sz="0" w:space="0"/>
                <w:lang w:val="en-US" w:eastAsia="zh-CN" w:bidi="ar"/>
              </w:rPr>
              <w:t>2000</w:t>
            </w:r>
            <w:r>
              <w:rPr>
                <w:rFonts w:hint="eastAsia" w:ascii="宋体" w:hAnsi="宋体" w:eastAsia="宋体" w:cs="宋体"/>
                <w:color w:val="000000"/>
                <w:kern w:val="2"/>
                <w:sz w:val="21"/>
                <w:szCs w:val="21"/>
                <w:bdr w:val="none" w:color="auto" w:sz="0" w:space="0"/>
                <w:lang w:val="en-US" w:eastAsia="zh-CN" w:bidi="ar"/>
              </w:rPr>
              <w:t>吨级通用泊位区，符合港区布置规划要求。</w:t>
            </w:r>
          </w:p>
        </w:tc>
        <w:tc>
          <w:tcPr>
            <w:tcW w:w="858" w:type="dxa"/>
            <w:tcBorders>
              <w:top w:val="single" w:color="auto" w:sz="4" w:space="0"/>
              <w:left w:val="nil"/>
              <w:bottom w:val="single" w:color="auto" w:sz="4" w:space="0"/>
              <w:right w:val="nil"/>
            </w:tcBorders>
            <w:shd w:val="clear"/>
            <w:vAlign w:val="center"/>
          </w:tcPr>
          <w:p w14:paraId="358DE8D0">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符合</w:t>
            </w:r>
          </w:p>
        </w:tc>
      </w:tr>
      <w:tr w14:paraId="6E76A811">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tblCellMar>
            <w:top w:w="0" w:type="dxa"/>
            <w:left w:w="108" w:type="dxa"/>
            <w:bottom w:w="0" w:type="dxa"/>
            <w:right w:w="108" w:type="dxa"/>
          </w:tblCellMar>
        </w:tblPrEx>
        <w:trPr>
          <w:trHeight w:val="336" w:hRule="atLeast"/>
          <w:jc w:val="center"/>
        </w:trPr>
        <w:tc>
          <w:tcPr>
            <w:tcW w:w="5225" w:type="dxa"/>
            <w:tcBorders>
              <w:top w:val="single" w:color="auto" w:sz="4" w:space="0"/>
              <w:left w:val="nil"/>
              <w:bottom w:val="single" w:color="auto" w:sz="4" w:space="0"/>
              <w:right w:val="single" w:color="auto" w:sz="4" w:space="0"/>
            </w:tcBorders>
            <w:shd w:val="clear"/>
            <w:vAlign w:val="center"/>
          </w:tcPr>
          <w:p w14:paraId="44D7551A">
            <w:pPr>
              <w:pStyle w:val="48"/>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顺岸式布置码头前沿线位置根据水域宽度确定，码头前沿停泊水域按</w:t>
            </w:r>
            <w:r>
              <w:rPr>
                <w:rFonts w:hint="default" w:ascii="Times New Roman" w:hAnsi="Times New Roman" w:eastAsia="宋体" w:cs="Times New Roman"/>
                <w:color w:val="000000"/>
                <w:kern w:val="2"/>
                <w:sz w:val="21"/>
                <w:szCs w:val="21"/>
                <w:bdr w:val="none" w:color="auto" w:sz="0" w:space="0"/>
                <w:lang w:val="en-US" w:eastAsia="zh-CN" w:bidi="ar"/>
              </w:rPr>
              <w:t>2</w:t>
            </w:r>
            <w:r>
              <w:rPr>
                <w:rFonts w:hint="eastAsia" w:ascii="宋体" w:hAnsi="宋体" w:eastAsia="宋体" w:cs="宋体"/>
                <w:color w:val="000000"/>
                <w:kern w:val="2"/>
                <w:sz w:val="21"/>
                <w:szCs w:val="21"/>
                <w:bdr w:val="none" w:color="auto" w:sz="0" w:space="0"/>
                <w:lang w:val="en-US" w:eastAsia="zh-CN" w:bidi="ar"/>
              </w:rPr>
              <w:t>倍设计代表船型宽度计算，码头前方调头水域垂直于水流方向按</w:t>
            </w:r>
            <w:r>
              <w:rPr>
                <w:rFonts w:hint="default" w:ascii="Times New Roman" w:hAnsi="Times New Roman" w:eastAsia="宋体" w:cs="Times New Roman"/>
                <w:color w:val="000000"/>
                <w:kern w:val="2"/>
                <w:sz w:val="21"/>
                <w:szCs w:val="21"/>
                <w:bdr w:val="none" w:color="auto" w:sz="0" w:space="0"/>
                <w:lang w:val="en-US" w:eastAsia="zh-CN" w:bidi="ar"/>
              </w:rPr>
              <w:t>1.5</w:t>
            </w:r>
            <w:r>
              <w:rPr>
                <w:rFonts w:hint="eastAsia" w:ascii="宋体" w:hAnsi="宋体" w:eastAsia="宋体" w:cs="宋体"/>
                <w:color w:val="000000"/>
                <w:kern w:val="2"/>
                <w:sz w:val="21"/>
                <w:szCs w:val="21"/>
                <w:bdr w:val="none" w:color="auto" w:sz="0" w:space="0"/>
                <w:lang w:val="en-US" w:eastAsia="zh-CN" w:bidi="ar"/>
              </w:rPr>
              <w:t>倍设计船长确定。对于内河港口港池水域受限较多，如处在船舶密度相对不高的航段，在不影响主航道正常通航的情况下，船舶调头水域可部分利用航行区域。挖入式布置港池宽度按双侧停船港内掉头考虑，港池长度根据泊位布置要求确定。码头前沿设计水深根据设计船型满载吃水深度加富裕深度确定。</w:t>
            </w:r>
          </w:p>
        </w:tc>
        <w:tc>
          <w:tcPr>
            <w:tcW w:w="3199" w:type="dxa"/>
            <w:tcBorders>
              <w:top w:val="single" w:color="auto" w:sz="4" w:space="0"/>
              <w:left w:val="nil"/>
              <w:bottom w:val="single" w:color="auto" w:sz="4" w:space="0"/>
              <w:right w:val="single" w:color="auto" w:sz="4" w:space="0"/>
            </w:tcBorders>
            <w:shd w:val="clear"/>
            <w:vAlign w:val="center"/>
          </w:tcPr>
          <w:p w14:paraId="3AA2C868">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本项目码头采用顺岸式布置和高桩框架结构，码头前沿停泊水域按</w:t>
            </w:r>
            <w:r>
              <w:rPr>
                <w:rFonts w:hint="default" w:ascii="Times New Roman" w:hAnsi="Times New Roman" w:eastAsia="宋体" w:cs="Times New Roman"/>
                <w:color w:val="000000"/>
                <w:kern w:val="2"/>
                <w:sz w:val="21"/>
                <w:szCs w:val="21"/>
                <w:bdr w:val="none" w:color="auto" w:sz="0" w:space="0"/>
                <w:lang w:val="en-US" w:eastAsia="zh-CN" w:bidi="ar"/>
              </w:rPr>
              <w:t>2</w:t>
            </w:r>
            <w:r>
              <w:rPr>
                <w:rFonts w:hint="eastAsia" w:ascii="宋体" w:hAnsi="宋体" w:eastAsia="宋体" w:cs="宋体"/>
                <w:color w:val="000000"/>
                <w:kern w:val="2"/>
                <w:sz w:val="21"/>
                <w:szCs w:val="21"/>
                <w:bdr w:val="none" w:color="auto" w:sz="0" w:space="0"/>
                <w:lang w:val="en-US" w:eastAsia="zh-CN" w:bidi="ar"/>
              </w:rPr>
              <w:t>倍设计代表船型宽度计算，码头前方调头水域垂直于水流方向按</w:t>
            </w:r>
            <w:r>
              <w:rPr>
                <w:rFonts w:hint="default" w:ascii="Times New Roman" w:hAnsi="Times New Roman" w:eastAsia="宋体" w:cs="Times New Roman"/>
                <w:color w:val="000000"/>
                <w:kern w:val="2"/>
                <w:sz w:val="21"/>
                <w:szCs w:val="21"/>
                <w:bdr w:val="none" w:color="auto" w:sz="0" w:space="0"/>
                <w:lang w:val="en-US" w:eastAsia="zh-CN" w:bidi="ar"/>
              </w:rPr>
              <w:t>1.5</w:t>
            </w:r>
            <w:r>
              <w:rPr>
                <w:rFonts w:hint="eastAsia" w:ascii="宋体" w:hAnsi="宋体" w:eastAsia="宋体" w:cs="宋体"/>
                <w:color w:val="000000"/>
                <w:kern w:val="2"/>
                <w:sz w:val="21"/>
                <w:szCs w:val="21"/>
                <w:bdr w:val="none" w:color="auto" w:sz="0" w:space="0"/>
                <w:lang w:val="en-US" w:eastAsia="zh-CN" w:bidi="ar"/>
              </w:rPr>
              <w:t>倍设计船长确定。</w:t>
            </w:r>
          </w:p>
        </w:tc>
        <w:tc>
          <w:tcPr>
            <w:tcW w:w="858" w:type="dxa"/>
            <w:tcBorders>
              <w:top w:val="single" w:color="auto" w:sz="4" w:space="0"/>
              <w:left w:val="nil"/>
              <w:bottom w:val="single" w:color="auto" w:sz="4" w:space="0"/>
              <w:right w:val="nil"/>
            </w:tcBorders>
            <w:shd w:val="clear"/>
            <w:vAlign w:val="center"/>
          </w:tcPr>
          <w:p w14:paraId="4507716D">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符合</w:t>
            </w:r>
          </w:p>
        </w:tc>
      </w:tr>
      <w:tr w14:paraId="2CEA7C83">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tblCellMar>
            <w:top w:w="0" w:type="dxa"/>
            <w:left w:w="108" w:type="dxa"/>
            <w:bottom w:w="0" w:type="dxa"/>
            <w:right w:w="108" w:type="dxa"/>
          </w:tblCellMar>
        </w:tblPrEx>
        <w:trPr>
          <w:trHeight w:val="336" w:hRule="atLeast"/>
          <w:jc w:val="center"/>
        </w:trPr>
        <w:tc>
          <w:tcPr>
            <w:tcW w:w="5225" w:type="dxa"/>
            <w:tcBorders>
              <w:top w:val="single" w:color="auto" w:sz="4" w:space="0"/>
              <w:left w:val="nil"/>
              <w:bottom w:val="single" w:color="auto" w:sz="4" w:space="0"/>
              <w:right w:val="single" w:color="auto" w:sz="4" w:space="0"/>
            </w:tcBorders>
            <w:shd w:val="clear"/>
            <w:vAlign w:val="center"/>
          </w:tcPr>
          <w:p w14:paraId="3345E59D">
            <w:pPr>
              <w:pStyle w:val="48"/>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本次规划环评提出，位于水产种质资源保护区核心区内的既有岸线，严禁改扩建现有作业区，严格控制其发展规模，并结合生态保护红线、水产种质资源保护区管理暂行办法严格落实现有作业区内水污染防治措施。涉及实验区的岸线在开发时，应按照《水产种质资源保护区管理办法》有关要求，采取主动避让和降低对区域生态影响；按照国家有关规定编制建设项目对水产种质资源保护区的影响专题论证报告，并将其纳入环境影响评价报告书；同时充分征求农业农村主管部门意见，方可开展相应岸线的建设。码头项目施工应避开长吻鮠、瓦氏黄颡鱼等水生生物的特别保护期（每年</w:t>
            </w:r>
            <w:r>
              <w:rPr>
                <w:rFonts w:hint="default" w:ascii="Times New Roman" w:hAnsi="Times New Roman" w:eastAsia="宋体" w:cs="Times New Roman"/>
                <w:color w:val="000000"/>
                <w:kern w:val="2"/>
                <w:sz w:val="21"/>
                <w:szCs w:val="21"/>
                <w:bdr w:val="none" w:color="auto" w:sz="0" w:space="0"/>
                <w:lang w:val="en-US" w:eastAsia="zh-CN" w:bidi="ar"/>
              </w:rPr>
              <w:t>4</w:t>
            </w:r>
            <w:r>
              <w:rPr>
                <w:rFonts w:hint="eastAsia" w:ascii="宋体" w:hAnsi="宋体" w:eastAsia="宋体" w:cs="宋体"/>
                <w:color w:val="000000"/>
                <w:kern w:val="2"/>
                <w:sz w:val="21"/>
                <w:szCs w:val="21"/>
                <w:bdr w:val="none" w:color="auto" w:sz="0" w:space="0"/>
                <w:lang w:val="en-US" w:eastAsia="zh-CN" w:bidi="ar"/>
              </w:rPr>
              <w:t>月</w:t>
            </w:r>
            <w:r>
              <w:rPr>
                <w:rFonts w:hint="default" w:ascii="Times New Roman" w:hAnsi="Times New Roman" w:eastAsia="宋体" w:cs="Times New Roman"/>
                <w:color w:val="000000"/>
                <w:kern w:val="2"/>
                <w:sz w:val="21"/>
                <w:szCs w:val="21"/>
                <w:bdr w:val="none" w:color="auto" w:sz="0" w:space="0"/>
                <w:lang w:val="en-US" w:eastAsia="zh-CN" w:bidi="ar"/>
              </w:rPr>
              <w:t>1</w:t>
            </w:r>
            <w:r>
              <w:rPr>
                <w:rFonts w:hint="eastAsia" w:ascii="宋体" w:hAnsi="宋体" w:eastAsia="宋体" w:cs="宋体"/>
                <w:color w:val="000000"/>
                <w:kern w:val="2"/>
                <w:sz w:val="21"/>
                <w:szCs w:val="21"/>
                <w:bdr w:val="none" w:color="auto" w:sz="0" w:space="0"/>
                <w:lang w:val="en-US" w:eastAsia="zh-CN" w:bidi="ar"/>
              </w:rPr>
              <w:t>日</w:t>
            </w:r>
            <w:r>
              <w:rPr>
                <w:rFonts w:hint="default" w:ascii="Times New Roman" w:hAnsi="Times New Roman" w:eastAsia="宋体" w:cs="Times New Roman"/>
                <w:color w:val="000000"/>
                <w:kern w:val="2"/>
                <w:sz w:val="21"/>
                <w:szCs w:val="21"/>
                <w:bdr w:val="none" w:color="auto" w:sz="0" w:space="0"/>
                <w:lang w:val="en-US" w:eastAsia="zh-CN" w:bidi="ar"/>
              </w:rPr>
              <w:t>-6</w:t>
            </w:r>
            <w:r>
              <w:rPr>
                <w:rFonts w:hint="eastAsia" w:ascii="宋体" w:hAnsi="宋体" w:eastAsia="宋体" w:cs="宋体"/>
                <w:color w:val="000000"/>
                <w:kern w:val="2"/>
                <w:sz w:val="21"/>
                <w:szCs w:val="21"/>
                <w:bdr w:val="none" w:color="auto" w:sz="0" w:space="0"/>
                <w:lang w:val="en-US" w:eastAsia="zh-CN" w:bidi="ar"/>
              </w:rPr>
              <w:t>月</w:t>
            </w:r>
            <w:r>
              <w:rPr>
                <w:rFonts w:hint="default" w:ascii="Times New Roman" w:hAnsi="Times New Roman" w:eastAsia="宋体" w:cs="Times New Roman"/>
                <w:color w:val="000000"/>
                <w:kern w:val="2"/>
                <w:sz w:val="21"/>
                <w:szCs w:val="21"/>
                <w:bdr w:val="none" w:color="auto" w:sz="0" w:space="0"/>
                <w:lang w:val="en-US" w:eastAsia="zh-CN" w:bidi="ar"/>
              </w:rPr>
              <w:t>30</w:t>
            </w:r>
            <w:r>
              <w:rPr>
                <w:rFonts w:hint="eastAsia" w:ascii="宋体" w:hAnsi="宋体" w:eastAsia="宋体" w:cs="宋体"/>
                <w:color w:val="000000"/>
                <w:kern w:val="2"/>
                <w:sz w:val="21"/>
                <w:szCs w:val="21"/>
                <w:bdr w:val="none" w:color="auto" w:sz="0" w:space="0"/>
                <w:lang w:val="en-US" w:eastAsia="zh-CN" w:bidi="ar"/>
              </w:rPr>
              <w:t>日）进行，且建设和运营期间不得向保护区排放污水和固体废物。</w:t>
            </w:r>
          </w:p>
        </w:tc>
        <w:tc>
          <w:tcPr>
            <w:tcW w:w="3199" w:type="dxa"/>
            <w:tcBorders>
              <w:top w:val="single" w:color="auto" w:sz="4" w:space="0"/>
              <w:left w:val="nil"/>
              <w:bottom w:val="single" w:color="auto" w:sz="4" w:space="0"/>
              <w:right w:val="single" w:color="auto" w:sz="4" w:space="0"/>
            </w:tcBorders>
            <w:shd w:val="clear"/>
            <w:vAlign w:val="center"/>
          </w:tcPr>
          <w:p w14:paraId="014F8A38">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本项目涉及淮河淮南段长吻鮠国家级水产种质资源保护区实验区，不属于水产种质资源保护区核心区；本项目为新建项目，建设单位已按照国家有关规定委托编制《淮南市兴华园贸易发展有限公司兴华园码头工程对淮河淮南段长吻鮠国家级水产种质资源保护区影响专题论证报告》，并已纳入环境影响评价书中，并以征求农业农村主管部门意见，并获得相应批复。码头施工避开长吻鮠、瓦氏黄颡鱼等水生生物的特别保护期（每年</w:t>
            </w:r>
            <w:r>
              <w:rPr>
                <w:rFonts w:hint="default" w:ascii="Times New Roman" w:hAnsi="Times New Roman" w:eastAsia="宋体" w:cs="Times New Roman"/>
                <w:color w:val="000000"/>
                <w:kern w:val="2"/>
                <w:sz w:val="21"/>
                <w:szCs w:val="21"/>
                <w:bdr w:val="none" w:color="auto" w:sz="0" w:space="0"/>
                <w:lang w:val="en-US" w:eastAsia="zh-CN" w:bidi="ar"/>
              </w:rPr>
              <w:t>4</w:t>
            </w:r>
            <w:r>
              <w:rPr>
                <w:rFonts w:hint="eastAsia" w:ascii="宋体" w:hAnsi="宋体" w:eastAsia="宋体" w:cs="宋体"/>
                <w:color w:val="000000"/>
                <w:kern w:val="2"/>
                <w:sz w:val="21"/>
                <w:szCs w:val="21"/>
                <w:bdr w:val="none" w:color="auto" w:sz="0" w:space="0"/>
                <w:lang w:val="en-US" w:eastAsia="zh-CN" w:bidi="ar"/>
              </w:rPr>
              <w:t>月</w:t>
            </w:r>
            <w:r>
              <w:rPr>
                <w:rFonts w:hint="default" w:ascii="Times New Roman" w:hAnsi="Times New Roman" w:eastAsia="宋体" w:cs="Times New Roman"/>
                <w:color w:val="000000"/>
                <w:kern w:val="2"/>
                <w:sz w:val="21"/>
                <w:szCs w:val="21"/>
                <w:bdr w:val="none" w:color="auto" w:sz="0" w:space="0"/>
                <w:lang w:val="en-US" w:eastAsia="zh-CN" w:bidi="ar"/>
              </w:rPr>
              <w:t>1</w:t>
            </w:r>
            <w:r>
              <w:rPr>
                <w:rFonts w:hint="eastAsia" w:ascii="宋体" w:hAnsi="宋体" w:eastAsia="宋体" w:cs="宋体"/>
                <w:color w:val="000000"/>
                <w:kern w:val="2"/>
                <w:sz w:val="21"/>
                <w:szCs w:val="21"/>
                <w:bdr w:val="none" w:color="auto" w:sz="0" w:space="0"/>
                <w:lang w:val="en-US" w:eastAsia="zh-CN" w:bidi="ar"/>
              </w:rPr>
              <w:t>日</w:t>
            </w:r>
            <w:r>
              <w:rPr>
                <w:rFonts w:hint="default" w:ascii="Times New Roman" w:hAnsi="Times New Roman" w:eastAsia="宋体" w:cs="Times New Roman"/>
                <w:color w:val="000000"/>
                <w:kern w:val="2"/>
                <w:sz w:val="21"/>
                <w:szCs w:val="21"/>
                <w:bdr w:val="none" w:color="auto" w:sz="0" w:space="0"/>
                <w:lang w:val="en-US" w:eastAsia="zh-CN" w:bidi="ar"/>
              </w:rPr>
              <w:t>-6</w:t>
            </w:r>
            <w:r>
              <w:rPr>
                <w:rFonts w:hint="eastAsia" w:ascii="宋体" w:hAnsi="宋体" w:eastAsia="宋体" w:cs="宋体"/>
                <w:color w:val="000000"/>
                <w:kern w:val="2"/>
                <w:sz w:val="21"/>
                <w:szCs w:val="21"/>
                <w:bdr w:val="none" w:color="auto" w:sz="0" w:space="0"/>
                <w:lang w:val="en-US" w:eastAsia="zh-CN" w:bidi="ar"/>
              </w:rPr>
              <w:t>月</w:t>
            </w:r>
            <w:r>
              <w:rPr>
                <w:rFonts w:hint="default" w:ascii="Times New Roman" w:hAnsi="Times New Roman" w:eastAsia="宋体" w:cs="Times New Roman"/>
                <w:color w:val="000000"/>
                <w:kern w:val="2"/>
                <w:sz w:val="21"/>
                <w:szCs w:val="21"/>
                <w:bdr w:val="none" w:color="auto" w:sz="0" w:space="0"/>
                <w:lang w:val="en-US" w:eastAsia="zh-CN" w:bidi="ar"/>
              </w:rPr>
              <w:t>30</w:t>
            </w:r>
            <w:r>
              <w:rPr>
                <w:rFonts w:hint="eastAsia" w:ascii="宋体" w:hAnsi="宋体" w:eastAsia="宋体" w:cs="宋体"/>
                <w:color w:val="000000"/>
                <w:kern w:val="2"/>
                <w:sz w:val="21"/>
                <w:szCs w:val="21"/>
                <w:bdr w:val="none" w:color="auto" w:sz="0" w:space="0"/>
                <w:lang w:val="en-US" w:eastAsia="zh-CN" w:bidi="ar"/>
              </w:rPr>
              <w:t>日）进行，且建设和运营期间不向保护区排放污水和固体废物。</w:t>
            </w:r>
          </w:p>
          <w:p w14:paraId="149D0FAD">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项目环评提出了水环境保护、噪声控制、固体废弃物处理，及渔业资源增殖放流、水生生物资源状况评估、保护宣传、渔政监管及协助巡护等措施，并要求建设单位严格落实</w:t>
            </w:r>
          </w:p>
        </w:tc>
        <w:tc>
          <w:tcPr>
            <w:tcW w:w="858" w:type="dxa"/>
            <w:tcBorders>
              <w:top w:val="single" w:color="auto" w:sz="4" w:space="0"/>
              <w:left w:val="nil"/>
              <w:bottom w:val="single" w:color="auto" w:sz="4" w:space="0"/>
              <w:right w:val="nil"/>
            </w:tcBorders>
            <w:shd w:val="clear"/>
            <w:vAlign w:val="center"/>
          </w:tcPr>
          <w:p w14:paraId="42897CE9">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符合</w:t>
            </w:r>
          </w:p>
        </w:tc>
      </w:tr>
      <w:tr w14:paraId="27CA9153">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tblCellMar>
            <w:top w:w="0" w:type="dxa"/>
            <w:left w:w="108" w:type="dxa"/>
            <w:bottom w:w="0" w:type="dxa"/>
            <w:right w:w="108" w:type="dxa"/>
          </w:tblCellMar>
        </w:tblPrEx>
        <w:trPr>
          <w:trHeight w:val="336" w:hRule="atLeast"/>
          <w:jc w:val="center"/>
        </w:trPr>
        <w:tc>
          <w:tcPr>
            <w:tcW w:w="5225" w:type="dxa"/>
            <w:tcBorders>
              <w:top w:val="single" w:color="auto" w:sz="4" w:space="0"/>
              <w:left w:val="nil"/>
              <w:bottom w:val="single" w:color="auto" w:sz="4" w:space="0"/>
              <w:right w:val="single" w:color="auto" w:sz="4" w:space="0"/>
            </w:tcBorders>
            <w:shd w:val="clear"/>
            <w:vAlign w:val="center"/>
          </w:tcPr>
          <w:p w14:paraId="3E8804BB">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default" w:ascii="Times New Roman" w:hAnsi="Times New Roman" w:eastAsia="宋体" w:cs="Times New Roman"/>
                <w:color w:val="000000"/>
                <w:kern w:val="2"/>
                <w:sz w:val="21"/>
                <w:szCs w:val="21"/>
                <w:bdr w:val="none" w:color="auto" w:sz="0" w:space="0"/>
                <w:lang w:val="en-US" w:eastAsia="zh-CN" w:bidi="ar"/>
              </w:rPr>
              <w:t>1</w:t>
            </w:r>
            <w:r>
              <w:rPr>
                <w:rFonts w:hint="eastAsia" w:ascii="宋体" w:hAnsi="宋体" w:eastAsia="宋体" w:cs="宋体"/>
                <w:color w:val="000000"/>
                <w:kern w:val="2"/>
                <w:sz w:val="21"/>
                <w:szCs w:val="21"/>
                <w:bdr w:val="none" w:color="auto" w:sz="0" w:space="0"/>
                <w:lang w:val="en-US" w:eastAsia="zh-CN" w:bidi="ar"/>
              </w:rPr>
              <w:t>、施工期</w:t>
            </w:r>
          </w:p>
          <w:p w14:paraId="34EA16D9">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陆域形成时，及时清扫道路上的散落物，在回填区和进场道路进行必要的洒水，回填场区结合物采取覆盖措施，防止沙尘污染大气。施工期需满足《施工场地颗粒物排放标准》（</w:t>
            </w:r>
            <w:r>
              <w:rPr>
                <w:rFonts w:hint="default" w:ascii="Times New Roman" w:hAnsi="Times New Roman" w:eastAsia="宋体" w:cs="Times New Roman"/>
                <w:color w:val="000000"/>
                <w:kern w:val="2"/>
                <w:sz w:val="21"/>
                <w:szCs w:val="21"/>
                <w:bdr w:val="none" w:color="auto" w:sz="0" w:space="0"/>
                <w:lang w:val="en-US" w:eastAsia="zh-CN" w:bidi="ar"/>
              </w:rPr>
              <w:t>DB34/4811-2024</w:t>
            </w:r>
            <w:r>
              <w:rPr>
                <w:rFonts w:hint="eastAsia" w:ascii="宋体" w:hAnsi="宋体" w:eastAsia="宋体" w:cs="宋体"/>
                <w:color w:val="000000"/>
                <w:kern w:val="2"/>
                <w:sz w:val="21"/>
                <w:szCs w:val="21"/>
                <w:bdr w:val="none" w:color="auto" w:sz="0" w:space="0"/>
                <w:lang w:val="en-US" w:eastAsia="zh-CN" w:bidi="ar"/>
              </w:rPr>
              <w:t>）中排放要求。</w:t>
            </w:r>
          </w:p>
          <w:p w14:paraId="40F0C502">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default" w:ascii="Times New Roman" w:hAnsi="Times New Roman" w:eastAsia="宋体" w:cs="Times New Roman"/>
                <w:color w:val="000000"/>
                <w:kern w:val="2"/>
                <w:sz w:val="21"/>
                <w:szCs w:val="21"/>
                <w:bdr w:val="none" w:color="auto" w:sz="0" w:space="0"/>
                <w:lang w:val="en-US" w:eastAsia="zh-CN" w:bidi="ar"/>
              </w:rPr>
              <w:t>2</w:t>
            </w:r>
            <w:r>
              <w:rPr>
                <w:rFonts w:hint="eastAsia" w:ascii="宋体" w:hAnsi="宋体" w:eastAsia="宋体" w:cs="宋体"/>
                <w:color w:val="000000"/>
                <w:kern w:val="2"/>
                <w:sz w:val="21"/>
                <w:szCs w:val="21"/>
                <w:bdr w:val="none" w:color="auto" w:sz="0" w:space="0"/>
                <w:lang w:val="en-US" w:eastAsia="zh-CN" w:bidi="ar"/>
              </w:rPr>
              <w:t>、营运期</w:t>
            </w:r>
          </w:p>
          <w:p w14:paraId="2133E61F">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w:t>
            </w:r>
            <w:r>
              <w:rPr>
                <w:rFonts w:hint="default" w:ascii="Times New Roman" w:hAnsi="Times New Roman" w:eastAsia="宋体" w:cs="Times New Roman"/>
                <w:color w:val="000000"/>
                <w:kern w:val="2"/>
                <w:sz w:val="21"/>
                <w:szCs w:val="21"/>
                <w:bdr w:val="none" w:color="auto" w:sz="0" w:space="0"/>
                <w:lang w:val="en-US" w:eastAsia="zh-CN" w:bidi="ar"/>
              </w:rPr>
              <w:t>1</w:t>
            </w:r>
            <w:r>
              <w:rPr>
                <w:rFonts w:hint="eastAsia" w:ascii="宋体" w:hAnsi="宋体" w:eastAsia="宋体" w:cs="宋体"/>
                <w:color w:val="000000"/>
                <w:kern w:val="2"/>
                <w:sz w:val="21"/>
                <w:szCs w:val="21"/>
                <w:bdr w:val="none" w:color="auto" w:sz="0" w:space="0"/>
                <w:lang w:val="en-US" w:eastAsia="zh-CN" w:bidi="ar"/>
              </w:rPr>
              <w:t>）粉尘防治</w:t>
            </w:r>
          </w:p>
          <w:p w14:paraId="52E90EA0">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矿建、矿石、粮食粉尘污染的主要措施是减少粉尘发生量和控制粉尘的污染扩散。采用先进的工艺流程和装卸设备，合理布置堆场，减少粉尘发生量。规划采用以湿式防尘为主、干式除尘为辅的方法，控制粉尘扩散。皮带机转接点、卸船接收漏斗均喷水，减少起尘。堆场四周设洒水喷头，保持散货不起尘的含水率，达到清洁生产目的。在堆场与办公区之间设置挡风墙、防风网或防护林等，必要时可向堆场喷洒抑尘覆盖剂，防止堆场二次扬尘，最终达到防尘的目的。</w:t>
            </w:r>
          </w:p>
          <w:p w14:paraId="1092EEDF">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w:t>
            </w:r>
            <w:r>
              <w:rPr>
                <w:rFonts w:hint="default" w:ascii="Times New Roman" w:hAnsi="Times New Roman" w:eastAsia="宋体" w:cs="Times New Roman"/>
                <w:color w:val="000000"/>
                <w:kern w:val="2"/>
                <w:sz w:val="21"/>
                <w:szCs w:val="21"/>
                <w:bdr w:val="none" w:color="auto" w:sz="0" w:space="0"/>
                <w:lang w:val="en-US" w:eastAsia="zh-CN" w:bidi="ar"/>
              </w:rPr>
              <w:t>2</w:t>
            </w:r>
            <w:r>
              <w:rPr>
                <w:rFonts w:hint="eastAsia" w:ascii="宋体" w:hAnsi="宋体" w:eastAsia="宋体" w:cs="宋体"/>
                <w:color w:val="000000"/>
                <w:kern w:val="2"/>
                <w:sz w:val="21"/>
                <w:szCs w:val="21"/>
                <w:bdr w:val="none" w:color="auto" w:sz="0" w:space="0"/>
                <w:lang w:val="en-US" w:eastAsia="zh-CN" w:bidi="ar"/>
              </w:rPr>
              <w:t>）有害气体污染防治措施</w:t>
            </w:r>
          </w:p>
          <w:p w14:paraId="5E491B75">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液化气、油气化工码头采用专管专用的输油臂或不锈钢金属软管和呼吸阀，以消除输送过程中的跑、冒、滴、漏，减少和控制油雾气和有害气体的挥发逸散。码头辅助区设卫生防护区和防护林带，以吸附有毒气体。</w:t>
            </w:r>
          </w:p>
          <w:p w14:paraId="1CE2DDA6">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w:t>
            </w:r>
            <w:r>
              <w:rPr>
                <w:rFonts w:hint="default" w:ascii="Times New Roman" w:hAnsi="Times New Roman" w:eastAsia="宋体" w:cs="Times New Roman"/>
                <w:color w:val="000000"/>
                <w:kern w:val="2"/>
                <w:sz w:val="21"/>
                <w:szCs w:val="21"/>
                <w:bdr w:val="none" w:color="auto" w:sz="0" w:space="0"/>
                <w:lang w:val="en-US" w:eastAsia="zh-CN" w:bidi="ar"/>
              </w:rPr>
              <w:t>3</w:t>
            </w:r>
            <w:r>
              <w:rPr>
                <w:rFonts w:hint="eastAsia" w:ascii="宋体" w:hAnsi="宋体" w:eastAsia="宋体" w:cs="宋体"/>
                <w:color w:val="000000"/>
                <w:kern w:val="2"/>
                <w:sz w:val="21"/>
                <w:szCs w:val="21"/>
                <w:bdr w:val="none" w:color="auto" w:sz="0" w:space="0"/>
                <w:lang w:val="en-US" w:eastAsia="zh-CN" w:bidi="ar"/>
              </w:rPr>
              <w:t>）二次扬尘污染防治</w:t>
            </w:r>
          </w:p>
          <w:p w14:paraId="1D691892">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规划配置洒水车和清扫车，港区道路适时采取洒水和清扫措施，减少道路二次扬尘。</w:t>
            </w:r>
          </w:p>
        </w:tc>
        <w:tc>
          <w:tcPr>
            <w:tcW w:w="3199" w:type="dxa"/>
            <w:tcBorders>
              <w:top w:val="single" w:color="auto" w:sz="4" w:space="0"/>
              <w:left w:val="nil"/>
              <w:bottom w:val="single" w:color="auto" w:sz="4" w:space="0"/>
              <w:right w:val="single" w:color="auto" w:sz="4" w:space="0"/>
            </w:tcBorders>
            <w:shd w:val="clear"/>
            <w:vAlign w:val="center"/>
          </w:tcPr>
          <w:p w14:paraId="4AA32EAE">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本项目施工期要求建设单位及时清扫道路上的散落物，在回填区和进场道路进行必要的洒水，回填场区结合物采取覆盖措施，防止沙尘污染大气。施工期需满足《施工场地颗粒物排放标准》（</w:t>
            </w:r>
            <w:r>
              <w:rPr>
                <w:rFonts w:hint="default" w:ascii="Times New Roman" w:hAnsi="Times New Roman" w:eastAsia="宋体" w:cs="Times New Roman"/>
                <w:color w:val="000000"/>
                <w:kern w:val="2"/>
                <w:sz w:val="21"/>
                <w:szCs w:val="21"/>
                <w:bdr w:val="none" w:color="auto" w:sz="0" w:space="0"/>
                <w:lang w:val="en-US" w:eastAsia="zh-CN" w:bidi="ar"/>
              </w:rPr>
              <w:t>DB34/4811-2024</w:t>
            </w:r>
            <w:r>
              <w:rPr>
                <w:rFonts w:hint="eastAsia" w:ascii="宋体" w:hAnsi="宋体" w:eastAsia="宋体" w:cs="宋体"/>
                <w:color w:val="000000"/>
                <w:kern w:val="2"/>
                <w:sz w:val="21"/>
                <w:szCs w:val="21"/>
                <w:bdr w:val="none" w:color="auto" w:sz="0" w:space="0"/>
                <w:lang w:val="en-US" w:eastAsia="zh-CN" w:bidi="ar"/>
              </w:rPr>
              <w:t>）中排放要求。</w:t>
            </w:r>
          </w:p>
          <w:p w14:paraId="7EC71F1B">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项目采用先进的工艺流程和装卸设备，本项目不设置堆场，减少粉尘发生量。皮带机转接点、卸船接收漏斗均喷水，减少起尘。厂区内配备洒水车和清扫车，对道路适时采取洒水和清扫措施，减少道路二次扬尘。</w:t>
            </w:r>
          </w:p>
        </w:tc>
        <w:tc>
          <w:tcPr>
            <w:tcW w:w="858" w:type="dxa"/>
            <w:tcBorders>
              <w:top w:val="single" w:color="auto" w:sz="4" w:space="0"/>
              <w:left w:val="nil"/>
              <w:bottom w:val="single" w:color="auto" w:sz="4" w:space="0"/>
              <w:right w:val="nil"/>
            </w:tcBorders>
            <w:shd w:val="clear"/>
            <w:vAlign w:val="center"/>
          </w:tcPr>
          <w:p w14:paraId="323A2F8B">
            <w:pPr>
              <w:pStyle w:val="48"/>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符合</w:t>
            </w:r>
          </w:p>
        </w:tc>
      </w:tr>
      <w:tr w14:paraId="345A4C26">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tblCellMar>
            <w:top w:w="0" w:type="dxa"/>
            <w:left w:w="108" w:type="dxa"/>
            <w:bottom w:w="0" w:type="dxa"/>
            <w:right w:w="108" w:type="dxa"/>
          </w:tblCellMar>
        </w:tblPrEx>
        <w:trPr>
          <w:trHeight w:val="336" w:hRule="atLeast"/>
          <w:jc w:val="center"/>
        </w:trPr>
        <w:tc>
          <w:tcPr>
            <w:tcW w:w="5225" w:type="dxa"/>
            <w:tcBorders>
              <w:top w:val="single" w:color="auto" w:sz="4" w:space="0"/>
              <w:left w:val="nil"/>
              <w:bottom w:val="single" w:color="auto" w:sz="4" w:space="0"/>
              <w:right w:val="single" w:color="auto" w:sz="4" w:space="0"/>
            </w:tcBorders>
            <w:shd w:val="clear"/>
            <w:vAlign w:val="center"/>
          </w:tcPr>
          <w:p w14:paraId="393E5C95">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default" w:ascii="Times New Roman" w:hAnsi="Times New Roman" w:eastAsia="宋体" w:cs="Times New Roman"/>
                <w:color w:val="000000"/>
                <w:kern w:val="2"/>
                <w:sz w:val="21"/>
                <w:szCs w:val="21"/>
                <w:bdr w:val="none" w:color="auto" w:sz="0" w:space="0"/>
                <w:lang w:val="en-US" w:eastAsia="zh-CN" w:bidi="ar"/>
              </w:rPr>
              <w:t>1</w:t>
            </w:r>
            <w:r>
              <w:rPr>
                <w:rFonts w:hint="eastAsia" w:ascii="宋体" w:hAnsi="宋体" w:eastAsia="宋体" w:cs="宋体"/>
                <w:color w:val="000000"/>
                <w:kern w:val="2"/>
                <w:sz w:val="21"/>
                <w:szCs w:val="21"/>
                <w:bdr w:val="none" w:color="auto" w:sz="0" w:space="0"/>
                <w:lang w:val="en-US" w:eastAsia="zh-CN" w:bidi="ar"/>
              </w:rPr>
              <w:t>、施工期</w:t>
            </w:r>
          </w:p>
          <w:p w14:paraId="03957E86">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港区陆域形成吹填时，禁止直接向水中排放悬浮物，增加土工布过滤，合理布置围堰工程溢流口。码头前沿疏深应避开鱼类繁殖洄游时段，防治水土流失和减少生态破坏。施工人员严禁在水边堆放固体废物，施工船舶严禁向水中随意排放船舶机舱水，污水需经过油水分离器处理达到船舶污染物排放标准后排放。</w:t>
            </w:r>
          </w:p>
          <w:p w14:paraId="1AD8E847">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default" w:ascii="Times New Roman" w:hAnsi="Times New Roman" w:eastAsia="宋体" w:cs="Times New Roman"/>
                <w:color w:val="000000"/>
                <w:kern w:val="2"/>
                <w:sz w:val="21"/>
                <w:szCs w:val="21"/>
                <w:bdr w:val="none" w:color="auto" w:sz="0" w:space="0"/>
                <w:lang w:val="en-US" w:eastAsia="zh-CN" w:bidi="ar"/>
              </w:rPr>
              <w:t>2</w:t>
            </w:r>
            <w:r>
              <w:rPr>
                <w:rFonts w:hint="eastAsia" w:ascii="宋体" w:hAnsi="宋体" w:eastAsia="宋体" w:cs="宋体"/>
                <w:color w:val="000000"/>
                <w:kern w:val="2"/>
                <w:sz w:val="21"/>
                <w:szCs w:val="21"/>
                <w:bdr w:val="none" w:color="auto" w:sz="0" w:space="0"/>
                <w:lang w:val="en-US" w:eastAsia="zh-CN" w:bidi="ar"/>
              </w:rPr>
              <w:t>、营运期</w:t>
            </w:r>
          </w:p>
          <w:p w14:paraId="12ABB8D3">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w:t>
            </w:r>
            <w:r>
              <w:rPr>
                <w:rFonts w:hint="default" w:ascii="Times New Roman" w:hAnsi="Times New Roman" w:eastAsia="宋体" w:cs="Times New Roman"/>
                <w:color w:val="000000"/>
                <w:kern w:val="2"/>
                <w:sz w:val="21"/>
                <w:szCs w:val="21"/>
                <w:bdr w:val="none" w:color="auto" w:sz="0" w:space="0"/>
                <w:lang w:val="en-US" w:eastAsia="zh-CN" w:bidi="ar"/>
              </w:rPr>
              <w:t>1</w:t>
            </w:r>
            <w:r>
              <w:rPr>
                <w:rFonts w:hint="eastAsia" w:ascii="宋体" w:hAnsi="宋体" w:eastAsia="宋体" w:cs="宋体"/>
                <w:color w:val="000000"/>
                <w:kern w:val="2"/>
                <w:sz w:val="21"/>
                <w:szCs w:val="21"/>
                <w:bdr w:val="none" w:color="auto" w:sz="0" w:space="0"/>
                <w:lang w:val="en-US" w:eastAsia="zh-CN" w:bidi="ar"/>
              </w:rPr>
              <w:t>）港区陆域生活污水处理</w:t>
            </w:r>
          </w:p>
          <w:p w14:paraId="3662F5D9">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港口辅助区排水采用雨污水分流排水体制。规划作业区建设时应考虑生活污水进入城市污水处理系统的可能性。规划中结合城市总体规划，港口陆域生活污水经过化粪池处理后，排入城市污水管道，经过城市污水处理厂处理后的水排至其它水体，对水体不产生污染影响。远离城镇的作业区规划建设小型生活污水处理场，污水处理达标后回用。</w:t>
            </w:r>
          </w:p>
          <w:p w14:paraId="623957F6">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w:t>
            </w:r>
            <w:r>
              <w:rPr>
                <w:rFonts w:hint="default" w:ascii="Times New Roman" w:hAnsi="Times New Roman" w:eastAsia="宋体" w:cs="Times New Roman"/>
                <w:color w:val="000000"/>
                <w:kern w:val="2"/>
                <w:sz w:val="21"/>
                <w:szCs w:val="21"/>
                <w:bdr w:val="none" w:color="auto" w:sz="0" w:space="0"/>
                <w:lang w:val="en-US" w:eastAsia="zh-CN" w:bidi="ar"/>
              </w:rPr>
              <w:t>2</w:t>
            </w:r>
            <w:r>
              <w:rPr>
                <w:rFonts w:hint="eastAsia" w:ascii="宋体" w:hAnsi="宋体" w:eastAsia="宋体" w:cs="宋体"/>
                <w:color w:val="000000"/>
                <w:kern w:val="2"/>
                <w:sz w:val="21"/>
                <w:szCs w:val="21"/>
                <w:bdr w:val="none" w:color="auto" w:sz="0" w:space="0"/>
                <w:lang w:val="en-US" w:eastAsia="zh-CN" w:bidi="ar"/>
              </w:rPr>
              <w:t>）散货污水处理</w:t>
            </w:r>
          </w:p>
          <w:p w14:paraId="44187F96">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作业区的矿建、矿石堆场四周设雨污水收集沟。污水流至设在作业区的处理系统沉淀处理，处理达标后排放。汽车冲洗水亦排入处理系统处理。</w:t>
            </w:r>
          </w:p>
          <w:p w14:paraId="0DC093AE">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w:t>
            </w:r>
            <w:r>
              <w:rPr>
                <w:rFonts w:hint="default" w:ascii="Times New Roman" w:hAnsi="Times New Roman" w:eastAsia="宋体" w:cs="Times New Roman"/>
                <w:color w:val="000000"/>
                <w:kern w:val="2"/>
                <w:sz w:val="21"/>
                <w:szCs w:val="21"/>
                <w:bdr w:val="none" w:color="auto" w:sz="0" w:space="0"/>
                <w:lang w:val="en-US" w:eastAsia="zh-CN" w:bidi="ar"/>
              </w:rPr>
              <w:t>3</w:t>
            </w:r>
            <w:r>
              <w:rPr>
                <w:rFonts w:hint="eastAsia" w:ascii="宋体" w:hAnsi="宋体" w:eastAsia="宋体" w:cs="宋体"/>
                <w:color w:val="000000"/>
                <w:kern w:val="2"/>
                <w:sz w:val="21"/>
                <w:szCs w:val="21"/>
                <w:bdr w:val="none" w:color="auto" w:sz="0" w:space="0"/>
                <w:lang w:val="en-US" w:eastAsia="zh-CN" w:bidi="ar"/>
              </w:rPr>
              <w:t>）陆域含油污水处理</w:t>
            </w:r>
          </w:p>
          <w:p w14:paraId="63C52664">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陆域含油污水通过设在加油站、机修间的隔油池、油水分离器处理，达标排放。</w:t>
            </w:r>
          </w:p>
          <w:p w14:paraId="5A8F6E08">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w:t>
            </w:r>
            <w:r>
              <w:rPr>
                <w:rFonts w:hint="default" w:ascii="Times New Roman" w:hAnsi="Times New Roman" w:eastAsia="宋体" w:cs="Times New Roman"/>
                <w:color w:val="000000"/>
                <w:kern w:val="2"/>
                <w:sz w:val="21"/>
                <w:szCs w:val="21"/>
                <w:bdr w:val="none" w:color="auto" w:sz="0" w:space="0"/>
                <w:lang w:val="en-US" w:eastAsia="zh-CN" w:bidi="ar"/>
              </w:rPr>
              <w:t>4</w:t>
            </w:r>
            <w:r>
              <w:rPr>
                <w:rFonts w:hint="eastAsia" w:ascii="宋体" w:hAnsi="宋体" w:eastAsia="宋体" w:cs="宋体"/>
                <w:color w:val="000000"/>
                <w:kern w:val="2"/>
                <w:sz w:val="21"/>
                <w:szCs w:val="21"/>
                <w:bdr w:val="none" w:color="auto" w:sz="0" w:space="0"/>
                <w:lang w:val="en-US" w:eastAsia="zh-CN" w:bidi="ar"/>
              </w:rPr>
              <w:t>）船舶含油机舱水和污染物接收处理</w:t>
            </w:r>
          </w:p>
          <w:p w14:paraId="66560724">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作业区停靠码头的船舶机舱含油水应严格执行有关规定，由船舶配备的油水分离器处理，石油类浓度低于</w:t>
            </w:r>
            <w:r>
              <w:rPr>
                <w:rFonts w:hint="default" w:ascii="Times New Roman" w:hAnsi="Times New Roman" w:eastAsia="宋体" w:cs="Times New Roman"/>
                <w:color w:val="000000"/>
                <w:kern w:val="2"/>
                <w:sz w:val="21"/>
                <w:szCs w:val="21"/>
                <w:bdr w:val="none" w:color="auto" w:sz="0" w:space="0"/>
                <w:lang w:val="en-US" w:eastAsia="zh-CN" w:bidi="ar"/>
              </w:rPr>
              <w:t>15mg/L</w:t>
            </w:r>
            <w:r>
              <w:rPr>
                <w:rFonts w:hint="eastAsia" w:ascii="宋体" w:hAnsi="宋体" w:eastAsia="宋体" w:cs="宋体"/>
                <w:color w:val="000000"/>
                <w:kern w:val="2"/>
                <w:sz w:val="21"/>
                <w:szCs w:val="21"/>
                <w:bdr w:val="none" w:color="auto" w:sz="0" w:space="0"/>
                <w:lang w:val="en-US" w:eastAsia="zh-CN" w:bidi="ar"/>
              </w:rPr>
              <w:t>后按海事部门的有关规定排放。</w:t>
            </w:r>
          </w:p>
          <w:p w14:paraId="4CD1DB5C">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在作业区规划配置综合接收处理船，船舶油污水、垃圾等均统一达到相应的接收和处理能力。没有处理装置的船舶其含油污水由港口配备相应的装置接收处理。</w:t>
            </w:r>
          </w:p>
          <w:p w14:paraId="17CE5BEA">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港口的船舶污染物接收设施应达到规定的要求。</w:t>
            </w:r>
          </w:p>
          <w:p w14:paraId="0FAC491A">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w:t>
            </w:r>
            <w:r>
              <w:rPr>
                <w:rFonts w:hint="default" w:ascii="Times New Roman" w:hAnsi="Times New Roman" w:eastAsia="宋体" w:cs="Times New Roman"/>
                <w:color w:val="000000"/>
                <w:kern w:val="2"/>
                <w:sz w:val="21"/>
                <w:szCs w:val="21"/>
                <w:bdr w:val="none" w:color="auto" w:sz="0" w:space="0"/>
                <w:lang w:val="en-US" w:eastAsia="zh-CN" w:bidi="ar"/>
              </w:rPr>
              <w:t>5</w:t>
            </w:r>
            <w:r>
              <w:rPr>
                <w:rFonts w:hint="eastAsia" w:ascii="宋体" w:hAnsi="宋体" w:eastAsia="宋体" w:cs="宋体"/>
                <w:color w:val="000000"/>
                <w:kern w:val="2"/>
                <w:sz w:val="21"/>
                <w:szCs w:val="21"/>
                <w:bdr w:val="none" w:color="auto" w:sz="0" w:space="0"/>
                <w:lang w:val="en-US" w:eastAsia="zh-CN" w:bidi="ar"/>
              </w:rPr>
              <w:t>）危险品事故溢出的防范措施</w:t>
            </w:r>
          </w:p>
          <w:p w14:paraId="596FB86F">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建立事故应急反应中心，设立以海事、港务、环境保护等部门组成的区域事故应急领导中心和应急领导小组，制定区域和港口应急计划，配备围油栏等应急设施，及时处理本河段化工、油品和其它有毒、有害物质溢出事故和其它事故，防止引起水体的污染和其它危害，使港区事故性危险品泄漏得到及时处理。</w:t>
            </w:r>
          </w:p>
        </w:tc>
        <w:tc>
          <w:tcPr>
            <w:tcW w:w="3199" w:type="dxa"/>
            <w:tcBorders>
              <w:top w:val="single" w:color="auto" w:sz="4" w:space="0"/>
              <w:left w:val="nil"/>
              <w:bottom w:val="single" w:color="auto" w:sz="4" w:space="0"/>
              <w:right w:val="single" w:color="auto" w:sz="4" w:space="0"/>
            </w:tcBorders>
            <w:shd w:val="clear"/>
            <w:vAlign w:val="center"/>
          </w:tcPr>
          <w:p w14:paraId="15C23713">
            <w:pPr>
              <w:pStyle w:val="48"/>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本项目陆域施工废水，不排往淮河中，施工船舶舱底油污水由船舶自备的油水分离器隔油处理后与收集后施工船舶生活污水定期送至海事部门指定的船舶生活污水接收点进行处理。施工机械和运输车辆冲洗废水经排水沟收集后进入隔油沉淀池处理回用于生产或洒水抑尘，不外排。禁止施工人员在水边堆放固体废物。</w:t>
            </w:r>
          </w:p>
          <w:p w14:paraId="0CE80D3F">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本项目运输船舶产生的生活污水经隔油沉淀池预处理后，进入一体化污水处理设施处理后，回用于道路喷洒、机械车辆冲洗、绿化及码头地面冲洗，不外排；本项目到港船舶含油污水经隔油沉淀池预处理后，进入一体化污水处理设施处理，经处理后回用于道路喷洒、机械车辆冲洗、绿化及码头地面冲洗，不外排；初期雨水经隔油沉淀池预处理后进入一体化污水处理设备处理后，作为码头地面冲洗用水、道路喷洒用水、机械车辆冲洗用水及绿化用水；冲洗废水经隔油沉淀池预处理后进入一体化污水处理设备处理，处理后废水全部回用于码头地面冲洗、道路喷洒、机械车辆冲洗及绿化，不外排。</w:t>
            </w:r>
          </w:p>
        </w:tc>
        <w:tc>
          <w:tcPr>
            <w:tcW w:w="858" w:type="dxa"/>
            <w:tcBorders>
              <w:top w:val="single" w:color="auto" w:sz="4" w:space="0"/>
              <w:left w:val="nil"/>
              <w:bottom w:val="single" w:color="auto" w:sz="4" w:space="0"/>
              <w:right w:val="nil"/>
            </w:tcBorders>
            <w:shd w:val="clear"/>
            <w:vAlign w:val="center"/>
          </w:tcPr>
          <w:p w14:paraId="08C1034C">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符合</w:t>
            </w:r>
          </w:p>
        </w:tc>
      </w:tr>
      <w:tr w14:paraId="6F251A8E">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tblCellMar>
            <w:top w:w="0" w:type="dxa"/>
            <w:left w:w="108" w:type="dxa"/>
            <w:bottom w:w="0" w:type="dxa"/>
            <w:right w:w="108" w:type="dxa"/>
          </w:tblCellMar>
        </w:tblPrEx>
        <w:trPr>
          <w:trHeight w:val="336" w:hRule="atLeast"/>
          <w:jc w:val="center"/>
        </w:trPr>
        <w:tc>
          <w:tcPr>
            <w:tcW w:w="5225" w:type="dxa"/>
            <w:tcBorders>
              <w:top w:val="single" w:color="auto" w:sz="4" w:space="0"/>
              <w:left w:val="nil"/>
              <w:bottom w:val="single" w:color="auto" w:sz="4" w:space="0"/>
              <w:right w:val="single" w:color="auto" w:sz="4" w:space="0"/>
            </w:tcBorders>
            <w:shd w:val="clear"/>
            <w:vAlign w:val="center"/>
          </w:tcPr>
          <w:p w14:paraId="2197C4DF">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default" w:ascii="Times New Roman" w:hAnsi="Times New Roman" w:eastAsia="宋体" w:cs="Times New Roman"/>
                <w:color w:val="000000"/>
                <w:kern w:val="2"/>
                <w:sz w:val="21"/>
                <w:szCs w:val="21"/>
                <w:bdr w:val="none" w:color="auto" w:sz="0" w:space="0"/>
                <w:lang w:val="en-US" w:eastAsia="zh-CN" w:bidi="ar"/>
              </w:rPr>
              <w:t>1</w:t>
            </w:r>
            <w:r>
              <w:rPr>
                <w:rFonts w:hint="eastAsia" w:ascii="宋体" w:hAnsi="宋体" w:eastAsia="宋体" w:cs="宋体"/>
                <w:color w:val="000000"/>
                <w:kern w:val="2"/>
                <w:sz w:val="21"/>
                <w:szCs w:val="21"/>
                <w:bdr w:val="none" w:color="auto" w:sz="0" w:space="0"/>
                <w:lang w:val="en-US" w:eastAsia="zh-CN" w:bidi="ar"/>
              </w:rPr>
              <w:t>、施工期</w:t>
            </w:r>
          </w:p>
          <w:p w14:paraId="07978FF9">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采用符合噪声标准的施工设备，并采取消音、隔音措施。控制施工时间，最大限度降低噪声危害。</w:t>
            </w:r>
          </w:p>
          <w:p w14:paraId="4A31FCE2">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default" w:ascii="Times New Roman" w:hAnsi="Times New Roman" w:eastAsia="宋体" w:cs="Times New Roman"/>
                <w:color w:val="000000"/>
                <w:kern w:val="2"/>
                <w:sz w:val="21"/>
                <w:szCs w:val="21"/>
                <w:bdr w:val="none" w:color="auto" w:sz="0" w:space="0"/>
                <w:lang w:val="en-US" w:eastAsia="zh-CN" w:bidi="ar"/>
              </w:rPr>
              <w:t>2</w:t>
            </w:r>
            <w:r>
              <w:rPr>
                <w:rFonts w:hint="eastAsia" w:ascii="宋体" w:hAnsi="宋体" w:eastAsia="宋体" w:cs="宋体"/>
                <w:color w:val="000000"/>
                <w:kern w:val="2"/>
                <w:sz w:val="21"/>
                <w:szCs w:val="21"/>
                <w:bdr w:val="none" w:color="auto" w:sz="0" w:space="0"/>
                <w:lang w:val="en-US" w:eastAsia="zh-CN" w:bidi="ar"/>
              </w:rPr>
              <w:t>、营运期</w:t>
            </w:r>
          </w:p>
          <w:p w14:paraId="54C31491">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w:t>
            </w:r>
            <w:r>
              <w:rPr>
                <w:rFonts w:hint="default" w:ascii="Times New Roman" w:hAnsi="Times New Roman" w:eastAsia="宋体" w:cs="Times New Roman"/>
                <w:color w:val="000000"/>
                <w:kern w:val="2"/>
                <w:sz w:val="21"/>
                <w:szCs w:val="21"/>
                <w:bdr w:val="none" w:color="auto" w:sz="0" w:space="0"/>
                <w:lang w:val="en-US" w:eastAsia="zh-CN" w:bidi="ar"/>
              </w:rPr>
              <w:t>1</w:t>
            </w:r>
            <w:r>
              <w:rPr>
                <w:rFonts w:hint="eastAsia" w:ascii="宋体" w:hAnsi="宋体" w:eastAsia="宋体" w:cs="宋体"/>
                <w:color w:val="000000"/>
                <w:kern w:val="2"/>
                <w:sz w:val="21"/>
                <w:szCs w:val="21"/>
                <w:bdr w:val="none" w:color="auto" w:sz="0" w:space="0"/>
                <w:lang w:val="en-US" w:eastAsia="zh-CN" w:bidi="ar"/>
              </w:rPr>
              <w:t>）作业区应合理布局，将高噪音机械集中并远离生活区。工艺设计选择符合噪音标准的设备，并采取消音、隔音措施。规定控制夜间作业时间，保证港区周围声环境质量。</w:t>
            </w:r>
          </w:p>
          <w:p w14:paraId="6145969D">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w:t>
            </w:r>
            <w:r>
              <w:rPr>
                <w:rFonts w:hint="default" w:ascii="Times New Roman" w:hAnsi="Times New Roman" w:eastAsia="宋体" w:cs="Times New Roman"/>
                <w:color w:val="000000"/>
                <w:kern w:val="2"/>
                <w:sz w:val="21"/>
                <w:szCs w:val="21"/>
                <w:bdr w:val="none" w:color="auto" w:sz="0" w:space="0"/>
                <w:lang w:val="en-US" w:eastAsia="zh-CN" w:bidi="ar"/>
              </w:rPr>
              <w:t>2</w:t>
            </w:r>
            <w:r>
              <w:rPr>
                <w:rFonts w:hint="eastAsia" w:ascii="宋体" w:hAnsi="宋体" w:eastAsia="宋体" w:cs="宋体"/>
                <w:color w:val="000000"/>
                <w:kern w:val="2"/>
                <w:sz w:val="21"/>
                <w:szCs w:val="21"/>
                <w:bdr w:val="none" w:color="auto" w:sz="0" w:space="0"/>
                <w:lang w:val="en-US" w:eastAsia="zh-CN" w:bidi="ar"/>
              </w:rPr>
              <w:t>）进出港车辆限速行驶，疏港公路两侧不设集中居民区，制定禁止鸣笛区域。控制港区道路与港外城市公路合理衔接，减少交通堵塞引起的噪音升值。</w:t>
            </w:r>
          </w:p>
          <w:p w14:paraId="610C9714">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w:t>
            </w:r>
            <w:r>
              <w:rPr>
                <w:rFonts w:hint="default" w:ascii="Times New Roman" w:hAnsi="Times New Roman" w:eastAsia="宋体" w:cs="Times New Roman"/>
                <w:color w:val="000000"/>
                <w:kern w:val="2"/>
                <w:sz w:val="21"/>
                <w:szCs w:val="21"/>
                <w:bdr w:val="none" w:color="auto" w:sz="0" w:space="0"/>
                <w:lang w:val="en-US" w:eastAsia="zh-CN" w:bidi="ar"/>
              </w:rPr>
              <w:t>3</w:t>
            </w:r>
            <w:r>
              <w:rPr>
                <w:rFonts w:hint="eastAsia" w:ascii="宋体" w:hAnsi="宋体" w:eastAsia="宋体" w:cs="宋体"/>
                <w:color w:val="000000"/>
                <w:kern w:val="2"/>
                <w:sz w:val="21"/>
                <w:szCs w:val="21"/>
                <w:bdr w:val="none" w:color="auto" w:sz="0" w:space="0"/>
                <w:lang w:val="en-US" w:eastAsia="zh-CN" w:bidi="ar"/>
              </w:rPr>
              <w:t>）作业区、生产区、生活区、办公区保持合理间距，并以绿化带隔离，降低噪音传播距离。港区道路两侧、机房四周进行防护绿化。</w:t>
            </w:r>
          </w:p>
        </w:tc>
        <w:tc>
          <w:tcPr>
            <w:tcW w:w="3199" w:type="dxa"/>
            <w:tcBorders>
              <w:top w:val="single" w:color="auto" w:sz="4" w:space="0"/>
              <w:left w:val="nil"/>
              <w:bottom w:val="single" w:color="auto" w:sz="4" w:space="0"/>
              <w:right w:val="single" w:color="auto" w:sz="4" w:space="0"/>
            </w:tcBorders>
            <w:shd w:val="clear"/>
            <w:vAlign w:val="center"/>
          </w:tcPr>
          <w:p w14:paraId="1EEC9862">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施工期优选要采用优化平面布置远离敏感点施工，项目施工拟采用低噪声设备，对机械设备采取减振降噪措施，在场界处及进出港道路设置临时隔声屏障。最大限度降低噪声危害。</w:t>
            </w:r>
          </w:p>
          <w:p w14:paraId="06EAA782">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营运期高噪音机械集中并远离生活区，并采取消音、隔音措施。规定控制夜间作业时间，保证港区周围声环境质量。</w:t>
            </w:r>
          </w:p>
          <w:p w14:paraId="69298B9C">
            <w:pPr>
              <w:pStyle w:val="48"/>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进出港车辆限速行驶，制定禁止鸣笛区域。作业区、生产区、生活区、办公区保持合理间距，并以绿化带隔离，降低噪音传播距离。港区道路两侧、机房四周进行防护绿化</w:t>
            </w:r>
          </w:p>
        </w:tc>
        <w:tc>
          <w:tcPr>
            <w:tcW w:w="858" w:type="dxa"/>
            <w:tcBorders>
              <w:top w:val="single" w:color="auto" w:sz="4" w:space="0"/>
              <w:left w:val="nil"/>
              <w:bottom w:val="single" w:color="auto" w:sz="4" w:space="0"/>
              <w:right w:val="nil"/>
            </w:tcBorders>
            <w:shd w:val="clear"/>
            <w:vAlign w:val="center"/>
          </w:tcPr>
          <w:p w14:paraId="035F1920">
            <w:pPr>
              <w:pStyle w:val="48"/>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符合</w:t>
            </w:r>
          </w:p>
        </w:tc>
      </w:tr>
      <w:tr w14:paraId="61452E40">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tblCellMar>
            <w:top w:w="0" w:type="dxa"/>
            <w:left w:w="108" w:type="dxa"/>
            <w:bottom w:w="0" w:type="dxa"/>
            <w:right w:w="108" w:type="dxa"/>
          </w:tblCellMar>
        </w:tblPrEx>
        <w:trPr>
          <w:trHeight w:val="336" w:hRule="atLeast"/>
          <w:jc w:val="center"/>
        </w:trPr>
        <w:tc>
          <w:tcPr>
            <w:tcW w:w="5225" w:type="dxa"/>
            <w:tcBorders>
              <w:top w:val="single" w:color="auto" w:sz="4" w:space="0"/>
              <w:left w:val="nil"/>
              <w:bottom w:val="single" w:color="auto" w:sz="4" w:space="0"/>
              <w:right w:val="single" w:color="auto" w:sz="4" w:space="0"/>
            </w:tcBorders>
            <w:shd w:val="clear"/>
            <w:vAlign w:val="center"/>
          </w:tcPr>
          <w:p w14:paraId="71439F6E">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default" w:ascii="Times New Roman" w:hAnsi="Times New Roman" w:eastAsia="宋体" w:cs="Times New Roman"/>
                <w:color w:val="000000"/>
                <w:kern w:val="2"/>
                <w:sz w:val="21"/>
                <w:szCs w:val="21"/>
                <w:bdr w:val="none" w:color="auto" w:sz="0" w:space="0"/>
                <w:lang w:val="en-US" w:eastAsia="zh-CN" w:bidi="ar"/>
              </w:rPr>
              <w:t>1</w:t>
            </w:r>
            <w:r>
              <w:rPr>
                <w:rFonts w:hint="eastAsia" w:ascii="宋体" w:hAnsi="宋体" w:eastAsia="宋体" w:cs="宋体"/>
                <w:color w:val="000000"/>
                <w:kern w:val="2"/>
                <w:sz w:val="21"/>
                <w:szCs w:val="21"/>
                <w:bdr w:val="none" w:color="auto" w:sz="0" w:space="0"/>
                <w:lang w:val="en-US" w:eastAsia="zh-CN" w:bidi="ar"/>
              </w:rPr>
              <w:t>、施工期</w:t>
            </w:r>
          </w:p>
          <w:p w14:paraId="482D86CA">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在陆域形成时，建筑垃圾设置垃圾堆场，分类集中堆放并且及时清理；生活垃圾设置垃圾袋（箱）收集，由市政垃圾车外运处理。</w:t>
            </w:r>
          </w:p>
          <w:p w14:paraId="092350FA">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default" w:ascii="Times New Roman" w:hAnsi="Times New Roman" w:eastAsia="宋体" w:cs="Times New Roman"/>
                <w:color w:val="000000"/>
                <w:kern w:val="2"/>
                <w:sz w:val="21"/>
                <w:szCs w:val="21"/>
                <w:bdr w:val="none" w:color="auto" w:sz="0" w:space="0"/>
                <w:lang w:val="en-US" w:eastAsia="zh-CN" w:bidi="ar"/>
              </w:rPr>
              <w:t>2</w:t>
            </w:r>
            <w:r>
              <w:rPr>
                <w:rFonts w:hint="eastAsia" w:ascii="宋体" w:hAnsi="宋体" w:eastAsia="宋体" w:cs="宋体"/>
                <w:color w:val="000000"/>
                <w:kern w:val="2"/>
                <w:sz w:val="21"/>
                <w:szCs w:val="21"/>
                <w:bdr w:val="none" w:color="auto" w:sz="0" w:space="0"/>
                <w:lang w:val="en-US" w:eastAsia="zh-CN" w:bidi="ar"/>
              </w:rPr>
              <w:t>、营运期</w:t>
            </w:r>
          </w:p>
          <w:p w14:paraId="2C231558">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设立垃圾转运站，配备清扫车、垃圾袋（箱）收集港区固体废弃物，由市政垃圾车外运处理；船舶垃圾采用专门垃圾袋和垃圾桶收集、贮存，由港口接收后运至岸上处理站分捡、处理。</w:t>
            </w:r>
          </w:p>
          <w:p w14:paraId="693CA7D9">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近期和远期固体废弃物处置率</w:t>
            </w:r>
            <w:r>
              <w:rPr>
                <w:rFonts w:hint="default" w:ascii="Times New Roman" w:hAnsi="Times New Roman" w:eastAsia="宋体" w:cs="Times New Roman"/>
                <w:color w:val="000000"/>
                <w:kern w:val="2"/>
                <w:sz w:val="21"/>
                <w:szCs w:val="21"/>
                <w:bdr w:val="none" w:color="auto" w:sz="0" w:space="0"/>
                <w:lang w:val="en-US" w:eastAsia="zh-CN" w:bidi="ar"/>
              </w:rPr>
              <w:t>100%</w:t>
            </w:r>
            <w:r>
              <w:rPr>
                <w:rFonts w:hint="eastAsia" w:ascii="宋体" w:hAnsi="宋体" w:eastAsia="宋体" w:cs="宋体"/>
                <w:color w:val="000000"/>
                <w:kern w:val="2"/>
                <w:sz w:val="21"/>
                <w:szCs w:val="21"/>
                <w:bdr w:val="none" w:color="auto" w:sz="0" w:space="0"/>
                <w:lang w:val="en-US" w:eastAsia="zh-CN" w:bidi="ar"/>
              </w:rPr>
              <w:t>，无害化处理率</w:t>
            </w:r>
            <w:r>
              <w:rPr>
                <w:rFonts w:hint="default" w:ascii="Times New Roman" w:hAnsi="Times New Roman" w:eastAsia="宋体" w:cs="Times New Roman"/>
                <w:color w:val="000000"/>
                <w:kern w:val="2"/>
                <w:sz w:val="21"/>
                <w:szCs w:val="21"/>
                <w:bdr w:val="none" w:color="auto" w:sz="0" w:space="0"/>
                <w:lang w:val="en-US" w:eastAsia="zh-CN" w:bidi="ar"/>
              </w:rPr>
              <w:t>100%</w:t>
            </w:r>
            <w:r>
              <w:rPr>
                <w:rFonts w:hint="eastAsia" w:ascii="宋体" w:hAnsi="宋体" w:eastAsia="宋体" w:cs="宋体"/>
                <w:color w:val="000000"/>
                <w:kern w:val="2"/>
                <w:sz w:val="21"/>
                <w:szCs w:val="21"/>
                <w:bdr w:val="none" w:color="auto" w:sz="0" w:space="0"/>
                <w:lang w:val="en-US" w:eastAsia="zh-CN" w:bidi="ar"/>
              </w:rPr>
              <w:t>。</w:t>
            </w:r>
          </w:p>
        </w:tc>
        <w:tc>
          <w:tcPr>
            <w:tcW w:w="3199" w:type="dxa"/>
            <w:tcBorders>
              <w:top w:val="single" w:color="auto" w:sz="4" w:space="0"/>
              <w:left w:val="nil"/>
              <w:bottom w:val="single" w:color="auto" w:sz="4" w:space="0"/>
              <w:right w:val="single" w:color="auto" w:sz="4" w:space="0"/>
            </w:tcBorders>
            <w:shd w:val="clear"/>
            <w:vAlign w:val="center"/>
          </w:tcPr>
          <w:p w14:paraId="6FAA9517">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生活垃圾可集中堆放后由环卫部门及时清运处置，减轻对环境的影响。收集的废油属危险废物，交有相关资质单位处置。装修废物委托有资质单位处理处置。</w:t>
            </w:r>
          </w:p>
          <w:p w14:paraId="24BB9B4B">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本项目固体废弃物可分为装卸期间产生的生活垃圾、陆域工作人员生活垃圾、含油废水处理设施产生的含油污泥、废机油、沉淀池泥沙等。</w:t>
            </w:r>
          </w:p>
          <w:p w14:paraId="69246DA4">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各类生活垃圾经收集后定期由环卫部门清运。沉淀池泥沙交当地环卫部门统一收集处理。隔油沉淀池含油污泥采用专用桶收集后暂存于危险废物暂存库中及时送有资质单位处理，对周边环境无影响</w:t>
            </w:r>
          </w:p>
        </w:tc>
        <w:tc>
          <w:tcPr>
            <w:tcW w:w="858" w:type="dxa"/>
            <w:tcBorders>
              <w:top w:val="single" w:color="auto" w:sz="4" w:space="0"/>
              <w:left w:val="nil"/>
              <w:bottom w:val="single" w:color="auto" w:sz="4" w:space="0"/>
              <w:right w:val="nil"/>
            </w:tcBorders>
            <w:shd w:val="clear"/>
            <w:vAlign w:val="center"/>
          </w:tcPr>
          <w:p w14:paraId="167E8ADD">
            <w:pPr>
              <w:pStyle w:val="48"/>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符合</w:t>
            </w:r>
          </w:p>
        </w:tc>
      </w:tr>
      <w:tr w14:paraId="6DBEEAE9">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tblCellMar>
            <w:top w:w="0" w:type="dxa"/>
            <w:left w:w="108" w:type="dxa"/>
            <w:bottom w:w="0" w:type="dxa"/>
            <w:right w:w="108" w:type="dxa"/>
          </w:tblCellMar>
        </w:tblPrEx>
        <w:trPr>
          <w:trHeight w:val="336" w:hRule="atLeast"/>
          <w:jc w:val="center"/>
        </w:trPr>
        <w:tc>
          <w:tcPr>
            <w:tcW w:w="5225" w:type="dxa"/>
            <w:tcBorders>
              <w:top w:val="single" w:color="auto" w:sz="4" w:space="0"/>
              <w:left w:val="nil"/>
              <w:bottom w:val="single" w:color="auto" w:sz="4" w:space="0"/>
              <w:right w:val="single" w:color="auto" w:sz="4" w:space="0"/>
            </w:tcBorders>
            <w:shd w:val="clear"/>
            <w:vAlign w:val="center"/>
          </w:tcPr>
          <w:p w14:paraId="7CCD1A65">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港口的环境监测工作应委托环境监测资质单位定期进行。港区应成立环保管理机构，配备专职环保管理人员，建立环境保护培训制度，使港口环境保护管理水平达到国际先进水平。</w:t>
            </w:r>
          </w:p>
        </w:tc>
        <w:tc>
          <w:tcPr>
            <w:tcW w:w="3199" w:type="dxa"/>
            <w:tcBorders>
              <w:top w:val="single" w:color="auto" w:sz="4" w:space="0"/>
              <w:left w:val="nil"/>
              <w:bottom w:val="single" w:color="auto" w:sz="4" w:space="0"/>
              <w:right w:val="single" w:color="auto" w:sz="4" w:space="0"/>
            </w:tcBorders>
            <w:shd w:val="clear"/>
            <w:vAlign w:val="center"/>
          </w:tcPr>
          <w:p w14:paraId="1A7CD239">
            <w:pPr>
              <w:pStyle w:val="48"/>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港口的环境监测工作定期委托环境监测资质单位定期进行。建设单位成立环保管理机构，配备专职环保管理人员，建立环境保护培训制度，使港口环境保护管理水平达到国际先进水平。</w:t>
            </w:r>
          </w:p>
        </w:tc>
        <w:tc>
          <w:tcPr>
            <w:tcW w:w="858" w:type="dxa"/>
            <w:tcBorders>
              <w:top w:val="single" w:color="auto" w:sz="4" w:space="0"/>
              <w:left w:val="nil"/>
              <w:bottom w:val="single" w:color="auto" w:sz="4" w:space="0"/>
              <w:right w:val="nil"/>
            </w:tcBorders>
            <w:shd w:val="clear"/>
            <w:vAlign w:val="center"/>
          </w:tcPr>
          <w:p w14:paraId="2E348A21">
            <w:pPr>
              <w:pStyle w:val="48"/>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000000"/>
                <w:kern w:val="2"/>
                <w:sz w:val="21"/>
                <w:szCs w:val="21"/>
                <w:bdr w:val="none" w:color="auto" w:sz="0" w:space="0"/>
              </w:rPr>
            </w:pPr>
            <w:r>
              <w:rPr>
                <w:rFonts w:hint="eastAsia" w:ascii="宋体" w:hAnsi="宋体" w:eastAsia="宋体" w:cs="宋体"/>
                <w:color w:val="000000"/>
                <w:kern w:val="2"/>
                <w:sz w:val="21"/>
                <w:szCs w:val="21"/>
                <w:bdr w:val="none" w:color="auto" w:sz="0" w:space="0"/>
                <w:lang w:val="en-US" w:eastAsia="zh-CN" w:bidi="ar"/>
              </w:rPr>
              <w:t>符合</w:t>
            </w:r>
          </w:p>
        </w:tc>
      </w:tr>
      <w:tr w14:paraId="2C93DDDD">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shd w:val="clear"/>
          <w:tblCellMar>
            <w:top w:w="0" w:type="dxa"/>
            <w:left w:w="108" w:type="dxa"/>
            <w:bottom w:w="0" w:type="dxa"/>
            <w:right w:w="108" w:type="dxa"/>
          </w:tblCellMar>
        </w:tblPrEx>
        <w:trPr>
          <w:trHeight w:val="336" w:hRule="atLeast"/>
          <w:jc w:val="center"/>
        </w:trPr>
        <w:tc>
          <w:tcPr>
            <w:tcW w:w="5225" w:type="dxa"/>
            <w:tcBorders>
              <w:top w:val="single" w:color="auto" w:sz="4" w:space="0"/>
              <w:left w:val="nil"/>
              <w:bottom w:val="single" w:color="auto" w:sz="12" w:space="0"/>
              <w:right w:val="single" w:color="auto" w:sz="4" w:space="0"/>
            </w:tcBorders>
            <w:shd w:val="clear"/>
            <w:vAlign w:val="center"/>
          </w:tcPr>
          <w:p w14:paraId="640D5AA1">
            <w:pPr>
              <w:pStyle w:val="233"/>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2"/>
                <w:sz w:val="21"/>
                <w:szCs w:val="21"/>
                <w:bdr w:val="none" w:color="auto" w:sz="0" w:space="0"/>
                <w:lang w:val="en-US" w:eastAsia="zh-CN" w:bidi="ar"/>
              </w:rPr>
            </w:pPr>
            <w:r>
              <w:rPr>
                <w:rFonts w:hint="eastAsia" w:ascii="Times New Roman" w:hAnsi="Times New Roman" w:eastAsia="宋体" w:cs="Times New Roman"/>
                <w:color w:val="000000" w:themeColor="text1"/>
                <w:kern w:val="2"/>
                <w:sz w:val="21"/>
                <w:szCs w:val="21"/>
                <w14:textFill>
                  <w14:solidFill>
                    <w14:schemeClr w14:val="tx1"/>
                  </w14:solidFill>
                </w14:textFill>
              </w:rPr>
              <w:t>《规划》拟开发港口岸线29325米，其中已利用岸线8734米，规划利用岸线20591米。规划基准年2023年，水平年2030年和2035年。《规划》实施后共布置7个港区，分别为毛集港区(毛集实验区)、潘集港区、八公山港区、田家庵港区、大通港区、凤台港区和寿县港区。淮南港以煤炭运输为主，逐步发展件杂货、化学危险品、集装箱等综合物流运输，形成具有装卸储存、运输组织、临港产业、煤炭交易、中转换装、现代物流等多功能的综合性港口。</w:t>
            </w:r>
          </w:p>
        </w:tc>
        <w:tc>
          <w:tcPr>
            <w:tcW w:w="3199" w:type="dxa"/>
            <w:tcBorders>
              <w:top w:val="single" w:color="auto" w:sz="4" w:space="0"/>
              <w:left w:val="nil"/>
              <w:bottom w:val="single" w:color="auto" w:sz="12" w:space="0"/>
              <w:right w:val="single" w:color="auto" w:sz="4" w:space="0"/>
            </w:tcBorders>
            <w:shd w:val="clear"/>
            <w:vAlign w:val="center"/>
          </w:tcPr>
          <w:p w14:paraId="34EE4058">
            <w:pPr>
              <w:pStyle w:val="233"/>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2"/>
                <w:sz w:val="21"/>
                <w:szCs w:val="21"/>
                <w:bdr w:val="none" w:color="auto" w:sz="0" w:space="0"/>
                <w:lang w:val="en-US" w:eastAsia="zh-CN" w:bidi="ar"/>
              </w:rPr>
            </w:pPr>
            <w:r>
              <w:rPr>
                <w:rFonts w:hint="eastAsia" w:ascii="宋体" w:hAnsi="宋体" w:eastAsia="宋体" w:cs="宋体"/>
                <w:color w:val="000000" w:themeColor="text1"/>
                <w:kern w:val="2"/>
                <w:sz w:val="21"/>
                <w:szCs w:val="21"/>
                <w14:textFill>
                  <w14:solidFill>
                    <w14:schemeClr w14:val="tx1"/>
                  </w14:solidFill>
                </w14:textFill>
              </w:rPr>
              <w:t>本项目为新建货运码头项目，位于</w:t>
            </w:r>
            <w:r>
              <w:rPr>
                <w:rFonts w:hint="eastAsia" w:ascii="Times New Roman" w:hAnsi="Times New Roman" w:eastAsia="宋体" w:cs="Times New Roman"/>
                <w:color w:val="000000" w:themeColor="text1"/>
                <w:kern w:val="2"/>
                <w:sz w:val="21"/>
                <w:szCs w:val="21"/>
                <w14:textFill>
                  <w14:solidFill>
                    <w14:schemeClr w14:val="tx1"/>
                  </w14:solidFill>
                </w14:textFill>
              </w:rPr>
              <w:t>潘集港区</w:t>
            </w:r>
            <w:r>
              <w:rPr>
                <w:rFonts w:hint="eastAsia" w:ascii="宋体" w:hAnsi="宋体" w:eastAsia="宋体" w:cs="宋体"/>
                <w:color w:val="000000" w:themeColor="text1"/>
                <w:kern w:val="2"/>
                <w:sz w:val="21"/>
                <w:szCs w:val="21"/>
                <w14:textFill>
                  <w14:solidFill>
                    <w14:schemeClr w14:val="tx1"/>
                  </w14:solidFill>
                </w14:textFill>
              </w:rPr>
              <w:t>平圩作业区内，平圩作业区港口岸线长度</w:t>
            </w:r>
            <w:r>
              <w:rPr>
                <w:rFonts w:hint="default" w:ascii="Times New Roman" w:hAnsi="Times New Roman" w:eastAsia="宋体" w:cs="Times New Roman"/>
                <w:color w:val="000000" w:themeColor="text1"/>
                <w:kern w:val="2"/>
                <w:sz w:val="21"/>
                <w:szCs w:val="21"/>
                <w14:textFill>
                  <w14:solidFill>
                    <w14:schemeClr w14:val="tx1"/>
                  </w14:solidFill>
                </w14:textFill>
              </w:rPr>
              <w:t>1660m</w:t>
            </w:r>
            <w:r>
              <w:rPr>
                <w:rFonts w:hint="eastAsia" w:ascii="宋体" w:hAnsi="宋体" w:eastAsia="宋体" w:cs="宋体"/>
                <w:color w:val="000000" w:themeColor="text1"/>
                <w:kern w:val="2"/>
                <w:sz w:val="21"/>
                <w:szCs w:val="21"/>
                <w14:textFill>
                  <w14:solidFill>
                    <w14:schemeClr w14:val="tx1"/>
                  </w14:solidFill>
                </w14:textFill>
              </w:rPr>
              <w:t>，本项目占用岸线长度为</w:t>
            </w:r>
            <w:r>
              <w:rPr>
                <w:rFonts w:hint="default" w:ascii="Times New Roman" w:hAnsi="Times New Roman" w:eastAsia="宋体" w:cs="Times New Roman"/>
                <w:color w:val="000000" w:themeColor="text1"/>
                <w:kern w:val="2"/>
                <w:sz w:val="21"/>
                <w:szCs w:val="21"/>
                <w14:textFill>
                  <w14:solidFill>
                    <w14:schemeClr w14:val="tx1"/>
                  </w14:solidFill>
                </w14:textFill>
              </w:rPr>
              <w:t>160m</w:t>
            </w:r>
            <w:r>
              <w:rPr>
                <w:rFonts w:hint="eastAsia" w:ascii="宋体" w:hAnsi="宋体" w:eastAsia="宋体" w:cs="宋体"/>
                <w:color w:val="000000" w:themeColor="text1"/>
                <w:kern w:val="2"/>
                <w:sz w:val="21"/>
                <w:szCs w:val="21"/>
                <w14:textFill>
                  <w14:solidFill>
                    <w14:schemeClr w14:val="tx1"/>
                  </w14:solidFill>
                </w14:textFill>
              </w:rPr>
              <w:t>，本项目拟建设</w:t>
            </w:r>
            <w:r>
              <w:rPr>
                <w:rFonts w:hint="default" w:ascii="Times New Roman" w:hAnsi="Times New Roman" w:eastAsia="宋体" w:cs="Times New Roman"/>
                <w:color w:val="000000" w:themeColor="text1"/>
                <w:kern w:val="2"/>
                <w:sz w:val="21"/>
                <w:szCs w:val="21"/>
                <w14:textFill>
                  <w14:solidFill>
                    <w14:schemeClr w14:val="tx1"/>
                  </w14:solidFill>
                </w14:textFill>
              </w:rPr>
              <w:t>2</w:t>
            </w:r>
            <w:r>
              <w:rPr>
                <w:rFonts w:hint="eastAsia" w:ascii="宋体" w:hAnsi="宋体" w:eastAsia="宋体" w:cs="宋体"/>
                <w:color w:val="000000" w:themeColor="text1"/>
                <w:kern w:val="2"/>
                <w:sz w:val="21"/>
                <w:szCs w:val="21"/>
                <w14:textFill>
                  <w14:solidFill>
                    <w14:schemeClr w14:val="tx1"/>
                  </w14:solidFill>
                </w14:textFill>
              </w:rPr>
              <w:t>个</w:t>
            </w:r>
            <w:r>
              <w:rPr>
                <w:rFonts w:hint="default" w:ascii="Times New Roman" w:hAnsi="Times New Roman" w:eastAsia="宋体" w:cs="Times New Roman"/>
                <w:color w:val="000000" w:themeColor="text1"/>
                <w:kern w:val="2"/>
                <w:sz w:val="21"/>
                <w:szCs w:val="21"/>
                <w14:textFill>
                  <w14:solidFill>
                    <w14:schemeClr w14:val="tx1"/>
                  </w14:solidFill>
                </w14:textFill>
              </w:rPr>
              <w:t>1000</w:t>
            </w:r>
            <w:r>
              <w:rPr>
                <w:rFonts w:hint="eastAsia" w:ascii="宋体" w:hAnsi="宋体" w:eastAsia="宋体" w:cs="宋体"/>
                <w:color w:val="000000" w:themeColor="text1"/>
                <w:kern w:val="2"/>
                <w:sz w:val="21"/>
                <w:szCs w:val="21"/>
                <w14:textFill>
                  <w14:solidFill>
                    <w14:schemeClr w14:val="tx1"/>
                  </w14:solidFill>
                </w14:textFill>
              </w:rPr>
              <w:t>吨级兼顾</w:t>
            </w:r>
            <w:r>
              <w:rPr>
                <w:rFonts w:hint="default" w:ascii="Times New Roman" w:hAnsi="Times New Roman" w:eastAsia="宋体" w:cs="Times New Roman"/>
                <w:color w:val="000000" w:themeColor="text1"/>
                <w:kern w:val="2"/>
                <w:sz w:val="21"/>
                <w:szCs w:val="21"/>
                <w14:textFill>
                  <w14:solidFill>
                    <w14:schemeClr w14:val="tx1"/>
                  </w14:solidFill>
                </w14:textFill>
              </w:rPr>
              <w:t>2000</w:t>
            </w:r>
            <w:r>
              <w:rPr>
                <w:rFonts w:hint="eastAsia" w:ascii="宋体" w:hAnsi="宋体" w:eastAsia="宋体" w:cs="宋体"/>
                <w:color w:val="000000" w:themeColor="text1"/>
                <w:kern w:val="2"/>
                <w:sz w:val="21"/>
                <w:szCs w:val="21"/>
                <w14:textFill>
                  <w14:solidFill>
                    <w14:schemeClr w14:val="tx1"/>
                  </w14:solidFill>
                </w14:textFill>
              </w:rPr>
              <w:t>吨级通用散货泊位，属于通用散货码头，项目设计年吞吐量为</w:t>
            </w:r>
            <w:r>
              <w:rPr>
                <w:rFonts w:hint="default" w:ascii="Times New Roman" w:hAnsi="Times New Roman" w:eastAsia="宋体" w:cs="Times New Roman"/>
                <w:color w:val="000000" w:themeColor="text1"/>
                <w:kern w:val="2"/>
                <w:sz w:val="21"/>
                <w:szCs w:val="21"/>
                <w14:textFill>
                  <w14:solidFill>
                    <w14:schemeClr w14:val="tx1"/>
                  </w14:solidFill>
                </w14:textFill>
              </w:rPr>
              <w:t>80</w:t>
            </w:r>
            <w:r>
              <w:rPr>
                <w:rFonts w:hint="eastAsia" w:ascii="宋体" w:hAnsi="宋体" w:eastAsia="宋体" w:cs="宋体"/>
                <w:color w:val="000000" w:themeColor="text1"/>
                <w:kern w:val="2"/>
                <w:sz w:val="21"/>
                <w:szCs w:val="21"/>
                <w14:textFill>
                  <w14:solidFill>
                    <w14:schemeClr w14:val="tx1"/>
                  </w14:solidFill>
                </w14:textFill>
              </w:rPr>
              <w:t>万吨，对照《淮南港总体规划（</w:t>
            </w:r>
            <w:r>
              <w:rPr>
                <w:rFonts w:hint="default" w:ascii="Times New Roman" w:hAnsi="Times New Roman" w:eastAsia="宋体" w:cs="Times New Roman"/>
                <w:color w:val="000000" w:themeColor="text1"/>
                <w:kern w:val="2"/>
                <w:sz w:val="21"/>
                <w:szCs w:val="21"/>
                <w14:textFill>
                  <w14:solidFill>
                    <w14:schemeClr w14:val="tx1"/>
                  </w14:solidFill>
                </w14:textFill>
              </w:rPr>
              <w:t>2035</w:t>
            </w:r>
            <w:r>
              <w:rPr>
                <w:rFonts w:hint="eastAsia" w:ascii="宋体" w:hAnsi="宋体" w:eastAsia="宋体" w:cs="宋体"/>
                <w:color w:val="000000" w:themeColor="text1"/>
                <w:kern w:val="2"/>
                <w:sz w:val="21"/>
                <w:szCs w:val="21"/>
                <w14:textFill>
                  <w14:solidFill>
                    <w14:schemeClr w14:val="tx1"/>
                  </w14:solidFill>
                </w14:textFill>
              </w:rPr>
              <w:t>年）环境影响报告书》，本项目位于规划的</w:t>
            </w:r>
            <w:r>
              <w:rPr>
                <w:rFonts w:hint="default" w:ascii="Times New Roman" w:hAnsi="Times New Roman" w:eastAsia="宋体" w:cs="Times New Roman"/>
                <w:color w:val="000000" w:themeColor="text1"/>
                <w:kern w:val="2"/>
                <w:sz w:val="21"/>
                <w:szCs w:val="21"/>
                <w14:textFill>
                  <w14:solidFill>
                    <w14:schemeClr w14:val="tx1"/>
                  </w14:solidFill>
                </w14:textFill>
              </w:rPr>
              <w:t>14</w:t>
            </w:r>
            <w:r>
              <w:rPr>
                <w:rFonts w:hint="eastAsia" w:ascii="宋体" w:hAnsi="宋体" w:eastAsia="宋体" w:cs="宋体"/>
                <w:color w:val="000000" w:themeColor="text1"/>
                <w:kern w:val="2"/>
                <w:sz w:val="21"/>
                <w:szCs w:val="21"/>
                <w14:textFill>
                  <w14:solidFill>
                    <w14:schemeClr w14:val="tx1"/>
                  </w14:solidFill>
                </w14:textFill>
              </w:rPr>
              <w:t>个</w:t>
            </w:r>
            <w:r>
              <w:rPr>
                <w:rFonts w:hint="default" w:ascii="Times New Roman" w:hAnsi="Times New Roman" w:eastAsia="宋体" w:cs="Times New Roman"/>
                <w:color w:val="000000" w:themeColor="text1"/>
                <w:kern w:val="2"/>
                <w:sz w:val="21"/>
                <w:szCs w:val="21"/>
                <w14:textFill>
                  <w14:solidFill>
                    <w14:schemeClr w14:val="tx1"/>
                  </w14:solidFill>
                </w14:textFill>
              </w:rPr>
              <w:t>2000</w:t>
            </w:r>
            <w:r>
              <w:rPr>
                <w:rFonts w:hint="eastAsia" w:ascii="宋体" w:hAnsi="宋体" w:eastAsia="宋体" w:cs="宋体"/>
                <w:color w:val="000000" w:themeColor="text1"/>
                <w:kern w:val="2"/>
                <w:sz w:val="21"/>
                <w:szCs w:val="21"/>
                <w14:textFill>
                  <w14:solidFill>
                    <w14:schemeClr w14:val="tx1"/>
                  </w14:solidFill>
                </w14:textFill>
              </w:rPr>
              <w:t>吨级通用泊位区，符合港区布置规划要求</w:t>
            </w:r>
          </w:p>
        </w:tc>
        <w:tc>
          <w:tcPr>
            <w:tcW w:w="858" w:type="dxa"/>
            <w:tcBorders>
              <w:top w:val="single" w:color="auto" w:sz="4" w:space="0"/>
              <w:left w:val="nil"/>
              <w:bottom w:val="single" w:color="auto" w:sz="12" w:space="0"/>
              <w:right w:val="nil"/>
            </w:tcBorders>
            <w:shd w:val="clear"/>
            <w:vAlign w:val="center"/>
          </w:tcPr>
          <w:p w14:paraId="285CBAAC">
            <w:pPr>
              <w:pStyle w:val="233"/>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宋体" w:hAnsi="宋体" w:eastAsia="宋体" w:cs="宋体"/>
                <w:color w:val="000000"/>
                <w:kern w:val="2"/>
                <w:sz w:val="21"/>
                <w:szCs w:val="21"/>
                <w:bdr w:val="none" w:color="auto" w:sz="0" w:space="0"/>
                <w:lang w:val="en-US" w:eastAsia="zh-CN" w:bidi="ar"/>
              </w:rPr>
            </w:pPr>
            <w:r>
              <w:rPr>
                <w:rFonts w:hint="eastAsia" w:cs="宋体"/>
                <w:color w:val="000000" w:themeColor="text1"/>
                <w:kern w:val="2"/>
                <w:sz w:val="21"/>
                <w:szCs w:val="21"/>
                <w:lang w:val="en-US" w:eastAsia="zh-CN"/>
                <w14:textFill>
                  <w14:solidFill>
                    <w14:schemeClr w14:val="tx1"/>
                  </w14:solidFill>
                </w14:textFill>
              </w:rPr>
              <w:t>符合</w:t>
            </w:r>
          </w:p>
        </w:tc>
      </w:tr>
    </w:tbl>
    <w:p w14:paraId="17D0B77C">
      <w:pPr>
        <w:pStyle w:val="48"/>
        <w:keepNext w:val="0"/>
        <w:keepLines w:val="0"/>
        <w:widowControl/>
        <w:suppressLineNumbers w:val="0"/>
        <w:spacing w:before="0" w:beforeAutospacing="0" w:after="0" w:afterAutospacing="0" w:line="360" w:lineRule="auto"/>
        <w:ind w:left="0" w:right="0" w:firstLine="480" w:firstLineChars="200"/>
        <w:jc w:val="both"/>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由上表可知，本项目与《淮南港总体规划（</w:t>
      </w:r>
      <w:r>
        <w:rPr>
          <w:rFonts w:hint="default" w:ascii="Times New Roman" w:hAnsi="Times New Roman" w:eastAsia="宋体" w:cs="Times New Roman"/>
          <w:color w:val="000000"/>
          <w:kern w:val="2"/>
          <w:sz w:val="24"/>
          <w:szCs w:val="24"/>
          <w:lang w:val="en-US" w:eastAsia="zh-CN" w:bidi="ar"/>
        </w:rPr>
        <w:t>2035</w:t>
      </w:r>
      <w:r>
        <w:rPr>
          <w:rFonts w:hint="eastAsia" w:ascii="宋体" w:hAnsi="宋体" w:eastAsia="宋体" w:cs="宋体"/>
          <w:color w:val="000000"/>
          <w:kern w:val="2"/>
          <w:sz w:val="24"/>
          <w:szCs w:val="24"/>
          <w:lang w:val="en-US" w:eastAsia="zh-CN" w:bidi="ar"/>
        </w:rPr>
        <w:t>年）环境影响报告书》及其审查意见相符。</w:t>
      </w:r>
    </w:p>
    <w:p w14:paraId="1F3876B0">
      <w:pPr>
        <w:keepNext w:val="0"/>
        <w:keepLines w:val="0"/>
        <w:widowControl w:val="0"/>
        <w:suppressLineNumbers w:val="0"/>
        <w:spacing w:before="0" w:beforeAutospacing="0" w:after="0" w:afterAutospacing="0"/>
        <w:ind w:left="0" w:right="0"/>
        <w:jc w:val="both"/>
        <w:rPr>
          <w:rFonts w:hint="default" w:ascii="Calibri" w:hAnsi="Calibri" w:eastAsia="宋体" w:cs="Times New Roman"/>
          <w:color w:val="000000"/>
          <w:kern w:val="2"/>
          <w:sz w:val="21"/>
          <w:szCs w:val="21"/>
        </w:rPr>
      </w:pPr>
    </w:p>
    <w:p w14:paraId="4D2E7C94">
      <w:pPr>
        <w:pStyle w:val="233"/>
        <w:rPr>
          <w:rFonts w:ascii="Times New Roman" w:hAnsi="Times New Roman" w:eastAsia="黑体" w:cs="Times New Roman"/>
          <w:color w:val="auto"/>
        </w:rPr>
      </w:pPr>
    </w:p>
    <w:p w14:paraId="01FDB356">
      <w:pPr>
        <w:pStyle w:val="233"/>
        <w:ind w:firstLine="0" w:firstLineChars="0"/>
        <w:jc w:val="center"/>
        <w:rPr>
          <w:rFonts w:hint="eastAsia" w:ascii="Times New Roman" w:hAnsi="Times New Roman" w:eastAsia="黑体" w:cs="Times New Roman"/>
          <w:color w:val="auto"/>
          <w:highlight w:val="cyan"/>
        </w:rPr>
        <w:sectPr>
          <w:footerReference r:id="rId7" w:type="default"/>
          <w:pgSz w:w="11906" w:h="16838"/>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10FE8A86">
      <w:pPr>
        <w:pStyle w:val="233"/>
        <w:ind w:firstLine="0" w:firstLineChars="0"/>
        <w:jc w:val="center"/>
        <w:rPr>
          <w:rFonts w:hint="eastAsia" w:ascii="Times New Roman" w:hAnsi="Times New Roman" w:eastAsia="黑体" w:cs="Times New Roman"/>
          <w:color w:val="auto"/>
        </w:rPr>
      </w:pPr>
      <w:r>
        <w:rPr>
          <w:sz w:val="24"/>
        </w:rPr>
        <mc:AlternateContent>
          <mc:Choice Requires="wps">
            <w:drawing>
              <wp:anchor distT="0" distB="0" distL="114300" distR="114300" simplePos="0" relativeHeight="251852800" behindDoc="0" locked="0" layoutInCell="1" allowOverlap="1">
                <wp:simplePos x="0" y="0"/>
                <wp:positionH relativeFrom="column">
                  <wp:posOffset>3129280</wp:posOffset>
                </wp:positionH>
                <wp:positionV relativeFrom="paragraph">
                  <wp:posOffset>6824345</wp:posOffset>
                </wp:positionV>
                <wp:extent cx="1298575" cy="393700"/>
                <wp:effectExtent l="0" t="0" r="0" b="0"/>
                <wp:wrapNone/>
                <wp:docPr id="182" name="文本框 182"/>
                <wp:cNvGraphicFramePr/>
                <a:graphic xmlns:a="http://schemas.openxmlformats.org/drawingml/2006/main">
                  <a:graphicData uri="http://schemas.microsoft.com/office/word/2010/wordprocessingShape">
                    <wps:wsp>
                      <wps:cNvSpPr txBox="1"/>
                      <wps:spPr>
                        <a:xfrm>
                          <a:off x="3803650" y="7879080"/>
                          <a:ext cx="1298575" cy="393700"/>
                        </a:xfrm>
                        <a:prstGeom prst="rect">
                          <a:avLst/>
                        </a:prstGeom>
                        <a:noFill/>
                        <a:ln w="6350">
                          <a:noFill/>
                        </a:ln>
                        <a:extLst>
                          <a:ext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14:paraId="5CCC0A7B">
                            <w:pPr>
                              <w:rPr>
                                <w:rFonts w:hint="default" w:eastAsia="宋体"/>
                                <w:lang w:val="en-US" w:eastAsia="zh-CN"/>
                              </w:rPr>
                            </w:pPr>
                            <w:r>
                              <w:rPr>
                                <w:rFonts w:hint="eastAsia"/>
                                <w:lang w:val="en-US" w:eastAsia="zh-CN"/>
                              </w:rPr>
                              <w:t>项目所在地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6.4pt;margin-top:537.35pt;height:31pt;width:102.25pt;z-index:251852800;mso-width-relative:page;mso-height-relative:page;" filled="f" stroked="f" coordsize="21600,21600" o:gfxdata="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upkdDN0AAAANAQAADwAAAAAAAAABACAA&#10;AAAiAAAAZHJzL2Rvd25yZXYueG1sUEsBAhQAFAAAAAgAh07iQLz5v56zAgAAXgUAAA4AAAAAAAAA&#10;AQAgAAAALAEAAGRycy9lMm9Eb2MueG1sUEsFBgAAAAAGAAYAWQEAAFEGAAAAAA==&#10;">
                <v:fill on="f" focussize="0,0"/>
                <v:stroke on="f" weight="0.5pt"/>
                <v:imagedata o:title=""/>
                <o:lock v:ext="edit" aspectratio="f"/>
                <v:textbox>
                  <w:txbxContent>
                    <w:p w14:paraId="5CCC0A7B">
                      <w:pPr>
                        <w:rPr>
                          <w:rFonts w:hint="default" w:eastAsia="宋体"/>
                          <w:lang w:val="en-US" w:eastAsia="zh-CN"/>
                        </w:rPr>
                      </w:pPr>
                      <w:r>
                        <w:rPr>
                          <w:rFonts w:hint="eastAsia"/>
                          <w:lang w:val="en-US" w:eastAsia="zh-CN"/>
                        </w:rPr>
                        <w:t>项目所在地</w:t>
                      </w:r>
                    </w:p>
                  </w:txbxContent>
                </v:textbox>
              </v:shape>
            </w:pict>
          </mc:Fallback>
        </mc:AlternateContent>
      </w:r>
      <w:r>
        <w:rPr>
          <w:sz w:val="24"/>
        </w:rPr>
        <mc:AlternateContent>
          <mc:Choice Requires="wps">
            <w:drawing>
              <wp:anchor distT="0" distB="0" distL="114300" distR="114300" simplePos="0" relativeHeight="251851776" behindDoc="0" locked="0" layoutInCell="1" allowOverlap="1">
                <wp:simplePos x="0" y="0"/>
                <wp:positionH relativeFrom="column">
                  <wp:posOffset>3379470</wp:posOffset>
                </wp:positionH>
                <wp:positionV relativeFrom="paragraph">
                  <wp:posOffset>3038475</wp:posOffset>
                </wp:positionV>
                <wp:extent cx="226060" cy="3785870"/>
                <wp:effectExtent l="12700" t="635" r="66040" b="4445"/>
                <wp:wrapNone/>
                <wp:docPr id="181" name="直接箭头连接符 181"/>
                <wp:cNvGraphicFramePr/>
                <a:graphic xmlns:a="http://schemas.openxmlformats.org/drawingml/2006/main">
                  <a:graphicData uri="http://schemas.microsoft.com/office/word/2010/wordprocessingShape">
                    <wps:wsp>
                      <wps:cNvCnPr/>
                      <wps:spPr>
                        <a:xfrm>
                          <a:off x="4291965" y="3950335"/>
                          <a:ext cx="226060" cy="3785870"/>
                        </a:xfrm>
                        <a:prstGeom prst="straightConnector1">
                          <a:avLst/>
                        </a:prstGeom>
                        <a:ln>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66.1pt;margin-top:239.25pt;height:298.1pt;width:17.8pt;z-index:251851776;mso-width-relative:page;mso-height-relative:page;" filled="f" stroked="t" coordsize="21600,21600" o:gfxdata="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SEpFTZAAAADAEAAA8AAAAAAAAA&#10;AQAgAAAAIgAAAGRycy9kb3ducmV2LnhtbFBLAQIUABQAAAAIAIdO4kCfsjAcEAIAAN0DAAAOAAAA&#10;AAAAAAEAIAAAACgBAABkcnMvZTJvRG9jLnhtbFBLBQYAAAAABgAGAFkBAACqBQAAAAA=&#10;">
                <v:fill on="f" focussize="0,0"/>
                <v:stroke weight="2pt" color="#FF0000 [3204]" joinstyle="round" endarrow="open"/>
                <v:imagedata o:title=""/>
                <o:lock v:ext="edit" aspectratio="f"/>
              </v:shape>
            </w:pict>
          </mc:Fallback>
        </mc:AlternateContent>
      </w:r>
      <w:r>
        <w:drawing>
          <wp:anchor distT="0" distB="0" distL="114300" distR="114300" simplePos="0" relativeHeight="251850752" behindDoc="0" locked="0" layoutInCell="1" allowOverlap="1">
            <wp:simplePos x="0" y="0"/>
            <wp:positionH relativeFrom="column">
              <wp:posOffset>1809750</wp:posOffset>
            </wp:positionH>
            <wp:positionV relativeFrom="paragraph">
              <wp:posOffset>4282440</wp:posOffset>
            </wp:positionV>
            <wp:extent cx="3543935" cy="3126105"/>
            <wp:effectExtent l="0" t="0" r="18415" b="17145"/>
            <wp:wrapNone/>
            <wp:docPr id="180"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38"/>
                    <pic:cNvPicPr>
                      <a:picLocks noChangeAspect="1"/>
                    </pic:cNvPicPr>
                  </pic:nvPicPr>
                  <pic:blipFill>
                    <a:blip r:embed="rId26"/>
                    <a:stretch>
                      <a:fillRect/>
                    </a:stretch>
                  </pic:blipFill>
                  <pic:spPr>
                    <a:xfrm>
                      <a:off x="0" y="0"/>
                      <a:ext cx="3543935" cy="3126105"/>
                    </a:xfrm>
                    <a:prstGeom prst="rect">
                      <a:avLst/>
                    </a:prstGeom>
                    <a:noFill/>
                    <a:ln>
                      <a:noFill/>
                    </a:ln>
                  </pic:spPr>
                </pic:pic>
              </a:graphicData>
            </a:graphic>
          </wp:anchor>
        </w:drawing>
      </w:r>
      <w:r>
        <w:drawing>
          <wp:inline distT="0" distB="0" distL="114300" distR="114300">
            <wp:extent cx="5758180" cy="8021320"/>
            <wp:effectExtent l="0" t="0" r="13970" b="17780"/>
            <wp:docPr id="17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37"/>
                    <pic:cNvPicPr>
                      <a:picLocks noChangeAspect="1"/>
                    </pic:cNvPicPr>
                  </pic:nvPicPr>
                  <pic:blipFill>
                    <a:blip r:embed="rId27"/>
                    <a:stretch>
                      <a:fillRect/>
                    </a:stretch>
                  </pic:blipFill>
                  <pic:spPr>
                    <a:xfrm>
                      <a:off x="0" y="0"/>
                      <a:ext cx="5758180" cy="8021320"/>
                    </a:xfrm>
                    <a:prstGeom prst="rect">
                      <a:avLst/>
                    </a:prstGeom>
                    <a:noFill/>
                    <a:ln>
                      <a:noFill/>
                    </a:ln>
                  </pic:spPr>
                </pic:pic>
              </a:graphicData>
            </a:graphic>
          </wp:inline>
        </w:drawing>
      </w:r>
    </w:p>
    <w:p w14:paraId="419577B1">
      <w:pPr>
        <w:pStyle w:val="233"/>
        <w:ind w:firstLine="0" w:firstLineChars="0"/>
        <w:jc w:val="center"/>
        <w:rPr>
          <w:rFonts w:hint="eastAsia" w:ascii="Times New Roman" w:hAnsi="Times New Roman" w:eastAsia="黑体" w:cs="Times New Roman"/>
          <w:color w:val="auto"/>
        </w:rPr>
      </w:pPr>
      <w:r>
        <w:rPr>
          <w:rFonts w:ascii="Times New Roman" w:hAnsi="Times New Roman" w:eastAsia="黑体" w:cs="Times New Roman"/>
          <w:color w:val="auto"/>
        </w:rPr>
        <w:t>图2</w:t>
      </w:r>
      <w:r>
        <w:rPr>
          <w:rFonts w:hint="eastAsia" w:ascii="Times New Roman" w:hAnsi="Times New Roman" w:eastAsia="黑体" w:cs="Times New Roman"/>
          <w:color w:val="auto"/>
        </w:rPr>
        <w:t>.5</w:t>
      </w:r>
      <w:r>
        <w:rPr>
          <w:rFonts w:ascii="Times New Roman" w:hAnsi="Times New Roman" w:eastAsia="黑体" w:cs="Times New Roman"/>
          <w:color w:val="auto"/>
        </w:rPr>
        <w:t xml:space="preserve">-1  </w:t>
      </w:r>
      <w:r>
        <w:rPr>
          <w:rFonts w:hint="eastAsia" w:ascii="Times New Roman" w:hAnsi="Times New Roman" w:eastAsia="黑体" w:cs="Times New Roman"/>
          <w:color w:val="auto"/>
        </w:rPr>
        <w:t>淮河</w:t>
      </w:r>
      <w:r>
        <w:rPr>
          <w:rFonts w:ascii="Times New Roman" w:hAnsi="Times New Roman" w:eastAsia="黑体" w:cs="Times New Roman"/>
          <w:color w:val="auto"/>
        </w:rPr>
        <w:t>岸线利用规划图</w:t>
      </w:r>
    </w:p>
    <w:p w14:paraId="2A4E02AC">
      <w:pPr>
        <w:pStyle w:val="233"/>
        <w:spacing w:line="240" w:lineRule="auto"/>
        <w:ind w:firstLine="0" w:firstLineChars="0"/>
        <w:jc w:val="center"/>
        <w:rPr>
          <w:rFonts w:ascii="Times New Roman" w:hAnsi="Times New Roman" w:eastAsia="黑体" w:cs="Times New Roman"/>
          <w:color w:val="auto"/>
        </w:rPr>
        <w:sectPr>
          <w:pgSz w:w="11906" w:h="16838"/>
          <w:pgMar w:top="1417" w:right="1418" w:bottom="1417" w:left="1418" w:header="851" w:footer="850" w:gutter="0"/>
          <w:paperSrc/>
          <w:pgBorders>
            <w:top w:val="none" w:sz="0" w:space="0"/>
            <w:left w:val="none" w:sz="0" w:space="0"/>
            <w:bottom w:val="none" w:sz="0" w:space="0"/>
            <w:right w:val="none" w:sz="0" w:space="0"/>
          </w:pgBorders>
          <w:cols w:space="0" w:num="1"/>
          <w:rtlGutter w:val="0"/>
          <w:docGrid w:type="linesAndChars" w:linePitch="312" w:charSpace="190"/>
        </w:sectPr>
      </w:pPr>
    </w:p>
    <w:p w14:paraId="08B3FFDE">
      <w:pPr>
        <w:pStyle w:val="233"/>
        <w:spacing w:line="240" w:lineRule="auto"/>
        <w:ind w:firstLine="0" w:firstLineChars="0"/>
        <w:jc w:val="center"/>
        <w:rPr>
          <w:rFonts w:ascii="Times New Roman" w:hAnsi="Times New Roman" w:eastAsia="黑体" w:cs="Times New Roman"/>
          <w:color w:val="auto"/>
        </w:rPr>
      </w:pPr>
      <w:r>
        <w:rPr>
          <w:sz w:val="24"/>
        </w:rPr>
        <mc:AlternateContent>
          <mc:Choice Requires="wps">
            <w:drawing>
              <wp:anchor distT="0" distB="0" distL="114300" distR="114300" simplePos="0" relativeHeight="251849728" behindDoc="0" locked="0" layoutInCell="1" allowOverlap="1">
                <wp:simplePos x="0" y="0"/>
                <wp:positionH relativeFrom="column">
                  <wp:posOffset>2681605</wp:posOffset>
                </wp:positionH>
                <wp:positionV relativeFrom="paragraph">
                  <wp:posOffset>3691890</wp:posOffset>
                </wp:positionV>
                <wp:extent cx="892810" cy="368935"/>
                <wp:effectExtent l="0" t="0" r="0" b="0"/>
                <wp:wrapNone/>
                <wp:docPr id="136" name="文本框 136"/>
                <wp:cNvGraphicFramePr/>
                <a:graphic xmlns:a="http://schemas.openxmlformats.org/drawingml/2006/main">
                  <a:graphicData uri="http://schemas.microsoft.com/office/word/2010/wordprocessingShape">
                    <wps:wsp>
                      <wps:cNvSpPr txBox="1"/>
                      <wps:spPr>
                        <a:xfrm>
                          <a:off x="3463290" y="3281680"/>
                          <a:ext cx="892810" cy="368935"/>
                        </a:xfrm>
                        <a:prstGeom prst="rect">
                          <a:avLst/>
                        </a:prstGeom>
                        <a:noFill/>
                        <a:ln w="6350">
                          <a:noFill/>
                        </a:ln>
                        <a:extLst>
                          <a:ext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14:paraId="0E70E976">
                            <w:pPr>
                              <w:rPr>
                                <w:rFonts w:hint="default" w:eastAsia="宋体"/>
                                <w:b/>
                                <w:bCs/>
                                <w:lang w:val="en-US" w:eastAsia="zh-CN"/>
                              </w:rPr>
                            </w:pPr>
                            <w:r>
                              <w:rPr>
                                <w:rFonts w:hint="eastAsia"/>
                                <w:b/>
                                <w:bCs/>
                                <w:lang w:val="en-US" w:eastAsia="zh-CN"/>
                              </w:rPr>
                              <w:t>项目所在地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15pt;margin-top:290.7pt;height:29.05pt;width:70.3pt;z-index:251849728;mso-width-relative:page;mso-height-relative:page;" filled="f" stroked="f" coordsize="21600,21600" o:gfxdata="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KeSTezdAAAACwEAAA8AAAAAAAAAAQAgAAAAIgAA&#10;AGRycy9kb3ducmV2LnhtbFBLAQIUABQAAAAIAIdO4kDPVdOFrgIAAF0FAAAOAAAAAAAAAAEAIAAA&#10;ACwBAABkcnMvZTJvRG9jLnhtbFBLBQYAAAAABgAGAFkBAABMBgAAAAA=&#10;">
                <v:fill on="f" focussize="0,0"/>
                <v:stroke on="f" weight="0.5pt"/>
                <v:imagedata o:title=""/>
                <o:lock v:ext="edit" aspectratio="f"/>
                <v:textbox>
                  <w:txbxContent>
                    <w:p w14:paraId="0E70E976">
                      <w:pPr>
                        <w:rPr>
                          <w:rFonts w:hint="default" w:eastAsia="宋体"/>
                          <w:b/>
                          <w:bCs/>
                          <w:lang w:val="en-US" w:eastAsia="zh-CN"/>
                        </w:rPr>
                      </w:pPr>
                      <w:r>
                        <w:rPr>
                          <w:rFonts w:hint="eastAsia"/>
                          <w:b/>
                          <w:bCs/>
                          <w:lang w:val="en-US" w:eastAsia="zh-CN"/>
                        </w:rPr>
                        <w:t>项目所在地</w:t>
                      </w:r>
                    </w:p>
                  </w:txbxContent>
                </v:textbox>
              </v:shape>
            </w:pict>
          </mc:Fallback>
        </mc:AlternateContent>
      </w:r>
      <w:r>
        <w:rPr>
          <w:sz w:val="24"/>
        </w:rPr>
        <mc:AlternateContent>
          <mc:Choice Requires="wps">
            <w:drawing>
              <wp:anchor distT="0" distB="0" distL="114300" distR="114300" simplePos="0" relativeHeight="251848704" behindDoc="0" locked="0" layoutInCell="1" allowOverlap="1">
                <wp:simplePos x="0" y="0"/>
                <wp:positionH relativeFrom="column">
                  <wp:posOffset>3086735</wp:posOffset>
                </wp:positionH>
                <wp:positionV relativeFrom="paragraph">
                  <wp:posOffset>3429635</wp:posOffset>
                </wp:positionV>
                <wp:extent cx="178435" cy="178435"/>
                <wp:effectExtent l="12700" t="12700" r="18415" b="18415"/>
                <wp:wrapNone/>
                <wp:docPr id="131" name="椭圆 131"/>
                <wp:cNvGraphicFramePr/>
                <a:graphic xmlns:a="http://schemas.openxmlformats.org/drawingml/2006/main">
                  <a:graphicData uri="http://schemas.microsoft.com/office/word/2010/wordprocessingShape">
                    <wps:wsp>
                      <wps:cNvSpPr/>
                      <wps:spPr>
                        <a:xfrm>
                          <a:off x="3987165" y="4329430"/>
                          <a:ext cx="178435" cy="178435"/>
                        </a:xfrm>
                        <a:prstGeom prst="ellipse">
                          <a:avLst/>
                        </a:prstGeom>
                        <a:solidFill>
                          <a:srgbClr val="FF0000"/>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43.05pt;margin-top:270.05pt;height:14.05pt;width:14.05pt;z-index:251848704;v-text-anchor:middle;mso-width-relative:page;mso-height-relative:page;" fillcolor="#FF0000" filled="t" stroked="t" coordsize="21600,21600" o:gfxdata="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kuOhutoAAAALAQAADwAAAAAAAAABACAAAAAiAAAAZHJzL2Rv&#10;d25yZXYueG1sUEsBAhQAFAAAAAgAh07iQIu5hoxxAgAA7wQAAA4AAAAAAAAAAQAgAAAAKQEAAGRy&#10;cy9lMm9Eb2MueG1sUEsFBgAAAAAGAAYAWQEAAAwGAAAAAA==&#10;">
                <v:fill on="t" focussize="0,0"/>
                <v:stroke weight="2pt" color="#000000 [3213]" joinstyle="round"/>
                <v:imagedata o:title=""/>
                <o:lock v:ext="edit" aspectratio="f"/>
              </v:shape>
            </w:pict>
          </mc:Fallback>
        </mc:AlternateContent>
      </w:r>
      <w:r>
        <w:drawing>
          <wp:inline distT="0" distB="0" distL="114300" distR="114300">
            <wp:extent cx="13298170" cy="5450840"/>
            <wp:effectExtent l="0" t="0" r="17780" b="16510"/>
            <wp:docPr id="5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5"/>
                    <pic:cNvPicPr>
                      <a:picLocks noChangeAspect="1"/>
                    </pic:cNvPicPr>
                  </pic:nvPicPr>
                  <pic:blipFill>
                    <a:blip r:embed="rId28"/>
                    <a:stretch>
                      <a:fillRect/>
                    </a:stretch>
                  </pic:blipFill>
                  <pic:spPr>
                    <a:xfrm>
                      <a:off x="0" y="0"/>
                      <a:ext cx="13298170" cy="5450840"/>
                    </a:xfrm>
                    <a:prstGeom prst="rect">
                      <a:avLst/>
                    </a:prstGeom>
                    <a:noFill/>
                    <a:ln>
                      <a:noFill/>
                    </a:ln>
                  </pic:spPr>
                </pic:pic>
              </a:graphicData>
            </a:graphic>
          </wp:inline>
        </w:drawing>
      </w:r>
      <w:r>
        <w:rPr>
          <w:rFonts w:ascii="Times New Roman" w:hAnsi="Times New Roman" w:eastAsia="黑体" w:cs="Times New Roman"/>
          <w:color w:val="auto"/>
        </w:rPr>
        <w:t>图2</w:t>
      </w:r>
      <w:r>
        <w:rPr>
          <w:rFonts w:hint="eastAsia" w:ascii="Times New Roman" w:hAnsi="Times New Roman" w:eastAsia="黑体" w:cs="Times New Roman"/>
          <w:color w:val="auto"/>
        </w:rPr>
        <w:t>.5</w:t>
      </w:r>
      <w:r>
        <w:rPr>
          <w:rFonts w:ascii="Times New Roman" w:hAnsi="Times New Roman" w:eastAsia="黑体" w:cs="Times New Roman"/>
          <w:color w:val="auto"/>
        </w:rPr>
        <w:t>-</w:t>
      </w:r>
      <w:r>
        <w:rPr>
          <w:rFonts w:hint="eastAsia" w:ascii="Times New Roman" w:hAnsi="Times New Roman" w:eastAsia="黑体" w:cs="Times New Roman"/>
          <w:color w:val="auto"/>
        </w:rPr>
        <w:t>2</w:t>
      </w:r>
      <w:r>
        <w:rPr>
          <w:rFonts w:ascii="Times New Roman" w:hAnsi="Times New Roman" w:eastAsia="黑体" w:cs="Times New Roman"/>
          <w:color w:val="auto"/>
        </w:rPr>
        <w:t xml:space="preserve">  </w:t>
      </w:r>
      <w:r>
        <w:rPr>
          <w:rFonts w:hint="eastAsia" w:ascii="Times New Roman" w:hAnsi="Times New Roman" w:eastAsia="黑体" w:cs="Times New Roman"/>
          <w:color w:val="auto"/>
        </w:rPr>
        <w:t>本项目与平圩作业区位置关系</w:t>
      </w:r>
    </w:p>
    <w:p w14:paraId="01924C97">
      <w:pPr>
        <w:pStyle w:val="233"/>
        <w:ind w:firstLine="0" w:firstLineChars="0"/>
        <w:rPr>
          <w:rFonts w:hint="eastAsia"/>
          <w:color w:val="auto"/>
        </w:rPr>
        <w:sectPr>
          <w:pgSz w:w="23811" w:h="16838" w:orient="landscape"/>
          <w:pgMar w:top="1417" w:right="1418" w:bottom="1417" w:left="1418" w:header="851" w:footer="850" w:gutter="0"/>
          <w:paperSrc/>
          <w:pgBorders>
            <w:top w:val="none" w:sz="0" w:space="0"/>
            <w:left w:val="none" w:sz="0" w:space="0"/>
            <w:bottom w:val="none" w:sz="0" w:space="0"/>
            <w:right w:val="none" w:sz="0" w:space="0"/>
          </w:pgBorders>
          <w:cols w:space="0" w:num="1"/>
          <w:rtlGutter w:val="0"/>
          <w:docGrid w:type="linesAndChars" w:linePitch="318" w:charSpace="382"/>
        </w:sectPr>
      </w:pPr>
    </w:p>
    <w:p w14:paraId="24E99DBA">
      <w:pPr>
        <w:pStyle w:val="5"/>
        <w:numPr>
          <w:ilvl w:val="0"/>
          <w:numId w:val="0"/>
        </w:numPr>
        <w:rPr>
          <w:color w:val="auto"/>
        </w:rPr>
      </w:pPr>
      <w:bookmarkStart w:id="72" w:name="_Hlk40173610"/>
      <w:r>
        <w:rPr>
          <w:rFonts w:hint="eastAsia"/>
          <w:color w:val="auto"/>
        </w:rPr>
        <w:t>2.5.2.2</w:t>
      </w:r>
      <w:r>
        <w:rPr>
          <w:color w:val="auto"/>
        </w:rPr>
        <w:t>与《</w:t>
      </w:r>
      <w:r>
        <w:rPr>
          <w:color w:val="auto"/>
          <w:lang w:val="en-US" w:eastAsia="zh-CN"/>
        </w:rPr>
        <w:t>淮南市“十四五”交通运输发展规划</w:t>
      </w:r>
      <w:r>
        <w:rPr>
          <w:color w:val="auto"/>
        </w:rPr>
        <w:t>》的相符性分析</w:t>
      </w:r>
    </w:p>
    <w:p w14:paraId="5D234034">
      <w:pPr>
        <w:spacing w:line="360" w:lineRule="auto"/>
        <w:ind w:firstLine="480" w:firstLineChars="200"/>
        <w:rPr>
          <w:color w:val="auto"/>
          <w:sz w:val="24"/>
        </w:rPr>
      </w:pPr>
      <w:r>
        <w:rPr>
          <w:color w:val="auto"/>
          <w:sz w:val="24"/>
        </w:rPr>
        <w:t>根据《</w:t>
      </w:r>
      <w:r>
        <w:rPr>
          <w:color w:val="auto"/>
          <w:sz w:val="24"/>
          <w:lang w:val="en-US" w:eastAsia="zh-CN"/>
        </w:rPr>
        <w:t>淮南市“十四五”交通运输发展规划</w:t>
      </w:r>
      <w:r>
        <w:rPr>
          <w:color w:val="auto"/>
          <w:sz w:val="24"/>
        </w:rPr>
        <w:t>》中对外交通规划：</w:t>
      </w:r>
      <w:r>
        <w:rPr>
          <w:color w:val="auto"/>
          <w:sz w:val="24"/>
          <w:lang w:val="en-US" w:eastAsia="zh-CN"/>
        </w:rPr>
        <w:t>港航建设有序推进</w:t>
      </w:r>
      <w:r>
        <w:rPr>
          <w:rFonts w:hint="eastAsia"/>
          <w:color w:val="auto"/>
          <w:sz w:val="24"/>
          <w:lang w:val="en-US" w:eastAsia="zh-CN"/>
        </w:rPr>
        <w:t>。</w:t>
      </w:r>
      <w:r>
        <w:rPr>
          <w:color w:val="auto"/>
          <w:sz w:val="24"/>
          <w:lang w:val="en-US" w:eastAsia="zh-CN"/>
        </w:rPr>
        <w:t>一是全力打造通江达海水运网。按照全</w:t>
      </w:r>
      <w:r>
        <w:rPr>
          <w:rFonts w:hint="default"/>
          <w:color w:val="auto"/>
          <w:sz w:val="24"/>
          <w:lang w:val="en-US" w:eastAsia="zh-CN"/>
        </w:rPr>
        <w:t>省统一部署，协助推进引江济淮工程淮南段建设，完成了东淝河船闸、瓦埠湖大桥、东津渡大桥等重要节点工程；积极推动淮河干流航道整治，按二级航道标准对淮河淮南段全面进行整治。二是加快推进港口码头建设。累计完成港口工程固定资产投资亿元，相继实施建设了安徽煤化工（淮南）基地配套码头、中安联合茨淮新河码头、淮南港皖江物流综合码头、潘集港区店集码头、鑫淮码头、连岗码头等一批港口码头工程</w:t>
      </w:r>
      <w:r>
        <w:rPr>
          <w:color w:val="auto"/>
          <w:sz w:val="24"/>
        </w:rPr>
        <w:t>。</w:t>
      </w:r>
    </w:p>
    <w:p w14:paraId="6AE42B88">
      <w:pPr>
        <w:spacing w:line="360" w:lineRule="auto"/>
        <w:ind w:firstLine="480" w:firstLineChars="200"/>
        <w:rPr>
          <w:color w:val="auto"/>
          <w:sz w:val="24"/>
        </w:rPr>
      </w:pPr>
      <w:r>
        <w:rPr>
          <w:color w:val="auto"/>
          <w:sz w:val="24"/>
        </w:rPr>
        <w:t>本项目为</w:t>
      </w:r>
      <w:r>
        <w:rPr>
          <w:rFonts w:hint="eastAsia"/>
          <w:color w:val="auto"/>
          <w:sz w:val="24"/>
        </w:rPr>
        <w:t>散货</w:t>
      </w:r>
      <w:r>
        <w:rPr>
          <w:color w:val="auto"/>
          <w:sz w:val="24"/>
        </w:rPr>
        <w:t>码头，</w:t>
      </w:r>
      <w:r>
        <w:rPr>
          <w:rFonts w:hint="eastAsia"/>
          <w:color w:val="auto"/>
          <w:sz w:val="24"/>
        </w:rPr>
        <w:t>主要</w:t>
      </w:r>
      <w:r>
        <w:rPr>
          <w:color w:val="auto"/>
          <w:sz w:val="24"/>
        </w:rPr>
        <w:t>运输货种为煤炭</w:t>
      </w:r>
      <w:r>
        <w:rPr>
          <w:rFonts w:hint="eastAsia"/>
          <w:color w:val="auto"/>
          <w:sz w:val="24"/>
        </w:rPr>
        <w:t>、矿建材料</w:t>
      </w:r>
      <w:r>
        <w:rPr>
          <w:color w:val="auto"/>
          <w:sz w:val="24"/>
        </w:rPr>
        <w:t>，位于</w:t>
      </w:r>
      <w:r>
        <w:rPr>
          <w:rFonts w:hint="eastAsia"/>
          <w:color w:val="auto"/>
          <w:sz w:val="24"/>
        </w:rPr>
        <w:t>潘集港区平圩作业区</w:t>
      </w:r>
      <w:r>
        <w:rPr>
          <w:color w:val="auto"/>
          <w:sz w:val="24"/>
        </w:rPr>
        <w:t>，符合《</w:t>
      </w:r>
      <w:r>
        <w:rPr>
          <w:color w:val="auto"/>
          <w:sz w:val="24"/>
          <w:lang w:val="en-US" w:eastAsia="zh-CN"/>
        </w:rPr>
        <w:t>淮南市“十四五”交通运输发展规划</w:t>
      </w:r>
      <w:r>
        <w:rPr>
          <w:color w:val="auto"/>
          <w:sz w:val="24"/>
        </w:rPr>
        <w:t>》。</w:t>
      </w:r>
      <w:bookmarkEnd w:id="72"/>
    </w:p>
    <w:p w14:paraId="404E6160">
      <w:pPr>
        <w:pStyle w:val="5"/>
        <w:numPr>
          <w:ilvl w:val="0"/>
          <w:numId w:val="0"/>
        </w:numPr>
        <w:rPr>
          <w:color w:val="auto"/>
        </w:rPr>
      </w:pPr>
      <w:r>
        <w:rPr>
          <w:rFonts w:hint="eastAsia"/>
          <w:color w:val="auto"/>
        </w:rPr>
        <w:t>2.5.2.3</w:t>
      </w:r>
      <w:r>
        <w:rPr>
          <w:color w:val="auto"/>
        </w:rPr>
        <w:t>与《淮南市</w:t>
      </w:r>
      <w:r>
        <w:rPr>
          <w:rFonts w:hint="eastAsia"/>
          <w:color w:val="auto"/>
        </w:rPr>
        <w:t>新建港口码头配备绿色环保装载运输工具实施方案</w:t>
      </w:r>
      <w:r>
        <w:rPr>
          <w:color w:val="auto"/>
        </w:rPr>
        <w:t>》的相符性分析</w:t>
      </w:r>
    </w:p>
    <w:p w14:paraId="42090C90">
      <w:pPr>
        <w:spacing w:line="360" w:lineRule="auto"/>
        <w:ind w:firstLine="480" w:firstLineChars="200"/>
        <w:rPr>
          <w:rFonts w:hint="eastAsia"/>
          <w:color w:val="auto"/>
          <w:sz w:val="24"/>
        </w:rPr>
      </w:pPr>
      <w:r>
        <w:rPr>
          <w:rFonts w:hint="eastAsia"/>
          <w:color w:val="auto"/>
          <w:sz w:val="24"/>
        </w:rPr>
        <w:t>具体相符性分析见</w:t>
      </w:r>
      <w:r>
        <w:rPr>
          <w:color w:val="auto"/>
          <w:sz w:val="24"/>
        </w:rPr>
        <w:t>表2.5-2</w:t>
      </w:r>
      <w:r>
        <w:rPr>
          <w:rFonts w:hint="eastAsia"/>
          <w:color w:val="auto"/>
          <w:sz w:val="24"/>
        </w:rPr>
        <w:t>。</w:t>
      </w:r>
    </w:p>
    <w:p w14:paraId="1D78ADC9">
      <w:pPr>
        <w:spacing w:line="400" w:lineRule="exact"/>
        <w:jc w:val="center"/>
        <w:rPr>
          <w:color w:val="auto"/>
          <w:sz w:val="24"/>
        </w:rPr>
      </w:pPr>
      <w:r>
        <w:rPr>
          <w:rFonts w:eastAsia="黑体"/>
          <w:color w:val="auto"/>
          <w:sz w:val="24"/>
        </w:rPr>
        <w:t>表2.5-2  与《淮南市新建港口码头配备绿色环保装载运输工具实施方案》相符性分析</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60"/>
        <w:gridCol w:w="3769"/>
        <w:gridCol w:w="1157"/>
      </w:tblGrid>
      <w:tr w14:paraId="607FFD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4360" w:type="dxa"/>
            <w:noWrap w:val="0"/>
            <w:vAlign w:val="center"/>
          </w:tcPr>
          <w:p w14:paraId="16E2C2F9">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b/>
                <w:color w:val="auto"/>
                <w:sz w:val="21"/>
                <w:szCs w:val="21"/>
              </w:rPr>
            </w:pPr>
            <w:r>
              <w:rPr>
                <w:rFonts w:hint="eastAsia" w:ascii="Times New Roman" w:hAnsi="Times New Roman" w:cs="Times New Roman"/>
                <w:b/>
                <w:color w:val="auto"/>
                <w:sz w:val="21"/>
                <w:szCs w:val="21"/>
              </w:rPr>
              <w:t>实施方案</w:t>
            </w:r>
            <w:r>
              <w:rPr>
                <w:rFonts w:hint="default" w:ascii="Times New Roman" w:hAnsi="Times New Roman" w:cs="Times New Roman"/>
                <w:b/>
                <w:color w:val="auto"/>
                <w:sz w:val="21"/>
                <w:szCs w:val="21"/>
              </w:rPr>
              <w:t>要求</w:t>
            </w:r>
          </w:p>
        </w:tc>
        <w:tc>
          <w:tcPr>
            <w:tcW w:w="3769" w:type="dxa"/>
            <w:noWrap w:val="0"/>
            <w:vAlign w:val="center"/>
          </w:tcPr>
          <w:p w14:paraId="50321E4D">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项目情况</w:t>
            </w:r>
          </w:p>
        </w:tc>
        <w:tc>
          <w:tcPr>
            <w:tcW w:w="1157" w:type="dxa"/>
            <w:noWrap w:val="0"/>
            <w:vAlign w:val="center"/>
          </w:tcPr>
          <w:p w14:paraId="11E89418">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符合性判定</w:t>
            </w:r>
          </w:p>
        </w:tc>
      </w:tr>
      <w:tr w14:paraId="5E0BDE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60" w:type="dxa"/>
            <w:noWrap w:val="0"/>
            <w:vAlign w:val="center"/>
          </w:tcPr>
          <w:p w14:paraId="74020135">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推动新建港口码头统一配备绿色环保装载运输工具。新建港口码头一律按照本方案要求统一配备绿色环保装载机械、运输工具（进港运输车辆需采用封闭式运输）</w:t>
            </w:r>
          </w:p>
        </w:tc>
        <w:tc>
          <w:tcPr>
            <w:tcW w:w="3769" w:type="dxa"/>
            <w:noWrap w:val="0"/>
            <w:vAlign w:val="center"/>
          </w:tcPr>
          <w:p w14:paraId="53BD47C0">
            <w:pPr>
              <w:pStyle w:val="277"/>
              <w:keepNext w:val="0"/>
              <w:keepLines w:val="0"/>
              <w:suppressLineNumbers w:val="0"/>
              <w:spacing w:before="0" w:beforeAutospacing="0" w:after="0" w:afterAutospacing="0" w:line="280" w:lineRule="exact"/>
              <w:ind w:left="0" w:right="0"/>
              <w:rPr>
                <w:rFonts w:hint="eastAsia" w:ascii="Times New Roman" w:hAnsi="Times New Roman" w:cs="Times New Roman"/>
                <w:color w:val="auto"/>
                <w:sz w:val="21"/>
                <w:szCs w:val="21"/>
              </w:rPr>
            </w:pPr>
            <w:r>
              <w:rPr>
                <w:rFonts w:hint="eastAsia" w:cs="Times New Roman"/>
                <w:color w:val="auto"/>
                <w:sz w:val="21"/>
                <w:szCs w:val="21"/>
                <w:lang w:val="en-US" w:eastAsia="zh-CN"/>
              </w:rPr>
              <w:t>本码头</w:t>
            </w:r>
            <w:r>
              <w:rPr>
                <w:rFonts w:hint="eastAsia" w:ascii="Times New Roman" w:hAnsi="Times New Roman" w:cs="Times New Roman"/>
                <w:color w:val="auto"/>
                <w:sz w:val="21"/>
                <w:szCs w:val="21"/>
              </w:rPr>
              <w:t>严格按照文件要求，建设单位应逐步配备</w:t>
            </w:r>
            <w:r>
              <w:rPr>
                <w:rFonts w:hint="default" w:ascii="Times New Roman" w:hAnsi="Times New Roman" w:cs="Times New Roman"/>
                <w:color w:val="auto"/>
                <w:sz w:val="21"/>
                <w:szCs w:val="21"/>
              </w:rPr>
              <w:t>绿色环保装载运输工具</w:t>
            </w:r>
            <w:r>
              <w:rPr>
                <w:rFonts w:hint="eastAsia" w:ascii="Times New Roman" w:hAnsi="Times New Roman" w:cs="Times New Roman"/>
                <w:color w:val="auto"/>
                <w:sz w:val="21"/>
                <w:szCs w:val="21"/>
              </w:rPr>
              <w:t>。进出码头的车辆采用</w:t>
            </w:r>
            <w:r>
              <w:rPr>
                <w:rFonts w:hint="default" w:ascii="Times New Roman" w:hAnsi="Times New Roman" w:cs="Times New Roman"/>
                <w:color w:val="auto"/>
                <w:sz w:val="21"/>
                <w:szCs w:val="21"/>
              </w:rPr>
              <w:t>封闭式运输</w:t>
            </w:r>
            <w:r>
              <w:rPr>
                <w:rFonts w:hint="eastAsia" w:cs="Times New Roman"/>
                <w:color w:val="auto"/>
                <w:sz w:val="21"/>
                <w:szCs w:val="21"/>
                <w:lang w:eastAsia="zh-CN"/>
              </w:rPr>
              <w:t>，</w:t>
            </w:r>
            <w:r>
              <w:rPr>
                <w:rFonts w:hint="eastAsia" w:cs="Times New Roman"/>
                <w:color w:val="auto"/>
                <w:sz w:val="21"/>
                <w:szCs w:val="21"/>
                <w:lang w:val="en-US" w:eastAsia="zh-CN"/>
              </w:rPr>
              <w:t>同时本项目装卸作业使用的装船机皮带密闭</w:t>
            </w:r>
            <w:r>
              <w:rPr>
                <w:rFonts w:hint="eastAsia" w:ascii="Times New Roman" w:hAnsi="Times New Roman" w:cs="Times New Roman"/>
                <w:color w:val="auto"/>
                <w:sz w:val="21"/>
                <w:szCs w:val="21"/>
              </w:rPr>
              <w:t>。</w:t>
            </w:r>
          </w:p>
        </w:tc>
        <w:tc>
          <w:tcPr>
            <w:tcW w:w="1157" w:type="dxa"/>
            <w:noWrap w:val="0"/>
            <w:vAlign w:val="center"/>
          </w:tcPr>
          <w:p w14:paraId="50B9588A">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2EAE09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60" w:type="dxa"/>
            <w:noWrap w:val="0"/>
            <w:vAlign w:val="center"/>
          </w:tcPr>
          <w:p w14:paraId="2C4FFD6E">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加快港口码头装卸机械、运输工具的改造。港口码头企业要加快装卸机械、运输工具动力系统的技术改造，对港区内作业的装载机械、水平运输机械统一采用“油改气”技术；逐步推进港口码头靠港船舶岸电系统改造。</w:t>
            </w:r>
          </w:p>
        </w:tc>
        <w:tc>
          <w:tcPr>
            <w:tcW w:w="3769" w:type="dxa"/>
            <w:noWrap w:val="0"/>
            <w:vAlign w:val="center"/>
          </w:tcPr>
          <w:p w14:paraId="215F4321">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根据方案要求，拟建项目在港区设置的装载机械设备、水平运输机械设备采用“油改气”技术</w:t>
            </w: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拟建项目设置岸电系统，确保到港船舶使用岸电</w:t>
            </w:r>
            <w:r>
              <w:rPr>
                <w:rFonts w:hint="default" w:ascii="Times New Roman" w:hAnsi="Times New Roman" w:cs="Times New Roman"/>
                <w:color w:val="auto"/>
                <w:sz w:val="21"/>
                <w:szCs w:val="21"/>
              </w:rPr>
              <w:t>。</w:t>
            </w:r>
          </w:p>
        </w:tc>
        <w:tc>
          <w:tcPr>
            <w:tcW w:w="1157" w:type="dxa"/>
            <w:noWrap w:val="0"/>
            <w:vAlign w:val="center"/>
          </w:tcPr>
          <w:p w14:paraId="7FA2B0F7">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4D72F2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60" w:type="dxa"/>
            <w:noWrap w:val="0"/>
            <w:vAlign w:val="center"/>
          </w:tcPr>
          <w:p w14:paraId="37C5D67E">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鼓励建造封闭式廊道运输。推动新建港口码头建设封闭式廊道运输，优化装卸运输工艺，提升港口码头环保能力，可采用后方仓库--管道--船的装卸方式，减少货物抛撒，污染环境。</w:t>
            </w:r>
          </w:p>
        </w:tc>
        <w:tc>
          <w:tcPr>
            <w:tcW w:w="3769" w:type="dxa"/>
            <w:noWrap w:val="0"/>
            <w:vAlign w:val="center"/>
          </w:tcPr>
          <w:p w14:paraId="48975492">
            <w:pPr>
              <w:pStyle w:val="277"/>
              <w:keepNext w:val="0"/>
              <w:keepLines w:val="0"/>
              <w:suppressLineNumbers w:val="0"/>
              <w:spacing w:before="0" w:beforeAutospacing="0" w:after="0" w:afterAutospacing="0" w:line="280" w:lineRule="exact"/>
              <w:ind w:left="0" w:right="0"/>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拟建项目属于散货码头，主要运输货种包括煤炭、矿建材料</w:t>
            </w:r>
            <w:r>
              <w:rPr>
                <w:rFonts w:hint="eastAsia" w:cs="Times New Roman"/>
                <w:color w:val="auto"/>
                <w:sz w:val="21"/>
                <w:szCs w:val="21"/>
                <w:lang w:eastAsia="zh-CN"/>
              </w:rPr>
              <w:t>、</w:t>
            </w:r>
            <w:r>
              <w:rPr>
                <w:rFonts w:hint="eastAsia" w:cs="Times New Roman"/>
                <w:color w:val="auto"/>
                <w:sz w:val="21"/>
                <w:szCs w:val="21"/>
                <w:lang w:val="en-US" w:eastAsia="zh-CN"/>
              </w:rPr>
              <w:t>件杂货</w:t>
            </w:r>
            <w:r>
              <w:rPr>
                <w:rFonts w:hint="eastAsia" w:ascii="Times New Roman" w:hAnsi="Times New Roman" w:cs="Times New Roman"/>
                <w:color w:val="auto"/>
                <w:sz w:val="21"/>
                <w:szCs w:val="21"/>
              </w:rPr>
              <w:t>，建设单位不设置堆场，采用自卸汽车及流动装船机，从而提升港口码头环保能力，减少货物抛撒，</w:t>
            </w:r>
            <w:r>
              <w:rPr>
                <w:rFonts w:hint="eastAsia" w:cs="Times New Roman"/>
                <w:color w:val="auto"/>
                <w:sz w:val="21"/>
                <w:szCs w:val="21"/>
                <w:lang w:eastAsia="zh-CN"/>
              </w:rPr>
              <w:t>避免</w:t>
            </w:r>
            <w:r>
              <w:rPr>
                <w:rFonts w:hint="eastAsia" w:ascii="Times New Roman" w:hAnsi="Times New Roman" w:cs="Times New Roman"/>
                <w:color w:val="auto"/>
                <w:sz w:val="21"/>
                <w:szCs w:val="21"/>
              </w:rPr>
              <w:t>污染环境。</w:t>
            </w:r>
          </w:p>
        </w:tc>
        <w:tc>
          <w:tcPr>
            <w:tcW w:w="1157" w:type="dxa"/>
            <w:noWrap w:val="0"/>
            <w:vAlign w:val="center"/>
          </w:tcPr>
          <w:p w14:paraId="1A4480CE">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0D0201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60" w:type="dxa"/>
            <w:noWrap w:val="0"/>
            <w:vAlign w:val="center"/>
          </w:tcPr>
          <w:p w14:paraId="50972AD2">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强化货场扬尘整治。辖区内所有港口码头均需要统一配备除尘降尘设备，码头前沿安装喷淋</w:t>
            </w:r>
            <w:r>
              <w:rPr>
                <w:rFonts w:hint="eastAsia" w:cs="Times New Roman"/>
                <w:color w:val="auto"/>
                <w:sz w:val="21"/>
                <w:szCs w:val="21"/>
                <w:lang w:eastAsia="zh-CN"/>
              </w:rPr>
              <w:t>设施</w:t>
            </w:r>
            <w:r>
              <w:rPr>
                <w:rFonts w:hint="default" w:ascii="Times New Roman" w:hAnsi="Times New Roman" w:cs="Times New Roman"/>
                <w:color w:val="auto"/>
                <w:sz w:val="21"/>
                <w:szCs w:val="21"/>
              </w:rPr>
              <w:t>，减少装卸时的扬尘污染。严禁露天堆放散装货物、严禁在堆场晾晒掺配煤制品。</w:t>
            </w:r>
          </w:p>
        </w:tc>
        <w:tc>
          <w:tcPr>
            <w:tcW w:w="3769" w:type="dxa"/>
            <w:noWrap w:val="0"/>
            <w:vAlign w:val="center"/>
          </w:tcPr>
          <w:p w14:paraId="1E0F9B07">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项目流动</w:t>
            </w:r>
            <w:r>
              <w:rPr>
                <w:rFonts w:hint="default" w:ascii="Times New Roman" w:hAnsi="Times New Roman" w:cs="Times New Roman"/>
                <w:color w:val="auto"/>
                <w:sz w:val="21"/>
                <w:szCs w:val="21"/>
              </w:rPr>
              <w:t>装船机、</w:t>
            </w:r>
            <w:r>
              <w:rPr>
                <w:rFonts w:hint="eastAsia" w:ascii="Times New Roman" w:hAnsi="Times New Roman" w:cs="Times New Roman"/>
                <w:color w:val="auto"/>
                <w:sz w:val="21"/>
                <w:szCs w:val="21"/>
              </w:rPr>
              <w:t>泊位</w:t>
            </w:r>
            <w:r>
              <w:rPr>
                <w:rFonts w:hint="default" w:ascii="Times New Roman" w:hAnsi="Times New Roman" w:cs="Times New Roman"/>
                <w:color w:val="auto"/>
                <w:sz w:val="21"/>
                <w:szCs w:val="21"/>
              </w:rPr>
              <w:t>处设置</w:t>
            </w:r>
            <w:r>
              <w:rPr>
                <w:rFonts w:hint="eastAsia" w:ascii="Times New Roman" w:hAnsi="Times New Roman" w:cs="Times New Roman"/>
                <w:color w:val="auto"/>
                <w:sz w:val="21"/>
                <w:szCs w:val="21"/>
              </w:rPr>
              <w:t>喷雾</w:t>
            </w:r>
            <w:r>
              <w:rPr>
                <w:rFonts w:hint="default" w:ascii="Times New Roman" w:hAnsi="Times New Roman" w:cs="Times New Roman"/>
                <w:color w:val="auto"/>
                <w:sz w:val="21"/>
                <w:szCs w:val="21"/>
              </w:rPr>
              <w:t>抑尘系统，</w:t>
            </w:r>
            <w:r>
              <w:rPr>
                <w:rFonts w:hint="eastAsia" w:ascii="Times New Roman" w:hAnsi="Times New Roman" w:cs="Times New Roman"/>
                <w:color w:val="auto"/>
                <w:sz w:val="21"/>
                <w:szCs w:val="21"/>
              </w:rPr>
              <w:t>流动</w:t>
            </w:r>
            <w:r>
              <w:rPr>
                <w:rFonts w:hint="default" w:ascii="Times New Roman" w:hAnsi="Times New Roman" w:cs="Times New Roman"/>
                <w:color w:val="auto"/>
                <w:sz w:val="21"/>
                <w:szCs w:val="21"/>
              </w:rPr>
              <w:t>装船机</w:t>
            </w:r>
            <w:r>
              <w:rPr>
                <w:rFonts w:hint="eastAsia" w:ascii="Times New Roman" w:hAnsi="Times New Roman" w:cs="Times New Roman"/>
                <w:color w:val="auto"/>
                <w:sz w:val="21"/>
                <w:szCs w:val="21"/>
              </w:rPr>
              <w:t>皮带密闭，</w:t>
            </w:r>
            <w:r>
              <w:rPr>
                <w:rFonts w:hint="default" w:ascii="Times New Roman" w:hAnsi="Times New Roman" w:cs="Times New Roman"/>
                <w:color w:val="auto"/>
                <w:sz w:val="21"/>
                <w:szCs w:val="21"/>
              </w:rPr>
              <w:t>减少装卸时的扬尘污染</w:t>
            </w:r>
          </w:p>
        </w:tc>
        <w:tc>
          <w:tcPr>
            <w:tcW w:w="1157" w:type="dxa"/>
            <w:noWrap w:val="0"/>
            <w:vAlign w:val="center"/>
          </w:tcPr>
          <w:p w14:paraId="7D5F6F79">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0FAAF2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360" w:type="dxa"/>
            <w:noWrap w:val="0"/>
            <w:vAlign w:val="center"/>
          </w:tcPr>
          <w:p w14:paraId="285184C2">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加快推进环保设施更新升级。推进现有港口码头企业环保设施的更新升级，确保完成我市港口码头环保整治任务。</w:t>
            </w:r>
          </w:p>
        </w:tc>
        <w:tc>
          <w:tcPr>
            <w:tcW w:w="3769" w:type="dxa"/>
            <w:noWrap w:val="0"/>
            <w:vAlign w:val="center"/>
          </w:tcPr>
          <w:p w14:paraId="6C892426">
            <w:pPr>
              <w:pStyle w:val="277"/>
              <w:keepNext w:val="0"/>
              <w:keepLines w:val="0"/>
              <w:suppressLineNumbers w:val="0"/>
              <w:spacing w:before="0" w:beforeAutospacing="0" w:after="0" w:afterAutospacing="0" w:line="280" w:lineRule="exact"/>
              <w:ind w:left="0" w:right="0"/>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建设单位需配合相关部门，建设处理效率</w:t>
            </w:r>
            <w:r>
              <w:rPr>
                <w:rFonts w:hint="eastAsia" w:cs="Times New Roman"/>
                <w:color w:val="auto"/>
                <w:sz w:val="21"/>
                <w:szCs w:val="21"/>
                <w:lang w:eastAsia="zh-CN"/>
              </w:rPr>
              <w:t>可靠</w:t>
            </w:r>
            <w:r>
              <w:rPr>
                <w:rFonts w:hint="eastAsia" w:ascii="Times New Roman" w:hAnsi="Times New Roman" w:cs="Times New Roman"/>
                <w:color w:val="auto"/>
                <w:sz w:val="21"/>
                <w:szCs w:val="21"/>
              </w:rPr>
              <w:t>的环保设施</w:t>
            </w:r>
          </w:p>
        </w:tc>
        <w:tc>
          <w:tcPr>
            <w:tcW w:w="1157" w:type="dxa"/>
            <w:noWrap w:val="0"/>
            <w:vAlign w:val="center"/>
          </w:tcPr>
          <w:p w14:paraId="01B5841B">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bl>
    <w:p w14:paraId="29E76EA5">
      <w:pPr>
        <w:pStyle w:val="4"/>
        <w:numPr>
          <w:ilvl w:val="0"/>
          <w:numId w:val="0"/>
        </w:numPr>
        <w:rPr>
          <w:color w:val="auto"/>
        </w:rPr>
      </w:pPr>
      <w:r>
        <w:rPr>
          <w:rFonts w:hint="eastAsia"/>
          <w:color w:val="auto"/>
        </w:rPr>
        <w:t>2.5.3</w:t>
      </w:r>
      <w:r>
        <w:rPr>
          <w:color w:val="auto"/>
        </w:rPr>
        <w:t>与《安徽省主体功能区规划》相符性分析</w:t>
      </w:r>
    </w:p>
    <w:p w14:paraId="14EA35C9">
      <w:pPr>
        <w:pStyle w:val="256"/>
        <w:spacing w:line="360" w:lineRule="auto"/>
        <w:ind w:firstLine="480"/>
        <w:rPr>
          <w:rFonts w:ascii="Times New Roman" w:hAnsi="Times New Roman"/>
          <w:color w:val="auto"/>
          <w:sz w:val="24"/>
        </w:rPr>
      </w:pPr>
      <w:r>
        <w:rPr>
          <w:rFonts w:ascii="Times New Roman" w:hAnsi="Times New Roman"/>
          <w:color w:val="auto"/>
          <w:sz w:val="24"/>
        </w:rPr>
        <w:t>淮南市是省重点开发区域的主体部分，是实现安徽经济快速发展、加速崛起的重要区域。</w:t>
      </w:r>
      <w:r>
        <w:rPr>
          <w:rFonts w:hint="eastAsia" w:ascii="Times New Roman" w:hAnsi="Times New Roman"/>
          <w:color w:val="auto"/>
          <w:sz w:val="24"/>
        </w:rPr>
        <w:t>对照《安徽省主体功能区规划》，安徽省重点开发区域</w:t>
      </w:r>
      <w:r>
        <w:rPr>
          <w:rFonts w:ascii="Times New Roman" w:hAnsi="Times New Roman"/>
          <w:color w:val="auto"/>
          <w:sz w:val="24"/>
        </w:rPr>
        <w:t>包括阜亳片区、淮（南）蚌片区、淮（北）宿片区、六安片区、黄山片区和重点开发城镇。</w:t>
      </w:r>
    </w:p>
    <w:p w14:paraId="75488709">
      <w:pPr>
        <w:pStyle w:val="256"/>
        <w:spacing w:line="360" w:lineRule="auto"/>
        <w:ind w:firstLine="480"/>
        <w:rPr>
          <w:rFonts w:ascii="Times New Roman" w:hAnsi="Times New Roman"/>
          <w:color w:val="auto"/>
          <w:sz w:val="24"/>
        </w:rPr>
      </w:pPr>
      <w:r>
        <w:rPr>
          <w:rFonts w:ascii="Times New Roman" w:hAnsi="Times New Roman"/>
          <w:color w:val="auto"/>
          <w:sz w:val="24"/>
        </w:rPr>
        <w:t>淮（南）蚌片区，该片区</w:t>
      </w:r>
      <w:r>
        <w:rPr>
          <w:rFonts w:hint="eastAsia" w:ascii="Times New Roman" w:hAnsi="Times New Roman"/>
          <w:color w:val="auto"/>
          <w:sz w:val="24"/>
          <w:lang w:eastAsia="zh-CN"/>
        </w:rPr>
        <w:t>包含</w:t>
      </w:r>
      <w:r>
        <w:rPr>
          <w:rFonts w:ascii="Times New Roman" w:hAnsi="Times New Roman"/>
          <w:color w:val="auto"/>
          <w:sz w:val="24"/>
        </w:rPr>
        <w:t>皖北城镇群的重要节点城市，包括淮南市5个市辖区和蚌埠市4个市辖区。</w:t>
      </w:r>
    </w:p>
    <w:p w14:paraId="5777319F">
      <w:pPr>
        <w:pStyle w:val="256"/>
        <w:spacing w:line="360" w:lineRule="auto"/>
        <w:ind w:firstLine="480"/>
        <w:rPr>
          <w:rFonts w:ascii="Times New Roman" w:hAnsi="Times New Roman"/>
          <w:color w:val="auto"/>
          <w:sz w:val="24"/>
        </w:rPr>
      </w:pPr>
      <w:r>
        <w:rPr>
          <w:rFonts w:ascii="Times New Roman" w:hAnsi="Times New Roman"/>
          <w:color w:val="auto"/>
          <w:sz w:val="24"/>
        </w:rPr>
        <w:t>功能定位：全国重要的能源基地、先进制造业基地、煤化工及化工新材料基地和创新基地，全国重要的商品粮基地和农副产品加工基地，全省重要的生物医药基地。</w:t>
      </w:r>
    </w:p>
    <w:p w14:paraId="57083829">
      <w:pPr>
        <w:pStyle w:val="256"/>
        <w:spacing w:line="360" w:lineRule="auto"/>
        <w:ind w:firstLine="480"/>
        <w:rPr>
          <w:rFonts w:ascii="Times New Roman" w:hAnsi="Times New Roman"/>
          <w:color w:val="auto"/>
          <w:sz w:val="24"/>
        </w:rPr>
      </w:pPr>
      <w:r>
        <w:rPr>
          <w:rFonts w:ascii="Times New Roman" w:hAnsi="Times New Roman"/>
          <w:color w:val="auto"/>
          <w:sz w:val="24"/>
        </w:rPr>
        <w:t>——加快蚌埠区域性中心城市建设，形成以市区为中心、县城为骨干、中心镇为节点的城镇体系；加强交通等基础设施规划和建设，巩固提升区域性综合交通枢纽地位。加快淮南资源枯竭型城市转型，优化城市空间布局，强化</w:t>
      </w:r>
      <w:r>
        <w:rPr>
          <w:rFonts w:ascii="Times New Roman" w:hAnsi="Times New Roman"/>
          <w:b/>
          <w:color w:val="auto"/>
          <w:sz w:val="24"/>
        </w:rPr>
        <w:t>城市基础设施</w:t>
      </w:r>
      <w:r>
        <w:rPr>
          <w:rFonts w:ascii="Times New Roman" w:hAnsi="Times New Roman"/>
          <w:color w:val="auto"/>
          <w:sz w:val="24"/>
        </w:rPr>
        <w:t>支撑能力，建设成为沿淮经济带重要的现代化大城市。</w:t>
      </w:r>
    </w:p>
    <w:p w14:paraId="2C2C5572">
      <w:pPr>
        <w:pStyle w:val="256"/>
        <w:spacing w:line="360" w:lineRule="auto"/>
        <w:ind w:firstLine="480"/>
        <w:rPr>
          <w:rFonts w:ascii="Times New Roman" w:hAnsi="Times New Roman"/>
          <w:color w:val="auto"/>
          <w:sz w:val="24"/>
        </w:rPr>
      </w:pPr>
      <w:r>
        <w:rPr>
          <w:rFonts w:ascii="Times New Roman" w:hAnsi="Times New Roman"/>
          <w:color w:val="auto"/>
          <w:sz w:val="24"/>
        </w:rPr>
        <w:t>——加强重点产业基地建设，培育壮大机械制造、新能源汽车及汽车零部件、煤化工及化工新材料、硅基新材料基地、</w:t>
      </w:r>
      <w:r>
        <w:rPr>
          <w:rFonts w:ascii="Times New Roman" w:hAnsi="Times New Roman"/>
          <w:b/>
          <w:color w:val="auto"/>
          <w:sz w:val="24"/>
        </w:rPr>
        <w:t>商贸物流</w:t>
      </w:r>
      <w:r>
        <w:rPr>
          <w:rFonts w:ascii="Times New Roman" w:hAnsi="Times New Roman"/>
          <w:color w:val="auto"/>
          <w:sz w:val="24"/>
        </w:rPr>
        <w:t>及电子信息、新能源等产业。</w:t>
      </w:r>
    </w:p>
    <w:p w14:paraId="716B646E">
      <w:pPr>
        <w:pStyle w:val="256"/>
        <w:spacing w:line="360" w:lineRule="auto"/>
        <w:ind w:firstLine="480"/>
        <w:rPr>
          <w:rFonts w:ascii="Times New Roman" w:hAnsi="Times New Roman"/>
          <w:color w:val="auto"/>
          <w:sz w:val="24"/>
        </w:rPr>
      </w:pPr>
      <w:r>
        <w:rPr>
          <w:rFonts w:ascii="Times New Roman" w:hAnsi="Times New Roman"/>
          <w:color w:val="auto"/>
          <w:sz w:val="24"/>
        </w:rPr>
        <w:t>——大力发展都市农业，兴建具有观光农业、休闲农业等功能的农业科技园（区）。推进采煤塌陷区综合治理及土地复垦。</w:t>
      </w:r>
    </w:p>
    <w:p w14:paraId="307C6810">
      <w:pPr>
        <w:pStyle w:val="256"/>
        <w:spacing w:line="360" w:lineRule="auto"/>
        <w:ind w:firstLine="480"/>
        <w:rPr>
          <w:rFonts w:ascii="Times New Roman" w:hAnsi="Times New Roman"/>
          <w:color w:val="auto"/>
          <w:sz w:val="24"/>
        </w:rPr>
      </w:pPr>
      <w:r>
        <w:rPr>
          <w:rFonts w:hint="eastAsia" w:ascii="Times New Roman" w:hAnsi="Times New Roman"/>
          <w:color w:val="auto"/>
          <w:sz w:val="24"/>
        </w:rPr>
        <w:t>拟建</w:t>
      </w:r>
      <w:r>
        <w:rPr>
          <w:rFonts w:ascii="Times New Roman" w:hAnsi="Times New Roman"/>
          <w:color w:val="auto"/>
          <w:sz w:val="24"/>
        </w:rPr>
        <w:t>项目为</w:t>
      </w:r>
      <w:r>
        <w:rPr>
          <w:rFonts w:hint="eastAsia" w:ascii="Times New Roman" w:hAnsi="Times New Roman"/>
          <w:color w:val="auto"/>
          <w:sz w:val="24"/>
        </w:rPr>
        <w:t>散货</w:t>
      </w:r>
      <w:r>
        <w:rPr>
          <w:rFonts w:ascii="Times New Roman" w:hAnsi="Times New Roman"/>
          <w:color w:val="auto"/>
          <w:sz w:val="24"/>
        </w:rPr>
        <w:t>码头，</w:t>
      </w:r>
      <w:r>
        <w:rPr>
          <w:rFonts w:hint="eastAsia" w:ascii="Times New Roman" w:hAnsi="Times New Roman"/>
          <w:color w:val="auto"/>
          <w:sz w:val="24"/>
        </w:rPr>
        <w:t>主要</w:t>
      </w:r>
      <w:r>
        <w:rPr>
          <w:rFonts w:ascii="Times New Roman" w:hAnsi="Times New Roman"/>
          <w:color w:val="auto"/>
          <w:sz w:val="24"/>
        </w:rPr>
        <w:t>用于煤炭、</w:t>
      </w:r>
      <w:r>
        <w:rPr>
          <w:rFonts w:hint="eastAsia" w:ascii="Times New Roman" w:hAnsi="Times New Roman"/>
          <w:color w:val="auto"/>
          <w:sz w:val="24"/>
        </w:rPr>
        <w:t>矿建材料</w:t>
      </w:r>
      <w:r>
        <w:rPr>
          <w:rFonts w:ascii="Times New Roman" w:hAnsi="Times New Roman"/>
          <w:color w:val="auto"/>
          <w:sz w:val="24"/>
        </w:rPr>
        <w:t>运输，位于</w:t>
      </w:r>
      <w:r>
        <w:rPr>
          <w:rFonts w:hint="eastAsia" w:ascii="Times New Roman" w:hAnsi="Times New Roman"/>
          <w:color w:val="auto"/>
          <w:sz w:val="24"/>
        </w:rPr>
        <w:t>潘集港区平圩作业区</w:t>
      </w:r>
      <w:r>
        <w:rPr>
          <w:rFonts w:ascii="Times New Roman" w:hAnsi="Times New Roman"/>
          <w:color w:val="auto"/>
          <w:sz w:val="24"/>
        </w:rPr>
        <w:t>，符合《安徽省主体功能区规划》中对淮南的定位。</w:t>
      </w:r>
    </w:p>
    <w:p w14:paraId="78D10ABB">
      <w:pPr>
        <w:pStyle w:val="4"/>
        <w:numPr>
          <w:ilvl w:val="0"/>
          <w:numId w:val="0"/>
        </w:numPr>
        <w:rPr>
          <w:color w:val="auto"/>
        </w:rPr>
      </w:pPr>
      <w:r>
        <w:rPr>
          <w:rFonts w:hint="eastAsia"/>
          <w:color w:val="auto"/>
        </w:rPr>
        <w:t>2.5.4</w:t>
      </w:r>
      <w:r>
        <w:rPr>
          <w:color w:val="auto"/>
        </w:rPr>
        <w:t>与</w:t>
      </w:r>
      <w:r>
        <w:rPr>
          <w:rFonts w:hint="eastAsia"/>
          <w:color w:val="auto"/>
        </w:rPr>
        <w:t>《淮河流域重要河道岸线保护与利用规划》</w:t>
      </w:r>
      <w:r>
        <w:rPr>
          <w:color w:val="auto"/>
        </w:rPr>
        <w:t>相符性分析</w:t>
      </w:r>
    </w:p>
    <w:p w14:paraId="7E722721">
      <w:pPr>
        <w:pStyle w:val="256"/>
        <w:spacing w:line="360" w:lineRule="auto"/>
        <w:ind w:firstLine="480"/>
        <w:rPr>
          <w:rFonts w:ascii="Times New Roman" w:hAnsi="Times New Roman"/>
          <w:color w:val="auto"/>
          <w:sz w:val="24"/>
        </w:rPr>
      </w:pPr>
      <w:r>
        <w:rPr>
          <w:rFonts w:ascii="Times New Roman" w:hAnsi="Times New Roman"/>
          <w:color w:val="auto"/>
          <w:sz w:val="24"/>
        </w:rPr>
        <w:t>本项目与《</w:t>
      </w:r>
      <w:r>
        <w:rPr>
          <w:rFonts w:hint="eastAsia" w:ascii="Times New Roman" w:hAnsi="Times New Roman"/>
          <w:color w:val="auto"/>
          <w:sz w:val="24"/>
        </w:rPr>
        <w:t>淮河</w:t>
      </w:r>
      <w:r>
        <w:rPr>
          <w:rFonts w:ascii="Times New Roman" w:hAnsi="Times New Roman"/>
          <w:color w:val="auto"/>
          <w:sz w:val="24"/>
        </w:rPr>
        <w:t>流域重要河道岸线保护与利用规划》的相符性分析见表2.5-3。</w:t>
      </w:r>
    </w:p>
    <w:p w14:paraId="35F41C93">
      <w:pPr>
        <w:spacing w:line="400" w:lineRule="exact"/>
        <w:jc w:val="center"/>
        <w:rPr>
          <w:color w:val="auto"/>
          <w:sz w:val="24"/>
        </w:rPr>
      </w:pPr>
      <w:r>
        <w:rPr>
          <w:rFonts w:eastAsia="黑体"/>
          <w:color w:val="auto"/>
          <w:sz w:val="24"/>
        </w:rPr>
        <w:t>表2.5-3  与《淮河流域重要河道岸线保护与利用规划》相符性分析</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5529"/>
        <w:gridCol w:w="1762"/>
        <w:gridCol w:w="896"/>
      </w:tblGrid>
      <w:tr w14:paraId="60FA5B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099" w:type="dxa"/>
            <w:noWrap w:val="0"/>
            <w:vAlign w:val="center"/>
          </w:tcPr>
          <w:p w14:paraId="2AB46880">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b/>
                <w:color w:val="auto"/>
                <w:sz w:val="21"/>
                <w:szCs w:val="21"/>
              </w:rPr>
            </w:pPr>
            <w:r>
              <w:rPr>
                <w:rFonts w:hint="eastAsia" w:ascii="Times New Roman" w:hAnsi="Times New Roman" w:cs="Times New Roman"/>
                <w:b/>
                <w:color w:val="auto"/>
                <w:sz w:val="21"/>
                <w:szCs w:val="21"/>
              </w:rPr>
              <w:t>规划</w:t>
            </w:r>
            <w:r>
              <w:rPr>
                <w:rFonts w:hint="default" w:ascii="Times New Roman" w:hAnsi="Times New Roman" w:cs="Times New Roman"/>
                <w:b/>
                <w:color w:val="auto"/>
                <w:sz w:val="21"/>
                <w:szCs w:val="21"/>
              </w:rPr>
              <w:t>名称</w:t>
            </w:r>
          </w:p>
        </w:tc>
        <w:tc>
          <w:tcPr>
            <w:tcW w:w="5529" w:type="dxa"/>
            <w:noWrap w:val="0"/>
            <w:vAlign w:val="center"/>
          </w:tcPr>
          <w:p w14:paraId="10053932">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规划要求</w:t>
            </w:r>
          </w:p>
        </w:tc>
        <w:tc>
          <w:tcPr>
            <w:tcW w:w="1762" w:type="dxa"/>
            <w:noWrap w:val="0"/>
            <w:vAlign w:val="center"/>
          </w:tcPr>
          <w:p w14:paraId="7D960F0A">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项目情况</w:t>
            </w:r>
          </w:p>
        </w:tc>
        <w:tc>
          <w:tcPr>
            <w:tcW w:w="896" w:type="dxa"/>
            <w:noWrap w:val="0"/>
            <w:vAlign w:val="center"/>
          </w:tcPr>
          <w:p w14:paraId="5C078036">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符合性判定</w:t>
            </w:r>
          </w:p>
        </w:tc>
      </w:tr>
      <w:tr w14:paraId="55B9D1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9" w:type="dxa"/>
            <w:vMerge w:val="restart"/>
            <w:noWrap w:val="0"/>
            <w:vAlign w:val="center"/>
          </w:tcPr>
          <w:p w14:paraId="2D6353DB">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《淮河流域重要河道岸线保护与利用规划》</w:t>
            </w:r>
          </w:p>
        </w:tc>
        <w:tc>
          <w:tcPr>
            <w:tcW w:w="5529" w:type="dxa"/>
            <w:noWrap w:val="0"/>
            <w:vAlign w:val="center"/>
          </w:tcPr>
          <w:p w14:paraId="21876503">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（1）岸线保护区</w:t>
            </w:r>
          </w:p>
          <w:p w14:paraId="296F49E3">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按照“保护优先、合理利用”等规划原则，结合规划区域基本情况，将以下岸段划分为岸线保护区：</w:t>
            </w:r>
          </w:p>
          <w:p w14:paraId="39B9CE1C">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default" w:ascii="Times New Roman" w:hAnsi="Times New Roman" w:cs="Times New Roman"/>
                <w:color w:val="auto"/>
                <w:sz w:val="21"/>
                <w:szCs w:val="21"/>
              </w:rPr>
              <w:t>1</w:t>
            </w:r>
            <w:r>
              <w:rPr>
                <w:rFonts w:hint="eastAsia" w:ascii="Times New Roman" w:hAnsi="Times New Roman" w:cs="Times New Roman"/>
                <w:color w:val="auto"/>
                <w:sz w:val="21"/>
                <w:szCs w:val="21"/>
              </w:rPr>
              <w:t>）改变分汉河段分流态势的分汇流段所在岸段</w:t>
            </w:r>
          </w:p>
          <w:p w14:paraId="60F20AE9">
            <w:pPr>
              <w:pStyle w:val="277"/>
              <w:keepNext w:val="0"/>
              <w:keepLines w:val="0"/>
              <w:suppressLineNumbers w:val="0"/>
              <w:spacing w:before="0" w:beforeAutospacing="0" w:after="0" w:afterAutospacing="0" w:line="280" w:lineRule="exact"/>
              <w:ind w:left="0" w:right="0" w:firstLine="420" w:firstLineChars="200"/>
              <w:jc w:val="left"/>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改变分汊河段分流态势的分汇流段，开发利用会影响防洪安全、河势稳定的岸段应划为岸线保护区。</w:t>
            </w:r>
          </w:p>
          <w:p w14:paraId="560E49E9">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2）保障供水安全的岸段</w:t>
            </w:r>
          </w:p>
          <w:p w14:paraId="2F626732">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省级行政区批复的县级以上集中式饮用水水源地，其一级保护区划为岸线保护区。</w:t>
            </w:r>
          </w:p>
          <w:p w14:paraId="4CB42AB7">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3）保护生态环境的岸段</w:t>
            </w:r>
          </w:p>
          <w:p w14:paraId="5911DD08">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国家、省、市、县级自然保护区核心区和缓冲区、风景名胜区核心景区等生态敏感区所在岸段，划为岸线保护区。</w:t>
            </w:r>
          </w:p>
          <w:p w14:paraId="505D09A6">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4）生态保护红线区的岸段</w:t>
            </w:r>
          </w:p>
          <w:p w14:paraId="005DB9E0">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根据流域各省公布的生态保护红线范围，位于生态保护红线禁止准入范围的河湖岸线，按生态保护红线管控要求划为岸线保护区。岸线功能区与生态保护红线应相互协调。</w:t>
            </w:r>
          </w:p>
        </w:tc>
        <w:tc>
          <w:tcPr>
            <w:tcW w:w="1762" w:type="dxa"/>
            <w:noWrap w:val="0"/>
            <w:vAlign w:val="center"/>
          </w:tcPr>
          <w:p w14:paraId="0A07B4E3">
            <w:pPr>
              <w:pStyle w:val="277"/>
              <w:keepNext w:val="0"/>
              <w:keepLines w:val="0"/>
              <w:suppressLineNumbers w:val="0"/>
              <w:spacing w:before="0" w:beforeAutospacing="0" w:after="0" w:afterAutospacing="0" w:line="280" w:lineRule="exact"/>
              <w:ind w:left="0" w:right="0"/>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本项目选址位于淮河干流的潘集港区平圩作业区内，项目不位于饮用水源保护区、生态保护红线、自然保护区核心区和缓冲区、风景名胜区核心景区等生态敏感区所在岸段范围内，因此，本项目岸线不属于保护区。</w:t>
            </w:r>
          </w:p>
        </w:tc>
        <w:tc>
          <w:tcPr>
            <w:tcW w:w="896" w:type="dxa"/>
            <w:noWrap w:val="0"/>
            <w:vAlign w:val="center"/>
          </w:tcPr>
          <w:p w14:paraId="039ABE0D">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70797B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9" w:type="dxa"/>
            <w:vMerge w:val="continue"/>
            <w:noWrap w:val="0"/>
            <w:vAlign w:val="center"/>
          </w:tcPr>
          <w:p w14:paraId="23249F19">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highlight w:val="cyan"/>
              </w:rPr>
            </w:pPr>
          </w:p>
        </w:tc>
        <w:tc>
          <w:tcPr>
            <w:tcW w:w="5529" w:type="dxa"/>
            <w:noWrap w:val="0"/>
            <w:vAlign w:val="center"/>
          </w:tcPr>
          <w:p w14:paraId="7FE033B2">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（2）岸线保留区</w:t>
            </w:r>
          </w:p>
          <w:p w14:paraId="2AF7E8F6">
            <w:pPr>
              <w:pStyle w:val="277"/>
              <w:keepNext w:val="0"/>
              <w:keepLines w:val="0"/>
              <w:suppressLineNumbers w:val="0"/>
              <w:spacing w:before="0" w:beforeAutospacing="0" w:after="0" w:afterAutospacing="0" w:line="280" w:lineRule="exact"/>
              <w:ind w:left="0" w:right="0" w:firstLine="420" w:firstLineChars="200"/>
              <w:jc w:val="left"/>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结合规划区域基本情况，将以下岸段划为岸线保留区：</w:t>
            </w:r>
          </w:p>
          <w:p w14:paraId="551E6C54">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1）预留规划防洪工程的岸段</w:t>
            </w:r>
          </w:p>
          <w:p w14:paraId="76448FBB">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已列入国家、流域或省级防洪规划中的防洪（行蓄洪区调整）工程所在岸段，河心洲区域，划为岸线保留区。</w:t>
            </w:r>
          </w:p>
          <w:p w14:paraId="6196D95D">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2）生态环境保护的岸段</w:t>
            </w:r>
          </w:p>
          <w:p w14:paraId="17F68B78">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国家、省、市、县级自然保护区的实验区、水产种质资源保护区、国家湿地公园等生态敏感区和饮用水水源地二级保护区所在岸段，划为岸线保留区。</w:t>
            </w:r>
          </w:p>
          <w:p w14:paraId="765E7564">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3）预留生态建设的岸段</w:t>
            </w:r>
          </w:p>
          <w:p w14:paraId="462EDFFA">
            <w:pPr>
              <w:pStyle w:val="277"/>
              <w:keepNext w:val="0"/>
              <w:keepLines w:val="0"/>
              <w:suppressLineNumbers w:val="0"/>
              <w:spacing w:before="0" w:beforeAutospacing="0" w:after="0" w:afterAutospacing="0" w:line="280" w:lineRule="exact"/>
              <w:ind w:left="0" w:right="0" w:firstLine="420" w:firstLineChars="200"/>
              <w:jc w:val="left"/>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为生态建设预留的岸段，划为岸线保留区。</w:t>
            </w:r>
          </w:p>
          <w:p w14:paraId="3B43A688">
            <w:pPr>
              <w:pStyle w:val="277"/>
              <w:keepNext w:val="0"/>
              <w:keepLines w:val="0"/>
              <w:suppressLineNumbers w:val="0"/>
              <w:spacing w:before="0" w:beforeAutospacing="0" w:after="0" w:afterAutospacing="0" w:line="280" w:lineRule="exact"/>
              <w:ind w:left="0" w:right="0" w:firstLine="420" w:firstLineChars="200"/>
              <w:jc w:val="left"/>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4）暂不具备开发利用条件的岸段</w:t>
            </w:r>
          </w:p>
          <w:p w14:paraId="466C3D1B">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对河势变化剧烈、岸线开发利用条件较差</w:t>
            </w:r>
            <w:r>
              <w:rPr>
                <w:rFonts w:hint="eastAsia" w:cs="Times New Roman"/>
                <w:color w:val="auto"/>
                <w:sz w:val="21"/>
                <w:szCs w:val="21"/>
                <w:lang w:eastAsia="zh-CN"/>
              </w:rPr>
              <w:t>，</w:t>
            </w:r>
            <w:r>
              <w:rPr>
                <w:rFonts w:hint="eastAsia" w:ascii="Times New Roman" w:hAnsi="Times New Roman" w:cs="Times New Roman"/>
                <w:color w:val="auto"/>
                <w:sz w:val="21"/>
                <w:szCs w:val="21"/>
              </w:rPr>
              <w:t>或河道治理和河势调整方案尚未确定等暂不具备开发利用条件的岸段，划为岸线保留区。</w:t>
            </w:r>
          </w:p>
          <w:p w14:paraId="13904255">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5）规划期内暂无开发利用需求的岸段</w:t>
            </w:r>
          </w:p>
          <w:p w14:paraId="7AB24C46">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现状经济社会发展水平相对较低，规划期内暂无开发利用需求的岸段，划为岸线保留区。</w:t>
            </w:r>
          </w:p>
        </w:tc>
        <w:tc>
          <w:tcPr>
            <w:tcW w:w="1762" w:type="dxa"/>
            <w:noWrap w:val="0"/>
            <w:vAlign w:val="center"/>
          </w:tcPr>
          <w:p w14:paraId="5C25C834">
            <w:pPr>
              <w:pStyle w:val="277"/>
              <w:keepNext w:val="0"/>
              <w:keepLines w:val="0"/>
              <w:suppressLineNumbers w:val="0"/>
              <w:spacing w:before="0" w:beforeAutospacing="0" w:after="0" w:afterAutospacing="0" w:line="280" w:lineRule="exact"/>
              <w:ind w:left="0" w:right="0"/>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本项目选址位于淮河干流的潘集港区平圩作业区内，项目</w:t>
            </w:r>
            <w:r>
              <w:rPr>
                <w:rFonts w:hint="eastAsia" w:cs="Times New Roman"/>
                <w:color w:val="auto"/>
                <w:sz w:val="21"/>
                <w:szCs w:val="21"/>
                <w:lang w:val="en-US" w:eastAsia="zh-CN"/>
              </w:rPr>
              <w:t>评价范围</w:t>
            </w:r>
            <w:r>
              <w:rPr>
                <w:rFonts w:hint="eastAsia" w:ascii="Times New Roman" w:hAnsi="Times New Roman" w:cs="Times New Roman"/>
                <w:color w:val="auto"/>
                <w:sz w:val="21"/>
                <w:szCs w:val="21"/>
              </w:rPr>
              <w:t>涉及长吻鮠国家种质资源保护区实验区所在岸线。因此，本项目岸线属于保留区。</w:t>
            </w:r>
          </w:p>
        </w:tc>
        <w:tc>
          <w:tcPr>
            <w:tcW w:w="896" w:type="dxa"/>
            <w:noWrap w:val="0"/>
            <w:vAlign w:val="center"/>
          </w:tcPr>
          <w:p w14:paraId="6E095FED">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333934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99" w:type="dxa"/>
            <w:vMerge w:val="continue"/>
            <w:noWrap w:val="0"/>
            <w:vAlign w:val="center"/>
          </w:tcPr>
          <w:p w14:paraId="4B3CE0B9">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highlight w:val="cyan"/>
              </w:rPr>
            </w:pPr>
          </w:p>
        </w:tc>
        <w:tc>
          <w:tcPr>
            <w:tcW w:w="5529" w:type="dxa"/>
            <w:noWrap w:val="0"/>
            <w:vAlign w:val="center"/>
          </w:tcPr>
          <w:p w14:paraId="316D0A4E">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（3）岸线控制利用区</w:t>
            </w:r>
          </w:p>
          <w:p w14:paraId="53679C86">
            <w:pPr>
              <w:pStyle w:val="277"/>
              <w:keepNext w:val="0"/>
              <w:keepLines w:val="0"/>
              <w:suppressLineNumbers w:val="0"/>
              <w:spacing w:before="0" w:beforeAutospacing="0" w:after="0" w:afterAutospacing="0" w:line="280" w:lineRule="exact"/>
              <w:ind w:left="0" w:right="0" w:firstLine="420" w:firstLineChars="200"/>
              <w:jc w:val="left"/>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结合规划区域基本情况，将以下岸段划为岸线控制利用区：</w:t>
            </w:r>
          </w:p>
          <w:p w14:paraId="20EC9EB8">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1）需控制或减少开发利用强度的岸段</w:t>
            </w:r>
          </w:p>
          <w:p w14:paraId="2F493DD8">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对岸线开发利用程度相对较高的岸段，为避免开发利用可能对防洪安全、河势稳定、供水安全、航道稳定等带来不利影响，需控制或减少其开发利用强度的岸段，划分为岸线控制利用区。</w:t>
            </w:r>
          </w:p>
          <w:p w14:paraId="7FD9CEC6">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2）需控制开发利用方式的岸段</w:t>
            </w:r>
          </w:p>
          <w:p w14:paraId="1A194074">
            <w:pPr>
              <w:pStyle w:val="277"/>
              <w:keepNext w:val="0"/>
              <w:keepLines w:val="0"/>
              <w:suppressLineNumbers w:val="0"/>
              <w:spacing w:before="0" w:beforeAutospacing="0" w:after="0" w:afterAutospacing="0" w:line="280" w:lineRule="exact"/>
              <w:ind w:left="0" w:right="0" w:firstLine="420" w:firstLineChars="20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重要险工险段所在岸段，位于风景名胜区的一般景区、地方湿地、湿地公园等未纳入生态保护红线范围的区域，以及其他可以开发利用但需控制开发利用方式和项目类型的岸段，划分为岸线控制利用区。</w:t>
            </w:r>
          </w:p>
        </w:tc>
        <w:tc>
          <w:tcPr>
            <w:tcW w:w="1762" w:type="dxa"/>
            <w:noWrap w:val="0"/>
            <w:vAlign w:val="center"/>
          </w:tcPr>
          <w:p w14:paraId="053D3513">
            <w:pPr>
              <w:pStyle w:val="277"/>
              <w:keepNext w:val="0"/>
              <w:keepLines w:val="0"/>
              <w:suppressLineNumbers w:val="0"/>
              <w:spacing w:before="0" w:beforeAutospacing="0" w:after="0" w:afterAutospacing="0" w:line="280" w:lineRule="exact"/>
              <w:ind w:left="0" w:right="0"/>
              <w:rPr>
                <w:rFonts w:hint="eastAsia" w:ascii="Times New Roman" w:hAnsi="Times New Roman" w:cs="Times New Roman"/>
                <w:color w:val="auto"/>
                <w:sz w:val="21"/>
                <w:szCs w:val="21"/>
              </w:rPr>
            </w:pPr>
            <w:r>
              <w:rPr>
                <w:rFonts w:hint="default" w:ascii="Times New Roman" w:hAnsi="Times New Roman" w:cs="Times New Roman"/>
                <w:color w:val="auto"/>
                <w:sz w:val="21"/>
                <w:szCs w:val="21"/>
              </w:rPr>
              <w:t>本项目选址位于规划的</w:t>
            </w:r>
            <w:r>
              <w:rPr>
                <w:rFonts w:hint="eastAsia" w:ascii="Times New Roman" w:hAnsi="Times New Roman" w:cs="Times New Roman"/>
                <w:color w:val="auto"/>
                <w:sz w:val="21"/>
                <w:szCs w:val="21"/>
              </w:rPr>
              <w:t>潘集港区平圩作业区</w:t>
            </w:r>
            <w:r>
              <w:rPr>
                <w:rFonts w:hint="default" w:ascii="Times New Roman" w:hAnsi="Times New Roman" w:cs="Times New Roman"/>
                <w:color w:val="auto"/>
                <w:sz w:val="21"/>
                <w:szCs w:val="21"/>
              </w:rPr>
              <w:t>内，不属于岸线控制利用区</w:t>
            </w:r>
            <w:r>
              <w:rPr>
                <w:rFonts w:hint="eastAsia" w:ascii="Times New Roman" w:hAnsi="Times New Roman" w:cs="Times New Roman"/>
                <w:color w:val="auto"/>
                <w:sz w:val="21"/>
                <w:szCs w:val="21"/>
              </w:rPr>
              <w:t>。</w:t>
            </w:r>
          </w:p>
        </w:tc>
        <w:tc>
          <w:tcPr>
            <w:tcW w:w="896" w:type="dxa"/>
            <w:noWrap w:val="0"/>
            <w:vAlign w:val="center"/>
          </w:tcPr>
          <w:p w14:paraId="31A3C650">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bl>
    <w:p w14:paraId="3ADFE056">
      <w:pPr>
        <w:pStyle w:val="4"/>
        <w:numPr>
          <w:ilvl w:val="0"/>
          <w:numId w:val="0"/>
        </w:numPr>
        <w:rPr>
          <w:color w:val="auto"/>
        </w:rPr>
      </w:pPr>
      <w:r>
        <w:rPr>
          <w:rFonts w:hint="eastAsia"/>
          <w:color w:val="auto"/>
        </w:rPr>
        <w:t>2.5.5</w:t>
      </w:r>
      <w:r>
        <w:rPr>
          <w:color w:val="auto"/>
        </w:rPr>
        <w:t>与《推进多式联运发展优化调整运输结构工作方案（</w:t>
      </w:r>
      <w:r>
        <w:rPr>
          <w:rFonts w:hint="eastAsia"/>
          <w:color w:val="auto"/>
        </w:rPr>
        <w:t>2</w:t>
      </w:r>
      <w:r>
        <w:rPr>
          <w:color w:val="auto"/>
        </w:rPr>
        <w:t>021-2025年）》相符性分析</w:t>
      </w:r>
    </w:p>
    <w:p w14:paraId="27C17CD6">
      <w:pPr>
        <w:pStyle w:val="256"/>
        <w:spacing w:line="360" w:lineRule="auto"/>
        <w:ind w:firstLine="480"/>
        <w:rPr>
          <w:rFonts w:ascii="Times New Roman" w:hAnsi="Times New Roman"/>
          <w:color w:val="auto"/>
          <w:sz w:val="24"/>
          <w:szCs w:val="24"/>
        </w:rPr>
      </w:pPr>
      <w:r>
        <w:rPr>
          <w:rFonts w:ascii="Times New Roman" w:hAnsi="Times New Roman"/>
          <w:color w:val="auto"/>
          <w:sz w:val="24"/>
          <w:szCs w:val="24"/>
        </w:rPr>
        <w:t>根据《推进多式联运发展优化调整运输结构工作方案（</w:t>
      </w:r>
      <w:r>
        <w:rPr>
          <w:rFonts w:hint="eastAsia" w:ascii="Times New Roman" w:hAnsi="Times New Roman"/>
          <w:color w:val="auto"/>
          <w:sz w:val="24"/>
          <w:szCs w:val="24"/>
        </w:rPr>
        <w:t>2</w:t>
      </w:r>
      <w:r>
        <w:rPr>
          <w:rFonts w:ascii="Times New Roman" w:hAnsi="Times New Roman"/>
          <w:color w:val="auto"/>
          <w:sz w:val="24"/>
          <w:szCs w:val="24"/>
        </w:rPr>
        <w:t>021-2025年）》</w:t>
      </w:r>
      <w:r>
        <w:rPr>
          <w:rFonts w:hint="eastAsia" w:ascii="Times New Roman" w:hAnsi="Times New Roman"/>
          <w:color w:val="auto"/>
          <w:sz w:val="24"/>
          <w:szCs w:val="24"/>
        </w:rPr>
        <w:t>：</w:t>
      </w:r>
    </w:p>
    <w:p w14:paraId="6F0124B1">
      <w:pPr>
        <w:pStyle w:val="256"/>
        <w:spacing w:line="360" w:lineRule="auto"/>
        <w:ind w:firstLine="480"/>
        <w:rPr>
          <w:rFonts w:hint="eastAsia" w:ascii="Times New Roman" w:hAnsi="Times New Roman"/>
          <w:color w:val="auto"/>
          <w:sz w:val="24"/>
          <w:szCs w:val="24"/>
        </w:rPr>
      </w:pPr>
      <w:r>
        <w:rPr>
          <w:rFonts w:ascii="Times New Roman" w:hAnsi="Times New Roman"/>
          <w:color w:val="auto"/>
          <w:sz w:val="24"/>
          <w:szCs w:val="24"/>
        </w:rPr>
        <w:t>二、提升多式联运承载能力和衔接水平</w:t>
      </w:r>
    </w:p>
    <w:p w14:paraId="1921FC49">
      <w:pPr>
        <w:pStyle w:val="256"/>
        <w:spacing w:line="360" w:lineRule="auto"/>
        <w:ind w:firstLine="480"/>
        <w:rPr>
          <w:rFonts w:ascii="Times New Roman" w:hAnsi="Times New Roman"/>
          <w:color w:val="auto"/>
          <w:sz w:val="24"/>
          <w:szCs w:val="24"/>
        </w:rPr>
      </w:pPr>
      <w:r>
        <w:rPr>
          <w:rFonts w:ascii="Times New Roman" w:hAnsi="Times New Roman"/>
          <w:color w:val="auto"/>
          <w:sz w:val="24"/>
          <w:szCs w:val="24"/>
        </w:rPr>
        <w:t>（四）</w:t>
      </w:r>
      <w:r>
        <w:rPr>
          <w:rFonts w:hint="eastAsia" w:ascii="Times New Roman" w:hAnsi="Times New Roman"/>
          <w:color w:val="auto"/>
          <w:sz w:val="24"/>
          <w:szCs w:val="24"/>
        </w:rPr>
        <w:t>加快货运枢纽布局建设。加快港口物流枢纽建设，完善港口多式联运、便捷通关等服务功能，合理布局内陆无水港。完善铁路物流基地布局，优化管理模式，加强与综合货运枢纽衔接，推动铁路场站向重点港口、枢纽机场、产业集聚区、大宗物资主产区延伸。有序推进专业性货运枢纽机场建设，强化枢纽机场货物转运、保税监管、邮政快递、冷链物流等综合服务功能，鼓励发展与重点枢纽机场联通配套的轨道交通。依托国家物流枢纽、综合货运枢纽布局建设国际寄递枢纽和邮政快递集散分拨中心。</w:t>
      </w:r>
    </w:p>
    <w:p w14:paraId="7519B749">
      <w:pPr>
        <w:pStyle w:val="256"/>
        <w:spacing w:line="360" w:lineRule="auto"/>
        <w:ind w:firstLine="480"/>
        <w:rPr>
          <w:rFonts w:hint="eastAsia" w:ascii="Times New Roman" w:hAnsi="Times New Roman"/>
          <w:color w:val="auto"/>
          <w:sz w:val="24"/>
          <w:szCs w:val="24"/>
        </w:rPr>
      </w:pPr>
      <w:r>
        <w:rPr>
          <w:rFonts w:hint="eastAsia" w:ascii="Times New Roman" w:hAnsi="Times New Roman"/>
          <w:color w:val="auto"/>
          <w:sz w:val="24"/>
          <w:szCs w:val="24"/>
        </w:rPr>
        <w:t>四、促进重点区域运输结构调整</w:t>
      </w:r>
    </w:p>
    <w:p w14:paraId="61776121">
      <w:pPr>
        <w:pStyle w:val="256"/>
        <w:spacing w:line="360" w:lineRule="auto"/>
        <w:ind w:firstLine="480"/>
        <w:rPr>
          <w:rFonts w:ascii="Times New Roman" w:hAnsi="Times New Roman"/>
          <w:color w:val="auto"/>
          <w:sz w:val="24"/>
          <w:szCs w:val="24"/>
        </w:rPr>
      </w:pPr>
      <w:r>
        <w:rPr>
          <w:rFonts w:hint="eastAsia" w:ascii="Times New Roman" w:hAnsi="Times New Roman"/>
          <w:color w:val="auto"/>
          <w:sz w:val="24"/>
          <w:szCs w:val="24"/>
        </w:rPr>
        <w:t>（十）推动大宗物资“公转铁、公转水”。在运输结构调整重点区域，加强港口资源整合，鼓励工矿企业、粮食企业等将货物“散改集”，中长距离运输时主要采用铁路、水路运输，短距离运输时优先采用封闭式皮带廊道或新能源车船。探索推广大宗固体废物公铁水协同联运模式。深入开展公路货运车辆超限超载治理。</w:t>
      </w:r>
    </w:p>
    <w:p w14:paraId="220C4D70">
      <w:pPr>
        <w:pStyle w:val="256"/>
        <w:spacing w:line="360" w:lineRule="auto"/>
        <w:ind w:firstLine="480"/>
        <w:rPr>
          <w:rFonts w:hint="eastAsia" w:ascii="Times New Roman" w:hAnsi="Times New Roman"/>
          <w:color w:val="auto"/>
          <w:sz w:val="24"/>
          <w:szCs w:val="24"/>
        </w:rPr>
      </w:pPr>
      <w:r>
        <w:rPr>
          <w:rFonts w:hint="eastAsia" w:ascii="Times New Roman" w:hAnsi="Times New Roman"/>
          <w:color w:val="auto"/>
          <w:sz w:val="24"/>
          <w:szCs w:val="24"/>
        </w:rPr>
        <w:t>本项目为货运港口，码头建设项目，</w:t>
      </w:r>
      <w:r>
        <w:rPr>
          <w:rFonts w:hint="eastAsia" w:ascii="Times New Roman" w:hAnsi="Times New Roman"/>
          <w:color w:val="auto"/>
          <w:sz w:val="24"/>
          <w:szCs w:val="24"/>
          <w:lang w:eastAsia="zh-CN"/>
        </w:rPr>
        <w:t>以</w:t>
      </w:r>
      <w:r>
        <w:rPr>
          <w:rFonts w:hint="eastAsia" w:ascii="Times New Roman" w:hAnsi="Times New Roman"/>
          <w:color w:val="auto"/>
          <w:sz w:val="24"/>
          <w:szCs w:val="24"/>
        </w:rPr>
        <w:t>煤炭出口、矿建材料进口为主，属于大宗货物运输的“公转水”，有利于淮南市进一步优化调整运输结构，提升综合运输效率，降低社会物流成本，促进节能减排降碳。港区内采用绿色新能源运输车辆进行运输</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本项目</w:t>
      </w:r>
      <w:r>
        <w:rPr>
          <w:rFonts w:hint="eastAsia" w:ascii="Times New Roman" w:hAnsi="Times New Roman"/>
          <w:color w:val="auto"/>
          <w:sz w:val="24"/>
          <w:szCs w:val="24"/>
          <w:lang w:eastAsia="zh-CN"/>
        </w:rPr>
        <w:t>煤炭、矿建材料运输均采用绿色新能源载重车辆</w:t>
      </w:r>
      <w:r>
        <w:rPr>
          <w:rFonts w:hint="eastAsia" w:ascii="Times New Roman" w:hAnsi="Times New Roman"/>
          <w:color w:val="auto"/>
          <w:sz w:val="24"/>
          <w:szCs w:val="24"/>
          <w:lang w:val="en-US" w:eastAsia="zh-CN"/>
        </w:rPr>
        <w:t>从码头卸货区</w:t>
      </w:r>
      <w:r>
        <w:rPr>
          <w:rFonts w:hint="eastAsia" w:ascii="Times New Roman" w:hAnsi="Times New Roman"/>
          <w:color w:val="auto"/>
          <w:sz w:val="24"/>
          <w:szCs w:val="24"/>
          <w:lang w:eastAsia="zh-CN"/>
        </w:rPr>
        <w:t>运输</w:t>
      </w:r>
      <w:r>
        <w:rPr>
          <w:rFonts w:hint="eastAsia" w:ascii="Times New Roman" w:hAnsi="Times New Roman"/>
          <w:color w:val="auto"/>
          <w:sz w:val="24"/>
          <w:szCs w:val="24"/>
          <w:lang w:val="en-US" w:eastAsia="zh-CN"/>
        </w:rPr>
        <w:t>至道路</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同时本项目</w:t>
      </w:r>
      <w:r>
        <w:rPr>
          <w:rFonts w:hint="eastAsia" w:ascii="Times New Roman" w:hAnsi="Times New Roman"/>
          <w:color w:val="auto"/>
          <w:sz w:val="24"/>
          <w:szCs w:val="24"/>
          <w:lang w:eastAsia="zh-CN"/>
        </w:rPr>
        <w:t>装卸作业使用的装船机皮带密闭</w:t>
      </w:r>
      <w:r>
        <w:rPr>
          <w:rFonts w:hint="eastAsia" w:ascii="Times New Roman" w:hAnsi="Times New Roman"/>
          <w:color w:val="auto"/>
          <w:sz w:val="24"/>
          <w:szCs w:val="24"/>
        </w:rPr>
        <w:t>。因此，本项目建设符合《推进多式联运发展优化调整运输结构工作方案（2</w:t>
      </w:r>
      <w:r>
        <w:rPr>
          <w:rFonts w:ascii="Times New Roman" w:hAnsi="Times New Roman"/>
          <w:color w:val="auto"/>
          <w:sz w:val="24"/>
          <w:szCs w:val="24"/>
        </w:rPr>
        <w:t>021-2025</w:t>
      </w:r>
      <w:r>
        <w:rPr>
          <w:rFonts w:hint="eastAsia" w:ascii="Times New Roman" w:hAnsi="Times New Roman"/>
          <w:color w:val="auto"/>
          <w:sz w:val="24"/>
          <w:szCs w:val="24"/>
        </w:rPr>
        <w:t>年）》要求。</w:t>
      </w:r>
    </w:p>
    <w:p w14:paraId="40108FD1">
      <w:pPr>
        <w:pStyle w:val="4"/>
        <w:numPr>
          <w:ilvl w:val="0"/>
          <w:numId w:val="0"/>
        </w:numPr>
        <w:rPr>
          <w:color w:val="auto"/>
        </w:rPr>
      </w:pPr>
      <w:r>
        <w:rPr>
          <w:rFonts w:hint="eastAsia"/>
          <w:color w:val="auto"/>
        </w:rPr>
        <w:t>2.5.6</w:t>
      </w:r>
      <w:r>
        <w:rPr>
          <w:color w:val="auto"/>
        </w:rPr>
        <w:t>与相关环境保护规划相符性分析</w:t>
      </w:r>
    </w:p>
    <w:p w14:paraId="0F6B96CC">
      <w:pPr>
        <w:pStyle w:val="256"/>
        <w:spacing w:line="360" w:lineRule="auto"/>
        <w:ind w:firstLine="480"/>
        <w:rPr>
          <w:rFonts w:ascii="Times New Roman" w:hAnsi="Times New Roman"/>
          <w:color w:val="auto"/>
          <w:sz w:val="24"/>
        </w:rPr>
      </w:pPr>
      <w:r>
        <w:rPr>
          <w:rFonts w:ascii="Times New Roman" w:hAnsi="Times New Roman"/>
          <w:color w:val="auto"/>
          <w:sz w:val="24"/>
        </w:rPr>
        <w:t>本项目与《安徽省“十</w:t>
      </w:r>
      <w:r>
        <w:rPr>
          <w:rFonts w:hint="eastAsia" w:ascii="Times New Roman" w:hAnsi="Times New Roman"/>
          <w:color w:val="auto"/>
          <w:sz w:val="24"/>
        </w:rPr>
        <w:t>四</w:t>
      </w:r>
      <w:r>
        <w:rPr>
          <w:rFonts w:ascii="Times New Roman" w:hAnsi="Times New Roman"/>
          <w:color w:val="auto"/>
          <w:sz w:val="24"/>
        </w:rPr>
        <w:t>五”生态环境保护规划》的相符性分析见表2.5-4。</w:t>
      </w:r>
    </w:p>
    <w:p w14:paraId="79E1B47B">
      <w:pPr>
        <w:spacing w:line="400" w:lineRule="exact"/>
        <w:jc w:val="center"/>
        <w:rPr>
          <w:color w:val="auto"/>
          <w:sz w:val="24"/>
        </w:rPr>
      </w:pPr>
      <w:r>
        <w:rPr>
          <w:rFonts w:eastAsia="黑体"/>
          <w:color w:val="auto"/>
          <w:sz w:val="24"/>
        </w:rPr>
        <w:t>表2.5-4  与相关环境保护规划相符性分析</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3862"/>
        <w:gridCol w:w="2861"/>
        <w:gridCol w:w="957"/>
      </w:tblGrid>
      <w:tr w14:paraId="213271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606" w:type="dxa"/>
            <w:noWrap w:val="0"/>
            <w:vAlign w:val="center"/>
          </w:tcPr>
          <w:p w14:paraId="5EC83B71">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环境保护规划</w:t>
            </w:r>
          </w:p>
        </w:tc>
        <w:tc>
          <w:tcPr>
            <w:tcW w:w="3862" w:type="dxa"/>
            <w:noWrap w:val="0"/>
            <w:vAlign w:val="center"/>
          </w:tcPr>
          <w:p w14:paraId="6C165CF8">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规划要求</w:t>
            </w:r>
          </w:p>
        </w:tc>
        <w:tc>
          <w:tcPr>
            <w:tcW w:w="2861" w:type="dxa"/>
            <w:noWrap w:val="0"/>
            <w:vAlign w:val="center"/>
          </w:tcPr>
          <w:p w14:paraId="65B0D20D">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本项目情况</w:t>
            </w:r>
          </w:p>
        </w:tc>
        <w:tc>
          <w:tcPr>
            <w:tcW w:w="957" w:type="dxa"/>
            <w:noWrap w:val="0"/>
            <w:vAlign w:val="center"/>
          </w:tcPr>
          <w:p w14:paraId="03F01693">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符合性判定</w:t>
            </w:r>
          </w:p>
        </w:tc>
      </w:tr>
      <w:tr w14:paraId="234432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06" w:type="dxa"/>
            <w:vMerge w:val="restart"/>
            <w:noWrap w:val="0"/>
            <w:vAlign w:val="center"/>
          </w:tcPr>
          <w:p w14:paraId="3812979C">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《安徽省“十</w:t>
            </w:r>
            <w:r>
              <w:rPr>
                <w:rFonts w:hint="eastAsia" w:ascii="Times New Roman" w:hAnsi="Times New Roman" w:cs="Times New Roman"/>
                <w:color w:val="auto"/>
                <w:sz w:val="21"/>
                <w:szCs w:val="21"/>
              </w:rPr>
              <w:t>四</w:t>
            </w:r>
            <w:r>
              <w:rPr>
                <w:rFonts w:hint="default" w:ascii="Times New Roman" w:hAnsi="Times New Roman" w:cs="Times New Roman"/>
                <w:color w:val="auto"/>
                <w:sz w:val="21"/>
                <w:szCs w:val="21"/>
              </w:rPr>
              <w:t>五”生态环境保护规划》</w:t>
            </w:r>
          </w:p>
        </w:tc>
        <w:tc>
          <w:tcPr>
            <w:tcW w:w="3862" w:type="dxa"/>
            <w:noWrap w:val="0"/>
            <w:vAlign w:val="center"/>
          </w:tcPr>
          <w:p w14:paraId="4974C4FF">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重点</w:t>
            </w:r>
            <w:r>
              <w:rPr>
                <w:rFonts w:hint="eastAsia" w:cs="Times New Roman"/>
                <w:color w:val="auto"/>
                <w:sz w:val="21"/>
                <w:szCs w:val="21"/>
                <w:lang w:eastAsia="zh-CN"/>
              </w:rPr>
              <w:t>加大</w:t>
            </w:r>
            <w:r>
              <w:rPr>
                <w:rFonts w:hint="eastAsia" w:ascii="Times New Roman" w:hAnsi="Times New Roman" w:cs="Times New Roman"/>
                <w:color w:val="auto"/>
                <w:sz w:val="21"/>
                <w:szCs w:val="21"/>
              </w:rPr>
              <w:t>货运运输结构调整力度，针对煤炭、钢铁、水泥、砂石骨料等大宗物料以及重点地区农产品、工业产品等运输，深挖运输结构调整潜力，谋划货运运输“公转铁”和“公转水”重大工程。依托铁路物流基地、内河港口、物流园区等，推进多式联运设施建设，推广新能源物流配送车辆，建设城市绿色物流体系。</w:t>
            </w:r>
          </w:p>
        </w:tc>
        <w:tc>
          <w:tcPr>
            <w:tcW w:w="2861" w:type="dxa"/>
            <w:noWrap w:val="0"/>
            <w:vAlign w:val="center"/>
          </w:tcPr>
          <w:p w14:paraId="55FF474C">
            <w:pPr>
              <w:pStyle w:val="277"/>
              <w:keepNext w:val="0"/>
              <w:keepLines w:val="0"/>
              <w:suppressLineNumbers w:val="0"/>
              <w:spacing w:before="0" w:beforeAutospacing="0" w:after="0" w:afterAutospacing="0" w:line="280" w:lineRule="exact"/>
              <w:ind w:left="0" w:right="0"/>
              <w:rPr>
                <w:rFonts w:hint="eastAsia" w:ascii="Times New Roman" w:hAnsi="Times New Roman" w:cs="Times New Roman"/>
                <w:color w:val="auto"/>
                <w:sz w:val="21"/>
                <w:szCs w:val="21"/>
              </w:rPr>
            </w:pPr>
            <w:r>
              <w:rPr>
                <w:rFonts w:hint="default" w:ascii="Times New Roman" w:hAnsi="Times New Roman" w:cs="Times New Roman"/>
                <w:color w:val="auto"/>
                <w:sz w:val="21"/>
                <w:szCs w:val="21"/>
              </w:rPr>
              <w:t>本项目码头为</w:t>
            </w:r>
            <w:r>
              <w:rPr>
                <w:rFonts w:hint="eastAsia" w:ascii="Times New Roman" w:hAnsi="Times New Roman" w:cs="Times New Roman"/>
                <w:color w:val="auto"/>
                <w:sz w:val="21"/>
                <w:szCs w:val="21"/>
              </w:rPr>
              <w:t>散货</w:t>
            </w:r>
            <w:r>
              <w:rPr>
                <w:rFonts w:hint="default" w:ascii="Times New Roman" w:hAnsi="Times New Roman" w:cs="Times New Roman"/>
                <w:color w:val="auto"/>
                <w:sz w:val="21"/>
                <w:szCs w:val="21"/>
              </w:rPr>
              <w:t>运输码头，主要用于运输煤炭</w:t>
            </w:r>
            <w:r>
              <w:rPr>
                <w:rFonts w:hint="eastAsia" w:ascii="Times New Roman" w:hAnsi="Times New Roman" w:cs="Times New Roman"/>
                <w:color w:val="auto"/>
                <w:sz w:val="21"/>
                <w:szCs w:val="21"/>
              </w:rPr>
              <w:t>、矿建材料</w:t>
            </w:r>
            <w:r>
              <w:rPr>
                <w:rFonts w:hint="eastAsia" w:cs="Times New Roman"/>
                <w:color w:val="auto"/>
                <w:sz w:val="21"/>
                <w:szCs w:val="21"/>
                <w:lang w:eastAsia="zh-CN"/>
              </w:rPr>
              <w:t>（</w:t>
            </w:r>
            <w:r>
              <w:rPr>
                <w:rFonts w:hint="eastAsia" w:cs="Times New Roman"/>
                <w:color w:val="auto"/>
                <w:sz w:val="21"/>
                <w:szCs w:val="21"/>
                <w:lang w:val="en-US" w:eastAsia="zh-CN"/>
              </w:rPr>
              <w:t>石子</w:t>
            </w:r>
            <w:r>
              <w:rPr>
                <w:rFonts w:hint="eastAsia" w:cs="Times New Roman"/>
                <w:color w:val="auto"/>
                <w:sz w:val="21"/>
                <w:szCs w:val="21"/>
                <w:lang w:eastAsia="zh-CN"/>
              </w:rPr>
              <w:t>）、</w:t>
            </w:r>
            <w:r>
              <w:rPr>
                <w:rFonts w:hint="eastAsia" w:cs="Times New Roman"/>
                <w:color w:val="auto"/>
                <w:sz w:val="21"/>
                <w:szCs w:val="21"/>
                <w:lang w:val="en-US" w:eastAsia="zh-CN"/>
              </w:rPr>
              <w:t>件杂货</w:t>
            </w:r>
            <w:r>
              <w:rPr>
                <w:rFonts w:hint="default" w:ascii="Times New Roman" w:hAnsi="Times New Roman" w:cs="Times New Roman"/>
                <w:color w:val="auto"/>
                <w:sz w:val="21"/>
                <w:szCs w:val="21"/>
              </w:rPr>
              <w:t>，利于建设绿色交通运输体系。</w:t>
            </w:r>
          </w:p>
        </w:tc>
        <w:tc>
          <w:tcPr>
            <w:tcW w:w="957" w:type="dxa"/>
            <w:noWrap w:val="0"/>
            <w:vAlign w:val="center"/>
          </w:tcPr>
          <w:p w14:paraId="4579C593">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5EDAF6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06" w:type="dxa"/>
            <w:vMerge w:val="continue"/>
            <w:noWrap w:val="0"/>
            <w:vAlign w:val="center"/>
          </w:tcPr>
          <w:p w14:paraId="13AA6BCB">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p>
        </w:tc>
        <w:tc>
          <w:tcPr>
            <w:tcW w:w="3862" w:type="dxa"/>
            <w:noWrap w:val="0"/>
            <w:vAlign w:val="center"/>
          </w:tcPr>
          <w:p w14:paraId="44510108">
            <w:pPr>
              <w:pStyle w:val="277"/>
              <w:keepNext w:val="0"/>
              <w:keepLines w:val="0"/>
              <w:suppressLineNumbers w:val="0"/>
              <w:spacing w:before="0" w:beforeAutospacing="0" w:after="0" w:afterAutospacing="0" w:line="280" w:lineRule="exact"/>
              <w:ind w:left="0" w:right="0"/>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全面推进清洁城市行动，推行绿色施工，强化道路绿化用地扬尘治理，以煤炭、矿石、干散货码头物料堆场为重点，推进抑尘设施建设和物料输送系统封闭改造；依法严禁秸秆、垃圾等露天焚烧。探索建立大气氨规范化排放清单，推进养殖业、种植业大气氨减排。扩大重污染天气重点行业绩效分级和应急减排的实施范围，完善差异化管控机制。</w:t>
            </w:r>
          </w:p>
        </w:tc>
        <w:tc>
          <w:tcPr>
            <w:tcW w:w="2861" w:type="dxa"/>
            <w:noWrap w:val="0"/>
            <w:vAlign w:val="center"/>
          </w:tcPr>
          <w:p w14:paraId="653C8627">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项目为</w:t>
            </w:r>
            <w:r>
              <w:rPr>
                <w:rFonts w:hint="eastAsia" w:ascii="Times New Roman" w:hAnsi="Times New Roman" w:cs="Times New Roman"/>
                <w:color w:val="auto"/>
                <w:sz w:val="21"/>
                <w:szCs w:val="21"/>
              </w:rPr>
              <w:t>散货</w:t>
            </w:r>
            <w:r>
              <w:rPr>
                <w:rFonts w:hint="default" w:ascii="Times New Roman" w:hAnsi="Times New Roman" w:cs="Times New Roman"/>
                <w:color w:val="auto"/>
                <w:sz w:val="21"/>
                <w:szCs w:val="21"/>
              </w:rPr>
              <w:t>运输码头建设，在</w:t>
            </w:r>
            <w:r>
              <w:rPr>
                <w:rFonts w:hint="eastAsia" w:ascii="Times New Roman" w:hAnsi="Times New Roman" w:cs="Times New Roman"/>
                <w:color w:val="auto"/>
                <w:sz w:val="21"/>
                <w:szCs w:val="21"/>
              </w:rPr>
              <w:t>装船</w:t>
            </w:r>
            <w:r>
              <w:rPr>
                <w:rFonts w:hint="default" w:ascii="Times New Roman" w:hAnsi="Times New Roman" w:cs="Times New Roman"/>
                <w:color w:val="auto"/>
                <w:sz w:val="21"/>
                <w:szCs w:val="21"/>
              </w:rPr>
              <w:t>机</w:t>
            </w:r>
            <w:r>
              <w:rPr>
                <w:rFonts w:hint="eastAsia" w:ascii="Times New Roman" w:hAnsi="Times New Roman" w:cs="Times New Roman"/>
                <w:color w:val="auto"/>
                <w:sz w:val="21"/>
                <w:szCs w:val="21"/>
              </w:rPr>
              <w:t>、泊位</w:t>
            </w:r>
            <w:r>
              <w:rPr>
                <w:rFonts w:hint="default" w:ascii="Times New Roman" w:hAnsi="Times New Roman" w:cs="Times New Roman"/>
                <w:color w:val="auto"/>
                <w:sz w:val="21"/>
                <w:szCs w:val="21"/>
              </w:rPr>
              <w:t>处配置干雾抑尘的环保料斗、在装船、装车、卸船处设置</w:t>
            </w:r>
            <w:r>
              <w:rPr>
                <w:rFonts w:hint="eastAsia" w:ascii="Times New Roman" w:hAnsi="Times New Roman" w:cs="Times New Roman"/>
                <w:color w:val="auto"/>
                <w:sz w:val="21"/>
                <w:szCs w:val="21"/>
              </w:rPr>
              <w:t>干雾</w:t>
            </w:r>
            <w:r>
              <w:rPr>
                <w:rFonts w:hint="default" w:ascii="Times New Roman" w:hAnsi="Times New Roman" w:cs="Times New Roman"/>
                <w:color w:val="auto"/>
                <w:sz w:val="21"/>
                <w:szCs w:val="21"/>
              </w:rPr>
              <w:t>抑尘</w:t>
            </w:r>
            <w:r>
              <w:rPr>
                <w:rFonts w:hint="eastAsia" w:ascii="Times New Roman" w:hAnsi="Times New Roman" w:cs="Times New Roman"/>
                <w:color w:val="auto"/>
                <w:sz w:val="21"/>
                <w:szCs w:val="21"/>
              </w:rPr>
              <w:t>，装船机皮带密闭，减少装卸产生的粉尘逸散</w:t>
            </w:r>
            <w:r>
              <w:rPr>
                <w:rFonts w:hint="default" w:ascii="Times New Roman" w:hAnsi="Times New Roman" w:cs="Times New Roman"/>
                <w:color w:val="auto"/>
                <w:sz w:val="21"/>
                <w:szCs w:val="21"/>
              </w:rPr>
              <w:t>，以减轻对</w:t>
            </w:r>
            <w:r>
              <w:rPr>
                <w:rFonts w:hint="eastAsia" w:ascii="Times New Roman" w:hAnsi="Times New Roman" w:cs="Times New Roman"/>
                <w:color w:val="auto"/>
                <w:sz w:val="21"/>
                <w:szCs w:val="21"/>
              </w:rPr>
              <w:t>周边</w:t>
            </w:r>
            <w:r>
              <w:rPr>
                <w:rFonts w:hint="default" w:ascii="Times New Roman" w:hAnsi="Times New Roman" w:cs="Times New Roman"/>
                <w:color w:val="auto"/>
                <w:sz w:val="21"/>
                <w:szCs w:val="21"/>
              </w:rPr>
              <w:t>环境的影响。</w:t>
            </w:r>
          </w:p>
        </w:tc>
        <w:tc>
          <w:tcPr>
            <w:tcW w:w="957" w:type="dxa"/>
            <w:noWrap w:val="0"/>
            <w:vAlign w:val="center"/>
          </w:tcPr>
          <w:p w14:paraId="4403361B">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4DCA93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06" w:type="dxa"/>
            <w:vMerge w:val="continue"/>
            <w:noWrap w:val="0"/>
            <w:vAlign w:val="center"/>
          </w:tcPr>
          <w:p w14:paraId="4BD5D4C8">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p>
        </w:tc>
        <w:tc>
          <w:tcPr>
            <w:tcW w:w="3862" w:type="dxa"/>
            <w:noWrap w:val="0"/>
            <w:vAlign w:val="center"/>
          </w:tcPr>
          <w:p w14:paraId="1182E409">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加大移动源污染管控力度。加强船舶污染治理，推动船舶尾气处理，限制高排放船舶使用。完善港口码头岸电设施，提高岸电使用率。</w:t>
            </w:r>
          </w:p>
        </w:tc>
        <w:tc>
          <w:tcPr>
            <w:tcW w:w="2861" w:type="dxa"/>
            <w:noWrap w:val="0"/>
            <w:vAlign w:val="center"/>
          </w:tcPr>
          <w:p w14:paraId="6921A1D5">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运输船舶尾气达标排放，到港船舶使用岸电</w:t>
            </w:r>
          </w:p>
        </w:tc>
        <w:tc>
          <w:tcPr>
            <w:tcW w:w="957" w:type="dxa"/>
            <w:noWrap w:val="0"/>
            <w:vAlign w:val="center"/>
          </w:tcPr>
          <w:p w14:paraId="655AE47A">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25470A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06" w:type="dxa"/>
            <w:vMerge w:val="restart"/>
            <w:noWrap w:val="0"/>
            <w:vAlign w:val="center"/>
          </w:tcPr>
          <w:p w14:paraId="055B47E1">
            <w:pPr>
              <w:pStyle w:val="277"/>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《淮南市十四五生态环境保护规划》</w:t>
            </w:r>
          </w:p>
        </w:tc>
        <w:tc>
          <w:tcPr>
            <w:tcW w:w="3862" w:type="dxa"/>
            <w:noWrap w:val="0"/>
            <w:vAlign w:val="center"/>
          </w:tcPr>
          <w:p w14:paraId="551692F5">
            <w:pPr>
              <w:pStyle w:val="277"/>
              <w:keepNext w:val="0"/>
              <w:keepLines w:val="0"/>
              <w:suppressLineNumbers w:val="0"/>
              <w:spacing w:before="0" w:beforeAutospacing="0" w:after="0" w:afterAutospacing="0" w:line="280" w:lineRule="exact"/>
              <w:ind w:left="0" w:right="0"/>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推动打造区域性综合交通运输枢纽，持续推进“公转铁、公转水”。积极参与江淮城际铁路网建设，完成合肥—新桥—淮南城际铁路前期研究工作，启动沿淮高铁、淮南—定远城际铁路、淮南—宿州城际铁路前期研究工作。形成“干支联动、通江达海”水运网，完成淮河干流航道整治，打通江淮运河，淮河支流航道，全面实现等级化；港口物流和集散运输体系进一步完善，港口吞吐量和服务水平大幅度提高，将淮南港建设成为千里淮河能源运输第一港、江淮水运枢纽港。完善铁路、公路集疏运设施，建立多种运输方式综合服务信息平台，实现互联互通。</w:t>
            </w:r>
          </w:p>
        </w:tc>
        <w:tc>
          <w:tcPr>
            <w:tcW w:w="2861" w:type="dxa"/>
            <w:noWrap w:val="0"/>
            <w:vAlign w:val="center"/>
          </w:tcPr>
          <w:p w14:paraId="06B68455">
            <w:pPr>
              <w:pStyle w:val="277"/>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 w:val="21"/>
                <w:szCs w:val="21"/>
              </w:rPr>
            </w:pPr>
            <w:r>
              <w:rPr>
                <w:rFonts w:hint="default" w:ascii="Times New Roman" w:hAnsi="Times New Roman" w:cs="Times New Roman"/>
                <w:color w:val="auto"/>
                <w:sz w:val="21"/>
                <w:szCs w:val="21"/>
              </w:rPr>
              <w:t>本项目码头为</w:t>
            </w:r>
            <w:r>
              <w:rPr>
                <w:rFonts w:hint="eastAsia" w:ascii="Times New Roman" w:hAnsi="Times New Roman" w:cs="Times New Roman"/>
                <w:color w:val="auto"/>
                <w:sz w:val="21"/>
                <w:szCs w:val="21"/>
              </w:rPr>
              <w:t>散货</w:t>
            </w:r>
            <w:r>
              <w:rPr>
                <w:rFonts w:hint="default" w:ascii="Times New Roman" w:hAnsi="Times New Roman" w:cs="Times New Roman"/>
                <w:color w:val="auto"/>
                <w:sz w:val="21"/>
                <w:szCs w:val="21"/>
              </w:rPr>
              <w:t>运输码头，主要用于运输煤炭</w:t>
            </w:r>
            <w:r>
              <w:rPr>
                <w:rFonts w:hint="eastAsia" w:ascii="Times New Roman" w:hAnsi="Times New Roman" w:cs="Times New Roman"/>
                <w:color w:val="auto"/>
                <w:sz w:val="21"/>
                <w:szCs w:val="21"/>
              </w:rPr>
              <w:t>、矿建材料</w:t>
            </w:r>
            <w:r>
              <w:rPr>
                <w:rFonts w:hint="default" w:ascii="Times New Roman" w:hAnsi="Times New Roman" w:cs="Times New Roman"/>
                <w:color w:val="auto"/>
                <w:sz w:val="21"/>
                <w:szCs w:val="21"/>
              </w:rPr>
              <w:t>，利于</w:t>
            </w:r>
            <w:r>
              <w:rPr>
                <w:rFonts w:hint="eastAsia" w:ascii="Times New Roman" w:hAnsi="Times New Roman" w:eastAsia="宋体" w:cs="Times New Roman"/>
                <w:color w:val="auto"/>
                <w:sz w:val="21"/>
                <w:szCs w:val="21"/>
              </w:rPr>
              <w:t>完善铁路、公路集疏运设施，建立多种运输方式综合服务信息平台</w:t>
            </w:r>
            <w:r>
              <w:rPr>
                <w:rFonts w:hint="default" w:ascii="Times New Roman" w:hAnsi="Times New Roman" w:cs="Times New Roman"/>
                <w:color w:val="auto"/>
                <w:sz w:val="21"/>
                <w:szCs w:val="21"/>
              </w:rPr>
              <w:t>。</w:t>
            </w:r>
          </w:p>
        </w:tc>
        <w:tc>
          <w:tcPr>
            <w:tcW w:w="957" w:type="dxa"/>
            <w:noWrap w:val="0"/>
            <w:vAlign w:val="center"/>
          </w:tcPr>
          <w:p w14:paraId="719B9548">
            <w:pPr>
              <w:pStyle w:val="277"/>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5FA27F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06" w:type="dxa"/>
            <w:vMerge w:val="continue"/>
            <w:noWrap w:val="0"/>
            <w:vAlign w:val="center"/>
          </w:tcPr>
          <w:p w14:paraId="57D25CEE">
            <w:pPr>
              <w:pStyle w:val="277"/>
              <w:keepNext w:val="0"/>
              <w:keepLines w:val="0"/>
              <w:suppressLineNumbers w:val="0"/>
              <w:spacing w:before="0" w:beforeAutospacing="0" w:after="0" w:afterAutospacing="0" w:line="280" w:lineRule="exact"/>
              <w:ind w:left="0" w:right="0"/>
              <w:rPr>
                <w:rFonts w:hint="eastAsia" w:ascii="Times New Roman" w:hAnsi="Times New Roman" w:eastAsia="宋体" w:cs="Times New Roman"/>
                <w:color w:val="auto"/>
                <w:sz w:val="21"/>
                <w:szCs w:val="21"/>
                <w:lang w:val="en-US" w:eastAsia="zh-CN"/>
              </w:rPr>
            </w:pPr>
          </w:p>
        </w:tc>
        <w:tc>
          <w:tcPr>
            <w:tcW w:w="3862" w:type="dxa"/>
            <w:noWrap w:val="0"/>
            <w:vAlign w:val="center"/>
          </w:tcPr>
          <w:p w14:paraId="4E1615AD">
            <w:pPr>
              <w:pStyle w:val="277"/>
              <w:keepNext w:val="0"/>
              <w:keepLines w:val="0"/>
              <w:suppressLineNumbers w:val="0"/>
              <w:spacing w:before="0" w:beforeAutospacing="0" w:after="0" w:afterAutospacing="0" w:line="280" w:lineRule="exact"/>
              <w:ind w:left="0" w:right="0"/>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深入治理移动车船尾气。加快车船结构升级，推广使用新能源汽车，加快推进城市建成区新增和更新的公交、环卫、邮政、出租、通勤、轻型物流配送车</w:t>
            </w:r>
            <w:r>
              <w:rPr>
                <w:rFonts w:hint="default" w:ascii="Times New Roman" w:hAnsi="Times New Roman" w:eastAsia="宋体" w:cs="Times New Roman"/>
                <w:color w:val="auto"/>
                <w:sz w:val="21"/>
                <w:szCs w:val="21"/>
              </w:rPr>
              <w:t>辆使用新能源或清洁能源汽车；港口码头、铁路货场等新增或更换作业车辆主要使用新能源或清洁能源汽车；在工业园、大型商业购物中心、农贸批发市场等物流集散地建设集中式充电桩和快速充电桩；加快淘汰国三及以下排放标准的柴油货车、老旧燃气车辆；开展燃料油品专项整治行动，实施国Ⅵ排放标准和相应油品标准；扎实推进油品储运销和移动源排放达标工作，清理取缔黑加油站点、流动加油车。加强非道路移动机械和船舶污染防治，开展非道路移动机械摸底调查，推进排放不达标工程机械、港作机械清洁化改造和淘汰</w:t>
            </w:r>
          </w:p>
        </w:tc>
        <w:tc>
          <w:tcPr>
            <w:tcW w:w="2861" w:type="dxa"/>
            <w:noWrap w:val="0"/>
            <w:vAlign w:val="center"/>
          </w:tcPr>
          <w:p w14:paraId="7C478EA7">
            <w:pPr>
              <w:pStyle w:val="277"/>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本项目</w:t>
            </w:r>
            <w:r>
              <w:rPr>
                <w:rFonts w:hint="eastAsia" w:ascii="Times New Roman" w:hAnsi="Times New Roman" w:eastAsia="宋体" w:cs="Times New Roman"/>
                <w:color w:val="auto"/>
                <w:sz w:val="21"/>
                <w:szCs w:val="21"/>
              </w:rPr>
              <w:t>作业车辆使用新能源或清洁能源</w:t>
            </w:r>
            <w:r>
              <w:rPr>
                <w:rFonts w:hint="eastAsia" w:cs="Times New Roman"/>
                <w:color w:val="auto"/>
                <w:sz w:val="21"/>
                <w:szCs w:val="21"/>
                <w:lang w:eastAsia="zh-CN"/>
              </w:rPr>
              <w:t>汽车</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同时禁止</w:t>
            </w:r>
            <w:r>
              <w:rPr>
                <w:rFonts w:hint="default" w:ascii="Times New Roman" w:hAnsi="Times New Roman" w:eastAsia="宋体" w:cs="Times New Roman"/>
                <w:color w:val="auto"/>
                <w:sz w:val="21"/>
                <w:szCs w:val="21"/>
              </w:rPr>
              <w:t>不达标工程机械</w:t>
            </w:r>
            <w:r>
              <w:rPr>
                <w:rFonts w:hint="eastAsia" w:ascii="Times New Roman" w:hAnsi="Times New Roman" w:eastAsia="宋体" w:cs="Times New Roman"/>
                <w:color w:val="auto"/>
                <w:sz w:val="21"/>
                <w:szCs w:val="21"/>
                <w:lang w:val="en-US" w:eastAsia="zh-CN"/>
              </w:rPr>
              <w:t>车辆进入本码头作业区。</w:t>
            </w:r>
          </w:p>
        </w:tc>
        <w:tc>
          <w:tcPr>
            <w:tcW w:w="957" w:type="dxa"/>
            <w:noWrap w:val="0"/>
            <w:vAlign w:val="center"/>
          </w:tcPr>
          <w:p w14:paraId="244B238E">
            <w:pPr>
              <w:pStyle w:val="277"/>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164C43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06" w:type="dxa"/>
            <w:vMerge w:val="continue"/>
            <w:noWrap w:val="0"/>
            <w:vAlign w:val="center"/>
          </w:tcPr>
          <w:p w14:paraId="07C6B243">
            <w:pPr>
              <w:pStyle w:val="277"/>
              <w:keepNext w:val="0"/>
              <w:keepLines w:val="0"/>
              <w:suppressLineNumbers w:val="0"/>
              <w:spacing w:before="0" w:beforeAutospacing="0" w:after="0" w:afterAutospacing="0" w:line="280" w:lineRule="exact"/>
              <w:ind w:left="0" w:right="0"/>
              <w:rPr>
                <w:rFonts w:hint="eastAsia" w:ascii="Times New Roman" w:hAnsi="Times New Roman" w:eastAsia="宋体" w:cs="Times New Roman"/>
                <w:color w:val="auto"/>
                <w:sz w:val="21"/>
                <w:szCs w:val="21"/>
                <w:lang w:val="en-US" w:eastAsia="zh-CN"/>
              </w:rPr>
            </w:pPr>
          </w:p>
        </w:tc>
        <w:tc>
          <w:tcPr>
            <w:tcW w:w="3862" w:type="dxa"/>
            <w:noWrap w:val="0"/>
            <w:vAlign w:val="center"/>
          </w:tcPr>
          <w:p w14:paraId="2C591B1B">
            <w:pPr>
              <w:pStyle w:val="277"/>
              <w:keepNext w:val="0"/>
              <w:keepLines w:val="0"/>
              <w:suppressLineNumbers w:val="0"/>
              <w:spacing w:before="0" w:beforeAutospacing="0" w:after="0" w:afterAutospacing="0" w:line="280" w:lineRule="exact"/>
              <w:ind w:left="0" w:right="0"/>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1.加强危化品及工业园区环境风险管控</w:t>
            </w:r>
            <w:r>
              <w:rPr>
                <w:rFonts w:hint="eastAsia" w:ascii="Times New Roman" w:hAnsi="Times New Roman" w:eastAsia="宋体" w:cs="Times New Roman"/>
                <w:color w:val="auto"/>
                <w:sz w:val="21"/>
                <w:szCs w:val="21"/>
                <w:lang w:val="en-US" w:eastAsia="zh-CN"/>
              </w:rPr>
              <w:t xml:space="preserve"> </w:t>
            </w:r>
            <w:r>
              <w:rPr>
                <w:rFonts w:hint="eastAsia" w:ascii="Times New Roman" w:hAnsi="Times New Roman" w:eastAsia="宋体" w:cs="Times New Roman"/>
                <w:color w:val="auto"/>
                <w:sz w:val="21"/>
                <w:szCs w:val="21"/>
              </w:rPr>
              <w:t>严防危化品环境风险。强化重大环境风险源排查，加强化学品风险源、风险区域和污染场地环境管控，以港口、码头、物流仓库、化工园区等为重点，强化危化品安全风险管控和隐患排查治理，严格落实安全风险管控“六项机制”要求。结合行政区域环境风险评估工作，编制淮南市行政区域环境风险评估报告，绘制环境风险地图；加强涉危化品企业突发环境事件应急预案备案工作，做到应急预案备案全覆盖。</w:t>
            </w:r>
          </w:p>
        </w:tc>
        <w:tc>
          <w:tcPr>
            <w:tcW w:w="2861" w:type="dxa"/>
            <w:noWrap w:val="0"/>
            <w:vAlign w:val="center"/>
          </w:tcPr>
          <w:p w14:paraId="7C7D0A70">
            <w:pPr>
              <w:pStyle w:val="277"/>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本项目码头为散货运输码头，主要用于运输煤炭、矿建材料</w:t>
            </w:r>
            <w:r>
              <w:rPr>
                <w:rFonts w:hint="eastAsia" w:cs="Times New Roman"/>
                <w:color w:val="auto"/>
                <w:sz w:val="21"/>
                <w:szCs w:val="21"/>
                <w:lang w:eastAsia="zh-CN"/>
              </w:rPr>
              <w:t>（</w:t>
            </w:r>
            <w:r>
              <w:rPr>
                <w:rFonts w:hint="eastAsia" w:cs="Times New Roman"/>
                <w:color w:val="auto"/>
                <w:sz w:val="21"/>
                <w:szCs w:val="21"/>
                <w:lang w:val="en-US" w:eastAsia="zh-CN"/>
              </w:rPr>
              <w:t>石子</w:t>
            </w:r>
            <w:r>
              <w:rPr>
                <w:rFonts w:hint="eastAsia" w:cs="Times New Roman"/>
                <w:color w:val="auto"/>
                <w:sz w:val="21"/>
                <w:szCs w:val="21"/>
                <w:lang w:eastAsia="zh-CN"/>
              </w:rPr>
              <w:t>）、</w:t>
            </w:r>
            <w:r>
              <w:rPr>
                <w:rFonts w:hint="eastAsia" w:cs="Times New Roman"/>
                <w:color w:val="auto"/>
                <w:sz w:val="21"/>
                <w:szCs w:val="21"/>
                <w:lang w:val="en-US" w:eastAsia="zh-CN"/>
              </w:rPr>
              <w:t>件杂货</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同时本码头不装卸《内河禁运危险化学品目录（</w:t>
            </w:r>
            <w:r>
              <w:rPr>
                <w:rFonts w:hint="default" w:ascii="Times New Roman" w:hAnsi="Times New Roman" w:eastAsia="宋体" w:cs="Times New Roman"/>
                <w:color w:val="auto"/>
                <w:sz w:val="21"/>
                <w:szCs w:val="21"/>
                <w:lang w:val="en-US" w:eastAsia="zh-CN"/>
              </w:rPr>
              <w:t xml:space="preserve">2019 </w:t>
            </w:r>
            <w:r>
              <w:rPr>
                <w:rFonts w:hint="eastAsia" w:ascii="Times New Roman" w:hAnsi="Times New Roman" w:eastAsia="宋体" w:cs="Times New Roman"/>
                <w:color w:val="auto"/>
                <w:sz w:val="21"/>
                <w:szCs w:val="21"/>
                <w:lang w:val="en-US" w:eastAsia="zh-CN"/>
              </w:rPr>
              <w:t>版）》中禁运的化学品</w:t>
            </w:r>
            <w:r>
              <w:rPr>
                <w:rFonts w:hint="eastAsia" w:cs="Times New Roman"/>
                <w:color w:val="auto"/>
                <w:sz w:val="21"/>
                <w:szCs w:val="21"/>
                <w:lang w:val="en-US" w:eastAsia="zh-CN"/>
              </w:rPr>
              <w:t>，项目运营后，企业需按要求编制突发环境应急预案，并与地方人民政府及相关部门、有关单位建立应急联动机制等要求。</w:t>
            </w:r>
          </w:p>
        </w:tc>
        <w:tc>
          <w:tcPr>
            <w:tcW w:w="957" w:type="dxa"/>
            <w:noWrap w:val="0"/>
            <w:vAlign w:val="center"/>
          </w:tcPr>
          <w:p w14:paraId="56AC1961">
            <w:pPr>
              <w:pStyle w:val="277"/>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571A61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06" w:type="dxa"/>
            <w:vMerge w:val="restart"/>
            <w:noWrap w:val="0"/>
            <w:vAlign w:val="center"/>
          </w:tcPr>
          <w:p w14:paraId="3A558E89">
            <w:pPr>
              <w:pStyle w:val="277"/>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《淮南市“十四五”</w:t>
            </w:r>
            <w:r>
              <w:rPr>
                <w:rFonts w:hint="default" w:ascii="Times New Roman" w:hAnsi="Times New Roman" w:eastAsia="宋体" w:cs="Times New Roman"/>
                <w:color w:val="auto"/>
                <w:sz w:val="21"/>
                <w:szCs w:val="21"/>
              </w:rPr>
              <w:fldChar w:fldCharType="begin"/>
            </w:r>
            <w:r>
              <w:rPr>
                <w:rFonts w:hint="default" w:ascii="Times New Roman" w:hAnsi="Times New Roman" w:eastAsia="宋体" w:cs="Times New Roman"/>
                <w:color w:val="auto"/>
                <w:sz w:val="21"/>
                <w:szCs w:val="21"/>
              </w:rPr>
              <w:instrText xml:space="preserve"> HYPERLINK "https://huanbao.bjx.com.cn/topics/daqiwuranfangzhi/" \t "https://huanbao.bjx.com.cn/news/20220718/_blank" </w:instrText>
            </w:r>
            <w:r>
              <w:rPr>
                <w:rFonts w:hint="default" w:ascii="Times New Roman" w:hAnsi="Times New Roman" w:eastAsia="宋体" w:cs="Times New Roman"/>
                <w:color w:val="auto"/>
                <w:sz w:val="21"/>
                <w:szCs w:val="21"/>
              </w:rPr>
              <w:fldChar w:fldCharType="separate"/>
            </w:r>
            <w:r>
              <w:rPr>
                <w:rFonts w:hint="default" w:ascii="Times New Roman" w:hAnsi="Times New Roman" w:eastAsia="宋体" w:cs="Times New Roman"/>
                <w:color w:val="auto"/>
                <w:sz w:val="21"/>
                <w:szCs w:val="21"/>
              </w:rPr>
              <w:t>大气污染防治</w:t>
            </w:r>
            <w:r>
              <w:rPr>
                <w:rFonts w:hint="default" w:ascii="Times New Roman" w:hAnsi="Times New Roman" w:eastAsia="宋体" w:cs="Times New Roman"/>
                <w:color w:val="auto"/>
                <w:sz w:val="21"/>
                <w:szCs w:val="21"/>
              </w:rPr>
              <w:fldChar w:fldCharType="end"/>
            </w:r>
            <w:r>
              <w:rPr>
                <w:rFonts w:hint="default" w:ascii="Times New Roman" w:hAnsi="Times New Roman" w:eastAsia="宋体" w:cs="Times New Roman"/>
                <w:color w:val="auto"/>
                <w:sz w:val="21"/>
                <w:szCs w:val="21"/>
              </w:rPr>
              <w:t>规划（2021-2025年）》</w:t>
            </w:r>
          </w:p>
        </w:tc>
        <w:tc>
          <w:tcPr>
            <w:tcW w:w="3862" w:type="dxa"/>
            <w:noWrap w:val="0"/>
            <w:vAlign w:val="center"/>
          </w:tcPr>
          <w:p w14:paraId="2BB31C8F">
            <w:pPr>
              <w:pStyle w:val="277"/>
              <w:keepNext w:val="0"/>
              <w:keepLines w:val="0"/>
              <w:suppressLineNumbers w:val="0"/>
              <w:spacing w:before="0" w:beforeAutospacing="0" w:after="0" w:afterAutospacing="0" w:line="280" w:lineRule="exact"/>
              <w:ind w:left="0" w:right="0"/>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优化道路货运结构，提升铁路货运能力。充分利用铁路专用线运输能力，大幅提高铁路货运比例，公路货运比例逐步减少。逐步提高港口集疏运能力。加快推进综合码头及配套铁路专用线建设，实现重点港区通达高等级公路及疏港铁路支线。积极推进多式联运发展。引进具备先进经验的多式联运经营企业，组建大型多式联运企业</w:t>
            </w:r>
          </w:p>
        </w:tc>
        <w:tc>
          <w:tcPr>
            <w:tcW w:w="2861" w:type="dxa"/>
            <w:noWrap w:val="0"/>
            <w:vAlign w:val="center"/>
          </w:tcPr>
          <w:p w14:paraId="34B84C7A">
            <w:pPr>
              <w:pStyle w:val="277"/>
              <w:keepNext w:val="0"/>
              <w:keepLines w:val="0"/>
              <w:suppressLineNumbers w:val="0"/>
              <w:spacing w:before="0" w:beforeAutospacing="0" w:after="0" w:afterAutospacing="0" w:line="280" w:lineRule="exact"/>
              <w:ind w:left="0" w:right="0"/>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本项目码头为散货运输码头，主要用于运输煤炭、矿建材料</w:t>
            </w:r>
            <w:r>
              <w:rPr>
                <w:rFonts w:hint="eastAsia" w:cs="Times New Roman"/>
                <w:color w:val="auto"/>
                <w:sz w:val="21"/>
                <w:szCs w:val="21"/>
                <w:lang w:eastAsia="zh-CN"/>
              </w:rPr>
              <w:t>（</w:t>
            </w:r>
            <w:r>
              <w:rPr>
                <w:rFonts w:hint="eastAsia" w:cs="Times New Roman"/>
                <w:color w:val="auto"/>
                <w:sz w:val="21"/>
                <w:szCs w:val="21"/>
                <w:lang w:val="en-US" w:eastAsia="zh-CN"/>
              </w:rPr>
              <w:t>石子</w:t>
            </w:r>
            <w:r>
              <w:rPr>
                <w:rFonts w:hint="eastAsia" w:cs="Times New Roman"/>
                <w:color w:val="auto"/>
                <w:sz w:val="21"/>
                <w:szCs w:val="21"/>
                <w:lang w:eastAsia="zh-CN"/>
              </w:rPr>
              <w:t>）、</w:t>
            </w:r>
            <w:r>
              <w:rPr>
                <w:rFonts w:hint="eastAsia" w:cs="Times New Roman"/>
                <w:color w:val="auto"/>
                <w:sz w:val="21"/>
                <w:szCs w:val="21"/>
                <w:lang w:val="en-US" w:eastAsia="zh-CN"/>
              </w:rPr>
              <w:t>件杂货</w:t>
            </w:r>
            <w:r>
              <w:rPr>
                <w:rFonts w:hint="eastAsia" w:ascii="Times New Roman" w:hAnsi="Times New Roman" w:eastAsia="宋体" w:cs="Times New Roman"/>
                <w:color w:val="auto"/>
                <w:sz w:val="21"/>
                <w:szCs w:val="21"/>
              </w:rPr>
              <w:t>，利于加快推进综合码头及配套铁路专用线建设，实现重点港区通达高等级公路及疏港铁路支线。</w:t>
            </w:r>
          </w:p>
        </w:tc>
        <w:tc>
          <w:tcPr>
            <w:tcW w:w="957" w:type="dxa"/>
            <w:noWrap w:val="0"/>
            <w:vAlign w:val="center"/>
          </w:tcPr>
          <w:p w14:paraId="4CA91388">
            <w:pPr>
              <w:pStyle w:val="277"/>
              <w:keepNext w:val="0"/>
              <w:keepLines w:val="0"/>
              <w:suppressLineNumbers w:val="0"/>
              <w:spacing w:before="0" w:beforeAutospacing="0" w:after="0" w:afterAutospacing="0" w:line="280" w:lineRule="exact"/>
              <w:ind w:left="0" w:right="0"/>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符合</w:t>
            </w:r>
          </w:p>
        </w:tc>
      </w:tr>
      <w:tr w14:paraId="6FF464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06" w:type="dxa"/>
            <w:vMerge w:val="continue"/>
            <w:noWrap w:val="0"/>
            <w:vAlign w:val="center"/>
          </w:tcPr>
          <w:p w14:paraId="51514A55">
            <w:pPr>
              <w:pStyle w:val="277"/>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 w:val="21"/>
                <w:szCs w:val="21"/>
              </w:rPr>
            </w:pPr>
          </w:p>
        </w:tc>
        <w:tc>
          <w:tcPr>
            <w:tcW w:w="3862" w:type="dxa"/>
            <w:noWrap w:val="0"/>
            <w:vAlign w:val="center"/>
          </w:tcPr>
          <w:p w14:paraId="2BF83A8A">
            <w:pPr>
              <w:pStyle w:val="277"/>
              <w:keepNext w:val="0"/>
              <w:keepLines w:val="0"/>
              <w:suppressLineNumbers w:val="0"/>
              <w:spacing w:before="0" w:beforeAutospacing="0" w:after="0" w:afterAutospacing="0" w:line="280" w:lineRule="exact"/>
              <w:ind w:left="0" w:right="0"/>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严格执行国家和省高耗能、高污染和资源型行业准入条件。严控“两高”行业产能，原则上禁止新建、扩建单纯新增产能的钢铁、水泥、平板玻璃、铸造等产能过剩的传统产业项目，严格执行钢铁、水泥、平板玻璃等行业产能置换实施办法。原则上不得新建热电联产、天然气化工和未纳入国家规划的煤化工等项目</w:t>
            </w:r>
          </w:p>
        </w:tc>
        <w:tc>
          <w:tcPr>
            <w:tcW w:w="2861" w:type="dxa"/>
            <w:noWrap w:val="0"/>
            <w:vAlign w:val="center"/>
          </w:tcPr>
          <w:p w14:paraId="5C861353">
            <w:pPr>
              <w:pStyle w:val="277"/>
              <w:keepNext w:val="0"/>
              <w:keepLines w:val="0"/>
              <w:suppressLineNumbers w:val="0"/>
              <w:spacing w:before="0" w:beforeAutospacing="0" w:after="0" w:afterAutospacing="0" w:line="280" w:lineRule="exact"/>
              <w:ind w:left="0" w:right="0"/>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本项目为</w:t>
            </w:r>
            <w:r>
              <w:rPr>
                <w:rFonts w:hint="eastAsia" w:ascii="Times New Roman" w:hAnsi="Times New Roman" w:eastAsia="宋体" w:cs="Times New Roman"/>
                <w:color w:val="auto"/>
                <w:sz w:val="21"/>
                <w:szCs w:val="21"/>
              </w:rPr>
              <w:t>货运港口</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不属于</w:t>
            </w:r>
            <w:r>
              <w:rPr>
                <w:rFonts w:hint="eastAsia" w:ascii="Times New Roman" w:hAnsi="Times New Roman" w:eastAsia="宋体" w:cs="Times New Roman"/>
                <w:color w:val="auto"/>
                <w:sz w:val="21"/>
                <w:szCs w:val="21"/>
              </w:rPr>
              <w:t>高耗能、高污染</w:t>
            </w:r>
            <w:r>
              <w:rPr>
                <w:rFonts w:hint="eastAsia" w:ascii="Times New Roman" w:hAnsi="Times New Roman" w:eastAsia="宋体" w:cs="Times New Roman"/>
                <w:color w:val="auto"/>
                <w:sz w:val="21"/>
                <w:szCs w:val="21"/>
                <w:lang w:val="en-US" w:eastAsia="zh-CN"/>
              </w:rPr>
              <w:t>项目，也不属于</w:t>
            </w:r>
            <w:r>
              <w:rPr>
                <w:rFonts w:hint="eastAsia" w:ascii="Times New Roman" w:hAnsi="Times New Roman" w:eastAsia="宋体" w:cs="Times New Roman"/>
                <w:color w:val="auto"/>
                <w:sz w:val="21"/>
                <w:szCs w:val="21"/>
              </w:rPr>
              <w:t>热电联产、天然气化工和未纳入国家规划的煤化工等项目</w:t>
            </w:r>
            <w:r>
              <w:rPr>
                <w:rFonts w:hint="eastAsia" w:ascii="Times New Roman" w:hAnsi="Times New Roman" w:eastAsia="宋体" w:cs="Times New Roman"/>
                <w:color w:val="auto"/>
                <w:sz w:val="21"/>
                <w:szCs w:val="21"/>
                <w:lang w:val="en-US" w:eastAsia="zh-CN"/>
              </w:rPr>
              <w:t>范畴</w:t>
            </w:r>
          </w:p>
        </w:tc>
        <w:tc>
          <w:tcPr>
            <w:tcW w:w="957" w:type="dxa"/>
            <w:noWrap w:val="0"/>
            <w:vAlign w:val="center"/>
          </w:tcPr>
          <w:p w14:paraId="24545861">
            <w:pPr>
              <w:pStyle w:val="277"/>
              <w:keepNext w:val="0"/>
              <w:keepLines w:val="0"/>
              <w:suppressLineNumbers w:val="0"/>
              <w:spacing w:before="0" w:beforeAutospacing="0" w:after="0" w:afterAutospacing="0" w:line="280" w:lineRule="exact"/>
              <w:ind w:left="0" w:right="0"/>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符合</w:t>
            </w:r>
          </w:p>
        </w:tc>
      </w:tr>
      <w:tr w14:paraId="30A0C1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06" w:type="dxa"/>
            <w:vMerge w:val="restart"/>
            <w:noWrap w:val="0"/>
            <w:vAlign w:val="center"/>
          </w:tcPr>
          <w:p w14:paraId="25147102">
            <w:pPr>
              <w:pStyle w:val="277"/>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rPr>
              <w:t>淮南市水生态环境保护“十四五”规划</w:t>
            </w:r>
            <w:r>
              <w:rPr>
                <w:rFonts w:hint="eastAsia" w:ascii="Times New Roman" w:hAnsi="Times New Roman" w:eastAsia="宋体" w:cs="Times New Roman"/>
                <w:color w:val="auto"/>
                <w:sz w:val="21"/>
                <w:szCs w:val="21"/>
                <w:lang w:eastAsia="zh-CN"/>
              </w:rPr>
              <w:t>》</w:t>
            </w:r>
          </w:p>
        </w:tc>
        <w:tc>
          <w:tcPr>
            <w:tcW w:w="3862" w:type="dxa"/>
            <w:noWrap w:val="0"/>
            <w:vAlign w:val="center"/>
          </w:tcPr>
          <w:p w14:paraId="76609AD5">
            <w:pPr>
              <w:pStyle w:val="277"/>
              <w:keepNext w:val="0"/>
              <w:keepLines w:val="0"/>
              <w:suppressLineNumbers w:val="0"/>
              <w:spacing w:before="0" w:beforeAutospacing="0" w:after="0" w:afterAutospacing="0" w:line="280" w:lineRule="exact"/>
              <w:ind w:left="0" w:right="0"/>
              <w:rPr>
                <w:rFonts w:hint="eastAsia" w:ascii="Times New Roman" w:hAnsi="Times New Roman" w:eastAsia="宋体" w:cs="Times New Roman"/>
                <w:color w:val="auto"/>
                <w:sz w:val="21"/>
                <w:szCs w:val="21"/>
              </w:rPr>
            </w:pPr>
            <w:r>
              <w:rPr>
                <w:rFonts w:hint="eastAsia" w:cs="Times New Roman"/>
                <w:color w:val="auto"/>
                <w:sz w:val="21"/>
                <w:szCs w:val="21"/>
                <w:lang w:eastAsia="zh-CN"/>
              </w:rPr>
              <w:t>强化</w:t>
            </w:r>
            <w:r>
              <w:rPr>
                <w:rFonts w:hint="eastAsia" w:ascii="Times New Roman" w:hAnsi="Times New Roman" w:eastAsia="宋体" w:cs="Times New Roman"/>
                <w:color w:val="auto"/>
                <w:sz w:val="21"/>
                <w:szCs w:val="21"/>
              </w:rPr>
              <w:t>主要通航河道船舶和港口污染监管，建设污水集中处理中心，进一步提升港区生产生活污水、油污水、初期雨水和过往船只生活垃圾、生活废水、船舶压舱水、船舶清洗废水收集处理能力。通航水道内船舶和港口污水和垃圾收集达到100%，不得向航道内排放。船舶污水和垃圾进行收集上岸以后，通过专业管道或者车道输送到污水处理设施处理达标方可排放，不得直接排放到地表水体。加强船舶航运管理，严禁越级通航</w:t>
            </w:r>
          </w:p>
        </w:tc>
        <w:tc>
          <w:tcPr>
            <w:tcW w:w="2861" w:type="dxa"/>
            <w:noWrap w:val="0"/>
            <w:vAlign w:val="center"/>
          </w:tcPr>
          <w:p w14:paraId="1CC285C7">
            <w:pPr>
              <w:keepNext w:val="0"/>
              <w:keepLines w:val="0"/>
              <w:widowControl w:val="0"/>
              <w:suppressLineNumbers w:val="0"/>
              <w:spacing w:before="0" w:beforeAutospacing="0" w:after="0" w:afterAutospacing="0" w:line="300" w:lineRule="exact"/>
              <w:ind w:left="0" w:right="0"/>
              <w:jc w:val="both"/>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运输船舶产生的生活污水经隔油沉淀池预处理后，进入一体化污水处理设施处理后，回用于道路喷洒、机械车辆冲洗、绿化及码头地面冲洗，不外排；本项目到港船舶含油污水经隔油沉淀池预处理后，进入一体化污水处理设施处理，经处理后回用于道路喷洒、机械车辆冲洗、绿化及码头地面冲洗，不外排；初期雨水经隔油沉淀池预处理后进入一体化污水处理设备处理后，作为码头地面冲洗用水、道路喷洒用水、机械车辆冲洗用水及绿化用水；冲洗废水经隔油沉淀池预处理后进入一体化污水处理设备处理，处理后废水全部回用于码头地面冲洗、道路喷洒、机械车辆冲洗及绿化，不外排。</w:t>
            </w:r>
          </w:p>
        </w:tc>
        <w:tc>
          <w:tcPr>
            <w:tcW w:w="957" w:type="dxa"/>
            <w:noWrap w:val="0"/>
            <w:vAlign w:val="center"/>
          </w:tcPr>
          <w:p w14:paraId="1F01E5A4">
            <w:pPr>
              <w:pStyle w:val="277"/>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4A53A6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06" w:type="dxa"/>
            <w:vMerge w:val="continue"/>
            <w:noWrap w:val="0"/>
            <w:vAlign w:val="center"/>
          </w:tcPr>
          <w:p w14:paraId="1EF032FA">
            <w:pPr>
              <w:pStyle w:val="277"/>
              <w:keepNext w:val="0"/>
              <w:keepLines w:val="0"/>
              <w:suppressLineNumbers w:val="0"/>
              <w:spacing w:before="0" w:beforeAutospacing="0" w:after="0" w:afterAutospacing="0" w:line="280" w:lineRule="exact"/>
              <w:ind w:left="0" w:right="0"/>
              <w:rPr>
                <w:rFonts w:hint="eastAsia" w:ascii="Times New Roman" w:hAnsi="Times New Roman" w:eastAsia="宋体" w:cs="Times New Roman"/>
                <w:color w:val="auto"/>
                <w:sz w:val="21"/>
                <w:szCs w:val="21"/>
                <w:lang w:eastAsia="zh-CN"/>
              </w:rPr>
            </w:pPr>
          </w:p>
        </w:tc>
        <w:tc>
          <w:tcPr>
            <w:tcW w:w="3862" w:type="dxa"/>
            <w:noWrap w:val="0"/>
            <w:vAlign w:val="center"/>
          </w:tcPr>
          <w:p w14:paraId="6B309B4C">
            <w:pPr>
              <w:pStyle w:val="277"/>
              <w:keepNext w:val="0"/>
              <w:keepLines w:val="0"/>
              <w:suppressLineNumbers w:val="0"/>
              <w:spacing w:before="0" w:beforeAutospacing="0" w:after="0" w:afterAutospacing="0" w:line="280" w:lineRule="exact"/>
              <w:ind w:left="0" w:right="0"/>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以化工、石化、制药、造纸、有色金属采选和冶炼、铅蓄电池制造、电镀、涉重金属和危险废物等重点企业和工业集聚区为重点，开展河湖底泥、滩涂重金属等有毒有害污染物或持久性有机污染物风险调查与评估，建立累积性风险基础数据库。加强通航河段港口、码头、船舶运输以及“一废一品一库”的风险调查。依法对排污单位环境风险防范措施落实进行监督检查。健全突发环境事件监控预警体系</w:t>
            </w:r>
            <w:r>
              <w:rPr>
                <w:rFonts w:hint="eastAsia" w:cs="Times New Roman"/>
                <w:color w:val="auto"/>
                <w:sz w:val="21"/>
                <w:szCs w:val="21"/>
                <w:lang w:eastAsia="zh-CN"/>
              </w:rPr>
              <w:t>，</w:t>
            </w:r>
            <w:r>
              <w:rPr>
                <w:rFonts w:hint="eastAsia" w:ascii="Times New Roman" w:hAnsi="Times New Roman" w:eastAsia="宋体" w:cs="Times New Roman"/>
                <w:color w:val="auto"/>
                <w:sz w:val="21"/>
                <w:szCs w:val="21"/>
              </w:rPr>
              <w:t>强化应急预案编制</w:t>
            </w:r>
          </w:p>
        </w:tc>
        <w:tc>
          <w:tcPr>
            <w:tcW w:w="2861" w:type="dxa"/>
            <w:vMerge w:val="restart"/>
            <w:noWrap w:val="0"/>
            <w:vAlign w:val="center"/>
          </w:tcPr>
          <w:p w14:paraId="4F018352">
            <w:pPr>
              <w:pStyle w:val="277"/>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rPr>
              <w:t>本项目码头为散货运输码头，主要用于运输煤炭、矿建材料</w:t>
            </w:r>
            <w:r>
              <w:rPr>
                <w:rFonts w:hint="eastAsia" w:cs="Times New Roman"/>
                <w:color w:val="auto"/>
                <w:sz w:val="21"/>
                <w:szCs w:val="21"/>
                <w:lang w:eastAsia="zh-CN"/>
              </w:rPr>
              <w:t>（</w:t>
            </w:r>
            <w:r>
              <w:rPr>
                <w:rFonts w:hint="eastAsia" w:cs="Times New Roman"/>
                <w:color w:val="auto"/>
                <w:sz w:val="21"/>
                <w:szCs w:val="21"/>
                <w:lang w:val="en-US" w:eastAsia="zh-CN"/>
              </w:rPr>
              <w:t>石子</w:t>
            </w:r>
            <w:r>
              <w:rPr>
                <w:rFonts w:hint="eastAsia" w:cs="Times New Roman"/>
                <w:color w:val="auto"/>
                <w:sz w:val="21"/>
                <w:szCs w:val="21"/>
                <w:lang w:eastAsia="zh-CN"/>
              </w:rPr>
              <w:t>）、</w:t>
            </w:r>
            <w:r>
              <w:rPr>
                <w:rFonts w:hint="eastAsia" w:cs="Times New Roman"/>
                <w:color w:val="auto"/>
                <w:sz w:val="21"/>
                <w:szCs w:val="21"/>
                <w:lang w:val="en-US" w:eastAsia="zh-CN"/>
              </w:rPr>
              <w:t>件杂货</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同时本码头不装卸《内河禁运危险化学品目录（</w:t>
            </w:r>
            <w:r>
              <w:rPr>
                <w:rFonts w:hint="default" w:ascii="Times New Roman" w:hAnsi="Times New Roman" w:eastAsia="宋体" w:cs="Times New Roman"/>
                <w:color w:val="auto"/>
                <w:sz w:val="21"/>
                <w:szCs w:val="21"/>
                <w:lang w:val="en-US" w:eastAsia="zh-CN"/>
              </w:rPr>
              <w:t xml:space="preserve">2019 </w:t>
            </w:r>
            <w:r>
              <w:rPr>
                <w:rFonts w:hint="eastAsia" w:ascii="Times New Roman" w:hAnsi="Times New Roman" w:eastAsia="宋体" w:cs="Times New Roman"/>
                <w:color w:val="auto"/>
                <w:sz w:val="21"/>
                <w:szCs w:val="21"/>
                <w:lang w:val="en-US" w:eastAsia="zh-CN"/>
              </w:rPr>
              <w:t>版）》中禁运的化学品，同时本项目运营后，企业需按要求编制突发环境应急预案，并与地方人民政府及相关部门、有关单位建立应急联动机制等要求。</w:t>
            </w:r>
          </w:p>
        </w:tc>
        <w:tc>
          <w:tcPr>
            <w:tcW w:w="957" w:type="dxa"/>
            <w:noWrap w:val="0"/>
            <w:vAlign w:val="center"/>
          </w:tcPr>
          <w:p w14:paraId="19DC8B7B">
            <w:pPr>
              <w:pStyle w:val="277"/>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6CFFCF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06" w:type="dxa"/>
            <w:vMerge w:val="continue"/>
            <w:noWrap w:val="0"/>
            <w:vAlign w:val="center"/>
          </w:tcPr>
          <w:p w14:paraId="3BFBF15D">
            <w:pPr>
              <w:pStyle w:val="277"/>
              <w:keepNext w:val="0"/>
              <w:keepLines w:val="0"/>
              <w:suppressLineNumbers w:val="0"/>
              <w:spacing w:before="0" w:beforeAutospacing="0" w:after="0" w:afterAutospacing="0" w:line="280" w:lineRule="exact"/>
              <w:ind w:left="0" w:right="0"/>
              <w:rPr>
                <w:rFonts w:hint="eastAsia" w:ascii="Times New Roman" w:hAnsi="Times New Roman" w:eastAsia="宋体" w:cs="Times New Roman"/>
                <w:color w:val="auto"/>
                <w:sz w:val="21"/>
                <w:szCs w:val="21"/>
                <w:lang w:eastAsia="zh-CN"/>
              </w:rPr>
            </w:pPr>
          </w:p>
        </w:tc>
        <w:tc>
          <w:tcPr>
            <w:tcW w:w="3862" w:type="dxa"/>
            <w:noWrap w:val="0"/>
            <w:vAlign w:val="center"/>
          </w:tcPr>
          <w:p w14:paraId="5A8F5A69">
            <w:pPr>
              <w:pStyle w:val="277"/>
              <w:keepNext w:val="0"/>
              <w:keepLines w:val="0"/>
              <w:suppressLineNumbers w:val="0"/>
              <w:spacing w:before="0" w:beforeAutospacing="0" w:after="0" w:afterAutospacing="0" w:line="280" w:lineRule="exact"/>
              <w:ind w:left="0" w:right="0"/>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落实工业企业环境风险防范主体责任，以石油、化工、涉重金属等企业为重点，合理布设企业生产设施，强化工业企业应急导流槽、事故调蓄池、应急闸坝等事故排水收集截留设施以及事故水输送设施建设</w:t>
            </w:r>
            <w:r>
              <w:rPr>
                <w:rFonts w:hint="eastAsia" w:cs="Times New Roman"/>
                <w:color w:val="auto"/>
                <w:sz w:val="21"/>
                <w:szCs w:val="21"/>
                <w:lang w:eastAsia="zh-CN"/>
              </w:rPr>
              <w:t>，</w:t>
            </w:r>
            <w:r>
              <w:rPr>
                <w:rFonts w:hint="eastAsia" w:ascii="Times New Roman" w:hAnsi="Times New Roman" w:eastAsia="宋体" w:cs="Times New Roman"/>
                <w:color w:val="auto"/>
                <w:sz w:val="21"/>
                <w:szCs w:val="21"/>
              </w:rPr>
              <w:t>合理设置消防事故水池。以沿江有色金属、化工园区及危险化学品码头为重点，强化工业园区环境风险防范。加强园区内工业废水的分类分质处理和监控，开展工业园区污水处理厂综合毒性试点监测。切实做好尾矿库环境风险隐患排查，重点针对雨污分流系统、渗滤液收集设施等，摸清尾矿库污染防治措施落实情况，坚决守住环境安全底线，确保不发生环境污染事件</w:t>
            </w:r>
          </w:p>
        </w:tc>
        <w:tc>
          <w:tcPr>
            <w:tcW w:w="2861" w:type="dxa"/>
            <w:vMerge w:val="continue"/>
            <w:noWrap w:val="0"/>
            <w:vAlign w:val="center"/>
          </w:tcPr>
          <w:p w14:paraId="44AC5085">
            <w:pPr>
              <w:pStyle w:val="277"/>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 w:val="21"/>
                <w:szCs w:val="21"/>
              </w:rPr>
            </w:pPr>
          </w:p>
        </w:tc>
        <w:tc>
          <w:tcPr>
            <w:tcW w:w="957" w:type="dxa"/>
            <w:noWrap w:val="0"/>
            <w:vAlign w:val="center"/>
          </w:tcPr>
          <w:p w14:paraId="14B26209">
            <w:pPr>
              <w:pStyle w:val="277"/>
              <w:keepNext w:val="0"/>
              <w:keepLines w:val="0"/>
              <w:suppressLineNumbers w:val="0"/>
              <w:spacing w:before="0" w:beforeAutospacing="0" w:after="0" w:afterAutospacing="0" w:line="280" w:lineRule="exact"/>
              <w:ind w:left="0" w:right="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bl>
    <w:p w14:paraId="2EA70B7B">
      <w:pPr>
        <w:pStyle w:val="4"/>
        <w:numPr>
          <w:ilvl w:val="0"/>
          <w:numId w:val="0"/>
        </w:numPr>
        <w:rPr>
          <w:color w:val="auto"/>
        </w:rPr>
      </w:pPr>
      <w:r>
        <w:rPr>
          <w:rFonts w:hint="eastAsia"/>
          <w:color w:val="auto"/>
        </w:rPr>
        <w:t>2.5.7</w:t>
      </w:r>
      <w:r>
        <w:rPr>
          <w:color w:val="auto"/>
        </w:rPr>
        <w:t>与相关环境保护政策的相符性分析</w:t>
      </w:r>
    </w:p>
    <w:p w14:paraId="3A32BC5C">
      <w:pPr>
        <w:pStyle w:val="256"/>
        <w:spacing w:line="360" w:lineRule="auto"/>
        <w:ind w:firstLine="480"/>
        <w:rPr>
          <w:rFonts w:ascii="Times New Roman" w:hAnsi="Times New Roman"/>
          <w:color w:val="auto"/>
          <w:sz w:val="24"/>
        </w:rPr>
      </w:pPr>
      <w:r>
        <w:rPr>
          <w:rFonts w:hint="eastAsia" w:ascii="Times New Roman" w:hAnsi="Times New Roman"/>
          <w:color w:val="auto"/>
          <w:sz w:val="24"/>
        </w:rPr>
        <w:t>拟建</w:t>
      </w:r>
      <w:r>
        <w:rPr>
          <w:rFonts w:ascii="Times New Roman" w:hAnsi="Times New Roman"/>
          <w:color w:val="auto"/>
          <w:sz w:val="24"/>
        </w:rPr>
        <w:t>项目与《关于全面加强生态环境保护坚决打好污染防治攻坚战的意见》、《中共安徽省委 安徽省人民政府关于全面加强生态环境保护坚决打好污染防治攻坚战的实施意见》、《</w:t>
      </w:r>
      <w:r>
        <w:rPr>
          <w:rFonts w:hint="eastAsia"/>
          <w:color w:val="auto"/>
          <w:sz w:val="24"/>
          <w:szCs w:val="24"/>
        </w:rPr>
        <w:t>淮南市人民代表大会常务委员会关于加强淮河淮南段长吻鮠、焦岗湖芡实国家级水产种质资源保护区管理的决定</w:t>
      </w:r>
      <w:r>
        <w:rPr>
          <w:rFonts w:ascii="Times New Roman" w:hAnsi="Times New Roman"/>
          <w:color w:val="auto"/>
          <w:sz w:val="24"/>
        </w:rPr>
        <w:t>》、《安徽省淮河流域水污染防治条例》、《安徽省贯彻落实淮河生态经济带发展规划实施方案》</w:t>
      </w:r>
      <w:r>
        <w:rPr>
          <w:rFonts w:ascii="Times New Roman" w:hAnsi="Times New Roman"/>
          <w:color w:val="auto"/>
          <w:sz w:val="24"/>
          <w:szCs w:val="24"/>
        </w:rPr>
        <w:t>、《</w:t>
      </w:r>
      <w:r>
        <w:rPr>
          <w:color w:val="auto"/>
          <w:sz w:val="24"/>
          <w:szCs w:val="24"/>
        </w:rPr>
        <w:t>淮南市大气防治短板攻坚行动实施方案</w:t>
      </w:r>
      <w:r>
        <w:rPr>
          <w:rFonts w:ascii="Times New Roman" w:hAnsi="Times New Roman"/>
          <w:color w:val="auto"/>
          <w:sz w:val="24"/>
          <w:szCs w:val="24"/>
        </w:rPr>
        <w:t>》、《安徽省人民政府办公厅关于加强风景名胜区规划建设管理工作的意见》、《</w:t>
      </w:r>
      <w:r>
        <w:rPr>
          <w:color w:val="auto"/>
          <w:sz w:val="24"/>
          <w:szCs w:val="24"/>
        </w:rPr>
        <w:t>长江（淮南）经济带船舶和港口污染突出问题工作实施方案</w:t>
      </w:r>
      <w:r>
        <w:rPr>
          <w:rFonts w:ascii="Times New Roman" w:hAnsi="Times New Roman"/>
          <w:color w:val="auto"/>
          <w:sz w:val="24"/>
          <w:szCs w:val="24"/>
        </w:rPr>
        <w:t>》</w:t>
      </w:r>
      <w:r>
        <w:rPr>
          <w:rFonts w:ascii="Times New Roman" w:hAnsi="Times New Roman"/>
          <w:color w:val="auto"/>
          <w:sz w:val="24"/>
        </w:rPr>
        <w:t>的相符性分析见表2.5-5。</w:t>
      </w:r>
    </w:p>
    <w:p w14:paraId="5D7F3FDA">
      <w:pPr>
        <w:pStyle w:val="256"/>
        <w:spacing w:line="400" w:lineRule="exact"/>
        <w:ind w:firstLine="0" w:firstLineChars="0"/>
        <w:jc w:val="center"/>
        <w:rPr>
          <w:rFonts w:ascii="Times New Roman" w:hAnsi="Times New Roman" w:eastAsia="黑体"/>
          <w:color w:val="auto"/>
          <w:sz w:val="24"/>
        </w:rPr>
      </w:pPr>
      <w:r>
        <w:rPr>
          <w:rFonts w:ascii="Times New Roman" w:hAnsi="Times New Roman" w:eastAsia="黑体"/>
          <w:color w:val="auto"/>
          <w:sz w:val="24"/>
        </w:rPr>
        <w:t>表2.5-5  与相关环境保护政策相符性分析</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91"/>
        <w:gridCol w:w="3820"/>
        <w:gridCol w:w="3120"/>
        <w:gridCol w:w="955"/>
      </w:tblGrid>
      <w:tr w14:paraId="14C15E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391" w:type="dxa"/>
            <w:noWrap w:val="0"/>
            <w:vAlign w:val="center"/>
          </w:tcPr>
          <w:p w14:paraId="501C4DF7">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环境保护政策</w:t>
            </w:r>
          </w:p>
        </w:tc>
        <w:tc>
          <w:tcPr>
            <w:tcW w:w="3820" w:type="dxa"/>
            <w:noWrap w:val="0"/>
            <w:vAlign w:val="center"/>
          </w:tcPr>
          <w:p w14:paraId="2CAC0BF1">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相关政策要求</w:t>
            </w:r>
          </w:p>
        </w:tc>
        <w:tc>
          <w:tcPr>
            <w:tcW w:w="3120" w:type="dxa"/>
            <w:noWrap w:val="0"/>
            <w:vAlign w:val="center"/>
          </w:tcPr>
          <w:p w14:paraId="41B8CAEB">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本项目情况</w:t>
            </w:r>
          </w:p>
        </w:tc>
        <w:tc>
          <w:tcPr>
            <w:tcW w:w="955" w:type="dxa"/>
            <w:noWrap w:val="0"/>
            <w:vAlign w:val="center"/>
          </w:tcPr>
          <w:p w14:paraId="1686613B">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符合性</w:t>
            </w:r>
          </w:p>
          <w:p w14:paraId="29B12D7F">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判定</w:t>
            </w:r>
          </w:p>
        </w:tc>
      </w:tr>
      <w:tr w14:paraId="2B97A3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91" w:type="dxa"/>
            <w:vMerge w:val="restart"/>
            <w:noWrap w:val="0"/>
            <w:vAlign w:val="center"/>
          </w:tcPr>
          <w:p w14:paraId="3CA6A7CE">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《关于全面加强生态环境保护坚决打好污染防治攻坚战的意见》</w:t>
            </w:r>
          </w:p>
        </w:tc>
        <w:tc>
          <w:tcPr>
            <w:tcW w:w="3820" w:type="dxa"/>
            <w:noWrap w:val="0"/>
            <w:vAlign w:val="center"/>
          </w:tcPr>
          <w:p w14:paraId="582DFAA3">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强化船舶和港口污染防治，现有船舶到2020年全部完成达标改造，港口、船舶修造厂环卫设施、污水处理设施纳入城市设施建设规划。</w:t>
            </w:r>
          </w:p>
        </w:tc>
        <w:tc>
          <w:tcPr>
            <w:tcW w:w="3120" w:type="dxa"/>
            <w:noWrap w:val="0"/>
            <w:vAlign w:val="center"/>
          </w:tcPr>
          <w:p w14:paraId="2315AC32">
            <w:pPr>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eastAsia" w:ascii="Times New Roman" w:hAnsi="Times New Roman" w:cs="Times New Roman"/>
                <w:color w:val="auto"/>
              </w:rPr>
              <w:t>本项目</w:t>
            </w:r>
            <w:r>
              <w:rPr>
                <w:rFonts w:hint="eastAsia" w:ascii="Times New Roman" w:hAnsi="Times New Roman" w:eastAsia="宋体" w:cs="Times New Roman"/>
                <w:color w:val="auto"/>
                <w:lang w:eastAsia="zh-CN"/>
              </w:rPr>
              <w:t>运输船舶产生的生活污水经隔油沉淀池预处理后，进入一体化污水处理设施处理后，回用于道路喷洒、机械车辆冲洗、绿化及码头地面冲洗，不外排</w:t>
            </w:r>
            <w:r>
              <w:rPr>
                <w:rFonts w:hint="eastAsia" w:ascii="Times New Roman" w:hAnsi="Times New Roman" w:cs="Times New Roman"/>
                <w:color w:val="auto"/>
                <w:lang w:eastAsia="zh-CN"/>
              </w:rPr>
              <w:t>；</w:t>
            </w:r>
            <w:r>
              <w:rPr>
                <w:rFonts w:hint="eastAsia" w:ascii="Times New Roman" w:hAnsi="Times New Roman" w:eastAsia="宋体" w:cs="Times New Roman"/>
                <w:color w:val="auto"/>
                <w:lang w:eastAsia="zh-CN"/>
              </w:rPr>
              <w:t>本项目到港船舶含油污水经隔油沉淀池预处理后，进入一体化污水处理设施处理，经处理后回用于道路喷洒、机械车辆冲洗、绿化及码头地面冲洗，不外排</w:t>
            </w:r>
            <w:r>
              <w:rPr>
                <w:rFonts w:hint="eastAsia" w:ascii="Times New Roman" w:hAnsi="Times New Roman" w:cs="Times New Roman"/>
                <w:color w:val="auto"/>
                <w:lang w:eastAsia="zh-CN"/>
              </w:rPr>
              <w:t>；</w:t>
            </w:r>
            <w:r>
              <w:rPr>
                <w:rFonts w:hint="eastAsia" w:ascii="Times New Roman" w:hAnsi="Times New Roman" w:eastAsia="宋体" w:cs="Times New Roman"/>
                <w:color w:val="auto"/>
                <w:lang w:eastAsia="zh-CN"/>
              </w:rPr>
              <w:t>初期雨水</w:t>
            </w:r>
            <w:r>
              <w:rPr>
                <w:rFonts w:hint="eastAsia" w:ascii="Times New Roman" w:hAnsi="Times New Roman" w:cs="Times New Roman"/>
                <w:color w:val="auto"/>
                <w:lang w:val="en-US" w:eastAsia="zh-CN"/>
              </w:rPr>
              <w:t>经</w:t>
            </w:r>
            <w:r>
              <w:rPr>
                <w:rFonts w:hint="eastAsia" w:ascii="Times New Roman" w:hAnsi="Times New Roman" w:eastAsia="宋体" w:cs="Times New Roman"/>
                <w:color w:val="auto"/>
                <w:lang w:eastAsia="zh-CN"/>
              </w:rPr>
              <w:t>隔油沉淀池预处理后进入一体化污水处理设备处理后，作为码头地面冲洗用水、道路喷洒用水、机械车辆冲洗用水及绿化用水</w:t>
            </w:r>
            <w:r>
              <w:rPr>
                <w:rFonts w:hint="eastAsia" w:ascii="Times New Roman" w:hAnsi="Times New Roman" w:cs="Times New Roman"/>
                <w:color w:val="auto"/>
                <w:lang w:eastAsia="zh-CN"/>
              </w:rPr>
              <w:t>；</w:t>
            </w:r>
            <w:r>
              <w:rPr>
                <w:rFonts w:hint="eastAsia" w:ascii="Times New Roman" w:hAnsi="Times New Roman" w:eastAsia="宋体" w:cs="Times New Roman"/>
                <w:color w:val="auto"/>
                <w:lang w:eastAsia="zh-CN"/>
              </w:rPr>
              <w:t>冲洗废水</w:t>
            </w:r>
            <w:r>
              <w:rPr>
                <w:rFonts w:hint="eastAsia" w:ascii="Times New Roman" w:hAnsi="Times New Roman" w:cs="Times New Roman"/>
                <w:color w:val="auto"/>
                <w:lang w:val="en-US" w:eastAsia="zh-CN"/>
              </w:rPr>
              <w:t>经</w:t>
            </w:r>
            <w:r>
              <w:rPr>
                <w:rFonts w:hint="eastAsia" w:ascii="Times New Roman" w:hAnsi="Times New Roman" w:eastAsia="宋体" w:cs="Times New Roman"/>
                <w:color w:val="auto"/>
                <w:lang w:eastAsia="zh-CN"/>
              </w:rPr>
              <w:t>隔油沉淀池预处理后进入一体化污水处理设备处理，处理后废水全部回用于码头地面冲洗、道路喷洒、机械车辆冲洗及绿化，不外排</w:t>
            </w:r>
            <w:r>
              <w:rPr>
                <w:rFonts w:hint="eastAsia" w:ascii="Times New Roman" w:hAnsi="Times New Roman" w:cs="Times New Roman"/>
                <w:color w:val="auto"/>
                <w:lang w:eastAsia="zh-CN"/>
              </w:rPr>
              <w:t>。</w:t>
            </w:r>
          </w:p>
        </w:tc>
        <w:tc>
          <w:tcPr>
            <w:tcW w:w="955" w:type="dxa"/>
            <w:noWrap w:val="0"/>
            <w:vAlign w:val="center"/>
          </w:tcPr>
          <w:p w14:paraId="5B4DF816">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72190E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91" w:type="dxa"/>
            <w:vMerge w:val="continue"/>
            <w:noWrap w:val="0"/>
            <w:vAlign w:val="center"/>
          </w:tcPr>
          <w:p w14:paraId="1E685B4E">
            <w:pPr>
              <w:keepNext w:val="0"/>
              <w:keepLines w:val="0"/>
              <w:widowControl/>
              <w:suppressLineNumbers w:val="0"/>
              <w:spacing w:before="0" w:beforeAutospacing="0" w:after="0" w:afterAutospacing="0" w:line="280" w:lineRule="exact"/>
              <w:ind w:left="0" w:right="0"/>
              <w:jc w:val="left"/>
              <w:rPr>
                <w:rFonts w:hint="default" w:ascii="Times New Roman" w:hAnsi="Times New Roman" w:cs="Times New Roman"/>
                <w:color w:val="auto"/>
                <w:highlight w:val="cyan"/>
              </w:rPr>
            </w:pPr>
          </w:p>
        </w:tc>
        <w:tc>
          <w:tcPr>
            <w:tcW w:w="3820" w:type="dxa"/>
            <w:noWrap w:val="0"/>
            <w:vAlign w:val="center"/>
          </w:tcPr>
          <w:p w14:paraId="06CECA96">
            <w:pPr>
              <w:pStyle w:val="277"/>
              <w:keepNext w:val="0"/>
              <w:keepLines w:val="0"/>
              <w:suppressLineNumbers w:val="0"/>
              <w:spacing w:before="0" w:beforeAutospacing="0" w:after="0" w:afterAutospacing="0"/>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显著提高大宗货物铁路水路货运比例，提高内河主要港口集装箱铁路集疏比例。</w:t>
            </w:r>
          </w:p>
        </w:tc>
        <w:tc>
          <w:tcPr>
            <w:tcW w:w="3120" w:type="dxa"/>
            <w:noWrap w:val="0"/>
            <w:vAlign w:val="center"/>
          </w:tcPr>
          <w:p w14:paraId="6D3C944A">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w:t>
            </w:r>
            <w:r>
              <w:rPr>
                <w:rFonts w:hint="eastAsia" w:ascii="Times New Roman" w:hAnsi="Times New Roman" w:cs="Times New Roman"/>
                <w:color w:val="auto"/>
                <w:sz w:val="21"/>
                <w:szCs w:val="21"/>
              </w:rPr>
              <w:t>散货</w:t>
            </w:r>
            <w:r>
              <w:rPr>
                <w:rFonts w:hint="default" w:ascii="Times New Roman" w:hAnsi="Times New Roman" w:cs="Times New Roman"/>
                <w:color w:val="auto"/>
                <w:sz w:val="21"/>
                <w:szCs w:val="21"/>
              </w:rPr>
              <w:t>（煤炭</w:t>
            </w:r>
            <w:r>
              <w:rPr>
                <w:rFonts w:hint="eastAsia" w:ascii="Times New Roman" w:hAnsi="Times New Roman" w:cs="Times New Roman"/>
                <w:color w:val="auto"/>
                <w:sz w:val="21"/>
                <w:szCs w:val="21"/>
              </w:rPr>
              <w:t>、矿建材料</w:t>
            </w:r>
            <w:r>
              <w:rPr>
                <w:rFonts w:hint="eastAsia" w:cs="Times New Roman"/>
                <w:color w:val="auto"/>
                <w:sz w:val="21"/>
                <w:szCs w:val="21"/>
                <w:lang w:eastAsia="zh-CN"/>
              </w:rPr>
              <w:t>（</w:t>
            </w:r>
            <w:r>
              <w:rPr>
                <w:rFonts w:hint="eastAsia" w:cs="Times New Roman"/>
                <w:color w:val="auto"/>
                <w:sz w:val="21"/>
                <w:szCs w:val="21"/>
                <w:lang w:val="en-US" w:eastAsia="zh-CN"/>
              </w:rPr>
              <w:t>石子</w:t>
            </w:r>
            <w:r>
              <w:rPr>
                <w:rFonts w:hint="eastAsia" w:cs="Times New Roman"/>
                <w:color w:val="auto"/>
                <w:sz w:val="21"/>
                <w:szCs w:val="21"/>
                <w:lang w:eastAsia="zh-CN"/>
              </w:rPr>
              <w:t>）、</w:t>
            </w:r>
            <w:r>
              <w:rPr>
                <w:rFonts w:hint="eastAsia" w:cs="Times New Roman"/>
                <w:color w:val="auto"/>
                <w:sz w:val="21"/>
                <w:szCs w:val="21"/>
                <w:lang w:val="en-US" w:eastAsia="zh-CN"/>
              </w:rPr>
              <w:t>件杂货</w:t>
            </w:r>
            <w:r>
              <w:rPr>
                <w:rFonts w:hint="default" w:ascii="Times New Roman" w:hAnsi="Times New Roman" w:cs="Times New Roman"/>
                <w:color w:val="auto"/>
                <w:sz w:val="21"/>
                <w:szCs w:val="21"/>
              </w:rPr>
              <w:t>）利用淮河</w:t>
            </w:r>
            <w:r>
              <w:rPr>
                <w:rFonts w:hint="eastAsia" w:ascii="Times New Roman" w:hAnsi="Times New Roman" w:cs="Times New Roman"/>
                <w:color w:val="auto"/>
                <w:sz w:val="21"/>
                <w:szCs w:val="21"/>
              </w:rPr>
              <w:t>航道</w:t>
            </w:r>
            <w:r>
              <w:rPr>
                <w:rFonts w:hint="default" w:ascii="Times New Roman" w:hAnsi="Times New Roman" w:cs="Times New Roman"/>
                <w:color w:val="auto"/>
                <w:sz w:val="21"/>
                <w:szCs w:val="21"/>
              </w:rPr>
              <w:t>进行输送</w:t>
            </w:r>
          </w:p>
        </w:tc>
        <w:tc>
          <w:tcPr>
            <w:tcW w:w="955" w:type="dxa"/>
            <w:noWrap w:val="0"/>
            <w:vAlign w:val="center"/>
          </w:tcPr>
          <w:p w14:paraId="4582627C">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7E5F27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91" w:type="dxa"/>
            <w:vMerge w:val="restart"/>
            <w:noWrap w:val="0"/>
            <w:vAlign w:val="center"/>
          </w:tcPr>
          <w:p w14:paraId="42799AE0">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《中共安徽省委 安徽省人民政府关于全面加强生态环境保护坚决打好污染防治攻坚战的实施意见》</w:t>
            </w:r>
          </w:p>
        </w:tc>
        <w:tc>
          <w:tcPr>
            <w:tcW w:w="3820" w:type="dxa"/>
            <w:noWrap w:val="0"/>
            <w:vAlign w:val="center"/>
          </w:tcPr>
          <w:p w14:paraId="0B33861C">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显著提高大宗货物铁路水路货运比例，提高内河主要港口集装箱铁路集疏比例。</w:t>
            </w:r>
          </w:p>
        </w:tc>
        <w:tc>
          <w:tcPr>
            <w:tcW w:w="3120" w:type="dxa"/>
            <w:noWrap w:val="0"/>
            <w:vAlign w:val="center"/>
          </w:tcPr>
          <w:p w14:paraId="740A6275">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w:t>
            </w:r>
            <w:r>
              <w:rPr>
                <w:rFonts w:hint="eastAsia" w:ascii="Times New Roman" w:hAnsi="Times New Roman" w:cs="Times New Roman"/>
                <w:color w:val="auto"/>
                <w:sz w:val="21"/>
                <w:szCs w:val="21"/>
              </w:rPr>
              <w:t>散货</w:t>
            </w:r>
            <w:r>
              <w:rPr>
                <w:rFonts w:hint="default" w:ascii="Times New Roman" w:hAnsi="Times New Roman" w:cs="Times New Roman"/>
                <w:color w:val="auto"/>
                <w:sz w:val="21"/>
                <w:szCs w:val="21"/>
              </w:rPr>
              <w:t>（煤炭</w:t>
            </w:r>
            <w:r>
              <w:rPr>
                <w:rFonts w:hint="eastAsia" w:ascii="Times New Roman" w:hAnsi="Times New Roman" w:cs="Times New Roman"/>
                <w:color w:val="auto"/>
                <w:sz w:val="21"/>
                <w:szCs w:val="21"/>
              </w:rPr>
              <w:t>、矿建材料</w:t>
            </w:r>
            <w:r>
              <w:rPr>
                <w:rFonts w:hint="eastAsia" w:cs="Times New Roman"/>
                <w:color w:val="auto"/>
                <w:sz w:val="21"/>
                <w:szCs w:val="21"/>
                <w:lang w:eastAsia="zh-CN"/>
              </w:rPr>
              <w:t>（</w:t>
            </w:r>
            <w:r>
              <w:rPr>
                <w:rFonts w:hint="eastAsia" w:cs="Times New Roman"/>
                <w:color w:val="auto"/>
                <w:sz w:val="21"/>
                <w:szCs w:val="21"/>
                <w:lang w:val="en-US" w:eastAsia="zh-CN"/>
              </w:rPr>
              <w:t>石子</w:t>
            </w:r>
            <w:r>
              <w:rPr>
                <w:rFonts w:hint="eastAsia" w:cs="Times New Roman"/>
                <w:color w:val="auto"/>
                <w:sz w:val="21"/>
                <w:szCs w:val="21"/>
                <w:lang w:eastAsia="zh-CN"/>
              </w:rPr>
              <w:t>）、</w:t>
            </w:r>
            <w:r>
              <w:rPr>
                <w:rFonts w:hint="eastAsia" w:cs="Times New Roman"/>
                <w:color w:val="auto"/>
                <w:sz w:val="21"/>
                <w:szCs w:val="21"/>
                <w:lang w:val="en-US" w:eastAsia="zh-CN"/>
              </w:rPr>
              <w:t>件杂货</w:t>
            </w: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rPr>
              <w:t>进出口</w:t>
            </w:r>
            <w:r>
              <w:rPr>
                <w:rFonts w:hint="default" w:ascii="Times New Roman" w:hAnsi="Times New Roman" w:cs="Times New Roman"/>
                <w:color w:val="auto"/>
                <w:sz w:val="21"/>
                <w:szCs w:val="21"/>
              </w:rPr>
              <w:t>通过船舶进行输送。</w:t>
            </w:r>
          </w:p>
        </w:tc>
        <w:tc>
          <w:tcPr>
            <w:tcW w:w="955" w:type="dxa"/>
            <w:noWrap w:val="0"/>
            <w:vAlign w:val="center"/>
          </w:tcPr>
          <w:p w14:paraId="4FA6236F">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5B81E6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91" w:type="dxa"/>
            <w:vMerge w:val="continue"/>
            <w:noWrap w:val="0"/>
            <w:vAlign w:val="center"/>
          </w:tcPr>
          <w:p w14:paraId="44686D77">
            <w:pPr>
              <w:keepNext w:val="0"/>
              <w:keepLines w:val="0"/>
              <w:widowControl/>
              <w:suppressLineNumbers w:val="0"/>
              <w:spacing w:before="0" w:beforeAutospacing="0" w:after="0" w:afterAutospacing="0" w:line="280" w:lineRule="exact"/>
              <w:ind w:left="0" w:right="0"/>
              <w:jc w:val="left"/>
              <w:rPr>
                <w:rFonts w:hint="default" w:ascii="Times New Roman" w:hAnsi="Times New Roman" w:cs="Times New Roman"/>
                <w:color w:val="auto"/>
              </w:rPr>
            </w:pPr>
          </w:p>
        </w:tc>
        <w:tc>
          <w:tcPr>
            <w:tcW w:w="3820" w:type="dxa"/>
            <w:noWrap w:val="0"/>
            <w:vAlign w:val="center"/>
          </w:tcPr>
          <w:p w14:paraId="0C9E3590">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强化船舶和港口污染防治，现有船舶到2020年全部完成达标改造，港口、船舶修造厂环卫设施、污水处理设施纳入城市设施建设规划。</w:t>
            </w:r>
          </w:p>
        </w:tc>
        <w:tc>
          <w:tcPr>
            <w:tcW w:w="3120" w:type="dxa"/>
            <w:vMerge w:val="restart"/>
            <w:noWrap w:val="0"/>
            <w:vAlign w:val="center"/>
          </w:tcPr>
          <w:p w14:paraId="713EE4BE">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本项目</w:t>
            </w:r>
            <w:r>
              <w:rPr>
                <w:rFonts w:hint="eastAsia" w:ascii="Times New Roman" w:hAnsi="Times New Roman" w:cs="Times New Roman"/>
                <w:color w:val="auto"/>
                <w:sz w:val="21"/>
                <w:szCs w:val="21"/>
                <w:lang w:eastAsia="zh-CN"/>
              </w:rPr>
              <w:t>运输船舶产生的生活污水经隔油沉淀池预处理后，进入一体化污水处理设施处理后，回用于道路喷洒、机械车辆冲洗、绿化及码头地面冲洗，不外排；本项目到港船舶含油污水经隔油沉淀池预处理后，进入一体化污水处理设施处理，经处理后回用于道路喷洒、机械车辆冲洗、绿化及码头地面冲洗，不外排；初期雨水</w:t>
            </w:r>
            <w:r>
              <w:rPr>
                <w:rFonts w:hint="eastAsia" w:ascii="Times New Roman" w:hAnsi="Times New Roman" w:cs="Times New Roman"/>
                <w:color w:val="auto"/>
                <w:sz w:val="21"/>
                <w:szCs w:val="21"/>
                <w:lang w:val="en-US" w:eastAsia="zh-CN"/>
              </w:rPr>
              <w:t>经</w:t>
            </w:r>
            <w:r>
              <w:rPr>
                <w:rFonts w:hint="eastAsia" w:ascii="Times New Roman" w:hAnsi="Times New Roman" w:cs="Times New Roman"/>
                <w:color w:val="auto"/>
                <w:sz w:val="21"/>
                <w:szCs w:val="21"/>
                <w:lang w:eastAsia="zh-CN"/>
              </w:rPr>
              <w:t>隔油沉淀池预处理后进入一体化污水处理设备处理后，作为码头地面冲洗用水、道路喷洒用水、机械车辆冲洗用水及绿化用水；冲洗废水</w:t>
            </w:r>
            <w:r>
              <w:rPr>
                <w:rFonts w:hint="eastAsia" w:ascii="Times New Roman" w:hAnsi="Times New Roman" w:cs="Times New Roman"/>
                <w:color w:val="auto"/>
                <w:sz w:val="21"/>
                <w:szCs w:val="21"/>
                <w:lang w:val="en-US" w:eastAsia="zh-CN"/>
              </w:rPr>
              <w:t>经</w:t>
            </w:r>
            <w:r>
              <w:rPr>
                <w:rFonts w:hint="eastAsia" w:ascii="Times New Roman" w:hAnsi="Times New Roman" w:cs="Times New Roman"/>
                <w:color w:val="auto"/>
                <w:sz w:val="21"/>
                <w:szCs w:val="21"/>
                <w:lang w:eastAsia="zh-CN"/>
              </w:rPr>
              <w:t>隔油沉淀池预处理后进入一体化污水处理设备处理，处理后废水全部回用于码头地面冲洗、道路喷洒、机械车辆冲洗及绿化，不外排。</w:t>
            </w:r>
          </w:p>
        </w:tc>
        <w:tc>
          <w:tcPr>
            <w:tcW w:w="955" w:type="dxa"/>
            <w:vMerge w:val="restart"/>
            <w:noWrap w:val="0"/>
            <w:vAlign w:val="center"/>
          </w:tcPr>
          <w:p w14:paraId="7420AAEF">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261FAF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91" w:type="dxa"/>
            <w:noWrap w:val="0"/>
            <w:vAlign w:val="center"/>
          </w:tcPr>
          <w:p w14:paraId="2B11EF6A">
            <w:pPr>
              <w:keepNext w:val="0"/>
              <w:keepLines w:val="0"/>
              <w:widowControl/>
              <w:suppressLineNumbers w:val="0"/>
              <w:spacing w:before="0" w:beforeAutospacing="0" w:after="0" w:afterAutospacing="0" w:line="280" w:lineRule="exact"/>
              <w:ind w:left="0" w:right="0"/>
              <w:jc w:val="left"/>
              <w:rPr>
                <w:rFonts w:hint="default" w:ascii="Times New Roman" w:hAnsi="Times New Roman" w:cs="Times New Roman"/>
                <w:color w:val="auto"/>
              </w:rPr>
            </w:pPr>
            <w:r>
              <w:rPr>
                <w:rFonts w:hint="default" w:ascii="Times New Roman" w:hAnsi="Times New Roman" w:cs="Times New Roman"/>
                <w:color w:val="auto"/>
              </w:rPr>
              <w:t>《安徽省淮河流域水污染防治条例》</w:t>
            </w:r>
          </w:p>
        </w:tc>
        <w:tc>
          <w:tcPr>
            <w:tcW w:w="3820" w:type="dxa"/>
            <w:noWrap w:val="0"/>
            <w:vAlign w:val="center"/>
          </w:tcPr>
          <w:p w14:paraId="4A08F866">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在淮河水域航行的船舶，应当遵守国家和省有关内河的船舶污染物排放标准，禁止向水体排放残油、废油、不符合规定的船舶压载水和倾倒船舶垃圾。</w:t>
            </w:r>
          </w:p>
        </w:tc>
        <w:tc>
          <w:tcPr>
            <w:tcW w:w="3120" w:type="dxa"/>
            <w:vMerge w:val="continue"/>
            <w:noWrap w:val="0"/>
            <w:vAlign w:val="center"/>
          </w:tcPr>
          <w:p w14:paraId="3EAC15AB">
            <w:pPr>
              <w:keepNext w:val="0"/>
              <w:keepLines w:val="0"/>
              <w:suppressLineNumbers w:val="0"/>
              <w:spacing w:before="0" w:beforeAutospacing="0" w:after="0" w:afterAutospacing="0"/>
              <w:ind w:left="0" w:right="0"/>
              <w:rPr>
                <w:rFonts w:hint="default" w:ascii="Times New Roman" w:hAnsi="Times New Roman" w:cs="Times New Roman"/>
                <w:color w:val="auto"/>
                <w:highlight w:val="cyan"/>
              </w:rPr>
            </w:pPr>
          </w:p>
        </w:tc>
        <w:tc>
          <w:tcPr>
            <w:tcW w:w="955" w:type="dxa"/>
            <w:vMerge w:val="continue"/>
            <w:noWrap w:val="0"/>
            <w:vAlign w:val="center"/>
          </w:tcPr>
          <w:p w14:paraId="00B90B9E">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highlight w:val="cyan"/>
              </w:rPr>
            </w:pPr>
          </w:p>
        </w:tc>
      </w:tr>
      <w:tr w14:paraId="47630A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91" w:type="dxa"/>
            <w:noWrap w:val="0"/>
            <w:vAlign w:val="center"/>
          </w:tcPr>
          <w:p w14:paraId="41567D16">
            <w:pPr>
              <w:keepNext w:val="0"/>
              <w:keepLines w:val="0"/>
              <w:widowControl/>
              <w:suppressLineNumbers w:val="0"/>
              <w:spacing w:before="0" w:beforeAutospacing="0" w:after="0" w:afterAutospacing="0" w:line="280" w:lineRule="exact"/>
              <w:ind w:left="0" w:right="0"/>
              <w:jc w:val="left"/>
              <w:rPr>
                <w:rFonts w:hint="default" w:ascii="Times New Roman" w:hAnsi="Times New Roman" w:cs="Times New Roman"/>
                <w:color w:val="auto"/>
              </w:rPr>
            </w:pPr>
            <w:r>
              <w:rPr>
                <w:rFonts w:hint="default" w:ascii="Times New Roman" w:hAnsi="Times New Roman" w:cs="Times New Roman"/>
                <w:color w:val="auto"/>
              </w:rPr>
              <w:t>《安徽省贯彻落实淮河生态经济带发展规划实施方案》</w:t>
            </w:r>
          </w:p>
        </w:tc>
        <w:tc>
          <w:tcPr>
            <w:tcW w:w="3820" w:type="dxa"/>
            <w:noWrap w:val="0"/>
            <w:vAlign w:val="center"/>
          </w:tcPr>
          <w:p w14:paraId="0C33E651">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加强淮河流域港口基础设施建设，实现区域内港口与内河航道协调发展。统筹整合港口资源，加强港口集疏运配套设施建设，加快建设功能互补、联动发展的港口群。</w:t>
            </w:r>
          </w:p>
        </w:tc>
        <w:tc>
          <w:tcPr>
            <w:tcW w:w="3120" w:type="dxa"/>
            <w:noWrap w:val="0"/>
            <w:vAlign w:val="center"/>
          </w:tcPr>
          <w:p w14:paraId="60FD229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本项目为散货码头建设，项目符合淮南港总体规划，码头位置位于</w:t>
            </w:r>
            <w:r>
              <w:rPr>
                <w:rFonts w:hint="eastAsia" w:ascii="Times New Roman" w:hAnsi="Times New Roman" w:cs="Times New Roman"/>
                <w:color w:val="auto"/>
              </w:rPr>
              <w:t>潘集港区平圩作业区</w:t>
            </w:r>
            <w:r>
              <w:rPr>
                <w:rFonts w:hint="default" w:ascii="Times New Roman" w:hAnsi="Times New Roman" w:cs="Times New Roman"/>
                <w:color w:val="auto"/>
              </w:rPr>
              <w:t>，本项目属于淮河流域港口基础设施建设。</w:t>
            </w:r>
          </w:p>
        </w:tc>
        <w:tc>
          <w:tcPr>
            <w:tcW w:w="955" w:type="dxa"/>
            <w:noWrap w:val="0"/>
            <w:vAlign w:val="center"/>
          </w:tcPr>
          <w:p w14:paraId="57EF112A">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72B7C4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04" w:hRule="atLeast"/>
          <w:jc w:val="center"/>
        </w:trPr>
        <w:tc>
          <w:tcPr>
            <w:tcW w:w="1391" w:type="dxa"/>
            <w:vMerge w:val="restart"/>
            <w:noWrap w:val="0"/>
            <w:vAlign w:val="center"/>
          </w:tcPr>
          <w:p w14:paraId="1EE96680">
            <w:pPr>
              <w:keepNext w:val="0"/>
              <w:keepLines w:val="0"/>
              <w:widowControl/>
              <w:suppressLineNumbers w:val="0"/>
              <w:spacing w:before="0" w:beforeAutospacing="0" w:after="0" w:afterAutospacing="0" w:line="280" w:lineRule="exact"/>
              <w:ind w:left="0" w:right="0"/>
              <w:jc w:val="left"/>
              <w:rPr>
                <w:rFonts w:hint="default" w:ascii="Times New Roman" w:hAnsi="Times New Roman" w:cs="Times New Roman"/>
                <w:color w:val="auto"/>
              </w:rPr>
            </w:pPr>
            <w:r>
              <w:rPr>
                <w:rFonts w:hint="eastAsia" w:ascii="Times New Roman" w:hAnsi="Times New Roman" w:cs="Times New Roman"/>
                <w:color w:val="auto"/>
              </w:rPr>
              <w:t>《淮南市人民代表大会常务委员会关于加强淮河淮南段长吻鮠、焦岗湖芡实国家级水产种质资源保护区管理的决定》</w:t>
            </w:r>
          </w:p>
        </w:tc>
        <w:tc>
          <w:tcPr>
            <w:tcW w:w="3820" w:type="dxa"/>
            <w:noWrap w:val="0"/>
            <w:vAlign w:val="center"/>
          </w:tcPr>
          <w:p w14:paraId="478B57BE">
            <w:pPr>
              <w:pStyle w:val="277"/>
              <w:keepNext w:val="0"/>
              <w:keepLines w:val="0"/>
              <w:suppressLineNumbers w:val="0"/>
              <w:spacing w:before="0" w:beforeAutospacing="0" w:after="0" w:afterAutospacing="0" w:line="280" w:lineRule="exact"/>
              <w:ind w:left="0" w:right="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七、在水产种质资源保护区内从事修建水利工程、疏浚航道、建闸筑坝、勘探和开采矿产资源、港口建设等工程建设的，或者在水产种质资源保护区外从事可能损害保护区功能的工程建设活动的，应当按照国家有关规定编制建设项目对水产种质资源保护区的影响专题论证报告，并将其纳入环境影响报告书。</w:t>
            </w:r>
          </w:p>
        </w:tc>
        <w:tc>
          <w:tcPr>
            <w:tcW w:w="3120" w:type="dxa"/>
            <w:noWrap w:val="0"/>
            <w:vAlign w:val="center"/>
          </w:tcPr>
          <w:p w14:paraId="68060808">
            <w:pPr>
              <w:keepNext w:val="0"/>
              <w:keepLines w:val="0"/>
              <w:suppressLineNumbers w:val="0"/>
              <w:spacing w:before="0" w:beforeAutospacing="0" w:after="0" w:afterAutospacing="0"/>
              <w:ind w:left="0" w:right="0"/>
              <w:rPr>
                <w:rFonts w:hint="eastAsia" w:ascii="Times New Roman" w:hAnsi="Times New Roman" w:eastAsia="宋体" w:cs="Times New Roman"/>
                <w:color w:val="auto"/>
                <w:lang w:val="en-US" w:eastAsia="zh-CN"/>
              </w:rPr>
            </w:pPr>
            <w:r>
              <w:rPr>
                <w:rFonts w:hint="default" w:ascii="Times New Roman" w:hAnsi="Times New Roman" w:cs="Times New Roman"/>
                <w:color w:val="auto"/>
              </w:rPr>
              <w:t>本项目</w:t>
            </w:r>
            <w:r>
              <w:rPr>
                <w:rFonts w:hint="eastAsia" w:ascii="Times New Roman" w:hAnsi="Times New Roman" w:cs="Times New Roman"/>
                <w:color w:val="auto"/>
              </w:rPr>
              <w:t>涉及</w:t>
            </w:r>
            <w:r>
              <w:rPr>
                <w:rFonts w:hint="default" w:ascii="Times New Roman" w:hAnsi="Times New Roman" w:cs="Times New Roman"/>
                <w:color w:val="auto"/>
              </w:rPr>
              <w:t>淮河淮南段长吻鮠国家级水产种质资源保护区</w:t>
            </w:r>
            <w:r>
              <w:rPr>
                <w:rFonts w:hint="eastAsia" w:ascii="Times New Roman" w:hAnsi="Times New Roman" w:cs="Times New Roman"/>
                <w:color w:val="auto"/>
              </w:rPr>
              <w:t>实验区，</w:t>
            </w:r>
            <w:r>
              <w:rPr>
                <w:rFonts w:hint="eastAsia" w:cs="Times New Roman"/>
                <w:color w:val="auto"/>
                <w:lang w:val="en-US" w:eastAsia="zh-CN"/>
              </w:rPr>
              <w:t>引用</w:t>
            </w:r>
            <w:r>
              <w:rPr>
                <w:rFonts w:hint="eastAsia" w:eastAsia="宋体"/>
                <w:color w:val="auto"/>
                <w:lang w:eastAsia="zh-CN"/>
              </w:rPr>
              <w:t>《淮南市兴华园贸易发展有限公司兴华园码头工程对淮河淮南段长吻鮠国家级水产种质资源保护区影响专题论证报告》</w:t>
            </w:r>
            <w:r>
              <w:rPr>
                <w:rFonts w:hint="eastAsia" w:eastAsia="宋体"/>
                <w:color w:val="auto"/>
                <w:lang w:val="en-US" w:eastAsia="zh-CN"/>
              </w:rPr>
              <w:t>结论</w:t>
            </w:r>
            <w:r>
              <w:rPr>
                <w:rFonts w:hint="eastAsia" w:eastAsia="宋体"/>
                <w:color w:val="auto"/>
                <w:lang w:eastAsia="zh-CN"/>
              </w:rPr>
              <w:t>，从水产种质资源保护 的角度，本项目的施工和运营是可接受的。</w:t>
            </w:r>
            <w:r>
              <w:rPr>
                <w:rFonts w:hint="eastAsia" w:cs="Times New Roman"/>
                <w:color w:val="auto"/>
                <w:lang w:val="en-US" w:eastAsia="zh-CN"/>
              </w:rPr>
              <w:t>项目已按淮南港总体规划环评要求的</w:t>
            </w:r>
            <w:r>
              <w:rPr>
                <w:rFonts w:hint="eastAsia" w:ascii="Times New Roman" w:hAnsi="Times New Roman" w:cs="Times New Roman"/>
                <w:color w:val="auto"/>
                <w:sz w:val="21"/>
              </w:rPr>
              <w:t>《淮南港皖江物流综合码头工程项目对淮河淮南段长吻鮠国家级水产种质资源保护区影响评价专题报告》和批复的要求</w:t>
            </w:r>
            <w:r>
              <w:rPr>
                <w:rFonts w:hint="eastAsia" w:cs="Times New Roman"/>
                <w:color w:val="auto"/>
                <w:sz w:val="21"/>
                <w:lang w:val="en-US" w:eastAsia="zh-CN"/>
              </w:rPr>
              <w:t>落实对</w:t>
            </w:r>
            <w:r>
              <w:rPr>
                <w:rFonts w:hint="default" w:ascii="Times New Roman" w:hAnsi="Times New Roman" w:cs="Times New Roman"/>
                <w:color w:val="auto"/>
              </w:rPr>
              <w:t>水产种质资源保护区</w:t>
            </w:r>
            <w:r>
              <w:rPr>
                <w:rFonts w:hint="eastAsia" w:cs="Times New Roman"/>
                <w:color w:val="auto"/>
                <w:lang w:val="en-US" w:eastAsia="zh-CN"/>
              </w:rPr>
              <w:t>的保护措施。</w:t>
            </w:r>
          </w:p>
        </w:tc>
        <w:tc>
          <w:tcPr>
            <w:tcW w:w="955" w:type="dxa"/>
            <w:noWrap w:val="0"/>
            <w:vAlign w:val="center"/>
          </w:tcPr>
          <w:p w14:paraId="7B951CC4">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754378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03" w:hRule="atLeast"/>
          <w:jc w:val="center"/>
        </w:trPr>
        <w:tc>
          <w:tcPr>
            <w:tcW w:w="1391" w:type="dxa"/>
            <w:vMerge w:val="continue"/>
            <w:noWrap w:val="0"/>
            <w:vAlign w:val="center"/>
          </w:tcPr>
          <w:p w14:paraId="6465A1CF">
            <w:pPr>
              <w:keepNext w:val="0"/>
              <w:keepLines w:val="0"/>
              <w:widowControl/>
              <w:suppressLineNumbers w:val="0"/>
              <w:spacing w:before="0" w:beforeAutospacing="0" w:after="0" w:afterAutospacing="0" w:line="280" w:lineRule="exact"/>
              <w:ind w:left="0" w:right="0"/>
              <w:jc w:val="left"/>
              <w:rPr>
                <w:rFonts w:hint="eastAsia" w:ascii="Times New Roman" w:hAnsi="Times New Roman" w:cs="Times New Roman"/>
                <w:color w:val="auto"/>
              </w:rPr>
            </w:pPr>
          </w:p>
        </w:tc>
        <w:tc>
          <w:tcPr>
            <w:tcW w:w="3820" w:type="dxa"/>
            <w:noWrap w:val="0"/>
            <w:vAlign w:val="center"/>
          </w:tcPr>
          <w:p w14:paraId="22C23920">
            <w:pPr>
              <w:pStyle w:val="277"/>
              <w:keepNext w:val="0"/>
              <w:keepLines w:val="0"/>
              <w:suppressLineNumbers w:val="0"/>
              <w:spacing w:before="0" w:beforeAutospacing="0" w:after="0" w:afterAutospacing="0" w:line="280" w:lineRule="exact"/>
              <w:ind w:left="0" w:right="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九、水产种质资源保护区范围内禁止从事下列活动：</w:t>
            </w:r>
          </w:p>
          <w:p w14:paraId="780421BB">
            <w:pPr>
              <w:pStyle w:val="277"/>
              <w:keepNext w:val="0"/>
              <w:keepLines w:val="0"/>
              <w:suppressLineNumbers w:val="0"/>
              <w:spacing w:before="0" w:beforeAutospacing="0" w:after="0" w:afterAutospacing="0" w:line="280" w:lineRule="exact"/>
              <w:ind w:left="0" w:right="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（一）新建排污口；</w:t>
            </w:r>
          </w:p>
          <w:p w14:paraId="79133ACC">
            <w:pPr>
              <w:pStyle w:val="277"/>
              <w:keepNext w:val="0"/>
              <w:keepLines w:val="0"/>
              <w:suppressLineNumbers w:val="0"/>
              <w:spacing w:before="0" w:beforeAutospacing="0" w:after="0" w:afterAutospacing="0" w:line="280" w:lineRule="exact"/>
              <w:ind w:left="0" w:right="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（二）采砂、挖塘；</w:t>
            </w:r>
          </w:p>
          <w:p w14:paraId="27921545">
            <w:pPr>
              <w:pStyle w:val="277"/>
              <w:keepNext w:val="0"/>
              <w:keepLines w:val="0"/>
              <w:suppressLineNumbers w:val="0"/>
              <w:spacing w:before="0" w:beforeAutospacing="0" w:after="0" w:afterAutospacing="0" w:line="280" w:lineRule="exact"/>
              <w:ind w:left="0" w:right="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（三）围水湖造田或者其他围填工程；</w:t>
            </w:r>
          </w:p>
          <w:p w14:paraId="127D004D">
            <w:pPr>
              <w:pStyle w:val="277"/>
              <w:keepNext w:val="0"/>
              <w:keepLines w:val="0"/>
              <w:suppressLineNumbers w:val="0"/>
              <w:spacing w:before="0" w:beforeAutospacing="0" w:after="0" w:afterAutospacing="0" w:line="280" w:lineRule="exact"/>
              <w:ind w:left="0" w:right="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（四）向保护区及其周边区域排放未经处理的污水、有毒有害物质或者堆放倾倒废弃物、垃圾；</w:t>
            </w:r>
          </w:p>
          <w:p w14:paraId="461D3066">
            <w:pPr>
              <w:pStyle w:val="277"/>
              <w:keepNext w:val="0"/>
              <w:keepLines w:val="0"/>
              <w:suppressLineNumbers w:val="0"/>
              <w:spacing w:before="0" w:beforeAutospacing="0" w:after="0" w:afterAutospacing="0" w:line="280" w:lineRule="exact"/>
              <w:ind w:left="0" w:right="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（五）放流（生）移植外来物种；</w:t>
            </w:r>
          </w:p>
          <w:p w14:paraId="7F0790EA">
            <w:pPr>
              <w:pStyle w:val="277"/>
              <w:keepNext w:val="0"/>
              <w:keepLines w:val="0"/>
              <w:suppressLineNumbers w:val="0"/>
              <w:spacing w:before="0" w:beforeAutospacing="0" w:after="0" w:afterAutospacing="0" w:line="280" w:lineRule="exact"/>
              <w:ind w:left="0" w:right="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（六）损毁、破坏、擅自移动保护区界碑、标志物及有关保护设施；</w:t>
            </w:r>
          </w:p>
          <w:p w14:paraId="50659608">
            <w:pPr>
              <w:pStyle w:val="277"/>
              <w:keepNext w:val="0"/>
              <w:keepLines w:val="0"/>
              <w:suppressLineNumbers w:val="0"/>
              <w:spacing w:before="0" w:beforeAutospacing="0" w:after="0" w:afterAutospacing="0" w:line="280" w:lineRule="exact"/>
              <w:ind w:left="0" w:right="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（七）其他破坏保护区及其生态环境的活动。</w:t>
            </w:r>
          </w:p>
        </w:tc>
        <w:tc>
          <w:tcPr>
            <w:tcW w:w="3120" w:type="dxa"/>
            <w:noWrap w:val="0"/>
            <w:vAlign w:val="center"/>
          </w:tcPr>
          <w:p w14:paraId="72E7F04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本项目</w:t>
            </w:r>
            <w:r>
              <w:rPr>
                <w:rFonts w:hint="eastAsia" w:ascii="Times New Roman" w:hAnsi="Times New Roman" w:cs="Times New Roman"/>
                <w:color w:val="auto"/>
                <w:lang w:eastAsia="zh-CN"/>
              </w:rPr>
              <w:t>运输船舶产生的生活污水经隔油沉淀池预处理后，进入一体化污水处理设施处理后，回用于道路喷洒、机械车辆冲洗、绿化及码头地面冲洗，不外排；本项目到港船舶含油污水经隔油沉淀池预处理后，进入一体化污水处理设施处理，经处理后回用于道路喷洒、机械车辆冲洗、绿化及码头地面冲洗，不外排；初期雨水</w:t>
            </w:r>
            <w:r>
              <w:rPr>
                <w:rFonts w:hint="eastAsia" w:ascii="Times New Roman" w:hAnsi="Times New Roman" w:cs="Times New Roman"/>
                <w:color w:val="auto"/>
                <w:lang w:val="en-US" w:eastAsia="zh-CN"/>
              </w:rPr>
              <w:t>经</w:t>
            </w:r>
            <w:r>
              <w:rPr>
                <w:rFonts w:hint="eastAsia" w:ascii="Times New Roman" w:hAnsi="Times New Roman" w:cs="Times New Roman"/>
                <w:color w:val="auto"/>
                <w:lang w:eastAsia="zh-CN"/>
              </w:rPr>
              <w:t>隔油沉淀池预处理后进入一体化污水处理设备处理后，作为码头地面冲洗用水、道路喷洒用水、机械车辆冲洗用水及绿化用水；冲洗废水</w:t>
            </w:r>
            <w:r>
              <w:rPr>
                <w:rFonts w:hint="eastAsia" w:ascii="Times New Roman" w:hAnsi="Times New Roman" w:cs="Times New Roman"/>
                <w:color w:val="auto"/>
                <w:lang w:val="en-US" w:eastAsia="zh-CN"/>
              </w:rPr>
              <w:t>经</w:t>
            </w:r>
            <w:r>
              <w:rPr>
                <w:rFonts w:hint="eastAsia" w:ascii="Times New Roman" w:hAnsi="Times New Roman" w:cs="Times New Roman"/>
                <w:color w:val="auto"/>
                <w:lang w:eastAsia="zh-CN"/>
              </w:rPr>
              <w:t>隔油沉淀池预处理后进入一体化污水处理设备处理，处理后废水全部回用于码头地面冲洗、道路喷洒、机械车辆冲洗及绿化，不外排</w:t>
            </w:r>
            <w:r>
              <w:rPr>
                <w:rFonts w:hint="eastAsia" w:ascii="Times New Roman" w:hAnsi="Times New Roman" w:cs="Times New Roman"/>
                <w:color w:val="auto"/>
              </w:rPr>
              <w:t>；码头生活污水利用周边已有旱厕，收集后用于当地农田或林地肥料。</w:t>
            </w:r>
            <w:r>
              <w:rPr>
                <w:rFonts w:hint="default" w:ascii="Times New Roman" w:hAnsi="Times New Roman" w:cs="Times New Roman"/>
                <w:color w:val="auto"/>
              </w:rPr>
              <w:t>项目不新建排污口，亦不存在水产种质资源保护区范围内其他禁止活动。</w:t>
            </w:r>
          </w:p>
        </w:tc>
        <w:tc>
          <w:tcPr>
            <w:tcW w:w="955" w:type="dxa"/>
            <w:noWrap w:val="0"/>
            <w:vAlign w:val="center"/>
          </w:tcPr>
          <w:p w14:paraId="012D1652">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27AE67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91" w:type="dxa"/>
            <w:noWrap w:val="0"/>
            <w:vAlign w:val="center"/>
          </w:tcPr>
          <w:p w14:paraId="0A11503E">
            <w:pPr>
              <w:keepNext w:val="0"/>
              <w:keepLines w:val="0"/>
              <w:widowControl/>
              <w:suppressLineNumbers w:val="0"/>
              <w:spacing w:before="0" w:beforeAutospacing="0" w:after="0" w:afterAutospacing="0" w:line="280" w:lineRule="exact"/>
              <w:ind w:left="0" w:right="0"/>
              <w:jc w:val="left"/>
              <w:rPr>
                <w:rFonts w:hint="default" w:ascii="Times New Roman" w:hAnsi="Times New Roman" w:cs="Times New Roman"/>
                <w:color w:val="auto"/>
              </w:rPr>
            </w:pPr>
            <w:r>
              <w:rPr>
                <w:rFonts w:hint="default" w:ascii="Times New Roman" w:hAnsi="Times New Roman" w:cs="Times New Roman"/>
                <w:color w:val="auto"/>
              </w:rPr>
              <w:t>《淮南市大气防治短板攻坚行动实施方案》</w:t>
            </w:r>
          </w:p>
        </w:tc>
        <w:tc>
          <w:tcPr>
            <w:tcW w:w="3820" w:type="dxa"/>
            <w:noWrap w:val="0"/>
            <w:vAlign w:val="center"/>
          </w:tcPr>
          <w:p w14:paraId="72ACE00D">
            <w:pPr>
              <w:pStyle w:val="277"/>
              <w:keepNext w:val="0"/>
              <w:keepLines w:val="0"/>
              <w:suppressLineNumbers w:val="0"/>
              <w:spacing w:before="0" w:beforeAutospacing="0" w:after="0" w:afterAutospacing="0" w:line="280" w:lineRule="exact"/>
              <w:ind w:left="0" w:right="0"/>
              <w:jc w:val="both"/>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（六）推动港口岸电建设和使用。加快港口岸电设备设施建设和船舶受电设施设备改造，提高岸电设施使用效率。2</w:t>
            </w:r>
            <w:r>
              <w:rPr>
                <w:rFonts w:hint="default" w:ascii="Times New Roman" w:hAnsi="Times New Roman" w:cs="Times New Roman"/>
                <w:color w:val="auto"/>
                <w:sz w:val="21"/>
                <w:szCs w:val="21"/>
              </w:rPr>
              <w:t>020年底前，淮河干线和待闸锚地基本具备船舶岸电供应能力。</w:t>
            </w:r>
          </w:p>
        </w:tc>
        <w:tc>
          <w:tcPr>
            <w:tcW w:w="3120" w:type="dxa"/>
            <w:noWrap w:val="0"/>
            <w:vAlign w:val="center"/>
          </w:tcPr>
          <w:p w14:paraId="7A8E64B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拟建</w:t>
            </w:r>
            <w:r>
              <w:rPr>
                <w:rFonts w:hint="default" w:ascii="Times New Roman" w:hAnsi="Times New Roman" w:cs="Times New Roman"/>
                <w:color w:val="auto"/>
              </w:rPr>
              <w:t>项目码头</w:t>
            </w:r>
            <w:r>
              <w:rPr>
                <w:rFonts w:hint="eastAsia" w:ascii="Times New Roman" w:hAnsi="Times New Roman" w:cs="Times New Roman"/>
                <w:color w:val="auto"/>
              </w:rPr>
              <w:t>设置</w:t>
            </w:r>
            <w:r>
              <w:rPr>
                <w:rFonts w:hint="default" w:ascii="Times New Roman" w:hAnsi="Times New Roman" w:cs="Times New Roman"/>
                <w:color w:val="auto"/>
              </w:rPr>
              <w:t>岸电设施，到港船舶靠港期间使用岸电。</w:t>
            </w:r>
          </w:p>
        </w:tc>
        <w:tc>
          <w:tcPr>
            <w:tcW w:w="955" w:type="dxa"/>
            <w:noWrap w:val="0"/>
            <w:vAlign w:val="center"/>
          </w:tcPr>
          <w:p w14:paraId="4842F41A">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6E7E1B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91" w:type="dxa"/>
            <w:noWrap w:val="0"/>
            <w:vAlign w:val="center"/>
          </w:tcPr>
          <w:p w14:paraId="02AAF037">
            <w:pPr>
              <w:keepNext w:val="0"/>
              <w:keepLines w:val="0"/>
              <w:widowControl/>
              <w:suppressLineNumbers w:val="0"/>
              <w:spacing w:before="0" w:beforeAutospacing="0" w:after="0" w:afterAutospacing="0" w:line="280" w:lineRule="exact"/>
              <w:ind w:left="0" w:right="0"/>
              <w:jc w:val="left"/>
              <w:rPr>
                <w:rFonts w:hint="default" w:ascii="Times New Roman" w:hAnsi="Times New Roman" w:cs="Times New Roman"/>
                <w:color w:val="auto"/>
              </w:rPr>
            </w:pPr>
            <w:r>
              <w:rPr>
                <w:rFonts w:hint="default" w:ascii="Times New Roman" w:hAnsi="Times New Roman" w:cs="Times New Roman"/>
                <w:color w:val="auto"/>
              </w:rPr>
              <w:t>《安徽省人民政府办公厅关于加强风景名胜区规划建设管理工作的意见》</w:t>
            </w:r>
          </w:p>
        </w:tc>
        <w:tc>
          <w:tcPr>
            <w:tcW w:w="3820" w:type="dxa"/>
            <w:noWrap w:val="0"/>
            <w:vAlign w:val="center"/>
          </w:tcPr>
          <w:p w14:paraId="1543A9C5">
            <w:pPr>
              <w:keepNext w:val="0"/>
              <w:keepLines w:val="0"/>
              <w:suppressLineNumbers w:val="0"/>
              <w:autoSpaceDE w:val="0"/>
              <w:autoSpaceDN w:val="0"/>
              <w:adjustRightInd w:val="0"/>
              <w:spacing w:before="0" w:beforeAutospacing="0" w:after="0" w:afterAutospacing="0"/>
              <w:ind w:left="0" w:right="0"/>
              <w:rPr>
                <w:rFonts w:hint="eastAsia" w:ascii="Times New Roman" w:hAnsi="Times New Roman" w:cs="Times New Roman"/>
                <w:color w:val="auto"/>
                <w:kern w:val="0"/>
              </w:rPr>
            </w:pPr>
            <w:r>
              <w:rPr>
                <w:rFonts w:hint="default" w:ascii="Times New Roman" w:hAnsi="Times New Roman" w:cs="Times New Roman"/>
                <w:color w:val="auto"/>
                <w:kern w:val="0"/>
              </w:rPr>
              <w:t>禁止违反风景名胜区规划，在风景名胜区内设立各类开发区和在核心景区内建设宾馆、招待所、培训中心、疗养院以及与风景名胜资源保护无关的其他建筑物；已经建设的，应当按照风景名胜区规划逐步迁出。禁止在风景名胜区内进行开山、采石、开矿以及建设大规模风力或太阳能发电设施等破坏景观、植被和地形地貌的活动。风景名胜区所在地政府应当切实防止有关单位借招商引资名义，在风景名胜区规划范围内进行损害风景名胜资源的开发建设活动。</w:t>
            </w:r>
          </w:p>
        </w:tc>
        <w:tc>
          <w:tcPr>
            <w:tcW w:w="3120" w:type="dxa"/>
            <w:noWrap w:val="0"/>
            <w:vAlign w:val="center"/>
          </w:tcPr>
          <w:p w14:paraId="3B82560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本项目选址不属于风景名胜区内禁止的开山、采石、开矿以及建设大规模风力或太阳能发电设施等破坏景观、植被和地形地貌的活动。</w:t>
            </w:r>
          </w:p>
        </w:tc>
        <w:tc>
          <w:tcPr>
            <w:tcW w:w="955" w:type="dxa"/>
            <w:noWrap w:val="0"/>
            <w:vAlign w:val="center"/>
          </w:tcPr>
          <w:p w14:paraId="5661CD0B">
            <w:pPr>
              <w:pStyle w:val="277"/>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48D4EE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91" w:type="dxa"/>
            <w:noWrap w:val="0"/>
            <w:vAlign w:val="center"/>
          </w:tcPr>
          <w:p w14:paraId="6517B4D5">
            <w:pPr>
              <w:keepNext w:val="0"/>
              <w:keepLines w:val="0"/>
              <w:widowControl/>
              <w:suppressLineNumbers w:val="0"/>
              <w:spacing w:before="0" w:beforeAutospacing="0" w:after="0" w:afterAutospacing="0" w:line="280" w:lineRule="exact"/>
              <w:ind w:left="0" w:right="0"/>
              <w:jc w:val="left"/>
              <w:rPr>
                <w:rFonts w:hint="default" w:ascii="Times New Roman" w:hAnsi="Times New Roman" w:eastAsia="宋体" w:cs="Times New Roman"/>
                <w:color w:val="auto"/>
              </w:rPr>
            </w:pPr>
            <w:r>
              <w:rPr>
                <w:rFonts w:hint="default" w:ascii="Times New Roman" w:hAnsi="Times New Roman" w:eastAsia="宋体" w:cs="Times New Roman"/>
                <w:color w:val="auto"/>
              </w:rPr>
              <w:t>《水产种质资源保护区管理暂行办法》农业部令</w:t>
            </w:r>
            <w:r>
              <w:rPr>
                <w:rFonts w:hint="eastAsia" w:cs="Times New Roman"/>
                <w:color w:val="auto"/>
                <w:lang w:eastAsia="zh-CN"/>
              </w:rPr>
              <w:t>〔2016〕3号</w:t>
            </w:r>
          </w:p>
        </w:tc>
        <w:tc>
          <w:tcPr>
            <w:tcW w:w="3820" w:type="dxa"/>
            <w:noWrap w:val="0"/>
            <w:vAlign w:val="center"/>
          </w:tcPr>
          <w:p w14:paraId="26C44E3C">
            <w:pPr>
              <w:keepNext w:val="0"/>
              <w:keepLines w:val="0"/>
              <w:suppressLineNumbers w:val="0"/>
              <w:autoSpaceDE w:val="0"/>
              <w:autoSpaceDN w:val="0"/>
              <w:adjustRightInd w:val="0"/>
              <w:spacing w:before="0" w:beforeAutospacing="0" w:after="0" w:afterAutospacing="0"/>
              <w:ind w:left="0" w:right="0"/>
              <w:rPr>
                <w:rFonts w:hint="eastAsia" w:ascii="Times New Roman" w:hAnsi="Times New Roman" w:eastAsia="宋体" w:cs="Times New Roman"/>
                <w:color w:val="auto"/>
                <w:kern w:val="0"/>
                <w:lang w:eastAsia="zh-CN"/>
              </w:rPr>
            </w:pPr>
            <w:r>
              <w:rPr>
                <w:rFonts w:hint="default" w:ascii="Times New Roman" w:hAnsi="Times New Roman" w:cs="Times New Roman"/>
                <w:color w:val="auto"/>
                <w:kern w:val="0"/>
              </w:rPr>
              <w:t>第十六条 在水产种质资源保护区内从事修建水利工程、疏浚航道、建闸筑坝、勘探和开采矿产资源、港口建设等工程建设的，或者在水产种质资源保护区外从事可能损害保护区功能的工程建设活动的，应当按照国家有关规定编制建设项目对水产种质资源保护区的影响专题论证报告，并将其纳入环境影响评价报告书</w:t>
            </w:r>
            <w:r>
              <w:rPr>
                <w:rFonts w:hint="eastAsia" w:ascii="Times New Roman" w:hAnsi="Times New Roman" w:cs="Times New Roman"/>
                <w:color w:val="auto"/>
                <w:kern w:val="0"/>
                <w:lang w:eastAsia="zh-CN"/>
              </w:rPr>
              <w:t>。</w:t>
            </w:r>
          </w:p>
        </w:tc>
        <w:tc>
          <w:tcPr>
            <w:tcW w:w="3120" w:type="dxa"/>
            <w:noWrap w:val="0"/>
            <w:vAlign w:val="center"/>
          </w:tcPr>
          <w:p w14:paraId="37C3200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本项目</w:t>
            </w:r>
            <w:r>
              <w:rPr>
                <w:rFonts w:hint="eastAsia" w:ascii="Times New Roman" w:hAnsi="Times New Roman" w:cs="Times New Roman"/>
                <w:color w:val="auto"/>
              </w:rPr>
              <w:t>涉及</w:t>
            </w:r>
            <w:r>
              <w:rPr>
                <w:rFonts w:hint="default" w:ascii="Times New Roman" w:hAnsi="Times New Roman" w:cs="Times New Roman"/>
                <w:color w:val="auto"/>
              </w:rPr>
              <w:t>淮河淮南段长吻鮠国家级水产种质资源保护区</w:t>
            </w:r>
            <w:r>
              <w:rPr>
                <w:rFonts w:hint="eastAsia" w:ascii="Times New Roman" w:hAnsi="Times New Roman" w:cs="Times New Roman"/>
                <w:color w:val="auto"/>
              </w:rPr>
              <w:t>实验区，</w:t>
            </w:r>
            <w:r>
              <w:rPr>
                <w:rFonts w:hint="eastAsia" w:cs="Times New Roman"/>
                <w:color w:val="auto"/>
                <w:lang w:val="en-US" w:eastAsia="zh-CN"/>
              </w:rPr>
              <w:t>引用</w:t>
            </w:r>
            <w:r>
              <w:rPr>
                <w:rFonts w:hint="eastAsia" w:eastAsia="宋体"/>
                <w:color w:val="auto"/>
                <w:lang w:eastAsia="zh-CN"/>
              </w:rPr>
              <w:t>《淮南市兴华园贸易发展有限公司兴华园码头工程对淮河淮南段长吻鮠国家级水产种质资源保护区影响专题论证报告》</w:t>
            </w:r>
            <w:r>
              <w:rPr>
                <w:rFonts w:hint="eastAsia" w:eastAsia="宋体"/>
                <w:color w:val="auto"/>
                <w:lang w:val="en-US" w:eastAsia="zh-CN"/>
              </w:rPr>
              <w:t>结论</w:t>
            </w:r>
            <w:r>
              <w:rPr>
                <w:rFonts w:hint="eastAsia" w:eastAsia="宋体"/>
                <w:color w:val="auto"/>
                <w:lang w:eastAsia="zh-CN"/>
              </w:rPr>
              <w:t>，从水产种质资源保护 的角度，本项目的施工和运营是可接受的</w:t>
            </w:r>
            <w:r>
              <w:rPr>
                <w:rFonts w:hint="eastAsia" w:ascii="Times New Roman" w:hAnsi="Times New Roman" w:cs="Times New Roman"/>
                <w:color w:val="auto"/>
              </w:rPr>
              <w:t>。</w:t>
            </w:r>
            <w:r>
              <w:rPr>
                <w:rFonts w:hint="eastAsia" w:cs="Times New Roman"/>
                <w:color w:val="auto"/>
                <w:lang w:val="en-US" w:eastAsia="zh-CN"/>
              </w:rPr>
              <w:t>项目已按淮南港总体规划环评要求的</w:t>
            </w:r>
            <w:r>
              <w:rPr>
                <w:rFonts w:hint="eastAsia" w:ascii="Times New Roman" w:hAnsi="Times New Roman" w:cs="Times New Roman"/>
                <w:color w:val="auto"/>
                <w:sz w:val="21"/>
              </w:rPr>
              <w:t>《淮南港皖江物流综合码头工程项目对淮河淮南段长吻鮠国家级水产种质资源保护区影响评价专题报告》和批复的要求</w:t>
            </w:r>
            <w:r>
              <w:rPr>
                <w:rFonts w:hint="eastAsia" w:cs="Times New Roman"/>
                <w:color w:val="auto"/>
                <w:sz w:val="21"/>
                <w:lang w:val="en-US" w:eastAsia="zh-CN"/>
              </w:rPr>
              <w:t>落实对</w:t>
            </w:r>
            <w:r>
              <w:rPr>
                <w:rFonts w:hint="default" w:ascii="Times New Roman" w:hAnsi="Times New Roman" w:cs="Times New Roman"/>
                <w:color w:val="auto"/>
              </w:rPr>
              <w:t>水产种质资源保护区</w:t>
            </w:r>
            <w:r>
              <w:rPr>
                <w:rFonts w:hint="eastAsia" w:cs="Times New Roman"/>
                <w:color w:val="auto"/>
                <w:lang w:val="en-US" w:eastAsia="zh-CN"/>
              </w:rPr>
              <w:t>的保护措施。</w:t>
            </w:r>
          </w:p>
        </w:tc>
        <w:tc>
          <w:tcPr>
            <w:tcW w:w="955" w:type="dxa"/>
            <w:noWrap w:val="0"/>
            <w:vAlign w:val="center"/>
          </w:tcPr>
          <w:p w14:paraId="023F1EFF">
            <w:pPr>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1BBA0A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91" w:type="dxa"/>
            <w:vMerge w:val="restart"/>
            <w:noWrap w:val="0"/>
            <w:vAlign w:val="center"/>
          </w:tcPr>
          <w:p w14:paraId="1ACD29B4">
            <w:pPr>
              <w:keepNext w:val="0"/>
              <w:keepLines w:val="0"/>
              <w:widowControl/>
              <w:suppressLineNumbers w:val="0"/>
              <w:spacing w:before="0" w:beforeAutospacing="0" w:after="0" w:afterAutospacing="0" w:line="280" w:lineRule="exact"/>
              <w:ind w:left="0" w:right="0"/>
              <w:jc w:val="left"/>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《水运工程环境保护设计规范》（JTS149-2018）</w:t>
            </w:r>
          </w:p>
        </w:tc>
        <w:tc>
          <w:tcPr>
            <w:tcW w:w="3820" w:type="dxa"/>
            <w:noWrap w:val="0"/>
            <w:vAlign w:val="center"/>
          </w:tcPr>
          <w:p w14:paraId="34372488">
            <w:pPr>
              <w:keepNext w:val="0"/>
              <w:keepLines w:val="0"/>
              <w:suppressLineNumbers w:val="0"/>
              <w:autoSpaceDE w:val="0"/>
              <w:autoSpaceDN w:val="0"/>
              <w:adjustRightInd w:val="0"/>
              <w:spacing w:before="0" w:beforeAutospacing="0" w:after="0" w:afterAutospacing="0"/>
              <w:ind w:left="0" w:right="0"/>
              <w:rPr>
                <w:rFonts w:hint="eastAsia"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3.2工程选址和布局：</w:t>
            </w:r>
          </w:p>
          <w:p w14:paraId="0506617A">
            <w:pPr>
              <w:keepNext w:val="0"/>
              <w:keepLines w:val="0"/>
              <w:suppressLineNumbers w:val="0"/>
              <w:autoSpaceDE w:val="0"/>
              <w:autoSpaceDN w:val="0"/>
              <w:adjustRightInd w:val="0"/>
              <w:spacing w:before="0" w:beforeAutospacing="0" w:after="0" w:afterAutospacing="0"/>
              <w:ind w:left="0" w:right="0"/>
              <w:rPr>
                <w:rFonts w:hint="default" w:ascii="Times New Roman" w:hAnsi="Times New Roman" w:cs="Times New Roman"/>
                <w:color w:val="auto"/>
                <w:kern w:val="0"/>
                <w:highlight w:val="none"/>
              </w:rPr>
            </w:pPr>
            <w:r>
              <w:rPr>
                <w:rFonts w:hint="eastAsia" w:ascii="Times New Roman" w:hAnsi="Times New Roman" w:cs="Times New Roman"/>
                <w:color w:val="auto"/>
                <w:kern w:val="0"/>
                <w:highlight w:val="none"/>
              </w:rPr>
              <w:t>水运工程建设项目严禁在饮用水水源保护区内设立任何排污口其建设和运行不得污染饮用水水源保护区水质</w:t>
            </w:r>
          </w:p>
        </w:tc>
        <w:tc>
          <w:tcPr>
            <w:tcW w:w="3120" w:type="dxa"/>
            <w:noWrap w:val="0"/>
            <w:vAlign w:val="center"/>
          </w:tcPr>
          <w:p w14:paraId="0CA1027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本码头项目不涉及</w:t>
            </w:r>
            <w:r>
              <w:rPr>
                <w:rFonts w:hint="eastAsia" w:ascii="Times New Roman" w:hAnsi="Times New Roman" w:cs="Times New Roman"/>
                <w:color w:val="auto"/>
                <w:kern w:val="0"/>
                <w:highlight w:val="none"/>
              </w:rPr>
              <w:t>饮用水水源保护区</w:t>
            </w:r>
            <w:r>
              <w:rPr>
                <w:rFonts w:hint="eastAsia" w:ascii="Times New Roman" w:hAnsi="Times New Roman" w:cs="Times New Roman"/>
                <w:color w:val="auto"/>
                <w:kern w:val="0"/>
                <w:highlight w:val="none"/>
                <w:lang w:eastAsia="zh-CN"/>
              </w:rPr>
              <w:t>，</w:t>
            </w:r>
            <w:r>
              <w:rPr>
                <w:rFonts w:hint="eastAsia" w:ascii="Times New Roman" w:hAnsi="Times New Roman" w:cs="Times New Roman"/>
                <w:color w:val="auto"/>
                <w:kern w:val="0"/>
                <w:highlight w:val="none"/>
                <w:lang w:val="en-US" w:eastAsia="zh-CN"/>
              </w:rPr>
              <w:t>本项目废水不外排，不</w:t>
            </w:r>
            <w:r>
              <w:rPr>
                <w:rFonts w:hint="eastAsia" w:ascii="Times New Roman" w:hAnsi="Times New Roman" w:cs="Times New Roman"/>
                <w:color w:val="auto"/>
                <w:kern w:val="0"/>
                <w:highlight w:val="none"/>
              </w:rPr>
              <w:t>设立排污口</w:t>
            </w:r>
          </w:p>
        </w:tc>
        <w:tc>
          <w:tcPr>
            <w:tcW w:w="955" w:type="dxa"/>
            <w:noWrap w:val="0"/>
            <w:vAlign w:val="center"/>
          </w:tcPr>
          <w:p w14:paraId="7D798182">
            <w:pPr>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26728F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91" w:type="dxa"/>
            <w:vMerge w:val="continue"/>
            <w:noWrap w:val="0"/>
            <w:vAlign w:val="center"/>
          </w:tcPr>
          <w:p w14:paraId="483AD90A">
            <w:pPr>
              <w:keepNext w:val="0"/>
              <w:keepLines w:val="0"/>
              <w:widowControl/>
              <w:suppressLineNumbers w:val="0"/>
              <w:spacing w:before="0" w:beforeAutospacing="0" w:after="0" w:afterAutospacing="0" w:line="280" w:lineRule="exact"/>
              <w:ind w:left="0" w:right="0"/>
              <w:jc w:val="left"/>
              <w:rPr>
                <w:rFonts w:hint="eastAsia" w:ascii="Times New Roman" w:hAnsi="Times New Roman" w:eastAsia="宋体" w:cs="Times New Roman"/>
                <w:color w:val="auto"/>
                <w:lang w:val="en-US" w:eastAsia="zh-CN"/>
              </w:rPr>
            </w:pPr>
          </w:p>
        </w:tc>
        <w:tc>
          <w:tcPr>
            <w:tcW w:w="3820" w:type="dxa"/>
            <w:noWrap w:val="0"/>
            <w:vAlign w:val="center"/>
          </w:tcPr>
          <w:p w14:paraId="4BC62FA0">
            <w:pPr>
              <w:keepNext w:val="0"/>
              <w:keepLines w:val="0"/>
              <w:suppressLineNumbers w:val="0"/>
              <w:autoSpaceDE w:val="0"/>
              <w:autoSpaceDN w:val="0"/>
              <w:adjustRightInd w:val="0"/>
              <w:spacing w:before="0" w:beforeAutospacing="0" w:after="0" w:afterAutospacing="0"/>
              <w:ind w:left="0" w:right="0"/>
              <w:rPr>
                <w:rFonts w:hint="eastAsia" w:ascii="Times New Roman" w:hAnsi="Times New Roman" w:cs="Times New Roman"/>
                <w:color w:val="auto"/>
                <w:kern w:val="0"/>
                <w:highlight w:val="none"/>
                <w:lang w:val="en-US" w:eastAsia="zh-CN"/>
              </w:rPr>
            </w:pPr>
            <w:r>
              <w:rPr>
                <w:rFonts w:hint="eastAsia" w:ascii="Times New Roman" w:hAnsi="Times New Roman" w:cs="Times New Roman"/>
                <w:color w:val="auto"/>
                <w:kern w:val="0"/>
                <w:highlight w:val="none"/>
                <w:lang w:val="en-US" w:eastAsia="zh-CN"/>
              </w:rPr>
              <w:t>3.3工程施工</w:t>
            </w:r>
          </w:p>
          <w:p w14:paraId="2554245D">
            <w:pPr>
              <w:keepNext w:val="0"/>
              <w:keepLines w:val="0"/>
              <w:suppressLineNumbers w:val="0"/>
              <w:autoSpaceDE w:val="0"/>
              <w:autoSpaceDN w:val="0"/>
              <w:adjustRightInd w:val="0"/>
              <w:spacing w:before="0" w:beforeAutospacing="0" w:after="0" w:afterAutospacing="0"/>
              <w:ind w:left="0" w:right="0"/>
              <w:rPr>
                <w:rFonts w:hint="default" w:ascii="Times New Roman" w:hAnsi="Times New Roman" w:cs="Times New Roman"/>
                <w:color w:val="auto"/>
                <w:kern w:val="0"/>
                <w:highlight w:val="cyan"/>
                <w:lang w:val="en-US" w:eastAsia="zh-CN"/>
              </w:rPr>
            </w:pPr>
            <w:r>
              <w:rPr>
                <w:rFonts w:hint="default" w:ascii="Times New Roman" w:hAnsi="Times New Roman" w:cs="Times New Roman"/>
                <w:color w:val="auto"/>
                <w:kern w:val="0"/>
                <w:highlight w:val="none"/>
                <w:lang w:val="en-US" w:eastAsia="zh-CN"/>
              </w:rPr>
              <w:t>经鉴定为危险废物的疏浚泥土，必须按照危险废物处置的法律法规和技术标准处置</w:t>
            </w:r>
            <w:r>
              <w:rPr>
                <w:rFonts w:hint="eastAsia" w:ascii="Times New Roman" w:hAnsi="Times New Roman" w:cs="Times New Roman"/>
                <w:color w:val="auto"/>
                <w:kern w:val="0"/>
                <w:highlight w:val="none"/>
                <w:lang w:val="en-US" w:eastAsia="zh-CN"/>
              </w:rPr>
              <w:t>，陆域形成严禁回填危险废物。</w:t>
            </w:r>
          </w:p>
        </w:tc>
        <w:tc>
          <w:tcPr>
            <w:tcW w:w="3120" w:type="dxa"/>
            <w:noWrap w:val="0"/>
            <w:vAlign w:val="center"/>
          </w:tcPr>
          <w:p w14:paraId="2EA6ACE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各类生活垃圾经收集后定期由环卫部门清运。建筑垃圾统一收集后运至市政垃圾场处理，不排放。废油、装修危废交由有资质单位处置；沉淀后的干泥浆运送上岸再由车辆运输至陆域工程进港道路及路面拓宽处，作为填方使用</w:t>
            </w:r>
            <w:r>
              <w:rPr>
                <w:rFonts w:hint="eastAsia" w:cs="Times New Roman"/>
                <w:color w:val="auto"/>
                <w:lang w:eastAsia="zh-CN"/>
              </w:rPr>
              <w:t>，</w:t>
            </w:r>
            <w:r>
              <w:rPr>
                <w:rFonts w:hint="eastAsia" w:cs="Times New Roman"/>
                <w:color w:val="auto"/>
                <w:lang w:val="en-US" w:eastAsia="zh-CN"/>
              </w:rPr>
              <w:t>本项目施工期产生属于</w:t>
            </w:r>
            <w:r>
              <w:rPr>
                <w:rFonts w:hint="default" w:ascii="Times New Roman" w:hAnsi="Times New Roman" w:cs="Times New Roman"/>
                <w:color w:val="auto"/>
                <w:kern w:val="0"/>
                <w:highlight w:val="none"/>
                <w:lang w:val="en-US" w:eastAsia="zh-CN"/>
              </w:rPr>
              <w:t>的疏浚泥土</w:t>
            </w:r>
            <w:r>
              <w:rPr>
                <w:rFonts w:hint="eastAsia" w:cs="Times New Roman"/>
                <w:color w:val="auto"/>
                <w:kern w:val="0"/>
                <w:highlight w:val="none"/>
                <w:lang w:val="en-US" w:eastAsia="zh-CN"/>
              </w:rPr>
              <w:t>。</w:t>
            </w:r>
          </w:p>
        </w:tc>
        <w:tc>
          <w:tcPr>
            <w:tcW w:w="955" w:type="dxa"/>
            <w:noWrap w:val="0"/>
            <w:vAlign w:val="center"/>
          </w:tcPr>
          <w:p w14:paraId="2E0E31D8">
            <w:pPr>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rPr>
              <w:t>符合</w:t>
            </w:r>
          </w:p>
        </w:tc>
      </w:tr>
      <w:tr w14:paraId="5492E7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91" w:type="dxa"/>
            <w:vMerge w:val="continue"/>
            <w:noWrap w:val="0"/>
            <w:vAlign w:val="center"/>
          </w:tcPr>
          <w:p w14:paraId="439BE655">
            <w:pPr>
              <w:keepNext w:val="0"/>
              <w:keepLines w:val="0"/>
              <w:widowControl/>
              <w:suppressLineNumbers w:val="0"/>
              <w:spacing w:before="0" w:beforeAutospacing="0" w:after="0" w:afterAutospacing="0" w:line="280" w:lineRule="exact"/>
              <w:ind w:left="0" w:right="0"/>
              <w:jc w:val="left"/>
              <w:rPr>
                <w:rFonts w:hint="eastAsia" w:ascii="Times New Roman" w:hAnsi="Times New Roman" w:eastAsia="宋体" w:cs="Times New Roman"/>
                <w:color w:val="auto"/>
                <w:lang w:val="en-US" w:eastAsia="zh-CN"/>
              </w:rPr>
            </w:pPr>
          </w:p>
        </w:tc>
        <w:tc>
          <w:tcPr>
            <w:tcW w:w="3820" w:type="dxa"/>
            <w:noWrap w:val="0"/>
            <w:vAlign w:val="center"/>
          </w:tcPr>
          <w:p w14:paraId="4A3B6C1E">
            <w:pPr>
              <w:keepNext w:val="0"/>
              <w:keepLines w:val="0"/>
              <w:suppressLineNumbers w:val="0"/>
              <w:autoSpaceDE w:val="0"/>
              <w:autoSpaceDN w:val="0"/>
              <w:adjustRightInd w:val="0"/>
              <w:spacing w:before="0" w:beforeAutospacing="0" w:after="0" w:afterAutospacing="0"/>
              <w:ind w:left="0" w:right="0"/>
              <w:rPr>
                <w:rFonts w:hint="default" w:ascii="Times New Roman" w:hAnsi="Times New Roman" w:cs="Times New Roman"/>
                <w:color w:val="auto"/>
                <w:kern w:val="0"/>
                <w:lang w:val="en-US" w:eastAsia="zh-CN"/>
              </w:rPr>
            </w:pPr>
            <w:r>
              <w:rPr>
                <w:rFonts w:hint="default" w:ascii="Times New Roman" w:hAnsi="Times New Roman" w:cs="Times New Roman"/>
                <w:color w:val="auto"/>
                <w:kern w:val="0"/>
                <w:lang w:val="en-US" w:eastAsia="zh-CN"/>
              </w:rPr>
              <w:t>4.1.1 水运工程的生产废水、生活污水及清洁雨水应采用分流制排水系统。生产废水生活污水应优先纳入公共污水处理系统。污水水质应满足相应的接管水质标准</w:t>
            </w:r>
            <w:r>
              <w:rPr>
                <w:rFonts w:hint="eastAsia" w:cs="Times New Roman"/>
                <w:color w:val="auto"/>
                <w:kern w:val="0"/>
                <w:lang w:val="en-US" w:eastAsia="zh-CN"/>
              </w:rPr>
              <w:t>：</w:t>
            </w:r>
            <w:r>
              <w:rPr>
                <w:rFonts w:hint="default" w:ascii="Times New Roman" w:hAnsi="Times New Roman" w:cs="Times New Roman"/>
                <w:color w:val="auto"/>
                <w:kern w:val="0"/>
                <w:lang w:val="en-US" w:eastAsia="zh-CN"/>
              </w:rPr>
              <w:t>无法</w:t>
            </w:r>
            <w:r>
              <w:rPr>
                <w:rFonts w:hint="eastAsia" w:cs="Times New Roman"/>
                <w:color w:val="auto"/>
                <w:kern w:val="0"/>
                <w:lang w:val="en-US" w:eastAsia="zh-CN"/>
              </w:rPr>
              <w:t>纳入</w:t>
            </w:r>
            <w:r>
              <w:rPr>
                <w:rFonts w:hint="default" w:ascii="Times New Roman" w:hAnsi="Times New Roman" w:cs="Times New Roman"/>
                <w:color w:val="auto"/>
                <w:kern w:val="0"/>
                <w:lang w:val="en-US" w:eastAsia="zh-CN"/>
              </w:rPr>
              <w:t>公共污水处理系统时，应自建污水处理系统</w:t>
            </w:r>
          </w:p>
          <w:p w14:paraId="61633465">
            <w:pPr>
              <w:keepNext w:val="0"/>
              <w:keepLines w:val="0"/>
              <w:suppressLineNumbers w:val="0"/>
              <w:autoSpaceDE w:val="0"/>
              <w:autoSpaceDN w:val="0"/>
              <w:adjustRightInd w:val="0"/>
              <w:spacing w:before="0" w:beforeAutospacing="0" w:after="0" w:afterAutospacing="0"/>
              <w:ind w:left="0" w:right="0"/>
              <w:rPr>
                <w:rFonts w:hint="default" w:ascii="Times New Roman" w:hAnsi="Times New Roman" w:cs="Times New Roman"/>
                <w:color w:val="auto"/>
                <w:kern w:val="0"/>
                <w:lang w:val="en-US" w:eastAsia="zh-CN"/>
              </w:rPr>
            </w:pPr>
            <w:r>
              <w:rPr>
                <w:rFonts w:hint="default" w:ascii="Times New Roman" w:hAnsi="Times New Roman" w:cs="Times New Roman"/>
                <w:color w:val="auto"/>
                <w:kern w:val="0"/>
                <w:lang w:val="en-US" w:eastAsia="zh-CN"/>
              </w:rPr>
              <w:t>4.1.2水运工程的污水处理后宜分类回用</w:t>
            </w:r>
            <w:r>
              <w:rPr>
                <w:rFonts w:hint="eastAsia" w:cs="Times New Roman"/>
                <w:color w:val="auto"/>
                <w:kern w:val="0"/>
                <w:lang w:val="en-US" w:eastAsia="zh-CN"/>
              </w:rPr>
              <w:t>，</w:t>
            </w:r>
            <w:r>
              <w:rPr>
                <w:rFonts w:hint="default" w:ascii="Times New Roman" w:hAnsi="Times New Roman" w:cs="Times New Roman"/>
                <w:color w:val="auto"/>
                <w:kern w:val="0"/>
                <w:lang w:val="en-US" w:eastAsia="zh-CN"/>
              </w:rPr>
              <w:t>回用时应满足再生水水质标准要求，处理后出水</w:t>
            </w:r>
            <w:r>
              <w:rPr>
                <w:rFonts w:hint="eastAsia" w:cs="Times New Roman"/>
                <w:color w:val="auto"/>
                <w:kern w:val="0"/>
                <w:lang w:val="en-US" w:eastAsia="zh-CN"/>
              </w:rPr>
              <w:t>排入</w:t>
            </w:r>
            <w:r>
              <w:rPr>
                <w:rFonts w:hint="default" w:ascii="Times New Roman" w:hAnsi="Times New Roman" w:cs="Times New Roman"/>
                <w:color w:val="auto"/>
                <w:kern w:val="0"/>
                <w:lang w:val="en-US" w:eastAsia="zh-CN"/>
              </w:rPr>
              <w:t>自然水体时</w:t>
            </w:r>
            <w:r>
              <w:rPr>
                <w:rFonts w:hint="eastAsia" w:cs="Times New Roman"/>
                <w:color w:val="auto"/>
                <w:kern w:val="0"/>
                <w:lang w:val="en-US" w:eastAsia="zh-CN"/>
              </w:rPr>
              <w:t>，</w:t>
            </w:r>
            <w:r>
              <w:rPr>
                <w:rFonts w:hint="default" w:ascii="Times New Roman" w:hAnsi="Times New Roman" w:cs="Times New Roman"/>
                <w:color w:val="auto"/>
                <w:kern w:val="0"/>
                <w:lang w:val="en-US" w:eastAsia="zh-CN"/>
              </w:rPr>
              <w:t>水质应满足相关污染物排放标准。并应满足受纳水体的水环境质量控制要求</w:t>
            </w:r>
          </w:p>
        </w:tc>
        <w:tc>
          <w:tcPr>
            <w:tcW w:w="3120" w:type="dxa"/>
            <w:noWrap w:val="0"/>
            <w:vAlign w:val="center"/>
          </w:tcPr>
          <w:p w14:paraId="3EF89085">
            <w:pPr>
              <w:keepNext w:val="0"/>
              <w:keepLines w:val="0"/>
              <w:suppressLineNumbers w:val="0"/>
              <w:spacing w:before="0" w:beforeAutospacing="0" w:after="0" w:afterAutospacing="0"/>
              <w:ind w:left="0" w:right="0"/>
              <w:rPr>
                <w:rFonts w:hint="eastAsia" w:ascii="Times New Roman" w:hAnsi="Times New Roman" w:cs="Times New Roman"/>
                <w:color w:val="auto"/>
              </w:rPr>
            </w:pPr>
            <w:r>
              <w:rPr>
                <w:rFonts w:hint="eastAsia" w:ascii="Times New Roman" w:hAnsi="Times New Roman" w:eastAsia="宋体" w:cs="Times New Roman"/>
                <w:color w:val="auto"/>
                <w:lang w:eastAsia="zh-CN"/>
              </w:rPr>
              <w:t>运输船舶产生的生活污水经隔油沉淀池预处理后，进入一体化污水处理设施处理后，回用于道路喷洒、机械车辆冲洗、绿化及码头地面冲洗，不外排</w:t>
            </w:r>
            <w:r>
              <w:rPr>
                <w:rFonts w:hint="eastAsia" w:ascii="Times New Roman" w:hAnsi="Times New Roman" w:cs="Times New Roman"/>
                <w:color w:val="auto"/>
                <w:lang w:eastAsia="zh-CN"/>
              </w:rPr>
              <w:t>；</w:t>
            </w:r>
            <w:r>
              <w:rPr>
                <w:rFonts w:hint="eastAsia" w:ascii="Times New Roman" w:hAnsi="Times New Roman" w:eastAsia="宋体" w:cs="Times New Roman"/>
                <w:color w:val="auto"/>
                <w:lang w:eastAsia="zh-CN"/>
              </w:rPr>
              <w:t>本项目到港船舶含油污水经隔油沉淀池预处理后，进入一体化污水处理设施处理，经处理后回用于道路喷洒、机械车辆冲洗、绿化及码头地面冲洗，不外排</w:t>
            </w:r>
            <w:r>
              <w:rPr>
                <w:rFonts w:hint="eastAsia" w:ascii="Times New Roman" w:hAnsi="Times New Roman" w:cs="Times New Roman"/>
                <w:color w:val="auto"/>
                <w:lang w:eastAsia="zh-CN"/>
              </w:rPr>
              <w:t>；</w:t>
            </w:r>
            <w:r>
              <w:rPr>
                <w:rFonts w:hint="eastAsia" w:ascii="Times New Roman" w:hAnsi="Times New Roman" w:eastAsia="宋体" w:cs="Times New Roman"/>
                <w:color w:val="auto"/>
                <w:lang w:eastAsia="zh-CN"/>
              </w:rPr>
              <w:t>初期雨水</w:t>
            </w:r>
            <w:r>
              <w:rPr>
                <w:rFonts w:hint="eastAsia" w:ascii="Times New Roman" w:hAnsi="Times New Roman" w:cs="Times New Roman"/>
                <w:color w:val="auto"/>
                <w:lang w:val="en-US" w:eastAsia="zh-CN"/>
              </w:rPr>
              <w:t>经</w:t>
            </w:r>
            <w:r>
              <w:rPr>
                <w:rFonts w:hint="eastAsia" w:ascii="Times New Roman" w:hAnsi="Times New Roman" w:eastAsia="宋体" w:cs="Times New Roman"/>
                <w:color w:val="auto"/>
                <w:lang w:eastAsia="zh-CN"/>
              </w:rPr>
              <w:t>隔油沉淀池预处理后进入一体化污水处理设备处理后，作为码头地面冲洗用水、道路喷洒用水、机械车辆冲洗用水及绿化用水</w:t>
            </w:r>
            <w:r>
              <w:rPr>
                <w:rFonts w:hint="eastAsia" w:ascii="Times New Roman" w:hAnsi="Times New Roman" w:cs="Times New Roman"/>
                <w:color w:val="auto"/>
                <w:lang w:eastAsia="zh-CN"/>
              </w:rPr>
              <w:t>；</w:t>
            </w:r>
            <w:r>
              <w:rPr>
                <w:rFonts w:hint="eastAsia" w:ascii="Times New Roman" w:hAnsi="Times New Roman" w:eastAsia="宋体" w:cs="Times New Roman"/>
                <w:color w:val="auto"/>
                <w:lang w:eastAsia="zh-CN"/>
              </w:rPr>
              <w:t>冲洗废水</w:t>
            </w:r>
            <w:r>
              <w:rPr>
                <w:rFonts w:hint="eastAsia" w:ascii="Times New Roman" w:hAnsi="Times New Roman" w:cs="Times New Roman"/>
                <w:color w:val="auto"/>
                <w:lang w:val="en-US" w:eastAsia="zh-CN"/>
              </w:rPr>
              <w:t>经</w:t>
            </w:r>
            <w:r>
              <w:rPr>
                <w:rFonts w:hint="eastAsia" w:ascii="Times New Roman" w:hAnsi="Times New Roman" w:eastAsia="宋体" w:cs="Times New Roman"/>
                <w:color w:val="auto"/>
                <w:lang w:eastAsia="zh-CN"/>
              </w:rPr>
              <w:t>隔油沉淀池预处理后进入一体化污水处理设备处理，处理后废水全部回用于码头地面冲洗、道路喷洒、机械车辆冲洗及绿化，不外排</w:t>
            </w:r>
            <w:r>
              <w:rPr>
                <w:rFonts w:hint="eastAsia" w:ascii="Times New Roman" w:hAnsi="Times New Roman" w:cs="Times New Roman"/>
                <w:color w:val="auto"/>
                <w:lang w:eastAsia="zh-CN"/>
              </w:rPr>
              <w:t>。</w:t>
            </w:r>
          </w:p>
        </w:tc>
        <w:tc>
          <w:tcPr>
            <w:tcW w:w="955" w:type="dxa"/>
            <w:noWrap w:val="0"/>
            <w:vAlign w:val="center"/>
          </w:tcPr>
          <w:p w14:paraId="44A60F8B">
            <w:pPr>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rPr>
              <w:t>符合</w:t>
            </w:r>
          </w:p>
        </w:tc>
      </w:tr>
      <w:tr w14:paraId="291FD3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91" w:type="dxa"/>
            <w:vMerge w:val="continue"/>
            <w:noWrap w:val="0"/>
            <w:vAlign w:val="center"/>
          </w:tcPr>
          <w:p w14:paraId="4A146579">
            <w:pPr>
              <w:keepNext w:val="0"/>
              <w:keepLines w:val="0"/>
              <w:widowControl/>
              <w:suppressLineNumbers w:val="0"/>
              <w:spacing w:before="0" w:beforeAutospacing="0" w:after="0" w:afterAutospacing="0" w:line="280" w:lineRule="exact"/>
              <w:ind w:left="0" w:right="0"/>
              <w:jc w:val="left"/>
              <w:rPr>
                <w:rFonts w:hint="eastAsia" w:ascii="Times New Roman" w:hAnsi="Times New Roman" w:eastAsia="宋体" w:cs="Times New Roman"/>
                <w:color w:val="auto"/>
                <w:lang w:val="en-US" w:eastAsia="zh-CN"/>
              </w:rPr>
            </w:pPr>
          </w:p>
        </w:tc>
        <w:tc>
          <w:tcPr>
            <w:tcW w:w="3820" w:type="dxa"/>
            <w:noWrap w:val="0"/>
            <w:vAlign w:val="center"/>
          </w:tcPr>
          <w:p w14:paraId="3FC29218">
            <w:pPr>
              <w:keepNext w:val="0"/>
              <w:keepLines w:val="0"/>
              <w:suppressLineNumbers w:val="0"/>
              <w:autoSpaceDE w:val="0"/>
              <w:autoSpaceDN w:val="0"/>
              <w:adjustRightInd w:val="0"/>
              <w:spacing w:before="0" w:beforeAutospacing="0" w:after="0" w:afterAutospacing="0"/>
              <w:ind w:left="0" w:right="0"/>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5 粉尘与废气</w:t>
            </w:r>
          </w:p>
          <w:p w14:paraId="0B90A9FA">
            <w:pPr>
              <w:keepNext w:val="0"/>
              <w:keepLines w:val="0"/>
              <w:suppressLineNumbers w:val="0"/>
              <w:autoSpaceDE w:val="0"/>
              <w:autoSpaceDN w:val="0"/>
              <w:adjustRightInd w:val="0"/>
              <w:spacing w:before="0" w:beforeAutospacing="0" w:after="0" w:afterAutospacing="0"/>
              <w:ind w:left="0" w:right="0"/>
              <w:rPr>
                <w:rFonts w:hint="default" w:ascii="Times New Roman" w:hAnsi="Times New Roman" w:cs="Times New Roman"/>
                <w:color w:val="auto"/>
                <w:kern w:val="0"/>
                <w:lang w:val="en-US" w:eastAsia="zh-CN"/>
              </w:rPr>
            </w:pPr>
            <w:r>
              <w:rPr>
                <w:rFonts w:hint="default" w:ascii="Times New Roman" w:hAnsi="Times New Roman" w:cs="Times New Roman"/>
                <w:color w:val="auto"/>
                <w:kern w:val="0"/>
                <w:lang w:val="en-US" w:eastAsia="zh-CN"/>
              </w:rPr>
              <w:t>煤炭矿石散粮散化肥水泥、沙石料等散装货物在输送装卸和堆存作业时产生的粉尘，应根据气象条件、粉尘性质及作业条件进行防尘和除尘控制方式的选择应通过技术经济分析确定</w:t>
            </w:r>
          </w:p>
        </w:tc>
        <w:tc>
          <w:tcPr>
            <w:tcW w:w="3120" w:type="dxa"/>
            <w:noWrap w:val="0"/>
            <w:vAlign w:val="center"/>
          </w:tcPr>
          <w:p w14:paraId="632C919B">
            <w:pPr>
              <w:keepNext w:val="0"/>
              <w:keepLines w:val="0"/>
              <w:suppressLineNumbers w:val="0"/>
              <w:autoSpaceDE w:val="0"/>
              <w:autoSpaceDN w:val="0"/>
              <w:adjustRightInd w:val="0"/>
              <w:spacing w:before="0" w:beforeAutospacing="0" w:after="0" w:afterAutospacing="0"/>
              <w:ind w:left="0" w:right="0"/>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本项目</w:t>
            </w:r>
            <w:r>
              <w:rPr>
                <w:rFonts w:hint="default" w:ascii="Times New Roman" w:hAnsi="Times New Roman" w:cs="Times New Roman"/>
                <w:color w:val="auto"/>
                <w:kern w:val="0"/>
                <w:lang w:val="en-US" w:eastAsia="zh-CN"/>
              </w:rPr>
              <w:t>装卸作业使用的装船机</w:t>
            </w:r>
            <w:r>
              <w:rPr>
                <w:rFonts w:hint="eastAsia" w:ascii="Times New Roman" w:hAnsi="Times New Roman" w:cs="Times New Roman"/>
                <w:color w:val="auto"/>
                <w:kern w:val="0"/>
                <w:lang w:val="en-US" w:eastAsia="zh-CN"/>
              </w:rPr>
              <w:t>皮带密闭，装船机</w:t>
            </w:r>
            <w:r>
              <w:rPr>
                <w:rFonts w:hint="default" w:ascii="Times New Roman" w:hAnsi="Times New Roman" w:cs="Times New Roman"/>
                <w:color w:val="auto"/>
                <w:kern w:val="0"/>
                <w:lang w:val="en-US" w:eastAsia="zh-CN"/>
              </w:rPr>
              <w:t>、</w:t>
            </w:r>
            <w:r>
              <w:rPr>
                <w:rFonts w:hint="eastAsia" w:ascii="Times New Roman" w:hAnsi="Times New Roman" w:cs="Times New Roman"/>
                <w:color w:val="auto"/>
                <w:kern w:val="0"/>
                <w:lang w:val="en-US" w:eastAsia="zh-CN"/>
              </w:rPr>
              <w:t>泊位处</w:t>
            </w:r>
            <w:r>
              <w:rPr>
                <w:rFonts w:hint="default" w:ascii="Times New Roman" w:hAnsi="Times New Roman" w:cs="Times New Roman"/>
                <w:color w:val="auto"/>
                <w:kern w:val="0"/>
                <w:lang w:val="en-US" w:eastAsia="zh-CN"/>
              </w:rPr>
              <w:t>设置喷雾洒水抑尘系统。本项目煤炭、矿建材料运输均采用绿色新能源载重车辆运输，港区采用吸尘式清扫车清理作业平台及道路等区域</w:t>
            </w:r>
            <w:r>
              <w:rPr>
                <w:rFonts w:hint="eastAsia" w:cs="Times New Roman"/>
                <w:color w:val="auto"/>
                <w:kern w:val="0"/>
                <w:lang w:val="en-US" w:eastAsia="zh-CN"/>
              </w:rPr>
              <w:t>，同时</w:t>
            </w:r>
            <w:r>
              <w:rPr>
                <w:rFonts w:hint="default" w:ascii="Times New Roman" w:hAnsi="Times New Roman" w:cs="Times New Roman"/>
                <w:color w:val="auto"/>
                <w:kern w:val="0"/>
                <w:lang w:val="en-US" w:eastAsia="zh-CN"/>
              </w:rPr>
              <w:t>加强码头区域绿化，发挥绿色植物吸尘滞尘、净化空气的作用。</w:t>
            </w:r>
          </w:p>
        </w:tc>
        <w:tc>
          <w:tcPr>
            <w:tcW w:w="955" w:type="dxa"/>
            <w:noWrap w:val="0"/>
            <w:vAlign w:val="center"/>
          </w:tcPr>
          <w:p w14:paraId="07AFD2AA">
            <w:pPr>
              <w:keepNext w:val="0"/>
              <w:keepLines w:val="0"/>
              <w:suppressLineNumbers w:val="0"/>
              <w:autoSpaceDE w:val="0"/>
              <w:autoSpaceDN w:val="0"/>
              <w:adjustRightInd w:val="0"/>
              <w:spacing w:before="0" w:beforeAutospacing="0" w:after="0" w:afterAutospacing="0"/>
              <w:ind w:left="0" w:right="0"/>
              <w:rPr>
                <w:rFonts w:hint="default" w:ascii="Times New Roman" w:hAnsi="Times New Roman" w:cs="Times New Roman"/>
                <w:color w:val="auto"/>
                <w:kern w:val="0"/>
                <w:lang w:val="en-US" w:eastAsia="zh-CN"/>
              </w:rPr>
            </w:pPr>
            <w:r>
              <w:rPr>
                <w:rFonts w:hint="default" w:ascii="Times New Roman" w:hAnsi="Times New Roman" w:cs="Times New Roman"/>
                <w:color w:val="auto"/>
                <w:kern w:val="0"/>
                <w:lang w:val="en-US" w:eastAsia="zh-CN"/>
              </w:rPr>
              <w:t>符合</w:t>
            </w:r>
          </w:p>
        </w:tc>
      </w:tr>
      <w:tr w14:paraId="627251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91" w:type="dxa"/>
            <w:vMerge w:val="continue"/>
            <w:noWrap w:val="0"/>
            <w:vAlign w:val="center"/>
          </w:tcPr>
          <w:p w14:paraId="6EB5F078">
            <w:pPr>
              <w:keepNext w:val="0"/>
              <w:keepLines w:val="0"/>
              <w:widowControl/>
              <w:suppressLineNumbers w:val="0"/>
              <w:spacing w:before="0" w:beforeAutospacing="0" w:after="0" w:afterAutospacing="0" w:line="280" w:lineRule="exact"/>
              <w:ind w:left="0" w:right="0"/>
              <w:jc w:val="left"/>
              <w:rPr>
                <w:rFonts w:hint="eastAsia" w:ascii="Times New Roman" w:hAnsi="Times New Roman" w:eastAsia="宋体" w:cs="Times New Roman"/>
                <w:color w:val="auto"/>
                <w:lang w:val="en-US" w:eastAsia="zh-CN"/>
              </w:rPr>
            </w:pPr>
          </w:p>
        </w:tc>
        <w:tc>
          <w:tcPr>
            <w:tcW w:w="3820" w:type="dxa"/>
            <w:noWrap w:val="0"/>
            <w:vAlign w:val="center"/>
          </w:tcPr>
          <w:p w14:paraId="5671E67F">
            <w:pPr>
              <w:keepNext w:val="0"/>
              <w:keepLines w:val="0"/>
              <w:suppressLineNumbers w:val="0"/>
              <w:autoSpaceDE w:val="0"/>
              <w:autoSpaceDN w:val="0"/>
              <w:adjustRightInd w:val="0"/>
              <w:spacing w:before="0" w:beforeAutospacing="0" w:after="0" w:afterAutospacing="0"/>
              <w:ind w:left="0" w:right="0"/>
              <w:rPr>
                <w:rFonts w:hint="default" w:ascii="Times New Roman" w:hAnsi="Times New Roman" w:cs="Times New Roman"/>
                <w:color w:val="auto"/>
                <w:kern w:val="0"/>
                <w:lang w:val="en-US" w:eastAsia="zh-CN"/>
              </w:rPr>
            </w:pPr>
            <w:r>
              <w:rPr>
                <w:rFonts w:hint="default" w:ascii="Times New Roman" w:hAnsi="Times New Roman" w:cs="Times New Roman"/>
                <w:color w:val="auto"/>
                <w:kern w:val="0"/>
                <w:lang w:val="en-US" w:eastAsia="zh-CN"/>
              </w:rPr>
              <w:t>6.11 水运工程选址和总平面布置应避免噪声对居住区的影响厂区内部高噪声作业区域宜远离居住区等敏感建筑</w:t>
            </w:r>
          </w:p>
          <w:p w14:paraId="143C79CF">
            <w:pPr>
              <w:keepNext w:val="0"/>
              <w:keepLines w:val="0"/>
              <w:suppressLineNumbers w:val="0"/>
              <w:autoSpaceDE w:val="0"/>
              <w:autoSpaceDN w:val="0"/>
              <w:adjustRightInd w:val="0"/>
              <w:spacing w:before="0" w:beforeAutospacing="0" w:after="0" w:afterAutospacing="0"/>
              <w:ind w:left="0" w:right="0"/>
              <w:rPr>
                <w:rFonts w:hint="default" w:ascii="Times New Roman" w:hAnsi="Times New Roman" w:cs="Times New Roman"/>
                <w:color w:val="auto"/>
                <w:kern w:val="0"/>
                <w:lang w:val="en-US" w:eastAsia="zh-CN"/>
              </w:rPr>
            </w:pPr>
            <w:r>
              <w:rPr>
                <w:rFonts w:hint="default" w:ascii="Times New Roman" w:hAnsi="Times New Roman" w:cs="Times New Roman"/>
                <w:color w:val="auto"/>
                <w:kern w:val="0"/>
                <w:lang w:val="en-US" w:eastAsia="zh-CN"/>
              </w:rPr>
              <w:t>6.13水运工程噪声排放应符合现行国家标准《工业企业厂界环境噪声排放标准》</w:t>
            </w:r>
            <w:r>
              <w:rPr>
                <w:rFonts w:hint="eastAsia" w:cs="Times New Roman"/>
                <w:color w:val="auto"/>
                <w:kern w:val="0"/>
                <w:lang w:val="en-US" w:eastAsia="zh-CN"/>
              </w:rPr>
              <w:t>（</w:t>
            </w:r>
            <w:r>
              <w:rPr>
                <w:rFonts w:hint="default" w:ascii="Times New Roman" w:hAnsi="Times New Roman" w:cs="Times New Roman"/>
                <w:color w:val="auto"/>
                <w:kern w:val="0"/>
                <w:lang w:val="en-US" w:eastAsia="zh-CN"/>
              </w:rPr>
              <w:t>GB12348)的有关规定对超过噪声排放标准的设备和区域应采取降低噪声的措施</w:t>
            </w:r>
            <w:r>
              <w:rPr>
                <w:rFonts w:hint="eastAsia" w:cs="Times New Roman"/>
                <w:color w:val="auto"/>
                <w:kern w:val="0"/>
                <w:lang w:val="en-US" w:eastAsia="zh-CN"/>
              </w:rPr>
              <w:t>。</w:t>
            </w:r>
          </w:p>
        </w:tc>
        <w:tc>
          <w:tcPr>
            <w:tcW w:w="3120" w:type="dxa"/>
            <w:noWrap w:val="0"/>
            <w:vAlign w:val="center"/>
          </w:tcPr>
          <w:p w14:paraId="10596538">
            <w:pPr>
              <w:keepNext w:val="0"/>
              <w:keepLines w:val="0"/>
              <w:suppressLineNumbers w:val="0"/>
              <w:spacing w:before="0" w:beforeAutospacing="0" w:after="0" w:afterAutospacing="0"/>
              <w:ind w:left="0" w:right="0"/>
              <w:jc w:val="center"/>
              <w:rPr>
                <w:rFonts w:hint="eastAsia"/>
                <w:color w:val="auto"/>
                <w:lang w:val="en-US" w:eastAsia="zh-CN"/>
              </w:rPr>
            </w:pPr>
            <w:r>
              <w:rPr>
                <w:rFonts w:hint="eastAsia" w:ascii="Times New Roman" w:hAnsi="Times New Roman" w:cs="Times New Roman"/>
                <w:color w:val="auto"/>
                <w:sz w:val="21"/>
              </w:rPr>
              <w:t>本</w:t>
            </w:r>
            <w:r>
              <w:rPr>
                <w:rFonts w:hint="default" w:ascii="Times New Roman" w:hAnsi="Times New Roman" w:cs="Times New Roman"/>
                <w:color w:val="auto"/>
                <w:sz w:val="21"/>
              </w:rPr>
              <w:t>项目装载</w:t>
            </w:r>
            <w:r>
              <w:rPr>
                <w:rFonts w:hint="eastAsia" w:ascii="Times New Roman" w:hAnsi="Times New Roman" w:cs="Times New Roman"/>
                <w:color w:val="auto"/>
                <w:sz w:val="21"/>
              </w:rPr>
              <w:t>机械</w:t>
            </w:r>
            <w:r>
              <w:rPr>
                <w:rFonts w:hint="eastAsia" w:cs="Times New Roman"/>
                <w:color w:val="auto"/>
                <w:sz w:val="21"/>
                <w:lang w:val="en-US" w:eastAsia="zh-CN"/>
              </w:rPr>
              <w:t>集中</w:t>
            </w:r>
            <w:r>
              <w:rPr>
                <w:rFonts w:hint="default" w:ascii="Times New Roman" w:hAnsi="Times New Roman" w:cs="Times New Roman"/>
                <w:color w:val="auto"/>
                <w:sz w:val="21"/>
              </w:rPr>
              <w:t>位于2#泊位，港区</w:t>
            </w:r>
            <w:r>
              <w:rPr>
                <w:rFonts w:hint="eastAsia" w:ascii="Times New Roman" w:hAnsi="Times New Roman" w:cs="Times New Roman"/>
                <w:color w:val="auto"/>
                <w:sz w:val="21"/>
              </w:rPr>
              <w:t>管理房布置在码头陆域后方，为活动车载式钢结构管理房，汛期可以方便撤离</w:t>
            </w:r>
            <w:r>
              <w:rPr>
                <w:rFonts w:hint="default" w:ascii="Times New Roman" w:hAnsi="Times New Roman" w:cs="Times New Roman"/>
                <w:color w:val="auto"/>
                <w:sz w:val="21"/>
              </w:rPr>
              <w:t>，距离</w:t>
            </w:r>
            <w:r>
              <w:rPr>
                <w:rFonts w:hint="eastAsia" w:ascii="Times New Roman" w:hAnsi="Times New Roman" w:cs="Times New Roman"/>
                <w:color w:val="auto"/>
                <w:sz w:val="21"/>
                <w:lang w:val="en-US" w:eastAsia="zh-CN"/>
              </w:rPr>
              <w:t>本码头</w:t>
            </w:r>
            <w:r>
              <w:rPr>
                <w:rFonts w:hint="default" w:ascii="Times New Roman" w:hAnsi="Times New Roman" w:cs="Times New Roman"/>
                <w:color w:val="auto"/>
                <w:sz w:val="21"/>
              </w:rPr>
              <w:t>生产区较远</w:t>
            </w:r>
            <w:r>
              <w:rPr>
                <w:rFonts w:hint="eastAsia" w:cs="Times New Roman"/>
                <w:color w:val="auto"/>
                <w:sz w:val="21"/>
                <w:lang w:val="en-US" w:eastAsia="zh-CN"/>
              </w:rPr>
              <w:t>距</w:t>
            </w:r>
            <w:r>
              <w:rPr>
                <w:rFonts w:hint="eastAsia" w:ascii="Times New Roman" w:hAnsi="Times New Roman" w:cs="Times New Roman"/>
                <w:color w:val="auto"/>
                <w:sz w:val="21"/>
                <w:lang w:val="en-US" w:eastAsia="zh-CN"/>
              </w:rPr>
              <w:t>周边敏感点</w:t>
            </w:r>
            <w:r>
              <w:rPr>
                <w:rFonts w:hint="eastAsia"/>
                <w:color w:val="auto"/>
              </w:rPr>
              <w:t>陶郢孜</w:t>
            </w:r>
            <w:r>
              <w:rPr>
                <w:rFonts w:hint="eastAsia"/>
                <w:color w:val="auto"/>
                <w:lang w:eastAsia="zh-CN"/>
              </w:rPr>
              <w:t>（</w:t>
            </w:r>
            <w:r>
              <w:rPr>
                <w:rFonts w:hint="eastAsia"/>
                <w:color w:val="auto"/>
                <w:lang w:val="en-US" w:eastAsia="zh-CN"/>
              </w:rPr>
              <w:t>约100m</w:t>
            </w:r>
            <w:r>
              <w:rPr>
                <w:rFonts w:hint="eastAsia"/>
                <w:color w:val="auto"/>
                <w:lang w:eastAsia="zh-CN"/>
              </w:rPr>
              <w:t>）</w:t>
            </w:r>
            <w:r>
              <w:rPr>
                <w:rFonts w:hint="eastAsia"/>
                <w:color w:val="auto"/>
                <w:lang w:val="en-US" w:eastAsia="zh-CN"/>
              </w:rPr>
              <w:t>较远；</w:t>
            </w:r>
          </w:p>
          <w:p w14:paraId="6C333F5B">
            <w:pPr>
              <w:pStyle w:val="24"/>
              <w:keepNext w:val="0"/>
              <w:keepLines w:val="0"/>
              <w:suppressLineNumbers w:val="0"/>
              <w:spacing w:before="0" w:beforeAutospacing="0" w:afterAutospacing="0"/>
              <w:ind w:left="0" w:right="0"/>
              <w:rPr>
                <w:rFonts w:hint="eastAsia"/>
                <w:color w:val="auto"/>
              </w:rPr>
            </w:pPr>
            <w:r>
              <w:rPr>
                <w:rFonts w:hint="eastAsia"/>
                <w:color w:val="auto"/>
                <w:lang w:val="en-US" w:eastAsia="zh-CN"/>
              </w:rPr>
              <w:t>本项目噪声排放符合</w:t>
            </w:r>
            <w:r>
              <w:rPr>
                <w:rFonts w:hint="default" w:ascii="Times New Roman" w:hAnsi="Times New Roman" w:cs="Times New Roman"/>
                <w:color w:val="auto"/>
                <w:kern w:val="0"/>
                <w:lang w:val="en-US" w:eastAsia="zh-CN"/>
              </w:rPr>
              <w:t>《工业企业厂界环境噪声排放标准》</w:t>
            </w:r>
            <w:r>
              <w:rPr>
                <w:rFonts w:hint="eastAsia" w:cs="Times New Roman"/>
                <w:color w:val="auto"/>
                <w:kern w:val="0"/>
                <w:lang w:val="en-US" w:eastAsia="zh-CN"/>
              </w:rPr>
              <w:t>（</w:t>
            </w:r>
            <w:r>
              <w:rPr>
                <w:rFonts w:hint="default" w:ascii="Times New Roman" w:hAnsi="Times New Roman" w:cs="Times New Roman"/>
                <w:color w:val="auto"/>
                <w:kern w:val="0"/>
                <w:lang w:val="en-US" w:eastAsia="zh-CN"/>
              </w:rPr>
              <w:t>GB12348)</w:t>
            </w:r>
            <w:r>
              <w:rPr>
                <w:rFonts w:hint="eastAsia" w:cs="Times New Roman"/>
                <w:color w:val="auto"/>
                <w:kern w:val="0"/>
                <w:lang w:val="en-US" w:eastAsia="zh-CN"/>
              </w:rPr>
              <w:t>，同时本项目运营期</w:t>
            </w:r>
            <w:r>
              <w:rPr>
                <w:rFonts w:hint="default"/>
                <w:color w:val="auto"/>
              </w:rPr>
              <w:t>采取绿化、隔声、减振、</w:t>
            </w:r>
            <w:r>
              <w:rPr>
                <w:rFonts w:hint="eastAsia"/>
                <w:color w:val="auto"/>
                <w:lang w:eastAsia="zh-CN"/>
              </w:rPr>
              <w:t>采取</w:t>
            </w:r>
            <w:r>
              <w:rPr>
                <w:rFonts w:hint="default"/>
                <w:color w:val="auto"/>
              </w:rPr>
              <w:t>低噪声设备等措施</w:t>
            </w:r>
            <w:r>
              <w:rPr>
                <w:rFonts w:hint="eastAsia"/>
                <w:color w:val="auto"/>
              </w:rPr>
              <w:t>。</w:t>
            </w:r>
          </w:p>
        </w:tc>
        <w:tc>
          <w:tcPr>
            <w:tcW w:w="955" w:type="dxa"/>
            <w:noWrap w:val="0"/>
            <w:vAlign w:val="center"/>
          </w:tcPr>
          <w:p w14:paraId="7746E47F">
            <w:pPr>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rPr>
              <w:t>符合</w:t>
            </w:r>
          </w:p>
        </w:tc>
      </w:tr>
      <w:tr w14:paraId="39CADD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391" w:type="dxa"/>
            <w:vMerge w:val="continue"/>
            <w:noWrap w:val="0"/>
            <w:vAlign w:val="center"/>
          </w:tcPr>
          <w:p w14:paraId="18B445F4">
            <w:pPr>
              <w:keepNext w:val="0"/>
              <w:keepLines w:val="0"/>
              <w:widowControl/>
              <w:suppressLineNumbers w:val="0"/>
              <w:spacing w:before="0" w:beforeAutospacing="0" w:after="0" w:afterAutospacing="0" w:line="280" w:lineRule="exact"/>
              <w:ind w:left="0" w:right="0"/>
              <w:jc w:val="left"/>
              <w:rPr>
                <w:rFonts w:hint="eastAsia" w:ascii="Times New Roman" w:hAnsi="Times New Roman" w:eastAsia="宋体" w:cs="Times New Roman"/>
                <w:color w:val="auto"/>
                <w:lang w:val="en-US" w:eastAsia="zh-CN"/>
              </w:rPr>
            </w:pPr>
          </w:p>
        </w:tc>
        <w:tc>
          <w:tcPr>
            <w:tcW w:w="3820" w:type="dxa"/>
            <w:noWrap w:val="0"/>
            <w:vAlign w:val="center"/>
          </w:tcPr>
          <w:p w14:paraId="0CF86750">
            <w:pPr>
              <w:keepNext w:val="0"/>
              <w:keepLines w:val="0"/>
              <w:suppressLineNumbers w:val="0"/>
              <w:autoSpaceDE w:val="0"/>
              <w:autoSpaceDN w:val="0"/>
              <w:adjustRightInd w:val="0"/>
              <w:spacing w:before="0" w:beforeAutospacing="0" w:after="0" w:afterAutospacing="0"/>
              <w:ind w:left="0" w:right="0"/>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7 固体废物：</w:t>
            </w:r>
          </w:p>
          <w:p w14:paraId="357F48AB">
            <w:pPr>
              <w:keepNext w:val="0"/>
              <w:keepLines w:val="0"/>
              <w:suppressLineNumbers w:val="0"/>
              <w:autoSpaceDE w:val="0"/>
              <w:autoSpaceDN w:val="0"/>
              <w:adjustRightInd w:val="0"/>
              <w:spacing w:before="0" w:beforeAutospacing="0" w:after="0" w:afterAutospacing="0"/>
              <w:ind w:left="0" w:right="0"/>
              <w:rPr>
                <w:rFonts w:hint="default" w:ascii="Times New Roman" w:hAnsi="Times New Roman" w:cs="Times New Roman"/>
                <w:color w:val="auto"/>
                <w:kern w:val="0"/>
                <w:lang w:val="en-US" w:eastAsia="zh-CN"/>
              </w:rPr>
            </w:pPr>
            <w:r>
              <w:rPr>
                <w:rFonts w:hint="default" w:ascii="Times New Roman" w:hAnsi="Times New Roman" w:cs="Times New Roman"/>
                <w:color w:val="auto"/>
                <w:kern w:val="0"/>
                <w:lang w:val="en-US" w:eastAsia="zh-CN"/>
              </w:rPr>
              <w:t>接收的船垃圾和陆域固体废物应分类收集</w:t>
            </w:r>
            <w:r>
              <w:rPr>
                <w:rFonts w:hint="eastAsia" w:cs="Times New Roman"/>
                <w:color w:val="auto"/>
                <w:kern w:val="0"/>
                <w:lang w:val="en-US" w:eastAsia="zh-CN"/>
              </w:rPr>
              <w:t>并纳入</w:t>
            </w:r>
            <w:r>
              <w:rPr>
                <w:rFonts w:hint="default" w:ascii="Times New Roman" w:hAnsi="Times New Roman" w:cs="Times New Roman"/>
                <w:color w:val="auto"/>
                <w:kern w:val="0"/>
                <w:lang w:val="en-US" w:eastAsia="zh-CN"/>
              </w:rPr>
              <w:t>工程所在地市政固体废物接收处置系统</w:t>
            </w:r>
            <w:r>
              <w:rPr>
                <w:rFonts w:hint="eastAsia" w:cs="Times New Roman"/>
                <w:color w:val="auto"/>
                <w:kern w:val="0"/>
                <w:lang w:val="en-US" w:eastAsia="zh-CN"/>
              </w:rPr>
              <w:t>。</w:t>
            </w:r>
          </w:p>
        </w:tc>
        <w:tc>
          <w:tcPr>
            <w:tcW w:w="3120" w:type="dxa"/>
            <w:noWrap w:val="0"/>
            <w:vAlign w:val="center"/>
          </w:tcPr>
          <w:p w14:paraId="301AFC9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各类生活垃圾经收集后定期由环卫部门清运。沉淀池沉渣交当地环卫部门统一收集处理。隔油沉淀池含油污泥采用专用桶收集后暂存于危险废物暂存库中及时送有资质单位处理，港区设置一座危险废物暂存间</w:t>
            </w:r>
          </w:p>
        </w:tc>
        <w:tc>
          <w:tcPr>
            <w:tcW w:w="955" w:type="dxa"/>
            <w:noWrap w:val="0"/>
            <w:vAlign w:val="center"/>
          </w:tcPr>
          <w:p w14:paraId="290B83E2">
            <w:pPr>
              <w:keepNext w:val="0"/>
              <w:keepLines w:val="0"/>
              <w:suppressLineNumbers w:val="0"/>
              <w:spacing w:before="0" w:beforeAutospacing="0" w:after="0" w:afterAutospacing="0" w:line="280" w:lineRule="exact"/>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highlight w:val="none"/>
              </w:rPr>
              <w:t>符合</w:t>
            </w:r>
          </w:p>
        </w:tc>
      </w:tr>
    </w:tbl>
    <w:p w14:paraId="7C547504">
      <w:pPr>
        <w:pStyle w:val="4"/>
        <w:numPr>
          <w:ilvl w:val="0"/>
          <w:numId w:val="0"/>
        </w:numPr>
        <w:rPr>
          <w:color w:val="auto"/>
        </w:rPr>
      </w:pPr>
      <w:r>
        <w:rPr>
          <w:rFonts w:hint="eastAsia"/>
          <w:color w:val="auto"/>
        </w:rPr>
        <w:t>2.5.8与《港口建设项目环境影响评价文件审批原则》相符性</w:t>
      </w:r>
      <w:r>
        <w:rPr>
          <w:color w:val="auto"/>
        </w:rPr>
        <w:t>分析</w:t>
      </w:r>
    </w:p>
    <w:p w14:paraId="7C86EAAE">
      <w:pPr>
        <w:spacing w:line="360" w:lineRule="auto"/>
        <w:ind w:firstLine="480" w:firstLineChars="200"/>
        <w:rPr>
          <w:color w:val="auto"/>
          <w:sz w:val="24"/>
        </w:rPr>
      </w:pPr>
      <w:r>
        <w:rPr>
          <w:rFonts w:hint="eastAsia"/>
          <w:color w:val="auto"/>
          <w:sz w:val="24"/>
        </w:rPr>
        <w:t>本项目与《港口建设项目环境影响评价文件审批原则》相符性</w:t>
      </w:r>
      <w:r>
        <w:rPr>
          <w:color w:val="auto"/>
          <w:sz w:val="24"/>
        </w:rPr>
        <w:t>分析</w:t>
      </w:r>
      <w:r>
        <w:rPr>
          <w:rFonts w:hint="eastAsia"/>
          <w:color w:val="auto"/>
          <w:sz w:val="24"/>
        </w:rPr>
        <w:t>见表</w:t>
      </w:r>
      <w:r>
        <w:rPr>
          <w:color w:val="auto"/>
          <w:sz w:val="24"/>
        </w:rPr>
        <w:t>2.5-6</w:t>
      </w:r>
      <w:r>
        <w:rPr>
          <w:rFonts w:hint="eastAsia"/>
          <w:color w:val="auto"/>
          <w:sz w:val="24"/>
        </w:rPr>
        <w:t>。</w:t>
      </w:r>
    </w:p>
    <w:p w14:paraId="46A7F4CF">
      <w:pPr>
        <w:pStyle w:val="256"/>
        <w:spacing w:line="400" w:lineRule="exact"/>
        <w:ind w:firstLine="0" w:firstLineChars="0"/>
        <w:jc w:val="center"/>
        <w:rPr>
          <w:rFonts w:hint="eastAsia" w:ascii="Times New Roman" w:hAnsi="Times New Roman" w:eastAsia="黑体"/>
          <w:color w:val="auto"/>
          <w:sz w:val="24"/>
        </w:rPr>
      </w:pPr>
      <w:r>
        <w:rPr>
          <w:rFonts w:hint="eastAsia" w:ascii="Times New Roman" w:hAnsi="Times New Roman" w:eastAsia="黑体"/>
          <w:color w:val="auto"/>
          <w:sz w:val="24"/>
        </w:rPr>
        <w:t>表</w:t>
      </w:r>
      <w:r>
        <w:rPr>
          <w:rFonts w:ascii="Times New Roman" w:hAnsi="Times New Roman" w:eastAsia="黑体"/>
          <w:color w:val="auto"/>
          <w:sz w:val="24"/>
        </w:rPr>
        <w:t xml:space="preserve">2.5-6 </w:t>
      </w:r>
      <w:r>
        <w:rPr>
          <w:rFonts w:hint="eastAsia" w:ascii="Times New Roman" w:hAnsi="Times New Roman" w:eastAsia="黑体"/>
          <w:color w:val="auto"/>
          <w:sz w:val="24"/>
        </w:rPr>
        <w:t xml:space="preserve"> 与《港口建设项目环境影响评价文件审批原则》相符性</w:t>
      </w:r>
      <w:r>
        <w:rPr>
          <w:rFonts w:ascii="Times New Roman" w:hAnsi="Times New Roman" w:eastAsia="黑体"/>
          <w:color w:val="auto"/>
          <w:sz w:val="24"/>
        </w:rPr>
        <w:t>分析</w:t>
      </w:r>
      <w:r>
        <w:rPr>
          <w:rFonts w:hint="eastAsia" w:ascii="Times New Roman" w:hAnsi="Times New Roman" w:eastAsia="黑体"/>
          <w:color w:val="auto"/>
          <w:sz w:val="24"/>
        </w:rPr>
        <w:t>表</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09"/>
        <w:gridCol w:w="4468"/>
        <w:gridCol w:w="3369"/>
        <w:gridCol w:w="840"/>
      </w:tblGrid>
      <w:tr w14:paraId="477C31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9" w:type="dxa"/>
            <w:noWrap w:val="0"/>
            <w:vAlign w:val="center"/>
          </w:tcPr>
          <w:p w14:paraId="32474C56">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序号</w:t>
            </w:r>
          </w:p>
        </w:tc>
        <w:tc>
          <w:tcPr>
            <w:tcW w:w="4468" w:type="dxa"/>
            <w:noWrap w:val="0"/>
            <w:vAlign w:val="center"/>
          </w:tcPr>
          <w:p w14:paraId="2C639936">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审批原则</w:t>
            </w:r>
          </w:p>
        </w:tc>
        <w:tc>
          <w:tcPr>
            <w:tcW w:w="3369" w:type="dxa"/>
            <w:noWrap w:val="0"/>
            <w:vAlign w:val="center"/>
          </w:tcPr>
          <w:p w14:paraId="4FA1D0CA">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本项目</w:t>
            </w:r>
          </w:p>
        </w:tc>
        <w:tc>
          <w:tcPr>
            <w:tcW w:w="840" w:type="dxa"/>
            <w:noWrap w:val="0"/>
            <w:vAlign w:val="center"/>
          </w:tcPr>
          <w:p w14:paraId="2B61B7CF">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相符性</w:t>
            </w:r>
          </w:p>
        </w:tc>
      </w:tr>
      <w:tr w14:paraId="55CB5B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9" w:type="dxa"/>
            <w:noWrap w:val="0"/>
            <w:vAlign w:val="center"/>
          </w:tcPr>
          <w:p w14:paraId="4D7869D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4468" w:type="dxa"/>
            <w:noWrap w:val="0"/>
            <w:vAlign w:val="center"/>
          </w:tcPr>
          <w:p w14:paraId="2A28700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项目符合环境保护相关法律法规和政策要求，与主体功能区规划、近岸海域环境功能区划、水环境功能区划、生态功能区划、海洋功能区划、生态环境保护规划、港口总体规划、流域规划等相协调，满足相关规划环评要求。</w:t>
            </w:r>
          </w:p>
        </w:tc>
        <w:tc>
          <w:tcPr>
            <w:tcW w:w="3369" w:type="dxa"/>
            <w:noWrap w:val="0"/>
            <w:vAlign w:val="center"/>
          </w:tcPr>
          <w:p w14:paraId="46CCBE4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本项目建设符合《淮南港总体规划（2035年）》及其规划环评的要求</w:t>
            </w:r>
          </w:p>
        </w:tc>
        <w:tc>
          <w:tcPr>
            <w:tcW w:w="840" w:type="dxa"/>
            <w:noWrap w:val="0"/>
            <w:vAlign w:val="center"/>
          </w:tcPr>
          <w:p w14:paraId="2DD9538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符合</w:t>
            </w:r>
          </w:p>
        </w:tc>
      </w:tr>
      <w:tr w14:paraId="747DE8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9" w:type="dxa"/>
            <w:noWrap w:val="0"/>
            <w:vAlign w:val="center"/>
          </w:tcPr>
          <w:p w14:paraId="017C852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4468" w:type="dxa"/>
            <w:noWrap w:val="0"/>
            <w:vAlign w:val="center"/>
          </w:tcPr>
          <w:p w14:paraId="305A793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项目选址、施工布置不占用自然保护区、风景名胜区、世界文化和自然遗产地、饮用水水源保护区以及其他生态保护红线等环境敏感区中法律法规禁止占用的区域。通过优化项目主要污染源和风险源的平面布置，与居民集中区等环境敏感区的距离科学合理。</w:t>
            </w:r>
          </w:p>
        </w:tc>
        <w:tc>
          <w:tcPr>
            <w:tcW w:w="3369" w:type="dxa"/>
            <w:noWrap w:val="0"/>
            <w:vAlign w:val="center"/>
          </w:tcPr>
          <w:p w14:paraId="2C26ADBA">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项目选址、施工布置不占用自然保护区、风景名胜区、饮用水源保护区以及其他生态保护红线等环境敏感区中法律法规禁止占用的区域</w:t>
            </w:r>
            <w:r>
              <w:rPr>
                <w:rFonts w:hint="eastAsia" w:ascii="Times New Roman" w:hAnsi="Times New Roman" w:cs="Times New Roman"/>
                <w:color w:val="auto"/>
              </w:rPr>
              <w:t>；本项目的选址、方案、施工和运行是可接受的。</w:t>
            </w:r>
          </w:p>
        </w:tc>
        <w:tc>
          <w:tcPr>
            <w:tcW w:w="840" w:type="dxa"/>
            <w:noWrap w:val="0"/>
            <w:vAlign w:val="center"/>
          </w:tcPr>
          <w:p w14:paraId="4DFD554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符合</w:t>
            </w:r>
          </w:p>
        </w:tc>
      </w:tr>
      <w:tr w14:paraId="437B11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9" w:type="dxa"/>
            <w:noWrap w:val="0"/>
            <w:vAlign w:val="center"/>
          </w:tcPr>
          <w:p w14:paraId="1B6A371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4468" w:type="dxa"/>
            <w:noWrap w:val="0"/>
            <w:vAlign w:val="center"/>
          </w:tcPr>
          <w:p w14:paraId="14F0E5B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项目对鱼类等水生生物的洄游通道及“三场”等重要生境、物种多样性及资源量产生不利影响的，提出了工程设计和施工方案优化、施工噪声及振动控制、施工期监控驱赶救助、迁地保护、增殖放流、</w:t>
            </w:r>
            <w:r>
              <w:rPr>
                <w:rFonts w:hint="eastAsia" w:cs="Times New Roman"/>
                <w:color w:val="auto"/>
                <w:lang w:eastAsia="zh-CN"/>
              </w:rPr>
              <w:t>人工渔礁</w:t>
            </w:r>
            <w:r>
              <w:rPr>
                <w:rFonts w:hint="default" w:ascii="Times New Roman" w:hAnsi="Times New Roman" w:cs="Times New Roman"/>
                <w:color w:val="auto"/>
              </w:rPr>
              <w:t>及其他生态修复措施。对湿地生态系统结构和功能、河湖生态缓冲带造成不利影响的，提出了优化工程设计、生态修复等措施。对陆域生态造成不利影响的，提出了避让环境敏感区、生态修复等对策。</w:t>
            </w:r>
          </w:p>
          <w:p w14:paraId="67CBC90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在采取上述措施后，对水生生物的不利影响能够得到缓解和控制，不会造成原有珍稀濒危保护或重要经济水生生物在相关河段、湖泊或海域消失，不会对区域生态系统造成重大不利影响。</w:t>
            </w:r>
          </w:p>
        </w:tc>
        <w:tc>
          <w:tcPr>
            <w:tcW w:w="3369" w:type="dxa"/>
            <w:noWrap w:val="0"/>
            <w:vAlign w:val="center"/>
          </w:tcPr>
          <w:p w14:paraId="769C48D7">
            <w:pPr>
              <w:keepNext w:val="0"/>
              <w:keepLines w:val="0"/>
              <w:suppressLineNumbers w:val="0"/>
              <w:spacing w:before="0" w:beforeAutospacing="0" w:after="0" w:afterAutospacing="0"/>
              <w:ind w:left="0" w:right="0"/>
              <w:jc w:val="left"/>
              <w:rPr>
                <w:rFonts w:hint="default" w:ascii="Times New Roman" w:hAnsi="Times New Roman" w:cs="Times New Roman"/>
                <w:color w:val="auto"/>
              </w:rPr>
            </w:pPr>
            <w:r>
              <w:rPr>
                <w:rFonts w:hint="eastAsia" w:ascii="Times New Roman" w:hAnsi="Times New Roman" w:cs="Times New Roman"/>
                <w:color w:val="auto"/>
              </w:rPr>
              <w:t>拟建</w:t>
            </w:r>
            <w:r>
              <w:rPr>
                <w:rFonts w:hint="default" w:ascii="Times New Roman" w:hAnsi="Times New Roman" w:cs="Times New Roman"/>
                <w:color w:val="auto"/>
              </w:rPr>
              <w:t>项目码头所在</w:t>
            </w:r>
            <w:r>
              <w:rPr>
                <w:rFonts w:hint="eastAsia" w:ascii="Times New Roman" w:hAnsi="Times New Roman" w:cs="Times New Roman"/>
                <w:color w:val="auto"/>
              </w:rPr>
              <w:t>淮</w:t>
            </w:r>
            <w:r>
              <w:rPr>
                <w:rFonts w:hint="default" w:ascii="Times New Roman" w:hAnsi="Times New Roman" w:cs="Times New Roman"/>
                <w:color w:val="auto"/>
              </w:rPr>
              <w:t>河不涉及鱼类等水生生物的洄游通道及“三场”等重要生境</w:t>
            </w:r>
            <w:r>
              <w:rPr>
                <w:rFonts w:hint="eastAsia" w:ascii="Times New Roman" w:hAnsi="Times New Roman" w:cs="Times New Roman"/>
                <w:color w:val="auto"/>
                <w:lang w:eastAsia="zh-CN"/>
              </w:rPr>
              <w:t>（淮河淮南段长吻鮠水产种质资源</w:t>
            </w:r>
            <w:r>
              <w:rPr>
                <w:rFonts w:hint="eastAsia" w:ascii="Times New Roman" w:hAnsi="Times New Roman" w:cs="Times New Roman"/>
                <w:color w:val="auto"/>
                <w:lang w:val="en-US" w:eastAsia="zh-CN"/>
              </w:rPr>
              <w:t>实验区不涉及长吻鮠</w:t>
            </w:r>
            <w:r>
              <w:rPr>
                <w:rFonts w:hint="eastAsia" w:ascii="Times New Roman" w:hAnsi="Times New Roman" w:cs="Times New Roman"/>
                <w:color w:val="auto"/>
                <w:lang w:eastAsia="zh-CN"/>
              </w:rPr>
              <w:t>产卵场、索饵场和越冬场）</w:t>
            </w:r>
            <w:r>
              <w:rPr>
                <w:rFonts w:hint="default" w:ascii="Times New Roman" w:hAnsi="Times New Roman" w:cs="Times New Roman"/>
                <w:color w:val="auto"/>
              </w:rPr>
              <w:t>；</w:t>
            </w:r>
            <w:r>
              <w:rPr>
                <w:rFonts w:hint="eastAsia" w:ascii="Times New Roman" w:hAnsi="Times New Roman" w:cs="Times New Roman"/>
                <w:color w:val="auto"/>
              </w:rPr>
              <w:t>工程</w:t>
            </w:r>
            <w:r>
              <w:rPr>
                <w:rFonts w:hint="default" w:ascii="Times New Roman" w:hAnsi="Times New Roman" w:cs="Times New Roman"/>
                <w:color w:val="auto"/>
              </w:rPr>
              <w:t>占地</w:t>
            </w:r>
            <w:r>
              <w:rPr>
                <w:rFonts w:hint="eastAsia" w:ascii="Times New Roman" w:hAnsi="Times New Roman" w:cs="Times New Roman"/>
                <w:color w:val="auto"/>
              </w:rPr>
              <w:t>及抛泥区</w:t>
            </w:r>
            <w:r>
              <w:rPr>
                <w:rFonts w:hint="default" w:ascii="Times New Roman" w:hAnsi="Times New Roman" w:cs="Times New Roman"/>
                <w:color w:val="auto"/>
              </w:rPr>
              <w:t>不涉及环境敏感区及生态保护红线。</w:t>
            </w:r>
          </w:p>
          <w:p w14:paraId="3044F72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本次评价针对施工期的环境影响，提出了施工方案优化、施工噪声、环保疏浚的要求；采取相应的环保措施后，本项目的建设不会对区域生态系统造成重大不利影响。</w:t>
            </w:r>
          </w:p>
        </w:tc>
        <w:tc>
          <w:tcPr>
            <w:tcW w:w="840" w:type="dxa"/>
            <w:noWrap w:val="0"/>
            <w:vAlign w:val="center"/>
          </w:tcPr>
          <w:p w14:paraId="0BE3EB5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符合</w:t>
            </w:r>
          </w:p>
        </w:tc>
      </w:tr>
      <w:tr w14:paraId="14E9F9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9" w:type="dxa"/>
            <w:noWrap w:val="0"/>
            <w:vAlign w:val="center"/>
          </w:tcPr>
          <w:p w14:paraId="63734AA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4</w:t>
            </w:r>
          </w:p>
        </w:tc>
        <w:tc>
          <w:tcPr>
            <w:tcW w:w="4468" w:type="dxa"/>
            <w:noWrap w:val="0"/>
            <w:vAlign w:val="center"/>
          </w:tcPr>
          <w:p w14:paraId="31C756E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项目布置及水工构筑物改变水文情势，造成水体交换、水污染物扩散能力降低且影响水质的，提出了工程优化调整措施。针对冲洗污水、初期雨污水、含尘废水、含油污水、洗箱（罐）废水、生活污水等，提出了收集、处置措施。</w:t>
            </w:r>
          </w:p>
          <w:p w14:paraId="2C5743B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在采取上述措施后，废（污）水能够得到妥善处置，排放、回用或综合利用均符合相关标准，排污口设置符合相关要求。</w:t>
            </w:r>
          </w:p>
        </w:tc>
        <w:tc>
          <w:tcPr>
            <w:tcW w:w="3369" w:type="dxa"/>
            <w:noWrap w:val="0"/>
            <w:vAlign w:val="center"/>
          </w:tcPr>
          <w:p w14:paraId="0E5B8241">
            <w:pPr>
              <w:keepNext w:val="0"/>
              <w:keepLines w:val="0"/>
              <w:suppressLineNumbers w:val="0"/>
              <w:spacing w:before="0" w:beforeAutospacing="0" w:after="0" w:afterAutospacing="0"/>
              <w:ind w:left="0" w:right="0"/>
              <w:jc w:val="left"/>
              <w:rPr>
                <w:rFonts w:hint="default" w:ascii="Times New Roman" w:hAnsi="Times New Roman" w:cs="Times New Roman"/>
                <w:color w:val="auto"/>
                <w:highlight w:val="cyan"/>
              </w:rPr>
            </w:pPr>
            <w:r>
              <w:rPr>
                <w:rFonts w:hint="eastAsia" w:ascii="Times New Roman" w:hAnsi="Times New Roman" w:cs="Times New Roman"/>
                <w:color w:val="auto"/>
              </w:rPr>
              <w:t>码头采用高桩梁板结构，拟建</w:t>
            </w:r>
            <w:r>
              <w:rPr>
                <w:rFonts w:hint="default" w:ascii="Times New Roman" w:hAnsi="Times New Roman" w:cs="Times New Roman"/>
                <w:color w:val="auto"/>
              </w:rPr>
              <w:t>项目泊位采用顺岸连片式布置型式，采用挖入式港池布置型式，并采用重力式结构。码头泊位不直接占用河道，结合</w:t>
            </w:r>
            <w:r>
              <w:rPr>
                <w:rFonts w:hint="eastAsia" w:ascii="Times New Roman" w:hAnsi="Times New Roman" w:cs="Times New Roman"/>
                <w:color w:val="auto"/>
              </w:rPr>
              <w:t>项目</w:t>
            </w:r>
            <w:r>
              <w:rPr>
                <w:rFonts w:hint="default" w:ascii="Times New Roman" w:hAnsi="Times New Roman" w:cs="Times New Roman"/>
                <w:color w:val="auto"/>
              </w:rPr>
              <w:t>洪评结论</w:t>
            </w:r>
            <w:r>
              <w:rPr>
                <w:rFonts w:hint="eastAsia" w:cs="Times New Roman"/>
                <w:color w:val="auto"/>
                <w:lang w:eastAsia="zh-CN"/>
              </w:rPr>
              <w:t>（</w:t>
            </w:r>
            <w:r>
              <w:rPr>
                <w:rFonts w:hint="eastAsia" w:cs="Times New Roman"/>
                <w:color w:val="auto"/>
                <w:lang w:val="en-US" w:eastAsia="zh-CN"/>
              </w:rPr>
              <w:t>详见附件16</w:t>
            </w:r>
            <w:r>
              <w:rPr>
                <w:rFonts w:hint="eastAsia" w:cs="Times New Roman"/>
                <w:color w:val="auto"/>
                <w:lang w:eastAsia="zh-CN"/>
              </w:rPr>
              <w:t>）</w:t>
            </w:r>
            <w:r>
              <w:rPr>
                <w:rFonts w:hint="default" w:ascii="Times New Roman" w:hAnsi="Times New Roman" w:cs="Times New Roman"/>
                <w:color w:val="auto"/>
              </w:rPr>
              <w:t>，工程布置及水工构筑物的建设造成的水文情势变化很小，不会造成水体交换、水污染物扩散能力降低且影响水质的。</w:t>
            </w:r>
          </w:p>
          <w:p w14:paraId="2E7604BC">
            <w:pPr>
              <w:pStyle w:val="24"/>
              <w:keepNext w:val="0"/>
              <w:keepLines w:val="0"/>
              <w:suppressLineNumbers w:val="0"/>
              <w:spacing w:before="0" w:beforeAutospacing="0" w:after="0" w:afterAutospacing="0" w:line="300" w:lineRule="exact"/>
              <w:ind w:left="0" w:right="0"/>
              <w:rPr>
                <w:rFonts w:hint="default" w:ascii="Times New Roman" w:hAnsi="Times New Roman" w:cs="Times New Roman"/>
                <w:color w:val="auto"/>
                <w:highlight w:val="cyan"/>
              </w:rPr>
            </w:pPr>
            <w:r>
              <w:rPr>
                <w:rFonts w:hint="eastAsia" w:ascii="Times New Roman" w:hAnsi="Times New Roman" w:cs="Times New Roman"/>
                <w:color w:val="auto"/>
              </w:rPr>
              <w:t>本项目运营期船舶产生的</w:t>
            </w:r>
            <w:r>
              <w:rPr>
                <w:rFonts w:hint="eastAsia" w:ascii="Times New Roman" w:hAnsi="Times New Roman" w:cs="Times New Roman"/>
                <w:color w:val="auto"/>
                <w:lang w:eastAsia="zh-CN"/>
              </w:rPr>
              <w:t>运输船舶产生的生活污水经隔油沉淀池预处理后，进入一体化污水处理设施处理后，回用于道路喷洒、机械车辆冲洗、绿化及码头地面冲洗，不外排；本项目到港船舶含油污水经隔油沉淀池预处理后，进入一体化污水处理设施处理，经处理后回用于道路喷洒、机械车辆冲洗、绿化及码头地面冲洗，不外排；初期雨水</w:t>
            </w:r>
            <w:r>
              <w:rPr>
                <w:rFonts w:hint="eastAsia" w:ascii="Times New Roman" w:hAnsi="Times New Roman" w:cs="Times New Roman"/>
                <w:color w:val="auto"/>
                <w:lang w:val="en-US" w:eastAsia="zh-CN"/>
              </w:rPr>
              <w:t>经</w:t>
            </w:r>
            <w:r>
              <w:rPr>
                <w:rFonts w:hint="eastAsia" w:ascii="Times New Roman" w:hAnsi="Times New Roman" w:cs="Times New Roman"/>
                <w:color w:val="auto"/>
                <w:lang w:eastAsia="zh-CN"/>
              </w:rPr>
              <w:t>隔油沉淀池预处理后进入一体化污水处理设备处理后，作为码头地面冲洗用水、道路喷洒用水、机械车辆冲洗用水及绿化用水；冲洗废水</w:t>
            </w:r>
            <w:r>
              <w:rPr>
                <w:rFonts w:hint="eastAsia" w:ascii="Times New Roman" w:hAnsi="Times New Roman" w:cs="Times New Roman"/>
                <w:color w:val="auto"/>
                <w:lang w:val="en-US" w:eastAsia="zh-CN"/>
              </w:rPr>
              <w:t>经</w:t>
            </w:r>
            <w:r>
              <w:rPr>
                <w:rFonts w:hint="eastAsia" w:ascii="Times New Roman" w:hAnsi="Times New Roman" w:cs="Times New Roman"/>
                <w:color w:val="auto"/>
                <w:lang w:eastAsia="zh-CN"/>
              </w:rPr>
              <w:t>隔油沉淀池预处理后进入一体化污水处理设备处理，处理后废水全部回用于码头地面冲洗、道路喷洒、机械车辆冲洗及绿化，不外排</w:t>
            </w:r>
            <w:r>
              <w:rPr>
                <w:rFonts w:hint="eastAsia" w:ascii="Times New Roman" w:hAnsi="Times New Roman" w:cs="Times New Roman"/>
                <w:color w:val="auto"/>
              </w:rPr>
              <w:t>。</w:t>
            </w:r>
          </w:p>
        </w:tc>
        <w:tc>
          <w:tcPr>
            <w:tcW w:w="840" w:type="dxa"/>
            <w:noWrap w:val="0"/>
            <w:vAlign w:val="center"/>
          </w:tcPr>
          <w:p w14:paraId="4DEC519C">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cyan"/>
              </w:rPr>
            </w:pPr>
            <w:r>
              <w:rPr>
                <w:rFonts w:hint="default" w:ascii="Times New Roman" w:hAnsi="Times New Roman" w:cs="Times New Roman"/>
                <w:color w:val="auto"/>
              </w:rPr>
              <w:t>符合</w:t>
            </w:r>
          </w:p>
        </w:tc>
      </w:tr>
      <w:tr w14:paraId="7E8D6A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9" w:type="dxa"/>
            <w:noWrap w:val="0"/>
            <w:vAlign w:val="center"/>
          </w:tcPr>
          <w:p w14:paraId="02B263B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w:t>
            </w:r>
          </w:p>
        </w:tc>
        <w:tc>
          <w:tcPr>
            <w:tcW w:w="4468" w:type="dxa"/>
            <w:noWrap w:val="0"/>
            <w:vAlign w:val="center"/>
          </w:tcPr>
          <w:p w14:paraId="620D970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煤炭、矿石等干散货码头项目，综合考虑建设性质、运营方式、货种等特点，针对物料装卸、输送和堆场储存提出了必要可行的封闭工艺优化方案，以及防风抑尘网、喷淋湿式抑尘等措施。油气、化工等液体散货码头项目，提出了必要可行的挥发性气体控制、油气回收处理等措施。散装粮食、木材及其制品等采用熏蒸工艺的，提出了采用符合国家相关规定的工艺、药剂的要求以及控制气体挥发强度的措施。根据国家相关规划或政策规定，提出了配备岸电设施要求。</w:t>
            </w:r>
          </w:p>
          <w:p w14:paraId="11A8877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在采取上述措施后，粉尘、挥发性气体等排放符合相关标准，不会对周边环境敏感目标造成重大不利影响。</w:t>
            </w:r>
          </w:p>
        </w:tc>
        <w:tc>
          <w:tcPr>
            <w:tcW w:w="3369" w:type="dxa"/>
            <w:noWrap w:val="0"/>
            <w:vAlign w:val="center"/>
          </w:tcPr>
          <w:p w14:paraId="04F6398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本项目属于散货码头，主要用于煤炭</w:t>
            </w:r>
            <w:r>
              <w:rPr>
                <w:rFonts w:hint="eastAsia" w:cs="Times New Roman"/>
                <w:color w:val="auto"/>
                <w:lang w:eastAsia="zh-CN"/>
              </w:rPr>
              <w:t>、</w:t>
            </w:r>
            <w:r>
              <w:rPr>
                <w:rFonts w:hint="eastAsia" w:ascii="Times New Roman" w:hAnsi="Times New Roman" w:cs="Times New Roman"/>
                <w:color w:val="auto"/>
              </w:rPr>
              <w:t>矿建材料</w:t>
            </w:r>
            <w:r>
              <w:rPr>
                <w:rFonts w:hint="eastAsia" w:cs="Times New Roman"/>
                <w:color w:val="auto"/>
                <w:lang w:eastAsia="zh-CN"/>
              </w:rPr>
              <w:t>（</w:t>
            </w:r>
            <w:r>
              <w:rPr>
                <w:rFonts w:hint="eastAsia" w:cs="Times New Roman"/>
                <w:color w:val="auto"/>
                <w:lang w:val="en-US" w:eastAsia="zh-CN"/>
              </w:rPr>
              <w:t>石子</w:t>
            </w:r>
            <w:r>
              <w:rPr>
                <w:rFonts w:hint="eastAsia" w:cs="Times New Roman"/>
                <w:color w:val="auto"/>
                <w:lang w:eastAsia="zh-CN"/>
              </w:rPr>
              <w:t>）、</w:t>
            </w:r>
            <w:r>
              <w:rPr>
                <w:rFonts w:hint="eastAsia" w:cs="Times New Roman"/>
                <w:color w:val="auto"/>
                <w:lang w:val="en-US" w:eastAsia="zh-CN"/>
              </w:rPr>
              <w:t>件杂货</w:t>
            </w:r>
            <w:r>
              <w:rPr>
                <w:rFonts w:hint="eastAsia" w:ascii="Times New Roman" w:hAnsi="Times New Roman" w:cs="Times New Roman"/>
                <w:color w:val="auto"/>
              </w:rPr>
              <w:t>运输，</w:t>
            </w:r>
            <w:r>
              <w:rPr>
                <w:rFonts w:hint="eastAsia" w:ascii="Times New Roman" w:hAnsi="Times New Roman" w:cs="Times New Roman"/>
                <w:color w:val="auto"/>
                <w:lang w:val="en-US" w:eastAsia="zh-CN"/>
              </w:rPr>
              <w:t>本项目</w:t>
            </w:r>
            <w:r>
              <w:rPr>
                <w:rFonts w:hint="eastAsia" w:ascii="Times New Roman" w:hAnsi="Times New Roman" w:cs="Times New Roman"/>
                <w:color w:val="auto"/>
              </w:rPr>
              <w:t>装卸作业使用的装船机皮带密闭</w:t>
            </w:r>
            <w:r>
              <w:rPr>
                <w:rFonts w:hint="eastAsia" w:cs="Times New Roman"/>
                <w:color w:val="auto"/>
                <w:lang w:eastAsia="zh-CN"/>
              </w:rPr>
              <w:t>，</w:t>
            </w:r>
            <w:r>
              <w:rPr>
                <w:rFonts w:hint="eastAsia" w:cs="Times New Roman"/>
                <w:color w:val="auto"/>
                <w:lang w:val="en-US" w:eastAsia="zh-CN"/>
              </w:rPr>
              <w:t>同时</w:t>
            </w:r>
            <w:r>
              <w:rPr>
                <w:rFonts w:hint="eastAsia" w:ascii="Times New Roman" w:hAnsi="Times New Roman" w:cs="Times New Roman"/>
                <w:color w:val="auto"/>
              </w:rPr>
              <w:t>设置</w:t>
            </w:r>
            <w:r>
              <w:rPr>
                <w:rFonts w:hint="default" w:ascii="Times New Roman" w:hAnsi="Times New Roman" w:cs="Times New Roman"/>
                <w:color w:val="auto"/>
              </w:rPr>
              <w:t>喷淋湿式抑尘等措施，项目</w:t>
            </w:r>
            <w:r>
              <w:rPr>
                <w:rFonts w:hint="eastAsia" w:ascii="Times New Roman" w:hAnsi="Times New Roman" w:cs="Times New Roman"/>
                <w:color w:val="auto"/>
              </w:rPr>
              <w:t>配备</w:t>
            </w:r>
            <w:r>
              <w:rPr>
                <w:rFonts w:hint="default" w:ascii="Times New Roman" w:hAnsi="Times New Roman" w:cs="Times New Roman"/>
                <w:color w:val="auto"/>
              </w:rPr>
              <w:t>岸电系统</w:t>
            </w:r>
            <w:r>
              <w:rPr>
                <w:rFonts w:hint="eastAsia" w:ascii="Times New Roman" w:hAnsi="Times New Roman" w:cs="Times New Roman"/>
                <w:color w:val="auto"/>
              </w:rPr>
              <w:t>。</w:t>
            </w:r>
          </w:p>
          <w:p w14:paraId="134B83A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根据预测</w:t>
            </w:r>
            <w:r>
              <w:rPr>
                <w:rFonts w:hint="eastAsia" w:cs="Times New Roman"/>
                <w:color w:val="auto"/>
                <w:lang w:val="en-US" w:eastAsia="zh-CN"/>
              </w:rPr>
              <w:t>运营期</w:t>
            </w:r>
            <w:r>
              <w:rPr>
                <w:rFonts w:hint="eastAsia" w:ascii="Times New Roman" w:hAnsi="Times New Roman" w:cs="Times New Roman"/>
                <w:color w:val="auto"/>
              </w:rPr>
              <w:t>颗粒物排放能够满足《大气污染物综合排放标准》</w:t>
            </w:r>
            <w:r>
              <w:rPr>
                <w:rFonts w:hint="eastAsia" w:cs="Times New Roman"/>
                <w:color w:val="auto"/>
                <w:lang w:eastAsia="zh-CN"/>
              </w:rPr>
              <w:t>（</w:t>
            </w:r>
            <w:r>
              <w:rPr>
                <w:rFonts w:hint="eastAsia" w:ascii="Times New Roman" w:hAnsi="Times New Roman" w:cs="Times New Roman"/>
                <w:color w:val="auto"/>
              </w:rPr>
              <w:t xml:space="preserve">GB </w:t>
            </w:r>
            <w:r>
              <w:rPr>
                <w:rFonts w:hint="default" w:ascii="Times New Roman" w:hAnsi="Times New Roman" w:cs="Times New Roman"/>
                <w:color w:val="auto"/>
              </w:rPr>
              <w:t>16297</w:t>
            </w:r>
            <w:r>
              <w:rPr>
                <w:rFonts w:hint="eastAsia" w:ascii="Times New Roman" w:hAnsi="Times New Roman" w:cs="Times New Roman"/>
                <w:color w:val="auto"/>
              </w:rPr>
              <w:t>-</w:t>
            </w:r>
            <w:r>
              <w:rPr>
                <w:rFonts w:hint="default" w:ascii="Times New Roman" w:hAnsi="Times New Roman" w:cs="Times New Roman"/>
                <w:color w:val="auto"/>
              </w:rPr>
              <w:t>1996</w:t>
            </w:r>
            <w:r>
              <w:rPr>
                <w:rFonts w:hint="eastAsia" w:ascii="Times New Roman" w:hAnsi="Times New Roman" w:cs="Times New Roman"/>
                <w:color w:val="auto"/>
              </w:rPr>
              <w:t>)中标准的浓度限值要求</w:t>
            </w:r>
            <w:r>
              <w:rPr>
                <w:rFonts w:hint="default" w:ascii="Times New Roman" w:hAnsi="Times New Roman" w:cs="Times New Roman"/>
                <w:color w:val="auto"/>
              </w:rPr>
              <w:t>。</w:t>
            </w:r>
          </w:p>
        </w:tc>
        <w:tc>
          <w:tcPr>
            <w:tcW w:w="840" w:type="dxa"/>
            <w:noWrap w:val="0"/>
            <w:vAlign w:val="center"/>
          </w:tcPr>
          <w:p w14:paraId="153DA5F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符合</w:t>
            </w:r>
          </w:p>
        </w:tc>
      </w:tr>
      <w:tr w14:paraId="12E2FE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9" w:type="dxa"/>
            <w:noWrap w:val="0"/>
            <w:vAlign w:val="center"/>
          </w:tcPr>
          <w:p w14:paraId="4347C25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6</w:t>
            </w:r>
          </w:p>
        </w:tc>
        <w:tc>
          <w:tcPr>
            <w:tcW w:w="4468" w:type="dxa"/>
            <w:noWrap w:val="0"/>
            <w:vAlign w:val="center"/>
          </w:tcPr>
          <w:p w14:paraId="5F59398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对声环境敏感目标产生不利影响的，提出了优化平面布置、选用低噪声设备、隔声减振等措施。按照国家相关规定，提出了一般固体废物、危险废物的收集、贮存、运输及处置要求。</w:t>
            </w:r>
          </w:p>
          <w:p w14:paraId="4277DDE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在采取上述措施后，噪声排放、固体废物处置等符合相关标准，不会对周边居民集中区等环境敏感目标造成重大不利影响。</w:t>
            </w:r>
          </w:p>
        </w:tc>
        <w:tc>
          <w:tcPr>
            <w:tcW w:w="3369" w:type="dxa"/>
            <w:noWrap w:val="0"/>
            <w:vAlign w:val="center"/>
          </w:tcPr>
          <w:p w14:paraId="4B4FAB0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拟建项目在设计阶段优化了平面布置、将机泵等设备布置于远离敏感目标的一侧；按要求选取</w:t>
            </w:r>
            <w:r>
              <w:rPr>
                <w:rFonts w:hint="default" w:ascii="Times New Roman" w:hAnsi="Times New Roman" w:cs="Times New Roman"/>
                <w:color w:val="auto"/>
              </w:rPr>
              <w:t>低噪声设备</w:t>
            </w:r>
            <w:r>
              <w:rPr>
                <w:rFonts w:hint="eastAsia" w:ascii="Times New Roman" w:hAnsi="Times New Roman" w:cs="Times New Roman"/>
                <w:color w:val="auto"/>
              </w:rPr>
              <w:t>，采取隔声减振等措施。</w:t>
            </w:r>
          </w:p>
          <w:p w14:paraId="1A95454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港区内按规范设置危险废物暂存库，收集的危险废物委托有资质的单位处置。</w:t>
            </w:r>
          </w:p>
        </w:tc>
        <w:tc>
          <w:tcPr>
            <w:tcW w:w="840" w:type="dxa"/>
            <w:noWrap w:val="0"/>
            <w:vAlign w:val="center"/>
          </w:tcPr>
          <w:p w14:paraId="037B725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符合</w:t>
            </w:r>
          </w:p>
        </w:tc>
      </w:tr>
      <w:tr w14:paraId="0AC52A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9" w:type="dxa"/>
            <w:noWrap w:val="0"/>
            <w:vAlign w:val="center"/>
          </w:tcPr>
          <w:p w14:paraId="7D99A2E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7</w:t>
            </w:r>
          </w:p>
        </w:tc>
        <w:tc>
          <w:tcPr>
            <w:tcW w:w="4468" w:type="dxa"/>
            <w:noWrap w:val="0"/>
            <w:vAlign w:val="center"/>
          </w:tcPr>
          <w:p w14:paraId="1F39C42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根据相关规划和政策要求，提出了船舶污水、船舶垃圾、船舶压载水及沉积物等接收处置措施。</w:t>
            </w:r>
          </w:p>
        </w:tc>
        <w:tc>
          <w:tcPr>
            <w:tcW w:w="3369" w:type="dxa"/>
            <w:noWrap w:val="0"/>
            <w:vAlign w:val="center"/>
          </w:tcPr>
          <w:p w14:paraId="10CDDBE6">
            <w:pPr>
              <w:pStyle w:val="24"/>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eastAsia" w:ascii="Times New Roman" w:hAnsi="Times New Roman" w:cs="Times New Roman"/>
                <w:color w:val="auto"/>
              </w:rPr>
              <w:t>本项目运营期船舶产生的</w:t>
            </w:r>
            <w:r>
              <w:rPr>
                <w:rFonts w:hint="eastAsia" w:ascii="Times New Roman" w:hAnsi="Times New Roman" w:cs="Times New Roman"/>
                <w:color w:val="auto"/>
                <w:lang w:eastAsia="zh-CN"/>
              </w:rPr>
              <w:t>运输船舶产生的生活污水经隔油沉淀池预处理后，进入一体化污水处理设施处理后，回用于道路喷洒、机械车辆冲洗、绿化及码头地面冲洗，不外排；本项目到港船舶含油污水经隔油沉淀池预处理后，进入一体化污水处理设施处理，经处理后回用于道路喷洒、机械车辆冲洗、绿化及码头地面冲洗，不外排；初期雨水</w:t>
            </w:r>
            <w:r>
              <w:rPr>
                <w:rFonts w:hint="eastAsia" w:ascii="Times New Roman" w:hAnsi="Times New Roman" w:cs="Times New Roman"/>
                <w:color w:val="auto"/>
                <w:lang w:val="en-US" w:eastAsia="zh-CN"/>
              </w:rPr>
              <w:t>经</w:t>
            </w:r>
            <w:r>
              <w:rPr>
                <w:rFonts w:hint="eastAsia" w:ascii="Times New Roman" w:hAnsi="Times New Roman" w:cs="Times New Roman"/>
                <w:color w:val="auto"/>
                <w:lang w:eastAsia="zh-CN"/>
              </w:rPr>
              <w:t>隔油沉淀池预处理后进入一体化污水处理设备处理后，作为码头地面冲洗用水、道路喷洒用水、机械车辆冲洗用水及绿化用水；冲洗废水</w:t>
            </w:r>
            <w:r>
              <w:rPr>
                <w:rFonts w:hint="eastAsia" w:ascii="Times New Roman" w:hAnsi="Times New Roman" w:cs="Times New Roman"/>
                <w:color w:val="auto"/>
                <w:lang w:val="en-US" w:eastAsia="zh-CN"/>
              </w:rPr>
              <w:t>经</w:t>
            </w:r>
            <w:r>
              <w:rPr>
                <w:rFonts w:hint="eastAsia" w:ascii="Times New Roman" w:hAnsi="Times New Roman" w:cs="Times New Roman"/>
                <w:color w:val="auto"/>
                <w:lang w:eastAsia="zh-CN"/>
              </w:rPr>
              <w:t>隔油沉淀池预处理后进入一体化污水处理设备处理，处理后废水全部回用于码头地面冲洗、道路喷洒、机械车辆冲洗及绿化，不外排</w:t>
            </w:r>
            <w:r>
              <w:rPr>
                <w:rFonts w:hint="eastAsia" w:ascii="Times New Roman" w:hAnsi="Times New Roman" w:cs="Times New Roman"/>
                <w:color w:val="auto"/>
              </w:rPr>
              <w:t>；船舶垃圾设置收集装置，由环卫部门统一清运处理。</w:t>
            </w:r>
          </w:p>
        </w:tc>
        <w:tc>
          <w:tcPr>
            <w:tcW w:w="840" w:type="dxa"/>
            <w:noWrap w:val="0"/>
            <w:vAlign w:val="center"/>
          </w:tcPr>
          <w:p w14:paraId="0EE77B3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符合</w:t>
            </w:r>
          </w:p>
        </w:tc>
      </w:tr>
      <w:tr w14:paraId="36966D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9" w:type="dxa"/>
            <w:noWrap w:val="0"/>
            <w:vAlign w:val="center"/>
          </w:tcPr>
          <w:p w14:paraId="5497E53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8</w:t>
            </w:r>
          </w:p>
        </w:tc>
        <w:tc>
          <w:tcPr>
            <w:tcW w:w="4468" w:type="dxa"/>
            <w:noWrap w:val="0"/>
            <w:vAlign w:val="center"/>
          </w:tcPr>
          <w:p w14:paraId="282BE52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项目施工组织方案具有环境合理性，对取、弃土（渣）场、施工场地（道路）等提出了水土流失防治和生态修复等措施。根据环境保护相关标准和要求，对施工期各类废（污）水、废气、噪声、固体废物等提出防治或处置措施。其中，涉水施工对水质造成不利影响的，提出了施工方案优化及悬浮物控制等措施；针对施工产生的疏浚物，提出了符合相关规定的处置或综合利用方案。</w:t>
            </w:r>
          </w:p>
        </w:tc>
        <w:tc>
          <w:tcPr>
            <w:tcW w:w="3369" w:type="dxa"/>
            <w:noWrap w:val="0"/>
            <w:vAlign w:val="center"/>
          </w:tcPr>
          <w:p w14:paraId="2312A48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本次评价对工程施工期取、弃土（渣）场、施工场地（道路）等提出了水土流失防治和生态修复等措施要求；针对涉水施工对水质造成的不利影响，评价提出了施工方案优化及悬浮物控制等措施</w:t>
            </w:r>
            <w:r>
              <w:rPr>
                <w:rFonts w:hint="eastAsia" w:cs="Times New Roman"/>
                <w:color w:val="auto"/>
                <w:lang w:eastAsia="zh-CN"/>
              </w:rPr>
              <w:t>（</w:t>
            </w:r>
            <w:r>
              <w:rPr>
                <w:rFonts w:hint="eastAsia" w:cs="Times New Roman"/>
                <w:color w:val="auto"/>
                <w:lang w:val="en-US" w:eastAsia="zh-CN"/>
              </w:rPr>
              <w:t>如</w:t>
            </w:r>
            <w:r>
              <w:rPr>
                <w:rFonts w:hint="eastAsia" w:cs="Times New Roman"/>
                <w:color w:val="auto"/>
                <w:lang w:eastAsia="zh-CN"/>
              </w:rPr>
              <w:t>施工场地设置一座600m</w:t>
            </w:r>
            <w:r>
              <w:rPr>
                <w:rFonts w:hint="eastAsia" w:cs="Times New Roman"/>
                <w:color w:val="auto"/>
                <w:vertAlign w:val="superscript"/>
                <w:lang w:eastAsia="zh-CN"/>
              </w:rPr>
              <w:t>3</w:t>
            </w:r>
            <w:r>
              <w:rPr>
                <w:rFonts w:hint="eastAsia" w:cs="Times New Roman"/>
                <w:color w:val="auto"/>
                <w:lang w:eastAsia="zh-CN"/>
              </w:rPr>
              <w:t>沉淀池，泥浆废水经沉淀去除悬浮物后，回用于场地抑尘、车辆冲洗等）</w:t>
            </w:r>
            <w:r>
              <w:rPr>
                <w:rFonts w:hint="eastAsia" w:ascii="Times New Roman" w:hAnsi="Times New Roman" w:cs="Times New Roman"/>
                <w:color w:val="auto"/>
              </w:rPr>
              <w:t>；施工产生的</w:t>
            </w:r>
            <w:r>
              <w:rPr>
                <w:rFonts w:hint="eastAsia" w:cs="Times New Roman"/>
                <w:color w:val="auto"/>
                <w:lang w:val="en-US" w:eastAsia="zh-CN"/>
              </w:rPr>
              <w:t>泥浆</w:t>
            </w:r>
            <w:r>
              <w:rPr>
                <w:rFonts w:hint="eastAsia" w:ascii="Times New Roman" w:hAnsi="Times New Roman" w:cs="Times New Roman"/>
                <w:color w:val="auto"/>
              </w:rPr>
              <w:t>，</w:t>
            </w:r>
            <w:r>
              <w:rPr>
                <w:rFonts w:hint="eastAsia" w:cs="Times New Roman"/>
                <w:color w:val="auto"/>
                <w:lang w:val="en-US" w:eastAsia="zh-CN"/>
              </w:rPr>
              <w:t>经过</w:t>
            </w:r>
            <w:r>
              <w:rPr>
                <w:rFonts w:hint="eastAsia" w:ascii="Times New Roman" w:hAnsi="Times New Roman" w:cs="Times New Roman"/>
                <w:color w:val="auto"/>
              </w:rPr>
              <w:t>沉淀后的干泥浆运送上岸再由车辆运输至陆域工程进港道路及路面拓宽处，作为填方使用</w:t>
            </w:r>
          </w:p>
        </w:tc>
        <w:tc>
          <w:tcPr>
            <w:tcW w:w="840" w:type="dxa"/>
            <w:noWrap w:val="0"/>
            <w:vAlign w:val="center"/>
          </w:tcPr>
          <w:p w14:paraId="3574922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符合</w:t>
            </w:r>
          </w:p>
        </w:tc>
      </w:tr>
      <w:tr w14:paraId="4B8308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9" w:type="dxa"/>
            <w:noWrap w:val="0"/>
            <w:vAlign w:val="center"/>
          </w:tcPr>
          <w:p w14:paraId="09281BB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9</w:t>
            </w:r>
          </w:p>
        </w:tc>
        <w:tc>
          <w:tcPr>
            <w:tcW w:w="4468" w:type="dxa"/>
            <w:noWrap w:val="0"/>
            <w:vAlign w:val="center"/>
          </w:tcPr>
          <w:p w14:paraId="3E96A72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针对码头、港区航道等存在的溢油或危险化学品泄漏等环境风险，提出了工程防控、应急资源配备、事故池、事故污水处置等风险防范措施，以及环境应急预案编制、与地方人民政府及相关部门、有关单位建立应急联动机制等要求。</w:t>
            </w:r>
          </w:p>
        </w:tc>
        <w:tc>
          <w:tcPr>
            <w:tcW w:w="3369" w:type="dxa"/>
            <w:noWrap w:val="0"/>
            <w:vAlign w:val="center"/>
          </w:tcPr>
          <w:p w14:paraId="2B7C824E">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针对码头</w:t>
            </w:r>
            <w:r>
              <w:rPr>
                <w:rFonts w:hint="eastAsia" w:ascii="Times New Roman" w:hAnsi="Times New Roman" w:cs="Times New Roman"/>
                <w:color w:val="auto"/>
              </w:rPr>
              <w:t>、港区航道等存在的</w:t>
            </w:r>
            <w:r>
              <w:rPr>
                <w:rFonts w:hint="default" w:ascii="Times New Roman" w:hAnsi="Times New Roman" w:cs="Times New Roman"/>
                <w:color w:val="auto"/>
              </w:rPr>
              <w:t>溢油环境风险</w:t>
            </w:r>
            <w:r>
              <w:rPr>
                <w:rFonts w:hint="eastAsia" w:ascii="Times New Roman" w:hAnsi="Times New Roman" w:cs="Times New Roman"/>
                <w:color w:val="auto"/>
              </w:rPr>
              <w:t>，本次评价提出相应的风险</w:t>
            </w:r>
            <w:r>
              <w:rPr>
                <w:rFonts w:hint="default" w:ascii="Times New Roman" w:hAnsi="Times New Roman" w:cs="Times New Roman"/>
                <w:color w:val="auto"/>
              </w:rPr>
              <w:t>防范措施</w:t>
            </w:r>
            <w:r>
              <w:rPr>
                <w:rFonts w:hint="eastAsia" w:cs="Times New Roman"/>
                <w:color w:val="auto"/>
                <w:lang w:eastAsia="zh-CN"/>
              </w:rPr>
              <w:t>（</w:t>
            </w:r>
            <w:r>
              <w:rPr>
                <w:rFonts w:hint="eastAsia" w:cs="Times New Roman"/>
                <w:color w:val="auto"/>
                <w:lang w:val="en-US" w:eastAsia="zh-CN"/>
              </w:rPr>
              <w:t>配备相应的</w:t>
            </w:r>
            <w:r>
              <w:rPr>
                <w:rFonts w:hint="eastAsia"/>
                <w:color w:val="auto"/>
              </w:rPr>
              <w:t>环境风险应急物资</w:t>
            </w:r>
            <w:r>
              <w:rPr>
                <w:rFonts w:hint="eastAsia"/>
                <w:color w:val="auto"/>
                <w:lang w:val="en-US" w:eastAsia="zh-CN"/>
              </w:rPr>
              <w:t>等，详见风险章节</w:t>
            </w:r>
            <w:r>
              <w:rPr>
                <w:rFonts w:hint="eastAsia" w:cs="Times New Roman"/>
                <w:color w:val="auto"/>
                <w:lang w:eastAsia="zh-CN"/>
              </w:rPr>
              <w:t>）</w:t>
            </w:r>
            <w:r>
              <w:rPr>
                <w:rFonts w:hint="eastAsia" w:ascii="Times New Roman" w:hAnsi="Times New Roman" w:cs="Times New Roman"/>
                <w:color w:val="auto"/>
              </w:rPr>
              <w:t>，</w:t>
            </w:r>
            <w:r>
              <w:rPr>
                <w:rFonts w:hint="eastAsia" w:cs="Times New Roman"/>
                <w:color w:val="auto"/>
                <w:lang w:val="en-US" w:eastAsia="zh-CN"/>
              </w:rPr>
              <w:t>项目运营后，</w:t>
            </w:r>
            <w:r>
              <w:rPr>
                <w:rFonts w:hint="eastAsia" w:ascii="Times New Roman" w:hAnsi="Times New Roman" w:cs="Times New Roman"/>
                <w:color w:val="auto"/>
              </w:rPr>
              <w:t>企业需按要求编制突发环境</w:t>
            </w:r>
            <w:r>
              <w:rPr>
                <w:rFonts w:hint="default" w:ascii="Times New Roman" w:hAnsi="Times New Roman" w:cs="Times New Roman"/>
                <w:color w:val="auto"/>
              </w:rPr>
              <w:t>应急预案</w:t>
            </w:r>
            <w:r>
              <w:rPr>
                <w:rFonts w:hint="eastAsia" w:ascii="Times New Roman" w:hAnsi="Times New Roman" w:cs="Times New Roman"/>
                <w:color w:val="auto"/>
              </w:rPr>
              <w:t>，并与地方人民政府及相关部门、有关单位建立应急联动机制等要求。</w:t>
            </w:r>
          </w:p>
        </w:tc>
        <w:tc>
          <w:tcPr>
            <w:tcW w:w="840" w:type="dxa"/>
            <w:noWrap w:val="0"/>
            <w:vAlign w:val="center"/>
          </w:tcPr>
          <w:p w14:paraId="1628196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符合</w:t>
            </w:r>
          </w:p>
        </w:tc>
      </w:tr>
      <w:tr w14:paraId="00F153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9" w:type="dxa"/>
            <w:noWrap w:val="0"/>
            <w:vAlign w:val="center"/>
          </w:tcPr>
          <w:p w14:paraId="6FC90F2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10</w:t>
            </w:r>
          </w:p>
        </w:tc>
        <w:tc>
          <w:tcPr>
            <w:tcW w:w="4468" w:type="dxa"/>
            <w:noWrap w:val="0"/>
            <w:vAlign w:val="center"/>
          </w:tcPr>
          <w:p w14:paraId="7F6E36B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改、扩建项目在全面梳理了与项目有关的现有工程环境问题基础上，提出了“以新带老”措施。</w:t>
            </w:r>
          </w:p>
        </w:tc>
        <w:tc>
          <w:tcPr>
            <w:tcW w:w="3369" w:type="dxa"/>
            <w:noWrap w:val="0"/>
            <w:vAlign w:val="center"/>
          </w:tcPr>
          <w:p w14:paraId="07738D2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本项目已于2013年开展项目施工，项目已完成滩地整平、外接线路的建设，主体工程未实施，不存在与本项目有关的现有环境问题。</w:t>
            </w:r>
          </w:p>
        </w:tc>
        <w:tc>
          <w:tcPr>
            <w:tcW w:w="840" w:type="dxa"/>
            <w:noWrap w:val="0"/>
            <w:vAlign w:val="center"/>
          </w:tcPr>
          <w:p w14:paraId="0E056F5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符合</w:t>
            </w:r>
          </w:p>
        </w:tc>
      </w:tr>
      <w:tr w14:paraId="4C03A3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09" w:type="dxa"/>
            <w:noWrap w:val="0"/>
            <w:vAlign w:val="center"/>
          </w:tcPr>
          <w:p w14:paraId="284C8F3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11</w:t>
            </w:r>
          </w:p>
        </w:tc>
        <w:tc>
          <w:tcPr>
            <w:tcW w:w="4468" w:type="dxa"/>
            <w:noWrap w:val="0"/>
            <w:vAlign w:val="center"/>
          </w:tcPr>
          <w:p w14:paraId="0A0E3C8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按相关导则及规定要求，制定了水生生态、水环境、</w:t>
            </w:r>
          </w:p>
          <w:p w14:paraId="760F7A8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大气环境、噪声等环境监测计划，明确了监测网点、因子、频次等有关要求，提出了开展环境影响后评价、根据监测评估结果优化环境保护措施的要求。根据需要和相关规定，提出了环境保护设计、开展相关科学研究、环境管理等要求。</w:t>
            </w:r>
          </w:p>
        </w:tc>
        <w:tc>
          <w:tcPr>
            <w:tcW w:w="3369" w:type="dxa"/>
            <w:noWrap w:val="0"/>
            <w:vAlign w:val="center"/>
          </w:tcPr>
          <w:p w14:paraId="1BAA36D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拟建项目将按照</w:t>
            </w:r>
            <w:r>
              <w:rPr>
                <w:rFonts w:hint="default" w:ascii="Times New Roman" w:hAnsi="Times New Roman" w:cs="Times New Roman"/>
                <w:color w:val="auto"/>
              </w:rPr>
              <w:t>《排污许可证申请与核发技术规范 码头》（HJ1107-2020）</w:t>
            </w:r>
            <w:r>
              <w:rPr>
                <w:rFonts w:hint="eastAsia" w:ascii="Times New Roman" w:hAnsi="Times New Roman" w:cs="Times New Roman"/>
                <w:color w:val="auto"/>
              </w:rPr>
              <w:t>要求，提出了本项目的水生生态、水环境、大气环境、噪声等环境监测计划，明确了监测网点、因子、频次等有关要求，提出了开展环境影响后评价、根据监测评估结果优化环境保护措施的要求。</w:t>
            </w:r>
          </w:p>
        </w:tc>
        <w:tc>
          <w:tcPr>
            <w:tcW w:w="840" w:type="dxa"/>
            <w:noWrap w:val="0"/>
            <w:vAlign w:val="center"/>
          </w:tcPr>
          <w:p w14:paraId="7D15D8A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符合</w:t>
            </w:r>
          </w:p>
        </w:tc>
      </w:tr>
    </w:tbl>
    <w:p w14:paraId="78D6449F">
      <w:pPr>
        <w:pStyle w:val="4"/>
        <w:numPr>
          <w:ilvl w:val="0"/>
          <w:numId w:val="0"/>
        </w:numPr>
        <w:rPr>
          <w:color w:val="auto"/>
        </w:rPr>
      </w:pPr>
      <w:r>
        <w:rPr>
          <w:rFonts w:hint="eastAsia"/>
          <w:color w:val="auto"/>
          <w:lang w:val="en-US" w:eastAsia="zh-CN"/>
        </w:rPr>
        <w:t>发</w:t>
      </w:r>
      <w:r>
        <w:rPr>
          <w:rFonts w:hint="eastAsia"/>
          <w:color w:val="auto"/>
        </w:rPr>
        <w:t>2.5.10</w:t>
      </w:r>
      <w:r>
        <w:rPr>
          <w:color w:val="auto"/>
        </w:rPr>
        <w:t xml:space="preserve"> </w:t>
      </w:r>
      <w:r>
        <w:rPr>
          <w:rFonts w:hint="eastAsia" w:ascii="Times New Roman" w:hAnsi="Times New Roman" w:cs="Times New Roman"/>
          <w:color w:val="auto"/>
          <w:highlight w:val="none"/>
        </w:rPr>
        <w:t>淮南市生态环境分区管控</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原</w:t>
      </w:r>
      <w:r>
        <w:rPr>
          <w:color w:val="auto"/>
        </w:rPr>
        <w:t>“三线一单”</w:t>
      </w:r>
      <w:r>
        <w:rPr>
          <w:rFonts w:hint="eastAsia" w:ascii="Times New Roman" w:hAnsi="Times New Roman" w:cs="Times New Roman"/>
          <w:color w:val="auto"/>
          <w:highlight w:val="none"/>
          <w:lang w:eastAsia="zh-CN"/>
        </w:rPr>
        <w:t>）</w:t>
      </w:r>
      <w:r>
        <w:rPr>
          <w:color w:val="auto"/>
        </w:rPr>
        <w:t>符合性分析</w:t>
      </w:r>
    </w:p>
    <w:p w14:paraId="31A08915">
      <w:pPr>
        <w:spacing w:line="360" w:lineRule="auto"/>
        <w:ind w:firstLine="480" w:firstLineChars="200"/>
        <w:rPr>
          <w:rFonts w:ascii="Times New Roman" w:hAnsi="Times New Roman" w:eastAsia="宋体" w:cs="Times New Roman"/>
          <w:color w:val="auto"/>
          <w:kern w:val="0"/>
          <w:sz w:val="24"/>
        </w:rPr>
      </w:pPr>
      <w:r>
        <w:rPr>
          <w:rFonts w:ascii="Times New Roman" w:hAnsi="Times New Roman" w:eastAsia="宋体" w:cs="Times New Roman"/>
          <w:color w:val="auto"/>
          <w:kern w:val="0"/>
          <w:sz w:val="24"/>
        </w:rPr>
        <w:t>根据中华人民共和国环境保护部环环评〔20</w:t>
      </w:r>
      <w:r>
        <w:rPr>
          <w:rFonts w:hint="eastAsia" w:ascii="Times New Roman" w:hAnsi="Times New Roman" w:eastAsia="宋体" w:cs="Times New Roman"/>
          <w:color w:val="auto"/>
          <w:kern w:val="0"/>
          <w:sz w:val="24"/>
          <w:lang w:val="en-US" w:eastAsia="zh-CN"/>
        </w:rPr>
        <w:t>4</w:t>
      </w:r>
      <w:r>
        <w:rPr>
          <w:rFonts w:ascii="Times New Roman" w:hAnsi="Times New Roman" w:eastAsia="宋体" w:cs="Times New Roman"/>
          <w:color w:val="auto"/>
          <w:kern w:val="0"/>
          <w:sz w:val="24"/>
        </w:rPr>
        <w:t>〕</w:t>
      </w:r>
      <w:r>
        <w:rPr>
          <w:rFonts w:hint="eastAsia" w:ascii="Times New Roman" w:hAnsi="Times New Roman" w:eastAsia="宋体" w:cs="Times New Roman"/>
          <w:color w:val="auto"/>
          <w:kern w:val="0"/>
          <w:sz w:val="24"/>
          <w:lang w:val="en-US" w:eastAsia="zh-CN"/>
        </w:rPr>
        <w:t>41</w:t>
      </w:r>
      <w:r>
        <w:rPr>
          <w:rFonts w:ascii="Times New Roman" w:hAnsi="Times New Roman" w:eastAsia="宋体" w:cs="Times New Roman"/>
          <w:color w:val="auto"/>
          <w:kern w:val="0"/>
          <w:sz w:val="24"/>
        </w:rPr>
        <w:t>号文《关于</w:t>
      </w:r>
      <w:r>
        <w:rPr>
          <w:rFonts w:hint="eastAsia" w:cs="Times New Roman"/>
          <w:color w:val="auto"/>
          <w:kern w:val="0"/>
          <w:sz w:val="24"/>
          <w:lang w:eastAsia="zh-CN"/>
        </w:rPr>
        <w:t>印发</w:t>
      </w:r>
      <w:r>
        <w:rPr>
          <w:rFonts w:hint="eastAsia" w:ascii="Times New Roman" w:hAnsi="Times New Roman" w:eastAsia="宋体" w:cs="Times New Roman"/>
          <w:color w:val="auto"/>
          <w:kern w:val="0"/>
          <w:sz w:val="24"/>
          <w:lang w:val="en-US" w:eastAsia="zh-CN"/>
        </w:rPr>
        <w:t>&lt;</w:t>
      </w:r>
      <w:r>
        <w:rPr>
          <w:rFonts w:hint="eastAsia" w:ascii="Times New Roman" w:hAnsi="Times New Roman" w:eastAsia="宋体" w:cs="Times New Roman"/>
          <w:color w:val="auto"/>
          <w:kern w:val="0"/>
          <w:sz w:val="24"/>
        </w:rPr>
        <w:t>生态环境分区管控管理暂行规定</w:t>
      </w:r>
      <w:r>
        <w:rPr>
          <w:rFonts w:hint="eastAsia" w:ascii="Times New Roman" w:hAnsi="Times New Roman" w:eastAsia="宋体" w:cs="Times New Roman"/>
          <w:color w:val="auto"/>
          <w:kern w:val="0"/>
          <w:sz w:val="24"/>
          <w:lang w:val="en-US" w:eastAsia="zh-CN"/>
        </w:rPr>
        <w:t>&gt;</w:t>
      </w:r>
      <w:r>
        <w:rPr>
          <w:rFonts w:ascii="Times New Roman" w:hAnsi="Times New Roman" w:eastAsia="宋体" w:cs="Times New Roman"/>
          <w:color w:val="auto"/>
          <w:kern w:val="0"/>
          <w:sz w:val="24"/>
        </w:rPr>
        <w:t>的通知》要求</w:t>
      </w:r>
      <w:r>
        <w:rPr>
          <w:rFonts w:hint="eastAsia" w:cs="Times New Roman"/>
          <w:color w:val="auto"/>
          <w:kern w:val="0"/>
          <w:sz w:val="24"/>
          <w:lang w:eastAsia="zh-CN"/>
        </w:rPr>
        <w:t>：</w:t>
      </w:r>
      <w:r>
        <w:rPr>
          <w:rFonts w:hint="eastAsia" w:ascii="Times New Roman" w:hAnsi="Times New Roman" w:eastAsia="宋体" w:cs="Times New Roman"/>
          <w:color w:val="auto"/>
          <w:kern w:val="0"/>
          <w:sz w:val="24"/>
          <w:lang w:val="en-US" w:eastAsia="zh-CN"/>
        </w:rPr>
        <w:t>建设项目开展环评工作初期，应分析与生态环境分区管控要求的符合性，对不满足要求的，应进一步论证其生态环境可行性，优化调整项目建设内容或重新选址。建设项目环评审批部门开展审批时，应重点审查项目选址选线、生态影响、污染物排放、风险防范等与生态环境分区管控方案的符合性</w:t>
      </w:r>
      <w:r>
        <w:rPr>
          <w:rFonts w:ascii="Times New Roman" w:hAnsi="Times New Roman" w:eastAsia="宋体" w:cs="Times New Roman"/>
          <w:color w:val="auto"/>
          <w:kern w:val="0"/>
          <w:sz w:val="24"/>
        </w:rPr>
        <w:t>。具体分析如下：</w:t>
      </w:r>
    </w:p>
    <w:p w14:paraId="67D9D948">
      <w:pPr>
        <w:spacing w:line="360" w:lineRule="auto"/>
        <w:ind w:firstLine="480" w:firstLineChars="200"/>
        <w:rPr>
          <w:color w:val="auto"/>
          <w:sz w:val="24"/>
        </w:rPr>
      </w:pPr>
      <w:r>
        <w:rPr>
          <w:rFonts w:hint="eastAsia"/>
          <w:color w:val="auto"/>
          <w:sz w:val="24"/>
        </w:rPr>
        <w:t>（1）</w:t>
      </w:r>
      <w:r>
        <w:rPr>
          <w:color w:val="auto"/>
          <w:sz w:val="24"/>
        </w:rPr>
        <w:t>生态保护红线</w:t>
      </w:r>
    </w:p>
    <w:p w14:paraId="5A370A10">
      <w:pPr>
        <w:spacing w:line="360" w:lineRule="auto"/>
        <w:ind w:firstLine="480" w:firstLineChars="200"/>
        <w:rPr>
          <w:color w:val="auto"/>
          <w:kern w:val="0"/>
          <w:sz w:val="24"/>
        </w:rPr>
      </w:pPr>
      <w:r>
        <w:rPr>
          <w:color w:val="auto"/>
          <w:kern w:val="0"/>
          <w:sz w:val="24"/>
        </w:rPr>
        <w:t>对照淮南市生态保护红线划定方案，本项目与淮南市生态保护红线的位置关系见图</w:t>
      </w:r>
      <w:r>
        <w:rPr>
          <w:rFonts w:hint="eastAsia"/>
          <w:color w:val="auto"/>
          <w:kern w:val="0"/>
          <w:sz w:val="24"/>
        </w:rPr>
        <w:t>2</w:t>
      </w:r>
      <w:r>
        <w:rPr>
          <w:color w:val="auto"/>
          <w:kern w:val="0"/>
          <w:sz w:val="24"/>
        </w:rPr>
        <w:t>.5-</w:t>
      </w:r>
      <w:r>
        <w:rPr>
          <w:rFonts w:hint="eastAsia"/>
          <w:color w:val="auto"/>
          <w:kern w:val="0"/>
          <w:sz w:val="24"/>
          <w:lang w:val="en-US" w:eastAsia="zh-CN"/>
        </w:rPr>
        <w:t>3</w:t>
      </w:r>
      <w:r>
        <w:rPr>
          <w:color w:val="auto"/>
          <w:kern w:val="0"/>
          <w:sz w:val="24"/>
        </w:rPr>
        <w:t>。根据淮南市</w:t>
      </w:r>
      <w:r>
        <w:rPr>
          <w:rFonts w:ascii="宋体" w:hAnsi="宋体"/>
          <w:color w:val="auto"/>
          <w:kern w:val="0"/>
          <w:sz w:val="24"/>
        </w:rPr>
        <w:t>“三区三线”</w:t>
      </w:r>
      <w:r>
        <w:rPr>
          <w:color w:val="auto"/>
          <w:kern w:val="0"/>
          <w:sz w:val="24"/>
        </w:rPr>
        <w:t>成果，</w:t>
      </w:r>
      <w:r>
        <w:rPr>
          <w:rFonts w:hint="eastAsia"/>
          <w:color w:val="auto"/>
          <w:kern w:val="0"/>
          <w:sz w:val="24"/>
        </w:rPr>
        <w:t>拟建</w:t>
      </w:r>
      <w:r>
        <w:rPr>
          <w:color w:val="auto"/>
          <w:kern w:val="0"/>
          <w:sz w:val="24"/>
        </w:rPr>
        <w:t>项目位置不</w:t>
      </w:r>
      <w:r>
        <w:rPr>
          <w:rFonts w:hint="eastAsia"/>
          <w:color w:val="auto"/>
          <w:kern w:val="0"/>
          <w:sz w:val="24"/>
        </w:rPr>
        <w:t>占用</w:t>
      </w:r>
      <w:r>
        <w:rPr>
          <w:color w:val="auto"/>
          <w:kern w:val="0"/>
          <w:sz w:val="24"/>
        </w:rPr>
        <w:t>淮南市生态保护红线。</w:t>
      </w:r>
    </w:p>
    <w:p w14:paraId="6E35F251">
      <w:pPr>
        <w:spacing w:line="360" w:lineRule="auto"/>
        <w:ind w:firstLine="480" w:firstLineChars="200"/>
        <w:rPr>
          <w:rFonts w:hint="eastAsia"/>
          <w:color w:val="auto"/>
          <w:sz w:val="24"/>
          <w:highlight w:val="cyan"/>
        </w:rPr>
        <w:sectPr>
          <w:footerReference r:id="rId8" w:type="default"/>
          <w:pgSz w:w="11906" w:h="16838"/>
          <w:pgMar w:top="1440" w:right="1418" w:bottom="1440" w:left="1418" w:header="851" w:footer="992" w:gutter="0"/>
          <w:pgBorders>
            <w:top w:val="none" w:sz="0" w:space="0"/>
            <w:left w:val="none" w:sz="0" w:space="0"/>
            <w:bottom w:val="none" w:sz="0" w:space="0"/>
            <w:right w:val="none" w:sz="0" w:space="0"/>
          </w:pgBorders>
          <w:cols w:space="720" w:num="1"/>
          <w:docGrid w:type="linesAndChars" w:linePitch="312" w:charSpace="0"/>
        </w:sectPr>
      </w:pPr>
    </w:p>
    <w:p w14:paraId="5EED0F4F">
      <w:pPr>
        <w:spacing w:line="360" w:lineRule="auto"/>
        <w:jc w:val="center"/>
        <w:rPr>
          <w:rFonts w:hint="eastAsia"/>
          <w:color w:val="auto"/>
        </w:rPr>
      </w:pPr>
      <w:r>
        <w:rPr>
          <w:color w:val="auto"/>
        </w:rPr>
        <mc:AlternateContent>
          <mc:Choice Requires="wps">
            <w:drawing>
              <wp:anchor distT="0" distB="0" distL="114300" distR="114300" simplePos="0" relativeHeight="251663360" behindDoc="0" locked="0" layoutInCell="1" allowOverlap="1">
                <wp:simplePos x="0" y="0"/>
                <wp:positionH relativeFrom="column">
                  <wp:posOffset>3169920</wp:posOffset>
                </wp:positionH>
                <wp:positionV relativeFrom="paragraph">
                  <wp:posOffset>2544445</wp:posOffset>
                </wp:positionV>
                <wp:extent cx="847725" cy="666750"/>
                <wp:effectExtent l="4445" t="4445" r="5080" b="14605"/>
                <wp:wrapNone/>
                <wp:docPr id="6" name="矩形 37"/>
                <wp:cNvGraphicFramePr/>
                <a:graphic xmlns:a="http://schemas.openxmlformats.org/drawingml/2006/main">
                  <a:graphicData uri="http://schemas.microsoft.com/office/word/2010/wordprocessingShape">
                    <wps:wsp>
                      <wps:cNvSpPr/>
                      <wps:spPr>
                        <a:xfrm>
                          <a:off x="0" y="0"/>
                          <a:ext cx="847725" cy="666750"/>
                        </a:xfrm>
                        <a:prstGeom prst="rect">
                          <a:avLst/>
                        </a:prstGeom>
                        <a:noFill/>
                        <a:ln w="9525" cap="flat" cmpd="sng">
                          <a:solidFill>
                            <a:srgbClr val="7030A0"/>
                          </a:solidFill>
                          <a:prstDash val="solid"/>
                          <a:miter/>
                          <a:headEnd type="none" w="med" len="med"/>
                          <a:tailEnd type="none" w="med" len="med"/>
                        </a:ln>
                      </wps:spPr>
                      <wps:bodyPr wrap="square" upright="1"/>
                    </wps:wsp>
                  </a:graphicData>
                </a:graphic>
              </wp:anchor>
            </w:drawing>
          </mc:Choice>
          <mc:Fallback>
            <w:pict>
              <v:rect id="矩形 37" o:spid="_x0000_s1026" o:spt="1" style="position:absolute;left:0pt;margin-left:249.6pt;margin-top:200.35pt;height:52.5pt;width:66.75pt;z-index:251663360;mso-width-relative:page;mso-height-relative:page;" filled="f" stroked="t" coordsize="21600,21600" o:gfxdata="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DCRd9oAAAALAQAADwAAAAAAAAABACAAAAAiAAAAZHJz&#10;L2Rvd25yZXYueG1sUEsBAhQAFAAAAAgAh07iQI2oq68CAgAAAwQAAA4AAAAAAAAAAQAgAAAAKQEA&#10;AGRycy9lMm9Eb2MueG1sUEsFBgAAAAAGAAYAWQEAAJ0FAAAAAA==&#10;">
                <v:fill on="f" focussize="0,0"/>
                <v:stroke color="#7030A0" joinstyle="miter"/>
                <v:imagedata o:title=""/>
                <o:lock v:ext="edit" aspectratio="f"/>
              </v:rect>
            </w:pict>
          </mc:Fallback>
        </mc:AlternateContent>
      </w:r>
      <w:r>
        <w:rPr>
          <w:color w:val="auto"/>
        </w:rPr>
        <mc:AlternateContent>
          <mc:Choice Requires="wps">
            <w:drawing>
              <wp:anchor distT="0" distB="0" distL="114300" distR="114300" simplePos="0" relativeHeight="251667456" behindDoc="0" locked="0" layoutInCell="1" allowOverlap="1">
                <wp:simplePos x="0" y="0"/>
                <wp:positionH relativeFrom="column">
                  <wp:posOffset>1684020</wp:posOffset>
                </wp:positionH>
                <wp:positionV relativeFrom="paragraph">
                  <wp:posOffset>4959350</wp:posOffset>
                </wp:positionV>
                <wp:extent cx="1282065" cy="450850"/>
                <wp:effectExtent l="0" t="0" r="0" b="0"/>
                <wp:wrapNone/>
                <wp:docPr id="10" name="文本框 41"/>
                <wp:cNvGraphicFramePr/>
                <a:graphic xmlns:a="http://schemas.openxmlformats.org/drawingml/2006/main">
                  <a:graphicData uri="http://schemas.microsoft.com/office/word/2010/wordprocessingShape">
                    <wps:wsp>
                      <wps:cNvSpPr txBox="1"/>
                      <wps:spPr>
                        <a:xfrm>
                          <a:off x="0" y="0"/>
                          <a:ext cx="1282065" cy="450850"/>
                        </a:xfrm>
                        <a:prstGeom prst="rect">
                          <a:avLst/>
                        </a:prstGeom>
                        <a:noFill/>
                        <a:ln>
                          <a:noFill/>
                        </a:ln>
                      </wps:spPr>
                      <wps:txbx>
                        <w:txbxContent>
                          <w:p w14:paraId="357A10F7">
                            <w:pPr>
                              <w:rPr>
                                <w:b/>
                                <w:bCs/>
                                <w:color w:val="FF0000"/>
                                <w:sz w:val="28"/>
                                <w:szCs w:val="28"/>
                              </w:rPr>
                            </w:pPr>
                            <w:r>
                              <w:rPr>
                                <w:rFonts w:hint="eastAsia"/>
                                <w:b/>
                                <w:bCs/>
                                <w:color w:val="FF0000"/>
                                <w:sz w:val="28"/>
                                <w:szCs w:val="28"/>
                              </w:rPr>
                              <w:t>本项目所在地</w:t>
                            </w:r>
                          </w:p>
                        </w:txbxContent>
                      </wps:txbx>
                      <wps:bodyPr wrap="square" upright="1"/>
                    </wps:wsp>
                  </a:graphicData>
                </a:graphic>
              </wp:anchor>
            </w:drawing>
          </mc:Choice>
          <mc:Fallback>
            <w:pict>
              <v:shape id="文本框 41" o:spid="_x0000_s1026" o:spt="202" type="#_x0000_t202" style="position:absolute;left:0pt;margin-left:132.6pt;margin-top:390.5pt;height:35.5pt;width:100.95pt;z-index:251667456;mso-width-relative:page;mso-height-relative:page;" filled="f" stroked="f" coordsize="21600,21600" o:gfxdata="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DGpzRtkAAAALAQAADwAAAAAAAAABACAAAAAiAAAAZHJzL2Rvd25yZXYueG1sUEsBAhQA&#10;FAAAAAgAh07iQACI8+i4AQAAXgMAAA4AAAAAAAAAAQAgAAAAKAEAAGRycy9lMm9Eb2MueG1sUEsF&#10;BgAAAAAGAAYAWQEAAFIFAAAAAA==&#10;">
                <v:fill on="f" focussize="0,0"/>
                <v:stroke on="f"/>
                <v:imagedata o:title=""/>
                <o:lock v:ext="edit" aspectratio="f"/>
                <v:textbox>
                  <w:txbxContent>
                    <w:p w14:paraId="357A10F7">
                      <w:pPr>
                        <w:rPr>
                          <w:b/>
                          <w:bCs/>
                          <w:color w:val="FF0000"/>
                          <w:sz w:val="28"/>
                          <w:szCs w:val="28"/>
                        </w:rPr>
                      </w:pPr>
                      <w:r>
                        <w:rPr>
                          <w:rFonts w:hint="eastAsia"/>
                          <w:b/>
                          <w:bCs/>
                          <w:color w:val="FF0000"/>
                          <w:sz w:val="28"/>
                          <w:szCs w:val="28"/>
                        </w:rPr>
                        <w:t>本项目所在地</w:t>
                      </w:r>
                    </w:p>
                  </w:txbxContent>
                </v:textbox>
              </v:shape>
            </w:pict>
          </mc:Fallback>
        </mc:AlternateContent>
      </w:r>
      <w:r>
        <w:rPr>
          <w:color w:val="auto"/>
        </w:rPr>
        <mc:AlternateContent>
          <mc:Choice Requires="wps">
            <w:drawing>
              <wp:anchor distT="0" distB="0" distL="114300" distR="114300" simplePos="0" relativeHeight="251666432" behindDoc="0" locked="0" layoutInCell="1" allowOverlap="1">
                <wp:simplePos x="0" y="0"/>
                <wp:positionH relativeFrom="column">
                  <wp:posOffset>2183765</wp:posOffset>
                </wp:positionH>
                <wp:positionV relativeFrom="paragraph">
                  <wp:posOffset>4868545</wp:posOffset>
                </wp:positionV>
                <wp:extent cx="196850" cy="75565"/>
                <wp:effectExtent l="13335" t="10795" r="18415" b="27940"/>
                <wp:wrapNone/>
                <wp:docPr id="9" name="自选图形 40"/>
                <wp:cNvGraphicFramePr/>
                <a:graphic xmlns:a="http://schemas.openxmlformats.org/drawingml/2006/main">
                  <a:graphicData uri="http://schemas.microsoft.com/office/word/2010/wordprocessingShape">
                    <wps:wsp>
                      <wps:cNvSpPr/>
                      <wps:spPr>
                        <a:xfrm rot="-10380000">
                          <a:off x="0" y="0"/>
                          <a:ext cx="196850" cy="75565"/>
                        </a:xfrm>
                        <a:custGeom>
                          <a:avLst/>
                          <a:gdLst>
                            <a:gd name="txL" fmla="*/ 4500 w 21600"/>
                            <a:gd name="txT" fmla="*/ 4500 h 21600"/>
                            <a:gd name="txR" fmla="*/ 17100 w 21600"/>
                            <a:gd name="txB" fmla="*/ 17100 h 21600"/>
                          </a:gdLst>
                          <a:ahLst/>
                          <a:cxnLst>
                            <a:cxn ang="0">
                              <a:pos x="18900" y="10800"/>
                            </a:cxn>
                            <a:cxn ang="90">
                              <a:pos x="10800" y="21600"/>
                            </a:cxn>
                            <a:cxn ang="180">
                              <a:pos x="2700" y="10800"/>
                            </a:cxn>
                            <a:cxn ang="270">
                              <a:pos x="10800" y="0"/>
                            </a:cxn>
                          </a:cxnLst>
                          <a:rect l="txL" t="txT" r="txR" b="txB"/>
                          <a:pathLst>
                            <a:path w="21600" h="21600">
                              <a:moveTo>
                                <a:pt x="0" y="0"/>
                              </a:moveTo>
                              <a:lnTo>
                                <a:pt x="5400" y="21600"/>
                              </a:lnTo>
                              <a:lnTo>
                                <a:pt x="16200" y="21600"/>
                              </a:lnTo>
                              <a:lnTo>
                                <a:pt x="21600" y="0"/>
                              </a:lnTo>
                              <a:close/>
                            </a:path>
                          </a:pathLst>
                        </a:custGeom>
                        <a:solidFill>
                          <a:srgbClr val="FFFFFF"/>
                        </a:solidFill>
                        <a:ln w="9525" cap="flat" cmpd="sng">
                          <a:solidFill>
                            <a:srgbClr val="FF0000"/>
                          </a:solidFill>
                          <a:prstDash val="solid"/>
                          <a:miter/>
                          <a:headEnd type="none" w="med" len="med"/>
                          <a:tailEnd type="none" w="med" len="med"/>
                        </a:ln>
                      </wps:spPr>
                      <wps:bodyPr wrap="square" upright="1"/>
                    </wps:wsp>
                  </a:graphicData>
                </a:graphic>
              </wp:anchor>
            </w:drawing>
          </mc:Choice>
          <mc:Fallback>
            <w:pict>
              <v:shape id="自选图形 40" o:spid="_x0000_s1026" o:spt="100" style="position:absolute;left:0pt;margin-left:171.95pt;margin-top:383.35pt;height:5.95pt;width:15.5pt;rotation:-11337728f;z-index:251666432;mso-width-relative:page;mso-height-relative:page;" fillcolor="#FFFFFF" filled="t" stroked="t" coordsize="21600,21600" o:gfxdata="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Jke7vLaAAAACwEAAA8A&#10;AAAAAAAAAQAgAAAAIgAAAGRycy9kb3ducmV2LnhtbFBLAQIUABQAAAAIAIdO4kCUJC8W+QIAAO8G&#10;AAAOAAAAAAAAAAEAIAAAACkBAABkcnMvZTJvRG9jLnhtbFBLBQYAAAAABgAGAFkBAACUBgAAAAA=&#10;" path="m0,0l5400,21600,16200,21600,21600,0xe">
                <v:path o:connectlocs="18900,10800;10800,21600;2700,10800;10800,0" o:connectangles="0,0,0,0"/>
                <v:fill on="t" focussize="0,0"/>
                <v:stroke color="#FF0000" joinstyle="miter"/>
                <v:imagedata o:title=""/>
                <o:lock v:ext="edit" aspectratio="f"/>
              </v:shape>
            </w:pict>
          </mc:Fallback>
        </mc:AlternateContent>
      </w:r>
      <w:r>
        <w:rPr>
          <w:color w:val="auto"/>
        </w:rPr>
        <mc:AlternateContent>
          <mc:Choice Requires="wps">
            <w:drawing>
              <wp:anchor distT="0" distB="0" distL="114300" distR="114300" simplePos="0" relativeHeight="251665408" behindDoc="0" locked="0" layoutInCell="1" allowOverlap="1">
                <wp:simplePos x="0" y="0"/>
                <wp:positionH relativeFrom="column">
                  <wp:posOffset>3822700</wp:posOffset>
                </wp:positionH>
                <wp:positionV relativeFrom="paragraph">
                  <wp:posOffset>3223260</wp:posOffset>
                </wp:positionV>
                <wp:extent cx="184150" cy="417830"/>
                <wp:effectExtent l="4445" t="1905" r="20955" b="18415"/>
                <wp:wrapNone/>
                <wp:docPr id="8" name="直线 39"/>
                <wp:cNvGraphicFramePr/>
                <a:graphic xmlns:a="http://schemas.openxmlformats.org/drawingml/2006/main">
                  <a:graphicData uri="http://schemas.microsoft.com/office/word/2010/wordprocessingShape">
                    <wps:wsp>
                      <wps:cNvCnPr/>
                      <wps:spPr>
                        <a:xfrm flipH="1">
                          <a:off x="0" y="0"/>
                          <a:ext cx="184150" cy="417830"/>
                        </a:xfrm>
                        <a:prstGeom prst="line">
                          <a:avLst/>
                        </a:prstGeom>
                        <a:ln w="9525" cap="flat" cmpd="sng">
                          <a:solidFill>
                            <a:srgbClr val="7030A0"/>
                          </a:solidFill>
                          <a:prstDash val="solid"/>
                          <a:headEnd type="none" w="med" len="med"/>
                          <a:tailEnd type="none" w="med" len="med"/>
                        </a:ln>
                      </wps:spPr>
                      <wps:bodyPr upright="1"/>
                    </wps:wsp>
                  </a:graphicData>
                </a:graphic>
              </wp:anchor>
            </w:drawing>
          </mc:Choice>
          <mc:Fallback>
            <w:pict>
              <v:line id="直线 39" o:spid="_x0000_s1026" o:spt="20" style="position:absolute;left:0pt;flip:x;margin-left:301pt;margin-top:253.8pt;height:32.9pt;width:14.5pt;z-index:251665408;mso-width-relative:page;mso-height-relative:page;" filled="f" stroked="t" coordsize="21600,21600" o:gfxdata="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O+dJ9sAAAALAQAADwAAAAAAAAABACAAAAAiAAAAZHJzL2Rvd25yZXYu&#10;eG1sUEsBAhQAFAAAAAgAh07iQMSBof74AQAA6gMAAA4AAAAAAAAAAQAgAAAAKgEAAGRycy9lMm9E&#10;b2MueG1sUEsFBgAAAAAGAAYAWQEAAJQFAAAAAA==&#10;">
                <v:fill on="f" focussize="0,0"/>
                <v:stroke color="#7030A0" joinstyle="round"/>
                <v:imagedata o:title=""/>
                <o:lock v:ext="edit" aspectratio="f"/>
              </v:line>
            </w:pict>
          </mc:Fallback>
        </mc:AlternateContent>
      </w:r>
      <w:r>
        <w:rPr>
          <w:color w:val="auto"/>
        </w:rPr>
        <mc:AlternateContent>
          <mc:Choice Requires="wps">
            <w:drawing>
              <wp:anchor distT="0" distB="0" distL="114300" distR="114300" simplePos="0" relativeHeight="251664384" behindDoc="0" locked="0" layoutInCell="1" allowOverlap="1">
                <wp:simplePos x="0" y="0"/>
                <wp:positionH relativeFrom="column">
                  <wp:posOffset>889000</wp:posOffset>
                </wp:positionH>
                <wp:positionV relativeFrom="paragraph">
                  <wp:posOffset>3214370</wp:posOffset>
                </wp:positionV>
                <wp:extent cx="2260600" cy="407670"/>
                <wp:effectExtent l="635" t="4445" r="5715" b="6985"/>
                <wp:wrapNone/>
                <wp:docPr id="7" name="直线 38"/>
                <wp:cNvGraphicFramePr/>
                <a:graphic xmlns:a="http://schemas.openxmlformats.org/drawingml/2006/main">
                  <a:graphicData uri="http://schemas.microsoft.com/office/word/2010/wordprocessingShape">
                    <wps:wsp>
                      <wps:cNvCnPr/>
                      <wps:spPr>
                        <a:xfrm flipH="1">
                          <a:off x="0" y="0"/>
                          <a:ext cx="2260600" cy="407670"/>
                        </a:xfrm>
                        <a:prstGeom prst="line">
                          <a:avLst/>
                        </a:prstGeom>
                        <a:ln w="9525" cap="flat" cmpd="sng">
                          <a:solidFill>
                            <a:srgbClr val="7030A0"/>
                          </a:solidFill>
                          <a:prstDash val="solid"/>
                          <a:headEnd type="none" w="med" len="med"/>
                          <a:tailEnd type="none" w="med" len="med"/>
                        </a:ln>
                      </wps:spPr>
                      <wps:bodyPr upright="1"/>
                    </wps:wsp>
                  </a:graphicData>
                </a:graphic>
              </wp:anchor>
            </w:drawing>
          </mc:Choice>
          <mc:Fallback>
            <w:pict>
              <v:line id="直线 38" o:spid="_x0000_s1026" o:spt="20" style="position:absolute;left:0pt;flip:x;margin-left:70pt;margin-top:253.1pt;height:32.1pt;width:178pt;z-index:251664384;mso-width-relative:page;mso-height-relative:page;" filled="f" stroked="t" coordsize="21600,21600" o:gfxdata="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BtrvrZAAAACwEAAA8AAAAAAAAAAQAgAAAAIgAAAGRycy9kb3ducmV2Lnht&#10;bFBLAQIUABQAAAAIAIdO4kC4CIUh+AEAAOsDAAAOAAAAAAAAAAEAIAAAACgBAABkcnMvZTJvRG9j&#10;LnhtbFBLBQYAAAAABgAGAFkBAACSBQAAAAA=&#10;">
                <v:fill on="f" focussize="0,0"/>
                <v:stroke color="#7030A0" joinstyle="round"/>
                <v:imagedata o:title=""/>
                <o:lock v:ext="edit" aspectratio="f"/>
              </v:line>
            </w:pict>
          </mc:Fallback>
        </mc:AlternateContent>
      </w:r>
      <w:r>
        <w:rPr>
          <w:color w:val="auto"/>
        </w:rPr>
        <mc:AlternateContent>
          <mc:Choice Requires="wps">
            <w:drawing>
              <wp:anchor distT="0" distB="0" distL="114300" distR="114300" simplePos="0" relativeHeight="251662336" behindDoc="0" locked="0" layoutInCell="1" allowOverlap="1">
                <wp:simplePos x="0" y="0"/>
                <wp:positionH relativeFrom="column">
                  <wp:posOffset>908050</wp:posOffset>
                </wp:positionH>
                <wp:positionV relativeFrom="paragraph">
                  <wp:posOffset>3628390</wp:posOffset>
                </wp:positionV>
                <wp:extent cx="2914650" cy="2501900"/>
                <wp:effectExtent l="4445" t="4445" r="14605" b="8255"/>
                <wp:wrapNone/>
                <wp:docPr id="5" name="文本框 36"/>
                <wp:cNvGraphicFramePr/>
                <a:graphic xmlns:a="http://schemas.openxmlformats.org/drawingml/2006/main">
                  <a:graphicData uri="http://schemas.microsoft.com/office/word/2010/wordprocessingShape">
                    <wps:wsp>
                      <wps:cNvSpPr txBox="1"/>
                      <wps:spPr>
                        <a:xfrm>
                          <a:off x="0" y="0"/>
                          <a:ext cx="2914650" cy="2501900"/>
                        </a:xfrm>
                        <a:prstGeom prst="rect">
                          <a:avLst/>
                        </a:prstGeom>
                        <a:noFill/>
                        <a:ln w="9525" cap="flat" cmpd="sng">
                          <a:solidFill>
                            <a:srgbClr val="7030A0"/>
                          </a:solidFill>
                          <a:prstDash val="solid"/>
                          <a:miter/>
                          <a:headEnd type="none" w="med" len="med"/>
                          <a:tailEnd type="none" w="med" len="med"/>
                        </a:ln>
                      </wps:spPr>
                      <wps:txbx>
                        <w:txbxContent>
                          <w:p w14:paraId="2A29A846">
                            <w:r>
                              <w:drawing>
                                <wp:inline distT="0" distB="0" distL="114300" distR="114300">
                                  <wp:extent cx="2718435" cy="2602865"/>
                                  <wp:effectExtent l="0" t="0" r="5715" b="6985"/>
                                  <wp:docPr id="8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7"/>
                                          <pic:cNvPicPr>
                                            <a:picLocks noChangeAspect="1"/>
                                          </pic:cNvPicPr>
                                        </pic:nvPicPr>
                                        <pic:blipFill>
                                          <a:blip r:embed="rId29"/>
                                          <a:stretch>
                                            <a:fillRect/>
                                          </a:stretch>
                                        </pic:blipFill>
                                        <pic:spPr>
                                          <a:xfrm>
                                            <a:off x="0" y="0"/>
                                            <a:ext cx="2718435" cy="2602865"/>
                                          </a:xfrm>
                                          <a:prstGeom prst="rect">
                                            <a:avLst/>
                                          </a:prstGeom>
                                          <a:noFill/>
                                          <a:ln>
                                            <a:noFill/>
                                          </a:ln>
                                        </pic:spPr>
                                      </pic:pic>
                                    </a:graphicData>
                                  </a:graphic>
                                </wp:inline>
                              </w:drawing>
                            </w:r>
                          </w:p>
                        </w:txbxContent>
                      </wps:txbx>
                      <wps:bodyPr wrap="square" upright="1"/>
                    </wps:wsp>
                  </a:graphicData>
                </a:graphic>
              </wp:anchor>
            </w:drawing>
          </mc:Choice>
          <mc:Fallback>
            <w:pict>
              <v:shape id="文本框 36" o:spid="_x0000_s1026" o:spt="202" type="#_x0000_t202" style="position:absolute;left:0pt;margin-left:71.5pt;margin-top:285.7pt;height:197pt;width:229.5pt;z-index:251662336;mso-width-relative:page;mso-height-relative:page;" filled="f" stroked="t" coordsize="21600,21600" o:gfxdata="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7LJR9oAAAALAQAADwAA&#10;AAAAAAABACAAAAAiAAAAZHJzL2Rvd25yZXYueG1sUEsBAhQAFAAAAAgAh07iQNzNxC0UAgAAHQQA&#10;AA4AAAAAAAAAAQAgAAAAKQEAAGRycy9lMm9Eb2MueG1sUEsFBgAAAAAGAAYAWQEAAK8FAAAAAA==&#10;">
                <v:fill on="f" focussize="0,0"/>
                <v:stroke color="#7030A0" joinstyle="miter"/>
                <v:imagedata o:title=""/>
                <o:lock v:ext="edit" aspectratio="f"/>
                <v:textbox>
                  <w:txbxContent>
                    <w:p w14:paraId="2A29A846">
                      <w:r>
                        <w:drawing>
                          <wp:inline distT="0" distB="0" distL="114300" distR="114300">
                            <wp:extent cx="2718435" cy="2602865"/>
                            <wp:effectExtent l="0" t="0" r="5715" b="6985"/>
                            <wp:docPr id="8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7"/>
                                    <pic:cNvPicPr>
                                      <a:picLocks noChangeAspect="1"/>
                                    </pic:cNvPicPr>
                                  </pic:nvPicPr>
                                  <pic:blipFill>
                                    <a:blip r:embed="rId29"/>
                                    <a:stretch>
                                      <a:fillRect/>
                                    </a:stretch>
                                  </pic:blipFill>
                                  <pic:spPr>
                                    <a:xfrm>
                                      <a:off x="0" y="0"/>
                                      <a:ext cx="2718435" cy="2602865"/>
                                    </a:xfrm>
                                    <a:prstGeom prst="rect">
                                      <a:avLst/>
                                    </a:prstGeom>
                                    <a:noFill/>
                                    <a:ln>
                                      <a:noFill/>
                                    </a:ln>
                                  </pic:spPr>
                                </pic:pic>
                              </a:graphicData>
                            </a:graphic>
                          </wp:inline>
                        </w:drawing>
                      </w:r>
                    </w:p>
                  </w:txbxContent>
                </v:textbox>
              </v:shape>
            </w:pict>
          </mc:Fallback>
        </mc:AlternateContent>
      </w:r>
      <w:r>
        <w:rPr>
          <w:color w:val="auto"/>
        </w:rPr>
        <w:drawing>
          <wp:inline distT="0" distB="0" distL="114300" distR="114300">
            <wp:extent cx="5761990" cy="8244205"/>
            <wp:effectExtent l="0" t="0" r="10160" b="4445"/>
            <wp:docPr id="135" name="图片 7" descr="C:/Users/dell/Desktop/提取自淮南市国土空间总体规划图集_01(1).jpg提取自淮南市国土空间总体规划图集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7" descr="C:/Users/dell/Desktop/提取自淮南市国土空间总体规划图集_01(1).jpg提取自淮南市国土空间总体规划图集_01(1)"/>
                    <pic:cNvPicPr>
                      <a:picLocks noChangeAspect="1"/>
                    </pic:cNvPicPr>
                  </pic:nvPicPr>
                  <pic:blipFill>
                    <a:blip r:embed="rId30"/>
                    <a:srcRect l="582" r="582"/>
                    <a:stretch>
                      <a:fillRect/>
                    </a:stretch>
                  </pic:blipFill>
                  <pic:spPr>
                    <a:xfrm>
                      <a:off x="0" y="0"/>
                      <a:ext cx="5761990" cy="8244205"/>
                    </a:xfrm>
                    <a:prstGeom prst="rect">
                      <a:avLst/>
                    </a:prstGeom>
                    <a:noFill/>
                    <a:ln>
                      <a:noFill/>
                    </a:ln>
                  </pic:spPr>
                </pic:pic>
              </a:graphicData>
            </a:graphic>
          </wp:inline>
        </w:drawing>
      </w:r>
    </w:p>
    <w:p w14:paraId="254B5366">
      <w:pPr>
        <w:spacing w:line="360" w:lineRule="auto"/>
        <w:jc w:val="center"/>
        <w:rPr>
          <w:rFonts w:eastAsia="黑体"/>
          <w:color w:val="auto"/>
          <w:sz w:val="24"/>
        </w:rPr>
        <w:sectPr>
          <w:pgSz w:w="11905" w:h="16838"/>
          <w:pgMar w:top="1418" w:right="1418" w:bottom="1418" w:left="1418" w:header="851" w:footer="992" w:gutter="0"/>
          <w:pgBorders>
            <w:top w:val="none" w:sz="0" w:space="0"/>
            <w:left w:val="none" w:sz="0" w:space="0"/>
            <w:bottom w:val="none" w:sz="0" w:space="0"/>
            <w:right w:val="none" w:sz="0" w:space="0"/>
          </w:pgBorders>
          <w:cols w:space="720" w:num="1"/>
          <w:docGrid w:type="linesAndChars" w:linePitch="317" w:charSpace="1214"/>
        </w:sectPr>
      </w:pPr>
      <w:r>
        <w:rPr>
          <w:rFonts w:eastAsia="黑体"/>
          <w:color w:val="auto"/>
          <w:sz w:val="24"/>
        </w:rPr>
        <w:t>图2.5-</w:t>
      </w:r>
      <w:r>
        <w:rPr>
          <w:rFonts w:hint="eastAsia" w:eastAsia="黑体"/>
          <w:color w:val="auto"/>
          <w:sz w:val="24"/>
          <w:lang w:val="en-US" w:eastAsia="zh-CN"/>
        </w:rPr>
        <w:t>3</w:t>
      </w:r>
      <w:r>
        <w:rPr>
          <w:rFonts w:eastAsia="黑体"/>
          <w:color w:val="auto"/>
          <w:sz w:val="24"/>
        </w:rPr>
        <w:t xml:space="preserve">  项目与淮南市生态保护红线</w:t>
      </w:r>
      <w:r>
        <w:rPr>
          <w:rFonts w:hint="eastAsia" w:eastAsia="黑体"/>
          <w:color w:val="auto"/>
          <w:sz w:val="24"/>
        </w:rPr>
        <w:t>（局部）</w:t>
      </w:r>
      <w:r>
        <w:rPr>
          <w:rFonts w:eastAsia="黑体"/>
          <w:color w:val="auto"/>
          <w:sz w:val="24"/>
        </w:rPr>
        <w:t>位置关系示意图</w:t>
      </w:r>
    </w:p>
    <w:p w14:paraId="7F4FCEB4">
      <w:pPr>
        <w:spacing w:line="360" w:lineRule="auto"/>
        <w:jc w:val="center"/>
        <w:rPr>
          <w:rFonts w:eastAsia="黑体"/>
          <w:color w:val="auto"/>
          <w:sz w:val="24"/>
        </w:rPr>
      </w:pPr>
      <w:r>
        <w:rPr>
          <w:color w:val="auto"/>
          <w:sz w:val="24"/>
        </w:rPr>
        <mc:AlternateContent>
          <mc:Choice Requires="wps">
            <w:drawing>
              <wp:anchor distT="0" distB="0" distL="114300" distR="114300" simplePos="0" relativeHeight="251672576" behindDoc="0" locked="0" layoutInCell="1" allowOverlap="1">
                <wp:simplePos x="0" y="0"/>
                <wp:positionH relativeFrom="column">
                  <wp:posOffset>2468880</wp:posOffset>
                </wp:positionH>
                <wp:positionV relativeFrom="paragraph">
                  <wp:posOffset>4879340</wp:posOffset>
                </wp:positionV>
                <wp:extent cx="177800" cy="75565"/>
                <wp:effectExtent l="17780" t="14605" r="13970" b="43180"/>
                <wp:wrapNone/>
                <wp:docPr id="15" name="自选图形 46"/>
                <wp:cNvGraphicFramePr/>
                <a:graphic xmlns:a="http://schemas.openxmlformats.org/drawingml/2006/main">
                  <a:graphicData uri="http://schemas.microsoft.com/office/word/2010/wordprocessingShape">
                    <wps:wsp>
                      <wps:cNvSpPr/>
                      <wps:spPr>
                        <a:xfrm rot="-10140000">
                          <a:off x="0" y="0"/>
                          <a:ext cx="177800" cy="75565"/>
                        </a:xfrm>
                        <a:custGeom>
                          <a:avLst/>
                          <a:gdLst>
                            <a:gd name="txL" fmla="*/ 4500 w 21600"/>
                            <a:gd name="txT" fmla="*/ 4500 h 21600"/>
                            <a:gd name="txR" fmla="*/ 17100 w 21600"/>
                            <a:gd name="txB" fmla="*/ 17100 h 21600"/>
                          </a:gdLst>
                          <a:ahLst/>
                          <a:cxnLst>
                            <a:cxn ang="0">
                              <a:pos x="18900" y="10800"/>
                            </a:cxn>
                            <a:cxn ang="90">
                              <a:pos x="10800" y="21600"/>
                            </a:cxn>
                            <a:cxn ang="180">
                              <a:pos x="2700" y="10800"/>
                            </a:cxn>
                            <a:cxn ang="270">
                              <a:pos x="10800" y="0"/>
                            </a:cxn>
                          </a:cxnLst>
                          <a:rect l="txL" t="txT" r="txR" b="txB"/>
                          <a:pathLst>
                            <a:path w="21600" h="21600">
                              <a:moveTo>
                                <a:pt x="0" y="0"/>
                              </a:moveTo>
                              <a:lnTo>
                                <a:pt x="5400" y="21600"/>
                              </a:lnTo>
                              <a:lnTo>
                                <a:pt x="16200" y="21600"/>
                              </a:lnTo>
                              <a:lnTo>
                                <a:pt x="21600" y="0"/>
                              </a:lnTo>
                              <a:close/>
                            </a:path>
                          </a:pathLst>
                        </a:custGeom>
                        <a:noFill/>
                        <a:ln w="12700" cap="flat" cmpd="sng">
                          <a:solidFill>
                            <a:srgbClr val="7030A0"/>
                          </a:solidFill>
                          <a:prstDash val="solid"/>
                          <a:miter/>
                          <a:headEnd type="none" w="med" len="med"/>
                          <a:tailEnd type="none" w="med" len="med"/>
                        </a:ln>
                      </wps:spPr>
                      <wps:bodyPr wrap="square" upright="1"/>
                    </wps:wsp>
                  </a:graphicData>
                </a:graphic>
              </wp:anchor>
            </w:drawing>
          </mc:Choice>
          <mc:Fallback>
            <w:pict>
              <v:shape id="自选图形 46" o:spid="_x0000_s1026" o:spt="100" style="position:absolute;left:0pt;margin-left:194.4pt;margin-top:384.2pt;height:5.95pt;width:14pt;rotation:-11075584f;z-index:251672576;mso-width-relative:page;mso-height-relative:page;" filled="f" stroked="t" coordsize="21600,21600" o:gfxdata="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CIf3Ok2QAAAAsBAAAPAAAAAAAAAAEA&#10;IAAAACIAAABkcnMvZG93bnJldi54bWxQSwECFAAUAAAACACHTuJATVK9g/ICAADIBgAADgAAAAAA&#10;AAABACAAAAAoAQAAZHJzL2Uyb0RvYy54bWxQSwUGAAAAAAYABgBZAQAAjAYAAAAA&#10;" path="m0,0l5400,21600,16200,21600,21600,0xe">
                <v:path o:connectlocs="18900,10800;10800,21600;2700,10800;10800,0" o:connectangles="0,0,0,0"/>
                <v:fill on="f" focussize="0,0"/>
                <v:stroke weight="1pt" color="#7030A0" joinstyle="miter"/>
                <v:imagedata o:title=""/>
                <o:lock v:ext="edit" aspectratio="f"/>
              </v:shape>
            </w:pict>
          </mc:Fallback>
        </mc:AlternateContent>
      </w:r>
      <w:r>
        <w:rPr>
          <w:color w:val="auto"/>
          <w:sz w:val="24"/>
        </w:rPr>
        <mc:AlternateContent>
          <mc:Choice Requires="wps">
            <w:drawing>
              <wp:anchor distT="0" distB="0" distL="114300" distR="114300" simplePos="0" relativeHeight="251673600" behindDoc="0" locked="0" layoutInCell="1" allowOverlap="1">
                <wp:simplePos x="0" y="0"/>
                <wp:positionH relativeFrom="column">
                  <wp:posOffset>1968500</wp:posOffset>
                </wp:positionH>
                <wp:positionV relativeFrom="paragraph">
                  <wp:posOffset>4848860</wp:posOffset>
                </wp:positionV>
                <wp:extent cx="1320800" cy="419100"/>
                <wp:effectExtent l="0" t="0" r="0" b="0"/>
                <wp:wrapNone/>
                <wp:docPr id="16" name="文本框 47"/>
                <wp:cNvGraphicFramePr/>
                <a:graphic xmlns:a="http://schemas.openxmlformats.org/drawingml/2006/main">
                  <a:graphicData uri="http://schemas.microsoft.com/office/word/2010/wordprocessingShape">
                    <wps:wsp>
                      <wps:cNvSpPr txBox="1"/>
                      <wps:spPr>
                        <a:xfrm>
                          <a:off x="0" y="0"/>
                          <a:ext cx="1320800" cy="419100"/>
                        </a:xfrm>
                        <a:prstGeom prst="rect">
                          <a:avLst/>
                        </a:prstGeom>
                        <a:noFill/>
                        <a:ln>
                          <a:noFill/>
                        </a:ln>
                      </wps:spPr>
                      <wps:txbx>
                        <w:txbxContent>
                          <w:p w14:paraId="7A7E982F">
                            <w:pPr>
                              <w:rPr>
                                <w:b/>
                                <w:bCs/>
                                <w:color w:val="FF0000"/>
                                <w:sz w:val="28"/>
                                <w:szCs w:val="28"/>
                              </w:rPr>
                            </w:pPr>
                            <w:r>
                              <w:rPr>
                                <w:rFonts w:hint="eastAsia"/>
                                <w:b/>
                                <w:bCs/>
                                <w:color w:val="FF0000"/>
                                <w:sz w:val="28"/>
                                <w:szCs w:val="28"/>
                              </w:rPr>
                              <w:t>本项目所在地</w:t>
                            </w:r>
                          </w:p>
                        </w:txbxContent>
                      </wps:txbx>
                      <wps:bodyPr wrap="square" upright="1"/>
                    </wps:wsp>
                  </a:graphicData>
                </a:graphic>
              </wp:anchor>
            </w:drawing>
          </mc:Choice>
          <mc:Fallback>
            <w:pict>
              <v:shape id="文本框 47" o:spid="_x0000_s1026" o:spt="202" type="#_x0000_t202" style="position:absolute;left:0pt;margin-left:155pt;margin-top:381.8pt;height:33pt;width:104pt;z-index:251673600;mso-width-relative:page;mso-height-relative:page;" filled="f" stroked="f" coordsize="21600,21600" o:gfxdata="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8Wfyg2QAAAAsBAAAPAAAAAAAAAAEAIAAAACIAAABkcnMvZG93bnJldi54bWxQSwECFAAU&#10;AAAACACHTuJA28ycuLcBAABeAwAADgAAAAAAAAABACAAAAAoAQAAZHJzL2Uyb0RvYy54bWxQSwUG&#10;AAAAAAYABgBZAQAAUQUAAAAA&#10;">
                <v:fill on="f" focussize="0,0"/>
                <v:stroke on="f"/>
                <v:imagedata o:title=""/>
                <o:lock v:ext="edit" aspectratio="f"/>
                <v:textbox>
                  <w:txbxContent>
                    <w:p w14:paraId="7A7E982F">
                      <w:pPr>
                        <w:rPr>
                          <w:b/>
                          <w:bCs/>
                          <w:color w:val="FF0000"/>
                          <w:sz w:val="28"/>
                          <w:szCs w:val="28"/>
                        </w:rPr>
                      </w:pPr>
                      <w:r>
                        <w:rPr>
                          <w:rFonts w:hint="eastAsia"/>
                          <w:b/>
                          <w:bCs/>
                          <w:color w:val="FF0000"/>
                          <w:sz w:val="28"/>
                          <w:szCs w:val="28"/>
                        </w:rPr>
                        <w:t>本项目所在地</w:t>
                      </w:r>
                    </w:p>
                  </w:txbxContent>
                </v:textbox>
              </v:shape>
            </w:pict>
          </mc:Fallback>
        </mc:AlternateContent>
      </w:r>
      <w:r>
        <w:rPr>
          <w:color w:val="auto"/>
          <w:sz w:val="24"/>
        </w:rPr>
        <mc:AlternateContent>
          <mc:Choice Requires="wps">
            <w:drawing>
              <wp:anchor distT="0" distB="0" distL="114300" distR="114300" simplePos="0" relativeHeight="251671552" behindDoc="0" locked="0" layoutInCell="1" allowOverlap="1">
                <wp:simplePos x="0" y="0"/>
                <wp:positionH relativeFrom="column">
                  <wp:posOffset>3759200</wp:posOffset>
                </wp:positionH>
                <wp:positionV relativeFrom="paragraph">
                  <wp:posOffset>3421380</wp:posOffset>
                </wp:positionV>
                <wp:extent cx="19050" cy="463550"/>
                <wp:effectExtent l="4445" t="0" r="14605" b="12700"/>
                <wp:wrapNone/>
                <wp:docPr id="14" name="直线 45"/>
                <wp:cNvGraphicFramePr/>
                <a:graphic xmlns:a="http://schemas.openxmlformats.org/drawingml/2006/main">
                  <a:graphicData uri="http://schemas.microsoft.com/office/word/2010/wordprocessingShape">
                    <wps:wsp>
                      <wps:cNvCnPr/>
                      <wps:spPr>
                        <a:xfrm flipH="1">
                          <a:off x="0" y="0"/>
                          <a:ext cx="19050" cy="463550"/>
                        </a:xfrm>
                        <a:prstGeom prst="line">
                          <a:avLst/>
                        </a:prstGeom>
                        <a:ln w="9525" cap="flat" cmpd="sng">
                          <a:solidFill>
                            <a:srgbClr val="0070C0"/>
                          </a:solidFill>
                          <a:prstDash val="solid"/>
                          <a:headEnd type="none" w="med" len="med"/>
                          <a:tailEnd type="none" w="med" len="med"/>
                        </a:ln>
                      </wps:spPr>
                      <wps:bodyPr upright="1"/>
                    </wps:wsp>
                  </a:graphicData>
                </a:graphic>
              </wp:anchor>
            </w:drawing>
          </mc:Choice>
          <mc:Fallback>
            <w:pict>
              <v:line id="直线 45" o:spid="_x0000_s1026" o:spt="20" style="position:absolute;left:0pt;flip:x;margin-left:296pt;margin-top:269.4pt;height:36.5pt;width:1.5pt;z-index:251671552;mso-width-relative:page;mso-height-relative:page;" filled="f" stroked="t" coordsize="21600,21600" o:gfxdata="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D0gbcAAAACwEAAA8AAAAAAAAAAQAgAAAAIgAAAGRycy9kb3ducmV2Lnht&#10;bFBLAQIUABQAAAAIAIdO4kBtp9h19QEAAOoDAAAOAAAAAAAAAAEAIAAAACsBAABkcnMvZTJvRG9j&#10;LnhtbFBLBQYAAAAABgAGAFkBAACSBQAAAAA=&#10;">
                <v:fill on="f" focussize="0,0"/>
                <v:stroke color="#0070C0" joinstyle="round"/>
                <v:imagedata o:title=""/>
                <o:lock v:ext="edit" aspectratio="f"/>
              </v:line>
            </w:pict>
          </mc:Fallback>
        </mc:AlternateContent>
      </w:r>
      <w:r>
        <w:rPr>
          <w:color w:val="auto"/>
          <w:sz w:val="24"/>
        </w:rPr>
        <mc:AlternateContent>
          <mc:Choice Requires="wps">
            <w:drawing>
              <wp:anchor distT="0" distB="0" distL="114300" distR="114300" simplePos="0" relativeHeight="251670528" behindDoc="0" locked="0" layoutInCell="1" allowOverlap="1">
                <wp:simplePos x="0" y="0"/>
                <wp:positionH relativeFrom="column">
                  <wp:posOffset>1085850</wp:posOffset>
                </wp:positionH>
                <wp:positionV relativeFrom="paragraph">
                  <wp:posOffset>3421380</wp:posOffset>
                </wp:positionV>
                <wp:extent cx="2044700" cy="469900"/>
                <wp:effectExtent l="1270" t="4445" r="11430" b="20955"/>
                <wp:wrapNone/>
                <wp:docPr id="13" name="直线 44"/>
                <wp:cNvGraphicFramePr/>
                <a:graphic xmlns:a="http://schemas.openxmlformats.org/drawingml/2006/main">
                  <a:graphicData uri="http://schemas.microsoft.com/office/word/2010/wordprocessingShape">
                    <wps:wsp>
                      <wps:cNvCnPr/>
                      <wps:spPr>
                        <a:xfrm flipV="1">
                          <a:off x="0" y="0"/>
                          <a:ext cx="2044700" cy="469900"/>
                        </a:xfrm>
                        <a:prstGeom prst="line">
                          <a:avLst/>
                        </a:prstGeom>
                        <a:ln w="9525" cap="flat" cmpd="sng">
                          <a:solidFill>
                            <a:srgbClr val="0070C0"/>
                          </a:solidFill>
                          <a:prstDash val="solid"/>
                          <a:headEnd type="none" w="med" len="med"/>
                          <a:tailEnd type="none" w="med" len="med"/>
                        </a:ln>
                      </wps:spPr>
                      <wps:bodyPr upright="1"/>
                    </wps:wsp>
                  </a:graphicData>
                </a:graphic>
              </wp:anchor>
            </w:drawing>
          </mc:Choice>
          <mc:Fallback>
            <w:pict>
              <v:line id="直线 44" o:spid="_x0000_s1026" o:spt="20" style="position:absolute;left:0pt;flip:y;margin-left:85.5pt;margin-top:269.4pt;height:37pt;width:161pt;z-index:251670528;mso-width-relative:page;mso-height-relative:page;" filled="f" stroked="t" coordsize="21600,21600" o:gfxdata="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RX32bbAAAACwEAAA8AAAAAAAAAAQAgAAAAIgAAAGRycy9kb3ducmV2Lnht&#10;bFBLAQIUABQAAAAIAIdO4kCdQbyA9gEAAOwDAAAOAAAAAAAAAAEAIAAAACoBAABkcnMvZTJvRG9j&#10;LnhtbFBLBQYAAAAABgAGAFkBAACSBQAAAAA=&#10;">
                <v:fill on="f" focussize="0,0"/>
                <v:stroke color="#0070C0" joinstyle="round"/>
                <v:imagedata o:title=""/>
                <o:lock v:ext="edit" aspectratio="f"/>
              </v:line>
            </w:pict>
          </mc:Fallback>
        </mc:AlternateContent>
      </w:r>
      <w:r>
        <w:rPr>
          <w:color w:val="auto"/>
          <w:sz w:val="24"/>
        </w:rPr>
        <mc:AlternateContent>
          <mc:Choice Requires="wps">
            <w:drawing>
              <wp:anchor distT="0" distB="0" distL="114300" distR="114300" simplePos="0" relativeHeight="251669504" behindDoc="0" locked="0" layoutInCell="1" allowOverlap="1">
                <wp:simplePos x="0" y="0"/>
                <wp:positionH relativeFrom="column">
                  <wp:posOffset>1085850</wp:posOffset>
                </wp:positionH>
                <wp:positionV relativeFrom="paragraph">
                  <wp:posOffset>3879850</wp:posOffset>
                </wp:positionV>
                <wp:extent cx="2673350" cy="2286000"/>
                <wp:effectExtent l="4445" t="5080" r="8255" b="13970"/>
                <wp:wrapNone/>
                <wp:docPr id="12" name="文本框 43"/>
                <wp:cNvGraphicFramePr/>
                <a:graphic xmlns:a="http://schemas.openxmlformats.org/drawingml/2006/main">
                  <a:graphicData uri="http://schemas.microsoft.com/office/word/2010/wordprocessingShape">
                    <wps:wsp>
                      <wps:cNvSpPr txBox="1"/>
                      <wps:spPr>
                        <a:xfrm>
                          <a:off x="0" y="0"/>
                          <a:ext cx="2673350" cy="2286000"/>
                        </a:xfrm>
                        <a:prstGeom prst="rect">
                          <a:avLst/>
                        </a:prstGeom>
                        <a:noFill/>
                        <a:ln w="9525" cap="flat" cmpd="sng">
                          <a:solidFill>
                            <a:srgbClr val="0070C0"/>
                          </a:solidFill>
                          <a:prstDash val="solid"/>
                          <a:miter/>
                          <a:headEnd type="none" w="med" len="med"/>
                          <a:tailEnd type="none" w="med" len="med"/>
                        </a:ln>
                      </wps:spPr>
                      <wps:txbx>
                        <w:txbxContent>
                          <w:p w14:paraId="24B5DABA">
                            <w:r>
                              <w:drawing>
                                <wp:inline distT="0" distB="0" distL="114300" distR="114300">
                                  <wp:extent cx="2478405" cy="2233295"/>
                                  <wp:effectExtent l="0" t="0" r="17145" b="14605"/>
                                  <wp:docPr id="9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8"/>
                                          <pic:cNvPicPr>
                                            <a:picLocks noChangeAspect="1"/>
                                          </pic:cNvPicPr>
                                        </pic:nvPicPr>
                                        <pic:blipFill>
                                          <a:blip r:embed="rId31"/>
                                          <a:stretch>
                                            <a:fillRect/>
                                          </a:stretch>
                                        </pic:blipFill>
                                        <pic:spPr>
                                          <a:xfrm>
                                            <a:off x="0" y="0"/>
                                            <a:ext cx="2478405" cy="2233295"/>
                                          </a:xfrm>
                                          <a:prstGeom prst="rect">
                                            <a:avLst/>
                                          </a:prstGeom>
                                          <a:noFill/>
                                          <a:ln>
                                            <a:noFill/>
                                          </a:ln>
                                        </pic:spPr>
                                      </pic:pic>
                                    </a:graphicData>
                                  </a:graphic>
                                </wp:inline>
                              </w:drawing>
                            </w:r>
                          </w:p>
                        </w:txbxContent>
                      </wps:txbx>
                      <wps:bodyPr wrap="square" upright="1"/>
                    </wps:wsp>
                  </a:graphicData>
                </a:graphic>
              </wp:anchor>
            </w:drawing>
          </mc:Choice>
          <mc:Fallback>
            <w:pict>
              <v:shape id="文本框 43" o:spid="_x0000_s1026" o:spt="202" type="#_x0000_t202" style="position:absolute;left:0pt;margin-left:85.5pt;margin-top:305.5pt;height:180pt;width:210.5pt;z-index:251669504;mso-width-relative:page;mso-height-relative:page;" filled="f" stroked="t" coordsize="21600,21600" o:gfxdata="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L51fWAAAACwEAAA8AAAAAAAAA&#10;AQAgAAAAIgAAAGRycy9kb3ducmV2LnhtbFBLAQIUABQAAAAIAIdO4kB9KmEhEwIAAB4EAAAOAAAA&#10;AAAAAAEAIAAAACUBAABkcnMvZTJvRG9jLnhtbFBLBQYAAAAABgAGAFkBAACqBQAAAAA=&#10;">
                <v:fill on="f" focussize="0,0"/>
                <v:stroke color="#0070C0" joinstyle="miter"/>
                <v:imagedata o:title=""/>
                <o:lock v:ext="edit" aspectratio="f"/>
                <v:textbox>
                  <w:txbxContent>
                    <w:p w14:paraId="24B5DABA">
                      <w:r>
                        <w:drawing>
                          <wp:inline distT="0" distB="0" distL="114300" distR="114300">
                            <wp:extent cx="2478405" cy="2233295"/>
                            <wp:effectExtent l="0" t="0" r="17145" b="14605"/>
                            <wp:docPr id="9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18"/>
                                    <pic:cNvPicPr>
                                      <a:picLocks noChangeAspect="1"/>
                                    </pic:cNvPicPr>
                                  </pic:nvPicPr>
                                  <pic:blipFill>
                                    <a:blip r:embed="rId31"/>
                                    <a:stretch>
                                      <a:fillRect/>
                                    </a:stretch>
                                  </pic:blipFill>
                                  <pic:spPr>
                                    <a:xfrm>
                                      <a:off x="0" y="0"/>
                                      <a:ext cx="2478405" cy="2233295"/>
                                    </a:xfrm>
                                    <a:prstGeom prst="rect">
                                      <a:avLst/>
                                    </a:prstGeom>
                                    <a:noFill/>
                                    <a:ln>
                                      <a:noFill/>
                                    </a:ln>
                                  </pic:spPr>
                                </pic:pic>
                              </a:graphicData>
                            </a:graphic>
                          </wp:inline>
                        </w:drawing>
                      </w:r>
                    </w:p>
                  </w:txbxContent>
                </v:textbox>
              </v:shape>
            </w:pict>
          </mc:Fallback>
        </mc:AlternateContent>
      </w:r>
      <w:r>
        <w:rPr>
          <w:color w:val="auto"/>
          <w:sz w:val="24"/>
        </w:rPr>
        <mc:AlternateContent>
          <mc:Choice Requires="wps">
            <w:drawing>
              <wp:anchor distT="0" distB="0" distL="114300" distR="114300" simplePos="0" relativeHeight="251668480" behindDoc="0" locked="0" layoutInCell="1" allowOverlap="1">
                <wp:simplePos x="0" y="0"/>
                <wp:positionH relativeFrom="column">
                  <wp:posOffset>3130550</wp:posOffset>
                </wp:positionH>
                <wp:positionV relativeFrom="paragraph">
                  <wp:posOffset>2835275</wp:posOffset>
                </wp:positionV>
                <wp:extent cx="647700" cy="584200"/>
                <wp:effectExtent l="4445" t="4445" r="14605" b="20955"/>
                <wp:wrapNone/>
                <wp:docPr id="11" name="矩形 42"/>
                <wp:cNvGraphicFramePr/>
                <a:graphic xmlns:a="http://schemas.openxmlformats.org/drawingml/2006/main">
                  <a:graphicData uri="http://schemas.microsoft.com/office/word/2010/wordprocessingShape">
                    <wps:wsp>
                      <wps:cNvSpPr/>
                      <wps:spPr>
                        <a:xfrm>
                          <a:off x="0" y="0"/>
                          <a:ext cx="647700" cy="584200"/>
                        </a:xfrm>
                        <a:prstGeom prst="rect">
                          <a:avLst/>
                        </a:prstGeom>
                        <a:noFill/>
                        <a:ln w="9525" cap="flat" cmpd="sng">
                          <a:solidFill>
                            <a:srgbClr val="0070C0"/>
                          </a:solidFill>
                          <a:prstDash val="solid"/>
                          <a:miter/>
                          <a:headEnd type="none" w="med" len="med"/>
                          <a:tailEnd type="none" w="med" len="med"/>
                        </a:ln>
                      </wps:spPr>
                      <wps:bodyPr wrap="square" upright="1"/>
                    </wps:wsp>
                  </a:graphicData>
                </a:graphic>
              </wp:anchor>
            </w:drawing>
          </mc:Choice>
          <mc:Fallback>
            <w:pict>
              <v:rect id="矩形 42" o:spid="_x0000_s1026" o:spt="1" style="position:absolute;left:0pt;margin-left:246.5pt;margin-top:223.25pt;height:46pt;width:51pt;z-index:251668480;mso-width-relative:page;mso-height-relative:page;" filled="f" stroked="t" coordsize="21600,21600" o:gfxdata="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&#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DSPmfbAAAACwEAAA8AAAAAAAAAAQAgAAAAIgAAAGRy&#10;cy9kb3ducmV2LnhtbFBLAQIUABQAAAAIAIdO4kDGUbuoAgIAAAQEAAAOAAAAAAAAAAEAIAAAACoB&#10;AABkcnMvZTJvRG9jLnhtbFBLBQYAAAAABgAGAFkBAACeBQAAAAA=&#10;">
                <v:fill on="f" focussize="0,0"/>
                <v:stroke color="#0070C0" joinstyle="miter"/>
                <v:imagedata o:title=""/>
                <o:lock v:ext="edit" aspectratio="f"/>
              </v:rect>
            </w:pict>
          </mc:Fallback>
        </mc:AlternateContent>
      </w:r>
      <w:r>
        <w:rPr>
          <w:rFonts w:eastAsia="黑体"/>
          <w:color w:val="auto"/>
          <w:sz w:val="24"/>
        </w:rPr>
        <w:drawing>
          <wp:inline distT="0" distB="0" distL="114300" distR="114300">
            <wp:extent cx="5396230" cy="8172450"/>
            <wp:effectExtent l="0" t="0" r="13970" b="0"/>
            <wp:docPr id="137" name="图片 8" descr="C:/Users/dell/Desktop/提取自淮南市国土空间总体规划图集_00(1).jpg提取自淮南市国土空间总体规划图集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8" descr="C:/Users/dell/Desktop/提取自淮南市国土空间总体规划图集_00(1).jpg提取自淮南市国土空间总体规划图集_00(1)"/>
                    <pic:cNvPicPr>
                      <a:picLocks noChangeAspect="1"/>
                    </pic:cNvPicPr>
                  </pic:nvPicPr>
                  <pic:blipFill>
                    <a:blip r:embed="rId32"/>
                    <a:srcRect l="3310" r="3310"/>
                    <a:stretch>
                      <a:fillRect/>
                    </a:stretch>
                  </pic:blipFill>
                  <pic:spPr>
                    <a:xfrm>
                      <a:off x="0" y="0"/>
                      <a:ext cx="5396230" cy="8172450"/>
                    </a:xfrm>
                    <a:prstGeom prst="rect">
                      <a:avLst/>
                    </a:prstGeom>
                    <a:noFill/>
                    <a:ln>
                      <a:noFill/>
                    </a:ln>
                  </pic:spPr>
                </pic:pic>
              </a:graphicData>
            </a:graphic>
          </wp:inline>
        </w:drawing>
      </w:r>
    </w:p>
    <w:p w14:paraId="12AD6B2B">
      <w:pPr>
        <w:spacing w:line="360" w:lineRule="auto"/>
        <w:jc w:val="center"/>
        <w:rPr>
          <w:rFonts w:eastAsia="黑体"/>
          <w:color w:val="auto"/>
          <w:sz w:val="24"/>
        </w:rPr>
      </w:pPr>
      <w:r>
        <w:rPr>
          <w:rFonts w:eastAsia="黑体"/>
          <w:color w:val="auto"/>
          <w:sz w:val="24"/>
        </w:rPr>
        <w:t>图2.5-</w:t>
      </w:r>
      <w:r>
        <w:rPr>
          <w:rFonts w:hint="eastAsia" w:eastAsia="黑体"/>
          <w:color w:val="auto"/>
          <w:sz w:val="24"/>
          <w:lang w:val="en-US" w:eastAsia="zh-CN"/>
        </w:rPr>
        <w:t>4</w:t>
      </w:r>
      <w:r>
        <w:rPr>
          <w:rFonts w:eastAsia="黑体"/>
          <w:color w:val="auto"/>
          <w:sz w:val="24"/>
        </w:rPr>
        <w:t xml:space="preserve">  项目与淮南市</w:t>
      </w:r>
      <w:r>
        <w:rPr>
          <w:rFonts w:hint="eastAsia" w:eastAsia="黑体"/>
          <w:color w:val="auto"/>
          <w:sz w:val="24"/>
          <w:lang w:eastAsia="zh-CN"/>
        </w:rPr>
        <w:t>“三区三线”</w:t>
      </w:r>
      <w:r>
        <w:rPr>
          <w:rFonts w:eastAsia="黑体"/>
          <w:color w:val="auto"/>
          <w:sz w:val="24"/>
        </w:rPr>
        <w:t>位置关系示意图</w:t>
      </w:r>
    </w:p>
    <w:p w14:paraId="0A675D43">
      <w:pPr>
        <w:spacing w:line="360" w:lineRule="auto"/>
        <w:jc w:val="center"/>
        <w:rPr>
          <w:rFonts w:eastAsia="黑体"/>
          <w:color w:val="auto"/>
          <w:sz w:val="24"/>
          <w:highlight w:val="cyan"/>
        </w:rPr>
        <w:sectPr>
          <w:pgSz w:w="11905" w:h="16838"/>
          <w:pgMar w:top="1418" w:right="1418" w:bottom="1418" w:left="1418" w:header="851" w:footer="992" w:gutter="0"/>
          <w:pgBorders>
            <w:top w:val="none" w:sz="0" w:space="0"/>
            <w:left w:val="none" w:sz="0" w:space="0"/>
            <w:bottom w:val="none" w:sz="0" w:space="0"/>
            <w:right w:val="none" w:sz="0" w:space="0"/>
          </w:pgBorders>
          <w:cols w:space="720" w:num="1"/>
          <w:docGrid w:type="linesAndChars" w:linePitch="317" w:charSpace="1214"/>
        </w:sectPr>
      </w:pPr>
    </w:p>
    <w:p w14:paraId="4D8E062A">
      <w:pPr>
        <w:spacing w:line="360" w:lineRule="auto"/>
        <w:ind w:firstLine="480" w:firstLineChars="200"/>
        <w:rPr>
          <w:color w:val="auto"/>
          <w:sz w:val="24"/>
        </w:rPr>
      </w:pPr>
      <w:r>
        <w:rPr>
          <w:rFonts w:hint="eastAsia"/>
          <w:color w:val="auto"/>
          <w:sz w:val="24"/>
        </w:rPr>
        <w:t>（2）</w:t>
      </w:r>
      <w:r>
        <w:rPr>
          <w:color w:val="auto"/>
          <w:sz w:val="24"/>
        </w:rPr>
        <w:t>环境质量底线</w:t>
      </w:r>
    </w:p>
    <w:p w14:paraId="4BDEB779">
      <w:pPr>
        <w:spacing w:line="360" w:lineRule="auto"/>
        <w:ind w:firstLine="480" w:firstLineChars="200"/>
        <w:rPr>
          <w:color w:val="auto"/>
          <w:sz w:val="24"/>
        </w:rPr>
      </w:pPr>
      <w:r>
        <w:rPr>
          <w:color w:val="auto"/>
          <w:sz w:val="24"/>
        </w:rPr>
        <w:fldChar w:fldCharType="begin"/>
      </w:r>
      <w:r>
        <w:rPr>
          <w:color w:val="auto"/>
          <w:sz w:val="24"/>
        </w:rPr>
        <w:instrText xml:space="preserve"> = 1 \* GB3 </w:instrText>
      </w:r>
      <w:r>
        <w:rPr>
          <w:color w:val="auto"/>
          <w:sz w:val="24"/>
        </w:rPr>
        <w:fldChar w:fldCharType="separate"/>
      </w:r>
      <w:r>
        <w:rPr>
          <w:rFonts w:hint="eastAsia" w:ascii="宋体" w:hAnsi="宋体" w:cs="宋体"/>
          <w:color w:val="auto"/>
          <w:sz w:val="24"/>
        </w:rPr>
        <w:t>①</w:t>
      </w:r>
      <w:r>
        <w:rPr>
          <w:color w:val="auto"/>
          <w:sz w:val="24"/>
        </w:rPr>
        <w:fldChar w:fldCharType="end"/>
      </w:r>
      <w:r>
        <w:rPr>
          <w:color w:val="auto"/>
          <w:sz w:val="24"/>
        </w:rPr>
        <w:t>环境空气</w:t>
      </w:r>
    </w:p>
    <w:p w14:paraId="52FCFB9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eastAsia="宋体"/>
          <w:sz w:val="24"/>
          <w:szCs w:val="22"/>
          <w:highlight w:val="none"/>
        </w:rPr>
      </w:pPr>
      <w:r>
        <w:rPr>
          <w:color w:val="auto"/>
          <w:sz w:val="24"/>
        </w:rPr>
        <w:t>根据</w:t>
      </w:r>
      <w:r>
        <w:rPr>
          <w:rFonts w:hint="eastAsia"/>
          <w:color w:val="auto"/>
          <w:sz w:val="24"/>
          <w:lang w:eastAsia="zh-CN"/>
        </w:rPr>
        <w:t>《2025年淮南市生态环境质量状况公报》</w:t>
      </w:r>
      <w:r>
        <w:rPr>
          <w:color w:val="auto"/>
          <w:sz w:val="24"/>
        </w:rPr>
        <w:t>，</w:t>
      </w:r>
      <w:r>
        <w:rPr>
          <w:rFonts w:hint="eastAsia" w:cs="Times New Roman"/>
          <w:color w:val="auto"/>
          <w:sz w:val="24"/>
          <w:szCs w:val="28"/>
          <w:highlight w:val="none"/>
          <w:lang w:val="en-US" w:eastAsia="zh-CN"/>
        </w:rPr>
        <w:t>对照</w:t>
      </w:r>
      <w:r>
        <w:rPr>
          <w:rFonts w:hint="default" w:ascii="Times New Roman" w:hAnsi="Times New Roman" w:eastAsia="宋体" w:cs="Times New Roman"/>
          <w:color w:val="auto"/>
          <w:sz w:val="24"/>
          <w:szCs w:val="28"/>
          <w:highlight w:val="none"/>
        </w:rPr>
        <w:t>《环境空气质量标准》（GB3095-2012）二级标准</w:t>
      </w:r>
      <w:r>
        <w:rPr>
          <w:rFonts w:hint="default" w:ascii="Times New Roman" w:hAnsi="Times New Roman" w:eastAsia="宋体" w:cs="Times New Roman"/>
          <w:color w:val="auto"/>
          <w:sz w:val="24"/>
          <w:szCs w:val="28"/>
          <w:highlight w:val="none"/>
          <w:lang w:val="en-US" w:eastAsia="zh-CN"/>
        </w:rPr>
        <w:t>及修改单</w:t>
      </w:r>
      <w:r>
        <w:rPr>
          <w:rFonts w:hint="eastAsia" w:cs="Times New Roman"/>
          <w:color w:val="auto"/>
          <w:sz w:val="24"/>
          <w:szCs w:val="28"/>
          <w:highlight w:val="none"/>
          <w:lang w:val="en-US" w:eastAsia="zh-CN"/>
        </w:rPr>
        <w:t>，</w:t>
      </w:r>
      <w:r>
        <w:rPr>
          <w:rFonts w:hint="eastAsia" w:ascii="Times New Roman" w:hAnsi="Times New Roman" w:eastAsia="宋体" w:cs="Times New Roman"/>
          <w:color w:val="auto"/>
          <w:sz w:val="24"/>
          <w:szCs w:val="24"/>
          <w:highlight w:val="none"/>
          <w:lang w:val="en-US" w:eastAsia="zh-CN"/>
        </w:rPr>
        <w:t>2025</w:t>
      </w:r>
      <w:r>
        <w:rPr>
          <w:rFonts w:hint="default" w:ascii="Times New Roman" w:hAnsi="Times New Roman" w:eastAsia="宋体" w:cs="Times New Roman"/>
          <w:color w:val="auto"/>
          <w:sz w:val="24"/>
          <w:szCs w:val="24"/>
          <w:highlight w:val="none"/>
          <w:lang w:val="en-US" w:eastAsia="zh-CN"/>
        </w:rPr>
        <w:t>年</w:t>
      </w:r>
      <w:r>
        <w:rPr>
          <w:rFonts w:hint="eastAsia" w:eastAsia="宋体" w:cs="Times New Roman"/>
          <w:color w:val="auto"/>
          <w:sz w:val="24"/>
          <w:szCs w:val="24"/>
          <w:highlight w:val="none"/>
          <w:lang w:val="en-US" w:eastAsia="zh-CN"/>
        </w:rPr>
        <w:t>淮南</w:t>
      </w:r>
      <w:r>
        <w:rPr>
          <w:rFonts w:hint="default" w:ascii="Times New Roman" w:hAnsi="Times New Roman" w:eastAsia="宋体" w:cs="Times New Roman"/>
          <w:color w:val="auto"/>
          <w:sz w:val="24"/>
          <w:szCs w:val="24"/>
          <w:highlight w:val="none"/>
        </w:rPr>
        <w:t>市属于</w:t>
      </w:r>
      <w:r>
        <w:rPr>
          <w:rFonts w:hint="eastAsia" w:eastAsia="宋体" w:cs="Times New Roman"/>
          <w:color w:val="auto"/>
          <w:sz w:val="24"/>
          <w:szCs w:val="24"/>
          <w:highlight w:val="none"/>
          <w:lang w:val="en-US" w:eastAsia="zh-CN"/>
        </w:rPr>
        <w:t>不</w:t>
      </w:r>
      <w:r>
        <w:rPr>
          <w:rFonts w:hint="default" w:ascii="Times New Roman" w:hAnsi="Times New Roman" w:eastAsia="宋体" w:cs="Times New Roman"/>
          <w:color w:val="auto"/>
          <w:sz w:val="24"/>
          <w:szCs w:val="24"/>
          <w:highlight w:val="none"/>
        </w:rPr>
        <w:t>达标区域</w:t>
      </w:r>
      <w:r>
        <w:rPr>
          <w:rFonts w:hint="eastAsia" w:eastAsia="宋体" w:cs="Times New Roman"/>
          <w:color w:val="auto"/>
          <w:kern w:val="0"/>
          <w:sz w:val="24"/>
          <w:szCs w:val="24"/>
          <w:highlight w:val="none"/>
          <w:lang w:eastAsia="zh-CN"/>
        </w:rPr>
        <w:t>；</w:t>
      </w:r>
      <w:r>
        <w:rPr>
          <w:rFonts w:hint="default" w:ascii="Times New Roman" w:hAnsi="Times New Roman" w:eastAsia="宋体" w:cs="Times New Roman"/>
          <w:color w:val="auto"/>
          <w:sz w:val="24"/>
          <w:szCs w:val="21"/>
          <w:highlight w:val="none"/>
          <w:lang w:val="en-US" w:eastAsia="zh-CN"/>
        </w:rPr>
        <w:t>对照</w:t>
      </w:r>
      <w:r>
        <w:rPr>
          <w:rFonts w:hint="default" w:ascii="Times New Roman" w:hAnsi="Times New Roman" w:eastAsia="宋体" w:cs="Times New Roman"/>
          <w:color w:val="auto"/>
          <w:sz w:val="24"/>
          <w:szCs w:val="21"/>
          <w:highlight w:val="none"/>
        </w:rPr>
        <w:t>《环境空气质量标准》（GB3095-20</w:t>
      </w:r>
      <w:r>
        <w:rPr>
          <w:rFonts w:hint="default" w:ascii="Times New Roman" w:hAnsi="Times New Roman" w:eastAsia="宋体" w:cs="Times New Roman"/>
          <w:color w:val="auto"/>
          <w:sz w:val="24"/>
          <w:szCs w:val="21"/>
          <w:highlight w:val="none"/>
          <w:lang w:val="en-US" w:eastAsia="zh-CN"/>
        </w:rPr>
        <w:t>26），</w:t>
      </w:r>
      <w:r>
        <w:rPr>
          <w:rFonts w:hint="eastAsia" w:ascii="Times New Roman" w:hAnsi="Times New Roman" w:eastAsia="宋体" w:cs="Times New Roman"/>
          <w:color w:val="auto"/>
          <w:sz w:val="24"/>
          <w:szCs w:val="21"/>
          <w:highlight w:val="none"/>
          <w:lang w:val="en-US" w:eastAsia="zh-CN"/>
        </w:rPr>
        <w:t>2025年</w:t>
      </w:r>
      <w:r>
        <w:rPr>
          <w:rFonts w:hint="eastAsia" w:eastAsia="宋体" w:cs="Times New Roman"/>
          <w:color w:val="auto"/>
          <w:sz w:val="24"/>
          <w:szCs w:val="21"/>
          <w:highlight w:val="none"/>
          <w:lang w:val="en-US" w:eastAsia="zh-CN"/>
        </w:rPr>
        <w:t>淮南</w:t>
      </w:r>
      <w:r>
        <w:rPr>
          <w:rFonts w:hint="eastAsia" w:ascii="Times New Roman" w:hAnsi="Times New Roman" w:eastAsia="宋体" w:cs="Times New Roman"/>
          <w:color w:val="auto"/>
          <w:sz w:val="24"/>
          <w:szCs w:val="21"/>
          <w:highlight w:val="none"/>
          <w:lang w:val="en-US" w:eastAsia="zh-CN"/>
        </w:rPr>
        <w:t>市</w:t>
      </w:r>
      <w:r>
        <w:rPr>
          <w:rFonts w:hint="default" w:ascii="Times New Roman" w:hAnsi="Times New Roman" w:eastAsia="宋体" w:cs="Times New Roman"/>
          <w:color w:val="auto"/>
          <w:sz w:val="24"/>
          <w:szCs w:val="21"/>
          <w:highlight w:val="none"/>
          <w:lang w:val="en-US" w:eastAsia="zh-CN"/>
        </w:rPr>
        <w:t>PM</w:t>
      </w:r>
      <w:r>
        <w:rPr>
          <w:rFonts w:hint="default" w:ascii="Times New Roman" w:hAnsi="Times New Roman" w:eastAsia="宋体" w:cs="Times New Roman"/>
          <w:color w:val="auto"/>
          <w:sz w:val="24"/>
          <w:szCs w:val="21"/>
          <w:highlight w:val="none"/>
          <w:vertAlign w:val="subscript"/>
          <w:lang w:val="en-US" w:eastAsia="zh-CN"/>
        </w:rPr>
        <w:t>10</w:t>
      </w:r>
      <w:r>
        <w:rPr>
          <w:rFonts w:hint="eastAsia" w:ascii="Times New Roman" w:hAnsi="Times New Roman" w:eastAsia="宋体" w:cs="Times New Roman"/>
          <w:color w:val="auto"/>
          <w:sz w:val="24"/>
          <w:szCs w:val="21"/>
          <w:highlight w:val="none"/>
          <w:vertAlign w:val="baseline"/>
          <w:lang w:val="en-US" w:eastAsia="zh-CN"/>
        </w:rPr>
        <w:t>、</w:t>
      </w:r>
      <w:r>
        <w:rPr>
          <w:rFonts w:hint="default" w:ascii="Times New Roman" w:hAnsi="Times New Roman" w:eastAsia="宋体" w:cs="Times New Roman"/>
          <w:color w:val="auto"/>
          <w:sz w:val="24"/>
          <w:szCs w:val="21"/>
          <w:highlight w:val="none"/>
          <w:lang w:val="en-US" w:eastAsia="zh-CN"/>
        </w:rPr>
        <w:t>PM</w:t>
      </w:r>
      <w:r>
        <w:rPr>
          <w:rFonts w:hint="eastAsia" w:ascii="Times New Roman" w:hAnsi="Times New Roman" w:eastAsia="宋体" w:cs="Times New Roman"/>
          <w:color w:val="auto"/>
          <w:sz w:val="24"/>
          <w:szCs w:val="21"/>
          <w:highlight w:val="none"/>
          <w:vertAlign w:val="subscript"/>
          <w:lang w:val="en-US" w:eastAsia="zh-CN"/>
        </w:rPr>
        <w:t>2.5</w:t>
      </w:r>
      <w:r>
        <w:rPr>
          <w:rFonts w:hint="default" w:ascii="Times New Roman" w:hAnsi="Times New Roman" w:eastAsia="宋体" w:cs="Times New Roman"/>
          <w:color w:val="auto"/>
          <w:sz w:val="24"/>
          <w:szCs w:val="21"/>
          <w:highlight w:val="none"/>
          <w:lang w:val="en-US" w:eastAsia="zh-CN"/>
        </w:rPr>
        <w:t>年均浓度超过</w:t>
      </w:r>
      <w:r>
        <w:rPr>
          <w:rFonts w:hint="default" w:ascii="Times New Roman" w:hAnsi="Times New Roman" w:eastAsia="宋体" w:cs="Times New Roman"/>
          <w:color w:val="auto"/>
          <w:sz w:val="24"/>
          <w:szCs w:val="21"/>
          <w:highlight w:val="none"/>
        </w:rPr>
        <w:t>GB3095-20</w:t>
      </w:r>
      <w:r>
        <w:rPr>
          <w:rFonts w:hint="default" w:ascii="Times New Roman" w:hAnsi="Times New Roman" w:eastAsia="宋体" w:cs="Times New Roman"/>
          <w:color w:val="auto"/>
          <w:sz w:val="24"/>
          <w:szCs w:val="21"/>
          <w:highlight w:val="none"/>
          <w:lang w:val="en-US" w:eastAsia="zh-CN"/>
        </w:rPr>
        <w:t>26表1中过渡阶段</w:t>
      </w:r>
      <w:r>
        <w:rPr>
          <w:rFonts w:hint="default" w:ascii="Times New Roman" w:hAnsi="Times New Roman" w:eastAsia="宋体" w:cs="Times New Roman"/>
          <w:color w:val="auto"/>
          <w:sz w:val="24"/>
          <w:szCs w:val="21"/>
          <w:highlight w:val="none"/>
        </w:rPr>
        <w:t>二级</w:t>
      </w:r>
      <w:r>
        <w:rPr>
          <w:rFonts w:hint="default" w:ascii="Times New Roman" w:hAnsi="Times New Roman" w:eastAsia="宋体" w:cs="Times New Roman"/>
          <w:color w:val="auto"/>
          <w:sz w:val="24"/>
          <w:szCs w:val="21"/>
          <w:highlight w:val="none"/>
          <w:lang w:val="en-US" w:eastAsia="zh-CN"/>
        </w:rPr>
        <w:t>浓度限值（PM</w:t>
      </w:r>
      <w:r>
        <w:rPr>
          <w:rFonts w:hint="default" w:ascii="Times New Roman" w:hAnsi="Times New Roman" w:eastAsia="宋体" w:cs="Times New Roman"/>
          <w:color w:val="auto"/>
          <w:sz w:val="24"/>
          <w:szCs w:val="21"/>
          <w:highlight w:val="none"/>
          <w:vertAlign w:val="subscript"/>
          <w:lang w:val="en-US" w:eastAsia="zh-CN"/>
        </w:rPr>
        <w:t>10</w:t>
      </w:r>
      <w:r>
        <w:rPr>
          <w:rFonts w:hint="default" w:ascii="Times New Roman" w:hAnsi="Times New Roman" w:eastAsia="宋体" w:cs="Times New Roman"/>
          <w:color w:val="auto"/>
          <w:sz w:val="24"/>
          <w:szCs w:val="21"/>
          <w:highlight w:val="none"/>
          <w:lang w:val="en-US" w:eastAsia="zh-CN"/>
        </w:rPr>
        <w:t>限值60μg/m</w:t>
      </w:r>
      <w:r>
        <w:rPr>
          <w:rFonts w:hint="default" w:ascii="Times New Roman" w:hAnsi="Times New Roman" w:eastAsia="宋体" w:cs="Times New Roman"/>
          <w:color w:val="auto"/>
          <w:sz w:val="24"/>
          <w:szCs w:val="21"/>
          <w:highlight w:val="none"/>
          <w:vertAlign w:val="superscript"/>
          <w:lang w:val="en-US" w:eastAsia="zh-CN"/>
        </w:rPr>
        <w:t>3</w:t>
      </w:r>
      <w:r>
        <w:rPr>
          <w:rFonts w:hint="eastAsia" w:ascii="Times New Roman" w:hAnsi="Times New Roman" w:eastAsia="宋体" w:cs="Times New Roman"/>
          <w:color w:val="auto"/>
          <w:sz w:val="24"/>
          <w:szCs w:val="21"/>
          <w:highlight w:val="none"/>
          <w:vertAlign w:val="baseline"/>
          <w:lang w:val="en-US" w:eastAsia="zh-CN"/>
        </w:rPr>
        <w:t>、</w:t>
      </w:r>
      <w:r>
        <w:rPr>
          <w:rFonts w:hint="default" w:ascii="Times New Roman" w:hAnsi="Times New Roman" w:eastAsia="宋体" w:cs="Times New Roman"/>
          <w:color w:val="auto"/>
          <w:sz w:val="24"/>
          <w:szCs w:val="21"/>
          <w:highlight w:val="none"/>
          <w:lang w:val="en-US" w:eastAsia="zh-CN"/>
        </w:rPr>
        <w:t>PM</w:t>
      </w:r>
      <w:r>
        <w:rPr>
          <w:rFonts w:hint="eastAsia" w:ascii="Times New Roman" w:hAnsi="Times New Roman" w:eastAsia="宋体" w:cs="Times New Roman"/>
          <w:color w:val="auto"/>
          <w:sz w:val="24"/>
          <w:szCs w:val="21"/>
          <w:highlight w:val="none"/>
          <w:vertAlign w:val="subscript"/>
          <w:lang w:val="en-US" w:eastAsia="zh-CN"/>
        </w:rPr>
        <w:t>2.5</w:t>
      </w:r>
      <w:r>
        <w:rPr>
          <w:rFonts w:hint="default" w:ascii="Times New Roman" w:hAnsi="Times New Roman" w:eastAsia="宋体" w:cs="Times New Roman"/>
          <w:color w:val="auto"/>
          <w:sz w:val="24"/>
          <w:szCs w:val="21"/>
          <w:highlight w:val="none"/>
          <w:lang w:val="en-US" w:eastAsia="zh-CN"/>
        </w:rPr>
        <w:t>限值</w:t>
      </w:r>
      <w:r>
        <w:rPr>
          <w:rFonts w:hint="eastAsia" w:ascii="Times New Roman" w:hAnsi="Times New Roman" w:eastAsia="宋体" w:cs="Times New Roman"/>
          <w:color w:val="auto"/>
          <w:sz w:val="24"/>
          <w:szCs w:val="21"/>
          <w:highlight w:val="none"/>
          <w:lang w:val="en-US" w:eastAsia="zh-CN"/>
        </w:rPr>
        <w:t>30</w:t>
      </w:r>
      <w:r>
        <w:rPr>
          <w:rFonts w:hint="default" w:ascii="Times New Roman" w:hAnsi="Times New Roman" w:eastAsia="宋体" w:cs="Times New Roman"/>
          <w:color w:val="auto"/>
          <w:sz w:val="24"/>
          <w:szCs w:val="21"/>
          <w:highlight w:val="none"/>
          <w:lang w:val="en-US" w:eastAsia="zh-CN"/>
        </w:rPr>
        <w:t>μg/m</w:t>
      </w:r>
      <w:r>
        <w:rPr>
          <w:rFonts w:hint="default" w:ascii="Times New Roman" w:hAnsi="Times New Roman" w:eastAsia="宋体" w:cs="Times New Roman"/>
          <w:color w:val="auto"/>
          <w:sz w:val="24"/>
          <w:szCs w:val="21"/>
          <w:highlight w:val="none"/>
          <w:vertAlign w:val="superscript"/>
          <w:lang w:val="en-US" w:eastAsia="zh-CN"/>
        </w:rPr>
        <w:t>3</w:t>
      </w:r>
      <w:r>
        <w:rPr>
          <w:rFonts w:hint="default" w:ascii="Times New Roman" w:hAnsi="Times New Roman" w:eastAsia="宋体" w:cs="Times New Roman"/>
          <w:color w:val="auto"/>
          <w:sz w:val="24"/>
          <w:szCs w:val="21"/>
          <w:highlight w:val="none"/>
          <w:lang w:val="en-US" w:eastAsia="zh-CN"/>
        </w:rPr>
        <w:t>）</w:t>
      </w:r>
      <w:r>
        <w:rPr>
          <w:rFonts w:hint="eastAsia" w:eastAsia="宋体" w:cs="Times New Roman"/>
          <w:color w:val="auto"/>
          <w:sz w:val="24"/>
          <w:szCs w:val="21"/>
          <w:highlight w:val="none"/>
          <w:lang w:val="en-US" w:eastAsia="zh-CN"/>
        </w:rPr>
        <w:t>。</w:t>
      </w:r>
    </w:p>
    <w:p w14:paraId="191FB802">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color w:val="auto"/>
          <w:sz w:val="24"/>
        </w:rPr>
      </w:pPr>
      <w:r>
        <w:rPr>
          <w:rFonts w:hint="eastAsia"/>
          <w:color w:val="auto"/>
          <w:sz w:val="24"/>
        </w:rPr>
        <w:t>拟建</w:t>
      </w:r>
      <w:r>
        <w:rPr>
          <w:color w:val="auto"/>
          <w:sz w:val="24"/>
        </w:rPr>
        <w:t>项目排放的污染物主要为颗粒物，根据预测结果，正常生产情况下，颗粒物最大落地点浓度均小于其标准浓度限值，项目对评价区域影响较小。</w:t>
      </w:r>
    </w:p>
    <w:p w14:paraId="206AB978">
      <w:pPr>
        <w:spacing w:line="360" w:lineRule="auto"/>
        <w:ind w:firstLine="480" w:firstLineChars="200"/>
        <w:rPr>
          <w:rFonts w:ascii="宋体" w:hAnsi="宋体" w:cs="宋体"/>
          <w:color w:val="auto"/>
          <w:sz w:val="24"/>
        </w:rPr>
      </w:pPr>
      <w:r>
        <w:rPr>
          <w:rFonts w:ascii="宋体" w:hAnsi="宋体" w:cs="宋体"/>
          <w:color w:val="auto"/>
          <w:sz w:val="24"/>
        </w:rPr>
        <w:fldChar w:fldCharType="begin"/>
      </w:r>
      <w:r>
        <w:rPr>
          <w:rFonts w:ascii="宋体" w:hAnsi="宋体" w:cs="宋体"/>
          <w:color w:val="auto"/>
          <w:sz w:val="24"/>
        </w:rPr>
        <w:instrText xml:space="preserve"> = 2 \* GB3 </w:instrText>
      </w:r>
      <w:r>
        <w:rPr>
          <w:rFonts w:ascii="宋体" w:hAnsi="宋体" w:cs="宋体"/>
          <w:color w:val="auto"/>
          <w:sz w:val="24"/>
        </w:rPr>
        <w:fldChar w:fldCharType="separate"/>
      </w:r>
      <w:r>
        <w:rPr>
          <w:rFonts w:ascii="宋体" w:hAnsi="宋体" w:cs="宋体"/>
          <w:color w:val="auto"/>
          <w:sz w:val="24"/>
        </w:rPr>
        <w:t>②</w:t>
      </w:r>
      <w:r>
        <w:rPr>
          <w:rFonts w:ascii="宋体" w:hAnsi="宋体" w:cs="宋体"/>
          <w:color w:val="auto"/>
          <w:sz w:val="24"/>
        </w:rPr>
        <w:fldChar w:fldCharType="end"/>
      </w:r>
      <w:r>
        <w:rPr>
          <w:rFonts w:ascii="宋体" w:hAnsi="宋体" w:cs="宋体"/>
          <w:color w:val="auto"/>
          <w:sz w:val="24"/>
        </w:rPr>
        <w:t>地表水环境</w:t>
      </w:r>
    </w:p>
    <w:p w14:paraId="4CFFE703">
      <w:pPr>
        <w:spacing w:line="360" w:lineRule="auto"/>
        <w:ind w:firstLine="480" w:firstLineChars="200"/>
        <w:rPr>
          <w:rFonts w:hint="eastAsia"/>
          <w:color w:val="auto"/>
          <w:sz w:val="24"/>
        </w:rPr>
      </w:pPr>
      <w:r>
        <w:rPr>
          <w:color w:val="auto"/>
          <w:sz w:val="24"/>
        </w:rPr>
        <w:t>地表水环境质量现状评价结果表明，淮河</w:t>
      </w:r>
      <w:r>
        <w:rPr>
          <w:rFonts w:hint="eastAsia"/>
          <w:color w:val="auto"/>
          <w:sz w:val="24"/>
        </w:rPr>
        <w:t>各监测断面</w:t>
      </w:r>
      <w:r>
        <w:rPr>
          <w:color w:val="auto"/>
          <w:sz w:val="24"/>
        </w:rPr>
        <w:t>各项指标均满足《地表水环境质量标准》</w:t>
      </w:r>
      <w:r>
        <w:rPr>
          <w:rFonts w:hint="eastAsia"/>
          <w:color w:val="auto"/>
          <w:sz w:val="24"/>
          <w:lang w:eastAsia="zh-CN"/>
        </w:rPr>
        <w:t>（</w:t>
      </w:r>
      <w:r>
        <w:rPr>
          <w:color w:val="auto"/>
          <w:sz w:val="24"/>
        </w:rPr>
        <w:t>GB3838-2002)中的Ⅲ类标准。</w:t>
      </w:r>
      <w:r>
        <w:rPr>
          <w:rFonts w:hint="eastAsia"/>
          <w:color w:val="auto"/>
          <w:sz w:val="24"/>
        </w:rPr>
        <w:t>本项目运营期船舶产生的</w:t>
      </w:r>
      <w:r>
        <w:rPr>
          <w:rFonts w:hint="eastAsia"/>
          <w:color w:val="auto"/>
          <w:sz w:val="24"/>
          <w:lang w:eastAsia="zh-CN"/>
        </w:rPr>
        <w:t>运输船舶产生的生活污水经隔油沉淀池预处理后，进入一体化污水处理设施处理后，回用于道路喷洒、机械车辆冲洗、绿化及码头地面冲洗，不外排；本项目到港船舶含油污水经隔油沉淀池预处理后，进入一体化污水处理设施处理，经处理后回用于道路喷洒、机械车辆冲洗、绿化及码头地面冲洗，不外排；初期雨水</w:t>
      </w:r>
      <w:r>
        <w:rPr>
          <w:rFonts w:hint="eastAsia"/>
          <w:color w:val="auto"/>
          <w:sz w:val="24"/>
          <w:lang w:val="en-US" w:eastAsia="zh-CN"/>
        </w:rPr>
        <w:t>经</w:t>
      </w:r>
      <w:r>
        <w:rPr>
          <w:rFonts w:hint="eastAsia"/>
          <w:color w:val="auto"/>
          <w:sz w:val="24"/>
          <w:lang w:eastAsia="zh-CN"/>
        </w:rPr>
        <w:t>隔油沉淀池预处理后进入一体化污水处理设备处理后，作为码头地面冲洗用水、道路喷洒用水、机械车辆冲洗用水及绿化用水；冲洗废水</w:t>
      </w:r>
      <w:r>
        <w:rPr>
          <w:rFonts w:hint="eastAsia"/>
          <w:color w:val="auto"/>
          <w:sz w:val="24"/>
          <w:lang w:val="en-US" w:eastAsia="zh-CN"/>
        </w:rPr>
        <w:t>经</w:t>
      </w:r>
      <w:r>
        <w:rPr>
          <w:rFonts w:hint="eastAsia"/>
          <w:color w:val="auto"/>
          <w:sz w:val="24"/>
          <w:lang w:eastAsia="zh-CN"/>
        </w:rPr>
        <w:t>隔油沉淀池预处理后进入一体化污水处理设备处理，处理后废水全部回用于码头地面冲洗、道路喷洒、机械车辆冲洗及绿化，不外排</w:t>
      </w:r>
      <w:r>
        <w:rPr>
          <w:rFonts w:hint="eastAsia"/>
          <w:color w:val="auto"/>
          <w:sz w:val="24"/>
        </w:rPr>
        <w:t>。</w:t>
      </w:r>
    </w:p>
    <w:p w14:paraId="290DE8DB">
      <w:pPr>
        <w:spacing w:line="360" w:lineRule="auto"/>
        <w:ind w:firstLine="480" w:firstLineChars="200"/>
        <w:rPr>
          <w:color w:val="auto"/>
          <w:sz w:val="24"/>
        </w:rPr>
      </w:pPr>
      <w:r>
        <w:rPr>
          <w:color w:val="auto"/>
          <w:sz w:val="24"/>
        </w:rPr>
        <w:t>综上，本项目建设满足环境质量底线要求。</w:t>
      </w:r>
    </w:p>
    <w:p w14:paraId="65B2CF21">
      <w:pPr>
        <w:spacing w:line="360" w:lineRule="auto"/>
        <w:ind w:firstLine="480" w:firstLineChars="200"/>
        <w:rPr>
          <w:color w:val="auto"/>
          <w:sz w:val="24"/>
        </w:rPr>
      </w:pPr>
      <w:r>
        <w:rPr>
          <w:color w:val="auto"/>
          <w:sz w:val="24"/>
        </w:rPr>
        <w:t>（3）资源利用上线</w:t>
      </w:r>
    </w:p>
    <w:p w14:paraId="09791C7C">
      <w:pPr>
        <w:spacing w:line="360" w:lineRule="auto"/>
        <w:ind w:firstLine="480" w:firstLineChars="200"/>
        <w:rPr>
          <w:rFonts w:hint="eastAsia"/>
          <w:color w:val="auto"/>
          <w:sz w:val="24"/>
        </w:rPr>
      </w:pPr>
      <w:r>
        <w:rPr>
          <w:rFonts w:hint="eastAsia"/>
          <w:bCs/>
          <w:color w:val="auto"/>
          <w:sz w:val="24"/>
        </w:rPr>
        <w:t>本项目选址位于潘集区平圩镇淮河北汊的左岸，</w:t>
      </w:r>
      <w:r>
        <w:rPr>
          <w:rFonts w:hint="eastAsia"/>
          <w:color w:val="auto"/>
          <w:sz w:val="24"/>
        </w:rPr>
        <w:t>项目选址、岸线使用及陆域用地规模符合《淮南港总体规划（2035年）》要求。</w:t>
      </w:r>
    </w:p>
    <w:p w14:paraId="483CFAE6">
      <w:pPr>
        <w:spacing w:line="360" w:lineRule="auto"/>
        <w:ind w:firstLine="480" w:firstLineChars="200"/>
        <w:rPr>
          <w:color w:val="auto"/>
          <w:sz w:val="24"/>
        </w:rPr>
      </w:pPr>
      <w:r>
        <w:rPr>
          <w:rFonts w:hint="eastAsia"/>
          <w:color w:val="auto"/>
          <w:sz w:val="24"/>
        </w:rPr>
        <w:t>拟建</w:t>
      </w:r>
      <w:r>
        <w:rPr>
          <w:color w:val="auto"/>
          <w:sz w:val="24"/>
        </w:rPr>
        <w:t>项目</w:t>
      </w:r>
      <w:r>
        <w:rPr>
          <w:rFonts w:hint="eastAsia"/>
          <w:color w:val="auto"/>
          <w:sz w:val="24"/>
        </w:rPr>
        <w:t>供电由当地电网解决；本项目用水来自市政供水管网，本项目为水运工程基础设施项目，不属于高耗水、高耗能项目。因此，项目建设不会超出区域资源利用上限要求。</w:t>
      </w:r>
    </w:p>
    <w:p w14:paraId="0F128A33">
      <w:pPr>
        <w:spacing w:line="360" w:lineRule="auto"/>
        <w:ind w:firstLine="480" w:firstLineChars="200"/>
        <w:rPr>
          <w:color w:val="auto"/>
          <w:sz w:val="24"/>
        </w:rPr>
      </w:pPr>
      <w:r>
        <w:rPr>
          <w:color w:val="auto"/>
          <w:sz w:val="24"/>
        </w:rPr>
        <w:t>（4）生态环境准入清单</w:t>
      </w:r>
    </w:p>
    <w:p w14:paraId="41D4DC25">
      <w:pPr>
        <w:pStyle w:val="233"/>
        <w:rPr>
          <w:rFonts w:ascii="Times New Roman" w:hAnsi="Times New Roman" w:cs="Times New Roman"/>
          <w:color w:val="auto"/>
        </w:rPr>
        <w:sectPr>
          <w:footerReference r:id="rId9" w:type="default"/>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AndChars" w:linePitch="312" w:charSpace="0"/>
        </w:sectPr>
      </w:pPr>
      <w:r>
        <w:rPr>
          <w:rFonts w:ascii="Times New Roman" w:hAnsi="Times New Roman" w:cs="Times New Roman"/>
          <w:color w:val="auto"/>
        </w:rPr>
        <w:t>根据</w:t>
      </w:r>
      <w:r>
        <w:rPr>
          <w:rFonts w:hint="eastAsia" w:ascii="Times New Roman" w:hAnsi="Times New Roman" w:cs="Times New Roman"/>
          <w:color w:val="auto"/>
        </w:rPr>
        <w:t>《产业结构调整指导目录（20</w:t>
      </w:r>
      <w:r>
        <w:rPr>
          <w:rFonts w:hint="eastAsia" w:ascii="Times New Roman" w:hAnsi="Times New Roman" w:cs="Times New Roman"/>
          <w:color w:val="auto"/>
          <w:lang w:val="en-US" w:eastAsia="zh-CN"/>
        </w:rPr>
        <w:t>24年</w:t>
      </w:r>
      <w:r>
        <w:rPr>
          <w:rFonts w:hint="eastAsia" w:ascii="Times New Roman" w:hAnsi="Times New Roman" w:cs="Times New Roman"/>
          <w:color w:val="auto"/>
        </w:rPr>
        <w:t>本）》</w:t>
      </w:r>
      <w:r>
        <w:rPr>
          <w:rFonts w:ascii="Times New Roman" w:hAnsi="Times New Roman" w:cs="Times New Roman"/>
          <w:color w:val="auto"/>
        </w:rPr>
        <w:t>，本项目属于规定中的鼓励类项目，因此项目建设符合国家产业政策。</w:t>
      </w:r>
      <w:r>
        <w:rPr>
          <w:rFonts w:hint="eastAsia" w:ascii="Times New Roman" w:hAnsi="Times New Roman" w:cs="Times New Roman"/>
          <w:color w:val="auto"/>
        </w:rPr>
        <w:t>本</w:t>
      </w:r>
      <w:r>
        <w:rPr>
          <w:rFonts w:ascii="Times New Roman" w:hAnsi="Times New Roman" w:cs="Times New Roman"/>
          <w:color w:val="auto"/>
        </w:rPr>
        <w:t>项目位于</w:t>
      </w:r>
      <w:r>
        <w:rPr>
          <w:rFonts w:hint="eastAsia" w:ascii="Times New Roman" w:hAnsi="Times New Roman" w:cs="Times New Roman"/>
          <w:color w:val="auto"/>
        </w:rPr>
        <w:t>潘集港区平圩作业区</w:t>
      </w:r>
      <w:r>
        <w:rPr>
          <w:rFonts w:ascii="Times New Roman" w:hAnsi="Times New Roman" w:cs="Times New Roman"/>
          <w:color w:val="auto"/>
        </w:rPr>
        <w:t>，符合</w:t>
      </w:r>
      <w:r>
        <w:rPr>
          <w:rFonts w:hint="eastAsia" w:ascii="Times New Roman" w:hAnsi="Times New Roman" w:cs="Times New Roman"/>
          <w:color w:val="auto"/>
        </w:rPr>
        <w:t>《淮南港总体规划（2035年）》</w:t>
      </w:r>
      <w:r>
        <w:rPr>
          <w:rFonts w:ascii="Times New Roman" w:hAnsi="Times New Roman" w:cs="Times New Roman"/>
          <w:color w:val="auto"/>
        </w:rPr>
        <w:t>要求。因此，本项目的建设与国家和地方的产业政策相符，满足生态环境准入清单管理要求。</w:t>
      </w:r>
    </w:p>
    <w:p w14:paraId="1A4674E2">
      <w:pPr>
        <w:pStyle w:val="233"/>
        <w:numPr>
          <w:ilvl w:val="0"/>
          <w:numId w:val="8"/>
        </w:numPr>
        <w:rPr>
          <w:rFonts w:hint="default" w:ascii="Times New Roman" w:hAnsi="Times New Roman"/>
          <w:color w:val="auto"/>
          <w:sz w:val="24"/>
          <w:szCs w:val="24"/>
        </w:rPr>
      </w:pPr>
      <w:r>
        <w:rPr>
          <w:rFonts w:hint="default" w:ascii="Times New Roman" w:hAnsi="Times New Roman"/>
          <w:color w:val="auto"/>
          <w:sz w:val="24"/>
          <w:szCs w:val="24"/>
        </w:rPr>
        <w:t>与</w:t>
      </w:r>
      <w:r>
        <w:rPr>
          <w:rFonts w:hint="eastAsia" w:ascii="Times New Roman" w:hAnsi="Times New Roman"/>
          <w:color w:val="auto"/>
          <w:sz w:val="24"/>
          <w:szCs w:val="24"/>
          <w:lang w:val="en-US" w:eastAsia="zh-CN"/>
        </w:rPr>
        <w:t>淮南</w:t>
      </w:r>
      <w:r>
        <w:rPr>
          <w:rFonts w:hint="default" w:ascii="Times New Roman" w:hAnsi="Times New Roman"/>
          <w:color w:val="auto"/>
          <w:sz w:val="24"/>
          <w:szCs w:val="24"/>
        </w:rPr>
        <w:t>市“三线一单”符合性分析</w:t>
      </w:r>
    </w:p>
    <w:p w14:paraId="05AE14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center"/>
        <w:textAlignment w:val="auto"/>
        <w:rPr>
          <w:rFonts w:hint="default" w:ascii="Times New Roman" w:hAnsi="Times New Roman" w:eastAsia="黑体" w:cs="Times New Roman"/>
          <w:color w:val="auto"/>
          <w:kern w:val="2"/>
          <w:sz w:val="24"/>
          <w:szCs w:val="21"/>
          <w:lang w:val="en-US" w:eastAsia="zh-CN" w:bidi="ar-SA"/>
        </w:rPr>
      </w:pPr>
      <w:r>
        <w:rPr>
          <w:rFonts w:hint="default" w:ascii="Times New Roman" w:hAnsi="Times New Roman" w:eastAsia="黑体" w:cs="Times New Roman"/>
          <w:color w:val="auto"/>
          <w:kern w:val="2"/>
          <w:sz w:val="24"/>
          <w:szCs w:val="21"/>
          <w:lang w:val="en-US" w:eastAsia="zh-CN" w:bidi="ar-SA"/>
        </w:rPr>
        <w:t>表</w:t>
      </w:r>
      <w:r>
        <w:rPr>
          <w:rFonts w:hint="eastAsia" w:eastAsia="黑体" w:cs="Times New Roman"/>
          <w:color w:val="auto"/>
          <w:kern w:val="2"/>
          <w:sz w:val="24"/>
          <w:szCs w:val="21"/>
          <w:lang w:val="en-US" w:eastAsia="zh-CN" w:bidi="ar-SA"/>
        </w:rPr>
        <w:t>2.5-7</w:t>
      </w:r>
      <w:r>
        <w:rPr>
          <w:rFonts w:hint="default" w:ascii="Times New Roman" w:hAnsi="Times New Roman" w:eastAsia="黑体" w:cs="Times New Roman"/>
          <w:color w:val="auto"/>
          <w:kern w:val="2"/>
          <w:sz w:val="24"/>
          <w:szCs w:val="21"/>
          <w:lang w:val="en-US" w:eastAsia="zh-CN" w:bidi="ar-SA"/>
        </w:rPr>
        <w:t xml:space="preserve">  本项目与</w:t>
      </w:r>
      <w:r>
        <w:rPr>
          <w:rFonts w:hint="eastAsia" w:ascii="Times New Roman" w:hAnsi="Times New Roman" w:eastAsia="黑体" w:cs="Times New Roman"/>
          <w:color w:val="auto"/>
          <w:kern w:val="2"/>
          <w:sz w:val="24"/>
          <w:szCs w:val="21"/>
          <w:lang w:val="en-US" w:eastAsia="zh-CN" w:bidi="ar-SA"/>
        </w:rPr>
        <w:t>淮南</w:t>
      </w:r>
      <w:r>
        <w:rPr>
          <w:rFonts w:hint="default" w:ascii="Times New Roman" w:hAnsi="Times New Roman" w:eastAsia="黑体" w:cs="Times New Roman"/>
          <w:color w:val="auto"/>
          <w:kern w:val="2"/>
          <w:sz w:val="24"/>
          <w:szCs w:val="21"/>
          <w:lang w:val="en-US" w:eastAsia="zh-CN" w:bidi="ar-SA"/>
        </w:rPr>
        <w:t>市“三线一单”符合性分析一览表</w:t>
      </w:r>
    </w:p>
    <w:tbl>
      <w:tblPr>
        <w:tblStyle w:val="54"/>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1708"/>
        <w:gridCol w:w="4556"/>
        <w:gridCol w:w="4772"/>
        <w:gridCol w:w="2018"/>
      </w:tblGrid>
      <w:tr w14:paraId="234F66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49" w:type="dxa"/>
            <w:tcBorders>
              <w:tl2br w:val="nil"/>
              <w:tr2bl w:val="nil"/>
            </w:tcBorders>
            <w:vAlign w:val="center"/>
          </w:tcPr>
          <w:p w14:paraId="28262FCC">
            <w:pPr>
              <w:keepNext w:val="0"/>
              <w:keepLines w:val="0"/>
              <w:suppressLineNumbers w:val="0"/>
              <w:spacing w:before="0" w:beforeAutospacing="0" w:after="0" w:afterAutospacing="0" w:line="360" w:lineRule="exact"/>
              <w:ind w:left="0" w:leftChars="0" w:right="0" w:rightChars="0"/>
              <w:jc w:val="center"/>
              <w:rPr>
                <w:rFonts w:hint="default"/>
                <w:b/>
                <w:color w:val="auto"/>
                <w:kern w:val="0"/>
                <w:sz w:val="21"/>
                <w:szCs w:val="21"/>
                <w:highlight w:val="none"/>
              </w:rPr>
            </w:pPr>
            <w:r>
              <w:rPr>
                <w:rFonts w:hint="eastAsia"/>
                <w:b/>
                <w:color w:val="auto"/>
                <w:kern w:val="0"/>
                <w:sz w:val="21"/>
                <w:szCs w:val="21"/>
                <w:highlight w:val="none"/>
              </w:rPr>
              <w:t>序号</w:t>
            </w:r>
          </w:p>
        </w:tc>
        <w:tc>
          <w:tcPr>
            <w:tcW w:w="1703" w:type="dxa"/>
            <w:tcBorders>
              <w:tl2br w:val="nil"/>
              <w:tr2bl w:val="nil"/>
            </w:tcBorders>
            <w:vAlign w:val="center"/>
          </w:tcPr>
          <w:p w14:paraId="182B3E7B">
            <w:pPr>
              <w:keepNext w:val="0"/>
              <w:keepLines w:val="0"/>
              <w:suppressLineNumbers w:val="0"/>
              <w:spacing w:before="0" w:beforeAutospacing="0" w:after="0" w:afterAutospacing="0" w:line="360" w:lineRule="exact"/>
              <w:ind w:left="0" w:leftChars="0" w:right="0" w:rightChars="0"/>
              <w:jc w:val="center"/>
              <w:rPr>
                <w:rFonts w:hint="default"/>
                <w:b/>
                <w:color w:val="auto"/>
                <w:kern w:val="0"/>
                <w:sz w:val="21"/>
                <w:szCs w:val="21"/>
                <w:highlight w:val="none"/>
              </w:rPr>
            </w:pPr>
            <w:r>
              <w:rPr>
                <w:rFonts w:hint="eastAsia"/>
                <w:b/>
                <w:color w:val="auto"/>
                <w:kern w:val="0"/>
                <w:sz w:val="21"/>
                <w:szCs w:val="21"/>
                <w:highlight w:val="none"/>
              </w:rPr>
              <w:t>管控单位分类</w:t>
            </w:r>
          </w:p>
        </w:tc>
        <w:tc>
          <w:tcPr>
            <w:tcW w:w="4542" w:type="dxa"/>
            <w:tcBorders>
              <w:tl2br w:val="nil"/>
              <w:tr2bl w:val="nil"/>
            </w:tcBorders>
            <w:vAlign w:val="center"/>
          </w:tcPr>
          <w:p w14:paraId="3309B090">
            <w:pPr>
              <w:keepNext w:val="0"/>
              <w:keepLines w:val="0"/>
              <w:suppressLineNumbers w:val="0"/>
              <w:spacing w:before="0" w:beforeAutospacing="0" w:after="0" w:afterAutospacing="0" w:line="360" w:lineRule="exact"/>
              <w:ind w:left="0" w:leftChars="0" w:right="0" w:rightChars="0"/>
              <w:jc w:val="center"/>
              <w:rPr>
                <w:rFonts w:hint="default"/>
                <w:color w:val="auto"/>
                <w:sz w:val="21"/>
                <w:szCs w:val="21"/>
                <w:highlight w:val="none"/>
              </w:rPr>
            </w:pPr>
            <w:r>
              <w:rPr>
                <w:rFonts w:hint="default"/>
                <w:b/>
                <w:color w:val="auto"/>
                <w:kern w:val="0"/>
                <w:sz w:val="21"/>
                <w:szCs w:val="21"/>
                <w:highlight w:val="none"/>
              </w:rPr>
              <w:t>环境管控要求</w:t>
            </w:r>
          </w:p>
        </w:tc>
        <w:tc>
          <w:tcPr>
            <w:tcW w:w="4758" w:type="dxa"/>
            <w:tcBorders>
              <w:tl2br w:val="nil"/>
              <w:tr2bl w:val="nil"/>
            </w:tcBorders>
            <w:vAlign w:val="center"/>
          </w:tcPr>
          <w:p w14:paraId="7FC5A31C">
            <w:pPr>
              <w:keepNext w:val="0"/>
              <w:keepLines w:val="0"/>
              <w:suppressLineNumbers w:val="0"/>
              <w:spacing w:before="0" w:beforeAutospacing="0" w:after="0" w:afterAutospacing="0" w:line="360" w:lineRule="exact"/>
              <w:ind w:left="0" w:leftChars="0" w:right="0" w:rightChars="0"/>
              <w:jc w:val="center"/>
              <w:rPr>
                <w:rFonts w:hint="default"/>
                <w:color w:val="auto"/>
                <w:sz w:val="21"/>
                <w:szCs w:val="21"/>
                <w:highlight w:val="cyan"/>
              </w:rPr>
            </w:pPr>
            <w:r>
              <w:rPr>
                <w:rFonts w:hint="default"/>
                <w:b/>
                <w:color w:val="auto"/>
                <w:kern w:val="0"/>
                <w:sz w:val="21"/>
                <w:szCs w:val="21"/>
                <w:highlight w:val="none"/>
              </w:rPr>
              <w:t>协调性分析</w:t>
            </w:r>
          </w:p>
        </w:tc>
        <w:tc>
          <w:tcPr>
            <w:tcW w:w="2012" w:type="dxa"/>
            <w:tcBorders>
              <w:tl2br w:val="nil"/>
              <w:tr2bl w:val="nil"/>
            </w:tcBorders>
            <w:vAlign w:val="center"/>
          </w:tcPr>
          <w:p w14:paraId="1A7A42D3">
            <w:pPr>
              <w:keepNext w:val="0"/>
              <w:keepLines w:val="0"/>
              <w:suppressLineNumbers w:val="0"/>
              <w:spacing w:before="0" w:beforeAutospacing="0" w:after="0" w:afterAutospacing="0" w:line="360" w:lineRule="exact"/>
              <w:ind w:left="0" w:leftChars="0" w:right="0" w:rightChars="0"/>
              <w:jc w:val="center"/>
              <w:rPr>
                <w:rFonts w:hint="default"/>
                <w:b/>
                <w:color w:val="auto"/>
                <w:kern w:val="0"/>
                <w:sz w:val="21"/>
                <w:szCs w:val="21"/>
                <w:highlight w:val="none"/>
              </w:rPr>
            </w:pPr>
            <w:r>
              <w:rPr>
                <w:rFonts w:hint="eastAsia"/>
                <w:b/>
                <w:color w:val="auto"/>
                <w:kern w:val="0"/>
                <w:sz w:val="21"/>
                <w:szCs w:val="21"/>
                <w:highlight w:val="none"/>
              </w:rPr>
              <w:t>符合性分析</w:t>
            </w:r>
          </w:p>
        </w:tc>
      </w:tr>
      <w:tr w14:paraId="403167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49" w:type="dxa"/>
            <w:tcBorders>
              <w:tl2br w:val="nil"/>
              <w:tr2bl w:val="nil"/>
            </w:tcBorders>
            <w:vAlign w:val="center"/>
          </w:tcPr>
          <w:p w14:paraId="4E6A2383">
            <w:pPr>
              <w:keepNext w:val="0"/>
              <w:keepLines w:val="0"/>
              <w:suppressLineNumbers w:val="0"/>
              <w:spacing w:before="0" w:beforeAutospacing="0" w:after="0" w:afterAutospacing="0"/>
              <w:ind w:left="0" w:leftChars="0" w:right="0" w:rightChars="0"/>
              <w:jc w:val="center"/>
              <w:rPr>
                <w:rFonts w:hint="default"/>
                <w:color w:val="auto"/>
                <w:sz w:val="21"/>
                <w:szCs w:val="21"/>
                <w:highlight w:val="none"/>
              </w:rPr>
            </w:pPr>
            <w:r>
              <w:rPr>
                <w:rFonts w:hint="eastAsia"/>
                <w:color w:val="auto"/>
                <w:sz w:val="21"/>
                <w:szCs w:val="21"/>
                <w:highlight w:val="none"/>
              </w:rPr>
              <w:t>1</w:t>
            </w:r>
          </w:p>
        </w:tc>
        <w:tc>
          <w:tcPr>
            <w:tcW w:w="1703" w:type="dxa"/>
            <w:tcBorders>
              <w:tl2br w:val="nil"/>
              <w:tr2bl w:val="nil"/>
            </w:tcBorders>
            <w:vAlign w:val="center"/>
          </w:tcPr>
          <w:p w14:paraId="58C3EDCD">
            <w:pPr>
              <w:keepNext w:val="0"/>
              <w:keepLines w:val="0"/>
              <w:suppressLineNumbers w:val="0"/>
              <w:spacing w:before="0" w:beforeAutospacing="0" w:after="0" w:afterAutospacing="0"/>
              <w:ind w:left="0" w:leftChars="0" w:right="0" w:rightChars="0"/>
              <w:jc w:val="center"/>
              <w:rPr>
                <w:rFonts w:hint="default"/>
                <w:color w:val="auto"/>
                <w:sz w:val="21"/>
                <w:szCs w:val="21"/>
                <w:highlight w:val="none"/>
              </w:rPr>
            </w:pPr>
            <w:r>
              <w:rPr>
                <w:rFonts w:hint="eastAsia"/>
                <w:color w:val="auto"/>
                <w:sz w:val="21"/>
                <w:szCs w:val="21"/>
                <w:highlight w:val="none"/>
              </w:rPr>
              <w:t>水环境一般管控区</w:t>
            </w:r>
          </w:p>
        </w:tc>
        <w:tc>
          <w:tcPr>
            <w:tcW w:w="4542" w:type="dxa"/>
            <w:tcBorders>
              <w:tl2br w:val="nil"/>
              <w:tr2bl w:val="nil"/>
            </w:tcBorders>
            <w:vAlign w:val="center"/>
          </w:tcPr>
          <w:p w14:paraId="27E818DB">
            <w:pPr>
              <w:keepNext w:val="0"/>
              <w:keepLines w:val="0"/>
              <w:suppressLineNumbers w:val="0"/>
              <w:spacing w:before="0" w:beforeAutospacing="0" w:after="0" w:afterAutospacing="0"/>
              <w:ind w:left="0" w:leftChars="0" w:right="0" w:rightChars="0"/>
              <w:jc w:val="center"/>
              <w:rPr>
                <w:rFonts w:hint="default"/>
                <w:color w:val="auto"/>
                <w:sz w:val="21"/>
                <w:szCs w:val="21"/>
                <w:highlight w:val="none"/>
              </w:rPr>
            </w:pPr>
            <w:r>
              <w:rPr>
                <w:rFonts w:hint="default"/>
                <w:color w:val="auto"/>
                <w:sz w:val="21"/>
                <w:szCs w:val="21"/>
                <w:highlight w:val="none"/>
              </w:rPr>
              <w:t>依据《中华人民共和国水污染防治法》《水污染防治行动计划》《安徽省水污染防治工作方案》及各市水污染防治工作方案对一般管控区实施管控；依据《安徽省淮河流域水污染防治条例》对淮河流域实施管控</w:t>
            </w:r>
          </w:p>
        </w:tc>
        <w:tc>
          <w:tcPr>
            <w:tcW w:w="4758" w:type="dxa"/>
            <w:tcBorders>
              <w:tl2br w:val="nil"/>
              <w:tr2bl w:val="nil"/>
            </w:tcBorders>
            <w:vAlign w:val="center"/>
          </w:tcPr>
          <w:p w14:paraId="7F05E602">
            <w:pPr>
              <w:keepNext w:val="0"/>
              <w:keepLines w:val="0"/>
              <w:suppressLineNumbers w:val="0"/>
              <w:spacing w:before="0" w:beforeAutospacing="0" w:after="0" w:afterAutospacing="0"/>
              <w:ind w:left="0" w:leftChars="0" w:right="0" w:rightChars="0"/>
              <w:jc w:val="center"/>
              <w:rPr>
                <w:rFonts w:hint="default"/>
                <w:color w:val="auto"/>
                <w:sz w:val="21"/>
                <w:szCs w:val="21"/>
                <w:highlight w:val="none"/>
              </w:rPr>
            </w:pPr>
            <w:r>
              <w:rPr>
                <w:rFonts w:hint="eastAsia" w:ascii="Times New Roman" w:eastAsia="宋体"/>
                <w:color w:val="auto"/>
                <w:sz w:val="21"/>
                <w:szCs w:val="21"/>
                <w:highlight w:val="none"/>
                <w:lang w:val="en-US" w:eastAsia="zh-CN"/>
              </w:rPr>
              <w:t>本项目运输船舶产生的生活污水经隔油沉淀池预处理后，进入一体化污水处理设施处理后，回用于道路喷洒、机械车辆冲洗、绿化及码头地面冲洗，不外排；本项目到港船舶含油污水经隔油沉淀池预处理后，进入一体化污水处理设施处理，经处理后回用于道路喷洒、机械车辆冲洗、绿化及码头地面冲洗，不外排；初期雨水经隔油沉淀池预处理后进入一体化污水处理设备处理后，作为码头地面冲洗用水、道路喷洒用水、机械车辆冲洗用水及绿化用水；冲洗废水经隔油沉淀池预处理后进入一体化污水处理设备处理，处理后废水全部回用于码头地面冲洗、道路喷洒、机械车辆冲洗及绿化，不外排</w:t>
            </w:r>
          </w:p>
        </w:tc>
        <w:tc>
          <w:tcPr>
            <w:tcW w:w="2012" w:type="dxa"/>
            <w:tcBorders>
              <w:tl2br w:val="nil"/>
              <w:tr2bl w:val="nil"/>
            </w:tcBorders>
            <w:vAlign w:val="center"/>
          </w:tcPr>
          <w:p w14:paraId="5A43CBF5">
            <w:pPr>
              <w:keepNext w:val="0"/>
              <w:keepLines w:val="0"/>
              <w:suppressLineNumbers w:val="0"/>
              <w:spacing w:before="0" w:beforeAutospacing="0" w:after="0" w:afterAutospacing="0"/>
              <w:ind w:left="0" w:leftChars="0" w:right="0" w:rightChars="0"/>
              <w:jc w:val="center"/>
              <w:rPr>
                <w:rFonts w:hint="default"/>
                <w:color w:val="auto"/>
                <w:sz w:val="21"/>
                <w:szCs w:val="21"/>
                <w:highlight w:val="none"/>
              </w:rPr>
            </w:pPr>
            <w:r>
              <w:rPr>
                <w:rFonts w:hint="eastAsia"/>
                <w:color w:val="auto"/>
                <w:sz w:val="21"/>
                <w:szCs w:val="21"/>
                <w:highlight w:val="none"/>
              </w:rPr>
              <w:t>符合</w:t>
            </w:r>
          </w:p>
        </w:tc>
      </w:tr>
      <w:tr w14:paraId="5FE11E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49" w:type="dxa"/>
            <w:tcBorders>
              <w:tl2br w:val="nil"/>
              <w:tr2bl w:val="nil"/>
            </w:tcBorders>
            <w:vAlign w:val="center"/>
          </w:tcPr>
          <w:p w14:paraId="32956CAF">
            <w:pPr>
              <w:keepNext w:val="0"/>
              <w:keepLines w:val="0"/>
              <w:suppressLineNumbers w:val="0"/>
              <w:spacing w:before="0" w:beforeAutospacing="0" w:after="0" w:afterAutospacing="0"/>
              <w:ind w:left="0" w:leftChars="0" w:right="0" w:rightChars="0"/>
              <w:jc w:val="center"/>
              <w:rPr>
                <w:rFonts w:hint="default"/>
                <w:color w:val="auto"/>
                <w:sz w:val="21"/>
                <w:szCs w:val="21"/>
                <w:highlight w:val="none"/>
              </w:rPr>
            </w:pPr>
            <w:r>
              <w:rPr>
                <w:rFonts w:hint="eastAsia"/>
                <w:color w:val="auto"/>
                <w:sz w:val="21"/>
                <w:szCs w:val="21"/>
                <w:highlight w:val="none"/>
              </w:rPr>
              <w:t>2</w:t>
            </w:r>
          </w:p>
        </w:tc>
        <w:tc>
          <w:tcPr>
            <w:tcW w:w="1703" w:type="dxa"/>
            <w:tcBorders>
              <w:tl2br w:val="nil"/>
              <w:tr2bl w:val="nil"/>
            </w:tcBorders>
            <w:vAlign w:val="center"/>
          </w:tcPr>
          <w:p w14:paraId="7156730B">
            <w:pPr>
              <w:keepNext w:val="0"/>
              <w:keepLines w:val="0"/>
              <w:suppressLineNumbers w:val="0"/>
              <w:spacing w:before="0" w:beforeAutospacing="0" w:after="0" w:afterAutospacing="0"/>
              <w:ind w:left="0" w:leftChars="0" w:right="0" w:rightChars="0"/>
              <w:jc w:val="center"/>
              <w:rPr>
                <w:rFonts w:hint="default"/>
                <w:color w:val="auto"/>
                <w:sz w:val="21"/>
                <w:szCs w:val="21"/>
                <w:highlight w:val="none"/>
              </w:rPr>
            </w:pPr>
            <w:r>
              <w:rPr>
                <w:rFonts w:hint="eastAsia"/>
                <w:color w:val="auto"/>
                <w:sz w:val="21"/>
                <w:szCs w:val="21"/>
                <w:highlight w:val="none"/>
              </w:rPr>
              <w:t>大气环境重点管控区</w:t>
            </w:r>
          </w:p>
        </w:tc>
        <w:tc>
          <w:tcPr>
            <w:tcW w:w="4542" w:type="dxa"/>
            <w:tcBorders>
              <w:tl2br w:val="nil"/>
              <w:tr2bl w:val="nil"/>
            </w:tcBorders>
            <w:vAlign w:val="center"/>
          </w:tcPr>
          <w:p w14:paraId="46F464D4">
            <w:pPr>
              <w:keepNext w:val="0"/>
              <w:keepLines w:val="0"/>
              <w:suppressLineNumbers w:val="0"/>
              <w:spacing w:before="0" w:beforeAutospacing="0" w:after="0" w:afterAutospacing="0"/>
              <w:ind w:left="0" w:leftChars="0" w:right="0" w:rightChars="0"/>
              <w:jc w:val="center"/>
              <w:rPr>
                <w:rFonts w:hint="default"/>
                <w:color w:val="auto"/>
                <w:sz w:val="21"/>
                <w:szCs w:val="21"/>
                <w:highlight w:val="none"/>
              </w:rPr>
            </w:pPr>
            <w:r>
              <w:rPr>
                <w:rFonts w:hint="default"/>
                <w:color w:val="auto"/>
                <w:sz w:val="21"/>
                <w:szCs w:val="21"/>
                <w:highlight w:val="none"/>
              </w:rPr>
              <w:t>落实《“十</w:t>
            </w:r>
            <w:r>
              <w:rPr>
                <w:rFonts w:hint="default"/>
                <w:color w:val="auto"/>
                <w:sz w:val="21"/>
                <w:szCs w:val="21"/>
                <w:highlight w:val="none"/>
                <w:lang w:val="en-US" w:eastAsia="zh-CN"/>
              </w:rPr>
              <w:t>四</w:t>
            </w:r>
            <w:r>
              <w:rPr>
                <w:rFonts w:hint="default"/>
                <w:color w:val="auto"/>
                <w:sz w:val="21"/>
                <w:szCs w:val="21"/>
                <w:highlight w:val="none"/>
              </w:rPr>
              <w:t>五”生态环境保护规划》《安徽省“十</w:t>
            </w:r>
            <w:r>
              <w:rPr>
                <w:rFonts w:hint="default"/>
                <w:color w:val="auto"/>
                <w:sz w:val="21"/>
                <w:szCs w:val="21"/>
                <w:highlight w:val="none"/>
                <w:lang w:val="en-US" w:eastAsia="zh-CN"/>
              </w:rPr>
              <w:t>四</w:t>
            </w:r>
            <w:r>
              <w:rPr>
                <w:rFonts w:hint="default"/>
                <w:color w:val="auto"/>
                <w:sz w:val="21"/>
                <w:szCs w:val="21"/>
                <w:highlight w:val="none"/>
              </w:rPr>
              <w:t>五”环境保护规划》《安徽省自然保护地建设项目准入负面清单（试行）》</w:t>
            </w:r>
            <w:r>
              <w:rPr>
                <w:rFonts w:hint="default"/>
                <w:color w:val="auto"/>
                <w:sz w:val="21"/>
                <w:szCs w:val="21"/>
                <w:highlight w:val="none"/>
                <w:lang w:eastAsia="zh-CN"/>
              </w:rPr>
              <w:t>《</w:t>
            </w:r>
            <w:r>
              <w:rPr>
                <w:rFonts w:hint="default"/>
                <w:color w:val="auto"/>
                <w:sz w:val="21"/>
                <w:szCs w:val="21"/>
                <w:highlight w:val="none"/>
              </w:rPr>
              <w:t>淮南市“十四五”生态环境保护规划</w:t>
            </w:r>
            <w:r>
              <w:rPr>
                <w:rFonts w:hint="default"/>
                <w:color w:val="auto"/>
                <w:sz w:val="21"/>
                <w:szCs w:val="21"/>
                <w:highlight w:val="none"/>
                <w:lang w:eastAsia="zh-CN"/>
              </w:rPr>
              <w:t>》</w:t>
            </w:r>
            <w:r>
              <w:rPr>
                <w:rFonts w:hint="default"/>
                <w:color w:val="auto"/>
                <w:sz w:val="21"/>
                <w:szCs w:val="21"/>
                <w:highlight w:val="none"/>
              </w:rPr>
              <w:t>（淮环通〔2022〕46号）</w:t>
            </w:r>
            <w:r>
              <w:rPr>
                <w:rFonts w:hint="default"/>
                <w:color w:val="auto"/>
                <w:sz w:val="21"/>
                <w:szCs w:val="21"/>
                <w:highlight w:val="none"/>
                <w:lang w:eastAsia="zh-CN"/>
              </w:rPr>
              <w:t>《</w:t>
            </w:r>
            <w:r>
              <w:rPr>
                <w:rFonts w:hint="default"/>
                <w:color w:val="auto"/>
                <w:sz w:val="21"/>
                <w:szCs w:val="21"/>
                <w:highlight w:val="none"/>
              </w:rPr>
              <w:t>淮南市“十四五”大气污染防治规划</w:t>
            </w:r>
            <w:r>
              <w:rPr>
                <w:rFonts w:hint="default"/>
                <w:color w:val="auto"/>
                <w:sz w:val="21"/>
                <w:szCs w:val="21"/>
                <w:highlight w:val="none"/>
                <w:lang w:eastAsia="zh-CN"/>
              </w:rPr>
              <w:t>》</w:t>
            </w:r>
            <w:r>
              <w:rPr>
                <w:rFonts w:hint="default"/>
                <w:color w:val="auto"/>
                <w:sz w:val="21"/>
                <w:szCs w:val="21"/>
                <w:highlight w:val="none"/>
              </w:rPr>
              <w:t>（淮环委办</w:t>
            </w:r>
            <w:r>
              <w:rPr>
                <w:rFonts w:hint="eastAsia"/>
                <w:color w:val="auto"/>
                <w:sz w:val="21"/>
                <w:szCs w:val="21"/>
                <w:highlight w:val="none"/>
                <w:lang w:eastAsia="zh-CN"/>
              </w:rPr>
              <w:t>〔2022〕49号</w:t>
            </w:r>
            <w:r>
              <w:rPr>
                <w:rFonts w:hint="default"/>
                <w:color w:val="auto"/>
                <w:sz w:val="21"/>
                <w:szCs w:val="21"/>
                <w:highlight w:val="none"/>
              </w:rPr>
              <w:t>）</w:t>
            </w:r>
            <w:r>
              <w:rPr>
                <w:rFonts w:hint="default"/>
                <w:color w:val="auto"/>
                <w:sz w:val="21"/>
                <w:szCs w:val="21"/>
                <w:highlight w:val="none"/>
                <w:lang w:eastAsia="zh-CN"/>
              </w:rPr>
              <w:t>《</w:t>
            </w:r>
            <w:r>
              <w:rPr>
                <w:rFonts w:hint="default"/>
                <w:color w:val="auto"/>
                <w:sz w:val="21"/>
                <w:szCs w:val="21"/>
                <w:highlight w:val="none"/>
              </w:rPr>
              <w:t>深入打好污染防治攻坚战行动方案</w:t>
            </w:r>
            <w:r>
              <w:rPr>
                <w:rFonts w:hint="default"/>
                <w:color w:val="auto"/>
                <w:sz w:val="21"/>
                <w:szCs w:val="21"/>
                <w:highlight w:val="none"/>
                <w:lang w:eastAsia="zh-CN"/>
              </w:rPr>
              <w:t>》（</w:t>
            </w:r>
            <w:r>
              <w:rPr>
                <w:rFonts w:hint="default"/>
                <w:color w:val="auto"/>
                <w:sz w:val="21"/>
                <w:szCs w:val="21"/>
                <w:highlight w:val="none"/>
              </w:rPr>
              <w:t>淮发〔2022〕17号</w:t>
            </w:r>
            <w:r>
              <w:rPr>
                <w:rFonts w:hint="default"/>
                <w:color w:val="auto"/>
                <w:sz w:val="21"/>
                <w:szCs w:val="21"/>
                <w:highlight w:val="none"/>
                <w:lang w:eastAsia="zh-CN"/>
              </w:rPr>
              <w:t>）</w:t>
            </w:r>
            <w:r>
              <w:rPr>
                <w:rFonts w:hint="default"/>
                <w:color w:val="auto"/>
                <w:sz w:val="21"/>
                <w:szCs w:val="21"/>
                <w:highlight w:val="none"/>
              </w:rPr>
              <w:t>等要求，严格目标实施计划，加强环境监管，促进生态环境质量好转。上年度PM2.5不达标城市新建、改建和扩建项目大气污染物实施“倍量替代”，执行特别排放标准的行业实施提标升级改造。</w:t>
            </w:r>
          </w:p>
        </w:tc>
        <w:tc>
          <w:tcPr>
            <w:tcW w:w="4758" w:type="dxa"/>
            <w:tcBorders>
              <w:tl2br w:val="nil"/>
              <w:tr2bl w:val="nil"/>
            </w:tcBorders>
            <w:vAlign w:val="center"/>
          </w:tcPr>
          <w:p w14:paraId="409EAE01">
            <w:pPr>
              <w:keepNext w:val="0"/>
              <w:keepLines w:val="0"/>
              <w:suppressLineNumbers w:val="0"/>
              <w:spacing w:before="0" w:beforeAutospacing="0" w:after="0" w:afterAutospacing="0"/>
              <w:ind w:left="0" w:leftChars="0" w:right="0" w:rightChars="0"/>
              <w:jc w:val="center"/>
              <w:rPr>
                <w:rFonts w:hint="default"/>
                <w:color w:val="auto"/>
                <w:sz w:val="21"/>
                <w:szCs w:val="21"/>
                <w:highlight w:val="none"/>
              </w:rPr>
            </w:pPr>
            <w:r>
              <w:rPr>
                <w:rFonts w:hint="eastAsia" w:ascii="Times New Roman" w:eastAsia="宋体"/>
                <w:color w:val="auto"/>
                <w:sz w:val="21"/>
                <w:szCs w:val="21"/>
                <w:highlight w:val="none"/>
                <w:lang w:val="en-US" w:eastAsia="zh-CN"/>
              </w:rPr>
              <w:t>本项目</w:t>
            </w:r>
            <w:r>
              <w:rPr>
                <w:rFonts w:hint="default"/>
                <w:color w:val="auto"/>
                <w:sz w:val="21"/>
                <w:szCs w:val="21"/>
                <w:highlight w:val="none"/>
              </w:rPr>
              <w:t>装卸作业使用的装船机</w:t>
            </w:r>
            <w:r>
              <w:rPr>
                <w:rFonts w:hint="eastAsia"/>
                <w:color w:val="auto"/>
                <w:sz w:val="21"/>
                <w:szCs w:val="21"/>
                <w:highlight w:val="none"/>
              </w:rPr>
              <w:t>皮带密闭，装船机</w:t>
            </w:r>
            <w:r>
              <w:rPr>
                <w:rFonts w:hint="default"/>
                <w:color w:val="auto"/>
                <w:sz w:val="21"/>
                <w:szCs w:val="21"/>
                <w:highlight w:val="none"/>
              </w:rPr>
              <w:t>、</w:t>
            </w:r>
            <w:r>
              <w:rPr>
                <w:rFonts w:hint="eastAsia"/>
                <w:color w:val="auto"/>
                <w:sz w:val="21"/>
                <w:szCs w:val="21"/>
                <w:highlight w:val="none"/>
              </w:rPr>
              <w:t>泊位处</w:t>
            </w:r>
            <w:r>
              <w:rPr>
                <w:rFonts w:hint="default"/>
                <w:color w:val="auto"/>
                <w:sz w:val="21"/>
                <w:szCs w:val="21"/>
                <w:highlight w:val="none"/>
              </w:rPr>
              <w:t>设置喷雾洒水抑尘系统。本项目煤炭、矿建材料运输均采用绿色新能源载重车辆运输，港区采用吸尘式清扫车清理作业平台及道路等区域。</w:t>
            </w:r>
          </w:p>
        </w:tc>
        <w:tc>
          <w:tcPr>
            <w:tcW w:w="2012" w:type="dxa"/>
            <w:tcBorders>
              <w:tl2br w:val="nil"/>
              <w:tr2bl w:val="nil"/>
            </w:tcBorders>
            <w:vAlign w:val="center"/>
          </w:tcPr>
          <w:p w14:paraId="3C5F2A8A">
            <w:pPr>
              <w:keepNext w:val="0"/>
              <w:keepLines w:val="0"/>
              <w:suppressLineNumbers w:val="0"/>
              <w:spacing w:before="0" w:beforeAutospacing="0" w:after="0" w:afterAutospacing="0"/>
              <w:ind w:left="0" w:leftChars="0" w:right="0" w:rightChars="0"/>
              <w:jc w:val="center"/>
              <w:rPr>
                <w:rFonts w:hint="default"/>
                <w:color w:val="auto"/>
                <w:sz w:val="21"/>
                <w:szCs w:val="21"/>
                <w:highlight w:val="none"/>
              </w:rPr>
            </w:pPr>
            <w:r>
              <w:rPr>
                <w:rFonts w:hint="eastAsia"/>
                <w:color w:val="auto"/>
                <w:sz w:val="21"/>
                <w:szCs w:val="21"/>
                <w:highlight w:val="none"/>
              </w:rPr>
              <w:t>符合</w:t>
            </w:r>
          </w:p>
        </w:tc>
      </w:tr>
      <w:tr w14:paraId="756C0E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49" w:type="dxa"/>
            <w:tcBorders>
              <w:tl2br w:val="nil"/>
              <w:tr2bl w:val="nil"/>
            </w:tcBorders>
            <w:vAlign w:val="center"/>
          </w:tcPr>
          <w:p w14:paraId="19F682C9">
            <w:pPr>
              <w:keepNext w:val="0"/>
              <w:keepLines w:val="0"/>
              <w:suppressLineNumbers w:val="0"/>
              <w:spacing w:before="0" w:beforeAutospacing="0" w:after="0" w:afterAutospacing="0"/>
              <w:ind w:left="0" w:leftChars="0" w:right="0" w:rightChars="0"/>
              <w:jc w:val="center"/>
              <w:rPr>
                <w:rFonts w:hint="eastAsia" w:eastAsia="宋体"/>
                <w:color w:val="auto"/>
                <w:sz w:val="21"/>
                <w:szCs w:val="21"/>
                <w:highlight w:val="none"/>
                <w:lang w:eastAsia="zh-CN"/>
              </w:rPr>
            </w:pPr>
            <w:r>
              <w:rPr>
                <w:rFonts w:hint="eastAsia" w:ascii="Times New Roman" w:eastAsia="宋体"/>
                <w:color w:val="auto"/>
                <w:sz w:val="21"/>
                <w:szCs w:val="21"/>
                <w:highlight w:val="none"/>
                <w:lang w:val="en-US" w:eastAsia="zh-CN"/>
              </w:rPr>
              <w:t>3</w:t>
            </w:r>
          </w:p>
        </w:tc>
        <w:tc>
          <w:tcPr>
            <w:tcW w:w="1703" w:type="dxa"/>
            <w:tcBorders>
              <w:tl2br w:val="nil"/>
              <w:tr2bl w:val="nil"/>
            </w:tcBorders>
            <w:vAlign w:val="center"/>
          </w:tcPr>
          <w:p w14:paraId="47F930EB">
            <w:pPr>
              <w:keepNext w:val="0"/>
              <w:keepLines w:val="0"/>
              <w:suppressLineNumbers w:val="0"/>
              <w:spacing w:before="0" w:beforeAutospacing="0" w:after="0" w:afterAutospacing="0"/>
              <w:ind w:left="0" w:leftChars="0" w:right="0" w:rightChars="0"/>
              <w:jc w:val="center"/>
              <w:rPr>
                <w:rFonts w:hint="default"/>
                <w:color w:val="auto"/>
                <w:sz w:val="21"/>
                <w:szCs w:val="21"/>
                <w:highlight w:val="none"/>
              </w:rPr>
            </w:pPr>
            <w:r>
              <w:rPr>
                <w:rFonts w:hint="default"/>
                <w:color w:val="auto"/>
                <w:sz w:val="21"/>
                <w:szCs w:val="21"/>
                <w:highlight w:val="none"/>
              </w:rPr>
              <w:t>煤炭资源利用</w:t>
            </w:r>
            <w:r>
              <w:rPr>
                <w:rFonts w:hint="eastAsia" w:ascii="Times New Roman" w:eastAsia="宋体"/>
                <w:color w:val="auto"/>
                <w:sz w:val="21"/>
                <w:szCs w:val="21"/>
                <w:highlight w:val="none"/>
                <w:lang w:val="en-US" w:eastAsia="zh-CN"/>
              </w:rPr>
              <w:t>一般</w:t>
            </w:r>
            <w:r>
              <w:rPr>
                <w:rFonts w:hint="default"/>
                <w:color w:val="auto"/>
                <w:sz w:val="21"/>
                <w:szCs w:val="21"/>
                <w:highlight w:val="none"/>
              </w:rPr>
              <w:t>管控区</w:t>
            </w:r>
          </w:p>
        </w:tc>
        <w:tc>
          <w:tcPr>
            <w:tcW w:w="4542" w:type="dxa"/>
            <w:tcBorders>
              <w:tl2br w:val="nil"/>
              <w:tr2bl w:val="nil"/>
            </w:tcBorders>
            <w:vAlign w:val="center"/>
          </w:tcPr>
          <w:p w14:paraId="7761A809">
            <w:pPr>
              <w:keepNext w:val="0"/>
              <w:keepLines w:val="0"/>
              <w:suppressLineNumbers w:val="0"/>
              <w:spacing w:before="0" w:beforeAutospacing="0" w:after="0" w:afterAutospacing="0"/>
              <w:ind w:left="0" w:leftChars="0" w:right="0" w:rightChars="0"/>
              <w:jc w:val="center"/>
              <w:rPr>
                <w:rFonts w:hint="default"/>
                <w:color w:val="auto"/>
                <w:sz w:val="21"/>
                <w:szCs w:val="21"/>
                <w:highlight w:val="none"/>
              </w:rPr>
            </w:pPr>
            <w:r>
              <w:rPr>
                <w:rFonts w:hint="default"/>
                <w:color w:val="auto"/>
                <w:sz w:val="21"/>
                <w:szCs w:val="21"/>
                <w:highlight w:val="none"/>
              </w:rPr>
              <w:t>落实</w:t>
            </w:r>
            <w:r>
              <w:rPr>
                <w:rFonts w:hint="default"/>
                <w:color w:val="auto"/>
                <w:sz w:val="21"/>
                <w:szCs w:val="21"/>
                <w:highlight w:val="none"/>
                <w:lang w:val="en-US" w:eastAsia="zh-CN"/>
              </w:rPr>
              <w:t>国务院《“十四五”节能减排综合工作方案》、《</w:t>
            </w:r>
            <w:r>
              <w:rPr>
                <w:rFonts w:hint="default"/>
                <w:color w:val="auto"/>
                <w:sz w:val="21"/>
                <w:szCs w:val="21"/>
                <w:highlight w:val="none"/>
              </w:rPr>
              <w:t>淮南市“十四五”节能减排实施方案</w:t>
            </w:r>
            <w:r>
              <w:rPr>
                <w:rFonts w:hint="default"/>
                <w:color w:val="auto"/>
                <w:sz w:val="21"/>
                <w:szCs w:val="21"/>
                <w:highlight w:val="none"/>
                <w:lang w:val="en-US" w:eastAsia="zh-CN"/>
              </w:rPr>
              <w:t>》</w:t>
            </w:r>
            <w:r>
              <w:rPr>
                <w:rFonts w:hint="default"/>
                <w:color w:val="auto"/>
                <w:sz w:val="21"/>
                <w:szCs w:val="21"/>
                <w:highlight w:val="none"/>
              </w:rPr>
              <w:t>要求</w:t>
            </w:r>
          </w:p>
        </w:tc>
        <w:tc>
          <w:tcPr>
            <w:tcW w:w="4758" w:type="dxa"/>
            <w:tcBorders>
              <w:tl2br w:val="nil"/>
              <w:tr2bl w:val="nil"/>
            </w:tcBorders>
            <w:vAlign w:val="center"/>
          </w:tcPr>
          <w:p w14:paraId="1660405E">
            <w:pPr>
              <w:keepNext w:val="0"/>
              <w:keepLines w:val="0"/>
              <w:suppressLineNumbers w:val="0"/>
              <w:spacing w:before="0" w:beforeAutospacing="0" w:after="0" w:afterAutospacing="0"/>
              <w:ind w:left="0" w:leftChars="0" w:right="0" w:rightChars="0"/>
              <w:jc w:val="center"/>
              <w:rPr>
                <w:rFonts w:hint="default"/>
                <w:color w:val="auto"/>
                <w:sz w:val="21"/>
                <w:szCs w:val="21"/>
                <w:highlight w:val="cyan"/>
              </w:rPr>
            </w:pPr>
            <w:r>
              <w:rPr>
                <w:rFonts w:hint="eastAsia"/>
                <w:color w:val="auto"/>
                <w:sz w:val="21"/>
                <w:szCs w:val="21"/>
                <w:highlight w:val="none"/>
              </w:rPr>
              <w:t>本项目不使用煤炭，使用电能。</w:t>
            </w:r>
          </w:p>
        </w:tc>
        <w:tc>
          <w:tcPr>
            <w:tcW w:w="2012" w:type="dxa"/>
            <w:tcBorders>
              <w:tl2br w:val="nil"/>
              <w:tr2bl w:val="nil"/>
            </w:tcBorders>
            <w:vAlign w:val="center"/>
          </w:tcPr>
          <w:p w14:paraId="667C35B7">
            <w:pPr>
              <w:keepNext w:val="0"/>
              <w:keepLines w:val="0"/>
              <w:suppressLineNumbers w:val="0"/>
              <w:spacing w:before="0" w:beforeAutospacing="0" w:after="0" w:afterAutospacing="0"/>
              <w:ind w:left="0" w:leftChars="0" w:right="0" w:rightChars="0"/>
              <w:jc w:val="center"/>
              <w:rPr>
                <w:rFonts w:hint="default"/>
                <w:color w:val="auto"/>
                <w:sz w:val="21"/>
                <w:szCs w:val="21"/>
                <w:highlight w:val="none"/>
              </w:rPr>
            </w:pPr>
            <w:r>
              <w:rPr>
                <w:rFonts w:hint="eastAsia"/>
                <w:color w:val="auto"/>
                <w:sz w:val="21"/>
                <w:szCs w:val="21"/>
                <w:highlight w:val="none"/>
              </w:rPr>
              <w:t>符合</w:t>
            </w:r>
          </w:p>
        </w:tc>
      </w:tr>
      <w:tr w14:paraId="0265BC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49" w:type="dxa"/>
            <w:tcBorders>
              <w:tl2br w:val="nil"/>
              <w:tr2bl w:val="nil"/>
            </w:tcBorders>
            <w:vAlign w:val="center"/>
          </w:tcPr>
          <w:p w14:paraId="1F7F2057">
            <w:pPr>
              <w:keepNext w:val="0"/>
              <w:keepLines w:val="0"/>
              <w:suppressLineNumbers w:val="0"/>
              <w:spacing w:before="0" w:beforeAutospacing="0" w:after="0" w:afterAutospacing="0"/>
              <w:ind w:left="0" w:leftChars="0" w:right="0" w:rightChars="0"/>
              <w:jc w:val="center"/>
              <w:rPr>
                <w:rFonts w:hint="eastAsia" w:eastAsia="宋体"/>
                <w:color w:val="auto"/>
                <w:sz w:val="21"/>
                <w:szCs w:val="21"/>
                <w:highlight w:val="none"/>
                <w:lang w:eastAsia="zh-CN"/>
              </w:rPr>
            </w:pPr>
            <w:r>
              <w:rPr>
                <w:rFonts w:hint="eastAsia" w:ascii="Times New Roman" w:eastAsia="宋体"/>
                <w:color w:val="auto"/>
                <w:sz w:val="21"/>
                <w:szCs w:val="21"/>
                <w:highlight w:val="none"/>
                <w:lang w:val="en-US" w:eastAsia="zh-CN"/>
              </w:rPr>
              <w:t>4</w:t>
            </w:r>
          </w:p>
        </w:tc>
        <w:tc>
          <w:tcPr>
            <w:tcW w:w="1703" w:type="dxa"/>
            <w:tcBorders>
              <w:tl2br w:val="nil"/>
              <w:tr2bl w:val="nil"/>
            </w:tcBorders>
            <w:vAlign w:val="center"/>
          </w:tcPr>
          <w:p w14:paraId="527D1A14">
            <w:pPr>
              <w:keepNext w:val="0"/>
              <w:keepLines w:val="0"/>
              <w:suppressLineNumbers w:val="0"/>
              <w:spacing w:before="0" w:beforeAutospacing="0" w:after="0" w:afterAutospacing="0"/>
              <w:ind w:left="0" w:leftChars="0" w:right="0" w:rightChars="0"/>
              <w:jc w:val="center"/>
              <w:rPr>
                <w:rFonts w:hint="default"/>
                <w:color w:val="auto"/>
                <w:sz w:val="21"/>
                <w:szCs w:val="21"/>
                <w:highlight w:val="none"/>
              </w:rPr>
            </w:pPr>
            <w:r>
              <w:rPr>
                <w:rFonts w:hint="default"/>
                <w:color w:val="auto"/>
                <w:sz w:val="21"/>
                <w:szCs w:val="21"/>
                <w:highlight w:val="none"/>
              </w:rPr>
              <w:t>水资源一般管控区</w:t>
            </w:r>
          </w:p>
        </w:tc>
        <w:tc>
          <w:tcPr>
            <w:tcW w:w="4542" w:type="dxa"/>
            <w:tcBorders>
              <w:tl2br w:val="nil"/>
              <w:tr2bl w:val="nil"/>
            </w:tcBorders>
            <w:vAlign w:val="center"/>
          </w:tcPr>
          <w:p w14:paraId="5EEC62B7">
            <w:pPr>
              <w:keepNext w:val="0"/>
              <w:keepLines w:val="0"/>
              <w:suppressLineNumbers w:val="0"/>
              <w:spacing w:before="0" w:beforeAutospacing="0" w:after="0" w:afterAutospacing="0"/>
              <w:ind w:left="0" w:leftChars="0" w:right="0" w:rightChars="0"/>
              <w:jc w:val="center"/>
              <w:rPr>
                <w:rFonts w:hint="default"/>
                <w:color w:val="auto"/>
                <w:sz w:val="21"/>
                <w:szCs w:val="21"/>
                <w:highlight w:val="none"/>
              </w:rPr>
            </w:pPr>
            <w:r>
              <w:rPr>
                <w:rFonts w:hint="default"/>
                <w:color w:val="auto"/>
                <w:sz w:val="21"/>
                <w:szCs w:val="21"/>
                <w:highlight w:val="none"/>
              </w:rPr>
              <w:t>落实《国务院办公厅关于印发实行最严格水资源管理制度考核办法的通知》</w:t>
            </w:r>
            <w:r>
              <w:rPr>
                <w:rFonts w:hint="default"/>
                <w:color w:val="auto"/>
                <w:sz w:val="21"/>
                <w:szCs w:val="21"/>
                <w:highlight w:val="none"/>
                <w:lang w:val="en-US" w:eastAsia="zh-CN"/>
              </w:rPr>
              <w:t>《淮南市水利发展“十四五”规划》</w:t>
            </w:r>
            <w:r>
              <w:rPr>
                <w:rFonts w:hint="default"/>
                <w:color w:val="auto"/>
                <w:sz w:val="21"/>
                <w:szCs w:val="21"/>
                <w:highlight w:val="none"/>
              </w:rPr>
              <w:t>等要求</w:t>
            </w:r>
          </w:p>
        </w:tc>
        <w:tc>
          <w:tcPr>
            <w:tcW w:w="4758" w:type="dxa"/>
            <w:tcBorders>
              <w:tl2br w:val="nil"/>
              <w:tr2bl w:val="nil"/>
            </w:tcBorders>
            <w:vAlign w:val="center"/>
          </w:tcPr>
          <w:p w14:paraId="198E5F8B">
            <w:pPr>
              <w:keepNext w:val="0"/>
              <w:keepLines w:val="0"/>
              <w:suppressLineNumbers w:val="0"/>
              <w:spacing w:before="0" w:beforeAutospacing="0" w:after="0" w:afterAutospacing="0"/>
              <w:ind w:left="0" w:leftChars="0" w:right="0" w:rightChars="0"/>
              <w:jc w:val="center"/>
              <w:rPr>
                <w:rFonts w:hint="default"/>
                <w:color w:val="auto"/>
                <w:sz w:val="21"/>
                <w:szCs w:val="21"/>
                <w:highlight w:val="cyan"/>
              </w:rPr>
            </w:pPr>
            <w:r>
              <w:rPr>
                <w:rFonts w:hint="eastAsia" w:ascii="Times New Roman" w:eastAsia="宋体"/>
                <w:color w:val="auto"/>
                <w:sz w:val="21"/>
                <w:szCs w:val="21"/>
                <w:lang w:val="en-US" w:eastAsia="zh-CN"/>
              </w:rPr>
              <w:t>本项目</w:t>
            </w:r>
            <w:r>
              <w:rPr>
                <w:rFonts w:hint="default"/>
                <w:color w:val="auto"/>
                <w:sz w:val="21"/>
                <w:szCs w:val="21"/>
              </w:rPr>
              <w:t>生产用水</w:t>
            </w:r>
            <w:r>
              <w:rPr>
                <w:rFonts w:hint="eastAsia"/>
                <w:color w:val="auto"/>
                <w:sz w:val="21"/>
                <w:szCs w:val="21"/>
              </w:rPr>
              <w:t>包括装卸抑尘用水、码头地面冲洗用水、道路喷洒用水、机械车辆冲洗用水等，码头地面冲洗用水、道路喷洒用水、机械车辆冲洗用水及绿化用水由回用水池供水，不足部分由自来水补充</w:t>
            </w:r>
            <w:r>
              <w:rPr>
                <w:rFonts w:hint="default"/>
                <w:color w:val="auto"/>
                <w:sz w:val="21"/>
                <w:szCs w:val="21"/>
              </w:rPr>
              <w:t>。</w:t>
            </w:r>
          </w:p>
        </w:tc>
        <w:tc>
          <w:tcPr>
            <w:tcW w:w="2012" w:type="dxa"/>
            <w:tcBorders>
              <w:tl2br w:val="nil"/>
              <w:tr2bl w:val="nil"/>
            </w:tcBorders>
            <w:vAlign w:val="center"/>
          </w:tcPr>
          <w:p w14:paraId="6AD16487">
            <w:pPr>
              <w:keepNext w:val="0"/>
              <w:keepLines w:val="0"/>
              <w:suppressLineNumbers w:val="0"/>
              <w:spacing w:before="0" w:beforeAutospacing="0" w:after="0" w:afterAutospacing="0"/>
              <w:ind w:left="0" w:leftChars="0" w:right="0" w:rightChars="0"/>
              <w:jc w:val="center"/>
              <w:rPr>
                <w:rFonts w:hint="default"/>
                <w:bCs/>
                <w:color w:val="auto"/>
                <w:sz w:val="21"/>
                <w:szCs w:val="21"/>
                <w:highlight w:val="none"/>
              </w:rPr>
            </w:pPr>
            <w:r>
              <w:rPr>
                <w:rFonts w:hint="eastAsia"/>
                <w:color w:val="auto"/>
                <w:sz w:val="21"/>
                <w:szCs w:val="21"/>
                <w:highlight w:val="none"/>
              </w:rPr>
              <w:t>符合</w:t>
            </w:r>
          </w:p>
        </w:tc>
      </w:tr>
    </w:tbl>
    <w:p w14:paraId="1871D6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center"/>
        <w:textAlignment w:val="auto"/>
        <w:rPr>
          <w:rFonts w:hint="default" w:ascii="Times New Roman" w:hAnsi="Times New Roman" w:eastAsia="黑体" w:cs="Times New Roman"/>
          <w:color w:val="auto"/>
          <w:kern w:val="2"/>
          <w:sz w:val="24"/>
          <w:szCs w:val="21"/>
          <w:lang w:val="en-US" w:eastAsia="zh-CN" w:bidi="ar-SA"/>
        </w:rPr>
      </w:pPr>
      <w:r>
        <w:rPr>
          <w:rFonts w:hint="default" w:ascii="Times New Roman" w:hAnsi="Times New Roman" w:eastAsia="黑体" w:cs="Times New Roman"/>
          <w:color w:val="auto"/>
          <w:kern w:val="2"/>
          <w:sz w:val="24"/>
          <w:szCs w:val="21"/>
          <w:lang w:val="en-US" w:eastAsia="zh-CN" w:bidi="ar-SA"/>
        </w:rPr>
        <w:t>表</w:t>
      </w:r>
      <w:r>
        <w:rPr>
          <w:rFonts w:hint="eastAsia" w:eastAsia="黑体" w:cs="Times New Roman"/>
          <w:color w:val="auto"/>
          <w:kern w:val="2"/>
          <w:sz w:val="24"/>
          <w:szCs w:val="21"/>
          <w:lang w:val="en-US" w:eastAsia="zh-CN" w:bidi="ar-SA"/>
        </w:rPr>
        <w:t>2.5-8</w:t>
      </w:r>
      <w:r>
        <w:rPr>
          <w:rFonts w:hint="default" w:ascii="Times New Roman" w:hAnsi="Times New Roman" w:eastAsia="黑体" w:cs="Times New Roman"/>
          <w:color w:val="auto"/>
          <w:kern w:val="2"/>
          <w:sz w:val="24"/>
          <w:szCs w:val="21"/>
          <w:lang w:val="en-US" w:eastAsia="zh-CN" w:bidi="ar-SA"/>
        </w:rPr>
        <w:t xml:space="preserve">  本项目与淮南市“三线一单”生态环境准入清单符合性分析一览表</w:t>
      </w:r>
    </w:p>
    <w:tbl>
      <w:tblPr>
        <w:tblStyle w:val="53"/>
        <w:tblW w:w="499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1335"/>
        <w:gridCol w:w="829"/>
        <w:gridCol w:w="829"/>
        <w:gridCol w:w="832"/>
        <w:gridCol w:w="5087"/>
        <w:gridCol w:w="5087"/>
      </w:tblGrid>
      <w:tr w14:paraId="715BC5E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830" w:hRule="atLeast"/>
          <w:jc w:val="center"/>
        </w:trPr>
        <w:tc>
          <w:tcPr>
            <w:tcW w:w="326" w:type="pct"/>
            <w:tcBorders>
              <w:tl2br w:val="nil"/>
              <w:tr2bl w:val="nil"/>
            </w:tcBorders>
            <w:shd w:val="clear" w:color="auto" w:fill="auto"/>
            <w:vAlign w:val="center"/>
          </w:tcPr>
          <w:p w14:paraId="40BB563F">
            <w:pPr>
              <w:pStyle w:val="2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kern w:val="2"/>
                <w:sz w:val="21"/>
                <w:szCs w:val="21"/>
                <w:lang w:eastAsia="zh-CN"/>
              </w:rPr>
            </w:pPr>
            <w:r>
              <w:rPr>
                <w:rFonts w:hint="eastAsia" w:ascii="Times New Roman" w:hAnsi="Times New Roman" w:eastAsia="宋体" w:cs="Times New Roman"/>
                <w:b/>
                <w:bCs/>
                <w:color w:val="auto"/>
                <w:kern w:val="2"/>
                <w:sz w:val="21"/>
                <w:szCs w:val="21"/>
                <w:lang w:eastAsia="zh-CN"/>
              </w:rPr>
              <w:t>环境管控单元编码</w:t>
            </w:r>
          </w:p>
        </w:tc>
        <w:tc>
          <w:tcPr>
            <w:tcW w:w="326" w:type="pct"/>
            <w:tcBorders>
              <w:tl2br w:val="nil"/>
              <w:tr2bl w:val="nil"/>
            </w:tcBorders>
            <w:shd w:val="clear" w:color="auto" w:fill="auto"/>
            <w:vAlign w:val="center"/>
          </w:tcPr>
          <w:p w14:paraId="373145A2">
            <w:pPr>
              <w:pStyle w:val="2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kern w:val="2"/>
                <w:sz w:val="21"/>
                <w:szCs w:val="21"/>
                <w:lang w:eastAsia="zh-CN"/>
              </w:rPr>
            </w:pPr>
            <w:r>
              <w:rPr>
                <w:rFonts w:hint="eastAsia" w:ascii="Times New Roman" w:hAnsi="Times New Roman" w:eastAsia="宋体" w:cs="Times New Roman"/>
                <w:b/>
                <w:bCs/>
                <w:color w:val="auto"/>
                <w:kern w:val="2"/>
                <w:sz w:val="21"/>
                <w:szCs w:val="21"/>
                <w:lang w:eastAsia="zh-CN"/>
              </w:rPr>
              <w:t>环境管控单元分类</w:t>
            </w:r>
          </w:p>
        </w:tc>
        <w:tc>
          <w:tcPr>
            <w:tcW w:w="326" w:type="pct"/>
            <w:tcBorders>
              <w:tl2br w:val="nil"/>
              <w:tr2bl w:val="nil"/>
            </w:tcBorders>
            <w:shd w:val="clear" w:color="auto" w:fill="auto"/>
            <w:vAlign w:val="center"/>
          </w:tcPr>
          <w:p w14:paraId="062DFFEB">
            <w:pPr>
              <w:pStyle w:val="2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kern w:val="2"/>
                <w:sz w:val="21"/>
                <w:szCs w:val="21"/>
                <w:lang w:eastAsia="zh-CN"/>
              </w:rPr>
            </w:pPr>
            <w:r>
              <w:rPr>
                <w:rFonts w:hint="eastAsia" w:ascii="Times New Roman" w:hAnsi="Times New Roman" w:eastAsia="宋体" w:cs="Times New Roman"/>
                <w:b/>
                <w:bCs/>
                <w:color w:val="auto"/>
                <w:kern w:val="2"/>
                <w:sz w:val="21"/>
                <w:szCs w:val="21"/>
                <w:lang w:eastAsia="zh-CN"/>
              </w:rPr>
              <w:t>区域管控要求</w:t>
            </w:r>
          </w:p>
        </w:tc>
        <w:tc>
          <w:tcPr>
            <w:tcW w:w="327" w:type="pct"/>
            <w:tcBorders>
              <w:tl2br w:val="nil"/>
              <w:tr2bl w:val="nil"/>
            </w:tcBorders>
            <w:shd w:val="clear" w:color="auto" w:fill="auto"/>
            <w:vAlign w:val="center"/>
          </w:tcPr>
          <w:p w14:paraId="3990AE15">
            <w:pPr>
              <w:pStyle w:val="2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kern w:val="2"/>
                <w:sz w:val="21"/>
                <w:szCs w:val="21"/>
                <w:lang w:eastAsia="zh-CN"/>
              </w:rPr>
            </w:pPr>
            <w:r>
              <w:rPr>
                <w:rFonts w:hint="eastAsia" w:ascii="Times New Roman" w:hAnsi="Times New Roman" w:eastAsia="宋体" w:cs="Times New Roman"/>
                <w:b/>
                <w:bCs/>
                <w:color w:val="auto"/>
                <w:kern w:val="2"/>
                <w:sz w:val="21"/>
                <w:szCs w:val="21"/>
                <w:lang w:eastAsia="zh-CN"/>
              </w:rPr>
              <w:t>管控类别</w:t>
            </w:r>
          </w:p>
        </w:tc>
        <w:tc>
          <w:tcPr>
            <w:tcW w:w="1846" w:type="pct"/>
            <w:tcBorders>
              <w:tl2br w:val="nil"/>
              <w:tr2bl w:val="nil"/>
            </w:tcBorders>
            <w:shd w:val="clear" w:color="auto" w:fill="auto"/>
            <w:vAlign w:val="center"/>
          </w:tcPr>
          <w:p w14:paraId="392E87CD">
            <w:pPr>
              <w:pStyle w:val="2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kern w:val="2"/>
                <w:sz w:val="21"/>
                <w:szCs w:val="21"/>
                <w:lang w:eastAsia="zh-CN"/>
              </w:rPr>
            </w:pPr>
            <w:r>
              <w:rPr>
                <w:rFonts w:hint="eastAsia" w:ascii="Times New Roman" w:hAnsi="Times New Roman" w:eastAsia="宋体" w:cs="Times New Roman"/>
                <w:b/>
                <w:bCs/>
                <w:color w:val="auto"/>
                <w:kern w:val="2"/>
                <w:sz w:val="21"/>
                <w:szCs w:val="21"/>
                <w:lang w:eastAsia="zh-CN"/>
              </w:rPr>
              <w:t>管控要求</w:t>
            </w:r>
          </w:p>
        </w:tc>
        <w:tc>
          <w:tcPr>
            <w:tcW w:w="1846" w:type="pct"/>
            <w:tcBorders>
              <w:tl2br w:val="nil"/>
              <w:tr2bl w:val="nil"/>
            </w:tcBorders>
            <w:shd w:val="clear" w:color="auto" w:fill="auto"/>
            <w:vAlign w:val="center"/>
          </w:tcPr>
          <w:p w14:paraId="692BBB97">
            <w:pPr>
              <w:pStyle w:val="2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kern w:val="2"/>
                <w:sz w:val="21"/>
                <w:szCs w:val="21"/>
                <w:lang w:val="en-US" w:eastAsia="zh-CN"/>
              </w:rPr>
            </w:pPr>
            <w:r>
              <w:rPr>
                <w:rFonts w:hint="eastAsia" w:ascii="Times New Roman" w:hAnsi="Times New Roman" w:eastAsia="宋体" w:cs="Times New Roman"/>
                <w:b/>
                <w:bCs/>
                <w:color w:val="auto"/>
                <w:kern w:val="2"/>
                <w:sz w:val="21"/>
                <w:szCs w:val="21"/>
                <w:lang w:val="en-US" w:eastAsia="zh-CN"/>
              </w:rPr>
              <w:t>本项目情况</w:t>
            </w:r>
          </w:p>
        </w:tc>
      </w:tr>
      <w:tr w14:paraId="11CC9B9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90" w:hRule="atLeast"/>
          <w:jc w:val="center"/>
        </w:trPr>
        <w:tc>
          <w:tcPr>
            <w:tcW w:w="326" w:type="pct"/>
            <w:tcBorders>
              <w:tl2br w:val="nil"/>
              <w:tr2bl w:val="nil"/>
            </w:tcBorders>
            <w:shd w:val="clear" w:color="auto" w:fill="auto"/>
            <w:vAlign w:val="center"/>
          </w:tcPr>
          <w:p w14:paraId="7724C12A">
            <w:pPr>
              <w:pStyle w:val="2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kern w:val="2"/>
                <w:sz w:val="21"/>
                <w:szCs w:val="21"/>
                <w:lang w:eastAsia="zh-CN"/>
              </w:rPr>
            </w:pPr>
            <w:r>
              <w:rPr>
                <w:rFonts w:hint="eastAsia" w:ascii="Times New Roman" w:hAnsi="Times New Roman" w:eastAsia="宋体" w:cs="Times New Roman"/>
                <w:color w:val="auto"/>
                <w:kern w:val="2"/>
                <w:sz w:val="21"/>
                <w:szCs w:val="21"/>
                <w:lang w:eastAsia="zh-CN"/>
              </w:rPr>
              <w:t>ZH3404061030 3</w:t>
            </w:r>
          </w:p>
        </w:tc>
        <w:tc>
          <w:tcPr>
            <w:tcW w:w="326" w:type="pct"/>
            <w:tcBorders>
              <w:tl2br w:val="nil"/>
              <w:tr2bl w:val="nil"/>
            </w:tcBorders>
            <w:shd w:val="clear" w:color="auto" w:fill="auto"/>
            <w:vAlign w:val="center"/>
          </w:tcPr>
          <w:p w14:paraId="347B1F6B">
            <w:pPr>
              <w:pStyle w:val="2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kern w:val="2"/>
                <w:sz w:val="21"/>
                <w:szCs w:val="21"/>
                <w:lang w:eastAsia="zh-CN"/>
              </w:rPr>
            </w:pPr>
            <w:r>
              <w:rPr>
                <w:rFonts w:hint="eastAsia" w:ascii="Times New Roman" w:hAnsi="Times New Roman" w:eastAsia="宋体" w:cs="Times New Roman"/>
                <w:color w:val="auto"/>
                <w:kern w:val="2"/>
                <w:sz w:val="21"/>
                <w:szCs w:val="21"/>
                <w:lang w:eastAsia="zh-CN"/>
              </w:rPr>
              <w:t>优先保护单元</w:t>
            </w:r>
          </w:p>
        </w:tc>
        <w:tc>
          <w:tcPr>
            <w:tcW w:w="326" w:type="pct"/>
            <w:tcBorders>
              <w:tl2br w:val="nil"/>
              <w:tr2bl w:val="nil"/>
            </w:tcBorders>
            <w:shd w:val="clear" w:color="auto" w:fill="auto"/>
            <w:vAlign w:val="center"/>
          </w:tcPr>
          <w:p w14:paraId="07EE967C">
            <w:pPr>
              <w:pStyle w:val="2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kern w:val="2"/>
                <w:sz w:val="21"/>
                <w:szCs w:val="21"/>
                <w:lang w:eastAsia="zh-CN"/>
              </w:rPr>
            </w:pPr>
            <w:r>
              <w:rPr>
                <w:rFonts w:hint="eastAsia" w:ascii="Times New Roman" w:hAnsi="Times New Roman" w:eastAsia="宋体" w:cs="Times New Roman"/>
                <w:color w:val="auto"/>
                <w:kern w:val="2"/>
                <w:sz w:val="21"/>
                <w:szCs w:val="21"/>
                <w:lang w:eastAsia="zh-CN"/>
              </w:rPr>
              <w:t>沿淮绿色生态廊道区-优先管控单元12</w:t>
            </w:r>
          </w:p>
        </w:tc>
        <w:tc>
          <w:tcPr>
            <w:tcW w:w="327" w:type="pct"/>
            <w:tcBorders>
              <w:tl2br w:val="nil"/>
              <w:tr2bl w:val="nil"/>
            </w:tcBorders>
            <w:shd w:val="clear" w:color="auto" w:fill="auto"/>
            <w:vAlign w:val="center"/>
          </w:tcPr>
          <w:p w14:paraId="3922C992">
            <w:pPr>
              <w:pStyle w:val="2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kern w:val="2"/>
                <w:sz w:val="21"/>
                <w:szCs w:val="21"/>
                <w:lang w:eastAsia="zh-CN"/>
              </w:rPr>
            </w:pPr>
            <w:r>
              <w:rPr>
                <w:rFonts w:hint="eastAsia" w:ascii="Times New Roman" w:hAnsi="Times New Roman" w:eastAsia="宋体" w:cs="Times New Roman"/>
                <w:color w:val="auto"/>
                <w:kern w:val="2"/>
                <w:sz w:val="21"/>
                <w:szCs w:val="21"/>
                <w:lang w:eastAsia="zh-CN"/>
              </w:rPr>
              <w:t>空间布局约束</w:t>
            </w:r>
          </w:p>
        </w:tc>
        <w:tc>
          <w:tcPr>
            <w:tcW w:w="1846" w:type="pct"/>
            <w:tcBorders>
              <w:tl2br w:val="nil"/>
              <w:tr2bl w:val="nil"/>
            </w:tcBorders>
            <w:shd w:val="clear" w:color="auto" w:fill="auto"/>
            <w:vAlign w:val="center"/>
          </w:tcPr>
          <w:p w14:paraId="1A9E009D">
            <w:pPr>
              <w:pStyle w:val="2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kern w:val="2"/>
                <w:sz w:val="21"/>
                <w:szCs w:val="21"/>
                <w:lang w:eastAsia="zh-CN"/>
              </w:rPr>
            </w:pPr>
            <w:r>
              <w:rPr>
                <w:rFonts w:hint="eastAsia" w:ascii="Times New Roman" w:hAnsi="Times New Roman" w:eastAsia="宋体" w:cs="Times New Roman"/>
                <w:color w:val="auto"/>
                <w:kern w:val="2"/>
                <w:sz w:val="21"/>
                <w:szCs w:val="21"/>
                <w:lang w:eastAsia="zh-CN"/>
              </w:rPr>
              <w:t>农业部和省级人民政府渔业行政主管部门应当分别针对国家级和省级水产种质资源保护区主要保护对象的繁殖期、幼体生长期等生长繁育关键阶段设定特别保护期。特别保护期内不得从事捕捞、爆破作业以及其他可能对保护区内生物资源和生态环境造成损害的活动。禁止在水产种质资源保护区内从事围湖造田。禁止在水产种质资源保护区内新建排污口。严禁向天然开放水域放流外来物种、人工杂交或有转基因成分的物种，防范外来物种入侵和种质资源污染。保护水产种质资源及其生存环境，提高水生生物资源养护管理能力。未经批准，任何单位或者个人不得在水产种质资源保护区从事捕捞活动。在水产种质资源保护区内从事修建水利工程、疏浚航道、建闸筑坝、勘探和开采矿产资源、港口建设等工程建设的，或者在水产种质资源保护区外从事可能损害保护区功能的工程建设活动的，应当按照国家有关规定编制建设项目对水产种质资源保护区的影响专题论证报告，并将其纳入环境影响评价报告书。在水产种质资源保护区附近新建、改建、扩建排污口，应当保证保护区水体不受污染。单位和个人在水产种质资源保护区内从事水生生物资源调查、科学研究、教学实习、参观游览、影视拍摄等活动，应当遵守有关法律法规和保护区管理制度，不得损害水产种质资源及其生存环境</w:t>
            </w:r>
          </w:p>
        </w:tc>
        <w:tc>
          <w:tcPr>
            <w:tcW w:w="1846" w:type="pct"/>
            <w:tcBorders>
              <w:tl2br w:val="nil"/>
              <w:tr2bl w:val="nil"/>
            </w:tcBorders>
            <w:shd w:val="clear" w:color="auto" w:fill="auto"/>
            <w:vAlign w:val="center"/>
          </w:tcPr>
          <w:p w14:paraId="2AA7FE62">
            <w:pPr>
              <w:pStyle w:val="23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auto"/>
                <w:kern w:val="2"/>
                <w:sz w:val="21"/>
                <w:szCs w:val="21"/>
                <w:lang w:eastAsia="zh-CN"/>
              </w:rPr>
            </w:pPr>
            <w:r>
              <w:rPr>
                <w:rFonts w:hint="eastAsia" w:ascii="Times New Roman" w:hAnsi="Times New Roman" w:eastAsia="宋体" w:cs="Times New Roman"/>
                <w:color w:val="auto"/>
                <w:kern w:val="2"/>
                <w:sz w:val="21"/>
                <w:szCs w:val="21"/>
                <w:lang w:val="en-US" w:eastAsia="zh-CN"/>
              </w:rPr>
              <w:t>本项目施工期</w:t>
            </w:r>
            <w:r>
              <w:rPr>
                <w:rFonts w:hint="eastAsia" w:ascii="Times New Roman" w:hAnsi="Times New Roman" w:eastAsia="宋体" w:cs="Times New Roman"/>
                <w:color w:val="auto"/>
                <w:kern w:val="2"/>
                <w:sz w:val="21"/>
                <w:szCs w:val="21"/>
                <w:lang w:val="zh-CN" w:eastAsia="zh-CN"/>
              </w:rPr>
              <w:t>为了减少水下施工活动对水生生物的影响，每年3冬龄性成熟，4~6月产卵，8月左右下退，</w:t>
            </w:r>
            <w:r>
              <w:rPr>
                <w:rFonts w:hint="eastAsia" w:ascii="Times New Roman" w:hAnsi="Times New Roman" w:eastAsia="宋体" w:cs="Times New Roman"/>
                <w:color w:val="auto"/>
                <w:kern w:val="2"/>
                <w:sz w:val="21"/>
                <w:szCs w:val="21"/>
                <w:lang w:val="en-US" w:eastAsia="zh-CN"/>
              </w:rPr>
              <w:t>严禁</w:t>
            </w:r>
            <w:r>
              <w:rPr>
                <w:rFonts w:hint="eastAsia" w:ascii="Times New Roman" w:hAnsi="Times New Roman" w:eastAsia="宋体" w:cs="Times New Roman"/>
                <w:color w:val="auto"/>
                <w:kern w:val="2"/>
                <w:sz w:val="21"/>
                <w:szCs w:val="21"/>
                <w:lang w:val="zh-CN" w:eastAsia="zh-CN"/>
              </w:rPr>
              <w:t>产卵、繁殖期间严禁进行水下作业。合理进行施工组织，工程水下施工尽量选择在11月至次年2月的枯水季节进行。</w:t>
            </w:r>
            <w:r>
              <w:rPr>
                <w:rFonts w:hint="eastAsia" w:ascii="Times New Roman" w:hAnsi="Times New Roman" w:eastAsia="宋体" w:cs="Times New Roman"/>
                <w:color w:val="auto"/>
                <w:kern w:val="2"/>
                <w:sz w:val="21"/>
                <w:szCs w:val="21"/>
                <w:lang w:val="en-US" w:eastAsia="zh-CN"/>
              </w:rPr>
              <w:t>本</w:t>
            </w:r>
            <w:r>
              <w:rPr>
                <w:rFonts w:hint="eastAsia" w:ascii="Times New Roman" w:hAnsi="Times New Roman" w:eastAsia="宋体" w:cs="Times New Roman"/>
                <w:color w:val="auto"/>
                <w:kern w:val="2"/>
                <w:sz w:val="21"/>
                <w:szCs w:val="21"/>
                <w:lang w:eastAsia="zh-CN"/>
              </w:rPr>
              <w:t>项目运营期船舶产生的运输船舶产生的生活污水经隔油沉淀池预处理后，进入一体化污水处理设施处理后，回用于道路喷洒、机械车辆冲洗、绿化及码头地面冲洗，不外排；本项目到港船舶含油污水经隔油沉淀池预处理后，进入一体化污水处理设施处理，经处理后回用于道路喷洒、机械车辆冲洗、绿化及码头地面冲洗，不外排；初期雨水</w:t>
            </w:r>
            <w:r>
              <w:rPr>
                <w:rFonts w:hint="eastAsia" w:ascii="Times New Roman" w:hAnsi="Times New Roman" w:eastAsia="宋体" w:cs="Times New Roman"/>
                <w:color w:val="auto"/>
                <w:kern w:val="2"/>
                <w:sz w:val="21"/>
                <w:szCs w:val="21"/>
                <w:lang w:val="en-US" w:eastAsia="zh-CN"/>
              </w:rPr>
              <w:t>经</w:t>
            </w:r>
            <w:r>
              <w:rPr>
                <w:rFonts w:hint="eastAsia" w:ascii="Times New Roman" w:hAnsi="Times New Roman" w:eastAsia="宋体" w:cs="Times New Roman"/>
                <w:color w:val="auto"/>
                <w:kern w:val="2"/>
                <w:sz w:val="21"/>
                <w:szCs w:val="21"/>
                <w:lang w:eastAsia="zh-CN"/>
              </w:rPr>
              <w:t>隔油沉淀池预处理后进入一体化污水处理设备处理后，作为码头地面冲洗用水、道路喷洒用水、机械车辆冲洗用水及绿化用水；冲洗废水</w:t>
            </w:r>
            <w:r>
              <w:rPr>
                <w:rFonts w:hint="eastAsia" w:ascii="Times New Roman" w:hAnsi="Times New Roman" w:eastAsia="宋体" w:cs="Times New Roman"/>
                <w:color w:val="auto"/>
                <w:kern w:val="2"/>
                <w:sz w:val="21"/>
                <w:szCs w:val="21"/>
                <w:lang w:val="en-US" w:eastAsia="zh-CN"/>
              </w:rPr>
              <w:t>经</w:t>
            </w:r>
            <w:r>
              <w:rPr>
                <w:rFonts w:hint="eastAsia" w:ascii="Times New Roman" w:hAnsi="Times New Roman" w:eastAsia="宋体" w:cs="Times New Roman"/>
                <w:color w:val="auto"/>
                <w:kern w:val="2"/>
                <w:sz w:val="21"/>
                <w:szCs w:val="21"/>
                <w:lang w:eastAsia="zh-CN"/>
              </w:rPr>
              <w:t>隔油沉淀池预处理后进入一体化污水处理设备处理，处理后废水全部回用于码头地面冲洗、道路喷洒、机械车辆冲洗及绿化，不外排。本项目涉及淮河淮南段长吻鮠国家级水产种质资源保护区实验区，</w:t>
            </w:r>
            <w:r>
              <w:rPr>
                <w:rFonts w:hint="eastAsia" w:ascii="Times New Roman" w:hAnsi="Times New Roman" w:eastAsia="宋体" w:cs="Times New Roman"/>
                <w:color w:val="FF0000"/>
                <w:kern w:val="2"/>
                <w:sz w:val="21"/>
                <w:szCs w:val="21"/>
                <w:lang w:val="en-US" w:eastAsia="zh-CN"/>
              </w:rPr>
              <w:t>2025年1月27日，已经取得农业农村部长江流域渔政监督管理办公室《关于&lt;淮南市兴华园贸易发展有限公司兴华园码头工程对淮河淮南段长吻鮠国家级水产种质资源保护区影响专题论证报告&gt;的审查意见》</w:t>
            </w:r>
            <w:r>
              <w:rPr>
                <w:rFonts w:hint="eastAsia" w:ascii="Times New Roman" w:hAnsi="Times New Roman" w:eastAsia="宋体" w:cs="Times New Roman"/>
                <w:color w:val="FF0000"/>
                <w:kern w:val="2"/>
                <w:sz w:val="21"/>
                <w:szCs w:val="21"/>
                <w:lang w:eastAsia="zh-CN"/>
              </w:rPr>
              <w:t>。</w:t>
            </w:r>
          </w:p>
        </w:tc>
      </w:tr>
    </w:tbl>
    <w:p w14:paraId="3DBA5AEB">
      <w:pPr>
        <w:pStyle w:val="233"/>
        <w:rPr>
          <w:color w:val="auto"/>
        </w:rPr>
        <w:sectPr>
          <w:pgSz w:w="16838" w:h="11906" w:orient="landscape"/>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pPr>
    </w:p>
    <w:p w14:paraId="1183C05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eastAsia="宋体"/>
          <w:color w:val="auto"/>
          <w:highlight w:val="none"/>
          <w:lang w:eastAsia="zh-CN"/>
        </w:rPr>
      </w:pPr>
      <w:r>
        <w:rPr>
          <w:color w:val="auto"/>
          <w:sz w:val="24"/>
        </w:rPr>
        <mc:AlternateContent>
          <mc:Choice Requires="wps">
            <w:drawing>
              <wp:anchor distT="0" distB="0" distL="114300" distR="114300" simplePos="0" relativeHeight="251833344" behindDoc="0" locked="0" layoutInCell="1" allowOverlap="1">
                <wp:simplePos x="0" y="0"/>
                <wp:positionH relativeFrom="column">
                  <wp:posOffset>2948305</wp:posOffset>
                </wp:positionH>
                <wp:positionV relativeFrom="paragraph">
                  <wp:posOffset>4774565</wp:posOffset>
                </wp:positionV>
                <wp:extent cx="1181100" cy="361315"/>
                <wp:effectExtent l="14605" t="13970" r="23495" b="520065"/>
                <wp:wrapNone/>
                <wp:docPr id="258" name="矩形标注 258"/>
                <wp:cNvGraphicFramePr/>
                <a:graphic xmlns:a="http://schemas.openxmlformats.org/drawingml/2006/main">
                  <a:graphicData uri="http://schemas.microsoft.com/office/word/2010/wordprocessingShape">
                    <wps:wsp>
                      <wps:cNvSpPr/>
                      <wps:spPr>
                        <a:xfrm>
                          <a:off x="0" y="0"/>
                          <a:ext cx="1181100" cy="361315"/>
                        </a:xfrm>
                        <a:prstGeom prst="wedgeRectCallout">
                          <a:avLst>
                            <a:gd name="adj1" fmla="val -34894"/>
                            <a:gd name="adj2" fmla="val 175481"/>
                          </a:avLst>
                        </a:prstGeom>
                        <a:solidFill>
                          <a:srgbClr val="0A29E8">
                            <a:alpha val="0"/>
                          </a:srgbClr>
                        </a:solidFill>
                        <a:ln w="28575" cap="flat" cmpd="sng">
                          <a:solidFill>
                            <a:srgbClr val="0A29E8"/>
                          </a:solidFill>
                          <a:prstDash val="solid"/>
                          <a:miter/>
                          <a:headEnd type="arrow" w="med" len="med"/>
                          <a:tailEnd type="arrow" w="med" len="med"/>
                        </a:ln>
                      </wps:spPr>
                      <wps:txbx>
                        <w:txbxContent>
                          <w:p w14:paraId="0598068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eastAsia="宋体"/>
                                <w:b/>
                                <w:bCs/>
                                <w:color w:val="0000FF"/>
                                <w:lang w:eastAsia="zh-CN"/>
                              </w:rPr>
                            </w:pPr>
                            <w:r>
                              <w:rPr>
                                <w:rFonts w:hint="eastAsia"/>
                                <w:b/>
                                <w:bCs/>
                                <w:color w:val="0000FF"/>
                                <w:lang w:eastAsia="zh-CN"/>
                              </w:rPr>
                              <w:t>本项目所在地</w:t>
                            </w:r>
                          </w:p>
                        </w:txbxContent>
                      </wps:txbx>
                      <wps:bodyPr upright="1"/>
                    </wps:wsp>
                  </a:graphicData>
                </a:graphic>
              </wp:anchor>
            </w:drawing>
          </mc:Choice>
          <mc:Fallback>
            <w:pict>
              <v:shape id="_x0000_s1026" o:spid="_x0000_s1026" o:spt="61" type="#_x0000_t61" style="position:absolute;left:0pt;margin-left:232.15pt;margin-top:375.95pt;height:28.45pt;width:93pt;z-index:251833344;mso-width-relative:page;mso-height-relative:page;" fillcolor="#0A29E8" filled="t" stroked="t" coordsize="21600,21600" o:gfxdata="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wPkQg3gAAAAsBAAAP&#10;AAAAAAAAAAEAIAAAACIAAABkcnMvZG93bnJldi54bWxQSwECFAAUAAAACACHTuJA8aN25ksCAACy&#10;BAAADgAAAAAAAAABACAAAAAtAQAAZHJzL2Uyb0RvYy54bWxQSwUGAAAAAAYABgBZAQAA6gUAAAAA&#10;" adj="3263,48704">
                <v:fill on="t" opacity="0f" focussize="0,0"/>
                <v:stroke weight="2.25pt" color="#0A29E8" joinstyle="miter" startarrow="open" endarrow="open"/>
                <v:imagedata o:title=""/>
                <o:lock v:ext="edit" aspectratio="f"/>
                <v:textbox>
                  <w:txbxContent>
                    <w:p w14:paraId="0598068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eastAsia="宋体"/>
                          <w:b/>
                          <w:bCs/>
                          <w:color w:val="0000FF"/>
                          <w:lang w:eastAsia="zh-CN"/>
                        </w:rPr>
                      </w:pPr>
                      <w:r>
                        <w:rPr>
                          <w:rFonts w:hint="eastAsia"/>
                          <w:b/>
                          <w:bCs/>
                          <w:color w:val="0000FF"/>
                          <w:lang w:eastAsia="zh-CN"/>
                        </w:rPr>
                        <w:t>本项目所在地</w:t>
                      </w:r>
                    </w:p>
                  </w:txbxContent>
                </v:textbox>
              </v:shape>
            </w:pict>
          </mc:Fallback>
        </mc:AlternateContent>
      </w:r>
      <w:r>
        <w:rPr>
          <w:color w:val="auto"/>
          <w:sz w:val="24"/>
        </w:rPr>
        <mc:AlternateContent>
          <mc:Choice Requires="wps">
            <w:drawing>
              <wp:anchor distT="0" distB="0" distL="114300" distR="114300" simplePos="0" relativeHeight="251832320" behindDoc="0" locked="0" layoutInCell="1" allowOverlap="1">
                <wp:simplePos x="0" y="0"/>
                <wp:positionH relativeFrom="column">
                  <wp:posOffset>3043555</wp:posOffset>
                </wp:positionH>
                <wp:positionV relativeFrom="paragraph">
                  <wp:posOffset>5511800</wp:posOffset>
                </wp:positionV>
                <wp:extent cx="161925" cy="161925"/>
                <wp:effectExtent l="13970" t="13970" r="14605" b="14605"/>
                <wp:wrapNone/>
                <wp:docPr id="259" name="椭圆 259"/>
                <wp:cNvGraphicFramePr/>
                <a:graphic xmlns:a="http://schemas.openxmlformats.org/drawingml/2006/main">
                  <a:graphicData uri="http://schemas.microsoft.com/office/word/2010/wordprocessingShape">
                    <wps:wsp>
                      <wps:cNvSpPr/>
                      <wps:spPr>
                        <a:xfrm>
                          <a:off x="0" y="0"/>
                          <a:ext cx="161925" cy="161925"/>
                        </a:xfrm>
                        <a:prstGeom prst="ellipse">
                          <a:avLst/>
                        </a:prstGeom>
                        <a:noFill/>
                        <a:ln w="28575">
                          <a:solidFill>
                            <a:srgbClr val="0000FF"/>
                          </a:solidFill>
                        </a:ln>
                      </wps:spPr>
                      <wps:txbx>
                        <w:txbxContent>
                          <w:p w14:paraId="7F84092B"/>
                        </w:txbxContent>
                      </wps:txbx>
                      <wps:bodyPr upright="1"/>
                    </wps:wsp>
                  </a:graphicData>
                </a:graphic>
              </wp:anchor>
            </w:drawing>
          </mc:Choice>
          <mc:Fallback>
            <w:pict>
              <v:shape id="_x0000_s1026" o:spid="_x0000_s1026" o:spt="3" type="#_x0000_t3" style="position:absolute;left:0pt;margin-left:239.65pt;margin-top:434pt;height:12.75pt;width:12.75pt;z-index:251832320;mso-width-relative:page;mso-height-relative:page;" filled="f" stroked="t" coordsize="21600,21600" o:gfxdata="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6ruxr2gAAAAsBAAAPAAAAAAAAAAEAIAAAACIAAABkcnMvZG93bnJl&#10;di54bWxQSwECFAAUAAAACACHTuJAy+yeZsIBAAB6AwAADgAAAAAAAAABACAAAAApAQAAZHJzL2Uy&#10;b0RvYy54bWxQSwUGAAAAAAYABgBZAQAAXQUAAAAA&#10;">
                <v:fill on="f" focussize="0,0"/>
                <v:stroke weight="2.25pt" color="#0000FF" joinstyle="round"/>
                <v:imagedata o:title=""/>
                <o:lock v:ext="edit" aspectratio="f"/>
                <v:textbox>
                  <w:txbxContent>
                    <w:p w14:paraId="7F84092B"/>
                  </w:txbxContent>
                </v:textbox>
              </v:shape>
            </w:pict>
          </mc:Fallback>
        </mc:AlternateContent>
      </w:r>
      <w:r>
        <w:rPr>
          <w:color w:val="auto"/>
          <w:sz w:val="24"/>
        </w:rPr>
        <mc:AlternateContent>
          <mc:Choice Requires="wps">
            <w:drawing>
              <wp:anchor distT="0" distB="0" distL="114300" distR="114300" simplePos="0" relativeHeight="251831296" behindDoc="0" locked="0" layoutInCell="1" allowOverlap="1">
                <wp:simplePos x="0" y="0"/>
                <wp:positionH relativeFrom="column">
                  <wp:posOffset>1156970</wp:posOffset>
                </wp:positionH>
                <wp:positionV relativeFrom="paragraph">
                  <wp:posOffset>4284345</wp:posOffset>
                </wp:positionV>
                <wp:extent cx="3295650" cy="2199005"/>
                <wp:effectExtent l="14605" t="835660" r="23495" b="32385"/>
                <wp:wrapNone/>
                <wp:docPr id="260" name="矩形标注 260"/>
                <wp:cNvGraphicFramePr/>
                <a:graphic xmlns:a="http://schemas.openxmlformats.org/drawingml/2006/main">
                  <a:graphicData uri="http://schemas.microsoft.com/office/word/2010/wordprocessingShape">
                    <wps:wsp>
                      <wps:cNvSpPr/>
                      <wps:spPr>
                        <a:xfrm>
                          <a:off x="0" y="0"/>
                          <a:ext cx="3295650" cy="2199005"/>
                        </a:xfrm>
                        <a:prstGeom prst="wedgeRectCallout">
                          <a:avLst>
                            <a:gd name="adj1" fmla="val 27898"/>
                            <a:gd name="adj2" fmla="val -86528"/>
                          </a:avLst>
                        </a:prstGeom>
                        <a:noFill/>
                        <a:ln w="28575" cap="flat" cmpd="sng">
                          <a:solidFill>
                            <a:srgbClr val="00B0F0"/>
                          </a:solidFill>
                          <a:prstDash val="solid"/>
                          <a:miter/>
                          <a:headEnd type="arrow" w="med" len="med"/>
                          <a:tailEnd type="arrow" w="med" len="med"/>
                        </a:ln>
                      </wps:spPr>
                      <wps:txbx>
                        <w:txbxContent>
                          <w:p w14:paraId="77EDB87B">
                            <w:pPr>
                              <w:keepNext w:val="0"/>
                              <w:keepLines w:val="0"/>
                              <w:pageBreakBefore w:val="0"/>
                              <w:widowControl w:val="0"/>
                              <w:kinsoku/>
                              <w:wordWrap/>
                              <w:overflowPunct/>
                              <w:topLinePunct w:val="0"/>
                              <w:autoSpaceDE/>
                              <w:autoSpaceDN/>
                              <w:bidi w:val="0"/>
                              <w:adjustRightInd w:val="0"/>
                              <w:snapToGrid w:val="0"/>
                              <w:ind w:firstLine="0" w:firstLineChars="0"/>
                              <w:textAlignment w:val="auto"/>
                            </w:pPr>
                            <w:r>
                              <w:drawing>
                                <wp:inline distT="0" distB="0" distL="114300" distR="114300">
                                  <wp:extent cx="3083560" cy="2419350"/>
                                  <wp:effectExtent l="0" t="0" r="2540" b="0"/>
                                  <wp:docPr id="26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8"/>
                                          <pic:cNvPicPr>
                                            <a:picLocks noChangeAspect="1"/>
                                          </pic:cNvPicPr>
                                        </pic:nvPicPr>
                                        <pic:blipFill>
                                          <a:blip r:embed="rId33"/>
                                          <a:stretch>
                                            <a:fillRect/>
                                          </a:stretch>
                                        </pic:blipFill>
                                        <pic:spPr>
                                          <a:xfrm>
                                            <a:off x="0" y="0"/>
                                            <a:ext cx="3083560" cy="2419350"/>
                                          </a:xfrm>
                                          <a:prstGeom prst="rect">
                                            <a:avLst/>
                                          </a:prstGeom>
                                          <a:noFill/>
                                          <a:ln>
                                            <a:noFill/>
                                          </a:ln>
                                        </pic:spPr>
                                      </pic:pic>
                                    </a:graphicData>
                                  </a:graphic>
                                </wp:inline>
                              </w:drawing>
                            </w:r>
                          </w:p>
                        </w:txbxContent>
                      </wps:txbx>
                      <wps:bodyPr upright="1"/>
                    </wps:wsp>
                  </a:graphicData>
                </a:graphic>
              </wp:anchor>
            </w:drawing>
          </mc:Choice>
          <mc:Fallback>
            <w:pict>
              <v:shape id="_x0000_s1026" o:spid="_x0000_s1026" o:spt="61" type="#_x0000_t61" style="position:absolute;left:0pt;margin-left:91.1pt;margin-top:337.35pt;height:173.15pt;width:259.5pt;z-index:251831296;mso-width-relative:page;mso-height-relative:page;" filled="f" stroked="t" coordsize="21600,21600" o:gfxdata="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Cn7XC2QAAAAwBAAAPAAAAAAAAAAEAIAAAACIAAABkcnMv&#10;ZG93bnJldi54bWxQSwECFAAUAAAACACHTuJA/QB6dDsCAABsBAAADgAAAAAAAAABACAAAAAoAQAA&#10;ZHJzL2Uyb0RvYy54bWxQSwUGAAAAAAYABgBZAQAA1QUAAAAA&#10;" adj="16826,-7890">
                <v:fill on="f" focussize="0,0"/>
                <v:stroke weight="2.25pt" color="#00B0F0" joinstyle="miter" startarrow="open" endarrow="open"/>
                <v:imagedata o:title=""/>
                <o:lock v:ext="edit" aspectratio="f"/>
                <v:textbox>
                  <w:txbxContent>
                    <w:p w14:paraId="77EDB87B">
                      <w:pPr>
                        <w:keepNext w:val="0"/>
                        <w:keepLines w:val="0"/>
                        <w:pageBreakBefore w:val="0"/>
                        <w:widowControl w:val="0"/>
                        <w:kinsoku/>
                        <w:wordWrap/>
                        <w:overflowPunct/>
                        <w:topLinePunct w:val="0"/>
                        <w:autoSpaceDE/>
                        <w:autoSpaceDN/>
                        <w:bidi w:val="0"/>
                        <w:adjustRightInd w:val="0"/>
                        <w:snapToGrid w:val="0"/>
                        <w:ind w:firstLine="0" w:firstLineChars="0"/>
                        <w:textAlignment w:val="auto"/>
                      </w:pPr>
                      <w:r>
                        <w:drawing>
                          <wp:inline distT="0" distB="0" distL="114300" distR="114300">
                            <wp:extent cx="3083560" cy="2419350"/>
                            <wp:effectExtent l="0" t="0" r="2540" b="0"/>
                            <wp:docPr id="26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8"/>
                                    <pic:cNvPicPr>
                                      <a:picLocks noChangeAspect="1"/>
                                    </pic:cNvPicPr>
                                  </pic:nvPicPr>
                                  <pic:blipFill>
                                    <a:blip r:embed="rId33"/>
                                    <a:stretch>
                                      <a:fillRect/>
                                    </a:stretch>
                                  </pic:blipFill>
                                  <pic:spPr>
                                    <a:xfrm>
                                      <a:off x="0" y="0"/>
                                      <a:ext cx="3083560" cy="2419350"/>
                                    </a:xfrm>
                                    <a:prstGeom prst="rect">
                                      <a:avLst/>
                                    </a:prstGeom>
                                    <a:noFill/>
                                    <a:ln>
                                      <a:noFill/>
                                    </a:ln>
                                  </pic:spPr>
                                </pic:pic>
                              </a:graphicData>
                            </a:graphic>
                          </wp:inline>
                        </w:drawing>
                      </w:r>
                    </w:p>
                  </w:txbxContent>
                </v:textbox>
              </v:shape>
            </w:pict>
          </mc:Fallback>
        </mc:AlternateContent>
      </w:r>
      <w:r>
        <w:rPr>
          <w:color w:val="auto"/>
          <w:sz w:val="24"/>
        </w:rPr>
        <mc:AlternateContent>
          <mc:Choice Requires="wps">
            <w:drawing>
              <wp:anchor distT="0" distB="0" distL="114300" distR="114300" simplePos="0" relativeHeight="251830272" behindDoc="0" locked="0" layoutInCell="1" allowOverlap="1">
                <wp:simplePos x="0" y="0"/>
                <wp:positionH relativeFrom="column">
                  <wp:posOffset>3195320</wp:posOffset>
                </wp:positionH>
                <wp:positionV relativeFrom="paragraph">
                  <wp:posOffset>2727325</wp:posOffset>
                </wp:positionV>
                <wp:extent cx="838835" cy="725805"/>
                <wp:effectExtent l="13970" t="13970" r="23495" b="22225"/>
                <wp:wrapNone/>
                <wp:docPr id="262" name="矩形 262"/>
                <wp:cNvGraphicFramePr/>
                <a:graphic xmlns:a="http://schemas.openxmlformats.org/drawingml/2006/main">
                  <a:graphicData uri="http://schemas.microsoft.com/office/word/2010/wordprocessingShape">
                    <wps:wsp>
                      <wps:cNvSpPr/>
                      <wps:spPr>
                        <a:xfrm>
                          <a:off x="0" y="0"/>
                          <a:ext cx="838835" cy="725805"/>
                        </a:xfrm>
                        <a:prstGeom prst="rect">
                          <a:avLst/>
                        </a:prstGeom>
                        <a:noFill/>
                        <a:ln w="28575" cap="flat" cmpd="sng">
                          <a:solidFill>
                            <a:srgbClr val="00B0F0"/>
                          </a:solidFill>
                          <a:prstDash val="solid"/>
                          <a:miter/>
                          <a:headEnd type="arrow" w="med" len="med"/>
                          <a:tailEnd type="arrow" w="med" len="med"/>
                        </a:ln>
                      </wps:spPr>
                      <wps:txbx>
                        <w:txbxContent>
                          <w:p w14:paraId="56A6056E">
                            <w:pPr>
                              <w:ind w:left="0" w:leftChars="0" w:firstLine="0" w:firstLineChars="0"/>
                            </w:pPr>
                          </w:p>
                        </w:txbxContent>
                      </wps:txbx>
                      <wps:bodyPr upright="1"/>
                    </wps:wsp>
                  </a:graphicData>
                </a:graphic>
              </wp:anchor>
            </w:drawing>
          </mc:Choice>
          <mc:Fallback>
            <w:pict>
              <v:rect id="_x0000_s1026" o:spid="_x0000_s1026" o:spt="1" style="position:absolute;left:0pt;margin-left:251.6pt;margin-top:214.75pt;height:57.15pt;width:66.05pt;z-index:251830272;mso-width-relative:page;mso-height-relative:page;" filled="f" stroked="t" coordsize="21600,21600" o:gfxdata="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hjzk/ZAAAACwEAAA8AAAAAAAAAAQAgAAAAIgAAAGRycy9k&#10;b3ducmV2LnhtbFBLAQIUABQAAAAIAIdO4kBvaO7WAQIAAAYEAAAOAAAAAAAAAAEAIAAAACgBAABk&#10;cnMvZTJvRG9jLnhtbFBLBQYAAAAABgAGAFkBAACbBQAAAAA=&#10;">
                <v:fill on="f" focussize="0,0"/>
                <v:stroke weight="2.25pt" color="#00B0F0" joinstyle="miter" startarrow="open" endarrow="open"/>
                <v:imagedata o:title=""/>
                <o:lock v:ext="edit" aspectratio="f"/>
                <v:textbox>
                  <w:txbxContent>
                    <w:p w14:paraId="56A6056E">
                      <w:pPr>
                        <w:ind w:left="0" w:leftChars="0" w:firstLine="0" w:firstLineChars="0"/>
                      </w:pPr>
                    </w:p>
                  </w:txbxContent>
                </v:textbox>
              </v:rect>
            </w:pict>
          </mc:Fallback>
        </mc:AlternateContent>
      </w:r>
      <w:r>
        <w:rPr>
          <w:color w:val="auto"/>
          <w:sz w:val="24"/>
        </w:rPr>
        <w:drawing>
          <wp:inline distT="0" distB="0" distL="114300" distR="114300">
            <wp:extent cx="5754370" cy="8131810"/>
            <wp:effectExtent l="0" t="0" r="17780" b="2540"/>
            <wp:docPr id="263" name="图片 2" descr="13淮南市大气环境分区管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 descr="13淮南市大气环境分区管控图"/>
                    <pic:cNvPicPr>
                      <a:picLocks noChangeAspect="1"/>
                    </pic:cNvPicPr>
                  </pic:nvPicPr>
                  <pic:blipFill>
                    <a:blip r:embed="rId34"/>
                    <a:stretch>
                      <a:fillRect/>
                    </a:stretch>
                  </pic:blipFill>
                  <pic:spPr>
                    <a:xfrm>
                      <a:off x="0" y="0"/>
                      <a:ext cx="5754370" cy="8131810"/>
                    </a:xfrm>
                    <a:prstGeom prst="rect">
                      <a:avLst/>
                    </a:prstGeom>
                    <a:noFill/>
                    <a:ln>
                      <a:noFill/>
                    </a:ln>
                  </pic:spPr>
                </pic:pic>
              </a:graphicData>
            </a:graphic>
          </wp:inline>
        </w:drawing>
      </w:r>
    </w:p>
    <w:p w14:paraId="32DDD2EF">
      <w:pPr>
        <w:pStyle w:val="29"/>
        <w:keepNext w:val="0"/>
        <w:keepLines w:val="0"/>
        <w:pageBreakBefore w:val="0"/>
        <w:widowControl w:val="0"/>
        <w:kinsoku/>
        <w:wordWrap/>
        <w:overflowPunct/>
        <w:topLinePunct w:val="0"/>
        <w:autoSpaceDE/>
        <w:autoSpaceDN/>
        <w:bidi w:val="0"/>
        <w:adjustRightInd w:val="0"/>
        <w:snapToGrid w:val="0"/>
        <w:spacing w:line="240" w:lineRule="auto"/>
        <w:jc w:val="center"/>
        <w:textAlignment w:val="baseline"/>
        <w:rPr>
          <w:rFonts w:hint="eastAsia" w:ascii="Times New Roman" w:hAnsi="Times New Roman" w:eastAsia="黑体" w:cs="Times New Roman"/>
          <w:snapToGrid w:val="0"/>
          <w:color w:val="auto"/>
          <w:spacing w:val="0"/>
          <w:kern w:val="2"/>
          <w:sz w:val="24"/>
          <w:szCs w:val="21"/>
          <w:lang w:val="en-US" w:eastAsia="zh-CN" w:bidi="ar-SA"/>
        </w:rPr>
        <w:sectPr>
          <w:pgSz w:w="11906" w:h="16838"/>
          <w:pgMar w:top="1418" w:right="1418" w:bottom="1418" w:left="1418" w:header="680" w:footer="981" w:gutter="0"/>
          <w:pgBorders>
            <w:top w:val="none" w:sz="0" w:space="0"/>
            <w:left w:val="none" w:sz="0" w:space="0"/>
            <w:bottom w:val="none" w:sz="0" w:space="0"/>
            <w:right w:val="none" w:sz="0" w:space="0"/>
          </w:pgBorders>
          <w:pgNumType w:fmt="decimal"/>
          <w:cols w:space="720" w:num="1"/>
          <w:docGrid w:linePitch="346" w:charSpace="0"/>
        </w:sectPr>
      </w:pPr>
      <w:r>
        <w:rPr>
          <w:rFonts w:hint="eastAsia" w:ascii="Times New Roman" w:hAnsi="Times New Roman" w:eastAsia="黑体" w:cs="Times New Roman"/>
          <w:snapToGrid w:val="0"/>
          <w:color w:val="auto"/>
          <w:spacing w:val="0"/>
          <w:kern w:val="2"/>
          <w:sz w:val="24"/>
          <w:szCs w:val="21"/>
          <w:lang w:val="en-US" w:eastAsia="zh-CN" w:bidi="ar-SA"/>
        </w:rPr>
        <w:t>图2.5-5  本项目与淮南市大气环境分区管控位置关系图</w:t>
      </w:r>
    </w:p>
    <w:p w14:paraId="26C3E81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eastAsia="宋体"/>
          <w:color w:val="auto"/>
          <w:highlight w:val="none"/>
          <w:lang w:eastAsia="zh-CN"/>
        </w:rPr>
      </w:pPr>
      <w:r>
        <w:rPr>
          <w:color w:val="auto"/>
          <w:sz w:val="24"/>
        </w:rPr>
        <mc:AlternateContent>
          <mc:Choice Requires="wps">
            <w:drawing>
              <wp:anchor distT="0" distB="0" distL="114300" distR="114300" simplePos="0" relativeHeight="251836416" behindDoc="0" locked="0" layoutInCell="1" allowOverlap="1">
                <wp:simplePos x="0" y="0"/>
                <wp:positionH relativeFrom="column">
                  <wp:posOffset>3471545</wp:posOffset>
                </wp:positionH>
                <wp:positionV relativeFrom="paragraph">
                  <wp:posOffset>5770880</wp:posOffset>
                </wp:positionV>
                <wp:extent cx="161925" cy="161925"/>
                <wp:effectExtent l="13970" t="13970" r="14605" b="14605"/>
                <wp:wrapNone/>
                <wp:docPr id="264" name="椭圆 264"/>
                <wp:cNvGraphicFramePr/>
                <a:graphic xmlns:a="http://schemas.openxmlformats.org/drawingml/2006/main">
                  <a:graphicData uri="http://schemas.microsoft.com/office/word/2010/wordprocessingShape">
                    <wps:wsp>
                      <wps:cNvSpPr/>
                      <wps:spPr>
                        <a:xfrm>
                          <a:off x="0" y="0"/>
                          <a:ext cx="161925" cy="161925"/>
                        </a:xfrm>
                        <a:prstGeom prst="ellipse">
                          <a:avLst/>
                        </a:prstGeom>
                        <a:noFill/>
                        <a:ln w="28575">
                          <a:solidFill>
                            <a:srgbClr val="C20BD3"/>
                          </a:solidFill>
                        </a:ln>
                      </wps:spPr>
                      <wps:txbx>
                        <w:txbxContent>
                          <w:p w14:paraId="45F68E2F"/>
                        </w:txbxContent>
                      </wps:txbx>
                      <wps:bodyPr upright="1"/>
                    </wps:wsp>
                  </a:graphicData>
                </a:graphic>
              </wp:anchor>
            </w:drawing>
          </mc:Choice>
          <mc:Fallback>
            <w:pict>
              <v:shape id="_x0000_s1026" o:spid="_x0000_s1026" o:spt="3" type="#_x0000_t3" style="position:absolute;left:0pt;margin-left:273.35pt;margin-top:454.4pt;height:12.75pt;width:12.75pt;z-index:251836416;mso-width-relative:page;mso-height-relative:page;" filled="f" stroked="t" coordsize="21600,21600" o:gfxdata="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IsXPUbaAAAACwEAAA8AAAAAAAAAAQAgAAAAIgAAAGRycy9kb3du&#10;cmV2LnhtbFBLAQIUABQAAAAIAIdO4kAGClZxxAEAAHoDAAAOAAAAAAAAAAEAIAAAACkBAABkcnMv&#10;ZTJvRG9jLnhtbFBLBQYAAAAABgAGAFkBAABfBQAAAAA=&#10;">
                <v:fill on="f" focussize="0,0"/>
                <v:stroke weight="2.25pt" color="#C20BD3" joinstyle="round"/>
                <v:imagedata o:title=""/>
                <o:lock v:ext="edit" aspectratio="f"/>
                <v:textbox>
                  <w:txbxContent>
                    <w:p w14:paraId="45F68E2F"/>
                  </w:txbxContent>
                </v:textbox>
              </v:shape>
            </w:pict>
          </mc:Fallback>
        </mc:AlternateContent>
      </w:r>
      <w:r>
        <w:rPr>
          <w:color w:val="auto"/>
          <w:sz w:val="24"/>
        </w:rPr>
        <mc:AlternateContent>
          <mc:Choice Requires="wps">
            <w:drawing>
              <wp:anchor distT="0" distB="0" distL="114300" distR="114300" simplePos="0" relativeHeight="251837440" behindDoc="0" locked="0" layoutInCell="1" allowOverlap="1">
                <wp:simplePos x="0" y="0"/>
                <wp:positionH relativeFrom="column">
                  <wp:posOffset>3378835</wp:posOffset>
                </wp:positionH>
                <wp:positionV relativeFrom="paragraph">
                  <wp:posOffset>4999355</wp:posOffset>
                </wp:positionV>
                <wp:extent cx="1181100" cy="361315"/>
                <wp:effectExtent l="14605" t="13970" r="23495" b="520065"/>
                <wp:wrapNone/>
                <wp:docPr id="265" name="矩形标注 265"/>
                <wp:cNvGraphicFramePr/>
                <a:graphic xmlns:a="http://schemas.openxmlformats.org/drawingml/2006/main">
                  <a:graphicData uri="http://schemas.microsoft.com/office/word/2010/wordprocessingShape">
                    <wps:wsp>
                      <wps:cNvSpPr/>
                      <wps:spPr>
                        <a:xfrm>
                          <a:off x="0" y="0"/>
                          <a:ext cx="1181100" cy="361315"/>
                        </a:xfrm>
                        <a:prstGeom prst="wedgeRectCallout">
                          <a:avLst>
                            <a:gd name="adj1" fmla="val -34894"/>
                            <a:gd name="adj2" fmla="val 175481"/>
                          </a:avLst>
                        </a:prstGeom>
                        <a:noFill/>
                        <a:ln w="28575" cap="flat" cmpd="sng">
                          <a:solidFill>
                            <a:srgbClr val="FF0000"/>
                          </a:solidFill>
                          <a:prstDash val="solid"/>
                          <a:miter/>
                          <a:headEnd type="arrow" w="med" len="med"/>
                          <a:tailEnd type="arrow" w="med" len="med"/>
                        </a:ln>
                      </wps:spPr>
                      <wps:txbx>
                        <w:txbxContent>
                          <w:p w14:paraId="7EB43D0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eastAsia="宋体"/>
                                <w:b/>
                                <w:bCs/>
                                <w:color w:val="FFFF00"/>
                                <w:lang w:eastAsia="zh-CN"/>
                              </w:rPr>
                            </w:pPr>
                            <w:r>
                              <w:rPr>
                                <w:rFonts w:hint="eastAsia"/>
                                <w:b/>
                                <w:bCs/>
                                <w:color w:val="FF0000"/>
                                <w:lang w:eastAsia="zh-CN"/>
                              </w:rPr>
                              <w:t>本项目所在地</w:t>
                            </w:r>
                          </w:p>
                        </w:txbxContent>
                      </wps:txbx>
                      <wps:bodyPr upright="1"/>
                    </wps:wsp>
                  </a:graphicData>
                </a:graphic>
              </wp:anchor>
            </w:drawing>
          </mc:Choice>
          <mc:Fallback>
            <w:pict>
              <v:shape id="_x0000_s1026" o:spid="_x0000_s1026" o:spt="61" type="#_x0000_t61" style="position:absolute;left:0pt;margin-left:266.05pt;margin-top:393.65pt;height:28.45pt;width:93pt;z-index:251837440;mso-width-relative:page;mso-height-relative:page;" filled="f" stroked="t" coordsize="21600,21600" o:gfxdata="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QqEP6twAAAALAQAADwAAAAAAAAABACAAAAAiAAAAZHJz&#10;L2Rvd25yZXYueG1sUEsBAhQAFAAAAAgAh07iQC4hq2M5AgAAbAQAAA4AAAAAAAAAAQAgAAAAKwEA&#10;AGRycy9lMm9Eb2MueG1sUEsFBgAAAAAGAAYAWQEAANYFAAAAAA==&#10;" adj="3263,48704">
                <v:fill on="f" focussize="0,0"/>
                <v:stroke weight="2.25pt" color="#FF0000" joinstyle="miter" startarrow="open" endarrow="open"/>
                <v:imagedata o:title=""/>
                <o:lock v:ext="edit" aspectratio="f"/>
                <v:textbox>
                  <w:txbxContent>
                    <w:p w14:paraId="7EB43D0E">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eastAsia="宋体"/>
                          <w:b/>
                          <w:bCs/>
                          <w:color w:val="FFFF00"/>
                          <w:lang w:eastAsia="zh-CN"/>
                        </w:rPr>
                      </w:pPr>
                      <w:r>
                        <w:rPr>
                          <w:rFonts w:hint="eastAsia"/>
                          <w:b/>
                          <w:bCs/>
                          <w:color w:val="FF0000"/>
                          <w:lang w:eastAsia="zh-CN"/>
                        </w:rPr>
                        <w:t>本项目所在地</w:t>
                      </w:r>
                    </w:p>
                  </w:txbxContent>
                </v:textbox>
              </v:shape>
            </w:pict>
          </mc:Fallback>
        </mc:AlternateContent>
      </w:r>
      <w:r>
        <w:rPr>
          <w:color w:val="auto"/>
          <w:sz w:val="24"/>
        </w:rPr>
        <mc:AlternateContent>
          <mc:Choice Requires="wps">
            <w:drawing>
              <wp:anchor distT="0" distB="0" distL="114300" distR="114300" simplePos="0" relativeHeight="251835392" behindDoc="0" locked="0" layoutInCell="1" allowOverlap="1">
                <wp:simplePos x="0" y="0"/>
                <wp:positionH relativeFrom="column">
                  <wp:posOffset>1170305</wp:posOffset>
                </wp:positionH>
                <wp:positionV relativeFrom="paragraph">
                  <wp:posOffset>4204970</wp:posOffset>
                </wp:positionV>
                <wp:extent cx="3295650" cy="2684145"/>
                <wp:effectExtent l="14605" t="1017905" r="23495" b="31750"/>
                <wp:wrapNone/>
                <wp:docPr id="266" name="矩形标注 266"/>
                <wp:cNvGraphicFramePr/>
                <a:graphic xmlns:a="http://schemas.openxmlformats.org/drawingml/2006/main">
                  <a:graphicData uri="http://schemas.microsoft.com/office/word/2010/wordprocessingShape">
                    <wps:wsp>
                      <wps:cNvSpPr/>
                      <wps:spPr>
                        <a:xfrm>
                          <a:off x="0" y="0"/>
                          <a:ext cx="3295650" cy="2684145"/>
                        </a:xfrm>
                        <a:prstGeom prst="wedgeRectCallout">
                          <a:avLst>
                            <a:gd name="adj1" fmla="val 27898"/>
                            <a:gd name="adj2" fmla="val -86528"/>
                          </a:avLst>
                        </a:prstGeom>
                        <a:noFill/>
                        <a:ln w="28575" cap="flat" cmpd="sng">
                          <a:solidFill>
                            <a:srgbClr val="00B0F0"/>
                          </a:solidFill>
                          <a:prstDash val="solid"/>
                          <a:miter/>
                          <a:headEnd type="arrow" w="med" len="med"/>
                          <a:tailEnd type="arrow" w="med" len="med"/>
                        </a:ln>
                      </wps:spPr>
                      <wps:txbx>
                        <w:txbxContent>
                          <w:p w14:paraId="468F46E4">
                            <w:pPr>
                              <w:keepNext w:val="0"/>
                              <w:keepLines w:val="0"/>
                              <w:pageBreakBefore w:val="0"/>
                              <w:widowControl w:val="0"/>
                              <w:kinsoku/>
                              <w:wordWrap/>
                              <w:overflowPunct/>
                              <w:topLinePunct w:val="0"/>
                              <w:autoSpaceDE/>
                              <w:autoSpaceDN/>
                              <w:bidi w:val="0"/>
                              <w:adjustRightInd w:val="0"/>
                              <w:snapToGrid w:val="0"/>
                              <w:ind w:firstLine="0" w:firstLineChars="0"/>
                              <w:textAlignment w:val="auto"/>
                            </w:pPr>
                            <w:r>
                              <w:drawing>
                                <wp:inline distT="0" distB="0" distL="114300" distR="114300">
                                  <wp:extent cx="3079750" cy="2738120"/>
                                  <wp:effectExtent l="0" t="0" r="6350" b="5080"/>
                                  <wp:docPr id="2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3"/>
                                          <pic:cNvPicPr>
                                            <a:picLocks noChangeAspect="1"/>
                                          </pic:cNvPicPr>
                                        </pic:nvPicPr>
                                        <pic:blipFill>
                                          <a:blip r:embed="rId35"/>
                                          <a:stretch>
                                            <a:fillRect/>
                                          </a:stretch>
                                        </pic:blipFill>
                                        <pic:spPr>
                                          <a:xfrm>
                                            <a:off x="0" y="0"/>
                                            <a:ext cx="3079750" cy="2738120"/>
                                          </a:xfrm>
                                          <a:prstGeom prst="rect">
                                            <a:avLst/>
                                          </a:prstGeom>
                                          <a:noFill/>
                                          <a:ln>
                                            <a:noFill/>
                                          </a:ln>
                                        </pic:spPr>
                                      </pic:pic>
                                    </a:graphicData>
                                  </a:graphic>
                                </wp:inline>
                              </w:drawing>
                            </w:r>
                          </w:p>
                        </w:txbxContent>
                      </wps:txbx>
                      <wps:bodyPr upright="1"/>
                    </wps:wsp>
                  </a:graphicData>
                </a:graphic>
              </wp:anchor>
            </w:drawing>
          </mc:Choice>
          <mc:Fallback>
            <w:pict>
              <v:shape id="_x0000_s1026" o:spid="_x0000_s1026" o:spt="61" type="#_x0000_t61" style="position:absolute;left:0pt;margin-left:92.15pt;margin-top:331.1pt;height:211.35pt;width:259.5pt;z-index:251835392;mso-width-relative:page;mso-height-relative:page;" filled="f" stroked="t" coordsize="21600,21600" o:gfxdata="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&#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LCWoM2gAAAAwBAAAPAAAAAAAAAAEAIAAAACIAAABk&#10;cnMvZG93bnJldi54bWxQSwECFAAUAAAACACHTuJAm8GhwD0CAABsBAAADgAAAAAAAAABACAAAAAp&#10;AQAAZHJzL2Uyb0RvYy54bWxQSwUGAAAAAAYABgBZAQAA2AUAAAAA&#10;" adj="16826,-7890">
                <v:fill on="f" focussize="0,0"/>
                <v:stroke weight="2.25pt" color="#00B0F0" joinstyle="miter" startarrow="open" endarrow="open"/>
                <v:imagedata o:title=""/>
                <o:lock v:ext="edit" aspectratio="f"/>
                <v:textbox>
                  <w:txbxContent>
                    <w:p w14:paraId="468F46E4">
                      <w:pPr>
                        <w:keepNext w:val="0"/>
                        <w:keepLines w:val="0"/>
                        <w:pageBreakBefore w:val="0"/>
                        <w:widowControl w:val="0"/>
                        <w:kinsoku/>
                        <w:wordWrap/>
                        <w:overflowPunct/>
                        <w:topLinePunct w:val="0"/>
                        <w:autoSpaceDE/>
                        <w:autoSpaceDN/>
                        <w:bidi w:val="0"/>
                        <w:adjustRightInd w:val="0"/>
                        <w:snapToGrid w:val="0"/>
                        <w:ind w:firstLine="0" w:firstLineChars="0"/>
                        <w:textAlignment w:val="auto"/>
                      </w:pPr>
                      <w:r>
                        <w:drawing>
                          <wp:inline distT="0" distB="0" distL="114300" distR="114300">
                            <wp:extent cx="3079750" cy="2738120"/>
                            <wp:effectExtent l="0" t="0" r="6350" b="5080"/>
                            <wp:docPr id="2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3"/>
                                    <pic:cNvPicPr>
                                      <a:picLocks noChangeAspect="1"/>
                                    </pic:cNvPicPr>
                                  </pic:nvPicPr>
                                  <pic:blipFill>
                                    <a:blip r:embed="rId35"/>
                                    <a:stretch>
                                      <a:fillRect/>
                                    </a:stretch>
                                  </pic:blipFill>
                                  <pic:spPr>
                                    <a:xfrm>
                                      <a:off x="0" y="0"/>
                                      <a:ext cx="3079750" cy="2738120"/>
                                    </a:xfrm>
                                    <a:prstGeom prst="rect">
                                      <a:avLst/>
                                    </a:prstGeom>
                                    <a:noFill/>
                                    <a:ln>
                                      <a:noFill/>
                                    </a:ln>
                                  </pic:spPr>
                                </pic:pic>
                              </a:graphicData>
                            </a:graphic>
                          </wp:inline>
                        </w:drawing>
                      </w:r>
                    </w:p>
                  </w:txbxContent>
                </v:textbox>
              </v:shape>
            </w:pict>
          </mc:Fallback>
        </mc:AlternateContent>
      </w:r>
      <w:r>
        <w:rPr>
          <w:color w:val="auto"/>
          <w:sz w:val="24"/>
        </w:rPr>
        <mc:AlternateContent>
          <mc:Choice Requires="wps">
            <w:drawing>
              <wp:anchor distT="0" distB="0" distL="114300" distR="114300" simplePos="0" relativeHeight="251834368" behindDoc="0" locked="0" layoutInCell="1" allowOverlap="1">
                <wp:simplePos x="0" y="0"/>
                <wp:positionH relativeFrom="column">
                  <wp:posOffset>2999105</wp:posOffset>
                </wp:positionH>
                <wp:positionV relativeFrom="paragraph">
                  <wp:posOffset>2458720</wp:posOffset>
                </wp:positionV>
                <wp:extent cx="838835" cy="725805"/>
                <wp:effectExtent l="13970" t="13970" r="23495" b="22225"/>
                <wp:wrapNone/>
                <wp:docPr id="268" name="矩形 268"/>
                <wp:cNvGraphicFramePr/>
                <a:graphic xmlns:a="http://schemas.openxmlformats.org/drawingml/2006/main">
                  <a:graphicData uri="http://schemas.microsoft.com/office/word/2010/wordprocessingShape">
                    <wps:wsp>
                      <wps:cNvSpPr/>
                      <wps:spPr>
                        <a:xfrm>
                          <a:off x="0" y="0"/>
                          <a:ext cx="838835" cy="725805"/>
                        </a:xfrm>
                        <a:prstGeom prst="rect">
                          <a:avLst/>
                        </a:prstGeom>
                        <a:noFill/>
                        <a:ln w="28575" cap="flat" cmpd="sng">
                          <a:solidFill>
                            <a:srgbClr val="00B0F0"/>
                          </a:solidFill>
                          <a:prstDash val="solid"/>
                          <a:miter/>
                          <a:headEnd type="arrow" w="med" len="med"/>
                          <a:tailEnd type="arrow" w="med" len="med"/>
                        </a:ln>
                      </wps:spPr>
                      <wps:txbx>
                        <w:txbxContent>
                          <w:p w14:paraId="534C34EE">
                            <w:pPr>
                              <w:ind w:left="0" w:leftChars="0" w:firstLine="0" w:firstLineChars="0"/>
                            </w:pPr>
                          </w:p>
                        </w:txbxContent>
                      </wps:txbx>
                      <wps:bodyPr upright="1"/>
                    </wps:wsp>
                  </a:graphicData>
                </a:graphic>
              </wp:anchor>
            </w:drawing>
          </mc:Choice>
          <mc:Fallback>
            <w:pict>
              <v:rect id="_x0000_s1026" o:spid="_x0000_s1026" o:spt="1" style="position:absolute;left:0pt;margin-left:236.15pt;margin-top:193.6pt;height:57.15pt;width:66.05pt;z-index:251834368;mso-width-relative:page;mso-height-relative:page;" filled="f" stroked="t" coordsize="21600,21600" o:gfxdata="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l/fM2gAAAAsBAAAPAAAAAAAAAAEAIAAAACIAAABkcnMv&#10;ZG93bnJldi54bWxQSwECFAAUAAAACACHTuJAj/GvTAECAAAGBAAADgAAAAAAAAABACAAAAApAQAA&#10;ZHJzL2Uyb0RvYy54bWxQSwUGAAAAAAYABgBZAQAAnAUAAAAA&#10;">
                <v:fill on="f" focussize="0,0"/>
                <v:stroke weight="2.25pt" color="#00B0F0" joinstyle="miter" startarrow="open" endarrow="open"/>
                <v:imagedata o:title=""/>
                <o:lock v:ext="edit" aspectratio="f"/>
                <v:textbox>
                  <w:txbxContent>
                    <w:p w14:paraId="534C34EE">
                      <w:pPr>
                        <w:ind w:left="0" w:leftChars="0" w:firstLine="0" w:firstLineChars="0"/>
                      </w:pPr>
                    </w:p>
                  </w:txbxContent>
                </v:textbox>
              </v:rect>
            </w:pict>
          </mc:Fallback>
        </mc:AlternateContent>
      </w:r>
      <w:r>
        <w:rPr>
          <w:rFonts w:hint="eastAsia" w:eastAsia="宋体"/>
          <w:color w:val="auto"/>
          <w:highlight w:val="none"/>
          <w:lang w:eastAsia="zh-CN"/>
        </w:rPr>
        <w:drawing>
          <wp:inline distT="0" distB="0" distL="114300" distR="114300">
            <wp:extent cx="5754370" cy="8131810"/>
            <wp:effectExtent l="0" t="0" r="17780" b="2540"/>
            <wp:docPr id="269" name="图片 4" descr="10淮南市水环境分区管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4" descr="10淮南市水环境分区管控图"/>
                    <pic:cNvPicPr>
                      <a:picLocks noChangeAspect="1"/>
                    </pic:cNvPicPr>
                  </pic:nvPicPr>
                  <pic:blipFill>
                    <a:blip r:embed="rId36"/>
                    <a:stretch>
                      <a:fillRect/>
                    </a:stretch>
                  </pic:blipFill>
                  <pic:spPr>
                    <a:xfrm>
                      <a:off x="0" y="0"/>
                      <a:ext cx="5754370" cy="8131810"/>
                    </a:xfrm>
                    <a:prstGeom prst="rect">
                      <a:avLst/>
                    </a:prstGeom>
                    <a:noFill/>
                    <a:ln>
                      <a:noFill/>
                    </a:ln>
                  </pic:spPr>
                </pic:pic>
              </a:graphicData>
            </a:graphic>
          </wp:inline>
        </w:drawing>
      </w:r>
    </w:p>
    <w:p w14:paraId="3D1CA86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Times New Roman" w:hAnsi="Times New Roman" w:eastAsia="黑体" w:cs="Times New Roman"/>
          <w:snapToGrid w:val="0"/>
          <w:color w:val="auto"/>
          <w:spacing w:val="0"/>
          <w:kern w:val="2"/>
          <w:sz w:val="24"/>
          <w:szCs w:val="21"/>
          <w:lang w:val="en-US" w:eastAsia="zh-CN" w:bidi="ar-SA"/>
        </w:rPr>
        <w:sectPr>
          <w:pgSz w:w="11906" w:h="16838"/>
          <w:pgMar w:top="1418" w:right="1418" w:bottom="1418" w:left="1418" w:header="680" w:footer="981" w:gutter="0"/>
          <w:pgBorders>
            <w:top w:val="none" w:sz="0" w:space="0"/>
            <w:left w:val="none" w:sz="0" w:space="0"/>
            <w:bottom w:val="none" w:sz="0" w:space="0"/>
            <w:right w:val="none" w:sz="0" w:space="0"/>
          </w:pgBorders>
          <w:pgNumType w:fmt="decimal"/>
          <w:cols w:space="720" w:num="1"/>
          <w:docGrid w:linePitch="346" w:charSpace="0"/>
        </w:sectPr>
      </w:pPr>
      <w:r>
        <w:rPr>
          <w:rFonts w:hint="eastAsia" w:ascii="Times New Roman" w:hAnsi="Times New Roman" w:eastAsia="黑体" w:cs="Times New Roman"/>
          <w:snapToGrid w:val="0"/>
          <w:color w:val="auto"/>
          <w:spacing w:val="0"/>
          <w:kern w:val="2"/>
          <w:sz w:val="24"/>
          <w:szCs w:val="21"/>
          <w:lang w:val="en-US" w:eastAsia="zh-CN" w:bidi="ar-SA"/>
        </w:rPr>
        <w:t>图2.5-</w:t>
      </w:r>
      <w:r>
        <w:rPr>
          <w:rFonts w:hint="eastAsia" w:eastAsia="黑体" w:cs="Times New Roman"/>
          <w:snapToGrid w:val="0"/>
          <w:color w:val="auto"/>
          <w:spacing w:val="0"/>
          <w:kern w:val="2"/>
          <w:sz w:val="24"/>
          <w:szCs w:val="21"/>
          <w:lang w:val="en-US" w:eastAsia="zh-CN" w:bidi="ar-SA"/>
        </w:rPr>
        <w:t>6</w:t>
      </w:r>
      <w:r>
        <w:rPr>
          <w:rFonts w:hint="eastAsia" w:ascii="Times New Roman" w:hAnsi="Times New Roman" w:eastAsia="黑体" w:cs="Times New Roman"/>
          <w:snapToGrid w:val="0"/>
          <w:color w:val="auto"/>
          <w:spacing w:val="0"/>
          <w:kern w:val="2"/>
          <w:sz w:val="24"/>
          <w:szCs w:val="21"/>
          <w:lang w:val="en-US" w:eastAsia="zh-CN" w:bidi="ar-SA"/>
        </w:rPr>
        <w:t xml:space="preserve">  本项目与淮南市水环境分区管控位置关系图</w:t>
      </w:r>
    </w:p>
    <w:p w14:paraId="23710E0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eastAsia="宋体"/>
          <w:color w:val="auto"/>
          <w:highlight w:val="none"/>
          <w:lang w:eastAsia="zh-CN"/>
        </w:rPr>
      </w:pPr>
      <w:r>
        <w:rPr>
          <w:color w:val="auto"/>
          <w:sz w:val="24"/>
        </w:rPr>
        <mc:AlternateContent>
          <mc:Choice Requires="wps">
            <w:drawing>
              <wp:anchor distT="0" distB="0" distL="114300" distR="114300" simplePos="0" relativeHeight="251841536" behindDoc="0" locked="0" layoutInCell="1" allowOverlap="1">
                <wp:simplePos x="0" y="0"/>
                <wp:positionH relativeFrom="column">
                  <wp:posOffset>2966085</wp:posOffset>
                </wp:positionH>
                <wp:positionV relativeFrom="paragraph">
                  <wp:posOffset>4455795</wp:posOffset>
                </wp:positionV>
                <wp:extent cx="1181100" cy="361315"/>
                <wp:effectExtent l="14605" t="13970" r="23495" b="520065"/>
                <wp:wrapNone/>
                <wp:docPr id="307" name="矩形标注 307"/>
                <wp:cNvGraphicFramePr/>
                <a:graphic xmlns:a="http://schemas.openxmlformats.org/drawingml/2006/main">
                  <a:graphicData uri="http://schemas.microsoft.com/office/word/2010/wordprocessingShape">
                    <wps:wsp>
                      <wps:cNvSpPr/>
                      <wps:spPr>
                        <a:xfrm>
                          <a:off x="0" y="0"/>
                          <a:ext cx="1181100" cy="361315"/>
                        </a:xfrm>
                        <a:prstGeom prst="wedgeRectCallout">
                          <a:avLst>
                            <a:gd name="adj1" fmla="val -34894"/>
                            <a:gd name="adj2" fmla="val 175481"/>
                          </a:avLst>
                        </a:prstGeom>
                        <a:noFill/>
                        <a:ln w="28575" cap="flat" cmpd="sng">
                          <a:solidFill>
                            <a:srgbClr val="FF0000"/>
                          </a:solidFill>
                          <a:prstDash val="solid"/>
                          <a:miter/>
                          <a:headEnd type="arrow" w="med" len="med"/>
                          <a:tailEnd type="arrow" w="med" len="med"/>
                        </a:ln>
                      </wps:spPr>
                      <wps:txbx>
                        <w:txbxContent>
                          <w:p w14:paraId="083AB01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eastAsia="宋体"/>
                                <w:b/>
                                <w:bCs/>
                                <w:color w:val="FFFF00"/>
                                <w:lang w:eastAsia="zh-CN"/>
                              </w:rPr>
                            </w:pPr>
                            <w:r>
                              <w:rPr>
                                <w:rFonts w:hint="eastAsia"/>
                                <w:b/>
                                <w:bCs/>
                                <w:color w:val="FF0000"/>
                                <w:lang w:eastAsia="zh-CN"/>
                              </w:rPr>
                              <w:t>本项目所在地</w:t>
                            </w:r>
                          </w:p>
                        </w:txbxContent>
                      </wps:txbx>
                      <wps:bodyPr upright="1"/>
                    </wps:wsp>
                  </a:graphicData>
                </a:graphic>
              </wp:anchor>
            </w:drawing>
          </mc:Choice>
          <mc:Fallback>
            <w:pict>
              <v:shape id="_x0000_s1026" o:spid="_x0000_s1026" o:spt="61" type="#_x0000_t61" style="position:absolute;left:0pt;margin-left:233.55pt;margin-top:350.85pt;height:28.45pt;width:93pt;z-index:251841536;mso-width-relative:page;mso-height-relative:page;" filled="f" stroked="t" coordsize="21600,21600" o:gfxdata="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X5E72NsAAAALAQAADwAAAAAAAAABACAAAAAiAAAAZHJz&#10;L2Rvd25yZXYueG1sUEsBAhQAFAAAAAgAh07iQHF8Z8w6AgAAbAQAAA4AAAAAAAAAAQAgAAAAKgEA&#10;AGRycy9lMm9Eb2MueG1sUEsFBgAAAAAGAAYAWQEAANYFAAAAAA==&#10;" adj="3263,48704">
                <v:fill on="f" focussize="0,0"/>
                <v:stroke weight="2.25pt" color="#FF0000" joinstyle="miter" startarrow="open" endarrow="open"/>
                <v:imagedata o:title=""/>
                <o:lock v:ext="edit" aspectratio="f"/>
                <v:textbox>
                  <w:txbxContent>
                    <w:p w14:paraId="083AB01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eastAsia="宋体"/>
                          <w:b/>
                          <w:bCs/>
                          <w:color w:val="FFFF00"/>
                          <w:lang w:eastAsia="zh-CN"/>
                        </w:rPr>
                      </w:pPr>
                      <w:r>
                        <w:rPr>
                          <w:rFonts w:hint="eastAsia"/>
                          <w:b/>
                          <w:bCs/>
                          <w:color w:val="FF0000"/>
                          <w:lang w:eastAsia="zh-CN"/>
                        </w:rPr>
                        <w:t>本项目所在地</w:t>
                      </w:r>
                    </w:p>
                  </w:txbxContent>
                </v:textbox>
              </v:shape>
            </w:pict>
          </mc:Fallback>
        </mc:AlternateContent>
      </w:r>
      <w:r>
        <w:rPr>
          <w:color w:val="auto"/>
          <w:sz w:val="24"/>
        </w:rPr>
        <mc:AlternateContent>
          <mc:Choice Requires="wps">
            <w:drawing>
              <wp:anchor distT="0" distB="0" distL="114300" distR="114300" simplePos="0" relativeHeight="251840512" behindDoc="0" locked="0" layoutInCell="1" allowOverlap="1">
                <wp:simplePos x="0" y="0"/>
                <wp:positionH relativeFrom="column">
                  <wp:posOffset>3056255</wp:posOffset>
                </wp:positionH>
                <wp:positionV relativeFrom="paragraph">
                  <wp:posOffset>5245100</wp:posOffset>
                </wp:positionV>
                <wp:extent cx="128270" cy="117475"/>
                <wp:effectExtent l="13970" t="13970" r="29210" b="20955"/>
                <wp:wrapNone/>
                <wp:docPr id="308" name="椭圆 308"/>
                <wp:cNvGraphicFramePr/>
                <a:graphic xmlns:a="http://schemas.openxmlformats.org/drawingml/2006/main">
                  <a:graphicData uri="http://schemas.microsoft.com/office/word/2010/wordprocessingShape">
                    <wps:wsp>
                      <wps:cNvSpPr/>
                      <wps:spPr>
                        <a:xfrm>
                          <a:off x="0" y="0"/>
                          <a:ext cx="128270" cy="117475"/>
                        </a:xfrm>
                        <a:prstGeom prst="ellipse">
                          <a:avLst/>
                        </a:prstGeom>
                        <a:noFill/>
                        <a:ln w="28575">
                          <a:solidFill>
                            <a:srgbClr val="0A29E8"/>
                          </a:solidFill>
                        </a:ln>
                      </wps:spPr>
                      <wps:txbx>
                        <w:txbxContent>
                          <w:p w14:paraId="2723F47B"/>
                        </w:txbxContent>
                      </wps:txbx>
                      <wps:bodyPr upright="1"/>
                    </wps:wsp>
                  </a:graphicData>
                </a:graphic>
              </wp:anchor>
            </w:drawing>
          </mc:Choice>
          <mc:Fallback>
            <w:pict>
              <v:shape id="_x0000_s1026" o:spid="_x0000_s1026" o:spt="3" type="#_x0000_t3" style="position:absolute;left:0pt;margin-left:240.65pt;margin-top:413pt;height:9.25pt;width:10.1pt;z-index:251840512;mso-width-relative:page;mso-height-relative:page;" filled="f" stroked="t" coordsize="21600,21600" o:gfxdata="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XptjR2gAAAAsBAAAPAAAAAAAAAAEAIAAAACIAAABkcnMvZG93&#10;bnJldi54bWxQSwECFAAUAAAACACHTuJAGYJcE8UBAAB6AwAADgAAAAAAAAABACAAAAApAQAAZHJz&#10;L2Uyb0RvYy54bWxQSwUGAAAAAAYABgBZAQAAYAUAAAAA&#10;">
                <v:fill on="f" focussize="0,0"/>
                <v:stroke weight="2.25pt" color="#0A29E8" joinstyle="round"/>
                <v:imagedata o:title=""/>
                <o:lock v:ext="edit" aspectratio="f"/>
                <v:textbox>
                  <w:txbxContent>
                    <w:p w14:paraId="2723F47B"/>
                  </w:txbxContent>
                </v:textbox>
              </v:shape>
            </w:pict>
          </mc:Fallback>
        </mc:AlternateContent>
      </w:r>
      <w:r>
        <w:rPr>
          <w:color w:val="auto"/>
          <w:sz w:val="24"/>
        </w:rPr>
        <mc:AlternateContent>
          <mc:Choice Requires="wps">
            <w:drawing>
              <wp:anchor distT="0" distB="0" distL="114300" distR="114300" simplePos="0" relativeHeight="251839488" behindDoc="0" locked="0" layoutInCell="1" allowOverlap="1">
                <wp:simplePos x="0" y="0"/>
                <wp:positionH relativeFrom="column">
                  <wp:posOffset>1159510</wp:posOffset>
                </wp:positionH>
                <wp:positionV relativeFrom="paragraph">
                  <wp:posOffset>4058920</wp:posOffset>
                </wp:positionV>
                <wp:extent cx="3295650" cy="2219960"/>
                <wp:effectExtent l="14605" t="843280" r="23495" b="22860"/>
                <wp:wrapNone/>
                <wp:docPr id="309" name="矩形标注 309"/>
                <wp:cNvGraphicFramePr/>
                <a:graphic xmlns:a="http://schemas.openxmlformats.org/drawingml/2006/main">
                  <a:graphicData uri="http://schemas.microsoft.com/office/word/2010/wordprocessingShape">
                    <wps:wsp>
                      <wps:cNvSpPr/>
                      <wps:spPr>
                        <a:xfrm>
                          <a:off x="0" y="0"/>
                          <a:ext cx="3295650" cy="2219960"/>
                        </a:xfrm>
                        <a:prstGeom prst="wedgeRectCallout">
                          <a:avLst>
                            <a:gd name="adj1" fmla="val 27898"/>
                            <a:gd name="adj2" fmla="val -86528"/>
                          </a:avLst>
                        </a:prstGeom>
                        <a:noFill/>
                        <a:ln w="28575" cap="flat" cmpd="sng">
                          <a:solidFill>
                            <a:srgbClr val="00B0F0"/>
                          </a:solidFill>
                          <a:prstDash val="solid"/>
                          <a:miter/>
                          <a:headEnd type="arrow" w="med" len="med"/>
                          <a:tailEnd type="arrow" w="med" len="med"/>
                        </a:ln>
                      </wps:spPr>
                      <wps:txbx>
                        <w:txbxContent>
                          <w:p w14:paraId="7A7D1585">
                            <w:pPr>
                              <w:keepNext w:val="0"/>
                              <w:keepLines w:val="0"/>
                              <w:pageBreakBefore w:val="0"/>
                              <w:widowControl w:val="0"/>
                              <w:kinsoku/>
                              <w:wordWrap/>
                              <w:overflowPunct/>
                              <w:topLinePunct w:val="0"/>
                              <w:autoSpaceDE/>
                              <w:autoSpaceDN/>
                              <w:bidi w:val="0"/>
                              <w:adjustRightInd w:val="0"/>
                              <w:snapToGrid w:val="0"/>
                              <w:ind w:firstLine="0" w:firstLineChars="0"/>
                              <w:textAlignment w:val="auto"/>
                            </w:pPr>
                            <w:r>
                              <w:drawing>
                                <wp:inline distT="0" distB="0" distL="114300" distR="114300">
                                  <wp:extent cx="3079750" cy="2586990"/>
                                  <wp:effectExtent l="0" t="0" r="6350" b="3810"/>
                                  <wp:docPr id="3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9"/>
                                          <pic:cNvPicPr>
                                            <a:picLocks noChangeAspect="1"/>
                                          </pic:cNvPicPr>
                                        </pic:nvPicPr>
                                        <pic:blipFill>
                                          <a:blip r:embed="rId37"/>
                                          <a:stretch>
                                            <a:fillRect/>
                                          </a:stretch>
                                        </pic:blipFill>
                                        <pic:spPr>
                                          <a:xfrm>
                                            <a:off x="0" y="0"/>
                                            <a:ext cx="3079750" cy="2586990"/>
                                          </a:xfrm>
                                          <a:prstGeom prst="rect">
                                            <a:avLst/>
                                          </a:prstGeom>
                                          <a:noFill/>
                                          <a:ln>
                                            <a:noFill/>
                                          </a:ln>
                                        </pic:spPr>
                                      </pic:pic>
                                    </a:graphicData>
                                  </a:graphic>
                                </wp:inline>
                              </w:drawing>
                            </w:r>
                          </w:p>
                        </w:txbxContent>
                      </wps:txbx>
                      <wps:bodyPr upright="1"/>
                    </wps:wsp>
                  </a:graphicData>
                </a:graphic>
              </wp:anchor>
            </w:drawing>
          </mc:Choice>
          <mc:Fallback>
            <w:pict>
              <v:shape id="_x0000_s1026" o:spid="_x0000_s1026" o:spt="61" type="#_x0000_t61" style="position:absolute;left:0pt;margin-left:91.3pt;margin-top:319.6pt;height:174.8pt;width:259.5pt;z-index:251839488;mso-width-relative:page;mso-height-relative:page;" filled="f" stroked="t" coordsize="21600,21600" o:gfxdata="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Y0d09kAAAALAQAADwAAAAAAAAABACAAAAAiAAAAZHJzL2Rv&#10;d25yZXYueG1sUEsBAhQAFAAAAAgAh07iQF2JZGg5AgAAbAQAAA4AAAAAAAAAAQAgAAAAKAEAAGRy&#10;cy9lMm9Eb2MueG1sUEsFBgAAAAAGAAYAWQEAANMFAAAAAA==&#10;" adj="16826,-7890">
                <v:fill on="f" focussize="0,0"/>
                <v:stroke weight="2.25pt" color="#00B0F0" joinstyle="miter" startarrow="open" endarrow="open"/>
                <v:imagedata o:title=""/>
                <o:lock v:ext="edit" aspectratio="f"/>
                <v:textbox>
                  <w:txbxContent>
                    <w:p w14:paraId="7A7D1585">
                      <w:pPr>
                        <w:keepNext w:val="0"/>
                        <w:keepLines w:val="0"/>
                        <w:pageBreakBefore w:val="0"/>
                        <w:widowControl w:val="0"/>
                        <w:kinsoku/>
                        <w:wordWrap/>
                        <w:overflowPunct/>
                        <w:topLinePunct w:val="0"/>
                        <w:autoSpaceDE/>
                        <w:autoSpaceDN/>
                        <w:bidi w:val="0"/>
                        <w:adjustRightInd w:val="0"/>
                        <w:snapToGrid w:val="0"/>
                        <w:ind w:firstLine="0" w:firstLineChars="0"/>
                        <w:textAlignment w:val="auto"/>
                      </w:pPr>
                      <w:r>
                        <w:drawing>
                          <wp:inline distT="0" distB="0" distL="114300" distR="114300">
                            <wp:extent cx="3079750" cy="2586990"/>
                            <wp:effectExtent l="0" t="0" r="6350" b="3810"/>
                            <wp:docPr id="3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9"/>
                                    <pic:cNvPicPr>
                                      <a:picLocks noChangeAspect="1"/>
                                    </pic:cNvPicPr>
                                  </pic:nvPicPr>
                                  <pic:blipFill>
                                    <a:blip r:embed="rId37"/>
                                    <a:stretch>
                                      <a:fillRect/>
                                    </a:stretch>
                                  </pic:blipFill>
                                  <pic:spPr>
                                    <a:xfrm>
                                      <a:off x="0" y="0"/>
                                      <a:ext cx="3079750" cy="2586990"/>
                                    </a:xfrm>
                                    <a:prstGeom prst="rect">
                                      <a:avLst/>
                                    </a:prstGeom>
                                    <a:noFill/>
                                    <a:ln>
                                      <a:noFill/>
                                    </a:ln>
                                  </pic:spPr>
                                </pic:pic>
                              </a:graphicData>
                            </a:graphic>
                          </wp:inline>
                        </w:drawing>
                      </w:r>
                    </w:p>
                  </w:txbxContent>
                </v:textbox>
              </v:shape>
            </w:pict>
          </mc:Fallback>
        </mc:AlternateContent>
      </w:r>
      <w:r>
        <w:rPr>
          <w:color w:val="auto"/>
          <w:sz w:val="24"/>
        </w:rPr>
        <mc:AlternateContent>
          <mc:Choice Requires="wps">
            <w:drawing>
              <wp:anchor distT="0" distB="0" distL="114300" distR="114300" simplePos="0" relativeHeight="251838464" behindDoc="0" locked="0" layoutInCell="1" allowOverlap="1">
                <wp:simplePos x="0" y="0"/>
                <wp:positionH relativeFrom="column">
                  <wp:posOffset>3133725</wp:posOffset>
                </wp:positionH>
                <wp:positionV relativeFrom="paragraph">
                  <wp:posOffset>2498090</wp:posOffset>
                </wp:positionV>
                <wp:extent cx="838835" cy="725805"/>
                <wp:effectExtent l="13970" t="13970" r="23495" b="22225"/>
                <wp:wrapNone/>
                <wp:docPr id="311" name="矩形 311"/>
                <wp:cNvGraphicFramePr/>
                <a:graphic xmlns:a="http://schemas.openxmlformats.org/drawingml/2006/main">
                  <a:graphicData uri="http://schemas.microsoft.com/office/word/2010/wordprocessingShape">
                    <wps:wsp>
                      <wps:cNvSpPr/>
                      <wps:spPr>
                        <a:xfrm>
                          <a:off x="0" y="0"/>
                          <a:ext cx="838835" cy="725805"/>
                        </a:xfrm>
                        <a:prstGeom prst="rect">
                          <a:avLst/>
                        </a:prstGeom>
                        <a:noFill/>
                        <a:ln w="28575" cap="flat" cmpd="sng">
                          <a:solidFill>
                            <a:srgbClr val="00B0F0"/>
                          </a:solidFill>
                          <a:prstDash val="solid"/>
                          <a:miter/>
                          <a:headEnd type="arrow" w="med" len="med"/>
                          <a:tailEnd type="arrow" w="med" len="med"/>
                        </a:ln>
                      </wps:spPr>
                      <wps:txbx>
                        <w:txbxContent>
                          <w:p w14:paraId="51667070">
                            <w:pPr>
                              <w:ind w:left="0" w:leftChars="0" w:firstLine="0" w:firstLineChars="0"/>
                            </w:pPr>
                          </w:p>
                        </w:txbxContent>
                      </wps:txbx>
                      <wps:bodyPr upright="1"/>
                    </wps:wsp>
                  </a:graphicData>
                </a:graphic>
              </wp:anchor>
            </w:drawing>
          </mc:Choice>
          <mc:Fallback>
            <w:pict>
              <v:rect id="_x0000_s1026" o:spid="_x0000_s1026" o:spt="1" style="position:absolute;left:0pt;margin-left:246.75pt;margin-top:196.7pt;height:57.15pt;width:66.05pt;z-index:251838464;mso-width-relative:page;mso-height-relative:page;" filled="f" stroked="t" coordsize="21600,21600" o:gfxdata="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eD/RjNoAAAALAQAADwAAAAAAAAABACAAAAAiAAAAZHJz&#10;L2Rvd25yZXYueG1sUEsBAhQAFAAAAAgAh07iQBvWt+0CAgAABgQAAA4AAAAAAAAAAQAgAAAAKQEA&#10;AGRycy9lMm9Eb2MueG1sUEsFBgAAAAAGAAYAWQEAAJ0FAAAAAA==&#10;">
                <v:fill on="f" focussize="0,0"/>
                <v:stroke weight="2.25pt" color="#00B0F0" joinstyle="miter" startarrow="open" endarrow="open"/>
                <v:imagedata o:title=""/>
                <o:lock v:ext="edit" aspectratio="f"/>
                <v:textbox>
                  <w:txbxContent>
                    <w:p w14:paraId="51667070">
                      <w:pPr>
                        <w:ind w:left="0" w:leftChars="0" w:firstLine="0" w:firstLineChars="0"/>
                      </w:pPr>
                    </w:p>
                  </w:txbxContent>
                </v:textbox>
              </v:rect>
            </w:pict>
          </mc:Fallback>
        </mc:AlternateContent>
      </w:r>
      <w:r>
        <w:rPr>
          <w:rFonts w:hint="eastAsia" w:eastAsia="宋体"/>
          <w:color w:val="auto"/>
          <w:highlight w:val="none"/>
          <w:lang w:eastAsia="zh-CN"/>
        </w:rPr>
        <w:drawing>
          <wp:inline distT="0" distB="0" distL="114300" distR="114300">
            <wp:extent cx="5754370" cy="8131810"/>
            <wp:effectExtent l="0" t="0" r="17780" b="2540"/>
            <wp:docPr id="312" name="图片 6" descr="C:/Users/dell/Desktop/15淮南市高污染燃料禁燃区图.jpg15淮南市高污染燃料禁燃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6" descr="C:/Users/dell/Desktop/15淮南市高污染燃料禁燃区图.jpg15淮南市高污染燃料禁燃区图"/>
                    <pic:cNvPicPr>
                      <a:picLocks noChangeAspect="1"/>
                    </pic:cNvPicPr>
                  </pic:nvPicPr>
                  <pic:blipFill>
                    <a:blip r:embed="rId38"/>
                    <a:srcRect l="4" r="4"/>
                    <a:stretch>
                      <a:fillRect/>
                    </a:stretch>
                  </pic:blipFill>
                  <pic:spPr>
                    <a:xfrm>
                      <a:off x="0" y="0"/>
                      <a:ext cx="5754370" cy="8131810"/>
                    </a:xfrm>
                    <a:prstGeom prst="rect">
                      <a:avLst/>
                    </a:prstGeom>
                    <a:noFill/>
                    <a:ln>
                      <a:noFill/>
                    </a:ln>
                  </pic:spPr>
                </pic:pic>
              </a:graphicData>
            </a:graphic>
          </wp:inline>
        </w:drawing>
      </w:r>
    </w:p>
    <w:p w14:paraId="6F81FD7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黑体" w:cs="Times New Roman"/>
          <w:snapToGrid w:val="0"/>
          <w:color w:val="auto"/>
          <w:spacing w:val="0"/>
          <w:kern w:val="2"/>
          <w:sz w:val="24"/>
          <w:szCs w:val="21"/>
          <w:lang w:val="en-US" w:eastAsia="zh-CN" w:bidi="ar-SA"/>
        </w:rPr>
      </w:pPr>
      <w:r>
        <w:rPr>
          <w:rFonts w:hint="eastAsia" w:ascii="Times New Roman" w:hAnsi="Times New Roman" w:eastAsia="黑体" w:cs="Times New Roman"/>
          <w:snapToGrid w:val="0"/>
          <w:color w:val="auto"/>
          <w:spacing w:val="0"/>
          <w:kern w:val="2"/>
          <w:sz w:val="24"/>
          <w:szCs w:val="21"/>
          <w:lang w:val="en-US" w:eastAsia="zh-CN" w:bidi="ar-SA"/>
        </w:rPr>
        <w:t>图2.5-</w:t>
      </w:r>
      <w:r>
        <w:rPr>
          <w:rFonts w:hint="eastAsia" w:eastAsia="黑体" w:cs="Times New Roman"/>
          <w:snapToGrid w:val="0"/>
          <w:color w:val="auto"/>
          <w:spacing w:val="0"/>
          <w:kern w:val="2"/>
          <w:sz w:val="24"/>
          <w:szCs w:val="21"/>
          <w:lang w:val="en-US" w:eastAsia="zh-CN" w:bidi="ar-SA"/>
        </w:rPr>
        <w:t>7</w:t>
      </w:r>
      <w:r>
        <w:rPr>
          <w:rFonts w:hint="eastAsia" w:ascii="Times New Roman" w:hAnsi="Times New Roman" w:eastAsia="黑体" w:cs="Times New Roman"/>
          <w:snapToGrid w:val="0"/>
          <w:color w:val="auto"/>
          <w:spacing w:val="0"/>
          <w:kern w:val="2"/>
          <w:sz w:val="24"/>
          <w:szCs w:val="21"/>
          <w:lang w:val="en-US" w:eastAsia="zh-CN" w:bidi="ar-SA"/>
        </w:rPr>
        <w:t xml:space="preserve">  本项目与淮南市</w:t>
      </w:r>
      <w:r>
        <w:rPr>
          <w:rFonts w:hint="eastAsia" w:eastAsia="黑体" w:cs="Times New Roman"/>
          <w:snapToGrid w:val="0"/>
          <w:color w:val="auto"/>
          <w:spacing w:val="0"/>
          <w:kern w:val="2"/>
          <w:sz w:val="24"/>
          <w:szCs w:val="21"/>
          <w:lang w:val="en-US" w:eastAsia="zh-CN" w:bidi="ar-SA"/>
        </w:rPr>
        <w:t>高污染禁燃区</w:t>
      </w:r>
      <w:r>
        <w:rPr>
          <w:rFonts w:hint="eastAsia" w:ascii="Times New Roman" w:hAnsi="Times New Roman" w:eastAsia="黑体" w:cs="Times New Roman"/>
          <w:snapToGrid w:val="0"/>
          <w:color w:val="auto"/>
          <w:spacing w:val="0"/>
          <w:kern w:val="2"/>
          <w:sz w:val="24"/>
          <w:szCs w:val="21"/>
          <w:lang w:val="en-US" w:eastAsia="zh-CN" w:bidi="ar-SA"/>
        </w:rPr>
        <w:t>位置关系图</w:t>
      </w:r>
    </w:p>
    <w:p w14:paraId="52E614F8">
      <w:pPr>
        <w:pStyle w:val="233"/>
        <w:rPr>
          <w:color w:val="auto"/>
        </w:rPr>
        <w:sectPr>
          <w:pgSz w:w="11906" w:h="16838"/>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pPr>
    </w:p>
    <w:p w14:paraId="73BD1C49">
      <w:pPr>
        <w:pStyle w:val="233"/>
        <w:rPr>
          <w:color w:val="auto"/>
        </w:rPr>
      </w:pPr>
      <w:r>
        <w:rPr>
          <w:color w:val="auto"/>
          <w:sz w:val="24"/>
        </w:rPr>
        <mc:AlternateContent>
          <mc:Choice Requires="wps">
            <w:drawing>
              <wp:anchor distT="0" distB="0" distL="114300" distR="114300" simplePos="0" relativeHeight="251783168" behindDoc="0" locked="0" layoutInCell="1" allowOverlap="1">
                <wp:simplePos x="0" y="0"/>
                <wp:positionH relativeFrom="column">
                  <wp:posOffset>4291965</wp:posOffset>
                </wp:positionH>
                <wp:positionV relativeFrom="paragraph">
                  <wp:posOffset>1289050</wp:posOffset>
                </wp:positionV>
                <wp:extent cx="1619885" cy="436880"/>
                <wp:effectExtent l="12700" t="12700" r="24765" b="388620"/>
                <wp:wrapNone/>
                <wp:docPr id="38" name="矩形标注 38"/>
                <wp:cNvGraphicFramePr/>
                <a:graphic xmlns:a="http://schemas.openxmlformats.org/drawingml/2006/main">
                  <a:graphicData uri="http://schemas.microsoft.com/office/word/2010/wordprocessingShape">
                    <wps:wsp>
                      <wps:cNvSpPr/>
                      <wps:spPr>
                        <a:xfrm>
                          <a:off x="5319395" y="2181225"/>
                          <a:ext cx="1619885" cy="436880"/>
                        </a:xfrm>
                        <a:prstGeom prst="wedgeRectCallout">
                          <a:avLst>
                            <a:gd name="adj1" fmla="val -21540"/>
                            <a:gd name="adj2" fmla="val 133284"/>
                          </a:avLst>
                        </a:prstGeom>
                        <a:noFill/>
                      </wps:spPr>
                      <wps:style>
                        <a:lnRef idx="2">
                          <a:schemeClr val="accent1">
                            <a:lumMod val="75000"/>
                          </a:schemeClr>
                        </a:lnRef>
                        <a:fillRef idx="1">
                          <a:schemeClr val="accent1"/>
                        </a:fillRef>
                        <a:effectRef idx="0">
                          <a:srgbClr val="FFFFFF"/>
                        </a:effectRef>
                        <a:fontRef idx="minor">
                          <a:schemeClr val="lt1"/>
                        </a:fontRef>
                      </wps:style>
                      <wps:txbx>
                        <w:txbxContent>
                          <w:p w14:paraId="5189DD46">
                            <w:pPr>
                              <w:jc w:val="center"/>
                              <w:rPr>
                                <w:rFonts w:hint="default" w:eastAsia="宋体"/>
                                <w:b/>
                                <w:bCs/>
                                <w:color w:val="8064A2" w:themeColor="accent4"/>
                                <w:sz w:val="36"/>
                                <w:szCs w:val="36"/>
                                <w:lang w:val="en-US" w:eastAsia="zh-CN"/>
                                <w14:textFill>
                                  <w14:solidFill>
                                    <w14:schemeClr w14:val="accent4"/>
                                  </w14:solidFill>
                                </w14:textFill>
                              </w:rPr>
                            </w:pPr>
                            <w:r>
                              <w:rPr>
                                <w:rFonts w:hint="eastAsia"/>
                                <w:b/>
                                <w:bCs/>
                                <w:color w:val="8064A2" w:themeColor="accent4"/>
                                <w:sz w:val="36"/>
                                <w:szCs w:val="36"/>
                                <w:lang w:val="en-US" w:eastAsia="zh-CN"/>
                                <w14:textFill>
                                  <w14:solidFill>
                                    <w14:schemeClr w14:val="accent4"/>
                                  </w14:solidFill>
                                </w14:textFill>
                              </w:rPr>
                              <w:t>本项目所在地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337.95pt;margin-top:101.5pt;height:34.4pt;width:127.55pt;z-index:251783168;v-text-anchor:middle;mso-width-relative:page;mso-height-relative:page;" filled="f" stroked="t" coordsize="21600,21600" o:gfxdata="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Ok5Qp/dAAAACwEAAA8A&#10;AAAAAAAAAQAgAAAAIgAAAGRycy9kb3ducmV2LnhtbFBLAQIUABQAAAAIAIdO4kDa/hsKvQIAAFQF&#10;AAAOAAAAAAAAAAEAIAAAACwBAABkcnMvZTJvRG9jLnhtbFBLBQYAAAAABgAGAFkBAABbBgAAAAA=&#10;" adj="6147,39589">
                <v:fill on="f" focussize="0,0"/>
                <v:stroke weight="2pt" color="#376092 [2404]" joinstyle="round"/>
                <v:imagedata o:title=""/>
                <o:lock v:ext="edit" aspectratio="f"/>
                <v:textbox>
                  <w:txbxContent>
                    <w:p w14:paraId="5189DD46">
                      <w:pPr>
                        <w:jc w:val="center"/>
                        <w:rPr>
                          <w:rFonts w:hint="default" w:eastAsia="宋体"/>
                          <w:b/>
                          <w:bCs/>
                          <w:color w:val="8064A2" w:themeColor="accent4"/>
                          <w:sz w:val="36"/>
                          <w:szCs w:val="36"/>
                          <w:lang w:val="en-US" w:eastAsia="zh-CN"/>
                          <w14:textFill>
                            <w14:solidFill>
                              <w14:schemeClr w14:val="accent4"/>
                            </w14:solidFill>
                          </w14:textFill>
                        </w:rPr>
                      </w:pPr>
                      <w:r>
                        <w:rPr>
                          <w:rFonts w:hint="eastAsia"/>
                          <w:b/>
                          <w:bCs/>
                          <w:color w:val="8064A2" w:themeColor="accent4"/>
                          <w:sz w:val="36"/>
                          <w:szCs w:val="36"/>
                          <w:lang w:val="en-US" w:eastAsia="zh-CN"/>
                          <w14:textFill>
                            <w14:solidFill>
                              <w14:schemeClr w14:val="accent4"/>
                            </w14:solidFill>
                          </w14:textFill>
                        </w:rPr>
                        <w:t>本项目所在地</w:t>
                      </w:r>
                    </w:p>
                  </w:txbxContent>
                </v:textbox>
              </v:shape>
            </w:pict>
          </mc:Fallback>
        </mc:AlternateContent>
      </w:r>
      <w:r>
        <w:rPr>
          <w:color w:val="auto"/>
        </w:rPr>
        <w:drawing>
          <wp:inline distT="0" distB="0" distL="114300" distR="114300">
            <wp:extent cx="7940675" cy="4611370"/>
            <wp:effectExtent l="0" t="0" r="3175" b="1778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9"/>
                    <a:stretch>
                      <a:fillRect/>
                    </a:stretch>
                  </pic:blipFill>
                  <pic:spPr>
                    <a:xfrm>
                      <a:off x="0" y="0"/>
                      <a:ext cx="7940675" cy="4611370"/>
                    </a:xfrm>
                    <a:prstGeom prst="rect">
                      <a:avLst/>
                    </a:prstGeom>
                    <a:noFill/>
                    <a:ln>
                      <a:noFill/>
                    </a:ln>
                  </pic:spPr>
                </pic:pic>
              </a:graphicData>
            </a:graphic>
          </wp:inline>
        </w:drawing>
      </w:r>
    </w:p>
    <w:p w14:paraId="1F3A23D7">
      <w:pPr>
        <w:pStyle w:val="233"/>
        <w:jc w:val="center"/>
        <w:rPr>
          <w:rFonts w:hint="default"/>
          <w:color w:val="auto"/>
          <w:lang w:val="en-US"/>
        </w:rPr>
      </w:pPr>
      <w:r>
        <w:rPr>
          <w:rFonts w:hint="default" w:ascii="Times New Roman" w:hAnsi="Times New Roman" w:eastAsia="黑体" w:cs="Times New Roman"/>
          <w:color w:val="auto"/>
          <w:sz w:val="24"/>
        </w:rPr>
        <w:t>图2.5-</w:t>
      </w:r>
      <w:r>
        <w:rPr>
          <w:rFonts w:hint="eastAsia" w:ascii="Times New Roman" w:hAnsi="Times New Roman" w:eastAsia="黑体" w:cs="Times New Roman"/>
          <w:color w:val="auto"/>
          <w:sz w:val="24"/>
          <w:lang w:val="en-US" w:eastAsia="zh-CN"/>
        </w:rPr>
        <w:t>8</w:t>
      </w:r>
      <w:r>
        <w:rPr>
          <w:rFonts w:eastAsia="黑体"/>
          <w:color w:val="auto"/>
          <w:sz w:val="24"/>
        </w:rPr>
        <w:t xml:space="preserve">  项目与</w:t>
      </w:r>
      <w:r>
        <w:rPr>
          <w:rFonts w:hint="eastAsia" w:eastAsia="黑体"/>
          <w:color w:val="auto"/>
          <w:sz w:val="24"/>
        </w:rPr>
        <w:t>安徽省“三线一单”公共服务平台</w:t>
      </w:r>
      <w:r>
        <w:rPr>
          <w:rFonts w:eastAsia="黑体"/>
          <w:color w:val="auto"/>
          <w:sz w:val="24"/>
        </w:rPr>
        <w:t>位置关系</w:t>
      </w:r>
      <w:r>
        <w:rPr>
          <w:rFonts w:hint="default" w:eastAsia="黑体"/>
          <w:color w:val="auto"/>
          <w:sz w:val="24"/>
        </w:rPr>
        <w:t>图</w:t>
      </w:r>
    </w:p>
    <w:p w14:paraId="090A56F9">
      <w:pPr>
        <w:pStyle w:val="233"/>
        <w:rPr>
          <w:rFonts w:hint="eastAsia" w:ascii="Times New Roman" w:hAnsi="Times New Roman" w:cs="Times New Roman"/>
          <w:color w:val="auto"/>
        </w:rPr>
      </w:pPr>
      <w:r>
        <w:rPr>
          <w:rFonts w:hint="eastAsia" w:ascii="Times New Roman" w:hAnsi="Times New Roman" w:cs="Times New Roman"/>
          <w:color w:val="auto"/>
        </w:rPr>
        <w:t>本项目为货运港口建设，不属于风景名胜区和地质公园禁止的建设活动，因此，本项目建设符合淮南市“三线一单”生态环境准入清单要求。</w:t>
      </w:r>
    </w:p>
    <w:p w14:paraId="2931DCA3">
      <w:pPr>
        <w:spacing w:line="360" w:lineRule="auto"/>
        <w:ind w:firstLine="480" w:firstLineChars="200"/>
        <w:rPr>
          <w:color w:val="auto"/>
          <w:sz w:val="24"/>
        </w:rPr>
      </w:pPr>
      <w:r>
        <w:rPr>
          <w:color w:val="auto"/>
          <w:sz w:val="24"/>
        </w:rPr>
        <w:t>综上，本项目建设符合“三线一单”相关要求。</w:t>
      </w:r>
    </w:p>
    <w:p w14:paraId="265F606A">
      <w:pPr>
        <w:pStyle w:val="3"/>
        <w:numPr>
          <w:ilvl w:val="0"/>
          <w:numId w:val="0"/>
        </w:numPr>
        <w:rPr>
          <w:color w:val="auto"/>
        </w:rPr>
      </w:pPr>
      <w:bookmarkStart w:id="73" w:name="_Toc13398"/>
      <w:r>
        <w:rPr>
          <w:rFonts w:hint="eastAsia"/>
          <w:color w:val="auto"/>
        </w:rPr>
        <w:t>2.6</w:t>
      </w:r>
      <w:r>
        <w:rPr>
          <w:color w:val="auto"/>
        </w:rPr>
        <w:t>环境保护目标</w:t>
      </w:r>
      <w:bookmarkEnd w:id="73"/>
    </w:p>
    <w:p w14:paraId="43BDDCF8">
      <w:pPr>
        <w:pStyle w:val="233"/>
        <w:rPr>
          <w:rFonts w:ascii="Times New Roman" w:hAnsi="Times New Roman" w:cs="Times New Roman"/>
          <w:color w:val="auto"/>
        </w:rPr>
      </w:pPr>
      <w:r>
        <w:rPr>
          <w:rFonts w:hint="eastAsia"/>
          <w:bCs/>
          <w:color w:val="auto"/>
        </w:rPr>
        <w:t>本项目选址</w:t>
      </w:r>
      <w:r>
        <w:rPr>
          <w:rFonts w:hint="eastAsia" w:ascii="Times New Roman" w:hAnsi="Times New Roman" w:cs="Times New Roman"/>
          <w:bCs/>
          <w:color w:val="auto"/>
        </w:rPr>
        <w:t>位于潘集区平圩镇淮河北汊的左岸</w:t>
      </w:r>
      <w:r>
        <w:rPr>
          <w:rFonts w:hint="eastAsia" w:ascii="Times New Roman" w:hAnsi="Times New Roman" w:cs="Times New Roman"/>
          <w:color w:val="auto"/>
        </w:rPr>
        <w:t>，</w:t>
      </w:r>
      <w:r>
        <w:rPr>
          <w:rFonts w:ascii="Times New Roman" w:hAnsi="Times New Roman" w:cs="Times New Roman"/>
          <w:color w:val="auto"/>
        </w:rPr>
        <w:t>根据区域调查及现场踏勘调查，本项目不占用生态保护红线范围，区域主要环境保护敏感区为居住区及水生生态保护目标。</w:t>
      </w:r>
    </w:p>
    <w:p w14:paraId="57C21F2A">
      <w:pPr>
        <w:pStyle w:val="4"/>
        <w:numPr>
          <w:ilvl w:val="0"/>
          <w:numId w:val="0"/>
        </w:numPr>
        <w:rPr>
          <w:color w:val="auto"/>
        </w:rPr>
      </w:pPr>
      <w:r>
        <w:rPr>
          <w:rFonts w:hint="eastAsia"/>
          <w:color w:val="auto"/>
        </w:rPr>
        <w:t>2.6.1</w:t>
      </w:r>
      <w:r>
        <w:rPr>
          <w:rFonts w:hint="eastAsia"/>
          <w:color w:val="auto"/>
          <w:lang w:val="en-US" w:eastAsia="zh-CN"/>
        </w:rPr>
        <w:t>环境空气</w:t>
      </w:r>
      <w:r>
        <w:rPr>
          <w:color w:val="auto"/>
        </w:rPr>
        <w:t>保护目标</w:t>
      </w:r>
    </w:p>
    <w:p w14:paraId="19E8E2FA">
      <w:pPr>
        <w:spacing w:line="400" w:lineRule="exact"/>
        <w:jc w:val="left"/>
        <w:rPr>
          <w:color w:val="auto"/>
          <w:sz w:val="24"/>
        </w:rPr>
      </w:pPr>
      <w:r>
        <w:rPr>
          <w:color w:val="auto"/>
          <w:sz w:val="24"/>
        </w:rPr>
        <w:t>项目环境空气评价范围内主要环境空气保护目标为人群较集中的区域，详见下表</w:t>
      </w:r>
      <w:r>
        <w:rPr>
          <w:rFonts w:hint="eastAsia"/>
          <w:color w:val="auto"/>
          <w:sz w:val="24"/>
        </w:rPr>
        <w:t>2</w:t>
      </w:r>
      <w:r>
        <w:rPr>
          <w:color w:val="auto"/>
          <w:sz w:val="24"/>
        </w:rPr>
        <w:t>.6-1。</w:t>
      </w:r>
    </w:p>
    <w:p w14:paraId="658A8181">
      <w:pPr>
        <w:spacing w:line="400" w:lineRule="exact"/>
        <w:jc w:val="center"/>
        <w:rPr>
          <w:rFonts w:eastAsia="黑体"/>
          <w:color w:val="auto"/>
          <w:sz w:val="24"/>
        </w:rPr>
      </w:pPr>
      <w:r>
        <w:rPr>
          <w:rFonts w:eastAsia="黑体"/>
          <w:color w:val="auto"/>
          <w:sz w:val="24"/>
        </w:rPr>
        <w:t>表2.6-1  环境</w:t>
      </w:r>
      <w:r>
        <w:rPr>
          <w:rFonts w:hint="eastAsia" w:eastAsia="黑体"/>
          <w:color w:val="auto"/>
          <w:sz w:val="24"/>
        </w:rPr>
        <w:t>空气</w:t>
      </w:r>
      <w:r>
        <w:rPr>
          <w:rFonts w:eastAsia="黑体"/>
          <w:color w:val="auto"/>
          <w:sz w:val="24"/>
        </w:rPr>
        <w:t>保护目标一览表</w:t>
      </w:r>
    </w:p>
    <w:tbl>
      <w:tblPr>
        <w:tblStyle w:val="53"/>
        <w:tblW w:w="5000"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fixed"/>
        <w:tblCellMar>
          <w:top w:w="0" w:type="dxa"/>
          <w:left w:w="0" w:type="dxa"/>
          <w:bottom w:w="0" w:type="dxa"/>
          <w:right w:w="0" w:type="dxa"/>
        </w:tblCellMar>
      </w:tblPr>
      <w:tblGrid>
        <w:gridCol w:w="1049"/>
        <w:gridCol w:w="2082"/>
        <w:gridCol w:w="994"/>
        <w:gridCol w:w="850"/>
        <w:gridCol w:w="1342"/>
        <w:gridCol w:w="2037"/>
        <w:gridCol w:w="2975"/>
        <w:gridCol w:w="1201"/>
        <w:gridCol w:w="1502"/>
      </w:tblGrid>
      <w:tr w14:paraId="7F28121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restart"/>
            <w:noWrap w:val="0"/>
            <w:tcMar>
              <w:top w:w="15" w:type="dxa"/>
              <w:left w:w="15" w:type="dxa"/>
              <w:right w:w="15" w:type="dxa"/>
            </w:tcMar>
            <w:vAlign w:val="center"/>
          </w:tcPr>
          <w:p w14:paraId="7729E16F">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b/>
                <w:color w:val="auto"/>
              </w:rPr>
            </w:pPr>
            <w:r>
              <w:rPr>
                <w:rFonts w:hint="default" w:ascii="Times New Roman" w:hAnsi="Times New Roman" w:cs="Times New Roman"/>
                <w:b/>
                <w:color w:val="auto"/>
              </w:rPr>
              <w:t>环境要素</w:t>
            </w:r>
          </w:p>
        </w:tc>
        <w:tc>
          <w:tcPr>
            <w:tcW w:w="2082" w:type="dxa"/>
            <w:vMerge w:val="restart"/>
            <w:noWrap w:val="0"/>
            <w:tcMar>
              <w:top w:w="15" w:type="dxa"/>
              <w:left w:w="15" w:type="dxa"/>
              <w:right w:w="15" w:type="dxa"/>
            </w:tcMar>
            <w:vAlign w:val="center"/>
          </w:tcPr>
          <w:p w14:paraId="379B2365">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b/>
                <w:color w:val="auto"/>
              </w:rPr>
            </w:pPr>
            <w:r>
              <w:rPr>
                <w:rFonts w:hint="default" w:ascii="Times New Roman" w:hAnsi="Times New Roman" w:cs="Times New Roman"/>
                <w:b/>
                <w:color w:val="auto"/>
              </w:rPr>
              <w:t>名称</w:t>
            </w:r>
          </w:p>
        </w:tc>
        <w:tc>
          <w:tcPr>
            <w:tcW w:w="1844" w:type="dxa"/>
            <w:gridSpan w:val="2"/>
            <w:noWrap w:val="0"/>
            <w:tcMar>
              <w:top w:w="15" w:type="dxa"/>
              <w:left w:w="15" w:type="dxa"/>
              <w:right w:w="15" w:type="dxa"/>
            </w:tcMar>
            <w:vAlign w:val="center"/>
          </w:tcPr>
          <w:p w14:paraId="7562C219">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b/>
                <w:color w:val="auto"/>
              </w:rPr>
            </w:pPr>
            <w:r>
              <w:rPr>
                <w:rFonts w:hint="default" w:ascii="Times New Roman" w:hAnsi="Times New Roman" w:cs="Times New Roman"/>
                <w:b/>
                <w:color w:val="auto"/>
              </w:rPr>
              <w:t>坐标/m</w:t>
            </w:r>
          </w:p>
        </w:tc>
        <w:tc>
          <w:tcPr>
            <w:tcW w:w="1342" w:type="dxa"/>
            <w:vMerge w:val="restart"/>
            <w:noWrap w:val="0"/>
            <w:tcMar>
              <w:top w:w="15" w:type="dxa"/>
              <w:left w:w="15" w:type="dxa"/>
              <w:right w:w="15" w:type="dxa"/>
            </w:tcMar>
            <w:vAlign w:val="center"/>
          </w:tcPr>
          <w:p w14:paraId="74F24289">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b/>
                <w:color w:val="auto"/>
              </w:rPr>
            </w:pPr>
            <w:r>
              <w:rPr>
                <w:rFonts w:hint="default" w:ascii="Times New Roman" w:hAnsi="Times New Roman" w:cs="Times New Roman"/>
                <w:b/>
                <w:color w:val="auto"/>
              </w:rPr>
              <w:t>保护对象</w:t>
            </w:r>
          </w:p>
        </w:tc>
        <w:tc>
          <w:tcPr>
            <w:tcW w:w="2037" w:type="dxa"/>
            <w:vMerge w:val="restart"/>
            <w:noWrap w:val="0"/>
            <w:tcMar>
              <w:top w:w="15" w:type="dxa"/>
              <w:left w:w="15" w:type="dxa"/>
              <w:right w:w="15" w:type="dxa"/>
            </w:tcMar>
            <w:vAlign w:val="center"/>
          </w:tcPr>
          <w:p w14:paraId="176C4E5C">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b/>
                <w:color w:val="auto"/>
              </w:rPr>
            </w:pPr>
            <w:r>
              <w:rPr>
                <w:rFonts w:hint="default" w:ascii="Times New Roman" w:hAnsi="Times New Roman" w:cs="Times New Roman"/>
                <w:b/>
                <w:color w:val="auto"/>
              </w:rPr>
              <w:t>保护内容</w:t>
            </w:r>
          </w:p>
        </w:tc>
        <w:tc>
          <w:tcPr>
            <w:tcW w:w="2975" w:type="dxa"/>
            <w:vMerge w:val="restart"/>
            <w:noWrap w:val="0"/>
            <w:tcMar>
              <w:top w:w="15" w:type="dxa"/>
              <w:left w:w="15" w:type="dxa"/>
              <w:right w:w="15" w:type="dxa"/>
            </w:tcMar>
            <w:vAlign w:val="center"/>
          </w:tcPr>
          <w:p w14:paraId="228FC18D">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b/>
                <w:color w:val="auto"/>
              </w:rPr>
            </w:pPr>
            <w:r>
              <w:rPr>
                <w:rFonts w:hint="default" w:ascii="Times New Roman" w:hAnsi="Times New Roman" w:cs="Times New Roman"/>
                <w:b/>
                <w:color w:val="auto"/>
              </w:rPr>
              <w:t>环境功能区</w:t>
            </w:r>
          </w:p>
        </w:tc>
        <w:tc>
          <w:tcPr>
            <w:tcW w:w="1201" w:type="dxa"/>
            <w:vMerge w:val="restart"/>
            <w:noWrap w:val="0"/>
            <w:tcMar>
              <w:top w:w="15" w:type="dxa"/>
              <w:left w:w="15" w:type="dxa"/>
              <w:right w:w="15" w:type="dxa"/>
            </w:tcMar>
            <w:vAlign w:val="center"/>
          </w:tcPr>
          <w:p w14:paraId="16ECF531">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b/>
                <w:color w:val="auto"/>
              </w:rPr>
            </w:pPr>
            <w:r>
              <w:rPr>
                <w:rFonts w:hint="default" w:ascii="Times New Roman" w:hAnsi="Times New Roman" w:cs="Times New Roman"/>
                <w:b/>
                <w:color w:val="auto"/>
              </w:rPr>
              <w:t>相对厂址方位</w:t>
            </w:r>
          </w:p>
        </w:tc>
        <w:tc>
          <w:tcPr>
            <w:tcW w:w="1502" w:type="dxa"/>
            <w:vMerge w:val="restart"/>
            <w:noWrap w:val="0"/>
            <w:tcMar>
              <w:top w:w="15" w:type="dxa"/>
              <w:left w:w="15" w:type="dxa"/>
              <w:right w:w="15" w:type="dxa"/>
            </w:tcMar>
            <w:vAlign w:val="center"/>
          </w:tcPr>
          <w:p w14:paraId="0D2F2777">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b/>
                <w:color w:val="auto"/>
              </w:rPr>
            </w:pPr>
            <w:r>
              <w:rPr>
                <w:rFonts w:hint="default" w:ascii="Times New Roman" w:hAnsi="Times New Roman" w:cs="Times New Roman"/>
                <w:b/>
                <w:color w:val="auto"/>
              </w:rPr>
              <w:t>相对厂界</w:t>
            </w:r>
            <w:r>
              <w:rPr>
                <w:rFonts w:hint="eastAsia" w:cs="Times New Roman"/>
                <w:b/>
                <w:color w:val="auto"/>
                <w:lang w:eastAsia="zh-CN"/>
              </w:rPr>
              <w:t>（</w:t>
            </w:r>
            <w:r>
              <w:rPr>
                <w:rFonts w:hint="eastAsia" w:cs="Times New Roman"/>
                <w:b/>
                <w:color w:val="auto"/>
                <w:lang w:val="en-US" w:eastAsia="zh-CN"/>
              </w:rPr>
              <w:t>港池</w:t>
            </w:r>
            <w:r>
              <w:rPr>
                <w:rFonts w:hint="eastAsia" w:cs="Times New Roman"/>
                <w:b/>
                <w:color w:val="auto"/>
                <w:lang w:eastAsia="zh-CN"/>
              </w:rPr>
              <w:t>）</w:t>
            </w:r>
            <w:r>
              <w:rPr>
                <w:rFonts w:hint="default" w:ascii="Times New Roman" w:hAnsi="Times New Roman" w:cs="Times New Roman"/>
                <w:b/>
                <w:color w:val="auto"/>
              </w:rPr>
              <w:t>距离/m</w:t>
            </w:r>
          </w:p>
        </w:tc>
      </w:tr>
      <w:tr w14:paraId="5150D5D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continue"/>
            <w:noWrap w:val="0"/>
            <w:tcMar>
              <w:top w:w="15" w:type="dxa"/>
              <w:left w:w="15" w:type="dxa"/>
              <w:right w:w="15" w:type="dxa"/>
            </w:tcMar>
            <w:vAlign w:val="center"/>
          </w:tcPr>
          <w:p w14:paraId="4B39161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vMerge w:val="continue"/>
            <w:noWrap w:val="0"/>
            <w:tcMar>
              <w:top w:w="15" w:type="dxa"/>
              <w:left w:w="15" w:type="dxa"/>
              <w:right w:w="15" w:type="dxa"/>
            </w:tcMar>
            <w:vAlign w:val="center"/>
          </w:tcPr>
          <w:p w14:paraId="27BEB5C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994" w:type="dxa"/>
            <w:noWrap w:val="0"/>
            <w:tcMar>
              <w:top w:w="15" w:type="dxa"/>
              <w:left w:w="15" w:type="dxa"/>
              <w:right w:w="15" w:type="dxa"/>
            </w:tcMar>
            <w:vAlign w:val="center"/>
          </w:tcPr>
          <w:p w14:paraId="4D9AE1F2">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b/>
                <w:bCs/>
                <w:color w:val="auto"/>
              </w:rPr>
            </w:pPr>
            <w:r>
              <w:rPr>
                <w:rFonts w:hint="default" w:ascii="Times New Roman" w:hAnsi="Times New Roman" w:cs="Times New Roman"/>
                <w:b/>
                <w:bCs/>
                <w:color w:val="auto"/>
                <w:kern w:val="0"/>
              </w:rPr>
              <w:t>X</w:t>
            </w:r>
          </w:p>
        </w:tc>
        <w:tc>
          <w:tcPr>
            <w:tcW w:w="850" w:type="dxa"/>
            <w:noWrap w:val="0"/>
            <w:tcMar>
              <w:top w:w="15" w:type="dxa"/>
              <w:left w:w="15" w:type="dxa"/>
              <w:right w:w="15" w:type="dxa"/>
            </w:tcMar>
            <w:vAlign w:val="center"/>
          </w:tcPr>
          <w:p w14:paraId="2D27DC1A">
            <w:pPr>
              <w:keepNext w:val="0"/>
              <w:keepLines w:val="0"/>
              <w:suppressLineNumbers w:val="0"/>
              <w:adjustRightInd w:val="0"/>
              <w:snapToGrid w:val="0"/>
              <w:spacing w:before="0" w:beforeAutospacing="0" w:after="0" w:afterAutospacing="0" w:line="240" w:lineRule="auto"/>
              <w:ind w:left="0" w:right="0"/>
              <w:jc w:val="center"/>
              <w:textAlignment w:val="center"/>
              <w:rPr>
                <w:rFonts w:hint="default" w:ascii="Times New Roman" w:hAnsi="Times New Roman" w:cs="Times New Roman"/>
                <w:b/>
                <w:bCs/>
                <w:color w:val="auto"/>
              </w:rPr>
            </w:pPr>
            <w:r>
              <w:rPr>
                <w:rFonts w:hint="default" w:ascii="Times New Roman" w:hAnsi="Times New Roman" w:cs="Times New Roman"/>
                <w:b/>
                <w:bCs/>
                <w:color w:val="auto"/>
                <w:kern w:val="0"/>
              </w:rPr>
              <w:t>Y</w:t>
            </w:r>
          </w:p>
        </w:tc>
        <w:tc>
          <w:tcPr>
            <w:tcW w:w="1342" w:type="dxa"/>
            <w:vMerge w:val="continue"/>
            <w:noWrap w:val="0"/>
            <w:tcMar>
              <w:top w:w="15" w:type="dxa"/>
              <w:left w:w="15" w:type="dxa"/>
              <w:right w:w="15" w:type="dxa"/>
            </w:tcMar>
            <w:vAlign w:val="center"/>
          </w:tcPr>
          <w:p w14:paraId="78B4E08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37" w:type="dxa"/>
            <w:vMerge w:val="continue"/>
            <w:noWrap w:val="0"/>
            <w:tcMar>
              <w:top w:w="15" w:type="dxa"/>
              <w:left w:w="15" w:type="dxa"/>
              <w:right w:w="15" w:type="dxa"/>
            </w:tcMar>
            <w:vAlign w:val="center"/>
          </w:tcPr>
          <w:p w14:paraId="610D031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975" w:type="dxa"/>
            <w:vMerge w:val="continue"/>
            <w:noWrap w:val="0"/>
            <w:tcMar>
              <w:top w:w="15" w:type="dxa"/>
              <w:left w:w="15" w:type="dxa"/>
              <w:right w:w="15" w:type="dxa"/>
            </w:tcMar>
            <w:vAlign w:val="center"/>
          </w:tcPr>
          <w:p w14:paraId="0CC048F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vMerge w:val="continue"/>
            <w:noWrap w:val="0"/>
            <w:tcMar>
              <w:top w:w="15" w:type="dxa"/>
              <w:left w:w="15" w:type="dxa"/>
              <w:right w:w="15" w:type="dxa"/>
            </w:tcMar>
            <w:vAlign w:val="center"/>
          </w:tcPr>
          <w:p w14:paraId="7E26E53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502" w:type="dxa"/>
            <w:vMerge w:val="continue"/>
            <w:noWrap w:val="0"/>
            <w:tcMar>
              <w:top w:w="15" w:type="dxa"/>
              <w:left w:w="15" w:type="dxa"/>
              <w:right w:w="15" w:type="dxa"/>
            </w:tcMar>
            <w:vAlign w:val="center"/>
          </w:tcPr>
          <w:p w14:paraId="17D0CC4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r>
      <w:tr w14:paraId="259F1DB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restart"/>
            <w:noWrap w:val="0"/>
            <w:tcMar>
              <w:top w:w="15" w:type="dxa"/>
              <w:left w:w="15" w:type="dxa"/>
              <w:right w:w="15" w:type="dxa"/>
            </w:tcMar>
            <w:vAlign w:val="center"/>
          </w:tcPr>
          <w:p w14:paraId="07C316B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default" w:ascii="Times New Roman" w:hAnsi="Times New Roman" w:cs="Times New Roman"/>
                <w:color w:val="auto"/>
              </w:rPr>
              <w:t>大气环境</w:t>
            </w:r>
          </w:p>
        </w:tc>
        <w:tc>
          <w:tcPr>
            <w:tcW w:w="2082" w:type="dxa"/>
            <w:noWrap w:val="0"/>
            <w:tcMar>
              <w:top w:w="15" w:type="dxa"/>
              <w:left w:w="15" w:type="dxa"/>
              <w:right w:w="15" w:type="dxa"/>
            </w:tcMar>
            <w:vAlign w:val="center"/>
          </w:tcPr>
          <w:p w14:paraId="6F96459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滨河新城</w:t>
            </w:r>
          </w:p>
        </w:tc>
        <w:tc>
          <w:tcPr>
            <w:tcW w:w="994" w:type="dxa"/>
            <w:noWrap w:val="0"/>
            <w:tcMar>
              <w:top w:w="15" w:type="dxa"/>
              <w:left w:w="15" w:type="dxa"/>
              <w:right w:w="15" w:type="dxa"/>
            </w:tcMar>
            <w:vAlign w:val="center"/>
          </w:tcPr>
          <w:p w14:paraId="3A373131">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1616 </w:t>
            </w:r>
          </w:p>
        </w:tc>
        <w:tc>
          <w:tcPr>
            <w:tcW w:w="850" w:type="dxa"/>
            <w:noWrap w:val="0"/>
            <w:tcMar>
              <w:top w:w="15" w:type="dxa"/>
              <w:left w:w="15" w:type="dxa"/>
              <w:right w:w="15" w:type="dxa"/>
            </w:tcMar>
            <w:vAlign w:val="center"/>
          </w:tcPr>
          <w:p w14:paraId="4F8B6099">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1752 </w:t>
            </w:r>
          </w:p>
        </w:tc>
        <w:tc>
          <w:tcPr>
            <w:tcW w:w="1342" w:type="dxa"/>
            <w:noWrap w:val="0"/>
            <w:tcMar>
              <w:top w:w="15" w:type="dxa"/>
              <w:left w:w="15" w:type="dxa"/>
              <w:right w:w="15" w:type="dxa"/>
            </w:tcMar>
            <w:vAlign w:val="center"/>
          </w:tcPr>
          <w:p w14:paraId="47017078">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tcMar>
              <w:top w:w="15" w:type="dxa"/>
              <w:left w:w="15" w:type="dxa"/>
              <w:right w:w="15" w:type="dxa"/>
            </w:tcMar>
            <w:vAlign w:val="center"/>
          </w:tcPr>
          <w:p w14:paraId="1CB26784">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约1000人</w:t>
            </w:r>
          </w:p>
        </w:tc>
        <w:tc>
          <w:tcPr>
            <w:tcW w:w="2975" w:type="dxa"/>
            <w:vMerge w:val="restart"/>
            <w:noWrap w:val="0"/>
            <w:tcMar>
              <w:top w:w="15" w:type="dxa"/>
              <w:left w:w="15" w:type="dxa"/>
              <w:right w:w="15" w:type="dxa"/>
            </w:tcMar>
            <w:vAlign w:val="center"/>
          </w:tcPr>
          <w:p w14:paraId="01C1AB1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default" w:ascii="Times New Roman" w:hAnsi="Times New Roman" w:cs="Times New Roman"/>
                <w:color w:val="auto"/>
              </w:rPr>
              <w:t>《环境空气质量标准》（</w:t>
            </w:r>
            <w:r>
              <w:rPr>
                <w:rFonts w:hint="eastAsia" w:cs="Times New Roman"/>
                <w:color w:val="auto"/>
                <w:lang w:eastAsia="zh-CN"/>
              </w:rPr>
              <w:t>GB 3095-2026</w:t>
            </w:r>
            <w:r>
              <w:rPr>
                <w:rFonts w:hint="default" w:ascii="Times New Roman" w:hAnsi="Times New Roman" w:cs="Times New Roman"/>
                <w:color w:val="auto"/>
              </w:rPr>
              <w:t>）中的二级标准</w:t>
            </w:r>
          </w:p>
        </w:tc>
        <w:tc>
          <w:tcPr>
            <w:tcW w:w="1201" w:type="dxa"/>
            <w:noWrap w:val="0"/>
            <w:tcMar>
              <w:top w:w="15" w:type="dxa"/>
              <w:left w:w="15" w:type="dxa"/>
              <w:right w:w="15" w:type="dxa"/>
            </w:tcMar>
            <w:vAlign w:val="center"/>
          </w:tcPr>
          <w:p w14:paraId="0BDBD79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NE</w:t>
            </w:r>
          </w:p>
        </w:tc>
        <w:tc>
          <w:tcPr>
            <w:tcW w:w="1502" w:type="dxa"/>
            <w:noWrap w:val="0"/>
            <w:tcMar>
              <w:top w:w="15" w:type="dxa"/>
              <w:left w:w="15" w:type="dxa"/>
              <w:right w:w="15" w:type="dxa"/>
            </w:tcMar>
            <w:vAlign w:val="center"/>
          </w:tcPr>
          <w:p w14:paraId="67C1E6F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default" w:ascii="Times New Roman" w:hAnsi="Times New Roman" w:cs="Times New Roman"/>
                <w:color w:val="auto"/>
              </w:rPr>
              <w:t>2241</w:t>
            </w:r>
            <w:r>
              <w:rPr>
                <w:rFonts w:hint="eastAsia" w:ascii="Times New Roman" w:hAnsi="Times New Roman" w:cs="Times New Roman"/>
                <w:color w:val="auto"/>
              </w:rPr>
              <w:t xml:space="preserve"> </w:t>
            </w:r>
          </w:p>
        </w:tc>
      </w:tr>
      <w:tr w14:paraId="30A5D41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continue"/>
            <w:noWrap w:val="0"/>
            <w:vAlign w:val="center"/>
          </w:tcPr>
          <w:p w14:paraId="0BA1089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682F67D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滨河新村公租房</w:t>
            </w:r>
          </w:p>
        </w:tc>
        <w:tc>
          <w:tcPr>
            <w:tcW w:w="994" w:type="dxa"/>
            <w:noWrap w:val="0"/>
            <w:vAlign w:val="center"/>
          </w:tcPr>
          <w:p w14:paraId="60A5D843">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1094 </w:t>
            </w:r>
          </w:p>
        </w:tc>
        <w:tc>
          <w:tcPr>
            <w:tcW w:w="850" w:type="dxa"/>
            <w:noWrap w:val="0"/>
            <w:vAlign w:val="center"/>
          </w:tcPr>
          <w:p w14:paraId="14A831BB">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2316 </w:t>
            </w:r>
          </w:p>
        </w:tc>
        <w:tc>
          <w:tcPr>
            <w:tcW w:w="1342" w:type="dxa"/>
            <w:noWrap w:val="0"/>
            <w:vAlign w:val="center"/>
          </w:tcPr>
          <w:p w14:paraId="096A688F">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775C0A3E">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约300人</w:t>
            </w:r>
          </w:p>
        </w:tc>
        <w:tc>
          <w:tcPr>
            <w:tcW w:w="2975" w:type="dxa"/>
            <w:vMerge w:val="continue"/>
            <w:noWrap w:val="0"/>
            <w:vAlign w:val="center"/>
          </w:tcPr>
          <w:p w14:paraId="6C0E567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78027DC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NE</w:t>
            </w:r>
          </w:p>
        </w:tc>
        <w:tc>
          <w:tcPr>
            <w:tcW w:w="1502" w:type="dxa"/>
            <w:noWrap w:val="0"/>
            <w:vAlign w:val="center"/>
          </w:tcPr>
          <w:p w14:paraId="6BD3BD7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default" w:ascii="Times New Roman" w:hAnsi="Times New Roman" w:cs="Times New Roman"/>
                <w:color w:val="auto"/>
              </w:rPr>
              <w:t>2446</w:t>
            </w:r>
            <w:r>
              <w:rPr>
                <w:rFonts w:hint="eastAsia" w:ascii="Times New Roman" w:hAnsi="Times New Roman" w:cs="Times New Roman"/>
                <w:color w:val="auto"/>
              </w:rPr>
              <w:t xml:space="preserve"> </w:t>
            </w:r>
          </w:p>
        </w:tc>
      </w:tr>
      <w:tr w14:paraId="26074D0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PrEx>
        <w:trPr>
          <w:trHeight w:val="198" w:hRule="atLeast"/>
          <w:jc w:val="center"/>
        </w:trPr>
        <w:tc>
          <w:tcPr>
            <w:tcW w:w="1049" w:type="dxa"/>
            <w:vMerge w:val="continue"/>
            <w:noWrap w:val="0"/>
            <w:vAlign w:val="center"/>
          </w:tcPr>
          <w:p w14:paraId="6DA43CF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6F2D287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顾郢孜</w:t>
            </w:r>
          </w:p>
        </w:tc>
        <w:tc>
          <w:tcPr>
            <w:tcW w:w="994" w:type="dxa"/>
            <w:noWrap w:val="0"/>
            <w:vAlign w:val="center"/>
          </w:tcPr>
          <w:p w14:paraId="506C9EB4">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1213 </w:t>
            </w:r>
          </w:p>
        </w:tc>
        <w:tc>
          <w:tcPr>
            <w:tcW w:w="850" w:type="dxa"/>
            <w:noWrap w:val="0"/>
            <w:vAlign w:val="center"/>
          </w:tcPr>
          <w:p w14:paraId="68BF8BB5">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1640 </w:t>
            </w:r>
          </w:p>
        </w:tc>
        <w:tc>
          <w:tcPr>
            <w:tcW w:w="1342" w:type="dxa"/>
            <w:noWrap w:val="0"/>
            <w:vAlign w:val="center"/>
          </w:tcPr>
          <w:p w14:paraId="0B2E4ABC">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57F90D5E">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约300人</w:t>
            </w:r>
          </w:p>
        </w:tc>
        <w:tc>
          <w:tcPr>
            <w:tcW w:w="2975" w:type="dxa"/>
            <w:vMerge w:val="continue"/>
            <w:noWrap w:val="0"/>
            <w:vAlign w:val="center"/>
          </w:tcPr>
          <w:p w14:paraId="5A346E7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215C389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NE</w:t>
            </w:r>
          </w:p>
        </w:tc>
        <w:tc>
          <w:tcPr>
            <w:tcW w:w="1502" w:type="dxa"/>
            <w:noWrap w:val="0"/>
            <w:vAlign w:val="center"/>
          </w:tcPr>
          <w:p w14:paraId="0C90511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default" w:ascii="Times New Roman" w:hAnsi="Times New Roman" w:cs="Times New Roman"/>
                <w:color w:val="auto"/>
              </w:rPr>
              <w:t>1903</w:t>
            </w:r>
            <w:r>
              <w:rPr>
                <w:rFonts w:hint="eastAsia" w:ascii="Times New Roman" w:hAnsi="Times New Roman" w:cs="Times New Roman"/>
                <w:color w:val="auto"/>
              </w:rPr>
              <w:t xml:space="preserve"> </w:t>
            </w:r>
          </w:p>
        </w:tc>
      </w:tr>
      <w:tr w14:paraId="6DC0510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continue"/>
            <w:noWrap w:val="0"/>
            <w:vAlign w:val="center"/>
          </w:tcPr>
          <w:p w14:paraId="0A39340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45A517B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门朝东</w:t>
            </w:r>
          </w:p>
        </w:tc>
        <w:tc>
          <w:tcPr>
            <w:tcW w:w="994" w:type="dxa"/>
            <w:noWrap w:val="0"/>
            <w:vAlign w:val="center"/>
          </w:tcPr>
          <w:p w14:paraId="64E56C2A">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1840 </w:t>
            </w:r>
          </w:p>
        </w:tc>
        <w:tc>
          <w:tcPr>
            <w:tcW w:w="850" w:type="dxa"/>
            <w:noWrap w:val="0"/>
            <w:vAlign w:val="center"/>
          </w:tcPr>
          <w:p w14:paraId="100C43B0">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2229 </w:t>
            </w:r>
          </w:p>
        </w:tc>
        <w:tc>
          <w:tcPr>
            <w:tcW w:w="1342" w:type="dxa"/>
            <w:noWrap w:val="0"/>
            <w:vAlign w:val="center"/>
          </w:tcPr>
          <w:p w14:paraId="1432F2D7">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427BF5E3">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约150人</w:t>
            </w:r>
          </w:p>
        </w:tc>
        <w:tc>
          <w:tcPr>
            <w:tcW w:w="2975" w:type="dxa"/>
            <w:vMerge w:val="continue"/>
            <w:noWrap w:val="0"/>
            <w:vAlign w:val="center"/>
          </w:tcPr>
          <w:p w14:paraId="37C2D7F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5834FD9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NE</w:t>
            </w:r>
          </w:p>
        </w:tc>
        <w:tc>
          <w:tcPr>
            <w:tcW w:w="1502" w:type="dxa"/>
            <w:noWrap w:val="0"/>
            <w:vAlign w:val="center"/>
          </w:tcPr>
          <w:p w14:paraId="5A6BF9F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default" w:ascii="Times New Roman" w:hAnsi="Times New Roman" w:cs="Times New Roman"/>
                <w:color w:val="auto"/>
              </w:rPr>
              <w:t>2775</w:t>
            </w:r>
          </w:p>
        </w:tc>
      </w:tr>
      <w:tr w14:paraId="1D25F3EB">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continue"/>
            <w:noWrap w:val="0"/>
            <w:vAlign w:val="center"/>
          </w:tcPr>
          <w:p w14:paraId="1FD793B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6682282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平圩镇生活集聚区</w:t>
            </w:r>
          </w:p>
        </w:tc>
        <w:tc>
          <w:tcPr>
            <w:tcW w:w="994" w:type="dxa"/>
            <w:noWrap w:val="0"/>
            <w:vAlign w:val="center"/>
          </w:tcPr>
          <w:p w14:paraId="24815B56">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1339 </w:t>
            </w:r>
          </w:p>
        </w:tc>
        <w:tc>
          <w:tcPr>
            <w:tcW w:w="850" w:type="dxa"/>
            <w:noWrap w:val="0"/>
            <w:vAlign w:val="center"/>
          </w:tcPr>
          <w:p w14:paraId="08944F49">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1518 </w:t>
            </w:r>
          </w:p>
        </w:tc>
        <w:tc>
          <w:tcPr>
            <w:tcW w:w="1342" w:type="dxa"/>
            <w:noWrap w:val="0"/>
            <w:vAlign w:val="center"/>
          </w:tcPr>
          <w:p w14:paraId="3CC271A9">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2F3FC26A">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约2000人</w:t>
            </w:r>
          </w:p>
        </w:tc>
        <w:tc>
          <w:tcPr>
            <w:tcW w:w="2975" w:type="dxa"/>
            <w:vMerge w:val="continue"/>
            <w:noWrap w:val="0"/>
            <w:vAlign w:val="center"/>
          </w:tcPr>
          <w:p w14:paraId="4CE9337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0CED185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NE</w:t>
            </w:r>
          </w:p>
        </w:tc>
        <w:tc>
          <w:tcPr>
            <w:tcW w:w="1502" w:type="dxa"/>
            <w:noWrap w:val="0"/>
            <w:vAlign w:val="center"/>
          </w:tcPr>
          <w:p w14:paraId="56D471F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default" w:ascii="Times New Roman" w:hAnsi="Times New Roman" w:cs="Times New Roman"/>
                <w:color w:val="auto"/>
              </w:rPr>
              <w:t>904</w:t>
            </w:r>
            <w:r>
              <w:rPr>
                <w:rFonts w:hint="eastAsia" w:ascii="Times New Roman" w:hAnsi="Times New Roman" w:cs="Times New Roman"/>
                <w:color w:val="auto"/>
              </w:rPr>
              <w:t xml:space="preserve"> </w:t>
            </w:r>
          </w:p>
        </w:tc>
      </w:tr>
      <w:tr w14:paraId="482FB12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continue"/>
            <w:noWrap w:val="0"/>
            <w:vAlign w:val="center"/>
          </w:tcPr>
          <w:p w14:paraId="16018F1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49C5253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王小郢孜</w:t>
            </w:r>
          </w:p>
        </w:tc>
        <w:tc>
          <w:tcPr>
            <w:tcW w:w="994" w:type="dxa"/>
            <w:noWrap w:val="0"/>
            <w:vAlign w:val="center"/>
          </w:tcPr>
          <w:p w14:paraId="6223DC28">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1496 </w:t>
            </w:r>
          </w:p>
        </w:tc>
        <w:tc>
          <w:tcPr>
            <w:tcW w:w="850" w:type="dxa"/>
            <w:noWrap w:val="0"/>
            <w:vAlign w:val="center"/>
          </w:tcPr>
          <w:p w14:paraId="350CF9B2">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503 </w:t>
            </w:r>
          </w:p>
        </w:tc>
        <w:tc>
          <w:tcPr>
            <w:tcW w:w="1342" w:type="dxa"/>
            <w:noWrap w:val="0"/>
            <w:vAlign w:val="center"/>
          </w:tcPr>
          <w:p w14:paraId="39C3DFD4">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1F738A91">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约546人</w:t>
            </w:r>
          </w:p>
        </w:tc>
        <w:tc>
          <w:tcPr>
            <w:tcW w:w="2975" w:type="dxa"/>
            <w:vMerge w:val="continue"/>
            <w:noWrap w:val="0"/>
            <w:vAlign w:val="center"/>
          </w:tcPr>
          <w:p w14:paraId="7F43C94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5B6F7FB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NE</w:t>
            </w:r>
          </w:p>
        </w:tc>
        <w:tc>
          <w:tcPr>
            <w:tcW w:w="1502" w:type="dxa"/>
            <w:noWrap w:val="0"/>
            <w:vAlign w:val="center"/>
          </w:tcPr>
          <w:p w14:paraId="29E3A9E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default" w:ascii="Times New Roman" w:hAnsi="Times New Roman" w:cs="Times New Roman"/>
                <w:color w:val="auto"/>
              </w:rPr>
              <w:t>1226</w:t>
            </w:r>
            <w:r>
              <w:rPr>
                <w:rFonts w:hint="eastAsia" w:ascii="Times New Roman" w:hAnsi="Times New Roman" w:cs="Times New Roman"/>
                <w:color w:val="auto"/>
              </w:rPr>
              <w:t xml:space="preserve"> </w:t>
            </w:r>
          </w:p>
        </w:tc>
      </w:tr>
      <w:tr w14:paraId="55D015D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continue"/>
            <w:noWrap w:val="0"/>
            <w:vAlign w:val="center"/>
          </w:tcPr>
          <w:p w14:paraId="4E7811F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6BC2EFD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松林村</w:t>
            </w:r>
          </w:p>
        </w:tc>
        <w:tc>
          <w:tcPr>
            <w:tcW w:w="994" w:type="dxa"/>
            <w:noWrap w:val="0"/>
            <w:vAlign w:val="center"/>
          </w:tcPr>
          <w:p w14:paraId="1DF31FF6">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859 </w:t>
            </w:r>
          </w:p>
        </w:tc>
        <w:tc>
          <w:tcPr>
            <w:tcW w:w="850" w:type="dxa"/>
            <w:noWrap w:val="0"/>
            <w:vAlign w:val="center"/>
          </w:tcPr>
          <w:p w14:paraId="198380CE">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576 </w:t>
            </w:r>
          </w:p>
        </w:tc>
        <w:tc>
          <w:tcPr>
            <w:tcW w:w="1342" w:type="dxa"/>
            <w:noWrap w:val="0"/>
            <w:vAlign w:val="center"/>
          </w:tcPr>
          <w:p w14:paraId="2F8E7F6F">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014DF4A6">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约144人</w:t>
            </w:r>
          </w:p>
        </w:tc>
        <w:tc>
          <w:tcPr>
            <w:tcW w:w="2975" w:type="dxa"/>
            <w:vMerge w:val="continue"/>
            <w:noWrap w:val="0"/>
            <w:vAlign w:val="center"/>
          </w:tcPr>
          <w:p w14:paraId="1FD3673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326AE24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NE</w:t>
            </w:r>
          </w:p>
        </w:tc>
        <w:tc>
          <w:tcPr>
            <w:tcW w:w="1502" w:type="dxa"/>
            <w:noWrap w:val="0"/>
            <w:vAlign w:val="center"/>
          </w:tcPr>
          <w:p w14:paraId="754D07E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default" w:ascii="Times New Roman" w:hAnsi="Times New Roman" w:cs="Times New Roman"/>
                <w:color w:val="auto"/>
              </w:rPr>
              <w:t>879</w:t>
            </w:r>
          </w:p>
        </w:tc>
      </w:tr>
      <w:tr w14:paraId="1530187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continue"/>
            <w:noWrap w:val="0"/>
            <w:vAlign w:val="center"/>
          </w:tcPr>
          <w:p w14:paraId="7AF7282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43B980F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邓家岗</w:t>
            </w:r>
          </w:p>
        </w:tc>
        <w:tc>
          <w:tcPr>
            <w:tcW w:w="994" w:type="dxa"/>
            <w:noWrap w:val="0"/>
            <w:vAlign w:val="center"/>
          </w:tcPr>
          <w:p w14:paraId="2ABC446B">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725 </w:t>
            </w:r>
          </w:p>
        </w:tc>
        <w:tc>
          <w:tcPr>
            <w:tcW w:w="850" w:type="dxa"/>
            <w:noWrap w:val="0"/>
            <w:vAlign w:val="center"/>
          </w:tcPr>
          <w:p w14:paraId="08637A4C">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147 </w:t>
            </w:r>
          </w:p>
        </w:tc>
        <w:tc>
          <w:tcPr>
            <w:tcW w:w="1342" w:type="dxa"/>
            <w:noWrap w:val="0"/>
            <w:vAlign w:val="center"/>
          </w:tcPr>
          <w:p w14:paraId="3A547269">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69B49486">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约282人</w:t>
            </w:r>
          </w:p>
        </w:tc>
        <w:tc>
          <w:tcPr>
            <w:tcW w:w="2975" w:type="dxa"/>
            <w:vMerge w:val="continue"/>
            <w:noWrap w:val="0"/>
            <w:vAlign w:val="center"/>
          </w:tcPr>
          <w:p w14:paraId="20BC914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384E6E5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NE</w:t>
            </w:r>
          </w:p>
        </w:tc>
        <w:tc>
          <w:tcPr>
            <w:tcW w:w="1502" w:type="dxa"/>
            <w:noWrap w:val="0"/>
            <w:vAlign w:val="center"/>
          </w:tcPr>
          <w:p w14:paraId="4A49793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default" w:ascii="Times New Roman" w:hAnsi="Times New Roman" w:cs="Times New Roman"/>
                <w:color w:val="auto"/>
              </w:rPr>
              <w:t>595</w:t>
            </w:r>
          </w:p>
        </w:tc>
      </w:tr>
      <w:tr w14:paraId="64057FDF">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continue"/>
            <w:noWrap w:val="0"/>
            <w:vAlign w:val="center"/>
          </w:tcPr>
          <w:p w14:paraId="5218931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5E6746A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店集村</w:t>
            </w:r>
          </w:p>
        </w:tc>
        <w:tc>
          <w:tcPr>
            <w:tcW w:w="994" w:type="dxa"/>
            <w:noWrap w:val="0"/>
            <w:vAlign w:val="center"/>
          </w:tcPr>
          <w:p w14:paraId="2B910E80">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422 </w:t>
            </w:r>
          </w:p>
        </w:tc>
        <w:tc>
          <w:tcPr>
            <w:tcW w:w="850" w:type="dxa"/>
            <w:noWrap w:val="0"/>
            <w:vAlign w:val="center"/>
          </w:tcPr>
          <w:p w14:paraId="67EB1CBD">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340 </w:t>
            </w:r>
          </w:p>
        </w:tc>
        <w:tc>
          <w:tcPr>
            <w:tcW w:w="1342" w:type="dxa"/>
            <w:noWrap w:val="0"/>
            <w:vAlign w:val="center"/>
          </w:tcPr>
          <w:p w14:paraId="208C8837">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2F8D628C">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约256人</w:t>
            </w:r>
          </w:p>
        </w:tc>
        <w:tc>
          <w:tcPr>
            <w:tcW w:w="2975" w:type="dxa"/>
            <w:vMerge w:val="continue"/>
            <w:noWrap w:val="0"/>
            <w:vAlign w:val="center"/>
          </w:tcPr>
          <w:p w14:paraId="11229F8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18E35D2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eastAsia" w:ascii="Times New Roman" w:hAnsi="Times New Roman" w:cs="Times New Roman"/>
                <w:color w:val="auto"/>
              </w:rPr>
              <w:t>NE</w:t>
            </w:r>
          </w:p>
        </w:tc>
        <w:tc>
          <w:tcPr>
            <w:tcW w:w="1502" w:type="dxa"/>
            <w:noWrap w:val="0"/>
            <w:vAlign w:val="center"/>
          </w:tcPr>
          <w:p w14:paraId="2B19369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r>
              <w:rPr>
                <w:rFonts w:hint="default" w:ascii="Times New Roman" w:hAnsi="Times New Roman" w:cs="Times New Roman"/>
                <w:color w:val="auto"/>
              </w:rPr>
              <w:t>390</w:t>
            </w:r>
            <w:r>
              <w:rPr>
                <w:rFonts w:hint="eastAsia" w:ascii="Times New Roman" w:hAnsi="Times New Roman" w:cs="Times New Roman"/>
                <w:color w:val="auto"/>
              </w:rPr>
              <w:t xml:space="preserve"> </w:t>
            </w:r>
          </w:p>
        </w:tc>
      </w:tr>
      <w:tr w14:paraId="3CD9988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continue"/>
            <w:noWrap w:val="0"/>
            <w:vAlign w:val="center"/>
          </w:tcPr>
          <w:p w14:paraId="1CBEA7D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26420DDC">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陶郢孜</w:t>
            </w:r>
          </w:p>
        </w:tc>
        <w:tc>
          <w:tcPr>
            <w:tcW w:w="994" w:type="dxa"/>
            <w:noWrap w:val="0"/>
            <w:vAlign w:val="center"/>
          </w:tcPr>
          <w:p w14:paraId="09BC8DF3">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182 </w:t>
            </w:r>
          </w:p>
        </w:tc>
        <w:tc>
          <w:tcPr>
            <w:tcW w:w="850" w:type="dxa"/>
            <w:noWrap w:val="0"/>
            <w:vAlign w:val="center"/>
          </w:tcPr>
          <w:p w14:paraId="4BED12D8">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164 </w:t>
            </w:r>
          </w:p>
        </w:tc>
        <w:tc>
          <w:tcPr>
            <w:tcW w:w="1342" w:type="dxa"/>
            <w:noWrap w:val="0"/>
            <w:vAlign w:val="center"/>
          </w:tcPr>
          <w:p w14:paraId="41DBC689">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7E758C31">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约486人</w:t>
            </w:r>
          </w:p>
        </w:tc>
        <w:tc>
          <w:tcPr>
            <w:tcW w:w="2975" w:type="dxa"/>
            <w:vMerge w:val="continue"/>
            <w:noWrap w:val="0"/>
            <w:vAlign w:val="center"/>
          </w:tcPr>
          <w:p w14:paraId="520843D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1591D682">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NE</w:t>
            </w:r>
          </w:p>
        </w:tc>
        <w:tc>
          <w:tcPr>
            <w:tcW w:w="1502" w:type="dxa"/>
            <w:noWrap w:val="0"/>
            <w:vAlign w:val="center"/>
          </w:tcPr>
          <w:p w14:paraId="026FE33A">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100</w:t>
            </w:r>
          </w:p>
        </w:tc>
      </w:tr>
      <w:tr w14:paraId="65BBE82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continue"/>
            <w:noWrap w:val="0"/>
            <w:vAlign w:val="center"/>
          </w:tcPr>
          <w:p w14:paraId="315809E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2386E435">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小孙家岗</w:t>
            </w:r>
          </w:p>
        </w:tc>
        <w:tc>
          <w:tcPr>
            <w:tcW w:w="994" w:type="dxa"/>
            <w:noWrap w:val="0"/>
            <w:vAlign w:val="center"/>
          </w:tcPr>
          <w:p w14:paraId="47A24043">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-216 </w:t>
            </w:r>
          </w:p>
        </w:tc>
        <w:tc>
          <w:tcPr>
            <w:tcW w:w="850" w:type="dxa"/>
            <w:noWrap w:val="0"/>
            <w:vAlign w:val="center"/>
          </w:tcPr>
          <w:p w14:paraId="11336790">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274 </w:t>
            </w:r>
          </w:p>
        </w:tc>
        <w:tc>
          <w:tcPr>
            <w:tcW w:w="1342" w:type="dxa"/>
            <w:noWrap w:val="0"/>
            <w:vAlign w:val="center"/>
          </w:tcPr>
          <w:p w14:paraId="1E6CA841">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6EF0EE70">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约416人</w:t>
            </w:r>
          </w:p>
        </w:tc>
        <w:tc>
          <w:tcPr>
            <w:tcW w:w="2975" w:type="dxa"/>
            <w:vMerge w:val="continue"/>
            <w:noWrap w:val="0"/>
            <w:vAlign w:val="center"/>
          </w:tcPr>
          <w:p w14:paraId="1B6ABBD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6D98A976">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NW</w:t>
            </w:r>
          </w:p>
        </w:tc>
        <w:tc>
          <w:tcPr>
            <w:tcW w:w="1502" w:type="dxa"/>
            <w:noWrap w:val="0"/>
            <w:vAlign w:val="center"/>
          </w:tcPr>
          <w:p w14:paraId="779FB289">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169</w:t>
            </w:r>
          </w:p>
        </w:tc>
      </w:tr>
      <w:tr w14:paraId="5D3C0399">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continue"/>
            <w:noWrap w:val="0"/>
            <w:vAlign w:val="center"/>
          </w:tcPr>
          <w:p w14:paraId="5300A34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1E06DC41">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丁郢村</w:t>
            </w:r>
          </w:p>
        </w:tc>
        <w:tc>
          <w:tcPr>
            <w:tcW w:w="994" w:type="dxa"/>
            <w:noWrap w:val="0"/>
            <w:vAlign w:val="center"/>
          </w:tcPr>
          <w:p w14:paraId="3AB7E35D">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-363 </w:t>
            </w:r>
          </w:p>
        </w:tc>
        <w:tc>
          <w:tcPr>
            <w:tcW w:w="850" w:type="dxa"/>
            <w:noWrap w:val="0"/>
            <w:vAlign w:val="center"/>
          </w:tcPr>
          <w:p w14:paraId="7D9F9187">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644 </w:t>
            </w:r>
          </w:p>
        </w:tc>
        <w:tc>
          <w:tcPr>
            <w:tcW w:w="1342" w:type="dxa"/>
            <w:noWrap w:val="0"/>
            <w:vAlign w:val="center"/>
          </w:tcPr>
          <w:p w14:paraId="31616219">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48FB066B">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约396人</w:t>
            </w:r>
          </w:p>
        </w:tc>
        <w:tc>
          <w:tcPr>
            <w:tcW w:w="2975" w:type="dxa"/>
            <w:vMerge w:val="continue"/>
            <w:noWrap w:val="0"/>
            <w:vAlign w:val="center"/>
          </w:tcPr>
          <w:p w14:paraId="02BBC7E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2E956426">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NW</w:t>
            </w:r>
          </w:p>
        </w:tc>
        <w:tc>
          <w:tcPr>
            <w:tcW w:w="1502" w:type="dxa"/>
            <w:noWrap w:val="0"/>
            <w:vAlign w:val="center"/>
          </w:tcPr>
          <w:p w14:paraId="18BD57E1">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547</w:t>
            </w:r>
            <w:r>
              <w:rPr>
                <w:rFonts w:hint="eastAsia" w:ascii="Times New Roman" w:hAnsi="Times New Roman" w:cs="Times New Roman"/>
                <w:color w:val="auto"/>
              </w:rPr>
              <w:t xml:space="preserve"> </w:t>
            </w:r>
          </w:p>
        </w:tc>
      </w:tr>
      <w:tr w14:paraId="212A9907">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continue"/>
            <w:noWrap w:val="0"/>
            <w:vAlign w:val="center"/>
          </w:tcPr>
          <w:p w14:paraId="0AF6732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6E451D0A">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谢圩村</w:t>
            </w:r>
          </w:p>
        </w:tc>
        <w:tc>
          <w:tcPr>
            <w:tcW w:w="994" w:type="dxa"/>
            <w:noWrap w:val="0"/>
            <w:vAlign w:val="center"/>
          </w:tcPr>
          <w:p w14:paraId="7E14ECD5">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-825 </w:t>
            </w:r>
          </w:p>
        </w:tc>
        <w:tc>
          <w:tcPr>
            <w:tcW w:w="850" w:type="dxa"/>
            <w:noWrap w:val="0"/>
            <w:vAlign w:val="center"/>
          </w:tcPr>
          <w:p w14:paraId="27969A2F">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395 </w:t>
            </w:r>
          </w:p>
        </w:tc>
        <w:tc>
          <w:tcPr>
            <w:tcW w:w="1342" w:type="dxa"/>
            <w:noWrap w:val="0"/>
            <w:vAlign w:val="center"/>
          </w:tcPr>
          <w:p w14:paraId="665FF19B">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120D51F7">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约429人</w:t>
            </w:r>
          </w:p>
        </w:tc>
        <w:tc>
          <w:tcPr>
            <w:tcW w:w="2975" w:type="dxa"/>
            <w:vMerge w:val="continue"/>
            <w:noWrap w:val="0"/>
            <w:vAlign w:val="center"/>
          </w:tcPr>
          <w:p w14:paraId="0FADEB7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3C464E8C">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NW</w:t>
            </w:r>
          </w:p>
        </w:tc>
        <w:tc>
          <w:tcPr>
            <w:tcW w:w="1502" w:type="dxa"/>
            <w:noWrap w:val="0"/>
            <w:vAlign w:val="center"/>
          </w:tcPr>
          <w:p w14:paraId="331741D0">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781</w:t>
            </w:r>
          </w:p>
        </w:tc>
      </w:tr>
      <w:tr w14:paraId="784E3BAA">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continue"/>
            <w:noWrap w:val="0"/>
            <w:vAlign w:val="center"/>
          </w:tcPr>
          <w:p w14:paraId="2A23F51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26F13214">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刘巷村</w:t>
            </w:r>
          </w:p>
        </w:tc>
        <w:tc>
          <w:tcPr>
            <w:tcW w:w="994" w:type="dxa"/>
            <w:noWrap w:val="0"/>
            <w:vAlign w:val="center"/>
          </w:tcPr>
          <w:p w14:paraId="7CC675B3">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-1470 </w:t>
            </w:r>
          </w:p>
        </w:tc>
        <w:tc>
          <w:tcPr>
            <w:tcW w:w="850" w:type="dxa"/>
            <w:noWrap w:val="0"/>
            <w:vAlign w:val="center"/>
          </w:tcPr>
          <w:p w14:paraId="01E722EE">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401 </w:t>
            </w:r>
          </w:p>
        </w:tc>
        <w:tc>
          <w:tcPr>
            <w:tcW w:w="1342" w:type="dxa"/>
            <w:noWrap w:val="0"/>
            <w:vAlign w:val="center"/>
          </w:tcPr>
          <w:p w14:paraId="1084AEA2">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77168AE1">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约433人</w:t>
            </w:r>
          </w:p>
        </w:tc>
        <w:tc>
          <w:tcPr>
            <w:tcW w:w="2975" w:type="dxa"/>
            <w:vMerge w:val="continue"/>
            <w:noWrap w:val="0"/>
            <w:vAlign w:val="center"/>
          </w:tcPr>
          <w:p w14:paraId="22D1AEE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7F8F6540">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NW</w:t>
            </w:r>
          </w:p>
        </w:tc>
        <w:tc>
          <w:tcPr>
            <w:tcW w:w="1502" w:type="dxa"/>
            <w:noWrap w:val="0"/>
            <w:vAlign w:val="center"/>
          </w:tcPr>
          <w:p w14:paraId="348B10A3">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907</w:t>
            </w:r>
            <w:r>
              <w:rPr>
                <w:rFonts w:hint="eastAsia" w:ascii="Times New Roman" w:hAnsi="Times New Roman" w:cs="Times New Roman"/>
                <w:color w:val="auto"/>
              </w:rPr>
              <w:t xml:space="preserve"> </w:t>
            </w:r>
          </w:p>
        </w:tc>
      </w:tr>
      <w:tr w14:paraId="6C8ABE20">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continue"/>
            <w:noWrap w:val="0"/>
            <w:vAlign w:val="center"/>
          </w:tcPr>
          <w:p w14:paraId="131F38E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39C3BC3F">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王圩村</w:t>
            </w:r>
          </w:p>
        </w:tc>
        <w:tc>
          <w:tcPr>
            <w:tcW w:w="994" w:type="dxa"/>
            <w:noWrap w:val="0"/>
            <w:vAlign w:val="center"/>
          </w:tcPr>
          <w:p w14:paraId="6C09A971">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-1472 </w:t>
            </w:r>
          </w:p>
        </w:tc>
        <w:tc>
          <w:tcPr>
            <w:tcW w:w="850" w:type="dxa"/>
            <w:noWrap w:val="0"/>
            <w:vAlign w:val="center"/>
          </w:tcPr>
          <w:p w14:paraId="2030ED16">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393 </w:t>
            </w:r>
          </w:p>
        </w:tc>
        <w:tc>
          <w:tcPr>
            <w:tcW w:w="1342" w:type="dxa"/>
            <w:noWrap w:val="0"/>
            <w:vAlign w:val="center"/>
          </w:tcPr>
          <w:p w14:paraId="34F4F9AB">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58CF8B42">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约579人</w:t>
            </w:r>
          </w:p>
        </w:tc>
        <w:tc>
          <w:tcPr>
            <w:tcW w:w="2975" w:type="dxa"/>
            <w:vMerge w:val="continue"/>
            <w:noWrap w:val="0"/>
            <w:vAlign w:val="center"/>
          </w:tcPr>
          <w:p w14:paraId="46C5515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18460317">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NW</w:t>
            </w:r>
          </w:p>
        </w:tc>
        <w:tc>
          <w:tcPr>
            <w:tcW w:w="1502" w:type="dxa"/>
            <w:noWrap w:val="0"/>
            <w:vAlign w:val="center"/>
          </w:tcPr>
          <w:p w14:paraId="410106DB">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1414</w:t>
            </w:r>
          </w:p>
        </w:tc>
      </w:tr>
      <w:tr w14:paraId="28AB78D6">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continue"/>
            <w:noWrap w:val="0"/>
            <w:vAlign w:val="center"/>
          </w:tcPr>
          <w:p w14:paraId="5D03CB4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24BCD001">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赵家岗</w:t>
            </w:r>
          </w:p>
        </w:tc>
        <w:tc>
          <w:tcPr>
            <w:tcW w:w="994" w:type="dxa"/>
            <w:noWrap w:val="0"/>
            <w:vAlign w:val="center"/>
          </w:tcPr>
          <w:p w14:paraId="15986F2B">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-2212 </w:t>
            </w:r>
          </w:p>
        </w:tc>
        <w:tc>
          <w:tcPr>
            <w:tcW w:w="850" w:type="dxa"/>
            <w:noWrap w:val="0"/>
            <w:vAlign w:val="center"/>
          </w:tcPr>
          <w:p w14:paraId="73AA9E14">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697 </w:t>
            </w:r>
          </w:p>
        </w:tc>
        <w:tc>
          <w:tcPr>
            <w:tcW w:w="1342" w:type="dxa"/>
            <w:noWrap w:val="0"/>
            <w:vAlign w:val="center"/>
          </w:tcPr>
          <w:p w14:paraId="7ACF3567">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17F6DB6D">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约279人</w:t>
            </w:r>
          </w:p>
        </w:tc>
        <w:tc>
          <w:tcPr>
            <w:tcW w:w="2975" w:type="dxa"/>
            <w:vMerge w:val="continue"/>
            <w:noWrap w:val="0"/>
            <w:vAlign w:val="center"/>
          </w:tcPr>
          <w:p w14:paraId="5016768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378A677F">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NW</w:t>
            </w:r>
          </w:p>
        </w:tc>
        <w:tc>
          <w:tcPr>
            <w:tcW w:w="1502" w:type="dxa"/>
            <w:noWrap w:val="0"/>
            <w:vAlign w:val="center"/>
          </w:tcPr>
          <w:p w14:paraId="16B4FB58">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2199</w:t>
            </w:r>
            <w:r>
              <w:rPr>
                <w:rFonts w:hint="eastAsia" w:ascii="Times New Roman" w:hAnsi="Times New Roman" w:cs="Times New Roman"/>
                <w:color w:val="auto"/>
              </w:rPr>
              <w:t xml:space="preserve"> </w:t>
            </w:r>
          </w:p>
        </w:tc>
      </w:tr>
      <w:tr w14:paraId="4B7785E1">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continue"/>
            <w:noWrap w:val="0"/>
            <w:vAlign w:val="center"/>
          </w:tcPr>
          <w:p w14:paraId="35D8616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4467D98E">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汪郢孜</w:t>
            </w:r>
          </w:p>
        </w:tc>
        <w:tc>
          <w:tcPr>
            <w:tcW w:w="994" w:type="dxa"/>
            <w:noWrap w:val="0"/>
            <w:vAlign w:val="center"/>
          </w:tcPr>
          <w:p w14:paraId="0C6EBD75">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-660 </w:t>
            </w:r>
          </w:p>
        </w:tc>
        <w:tc>
          <w:tcPr>
            <w:tcW w:w="850" w:type="dxa"/>
            <w:noWrap w:val="0"/>
            <w:vAlign w:val="center"/>
          </w:tcPr>
          <w:p w14:paraId="739014B1">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1236 </w:t>
            </w:r>
          </w:p>
        </w:tc>
        <w:tc>
          <w:tcPr>
            <w:tcW w:w="1342" w:type="dxa"/>
            <w:noWrap w:val="0"/>
            <w:vAlign w:val="center"/>
          </w:tcPr>
          <w:p w14:paraId="730C24A5">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11F0B98D">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约129人</w:t>
            </w:r>
          </w:p>
        </w:tc>
        <w:tc>
          <w:tcPr>
            <w:tcW w:w="2975" w:type="dxa"/>
            <w:vMerge w:val="continue"/>
            <w:noWrap w:val="0"/>
            <w:vAlign w:val="center"/>
          </w:tcPr>
          <w:p w14:paraId="1E462E7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44F9EAEA">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NW</w:t>
            </w:r>
          </w:p>
        </w:tc>
        <w:tc>
          <w:tcPr>
            <w:tcW w:w="1502" w:type="dxa"/>
            <w:noWrap w:val="0"/>
            <w:vAlign w:val="center"/>
          </w:tcPr>
          <w:p w14:paraId="70219393">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1208</w:t>
            </w:r>
          </w:p>
        </w:tc>
      </w:tr>
      <w:tr w14:paraId="279CF7DE">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PrEx>
        <w:trPr>
          <w:trHeight w:val="198" w:hRule="atLeast"/>
          <w:jc w:val="center"/>
        </w:trPr>
        <w:tc>
          <w:tcPr>
            <w:tcW w:w="1049" w:type="dxa"/>
            <w:vMerge w:val="continue"/>
            <w:noWrap w:val="0"/>
            <w:vAlign w:val="center"/>
          </w:tcPr>
          <w:p w14:paraId="0971D81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14E936E2">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谢大郢孜</w:t>
            </w:r>
          </w:p>
        </w:tc>
        <w:tc>
          <w:tcPr>
            <w:tcW w:w="994" w:type="dxa"/>
            <w:noWrap w:val="0"/>
            <w:vAlign w:val="center"/>
          </w:tcPr>
          <w:p w14:paraId="0CAAA407">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-2386 </w:t>
            </w:r>
          </w:p>
        </w:tc>
        <w:tc>
          <w:tcPr>
            <w:tcW w:w="850" w:type="dxa"/>
            <w:noWrap w:val="0"/>
            <w:vAlign w:val="center"/>
          </w:tcPr>
          <w:p w14:paraId="64181CD0">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1967 </w:t>
            </w:r>
          </w:p>
        </w:tc>
        <w:tc>
          <w:tcPr>
            <w:tcW w:w="1342" w:type="dxa"/>
            <w:noWrap w:val="0"/>
            <w:vAlign w:val="center"/>
          </w:tcPr>
          <w:p w14:paraId="4945C08B">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69E09C73">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约156人</w:t>
            </w:r>
          </w:p>
        </w:tc>
        <w:tc>
          <w:tcPr>
            <w:tcW w:w="2975" w:type="dxa"/>
            <w:vMerge w:val="continue"/>
            <w:noWrap w:val="0"/>
            <w:vAlign w:val="center"/>
          </w:tcPr>
          <w:p w14:paraId="54642E3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04D1BC1C">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NW</w:t>
            </w:r>
          </w:p>
        </w:tc>
        <w:tc>
          <w:tcPr>
            <w:tcW w:w="1502" w:type="dxa"/>
            <w:noWrap w:val="0"/>
            <w:vAlign w:val="center"/>
          </w:tcPr>
          <w:p w14:paraId="76B9B8B5">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2930</w:t>
            </w:r>
            <w:r>
              <w:rPr>
                <w:rFonts w:hint="eastAsia" w:ascii="Times New Roman" w:hAnsi="Times New Roman" w:cs="Times New Roman"/>
                <w:color w:val="auto"/>
              </w:rPr>
              <w:t xml:space="preserve"> </w:t>
            </w:r>
          </w:p>
        </w:tc>
      </w:tr>
      <w:tr w14:paraId="7D710F34">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198" w:hRule="atLeast"/>
          <w:jc w:val="center"/>
        </w:trPr>
        <w:tc>
          <w:tcPr>
            <w:tcW w:w="1049" w:type="dxa"/>
            <w:vMerge w:val="continue"/>
            <w:noWrap w:val="0"/>
            <w:vAlign w:val="center"/>
          </w:tcPr>
          <w:p w14:paraId="2DE934D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2082" w:type="dxa"/>
            <w:noWrap w:val="0"/>
            <w:vAlign w:val="center"/>
          </w:tcPr>
          <w:p w14:paraId="593BBF07">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西嘴孜</w:t>
            </w:r>
          </w:p>
        </w:tc>
        <w:tc>
          <w:tcPr>
            <w:tcW w:w="994" w:type="dxa"/>
            <w:noWrap w:val="0"/>
            <w:vAlign w:val="center"/>
          </w:tcPr>
          <w:p w14:paraId="067E01ED">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-2563 </w:t>
            </w:r>
          </w:p>
        </w:tc>
        <w:tc>
          <w:tcPr>
            <w:tcW w:w="850" w:type="dxa"/>
            <w:noWrap w:val="0"/>
            <w:vAlign w:val="center"/>
          </w:tcPr>
          <w:p w14:paraId="4E3EB2C7">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 xml:space="preserve">954 </w:t>
            </w:r>
          </w:p>
        </w:tc>
        <w:tc>
          <w:tcPr>
            <w:tcW w:w="1342" w:type="dxa"/>
            <w:noWrap w:val="0"/>
            <w:vAlign w:val="center"/>
          </w:tcPr>
          <w:p w14:paraId="21E85A21">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居民</w:t>
            </w:r>
          </w:p>
        </w:tc>
        <w:tc>
          <w:tcPr>
            <w:tcW w:w="2037" w:type="dxa"/>
            <w:noWrap w:val="0"/>
            <w:vAlign w:val="center"/>
          </w:tcPr>
          <w:p w14:paraId="3533A192">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约165人</w:t>
            </w:r>
          </w:p>
        </w:tc>
        <w:tc>
          <w:tcPr>
            <w:tcW w:w="2975" w:type="dxa"/>
            <w:vMerge w:val="continue"/>
            <w:noWrap w:val="0"/>
            <w:vAlign w:val="center"/>
          </w:tcPr>
          <w:p w14:paraId="46414F5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cs="Times New Roman"/>
                <w:color w:val="auto"/>
              </w:rPr>
            </w:pPr>
          </w:p>
        </w:tc>
        <w:tc>
          <w:tcPr>
            <w:tcW w:w="1201" w:type="dxa"/>
            <w:noWrap w:val="0"/>
            <w:vAlign w:val="center"/>
          </w:tcPr>
          <w:p w14:paraId="1FB084A7">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eastAsia" w:ascii="Times New Roman" w:hAnsi="Times New Roman" w:cs="Times New Roman"/>
                <w:color w:val="auto"/>
              </w:rPr>
              <w:t>NW</w:t>
            </w:r>
          </w:p>
        </w:tc>
        <w:tc>
          <w:tcPr>
            <w:tcW w:w="1502" w:type="dxa"/>
            <w:noWrap w:val="0"/>
            <w:vAlign w:val="center"/>
          </w:tcPr>
          <w:p w14:paraId="366285EB">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cs="Times New Roman"/>
                <w:color w:val="auto"/>
              </w:rPr>
            </w:pPr>
            <w:r>
              <w:rPr>
                <w:rFonts w:hint="default" w:ascii="Times New Roman" w:hAnsi="Times New Roman" w:cs="Times New Roman"/>
                <w:color w:val="auto"/>
              </w:rPr>
              <w:t>2606</w:t>
            </w:r>
          </w:p>
        </w:tc>
      </w:tr>
    </w:tbl>
    <w:p w14:paraId="6B8038AC">
      <w:pPr>
        <w:pStyle w:val="237"/>
        <w:ind w:firstLine="0" w:firstLineChars="0"/>
        <w:jc w:val="left"/>
        <w:rPr>
          <w:rFonts w:hint="eastAsia"/>
          <w:color w:val="auto"/>
          <w:sz w:val="21"/>
          <w:szCs w:val="21"/>
        </w:rPr>
      </w:pPr>
      <w:r>
        <w:rPr>
          <w:color w:val="auto"/>
          <w:sz w:val="21"/>
          <w:szCs w:val="21"/>
        </w:rPr>
        <w:t>注：以码头西南角为坐标原点（</w:t>
      </w:r>
      <w:r>
        <w:rPr>
          <w:rFonts w:hint="eastAsia"/>
          <w:color w:val="auto"/>
          <w:sz w:val="21"/>
          <w:szCs w:val="21"/>
        </w:rPr>
        <w:t>0,0</w:t>
      </w:r>
      <w:r>
        <w:rPr>
          <w:color w:val="auto"/>
          <w:sz w:val="21"/>
          <w:szCs w:val="21"/>
        </w:rPr>
        <w:t>）</w:t>
      </w:r>
    </w:p>
    <w:p w14:paraId="3A730E9C">
      <w:pPr>
        <w:pStyle w:val="4"/>
        <w:numPr>
          <w:ilvl w:val="0"/>
          <w:numId w:val="0"/>
        </w:numPr>
        <w:rPr>
          <w:color w:val="auto"/>
        </w:rPr>
      </w:pPr>
      <w:r>
        <w:rPr>
          <w:rFonts w:hint="eastAsia"/>
          <w:color w:val="auto"/>
        </w:rPr>
        <w:t>2.6.2其他</w:t>
      </w:r>
      <w:r>
        <w:rPr>
          <w:color w:val="auto"/>
        </w:rPr>
        <w:t>环境保护目标</w:t>
      </w:r>
    </w:p>
    <w:p w14:paraId="02CD86BD">
      <w:pPr>
        <w:spacing w:line="336" w:lineRule="auto"/>
        <w:ind w:firstLine="480" w:firstLineChars="200"/>
        <w:rPr>
          <w:color w:val="auto"/>
          <w:sz w:val="24"/>
        </w:rPr>
      </w:pPr>
      <w:r>
        <w:rPr>
          <w:color w:val="auto"/>
          <w:sz w:val="24"/>
        </w:rPr>
        <w:t>项目</w:t>
      </w:r>
      <w:r>
        <w:rPr>
          <w:rFonts w:hint="eastAsia"/>
          <w:color w:val="auto"/>
          <w:sz w:val="24"/>
        </w:rPr>
        <w:t>所在</w:t>
      </w:r>
      <w:r>
        <w:rPr>
          <w:color w:val="auto"/>
          <w:sz w:val="24"/>
        </w:rPr>
        <w:t>区域其他环境保护目标详见表</w:t>
      </w:r>
      <w:r>
        <w:rPr>
          <w:rFonts w:hint="eastAsia"/>
          <w:color w:val="auto"/>
          <w:sz w:val="24"/>
        </w:rPr>
        <w:t>2</w:t>
      </w:r>
      <w:r>
        <w:rPr>
          <w:color w:val="auto"/>
          <w:sz w:val="24"/>
        </w:rPr>
        <w:t>.6-2。</w:t>
      </w:r>
    </w:p>
    <w:p w14:paraId="37E58682">
      <w:pPr>
        <w:spacing w:line="400" w:lineRule="exact"/>
        <w:jc w:val="center"/>
        <w:rPr>
          <w:rFonts w:hint="eastAsia" w:eastAsia="黑体"/>
          <w:color w:val="auto"/>
          <w:sz w:val="24"/>
        </w:rPr>
      </w:pPr>
      <w:r>
        <w:rPr>
          <w:rFonts w:eastAsia="黑体"/>
          <w:color w:val="auto"/>
          <w:sz w:val="24"/>
        </w:rPr>
        <w:t xml:space="preserve">表2.6-2  </w:t>
      </w:r>
      <w:r>
        <w:rPr>
          <w:rFonts w:hint="eastAsia" w:eastAsia="黑体"/>
          <w:color w:val="auto"/>
          <w:sz w:val="24"/>
        </w:rPr>
        <w:t>其他</w:t>
      </w:r>
      <w:r>
        <w:rPr>
          <w:rFonts w:eastAsia="黑体"/>
          <w:color w:val="auto"/>
          <w:sz w:val="24"/>
        </w:rPr>
        <w:t>保护目标一览表</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450"/>
        <w:gridCol w:w="1451"/>
        <w:gridCol w:w="1550"/>
        <w:gridCol w:w="1991"/>
        <w:gridCol w:w="1701"/>
        <w:gridCol w:w="4747"/>
      </w:tblGrid>
      <w:tr w14:paraId="3D329F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27" w:type="dxa"/>
            <w:noWrap w:val="0"/>
            <w:vAlign w:val="center"/>
          </w:tcPr>
          <w:p w14:paraId="7D4D93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bCs/>
                <w:color w:val="auto"/>
              </w:rPr>
            </w:pPr>
            <w:r>
              <w:rPr>
                <w:rFonts w:hint="default" w:ascii="Times New Roman" w:hAnsi="Times New Roman" w:cs="Times New Roman"/>
                <w:b/>
                <w:bCs/>
                <w:color w:val="auto"/>
              </w:rPr>
              <w:t>环境要素</w:t>
            </w:r>
          </w:p>
        </w:tc>
        <w:tc>
          <w:tcPr>
            <w:tcW w:w="2899" w:type="dxa"/>
            <w:gridSpan w:val="2"/>
            <w:noWrap w:val="0"/>
            <w:vAlign w:val="center"/>
          </w:tcPr>
          <w:p w14:paraId="2678BC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bCs/>
                <w:color w:val="auto"/>
              </w:rPr>
            </w:pPr>
            <w:r>
              <w:rPr>
                <w:rFonts w:hint="eastAsia" w:ascii="Times New Roman" w:hAnsi="Times New Roman" w:cs="Times New Roman"/>
                <w:b/>
                <w:bCs/>
                <w:color w:val="auto"/>
              </w:rPr>
              <w:t>环境</w:t>
            </w:r>
            <w:r>
              <w:rPr>
                <w:rFonts w:hint="default" w:ascii="Times New Roman" w:hAnsi="Times New Roman" w:cs="Times New Roman"/>
                <w:b/>
                <w:bCs/>
                <w:color w:val="auto"/>
              </w:rPr>
              <w:t>保护目标名称</w:t>
            </w:r>
          </w:p>
        </w:tc>
        <w:tc>
          <w:tcPr>
            <w:tcW w:w="1549" w:type="dxa"/>
            <w:noWrap w:val="0"/>
            <w:vAlign w:val="center"/>
          </w:tcPr>
          <w:p w14:paraId="17BAB3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cs="Times New Roman"/>
                <w:b/>
                <w:bCs/>
                <w:color w:val="auto"/>
              </w:rPr>
            </w:pPr>
            <w:r>
              <w:rPr>
                <w:rFonts w:hint="default" w:ascii="Times New Roman" w:hAnsi="Times New Roman" w:cs="Times New Roman"/>
                <w:b/>
                <w:bCs/>
                <w:color w:val="auto"/>
              </w:rPr>
              <w:t>相对码头方位</w:t>
            </w:r>
          </w:p>
        </w:tc>
        <w:tc>
          <w:tcPr>
            <w:tcW w:w="1989" w:type="dxa"/>
            <w:noWrap w:val="0"/>
            <w:vAlign w:val="center"/>
          </w:tcPr>
          <w:p w14:paraId="78CCE8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cs="Times New Roman"/>
                <w:b/>
                <w:bCs/>
                <w:color w:val="auto"/>
              </w:rPr>
            </w:pPr>
            <w:r>
              <w:rPr>
                <w:rFonts w:hint="default" w:ascii="Times New Roman" w:hAnsi="Times New Roman" w:cs="Times New Roman"/>
                <w:b/>
                <w:bCs/>
                <w:color w:val="auto"/>
              </w:rPr>
              <w:t>相对最近厂界</w:t>
            </w:r>
            <w:r>
              <w:rPr>
                <w:rFonts w:hint="eastAsia" w:cs="Times New Roman"/>
                <w:b/>
                <w:color w:val="auto"/>
                <w:lang w:eastAsia="zh-CN"/>
              </w:rPr>
              <w:t>（</w:t>
            </w:r>
            <w:r>
              <w:rPr>
                <w:rFonts w:hint="eastAsia" w:cs="Times New Roman"/>
                <w:b/>
                <w:color w:val="auto"/>
                <w:lang w:val="en-US" w:eastAsia="zh-CN"/>
              </w:rPr>
              <w:t>港池</w:t>
            </w:r>
            <w:r>
              <w:rPr>
                <w:rFonts w:hint="eastAsia" w:cs="Times New Roman"/>
                <w:b/>
                <w:color w:val="auto"/>
                <w:lang w:eastAsia="zh-CN"/>
              </w:rPr>
              <w:t>）</w:t>
            </w:r>
            <w:r>
              <w:rPr>
                <w:rFonts w:hint="default" w:ascii="Times New Roman" w:hAnsi="Times New Roman" w:cs="Times New Roman"/>
                <w:b/>
                <w:bCs/>
                <w:color w:val="auto"/>
              </w:rPr>
              <w:t>距离（m）</w:t>
            </w:r>
          </w:p>
        </w:tc>
        <w:tc>
          <w:tcPr>
            <w:tcW w:w="1700" w:type="dxa"/>
            <w:noWrap w:val="0"/>
            <w:vAlign w:val="center"/>
          </w:tcPr>
          <w:p w14:paraId="78C50F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cs="Times New Roman"/>
                <w:b/>
                <w:bCs/>
                <w:color w:val="auto"/>
              </w:rPr>
            </w:pPr>
            <w:r>
              <w:rPr>
                <w:rFonts w:hint="eastAsia" w:ascii="Times New Roman" w:hAnsi="Times New Roman" w:cs="Times New Roman"/>
                <w:b/>
                <w:bCs/>
                <w:color w:val="auto"/>
              </w:rPr>
              <w:t>规模</w:t>
            </w:r>
            <w:r>
              <w:rPr>
                <w:rFonts w:hint="default" w:ascii="Times New Roman" w:hAnsi="Times New Roman" w:cs="Times New Roman"/>
                <w:b/>
                <w:bCs/>
                <w:color w:val="auto"/>
              </w:rPr>
              <w:t>与主要保护对象</w:t>
            </w:r>
          </w:p>
        </w:tc>
        <w:tc>
          <w:tcPr>
            <w:tcW w:w="4743" w:type="dxa"/>
            <w:noWrap w:val="0"/>
            <w:vAlign w:val="center"/>
          </w:tcPr>
          <w:p w14:paraId="1237CD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b/>
                <w:bCs/>
                <w:color w:val="auto"/>
              </w:rPr>
            </w:pPr>
            <w:r>
              <w:rPr>
                <w:rFonts w:hint="default" w:ascii="Times New Roman" w:hAnsi="Times New Roman" w:cs="Times New Roman"/>
                <w:b/>
                <w:bCs/>
                <w:color w:val="auto"/>
              </w:rPr>
              <w:t>环境功能区</w:t>
            </w:r>
          </w:p>
        </w:tc>
      </w:tr>
      <w:tr w14:paraId="146989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27" w:type="dxa"/>
            <w:noWrap w:val="0"/>
            <w:vAlign w:val="center"/>
          </w:tcPr>
          <w:p w14:paraId="6BDD18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地表水环境</w:t>
            </w:r>
          </w:p>
        </w:tc>
        <w:tc>
          <w:tcPr>
            <w:tcW w:w="2899" w:type="dxa"/>
            <w:gridSpan w:val="2"/>
            <w:noWrap w:val="0"/>
            <w:vAlign w:val="center"/>
          </w:tcPr>
          <w:p w14:paraId="7546DC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淮河</w:t>
            </w:r>
            <w:r>
              <w:rPr>
                <w:rFonts w:hint="eastAsia" w:cs="Times New Roman"/>
                <w:color w:val="auto"/>
                <w:lang w:val="en-US" w:eastAsia="zh-CN"/>
              </w:rPr>
              <w:t>淮南段</w:t>
            </w:r>
          </w:p>
        </w:tc>
        <w:tc>
          <w:tcPr>
            <w:tcW w:w="1549" w:type="dxa"/>
            <w:noWrap w:val="0"/>
            <w:vAlign w:val="center"/>
          </w:tcPr>
          <w:p w14:paraId="25EE15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S</w:t>
            </w:r>
          </w:p>
        </w:tc>
        <w:tc>
          <w:tcPr>
            <w:tcW w:w="1989" w:type="dxa"/>
            <w:noWrap w:val="0"/>
            <w:vAlign w:val="center"/>
          </w:tcPr>
          <w:p w14:paraId="4C82F81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eastAsia" w:ascii="Times New Roman" w:hAnsi="Times New Roman" w:cs="Times New Roman"/>
                <w:color w:val="auto"/>
              </w:rPr>
              <w:t>20</w:t>
            </w:r>
          </w:p>
        </w:tc>
        <w:tc>
          <w:tcPr>
            <w:tcW w:w="1700" w:type="dxa"/>
            <w:noWrap w:val="0"/>
            <w:vAlign w:val="center"/>
          </w:tcPr>
          <w:p w14:paraId="6973CB17">
            <w:pPr>
              <w:pStyle w:val="22"/>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cs="Times New Roman"/>
                <w:color w:val="auto"/>
              </w:rPr>
            </w:pPr>
            <w:r>
              <w:rPr>
                <w:rFonts w:hint="eastAsia"/>
                <w:color w:val="auto"/>
                <w:lang w:val="en-US" w:eastAsia="zh-CN"/>
              </w:rPr>
              <w:t>淮河水生态</w:t>
            </w:r>
          </w:p>
        </w:tc>
        <w:tc>
          <w:tcPr>
            <w:tcW w:w="4743" w:type="dxa"/>
            <w:noWrap w:val="0"/>
            <w:vAlign w:val="center"/>
          </w:tcPr>
          <w:p w14:paraId="3481B7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default" w:ascii="Times New Roman" w:hAnsi="Times New Roman" w:cs="Times New Roman"/>
                <w:bCs/>
                <w:color w:val="auto"/>
              </w:rPr>
              <w:t>《地表水环境质量标准》（GB3838-2002）</w:t>
            </w:r>
            <w:r>
              <w:rPr>
                <w:rFonts w:hint="eastAsia" w:ascii="Times New Roman" w:hAnsi="Times New Roman" w:cs="Times New Roman"/>
                <w:bCs/>
                <w:color w:val="auto"/>
              </w:rPr>
              <w:t>及其修改单</w:t>
            </w:r>
            <w:r>
              <w:rPr>
                <w:rFonts w:hint="default" w:ascii="Times New Roman" w:hAnsi="Times New Roman" w:cs="Times New Roman"/>
                <w:bCs/>
                <w:color w:val="auto"/>
              </w:rPr>
              <w:t>中的III类标准</w:t>
            </w:r>
          </w:p>
        </w:tc>
      </w:tr>
      <w:tr w14:paraId="40CF8F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27" w:type="dxa"/>
            <w:noWrap w:val="0"/>
            <w:vAlign w:val="center"/>
          </w:tcPr>
          <w:p w14:paraId="66326B2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底泥环境</w:t>
            </w:r>
          </w:p>
        </w:tc>
        <w:tc>
          <w:tcPr>
            <w:tcW w:w="2899" w:type="dxa"/>
            <w:gridSpan w:val="2"/>
            <w:noWrap w:val="0"/>
            <w:vAlign w:val="center"/>
          </w:tcPr>
          <w:p w14:paraId="3302D4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码头处底泥环境</w:t>
            </w:r>
          </w:p>
        </w:tc>
        <w:tc>
          <w:tcPr>
            <w:tcW w:w="1549" w:type="dxa"/>
            <w:noWrap w:val="0"/>
            <w:vAlign w:val="center"/>
          </w:tcPr>
          <w:p w14:paraId="7FDF7A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eastAsia" w:ascii="Times New Roman" w:hAnsi="Times New Roman" w:cs="Times New Roman"/>
                <w:color w:val="auto"/>
              </w:rPr>
              <w:t>/</w:t>
            </w:r>
          </w:p>
        </w:tc>
        <w:tc>
          <w:tcPr>
            <w:tcW w:w="1989" w:type="dxa"/>
            <w:noWrap w:val="0"/>
            <w:vAlign w:val="center"/>
          </w:tcPr>
          <w:p w14:paraId="2CFFC3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eastAsia" w:ascii="Times New Roman" w:hAnsi="Times New Roman" w:cs="Times New Roman"/>
                <w:color w:val="auto"/>
              </w:rPr>
              <w:t>/</w:t>
            </w:r>
          </w:p>
        </w:tc>
        <w:tc>
          <w:tcPr>
            <w:tcW w:w="1700" w:type="dxa"/>
            <w:noWrap w:val="0"/>
            <w:vAlign w:val="center"/>
          </w:tcPr>
          <w:p w14:paraId="5B1E72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eastAsia" w:ascii="Times New Roman" w:hAnsi="Times New Roman" w:cs="Times New Roman"/>
                <w:color w:val="auto"/>
              </w:rPr>
              <w:t>/</w:t>
            </w:r>
          </w:p>
        </w:tc>
        <w:tc>
          <w:tcPr>
            <w:tcW w:w="4743" w:type="dxa"/>
            <w:noWrap w:val="0"/>
            <w:vAlign w:val="center"/>
          </w:tcPr>
          <w:p w14:paraId="7F673FB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eastAsia" w:ascii="Times New Roman" w:hAnsi="Times New Roman" w:cs="Times New Roman"/>
                <w:color w:val="auto"/>
                <w:lang w:val="en-US" w:eastAsia="zh-CN"/>
              </w:rPr>
              <w:t>参照</w:t>
            </w:r>
            <w:r>
              <w:rPr>
                <w:rFonts w:hint="default" w:ascii="Times New Roman" w:hAnsi="Times New Roman" w:cs="Times New Roman"/>
                <w:color w:val="auto"/>
              </w:rPr>
              <w:t xml:space="preserve">《土壤环境质量 </w:t>
            </w:r>
            <w:r>
              <w:rPr>
                <w:rFonts w:hint="eastAsia" w:ascii="Times New Roman" w:hAnsi="Times New Roman" w:cs="Times New Roman"/>
                <w:color w:val="auto"/>
              </w:rPr>
              <w:t>农</w:t>
            </w:r>
            <w:r>
              <w:rPr>
                <w:rFonts w:hint="default" w:ascii="Times New Roman" w:hAnsi="Times New Roman" w:cs="Times New Roman"/>
                <w:color w:val="auto"/>
              </w:rPr>
              <w:t>用地土壤污染风险管控标准（试行）》</w:t>
            </w:r>
            <w:r>
              <w:rPr>
                <w:rFonts w:hint="eastAsia" w:cs="Times New Roman"/>
                <w:color w:val="auto"/>
                <w:lang w:eastAsia="zh-CN"/>
              </w:rPr>
              <w:t>（</w:t>
            </w:r>
            <w:r>
              <w:rPr>
                <w:rFonts w:hint="default" w:ascii="Times New Roman" w:hAnsi="Times New Roman" w:cs="Times New Roman"/>
                <w:color w:val="auto"/>
              </w:rPr>
              <w:t>GB15618-2018)中相应标准</w:t>
            </w:r>
          </w:p>
        </w:tc>
      </w:tr>
      <w:tr w14:paraId="56215D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27" w:type="dxa"/>
            <w:vMerge w:val="restart"/>
            <w:noWrap w:val="0"/>
            <w:vAlign w:val="center"/>
          </w:tcPr>
          <w:p w14:paraId="72371E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声环境</w:t>
            </w:r>
          </w:p>
        </w:tc>
        <w:tc>
          <w:tcPr>
            <w:tcW w:w="2899" w:type="dxa"/>
            <w:gridSpan w:val="2"/>
            <w:noWrap w:val="0"/>
            <w:vAlign w:val="center"/>
          </w:tcPr>
          <w:p w14:paraId="4311F7D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eastAsia" w:ascii="Times New Roman" w:hAnsi="Times New Roman" w:cs="Times New Roman"/>
                <w:color w:val="auto"/>
              </w:rPr>
              <w:t>陶郢孜</w:t>
            </w:r>
          </w:p>
        </w:tc>
        <w:tc>
          <w:tcPr>
            <w:tcW w:w="1549" w:type="dxa"/>
            <w:noWrap w:val="0"/>
            <w:vAlign w:val="center"/>
          </w:tcPr>
          <w:p w14:paraId="2162BB1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cs="Times New Roman"/>
                <w:color w:val="auto"/>
              </w:rPr>
            </w:pPr>
            <w:r>
              <w:rPr>
                <w:rFonts w:hint="eastAsia" w:ascii="Times New Roman" w:hAnsi="Times New Roman" w:cs="Times New Roman"/>
                <w:color w:val="auto"/>
              </w:rPr>
              <w:t>NE</w:t>
            </w:r>
          </w:p>
        </w:tc>
        <w:tc>
          <w:tcPr>
            <w:tcW w:w="1989" w:type="dxa"/>
            <w:noWrap w:val="0"/>
            <w:vAlign w:val="center"/>
          </w:tcPr>
          <w:p w14:paraId="0BAC27C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cs="Times New Roman"/>
                <w:color w:val="auto"/>
              </w:rPr>
            </w:pPr>
            <w:r>
              <w:rPr>
                <w:rFonts w:hint="default" w:ascii="Times New Roman" w:hAnsi="Times New Roman" w:cs="Times New Roman"/>
                <w:color w:val="auto"/>
              </w:rPr>
              <w:t>100</w:t>
            </w:r>
          </w:p>
        </w:tc>
        <w:tc>
          <w:tcPr>
            <w:tcW w:w="1700" w:type="dxa"/>
            <w:noWrap w:val="0"/>
            <w:vAlign w:val="center"/>
          </w:tcPr>
          <w:p w14:paraId="6D360AE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cs="Times New Roman"/>
                <w:color w:val="auto"/>
              </w:rPr>
            </w:pPr>
            <w:r>
              <w:rPr>
                <w:rFonts w:hint="eastAsia" w:ascii="Times New Roman" w:hAnsi="Times New Roman" w:cs="Times New Roman"/>
                <w:color w:val="auto"/>
              </w:rPr>
              <w:t>居民，约486人</w:t>
            </w:r>
          </w:p>
        </w:tc>
        <w:tc>
          <w:tcPr>
            <w:tcW w:w="4743" w:type="dxa"/>
            <w:vMerge w:val="restart"/>
            <w:noWrap w:val="0"/>
            <w:vAlign w:val="center"/>
          </w:tcPr>
          <w:p w14:paraId="0869DB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《声环境质量标准》</w:t>
            </w:r>
          </w:p>
          <w:p w14:paraId="701163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（GB3096-2008）</w:t>
            </w:r>
            <w:r>
              <w:rPr>
                <w:rFonts w:hint="eastAsia" w:ascii="Times New Roman" w:hAnsi="Times New Roman" w:cs="Times New Roman"/>
                <w:color w:val="auto"/>
              </w:rPr>
              <w:t>2</w:t>
            </w:r>
            <w:r>
              <w:rPr>
                <w:rFonts w:hint="default" w:ascii="Times New Roman" w:hAnsi="Times New Roman" w:cs="Times New Roman"/>
                <w:color w:val="auto"/>
              </w:rPr>
              <w:t>类标准</w:t>
            </w:r>
          </w:p>
        </w:tc>
      </w:tr>
      <w:tr w14:paraId="0A36CF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27" w:type="dxa"/>
            <w:vMerge w:val="continue"/>
            <w:noWrap w:val="0"/>
            <w:vAlign w:val="center"/>
          </w:tcPr>
          <w:p w14:paraId="4B12DA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p>
        </w:tc>
        <w:tc>
          <w:tcPr>
            <w:tcW w:w="2899" w:type="dxa"/>
            <w:gridSpan w:val="2"/>
            <w:noWrap w:val="0"/>
            <w:vAlign w:val="center"/>
          </w:tcPr>
          <w:p w14:paraId="79A7CE3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eastAsia" w:ascii="Times New Roman" w:hAnsi="Times New Roman" w:cs="Times New Roman"/>
                <w:color w:val="auto"/>
              </w:rPr>
              <w:t>小孙家岗</w:t>
            </w:r>
          </w:p>
        </w:tc>
        <w:tc>
          <w:tcPr>
            <w:tcW w:w="1549" w:type="dxa"/>
            <w:noWrap w:val="0"/>
            <w:vAlign w:val="center"/>
          </w:tcPr>
          <w:p w14:paraId="1AB78D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cs="Times New Roman"/>
                <w:color w:val="auto"/>
              </w:rPr>
            </w:pPr>
            <w:r>
              <w:rPr>
                <w:rFonts w:hint="eastAsia" w:ascii="Times New Roman" w:hAnsi="Times New Roman" w:cs="Times New Roman"/>
                <w:color w:val="auto"/>
              </w:rPr>
              <w:t>NW</w:t>
            </w:r>
          </w:p>
        </w:tc>
        <w:tc>
          <w:tcPr>
            <w:tcW w:w="1989" w:type="dxa"/>
            <w:noWrap w:val="0"/>
            <w:vAlign w:val="center"/>
          </w:tcPr>
          <w:p w14:paraId="366E661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cs="Times New Roman"/>
                <w:color w:val="auto"/>
              </w:rPr>
            </w:pPr>
            <w:r>
              <w:rPr>
                <w:rFonts w:hint="default" w:ascii="Times New Roman" w:hAnsi="Times New Roman" w:cs="Times New Roman"/>
                <w:color w:val="auto"/>
              </w:rPr>
              <w:t>169</w:t>
            </w:r>
          </w:p>
        </w:tc>
        <w:tc>
          <w:tcPr>
            <w:tcW w:w="1700" w:type="dxa"/>
            <w:noWrap w:val="0"/>
            <w:vAlign w:val="center"/>
          </w:tcPr>
          <w:p w14:paraId="7AD3CD7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cs="Times New Roman"/>
                <w:color w:val="auto"/>
              </w:rPr>
            </w:pPr>
            <w:r>
              <w:rPr>
                <w:rFonts w:hint="eastAsia" w:ascii="Times New Roman" w:hAnsi="Times New Roman" w:cs="Times New Roman"/>
                <w:color w:val="auto"/>
              </w:rPr>
              <w:t>居民，约416人</w:t>
            </w:r>
          </w:p>
        </w:tc>
        <w:tc>
          <w:tcPr>
            <w:tcW w:w="4743" w:type="dxa"/>
            <w:vMerge w:val="continue"/>
            <w:noWrap w:val="0"/>
            <w:vAlign w:val="center"/>
          </w:tcPr>
          <w:p w14:paraId="00B3E7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p>
        </w:tc>
      </w:tr>
      <w:tr w14:paraId="32F58F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27" w:type="dxa"/>
            <w:vMerge w:val="restart"/>
            <w:noWrap w:val="0"/>
            <w:vAlign w:val="center"/>
          </w:tcPr>
          <w:p w14:paraId="18FE90D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eastAsia" w:ascii="Times New Roman" w:hAnsi="Times New Roman" w:cs="Times New Roman"/>
                <w:color w:val="auto"/>
              </w:rPr>
              <w:t>生态环境</w:t>
            </w:r>
          </w:p>
        </w:tc>
        <w:tc>
          <w:tcPr>
            <w:tcW w:w="1449" w:type="dxa"/>
            <w:noWrap w:val="0"/>
            <w:vAlign w:val="center"/>
          </w:tcPr>
          <w:p w14:paraId="04685A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lang w:val="en-US" w:eastAsia="zh-CN"/>
              </w:rPr>
            </w:pPr>
            <w:r>
              <w:rPr>
                <w:rFonts w:hint="eastAsia" w:cs="Times New Roman"/>
                <w:color w:val="auto"/>
                <w:lang w:val="en-US" w:eastAsia="zh-CN"/>
              </w:rPr>
              <w:t>水域</w:t>
            </w:r>
          </w:p>
        </w:tc>
        <w:tc>
          <w:tcPr>
            <w:tcW w:w="1450" w:type="dxa"/>
            <w:noWrap w:val="0"/>
            <w:vAlign w:val="center"/>
          </w:tcPr>
          <w:p w14:paraId="0198C5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cs="Times New Roman"/>
                <w:color w:val="auto"/>
              </w:rPr>
            </w:pPr>
            <w:r>
              <w:rPr>
                <w:rFonts w:hint="eastAsia" w:ascii="Times New Roman" w:hAnsi="Times New Roman" w:cs="Times New Roman"/>
                <w:color w:val="auto"/>
              </w:rPr>
              <w:t>淮河淮南段长吻鮠水产种质资源</w:t>
            </w:r>
            <w:r>
              <w:rPr>
                <w:rFonts w:hint="eastAsia" w:cs="Times New Roman"/>
                <w:color w:val="auto"/>
                <w:lang w:val="en-US" w:eastAsia="zh-CN"/>
              </w:rPr>
              <w:t>实验区</w:t>
            </w:r>
          </w:p>
        </w:tc>
        <w:tc>
          <w:tcPr>
            <w:tcW w:w="1549" w:type="dxa"/>
            <w:noWrap w:val="0"/>
            <w:vAlign w:val="center"/>
          </w:tcPr>
          <w:p w14:paraId="5647B9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cs="Times New Roman"/>
                <w:color w:val="auto"/>
              </w:rPr>
            </w:pPr>
            <w:r>
              <w:rPr>
                <w:rFonts w:hint="eastAsia" w:ascii="Times New Roman" w:hAnsi="Times New Roman" w:cs="Times New Roman"/>
                <w:color w:val="auto"/>
              </w:rPr>
              <w:t>S</w:t>
            </w:r>
          </w:p>
        </w:tc>
        <w:tc>
          <w:tcPr>
            <w:tcW w:w="1989" w:type="dxa"/>
            <w:noWrap w:val="0"/>
            <w:vAlign w:val="center"/>
          </w:tcPr>
          <w:p w14:paraId="6C1BBC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eastAsia" w:ascii="Times New Roman" w:hAnsi="Times New Roman" w:cs="Times New Roman"/>
                <w:color w:val="auto"/>
              </w:rPr>
              <w:t>20</w:t>
            </w:r>
          </w:p>
        </w:tc>
        <w:tc>
          <w:tcPr>
            <w:tcW w:w="1700" w:type="dxa"/>
            <w:noWrap w:val="0"/>
            <w:vAlign w:val="center"/>
          </w:tcPr>
          <w:p w14:paraId="3350FC3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cs="Times New Roman"/>
                <w:color w:val="auto"/>
              </w:rPr>
            </w:pPr>
            <w:r>
              <w:rPr>
                <w:rFonts w:hint="eastAsia" w:ascii="Times New Roman" w:hAnsi="Times New Roman" w:cs="Times New Roman"/>
                <w:color w:val="auto"/>
              </w:rPr>
              <w:t>国家级/长吻鮠、瓦氏黄颡鱼</w:t>
            </w:r>
          </w:p>
        </w:tc>
        <w:tc>
          <w:tcPr>
            <w:tcW w:w="4743" w:type="dxa"/>
            <w:noWrap w:val="0"/>
            <w:vAlign w:val="center"/>
          </w:tcPr>
          <w:p w14:paraId="203D2BAE">
            <w:pPr>
              <w:pStyle w:val="277"/>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w:t>
            </w:r>
          </w:p>
        </w:tc>
      </w:tr>
      <w:tr w14:paraId="1980D2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27" w:type="dxa"/>
            <w:vMerge w:val="continue"/>
            <w:noWrap w:val="0"/>
            <w:vAlign w:val="center"/>
          </w:tcPr>
          <w:p w14:paraId="4276A7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cs="Times New Roman"/>
                <w:color w:val="auto"/>
              </w:rPr>
            </w:pPr>
          </w:p>
        </w:tc>
        <w:tc>
          <w:tcPr>
            <w:tcW w:w="2899" w:type="dxa"/>
            <w:gridSpan w:val="2"/>
            <w:noWrap w:val="0"/>
            <w:vAlign w:val="center"/>
          </w:tcPr>
          <w:p w14:paraId="789052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cs="Times New Roman"/>
                <w:color w:val="auto"/>
              </w:rPr>
            </w:pPr>
            <w:r>
              <w:rPr>
                <w:rFonts w:hint="eastAsia" w:cs="Times New Roman"/>
                <w:color w:val="auto"/>
                <w:lang w:val="en-US" w:eastAsia="zh-CN"/>
              </w:rPr>
              <w:t>陆域</w:t>
            </w:r>
          </w:p>
        </w:tc>
        <w:tc>
          <w:tcPr>
            <w:tcW w:w="1549" w:type="dxa"/>
            <w:noWrap w:val="0"/>
            <w:vAlign w:val="center"/>
          </w:tcPr>
          <w:p w14:paraId="7C0746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1989" w:type="dxa"/>
            <w:noWrap w:val="0"/>
            <w:vAlign w:val="center"/>
          </w:tcPr>
          <w:p w14:paraId="3D8D81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lang w:val="en-US" w:eastAsia="zh-CN"/>
              </w:rPr>
            </w:pPr>
            <w:r>
              <w:rPr>
                <w:rFonts w:hint="eastAsia" w:cs="Times New Roman"/>
                <w:color w:val="auto"/>
                <w:lang w:val="en-US" w:eastAsia="zh-CN"/>
              </w:rPr>
              <w:t>/</w:t>
            </w:r>
          </w:p>
        </w:tc>
        <w:tc>
          <w:tcPr>
            <w:tcW w:w="1700" w:type="dxa"/>
            <w:noWrap w:val="0"/>
            <w:vAlign w:val="center"/>
          </w:tcPr>
          <w:p w14:paraId="6B678D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lang w:val="en-US"/>
              </w:rPr>
            </w:pPr>
            <w:r>
              <w:rPr>
                <w:rFonts w:hint="eastAsia" w:ascii="Times New Roman" w:hAnsi="Times New Roman" w:cs="Times New Roman"/>
                <w:color w:val="auto"/>
                <w:lang w:val="en-US" w:eastAsia="zh-CN"/>
              </w:rPr>
              <w:t>工程占</w:t>
            </w:r>
            <w:r>
              <w:rPr>
                <w:rFonts w:hint="eastAsia" w:cs="Times New Roman"/>
                <w:color w:val="auto"/>
                <w:lang w:val="en-US" w:eastAsia="zh-CN"/>
              </w:rPr>
              <w:t>地</w:t>
            </w:r>
            <w:r>
              <w:rPr>
                <w:rFonts w:hint="eastAsia" w:ascii="Times New Roman" w:hAnsi="Times New Roman" w:cs="Times New Roman"/>
                <w:color w:val="auto"/>
                <w:lang w:val="en-US" w:eastAsia="zh-CN"/>
              </w:rPr>
              <w:t xml:space="preserve">面积约 </w:t>
            </w:r>
            <w:r>
              <w:rPr>
                <w:rFonts w:hint="eastAsia" w:cs="Times New Roman"/>
                <w:color w:val="auto"/>
                <w:lang w:val="en-US" w:eastAsia="zh-CN"/>
              </w:rPr>
              <w:t>1.6</w:t>
            </w:r>
            <w:r>
              <w:rPr>
                <w:rFonts w:hint="eastAsia" w:ascii="Times New Roman" w:hAnsi="Times New Roman" w:cs="Times New Roman"/>
                <w:color w:val="auto"/>
                <w:lang w:val="en-US" w:eastAsia="zh-CN"/>
              </w:rPr>
              <w:t>hm</w:t>
            </w:r>
            <w:r>
              <w:rPr>
                <w:rFonts w:hint="eastAsia" w:cs="Times New Roman"/>
                <w:color w:val="auto"/>
                <w:vertAlign w:val="superscript"/>
                <w:lang w:val="en-US" w:eastAsia="zh-CN"/>
              </w:rPr>
              <w:t>2</w:t>
            </w:r>
          </w:p>
        </w:tc>
        <w:tc>
          <w:tcPr>
            <w:tcW w:w="4743" w:type="dxa"/>
            <w:noWrap w:val="0"/>
            <w:vAlign w:val="center"/>
          </w:tcPr>
          <w:p w14:paraId="056DEF69">
            <w:pPr>
              <w:pStyle w:val="277"/>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Times New Roman" w:hAnsi="Times New Roman" w:cs="Times New Roman"/>
                <w:color w:val="auto"/>
                <w:sz w:val="21"/>
                <w:szCs w:val="21"/>
              </w:rPr>
            </w:pPr>
            <w:r>
              <w:rPr>
                <w:rFonts w:hint="eastAsia" w:ascii="Times New Roman" w:hAnsi="Times New Roman" w:cs="Times New Roman"/>
                <w:color w:val="auto"/>
                <w:sz w:val="21"/>
                <w:szCs w:val="28"/>
                <w:lang w:val="en-US" w:eastAsia="zh-CN"/>
              </w:rPr>
              <w:t>参照</w:t>
            </w:r>
            <w:r>
              <w:rPr>
                <w:rFonts w:hint="default" w:ascii="Times New Roman" w:hAnsi="Times New Roman" w:cs="Times New Roman"/>
                <w:color w:val="auto"/>
                <w:sz w:val="21"/>
                <w:szCs w:val="28"/>
              </w:rPr>
              <w:t xml:space="preserve">《土壤环境质量 </w:t>
            </w:r>
            <w:r>
              <w:rPr>
                <w:rFonts w:hint="eastAsia" w:ascii="Times New Roman" w:hAnsi="Times New Roman" w:cs="Times New Roman"/>
                <w:color w:val="auto"/>
                <w:sz w:val="21"/>
                <w:szCs w:val="28"/>
              </w:rPr>
              <w:t>农</w:t>
            </w:r>
            <w:r>
              <w:rPr>
                <w:rFonts w:hint="default" w:ascii="Times New Roman" w:hAnsi="Times New Roman" w:cs="Times New Roman"/>
                <w:color w:val="auto"/>
                <w:sz w:val="21"/>
                <w:szCs w:val="28"/>
              </w:rPr>
              <w:t>用地土壤污染风险管控标准（试行）》</w:t>
            </w:r>
            <w:r>
              <w:rPr>
                <w:rFonts w:hint="eastAsia" w:cs="Times New Roman"/>
                <w:color w:val="auto"/>
                <w:sz w:val="21"/>
                <w:szCs w:val="28"/>
                <w:lang w:eastAsia="zh-CN"/>
              </w:rPr>
              <w:t>（</w:t>
            </w:r>
            <w:r>
              <w:rPr>
                <w:rFonts w:hint="default" w:ascii="Times New Roman" w:hAnsi="Times New Roman" w:cs="Times New Roman"/>
                <w:color w:val="auto"/>
                <w:sz w:val="21"/>
                <w:szCs w:val="28"/>
              </w:rPr>
              <w:t>GB15618-2018)中相应标准</w:t>
            </w:r>
          </w:p>
        </w:tc>
      </w:tr>
      <w:tr w14:paraId="4DE349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27" w:type="dxa"/>
            <w:noWrap w:val="0"/>
            <w:vAlign w:val="center"/>
          </w:tcPr>
          <w:p w14:paraId="1BEFB9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eastAsia" w:ascii="Times New Roman" w:hAnsi="Times New Roman" w:cs="Times New Roman"/>
                <w:color w:val="auto"/>
              </w:rPr>
              <w:t>环境</w:t>
            </w:r>
            <w:r>
              <w:rPr>
                <w:rFonts w:hint="default" w:ascii="Times New Roman" w:hAnsi="Times New Roman" w:cs="Times New Roman"/>
                <w:color w:val="auto"/>
              </w:rPr>
              <w:t>风险</w:t>
            </w:r>
          </w:p>
        </w:tc>
        <w:tc>
          <w:tcPr>
            <w:tcW w:w="8137" w:type="dxa"/>
            <w:gridSpan w:val="5"/>
            <w:noWrap w:val="0"/>
            <w:vAlign w:val="center"/>
          </w:tcPr>
          <w:p w14:paraId="0CDB66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cs="Times New Roman"/>
                <w:color w:val="auto"/>
              </w:rPr>
            </w:pPr>
            <w:r>
              <w:rPr>
                <w:rFonts w:hint="eastAsia" w:ascii="Times New Roman" w:hAnsi="Times New Roman" w:cs="Times New Roman"/>
                <w:color w:val="auto"/>
              </w:rPr>
              <w:t>地表水</w:t>
            </w:r>
            <w:r>
              <w:rPr>
                <w:rFonts w:hint="default" w:ascii="Times New Roman" w:hAnsi="Times New Roman" w:cs="Times New Roman"/>
                <w:color w:val="auto"/>
              </w:rPr>
              <w:t>环境风险：码头上游端线上游</w:t>
            </w:r>
            <w:r>
              <w:rPr>
                <w:rFonts w:hint="eastAsia" w:ascii="Times New Roman" w:hAnsi="Times New Roman" w:cs="Times New Roman"/>
                <w:color w:val="auto"/>
              </w:rPr>
              <w:t>5</w:t>
            </w:r>
            <w:r>
              <w:rPr>
                <w:rFonts w:hint="default" w:ascii="Times New Roman" w:hAnsi="Times New Roman" w:cs="Times New Roman"/>
                <w:color w:val="auto"/>
              </w:rPr>
              <w:t>00m至码头下游</w:t>
            </w:r>
            <w:r>
              <w:rPr>
                <w:rFonts w:hint="eastAsia" w:cs="Times New Roman"/>
                <w:color w:val="auto"/>
                <w:lang w:val="en-US" w:eastAsia="zh-CN"/>
              </w:rPr>
              <w:t>2.5km</w:t>
            </w:r>
          </w:p>
        </w:tc>
        <w:tc>
          <w:tcPr>
            <w:tcW w:w="4743" w:type="dxa"/>
            <w:noWrap w:val="0"/>
            <w:vAlign w:val="center"/>
          </w:tcPr>
          <w:p w14:paraId="066A2C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cs="Times New Roman"/>
                <w:color w:val="auto"/>
              </w:rPr>
            </w:pPr>
            <w:r>
              <w:rPr>
                <w:rFonts w:hint="eastAsia" w:ascii="Times New Roman" w:hAnsi="Times New Roman" w:cs="Times New Roman"/>
                <w:color w:val="auto"/>
              </w:rPr>
              <w:t>/</w:t>
            </w:r>
          </w:p>
        </w:tc>
      </w:tr>
    </w:tbl>
    <w:p w14:paraId="2B4CDD5E">
      <w:pPr>
        <w:spacing w:line="360" w:lineRule="auto"/>
        <w:ind w:firstLine="480" w:firstLineChars="200"/>
        <w:rPr>
          <w:rFonts w:hint="eastAsia"/>
          <w:color w:val="auto"/>
          <w:sz w:val="24"/>
        </w:rPr>
      </w:pPr>
      <w:r>
        <w:rPr>
          <w:rFonts w:hint="eastAsia"/>
          <w:color w:val="auto"/>
          <w:sz w:val="24"/>
        </w:rPr>
        <w:t>区域环境保护目标图详见下图。</w:t>
      </w:r>
    </w:p>
    <w:p w14:paraId="5A88C36E">
      <w:pPr>
        <w:spacing w:line="336" w:lineRule="auto"/>
        <w:ind w:firstLine="480" w:firstLineChars="200"/>
        <w:rPr>
          <w:color w:val="auto"/>
          <w:sz w:val="24"/>
          <w:highlight w:val="cyan"/>
        </w:rPr>
        <w:sectPr>
          <w:pgSz w:w="16838" w:h="11906" w:orient="landscape"/>
          <w:pgMar w:top="1418" w:right="1418" w:bottom="1418" w:left="1418" w:header="851" w:footer="992" w:gutter="0"/>
          <w:pgBorders>
            <w:top w:val="none" w:sz="0" w:space="0"/>
            <w:left w:val="none" w:sz="0" w:space="0"/>
            <w:bottom w:val="none" w:sz="0" w:space="0"/>
            <w:right w:val="none" w:sz="0" w:space="0"/>
          </w:pgBorders>
          <w:cols w:space="720" w:num="1"/>
          <w:docGrid w:type="lines" w:linePitch="312" w:charSpace="0"/>
        </w:sectPr>
      </w:pPr>
    </w:p>
    <w:p w14:paraId="514683C9">
      <w:pPr>
        <w:spacing w:line="336" w:lineRule="auto"/>
        <w:jc w:val="center"/>
        <w:rPr>
          <w:rFonts w:hint="eastAsia" w:eastAsia="宋体"/>
          <w:color w:val="auto"/>
          <w:sz w:val="24"/>
          <w:lang w:eastAsia="zh-CN"/>
        </w:rPr>
      </w:pPr>
      <w:r>
        <w:rPr>
          <w:color w:val="auto"/>
          <w:sz w:val="24"/>
        </w:rPr>
        <mc:AlternateContent>
          <mc:Choice Requires="wps">
            <w:drawing>
              <wp:anchor distT="0" distB="0" distL="114300" distR="114300" simplePos="0" relativeHeight="251686912" behindDoc="0" locked="0" layoutInCell="1" allowOverlap="1">
                <wp:simplePos x="0" y="0"/>
                <wp:positionH relativeFrom="column">
                  <wp:posOffset>6802755</wp:posOffset>
                </wp:positionH>
                <wp:positionV relativeFrom="paragraph">
                  <wp:posOffset>342265</wp:posOffset>
                </wp:positionV>
                <wp:extent cx="839470" cy="883920"/>
                <wp:effectExtent l="0" t="0" r="0" b="0"/>
                <wp:wrapNone/>
                <wp:docPr id="31" name="文本框 174"/>
                <wp:cNvGraphicFramePr/>
                <a:graphic xmlns:a="http://schemas.openxmlformats.org/drawingml/2006/main">
                  <a:graphicData uri="http://schemas.microsoft.com/office/word/2010/wordprocessingShape">
                    <wps:wsp>
                      <wps:cNvSpPr txBox="1"/>
                      <wps:spPr>
                        <a:xfrm>
                          <a:off x="0" y="0"/>
                          <a:ext cx="839470" cy="883920"/>
                        </a:xfrm>
                        <a:prstGeom prst="rect">
                          <a:avLst/>
                        </a:prstGeom>
                        <a:noFill/>
                        <a:ln>
                          <a:noFill/>
                        </a:ln>
                      </wps:spPr>
                      <wps:txbx>
                        <w:txbxContent>
                          <w:p w14:paraId="76D92D56">
                            <w:pPr>
                              <w:rPr>
                                <w:rFonts w:hint="eastAsia" w:eastAsia="宋体"/>
                                <w:lang w:eastAsia="zh-CN"/>
                              </w:rPr>
                            </w:pPr>
                            <w:r>
                              <w:rPr>
                                <w:rFonts w:hint="eastAsia" w:eastAsia="宋体"/>
                                <w:lang w:eastAsia="zh-CN"/>
                              </w:rPr>
                              <w:drawing>
                                <wp:inline distT="0" distB="0" distL="114300" distR="114300">
                                  <wp:extent cx="476250" cy="476250"/>
                                  <wp:effectExtent l="0" t="0" r="0" b="0"/>
                                  <wp:docPr id="44" name="图片 44"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淮南"/>
                                          <pic:cNvPicPr>
                                            <a:picLocks noChangeAspect="1"/>
                                          </pic:cNvPicPr>
                                        </pic:nvPicPr>
                                        <pic:blipFill>
                                          <a:blip r:embed="rId40"/>
                                          <a:stretch>
                                            <a:fillRect/>
                                          </a:stretch>
                                        </pic:blipFill>
                                        <pic:spPr>
                                          <a:xfrm>
                                            <a:off x="0" y="0"/>
                                            <a:ext cx="476250" cy="476250"/>
                                          </a:xfrm>
                                          <a:prstGeom prst="rect">
                                            <a:avLst/>
                                          </a:prstGeom>
                                        </pic:spPr>
                                      </pic:pic>
                                    </a:graphicData>
                                  </a:graphic>
                                </wp:inline>
                              </w:drawing>
                            </w:r>
                          </w:p>
                        </w:txbxContent>
                      </wps:txbx>
                      <wps:bodyPr wrap="none" upright="1">
                        <a:spAutoFit/>
                      </wps:bodyPr>
                    </wps:wsp>
                  </a:graphicData>
                </a:graphic>
              </wp:anchor>
            </w:drawing>
          </mc:Choice>
          <mc:Fallback>
            <w:pict>
              <v:shape id="文本框 174" o:spid="_x0000_s1026" o:spt="202" type="#_x0000_t202" style="position:absolute;left:0pt;margin-left:535.65pt;margin-top:26.95pt;height:69.6pt;width:66.1pt;mso-wrap-style:none;z-index:251686912;mso-width-relative:page;mso-height-relative:page;" filled="f" stroked="f" coordsize="21600,21600" o:gfxdata="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G29Rm1wAAAAwBAAAPAAAAAAAAAAEAIAAAACIAAABkcnMvZG93bnJldi54&#10;bWxQSwECFAAUAAAACACHTuJAbgLIosIBAAB2AwAADgAAAAAAAAABACAAAAAmAQAAZHJzL2Uyb0Rv&#10;Yy54bWxQSwUGAAAAAAYABgBZAQAAWgUAAAAA&#10;">
                <v:fill on="f" focussize="0,0"/>
                <v:stroke on="f"/>
                <v:imagedata o:title=""/>
                <o:lock v:ext="edit" aspectratio="f"/>
                <v:textbox style="mso-fit-shape-to-text:t;">
                  <w:txbxContent>
                    <w:p w14:paraId="76D92D56">
                      <w:pPr>
                        <w:rPr>
                          <w:rFonts w:hint="eastAsia" w:eastAsia="宋体"/>
                          <w:lang w:eastAsia="zh-CN"/>
                        </w:rPr>
                      </w:pPr>
                      <w:r>
                        <w:rPr>
                          <w:rFonts w:hint="eastAsia" w:eastAsia="宋体"/>
                          <w:lang w:eastAsia="zh-CN"/>
                        </w:rPr>
                        <w:drawing>
                          <wp:inline distT="0" distB="0" distL="114300" distR="114300">
                            <wp:extent cx="476250" cy="476250"/>
                            <wp:effectExtent l="0" t="0" r="0" b="0"/>
                            <wp:docPr id="44" name="图片 44"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淮南"/>
                                    <pic:cNvPicPr>
                                      <a:picLocks noChangeAspect="1"/>
                                    </pic:cNvPicPr>
                                  </pic:nvPicPr>
                                  <pic:blipFill>
                                    <a:blip r:embed="rId40"/>
                                    <a:stretch>
                                      <a:fillRect/>
                                    </a:stretch>
                                  </pic:blipFill>
                                  <pic:spPr>
                                    <a:xfrm>
                                      <a:off x="0" y="0"/>
                                      <a:ext cx="476250" cy="476250"/>
                                    </a:xfrm>
                                    <a:prstGeom prst="rect">
                                      <a:avLst/>
                                    </a:prstGeom>
                                  </pic:spPr>
                                </pic:pic>
                              </a:graphicData>
                            </a:graphic>
                          </wp:inline>
                        </w:drawing>
                      </w:r>
                    </w:p>
                  </w:txbxContent>
                </v:textbox>
              </v:shape>
            </w:pict>
          </mc:Fallback>
        </mc:AlternateContent>
      </w:r>
      <w:r>
        <w:rPr>
          <w:color w:val="auto"/>
          <w:sz w:val="24"/>
        </w:rPr>
        <mc:AlternateContent>
          <mc:Choice Requires="wps">
            <w:drawing>
              <wp:anchor distT="0" distB="0" distL="114300" distR="114300" simplePos="0" relativeHeight="251687936" behindDoc="0" locked="0" layoutInCell="1" allowOverlap="1">
                <wp:simplePos x="0" y="0"/>
                <wp:positionH relativeFrom="column">
                  <wp:posOffset>6795135</wp:posOffset>
                </wp:positionH>
                <wp:positionV relativeFrom="paragraph">
                  <wp:posOffset>967105</wp:posOffset>
                </wp:positionV>
                <wp:extent cx="815975" cy="487680"/>
                <wp:effectExtent l="0" t="0" r="0" b="0"/>
                <wp:wrapNone/>
                <wp:docPr id="33" name="文本框 175"/>
                <wp:cNvGraphicFramePr/>
                <a:graphic xmlns:a="http://schemas.openxmlformats.org/drawingml/2006/main">
                  <a:graphicData uri="http://schemas.microsoft.com/office/word/2010/wordprocessingShape">
                    <wps:wsp>
                      <wps:cNvSpPr txBox="1"/>
                      <wps:spPr>
                        <a:xfrm>
                          <a:off x="0" y="0"/>
                          <a:ext cx="815975" cy="487680"/>
                        </a:xfrm>
                        <a:prstGeom prst="rect">
                          <a:avLst/>
                        </a:prstGeom>
                        <a:noFill/>
                        <a:ln>
                          <a:noFill/>
                        </a:ln>
                      </wps:spPr>
                      <wps:txbx>
                        <w:txbxContent>
                          <w:p w14:paraId="1F7E41CD">
                            <w:pPr>
                              <w:rPr>
                                <w:color w:val="FFFFFF"/>
                                <w:sz w:val="16"/>
                                <w:szCs w:val="16"/>
                              </w:rPr>
                            </w:pPr>
                            <w:r>
                              <w:rPr>
                                <w:rFonts w:hint="eastAsia"/>
                                <w:color w:val="00B0F0"/>
                                <w:sz w:val="16"/>
                                <w:szCs w:val="16"/>
                              </w:rPr>
                              <w:t>0  25</w:t>
                            </w:r>
                            <w:r>
                              <w:rPr>
                                <w:rFonts w:hint="eastAsia"/>
                                <w:color w:val="00B0F0"/>
                                <w:sz w:val="16"/>
                                <w:szCs w:val="16"/>
                                <w:lang w:val="en-US" w:eastAsia="zh-CN"/>
                              </w:rPr>
                              <w:t>0</w:t>
                            </w:r>
                            <w:r>
                              <w:rPr>
                                <w:rFonts w:hint="eastAsia"/>
                                <w:color w:val="00B0F0"/>
                                <w:sz w:val="16"/>
                                <w:szCs w:val="16"/>
                              </w:rPr>
                              <w:t xml:space="preserve">  50</w:t>
                            </w:r>
                            <w:r>
                              <w:rPr>
                                <w:rFonts w:hint="eastAsia"/>
                                <w:color w:val="00B0F0"/>
                                <w:sz w:val="16"/>
                                <w:szCs w:val="16"/>
                                <w:lang w:val="en-US" w:eastAsia="zh-CN"/>
                              </w:rPr>
                              <w:t>0</w:t>
                            </w:r>
                            <w:r>
                              <w:rPr>
                                <w:rFonts w:hint="eastAsia"/>
                                <w:color w:val="00B0F0"/>
                                <w:sz w:val="16"/>
                                <w:szCs w:val="16"/>
                              </w:rPr>
                              <w:t>m</w:t>
                            </w:r>
                          </w:p>
                          <w:p w14:paraId="2628F87A">
                            <w:pPr>
                              <w:rPr>
                                <w:rFonts w:hint="eastAsia"/>
                              </w:rPr>
                            </w:pPr>
                            <w:r>
                              <w:rPr>
                                <w:rFonts w:hint="eastAsia"/>
                              </w:rPr>
                              <w:drawing>
                                <wp:inline distT="0" distB="0" distL="114300" distR="114300">
                                  <wp:extent cx="632460" cy="135255"/>
                                  <wp:effectExtent l="0" t="0" r="15240" b="17145"/>
                                  <wp:docPr id="138" name="图片 286" descr="比例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286" descr="比例尺"/>
                                          <pic:cNvPicPr>
                                            <a:picLocks noChangeAspect="1"/>
                                          </pic:cNvPicPr>
                                        </pic:nvPicPr>
                                        <pic:blipFill>
                                          <a:blip r:embed="rId41"/>
                                          <a:stretch>
                                            <a:fillRect/>
                                          </a:stretch>
                                        </pic:blipFill>
                                        <pic:spPr>
                                          <a:xfrm rot="10800000">
                                            <a:off x="0" y="0"/>
                                            <a:ext cx="632460" cy="135255"/>
                                          </a:xfrm>
                                          <a:prstGeom prst="rect">
                                            <a:avLst/>
                                          </a:prstGeom>
                                          <a:noFill/>
                                          <a:ln>
                                            <a:noFill/>
                                          </a:ln>
                                        </pic:spPr>
                                      </pic:pic>
                                    </a:graphicData>
                                  </a:graphic>
                                </wp:inline>
                              </w:drawing>
                            </w:r>
                          </w:p>
                        </w:txbxContent>
                      </wps:txbx>
                      <wps:bodyPr wrap="none" upright="1">
                        <a:spAutoFit/>
                      </wps:bodyPr>
                    </wps:wsp>
                  </a:graphicData>
                </a:graphic>
              </wp:anchor>
            </w:drawing>
          </mc:Choice>
          <mc:Fallback>
            <w:pict>
              <v:shape id="文本框 175" o:spid="_x0000_s1026" o:spt="202" type="#_x0000_t202" style="position:absolute;left:0pt;margin-left:535.05pt;margin-top:76.15pt;height:38.4pt;width:64.25pt;mso-wrap-style:none;z-index:251687936;mso-width-relative:page;mso-height-relative:page;" filled="f" stroked="f" coordsize="21600,21600" o:gfxdata="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ZFZRnXAAAADQEAAA8AAAAAAAAAAQAgAAAAIgAAAGRycy9kb3ducmV2&#10;LnhtbFBLAQIUABQAAAAIAIdO4kDK9srfxAEAAHYDAAAOAAAAAAAAAAEAIAAAACYBAABkcnMvZTJv&#10;RG9jLnhtbFBLBQYAAAAABgAGAFkBAABcBQAAAAA=&#10;">
                <v:fill on="f" focussize="0,0"/>
                <v:stroke on="f"/>
                <v:imagedata o:title=""/>
                <o:lock v:ext="edit" aspectratio="f"/>
                <v:textbox style="mso-fit-shape-to-text:t;">
                  <w:txbxContent>
                    <w:p w14:paraId="1F7E41CD">
                      <w:pPr>
                        <w:rPr>
                          <w:color w:val="FFFFFF"/>
                          <w:sz w:val="16"/>
                          <w:szCs w:val="16"/>
                        </w:rPr>
                      </w:pPr>
                      <w:r>
                        <w:rPr>
                          <w:rFonts w:hint="eastAsia"/>
                          <w:color w:val="00B0F0"/>
                          <w:sz w:val="16"/>
                          <w:szCs w:val="16"/>
                        </w:rPr>
                        <w:t>0  25</w:t>
                      </w:r>
                      <w:r>
                        <w:rPr>
                          <w:rFonts w:hint="eastAsia"/>
                          <w:color w:val="00B0F0"/>
                          <w:sz w:val="16"/>
                          <w:szCs w:val="16"/>
                          <w:lang w:val="en-US" w:eastAsia="zh-CN"/>
                        </w:rPr>
                        <w:t>0</w:t>
                      </w:r>
                      <w:r>
                        <w:rPr>
                          <w:rFonts w:hint="eastAsia"/>
                          <w:color w:val="00B0F0"/>
                          <w:sz w:val="16"/>
                          <w:szCs w:val="16"/>
                        </w:rPr>
                        <w:t xml:space="preserve">  50</w:t>
                      </w:r>
                      <w:r>
                        <w:rPr>
                          <w:rFonts w:hint="eastAsia"/>
                          <w:color w:val="00B0F0"/>
                          <w:sz w:val="16"/>
                          <w:szCs w:val="16"/>
                          <w:lang w:val="en-US" w:eastAsia="zh-CN"/>
                        </w:rPr>
                        <w:t>0</w:t>
                      </w:r>
                      <w:r>
                        <w:rPr>
                          <w:rFonts w:hint="eastAsia"/>
                          <w:color w:val="00B0F0"/>
                          <w:sz w:val="16"/>
                          <w:szCs w:val="16"/>
                        </w:rPr>
                        <w:t>m</w:t>
                      </w:r>
                    </w:p>
                    <w:p w14:paraId="2628F87A">
                      <w:pPr>
                        <w:rPr>
                          <w:rFonts w:hint="eastAsia"/>
                        </w:rPr>
                      </w:pPr>
                      <w:r>
                        <w:rPr>
                          <w:rFonts w:hint="eastAsia"/>
                        </w:rPr>
                        <w:drawing>
                          <wp:inline distT="0" distB="0" distL="114300" distR="114300">
                            <wp:extent cx="632460" cy="135255"/>
                            <wp:effectExtent l="0" t="0" r="15240" b="17145"/>
                            <wp:docPr id="138" name="图片 286" descr="比例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286" descr="比例尺"/>
                                    <pic:cNvPicPr>
                                      <a:picLocks noChangeAspect="1"/>
                                    </pic:cNvPicPr>
                                  </pic:nvPicPr>
                                  <pic:blipFill>
                                    <a:blip r:embed="rId41"/>
                                    <a:stretch>
                                      <a:fillRect/>
                                    </a:stretch>
                                  </pic:blipFill>
                                  <pic:spPr>
                                    <a:xfrm rot="10800000">
                                      <a:off x="0" y="0"/>
                                      <a:ext cx="632460" cy="135255"/>
                                    </a:xfrm>
                                    <a:prstGeom prst="rect">
                                      <a:avLst/>
                                    </a:prstGeom>
                                    <a:noFill/>
                                    <a:ln>
                                      <a:noFill/>
                                    </a:ln>
                                  </pic:spPr>
                                </pic:pic>
                              </a:graphicData>
                            </a:graphic>
                          </wp:inline>
                        </w:drawing>
                      </w:r>
                    </w:p>
                  </w:txbxContent>
                </v:textbox>
              </v:shape>
            </w:pict>
          </mc:Fallback>
        </mc:AlternateContent>
      </w:r>
      <w:r>
        <w:rPr>
          <w:color w:val="auto"/>
          <w:sz w:val="24"/>
        </w:rPr>
        <mc:AlternateContent>
          <mc:Choice Requires="wpg">
            <w:drawing>
              <wp:anchor distT="0" distB="0" distL="114300" distR="114300" simplePos="0" relativeHeight="251696128" behindDoc="0" locked="0" layoutInCell="1" allowOverlap="1">
                <wp:simplePos x="0" y="0"/>
                <wp:positionH relativeFrom="column">
                  <wp:posOffset>6682740</wp:posOffset>
                </wp:positionH>
                <wp:positionV relativeFrom="paragraph">
                  <wp:posOffset>4225925</wp:posOffset>
                </wp:positionV>
                <wp:extent cx="965835" cy="1002030"/>
                <wp:effectExtent l="4445" t="4445" r="20320" b="22225"/>
                <wp:wrapNone/>
                <wp:docPr id="59" name="组合 186"/>
                <wp:cNvGraphicFramePr/>
                <a:graphic xmlns:a="http://schemas.openxmlformats.org/drawingml/2006/main">
                  <a:graphicData uri="http://schemas.microsoft.com/office/word/2010/wordprocessingGroup">
                    <wpg:wgp>
                      <wpg:cNvGrpSpPr/>
                      <wpg:grpSpPr>
                        <a:xfrm>
                          <a:off x="0" y="0"/>
                          <a:ext cx="965857" cy="1001792"/>
                          <a:chOff x="14704" y="834111"/>
                          <a:chExt cx="2044" cy="1969"/>
                        </a:xfrm>
                      </wpg:grpSpPr>
                      <wps:wsp>
                        <wps:cNvPr id="54" name="文本框 176"/>
                        <wps:cNvSpPr txBox="1"/>
                        <wps:spPr>
                          <a:xfrm>
                            <a:off x="14704" y="834111"/>
                            <a:ext cx="2044" cy="196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AA0B3B">
                              <w:pPr>
                                <w:rPr>
                                  <w:rFonts w:hint="eastAsia"/>
                                  <w:sz w:val="21"/>
                                  <w:szCs w:val="21"/>
                                  <w:u w:val="single"/>
                                </w:rPr>
                              </w:pPr>
                              <w:r>
                                <w:rPr>
                                  <w:rFonts w:hint="eastAsia"/>
                                  <w:sz w:val="21"/>
                                  <w:szCs w:val="21"/>
                                  <w:u w:val="single"/>
                                </w:rPr>
                                <w:t xml:space="preserve">图例  </w:t>
                              </w:r>
                            </w:p>
                            <w:p w14:paraId="456098B4">
                              <w:pPr>
                                <w:pStyle w:val="15"/>
                                <w:spacing w:before="62" w:beforeLines="20"/>
                                <w:ind w:firstLine="0"/>
                                <w:jc w:val="right"/>
                                <w:rPr>
                                  <w:rFonts w:hint="eastAsia"/>
                                  <w:sz w:val="18"/>
                                  <w:szCs w:val="16"/>
                                </w:rPr>
                              </w:pPr>
                              <w:r>
                                <w:rPr>
                                  <w:rFonts w:hint="eastAsia"/>
                                  <w:sz w:val="18"/>
                                  <w:szCs w:val="16"/>
                                </w:rPr>
                                <w:t>本项目所在地</w:t>
                              </w:r>
                            </w:p>
                            <w:p w14:paraId="6061CD8E">
                              <w:pPr>
                                <w:pStyle w:val="16"/>
                                <w:spacing w:before="62" w:beforeLines="20" w:after="0"/>
                                <w:ind w:left="0" w:leftChars="0" w:firstLine="0" w:firstLineChars="0"/>
                                <w:jc w:val="right"/>
                                <w:rPr>
                                  <w:rFonts w:hint="eastAsia"/>
                                  <w:sz w:val="18"/>
                                  <w:szCs w:val="18"/>
                                </w:rPr>
                              </w:pPr>
                              <w:r>
                                <w:rPr>
                                  <w:rFonts w:hint="eastAsia"/>
                                  <w:sz w:val="18"/>
                                  <w:szCs w:val="18"/>
                                </w:rPr>
                                <w:t>环境敏感目标</w:t>
                              </w:r>
                            </w:p>
                            <w:p w14:paraId="02922039">
                              <w:pPr>
                                <w:spacing w:before="62" w:beforeLines="20"/>
                                <w:jc w:val="right"/>
                                <w:rPr>
                                  <w:rFonts w:hint="eastAsia"/>
                                  <w:sz w:val="18"/>
                                  <w:szCs w:val="18"/>
                                </w:rPr>
                              </w:pPr>
                              <w:r>
                                <w:rPr>
                                  <w:rFonts w:hint="eastAsia"/>
                                  <w:sz w:val="18"/>
                                  <w:szCs w:val="18"/>
                                </w:rPr>
                                <w:t>大气评价范围</w:t>
                              </w:r>
                            </w:p>
                            <w:p w14:paraId="3341970E">
                              <w:pPr>
                                <w:pStyle w:val="15"/>
                                <w:spacing w:before="62" w:beforeLines="20"/>
                                <w:ind w:firstLine="0"/>
                                <w:jc w:val="right"/>
                                <w:rPr>
                                  <w:sz w:val="20"/>
                                  <w:szCs w:val="18"/>
                                </w:rPr>
                              </w:pPr>
                              <w:r>
                                <w:rPr>
                                  <w:rFonts w:hint="eastAsia"/>
                                  <w:sz w:val="18"/>
                                  <w:szCs w:val="16"/>
                                </w:rPr>
                                <w:t>风险评价范围</w:t>
                              </w:r>
                            </w:p>
                          </w:txbxContent>
                        </wps:txbx>
                        <wps:bodyPr wrap="square" upright="1"/>
                      </wps:wsp>
                      <wps:wsp>
                        <wps:cNvPr id="55" name="椭圆 177"/>
                        <wps:cNvSpPr/>
                        <wps:spPr>
                          <a:xfrm>
                            <a:off x="14792" y="834780"/>
                            <a:ext cx="200" cy="187"/>
                          </a:xfrm>
                          <a:prstGeom prst="ellipse">
                            <a:avLst/>
                          </a:prstGeom>
                          <a:solidFill>
                            <a:srgbClr val="FF0000"/>
                          </a:solidFill>
                          <a:ln w="9525" cap="flat" cmpd="sng">
                            <a:solidFill>
                              <a:srgbClr val="000000"/>
                            </a:solidFill>
                            <a:prstDash val="solid"/>
                            <a:headEnd type="none" w="med" len="med"/>
                            <a:tailEnd type="none" w="med" len="med"/>
                          </a:ln>
                        </wps:spPr>
                        <wps:bodyPr wrap="square" upright="1"/>
                      </wps:wsp>
                      <wps:wsp>
                        <wps:cNvPr id="56" name="椭圆 178"/>
                        <wps:cNvSpPr/>
                        <wps:spPr>
                          <a:xfrm>
                            <a:off x="14880" y="835256"/>
                            <a:ext cx="199" cy="187"/>
                          </a:xfrm>
                          <a:prstGeom prst="ellipse">
                            <a:avLst/>
                          </a:prstGeom>
                          <a:solidFill>
                            <a:srgbClr val="00B0F0"/>
                          </a:solidFill>
                          <a:ln w="9525" cap="flat" cmpd="sng">
                            <a:solidFill>
                              <a:srgbClr val="000000"/>
                            </a:solidFill>
                            <a:prstDash val="solid"/>
                            <a:headEnd type="none" w="med" len="med"/>
                            <a:tailEnd type="none" w="med" len="med"/>
                          </a:ln>
                        </wps:spPr>
                        <wps:bodyPr wrap="square" upright="1"/>
                      </wps:wsp>
                      <wps:wsp>
                        <wps:cNvPr id="58" name="矩形 181"/>
                        <wps:cNvSpPr/>
                        <wps:spPr>
                          <a:xfrm>
                            <a:off x="14745" y="835691"/>
                            <a:ext cx="362" cy="286"/>
                          </a:xfrm>
                          <a:prstGeom prst="rect">
                            <a:avLst/>
                          </a:prstGeom>
                          <a:noFill/>
                          <a:ln w="19050" cap="flat" cmpd="sng">
                            <a:solidFill>
                              <a:srgbClr val="0509BB"/>
                            </a:solidFill>
                            <a:prstDash val="solid"/>
                            <a:miter/>
                            <a:headEnd type="none" w="med" len="med"/>
                            <a:tailEnd type="none" w="med" len="med"/>
                          </a:ln>
                        </wps:spPr>
                        <wps:bodyPr wrap="square" upright="1"/>
                      </wps:wsp>
                    </wpg:wgp>
                  </a:graphicData>
                </a:graphic>
              </wp:anchor>
            </w:drawing>
          </mc:Choice>
          <mc:Fallback>
            <w:pict>
              <v:group id="组合 186" o:spid="_x0000_s1026" o:spt="203" style="position:absolute;left:0pt;margin-left:526.2pt;margin-top:332.75pt;height:78.9pt;width:76.05pt;z-index:251696128;mso-width-relative:page;mso-height-relative:page;" coordorigin="14704,834111" coordsize="2044,1969" o:gfxdata="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">
                <o:lock v:ext="edit" aspectratio="f"/>
                <v:shape id="文本框 176" o:spid="_x0000_s1026" o:spt="202" type="#_x0000_t202" style="position:absolute;left:14704;top:834111;height:1969;width:2044;"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04AA0B3B">
                        <w:pPr>
                          <w:rPr>
                            <w:rFonts w:hint="eastAsia"/>
                            <w:sz w:val="21"/>
                            <w:szCs w:val="21"/>
                            <w:u w:val="single"/>
                          </w:rPr>
                        </w:pPr>
                        <w:r>
                          <w:rPr>
                            <w:rFonts w:hint="eastAsia"/>
                            <w:sz w:val="21"/>
                            <w:szCs w:val="21"/>
                            <w:u w:val="single"/>
                          </w:rPr>
                          <w:t xml:space="preserve">图例  </w:t>
                        </w:r>
                      </w:p>
                      <w:p w14:paraId="456098B4">
                        <w:pPr>
                          <w:pStyle w:val="15"/>
                          <w:spacing w:before="62" w:beforeLines="20"/>
                          <w:ind w:firstLine="0"/>
                          <w:jc w:val="right"/>
                          <w:rPr>
                            <w:rFonts w:hint="eastAsia"/>
                            <w:sz w:val="18"/>
                            <w:szCs w:val="16"/>
                          </w:rPr>
                        </w:pPr>
                        <w:r>
                          <w:rPr>
                            <w:rFonts w:hint="eastAsia"/>
                            <w:sz w:val="18"/>
                            <w:szCs w:val="16"/>
                          </w:rPr>
                          <w:t>本项目所在地</w:t>
                        </w:r>
                      </w:p>
                      <w:p w14:paraId="6061CD8E">
                        <w:pPr>
                          <w:pStyle w:val="16"/>
                          <w:spacing w:before="62" w:beforeLines="20" w:after="0"/>
                          <w:ind w:left="0" w:leftChars="0" w:firstLine="0" w:firstLineChars="0"/>
                          <w:jc w:val="right"/>
                          <w:rPr>
                            <w:rFonts w:hint="eastAsia"/>
                            <w:sz w:val="18"/>
                            <w:szCs w:val="18"/>
                          </w:rPr>
                        </w:pPr>
                        <w:r>
                          <w:rPr>
                            <w:rFonts w:hint="eastAsia"/>
                            <w:sz w:val="18"/>
                            <w:szCs w:val="18"/>
                          </w:rPr>
                          <w:t>环境敏感目标</w:t>
                        </w:r>
                      </w:p>
                      <w:p w14:paraId="02922039">
                        <w:pPr>
                          <w:spacing w:before="62" w:beforeLines="20"/>
                          <w:jc w:val="right"/>
                          <w:rPr>
                            <w:rFonts w:hint="eastAsia"/>
                            <w:sz w:val="18"/>
                            <w:szCs w:val="18"/>
                          </w:rPr>
                        </w:pPr>
                        <w:r>
                          <w:rPr>
                            <w:rFonts w:hint="eastAsia"/>
                            <w:sz w:val="18"/>
                            <w:szCs w:val="18"/>
                          </w:rPr>
                          <w:t>大气评价范围</w:t>
                        </w:r>
                      </w:p>
                      <w:p w14:paraId="3341970E">
                        <w:pPr>
                          <w:pStyle w:val="15"/>
                          <w:spacing w:before="62" w:beforeLines="20"/>
                          <w:ind w:firstLine="0"/>
                          <w:jc w:val="right"/>
                          <w:rPr>
                            <w:sz w:val="20"/>
                            <w:szCs w:val="18"/>
                          </w:rPr>
                        </w:pPr>
                        <w:r>
                          <w:rPr>
                            <w:rFonts w:hint="eastAsia"/>
                            <w:sz w:val="18"/>
                            <w:szCs w:val="16"/>
                          </w:rPr>
                          <w:t>风险评价范围</w:t>
                        </w:r>
                      </w:p>
                    </w:txbxContent>
                  </v:textbox>
                </v:shape>
                <v:shape id="椭圆 177" o:spid="_x0000_s1026" o:spt="3" type="#_x0000_t3" style="position:absolute;left:14792;top:834780;height:187;width:200;" fillcolor="#FF0000" filled="t" stroked="t" coordsize="21600,21600" o:gfxdata="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d5wuO8AAAA&#10;2wAAAA8AAAAAAAAAAQAgAAAAIgAAAGRycy9kb3ducmV2LnhtbFBLAQIUABQAAAAIAIdO4kAzLwWe&#10;OwAAADkAAAAQAAAAAAAAAAEAIAAAAAsBAABkcnMvc2hhcGV4bWwueG1sUEsFBgAAAAAGAAYAWwEA&#10;ALUDAAAAAA==&#10;">
                  <v:fill on="t" focussize="0,0"/>
                  <v:stroke color="#000000" joinstyle="round"/>
                  <v:imagedata o:title=""/>
                  <o:lock v:ext="edit" aspectratio="f"/>
                </v:shape>
                <v:shape id="椭圆 178" o:spid="_x0000_s1026" o:spt="3" type="#_x0000_t3" style="position:absolute;left:14880;top:835256;height:187;width:199;" fillcolor="#00B0F0" filled="t" stroked="t" coordsize="21600,21600" o:gfxdata="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myrb&#10;wAAAANsAAAAPAAAAAAAAAAEAIAAAACIAAABkcnMvZG93bnJldi54bWxQSwECFAAUAAAACACHTuJA&#10;My8FnjsAAAA5AAAAEAAAAAAAAAABACAAAAAPAQAAZHJzL3NoYXBleG1sLnhtbFBLBQYAAAAABgAG&#10;AFsBAAC5AwAAAAA=&#10;">
                  <v:fill on="t" focussize="0,0"/>
                  <v:stroke color="#000000" joinstyle="round"/>
                  <v:imagedata o:title=""/>
                  <o:lock v:ext="edit" aspectratio="f"/>
                </v:shape>
                <v:rect id="矩形 181" o:spid="_x0000_s1026" o:spt="1" style="position:absolute;left:14745;top:835691;height:286;width:362;" filled="f" stroked="t" coordsize="21600,21600" o:gfxdata="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hKMMntwAAANsAAAAP&#10;AAAAAAAAAAEAIAAAACIAAABkcnMvZG93bnJldi54bWxQSwECFAAUAAAACACHTuJAMy8FnjsAAAA5&#10;AAAAEAAAAAAAAAABACAAAAAGAQAAZHJzL3NoYXBleG1sLnhtbFBLBQYAAAAABgAGAFsBAACwAwAA&#10;AAA=&#10;">
                  <v:fill on="f" focussize="0,0"/>
                  <v:stroke weight="1.5pt" color="#0509BB" joinstyle="miter"/>
                  <v:imagedata o:title=""/>
                  <o:lock v:ext="edit" aspectratio="f"/>
                </v:rect>
              </v:group>
            </w:pict>
          </mc:Fallback>
        </mc:AlternateContent>
      </w:r>
      <w:r>
        <w:rPr>
          <w:color w:val="auto"/>
          <w:sz w:val="24"/>
        </w:rPr>
        <mc:AlternateContent>
          <mc:Choice Requires="wps">
            <w:drawing>
              <wp:anchor distT="0" distB="0" distL="114300" distR="114300" simplePos="0" relativeHeight="251694080" behindDoc="0" locked="0" layoutInCell="1" allowOverlap="1">
                <wp:simplePos x="0" y="0"/>
                <wp:positionH relativeFrom="column">
                  <wp:posOffset>5207635</wp:posOffset>
                </wp:positionH>
                <wp:positionV relativeFrom="paragraph">
                  <wp:posOffset>2859405</wp:posOffset>
                </wp:positionV>
                <wp:extent cx="992505" cy="467995"/>
                <wp:effectExtent l="0" t="0" r="0" b="0"/>
                <wp:wrapNone/>
                <wp:docPr id="52" name="文本框 182"/>
                <wp:cNvGraphicFramePr/>
                <a:graphic xmlns:a="http://schemas.openxmlformats.org/drawingml/2006/main">
                  <a:graphicData uri="http://schemas.microsoft.com/office/word/2010/wordprocessingShape">
                    <wps:wsp>
                      <wps:cNvSpPr txBox="1"/>
                      <wps:spPr>
                        <a:xfrm rot="19140000">
                          <a:off x="0" y="0"/>
                          <a:ext cx="992505" cy="467995"/>
                        </a:xfrm>
                        <a:prstGeom prst="rect">
                          <a:avLst/>
                        </a:prstGeom>
                        <a:noFill/>
                        <a:ln>
                          <a:noFill/>
                        </a:ln>
                      </wps:spPr>
                      <wps:txbx>
                        <w:txbxContent>
                          <w:p w14:paraId="28C1961E">
                            <w:pPr>
                              <w:rPr>
                                <w:rFonts w:hint="eastAsia"/>
                                <w:b/>
                                <w:bCs/>
                                <w:color w:val="FFFF00"/>
                                <w:sz w:val="32"/>
                                <w:szCs w:val="32"/>
                              </w:rPr>
                            </w:pPr>
                            <w:r>
                              <w:rPr>
                                <w:rFonts w:hint="eastAsia"/>
                                <w:b/>
                                <w:bCs/>
                                <w:color w:val="FFFF00"/>
                                <w:sz w:val="32"/>
                                <w:szCs w:val="32"/>
                              </w:rPr>
                              <w:t>淮 河</w:t>
                            </w:r>
                          </w:p>
                        </w:txbxContent>
                      </wps:txbx>
                      <wps:bodyPr wrap="square" upright="1"/>
                    </wps:wsp>
                  </a:graphicData>
                </a:graphic>
              </wp:anchor>
            </w:drawing>
          </mc:Choice>
          <mc:Fallback>
            <w:pict>
              <v:shape id="文本框 182" o:spid="_x0000_s1026" o:spt="202" type="#_x0000_t202" style="position:absolute;left:0pt;margin-left:410.05pt;margin-top:225.15pt;height:36.85pt;width:78.15pt;rotation:-2686976f;z-index:251694080;mso-width-relative:page;mso-height-relative:page;" filled="f" stroked="f" coordsize="21600,21600" o:gfxdata="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jHSBL3QAAAAsBAAAPAAAAAAAAAAEAIAAAACIAAABkcnMv&#10;ZG93bnJldi54bWxQSwECFAAUAAAACACHTuJAsTK5dcUBAABtAwAADgAAAAAAAAABACAAAAAsAQAA&#10;ZHJzL2Uyb0RvYy54bWxQSwUGAAAAAAYABgBZAQAAYwUAAAAA&#10;">
                <v:fill on="f" focussize="0,0"/>
                <v:stroke on="f"/>
                <v:imagedata o:title=""/>
                <o:lock v:ext="edit" aspectratio="f"/>
                <v:textbox>
                  <w:txbxContent>
                    <w:p w14:paraId="28C1961E">
                      <w:pPr>
                        <w:rPr>
                          <w:rFonts w:hint="eastAsia"/>
                          <w:b/>
                          <w:bCs/>
                          <w:color w:val="FFFF00"/>
                          <w:sz w:val="32"/>
                          <w:szCs w:val="32"/>
                        </w:rPr>
                      </w:pPr>
                      <w:r>
                        <w:rPr>
                          <w:rFonts w:hint="eastAsia"/>
                          <w:b/>
                          <w:bCs/>
                          <w:color w:val="FFFF00"/>
                          <w:sz w:val="32"/>
                          <w:szCs w:val="32"/>
                        </w:rPr>
                        <w:t>淮 河</w:t>
                      </w:r>
                    </w:p>
                  </w:txbxContent>
                </v:textbox>
              </v:shape>
            </w:pict>
          </mc:Fallback>
        </mc:AlternateContent>
      </w:r>
      <w:r>
        <w:rPr>
          <w:color w:val="auto"/>
          <w:sz w:val="24"/>
        </w:rPr>
        <mc:AlternateContent>
          <mc:Choice Requires="wps">
            <w:drawing>
              <wp:anchor distT="0" distB="0" distL="114300" distR="114300" simplePos="0" relativeHeight="251697152" behindDoc="0" locked="0" layoutInCell="1" allowOverlap="1">
                <wp:simplePos x="0" y="0"/>
                <wp:positionH relativeFrom="column">
                  <wp:posOffset>4472305</wp:posOffset>
                </wp:positionH>
                <wp:positionV relativeFrom="paragraph">
                  <wp:posOffset>3222625</wp:posOffset>
                </wp:positionV>
                <wp:extent cx="481965" cy="72390"/>
                <wp:effectExtent l="1905" t="13970" r="11430" b="46990"/>
                <wp:wrapNone/>
                <wp:docPr id="60" name="直线 187"/>
                <wp:cNvGraphicFramePr/>
                <a:graphic xmlns:a="http://schemas.openxmlformats.org/drawingml/2006/main">
                  <a:graphicData uri="http://schemas.microsoft.com/office/word/2010/wordprocessingShape">
                    <wps:wsp>
                      <wps:cNvCnPr/>
                      <wps:spPr>
                        <a:xfrm>
                          <a:off x="0" y="0"/>
                          <a:ext cx="481965" cy="72390"/>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87" o:spid="_x0000_s1026" o:spt="20" style="position:absolute;left:0pt;margin-left:352.15pt;margin-top:253.75pt;height:5.7pt;width:37.95pt;z-index:251697152;mso-width-relative:page;mso-height-relative:page;" filled="f" stroked="t" coordsize="21600,21600" o:gfxdata="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mwDBg2wAAAAsBAAAPAAAAAAAAAAEAIAAAACIAAABkcnMvZG93bnJldi54&#10;bWxQSwECFAAUAAAACACHTuJAvV3SSfcBAADjAwAADgAAAAAAAAABACAAAAAqAQAAZHJzL2Uyb0Rv&#10;Yy54bWxQSwUGAAAAAAYABgBZAQAAkwU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784192" behindDoc="0" locked="0" layoutInCell="1" allowOverlap="1">
                <wp:simplePos x="0" y="0"/>
                <wp:positionH relativeFrom="column">
                  <wp:posOffset>6293485</wp:posOffset>
                </wp:positionH>
                <wp:positionV relativeFrom="paragraph">
                  <wp:posOffset>2923540</wp:posOffset>
                </wp:positionV>
                <wp:extent cx="412750" cy="182245"/>
                <wp:effectExtent l="5715" t="13970" r="635" b="13335"/>
                <wp:wrapNone/>
                <wp:docPr id="42" name="直线 189"/>
                <wp:cNvGraphicFramePr/>
                <a:graphic xmlns:a="http://schemas.openxmlformats.org/drawingml/2006/main">
                  <a:graphicData uri="http://schemas.microsoft.com/office/word/2010/wordprocessingShape">
                    <wps:wsp>
                      <wps:cNvCnPr/>
                      <wps:spPr>
                        <a:xfrm flipV="1">
                          <a:off x="0" y="0"/>
                          <a:ext cx="412750" cy="182245"/>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89" o:spid="_x0000_s1026" o:spt="20" style="position:absolute;left:0pt;flip:y;margin-left:495.55pt;margin-top:230.2pt;height:14.35pt;width:32.5pt;z-index:251784192;mso-width-relative:page;mso-height-relative:page;" filled="f" stroked="t" coordsize="21600,21600" o:gfxdata="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7HU9xdkAAAAMAQAADwAAAAAAAAABACAAAAAiAAAAZHJzL2Rv&#10;d25yZXYueG1sUEsBAhQAFAAAAAgAh07iQGCmF3EAAgAA7gMAAA4AAAAAAAAAAQAgAAAAKAEAAGRy&#10;cy9lMm9Eb2MueG1sUEsFBgAAAAAGAAYAWQEAAJoFA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699200" behindDoc="0" locked="0" layoutInCell="1" allowOverlap="1">
                <wp:simplePos x="0" y="0"/>
                <wp:positionH relativeFrom="column">
                  <wp:posOffset>5806440</wp:posOffset>
                </wp:positionH>
                <wp:positionV relativeFrom="paragraph">
                  <wp:posOffset>3121025</wp:posOffset>
                </wp:positionV>
                <wp:extent cx="412750" cy="182245"/>
                <wp:effectExtent l="5715" t="13970" r="635" b="13335"/>
                <wp:wrapNone/>
                <wp:docPr id="62" name="直线 189"/>
                <wp:cNvGraphicFramePr/>
                <a:graphic xmlns:a="http://schemas.openxmlformats.org/drawingml/2006/main">
                  <a:graphicData uri="http://schemas.microsoft.com/office/word/2010/wordprocessingShape">
                    <wps:wsp>
                      <wps:cNvCnPr/>
                      <wps:spPr>
                        <a:xfrm flipV="1">
                          <a:off x="0" y="0"/>
                          <a:ext cx="412750" cy="182245"/>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89" o:spid="_x0000_s1026" o:spt="20" style="position:absolute;left:0pt;flip:y;margin-left:457.2pt;margin-top:245.75pt;height:14.35pt;width:32.5pt;z-index:251699200;mso-width-relative:page;mso-height-relative:page;" filled="f" stroked="t" coordsize="21600,21600" o:gfxdata="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EGgvfaAAAACwEAAA8AAAAAAAAAAQAgAAAAIgAAAGRycy9k&#10;b3ducmV2LnhtbFBLAQIUABQAAAAIAIdO4kCYZedbAAIAAO4DAAAOAAAAAAAAAAEAIAAAACkBAABk&#10;cnMvZTJvRG9jLnhtbFBLBQYAAAAABgAGAFkBAACbBQ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695104" behindDoc="0" locked="0" layoutInCell="1" allowOverlap="1">
                <wp:simplePos x="0" y="0"/>
                <wp:positionH relativeFrom="column">
                  <wp:posOffset>4933315</wp:posOffset>
                </wp:positionH>
                <wp:positionV relativeFrom="paragraph">
                  <wp:posOffset>3838575</wp:posOffset>
                </wp:positionV>
                <wp:extent cx="173990" cy="379095"/>
                <wp:effectExtent l="12700" t="0" r="22860" b="20955"/>
                <wp:wrapNone/>
                <wp:docPr id="53" name="直线 183"/>
                <wp:cNvGraphicFramePr/>
                <a:graphic xmlns:a="http://schemas.openxmlformats.org/drawingml/2006/main">
                  <a:graphicData uri="http://schemas.microsoft.com/office/word/2010/wordprocessingShape">
                    <wps:wsp>
                      <wps:cNvCnPr/>
                      <wps:spPr>
                        <a:xfrm flipV="1">
                          <a:off x="0" y="0"/>
                          <a:ext cx="173990" cy="379095"/>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83" o:spid="_x0000_s1026" o:spt="20" style="position:absolute;left:0pt;flip:y;margin-left:388.45pt;margin-top:302.25pt;height:29.85pt;width:13.7pt;z-index:251695104;mso-width-relative:page;mso-height-relative:page;" filled="f" stroked="t" coordsize="21600,21600" o:gfxdata="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qKrbL2gAAAAsBAAAPAAAAAAAAAAEAIAAAACIAAABkcnMv&#10;ZG93bnJldi54bWxQSwECFAAUAAAACACHTuJA5pvRKwECAADuAwAADgAAAAAAAAABACAAAAApAQAA&#10;ZHJzL2Uyb0RvYy54bWxQSwUGAAAAAAYABgBZAQAAnAU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698176" behindDoc="0" locked="0" layoutInCell="1" allowOverlap="1">
                <wp:simplePos x="0" y="0"/>
                <wp:positionH relativeFrom="column">
                  <wp:posOffset>5351145</wp:posOffset>
                </wp:positionH>
                <wp:positionV relativeFrom="paragraph">
                  <wp:posOffset>3340735</wp:posOffset>
                </wp:positionV>
                <wp:extent cx="421005" cy="255270"/>
                <wp:effectExtent l="7620" t="0" r="9525" b="30480"/>
                <wp:wrapNone/>
                <wp:docPr id="61" name="直线 188"/>
                <wp:cNvGraphicFramePr/>
                <a:graphic xmlns:a="http://schemas.openxmlformats.org/drawingml/2006/main">
                  <a:graphicData uri="http://schemas.microsoft.com/office/word/2010/wordprocessingShape">
                    <wps:wsp>
                      <wps:cNvCnPr/>
                      <wps:spPr>
                        <a:xfrm flipV="1">
                          <a:off x="0" y="0"/>
                          <a:ext cx="421005" cy="255270"/>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88" o:spid="_x0000_s1026" o:spt="20" style="position:absolute;left:0pt;flip:y;margin-left:421.35pt;margin-top:263.05pt;height:20.1pt;width:33.15pt;z-index:251698176;mso-width-relative:page;mso-height-relative:page;" filled="f" stroked="t" coordsize="21600,21600" o:gfxdata="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2tFTcNkAAAALAQAADwAAAAAAAAABACAAAAAiAAAAZHJzL2Rvd25y&#10;ZXYueG1sUEsBAhQAFAAAAAgAh07iQECrqdP9AQAA7gMAAA4AAAAAAAAAAQAgAAAAKAEAAGRycy9l&#10;Mm9Eb2MueG1sUEsFBgAAAAAGAAYAWQEAAJcFA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700224" behindDoc="0" locked="0" layoutInCell="1" allowOverlap="1">
                <wp:simplePos x="0" y="0"/>
                <wp:positionH relativeFrom="column">
                  <wp:posOffset>3650615</wp:posOffset>
                </wp:positionH>
                <wp:positionV relativeFrom="paragraph">
                  <wp:posOffset>3100070</wp:posOffset>
                </wp:positionV>
                <wp:extent cx="541655" cy="28575"/>
                <wp:effectExtent l="635" t="41910" r="10160" b="62865"/>
                <wp:wrapNone/>
                <wp:docPr id="63" name="直线 190"/>
                <wp:cNvGraphicFramePr/>
                <a:graphic xmlns:a="http://schemas.openxmlformats.org/drawingml/2006/main">
                  <a:graphicData uri="http://schemas.microsoft.com/office/word/2010/wordprocessingShape">
                    <wps:wsp>
                      <wps:cNvCnPr/>
                      <wps:spPr>
                        <a:xfrm>
                          <a:off x="0" y="0"/>
                          <a:ext cx="541655" cy="28575"/>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90" o:spid="_x0000_s1026" o:spt="20" style="position:absolute;left:0pt;margin-left:287.45pt;margin-top:244.1pt;height:2.25pt;width:42.65pt;z-index:251700224;mso-width-relative:page;mso-height-relative:page;" filled="f" stroked="t" coordsize="21600,21600" o:gfxdata="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NSzP2wAAAAsBAAAPAAAAAAAAAAEAIAAAACIAAABkcnMvZG93bnJldi54bWxQ&#10;SwECFAAUAAAACACHTuJAp1NujPQBAADjAwAADgAAAAAAAAABACAAAAAqAQAAZHJzL2Uyb0RvYy54&#10;bWxQSwUGAAAAAAYABgBZAQAAkAU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701248" behindDoc="0" locked="0" layoutInCell="1" allowOverlap="1">
                <wp:simplePos x="0" y="0"/>
                <wp:positionH relativeFrom="column">
                  <wp:posOffset>2974340</wp:posOffset>
                </wp:positionH>
                <wp:positionV relativeFrom="paragraph">
                  <wp:posOffset>3004185</wp:posOffset>
                </wp:positionV>
                <wp:extent cx="541655" cy="28575"/>
                <wp:effectExtent l="635" t="41910" r="10160" b="62865"/>
                <wp:wrapNone/>
                <wp:docPr id="64" name="直线 191"/>
                <wp:cNvGraphicFramePr/>
                <a:graphic xmlns:a="http://schemas.openxmlformats.org/drawingml/2006/main">
                  <a:graphicData uri="http://schemas.microsoft.com/office/word/2010/wordprocessingShape">
                    <wps:wsp>
                      <wps:cNvCnPr/>
                      <wps:spPr>
                        <a:xfrm>
                          <a:off x="0" y="0"/>
                          <a:ext cx="541655" cy="28575"/>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91" o:spid="_x0000_s1026" o:spt="20" style="position:absolute;left:0pt;margin-left:234.2pt;margin-top:236.55pt;height:2.25pt;width:42.65pt;z-index:251701248;mso-width-relative:page;mso-height-relative:page;" filled="f" stroked="t" coordsize="21600,21600" o:gfxdata="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1y3zvNsAAAALAQAADwAAAAAAAAABACAAAAAiAAAAZHJzL2Rvd25yZXYueG1s&#10;UEsBAhQAFAAAAAgAh07iQMNJ8S31AQAA4wMAAA4AAAAAAAAAAQAgAAAAKgEAAGRycy9lMm9Eb2Mu&#10;eG1sUEsFBgAAAAAGAAYAWQEAAJEFA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702272" behindDoc="0" locked="0" layoutInCell="1" allowOverlap="1">
                <wp:simplePos x="0" y="0"/>
                <wp:positionH relativeFrom="column">
                  <wp:posOffset>2288540</wp:posOffset>
                </wp:positionH>
                <wp:positionV relativeFrom="paragraph">
                  <wp:posOffset>2733040</wp:posOffset>
                </wp:positionV>
                <wp:extent cx="535940" cy="151130"/>
                <wp:effectExtent l="3810" t="13970" r="12700" b="44450"/>
                <wp:wrapNone/>
                <wp:docPr id="65" name="直线 192"/>
                <wp:cNvGraphicFramePr/>
                <a:graphic xmlns:a="http://schemas.openxmlformats.org/drawingml/2006/main">
                  <a:graphicData uri="http://schemas.microsoft.com/office/word/2010/wordprocessingShape">
                    <wps:wsp>
                      <wps:cNvCnPr/>
                      <wps:spPr>
                        <a:xfrm>
                          <a:off x="0" y="0"/>
                          <a:ext cx="535940" cy="151130"/>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92" o:spid="_x0000_s1026" o:spt="20" style="position:absolute;left:0pt;margin-left:180.2pt;margin-top:215.2pt;height:11.9pt;width:42.2pt;z-index:251702272;mso-width-relative:page;mso-height-relative:page;" filled="f" stroked="t" coordsize="21600,21600" o:gfxdata="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uiu9y2gAAAAsBAAAPAAAAAAAAAAEAIAAAACIAAABkcnMvZG93bnJldi54&#10;bWxQSwECFAAUAAAACACHTuJA9KGxX/gBAADkAwAADgAAAAAAAAABACAAAAApAQAAZHJzL2Uyb0Rv&#10;Yy54bWxQSwUGAAAAAAYABgBZAQAAkwU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703296" behindDoc="0" locked="0" layoutInCell="1" allowOverlap="1">
                <wp:simplePos x="0" y="0"/>
                <wp:positionH relativeFrom="column">
                  <wp:posOffset>1640840</wp:posOffset>
                </wp:positionH>
                <wp:positionV relativeFrom="paragraph">
                  <wp:posOffset>2490470</wp:posOffset>
                </wp:positionV>
                <wp:extent cx="535940" cy="151130"/>
                <wp:effectExtent l="3810" t="13970" r="12700" b="44450"/>
                <wp:wrapNone/>
                <wp:docPr id="66" name="直线 193"/>
                <wp:cNvGraphicFramePr/>
                <a:graphic xmlns:a="http://schemas.openxmlformats.org/drawingml/2006/main">
                  <a:graphicData uri="http://schemas.microsoft.com/office/word/2010/wordprocessingShape">
                    <wps:wsp>
                      <wps:cNvCnPr/>
                      <wps:spPr>
                        <a:xfrm>
                          <a:off x="0" y="0"/>
                          <a:ext cx="535940" cy="151130"/>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93" o:spid="_x0000_s1026" o:spt="20" style="position:absolute;left:0pt;margin-left:129.2pt;margin-top:196.1pt;height:11.9pt;width:42.2pt;z-index:251703296;mso-width-relative:page;mso-height-relative:page;" filled="f" stroked="t" coordsize="21600,21600" o:gfxdata="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DJTFncAAAACwEAAA8AAAAAAAAAAQAgAAAAIgAAAGRycy9kb3ducmV2&#10;LnhtbFBLAQIUABQAAAAIAIdO4kC7G7TK+AEAAOQDAAAOAAAAAAAAAAEAIAAAACsBAABkcnMvZTJv&#10;RG9jLnhtbFBLBQYAAAAABgAGAFkBAACVBQAAAAA=&#10;">
                <v:fill on="f" focussize="0,0"/>
                <v:stroke weight="2.25pt" color="#7030A0" joinstyle="round" endarrow="open"/>
                <v:imagedata o:title=""/>
                <o:lock v:ext="edit" aspectratio="f"/>
              </v:line>
            </w:pict>
          </mc:Fallback>
        </mc:AlternateContent>
      </w:r>
      <w:r>
        <w:rPr>
          <w:rFonts w:hint="eastAsia" w:eastAsia="宋体"/>
          <w:color w:val="auto"/>
          <w:sz w:val="24"/>
          <w:lang w:eastAsia="zh-CN"/>
        </w:rPr>
        <w:drawing>
          <wp:inline distT="0" distB="0" distL="114300" distR="114300">
            <wp:extent cx="6318250" cy="5276215"/>
            <wp:effectExtent l="0" t="0" r="6350" b="635"/>
            <wp:docPr id="43" name="图片 43" descr="170126153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1701261534348"/>
                    <pic:cNvPicPr>
                      <a:picLocks noChangeAspect="1"/>
                    </pic:cNvPicPr>
                  </pic:nvPicPr>
                  <pic:blipFill>
                    <a:blip r:embed="rId42"/>
                    <a:stretch>
                      <a:fillRect/>
                    </a:stretch>
                  </pic:blipFill>
                  <pic:spPr>
                    <a:xfrm>
                      <a:off x="0" y="0"/>
                      <a:ext cx="6318250" cy="5276215"/>
                    </a:xfrm>
                    <a:prstGeom prst="rect">
                      <a:avLst/>
                    </a:prstGeom>
                  </pic:spPr>
                </pic:pic>
              </a:graphicData>
            </a:graphic>
          </wp:inline>
        </w:drawing>
      </w:r>
    </w:p>
    <w:p w14:paraId="3C66155A">
      <w:pPr>
        <w:spacing w:line="400" w:lineRule="exact"/>
        <w:jc w:val="center"/>
        <w:rPr>
          <w:color w:val="auto"/>
        </w:rPr>
        <w:sectPr>
          <w:pgSz w:w="16838" w:h="11906" w:orient="landscape"/>
          <w:pgMar w:top="1417" w:right="1440" w:bottom="1417" w:left="1440" w:header="851" w:footer="992" w:gutter="0"/>
          <w:pgBorders>
            <w:top w:val="none" w:sz="0" w:space="0"/>
            <w:left w:val="none" w:sz="0" w:space="0"/>
            <w:bottom w:val="none" w:sz="0" w:space="0"/>
            <w:right w:val="none" w:sz="0" w:space="0"/>
          </w:pgBorders>
          <w:cols w:space="720" w:num="1"/>
          <w:docGrid w:type="linesAndChars" w:linePitch="312" w:charSpace="0"/>
        </w:sectPr>
      </w:pPr>
      <w:r>
        <w:rPr>
          <w:rFonts w:eastAsia="黑体"/>
          <w:color w:val="auto"/>
          <w:sz w:val="24"/>
        </w:rPr>
        <w:t>图2.</w:t>
      </w:r>
      <w:r>
        <w:rPr>
          <w:rFonts w:hint="eastAsia" w:eastAsia="黑体"/>
          <w:color w:val="auto"/>
          <w:sz w:val="24"/>
        </w:rPr>
        <w:t>6</w:t>
      </w:r>
      <w:r>
        <w:rPr>
          <w:rFonts w:eastAsia="黑体"/>
          <w:color w:val="auto"/>
          <w:sz w:val="24"/>
        </w:rPr>
        <w:t xml:space="preserve">-1  </w:t>
      </w:r>
      <w:r>
        <w:rPr>
          <w:rFonts w:hint="eastAsia" w:eastAsia="黑体"/>
          <w:color w:val="auto"/>
          <w:sz w:val="24"/>
        </w:rPr>
        <w:t>项目</w:t>
      </w:r>
      <w:r>
        <w:rPr>
          <w:rFonts w:hint="eastAsia" w:eastAsia="黑体"/>
          <w:color w:val="auto"/>
          <w:sz w:val="24"/>
          <w:lang w:val="en-US" w:eastAsia="zh-CN"/>
        </w:rPr>
        <w:t>大气</w:t>
      </w:r>
      <w:r>
        <w:rPr>
          <w:rFonts w:eastAsia="黑体"/>
          <w:color w:val="auto"/>
          <w:sz w:val="24"/>
        </w:rPr>
        <w:t>环境</w:t>
      </w:r>
      <w:r>
        <w:rPr>
          <w:rFonts w:hint="eastAsia" w:eastAsia="黑体"/>
          <w:color w:val="auto"/>
          <w:sz w:val="24"/>
        </w:rPr>
        <w:t>保护</w:t>
      </w:r>
      <w:r>
        <w:rPr>
          <w:rFonts w:eastAsia="黑体"/>
          <w:color w:val="auto"/>
          <w:sz w:val="24"/>
        </w:rPr>
        <w:t>目标</w:t>
      </w:r>
      <w:r>
        <w:rPr>
          <w:rFonts w:hint="eastAsia" w:eastAsia="黑体"/>
          <w:color w:val="auto"/>
          <w:sz w:val="24"/>
        </w:rPr>
        <w:t>位置关系</w:t>
      </w:r>
      <w:r>
        <w:rPr>
          <w:rFonts w:eastAsia="黑体"/>
          <w:color w:val="auto"/>
          <w:sz w:val="24"/>
        </w:rPr>
        <w:t>图</w:t>
      </w:r>
    </w:p>
    <w:p w14:paraId="170D9E45">
      <w:pPr>
        <w:spacing w:line="336" w:lineRule="auto"/>
        <w:jc w:val="center"/>
        <w:rPr>
          <w:rFonts w:hint="eastAsia" w:eastAsia="宋体"/>
          <w:color w:val="auto"/>
          <w:sz w:val="24"/>
          <w:lang w:eastAsia="zh-CN"/>
        </w:rPr>
      </w:pPr>
      <w:r>
        <w:rPr>
          <w:color w:val="auto"/>
          <w:sz w:val="24"/>
        </w:rPr>
        <mc:AlternateContent>
          <mc:Choice Requires="wps">
            <w:drawing>
              <wp:anchor distT="0" distB="0" distL="114300" distR="114300" simplePos="0" relativeHeight="251795456" behindDoc="0" locked="0" layoutInCell="1" allowOverlap="1">
                <wp:simplePos x="0" y="0"/>
                <wp:positionH relativeFrom="column">
                  <wp:posOffset>6142355</wp:posOffset>
                </wp:positionH>
                <wp:positionV relativeFrom="paragraph">
                  <wp:posOffset>3622040</wp:posOffset>
                </wp:positionV>
                <wp:extent cx="746760" cy="54610"/>
                <wp:effectExtent l="1270" t="17780" r="13970" b="60960"/>
                <wp:wrapNone/>
                <wp:docPr id="91" name="直线 189"/>
                <wp:cNvGraphicFramePr/>
                <a:graphic xmlns:a="http://schemas.openxmlformats.org/drawingml/2006/main">
                  <a:graphicData uri="http://schemas.microsoft.com/office/word/2010/wordprocessingShape">
                    <wps:wsp>
                      <wps:cNvCnPr/>
                      <wps:spPr>
                        <a:xfrm>
                          <a:off x="0" y="0"/>
                          <a:ext cx="746760" cy="54610"/>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89" o:spid="_x0000_s1026" o:spt="20" style="position:absolute;left:0pt;margin-left:483.65pt;margin-top:285.2pt;height:4.3pt;width:58.8pt;z-index:251795456;mso-width-relative:page;mso-height-relative:page;" filled="f" stroked="t" coordsize="21600,21600" o:gfxdata="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sez4L2wAAAAwBAAAPAAAAAAAAAAEAIAAAACIAAABkcnMvZG93bnJldi54&#10;bWxQSwECFAAUAAAACACHTuJAZQukhfcBAADjAwAADgAAAAAAAAABACAAAAAqAQAAZHJzL2Uyb0Rv&#10;Yy54bWxQSwUGAAAAAAYABgBZAQAAkwU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790336" behindDoc="0" locked="0" layoutInCell="1" allowOverlap="1">
                <wp:simplePos x="0" y="0"/>
                <wp:positionH relativeFrom="column">
                  <wp:posOffset>5227320</wp:posOffset>
                </wp:positionH>
                <wp:positionV relativeFrom="paragraph">
                  <wp:posOffset>3509010</wp:posOffset>
                </wp:positionV>
                <wp:extent cx="686435" cy="111760"/>
                <wp:effectExtent l="2540" t="13970" r="15875" b="45720"/>
                <wp:wrapNone/>
                <wp:docPr id="92" name="直线 189"/>
                <wp:cNvGraphicFramePr/>
                <a:graphic xmlns:a="http://schemas.openxmlformats.org/drawingml/2006/main">
                  <a:graphicData uri="http://schemas.microsoft.com/office/word/2010/wordprocessingShape">
                    <wps:wsp>
                      <wps:cNvCnPr/>
                      <wps:spPr>
                        <a:xfrm>
                          <a:off x="0" y="0"/>
                          <a:ext cx="686435" cy="111760"/>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89" o:spid="_x0000_s1026" o:spt="20" style="position:absolute;left:0pt;margin-left:411.6pt;margin-top:276.3pt;height:8.8pt;width:54.05pt;z-index:251790336;mso-width-relative:page;mso-height-relative:page;" filled="f" stroked="t" coordsize="21600,21600" o:gfxdata="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QWeXt9sAAAALAQAADwAAAAAAAAABACAAAAAiAAAAZHJzL2Rvd25yZXYu&#10;eG1sUEsBAhQAFAAAAAgAh07iQMOYAqz4AQAA5AMAAA4AAAAAAAAAAQAgAAAAKgEAAGRycy9lMm9E&#10;b2MueG1sUEsFBgAAAAAGAAYAWQEAAJQFA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787264" behindDoc="0" locked="0" layoutInCell="1" allowOverlap="1">
                <wp:simplePos x="0" y="0"/>
                <wp:positionH relativeFrom="column">
                  <wp:posOffset>5024755</wp:posOffset>
                </wp:positionH>
                <wp:positionV relativeFrom="paragraph">
                  <wp:posOffset>3049905</wp:posOffset>
                </wp:positionV>
                <wp:extent cx="992505" cy="467995"/>
                <wp:effectExtent l="0" t="0" r="0" b="0"/>
                <wp:wrapNone/>
                <wp:docPr id="89" name="文本框 182"/>
                <wp:cNvGraphicFramePr/>
                <a:graphic xmlns:a="http://schemas.openxmlformats.org/drawingml/2006/main">
                  <a:graphicData uri="http://schemas.microsoft.com/office/word/2010/wordprocessingShape">
                    <wps:wsp>
                      <wps:cNvSpPr txBox="1"/>
                      <wps:spPr>
                        <a:xfrm rot="19140000">
                          <a:off x="0" y="0"/>
                          <a:ext cx="992505" cy="467995"/>
                        </a:xfrm>
                        <a:prstGeom prst="rect">
                          <a:avLst/>
                        </a:prstGeom>
                        <a:noFill/>
                        <a:ln>
                          <a:noFill/>
                        </a:ln>
                      </wps:spPr>
                      <wps:txbx>
                        <w:txbxContent>
                          <w:p w14:paraId="52EB94E7">
                            <w:pPr>
                              <w:rPr>
                                <w:rFonts w:hint="eastAsia"/>
                                <w:b/>
                                <w:bCs/>
                                <w:color w:val="FFFF00"/>
                                <w:sz w:val="32"/>
                                <w:szCs w:val="32"/>
                              </w:rPr>
                            </w:pPr>
                            <w:r>
                              <w:rPr>
                                <w:rFonts w:hint="eastAsia"/>
                                <w:b/>
                                <w:bCs/>
                                <w:color w:val="FFFF00"/>
                                <w:sz w:val="32"/>
                                <w:szCs w:val="32"/>
                              </w:rPr>
                              <w:t>淮 河</w:t>
                            </w:r>
                          </w:p>
                        </w:txbxContent>
                      </wps:txbx>
                      <wps:bodyPr wrap="square" upright="1"/>
                    </wps:wsp>
                  </a:graphicData>
                </a:graphic>
              </wp:anchor>
            </w:drawing>
          </mc:Choice>
          <mc:Fallback>
            <w:pict>
              <v:shape id="文本框 182" o:spid="_x0000_s1026" o:spt="202" type="#_x0000_t202" style="position:absolute;left:0pt;margin-left:395.65pt;margin-top:240.15pt;height:36.85pt;width:78.15pt;rotation:-2686976f;z-index:251787264;mso-width-relative:page;mso-height-relative:page;" filled="f" stroked="f" coordsize="21600,21600" o:gfxdata="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WSxG7d0AAAALAQAADwAAAAAAAAABACAAAAAiAAAAZHJz&#10;L2Rvd25yZXYueG1sUEsBAhQAFAAAAAgAh07iQCg7q2vGAQAAbQMAAA4AAAAAAAAAAQAgAAAALAEA&#10;AGRycy9lMm9Eb2MueG1sUEsFBgAAAAAGAAYAWQEAAGQFAAAAAA==&#10;">
                <v:fill on="f" focussize="0,0"/>
                <v:stroke on="f"/>
                <v:imagedata o:title=""/>
                <o:lock v:ext="edit" aspectratio="f"/>
                <v:textbox>
                  <w:txbxContent>
                    <w:p w14:paraId="52EB94E7">
                      <w:pPr>
                        <w:rPr>
                          <w:rFonts w:hint="eastAsia"/>
                          <w:b/>
                          <w:bCs/>
                          <w:color w:val="FFFF00"/>
                          <w:sz w:val="32"/>
                          <w:szCs w:val="32"/>
                        </w:rPr>
                      </w:pPr>
                      <w:r>
                        <w:rPr>
                          <w:rFonts w:hint="eastAsia"/>
                          <w:b/>
                          <w:bCs/>
                          <w:color w:val="FFFF00"/>
                          <w:sz w:val="32"/>
                          <w:szCs w:val="32"/>
                        </w:rPr>
                        <w:t>淮 河</w:t>
                      </w:r>
                    </w:p>
                  </w:txbxContent>
                </v:textbox>
              </v:shape>
            </w:pict>
          </mc:Fallback>
        </mc:AlternateContent>
      </w:r>
      <w:r>
        <w:rPr>
          <w:color w:val="auto"/>
          <w:sz w:val="24"/>
        </w:rPr>
        <mc:AlternateContent>
          <mc:Choice Requires="wps">
            <w:drawing>
              <wp:anchor distT="0" distB="0" distL="114300" distR="114300" simplePos="0" relativeHeight="251789312" behindDoc="0" locked="0" layoutInCell="1" allowOverlap="1">
                <wp:simplePos x="0" y="0"/>
                <wp:positionH relativeFrom="column">
                  <wp:posOffset>4210050</wp:posOffset>
                </wp:positionH>
                <wp:positionV relativeFrom="paragraph">
                  <wp:posOffset>3342005</wp:posOffset>
                </wp:positionV>
                <wp:extent cx="481965" cy="72390"/>
                <wp:effectExtent l="1905" t="13970" r="11430" b="46990"/>
                <wp:wrapNone/>
                <wp:docPr id="90" name="直线 187"/>
                <wp:cNvGraphicFramePr/>
                <a:graphic xmlns:a="http://schemas.openxmlformats.org/drawingml/2006/main">
                  <a:graphicData uri="http://schemas.microsoft.com/office/word/2010/wordprocessingShape">
                    <wps:wsp>
                      <wps:cNvCnPr/>
                      <wps:spPr>
                        <a:xfrm>
                          <a:off x="0" y="0"/>
                          <a:ext cx="481965" cy="72390"/>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87" o:spid="_x0000_s1026" o:spt="20" style="position:absolute;left:0pt;margin-left:331.5pt;margin-top:263.15pt;height:5.7pt;width:37.95pt;z-index:251789312;mso-width-relative:page;mso-height-relative:page;" filled="f" stroked="t" coordsize="21600,21600" o:gfxdata="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vP2MUtwAAAALAQAADwAAAAAAAAABACAAAAAiAAAAZHJzL2Rvd25yZXYu&#10;eG1sUEsBAhQAFAAAAAgAh07iQM/7TKv3AQAA4wMAAA4AAAAAAAAAAQAgAAAAKwEAAGRycy9lMm9E&#10;b2MueG1sUEsFBgAAAAAGAAYAWQEAAJQFA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791360" behindDoc="0" locked="0" layoutInCell="1" allowOverlap="1">
                <wp:simplePos x="0" y="0"/>
                <wp:positionH relativeFrom="column">
                  <wp:posOffset>3277870</wp:posOffset>
                </wp:positionH>
                <wp:positionV relativeFrom="paragraph">
                  <wp:posOffset>3171825</wp:posOffset>
                </wp:positionV>
                <wp:extent cx="541655" cy="28575"/>
                <wp:effectExtent l="635" t="41910" r="10160" b="62865"/>
                <wp:wrapNone/>
                <wp:docPr id="95" name="直线 190"/>
                <wp:cNvGraphicFramePr/>
                <a:graphic xmlns:a="http://schemas.openxmlformats.org/drawingml/2006/main">
                  <a:graphicData uri="http://schemas.microsoft.com/office/word/2010/wordprocessingShape">
                    <wps:wsp>
                      <wps:cNvCnPr/>
                      <wps:spPr>
                        <a:xfrm>
                          <a:off x="0" y="0"/>
                          <a:ext cx="541655" cy="28575"/>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90" o:spid="_x0000_s1026" o:spt="20" style="position:absolute;left:0pt;margin-left:258.1pt;margin-top:249.75pt;height:2.25pt;width:42.65pt;z-index:251791360;mso-width-relative:page;mso-height-relative:page;" filled="f" stroked="t" coordsize="21600,21600" o:gfxdata="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tjLsItoAAAALAQAADwAAAAAAAAABACAAAAAiAAAAZHJzL2Rvd25yZXYueG1sUEsB&#10;AhQAFAAAAAgAh07iQK/JKHjzAQAA4wMAAA4AAAAAAAAAAQAgAAAAKQEAAGRycy9lMm9Eb2MueG1s&#10;UEsFBgAAAAAGAAYAWQEAAI4FA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792384" behindDoc="0" locked="0" layoutInCell="1" allowOverlap="1">
                <wp:simplePos x="0" y="0"/>
                <wp:positionH relativeFrom="column">
                  <wp:posOffset>2474595</wp:posOffset>
                </wp:positionH>
                <wp:positionV relativeFrom="paragraph">
                  <wp:posOffset>3067685</wp:posOffset>
                </wp:positionV>
                <wp:extent cx="541655" cy="28575"/>
                <wp:effectExtent l="635" t="41910" r="10160" b="62865"/>
                <wp:wrapNone/>
                <wp:docPr id="96" name="直线 191"/>
                <wp:cNvGraphicFramePr/>
                <a:graphic xmlns:a="http://schemas.openxmlformats.org/drawingml/2006/main">
                  <a:graphicData uri="http://schemas.microsoft.com/office/word/2010/wordprocessingShape">
                    <wps:wsp>
                      <wps:cNvCnPr/>
                      <wps:spPr>
                        <a:xfrm>
                          <a:off x="0" y="0"/>
                          <a:ext cx="541655" cy="28575"/>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91" o:spid="_x0000_s1026" o:spt="20" style="position:absolute;left:0pt;margin-left:194.85pt;margin-top:241.55pt;height:2.25pt;width:42.65pt;z-index:251792384;mso-width-relative:page;mso-height-relative:page;" filled="f" stroked="t" coordsize="21600,21600" o:gfxdata="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JaCucNsAAAALAQAADwAAAAAAAAABACAAAAAiAAAAZHJzL2Rvd25yZXYueG1s&#10;UEsBAhQAFAAAAAgAh07iQGcE2ML1AQAA4wMAAA4AAAAAAAAAAQAgAAAAKgEAAGRycy9lMm9Eb2Mu&#10;eG1sUEsFBgAAAAAGAAYAWQEAAJEFA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793408" behindDoc="0" locked="0" layoutInCell="1" allowOverlap="1">
                <wp:simplePos x="0" y="0"/>
                <wp:positionH relativeFrom="column">
                  <wp:posOffset>1598295</wp:posOffset>
                </wp:positionH>
                <wp:positionV relativeFrom="paragraph">
                  <wp:posOffset>2900045</wp:posOffset>
                </wp:positionV>
                <wp:extent cx="535940" cy="151130"/>
                <wp:effectExtent l="3810" t="13970" r="12700" b="44450"/>
                <wp:wrapNone/>
                <wp:docPr id="97" name="直线 192"/>
                <wp:cNvGraphicFramePr/>
                <a:graphic xmlns:a="http://schemas.openxmlformats.org/drawingml/2006/main">
                  <a:graphicData uri="http://schemas.microsoft.com/office/word/2010/wordprocessingShape">
                    <wps:wsp>
                      <wps:cNvCnPr/>
                      <wps:spPr>
                        <a:xfrm>
                          <a:off x="0" y="0"/>
                          <a:ext cx="535940" cy="151130"/>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92" o:spid="_x0000_s1026" o:spt="20" style="position:absolute;left:0pt;margin-left:125.85pt;margin-top:228.35pt;height:11.9pt;width:42.2pt;z-index:251793408;mso-width-relative:page;mso-height-relative:page;" filled="f" stroked="t" coordsize="21600,21600" o:gfxdata="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Y00yFNsAAAALAQAADwAAAAAAAAABACAAAAAiAAAAZHJzL2Rvd25yZXYu&#10;eG1sUEsBAhQAFAAAAAgAh07iQEjv5Y74AQAA5AMAAA4AAAAAAAAAAQAgAAAAKgEAAGRycy9lMm9E&#10;b2MueG1sUEsFBgAAAAAGAAYAWQEAAJQFA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794432" behindDoc="0" locked="0" layoutInCell="1" allowOverlap="1">
                <wp:simplePos x="0" y="0"/>
                <wp:positionH relativeFrom="column">
                  <wp:posOffset>847090</wp:posOffset>
                </wp:positionH>
                <wp:positionV relativeFrom="paragraph">
                  <wp:posOffset>2808605</wp:posOffset>
                </wp:positionV>
                <wp:extent cx="535940" cy="151130"/>
                <wp:effectExtent l="3810" t="13970" r="12700" b="44450"/>
                <wp:wrapNone/>
                <wp:docPr id="98" name="直线 193"/>
                <wp:cNvGraphicFramePr/>
                <a:graphic xmlns:a="http://schemas.openxmlformats.org/drawingml/2006/main">
                  <a:graphicData uri="http://schemas.microsoft.com/office/word/2010/wordprocessingShape">
                    <wps:wsp>
                      <wps:cNvCnPr/>
                      <wps:spPr>
                        <a:xfrm>
                          <a:off x="0" y="0"/>
                          <a:ext cx="535940" cy="151130"/>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93" o:spid="_x0000_s1026" o:spt="20" style="position:absolute;left:0pt;margin-left:66.7pt;margin-top:221.15pt;height:11.9pt;width:42.2pt;z-index:251794432;mso-width-relative:page;mso-height-relative:page;" filled="f" stroked="t" coordsize="21600,21600" o:gfxdata="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o0cl3ZAAAACwEAAA8AAAAAAAAAAQAgAAAAIgAAAGRycy9kb3ducmV2Lnht&#10;bFBLAQIUABQAAAAIAIdO4kB60x2h+AEAAOQDAAAOAAAAAAAAAAEAIAAAACgBAABkcnMvZTJvRG9j&#10;LnhtbFBLBQYAAAAABgAGAFkBAACSBQAAAAA=&#10;">
                <v:fill on="f" focussize="0,0"/>
                <v:stroke weight="2.25pt" color="#7030A0" joinstyle="round" endarrow="open"/>
                <v:imagedata o:title=""/>
                <o:lock v:ext="edit" aspectratio="f"/>
              </v:line>
            </w:pict>
          </mc:Fallback>
        </mc:AlternateContent>
      </w:r>
      <w:r>
        <w:rPr>
          <w:color w:val="auto"/>
          <w:sz w:val="24"/>
        </w:rPr>
        <mc:AlternateContent>
          <mc:Choice Requires="wpg">
            <w:drawing>
              <wp:anchor distT="0" distB="0" distL="114300" distR="114300" simplePos="0" relativeHeight="251788288" behindDoc="0" locked="0" layoutInCell="1" allowOverlap="1">
                <wp:simplePos x="0" y="0"/>
                <wp:positionH relativeFrom="column">
                  <wp:posOffset>6572250</wp:posOffset>
                </wp:positionH>
                <wp:positionV relativeFrom="paragraph">
                  <wp:posOffset>3901440</wp:posOffset>
                </wp:positionV>
                <wp:extent cx="1513205" cy="1317625"/>
                <wp:effectExtent l="4445" t="4445" r="6350" b="11430"/>
                <wp:wrapNone/>
                <wp:docPr id="84" name="组合 186"/>
                <wp:cNvGraphicFramePr/>
                <a:graphic xmlns:a="http://schemas.openxmlformats.org/drawingml/2006/main">
                  <a:graphicData uri="http://schemas.microsoft.com/office/word/2010/wordprocessingGroup">
                    <wpg:wgp>
                      <wpg:cNvGrpSpPr/>
                      <wpg:grpSpPr>
                        <a:xfrm>
                          <a:off x="0" y="0"/>
                          <a:ext cx="1513050" cy="1317746"/>
                          <a:chOff x="15159" y="834565"/>
                          <a:chExt cx="3202" cy="2590"/>
                        </a:xfrm>
                      </wpg:grpSpPr>
                      <wps:wsp>
                        <wps:cNvPr id="85" name="文本框 176"/>
                        <wps:cNvSpPr txBox="1"/>
                        <wps:spPr>
                          <a:xfrm>
                            <a:off x="15159" y="834565"/>
                            <a:ext cx="3202" cy="25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1F49B9">
                              <w:pPr>
                                <w:jc w:val="center"/>
                                <w:rPr>
                                  <w:rFonts w:hint="eastAsia"/>
                                  <w:sz w:val="28"/>
                                  <w:szCs w:val="28"/>
                                  <w:u w:val="single"/>
                                </w:rPr>
                              </w:pPr>
                              <w:r>
                                <w:rPr>
                                  <w:rFonts w:hint="eastAsia"/>
                                  <w:sz w:val="28"/>
                                  <w:szCs w:val="28"/>
                                  <w:u w:val="single"/>
                                </w:rPr>
                                <w:t>图例</w:t>
                              </w:r>
                            </w:p>
                            <w:p w14:paraId="2FBE0A07">
                              <w:pPr>
                                <w:pStyle w:val="15"/>
                                <w:spacing w:before="62" w:beforeLines="20"/>
                                <w:ind w:firstLine="0"/>
                                <w:jc w:val="right"/>
                                <w:rPr>
                                  <w:rFonts w:hint="eastAsia"/>
                                  <w:sz w:val="22"/>
                                  <w:szCs w:val="21"/>
                                </w:rPr>
                              </w:pPr>
                              <w:r>
                                <w:rPr>
                                  <w:rFonts w:hint="eastAsia"/>
                                  <w:sz w:val="22"/>
                                  <w:szCs w:val="21"/>
                                </w:rPr>
                                <w:t>本项目所在地</w:t>
                              </w:r>
                            </w:p>
                            <w:p w14:paraId="78665037">
                              <w:pPr>
                                <w:pStyle w:val="16"/>
                                <w:spacing w:before="62" w:beforeLines="20" w:after="0"/>
                                <w:ind w:left="0" w:leftChars="0" w:firstLine="0" w:firstLineChars="0"/>
                                <w:jc w:val="right"/>
                                <w:rPr>
                                  <w:rFonts w:hint="eastAsia"/>
                                  <w:sz w:val="22"/>
                                  <w:szCs w:val="22"/>
                                </w:rPr>
                              </w:pPr>
                              <w:r>
                                <w:rPr>
                                  <w:rFonts w:hint="eastAsia"/>
                                  <w:sz w:val="22"/>
                                  <w:szCs w:val="22"/>
                                  <w:lang w:val="en-US" w:eastAsia="zh-CN"/>
                                </w:rPr>
                                <w:t>声环境</w:t>
                              </w:r>
                              <w:r>
                                <w:rPr>
                                  <w:rFonts w:hint="eastAsia"/>
                                  <w:sz w:val="22"/>
                                  <w:szCs w:val="22"/>
                                </w:rPr>
                                <w:t>敏感目标</w:t>
                              </w:r>
                            </w:p>
                            <w:p w14:paraId="5AD17199">
                              <w:pPr>
                                <w:pStyle w:val="15"/>
                                <w:spacing w:before="62" w:beforeLines="20"/>
                                <w:ind w:firstLine="0"/>
                                <w:jc w:val="right"/>
                                <w:rPr>
                                  <w:sz w:val="24"/>
                                  <w:szCs w:val="22"/>
                                </w:rPr>
                              </w:pPr>
                            </w:p>
                          </w:txbxContent>
                        </wps:txbx>
                        <wps:bodyPr wrap="square" upright="1"/>
                      </wps:wsp>
                      <wps:wsp>
                        <wps:cNvPr id="86" name="椭圆 177"/>
                        <wps:cNvSpPr/>
                        <wps:spPr>
                          <a:xfrm>
                            <a:off x="15867" y="835545"/>
                            <a:ext cx="199" cy="186"/>
                          </a:xfrm>
                          <a:prstGeom prst="ellipse">
                            <a:avLst/>
                          </a:prstGeom>
                          <a:solidFill>
                            <a:srgbClr val="FF0000"/>
                          </a:solidFill>
                          <a:ln w="9525" cap="flat" cmpd="sng">
                            <a:solidFill>
                              <a:srgbClr val="000000"/>
                            </a:solidFill>
                            <a:prstDash val="solid"/>
                            <a:headEnd type="none" w="med" len="med"/>
                            <a:tailEnd type="none" w="med" len="med"/>
                          </a:ln>
                        </wps:spPr>
                        <wps:bodyPr wrap="square" upright="1"/>
                      </wps:wsp>
                      <wps:wsp>
                        <wps:cNvPr id="87" name="椭圆 178"/>
                        <wps:cNvSpPr/>
                        <wps:spPr>
                          <a:xfrm>
                            <a:off x="15753" y="836052"/>
                            <a:ext cx="200" cy="186"/>
                          </a:xfrm>
                          <a:prstGeom prst="ellipse">
                            <a:avLst/>
                          </a:prstGeom>
                          <a:solidFill>
                            <a:srgbClr val="00B0F0"/>
                          </a:solidFill>
                          <a:ln w="9525" cap="flat" cmpd="sng">
                            <a:solidFill>
                              <a:srgbClr val="000000"/>
                            </a:solidFill>
                            <a:prstDash val="solid"/>
                            <a:headEnd type="none" w="med" len="med"/>
                            <a:tailEnd type="none" w="med" len="med"/>
                          </a:ln>
                        </wps:spPr>
                        <wps:bodyPr wrap="square" upright="1"/>
                      </wps:wsp>
                    </wpg:wgp>
                  </a:graphicData>
                </a:graphic>
              </wp:anchor>
            </w:drawing>
          </mc:Choice>
          <mc:Fallback>
            <w:pict>
              <v:group id="组合 186" o:spid="_x0000_s1026" o:spt="203" style="position:absolute;left:0pt;margin-left:517.5pt;margin-top:307.2pt;height:103.75pt;width:119.15pt;z-index:251788288;mso-width-relative:page;mso-height-relative:page;" coordorigin="15159,834565" coordsize="3202,2590" o:gfxdata="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DCQ7nzcAAAADQEAAA8AAAAAAAAAAQAgAAAAIgAAAGRycy9kb3ducmV2LnhtbFBL&#10;AQIUABQAAAAIAIdO4kDpLOY9DwMAABoKAAAOAAAAAAAAAAEAIAAAACsBAABkcnMvZTJvRG9jLnht&#10;bFBLBQYAAAAABgAGAFkBAACsBgAAAAA=&#10;">
                <o:lock v:ext="edit" aspectratio="f"/>
                <v:shape id="文本框 176" o:spid="_x0000_s1026" o:spt="202" type="#_x0000_t202" style="position:absolute;left:15159;top:834565;height:2590;width:3202;" fillcolor="#FFFFFF" filled="t" stroked="t" coordsize="21600,21600" o:gfxdata="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OenG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691F49B9">
                        <w:pPr>
                          <w:jc w:val="center"/>
                          <w:rPr>
                            <w:rFonts w:hint="eastAsia"/>
                            <w:sz w:val="28"/>
                            <w:szCs w:val="28"/>
                            <w:u w:val="single"/>
                          </w:rPr>
                        </w:pPr>
                        <w:r>
                          <w:rPr>
                            <w:rFonts w:hint="eastAsia"/>
                            <w:sz w:val="28"/>
                            <w:szCs w:val="28"/>
                            <w:u w:val="single"/>
                          </w:rPr>
                          <w:t>图例</w:t>
                        </w:r>
                      </w:p>
                      <w:p w14:paraId="2FBE0A07">
                        <w:pPr>
                          <w:pStyle w:val="15"/>
                          <w:spacing w:before="62" w:beforeLines="20"/>
                          <w:ind w:firstLine="0"/>
                          <w:jc w:val="right"/>
                          <w:rPr>
                            <w:rFonts w:hint="eastAsia"/>
                            <w:sz w:val="22"/>
                            <w:szCs w:val="21"/>
                          </w:rPr>
                        </w:pPr>
                        <w:r>
                          <w:rPr>
                            <w:rFonts w:hint="eastAsia"/>
                            <w:sz w:val="22"/>
                            <w:szCs w:val="21"/>
                          </w:rPr>
                          <w:t>本项目所在地</w:t>
                        </w:r>
                      </w:p>
                      <w:p w14:paraId="78665037">
                        <w:pPr>
                          <w:pStyle w:val="16"/>
                          <w:spacing w:before="62" w:beforeLines="20" w:after="0"/>
                          <w:ind w:left="0" w:leftChars="0" w:firstLine="0" w:firstLineChars="0"/>
                          <w:jc w:val="right"/>
                          <w:rPr>
                            <w:rFonts w:hint="eastAsia"/>
                            <w:sz w:val="22"/>
                            <w:szCs w:val="22"/>
                          </w:rPr>
                        </w:pPr>
                        <w:r>
                          <w:rPr>
                            <w:rFonts w:hint="eastAsia"/>
                            <w:sz w:val="22"/>
                            <w:szCs w:val="22"/>
                            <w:lang w:val="en-US" w:eastAsia="zh-CN"/>
                          </w:rPr>
                          <w:t>声环境</w:t>
                        </w:r>
                        <w:r>
                          <w:rPr>
                            <w:rFonts w:hint="eastAsia"/>
                            <w:sz w:val="22"/>
                            <w:szCs w:val="22"/>
                          </w:rPr>
                          <w:t>敏感目标</w:t>
                        </w:r>
                      </w:p>
                      <w:p w14:paraId="5AD17199">
                        <w:pPr>
                          <w:pStyle w:val="15"/>
                          <w:spacing w:before="62" w:beforeLines="20"/>
                          <w:ind w:firstLine="0"/>
                          <w:jc w:val="right"/>
                          <w:rPr>
                            <w:sz w:val="24"/>
                            <w:szCs w:val="22"/>
                          </w:rPr>
                        </w:pPr>
                      </w:p>
                    </w:txbxContent>
                  </v:textbox>
                </v:shape>
                <v:shape id="椭圆 177" o:spid="_x0000_s1026" o:spt="3" type="#_x0000_t3" style="position:absolute;left:15867;top:835545;height:186;width:199;" fillcolor="#FF0000" filled="t" stroked="t" coordsize="21600,21600" o:gfxdata="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ctw074A&#10;AADbAAAADwAAAAAAAAABACAAAAAiAAAAZHJzL2Rvd25yZXYueG1sUEsBAhQAFAAAAAgAh07iQDMv&#10;BZ47AAAAOQAAABAAAAAAAAAAAQAgAAAADQEAAGRycy9zaGFwZXhtbC54bWxQSwUGAAAAAAYABgBb&#10;AQAAtwMAAAAA&#10;">
                  <v:fill on="t" focussize="0,0"/>
                  <v:stroke color="#000000" joinstyle="round"/>
                  <v:imagedata o:title=""/>
                  <o:lock v:ext="edit" aspectratio="f"/>
                </v:shape>
                <v:shape id="椭圆 178" o:spid="_x0000_s1026" o:spt="3" type="#_x0000_t3" style="position:absolute;left:15753;top:836052;height:186;width:200;" fillcolor="#00B0F0" filled="t" stroked="t" coordsize="21600,21600" o:gfxdata="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G3owe/&#10;AAAA2wAAAA8AAAAAAAAAAQAgAAAAIgAAAGRycy9kb3ducmV2LnhtbFBLAQIUABQAAAAIAIdO4kAz&#10;LwWeOwAAADkAAAAQAAAAAAAAAAEAIAAAAA4BAABkcnMvc2hhcGV4bWwueG1sUEsFBgAAAAAGAAYA&#10;WwEAALgDAAAAAA==&#10;">
                  <v:fill on="t" focussize="0,0"/>
                  <v:stroke color="#000000" joinstyle="round"/>
                  <v:imagedata o:title=""/>
                  <o:lock v:ext="edit" aspectratio="f"/>
                </v:shape>
              </v:group>
            </w:pict>
          </mc:Fallback>
        </mc:AlternateContent>
      </w:r>
      <w:r>
        <w:rPr>
          <w:color w:val="auto"/>
          <w:sz w:val="24"/>
        </w:rPr>
        <mc:AlternateContent>
          <mc:Choice Requires="wps">
            <w:drawing>
              <wp:anchor distT="0" distB="0" distL="114300" distR="114300" simplePos="0" relativeHeight="251785216" behindDoc="0" locked="0" layoutInCell="1" allowOverlap="1">
                <wp:simplePos x="0" y="0"/>
                <wp:positionH relativeFrom="column">
                  <wp:posOffset>6802755</wp:posOffset>
                </wp:positionH>
                <wp:positionV relativeFrom="paragraph">
                  <wp:posOffset>342265</wp:posOffset>
                </wp:positionV>
                <wp:extent cx="839470" cy="883920"/>
                <wp:effectExtent l="0" t="0" r="0" b="0"/>
                <wp:wrapNone/>
                <wp:docPr id="45" name="文本框 174"/>
                <wp:cNvGraphicFramePr/>
                <a:graphic xmlns:a="http://schemas.openxmlformats.org/drawingml/2006/main">
                  <a:graphicData uri="http://schemas.microsoft.com/office/word/2010/wordprocessingShape">
                    <wps:wsp>
                      <wps:cNvSpPr txBox="1"/>
                      <wps:spPr>
                        <a:xfrm>
                          <a:off x="0" y="0"/>
                          <a:ext cx="839470" cy="883920"/>
                        </a:xfrm>
                        <a:prstGeom prst="rect">
                          <a:avLst/>
                        </a:prstGeom>
                        <a:noFill/>
                        <a:ln>
                          <a:noFill/>
                        </a:ln>
                      </wps:spPr>
                      <wps:txbx>
                        <w:txbxContent>
                          <w:p w14:paraId="1768D563">
                            <w:pPr>
                              <w:rPr>
                                <w:rFonts w:hint="eastAsia" w:eastAsia="宋体"/>
                                <w:lang w:eastAsia="zh-CN"/>
                              </w:rPr>
                            </w:pPr>
                            <w:r>
                              <w:rPr>
                                <w:rFonts w:hint="eastAsia" w:eastAsia="宋体"/>
                                <w:lang w:eastAsia="zh-CN"/>
                              </w:rPr>
                              <w:drawing>
                                <wp:inline distT="0" distB="0" distL="114300" distR="114300">
                                  <wp:extent cx="476250" cy="476250"/>
                                  <wp:effectExtent l="0" t="0" r="0" b="0"/>
                                  <wp:docPr id="57" name="图片 57"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淮南"/>
                                          <pic:cNvPicPr>
                                            <a:picLocks noChangeAspect="1"/>
                                          </pic:cNvPicPr>
                                        </pic:nvPicPr>
                                        <pic:blipFill>
                                          <a:blip r:embed="rId40"/>
                                          <a:stretch>
                                            <a:fillRect/>
                                          </a:stretch>
                                        </pic:blipFill>
                                        <pic:spPr>
                                          <a:xfrm>
                                            <a:off x="0" y="0"/>
                                            <a:ext cx="476250" cy="476250"/>
                                          </a:xfrm>
                                          <a:prstGeom prst="rect">
                                            <a:avLst/>
                                          </a:prstGeom>
                                        </pic:spPr>
                                      </pic:pic>
                                    </a:graphicData>
                                  </a:graphic>
                                </wp:inline>
                              </w:drawing>
                            </w:r>
                          </w:p>
                        </w:txbxContent>
                      </wps:txbx>
                      <wps:bodyPr wrap="none" upright="1">
                        <a:spAutoFit/>
                      </wps:bodyPr>
                    </wps:wsp>
                  </a:graphicData>
                </a:graphic>
              </wp:anchor>
            </w:drawing>
          </mc:Choice>
          <mc:Fallback>
            <w:pict>
              <v:shape id="文本框 174" o:spid="_x0000_s1026" o:spt="202" type="#_x0000_t202" style="position:absolute;left:0pt;margin-left:535.65pt;margin-top:26.95pt;height:69.6pt;width:66.1pt;mso-wrap-style:none;z-index:251785216;mso-width-relative:page;mso-height-relative:page;" filled="f" stroked="f" coordsize="21600,21600" o:gfxdata="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RtvUZtcAAAAMAQAADwAAAAAAAAABACAAAAAiAAAAZHJzL2Rvd25yZXYu&#10;eG1sUEsBAhQAFAAAAAgAh07iQLdw4UzDAQAAdgMAAA4AAAAAAAAAAQAgAAAAJgEAAGRycy9lMm9E&#10;b2MueG1sUEsFBgAAAAAGAAYAWQEAAFsFAAAAAA==&#10;">
                <v:fill on="f" focussize="0,0"/>
                <v:stroke on="f"/>
                <v:imagedata o:title=""/>
                <o:lock v:ext="edit" aspectratio="f"/>
                <v:textbox style="mso-fit-shape-to-text:t;">
                  <w:txbxContent>
                    <w:p w14:paraId="1768D563">
                      <w:pPr>
                        <w:rPr>
                          <w:rFonts w:hint="eastAsia" w:eastAsia="宋体"/>
                          <w:lang w:eastAsia="zh-CN"/>
                        </w:rPr>
                      </w:pPr>
                      <w:r>
                        <w:rPr>
                          <w:rFonts w:hint="eastAsia" w:eastAsia="宋体"/>
                          <w:lang w:eastAsia="zh-CN"/>
                        </w:rPr>
                        <w:drawing>
                          <wp:inline distT="0" distB="0" distL="114300" distR="114300">
                            <wp:extent cx="476250" cy="476250"/>
                            <wp:effectExtent l="0" t="0" r="0" b="0"/>
                            <wp:docPr id="57" name="图片 57"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淮南"/>
                                    <pic:cNvPicPr>
                                      <a:picLocks noChangeAspect="1"/>
                                    </pic:cNvPicPr>
                                  </pic:nvPicPr>
                                  <pic:blipFill>
                                    <a:blip r:embed="rId40"/>
                                    <a:stretch>
                                      <a:fillRect/>
                                    </a:stretch>
                                  </pic:blipFill>
                                  <pic:spPr>
                                    <a:xfrm>
                                      <a:off x="0" y="0"/>
                                      <a:ext cx="476250" cy="476250"/>
                                    </a:xfrm>
                                    <a:prstGeom prst="rect">
                                      <a:avLst/>
                                    </a:prstGeom>
                                  </pic:spPr>
                                </pic:pic>
                              </a:graphicData>
                            </a:graphic>
                          </wp:inline>
                        </w:drawing>
                      </w:r>
                    </w:p>
                  </w:txbxContent>
                </v:textbox>
              </v:shape>
            </w:pict>
          </mc:Fallback>
        </mc:AlternateContent>
      </w:r>
      <w:r>
        <w:rPr>
          <w:color w:val="auto"/>
          <w:sz w:val="24"/>
        </w:rPr>
        <mc:AlternateContent>
          <mc:Choice Requires="wps">
            <w:drawing>
              <wp:anchor distT="0" distB="0" distL="114300" distR="114300" simplePos="0" relativeHeight="251786240" behindDoc="0" locked="0" layoutInCell="1" allowOverlap="1">
                <wp:simplePos x="0" y="0"/>
                <wp:positionH relativeFrom="column">
                  <wp:posOffset>6795135</wp:posOffset>
                </wp:positionH>
                <wp:positionV relativeFrom="paragraph">
                  <wp:posOffset>967105</wp:posOffset>
                </wp:positionV>
                <wp:extent cx="815975" cy="487680"/>
                <wp:effectExtent l="0" t="0" r="0" b="0"/>
                <wp:wrapNone/>
                <wp:docPr id="82" name="文本框 175"/>
                <wp:cNvGraphicFramePr/>
                <a:graphic xmlns:a="http://schemas.openxmlformats.org/drawingml/2006/main">
                  <a:graphicData uri="http://schemas.microsoft.com/office/word/2010/wordprocessingShape">
                    <wps:wsp>
                      <wps:cNvSpPr txBox="1"/>
                      <wps:spPr>
                        <a:xfrm>
                          <a:off x="0" y="0"/>
                          <a:ext cx="815975" cy="487680"/>
                        </a:xfrm>
                        <a:prstGeom prst="rect">
                          <a:avLst/>
                        </a:prstGeom>
                        <a:noFill/>
                        <a:ln>
                          <a:noFill/>
                        </a:ln>
                      </wps:spPr>
                      <wps:txbx>
                        <w:txbxContent>
                          <w:p w14:paraId="61A09656">
                            <w:pPr>
                              <w:rPr>
                                <w:color w:val="FFFFFF"/>
                                <w:sz w:val="16"/>
                                <w:szCs w:val="16"/>
                              </w:rPr>
                            </w:pPr>
                            <w:r>
                              <w:rPr>
                                <w:rFonts w:hint="eastAsia"/>
                                <w:color w:val="00B0F0"/>
                                <w:sz w:val="16"/>
                                <w:szCs w:val="16"/>
                              </w:rPr>
                              <w:t xml:space="preserve">0  </w:t>
                            </w:r>
                            <w:r>
                              <w:rPr>
                                <w:rFonts w:hint="eastAsia"/>
                                <w:color w:val="00B0F0"/>
                                <w:sz w:val="16"/>
                                <w:szCs w:val="16"/>
                                <w:lang w:val="en-US" w:eastAsia="zh-CN"/>
                              </w:rPr>
                              <w:t>60</w:t>
                            </w:r>
                            <w:r>
                              <w:rPr>
                                <w:rFonts w:hint="eastAsia"/>
                                <w:color w:val="00B0F0"/>
                                <w:sz w:val="16"/>
                                <w:szCs w:val="16"/>
                              </w:rPr>
                              <w:t xml:space="preserve">  </w:t>
                            </w:r>
                            <w:r>
                              <w:rPr>
                                <w:rFonts w:hint="eastAsia"/>
                                <w:color w:val="00B0F0"/>
                                <w:sz w:val="16"/>
                                <w:szCs w:val="16"/>
                                <w:lang w:val="en-US" w:eastAsia="zh-CN"/>
                              </w:rPr>
                              <w:t>120</w:t>
                            </w:r>
                            <w:r>
                              <w:rPr>
                                <w:rFonts w:hint="eastAsia"/>
                                <w:color w:val="00B0F0"/>
                                <w:sz w:val="16"/>
                                <w:szCs w:val="16"/>
                              </w:rPr>
                              <w:t>m</w:t>
                            </w:r>
                          </w:p>
                          <w:p w14:paraId="5E84CAEA">
                            <w:pPr>
                              <w:rPr>
                                <w:rFonts w:hint="eastAsia"/>
                              </w:rPr>
                            </w:pPr>
                            <w:r>
                              <w:rPr>
                                <w:rFonts w:hint="eastAsia"/>
                              </w:rPr>
                              <w:drawing>
                                <wp:inline distT="0" distB="0" distL="114300" distR="114300">
                                  <wp:extent cx="632460" cy="135255"/>
                                  <wp:effectExtent l="0" t="0" r="15240" b="17145"/>
                                  <wp:docPr id="83" name="图片 286" descr="比例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86" descr="比例尺"/>
                                          <pic:cNvPicPr>
                                            <a:picLocks noChangeAspect="1"/>
                                          </pic:cNvPicPr>
                                        </pic:nvPicPr>
                                        <pic:blipFill>
                                          <a:blip r:embed="rId41"/>
                                          <a:stretch>
                                            <a:fillRect/>
                                          </a:stretch>
                                        </pic:blipFill>
                                        <pic:spPr>
                                          <a:xfrm rot="10800000">
                                            <a:off x="0" y="0"/>
                                            <a:ext cx="632460" cy="135255"/>
                                          </a:xfrm>
                                          <a:prstGeom prst="rect">
                                            <a:avLst/>
                                          </a:prstGeom>
                                          <a:noFill/>
                                          <a:ln>
                                            <a:noFill/>
                                          </a:ln>
                                        </pic:spPr>
                                      </pic:pic>
                                    </a:graphicData>
                                  </a:graphic>
                                </wp:inline>
                              </w:drawing>
                            </w:r>
                          </w:p>
                        </w:txbxContent>
                      </wps:txbx>
                      <wps:bodyPr wrap="none" upright="1">
                        <a:spAutoFit/>
                      </wps:bodyPr>
                    </wps:wsp>
                  </a:graphicData>
                </a:graphic>
              </wp:anchor>
            </w:drawing>
          </mc:Choice>
          <mc:Fallback>
            <w:pict>
              <v:shape id="文本框 175" o:spid="_x0000_s1026" o:spt="202" type="#_x0000_t202" style="position:absolute;left:0pt;margin-left:535.05pt;margin-top:76.15pt;height:38.4pt;width:64.25pt;mso-wrap-style:none;z-index:251786240;mso-width-relative:page;mso-height-relative:page;" filled="f" stroked="f" coordsize="21600,21600" o:gfxdata="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kVlGdcAAAANAQAADwAAAAAAAAABACAAAAAiAAAAZHJzL2Rvd25yZXYu&#10;eG1sUEsBAhQAFAAAAAgAh07iQMCIVLPDAQAAdgMAAA4AAAAAAAAAAQAgAAAAJgEAAGRycy9lMm9E&#10;b2MueG1sUEsFBgAAAAAGAAYAWQEAAFsFAAAAAA==&#10;">
                <v:fill on="f" focussize="0,0"/>
                <v:stroke on="f"/>
                <v:imagedata o:title=""/>
                <o:lock v:ext="edit" aspectratio="f"/>
                <v:textbox style="mso-fit-shape-to-text:t;">
                  <w:txbxContent>
                    <w:p w14:paraId="61A09656">
                      <w:pPr>
                        <w:rPr>
                          <w:color w:val="FFFFFF"/>
                          <w:sz w:val="16"/>
                          <w:szCs w:val="16"/>
                        </w:rPr>
                      </w:pPr>
                      <w:r>
                        <w:rPr>
                          <w:rFonts w:hint="eastAsia"/>
                          <w:color w:val="00B0F0"/>
                          <w:sz w:val="16"/>
                          <w:szCs w:val="16"/>
                        </w:rPr>
                        <w:t xml:space="preserve">0  </w:t>
                      </w:r>
                      <w:r>
                        <w:rPr>
                          <w:rFonts w:hint="eastAsia"/>
                          <w:color w:val="00B0F0"/>
                          <w:sz w:val="16"/>
                          <w:szCs w:val="16"/>
                          <w:lang w:val="en-US" w:eastAsia="zh-CN"/>
                        </w:rPr>
                        <w:t>60</w:t>
                      </w:r>
                      <w:r>
                        <w:rPr>
                          <w:rFonts w:hint="eastAsia"/>
                          <w:color w:val="00B0F0"/>
                          <w:sz w:val="16"/>
                          <w:szCs w:val="16"/>
                        </w:rPr>
                        <w:t xml:space="preserve">  </w:t>
                      </w:r>
                      <w:r>
                        <w:rPr>
                          <w:rFonts w:hint="eastAsia"/>
                          <w:color w:val="00B0F0"/>
                          <w:sz w:val="16"/>
                          <w:szCs w:val="16"/>
                          <w:lang w:val="en-US" w:eastAsia="zh-CN"/>
                        </w:rPr>
                        <w:t>120</w:t>
                      </w:r>
                      <w:r>
                        <w:rPr>
                          <w:rFonts w:hint="eastAsia"/>
                          <w:color w:val="00B0F0"/>
                          <w:sz w:val="16"/>
                          <w:szCs w:val="16"/>
                        </w:rPr>
                        <w:t>m</w:t>
                      </w:r>
                    </w:p>
                    <w:p w14:paraId="5E84CAEA">
                      <w:pPr>
                        <w:rPr>
                          <w:rFonts w:hint="eastAsia"/>
                        </w:rPr>
                      </w:pPr>
                      <w:r>
                        <w:rPr>
                          <w:rFonts w:hint="eastAsia"/>
                        </w:rPr>
                        <w:drawing>
                          <wp:inline distT="0" distB="0" distL="114300" distR="114300">
                            <wp:extent cx="632460" cy="135255"/>
                            <wp:effectExtent l="0" t="0" r="15240" b="17145"/>
                            <wp:docPr id="83" name="图片 286" descr="比例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86" descr="比例尺"/>
                                    <pic:cNvPicPr>
                                      <a:picLocks noChangeAspect="1"/>
                                    </pic:cNvPicPr>
                                  </pic:nvPicPr>
                                  <pic:blipFill>
                                    <a:blip r:embed="rId41"/>
                                    <a:stretch>
                                      <a:fillRect/>
                                    </a:stretch>
                                  </pic:blipFill>
                                  <pic:spPr>
                                    <a:xfrm rot="10800000">
                                      <a:off x="0" y="0"/>
                                      <a:ext cx="632460" cy="135255"/>
                                    </a:xfrm>
                                    <a:prstGeom prst="rect">
                                      <a:avLst/>
                                    </a:prstGeom>
                                    <a:noFill/>
                                    <a:ln>
                                      <a:noFill/>
                                    </a:ln>
                                  </pic:spPr>
                                </pic:pic>
                              </a:graphicData>
                            </a:graphic>
                          </wp:inline>
                        </w:drawing>
                      </w:r>
                    </w:p>
                  </w:txbxContent>
                </v:textbox>
              </v:shape>
            </w:pict>
          </mc:Fallback>
        </mc:AlternateContent>
      </w:r>
      <w:r>
        <w:rPr>
          <w:color w:val="auto"/>
        </w:rPr>
        <w:drawing>
          <wp:inline distT="0" distB="0" distL="114300" distR="114300">
            <wp:extent cx="7555865" cy="5274310"/>
            <wp:effectExtent l="0" t="0" r="6985" b="2540"/>
            <wp:docPr id="10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21"/>
                    <pic:cNvPicPr>
                      <a:picLocks noChangeAspect="1"/>
                    </pic:cNvPicPr>
                  </pic:nvPicPr>
                  <pic:blipFill>
                    <a:blip r:embed="rId43"/>
                    <a:stretch>
                      <a:fillRect/>
                    </a:stretch>
                  </pic:blipFill>
                  <pic:spPr>
                    <a:xfrm>
                      <a:off x="0" y="0"/>
                      <a:ext cx="7555865" cy="5274310"/>
                    </a:xfrm>
                    <a:prstGeom prst="rect">
                      <a:avLst/>
                    </a:prstGeom>
                    <a:noFill/>
                    <a:ln>
                      <a:noFill/>
                    </a:ln>
                  </pic:spPr>
                </pic:pic>
              </a:graphicData>
            </a:graphic>
          </wp:inline>
        </w:drawing>
      </w:r>
    </w:p>
    <w:p w14:paraId="6F06B873">
      <w:pPr>
        <w:spacing w:line="400" w:lineRule="exact"/>
        <w:jc w:val="center"/>
        <w:rPr>
          <w:color w:val="auto"/>
        </w:rPr>
        <w:sectPr>
          <w:pgSz w:w="16838" w:h="11906" w:orient="landscape"/>
          <w:pgMar w:top="1417" w:right="1440" w:bottom="1417" w:left="1440" w:header="851" w:footer="992" w:gutter="0"/>
          <w:pgBorders>
            <w:top w:val="none" w:sz="0" w:space="0"/>
            <w:left w:val="none" w:sz="0" w:space="0"/>
            <w:bottom w:val="none" w:sz="0" w:space="0"/>
            <w:right w:val="none" w:sz="0" w:space="0"/>
          </w:pgBorders>
          <w:cols w:space="720" w:num="1"/>
          <w:docGrid w:type="linesAndChars" w:linePitch="312" w:charSpace="0"/>
        </w:sectPr>
      </w:pPr>
      <w:r>
        <w:rPr>
          <w:rFonts w:eastAsia="黑体"/>
          <w:color w:val="auto"/>
          <w:sz w:val="24"/>
        </w:rPr>
        <w:t>图2.</w:t>
      </w:r>
      <w:r>
        <w:rPr>
          <w:rFonts w:hint="eastAsia" w:eastAsia="黑体"/>
          <w:color w:val="auto"/>
          <w:sz w:val="24"/>
        </w:rPr>
        <w:t>6</w:t>
      </w:r>
      <w:r>
        <w:rPr>
          <w:rFonts w:eastAsia="黑体"/>
          <w:color w:val="auto"/>
          <w:sz w:val="24"/>
        </w:rPr>
        <w:t>-</w:t>
      </w:r>
      <w:r>
        <w:rPr>
          <w:rFonts w:hint="eastAsia" w:eastAsia="黑体"/>
          <w:color w:val="auto"/>
          <w:sz w:val="24"/>
          <w:lang w:val="en-US" w:eastAsia="zh-CN"/>
        </w:rPr>
        <w:t>2</w:t>
      </w:r>
      <w:r>
        <w:rPr>
          <w:rFonts w:eastAsia="黑体"/>
          <w:color w:val="auto"/>
          <w:sz w:val="24"/>
        </w:rPr>
        <w:t xml:space="preserve">  </w:t>
      </w:r>
      <w:r>
        <w:rPr>
          <w:rFonts w:hint="eastAsia" w:eastAsia="黑体"/>
          <w:color w:val="auto"/>
          <w:sz w:val="24"/>
          <w:lang w:val="en-US" w:eastAsia="zh-CN"/>
        </w:rPr>
        <w:t>本项目声</w:t>
      </w:r>
      <w:r>
        <w:rPr>
          <w:rFonts w:eastAsia="黑体"/>
          <w:color w:val="auto"/>
          <w:sz w:val="24"/>
        </w:rPr>
        <w:t>环境</w:t>
      </w:r>
      <w:r>
        <w:rPr>
          <w:rFonts w:hint="eastAsia" w:eastAsia="黑体"/>
          <w:color w:val="auto"/>
          <w:sz w:val="24"/>
        </w:rPr>
        <w:t>保护</w:t>
      </w:r>
      <w:r>
        <w:rPr>
          <w:rFonts w:eastAsia="黑体"/>
          <w:color w:val="auto"/>
          <w:sz w:val="24"/>
        </w:rPr>
        <w:t>目标</w:t>
      </w:r>
      <w:r>
        <w:rPr>
          <w:rFonts w:hint="eastAsia" w:eastAsia="黑体"/>
          <w:color w:val="auto"/>
          <w:sz w:val="24"/>
        </w:rPr>
        <w:t>位置关系</w:t>
      </w:r>
      <w:r>
        <w:rPr>
          <w:rFonts w:eastAsia="黑体"/>
          <w:color w:val="auto"/>
          <w:sz w:val="24"/>
        </w:rPr>
        <w:t>图</w:t>
      </w:r>
    </w:p>
    <w:p w14:paraId="2995241F">
      <w:pPr>
        <w:spacing w:line="336" w:lineRule="auto"/>
        <w:jc w:val="center"/>
        <w:rPr>
          <w:rFonts w:hint="eastAsia" w:eastAsia="宋体"/>
          <w:color w:val="auto"/>
          <w:sz w:val="24"/>
          <w:lang w:eastAsia="zh-CN"/>
        </w:rPr>
      </w:pPr>
      <w:r>
        <w:rPr>
          <w:color w:val="auto"/>
          <w:sz w:val="24"/>
        </w:rPr>
        <mc:AlternateContent>
          <mc:Choice Requires="wpg">
            <w:drawing>
              <wp:anchor distT="0" distB="0" distL="114300" distR="114300" simplePos="0" relativeHeight="251799552" behindDoc="0" locked="0" layoutInCell="1" allowOverlap="1">
                <wp:simplePos x="0" y="0"/>
                <wp:positionH relativeFrom="column">
                  <wp:posOffset>7132955</wp:posOffset>
                </wp:positionH>
                <wp:positionV relativeFrom="paragraph">
                  <wp:posOffset>3186430</wp:posOffset>
                </wp:positionV>
                <wp:extent cx="1513205" cy="1618615"/>
                <wp:effectExtent l="4445" t="4445" r="6350" b="15240"/>
                <wp:wrapNone/>
                <wp:docPr id="109" name="组合 186"/>
                <wp:cNvGraphicFramePr/>
                <a:graphic xmlns:a="http://schemas.openxmlformats.org/drawingml/2006/main">
                  <a:graphicData uri="http://schemas.microsoft.com/office/word/2010/wordprocessingGroup">
                    <wpg:wgp>
                      <wpg:cNvGrpSpPr/>
                      <wpg:grpSpPr>
                        <a:xfrm>
                          <a:off x="0" y="0"/>
                          <a:ext cx="1513050" cy="1618615"/>
                          <a:chOff x="15159" y="834565"/>
                          <a:chExt cx="3202" cy="3058"/>
                        </a:xfrm>
                      </wpg:grpSpPr>
                      <wps:wsp>
                        <wps:cNvPr id="110" name="文本框 176"/>
                        <wps:cNvSpPr txBox="1"/>
                        <wps:spPr>
                          <a:xfrm>
                            <a:off x="15159" y="834565"/>
                            <a:ext cx="3202" cy="305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9F0096">
                              <w:pPr>
                                <w:jc w:val="center"/>
                                <w:rPr>
                                  <w:rFonts w:hint="eastAsia"/>
                                  <w:sz w:val="28"/>
                                  <w:szCs w:val="28"/>
                                  <w:u w:val="single"/>
                                </w:rPr>
                              </w:pPr>
                              <w:r>
                                <w:rPr>
                                  <w:rFonts w:hint="eastAsia"/>
                                  <w:sz w:val="28"/>
                                  <w:szCs w:val="28"/>
                                  <w:u w:val="single"/>
                                </w:rPr>
                                <w:t>图例</w:t>
                              </w:r>
                            </w:p>
                            <w:p w14:paraId="56E97F08">
                              <w:pPr>
                                <w:pStyle w:val="15"/>
                                <w:spacing w:before="62" w:beforeLines="20"/>
                                <w:ind w:firstLine="0"/>
                                <w:jc w:val="right"/>
                                <w:rPr>
                                  <w:rFonts w:hint="eastAsia"/>
                                  <w:sz w:val="22"/>
                                  <w:szCs w:val="21"/>
                                </w:rPr>
                              </w:pPr>
                              <w:r>
                                <w:rPr>
                                  <w:rFonts w:hint="eastAsia"/>
                                  <w:sz w:val="22"/>
                                  <w:szCs w:val="21"/>
                                </w:rPr>
                                <w:t>本项目所在地</w:t>
                              </w:r>
                            </w:p>
                            <w:p w14:paraId="2A420600">
                              <w:pPr>
                                <w:pStyle w:val="16"/>
                                <w:spacing w:before="62" w:beforeLines="20" w:after="0"/>
                                <w:ind w:left="0" w:leftChars="0" w:firstLine="0" w:firstLineChars="0"/>
                                <w:jc w:val="right"/>
                                <w:rPr>
                                  <w:rFonts w:hint="eastAsia" w:eastAsia="宋体"/>
                                  <w:sz w:val="22"/>
                                  <w:szCs w:val="22"/>
                                  <w:lang w:eastAsia="zh-CN"/>
                                </w:rPr>
                              </w:pPr>
                              <w:r>
                                <w:rPr>
                                  <w:rFonts w:hint="eastAsia"/>
                                  <w:sz w:val="22"/>
                                  <w:szCs w:val="22"/>
                                  <w:lang w:val="en-US" w:eastAsia="zh-CN"/>
                                </w:rPr>
                                <w:t>生态环境</w:t>
                              </w:r>
                              <w:r>
                                <w:rPr>
                                  <w:rFonts w:hint="eastAsia"/>
                                  <w:sz w:val="22"/>
                                  <w:szCs w:val="22"/>
                                </w:rPr>
                                <w:t>敏感目标</w:t>
                              </w:r>
                              <w:r>
                                <w:rPr>
                                  <w:rFonts w:hint="eastAsia"/>
                                  <w:sz w:val="22"/>
                                  <w:szCs w:val="22"/>
                                  <w:lang w:eastAsia="zh-CN"/>
                                </w:rPr>
                                <w:t>（</w:t>
                              </w:r>
                              <w:r>
                                <w:rPr>
                                  <w:rFonts w:hint="eastAsia"/>
                                  <w:color w:val="000000"/>
                                  <w:sz w:val="22"/>
                                  <w:szCs w:val="22"/>
                                </w:rPr>
                                <w:t>长吻鮠</w:t>
                              </w:r>
                              <w:r>
                                <w:rPr>
                                  <w:rFonts w:hint="eastAsia"/>
                                  <w:color w:val="000000"/>
                                  <w:sz w:val="22"/>
                                  <w:szCs w:val="22"/>
                                  <w:lang w:val="en-US" w:eastAsia="zh-CN"/>
                                </w:rPr>
                                <w:t>试验区</w:t>
                              </w:r>
                              <w:r>
                                <w:rPr>
                                  <w:rFonts w:hint="eastAsia"/>
                                  <w:sz w:val="22"/>
                                  <w:szCs w:val="22"/>
                                  <w:lang w:eastAsia="zh-CN"/>
                                </w:rPr>
                                <w:t>）</w:t>
                              </w:r>
                            </w:p>
                            <w:p w14:paraId="5957B739">
                              <w:pPr>
                                <w:pStyle w:val="16"/>
                                <w:spacing w:before="62" w:beforeLines="20" w:after="0"/>
                                <w:ind w:left="0" w:leftChars="0" w:firstLine="0" w:firstLineChars="0"/>
                                <w:jc w:val="right"/>
                                <w:rPr>
                                  <w:rFonts w:hint="eastAsia" w:eastAsia="宋体"/>
                                  <w:sz w:val="22"/>
                                  <w:szCs w:val="22"/>
                                  <w:lang w:eastAsia="zh-CN"/>
                                </w:rPr>
                              </w:pPr>
                              <w:r>
                                <w:rPr>
                                  <w:rFonts w:hint="eastAsia"/>
                                  <w:sz w:val="22"/>
                                  <w:szCs w:val="22"/>
                                  <w:lang w:val="en-US" w:eastAsia="zh-CN"/>
                                </w:rPr>
                                <w:t>生态环境</w:t>
                              </w:r>
                              <w:r>
                                <w:rPr>
                                  <w:rFonts w:hint="eastAsia"/>
                                  <w:sz w:val="22"/>
                                  <w:szCs w:val="22"/>
                                </w:rPr>
                                <w:t>敏感目标</w:t>
                              </w:r>
                              <w:r>
                                <w:rPr>
                                  <w:rFonts w:hint="eastAsia"/>
                                  <w:sz w:val="22"/>
                                  <w:szCs w:val="22"/>
                                  <w:lang w:eastAsia="zh-CN"/>
                                </w:rPr>
                                <w:t>（</w:t>
                              </w:r>
                              <w:r>
                                <w:rPr>
                                  <w:rFonts w:hint="eastAsia"/>
                                  <w:color w:val="000000"/>
                                  <w:sz w:val="22"/>
                                  <w:szCs w:val="22"/>
                                </w:rPr>
                                <w:t>长吻鮠</w:t>
                              </w:r>
                              <w:r>
                                <w:rPr>
                                  <w:rFonts w:hint="eastAsia"/>
                                  <w:color w:val="000000"/>
                                  <w:sz w:val="22"/>
                                  <w:szCs w:val="22"/>
                                  <w:lang w:val="en-US" w:eastAsia="zh-CN"/>
                                </w:rPr>
                                <w:t>核心区</w:t>
                              </w:r>
                              <w:r>
                                <w:rPr>
                                  <w:rFonts w:hint="eastAsia"/>
                                  <w:sz w:val="22"/>
                                  <w:szCs w:val="22"/>
                                  <w:lang w:eastAsia="zh-CN"/>
                                </w:rPr>
                                <w:t>）</w:t>
                              </w:r>
                            </w:p>
                            <w:p w14:paraId="00860515">
                              <w:pPr>
                                <w:pStyle w:val="15"/>
                                <w:spacing w:before="62" w:beforeLines="20"/>
                                <w:ind w:firstLine="0"/>
                                <w:jc w:val="right"/>
                                <w:rPr>
                                  <w:sz w:val="24"/>
                                  <w:szCs w:val="22"/>
                                </w:rPr>
                              </w:pPr>
                            </w:p>
                          </w:txbxContent>
                        </wps:txbx>
                        <wps:bodyPr wrap="square" upright="1"/>
                      </wps:wsp>
                      <wps:wsp>
                        <wps:cNvPr id="139" name="椭圆 177"/>
                        <wps:cNvSpPr/>
                        <wps:spPr>
                          <a:xfrm>
                            <a:off x="15867" y="835545"/>
                            <a:ext cx="199" cy="186"/>
                          </a:xfrm>
                          <a:prstGeom prst="ellipse">
                            <a:avLst/>
                          </a:prstGeom>
                          <a:solidFill>
                            <a:srgbClr val="FF0000"/>
                          </a:solidFill>
                          <a:ln w="9525" cap="flat" cmpd="sng">
                            <a:solidFill>
                              <a:srgbClr val="000000"/>
                            </a:solidFill>
                            <a:prstDash val="solid"/>
                            <a:headEnd type="none" w="med" len="med"/>
                            <a:tailEnd type="none" w="med" len="med"/>
                          </a:ln>
                        </wps:spPr>
                        <wps:bodyPr wrap="square" upright="1"/>
                      </wps:wsp>
                      <wps:wsp>
                        <wps:cNvPr id="140" name="椭圆 178"/>
                        <wps:cNvSpPr/>
                        <wps:spPr>
                          <a:xfrm>
                            <a:off x="15430" y="836102"/>
                            <a:ext cx="200" cy="186"/>
                          </a:xfrm>
                          <a:prstGeom prst="ellipse">
                            <a:avLst/>
                          </a:prstGeom>
                          <a:solidFill>
                            <a:srgbClr val="07E981"/>
                          </a:solidFill>
                          <a:ln w="9525" cap="flat" cmpd="sng">
                            <a:solidFill>
                              <a:srgbClr val="000000"/>
                            </a:solidFill>
                            <a:prstDash val="solid"/>
                            <a:headEnd type="none" w="med" len="med"/>
                            <a:tailEnd type="none" w="med" len="med"/>
                          </a:ln>
                        </wps:spPr>
                        <wps:bodyPr wrap="square" upright="1"/>
                      </wps:wsp>
                      <wps:wsp>
                        <wps:cNvPr id="35" name="椭圆 178"/>
                        <wps:cNvSpPr/>
                        <wps:spPr>
                          <a:xfrm>
                            <a:off x="15414" y="836777"/>
                            <a:ext cx="200" cy="186"/>
                          </a:xfrm>
                          <a:prstGeom prst="ellipse">
                            <a:avLst/>
                          </a:prstGeom>
                          <a:solidFill>
                            <a:srgbClr val="EB05D8"/>
                          </a:solidFill>
                          <a:ln w="9525" cap="flat" cmpd="sng">
                            <a:solidFill>
                              <a:srgbClr val="000000"/>
                            </a:solidFill>
                            <a:prstDash val="solid"/>
                            <a:headEnd type="none" w="med" len="med"/>
                            <a:tailEnd type="none" w="med" len="med"/>
                          </a:ln>
                        </wps:spPr>
                        <wps:bodyPr wrap="square" upright="1"/>
                      </wps:wsp>
                    </wpg:wgp>
                  </a:graphicData>
                </a:graphic>
              </wp:anchor>
            </w:drawing>
          </mc:Choice>
          <mc:Fallback>
            <w:pict>
              <v:group id="组合 186" o:spid="_x0000_s1026" o:spt="203" style="position:absolute;left:0pt;margin-left:561.65pt;margin-top:250.9pt;height:127.45pt;width:119.15pt;z-index:251799552;mso-width-relative:page;mso-height-relative:page;" coordorigin="15159,834565" coordsize="3202,3058" o:gfxdata="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">
                <o:lock v:ext="edit" aspectratio="f"/>
                <v:shape id="文本框 176" o:spid="_x0000_s1026" o:spt="202" type="#_x0000_t202" style="position:absolute;left:15159;top:834565;height:3058;width:3202;" fillcolor="#FFFFFF" filled="t" stroked="t" coordsize="21600,21600" o:gfxdata="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pXrXa/&#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B9F0096">
                        <w:pPr>
                          <w:jc w:val="center"/>
                          <w:rPr>
                            <w:rFonts w:hint="eastAsia"/>
                            <w:sz w:val="28"/>
                            <w:szCs w:val="28"/>
                            <w:u w:val="single"/>
                          </w:rPr>
                        </w:pPr>
                        <w:r>
                          <w:rPr>
                            <w:rFonts w:hint="eastAsia"/>
                            <w:sz w:val="28"/>
                            <w:szCs w:val="28"/>
                            <w:u w:val="single"/>
                          </w:rPr>
                          <w:t>图例</w:t>
                        </w:r>
                      </w:p>
                      <w:p w14:paraId="56E97F08">
                        <w:pPr>
                          <w:pStyle w:val="15"/>
                          <w:spacing w:before="62" w:beforeLines="20"/>
                          <w:ind w:firstLine="0"/>
                          <w:jc w:val="right"/>
                          <w:rPr>
                            <w:rFonts w:hint="eastAsia"/>
                            <w:sz w:val="22"/>
                            <w:szCs w:val="21"/>
                          </w:rPr>
                        </w:pPr>
                        <w:r>
                          <w:rPr>
                            <w:rFonts w:hint="eastAsia"/>
                            <w:sz w:val="22"/>
                            <w:szCs w:val="21"/>
                          </w:rPr>
                          <w:t>本项目所在地</w:t>
                        </w:r>
                      </w:p>
                      <w:p w14:paraId="2A420600">
                        <w:pPr>
                          <w:pStyle w:val="16"/>
                          <w:spacing w:before="62" w:beforeLines="20" w:after="0"/>
                          <w:ind w:left="0" w:leftChars="0" w:firstLine="0" w:firstLineChars="0"/>
                          <w:jc w:val="right"/>
                          <w:rPr>
                            <w:rFonts w:hint="eastAsia" w:eastAsia="宋体"/>
                            <w:sz w:val="22"/>
                            <w:szCs w:val="22"/>
                            <w:lang w:eastAsia="zh-CN"/>
                          </w:rPr>
                        </w:pPr>
                        <w:r>
                          <w:rPr>
                            <w:rFonts w:hint="eastAsia"/>
                            <w:sz w:val="22"/>
                            <w:szCs w:val="22"/>
                            <w:lang w:val="en-US" w:eastAsia="zh-CN"/>
                          </w:rPr>
                          <w:t>生态环境</w:t>
                        </w:r>
                        <w:r>
                          <w:rPr>
                            <w:rFonts w:hint="eastAsia"/>
                            <w:sz w:val="22"/>
                            <w:szCs w:val="22"/>
                          </w:rPr>
                          <w:t>敏感目标</w:t>
                        </w:r>
                        <w:r>
                          <w:rPr>
                            <w:rFonts w:hint="eastAsia"/>
                            <w:sz w:val="22"/>
                            <w:szCs w:val="22"/>
                            <w:lang w:eastAsia="zh-CN"/>
                          </w:rPr>
                          <w:t>（</w:t>
                        </w:r>
                        <w:r>
                          <w:rPr>
                            <w:rFonts w:hint="eastAsia"/>
                            <w:color w:val="000000"/>
                            <w:sz w:val="22"/>
                            <w:szCs w:val="22"/>
                          </w:rPr>
                          <w:t>长吻鮠</w:t>
                        </w:r>
                        <w:r>
                          <w:rPr>
                            <w:rFonts w:hint="eastAsia"/>
                            <w:color w:val="000000"/>
                            <w:sz w:val="22"/>
                            <w:szCs w:val="22"/>
                            <w:lang w:val="en-US" w:eastAsia="zh-CN"/>
                          </w:rPr>
                          <w:t>试验区</w:t>
                        </w:r>
                        <w:r>
                          <w:rPr>
                            <w:rFonts w:hint="eastAsia"/>
                            <w:sz w:val="22"/>
                            <w:szCs w:val="22"/>
                            <w:lang w:eastAsia="zh-CN"/>
                          </w:rPr>
                          <w:t>）</w:t>
                        </w:r>
                      </w:p>
                      <w:p w14:paraId="5957B739">
                        <w:pPr>
                          <w:pStyle w:val="16"/>
                          <w:spacing w:before="62" w:beforeLines="20" w:after="0"/>
                          <w:ind w:left="0" w:leftChars="0" w:firstLine="0" w:firstLineChars="0"/>
                          <w:jc w:val="right"/>
                          <w:rPr>
                            <w:rFonts w:hint="eastAsia" w:eastAsia="宋体"/>
                            <w:sz w:val="22"/>
                            <w:szCs w:val="22"/>
                            <w:lang w:eastAsia="zh-CN"/>
                          </w:rPr>
                        </w:pPr>
                        <w:r>
                          <w:rPr>
                            <w:rFonts w:hint="eastAsia"/>
                            <w:sz w:val="22"/>
                            <w:szCs w:val="22"/>
                            <w:lang w:val="en-US" w:eastAsia="zh-CN"/>
                          </w:rPr>
                          <w:t>生态环境</w:t>
                        </w:r>
                        <w:r>
                          <w:rPr>
                            <w:rFonts w:hint="eastAsia"/>
                            <w:sz w:val="22"/>
                            <w:szCs w:val="22"/>
                          </w:rPr>
                          <w:t>敏感目标</w:t>
                        </w:r>
                        <w:r>
                          <w:rPr>
                            <w:rFonts w:hint="eastAsia"/>
                            <w:sz w:val="22"/>
                            <w:szCs w:val="22"/>
                            <w:lang w:eastAsia="zh-CN"/>
                          </w:rPr>
                          <w:t>（</w:t>
                        </w:r>
                        <w:r>
                          <w:rPr>
                            <w:rFonts w:hint="eastAsia"/>
                            <w:color w:val="000000"/>
                            <w:sz w:val="22"/>
                            <w:szCs w:val="22"/>
                          </w:rPr>
                          <w:t>长吻鮠</w:t>
                        </w:r>
                        <w:r>
                          <w:rPr>
                            <w:rFonts w:hint="eastAsia"/>
                            <w:color w:val="000000"/>
                            <w:sz w:val="22"/>
                            <w:szCs w:val="22"/>
                            <w:lang w:val="en-US" w:eastAsia="zh-CN"/>
                          </w:rPr>
                          <w:t>核心区</w:t>
                        </w:r>
                        <w:r>
                          <w:rPr>
                            <w:rFonts w:hint="eastAsia"/>
                            <w:sz w:val="22"/>
                            <w:szCs w:val="22"/>
                            <w:lang w:eastAsia="zh-CN"/>
                          </w:rPr>
                          <w:t>）</w:t>
                        </w:r>
                      </w:p>
                      <w:p w14:paraId="00860515">
                        <w:pPr>
                          <w:pStyle w:val="15"/>
                          <w:spacing w:before="62" w:beforeLines="20"/>
                          <w:ind w:firstLine="0"/>
                          <w:jc w:val="right"/>
                          <w:rPr>
                            <w:sz w:val="24"/>
                            <w:szCs w:val="22"/>
                          </w:rPr>
                        </w:pPr>
                      </w:p>
                    </w:txbxContent>
                  </v:textbox>
                </v:shape>
                <v:shape id="椭圆 177" o:spid="_x0000_s1026" o:spt="3" type="#_x0000_t3" style="position:absolute;left:15867;top:835545;height:186;width:199;" fillcolor="#FF0000" filled="t" stroked="t" coordsize="21600,21600" o:gfxdata="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4m5NW/&#10;AAAA3AAAAA8AAAAAAAAAAQAgAAAAIgAAAGRycy9kb3ducmV2LnhtbFBLAQIUABQAAAAIAIdO4kAz&#10;LwWeOwAAADkAAAAQAAAAAAAAAAEAIAAAAA4BAABkcnMvc2hhcGV4bWwueG1sUEsFBgAAAAAGAAYA&#10;WwEAALgDAAAAAA==&#10;">
                  <v:fill on="t" focussize="0,0"/>
                  <v:stroke color="#000000" joinstyle="round"/>
                  <v:imagedata o:title=""/>
                  <o:lock v:ext="edit" aspectratio="f"/>
                </v:shape>
                <v:shape id="椭圆 178" o:spid="_x0000_s1026" o:spt="3" type="#_x0000_t3" style="position:absolute;left:15430;top:836102;height:186;width:200;" fillcolor="#07E981" filled="t" stroked="t" coordsize="21600,21600" o:gfxdata="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Br&#10;BsEAAADcAAAADwAAAAAAAAABACAAAAAiAAAAZHJzL2Rvd25yZXYueG1sUEsBAhQAFAAAAAgAh07i&#10;QDMvBZ47AAAAOQAAABAAAAAAAAAAAQAgAAAAEAEAAGRycy9zaGFwZXhtbC54bWxQSwUGAAAAAAYA&#10;BgBbAQAAugMAAAAA&#10;">
                  <v:fill on="t" focussize="0,0"/>
                  <v:stroke color="#000000" joinstyle="round"/>
                  <v:imagedata o:title=""/>
                  <o:lock v:ext="edit" aspectratio="f"/>
                </v:shape>
                <v:shape id="椭圆 178" o:spid="_x0000_s1026" o:spt="3" type="#_x0000_t3" style="position:absolute;left:15414;top:836777;height:186;width:200;" fillcolor="#EB05D8" filled="t" stroked="t" coordsize="21600,21600" o:gfxdata="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l1yvvQAA&#10;ANsAAAAPAAAAAAAAAAEAIAAAACIAAABkcnMvZG93bnJldi54bWxQSwECFAAUAAAACACHTuJAMy8F&#10;njsAAAA5AAAAEAAAAAAAAAABACAAAAAMAQAAZHJzL3NoYXBleG1sLnhtbFBLBQYAAAAABgAGAFsB&#10;AAC2AwAAAAA=&#10;">
                  <v:fill on="t" focussize="0,0"/>
                  <v:stroke color="#000000" joinstyle="round"/>
                  <v:imagedata o:title=""/>
                  <o:lock v:ext="edit" aspectratio="f"/>
                </v:shape>
              </v:group>
            </w:pict>
          </mc:Fallback>
        </mc:AlternateContent>
      </w:r>
      <w:r>
        <w:rPr>
          <w:color w:val="auto"/>
          <w:sz w:val="24"/>
        </w:rPr>
        <mc:AlternateContent>
          <mc:Choice Requires="wps">
            <w:drawing>
              <wp:anchor distT="0" distB="0" distL="114300" distR="114300" simplePos="0" relativeHeight="251807744" behindDoc="0" locked="0" layoutInCell="1" allowOverlap="1">
                <wp:simplePos x="0" y="0"/>
                <wp:positionH relativeFrom="column">
                  <wp:posOffset>6335395</wp:posOffset>
                </wp:positionH>
                <wp:positionV relativeFrom="paragraph">
                  <wp:posOffset>2580640</wp:posOffset>
                </wp:positionV>
                <wp:extent cx="76200" cy="76200"/>
                <wp:effectExtent l="0" t="0" r="0" b="0"/>
                <wp:wrapNone/>
                <wp:docPr id="220" name="矩形 220"/>
                <wp:cNvGraphicFramePr/>
                <a:graphic xmlns:a="http://schemas.openxmlformats.org/drawingml/2006/main">
                  <a:graphicData uri="http://schemas.microsoft.com/office/word/2010/wordprocessingShape">
                    <wps:wsp>
                      <wps:cNvSpPr/>
                      <wps:spPr>
                        <a:xfrm>
                          <a:off x="7244080" y="3544570"/>
                          <a:ext cx="76200" cy="76200"/>
                        </a:xfrm>
                        <a:prstGeom prst="rect">
                          <a:avLst/>
                        </a:prstGeom>
                        <a:solidFill>
                          <a:srgbClr val="FF00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98.85pt;margin-top:203.2pt;height:6pt;width:6pt;z-index:251807744;v-text-anchor:middle;mso-width-relative:page;mso-height-relative:page;" fillcolor="#FF0000" filled="t" stroked="f" coordsize="21600,21600" o:gfxdata="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fOjGf1wAAAAwBAAAPAAAAAAAAAAEAIAAAACIAAABkcnMvZG93bnJldi54bWxQSwECFAAU&#10;AAAACACHTuJA1QBGHmQCAADBBAAADgAAAAAAAAABACAAAAAmAQAAZHJzL2Uyb0RvYy54bWxQSwUG&#10;AAAAAAYABgBZAQAA/AUAAAAA&#10;">
                <v:fill on="t" focussize="0,0"/>
                <v:stroke on="f" weight="2pt"/>
                <v:imagedata o:title=""/>
                <o:lock v:ext="edit" aspectratio="f"/>
              </v:rect>
            </w:pict>
          </mc:Fallback>
        </mc:AlternateContent>
      </w:r>
      <w:r>
        <w:rPr>
          <w:color w:val="auto"/>
          <w:sz w:val="24"/>
        </w:rPr>
        <mc:AlternateContent>
          <mc:Choice Requires="wps">
            <w:drawing>
              <wp:anchor distT="0" distB="0" distL="114300" distR="114300" simplePos="0" relativeHeight="251805696" behindDoc="0" locked="0" layoutInCell="1" allowOverlap="1">
                <wp:simplePos x="0" y="0"/>
                <wp:positionH relativeFrom="column">
                  <wp:posOffset>4117340</wp:posOffset>
                </wp:positionH>
                <wp:positionV relativeFrom="paragraph">
                  <wp:posOffset>1449705</wp:posOffset>
                </wp:positionV>
                <wp:extent cx="535940" cy="151130"/>
                <wp:effectExtent l="3810" t="13970" r="12700" b="44450"/>
                <wp:wrapNone/>
                <wp:docPr id="108" name="直线 193"/>
                <wp:cNvGraphicFramePr/>
                <a:graphic xmlns:a="http://schemas.openxmlformats.org/drawingml/2006/main">
                  <a:graphicData uri="http://schemas.microsoft.com/office/word/2010/wordprocessingShape">
                    <wps:wsp>
                      <wps:cNvCnPr/>
                      <wps:spPr>
                        <a:xfrm>
                          <a:off x="0" y="0"/>
                          <a:ext cx="535940" cy="151130"/>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93" o:spid="_x0000_s1026" o:spt="20" style="position:absolute;left:0pt;margin-left:324.2pt;margin-top:114.15pt;height:11.9pt;width:42.2pt;z-index:251805696;mso-width-relative:page;mso-height-relative:page;" filled="f" stroked="t" coordsize="21600,21600" o:gfxdata="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fmVB0dsAAAALAQAADwAAAAAAAAABACAAAAAiAAAAZHJzL2Rvd25yZXYu&#10;eG1sUEsBAhQAFAAAAAgAh07iQJy6OAD4AQAA5QMAAA4AAAAAAAAAAQAgAAAAKgEAAGRycy9lMm9E&#10;b2MueG1sUEsFBgAAAAAGAAYAWQEAAJQFA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804672" behindDoc="0" locked="0" layoutInCell="1" allowOverlap="1">
                <wp:simplePos x="0" y="0"/>
                <wp:positionH relativeFrom="column">
                  <wp:posOffset>3662045</wp:posOffset>
                </wp:positionH>
                <wp:positionV relativeFrom="paragraph">
                  <wp:posOffset>1769745</wp:posOffset>
                </wp:positionV>
                <wp:extent cx="535940" cy="151130"/>
                <wp:effectExtent l="3810" t="13970" r="12700" b="44450"/>
                <wp:wrapNone/>
                <wp:docPr id="107" name="直线 192"/>
                <wp:cNvGraphicFramePr/>
                <a:graphic xmlns:a="http://schemas.openxmlformats.org/drawingml/2006/main">
                  <a:graphicData uri="http://schemas.microsoft.com/office/word/2010/wordprocessingShape">
                    <wps:wsp>
                      <wps:cNvCnPr/>
                      <wps:spPr>
                        <a:xfrm>
                          <a:off x="0" y="0"/>
                          <a:ext cx="535940" cy="151130"/>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92" o:spid="_x0000_s1026" o:spt="20" style="position:absolute;left:0pt;margin-left:288.35pt;margin-top:139.35pt;height:11.9pt;width:42.2pt;z-index:251804672;mso-width-relative:page;mso-height-relative:page;" filled="f" stroked="t" coordsize="21600,21600" o:gfxdata="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qD59TbAAAACwEAAA8AAAAAAAAAAQAgAAAAIgAAAGRycy9kb3ducmV2&#10;LnhtbFBLAQIUABQAAAAIAIdO4kCuhsAv+QEAAOUDAAAOAAAAAAAAAAEAIAAAACoBAABkcnMvZTJv&#10;RG9jLnhtbFBLBQYAAAAABgAGAFkBAACVBQ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803648" behindDoc="0" locked="0" layoutInCell="1" allowOverlap="1">
                <wp:simplePos x="0" y="0"/>
                <wp:positionH relativeFrom="column">
                  <wp:posOffset>4251325</wp:posOffset>
                </wp:positionH>
                <wp:positionV relativeFrom="paragraph">
                  <wp:posOffset>2190750</wp:posOffset>
                </wp:positionV>
                <wp:extent cx="209550" cy="469900"/>
                <wp:effectExtent l="13335" t="5715" r="24765" b="635"/>
                <wp:wrapNone/>
                <wp:docPr id="106" name="直线 191"/>
                <wp:cNvGraphicFramePr/>
                <a:graphic xmlns:a="http://schemas.openxmlformats.org/drawingml/2006/main">
                  <a:graphicData uri="http://schemas.microsoft.com/office/word/2010/wordprocessingShape">
                    <wps:wsp>
                      <wps:cNvCnPr/>
                      <wps:spPr>
                        <a:xfrm>
                          <a:off x="0" y="0"/>
                          <a:ext cx="209550" cy="469900"/>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91" o:spid="_x0000_s1026" o:spt="20" style="position:absolute;left:0pt;margin-left:334.75pt;margin-top:172.5pt;height:37pt;width:16.5pt;z-index:251803648;mso-width-relative:page;mso-height-relative:page;" filled="f" stroked="t" coordsize="21600,21600" o:gfxdata="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dxV2f2wAAAAsBAAAPAAAAAAAAAAEAIAAAACIAAABkcnMvZG93bnJldi54&#10;bWxQSwECFAAUAAAACACHTuJALdRYcfcBAADlAwAADgAAAAAAAAABACAAAAAqAQAAZHJzL2Uyb0Rv&#10;Yy54bWxQSwUGAAAAAAYABgBZAQAAkwU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802624" behindDoc="0" locked="0" layoutInCell="1" allowOverlap="1">
                <wp:simplePos x="0" y="0"/>
                <wp:positionH relativeFrom="column">
                  <wp:posOffset>5017770</wp:posOffset>
                </wp:positionH>
                <wp:positionV relativeFrom="paragraph">
                  <wp:posOffset>1908175</wp:posOffset>
                </wp:positionV>
                <wp:extent cx="528955" cy="257175"/>
                <wp:effectExtent l="6350" t="12700" r="17145" b="15875"/>
                <wp:wrapNone/>
                <wp:docPr id="105" name="直线 190"/>
                <wp:cNvGraphicFramePr/>
                <a:graphic xmlns:a="http://schemas.openxmlformats.org/drawingml/2006/main">
                  <a:graphicData uri="http://schemas.microsoft.com/office/word/2010/wordprocessingShape">
                    <wps:wsp>
                      <wps:cNvCnPr/>
                      <wps:spPr>
                        <a:xfrm>
                          <a:off x="0" y="0"/>
                          <a:ext cx="528955" cy="257175"/>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90" o:spid="_x0000_s1026" o:spt="20" style="position:absolute;left:0pt;margin-left:395.1pt;margin-top:150.25pt;height:20.25pt;width:41.65pt;z-index:251802624;mso-width-relative:page;mso-height-relative:page;" filled="f" stroked="t" coordsize="21600,21600" o:gfxdata="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Q+8oPbAAAACwEAAA8AAAAAAAAAAQAgAAAAIgAAAGRycy9kb3ducmV2Lnht&#10;bFBLAQIUABQAAAAIAIdO4kCATV9I9gEAAOUDAAAOAAAAAAAAAAEAIAAAACoBAABkcnMvZTJvRG9j&#10;LnhtbFBLBQYAAAAABgAGAFkBAACSBQ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801600" behindDoc="0" locked="0" layoutInCell="1" allowOverlap="1">
                <wp:simplePos x="0" y="0"/>
                <wp:positionH relativeFrom="column">
                  <wp:posOffset>5341620</wp:posOffset>
                </wp:positionH>
                <wp:positionV relativeFrom="paragraph">
                  <wp:posOffset>3051810</wp:posOffset>
                </wp:positionV>
                <wp:extent cx="560705" cy="326390"/>
                <wp:effectExtent l="6985" t="12065" r="3810" b="4445"/>
                <wp:wrapNone/>
                <wp:docPr id="102" name="直线 189"/>
                <wp:cNvGraphicFramePr/>
                <a:graphic xmlns:a="http://schemas.openxmlformats.org/drawingml/2006/main">
                  <a:graphicData uri="http://schemas.microsoft.com/office/word/2010/wordprocessingShape">
                    <wps:wsp>
                      <wps:cNvCnPr/>
                      <wps:spPr>
                        <a:xfrm>
                          <a:off x="0" y="0"/>
                          <a:ext cx="560705" cy="326390"/>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89" o:spid="_x0000_s1026" o:spt="20" style="position:absolute;left:0pt;margin-left:420.6pt;margin-top:240.3pt;height:25.7pt;width:44.15pt;z-index:251801600;mso-width-relative:page;mso-height-relative:page;" filled="f" stroked="t" coordsize="21600,21600" o:gfxdata="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RcYQrcAAAACwEAAA8AAAAAAAAAAQAgAAAAIgAAAGRycy9kb3ducmV2&#10;LnhtbFBLAQIUABQAAAAIAIdO4kBO49NK+AEAAOUDAAAOAAAAAAAAAAEAIAAAACsBAABkcnMvZTJv&#10;RG9jLnhtbFBLBQYAAAAABgAGAFkBAACVBQ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800576" behindDoc="0" locked="0" layoutInCell="1" allowOverlap="1">
                <wp:simplePos x="0" y="0"/>
                <wp:positionH relativeFrom="column">
                  <wp:posOffset>4813300</wp:posOffset>
                </wp:positionH>
                <wp:positionV relativeFrom="paragraph">
                  <wp:posOffset>2764155</wp:posOffset>
                </wp:positionV>
                <wp:extent cx="441325" cy="258445"/>
                <wp:effectExtent l="6985" t="12065" r="8890" b="15240"/>
                <wp:wrapNone/>
                <wp:docPr id="104" name="直线 187"/>
                <wp:cNvGraphicFramePr/>
                <a:graphic xmlns:a="http://schemas.openxmlformats.org/drawingml/2006/main">
                  <a:graphicData uri="http://schemas.microsoft.com/office/word/2010/wordprocessingShape">
                    <wps:wsp>
                      <wps:cNvCnPr/>
                      <wps:spPr>
                        <a:xfrm>
                          <a:off x="0" y="0"/>
                          <a:ext cx="441325" cy="258445"/>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87" o:spid="_x0000_s1026" o:spt="20" style="position:absolute;left:0pt;margin-left:379pt;margin-top:217.65pt;height:20.35pt;width:34.75pt;z-index:251800576;mso-width-relative:page;mso-height-relative:page;" filled="f" stroked="t" coordsize="21600,21600" o:gfxdata="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FCyBv3AAAAAsBAAAPAAAAAAAAAAEAIAAAACIAAABkcnMvZG93bnJl&#10;di54bWxQSwECFAAUAAAACACHTuJAhU1hTvkBAADlAwAADgAAAAAAAAABACAAAAArAQAAZHJzL2Uy&#10;b0RvYy54bWxQSwUGAAAAAAYABgBZAQAAlgUAAAAA&#10;">
                <v:fill on="f" focussize="0,0"/>
                <v:stroke weight="2.25pt" color="#7030A0" joinstyle="round" endarrow="open"/>
                <v:imagedata o:title=""/>
                <o:lock v:ext="edit" aspectratio="f"/>
              </v:line>
            </w:pict>
          </mc:Fallback>
        </mc:AlternateContent>
      </w:r>
      <w:r>
        <w:rPr>
          <w:color w:val="auto"/>
          <w:sz w:val="24"/>
        </w:rPr>
        <mc:AlternateContent>
          <mc:Choice Requires="wps">
            <w:drawing>
              <wp:anchor distT="0" distB="0" distL="114300" distR="114300" simplePos="0" relativeHeight="251798528" behindDoc="0" locked="0" layoutInCell="1" allowOverlap="1">
                <wp:simplePos x="0" y="0"/>
                <wp:positionH relativeFrom="column">
                  <wp:posOffset>5920105</wp:posOffset>
                </wp:positionH>
                <wp:positionV relativeFrom="paragraph">
                  <wp:posOffset>2700655</wp:posOffset>
                </wp:positionV>
                <wp:extent cx="992505" cy="467995"/>
                <wp:effectExtent l="0" t="0" r="0" b="0"/>
                <wp:wrapNone/>
                <wp:docPr id="103" name="文本框 182"/>
                <wp:cNvGraphicFramePr/>
                <a:graphic xmlns:a="http://schemas.openxmlformats.org/drawingml/2006/main">
                  <a:graphicData uri="http://schemas.microsoft.com/office/word/2010/wordprocessingShape">
                    <wps:wsp>
                      <wps:cNvSpPr txBox="1"/>
                      <wps:spPr>
                        <a:xfrm rot="19140000">
                          <a:off x="0" y="0"/>
                          <a:ext cx="992505" cy="467995"/>
                        </a:xfrm>
                        <a:prstGeom prst="rect">
                          <a:avLst/>
                        </a:prstGeom>
                        <a:noFill/>
                        <a:ln>
                          <a:noFill/>
                        </a:ln>
                      </wps:spPr>
                      <wps:txbx>
                        <w:txbxContent>
                          <w:p w14:paraId="39CB3A4D">
                            <w:pPr>
                              <w:rPr>
                                <w:rFonts w:hint="eastAsia"/>
                                <w:b/>
                                <w:bCs/>
                                <w:color w:val="FFFF00"/>
                                <w:sz w:val="32"/>
                                <w:szCs w:val="32"/>
                              </w:rPr>
                            </w:pPr>
                            <w:r>
                              <w:rPr>
                                <w:rFonts w:hint="eastAsia"/>
                                <w:b/>
                                <w:bCs/>
                                <w:color w:val="FFFF00"/>
                                <w:sz w:val="32"/>
                                <w:szCs w:val="32"/>
                              </w:rPr>
                              <w:t>淮 河</w:t>
                            </w:r>
                          </w:p>
                        </w:txbxContent>
                      </wps:txbx>
                      <wps:bodyPr wrap="square" upright="1"/>
                    </wps:wsp>
                  </a:graphicData>
                </a:graphic>
              </wp:anchor>
            </w:drawing>
          </mc:Choice>
          <mc:Fallback>
            <w:pict>
              <v:shape id="文本框 182" o:spid="_x0000_s1026" o:spt="202" type="#_x0000_t202" style="position:absolute;left:0pt;margin-left:466.15pt;margin-top:212.65pt;height:36.85pt;width:78.15pt;rotation:-2686976f;z-index:251798528;mso-width-relative:page;mso-height-relative:page;" filled="f" stroked="f" coordsize="21600,21600" o:gfxdata="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067/63QAAAAwBAAAPAAAAAAAAAAEAIAAAACIAAABkcnMv&#10;ZG93bnJldi54bWxQSwECFAAUAAAACACHTuJArsTk4sUBAABuAwAADgAAAAAAAAABACAAAAAsAQAA&#10;ZHJzL2Uyb0RvYy54bWxQSwUGAAAAAAYABgBZAQAAYwUAAAAA&#10;">
                <v:fill on="f" focussize="0,0"/>
                <v:stroke on="f"/>
                <v:imagedata o:title=""/>
                <o:lock v:ext="edit" aspectratio="f"/>
                <v:textbox>
                  <w:txbxContent>
                    <w:p w14:paraId="39CB3A4D">
                      <w:pPr>
                        <w:rPr>
                          <w:rFonts w:hint="eastAsia"/>
                          <w:b/>
                          <w:bCs/>
                          <w:color w:val="FFFF00"/>
                          <w:sz w:val="32"/>
                          <w:szCs w:val="32"/>
                        </w:rPr>
                      </w:pPr>
                      <w:r>
                        <w:rPr>
                          <w:rFonts w:hint="eastAsia"/>
                          <w:b/>
                          <w:bCs/>
                          <w:color w:val="FFFF00"/>
                          <w:sz w:val="32"/>
                          <w:szCs w:val="32"/>
                        </w:rPr>
                        <w:t>淮 河</w:t>
                      </w:r>
                    </w:p>
                  </w:txbxContent>
                </v:textbox>
              </v:shape>
            </w:pict>
          </mc:Fallback>
        </mc:AlternateContent>
      </w:r>
      <w:r>
        <w:rPr>
          <w:color w:val="auto"/>
          <w:sz w:val="24"/>
        </w:rPr>
        <mc:AlternateContent>
          <mc:Choice Requires="wps">
            <w:drawing>
              <wp:anchor distT="0" distB="0" distL="114300" distR="114300" simplePos="0" relativeHeight="251797504" behindDoc="0" locked="0" layoutInCell="1" allowOverlap="1">
                <wp:simplePos x="0" y="0"/>
                <wp:positionH relativeFrom="column">
                  <wp:posOffset>7880985</wp:posOffset>
                </wp:positionH>
                <wp:positionV relativeFrom="paragraph">
                  <wp:posOffset>884555</wp:posOffset>
                </wp:positionV>
                <wp:extent cx="815975" cy="487680"/>
                <wp:effectExtent l="0" t="0" r="0" b="0"/>
                <wp:wrapNone/>
                <wp:docPr id="143" name="文本框 175"/>
                <wp:cNvGraphicFramePr/>
                <a:graphic xmlns:a="http://schemas.openxmlformats.org/drawingml/2006/main">
                  <a:graphicData uri="http://schemas.microsoft.com/office/word/2010/wordprocessingShape">
                    <wps:wsp>
                      <wps:cNvSpPr txBox="1"/>
                      <wps:spPr>
                        <a:xfrm>
                          <a:off x="0" y="0"/>
                          <a:ext cx="815975" cy="487680"/>
                        </a:xfrm>
                        <a:prstGeom prst="rect">
                          <a:avLst/>
                        </a:prstGeom>
                        <a:noFill/>
                        <a:ln>
                          <a:noFill/>
                        </a:ln>
                      </wps:spPr>
                      <wps:txbx>
                        <w:txbxContent>
                          <w:p w14:paraId="669E9A80">
                            <w:pPr>
                              <w:rPr>
                                <w:color w:val="FFFFFF"/>
                                <w:sz w:val="15"/>
                                <w:szCs w:val="15"/>
                              </w:rPr>
                            </w:pPr>
                            <w:r>
                              <w:rPr>
                                <w:rFonts w:hint="eastAsia"/>
                                <w:color w:val="00B0F0"/>
                                <w:sz w:val="15"/>
                                <w:szCs w:val="15"/>
                              </w:rPr>
                              <w:t xml:space="preserve">0  </w:t>
                            </w:r>
                            <w:r>
                              <w:rPr>
                                <w:rFonts w:hint="eastAsia"/>
                                <w:color w:val="00B0F0"/>
                                <w:sz w:val="15"/>
                                <w:szCs w:val="15"/>
                                <w:lang w:val="en-US" w:eastAsia="zh-CN"/>
                              </w:rPr>
                              <w:t>800</w:t>
                            </w:r>
                            <w:r>
                              <w:rPr>
                                <w:rFonts w:hint="eastAsia"/>
                                <w:color w:val="00B0F0"/>
                                <w:sz w:val="15"/>
                                <w:szCs w:val="15"/>
                              </w:rPr>
                              <w:t xml:space="preserve">  </w:t>
                            </w:r>
                            <w:r>
                              <w:rPr>
                                <w:rFonts w:hint="eastAsia"/>
                                <w:color w:val="00B0F0"/>
                                <w:sz w:val="15"/>
                                <w:szCs w:val="15"/>
                                <w:lang w:val="en-US" w:eastAsia="zh-CN"/>
                              </w:rPr>
                              <w:t>1600</w:t>
                            </w:r>
                            <w:r>
                              <w:rPr>
                                <w:rFonts w:hint="eastAsia"/>
                                <w:color w:val="00B0F0"/>
                                <w:sz w:val="15"/>
                                <w:szCs w:val="15"/>
                              </w:rPr>
                              <w:t>m</w:t>
                            </w:r>
                          </w:p>
                          <w:p w14:paraId="1FDAA9FE">
                            <w:pPr>
                              <w:rPr>
                                <w:rFonts w:hint="eastAsia"/>
                              </w:rPr>
                            </w:pPr>
                            <w:r>
                              <w:rPr>
                                <w:rFonts w:hint="eastAsia"/>
                              </w:rPr>
                              <w:drawing>
                                <wp:inline distT="0" distB="0" distL="114300" distR="114300">
                                  <wp:extent cx="632460" cy="135255"/>
                                  <wp:effectExtent l="0" t="0" r="15240" b="17145"/>
                                  <wp:docPr id="144" name="图片 286" descr="比例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286" descr="比例尺"/>
                                          <pic:cNvPicPr>
                                            <a:picLocks noChangeAspect="1"/>
                                          </pic:cNvPicPr>
                                        </pic:nvPicPr>
                                        <pic:blipFill>
                                          <a:blip r:embed="rId41"/>
                                          <a:stretch>
                                            <a:fillRect/>
                                          </a:stretch>
                                        </pic:blipFill>
                                        <pic:spPr>
                                          <a:xfrm rot="10800000">
                                            <a:off x="0" y="0"/>
                                            <a:ext cx="632460" cy="135255"/>
                                          </a:xfrm>
                                          <a:prstGeom prst="rect">
                                            <a:avLst/>
                                          </a:prstGeom>
                                          <a:noFill/>
                                          <a:ln>
                                            <a:noFill/>
                                          </a:ln>
                                        </pic:spPr>
                                      </pic:pic>
                                    </a:graphicData>
                                  </a:graphic>
                                </wp:inline>
                              </w:drawing>
                            </w:r>
                          </w:p>
                        </w:txbxContent>
                      </wps:txbx>
                      <wps:bodyPr wrap="none" upright="1">
                        <a:spAutoFit/>
                      </wps:bodyPr>
                    </wps:wsp>
                  </a:graphicData>
                </a:graphic>
              </wp:anchor>
            </w:drawing>
          </mc:Choice>
          <mc:Fallback>
            <w:pict>
              <v:shape id="文本框 175" o:spid="_x0000_s1026" o:spt="202" type="#_x0000_t202" style="position:absolute;left:0pt;margin-left:620.55pt;margin-top:69.65pt;height:38.4pt;width:64.25pt;mso-wrap-style:none;z-index:251797504;mso-width-relative:page;mso-height-relative:page;" filled="f" stroked="f" coordsize="21600,21600" o:gfxdata="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wjHrW2AAAAA0BAAAPAAAAAAAAAAEAIAAAACIAAABkcnMvZG93bnJl&#10;di54bWxQSwECFAAUAAAACACHTuJAYJvGOsQBAAB3AwAADgAAAAAAAAABACAAAAAnAQAAZHJzL2Uy&#10;b0RvYy54bWxQSwUGAAAAAAYABgBZAQAAXQUAAAAA&#10;">
                <v:fill on="f" focussize="0,0"/>
                <v:stroke on="f"/>
                <v:imagedata o:title=""/>
                <o:lock v:ext="edit" aspectratio="f"/>
                <v:textbox style="mso-fit-shape-to-text:t;">
                  <w:txbxContent>
                    <w:p w14:paraId="669E9A80">
                      <w:pPr>
                        <w:rPr>
                          <w:color w:val="FFFFFF"/>
                          <w:sz w:val="15"/>
                          <w:szCs w:val="15"/>
                        </w:rPr>
                      </w:pPr>
                      <w:r>
                        <w:rPr>
                          <w:rFonts w:hint="eastAsia"/>
                          <w:color w:val="00B0F0"/>
                          <w:sz w:val="15"/>
                          <w:szCs w:val="15"/>
                        </w:rPr>
                        <w:t xml:space="preserve">0  </w:t>
                      </w:r>
                      <w:r>
                        <w:rPr>
                          <w:rFonts w:hint="eastAsia"/>
                          <w:color w:val="00B0F0"/>
                          <w:sz w:val="15"/>
                          <w:szCs w:val="15"/>
                          <w:lang w:val="en-US" w:eastAsia="zh-CN"/>
                        </w:rPr>
                        <w:t>800</w:t>
                      </w:r>
                      <w:r>
                        <w:rPr>
                          <w:rFonts w:hint="eastAsia"/>
                          <w:color w:val="00B0F0"/>
                          <w:sz w:val="15"/>
                          <w:szCs w:val="15"/>
                        </w:rPr>
                        <w:t xml:space="preserve">  </w:t>
                      </w:r>
                      <w:r>
                        <w:rPr>
                          <w:rFonts w:hint="eastAsia"/>
                          <w:color w:val="00B0F0"/>
                          <w:sz w:val="15"/>
                          <w:szCs w:val="15"/>
                          <w:lang w:val="en-US" w:eastAsia="zh-CN"/>
                        </w:rPr>
                        <w:t>1600</w:t>
                      </w:r>
                      <w:r>
                        <w:rPr>
                          <w:rFonts w:hint="eastAsia"/>
                          <w:color w:val="00B0F0"/>
                          <w:sz w:val="15"/>
                          <w:szCs w:val="15"/>
                        </w:rPr>
                        <w:t>m</w:t>
                      </w:r>
                    </w:p>
                    <w:p w14:paraId="1FDAA9FE">
                      <w:pPr>
                        <w:rPr>
                          <w:rFonts w:hint="eastAsia"/>
                        </w:rPr>
                      </w:pPr>
                      <w:r>
                        <w:rPr>
                          <w:rFonts w:hint="eastAsia"/>
                        </w:rPr>
                        <w:drawing>
                          <wp:inline distT="0" distB="0" distL="114300" distR="114300">
                            <wp:extent cx="632460" cy="135255"/>
                            <wp:effectExtent l="0" t="0" r="15240" b="17145"/>
                            <wp:docPr id="144" name="图片 286" descr="比例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286" descr="比例尺"/>
                                    <pic:cNvPicPr>
                                      <a:picLocks noChangeAspect="1"/>
                                    </pic:cNvPicPr>
                                  </pic:nvPicPr>
                                  <pic:blipFill>
                                    <a:blip r:embed="rId41"/>
                                    <a:stretch>
                                      <a:fillRect/>
                                    </a:stretch>
                                  </pic:blipFill>
                                  <pic:spPr>
                                    <a:xfrm rot="10800000">
                                      <a:off x="0" y="0"/>
                                      <a:ext cx="632460" cy="135255"/>
                                    </a:xfrm>
                                    <a:prstGeom prst="rect">
                                      <a:avLst/>
                                    </a:prstGeom>
                                    <a:noFill/>
                                    <a:ln>
                                      <a:noFill/>
                                    </a:ln>
                                  </pic:spPr>
                                </pic:pic>
                              </a:graphicData>
                            </a:graphic>
                          </wp:inline>
                        </w:drawing>
                      </w:r>
                    </w:p>
                  </w:txbxContent>
                </v:textbox>
              </v:shape>
            </w:pict>
          </mc:Fallback>
        </mc:AlternateContent>
      </w:r>
      <w:r>
        <w:rPr>
          <w:color w:val="auto"/>
          <w:sz w:val="24"/>
        </w:rPr>
        <mc:AlternateContent>
          <mc:Choice Requires="wps">
            <w:drawing>
              <wp:anchor distT="0" distB="0" distL="114300" distR="114300" simplePos="0" relativeHeight="251796480" behindDoc="0" locked="0" layoutInCell="1" allowOverlap="1">
                <wp:simplePos x="0" y="0"/>
                <wp:positionH relativeFrom="column">
                  <wp:posOffset>8021955</wp:posOffset>
                </wp:positionH>
                <wp:positionV relativeFrom="paragraph">
                  <wp:posOffset>253365</wp:posOffset>
                </wp:positionV>
                <wp:extent cx="839470" cy="883920"/>
                <wp:effectExtent l="0" t="0" r="0" b="0"/>
                <wp:wrapNone/>
                <wp:docPr id="141" name="文本框 174"/>
                <wp:cNvGraphicFramePr/>
                <a:graphic xmlns:a="http://schemas.openxmlformats.org/drawingml/2006/main">
                  <a:graphicData uri="http://schemas.microsoft.com/office/word/2010/wordprocessingShape">
                    <wps:wsp>
                      <wps:cNvSpPr txBox="1"/>
                      <wps:spPr>
                        <a:xfrm>
                          <a:off x="0" y="0"/>
                          <a:ext cx="839470" cy="883920"/>
                        </a:xfrm>
                        <a:prstGeom prst="rect">
                          <a:avLst/>
                        </a:prstGeom>
                        <a:noFill/>
                        <a:ln>
                          <a:noFill/>
                        </a:ln>
                      </wps:spPr>
                      <wps:txbx>
                        <w:txbxContent>
                          <w:p w14:paraId="225B0F7C">
                            <w:pPr>
                              <w:rPr>
                                <w:rFonts w:hint="eastAsia" w:eastAsia="宋体"/>
                                <w:lang w:eastAsia="zh-CN"/>
                              </w:rPr>
                            </w:pPr>
                            <w:r>
                              <w:rPr>
                                <w:rFonts w:hint="eastAsia" w:eastAsia="宋体"/>
                                <w:lang w:eastAsia="zh-CN"/>
                              </w:rPr>
                              <w:drawing>
                                <wp:inline distT="0" distB="0" distL="114300" distR="114300">
                                  <wp:extent cx="476250" cy="476250"/>
                                  <wp:effectExtent l="0" t="0" r="0" b="0"/>
                                  <wp:docPr id="142" name="图片 142"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descr="淮南"/>
                                          <pic:cNvPicPr>
                                            <a:picLocks noChangeAspect="1"/>
                                          </pic:cNvPicPr>
                                        </pic:nvPicPr>
                                        <pic:blipFill>
                                          <a:blip r:embed="rId40"/>
                                          <a:stretch>
                                            <a:fillRect/>
                                          </a:stretch>
                                        </pic:blipFill>
                                        <pic:spPr>
                                          <a:xfrm>
                                            <a:off x="0" y="0"/>
                                            <a:ext cx="476250" cy="476250"/>
                                          </a:xfrm>
                                          <a:prstGeom prst="rect">
                                            <a:avLst/>
                                          </a:prstGeom>
                                        </pic:spPr>
                                      </pic:pic>
                                    </a:graphicData>
                                  </a:graphic>
                                </wp:inline>
                              </w:drawing>
                            </w:r>
                          </w:p>
                        </w:txbxContent>
                      </wps:txbx>
                      <wps:bodyPr wrap="none" upright="1">
                        <a:spAutoFit/>
                      </wps:bodyPr>
                    </wps:wsp>
                  </a:graphicData>
                </a:graphic>
              </wp:anchor>
            </w:drawing>
          </mc:Choice>
          <mc:Fallback>
            <w:pict>
              <v:shape id="文本框 174" o:spid="_x0000_s1026" o:spt="202" type="#_x0000_t202" style="position:absolute;left:0pt;margin-left:631.65pt;margin-top:19.95pt;height:69.6pt;width:66.1pt;mso-wrap-style:none;z-index:251796480;mso-width-relative:page;mso-height-relative:page;" filled="f" stroked="f" coordsize="21600,21600" o:gfxdata="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MTGsgtgAAAAMAQAADwAAAAAAAAABACAAAAAiAAAAZHJzL2Rvd25yZXYu&#10;eG1sUEsBAhQAFAAAAAgAh07iQMRvxEfCAQAAdwMAAA4AAAAAAAAAAQAgAAAAJwEAAGRycy9lMm9E&#10;b2MueG1sUEsFBgAAAAAGAAYAWQEAAFsFAAAAAA==&#10;">
                <v:fill on="f" focussize="0,0"/>
                <v:stroke on="f"/>
                <v:imagedata o:title=""/>
                <o:lock v:ext="edit" aspectratio="f"/>
                <v:textbox style="mso-fit-shape-to-text:t;">
                  <w:txbxContent>
                    <w:p w14:paraId="225B0F7C">
                      <w:pPr>
                        <w:rPr>
                          <w:rFonts w:hint="eastAsia" w:eastAsia="宋体"/>
                          <w:lang w:eastAsia="zh-CN"/>
                        </w:rPr>
                      </w:pPr>
                      <w:r>
                        <w:rPr>
                          <w:rFonts w:hint="eastAsia" w:eastAsia="宋体"/>
                          <w:lang w:eastAsia="zh-CN"/>
                        </w:rPr>
                        <w:drawing>
                          <wp:inline distT="0" distB="0" distL="114300" distR="114300">
                            <wp:extent cx="476250" cy="476250"/>
                            <wp:effectExtent l="0" t="0" r="0" b="0"/>
                            <wp:docPr id="142" name="图片 142"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descr="淮南"/>
                                    <pic:cNvPicPr>
                                      <a:picLocks noChangeAspect="1"/>
                                    </pic:cNvPicPr>
                                  </pic:nvPicPr>
                                  <pic:blipFill>
                                    <a:blip r:embed="rId40"/>
                                    <a:stretch>
                                      <a:fillRect/>
                                    </a:stretch>
                                  </pic:blipFill>
                                  <pic:spPr>
                                    <a:xfrm>
                                      <a:off x="0" y="0"/>
                                      <a:ext cx="476250" cy="476250"/>
                                    </a:xfrm>
                                    <a:prstGeom prst="rect">
                                      <a:avLst/>
                                    </a:prstGeom>
                                  </pic:spPr>
                                </pic:pic>
                              </a:graphicData>
                            </a:graphic>
                          </wp:inline>
                        </w:drawing>
                      </w:r>
                    </w:p>
                  </w:txbxContent>
                </v:textbox>
              </v:shape>
            </w:pict>
          </mc:Fallback>
        </mc:AlternateContent>
      </w:r>
      <w:r>
        <w:rPr>
          <w:color w:val="auto"/>
          <w:sz w:val="24"/>
        </w:rPr>
        <w:drawing>
          <wp:inline distT="0" distB="0" distL="114300" distR="114300">
            <wp:extent cx="8848725" cy="4792345"/>
            <wp:effectExtent l="0" t="0" r="9525" b="8255"/>
            <wp:docPr id="189" name="图片 189" descr="C:/Users/dell/Desktop/图片1.jp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descr="C:/Users/dell/Desktop/图片1.jpg图片1"/>
                    <pic:cNvPicPr>
                      <a:picLocks noChangeAspect="1"/>
                    </pic:cNvPicPr>
                  </pic:nvPicPr>
                  <pic:blipFill>
                    <a:blip r:embed="rId44"/>
                    <a:srcRect/>
                    <a:stretch>
                      <a:fillRect/>
                    </a:stretch>
                  </pic:blipFill>
                  <pic:spPr>
                    <a:xfrm>
                      <a:off x="0" y="0"/>
                      <a:ext cx="8848725" cy="4792345"/>
                    </a:xfrm>
                    <a:prstGeom prst="rect">
                      <a:avLst/>
                    </a:prstGeom>
                  </pic:spPr>
                </pic:pic>
              </a:graphicData>
            </a:graphic>
          </wp:inline>
        </w:drawing>
      </w:r>
      <w:r>
        <w:rPr>
          <w:color w:val="auto"/>
          <w:sz w:val="24"/>
        </w:rPr>
        <mc:AlternateContent>
          <mc:Choice Requires="wps">
            <w:drawing>
              <wp:anchor distT="0" distB="0" distL="114300" distR="114300" simplePos="0" relativeHeight="251806720" behindDoc="0" locked="0" layoutInCell="1" allowOverlap="1">
                <wp:simplePos x="0" y="0"/>
                <wp:positionH relativeFrom="column">
                  <wp:posOffset>6461125</wp:posOffset>
                </wp:positionH>
                <wp:positionV relativeFrom="paragraph">
                  <wp:posOffset>3111500</wp:posOffset>
                </wp:positionV>
                <wp:extent cx="108585" cy="482600"/>
                <wp:effectExtent l="13970" t="0" r="48895" b="12700"/>
                <wp:wrapNone/>
                <wp:docPr id="101" name="直线 189"/>
                <wp:cNvGraphicFramePr/>
                <a:graphic xmlns:a="http://schemas.openxmlformats.org/drawingml/2006/main">
                  <a:graphicData uri="http://schemas.microsoft.com/office/word/2010/wordprocessingShape">
                    <wps:wsp>
                      <wps:cNvCnPr>
                        <a:endCxn id="103" idx="2"/>
                      </wps:cNvCnPr>
                      <wps:spPr>
                        <a:xfrm flipV="1">
                          <a:off x="0" y="0"/>
                          <a:ext cx="108585" cy="482600"/>
                        </a:xfrm>
                        <a:prstGeom prst="line">
                          <a:avLst/>
                        </a:prstGeom>
                        <a:ln w="28575" cap="flat" cmpd="sng">
                          <a:solidFill>
                            <a:srgbClr val="7030A0"/>
                          </a:solidFill>
                          <a:prstDash val="solid"/>
                          <a:headEnd type="none" w="med" len="med"/>
                          <a:tailEnd type="arrow" w="med" len="med"/>
                        </a:ln>
                      </wps:spPr>
                      <wps:bodyPr upright="1"/>
                    </wps:wsp>
                  </a:graphicData>
                </a:graphic>
              </wp:anchor>
            </w:drawing>
          </mc:Choice>
          <mc:Fallback>
            <w:pict>
              <v:line id="直线 189" o:spid="_x0000_s1026" o:spt="20" style="position:absolute;left:0pt;flip:y;margin-left:508.75pt;margin-top:245pt;height:38pt;width:8.55pt;z-index:251806720;mso-width-relative:page;mso-height-relative:page;" filled="f" stroked="t" coordsize="21600,21600" o:gfxdata="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3uawDaAAAADQEAAA8AAAAAAAAA&#10;AQAgAAAAIgAAAGRycy9kb3ducmV2LnhtbFBLAQIUABQAAAAIAIdO4kB/jEhCDwIAABgEAAAOAAAA&#10;AAAAAAEAIAAAACkBAABkcnMvZTJvRG9jLnhtbFBLBQYAAAAABgAGAFkBAACqBQAAAAA=&#10;">
                <v:fill on="f" focussize="0,0"/>
                <v:stroke weight="2.25pt" color="#7030A0" joinstyle="round" endarrow="open"/>
                <v:imagedata o:title=""/>
                <o:lock v:ext="edit" aspectratio="f"/>
              </v:line>
            </w:pict>
          </mc:Fallback>
        </mc:AlternateContent>
      </w:r>
    </w:p>
    <w:p w14:paraId="77AEA7A5">
      <w:pPr>
        <w:spacing w:line="400" w:lineRule="exact"/>
        <w:jc w:val="center"/>
        <w:rPr>
          <w:rFonts w:eastAsia="黑体"/>
          <w:color w:val="auto"/>
          <w:sz w:val="24"/>
        </w:rPr>
        <w:sectPr>
          <w:pgSz w:w="16838" w:h="11906" w:orient="landscape"/>
          <w:pgMar w:top="1417" w:right="1440" w:bottom="1417" w:left="1440" w:header="851" w:footer="992" w:gutter="0"/>
          <w:pgBorders>
            <w:top w:val="none" w:sz="0" w:space="0"/>
            <w:left w:val="none" w:sz="0" w:space="0"/>
            <w:bottom w:val="none" w:sz="0" w:space="0"/>
            <w:right w:val="none" w:sz="0" w:space="0"/>
          </w:pgBorders>
          <w:cols w:space="720" w:num="1"/>
          <w:docGrid w:type="linesAndChars" w:linePitch="312" w:charSpace="0"/>
        </w:sectPr>
      </w:pPr>
      <w:r>
        <w:rPr>
          <w:rFonts w:eastAsia="黑体"/>
          <w:color w:val="auto"/>
          <w:sz w:val="24"/>
        </w:rPr>
        <w:t>图2.</w:t>
      </w:r>
      <w:r>
        <w:rPr>
          <w:rFonts w:hint="eastAsia" w:eastAsia="黑体"/>
          <w:color w:val="auto"/>
          <w:sz w:val="24"/>
        </w:rPr>
        <w:t>6</w:t>
      </w:r>
      <w:r>
        <w:rPr>
          <w:rFonts w:eastAsia="黑体"/>
          <w:color w:val="auto"/>
          <w:sz w:val="24"/>
        </w:rPr>
        <w:t>-</w:t>
      </w:r>
      <w:r>
        <w:rPr>
          <w:rFonts w:hint="eastAsia" w:eastAsia="黑体"/>
          <w:color w:val="auto"/>
          <w:sz w:val="24"/>
          <w:lang w:val="en-US" w:eastAsia="zh-CN"/>
        </w:rPr>
        <w:t>3</w:t>
      </w:r>
      <w:r>
        <w:rPr>
          <w:rFonts w:eastAsia="黑体"/>
          <w:color w:val="auto"/>
          <w:sz w:val="24"/>
        </w:rPr>
        <w:t xml:space="preserve">  </w:t>
      </w:r>
      <w:r>
        <w:rPr>
          <w:rFonts w:hint="eastAsia" w:eastAsia="黑体"/>
          <w:color w:val="auto"/>
          <w:sz w:val="24"/>
          <w:lang w:val="en-US" w:eastAsia="zh-CN"/>
        </w:rPr>
        <w:t>本项目生态</w:t>
      </w:r>
      <w:r>
        <w:rPr>
          <w:rFonts w:eastAsia="黑体"/>
          <w:color w:val="auto"/>
          <w:sz w:val="24"/>
        </w:rPr>
        <w:t>环境</w:t>
      </w:r>
      <w:r>
        <w:rPr>
          <w:rFonts w:hint="eastAsia" w:eastAsia="黑体"/>
          <w:color w:val="auto"/>
          <w:sz w:val="24"/>
        </w:rPr>
        <w:t>保护</w:t>
      </w:r>
      <w:r>
        <w:rPr>
          <w:rFonts w:eastAsia="黑体"/>
          <w:color w:val="auto"/>
          <w:sz w:val="24"/>
        </w:rPr>
        <w:t>目标</w:t>
      </w:r>
      <w:r>
        <w:rPr>
          <w:rFonts w:hint="eastAsia" w:eastAsia="黑体"/>
          <w:color w:val="auto"/>
          <w:sz w:val="24"/>
        </w:rPr>
        <w:t>位置关系</w:t>
      </w:r>
      <w:r>
        <w:rPr>
          <w:rFonts w:eastAsia="黑体"/>
          <w:color w:val="auto"/>
          <w:sz w:val="24"/>
        </w:rPr>
        <w:t>图</w:t>
      </w:r>
    </w:p>
    <w:p w14:paraId="368E5EC4">
      <w:pPr>
        <w:spacing w:line="360" w:lineRule="auto"/>
        <w:jc w:val="center"/>
        <w:rPr>
          <w:rFonts w:hint="eastAsia"/>
          <w:color w:val="auto"/>
          <w:sz w:val="24"/>
        </w:rPr>
      </w:pPr>
      <w:r>
        <w:rPr>
          <w:color w:val="auto"/>
          <w:sz w:val="24"/>
        </w:rPr>
        <mc:AlternateContent>
          <mc:Choice Requires="wps">
            <w:drawing>
              <wp:anchor distT="0" distB="0" distL="114300" distR="114300" simplePos="0" relativeHeight="251847680" behindDoc="0" locked="0" layoutInCell="1" allowOverlap="1">
                <wp:simplePos x="0" y="0"/>
                <wp:positionH relativeFrom="column">
                  <wp:posOffset>8078470</wp:posOffset>
                </wp:positionH>
                <wp:positionV relativeFrom="paragraph">
                  <wp:posOffset>671830</wp:posOffset>
                </wp:positionV>
                <wp:extent cx="956945" cy="323215"/>
                <wp:effectExtent l="0" t="0" r="0" b="0"/>
                <wp:wrapNone/>
                <wp:docPr id="239" name="文本框 239"/>
                <wp:cNvGraphicFramePr/>
                <a:graphic xmlns:a="http://schemas.openxmlformats.org/drawingml/2006/main">
                  <a:graphicData uri="http://schemas.microsoft.com/office/word/2010/wordprocessingShape">
                    <wps:wsp>
                      <wps:cNvSpPr txBox="1"/>
                      <wps:spPr>
                        <a:xfrm>
                          <a:off x="9097010" y="1635760"/>
                          <a:ext cx="956945" cy="3232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E83BC">
                            <w:pPr>
                              <w:rPr>
                                <w:rFonts w:hint="default" w:eastAsia="宋体"/>
                                <w:sz w:val="13"/>
                                <w:szCs w:val="13"/>
                                <w:lang w:val="en-US" w:eastAsia="zh-CN"/>
                              </w:rPr>
                            </w:pPr>
                            <w:r>
                              <w:rPr>
                                <w:rFonts w:hint="eastAsia"/>
                                <w:sz w:val="13"/>
                                <w:szCs w:val="13"/>
                                <w:lang w:val="en-US" w:eastAsia="zh-CN"/>
                              </w:rPr>
                              <w:t>0   200  400m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6.1pt;margin-top:52.9pt;height:25.45pt;width:75.35pt;z-index:251847680;mso-width-relative:page;mso-height-relative:page;" filled="f" stroked="f" coordsize="21600,21600" o:gfxdata="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XrsW2dsAAAANAQAADwAAAAAAAAAB&#10;ACAAAAAiAAAAZHJzL2Rvd25yZXYueG1sUEsBAhQAFAAAAAgAh07iQEy2ye9GAgAAdQQAAA4AAAAA&#10;AAAAAQAgAAAAKgEAAGRycy9lMm9Eb2MueG1sUEsFBgAAAAAGAAYAWQEAAOIFAAAAAA==&#10;">
                <v:fill on="f" focussize="0,0"/>
                <v:stroke on="f" weight="0.5pt"/>
                <v:imagedata o:title=""/>
                <o:lock v:ext="edit" aspectratio="f"/>
                <v:textbox>
                  <w:txbxContent>
                    <w:p w14:paraId="001E83BC">
                      <w:pPr>
                        <w:rPr>
                          <w:rFonts w:hint="default" w:eastAsia="宋体"/>
                          <w:sz w:val="13"/>
                          <w:szCs w:val="13"/>
                          <w:lang w:val="en-US" w:eastAsia="zh-CN"/>
                        </w:rPr>
                      </w:pPr>
                      <w:r>
                        <w:rPr>
                          <w:rFonts w:hint="eastAsia"/>
                          <w:sz w:val="13"/>
                          <w:szCs w:val="13"/>
                          <w:lang w:val="en-US" w:eastAsia="zh-CN"/>
                        </w:rPr>
                        <w:t>0   200  400m</w:t>
                      </w:r>
                    </w:p>
                  </w:txbxContent>
                </v:textbox>
              </v:shape>
            </w:pict>
          </mc:Fallback>
        </mc:AlternateContent>
      </w:r>
      <w:r>
        <w:rPr>
          <w:color w:val="auto"/>
          <w:sz w:val="24"/>
        </w:rPr>
        <mc:AlternateContent>
          <mc:Choice Requires="wps">
            <w:drawing>
              <wp:anchor distT="0" distB="0" distL="114300" distR="114300" simplePos="0" relativeHeight="251846656" behindDoc="0" locked="0" layoutInCell="1" allowOverlap="1">
                <wp:simplePos x="0" y="0"/>
                <wp:positionH relativeFrom="column">
                  <wp:posOffset>8032750</wp:posOffset>
                </wp:positionH>
                <wp:positionV relativeFrom="paragraph">
                  <wp:posOffset>704850</wp:posOffset>
                </wp:positionV>
                <wp:extent cx="768985" cy="248920"/>
                <wp:effectExtent l="0" t="0" r="0" b="0"/>
                <wp:wrapNone/>
                <wp:docPr id="237" name="文本框 237"/>
                <wp:cNvGraphicFramePr/>
                <a:graphic xmlns:a="http://schemas.openxmlformats.org/drawingml/2006/main">
                  <a:graphicData uri="http://schemas.microsoft.com/office/word/2010/wordprocessingShape">
                    <wps:wsp>
                      <wps:cNvSpPr txBox="1"/>
                      <wps:spPr>
                        <a:xfrm>
                          <a:off x="8947150" y="1605280"/>
                          <a:ext cx="768985" cy="248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324125">
                            <w:pPr>
                              <w:rPr>
                                <w:rFonts w:hint="eastAsia" w:eastAsia="宋体"/>
                                <w:lang w:eastAsia="zh-CN"/>
                              </w:rPr>
                            </w:pPr>
                            <w:r>
                              <w:rPr>
                                <w:rFonts w:hint="eastAsia" w:eastAsia="宋体"/>
                                <w:lang w:eastAsia="zh-CN"/>
                              </w:rPr>
                              <w:drawing>
                                <wp:inline distT="0" distB="0" distL="114300" distR="114300">
                                  <wp:extent cx="579120" cy="124460"/>
                                  <wp:effectExtent l="0" t="0" r="5080" b="2540"/>
                                  <wp:docPr id="238" name="图片 238" descr="比例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descr="比例尺"/>
                                          <pic:cNvPicPr>
                                            <a:picLocks noChangeAspect="1"/>
                                          </pic:cNvPicPr>
                                        </pic:nvPicPr>
                                        <pic:blipFill>
                                          <a:blip r:embed="rId41"/>
                                          <a:stretch>
                                            <a:fillRect/>
                                          </a:stretch>
                                        </pic:blipFill>
                                        <pic:spPr>
                                          <a:xfrm rot="10800000">
                                            <a:off x="0" y="0"/>
                                            <a:ext cx="579120" cy="1244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2.5pt;margin-top:55.5pt;height:19.6pt;width:60.55pt;z-index:251846656;mso-width-relative:page;mso-height-relative:page;" filled="f" stroked="f" coordsize="21600,21600" o:gfxdata="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XnLFF2wAAAA0BAAAPAAAAAAAA&#10;AAEAIAAAACIAAABkcnMvZG93bnJldi54bWxQSwECFAAUAAAACACHTuJADHkJukgCAAB1BAAADgAA&#10;AAAAAAABACAAAAAqAQAAZHJzL2Uyb0RvYy54bWxQSwUGAAAAAAYABgBZAQAA5AUAAAAA&#10;">
                <v:fill on="f" focussize="0,0"/>
                <v:stroke on="f" weight="0.5pt"/>
                <v:imagedata o:title=""/>
                <o:lock v:ext="edit" aspectratio="f"/>
                <v:textbox>
                  <w:txbxContent>
                    <w:p w14:paraId="2F324125">
                      <w:pPr>
                        <w:rPr>
                          <w:rFonts w:hint="eastAsia" w:eastAsia="宋体"/>
                          <w:lang w:eastAsia="zh-CN"/>
                        </w:rPr>
                      </w:pPr>
                      <w:r>
                        <w:rPr>
                          <w:rFonts w:hint="eastAsia" w:eastAsia="宋体"/>
                          <w:lang w:eastAsia="zh-CN"/>
                        </w:rPr>
                        <w:drawing>
                          <wp:inline distT="0" distB="0" distL="114300" distR="114300">
                            <wp:extent cx="579120" cy="124460"/>
                            <wp:effectExtent l="0" t="0" r="5080" b="2540"/>
                            <wp:docPr id="238" name="图片 238" descr="比例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descr="比例尺"/>
                                    <pic:cNvPicPr>
                                      <a:picLocks noChangeAspect="1"/>
                                    </pic:cNvPicPr>
                                  </pic:nvPicPr>
                                  <pic:blipFill>
                                    <a:blip r:embed="rId41"/>
                                    <a:stretch>
                                      <a:fillRect/>
                                    </a:stretch>
                                  </pic:blipFill>
                                  <pic:spPr>
                                    <a:xfrm rot="10800000">
                                      <a:off x="0" y="0"/>
                                      <a:ext cx="579120" cy="124460"/>
                                    </a:xfrm>
                                    <a:prstGeom prst="rect">
                                      <a:avLst/>
                                    </a:prstGeom>
                                  </pic:spPr>
                                </pic:pic>
                              </a:graphicData>
                            </a:graphic>
                          </wp:inline>
                        </w:drawing>
                      </w:r>
                    </w:p>
                  </w:txbxContent>
                </v:textbox>
              </v:shape>
            </w:pict>
          </mc:Fallback>
        </mc:AlternateContent>
      </w:r>
      <w:r>
        <w:rPr>
          <w:color w:val="auto"/>
          <w:sz w:val="24"/>
        </w:rPr>
        <mc:AlternateContent>
          <mc:Choice Requires="wps">
            <w:drawing>
              <wp:anchor distT="0" distB="0" distL="114300" distR="114300" simplePos="0" relativeHeight="251845632" behindDoc="0" locked="0" layoutInCell="1" allowOverlap="1">
                <wp:simplePos x="0" y="0"/>
                <wp:positionH relativeFrom="column">
                  <wp:posOffset>5176520</wp:posOffset>
                </wp:positionH>
                <wp:positionV relativeFrom="paragraph">
                  <wp:posOffset>382905</wp:posOffset>
                </wp:positionV>
                <wp:extent cx="956945" cy="309880"/>
                <wp:effectExtent l="0" t="0" r="0" b="0"/>
                <wp:wrapNone/>
                <wp:docPr id="236" name="文本框 236"/>
                <wp:cNvGraphicFramePr/>
                <a:graphic xmlns:a="http://schemas.openxmlformats.org/drawingml/2006/main">
                  <a:graphicData uri="http://schemas.microsoft.com/office/word/2010/wordprocessingShape">
                    <wps:wsp>
                      <wps:cNvSpPr txBox="1"/>
                      <wps:spPr>
                        <a:xfrm>
                          <a:off x="6410325" y="1429385"/>
                          <a:ext cx="956945" cy="3098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B7A6FA">
                            <w:pPr>
                              <w:rPr>
                                <w:rFonts w:hint="default" w:eastAsia="宋体"/>
                                <w:color w:val="FFFF00"/>
                                <w:lang w:val="en-US" w:eastAsia="zh-CN"/>
                              </w:rPr>
                            </w:pPr>
                            <w:r>
                              <w:rPr>
                                <w:rFonts w:hint="eastAsia"/>
                                <w:color w:val="FFFF00"/>
                                <w:lang w:val="en-US" w:eastAsia="zh-CN"/>
                              </w:rPr>
                              <w:t>二级保护区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7.6pt;margin-top:30.15pt;height:24.4pt;width:75.35pt;z-index:251845632;mso-width-relative:page;mso-height-relative:page;" filled="f" stroked="f" coordsize="21600,21600" o:gfxdata="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H2OGN2gAAAAoBAAAPAAAAAAAA&#10;AAEAIAAAACIAAABkcnMvZG93bnJldi54bWxQSwECFAAUAAAACACHTuJAgJ0SQEkCAAB1BAAADgAA&#10;AAAAAAABACAAAAApAQAAZHJzL2Uyb0RvYy54bWxQSwUGAAAAAAYABgBZAQAA5AUAAAAA&#10;">
                <v:fill on="f" focussize="0,0"/>
                <v:stroke on="f" weight="0.5pt"/>
                <v:imagedata o:title=""/>
                <o:lock v:ext="edit" aspectratio="f"/>
                <v:textbox>
                  <w:txbxContent>
                    <w:p w14:paraId="0DB7A6FA">
                      <w:pPr>
                        <w:rPr>
                          <w:rFonts w:hint="default" w:eastAsia="宋体"/>
                          <w:color w:val="FFFF00"/>
                          <w:lang w:val="en-US" w:eastAsia="zh-CN"/>
                        </w:rPr>
                      </w:pPr>
                      <w:r>
                        <w:rPr>
                          <w:rFonts w:hint="eastAsia"/>
                          <w:color w:val="FFFF00"/>
                          <w:lang w:val="en-US" w:eastAsia="zh-CN"/>
                        </w:rPr>
                        <w:t>二级保护区</w:t>
                      </w:r>
                    </w:p>
                  </w:txbxContent>
                </v:textbox>
              </v:shape>
            </w:pict>
          </mc:Fallback>
        </mc:AlternateContent>
      </w:r>
      <w:r>
        <w:rPr>
          <w:color w:val="auto"/>
          <w:sz w:val="24"/>
        </w:rPr>
        <mc:AlternateContent>
          <mc:Choice Requires="wps">
            <w:drawing>
              <wp:anchor distT="0" distB="0" distL="114300" distR="114300" simplePos="0" relativeHeight="251844608" behindDoc="0" locked="0" layoutInCell="1" allowOverlap="1">
                <wp:simplePos x="0" y="0"/>
                <wp:positionH relativeFrom="column">
                  <wp:posOffset>4935855</wp:posOffset>
                </wp:positionH>
                <wp:positionV relativeFrom="paragraph">
                  <wp:posOffset>217805</wp:posOffset>
                </wp:positionV>
                <wp:extent cx="1322070" cy="952500"/>
                <wp:effectExtent l="12700" t="12700" r="24130" b="12700"/>
                <wp:wrapNone/>
                <wp:docPr id="232" name="任意多边形 232"/>
                <wp:cNvGraphicFramePr/>
                <a:graphic xmlns:a="http://schemas.openxmlformats.org/drawingml/2006/main">
                  <a:graphicData uri="http://schemas.microsoft.com/office/word/2010/wordprocessingShape">
                    <wps:wsp>
                      <wps:cNvSpPr/>
                      <wps:spPr>
                        <a:xfrm>
                          <a:off x="5850255" y="1118235"/>
                          <a:ext cx="1322070" cy="952500"/>
                        </a:xfrm>
                        <a:custGeom>
                          <a:avLst/>
                          <a:gdLst>
                            <a:gd name="connisteX0" fmla="*/ 1322070 w 1322070"/>
                            <a:gd name="connsiteY0" fmla="*/ 688975 h 952500"/>
                            <a:gd name="connisteX1" fmla="*/ 1176655 w 1322070"/>
                            <a:gd name="connsiteY1" fmla="*/ 717550 h 952500"/>
                            <a:gd name="connisteX2" fmla="*/ 1137285 w 1322070"/>
                            <a:gd name="connsiteY2" fmla="*/ 778510 h 952500"/>
                            <a:gd name="connisteX3" fmla="*/ 1109345 w 1322070"/>
                            <a:gd name="connsiteY3" fmla="*/ 913765 h 952500"/>
                            <a:gd name="connisteX4" fmla="*/ 885190 w 1322070"/>
                            <a:gd name="connsiteY4" fmla="*/ 952500 h 952500"/>
                            <a:gd name="connisteX5" fmla="*/ 688975 w 1322070"/>
                            <a:gd name="connsiteY5" fmla="*/ 873760 h 952500"/>
                            <a:gd name="connisteX6" fmla="*/ 671830 w 1322070"/>
                            <a:gd name="connsiteY6" fmla="*/ 807085 h 952500"/>
                            <a:gd name="connisteX7" fmla="*/ 548640 w 1322070"/>
                            <a:gd name="connsiteY7" fmla="*/ 774065 h 952500"/>
                            <a:gd name="connisteX8" fmla="*/ 386080 w 1322070"/>
                            <a:gd name="connsiteY8" fmla="*/ 717550 h 952500"/>
                            <a:gd name="connisteX9" fmla="*/ 363855 w 1322070"/>
                            <a:gd name="connsiteY9" fmla="*/ 583565 h 952500"/>
                            <a:gd name="connisteX10" fmla="*/ 381000 w 1322070"/>
                            <a:gd name="connsiteY10" fmla="*/ 510540 h 952500"/>
                            <a:gd name="connisteX11" fmla="*/ 330200 w 1322070"/>
                            <a:gd name="connsiteY11" fmla="*/ 437515 h 952500"/>
                            <a:gd name="connisteX12" fmla="*/ 72390 w 1322070"/>
                            <a:gd name="connsiteY12" fmla="*/ 470535 h 952500"/>
                            <a:gd name="connisteX13" fmla="*/ 0 w 1322070"/>
                            <a:gd name="connsiteY13" fmla="*/ 173990 h 952500"/>
                            <a:gd name="connisteX14" fmla="*/ 285750 w 1322070"/>
                            <a:gd name="connsiteY14" fmla="*/ 84455 h 952500"/>
                            <a:gd name="connisteX15" fmla="*/ 487045 w 1322070"/>
                            <a:gd name="connsiteY15" fmla="*/ 95250 h 952500"/>
                            <a:gd name="connisteX16" fmla="*/ 633095 w 1322070"/>
                            <a:gd name="connsiteY16" fmla="*/ 78740 h 952500"/>
                            <a:gd name="connisteX17" fmla="*/ 1024890 w 1322070"/>
                            <a:gd name="connsiteY17" fmla="*/ 0 h 952500"/>
                            <a:gd name="connisteX18" fmla="*/ 1322070 w 1322070"/>
                            <a:gd name="connsiteY18" fmla="*/ 688975 h 9525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Lst>
                          <a:rect l="l" t="t" r="r" b="b"/>
                          <a:pathLst>
                            <a:path w="1322070" h="952500">
                              <a:moveTo>
                                <a:pt x="1322070" y="688975"/>
                              </a:moveTo>
                              <a:lnTo>
                                <a:pt x="1176655" y="717550"/>
                              </a:lnTo>
                              <a:lnTo>
                                <a:pt x="1137285" y="778510"/>
                              </a:lnTo>
                              <a:lnTo>
                                <a:pt x="1109345" y="913765"/>
                              </a:lnTo>
                              <a:lnTo>
                                <a:pt x="885190" y="952500"/>
                              </a:lnTo>
                              <a:lnTo>
                                <a:pt x="688975" y="873760"/>
                              </a:lnTo>
                              <a:lnTo>
                                <a:pt x="671830" y="807085"/>
                              </a:lnTo>
                              <a:lnTo>
                                <a:pt x="548640" y="774065"/>
                              </a:lnTo>
                              <a:lnTo>
                                <a:pt x="386080" y="717550"/>
                              </a:lnTo>
                              <a:lnTo>
                                <a:pt x="363855" y="583565"/>
                              </a:lnTo>
                              <a:lnTo>
                                <a:pt x="381000" y="510540"/>
                              </a:lnTo>
                              <a:lnTo>
                                <a:pt x="330200" y="437515"/>
                              </a:lnTo>
                              <a:lnTo>
                                <a:pt x="72390" y="470535"/>
                              </a:lnTo>
                              <a:lnTo>
                                <a:pt x="0" y="173990"/>
                              </a:lnTo>
                              <a:lnTo>
                                <a:pt x="285750" y="84455"/>
                              </a:lnTo>
                              <a:lnTo>
                                <a:pt x="487045" y="95250"/>
                              </a:lnTo>
                              <a:lnTo>
                                <a:pt x="633095" y="78740"/>
                              </a:lnTo>
                              <a:lnTo>
                                <a:pt x="1024890" y="0"/>
                              </a:lnTo>
                              <a:lnTo>
                                <a:pt x="1322070" y="688975"/>
                              </a:lnTo>
                              <a:close/>
                            </a:path>
                          </a:pathLst>
                        </a:custGeom>
                        <a:solidFill>
                          <a:schemeClr val="accent2">
                            <a:lumMod val="40000"/>
                            <a:lumOff val="60000"/>
                          </a:schemeClr>
                        </a:solidFill>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388.65pt;margin-top:17.15pt;height:75pt;width:104.1pt;z-index:251844608;mso-width-relative:page;mso-height-relative:page;" fillcolor="#E6B9B8 [1301]" filled="t" stroked="t" coordsize="1322070,952500" o:gfxdata="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" path="m1322070,688975l1176655,717550,1137285,778510,1109345,913765,885190,952500,688975,873760,671830,807085,548640,774065,386080,717550,363855,583565,381000,510540,330200,437515,72390,470535,0,173990,285750,84455,487045,95250,633095,78740,1024890,0,1322070,688975xe">
                <v:path o:connectlocs="1322070,688975;1176655,717550;1137285,778510;1109345,913765;885190,952500;688975,873760;671830,807085;548640,774065;386080,717550;363855,583565;381000,510540;330200,437515;72390,470535;0,173990;285750,84455;487045,95250;633095,78740;1024890,0;1322070,688975" o:connectangles="0,0,0,0,0,0,0,0,0,0,0,0,0,0,0,0,0,0,0"/>
                <v:fill on="t" focussize="0,0"/>
                <v:stroke weight="2pt" color="#376092 [2404]" joinstyle="round"/>
                <v:imagedata o:title=""/>
                <o:lock v:ext="edit" aspectratio="f"/>
              </v:shape>
            </w:pict>
          </mc:Fallback>
        </mc:AlternateContent>
      </w:r>
      <w:r>
        <w:rPr>
          <w:color w:val="auto"/>
          <w:sz w:val="24"/>
        </w:rPr>
        <mc:AlternateContent>
          <mc:Choice Requires="wps">
            <w:drawing>
              <wp:anchor distT="0" distB="0" distL="114300" distR="114300" simplePos="0" relativeHeight="251843584" behindDoc="0" locked="0" layoutInCell="1" allowOverlap="1">
                <wp:simplePos x="0" y="0"/>
                <wp:positionH relativeFrom="column">
                  <wp:posOffset>5966460</wp:posOffset>
                </wp:positionH>
                <wp:positionV relativeFrom="paragraph">
                  <wp:posOffset>11430</wp:posOffset>
                </wp:positionV>
                <wp:extent cx="1423035" cy="890905"/>
                <wp:effectExtent l="12700" t="12700" r="24765" b="23495"/>
                <wp:wrapNone/>
                <wp:docPr id="231" name="任意多边形 231"/>
                <wp:cNvGraphicFramePr/>
                <a:graphic xmlns:a="http://schemas.openxmlformats.org/drawingml/2006/main">
                  <a:graphicData uri="http://schemas.microsoft.com/office/word/2010/wordprocessingShape">
                    <wps:wsp>
                      <wps:cNvSpPr/>
                      <wps:spPr>
                        <a:xfrm>
                          <a:off x="6880860" y="911860"/>
                          <a:ext cx="1423035" cy="890905"/>
                        </a:xfrm>
                        <a:custGeom>
                          <a:avLst/>
                          <a:gdLst>
                            <a:gd name="connisteX0" fmla="*/ 1243965 w 1423035"/>
                            <a:gd name="connsiteY0" fmla="*/ 437515 h 890905"/>
                            <a:gd name="connisteX1" fmla="*/ 851535 w 1423035"/>
                            <a:gd name="connsiteY1" fmla="*/ 527050 h 890905"/>
                            <a:gd name="connisteX2" fmla="*/ 678180 w 1423035"/>
                            <a:gd name="connsiteY2" fmla="*/ 514985 h 890905"/>
                            <a:gd name="connisteX3" fmla="*/ 560070 w 1423035"/>
                            <a:gd name="connsiteY3" fmla="*/ 542925 h 890905"/>
                            <a:gd name="connisteX4" fmla="*/ 442595 w 1423035"/>
                            <a:gd name="connsiteY4" fmla="*/ 773430 h 890905"/>
                            <a:gd name="connisteX5" fmla="*/ 280035 w 1423035"/>
                            <a:gd name="connsiteY5" fmla="*/ 890905 h 890905"/>
                            <a:gd name="connisteX6" fmla="*/ 0 w 1423035"/>
                            <a:gd name="connsiteY6" fmla="*/ 190500 h 890905"/>
                            <a:gd name="connisteX7" fmla="*/ 493395 w 1423035"/>
                            <a:gd name="connsiteY7" fmla="*/ 88900 h 890905"/>
                            <a:gd name="connisteX8" fmla="*/ 1316990 w 1423035"/>
                            <a:gd name="connsiteY8" fmla="*/ 0 h 890905"/>
                            <a:gd name="connisteX9" fmla="*/ 1395095 w 1423035"/>
                            <a:gd name="connsiteY9" fmla="*/ 364490 h 890905"/>
                            <a:gd name="connisteX10" fmla="*/ 1423035 w 1423035"/>
                            <a:gd name="connsiteY10" fmla="*/ 431800 h 890905"/>
                            <a:gd name="connisteX11" fmla="*/ 1243965 w 1423035"/>
                            <a:gd name="connsiteY11" fmla="*/ 437515 h 89090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Lst>
                          <a:rect l="l" t="t" r="r" b="b"/>
                          <a:pathLst>
                            <a:path w="1423035" h="890905">
                              <a:moveTo>
                                <a:pt x="1243965" y="437515"/>
                              </a:moveTo>
                              <a:lnTo>
                                <a:pt x="851535" y="527050"/>
                              </a:lnTo>
                              <a:lnTo>
                                <a:pt x="678180" y="514985"/>
                              </a:lnTo>
                              <a:lnTo>
                                <a:pt x="560070" y="542925"/>
                              </a:lnTo>
                              <a:lnTo>
                                <a:pt x="442595" y="773430"/>
                              </a:lnTo>
                              <a:lnTo>
                                <a:pt x="280035" y="890905"/>
                              </a:lnTo>
                              <a:lnTo>
                                <a:pt x="0" y="190500"/>
                              </a:lnTo>
                              <a:lnTo>
                                <a:pt x="493395" y="88900"/>
                              </a:lnTo>
                              <a:lnTo>
                                <a:pt x="1316990" y="0"/>
                              </a:lnTo>
                              <a:lnTo>
                                <a:pt x="1395095" y="364490"/>
                              </a:lnTo>
                              <a:lnTo>
                                <a:pt x="1423035" y="431800"/>
                              </a:lnTo>
                              <a:lnTo>
                                <a:pt x="1243965" y="437515"/>
                              </a:lnTo>
                              <a:close/>
                            </a:path>
                          </a:pathLst>
                        </a:custGeom>
                        <a:solidFill>
                          <a:srgbClr val="FFFF00"/>
                        </a:solidFill>
                      </wps:spPr>
                      <wps:style>
                        <a:lnRef idx="2">
                          <a:schemeClr val="accent1">
                            <a:lumMod val="75000"/>
                          </a:schemeClr>
                        </a:lnRef>
                        <a:fillRef idx="1">
                          <a:schemeClr val="accent1"/>
                        </a:fillRef>
                        <a:effectRef idx="0">
                          <a:srgbClr val="FFFFFF"/>
                        </a:effectRef>
                        <a:fontRef idx="minor">
                          <a:schemeClr val="lt1"/>
                        </a:fontRef>
                      </wps:style>
                      <wps:txbx>
                        <w:txbxContent>
                          <w:p w14:paraId="0DFCA96E">
                            <w:pPr>
                              <w:jc w:val="center"/>
                              <w:rPr>
                                <w:color w:val="auto"/>
                              </w:rPr>
                            </w:pPr>
                          </w:p>
                          <w:p w14:paraId="30021F94">
                            <w:pPr>
                              <w:jc w:val="center"/>
                              <w:rPr>
                                <w:rFonts w:hint="default" w:eastAsia="宋体"/>
                                <w:color w:val="C0504D" w:themeColor="accent2"/>
                                <w:highlight w:val="none"/>
                                <w:lang w:val="en-US" w:eastAsia="zh-CN"/>
                                <w14:textFill>
                                  <w14:solidFill>
                                    <w14:schemeClr w14:val="accent2"/>
                                  </w14:solidFill>
                                </w14:textFill>
                              </w:rPr>
                            </w:pPr>
                            <w:r>
                              <w:rPr>
                                <w:rFonts w:hint="eastAsia"/>
                                <w:color w:val="C0504D" w:themeColor="accent2"/>
                                <w:highlight w:val="none"/>
                                <w:lang w:val="en-US" w:eastAsia="zh-CN"/>
                                <w14:textFill>
                                  <w14:solidFill>
                                    <w14:schemeClr w14:val="accent2"/>
                                  </w14:solidFill>
                                </w14:textFill>
                              </w:rPr>
                              <w:t>一级保护区</w:t>
                            </w:r>
                          </w:p>
                        </w:txbxContent>
                      </wps:txbx>
                      <wps:bodyPr/>
                    </wps:wsp>
                  </a:graphicData>
                </a:graphic>
              </wp:anchor>
            </w:drawing>
          </mc:Choice>
          <mc:Fallback>
            <w:pict>
              <v:shape id="_x0000_s1026" o:spid="_x0000_s1026" o:spt="100" style="position:absolute;left:0pt;margin-left:469.8pt;margin-top:0.9pt;height:70.15pt;width:112.05pt;z-index:251843584;mso-width-relative:page;mso-height-relative:page;" fillcolor="#FFFF00" filled="t" stroked="t" coordsize="1423035,890905" o:gfxdata="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" path="m1243965,437515l851535,527050,678180,514985,560070,542925,442595,773430,280035,890905,0,190500,493395,88900,1316990,0,1395095,364490,1423035,431800,1243965,437515xe">
                <v:path textboxrect="0,0,1423035,890905" o:connectlocs="1243965,437515;851535,527050;678180,514985;560070,542925;442595,773430;280035,890905;0,190500;493395,88900;1316990,0;1395095,364490;1423035,431800;1243965,437515" o:connectangles="0,0,0,0,0,0,0,0,0,0,0,0"/>
                <v:fill on="t" focussize="0,0"/>
                <v:stroke weight="2pt" color="#376092 [2404]" joinstyle="round"/>
                <v:imagedata o:title=""/>
                <o:lock v:ext="edit" aspectratio="f"/>
                <v:textbox>
                  <w:txbxContent>
                    <w:p w14:paraId="0DFCA96E">
                      <w:pPr>
                        <w:jc w:val="center"/>
                        <w:rPr>
                          <w:color w:val="auto"/>
                        </w:rPr>
                      </w:pPr>
                    </w:p>
                    <w:p w14:paraId="30021F94">
                      <w:pPr>
                        <w:jc w:val="center"/>
                        <w:rPr>
                          <w:rFonts w:hint="default" w:eastAsia="宋体"/>
                          <w:color w:val="C0504D" w:themeColor="accent2"/>
                          <w:highlight w:val="none"/>
                          <w:lang w:val="en-US" w:eastAsia="zh-CN"/>
                          <w14:textFill>
                            <w14:solidFill>
                              <w14:schemeClr w14:val="accent2"/>
                            </w14:solidFill>
                          </w14:textFill>
                        </w:rPr>
                      </w:pPr>
                      <w:r>
                        <w:rPr>
                          <w:rFonts w:hint="eastAsia"/>
                          <w:color w:val="C0504D" w:themeColor="accent2"/>
                          <w:highlight w:val="none"/>
                          <w:lang w:val="en-US" w:eastAsia="zh-CN"/>
                          <w14:textFill>
                            <w14:solidFill>
                              <w14:schemeClr w14:val="accent2"/>
                            </w14:solidFill>
                          </w14:textFill>
                        </w:rPr>
                        <w:t>一级保护区</w:t>
                      </w:r>
                    </w:p>
                  </w:txbxContent>
                </v:textbox>
              </v:shape>
            </w:pict>
          </mc:Fallback>
        </mc:AlternateContent>
      </w:r>
      <w:r>
        <w:rPr>
          <w:color w:val="auto"/>
          <w:sz w:val="24"/>
        </w:rPr>
        <mc:AlternateContent>
          <mc:Choice Requires="wps">
            <w:drawing>
              <wp:anchor distT="0" distB="0" distL="114300" distR="114300" simplePos="0" relativeHeight="251842560" behindDoc="0" locked="0" layoutInCell="1" allowOverlap="1">
                <wp:simplePos x="0" y="0"/>
                <wp:positionH relativeFrom="column">
                  <wp:posOffset>8056880</wp:posOffset>
                </wp:positionH>
                <wp:positionV relativeFrom="paragraph">
                  <wp:posOffset>59690</wp:posOffset>
                </wp:positionV>
                <wp:extent cx="725805" cy="685800"/>
                <wp:effectExtent l="0" t="0" r="0" b="0"/>
                <wp:wrapNone/>
                <wp:docPr id="4" name="文本框 35"/>
                <wp:cNvGraphicFramePr/>
                <a:graphic xmlns:a="http://schemas.openxmlformats.org/drawingml/2006/main">
                  <a:graphicData uri="http://schemas.microsoft.com/office/word/2010/wordprocessingShape">
                    <wps:wsp>
                      <wps:cNvSpPr txBox="1"/>
                      <wps:spPr>
                        <a:xfrm>
                          <a:off x="0" y="0"/>
                          <a:ext cx="725805" cy="685800"/>
                        </a:xfrm>
                        <a:prstGeom prst="rect">
                          <a:avLst/>
                        </a:prstGeom>
                        <a:noFill/>
                        <a:ln>
                          <a:noFill/>
                        </a:ln>
                      </wps:spPr>
                      <wps:txbx>
                        <w:txbxContent>
                          <w:p w14:paraId="43B3E94F">
                            <w:pPr>
                              <w:rPr>
                                <w:rFonts w:hint="eastAsia"/>
                              </w:rPr>
                            </w:pPr>
                            <w:r>
                              <w:rPr>
                                <w:rFonts w:hint="eastAsia"/>
                              </w:rPr>
                              <w:drawing>
                                <wp:inline distT="0" distB="0" distL="114300" distR="114300">
                                  <wp:extent cx="542290" cy="542290"/>
                                  <wp:effectExtent l="0" t="0" r="3810" b="3810"/>
                                  <wp:docPr id="132" name="图片 101"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01" descr="淮南"/>
                                          <pic:cNvPicPr>
                                            <a:picLocks noChangeAspect="1"/>
                                          </pic:cNvPicPr>
                                        </pic:nvPicPr>
                                        <pic:blipFill>
                                          <a:blip r:embed="rId40"/>
                                          <a:stretch>
                                            <a:fillRect/>
                                          </a:stretch>
                                        </pic:blipFill>
                                        <pic:spPr>
                                          <a:xfrm>
                                            <a:off x="0" y="0"/>
                                            <a:ext cx="542290" cy="542290"/>
                                          </a:xfrm>
                                          <a:prstGeom prst="rect">
                                            <a:avLst/>
                                          </a:prstGeom>
                                          <a:noFill/>
                                          <a:ln>
                                            <a:noFill/>
                                          </a:ln>
                                        </pic:spPr>
                                      </pic:pic>
                                    </a:graphicData>
                                  </a:graphic>
                                </wp:inline>
                              </w:drawing>
                            </w:r>
                          </w:p>
                        </w:txbxContent>
                      </wps:txbx>
                      <wps:bodyPr wrap="none" upright="1">
                        <a:spAutoFit/>
                      </wps:bodyPr>
                    </wps:wsp>
                  </a:graphicData>
                </a:graphic>
              </wp:anchor>
            </w:drawing>
          </mc:Choice>
          <mc:Fallback>
            <w:pict>
              <v:shape id="文本框 35" o:spid="_x0000_s1026" o:spt="202" type="#_x0000_t202" style="position:absolute;left:0pt;margin-left:634.4pt;margin-top:4.7pt;height:54pt;width:57.15pt;mso-wrap-style:none;z-index:251842560;mso-width-relative:page;mso-height-relative:page;" filled="f" stroked="f" coordsize="21600,21600" o:gfxdata="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d9m99cAAAALAQAADwAAAAAAAAABACAAAAAiAAAAZHJzL2Rvd25yZXYueG1s&#10;UEsBAhQAFAAAAAgAh07iQCZRBrbAAQAAdAMAAA4AAAAAAAAAAQAgAAAAJgEAAGRycy9lMm9Eb2Mu&#10;eG1sUEsFBgAAAAAGAAYAWQEAAFgFAAAAAA==&#10;">
                <v:fill on="f" focussize="0,0"/>
                <v:stroke on="f"/>
                <v:imagedata o:title=""/>
                <o:lock v:ext="edit" aspectratio="f"/>
                <v:textbox style="mso-fit-shape-to-text:t;">
                  <w:txbxContent>
                    <w:p w14:paraId="43B3E94F">
                      <w:pPr>
                        <w:rPr>
                          <w:rFonts w:hint="eastAsia"/>
                        </w:rPr>
                      </w:pPr>
                      <w:r>
                        <w:rPr>
                          <w:rFonts w:hint="eastAsia"/>
                        </w:rPr>
                        <w:drawing>
                          <wp:inline distT="0" distB="0" distL="114300" distR="114300">
                            <wp:extent cx="542290" cy="542290"/>
                            <wp:effectExtent l="0" t="0" r="3810" b="3810"/>
                            <wp:docPr id="132" name="图片 101"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01" descr="淮南"/>
                                    <pic:cNvPicPr>
                                      <a:picLocks noChangeAspect="1"/>
                                    </pic:cNvPicPr>
                                  </pic:nvPicPr>
                                  <pic:blipFill>
                                    <a:blip r:embed="rId40"/>
                                    <a:stretch>
                                      <a:fillRect/>
                                    </a:stretch>
                                  </pic:blipFill>
                                  <pic:spPr>
                                    <a:xfrm>
                                      <a:off x="0" y="0"/>
                                      <a:ext cx="542290" cy="542290"/>
                                    </a:xfrm>
                                    <a:prstGeom prst="rect">
                                      <a:avLst/>
                                    </a:prstGeom>
                                    <a:noFill/>
                                    <a:ln>
                                      <a:noFill/>
                                    </a:ln>
                                  </pic:spPr>
                                </pic:pic>
                              </a:graphicData>
                            </a:graphic>
                          </wp:inline>
                        </w:drawing>
                      </w:r>
                    </w:p>
                  </w:txbxContent>
                </v:textbox>
              </v:shape>
            </w:pict>
          </mc:Fallback>
        </mc:AlternateContent>
      </w:r>
      <w:r>
        <w:rPr>
          <w:rFonts w:hint="eastAsia"/>
          <w:color w:val="auto"/>
          <w:sz w:val="24"/>
        </w:rPr>
        <w:drawing>
          <wp:inline distT="0" distB="0" distL="114300" distR="114300">
            <wp:extent cx="8917940" cy="5138420"/>
            <wp:effectExtent l="0" t="0" r="10160" b="5080"/>
            <wp:docPr id="133" name="图片 102" descr="1698204651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02" descr="1698204651814"/>
                    <pic:cNvPicPr>
                      <a:picLocks noChangeAspect="1"/>
                    </pic:cNvPicPr>
                  </pic:nvPicPr>
                  <pic:blipFill>
                    <a:blip r:embed="rId45"/>
                    <a:srcRect t="13077"/>
                    <a:stretch>
                      <a:fillRect/>
                    </a:stretch>
                  </pic:blipFill>
                  <pic:spPr>
                    <a:xfrm>
                      <a:off x="0" y="0"/>
                      <a:ext cx="8917940" cy="5138420"/>
                    </a:xfrm>
                    <a:prstGeom prst="rect">
                      <a:avLst/>
                    </a:prstGeom>
                    <a:noFill/>
                    <a:ln>
                      <a:noFill/>
                    </a:ln>
                  </pic:spPr>
                </pic:pic>
              </a:graphicData>
            </a:graphic>
          </wp:inline>
        </w:drawing>
      </w:r>
    </w:p>
    <w:p w14:paraId="45F857A2">
      <w:pPr>
        <w:spacing w:line="400" w:lineRule="exact"/>
        <w:jc w:val="center"/>
        <w:rPr>
          <w:rFonts w:eastAsia="黑体"/>
          <w:color w:val="auto"/>
          <w:sz w:val="24"/>
        </w:rPr>
        <w:sectPr>
          <w:pgSz w:w="16838" w:h="11906" w:orient="landscape"/>
          <w:pgMar w:top="1418" w:right="1440" w:bottom="1418" w:left="1440" w:header="851" w:footer="992" w:gutter="0"/>
          <w:pgBorders>
            <w:top w:val="none" w:sz="0" w:space="0"/>
            <w:left w:val="none" w:sz="0" w:space="0"/>
            <w:bottom w:val="none" w:sz="0" w:space="0"/>
            <w:right w:val="none" w:sz="0" w:space="0"/>
          </w:pgBorders>
          <w:cols w:space="720" w:num="1"/>
          <w:docGrid w:type="linesAndChars" w:linePitch="312" w:charSpace="0"/>
        </w:sectPr>
      </w:pPr>
      <w:r>
        <w:rPr>
          <w:rFonts w:eastAsia="黑体"/>
          <w:color w:val="auto"/>
          <w:sz w:val="24"/>
        </w:rPr>
        <w:t>图2.</w:t>
      </w:r>
      <w:r>
        <w:rPr>
          <w:rFonts w:hint="eastAsia" w:eastAsia="黑体"/>
          <w:color w:val="auto"/>
          <w:sz w:val="24"/>
          <w:lang w:val="en-US" w:eastAsia="zh-CN"/>
        </w:rPr>
        <w:t>6-4</w:t>
      </w:r>
      <w:r>
        <w:rPr>
          <w:rFonts w:eastAsia="黑体"/>
          <w:color w:val="auto"/>
          <w:sz w:val="24"/>
        </w:rPr>
        <w:t xml:space="preserve">  区域饮用水源</w:t>
      </w:r>
      <w:r>
        <w:rPr>
          <w:rFonts w:hint="eastAsia" w:eastAsia="黑体"/>
          <w:color w:val="auto"/>
          <w:sz w:val="24"/>
        </w:rPr>
        <w:t>分布</w:t>
      </w:r>
      <w:r>
        <w:rPr>
          <w:rFonts w:eastAsia="黑体"/>
          <w:color w:val="auto"/>
          <w:sz w:val="24"/>
        </w:rPr>
        <w:t>图</w:t>
      </w:r>
    </w:p>
    <w:p w14:paraId="04980ADB">
      <w:pPr>
        <w:keepNext/>
        <w:keepLines/>
        <w:widowControl w:val="0"/>
        <w:numPr>
          <w:ilvl w:val="0"/>
          <w:numId w:val="0"/>
        </w:numPr>
        <w:spacing w:line="360" w:lineRule="auto"/>
        <w:jc w:val="center"/>
        <w:outlineLvl w:val="0"/>
        <w:rPr>
          <w:rFonts w:ascii="Times New Roman" w:hAnsi="Times New Roman" w:eastAsia="宋体" w:cs="Times New Roman"/>
          <w:b/>
          <w:bCs/>
          <w:color w:val="auto"/>
          <w:kern w:val="44"/>
          <w:sz w:val="44"/>
          <w:szCs w:val="44"/>
          <w:lang w:val="en-US" w:eastAsia="zh-CN" w:bidi="ar-SA"/>
        </w:rPr>
      </w:pPr>
      <w:bookmarkStart w:id="74" w:name="_Toc18180"/>
      <w:r>
        <w:rPr>
          <w:rFonts w:hint="eastAsia" w:ascii="Times New Roman" w:hAnsi="Times New Roman" w:eastAsia="宋体" w:cs="Times New Roman"/>
          <w:b/>
          <w:bCs/>
          <w:color w:val="auto"/>
          <w:kern w:val="44"/>
          <w:sz w:val="44"/>
          <w:szCs w:val="44"/>
          <w:lang w:val="en-US" w:eastAsia="zh-CN" w:bidi="ar-SA"/>
        </w:rPr>
        <w:t>3</w:t>
      </w:r>
      <w:r>
        <w:rPr>
          <w:rFonts w:ascii="Times New Roman" w:hAnsi="Times New Roman" w:eastAsia="宋体" w:cs="Times New Roman"/>
          <w:b/>
          <w:bCs/>
          <w:color w:val="auto"/>
          <w:kern w:val="44"/>
          <w:sz w:val="44"/>
          <w:szCs w:val="44"/>
          <w:lang w:val="en-US" w:eastAsia="zh-CN" w:bidi="ar-SA"/>
        </w:rPr>
        <w:t>建设项目工程分析</w:t>
      </w:r>
      <w:bookmarkEnd w:id="74"/>
    </w:p>
    <w:p w14:paraId="339F7521">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75" w:name="_Toc5659"/>
      <w:r>
        <w:rPr>
          <w:rFonts w:hint="eastAsia" w:ascii="Times New Roman" w:hAnsi="Times New Roman" w:eastAsia="黑体" w:cs="Times New Roman"/>
          <w:bCs/>
          <w:color w:val="auto"/>
          <w:kern w:val="2"/>
          <w:sz w:val="30"/>
          <w:szCs w:val="32"/>
          <w:lang w:val="en-US" w:eastAsia="zh-CN" w:bidi="ar-SA"/>
        </w:rPr>
        <w:t>3.1原项目</w:t>
      </w:r>
      <w:r>
        <w:rPr>
          <w:rFonts w:ascii="Times New Roman" w:hAnsi="Times New Roman" w:eastAsia="黑体" w:cs="Times New Roman"/>
          <w:bCs/>
          <w:color w:val="auto"/>
          <w:kern w:val="2"/>
          <w:sz w:val="30"/>
          <w:szCs w:val="32"/>
          <w:lang w:val="en-US" w:eastAsia="zh-CN" w:bidi="ar-SA"/>
        </w:rPr>
        <w:t>概况</w:t>
      </w:r>
      <w:bookmarkEnd w:id="75"/>
    </w:p>
    <w:p w14:paraId="417E6358">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w:t>
      </w:r>
      <w:r>
        <w:rPr>
          <w:rFonts w:ascii="Times New Roman" w:hAnsi="Times New Roman" w:eastAsia="黑体" w:cs="Times New Roman"/>
          <w:bCs/>
          <w:color w:val="auto"/>
          <w:kern w:val="2"/>
          <w:sz w:val="28"/>
          <w:szCs w:val="32"/>
          <w:lang w:val="en-US" w:eastAsia="zh-CN" w:bidi="ar-SA"/>
        </w:rPr>
        <w:t>1</w:t>
      </w:r>
      <w:r>
        <w:rPr>
          <w:rFonts w:hint="eastAsia" w:ascii="Times New Roman" w:hAnsi="Times New Roman" w:eastAsia="黑体" w:cs="Times New Roman"/>
          <w:bCs/>
          <w:color w:val="auto"/>
          <w:kern w:val="2"/>
          <w:sz w:val="28"/>
          <w:szCs w:val="32"/>
          <w:lang w:val="en-US" w:eastAsia="zh-CN" w:bidi="ar-SA"/>
        </w:rPr>
        <w:t>.1原</w:t>
      </w:r>
      <w:r>
        <w:rPr>
          <w:rFonts w:ascii="Times New Roman" w:hAnsi="Times New Roman" w:eastAsia="黑体" w:cs="Times New Roman"/>
          <w:bCs/>
          <w:color w:val="auto"/>
          <w:kern w:val="2"/>
          <w:sz w:val="28"/>
          <w:szCs w:val="32"/>
          <w:lang w:val="en-US" w:eastAsia="zh-CN" w:bidi="ar-SA"/>
        </w:rPr>
        <w:t>项目概况</w:t>
      </w:r>
    </w:p>
    <w:p w14:paraId="73CD763D">
      <w:pPr>
        <w:spacing w:line="360" w:lineRule="auto"/>
        <w:ind w:firstLine="480" w:firstLineChars="200"/>
        <w:rPr>
          <w:rFonts w:hint="eastAsia" w:ascii="Times New Roman" w:hAnsi="Times New Roman" w:eastAsia="宋体" w:cs="Times New Roman"/>
          <w:bCs/>
          <w:color w:val="auto"/>
          <w:sz w:val="24"/>
          <w:lang w:eastAsia="zh-CN"/>
        </w:rPr>
      </w:pPr>
      <w:r>
        <w:rPr>
          <w:rFonts w:ascii="Times New Roman" w:hAnsi="Times New Roman" w:eastAsia="宋体" w:cs="Times New Roman"/>
          <w:color w:val="auto"/>
          <w:sz w:val="24"/>
          <w:szCs w:val="24"/>
        </w:rPr>
        <w:t>2010年4月，</w:t>
      </w:r>
      <w:r>
        <w:rPr>
          <w:rFonts w:hint="eastAsia" w:ascii="Times New Roman" w:hAnsi="Times New Roman" w:eastAsia="宋体" w:cs="Times New Roman"/>
          <w:bCs/>
          <w:color w:val="auto"/>
          <w:sz w:val="24"/>
        </w:rPr>
        <w:t>淮南市兴华园商贸发展有限公司委托南京智方环保工程有限公司编制《淮南市兴华园贸易发展有限公司淮南兴华园中转码头新建项目环境影响报告表》，2</w:t>
      </w:r>
      <w:r>
        <w:rPr>
          <w:rFonts w:ascii="Times New Roman" w:hAnsi="Times New Roman" w:eastAsia="宋体" w:cs="Times New Roman"/>
          <w:bCs/>
          <w:color w:val="auto"/>
          <w:sz w:val="24"/>
        </w:rPr>
        <w:t>012</w:t>
      </w:r>
      <w:r>
        <w:rPr>
          <w:rFonts w:hint="eastAsia" w:ascii="Times New Roman" w:hAnsi="Times New Roman" w:eastAsia="宋体" w:cs="Times New Roman"/>
          <w:bCs/>
          <w:color w:val="auto"/>
          <w:sz w:val="24"/>
        </w:rPr>
        <w:t>年1</w:t>
      </w:r>
      <w:r>
        <w:rPr>
          <w:rFonts w:ascii="Times New Roman" w:hAnsi="Times New Roman" w:eastAsia="宋体" w:cs="Times New Roman"/>
          <w:bCs/>
          <w:color w:val="auto"/>
          <w:sz w:val="24"/>
        </w:rPr>
        <w:t>2</w:t>
      </w:r>
      <w:r>
        <w:rPr>
          <w:rFonts w:hint="eastAsia" w:ascii="Times New Roman" w:hAnsi="Times New Roman" w:eastAsia="宋体" w:cs="Times New Roman"/>
          <w:bCs/>
          <w:color w:val="auto"/>
          <w:sz w:val="24"/>
        </w:rPr>
        <w:t>月3</w:t>
      </w:r>
      <w:r>
        <w:rPr>
          <w:rFonts w:ascii="Times New Roman" w:hAnsi="Times New Roman" w:eastAsia="宋体" w:cs="Times New Roman"/>
          <w:bCs/>
          <w:color w:val="auto"/>
          <w:sz w:val="24"/>
        </w:rPr>
        <w:t>1</w:t>
      </w:r>
      <w:r>
        <w:rPr>
          <w:rFonts w:hint="eastAsia" w:ascii="Times New Roman" w:hAnsi="Times New Roman" w:eastAsia="宋体" w:cs="Times New Roman"/>
          <w:bCs/>
          <w:color w:val="auto"/>
          <w:sz w:val="24"/>
        </w:rPr>
        <w:t>日获得该项目审批意见（</w:t>
      </w:r>
      <w:r>
        <w:rPr>
          <w:rFonts w:ascii="Times New Roman" w:hAnsi="Times New Roman" w:eastAsia="宋体" w:cs="Times New Roman"/>
          <w:color w:val="auto"/>
          <w:sz w:val="24"/>
          <w:szCs w:val="24"/>
        </w:rPr>
        <w:t>淮环</w:t>
      </w:r>
      <w:r>
        <w:rPr>
          <w:rFonts w:hint="eastAsia" w:ascii="Times New Roman" w:hAnsi="Times New Roman" w:eastAsia="宋体" w:cs="Times New Roman"/>
          <w:color w:val="auto"/>
          <w:sz w:val="24"/>
          <w:szCs w:val="24"/>
        </w:rPr>
        <w:t>表批</w:t>
      </w:r>
      <w:r>
        <w:rPr>
          <w:rFonts w:ascii="Times New Roman" w:hAnsi="Times New Roman" w:eastAsia="宋体" w:cs="Times New Roman"/>
          <w:color w:val="auto"/>
          <w:sz w:val="24"/>
          <w:szCs w:val="24"/>
        </w:rPr>
        <w:t>〔2012〕120号文</w:t>
      </w:r>
      <w:r>
        <w:rPr>
          <w:rFonts w:hint="eastAsia" w:ascii="Times New Roman" w:hAnsi="Times New Roman" w:eastAsia="宋体" w:cs="Times New Roman"/>
          <w:bCs/>
          <w:color w:val="auto"/>
          <w:sz w:val="24"/>
        </w:rPr>
        <w:t>）</w:t>
      </w:r>
      <w:r>
        <w:rPr>
          <w:rFonts w:hint="eastAsia" w:cs="Times New Roman"/>
          <w:bCs/>
          <w:color w:val="auto"/>
          <w:sz w:val="24"/>
          <w:lang w:eastAsia="zh-CN"/>
        </w:rPr>
        <w:t>。</w:t>
      </w:r>
    </w:p>
    <w:p w14:paraId="156F560B">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2013年淮南市兴华园贸易发展有限公司</w:t>
      </w:r>
      <w:r>
        <w:rPr>
          <w:rFonts w:hint="eastAsia" w:ascii="Times New Roman" w:hAnsi="Times New Roman" w:eastAsia="宋体" w:cs="Times New Roman"/>
          <w:color w:val="auto"/>
          <w:sz w:val="24"/>
          <w:szCs w:val="24"/>
        </w:rPr>
        <w:t>淮南市兴华园码头新建</w:t>
      </w:r>
      <w:r>
        <w:rPr>
          <w:rFonts w:ascii="Times New Roman" w:hAnsi="Times New Roman" w:eastAsia="宋体" w:cs="Times New Roman"/>
          <w:color w:val="auto"/>
          <w:sz w:val="24"/>
          <w:szCs w:val="24"/>
        </w:rPr>
        <w:t>项目获得施工图设计文件的批复，并</w:t>
      </w:r>
      <w:r>
        <w:rPr>
          <w:rFonts w:hint="eastAsia" w:cs="Times New Roman"/>
          <w:color w:val="auto"/>
          <w:sz w:val="24"/>
          <w:szCs w:val="24"/>
          <w:lang w:eastAsia="zh-CN"/>
        </w:rPr>
        <w:t>于</w:t>
      </w:r>
      <w:r>
        <w:rPr>
          <w:rFonts w:ascii="Times New Roman" w:hAnsi="Times New Roman" w:eastAsia="宋体" w:cs="Times New Roman"/>
          <w:color w:val="auto"/>
          <w:sz w:val="24"/>
          <w:szCs w:val="24"/>
        </w:rPr>
        <w:t>同年开展项目施工，项目已完成滩地整平、外接线路的建设，2014年3月获得项目开工备案，仅剩码头工程未实施。</w:t>
      </w:r>
    </w:p>
    <w:p w14:paraId="1D2DF4D8">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2013年12月，淮南</w:t>
      </w:r>
      <w:r>
        <w:rPr>
          <w:rFonts w:ascii="宋体" w:hAnsi="宋体" w:eastAsia="宋体" w:cs="Times New Roman"/>
          <w:color w:val="auto"/>
          <w:sz w:val="24"/>
          <w:szCs w:val="24"/>
        </w:rPr>
        <w:t>市</w:t>
      </w:r>
      <w:r>
        <w:rPr>
          <w:rFonts w:hint="eastAsia" w:ascii="宋体" w:hAnsi="宋体" w:eastAsia="宋体" w:cs="Times New Roman"/>
          <w:color w:val="auto"/>
          <w:sz w:val="24"/>
          <w:szCs w:val="24"/>
        </w:rPr>
        <w:t>“</w:t>
      </w:r>
      <w:r>
        <w:rPr>
          <w:rFonts w:ascii="宋体" w:hAnsi="宋体" w:eastAsia="宋体" w:cs="Times New Roman"/>
          <w:color w:val="auto"/>
          <w:sz w:val="24"/>
          <w:szCs w:val="24"/>
        </w:rPr>
        <w:t>三线四边</w:t>
      </w:r>
      <w:r>
        <w:rPr>
          <w:rFonts w:hint="eastAsia" w:ascii="宋体" w:hAnsi="宋体" w:eastAsia="宋体" w:cs="Times New Roman"/>
          <w:color w:val="auto"/>
          <w:sz w:val="24"/>
          <w:szCs w:val="24"/>
        </w:rPr>
        <w:t>”</w:t>
      </w:r>
      <w:r>
        <w:rPr>
          <w:rFonts w:ascii="宋体" w:hAnsi="宋体" w:eastAsia="宋体" w:cs="Times New Roman"/>
          <w:color w:val="auto"/>
          <w:sz w:val="24"/>
          <w:szCs w:val="24"/>
        </w:rPr>
        <w:t>城</w:t>
      </w:r>
      <w:r>
        <w:rPr>
          <w:rFonts w:ascii="Times New Roman" w:hAnsi="Times New Roman" w:eastAsia="宋体" w:cs="Times New Roman"/>
          <w:color w:val="auto"/>
          <w:sz w:val="24"/>
          <w:szCs w:val="24"/>
        </w:rPr>
        <w:t>乡环境综合整治工作指挥部发文《淮水治</w:t>
      </w:r>
      <w:r>
        <w:rPr>
          <w:rFonts w:hint="eastAsia" w:cs="Times New Roman"/>
          <w:color w:val="auto"/>
          <w:sz w:val="24"/>
          <w:szCs w:val="24"/>
          <w:lang w:eastAsia="zh-CN"/>
        </w:rPr>
        <w:t>〔2013〕1号</w:t>
      </w:r>
      <w:r>
        <w:rPr>
          <w:rFonts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整治淮南市淮河北大堤码头</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因此潘集区政府于2014年夏在平圩镇召集会议安排</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潘集区境内淮河岸边相关码头暂停建设和使用</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在建的兴华园码头被迫停工。</w:t>
      </w:r>
    </w:p>
    <w:p w14:paraId="2531CB0A">
      <w:pPr>
        <w:spacing w:line="360" w:lineRule="auto"/>
        <w:ind w:firstLine="480" w:firstLineChars="200"/>
        <w:rPr>
          <w:rFonts w:ascii="Times New Roman" w:hAnsi="Times New Roman" w:eastAsia="宋体" w:cs="Times New Roman"/>
          <w:bCs/>
          <w:color w:val="auto"/>
          <w:sz w:val="24"/>
        </w:rPr>
      </w:pPr>
      <w:r>
        <w:rPr>
          <w:rFonts w:ascii="Times New Roman" w:hAnsi="Times New Roman" w:eastAsia="宋体" w:cs="Times New Roman"/>
          <w:color w:val="auto"/>
          <w:sz w:val="24"/>
          <w:szCs w:val="24"/>
        </w:rPr>
        <w:t>2016年7月</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又因环境整治和淮河治理</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待环境整治到位后方能实施</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项目不能复工。</w:t>
      </w:r>
    </w:p>
    <w:p w14:paraId="6EED319A">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2021年11月淮南市地方海事局对该项目的复工建设提出要求。根据现行的环保部门要求结合淮河航道升级改造</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需要按新的标准进行设计</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同时取得交通、水利、环保等部门的批准。</w:t>
      </w:r>
    </w:p>
    <w:p w14:paraId="222BC746">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2022年就项目的工程变更组织专家审查，形成咨询意见，项目变更从初步设计阶段开始进行变更。</w:t>
      </w:r>
    </w:p>
    <w:p w14:paraId="3424FDE9">
      <w:pPr>
        <w:spacing w:line="360" w:lineRule="auto"/>
        <w:ind w:firstLine="480" w:firstLineChars="200"/>
        <w:rPr>
          <w:rFonts w:hint="eastAsia" w:ascii="Times New Roman" w:hAnsi="Times New Roman" w:eastAsia="宋体" w:cs="Times New Roman"/>
          <w:color w:val="auto"/>
          <w:sz w:val="24"/>
          <w:szCs w:val="24"/>
        </w:rPr>
      </w:pPr>
      <w:r>
        <w:rPr>
          <w:rFonts w:ascii="Times New Roman" w:hAnsi="Times New Roman" w:eastAsia="宋体" w:cs="Times New Roman"/>
          <w:color w:val="auto"/>
          <w:sz w:val="24"/>
          <w:szCs w:val="24"/>
        </w:rPr>
        <w:t>本项目已于2013年开展项目施工，项目已完成滩地整平、外接线路的建设，主体工程未实施。2021年要求进行复工建设，现状的周边建设条件、行业监管、环保政策等发</w:t>
      </w:r>
      <w:r>
        <w:rPr>
          <w:rFonts w:hint="eastAsia" w:cs="Times New Roman"/>
          <w:color w:val="auto"/>
          <w:sz w:val="24"/>
          <w:szCs w:val="24"/>
          <w:lang w:eastAsia="zh-CN"/>
        </w:rPr>
        <w:t>生了</w:t>
      </w:r>
      <w:r>
        <w:rPr>
          <w:rFonts w:ascii="Times New Roman" w:hAnsi="Times New Roman" w:eastAsia="宋体" w:cs="Times New Roman"/>
          <w:color w:val="auto"/>
          <w:sz w:val="24"/>
          <w:szCs w:val="24"/>
        </w:rPr>
        <w:t>巨大的变化，具体体现有以下几点</w:t>
      </w:r>
      <w:r>
        <w:rPr>
          <w:rFonts w:hint="eastAsia" w:ascii="Times New Roman" w:hAnsi="Times New Roman" w:eastAsia="宋体" w:cs="Times New Roman"/>
          <w:color w:val="auto"/>
          <w:sz w:val="24"/>
          <w:szCs w:val="24"/>
        </w:rPr>
        <w:t>：</w:t>
      </w:r>
    </w:p>
    <w:p w14:paraId="7B0EC866">
      <w:pPr>
        <w:numPr>
          <w:ilvl w:val="0"/>
          <w:numId w:val="9"/>
        </w:numPr>
        <w:spacing w:line="360" w:lineRule="auto"/>
        <w:ind w:firstLine="480" w:firstLineChars="200"/>
        <w:rPr>
          <w:rFonts w:hint="eastAsia" w:ascii="Times New Roman" w:hAnsi="Times New Roman" w:eastAsia="宋体" w:cs="Times New Roman"/>
          <w:color w:val="auto"/>
          <w:sz w:val="24"/>
          <w:szCs w:val="24"/>
        </w:rPr>
      </w:pPr>
      <w:r>
        <w:rPr>
          <w:rFonts w:hint="eastAsia" w:cs="Times New Roman"/>
          <w:color w:val="auto"/>
          <w:sz w:val="24"/>
          <w:szCs w:val="24"/>
          <w:lang w:val="en-US" w:eastAsia="zh-CN"/>
        </w:rPr>
        <w:t>淮</w:t>
      </w:r>
      <w:r>
        <w:rPr>
          <w:rFonts w:ascii="Times New Roman" w:hAnsi="Times New Roman" w:eastAsia="宋体" w:cs="Times New Roman"/>
          <w:color w:val="auto"/>
          <w:sz w:val="24"/>
          <w:szCs w:val="24"/>
        </w:rPr>
        <w:t>河干线航道整治已按Ⅱ级标准开展，局部航道已完成交工，原有码头设计为500吨级的泊位，与现状航道等级不匹配，造成港口岸线资源的浪费</w:t>
      </w:r>
      <w:r>
        <w:rPr>
          <w:rFonts w:hint="eastAsia" w:ascii="Times New Roman" w:hAnsi="Times New Roman" w:eastAsia="宋体" w:cs="Times New Roman"/>
          <w:color w:val="auto"/>
          <w:sz w:val="24"/>
          <w:szCs w:val="24"/>
        </w:rPr>
        <w:t>；</w:t>
      </w:r>
    </w:p>
    <w:p w14:paraId="0F8AB279">
      <w:pPr>
        <w:numPr>
          <w:ilvl w:val="0"/>
          <w:numId w:val="9"/>
        </w:num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原设计的单位泊位的平台长度为29.5m，长度较短，不符合《河港总体设计规范》所需的码头平台基本长度，对靠泊船舶的靠离泊作业存在安全隐患</w:t>
      </w:r>
      <w:r>
        <w:rPr>
          <w:rFonts w:hint="eastAsia" w:ascii="Times New Roman" w:hAnsi="Times New Roman" w:eastAsia="宋体" w:cs="Times New Roman"/>
          <w:color w:val="auto"/>
          <w:sz w:val="24"/>
          <w:szCs w:val="24"/>
        </w:rPr>
        <w:t>；</w:t>
      </w:r>
    </w:p>
    <w:p w14:paraId="316A6F83">
      <w:pPr>
        <w:spacing w:line="360" w:lineRule="auto"/>
        <w:ind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3、</w:t>
      </w:r>
      <w:r>
        <w:rPr>
          <w:rFonts w:ascii="Times New Roman" w:hAnsi="Times New Roman" w:eastAsia="宋体" w:cs="Times New Roman"/>
          <w:color w:val="auto"/>
          <w:sz w:val="24"/>
          <w:szCs w:val="24"/>
        </w:rPr>
        <w:t>原设计的装卸工艺采用转载机/汽车，直接对船舶进行装船，且只考虑有煤炭出口的工艺，其作业安全性、环保扬尘防治均需进行整改</w:t>
      </w:r>
      <w:r>
        <w:rPr>
          <w:rFonts w:hint="eastAsia" w:ascii="Times New Roman" w:hAnsi="Times New Roman" w:eastAsia="宋体" w:cs="Times New Roman"/>
          <w:color w:val="auto"/>
          <w:sz w:val="24"/>
          <w:szCs w:val="24"/>
        </w:rPr>
        <w:t>；</w:t>
      </w:r>
    </w:p>
    <w:p w14:paraId="52B8519F">
      <w:pPr>
        <w:spacing w:line="360" w:lineRule="auto"/>
        <w:ind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4、</w:t>
      </w:r>
      <w:r>
        <w:rPr>
          <w:rFonts w:ascii="Times New Roman" w:hAnsi="Times New Roman" w:eastAsia="宋体" w:cs="Times New Roman"/>
          <w:color w:val="auto"/>
          <w:sz w:val="24"/>
          <w:szCs w:val="24"/>
        </w:rPr>
        <w:t>码头泊位未设置船舶岸电、船舶污染物接收设施和初期雨污水的收集系统，违反现行规范的相关强制性条文规定</w:t>
      </w:r>
      <w:r>
        <w:rPr>
          <w:rFonts w:hint="eastAsia" w:ascii="Times New Roman" w:hAnsi="Times New Roman" w:eastAsia="宋体" w:cs="Times New Roman"/>
          <w:color w:val="auto"/>
          <w:sz w:val="24"/>
          <w:szCs w:val="24"/>
        </w:rPr>
        <w:t>；</w:t>
      </w:r>
    </w:p>
    <w:p w14:paraId="53621588">
      <w:pPr>
        <w:spacing w:line="360" w:lineRule="auto"/>
        <w:ind w:firstLine="480" w:firstLineChars="200"/>
        <w:rPr>
          <w:rFonts w:hint="eastAsia" w:ascii="Times New Roman" w:hAnsi="Times New Roman" w:eastAsia="宋体" w:cs="Times New Roman"/>
          <w:color w:val="auto"/>
          <w:sz w:val="24"/>
          <w:szCs w:val="24"/>
        </w:rPr>
      </w:pPr>
      <w:r>
        <w:rPr>
          <w:rFonts w:ascii="Times New Roman" w:hAnsi="Times New Roman" w:eastAsia="宋体" w:cs="Times New Roman"/>
          <w:color w:val="auto"/>
          <w:sz w:val="24"/>
          <w:szCs w:val="24"/>
        </w:rPr>
        <w:t>基于以上原因，需对原有码头的设计方案进行变更，</w:t>
      </w:r>
      <w:r>
        <w:rPr>
          <w:rFonts w:hint="eastAsia" w:ascii="Times New Roman" w:hAnsi="Times New Roman" w:eastAsia="宋体" w:cs="Times New Roman"/>
          <w:color w:val="auto"/>
          <w:sz w:val="24"/>
          <w:szCs w:val="24"/>
        </w:rPr>
        <w:t>建设单位</w:t>
      </w:r>
      <w:r>
        <w:rPr>
          <w:rFonts w:ascii="Times New Roman" w:hAnsi="Times New Roman" w:eastAsia="宋体" w:cs="Times New Roman"/>
          <w:color w:val="auto"/>
          <w:sz w:val="24"/>
          <w:szCs w:val="24"/>
        </w:rPr>
        <w:t>征求相关行业部门意见，变更的主要内容如下</w:t>
      </w:r>
      <w:r>
        <w:rPr>
          <w:rFonts w:hint="eastAsia" w:ascii="Times New Roman" w:hAnsi="Times New Roman" w:eastAsia="宋体" w:cs="Times New Roman"/>
          <w:color w:val="auto"/>
          <w:sz w:val="24"/>
          <w:szCs w:val="24"/>
        </w:rPr>
        <w:t>：</w:t>
      </w:r>
    </w:p>
    <w:p w14:paraId="08DB4DD5">
      <w:pPr>
        <w:spacing w:line="360" w:lineRule="auto"/>
        <w:ind w:firstLine="480" w:firstLineChars="200"/>
        <w:rPr>
          <w:rFonts w:hint="eastAsia"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1、</w:t>
      </w:r>
      <w:r>
        <w:rPr>
          <w:rFonts w:ascii="Times New Roman" w:hAnsi="Times New Roman" w:eastAsia="宋体" w:cs="Times New Roman"/>
          <w:b/>
          <w:bCs/>
          <w:color w:val="auto"/>
          <w:sz w:val="24"/>
          <w:szCs w:val="24"/>
        </w:rPr>
        <w:t>码头的泊位等级由原设计的500吨级变更为1000吨级</w:t>
      </w:r>
      <w:r>
        <w:rPr>
          <w:rFonts w:hint="eastAsia" w:ascii="Times New Roman" w:hAnsi="Times New Roman" w:eastAsia="宋体" w:cs="Times New Roman"/>
          <w:b/>
          <w:bCs/>
          <w:color w:val="auto"/>
          <w:sz w:val="24"/>
          <w:szCs w:val="24"/>
        </w:rPr>
        <w:t>；</w:t>
      </w:r>
    </w:p>
    <w:p w14:paraId="17648963">
      <w:pPr>
        <w:spacing w:line="360" w:lineRule="auto"/>
        <w:ind w:firstLine="480" w:firstLineChars="200"/>
        <w:rPr>
          <w:rFonts w:hint="eastAsia"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2、</w:t>
      </w:r>
      <w:r>
        <w:rPr>
          <w:rFonts w:ascii="Times New Roman" w:hAnsi="Times New Roman" w:eastAsia="宋体" w:cs="Times New Roman"/>
          <w:b/>
          <w:bCs/>
          <w:color w:val="auto"/>
          <w:sz w:val="24"/>
          <w:szCs w:val="24"/>
        </w:rPr>
        <w:t>将1#泊位和2#泊位的结构形式由独立布置变更为连片布置方式，码头平台尺度由2×29.5m×14.5m变更为1×130m×15m的高桩梁板码头</w:t>
      </w:r>
      <w:r>
        <w:rPr>
          <w:rFonts w:hint="eastAsia" w:ascii="Times New Roman" w:hAnsi="Times New Roman" w:eastAsia="宋体" w:cs="Times New Roman"/>
          <w:b/>
          <w:bCs/>
          <w:color w:val="auto"/>
          <w:sz w:val="24"/>
          <w:szCs w:val="24"/>
        </w:rPr>
        <w:t>；</w:t>
      </w:r>
    </w:p>
    <w:p w14:paraId="1843104E">
      <w:pPr>
        <w:spacing w:line="360" w:lineRule="auto"/>
        <w:ind w:firstLine="480" w:firstLineChars="200"/>
        <w:rPr>
          <w:rFonts w:ascii="Times New Roman" w:hAnsi="Times New Roman" w:eastAsia="宋体" w:cs="Times New Roman"/>
          <w:b/>
          <w:bCs/>
          <w:color w:val="auto"/>
          <w:sz w:val="24"/>
          <w:szCs w:val="24"/>
        </w:rPr>
      </w:pPr>
      <w:r>
        <w:rPr>
          <w:rFonts w:hint="eastAsia" w:ascii="Times New Roman" w:hAnsi="Times New Roman" w:eastAsia="宋体" w:cs="Times New Roman"/>
          <w:b/>
          <w:bCs/>
          <w:color w:val="auto"/>
          <w:sz w:val="24"/>
          <w:szCs w:val="24"/>
        </w:rPr>
        <w:t>3、</w:t>
      </w:r>
      <w:r>
        <w:rPr>
          <w:rFonts w:ascii="Times New Roman" w:hAnsi="Times New Roman" w:eastAsia="宋体" w:cs="Times New Roman"/>
          <w:b/>
          <w:bCs/>
          <w:color w:val="auto"/>
          <w:sz w:val="24"/>
          <w:szCs w:val="24"/>
        </w:rPr>
        <w:t>装卸工艺由装载机直接向船舱喂料的作业方式变更为流动装船机和固定吊装卸船。</w:t>
      </w:r>
    </w:p>
    <w:p w14:paraId="56759AD3">
      <w:pPr>
        <w:spacing w:line="360" w:lineRule="auto"/>
        <w:ind w:firstLine="480" w:firstLineChars="200"/>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b/>
          <w:bCs/>
          <w:color w:val="auto"/>
          <w:sz w:val="24"/>
          <w:szCs w:val="24"/>
        </w:rPr>
        <w:t>4、</w:t>
      </w:r>
      <w:r>
        <w:rPr>
          <w:rFonts w:ascii="Times New Roman" w:hAnsi="Times New Roman" w:eastAsia="宋体" w:cs="Times New Roman"/>
          <w:b/>
          <w:bCs/>
          <w:color w:val="auto"/>
          <w:sz w:val="24"/>
          <w:szCs w:val="24"/>
        </w:rPr>
        <w:t>在设计年吞吐量和货种不变的情况下，码头</w:t>
      </w:r>
      <w:r>
        <w:rPr>
          <w:rFonts w:hint="eastAsia" w:cs="Times New Roman"/>
          <w:b/>
          <w:bCs/>
          <w:color w:val="auto"/>
          <w:sz w:val="24"/>
          <w:szCs w:val="24"/>
          <w:lang w:val="en-US" w:eastAsia="zh-CN"/>
        </w:rPr>
        <w:t>新增</w:t>
      </w:r>
      <w:r>
        <w:rPr>
          <w:rFonts w:ascii="Times New Roman" w:hAnsi="Times New Roman" w:eastAsia="宋体" w:cs="Times New Roman"/>
          <w:b/>
          <w:bCs/>
          <w:color w:val="auto"/>
          <w:sz w:val="24"/>
          <w:szCs w:val="24"/>
        </w:rPr>
        <w:t>散货进口的功能</w:t>
      </w:r>
      <w:r>
        <w:rPr>
          <w:rFonts w:hint="eastAsia" w:ascii="Times New Roman" w:hAnsi="Times New Roman" w:eastAsia="宋体" w:cs="Times New Roman"/>
          <w:b/>
          <w:bCs/>
          <w:color w:val="auto"/>
          <w:sz w:val="24"/>
          <w:szCs w:val="24"/>
        </w:rPr>
        <w:t>；</w:t>
      </w:r>
    </w:p>
    <w:p w14:paraId="2BF6D93C">
      <w:pPr>
        <w:keepNext w:val="0"/>
        <w:keepLines w:val="0"/>
        <w:pageBreakBefore w:val="0"/>
        <w:widowControl w:val="0"/>
        <w:kinsoku/>
        <w:wordWrap/>
        <w:overflowPunct/>
        <w:topLinePunct w:val="0"/>
        <w:autoSpaceDE/>
        <w:autoSpaceDN/>
        <w:bidi w:val="0"/>
        <w:adjustRightInd w:val="0"/>
        <w:snapToGrid w:val="0"/>
        <w:spacing w:before="0" w:line="360" w:lineRule="auto"/>
        <w:ind w:left="0" w:firstLine="480" w:firstLineChars="200"/>
        <w:jc w:val="both"/>
        <w:textAlignment w:val="auto"/>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color w:val="auto"/>
          <w:sz w:val="24"/>
          <w:szCs w:val="24"/>
          <w:lang w:val="en-US" w:eastAsia="zh-CN" w:bidi="ar-SA"/>
        </w:rPr>
        <w:t>对照《建设项目环境保护管理条例》，“第十二条 建设项目环境影响报告书、环境影响报告表经批准后，建设项目的性质、规模、地点、采用的生产工艺或者防治污染、防止生态破坏的措施发生重大变动的，建设单位应当重新报批建设项目环境影响报告书、环境影响报告表。</w:t>
      </w:r>
    </w:p>
    <w:p w14:paraId="666C4D90">
      <w:pPr>
        <w:keepNext w:val="0"/>
        <w:keepLines w:val="0"/>
        <w:pageBreakBefore w:val="0"/>
        <w:widowControl w:val="0"/>
        <w:kinsoku/>
        <w:wordWrap/>
        <w:overflowPunct/>
        <w:topLinePunct w:val="0"/>
        <w:autoSpaceDE/>
        <w:autoSpaceDN/>
        <w:bidi w:val="0"/>
        <w:adjustRightInd w:val="0"/>
        <w:snapToGrid w:val="0"/>
        <w:spacing w:before="0" w:line="360" w:lineRule="auto"/>
        <w:ind w:left="0" w:firstLine="480" w:firstLineChars="200"/>
        <w:jc w:val="both"/>
        <w:textAlignment w:val="auto"/>
        <w:rPr>
          <w:rFonts w:hint="eastAsia" w:ascii="Times New Roman" w:hAnsi="Times New Roman" w:eastAsia="宋体" w:cs="Times New Roman"/>
          <w:color w:val="auto"/>
          <w:sz w:val="24"/>
          <w:szCs w:val="24"/>
          <w:lang w:val="en-US" w:eastAsia="zh-CN" w:bidi="ar-SA"/>
        </w:rPr>
      </w:pPr>
      <w:r>
        <w:rPr>
          <w:rFonts w:hint="eastAsia" w:ascii="Times New Roman" w:hAnsi="Times New Roman" w:eastAsia="宋体" w:cs="Times New Roman"/>
          <w:b/>
          <w:bCs/>
          <w:color w:val="auto"/>
          <w:sz w:val="24"/>
          <w:szCs w:val="24"/>
          <w:lang w:val="en-US" w:eastAsia="zh-CN" w:bidi="ar-SA"/>
        </w:rPr>
        <w:t>建设项目环境影响报告书、环境影响报告表自批准之日起满5年，建设项目方开工建设的，其环境影响报告书、环境影响报告表应当报原审批部门重新审核。</w:t>
      </w:r>
      <w:r>
        <w:rPr>
          <w:rFonts w:hint="eastAsia" w:ascii="Times New Roman" w:hAnsi="Times New Roman" w:eastAsia="宋体" w:cs="Times New Roman"/>
          <w:color w:val="auto"/>
          <w:sz w:val="24"/>
          <w:szCs w:val="24"/>
          <w:lang w:val="en-US" w:eastAsia="zh-CN" w:bidi="ar-SA"/>
        </w:rPr>
        <w:t>原审批部门应当自收到建设项目环境影响报告书、环境影响报告表之日起10日内，将审核意见书面通知建设单位；逾期未通知的，视为审核同意”</w:t>
      </w:r>
    </w:p>
    <w:p w14:paraId="6DE25EF3">
      <w:pPr>
        <w:keepNext w:val="0"/>
        <w:keepLines w:val="0"/>
        <w:pageBreakBefore w:val="0"/>
        <w:widowControl w:val="0"/>
        <w:kinsoku/>
        <w:wordWrap/>
        <w:overflowPunct/>
        <w:topLinePunct w:val="0"/>
        <w:autoSpaceDE/>
        <w:autoSpaceDN/>
        <w:bidi w:val="0"/>
        <w:adjustRightInd w:val="0"/>
        <w:snapToGrid w:val="0"/>
        <w:spacing w:before="0" w:line="360" w:lineRule="auto"/>
        <w:ind w:left="0" w:firstLine="480" w:firstLineChars="200"/>
        <w:jc w:val="both"/>
        <w:textAlignment w:val="auto"/>
        <w:rPr>
          <w:rFonts w:ascii="Times New Roman" w:hAnsi="Times New Roman" w:eastAsia="宋体" w:cs="Times New Roman"/>
          <w:color w:val="auto"/>
          <w:sz w:val="24"/>
          <w:szCs w:val="24"/>
          <w:highlight w:val="none"/>
          <w:lang w:val="en-US" w:eastAsia="zh-CN" w:bidi="ar-SA"/>
        </w:rPr>
      </w:pPr>
      <w:r>
        <w:rPr>
          <w:rFonts w:ascii="Times New Roman" w:hAnsi="Times New Roman" w:eastAsia="宋体" w:cs="Times New Roman"/>
          <w:color w:val="auto"/>
          <w:sz w:val="24"/>
          <w:szCs w:val="24"/>
          <w:highlight w:val="none"/>
          <w:lang w:val="en-US" w:eastAsia="zh-CN" w:bidi="ar-SA"/>
        </w:rPr>
        <w:t>根据</w:t>
      </w:r>
      <w:r>
        <w:rPr>
          <w:rFonts w:hint="eastAsia" w:cs="Times New Roman"/>
          <w:color w:val="auto"/>
          <w:sz w:val="24"/>
          <w:szCs w:val="24"/>
          <w:highlight w:val="none"/>
          <w:lang w:val="en-US" w:eastAsia="zh-CN" w:bidi="ar-SA"/>
        </w:rPr>
        <w:t>原环保</w:t>
      </w:r>
      <w:r>
        <w:rPr>
          <w:rFonts w:ascii="Times New Roman" w:hAnsi="Times New Roman" w:eastAsia="宋体" w:cs="Times New Roman"/>
          <w:color w:val="auto"/>
          <w:sz w:val="24"/>
          <w:szCs w:val="24"/>
          <w:highlight w:val="none"/>
          <w:lang w:val="en-US" w:eastAsia="zh-CN" w:bidi="ar-SA"/>
        </w:rPr>
        <w:t>部</w:t>
      </w:r>
      <w:r>
        <w:rPr>
          <w:rFonts w:hint="eastAsia" w:cs="Times New Roman"/>
          <w:color w:val="auto"/>
          <w:sz w:val="24"/>
          <w:szCs w:val="24"/>
          <w:highlight w:val="none"/>
          <w:lang w:val="en-US" w:eastAsia="zh-CN" w:bidi="ar-SA"/>
        </w:rPr>
        <w:t>办公厅</w:t>
      </w:r>
      <w:r>
        <w:rPr>
          <w:rFonts w:ascii="Times New Roman" w:hAnsi="Times New Roman" w:eastAsia="宋体" w:cs="Times New Roman"/>
          <w:color w:val="auto"/>
          <w:sz w:val="24"/>
          <w:szCs w:val="24"/>
          <w:highlight w:val="none"/>
          <w:lang w:val="en-US" w:eastAsia="zh-CN" w:bidi="ar-SA"/>
        </w:rPr>
        <w:t>20</w:t>
      </w:r>
      <w:r>
        <w:rPr>
          <w:rFonts w:hint="eastAsia" w:cs="Times New Roman"/>
          <w:color w:val="auto"/>
          <w:sz w:val="24"/>
          <w:szCs w:val="24"/>
          <w:highlight w:val="none"/>
          <w:lang w:val="en-US" w:eastAsia="zh-CN" w:bidi="ar-SA"/>
        </w:rPr>
        <w:t>15</w:t>
      </w:r>
      <w:r>
        <w:rPr>
          <w:rFonts w:ascii="Times New Roman" w:hAnsi="Times New Roman" w:eastAsia="宋体" w:cs="Times New Roman"/>
          <w:color w:val="auto"/>
          <w:sz w:val="24"/>
          <w:szCs w:val="24"/>
          <w:highlight w:val="none"/>
          <w:lang w:val="en-US" w:eastAsia="zh-CN" w:bidi="ar-SA"/>
        </w:rPr>
        <w:t>年</w:t>
      </w:r>
      <w:r>
        <w:rPr>
          <w:rFonts w:hint="eastAsia" w:cs="Times New Roman"/>
          <w:color w:val="auto"/>
          <w:sz w:val="24"/>
          <w:szCs w:val="24"/>
          <w:highlight w:val="none"/>
          <w:lang w:val="en-US" w:eastAsia="zh-CN" w:bidi="ar-SA"/>
        </w:rPr>
        <w:t>6</w:t>
      </w:r>
      <w:r>
        <w:rPr>
          <w:rFonts w:ascii="Times New Roman" w:hAnsi="Times New Roman" w:eastAsia="宋体" w:cs="Times New Roman"/>
          <w:color w:val="auto"/>
          <w:sz w:val="24"/>
          <w:szCs w:val="24"/>
          <w:highlight w:val="none"/>
          <w:lang w:val="en-US" w:eastAsia="zh-CN" w:bidi="ar-SA"/>
        </w:rPr>
        <w:t>月</w:t>
      </w:r>
      <w:r>
        <w:rPr>
          <w:rFonts w:hint="eastAsia" w:cs="Times New Roman"/>
          <w:color w:val="auto"/>
          <w:sz w:val="24"/>
          <w:szCs w:val="24"/>
          <w:highlight w:val="none"/>
          <w:lang w:val="en-US" w:eastAsia="zh-CN" w:bidi="ar-SA"/>
        </w:rPr>
        <w:t>4</w:t>
      </w:r>
      <w:r>
        <w:rPr>
          <w:rFonts w:ascii="Times New Roman" w:hAnsi="Times New Roman" w:eastAsia="宋体" w:cs="Times New Roman"/>
          <w:color w:val="auto"/>
          <w:sz w:val="24"/>
          <w:szCs w:val="24"/>
          <w:highlight w:val="none"/>
          <w:lang w:val="en-US" w:eastAsia="zh-CN" w:bidi="ar-SA"/>
        </w:rPr>
        <w:t>日发</w:t>
      </w:r>
      <w:r>
        <w:rPr>
          <w:rFonts w:ascii="Times New Roman" w:hAnsi="Times New Roman" w:eastAsia="宋体" w:cs="Times New Roman"/>
          <w:color w:val="auto"/>
          <w:spacing w:val="-1"/>
          <w:sz w:val="24"/>
          <w:szCs w:val="24"/>
          <w:highlight w:val="none"/>
          <w:lang w:val="en-US" w:eastAsia="zh-CN" w:bidi="ar-SA"/>
        </w:rPr>
        <w:t>布的关于印发</w:t>
      </w:r>
      <w:r>
        <w:rPr>
          <w:rFonts w:hint="eastAsia" w:ascii="Times New Roman" w:hAnsi="Times New Roman" w:eastAsia="宋体" w:cs="Times New Roman"/>
          <w:b w:val="0"/>
          <w:bCs w:val="0"/>
          <w:color w:val="auto"/>
          <w:sz w:val="24"/>
          <w:szCs w:val="24"/>
          <w:highlight w:val="none"/>
          <w:lang w:val="en-US" w:eastAsia="zh-CN" w:bidi="ar-SA"/>
        </w:rPr>
        <w:t>《</w:t>
      </w:r>
      <w:r>
        <w:rPr>
          <w:rFonts w:hint="eastAsia" w:cs="Times New Roman"/>
          <w:b w:val="0"/>
          <w:bCs w:val="0"/>
          <w:color w:val="auto"/>
          <w:sz w:val="24"/>
          <w:szCs w:val="24"/>
          <w:highlight w:val="none"/>
          <w:lang w:val="en-US" w:eastAsia="zh-CN" w:bidi="ar-SA"/>
        </w:rPr>
        <w:t>关于印发环评管理中部分行业建设项目重大变动清单的通知</w:t>
      </w:r>
      <w:r>
        <w:rPr>
          <w:rFonts w:hint="eastAsia" w:ascii="Times New Roman" w:hAnsi="Times New Roman" w:eastAsia="宋体" w:cs="Times New Roman"/>
          <w:b w:val="0"/>
          <w:bCs w:val="0"/>
          <w:color w:val="auto"/>
          <w:sz w:val="24"/>
          <w:szCs w:val="24"/>
          <w:highlight w:val="none"/>
          <w:lang w:val="en-US" w:eastAsia="zh-CN" w:bidi="ar-SA"/>
        </w:rPr>
        <w:t>》（环办〔20</w:t>
      </w:r>
      <w:r>
        <w:rPr>
          <w:rFonts w:hint="eastAsia" w:cs="Times New Roman"/>
          <w:b w:val="0"/>
          <w:bCs w:val="0"/>
          <w:color w:val="auto"/>
          <w:sz w:val="24"/>
          <w:szCs w:val="24"/>
          <w:highlight w:val="none"/>
          <w:lang w:val="en-US" w:eastAsia="zh-CN" w:bidi="ar-SA"/>
        </w:rPr>
        <w:t>15</w:t>
      </w:r>
      <w:r>
        <w:rPr>
          <w:rFonts w:hint="eastAsia" w:ascii="Times New Roman" w:hAnsi="Times New Roman" w:eastAsia="宋体" w:cs="Times New Roman"/>
          <w:b w:val="0"/>
          <w:bCs w:val="0"/>
          <w:color w:val="auto"/>
          <w:sz w:val="24"/>
          <w:szCs w:val="24"/>
          <w:highlight w:val="none"/>
          <w:lang w:val="en-US" w:eastAsia="zh-CN" w:bidi="ar-SA"/>
        </w:rPr>
        <w:t>〕</w:t>
      </w:r>
      <w:r>
        <w:rPr>
          <w:rFonts w:hint="eastAsia" w:cs="Times New Roman"/>
          <w:b w:val="0"/>
          <w:bCs w:val="0"/>
          <w:color w:val="auto"/>
          <w:sz w:val="24"/>
          <w:szCs w:val="24"/>
          <w:highlight w:val="none"/>
          <w:lang w:val="en-US" w:eastAsia="zh-CN" w:bidi="ar-SA"/>
        </w:rPr>
        <w:t>52</w:t>
      </w:r>
      <w:r>
        <w:rPr>
          <w:rFonts w:hint="eastAsia" w:ascii="Times New Roman" w:hAnsi="Times New Roman" w:eastAsia="宋体" w:cs="Times New Roman"/>
          <w:b w:val="0"/>
          <w:bCs w:val="0"/>
          <w:color w:val="auto"/>
          <w:sz w:val="24"/>
          <w:szCs w:val="24"/>
          <w:highlight w:val="none"/>
          <w:lang w:val="en-US" w:eastAsia="zh-CN" w:bidi="ar-SA"/>
        </w:rPr>
        <w:t>号）</w:t>
      </w:r>
      <w:r>
        <w:rPr>
          <w:rFonts w:ascii="Times New Roman" w:hAnsi="Times New Roman" w:eastAsia="宋体" w:cs="Times New Roman"/>
          <w:color w:val="auto"/>
          <w:spacing w:val="-1"/>
          <w:sz w:val="24"/>
          <w:szCs w:val="24"/>
          <w:highlight w:val="none"/>
          <w:lang w:val="en-US" w:eastAsia="zh-CN" w:bidi="ar-SA"/>
        </w:rPr>
        <w:t>中</w:t>
      </w:r>
      <w:r>
        <w:rPr>
          <w:rFonts w:hint="eastAsia" w:cs="Times New Roman"/>
          <w:color w:val="auto"/>
          <w:spacing w:val="-1"/>
          <w:sz w:val="24"/>
          <w:szCs w:val="24"/>
          <w:highlight w:val="none"/>
          <w:lang w:val="en-US" w:eastAsia="zh-CN" w:bidi="ar-SA"/>
        </w:rPr>
        <w:t>“港口建设项目重大变动清单（试行）”</w:t>
      </w:r>
      <w:r>
        <w:rPr>
          <w:rFonts w:ascii="Times New Roman" w:hAnsi="Times New Roman" w:eastAsia="宋体" w:cs="Times New Roman"/>
          <w:color w:val="auto"/>
          <w:spacing w:val="-1"/>
          <w:sz w:val="24"/>
          <w:szCs w:val="24"/>
          <w:highlight w:val="none"/>
          <w:lang w:val="en-US" w:eastAsia="zh-CN" w:bidi="ar-SA"/>
        </w:rPr>
        <w:t>规定，变动情况分</w:t>
      </w:r>
      <w:r>
        <w:rPr>
          <w:rFonts w:ascii="Times New Roman" w:hAnsi="Times New Roman" w:eastAsia="宋体" w:cs="Times New Roman"/>
          <w:color w:val="auto"/>
          <w:sz w:val="24"/>
          <w:szCs w:val="24"/>
          <w:highlight w:val="none"/>
          <w:lang w:val="en-US" w:eastAsia="zh-CN" w:bidi="ar-SA"/>
        </w:rPr>
        <w:t>析内容如下表所示。</w:t>
      </w:r>
    </w:p>
    <w:p w14:paraId="171181A6">
      <w:pPr>
        <w:widowControl w:val="0"/>
        <w:adjustRightInd w:val="0"/>
        <w:snapToGrid w:val="0"/>
        <w:spacing w:after="0" w:line="240" w:lineRule="auto"/>
        <w:ind w:left="0" w:leftChars="0" w:firstLine="0" w:firstLineChars="0"/>
        <w:jc w:val="center"/>
        <w:rPr>
          <w:rFonts w:hint="eastAsia" w:ascii="Times New Roman" w:hAnsi="Times New Roman" w:eastAsia="黑体" w:cs="Times New Roman"/>
          <w:color w:val="auto"/>
          <w:kern w:val="2"/>
          <w:sz w:val="24"/>
          <w:szCs w:val="21"/>
          <w:highlight w:val="none"/>
          <w:lang w:val="en-US" w:eastAsia="zh-CN" w:bidi="ar-SA"/>
        </w:rPr>
      </w:pPr>
      <w:bookmarkStart w:id="76" w:name="_Toc5591"/>
      <w:bookmarkStart w:id="77" w:name="_Toc19316"/>
      <w:r>
        <w:rPr>
          <w:rFonts w:hint="eastAsia" w:ascii="Times New Roman" w:hAnsi="Times New Roman" w:eastAsia="黑体" w:cs="Times New Roman"/>
          <w:color w:val="auto"/>
          <w:kern w:val="2"/>
          <w:sz w:val="24"/>
          <w:szCs w:val="21"/>
          <w:highlight w:val="none"/>
          <w:lang w:val="en-US" w:eastAsia="zh-CN" w:bidi="ar-SA"/>
        </w:rPr>
        <w:t>表3.1-1</w:t>
      </w:r>
      <w:r>
        <w:rPr>
          <w:rFonts w:hint="eastAsia" w:eastAsia="黑体" w:cs="Times New Roman"/>
          <w:color w:val="auto"/>
          <w:kern w:val="2"/>
          <w:sz w:val="24"/>
          <w:szCs w:val="21"/>
          <w:highlight w:val="none"/>
          <w:lang w:val="en-US" w:eastAsia="zh-CN" w:bidi="ar-SA"/>
        </w:rPr>
        <w:t>港口</w:t>
      </w:r>
      <w:r>
        <w:rPr>
          <w:rFonts w:hint="eastAsia" w:ascii="Times New Roman" w:hAnsi="Times New Roman" w:eastAsia="黑体" w:cs="Times New Roman"/>
          <w:color w:val="auto"/>
          <w:kern w:val="2"/>
          <w:sz w:val="24"/>
          <w:szCs w:val="21"/>
          <w:highlight w:val="none"/>
          <w:lang w:val="en-US" w:eastAsia="zh-CN" w:bidi="ar-SA"/>
        </w:rPr>
        <w:t>建设项目重大变动情况分析</w:t>
      </w:r>
    </w:p>
    <w:tbl>
      <w:tblPr>
        <w:tblStyle w:val="53"/>
        <w:tblW w:w="8686"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586"/>
        <w:gridCol w:w="4018"/>
        <w:gridCol w:w="3080"/>
        <w:gridCol w:w="1002"/>
      </w:tblGrid>
      <w:tr w14:paraId="7A1F4E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3" w:hRule="atLeast"/>
          <w:tblHeader/>
          <w:jc w:val="center"/>
        </w:trPr>
        <w:tc>
          <w:tcPr>
            <w:tcW w:w="586" w:type="dxa"/>
            <w:tcBorders>
              <w:tl2br w:val="nil"/>
              <w:tr2bl w:val="nil"/>
            </w:tcBorders>
            <w:vAlign w:val="center"/>
          </w:tcPr>
          <w:p w14:paraId="10C2ED18">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val="zh-CN" w:eastAsia="zh-CN" w:bidi="zh-CN"/>
              </w:rPr>
            </w:pPr>
            <w:r>
              <w:rPr>
                <w:rFonts w:hint="default" w:ascii="Times New Roman" w:hAnsi="Times New Roman" w:eastAsia="宋体" w:cs="Times New Roman"/>
                <w:b/>
                <w:bCs/>
                <w:color w:val="auto"/>
                <w:sz w:val="21"/>
                <w:szCs w:val="21"/>
                <w:highlight w:val="none"/>
                <w:lang w:val="zh-CN" w:eastAsia="zh-CN" w:bidi="zh-CN"/>
              </w:rPr>
              <w:t>类型</w:t>
            </w:r>
          </w:p>
        </w:tc>
        <w:tc>
          <w:tcPr>
            <w:tcW w:w="4018" w:type="dxa"/>
            <w:tcBorders>
              <w:tl2br w:val="nil"/>
              <w:tr2bl w:val="nil"/>
            </w:tcBorders>
            <w:vAlign w:val="center"/>
          </w:tcPr>
          <w:p w14:paraId="7D12AD04">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eastAsia="zh-CN" w:bidi="zh-CN"/>
              </w:rPr>
            </w:pPr>
            <w:r>
              <w:rPr>
                <w:rFonts w:hint="default" w:ascii="Times New Roman" w:hAnsi="Times New Roman" w:eastAsia="宋体" w:cs="Times New Roman"/>
                <w:b/>
                <w:bCs/>
                <w:color w:val="auto"/>
                <w:sz w:val="21"/>
                <w:szCs w:val="21"/>
                <w:highlight w:val="none"/>
                <w:lang w:eastAsia="zh-CN" w:bidi="zh-CN"/>
              </w:rPr>
              <w:t>重大变动清单</w:t>
            </w:r>
          </w:p>
        </w:tc>
        <w:tc>
          <w:tcPr>
            <w:tcW w:w="3080" w:type="dxa"/>
            <w:tcBorders>
              <w:tl2br w:val="nil"/>
              <w:tr2bl w:val="nil"/>
            </w:tcBorders>
            <w:vAlign w:val="center"/>
          </w:tcPr>
          <w:p w14:paraId="5504F52C">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val="zh-CN" w:eastAsia="zh-CN" w:bidi="zh-CN"/>
              </w:rPr>
            </w:pPr>
            <w:r>
              <w:rPr>
                <w:rFonts w:hint="default" w:ascii="Times New Roman" w:hAnsi="Times New Roman" w:eastAsia="宋体" w:cs="Times New Roman"/>
                <w:b/>
                <w:bCs/>
                <w:color w:val="auto"/>
                <w:sz w:val="21"/>
                <w:szCs w:val="21"/>
                <w:highlight w:val="none"/>
                <w:lang w:val="zh-CN" w:eastAsia="zh-CN" w:bidi="zh-CN"/>
              </w:rPr>
              <w:t>变动情况</w:t>
            </w:r>
          </w:p>
        </w:tc>
        <w:tc>
          <w:tcPr>
            <w:tcW w:w="1002" w:type="dxa"/>
            <w:tcBorders>
              <w:tl2br w:val="nil"/>
              <w:tr2bl w:val="nil"/>
            </w:tcBorders>
            <w:vAlign w:val="center"/>
          </w:tcPr>
          <w:p w14:paraId="676CA650">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eastAsia="zh-CN" w:bidi="zh-CN"/>
              </w:rPr>
            </w:pPr>
            <w:r>
              <w:rPr>
                <w:rFonts w:hint="default" w:ascii="Times New Roman" w:hAnsi="Times New Roman" w:eastAsia="宋体" w:cs="Times New Roman"/>
                <w:b/>
                <w:bCs/>
                <w:color w:val="auto"/>
                <w:sz w:val="21"/>
                <w:szCs w:val="21"/>
                <w:highlight w:val="none"/>
                <w:lang w:eastAsia="zh-CN" w:bidi="zh-CN"/>
              </w:rPr>
              <w:t>是否涉及重大变动</w:t>
            </w:r>
          </w:p>
        </w:tc>
      </w:tr>
      <w:tr w14:paraId="24BDB5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09" w:hRule="atLeast"/>
          <w:jc w:val="center"/>
        </w:trPr>
        <w:tc>
          <w:tcPr>
            <w:tcW w:w="586" w:type="dxa"/>
            <w:tcBorders>
              <w:tl2br w:val="nil"/>
              <w:tr2bl w:val="nil"/>
            </w:tcBorders>
            <w:vAlign w:val="center"/>
          </w:tcPr>
          <w:p w14:paraId="4A033239">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eastAsia="宋体" w:cs="Times New Roman"/>
                <w:color w:val="auto"/>
                <w:sz w:val="21"/>
                <w:szCs w:val="21"/>
                <w:highlight w:val="none"/>
                <w:lang w:val="zh-CN" w:eastAsia="zh-CN" w:bidi="zh-CN"/>
              </w:rPr>
              <w:t>性质</w:t>
            </w:r>
          </w:p>
        </w:tc>
        <w:tc>
          <w:tcPr>
            <w:tcW w:w="4018" w:type="dxa"/>
            <w:tcBorders>
              <w:tl2br w:val="nil"/>
              <w:tr2bl w:val="nil"/>
            </w:tcBorders>
            <w:vAlign w:val="center"/>
          </w:tcPr>
          <w:p w14:paraId="34E521E8">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bidi="zh-CN"/>
              </w:rPr>
            </w:pPr>
            <w:r>
              <w:rPr>
                <w:rFonts w:hint="default" w:ascii="Times New Roman" w:hAnsi="Times New Roman" w:eastAsia="宋体" w:cs="Times New Roman"/>
                <w:color w:val="auto"/>
                <w:sz w:val="21"/>
                <w:szCs w:val="21"/>
                <w:highlight w:val="none"/>
                <w:lang w:val="en-US" w:eastAsia="zh-CN" w:bidi="zh-CN"/>
              </w:rPr>
              <w:t>1、码头性质发生变动，如干散货、液体散货、集装箱、多用途、件杂货、通用码头等各类码头之间的转化</w:t>
            </w:r>
          </w:p>
        </w:tc>
        <w:tc>
          <w:tcPr>
            <w:tcW w:w="3080" w:type="dxa"/>
            <w:tcBorders>
              <w:tl2br w:val="nil"/>
              <w:tr2bl w:val="nil"/>
            </w:tcBorders>
            <w:vAlign w:val="center"/>
          </w:tcPr>
          <w:p w14:paraId="2FD677BE">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未变动，货重由原来的“煤炭”变更为“煤炭、矿建材料（石子）”，但码头性质仍为干散货码头</w:t>
            </w:r>
          </w:p>
        </w:tc>
        <w:tc>
          <w:tcPr>
            <w:tcW w:w="1002" w:type="dxa"/>
            <w:tcBorders>
              <w:tl2br w:val="nil"/>
              <w:tr2bl w:val="nil"/>
            </w:tcBorders>
            <w:vAlign w:val="center"/>
          </w:tcPr>
          <w:p w14:paraId="03484176">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eastAsia="宋体" w:cs="Times New Roman"/>
                <w:color w:val="auto"/>
                <w:sz w:val="21"/>
                <w:szCs w:val="21"/>
                <w:highlight w:val="none"/>
                <w:lang w:val="en-US" w:eastAsia="zh-CN" w:bidi="zh-CN"/>
              </w:rPr>
              <w:t>不</w:t>
            </w:r>
            <w:r>
              <w:rPr>
                <w:rFonts w:hint="default" w:ascii="Times New Roman" w:hAnsi="Times New Roman" w:eastAsia="宋体" w:cs="Times New Roman"/>
                <w:color w:val="auto"/>
                <w:sz w:val="21"/>
                <w:szCs w:val="21"/>
                <w:highlight w:val="none"/>
                <w:lang w:val="zh-CN" w:eastAsia="zh-CN" w:bidi="zh-CN"/>
              </w:rPr>
              <w:t>涉及</w:t>
            </w:r>
          </w:p>
        </w:tc>
      </w:tr>
      <w:tr w14:paraId="7CB7CB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09" w:hRule="atLeast"/>
          <w:jc w:val="center"/>
        </w:trPr>
        <w:tc>
          <w:tcPr>
            <w:tcW w:w="586" w:type="dxa"/>
            <w:vMerge w:val="restart"/>
            <w:tcBorders>
              <w:tl2br w:val="nil"/>
              <w:tr2bl w:val="nil"/>
            </w:tcBorders>
            <w:vAlign w:val="center"/>
          </w:tcPr>
          <w:p w14:paraId="0F3AC48D">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eastAsia="宋体" w:cs="Times New Roman"/>
                <w:color w:val="auto"/>
                <w:sz w:val="21"/>
                <w:szCs w:val="21"/>
                <w:highlight w:val="none"/>
                <w:lang w:val="zh-CN" w:eastAsia="zh-CN" w:bidi="zh-CN"/>
              </w:rPr>
              <w:t>规模</w:t>
            </w:r>
          </w:p>
        </w:tc>
        <w:tc>
          <w:tcPr>
            <w:tcW w:w="4018" w:type="dxa"/>
            <w:tcBorders>
              <w:tl2br w:val="nil"/>
              <w:tr2bl w:val="nil"/>
            </w:tcBorders>
            <w:vAlign w:val="center"/>
          </w:tcPr>
          <w:p w14:paraId="4ADFD13B">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bidi="zh-CN"/>
              </w:rPr>
            </w:pPr>
            <w:r>
              <w:rPr>
                <w:rFonts w:hint="default" w:ascii="Times New Roman" w:hAnsi="Times New Roman" w:eastAsia="宋体" w:cs="Times New Roman"/>
                <w:color w:val="auto"/>
                <w:sz w:val="21"/>
                <w:szCs w:val="21"/>
                <w:highlight w:val="none"/>
                <w:lang w:val="en-US" w:eastAsia="zh-CN" w:bidi="zh-CN"/>
              </w:rPr>
              <w:t>2、码头工程泊位数量增加、等级提高、新增罐区（堆场）等工程内容</w:t>
            </w:r>
          </w:p>
        </w:tc>
        <w:tc>
          <w:tcPr>
            <w:tcW w:w="3080" w:type="dxa"/>
            <w:tcBorders>
              <w:tl2br w:val="nil"/>
              <w:tr2bl w:val="nil"/>
            </w:tcBorders>
            <w:vAlign w:val="center"/>
          </w:tcPr>
          <w:p w14:paraId="5CB2BD2D">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泊位数量未变，等级提高（500吨提高至1000吨）</w:t>
            </w:r>
          </w:p>
        </w:tc>
        <w:tc>
          <w:tcPr>
            <w:tcW w:w="1002" w:type="dxa"/>
            <w:tcBorders>
              <w:tl2br w:val="nil"/>
              <w:tr2bl w:val="nil"/>
            </w:tcBorders>
            <w:vAlign w:val="center"/>
          </w:tcPr>
          <w:p w14:paraId="75A97947">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eastAsia="宋体" w:cs="Times New Roman"/>
                <w:b/>
                <w:bCs/>
                <w:color w:val="auto"/>
                <w:sz w:val="21"/>
                <w:szCs w:val="21"/>
                <w:highlight w:val="none"/>
                <w:lang w:val="zh-CN" w:eastAsia="zh-CN" w:bidi="zh-CN"/>
              </w:rPr>
              <w:t>涉及</w:t>
            </w:r>
          </w:p>
        </w:tc>
      </w:tr>
      <w:tr w14:paraId="673850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25" w:hRule="atLeast"/>
          <w:jc w:val="center"/>
        </w:trPr>
        <w:tc>
          <w:tcPr>
            <w:tcW w:w="586" w:type="dxa"/>
            <w:vMerge w:val="continue"/>
            <w:tcBorders>
              <w:tl2br w:val="nil"/>
              <w:tr2bl w:val="nil"/>
            </w:tcBorders>
            <w:vAlign w:val="center"/>
          </w:tcPr>
          <w:p w14:paraId="00F2B651">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p>
        </w:tc>
        <w:tc>
          <w:tcPr>
            <w:tcW w:w="4018" w:type="dxa"/>
            <w:tcBorders>
              <w:tl2br w:val="nil"/>
              <w:tr2bl w:val="nil"/>
            </w:tcBorders>
            <w:vAlign w:val="center"/>
          </w:tcPr>
          <w:p w14:paraId="273571D2">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3、码头设计通过能力增加 30%及以上。</w:t>
            </w:r>
          </w:p>
        </w:tc>
        <w:tc>
          <w:tcPr>
            <w:tcW w:w="3080" w:type="dxa"/>
            <w:tcBorders>
              <w:tl2br w:val="nil"/>
              <w:tr2bl w:val="nil"/>
            </w:tcBorders>
            <w:vAlign w:val="center"/>
          </w:tcPr>
          <w:p w14:paraId="3756EAEA">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设计通过能力增加10.2%（从108万吨增加至119万吨），未达到30%</w:t>
            </w:r>
          </w:p>
        </w:tc>
        <w:tc>
          <w:tcPr>
            <w:tcW w:w="1002" w:type="dxa"/>
            <w:tcBorders>
              <w:tl2br w:val="nil"/>
              <w:tr2bl w:val="nil"/>
            </w:tcBorders>
            <w:vAlign w:val="center"/>
          </w:tcPr>
          <w:p w14:paraId="7961D9C1">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eastAsia="宋体" w:cs="Times New Roman"/>
                <w:color w:val="auto"/>
                <w:sz w:val="21"/>
                <w:szCs w:val="21"/>
                <w:highlight w:val="none"/>
                <w:lang w:val="zh-CN" w:eastAsia="zh-CN" w:bidi="zh-CN"/>
              </w:rPr>
              <w:t>不涉及</w:t>
            </w:r>
          </w:p>
        </w:tc>
      </w:tr>
      <w:tr w14:paraId="2C0719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25" w:hRule="atLeast"/>
          <w:jc w:val="center"/>
        </w:trPr>
        <w:tc>
          <w:tcPr>
            <w:tcW w:w="586" w:type="dxa"/>
            <w:vMerge w:val="continue"/>
            <w:tcBorders>
              <w:tl2br w:val="nil"/>
              <w:tr2bl w:val="nil"/>
            </w:tcBorders>
            <w:vAlign w:val="center"/>
          </w:tcPr>
          <w:p w14:paraId="371AFEBD">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p>
        </w:tc>
        <w:tc>
          <w:tcPr>
            <w:tcW w:w="4018" w:type="dxa"/>
            <w:tcBorders>
              <w:tl2br w:val="nil"/>
              <w:tr2bl w:val="nil"/>
            </w:tcBorders>
            <w:vAlign w:val="center"/>
          </w:tcPr>
          <w:p w14:paraId="7369D280">
            <w:pPr>
              <w:keepNext w:val="0"/>
              <w:keepLines w:val="0"/>
              <w:suppressLineNumbers w:val="0"/>
              <w:autoSpaceDE w:val="0"/>
              <w:autoSpaceDN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4、工程占地和用海总面积（含陆域面积、水域面积、疏浚面积） 增加 30%及以上。</w:t>
            </w:r>
          </w:p>
        </w:tc>
        <w:tc>
          <w:tcPr>
            <w:tcW w:w="3080" w:type="dxa"/>
            <w:tcBorders>
              <w:tl2br w:val="nil"/>
              <w:tr2bl w:val="nil"/>
            </w:tcBorders>
            <w:vAlign w:val="center"/>
          </w:tcPr>
          <w:p w14:paraId="7A6AF13E">
            <w:pPr>
              <w:keepNext w:val="0"/>
              <w:keepLines w:val="0"/>
              <w:suppressLineNumbers w:val="0"/>
              <w:autoSpaceDE w:val="0"/>
              <w:autoSpaceDN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工程占地和用水域面积均不变。</w:t>
            </w:r>
          </w:p>
        </w:tc>
        <w:tc>
          <w:tcPr>
            <w:tcW w:w="1002" w:type="dxa"/>
            <w:tcBorders>
              <w:tl2br w:val="nil"/>
              <w:tr2bl w:val="nil"/>
            </w:tcBorders>
            <w:vAlign w:val="center"/>
          </w:tcPr>
          <w:p w14:paraId="08FDD000">
            <w:pPr>
              <w:keepNext w:val="0"/>
              <w:keepLines w:val="0"/>
              <w:suppressLineNumbers w:val="0"/>
              <w:autoSpaceDE w:val="0"/>
              <w:autoSpaceDN w:val="0"/>
              <w:snapToGrid w:val="0"/>
              <w:spacing w:before="0" w:beforeAutospacing="0" w:after="0" w:afterAutospacing="0"/>
              <w:ind w:left="0" w:leftChars="0" w:right="0" w:rightChars="0"/>
              <w:jc w:val="center"/>
              <w:rPr>
                <w:rFonts w:hint="default" w:ascii="Times New Roman" w:hAnsi="Times New Roman" w:eastAsia="宋体" w:cs="Times New Roman"/>
                <w:color w:val="auto"/>
                <w:kern w:val="2"/>
                <w:sz w:val="21"/>
                <w:szCs w:val="21"/>
                <w:highlight w:val="none"/>
                <w:lang w:val="zh-CN" w:eastAsia="zh-CN" w:bidi="zh-CN"/>
              </w:rPr>
            </w:pPr>
            <w:r>
              <w:rPr>
                <w:rFonts w:hint="default" w:ascii="Times New Roman" w:hAnsi="Times New Roman" w:eastAsia="宋体" w:cs="Times New Roman"/>
                <w:color w:val="auto"/>
                <w:sz w:val="21"/>
                <w:szCs w:val="21"/>
                <w:highlight w:val="none"/>
                <w:lang w:val="zh-CN" w:eastAsia="zh-CN" w:bidi="zh-CN"/>
              </w:rPr>
              <w:t>不涉及</w:t>
            </w:r>
          </w:p>
        </w:tc>
      </w:tr>
      <w:tr w14:paraId="4D04DA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75" w:hRule="atLeast"/>
          <w:jc w:val="center"/>
        </w:trPr>
        <w:tc>
          <w:tcPr>
            <w:tcW w:w="586" w:type="dxa"/>
            <w:vMerge w:val="continue"/>
            <w:tcBorders>
              <w:tl2br w:val="nil"/>
              <w:tr2bl w:val="nil"/>
            </w:tcBorders>
            <w:vAlign w:val="center"/>
          </w:tcPr>
          <w:p w14:paraId="721ECA6F">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p>
        </w:tc>
        <w:tc>
          <w:tcPr>
            <w:tcW w:w="4018" w:type="dxa"/>
            <w:tcBorders>
              <w:tl2br w:val="nil"/>
              <w:tr2bl w:val="nil"/>
            </w:tcBorders>
            <w:vAlign w:val="center"/>
          </w:tcPr>
          <w:p w14:paraId="6D85B99B">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5、危险品储罐数量增加 30%及以上</w:t>
            </w:r>
          </w:p>
        </w:tc>
        <w:tc>
          <w:tcPr>
            <w:tcW w:w="3080" w:type="dxa"/>
            <w:tcBorders>
              <w:tl2br w:val="nil"/>
              <w:tr2bl w:val="nil"/>
            </w:tcBorders>
            <w:vAlign w:val="center"/>
          </w:tcPr>
          <w:p w14:paraId="14D5D2DB">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w:t>
            </w:r>
          </w:p>
        </w:tc>
        <w:tc>
          <w:tcPr>
            <w:tcW w:w="1002" w:type="dxa"/>
            <w:tcBorders>
              <w:tl2br w:val="nil"/>
              <w:tr2bl w:val="nil"/>
            </w:tcBorders>
            <w:vAlign w:val="center"/>
          </w:tcPr>
          <w:p w14:paraId="53E3B485">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不涉及</w:t>
            </w:r>
          </w:p>
        </w:tc>
      </w:tr>
      <w:tr w14:paraId="269489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586" w:type="dxa"/>
            <w:vMerge w:val="restart"/>
            <w:tcBorders>
              <w:tl2br w:val="nil"/>
              <w:tr2bl w:val="nil"/>
            </w:tcBorders>
            <w:vAlign w:val="center"/>
          </w:tcPr>
          <w:p w14:paraId="5E8E9F94">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eastAsia="宋体" w:cs="Times New Roman"/>
                <w:color w:val="auto"/>
                <w:sz w:val="21"/>
                <w:szCs w:val="21"/>
                <w:highlight w:val="none"/>
                <w:lang w:val="zh-CN" w:eastAsia="zh-CN" w:bidi="zh-CN"/>
              </w:rPr>
              <w:t>地点</w:t>
            </w:r>
          </w:p>
        </w:tc>
        <w:tc>
          <w:tcPr>
            <w:tcW w:w="4018" w:type="dxa"/>
            <w:tcBorders>
              <w:tl2br w:val="nil"/>
              <w:tr2bl w:val="nil"/>
            </w:tcBorders>
            <w:vAlign w:val="center"/>
          </w:tcPr>
          <w:p w14:paraId="4A2BC1C2">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eastAsia="宋体" w:cs="Times New Roman"/>
                <w:color w:val="auto"/>
                <w:sz w:val="21"/>
                <w:szCs w:val="21"/>
                <w:highlight w:val="none"/>
                <w:lang w:val="en-US" w:eastAsia="zh-CN" w:bidi="zh-CN"/>
              </w:rPr>
              <w:t>6、工程组成中码头岸线、航道、防波堤位置调整使得评价范围内出现新的自然保护区、风景名胜区、饮用水水源保护区等环境敏感区和要求更高的环境功能区</w:t>
            </w:r>
          </w:p>
        </w:tc>
        <w:tc>
          <w:tcPr>
            <w:tcW w:w="3080" w:type="dxa"/>
            <w:tcBorders>
              <w:tl2br w:val="nil"/>
              <w:tr2bl w:val="nil"/>
            </w:tcBorders>
            <w:vAlign w:val="center"/>
          </w:tcPr>
          <w:p w14:paraId="7B156036">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工程地点虽未调整，但原项目审批后，</w:t>
            </w:r>
            <w:r>
              <w:rPr>
                <w:rFonts w:hint="eastAsia" w:cs="Times New Roman"/>
                <w:color w:val="auto"/>
                <w:sz w:val="21"/>
                <w:szCs w:val="21"/>
                <w:highlight w:val="none"/>
                <w:lang w:val="en-US" w:eastAsia="zh-CN" w:bidi="zh-CN"/>
              </w:rPr>
              <w:t>农业农村部</w:t>
            </w:r>
            <w:r>
              <w:rPr>
                <w:rFonts w:hint="default" w:ascii="Times New Roman" w:hAnsi="Times New Roman" w:eastAsia="宋体" w:cs="Times New Roman"/>
                <w:color w:val="auto"/>
                <w:sz w:val="21"/>
                <w:szCs w:val="21"/>
                <w:highlight w:val="none"/>
                <w:lang w:val="en-US" w:eastAsia="zh-CN" w:bidi="zh-CN"/>
              </w:rPr>
              <w:t>于新划定的“淮河淮南段长吻鮠国家级水产种质资源保护区（设立于2011年11月）”，本项目位于淮河淮南段长吻鮠国家级水产种质资源保护区试验区范围，新增了环境敏感区</w:t>
            </w:r>
          </w:p>
        </w:tc>
        <w:tc>
          <w:tcPr>
            <w:tcW w:w="1002" w:type="dxa"/>
            <w:tcBorders>
              <w:tl2br w:val="nil"/>
              <w:tr2bl w:val="nil"/>
            </w:tcBorders>
            <w:vAlign w:val="center"/>
          </w:tcPr>
          <w:p w14:paraId="3D8926B5">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eastAsia="宋体" w:cs="Times New Roman"/>
                <w:b/>
                <w:bCs/>
                <w:color w:val="auto"/>
                <w:sz w:val="21"/>
                <w:szCs w:val="21"/>
                <w:highlight w:val="none"/>
                <w:lang w:val="zh-CN" w:eastAsia="zh-CN" w:bidi="zh-CN"/>
              </w:rPr>
              <w:t>涉及</w:t>
            </w:r>
          </w:p>
        </w:tc>
      </w:tr>
      <w:tr w14:paraId="7EBCBB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586" w:type="dxa"/>
            <w:vMerge w:val="continue"/>
            <w:tcBorders>
              <w:tl2br w:val="nil"/>
              <w:tr2bl w:val="nil"/>
            </w:tcBorders>
            <w:vAlign w:val="center"/>
          </w:tcPr>
          <w:p w14:paraId="2FD7AC4F">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p>
        </w:tc>
        <w:tc>
          <w:tcPr>
            <w:tcW w:w="4018" w:type="dxa"/>
            <w:tcBorders>
              <w:tl2br w:val="nil"/>
              <w:tr2bl w:val="nil"/>
            </w:tcBorders>
            <w:vAlign w:val="center"/>
          </w:tcPr>
          <w:p w14:paraId="4A3BF9ED">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7、集装箱危险品堆场位置发生变化导致环境风险增加。</w:t>
            </w:r>
          </w:p>
        </w:tc>
        <w:tc>
          <w:tcPr>
            <w:tcW w:w="3080" w:type="dxa"/>
            <w:tcBorders>
              <w:tl2br w:val="nil"/>
              <w:tr2bl w:val="nil"/>
            </w:tcBorders>
            <w:vAlign w:val="center"/>
          </w:tcPr>
          <w:p w14:paraId="738CC520">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w:t>
            </w:r>
          </w:p>
        </w:tc>
        <w:tc>
          <w:tcPr>
            <w:tcW w:w="1002" w:type="dxa"/>
            <w:tcBorders>
              <w:tl2br w:val="nil"/>
              <w:tr2bl w:val="nil"/>
            </w:tcBorders>
            <w:vAlign w:val="center"/>
          </w:tcPr>
          <w:p w14:paraId="64E75128">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不涉及</w:t>
            </w:r>
          </w:p>
        </w:tc>
      </w:tr>
      <w:tr w14:paraId="7E2739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586" w:type="dxa"/>
            <w:vMerge w:val="restart"/>
            <w:tcBorders>
              <w:tl2br w:val="nil"/>
              <w:tr2bl w:val="nil"/>
            </w:tcBorders>
            <w:vAlign w:val="center"/>
          </w:tcPr>
          <w:p w14:paraId="1837DBDE">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eastAsia="宋体" w:cs="Times New Roman"/>
                <w:color w:val="auto"/>
                <w:sz w:val="21"/>
                <w:szCs w:val="21"/>
                <w:highlight w:val="none"/>
                <w:lang w:val="zh-CN" w:eastAsia="zh-CN" w:bidi="zh-CN"/>
              </w:rPr>
              <w:t>生产工艺</w:t>
            </w:r>
          </w:p>
        </w:tc>
        <w:tc>
          <w:tcPr>
            <w:tcW w:w="4018" w:type="dxa"/>
            <w:tcBorders>
              <w:tl2br w:val="nil"/>
              <w:tr2bl w:val="nil"/>
            </w:tcBorders>
            <w:vAlign w:val="center"/>
          </w:tcPr>
          <w:p w14:paraId="7B8F7A1B">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8、干散货码头装卸方式、堆场堆存方式发生变化，导致大气污染源强增大。</w:t>
            </w:r>
          </w:p>
        </w:tc>
        <w:tc>
          <w:tcPr>
            <w:tcW w:w="3080" w:type="dxa"/>
            <w:tcBorders>
              <w:tl2br w:val="nil"/>
              <w:tr2bl w:val="nil"/>
            </w:tcBorders>
            <w:vAlign w:val="center"/>
          </w:tcPr>
          <w:p w14:paraId="01440457">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eastAsia="zh-CN" w:bidi="zh-CN"/>
              </w:rPr>
              <w:t>物料运输、装卸、贮存方式未发生变化。</w:t>
            </w:r>
          </w:p>
        </w:tc>
        <w:tc>
          <w:tcPr>
            <w:tcW w:w="1002" w:type="dxa"/>
            <w:tcBorders>
              <w:tl2br w:val="nil"/>
              <w:tr2bl w:val="nil"/>
            </w:tcBorders>
            <w:vAlign w:val="center"/>
          </w:tcPr>
          <w:p w14:paraId="162D1808">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eastAsia="宋体" w:cs="Times New Roman"/>
                <w:color w:val="auto"/>
                <w:sz w:val="21"/>
                <w:szCs w:val="21"/>
                <w:highlight w:val="none"/>
                <w:lang w:val="zh-CN" w:eastAsia="zh-CN" w:bidi="zh-CN"/>
              </w:rPr>
              <w:t>不涉及</w:t>
            </w:r>
          </w:p>
        </w:tc>
      </w:tr>
      <w:tr w14:paraId="570D60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586" w:type="dxa"/>
            <w:vMerge w:val="continue"/>
            <w:tcBorders>
              <w:tl2br w:val="nil"/>
              <w:tr2bl w:val="nil"/>
            </w:tcBorders>
            <w:vAlign w:val="center"/>
          </w:tcPr>
          <w:p w14:paraId="70FEB262">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p>
        </w:tc>
        <w:tc>
          <w:tcPr>
            <w:tcW w:w="4018" w:type="dxa"/>
            <w:tcBorders>
              <w:tl2br w:val="nil"/>
              <w:tr2bl w:val="nil"/>
            </w:tcBorders>
            <w:vAlign w:val="center"/>
          </w:tcPr>
          <w:p w14:paraId="1700D487">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9、集装箱码头增加危险品箱装卸作业、洗箱作业或堆场。</w:t>
            </w:r>
          </w:p>
        </w:tc>
        <w:tc>
          <w:tcPr>
            <w:tcW w:w="3080" w:type="dxa"/>
            <w:tcBorders>
              <w:tl2br w:val="nil"/>
              <w:tr2bl w:val="nil"/>
            </w:tcBorders>
            <w:vAlign w:val="center"/>
          </w:tcPr>
          <w:p w14:paraId="5E30C021">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w:t>
            </w:r>
          </w:p>
        </w:tc>
        <w:tc>
          <w:tcPr>
            <w:tcW w:w="1002" w:type="dxa"/>
            <w:tcBorders>
              <w:tl2br w:val="nil"/>
              <w:tr2bl w:val="nil"/>
            </w:tcBorders>
            <w:vAlign w:val="center"/>
          </w:tcPr>
          <w:p w14:paraId="0982FA25">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eastAsia="宋体" w:cs="Times New Roman"/>
                <w:color w:val="auto"/>
                <w:sz w:val="21"/>
                <w:szCs w:val="21"/>
                <w:highlight w:val="none"/>
                <w:lang w:val="zh-CN" w:eastAsia="zh-CN" w:bidi="zh-CN"/>
              </w:rPr>
              <w:t>不涉及</w:t>
            </w:r>
          </w:p>
        </w:tc>
      </w:tr>
      <w:tr w14:paraId="62D186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96" w:hRule="atLeast"/>
          <w:jc w:val="center"/>
        </w:trPr>
        <w:tc>
          <w:tcPr>
            <w:tcW w:w="586" w:type="dxa"/>
            <w:vMerge w:val="continue"/>
            <w:tcBorders>
              <w:tl2br w:val="nil"/>
              <w:tr2bl w:val="nil"/>
            </w:tcBorders>
            <w:vAlign w:val="center"/>
          </w:tcPr>
          <w:p w14:paraId="0E62AEC3">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p>
        </w:tc>
        <w:tc>
          <w:tcPr>
            <w:tcW w:w="4018" w:type="dxa"/>
            <w:tcBorders>
              <w:tl2br w:val="nil"/>
              <w:tr2bl w:val="nil"/>
            </w:tcBorders>
            <w:vAlign w:val="center"/>
          </w:tcPr>
          <w:p w14:paraId="200E78DF">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10、集装箱危险品装卸、堆场、液化码头新增危险品货类（国际危险品分类：9 类），或新增同一货类中毒性、腐蚀性、爆炸性更大的货种。</w:t>
            </w:r>
          </w:p>
        </w:tc>
        <w:tc>
          <w:tcPr>
            <w:tcW w:w="3080" w:type="dxa"/>
            <w:tcBorders>
              <w:tl2br w:val="nil"/>
              <w:tr2bl w:val="nil"/>
            </w:tcBorders>
            <w:vAlign w:val="center"/>
          </w:tcPr>
          <w:p w14:paraId="7F08548C">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w:t>
            </w:r>
          </w:p>
        </w:tc>
        <w:tc>
          <w:tcPr>
            <w:tcW w:w="1002" w:type="dxa"/>
            <w:tcBorders>
              <w:tl2br w:val="nil"/>
              <w:tr2bl w:val="nil"/>
            </w:tcBorders>
            <w:vAlign w:val="center"/>
          </w:tcPr>
          <w:p w14:paraId="0AFE788A">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eastAsia="宋体" w:cs="Times New Roman"/>
                <w:color w:val="auto"/>
                <w:sz w:val="21"/>
                <w:szCs w:val="21"/>
                <w:highlight w:val="none"/>
                <w:lang w:val="zh-CN" w:eastAsia="zh-CN" w:bidi="zh-CN"/>
              </w:rPr>
              <w:t>不涉及</w:t>
            </w:r>
          </w:p>
        </w:tc>
      </w:tr>
      <w:tr w14:paraId="37BF01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1250" w:hRule="atLeast"/>
          <w:jc w:val="center"/>
        </w:trPr>
        <w:tc>
          <w:tcPr>
            <w:tcW w:w="586" w:type="dxa"/>
            <w:tcBorders>
              <w:tl2br w:val="nil"/>
              <w:tr2bl w:val="nil"/>
            </w:tcBorders>
            <w:vAlign w:val="center"/>
          </w:tcPr>
          <w:p w14:paraId="45724460">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zh-CN" w:eastAsia="zh-CN" w:bidi="zh-CN"/>
              </w:rPr>
            </w:pPr>
            <w:r>
              <w:rPr>
                <w:rFonts w:hint="default" w:ascii="Times New Roman" w:hAnsi="Times New Roman" w:eastAsia="宋体" w:cs="Times New Roman"/>
                <w:color w:val="auto"/>
                <w:sz w:val="21"/>
                <w:szCs w:val="21"/>
                <w:highlight w:val="none"/>
                <w:lang w:val="zh-CN" w:eastAsia="zh-CN" w:bidi="zh-CN"/>
              </w:rPr>
              <w:t>环境保护措施</w:t>
            </w:r>
          </w:p>
        </w:tc>
        <w:tc>
          <w:tcPr>
            <w:tcW w:w="4018" w:type="dxa"/>
            <w:tcBorders>
              <w:tl2br w:val="nil"/>
              <w:tr2bl w:val="nil"/>
            </w:tcBorders>
            <w:vAlign w:val="center"/>
          </w:tcPr>
          <w:p w14:paraId="255EB375">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11、矿石码头堆场防尘、液化码头油气回收、集装箱码头压载水灭活等主要环境保护措施或环境风险防范措施弱化或降低。</w:t>
            </w:r>
          </w:p>
        </w:tc>
        <w:tc>
          <w:tcPr>
            <w:tcW w:w="3080" w:type="dxa"/>
            <w:tcBorders>
              <w:tl2br w:val="nil"/>
              <w:tr2bl w:val="nil"/>
            </w:tcBorders>
            <w:vAlign w:val="center"/>
          </w:tcPr>
          <w:p w14:paraId="64CEF665">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val="en-US" w:eastAsia="zh-CN" w:bidi="zh-CN"/>
              </w:rPr>
            </w:pPr>
            <w:r>
              <w:rPr>
                <w:rFonts w:hint="default" w:ascii="Times New Roman" w:hAnsi="Times New Roman" w:eastAsia="宋体" w:cs="Times New Roman"/>
                <w:color w:val="auto"/>
                <w:sz w:val="21"/>
                <w:szCs w:val="21"/>
                <w:highlight w:val="none"/>
                <w:lang w:val="en-US" w:eastAsia="zh-CN" w:bidi="zh-CN"/>
              </w:rPr>
              <w:t>主要环境保护措施或环境风险防范措施未弱化或降低</w:t>
            </w:r>
          </w:p>
        </w:tc>
        <w:tc>
          <w:tcPr>
            <w:tcW w:w="1002" w:type="dxa"/>
            <w:tcBorders>
              <w:tl2br w:val="nil"/>
              <w:tr2bl w:val="nil"/>
            </w:tcBorders>
            <w:vAlign w:val="center"/>
          </w:tcPr>
          <w:p w14:paraId="7541DEF5">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color w:val="auto"/>
                <w:sz w:val="21"/>
                <w:szCs w:val="21"/>
                <w:highlight w:val="none"/>
                <w:lang w:eastAsia="zh-CN" w:bidi="zh-CN"/>
              </w:rPr>
            </w:pPr>
            <w:r>
              <w:rPr>
                <w:rFonts w:hint="default" w:ascii="Times New Roman" w:hAnsi="Times New Roman" w:eastAsia="宋体" w:cs="Times New Roman"/>
                <w:color w:val="auto"/>
                <w:sz w:val="21"/>
                <w:szCs w:val="21"/>
                <w:highlight w:val="none"/>
                <w:lang w:eastAsia="zh-CN" w:bidi="zh-CN"/>
              </w:rPr>
              <w:t>不涉及</w:t>
            </w:r>
          </w:p>
        </w:tc>
      </w:tr>
      <w:tr w14:paraId="577E12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7684" w:type="dxa"/>
            <w:gridSpan w:val="3"/>
            <w:tcBorders>
              <w:tl2br w:val="nil"/>
              <w:tr2bl w:val="nil"/>
            </w:tcBorders>
            <w:vAlign w:val="center"/>
          </w:tcPr>
          <w:p w14:paraId="3ED86AB0">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eastAsia="zh-CN" w:bidi="zh-CN"/>
              </w:rPr>
            </w:pPr>
            <w:r>
              <w:rPr>
                <w:rFonts w:hint="default" w:ascii="Times New Roman" w:hAnsi="Times New Roman" w:eastAsia="宋体" w:cs="Times New Roman"/>
                <w:b/>
                <w:bCs/>
                <w:color w:val="auto"/>
                <w:sz w:val="21"/>
                <w:szCs w:val="21"/>
                <w:highlight w:val="none"/>
                <w:lang w:eastAsia="zh-CN" w:bidi="zh-CN"/>
              </w:rPr>
              <w:t>总结论</w:t>
            </w:r>
          </w:p>
        </w:tc>
        <w:tc>
          <w:tcPr>
            <w:tcW w:w="1002" w:type="dxa"/>
            <w:tcBorders>
              <w:tl2br w:val="nil"/>
              <w:tr2bl w:val="nil"/>
            </w:tcBorders>
            <w:vAlign w:val="center"/>
          </w:tcPr>
          <w:p w14:paraId="5175D6AD">
            <w:pPr>
              <w:keepNext w:val="0"/>
              <w:keepLines w:val="0"/>
              <w:suppressLineNumbers w:val="0"/>
              <w:autoSpaceDE w:val="0"/>
              <w:autoSpaceDN w:val="0"/>
              <w:snapToGrid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lang w:eastAsia="zh-CN" w:bidi="zh-CN"/>
              </w:rPr>
            </w:pPr>
            <w:r>
              <w:rPr>
                <w:rFonts w:hint="default" w:ascii="Times New Roman" w:hAnsi="Times New Roman" w:eastAsia="宋体" w:cs="Times New Roman"/>
                <w:b/>
                <w:bCs/>
                <w:color w:val="auto"/>
                <w:sz w:val="21"/>
                <w:szCs w:val="21"/>
                <w:highlight w:val="none"/>
                <w:lang w:eastAsia="zh-CN" w:bidi="zh-CN"/>
              </w:rPr>
              <w:t>重大变动</w:t>
            </w:r>
          </w:p>
        </w:tc>
      </w:tr>
      <w:bookmarkEnd w:id="76"/>
      <w:bookmarkEnd w:id="77"/>
    </w:tbl>
    <w:p w14:paraId="5A9DA2AD">
      <w:pPr>
        <w:keepNext w:val="0"/>
        <w:keepLines w:val="0"/>
        <w:pageBreakBefore w:val="0"/>
        <w:widowControl w:val="0"/>
        <w:tabs>
          <w:tab w:val="left" w:pos="1079"/>
        </w:tabs>
        <w:kinsoku/>
        <w:wordWrap/>
        <w:overflowPunct/>
        <w:topLinePunct w:val="0"/>
        <w:autoSpaceDE/>
        <w:autoSpaceDN/>
        <w:bidi w:val="0"/>
        <w:adjustRightInd w:val="0"/>
        <w:snapToGrid w:val="0"/>
        <w:spacing w:line="360" w:lineRule="auto"/>
        <w:ind w:left="0" w:firstLine="480" w:firstLineChars="200"/>
        <w:jc w:val="left"/>
        <w:textAlignment w:val="auto"/>
        <w:outlineLvl w:val="9"/>
        <w:rPr>
          <w:rFonts w:hint="eastAsia" w:ascii="Times New Roman" w:hAnsi="Times New Roman" w:eastAsia="宋体" w:cs="Times New Roman"/>
          <w:b w:val="0"/>
          <w:bCs w:val="0"/>
          <w:color w:val="auto"/>
          <w:sz w:val="24"/>
          <w:szCs w:val="24"/>
          <w:highlight w:val="none"/>
          <w:lang w:val="en-US" w:eastAsia="zh-CN" w:bidi="ar-SA"/>
        </w:rPr>
      </w:pPr>
      <w:bookmarkStart w:id="78" w:name="1.6.2建设地点"/>
      <w:bookmarkEnd w:id="78"/>
      <w:r>
        <w:rPr>
          <w:rFonts w:hint="eastAsia" w:ascii="Times New Roman" w:hAnsi="Times New Roman" w:eastAsia="宋体" w:cs="Times New Roman"/>
          <w:b w:val="0"/>
          <w:bCs w:val="0"/>
          <w:color w:val="auto"/>
          <w:sz w:val="24"/>
          <w:szCs w:val="24"/>
          <w:highlight w:val="none"/>
          <w:lang w:val="en-US" w:eastAsia="zh-CN" w:bidi="ar-SA"/>
        </w:rPr>
        <w:t>综上，对照《</w:t>
      </w:r>
      <w:r>
        <w:rPr>
          <w:rFonts w:hint="eastAsia" w:cs="Times New Roman"/>
          <w:b w:val="0"/>
          <w:bCs w:val="0"/>
          <w:color w:val="auto"/>
          <w:sz w:val="24"/>
          <w:szCs w:val="24"/>
          <w:highlight w:val="none"/>
          <w:lang w:val="en-US" w:eastAsia="zh-CN" w:bidi="ar-SA"/>
        </w:rPr>
        <w:t>关于印发环评管理中部分行业建设项目重大变动清单的通知</w:t>
      </w:r>
      <w:r>
        <w:rPr>
          <w:rFonts w:hint="eastAsia" w:ascii="Times New Roman" w:hAnsi="Times New Roman" w:eastAsia="宋体" w:cs="Times New Roman"/>
          <w:b w:val="0"/>
          <w:bCs w:val="0"/>
          <w:color w:val="auto"/>
          <w:sz w:val="24"/>
          <w:szCs w:val="24"/>
          <w:highlight w:val="none"/>
          <w:lang w:val="en-US" w:eastAsia="zh-CN" w:bidi="ar-SA"/>
        </w:rPr>
        <w:t>》（环办〔20</w:t>
      </w:r>
      <w:r>
        <w:rPr>
          <w:rFonts w:hint="eastAsia" w:cs="Times New Roman"/>
          <w:b w:val="0"/>
          <w:bCs w:val="0"/>
          <w:color w:val="auto"/>
          <w:sz w:val="24"/>
          <w:szCs w:val="24"/>
          <w:highlight w:val="none"/>
          <w:lang w:val="en-US" w:eastAsia="zh-CN" w:bidi="ar-SA"/>
        </w:rPr>
        <w:t>15</w:t>
      </w:r>
      <w:r>
        <w:rPr>
          <w:rFonts w:hint="eastAsia" w:ascii="Times New Roman" w:hAnsi="Times New Roman" w:eastAsia="宋体" w:cs="Times New Roman"/>
          <w:b w:val="0"/>
          <w:bCs w:val="0"/>
          <w:color w:val="auto"/>
          <w:sz w:val="24"/>
          <w:szCs w:val="24"/>
          <w:highlight w:val="none"/>
          <w:lang w:val="en-US" w:eastAsia="zh-CN" w:bidi="ar-SA"/>
        </w:rPr>
        <w:t>〕</w:t>
      </w:r>
      <w:r>
        <w:rPr>
          <w:rFonts w:hint="eastAsia" w:cs="Times New Roman"/>
          <w:b w:val="0"/>
          <w:bCs w:val="0"/>
          <w:color w:val="auto"/>
          <w:sz w:val="24"/>
          <w:szCs w:val="24"/>
          <w:highlight w:val="none"/>
          <w:lang w:val="en-US" w:eastAsia="zh-CN" w:bidi="ar-SA"/>
        </w:rPr>
        <w:t>52</w:t>
      </w:r>
      <w:r>
        <w:rPr>
          <w:rFonts w:hint="eastAsia" w:ascii="Times New Roman" w:hAnsi="Times New Roman" w:eastAsia="宋体" w:cs="Times New Roman"/>
          <w:b w:val="0"/>
          <w:bCs w:val="0"/>
          <w:color w:val="auto"/>
          <w:sz w:val="24"/>
          <w:szCs w:val="24"/>
          <w:highlight w:val="none"/>
          <w:lang w:val="en-US" w:eastAsia="zh-CN" w:bidi="ar-SA"/>
        </w:rPr>
        <w:t>号）</w:t>
      </w:r>
      <w:r>
        <w:rPr>
          <w:rFonts w:ascii="Times New Roman" w:hAnsi="Times New Roman" w:eastAsia="宋体" w:cs="Times New Roman"/>
          <w:color w:val="auto"/>
          <w:spacing w:val="-1"/>
          <w:sz w:val="24"/>
          <w:szCs w:val="24"/>
          <w:highlight w:val="none"/>
          <w:lang w:val="en-US" w:eastAsia="zh-CN" w:bidi="ar-SA"/>
        </w:rPr>
        <w:t>中</w:t>
      </w:r>
      <w:r>
        <w:rPr>
          <w:rFonts w:hint="eastAsia" w:cs="Times New Roman"/>
          <w:color w:val="auto"/>
          <w:spacing w:val="-1"/>
          <w:sz w:val="24"/>
          <w:szCs w:val="24"/>
          <w:highlight w:val="none"/>
          <w:lang w:val="en-US" w:eastAsia="zh-CN" w:bidi="ar-SA"/>
        </w:rPr>
        <w:t>“港口建设项目重大变动清单（试行）”</w:t>
      </w:r>
      <w:r>
        <w:rPr>
          <w:rFonts w:hint="eastAsia" w:ascii="Times New Roman" w:hAnsi="Times New Roman" w:eastAsia="宋体" w:cs="Times New Roman"/>
          <w:b w:val="0"/>
          <w:bCs w:val="0"/>
          <w:color w:val="auto"/>
          <w:sz w:val="24"/>
          <w:szCs w:val="24"/>
          <w:highlight w:val="none"/>
          <w:lang w:val="en-US" w:eastAsia="zh-CN" w:bidi="ar-SA"/>
        </w:rPr>
        <w:t>，建设项目的性质发生重大变动，因此，</w:t>
      </w:r>
      <w:r>
        <w:rPr>
          <w:rFonts w:hint="eastAsia" w:ascii="Times New Roman" w:hAnsi="Times New Roman" w:eastAsia="宋体" w:cs="Times New Roman"/>
          <w:b/>
          <w:bCs/>
          <w:color w:val="auto"/>
          <w:sz w:val="24"/>
          <w:szCs w:val="24"/>
          <w:highlight w:val="none"/>
          <w:lang w:val="en-US" w:eastAsia="zh-CN" w:bidi="ar-SA"/>
        </w:rPr>
        <w:t>界定该建设项目的相关变动情况属于重大变动范畴</w:t>
      </w:r>
      <w:r>
        <w:rPr>
          <w:rFonts w:hint="eastAsia" w:ascii="Times New Roman" w:hAnsi="Times New Roman" w:eastAsia="宋体" w:cs="Times New Roman"/>
          <w:b w:val="0"/>
          <w:bCs w:val="0"/>
          <w:color w:val="auto"/>
          <w:sz w:val="24"/>
          <w:szCs w:val="24"/>
          <w:highlight w:val="none"/>
          <w:lang w:val="en-US" w:eastAsia="zh-CN" w:bidi="ar-SA"/>
        </w:rPr>
        <w:t>。</w:t>
      </w:r>
    </w:p>
    <w:p w14:paraId="60E90645">
      <w:pPr>
        <w:keepNext w:val="0"/>
        <w:keepLines w:val="0"/>
        <w:pageBreakBefore w:val="0"/>
        <w:widowControl w:val="0"/>
        <w:tabs>
          <w:tab w:val="left" w:pos="1079"/>
        </w:tabs>
        <w:kinsoku/>
        <w:wordWrap/>
        <w:overflowPunct/>
        <w:topLinePunct w:val="0"/>
        <w:autoSpaceDE/>
        <w:autoSpaceDN/>
        <w:bidi w:val="0"/>
        <w:adjustRightInd w:val="0"/>
        <w:snapToGrid w:val="0"/>
        <w:spacing w:line="360" w:lineRule="auto"/>
        <w:ind w:left="0" w:firstLine="480" w:firstLineChars="200"/>
        <w:jc w:val="left"/>
        <w:textAlignment w:val="auto"/>
        <w:outlineLvl w:val="9"/>
        <w:rPr>
          <w:rFonts w:hint="eastAsia" w:cs="Times New Roman"/>
          <w:b w:val="0"/>
          <w:bCs w:val="0"/>
          <w:color w:val="auto"/>
          <w:sz w:val="24"/>
          <w:szCs w:val="24"/>
          <w:highlight w:val="none"/>
          <w:lang w:val="en-US" w:eastAsia="zh-CN" w:bidi="ar-SA"/>
        </w:rPr>
      </w:pPr>
      <w:r>
        <w:rPr>
          <w:rFonts w:hint="eastAsia" w:cs="Times New Roman"/>
          <w:b w:val="0"/>
          <w:bCs w:val="0"/>
          <w:color w:val="auto"/>
          <w:sz w:val="24"/>
          <w:szCs w:val="24"/>
          <w:highlight w:val="none"/>
          <w:lang w:val="en-US" w:eastAsia="zh-CN" w:bidi="ar-SA"/>
        </w:rPr>
        <w:t>现有工程已经取得环评批复，于</w:t>
      </w:r>
      <w:r>
        <w:rPr>
          <w:rFonts w:hint="default" w:cs="Times New Roman"/>
          <w:b w:val="0"/>
          <w:bCs w:val="0"/>
          <w:color w:val="auto"/>
          <w:sz w:val="24"/>
          <w:szCs w:val="24"/>
          <w:highlight w:val="none"/>
          <w:lang w:val="en-US" w:eastAsia="zh-CN" w:bidi="ar-SA"/>
        </w:rPr>
        <w:t>2013年开展项目施工，项目</w:t>
      </w:r>
      <w:r>
        <w:rPr>
          <w:rFonts w:hint="eastAsia" w:cs="Times New Roman"/>
          <w:b w:val="0"/>
          <w:bCs w:val="0"/>
          <w:color w:val="auto"/>
          <w:sz w:val="24"/>
          <w:szCs w:val="24"/>
          <w:highlight w:val="none"/>
          <w:lang w:val="en-US" w:eastAsia="zh-CN" w:bidi="ar-SA"/>
        </w:rPr>
        <w:t>仅</w:t>
      </w:r>
      <w:r>
        <w:rPr>
          <w:rFonts w:hint="default" w:cs="Times New Roman"/>
          <w:b w:val="0"/>
          <w:bCs w:val="0"/>
          <w:color w:val="auto"/>
          <w:sz w:val="24"/>
          <w:szCs w:val="24"/>
          <w:highlight w:val="none"/>
          <w:lang w:val="en-US" w:eastAsia="zh-CN" w:bidi="ar-SA"/>
        </w:rPr>
        <w:t>完成</w:t>
      </w:r>
      <w:r>
        <w:rPr>
          <w:rFonts w:hint="eastAsia" w:cs="Times New Roman"/>
          <w:b w:val="0"/>
          <w:bCs w:val="0"/>
          <w:color w:val="auto"/>
          <w:sz w:val="24"/>
          <w:szCs w:val="24"/>
          <w:highlight w:val="none"/>
          <w:lang w:val="en-US" w:eastAsia="zh-CN" w:bidi="ar-SA"/>
        </w:rPr>
        <w:t>陆上</w:t>
      </w:r>
      <w:r>
        <w:rPr>
          <w:rFonts w:hint="default" w:cs="Times New Roman"/>
          <w:b w:val="0"/>
          <w:bCs w:val="0"/>
          <w:color w:val="auto"/>
          <w:sz w:val="24"/>
          <w:szCs w:val="24"/>
          <w:highlight w:val="none"/>
          <w:lang w:val="en-US" w:eastAsia="zh-CN" w:bidi="ar-SA"/>
        </w:rPr>
        <w:t>滩地整平、外接线路的建设</w:t>
      </w:r>
      <w:r>
        <w:rPr>
          <w:rFonts w:hint="eastAsia" w:cs="Times New Roman"/>
          <w:b w:val="0"/>
          <w:bCs w:val="0"/>
          <w:color w:val="auto"/>
          <w:sz w:val="24"/>
          <w:szCs w:val="24"/>
          <w:highlight w:val="none"/>
          <w:lang w:val="en-US" w:eastAsia="zh-CN" w:bidi="ar-SA"/>
        </w:rPr>
        <w:t>，其他工程均未建设，且未完成环保竣工验收。</w:t>
      </w:r>
    </w:p>
    <w:p w14:paraId="620028A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根据《港口工程建设管理规定》，存在对工程总平面布置进行重大调整，主要包括水域设计水深、陆域生产区主要布置形式等</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改变主要水工建筑物结构型式</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改变主要装卸工艺方案</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由原初步设计审批部门审批，涉及施工图设计重大修改的，还应当由原施工图设计审批部门审批。</w:t>
      </w:r>
    </w:p>
    <w:p w14:paraId="418A7C13">
      <w:pPr>
        <w:keepNext/>
        <w:keepLines/>
        <w:widowControl w:val="0"/>
        <w:numPr>
          <w:ilvl w:val="2"/>
          <w:numId w:val="0"/>
        </w:numPr>
        <w:spacing w:line="360" w:lineRule="auto"/>
        <w:jc w:val="both"/>
        <w:outlineLvl w:val="2"/>
        <w:rPr>
          <w:rFonts w:hint="eastAsia"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w:t>
      </w:r>
      <w:r>
        <w:rPr>
          <w:rFonts w:ascii="Times New Roman" w:hAnsi="Times New Roman" w:eastAsia="黑体" w:cs="Times New Roman"/>
          <w:bCs/>
          <w:color w:val="auto"/>
          <w:kern w:val="2"/>
          <w:sz w:val="28"/>
          <w:szCs w:val="32"/>
          <w:lang w:val="en-US" w:eastAsia="zh-CN" w:bidi="ar-SA"/>
        </w:rPr>
        <w:t>1</w:t>
      </w:r>
      <w:r>
        <w:rPr>
          <w:rFonts w:hint="eastAsia" w:ascii="Times New Roman" w:hAnsi="Times New Roman" w:eastAsia="黑体" w:cs="Times New Roman"/>
          <w:bCs/>
          <w:color w:val="auto"/>
          <w:kern w:val="2"/>
          <w:sz w:val="28"/>
          <w:szCs w:val="32"/>
          <w:lang w:val="en-US" w:eastAsia="zh-CN" w:bidi="ar-SA"/>
        </w:rPr>
        <w:t>.</w:t>
      </w:r>
      <w:r>
        <w:rPr>
          <w:rFonts w:ascii="Times New Roman" w:hAnsi="Times New Roman" w:eastAsia="黑体" w:cs="Times New Roman"/>
          <w:bCs/>
          <w:color w:val="auto"/>
          <w:kern w:val="2"/>
          <w:sz w:val="28"/>
          <w:szCs w:val="32"/>
          <w:lang w:val="en-US" w:eastAsia="zh-CN" w:bidi="ar-SA"/>
        </w:rPr>
        <w:t>2</w:t>
      </w:r>
      <w:r>
        <w:rPr>
          <w:rFonts w:hint="eastAsia" w:ascii="Times New Roman" w:hAnsi="Times New Roman" w:eastAsia="黑体" w:cs="Times New Roman"/>
          <w:bCs/>
          <w:color w:val="auto"/>
          <w:kern w:val="2"/>
          <w:sz w:val="28"/>
          <w:szCs w:val="32"/>
          <w:lang w:val="en-US" w:eastAsia="zh-CN" w:bidi="ar-SA"/>
        </w:rPr>
        <w:t>原项目工程内容</w:t>
      </w:r>
    </w:p>
    <w:p w14:paraId="0BA05263">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原项目主要功能为煤炭出口业务，无化工产品的进出口业务；码头设计年吞吐量80万吨，主要船型按500吨级设计（兼顾1000吨级）。码头岸线总长202m，占地约13333.4m</w:t>
      </w:r>
      <w:r>
        <w:rPr>
          <w:rFonts w:ascii="Times New Roman" w:hAnsi="Times New Roman" w:eastAsia="宋体" w:cs="Times New Roman"/>
          <w:color w:val="auto"/>
          <w:sz w:val="24"/>
          <w:szCs w:val="24"/>
          <w:vertAlign w:val="superscript"/>
        </w:rPr>
        <w:t>2</w:t>
      </w:r>
      <w:r>
        <w:rPr>
          <w:rFonts w:hint="eastAsia" w:ascii="Times New Roman" w:hAnsi="Times New Roman" w:eastAsia="宋体" w:cs="Times New Roman"/>
          <w:color w:val="auto"/>
          <w:sz w:val="24"/>
          <w:szCs w:val="24"/>
        </w:rPr>
        <w:t>，主要建有高桩架式泊位2个、堆场、管理用房等，项目主要工程内容及规模见下：</w:t>
      </w:r>
    </w:p>
    <w:p w14:paraId="0EDB1DF0">
      <w:pPr>
        <w:spacing w:line="400" w:lineRule="exact"/>
        <w:ind w:firstLine="480" w:firstLineChars="200"/>
        <w:jc w:val="center"/>
        <w:rPr>
          <w:rFonts w:ascii="Times New Roman" w:hAnsi="Times New Roman" w:eastAsia="黑体" w:cs="Times New Roman"/>
          <w:color w:val="auto"/>
          <w:sz w:val="24"/>
        </w:rPr>
      </w:pPr>
      <w:r>
        <w:rPr>
          <w:rFonts w:hint="eastAsia" w:ascii="Times New Roman" w:hAnsi="Times New Roman" w:eastAsia="黑体" w:cs="Times New Roman"/>
          <w:color w:val="auto"/>
          <w:sz w:val="24"/>
        </w:rPr>
        <w:t>表3</w:t>
      </w:r>
      <w:r>
        <w:rPr>
          <w:rFonts w:ascii="Times New Roman" w:hAnsi="Times New Roman" w:eastAsia="黑体" w:cs="Times New Roman"/>
          <w:color w:val="auto"/>
          <w:sz w:val="24"/>
        </w:rPr>
        <w:t>.1-</w:t>
      </w:r>
      <w:r>
        <w:rPr>
          <w:rFonts w:hint="eastAsia" w:eastAsia="黑体" w:cs="Times New Roman"/>
          <w:color w:val="auto"/>
          <w:sz w:val="24"/>
          <w:lang w:val="en-US" w:eastAsia="zh-CN"/>
        </w:rPr>
        <w:t>2</w:t>
      </w:r>
      <w:r>
        <w:rPr>
          <w:rFonts w:ascii="Times New Roman" w:hAnsi="Times New Roman" w:eastAsia="黑体" w:cs="Times New Roman"/>
          <w:color w:val="auto"/>
          <w:sz w:val="24"/>
        </w:rPr>
        <w:t xml:space="preserve"> </w:t>
      </w:r>
      <w:r>
        <w:rPr>
          <w:rFonts w:hint="eastAsia" w:ascii="Times New Roman" w:hAnsi="Times New Roman" w:eastAsia="黑体" w:cs="Times New Roman"/>
          <w:color w:val="auto"/>
          <w:sz w:val="24"/>
        </w:rPr>
        <w:t>原项目主要工程内容及规模</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273"/>
        <w:gridCol w:w="1896"/>
        <w:gridCol w:w="4734"/>
      </w:tblGrid>
      <w:tr w14:paraId="3AC419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noWrap w:val="0"/>
            <w:vAlign w:val="center"/>
          </w:tcPr>
          <w:p w14:paraId="6B1814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工程类别</w:t>
            </w:r>
          </w:p>
        </w:tc>
        <w:tc>
          <w:tcPr>
            <w:tcW w:w="3169" w:type="dxa"/>
            <w:gridSpan w:val="2"/>
            <w:noWrap w:val="0"/>
            <w:vAlign w:val="center"/>
          </w:tcPr>
          <w:p w14:paraId="4F9B48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工程名称</w:t>
            </w:r>
          </w:p>
        </w:tc>
        <w:tc>
          <w:tcPr>
            <w:tcW w:w="4734" w:type="dxa"/>
            <w:noWrap w:val="0"/>
            <w:vAlign w:val="center"/>
          </w:tcPr>
          <w:p w14:paraId="0A0587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工程内容及规模</w:t>
            </w:r>
          </w:p>
        </w:tc>
      </w:tr>
      <w:tr w14:paraId="1CFF4B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restart"/>
            <w:noWrap w:val="0"/>
            <w:vAlign w:val="center"/>
          </w:tcPr>
          <w:p w14:paraId="7E40C7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主体工程</w:t>
            </w:r>
          </w:p>
        </w:tc>
        <w:tc>
          <w:tcPr>
            <w:tcW w:w="1273" w:type="dxa"/>
            <w:vMerge w:val="restart"/>
            <w:noWrap w:val="0"/>
            <w:vAlign w:val="center"/>
          </w:tcPr>
          <w:p w14:paraId="7242D4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码头</w:t>
            </w:r>
          </w:p>
        </w:tc>
        <w:tc>
          <w:tcPr>
            <w:tcW w:w="1896" w:type="dxa"/>
            <w:noWrap w:val="0"/>
            <w:vAlign w:val="center"/>
          </w:tcPr>
          <w:p w14:paraId="4F58F4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泊位</w:t>
            </w:r>
          </w:p>
        </w:tc>
        <w:tc>
          <w:tcPr>
            <w:tcW w:w="4734" w:type="dxa"/>
            <w:noWrap w:val="0"/>
            <w:vAlign w:val="center"/>
          </w:tcPr>
          <w:p w14:paraId="5AE2FA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单独布置2个2</w:t>
            </w:r>
            <w:r>
              <w:rPr>
                <w:rFonts w:hint="default" w:ascii="Times New Roman" w:hAnsi="Times New Roman" w:eastAsia="宋体" w:cs="Times New Roman"/>
                <w:color w:val="auto"/>
              </w:rPr>
              <w:t>4.0</w:t>
            </w:r>
            <w:r>
              <w:rPr>
                <w:rFonts w:hint="eastAsia" w:ascii="Times New Roman" w:hAnsi="Times New Roman" w:eastAsia="宋体" w:cs="Times New Roman"/>
                <w:color w:val="auto"/>
              </w:rPr>
              <w:t>×</w:t>
            </w:r>
            <w:r>
              <w:rPr>
                <w:rFonts w:hint="default" w:ascii="Times New Roman" w:hAnsi="Times New Roman" w:eastAsia="宋体" w:cs="Times New Roman"/>
                <w:color w:val="auto"/>
              </w:rPr>
              <w:t>12.0</w:t>
            </w:r>
            <w:r>
              <w:rPr>
                <w:rFonts w:hint="eastAsia" w:ascii="Times New Roman" w:hAnsi="Times New Roman" w:eastAsia="宋体" w:cs="Times New Roman"/>
                <w:color w:val="auto"/>
              </w:rPr>
              <w:t>泊位（5</w:t>
            </w:r>
            <w:r>
              <w:rPr>
                <w:rFonts w:hint="default" w:ascii="Times New Roman" w:hAnsi="Times New Roman" w:eastAsia="宋体" w:cs="Times New Roman"/>
                <w:color w:val="auto"/>
              </w:rPr>
              <w:t>00</w:t>
            </w:r>
            <w:r>
              <w:rPr>
                <w:rFonts w:hint="eastAsia" w:ascii="Times New Roman" w:hAnsi="Times New Roman" w:eastAsia="宋体" w:cs="Times New Roman"/>
                <w:color w:val="auto"/>
              </w:rPr>
              <w:t>吨级设计）</w:t>
            </w:r>
          </w:p>
        </w:tc>
      </w:tr>
      <w:tr w14:paraId="5D6B40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continue"/>
            <w:noWrap w:val="0"/>
            <w:vAlign w:val="center"/>
          </w:tcPr>
          <w:p w14:paraId="1BB983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1273" w:type="dxa"/>
            <w:vMerge w:val="continue"/>
            <w:noWrap w:val="0"/>
            <w:vAlign w:val="center"/>
          </w:tcPr>
          <w:p w14:paraId="0FFDAE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1896" w:type="dxa"/>
            <w:noWrap w:val="0"/>
            <w:vAlign w:val="center"/>
          </w:tcPr>
          <w:p w14:paraId="2A9B8B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设计水位</w:t>
            </w:r>
          </w:p>
        </w:tc>
        <w:tc>
          <w:tcPr>
            <w:tcW w:w="4734" w:type="dxa"/>
            <w:noWrap w:val="0"/>
            <w:vAlign w:val="center"/>
          </w:tcPr>
          <w:p w14:paraId="6A2562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设计高水位1</w:t>
            </w:r>
            <w:r>
              <w:rPr>
                <w:rFonts w:hint="default" w:ascii="Times New Roman" w:hAnsi="Times New Roman" w:eastAsia="宋体" w:cs="Times New Roman"/>
                <w:color w:val="auto"/>
              </w:rPr>
              <w:t>9.00</w:t>
            </w:r>
            <w:r>
              <w:rPr>
                <w:rFonts w:hint="eastAsia" w:ascii="Times New Roman" w:hAnsi="Times New Roman" w:eastAsia="宋体" w:cs="Times New Roman"/>
                <w:color w:val="auto"/>
              </w:rPr>
              <w:t>m（低水位1</w:t>
            </w:r>
            <w:r>
              <w:rPr>
                <w:rFonts w:hint="default" w:ascii="Times New Roman" w:hAnsi="Times New Roman" w:eastAsia="宋体" w:cs="Times New Roman"/>
                <w:color w:val="auto"/>
              </w:rPr>
              <w:t>5.71</w:t>
            </w:r>
            <w:r>
              <w:rPr>
                <w:rFonts w:hint="eastAsia" w:ascii="Times New Roman" w:hAnsi="Times New Roman" w:eastAsia="宋体" w:cs="Times New Roman"/>
                <w:color w:val="auto"/>
              </w:rPr>
              <w:t>m）</w:t>
            </w:r>
          </w:p>
        </w:tc>
      </w:tr>
      <w:tr w14:paraId="59F4E5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continue"/>
            <w:noWrap w:val="0"/>
            <w:vAlign w:val="center"/>
          </w:tcPr>
          <w:p w14:paraId="3C3F95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1273" w:type="dxa"/>
            <w:vMerge w:val="continue"/>
            <w:noWrap w:val="0"/>
            <w:vAlign w:val="center"/>
          </w:tcPr>
          <w:p w14:paraId="12C87A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1896" w:type="dxa"/>
            <w:noWrap w:val="0"/>
            <w:vAlign w:val="center"/>
          </w:tcPr>
          <w:p w14:paraId="2F97D3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设计高程</w:t>
            </w:r>
          </w:p>
        </w:tc>
        <w:tc>
          <w:tcPr>
            <w:tcW w:w="4734" w:type="dxa"/>
            <w:noWrap w:val="0"/>
            <w:vAlign w:val="center"/>
          </w:tcPr>
          <w:p w14:paraId="25AD51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码头顶高程2</w:t>
            </w:r>
            <w:r>
              <w:rPr>
                <w:rFonts w:hint="default" w:ascii="Times New Roman" w:hAnsi="Times New Roman" w:eastAsia="宋体" w:cs="Times New Roman"/>
                <w:color w:val="auto"/>
              </w:rPr>
              <w:t>0.5</w:t>
            </w:r>
            <w:r>
              <w:rPr>
                <w:rFonts w:hint="eastAsia" w:ascii="Times New Roman" w:hAnsi="Times New Roman" w:eastAsia="宋体" w:cs="Times New Roman"/>
                <w:color w:val="auto"/>
              </w:rPr>
              <w:t>m，陆域高程1</w:t>
            </w:r>
            <w:r>
              <w:rPr>
                <w:rFonts w:hint="default" w:ascii="Times New Roman" w:hAnsi="Times New Roman" w:eastAsia="宋体" w:cs="Times New Roman"/>
                <w:color w:val="auto"/>
              </w:rPr>
              <w:t>9.5</w:t>
            </w:r>
            <w:r>
              <w:rPr>
                <w:rFonts w:hint="eastAsia" w:ascii="Times New Roman" w:hAnsi="Times New Roman" w:eastAsia="宋体" w:cs="Times New Roman"/>
                <w:color w:val="auto"/>
              </w:rPr>
              <w:t>m，港池底高程1</w:t>
            </w:r>
            <w:r>
              <w:rPr>
                <w:rFonts w:hint="default" w:ascii="Times New Roman" w:hAnsi="Times New Roman" w:eastAsia="宋体" w:cs="Times New Roman"/>
                <w:color w:val="auto"/>
              </w:rPr>
              <w:t>3.21</w:t>
            </w:r>
            <w:r>
              <w:rPr>
                <w:rFonts w:hint="eastAsia" w:ascii="Times New Roman" w:hAnsi="Times New Roman" w:eastAsia="宋体" w:cs="Times New Roman"/>
                <w:color w:val="auto"/>
              </w:rPr>
              <w:t>m</w:t>
            </w:r>
          </w:p>
        </w:tc>
      </w:tr>
      <w:tr w14:paraId="33EEDA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continue"/>
            <w:noWrap w:val="0"/>
            <w:vAlign w:val="center"/>
          </w:tcPr>
          <w:p w14:paraId="2F69F2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1273" w:type="dxa"/>
            <w:vMerge w:val="continue"/>
            <w:noWrap w:val="0"/>
            <w:vAlign w:val="center"/>
          </w:tcPr>
          <w:p w14:paraId="1831B5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1896" w:type="dxa"/>
            <w:vMerge w:val="restart"/>
            <w:noWrap w:val="0"/>
            <w:vAlign w:val="center"/>
          </w:tcPr>
          <w:p w14:paraId="2A516C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设计船型</w:t>
            </w:r>
          </w:p>
        </w:tc>
        <w:tc>
          <w:tcPr>
            <w:tcW w:w="4734" w:type="dxa"/>
            <w:noWrap w:val="0"/>
            <w:vAlign w:val="center"/>
          </w:tcPr>
          <w:p w14:paraId="1E69E27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5</w:t>
            </w:r>
            <w:r>
              <w:rPr>
                <w:rFonts w:hint="default" w:ascii="Times New Roman" w:hAnsi="Times New Roman" w:eastAsia="宋体" w:cs="Times New Roman"/>
                <w:color w:val="auto"/>
              </w:rPr>
              <w:t>00</w:t>
            </w:r>
            <w:r>
              <w:rPr>
                <w:rFonts w:hint="eastAsia" w:ascii="Times New Roman" w:hAnsi="Times New Roman" w:eastAsia="宋体" w:cs="Times New Roman"/>
                <w:color w:val="auto"/>
              </w:rPr>
              <w:t>吨级货船：6</w:t>
            </w:r>
            <w:r>
              <w:rPr>
                <w:rFonts w:hint="default" w:ascii="Times New Roman" w:hAnsi="Times New Roman" w:eastAsia="宋体" w:cs="Times New Roman"/>
                <w:color w:val="auto"/>
              </w:rPr>
              <w:t>7.5</w:t>
            </w:r>
            <w:r>
              <w:rPr>
                <w:rFonts w:hint="eastAsia" w:ascii="Times New Roman" w:hAnsi="Times New Roman" w:eastAsia="宋体" w:cs="Times New Roman"/>
                <w:color w:val="auto"/>
              </w:rPr>
              <w:t>×</w:t>
            </w:r>
            <w:r>
              <w:rPr>
                <w:rFonts w:hint="default" w:ascii="Times New Roman" w:hAnsi="Times New Roman" w:eastAsia="宋体" w:cs="Times New Roman"/>
                <w:color w:val="auto"/>
              </w:rPr>
              <w:t>10.8</w:t>
            </w:r>
            <w:r>
              <w:rPr>
                <w:rFonts w:hint="eastAsia" w:ascii="Times New Roman" w:hAnsi="Times New Roman" w:eastAsia="宋体" w:cs="Times New Roman"/>
                <w:color w:val="auto"/>
              </w:rPr>
              <w:t>×</w:t>
            </w:r>
            <w:r>
              <w:rPr>
                <w:rFonts w:hint="default" w:ascii="Times New Roman" w:hAnsi="Times New Roman" w:eastAsia="宋体" w:cs="Times New Roman"/>
                <w:color w:val="auto"/>
              </w:rPr>
              <w:t>1.6</w:t>
            </w:r>
            <w:r>
              <w:rPr>
                <w:rFonts w:hint="eastAsia" w:ascii="Times New Roman" w:hAnsi="Times New Roman" w:eastAsia="宋体" w:cs="Times New Roman"/>
                <w:color w:val="auto"/>
              </w:rPr>
              <w:t>m</w:t>
            </w:r>
          </w:p>
          <w:p w14:paraId="2376FC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default" w:ascii="Times New Roman" w:hAnsi="Times New Roman" w:eastAsia="宋体" w:cs="Times New Roman"/>
                <w:color w:val="auto"/>
              </w:rPr>
              <w:t>45.0</w:t>
            </w:r>
            <w:r>
              <w:rPr>
                <w:rFonts w:hint="eastAsia" w:ascii="Times New Roman" w:hAnsi="Times New Roman" w:eastAsia="宋体" w:cs="Times New Roman"/>
                <w:color w:val="auto"/>
              </w:rPr>
              <w:t>×</w:t>
            </w:r>
            <w:r>
              <w:rPr>
                <w:rFonts w:hint="default" w:ascii="Times New Roman" w:hAnsi="Times New Roman" w:eastAsia="宋体" w:cs="Times New Roman"/>
                <w:color w:val="auto"/>
              </w:rPr>
              <w:t>7.3</w:t>
            </w:r>
            <w:r>
              <w:rPr>
                <w:rFonts w:hint="eastAsia" w:ascii="Times New Roman" w:hAnsi="Times New Roman" w:eastAsia="宋体" w:cs="Times New Roman"/>
                <w:color w:val="auto"/>
              </w:rPr>
              <w:t>×</w:t>
            </w:r>
            <w:r>
              <w:rPr>
                <w:rFonts w:hint="default" w:ascii="Times New Roman" w:hAnsi="Times New Roman" w:eastAsia="宋体" w:cs="Times New Roman"/>
                <w:color w:val="auto"/>
              </w:rPr>
              <w:t>1.9</w:t>
            </w:r>
            <w:r>
              <w:rPr>
                <w:rFonts w:hint="eastAsia" w:ascii="Times New Roman" w:hAnsi="Times New Roman" w:eastAsia="宋体" w:cs="Times New Roman"/>
                <w:color w:val="auto"/>
              </w:rPr>
              <w:t>m</w:t>
            </w:r>
          </w:p>
        </w:tc>
      </w:tr>
      <w:tr w14:paraId="6A2B58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continue"/>
            <w:noWrap w:val="0"/>
            <w:vAlign w:val="center"/>
          </w:tcPr>
          <w:p w14:paraId="3495F6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1273" w:type="dxa"/>
            <w:vMerge w:val="continue"/>
            <w:noWrap w:val="0"/>
            <w:vAlign w:val="center"/>
          </w:tcPr>
          <w:p w14:paraId="285BDB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1896" w:type="dxa"/>
            <w:vMerge w:val="continue"/>
            <w:noWrap w:val="0"/>
            <w:vAlign w:val="center"/>
          </w:tcPr>
          <w:p w14:paraId="5B83D4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4734" w:type="dxa"/>
            <w:noWrap w:val="0"/>
            <w:vAlign w:val="center"/>
          </w:tcPr>
          <w:p w14:paraId="516BE5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100</w:t>
            </w:r>
            <w:r>
              <w:rPr>
                <w:rFonts w:hint="eastAsia" w:ascii="Times New Roman" w:hAnsi="Times New Roman" w:eastAsia="宋体" w:cs="Times New Roman"/>
                <w:color w:val="auto"/>
              </w:rPr>
              <w:t>吨级货船：</w:t>
            </w:r>
            <w:r>
              <w:rPr>
                <w:rFonts w:hint="default" w:ascii="Times New Roman" w:hAnsi="Times New Roman" w:eastAsia="宋体" w:cs="Times New Roman"/>
                <w:color w:val="auto"/>
              </w:rPr>
              <w:t>85</w:t>
            </w:r>
            <w:r>
              <w:rPr>
                <w:rFonts w:hint="eastAsia" w:ascii="Times New Roman" w:hAnsi="Times New Roman" w:eastAsia="宋体" w:cs="Times New Roman"/>
                <w:color w:val="auto"/>
              </w:rPr>
              <w:t>×</w:t>
            </w:r>
            <w:r>
              <w:rPr>
                <w:rFonts w:hint="default" w:ascii="Times New Roman" w:hAnsi="Times New Roman" w:eastAsia="宋体" w:cs="Times New Roman"/>
                <w:color w:val="auto"/>
              </w:rPr>
              <w:t>10.8</w:t>
            </w:r>
            <w:r>
              <w:rPr>
                <w:rFonts w:hint="eastAsia" w:ascii="Times New Roman" w:hAnsi="Times New Roman" w:eastAsia="宋体" w:cs="Times New Roman"/>
                <w:color w:val="auto"/>
              </w:rPr>
              <w:t>×</w:t>
            </w:r>
            <w:r>
              <w:rPr>
                <w:rFonts w:hint="default" w:ascii="Times New Roman" w:hAnsi="Times New Roman" w:eastAsia="宋体" w:cs="Times New Roman"/>
                <w:color w:val="auto"/>
              </w:rPr>
              <w:t>2.0</w:t>
            </w:r>
            <w:r>
              <w:rPr>
                <w:rFonts w:hint="eastAsia" w:ascii="Times New Roman" w:hAnsi="Times New Roman" w:eastAsia="宋体" w:cs="Times New Roman"/>
                <w:color w:val="auto"/>
              </w:rPr>
              <w:t>m</w:t>
            </w:r>
          </w:p>
          <w:p w14:paraId="01DF6B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（兼顾船型）</w:t>
            </w:r>
            <w:r>
              <w:rPr>
                <w:rFonts w:hint="default" w:ascii="Times New Roman" w:hAnsi="Times New Roman" w:eastAsia="宋体" w:cs="Times New Roman"/>
                <w:color w:val="auto"/>
              </w:rPr>
              <w:t>80</w:t>
            </w:r>
            <w:r>
              <w:rPr>
                <w:rFonts w:hint="eastAsia" w:ascii="Times New Roman" w:hAnsi="Times New Roman" w:eastAsia="宋体" w:cs="Times New Roman"/>
                <w:color w:val="auto"/>
              </w:rPr>
              <w:t>×</w:t>
            </w:r>
            <w:r>
              <w:rPr>
                <w:rFonts w:hint="default" w:ascii="Times New Roman" w:hAnsi="Times New Roman" w:eastAsia="宋体" w:cs="Times New Roman"/>
                <w:color w:val="auto"/>
              </w:rPr>
              <w:t>10.8</w:t>
            </w:r>
            <w:r>
              <w:rPr>
                <w:rFonts w:hint="eastAsia" w:ascii="Times New Roman" w:hAnsi="Times New Roman" w:eastAsia="宋体" w:cs="Times New Roman"/>
                <w:color w:val="auto"/>
              </w:rPr>
              <w:t>×</w:t>
            </w:r>
            <w:r>
              <w:rPr>
                <w:rFonts w:hint="default" w:ascii="Times New Roman" w:hAnsi="Times New Roman" w:eastAsia="宋体" w:cs="Times New Roman"/>
                <w:color w:val="auto"/>
              </w:rPr>
              <w:t>2.0</w:t>
            </w:r>
            <w:r>
              <w:rPr>
                <w:rFonts w:hint="eastAsia" w:ascii="Times New Roman" w:hAnsi="Times New Roman" w:eastAsia="宋体" w:cs="Times New Roman"/>
                <w:color w:val="auto"/>
              </w:rPr>
              <w:t>m</w:t>
            </w:r>
          </w:p>
        </w:tc>
      </w:tr>
      <w:tr w14:paraId="42DEEB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restart"/>
            <w:noWrap w:val="0"/>
            <w:vAlign w:val="center"/>
          </w:tcPr>
          <w:p w14:paraId="270354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辅助工程</w:t>
            </w:r>
          </w:p>
        </w:tc>
        <w:tc>
          <w:tcPr>
            <w:tcW w:w="3169" w:type="dxa"/>
            <w:gridSpan w:val="2"/>
            <w:noWrap w:val="0"/>
            <w:vAlign w:val="center"/>
          </w:tcPr>
          <w:p w14:paraId="5F9DEC2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货物装卸</w:t>
            </w:r>
          </w:p>
        </w:tc>
        <w:tc>
          <w:tcPr>
            <w:tcW w:w="4734" w:type="dxa"/>
            <w:noWrap w:val="0"/>
            <w:vAlign w:val="center"/>
          </w:tcPr>
          <w:p w14:paraId="60D00D8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煤炭由装载机输送至码头</w:t>
            </w:r>
          </w:p>
        </w:tc>
      </w:tr>
      <w:tr w14:paraId="3E7957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continue"/>
            <w:noWrap w:val="0"/>
            <w:vAlign w:val="center"/>
          </w:tcPr>
          <w:p w14:paraId="1A8682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3169" w:type="dxa"/>
            <w:gridSpan w:val="2"/>
            <w:noWrap w:val="0"/>
            <w:vAlign w:val="center"/>
          </w:tcPr>
          <w:p w14:paraId="331FFD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自来水管网</w:t>
            </w:r>
          </w:p>
        </w:tc>
        <w:tc>
          <w:tcPr>
            <w:tcW w:w="4734" w:type="dxa"/>
            <w:vMerge w:val="restart"/>
            <w:noWrap w:val="0"/>
            <w:vAlign w:val="center"/>
          </w:tcPr>
          <w:p w14:paraId="50BED8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当地自来水管网、电网接入</w:t>
            </w:r>
          </w:p>
        </w:tc>
      </w:tr>
      <w:tr w14:paraId="32E6FB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continue"/>
            <w:noWrap w:val="0"/>
            <w:vAlign w:val="center"/>
          </w:tcPr>
          <w:p w14:paraId="751ACC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3169" w:type="dxa"/>
            <w:gridSpan w:val="2"/>
            <w:noWrap w:val="0"/>
            <w:vAlign w:val="center"/>
          </w:tcPr>
          <w:p w14:paraId="3B24B0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配电房</w:t>
            </w:r>
          </w:p>
        </w:tc>
        <w:tc>
          <w:tcPr>
            <w:tcW w:w="4734" w:type="dxa"/>
            <w:vMerge w:val="continue"/>
            <w:noWrap w:val="0"/>
            <w:vAlign w:val="center"/>
          </w:tcPr>
          <w:p w14:paraId="791340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r>
      <w:tr w14:paraId="028BCC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continue"/>
            <w:noWrap w:val="0"/>
            <w:vAlign w:val="center"/>
          </w:tcPr>
          <w:p w14:paraId="643E44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3169" w:type="dxa"/>
            <w:gridSpan w:val="2"/>
            <w:noWrap w:val="0"/>
            <w:vAlign w:val="center"/>
          </w:tcPr>
          <w:p w14:paraId="3B8F7F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堆场</w:t>
            </w:r>
          </w:p>
        </w:tc>
        <w:tc>
          <w:tcPr>
            <w:tcW w:w="4734" w:type="dxa"/>
            <w:noWrap w:val="0"/>
            <w:vAlign w:val="center"/>
          </w:tcPr>
          <w:p w14:paraId="7496CD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堆场面积6</w:t>
            </w:r>
            <w:r>
              <w:rPr>
                <w:rFonts w:hint="default" w:ascii="Times New Roman" w:hAnsi="Times New Roman" w:eastAsia="宋体" w:cs="Times New Roman"/>
                <w:color w:val="auto"/>
              </w:rPr>
              <w:t>700</w:t>
            </w:r>
            <w:r>
              <w:rPr>
                <w:rFonts w:hint="eastAsia" w:ascii="Times New Roman" w:hAnsi="Times New Roman" w:eastAsia="宋体" w:cs="Times New Roman"/>
                <w:color w:val="auto"/>
              </w:rPr>
              <w:t>m</w:t>
            </w:r>
            <w:r>
              <w:rPr>
                <w:rFonts w:hint="default" w:ascii="Times New Roman" w:hAnsi="Times New Roman" w:eastAsia="宋体" w:cs="Times New Roman"/>
                <w:color w:val="auto"/>
                <w:vertAlign w:val="superscript"/>
              </w:rPr>
              <w:t>2</w:t>
            </w:r>
          </w:p>
        </w:tc>
      </w:tr>
      <w:tr w14:paraId="6BA999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noWrap w:val="0"/>
            <w:vAlign w:val="center"/>
          </w:tcPr>
          <w:p w14:paraId="57F805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公用工程</w:t>
            </w:r>
          </w:p>
        </w:tc>
        <w:tc>
          <w:tcPr>
            <w:tcW w:w="3169" w:type="dxa"/>
            <w:gridSpan w:val="2"/>
            <w:noWrap w:val="0"/>
            <w:vAlign w:val="center"/>
          </w:tcPr>
          <w:p w14:paraId="7614321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管理用房</w:t>
            </w:r>
          </w:p>
        </w:tc>
        <w:tc>
          <w:tcPr>
            <w:tcW w:w="4734" w:type="dxa"/>
            <w:noWrap w:val="0"/>
            <w:vAlign w:val="center"/>
          </w:tcPr>
          <w:p w14:paraId="0C52E5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车载式管理房，建筑面积1</w:t>
            </w:r>
            <w:r>
              <w:rPr>
                <w:rFonts w:hint="default" w:ascii="Times New Roman" w:hAnsi="Times New Roman" w:eastAsia="宋体" w:cs="Times New Roman"/>
                <w:color w:val="auto"/>
              </w:rPr>
              <w:t>80</w:t>
            </w:r>
            <w:r>
              <w:rPr>
                <w:rFonts w:hint="eastAsia" w:ascii="Times New Roman" w:hAnsi="Times New Roman" w:eastAsia="宋体" w:cs="Times New Roman"/>
                <w:color w:val="auto"/>
              </w:rPr>
              <w:t>m</w:t>
            </w:r>
            <w:r>
              <w:rPr>
                <w:rFonts w:hint="default" w:ascii="Times New Roman" w:hAnsi="Times New Roman" w:eastAsia="宋体" w:cs="Times New Roman"/>
                <w:color w:val="auto"/>
                <w:vertAlign w:val="superscript"/>
              </w:rPr>
              <w:t>2</w:t>
            </w:r>
          </w:p>
        </w:tc>
      </w:tr>
      <w:tr w14:paraId="315108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restart"/>
            <w:noWrap w:val="0"/>
            <w:vAlign w:val="center"/>
          </w:tcPr>
          <w:p w14:paraId="32B9C7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环保工程</w:t>
            </w:r>
          </w:p>
        </w:tc>
        <w:tc>
          <w:tcPr>
            <w:tcW w:w="3169" w:type="dxa"/>
            <w:gridSpan w:val="2"/>
            <w:noWrap w:val="0"/>
            <w:vAlign w:val="center"/>
          </w:tcPr>
          <w:p w14:paraId="59ACD0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港池疏浚</w:t>
            </w:r>
          </w:p>
        </w:tc>
        <w:tc>
          <w:tcPr>
            <w:tcW w:w="4734" w:type="dxa"/>
            <w:noWrap w:val="0"/>
            <w:vAlign w:val="center"/>
          </w:tcPr>
          <w:p w14:paraId="4AAA1B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沉淀池，规格2×</w:t>
            </w:r>
            <w:r>
              <w:rPr>
                <w:rFonts w:hint="default" w:ascii="Times New Roman" w:hAnsi="Times New Roman" w:eastAsia="宋体" w:cs="Times New Roman"/>
                <w:color w:val="auto"/>
              </w:rPr>
              <w:t>2</w:t>
            </w:r>
            <w:r>
              <w:rPr>
                <w:rFonts w:hint="eastAsia" w:ascii="Times New Roman" w:hAnsi="Times New Roman" w:eastAsia="宋体" w:cs="Times New Roman"/>
                <w:color w:val="auto"/>
              </w:rPr>
              <w:t>×</w:t>
            </w:r>
            <w:r>
              <w:rPr>
                <w:rFonts w:hint="default" w:ascii="Times New Roman" w:hAnsi="Times New Roman" w:eastAsia="宋体" w:cs="Times New Roman"/>
                <w:color w:val="auto"/>
              </w:rPr>
              <w:t>2</w:t>
            </w:r>
            <w:r>
              <w:rPr>
                <w:rFonts w:hint="eastAsia" w:ascii="Times New Roman" w:hAnsi="Times New Roman" w:eastAsia="宋体" w:cs="Times New Roman"/>
                <w:color w:val="auto"/>
              </w:rPr>
              <w:t>m</w:t>
            </w:r>
          </w:p>
        </w:tc>
      </w:tr>
      <w:tr w14:paraId="4F9091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continue"/>
            <w:noWrap w:val="0"/>
            <w:vAlign w:val="center"/>
          </w:tcPr>
          <w:p w14:paraId="5A9832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3169" w:type="dxa"/>
            <w:gridSpan w:val="2"/>
            <w:noWrap w:val="0"/>
            <w:vAlign w:val="center"/>
          </w:tcPr>
          <w:p w14:paraId="694CAF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雨水收集池</w:t>
            </w:r>
          </w:p>
        </w:tc>
        <w:tc>
          <w:tcPr>
            <w:tcW w:w="4734" w:type="dxa"/>
            <w:noWrap w:val="0"/>
            <w:vAlign w:val="center"/>
          </w:tcPr>
          <w:p w14:paraId="250E24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沉淀池，规格2×</w:t>
            </w:r>
            <w:r>
              <w:rPr>
                <w:rFonts w:hint="default" w:ascii="Times New Roman" w:hAnsi="Times New Roman" w:eastAsia="宋体" w:cs="Times New Roman"/>
                <w:color w:val="auto"/>
              </w:rPr>
              <w:t>2</w:t>
            </w:r>
            <w:r>
              <w:rPr>
                <w:rFonts w:hint="eastAsia" w:ascii="Times New Roman" w:hAnsi="Times New Roman" w:eastAsia="宋体" w:cs="Times New Roman"/>
                <w:color w:val="auto"/>
              </w:rPr>
              <w:t>×</w:t>
            </w:r>
            <w:r>
              <w:rPr>
                <w:rFonts w:hint="default" w:ascii="Times New Roman" w:hAnsi="Times New Roman" w:eastAsia="宋体" w:cs="Times New Roman"/>
                <w:color w:val="auto"/>
              </w:rPr>
              <w:t>2</w:t>
            </w:r>
            <w:r>
              <w:rPr>
                <w:rFonts w:hint="eastAsia" w:ascii="Times New Roman" w:hAnsi="Times New Roman" w:eastAsia="宋体" w:cs="Times New Roman"/>
                <w:color w:val="auto"/>
              </w:rPr>
              <w:t>m</w:t>
            </w:r>
          </w:p>
        </w:tc>
      </w:tr>
      <w:tr w14:paraId="6AC855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84" w:type="dxa"/>
            <w:vMerge w:val="continue"/>
            <w:noWrap w:val="0"/>
            <w:vAlign w:val="center"/>
          </w:tcPr>
          <w:p w14:paraId="328443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3169" w:type="dxa"/>
            <w:gridSpan w:val="2"/>
            <w:noWrap w:val="0"/>
            <w:vAlign w:val="center"/>
          </w:tcPr>
          <w:p w14:paraId="7D0D91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废气处理设施</w:t>
            </w:r>
          </w:p>
        </w:tc>
        <w:tc>
          <w:tcPr>
            <w:tcW w:w="4734" w:type="dxa"/>
            <w:noWrap w:val="0"/>
            <w:vAlign w:val="center"/>
          </w:tcPr>
          <w:p w14:paraId="68D8DC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设遮挡墙、定期喷水等</w:t>
            </w:r>
          </w:p>
        </w:tc>
      </w:tr>
    </w:tbl>
    <w:p w14:paraId="76D54B3D">
      <w:pPr>
        <w:keepNext/>
        <w:keepLines/>
        <w:widowControl w:val="0"/>
        <w:numPr>
          <w:ilvl w:val="2"/>
          <w:numId w:val="0"/>
        </w:numPr>
        <w:spacing w:line="360" w:lineRule="auto"/>
        <w:jc w:val="both"/>
        <w:outlineLvl w:val="2"/>
        <w:rPr>
          <w:rFonts w:hint="eastAsia"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w:t>
      </w:r>
      <w:r>
        <w:rPr>
          <w:rFonts w:ascii="Times New Roman" w:hAnsi="Times New Roman" w:eastAsia="黑体" w:cs="Times New Roman"/>
          <w:bCs/>
          <w:color w:val="auto"/>
          <w:kern w:val="2"/>
          <w:sz w:val="28"/>
          <w:szCs w:val="32"/>
          <w:lang w:val="en-US" w:eastAsia="zh-CN" w:bidi="ar-SA"/>
        </w:rPr>
        <w:t>1</w:t>
      </w:r>
      <w:r>
        <w:rPr>
          <w:rFonts w:hint="eastAsia" w:ascii="Times New Roman" w:hAnsi="Times New Roman" w:eastAsia="黑体" w:cs="Times New Roman"/>
          <w:bCs/>
          <w:color w:val="auto"/>
          <w:kern w:val="2"/>
          <w:sz w:val="28"/>
          <w:szCs w:val="32"/>
          <w:lang w:val="en-US" w:eastAsia="zh-CN" w:bidi="ar-SA"/>
        </w:rPr>
        <w:t>.</w:t>
      </w:r>
      <w:r>
        <w:rPr>
          <w:rFonts w:ascii="Times New Roman" w:hAnsi="Times New Roman" w:eastAsia="黑体" w:cs="Times New Roman"/>
          <w:bCs/>
          <w:color w:val="auto"/>
          <w:kern w:val="2"/>
          <w:sz w:val="28"/>
          <w:szCs w:val="32"/>
          <w:lang w:val="en-US" w:eastAsia="zh-CN" w:bidi="ar-SA"/>
        </w:rPr>
        <w:t>3</w:t>
      </w:r>
      <w:r>
        <w:rPr>
          <w:rFonts w:hint="eastAsia" w:ascii="Times New Roman" w:hAnsi="Times New Roman" w:eastAsia="黑体" w:cs="Times New Roman"/>
          <w:bCs/>
          <w:color w:val="auto"/>
          <w:kern w:val="2"/>
          <w:sz w:val="28"/>
          <w:szCs w:val="32"/>
          <w:lang w:val="en-US" w:eastAsia="zh-CN" w:bidi="ar-SA"/>
        </w:rPr>
        <w:t>原项目环评环境保护措施</w:t>
      </w:r>
    </w:p>
    <w:p w14:paraId="115366F8">
      <w:pPr>
        <w:widowControl w:val="0"/>
        <w:spacing w:line="360" w:lineRule="auto"/>
        <w:ind w:firstLine="480"/>
        <w:jc w:val="both"/>
        <w:rPr>
          <w:rFonts w:ascii="Times New Roman" w:hAnsi="Times New Roman" w:eastAsia="宋体" w:cs="宋体"/>
          <w:color w:val="auto"/>
          <w:kern w:val="2"/>
          <w:sz w:val="21"/>
          <w:szCs w:val="20"/>
          <w:lang w:val="en-US" w:eastAsia="zh-CN" w:bidi="ar-SA"/>
        </w:rPr>
      </w:pPr>
      <w:r>
        <w:rPr>
          <w:rFonts w:hint="eastAsia" w:ascii="Times New Roman" w:hAnsi="Times New Roman" w:eastAsia="宋体" w:cs="宋体"/>
          <w:bCs/>
          <w:color w:val="auto"/>
          <w:kern w:val="2"/>
          <w:sz w:val="24"/>
          <w:szCs w:val="20"/>
          <w:lang w:val="en-US" w:eastAsia="zh-CN" w:bidi="ar-SA"/>
        </w:rPr>
        <w:t>《淮南市兴华园贸易发展有限公司淮南兴华园中转码头新建项目环境影响报告表》环境保护措施见下表。</w:t>
      </w:r>
    </w:p>
    <w:p w14:paraId="057388DF">
      <w:pPr>
        <w:spacing w:line="400" w:lineRule="exact"/>
        <w:ind w:firstLine="480" w:firstLineChars="200"/>
        <w:jc w:val="center"/>
        <w:rPr>
          <w:rFonts w:eastAsia="黑体"/>
          <w:color w:val="auto"/>
          <w:sz w:val="24"/>
        </w:rPr>
        <w:sectPr>
          <w:footerReference r:id="rId10" w:type="default"/>
          <w:pgSz w:w="11907" w:h="16840"/>
          <w:pgMar w:top="1440" w:right="1418" w:bottom="1440" w:left="1418" w:header="851" w:footer="992" w:gutter="0"/>
          <w:pgBorders>
            <w:top w:val="none" w:sz="0" w:space="0"/>
            <w:left w:val="none" w:sz="0" w:space="0"/>
            <w:bottom w:val="none" w:sz="0" w:space="0"/>
            <w:right w:val="none" w:sz="0" w:space="0"/>
          </w:pgBorders>
          <w:cols w:space="720" w:num="1"/>
          <w:docGrid w:type="linesAndChars" w:linePitch="312" w:charSpace="0"/>
        </w:sectPr>
      </w:pPr>
    </w:p>
    <w:p w14:paraId="050670E0">
      <w:pPr>
        <w:spacing w:line="400" w:lineRule="exact"/>
        <w:ind w:firstLine="480" w:firstLineChars="200"/>
        <w:jc w:val="center"/>
        <w:rPr>
          <w:rFonts w:ascii="Times New Roman" w:hAnsi="Times New Roman" w:eastAsia="黑体" w:cs="Times New Roman"/>
          <w:color w:val="auto"/>
          <w:sz w:val="24"/>
        </w:rPr>
      </w:pPr>
      <w:r>
        <w:rPr>
          <w:rFonts w:hint="eastAsia" w:ascii="Times New Roman" w:hAnsi="Times New Roman" w:eastAsia="黑体" w:cs="Times New Roman"/>
          <w:color w:val="auto"/>
          <w:sz w:val="24"/>
        </w:rPr>
        <w:t>表3</w:t>
      </w:r>
      <w:r>
        <w:rPr>
          <w:rFonts w:ascii="Times New Roman" w:hAnsi="Times New Roman" w:eastAsia="黑体" w:cs="Times New Roman"/>
          <w:color w:val="auto"/>
          <w:sz w:val="24"/>
        </w:rPr>
        <w:t>.1-</w:t>
      </w:r>
      <w:r>
        <w:rPr>
          <w:rFonts w:hint="eastAsia" w:ascii="Times New Roman" w:hAnsi="Times New Roman" w:eastAsia="黑体" w:cs="Times New Roman"/>
          <w:color w:val="auto"/>
          <w:sz w:val="24"/>
          <w:lang w:val="en-US" w:eastAsia="zh-CN"/>
        </w:rPr>
        <w:t>3</w:t>
      </w:r>
      <w:r>
        <w:rPr>
          <w:rFonts w:ascii="Times New Roman" w:hAnsi="Times New Roman" w:eastAsia="黑体" w:cs="Times New Roman"/>
          <w:color w:val="auto"/>
          <w:sz w:val="24"/>
        </w:rPr>
        <w:t xml:space="preserve"> </w:t>
      </w:r>
      <w:r>
        <w:rPr>
          <w:rFonts w:hint="eastAsia" w:ascii="Times New Roman" w:hAnsi="Times New Roman" w:eastAsia="黑体" w:cs="Times New Roman"/>
          <w:color w:val="auto"/>
          <w:sz w:val="24"/>
        </w:rPr>
        <w:t>原项目环评环境保护措施</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55"/>
        <w:gridCol w:w="703"/>
        <w:gridCol w:w="1129"/>
        <w:gridCol w:w="2309"/>
        <w:gridCol w:w="6768"/>
        <w:gridCol w:w="2212"/>
      </w:tblGrid>
      <w:tr w14:paraId="03435F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72" w:type="pct"/>
            <w:noWrap w:val="0"/>
            <w:vAlign w:val="center"/>
          </w:tcPr>
          <w:p w14:paraId="3CC531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时序</w:t>
            </w:r>
          </w:p>
        </w:tc>
        <w:tc>
          <w:tcPr>
            <w:tcW w:w="646" w:type="pct"/>
            <w:gridSpan w:val="2"/>
            <w:noWrap w:val="0"/>
            <w:vAlign w:val="center"/>
          </w:tcPr>
          <w:p w14:paraId="26A027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类别</w:t>
            </w:r>
          </w:p>
        </w:tc>
        <w:tc>
          <w:tcPr>
            <w:tcW w:w="814" w:type="pct"/>
            <w:noWrap w:val="0"/>
            <w:vAlign w:val="center"/>
          </w:tcPr>
          <w:p w14:paraId="688105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产污环节</w:t>
            </w:r>
          </w:p>
        </w:tc>
        <w:tc>
          <w:tcPr>
            <w:tcW w:w="2386" w:type="pct"/>
            <w:noWrap w:val="0"/>
            <w:vAlign w:val="center"/>
          </w:tcPr>
          <w:p w14:paraId="078E72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rPr>
            </w:pPr>
            <w:r>
              <w:rPr>
                <w:rFonts w:hint="eastAsia" w:ascii="Times New Roman" w:hAnsi="Times New Roman" w:eastAsia="宋体" w:cs="Times New Roman"/>
                <w:b/>
                <w:bCs/>
                <w:color w:val="auto"/>
              </w:rPr>
              <w:t>环境保护措施</w:t>
            </w:r>
          </w:p>
        </w:tc>
        <w:tc>
          <w:tcPr>
            <w:tcW w:w="780" w:type="pct"/>
            <w:noWrap w:val="0"/>
            <w:vAlign w:val="center"/>
          </w:tcPr>
          <w:p w14:paraId="1BB7FE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b/>
                <w:bCs/>
                <w:color w:val="auto"/>
                <w:lang w:val="en-US" w:eastAsia="zh-CN"/>
              </w:rPr>
            </w:pPr>
            <w:r>
              <w:rPr>
                <w:rFonts w:hint="eastAsia" w:ascii="Times New Roman" w:hAnsi="Times New Roman" w:eastAsia="宋体" w:cs="Times New Roman"/>
                <w:b/>
                <w:bCs/>
                <w:color w:val="auto"/>
                <w:lang w:val="en-US" w:eastAsia="zh-CN"/>
              </w:rPr>
              <w:t>备注</w:t>
            </w:r>
          </w:p>
        </w:tc>
      </w:tr>
      <w:tr w14:paraId="482D58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72" w:type="pct"/>
            <w:vMerge w:val="restart"/>
            <w:noWrap w:val="0"/>
            <w:vAlign w:val="center"/>
          </w:tcPr>
          <w:p w14:paraId="006848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施工期</w:t>
            </w:r>
          </w:p>
        </w:tc>
        <w:tc>
          <w:tcPr>
            <w:tcW w:w="646" w:type="pct"/>
            <w:gridSpan w:val="2"/>
            <w:noWrap w:val="0"/>
            <w:vAlign w:val="center"/>
          </w:tcPr>
          <w:p w14:paraId="2BFC18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噪声</w:t>
            </w:r>
          </w:p>
        </w:tc>
        <w:tc>
          <w:tcPr>
            <w:tcW w:w="814" w:type="pct"/>
            <w:noWrap w:val="0"/>
            <w:vAlign w:val="center"/>
          </w:tcPr>
          <w:p w14:paraId="199854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挖掘机、振动碾、振捣器等施工设备</w:t>
            </w:r>
          </w:p>
        </w:tc>
        <w:tc>
          <w:tcPr>
            <w:tcW w:w="2386" w:type="pct"/>
            <w:noWrap w:val="0"/>
            <w:vAlign w:val="center"/>
          </w:tcPr>
          <w:p w14:paraId="4AA34F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应采用低噪声或装有</w:t>
            </w:r>
            <w:r>
              <w:rPr>
                <w:rFonts w:hint="eastAsia" w:cs="Times New Roman"/>
                <w:color w:val="auto"/>
                <w:lang w:eastAsia="zh-CN"/>
              </w:rPr>
              <w:t>消声</w:t>
            </w:r>
            <w:r>
              <w:rPr>
                <w:rFonts w:hint="eastAsia" w:ascii="Times New Roman" w:hAnsi="Times New Roman" w:eastAsia="宋体" w:cs="Times New Roman"/>
                <w:color w:val="auto"/>
              </w:rPr>
              <w:t>装置的机械设备；震动较大的机械设备应使用减震基座降低噪声；尽量选用低噪声车辆；合理布设施工机械，尽量将产噪设备布</w:t>
            </w:r>
            <w:r>
              <w:rPr>
                <w:rFonts w:hint="eastAsia" w:cs="Times New Roman"/>
                <w:color w:val="auto"/>
                <w:lang w:eastAsia="zh-CN"/>
              </w:rPr>
              <w:t>置在</w:t>
            </w:r>
            <w:r>
              <w:rPr>
                <w:rFonts w:hint="eastAsia" w:ascii="Times New Roman" w:hAnsi="Times New Roman" w:eastAsia="宋体" w:cs="Times New Roman"/>
                <w:color w:val="auto"/>
              </w:rPr>
              <w:t>距离居民点较远处，避免夜间施工，设置专人指挥交通，尽量较少鸣号等</w:t>
            </w:r>
          </w:p>
        </w:tc>
        <w:tc>
          <w:tcPr>
            <w:tcW w:w="780" w:type="pct"/>
            <w:vMerge w:val="restart"/>
            <w:noWrap w:val="0"/>
            <w:vAlign w:val="center"/>
          </w:tcPr>
          <w:p w14:paraId="43C0E9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现有工程于</w:t>
            </w:r>
            <w:r>
              <w:rPr>
                <w:rFonts w:hint="default" w:ascii="Times New Roman" w:hAnsi="Times New Roman" w:eastAsia="宋体" w:cs="Times New Roman"/>
                <w:color w:val="auto"/>
              </w:rPr>
              <w:t>2013年开展项目施工，项目</w:t>
            </w:r>
            <w:r>
              <w:rPr>
                <w:rFonts w:hint="eastAsia" w:ascii="Times New Roman" w:hAnsi="Times New Roman" w:eastAsia="宋体" w:cs="Times New Roman"/>
                <w:color w:val="auto"/>
                <w:lang w:val="en-US" w:eastAsia="zh-CN"/>
              </w:rPr>
              <w:t>仅</w:t>
            </w:r>
            <w:r>
              <w:rPr>
                <w:rFonts w:hint="default" w:ascii="Times New Roman" w:hAnsi="Times New Roman" w:eastAsia="宋体" w:cs="Times New Roman"/>
                <w:color w:val="auto"/>
              </w:rPr>
              <w:t>完成</w:t>
            </w:r>
            <w:r>
              <w:rPr>
                <w:rFonts w:hint="eastAsia" w:ascii="Times New Roman" w:hAnsi="Times New Roman" w:eastAsia="宋体" w:cs="Times New Roman"/>
                <w:color w:val="auto"/>
                <w:lang w:val="en-US" w:eastAsia="zh-CN"/>
              </w:rPr>
              <w:t>陆上</w:t>
            </w:r>
            <w:r>
              <w:rPr>
                <w:rFonts w:hint="default" w:ascii="Times New Roman" w:hAnsi="Times New Roman" w:eastAsia="宋体" w:cs="Times New Roman"/>
                <w:color w:val="auto"/>
              </w:rPr>
              <w:t>滩地</w:t>
            </w:r>
            <w:r>
              <w:rPr>
                <w:rFonts w:hint="eastAsia" w:cs="Times New Roman"/>
                <w:color w:val="auto"/>
                <w:lang w:eastAsia="zh-CN"/>
              </w:rPr>
              <w:t>平整</w:t>
            </w:r>
            <w:r>
              <w:rPr>
                <w:rFonts w:hint="default" w:ascii="Times New Roman" w:hAnsi="Times New Roman" w:eastAsia="宋体" w:cs="Times New Roman"/>
                <w:color w:val="auto"/>
              </w:rPr>
              <w:t>、外接线路的建设</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其他工程均未建设</w:t>
            </w:r>
          </w:p>
        </w:tc>
      </w:tr>
      <w:tr w14:paraId="3F426A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72" w:type="pct"/>
            <w:vMerge w:val="continue"/>
            <w:noWrap w:val="0"/>
            <w:vAlign w:val="center"/>
          </w:tcPr>
          <w:p w14:paraId="052E1D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646" w:type="pct"/>
            <w:gridSpan w:val="2"/>
            <w:noWrap w:val="0"/>
            <w:vAlign w:val="center"/>
          </w:tcPr>
          <w:p w14:paraId="19B632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废气</w:t>
            </w:r>
          </w:p>
        </w:tc>
        <w:tc>
          <w:tcPr>
            <w:tcW w:w="814" w:type="pct"/>
            <w:noWrap w:val="0"/>
            <w:vAlign w:val="center"/>
          </w:tcPr>
          <w:p w14:paraId="7D841C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工程开挖、钻孔、砂石筛分、运输车辆等扬尘，施工机械运行、车辆运输燃油废气</w:t>
            </w:r>
          </w:p>
        </w:tc>
        <w:tc>
          <w:tcPr>
            <w:tcW w:w="2386" w:type="pct"/>
            <w:noWrap w:val="0"/>
            <w:vAlign w:val="center"/>
          </w:tcPr>
          <w:p w14:paraId="793A5B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水泥运输密闭，选择排气污染物稳定且能达到国家规定排放标准的施工机械及运输工具，并加强对设备及车辆的维护，采用道路养护、洒水降尘、植物绿化等辅助降尘措施，运输过程中</w:t>
            </w:r>
            <w:r>
              <w:rPr>
                <w:rFonts w:hint="eastAsia" w:cs="Times New Roman"/>
                <w:color w:val="auto"/>
                <w:lang w:eastAsia="zh-CN"/>
              </w:rPr>
              <w:t>途经</w:t>
            </w:r>
            <w:r>
              <w:rPr>
                <w:rFonts w:hint="eastAsia" w:ascii="Times New Roman" w:hAnsi="Times New Roman" w:eastAsia="宋体" w:cs="Times New Roman"/>
                <w:color w:val="auto"/>
              </w:rPr>
              <w:t>居民点尽量控制车速，以尽量降低交通粉尘影响；施工人员须佩戴口罩，防治粉尘对施工人员健康的危害</w:t>
            </w:r>
          </w:p>
        </w:tc>
        <w:tc>
          <w:tcPr>
            <w:tcW w:w="780" w:type="pct"/>
            <w:vMerge w:val="continue"/>
            <w:noWrap w:val="0"/>
            <w:vAlign w:val="center"/>
          </w:tcPr>
          <w:p w14:paraId="6D374A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r>
      <w:tr w14:paraId="794AF4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72" w:type="pct"/>
            <w:vMerge w:val="continue"/>
            <w:noWrap w:val="0"/>
            <w:vAlign w:val="center"/>
          </w:tcPr>
          <w:p w14:paraId="14DAD7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248" w:type="pct"/>
            <w:vMerge w:val="restart"/>
            <w:noWrap w:val="0"/>
            <w:vAlign w:val="center"/>
          </w:tcPr>
          <w:p w14:paraId="1B737B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废水</w:t>
            </w:r>
          </w:p>
        </w:tc>
        <w:tc>
          <w:tcPr>
            <w:tcW w:w="398" w:type="pct"/>
            <w:noWrap w:val="0"/>
            <w:vAlign w:val="center"/>
          </w:tcPr>
          <w:p w14:paraId="1148CC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生产废水</w:t>
            </w:r>
          </w:p>
        </w:tc>
        <w:tc>
          <w:tcPr>
            <w:tcW w:w="814" w:type="pct"/>
            <w:noWrap w:val="0"/>
            <w:vAlign w:val="center"/>
          </w:tcPr>
          <w:p w14:paraId="505427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砂石骨料加工、冲洗、养护等施工作业产生的废水和施工机械跑、冒、滴、漏的污油及露天机械被雨水冲刷产生的油污水</w:t>
            </w:r>
          </w:p>
        </w:tc>
        <w:tc>
          <w:tcPr>
            <w:tcW w:w="2386" w:type="pct"/>
            <w:noWrap w:val="0"/>
            <w:vAlign w:val="center"/>
          </w:tcPr>
          <w:p w14:paraId="60F0B4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经隔油池和沉淀池处理后重复利用，不外排</w:t>
            </w:r>
          </w:p>
        </w:tc>
        <w:tc>
          <w:tcPr>
            <w:tcW w:w="780" w:type="pct"/>
            <w:vMerge w:val="continue"/>
            <w:noWrap w:val="0"/>
            <w:vAlign w:val="center"/>
          </w:tcPr>
          <w:p w14:paraId="740F6E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r>
      <w:tr w14:paraId="6E01E2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72" w:type="pct"/>
            <w:vMerge w:val="continue"/>
            <w:noWrap w:val="0"/>
            <w:vAlign w:val="center"/>
          </w:tcPr>
          <w:p w14:paraId="148A4A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248" w:type="pct"/>
            <w:vMerge w:val="continue"/>
            <w:noWrap w:val="0"/>
            <w:vAlign w:val="center"/>
          </w:tcPr>
          <w:p w14:paraId="79F910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398" w:type="pct"/>
            <w:noWrap w:val="0"/>
            <w:vAlign w:val="center"/>
          </w:tcPr>
          <w:p w14:paraId="13D796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疏浚废水</w:t>
            </w:r>
          </w:p>
        </w:tc>
        <w:tc>
          <w:tcPr>
            <w:tcW w:w="814" w:type="pct"/>
            <w:noWrap w:val="0"/>
            <w:vAlign w:val="center"/>
          </w:tcPr>
          <w:p w14:paraId="5205D5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抓斗式挖泥船疏浚作业</w:t>
            </w:r>
          </w:p>
        </w:tc>
        <w:tc>
          <w:tcPr>
            <w:tcW w:w="2386" w:type="pct"/>
            <w:noWrap w:val="0"/>
            <w:vAlign w:val="center"/>
          </w:tcPr>
          <w:p w14:paraId="0ED245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多级沉砂池并在沉砂池中投加明矾等混凝剂，保证出水S</w:t>
            </w:r>
            <w:r>
              <w:rPr>
                <w:rFonts w:hint="default" w:ascii="Times New Roman" w:hAnsi="Times New Roman" w:eastAsia="宋体" w:cs="Times New Roman"/>
                <w:color w:val="auto"/>
              </w:rPr>
              <w:t>S</w:t>
            </w:r>
            <w:r>
              <w:rPr>
                <w:rFonts w:hint="eastAsia" w:ascii="Times New Roman" w:hAnsi="Times New Roman" w:eastAsia="宋体" w:cs="Times New Roman"/>
                <w:color w:val="auto"/>
              </w:rPr>
              <w:t>浓度满足《污水综合排放标准》（G</w:t>
            </w:r>
            <w:r>
              <w:rPr>
                <w:rFonts w:hint="default" w:ascii="Times New Roman" w:hAnsi="Times New Roman" w:eastAsia="宋体" w:cs="Times New Roman"/>
                <w:color w:val="auto"/>
              </w:rPr>
              <w:t>B8978-1996</w:t>
            </w:r>
            <w:r>
              <w:rPr>
                <w:rFonts w:hint="eastAsia" w:ascii="Times New Roman" w:hAnsi="Times New Roman" w:eastAsia="宋体" w:cs="Times New Roman"/>
                <w:color w:val="auto"/>
              </w:rPr>
              <w:t>）中一级标准7</w:t>
            </w:r>
            <w:r>
              <w:rPr>
                <w:rFonts w:hint="default" w:ascii="Times New Roman" w:hAnsi="Times New Roman" w:eastAsia="宋体" w:cs="Times New Roman"/>
                <w:color w:val="auto"/>
              </w:rPr>
              <w:t>0</w:t>
            </w:r>
            <w:r>
              <w:rPr>
                <w:rFonts w:hint="eastAsia" w:ascii="Times New Roman" w:hAnsi="Times New Roman" w:eastAsia="宋体" w:cs="Times New Roman"/>
                <w:color w:val="auto"/>
              </w:rPr>
              <w:t>mg</w:t>
            </w:r>
            <w:r>
              <w:rPr>
                <w:rFonts w:hint="default" w:ascii="Times New Roman" w:hAnsi="Times New Roman" w:eastAsia="宋体" w:cs="Times New Roman"/>
                <w:color w:val="auto"/>
              </w:rPr>
              <w:t>/L</w:t>
            </w:r>
          </w:p>
        </w:tc>
        <w:tc>
          <w:tcPr>
            <w:tcW w:w="780" w:type="pct"/>
            <w:vMerge w:val="continue"/>
            <w:noWrap w:val="0"/>
            <w:vAlign w:val="center"/>
          </w:tcPr>
          <w:p w14:paraId="20EE2E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r>
      <w:tr w14:paraId="5399B5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72" w:type="pct"/>
            <w:vMerge w:val="continue"/>
            <w:noWrap w:val="0"/>
            <w:vAlign w:val="center"/>
          </w:tcPr>
          <w:p w14:paraId="10805E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248" w:type="pct"/>
            <w:vMerge w:val="continue"/>
            <w:noWrap w:val="0"/>
            <w:vAlign w:val="center"/>
          </w:tcPr>
          <w:p w14:paraId="38FE9D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398" w:type="pct"/>
            <w:noWrap w:val="0"/>
            <w:vAlign w:val="center"/>
          </w:tcPr>
          <w:p w14:paraId="1F4BCA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生活污水</w:t>
            </w:r>
          </w:p>
        </w:tc>
        <w:tc>
          <w:tcPr>
            <w:tcW w:w="814" w:type="pct"/>
            <w:noWrap w:val="0"/>
            <w:vAlign w:val="center"/>
          </w:tcPr>
          <w:p w14:paraId="7EC1FA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施工期员工生活</w:t>
            </w:r>
          </w:p>
        </w:tc>
        <w:tc>
          <w:tcPr>
            <w:tcW w:w="2386" w:type="pct"/>
            <w:noWrap w:val="0"/>
            <w:vAlign w:val="center"/>
          </w:tcPr>
          <w:p w14:paraId="6EB3FB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生活污水经旱厕收集后做农肥，不外排</w:t>
            </w:r>
          </w:p>
        </w:tc>
        <w:tc>
          <w:tcPr>
            <w:tcW w:w="780" w:type="pct"/>
            <w:vMerge w:val="continue"/>
            <w:noWrap w:val="0"/>
            <w:vAlign w:val="center"/>
          </w:tcPr>
          <w:p w14:paraId="2E935F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r>
      <w:tr w14:paraId="437E53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72" w:type="pct"/>
            <w:vMerge w:val="continue"/>
            <w:noWrap w:val="0"/>
            <w:vAlign w:val="center"/>
          </w:tcPr>
          <w:p w14:paraId="6BCBA4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248" w:type="pct"/>
            <w:vMerge w:val="restart"/>
            <w:noWrap w:val="0"/>
            <w:vAlign w:val="center"/>
          </w:tcPr>
          <w:p w14:paraId="65117F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固体废弃物</w:t>
            </w:r>
          </w:p>
        </w:tc>
        <w:tc>
          <w:tcPr>
            <w:tcW w:w="398" w:type="pct"/>
            <w:noWrap w:val="0"/>
            <w:vAlign w:val="center"/>
          </w:tcPr>
          <w:p w14:paraId="373700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工程废渣土</w:t>
            </w:r>
          </w:p>
        </w:tc>
        <w:tc>
          <w:tcPr>
            <w:tcW w:w="814" w:type="pct"/>
            <w:noWrap w:val="0"/>
            <w:vAlign w:val="center"/>
          </w:tcPr>
          <w:p w14:paraId="6D85DE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施工废渣土</w:t>
            </w:r>
          </w:p>
        </w:tc>
        <w:tc>
          <w:tcPr>
            <w:tcW w:w="2386" w:type="pct"/>
            <w:noWrap w:val="0"/>
            <w:vAlign w:val="center"/>
          </w:tcPr>
          <w:p w14:paraId="1F9196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填筑于泊位后方陆域，土方基本平衡</w:t>
            </w:r>
          </w:p>
        </w:tc>
        <w:tc>
          <w:tcPr>
            <w:tcW w:w="780" w:type="pct"/>
            <w:vMerge w:val="continue"/>
            <w:noWrap w:val="0"/>
            <w:vAlign w:val="center"/>
          </w:tcPr>
          <w:p w14:paraId="6B342D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r>
      <w:tr w14:paraId="4C44EC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72" w:type="pct"/>
            <w:vMerge w:val="continue"/>
            <w:noWrap w:val="0"/>
            <w:vAlign w:val="center"/>
          </w:tcPr>
          <w:p w14:paraId="5BAA19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248" w:type="pct"/>
            <w:vMerge w:val="continue"/>
            <w:noWrap w:val="0"/>
            <w:vAlign w:val="center"/>
          </w:tcPr>
          <w:p w14:paraId="35AC2F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398" w:type="pct"/>
            <w:noWrap w:val="0"/>
            <w:vAlign w:val="center"/>
          </w:tcPr>
          <w:p w14:paraId="200E03D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疏浚污泥</w:t>
            </w:r>
          </w:p>
        </w:tc>
        <w:tc>
          <w:tcPr>
            <w:tcW w:w="814" w:type="pct"/>
            <w:noWrap w:val="0"/>
            <w:vAlign w:val="center"/>
          </w:tcPr>
          <w:p w14:paraId="7B5698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疏浚作业</w:t>
            </w:r>
          </w:p>
        </w:tc>
        <w:tc>
          <w:tcPr>
            <w:tcW w:w="2386" w:type="pct"/>
            <w:noWrap w:val="0"/>
            <w:vAlign w:val="center"/>
          </w:tcPr>
          <w:p w14:paraId="18CE4D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废弃泥浆储存于废弃泥浆池内，泥浆池须全部用土工膜进行防渗处理，经自然蒸发干活后，干化后污泥用于</w:t>
            </w:r>
            <w:r>
              <w:rPr>
                <w:rFonts w:hint="eastAsia" w:cs="Times New Roman"/>
                <w:color w:val="auto"/>
                <w:lang w:eastAsia="zh-CN"/>
              </w:rPr>
              <w:t>堤坝</w:t>
            </w:r>
            <w:r>
              <w:rPr>
                <w:rFonts w:hint="eastAsia" w:ascii="Times New Roman" w:hAnsi="Times New Roman" w:eastAsia="宋体" w:cs="Times New Roman"/>
                <w:color w:val="auto"/>
              </w:rPr>
              <w:t>加固</w:t>
            </w:r>
          </w:p>
        </w:tc>
        <w:tc>
          <w:tcPr>
            <w:tcW w:w="780" w:type="pct"/>
            <w:vMerge w:val="continue"/>
            <w:noWrap w:val="0"/>
            <w:vAlign w:val="center"/>
          </w:tcPr>
          <w:p w14:paraId="3290BD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r>
      <w:tr w14:paraId="0E2D27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72" w:type="pct"/>
            <w:vMerge w:val="continue"/>
            <w:noWrap w:val="0"/>
            <w:vAlign w:val="center"/>
          </w:tcPr>
          <w:p w14:paraId="6C0CCD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248" w:type="pct"/>
            <w:vMerge w:val="continue"/>
            <w:noWrap w:val="0"/>
            <w:vAlign w:val="center"/>
          </w:tcPr>
          <w:p w14:paraId="7E034B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398" w:type="pct"/>
            <w:noWrap w:val="0"/>
            <w:vAlign w:val="center"/>
          </w:tcPr>
          <w:p w14:paraId="5206B3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生活垃圾</w:t>
            </w:r>
          </w:p>
        </w:tc>
        <w:tc>
          <w:tcPr>
            <w:tcW w:w="814" w:type="pct"/>
            <w:noWrap w:val="0"/>
            <w:vAlign w:val="center"/>
          </w:tcPr>
          <w:p w14:paraId="020A24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施工期员工生活</w:t>
            </w:r>
          </w:p>
        </w:tc>
        <w:tc>
          <w:tcPr>
            <w:tcW w:w="2386" w:type="pct"/>
            <w:noWrap w:val="0"/>
            <w:vAlign w:val="center"/>
          </w:tcPr>
          <w:p w14:paraId="57C0F5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交由环卫部门统一清运</w:t>
            </w:r>
          </w:p>
        </w:tc>
        <w:tc>
          <w:tcPr>
            <w:tcW w:w="780" w:type="pct"/>
            <w:vMerge w:val="continue"/>
            <w:noWrap w:val="0"/>
            <w:vAlign w:val="center"/>
          </w:tcPr>
          <w:p w14:paraId="469EC6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r>
      <w:tr w14:paraId="1DAF50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72" w:type="pct"/>
            <w:vMerge w:val="continue"/>
            <w:noWrap w:val="0"/>
            <w:vAlign w:val="center"/>
          </w:tcPr>
          <w:p w14:paraId="331B91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646" w:type="pct"/>
            <w:gridSpan w:val="2"/>
            <w:noWrap w:val="0"/>
            <w:vAlign w:val="center"/>
          </w:tcPr>
          <w:p w14:paraId="0C52FE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生态环境</w:t>
            </w:r>
          </w:p>
        </w:tc>
        <w:tc>
          <w:tcPr>
            <w:tcW w:w="814" w:type="pct"/>
            <w:noWrap w:val="0"/>
            <w:vAlign w:val="center"/>
          </w:tcPr>
          <w:p w14:paraId="7604D0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施工期占地、动土</w:t>
            </w:r>
          </w:p>
        </w:tc>
        <w:tc>
          <w:tcPr>
            <w:tcW w:w="2386" w:type="pct"/>
            <w:noWrap w:val="0"/>
            <w:vAlign w:val="center"/>
          </w:tcPr>
          <w:p w14:paraId="043107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尽量避免雨季进行大量动土和开挖工程，减少该区域水土流失；砂石料就近采购，缩短渣土堆放时间，堆放渣土加盖草垫，施工后期及时撤除施工临时建筑及废弃杂物，清理施工迹地，应将可能恢复植被的迹地全部恢复，使其达到原有的生态功能</w:t>
            </w:r>
          </w:p>
        </w:tc>
        <w:tc>
          <w:tcPr>
            <w:tcW w:w="780" w:type="pct"/>
            <w:vMerge w:val="continue"/>
            <w:noWrap w:val="0"/>
            <w:vAlign w:val="center"/>
          </w:tcPr>
          <w:p w14:paraId="1484A0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r>
      <w:tr w14:paraId="6F697C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72" w:type="pct"/>
            <w:vMerge w:val="restart"/>
            <w:noWrap w:val="0"/>
            <w:vAlign w:val="center"/>
          </w:tcPr>
          <w:p w14:paraId="5E5062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运营期</w:t>
            </w:r>
          </w:p>
        </w:tc>
        <w:tc>
          <w:tcPr>
            <w:tcW w:w="248" w:type="pct"/>
            <w:vMerge w:val="restart"/>
            <w:noWrap w:val="0"/>
            <w:vAlign w:val="center"/>
          </w:tcPr>
          <w:p w14:paraId="36996D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废水</w:t>
            </w:r>
          </w:p>
        </w:tc>
        <w:tc>
          <w:tcPr>
            <w:tcW w:w="398" w:type="pct"/>
            <w:noWrap w:val="0"/>
            <w:vAlign w:val="center"/>
          </w:tcPr>
          <w:p w14:paraId="1298D4D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港区生活污水</w:t>
            </w:r>
          </w:p>
        </w:tc>
        <w:tc>
          <w:tcPr>
            <w:tcW w:w="814" w:type="pct"/>
            <w:noWrap w:val="0"/>
            <w:vAlign w:val="center"/>
          </w:tcPr>
          <w:p w14:paraId="20798D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生活污水</w:t>
            </w:r>
          </w:p>
        </w:tc>
        <w:tc>
          <w:tcPr>
            <w:tcW w:w="2386" w:type="pct"/>
            <w:noWrap w:val="0"/>
            <w:vAlign w:val="center"/>
          </w:tcPr>
          <w:p w14:paraId="541622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生活污水经旱厕收集后做农肥，不外排</w:t>
            </w:r>
          </w:p>
        </w:tc>
        <w:tc>
          <w:tcPr>
            <w:tcW w:w="780" w:type="pct"/>
            <w:vMerge w:val="continue"/>
            <w:noWrap w:val="0"/>
            <w:vAlign w:val="center"/>
          </w:tcPr>
          <w:p w14:paraId="5F7D45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r>
      <w:tr w14:paraId="7F699C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72" w:type="pct"/>
            <w:vMerge w:val="continue"/>
            <w:noWrap w:val="0"/>
            <w:vAlign w:val="center"/>
          </w:tcPr>
          <w:p w14:paraId="2EAE7E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248" w:type="pct"/>
            <w:vMerge w:val="continue"/>
            <w:noWrap w:val="0"/>
            <w:vAlign w:val="center"/>
          </w:tcPr>
          <w:p w14:paraId="390B53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398" w:type="pct"/>
            <w:noWrap w:val="0"/>
            <w:vAlign w:val="center"/>
          </w:tcPr>
          <w:p w14:paraId="45C9DB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船舶废水</w:t>
            </w:r>
          </w:p>
        </w:tc>
        <w:tc>
          <w:tcPr>
            <w:tcW w:w="814" w:type="pct"/>
            <w:noWrap w:val="0"/>
            <w:vAlign w:val="center"/>
          </w:tcPr>
          <w:p w14:paraId="48DE32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船舶生活污水及含油污水</w:t>
            </w:r>
          </w:p>
        </w:tc>
        <w:tc>
          <w:tcPr>
            <w:tcW w:w="2386" w:type="pct"/>
            <w:noWrap w:val="0"/>
            <w:vAlign w:val="center"/>
          </w:tcPr>
          <w:p w14:paraId="4390CF1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由船舶带走，交由海事部环卫船处理</w:t>
            </w:r>
          </w:p>
        </w:tc>
        <w:tc>
          <w:tcPr>
            <w:tcW w:w="780" w:type="pct"/>
            <w:vMerge w:val="continue"/>
            <w:noWrap w:val="0"/>
            <w:vAlign w:val="center"/>
          </w:tcPr>
          <w:p w14:paraId="6266DB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r>
      <w:tr w14:paraId="1CE000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72" w:type="pct"/>
            <w:vMerge w:val="continue"/>
            <w:noWrap w:val="0"/>
            <w:vAlign w:val="center"/>
          </w:tcPr>
          <w:p w14:paraId="764132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248" w:type="pct"/>
            <w:vMerge w:val="restart"/>
            <w:noWrap w:val="0"/>
            <w:vAlign w:val="center"/>
          </w:tcPr>
          <w:p w14:paraId="470DD8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废气</w:t>
            </w:r>
          </w:p>
        </w:tc>
        <w:tc>
          <w:tcPr>
            <w:tcW w:w="398" w:type="pct"/>
            <w:noWrap w:val="0"/>
            <w:vAlign w:val="center"/>
          </w:tcPr>
          <w:p w14:paraId="11FA7D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堆煤扬尘</w:t>
            </w:r>
          </w:p>
        </w:tc>
        <w:tc>
          <w:tcPr>
            <w:tcW w:w="814" w:type="pct"/>
            <w:noWrap w:val="0"/>
            <w:vAlign w:val="center"/>
          </w:tcPr>
          <w:p w14:paraId="3B8740A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堆煤</w:t>
            </w:r>
          </w:p>
        </w:tc>
        <w:tc>
          <w:tcPr>
            <w:tcW w:w="2386" w:type="pct"/>
            <w:noWrap w:val="0"/>
            <w:vAlign w:val="center"/>
          </w:tcPr>
          <w:p w14:paraId="42A847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洒水降尘，缩短堆煤时间，加盖草垫</w:t>
            </w:r>
          </w:p>
        </w:tc>
        <w:tc>
          <w:tcPr>
            <w:tcW w:w="780" w:type="pct"/>
            <w:vMerge w:val="continue"/>
            <w:noWrap w:val="0"/>
            <w:vAlign w:val="center"/>
          </w:tcPr>
          <w:p w14:paraId="585EF1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r>
      <w:tr w14:paraId="381187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72" w:type="pct"/>
            <w:vMerge w:val="continue"/>
            <w:noWrap w:val="0"/>
            <w:vAlign w:val="center"/>
          </w:tcPr>
          <w:p w14:paraId="6A56B0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248" w:type="pct"/>
            <w:vMerge w:val="continue"/>
            <w:noWrap w:val="0"/>
            <w:vAlign w:val="center"/>
          </w:tcPr>
          <w:p w14:paraId="5B7FEA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398" w:type="pct"/>
            <w:noWrap w:val="0"/>
            <w:vAlign w:val="center"/>
          </w:tcPr>
          <w:p w14:paraId="443BE8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煤炭运输、装卸扬尘</w:t>
            </w:r>
          </w:p>
        </w:tc>
        <w:tc>
          <w:tcPr>
            <w:tcW w:w="814" w:type="pct"/>
            <w:noWrap w:val="0"/>
            <w:vAlign w:val="center"/>
          </w:tcPr>
          <w:p w14:paraId="1B7A1C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煤炭运输、装卸</w:t>
            </w:r>
          </w:p>
        </w:tc>
        <w:tc>
          <w:tcPr>
            <w:tcW w:w="2386" w:type="pct"/>
            <w:noWrap w:val="0"/>
            <w:vAlign w:val="center"/>
          </w:tcPr>
          <w:p w14:paraId="4B30D7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强对设备及车辆的维护，采用道路养护、</w:t>
            </w:r>
            <w:r>
              <w:rPr>
                <w:rFonts w:hint="eastAsia" w:cs="Times New Roman"/>
                <w:color w:val="auto"/>
                <w:lang w:eastAsia="zh-CN"/>
              </w:rPr>
              <w:t>设置</w:t>
            </w:r>
            <w:r>
              <w:rPr>
                <w:rFonts w:hint="eastAsia" w:ascii="Times New Roman" w:hAnsi="Times New Roman" w:eastAsia="宋体" w:cs="Times New Roman"/>
                <w:color w:val="auto"/>
              </w:rPr>
              <w:t>遮挡墙、洒水降尘、植物绿化等辅助降尘措施，运输过程中</w:t>
            </w:r>
            <w:r>
              <w:rPr>
                <w:rFonts w:hint="eastAsia" w:cs="Times New Roman"/>
                <w:color w:val="auto"/>
                <w:lang w:eastAsia="zh-CN"/>
              </w:rPr>
              <w:t>途经</w:t>
            </w:r>
            <w:r>
              <w:rPr>
                <w:rFonts w:hint="eastAsia" w:ascii="Times New Roman" w:hAnsi="Times New Roman" w:eastAsia="宋体" w:cs="Times New Roman"/>
                <w:color w:val="auto"/>
              </w:rPr>
              <w:t>居民点尽量控制车速，以尽量降低交通粉尘影响</w:t>
            </w:r>
          </w:p>
        </w:tc>
        <w:tc>
          <w:tcPr>
            <w:tcW w:w="780" w:type="pct"/>
            <w:vMerge w:val="continue"/>
            <w:noWrap w:val="0"/>
            <w:vAlign w:val="center"/>
          </w:tcPr>
          <w:p w14:paraId="5180DB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r>
      <w:tr w14:paraId="445E16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72" w:type="pct"/>
            <w:vMerge w:val="continue"/>
            <w:noWrap w:val="0"/>
            <w:vAlign w:val="center"/>
          </w:tcPr>
          <w:p w14:paraId="0C55A7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646" w:type="pct"/>
            <w:gridSpan w:val="2"/>
            <w:noWrap w:val="0"/>
            <w:vAlign w:val="center"/>
          </w:tcPr>
          <w:p w14:paraId="501FDA0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噪声</w:t>
            </w:r>
          </w:p>
        </w:tc>
        <w:tc>
          <w:tcPr>
            <w:tcW w:w="814" w:type="pct"/>
            <w:noWrap w:val="0"/>
            <w:vAlign w:val="center"/>
          </w:tcPr>
          <w:p w14:paraId="755118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装卸设备、起吊设备、运输车辆</w:t>
            </w:r>
          </w:p>
        </w:tc>
        <w:tc>
          <w:tcPr>
            <w:tcW w:w="2386" w:type="pct"/>
            <w:noWrap w:val="0"/>
            <w:vAlign w:val="center"/>
          </w:tcPr>
          <w:p w14:paraId="35B883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选用低噪声机械、设备、装置，各噪声源设备进行减振护理，加强机械设备的定期检修和维护，控制夜间进出码头运输，缩短夜间作业时间，控制流动机械设备运输速度，减少码头、船舶鸣号吹数和时间，加强码头及进出港道路绿化，种植树木隔离带</w:t>
            </w:r>
          </w:p>
        </w:tc>
        <w:tc>
          <w:tcPr>
            <w:tcW w:w="780" w:type="pct"/>
            <w:vMerge w:val="continue"/>
            <w:noWrap w:val="0"/>
            <w:vAlign w:val="center"/>
          </w:tcPr>
          <w:p w14:paraId="3DC95B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r>
      <w:tr w14:paraId="239E78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72" w:type="pct"/>
            <w:vMerge w:val="continue"/>
            <w:noWrap w:val="0"/>
            <w:vAlign w:val="center"/>
          </w:tcPr>
          <w:p w14:paraId="1353A5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248" w:type="pct"/>
            <w:vMerge w:val="restart"/>
            <w:noWrap w:val="0"/>
            <w:vAlign w:val="center"/>
          </w:tcPr>
          <w:p w14:paraId="64755B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固体废弃物</w:t>
            </w:r>
          </w:p>
        </w:tc>
        <w:tc>
          <w:tcPr>
            <w:tcW w:w="398" w:type="pct"/>
            <w:noWrap w:val="0"/>
            <w:vAlign w:val="center"/>
          </w:tcPr>
          <w:p w14:paraId="2E4D66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船舶垃圾</w:t>
            </w:r>
          </w:p>
        </w:tc>
        <w:tc>
          <w:tcPr>
            <w:tcW w:w="814" w:type="pct"/>
            <w:noWrap w:val="0"/>
            <w:vAlign w:val="center"/>
          </w:tcPr>
          <w:p w14:paraId="6E9010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船舶运行及员工生活</w:t>
            </w:r>
          </w:p>
        </w:tc>
        <w:tc>
          <w:tcPr>
            <w:tcW w:w="2386" w:type="pct"/>
            <w:noWrap w:val="0"/>
            <w:vAlign w:val="center"/>
          </w:tcPr>
          <w:p w14:paraId="27A415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行政主管部门统一处置</w:t>
            </w:r>
          </w:p>
        </w:tc>
        <w:tc>
          <w:tcPr>
            <w:tcW w:w="780" w:type="pct"/>
            <w:vMerge w:val="continue"/>
            <w:noWrap w:val="0"/>
            <w:vAlign w:val="center"/>
          </w:tcPr>
          <w:p w14:paraId="5D67AB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r>
      <w:tr w14:paraId="17EB45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72" w:type="pct"/>
            <w:vMerge w:val="continue"/>
            <w:noWrap w:val="0"/>
            <w:vAlign w:val="center"/>
          </w:tcPr>
          <w:p w14:paraId="499595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248" w:type="pct"/>
            <w:vMerge w:val="continue"/>
            <w:noWrap w:val="0"/>
            <w:vAlign w:val="center"/>
          </w:tcPr>
          <w:p w14:paraId="0613C1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398" w:type="pct"/>
            <w:noWrap w:val="0"/>
            <w:vAlign w:val="center"/>
          </w:tcPr>
          <w:p w14:paraId="366E35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港区生活垃圾</w:t>
            </w:r>
          </w:p>
        </w:tc>
        <w:tc>
          <w:tcPr>
            <w:tcW w:w="814" w:type="pct"/>
            <w:noWrap w:val="0"/>
            <w:vAlign w:val="center"/>
          </w:tcPr>
          <w:p w14:paraId="20BB00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港区员工生活</w:t>
            </w:r>
          </w:p>
        </w:tc>
        <w:tc>
          <w:tcPr>
            <w:tcW w:w="2386" w:type="pct"/>
            <w:noWrap w:val="0"/>
            <w:vAlign w:val="center"/>
          </w:tcPr>
          <w:p w14:paraId="09BD1E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由环卫部门统一清运</w:t>
            </w:r>
          </w:p>
        </w:tc>
        <w:tc>
          <w:tcPr>
            <w:tcW w:w="780" w:type="pct"/>
            <w:vMerge w:val="continue"/>
            <w:noWrap w:val="0"/>
            <w:vAlign w:val="center"/>
          </w:tcPr>
          <w:p w14:paraId="0AB1A3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r>
    </w:tbl>
    <w:p w14:paraId="4A5F31F9">
      <w:pPr>
        <w:numPr>
          <w:ilvl w:val="1"/>
          <w:numId w:val="0"/>
        </w:numPr>
        <w:rPr>
          <w:color w:val="auto"/>
        </w:rPr>
        <w:sectPr>
          <w:pgSz w:w="16840" w:h="11907" w:orient="landscape"/>
          <w:pgMar w:top="1418" w:right="1440" w:bottom="1418" w:left="1440" w:header="851" w:footer="992" w:gutter="0"/>
          <w:pgBorders>
            <w:top w:val="none" w:sz="0" w:space="0"/>
            <w:left w:val="none" w:sz="0" w:space="0"/>
            <w:bottom w:val="none" w:sz="0" w:space="0"/>
            <w:right w:val="none" w:sz="0" w:space="0"/>
          </w:pgBorders>
          <w:cols w:space="720" w:num="1"/>
          <w:docGrid w:type="lines" w:linePitch="312" w:charSpace="0"/>
        </w:sectPr>
      </w:pPr>
    </w:p>
    <w:p w14:paraId="5D7B89E4">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79" w:name="_Toc23771"/>
      <w:r>
        <w:rPr>
          <w:rFonts w:hint="eastAsia" w:ascii="Times New Roman" w:hAnsi="Times New Roman" w:eastAsia="黑体" w:cs="Times New Roman"/>
          <w:bCs/>
          <w:color w:val="auto"/>
          <w:kern w:val="2"/>
          <w:sz w:val="30"/>
          <w:szCs w:val="32"/>
          <w:lang w:val="en-US" w:eastAsia="zh-CN" w:bidi="ar-SA"/>
        </w:rPr>
        <w:t>3.2</w:t>
      </w:r>
      <w:r>
        <w:rPr>
          <w:rFonts w:ascii="Times New Roman" w:hAnsi="Times New Roman" w:eastAsia="黑体" w:cs="Times New Roman"/>
          <w:bCs/>
          <w:color w:val="auto"/>
          <w:kern w:val="2"/>
          <w:sz w:val="30"/>
          <w:szCs w:val="32"/>
          <w:lang w:val="en-US" w:eastAsia="zh-CN" w:bidi="ar-SA"/>
        </w:rPr>
        <w:t>建设项目概况</w:t>
      </w:r>
      <w:bookmarkEnd w:id="79"/>
    </w:p>
    <w:p w14:paraId="3664ADE7">
      <w:pPr>
        <w:keepNext/>
        <w:keepLines/>
        <w:widowControl w:val="0"/>
        <w:numPr>
          <w:ilvl w:val="2"/>
          <w:numId w:val="0"/>
        </w:numPr>
        <w:spacing w:line="360" w:lineRule="auto"/>
        <w:ind w:firstLine="420" w:firstLineChars="0"/>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3.2.1</w:t>
      </w:r>
      <w:r>
        <w:rPr>
          <w:rFonts w:ascii="Times New Roman" w:hAnsi="Times New Roman" w:eastAsia="黑体" w:cs="Times New Roman"/>
          <w:bCs/>
          <w:color w:val="auto"/>
          <w:kern w:val="2"/>
          <w:sz w:val="28"/>
          <w:szCs w:val="32"/>
          <w:lang w:val="en-US" w:eastAsia="zh-CN" w:bidi="ar-SA"/>
        </w:rPr>
        <w:t>项目概况</w:t>
      </w:r>
    </w:p>
    <w:p w14:paraId="43343897">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项目名称：淮南市兴华园码头复工建设项目</w:t>
      </w:r>
    </w:p>
    <w:p w14:paraId="2C964D72">
      <w:pPr>
        <w:spacing w:line="360" w:lineRule="auto"/>
        <w:ind w:firstLine="480" w:firstLineChars="200"/>
        <w:rPr>
          <w:rFonts w:hint="eastAsia" w:ascii="Times New Roman" w:hAnsi="Times New Roman" w:eastAsia="宋体" w:cs="Times New Roman"/>
          <w:color w:val="auto"/>
          <w:sz w:val="24"/>
        </w:rPr>
      </w:pPr>
      <w:r>
        <w:rPr>
          <w:rFonts w:ascii="Times New Roman" w:hAnsi="Times New Roman" w:eastAsia="宋体" w:cs="Times New Roman"/>
          <w:color w:val="auto"/>
          <w:sz w:val="24"/>
        </w:rPr>
        <w:t>项目性质：</w:t>
      </w:r>
      <w:r>
        <w:rPr>
          <w:rFonts w:hint="eastAsia" w:cs="Times New Roman"/>
          <w:color w:val="auto"/>
          <w:sz w:val="24"/>
          <w:lang w:val="en-US" w:eastAsia="zh-CN"/>
        </w:rPr>
        <w:t>新建</w:t>
      </w:r>
      <w:r>
        <w:rPr>
          <w:rFonts w:hint="eastAsia" w:ascii="Times New Roman" w:hAnsi="Times New Roman" w:eastAsia="宋体" w:cs="Times New Roman"/>
          <w:color w:val="auto"/>
          <w:sz w:val="24"/>
        </w:rPr>
        <w:t>（</w:t>
      </w:r>
      <w:r>
        <w:rPr>
          <w:rFonts w:hint="eastAsia" w:cs="Times New Roman"/>
          <w:color w:val="auto"/>
          <w:sz w:val="24"/>
          <w:lang w:val="en-US" w:eastAsia="zh-CN"/>
        </w:rPr>
        <w:t>重新报批</w:t>
      </w:r>
      <w:r>
        <w:rPr>
          <w:rFonts w:hint="eastAsia" w:ascii="Times New Roman" w:hAnsi="Times New Roman" w:eastAsia="宋体" w:cs="Times New Roman"/>
          <w:color w:val="auto"/>
          <w:sz w:val="24"/>
        </w:rPr>
        <w:t>）</w:t>
      </w:r>
    </w:p>
    <w:p w14:paraId="1D81B4CD">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行业类别：货运港口（行业代码G5532）</w:t>
      </w:r>
    </w:p>
    <w:p w14:paraId="7110666D">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建设单位：淮南市兴华园贸易发展有限公司</w:t>
      </w:r>
    </w:p>
    <w:p w14:paraId="7BFFC23D">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建设投资：项目总投资</w:t>
      </w:r>
      <w:r>
        <w:rPr>
          <w:rFonts w:hint="eastAsia" w:ascii="Times New Roman" w:hAnsi="Times New Roman" w:eastAsia="宋体" w:cs="Times New Roman"/>
          <w:color w:val="auto"/>
          <w:sz w:val="24"/>
        </w:rPr>
        <w:t>240.37</w:t>
      </w:r>
      <w:r>
        <w:rPr>
          <w:rFonts w:ascii="Times New Roman" w:hAnsi="Times New Roman" w:eastAsia="宋体" w:cs="Times New Roman"/>
          <w:color w:val="auto"/>
          <w:sz w:val="24"/>
        </w:rPr>
        <w:t>万元，其中环保投资</w:t>
      </w:r>
      <w:r>
        <w:rPr>
          <w:rFonts w:hint="eastAsia" w:ascii="Times New Roman" w:hAnsi="Times New Roman" w:eastAsia="宋体" w:cs="Times New Roman"/>
          <w:color w:val="auto"/>
          <w:sz w:val="24"/>
          <w:lang w:val="en-US" w:eastAsia="zh-CN"/>
        </w:rPr>
        <w:t>40</w:t>
      </w:r>
      <w:r>
        <w:rPr>
          <w:rFonts w:ascii="Times New Roman" w:hAnsi="Times New Roman" w:eastAsia="宋体" w:cs="Times New Roman"/>
          <w:color w:val="auto"/>
          <w:sz w:val="24"/>
        </w:rPr>
        <w:t>万元，占总投资的1</w:t>
      </w:r>
      <w:r>
        <w:rPr>
          <w:rFonts w:hint="eastAsia" w:ascii="Times New Roman" w:hAnsi="Times New Roman" w:eastAsia="宋体" w:cs="Times New Roman"/>
          <w:color w:val="auto"/>
          <w:sz w:val="24"/>
          <w:lang w:val="en-US" w:eastAsia="zh-CN"/>
        </w:rPr>
        <w:t>6.6</w:t>
      </w:r>
      <w:r>
        <w:rPr>
          <w:rFonts w:ascii="Times New Roman" w:hAnsi="Times New Roman" w:eastAsia="宋体" w:cs="Times New Roman"/>
          <w:color w:val="auto"/>
          <w:sz w:val="24"/>
        </w:rPr>
        <w:t>%。</w:t>
      </w:r>
    </w:p>
    <w:p w14:paraId="1B573737">
      <w:pPr>
        <w:spacing w:line="360" w:lineRule="auto"/>
        <w:ind w:firstLine="480" w:firstLineChars="200"/>
        <w:rPr>
          <w:rFonts w:hint="eastAsia" w:ascii="Times New Roman" w:hAnsi="Times New Roman" w:eastAsia="宋体" w:cs="Times New Roman"/>
          <w:color w:val="auto"/>
          <w:sz w:val="24"/>
        </w:rPr>
      </w:pPr>
      <w:r>
        <w:rPr>
          <w:rFonts w:ascii="Times New Roman" w:hAnsi="Times New Roman" w:eastAsia="宋体" w:cs="Times New Roman"/>
          <w:color w:val="auto"/>
          <w:sz w:val="24"/>
        </w:rPr>
        <w:t>建设地点：</w:t>
      </w:r>
      <w:r>
        <w:rPr>
          <w:rFonts w:hint="eastAsia" w:ascii="Times New Roman" w:hAnsi="Times New Roman" w:eastAsia="宋体" w:cs="Times New Roman"/>
          <w:color w:val="auto"/>
          <w:sz w:val="24"/>
        </w:rPr>
        <w:t>位于淮南市潘集区平圩镇淮河北汊的左岸潘集港区规划作业区，对应淮北大堤饶荆段桩号</w:t>
      </w:r>
      <w:r>
        <w:rPr>
          <w:rFonts w:hint="eastAsia" w:cs="Times New Roman"/>
          <w:color w:val="auto"/>
          <w:sz w:val="24"/>
          <w:lang w:eastAsia="zh-CN"/>
        </w:rPr>
        <w:t>68+052~68+254</w:t>
      </w:r>
      <w:r>
        <w:rPr>
          <w:rFonts w:hint="eastAsia" w:ascii="Times New Roman" w:hAnsi="Times New Roman" w:eastAsia="宋体" w:cs="Times New Roman"/>
          <w:color w:val="auto"/>
          <w:sz w:val="24"/>
        </w:rPr>
        <w:t>，上距平圩大件码头约136m，鹏源码头约500m；下距店集码头约</w:t>
      </w:r>
      <w:r>
        <w:rPr>
          <w:rFonts w:hint="eastAsia" w:cs="Times New Roman"/>
          <w:color w:val="auto"/>
          <w:sz w:val="24"/>
          <w:lang w:val="en-US" w:eastAsia="zh-CN"/>
        </w:rPr>
        <w:t>90</w:t>
      </w:r>
      <w:r>
        <w:rPr>
          <w:rFonts w:hint="eastAsia" w:ascii="Times New Roman" w:hAnsi="Times New Roman" w:eastAsia="宋体" w:cs="Times New Roman"/>
          <w:color w:val="auto"/>
          <w:sz w:val="24"/>
        </w:rPr>
        <w:t>m，下距淮南淮河大桥约2.</w:t>
      </w:r>
      <w:r>
        <w:rPr>
          <w:rFonts w:hint="eastAsia" w:cs="Times New Roman"/>
          <w:color w:val="auto"/>
          <w:sz w:val="24"/>
          <w:lang w:val="en-US" w:eastAsia="zh-CN"/>
        </w:rPr>
        <w:t>5</w:t>
      </w:r>
      <w:r>
        <w:rPr>
          <w:rFonts w:hint="eastAsia" w:ascii="Times New Roman" w:hAnsi="Times New Roman" w:eastAsia="宋体" w:cs="Times New Roman"/>
          <w:color w:val="auto"/>
          <w:sz w:val="24"/>
        </w:rPr>
        <w:t>km。</w:t>
      </w:r>
    </w:p>
    <w:p w14:paraId="34C9F483">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地理位置中心坐标为经度：</w:t>
      </w:r>
      <w:r>
        <w:rPr>
          <w:rFonts w:ascii="Times New Roman" w:hAnsi="Times New Roman" w:eastAsia="宋体" w:cs="Times New Roman"/>
          <w:color w:val="auto"/>
          <w:sz w:val="24"/>
        </w:rPr>
        <w:t>116.90191001</w:t>
      </w:r>
      <w:r>
        <w:rPr>
          <w:rFonts w:hint="eastAsia" w:ascii="Times New Roman" w:hAnsi="Times New Roman" w:eastAsia="宋体" w:cs="Times New Roman"/>
          <w:color w:val="auto"/>
          <w:sz w:val="24"/>
        </w:rPr>
        <w:t>°纬度：</w:t>
      </w:r>
      <w:r>
        <w:rPr>
          <w:rFonts w:ascii="Times New Roman" w:hAnsi="Times New Roman" w:eastAsia="宋体" w:cs="Times New Roman"/>
          <w:color w:val="auto"/>
          <w:sz w:val="24"/>
        </w:rPr>
        <w:t>32.67087058</w:t>
      </w:r>
      <w:r>
        <w:rPr>
          <w:rFonts w:hint="eastAsia" w:ascii="Times New Roman" w:hAnsi="Times New Roman" w:eastAsia="宋体" w:cs="Times New Roman"/>
          <w:color w:val="auto"/>
          <w:sz w:val="24"/>
        </w:rPr>
        <w:t>°。</w:t>
      </w:r>
    </w:p>
    <w:p w14:paraId="1B4BA66F">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劳动定员：项目劳动定员8人</w:t>
      </w:r>
      <w:r>
        <w:rPr>
          <w:rFonts w:hint="eastAsia" w:ascii="Times New Roman" w:hAnsi="Times New Roman" w:eastAsia="宋体" w:cs="Times New Roman"/>
          <w:color w:val="auto"/>
          <w:sz w:val="24"/>
        </w:rPr>
        <w:t>，其中机械司机4人，装卸工人4人</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三班制</w:t>
      </w:r>
      <w:r>
        <w:rPr>
          <w:rFonts w:ascii="Times New Roman" w:hAnsi="Times New Roman" w:eastAsia="宋体" w:cs="Times New Roman"/>
          <w:color w:val="auto"/>
          <w:sz w:val="24"/>
        </w:rPr>
        <w:t>。</w:t>
      </w:r>
    </w:p>
    <w:p w14:paraId="76760D59">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作业</w:t>
      </w:r>
      <w:r>
        <w:rPr>
          <w:rFonts w:ascii="Times New Roman" w:hAnsi="Times New Roman" w:eastAsia="宋体" w:cs="Times New Roman"/>
          <w:color w:val="auto"/>
          <w:sz w:val="24"/>
        </w:rPr>
        <w:t>天数：项目码头年运行天数210天。</w:t>
      </w:r>
    </w:p>
    <w:p w14:paraId="48379655">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现有码头概况：平圩作业区位于祁集镇淮河左岸，自汪庙中学至泥河闸，港口岸线1800米，陆域纵深60～130米。平圩作业区现状含鹏源、店集、舜龙、鑫淮、庆春码头，共计8个泊位，主要出口煤炭。其中舜龙码头与远期规划的平圩过河隧道位置冲突，近期维持现状，远期适时拆除。紧邻新鹏源码头上游规划建设4个散货泊位，占用岸线360米，主要用于煤炭出口；紧邻店集码头上游规划建设8个散货泊位，占用岸线800米，主要用于煤炭出口。集疏运主要通过进港道路与省道225相接，交通十分便利。规划作业区共形成生产性泊位20个，占用岸线1800米，年通过能力1050万吨。</w:t>
      </w:r>
    </w:p>
    <w:p w14:paraId="3DD2E480">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店集码头：拟建码头下游约90m处，为社会公用的码头，共建设2个1000吨级通用散货泊位，根据《河港总体设计规范》，泊位富余距离为8～10m，满足安全距离要求。</w:t>
      </w:r>
    </w:p>
    <w:p w14:paraId="04AB09C0">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平圩大件码头：拟建码头上游约136m处，为电厂运输大件的专用码头，根据《河港总体设计规范》，泊位富余距离为8～10m，满足安全距离要求。</w:t>
      </w:r>
    </w:p>
    <w:p w14:paraId="4B4821FB">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拟建码头位于《淮南港总体规划》中潘集港区平圩作业区，位于规划“紧邻店集码头上游规划建设8个散货泊位，占用岸线800米”的岸线范围内。设计代表船型为1000吨级货船，码头建设符合港口与航道规划。</w:t>
      </w:r>
    </w:p>
    <w:p w14:paraId="7730FC04">
      <w:pPr>
        <w:rPr>
          <w:color w:val="auto"/>
        </w:rPr>
        <w:sectPr>
          <w:footerReference r:id="rId11" w:type="default"/>
          <w:pgSz w:w="11907" w:h="16840"/>
          <w:pgMar w:top="1440" w:right="1418" w:bottom="1440" w:left="1418" w:header="851" w:footer="992" w:gutter="0"/>
          <w:pgBorders>
            <w:top w:val="none" w:sz="0" w:space="0"/>
            <w:left w:val="none" w:sz="0" w:space="0"/>
            <w:bottom w:val="none" w:sz="0" w:space="0"/>
            <w:right w:val="none" w:sz="0" w:space="0"/>
          </w:pgBorders>
          <w:cols w:space="720" w:num="1"/>
          <w:docGrid w:type="linesAndChars" w:linePitch="312" w:charSpace="0"/>
        </w:sectPr>
      </w:pPr>
    </w:p>
    <w:p w14:paraId="2D99407E">
      <w:pPr>
        <w:widowControl w:val="0"/>
        <w:spacing w:after="0"/>
        <w:jc w:val="center"/>
        <w:rPr>
          <w:rFonts w:ascii="Times New Roman" w:hAnsi="Times New Roman" w:eastAsia="宋体" w:cs="Times New Roman"/>
          <w:color w:val="auto"/>
          <w:kern w:val="2"/>
          <w:sz w:val="21"/>
          <w:szCs w:val="21"/>
          <w:lang w:val="en-US" w:eastAsia="zh-CN" w:bidi="ar-SA"/>
        </w:rPr>
      </w:pPr>
      <w:r>
        <w:rPr>
          <w:rFonts w:ascii="Times New Roman" w:hAnsi="Times New Roman" w:eastAsia="宋体" w:cs="Times New Roman"/>
          <w:color w:val="auto"/>
          <w:kern w:val="2"/>
          <w:sz w:val="21"/>
          <w:szCs w:val="21"/>
          <w:lang w:val="en-US" w:eastAsia="zh-CN" w:bidi="ar-SA"/>
        </w:rPr>
        <w:drawing>
          <wp:inline distT="0" distB="0" distL="114300" distR="114300">
            <wp:extent cx="8868410" cy="4988560"/>
            <wp:effectExtent l="0" t="0" r="8890" b="2540"/>
            <wp:docPr id="30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37"/>
                    <pic:cNvPicPr>
                      <a:picLocks noChangeAspect="1"/>
                    </pic:cNvPicPr>
                  </pic:nvPicPr>
                  <pic:blipFill>
                    <a:blip r:embed="rId46"/>
                    <a:stretch>
                      <a:fillRect/>
                    </a:stretch>
                  </pic:blipFill>
                  <pic:spPr>
                    <a:xfrm>
                      <a:off x="0" y="0"/>
                      <a:ext cx="8868410" cy="4988560"/>
                    </a:xfrm>
                    <a:prstGeom prst="rect">
                      <a:avLst/>
                    </a:prstGeom>
                    <a:noFill/>
                    <a:ln>
                      <a:noFill/>
                    </a:ln>
                  </pic:spPr>
                </pic:pic>
              </a:graphicData>
            </a:graphic>
          </wp:inline>
        </w:drawing>
      </w:r>
    </w:p>
    <w:p w14:paraId="41558E14">
      <w:pPr>
        <w:jc w:val="center"/>
        <w:rPr>
          <w:rFonts w:hint="eastAsia" w:eastAsia="黑体"/>
          <w:color w:val="auto"/>
          <w:sz w:val="24"/>
        </w:rPr>
        <w:sectPr>
          <w:pgSz w:w="16840" w:h="11907" w:orient="landscape"/>
          <w:pgMar w:top="1418" w:right="1440" w:bottom="1418" w:left="144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Times New Roman" w:hAnsi="Times New Roman" w:eastAsia="黑体" w:cs="Times New Roman"/>
          <w:color w:val="auto"/>
          <w:sz w:val="24"/>
        </w:rPr>
        <w:t>图3.2-</w:t>
      </w:r>
      <w:r>
        <w:rPr>
          <w:rFonts w:ascii="Times New Roman" w:hAnsi="Times New Roman" w:eastAsia="黑体" w:cs="Times New Roman"/>
          <w:color w:val="auto"/>
          <w:sz w:val="24"/>
        </w:rPr>
        <w:t>1</w:t>
      </w:r>
      <w:r>
        <w:rPr>
          <w:rFonts w:hint="eastAsia" w:ascii="Times New Roman" w:hAnsi="Times New Roman" w:eastAsia="黑体" w:cs="Times New Roman"/>
          <w:color w:val="auto"/>
          <w:sz w:val="24"/>
        </w:rPr>
        <w:t xml:space="preserve"> 拟建码头与周边码头位置关系图</w:t>
      </w:r>
    </w:p>
    <w:p w14:paraId="015C367F">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3.2.2</w:t>
      </w:r>
      <w:r>
        <w:rPr>
          <w:rFonts w:ascii="Times New Roman" w:hAnsi="Times New Roman" w:eastAsia="黑体" w:cs="Times New Roman"/>
          <w:bCs/>
          <w:color w:val="auto"/>
          <w:kern w:val="2"/>
          <w:sz w:val="28"/>
          <w:szCs w:val="32"/>
          <w:lang w:val="en-US" w:eastAsia="zh-CN" w:bidi="ar-SA"/>
        </w:rPr>
        <w:t>建设内容及规模</w:t>
      </w:r>
    </w:p>
    <w:p w14:paraId="483F999E">
      <w:pPr>
        <w:widowControl w:val="0"/>
        <w:spacing w:line="360" w:lineRule="auto"/>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建设规模及内容：</w:t>
      </w:r>
      <w:r>
        <w:rPr>
          <w:rFonts w:ascii="Times New Roman" w:hAnsi="Times New Roman" w:eastAsia="宋体" w:cs="Times New Roman"/>
          <w:color w:val="auto"/>
          <w:kern w:val="2"/>
          <w:sz w:val="24"/>
          <w:szCs w:val="24"/>
          <w:lang w:val="en-US" w:eastAsia="zh-CN" w:bidi="ar-SA"/>
        </w:rPr>
        <w:t>共建设2个1000吨级兼顾2000吨级通用散货泊位，</w:t>
      </w:r>
      <w:r>
        <w:rPr>
          <w:rFonts w:hint="eastAsia" w:ascii="宋体" w:hAnsi="宋体" w:eastAsia="宋体" w:cs="Times New Roman"/>
          <w:color w:val="auto"/>
          <w:kern w:val="2"/>
          <w:sz w:val="24"/>
          <w:szCs w:val="24"/>
          <w:lang w:val="en-US" w:eastAsia="zh-CN" w:bidi="ar-SA"/>
        </w:rPr>
        <w:t>属于</w:t>
      </w:r>
      <w:r>
        <w:rPr>
          <w:rFonts w:hint="eastAsia" w:ascii="宋体" w:hAnsi="宋体" w:cs="Times New Roman"/>
          <w:color w:val="auto"/>
          <w:kern w:val="2"/>
          <w:sz w:val="24"/>
          <w:szCs w:val="24"/>
          <w:lang w:val="en-US" w:eastAsia="zh-CN" w:bidi="ar-SA"/>
        </w:rPr>
        <w:t>通用</w:t>
      </w:r>
      <w:r>
        <w:rPr>
          <w:rFonts w:hint="eastAsia" w:ascii="宋体" w:hAnsi="宋体" w:eastAsia="宋体" w:cs="Times New Roman"/>
          <w:color w:val="auto"/>
          <w:kern w:val="2"/>
          <w:sz w:val="24"/>
          <w:szCs w:val="24"/>
          <w:lang w:val="en-US" w:eastAsia="zh-CN" w:bidi="ar-SA"/>
        </w:rPr>
        <w:t>散货码头</w:t>
      </w:r>
      <w:r>
        <w:rPr>
          <w:rFonts w:hint="eastAsia" w:ascii="宋体" w:hAnsi="宋体" w:cs="Times New Roman"/>
          <w:color w:val="auto"/>
          <w:kern w:val="2"/>
          <w:sz w:val="24"/>
          <w:szCs w:val="24"/>
          <w:lang w:val="en-US" w:eastAsia="zh-CN" w:bidi="ar-SA"/>
        </w:rPr>
        <w:t>，项目</w:t>
      </w:r>
      <w:r>
        <w:rPr>
          <w:rFonts w:ascii="Times New Roman" w:hAnsi="Times New Roman" w:eastAsia="宋体" w:cs="Times New Roman"/>
          <w:color w:val="auto"/>
          <w:kern w:val="2"/>
          <w:sz w:val="24"/>
          <w:szCs w:val="24"/>
          <w:lang w:val="en-US" w:eastAsia="zh-CN" w:bidi="ar-SA"/>
        </w:rPr>
        <w:t>设计年吞吐量为80万吨，主要建设内</w:t>
      </w:r>
      <w:r>
        <w:rPr>
          <w:rFonts w:ascii="宋体" w:hAnsi="宋体" w:eastAsia="宋体" w:cs="Times New Roman"/>
          <w:color w:val="auto"/>
          <w:kern w:val="2"/>
          <w:sz w:val="24"/>
          <w:szCs w:val="24"/>
          <w:lang w:val="en-US" w:eastAsia="zh-CN" w:bidi="ar-SA"/>
        </w:rPr>
        <w:t>容包括：</w:t>
      </w:r>
      <w:r>
        <w:rPr>
          <w:rFonts w:hint="eastAsia" w:ascii="宋体" w:hAnsi="宋体" w:eastAsia="宋体" w:cs="Times New Roman"/>
          <w:color w:val="auto"/>
          <w:kern w:val="2"/>
          <w:sz w:val="24"/>
          <w:szCs w:val="24"/>
          <w:lang w:val="en-US" w:eastAsia="zh-CN" w:bidi="ar-SA"/>
        </w:rPr>
        <w:t>泊位、港池、陆域建筑、进港道路、洗车平台、环保工程</w:t>
      </w:r>
      <w:r>
        <w:rPr>
          <w:rFonts w:ascii="宋体" w:hAnsi="宋体" w:eastAsia="宋体" w:cs="Times New Roman"/>
          <w:color w:val="auto"/>
          <w:kern w:val="2"/>
          <w:sz w:val="24"/>
          <w:szCs w:val="24"/>
          <w:lang w:val="en-US" w:eastAsia="zh-CN" w:bidi="ar-SA"/>
        </w:rPr>
        <w:t>等内容。</w:t>
      </w:r>
    </w:p>
    <w:p w14:paraId="67AE3BD8">
      <w:pPr>
        <w:widowControl w:val="0"/>
        <w:spacing w:line="360" w:lineRule="auto"/>
        <w:ind w:firstLine="480" w:firstLineChars="200"/>
        <w:jc w:val="both"/>
        <w:rPr>
          <w:rFonts w:hint="eastAsia" w:ascii="Times New Roman" w:hAnsi="Times New Roman"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项目陆域</w:t>
      </w:r>
      <w:r>
        <w:rPr>
          <w:rFonts w:hint="default" w:ascii="Times New Roman" w:hAnsi="Times New Roman" w:cs="Times New Roman"/>
          <w:color w:val="auto"/>
          <w:kern w:val="2"/>
          <w:sz w:val="24"/>
          <w:szCs w:val="24"/>
          <w:lang w:val="en-US" w:eastAsia="zh-CN" w:bidi="ar-SA"/>
        </w:rPr>
        <w:t>占地20亩（合13333.34m</w:t>
      </w:r>
      <w:r>
        <w:rPr>
          <w:rFonts w:hint="default" w:ascii="Times New Roman" w:hAnsi="Times New Roman" w:cs="Times New Roman"/>
          <w:color w:val="auto"/>
          <w:kern w:val="2"/>
          <w:sz w:val="24"/>
          <w:szCs w:val="24"/>
          <w:vertAlign w:val="superscript"/>
          <w:lang w:val="en-US" w:eastAsia="zh-CN" w:bidi="ar-SA"/>
        </w:rPr>
        <w:t>2</w:t>
      </w:r>
      <w:r>
        <w:rPr>
          <w:rFonts w:hint="default" w:ascii="Times New Roman" w:hAnsi="Times New Roman" w:cs="Times New Roman"/>
          <w:color w:val="auto"/>
          <w:kern w:val="2"/>
          <w:sz w:val="24"/>
          <w:szCs w:val="24"/>
          <w:lang w:val="en-US" w:eastAsia="zh-CN" w:bidi="ar-SA"/>
        </w:rPr>
        <w:t>）</w:t>
      </w:r>
      <w:r>
        <w:rPr>
          <w:rFonts w:hint="eastAsia" w:ascii="Times New Roman" w:hAnsi="Times New Roman" w:cs="Times New Roman"/>
          <w:color w:val="auto"/>
          <w:kern w:val="2"/>
          <w:sz w:val="24"/>
          <w:szCs w:val="24"/>
          <w:lang w:val="en-US" w:eastAsia="zh-CN" w:bidi="ar-SA"/>
        </w:rPr>
        <w:t>，主要为</w:t>
      </w:r>
      <w:r>
        <w:rPr>
          <w:rFonts w:hint="eastAsia" w:ascii="宋体" w:hAnsi="宋体" w:eastAsia="宋体" w:cs="Times New Roman"/>
          <w:color w:val="auto"/>
          <w:kern w:val="2"/>
          <w:sz w:val="24"/>
          <w:szCs w:val="28"/>
          <w:lang w:val="en-US" w:eastAsia="zh-CN" w:bidi="ar-SA"/>
        </w:rPr>
        <w:t>进港道路</w:t>
      </w:r>
      <w:r>
        <w:rPr>
          <w:rFonts w:hint="eastAsia" w:ascii="宋体" w:hAnsi="宋体" w:cs="Times New Roman"/>
          <w:color w:val="auto"/>
          <w:kern w:val="2"/>
          <w:sz w:val="24"/>
          <w:szCs w:val="28"/>
          <w:lang w:val="en-US" w:eastAsia="zh-CN" w:bidi="ar-SA"/>
        </w:rPr>
        <w:t>、陆域建筑和洗车平台等</w:t>
      </w:r>
      <w:r>
        <w:rPr>
          <w:rFonts w:hint="eastAsia" w:cs="Times New Roman"/>
          <w:color w:val="auto"/>
          <w:sz w:val="24"/>
          <w:lang w:eastAsia="zh-CN"/>
        </w:rPr>
        <w:t>。</w:t>
      </w:r>
      <w:r>
        <w:rPr>
          <w:rFonts w:hint="eastAsia" w:cs="Times New Roman"/>
          <w:color w:val="auto"/>
          <w:sz w:val="24"/>
          <w:lang w:val="en-US" w:eastAsia="zh-CN"/>
        </w:rPr>
        <w:t>陆域建筑主要为</w:t>
      </w:r>
      <w:r>
        <w:rPr>
          <w:rFonts w:hint="eastAsia" w:ascii="Times New Roman" w:hAnsi="Times New Roman" w:eastAsia="宋体" w:cs="Times New Roman"/>
          <w:color w:val="auto"/>
          <w:sz w:val="24"/>
        </w:rPr>
        <w:t>管理房</w:t>
      </w:r>
      <w:r>
        <w:rPr>
          <w:rFonts w:hint="eastAsia" w:cs="Times New Roman"/>
          <w:color w:val="auto"/>
          <w:sz w:val="24"/>
          <w:lang w:eastAsia="zh-CN"/>
        </w:rPr>
        <w:t>，</w:t>
      </w:r>
      <w:r>
        <w:rPr>
          <w:rFonts w:hint="eastAsia" w:ascii="宋体" w:hAnsi="宋体" w:cs="Times New Roman"/>
          <w:color w:val="auto"/>
          <w:kern w:val="2"/>
          <w:sz w:val="24"/>
          <w:szCs w:val="24"/>
          <w:lang w:val="en-US" w:eastAsia="zh-CN" w:bidi="ar-SA"/>
        </w:rPr>
        <w:t>环保工程包括</w:t>
      </w:r>
      <w:r>
        <w:rPr>
          <w:rFonts w:hint="eastAsia" w:ascii="Times New Roman" w:hAnsi="Times New Roman" w:eastAsia="宋体" w:cs="Times New Roman"/>
          <w:color w:val="auto"/>
          <w:sz w:val="24"/>
        </w:rPr>
        <w:t>沉淀池及附属设备</w:t>
      </w:r>
      <w:r>
        <w:rPr>
          <w:rFonts w:hint="eastAsia" w:cs="Times New Roman"/>
          <w:color w:val="auto"/>
          <w:sz w:val="24"/>
          <w:lang w:eastAsia="zh-CN"/>
        </w:rPr>
        <w:t>、</w:t>
      </w:r>
      <w:r>
        <w:rPr>
          <w:rFonts w:hint="eastAsia" w:ascii="Times New Roman" w:hAnsi="Times New Roman" w:eastAsia="宋体" w:cs="Times New Roman"/>
          <w:color w:val="auto"/>
          <w:sz w:val="24"/>
        </w:rPr>
        <w:t>桥台结构集成排水沟</w:t>
      </w:r>
      <w:r>
        <w:rPr>
          <w:rFonts w:hint="eastAsia" w:cs="Times New Roman"/>
          <w:color w:val="auto"/>
          <w:sz w:val="24"/>
          <w:lang w:eastAsia="zh-CN"/>
        </w:rPr>
        <w:t>、</w:t>
      </w:r>
      <w:r>
        <w:rPr>
          <w:rFonts w:hint="eastAsia" w:ascii="Times New Roman" w:hAnsi="Times New Roman" w:eastAsia="宋体" w:cs="Times New Roman"/>
          <w:color w:val="auto"/>
          <w:sz w:val="24"/>
        </w:rPr>
        <w:t>隔油沉淀池及附属设备</w:t>
      </w:r>
      <w:r>
        <w:rPr>
          <w:rFonts w:hint="eastAsia" w:cs="Times New Roman"/>
          <w:color w:val="auto"/>
          <w:sz w:val="24"/>
          <w:lang w:val="en-US" w:eastAsia="zh-CN"/>
        </w:rPr>
        <w:t>等</w:t>
      </w:r>
      <w:r>
        <w:rPr>
          <w:rFonts w:hint="eastAsia" w:ascii="Times New Roman" w:hAnsi="Times New Roman" w:eastAsia="宋体" w:cs="Times New Roman"/>
          <w:color w:val="auto"/>
          <w:sz w:val="24"/>
        </w:rPr>
        <w:t>。</w:t>
      </w:r>
    </w:p>
    <w:p w14:paraId="10172F23">
      <w:pPr>
        <w:widowControl w:val="0"/>
        <w:spacing w:line="360" w:lineRule="auto"/>
        <w:ind w:firstLine="480" w:firstLineChars="200"/>
        <w:jc w:val="both"/>
        <w:rPr>
          <w:rFonts w:ascii="宋体" w:hAnsi="宋体" w:eastAsia="宋体" w:cs="Times New Roman"/>
          <w:color w:val="auto"/>
          <w:kern w:val="2"/>
          <w:sz w:val="24"/>
          <w:szCs w:val="24"/>
          <w:lang w:val="en-US" w:eastAsia="zh-CN" w:bidi="ar-SA"/>
        </w:rPr>
      </w:pPr>
      <w:r>
        <w:rPr>
          <w:rFonts w:hint="eastAsia" w:ascii="Times New Roman" w:hAnsi="Times New Roman" w:cs="Times New Roman"/>
          <w:color w:val="auto"/>
          <w:kern w:val="2"/>
          <w:sz w:val="24"/>
          <w:szCs w:val="24"/>
          <w:lang w:val="en-US" w:eastAsia="zh-CN" w:bidi="ar-SA"/>
        </w:rPr>
        <w:t>项目水域使用面积约1.75万平方米，包括两个泊位（</w:t>
      </w:r>
      <w:r>
        <w:rPr>
          <w:rFonts w:hint="eastAsia" w:cs="Times New Roman"/>
          <w:color w:val="auto"/>
          <w:kern w:val="2"/>
          <w:sz w:val="24"/>
          <w:szCs w:val="24"/>
          <w:lang w:val="en-US" w:eastAsia="zh-CN" w:bidi="ar-SA"/>
        </w:rPr>
        <w:t>每个</w:t>
      </w:r>
      <w:r>
        <w:rPr>
          <w:rFonts w:hint="eastAsia" w:ascii="Times New Roman" w:hAnsi="Times New Roman" w:cs="Times New Roman"/>
          <w:color w:val="auto"/>
          <w:kern w:val="2"/>
          <w:sz w:val="24"/>
          <w:szCs w:val="24"/>
          <w:lang w:val="en-US" w:eastAsia="zh-CN" w:bidi="ar-SA"/>
        </w:rPr>
        <w:t>1000吨级（兼顾2000吨级））</w:t>
      </w:r>
      <w:r>
        <w:rPr>
          <w:rFonts w:hint="eastAsia" w:cs="Times New Roman"/>
          <w:color w:val="auto"/>
          <w:kern w:val="2"/>
          <w:sz w:val="24"/>
          <w:szCs w:val="24"/>
          <w:lang w:val="en-US" w:eastAsia="zh-CN" w:bidi="ar-SA"/>
        </w:rPr>
        <w:t>、港池</w:t>
      </w:r>
      <w:r>
        <w:rPr>
          <w:rFonts w:hint="eastAsia" w:ascii="Times New Roman" w:hAnsi="Times New Roman" w:cs="Times New Roman"/>
          <w:color w:val="auto"/>
          <w:kern w:val="2"/>
          <w:sz w:val="24"/>
          <w:szCs w:val="24"/>
          <w:lang w:val="en-US" w:eastAsia="zh-CN" w:bidi="ar-SA"/>
        </w:rPr>
        <w:t>和回旋水域（椭圆形，长轴a=150m，短轴b=90m）</w:t>
      </w:r>
      <w:r>
        <w:rPr>
          <w:rFonts w:hint="eastAsia" w:ascii="宋体" w:hAnsi="宋体" w:cs="Times New Roman"/>
          <w:color w:val="auto"/>
          <w:kern w:val="2"/>
          <w:sz w:val="24"/>
          <w:szCs w:val="24"/>
          <w:lang w:val="en-US" w:eastAsia="zh-CN" w:bidi="ar-SA"/>
        </w:rPr>
        <w:t>。</w:t>
      </w:r>
      <w:r>
        <w:rPr>
          <w:rFonts w:ascii="宋体" w:hAnsi="宋体" w:eastAsia="宋体" w:cs="Times New Roman"/>
          <w:color w:val="auto"/>
          <w:kern w:val="2"/>
          <w:sz w:val="24"/>
          <w:szCs w:val="28"/>
          <w:lang w:val="en-US" w:eastAsia="zh-CN" w:bidi="ar-SA"/>
        </w:rPr>
        <w:t>项目主要建设内容见</w:t>
      </w:r>
      <w:r>
        <w:rPr>
          <w:rFonts w:ascii="Times New Roman" w:hAnsi="Times New Roman" w:eastAsia="宋体" w:cs="Times New Roman"/>
          <w:color w:val="auto"/>
          <w:kern w:val="2"/>
          <w:sz w:val="24"/>
          <w:szCs w:val="28"/>
          <w:lang w:val="en-US" w:eastAsia="zh-CN" w:bidi="ar-SA"/>
        </w:rPr>
        <w:t>表3.2-1。</w:t>
      </w:r>
    </w:p>
    <w:p w14:paraId="2D4A2944">
      <w:pPr>
        <w:spacing w:line="360" w:lineRule="auto"/>
        <w:ind w:firstLine="480" w:firstLineChars="200"/>
        <w:jc w:val="center"/>
        <w:rPr>
          <w:rFonts w:eastAsia="黑体"/>
          <w:color w:val="auto"/>
          <w:sz w:val="24"/>
        </w:rPr>
        <w:sectPr>
          <w:pgSz w:w="11907" w:h="16840"/>
          <w:pgMar w:top="1440" w:right="1418" w:bottom="1440" w:left="1418" w:header="851" w:footer="992" w:gutter="0"/>
          <w:pgBorders>
            <w:top w:val="none" w:sz="0" w:space="0"/>
            <w:left w:val="none" w:sz="0" w:space="0"/>
            <w:bottom w:val="none" w:sz="0" w:space="0"/>
            <w:right w:val="none" w:sz="0" w:space="0"/>
          </w:pgBorders>
          <w:cols w:space="720" w:num="1"/>
          <w:docGrid w:type="linesAndChars" w:linePitch="312" w:charSpace="0"/>
        </w:sectPr>
      </w:pPr>
    </w:p>
    <w:p w14:paraId="4517DF29">
      <w:pPr>
        <w:spacing w:line="400" w:lineRule="exact"/>
        <w:ind w:firstLine="480" w:firstLineChars="200"/>
        <w:jc w:val="center"/>
        <w:rPr>
          <w:rFonts w:ascii="Times New Roman" w:hAnsi="Times New Roman" w:eastAsia="黑体" w:cs="Times New Roman"/>
          <w:color w:val="auto"/>
          <w:sz w:val="24"/>
        </w:rPr>
      </w:pPr>
      <w:r>
        <w:rPr>
          <w:rFonts w:ascii="Times New Roman" w:hAnsi="Times New Roman" w:eastAsia="黑体" w:cs="Times New Roman"/>
          <w:color w:val="auto"/>
          <w:sz w:val="24"/>
        </w:rPr>
        <w:t>表3.2-1  项目工程组成内容一览表</w:t>
      </w:r>
    </w:p>
    <w:tbl>
      <w:tblPr>
        <w:tblStyle w:val="53"/>
        <w:tblW w:w="500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73"/>
        <w:gridCol w:w="500"/>
        <w:gridCol w:w="358"/>
        <w:gridCol w:w="472"/>
        <w:gridCol w:w="9920"/>
        <w:gridCol w:w="2070"/>
        <w:gridCol w:w="53"/>
      </w:tblGrid>
      <w:tr w14:paraId="2F341A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tblHeader/>
          <w:jc w:val="center"/>
        </w:trPr>
        <w:tc>
          <w:tcPr>
            <w:tcW w:w="306" w:type="pct"/>
            <w:noWrap w:val="0"/>
            <w:vAlign w:val="center"/>
          </w:tcPr>
          <w:p w14:paraId="0258EF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类别</w:t>
            </w:r>
          </w:p>
        </w:tc>
        <w:tc>
          <w:tcPr>
            <w:tcW w:w="466" w:type="pct"/>
            <w:gridSpan w:val="3"/>
            <w:noWrap w:val="0"/>
            <w:vAlign w:val="center"/>
          </w:tcPr>
          <w:p w14:paraId="02F3B7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工程名称</w:t>
            </w:r>
          </w:p>
        </w:tc>
        <w:tc>
          <w:tcPr>
            <w:tcW w:w="3481" w:type="pct"/>
            <w:noWrap w:val="0"/>
            <w:vAlign w:val="center"/>
          </w:tcPr>
          <w:p w14:paraId="04B56B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b/>
                <w:color w:val="auto"/>
              </w:rPr>
            </w:pPr>
            <w:r>
              <w:rPr>
                <w:rFonts w:hint="eastAsia" w:ascii="Times New Roman" w:hAnsi="Times New Roman" w:eastAsia="宋体" w:cs="Times New Roman"/>
                <w:b/>
                <w:color w:val="auto"/>
              </w:rPr>
              <w:t>工程</w:t>
            </w:r>
            <w:r>
              <w:rPr>
                <w:rFonts w:hint="default" w:ascii="Times New Roman" w:hAnsi="Times New Roman" w:eastAsia="宋体" w:cs="Times New Roman"/>
                <w:b/>
                <w:color w:val="auto"/>
              </w:rPr>
              <w:t>内容及规模</w:t>
            </w:r>
          </w:p>
        </w:tc>
        <w:tc>
          <w:tcPr>
            <w:tcW w:w="726" w:type="pct"/>
            <w:noWrap w:val="0"/>
            <w:vAlign w:val="center"/>
          </w:tcPr>
          <w:p w14:paraId="0A3FA2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b/>
                <w:color w:val="auto"/>
                <w:lang w:val="en-US" w:eastAsia="zh-CN"/>
              </w:rPr>
            </w:pPr>
            <w:r>
              <w:rPr>
                <w:rFonts w:hint="eastAsia" w:cs="Times New Roman"/>
                <w:b/>
                <w:color w:val="auto"/>
                <w:lang w:val="en-US" w:eastAsia="zh-CN"/>
              </w:rPr>
              <w:t>与</w:t>
            </w:r>
            <w:r>
              <w:rPr>
                <w:rFonts w:hint="eastAsia" w:ascii="Times New Roman" w:hAnsi="Times New Roman" w:eastAsia="宋体" w:cs="Times New Roman"/>
                <w:b/>
                <w:color w:val="auto"/>
                <w:lang w:val="en-US" w:eastAsia="zh-CN"/>
              </w:rPr>
              <w:t>原环评批复内容的变化情况</w:t>
            </w:r>
          </w:p>
        </w:tc>
      </w:tr>
      <w:tr w14:paraId="5301E8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6" w:type="pct"/>
            <w:vMerge w:val="restart"/>
            <w:noWrap w:val="0"/>
            <w:vAlign w:val="center"/>
          </w:tcPr>
          <w:p w14:paraId="61CBFD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主体工程</w:t>
            </w:r>
          </w:p>
        </w:tc>
        <w:tc>
          <w:tcPr>
            <w:tcW w:w="175" w:type="pct"/>
            <w:vMerge w:val="restart"/>
            <w:noWrap w:val="0"/>
            <w:vAlign w:val="center"/>
          </w:tcPr>
          <w:p w14:paraId="6B8E56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水域</w:t>
            </w:r>
          </w:p>
        </w:tc>
        <w:tc>
          <w:tcPr>
            <w:tcW w:w="291" w:type="pct"/>
            <w:gridSpan w:val="2"/>
            <w:noWrap w:val="0"/>
            <w:vAlign w:val="center"/>
          </w:tcPr>
          <w:p w14:paraId="4E6164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泊位</w:t>
            </w:r>
          </w:p>
          <w:p w14:paraId="63D6F8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（占地1</w:t>
            </w:r>
            <w:r>
              <w:rPr>
                <w:rFonts w:hint="default" w:ascii="Times New Roman" w:hAnsi="Times New Roman" w:eastAsia="宋体" w:cs="Times New Roman"/>
                <w:color w:val="auto"/>
                <w:kern w:val="2"/>
                <w:sz w:val="21"/>
                <w:szCs w:val="21"/>
                <w:lang w:val="en-US" w:eastAsia="zh-CN" w:bidi="ar-SA"/>
              </w:rPr>
              <w:t>950</w:t>
            </w:r>
            <w:r>
              <w:rPr>
                <w:rFonts w:hint="eastAsia" w:ascii="Times New Roman" w:hAnsi="Times New Roman" w:eastAsia="宋体"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vertAlign w:val="superscript"/>
                <w:lang w:val="en-US" w:eastAsia="zh-CN" w:bidi="ar-SA"/>
              </w:rPr>
              <w:t>2</w:t>
            </w:r>
            <w:r>
              <w:rPr>
                <w:rFonts w:hint="eastAsia" w:ascii="Times New Roman" w:hAnsi="Times New Roman" w:eastAsia="宋体" w:cs="Times New Roman"/>
                <w:color w:val="auto"/>
                <w:kern w:val="2"/>
                <w:sz w:val="21"/>
                <w:szCs w:val="21"/>
                <w:lang w:val="en-US" w:eastAsia="zh-CN" w:bidi="ar-SA"/>
              </w:rPr>
              <w:t>）</w:t>
            </w:r>
          </w:p>
        </w:tc>
        <w:tc>
          <w:tcPr>
            <w:tcW w:w="3481" w:type="pct"/>
            <w:noWrap w:val="0"/>
            <w:vAlign w:val="center"/>
          </w:tcPr>
          <w:p w14:paraId="0890CE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码头采用高桩梁板结构，码头平台尺度为130m×15m，共</w:t>
            </w:r>
            <w:r>
              <w:rPr>
                <w:rFonts w:hint="eastAsia" w:cs="Times New Roman"/>
                <w:color w:val="auto"/>
                <w:lang w:eastAsia="zh-CN"/>
              </w:rPr>
              <w:t>分为</w:t>
            </w:r>
            <w:r>
              <w:rPr>
                <w:rFonts w:hint="eastAsia" w:ascii="Times New Roman" w:hAnsi="Times New Roman" w:eastAsia="宋体" w:cs="Times New Roman"/>
                <w:color w:val="auto"/>
              </w:rPr>
              <w:t>61m和69m长的两个结构段，每个结构段标准排架间距为7.0m，变形缝悬臂2.5m，预留固定吊基础排架间距4.0m。</w:t>
            </w:r>
          </w:p>
          <w:p w14:paraId="034F8E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rPr>
            </w:pPr>
            <w:r>
              <w:rPr>
                <w:rFonts w:hint="eastAsia" w:ascii="宋体" w:hAnsi="宋体" w:eastAsia="宋体" w:cs="宋体"/>
                <w:color w:val="auto"/>
              </w:rPr>
              <w:t>①</w:t>
            </w:r>
            <w:r>
              <w:rPr>
                <w:rFonts w:hint="default" w:ascii="Times New Roman" w:hAnsi="Times New Roman" w:eastAsia="宋体" w:cs="Times New Roman"/>
                <w:color w:val="auto"/>
              </w:rPr>
              <w:t>共布置</w:t>
            </w:r>
            <w:r>
              <w:rPr>
                <w:rFonts w:hint="eastAsia" w:ascii="Times New Roman" w:hAnsi="Times New Roman" w:eastAsia="宋体" w:cs="Times New Roman"/>
                <w:color w:val="auto"/>
              </w:rPr>
              <w:t>2</w:t>
            </w:r>
            <w:r>
              <w:rPr>
                <w:rFonts w:hint="default" w:ascii="Times New Roman" w:hAnsi="Times New Roman" w:eastAsia="宋体" w:cs="Times New Roman"/>
                <w:color w:val="auto"/>
              </w:rPr>
              <w:t>个</w:t>
            </w:r>
            <w:r>
              <w:rPr>
                <w:rFonts w:hint="eastAsia" w:ascii="Times New Roman" w:hAnsi="Times New Roman" w:eastAsia="宋体" w:cs="Times New Roman"/>
                <w:color w:val="auto"/>
                <w:kern w:val="0"/>
              </w:rPr>
              <w:t>1000吨级（兼顾2000吨级）散货泊位</w:t>
            </w:r>
            <w:r>
              <w:rPr>
                <w:rFonts w:hint="default" w:ascii="Times New Roman" w:hAnsi="Times New Roman" w:eastAsia="宋体" w:cs="Times New Roman"/>
                <w:color w:val="auto"/>
              </w:rPr>
              <w:t>，自上游往下依次为</w:t>
            </w:r>
            <w:r>
              <w:rPr>
                <w:rFonts w:hint="eastAsia" w:ascii="Times New Roman" w:hAnsi="Times New Roman" w:eastAsia="宋体" w:cs="Times New Roman"/>
                <w:color w:val="auto"/>
              </w:rPr>
              <w:t>1~2</w:t>
            </w:r>
            <w:r>
              <w:rPr>
                <w:rFonts w:hint="default" w:ascii="Times New Roman" w:hAnsi="Times New Roman" w:eastAsia="宋体" w:cs="Times New Roman"/>
                <w:color w:val="auto"/>
              </w:rPr>
              <w:t>#泊位</w:t>
            </w:r>
            <w:r>
              <w:rPr>
                <w:rFonts w:hint="eastAsia" w:ascii="Times New Roman" w:hAnsi="Times New Roman" w:eastAsia="宋体" w:cs="Times New Roman"/>
                <w:color w:val="auto"/>
              </w:rPr>
              <w:t>，</w:t>
            </w:r>
          </w:p>
          <w:p w14:paraId="679F96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1#</w:t>
            </w:r>
            <w:r>
              <w:rPr>
                <w:rFonts w:hint="default" w:ascii="Times New Roman" w:hAnsi="Times New Roman" w:eastAsia="宋体" w:cs="Times New Roman"/>
                <w:color w:val="auto"/>
              </w:rPr>
              <w:t>泊位</w:t>
            </w:r>
            <w:r>
              <w:rPr>
                <w:rFonts w:hint="eastAsia" w:ascii="Times New Roman" w:hAnsi="Times New Roman" w:eastAsia="宋体" w:cs="Times New Roman"/>
                <w:color w:val="auto"/>
              </w:rPr>
              <w:t>为散货进口泊位，</w:t>
            </w:r>
            <w:r>
              <w:rPr>
                <w:rFonts w:hint="default" w:ascii="Times New Roman" w:hAnsi="Times New Roman" w:eastAsia="宋体" w:cs="Times New Roman"/>
                <w:color w:val="auto"/>
                <w:spacing w:val="1"/>
              </w:rPr>
              <w:t>主要货种为矿</w:t>
            </w:r>
            <w:r>
              <w:rPr>
                <w:rFonts w:hint="default" w:ascii="Times New Roman" w:hAnsi="Times New Roman" w:eastAsia="宋体" w:cs="Times New Roman"/>
                <w:color w:val="auto"/>
              </w:rPr>
              <w:t>建材料（石子）</w:t>
            </w:r>
            <w:r>
              <w:rPr>
                <w:rFonts w:hint="eastAsia" w:cs="Times New Roman"/>
                <w:color w:val="auto"/>
                <w:lang w:eastAsia="zh-CN"/>
              </w:rPr>
              <w:t>、</w:t>
            </w:r>
            <w:r>
              <w:rPr>
                <w:rFonts w:hint="eastAsia" w:cs="Times New Roman"/>
                <w:color w:val="auto"/>
                <w:lang w:val="en-US" w:eastAsia="zh-CN"/>
              </w:rPr>
              <w:t>件杂货</w:t>
            </w:r>
            <w:r>
              <w:rPr>
                <w:rFonts w:hint="default" w:ascii="Times New Roman" w:hAnsi="Times New Roman" w:eastAsia="宋体" w:cs="Times New Roman"/>
                <w:color w:val="auto"/>
              </w:rPr>
              <w:t>；</w:t>
            </w:r>
          </w:p>
          <w:p w14:paraId="5AD883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2#</w:t>
            </w:r>
            <w:r>
              <w:rPr>
                <w:rFonts w:hint="default" w:ascii="Times New Roman" w:hAnsi="Times New Roman" w:eastAsia="宋体" w:cs="Times New Roman"/>
                <w:color w:val="auto"/>
              </w:rPr>
              <w:t>泊位散货出口泊位，主要货种为煤炭</w:t>
            </w:r>
            <w:r>
              <w:rPr>
                <w:rFonts w:hint="eastAsia" w:ascii="Times New Roman" w:hAnsi="Times New Roman" w:eastAsia="宋体" w:cs="Times New Roman"/>
                <w:color w:val="auto"/>
              </w:rPr>
              <w:t>；</w:t>
            </w:r>
            <w:r>
              <w:rPr>
                <w:rFonts w:hint="default" w:ascii="Times New Roman" w:hAnsi="Times New Roman" w:eastAsia="宋体" w:cs="Times New Roman"/>
                <w:color w:val="auto"/>
              </w:rPr>
              <w:t>采用流动装船机对船舶装船，配置长臂挖机对船舶进行卸船。</w:t>
            </w:r>
          </w:p>
          <w:p w14:paraId="41D286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rPr>
            </w:pPr>
            <w:r>
              <w:rPr>
                <w:rFonts w:hint="eastAsia" w:ascii="宋体" w:hAnsi="宋体" w:eastAsia="宋体" w:cs="宋体"/>
                <w:color w:val="auto"/>
                <w:spacing w:val="1"/>
              </w:rPr>
              <w:t>②</w:t>
            </w:r>
            <w:r>
              <w:rPr>
                <w:rFonts w:hint="default" w:ascii="Times New Roman" w:hAnsi="Times New Roman" w:eastAsia="宋体" w:cs="Times New Roman"/>
                <w:color w:val="auto"/>
                <w:spacing w:val="1"/>
              </w:rPr>
              <w:t>在上游</w:t>
            </w:r>
            <w:r>
              <w:rPr>
                <w:rFonts w:hint="default" w:ascii="Times New Roman" w:hAnsi="Times New Roman" w:eastAsia="Times New Roman" w:cs="Times New Roman"/>
                <w:color w:val="auto"/>
                <w:spacing w:val="1"/>
              </w:rPr>
              <w:t>1#</w:t>
            </w:r>
            <w:r>
              <w:rPr>
                <w:rFonts w:hint="default" w:ascii="Times New Roman" w:hAnsi="Times New Roman" w:eastAsia="宋体" w:cs="Times New Roman"/>
                <w:color w:val="auto"/>
                <w:spacing w:val="1"/>
              </w:rPr>
              <w:t>泊位配备</w:t>
            </w:r>
            <w:r>
              <w:rPr>
                <w:rFonts w:hint="eastAsia" w:ascii="Times New Roman" w:hAnsi="Times New Roman" w:eastAsia="宋体" w:cs="Times New Roman"/>
                <w:color w:val="auto"/>
                <w:spacing w:val="1"/>
              </w:rPr>
              <w:t>1</w:t>
            </w:r>
            <w:r>
              <w:rPr>
                <w:rFonts w:hint="default" w:ascii="Times New Roman" w:hAnsi="Times New Roman" w:eastAsia="宋体" w:cs="Times New Roman"/>
                <w:color w:val="auto"/>
                <w:spacing w:val="1"/>
              </w:rPr>
              <w:t>台液压抓机</w:t>
            </w:r>
            <w:r>
              <w:rPr>
                <w:rFonts w:hint="eastAsia" w:cs="Times New Roman"/>
                <w:color w:val="auto"/>
                <w:spacing w:val="1"/>
                <w:lang w:val="en-US" w:eastAsia="zh-CN"/>
              </w:rPr>
              <w:t>及2台固定吊（预留）</w:t>
            </w:r>
            <w:r>
              <w:rPr>
                <w:rFonts w:hint="eastAsia" w:ascii="Times New Roman" w:hAnsi="Times New Roman" w:eastAsia="宋体" w:cs="Times New Roman"/>
                <w:color w:val="auto"/>
                <w:spacing w:val="1"/>
              </w:rPr>
              <w:t>，</w:t>
            </w:r>
            <w:r>
              <w:rPr>
                <w:rFonts w:hint="eastAsia" w:ascii="Times New Roman" w:hAnsi="Times New Roman" w:eastAsia="宋体" w:cs="Times New Roman"/>
                <w:color w:val="auto"/>
              </w:rPr>
              <w:t>从船上抓取货物置于自卸汽车上</w:t>
            </w:r>
            <w:r>
              <w:rPr>
                <w:rFonts w:hint="default" w:ascii="Times New Roman" w:hAnsi="Times New Roman" w:eastAsia="宋体" w:cs="Times New Roman"/>
                <w:color w:val="auto"/>
                <w:spacing w:val="-2"/>
              </w:rPr>
              <w:t>；在下游</w:t>
            </w:r>
            <w:r>
              <w:rPr>
                <w:rFonts w:hint="default" w:ascii="Times New Roman" w:hAnsi="Times New Roman" w:eastAsia="Times New Roman" w:cs="Times New Roman"/>
                <w:color w:val="auto"/>
                <w:spacing w:val="-2"/>
              </w:rPr>
              <w:t>2#</w:t>
            </w:r>
            <w:r>
              <w:rPr>
                <w:rFonts w:hint="default" w:ascii="Times New Roman" w:hAnsi="Times New Roman" w:eastAsia="宋体" w:cs="Times New Roman"/>
                <w:color w:val="auto"/>
                <w:spacing w:val="-2"/>
              </w:rPr>
              <w:t>泊位配置</w:t>
            </w:r>
            <w:r>
              <w:rPr>
                <w:rFonts w:hint="eastAsia" w:ascii="Times New Roman" w:hAnsi="Times New Roman" w:eastAsia="宋体" w:cs="Times New Roman"/>
                <w:color w:val="auto"/>
              </w:rPr>
              <w:t>1台600t/h流动式装船机</w:t>
            </w:r>
            <w:r>
              <w:rPr>
                <w:rFonts w:hint="default" w:ascii="Times New Roman" w:hAnsi="Times New Roman" w:eastAsia="宋体" w:cs="Times New Roman"/>
                <w:color w:val="auto"/>
                <w:spacing w:val="-2"/>
              </w:rPr>
              <w:t>，</w:t>
            </w:r>
            <w:r>
              <w:rPr>
                <w:rFonts w:hint="default" w:ascii="Times New Roman" w:hAnsi="Times New Roman" w:eastAsia="宋体" w:cs="Times New Roman"/>
                <w:color w:val="auto"/>
              </w:rPr>
              <w:t>下游</w:t>
            </w:r>
            <w:r>
              <w:rPr>
                <w:rFonts w:hint="default" w:ascii="Times New Roman" w:hAnsi="Times New Roman" w:eastAsia="Times New Roman" w:cs="Times New Roman"/>
                <w:color w:val="auto"/>
              </w:rPr>
              <w:t>2#</w:t>
            </w:r>
            <w:r>
              <w:rPr>
                <w:rFonts w:hint="default" w:ascii="Times New Roman" w:hAnsi="Times New Roman" w:eastAsia="宋体" w:cs="Times New Roman"/>
                <w:color w:val="auto"/>
              </w:rPr>
              <w:t>泊位预留</w:t>
            </w:r>
            <w:r>
              <w:rPr>
                <w:rFonts w:hint="default" w:ascii="Times New Roman" w:hAnsi="Times New Roman" w:eastAsia="Times New Roman" w:cs="Times New Roman"/>
                <w:color w:val="auto"/>
              </w:rPr>
              <w:t>2</w:t>
            </w:r>
            <w:r>
              <w:rPr>
                <w:rFonts w:hint="default" w:ascii="Times New Roman" w:hAnsi="Times New Roman" w:eastAsia="宋体" w:cs="Times New Roman"/>
                <w:color w:val="auto"/>
              </w:rPr>
              <w:t>个吊机墩（</w:t>
            </w:r>
            <w:r>
              <w:rPr>
                <w:rFonts w:hint="default" w:ascii="Times New Roman" w:hAnsi="Times New Roman" w:eastAsia="Times New Roman" w:cs="Times New Roman"/>
                <w:color w:val="auto"/>
              </w:rPr>
              <w:t>1</w:t>
            </w:r>
            <w:r>
              <w:rPr>
                <w:rFonts w:hint="eastAsia" w:ascii="Times New Roman" w:hAnsi="Times New Roman" w:eastAsia="宋体" w:cs="Times New Roman"/>
                <w:color w:val="auto"/>
              </w:rPr>
              <w:t>个</w:t>
            </w:r>
            <w:r>
              <w:rPr>
                <w:rFonts w:hint="default" w:ascii="Times New Roman" w:hAnsi="Times New Roman" w:eastAsia="Times New Roman" w:cs="Times New Roman"/>
                <w:color w:val="auto"/>
                <w:spacing w:val="-1"/>
              </w:rPr>
              <w:t>10t-20m</w:t>
            </w:r>
            <w:r>
              <w:rPr>
                <w:rFonts w:hint="default" w:ascii="Times New Roman" w:hAnsi="Times New Roman" w:eastAsia="宋体" w:cs="Times New Roman"/>
                <w:color w:val="auto"/>
              </w:rPr>
              <w:t>固定吊，</w:t>
            </w:r>
            <w:r>
              <w:rPr>
                <w:rFonts w:hint="default" w:ascii="Times New Roman" w:hAnsi="Times New Roman" w:eastAsia="Times New Roman" w:cs="Times New Roman"/>
                <w:color w:val="auto"/>
              </w:rPr>
              <w:t>1</w:t>
            </w:r>
            <w:r>
              <w:rPr>
                <w:rFonts w:hint="eastAsia" w:ascii="Times New Roman" w:hAnsi="Times New Roman" w:eastAsia="宋体" w:cs="Times New Roman"/>
                <w:color w:val="auto"/>
              </w:rPr>
              <w:t>个</w:t>
            </w:r>
            <w:r>
              <w:rPr>
                <w:rFonts w:hint="default" w:ascii="Times New Roman" w:hAnsi="Times New Roman" w:eastAsia="Times New Roman" w:cs="Times New Roman"/>
                <w:color w:val="auto"/>
                <w:spacing w:val="-1"/>
              </w:rPr>
              <w:t>25t-20m</w:t>
            </w:r>
            <w:r>
              <w:rPr>
                <w:rFonts w:hint="default" w:ascii="Times New Roman" w:hAnsi="Times New Roman" w:eastAsia="宋体" w:cs="Times New Roman"/>
                <w:color w:val="auto"/>
              </w:rPr>
              <w:t>固定吊）。码头装卸设备均为流动设备。</w:t>
            </w:r>
          </w:p>
          <w:p w14:paraId="491FA9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rPr>
            </w:pPr>
            <w:r>
              <w:rPr>
                <w:rFonts w:hint="default" w:ascii="Times New Roman" w:hAnsi="Times New Roman" w:eastAsia="宋体" w:cs="Times New Roman"/>
                <w:color w:val="auto"/>
              </w:rPr>
              <w:t>泊位总长为</w:t>
            </w:r>
            <w:r>
              <w:rPr>
                <w:rFonts w:hint="eastAsia" w:ascii="Times New Roman" w:hAnsi="Times New Roman" w:eastAsia="宋体" w:cs="Times New Roman"/>
                <w:color w:val="auto"/>
              </w:rPr>
              <w:t>160</w:t>
            </w:r>
            <w:r>
              <w:rPr>
                <w:rFonts w:hint="default" w:ascii="Times New Roman" w:hAnsi="Times New Roman" w:eastAsia="宋体" w:cs="Times New Roman"/>
                <w:color w:val="auto"/>
              </w:rPr>
              <w:t>m，码头平台长</w:t>
            </w:r>
            <w:r>
              <w:rPr>
                <w:rFonts w:hint="eastAsia" w:ascii="Times New Roman" w:hAnsi="Times New Roman" w:eastAsia="宋体" w:cs="Times New Roman"/>
                <w:color w:val="auto"/>
              </w:rPr>
              <w:t>130</w:t>
            </w:r>
            <w:r>
              <w:rPr>
                <w:rFonts w:hint="default" w:ascii="Times New Roman" w:hAnsi="Times New Roman" w:eastAsia="宋体" w:cs="Times New Roman"/>
                <w:color w:val="auto"/>
              </w:rPr>
              <w:t>m，</w:t>
            </w:r>
            <w:r>
              <w:rPr>
                <w:rFonts w:hint="eastAsia" w:ascii="Times New Roman" w:hAnsi="Times New Roman" w:eastAsia="宋体" w:cs="Times New Roman"/>
                <w:color w:val="auto"/>
              </w:rPr>
              <w:t>散货泊位</w:t>
            </w:r>
            <w:r>
              <w:rPr>
                <w:rFonts w:hint="default" w:ascii="Times New Roman" w:hAnsi="Times New Roman" w:eastAsia="宋体" w:cs="Times New Roman"/>
                <w:color w:val="auto"/>
              </w:rPr>
              <w:t>平台宽度为</w:t>
            </w:r>
            <w:r>
              <w:rPr>
                <w:rFonts w:hint="eastAsia" w:ascii="Times New Roman" w:hAnsi="Times New Roman" w:eastAsia="宋体" w:cs="Times New Roman"/>
                <w:color w:val="auto"/>
              </w:rPr>
              <w:t>15</w:t>
            </w:r>
            <w:r>
              <w:rPr>
                <w:rFonts w:hint="default" w:ascii="Times New Roman" w:hAnsi="Times New Roman" w:eastAsia="宋体" w:cs="Times New Roman"/>
                <w:color w:val="auto"/>
              </w:rPr>
              <w:t>m，顶面高程为</w:t>
            </w:r>
            <w:r>
              <w:rPr>
                <w:rFonts w:hint="eastAsia" w:ascii="Times New Roman" w:hAnsi="Times New Roman" w:eastAsia="宋体" w:cs="Times New Roman"/>
                <w:color w:val="auto"/>
              </w:rPr>
              <w:t>20.5</w:t>
            </w:r>
            <w:r>
              <w:rPr>
                <w:rFonts w:hint="default" w:ascii="Times New Roman" w:hAnsi="Times New Roman" w:eastAsia="宋体" w:cs="Times New Roman"/>
                <w:color w:val="auto"/>
              </w:rPr>
              <w:t>m。</w:t>
            </w:r>
          </w:p>
        </w:tc>
        <w:tc>
          <w:tcPr>
            <w:tcW w:w="745" w:type="pct"/>
            <w:gridSpan w:val="2"/>
            <w:noWrap w:val="0"/>
            <w:vAlign w:val="center"/>
          </w:tcPr>
          <w:p w14:paraId="10CB73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lang w:val="en-US" w:eastAsia="zh-CN"/>
              </w:rPr>
            </w:pPr>
            <w:r>
              <w:rPr>
                <w:rFonts w:hint="eastAsia" w:cs="Times New Roman"/>
                <w:color w:val="auto"/>
                <w:lang w:val="en-US" w:eastAsia="zh-CN"/>
              </w:rPr>
              <w:t>泊位由</w:t>
            </w:r>
            <w:r>
              <w:rPr>
                <w:rFonts w:hint="eastAsia" w:ascii="Times New Roman" w:hAnsi="Times New Roman" w:eastAsia="宋体" w:cs="Times New Roman"/>
                <w:color w:val="auto"/>
              </w:rPr>
              <w:t>2</w:t>
            </w:r>
            <w:r>
              <w:rPr>
                <w:rFonts w:hint="default" w:ascii="Times New Roman" w:hAnsi="Times New Roman" w:eastAsia="宋体" w:cs="Times New Roman"/>
                <w:color w:val="auto"/>
              </w:rPr>
              <w:t>个</w:t>
            </w:r>
            <w:r>
              <w:rPr>
                <w:rFonts w:hint="eastAsia" w:cs="Times New Roman"/>
                <w:color w:val="auto"/>
                <w:kern w:val="0"/>
                <w:lang w:val="en-US" w:eastAsia="zh-CN"/>
              </w:rPr>
              <w:t>5</w:t>
            </w:r>
            <w:r>
              <w:rPr>
                <w:rFonts w:hint="eastAsia" w:ascii="Times New Roman" w:hAnsi="Times New Roman" w:eastAsia="宋体" w:cs="Times New Roman"/>
                <w:color w:val="auto"/>
                <w:kern w:val="0"/>
              </w:rPr>
              <w:t>00吨级</w:t>
            </w:r>
            <w:r>
              <w:rPr>
                <w:rFonts w:hint="eastAsia" w:cs="Times New Roman"/>
                <w:color w:val="auto"/>
                <w:kern w:val="0"/>
                <w:lang w:val="en-US" w:eastAsia="zh-CN"/>
              </w:rPr>
              <w:t>变更为</w:t>
            </w:r>
            <w:r>
              <w:rPr>
                <w:rFonts w:hint="eastAsia" w:ascii="Times New Roman" w:hAnsi="Times New Roman" w:eastAsia="宋体" w:cs="Times New Roman"/>
                <w:color w:val="auto"/>
              </w:rPr>
              <w:t>2</w:t>
            </w:r>
            <w:r>
              <w:rPr>
                <w:rFonts w:hint="default" w:ascii="Times New Roman" w:hAnsi="Times New Roman" w:eastAsia="宋体" w:cs="Times New Roman"/>
                <w:color w:val="auto"/>
              </w:rPr>
              <w:t>个</w:t>
            </w:r>
            <w:r>
              <w:rPr>
                <w:rFonts w:hint="eastAsia" w:ascii="Times New Roman" w:hAnsi="Times New Roman" w:eastAsia="宋体" w:cs="Times New Roman"/>
                <w:color w:val="auto"/>
                <w:kern w:val="0"/>
              </w:rPr>
              <w:t>1000吨级</w:t>
            </w:r>
            <w:r>
              <w:rPr>
                <w:rFonts w:hint="eastAsia" w:cs="Times New Roman"/>
                <w:color w:val="auto"/>
                <w:kern w:val="0"/>
                <w:lang w:eastAsia="zh-CN"/>
              </w:rPr>
              <w:t>；</w:t>
            </w:r>
            <w:r>
              <w:rPr>
                <w:rFonts w:hint="eastAsia" w:cs="Times New Roman"/>
                <w:color w:val="auto"/>
                <w:kern w:val="0"/>
                <w:lang w:val="en-US" w:eastAsia="zh-CN"/>
              </w:rPr>
              <w:t>货种增加了</w:t>
            </w:r>
            <w:r>
              <w:rPr>
                <w:rFonts w:hint="default" w:ascii="Times New Roman" w:hAnsi="Times New Roman" w:eastAsia="宋体" w:cs="Times New Roman"/>
                <w:color w:val="auto"/>
                <w:spacing w:val="1"/>
              </w:rPr>
              <w:t>矿</w:t>
            </w:r>
            <w:r>
              <w:rPr>
                <w:rFonts w:hint="default" w:ascii="Times New Roman" w:hAnsi="Times New Roman" w:eastAsia="宋体" w:cs="Times New Roman"/>
                <w:color w:val="auto"/>
              </w:rPr>
              <w:t>建材料（石子）</w:t>
            </w:r>
            <w:r>
              <w:rPr>
                <w:rFonts w:hint="eastAsia" w:cs="Times New Roman"/>
                <w:color w:val="auto"/>
                <w:lang w:eastAsia="zh-CN"/>
              </w:rPr>
              <w:t>、</w:t>
            </w:r>
            <w:r>
              <w:rPr>
                <w:rFonts w:hint="eastAsia" w:cs="Times New Roman"/>
                <w:color w:val="auto"/>
                <w:lang w:val="en-US" w:eastAsia="zh-CN"/>
              </w:rPr>
              <w:t>件杂货</w:t>
            </w:r>
            <w:r>
              <w:rPr>
                <w:rFonts w:hint="eastAsia" w:cs="Times New Roman"/>
                <w:color w:val="auto"/>
                <w:lang w:eastAsia="zh-CN"/>
              </w:rPr>
              <w:t>；</w:t>
            </w:r>
            <w:r>
              <w:rPr>
                <w:rFonts w:hint="eastAsia" w:cs="Times New Roman"/>
                <w:color w:val="auto"/>
                <w:lang w:val="en-US" w:eastAsia="zh-CN"/>
              </w:rPr>
              <w:t>泊位总长由101m增加至160m</w:t>
            </w:r>
          </w:p>
        </w:tc>
      </w:tr>
      <w:tr w14:paraId="49F25F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06" w:type="pct"/>
            <w:vMerge w:val="continue"/>
            <w:noWrap w:val="0"/>
            <w:vAlign w:val="center"/>
          </w:tcPr>
          <w:p w14:paraId="7D4B85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175" w:type="pct"/>
            <w:vMerge w:val="continue"/>
            <w:noWrap w:val="0"/>
            <w:vAlign w:val="center"/>
          </w:tcPr>
          <w:p w14:paraId="2C3235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291" w:type="pct"/>
            <w:gridSpan w:val="2"/>
            <w:noWrap w:val="0"/>
            <w:vAlign w:val="center"/>
          </w:tcPr>
          <w:p w14:paraId="28DAA7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港池</w:t>
            </w:r>
          </w:p>
        </w:tc>
        <w:tc>
          <w:tcPr>
            <w:tcW w:w="3481" w:type="pct"/>
            <w:noWrap w:val="0"/>
            <w:vAlign w:val="center"/>
          </w:tcPr>
          <w:p w14:paraId="110A57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rPr>
            </w:pPr>
            <w:r>
              <w:rPr>
                <w:rFonts w:hint="eastAsia" w:ascii="宋体" w:hAnsi="宋体" w:eastAsia="宋体" w:cs="宋体"/>
                <w:color w:val="auto"/>
              </w:rPr>
              <w:t>①</w:t>
            </w:r>
            <w:r>
              <w:rPr>
                <w:rFonts w:hint="eastAsia" w:ascii="Times New Roman" w:hAnsi="Times New Roman" w:eastAsia="宋体" w:cs="Times New Roman"/>
                <w:color w:val="auto"/>
              </w:rPr>
              <w:t>采用挖入式港池，</w:t>
            </w:r>
            <w:r>
              <w:rPr>
                <w:rFonts w:hint="default" w:ascii="Times New Roman" w:hAnsi="Times New Roman" w:eastAsia="宋体" w:cs="Times New Roman"/>
                <w:color w:val="auto"/>
              </w:rPr>
              <w:t>为使码头前停泊水域及回旋水域较大</w:t>
            </w:r>
            <w:r>
              <w:rPr>
                <w:rFonts w:hint="default" w:ascii="Times New Roman" w:hAnsi="Times New Roman" w:eastAsia="宋体" w:cs="Times New Roman"/>
                <w:color w:val="auto"/>
                <w:spacing w:val="-24"/>
              </w:rPr>
              <w:t>，</w:t>
            </w:r>
            <w:r>
              <w:rPr>
                <w:rFonts w:hint="default" w:ascii="Times New Roman" w:hAnsi="Times New Roman" w:eastAsia="宋体" w:cs="Times New Roman"/>
                <w:color w:val="auto"/>
              </w:rPr>
              <w:t>船舶进出港作业方便</w:t>
            </w:r>
            <w:r>
              <w:rPr>
                <w:rFonts w:hint="default" w:ascii="Times New Roman" w:hAnsi="Times New Roman" w:eastAsia="宋体" w:cs="Times New Roman"/>
                <w:color w:val="auto"/>
                <w:spacing w:val="-24"/>
              </w:rPr>
              <w:t>，</w:t>
            </w:r>
            <w:r>
              <w:rPr>
                <w:rFonts w:hint="default" w:ascii="Times New Roman" w:hAnsi="Times New Roman" w:eastAsia="宋体" w:cs="Times New Roman"/>
                <w:color w:val="auto"/>
              </w:rPr>
              <w:t>切滩后退形成开</w:t>
            </w:r>
            <w:r>
              <w:rPr>
                <w:rFonts w:hint="default" w:ascii="Times New Roman" w:hAnsi="Times New Roman" w:eastAsia="宋体" w:cs="Times New Roman"/>
                <w:color w:val="auto"/>
                <w:spacing w:val="12"/>
              </w:rPr>
              <w:t>挖港池，港池规划占用岸线</w:t>
            </w:r>
            <w:r>
              <w:rPr>
                <w:rFonts w:hint="default" w:ascii="Times New Roman" w:hAnsi="Times New Roman" w:eastAsia="Times New Roman" w:cs="Times New Roman"/>
                <w:color w:val="auto"/>
                <w:spacing w:val="11"/>
              </w:rPr>
              <w:t>160m</w:t>
            </w:r>
            <w:r>
              <w:rPr>
                <w:rFonts w:hint="default" w:ascii="Times New Roman" w:hAnsi="Times New Roman" w:eastAsia="宋体" w:cs="Times New Roman"/>
                <w:color w:val="auto"/>
                <w:spacing w:val="11"/>
              </w:rPr>
              <w:t>，港池最上游与最下游坡顶之间占用滩槽分界线</w:t>
            </w:r>
            <w:r>
              <w:rPr>
                <w:rFonts w:hint="default" w:ascii="Times New Roman" w:hAnsi="Times New Roman" w:eastAsia="Times New Roman" w:cs="Times New Roman"/>
                <w:color w:val="auto"/>
              </w:rPr>
              <w:t>220m</w:t>
            </w:r>
            <w:r>
              <w:rPr>
                <w:rFonts w:hint="default" w:ascii="Times New Roman" w:hAnsi="Times New Roman" w:eastAsia="宋体" w:cs="Times New Roman"/>
                <w:color w:val="auto"/>
              </w:rPr>
              <w:t>，港池开挖后较原状河道在河道横断面方向的开挖面积约为</w:t>
            </w:r>
            <w:r>
              <w:rPr>
                <w:rFonts w:hint="default" w:ascii="Times New Roman" w:hAnsi="Times New Roman" w:eastAsia="Times New Roman" w:cs="Times New Roman"/>
                <w:color w:val="auto"/>
              </w:rPr>
              <w:t>302.59m</w:t>
            </w:r>
            <w:r>
              <w:rPr>
                <w:rFonts w:hint="default" w:ascii="Times New Roman" w:hAnsi="Times New Roman" w:eastAsia="Times New Roman" w:cs="Times New Roman"/>
                <w:color w:val="auto"/>
                <w:position w:val="8"/>
                <w:sz w:val="15"/>
                <w:szCs w:val="15"/>
              </w:rPr>
              <w:t>2</w:t>
            </w:r>
            <w:r>
              <w:rPr>
                <w:rFonts w:hint="default" w:ascii="Times New Roman" w:hAnsi="Times New Roman" w:eastAsia="宋体" w:cs="Times New Roman"/>
                <w:color w:val="auto"/>
              </w:rPr>
              <w:t>。</w:t>
            </w:r>
          </w:p>
          <w:p w14:paraId="2EB06F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rPr>
            </w:pPr>
            <w:r>
              <w:rPr>
                <w:rFonts w:hint="eastAsia" w:ascii="宋体" w:hAnsi="宋体" w:eastAsia="宋体" w:cs="宋体"/>
                <w:color w:val="auto"/>
              </w:rPr>
              <w:t>②</w:t>
            </w:r>
            <w:r>
              <w:rPr>
                <w:rFonts w:hint="default" w:ascii="Times New Roman" w:hAnsi="Times New Roman" w:eastAsia="宋体" w:cs="Times New Roman"/>
                <w:color w:val="auto"/>
              </w:rPr>
              <w:t>码头平台与主航道之间河底高程高于</w:t>
            </w:r>
            <w:r>
              <w:rPr>
                <w:rFonts w:hint="default" w:ascii="Times New Roman" w:hAnsi="Times New Roman" w:eastAsia="Times New Roman" w:cs="Times New Roman"/>
                <w:color w:val="auto"/>
              </w:rPr>
              <w:t>12.3m</w:t>
            </w:r>
            <w:r>
              <w:rPr>
                <w:rFonts w:hint="default" w:ascii="Times New Roman" w:hAnsi="Times New Roman" w:eastAsia="宋体" w:cs="Times New Roman"/>
                <w:color w:val="auto"/>
              </w:rPr>
              <w:t>处全部开挖至港池底高程，设计港池底高程</w:t>
            </w:r>
            <w:r>
              <w:rPr>
                <w:rFonts w:hint="default" w:ascii="Times New Roman" w:hAnsi="Times New Roman" w:eastAsia="Times New Roman" w:cs="Times New Roman"/>
                <w:color w:val="auto"/>
              </w:rPr>
              <w:t>12.3m</w:t>
            </w:r>
            <w:r>
              <w:rPr>
                <w:rFonts w:hint="default" w:ascii="Times New Roman" w:hAnsi="Times New Roman" w:eastAsia="宋体" w:cs="Times New Roman"/>
                <w:color w:val="auto"/>
              </w:rPr>
              <w:t>，上下游端部码头设计前沿线与护岸夹角</w:t>
            </w:r>
            <w:r>
              <w:rPr>
                <w:rFonts w:hint="default" w:ascii="Times New Roman" w:hAnsi="Times New Roman" w:eastAsia="Times New Roman" w:cs="Times New Roman"/>
                <w:color w:val="auto"/>
                <w:spacing w:val="-1"/>
              </w:rPr>
              <w:t>135</w:t>
            </w:r>
            <w:r>
              <w:rPr>
                <w:rFonts w:hint="default" w:ascii="Times New Roman" w:hAnsi="Times New Roman" w:eastAsia="宋体" w:cs="Times New Roman"/>
                <w:color w:val="auto"/>
                <w:spacing w:val="-1"/>
              </w:rPr>
              <w:t>°，港池边坡岸坡坡度均为</w:t>
            </w:r>
            <w:r>
              <w:rPr>
                <w:rFonts w:hint="default" w:ascii="Times New Roman" w:hAnsi="Times New Roman" w:eastAsia="Times New Roman" w:cs="Times New Roman"/>
                <w:color w:val="auto"/>
                <w:spacing w:val="-4"/>
              </w:rPr>
              <w:t>1</w:t>
            </w:r>
            <w:r>
              <w:rPr>
                <w:rFonts w:hint="default" w:ascii="Times New Roman" w:hAnsi="Times New Roman" w:eastAsia="宋体" w:cs="Times New Roman"/>
                <w:color w:val="auto"/>
                <w:spacing w:val="-4"/>
              </w:rPr>
              <w:t>：</w:t>
            </w:r>
            <w:r>
              <w:rPr>
                <w:rFonts w:hint="default" w:ascii="Times New Roman" w:hAnsi="Times New Roman" w:eastAsia="Times New Roman" w:cs="Times New Roman"/>
                <w:color w:val="auto"/>
                <w:spacing w:val="-4"/>
              </w:rPr>
              <w:t>2.5</w:t>
            </w:r>
            <w:r>
              <w:rPr>
                <w:rFonts w:hint="default" w:ascii="Times New Roman" w:hAnsi="Times New Roman" w:eastAsia="宋体" w:cs="Times New Roman"/>
                <w:color w:val="auto"/>
                <w:spacing w:val="-4"/>
              </w:rPr>
              <w:t>，采用通</w:t>
            </w:r>
            <w:r>
              <w:rPr>
                <w:rFonts w:hint="default" w:ascii="Times New Roman" w:hAnsi="Times New Roman" w:eastAsia="宋体" w:cs="Times New Roman"/>
                <w:color w:val="auto"/>
              </w:rPr>
              <w:t>过水上砌石</w:t>
            </w:r>
            <w:r>
              <w:rPr>
                <w:rFonts w:hint="default" w:ascii="Times New Roman" w:hAnsi="Times New Roman" w:eastAsia="宋体" w:cs="Times New Roman"/>
                <w:color w:val="auto"/>
                <w:spacing w:val="-22"/>
              </w:rPr>
              <w:t>，</w:t>
            </w:r>
            <w:r>
              <w:rPr>
                <w:rFonts w:hint="default" w:ascii="Times New Roman" w:hAnsi="Times New Roman" w:eastAsia="宋体" w:cs="Times New Roman"/>
                <w:color w:val="auto"/>
              </w:rPr>
              <w:t>水下抛石护岸</w:t>
            </w:r>
            <w:r>
              <w:rPr>
                <w:rFonts w:hint="default" w:ascii="Times New Roman" w:hAnsi="Times New Roman" w:eastAsia="宋体" w:cs="Times New Roman"/>
                <w:color w:val="auto"/>
                <w:spacing w:val="-24"/>
              </w:rPr>
              <w:t>，</w:t>
            </w:r>
            <w:r>
              <w:rPr>
                <w:rFonts w:hint="default" w:ascii="Times New Roman" w:hAnsi="Times New Roman" w:eastAsia="宋体" w:cs="Times New Roman"/>
                <w:color w:val="auto"/>
              </w:rPr>
              <w:t>厚度</w:t>
            </w:r>
            <w:r>
              <w:rPr>
                <w:rFonts w:hint="default" w:ascii="Times New Roman" w:hAnsi="Times New Roman" w:eastAsia="Times New Roman" w:cs="Times New Roman"/>
                <w:color w:val="auto"/>
              </w:rPr>
              <w:t>600mm</w:t>
            </w:r>
            <w:r>
              <w:rPr>
                <w:rFonts w:hint="default" w:ascii="Times New Roman" w:hAnsi="Times New Roman" w:eastAsia="宋体" w:cs="Times New Roman"/>
                <w:color w:val="auto"/>
                <w:spacing w:val="-24"/>
              </w:rPr>
              <w:t>；</w:t>
            </w:r>
            <w:r>
              <w:rPr>
                <w:rFonts w:hint="default" w:ascii="Times New Roman" w:hAnsi="Times New Roman" w:eastAsia="宋体" w:cs="Times New Roman"/>
                <w:color w:val="auto"/>
              </w:rPr>
              <w:t>港池底与港池边坡交会处设置</w:t>
            </w:r>
            <w:r>
              <w:rPr>
                <w:rFonts w:hint="default" w:ascii="Times New Roman" w:hAnsi="Times New Roman" w:eastAsia="Times New Roman" w:cs="Times New Roman"/>
                <w:color w:val="auto"/>
              </w:rPr>
              <w:t>2.4m</w:t>
            </w:r>
            <w:r>
              <w:rPr>
                <w:rFonts w:hint="default" w:ascii="Times New Roman" w:hAnsi="Times New Roman" w:eastAsia="宋体" w:cs="Times New Roman"/>
                <w:color w:val="auto"/>
              </w:rPr>
              <w:t>长水平抛石护砌，厚度</w:t>
            </w:r>
            <w:r>
              <w:rPr>
                <w:rFonts w:hint="default" w:ascii="Times New Roman" w:hAnsi="Times New Roman" w:eastAsia="Times New Roman" w:cs="Times New Roman"/>
                <w:color w:val="auto"/>
                <w:spacing w:val="-1"/>
              </w:rPr>
              <w:t>1000mm</w:t>
            </w:r>
            <w:r>
              <w:rPr>
                <w:rFonts w:hint="default" w:ascii="Times New Roman" w:hAnsi="Times New Roman" w:eastAsia="宋体" w:cs="Times New Roman"/>
                <w:color w:val="auto"/>
              </w:rPr>
              <w:t>。</w:t>
            </w:r>
          </w:p>
          <w:p w14:paraId="2603F3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rPr>
            </w:pPr>
            <w:r>
              <w:rPr>
                <w:rFonts w:hint="eastAsia" w:ascii="宋体" w:hAnsi="宋体" w:eastAsia="宋体" w:cs="宋体"/>
                <w:color w:val="auto"/>
              </w:rPr>
              <w:t>③</w:t>
            </w:r>
            <w:r>
              <w:rPr>
                <w:rFonts w:hint="default" w:ascii="Times New Roman" w:hAnsi="Times New Roman" w:eastAsia="宋体" w:cs="Times New Roman"/>
                <w:color w:val="auto"/>
              </w:rPr>
              <w:t>港池最上缘与淮河左堤内堤脚最小水平距离为</w:t>
            </w:r>
            <w:r>
              <w:rPr>
                <w:rFonts w:hint="default" w:ascii="Times New Roman" w:hAnsi="Times New Roman" w:eastAsia="Times New Roman" w:cs="Times New Roman"/>
                <w:color w:val="auto"/>
              </w:rPr>
              <w:t>55m</w:t>
            </w:r>
            <w:r>
              <w:rPr>
                <w:rFonts w:hint="default" w:ascii="Times New Roman" w:hAnsi="Times New Roman" w:eastAsia="宋体" w:cs="Times New Roman"/>
                <w:color w:val="auto"/>
              </w:rPr>
              <w:t>。</w:t>
            </w:r>
          </w:p>
        </w:tc>
        <w:tc>
          <w:tcPr>
            <w:tcW w:w="745" w:type="pct"/>
            <w:gridSpan w:val="2"/>
            <w:noWrap w:val="0"/>
            <w:vAlign w:val="center"/>
          </w:tcPr>
          <w:p w14:paraId="5D733C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lang w:val="en-US" w:eastAsia="zh-CN"/>
              </w:rPr>
            </w:pPr>
            <w:r>
              <w:rPr>
                <w:rFonts w:hint="eastAsia" w:cs="Times New Roman"/>
                <w:color w:val="auto"/>
                <w:lang w:val="en-US" w:eastAsia="zh-CN"/>
              </w:rPr>
              <w:t>因船吃水深增加，河底高程由13.2m下降至12.3m</w:t>
            </w:r>
          </w:p>
        </w:tc>
      </w:tr>
      <w:tr w14:paraId="04E1F4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29DDE1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466" w:type="pct"/>
            <w:gridSpan w:val="3"/>
            <w:vMerge w:val="restart"/>
            <w:noWrap w:val="0"/>
            <w:vAlign w:val="center"/>
          </w:tcPr>
          <w:p w14:paraId="3087BA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lang w:eastAsia="zh-CN"/>
              </w:rPr>
            </w:pPr>
            <w:r>
              <w:rPr>
                <w:rFonts w:hint="default" w:ascii="Times New Roman" w:hAnsi="Times New Roman" w:eastAsia="宋体" w:cs="Times New Roman"/>
                <w:color w:val="auto"/>
              </w:rPr>
              <w:t>陆域建筑</w:t>
            </w:r>
            <w:r>
              <w:rPr>
                <w:rFonts w:hint="eastAsia" w:cs="Times New Roman"/>
                <w:color w:val="auto"/>
                <w:lang w:eastAsia="zh-CN"/>
              </w:rPr>
              <w:t>（</w:t>
            </w:r>
            <w:r>
              <w:rPr>
                <w:rFonts w:hint="eastAsia" w:cs="Times New Roman"/>
                <w:color w:val="auto"/>
                <w:lang w:val="en-US" w:eastAsia="zh-CN"/>
              </w:rPr>
              <w:t>占地20亩</w:t>
            </w:r>
            <w:r>
              <w:rPr>
                <w:rFonts w:hint="eastAsia" w:cs="Times New Roman"/>
                <w:color w:val="auto"/>
                <w:lang w:eastAsia="zh-CN"/>
              </w:rPr>
              <w:t>）</w:t>
            </w:r>
          </w:p>
        </w:tc>
        <w:tc>
          <w:tcPr>
            <w:tcW w:w="3481" w:type="pct"/>
            <w:noWrap w:val="0"/>
            <w:vAlign w:val="center"/>
          </w:tcPr>
          <w:p w14:paraId="38B09A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生产辅助区：管理房布置在码头陆域后方，为活动车载式钢结构管理房，汛期可以方便撤离。</w:t>
            </w:r>
          </w:p>
        </w:tc>
        <w:tc>
          <w:tcPr>
            <w:tcW w:w="726" w:type="pct"/>
            <w:noWrap w:val="0"/>
            <w:vAlign w:val="center"/>
          </w:tcPr>
          <w:p w14:paraId="2291DFB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lang w:val="en-US" w:eastAsia="zh-CN"/>
              </w:rPr>
            </w:pPr>
            <w:r>
              <w:rPr>
                <w:rFonts w:hint="eastAsia" w:cs="Times New Roman"/>
                <w:color w:val="auto"/>
                <w:lang w:val="en-US" w:eastAsia="zh-CN"/>
              </w:rPr>
              <w:t>不变</w:t>
            </w:r>
          </w:p>
        </w:tc>
      </w:tr>
      <w:tr w14:paraId="7EB690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487239D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466" w:type="pct"/>
            <w:gridSpan w:val="3"/>
            <w:vMerge w:val="continue"/>
            <w:noWrap w:val="0"/>
            <w:vAlign w:val="center"/>
          </w:tcPr>
          <w:p w14:paraId="6E10ABC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3481" w:type="pct"/>
            <w:noWrap w:val="0"/>
            <w:vAlign w:val="center"/>
          </w:tcPr>
          <w:p w14:paraId="0CF3B1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highlight w:val="yellow"/>
                <w:lang w:eastAsia="zh-CN"/>
              </w:rPr>
            </w:pPr>
            <w:r>
              <w:rPr>
                <w:rFonts w:hint="eastAsia" w:ascii="Times New Roman" w:hAnsi="Times New Roman" w:eastAsia="宋体" w:cs="Times New Roman"/>
                <w:color w:val="auto"/>
              </w:rPr>
              <w:t>隔油沉淀池及一体化污水处理设施（3</w:t>
            </w:r>
            <w:r>
              <w:rPr>
                <w:rFonts w:hint="default" w:ascii="Times New Roman" w:hAnsi="Times New Roman" w:eastAsia="宋体" w:cs="Times New Roman"/>
                <w:color w:val="auto"/>
              </w:rPr>
              <w:t>0</w:t>
            </w:r>
            <w:r>
              <w:rPr>
                <w:rFonts w:hint="eastAsia"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w:t>
            </w:r>
            <w:r>
              <w:rPr>
                <w:rFonts w:hint="eastAsia" w:cs="Times New Roman"/>
                <w:color w:val="auto"/>
                <w:lang w:val="en-US" w:eastAsia="zh-CN"/>
              </w:rPr>
              <w:t>d</w:t>
            </w:r>
            <w:r>
              <w:rPr>
                <w:rFonts w:hint="eastAsia" w:ascii="Times New Roman" w:hAnsi="Times New Roman" w:eastAsia="宋体" w:cs="Times New Roman"/>
                <w:color w:val="auto"/>
              </w:rPr>
              <w:t>）位于淮河左滩地，桥台结构集成排水沟及回填土下坡路正西侧</w:t>
            </w:r>
            <w:r>
              <w:rPr>
                <w:rFonts w:hint="eastAsia" w:cs="Times New Roman"/>
                <w:color w:val="auto"/>
                <w:lang w:eastAsia="zh-CN"/>
              </w:rPr>
              <w:t>（</w:t>
            </w:r>
            <w:r>
              <w:rPr>
                <w:rFonts w:hint="eastAsia" w:ascii="Times New Roman" w:hAnsi="Times New Roman" w:eastAsia="宋体" w:cs="Times New Roman"/>
                <w:color w:val="auto"/>
              </w:rPr>
              <w:t>隔油沉淀池、一体化污水处理设施最外缘与淮河左堤防内堤脚最小距离为55m</w:t>
            </w:r>
            <w:r>
              <w:rPr>
                <w:rFonts w:hint="eastAsia" w:cs="Times New Roman"/>
                <w:color w:val="auto"/>
                <w:lang w:eastAsia="zh-CN"/>
              </w:rPr>
              <w:t>）。</w:t>
            </w:r>
          </w:p>
        </w:tc>
        <w:tc>
          <w:tcPr>
            <w:tcW w:w="726" w:type="pct"/>
            <w:noWrap w:val="0"/>
            <w:vAlign w:val="center"/>
          </w:tcPr>
          <w:p w14:paraId="54DFC0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lang w:val="en-US" w:eastAsia="zh-CN"/>
              </w:rPr>
            </w:pPr>
            <w:r>
              <w:rPr>
                <w:rFonts w:hint="eastAsia" w:cs="Times New Roman"/>
                <w:color w:val="auto"/>
                <w:lang w:val="en-US" w:eastAsia="zh-CN"/>
              </w:rPr>
              <w:t>陆域占地面积不变，仍为20亩，废水由原环评的旱厕处理升级为一体化污水处理设施</w:t>
            </w:r>
          </w:p>
        </w:tc>
      </w:tr>
      <w:tr w14:paraId="446CA9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restart"/>
            <w:noWrap w:val="0"/>
            <w:vAlign w:val="center"/>
          </w:tcPr>
          <w:p w14:paraId="47B68CE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临时工程</w:t>
            </w:r>
            <w:r>
              <w:rPr>
                <w:rFonts w:hint="eastAsia" w:cs="Times New Roman"/>
                <w:color w:val="auto"/>
                <w:lang w:eastAsia="zh-CN"/>
              </w:rPr>
              <w:t>（</w:t>
            </w:r>
            <w:r>
              <w:rPr>
                <w:rFonts w:hint="eastAsia" w:cs="Times New Roman"/>
                <w:color w:val="auto"/>
                <w:lang w:val="en-US" w:eastAsia="zh-CN"/>
              </w:rPr>
              <w:t>永久占地范围内</w:t>
            </w:r>
            <w:r>
              <w:rPr>
                <w:rFonts w:hint="eastAsia" w:cs="Times New Roman"/>
                <w:color w:val="auto"/>
                <w:lang w:eastAsia="zh-CN"/>
              </w:rPr>
              <w:t>）</w:t>
            </w:r>
          </w:p>
        </w:tc>
        <w:tc>
          <w:tcPr>
            <w:tcW w:w="466" w:type="pct"/>
            <w:gridSpan w:val="3"/>
            <w:noWrap w:val="0"/>
            <w:vAlign w:val="center"/>
          </w:tcPr>
          <w:p w14:paraId="59186F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抛泥区</w:t>
            </w:r>
          </w:p>
        </w:tc>
        <w:tc>
          <w:tcPr>
            <w:tcW w:w="3481" w:type="pct"/>
            <w:noWrap w:val="0"/>
            <w:vAlign w:val="center"/>
          </w:tcPr>
          <w:p w14:paraId="16251F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抛泥区位于河边</w:t>
            </w:r>
            <w:r>
              <w:rPr>
                <w:rFonts w:hint="eastAsia" w:cs="Times New Roman"/>
                <w:color w:val="auto"/>
                <w:lang w:val="en-US" w:eastAsia="zh-CN"/>
              </w:rPr>
              <w:t>陆域</w:t>
            </w:r>
            <w:r>
              <w:rPr>
                <w:rFonts w:hint="eastAsia" w:ascii="Times New Roman" w:hAnsi="Times New Roman" w:eastAsia="宋体" w:cs="Times New Roman"/>
                <w:color w:val="auto"/>
              </w:rPr>
              <w:t>处，占地面积约</w:t>
            </w:r>
            <w:r>
              <w:rPr>
                <w:rFonts w:hint="default" w:ascii="Times New Roman" w:hAnsi="Times New Roman" w:eastAsia="宋体" w:cs="Times New Roman"/>
                <w:color w:val="auto"/>
              </w:rPr>
              <w:t>1000</w:t>
            </w:r>
            <w:r>
              <w:rPr>
                <w:rFonts w:hint="eastAsia" w:ascii="Times New Roman" w:hAnsi="Times New Roman" w:eastAsia="宋体" w:cs="Times New Roman"/>
                <w:color w:val="auto"/>
              </w:rPr>
              <w:t>m</w:t>
            </w:r>
            <w:r>
              <w:rPr>
                <w:rFonts w:hint="default" w:ascii="Times New Roman" w:hAnsi="Times New Roman" w:eastAsia="宋体" w:cs="Times New Roman"/>
                <w:color w:val="auto"/>
                <w:vertAlign w:val="superscript"/>
              </w:rPr>
              <w:t>2</w:t>
            </w:r>
            <w:r>
              <w:rPr>
                <w:rFonts w:hint="eastAsia" w:ascii="Times New Roman" w:hAnsi="Times New Roman" w:eastAsia="宋体" w:cs="Times New Roman"/>
                <w:color w:val="auto"/>
              </w:rPr>
              <w:t>，作为疏浚土方抛泥区，设有一座6</w:t>
            </w:r>
            <w:r>
              <w:rPr>
                <w:rFonts w:hint="default" w:ascii="Times New Roman" w:hAnsi="Times New Roman" w:eastAsia="宋体" w:cs="Times New Roman"/>
                <w:color w:val="auto"/>
              </w:rPr>
              <w:t>00</w:t>
            </w:r>
            <w:r>
              <w:rPr>
                <w:rFonts w:hint="eastAsia"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eastAsia" w:ascii="Times New Roman" w:hAnsi="Times New Roman" w:eastAsia="宋体" w:cs="Times New Roman"/>
                <w:color w:val="auto"/>
              </w:rPr>
              <w:t>沉淀池</w:t>
            </w:r>
          </w:p>
        </w:tc>
        <w:tc>
          <w:tcPr>
            <w:tcW w:w="726" w:type="pct"/>
            <w:vMerge w:val="restart"/>
            <w:noWrap w:val="0"/>
            <w:vAlign w:val="center"/>
          </w:tcPr>
          <w:p w14:paraId="7E9C21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lang w:val="en-US" w:eastAsia="zh-CN"/>
              </w:rPr>
            </w:pPr>
            <w:r>
              <w:rPr>
                <w:rFonts w:hint="eastAsia" w:cs="Times New Roman"/>
                <w:color w:val="auto"/>
                <w:lang w:val="en-US" w:eastAsia="zh-CN"/>
              </w:rPr>
              <w:t>原环评未考虑此类工程</w:t>
            </w:r>
          </w:p>
        </w:tc>
      </w:tr>
      <w:tr w14:paraId="394A4F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4C9C33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rPr>
            </w:pPr>
          </w:p>
        </w:tc>
        <w:tc>
          <w:tcPr>
            <w:tcW w:w="466" w:type="pct"/>
            <w:gridSpan w:val="3"/>
            <w:noWrap w:val="0"/>
            <w:vAlign w:val="center"/>
          </w:tcPr>
          <w:p w14:paraId="2CD270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弃土区</w:t>
            </w:r>
          </w:p>
        </w:tc>
        <w:tc>
          <w:tcPr>
            <w:tcW w:w="3481" w:type="pct"/>
            <w:noWrap w:val="0"/>
            <w:vAlign w:val="center"/>
          </w:tcPr>
          <w:p w14:paraId="3F3AE8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rPr>
              <w:t>弃土区位于河边</w:t>
            </w:r>
            <w:r>
              <w:rPr>
                <w:rFonts w:hint="eastAsia" w:cs="Times New Roman"/>
                <w:color w:val="auto"/>
                <w:lang w:val="en-US" w:eastAsia="zh-CN"/>
              </w:rPr>
              <w:t>陆域</w:t>
            </w:r>
            <w:r>
              <w:rPr>
                <w:rFonts w:hint="eastAsia" w:ascii="Times New Roman" w:hAnsi="Times New Roman" w:eastAsia="宋体" w:cs="Times New Roman"/>
                <w:color w:val="auto"/>
              </w:rPr>
              <w:t>处，占地面积约</w:t>
            </w:r>
            <w:r>
              <w:rPr>
                <w:rFonts w:hint="default" w:ascii="Times New Roman" w:hAnsi="Times New Roman" w:eastAsia="宋体" w:cs="Times New Roman"/>
                <w:color w:val="auto"/>
              </w:rPr>
              <w:t>1000</w:t>
            </w:r>
            <w:r>
              <w:rPr>
                <w:rFonts w:hint="eastAsia" w:ascii="Times New Roman" w:hAnsi="Times New Roman" w:eastAsia="宋体" w:cs="Times New Roman"/>
                <w:color w:val="auto"/>
              </w:rPr>
              <w:t>m</w:t>
            </w:r>
            <w:r>
              <w:rPr>
                <w:rFonts w:hint="default" w:ascii="Times New Roman" w:hAnsi="Times New Roman" w:eastAsia="宋体" w:cs="Times New Roman"/>
                <w:color w:val="auto"/>
                <w:vertAlign w:val="superscript"/>
              </w:rPr>
              <w:t>2</w:t>
            </w:r>
            <w:r>
              <w:rPr>
                <w:rFonts w:hint="eastAsia" w:ascii="Times New Roman" w:hAnsi="Times New Roman" w:eastAsia="宋体" w:cs="Times New Roman"/>
                <w:color w:val="auto"/>
              </w:rPr>
              <w:t>，作为临时土方转运区</w:t>
            </w:r>
            <w:r>
              <w:rPr>
                <w:rFonts w:hint="eastAsia" w:cs="Times New Roman"/>
                <w:color w:val="auto"/>
                <w:lang w:val="en-US" w:eastAsia="zh-CN"/>
              </w:rPr>
              <w:t>和表土临时堆场</w:t>
            </w:r>
          </w:p>
        </w:tc>
        <w:tc>
          <w:tcPr>
            <w:tcW w:w="726" w:type="pct"/>
            <w:vMerge w:val="continue"/>
            <w:noWrap w:val="0"/>
            <w:vAlign w:val="center"/>
          </w:tcPr>
          <w:p w14:paraId="29078CE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rPr>
            </w:pPr>
          </w:p>
        </w:tc>
      </w:tr>
      <w:tr w14:paraId="4747F1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090168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rPr>
            </w:pPr>
          </w:p>
        </w:tc>
        <w:tc>
          <w:tcPr>
            <w:tcW w:w="466" w:type="pct"/>
            <w:gridSpan w:val="3"/>
            <w:noWrap w:val="0"/>
            <w:vAlign w:val="center"/>
          </w:tcPr>
          <w:p w14:paraId="0218E4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施工营地</w:t>
            </w:r>
          </w:p>
        </w:tc>
        <w:tc>
          <w:tcPr>
            <w:tcW w:w="3481" w:type="pct"/>
            <w:noWrap w:val="0"/>
            <w:vAlign w:val="center"/>
          </w:tcPr>
          <w:p w14:paraId="6751FA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rPr>
            </w:pPr>
            <w:r>
              <w:rPr>
                <w:rFonts w:hint="default" w:ascii="Times New Roman" w:hAnsi="Times New Roman" w:eastAsia="宋体" w:cs="Times New Roman"/>
                <w:color w:val="auto"/>
              </w:rPr>
              <w:t>不设置施工营地，</w:t>
            </w:r>
            <w:r>
              <w:rPr>
                <w:rFonts w:hint="eastAsia" w:ascii="Times New Roman" w:hAnsi="Times New Roman" w:eastAsia="宋体" w:cs="Times New Roman"/>
                <w:color w:val="auto"/>
              </w:rPr>
              <w:t>施工</w:t>
            </w:r>
            <w:r>
              <w:rPr>
                <w:rFonts w:hint="eastAsia" w:cs="Times New Roman"/>
                <w:color w:val="auto"/>
                <w:lang w:eastAsia="zh-CN"/>
              </w:rPr>
              <w:t>期间</w:t>
            </w:r>
            <w:r>
              <w:rPr>
                <w:rFonts w:hint="eastAsia" w:ascii="Times New Roman" w:hAnsi="Times New Roman" w:eastAsia="宋体" w:cs="Times New Roman"/>
                <w:color w:val="auto"/>
              </w:rPr>
              <w:t>工人在周边租赁村民民房</w:t>
            </w:r>
          </w:p>
        </w:tc>
        <w:tc>
          <w:tcPr>
            <w:tcW w:w="726" w:type="pct"/>
            <w:vMerge w:val="continue"/>
            <w:noWrap w:val="0"/>
            <w:vAlign w:val="center"/>
          </w:tcPr>
          <w:p w14:paraId="7634CA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rPr>
            </w:pPr>
          </w:p>
        </w:tc>
      </w:tr>
      <w:tr w14:paraId="57C812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restart"/>
            <w:noWrap w:val="0"/>
            <w:vAlign w:val="center"/>
          </w:tcPr>
          <w:p w14:paraId="4D7475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辅助工程</w:t>
            </w:r>
          </w:p>
        </w:tc>
        <w:tc>
          <w:tcPr>
            <w:tcW w:w="466" w:type="pct"/>
            <w:gridSpan w:val="3"/>
            <w:noWrap w:val="0"/>
            <w:vAlign w:val="center"/>
          </w:tcPr>
          <w:p w14:paraId="24CAB43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进港道路</w:t>
            </w:r>
          </w:p>
        </w:tc>
        <w:tc>
          <w:tcPr>
            <w:tcW w:w="3481" w:type="pct"/>
            <w:noWrap w:val="0"/>
            <w:vAlign w:val="center"/>
          </w:tcPr>
          <w:p w14:paraId="7EAA30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场区道路路面高程为20.40m</w:t>
            </w:r>
            <w:r>
              <w:rPr>
                <w:rFonts w:hint="eastAsia" w:cs="Times New Roman"/>
                <w:color w:val="auto"/>
                <w:lang w:eastAsia="zh-CN"/>
              </w:rPr>
              <w:t>（</w:t>
            </w:r>
            <w:r>
              <w:rPr>
                <w:rFonts w:hint="eastAsia" w:ascii="Times New Roman" w:hAnsi="Times New Roman" w:eastAsia="宋体" w:cs="Times New Roman"/>
                <w:color w:val="auto"/>
              </w:rPr>
              <w:t>场区内设循环通道，宽7m，两侧路肩各1m</w:t>
            </w:r>
            <w:r>
              <w:rPr>
                <w:rFonts w:hint="eastAsia" w:cs="Times New Roman"/>
                <w:color w:val="auto"/>
                <w:lang w:eastAsia="zh-CN"/>
              </w:rPr>
              <w:t>）</w:t>
            </w:r>
            <w:r>
              <w:rPr>
                <w:rFonts w:hint="eastAsia" w:ascii="Times New Roman" w:hAnsi="Times New Roman" w:eastAsia="宋体" w:cs="Times New Roman"/>
                <w:color w:val="auto"/>
              </w:rPr>
              <w:t>。堤脚处设置上堤道路，斜坡道总长105m，坡度为 6%，堤顶处与现有大堤平交，坡顶高程为27.3m；下堤道路连接至大件码头现有的道路，新建斜坡道路，长度为75m，坡度为7.1%。</w:t>
            </w:r>
          </w:p>
          <w:p w14:paraId="7ACBC0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河滩地上游端设置沉淀池和可活动房车。外接供水供电从上游平圩大件码头处接入，管线采用埋地敷设，不需穿越现有大堤。</w:t>
            </w:r>
          </w:p>
        </w:tc>
        <w:tc>
          <w:tcPr>
            <w:tcW w:w="726" w:type="pct"/>
            <w:vMerge w:val="restart"/>
            <w:noWrap w:val="0"/>
            <w:vAlign w:val="center"/>
          </w:tcPr>
          <w:p w14:paraId="792A52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lang w:val="en-US" w:eastAsia="zh-CN"/>
              </w:rPr>
            </w:pPr>
            <w:r>
              <w:rPr>
                <w:rFonts w:hint="eastAsia" w:cs="Times New Roman"/>
                <w:color w:val="auto"/>
                <w:lang w:val="en-US" w:eastAsia="zh-CN"/>
              </w:rPr>
              <w:t>不变</w:t>
            </w:r>
          </w:p>
        </w:tc>
      </w:tr>
      <w:tr w14:paraId="5D6909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2AE31A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466" w:type="pct"/>
            <w:gridSpan w:val="3"/>
            <w:noWrap w:val="0"/>
            <w:vAlign w:val="center"/>
          </w:tcPr>
          <w:p w14:paraId="07DBC9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地磅</w:t>
            </w:r>
          </w:p>
        </w:tc>
        <w:tc>
          <w:tcPr>
            <w:tcW w:w="3481" w:type="pct"/>
            <w:noWrap w:val="0"/>
            <w:vAlign w:val="center"/>
          </w:tcPr>
          <w:p w14:paraId="2F0461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rPr>
            </w:pPr>
            <w:r>
              <w:rPr>
                <w:rFonts w:hint="default" w:ascii="Times New Roman" w:hAnsi="Times New Roman" w:eastAsia="宋体" w:cs="Times New Roman"/>
                <w:color w:val="auto"/>
              </w:rPr>
              <w:t>在码头入口处设置地磅</w:t>
            </w:r>
            <w:r>
              <w:rPr>
                <w:rFonts w:hint="eastAsia" w:ascii="Times New Roman" w:hAnsi="Times New Roman" w:eastAsia="宋体" w:cs="Times New Roman"/>
                <w:color w:val="auto"/>
              </w:rPr>
              <w:t>2</w:t>
            </w:r>
            <w:r>
              <w:rPr>
                <w:rFonts w:hint="default" w:ascii="Times New Roman" w:hAnsi="Times New Roman" w:eastAsia="宋体" w:cs="Times New Roman"/>
                <w:color w:val="auto"/>
              </w:rPr>
              <w:t>个，用于进</w:t>
            </w:r>
            <w:r>
              <w:rPr>
                <w:rFonts w:hint="eastAsia" w:ascii="Times New Roman" w:hAnsi="Times New Roman" w:eastAsia="宋体" w:cs="Times New Roman"/>
                <w:color w:val="auto"/>
              </w:rPr>
              <w:t>出</w:t>
            </w:r>
            <w:r>
              <w:rPr>
                <w:rFonts w:hint="default" w:ascii="Times New Roman" w:hAnsi="Times New Roman" w:eastAsia="宋体" w:cs="Times New Roman"/>
                <w:color w:val="auto"/>
              </w:rPr>
              <w:t>场车辆的称重。</w:t>
            </w:r>
          </w:p>
        </w:tc>
        <w:tc>
          <w:tcPr>
            <w:tcW w:w="726" w:type="pct"/>
            <w:vMerge w:val="continue"/>
            <w:noWrap w:val="0"/>
            <w:vAlign w:val="center"/>
          </w:tcPr>
          <w:p w14:paraId="79DB45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rPr>
            </w:pPr>
          </w:p>
        </w:tc>
      </w:tr>
      <w:tr w14:paraId="202580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2D0CDD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466" w:type="pct"/>
            <w:gridSpan w:val="3"/>
            <w:noWrap w:val="0"/>
            <w:vAlign w:val="center"/>
          </w:tcPr>
          <w:p w14:paraId="16E51A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洗车平台</w:t>
            </w:r>
          </w:p>
        </w:tc>
        <w:tc>
          <w:tcPr>
            <w:tcW w:w="3481" w:type="pct"/>
            <w:noWrap w:val="0"/>
            <w:vAlign w:val="center"/>
          </w:tcPr>
          <w:p w14:paraId="41CA95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rPr>
            </w:pPr>
            <w:r>
              <w:rPr>
                <w:rFonts w:hint="default" w:ascii="Times New Roman" w:hAnsi="Times New Roman" w:eastAsia="宋体" w:cs="Times New Roman"/>
                <w:color w:val="auto"/>
              </w:rPr>
              <w:t>在码头出口处建设洗车平台，用于冲洗出场货车车轮。</w:t>
            </w:r>
          </w:p>
        </w:tc>
        <w:tc>
          <w:tcPr>
            <w:tcW w:w="726" w:type="pct"/>
            <w:vMerge w:val="continue"/>
            <w:noWrap w:val="0"/>
            <w:vAlign w:val="center"/>
          </w:tcPr>
          <w:p w14:paraId="0F23B6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rPr>
            </w:pPr>
          </w:p>
        </w:tc>
      </w:tr>
      <w:tr w14:paraId="533C6B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restart"/>
            <w:noWrap w:val="0"/>
            <w:vAlign w:val="center"/>
          </w:tcPr>
          <w:p w14:paraId="39A04F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公用工程</w:t>
            </w:r>
          </w:p>
        </w:tc>
        <w:tc>
          <w:tcPr>
            <w:tcW w:w="466" w:type="pct"/>
            <w:gridSpan w:val="3"/>
            <w:noWrap w:val="0"/>
            <w:vAlign w:val="center"/>
          </w:tcPr>
          <w:p w14:paraId="21DFD4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给水系统</w:t>
            </w:r>
          </w:p>
        </w:tc>
        <w:tc>
          <w:tcPr>
            <w:tcW w:w="3481" w:type="pct"/>
            <w:noWrap w:val="0"/>
            <w:vAlign w:val="center"/>
          </w:tcPr>
          <w:p w14:paraId="08474E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rPr>
            </w:pPr>
            <w:r>
              <w:rPr>
                <w:rFonts w:hint="eastAsia" w:ascii="宋体" w:hAnsi="宋体" w:eastAsia="宋体" w:cs="宋体"/>
                <w:color w:val="auto"/>
              </w:rPr>
              <w:t>①</w:t>
            </w:r>
            <w:r>
              <w:rPr>
                <w:rFonts w:hint="default" w:ascii="Times New Roman" w:hAnsi="Times New Roman" w:eastAsia="宋体" w:cs="Times New Roman"/>
                <w:color w:val="auto"/>
              </w:rPr>
              <w:t>码头生活用水来自附近村镇自来水给水管网，设计起点从码头西侧接管，接管点压力不小于0.30MPa。码头船舶用水量为60m</w:t>
            </w:r>
            <w:r>
              <w:rPr>
                <w:rFonts w:hint="eastAsia" w:ascii="Times New Roman" w:hAnsi="Times New Roman" w:eastAsia="宋体" w:cs="Times New Roman"/>
                <w:color w:val="auto"/>
                <w:vertAlign w:val="superscript"/>
              </w:rPr>
              <w:t>3</w:t>
            </w:r>
            <w:r>
              <w:rPr>
                <w:rFonts w:hint="default" w:ascii="Times New Roman" w:hAnsi="Times New Roman" w:eastAsia="宋体" w:cs="Times New Roman"/>
                <w:color w:val="auto"/>
              </w:rPr>
              <w:t>/d，最大时用水为30m</w:t>
            </w:r>
            <w:r>
              <w:rPr>
                <w:rFonts w:hint="eastAsia" w:ascii="Times New Roman" w:hAnsi="Times New Roman" w:eastAsia="宋体" w:cs="Times New Roman"/>
                <w:color w:val="auto"/>
                <w:vertAlign w:val="superscript"/>
              </w:rPr>
              <w:t>3</w:t>
            </w:r>
            <w:r>
              <w:rPr>
                <w:rFonts w:hint="default" w:ascii="Times New Roman" w:hAnsi="Times New Roman" w:eastAsia="宋体" w:cs="Times New Roman"/>
                <w:color w:val="auto"/>
              </w:rPr>
              <w:t>/h</w:t>
            </w:r>
            <w:r>
              <w:rPr>
                <w:rFonts w:hint="eastAsia" w:cs="Times New Roman"/>
                <w:color w:val="auto"/>
                <w:lang w:eastAsia="zh-CN"/>
              </w:rPr>
              <w:t>（</w:t>
            </w:r>
            <w:r>
              <w:rPr>
                <w:rFonts w:hint="default" w:ascii="Times New Roman" w:hAnsi="Times New Roman" w:eastAsia="宋体" w:cs="Times New Roman"/>
                <w:color w:val="auto"/>
              </w:rPr>
              <w:t>给水管沿码头前沿敷设，采用DN100钢塑复合管，码头面设置DN50供水栓，间距不大于50m，内设水表计量。管道公称压力不小于1.0MPa。所有管道外露处须做保温处理，采用橡塑管壳保温，卡箍连接</w:t>
            </w:r>
            <w:r>
              <w:rPr>
                <w:rFonts w:hint="eastAsia" w:cs="Times New Roman"/>
                <w:color w:val="auto"/>
                <w:lang w:eastAsia="zh-CN"/>
              </w:rPr>
              <w:t>）</w:t>
            </w:r>
            <w:r>
              <w:rPr>
                <w:rFonts w:hint="default" w:ascii="Times New Roman" w:hAnsi="Times New Roman" w:eastAsia="宋体" w:cs="Times New Roman"/>
                <w:color w:val="auto"/>
              </w:rPr>
              <w:t>。</w:t>
            </w:r>
          </w:p>
          <w:p w14:paraId="3B1436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rPr>
            </w:pPr>
            <w:r>
              <w:rPr>
                <w:rFonts w:hint="eastAsia" w:ascii="宋体" w:hAnsi="宋体" w:eastAsia="宋体" w:cs="宋体"/>
                <w:color w:val="auto"/>
              </w:rPr>
              <w:t>②</w:t>
            </w:r>
            <w:r>
              <w:rPr>
                <w:rFonts w:hint="default" w:ascii="Times New Roman" w:hAnsi="Times New Roman" w:eastAsia="宋体" w:cs="Times New Roman"/>
                <w:color w:val="auto"/>
              </w:rPr>
              <w:t>生产用水</w:t>
            </w:r>
            <w:r>
              <w:rPr>
                <w:rFonts w:hint="eastAsia" w:ascii="Times New Roman" w:hAnsi="Times New Roman" w:eastAsia="宋体" w:cs="Times New Roman"/>
                <w:color w:val="auto"/>
              </w:rPr>
              <w:t>包括装卸抑尘用水、码头地面冲洗用水、道路喷洒用水、机械车辆冲洗用水等，码头地面冲洗用水、道路喷洒用水、机械车辆冲洗用水及绿化用水由回用水池供水，不足部分由自来水补充</w:t>
            </w:r>
            <w:r>
              <w:rPr>
                <w:rFonts w:hint="default" w:ascii="Times New Roman" w:hAnsi="Times New Roman" w:eastAsia="宋体" w:cs="Times New Roman"/>
                <w:color w:val="auto"/>
              </w:rPr>
              <w:t>。</w:t>
            </w:r>
          </w:p>
        </w:tc>
        <w:tc>
          <w:tcPr>
            <w:tcW w:w="726" w:type="pct"/>
            <w:noWrap w:val="0"/>
            <w:vAlign w:val="center"/>
          </w:tcPr>
          <w:p w14:paraId="7B6162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lang w:val="en-US" w:eastAsia="zh-CN"/>
              </w:rPr>
            </w:pPr>
            <w:r>
              <w:rPr>
                <w:rFonts w:hint="eastAsia" w:cs="Times New Roman"/>
                <w:color w:val="auto"/>
                <w:lang w:val="en-US" w:eastAsia="zh-CN"/>
              </w:rPr>
              <w:t>不变</w:t>
            </w:r>
          </w:p>
        </w:tc>
      </w:tr>
      <w:tr w14:paraId="360B9E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3409DA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466" w:type="pct"/>
            <w:gridSpan w:val="3"/>
            <w:vMerge w:val="restart"/>
            <w:noWrap w:val="0"/>
            <w:vAlign w:val="center"/>
          </w:tcPr>
          <w:p w14:paraId="1AE877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排水系统</w:t>
            </w:r>
          </w:p>
        </w:tc>
        <w:tc>
          <w:tcPr>
            <w:tcW w:w="3481" w:type="pct"/>
            <w:noWrap w:val="0"/>
            <w:vAlign w:val="center"/>
          </w:tcPr>
          <w:p w14:paraId="4CF00D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auto"/>
              </w:rPr>
            </w:pPr>
            <w:r>
              <w:rPr>
                <w:rFonts w:hint="default" w:ascii="Times New Roman" w:hAnsi="Times New Roman" w:eastAsia="宋体" w:cs="Times New Roman"/>
                <w:color w:val="auto"/>
              </w:rPr>
              <w:t>港区排水采用雨、污分流制。</w:t>
            </w:r>
            <w:r>
              <w:rPr>
                <w:rFonts w:hint="eastAsia" w:ascii="Times New Roman" w:hAnsi="Times New Roman" w:eastAsia="宋体" w:cs="Times New Roman"/>
                <w:color w:val="auto"/>
              </w:rPr>
              <w:t>隔油</w:t>
            </w:r>
            <w:r>
              <w:rPr>
                <w:rFonts w:hint="default" w:ascii="Times New Roman" w:hAnsi="Times New Roman" w:eastAsia="宋体" w:cs="Times New Roman"/>
                <w:color w:val="auto"/>
              </w:rPr>
              <w:t>沉淀池及</w:t>
            </w:r>
            <w:r>
              <w:rPr>
                <w:rFonts w:hint="eastAsia" w:ascii="Times New Roman" w:hAnsi="Times New Roman" w:eastAsia="宋体" w:cs="Times New Roman"/>
                <w:color w:val="auto"/>
              </w:rPr>
              <w:t>一体化污水处理设施</w:t>
            </w:r>
            <w:r>
              <w:rPr>
                <w:rFonts w:hint="default" w:ascii="Times New Roman" w:hAnsi="Times New Roman" w:eastAsia="宋体" w:cs="Times New Roman"/>
                <w:color w:val="auto"/>
              </w:rPr>
              <w:t>位于淮河左滩地，桥台结构集成排水沟及回填土下坡路正西侧</w:t>
            </w:r>
            <w:r>
              <w:rPr>
                <w:rFonts w:hint="eastAsia" w:cs="Times New Roman"/>
                <w:color w:val="auto"/>
                <w:lang w:eastAsia="zh-CN"/>
              </w:rPr>
              <w:t>（</w:t>
            </w:r>
            <w:r>
              <w:rPr>
                <w:rFonts w:hint="eastAsia" w:ascii="Times New Roman" w:hAnsi="Times New Roman" w:eastAsia="宋体" w:cs="Times New Roman"/>
                <w:color w:val="auto"/>
              </w:rPr>
              <w:t>隔油</w:t>
            </w:r>
            <w:r>
              <w:rPr>
                <w:rFonts w:hint="default" w:ascii="Times New Roman" w:hAnsi="Times New Roman" w:eastAsia="宋体" w:cs="Times New Roman"/>
                <w:color w:val="auto"/>
              </w:rPr>
              <w:t>沉淀池最外缘与淮河左堤防内堤脚最小距离为55m</w:t>
            </w:r>
            <w:r>
              <w:rPr>
                <w:rFonts w:hint="eastAsia" w:cs="Times New Roman"/>
                <w:color w:val="auto"/>
                <w:lang w:eastAsia="zh-CN"/>
              </w:rPr>
              <w:t>）</w:t>
            </w:r>
            <w:r>
              <w:rPr>
                <w:rFonts w:hint="default" w:ascii="Times New Roman" w:hAnsi="Times New Roman" w:eastAsia="宋体" w:cs="Times New Roman"/>
                <w:color w:val="auto"/>
              </w:rPr>
              <w:t>。码头后方设置排水沟，排水沟口宽均500mm。靠近码头后沿侧的桥台结构集成排水沟为钢筋砼结构，坡度3.0‰，带钢格栅盖板；后方场区的排水沟为砖砌结构，坡度1.5‰。</w:t>
            </w:r>
          </w:p>
          <w:p w14:paraId="38941E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施工期废水主要生产区废水、抛泥区余水、施工期船舶生活污水、施工期人员生活污水、码头</w:t>
            </w:r>
            <w:r>
              <w:rPr>
                <w:rFonts w:hint="eastAsia" w:cs="Times New Roman"/>
                <w:color w:val="auto"/>
                <w:lang w:val="en-US" w:eastAsia="zh-CN"/>
              </w:rPr>
              <w:t>工程</w:t>
            </w:r>
            <w:r>
              <w:rPr>
                <w:rFonts w:hint="eastAsia" w:ascii="Times New Roman" w:hAnsi="Times New Roman" w:eastAsia="宋体" w:cs="Times New Roman"/>
                <w:color w:val="auto"/>
                <w:lang w:val="en-US" w:eastAsia="zh-CN"/>
              </w:rPr>
              <w:t>施工废水</w:t>
            </w:r>
            <w:r>
              <w:rPr>
                <w:rFonts w:hint="eastAsia" w:cs="Times New Roman"/>
                <w:color w:val="auto"/>
                <w:lang w:val="en-US" w:eastAsia="zh-CN"/>
              </w:rPr>
              <w:t>、初期雨水</w:t>
            </w:r>
            <w:r>
              <w:rPr>
                <w:rFonts w:hint="eastAsia" w:ascii="Times New Roman" w:hAnsi="Times New Roman" w:eastAsia="宋体" w:cs="Times New Roman"/>
                <w:color w:val="auto"/>
                <w:lang w:val="en-US" w:eastAsia="zh-CN"/>
              </w:rPr>
              <w:t>；施工生产区废水经过沉淀池后（拟在施工场地设置一座600m3沉淀池），回用于场地抑尘、车辆冲洗等；抛泥区余水回用于场地抑尘、车辆冲洗等；施工船舶生活污水收集后由船舶统一收集后定期送至海事部门指定的船舶生活污水接收点进行处理；施工人员生活污水依托周边已有旱厕，收集后用于当地农田或林地肥料；码头工程施工废水经施工场地设置的沉淀池后，回用于场地抑尘、车辆冲洗等</w:t>
            </w:r>
            <w:r>
              <w:rPr>
                <w:rFonts w:hint="eastAsia" w:cs="Times New Roman"/>
                <w:color w:val="auto"/>
                <w:lang w:val="en-US" w:eastAsia="zh-CN"/>
              </w:rPr>
              <w:t>。</w:t>
            </w:r>
          </w:p>
          <w:p w14:paraId="39ED9A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sz w:val="18"/>
                <w:szCs w:val="18"/>
              </w:rPr>
            </w:pPr>
            <w:r>
              <w:rPr>
                <w:rFonts w:hint="eastAsia" w:ascii="Times New Roman" w:hAnsi="Times New Roman" w:eastAsia="宋体" w:cs="Times New Roman"/>
                <w:color w:val="auto"/>
              </w:rPr>
              <w:t>隔油</w:t>
            </w:r>
            <w:r>
              <w:rPr>
                <w:rFonts w:hint="default" w:ascii="Times New Roman" w:hAnsi="Times New Roman" w:eastAsia="宋体" w:cs="Times New Roman"/>
                <w:color w:val="auto"/>
              </w:rPr>
              <w:t>沉淀池收集初期前15min雨水，初期雨水的收集流程为：排水沟→</w:t>
            </w:r>
            <w:r>
              <w:rPr>
                <w:rFonts w:hint="eastAsia" w:ascii="Times New Roman" w:hAnsi="Times New Roman" w:eastAsia="宋体" w:cs="Times New Roman"/>
                <w:color w:val="auto"/>
              </w:rPr>
              <w:t>隔油</w:t>
            </w:r>
            <w:r>
              <w:rPr>
                <w:rFonts w:hint="default" w:ascii="Times New Roman" w:hAnsi="Times New Roman" w:eastAsia="宋体" w:cs="Times New Roman"/>
                <w:color w:val="auto"/>
              </w:rPr>
              <w:t>沉淀池→沉淀→污水处理设备→回用水箱；回用</w:t>
            </w:r>
            <w:r>
              <w:rPr>
                <w:rFonts w:hint="eastAsia" w:cs="Times New Roman"/>
                <w:color w:val="auto"/>
                <w:lang w:val="en-US" w:eastAsia="zh-CN"/>
              </w:rPr>
              <w:t>水箱</w:t>
            </w:r>
            <w:r>
              <w:rPr>
                <w:rFonts w:hint="default" w:ascii="Times New Roman" w:hAnsi="Times New Roman" w:eastAsia="宋体" w:cs="Times New Roman"/>
                <w:color w:val="auto"/>
              </w:rPr>
              <w:t>水用于码头面冲洗</w:t>
            </w:r>
            <w:r>
              <w:rPr>
                <w:rFonts w:hint="eastAsia" w:ascii="Times New Roman" w:hAnsi="Times New Roman" w:eastAsia="宋体" w:cs="Times New Roman"/>
                <w:color w:val="auto"/>
              </w:rPr>
              <w:t>、道路喷洒及绿化</w:t>
            </w:r>
            <w:r>
              <w:rPr>
                <w:rFonts w:hint="default" w:ascii="Times New Roman" w:hAnsi="Times New Roman" w:eastAsia="宋体" w:cs="Times New Roman"/>
                <w:color w:val="auto"/>
              </w:rPr>
              <w:t>，后期雨水溢流排放。初期雨水流入</w:t>
            </w:r>
            <w:r>
              <w:rPr>
                <w:rFonts w:hint="eastAsia" w:ascii="Times New Roman" w:hAnsi="Times New Roman" w:eastAsia="宋体" w:cs="Times New Roman"/>
                <w:color w:val="auto"/>
              </w:rPr>
              <w:t>隔油沉淀池</w:t>
            </w:r>
            <w:r>
              <w:rPr>
                <w:rFonts w:hint="default" w:ascii="Times New Roman" w:hAnsi="Times New Roman" w:eastAsia="宋体" w:cs="Times New Roman"/>
                <w:color w:val="auto"/>
              </w:rPr>
              <w:t>，后期流进回用水水坑，通过出水管排放</w:t>
            </w:r>
            <w:r>
              <w:rPr>
                <w:rFonts w:hint="eastAsia" w:cs="Times New Roman"/>
                <w:color w:val="auto"/>
                <w:lang w:eastAsia="zh-CN"/>
              </w:rPr>
              <w:t>（</w:t>
            </w:r>
            <w:r>
              <w:rPr>
                <w:rFonts w:hint="default" w:ascii="Times New Roman" w:hAnsi="Times New Roman" w:eastAsia="宋体" w:cs="Times New Roman"/>
                <w:color w:val="auto"/>
              </w:rPr>
              <w:t>排水</w:t>
            </w:r>
            <w:r>
              <w:rPr>
                <w:rFonts w:hint="eastAsia" w:cs="Times New Roman"/>
                <w:color w:val="auto"/>
                <w:lang w:eastAsia="zh-CN"/>
              </w:rPr>
              <w:t>沟将</w:t>
            </w:r>
            <w:r>
              <w:rPr>
                <w:rFonts w:hint="default" w:ascii="Times New Roman" w:hAnsi="Times New Roman" w:eastAsia="宋体" w:cs="Times New Roman"/>
                <w:color w:val="auto"/>
              </w:rPr>
              <w:t>雨水排至</w:t>
            </w:r>
            <w:r>
              <w:rPr>
                <w:rFonts w:hint="eastAsia" w:ascii="Times New Roman" w:hAnsi="Times New Roman" w:eastAsia="宋体" w:cs="Times New Roman"/>
                <w:color w:val="auto"/>
              </w:rPr>
              <w:t>隔油沉淀池</w:t>
            </w:r>
            <w:r>
              <w:rPr>
                <w:rFonts w:hint="default" w:ascii="Times New Roman" w:hAnsi="Times New Roman" w:eastAsia="宋体" w:cs="Times New Roman"/>
                <w:color w:val="auto"/>
              </w:rPr>
              <w:t>，并通过</w:t>
            </w:r>
            <w:r>
              <w:rPr>
                <w:rFonts w:hint="eastAsia" w:ascii="Times New Roman" w:hAnsi="Times New Roman" w:eastAsia="宋体" w:cs="Times New Roman"/>
                <w:color w:val="auto"/>
              </w:rPr>
              <w:t>隔油沉淀池</w:t>
            </w:r>
            <w:r>
              <w:rPr>
                <w:rFonts w:hint="default" w:ascii="Times New Roman" w:hAnsi="Times New Roman" w:eastAsia="宋体" w:cs="Times New Roman"/>
                <w:color w:val="auto"/>
              </w:rPr>
              <w:t>闸板阀的启闭实现初期雨水与后期雨水的分离</w:t>
            </w:r>
            <w:r>
              <w:rPr>
                <w:rFonts w:hint="eastAsia" w:cs="Times New Roman"/>
                <w:color w:val="auto"/>
                <w:lang w:eastAsia="zh-CN"/>
              </w:rPr>
              <w:t>）</w:t>
            </w:r>
            <w:r>
              <w:rPr>
                <w:rFonts w:hint="default" w:ascii="Times New Roman" w:hAnsi="Times New Roman" w:eastAsia="宋体" w:cs="Times New Roman"/>
                <w:color w:val="auto"/>
              </w:rPr>
              <w:t>。</w:t>
            </w:r>
          </w:p>
        </w:tc>
        <w:tc>
          <w:tcPr>
            <w:tcW w:w="726" w:type="pct"/>
            <w:noWrap w:val="0"/>
            <w:vAlign w:val="center"/>
          </w:tcPr>
          <w:p w14:paraId="0EBF38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lang w:val="en-US"/>
              </w:rPr>
            </w:pPr>
            <w:r>
              <w:rPr>
                <w:rFonts w:hint="eastAsia" w:cs="Times New Roman"/>
                <w:color w:val="auto"/>
                <w:lang w:val="en-US" w:eastAsia="zh-CN"/>
              </w:rPr>
              <w:t>原环评中已有的措施未发生改变，增加了一体化污水处理设施，排水去向不变化</w:t>
            </w:r>
          </w:p>
        </w:tc>
      </w:tr>
      <w:tr w14:paraId="055B2F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5468E0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auto"/>
              </w:rPr>
            </w:pPr>
          </w:p>
        </w:tc>
        <w:tc>
          <w:tcPr>
            <w:tcW w:w="466" w:type="pct"/>
            <w:gridSpan w:val="3"/>
            <w:vMerge w:val="continue"/>
            <w:noWrap w:val="0"/>
            <w:vAlign w:val="center"/>
          </w:tcPr>
          <w:p w14:paraId="6187CB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auto"/>
              </w:rPr>
            </w:pPr>
          </w:p>
        </w:tc>
        <w:tc>
          <w:tcPr>
            <w:tcW w:w="3481" w:type="pct"/>
            <w:noWrap w:val="0"/>
            <w:vAlign w:val="center"/>
          </w:tcPr>
          <w:p w14:paraId="7E663A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本次设计码头2个泊位共设置2个自吸泵（自带推车）。每个泊位均设置一处船舶含油污水及一处生活污水管道接头，分别收集船舶生活污水和船舶含油污水，船舶生活污水和船舶含油污水</w:t>
            </w:r>
            <w:r>
              <w:rPr>
                <w:rFonts w:hint="eastAsia" w:ascii="Times New Roman" w:hAnsi="Times New Roman" w:eastAsia="宋体" w:cs="Times New Roman"/>
                <w:color w:val="auto"/>
                <w:kern w:val="2"/>
                <w:sz w:val="21"/>
                <w:szCs w:val="21"/>
                <w:lang w:val="en-US" w:eastAsia="zh-CN" w:bidi="ar-SA"/>
              </w:rPr>
              <w:t>经收集后进入隔油沉淀池沉淀后</w:t>
            </w:r>
            <w:r>
              <w:rPr>
                <w:rFonts w:hint="default" w:ascii="Times New Roman" w:hAnsi="Times New Roman" w:eastAsia="宋体" w:cs="Times New Roman"/>
                <w:color w:val="auto"/>
                <w:kern w:val="2"/>
                <w:sz w:val="21"/>
                <w:szCs w:val="21"/>
                <w:lang w:val="en-US" w:eastAsia="zh-CN" w:bidi="ar-SA"/>
              </w:rPr>
              <w:t>送</w:t>
            </w:r>
            <w:r>
              <w:rPr>
                <w:rFonts w:hint="eastAsia" w:ascii="Times New Roman" w:hAnsi="Times New Roman" w:eastAsia="宋体" w:cs="Times New Roman"/>
                <w:color w:val="auto"/>
                <w:kern w:val="2"/>
                <w:sz w:val="21"/>
                <w:szCs w:val="21"/>
                <w:lang w:val="en-US" w:eastAsia="zh-CN" w:bidi="ar-SA"/>
              </w:rPr>
              <w:t>入</w:t>
            </w:r>
            <w:r>
              <w:rPr>
                <w:rFonts w:hint="default" w:ascii="Times New Roman" w:hAnsi="Times New Roman" w:eastAsia="宋体" w:cs="Times New Roman"/>
                <w:color w:val="auto"/>
                <w:kern w:val="2"/>
                <w:sz w:val="21"/>
                <w:szCs w:val="21"/>
                <w:lang w:val="en-US" w:eastAsia="zh-CN" w:bidi="ar-SA"/>
              </w:rPr>
              <w:t>一体化污水处理设备处理</w:t>
            </w:r>
            <w:r>
              <w:rPr>
                <w:rFonts w:hint="eastAsia" w:ascii="Times New Roman" w:hAnsi="Times New Roman" w:eastAsia="宋体" w:cs="Times New Roman"/>
                <w:color w:val="auto"/>
                <w:kern w:val="2"/>
                <w:sz w:val="21"/>
                <w:szCs w:val="21"/>
                <w:lang w:val="en-US" w:eastAsia="zh-CN" w:bidi="ar-SA"/>
              </w:rPr>
              <w:t>，经回用水箱</w:t>
            </w:r>
            <w:r>
              <w:rPr>
                <w:rFonts w:hint="default" w:ascii="Times New Roman" w:hAnsi="Times New Roman" w:eastAsia="宋体" w:cs="Times New Roman"/>
                <w:color w:val="auto"/>
                <w:kern w:val="2"/>
                <w:sz w:val="21"/>
                <w:szCs w:val="21"/>
                <w:lang w:val="en-US" w:eastAsia="zh-CN" w:bidi="ar-SA"/>
              </w:rPr>
              <w:t>用于码头面冲洗</w:t>
            </w:r>
            <w:r>
              <w:rPr>
                <w:rFonts w:hint="eastAsia" w:ascii="Times New Roman" w:hAnsi="Times New Roman" w:eastAsia="宋体" w:cs="Times New Roman"/>
                <w:color w:val="auto"/>
                <w:kern w:val="2"/>
                <w:sz w:val="21"/>
                <w:szCs w:val="21"/>
                <w:lang w:val="en-US" w:eastAsia="zh-CN" w:bidi="ar-SA"/>
              </w:rPr>
              <w:t>、道路喷洒、机械车辆冲洗及绿化</w:t>
            </w:r>
          </w:p>
          <w:p w14:paraId="36260D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船舶生活污水管及船舶含油污水管沿码头前沿敷设，采用DN100内外热无缝镀锌钢管，管道公称压力不小于1.0MPa。所有管道外露处须做保温处理，采用橡塑管壳保温</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卡箍连接。</w:t>
            </w:r>
          </w:p>
        </w:tc>
        <w:tc>
          <w:tcPr>
            <w:tcW w:w="726" w:type="pct"/>
            <w:noWrap w:val="0"/>
            <w:vAlign w:val="center"/>
          </w:tcPr>
          <w:p w14:paraId="264B5F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原环评中船舶污水由船舶带走交海事船处理，本次变更为陆上</w:t>
            </w:r>
            <w:r>
              <w:rPr>
                <w:rFonts w:hint="eastAsia" w:cs="Times New Roman"/>
                <w:color w:val="auto"/>
                <w:lang w:val="en-US" w:eastAsia="zh-CN"/>
              </w:rPr>
              <w:t>一体化污水处理设施</w:t>
            </w:r>
          </w:p>
        </w:tc>
      </w:tr>
      <w:tr w14:paraId="79BA7D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74740E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466" w:type="pct"/>
            <w:gridSpan w:val="3"/>
            <w:noWrap w:val="0"/>
            <w:vAlign w:val="center"/>
          </w:tcPr>
          <w:p w14:paraId="147316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供电系统</w:t>
            </w:r>
          </w:p>
        </w:tc>
        <w:tc>
          <w:tcPr>
            <w:tcW w:w="3481" w:type="pct"/>
            <w:noWrap w:val="0"/>
            <w:vAlign w:val="center"/>
          </w:tcPr>
          <w:p w14:paraId="2A24F6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spacing w:val="-1"/>
              </w:rPr>
            </w:pPr>
            <w:r>
              <w:rPr>
                <w:rFonts w:hint="default" w:ascii="Times New Roman" w:hAnsi="Times New Roman" w:eastAsia="宋体" w:cs="Times New Roman"/>
                <w:color w:val="auto"/>
                <w:spacing w:val="-1"/>
              </w:rPr>
              <w:t>本项目电源引自现有配电房。共引出</w:t>
            </w:r>
            <w:r>
              <w:rPr>
                <w:rFonts w:hint="default" w:ascii="Times New Roman" w:hAnsi="Times New Roman" w:eastAsia="Times New Roman" w:cs="Times New Roman"/>
                <w:color w:val="auto"/>
              </w:rPr>
              <w:t>6</w:t>
            </w:r>
            <w:r>
              <w:rPr>
                <w:rFonts w:hint="default" w:ascii="Times New Roman" w:hAnsi="Times New Roman" w:eastAsia="宋体" w:cs="Times New Roman"/>
                <w:color w:val="auto"/>
                <w:spacing w:val="-2"/>
              </w:rPr>
              <w:t>路电源，</w:t>
            </w:r>
            <w:r>
              <w:rPr>
                <w:rFonts w:hint="default" w:ascii="Times New Roman" w:hAnsi="Times New Roman" w:eastAsia="宋体" w:cs="Times New Roman"/>
                <w:color w:val="auto"/>
              </w:rPr>
              <w:t>对装卸设备、岸电、港区照明及管理生活等用电设备供电。</w:t>
            </w:r>
            <w:r>
              <w:rPr>
                <w:rFonts w:hint="default" w:ascii="Times New Roman" w:hAnsi="Times New Roman" w:eastAsia="宋体" w:cs="Times New Roman"/>
                <w:color w:val="auto"/>
                <w:spacing w:val="-2"/>
              </w:rPr>
              <w:t>分别为集污池</w:t>
            </w:r>
            <w:r>
              <w:rPr>
                <w:rFonts w:hint="default" w:ascii="Times New Roman" w:hAnsi="Times New Roman" w:eastAsia="宋体" w:cs="Times New Roman"/>
                <w:color w:val="auto"/>
                <w:spacing w:val="-60"/>
              </w:rPr>
              <w:t xml:space="preserve"> </w:t>
            </w:r>
            <w:r>
              <w:rPr>
                <w:rFonts w:hint="default" w:ascii="Times New Roman" w:hAnsi="Times New Roman" w:eastAsia="Times New Roman" w:cs="Times New Roman"/>
                <w:color w:val="auto"/>
              </w:rPr>
              <w:t>1</w:t>
            </w:r>
            <w:r>
              <w:rPr>
                <w:rFonts w:hint="default" w:ascii="Times New Roman" w:hAnsi="Times New Roman" w:eastAsia="宋体" w:cs="Times New Roman"/>
                <w:color w:val="auto"/>
                <w:spacing w:val="-3"/>
              </w:rPr>
              <w:t>路，岸电</w:t>
            </w:r>
            <w:r>
              <w:rPr>
                <w:rFonts w:hint="default" w:ascii="Times New Roman" w:hAnsi="Times New Roman" w:eastAsia="Times New Roman" w:cs="Times New Roman"/>
                <w:color w:val="auto"/>
              </w:rPr>
              <w:t>2</w:t>
            </w:r>
            <w:r>
              <w:rPr>
                <w:rFonts w:hint="default" w:ascii="Times New Roman" w:hAnsi="Times New Roman" w:eastAsia="宋体" w:cs="Times New Roman"/>
                <w:color w:val="auto"/>
                <w:spacing w:val="-4"/>
              </w:rPr>
              <w:t>路，液</w:t>
            </w:r>
            <w:r>
              <w:rPr>
                <w:rFonts w:hint="default" w:ascii="Times New Roman" w:hAnsi="Times New Roman" w:eastAsia="宋体" w:cs="Times New Roman"/>
                <w:color w:val="auto"/>
              </w:rPr>
              <w:t>压抓机</w:t>
            </w:r>
            <w:r>
              <w:rPr>
                <w:rFonts w:hint="default" w:ascii="Times New Roman" w:hAnsi="Times New Roman" w:eastAsia="Times New Roman" w:cs="Times New Roman"/>
                <w:color w:val="auto"/>
              </w:rPr>
              <w:t>1</w:t>
            </w:r>
            <w:r>
              <w:rPr>
                <w:rFonts w:hint="default" w:ascii="Times New Roman" w:hAnsi="Times New Roman" w:eastAsia="宋体" w:cs="Times New Roman"/>
                <w:color w:val="auto"/>
              </w:rPr>
              <w:t>路，固定吊或流动装船机</w:t>
            </w:r>
            <w:r>
              <w:rPr>
                <w:rFonts w:hint="default" w:ascii="Times New Roman" w:hAnsi="Times New Roman" w:eastAsia="Times New Roman" w:cs="Times New Roman"/>
                <w:color w:val="auto"/>
              </w:rPr>
              <w:t>1</w:t>
            </w:r>
            <w:r>
              <w:rPr>
                <w:rFonts w:hint="default" w:ascii="Times New Roman" w:hAnsi="Times New Roman" w:eastAsia="宋体" w:cs="Times New Roman"/>
                <w:color w:val="auto"/>
              </w:rPr>
              <w:t>路，固定吊</w:t>
            </w:r>
            <w:r>
              <w:rPr>
                <w:rFonts w:hint="default" w:ascii="Times New Roman" w:hAnsi="Times New Roman" w:eastAsia="Times New Roman" w:cs="Times New Roman"/>
                <w:color w:val="auto"/>
              </w:rPr>
              <w:t>1</w:t>
            </w:r>
            <w:r>
              <w:rPr>
                <w:rFonts w:hint="default" w:ascii="Times New Roman" w:hAnsi="Times New Roman" w:eastAsia="宋体" w:cs="Times New Roman"/>
                <w:color w:val="auto"/>
              </w:rPr>
              <w:t>路。</w:t>
            </w:r>
          </w:p>
        </w:tc>
        <w:tc>
          <w:tcPr>
            <w:tcW w:w="726" w:type="pct"/>
            <w:noWrap w:val="0"/>
            <w:vAlign w:val="center"/>
          </w:tcPr>
          <w:p w14:paraId="5EBA4D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pacing w:val="-1"/>
              </w:rPr>
            </w:pPr>
            <w:r>
              <w:rPr>
                <w:rFonts w:hint="eastAsia" w:cs="Times New Roman"/>
                <w:color w:val="auto"/>
                <w:lang w:val="en-US" w:eastAsia="zh-CN"/>
              </w:rPr>
              <w:t>不变</w:t>
            </w:r>
          </w:p>
        </w:tc>
      </w:tr>
      <w:tr w14:paraId="083A09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restart"/>
            <w:noWrap w:val="0"/>
            <w:vAlign w:val="center"/>
          </w:tcPr>
          <w:p w14:paraId="7067F8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环保工程</w:t>
            </w:r>
          </w:p>
        </w:tc>
        <w:tc>
          <w:tcPr>
            <w:tcW w:w="175" w:type="pct"/>
            <w:vMerge w:val="restart"/>
            <w:noWrap w:val="0"/>
            <w:vAlign w:val="center"/>
          </w:tcPr>
          <w:p w14:paraId="57851D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施工期</w:t>
            </w:r>
          </w:p>
        </w:tc>
        <w:tc>
          <w:tcPr>
            <w:tcW w:w="291" w:type="pct"/>
            <w:gridSpan w:val="2"/>
            <w:noWrap w:val="0"/>
            <w:vAlign w:val="center"/>
          </w:tcPr>
          <w:p w14:paraId="3D39D5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废气治理</w:t>
            </w:r>
          </w:p>
        </w:tc>
        <w:tc>
          <w:tcPr>
            <w:tcW w:w="3481" w:type="pct"/>
            <w:noWrap w:val="0"/>
            <w:vAlign w:val="center"/>
          </w:tcPr>
          <w:p w14:paraId="61ACC7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spacing w:val="-1"/>
              </w:rPr>
            </w:pPr>
            <w:r>
              <w:rPr>
                <w:rFonts w:hint="eastAsia" w:ascii="宋体" w:hAnsi="宋体" w:eastAsia="宋体" w:cs="宋体"/>
                <w:color w:val="auto"/>
                <w:spacing w:val="-1"/>
              </w:rPr>
              <w:t>①</w:t>
            </w:r>
            <w:r>
              <w:rPr>
                <w:rFonts w:hint="eastAsia" w:ascii="Times New Roman" w:hAnsi="Times New Roman" w:eastAsia="宋体" w:cs="Times New Roman"/>
                <w:color w:val="auto"/>
                <w:spacing w:val="-1"/>
              </w:rPr>
              <w:t>施工扬尘：通过土石方开挖时作业面洒水抑尘等措施降低施工扬尘；</w:t>
            </w:r>
          </w:p>
          <w:p w14:paraId="1DC5CA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spacing w:val="-1"/>
              </w:rPr>
            </w:pPr>
            <w:r>
              <w:rPr>
                <w:rFonts w:hint="eastAsia" w:ascii="宋体" w:hAnsi="宋体" w:eastAsia="宋体" w:cs="宋体"/>
                <w:color w:val="auto"/>
                <w:spacing w:val="-1"/>
              </w:rPr>
              <w:t>②</w:t>
            </w:r>
            <w:r>
              <w:rPr>
                <w:rFonts w:hint="eastAsia" w:ascii="Times New Roman" w:hAnsi="Times New Roman" w:eastAsia="宋体" w:cs="Times New Roman"/>
                <w:color w:val="auto"/>
                <w:spacing w:val="-1"/>
              </w:rPr>
              <w:t>道路扬尘：通过限制车辆行驶速度以及保持路面的硬化和湿度，保持路面清洁等措施降低道路扬尘影响；</w:t>
            </w:r>
          </w:p>
          <w:p w14:paraId="32C85B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spacing w:val="-1"/>
              </w:rPr>
            </w:pPr>
            <w:r>
              <w:rPr>
                <w:rFonts w:hint="eastAsia" w:ascii="宋体" w:hAnsi="宋体" w:eastAsia="宋体" w:cs="宋体"/>
                <w:color w:val="auto"/>
                <w:spacing w:val="-1"/>
              </w:rPr>
              <w:t>③</w:t>
            </w:r>
            <w:r>
              <w:rPr>
                <w:rFonts w:hint="eastAsia" w:ascii="Times New Roman" w:hAnsi="Times New Roman" w:eastAsia="宋体" w:cs="Times New Roman"/>
                <w:color w:val="auto"/>
                <w:spacing w:val="-1"/>
              </w:rPr>
              <w:t>施工车辆和机械、船舶尾气：通过</w:t>
            </w:r>
            <w:r>
              <w:rPr>
                <w:rFonts w:hint="default" w:ascii="Times New Roman" w:hAnsi="Times New Roman" w:eastAsia="宋体" w:cs="Times New Roman"/>
                <w:color w:val="auto"/>
                <w:spacing w:val="-1"/>
              </w:rPr>
              <w:t>加强对施工机械、车辆的维修保养</w:t>
            </w:r>
            <w:r>
              <w:rPr>
                <w:rFonts w:hint="eastAsia" w:ascii="Times New Roman" w:hAnsi="Times New Roman" w:eastAsia="宋体" w:cs="Times New Roman"/>
                <w:color w:val="auto"/>
                <w:spacing w:val="-1"/>
              </w:rPr>
              <w:t>、</w:t>
            </w:r>
            <w:r>
              <w:rPr>
                <w:rFonts w:hint="default" w:ascii="Times New Roman" w:hAnsi="Times New Roman" w:eastAsia="宋体" w:cs="Times New Roman"/>
                <w:color w:val="auto"/>
                <w:spacing w:val="-1"/>
              </w:rPr>
              <w:t>禁止以柴油为燃料的施工机械超负荷工作</w:t>
            </w:r>
            <w:r>
              <w:rPr>
                <w:rFonts w:hint="eastAsia" w:ascii="Times New Roman" w:hAnsi="Times New Roman" w:eastAsia="宋体" w:cs="Times New Roman"/>
                <w:color w:val="auto"/>
                <w:spacing w:val="-1"/>
              </w:rPr>
              <w:t>等促使</w:t>
            </w:r>
            <w:r>
              <w:rPr>
                <w:rFonts w:hint="default" w:ascii="Times New Roman" w:hAnsi="Times New Roman" w:eastAsia="宋体" w:cs="Times New Roman"/>
                <w:color w:val="auto"/>
                <w:spacing w:val="-1"/>
              </w:rPr>
              <w:t>减少尾气排放</w:t>
            </w:r>
          </w:p>
        </w:tc>
        <w:tc>
          <w:tcPr>
            <w:tcW w:w="726" w:type="pct"/>
            <w:noWrap w:val="0"/>
            <w:vAlign w:val="center"/>
          </w:tcPr>
          <w:p w14:paraId="3F0F47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spacing w:val="-1"/>
              </w:rPr>
            </w:pPr>
            <w:r>
              <w:rPr>
                <w:rFonts w:hint="eastAsia" w:cs="Times New Roman"/>
                <w:color w:val="auto"/>
                <w:lang w:val="en-US" w:eastAsia="zh-CN"/>
              </w:rPr>
              <w:t>不变</w:t>
            </w:r>
          </w:p>
        </w:tc>
      </w:tr>
      <w:tr w14:paraId="28C0C2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21ED37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175" w:type="pct"/>
            <w:vMerge w:val="continue"/>
            <w:noWrap w:val="0"/>
            <w:vAlign w:val="center"/>
          </w:tcPr>
          <w:p w14:paraId="4DFF37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291" w:type="pct"/>
            <w:gridSpan w:val="2"/>
            <w:noWrap w:val="0"/>
            <w:vAlign w:val="center"/>
          </w:tcPr>
          <w:p w14:paraId="46B214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废水治理</w:t>
            </w:r>
          </w:p>
        </w:tc>
        <w:tc>
          <w:tcPr>
            <w:tcW w:w="3481" w:type="pct"/>
            <w:noWrap w:val="0"/>
            <w:vAlign w:val="center"/>
          </w:tcPr>
          <w:p w14:paraId="7477CC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auto"/>
              </w:rPr>
            </w:pPr>
            <w:r>
              <w:rPr>
                <w:rFonts w:hint="eastAsia" w:ascii="宋体" w:hAnsi="宋体" w:eastAsia="宋体" w:cs="宋体"/>
                <w:color w:val="auto"/>
              </w:rPr>
              <w:t>①</w:t>
            </w:r>
            <w:r>
              <w:rPr>
                <w:rFonts w:hint="eastAsia" w:ascii="Times New Roman" w:hAnsi="Times New Roman" w:eastAsia="宋体" w:cs="Times New Roman"/>
                <w:color w:val="auto"/>
              </w:rPr>
              <w:t>施工生产区废水：施工场地设置一座6</w:t>
            </w:r>
            <w:r>
              <w:rPr>
                <w:rFonts w:hint="default" w:ascii="Times New Roman" w:hAnsi="Times New Roman" w:eastAsia="宋体" w:cs="Times New Roman"/>
                <w:color w:val="auto"/>
              </w:rPr>
              <w:t>00</w:t>
            </w:r>
            <w:r>
              <w:rPr>
                <w:rFonts w:hint="eastAsia"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eastAsia" w:ascii="Times New Roman" w:hAnsi="Times New Roman" w:eastAsia="宋体" w:cs="Times New Roman"/>
                <w:color w:val="auto"/>
              </w:rPr>
              <w:t>沉淀池，泥浆废水经沉淀去除悬浮物后，回用于场地抑尘、车辆冲洗等</w:t>
            </w:r>
          </w:p>
          <w:p w14:paraId="06ECB5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auto"/>
              </w:rPr>
            </w:pPr>
            <w:r>
              <w:rPr>
                <w:rFonts w:hint="eastAsia" w:ascii="宋体" w:hAnsi="宋体" w:eastAsia="宋体" w:cs="宋体"/>
                <w:color w:val="auto"/>
              </w:rPr>
              <w:t>②</w:t>
            </w:r>
            <w:r>
              <w:rPr>
                <w:rFonts w:hint="eastAsia" w:ascii="Times New Roman" w:hAnsi="Times New Roman" w:eastAsia="宋体" w:cs="Times New Roman"/>
                <w:color w:val="auto"/>
              </w:rPr>
              <w:t>码头工程施工废水：钻渣泥浆水采用泥浆泵送入施工场地设置的沉淀池中，钻渣泥浆水经沉淀去除悬浮物后，回用于场地抑尘、车辆冲洗等，</w:t>
            </w:r>
          </w:p>
          <w:p w14:paraId="70C60C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auto"/>
              </w:rPr>
            </w:pPr>
            <w:r>
              <w:rPr>
                <w:rFonts w:hint="eastAsia" w:ascii="宋体" w:hAnsi="宋体" w:eastAsia="宋体" w:cs="宋体"/>
                <w:color w:val="auto"/>
              </w:rPr>
              <w:t>③</w:t>
            </w:r>
            <w:r>
              <w:rPr>
                <w:rFonts w:hint="eastAsia" w:ascii="Times New Roman" w:hAnsi="Times New Roman" w:eastAsia="宋体" w:cs="Times New Roman"/>
                <w:color w:val="auto"/>
              </w:rPr>
              <w:t>抛泥区余水：</w:t>
            </w:r>
            <w:r>
              <w:rPr>
                <w:rFonts w:hint="default" w:ascii="Times New Roman" w:hAnsi="Times New Roman" w:eastAsia="宋体" w:cs="Times New Roman"/>
                <w:color w:val="auto"/>
              </w:rPr>
              <w:t>抛泥区</w:t>
            </w:r>
            <w:r>
              <w:rPr>
                <w:rFonts w:hint="eastAsia" w:ascii="Times New Roman" w:hAnsi="Times New Roman" w:eastAsia="宋体" w:cs="Times New Roman"/>
                <w:color w:val="auto"/>
              </w:rPr>
              <w:t>占地范围内</w:t>
            </w:r>
            <w:r>
              <w:rPr>
                <w:rFonts w:hint="default" w:ascii="Times New Roman" w:hAnsi="Times New Roman" w:eastAsia="宋体" w:cs="Times New Roman"/>
                <w:color w:val="auto"/>
              </w:rPr>
              <w:t>设置</w:t>
            </w:r>
            <w:r>
              <w:rPr>
                <w:rFonts w:hint="eastAsia" w:ascii="Times New Roman" w:hAnsi="Times New Roman" w:eastAsia="宋体" w:cs="Times New Roman"/>
                <w:color w:val="auto"/>
              </w:rPr>
              <w:t>一处</w:t>
            </w:r>
            <w:r>
              <w:rPr>
                <w:rFonts w:hint="default" w:ascii="Times New Roman" w:hAnsi="Times New Roman" w:eastAsia="宋体" w:cs="Times New Roman"/>
                <w:color w:val="auto"/>
              </w:rPr>
              <w:t>沉淀池容积约为600m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，淤泥经吹填至抛泥区后，</w:t>
            </w:r>
            <w:r>
              <w:rPr>
                <w:rFonts w:hint="eastAsia" w:ascii="Times New Roman" w:hAnsi="Times New Roman" w:eastAsia="宋体" w:cs="Times New Roman"/>
                <w:color w:val="auto"/>
              </w:rPr>
              <w:t>经沉淀去除悬浮物后，回用于场地抑尘、车辆冲洗等，不会对周边河道地表水环境造成不利影响。</w:t>
            </w:r>
          </w:p>
          <w:p w14:paraId="659D2E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auto"/>
              </w:rPr>
            </w:pPr>
            <w:r>
              <w:rPr>
                <w:rFonts w:hint="eastAsia" w:ascii="宋体" w:hAnsi="宋体" w:eastAsia="宋体" w:cs="宋体"/>
                <w:color w:val="auto"/>
              </w:rPr>
              <w:t>④</w:t>
            </w:r>
            <w:r>
              <w:rPr>
                <w:rFonts w:hint="default" w:ascii="Times New Roman" w:hAnsi="Times New Roman" w:eastAsia="宋体" w:cs="Times New Roman"/>
                <w:color w:val="auto"/>
              </w:rPr>
              <w:t>扰动水体</w:t>
            </w:r>
            <w:r>
              <w:rPr>
                <w:rFonts w:hint="eastAsia" w:ascii="Times New Roman" w:hAnsi="Times New Roman" w:eastAsia="宋体" w:cs="Times New Roman"/>
                <w:color w:val="auto"/>
              </w:rPr>
              <w:t>：工程设计单位应合理安排水下作业时间，制定合理的施工计划，减轻对施工区域的水质影响。工程施工应选择技术力量强、施工管理过硬的施工单位，应从环保角度选用污染扩散范围小、效率高、技术先进的施工工艺。尽量减少搅动，避免产生的浑浊水体向四周扩散</w:t>
            </w:r>
          </w:p>
          <w:p w14:paraId="1757CB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eastAsia" w:ascii="Times New Roman" w:hAnsi="Times New Roman" w:eastAsia="宋体" w:cs="Times New Roman"/>
                <w:color w:val="auto"/>
              </w:rPr>
            </w:pPr>
            <w:r>
              <w:rPr>
                <w:rFonts w:hint="eastAsia" w:ascii="宋体" w:hAnsi="宋体" w:eastAsia="宋体" w:cs="宋体"/>
                <w:color w:val="auto"/>
              </w:rPr>
              <w:t>⑤</w:t>
            </w:r>
            <w:r>
              <w:rPr>
                <w:rFonts w:hint="eastAsia" w:ascii="Times New Roman" w:hAnsi="Times New Roman" w:eastAsia="宋体" w:cs="Times New Roman"/>
                <w:color w:val="auto"/>
              </w:rPr>
              <w:t>施工船舶污水：</w:t>
            </w:r>
            <w:r>
              <w:rPr>
                <w:rFonts w:hint="default" w:ascii="Times New Roman" w:hAnsi="Times New Roman" w:eastAsia="宋体" w:cs="Times New Roman"/>
                <w:color w:val="auto"/>
              </w:rPr>
              <w:t>施工船舶含油污水由船舶自备的油水分离器隔油处理后由船舶统一收集后定期委托有资质的单位按照有关规定接收和处理。</w:t>
            </w:r>
            <w:r>
              <w:rPr>
                <w:rFonts w:hint="eastAsia" w:ascii="Times New Roman" w:hAnsi="Times New Roman" w:eastAsia="宋体" w:cs="Times New Roman"/>
                <w:color w:val="auto"/>
              </w:rPr>
              <w:t>拟建项目施工船舶生活污水收集后由船舶统一收集后定期送至海事部门指定的船舶生活污水接收点进行处理。</w:t>
            </w:r>
          </w:p>
          <w:p w14:paraId="3EA5E6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eastAsia" w:ascii="Times New Roman" w:hAnsi="Times New Roman" w:eastAsia="宋体" w:cs="Times New Roman"/>
                <w:color w:val="auto"/>
              </w:rPr>
            </w:pPr>
            <w:r>
              <w:rPr>
                <w:rFonts w:hint="eastAsia" w:ascii="宋体" w:hAnsi="宋体" w:eastAsia="宋体" w:cs="宋体"/>
                <w:color w:val="auto"/>
              </w:rPr>
              <w:t>⑥</w:t>
            </w:r>
            <w:r>
              <w:rPr>
                <w:rFonts w:hint="default" w:ascii="Times New Roman" w:hAnsi="Times New Roman" w:eastAsia="宋体" w:cs="Times New Roman"/>
                <w:color w:val="auto"/>
              </w:rPr>
              <w:t>施工人员生活污水</w:t>
            </w:r>
            <w:r>
              <w:rPr>
                <w:rFonts w:hint="eastAsia" w:ascii="Times New Roman" w:hAnsi="Times New Roman" w:eastAsia="宋体" w:cs="Times New Roman"/>
                <w:color w:val="auto"/>
              </w:rPr>
              <w:t>：本项目不设置施工营地，施工期工人在周边租赁村民民房，施工场地基本不产生生活污水。施工期人员利用周边已有旱厕，收集后用于当地农田或林地肥料。</w:t>
            </w:r>
          </w:p>
        </w:tc>
        <w:tc>
          <w:tcPr>
            <w:tcW w:w="726" w:type="pct"/>
            <w:noWrap w:val="0"/>
            <w:vAlign w:val="center"/>
          </w:tcPr>
          <w:p w14:paraId="21DBB8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lang w:val="en-US" w:eastAsia="zh-CN"/>
              </w:rPr>
            </w:pPr>
            <w:r>
              <w:rPr>
                <w:rFonts w:hint="eastAsia" w:cs="Times New Roman"/>
                <w:color w:val="auto"/>
                <w:lang w:val="en-US" w:eastAsia="zh-CN"/>
              </w:rPr>
              <w:t>原环评中已有的措施未发生改变，增加了抛泥区余水等水处理措施</w:t>
            </w:r>
          </w:p>
        </w:tc>
      </w:tr>
      <w:tr w14:paraId="7412F8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3DF6CB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175" w:type="pct"/>
            <w:vMerge w:val="continue"/>
            <w:noWrap w:val="0"/>
            <w:vAlign w:val="center"/>
          </w:tcPr>
          <w:p w14:paraId="46899C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291" w:type="pct"/>
            <w:gridSpan w:val="2"/>
            <w:noWrap w:val="0"/>
            <w:vAlign w:val="center"/>
          </w:tcPr>
          <w:p w14:paraId="6C353A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噪声治理</w:t>
            </w:r>
          </w:p>
        </w:tc>
        <w:tc>
          <w:tcPr>
            <w:tcW w:w="3481" w:type="pct"/>
            <w:noWrap w:val="0"/>
            <w:vAlign w:val="center"/>
          </w:tcPr>
          <w:p w14:paraId="35E1BE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auto"/>
              </w:rPr>
            </w:pPr>
            <w:r>
              <w:rPr>
                <w:rFonts w:hint="default" w:ascii="Times New Roman" w:hAnsi="Times New Roman" w:eastAsia="宋体" w:cs="Times New Roman"/>
                <w:color w:val="auto"/>
              </w:rPr>
              <w:t>采取隔声、减振、</w:t>
            </w:r>
            <w:r>
              <w:rPr>
                <w:rFonts w:hint="eastAsia" w:cs="Times New Roman"/>
                <w:color w:val="auto"/>
                <w:lang w:eastAsia="zh-CN"/>
              </w:rPr>
              <w:t>采取</w:t>
            </w:r>
            <w:r>
              <w:rPr>
                <w:rFonts w:hint="default" w:ascii="Times New Roman" w:hAnsi="Times New Roman" w:eastAsia="宋体" w:cs="Times New Roman"/>
                <w:color w:val="auto"/>
              </w:rPr>
              <w:t>低噪声设备等措施</w:t>
            </w:r>
            <w:r>
              <w:rPr>
                <w:rFonts w:hint="eastAsia" w:ascii="Times New Roman" w:hAnsi="Times New Roman" w:eastAsia="宋体" w:cs="Times New Roman"/>
                <w:color w:val="auto"/>
              </w:rPr>
              <w:t>。</w:t>
            </w:r>
          </w:p>
        </w:tc>
        <w:tc>
          <w:tcPr>
            <w:tcW w:w="726" w:type="pct"/>
            <w:noWrap w:val="0"/>
            <w:vAlign w:val="center"/>
          </w:tcPr>
          <w:p w14:paraId="0B878B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eastAsia" w:cs="Times New Roman"/>
                <w:color w:val="auto"/>
                <w:lang w:val="en-US" w:eastAsia="zh-CN"/>
              </w:rPr>
              <w:t>不变</w:t>
            </w:r>
          </w:p>
        </w:tc>
      </w:tr>
      <w:tr w14:paraId="1D510E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11BA44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175" w:type="pct"/>
            <w:vMerge w:val="continue"/>
            <w:noWrap w:val="0"/>
            <w:vAlign w:val="center"/>
          </w:tcPr>
          <w:p w14:paraId="098FAE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291" w:type="pct"/>
            <w:gridSpan w:val="2"/>
            <w:noWrap w:val="0"/>
            <w:vAlign w:val="center"/>
          </w:tcPr>
          <w:p w14:paraId="509556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固废</w:t>
            </w:r>
          </w:p>
        </w:tc>
        <w:tc>
          <w:tcPr>
            <w:tcW w:w="3481" w:type="pct"/>
            <w:noWrap w:val="0"/>
            <w:vAlign w:val="center"/>
          </w:tcPr>
          <w:p w14:paraId="703596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eastAsia" w:ascii="Times New Roman" w:hAnsi="Times New Roman" w:eastAsia="宋体" w:cs="Times New Roman"/>
                <w:color w:val="auto"/>
                <w:lang w:eastAsia="zh-CN"/>
              </w:rPr>
            </w:pPr>
            <w:r>
              <w:rPr>
                <w:rFonts w:hint="eastAsia" w:cs="Times New Roman"/>
                <w:color w:val="auto"/>
                <w:lang w:val="en-US" w:eastAsia="zh-CN"/>
              </w:rPr>
              <w:t>本项目施工期固废主要为生活垃圾、建设垃圾、废油、装修危废、沉淀后的干泥浆；其中</w:t>
            </w:r>
            <w:r>
              <w:rPr>
                <w:rFonts w:hint="default" w:ascii="Times New Roman" w:hAnsi="Times New Roman" w:eastAsia="宋体" w:cs="Times New Roman"/>
                <w:color w:val="auto"/>
              </w:rPr>
              <w:t>生活垃圾经收集后定期由环卫部门清运</w:t>
            </w:r>
            <w:r>
              <w:rPr>
                <w:rFonts w:hint="eastAsia" w:cs="Times New Roman"/>
                <w:color w:val="auto"/>
                <w:lang w:eastAsia="zh-CN"/>
              </w:rPr>
              <w:t>；</w:t>
            </w:r>
            <w:r>
              <w:rPr>
                <w:rFonts w:hint="eastAsia" w:ascii="Times New Roman" w:hAnsi="Times New Roman" w:eastAsia="宋体" w:cs="Times New Roman"/>
                <w:color w:val="auto"/>
              </w:rPr>
              <w:t>建筑垃圾统一收集后运至市政垃圾场处理，不排放</w:t>
            </w:r>
            <w:r>
              <w:rPr>
                <w:rFonts w:hint="eastAsia" w:cs="Times New Roman"/>
                <w:color w:val="auto"/>
                <w:lang w:eastAsia="zh-CN"/>
              </w:rPr>
              <w:t>；</w:t>
            </w:r>
            <w:r>
              <w:rPr>
                <w:rFonts w:hint="eastAsia" w:ascii="Times New Roman" w:hAnsi="Times New Roman" w:eastAsia="宋体" w:cs="Times New Roman"/>
                <w:color w:val="auto"/>
              </w:rPr>
              <w:t>废油、装修危废交由有资质单位处置；沉淀后的干泥浆运送上岸再由车辆运输至陆域工程</w:t>
            </w:r>
            <w:r>
              <w:rPr>
                <w:rFonts w:hint="default" w:ascii="Times New Roman" w:hAnsi="Times New Roman" w:eastAsia="宋体" w:cs="Times New Roman"/>
                <w:color w:val="auto"/>
              </w:rPr>
              <w:t>进港道路及路面拓宽</w:t>
            </w:r>
            <w:r>
              <w:rPr>
                <w:rFonts w:hint="eastAsia" w:ascii="Times New Roman" w:hAnsi="Times New Roman" w:eastAsia="宋体" w:cs="Times New Roman"/>
                <w:color w:val="auto"/>
              </w:rPr>
              <w:t>处，作为填方使用</w:t>
            </w:r>
            <w:r>
              <w:rPr>
                <w:rFonts w:hint="eastAsia" w:cs="Times New Roman"/>
                <w:color w:val="auto"/>
                <w:lang w:eastAsia="zh-CN"/>
              </w:rPr>
              <w:t>。</w:t>
            </w:r>
          </w:p>
        </w:tc>
        <w:tc>
          <w:tcPr>
            <w:tcW w:w="726" w:type="pct"/>
            <w:noWrap w:val="0"/>
            <w:vAlign w:val="center"/>
          </w:tcPr>
          <w:p w14:paraId="123593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eastAsia" w:cs="Times New Roman"/>
                <w:color w:val="auto"/>
                <w:lang w:val="en-US" w:eastAsia="zh-CN"/>
              </w:rPr>
              <w:t>不变</w:t>
            </w:r>
          </w:p>
        </w:tc>
      </w:tr>
      <w:tr w14:paraId="4F5141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145CE02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175" w:type="pct"/>
            <w:vMerge w:val="continue"/>
            <w:noWrap w:val="0"/>
            <w:vAlign w:val="center"/>
          </w:tcPr>
          <w:p w14:paraId="79B6DA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291" w:type="pct"/>
            <w:gridSpan w:val="2"/>
            <w:noWrap w:val="0"/>
            <w:vAlign w:val="center"/>
          </w:tcPr>
          <w:p w14:paraId="46484E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lang w:val="en-US" w:eastAsia="zh-CN"/>
              </w:rPr>
            </w:pPr>
            <w:r>
              <w:rPr>
                <w:rFonts w:hint="eastAsia" w:cs="Times New Roman"/>
                <w:color w:val="auto"/>
                <w:lang w:val="en-US" w:eastAsia="zh-CN"/>
              </w:rPr>
              <w:t>生态</w:t>
            </w:r>
          </w:p>
        </w:tc>
        <w:tc>
          <w:tcPr>
            <w:tcW w:w="3481" w:type="pct"/>
            <w:noWrap w:val="0"/>
            <w:vAlign w:val="center"/>
          </w:tcPr>
          <w:p w14:paraId="5EC94B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auto"/>
                <w:lang w:val="zh-CN" w:eastAsia="zh-CN"/>
              </w:rPr>
            </w:pPr>
            <w:r>
              <w:rPr>
                <w:rFonts w:hint="eastAsia" w:ascii="Times New Roman" w:hAnsi="Times New Roman" w:eastAsia="宋体" w:cs="Times New Roman"/>
                <w:color w:val="auto"/>
                <w:lang w:val="zh-CN" w:eastAsia="zh-CN"/>
              </w:rPr>
              <w:t>①</w:t>
            </w:r>
            <w:r>
              <w:rPr>
                <w:rFonts w:hint="default" w:ascii="Times New Roman" w:hAnsi="Times New Roman" w:eastAsia="宋体" w:cs="Times New Roman"/>
                <w:color w:val="auto"/>
                <w:lang w:val="zh-CN" w:eastAsia="zh-CN"/>
              </w:rPr>
              <w:t>做好对水上施工作业人员环境保护、生物多样性保护方面的宣传教育，严禁施工人员利用水上作业之便捕捞水生动物，以及随意猎捕野生动物的行为。</w:t>
            </w:r>
          </w:p>
          <w:p w14:paraId="71E142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auto"/>
                <w:lang w:val="zh-CN" w:eastAsia="zh-CN"/>
              </w:rPr>
            </w:pPr>
            <w:r>
              <w:rPr>
                <w:rFonts w:hint="eastAsia" w:ascii="Times New Roman" w:hAnsi="Times New Roman" w:eastAsia="宋体" w:cs="Times New Roman"/>
                <w:color w:val="auto"/>
                <w:lang w:val="zh-CN" w:eastAsia="zh-CN"/>
              </w:rPr>
              <w:t>②</w:t>
            </w:r>
            <w:r>
              <w:rPr>
                <w:rFonts w:hint="default" w:ascii="Times New Roman" w:hAnsi="Times New Roman" w:eastAsia="宋体" w:cs="Times New Roman"/>
                <w:color w:val="auto"/>
                <w:lang w:val="zh-CN" w:eastAsia="zh-CN"/>
              </w:rPr>
              <w:t>合理进行施工组织，工程水下施工尽量选择在11月</w:t>
            </w:r>
            <w:r>
              <w:rPr>
                <w:rFonts w:hint="eastAsia" w:ascii="Times New Roman" w:hAnsi="Times New Roman" w:eastAsia="宋体" w:cs="Times New Roman"/>
                <w:color w:val="auto"/>
                <w:lang w:val="zh-CN" w:eastAsia="zh-CN"/>
              </w:rPr>
              <w:t>至次年</w:t>
            </w:r>
            <w:r>
              <w:rPr>
                <w:rFonts w:hint="default" w:ascii="Times New Roman" w:hAnsi="Times New Roman" w:eastAsia="宋体" w:cs="Times New Roman"/>
                <w:color w:val="auto"/>
                <w:lang w:val="zh-CN" w:eastAsia="zh-CN"/>
              </w:rPr>
              <w:t>2月的枯水季节进行</w:t>
            </w:r>
            <w:r>
              <w:rPr>
                <w:rFonts w:hint="eastAsia" w:ascii="Times New Roman" w:hAnsi="Times New Roman" w:eastAsia="宋体" w:cs="Times New Roman"/>
                <w:color w:val="auto"/>
                <w:lang w:val="zh-CN" w:eastAsia="zh-CN"/>
              </w:rPr>
              <w:t>；</w:t>
            </w:r>
            <w:r>
              <w:rPr>
                <w:rFonts w:hint="default" w:ascii="Times New Roman" w:hAnsi="Times New Roman" w:eastAsia="宋体" w:cs="Times New Roman"/>
                <w:color w:val="auto"/>
                <w:lang w:val="zh-CN" w:eastAsia="zh-CN"/>
              </w:rPr>
              <w:t>每年</w:t>
            </w:r>
            <w:r>
              <w:rPr>
                <w:rFonts w:hint="eastAsia" w:ascii="Times New Roman" w:hAnsi="Times New Roman" w:eastAsia="宋体" w:cs="Times New Roman"/>
                <w:color w:val="auto"/>
                <w:lang w:val="en-US" w:eastAsia="zh-CN"/>
              </w:rPr>
              <w:t>4-8月四大家鱼洄游</w:t>
            </w:r>
            <w:r>
              <w:rPr>
                <w:rFonts w:hint="default" w:ascii="Times New Roman" w:hAnsi="Times New Roman" w:eastAsia="宋体" w:cs="Times New Roman"/>
                <w:color w:val="auto"/>
                <w:lang w:val="zh-CN" w:eastAsia="zh-CN"/>
              </w:rPr>
              <w:t>期间严禁进行水下作业</w:t>
            </w:r>
            <w:r>
              <w:rPr>
                <w:rFonts w:hint="eastAsia" w:ascii="Times New Roman" w:hAnsi="Times New Roman" w:eastAsia="宋体" w:cs="Times New Roman"/>
                <w:color w:val="auto"/>
                <w:lang w:val="zh-CN" w:eastAsia="zh-CN"/>
              </w:rPr>
              <w:t>。</w:t>
            </w:r>
          </w:p>
          <w:p w14:paraId="1D294C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auto"/>
                <w:lang w:val="zh-CN" w:eastAsia="zh-CN"/>
              </w:rPr>
            </w:pPr>
            <w:r>
              <w:rPr>
                <w:rFonts w:hint="eastAsia" w:ascii="Times New Roman" w:hAnsi="Times New Roman" w:eastAsia="宋体" w:cs="Times New Roman"/>
                <w:color w:val="auto"/>
                <w:lang w:val="zh-CN" w:eastAsia="zh-CN"/>
              </w:rPr>
              <w:t>③</w:t>
            </w:r>
            <w:r>
              <w:rPr>
                <w:rFonts w:hint="default" w:ascii="Times New Roman" w:hAnsi="Times New Roman" w:eastAsia="宋体" w:cs="Times New Roman"/>
                <w:color w:val="auto"/>
                <w:lang w:val="zh-CN" w:eastAsia="zh-CN"/>
              </w:rPr>
              <w:t>聘请渔政人员或有经验的渔民在现场水域巡视。如发现有异常时，应及时邀请有关水生生物专家、渔业专家前往指导，这样可以避免直接伤害，把影响减少到最低程度。</w:t>
            </w:r>
          </w:p>
          <w:p w14:paraId="49C44C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auto"/>
                <w:lang w:val="zh-CN" w:eastAsia="zh-CN"/>
              </w:rPr>
            </w:pPr>
            <w:r>
              <w:rPr>
                <w:rFonts w:hint="eastAsia" w:ascii="Times New Roman" w:hAnsi="Times New Roman" w:eastAsia="宋体" w:cs="Times New Roman"/>
                <w:color w:val="auto"/>
                <w:lang w:val="zh-CN" w:eastAsia="zh-CN"/>
              </w:rPr>
              <w:t>④</w:t>
            </w:r>
            <w:r>
              <w:rPr>
                <w:rFonts w:hint="default" w:ascii="Times New Roman" w:hAnsi="Times New Roman" w:eastAsia="宋体" w:cs="Times New Roman"/>
                <w:color w:val="auto"/>
                <w:lang w:val="zh-CN" w:eastAsia="zh-CN"/>
              </w:rPr>
              <w:t>施工</w:t>
            </w:r>
            <w:r>
              <w:rPr>
                <w:rFonts w:hint="eastAsia" w:cs="Times New Roman"/>
                <w:color w:val="auto"/>
                <w:lang w:val="zh-CN" w:eastAsia="zh-CN"/>
              </w:rPr>
              <w:t>期间</w:t>
            </w:r>
            <w:r>
              <w:rPr>
                <w:rFonts w:hint="default" w:ascii="Times New Roman" w:hAnsi="Times New Roman" w:eastAsia="宋体" w:cs="Times New Roman"/>
                <w:color w:val="auto"/>
                <w:lang w:val="zh-CN" w:eastAsia="zh-CN"/>
              </w:rPr>
              <w:t>施工单位</w:t>
            </w:r>
            <w:r>
              <w:rPr>
                <w:rFonts w:hint="eastAsia" w:ascii="Times New Roman" w:hAnsi="Times New Roman" w:eastAsia="宋体" w:cs="Times New Roman"/>
                <w:color w:val="auto"/>
                <w:lang w:val="en-US" w:eastAsia="zh-CN"/>
              </w:rPr>
              <w:t>严格</w:t>
            </w:r>
            <w:r>
              <w:rPr>
                <w:rFonts w:hint="default" w:ascii="Times New Roman" w:hAnsi="Times New Roman" w:eastAsia="宋体" w:cs="Times New Roman"/>
                <w:color w:val="auto"/>
                <w:lang w:val="zh-CN" w:eastAsia="zh-CN"/>
              </w:rPr>
              <w:t>制定水生生物保护规定，使施工人员在施工中能自觉保护水生动物，并遵守相关的生态保护规定。严禁施工人员在施工河道内进行捕鱼或从事</w:t>
            </w:r>
            <w:r>
              <w:rPr>
                <w:rFonts w:hint="eastAsia" w:cs="Times New Roman"/>
                <w:color w:val="auto"/>
                <w:lang w:val="zh-CN" w:eastAsia="zh-CN"/>
              </w:rPr>
              <w:t>其他有碍</w:t>
            </w:r>
            <w:r>
              <w:rPr>
                <w:rFonts w:hint="default" w:ascii="Times New Roman" w:hAnsi="Times New Roman" w:eastAsia="宋体" w:cs="Times New Roman"/>
                <w:color w:val="auto"/>
                <w:lang w:val="zh-CN" w:eastAsia="zh-CN"/>
              </w:rPr>
              <w:t>生态环境及鱼类保护的活动。</w:t>
            </w:r>
          </w:p>
          <w:p w14:paraId="565C4F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auto"/>
                <w:lang w:val="zh-CN" w:eastAsia="zh-CN"/>
              </w:rPr>
            </w:pPr>
            <w:r>
              <w:rPr>
                <w:rFonts w:hint="eastAsia" w:ascii="Times New Roman" w:hAnsi="Times New Roman" w:eastAsia="宋体" w:cs="Times New Roman"/>
                <w:color w:val="auto"/>
                <w:lang w:val="zh-CN" w:eastAsia="zh-CN"/>
              </w:rPr>
              <w:t>⑤</w:t>
            </w:r>
            <w:r>
              <w:rPr>
                <w:rFonts w:hint="default" w:ascii="Times New Roman" w:hAnsi="Times New Roman" w:eastAsia="宋体" w:cs="Times New Roman"/>
                <w:color w:val="auto"/>
                <w:lang w:val="zh-CN" w:eastAsia="zh-CN"/>
              </w:rPr>
              <w:t>加强施工期环境管理加强科学管理，在确保施工质量前提下</w:t>
            </w:r>
            <w:r>
              <w:rPr>
                <w:rFonts w:hint="eastAsia" w:cs="Times New Roman"/>
                <w:color w:val="auto"/>
                <w:lang w:val="zh-CN" w:eastAsia="zh-CN"/>
              </w:rPr>
              <w:t>加快施工进度</w:t>
            </w:r>
            <w:r>
              <w:rPr>
                <w:rFonts w:hint="default" w:ascii="Times New Roman" w:hAnsi="Times New Roman" w:eastAsia="宋体" w:cs="Times New Roman"/>
                <w:color w:val="auto"/>
                <w:lang w:val="zh-CN" w:eastAsia="zh-CN"/>
              </w:rPr>
              <w:t>以尽量缩短水下作业时间，水域施工范围应尽可能小，同时选在秋季至次年春季施工，该段时间水生生物活动较</w:t>
            </w:r>
            <w:r>
              <w:rPr>
                <w:rFonts w:hint="eastAsia" w:cs="Times New Roman"/>
                <w:color w:val="auto"/>
                <w:lang w:val="zh-CN" w:eastAsia="zh-CN"/>
              </w:rPr>
              <w:t>少</w:t>
            </w:r>
            <w:r>
              <w:rPr>
                <w:rFonts w:hint="default" w:ascii="Times New Roman" w:hAnsi="Times New Roman" w:eastAsia="宋体" w:cs="Times New Roman"/>
                <w:color w:val="auto"/>
                <w:lang w:val="zh-CN" w:eastAsia="zh-CN"/>
              </w:rPr>
              <w:t>。加强对设备的管理与维修保养，杜绝</w:t>
            </w:r>
            <w:r>
              <w:rPr>
                <w:rFonts w:hint="eastAsia" w:cs="Times New Roman"/>
                <w:color w:val="auto"/>
                <w:lang w:val="zh-CN" w:eastAsia="zh-CN"/>
              </w:rPr>
              <w:t>泄漏</w:t>
            </w:r>
            <w:r>
              <w:rPr>
                <w:rFonts w:hint="default" w:ascii="Times New Roman" w:hAnsi="Times New Roman" w:eastAsia="宋体" w:cs="Times New Roman"/>
                <w:color w:val="auto"/>
                <w:lang w:val="zh-CN" w:eastAsia="zh-CN"/>
              </w:rPr>
              <w:t>石油类物质以及所运送的建筑材料等，减少对水域污染的可能性；水上平台工作人员的生活污水及生活垃圾不允许直接排放或抛弃，划定施工作业区，禁止非施工船舶驶入，对施工船舶的作业、锚泊以及来往运输航行采取安全保障措施，避免事故对水生生态的影响</w:t>
            </w:r>
            <w:r>
              <w:rPr>
                <w:rFonts w:hint="eastAsia" w:ascii="Times New Roman" w:hAnsi="Times New Roman" w:eastAsia="宋体" w:cs="Times New Roman"/>
                <w:color w:val="auto"/>
                <w:lang w:val="zh-CN" w:eastAsia="zh-CN"/>
              </w:rPr>
              <w:t>；</w:t>
            </w:r>
            <w:r>
              <w:rPr>
                <w:rFonts w:hint="default" w:ascii="Times New Roman" w:hAnsi="Times New Roman" w:eastAsia="宋体" w:cs="Times New Roman"/>
                <w:color w:val="auto"/>
                <w:lang w:val="zh-CN" w:eastAsia="zh-CN"/>
              </w:rPr>
              <w:t>施工单位优化施工工艺方案，控制施工作业污染物排放，抓紧施工进度，尽量缩短水上作业时间。</w:t>
            </w:r>
          </w:p>
          <w:p w14:paraId="2E0D31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zh-CN" w:eastAsia="zh-CN"/>
              </w:rPr>
              <w:t>⑥</w:t>
            </w:r>
            <w:r>
              <w:rPr>
                <w:rFonts w:hint="default" w:ascii="Times New Roman" w:hAnsi="Times New Roman" w:eastAsia="宋体" w:cs="Times New Roman"/>
                <w:color w:val="auto"/>
                <w:lang w:val="zh-CN" w:eastAsia="zh-CN"/>
              </w:rPr>
              <w:t>要加强对作业船舶的维护和管理，要求作业船舶安装油水分离器，并定期对其进行检查和维修。船舶底舱油污废水需经油水分离器处理达标后与船舶作业人员的生活污水一并交由指定的环保船舶接收处理，严禁船舶油污废水和船舶作业人员生活污水直接排入</w:t>
            </w:r>
            <w:r>
              <w:rPr>
                <w:rFonts w:hint="eastAsia" w:ascii="Times New Roman" w:hAnsi="Times New Roman" w:eastAsia="宋体" w:cs="Times New Roman"/>
                <w:color w:val="auto"/>
                <w:lang w:val="en-US" w:eastAsia="zh-CN"/>
              </w:rPr>
              <w:t>淮</w:t>
            </w:r>
            <w:r>
              <w:rPr>
                <w:rFonts w:hint="default" w:ascii="Times New Roman" w:hAnsi="Times New Roman" w:eastAsia="宋体" w:cs="Times New Roman"/>
                <w:color w:val="auto"/>
                <w:lang w:val="zh-CN" w:eastAsia="zh-CN"/>
              </w:rPr>
              <w:t>河，造成对</w:t>
            </w:r>
            <w:r>
              <w:rPr>
                <w:rFonts w:hint="eastAsia" w:ascii="Times New Roman" w:hAnsi="Times New Roman" w:eastAsia="宋体" w:cs="Times New Roman"/>
                <w:color w:val="auto"/>
                <w:lang w:val="en-US" w:eastAsia="zh-CN"/>
              </w:rPr>
              <w:t>淮</w:t>
            </w:r>
            <w:r>
              <w:rPr>
                <w:rFonts w:hint="default" w:ascii="Times New Roman" w:hAnsi="Times New Roman" w:eastAsia="宋体" w:cs="Times New Roman"/>
                <w:color w:val="auto"/>
                <w:lang w:val="zh-CN" w:eastAsia="zh-CN"/>
              </w:rPr>
              <w:t>河水质的影响。施工单位应将施工废弃的砂、石、土必须运至管理部门规定的专门存放地堆放，不得向专门存放地以外的地点（包括</w:t>
            </w:r>
            <w:r>
              <w:rPr>
                <w:rFonts w:hint="eastAsia" w:ascii="Times New Roman" w:hAnsi="Times New Roman" w:eastAsia="宋体" w:cs="Times New Roman"/>
                <w:color w:val="auto"/>
                <w:lang w:val="en-US" w:eastAsia="zh-CN"/>
              </w:rPr>
              <w:t>淮</w:t>
            </w:r>
            <w:r>
              <w:rPr>
                <w:rFonts w:hint="default" w:ascii="Times New Roman" w:hAnsi="Times New Roman" w:eastAsia="宋体" w:cs="Times New Roman"/>
                <w:color w:val="auto"/>
                <w:lang w:val="zh-CN" w:eastAsia="zh-CN"/>
              </w:rPr>
              <w:t>河）倾倒。</w:t>
            </w:r>
          </w:p>
        </w:tc>
        <w:tc>
          <w:tcPr>
            <w:tcW w:w="726" w:type="pct"/>
            <w:noWrap w:val="0"/>
            <w:vAlign w:val="center"/>
          </w:tcPr>
          <w:p w14:paraId="5938F1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较原环评强化了施工期的生态保护措施</w:t>
            </w:r>
          </w:p>
        </w:tc>
      </w:tr>
      <w:tr w14:paraId="022FCF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732FF3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175" w:type="pct"/>
            <w:vMerge w:val="restart"/>
            <w:noWrap w:val="0"/>
            <w:vAlign w:val="center"/>
          </w:tcPr>
          <w:p w14:paraId="0307B1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营运期</w:t>
            </w:r>
          </w:p>
        </w:tc>
        <w:tc>
          <w:tcPr>
            <w:tcW w:w="291" w:type="pct"/>
            <w:gridSpan w:val="2"/>
            <w:noWrap w:val="0"/>
            <w:vAlign w:val="center"/>
          </w:tcPr>
          <w:p w14:paraId="2DFC38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废气治理</w:t>
            </w:r>
          </w:p>
        </w:tc>
        <w:tc>
          <w:tcPr>
            <w:tcW w:w="3481" w:type="pct"/>
            <w:noWrap w:val="0"/>
            <w:vAlign w:val="center"/>
          </w:tcPr>
          <w:p w14:paraId="66DB70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auto"/>
              </w:rPr>
            </w:pPr>
            <w:r>
              <w:rPr>
                <w:rFonts w:hint="default" w:ascii="Times New Roman" w:hAnsi="Times New Roman" w:eastAsia="宋体" w:cs="Times New Roman"/>
                <w:color w:val="auto"/>
              </w:rPr>
              <w:t>运营期加强运行管理，避免因操作不当等原因造成扬尘；到港船舶使用岸电；加强码头区域绿化，发挥绿色植物吸尘滞尘、净化空气的作用。</w:t>
            </w:r>
          </w:p>
          <w:p w14:paraId="1FD91E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default" w:ascii="Times New Roman" w:hAnsi="Times New Roman" w:eastAsia="宋体" w:cs="Times New Roman"/>
                <w:color w:val="auto"/>
              </w:rPr>
            </w:pPr>
            <w:r>
              <w:rPr>
                <w:rFonts w:hint="default" w:ascii="Times New Roman" w:hAnsi="Times New Roman" w:eastAsia="宋体" w:cs="Times New Roman"/>
                <w:color w:val="auto"/>
              </w:rPr>
              <w:t>装卸作业使用的装船机</w:t>
            </w:r>
            <w:r>
              <w:rPr>
                <w:rFonts w:hint="eastAsia" w:ascii="Times New Roman" w:hAnsi="Times New Roman" w:eastAsia="宋体" w:cs="Times New Roman"/>
                <w:color w:val="auto"/>
              </w:rPr>
              <w:t>皮带密闭，装船机</w:t>
            </w:r>
            <w:r>
              <w:rPr>
                <w:rFonts w:hint="default" w:ascii="Times New Roman" w:hAnsi="Times New Roman" w:eastAsia="宋体" w:cs="Times New Roman"/>
                <w:color w:val="auto"/>
              </w:rPr>
              <w:t>、</w:t>
            </w:r>
            <w:r>
              <w:rPr>
                <w:rFonts w:hint="eastAsia" w:ascii="Times New Roman" w:hAnsi="Times New Roman" w:eastAsia="宋体" w:cs="Times New Roman"/>
                <w:color w:val="auto"/>
              </w:rPr>
              <w:t>泊位处</w:t>
            </w:r>
            <w:r>
              <w:rPr>
                <w:rFonts w:hint="default" w:ascii="Times New Roman" w:hAnsi="Times New Roman" w:eastAsia="宋体" w:cs="Times New Roman"/>
                <w:color w:val="auto"/>
              </w:rPr>
              <w:t>设置喷雾洒水抑尘系统。</w:t>
            </w:r>
          </w:p>
          <w:p w14:paraId="55FE72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eastAsia" w:ascii="Times New Roman" w:hAnsi="Times New Roman" w:eastAsia="宋体" w:cs="Times New Roman"/>
                <w:color w:val="auto"/>
              </w:rPr>
            </w:pPr>
            <w:r>
              <w:rPr>
                <w:rFonts w:hint="default" w:ascii="Times New Roman" w:hAnsi="Times New Roman" w:eastAsia="宋体" w:cs="Times New Roman"/>
                <w:color w:val="auto"/>
              </w:rPr>
              <w:t>本项目煤炭、矿建材料</w:t>
            </w:r>
            <w:r>
              <w:rPr>
                <w:rFonts w:hint="eastAsia" w:cs="Times New Roman"/>
                <w:color w:val="auto"/>
                <w:lang w:eastAsia="zh-CN"/>
              </w:rPr>
              <w:t>、</w:t>
            </w:r>
            <w:r>
              <w:rPr>
                <w:rFonts w:hint="eastAsia" w:cs="Times New Roman"/>
                <w:color w:val="auto"/>
                <w:lang w:val="en-US" w:eastAsia="zh-CN"/>
              </w:rPr>
              <w:t>件杂货</w:t>
            </w:r>
            <w:r>
              <w:rPr>
                <w:rFonts w:hint="default" w:ascii="Times New Roman" w:hAnsi="Times New Roman" w:eastAsia="宋体" w:cs="Times New Roman"/>
                <w:color w:val="auto"/>
              </w:rPr>
              <w:t>运输均采用绿色新能源载重车辆运输，港区采用吸尘式清扫车清理作业平台及道路等区域。</w:t>
            </w:r>
          </w:p>
        </w:tc>
        <w:tc>
          <w:tcPr>
            <w:tcW w:w="726" w:type="pct"/>
            <w:noWrap w:val="0"/>
            <w:vAlign w:val="center"/>
          </w:tcPr>
          <w:p w14:paraId="5E8B8A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lang w:val="en-US" w:eastAsia="zh-CN"/>
              </w:rPr>
            </w:pPr>
            <w:r>
              <w:rPr>
                <w:rFonts w:hint="eastAsia" w:cs="Times New Roman"/>
                <w:color w:val="auto"/>
                <w:lang w:val="en-US" w:eastAsia="zh-CN"/>
              </w:rPr>
              <w:t>增加了密闭皮带机等内容</w:t>
            </w:r>
          </w:p>
        </w:tc>
      </w:tr>
      <w:tr w14:paraId="620EA6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05BDC1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175" w:type="pct"/>
            <w:vMerge w:val="continue"/>
            <w:noWrap w:val="0"/>
            <w:vAlign w:val="center"/>
          </w:tcPr>
          <w:p w14:paraId="591EDE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291" w:type="pct"/>
            <w:gridSpan w:val="2"/>
            <w:noWrap w:val="0"/>
            <w:vAlign w:val="center"/>
          </w:tcPr>
          <w:p w14:paraId="3A70F7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废水治理</w:t>
            </w:r>
          </w:p>
        </w:tc>
        <w:tc>
          <w:tcPr>
            <w:tcW w:w="3481" w:type="pct"/>
            <w:noWrap w:val="0"/>
            <w:vAlign w:val="center"/>
          </w:tcPr>
          <w:p w14:paraId="1E1CBA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eastAsia" w:cs="Times New Roman"/>
                <w:color w:val="auto"/>
                <w:lang w:eastAsia="zh-CN"/>
              </w:rPr>
            </w:pPr>
            <w:r>
              <w:rPr>
                <w:rFonts w:hint="eastAsia" w:cs="Times New Roman"/>
                <w:color w:val="auto"/>
                <w:lang w:val="en-US" w:eastAsia="zh-CN"/>
              </w:rPr>
              <w:t>运营期废水主要为</w:t>
            </w:r>
            <w:r>
              <w:rPr>
                <w:rFonts w:hint="default" w:ascii="Times New Roman" w:hAnsi="Times New Roman" w:eastAsia="宋体" w:cs="Times New Roman"/>
                <w:color w:val="auto"/>
              </w:rPr>
              <w:t>机械车辆冲洗水</w:t>
            </w:r>
            <w:r>
              <w:rPr>
                <w:rFonts w:hint="eastAsia" w:ascii="Times New Roman" w:hAnsi="Times New Roman" w:eastAsia="宋体" w:cs="Times New Roman"/>
                <w:color w:val="auto"/>
              </w:rPr>
              <w:t>、</w:t>
            </w:r>
            <w:r>
              <w:rPr>
                <w:rFonts w:hint="default" w:ascii="Times New Roman" w:hAnsi="Times New Roman" w:eastAsia="宋体" w:cs="Times New Roman"/>
                <w:color w:val="auto"/>
              </w:rPr>
              <w:t>初期雨水、码头地面冲洗废水</w:t>
            </w:r>
            <w:r>
              <w:rPr>
                <w:rFonts w:hint="eastAsia" w:ascii="Times New Roman" w:hAnsi="Times New Roman" w:eastAsia="宋体" w:cs="Times New Roman"/>
                <w:color w:val="auto"/>
              </w:rPr>
              <w:t>、船舶含油污水</w:t>
            </w:r>
            <w:r>
              <w:rPr>
                <w:rFonts w:hint="eastAsia" w:cs="Times New Roman"/>
                <w:color w:val="auto"/>
                <w:lang w:eastAsia="zh-CN"/>
              </w:rPr>
              <w:t>、</w:t>
            </w:r>
            <w:r>
              <w:rPr>
                <w:rFonts w:hint="eastAsia" w:ascii="Times New Roman" w:hAnsi="Times New Roman" w:eastAsia="宋体" w:cs="Times New Roman"/>
                <w:color w:val="auto"/>
              </w:rPr>
              <w:t>船舶生活污水</w:t>
            </w:r>
            <w:r>
              <w:rPr>
                <w:rFonts w:hint="eastAsia" w:cs="Times New Roman"/>
                <w:color w:val="auto"/>
                <w:lang w:eastAsia="zh-CN"/>
              </w:rPr>
              <w:t>、</w:t>
            </w:r>
            <w:r>
              <w:rPr>
                <w:rFonts w:hint="eastAsia" w:ascii="Times New Roman" w:hAnsi="Times New Roman" w:eastAsia="宋体" w:cs="Times New Roman"/>
                <w:color w:val="auto"/>
                <w:kern w:val="2"/>
                <w:sz w:val="21"/>
                <w:szCs w:val="21"/>
                <w:lang w:val="en-US" w:eastAsia="zh-CN" w:bidi="ar-SA"/>
              </w:rPr>
              <w:t>码头生活污水。</w:t>
            </w:r>
          </w:p>
          <w:p w14:paraId="17223A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rPr>
              <w:t>机械车辆冲洗水</w:t>
            </w:r>
            <w:r>
              <w:rPr>
                <w:rFonts w:hint="eastAsia" w:ascii="Times New Roman" w:hAnsi="Times New Roman" w:eastAsia="宋体" w:cs="Times New Roman"/>
                <w:color w:val="auto"/>
              </w:rPr>
              <w:t>、</w:t>
            </w:r>
            <w:r>
              <w:rPr>
                <w:rFonts w:hint="default" w:ascii="Times New Roman" w:hAnsi="Times New Roman" w:eastAsia="宋体" w:cs="Times New Roman"/>
                <w:color w:val="auto"/>
              </w:rPr>
              <w:t>初期雨水、码头地面冲洗废水</w:t>
            </w:r>
            <w:r>
              <w:rPr>
                <w:rFonts w:hint="eastAsia" w:ascii="Times New Roman" w:hAnsi="Times New Roman" w:eastAsia="宋体" w:cs="Times New Roman"/>
                <w:color w:val="auto"/>
              </w:rPr>
              <w:t>、船舶含油污水及船舶生活污水收集后经管道输送给隔油沉淀池预处理后</w:t>
            </w:r>
            <w:r>
              <w:rPr>
                <w:rFonts w:hint="default" w:ascii="Times New Roman" w:hAnsi="Times New Roman" w:eastAsia="宋体" w:cs="Times New Roman"/>
                <w:color w:val="auto"/>
              </w:rPr>
              <w:t>进入</w:t>
            </w:r>
            <w:r>
              <w:rPr>
                <w:rFonts w:hint="eastAsia" w:ascii="Times New Roman" w:hAnsi="Times New Roman" w:eastAsia="宋体" w:cs="Times New Roman"/>
                <w:color w:val="auto"/>
              </w:rPr>
              <w:t>一体化处理设施</w:t>
            </w:r>
            <w:r>
              <w:rPr>
                <w:rFonts w:hint="default" w:ascii="Times New Roman" w:hAnsi="Times New Roman" w:eastAsia="宋体" w:cs="Times New Roman"/>
                <w:color w:val="auto"/>
              </w:rPr>
              <w:t>处理</w:t>
            </w:r>
            <w:r>
              <w:rPr>
                <w:rFonts w:hint="eastAsia" w:ascii="Times New Roman" w:hAnsi="Times New Roman" w:eastAsia="宋体" w:cs="Times New Roman"/>
                <w:color w:val="auto"/>
              </w:rPr>
              <w:t>，</w:t>
            </w:r>
            <w:r>
              <w:rPr>
                <w:rFonts w:hint="default" w:ascii="Times New Roman" w:hAnsi="Times New Roman" w:eastAsia="宋体" w:cs="Times New Roman"/>
                <w:color w:val="auto"/>
              </w:rPr>
              <w:t>回用于</w:t>
            </w:r>
            <w:r>
              <w:rPr>
                <w:rFonts w:hint="eastAsia" w:ascii="Times New Roman" w:hAnsi="Times New Roman" w:eastAsia="宋体" w:cs="Times New Roman"/>
                <w:color w:val="auto"/>
              </w:rPr>
              <w:t>道路喷洒、机械车辆冲洗、绿化及码头地面冲洗</w:t>
            </w:r>
            <w:r>
              <w:rPr>
                <w:rFonts w:hint="default" w:ascii="Times New Roman" w:hAnsi="Times New Roman" w:eastAsia="宋体" w:cs="Times New Roman"/>
                <w:color w:val="auto"/>
              </w:rPr>
              <w:t>，不外排</w:t>
            </w:r>
            <w:r>
              <w:rPr>
                <w:rFonts w:hint="eastAsia" w:cs="Times New Roman"/>
                <w:color w:val="auto"/>
                <w:lang w:eastAsia="zh-CN"/>
              </w:rPr>
              <w:t>；</w:t>
            </w:r>
            <w:r>
              <w:rPr>
                <w:rFonts w:hint="eastAsia" w:ascii="Times New Roman" w:hAnsi="Times New Roman" w:eastAsia="宋体" w:cs="Times New Roman"/>
                <w:color w:val="auto"/>
                <w:kern w:val="2"/>
                <w:sz w:val="21"/>
                <w:szCs w:val="21"/>
                <w:lang w:val="en-US" w:eastAsia="zh-CN" w:bidi="ar-SA"/>
              </w:rPr>
              <w:t>码头生活污水利用周边已有旱厕，收集后用于当地农田或林地肥料，不外排</w:t>
            </w:r>
            <w:r>
              <w:rPr>
                <w:rFonts w:hint="default" w:ascii="Times New Roman" w:hAnsi="Times New Roman" w:eastAsia="宋体" w:cs="Times New Roman"/>
                <w:color w:val="auto"/>
                <w:kern w:val="2"/>
                <w:sz w:val="21"/>
                <w:szCs w:val="21"/>
                <w:lang w:val="en-US" w:eastAsia="zh-CN" w:bidi="ar-SA"/>
              </w:rPr>
              <w:t>。</w:t>
            </w:r>
          </w:p>
        </w:tc>
        <w:tc>
          <w:tcPr>
            <w:tcW w:w="726" w:type="pct"/>
            <w:noWrap w:val="0"/>
            <w:vAlign w:val="center"/>
          </w:tcPr>
          <w:p w14:paraId="45FFD1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环评中船舶污水由船舶带走交海事船处理，本次变更为陆上</w:t>
            </w:r>
            <w:r>
              <w:rPr>
                <w:rFonts w:hint="eastAsia" w:cs="Times New Roman"/>
                <w:color w:val="auto"/>
                <w:lang w:val="en-US" w:eastAsia="zh-CN"/>
              </w:rPr>
              <w:t>一体化污水处理设施</w:t>
            </w:r>
          </w:p>
        </w:tc>
      </w:tr>
      <w:tr w14:paraId="71316F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54F34F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175" w:type="pct"/>
            <w:vMerge w:val="continue"/>
            <w:noWrap w:val="0"/>
            <w:vAlign w:val="center"/>
          </w:tcPr>
          <w:p w14:paraId="091D0D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291" w:type="pct"/>
            <w:gridSpan w:val="2"/>
            <w:noWrap w:val="0"/>
            <w:vAlign w:val="center"/>
          </w:tcPr>
          <w:p w14:paraId="69301D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噪声治理</w:t>
            </w:r>
          </w:p>
        </w:tc>
        <w:tc>
          <w:tcPr>
            <w:tcW w:w="3481" w:type="pct"/>
            <w:noWrap w:val="0"/>
            <w:vAlign w:val="center"/>
          </w:tcPr>
          <w:p w14:paraId="0A9371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rPr>
            </w:pPr>
            <w:r>
              <w:rPr>
                <w:rFonts w:hint="default" w:ascii="Times New Roman" w:hAnsi="Times New Roman" w:eastAsia="宋体" w:cs="Times New Roman"/>
                <w:color w:val="auto"/>
              </w:rPr>
              <w:t>采取绿化、隔声、减振、</w:t>
            </w:r>
            <w:r>
              <w:rPr>
                <w:rFonts w:hint="eastAsia" w:cs="Times New Roman"/>
                <w:color w:val="auto"/>
                <w:lang w:eastAsia="zh-CN"/>
              </w:rPr>
              <w:t>采取</w:t>
            </w:r>
            <w:r>
              <w:rPr>
                <w:rFonts w:hint="default" w:ascii="Times New Roman" w:hAnsi="Times New Roman" w:eastAsia="宋体" w:cs="Times New Roman"/>
                <w:color w:val="auto"/>
              </w:rPr>
              <w:t>低噪声设备等措施</w:t>
            </w:r>
            <w:r>
              <w:rPr>
                <w:rFonts w:hint="eastAsia" w:ascii="Times New Roman" w:hAnsi="Times New Roman" w:eastAsia="宋体" w:cs="Times New Roman"/>
                <w:color w:val="auto"/>
              </w:rPr>
              <w:t>。</w:t>
            </w:r>
          </w:p>
        </w:tc>
        <w:tc>
          <w:tcPr>
            <w:tcW w:w="726" w:type="pct"/>
            <w:noWrap w:val="0"/>
            <w:vAlign w:val="center"/>
          </w:tcPr>
          <w:p w14:paraId="5EF81F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eastAsia" w:cs="Times New Roman"/>
                <w:color w:val="auto"/>
                <w:lang w:val="en-US" w:eastAsia="zh-CN"/>
              </w:rPr>
              <w:t>不变</w:t>
            </w:r>
          </w:p>
        </w:tc>
      </w:tr>
      <w:tr w14:paraId="7171E4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0A9676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175" w:type="pct"/>
            <w:vMerge w:val="continue"/>
            <w:noWrap w:val="0"/>
            <w:vAlign w:val="center"/>
          </w:tcPr>
          <w:p w14:paraId="2D6E25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p>
        </w:tc>
        <w:tc>
          <w:tcPr>
            <w:tcW w:w="125" w:type="pct"/>
            <w:vMerge w:val="restart"/>
            <w:noWrap w:val="0"/>
            <w:vAlign w:val="center"/>
          </w:tcPr>
          <w:p w14:paraId="7E5B71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固废</w:t>
            </w:r>
          </w:p>
        </w:tc>
        <w:tc>
          <w:tcPr>
            <w:tcW w:w="165" w:type="pct"/>
            <w:noWrap w:val="0"/>
            <w:vAlign w:val="center"/>
          </w:tcPr>
          <w:p w14:paraId="092E3A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rPr>
            </w:pPr>
            <w:r>
              <w:rPr>
                <w:rFonts w:hint="default" w:ascii="Times New Roman" w:hAnsi="Times New Roman" w:cs="Times New Roman"/>
                <w:color w:val="auto"/>
                <w:sz w:val="21"/>
                <w:szCs w:val="21"/>
                <w:highlight w:val="none"/>
                <w:lang w:val="en-US" w:eastAsia="zh-CN"/>
              </w:rPr>
              <w:t>一般固废</w:t>
            </w:r>
          </w:p>
        </w:tc>
        <w:tc>
          <w:tcPr>
            <w:tcW w:w="3481" w:type="pct"/>
            <w:noWrap w:val="0"/>
            <w:vAlign w:val="center"/>
          </w:tcPr>
          <w:p w14:paraId="2D10A1C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cs="Times New Roman"/>
                <w:color w:val="auto"/>
                <w:lang w:val="en-US" w:eastAsia="zh-CN"/>
              </w:rPr>
            </w:pPr>
            <w:r>
              <w:rPr>
                <w:rFonts w:hint="eastAsia" w:cs="Times New Roman"/>
                <w:color w:val="auto"/>
                <w:lang w:val="en-US" w:eastAsia="zh-CN"/>
              </w:rPr>
              <w:t>运营期一般固废主要为生活垃圾、</w:t>
            </w:r>
            <w:r>
              <w:rPr>
                <w:rFonts w:hint="default" w:ascii="Times New Roman" w:hAnsi="Times New Roman" w:eastAsia="宋体" w:cs="Times New Roman"/>
                <w:color w:val="auto"/>
              </w:rPr>
              <w:t>沉淀池沉渣</w:t>
            </w:r>
            <w:r>
              <w:rPr>
                <w:rFonts w:hint="eastAsia" w:cs="Times New Roman"/>
                <w:color w:val="auto"/>
                <w:lang w:val="en-US" w:eastAsia="zh-CN"/>
              </w:rPr>
              <w:t>；</w:t>
            </w:r>
          </w:p>
          <w:p w14:paraId="177F07F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rPr>
            </w:pPr>
            <w:r>
              <w:rPr>
                <w:rFonts w:hint="default" w:ascii="Times New Roman" w:hAnsi="Times New Roman" w:eastAsia="宋体" w:cs="Times New Roman"/>
                <w:color w:val="auto"/>
              </w:rPr>
              <w:t>生活垃圾经收集后定期由环卫部门清运</w:t>
            </w:r>
            <w:r>
              <w:rPr>
                <w:rFonts w:hint="eastAsia" w:cs="Times New Roman"/>
                <w:color w:val="auto"/>
                <w:lang w:eastAsia="zh-CN"/>
              </w:rPr>
              <w:t>；</w:t>
            </w:r>
            <w:r>
              <w:rPr>
                <w:rFonts w:hint="default" w:ascii="Times New Roman" w:hAnsi="Times New Roman" w:eastAsia="宋体" w:cs="Times New Roman"/>
                <w:color w:val="auto"/>
              </w:rPr>
              <w:t>沉淀池沉渣交当地环卫部门统一收集处理。</w:t>
            </w:r>
          </w:p>
        </w:tc>
        <w:tc>
          <w:tcPr>
            <w:tcW w:w="726" w:type="pct"/>
            <w:vMerge w:val="restart"/>
            <w:noWrap w:val="0"/>
            <w:vAlign w:val="center"/>
          </w:tcPr>
          <w:p w14:paraId="4DE509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eastAsia" w:cs="Times New Roman"/>
                <w:color w:val="auto"/>
                <w:lang w:val="en-US" w:eastAsia="zh-CN"/>
              </w:rPr>
              <w:t>不变</w:t>
            </w:r>
          </w:p>
        </w:tc>
      </w:tr>
      <w:tr w14:paraId="5617F2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0D2097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color w:val="auto"/>
              </w:rPr>
            </w:pPr>
          </w:p>
        </w:tc>
        <w:tc>
          <w:tcPr>
            <w:tcW w:w="175" w:type="pct"/>
            <w:vMerge w:val="continue"/>
            <w:noWrap w:val="0"/>
            <w:vAlign w:val="center"/>
          </w:tcPr>
          <w:p w14:paraId="2AE8B1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color w:val="auto"/>
              </w:rPr>
            </w:pPr>
          </w:p>
        </w:tc>
        <w:tc>
          <w:tcPr>
            <w:tcW w:w="125" w:type="pct"/>
            <w:vMerge w:val="continue"/>
            <w:noWrap w:val="0"/>
            <w:vAlign w:val="center"/>
          </w:tcPr>
          <w:p w14:paraId="0FF2C3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rPr>
            </w:pPr>
          </w:p>
        </w:tc>
        <w:tc>
          <w:tcPr>
            <w:tcW w:w="165" w:type="pct"/>
            <w:noWrap w:val="0"/>
            <w:vAlign w:val="center"/>
          </w:tcPr>
          <w:p w14:paraId="659749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color w:val="auto"/>
              </w:rPr>
            </w:pPr>
            <w:r>
              <w:rPr>
                <w:rFonts w:hint="default" w:ascii="Times New Roman" w:hAnsi="Times New Roman" w:cs="Times New Roman"/>
                <w:color w:val="auto"/>
                <w:sz w:val="21"/>
                <w:szCs w:val="21"/>
                <w:highlight w:val="none"/>
                <w:lang w:val="en-US" w:eastAsia="zh-CN"/>
              </w:rPr>
              <w:t>危险废物</w:t>
            </w:r>
          </w:p>
        </w:tc>
        <w:tc>
          <w:tcPr>
            <w:tcW w:w="3481" w:type="pct"/>
            <w:noWrap w:val="0"/>
            <w:vAlign w:val="center"/>
          </w:tcPr>
          <w:p w14:paraId="4CEA65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运营期危废主要为</w:t>
            </w:r>
            <w:r>
              <w:rPr>
                <w:rFonts w:hint="default" w:ascii="Times New Roman" w:hAnsi="Times New Roman" w:eastAsia="宋体" w:cs="Times New Roman"/>
                <w:color w:val="auto"/>
              </w:rPr>
              <w:t>隔油</w:t>
            </w:r>
            <w:r>
              <w:rPr>
                <w:rFonts w:hint="eastAsia" w:ascii="Times New Roman" w:hAnsi="Times New Roman" w:eastAsia="宋体" w:cs="Times New Roman"/>
                <w:color w:val="auto"/>
              </w:rPr>
              <w:t>沉淀池含油污泥</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隔油</w:t>
            </w:r>
            <w:r>
              <w:rPr>
                <w:rFonts w:hint="eastAsia" w:ascii="Times New Roman" w:hAnsi="Times New Roman" w:eastAsia="宋体" w:cs="Times New Roman"/>
                <w:color w:val="auto"/>
              </w:rPr>
              <w:t>沉淀池含油污泥</w:t>
            </w:r>
            <w:r>
              <w:rPr>
                <w:rFonts w:hint="default" w:ascii="Times New Roman" w:hAnsi="Times New Roman" w:eastAsia="宋体" w:cs="Times New Roman"/>
                <w:color w:val="auto"/>
              </w:rPr>
              <w:t>采用专用桶收集后暂存于危险废物暂存库</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港区设置一座危险废物暂存</w:t>
            </w:r>
            <w:r>
              <w:rPr>
                <w:rFonts w:hint="eastAsia" w:ascii="Times New Roman" w:hAnsi="Times New Roman" w:eastAsia="宋体" w:cs="Times New Roman"/>
                <w:color w:val="auto"/>
                <w:lang w:val="en-US" w:eastAsia="zh-CN"/>
              </w:rPr>
              <w:t>间</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占地面积约5m</w:t>
            </w:r>
            <w:r>
              <w:rPr>
                <w:rFonts w:hint="default" w:ascii="Times New Roman" w:hAnsi="Times New Roman" w:eastAsia="宋体" w:cs="Times New Roman"/>
                <w:color w:val="auto"/>
                <w:vertAlign w:val="superscript"/>
              </w:rPr>
              <w:t>2</w:t>
            </w:r>
            <w:r>
              <w:rPr>
                <w:rFonts w:hint="eastAsia" w:cs="Times New Roman"/>
                <w:color w:val="auto"/>
                <w:vertAlign w:val="superscript"/>
                <w:lang w:eastAsia="zh-CN"/>
              </w:rPr>
              <w:t>）</w:t>
            </w:r>
            <w:r>
              <w:rPr>
                <w:rFonts w:hint="default" w:ascii="Times New Roman" w:hAnsi="Times New Roman" w:eastAsia="宋体" w:cs="Times New Roman"/>
                <w:color w:val="auto"/>
              </w:rPr>
              <w:t>及时送有资质单位处理</w:t>
            </w:r>
            <w:r>
              <w:rPr>
                <w:rFonts w:hint="eastAsia" w:ascii="Times New Roman" w:hAnsi="Times New Roman" w:eastAsia="宋体" w:cs="Times New Roman"/>
                <w:color w:val="auto"/>
              </w:rPr>
              <w:t>。</w:t>
            </w:r>
          </w:p>
        </w:tc>
        <w:tc>
          <w:tcPr>
            <w:tcW w:w="726" w:type="pct"/>
            <w:vMerge w:val="continue"/>
            <w:noWrap w:val="0"/>
            <w:vAlign w:val="center"/>
          </w:tcPr>
          <w:p w14:paraId="3B80A36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ascii="Times New Roman" w:hAnsi="Times New Roman" w:eastAsia="宋体" w:cs="Times New Roman"/>
                <w:color w:val="auto"/>
              </w:rPr>
            </w:pPr>
          </w:p>
        </w:tc>
      </w:tr>
      <w:tr w14:paraId="7A5697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306" w:type="pct"/>
            <w:vMerge w:val="continue"/>
            <w:noWrap w:val="0"/>
            <w:vAlign w:val="center"/>
          </w:tcPr>
          <w:p w14:paraId="78F5874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color w:val="auto"/>
              </w:rPr>
            </w:pPr>
          </w:p>
        </w:tc>
        <w:tc>
          <w:tcPr>
            <w:tcW w:w="175" w:type="pct"/>
            <w:vMerge w:val="continue"/>
            <w:noWrap w:val="0"/>
            <w:vAlign w:val="center"/>
          </w:tcPr>
          <w:p w14:paraId="43C53C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default"/>
                <w:color w:val="auto"/>
              </w:rPr>
            </w:pPr>
          </w:p>
        </w:tc>
        <w:tc>
          <w:tcPr>
            <w:tcW w:w="291" w:type="pct"/>
            <w:gridSpan w:val="2"/>
            <w:noWrap w:val="0"/>
            <w:vAlign w:val="center"/>
          </w:tcPr>
          <w:p w14:paraId="4FF5E0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生态</w:t>
            </w:r>
          </w:p>
        </w:tc>
        <w:tc>
          <w:tcPr>
            <w:tcW w:w="3481" w:type="pct"/>
            <w:noWrap w:val="0"/>
            <w:vAlign w:val="center"/>
          </w:tcPr>
          <w:p w14:paraId="151E95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①严格控制各类污染物排放，严禁码头生产作业产生的生活、生产污水、固体废随意排放或堆放，选用高效低噪声设备，降低对周边陆生动植物的影响。</w:t>
            </w:r>
          </w:p>
          <w:p w14:paraId="2ABC55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②工程建设单位应以公告、宣传单、板报和会议等形式，加强对工作人员的环境保护宣传教育和保护野生动物常识的宣传，</w:t>
            </w:r>
            <w:r>
              <w:rPr>
                <w:rFonts w:hint="eastAsia" w:cs="Times New Roman"/>
                <w:color w:val="auto"/>
                <w:lang w:val="en-US" w:eastAsia="zh-CN"/>
              </w:rPr>
              <w:t>增强</w:t>
            </w:r>
            <w:r>
              <w:rPr>
                <w:rFonts w:hint="eastAsia" w:ascii="Times New Roman" w:hAnsi="Times New Roman" w:eastAsia="宋体" w:cs="Times New Roman"/>
                <w:color w:val="auto"/>
                <w:lang w:val="en-US" w:eastAsia="zh-CN"/>
              </w:rPr>
              <w:t>工作人员的环境保护意识，尽量减少工程施工对水生生物的影响。</w:t>
            </w:r>
          </w:p>
          <w:p w14:paraId="01786C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③加强淮河淮南段长吻鮠国家级水产种质资源保护区邻近水域的渔业资源管理和渔业资源繁殖的保护，加大对电、毒、炸及各类非法网具检查与清理力度。工程运营期间，对附近居民及工作人员等进行宣传，</w:t>
            </w:r>
            <w:r>
              <w:rPr>
                <w:rFonts w:hint="eastAsia" w:cs="Times New Roman"/>
                <w:color w:val="auto"/>
                <w:lang w:val="en-US" w:eastAsia="zh-CN"/>
              </w:rPr>
              <w:t>增强</w:t>
            </w:r>
            <w:r>
              <w:rPr>
                <w:rFonts w:hint="eastAsia" w:ascii="Times New Roman" w:hAnsi="Times New Roman" w:eastAsia="宋体" w:cs="Times New Roman"/>
                <w:color w:val="auto"/>
                <w:lang w:val="en-US" w:eastAsia="zh-CN"/>
              </w:rPr>
              <w:t>环境资源保护意识，提倡、鼓励他们参与保护区的管理、监督工作，严防污染事故的发生并杜绝非法捕捞，共同做好保护区的环境生态及水生生物保护工作。</w:t>
            </w:r>
          </w:p>
          <w:p w14:paraId="61773B6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④渔政管理部门和保护区管理部门应加强对保护区及相关水域的巡查，派专人进行瞭望，一旦发现偷捕现象，立即制止，一旦发现保护区冲入大片污染物，应立即组织专船专员打捞，</w:t>
            </w:r>
            <w:r>
              <w:rPr>
                <w:rFonts w:hint="eastAsia" w:cs="Times New Roman"/>
                <w:color w:val="auto"/>
                <w:lang w:val="en-US" w:eastAsia="zh-CN"/>
              </w:rPr>
              <w:t>准确</w:t>
            </w:r>
            <w:r>
              <w:rPr>
                <w:rFonts w:hint="eastAsia" w:ascii="Times New Roman" w:hAnsi="Times New Roman" w:eastAsia="宋体" w:cs="Times New Roman"/>
                <w:color w:val="auto"/>
                <w:lang w:val="en-US" w:eastAsia="zh-CN"/>
              </w:rPr>
              <w:t>落实国家水产种质资源保护区的环境保护工作。</w:t>
            </w:r>
          </w:p>
          <w:p w14:paraId="638BC9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⑤建立并完善检查和监测制度，保证各项保护措施得以顺利实行。检查制度的执行由渔政部门与行政管理部门以及公安部门相互配合，杜绝一切非法捕捞行为，监测制度的执行应由渔政与生态环境部门、渔业科研单位等配合，主要监测以下指标：水质情况、渔业资源变动情况、饵料生物资源变动情况等。</w:t>
            </w:r>
          </w:p>
          <w:p w14:paraId="7AEBB88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⑥工程运营期要确保</w:t>
            </w:r>
            <w:r>
              <w:rPr>
                <w:rFonts w:hint="eastAsia" w:cs="Times New Roman"/>
                <w:color w:val="auto"/>
                <w:lang w:val="en-US" w:eastAsia="zh-CN"/>
              </w:rPr>
              <w:t>对</w:t>
            </w:r>
            <w:r>
              <w:rPr>
                <w:rFonts w:hint="eastAsia" w:ascii="Times New Roman" w:hAnsi="Times New Roman" w:eastAsia="宋体" w:cs="Times New Roman"/>
                <w:color w:val="auto"/>
                <w:lang w:val="en-US" w:eastAsia="zh-CN"/>
              </w:rPr>
              <w:t>项目区的各项保护措施及时到位，并定期维护和检修，以减轻工程对项目区环境的影响。</w:t>
            </w:r>
          </w:p>
          <w:p w14:paraId="267603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⑦实施渔业资源增殖放流、水生生物资源状况评估、鱼类栖息地修复、水生生物科普宣教、渔政监管及协助巡护等作为生态补偿措施。</w:t>
            </w:r>
          </w:p>
        </w:tc>
        <w:tc>
          <w:tcPr>
            <w:tcW w:w="726" w:type="pct"/>
            <w:vMerge w:val="restart"/>
            <w:noWrap w:val="0"/>
            <w:vAlign w:val="center"/>
          </w:tcPr>
          <w:p w14:paraId="0587E4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lang w:val="en-US" w:eastAsia="zh-CN"/>
              </w:rPr>
            </w:pPr>
            <w:r>
              <w:rPr>
                <w:rFonts w:hint="eastAsia" w:cs="Times New Roman"/>
                <w:color w:val="auto"/>
                <w:lang w:val="en-US" w:eastAsia="zh-CN"/>
              </w:rPr>
              <w:t>原环评未考虑此因素，本次环评增加</w:t>
            </w:r>
          </w:p>
        </w:tc>
      </w:tr>
      <w:tr w14:paraId="5BA05F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18" w:type="pct"/>
          <w:trHeight w:val="23" w:hRule="atLeast"/>
          <w:jc w:val="center"/>
        </w:trPr>
        <w:tc>
          <w:tcPr>
            <w:tcW w:w="773" w:type="pct"/>
            <w:gridSpan w:val="4"/>
            <w:noWrap w:val="0"/>
            <w:vAlign w:val="center"/>
          </w:tcPr>
          <w:p w14:paraId="1CF64C1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环境</w:t>
            </w:r>
            <w:r>
              <w:rPr>
                <w:rFonts w:hint="default" w:ascii="Times New Roman" w:hAnsi="Times New Roman" w:eastAsia="宋体" w:cs="Times New Roman"/>
                <w:color w:val="auto"/>
              </w:rPr>
              <w:t>风险防范措施</w:t>
            </w:r>
          </w:p>
        </w:tc>
        <w:tc>
          <w:tcPr>
            <w:tcW w:w="3481" w:type="pct"/>
            <w:noWrap w:val="0"/>
            <w:vAlign w:val="center"/>
          </w:tcPr>
          <w:p w14:paraId="2797BB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Pr>
                <w:rFonts w:hint="eastAsia" w:ascii="Times New Roman" w:hAnsi="Times New Roman" w:eastAsia="宋体" w:cs="Times New Roman"/>
                <w:color w:val="auto"/>
              </w:rPr>
            </w:pPr>
            <w:r>
              <w:rPr>
                <w:rFonts w:hint="default" w:ascii="Times New Roman" w:hAnsi="Times New Roman" w:eastAsia="宋体" w:cs="Times New Roman"/>
                <w:color w:val="auto"/>
              </w:rPr>
              <w:t>项目区</w:t>
            </w:r>
            <w:r>
              <w:rPr>
                <w:rFonts w:hint="eastAsia" w:ascii="Times New Roman" w:hAnsi="Times New Roman" w:eastAsia="宋体" w:cs="Times New Roman"/>
                <w:color w:val="auto"/>
              </w:rPr>
              <w:t>管理房存放</w:t>
            </w:r>
            <w:r>
              <w:rPr>
                <w:rFonts w:hint="default" w:ascii="Times New Roman" w:hAnsi="Times New Roman" w:eastAsia="宋体" w:cs="Times New Roman"/>
                <w:color w:val="auto"/>
              </w:rPr>
              <w:t>围油栏（长500m，满足不低于设计船型的</w:t>
            </w:r>
            <w:r>
              <w:rPr>
                <w:rFonts w:hint="eastAsia" w:ascii="Times New Roman" w:hAnsi="Times New Roman" w:eastAsia="宋体" w:cs="Times New Roman"/>
                <w:color w:val="auto"/>
              </w:rPr>
              <w:t>3倍船长</w:t>
            </w:r>
            <w:r>
              <w:rPr>
                <w:rFonts w:hint="default" w:ascii="Times New Roman" w:hAnsi="Times New Roman" w:eastAsia="宋体" w:cs="Times New Roman"/>
                <w:color w:val="auto"/>
              </w:rPr>
              <w:t>）、收油机（2</w:t>
            </w:r>
            <w:r>
              <w:rPr>
                <w:rFonts w:hint="eastAsia"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/h</w:t>
            </w:r>
            <w:r>
              <w:rPr>
                <w:rFonts w:hint="eastAsia" w:ascii="Times New Roman" w:hAnsi="Times New Roman" w:eastAsia="宋体" w:cs="Times New Roman"/>
                <w:color w:val="auto"/>
              </w:rPr>
              <w:t>，</w:t>
            </w:r>
            <w:r>
              <w:rPr>
                <w:rFonts w:hint="default" w:ascii="Times New Roman" w:hAnsi="Times New Roman" w:eastAsia="宋体" w:cs="Times New Roman"/>
                <w:color w:val="auto"/>
              </w:rPr>
              <w:t>2</w:t>
            </w:r>
            <w:r>
              <w:rPr>
                <w:rFonts w:hint="eastAsia" w:ascii="Times New Roman" w:hAnsi="Times New Roman" w:eastAsia="宋体" w:cs="Times New Roman"/>
                <w:color w:val="auto"/>
              </w:rPr>
              <w:t>台</w:t>
            </w:r>
            <w:r>
              <w:rPr>
                <w:rFonts w:hint="default" w:ascii="Times New Roman" w:hAnsi="Times New Roman" w:eastAsia="宋体" w:cs="Times New Roman"/>
                <w:color w:val="auto"/>
              </w:rPr>
              <w:t>）</w:t>
            </w:r>
            <w:r>
              <w:rPr>
                <w:rFonts w:hint="eastAsia" w:ascii="Times New Roman" w:hAnsi="Times New Roman" w:eastAsia="宋体" w:cs="Times New Roman"/>
                <w:color w:val="auto"/>
              </w:rPr>
              <w:t>、油拖网（</w:t>
            </w:r>
            <w:r>
              <w:rPr>
                <w:rFonts w:hint="default" w:ascii="Times New Roman" w:hAnsi="Times New Roman" w:eastAsia="宋体" w:cs="Times New Roman"/>
                <w:color w:val="auto"/>
              </w:rPr>
              <w:t>1</w:t>
            </w:r>
            <w:r>
              <w:rPr>
                <w:rFonts w:hint="eastAsia" w:ascii="Times New Roman" w:hAnsi="Times New Roman" w:eastAsia="宋体" w:cs="Times New Roman"/>
                <w:color w:val="auto"/>
              </w:rPr>
              <w:t>套）、溢油分散剂（</w:t>
            </w:r>
            <w:r>
              <w:rPr>
                <w:rFonts w:hint="default" w:ascii="Times New Roman" w:hAnsi="Times New Roman" w:eastAsia="宋体" w:cs="Times New Roman"/>
                <w:color w:val="auto"/>
              </w:rPr>
              <w:t>1t</w:t>
            </w:r>
            <w:r>
              <w:rPr>
                <w:rFonts w:hint="eastAsia" w:ascii="Times New Roman" w:hAnsi="Times New Roman" w:eastAsia="宋体" w:cs="Times New Roman"/>
                <w:color w:val="auto"/>
              </w:rPr>
              <w:t>）、吸油毡（</w:t>
            </w:r>
            <w:r>
              <w:rPr>
                <w:rFonts w:hint="default" w:ascii="Times New Roman" w:hAnsi="Times New Roman" w:eastAsia="宋体" w:cs="Times New Roman"/>
                <w:color w:val="auto"/>
              </w:rPr>
              <w:t>1吨</w:t>
            </w:r>
            <w:r>
              <w:rPr>
                <w:rFonts w:hint="eastAsia" w:ascii="Times New Roman" w:hAnsi="Times New Roman" w:eastAsia="宋体" w:cs="Times New Roman"/>
                <w:color w:val="auto"/>
              </w:rPr>
              <w:t>）、溢油分散剂喷洒装置（1套）、装油桶（1m</w:t>
            </w:r>
            <w:r>
              <w:rPr>
                <w:rFonts w:hint="default" w:ascii="Times New Roman" w:hAnsi="Times New Roman" w:eastAsia="宋体" w:cs="Times New Roman"/>
                <w:color w:val="auto"/>
                <w:vertAlign w:val="superscript"/>
              </w:rPr>
              <w:t>3</w:t>
            </w:r>
            <w:r>
              <w:rPr>
                <w:rFonts w:hint="eastAsia" w:ascii="Times New Roman" w:hAnsi="Times New Roman" w:eastAsia="宋体" w:cs="Times New Roman"/>
                <w:color w:val="auto"/>
              </w:rPr>
              <w:t>，</w:t>
            </w:r>
            <w:r>
              <w:rPr>
                <w:rFonts w:hint="default" w:ascii="Times New Roman" w:hAnsi="Times New Roman" w:eastAsia="宋体" w:cs="Times New Roman"/>
                <w:color w:val="auto"/>
              </w:rPr>
              <w:t>1</w:t>
            </w:r>
            <w:r>
              <w:rPr>
                <w:rFonts w:hint="eastAsia" w:ascii="Times New Roman" w:hAnsi="Times New Roman" w:eastAsia="宋体" w:cs="Times New Roman"/>
                <w:color w:val="auto"/>
              </w:rPr>
              <w:t>台）等环境风险应急物资。</w:t>
            </w:r>
          </w:p>
        </w:tc>
        <w:tc>
          <w:tcPr>
            <w:tcW w:w="726" w:type="pct"/>
            <w:vMerge w:val="continue"/>
            <w:noWrap w:val="0"/>
            <w:vAlign w:val="center"/>
          </w:tcPr>
          <w:p w14:paraId="2B30F2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lang w:val="en-US" w:eastAsia="zh-CN"/>
              </w:rPr>
            </w:pPr>
          </w:p>
        </w:tc>
      </w:tr>
    </w:tbl>
    <w:p w14:paraId="01EE803E">
      <w:pPr>
        <w:jc w:val="center"/>
        <w:rPr>
          <w:rFonts w:hint="eastAsia" w:ascii="Times New Roman" w:hAnsi="Times New Roman" w:eastAsia="宋体" w:cs="Times New Roman"/>
          <w:color w:val="auto"/>
        </w:rPr>
      </w:pPr>
    </w:p>
    <w:p w14:paraId="71E7235E">
      <w:pPr>
        <w:rPr>
          <w:color w:val="auto"/>
        </w:rPr>
        <w:sectPr>
          <w:pgSz w:w="16840" w:h="11907" w:orient="landscape"/>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37EF1983">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3.2.3</w:t>
      </w:r>
      <w:r>
        <w:rPr>
          <w:rFonts w:ascii="Times New Roman" w:hAnsi="Times New Roman" w:eastAsia="黑体" w:cs="Times New Roman"/>
          <w:bCs/>
          <w:color w:val="auto"/>
          <w:kern w:val="2"/>
          <w:sz w:val="28"/>
          <w:szCs w:val="32"/>
          <w:lang w:val="en-US" w:eastAsia="zh-CN" w:bidi="ar-SA"/>
        </w:rPr>
        <w:t>主要技术指标</w:t>
      </w:r>
    </w:p>
    <w:p w14:paraId="653ED265">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项目主要技术经济指标表见表3.2-2。</w:t>
      </w:r>
    </w:p>
    <w:p w14:paraId="578F09B8">
      <w:pPr>
        <w:spacing w:line="400" w:lineRule="exact"/>
        <w:jc w:val="center"/>
        <w:rPr>
          <w:rFonts w:ascii="Times New Roman" w:hAnsi="Times New Roman" w:eastAsia="黑体" w:cs="Times New Roman"/>
          <w:color w:val="auto"/>
          <w:sz w:val="24"/>
        </w:rPr>
      </w:pPr>
      <w:r>
        <w:rPr>
          <w:rFonts w:ascii="Times New Roman" w:hAnsi="Times New Roman" w:eastAsia="黑体" w:cs="Times New Roman"/>
          <w:color w:val="auto"/>
          <w:sz w:val="24"/>
        </w:rPr>
        <w:t>表3.2-2  主要技术经济指标表</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36"/>
        <w:gridCol w:w="951"/>
        <w:gridCol w:w="1008"/>
        <w:gridCol w:w="671"/>
        <w:gridCol w:w="2512"/>
        <w:gridCol w:w="1985"/>
        <w:gridCol w:w="1524"/>
      </w:tblGrid>
      <w:tr w14:paraId="1A700A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6" w:type="dxa"/>
            <w:vMerge w:val="restart"/>
            <w:noWrap w:val="0"/>
            <w:vAlign w:val="center"/>
          </w:tcPr>
          <w:p w14:paraId="47A399F0">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序号</w:t>
            </w:r>
          </w:p>
        </w:tc>
        <w:tc>
          <w:tcPr>
            <w:tcW w:w="1959" w:type="dxa"/>
            <w:gridSpan w:val="2"/>
            <w:vMerge w:val="restart"/>
            <w:noWrap w:val="0"/>
            <w:vAlign w:val="center"/>
          </w:tcPr>
          <w:p w14:paraId="156EF0F3">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指标名称</w:t>
            </w:r>
          </w:p>
        </w:tc>
        <w:tc>
          <w:tcPr>
            <w:tcW w:w="671" w:type="dxa"/>
            <w:vMerge w:val="restart"/>
            <w:noWrap w:val="0"/>
            <w:vAlign w:val="center"/>
          </w:tcPr>
          <w:p w14:paraId="73411B4E">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rPr>
            </w:pPr>
            <w:r>
              <w:rPr>
                <w:rFonts w:hint="eastAsia" w:ascii="Times New Roman" w:hAnsi="Times New Roman" w:eastAsia="宋体" w:cs="Times New Roman"/>
                <w:b/>
                <w:color w:val="auto"/>
              </w:rPr>
              <w:t>单位</w:t>
            </w:r>
          </w:p>
        </w:tc>
        <w:tc>
          <w:tcPr>
            <w:tcW w:w="4497" w:type="dxa"/>
            <w:gridSpan w:val="2"/>
            <w:noWrap w:val="0"/>
            <w:vAlign w:val="center"/>
          </w:tcPr>
          <w:p w14:paraId="2D1DFD43">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指标值</w:t>
            </w:r>
          </w:p>
        </w:tc>
        <w:tc>
          <w:tcPr>
            <w:tcW w:w="1524" w:type="dxa"/>
            <w:vMerge w:val="restart"/>
            <w:noWrap w:val="0"/>
            <w:vAlign w:val="center"/>
          </w:tcPr>
          <w:p w14:paraId="5E69DDB6">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备注</w:t>
            </w:r>
          </w:p>
        </w:tc>
      </w:tr>
      <w:tr w14:paraId="071DDA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6" w:type="dxa"/>
            <w:vMerge w:val="continue"/>
            <w:noWrap w:val="0"/>
            <w:vAlign w:val="center"/>
          </w:tcPr>
          <w:p w14:paraId="4116ECCD">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p>
        </w:tc>
        <w:tc>
          <w:tcPr>
            <w:tcW w:w="1959" w:type="dxa"/>
            <w:gridSpan w:val="2"/>
            <w:vMerge w:val="continue"/>
            <w:noWrap w:val="0"/>
            <w:vAlign w:val="center"/>
          </w:tcPr>
          <w:p w14:paraId="55477CEB">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p>
        </w:tc>
        <w:tc>
          <w:tcPr>
            <w:tcW w:w="671" w:type="dxa"/>
            <w:vMerge w:val="continue"/>
            <w:noWrap w:val="0"/>
            <w:vAlign w:val="center"/>
          </w:tcPr>
          <w:p w14:paraId="2DFC63DB">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rPr>
            </w:pPr>
          </w:p>
        </w:tc>
        <w:tc>
          <w:tcPr>
            <w:tcW w:w="2512" w:type="dxa"/>
            <w:noWrap w:val="0"/>
            <w:vAlign w:val="center"/>
          </w:tcPr>
          <w:p w14:paraId="481520C1">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eastAsia" w:ascii="Times New Roman" w:hAnsi="Times New Roman" w:eastAsia="宋体" w:cs="Times New Roman"/>
                <w:b/>
                <w:color w:val="auto"/>
              </w:rPr>
              <w:t>本项目</w:t>
            </w:r>
          </w:p>
        </w:tc>
        <w:tc>
          <w:tcPr>
            <w:tcW w:w="1985" w:type="dxa"/>
            <w:noWrap w:val="0"/>
            <w:vAlign w:val="center"/>
          </w:tcPr>
          <w:p w14:paraId="2730A7BD">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eastAsia" w:ascii="Times New Roman" w:hAnsi="Times New Roman" w:eastAsia="宋体" w:cs="Times New Roman"/>
                <w:b/>
                <w:color w:val="auto"/>
              </w:rPr>
              <w:t>原方案</w:t>
            </w:r>
          </w:p>
        </w:tc>
        <w:tc>
          <w:tcPr>
            <w:tcW w:w="1524" w:type="dxa"/>
            <w:vMerge w:val="continue"/>
            <w:noWrap w:val="0"/>
            <w:vAlign w:val="center"/>
          </w:tcPr>
          <w:p w14:paraId="2434F7F9">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p>
        </w:tc>
      </w:tr>
      <w:tr w14:paraId="3AD3EE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6" w:type="dxa"/>
            <w:noWrap w:val="0"/>
            <w:vAlign w:val="center"/>
          </w:tcPr>
          <w:p w14:paraId="495754F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w:t>
            </w:r>
          </w:p>
        </w:tc>
        <w:tc>
          <w:tcPr>
            <w:tcW w:w="1959" w:type="dxa"/>
            <w:gridSpan w:val="2"/>
            <w:noWrap w:val="0"/>
            <w:vAlign w:val="center"/>
          </w:tcPr>
          <w:p w14:paraId="045D2EF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码头年吞吐量</w:t>
            </w:r>
          </w:p>
        </w:tc>
        <w:tc>
          <w:tcPr>
            <w:tcW w:w="671" w:type="dxa"/>
            <w:noWrap w:val="0"/>
            <w:vAlign w:val="center"/>
          </w:tcPr>
          <w:p w14:paraId="38CB3012">
            <w:pPr>
              <w:keepNext w:val="0"/>
              <w:keepLines w:val="0"/>
              <w:suppressLineNumbers w:val="0"/>
              <w:spacing w:before="0" w:beforeAutospacing="0" w:after="0" w:afterAutospacing="0"/>
              <w:ind w:left="0" w:right="0"/>
              <w:jc w:val="center"/>
              <w:textAlignment w:val="center"/>
              <w:rPr>
                <w:rFonts w:hint="default" w:ascii="Times New Roman" w:hAnsi="Times New Roman" w:eastAsia="宋体" w:cs="Times New Roman"/>
                <w:color w:val="auto"/>
              </w:rPr>
            </w:pPr>
            <w:r>
              <w:rPr>
                <w:rFonts w:hint="default" w:ascii="Times New Roman" w:hAnsi="Times New Roman" w:eastAsia="宋体" w:cs="Times New Roman"/>
                <w:color w:val="auto"/>
              </w:rPr>
              <w:t>万吨</w:t>
            </w:r>
          </w:p>
        </w:tc>
        <w:tc>
          <w:tcPr>
            <w:tcW w:w="2512" w:type="dxa"/>
            <w:noWrap w:val="0"/>
            <w:vAlign w:val="center"/>
          </w:tcPr>
          <w:p w14:paraId="3BB8C0F3">
            <w:pPr>
              <w:keepNext w:val="0"/>
              <w:keepLines w:val="0"/>
              <w:suppressLineNumbers w:val="0"/>
              <w:spacing w:before="0" w:beforeAutospacing="0" w:after="0" w:afterAutospacing="0"/>
              <w:ind w:left="0" w:right="0"/>
              <w:jc w:val="center"/>
              <w:textAlignment w:val="center"/>
              <w:rPr>
                <w:rFonts w:hint="default" w:ascii="Times New Roman" w:hAnsi="Times New Roman" w:eastAsia="宋体" w:cs="Times New Roman"/>
                <w:color w:val="auto"/>
              </w:rPr>
            </w:pPr>
            <w:r>
              <w:rPr>
                <w:rFonts w:hint="eastAsia" w:ascii="Times New Roman" w:hAnsi="Times New Roman" w:eastAsia="宋体" w:cs="Times New Roman"/>
                <w:color w:val="auto"/>
              </w:rPr>
              <w:t>80</w:t>
            </w:r>
          </w:p>
        </w:tc>
        <w:tc>
          <w:tcPr>
            <w:tcW w:w="1985" w:type="dxa"/>
            <w:noWrap w:val="0"/>
            <w:vAlign w:val="center"/>
          </w:tcPr>
          <w:p w14:paraId="0F9A373D">
            <w:pPr>
              <w:keepNext w:val="0"/>
              <w:keepLines w:val="0"/>
              <w:suppressLineNumbers w:val="0"/>
              <w:spacing w:before="0" w:beforeAutospacing="0" w:after="0" w:afterAutospacing="0"/>
              <w:ind w:left="0" w:right="0"/>
              <w:jc w:val="center"/>
              <w:textAlignment w:val="center"/>
              <w:rPr>
                <w:rFonts w:hint="default" w:ascii="Times New Roman" w:hAnsi="Times New Roman" w:eastAsia="宋体" w:cs="Times New Roman"/>
                <w:color w:val="auto"/>
              </w:rPr>
            </w:pPr>
            <w:r>
              <w:rPr>
                <w:rFonts w:hint="eastAsia" w:ascii="Times New Roman" w:hAnsi="Times New Roman" w:eastAsia="宋体" w:cs="Times New Roman"/>
                <w:color w:val="auto"/>
              </w:rPr>
              <w:t>8</w:t>
            </w:r>
            <w:r>
              <w:rPr>
                <w:rFonts w:hint="default" w:ascii="Times New Roman" w:hAnsi="Times New Roman" w:eastAsia="宋体" w:cs="Times New Roman"/>
                <w:color w:val="auto"/>
              </w:rPr>
              <w:t>0</w:t>
            </w:r>
          </w:p>
        </w:tc>
        <w:tc>
          <w:tcPr>
            <w:tcW w:w="1524" w:type="dxa"/>
            <w:noWrap w:val="0"/>
            <w:vAlign w:val="center"/>
          </w:tcPr>
          <w:p w14:paraId="3E172F18">
            <w:pPr>
              <w:keepNext w:val="0"/>
              <w:keepLines w:val="0"/>
              <w:suppressLineNumbers w:val="0"/>
              <w:spacing w:before="0" w:beforeAutospacing="0" w:after="0" w:afterAutospacing="0"/>
              <w:ind w:left="0" w:right="0"/>
              <w:jc w:val="center"/>
              <w:textAlignment w:val="center"/>
              <w:rPr>
                <w:rFonts w:hint="eastAsia" w:ascii="Times New Roman" w:hAnsi="Times New Roman" w:eastAsia="宋体" w:cs="Times New Roman"/>
                <w:color w:val="auto"/>
                <w:lang w:val="en-US" w:eastAsia="zh-CN"/>
              </w:rPr>
            </w:pPr>
            <w:r>
              <w:rPr>
                <w:rFonts w:hint="eastAsia" w:cs="Times New Roman"/>
                <w:color w:val="auto"/>
                <w:lang w:val="en-US" w:eastAsia="zh-CN"/>
              </w:rPr>
              <w:t>/</w:t>
            </w:r>
          </w:p>
        </w:tc>
      </w:tr>
      <w:tr w14:paraId="5B0073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6" w:type="dxa"/>
            <w:noWrap w:val="0"/>
            <w:vAlign w:val="center"/>
          </w:tcPr>
          <w:p w14:paraId="01389A4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2</w:t>
            </w:r>
          </w:p>
        </w:tc>
        <w:tc>
          <w:tcPr>
            <w:tcW w:w="1959" w:type="dxa"/>
            <w:gridSpan w:val="2"/>
            <w:noWrap w:val="0"/>
            <w:vAlign w:val="center"/>
          </w:tcPr>
          <w:p w14:paraId="5F89A1C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设计通过能力</w:t>
            </w:r>
          </w:p>
        </w:tc>
        <w:tc>
          <w:tcPr>
            <w:tcW w:w="671" w:type="dxa"/>
            <w:noWrap w:val="0"/>
            <w:vAlign w:val="center"/>
          </w:tcPr>
          <w:p w14:paraId="7D66469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万吨</w:t>
            </w:r>
          </w:p>
        </w:tc>
        <w:tc>
          <w:tcPr>
            <w:tcW w:w="2512" w:type="dxa"/>
            <w:noWrap w:val="0"/>
            <w:vAlign w:val="center"/>
          </w:tcPr>
          <w:p w14:paraId="53A9933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119</w:t>
            </w:r>
          </w:p>
        </w:tc>
        <w:tc>
          <w:tcPr>
            <w:tcW w:w="1985" w:type="dxa"/>
            <w:noWrap w:val="0"/>
            <w:vAlign w:val="center"/>
          </w:tcPr>
          <w:p w14:paraId="32CEB37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1</w:t>
            </w:r>
            <w:r>
              <w:rPr>
                <w:rFonts w:hint="default" w:ascii="Times New Roman" w:hAnsi="Times New Roman" w:eastAsia="宋体" w:cs="Times New Roman"/>
                <w:color w:val="auto"/>
              </w:rPr>
              <w:t>08</w:t>
            </w:r>
          </w:p>
        </w:tc>
        <w:tc>
          <w:tcPr>
            <w:tcW w:w="1524" w:type="dxa"/>
            <w:noWrap w:val="0"/>
            <w:vAlign w:val="center"/>
          </w:tcPr>
          <w:p w14:paraId="5DC95D71">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lang w:val="en-US" w:eastAsia="zh-CN"/>
              </w:rPr>
            </w:pPr>
            <w:r>
              <w:rPr>
                <w:rFonts w:hint="eastAsia" w:cs="Times New Roman"/>
                <w:color w:val="auto"/>
                <w:lang w:val="en-US" w:eastAsia="zh-CN"/>
              </w:rPr>
              <w:t>/</w:t>
            </w:r>
          </w:p>
        </w:tc>
      </w:tr>
      <w:tr w14:paraId="5DC467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6" w:type="dxa"/>
            <w:noWrap w:val="0"/>
            <w:vAlign w:val="center"/>
          </w:tcPr>
          <w:p w14:paraId="08FDA9B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3</w:t>
            </w:r>
          </w:p>
        </w:tc>
        <w:tc>
          <w:tcPr>
            <w:tcW w:w="1959" w:type="dxa"/>
            <w:gridSpan w:val="2"/>
            <w:noWrap w:val="0"/>
            <w:vAlign w:val="center"/>
          </w:tcPr>
          <w:p w14:paraId="09B931E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码头等级</w:t>
            </w:r>
          </w:p>
        </w:tc>
        <w:tc>
          <w:tcPr>
            <w:tcW w:w="671" w:type="dxa"/>
            <w:noWrap w:val="0"/>
            <w:vAlign w:val="center"/>
          </w:tcPr>
          <w:p w14:paraId="36182F7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吨级</w:t>
            </w:r>
          </w:p>
        </w:tc>
        <w:tc>
          <w:tcPr>
            <w:tcW w:w="2512" w:type="dxa"/>
            <w:noWrap w:val="0"/>
            <w:vAlign w:val="center"/>
          </w:tcPr>
          <w:p w14:paraId="3E9B7F8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1000兼顾2</w:t>
            </w:r>
            <w:r>
              <w:rPr>
                <w:rFonts w:hint="default" w:ascii="Times New Roman" w:hAnsi="Times New Roman" w:eastAsia="宋体" w:cs="Times New Roman"/>
                <w:color w:val="auto"/>
              </w:rPr>
              <w:t>000</w:t>
            </w:r>
          </w:p>
        </w:tc>
        <w:tc>
          <w:tcPr>
            <w:tcW w:w="1985" w:type="dxa"/>
            <w:noWrap w:val="0"/>
            <w:vAlign w:val="center"/>
          </w:tcPr>
          <w:p w14:paraId="7E68932B">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5</w:t>
            </w:r>
            <w:r>
              <w:rPr>
                <w:rFonts w:hint="default" w:ascii="Times New Roman" w:hAnsi="Times New Roman" w:eastAsia="宋体" w:cs="Times New Roman"/>
                <w:color w:val="auto"/>
              </w:rPr>
              <w:t>00</w:t>
            </w:r>
            <w:r>
              <w:rPr>
                <w:rFonts w:hint="eastAsia" w:ascii="Times New Roman" w:hAnsi="Times New Roman" w:eastAsia="宋体" w:cs="Times New Roman"/>
                <w:color w:val="auto"/>
              </w:rPr>
              <w:t>兼顾1</w:t>
            </w:r>
            <w:r>
              <w:rPr>
                <w:rFonts w:hint="default" w:ascii="Times New Roman" w:hAnsi="Times New Roman" w:eastAsia="宋体" w:cs="Times New Roman"/>
                <w:color w:val="auto"/>
              </w:rPr>
              <w:t>000</w:t>
            </w:r>
          </w:p>
        </w:tc>
        <w:tc>
          <w:tcPr>
            <w:tcW w:w="1524" w:type="dxa"/>
            <w:noWrap w:val="0"/>
            <w:vAlign w:val="center"/>
          </w:tcPr>
          <w:p w14:paraId="30F8B88A">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水工结构兼顾2</w:t>
            </w:r>
            <w:r>
              <w:rPr>
                <w:rFonts w:hint="default" w:ascii="Times New Roman" w:hAnsi="Times New Roman" w:eastAsia="宋体" w:cs="Times New Roman"/>
                <w:color w:val="auto"/>
              </w:rPr>
              <w:t>000吨级</w:t>
            </w:r>
          </w:p>
        </w:tc>
      </w:tr>
      <w:tr w14:paraId="608D89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6" w:type="dxa"/>
            <w:noWrap w:val="0"/>
            <w:vAlign w:val="center"/>
          </w:tcPr>
          <w:p w14:paraId="03815F8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4</w:t>
            </w:r>
          </w:p>
        </w:tc>
        <w:tc>
          <w:tcPr>
            <w:tcW w:w="1959" w:type="dxa"/>
            <w:gridSpan w:val="2"/>
            <w:noWrap w:val="0"/>
            <w:vAlign w:val="center"/>
          </w:tcPr>
          <w:p w14:paraId="6AD00F6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泊位数</w:t>
            </w:r>
          </w:p>
        </w:tc>
        <w:tc>
          <w:tcPr>
            <w:tcW w:w="671" w:type="dxa"/>
            <w:noWrap w:val="0"/>
            <w:vAlign w:val="center"/>
          </w:tcPr>
          <w:p w14:paraId="0FE2C95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个</w:t>
            </w:r>
          </w:p>
        </w:tc>
        <w:tc>
          <w:tcPr>
            <w:tcW w:w="2512" w:type="dxa"/>
            <w:noWrap w:val="0"/>
            <w:vAlign w:val="center"/>
          </w:tcPr>
          <w:p w14:paraId="799F123C">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2</w:t>
            </w:r>
          </w:p>
        </w:tc>
        <w:tc>
          <w:tcPr>
            <w:tcW w:w="1985" w:type="dxa"/>
            <w:noWrap w:val="0"/>
            <w:vAlign w:val="center"/>
          </w:tcPr>
          <w:p w14:paraId="33DCACA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2</w:t>
            </w:r>
          </w:p>
        </w:tc>
        <w:tc>
          <w:tcPr>
            <w:tcW w:w="1524" w:type="dxa"/>
            <w:noWrap w:val="0"/>
            <w:vAlign w:val="center"/>
          </w:tcPr>
          <w:p w14:paraId="3A0C772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lang w:val="en-US" w:eastAsia="zh-CN"/>
              </w:rPr>
            </w:pPr>
            <w:r>
              <w:rPr>
                <w:rFonts w:hint="eastAsia" w:cs="Times New Roman"/>
                <w:color w:val="auto"/>
                <w:lang w:val="en-US" w:eastAsia="zh-CN"/>
              </w:rPr>
              <w:t>/</w:t>
            </w:r>
          </w:p>
        </w:tc>
      </w:tr>
      <w:tr w14:paraId="0DDDC0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6" w:type="dxa"/>
            <w:vMerge w:val="restart"/>
            <w:noWrap w:val="0"/>
            <w:vAlign w:val="center"/>
          </w:tcPr>
          <w:p w14:paraId="6D31220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5</w:t>
            </w:r>
          </w:p>
        </w:tc>
        <w:tc>
          <w:tcPr>
            <w:tcW w:w="951" w:type="dxa"/>
            <w:vMerge w:val="restart"/>
            <w:noWrap w:val="0"/>
            <w:vAlign w:val="center"/>
          </w:tcPr>
          <w:p w14:paraId="02D8C1B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设计水位</w:t>
            </w:r>
          </w:p>
        </w:tc>
        <w:tc>
          <w:tcPr>
            <w:tcW w:w="1008" w:type="dxa"/>
            <w:noWrap w:val="0"/>
            <w:vAlign w:val="center"/>
          </w:tcPr>
          <w:p w14:paraId="3AA35BF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高水位</w:t>
            </w:r>
          </w:p>
        </w:tc>
        <w:tc>
          <w:tcPr>
            <w:tcW w:w="671" w:type="dxa"/>
            <w:noWrap w:val="0"/>
            <w:vAlign w:val="center"/>
          </w:tcPr>
          <w:p w14:paraId="5EC4B7B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kern w:val="0"/>
              </w:rPr>
              <w:t>m</w:t>
            </w:r>
          </w:p>
        </w:tc>
        <w:tc>
          <w:tcPr>
            <w:tcW w:w="4497" w:type="dxa"/>
            <w:gridSpan w:val="2"/>
            <w:noWrap w:val="0"/>
            <w:vAlign w:val="center"/>
          </w:tcPr>
          <w:p w14:paraId="4BFC4DC7">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20.4</w:t>
            </w:r>
            <w:r>
              <w:rPr>
                <w:rFonts w:hint="default" w:ascii="Times New Roman" w:hAnsi="Times New Roman" w:eastAsia="宋体" w:cs="Times New Roman"/>
                <w:color w:val="auto"/>
              </w:rPr>
              <w:t>m（</w:t>
            </w:r>
            <w:r>
              <w:rPr>
                <w:rFonts w:hint="eastAsia" w:ascii="Times New Roman" w:hAnsi="Times New Roman" w:eastAsia="宋体" w:cs="Times New Roman"/>
                <w:color w:val="auto"/>
              </w:rPr>
              <w:t>2</w:t>
            </w:r>
            <w:r>
              <w:rPr>
                <w:rFonts w:hint="default" w:ascii="Times New Roman" w:hAnsi="Times New Roman" w:eastAsia="宋体" w:cs="Times New Roman"/>
                <w:color w:val="auto"/>
              </w:rPr>
              <w:t>0年一遇）</w:t>
            </w:r>
          </w:p>
        </w:tc>
        <w:tc>
          <w:tcPr>
            <w:tcW w:w="1524" w:type="dxa"/>
            <w:vMerge w:val="restart"/>
            <w:noWrap w:val="0"/>
            <w:vAlign w:val="center"/>
          </w:tcPr>
          <w:p w14:paraId="220A825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8</w:t>
            </w:r>
            <w:r>
              <w:rPr>
                <w:rFonts w:hint="default" w:ascii="Times New Roman" w:hAnsi="Times New Roman" w:eastAsia="宋体" w:cs="Times New Roman"/>
                <w:color w:val="auto"/>
              </w:rPr>
              <w:t>5国家高</w:t>
            </w:r>
          </w:p>
          <w:p w14:paraId="35587CE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程基准</w:t>
            </w:r>
          </w:p>
        </w:tc>
      </w:tr>
      <w:tr w14:paraId="111886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6" w:type="dxa"/>
            <w:vMerge w:val="continue"/>
            <w:noWrap w:val="0"/>
            <w:vAlign w:val="center"/>
          </w:tcPr>
          <w:p w14:paraId="149195D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951" w:type="dxa"/>
            <w:vMerge w:val="continue"/>
            <w:noWrap w:val="0"/>
            <w:vAlign w:val="center"/>
          </w:tcPr>
          <w:p w14:paraId="7AB0E1E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1008" w:type="dxa"/>
            <w:noWrap w:val="0"/>
            <w:vAlign w:val="center"/>
          </w:tcPr>
          <w:p w14:paraId="0EE3200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低水位</w:t>
            </w:r>
          </w:p>
        </w:tc>
        <w:tc>
          <w:tcPr>
            <w:tcW w:w="671" w:type="dxa"/>
            <w:noWrap w:val="0"/>
            <w:vAlign w:val="center"/>
          </w:tcPr>
          <w:p w14:paraId="710611EF">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kern w:val="0"/>
              </w:rPr>
              <w:t>m</w:t>
            </w:r>
          </w:p>
        </w:tc>
        <w:tc>
          <w:tcPr>
            <w:tcW w:w="4497" w:type="dxa"/>
            <w:gridSpan w:val="2"/>
            <w:noWrap w:val="0"/>
            <w:vAlign w:val="center"/>
          </w:tcPr>
          <w:p w14:paraId="5755536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15.71</w:t>
            </w:r>
            <w:r>
              <w:rPr>
                <w:rFonts w:hint="default" w:ascii="Times New Roman" w:hAnsi="Times New Roman" w:eastAsia="宋体" w:cs="Times New Roman"/>
                <w:color w:val="auto"/>
              </w:rPr>
              <w:t>m（</w:t>
            </w:r>
            <w:r>
              <w:rPr>
                <w:rFonts w:hint="eastAsia" w:ascii="Times New Roman" w:hAnsi="Times New Roman" w:eastAsia="宋体" w:cs="Times New Roman"/>
                <w:color w:val="auto"/>
              </w:rPr>
              <w:t>9</w:t>
            </w:r>
            <w:r>
              <w:rPr>
                <w:rFonts w:hint="default" w:ascii="Times New Roman" w:hAnsi="Times New Roman" w:eastAsia="宋体" w:cs="Times New Roman"/>
                <w:color w:val="auto"/>
              </w:rPr>
              <w:t>8%保证率）</w:t>
            </w:r>
          </w:p>
        </w:tc>
        <w:tc>
          <w:tcPr>
            <w:tcW w:w="1524" w:type="dxa"/>
            <w:vMerge w:val="continue"/>
            <w:noWrap w:val="0"/>
            <w:vAlign w:val="center"/>
          </w:tcPr>
          <w:p w14:paraId="54C72B5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r>
      <w:tr w14:paraId="61E3C6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6" w:type="dxa"/>
            <w:noWrap w:val="0"/>
            <w:vAlign w:val="center"/>
          </w:tcPr>
          <w:p w14:paraId="26139E4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6</w:t>
            </w:r>
          </w:p>
        </w:tc>
        <w:tc>
          <w:tcPr>
            <w:tcW w:w="1959" w:type="dxa"/>
            <w:gridSpan w:val="2"/>
            <w:noWrap w:val="0"/>
            <w:vAlign w:val="center"/>
          </w:tcPr>
          <w:p w14:paraId="1CA8E8D0">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码头顶面高程</w:t>
            </w:r>
          </w:p>
        </w:tc>
        <w:tc>
          <w:tcPr>
            <w:tcW w:w="671" w:type="dxa"/>
            <w:noWrap w:val="0"/>
            <w:vAlign w:val="center"/>
          </w:tcPr>
          <w:p w14:paraId="760EC1A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0"/>
              </w:rPr>
            </w:pPr>
            <w:r>
              <w:rPr>
                <w:rFonts w:hint="default" w:ascii="Times New Roman" w:hAnsi="Times New Roman" w:eastAsia="宋体" w:cs="Times New Roman"/>
                <w:color w:val="auto"/>
                <w:kern w:val="0"/>
              </w:rPr>
              <w:t>m</w:t>
            </w:r>
          </w:p>
        </w:tc>
        <w:tc>
          <w:tcPr>
            <w:tcW w:w="4497" w:type="dxa"/>
            <w:gridSpan w:val="2"/>
            <w:noWrap w:val="0"/>
            <w:vAlign w:val="center"/>
          </w:tcPr>
          <w:p w14:paraId="044FC95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20.5-20.4</w:t>
            </w:r>
          </w:p>
        </w:tc>
        <w:tc>
          <w:tcPr>
            <w:tcW w:w="1524" w:type="dxa"/>
            <w:noWrap w:val="0"/>
            <w:vAlign w:val="center"/>
          </w:tcPr>
          <w:p w14:paraId="3E470F2B">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0"/>
                <w:lang w:val="en-US" w:eastAsia="zh-CN"/>
              </w:rPr>
            </w:pPr>
            <w:r>
              <w:rPr>
                <w:rFonts w:hint="eastAsia" w:cs="Times New Roman"/>
                <w:color w:val="auto"/>
                <w:kern w:val="0"/>
                <w:lang w:val="en-US" w:eastAsia="zh-CN"/>
              </w:rPr>
              <w:t>/</w:t>
            </w:r>
          </w:p>
        </w:tc>
      </w:tr>
      <w:tr w14:paraId="093611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6" w:type="dxa"/>
            <w:noWrap w:val="0"/>
            <w:vAlign w:val="center"/>
          </w:tcPr>
          <w:p w14:paraId="1DCFADC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7</w:t>
            </w:r>
          </w:p>
        </w:tc>
        <w:tc>
          <w:tcPr>
            <w:tcW w:w="1959" w:type="dxa"/>
            <w:gridSpan w:val="2"/>
            <w:noWrap w:val="0"/>
            <w:vAlign w:val="center"/>
          </w:tcPr>
          <w:p w14:paraId="2C6E925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港池底高程</w:t>
            </w:r>
          </w:p>
        </w:tc>
        <w:tc>
          <w:tcPr>
            <w:tcW w:w="671" w:type="dxa"/>
            <w:noWrap w:val="0"/>
            <w:vAlign w:val="center"/>
          </w:tcPr>
          <w:p w14:paraId="0B8A96B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0"/>
              </w:rPr>
            </w:pPr>
            <w:r>
              <w:rPr>
                <w:rFonts w:hint="default" w:ascii="Times New Roman" w:hAnsi="Times New Roman" w:eastAsia="宋体" w:cs="Times New Roman"/>
                <w:color w:val="auto"/>
                <w:kern w:val="0"/>
              </w:rPr>
              <w:t>m</w:t>
            </w:r>
          </w:p>
        </w:tc>
        <w:tc>
          <w:tcPr>
            <w:tcW w:w="2512" w:type="dxa"/>
            <w:noWrap w:val="0"/>
            <w:vAlign w:val="center"/>
          </w:tcPr>
          <w:p w14:paraId="169F375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12.3</w:t>
            </w:r>
          </w:p>
        </w:tc>
        <w:tc>
          <w:tcPr>
            <w:tcW w:w="1985" w:type="dxa"/>
            <w:noWrap w:val="0"/>
            <w:vAlign w:val="center"/>
          </w:tcPr>
          <w:p w14:paraId="166CF7E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1</w:t>
            </w:r>
            <w:r>
              <w:rPr>
                <w:rFonts w:hint="default" w:ascii="Times New Roman" w:hAnsi="Times New Roman" w:eastAsia="宋体" w:cs="Times New Roman"/>
                <w:color w:val="auto"/>
                <w:kern w:val="0"/>
              </w:rPr>
              <w:t>3.2</w:t>
            </w:r>
          </w:p>
        </w:tc>
        <w:tc>
          <w:tcPr>
            <w:tcW w:w="1524" w:type="dxa"/>
            <w:noWrap w:val="0"/>
            <w:vAlign w:val="center"/>
          </w:tcPr>
          <w:p w14:paraId="4CD54B35">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0"/>
                <w:lang w:val="en-US" w:eastAsia="zh-CN"/>
              </w:rPr>
            </w:pPr>
            <w:r>
              <w:rPr>
                <w:rFonts w:hint="eastAsia" w:cs="Times New Roman"/>
                <w:color w:val="auto"/>
                <w:kern w:val="0"/>
                <w:lang w:val="en-US" w:eastAsia="zh-CN"/>
              </w:rPr>
              <w:t>/</w:t>
            </w:r>
          </w:p>
        </w:tc>
      </w:tr>
      <w:tr w14:paraId="15CFF4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6" w:type="dxa"/>
            <w:noWrap w:val="0"/>
            <w:vAlign w:val="center"/>
          </w:tcPr>
          <w:p w14:paraId="58CBC49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8</w:t>
            </w:r>
          </w:p>
        </w:tc>
        <w:tc>
          <w:tcPr>
            <w:tcW w:w="1959" w:type="dxa"/>
            <w:gridSpan w:val="2"/>
            <w:noWrap w:val="0"/>
            <w:vAlign w:val="center"/>
          </w:tcPr>
          <w:p w14:paraId="4FA5AD3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占用岸线长度</w:t>
            </w:r>
          </w:p>
        </w:tc>
        <w:tc>
          <w:tcPr>
            <w:tcW w:w="671" w:type="dxa"/>
            <w:noWrap w:val="0"/>
            <w:vAlign w:val="center"/>
          </w:tcPr>
          <w:p w14:paraId="03C176C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kern w:val="0"/>
              </w:rPr>
              <w:t>m</w:t>
            </w:r>
          </w:p>
        </w:tc>
        <w:tc>
          <w:tcPr>
            <w:tcW w:w="4497" w:type="dxa"/>
            <w:gridSpan w:val="2"/>
            <w:noWrap w:val="0"/>
            <w:vAlign w:val="center"/>
          </w:tcPr>
          <w:p w14:paraId="2056697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160</w:t>
            </w:r>
          </w:p>
        </w:tc>
        <w:tc>
          <w:tcPr>
            <w:tcW w:w="1524" w:type="dxa"/>
            <w:noWrap w:val="0"/>
            <w:vAlign w:val="center"/>
          </w:tcPr>
          <w:p w14:paraId="0704A33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lang w:val="en-US" w:eastAsia="zh-CN"/>
              </w:rPr>
            </w:pPr>
            <w:r>
              <w:rPr>
                <w:rFonts w:hint="eastAsia" w:cs="Times New Roman"/>
                <w:color w:val="auto"/>
                <w:lang w:val="en-US" w:eastAsia="zh-CN"/>
              </w:rPr>
              <w:t>/</w:t>
            </w:r>
          </w:p>
        </w:tc>
      </w:tr>
      <w:tr w14:paraId="112B3F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6" w:type="dxa"/>
            <w:noWrap w:val="0"/>
            <w:vAlign w:val="center"/>
          </w:tcPr>
          <w:p w14:paraId="260A2AE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9</w:t>
            </w:r>
          </w:p>
        </w:tc>
        <w:tc>
          <w:tcPr>
            <w:tcW w:w="1959" w:type="dxa"/>
            <w:gridSpan w:val="2"/>
            <w:noWrap w:val="0"/>
            <w:vAlign w:val="center"/>
          </w:tcPr>
          <w:p w14:paraId="0B4C00C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码头尺寸</w:t>
            </w:r>
          </w:p>
        </w:tc>
        <w:tc>
          <w:tcPr>
            <w:tcW w:w="671" w:type="dxa"/>
            <w:noWrap w:val="0"/>
            <w:vAlign w:val="center"/>
          </w:tcPr>
          <w:p w14:paraId="59D482A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kern w:val="0"/>
              </w:rPr>
              <w:t>m</w:t>
            </w:r>
          </w:p>
        </w:tc>
        <w:tc>
          <w:tcPr>
            <w:tcW w:w="2512" w:type="dxa"/>
            <w:noWrap w:val="0"/>
            <w:vAlign w:val="center"/>
          </w:tcPr>
          <w:p w14:paraId="6B023E3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130×15</w:t>
            </w:r>
          </w:p>
        </w:tc>
        <w:tc>
          <w:tcPr>
            <w:tcW w:w="1985" w:type="dxa"/>
            <w:noWrap w:val="0"/>
            <w:vAlign w:val="center"/>
          </w:tcPr>
          <w:p w14:paraId="342F029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pacing w:val="1"/>
              </w:rPr>
            </w:pPr>
            <w:r>
              <w:rPr>
                <w:rFonts w:hint="eastAsia" w:ascii="Times New Roman" w:hAnsi="Times New Roman" w:eastAsia="宋体" w:cs="Times New Roman"/>
                <w:color w:val="auto"/>
                <w:spacing w:val="1"/>
              </w:rPr>
              <w:t>2×</w:t>
            </w:r>
            <w:r>
              <w:rPr>
                <w:rFonts w:hint="default" w:ascii="Times New Roman" w:hAnsi="Times New Roman" w:eastAsia="宋体" w:cs="Times New Roman"/>
                <w:color w:val="auto"/>
                <w:spacing w:val="1"/>
              </w:rPr>
              <w:t>29.5</w:t>
            </w:r>
            <w:r>
              <w:rPr>
                <w:rFonts w:hint="eastAsia" w:ascii="Times New Roman" w:hAnsi="Times New Roman" w:eastAsia="宋体" w:cs="Times New Roman"/>
                <w:color w:val="auto"/>
                <w:spacing w:val="1"/>
              </w:rPr>
              <w:t>×</w:t>
            </w:r>
            <w:r>
              <w:rPr>
                <w:rFonts w:hint="default" w:ascii="Times New Roman" w:hAnsi="Times New Roman" w:eastAsia="宋体" w:cs="Times New Roman"/>
                <w:color w:val="auto"/>
                <w:spacing w:val="1"/>
              </w:rPr>
              <w:t>14.5</w:t>
            </w:r>
          </w:p>
        </w:tc>
        <w:tc>
          <w:tcPr>
            <w:tcW w:w="1524" w:type="dxa"/>
            <w:noWrap w:val="0"/>
            <w:vAlign w:val="center"/>
          </w:tcPr>
          <w:p w14:paraId="6DB7C53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spacing w:val="1"/>
              </w:rPr>
              <w:t>码头</w:t>
            </w:r>
            <w:r>
              <w:rPr>
                <w:rFonts w:hint="default" w:ascii="Times New Roman" w:hAnsi="Times New Roman" w:eastAsia="宋体" w:cs="Times New Roman"/>
                <w:color w:val="auto"/>
                <w:spacing w:val="1"/>
              </w:rPr>
              <w:t>平台尺寸</w:t>
            </w:r>
          </w:p>
        </w:tc>
      </w:tr>
      <w:tr w14:paraId="0B7ADE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6" w:type="dxa"/>
            <w:noWrap w:val="0"/>
            <w:vAlign w:val="center"/>
          </w:tcPr>
          <w:p w14:paraId="4654572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10</w:t>
            </w:r>
          </w:p>
        </w:tc>
        <w:tc>
          <w:tcPr>
            <w:tcW w:w="1959" w:type="dxa"/>
            <w:gridSpan w:val="2"/>
            <w:noWrap w:val="0"/>
            <w:vAlign w:val="center"/>
          </w:tcPr>
          <w:p w14:paraId="53ACE12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主要机械设备</w:t>
            </w:r>
          </w:p>
        </w:tc>
        <w:tc>
          <w:tcPr>
            <w:tcW w:w="671" w:type="dxa"/>
            <w:noWrap w:val="0"/>
            <w:vAlign w:val="center"/>
          </w:tcPr>
          <w:p w14:paraId="0700DD35">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rPr>
            </w:pPr>
            <w:r>
              <w:rPr>
                <w:rFonts w:hint="eastAsia" w:ascii="Times New Roman" w:hAnsi="Times New Roman" w:eastAsia="宋体" w:cs="Times New Roman"/>
                <w:color w:val="auto"/>
                <w:kern w:val="0"/>
              </w:rPr>
              <w:t>/</w:t>
            </w:r>
          </w:p>
        </w:tc>
        <w:tc>
          <w:tcPr>
            <w:tcW w:w="2512" w:type="dxa"/>
            <w:noWrap w:val="0"/>
            <w:vAlign w:val="center"/>
          </w:tcPr>
          <w:p w14:paraId="760AF4F1">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0"/>
              </w:rPr>
            </w:pPr>
            <w:r>
              <w:rPr>
                <w:rFonts w:hint="eastAsia" w:ascii="Times New Roman" w:hAnsi="Times New Roman" w:eastAsia="宋体" w:cs="Times New Roman"/>
                <w:color w:val="auto"/>
                <w:spacing w:val="1"/>
              </w:rPr>
              <w:t>1</w:t>
            </w:r>
            <w:r>
              <w:rPr>
                <w:rFonts w:hint="default" w:ascii="Times New Roman" w:hAnsi="Times New Roman" w:eastAsia="宋体" w:cs="Times New Roman"/>
                <w:color w:val="auto"/>
                <w:spacing w:val="1"/>
              </w:rPr>
              <w:t>台液压抓机</w:t>
            </w:r>
            <w:r>
              <w:rPr>
                <w:rFonts w:hint="eastAsia" w:ascii="Times New Roman" w:hAnsi="Times New Roman" w:eastAsia="宋体" w:cs="Times New Roman"/>
                <w:color w:val="auto"/>
                <w:spacing w:val="1"/>
              </w:rPr>
              <w:t>、</w:t>
            </w:r>
            <w:r>
              <w:rPr>
                <w:rFonts w:hint="eastAsia" w:ascii="Times New Roman" w:hAnsi="Times New Roman" w:eastAsia="宋体" w:cs="Times New Roman"/>
                <w:color w:val="auto"/>
              </w:rPr>
              <w:t>1台600t/h流动式装船机、</w:t>
            </w:r>
            <w:r>
              <w:rPr>
                <w:rFonts w:hint="default" w:ascii="Times New Roman" w:hAnsi="Times New Roman" w:eastAsia="Times New Roman" w:cs="Times New Roman"/>
                <w:color w:val="auto"/>
              </w:rPr>
              <w:t>2</w:t>
            </w:r>
            <w:r>
              <w:rPr>
                <w:rFonts w:hint="default" w:ascii="Times New Roman" w:hAnsi="Times New Roman" w:eastAsia="宋体" w:cs="Times New Roman"/>
                <w:color w:val="auto"/>
              </w:rPr>
              <w:t>个吊机墩（</w:t>
            </w:r>
            <w:r>
              <w:rPr>
                <w:rFonts w:hint="default" w:ascii="Times New Roman" w:hAnsi="Times New Roman" w:eastAsia="Times New Roman" w:cs="Times New Roman"/>
                <w:color w:val="auto"/>
              </w:rPr>
              <w:t>1</w:t>
            </w:r>
            <w:r>
              <w:rPr>
                <w:rFonts w:hint="eastAsia" w:ascii="Times New Roman" w:hAnsi="Times New Roman" w:eastAsia="宋体" w:cs="Times New Roman"/>
                <w:color w:val="auto"/>
              </w:rPr>
              <w:t>个</w:t>
            </w:r>
            <w:r>
              <w:rPr>
                <w:rFonts w:hint="default" w:ascii="Times New Roman" w:hAnsi="Times New Roman" w:eastAsia="Times New Roman" w:cs="Times New Roman"/>
                <w:color w:val="auto"/>
                <w:spacing w:val="-1"/>
              </w:rPr>
              <w:t>10t-20m</w:t>
            </w:r>
            <w:r>
              <w:rPr>
                <w:rFonts w:hint="default" w:ascii="Times New Roman" w:hAnsi="Times New Roman" w:eastAsia="宋体" w:cs="Times New Roman"/>
                <w:color w:val="auto"/>
              </w:rPr>
              <w:t>固定吊，</w:t>
            </w:r>
            <w:r>
              <w:rPr>
                <w:rFonts w:hint="default" w:ascii="Times New Roman" w:hAnsi="Times New Roman" w:eastAsia="Times New Roman" w:cs="Times New Roman"/>
                <w:color w:val="auto"/>
              </w:rPr>
              <w:t>1</w:t>
            </w:r>
            <w:r>
              <w:rPr>
                <w:rFonts w:hint="eastAsia" w:ascii="Times New Roman" w:hAnsi="Times New Roman" w:eastAsia="宋体" w:cs="Times New Roman"/>
                <w:color w:val="auto"/>
              </w:rPr>
              <w:t>个</w:t>
            </w:r>
            <w:r>
              <w:rPr>
                <w:rFonts w:hint="default" w:ascii="Times New Roman" w:hAnsi="Times New Roman" w:eastAsia="Times New Roman" w:cs="Times New Roman"/>
                <w:color w:val="auto"/>
                <w:spacing w:val="-1"/>
              </w:rPr>
              <w:t>25t-20m</w:t>
            </w:r>
            <w:r>
              <w:rPr>
                <w:rFonts w:hint="default" w:ascii="Times New Roman" w:hAnsi="Times New Roman" w:eastAsia="宋体" w:cs="Times New Roman"/>
                <w:color w:val="auto"/>
              </w:rPr>
              <w:t>固定吊）</w:t>
            </w:r>
            <w:r>
              <w:rPr>
                <w:rFonts w:hint="eastAsia" w:ascii="Times New Roman" w:hAnsi="Times New Roman" w:eastAsia="宋体" w:cs="Times New Roman"/>
                <w:color w:val="auto"/>
              </w:rPr>
              <w:t>等</w:t>
            </w:r>
          </w:p>
        </w:tc>
        <w:tc>
          <w:tcPr>
            <w:tcW w:w="1985" w:type="dxa"/>
            <w:noWrap w:val="0"/>
            <w:vAlign w:val="center"/>
          </w:tcPr>
          <w:p w14:paraId="587EAEF6">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4台装载机、4台自卸汽车、2个滑槽、4个移动式皮带机</w:t>
            </w:r>
          </w:p>
        </w:tc>
        <w:tc>
          <w:tcPr>
            <w:tcW w:w="1524" w:type="dxa"/>
            <w:noWrap w:val="0"/>
            <w:vAlign w:val="center"/>
          </w:tcPr>
          <w:p w14:paraId="3AAD57E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rPr>
              <w:t>吊机墩</w:t>
            </w:r>
            <w:r>
              <w:rPr>
                <w:rFonts w:hint="eastAsia" w:ascii="Times New Roman" w:hAnsi="Times New Roman" w:eastAsia="宋体" w:cs="Times New Roman"/>
                <w:color w:val="auto"/>
              </w:rPr>
              <w:t>为预留设备</w:t>
            </w:r>
          </w:p>
        </w:tc>
      </w:tr>
      <w:tr w14:paraId="7DB6AE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6" w:type="dxa"/>
            <w:noWrap w:val="0"/>
            <w:vAlign w:val="center"/>
          </w:tcPr>
          <w:p w14:paraId="3361F23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11</w:t>
            </w:r>
          </w:p>
        </w:tc>
        <w:tc>
          <w:tcPr>
            <w:tcW w:w="1959" w:type="dxa"/>
            <w:gridSpan w:val="2"/>
            <w:noWrap w:val="0"/>
            <w:vAlign w:val="center"/>
          </w:tcPr>
          <w:p w14:paraId="65A04A9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工程总投资</w:t>
            </w:r>
          </w:p>
        </w:tc>
        <w:tc>
          <w:tcPr>
            <w:tcW w:w="671" w:type="dxa"/>
            <w:noWrap w:val="0"/>
            <w:vAlign w:val="center"/>
          </w:tcPr>
          <w:p w14:paraId="0EA8DDBB">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rPr>
            </w:pPr>
            <w:r>
              <w:rPr>
                <w:rFonts w:hint="default" w:ascii="Times New Roman" w:hAnsi="Times New Roman" w:eastAsia="宋体" w:cs="Times New Roman"/>
                <w:color w:val="auto"/>
                <w:kern w:val="0"/>
              </w:rPr>
              <w:t>万元</w:t>
            </w:r>
          </w:p>
        </w:tc>
        <w:tc>
          <w:tcPr>
            <w:tcW w:w="2512" w:type="dxa"/>
            <w:noWrap w:val="0"/>
            <w:vAlign w:val="center"/>
          </w:tcPr>
          <w:p w14:paraId="633D80B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240.37</w:t>
            </w:r>
          </w:p>
        </w:tc>
        <w:tc>
          <w:tcPr>
            <w:tcW w:w="1985" w:type="dxa"/>
            <w:noWrap w:val="0"/>
            <w:vAlign w:val="center"/>
          </w:tcPr>
          <w:p w14:paraId="0A499F2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1</w:t>
            </w:r>
            <w:r>
              <w:rPr>
                <w:rFonts w:hint="default" w:ascii="Times New Roman" w:hAnsi="Times New Roman" w:eastAsia="宋体" w:cs="Times New Roman"/>
                <w:color w:val="auto"/>
                <w:kern w:val="0"/>
              </w:rPr>
              <w:t>50</w:t>
            </w:r>
            <w:r>
              <w:rPr>
                <w:rFonts w:hint="eastAsia" w:ascii="Times New Roman" w:hAnsi="Times New Roman" w:eastAsia="宋体" w:cs="Times New Roman"/>
                <w:color w:val="auto"/>
                <w:kern w:val="0"/>
              </w:rPr>
              <w:t>万元</w:t>
            </w:r>
          </w:p>
        </w:tc>
        <w:tc>
          <w:tcPr>
            <w:tcW w:w="1524" w:type="dxa"/>
            <w:noWrap w:val="0"/>
            <w:vAlign w:val="center"/>
          </w:tcPr>
          <w:p w14:paraId="4164835A">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lang w:val="en-US" w:eastAsia="zh-CN"/>
              </w:rPr>
            </w:pPr>
            <w:r>
              <w:rPr>
                <w:rFonts w:hint="eastAsia" w:cs="Times New Roman"/>
                <w:color w:val="auto"/>
                <w:kern w:val="0"/>
                <w:lang w:val="en-US" w:eastAsia="zh-CN"/>
              </w:rPr>
              <w:t>/</w:t>
            </w:r>
          </w:p>
        </w:tc>
      </w:tr>
    </w:tbl>
    <w:p w14:paraId="671459C5">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3.2.4</w:t>
      </w:r>
      <w:r>
        <w:rPr>
          <w:rFonts w:ascii="Times New Roman" w:hAnsi="Times New Roman" w:eastAsia="黑体" w:cs="Times New Roman"/>
          <w:bCs/>
          <w:color w:val="auto"/>
          <w:kern w:val="2"/>
          <w:sz w:val="28"/>
          <w:szCs w:val="32"/>
          <w:lang w:val="en-US" w:eastAsia="zh-CN" w:bidi="ar-SA"/>
        </w:rPr>
        <w:t>设计船型</w:t>
      </w:r>
      <w:r>
        <w:rPr>
          <w:rFonts w:hint="eastAsia" w:ascii="Times New Roman" w:hAnsi="Times New Roman" w:eastAsia="黑体" w:cs="Times New Roman"/>
          <w:bCs/>
          <w:color w:val="auto"/>
          <w:kern w:val="2"/>
          <w:sz w:val="28"/>
          <w:szCs w:val="32"/>
          <w:lang w:val="en-US" w:eastAsia="zh-CN" w:bidi="ar-SA"/>
        </w:rPr>
        <w:t>及</w:t>
      </w:r>
      <w:r>
        <w:rPr>
          <w:rFonts w:ascii="Times New Roman" w:hAnsi="Times New Roman" w:eastAsia="黑体" w:cs="Times New Roman"/>
          <w:bCs/>
          <w:color w:val="auto"/>
          <w:kern w:val="2"/>
          <w:sz w:val="28"/>
          <w:szCs w:val="32"/>
          <w:lang w:val="en-US" w:eastAsia="zh-CN" w:bidi="ar-SA"/>
        </w:rPr>
        <w:t>吞吐量</w:t>
      </w:r>
    </w:p>
    <w:p w14:paraId="54828405">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3.2.4.1</w:t>
      </w:r>
      <w:r>
        <w:rPr>
          <w:rFonts w:ascii="Times New Roman" w:hAnsi="Times New Roman" w:eastAsia="黑体" w:cs="Times New Roman"/>
          <w:bCs/>
          <w:color w:val="auto"/>
          <w:kern w:val="2"/>
          <w:sz w:val="24"/>
          <w:szCs w:val="28"/>
          <w:lang w:val="en-US" w:eastAsia="zh-CN" w:bidi="ar-SA"/>
        </w:rPr>
        <w:t>设计船型</w:t>
      </w:r>
    </w:p>
    <w:p w14:paraId="22B1B9B6">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根据吞吐量预测及主要货类的流量、流向特点，结合内河船舶发展现状及趋势、主要货类合理运输系统论证的结论以及航道自然条件及规划等级，</w:t>
      </w:r>
      <w:r>
        <w:rPr>
          <w:rFonts w:ascii="Times New Roman" w:hAnsi="Times New Roman" w:eastAsia="宋体" w:cs="Times New Roman"/>
          <w:color w:val="auto"/>
          <w:sz w:val="24"/>
        </w:rPr>
        <w:t>本项目港口的设计船型主要尺</w:t>
      </w:r>
      <w:r>
        <w:rPr>
          <w:rFonts w:hint="eastAsia" w:ascii="Times New Roman" w:hAnsi="Times New Roman" w:eastAsia="宋体" w:cs="Times New Roman"/>
          <w:color w:val="auto"/>
          <w:sz w:val="24"/>
        </w:rPr>
        <w:t>寸</w:t>
      </w:r>
      <w:r>
        <w:rPr>
          <w:rFonts w:ascii="Times New Roman" w:hAnsi="Times New Roman" w:eastAsia="宋体" w:cs="Times New Roman"/>
          <w:color w:val="auto"/>
          <w:sz w:val="24"/>
        </w:rPr>
        <w:t>见表3.</w:t>
      </w:r>
      <w:r>
        <w:rPr>
          <w:rFonts w:hint="eastAsia" w:ascii="Times New Roman" w:hAnsi="Times New Roman" w:eastAsia="宋体" w:cs="Times New Roman"/>
          <w:color w:val="auto"/>
          <w:sz w:val="24"/>
        </w:rPr>
        <w:t>2</w:t>
      </w:r>
      <w:r>
        <w:rPr>
          <w:rFonts w:ascii="Times New Roman" w:hAnsi="Times New Roman" w:eastAsia="宋体" w:cs="Times New Roman"/>
          <w:color w:val="auto"/>
          <w:sz w:val="24"/>
        </w:rPr>
        <w:t>-3。</w:t>
      </w:r>
    </w:p>
    <w:p w14:paraId="3B159E7F">
      <w:pPr>
        <w:spacing w:line="400" w:lineRule="exact"/>
        <w:jc w:val="center"/>
        <w:rPr>
          <w:rFonts w:ascii="Times New Roman" w:hAnsi="Times New Roman" w:eastAsia="宋体" w:cs="Times New Roman"/>
          <w:color w:val="auto"/>
          <w:sz w:val="24"/>
        </w:rPr>
      </w:pPr>
      <w:r>
        <w:rPr>
          <w:rFonts w:ascii="Times New Roman" w:hAnsi="Times New Roman" w:eastAsia="黑体" w:cs="Times New Roman"/>
          <w:color w:val="auto"/>
          <w:sz w:val="24"/>
        </w:rPr>
        <w:t>表3.</w:t>
      </w:r>
      <w:r>
        <w:rPr>
          <w:rFonts w:hint="eastAsia" w:ascii="Times New Roman" w:hAnsi="Times New Roman" w:eastAsia="黑体" w:cs="Times New Roman"/>
          <w:color w:val="auto"/>
          <w:sz w:val="24"/>
        </w:rPr>
        <w:t>2</w:t>
      </w:r>
      <w:r>
        <w:rPr>
          <w:rFonts w:ascii="Times New Roman" w:hAnsi="Times New Roman" w:eastAsia="黑体" w:cs="Times New Roman"/>
          <w:color w:val="auto"/>
          <w:sz w:val="24"/>
        </w:rPr>
        <w:t>-3  设计船型主要尺</w:t>
      </w:r>
      <w:r>
        <w:rPr>
          <w:rFonts w:hint="eastAsia" w:ascii="Times New Roman" w:hAnsi="Times New Roman" w:eastAsia="黑体" w:cs="Times New Roman"/>
          <w:color w:val="auto"/>
          <w:sz w:val="24"/>
        </w:rPr>
        <w:t>寸</w:t>
      </w:r>
      <w:r>
        <w:rPr>
          <w:rFonts w:ascii="Times New Roman" w:hAnsi="Times New Roman" w:eastAsia="黑体" w:cs="Times New Roman"/>
          <w:color w:val="auto"/>
          <w:sz w:val="24"/>
        </w:rPr>
        <w:t>表</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61"/>
        <w:gridCol w:w="1496"/>
        <w:gridCol w:w="1868"/>
        <w:gridCol w:w="1459"/>
        <w:gridCol w:w="2690"/>
      </w:tblGrid>
      <w:tr w14:paraId="19F8F0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1" w:type="dxa"/>
            <w:vMerge w:val="restart"/>
            <w:noWrap w:val="0"/>
            <w:vAlign w:val="center"/>
          </w:tcPr>
          <w:p w14:paraId="1D755586">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船型</w:t>
            </w:r>
          </w:p>
        </w:tc>
        <w:tc>
          <w:tcPr>
            <w:tcW w:w="4823" w:type="dxa"/>
            <w:gridSpan w:val="3"/>
            <w:noWrap w:val="0"/>
            <w:vAlign w:val="center"/>
          </w:tcPr>
          <w:p w14:paraId="71FD79C0">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主尺寸（m）</w:t>
            </w:r>
          </w:p>
        </w:tc>
        <w:tc>
          <w:tcPr>
            <w:tcW w:w="2690" w:type="dxa"/>
            <w:vMerge w:val="restart"/>
            <w:noWrap w:val="0"/>
            <w:vAlign w:val="center"/>
          </w:tcPr>
          <w:p w14:paraId="1EE769BB">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备注</w:t>
            </w:r>
          </w:p>
        </w:tc>
      </w:tr>
      <w:tr w14:paraId="483D1A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1" w:type="dxa"/>
            <w:vMerge w:val="continue"/>
            <w:noWrap w:val="0"/>
            <w:vAlign w:val="center"/>
          </w:tcPr>
          <w:p w14:paraId="1AA441C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1496" w:type="dxa"/>
            <w:noWrap w:val="0"/>
            <w:vAlign w:val="center"/>
          </w:tcPr>
          <w:p w14:paraId="1C737D70">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总长</w:t>
            </w:r>
          </w:p>
        </w:tc>
        <w:tc>
          <w:tcPr>
            <w:tcW w:w="1868" w:type="dxa"/>
            <w:noWrap w:val="0"/>
            <w:vAlign w:val="center"/>
          </w:tcPr>
          <w:p w14:paraId="50B4E2A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型宽</w:t>
            </w:r>
          </w:p>
        </w:tc>
        <w:tc>
          <w:tcPr>
            <w:tcW w:w="1459" w:type="dxa"/>
            <w:noWrap w:val="0"/>
            <w:vAlign w:val="center"/>
          </w:tcPr>
          <w:p w14:paraId="1F94A32A">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满载吃水</w:t>
            </w:r>
          </w:p>
        </w:tc>
        <w:tc>
          <w:tcPr>
            <w:tcW w:w="2690" w:type="dxa"/>
            <w:vMerge w:val="continue"/>
            <w:noWrap w:val="0"/>
            <w:vAlign w:val="center"/>
          </w:tcPr>
          <w:p w14:paraId="2EBFDA7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r>
      <w:tr w14:paraId="1F27E1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1" w:type="dxa"/>
            <w:noWrap w:val="0"/>
            <w:vAlign w:val="center"/>
          </w:tcPr>
          <w:p w14:paraId="4C91FC5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1</w:t>
            </w:r>
            <w:r>
              <w:rPr>
                <w:rFonts w:hint="default" w:ascii="Times New Roman" w:hAnsi="Times New Roman" w:eastAsia="宋体" w:cs="Times New Roman"/>
                <w:color w:val="auto"/>
              </w:rPr>
              <w:t>000吨级货船</w:t>
            </w:r>
          </w:p>
        </w:tc>
        <w:tc>
          <w:tcPr>
            <w:tcW w:w="1496" w:type="dxa"/>
            <w:noWrap w:val="0"/>
            <w:vAlign w:val="center"/>
          </w:tcPr>
          <w:p w14:paraId="125789B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60.0</w:t>
            </w:r>
          </w:p>
        </w:tc>
        <w:tc>
          <w:tcPr>
            <w:tcW w:w="1868" w:type="dxa"/>
            <w:noWrap w:val="0"/>
            <w:vAlign w:val="center"/>
          </w:tcPr>
          <w:p w14:paraId="14FA342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10.8</w:t>
            </w:r>
          </w:p>
        </w:tc>
        <w:tc>
          <w:tcPr>
            <w:tcW w:w="1459" w:type="dxa"/>
            <w:noWrap w:val="0"/>
            <w:vAlign w:val="center"/>
          </w:tcPr>
          <w:p w14:paraId="4371391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2.8</w:t>
            </w:r>
          </w:p>
        </w:tc>
        <w:tc>
          <w:tcPr>
            <w:tcW w:w="2690" w:type="dxa"/>
            <w:noWrap w:val="0"/>
            <w:vAlign w:val="center"/>
          </w:tcPr>
          <w:p w14:paraId="031CD01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设计代表船型</w:t>
            </w:r>
            <w:r>
              <w:rPr>
                <w:rFonts w:hint="eastAsia" w:ascii="Times New Roman" w:hAnsi="Times New Roman" w:eastAsia="宋体" w:cs="Times New Roman"/>
                <w:color w:val="auto"/>
              </w:rPr>
              <w:t>，JH H4</w:t>
            </w:r>
          </w:p>
        </w:tc>
      </w:tr>
      <w:tr w14:paraId="5D379B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61" w:type="dxa"/>
            <w:noWrap w:val="0"/>
            <w:vAlign w:val="center"/>
          </w:tcPr>
          <w:p w14:paraId="7B0F6FA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2</w:t>
            </w:r>
            <w:r>
              <w:rPr>
                <w:rFonts w:hint="default" w:ascii="Times New Roman" w:hAnsi="Times New Roman" w:eastAsia="宋体" w:cs="Times New Roman"/>
                <w:color w:val="auto"/>
              </w:rPr>
              <w:t>000吨级货船</w:t>
            </w:r>
          </w:p>
        </w:tc>
        <w:tc>
          <w:tcPr>
            <w:tcW w:w="1496" w:type="dxa"/>
            <w:noWrap w:val="0"/>
            <w:vAlign w:val="center"/>
          </w:tcPr>
          <w:p w14:paraId="3CFC890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67.6</w:t>
            </w:r>
          </w:p>
        </w:tc>
        <w:tc>
          <w:tcPr>
            <w:tcW w:w="1868" w:type="dxa"/>
            <w:noWrap w:val="0"/>
            <w:vAlign w:val="center"/>
          </w:tcPr>
          <w:p w14:paraId="35E6E05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13.8</w:t>
            </w:r>
          </w:p>
        </w:tc>
        <w:tc>
          <w:tcPr>
            <w:tcW w:w="1459" w:type="dxa"/>
            <w:noWrap w:val="0"/>
            <w:vAlign w:val="center"/>
          </w:tcPr>
          <w:p w14:paraId="0E791F4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3.2</w:t>
            </w:r>
          </w:p>
        </w:tc>
        <w:tc>
          <w:tcPr>
            <w:tcW w:w="2690" w:type="dxa"/>
            <w:noWrap w:val="0"/>
            <w:vAlign w:val="center"/>
          </w:tcPr>
          <w:p w14:paraId="10E519C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兼顾船型</w:t>
            </w:r>
            <w:r>
              <w:rPr>
                <w:rFonts w:hint="eastAsia" w:ascii="Times New Roman" w:hAnsi="Times New Roman" w:eastAsia="宋体" w:cs="Times New Roman"/>
                <w:color w:val="auto"/>
              </w:rPr>
              <w:t>，JH H8</w:t>
            </w:r>
          </w:p>
        </w:tc>
      </w:tr>
    </w:tbl>
    <w:p w14:paraId="51641489">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3.2.4.2预测</w:t>
      </w:r>
      <w:r>
        <w:rPr>
          <w:rFonts w:ascii="Times New Roman" w:hAnsi="Times New Roman" w:eastAsia="黑体" w:cs="Times New Roman"/>
          <w:bCs/>
          <w:color w:val="auto"/>
          <w:kern w:val="2"/>
          <w:sz w:val="24"/>
          <w:szCs w:val="28"/>
          <w:lang w:val="en-US" w:eastAsia="zh-CN" w:bidi="ar-SA"/>
        </w:rPr>
        <w:t>吞吐量</w:t>
      </w:r>
    </w:p>
    <w:p w14:paraId="7B66324C">
      <w:pPr>
        <w:spacing w:line="360" w:lineRule="auto"/>
        <w:ind w:firstLine="480" w:firstLineChars="200"/>
        <w:rPr>
          <w:rFonts w:ascii="Times New Roman" w:hAnsi="Times New Roman" w:eastAsia="宋体" w:cs="Times New Roman"/>
          <w:color w:val="auto"/>
          <w:sz w:val="24"/>
        </w:rPr>
        <w:sectPr>
          <w:footerReference r:id="rId12" w:type="default"/>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r>
        <w:rPr>
          <w:rFonts w:ascii="Times New Roman" w:hAnsi="Times New Roman" w:eastAsia="宋体" w:cs="Times New Roman"/>
          <w:color w:val="auto"/>
          <w:sz w:val="24"/>
        </w:rPr>
        <w:t>根据《</w:t>
      </w:r>
      <w:r>
        <w:rPr>
          <w:rFonts w:hint="eastAsia" w:ascii="Times New Roman" w:hAnsi="Times New Roman" w:eastAsia="宋体" w:cs="Times New Roman"/>
          <w:color w:val="auto"/>
          <w:sz w:val="24"/>
        </w:rPr>
        <w:t>淮南港总体规划（调整）环境影响报告书</w:t>
      </w:r>
      <w:r>
        <w:rPr>
          <w:rFonts w:ascii="Times New Roman" w:hAnsi="Times New Roman" w:eastAsia="宋体" w:cs="Times New Roman"/>
          <w:color w:val="auto"/>
          <w:sz w:val="24"/>
        </w:rPr>
        <w:t>》，设计水平年</w:t>
      </w:r>
      <w:r>
        <w:rPr>
          <w:rFonts w:hint="eastAsia" w:ascii="Times New Roman" w:hAnsi="Times New Roman" w:eastAsia="宋体" w:cs="Times New Roman"/>
          <w:color w:val="auto"/>
          <w:sz w:val="24"/>
        </w:rPr>
        <w:t>2025</w:t>
      </w:r>
      <w:r>
        <w:rPr>
          <w:rFonts w:ascii="Times New Roman" w:hAnsi="Times New Roman" w:eastAsia="宋体" w:cs="Times New Roman"/>
          <w:color w:val="auto"/>
          <w:sz w:val="24"/>
        </w:rPr>
        <w:t>年吞吐量预测</w:t>
      </w:r>
      <w:r>
        <w:rPr>
          <w:rFonts w:hint="eastAsia" w:ascii="Times New Roman" w:hAnsi="Times New Roman" w:eastAsia="宋体" w:cs="Times New Roman"/>
          <w:color w:val="auto"/>
          <w:sz w:val="24"/>
        </w:rPr>
        <w:t>4445</w:t>
      </w:r>
      <w:r>
        <w:rPr>
          <w:rFonts w:ascii="Times New Roman" w:hAnsi="Times New Roman" w:eastAsia="宋体" w:cs="Times New Roman"/>
          <w:color w:val="auto"/>
          <w:sz w:val="24"/>
        </w:rPr>
        <w:t>万吨；工程共布置</w:t>
      </w:r>
      <w:r>
        <w:rPr>
          <w:rFonts w:hint="eastAsia" w:ascii="Times New Roman" w:hAnsi="Times New Roman" w:eastAsia="宋体" w:cs="Times New Roman"/>
          <w:color w:val="auto"/>
          <w:sz w:val="24"/>
        </w:rPr>
        <w:t>2</w:t>
      </w:r>
      <w:r>
        <w:rPr>
          <w:rFonts w:ascii="Times New Roman" w:hAnsi="Times New Roman" w:eastAsia="宋体" w:cs="Times New Roman"/>
          <w:color w:val="auto"/>
          <w:sz w:val="24"/>
        </w:rPr>
        <w:t>个</w:t>
      </w:r>
      <w:r>
        <w:rPr>
          <w:rFonts w:hint="eastAsia" w:ascii="Times New Roman" w:hAnsi="Times New Roman" w:eastAsia="宋体" w:cs="Times New Roman"/>
          <w:color w:val="auto"/>
          <w:sz w:val="24"/>
        </w:rPr>
        <w:t>1</w:t>
      </w:r>
      <w:r>
        <w:rPr>
          <w:rFonts w:ascii="Times New Roman" w:hAnsi="Times New Roman" w:eastAsia="宋体" w:cs="Times New Roman"/>
          <w:color w:val="auto"/>
          <w:sz w:val="24"/>
        </w:rPr>
        <w:t>000吨级泊位，</w:t>
      </w:r>
      <w:r>
        <w:rPr>
          <w:rFonts w:hint="eastAsia" w:ascii="Times New Roman" w:hAnsi="Times New Roman" w:eastAsia="宋体" w:cs="Times New Roman"/>
          <w:color w:val="auto"/>
          <w:sz w:val="24"/>
        </w:rPr>
        <w:t>预测2</w:t>
      </w:r>
      <w:r>
        <w:rPr>
          <w:rFonts w:ascii="Times New Roman" w:hAnsi="Times New Roman" w:eastAsia="宋体" w:cs="Times New Roman"/>
          <w:color w:val="auto"/>
          <w:sz w:val="24"/>
        </w:rPr>
        <w:t>025</w:t>
      </w:r>
      <w:r>
        <w:rPr>
          <w:rFonts w:hint="eastAsia" w:ascii="Times New Roman" w:hAnsi="Times New Roman" w:eastAsia="宋体" w:cs="Times New Roman"/>
          <w:color w:val="auto"/>
          <w:sz w:val="24"/>
        </w:rPr>
        <w:t>年</w:t>
      </w:r>
      <w:r>
        <w:rPr>
          <w:rFonts w:ascii="Times New Roman" w:hAnsi="Times New Roman" w:eastAsia="宋体" w:cs="Times New Roman"/>
          <w:color w:val="auto"/>
          <w:sz w:val="24"/>
        </w:rPr>
        <w:t>吞吐量为</w:t>
      </w:r>
      <w:r>
        <w:rPr>
          <w:rFonts w:hint="eastAsia" w:ascii="Times New Roman" w:hAnsi="Times New Roman" w:eastAsia="宋体" w:cs="Times New Roman"/>
          <w:color w:val="auto"/>
          <w:sz w:val="24"/>
        </w:rPr>
        <w:t>80</w:t>
      </w:r>
      <w:r>
        <w:rPr>
          <w:rFonts w:ascii="Times New Roman" w:hAnsi="Times New Roman" w:eastAsia="宋体" w:cs="Times New Roman"/>
          <w:color w:val="auto"/>
          <w:sz w:val="24"/>
        </w:rPr>
        <w:t>万吨</w:t>
      </w: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能满足预测吞吐量的要求</w:t>
      </w: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详见表3.2-4。</w:t>
      </w:r>
    </w:p>
    <w:p w14:paraId="03E0A4CB">
      <w:pPr>
        <w:spacing w:line="400" w:lineRule="exact"/>
        <w:jc w:val="center"/>
        <w:rPr>
          <w:rFonts w:ascii="Times New Roman" w:hAnsi="Times New Roman" w:eastAsia="黑体" w:cs="Times New Roman"/>
          <w:color w:val="auto"/>
          <w:sz w:val="24"/>
        </w:rPr>
      </w:pPr>
      <w:r>
        <w:rPr>
          <w:rFonts w:ascii="Times New Roman" w:hAnsi="Times New Roman" w:eastAsia="黑体" w:cs="Times New Roman"/>
          <w:color w:val="auto"/>
          <w:sz w:val="24"/>
        </w:rPr>
        <w:t>表3.2-4  主要货种、吞吐量预测表</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536"/>
        <w:gridCol w:w="1732"/>
        <w:gridCol w:w="851"/>
        <w:gridCol w:w="850"/>
        <w:gridCol w:w="1134"/>
        <w:gridCol w:w="1560"/>
        <w:gridCol w:w="1134"/>
        <w:gridCol w:w="1274"/>
      </w:tblGrid>
      <w:tr w14:paraId="0F3A4E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15" w:hRule="atLeast"/>
          <w:jc w:val="center"/>
        </w:trPr>
        <w:tc>
          <w:tcPr>
            <w:tcW w:w="536" w:type="dxa"/>
            <w:vMerge w:val="restart"/>
            <w:noWrap w:val="0"/>
            <w:vAlign w:val="center"/>
          </w:tcPr>
          <w:p w14:paraId="20FCDE1D">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32"/>
                <w:lang w:bidi="ar"/>
              </w:rPr>
            </w:pPr>
            <w:r>
              <w:rPr>
                <w:rFonts w:hint="default" w:ascii="Times New Roman" w:hAnsi="Times New Roman" w:eastAsia="宋体" w:cs="Times New Roman"/>
                <w:b/>
                <w:color w:val="auto"/>
                <w:szCs w:val="32"/>
                <w:lang w:bidi="ar"/>
              </w:rPr>
              <w:t>序号</w:t>
            </w:r>
          </w:p>
        </w:tc>
        <w:tc>
          <w:tcPr>
            <w:tcW w:w="1732" w:type="dxa"/>
            <w:vMerge w:val="restart"/>
            <w:noWrap w:val="0"/>
            <w:vAlign w:val="center"/>
          </w:tcPr>
          <w:p w14:paraId="65A0988B">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32"/>
                <w:lang w:bidi="ar"/>
              </w:rPr>
            </w:pPr>
            <w:r>
              <w:rPr>
                <w:rFonts w:hint="default" w:ascii="Times New Roman" w:hAnsi="Times New Roman" w:eastAsia="宋体" w:cs="Times New Roman"/>
                <w:b/>
                <w:color w:val="auto"/>
                <w:szCs w:val="32"/>
                <w:lang w:bidi="ar"/>
              </w:rPr>
              <w:t>货种</w:t>
            </w:r>
          </w:p>
        </w:tc>
        <w:tc>
          <w:tcPr>
            <w:tcW w:w="1701" w:type="dxa"/>
            <w:gridSpan w:val="2"/>
            <w:noWrap w:val="0"/>
            <w:vAlign w:val="center"/>
          </w:tcPr>
          <w:p w14:paraId="73D0F0B3">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32"/>
                <w:lang w:bidi="ar"/>
              </w:rPr>
            </w:pPr>
            <w:r>
              <w:rPr>
                <w:rFonts w:hint="default" w:ascii="Times New Roman" w:hAnsi="Times New Roman" w:eastAsia="宋体" w:cs="Times New Roman"/>
                <w:b/>
                <w:color w:val="auto"/>
                <w:szCs w:val="32"/>
                <w:lang w:bidi="ar"/>
              </w:rPr>
              <w:t>运量</w:t>
            </w:r>
            <w:r>
              <w:rPr>
                <w:rFonts w:hint="eastAsia" w:ascii="Times New Roman" w:hAnsi="Times New Roman" w:eastAsia="宋体" w:cs="Times New Roman"/>
                <w:b/>
                <w:color w:val="auto"/>
                <w:szCs w:val="32"/>
                <w:lang w:bidi="ar"/>
              </w:rPr>
              <w:t>（</w:t>
            </w:r>
            <w:r>
              <w:rPr>
                <w:rFonts w:hint="default" w:ascii="Times New Roman" w:hAnsi="Times New Roman" w:eastAsia="宋体" w:cs="Times New Roman"/>
                <w:b/>
                <w:color w:val="auto"/>
                <w:szCs w:val="32"/>
                <w:lang w:bidi="ar"/>
              </w:rPr>
              <w:t>万吨</w:t>
            </w:r>
            <w:r>
              <w:rPr>
                <w:rFonts w:hint="eastAsia" w:ascii="Times New Roman" w:hAnsi="Times New Roman" w:eastAsia="宋体" w:cs="Times New Roman"/>
                <w:b/>
                <w:color w:val="auto"/>
                <w:szCs w:val="32"/>
                <w:lang w:bidi="ar"/>
              </w:rPr>
              <w:t>）</w:t>
            </w:r>
          </w:p>
        </w:tc>
        <w:tc>
          <w:tcPr>
            <w:tcW w:w="1134" w:type="dxa"/>
            <w:vMerge w:val="restart"/>
            <w:noWrap w:val="0"/>
            <w:vAlign w:val="center"/>
          </w:tcPr>
          <w:p w14:paraId="46FAFF99">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32"/>
                <w:lang w:bidi="ar"/>
              </w:rPr>
            </w:pPr>
            <w:r>
              <w:rPr>
                <w:rFonts w:hint="default" w:ascii="Times New Roman" w:hAnsi="Times New Roman" w:eastAsia="宋体" w:cs="Times New Roman"/>
                <w:b/>
                <w:color w:val="auto"/>
                <w:szCs w:val="32"/>
                <w:lang w:bidi="ar"/>
              </w:rPr>
              <w:t>设计代表船型</w:t>
            </w:r>
            <w:r>
              <w:rPr>
                <w:rFonts w:hint="eastAsia" w:ascii="Times New Roman" w:hAnsi="Times New Roman" w:eastAsia="宋体" w:cs="Times New Roman"/>
                <w:b/>
                <w:color w:val="auto"/>
                <w:szCs w:val="32"/>
                <w:lang w:bidi="ar"/>
              </w:rPr>
              <w:t>（</w:t>
            </w:r>
            <w:r>
              <w:rPr>
                <w:rFonts w:hint="default" w:ascii="Times New Roman" w:hAnsi="Times New Roman" w:eastAsia="宋体" w:cs="Times New Roman"/>
                <w:b/>
                <w:color w:val="auto"/>
                <w:szCs w:val="32"/>
                <w:lang w:bidi="ar"/>
              </w:rPr>
              <w:t>吨</w:t>
            </w:r>
            <w:r>
              <w:rPr>
                <w:rFonts w:hint="eastAsia" w:ascii="Times New Roman" w:hAnsi="Times New Roman" w:eastAsia="宋体" w:cs="Times New Roman"/>
                <w:b/>
                <w:color w:val="auto"/>
                <w:szCs w:val="32"/>
                <w:lang w:bidi="ar"/>
              </w:rPr>
              <w:t>）</w:t>
            </w:r>
          </w:p>
        </w:tc>
        <w:tc>
          <w:tcPr>
            <w:tcW w:w="1560" w:type="dxa"/>
            <w:vMerge w:val="restart"/>
            <w:noWrap w:val="0"/>
            <w:vAlign w:val="center"/>
          </w:tcPr>
          <w:p w14:paraId="1F3DCEBB">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szCs w:val="32"/>
                <w:lang w:bidi="ar"/>
              </w:rPr>
            </w:pPr>
            <w:r>
              <w:rPr>
                <w:rFonts w:hint="eastAsia" w:ascii="Times New Roman" w:hAnsi="Times New Roman" w:eastAsia="宋体" w:cs="Times New Roman"/>
                <w:b/>
                <w:color w:val="auto"/>
                <w:szCs w:val="32"/>
                <w:lang w:bidi="ar"/>
              </w:rPr>
              <w:t>装卸方式</w:t>
            </w:r>
          </w:p>
        </w:tc>
        <w:tc>
          <w:tcPr>
            <w:tcW w:w="1134" w:type="dxa"/>
            <w:vMerge w:val="restart"/>
            <w:noWrap w:val="0"/>
            <w:vAlign w:val="center"/>
          </w:tcPr>
          <w:p w14:paraId="329FB223">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szCs w:val="32"/>
                <w:lang w:bidi="ar"/>
              </w:rPr>
            </w:pPr>
            <w:r>
              <w:rPr>
                <w:rFonts w:hint="eastAsia" w:ascii="Times New Roman" w:hAnsi="Times New Roman" w:eastAsia="宋体" w:cs="Times New Roman"/>
                <w:b/>
                <w:color w:val="auto"/>
                <w:szCs w:val="32"/>
                <w:lang w:bidi="ar"/>
              </w:rPr>
              <w:t>运输频次</w:t>
            </w:r>
          </w:p>
        </w:tc>
        <w:tc>
          <w:tcPr>
            <w:tcW w:w="1274" w:type="dxa"/>
            <w:vMerge w:val="restart"/>
            <w:noWrap w:val="0"/>
            <w:vAlign w:val="center"/>
          </w:tcPr>
          <w:p w14:paraId="4A711027">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szCs w:val="32"/>
                <w:lang w:bidi="ar"/>
              </w:rPr>
            </w:pPr>
            <w:r>
              <w:rPr>
                <w:rFonts w:hint="default" w:ascii="Times New Roman" w:hAnsi="Times New Roman" w:eastAsia="宋体" w:cs="Times New Roman"/>
                <w:b/>
                <w:color w:val="auto"/>
                <w:szCs w:val="32"/>
                <w:lang w:bidi="ar"/>
              </w:rPr>
              <w:t>泊位利用率（%）</w:t>
            </w:r>
          </w:p>
        </w:tc>
      </w:tr>
      <w:tr w14:paraId="146C8A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15" w:hRule="atLeast"/>
          <w:jc w:val="center"/>
        </w:trPr>
        <w:tc>
          <w:tcPr>
            <w:tcW w:w="536" w:type="dxa"/>
            <w:vMerge w:val="continue"/>
            <w:noWrap w:val="0"/>
            <w:vAlign w:val="center"/>
          </w:tcPr>
          <w:p w14:paraId="2E86ACB4">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p>
        </w:tc>
        <w:tc>
          <w:tcPr>
            <w:tcW w:w="1732" w:type="dxa"/>
            <w:vMerge w:val="continue"/>
            <w:noWrap w:val="0"/>
            <w:vAlign w:val="center"/>
          </w:tcPr>
          <w:p w14:paraId="3A952294">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p>
        </w:tc>
        <w:tc>
          <w:tcPr>
            <w:tcW w:w="851" w:type="dxa"/>
            <w:noWrap w:val="0"/>
            <w:vAlign w:val="center"/>
          </w:tcPr>
          <w:p w14:paraId="71C2A24D">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32"/>
                <w:lang w:bidi="ar"/>
              </w:rPr>
            </w:pPr>
            <w:r>
              <w:rPr>
                <w:rFonts w:hint="default" w:ascii="Times New Roman" w:hAnsi="Times New Roman" w:eastAsia="宋体" w:cs="Times New Roman"/>
                <w:b/>
                <w:color w:val="auto"/>
                <w:szCs w:val="32"/>
                <w:lang w:bidi="ar"/>
              </w:rPr>
              <w:t>进口</w:t>
            </w:r>
          </w:p>
        </w:tc>
        <w:tc>
          <w:tcPr>
            <w:tcW w:w="850" w:type="dxa"/>
            <w:noWrap w:val="0"/>
            <w:vAlign w:val="center"/>
          </w:tcPr>
          <w:p w14:paraId="767BDFDD">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szCs w:val="32"/>
                <w:lang w:bidi="ar"/>
              </w:rPr>
            </w:pPr>
            <w:r>
              <w:rPr>
                <w:rFonts w:hint="default" w:ascii="Times New Roman" w:hAnsi="Times New Roman" w:eastAsia="宋体" w:cs="Times New Roman"/>
                <w:b/>
                <w:color w:val="auto"/>
                <w:szCs w:val="32"/>
                <w:lang w:bidi="ar"/>
              </w:rPr>
              <w:t>出口</w:t>
            </w:r>
          </w:p>
        </w:tc>
        <w:tc>
          <w:tcPr>
            <w:tcW w:w="1134" w:type="dxa"/>
            <w:vMerge w:val="continue"/>
            <w:noWrap w:val="0"/>
            <w:vAlign w:val="center"/>
          </w:tcPr>
          <w:p w14:paraId="17C6FBBB">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p>
        </w:tc>
        <w:tc>
          <w:tcPr>
            <w:tcW w:w="1560" w:type="dxa"/>
            <w:vMerge w:val="continue"/>
            <w:noWrap w:val="0"/>
            <w:vAlign w:val="center"/>
          </w:tcPr>
          <w:p w14:paraId="79082A61">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p>
        </w:tc>
        <w:tc>
          <w:tcPr>
            <w:tcW w:w="1134" w:type="dxa"/>
            <w:vMerge w:val="continue"/>
            <w:noWrap w:val="0"/>
            <w:vAlign w:val="center"/>
          </w:tcPr>
          <w:p w14:paraId="76A3B864">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p>
        </w:tc>
        <w:tc>
          <w:tcPr>
            <w:tcW w:w="1274" w:type="dxa"/>
            <w:vMerge w:val="continue"/>
            <w:noWrap w:val="0"/>
            <w:vAlign w:val="center"/>
          </w:tcPr>
          <w:p w14:paraId="01058965">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p>
        </w:tc>
      </w:tr>
      <w:tr w14:paraId="6CE7553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536" w:type="dxa"/>
            <w:noWrap w:val="0"/>
            <w:vAlign w:val="center"/>
          </w:tcPr>
          <w:p w14:paraId="65FAD39E">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r>
              <w:rPr>
                <w:rFonts w:hint="default" w:ascii="Times New Roman" w:hAnsi="Times New Roman" w:eastAsia="宋体" w:cs="Times New Roman"/>
                <w:bCs/>
                <w:color w:val="auto"/>
                <w:szCs w:val="32"/>
                <w:lang w:bidi="ar"/>
              </w:rPr>
              <w:t>1</w:t>
            </w:r>
          </w:p>
        </w:tc>
        <w:tc>
          <w:tcPr>
            <w:tcW w:w="1732" w:type="dxa"/>
            <w:noWrap w:val="0"/>
            <w:vAlign w:val="center"/>
          </w:tcPr>
          <w:p w14:paraId="602E0BF7">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r>
              <w:rPr>
                <w:rFonts w:hint="eastAsia" w:ascii="Times New Roman" w:hAnsi="Times New Roman" w:eastAsia="宋体" w:cs="Times New Roman"/>
                <w:bCs/>
                <w:color w:val="auto"/>
                <w:szCs w:val="32"/>
                <w:lang w:bidi="ar"/>
              </w:rPr>
              <w:t>矿建材料（石子）</w:t>
            </w:r>
          </w:p>
        </w:tc>
        <w:tc>
          <w:tcPr>
            <w:tcW w:w="851" w:type="dxa"/>
            <w:noWrap w:val="0"/>
            <w:vAlign w:val="center"/>
          </w:tcPr>
          <w:p w14:paraId="18B0E9EE">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val="en-US" w:eastAsia="zh-CN" w:bidi="ar"/>
              </w:rPr>
            </w:pPr>
            <w:r>
              <w:rPr>
                <w:rFonts w:hint="eastAsia" w:cs="Times New Roman"/>
                <w:bCs/>
                <w:color w:val="auto"/>
                <w:szCs w:val="32"/>
                <w:lang w:val="en-US" w:eastAsia="zh-CN" w:bidi="ar"/>
              </w:rPr>
              <w:t>25</w:t>
            </w:r>
          </w:p>
        </w:tc>
        <w:tc>
          <w:tcPr>
            <w:tcW w:w="850" w:type="dxa"/>
            <w:noWrap w:val="0"/>
            <w:vAlign w:val="center"/>
          </w:tcPr>
          <w:p w14:paraId="2FB23A94">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r>
              <w:rPr>
                <w:rFonts w:hint="eastAsia" w:ascii="Times New Roman" w:hAnsi="Times New Roman" w:eastAsia="宋体" w:cs="Times New Roman"/>
                <w:bCs/>
                <w:color w:val="auto"/>
                <w:szCs w:val="32"/>
                <w:lang w:bidi="ar"/>
              </w:rPr>
              <w:t>0</w:t>
            </w:r>
          </w:p>
        </w:tc>
        <w:tc>
          <w:tcPr>
            <w:tcW w:w="1134" w:type="dxa"/>
            <w:noWrap w:val="0"/>
            <w:vAlign w:val="center"/>
          </w:tcPr>
          <w:p w14:paraId="1396355C">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r>
              <w:rPr>
                <w:rFonts w:hint="eastAsia" w:ascii="Times New Roman" w:hAnsi="Times New Roman" w:eastAsia="宋体" w:cs="Times New Roman"/>
                <w:bCs/>
                <w:color w:val="auto"/>
                <w:szCs w:val="32"/>
                <w:lang w:bidi="ar"/>
              </w:rPr>
              <w:t>1</w:t>
            </w:r>
            <w:r>
              <w:rPr>
                <w:rFonts w:hint="default" w:ascii="Times New Roman" w:hAnsi="Times New Roman" w:eastAsia="宋体" w:cs="Times New Roman"/>
                <w:bCs/>
                <w:color w:val="auto"/>
                <w:szCs w:val="32"/>
                <w:lang w:bidi="ar"/>
              </w:rPr>
              <w:t>000</w:t>
            </w:r>
          </w:p>
        </w:tc>
        <w:tc>
          <w:tcPr>
            <w:tcW w:w="1560" w:type="dxa"/>
            <w:noWrap w:val="0"/>
            <w:vAlign w:val="center"/>
          </w:tcPr>
          <w:p w14:paraId="12A0B100">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auto"/>
                <w:szCs w:val="32"/>
                <w:lang w:bidi="ar"/>
              </w:rPr>
            </w:pPr>
            <w:r>
              <w:rPr>
                <w:rFonts w:hint="eastAsia" w:ascii="Times New Roman" w:hAnsi="Times New Roman" w:eastAsia="宋体" w:cs="Times New Roman"/>
                <w:bCs/>
                <w:color w:val="auto"/>
                <w:szCs w:val="32"/>
                <w:lang w:bidi="ar"/>
              </w:rPr>
              <w:t>液压抓机</w:t>
            </w:r>
          </w:p>
        </w:tc>
        <w:tc>
          <w:tcPr>
            <w:tcW w:w="1134" w:type="dxa"/>
            <w:noWrap w:val="0"/>
            <w:vAlign w:val="center"/>
          </w:tcPr>
          <w:p w14:paraId="0FDB63DA">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r>
              <w:rPr>
                <w:rFonts w:hint="eastAsia" w:cs="Times New Roman"/>
                <w:bCs/>
                <w:color w:val="auto"/>
                <w:szCs w:val="32"/>
                <w:lang w:val="en-US" w:eastAsia="zh-CN" w:bidi="ar"/>
              </w:rPr>
              <w:t>18</w:t>
            </w:r>
            <w:r>
              <w:rPr>
                <w:rFonts w:hint="eastAsia" w:ascii="Times New Roman" w:hAnsi="Times New Roman" w:eastAsia="宋体" w:cs="Times New Roman"/>
                <w:bCs/>
                <w:color w:val="auto"/>
                <w:szCs w:val="32"/>
                <w:lang w:bidi="ar"/>
              </w:rPr>
              <w:t>次/d</w:t>
            </w:r>
          </w:p>
        </w:tc>
        <w:tc>
          <w:tcPr>
            <w:tcW w:w="1274" w:type="dxa"/>
            <w:noWrap w:val="0"/>
            <w:vAlign w:val="center"/>
          </w:tcPr>
          <w:p w14:paraId="5879D24A">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r>
              <w:rPr>
                <w:rFonts w:hint="eastAsia" w:ascii="Times New Roman" w:hAnsi="Times New Roman" w:eastAsia="宋体" w:cs="Times New Roman"/>
                <w:bCs/>
                <w:color w:val="auto"/>
                <w:szCs w:val="32"/>
                <w:lang w:bidi="ar"/>
              </w:rPr>
              <w:t>6</w:t>
            </w:r>
            <w:r>
              <w:rPr>
                <w:rFonts w:hint="default" w:ascii="Times New Roman" w:hAnsi="Times New Roman" w:eastAsia="宋体" w:cs="Times New Roman"/>
                <w:bCs/>
                <w:color w:val="auto"/>
                <w:szCs w:val="32"/>
                <w:lang w:bidi="ar"/>
              </w:rPr>
              <w:t>5</w:t>
            </w:r>
          </w:p>
        </w:tc>
      </w:tr>
      <w:tr w14:paraId="637022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536" w:type="dxa"/>
            <w:noWrap w:val="0"/>
            <w:vAlign w:val="center"/>
          </w:tcPr>
          <w:p w14:paraId="15A566B7">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auto"/>
                <w:szCs w:val="32"/>
                <w:lang w:val="en-US" w:eastAsia="zh-CN" w:bidi="ar"/>
              </w:rPr>
            </w:pPr>
            <w:r>
              <w:rPr>
                <w:rFonts w:hint="eastAsia" w:cs="Times New Roman"/>
                <w:bCs/>
                <w:color w:val="auto"/>
                <w:szCs w:val="32"/>
                <w:lang w:val="en-US" w:eastAsia="zh-CN" w:bidi="ar"/>
              </w:rPr>
              <w:t>2</w:t>
            </w:r>
          </w:p>
        </w:tc>
        <w:tc>
          <w:tcPr>
            <w:tcW w:w="1732" w:type="dxa"/>
            <w:noWrap w:val="0"/>
            <w:vAlign w:val="center"/>
          </w:tcPr>
          <w:p w14:paraId="4FB0CBCF">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auto"/>
                <w:szCs w:val="32"/>
                <w:lang w:val="en-US" w:eastAsia="zh-CN" w:bidi="ar"/>
              </w:rPr>
            </w:pPr>
            <w:r>
              <w:rPr>
                <w:rFonts w:hint="eastAsia" w:cs="Times New Roman"/>
                <w:bCs/>
                <w:color w:val="auto"/>
                <w:szCs w:val="32"/>
                <w:lang w:val="en-US" w:eastAsia="zh-CN" w:bidi="ar"/>
              </w:rPr>
              <w:t>件杂货</w:t>
            </w:r>
          </w:p>
        </w:tc>
        <w:tc>
          <w:tcPr>
            <w:tcW w:w="851" w:type="dxa"/>
            <w:noWrap w:val="0"/>
            <w:vAlign w:val="center"/>
          </w:tcPr>
          <w:p w14:paraId="15885B67">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auto"/>
                <w:szCs w:val="32"/>
                <w:lang w:val="en-US" w:eastAsia="zh-CN" w:bidi="ar"/>
              </w:rPr>
            </w:pPr>
            <w:r>
              <w:rPr>
                <w:rFonts w:hint="eastAsia" w:cs="Times New Roman"/>
                <w:bCs/>
                <w:color w:val="auto"/>
                <w:szCs w:val="32"/>
                <w:lang w:val="en-US" w:eastAsia="zh-CN" w:bidi="ar"/>
              </w:rPr>
              <w:t>5</w:t>
            </w:r>
          </w:p>
        </w:tc>
        <w:tc>
          <w:tcPr>
            <w:tcW w:w="850" w:type="dxa"/>
            <w:noWrap w:val="0"/>
            <w:vAlign w:val="center"/>
          </w:tcPr>
          <w:p w14:paraId="32E48BA1">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auto"/>
                <w:szCs w:val="32"/>
                <w:lang w:val="en-US" w:eastAsia="zh-CN" w:bidi="ar"/>
              </w:rPr>
            </w:pPr>
            <w:r>
              <w:rPr>
                <w:rFonts w:hint="eastAsia" w:cs="Times New Roman"/>
                <w:bCs/>
                <w:color w:val="auto"/>
                <w:szCs w:val="32"/>
                <w:lang w:val="en-US" w:eastAsia="zh-CN" w:bidi="ar"/>
              </w:rPr>
              <w:t>0</w:t>
            </w:r>
          </w:p>
        </w:tc>
        <w:tc>
          <w:tcPr>
            <w:tcW w:w="1134" w:type="dxa"/>
            <w:noWrap w:val="0"/>
            <w:vAlign w:val="center"/>
          </w:tcPr>
          <w:p w14:paraId="458A189F">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val="en-US" w:eastAsia="zh-CN" w:bidi="ar"/>
              </w:rPr>
            </w:pPr>
            <w:r>
              <w:rPr>
                <w:rFonts w:hint="eastAsia" w:cs="Times New Roman"/>
                <w:bCs/>
                <w:color w:val="auto"/>
                <w:szCs w:val="32"/>
                <w:lang w:val="en-US" w:eastAsia="zh-CN" w:bidi="ar"/>
              </w:rPr>
              <w:t>1000</w:t>
            </w:r>
          </w:p>
        </w:tc>
        <w:tc>
          <w:tcPr>
            <w:tcW w:w="1560" w:type="dxa"/>
            <w:noWrap w:val="0"/>
            <w:vAlign w:val="center"/>
          </w:tcPr>
          <w:p w14:paraId="434F7B2E">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auto"/>
                <w:szCs w:val="32"/>
                <w:lang w:val="en-US" w:eastAsia="zh-CN" w:bidi="ar"/>
              </w:rPr>
            </w:pPr>
            <w:r>
              <w:rPr>
                <w:rFonts w:hint="eastAsia" w:cs="Times New Roman"/>
                <w:bCs/>
                <w:color w:val="auto"/>
                <w:szCs w:val="32"/>
                <w:lang w:val="en-US" w:eastAsia="zh-CN" w:bidi="ar"/>
              </w:rPr>
              <w:t>固定吊</w:t>
            </w:r>
          </w:p>
        </w:tc>
        <w:tc>
          <w:tcPr>
            <w:tcW w:w="1134" w:type="dxa"/>
            <w:noWrap w:val="0"/>
            <w:vAlign w:val="center"/>
          </w:tcPr>
          <w:p w14:paraId="3A386A22">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r>
              <w:rPr>
                <w:rFonts w:hint="eastAsia" w:cs="Times New Roman"/>
                <w:bCs/>
                <w:color w:val="auto"/>
                <w:szCs w:val="32"/>
                <w:lang w:val="en-US" w:eastAsia="zh-CN" w:bidi="ar"/>
              </w:rPr>
              <w:t>4</w:t>
            </w:r>
            <w:r>
              <w:rPr>
                <w:rFonts w:hint="eastAsia" w:ascii="Times New Roman" w:hAnsi="Times New Roman" w:eastAsia="宋体" w:cs="Times New Roman"/>
                <w:bCs/>
                <w:color w:val="auto"/>
                <w:szCs w:val="32"/>
                <w:lang w:bidi="ar"/>
              </w:rPr>
              <w:t>次/d</w:t>
            </w:r>
          </w:p>
        </w:tc>
        <w:tc>
          <w:tcPr>
            <w:tcW w:w="1274" w:type="dxa"/>
            <w:noWrap w:val="0"/>
            <w:vAlign w:val="center"/>
          </w:tcPr>
          <w:p w14:paraId="5ADB3589">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val="en-US" w:eastAsia="zh-CN" w:bidi="ar"/>
              </w:rPr>
            </w:pPr>
            <w:r>
              <w:rPr>
                <w:rFonts w:hint="eastAsia" w:cs="Times New Roman"/>
                <w:bCs/>
                <w:color w:val="auto"/>
                <w:szCs w:val="32"/>
                <w:lang w:val="en-US" w:eastAsia="zh-CN" w:bidi="ar"/>
              </w:rPr>
              <w:t>65</w:t>
            </w:r>
          </w:p>
        </w:tc>
      </w:tr>
      <w:tr w14:paraId="6B15E56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12" w:hRule="atLeast"/>
          <w:jc w:val="center"/>
        </w:trPr>
        <w:tc>
          <w:tcPr>
            <w:tcW w:w="536" w:type="dxa"/>
            <w:noWrap w:val="0"/>
            <w:vAlign w:val="center"/>
          </w:tcPr>
          <w:p w14:paraId="7C4AA0CC">
            <w:pPr>
              <w:keepNext w:val="0"/>
              <w:keepLines w:val="0"/>
              <w:suppressLineNumbers w:val="0"/>
              <w:spacing w:before="0" w:beforeAutospacing="0" w:after="0" w:afterAutospacing="0"/>
              <w:ind w:left="0" w:right="0"/>
              <w:jc w:val="center"/>
              <w:rPr>
                <w:rFonts w:hint="eastAsia" w:ascii="Times New Roman" w:hAnsi="Times New Roman" w:eastAsia="宋体" w:cs="Times New Roman"/>
                <w:bCs/>
                <w:color w:val="auto"/>
                <w:szCs w:val="32"/>
                <w:lang w:eastAsia="zh-CN" w:bidi="ar"/>
              </w:rPr>
            </w:pPr>
            <w:r>
              <w:rPr>
                <w:rFonts w:hint="eastAsia" w:cs="Times New Roman"/>
                <w:bCs/>
                <w:color w:val="auto"/>
                <w:szCs w:val="32"/>
                <w:lang w:val="en-US" w:eastAsia="zh-CN" w:bidi="ar"/>
              </w:rPr>
              <w:t>3</w:t>
            </w:r>
          </w:p>
        </w:tc>
        <w:tc>
          <w:tcPr>
            <w:tcW w:w="1732" w:type="dxa"/>
            <w:noWrap w:val="0"/>
            <w:vAlign w:val="center"/>
          </w:tcPr>
          <w:p w14:paraId="0D0C4E82">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r>
              <w:rPr>
                <w:rFonts w:hint="eastAsia" w:ascii="Times New Roman" w:hAnsi="Times New Roman" w:eastAsia="宋体" w:cs="Times New Roman"/>
                <w:bCs/>
                <w:color w:val="auto"/>
                <w:szCs w:val="32"/>
                <w:lang w:bidi="ar"/>
              </w:rPr>
              <w:t>煤炭</w:t>
            </w:r>
          </w:p>
        </w:tc>
        <w:tc>
          <w:tcPr>
            <w:tcW w:w="851" w:type="dxa"/>
            <w:noWrap w:val="0"/>
            <w:vAlign w:val="center"/>
          </w:tcPr>
          <w:p w14:paraId="5B90BE2C">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r>
              <w:rPr>
                <w:rFonts w:hint="eastAsia" w:ascii="Times New Roman" w:hAnsi="Times New Roman" w:eastAsia="宋体" w:cs="Times New Roman"/>
                <w:bCs/>
                <w:color w:val="auto"/>
                <w:szCs w:val="32"/>
                <w:lang w:bidi="ar"/>
              </w:rPr>
              <w:t>0</w:t>
            </w:r>
          </w:p>
        </w:tc>
        <w:tc>
          <w:tcPr>
            <w:tcW w:w="850" w:type="dxa"/>
            <w:noWrap w:val="0"/>
            <w:vAlign w:val="center"/>
          </w:tcPr>
          <w:p w14:paraId="77ECA698">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r>
              <w:rPr>
                <w:rFonts w:hint="default" w:ascii="Times New Roman" w:hAnsi="Times New Roman" w:eastAsia="宋体" w:cs="Times New Roman"/>
                <w:bCs/>
                <w:color w:val="auto"/>
                <w:szCs w:val="32"/>
                <w:lang w:bidi="ar"/>
              </w:rPr>
              <w:t>50</w:t>
            </w:r>
          </w:p>
        </w:tc>
        <w:tc>
          <w:tcPr>
            <w:tcW w:w="1134" w:type="dxa"/>
            <w:noWrap w:val="0"/>
            <w:vAlign w:val="center"/>
          </w:tcPr>
          <w:p w14:paraId="5BD9AC92">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r>
              <w:rPr>
                <w:rFonts w:hint="eastAsia" w:ascii="Times New Roman" w:hAnsi="Times New Roman" w:eastAsia="宋体" w:cs="Times New Roman"/>
                <w:bCs/>
                <w:color w:val="auto"/>
                <w:szCs w:val="32"/>
                <w:lang w:bidi="ar"/>
              </w:rPr>
              <w:t>1</w:t>
            </w:r>
            <w:r>
              <w:rPr>
                <w:rFonts w:hint="default" w:ascii="Times New Roman" w:hAnsi="Times New Roman" w:eastAsia="宋体" w:cs="Times New Roman"/>
                <w:bCs/>
                <w:color w:val="auto"/>
                <w:szCs w:val="32"/>
                <w:lang w:bidi="ar"/>
              </w:rPr>
              <w:t>000</w:t>
            </w:r>
          </w:p>
        </w:tc>
        <w:tc>
          <w:tcPr>
            <w:tcW w:w="1560" w:type="dxa"/>
            <w:noWrap w:val="0"/>
            <w:vAlign w:val="center"/>
          </w:tcPr>
          <w:p w14:paraId="76A81ADF">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r>
              <w:rPr>
                <w:rFonts w:hint="eastAsia" w:ascii="Times New Roman" w:hAnsi="Times New Roman" w:eastAsia="宋体" w:cs="Times New Roman"/>
                <w:bCs/>
                <w:color w:val="auto"/>
                <w:szCs w:val="32"/>
                <w:lang w:bidi="ar"/>
              </w:rPr>
              <w:t>流动装船机（预留固定吊机）</w:t>
            </w:r>
          </w:p>
        </w:tc>
        <w:tc>
          <w:tcPr>
            <w:tcW w:w="1134" w:type="dxa"/>
            <w:noWrap w:val="0"/>
            <w:vAlign w:val="center"/>
          </w:tcPr>
          <w:p w14:paraId="79B21F14">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r>
              <w:rPr>
                <w:rFonts w:hint="default" w:ascii="Times New Roman" w:hAnsi="Times New Roman" w:eastAsia="宋体" w:cs="Times New Roman"/>
                <w:bCs/>
                <w:color w:val="auto"/>
                <w:szCs w:val="32"/>
                <w:lang w:bidi="ar"/>
              </w:rPr>
              <w:t>38</w:t>
            </w:r>
            <w:r>
              <w:rPr>
                <w:rFonts w:hint="eastAsia" w:ascii="Times New Roman" w:hAnsi="Times New Roman" w:eastAsia="宋体" w:cs="Times New Roman"/>
                <w:bCs/>
                <w:color w:val="auto"/>
                <w:szCs w:val="32"/>
                <w:lang w:bidi="ar"/>
              </w:rPr>
              <w:t>次/d</w:t>
            </w:r>
          </w:p>
        </w:tc>
        <w:tc>
          <w:tcPr>
            <w:tcW w:w="1274" w:type="dxa"/>
            <w:noWrap w:val="0"/>
            <w:vAlign w:val="center"/>
          </w:tcPr>
          <w:p w14:paraId="05BFB5B5">
            <w:pPr>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Cs w:val="32"/>
                <w:lang w:bidi="ar"/>
              </w:rPr>
            </w:pPr>
            <w:r>
              <w:rPr>
                <w:rFonts w:hint="eastAsia" w:ascii="Times New Roman" w:hAnsi="Times New Roman" w:eastAsia="宋体" w:cs="Times New Roman"/>
                <w:bCs/>
                <w:color w:val="auto"/>
                <w:szCs w:val="32"/>
                <w:lang w:bidi="ar"/>
              </w:rPr>
              <w:t>6</w:t>
            </w:r>
            <w:r>
              <w:rPr>
                <w:rFonts w:hint="default" w:ascii="Times New Roman" w:hAnsi="Times New Roman" w:eastAsia="宋体" w:cs="Times New Roman"/>
                <w:bCs/>
                <w:color w:val="auto"/>
                <w:szCs w:val="32"/>
                <w:lang w:bidi="ar"/>
              </w:rPr>
              <w:t>5</w:t>
            </w:r>
          </w:p>
        </w:tc>
      </w:tr>
    </w:tbl>
    <w:p w14:paraId="172AD291">
      <w:pPr>
        <w:keepNext/>
        <w:keepLines/>
        <w:widowControl w:val="0"/>
        <w:numPr>
          <w:ilvl w:val="2"/>
          <w:numId w:val="0"/>
        </w:numPr>
        <w:spacing w:line="360" w:lineRule="auto"/>
        <w:jc w:val="both"/>
        <w:outlineLvl w:val="2"/>
        <w:rPr>
          <w:rFonts w:hint="eastAsia"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3.2.5</w:t>
      </w:r>
      <w:r>
        <w:rPr>
          <w:rFonts w:ascii="Times New Roman" w:hAnsi="Times New Roman" w:eastAsia="黑体" w:cs="Times New Roman"/>
          <w:bCs/>
          <w:color w:val="auto"/>
          <w:kern w:val="2"/>
          <w:sz w:val="28"/>
          <w:szCs w:val="32"/>
          <w:lang w:val="en-US" w:eastAsia="zh-CN" w:bidi="ar-SA"/>
        </w:rPr>
        <w:t>总平面布置</w:t>
      </w:r>
    </w:p>
    <w:p w14:paraId="355A706E">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1</w:t>
      </w:r>
      <w:r>
        <w:rPr>
          <w:rFonts w:ascii="Times New Roman" w:hAnsi="Times New Roman" w:eastAsia="宋体" w:cs="Times New Roman"/>
          <w:color w:val="auto"/>
          <w:sz w:val="24"/>
        </w:rPr>
        <w:t>）水域布置</w:t>
      </w:r>
      <w:r>
        <w:rPr>
          <w:rFonts w:hint="eastAsia" w:ascii="Times New Roman" w:hAnsi="Times New Roman" w:eastAsia="宋体" w:cs="Times New Roman"/>
          <w:color w:val="auto"/>
          <w:sz w:val="24"/>
        </w:rPr>
        <w:t>及进港航道情况</w:t>
      </w:r>
    </w:p>
    <w:p w14:paraId="7EA2629F">
      <w:pPr>
        <w:widowControl w:val="0"/>
        <w:spacing w:line="360" w:lineRule="auto"/>
        <w:ind w:firstLine="480" w:firstLineChars="200"/>
        <w:jc w:val="both"/>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kern w:val="2"/>
          <w:sz w:val="24"/>
          <w:szCs w:val="21"/>
          <w:lang w:val="en-US" w:eastAsia="zh-CN" w:bidi="ar-SA"/>
        </w:rPr>
        <w:t>拟建码头共建设2个1000吨级（兼顾2000吨级）泊位，码头前方水域可以满足船舶停泊作业和回旋水域要求，上游端部前沿线与护岸夹角135°。码头位于平圩大件码头下游136m，该段为淮河下六坊左汊，河道基本顺直，左岸滩为码头所在位置，拟建码头处水面开阔，圩堤与淮河大堤之间地势平坦，该处常水位水面宽约208m，航道宽（12.5m等高线距离）100m，河底较平缓，深泓高程11.71～12.10m，正常水深5m以上，通航条件良好。</w:t>
      </w:r>
    </w:p>
    <w:p w14:paraId="01862B27">
      <w:pPr>
        <w:widowControl w:val="0"/>
        <w:spacing w:line="360" w:lineRule="auto"/>
        <w:ind w:firstLine="480" w:firstLineChars="200"/>
        <w:jc w:val="both"/>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kern w:val="2"/>
          <w:sz w:val="24"/>
          <w:szCs w:val="21"/>
          <w:lang w:val="en-US" w:eastAsia="zh-CN" w:bidi="ar-SA"/>
        </w:rPr>
        <w:t>拟建码头利用岸线总长160m，岸线范围内切滩后退形成开挖港池，设计港池底高程为12.3m；距离岸线控制点上下游端各15m处设置130m×15m的高桩梁板码头，码头顶高程20.5m～20.4m，为中低水位码头，码头后沿设置5m桥台搭板，连接至河滩地高程20.4m处。</w:t>
      </w:r>
    </w:p>
    <w:p w14:paraId="491CA6B8">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2</w:t>
      </w:r>
      <w:r>
        <w:rPr>
          <w:rFonts w:ascii="Times New Roman" w:hAnsi="Times New Roman" w:eastAsia="宋体" w:cs="Times New Roman"/>
          <w:color w:val="auto"/>
          <w:sz w:val="24"/>
        </w:rPr>
        <w:t>）陆域布置</w:t>
      </w:r>
    </w:p>
    <w:p w14:paraId="1228F835">
      <w:pPr>
        <w:widowControl w:val="0"/>
        <w:spacing w:line="360" w:lineRule="auto"/>
        <w:ind w:firstLine="480" w:firstLineChars="200"/>
        <w:jc w:val="both"/>
        <w:rPr>
          <w:rFonts w:hint="eastAsia" w:ascii="Times New Roman" w:hAnsi="Times New Roman" w:eastAsia="宋体" w:cs="Times New Roman"/>
          <w:color w:val="auto"/>
          <w:kern w:val="2"/>
          <w:sz w:val="24"/>
          <w:szCs w:val="21"/>
          <w:lang w:val="en-US" w:eastAsia="zh-CN" w:bidi="ar-SA"/>
        </w:rPr>
      </w:pPr>
      <w:r>
        <w:rPr>
          <w:rFonts w:hint="eastAsia" w:ascii="宋体" w:hAnsi="宋体" w:eastAsia="宋体" w:cs="Times New Roman"/>
          <w:color w:val="auto"/>
          <w:kern w:val="2"/>
          <w:sz w:val="24"/>
          <w:szCs w:val="28"/>
          <w:lang w:val="en-US" w:eastAsia="zh-CN" w:bidi="ar-SA"/>
        </w:rPr>
        <w:t>进港道路</w:t>
      </w:r>
      <w:r>
        <w:rPr>
          <w:rFonts w:hint="eastAsia" w:ascii="Times New Roman" w:hAnsi="Times New Roman" w:eastAsia="宋体" w:cs="Times New Roman"/>
          <w:color w:val="auto"/>
          <w:kern w:val="2"/>
          <w:sz w:val="24"/>
          <w:szCs w:val="21"/>
          <w:lang w:val="en-US" w:eastAsia="zh-CN" w:bidi="ar-SA"/>
        </w:rPr>
        <w:t>：河滩地设置道路，道路高程20.4m，道路总宽度为7m，堤脚处设置上堤道路，斜坡道总长105m，坡度为6%，堤顶处与现有大堤平交，坡顶高程为27.3m；下堤道路连接至大件码头现有的道路，新建斜坡道路，长度为75m，坡度为7.1%。</w:t>
      </w:r>
    </w:p>
    <w:p w14:paraId="5896FFC7">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生产辅助区：管理房布置在码头陆域后方，为活动车载式钢结构管理房，汛期可以方便撤离。沉淀池及附属设备位于淮河左滩地，桥台结构集成排水沟及回填土下坡路正西侧。隔油沉淀池及附属设备最外缘与淮河左堤防内堤脚最小距离为55m。</w:t>
      </w:r>
    </w:p>
    <w:p w14:paraId="03553AE2">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绿化：在作业区周围和进出港道路两侧，种植乔木和灌木绿化隔离林带。</w:t>
      </w:r>
    </w:p>
    <w:p w14:paraId="4084D330">
      <w:pPr>
        <w:spacing w:line="360" w:lineRule="auto"/>
        <w:ind w:firstLine="480"/>
        <w:rPr>
          <w:rFonts w:hint="eastAsia"/>
          <w:color w:val="auto"/>
          <w:sz w:val="24"/>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33B243F0">
      <w:pPr>
        <w:spacing w:line="360" w:lineRule="auto"/>
        <w:jc w:val="center"/>
        <w:rPr>
          <w:rFonts w:ascii="Times New Roman" w:hAnsi="Times New Roman" w:eastAsia="黑体" w:cs="Times New Roman"/>
          <w:color w:val="auto"/>
          <w:sz w:val="24"/>
        </w:rPr>
      </w:pPr>
      <w:r>
        <w:rPr>
          <w:rFonts w:ascii="Times New Roman" w:hAnsi="Times New Roman" w:eastAsia="宋体" w:cs="Times New Roman"/>
          <w:color w:val="auto"/>
        </w:rPr>
        <mc:AlternateContent>
          <mc:Choice Requires="wps">
            <w:drawing>
              <wp:anchor distT="0" distB="0" distL="114300" distR="114300" simplePos="0" relativeHeight="251757568" behindDoc="0" locked="0" layoutInCell="1" allowOverlap="1">
                <wp:simplePos x="0" y="0"/>
                <wp:positionH relativeFrom="column">
                  <wp:posOffset>3955415</wp:posOffset>
                </wp:positionH>
                <wp:positionV relativeFrom="paragraph">
                  <wp:posOffset>3307715</wp:posOffset>
                </wp:positionV>
                <wp:extent cx="1226185" cy="524510"/>
                <wp:effectExtent l="0" t="0" r="0" b="0"/>
                <wp:wrapNone/>
                <wp:docPr id="293" name="文本框 293"/>
                <wp:cNvGraphicFramePr/>
                <a:graphic xmlns:a="http://schemas.openxmlformats.org/drawingml/2006/main">
                  <a:graphicData uri="http://schemas.microsoft.com/office/word/2010/wordprocessingShape">
                    <wps:wsp>
                      <wps:cNvSpPr txBox="1"/>
                      <wps:spPr>
                        <a:xfrm>
                          <a:off x="0" y="0"/>
                          <a:ext cx="1226185" cy="524510"/>
                        </a:xfrm>
                        <a:prstGeom prst="rect">
                          <a:avLst/>
                        </a:prstGeom>
                        <a:noFill/>
                        <a:ln>
                          <a:noFill/>
                        </a:ln>
                      </wps:spPr>
                      <wps:txbx>
                        <w:txbxContent>
                          <w:p w14:paraId="291B6669">
                            <w:pPr>
                              <w:jc w:val="center"/>
                              <w:rPr>
                                <w:rFonts w:hint="eastAsia" w:ascii="Times New Roman" w:hAnsi="Times New Roman" w:eastAsia="宋体" w:cs="Times New Roman"/>
                              </w:rPr>
                            </w:pPr>
                            <w:r>
                              <w:rPr>
                                <w:rFonts w:hint="eastAsia" w:ascii="Times New Roman" w:hAnsi="Times New Roman" w:eastAsia="宋体" w:cs="Times New Roman"/>
                              </w:rPr>
                              <w:t>隔油沉淀池+一体化污水处理设施</w:t>
                            </w:r>
                          </w:p>
                        </w:txbxContent>
                      </wps:txbx>
                      <wps:bodyPr upright="1"/>
                    </wps:wsp>
                  </a:graphicData>
                </a:graphic>
              </wp:anchor>
            </w:drawing>
          </mc:Choice>
          <mc:Fallback>
            <w:pict>
              <v:shape id="_x0000_s1026" o:spid="_x0000_s1026" o:spt="202" type="#_x0000_t202" style="position:absolute;left:0pt;margin-left:311.45pt;margin-top:260.45pt;height:41.3pt;width:96.55pt;z-index:251757568;mso-width-relative:page;mso-height-relative:page;" filled="f" stroked="f" coordsize="21600,21600" o:gfxdata="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nJQ67&#10;1wAAAAsBAAAPAAAAAAAAAAEAIAAAACIAAABkcnMvZG93bnJldi54bWxQSwECFAAUAAAACACHTuJA&#10;P9o96bABAABSAwAADgAAAAAAAAABACAAAAAmAQAAZHJzL2Uyb0RvYy54bWxQSwUGAAAAAAYABgBZ&#10;AQAASAUAAAAA&#10;">
                <v:fill on="f" focussize="0,0"/>
                <v:stroke on="f"/>
                <v:imagedata o:title=""/>
                <o:lock v:ext="edit" aspectratio="f"/>
                <v:textbox>
                  <w:txbxContent>
                    <w:p w14:paraId="291B6669">
                      <w:pPr>
                        <w:jc w:val="center"/>
                        <w:rPr>
                          <w:rFonts w:hint="eastAsia" w:ascii="Times New Roman" w:hAnsi="Times New Roman" w:eastAsia="宋体" w:cs="Times New Roman"/>
                        </w:rPr>
                      </w:pPr>
                      <w:r>
                        <w:rPr>
                          <w:rFonts w:hint="eastAsia" w:ascii="Times New Roman" w:hAnsi="Times New Roman" w:eastAsia="宋体" w:cs="Times New Roman"/>
                        </w:rPr>
                        <w:t>隔油沉淀池+一体化污水处理设施</w:t>
                      </w:r>
                    </w:p>
                  </w:txbxContent>
                </v:textbox>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59616" behindDoc="0" locked="0" layoutInCell="1" allowOverlap="1">
                <wp:simplePos x="0" y="0"/>
                <wp:positionH relativeFrom="column">
                  <wp:posOffset>3684905</wp:posOffset>
                </wp:positionH>
                <wp:positionV relativeFrom="paragraph">
                  <wp:posOffset>5692140</wp:posOffset>
                </wp:positionV>
                <wp:extent cx="477520" cy="354330"/>
                <wp:effectExtent l="0" t="0" r="0" b="0"/>
                <wp:wrapNone/>
                <wp:docPr id="294" name="文本框 294"/>
                <wp:cNvGraphicFramePr/>
                <a:graphic xmlns:a="http://schemas.openxmlformats.org/drawingml/2006/main">
                  <a:graphicData uri="http://schemas.microsoft.com/office/word/2010/wordprocessingShape">
                    <wps:wsp>
                      <wps:cNvSpPr txBox="1"/>
                      <wps:spPr>
                        <a:xfrm>
                          <a:off x="0" y="0"/>
                          <a:ext cx="477520" cy="354330"/>
                        </a:xfrm>
                        <a:prstGeom prst="rect">
                          <a:avLst/>
                        </a:prstGeom>
                        <a:noFill/>
                        <a:ln>
                          <a:noFill/>
                        </a:ln>
                      </wps:spPr>
                      <wps:txbx>
                        <w:txbxContent>
                          <w:p w14:paraId="424E42D6">
                            <w:pPr>
                              <w:rPr>
                                <w:rFonts w:ascii="Times New Roman" w:hAnsi="Times New Roman" w:eastAsia="宋体" w:cs="Times New Roman"/>
                              </w:rPr>
                            </w:pPr>
                            <w:r>
                              <w:rPr>
                                <w:rFonts w:hint="eastAsia" w:ascii="Times New Roman" w:hAnsi="Times New Roman" w:eastAsia="宋体" w:cs="Times New Roman"/>
                              </w:rPr>
                              <w:t>淮河</w:t>
                            </w:r>
                          </w:p>
                        </w:txbxContent>
                      </wps:txbx>
                      <wps:bodyPr upright="1"/>
                    </wps:wsp>
                  </a:graphicData>
                </a:graphic>
              </wp:anchor>
            </w:drawing>
          </mc:Choice>
          <mc:Fallback>
            <w:pict>
              <v:shape id="_x0000_s1026" o:spid="_x0000_s1026" o:spt="202" type="#_x0000_t202" style="position:absolute;left:0pt;margin-left:290.15pt;margin-top:448.2pt;height:27.9pt;width:37.6pt;z-index:251759616;mso-width-relative:page;mso-height-relative:page;" filled="f" stroked="f" coordsize="21600,21600" o:gfxdata="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gY&#10;gMPZAAAACwEAAA8AAAAAAAAAAQAgAAAAIgAAAGRycy9kb3ducmV2LnhtbFBLAQIUABQAAAAIAIdO&#10;4kDlxIZ+sAEAAFEDAAAOAAAAAAAAAAEAIAAAACgBAABkcnMvZTJvRG9jLnhtbFBLBQYAAAAABgAG&#10;AFkBAABKBQAAAAA=&#10;">
                <v:fill on="f" focussize="0,0"/>
                <v:stroke on="f"/>
                <v:imagedata o:title=""/>
                <o:lock v:ext="edit" aspectratio="f"/>
                <v:textbox>
                  <w:txbxContent>
                    <w:p w14:paraId="424E42D6">
                      <w:pPr>
                        <w:rPr>
                          <w:rFonts w:ascii="Times New Roman" w:hAnsi="Times New Roman" w:eastAsia="宋体" w:cs="Times New Roman"/>
                        </w:rPr>
                      </w:pPr>
                      <w:r>
                        <w:rPr>
                          <w:rFonts w:hint="eastAsia" w:ascii="Times New Roman" w:hAnsi="Times New Roman" w:eastAsia="宋体" w:cs="Times New Roman"/>
                        </w:rPr>
                        <w:t>淮河</w:t>
                      </w:r>
                    </w:p>
                  </w:txbxContent>
                </v:textbox>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62688" behindDoc="0" locked="0" layoutInCell="1" allowOverlap="1">
                <wp:simplePos x="0" y="0"/>
                <wp:positionH relativeFrom="column">
                  <wp:posOffset>8379460</wp:posOffset>
                </wp:positionH>
                <wp:positionV relativeFrom="paragraph">
                  <wp:posOffset>5882640</wp:posOffset>
                </wp:positionV>
                <wp:extent cx="477520" cy="354330"/>
                <wp:effectExtent l="0" t="0" r="0" b="0"/>
                <wp:wrapNone/>
                <wp:docPr id="304" name="文本框 304"/>
                <wp:cNvGraphicFramePr/>
                <a:graphic xmlns:a="http://schemas.openxmlformats.org/drawingml/2006/main">
                  <a:graphicData uri="http://schemas.microsoft.com/office/word/2010/wordprocessingShape">
                    <wps:wsp>
                      <wps:cNvSpPr txBox="1"/>
                      <wps:spPr>
                        <a:xfrm>
                          <a:off x="0" y="0"/>
                          <a:ext cx="477520" cy="354330"/>
                        </a:xfrm>
                        <a:prstGeom prst="rect">
                          <a:avLst/>
                        </a:prstGeom>
                        <a:noFill/>
                        <a:ln>
                          <a:noFill/>
                        </a:ln>
                      </wps:spPr>
                      <wps:txbx>
                        <w:txbxContent>
                          <w:p w14:paraId="061E9A15">
                            <w:pPr>
                              <w:rPr>
                                <w:rFonts w:ascii="Times New Roman" w:hAnsi="Times New Roman" w:eastAsia="宋体" w:cs="Times New Roman"/>
                              </w:rPr>
                            </w:pPr>
                            <w:r>
                              <w:rPr>
                                <w:rFonts w:hint="eastAsia" w:ascii="Times New Roman" w:hAnsi="Times New Roman" w:eastAsia="宋体" w:cs="Times New Roman"/>
                              </w:rPr>
                              <w:t>淮河</w:t>
                            </w:r>
                          </w:p>
                        </w:txbxContent>
                      </wps:txbx>
                      <wps:bodyPr upright="1"/>
                    </wps:wsp>
                  </a:graphicData>
                </a:graphic>
              </wp:anchor>
            </w:drawing>
          </mc:Choice>
          <mc:Fallback>
            <w:pict>
              <v:shape id="_x0000_s1026" o:spid="_x0000_s1026" o:spt="202" type="#_x0000_t202" style="position:absolute;left:0pt;margin-left:659.8pt;margin-top:463.2pt;height:27.9pt;width:37.6pt;z-index:251762688;mso-width-relative:page;mso-height-relative:page;" filled="f" stroked="f" coordsize="21600,21600" o:gfxdata="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98WJA&#10;2AAAAA0BAAAPAAAAAAAAAAEAIAAAACIAAABkcnMvZG93bnJldi54bWxQSwECFAAUAAAACACHTuJA&#10;VjGusK8BAABRAwAADgAAAAAAAAABACAAAAAnAQAAZHJzL2Uyb0RvYy54bWxQSwUGAAAAAAYABgBZ&#10;AQAASAUAAAAA&#10;">
                <v:fill on="f" focussize="0,0"/>
                <v:stroke on="f"/>
                <v:imagedata o:title=""/>
                <o:lock v:ext="edit" aspectratio="f"/>
                <v:textbox>
                  <w:txbxContent>
                    <w:p w14:paraId="061E9A15">
                      <w:pPr>
                        <w:rPr>
                          <w:rFonts w:ascii="Times New Roman" w:hAnsi="Times New Roman" w:eastAsia="宋体" w:cs="Times New Roman"/>
                        </w:rPr>
                      </w:pPr>
                      <w:r>
                        <w:rPr>
                          <w:rFonts w:hint="eastAsia" w:ascii="Times New Roman" w:hAnsi="Times New Roman" w:eastAsia="宋体" w:cs="Times New Roman"/>
                        </w:rPr>
                        <w:t>淮河</w:t>
                      </w:r>
                    </w:p>
                  </w:txbxContent>
                </v:textbox>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61664" behindDoc="0" locked="0" layoutInCell="1" allowOverlap="1">
                <wp:simplePos x="0" y="0"/>
                <wp:positionH relativeFrom="column">
                  <wp:posOffset>10835640</wp:posOffset>
                </wp:positionH>
                <wp:positionV relativeFrom="paragraph">
                  <wp:posOffset>4600575</wp:posOffset>
                </wp:positionV>
                <wp:extent cx="477520" cy="354330"/>
                <wp:effectExtent l="0" t="0" r="0" b="0"/>
                <wp:wrapNone/>
                <wp:docPr id="299" name="文本框 299"/>
                <wp:cNvGraphicFramePr/>
                <a:graphic xmlns:a="http://schemas.openxmlformats.org/drawingml/2006/main">
                  <a:graphicData uri="http://schemas.microsoft.com/office/word/2010/wordprocessingShape">
                    <wps:wsp>
                      <wps:cNvSpPr txBox="1"/>
                      <wps:spPr>
                        <a:xfrm>
                          <a:off x="0" y="0"/>
                          <a:ext cx="477520" cy="354330"/>
                        </a:xfrm>
                        <a:prstGeom prst="rect">
                          <a:avLst/>
                        </a:prstGeom>
                        <a:noFill/>
                        <a:ln>
                          <a:noFill/>
                        </a:ln>
                      </wps:spPr>
                      <wps:txbx>
                        <w:txbxContent>
                          <w:p w14:paraId="19100B6C">
                            <w:pPr>
                              <w:rPr>
                                <w:rFonts w:ascii="Times New Roman" w:hAnsi="Times New Roman" w:eastAsia="宋体" w:cs="Times New Roman"/>
                              </w:rPr>
                            </w:pPr>
                            <w:r>
                              <w:rPr>
                                <w:rFonts w:hint="eastAsia" w:ascii="Times New Roman" w:hAnsi="Times New Roman" w:eastAsia="宋体" w:cs="Times New Roman"/>
                              </w:rPr>
                              <w:t>淮河</w:t>
                            </w:r>
                          </w:p>
                        </w:txbxContent>
                      </wps:txbx>
                      <wps:bodyPr upright="1"/>
                    </wps:wsp>
                  </a:graphicData>
                </a:graphic>
              </wp:anchor>
            </w:drawing>
          </mc:Choice>
          <mc:Fallback>
            <w:pict>
              <v:shape id="_x0000_s1026" o:spid="_x0000_s1026" o:spt="202" type="#_x0000_t202" style="position:absolute;left:0pt;margin-left:853.2pt;margin-top:362.25pt;height:27.9pt;width:37.6pt;z-index:251761664;mso-width-relative:page;mso-height-relative:page;" filled="f" stroked="f" coordsize="21600,21600" o:gfxdata="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Mtv&#10;K9kAAAANAQAADwAAAAAAAAABACAAAAAiAAAAZHJzL2Rvd25yZXYueG1sUEsBAhQAFAAAAAgAh07i&#10;QFYJMFmvAQAAUQMAAA4AAAAAAAAAAQAgAAAAKAEAAGRycy9lMm9Eb2MueG1sUEsFBgAAAAAGAAYA&#10;WQEAAEkFAAAAAA==&#10;">
                <v:fill on="f" focussize="0,0"/>
                <v:stroke on="f"/>
                <v:imagedata o:title=""/>
                <o:lock v:ext="edit" aspectratio="f"/>
                <v:textbox>
                  <w:txbxContent>
                    <w:p w14:paraId="19100B6C">
                      <w:pPr>
                        <w:rPr>
                          <w:rFonts w:ascii="Times New Roman" w:hAnsi="Times New Roman" w:eastAsia="宋体" w:cs="Times New Roman"/>
                        </w:rPr>
                      </w:pPr>
                      <w:r>
                        <w:rPr>
                          <w:rFonts w:hint="eastAsia" w:ascii="Times New Roman" w:hAnsi="Times New Roman" w:eastAsia="宋体" w:cs="Times New Roman"/>
                        </w:rPr>
                        <w:t>淮河</w:t>
                      </w:r>
                    </w:p>
                  </w:txbxContent>
                </v:textbox>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60640" behindDoc="0" locked="0" layoutInCell="1" allowOverlap="1">
                <wp:simplePos x="0" y="0"/>
                <wp:positionH relativeFrom="column">
                  <wp:posOffset>3138805</wp:posOffset>
                </wp:positionH>
                <wp:positionV relativeFrom="paragraph">
                  <wp:posOffset>4395470</wp:posOffset>
                </wp:positionV>
                <wp:extent cx="477520" cy="354330"/>
                <wp:effectExtent l="0" t="0" r="0" b="0"/>
                <wp:wrapNone/>
                <wp:docPr id="305" name="文本框 305"/>
                <wp:cNvGraphicFramePr/>
                <a:graphic xmlns:a="http://schemas.openxmlformats.org/drawingml/2006/main">
                  <a:graphicData uri="http://schemas.microsoft.com/office/word/2010/wordprocessingShape">
                    <wps:wsp>
                      <wps:cNvSpPr txBox="1"/>
                      <wps:spPr>
                        <a:xfrm>
                          <a:off x="0" y="0"/>
                          <a:ext cx="477520" cy="354330"/>
                        </a:xfrm>
                        <a:prstGeom prst="rect">
                          <a:avLst/>
                        </a:prstGeom>
                        <a:noFill/>
                        <a:ln>
                          <a:noFill/>
                        </a:ln>
                      </wps:spPr>
                      <wps:txbx>
                        <w:txbxContent>
                          <w:p w14:paraId="2576CB4D">
                            <w:pPr>
                              <w:rPr>
                                <w:rFonts w:ascii="Times New Roman" w:hAnsi="Times New Roman" w:eastAsia="宋体" w:cs="Times New Roman"/>
                              </w:rPr>
                            </w:pPr>
                            <w:r>
                              <w:rPr>
                                <w:rFonts w:hint="eastAsia" w:ascii="Times New Roman" w:hAnsi="Times New Roman" w:eastAsia="宋体" w:cs="Times New Roman"/>
                              </w:rPr>
                              <w:t>淮河</w:t>
                            </w:r>
                          </w:p>
                        </w:txbxContent>
                      </wps:txbx>
                      <wps:bodyPr upright="1"/>
                    </wps:wsp>
                  </a:graphicData>
                </a:graphic>
              </wp:anchor>
            </w:drawing>
          </mc:Choice>
          <mc:Fallback>
            <w:pict>
              <v:shape id="_x0000_s1026" o:spid="_x0000_s1026" o:spt="202" type="#_x0000_t202" style="position:absolute;left:0pt;margin-left:247.15pt;margin-top:346.1pt;height:27.9pt;width:37.6pt;z-index:251760640;mso-width-relative:page;mso-height-relative:page;" filled="f" stroked="f" coordsize="21600,21600" o:gfxdata="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L3F2&#10;FtkAAAALAQAADwAAAAAAAAABACAAAAAiAAAAZHJzL2Rvd25yZXYueG1sUEsBAhQAFAAAAAgAh07i&#10;QHXI0BivAQAAUQMAAA4AAAAAAAAAAQAgAAAAKAEAAGRycy9lMm9Eb2MueG1sUEsFBgAAAAAGAAYA&#10;WQEAAEkFAAAAAA==&#10;">
                <v:fill on="f" focussize="0,0"/>
                <v:stroke on="f"/>
                <v:imagedata o:title=""/>
                <o:lock v:ext="edit" aspectratio="f"/>
                <v:textbox>
                  <w:txbxContent>
                    <w:p w14:paraId="2576CB4D">
                      <w:pPr>
                        <w:rPr>
                          <w:rFonts w:ascii="Times New Roman" w:hAnsi="Times New Roman" w:eastAsia="宋体" w:cs="Times New Roman"/>
                        </w:rPr>
                      </w:pPr>
                      <w:r>
                        <w:rPr>
                          <w:rFonts w:hint="eastAsia" w:ascii="Times New Roman" w:hAnsi="Times New Roman" w:eastAsia="宋体" w:cs="Times New Roman"/>
                        </w:rPr>
                        <w:t>淮河</w:t>
                      </w:r>
                    </w:p>
                  </w:txbxContent>
                </v:textbox>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58592" behindDoc="0" locked="0" layoutInCell="1" allowOverlap="1">
                <wp:simplePos x="0" y="0"/>
                <wp:positionH relativeFrom="column">
                  <wp:posOffset>7533640</wp:posOffset>
                </wp:positionH>
                <wp:positionV relativeFrom="paragraph">
                  <wp:posOffset>3072765</wp:posOffset>
                </wp:positionV>
                <wp:extent cx="1132840" cy="292735"/>
                <wp:effectExtent l="0" t="0" r="0" b="0"/>
                <wp:wrapNone/>
                <wp:docPr id="291" name="文本框 291"/>
                <wp:cNvGraphicFramePr/>
                <a:graphic xmlns:a="http://schemas.openxmlformats.org/drawingml/2006/main">
                  <a:graphicData uri="http://schemas.microsoft.com/office/word/2010/wordprocessingShape">
                    <wps:wsp>
                      <wps:cNvSpPr txBox="1"/>
                      <wps:spPr>
                        <a:xfrm>
                          <a:off x="0" y="0"/>
                          <a:ext cx="1132840" cy="292735"/>
                        </a:xfrm>
                        <a:prstGeom prst="rect">
                          <a:avLst/>
                        </a:prstGeom>
                        <a:noFill/>
                        <a:ln>
                          <a:noFill/>
                        </a:ln>
                      </wps:spPr>
                      <wps:txbx>
                        <w:txbxContent>
                          <w:p w14:paraId="6E5924D9">
                            <w:pPr>
                              <w:rPr>
                                <w:rFonts w:ascii="Times New Roman" w:hAnsi="Times New Roman" w:eastAsia="宋体" w:cs="Times New Roman"/>
                              </w:rPr>
                            </w:pPr>
                            <w:r>
                              <w:rPr>
                                <w:rFonts w:hint="eastAsia" w:ascii="Times New Roman" w:hAnsi="Times New Roman" w:eastAsia="宋体" w:cs="Times New Roman"/>
                              </w:rPr>
                              <w:t>预留固定吊机</w:t>
                            </w:r>
                          </w:p>
                        </w:txbxContent>
                      </wps:txbx>
                      <wps:bodyPr upright="1"/>
                    </wps:wsp>
                  </a:graphicData>
                </a:graphic>
              </wp:anchor>
            </w:drawing>
          </mc:Choice>
          <mc:Fallback>
            <w:pict>
              <v:shape id="_x0000_s1026" o:spid="_x0000_s1026" o:spt="202" type="#_x0000_t202" style="position:absolute;left:0pt;margin-left:593.2pt;margin-top:241.95pt;height:23.05pt;width:89.2pt;z-index:251758592;mso-width-relative:page;mso-height-relative:page;" filled="f" stroked="f" coordsize="21600,21600" o:gfxdata="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VtyqD&#10;2AAAAA0BAAAPAAAAAAAAAAEAIAAAACIAAABkcnMvZG93bnJldi54bWxQSwECFAAUAAAACACHTuJA&#10;xcToFa8BAABSAwAADgAAAAAAAAABACAAAAAnAQAAZHJzL2Uyb0RvYy54bWxQSwUGAAAAAAYABgBZ&#10;AQAASAUAAAAA&#10;">
                <v:fill on="f" focussize="0,0"/>
                <v:stroke on="f"/>
                <v:imagedata o:title=""/>
                <o:lock v:ext="edit" aspectratio="f"/>
                <v:textbox>
                  <w:txbxContent>
                    <w:p w14:paraId="6E5924D9">
                      <w:pPr>
                        <w:rPr>
                          <w:rFonts w:ascii="Times New Roman" w:hAnsi="Times New Roman" w:eastAsia="宋体" w:cs="Times New Roman"/>
                        </w:rPr>
                      </w:pPr>
                      <w:r>
                        <w:rPr>
                          <w:rFonts w:hint="eastAsia" w:ascii="Times New Roman" w:hAnsi="Times New Roman" w:eastAsia="宋体" w:cs="Times New Roman"/>
                        </w:rPr>
                        <w:t>预留固定吊机</w:t>
                      </w:r>
                    </w:p>
                  </w:txbxContent>
                </v:textbox>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56544" behindDoc="0" locked="0" layoutInCell="1" allowOverlap="1">
                <wp:simplePos x="0" y="0"/>
                <wp:positionH relativeFrom="column">
                  <wp:posOffset>5090795</wp:posOffset>
                </wp:positionH>
                <wp:positionV relativeFrom="paragraph">
                  <wp:posOffset>3494405</wp:posOffset>
                </wp:positionV>
                <wp:extent cx="818515" cy="231775"/>
                <wp:effectExtent l="1270" t="4445" r="18415" b="30480"/>
                <wp:wrapNone/>
                <wp:docPr id="292" name="直接箭头连接符 292"/>
                <wp:cNvGraphicFramePr/>
                <a:graphic xmlns:a="http://schemas.openxmlformats.org/drawingml/2006/main">
                  <a:graphicData uri="http://schemas.microsoft.com/office/word/2010/wordprocessingShape">
                    <wps:wsp>
                      <wps:cNvCnPr/>
                      <wps:spPr>
                        <a:xfrm>
                          <a:off x="0" y="0"/>
                          <a:ext cx="818515" cy="2317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400.85pt;margin-top:275.15pt;height:18.25pt;width:64.45pt;z-index:251756544;mso-width-relative:page;mso-height-relative:page;" filled="f" stroked="t" coordsize="21600,21600" o:gfxdata="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R4cxS2wAAAAsBAAAPAAAAAAAAAAEAIAAA&#10;ACIAAABkcnMvZG93bnJldi54bWxQSwECFAAUAAAACACHTuJAGOf/GQkCAAD4AwAADgAAAAAAAAAB&#10;ACAAAAAqAQAAZHJzL2Uyb0RvYy54bWxQSwUGAAAAAAYABgBZAQAApQUAAAAA&#10;">
                <v:fill on="f" focussize="0,0"/>
                <v:stroke color="#000000" joinstyle="round" endarrow="block"/>
                <v:imagedata o:title=""/>
                <o:lock v:ext="edit" aspectratio="f"/>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52448" behindDoc="0" locked="0" layoutInCell="1" allowOverlap="1">
                <wp:simplePos x="0" y="0"/>
                <wp:positionH relativeFrom="column">
                  <wp:posOffset>5758815</wp:posOffset>
                </wp:positionH>
                <wp:positionV relativeFrom="paragraph">
                  <wp:posOffset>3293745</wp:posOffset>
                </wp:positionV>
                <wp:extent cx="78105" cy="71755"/>
                <wp:effectExtent l="5080" t="4445" r="12065" b="19050"/>
                <wp:wrapNone/>
                <wp:docPr id="295" name="矩形 295"/>
                <wp:cNvGraphicFramePr/>
                <a:graphic xmlns:a="http://schemas.openxmlformats.org/drawingml/2006/main">
                  <a:graphicData uri="http://schemas.microsoft.com/office/word/2010/wordprocessingShape">
                    <wps:wsp>
                      <wps:cNvSpPr/>
                      <wps:spPr>
                        <a:xfrm>
                          <a:off x="0" y="0"/>
                          <a:ext cx="78105" cy="71755"/>
                        </a:xfrm>
                        <a:prstGeom prst="rect">
                          <a:avLst/>
                        </a:prstGeom>
                        <a:noFill/>
                        <a:ln w="9525" cap="flat" cmpd="sng">
                          <a:solidFill>
                            <a:srgbClr val="0000FF"/>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453.45pt;margin-top:259.35pt;height:5.65pt;width:6.15pt;z-index:251752448;mso-width-relative:page;mso-height-relative:page;" filled="f" stroked="t" coordsize="21600,21600" o:gfxdata="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vbH96tkAAAALAQAADwAAAAAAAAABACAAAAAiAAAAZHJzL2Rvd25yZXYueG1s&#10;UEsBAhQAFAAAAAgAh07iQCs5LMT3AQAA9gMAAA4AAAAAAAAAAQAgAAAAKAEAAGRycy9lMm9Eb2Mu&#10;eG1sUEsFBgAAAAAGAAYAWQEAAJEFAAAAAA==&#10;">
                <v:fill on="f" focussize="0,0"/>
                <v:stroke color="#0000FF" joinstyle="miter"/>
                <v:imagedata o:title=""/>
                <o:lock v:ext="edit" aspectratio="f"/>
              </v:rect>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53472" behindDoc="0" locked="0" layoutInCell="1" allowOverlap="1">
                <wp:simplePos x="0" y="0"/>
                <wp:positionH relativeFrom="column">
                  <wp:posOffset>5414010</wp:posOffset>
                </wp:positionH>
                <wp:positionV relativeFrom="paragraph">
                  <wp:posOffset>2902585</wp:posOffset>
                </wp:positionV>
                <wp:extent cx="344805" cy="405130"/>
                <wp:effectExtent l="3810" t="3175" r="13335" b="10795"/>
                <wp:wrapNone/>
                <wp:docPr id="296" name="直接箭头连接符 296"/>
                <wp:cNvGraphicFramePr/>
                <a:graphic xmlns:a="http://schemas.openxmlformats.org/drawingml/2006/main">
                  <a:graphicData uri="http://schemas.microsoft.com/office/word/2010/wordprocessingShape">
                    <wps:wsp>
                      <wps:cNvCnPr/>
                      <wps:spPr>
                        <a:xfrm>
                          <a:off x="0" y="0"/>
                          <a:ext cx="344805" cy="4051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426.3pt;margin-top:228.55pt;height:31.9pt;width:27.15pt;z-index:251753472;mso-width-relative:page;mso-height-relative:page;" filled="f" stroked="t" coordsize="21600,21600" o:gfxdata="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KYTkcNwAAAALAQAADwAAAAAAAAAB&#10;ACAAAAAiAAAAZHJzL2Rvd25yZXYueG1sUEsBAhQAFAAAAAgAh07iQJCHQG0MAgAA+AMAAA4AAAAA&#10;AAAAAQAgAAAAKwEAAGRycy9lMm9Eb2MueG1sUEsFBgAAAAAGAAYAWQEAAKkFAAAAAA==&#10;">
                <v:fill on="f" focussize="0,0"/>
                <v:stroke color="#000000" joinstyle="round" endarrow="block"/>
                <v:imagedata o:title=""/>
                <o:lock v:ext="edit" aspectratio="f"/>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54496" behindDoc="0" locked="0" layoutInCell="1" allowOverlap="1">
                <wp:simplePos x="0" y="0"/>
                <wp:positionH relativeFrom="column">
                  <wp:posOffset>4810760</wp:posOffset>
                </wp:positionH>
                <wp:positionV relativeFrom="paragraph">
                  <wp:posOffset>2661920</wp:posOffset>
                </wp:positionV>
                <wp:extent cx="1026160" cy="293370"/>
                <wp:effectExtent l="0" t="0" r="0" b="0"/>
                <wp:wrapNone/>
                <wp:docPr id="300" name="文本框 300"/>
                <wp:cNvGraphicFramePr/>
                <a:graphic xmlns:a="http://schemas.openxmlformats.org/drawingml/2006/main">
                  <a:graphicData uri="http://schemas.microsoft.com/office/word/2010/wordprocessingShape">
                    <wps:wsp>
                      <wps:cNvSpPr txBox="1"/>
                      <wps:spPr>
                        <a:xfrm>
                          <a:off x="0" y="0"/>
                          <a:ext cx="1026160" cy="293370"/>
                        </a:xfrm>
                        <a:prstGeom prst="rect">
                          <a:avLst/>
                        </a:prstGeom>
                        <a:noFill/>
                        <a:ln>
                          <a:noFill/>
                        </a:ln>
                      </wps:spPr>
                      <wps:txbx>
                        <w:txbxContent>
                          <w:p w14:paraId="013124AF">
                            <w:pPr>
                              <w:rPr>
                                <w:rFonts w:hint="eastAsia" w:ascii="Times New Roman" w:hAnsi="Times New Roman" w:eastAsia="宋体" w:cs="Times New Roman"/>
                              </w:rPr>
                            </w:pPr>
                            <w:r>
                              <w:rPr>
                                <w:rFonts w:hint="eastAsia" w:ascii="Times New Roman" w:hAnsi="Times New Roman" w:eastAsia="宋体" w:cs="Times New Roman"/>
                              </w:rPr>
                              <w:t>危废暂存间</w:t>
                            </w:r>
                          </w:p>
                        </w:txbxContent>
                      </wps:txbx>
                      <wps:bodyPr upright="1"/>
                    </wps:wsp>
                  </a:graphicData>
                </a:graphic>
              </wp:anchor>
            </w:drawing>
          </mc:Choice>
          <mc:Fallback>
            <w:pict>
              <v:shape id="_x0000_s1026" o:spid="_x0000_s1026" o:spt="202" type="#_x0000_t202" style="position:absolute;left:0pt;margin-left:378.8pt;margin-top:209.6pt;height:23.1pt;width:80.8pt;z-index:251754496;mso-width-relative:page;mso-height-relative:page;" filled="f" stroked="f" coordsize="21600,21600" o:gfxdata="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26xnZdcA&#10;AAALAQAADwAAAAAAAAABACAAAAAiAAAAZHJzL2Rvd25yZXYueG1sUEsBAhQAFAAAAAgAh07iQEco&#10;l4+uAQAAUgMAAA4AAAAAAAAAAQAgAAAAJgEAAGRycy9lMm9Eb2MueG1sUEsFBgAAAAAGAAYAWQEA&#10;AEYFAAAAAA==&#10;">
                <v:fill on="f" focussize="0,0"/>
                <v:stroke on="f"/>
                <v:imagedata o:title=""/>
                <o:lock v:ext="edit" aspectratio="f"/>
                <v:textbox>
                  <w:txbxContent>
                    <w:p w14:paraId="013124AF">
                      <w:pPr>
                        <w:rPr>
                          <w:rFonts w:hint="eastAsia" w:ascii="Times New Roman" w:hAnsi="Times New Roman" w:eastAsia="宋体" w:cs="Times New Roman"/>
                        </w:rPr>
                      </w:pPr>
                      <w:r>
                        <w:rPr>
                          <w:rFonts w:hint="eastAsia" w:ascii="Times New Roman" w:hAnsi="Times New Roman" w:eastAsia="宋体" w:cs="Times New Roman"/>
                        </w:rPr>
                        <w:t>危废暂存间</w:t>
                      </w:r>
                    </w:p>
                  </w:txbxContent>
                </v:textbox>
              </v:shape>
            </w:pict>
          </mc:Fallback>
        </mc:AlternateContent>
      </w:r>
      <w:r>
        <w:rPr>
          <w:rFonts w:ascii="Times New Roman" w:hAnsi="Times New Roman" w:eastAsia="宋体" w:cs="Times New Roman"/>
          <w:color w:val="auto"/>
        </w:rPr>
        <w:drawing>
          <wp:inline distT="0" distB="0" distL="114300" distR="114300">
            <wp:extent cx="11485880" cy="8228330"/>
            <wp:effectExtent l="0" t="0" r="1270" b="1270"/>
            <wp:docPr id="30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38"/>
                    <pic:cNvPicPr>
                      <a:picLocks noChangeAspect="1"/>
                    </pic:cNvPicPr>
                  </pic:nvPicPr>
                  <pic:blipFill>
                    <a:blip r:embed="rId47"/>
                    <a:stretch>
                      <a:fillRect/>
                    </a:stretch>
                  </pic:blipFill>
                  <pic:spPr>
                    <a:xfrm>
                      <a:off x="0" y="0"/>
                      <a:ext cx="11485880" cy="8228330"/>
                    </a:xfrm>
                    <a:prstGeom prst="rect">
                      <a:avLst/>
                    </a:prstGeom>
                    <a:noFill/>
                    <a:ln>
                      <a:noFill/>
                    </a:ln>
                  </pic:spPr>
                </pic:pic>
              </a:graphicData>
            </a:graphic>
          </wp:inline>
        </w:drawing>
      </w:r>
    </w:p>
    <w:p w14:paraId="5F2907D2">
      <w:pPr>
        <w:spacing w:line="360" w:lineRule="auto"/>
        <w:ind w:firstLine="480"/>
        <w:jc w:val="center"/>
        <w:rPr>
          <w:rFonts w:eastAsia="黑体"/>
          <w:color w:val="auto"/>
          <w:sz w:val="24"/>
        </w:rPr>
        <w:sectPr>
          <w:pgSz w:w="23811" w:h="16838" w:orient="landscape"/>
          <w:pgMar w:top="1418" w:right="1440" w:bottom="1418" w:left="1440" w:header="851" w:footer="850" w:gutter="0"/>
          <w:pgBorders>
            <w:top w:val="none" w:sz="0" w:space="0"/>
            <w:left w:val="none" w:sz="0" w:space="0"/>
            <w:bottom w:val="none" w:sz="0" w:space="0"/>
            <w:right w:val="none" w:sz="0" w:space="0"/>
          </w:pgBorders>
          <w:cols w:space="720" w:num="1"/>
          <w:docGrid w:type="linesAndChars" w:linePitch="312" w:charSpace="0"/>
        </w:sectPr>
      </w:pPr>
      <w:r>
        <w:rPr>
          <w:rFonts w:ascii="Times New Roman" w:hAnsi="Times New Roman" w:eastAsia="黑体" w:cs="Times New Roman"/>
          <w:color w:val="auto"/>
          <w:sz w:val="24"/>
        </w:rPr>
        <w:t>图3.2-2  本项目总平面布置</w:t>
      </w:r>
      <w:r>
        <w:rPr>
          <w:rFonts w:hint="eastAsia" w:ascii="Times New Roman" w:hAnsi="Times New Roman" w:eastAsia="黑体" w:cs="Times New Roman"/>
          <w:color w:val="auto"/>
          <w:sz w:val="24"/>
        </w:rPr>
        <w:t>图</w:t>
      </w:r>
    </w:p>
    <w:p w14:paraId="663E6392">
      <w:pPr>
        <w:keepNext/>
        <w:keepLines/>
        <w:widowControl w:val="0"/>
        <w:numPr>
          <w:ilvl w:val="2"/>
          <w:numId w:val="0"/>
        </w:numPr>
        <w:spacing w:line="360" w:lineRule="auto"/>
        <w:jc w:val="both"/>
        <w:outlineLvl w:val="2"/>
        <w:rPr>
          <w:rFonts w:hint="eastAsia"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3.2.6码头</w:t>
      </w:r>
      <w:r>
        <w:rPr>
          <w:rFonts w:ascii="Times New Roman" w:hAnsi="Times New Roman" w:eastAsia="黑体" w:cs="Times New Roman"/>
          <w:bCs/>
          <w:color w:val="auto"/>
          <w:kern w:val="2"/>
          <w:sz w:val="28"/>
          <w:szCs w:val="32"/>
          <w:lang w:val="en-US" w:eastAsia="zh-CN" w:bidi="ar-SA"/>
        </w:rPr>
        <w:t>主要建设内容</w:t>
      </w:r>
    </w:p>
    <w:p w14:paraId="401010CF">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3.2.6.1码头泊位</w:t>
      </w:r>
    </w:p>
    <w:p w14:paraId="4F0FB633">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rPr>
        <w:t>1</w:t>
      </w:r>
      <w:r>
        <w:rPr>
          <w:rFonts w:ascii="Times New Roman" w:hAnsi="Times New Roman" w:eastAsia="宋体" w:cs="Times New Roman"/>
          <w:color w:val="auto"/>
          <w:sz w:val="24"/>
          <w:szCs w:val="24"/>
        </w:rPr>
        <w:t>）泊位长度</w:t>
      </w:r>
    </w:p>
    <w:p w14:paraId="7F717964">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本项目按同时靠泊2艘1000吨级货船计算泊位长度。</w:t>
      </w:r>
    </w:p>
    <w:p w14:paraId="53CD0FF3">
      <w:pPr>
        <w:widowControl w:val="0"/>
        <w:spacing w:line="360" w:lineRule="auto"/>
        <w:ind w:firstLine="480" w:firstLineChars="200"/>
        <w:jc w:val="both"/>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kern w:val="2"/>
          <w:sz w:val="24"/>
          <w:szCs w:val="21"/>
          <w:lang w:val="en-US" w:eastAsia="zh-CN" w:bidi="ar-SA"/>
        </w:rPr>
        <w:t>端部泊位：L+0.5d+1.5d（端部折角）</w:t>
      </w:r>
    </w:p>
    <w:p w14:paraId="2426E46F">
      <w:pPr>
        <w:widowControl w:val="0"/>
        <w:spacing w:line="360" w:lineRule="auto"/>
        <w:ind w:firstLine="480" w:firstLineChars="200"/>
        <w:jc w:val="both"/>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kern w:val="2"/>
          <w:sz w:val="24"/>
          <w:szCs w:val="21"/>
          <w:lang w:val="en-US" w:eastAsia="zh-CN" w:bidi="ar-SA"/>
        </w:rPr>
        <w:t>L—设计船型长度，取设计船型较大值L=60m；</w:t>
      </w:r>
    </w:p>
    <w:p w14:paraId="094BEEF4">
      <w:pPr>
        <w:widowControl w:val="0"/>
        <w:spacing w:line="360" w:lineRule="auto"/>
        <w:ind w:firstLine="480" w:firstLineChars="200"/>
        <w:jc w:val="both"/>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kern w:val="2"/>
          <w:sz w:val="24"/>
          <w:szCs w:val="21"/>
          <w:lang w:val="en-US" w:eastAsia="zh-CN" w:bidi="ar-SA"/>
        </w:rPr>
        <w:t>d—泊位</w:t>
      </w:r>
      <w:r>
        <w:rPr>
          <w:rFonts w:hint="eastAsia" w:cs="Times New Roman"/>
          <w:color w:val="auto"/>
          <w:kern w:val="2"/>
          <w:sz w:val="24"/>
          <w:szCs w:val="21"/>
          <w:lang w:val="en-US" w:eastAsia="zh-CN" w:bidi="ar-SA"/>
        </w:rPr>
        <w:t>富余</w:t>
      </w:r>
      <w:r>
        <w:rPr>
          <w:rFonts w:hint="eastAsia" w:ascii="Times New Roman" w:hAnsi="Times New Roman" w:eastAsia="宋体" w:cs="Times New Roman"/>
          <w:color w:val="auto"/>
          <w:kern w:val="2"/>
          <w:sz w:val="24"/>
          <w:szCs w:val="21"/>
          <w:lang w:val="en-US" w:eastAsia="zh-CN" w:bidi="ar-SA"/>
        </w:rPr>
        <w:t>长度，直立式码头d=10m；</w:t>
      </w:r>
    </w:p>
    <w:p w14:paraId="00757EE6">
      <w:pPr>
        <w:widowControl w:val="0"/>
        <w:spacing w:line="360" w:lineRule="auto"/>
        <w:ind w:firstLine="480" w:firstLineChars="200"/>
        <w:jc w:val="both"/>
        <w:rPr>
          <w:rFonts w:hint="eastAsia" w:ascii="Times New Roman" w:hAnsi="Times New Roman" w:eastAsia="宋体" w:cs="Times New Roman"/>
          <w:color w:val="auto"/>
          <w:kern w:val="2"/>
          <w:sz w:val="24"/>
          <w:szCs w:val="21"/>
          <w:lang w:val="en-US" w:eastAsia="zh-CN" w:bidi="ar-SA"/>
        </w:rPr>
      </w:pPr>
      <w:r>
        <w:rPr>
          <w:rFonts w:hint="eastAsia" w:ascii="Times New Roman" w:hAnsi="Times New Roman" w:eastAsia="宋体" w:cs="Times New Roman"/>
          <w:color w:val="auto"/>
          <w:kern w:val="2"/>
          <w:sz w:val="24"/>
          <w:szCs w:val="21"/>
          <w:lang w:val="en-US" w:eastAsia="zh-CN" w:bidi="ar-SA"/>
        </w:rPr>
        <w:t>1#～2#通用散货泊位：</w:t>
      </w:r>
    </w:p>
    <w:p w14:paraId="621C145D">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Lb=2L+3d=2×60+4×10=160m，两个泊位取160m。</w:t>
      </w:r>
    </w:p>
    <w:p w14:paraId="612C8770">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2</w:t>
      </w:r>
      <w:r>
        <w:rPr>
          <w:rFonts w:ascii="Times New Roman" w:hAnsi="Times New Roman" w:eastAsia="宋体" w:cs="Times New Roman"/>
          <w:color w:val="auto"/>
          <w:sz w:val="24"/>
        </w:rPr>
        <w:t>）码头</w:t>
      </w:r>
      <w:r>
        <w:rPr>
          <w:rFonts w:hint="eastAsia" w:ascii="Times New Roman" w:hAnsi="Times New Roman" w:eastAsia="宋体" w:cs="Times New Roman"/>
          <w:color w:val="auto"/>
          <w:sz w:val="24"/>
        </w:rPr>
        <w:t>平台</w:t>
      </w:r>
    </w:p>
    <w:p w14:paraId="718CE677">
      <w:pPr>
        <w:widowControl w:val="0"/>
        <w:spacing w:line="360" w:lineRule="auto"/>
        <w:ind w:firstLine="480" w:firstLineChars="200"/>
        <w:jc w:val="both"/>
        <w:rPr>
          <w:rFonts w:ascii="宋体" w:hAnsi="宋体" w:eastAsia="宋体" w:cs="Times New Roman"/>
          <w:color w:val="auto"/>
          <w:kern w:val="2"/>
          <w:sz w:val="24"/>
          <w:szCs w:val="28"/>
          <w:lang w:val="en-US" w:eastAsia="zh-CN" w:bidi="ar-SA"/>
        </w:rPr>
      </w:pPr>
      <w:r>
        <w:rPr>
          <w:rFonts w:hint="eastAsia" w:ascii="Times New Roman" w:hAnsi="Times New Roman" w:eastAsia="宋体" w:cs="Times New Roman"/>
          <w:color w:val="auto"/>
          <w:kern w:val="2"/>
          <w:sz w:val="24"/>
          <w:szCs w:val="21"/>
          <w:lang w:val="en-US" w:eastAsia="zh-CN" w:bidi="ar-SA"/>
        </w:rPr>
        <w:t>因码头采用挖入式港池，码头平台的长度与泊位长度一致取130m；根据码头装卸工艺要求，前方作业带宽度取15m，与河滩地衔接段斜坡道路长度取15m。</w:t>
      </w:r>
    </w:p>
    <w:p w14:paraId="4422AA44">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（3）码头前沿停泊水域宽度</w:t>
      </w:r>
    </w:p>
    <w:p w14:paraId="3DE3A62C">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w:t>
      </w:r>
      <w:r>
        <w:rPr>
          <w:rFonts w:hint="eastAsia" w:cs="Times New Roman"/>
          <w:color w:val="auto"/>
          <w:sz w:val="24"/>
          <w:lang w:eastAsia="zh-CN"/>
        </w:rPr>
        <w:t>河港总体设计规范</w:t>
      </w:r>
      <w:r>
        <w:rPr>
          <w:rFonts w:hint="eastAsia" w:ascii="Times New Roman" w:hAnsi="Times New Roman" w:eastAsia="宋体" w:cs="Times New Roman"/>
          <w:color w:val="auto"/>
          <w:sz w:val="24"/>
        </w:rPr>
        <w:t>》</w:t>
      </w:r>
      <w:r>
        <w:rPr>
          <w:rFonts w:hint="eastAsia" w:cs="Times New Roman"/>
          <w:color w:val="auto"/>
          <w:sz w:val="24"/>
          <w:lang w:eastAsia="zh-CN"/>
        </w:rPr>
        <w:t>（JTS 166-2020</w:t>
      </w:r>
      <w:r>
        <w:rPr>
          <w:rFonts w:hint="eastAsia" w:ascii="Times New Roman" w:hAnsi="Times New Roman" w:eastAsia="宋体" w:cs="Times New Roman"/>
          <w:color w:val="auto"/>
          <w:sz w:val="24"/>
        </w:rPr>
        <w:t>)，码头前停泊水域不应占用主航道。码头前停泊水域宽度按下表确定：</w:t>
      </w:r>
    </w:p>
    <w:p w14:paraId="4A8A83B1">
      <w:pPr>
        <w:spacing w:line="400" w:lineRule="exact"/>
        <w:jc w:val="center"/>
        <w:rPr>
          <w:rFonts w:hint="eastAsia" w:ascii="Times New Roman" w:hAnsi="Times New Roman" w:eastAsia="黑体" w:cs="Times New Roman"/>
          <w:color w:val="auto"/>
          <w:sz w:val="24"/>
        </w:rPr>
      </w:pPr>
      <w:r>
        <w:rPr>
          <w:rFonts w:hint="eastAsia" w:ascii="Times New Roman" w:hAnsi="Times New Roman" w:eastAsia="黑体" w:cs="Times New Roman"/>
          <w:color w:val="auto"/>
          <w:sz w:val="24"/>
        </w:rPr>
        <w:t>表3.2-5  码头前停泊水域宽度</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43"/>
        <w:gridCol w:w="4644"/>
      </w:tblGrid>
      <w:tr w14:paraId="7F734D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643" w:type="dxa"/>
            <w:noWrap w:val="0"/>
            <w:vAlign w:val="center"/>
          </w:tcPr>
          <w:p w14:paraId="152ADB00">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bCs/>
                <w:color w:val="auto"/>
                <w:kern w:val="0"/>
              </w:rPr>
            </w:pPr>
            <w:r>
              <w:rPr>
                <w:rFonts w:hint="eastAsia" w:ascii="Times New Roman" w:hAnsi="Times New Roman" w:eastAsia="宋体" w:cs="Times New Roman"/>
                <w:b/>
                <w:bCs/>
                <w:color w:val="auto"/>
                <w:kern w:val="0"/>
              </w:rPr>
              <w:t>水流情况</w:t>
            </w:r>
          </w:p>
        </w:tc>
        <w:tc>
          <w:tcPr>
            <w:tcW w:w="4644" w:type="dxa"/>
            <w:noWrap w:val="0"/>
            <w:vAlign w:val="center"/>
          </w:tcPr>
          <w:p w14:paraId="7CA2E2FB">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bCs/>
                <w:color w:val="auto"/>
                <w:kern w:val="0"/>
              </w:rPr>
            </w:pPr>
            <w:r>
              <w:rPr>
                <w:rFonts w:hint="eastAsia" w:ascii="Times New Roman" w:hAnsi="Times New Roman" w:eastAsia="宋体" w:cs="Times New Roman"/>
                <w:b/>
                <w:bCs/>
                <w:color w:val="auto"/>
                <w:kern w:val="0"/>
              </w:rPr>
              <w:t>停泊水域宽度</w:t>
            </w:r>
          </w:p>
        </w:tc>
      </w:tr>
      <w:tr w14:paraId="246DA7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643" w:type="dxa"/>
            <w:noWrap w:val="0"/>
            <w:vAlign w:val="center"/>
          </w:tcPr>
          <w:p w14:paraId="4E78B036">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水流平缓</w:t>
            </w:r>
          </w:p>
        </w:tc>
        <w:tc>
          <w:tcPr>
            <w:tcW w:w="4644" w:type="dxa"/>
            <w:noWrap w:val="0"/>
            <w:vAlign w:val="center"/>
          </w:tcPr>
          <w:p w14:paraId="5306D044">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2B</w:t>
            </w:r>
          </w:p>
        </w:tc>
      </w:tr>
      <w:tr w14:paraId="74A5A3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643" w:type="dxa"/>
            <w:noWrap w:val="0"/>
            <w:vAlign w:val="center"/>
          </w:tcPr>
          <w:p w14:paraId="271DEE7B">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水流较急</w:t>
            </w:r>
          </w:p>
        </w:tc>
        <w:tc>
          <w:tcPr>
            <w:tcW w:w="4644" w:type="dxa"/>
            <w:noWrap w:val="0"/>
            <w:vAlign w:val="center"/>
          </w:tcPr>
          <w:p w14:paraId="5305537A">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2.5B</w:t>
            </w:r>
          </w:p>
        </w:tc>
      </w:tr>
      <w:tr w14:paraId="5195DA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9287" w:type="dxa"/>
            <w:gridSpan w:val="2"/>
            <w:noWrap w:val="0"/>
            <w:vAlign w:val="center"/>
          </w:tcPr>
          <w:p w14:paraId="63C8C052">
            <w:pPr>
              <w:keepNext w:val="0"/>
              <w:keepLines w:val="0"/>
              <w:suppressLineNumbers w:val="0"/>
              <w:spacing w:before="0" w:beforeAutospacing="0" w:after="0" w:afterAutospacing="0" w:line="300" w:lineRule="exact"/>
              <w:ind w:left="0" w:right="0"/>
              <w:jc w:val="left"/>
              <w:rPr>
                <w:rFonts w:hint="eastAsia" w:ascii="Times New Roman" w:hAnsi="Times New Roman" w:eastAsia="宋体" w:cs="Times New Roman"/>
                <w:color w:val="auto"/>
                <w:kern w:val="0"/>
              </w:rPr>
            </w:pPr>
            <w:r>
              <w:rPr>
                <w:rFonts w:hint="eastAsia" w:ascii="Times New Roman" w:hAnsi="Times New Roman" w:eastAsia="宋体" w:cs="Times New Roman"/>
                <w:color w:val="auto"/>
                <w:kern w:val="0"/>
              </w:rPr>
              <w:t>注：B--设计船型宽度。</w:t>
            </w:r>
          </w:p>
        </w:tc>
      </w:tr>
    </w:tbl>
    <w:p w14:paraId="293CE36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Times New Roman"/>
          <w:color w:val="auto"/>
          <w:sz w:val="24"/>
        </w:rPr>
      </w:pPr>
      <w:r>
        <w:rPr>
          <w:rFonts w:hint="eastAsia" w:ascii="Times New Roman" w:hAnsi="Times New Roman" w:eastAsia="宋体" w:cs="Times New Roman"/>
          <w:color w:val="auto"/>
          <w:sz w:val="24"/>
        </w:rPr>
        <w:t>按水流平缓河段其宽度取2倍设计船型宽度，本项目码头设计船型宽度B=10.8m，停泊水域宽度取2.0B，为2.0B=2.0×10.8=21.6m。</w:t>
      </w:r>
    </w:p>
    <w:p w14:paraId="2230FE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4</w:t>
      </w:r>
      <w:r>
        <w:rPr>
          <w:rFonts w:ascii="Times New Roman" w:hAnsi="Times New Roman" w:eastAsia="宋体" w:cs="Times New Roman"/>
          <w:color w:val="auto"/>
          <w:sz w:val="24"/>
        </w:rPr>
        <w:t>）码头回旋水域尺度</w:t>
      </w:r>
    </w:p>
    <w:p w14:paraId="6458B1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根据规范要求，单船回旋水域沿水流方向的长度，不宜小于单船长度的2.5倍，沿垂直水流方向的宽度不宜小于单船长度的1.5倍。回旋水域，宜布置在码头附近。</w:t>
      </w:r>
    </w:p>
    <w:p w14:paraId="0E8615EB">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-设计船型长度</w:t>
      </w:r>
      <w:r>
        <w:rPr>
          <w:rFonts w:hint="eastAsia" w:cs="Times New Roman"/>
          <w:color w:val="auto"/>
          <w:sz w:val="24"/>
          <w:lang w:eastAsia="zh-CN"/>
        </w:rPr>
        <w:t>（</w:t>
      </w:r>
      <w:r>
        <w:rPr>
          <w:rFonts w:hint="eastAsia" w:ascii="Times New Roman" w:hAnsi="Times New Roman" w:eastAsia="宋体" w:cs="Times New Roman"/>
          <w:color w:val="auto"/>
          <w:sz w:val="24"/>
        </w:rPr>
        <w:t>m），取兼顾船型，L=60m。</w:t>
      </w:r>
    </w:p>
    <w:p w14:paraId="3FA266C1">
      <w:pPr>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回旋水域沿水流方向的长度：2.5L=2.5×60=150m；</w:t>
      </w:r>
    </w:p>
    <w:p w14:paraId="62C51DC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回旋水域沿垂直水流方向的宽度：1.5L=1.5×60=90m；</w:t>
      </w:r>
    </w:p>
    <w:p w14:paraId="41AC970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拟建码头处淮河河道宽约200m，码头前沿线与航道深泓线间距150m，回旋水域少量占用主航道，码头前方水域可以满足船舶回旋水域要求，对正常行驶船舶影响较小。</w:t>
      </w:r>
    </w:p>
    <w:p w14:paraId="64EBD22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5</w:t>
      </w:r>
      <w:r>
        <w:rPr>
          <w:rFonts w:ascii="Times New Roman" w:hAnsi="Times New Roman" w:eastAsia="宋体" w:cs="Times New Roman"/>
          <w:color w:val="auto"/>
          <w:sz w:val="24"/>
        </w:rPr>
        <w:t>）码头前沿设计水深和底高程</w:t>
      </w:r>
    </w:p>
    <w:p w14:paraId="32DB07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Times New Roman"/>
          <w:color w:val="auto"/>
          <w:sz w:val="24"/>
        </w:rPr>
      </w:pPr>
      <w:r>
        <w:rPr>
          <w:rFonts w:hint="eastAsia" w:ascii="Times New Roman" w:hAnsi="Times New Roman" w:eastAsia="宋体" w:cs="Times New Roman"/>
          <w:color w:val="auto"/>
          <w:sz w:val="24"/>
        </w:rPr>
        <w:t>根据《河港总体设计规范》码头前沿水深为：D=T+Z+△Z</w:t>
      </w:r>
    </w:p>
    <w:p w14:paraId="3162988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式中：D一码头前沿设计水深（m）；</w:t>
      </w:r>
    </w:p>
    <w:p w14:paraId="2C242863">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textAlignment w:val="auto"/>
        <w:rPr>
          <w:rFonts w:ascii="Times New Roman" w:hAnsi="Times New Roman" w:eastAsia="宋体" w:cs="Times New Roman"/>
          <w:color w:val="auto"/>
          <w:sz w:val="24"/>
        </w:rPr>
      </w:pPr>
      <w:r>
        <w:rPr>
          <w:rFonts w:hint="eastAsia" w:ascii="Times New Roman" w:hAnsi="Times New Roman" w:eastAsia="宋体" w:cs="Times New Roman"/>
          <w:color w:val="auto"/>
          <w:sz w:val="24"/>
        </w:rPr>
        <w:t>T—设计船型满载吃水，取2.8m；</w:t>
      </w:r>
    </w:p>
    <w:p w14:paraId="1F1749DE">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textAlignment w:val="auto"/>
        <w:rPr>
          <w:rFonts w:ascii="Times New Roman" w:hAnsi="Times New Roman" w:eastAsia="宋体" w:cs="Times New Roman"/>
          <w:color w:val="auto"/>
          <w:sz w:val="24"/>
        </w:rPr>
      </w:pPr>
      <w:r>
        <w:rPr>
          <w:rFonts w:hint="eastAsia" w:ascii="Times New Roman" w:hAnsi="Times New Roman" w:eastAsia="宋体" w:cs="Times New Roman"/>
          <w:color w:val="auto"/>
          <w:sz w:val="24"/>
        </w:rPr>
        <w:t>Z—龙骨下</w:t>
      </w:r>
      <w:r>
        <w:rPr>
          <w:rFonts w:hint="eastAsia" w:cs="Times New Roman"/>
          <w:color w:val="auto"/>
          <w:sz w:val="24"/>
          <w:lang w:eastAsia="zh-CN"/>
        </w:rPr>
        <w:t>富余</w:t>
      </w:r>
      <w:r>
        <w:rPr>
          <w:rFonts w:hint="eastAsia" w:ascii="Times New Roman" w:hAnsi="Times New Roman" w:eastAsia="宋体" w:cs="Times New Roman"/>
          <w:color w:val="auto"/>
          <w:sz w:val="24"/>
        </w:rPr>
        <w:t>深度，取0.3m；</w:t>
      </w:r>
    </w:p>
    <w:p w14:paraId="74F88296">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△Z一其他</w:t>
      </w:r>
      <w:r>
        <w:rPr>
          <w:rFonts w:hint="eastAsia" w:cs="Times New Roman"/>
          <w:color w:val="auto"/>
          <w:sz w:val="24"/>
          <w:lang w:eastAsia="zh-CN"/>
        </w:rPr>
        <w:t>富余</w:t>
      </w:r>
      <w:r>
        <w:rPr>
          <w:rFonts w:hint="eastAsia" w:ascii="Times New Roman" w:hAnsi="Times New Roman" w:eastAsia="宋体" w:cs="Times New Roman"/>
          <w:color w:val="auto"/>
          <w:sz w:val="24"/>
        </w:rPr>
        <w:t>深度，取0.3m。</w:t>
      </w:r>
    </w:p>
    <w:p w14:paraId="422B482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Times New Roman"/>
          <w:color w:val="auto"/>
          <w:sz w:val="24"/>
        </w:rPr>
      </w:pPr>
      <w:r>
        <w:rPr>
          <w:rFonts w:hint="eastAsia" w:ascii="Times New Roman" w:hAnsi="Times New Roman" w:eastAsia="宋体" w:cs="Times New Roman"/>
          <w:color w:val="auto"/>
          <w:sz w:val="24"/>
        </w:rPr>
        <w:t>港池底高程以设计低水位减设计水深15.71-3.4=12.31m。结合淮河干流航道整治工程，港池底高程取12.3m。</w:t>
      </w:r>
    </w:p>
    <w:p w14:paraId="11F15ED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6</w:t>
      </w:r>
      <w:r>
        <w:rPr>
          <w:rFonts w:ascii="Times New Roman" w:hAnsi="Times New Roman" w:eastAsia="宋体" w:cs="Times New Roman"/>
          <w:color w:val="auto"/>
          <w:sz w:val="24"/>
        </w:rPr>
        <w:t>）陆域主尺寸</w:t>
      </w:r>
    </w:p>
    <w:p w14:paraId="7EFAFB9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河滩地不作为港口项目的临时堆场，仅在河滩地内设置进出港道路。</w:t>
      </w:r>
    </w:p>
    <w:p w14:paraId="0C53904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t>（7）高程设计</w:t>
      </w:r>
    </w:p>
    <w:p w14:paraId="56F257A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w:instrText>
      </w:r>
      <w:r>
        <w:rPr>
          <w:rFonts w:hint="eastAsia" w:ascii="Times New Roman" w:hAnsi="Times New Roman" w:eastAsia="宋体" w:cs="Times New Roman"/>
          <w:color w:val="auto"/>
          <w:sz w:val="24"/>
        </w:rPr>
        <w:instrText xml:space="preserve">= 1 \* GB3</w:instrText>
      </w:r>
      <w:r>
        <w:rPr>
          <w:rFonts w:ascii="Times New Roman" w:hAnsi="Times New Roman" w:eastAsia="宋体" w:cs="Times New Roman"/>
          <w:color w:val="auto"/>
          <w:sz w:val="24"/>
        </w:rPr>
        <w:instrText xml:space="preserve"> </w:instrText>
      </w:r>
      <w:r>
        <w:rPr>
          <w:rFonts w:ascii="Times New Roman" w:hAnsi="Times New Roman" w:eastAsia="宋体" w:cs="Times New Roman"/>
          <w:color w:val="auto"/>
          <w:sz w:val="24"/>
        </w:rPr>
        <w:fldChar w:fldCharType="separate"/>
      </w:r>
      <w:r>
        <w:rPr>
          <w:rFonts w:hint="eastAsia" w:ascii="Times New Roman" w:hAnsi="Times New Roman" w:eastAsia="宋体" w:cs="Times New Roman"/>
          <w:color w:val="auto"/>
          <w:sz w:val="24"/>
        </w:rPr>
        <w:t>①</w:t>
      </w:r>
      <w:r>
        <w:rPr>
          <w:rFonts w:ascii="Times New Roman" w:hAnsi="Times New Roman" w:eastAsia="宋体" w:cs="Times New Roman"/>
          <w:color w:val="auto"/>
          <w:sz w:val="24"/>
        </w:rPr>
        <w:fldChar w:fldCharType="end"/>
      </w:r>
      <w:r>
        <w:rPr>
          <w:rFonts w:hint="eastAsia" w:ascii="Times New Roman" w:hAnsi="Times New Roman" w:eastAsia="宋体" w:cs="Times New Roman"/>
          <w:color w:val="auto"/>
          <w:sz w:val="24"/>
        </w:rPr>
        <w:t>码头面高程</w:t>
      </w:r>
    </w:p>
    <w:p w14:paraId="1E3E933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根据《河港总体设计规范》</w:t>
      </w:r>
      <w:r>
        <w:rPr>
          <w:rFonts w:hint="eastAsia" w:cs="Times New Roman"/>
          <w:color w:val="auto"/>
          <w:sz w:val="24"/>
          <w:lang w:eastAsia="zh-CN"/>
        </w:rPr>
        <w:t>（</w:t>
      </w:r>
      <w:r>
        <w:rPr>
          <w:rFonts w:hint="eastAsia" w:ascii="Times New Roman" w:hAnsi="Times New Roman" w:eastAsia="宋体" w:cs="Times New Roman"/>
          <w:color w:val="auto"/>
          <w:sz w:val="24"/>
        </w:rPr>
        <w:t>JTJ 166-2020)，码头平台设计高程按设计高水位加超高值考虑。</w:t>
      </w:r>
    </w:p>
    <w:p w14:paraId="09C818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拟建码头陆域高程18.61～20.87m，并考虑到土方</w:t>
      </w:r>
      <w:r>
        <w:rPr>
          <w:rFonts w:hint="eastAsia" w:cs="Times New Roman"/>
          <w:color w:val="auto"/>
          <w:sz w:val="24"/>
          <w:lang w:eastAsia="zh-CN"/>
        </w:rPr>
        <w:t>调整</w:t>
      </w:r>
      <w:r>
        <w:rPr>
          <w:rFonts w:hint="eastAsia" w:ascii="Times New Roman" w:hAnsi="Times New Roman" w:eastAsia="宋体" w:cs="Times New Roman"/>
          <w:color w:val="auto"/>
          <w:sz w:val="24"/>
        </w:rPr>
        <w:t>平衡、船舶</w:t>
      </w:r>
      <w:r>
        <w:rPr>
          <w:rFonts w:hint="eastAsia" w:cs="Times New Roman"/>
          <w:color w:val="auto"/>
          <w:sz w:val="24"/>
          <w:lang w:eastAsia="zh-CN"/>
        </w:rPr>
        <w:t>干舷</w:t>
      </w:r>
      <w:r>
        <w:rPr>
          <w:rFonts w:hint="eastAsia" w:ascii="Times New Roman" w:hAnsi="Times New Roman" w:eastAsia="宋体" w:cs="Times New Roman"/>
          <w:color w:val="auto"/>
          <w:sz w:val="24"/>
        </w:rPr>
        <w:t>高度等因素，确定码头顶高程为20.50-20.4m，即本码头为中低水位码头。</w:t>
      </w:r>
    </w:p>
    <w:p w14:paraId="5706643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w:instrText>
      </w:r>
      <w:r>
        <w:rPr>
          <w:rFonts w:hint="eastAsia" w:ascii="Times New Roman" w:hAnsi="Times New Roman" w:eastAsia="宋体" w:cs="Times New Roman"/>
          <w:color w:val="auto"/>
          <w:sz w:val="24"/>
        </w:rPr>
        <w:instrText xml:space="preserve">= 2 \* GB3</w:instrText>
      </w:r>
      <w:r>
        <w:rPr>
          <w:rFonts w:ascii="Times New Roman" w:hAnsi="Times New Roman" w:eastAsia="宋体" w:cs="Times New Roman"/>
          <w:color w:val="auto"/>
          <w:sz w:val="24"/>
        </w:rPr>
        <w:instrText xml:space="preserve"> </w:instrText>
      </w:r>
      <w:r>
        <w:rPr>
          <w:rFonts w:ascii="Times New Roman" w:hAnsi="Times New Roman" w:eastAsia="宋体" w:cs="Times New Roman"/>
          <w:color w:val="auto"/>
          <w:sz w:val="24"/>
        </w:rPr>
        <w:fldChar w:fldCharType="separate"/>
      </w:r>
      <w:r>
        <w:rPr>
          <w:rFonts w:hint="eastAsia" w:ascii="Times New Roman" w:hAnsi="Times New Roman" w:eastAsia="宋体" w:cs="Times New Roman"/>
          <w:color w:val="auto"/>
          <w:sz w:val="24"/>
        </w:rPr>
        <w:t>②</w:t>
      </w:r>
      <w:r>
        <w:rPr>
          <w:rFonts w:ascii="Times New Roman" w:hAnsi="Times New Roman" w:eastAsia="宋体" w:cs="Times New Roman"/>
          <w:color w:val="auto"/>
          <w:sz w:val="24"/>
        </w:rPr>
        <w:fldChar w:fldCharType="end"/>
      </w:r>
      <w:r>
        <w:rPr>
          <w:rFonts w:hint="eastAsia" w:ascii="Times New Roman" w:hAnsi="Times New Roman" w:eastAsia="宋体" w:cs="Times New Roman"/>
          <w:color w:val="auto"/>
          <w:sz w:val="24"/>
        </w:rPr>
        <w:t>陆域高程</w:t>
      </w:r>
    </w:p>
    <w:p w14:paraId="1F63B9C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码头选址的滩地宽度约84～100m，地面高程在18.61～20.87m之间。泊位布置在迎水面，顺岸布置；场地设计排水坡度5‰～10‰，根据滩地地形及土方调整平衡等因素，确定陆域高程为20.40m。</w:t>
      </w:r>
    </w:p>
    <w:p w14:paraId="1058C143">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3.2.6.2码头结构</w:t>
      </w:r>
    </w:p>
    <w:p w14:paraId="4A84BD4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码头设计港池底高程为12.3m，码头面高程为20.5m～20.4m。</w:t>
      </w:r>
    </w:p>
    <w:p w14:paraId="6EB1BC1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imes New Roman" w:hAnsi="Times New Roman" w:eastAsia="宋体" w:cs="Times New Roman"/>
          <w:color w:val="auto"/>
          <w:sz w:val="24"/>
        </w:rPr>
      </w:pPr>
      <w:r>
        <w:rPr>
          <w:rFonts w:hint="eastAsia" w:ascii="Times New Roman" w:hAnsi="Times New Roman" w:eastAsia="宋体" w:cs="Times New Roman"/>
          <w:color w:val="auto"/>
          <w:sz w:val="24"/>
        </w:rPr>
        <w:t>主要水工建筑物有：港池开挖、码头平台、护岸结构等。</w:t>
      </w:r>
    </w:p>
    <w:p w14:paraId="3976BDC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码头采用高桩梁板结构，码头平台尺度为130m×15m，共</w:t>
      </w:r>
      <w:r>
        <w:rPr>
          <w:rFonts w:hint="eastAsia" w:cs="Times New Roman"/>
          <w:color w:val="auto"/>
          <w:sz w:val="24"/>
          <w:lang w:eastAsia="zh-CN"/>
        </w:rPr>
        <w:t>分为</w:t>
      </w:r>
      <w:r>
        <w:rPr>
          <w:rFonts w:hint="eastAsia" w:ascii="Times New Roman" w:hAnsi="Times New Roman" w:eastAsia="宋体" w:cs="Times New Roman"/>
          <w:color w:val="auto"/>
          <w:sz w:val="24"/>
        </w:rPr>
        <w:t>61m和69m长的两个结构段，每个结构段标准排架间距为7.0m，变形缝悬臂2.5m，预留固定吊基础排架间距4.0m。每榀排架基础由3根φ100cm PHC桩组成，桩间距为5.5m，距离前后沿分别为2m。上部结构主要由现浇横梁、前边梁、纵梁、靠船构件以及叠合板组成，后边梁采用花篮形截面，后沿设置5m长的桥台搭板，支撑桥台结构集成排水沟的排水功能，其后设置填土与河滩地连接。下游侧泊位设置两台预留固定吊基础，吊机墩位置排架间距4m。每榀排架靠船立柱竖向设SA-A400H橡胶护舷，两榀排架之间的前边梁设SA-A300H橡胶护舷。码头前沿间隔布置350kN系船柱。</w:t>
      </w:r>
    </w:p>
    <w:p w14:paraId="2C77586D">
      <w:pPr>
        <w:spacing w:line="360" w:lineRule="auto"/>
        <w:rPr>
          <w:rFonts w:hint="eastAsia"/>
          <w:color w:val="auto"/>
          <w:sz w:val="24"/>
          <w:szCs w:val="24"/>
          <w:highlight w:val="yellow"/>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12BFE115">
      <w:pPr>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drawing>
          <wp:inline distT="0" distB="0" distL="114300" distR="114300">
            <wp:extent cx="8787765" cy="5245735"/>
            <wp:effectExtent l="0" t="0" r="13335" b="12065"/>
            <wp:docPr id="30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39"/>
                    <pic:cNvPicPr>
                      <a:picLocks noChangeAspect="1"/>
                    </pic:cNvPicPr>
                  </pic:nvPicPr>
                  <pic:blipFill>
                    <a:blip r:embed="rId48"/>
                    <a:srcRect l="2675" t="3941" r="926" b="10637"/>
                    <a:stretch>
                      <a:fillRect/>
                    </a:stretch>
                  </pic:blipFill>
                  <pic:spPr>
                    <a:xfrm>
                      <a:off x="0" y="0"/>
                      <a:ext cx="8787765" cy="5245735"/>
                    </a:xfrm>
                    <a:prstGeom prst="rect">
                      <a:avLst/>
                    </a:prstGeom>
                    <a:noFill/>
                    <a:ln>
                      <a:noFill/>
                    </a:ln>
                  </pic:spPr>
                </pic:pic>
              </a:graphicData>
            </a:graphic>
          </wp:inline>
        </w:drawing>
      </w:r>
    </w:p>
    <w:p w14:paraId="7B02645A">
      <w:pPr>
        <w:jc w:val="center"/>
        <w:rPr>
          <w:rFonts w:hint="eastAsia" w:ascii="Times New Roman" w:hAnsi="Times New Roman" w:eastAsia="黑体" w:cs="Times New Roman"/>
          <w:color w:val="auto"/>
          <w:sz w:val="24"/>
          <w:szCs w:val="24"/>
        </w:rPr>
      </w:pPr>
      <w:r>
        <w:rPr>
          <w:rFonts w:ascii="Times New Roman" w:hAnsi="Times New Roman" w:eastAsia="黑体" w:cs="Times New Roman"/>
          <w:color w:val="auto"/>
          <w:sz w:val="24"/>
          <w:szCs w:val="24"/>
        </w:rPr>
        <w:t>图3.2-3   拟建码头</w:t>
      </w:r>
      <w:r>
        <w:rPr>
          <w:rFonts w:hint="eastAsia" w:ascii="Times New Roman" w:hAnsi="Times New Roman" w:eastAsia="黑体" w:cs="Times New Roman"/>
          <w:color w:val="auto"/>
          <w:sz w:val="24"/>
          <w:szCs w:val="24"/>
        </w:rPr>
        <w:t>平台（栈桥）平面</w:t>
      </w:r>
      <w:r>
        <w:rPr>
          <w:rFonts w:ascii="Times New Roman" w:hAnsi="Times New Roman" w:eastAsia="黑体" w:cs="Times New Roman"/>
          <w:color w:val="auto"/>
          <w:sz w:val="24"/>
          <w:szCs w:val="24"/>
        </w:rPr>
        <w:t>示意</w:t>
      </w:r>
      <w:r>
        <w:rPr>
          <w:rFonts w:hint="eastAsia" w:ascii="Times New Roman" w:hAnsi="Times New Roman" w:eastAsia="黑体" w:cs="Times New Roman"/>
          <w:color w:val="auto"/>
          <w:sz w:val="24"/>
          <w:szCs w:val="24"/>
        </w:rPr>
        <w:t>图</w:t>
      </w:r>
    </w:p>
    <w:p w14:paraId="6F23197D">
      <w:pPr>
        <w:spacing w:line="360" w:lineRule="auto"/>
        <w:jc w:val="center"/>
        <w:rPr>
          <w:rFonts w:ascii="Times New Roman" w:hAnsi="Times New Roman" w:eastAsia="宋体" w:cs="Times New Roman"/>
          <w:color w:val="auto"/>
          <w:sz w:val="24"/>
        </w:rPr>
      </w:pPr>
      <w:r>
        <w:rPr>
          <w:rFonts w:ascii="Times New Roman" w:hAnsi="Times New Roman" w:eastAsia="宋体" w:cs="Times New Roman"/>
          <w:color w:val="auto"/>
        </w:rPr>
        <w:drawing>
          <wp:inline distT="0" distB="0" distL="114300" distR="114300">
            <wp:extent cx="7334250" cy="5308600"/>
            <wp:effectExtent l="0" t="0" r="0" b="6350"/>
            <wp:docPr id="30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40"/>
                    <pic:cNvPicPr>
                      <a:picLocks noChangeAspect="1"/>
                    </pic:cNvPicPr>
                  </pic:nvPicPr>
                  <pic:blipFill>
                    <a:blip r:embed="rId49"/>
                    <a:stretch>
                      <a:fillRect/>
                    </a:stretch>
                  </pic:blipFill>
                  <pic:spPr>
                    <a:xfrm>
                      <a:off x="0" y="0"/>
                      <a:ext cx="7334250" cy="5308600"/>
                    </a:xfrm>
                    <a:prstGeom prst="rect">
                      <a:avLst/>
                    </a:prstGeom>
                    <a:noFill/>
                    <a:ln>
                      <a:noFill/>
                    </a:ln>
                  </pic:spPr>
                </pic:pic>
              </a:graphicData>
            </a:graphic>
          </wp:inline>
        </w:drawing>
      </w:r>
    </w:p>
    <w:p w14:paraId="0ACB9A6B">
      <w:pPr>
        <w:spacing w:line="400" w:lineRule="exact"/>
        <w:jc w:val="center"/>
        <w:rPr>
          <w:rFonts w:eastAsia="黑体"/>
          <w:color w:val="auto"/>
          <w:sz w:val="24"/>
        </w:rPr>
        <w:sectPr>
          <w:pgSz w:w="16840" w:h="11907" w:orient="landscape"/>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r>
        <w:rPr>
          <w:rFonts w:ascii="Times New Roman" w:hAnsi="Times New Roman" w:eastAsia="黑体" w:cs="Times New Roman"/>
          <w:color w:val="auto"/>
          <w:sz w:val="24"/>
        </w:rPr>
        <w:t>图3.2-4   拟建码头结构</w:t>
      </w:r>
      <w:r>
        <w:rPr>
          <w:rFonts w:hint="eastAsia" w:ascii="Times New Roman" w:hAnsi="Times New Roman" w:eastAsia="黑体" w:cs="Times New Roman"/>
          <w:color w:val="auto"/>
          <w:sz w:val="24"/>
        </w:rPr>
        <w:t>断面</w:t>
      </w:r>
      <w:r>
        <w:rPr>
          <w:rFonts w:hint="eastAsia" w:eastAsia="黑体" w:cs="Times New Roman"/>
          <w:color w:val="auto"/>
          <w:sz w:val="24"/>
          <w:lang w:eastAsia="zh-CN"/>
        </w:rPr>
        <w:t>图</w:t>
      </w:r>
    </w:p>
    <w:p w14:paraId="40DDFD34">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3.2.6.3</w:t>
      </w:r>
      <w:r>
        <w:rPr>
          <w:rFonts w:ascii="Times New Roman" w:hAnsi="Times New Roman" w:eastAsia="黑体" w:cs="Times New Roman"/>
          <w:bCs/>
          <w:color w:val="auto"/>
          <w:kern w:val="2"/>
          <w:sz w:val="24"/>
          <w:szCs w:val="28"/>
          <w:lang w:val="en-US" w:eastAsia="zh-CN" w:bidi="ar-SA"/>
        </w:rPr>
        <w:t>锚地</w:t>
      </w:r>
    </w:p>
    <w:p w14:paraId="7A815B5B">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《淮南港总体规划》在潘集港区规划有潘集3号锚地，位于潘集淮河大桥上游，在本码头下游约6km处，锚地面积2.58万平方米，为散货船、件杂货船和化学危险品船的临时锚地。</w:t>
      </w:r>
      <w:r>
        <w:rPr>
          <w:rFonts w:ascii="Times New Roman" w:hAnsi="Times New Roman" w:eastAsia="宋体" w:cs="Times New Roman"/>
          <w:color w:val="auto"/>
          <w:sz w:val="24"/>
        </w:rPr>
        <w:t>本项目不需另设锚位。</w:t>
      </w:r>
    </w:p>
    <w:p w14:paraId="4E4F93AB">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3.2.7陆域</w:t>
      </w:r>
      <w:r>
        <w:rPr>
          <w:rFonts w:ascii="Times New Roman" w:hAnsi="Times New Roman" w:eastAsia="黑体" w:cs="Times New Roman"/>
          <w:bCs/>
          <w:color w:val="auto"/>
          <w:kern w:val="2"/>
          <w:sz w:val="28"/>
          <w:szCs w:val="32"/>
          <w:lang w:val="en-US" w:eastAsia="zh-CN" w:bidi="ar-SA"/>
        </w:rPr>
        <w:t>主要建设内容</w:t>
      </w:r>
    </w:p>
    <w:p w14:paraId="1AD42E49">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3.2.7.1陆域形成与地基处理</w:t>
      </w:r>
    </w:p>
    <w:p w14:paraId="5E8F1F56">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1</w:t>
      </w:r>
      <w:r>
        <w:rPr>
          <w:rFonts w:ascii="Times New Roman" w:hAnsi="Times New Roman" w:eastAsia="宋体" w:cs="Times New Roman"/>
          <w:color w:val="auto"/>
          <w:sz w:val="24"/>
        </w:rPr>
        <w:t>）设计荷载</w:t>
      </w:r>
    </w:p>
    <w:p w14:paraId="17BE4C99">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30t运输车：前轴压60kN，后轴压2×120kN；</w:t>
      </w:r>
    </w:p>
    <w:p w14:paraId="18734A9F">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55t运输车：前轴压30kN，中轴压2×120kN，后轴压2×140kN</w:t>
      </w:r>
      <w:r>
        <w:rPr>
          <w:rFonts w:ascii="Times New Roman" w:hAnsi="Times New Roman" w:eastAsia="宋体" w:cs="Times New Roman"/>
          <w:color w:val="auto"/>
          <w:sz w:val="24"/>
        </w:rPr>
        <w:t>。</w:t>
      </w:r>
    </w:p>
    <w:p w14:paraId="1ACF4CD7">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液压抓机：自重约</w:t>
      </w:r>
      <w:r>
        <w:rPr>
          <w:rFonts w:hint="cs" w:ascii="Times New Roman" w:hAnsi="Times New Roman" w:eastAsia="宋体" w:cs="Times New Roman"/>
          <w:color w:val="auto"/>
          <w:sz w:val="24"/>
          <w:cs/>
        </w:rPr>
        <w:t>6</w:t>
      </w:r>
      <w:r>
        <w:rPr>
          <w:rFonts w:hint="eastAsia" w:ascii="Times New Roman" w:hAnsi="Times New Roman" w:eastAsia="宋体" w:cs="Times New Roman"/>
          <w:color w:val="auto"/>
          <w:sz w:val="24"/>
        </w:rPr>
        <w:t>0t，履带接地比压90kpa。</w:t>
      </w:r>
    </w:p>
    <w:p w14:paraId="38D53ABA">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600t/h流动式装船机：自重约</w:t>
      </w:r>
      <w:r>
        <w:rPr>
          <w:rFonts w:hint="cs" w:ascii="Times New Roman" w:hAnsi="Times New Roman" w:eastAsia="宋体" w:cs="Times New Roman"/>
          <w:color w:val="auto"/>
          <w:sz w:val="24"/>
          <w:cs/>
        </w:rPr>
        <w:t>85</w:t>
      </w:r>
      <w:r>
        <w:rPr>
          <w:rFonts w:hint="eastAsia" w:ascii="Times New Roman" w:hAnsi="Times New Roman" w:eastAsia="宋体" w:cs="Times New Roman"/>
          <w:color w:val="auto"/>
          <w:sz w:val="24"/>
        </w:rPr>
        <w:t>t，最大轮压≤120KN。</w:t>
      </w:r>
    </w:p>
    <w:p w14:paraId="331F829B">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10t/25t-20m固定吊各1台：预留（考虑远期功能货源变化）。</w:t>
      </w:r>
    </w:p>
    <w:p w14:paraId="038A77F0">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10t-20m固定吊：倾覆力矩3000KN.m，自重75t。</w:t>
      </w:r>
    </w:p>
    <w:p w14:paraId="64964873">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25t-20m固定吊：倾覆力矩7500KN.m，自重110t 。</w:t>
      </w:r>
    </w:p>
    <w:p w14:paraId="4A329027">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2</w:t>
      </w:r>
      <w:r>
        <w:rPr>
          <w:rFonts w:ascii="Times New Roman" w:hAnsi="Times New Roman" w:eastAsia="宋体" w:cs="Times New Roman"/>
          <w:color w:val="auto"/>
          <w:sz w:val="24"/>
        </w:rPr>
        <w:t>）陆域形成</w:t>
      </w:r>
    </w:p>
    <w:p w14:paraId="5A1F7AFD">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辅助办公区：将原地面清表压实后再铺筑结构层至设计高程，和下游的液体化学危险品码头共用。</w:t>
      </w:r>
    </w:p>
    <w:p w14:paraId="1D75FF1B">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3.2.7.2道路、堆场</w:t>
      </w:r>
    </w:p>
    <w:p w14:paraId="6CABB72D">
      <w:pPr>
        <w:spacing w:line="360" w:lineRule="auto"/>
        <w:ind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进港道路主要行驶检修车辆，自上而下依次为25cmC30砼面层、30cm水泥稳定碎石、35cm碎石垫层，顶面高程基本与滩地持平取20.4m。</w:t>
      </w:r>
    </w:p>
    <w:p w14:paraId="063F7404">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szCs w:val="24"/>
        </w:rPr>
        <w:t>本处不设堆场。</w:t>
      </w:r>
    </w:p>
    <w:p w14:paraId="57DA51FA">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3.2.8装卸工艺</w:t>
      </w:r>
    </w:p>
    <w:p w14:paraId="01993DC8">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3.2.8.1</w:t>
      </w:r>
      <w:r>
        <w:rPr>
          <w:rFonts w:ascii="Times New Roman" w:hAnsi="Times New Roman" w:eastAsia="黑体" w:cs="Times New Roman"/>
          <w:bCs/>
          <w:color w:val="auto"/>
          <w:kern w:val="2"/>
          <w:sz w:val="24"/>
          <w:szCs w:val="28"/>
          <w:lang w:val="en-US" w:eastAsia="zh-CN" w:bidi="ar-SA"/>
        </w:rPr>
        <w:t>装卸</w:t>
      </w:r>
      <w:r>
        <w:rPr>
          <w:rFonts w:hint="eastAsia" w:ascii="Times New Roman" w:hAnsi="Times New Roman" w:eastAsia="黑体" w:cs="Times New Roman"/>
          <w:bCs/>
          <w:color w:val="auto"/>
          <w:kern w:val="2"/>
          <w:sz w:val="24"/>
          <w:szCs w:val="28"/>
          <w:lang w:val="en-US" w:eastAsia="zh-CN" w:bidi="ar-SA"/>
        </w:rPr>
        <w:t>设备</w:t>
      </w:r>
    </w:p>
    <w:p w14:paraId="65813769">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由于现在船舶大型化，货种、运量增加以及环保要求提高等条件的变化，目前拟改造为2个散货1000（兼顾2000吨级）泊位。其中1个散货进口泊位，主要货种为矿建材料（石子）；1个散货出口泊位，主要货种为煤炭。</w:t>
      </w:r>
    </w:p>
    <w:p w14:paraId="70653BE0">
      <w:pPr>
        <w:spacing w:line="360" w:lineRule="auto"/>
        <w:ind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在上游#泊位配备一台液压抓机，从船上抓取货物置于自卸汽车上，汽车直接驶离港区；在下游2#泊位配置一台流动装船机，自卸汽车对装船机供料，装船机完成装船。装船机头部带溜筒。</w:t>
      </w:r>
    </w:p>
    <w:p w14:paraId="43A09FB5">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下游2#泊位预留2个吊机墩（1台10t-20m固定吊，1台25t-20m固定吊)，从</w:t>
      </w:r>
      <w:r>
        <w:rPr>
          <w:rFonts w:hint="eastAsia" w:cs="Times New Roman"/>
          <w:color w:val="auto"/>
          <w:sz w:val="24"/>
          <w:szCs w:val="24"/>
          <w:lang w:eastAsia="zh-CN"/>
        </w:rPr>
        <w:t>船上</w:t>
      </w:r>
      <w:r>
        <w:rPr>
          <w:rFonts w:hint="eastAsia" w:ascii="Times New Roman" w:hAnsi="Times New Roman" w:eastAsia="宋体" w:cs="Times New Roman"/>
          <w:color w:val="auto"/>
          <w:sz w:val="24"/>
          <w:szCs w:val="24"/>
        </w:rPr>
        <w:t>抓取货物置于自卸汽车上，汽车直接驶离港区。</w:t>
      </w:r>
    </w:p>
    <w:p w14:paraId="17C0EA30">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项目主要</w:t>
      </w:r>
      <w:r>
        <w:rPr>
          <w:rFonts w:hint="eastAsia" w:ascii="Times New Roman" w:hAnsi="Times New Roman" w:eastAsia="宋体" w:cs="Times New Roman"/>
          <w:color w:val="auto"/>
          <w:sz w:val="24"/>
        </w:rPr>
        <w:t>机械</w:t>
      </w:r>
      <w:r>
        <w:rPr>
          <w:rFonts w:ascii="Times New Roman" w:hAnsi="Times New Roman" w:eastAsia="宋体" w:cs="Times New Roman"/>
          <w:color w:val="auto"/>
          <w:sz w:val="24"/>
        </w:rPr>
        <w:t>设备见表</w:t>
      </w:r>
      <w:r>
        <w:rPr>
          <w:rFonts w:hint="eastAsia" w:ascii="Times New Roman" w:hAnsi="Times New Roman" w:eastAsia="宋体" w:cs="Times New Roman"/>
          <w:color w:val="auto"/>
          <w:sz w:val="24"/>
        </w:rPr>
        <w:t>3</w:t>
      </w:r>
      <w:r>
        <w:rPr>
          <w:rFonts w:ascii="Times New Roman" w:hAnsi="Times New Roman" w:eastAsia="宋体" w:cs="Times New Roman"/>
          <w:color w:val="auto"/>
          <w:sz w:val="24"/>
        </w:rPr>
        <w:t>.2-6。</w:t>
      </w:r>
    </w:p>
    <w:p w14:paraId="1755A20F">
      <w:pPr>
        <w:spacing w:line="400" w:lineRule="exact"/>
        <w:jc w:val="center"/>
        <w:rPr>
          <w:rFonts w:ascii="Times New Roman" w:hAnsi="Times New Roman" w:eastAsia="黑体" w:cs="Times New Roman"/>
          <w:color w:val="auto"/>
          <w:sz w:val="24"/>
          <w:szCs w:val="24"/>
        </w:rPr>
      </w:pPr>
      <w:r>
        <w:rPr>
          <w:rFonts w:ascii="黑体" w:hAnsi="黑体" w:eastAsia="黑体" w:cs="Times New Roman"/>
          <w:color w:val="auto"/>
          <w:sz w:val="24"/>
          <w:szCs w:val="24"/>
        </w:rPr>
        <w:t>表</w:t>
      </w:r>
      <w:r>
        <w:rPr>
          <w:rFonts w:ascii="Times New Roman" w:hAnsi="Times New Roman" w:eastAsia="黑体" w:cs="Times New Roman"/>
          <w:color w:val="auto"/>
          <w:sz w:val="24"/>
          <w:szCs w:val="24"/>
        </w:rPr>
        <w:t xml:space="preserve">3.2-6  </w:t>
      </w:r>
      <w:r>
        <w:rPr>
          <w:rFonts w:ascii="黑体" w:hAnsi="黑体" w:eastAsia="黑体" w:cs="Times New Roman"/>
          <w:color w:val="auto"/>
          <w:sz w:val="24"/>
          <w:szCs w:val="24"/>
        </w:rPr>
        <w:t>项目主要机械设备一览表</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76"/>
        <w:gridCol w:w="2126"/>
        <w:gridCol w:w="672"/>
        <w:gridCol w:w="888"/>
        <w:gridCol w:w="4375"/>
      </w:tblGrid>
      <w:tr w14:paraId="24977D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76" w:type="dxa"/>
            <w:tcBorders>
              <w:top w:val="single" w:color="auto" w:sz="12" w:space="0"/>
              <w:left w:val="nil"/>
              <w:bottom w:val="single" w:color="auto" w:sz="4" w:space="0"/>
              <w:right w:val="single" w:color="auto" w:sz="4" w:space="0"/>
            </w:tcBorders>
            <w:noWrap w:val="0"/>
            <w:vAlign w:val="center"/>
          </w:tcPr>
          <w:p w14:paraId="1691738E">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宋体" w:hAnsi="宋体" w:eastAsia="宋体" w:cs="Times New Roman"/>
                <w:b/>
                <w:color w:val="auto"/>
              </w:rPr>
              <w:t>序号</w:t>
            </w:r>
          </w:p>
        </w:tc>
        <w:tc>
          <w:tcPr>
            <w:tcW w:w="2126" w:type="dxa"/>
            <w:tcBorders>
              <w:top w:val="single" w:color="auto" w:sz="12" w:space="0"/>
              <w:left w:val="single" w:color="auto" w:sz="4" w:space="0"/>
              <w:bottom w:val="single" w:color="auto" w:sz="4" w:space="0"/>
              <w:right w:val="single" w:color="auto" w:sz="4" w:space="0"/>
            </w:tcBorders>
            <w:noWrap w:val="0"/>
            <w:vAlign w:val="center"/>
          </w:tcPr>
          <w:p w14:paraId="351DDE08">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宋体" w:hAnsi="宋体" w:eastAsia="宋体" w:cs="Times New Roman"/>
                <w:b/>
                <w:color w:val="auto"/>
              </w:rPr>
              <w:t>设备名称</w:t>
            </w:r>
          </w:p>
        </w:tc>
        <w:tc>
          <w:tcPr>
            <w:tcW w:w="672" w:type="dxa"/>
            <w:tcBorders>
              <w:top w:val="single" w:color="auto" w:sz="12" w:space="0"/>
              <w:left w:val="single" w:color="auto" w:sz="4" w:space="0"/>
              <w:bottom w:val="single" w:color="auto" w:sz="4" w:space="0"/>
              <w:right w:val="single" w:color="auto" w:sz="4" w:space="0"/>
            </w:tcBorders>
            <w:noWrap w:val="0"/>
            <w:vAlign w:val="center"/>
          </w:tcPr>
          <w:p w14:paraId="25C4C370">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宋体" w:hAnsi="宋体" w:eastAsia="宋体" w:cs="Times New Roman"/>
                <w:b/>
                <w:color w:val="auto"/>
              </w:rPr>
              <w:t>单位</w:t>
            </w:r>
          </w:p>
        </w:tc>
        <w:tc>
          <w:tcPr>
            <w:tcW w:w="888" w:type="dxa"/>
            <w:tcBorders>
              <w:top w:val="single" w:color="auto" w:sz="12" w:space="0"/>
              <w:left w:val="single" w:color="auto" w:sz="4" w:space="0"/>
              <w:bottom w:val="single" w:color="auto" w:sz="4" w:space="0"/>
              <w:right w:val="single" w:color="auto" w:sz="4" w:space="0"/>
            </w:tcBorders>
            <w:noWrap w:val="0"/>
            <w:vAlign w:val="center"/>
          </w:tcPr>
          <w:p w14:paraId="2296A4FC">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宋体" w:hAnsi="宋体" w:eastAsia="宋体" w:cs="Times New Roman"/>
                <w:b/>
                <w:color w:val="auto"/>
              </w:rPr>
              <w:t>数量</w:t>
            </w:r>
          </w:p>
        </w:tc>
        <w:tc>
          <w:tcPr>
            <w:tcW w:w="4375" w:type="dxa"/>
            <w:tcBorders>
              <w:top w:val="single" w:color="auto" w:sz="12" w:space="0"/>
              <w:left w:val="single" w:color="auto" w:sz="4" w:space="0"/>
              <w:bottom w:val="single" w:color="auto" w:sz="4" w:space="0"/>
              <w:right w:val="nil"/>
            </w:tcBorders>
            <w:noWrap w:val="0"/>
            <w:vAlign w:val="center"/>
          </w:tcPr>
          <w:p w14:paraId="356E2D24">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宋体" w:hAnsi="宋体" w:eastAsia="宋体" w:cs="Times New Roman"/>
                <w:b/>
                <w:color w:val="auto"/>
              </w:rPr>
              <w:t>性能参数</w:t>
            </w:r>
          </w:p>
        </w:tc>
      </w:tr>
      <w:tr w14:paraId="007E0F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76" w:type="dxa"/>
            <w:tcBorders>
              <w:top w:val="single" w:color="auto" w:sz="4" w:space="0"/>
              <w:left w:val="nil"/>
              <w:bottom w:val="single" w:color="auto" w:sz="4" w:space="0"/>
              <w:right w:val="single" w:color="auto" w:sz="4" w:space="0"/>
            </w:tcBorders>
            <w:noWrap w:val="0"/>
            <w:vAlign w:val="center"/>
          </w:tcPr>
          <w:p w14:paraId="240E9A8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1</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4400B6F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宋体" w:hAnsi="宋体" w:eastAsia="宋体" w:cs="Times New Roman"/>
                <w:color w:val="auto"/>
              </w:rPr>
              <w:t>液压抓机</w:t>
            </w:r>
          </w:p>
        </w:tc>
        <w:tc>
          <w:tcPr>
            <w:tcW w:w="672" w:type="dxa"/>
            <w:tcBorders>
              <w:top w:val="single" w:color="auto" w:sz="4" w:space="0"/>
              <w:left w:val="single" w:color="auto" w:sz="4" w:space="0"/>
              <w:bottom w:val="single" w:color="auto" w:sz="4" w:space="0"/>
              <w:right w:val="single" w:color="auto" w:sz="4" w:space="0"/>
            </w:tcBorders>
            <w:noWrap w:val="0"/>
            <w:vAlign w:val="center"/>
          </w:tcPr>
          <w:p w14:paraId="1D27BAD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宋体" w:hAnsi="宋体" w:eastAsia="宋体" w:cs="Times New Roman"/>
                <w:color w:val="auto"/>
              </w:rPr>
              <w:t>台</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69E1B295">
            <w:pPr>
              <w:keepNext w:val="0"/>
              <w:keepLines w:val="0"/>
              <w:suppressLineNumbers w:val="0"/>
              <w:spacing w:before="0" w:beforeAutospacing="0" w:after="0" w:afterAutospacing="0"/>
              <w:ind w:left="0" w:right="0"/>
              <w:jc w:val="center"/>
              <w:rPr>
                <w:rFonts w:hint="default" w:ascii="宋体" w:hAnsi="宋体" w:eastAsia="宋体" w:cs="Times New Roman"/>
                <w:color w:val="auto"/>
              </w:rPr>
            </w:pPr>
            <w:r>
              <w:rPr>
                <w:rFonts w:hint="eastAsia" w:ascii="Times New Roman" w:hAnsi="Times New Roman" w:eastAsia="宋体" w:cs="Times New Roman"/>
                <w:color w:val="auto"/>
              </w:rPr>
              <w:t>1</w:t>
            </w:r>
          </w:p>
        </w:tc>
        <w:tc>
          <w:tcPr>
            <w:tcW w:w="4375" w:type="dxa"/>
            <w:tcBorders>
              <w:top w:val="single" w:color="auto" w:sz="4" w:space="0"/>
              <w:left w:val="single" w:color="auto" w:sz="4" w:space="0"/>
              <w:bottom w:val="single" w:color="auto" w:sz="4" w:space="0"/>
              <w:right w:val="nil"/>
            </w:tcBorders>
            <w:noWrap w:val="0"/>
            <w:vAlign w:val="center"/>
          </w:tcPr>
          <w:p w14:paraId="514C971F">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宋体" w:hAnsi="宋体" w:eastAsia="宋体" w:cs="Times New Roman"/>
                <w:color w:val="auto"/>
              </w:rPr>
              <w:t>斗容</w:t>
            </w:r>
            <w:r>
              <w:rPr>
                <w:rFonts w:hint="eastAsia" w:ascii="Times New Roman" w:hAnsi="Times New Roman" w:eastAsia="宋体" w:cs="Times New Roman"/>
                <w:color w:val="auto"/>
              </w:rPr>
              <w:t>3.5m</w:t>
            </w:r>
            <w:r>
              <w:rPr>
                <w:rFonts w:hint="eastAsia" w:ascii="Times New Roman" w:hAnsi="Times New Roman" w:eastAsia="宋体" w:cs="Times New Roman"/>
                <w:color w:val="auto"/>
                <w:vertAlign w:val="superscript"/>
              </w:rPr>
              <w:t>3</w:t>
            </w:r>
            <w:r>
              <w:rPr>
                <w:rFonts w:hint="eastAsia" w:ascii="宋体" w:hAnsi="宋体" w:eastAsia="宋体" w:cs="Times New Roman"/>
                <w:color w:val="auto"/>
              </w:rPr>
              <w:t>，臂长</w:t>
            </w:r>
            <w:r>
              <w:rPr>
                <w:rFonts w:hint="eastAsia" w:ascii="Times New Roman" w:hAnsi="Times New Roman" w:eastAsia="宋体" w:cs="Times New Roman"/>
                <w:color w:val="auto"/>
              </w:rPr>
              <w:t>17m</w:t>
            </w:r>
          </w:p>
        </w:tc>
      </w:tr>
      <w:tr w14:paraId="076ACF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76" w:type="dxa"/>
            <w:tcBorders>
              <w:top w:val="single" w:color="auto" w:sz="4" w:space="0"/>
              <w:left w:val="nil"/>
              <w:bottom w:val="single" w:color="auto" w:sz="4" w:space="0"/>
              <w:right w:val="single" w:color="auto" w:sz="4" w:space="0"/>
            </w:tcBorders>
            <w:noWrap w:val="0"/>
            <w:vAlign w:val="center"/>
          </w:tcPr>
          <w:p w14:paraId="5E77B14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2</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A803B3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宋体" w:hAnsi="宋体" w:eastAsia="宋体" w:cs="Times New Roman"/>
                <w:color w:val="auto"/>
              </w:rPr>
              <w:t>流动装船机</w:t>
            </w:r>
          </w:p>
        </w:tc>
        <w:tc>
          <w:tcPr>
            <w:tcW w:w="672" w:type="dxa"/>
            <w:tcBorders>
              <w:top w:val="single" w:color="auto" w:sz="4" w:space="0"/>
              <w:left w:val="single" w:color="auto" w:sz="4" w:space="0"/>
              <w:bottom w:val="single" w:color="auto" w:sz="4" w:space="0"/>
              <w:right w:val="single" w:color="auto" w:sz="4" w:space="0"/>
            </w:tcBorders>
            <w:noWrap w:val="0"/>
            <w:vAlign w:val="center"/>
          </w:tcPr>
          <w:p w14:paraId="0A1EA43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宋体" w:hAnsi="宋体" w:eastAsia="宋体" w:cs="Times New Roman"/>
                <w:color w:val="auto"/>
              </w:rPr>
              <w:t>台</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77C38FE3">
            <w:pPr>
              <w:keepNext w:val="0"/>
              <w:keepLines w:val="0"/>
              <w:suppressLineNumbers w:val="0"/>
              <w:spacing w:before="0" w:beforeAutospacing="0" w:after="0" w:afterAutospacing="0"/>
              <w:ind w:left="0" w:right="0"/>
              <w:jc w:val="center"/>
              <w:rPr>
                <w:rFonts w:hint="default" w:ascii="宋体" w:hAnsi="宋体" w:eastAsia="宋体" w:cs="Times New Roman"/>
                <w:color w:val="auto"/>
              </w:rPr>
            </w:pPr>
            <w:r>
              <w:rPr>
                <w:rFonts w:hint="eastAsia" w:ascii="Times New Roman" w:hAnsi="Times New Roman" w:eastAsia="宋体" w:cs="Times New Roman"/>
                <w:color w:val="auto"/>
              </w:rPr>
              <w:t>1</w:t>
            </w:r>
          </w:p>
        </w:tc>
        <w:tc>
          <w:tcPr>
            <w:tcW w:w="4375" w:type="dxa"/>
            <w:tcBorders>
              <w:top w:val="single" w:color="auto" w:sz="4" w:space="0"/>
              <w:left w:val="single" w:color="auto" w:sz="4" w:space="0"/>
              <w:bottom w:val="single" w:color="auto" w:sz="4" w:space="0"/>
              <w:right w:val="nil"/>
            </w:tcBorders>
            <w:noWrap w:val="0"/>
            <w:vAlign w:val="center"/>
          </w:tcPr>
          <w:p w14:paraId="752F6E7F">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default" w:ascii="宋体" w:hAnsi="宋体" w:eastAsia="宋体" w:cs="Times New Roman"/>
                <w:color w:val="auto"/>
              </w:rPr>
              <w:t>额定</w:t>
            </w:r>
            <w:r>
              <w:rPr>
                <w:rFonts w:hint="eastAsia" w:ascii="宋体" w:hAnsi="宋体" w:eastAsia="宋体" w:cs="Times New Roman"/>
                <w:color w:val="auto"/>
              </w:rPr>
              <w:t>功率</w:t>
            </w:r>
            <w:r>
              <w:rPr>
                <w:rFonts w:hint="eastAsia" w:ascii="Times New Roman" w:hAnsi="Times New Roman" w:eastAsia="宋体" w:cs="Times New Roman"/>
                <w:color w:val="auto"/>
              </w:rPr>
              <w:t xml:space="preserve">600t/h </w:t>
            </w:r>
          </w:p>
        </w:tc>
      </w:tr>
      <w:tr w14:paraId="5E4410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76" w:type="dxa"/>
            <w:tcBorders>
              <w:top w:val="single" w:color="auto" w:sz="4" w:space="0"/>
              <w:left w:val="nil"/>
              <w:bottom w:val="single" w:color="auto" w:sz="4" w:space="0"/>
              <w:right w:val="single" w:color="auto" w:sz="4" w:space="0"/>
            </w:tcBorders>
            <w:noWrap w:val="0"/>
            <w:vAlign w:val="center"/>
          </w:tcPr>
          <w:p w14:paraId="5299D77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3</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513E81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宋体" w:hAnsi="宋体" w:eastAsia="宋体" w:cs="Times New Roman"/>
                <w:color w:val="auto"/>
              </w:rPr>
              <w:t>地磅</w:t>
            </w:r>
          </w:p>
        </w:tc>
        <w:tc>
          <w:tcPr>
            <w:tcW w:w="672" w:type="dxa"/>
            <w:tcBorders>
              <w:top w:val="single" w:color="auto" w:sz="4" w:space="0"/>
              <w:left w:val="single" w:color="auto" w:sz="4" w:space="0"/>
              <w:bottom w:val="single" w:color="auto" w:sz="4" w:space="0"/>
              <w:right w:val="single" w:color="auto" w:sz="4" w:space="0"/>
            </w:tcBorders>
            <w:noWrap w:val="0"/>
            <w:vAlign w:val="center"/>
          </w:tcPr>
          <w:p w14:paraId="0FB2F33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宋体" w:hAnsi="宋体" w:eastAsia="宋体" w:cs="Times New Roman"/>
                <w:color w:val="auto"/>
              </w:rPr>
              <w:t>台</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421AF05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2</w:t>
            </w:r>
          </w:p>
        </w:tc>
        <w:tc>
          <w:tcPr>
            <w:tcW w:w="4375" w:type="dxa"/>
            <w:tcBorders>
              <w:top w:val="single" w:color="auto" w:sz="4" w:space="0"/>
              <w:left w:val="single" w:color="auto" w:sz="4" w:space="0"/>
              <w:bottom w:val="single" w:color="auto" w:sz="4" w:space="0"/>
              <w:right w:val="nil"/>
            </w:tcBorders>
            <w:noWrap w:val="0"/>
            <w:vAlign w:val="center"/>
          </w:tcPr>
          <w:p w14:paraId="68BB3DA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1</w:t>
            </w:r>
            <w:r>
              <w:rPr>
                <w:rFonts w:hint="default" w:ascii="Times New Roman" w:hAnsi="Times New Roman" w:eastAsia="宋体" w:cs="Times New Roman"/>
                <w:color w:val="auto"/>
              </w:rPr>
              <w:t>20t</w:t>
            </w:r>
          </w:p>
        </w:tc>
      </w:tr>
      <w:tr w14:paraId="602CAF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76" w:type="dxa"/>
            <w:tcBorders>
              <w:top w:val="single" w:color="auto" w:sz="4" w:space="0"/>
              <w:left w:val="nil"/>
              <w:bottom w:val="single" w:color="auto" w:sz="4" w:space="0"/>
              <w:right w:val="single" w:color="auto" w:sz="4" w:space="0"/>
            </w:tcBorders>
            <w:noWrap w:val="0"/>
            <w:vAlign w:val="center"/>
          </w:tcPr>
          <w:p w14:paraId="6C1C374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4</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1B2DF86D">
            <w:pPr>
              <w:keepNext w:val="0"/>
              <w:keepLines w:val="0"/>
              <w:suppressLineNumbers w:val="0"/>
              <w:spacing w:before="0" w:beforeAutospacing="0" w:after="0" w:afterAutospacing="0"/>
              <w:ind w:left="0" w:right="0"/>
              <w:jc w:val="center"/>
              <w:rPr>
                <w:rFonts w:hint="default" w:ascii="宋体" w:hAnsi="宋体" w:eastAsia="宋体" w:cs="Times New Roman"/>
                <w:color w:val="auto"/>
              </w:rPr>
            </w:pPr>
            <w:r>
              <w:rPr>
                <w:rFonts w:hint="eastAsia" w:ascii="宋体" w:hAnsi="宋体" w:eastAsia="宋体" w:cs="Times New Roman"/>
                <w:color w:val="auto"/>
              </w:rPr>
              <w:t>固定吊</w:t>
            </w:r>
          </w:p>
        </w:tc>
        <w:tc>
          <w:tcPr>
            <w:tcW w:w="672" w:type="dxa"/>
            <w:tcBorders>
              <w:top w:val="single" w:color="auto" w:sz="4" w:space="0"/>
              <w:left w:val="single" w:color="auto" w:sz="4" w:space="0"/>
              <w:bottom w:val="single" w:color="auto" w:sz="4" w:space="0"/>
              <w:right w:val="single" w:color="auto" w:sz="4" w:space="0"/>
            </w:tcBorders>
            <w:noWrap w:val="0"/>
            <w:vAlign w:val="center"/>
          </w:tcPr>
          <w:p w14:paraId="42F5FEFE">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default" w:ascii="宋体" w:hAnsi="宋体" w:eastAsia="宋体" w:cs="Times New Roman"/>
                <w:color w:val="auto"/>
              </w:rPr>
              <w:t>台</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7ECC93E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2</w:t>
            </w:r>
          </w:p>
        </w:tc>
        <w:tc>
          <w:tcPr>
            <w:tcW w:w="4375" w:type="dxa"/>
            <w:tcBorders>
              <w:top w:val="single" w:color="auto" w:sz="4" w:space="0"/>
              <w:left w:val="single" w:color="auto" w:sz="4" w:space="0"/>
              <w:bottom w:val="single" w:color="auto" w:sz="4" w:space="0"/>
              <w:right w:val="nil"/>
            </w:tcBorders>
            <w:noWrap w:val="0"/>
            <w:vAlign w:val="center"/>
          </w:tcPr>
          <w:p w14:paraId="42093ED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1</w:t>
            </w:r>
            <w:r>
              <w:rPr>
                <w:rFonts w:hint="eastAsia" w:ascii="宋体" w:hAnsi="宋体" w:eastAsia="宋体" w:cs="Times New Roman"/>
                <w:color w:val="auto"/>
              </w:rPr>
              <w:t>台</w:t>
            </w:r>
            <w:r>
              <w:rPr>
                <w:rFonts w:hint="eastAsia" w:ascii="Times New Roman" w:hAnsi="Times New Roman" w:eastAsia="宋体" w:cs="Times New Roman"/>
                <w:color w:val="auto"/>
              </w:rPr>
              <w:t>10t-20m</w:t>
            </w:r>
            <w:r>
              <w:rPr>
                <w:rFonts w:hint="eastAsia" w:ascii="宋体" w:hAnsi="宋体" w:eastAsia="宋体" w:cs="Times New Roman"/>
                <w:color w:val="auto"/>
              </w:rPr>
              <w:t>固定吊，</w:t>
            </w:r>
            <w:r>
              <w:rPr>
                <w:rFonts w:hint="eastAsia" w:ascii="Times New Roman" w:hAnsi="Times New Roman" w:eastAsia="宋体" w:cs="Times New Roman"/>
                <w:color w:val="auto"/>
              </w:rPr>
              <w:t>1</w:t>
            </w:r>
            <w:r>
              <w:rPr>
                <w:rFonts w:hint="eastAsia" w:ascii="宋体" w:hAnsi="宋体" w:eastAsia="宋体" w:cs="Times New Roman"/>
                <w:color w:val="auto"/>
              </w:rPr>
              <w:t>台</w:t>
            </w:r>
            <w:r>
              <w:rPr>
                <w:rFonts w:hint="eastAsia" w:ascii="Times New Roman" w:hAnsi="Times New Roman" w:eastAsia="宋体" w:cs="Times New Roman"/>
                <w:color w:val="auto"/>
              </w:rPr>
              <w:t>25t-20m</w:t>
            </w:r>
            <w:r>
              <w:rPr>
                <w:rFonts w:hint="eastAsia" w:ascii="宋体" w:hAnsi="宋体" w:eastAsia="宋体" w:cs="Times New Roman"/>
                <w:color w:val="auto"/>
              </w:rPr>
              <w:t>固定吊，备用</w:t>
            </w:r>
          </w:p>
        </w:tc>
      </w:tr>
      <w:tr w14:paraId="6F8339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76" w:type="dxa"/>
            <w:tcBorders>
              <w:top w:val="single" w:color="auto" w:sz="4" w:space="0"/>
              <w:left w:val="nil"/>
              <w:bottom w:val="single" w:color="auto" w:sz="4" w:space="0"/>
              <w:right w:val="single" w:color="auto" w:sz="4" w:space="0"/>
            </w:tcBorders>
            <w:noWrap w:val="0"/>
            <w:vAlign w:val="center"/>
          </w:tcPr>
          <w:p w14:paraId="42C9EB2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5</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EE8A9A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宋体" w:hAnsi="宋体" w:eastAsia="宋体" w:cs="Times New Roman"/>
                <w:color w:val="auto"/>
              </w:rPr>
              <w:t>加药设备活动板房</w:t>
            </w:r>
          </w:p>
        </w:tc>
        <w:tc>
          <w:tcPr>
            <w:tcW w:w="672" w:type="dxa"/>
            <w:tcBorders>
              <w:top w:val="single" w:color="auto" w:sz="4" w:space="0"/>
              <w:left w:val="single" w:color="auto" w:sz="4" w:space="0"/>
              <w:bottom w:val="single" w:color="auto" w:sz="4" w:space="0"/>
              <w:right w:val="single" w:color="auto" w:sz="4" w:space="0"/>
            </w:tcBorders>
            <w:noWrap w:val="0"/>
            <w:vAlign w:val="center"/>
          </w:tcPr>
          <w:p w14:paraId="6744176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宋体" w:hAnsi="宋体" w:eastAsia="宋体" w:cs="Times New Roman"/>
                <w:color w:val="auto"/>
              </w:rPr>
              <w:t>间</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4088E1C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1</w:t>
            </w:r>
          </w:p>
        </w:tc>
        <w:tc>
          <w:tcPr>
            <w:tcW w:w="4375" w:type="dxa"/>
            <w:tcBorders>
              <w:top w:val="single" w:color="auto" w:sz="4" w:space="0"/>
              <w:left w:val="single" w:color="auto" w:sz="4" w:space="0"/>
              <w:bottom w:val="single" w:color="auto" w:sz="4" w:space="0"/>
              <w:right w:val="nil"/>
            </w:tcBorders>
            <w:noWrap w:val="0"/>
            <w:vAlign w:val="center"/>
          </w:tcPr>
          <w:p w14:paraId="13285199">
            <w:pPr>
              <w:keepNext w:val="0"/>
              <w:keepLines w:val="0"/>
              <w:suppressLineNumbers w:val="0"/>
              <w:spacing w:before="0" w:beforeAutospacing="0" w:after="0" w:afterAutospacing="0"/>
              <w:ind w:left="0" w:right="0"/>
              <w:jc w:val="center"/>
              <w:rPr>
                <w:rFonts w:hint="default" w:ascii="宋体" w:hAnsi="宋体" w:eastAsia="宋体" w:cs="Times New Roman"/>
                <w:color w:val="auto"/>
              </w:rPr>
            </w:pPr>
            <w:r>
              <w:rPr>
                <w:rFonts w:hint="eastAsia" w:ascii="Times New Roman" w:hAnsi="Times New Roman" w:eastAsia="宋体" w:cs="Times New Roman"/>
                <w:color w:val="auto"/>
              </w:rPr>
              <w:t>L</w:t>
            </w:r>
            <w:r>
              <w:rPr>
                <w:rFonts w:hint="eastAsia" w:ascii="宋体" w:hAnsi="宋体" w:eastAsia="宋体" w:cs="Times New Roman"/>
                <w:color w:val="auto"/>
              </w:rPr>
              <w:t>×</w:t>
            </w:r>
            <w:r>
              <w:rPr>
                <w:rFonts w:hint="eastAsia" w:ascii="Times New Roman" w:hAnsi="Times New Roman" w:eastAsia="宋体" w:cs="Times New Roman"/>
                <w:color w:val="auto"/>
              </w:rPr>
              <w:t>B</w:t>
            </w:r>
            <w:r>
              <w:rPr>
                <w:rFonts w:hint="eastAsia" w:ascii="宋体" w:hAnsi="宋体" w:eastAsia="宋体" w:cs="Times New Roman"/>
                <w:color w:val="auto"/>
              </w:rPr>
              <w:t>×</w:t>
            </w:r>
            <w:r>
              <w:rPr>
                <w:rFonts w:hint="eastAsia" w:ascii="Times New Roman" w:hAnsi="Times New Roman" w:eastAsia="宋体" w:cs="Times New Roman"/>
                <w:color w:val="auto"/>
              </w:rPr>
              <w:t>H=4.5</w:t>
            </w:r>
            <w:r>
              <w:rPr>
                <w:rFonts w:hint="eastAsia" w:ascii="宋体" w:hAnsi="宋体" w:eastAsia="宋体" w:cs="Times New Roman"/>
                <w:color w:val="auto"/>
              </w:rPr>
              <w:t>×</w:t>
            </w:r>
            <w:r>
              <w:rPr>
                <w:rFonts w:hint="eastAsia" w:ascii="Times New Roman" w:hAnsi="Times New Roman" w:eastAsia="宋体" w:cs="Times New Roman"/>
                <w:color w:val="auto"/>
              </w:rPr>
              <w:t>3</w:t>
            </w:r>
            <w:r>
              <w:rPr>
                <w:rFonts w:hint="eastAsia" w:ascii="宋体" w:hAnsi="宋体" w:eastAsia="宋体" w:cs="Times New Roman"/>
                <w:color w:val="auto"/>
              </w:rPr>
              <w:t>×</w:t>
            </w:r>
            <w:r>
              <w:rPr>
                <w:rFonts w:hint="eastAsia" w:ascii="Times New Roman" w:hAnsi="Times New Roman" w:eastAsia="宋体" w:cs="Times New Roman"/>
                <w:color w:val="auto"/>
              </w:rPr>
              <w:t>3m</w:t>
            </w:r>
          </w:p>
        </w:tc>
      </w:tr>
      <w:tr w14:paraId="4384DA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76" w:type="dxa"/>
            <w:tcBorders>
              <w:top w:val="single" w:color="auto" w:sz="4" w:space="0"/>
              <w:left w:val="nil"/>
              <w:bottom w:val="single" w:color="auto" w:sz="4" w:space="0"/>
              <w:right w:val="single" w:color="auto" w:sz="4" w:space="0"/>
            </w:tcBorders>
            <w:noWrap w:val="0"/>
            <w:vAlign w:val="center"/>
          </w:tcPr>
          <w:p w14:paraId="17C1822F">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6</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C00D01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宋体" w:hAnsi="宋体" w:eastAsia="宋体" w:cs="Times New Roman"/>
                <w:color w:val="auto"/>
              </w:rPr>
              <w:t>处理设备房</w:t>
            </w:r>
          </w:p>
        </w:tc>
        <w:tc>
          <w:tcPr>
            <w:tcW w:w="672" w:type="dxa"/>
            <w:tcBorders>
              <w:top w:val="single" w:color="auto" w:sz="4" w:space="0"/>
              <w:left w:val="single" w:color="auto" w:sz="4" w:space="0"/>
              <w:bottom w:val="single" w:color="auto" w:sz="4" w:space="0"/>
              <w:right w:val="single" w:color="auto" w:sz="4" w:space="0"/>
            </w:tcBorders>
            <w:noWrap w:val="0"/>
            <w:vAlign w:val="center"/>
          </w:tcPr>
          <w:p w14:paraId="7EA1418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宋体" w:hAnsi="宋体" w:eastAsia="宋体" w:cs="Times New Roman"/>
                <w:color w:val="auto"/>
              </w:rPr>
              <w:t>间</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349ED60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1</w:t>
            </w:r>
          </w:p>
        </w:tc>
        <w:tc>
          <w:tcPr>
            <w:tcW w:w="4375" w:type="dxa"/>
            <w:tcBorders>
              <w:top w:val="single" w:color="auto" w:sz="4" w:space="0"/>
              <w:left w:val="single" w:color="auto" w:sz="4" w:space="0"/>
              <w:bottom w:val="single" w:color="auto" w:sz="4" w:space="0"/>
              <w:right w:val="nil"/>
            </w:tcBorders>
            <w:noWrap w:val="0"/>
            <w:vAlign w:val="center"/>
          </w:tcPr>
          <w:p w14:paraId="62212BA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L</w:t>
            </w:r>
            <w:r>
              <w:rPr>
                <w:rFonts w:hint="eastAsia" w:ascii="宋体" w:hAnsi="宋体" w:eastAsia="宋体" w:cs="Times New Roman"/>
                <w:color w:val="auto"/>
              </w:rPr>
              <w:t>×</w:t>
            </w:r>
            <w:r>
              <w:rPr>
                <w:rFonts w:hint="eastAsia" w:ascii="Times New Roman" w:hAnsi="Times New Roman" w:eastAsia="宋体" w:cs="Times New Roman"/>
                <w:color w:val="auto"/>
              </w:rPr>
              <w:t>B</w:t>
            </w:r>
            <w:r>
              <w:rPr>
                <w:rFonts w:hint="eastAsia" w:ascii="宋体" w:hAnsi="宋体" w:eastAsia="宋体" w:cs="Times New Roman"/>
                <w:color w:val="auto"/>
              </w:rPr>
              <w:t>×</w:t>
            </w:r>
            <w:r>
              <w:rPr>
                <w:rFonts w:hint="eastAsia" w:ascii="Times New Roman" w:hAnsi="Times New Roman" w:eastAsia="宋体" w:cs="Times New Roman"/>
                <w:color w:val="auto"/>
              </w:rPr>
              <w:t>H=2</w:t>
            </w:r>
            <w:r>
              <w:rPr>
                <w:rFonts w:hint="eastAsia" w:ascii="宋体" w:hAnsi="宋体" w:eastAsia="宋体" w:cs="Times New Roman"/>
                <w:color w:val="auto"/>
              </w:rPr>
              <w:t>×</w:t>
            </w:r>
            <w:r>
              <w:rPr>
                <w:rFonts w:hint="eastAsia" w:ascii="Times New Roman" w:hAnsi="Times New Roman" w:eastAsia="宋体" w:cs="Times New Roman"/>
                <w:color w:val="auto"/>
              </w:rPr>
              <w:t>6.1</w:t>
            </w:r>
            <w:r>
              <w:rPr>
                <w:rFonts w:hint="eastAsia" w:ascii="宋体" w:hAnsi="宋体" w:eastAsia="宋体" w:cs="Times New Roman"/>
                <w:color w:val="auto"/>
              </w:rPr>
              <w:t>×</w:t>
            </w:r>
            <w:r>
              <w:rPr>
                <w:rFonts w:hint="eastAsia" w:ascii="Times New Roman" w:hAnsi="Times New Roman" w:eastAsia="宋体" w:cs="Times New Roman"/>
                <w:color w:val="auto"/>
              </w:rPr>
              <w:t>4.36m</w:t>
            </w:r>
          </w:p>
        </w:tc>
      </w:tr>
      <w:tr w14:paraId="7A20E4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76" w:type="dxa"/>
            <w:tcBorders>
              <w:top w:val="single" w:color="auto" w:sz="4" w:space="0"/>
              <w:left w:val="nil"/>
              <w:bottom w:val="single" w:color="auto" w:sz="4" w:space="0"/>
              <w:right w:val="single" w:color="auto" w:sz="4" w:space="0"/>
            </w:tcBorders>
            <w:noWrap w:val="0"/>
            <w:vAlign w:val="center"/>
          </w:tcPr>
          <w:p w14:paraId="73FCB66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7</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4AA8A14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highlight w:val="yellow"/>
              </w:rPr>
            </w:pPr>
            <w:r>
              <w:rPr>
                <w:rFonts w:hint="eastAsia" w:ascii="宋体" w:hAnsi="宋体" w:eastAsia="宋体" w:cs="Times New Roman"/>
                <w:color w:val="auto"/>
              </w:rPr>
              <w:t>管理房</w:t>
            </w:r>
          </w:p>
        </w:tc>
        <w:tc>
          <w:tcPr>
            <w:tcW w:w="672" w:type="dxa"/>
            <w:tcBorders>
              <w:top w:val="single" w:color="auto" w:sz="4" w:space="0"/>
              <w:left w:val="single" w:color="auto" w:sz="4" w:space="0"/>
              <w:bottom w:val="single" w:color="auto" w:sz="4" w:space="0"/>
              <w:right w:val="single" w:color="auto" w:sz="4" w:space="0"/>
            </w:tcBorders>
            <w:noWrap w:val="0"/>
            <w:vAlign w:val="center"/>
          </w:tcPr>
          <w:p w14:paraId="1D4A13C0">
            <w:pPr>
              <w:keepNext w:val="0"/>
              <w:keepLines w:val="0"/>
              <w:suppressLineNumbers w:val="0"/>
              <w:spacing w:before="0" w:beforeAutospacing="0" w:after="0" w:afterAutospacing="0"/>
              <w:ind w:left="0" w:right="0"/>
              <w:jc w:val="center"/>
              <w:rPr>
                <w:rFonts w:hint="default" w:ascii="宋体" w:hAnsi="宋体" w:eastAsia="宋体" w:cs="Times New Roman"/>
                <w:color w:val="auto"/>
                <w:highlight w:val="yellow"/>
              </w:rPr>
            </w:pPr>
            <w:r>
              <w:rPr>
                <w:rFonts w:hint="eastAsia" w:ascii="宋体" w:hAnsi="宋体" w:eastAsia="宋体" w:cs="Times New Roman"/>
                <w:color w:val="auto"/>
              </w:rPr>
              <w:t>间</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1E8CBAA">
            <w:pPr>
              <w:keepNext w:val="0"/>
              <w:keepLines w:val="0"/>
              <w:suppressLineNumbers w:val="0"/>
              <w:spacing w:before="0" w:beforeAutospacing="0" w:after="0" w:afterAutospacing="0"/>
              <w:ind w:left="0" w:right="0"/>
              <w:jc w:val="center"/>
              <w:rPr>
                <w:rFonts w:hint="eastAsia" w:ascii="宋体" w:hAnsi="宋体" w:eastAsia="宋体" w:cs="Times New Roman"/>
                <w:color w:val="auto"/>
                <w:highlight w:val="yellow"/>
              </w:rPr>
            </w:pPr>
            <w:r>
              <w:rPr>
                <w:rFonts w:hint="eastAsia" w:ascii="Times New Roman" w:hAnsi="Times New Roman" w:eastAsia="宋体" w:cs="Times New Roman"/>
                <w:color w:val="auto"/>
              </w:rPr>
              <w:t>1</w:t>
            </w:r>
          </w:p>
        </w:tc>
        <w:tc>
          <w:tcPr>
            <w:tcW w:w="4375" w:type="dxa"/>
            <w:tcBorders>
              <w:top w:val="single" w:color="auto" w:sz="4" w:space="0"/>
              <w:left w:val="single" w:color="auto" w:sz="4" w:space="0"/>
              <w:bottom w:val="single" w:color="auto" w:sz="4" w:space="0"/>
              <w:right w:val="nil"/>
            </w:tcBorders>
            <w:noWrap w:val="0"/>
            <w:vAlign w:val="center"/>
          </w:tcPr>
          <w:p w14:paraId="5899F94E">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highlight w:val="yellow"/>
              </w:rPr>
            </w:pPr>
            <w:r>
              <w:rPr>
                <w:rFonts w:hint="eastAsia" w:ascii="宋体" w:hAnsi="宋体" w:eastAsia="宋体" w:cs="Times New Roman"/>
                <w:color w:val="auto"/>
              </w:rPr>
              <w:t>动车载式钢结构管理房</w:t>
            </w:r>
          </w:p>
        </w:tc>
      </w:tr>
      <w:tr w14:paraId="598330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76" w:type="dxa"/>
            <w:tcBorders>
              <w:top w:val="single" w:color="auto" w:sz="4" w:space="0"/>
              <w:left w:val="nil"/>
              <w:bottom w:val="single" w:color="auto" w:sz="4" w:space="0"/>
              <w:right w:val="single" w:color="auto" w:sz="4" w:space="0"/>
            </w:tcBorders>
            <w:noWrap w:val="0"/>
            <w:vAlign w:val="center"/>
          </w:tcPr>
          <w:p w14:paraId="6827C8F6">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8</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78226D5">
            <w:pPr>
              <w:keepNext w:val="0"/>
              <w:keepLines w:val="0"/>
              <w:suppressLineNumbers w:val="0"/>
              <w:spacing w:before="0" w:beforeAutospacing="0" w:after="0" w:afterAutospacing="0"/>
              <w:ind w:left="0" w:right="0"/>
              <w:jc w:val="center"/>
              <w:rPr>
                <w:rFonts w:hint="eastAsia" w:ascii="宋体" w:hAnsi="宋体" w:eastAsia="宋体" w:cs="Times New Roman"/>
                <w:color w:val="auto"/>
              </w:rPr>
            </w:pPr>
            <w:r>
              <w:rPr>
                <w:rFonts w:hint="eastAsia" w:ascii="Times New Roman" w:hAnsi="Times New Roman" w:eastAsia="宋体" w:cs="Times New Roman"/>
                <w:color w:val="auto"/>
              </w:rPr>
              <w:t>隔油沉淀池</w:t>
            </w:r>
          </w:p>
        </w:tc>
        <w:tc>
          <w:tcPr>
            <w:tcW w:w="672" w:type="dxa"/>
            <w:tcBorders>
              <w:top w:val="single" w:color="auto" w:sz="4" w:space="0"/>
              <w:left w:val="single" w:color="auto" w:sz="4" w:space="0"/>
              <w:bottom w:val="single" w:color="auto" w:sz="4" w:space="0"/>
              <w:right w:val="single" w:color="auto" w:sz="4" w:space="0"/>
            </w:tcBorders>
            <w:noWrap w:val="0"/>
            <w:vAlign w:val="center"/>
          </w:tcPr>
          <w:p w14:paraId="2068B2A5">
            <w:pPr>
              <w:keepNext w:val="0"/>
              <w:keepLines w:val="0"/>
              <w:suppressLineNumbers w:val="0"/>
              <w:spacing w:before="0" w:beforeAutospacing="0" w:after="0" w:afterAutospacing="0"/>
              <w:ind w:left="0" w:right="0"/>
              <w:jc w:val="center"/>
              <w:rPr>
                <w:rFonts w:hint="eastAsia" w:ascii="宋体" w:hAnsi="宋体" w:eastAsia="宋体" w:cs="Times New Roman"/>
                <w:color w:val="auto"/>
              </w:rPr>
            </w:pPr>
            <w:r>
              <w:rPr>
                <w:rFonts w:hint="eastAsia" w:ascii="宋体" w:hAnsi="宋体" w:eastAsia="宋体" w:cs="Times New Roman"/>
                <w:color w:val="auto"/>
              </w:rPr>
              <w:t>套</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1481F3B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1</w:t>
            </w:r>
          </w:p>
        </w:tc>
        <w:tc>
          <w:tcPr>
            <w:tcW w:w="4375" w:type="dxa"/>
            <w:tcBorders>
              <w:top w:val="single" w:color="auto" w:sz="4" w:space="0"/>
              <w:left w:val="single" w:color="auto" w:sz="4" w:space="0"/>
              <w:bottom w:val="single" w:color="auto" w:sz="4" w:space="0"/>
              <w:right w:val="nil"/>
            </w:tcBorders>
            <w:noWrap w:val="0"/>
            <w:vAlign w:val="center"/>
          </w:tcPr>
          <w:p w14:paraId="44CE0CDC">
            <w:pPr>
              <w:keepNext w:val="0"/>
              <w:keepLines w:val="0"/>
              <w:suppressLineNumbers w:val="0"/>
              <w:spacing w:before="0" w:beforeAutospacing="0" w:after="0" w:afterAutospacing="0"/>
              <w:ind w:left="0" w:right="0"/>
              <w:jc w:val="center"/>
              <w:rPr>
                <w:rFonts w:hint="eastAsia" w:ascii="宋体" w:hAnsi="宋体" w:eastAsia="宋体" w:cs="Times New Roman"/>
                <w:color w:val="auto"/>
              </w:rPr>
            </w:pPr>
            <w:r>
              <w:rPr>
                <w:rFonts w:hint="eastAsia" w:ascii="Times New Roman" w:hAnsi="Times New Roman" w:eastAsia="宋体" w:cs="Times New Roman"/>
                <w:color w:val="auto"/>
              </w:rPr>
              <w:t>L</w:t>
            </w:r>
            <w:r>
              <w:rPr>
                <w:rFonts w:hint="eastAsia" w:ascii="宋体" w:hAnsi="宋体" w:eastAsia="宋体" w:cs="Times New Roman"/>
                <w:color w:val="auto"/>
              </w:rPr>
              <w:t>×</w:t>
            </w:r>
            <w:r>
              <w:rPr>
                <w:rFonts w:hint="eastAsia" w:ascii="Times New Roman" w:hAnsi="Times New Roman" w:eastAsia="宋体" w:cs="Times New Roman"/>
                <w:color w:val="auto"/>
              </w:rPr>
              <w:t>B</w:t>
            </w:r>
            <w:r>
              <w:rPr>
                <w:rFonts w:hint="eastAsia" w:ascii="宋体" w:hAnsi="宋体" w:eastAsia="宋体" w:cs="Times New Roman"/>
                <w:color w:val="auto"/>
              </w:rPr>
              <w:t>×</w:t>
            </w:r>
            <w:r>
              <w:rPr>
                <w:rFonts w:hint="eastAsia" w:ascii="Times New Roman" w:hAnsi="Times New Roman" w:eastAsia="宋体" w:cs="Times New Roman"/>
                <w:color w:val="auto"/>
              </w:rPr>
              <w:t>H=4</w:t>
            </w:r>
            <w:r>
              <w:rPr>
                <w:rFonts w:hint="eastAsia" w:ascii="宋体" w:hAnsi="宋体" w:eastAsia="宋体" w:cs="Times New Roman"/>
                <w:color w:val="auto"/>
              </w:rPr>
              <w:t>×</w:t>
            </w:r>
            <w:r>
              <w:rPr>
                <w:rFonts w:hint="eastAsia" w:ascii="Times New Roman" w:hAnsi="Times New Roman" w:eastAsia="宋体" w:cs="Times New Roman"/>
                <w:color w:val="auto"/>
              </w:rPr>
              <w:t>3</w:t>
            </w:r>
            <w:r>
              <w:rPr>
                <w:rFonts w:hint="eastAsia" w:ascii="宋体" w:hAnsi="宋体" w:eastAsia="宋体" w:cs="Times New Roman"/>
                <w:color w:val="auto"/>
              </w:rPr>
              <w:t>×</w:t>
            </w:r>
            <w:r>
              <w:rPr>
                <w:rFonts w:hint="eastAsia" w:ascii="Times New Roman" w:hAnsi="Times New Roman" w:eastAsia="宋体" w:cs="Times New Roman"/>
                <w:color w:val="auto"/>
              </w:rPr>
              <w:t>2m</w:t>
            </w:r>
          </w:p>
        </w:tc>
      </w:tr>
      <w:tr w14:paraId="5D651B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76" w:type="dxa"/>
            <w:tcBorders>
              <w:top w:val="single" w:color="auto" w:sz="4" w:space="0"/>
              <w:left w:val="nil"/>
              <w:bottom w:val="single" w:color="auto" w:sz="4" w:space="0"/>
              <w:right w:val="single" w:color="auto" w:sz="4" w:space="0"/>
            </w:tcBorders>
            <w:noWrap w:val="0"/>
            <w:vAlign w:val="center"/>
          </w:tcPr>
          <w:p w14:paraId="282F27A1">
            <w:pPr>
              <w:keepNext w:val="0"/>
              <w:keepLines w:val="0"/>
              <w:suppressLineNumbers w:val="0"/>
              <w:spacing w:before="0" w:beforeAutospacing="0" w:after="0" w:afterAutospacing="0"/>
              <w:ind w:left="0" w:right="0"/>
              <w:jc w:val="center"/>
              <w:rPr>
                <w:rFonts w:hint="default" w:ascii="宋体" w:hAnsi="宋体" w:eastAsia="宋体" w:cs="Times New Roman"/>
                <w:color w:val="auto"/>
              </w:rPr>
            </w:pPr>
            <w:r>
              <w:rPr>
                <w:rFonts w:hint="default" w:ascii="Times New Roman" w:hAnsi="Times New Roman" w:eastAsia="宋体" w:cs="Times New Roman"/>
                <w:color w:val="auto"/>
              </w:rPr>
              <w:t>9</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7424BD52">
            <w:pPr>
              <w:keepNext w:val="0"/>
              <w:keepLines w:val="0"/>
              <w:suppressLineNumbers w:val="0"/>
              <w:spacing w:before="0" w:beforeAutospacing="0" w:after="0" w:afterAutospacing="0"/>
              <w:ind w:left="0" w:right="0"/>
              <w:jc w:val="center"/>
              <w:rPr>
                <w:rFonts w:hint="eastAsia" w:ascii="宋体" w:hAnsi="宋体" w:eastAsia="宋体" w:cs="Times New Roman"/>
                <w:color w:val="auto"/>
              </w:rPr>
            </w:pPr>
            <w:r>
              <w:rPr>
                <w:rFonts w:hint="eastAsia" w:ascii="宋体" w:hAnsi="宋体" w:eastAsia="宋体" w:cs="Times New Roman"/>
                <w:color w:val="auto"/>
              </w:rPr>
              <w:t>一体化污水处理设施</w:t>
            </w:r>
          </w:p>
        </w:tc>
        <w:tc>
          <w:tcPr>
            <w:tcW w:w="672" w:type="dxa"/>
            <w:tcBorders>
              <w:top w:val="single" w:color="auto" w:sz="4" w:space="0"/>
              <w:left w:val="single" w:color="auto" w:sz="4" w:space="0"/>
              <w:bottom w:val="single" w:color="auto" w:sz="4" w:space="0"/>
              <w:right w:val="single" w:color="auto" w:sz="4" w:space="0"/>
            </w:tcBorders>
            <w:noWrap w:val="0"/>
            <w:vAlign w:val="center"/>
          </w:tcPr>
          <w:p w14:paraId="24EAAE52">
            <w:pPr>
              <w:keepNext w:val="0"/>
              <w:keepLines w:val="0"/>
              <w:suppressLineNumbers w:val="0"/>
              <w:spacing w:before="0" w:beforeAutospacing="0" w:after="0" w:afterAutospacing="0"/>
              <w:ind w:left="0" w:right="0"/>
              <w:jc w:val="center"/>
              <w:rPr>
                <w:rFonts w:hint="eastAsia" w:ascii="宋体" w:hAnsi="宋体" w:eastAsia="宋体" w:cs="Times New Roman"/>
                <w:color w:val="auto"/>
              </w:rPr>
            </w:pPr>
            <w:r>
              <w:rPr>
                <w:rFonts w:hint="eastAsia" w:ascii="宋体" w:hAnsi="宋体" w:eastAsia="宋体" w:cs="Times New Roman"/>
                <w:color w:val="auto"/>
              </w:rPr>
              <w:t>套</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3DCF67AC">
            <w:pPr>
              <w:keepNext w:val="0"/>
              <w:keepLines w:val="0"/>
              <w:suppressLineNumbers w:val="0"/>
              <w:spacing w:before="0" w:beforeAutospacing="0" w:after="0" w:afterAutospacing="0"/>
              <w:ind w:left="0" w:right="0"/>
              <w:jc w:val="center"/>
              <w:rPr>
                <w:rFonts w:hint="eastAsia" w:ascii="宋体" w:hAnsi="宋体" w:eastAsia="宋体" w:cs="Times New Roman"/>
                <w:color w:val="auto"/>
              </w:rPr>
            </w:pPr>
            <w:r>
              <w:rPr>
                <w:rFonts w:hint="eastAsia" w:ascii="Times New Roman" w:hAnsi="Times New Roman" w:eastAsia="宋体" w:cs="Times New Roman"/>
                <w:color w:val="auto"/>
              </w:rPr>
              <w:t>1</w:t>
            </w:r>
          </w:p>
        </w:tc>
        <w:tc>
          <w:tcPr>
            <w:tcW w:w="4375" w:type="dxa"/>
            <w:tcBorders>
              <w:top w:val="single" w:color="auto" w:sz="4" w:space="0"/>
              <w:left w:val="single" w:color="auto" w:sz="4" w:space="0"/>
              <w:bottom w:val="single" w:color="auto" w:sz="4" w:space="0"/>
              <w:right w:val="nil"/>
            </w:tcBorders>
            <w:noWrap w:val="0"/>
            <w:vAlign w:val="center"/>
          </w:tcPr>
          <w:p w14:paraId="3CF16243">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宋体" w:hAnsi="宋体" w:eastAsia="宋体" w:cs="Times New Roman"/>
                <w:color w:val="auto"/>
              </w:rPr>
              <w:t>处理量</w:t>
            </w:r>
            <w:r>
              <w:rPr>
                <w:rFonts w:hint="default" w:ascii="Times New Roman" w:hAnsi="Times New Roman" w:eastAsia="宋体" w:cs="Times New Roman"/>
                <w:color w:val="auto"/>
              </w:rPr>
              <w:t>30</w:t>
            </w:r>
            <w:r>
              <w:rPr>
                <w:rFonts w:hint="eastAsia"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w:t>
            </w:r>
            <w:r>
              <w:rPr>
                <w:rFonts w:hint="eastAsia" w:cs="Times New Roman"/>
                <w:color w:val="auto"/>
                <w:lang w:val="en-US" w:eastAsia="zh-CN"/>
              </w:rPr>
              <w:t>d</w:t>
            </w:r>
            <w:r>
              <w:rPr>
                <w:rFonts w:hint="eastAsia" w:ascii="Times New Roman" w:hAnsi="Times New Roman" w:eastAsia="宋体" w:cs="Times New Roman"/>
                <w:color w:val="auto"/>
              </w:rPr>
              <w:t>，含回用水箱（L</w:t>
            </w:r>
            <w:r>
              <w:rPr>
                <w:rFonts w:hint="eastAsia" w:ascii="宋体" w:hAnsi="宋体" w:eastAsia="宋体" w:cs="Times New Roman"/>
                <w:color w:val="auto"/>
              </w:rPr>
              <w:t>×</w:t>
            </w:r>
            <w:r>
              <w:rPr>
                <w:rFonts w:hint="eastAsia" w:ascii="Times New Roman" w:hAnsi="Times New Roman" w:eastAsia="宋体" w:cs="Times New Roman"/>
                <w:color w:val="auto"/>
              </w:rPr>
              <w:t>B</w:t>
            </w:r>
            <w:r>
              <w:rPr>
                <w:rFonts w:hint="eastAsia" w:ascii="宋体" w:hAnsi="宋体" w:eastAsia="宋体" w:cs="Times New Roman"/>
                <w:color w:val="auto"/>
              </w:rPr>
              <w:t>×</w:t>
            </w:r>
            <w:r>
              <w:rPr>
                <w:rFonts w:hint="eastAsia" w:ascii="Times New Roman" w:hAnsi="Times New Roman" w:eastAsia="宋体" w:cs="Times New Roman"/>
                <w:color w:val="auto"/>
              </w:rPr>
              <w:t>H=4</w:t>
            </w:r>
            <w:r>
              <w:rPr>
                <w:rFonts w:hint="eastAsia" w:ascii="宋体" w:hAnsi="宋体" w:eastAsia="宋体" w:cs="Times New Roman"/>
                <w:color w:val="auto"/>
              </w:rPr>
              <w:t>×</w:t>
            </w:r>
            <w:r>
              <w:rPr>
                <w:rFonts w:hint="eastAsia" w:ascii="Times New Roman" w:hAnsi="Times New Roman" w:eastAsia="宋体" w:cs="Times New Roman"/>
                <w:color w:val="auto"/>
              </w:rPr>
              <w:t>3</w:t>
            </w:r>
            <w:r>
              <w:rPr>
                <w:rFonts w:hint="eastAsia" w:ascii="宋体" w:hAnsi="宋体" w:eastAsia="宋体" w:cs="Times New Roman"/>
                <w:color w:val="auto"/>
              </w:rPr>
              <w:t>×</w:t>
            </w:r>
            <w:r>
              <w:rPr>
                <w:rFonts w:hint="eastAsia" w:ascii="Times New Roman" w:hAnsi="Times New Roman" w:eastAsia="宋体" w:cs="Times New Roman"/>
                <w:color w:val="auto"/>
              </w:rPr>
              <w:t>2m）、</w:t>
            </w:r>
            <w:r>
              <w:rPr>
                <w:rFonts w:hint="eastAsia" w:ascii="宋体" w:hAnsi="宋体" w:eastAsia="宋体" w:cs="Times New Roman"/>
                <w:color w:val="auto"/>
              </w:rPr>
              <w:t>污泥池（</w:t>
            </w:r>
            <w:r>
              <w:rPr>
                <w:rFonts w:hint="eastAsia" w:ascii="Times New Roman" w:hAnsi="Times New Roman" w:eastAsia="宋体" w:cs="Times New Roman"/>
                <w:color w:val="auto"/>
              </w:rPr>
              <w:t>L</w:t>
            </w:r>
            <w:r>
              <w:rPr>
                <w:rFonts w:hint="eastAsia" w:ascii="宋体" w:hAnsi="宋体" w:eastAsia="宋体" w:cs="Times New Roman"/>
                <w:color w:val="auto"/>
              </w:rPr>
              <w:t>×</w:t>
            </w:r>
            <w:r>
              <w:rPr>
                <w:rFonts w:hint="eastAsia" w:ascii="Times New Roman" w:hAnsi="Times New Roman" w:eastAsia="宋体" w:cs="Times New Roman"/>
                <w:color w:val="auto"/>
              </w:rPr>
              <w:t>B</w:t>
            </w:r>
            <w:r>
              <w:rPr>
                <w:rFonts w:hint="eastAsia" w:ascii="宋体" w:hAnsi="宋体" w:eastAsia="宋体" w:cs="Times New Roman"/>
                <w:color w:val="auto"/>
              </w:rPr>
              <w:t>×</w:t>
            </w:r>
            <w:r>
              <w:rPr>
                <w:rFonts w:hint="eastAsia" w:ascii="Times New Roman" w:hAnsi="Times New Roman" w:eastAsia="宋体" w:cs="Times New Roman"/>
                <w:color w:val="auto"/>
              </w:rPr>
              <w:t>H=3.5</w:t>
            </w:r>
            <w:r>
              <w:rPr>
                <w:rFonts w:hint="eastAsia" w:ascii="宋体" w:hAnsi="宋体" w:eastAsia="宋体" w:cs="Times New Roman"/>
                <w:color w:val="auto"/>
              </w:rPr>
              <w:t>×</w:t>
            </w:r>
            <w:r>
              <w:rPr>
                <w:rFonts w:hint="eastAsia" w:ascii="Times New Roman" w:hAnsi="Times New Roman" w:eastAsia="宋体" w:cs="Times New Roman"/>
                <w:color w:val="auto"/>
              </w:rPr>
              <w:t>2.5</w:t>
            </w:r>
            <w:r>
              <w:rPr>
                <w:rFonts w:hint="eastAsia" w:ascii="宋体" w:hAnsi="宋体" w:eastAsia="宋体" w:cs="Times New Roman"/>
                <w:color w:val="auto"/>
              </w:rPr>
              <w:t>×</w:t>
            </w:r>
            <w:r>
              <w:rPr>
                <w:rFonts w:hint="eastAsia" w:ascii="Times New Roman" w:hAnsi="Times New Roman" w:eastAsia="宋体" w:cs="Times New Roman"/>
                <w:color w:val="auto"/>
              </w:rPr>
              <w:t>3m</w:t>
            </w:r>
            <w:r>
              <w:rPr>
                <w:rFonts w:hint="eastAsia" w:ascii="宋体" w:hAnsi="宋体" w:eastAsia="宋体" w:cs="Times New Roman"/>
                <w:color w:val="auto"/>
              </w:rPr>
              <w:t>）</w:t>
            </w:r>
          </w:p>
        </w:tc>
      </w:tr>
      <w:tr w14:paraId="55778E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37" w:type="dxa"/>
            <w:gridSpan w:val="5"/>
            <w:tcBorders>
              <w:top w:val="single" w:color="auto" w:sz="4" w:space="0"/>
              <w:left w:val="nil"/>
              <w:bottom w:val="single" w:color="auto" w:sz="12" w:space="0"/>
              <w:right w:val="nil"/>
            </w:tcBorders>
            <w:noWrap w:val="0"/>
            <w:vAlign w:val="center"/>
          </w:tcPr>
          <w:p w14:paraId="60E5A7DB">
            <w:pPr>
              <w:keepNext w:val="0"/>
              <w:keepLines w:val="0"/>
              <w:suppressLineNumbers w:val="0"/>
              <w:spacing w:before="0" w:beforeAutospacing="0" w:after="0" w:afterAutospacing="0"/>
              <w:ind w:left="0" w:right="0"/>
              <w:jc w:val="left"/>
              <w:rPr>
                <w:rFonts w:hint="eastAsia" w:ascii="宋体" w:hAnsi="宋体" w:eastAsia="宋体" w:cs="Times New Roman"/>
                <w:color w:val="auto"/>
              </w:rPr>
            </w:pPr>
            <w:r>
              <w:rPr>
                <w:rFonts w:hint="eastAsia" w:ascii="宋体" w:hAnsi="宋体" w:eastAsia="宋体" w:cs="Times New Roman"/>
                <w:color w:val="auto"/>
              </w:rPr>
              <w:t>注：本项目的机修设备主要为液压抓机和流动装船机，设备均为厂家提供质保服务，设备维修由厂家现场维修，本项目不设置机修车间。本项目港区供油依托社会资源进行加油，不再单独</w:t>
            </w:r>
            <w:r>
              <w:rPr>
                <w:rFonts w:hint="eastAsia" w:ascii="宋体" w:hAnsi="宋体" w:cs="Times New Roman"/>
                <w:color w:val="auto"/>
                <w:lang w:eastAsia="zh-CN"/>
              </w:rPr>
              <w:t>设置</w:t>
            </w:r>
            <w:r>
              <w:rPr>
                <w:rFonts w:hint="eastAsia" w:ascii="宋体" w:hAnsi="宋体" w:eastAsia="宋体" w:cs="Times New Roman"/>
                <w:color w:val="auto"/>
              </w:rPr>
              <w:t>加油站。</w:t>
            </w:r>
          </w:p>
        </w:tc>
      </w:tr>
    </w:tbl>
    <w:p w14:paraId="7E71A58C">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3.2.8.2</w:t>
      </w:r>
      <w:r>
        <w:rPr>
          <w:rFonts w:ascii="Times New Roman" w:hAnsi="Times New Roman" w:eastAsia="黑体" w:cs="Times New Roman"/>
          <w:bCs/>
          <w:color w:val="auto"/>
          <w:kern w:val="2"/>
          <w:sz w:val="24"/>
          <w:szCs w:val="28"/>
          <w:lang w:val="en-US" w:eastAsia="zh-CN" w:bidi="ar-SA"/>
        </w:rPr>
        <w:t>工艺流程</w:t>
      </w:r>
    </w:p>
    <w:p w14:paraId="03CAB342">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（1）散货（矿建材料（石子）</w:t>
      </w:r>
      <w:r>
        <w:rPr>
          <w:rFonts w:hint="eastAsia" w:cs="Times New Roman"/>
          <w:color w:val="auto"/>
          <w:sz w:val="24"/>
          <w:lang w:eastAsia="zh-CN"/>
        </w:rPr>
        <w:t>、</w:t>
      </w:r>
      <w:r>
        <w:rPr>
          <w:rFonts w:hint="eastAsia" w:cs="Times New Roman"/>
          <w:color w:val="auto"/>
          <w:sz w:val="24"/>
          <w:lang w:val="en-US" w:eastAsia="zh-CN"/>
        </w:rPr>
        <w:t>件杂货</w:t>
      </w:r>
      <w:r>
        <w:rPr>
          <w:rFonts w:hint="eastAsia" w:ascii="Times New Roman" w:hAnsi="Times New Roman" w:eastAsia="宋体" w:cs="Times New Roman"/>
          <w:color w:val="auto"/>
          <w:sz w:val="24"/>
        </w:rPr>
        <w:t>）进口工艺</w:t>
      </w:r>
    </w:p>
    <w:p w14:paraId="7DE165CB">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散货进口</w:t>
      </w:r>
      <w:r>
        <w:rPr>
          <w:rFonts w:ascii="Times New Roman" w:hAnsi="Times New Roman" w:eastAsia="宋体" w:cs="Times New Roman"/>
          <w:color w:val="auto"/>
          <w:sz w:val="24"/>
        </w:rPr>
        <w:t>工艺见图3.2-5。</w:t>
      </w:r>
    </w:p>
    <w:p w14:paraId="3294C590">
      <w:pPr>
        <w:spacing w:line="360" w:lineRule="auto"/>
        <w:ind w:firstLine="420" w:firstLineChars="200"/>
        <w:jc w:val="center"/>
        <w:rPr>
          <w:rFonts w:hint="eastAsia" w:ascii="Times New Roman" w:hAnsi="Times New Roman" w:eastAsia="宋体" w:cs="Times New Roman"/>
          <w:color w:val="auto"/>
          <w:sz w:val="24"/>
        </w:rPr>
      </w:pPr>
      <w:r>
        <w:rPr>
          <w:rFonts w:ascii="Times New Roman" w:hAnsi="Times New Roman" w:eastAsia="宋体" w:cs="Times New Roman"/>
          <w:color w:val="auto"/>
        </w:rPr>
        <w:object>
          <v:shape id="_x0000_i1025" o:spt="75" type="#_x0000_t75" style="height:126.3pt;width:381.2pt;" o:ole="t" filled="f" o:preferrelative="t" stroked="f" coordsize="21600,21600">
            <v:path/>
            <v:fill on="f" focussize="0,0"/>
            <v:stroke on="f"/>
            <v:imagedata r:id="rId51" o:title=""/>
            <o:lock v:ext="edit" aspectratio="t"/>
            <w10:wrap type="none"/>
            <w10:anchorlock/>
          </v:shape>
          <o:OLEObject Type="Embed" ProgID="Visio.Drawing.15" ShapeID="_x0000_i1025" DrawAspect="Content" ObjectID="_1468075725" r:id="rId50">
            <o:LockedField>false</o:LockedField>
          </o:OLEObject>
        </w:object>
      </w:r>
    </w:p>
    <w:p w14:paraId="5D9B5D7D">
      <w:pPr>
        <w:spacing w:line="360" w:lineRule="auto"/>
        <w:ind w:firstLine="480" w:firstLineChars="200"/>
        <w:jc w:val="center"/>
        <w:rPr>
          <w:rFonts w:ascii="Times New Roman" w:hAnsi="Times New Roman" w:eastAsia="宋体" w:cs="Times New Roman"/>
          <w:color w:val="auto"/>
          <w:sz w:val="24"/>
        </w:rPr>
      </w:pPr>
      <w:r>
        <w:rPr>
          <w:rFonts w:ascii="Times New Roman" w:hAnsi="Times New Roman" w:eastAsia="黑体" w:cs="Times New Roman"/>
          <w:color w:val="auto"/>
          <w:sz w:val="24"/>
        </w:rPr>
        <w:t xml:space="preserve">图3.2-5  </w:t>
      </w:r>
      <w:r>
        <w:rPr>
          <w:rFonts w:hint="eastAsia" w:ascii="Times New Roman" w:hAnsi="Times New Roman" w:eastAsia="黑体" w:cs="Times New Roman"/>
          <w:color w:val="auto"/>
          <w:sz w:val="24"/>
        </w:rPr>
        <w:t>散货（矿建材料（石子）</w:t>
      </w:r>
      <w:r>
        <w:rPr>
          <w:rFonts w:hint="eastAsia" w:eastAsia="黑体" w:cs="Times New Roman"/>
          <w:color w:val="auto"/>
          <w:sz w:val="24"/>
          <w:lang w:eastAsia="zh-CN"/>
        </w:rPr>
        <w:t>、</w:t>
      </w:r>
      <w:r>
        <w:rPr>
          <w:rFonts w:hint="eastAsia" w:eastAsia="黑体" w:cs="Times New Roman"/>
          <w:color w:val="auto"/>
          <w:sz w:val="24"/>
          <w:lang w:val="en-US" w:eastAsia="zh-CN"/>
        </w:rPr>
        <w:t>件杂货</w:t>
      </w:r>
      <w:r>
        <w:rPr>
          <w:rFonts w:hint="eastAsia" w:ascii="Times New Roman" w:hAnsi="Times New Roman" w:eastAsia="黑体" w:cs="Times New Roman"/>
          <w:color w:val="auto"/>
          <w:sz w:val="24"/>
        </w:rPr>
        <w:t>）进口</w:t>
      </w:r>
      <w:r>
        <w:rPr>
          <w:rFonts w:ascii="Times New Roman" w:hAnsi="Times New Roman" w:eastAsia="黑体" w:cs="Times New Roman"/>
          <w:color w:val="auto"/>
          <w:sz w:val="24"/>
        </w:rPr>
        <w:t>工艺流程及产污节点示意图</w:t>
      </w:r>
    </w:p>
    <w:p w14:paraId="2E4D980D">
      <w:pPr>
        <w:spacing w:line="360" w:lineRule="auto"/>
        <w:ind w:firstLine="480" w:firstLineChars="200"/>
        <w:rPr>
          <w:rFonts w:hint="eastAsia"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2</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散货（煤炭）</w:t>
      </w:r>
      <w:r>
        <w:rPr>
          <w:rFonts w:ascii="Times New Roman" w:hAnsi="Times New Roman" w:eastAsia="宋体" w:cs="Times New Roman"/>
          <w:color w:val="auto"/>
          <w:sz w:val="24"/>
        </w:rPr>
        <w:t>出口工艺</w:t>
      </w:r>
    </w:p>
    <w:p w14:paraId="1830E0F4">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散货</w:t>
      </w:r>
      <w:r>
        <w:rPr>
          <w:rFonts w:ascii="Times New Roman" w:hAnsi="Times New Roman" w:eastAsia="宋体" w:cs="Times New Roman"/>
          <w:color w:val="auto"/>
          <w:sz w:val="24"/>
        </w:rPr>
        <w:t>出口</w:t>
      </w:r>
      <w:r>
        <w:rPr>
          <w:rFonts w:hint="eastAsia" w:ascii="Times New Roman" w:hAnsi="Times New Roman" w:eastAsia="宋体" w:cs="Times New Roman"/>
          <w:color w:val="auto"/>
          <w:sz w:val="24"/>
        </w:rPr>
        <w:t>工艺见图3</w:t>
      </w:r>
      <w:r>
        <w:rPr>
          <w:rFonts w:ascii="Times New Roman" w:hAnsi="Times New Roman" w:eastAsia="宋体" w:cs="Times New Roman"/>
          <w:color w:val="auto"/>
          <w:sz w:val="24"/>
        </w:rPr>
        <w:t>.2-6。</w:t>
      </w:r>
    </w:p>
    <w:p w14:paraId="3337C627">
      <w:pPr>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object>
          <v:shape id="_x0000_i1026" o:spt="75" type="#_x0000_t75" style="height:126.7pt;width:324.3pt;" o:ole="t" filled="f" o:preferrelative="t" stroked="f" coordsize="21600,21600">
            <v:path/>
            <v:fill on="f" focussize="0,0"/>
            <v:stroke on="f"/>
            <v:imagedata r:id="rId53" o:title=""/>
            <o:lock v:ext="edit" aspectratio="t"/>
            <w10:wrap type="none"/>
            <w10:anchorlock/>
          </v:shape>
          <o:OLEObject Type="Embed" ProgID="Visio.Drawing.15" ShapeID="_x0000_i1026" DrawAspect="Content" ObjectID="_1468075726" r:id="rId52">
            <o:LockedField>false</o:LockedField>
          </o:OLEObject>
        </w:object>
      </w:r>
    </w:p>
    <w:p w14:paraId="738BA9B5">
      <w:pPr>
        <w:spacing w:line="360" w:lineRule="auto"/>
        <w:jc w:val="center"/>
        <w:rPr>
          <w:rFonts w:ascii="Times New Roman" w:hAnsi="Times New Roman" w:eastAsia="宋体" w:cs="Times New Roman"/>
          <w:color w:val="auto"/>
          <w:sz w:val="24"/>
        </w:rPr>
      </w:pPr>
      <w:r>
        <w:rPr>
          <w:rFonts w:ascii="Times New Roman" w:hAnsi="Times New Roman" w:eastAsia="黑体" w:cs="Times New Roman"/>
          <w:color w:val="auto"/>
          <w:sz w:val="24"/>
        </w:rPr>
        <w:t xml:space="preserve">图3.2-6  </w:t>
      </w:r>
      <w:r>
        <w:rPr>
          <w:rFonts w:hint="eastAsia" w:ascii="Times New Roman" w:hAnsi="Times New Roman" w:eastAsia="黑体" w:cs="Times New Roman"/>
          <w:color w:val="auto"/>
          <w:sz w:val="24"/>
        </w:rPr>
        <w:t>散货（煤炭）</w:t>
      </w:r>
      <w:r>
        <w:rPr>
          <w:rFonts w:ascii="Times New Roman" w:hAnsi="Times New Roman" w:eastAsia="黑体" w:cs="Times New Roman"/>
          <w:color w:val="auto"/>
          <w:sz w:val="24"/>
        </w:rPr>
        <w:t>出</w:t>
      </w:r>
      <w:r>
        <w:rPr>
          <w:rFonts w:hint="eastAsia" w:ascii="Times New Roman" w:hAnsi="Times New Roman" w:eastAsia="黑体" w:cs="Times New Roman"/>
          <w:color w:val="auto"/>
          <w:sz w:val="24"/>
        </w:rPr>
        <w:t>口</w:t>
      </w:r>
      <w:r>
        <w:rPr>
          <w:rFonts w:ascii="Times New Roman" w:hAnsi="Times New Roman" w:eastAsia="黑体" w:cs="Times New Roman"/>
          <w:color w:val="auto"/>
          <w:sz w:val="24"/>
        </w:rPr>
        <w:t>工艺流程示意图</w:t>
      </w:r>
    </w:p>
    <w:p w14:paraId="5E63CEC9">
      <w:pPr>
        <w:spacing w:line="400" w:lineRule="exact"/>
        <w:rPr>
          <w:rFonts w:hint="eastAsia" w:eastAsia="黑体"/>
          <w:color w:val="auto"/>
          <w:sz w:val="24"/>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78326295">
      <w:pPr>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drawing>
          <wp:inline distT="0" distB="0" distL="114300" distR="114300">
            <wp:extent cx="7553325" cy="5444490"/>
            <wp:effectExtent l="0" t="0" r="9525" b="3810"/>
            <wp:docPr id="281"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43"/>
                    <pic:cNvPicPr>
                      <a:picLocks noChangeAspect="1"/>
                    </pic:cNvPicPr>
                  </pic:nvPicPr>
                  <pic:blipFill>
                    <a:blip r:embed="rId54"/>
                    <a:stretch>
                      <a:fillRect/>
                    </a:stretch>
                  </pic:blipFill>
                  <pic:spPr>
                    <a:xfrm>
                      <a:off x="0" y="0"/>
                      <a:ext cx="7553325" cy="5444490"/>
                    </a:xfrm>
                    <a:prstGeom prst="rect">
                      <a:avLst/>
                    </a:prstGeom>
                    <a:noFill/>
                    <a:ln>
                      <a:noFill/>
                    </a:ln>
                  </pic:spPr>
                </pic:pic>
              </a:graphicData>
            </a:graphic>
          </wp:inline>
        </w:drawing>
      </w:r>
    </w:p>
    <w:p w14:paraId="4531C29A">
      <w:pPr>
        <w:jc w:val="center"/>
        <w:rPr>
          <w:rFonts w:ascii="Times New Roman" w:hAnsi="Times New Roman" w:eastAsia="宋体" w:cs="Times New Roman"/>
          <w:color w:val="auto"/>
        </w:rPr>
      </w:pPr>
      <w:r>
        <w:rPr>
          <w:rFonts w:hint="eastAsia" w:ascii="Times New Roman" w:hAnsi="Times New Roman" w:eastAsia="黑体" w:cs="Times New Roman"/>
          <w:color w:val="auto"/>
          <w:sz w:val="24"/>
          <w:szCs w:val="24"/>
        </w:rPr>
        <w:t>图3.2-</w:t>
      </w:r>
      <w:r>
        <w:rPr>
          <w:rFonts w:ascii="Times New Roman" w:hAnsi="Times New Roman" w:eastAsia="黑体" w:cs="Times New Roman"/>
          <w:color w:val="auto"/>
          <w:sz w:val="24"/>
          <w:szCs w:val="24"/>
        </w:rPr>
        <w:t>7</w:t>
      </w:r>
      <w:r>
        <w:rPr>
          <w:rFonts w:hint="eastAsia" w:ascii="Times New Roman" w:hAnsi="Times New Roman" w:eastAsia="黑体" w:cs="Times New Roman"/>
          <w:color w:val="auto"/>
          <w:sz w:val="24"/>
          <w:szCs w:val="24"/>
        </w:rPr>
        <w:t xml:space="preserve">  拟建码头工艺平面布置图</w:t>
      </w:r>
      <w:r>
        <w:rPr>
          <w:rFonts w:hint="eastAsia" w:ascii="Times New Roman" w:hAnsi="Times New Roman" w:eastAsia="黑体" w:cs="Times New Roman"/>
          <w:color w:val="auto"/>
          <w:sz w:val="24"/>
        </w:rPr>
        <w:br w:type="page"/>
      </w:r>
      <w:r>
        <w:rPr>
          <w:rFonts w:ascii="Times New Roman" w:hAnsi="Times New Roman" w:eastAsia="宋体" w:cs="Times New Roman"/>
          <w:color w:val="auto"/>
        </w:rPr>
        <w:drawing>
          <wp:inline distT="0" distB="0" distL="114300" distR="114300">
            <wp:extent cx="7481570" cy="5420995"/>
            <wp:effectExtent l="0" t="0" r="5080" b="8255"/>
            <wp:docPr id="280"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44"/>
                    <pic:cNvPicPr>
                      <a:picLocks noChangeAspect="1"/>
                    </pic:cNvPicPr>
                  </pic:nvPicPr>
                  <pic:blipFill>
                    <a:blip r:embed="rId55"/>
                    <a:stretch>
                      <a:fillRect/>
                    </a:stretch>
                  </pic:blipFill>
                  <pic:spPr>
                    <a:xfrm>
                      <a:off x="0" y="0"/>
                      <a:ext cx="7481570" cy="5420995"/>
                    </a:xfrm>
                    <a:prstGeom prst="rect">
                      <a:avLst/>
                    </a:prstGeom>
                    <a:noFill/>
                    <a:ln>
                      <a:noFill/>
                    </a:ln>
                  </pic:spPr>
                </pic:pic>
              </a:graphicData>
            </a:graphic>
          </wp:inline>
        </w:drawing>
      </w:r>
    </w:p>
    <w:p w14:paraId="47A887C3">
      <w:pPr>
        <w:jc w:val="center"/>
        <w:rPr>
          <w:rFonts w:hint="eastAsia" w:ascii="Times New Roman" w:hAnsi="Times New Roman" w:eastAsia="黑体" w:cs="Times New Roman"/>
          <w:color w:val="auto"/>
          <w:sz w:val="24"/>
          <w:szCs w:val="24"/>
        </w:rPr>
      </w:pPr>
      <w:r>
        <w:rPr>
          <w:rFonts w:hint="eastAsia" w:ascii="Times New Roman" w:hAnsi="Times New Roman" w:eastAsia="黑体" w:cs="Times New Roman"/>
          <w:color w:val="auto"/>
          <w:sz w:val="24"/>
          <w:szCs w:val="24"/>
        </w:rPr>
        <w:t>图3.2-</w:t>
      </w:r>
      <w:r>
        <w:rPr>
          <w:rFonts w:ascii="Times New Roman" w:hAnsi="Times New Roman" w:eastAsia="黑体" w:cs="Times New Roman"/>
          <w:color w:val="auto"/>
          <w:sz w:val="24"/>
          <w:szCs w:val="24"/>
        </w:rPr>
        <w:t>8</w:t>
      </w:r>
      <w:r>
        <w:rPr>
          <w:rFonts w:hint="eastAsia" w:ascii="Times New Roman" w:hAnsi="Times New Roman" w:eastAsia="黑体" w:cs="Times New Roman"/>
          <w:color w:val="auto"/>
          <w:sz w:val="24"/>
          <w:szCs w:val="24"/>
        </w:rPr>
        <w:t xml:space="preserve">  拟建码头散货进口工艺断面图</w:t>
      </w:r>
    </w:p>
    <w:p w14:paraId="7C3B8890">
      <w:pPr>
        <w:jc w:val="center"/>
        <w:rPr>
          <w:rFonts w:ascii="Times New Roman" w:hAnsi="Times New Roman" w:eastAsia="宋体" w:cs="Times New Roman"/>
          <w:color w:val="auto"/>
        </w:rPr>
      </w:pPr>
      <w:r>
        <w:rPr>
          <w:rFonts w:ascii="Times New Roman" w:hAnsi="Times New Roman" w:eastAsia="黑体" w:cs="Times New Roman"/>
          <w:color w:val="auto"/>
        </w:rPr>
        <w:br w:type="page"/>
      </w:r>
      <w:r>
        <w:rPr>
          <w:rFonts w:ascii="Times New Roman" w:hAnsi="Times New Roman" w:eastAsia="宋体" w:cs="Times New Roman"/>
          <w:color w:val="auto"/>
        </w:rPr>
        <w:drawing>
          <wp:inline distT="0" distB="0" distL="114300" distR="114300">
            <wp:extent cx="7594600" cy="5480050"/>
            <wp:effectExtent l="0" t="0" r="6350" b="6350"/>
            <wp:docPr id="279"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45"/>
                    <pic:cNvPicPr>
                      <a:picLocks noChangeAspect="1"/>
                    </pic:cNvPicPr>
                  </pic:nvPicPr>
                  <pic:blipFill>
                    <a:blip r:embed="rId56"/>
                    <a:srcRect l="157" t="699"/>
                    <a:stretch>
                      <a:fillRect/>
                    </a:stretch>
                  </pic:blipFill>
                  <pic:spPr>
                    <a:xfrm>
                      <a:off x="0" y="0"/>
                      <a:ext cx="7594600" cy="5480050"/>
                    </a:xfrm>
                    <a:prstGeom prst="rect">
                      <a:avLst/>
                    </a:prstGeom>
                    <a:noFill/>
                    <a:ln>
                      <a:noFill/>
                    </a:ln>
                  </pic:spPr>
                </pic:pic>
              </a:graphicData>
            </a:graphic>
          </wp:inline>
        </w:drawing>
      </w:r>
    </w:p>
    <w:p w14:paraId="0842949A">
      <w:pPr>
        <w:jc w:val="center"/>
        <w:rPr>
          <w:rFonts w:hint="eastAsia" w:ascii="Times New Roman" w:hAnsi="Times New Roman" w:eastAsia="黑体" w:cs="Times New Roman"/>
          <w:color w:val="auto"/>
          <w:sz w:val="24"/>
          <w:szCs w:val="24"/>
        </w:rPr>
      </w:pPr>
      <w:r>
        <w:rPr>
          <w:rFonts w:hint="eastAsia" w:ascii="Times New Roman" w:hAnsi="Times New Roman" w:eastAsia="黑体" w:cs="Times New Roman"/>
          <w:color w:val="auto"/>
          <w:sz w:val="24"/>
          <w:szCs w:val="24"/>
        </w:rPr>
        <w:t>图3.2-</w:t>
      </w:r>
      <w:r>
        <w:rPr>
          <w:rFonts w:ascii="Times New Roman" w:hAnsi="Times New Roman" w:eastAsia="黑体" w:cs="Times New Roman"/>
          <w:color w:val="auto"/>
          <w:sz w:val="24"/>
          <w:szCs w:val="24"/>
        </w:rPr>
        <w:t>9</w:t>
      </w:r>
      <w:r>
        <w:rPr>
          <w:rFonts w:hint="eastAsia" w:ascii="Times New Roman" w:hAnsi="Times New Roman" w:eastAsia="黑体" w:cs="Times New Roman"/>
          <w:color w:val="auto"/>
          <w:sz w:val="24"/>
          <w:szCs w:val="24"/>
        </w:rPr>
        <w:t xml:space="preserve">  拟建码头散货出口工艺断面图</w:t>
      </w:r>
    </w:p>
    <w:p w14:paraId="7828EFEF">
      <w:pPr>
        <w:jc w:val="center"/>
        <w:rPr>
          <w:color w:val="auto"/>
        </w:rPr>
        <w:sectPr>
          <w:pgSz w:w="16840" w:h="11907" w:orient="landscape"/>
          <w:pgMar w:top="1417" w:right="1418" w:bottom="1417"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769FB831">
      <w:pPr>
        <w:adjustRightInd w:val="0"/>
        <w:jc w:val="center"/>
        <w:rPr>
          <w:rFonts w:ascii="Times New Roman" w:hAnsi="Times New Roman" w:eastAsia="宋体"/>
          <w:color w:val="FF0000"/>
          <w:szCs w:val="28"/>
        </w:rPr>
      </w:pPr>
      <w:r>
        <w:rPr>
          <w:rFonts w:ascii="Times New Roman" w:hAnsi="Times New Roman" w:eastAsia="宋体"/>
          <w:color w:val="FF0000"/>
          <w:szCs w:val="28"/>
        </w:rPr>
        <w:drawing>
          <wp:inline distT="0" distB="0" distL="114300" distR="114300">
            <wp:extent cx="9448800" cy="7359015"/>
            <wp:effectExtent l="0" t="0" r="0" b="6985"/>
            <wp:docPr id="134" name="图片 31" descr="3变更后方案-放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31" descr="3变更后方案-放大图"/>
                    <pic:cNvPicPr>
                      <a:picLocks noChangeAspect="1"/>
                    </pic:cNvPicPr>
                  </pic:nvPicPr>
                  <pic:blipFill>
                    <a:blip r:embed="rId57"/>
                    <a:stretch>
                      <a:fillRect/>
                    </a:stretch>
                  </pic:blipFill>
                  <pic:spPr>
                    <a:xfrm>
                      <a:off x="0" y="0"/>
                      <a:ext cx="9448800" cy="7359015"/>
                    </a:xfrm>
                    <a:prstGeom prst="rect">
                      <a:avLst/>
                    </a:prstGeom>
                    <a:noFill/>
                    <a:ln>
                      <a:noFill/>
                    </a:ln>
                  </pic:spPr>
                </pic:pic>
              </a:graphicData>
            </a:graphic>
          </wp:inline>
        </w:drawing>
      </w:r>
    </w:p>
    <w:p w14:paraId="0D6608A1">
      <w:pPr>
        <w:jc w:val="center"/>
        <w:rPr>
          <w:rFonts w:hint="eastAsia" w:ascii="Times New Roman" w:hAnsi="Times New Roman" w:eastAsia="黑体" w:cs="Times New Roman"/>
          <w:color w:val="auto"/>
          <w:sz w:val="24"/>
          <w:szCs w:val="24"/>
        </w:rPr>
        <w:sectPr>
          <w:pgSz w:w="23811" w:h="16838" w:orient="landscape"/>
          <w:pgMar w:top="1800" w:right="1440" w:bottom="1800" w:left="1440" w:header="851" w:footer="992" w:gutter="0"/>
          <w:cols w:space="720" w:num="1"/>
          <w:docGrid w:type="lines" w:linePitch="312" w:charSpace="0"/>
        </w:sectPr>
      </w:pPr>
      <w:r>
        <w:rPr>
          <w:rFonts w:hint="eastAsia" w:ascii="Times New Roman" w:hAnsi="Times New Roman" w:eastAsia="黑体" w:cs="Times New Roman"/>
          <w:color w:val="auto"/>
          <w:sz w:val="24"/>
          <w:szCs w:val="24"/>
        </w:rPr>
        <w:t>图3.2-</w:t>
      </w:r>
      <w:r>
        <w:rPr>
          <w:rFonts w:hint="eastAsia" w:eastAsia="黑体" w:cs="Times New Roman"/>
          <w:color w:val="auto"/>
          <w:sz w:val="24"/>
          <w:szCs w:val="24"/>
          <w:lang w:val="en-US" w:eastAsia="zh-CN"/>
        </w:rPr>
        <w:t>10</w:t>
      </w:r>
      <w:r>
        <w:rPr>
          <w:rFonts w:hint="eastAsia" w:ascii="Times New Roman" w:hAnsi="Times New Roman" w:eastAsia="黑体" w:cs="Times New Roman"/>
          <w:color w:val="auto"/>
          <w:sz w:val="24"/>
          <w:szCs w:val="24"/>
        </w:rPr>
        <w:t xml:space="preserve">  工程平面布置卫星图</w:t>
      </w:r>
    </w:p>
    <w:p w14:paraId="0BD28FF1">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3.2.9</w:t>
      </w:r>
      <w:r>
        <w:rPr>
          <w:rFonts w:ascii="Times New Roman" w:hAnsi="Times New Roman" w:eastAsia="黑体" w:cs="Times New Roman"/>
          <w:bCs/>
          <w:color w:val="auto"/>
          <w:kern w:val="2"/>
          <w:sz w:val="28"/>
          <w:szCs w:val="32"/>
          <w:lang w:val="en-US" w:eastAsia="zh-CN" w:bidi="ar-SA"/>
        </w:rPr>
        <w:t>配套工程</w:t>
      </w:r>
    </w:p>
    <w:p w14:paraId="5C90D77F">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本项目主要配套工程包括：供电、给排水、消防、通信、自动控制、生产等。用水、用电、通信均可依托平圩镇的市政设施。</w:t>
      </w:r>
    </w:p>
    <w:p w14:paraId="3D5D9D55">
      <w:pPr>
        <w:spacing w:line="360" w:lineRule="auto"/>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w:t>
      </w:r>
      <w:r>
        <w:rPr>
          <w:rFonts w:ascii="Times New Roman" w:hAnsi="Times New Roman" w:eastAsia="宋体" w:cs="Times New Roman"/>
          <w:color w:val="auto"/>
          <w:sz w:val="24"/>
          <w:szCs w:val="24"/>
        </w:rPr>
        <w:t>码头区交通概况</w:t>
      </w:r>
    </w:p>
    <w:p w14:paraId="4558CA82">
      <w:pPr>
        <w:spacing w:line="360" w:lineRule="auto"/>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拟建码头处水面开阔，圩堤与淮河大堤之间地势平坦，目前可通过X011县道和X012县道与淮潘公路和S225省道连接，交通便利。</w:t>
      </w:r>
    </w:p>
    <w:p w14:paraId="11E4B1C1">
      <w:pPr>
        <w:spacing w:line="360" w:lineRule="auto"/>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河滩地设置道路，道路总宽度为7m，堤脚处设置上堤道路，斜坡道总长105m，坡度为6%，堤顶处与现有大堤平交，坡顶高程为27.3m；下堤道路连接至大件码头现有的道路，新建斜坡道路，长度为75m，坡度为7.1%。</w:t>
      </w:r>
    </w:p>
    <w:p w14:paraId="19C6E664">
      <w:pPr>
        <w:spacing w:line="360" w:lineRule="auto"/>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（2）</w:t>
      </w:r>
      <w:r>
        <w:rPr>
          <w:rFonts w:ascii="Times New Roman" w:hAnsi="Times New Roman" w:eastAsia="宋体" w:cs="Times New Roman"/>
          <w:color w:val="auto"/>
          <w:sz w:val="24"/>
          <w:szCs w:val="24"/>
        </w:rPr>
        <w:t>供电与照明</w:t>
      </w:r>
    </w:p>
    <w:p w14:paraId="6C3AE0F5">
      <w:pPr>
        <w:spacing w:line="360" w:lineRule="auto"/>
        <w:ind w:firstLine="48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fldChar w:fldCharType="begin"/>
      </w:r>
      <w:r>
        <w:rPr>
          <w:rFonts w:ascii="Times New Roman" w:hAnsi="Times New Roman" w:eastAsia="宋体" w:cs="Times New Roman"/>
          <w:color w:val="auto"/>
          <w:sz w:val="24"/>
          <w:szCs w:val="24"/>
        </w:rPr>
        <w:instrText xml:space="preserve"> </w:instrText>
      </w:r>
      <w:r>
        <w:rPr>
          <w:rFonts w:hint="eastAsia" w:ascii="Times New Roman" w:hAnsi="Times New Roman" w:eastAsia="宋体" w:cs="Times New Roman"/>
          <w:color w:val="auto"/>
          <w:sz w:val="24"/>
          <w:szCs w:val="24"/>
        </w:rPr>
        <w:instrText xml:space="preserve">= 1 \* GB3</w:instrText>
      </w:r>
      <w:r>
        <w:rPr>
          <w:rFonts w:ascii="Times New Roman" w:hAnsi="Times New Roman" w:eastAsia="宋体" w:cs="Times New Roman"/>
          <w:color w:val="auto"/>
          <w:sz w:val="24"/>
          <w:szCs w:val="24"/>
        </w:rPr>
        <w:instrText xml:space="preserve"> </w:instrText>
      </w:r>
      <w:r>
        <w:rPr>
          <w:rFonts w:ascii="Times New Roman" w:hAnsi="Times New Roman" w:eastAsia="宋体" w:cs="Times New Roman"/>
          <w:color w:val="auto"/>
          <w:sz w:val="24"/>
          <w:szCs w:val="24"/>
        </w:rPr>
        <w:fldChar w:fldCharType="separate"/>
      </w:r>
      <w:r>
        <w:rPr>
          <w:rFonts w:hint="eastAsia" w:ascii="Times New Roman" w:hAnsi="Times New Roman" w:eastAsia="宋体" w:cs="Times New Roman"/>
          <w:color w:val="auto"/>
          <w:sz w:val="24"/>
          <w:szCs w:val="24"/>
        </w:rPr>
        <w:t>①</w:t>
      </w:r>
      <w:r>
        <w:rPr>
          <w:rFonts w:ascii="Times New Roman" w:hAnsi="Times New Roman" w:eastAsia="宋体" w:cs="Times New Roman"/>
          <w:color w:val="auto"/>
          <w:sz w:val="24"/>
          <w:szCs w:val="24"/>
        </w:rPr>
        <w:fldChar w:fldCharType="end"/>
      </w:r>
      <w:r>
        <w:rPr>
          <w:rFonts w:ascii="Times New Roman" w:hAnsi="Times New Roman" w:eastAsia="宋体" w:cs="Times New Roman"/>
          <w:color w:val="auto"/>
          <w:sz w:val="24"/>
          <w:szCs w:val="24"/>
        </w:rPr>
        <w:t>供电电源</w:t>
      </w:r>
    </w:p>
    <w:p w14:paraId="7BB48AEF">
      <w:pPr>
        <w:spacing w:line="360" w:lineRule="auto"/>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作业区主用电源从平圩变引入一路10kV高压电源至用电设备，距离约为1.2km。电源电压为10kV，电源频率为50Hz。</w:t>
      </w:r>
    </w:p>
    <w:p w14:paraId="13A12202">
      <w:pPr>
        <w:spacing w:line="360" w:lineRule="auto"/>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本项目低压供电电压为10kV/380V/220V，电源频率为50Hz。</w:t>
      </w:r>
    </w:p>
    <w:p w14:paraId="69697D88">
      <w:pPr>
        <w:spacing w:line="360" w:lineRule="auto"/>
        <w:ind w:firstLine="480"/>
        <w:rPr>
          <w:rFonts w:ascii="Times New Roman" w:hAnsi="Times New Roman" w:eastAsia="宋体" w:cs="Times New Roman"/>
          <w:color w:val="auto"/>
          <w:sz w:val="24"/>
          <w:szCs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w:instrText>
      </w:r>
      <w:r>
        <w:rPr>
          <w:rFonts w:hint="eastAsia" w:ascii="Times New Roman" w:hAnsi="Times New Roman" w:eastAsia="宋体" w:cs="Times New Roman"/>
          <w:color w:val="auto"/>
          <w:sz w:val="24"/>
        </w:rPr>
        <w:instrText xml:space="preserve">= 2 \* GB3</w:instrText>
      </w:r>
      <w:r>
        <w:rPr>
          <w:rFonts w:ascii="Times New Roman" w:hAnsi="Times New Roman" w:eastAsia="宋体" w:cs="Times New Roman"/>
          <w:color w:val="auto"/>
          <w:sz w:val="24"/>
        </w:rPr>
        <w:instrText xml:space="preserve"> </w:instrText>
      </w:r>
      <w:r>
        <w:rPr>
          <w:rFonts w:ascii="Times New Roman" w:hAnsi="Times New Roman" w:eastAsia="宋体" w:cs="Times New Roman"/>
          <w:color w:val="auto"/>
          <w:sz w:val="24"/>
        </w:rPr>
        <w:fldChar w:fldCharType="separate"/>
      </w:r>
      <w:r>
        <w:rPr>
          <w:rFonts w:hint="eastAsia" w:ascii="Times New Roman" w:hAnsi="Times New Roman" w:eastAsia="宋体" w:cs="Times New Roman"/>
          <w:color w:val="auto"/>
          <w:sz w:val="24"/>
        </w:rPr>
        <w:t>②</w:t>
      </w:r>
      <w:r>
        <w:rPr>
          <w:rFonts w:ascii="Times New Roman" w:hAnsi="Times New Roman" w:eastAsia="宋体" w:cs="Times New Roman"/>
          <w:color w:val="auto"/>
          <w:sz w:val="24"/>
        </w:rPr>
        <w:fldChar w:fldCharType="end"/>
      </w:r>
      <w:r>
        <w:rPr>
          <w:rFonts w:hint="eastAsia" w:ascii="Times New Roman" w:hAnsi="Times New Roman" w:eastAsia="宋体" w:cs="Times New Roman"/>
          <w:color w:val="auto"/>
          <w:sz w:val="24"/>
          <w:szCs w:val="24"/>
        </w:rPr>
        <w:t>供电</w:t>
      </w:r>
      <w:r>
        <w:rPr>
          <w:rFonts w:ascii="Times New Roman" w:hAnsi="Times New Roman" w:eastAsia="宋体" w:cs="Times New Roman"/>
          <w:color w:val="auto"/>
          <w:sz w:val="24"/>
          <w:szCs w:val="24"/>
        </w:rPr>
        <w:t>方案</w:t>
      </w:r>
    </w:p>
    <w:p w14:paraId="715AEEFF">
      <w:pPr>
        <w:spacing w:line="360" w:lineRule="auto"/>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本项目供电设计范围为港内电力工程，供电负荷范围为港区内2个1000吨级码头及港内工艺设施、临时办公室的供电、照明等。</w:t>
      </w:r>
    </w:p>
    <w:p w14:paraId="156E058D">
      <w:pPr>
        <w:spacing w:line="360" w:lineRule="auto"/>
        <w:ind w:firstLine="480"/>
        <w:rPr>
          <w:rFonts w:hint="eastAsia" w:ascii="Times New Roman" w:hAnsi="Times New Roman" w:eastAsia="宋体" w:cs="Times New Roman"/>
          <w:color w:val="auto"/>
          <w:sz w:val="24"/>
          <w:szCs w:val="24"/>
          <w:highlight w:val="yellow"/>
        </w:rPr>
      </w:pPr>
      <w:r>
        <w:rPr>
          <w:rFonts w:hint="eastAsia" w:ascii="Times New Roman" w:hAnsi="Times New Roman" w:eastAsia="宋体" w:cs="Times New Roman"/>
          <w:color w:val="auto"/>
          <w:sz w:val="24"/>
          <w:szCs w:val="24"/>
        </w:rPr>
        <w:t>码头供电自码头附近村庄变电所引入，线径为3×16裸铝线，过堤方式采用埋入式。本次设计中仅包含新增设备配电，原有配电房内增容改造由业主自行管理，并应满足本次改造用电需求。</w:t>
      </w:r>
    </w:p>
    <w:p w14:paraId="4E1DF28C">
      <w:pPr>
        <w:spacing w:line="360" w:lineRule="auto"/>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本港区一般供电负荷按三级设计，消防负荷按二级设计。</w:t>
      </w:r>
    </w:p>
    <w:p w14:paraId="5A2920F6">
      <w:pPr>
        <w:spacing w:line="360" w:lineRule="auto"/>
        <w:ind w:firstLine="480"/>
        <w:rPr>
          <w:rFonts w:hint="eastAsia" w:ascii="Times New Roman" w:hAnsi="Times New Roman" w:eastAsia="宋体" w:cs="Times New Roman"/>
          <w:color w:val="auto"/>
          <w:sz w:val="24"/>
          <w:szCs w:val="24"/>
          <w:highlight w:val="yellow"/>
        </w:rPr>
      </w:pPr>
      <w:r>
        <w:rPr>
          <w:rFonts w:hint="eastAsia" w:ascii="Times New Roman" w:hAnsi="Times New Roman" w:eastAsia="宋体" w:cs="Times New Roman"/>
          <w:color w:val="auto"/>
          <w:sz w:val="24"/>
          <w:szCs w:val="24"/>
        </w:rPr>
        <w:t>本项目码头主要用电负荷有：动力配电；防雷及接地；岸电及检修用电。总负荷约为738kW，计算负荷634KVA，变压器容量需求为800KVA。</w:t>
      </w:r>
    </w:p>
    <w:p w14:paraId="4B604B86">
      <w:pPr>
        <w:spacing w:line="360" w:lineRule="auto"/>
        <w:ind w:firstLine="480"/>
        <w:rPr>
          <w:rFonts w:ascii="Times New Roman" w:hAnsi="Times New Roman" w:eastAsia="宋体" w:cs="Times New Roman"/>
          <w:color w:val="auto"/>
          <w:sz w:val="24"/>
          <w:szCs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w:instrText>
      </w:r>
      <w:r>
        <w:rPr>
          <w:rFonts w:hint="eastAsia" w:ascii="Times New Roman" w:hAnsi="Times New Roman" w:eastAsia="宋体" w:cs="Times New Roman"/>
          <w:color w:val="auto"/>
          <w:sz w:val="24"/>
        </w:rPr>
        <w:instrText xml:space="preserve">= 3 \* GB3</w:instrText>
      </w:r>
      <w:r>
        <w:rPr>
          <w:rFonts w:ascii="Times New Roman" w:hAnsi="Times New Roman" w:eastAsia="宋体" w:cs="Times New Roman"/>
          <w:color w:val="auto"/>
          <w:sz w:val="24"/>
        </w:rPr>
        <w:instrText xml:space="preserve"> </w:instrText>
      </w:r>
      <w:r>
        <w:rPr>
          <w:rFonts w:ascii="Times New Roman" w:hAnsi="Times New Roman" w:eastAsia="宋体" w:cs="Times New Roman"/>
          <w:color w:val="auto"/>
          <w:sz w:val="24"/>
        </w:rPr>
        <w:fldChar w:fldCharType="separate"/>
      </w:r>
      <w:r>
        <w:rPr>
          <w:rFonts w:hint="eastAsia" w:ascii="Times New Roman" w:hAnsi="Times New Roman" w:eastAsia="宋体" w:cs="Times New Roman"/>
          <w:color w:val="auto"/>
          <w:sz w:val="24"/>
        </w:rPr>
        <w:t>③</w:t>
      </w:r>
      <w:r>
        <w:rPr>
          <w:rFonts w:ascii="Times New Roman" w:hAnsi="Times New Roman" w:eastAsia="宋体" w:cs="Times New Roman"/>
          <w:color w:val="auto"/>
          <w:sz w:val="24"/>
        </w:rPr>
        <w:fldChar w:fldCharType="end"/>
      </w:r>
      <w:r>
        <w:rPr>
          <w:rFonts w:hint="eastAsia" w:ascii="Times New Roman" w:hAnsi="Times New Roman" w:eastAsia="宋体" w:cs="Times New Roman"/>
          <w:color w:val="auto"/>
          <w:sz w:val="24"/>
          <w:szCs w:val="24"/>
        </w:rPr>
        <w:t>照明</w:t>
      </w:r>
      <w:r>
        <w:rPr>
          <w:rFonts w:ascii="Times New Roman" w:hAnsi="Times New Roman" w:eastAsia="宋体" w:cs="Times New Roman"/>
          <w:color w:val="auto"/>
          <w:sz w:val="24"/>
          <w:szCs w:val="24"/>
        </w:rPr>
        <w:t>方案</w:t>
      </w:r>
    </w:p>
    <w:p w14:paraId="6CCEE902">
      <w:pPr>
        <w:spacing w:line="360" w:lineRule="auto"/>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本次设计仅考虑码头平台警示灯设计。</w:t>
      </w:r>
    </w:p>
    <w:p w14:paraId="30ACA01C">
      <w:pPr>
        <w:spacing w:line="360" w:lineRule="auto"/>
        <w:ind w:firstLine="480"/>
        <w:rPr>
          <w:rFonts w:hint="eastAsia" w:ascii="Times New Roman" w:hAnsi="Times New Roman" w:eastAsia="宋体" w:cs="Times New Roman"/>
          <w:color w:val="auto"/>
          <w:sz w:val="24"/>
          <w:szCs w:val="24"/>
        </w:rPr>
      </w:pPr>
      <w:r>
        <w:rPr>
          <w:rFonts w:ascii="Times New Roman" w:hAnsi="Times New Roman" w:eastAsia="宋体" w:cs="Times New Roman"/>
          <w:color w:val="auto"/>
          <w:sz w:val="24"/>
          <w:szCs w:val="24"/>
        </w:rPr>
        <w:fldChar w:fldCharType="begin"/>
      </w:r>
      <w:r>
        <w:rPr>
          <w:rFonts w:ascii="Times New Roman" w:hAnsi="Times New Roman" w:eastAsia="宋体" w:cs="Times New Roman"/>
          <w:color w:val="auto"/>
          <w:sz w:val="24"/>
          <w:szCs w:val="24"/>
        </w:rPr>
        <w:instrText xml:space="preserve"> </w:instrText>
      </w:r>
      <w:r>
        <w:rPr>
          <w:rFonts w:hint="eastAsia" w:ascii="Times New Roman" w:hAnsi="Times New Roman" w:eastAsia="宋体" w:cs="Times New Roman"/>
          <w:color w:val="auto"/>
          <w:sz w:val="24"/>
          <w:szCs w:val="24"/>
        </w:rPr>
        <w:instrText xml:space="preserve">= 4 \* GB3</w:instrText>
      </w:r>
      <w:r>
        <w:rPr>
          <w:rFonts w:ascii="Times New Roman" w:hAnsi="Times New Roman" w:eastAsia="宋体" w:cs="Times New Roman"/>
          <w:color w:val="auto"/>
          <w:sz w:val="24"/>
          <w:szCs w:val="24"/>
        </w:rPr>
        <w:instrText xml:space="preserve"> </w:instrText>
      </w:r>
      <w:r>
        <w:rPr>
          <w:rFonts w:ascii="Times New Roman" w:hAnsi="Times New Roman" w:eastAsia="宋体" w:cs="Times New Roman"/>
          <w:color w:val="auto"/>
          <w:sz w:val="24"/>
          <w:szCs w:val="24"/>
        </w:rPr>
        <w:fldChar w:fldCharType="separate"/>
      </w:r>
      <w:r>
        <w:rPr>
          <w:rFonts w:hint="eastAsia" w:ascii="Times New Roman" w:hAnsi="Times New Roman" w:eastAsia="宋体" w:cs="Times New Roman"/>
          <w:color w:val="auto"/>
          <w:sz w:val="24"/>
          <w:szCs w:val="24"/>
        </w:rPr>
        <w:t>④</w:t>
      </w:r>
      <w:r>
        <w:rPr>
          <w:rFonts w:ascii="Times New Roman" w:hAnsi="Times New Roman" w:eastAsia="宋体" w:cs="Times New Roman"/>
          <w:color w:val="auto"/>
          <w:sz w:val="24"/>
          <w:szCs w:val="24"/>
        </w:rPr>
        <w:fldChar w:fldCharType="end"/>
      </w:r>
      <w:r>
        <w:rPr>
          <w:rFonts w:ascii="Times New Roman" w:hAnsi="Times New Roman" w:eastAsia="宋体" w:cs="Times New Roman"/>
          <w:color w:val="auto"/>
          <w:sz w:val="24"/>
          <w:szCs w:val="24"/>
        </w:rPr>
        <w:t>防雷与接地</w:t>
      </w:r>
    </w:p>
    <w:p w14:paraId="4CD3A736">
      <w:pPr>
        <w:spacing w:line="360" w:lineRule="auto"/>
        <w:ind w:firstLine="48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1）本项目低压配电系统接地采用TN-C-S系统。</w:t>
      </w:r>
    </w:p>
    <w:p w14:paraId="29D7BFAB">
      <w:pPr>
        <w:spacing w:line="360" w:lineRule="auto"/>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2）本项目属于三类防雷建筑，防雷接地与工作接地共用接地装置，利用自然接地体。码头平台接地电阻不大于1欧姆，其余不大于4欧姆。各类非带电金属管路、外壳均应与接地装置可靠连接。</w:t>
      </w:r>
    </w:p>
    <w:p w14:paraId="2F5A9E95">
      <w:pPr>
        <w:spacing w:line="360" w:lineRule="auto"/>
        <w:ind w:firstLine="48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fldChar w:fldCharType="begin"/>
      </w:r>
      <w:r>
        <w:rPr>
          <w:rFonts w:ascii="Times New Roman" w:hAnsi="Times New Roman" w:eastAsia="宋体" w:cs="Times New Roman"/>
          <w:color w:val="auto"/>
          <w:sz w:val="24"/>
          <w:szCs w:val="24"/>
        </w:rPr>
        <w:instrText xml:space="preserve"> </w:instrText>
      </w:r>
      <w:r>
        <w:rPr>
          <w:rFonts w:hint="eastAsia" w:ascii="Times New Roman" w:hAnsi="Times New Roman" w:eastAsia="宋体" w:cs="Times New Roman"/>
          <w:color w:val="auto"/>
          <w:sz w:val="24"/>
          <w:szCs w:val="24"/>
        </w:rPr>
        <w:instrText xml:space="preserve">= 5 \* GB3</w:instrText>
      </w:r>
      <w:r>
        <w:rPr>
          <w:rFonts w:ascii="Times New Roman" w:hAnsi="Times New Roman" w:eastAsia="宋体" w:cs="Times New Roman"/>
          <w:color w:val="auto"/>
          <w:sz w:val="24"/>
          <w:szCs w:val="24"/>
        </w:rPr>
        <w:instrText xml:space="preserve"> </w:instrText>
      </w:r>
      <w:r>
        <w:rPr>
          <w:rFonts w:ascii="Times New Roman" w:hAnsi="Times New Roman" w:eastAsia="宋体" w:cs="Times New Roman"/>
          <w:color w:val="auto"/>
          <w:sz w:val="24"/>
          <w:szCs w:val="24"/>
        </w:rPr>
        <w:fldChar w:fldCharType="separate"/>
      </w:r>
      <w:r>
        <w:rPr>
          <w:rFonts w:hint="eastAsia" w:ascii="Times New Roman" w:hAnsi="Times New Roman" w:eastAsia="宋体" w:cs="Times New Roman"/>
          <w:color w:val="auto"/>
          <w:sz w:val="24"/>
          <w:szCs w:val="24"/>
        </w:rPr>
        <w:t>⑤</w:t>
      </w:r>
      <w:r>
        <w:rPr>
          <w:rFonts w:ascii="Times New Roman" w:hAnsi="Times New Roman" w:eastAsia="宋体" w:cs="Times New Roman"/>
          <w:color w:val="auto"/>
          <w:sz w:val="24"/>
          <w:szCs w:val="24"/>
        </w:rPr>
        <w:fldChar w:fldCharType="end"/>
      </w:r>
      <w:r>
        <w:rPr>
          <w:rFonts w:ascii="Times New Roman" w:hAnsi="Times New Roman" w:eastAsia="宋体" w:cs="Times New Roman"/>
          <w:color w:val="auto"/>
          <w:sz w:val="24"/>
          <w:szCs w:val="24"/>
        </w:rPr>
        <w:t>岸电设施</w:t>
      </w:r>
    </w:p>
    <w:p w14:paraId="34794A45">
      <w:pPr>
        <w:spacing w:line="360" w:lineRule="auto"/>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在变电所内设置维修工具并兼作对电气设备简单的维护维修。</w:t>
      </w:r>
    </w:p>
    <w:p w14:paraId="606293AD">
      <w:pPr>
        <w:spacing w:line="360" w:lineRule="auto"/>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根据《</w:t>
      </w:r>
      <w:r>
        <w:rPr>
          <w:rFonts w:hint="eastAsia" w:cs="Times New Roman"/>
          <w:color w:val="auto"/>
          <w:sz w:val="24"/>
          <w:szCs w:val="24"/>
          <w:lang w:eastAsia="zh-CN"/>
        </w:rPr>
        <w:t>码头岸电设施建设技术规范</w:t>
      </w:r>
      <w:r>
        <w:rPr>
          <w:rFonts w:hint="eastAsia" w:ascii="Times New Roman" w:hAnsi="Times New Roman" w:eastAsia="宋体" w:cs="Times New Roman"/>
          <w:color w:val="auto"/>
          <w:sz w:val="24"/>
          <w:szCs w:val="24"/>
        </w:rPr>
        <w:t>》</w:t>
      </w:r>
      <w:r>
        <w:rPr>
          <w:rFonts w:hint="eastAsia" w:cs="Times New Roman"/>
          <w:color w:val="auto"/>
          <w:sz w:val="24"/>
          <w:szCs w:val="24"/>
          <w:lang w:eastAsia="zh-CN"/>
        </w:rPr>
        <w:t>JTS 155-2019</w:t>
      </w:r>
      <w:r>
        <w:rPr>
          <w:rFonts w:hint="eastAsia" w:ascii="Times New Roman" w:hAnsi="Times New Roman" w:eastAsia="宋体" w:cs="Times New Roman"/>
          <w:color w:val="auto"/>
          <w:sz w:val="24"/>
          <w:szCs w:val="24"/>
        </w:rPr>
        <w:t>求，每个泊位建设一套岸电插座箱，共设置2套岸电箱，根据实际船舶停靠需求仅为船舶生活用电，每条船舶暂定30</w:t>
      </w:r>
      <w:r>
        <w:rPr>
          <w:rFonts w:hint="eastAsia" w:cs="Times New Roman"/>
          <w:color w:val="auto"/>
          <w:sz w:val="24"/>
          <w:szCs w:val="24"/>
          <w:lang w:eastAsia="zh-CN"/>
        </w:rPr>
        <w:t>kW</w:t>
      </w:r>
      <w:r>
        <w:rPr>
          <w:rFonts w:hint="eastAsia" w:ascii="Times New Roman" w:hAnsi="Times New Roman" w:eastAsia="宋体" w:cs="Times New Roman"/>
          <w:color w:val="auto"/>
          <w:sz w:val="24"/>
          <w:szCs w:val="24"/>
        </w:rPr>
        <w:t>容量，插座箱总成要求采用2.5mm厚度</w:t>
      </w:r>
      <w:r>
        <w:rPr>
          <w:rFonts w:ascii="Times New Roman" w:hAnsi="Times New Roman" w:eastAsia="宋体" w:cs="Times New Roman"/>
          <w:color w:val="auto"/>
          <w:sz w:val="24"/>
          <w:szCs w:val="24"/>
        </w:rPr>
        <w:t>S</w:t>
      </w:r>
      <w:r>
        <w:rPr>
          <w:rFonts w:hint="eastAsia" w:ascii="Times New Roman" w:hAnsi="Times New Roman" w:eastAsia="宋体" w:cs="Times New Roman"/>
          <w:color w:val="auto"/>
          <w:sz w:val="24"/>
          <w:szCs w:val="24"/>
        </w:rPr>
        <w:t>US304材质，防护等级IP55，同时具有一定的防砸及防水能力。插座箱上安装合适容量的电缆插座，岸电箱配备自动电量计量及智能刷卡取电系统。</w:t>
      </w:r>
    </w:p>
    <w:p w14:paraId="589CE995">
      <w:pPr>
        <w:spacing w:line="360" w:lineRule="auto"/>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（3）给</w:t>
      </w:r>
      <w:r>
        <w:rPr>
          <w:rFonts w:ascii="Times New Roman" w:hAnsi="Times New Roman" w:eastAsia="宋体" w:cs="Times New Roman"/>
          <w:color w:val="auto"/>
          <w:sz w:val="24"/>
          <w:szCs w:val="24"/>
        </w:rPr>
        <w:t>排水系统</w:t>
      </w:r>
    </w:p>
    <w:p w14:paraId="3299B5B2">
      <w:pPr>
        <w:spacing w:line="360" w:lineRule="auto"/>
        <w:ind w:firstLine="480" w:firstLineChars="200"/>
        <w:rPr>
          <w:rFonts w:hint="eastAsia" w:ascii="Times New Roman" w:hAnsi="Times New Roman" w:eastAsia="宋体" w:cs="Times New Roman"/>
          <w:color w:val="auto"/>
          <w:sz w:val="24"/>
          <w:szCs w:val="24"/>
        </w:rPr>
      </w:pPr>
      <w:r>
        <w:rPr>
          <w:rFonts w:ascii="Times New Roman" w:hAnsi="Times New Roman" w:eastAsia="宋体" w:cs="Times New Roman"/>
          <w:color w:val="auto"/>
          <w:sz w:val="24"/>
          <w:szCs w:val="24"/>
        </w:rPr>
        <w:fldChar w:fldCharType="begin"/>
      </w:r>
      <w:r>
        <w:rPr>
          <w:rFonts w:ascii="Times New Roman" w:hAnsi="Times New Roman" w:eastAsia="宋体" w:cs="Times New Roman"/>
          <w:color w:val="auto"/>
          <w:sz w:val="24"/>
          <w:szCs w:val="24"/>
        </w:rPr>
        <w:instrText xml:space="preserve"> </w:instrText>
      </w:r>
      <w:r>
        <w:rPr>
          <w:rFonts w:hint="eastAsia" w:ascii="Times New Roman" w:hAnsi="Times New Roman" w:eastAsia="宋体" w:cs="Times New Roman"/>
          <w:color w:val="auto"/>
          <w:sz w:val="24"/>
          <w:szCs w:val="24"/>
        </w:rPr>
        <w:instrText xml:space="preserve">= 1 \* GB3</w:instrText>
      </w:r>
      <w:r>
        <w:rPr>
          <w:rFonts w:ascii="Times New Roman" w:hAnsi="Times New Roman" w:eastAsia="宋体" w:cs="Times New Roman"/>
          <w:color w:val="auto"/>
          <w:sz w:val="24"/>
          <w:szCs w:val="24"/>
        </w:rPr>
        <w:instrText xml:space="preserve"> </w:instrText>
      </w:r>
      <w:r>
        <w:rPr>
          <w:rFonts w:ascii="Times New Roman" w:hAnsi="Times New Roman" w:eastAsia="宋体" w:cs="Times New Roman"/>
          <w:color w:val="auto"/>
          <w:sz w:val="24"/>
          <w:szCs w:val="24"/>
        </w:rPr>
        <w:fldChar w:fldCharType="separate"/>
      </w:r>
      <w:r>
        <w:rPr>
          <w:rFonts w:hint="eastAsia" w:ascii="Times New Roman" w:hAnsi="Times New Roman" w:eastAsia="宋体" w:cs="Times New Roman"/>
          <w:color w:val="auto"/>
          <w:sz w:val="24"/>
          <w:szCs w:val="24"/>
        </w:rPr>
        <w:t>①</w:t>
      </w:r>
      <w:r>
        <w:rPr>
          <w:rFonts w:ascii="Times New Roman" w:hAnsi="Times New Roman" w:eastAsia="宋体" w:cs="Times New Roman"/>
          <w:color w:val="auto"/>
          <w:sz w:val="24"/>
          <w:szCs w:val="24"/>
        </w:rPr>
        <w:fldChar w:fldCharType="end"/>
      </w:r>
      <w:r>
        <w:rPr>
          <w:rFonts w:ascii="Times New Roman" w:hAnsi="Times New Roman" w:eastAsia="宋体" w:cs="Times New Roman"/>
          <w:color w:val="auto"/>
          <w:sz w:val="24"/>
          <w:szCs w:val="24"/>
        </w:rPr>
        <w:t>给水</w:t>
      </w:r>
    </w:p>
    <w:p w14:paraId="567CBA47">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1）供水水源</w:t>
      </w:r>
    </w:p>
    <w:p w14:paraId="03C98C84">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码头用水从平圩镇市政给水管网接管，接管点管径为DN200，接管点压力≥0.3MPa，水质满足《生活饮用水卫生标准》</w:t>
      </w:r>
      <w:r>
        <w:rPr>
          <w:rFonts w:hint="eastAsia" w:cs="Times New Roman"/>
          <w:color w:val="auto"/>
          <w:sz w:val="24"/>
          <w:szCs w:val="24"/>
          <w:lang w:eastAsia="zh-CN"/>
        </w:rPr>
        <w:t>（GB 5749-2022</w:t>
      </w:r>
      <w:r>
        <w:rPr>
          <w:rFonts w:hint="eastAsia" w:ascii="Times New Roman" w:hAnsi="Times New Roman" w:eastAsia="宋体" w:cs="Times New Roman"/>
          <w:color w:val="auto"/>
          <w:sz w:val="24"/>
          <w:szCs w:val="24"/>
        </w:rPr>
        <w:t>）的规定。</w:t>
      </w:r>
    </w:p>
    <w:p w14:paraId="489F84E9">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本项目消防水源来自生活给水管网，接管点压力≥0.25MPa。</w:t>
      </w:r>
    </w:p>
    <w:p w14:paraId="4EFCD223">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2）用水量</w:t>
      </w:r>
    </w:p>
    <w:p w14:paraId="6B770F78">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码头共新建2个1000吨级（水工结构按2000吨级考虑）的通用散货泊位，用水项目有：生活用水、船舶用水、装卸抑尘用水、码头地面冲洗用水、道路喷洒用水、绿化用水、机械车辆冲洗用水及消防用水。</w:t>
      </w:r>
    </w:p>
    <w:p w14:paraId="4CF2E7D7">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用水量根据《河港总体设计规范》（JTS166-2020）等有关规定计算，详见表3</w:t>
      </w:r>
      <w:r>
        <w:rPr>
          <w:rFonts w:ascii="Times New Roman" w:hAnsi="Times New Roman" w:eastAsia="宋体" w:cs="Times New Roman"/>
          <w:color w:val="auto"/>
          <w:sz w:val="24"/>
          <w:szCs w:val="24"/>
        </w:rPr>
        <w:t>.2-7</w:t>
      </w:r>
      <w:r>
        <w:rPr>
          <w:rFonts w:hint="eastAsia" w:ascii="Times New Roman" w:hAnsi="Times New Roman" w:eastAsia="宋体" w:cs="Times New Roman"/>
          <w:color w:val="auto"/>
          <w:sz w:val="24"/>
          <w:szCs w:val="24"/>
        </w:rPr>
        <w:t>。</w:t>
      </w:r>
    </w:p>
    <w:p w14:paraId="137B220F">
      <w:pPr>
        <w:spacing w:line="400" w:lineRule="exact"/>
        <w:jc w:val="center"/>
        <w:rPr>
          <w:rFonts w:eastAsia="黑体"/>
          <w:color w:val="auto"/>
          <w:sz w:val="24"/>
          <w:szCs w:val="24"/>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6BD18698">
      <w:pPr>
        <w:spacing w:line="400" w:lineRule="exact"/>
        <w:jc w:val="center"/>
        <w:rPr>
          <w:rFonts w:ascii="Times New Roman" w:hAnsi="Times New Roman" w:eastAsia="黑体" w:cs="Times New Roman"/>
          <w:color w:val="auto"/>
          <w:sz w:val="24"/>
          <w:szCs w:val="24"/>
        </w:rPr>
      </w:pPr>
      <w:r>
        <w:rPr>
          <w:rFonts w:ascii="Times New Roman" w:hAnsi="Times New Roman" w:eastAsia="黑体" w:cs="Times New Roman"/>
          <w:color w:val="auto"/>
          <w:sz w:val="24"/>
          <w:szCs w:val="24"/>
        </w:rPr>
        <w:t>表3.2-7  项目用水量一览表</w:t>
      </w:r>
      <w:r>
        <w:rPr>
          <w:rFonts w:hint="eastAsia" w:ascii="Times New Roman" w:hAnsi="Times New Roman" w:eastAsia="黑体" w:cs="Times New Roman"/>
          <w:color w:val="auto"/>
          <w:sz w:val="24"/>
          <w:szCs w:val="24"/>
        </w:rPr>
        <w:t xml:space="preserve"> </w:t>
      </w:r>
      <w:r>
        <w:rPr>
          <w:rFonts w:ascii="Times New Roman" w:hAnsi="Times New Roman" w:eastAsia="黑体" w:cs="Times New Roman"/>
          <w:color w:val="auto"/>
          <w:sz w:val="24"/>
          <w:szCs w:val="24"/>
        </w:rPr>
        <w:t xml:space="preserve">   单位：m</w:t>
      </w:r>
      <w:r>
        <w:rPr>
          <w:rFonts w:ascii="Times New Roman" w:hAnsi="Times New Roman" w:eastAsia="黑体" w:cs="Times New Roman"/>
          <w:color w:val="auto"/>
          <w:sz w:val="24"/>
          <w:szCs w:val="24"/>
          <w:vertAlign w:val="superscript"/>
        </w:rPr>
        <w:t>3</w:t>
      </w:r>
      <w:r>
        <w:rPr>
          <w:rFonts w:ascii="Times New Roman" w:hAnsi="Times New Roman" w:eastAsia="黑体" w:cs="Times New Roman"/>
          <w:color w:val="auto"/>
          <w:sz w:val="24"/>
          <w:szCs w:val="24"/>
        </w:rPr>
        <w:t>/</w:t>
      </w:r>
      <w:r>
        <w:rPr>
          <w:rFonts w:hint="eastAsia" w:ascii="Times New Roman" w:hAnsi="Times New Roman" w:eastAsia="黑体" w:cs="Times New Roman"/>
          <w:color w:val="auto"/>
          <w:sz w:val="24"/>
          <w:szCs w:val="24"/>
        </w:rPr>
        <w:t>d</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985"/>
        <w:gridCol w:w="1276"/>
        <w:gridCol w:w="1275"/>
        <w:gridCol w:w="1276"/>
        <w:gridCol w:w="7733"/>
      </w:tblGrid>
      <w:tr w14:paraId="4681A2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noWrap w:val="0"/>
            <w:vAlign w:val="center"/>
          </w:tcPr>
          <w:p w14:paraId="4B018521">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序号</w:t>
            </w:r>
          </w:p>
        </w:tc>
        <w:tc>
          <w:tcPr>
            <w:tcW w:w="1985" w:type="dxa"/>
            <w:noWrap w:val="0"/>
            <w:vAlign w:val="center"/>
          </w:tcPr>
          <w:p w14:paraId="2CD088EC">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用水项目</w:t>
            </w:r>
          </w:p>
        </w:tc>
        <w:tc>
          <w:tcPr>
            <w:tcW w:w="1276" w:type="dxa"/>
            <w:noWrap w:val="0"/>
            <w:vAlign w:val="center"/>
          </w:tcPr>
          <w:p w14:paraId="7F726DFD">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eastAsia" w:ascii="Times New Roman" w:hAnsi="Times New Roman" w:eastAsia="宋体" w:cs="Times New Roman"/>
                <w:b/>
                <w:color w:val="auto"/>
              </w:rPr>
              <w:t>需</w:t>
            </w:r>
            <w:r>
              <w:rPr>
                <w:rFonts w:hint="default" w:ascii="Times New Roman" w:hAnsi="Times New Roman" w:eastAsia="宋体" w:cs="Times New Roman"/>
                <w:b/>
                <w:color w:val="auto"/>
              </w:rPr>
              <w:t>用水</w:t>
            </w:r>
          </w:p>
        </w:tc>
        <w:tc>
          <w:tcPr>
            <w:tcW w:w="1275" w:type="dxa"/>
            <w:noWrap w:val="0"/>
            <w:vAlign w:val="center"/>
          </w:tcPr>
          <w:p w14:paraId="47CF5AE1">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rPr>
            </w:pPr>
            <w:r>
              <w:rPr>
                <w:rFonts w:hint="eastAsia" w:ascii="Times New Roman" w:hAnsi="Times New Roman" w:eastAsia="宋体" w:cs="Times New Roman"/>
                <w:b/>
                <w:color w:val="auto"/>
              </w:rPr>
              <w:t>回用水</w:t>
            </w:r>
          </w:p>
        </w:tc>
        <w:tc>
          <w:tcPr>
            <w:tcW w:w="1276" w:type="dxa"/>
            <w:noWrap w:val="0"/>
            <w:vAlign w:val="center"/>
          </w:tcPr>
          <w:p w14:paraId="2C2CD65D">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rPr>
            </w:pPr>
            <w:r>
              <w:rPr>
                <w:rFonts w:hint="eastAsia" w:ascii="Times New Roman" w:hAnsi="Times New Roman" w:eastAsia="宋体" w:cs="Times New Roman"/>
                <w:b/>
                <w:color w:val="auto"/>
              </w:rPr>
              <w:t>补充水</w:t>
            </w:r>
          </w:p>
        </w:tc>
        <w:tc>
          <w:tcPr>
            <w:tcW w:w="7733" w:type="dxa"/>
            <w:noWrap w:val="0"/>
            <w:vAlign w:val="center"/>
          </w:tcPr>
          <w:p w14:paraId="24ED60BB">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备注</w:t>
            </w:r>
          </w:p>
        </w:tc>
      </w:tr>
      <w:tr w14:paraId="70ABD2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noWrap w:val="0"/>
            <w:vAlign w:val="center"/>
          </w:tcPr>
          <w:p w14:paraId="69A0A66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1</w:t>
            </w:r>
          </w:p>
        </w:tc>
        <w:tc>
          <w:tcPr>
            <w:tcW w:w="1985" w:type="dxa"/>
            <w:noWrap w:val="0"/>
            <w:vAlign w:val="center"/>
          </w:tcPr>
          <w:p w14:paraId="377BF2B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船舶用水量</w:t>
            </w:r>
          </w:p>
        </w:tc>
        <w:tc>
          <w:tcPr>
            <w:tcW w:w="1276" w:type="dxa"/>
            <w:noWrap w:val="0"/>
            <w:vAlign w:val="center"/>
          </w:tcPr>
          <w:p w14:paraId="049C43B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60</w:t>
            </w:r>
          </w:p>
        </w:tc>
        <w:tc>
          <w:tcPr>
            <w:tcW w:w="1275" w:type="dxa"/>
            <w:noWrap w:val="0"/>
            <w:vAlign w:val="center"/>
          </w:tcPr>
          <w:p w14:paraId="344E498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w:t>
            </w:r>
          </w:p>
        </w:tc>
        <w:tc>
          <w:tcPr>
            <w:tcW w:w="1276" w:type="dxa"/>
            <w:noWrap w:val="0"/>
            <w:vAlign w:val="center"/>
          </w:tcPr>
          <w:p w14:paraId="070865E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60</w:t>
            </w:r>
          </w:p>
        </w:tc>
        <w:tc>
          <w:tcPr>
            <w:tcW w:w="7733" w:type="dxa"/>
            <w:noWrap w:val="0"/>
            <w:vAlign w:val="center"/>
          </w:tcPr>
          <w:p w14:paraId="587E9E8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每艘船一次供水</w:t>
            </w:r>
            <w:r>
              <w:rPr>
                <w:rFonts w:hint="default" w:ascii="Times New Roman" w:hAnsi="Times New Roman" w:eastAsia="宋体" w:cs="Times New Roman"/>
                <w:color w:val="auto"/>
              </w:rPr>
              <w:t>30</w:t>
            </w:r>
            <w:r>
              <w:rPr>
                <w:rFonts w:hint="eastAsia" w:ascii="Times New Roman" w:hAnsi="Times New Roman" w:eastAsia="宋体" w:cs="Times New Roman"/>
                <w:color w:val="auto"/>
              </w:rPr>
              <w:t>m</w:t>
            </w:r>
            <w:r>
              <w:rPr>
                <w:rFonts w:hint="eastAsia" w:ascii="Times New Roman" w:hAnsi="Times New Roman" w:eastAsia="宋体" w:cs="Times New Roman"/>
                <w:color w:val="auto"/>
                <w:vertAlign w:val="superscript"/>
              </w:rPr>
              <w:t>3</w:t>
            </w:r>
            <w:r>
              <w:rPr>
                <w:rFonts w:hint="eastAsia" w:ascii="Times New Roman" w:hAnsi="Times New Roman" w:eastAsia="宋体" w:cs="Times New Roman"/>
                <w:color w:val="auto"/>
              </w:rPr>
              <w:t>，加水的船舶数量按</w:t>
            </w:r>
            <w:r>
              <w:rPr>
                <w:rFonts w:hint="default" w:ascii="Times New Roman" w:hAnsi="Times New Roman" w:eastAsia="宋体" w:cs="Times New Roman"/>
                <w:color w:val="auto"/>
              </w:rPr>
              <w:t>2</w:t>
            </w:r>
            <w:r>
              <w:rPr>
                <w:rFonts w:hint="eastAsia" w:ascii="Times New Roman" w:hAnsi="Times New Roman" w:eastAsia="宋体" w:cs="Times New Roman"/>
                <w:color w:val="auto"/>
              </w:rPr>
              <w:t>艘计，加水时间1h</w:t>
            </w:r>
          </w:p>
        </w:tc>
      </w:tr>
      <w:tr w14:paraId="6949D5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noWrap w:val="0"/>
            <w:vAlign w:val="center"/>
          </w:tcPr>
          <w:p w14:paraId="6E61525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2</w:t>
            </w:r>
          </w:p>
        </w:tc>
        <w:tc>
          <w:tcPr>
            <w:tcW w:w="1985" w:type="dxa"/>
            <w:noWrap w:val="0"/>
            <w:vAlign w:val="center"/>
          </w:tcPr>
          <w:p w14:paraId="51CB2B9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码头员工</w:t>
            </w:r>
            <w:r>
              <w:rPr>
                <w:rFonts w:hint="default" w:ascii="Times New Roman" w:hAnsi="Times New Roman" w:eastAsia="宋体" w:cs="Times New Roman"/>
                <w:color w:val="auto"/>
              </w:rPr>
              <w:t>生活用水</w:t>
            </w:r>
          </w:p>
        </w:tc>
        <w:tc>
          <w:tcPr>
            <w:tcW w:w="1276" w:type="dxa"/>
            <w:noWrap w:val="0"/>
            <w:vAlign w:val="center"/>
          </w:tcPr>
          <w:p w14:paraId="1F2C33A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0.8</w:t>
            </w:r>
          </w:p>
        </w:tc>
        <w:tc>
          <w:tcPr>
            <w:tcW w:w="1275" w:type="dxa"/>
            <w:noWrap w:val="0"/>
            <w:vAlign w:val="center"/>
          </w:tcPr>
          <w:p w14:paraId="0339475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w:t>
            </w:r>
          </w:p>
        </w:tc>
        <w:tc>
          <w:tcPr>
            <w:tcW w:w="1276" w:type="dxa"/>
            <w:noWrap w:val="0"/>
            <w:vAlign w:val="center"/>
          </w:tcPr>
          <w:p w14:paraId="2E54103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0.8</w:t>
            </w:r>
          </w:p>
        </w:tc>
        <w:tc>
          <w:tcPr>
            <w:tcW w:w="7733" w:type="dxa"/>
            <w:noWrap w:val="0"/>
            <w:vAlign w:val="center"/>
          </w:tcPr>
          <w:p w14:paraId="453E1D4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动定员8人，码头年运行天数为210天</w:t>
            </w:r>
          </w:p>
        </w:tc>
      </w:tr>
      <w:tr w14:paraId="1F6A25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noWrap w:val="0"/>
            <w:vAlign w:val="center"/>
          </w:tcPr>
          <w:p w14:paraId="1A62942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3</w:t>
            </w:r>
          </w:p>
        </w:tc>
        <w:tc>
          <w:tcPr>
            <w:tcW w:w="1985" w:type="dxa"/>
            <w:noWrap w:val="0"/>
            <w:vAlign w:val="center"/>
          </w:tcPr>
          <w:p w14:paraId="62A74BC9">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装卸抑尘用水</w:t>
            </w:r>
          </w:p>
        </w:tc>
        <w:tc>
          <w:tcPr>
            <w:tcW w:w="1276" w:type="dxa"/>
            <w:noWrap w:val="0"/>
            <w:vAlign w:val="center"/>
          </w:tcPr>
          <w:p w14:paraId="704115B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43.2</w:t>
            </w:r>
          </w:p>
        </w:tc>
        <w:tc>
          <w:tcPr>
            <w:tcW w:w="1275" w:type="dxa"/>
            <w:noWrap w:val="0"/>
            <w:vAlign w:val="center"/>
          </w:tcPr>
          <w:p w14:paraId="46D431B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w:t>
            </w:r>
          </w:p>
        </w:tc>
        <w:tc>
          <w:tcPr>
            <w:tcW w:w="1276" w:type="dxa"/>
            <w:noWrap w:val="0"/>
            <w:vAlign w:val="center"/>
          </w:tcPr>
          <w:p w14:paraId="79620EB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43.2</w:t>
            </w:r>
          </w:p>
        </w:tc>
        <w:tc>
          <w:tcPr>
            <w:tcW w:w="7733" w:type="dxa"/>
            <w:noWrap w:val="0"/>
            <w:vAlign w:val="center"/>
          </w:tcPr>
          <w:p w14:paraId="2F2BB8D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工艺抑尘水考虑微雾抑尘，按1.5L/min</w:t>
            </w:r>
            <w:r>
              <w:rPr>
                <w:rFonts w:hint="default" w:ascii="Times New Roman" w:hAnsi="Times New Roman" w:eastAsia="宋体" w:cs="Times New Roman"/>
                <w:color w:val="auto"/>
              </w:rPr>
              <w:t>·</w:t>
            </w:r>
            <w:r>
              <w:rPr>
                <w:rFonts w:hint="eastAsia" w:ascii="Times New Roman" w:hAnsi="Times New Roman" w:eastAsia="宋体" w:cs="Times New Roman"/>
                <w:color w:val="auto"/>
              </w:rPr>
              <w:t>点考虑，泊位及装船机抑尘点按</w:t>
            </w:r>
            <w:r>
              <w:rPr>
                <w:rFonts w:hint="default" w:ascii="Times New Roman" w:hAnsi="Times New Roman" w:eastAsia="宋体" w:cs="Times New Roman"/>
                <w:color w:val="auto"/>
              </w:rPr>
              <w:t>5</w:t>
            </w:r>
            <w:r>
              <w:rPr>
                <w:rFonts w:hint="eastAsia" w:ascii="Times New Roman" w:hAnsi="Times New Roman" w:eastAsia="宋体" w:cs="Times New Roman"/>
                <w:color w:val="auto"/>
              </w:rPr>
              <w:t>处考虑，每处12个喷头，连续供水时间按8h计</w:t>
            </w:r>
          </w:p>
        </w:tc>
      </w:tr>
      <w:tr w14:paraId="57C276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noWrap w:val="0"/>
            <w:vAlign w:val="center"/>
          </w:tcPr>
          <w:p w14:paraId="4C6CCA4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4</w:t>
            </w:r>
          </w:p>
        </w:tc>
        <w:tc>
          <w:tcPr>
            <w:tcW w:w="1985" w:type="dxa"/>
            <w:noWrap w:val="0"/>
            <w:vAlign w:val="center"/>
          </w:tcPr>
          <w:p w14:paraId="184CE7AF">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码头地面</w:t>
            </w:r>
            <w:r>
              <w:rPr>
                <w:rFonts w:hint="default" w:ascii="Times New Roman" w:hAnsi="Times New Roman" w:eastAsia="宋体" w:cs="Times New Roman"/>
                <w:color w:val="auto"/>
              </w:rPr>
              <w:t>冲洗</w:t>
            </w:r>
            <w:r>
              <w:rPr>
                <w:rFonts w:hint="eastAsia" w:ascii="Times New Roman" w:hAnsi="Times New Roman" w:eastAsia="宋体" w:cs="Times New Roman"/>
                <w:color w:val="auto"/>
              </w:rPr>
              <w:t>用</w:t>
            </w:r>
            <w:r>
              <w:rPr>
                <w:rFonts w:hint="default" w:ascii="Times New Roman" w:hAnsi="Times New Roman" w:eastAsia="宋体" w:cs="Times New Roman"/>
                <w:color w:val="auto"/>
              </w:rPr>
              <w:t>水</w:t>
            </w:r>
          </w:p>
        </w:tc>
        <w:tc>
          <w:tcPr>
            <w:tcW w:w="1276" w:type="dxa"/>
            <w:noWrap w:val="0"/>
            <w:vAlign w:val="center"/>
          </w:tcPr>
          <w:p w14:paraId="3F4F4BC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1</w:t>
            </w:r>
            <w:r>
              <w:rPr>
                <w:rFonts w:hint="default" w:ascii="Times New Roman" w:hAnsi="Times New Roman" w:eastAsia="宋体" w:cs="Times New Roman"/>
                <w:color w:val="auto"/>
              </w:rPr>
              <w:t>0</w:t>
            </w:r>
          </w:p>
        </w:tc>
        <w:tc>
          <w:tcPr>
            <w:tcW w:w="1275" w:type="dxa"/>
            <w:noWrap w:val="0"/>
            <w:vAlign w:val="center"/>
          </w:tcPr>
          <w:p w14:paraId="5C264B7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8</w:t>
            </w:r>
          </w:p>
        </w:tc>
        <w:tc>
          <w:tcPr>
            <w:tcW w:w="1276" w:type="dxa"/>
            <w:noWrap w:val="0"/>
            <w:vAlign w:val="center"/>
          </w:tcPr>
          <w:p w14:paraId="366DB97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2</w:t>
            </w:r>
          </w:p>
        </w:tc>
        <w:tc>
          <w:tcPr>
            <w:tcW w:w="7733" w:type="dxa"/>
            <w:noWrap w:val="0"/>
            <w:vAlign w:val="center"/>
          </w:tcPr>
          <w:p w14:paraId="72E5C99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按每次5L/m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计算，码头</w:t>
            </w:r>
            <w:r>
              <w:rPr>
                <w:rFonts w:hint="eastAsia" w:ascii="Times New Roman" w:hAnsi="Times New Roman" w:eastAsia="宋体" w:cs="Times New Roman"/>
                <w:color w:val="auto"/>
              </w:rPr>
              <w:t>作业</w:t>
            </w:r>
            <w:r>
              <w:rPr>
                <w:rFonts w:hint="default" w:ascii="Times New Roman" w:hAnsi="Times New Roman" w:eastAsia="宋体" w:cs="Times New Roman"/>
                <w:color w:val="auto"/>
              </w:rPr>
              <w:t>区面积约4000m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，每</w:t>
            </w:r>
            <w:r>
              <w:rPr>
                <w:rFonts w:hint="eastAsia" w:ascii="Times New Roman" w:hAnsi="Times New Roman" w:eastAsia="宋体" w:cs="Times New Roman"/>
                <w:color w:val="auto"/>
              </w:rPr>
              <w:t>2天</w:t>
            </w:r>
            <w:r>
              <w:rPr>
                <w:rFonts w:hint="default" w:ascii="Times New Roman" w:hAnsi="Times New Roman" w:eastAsia="宋体" w:cs="Times New Roman"/>
                <w:color w:val="auto"/>
              </w:rPr>
              <w:t>冲洗一次</w:t>
            </w:r>
          </w:p>
        </w:tc>
      </w:tr>
      <w:tr w14:paraId="74A5DA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noWrap w:val="0"/>
            <w:vAlign w:val="center"/>
          </w:tcPr>
          <w:p w14:paraId="060780D3">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5</w:t>
            </w:r>
          </w:p>
        </w:tc>
        <w:tc>
          <w:tcPr>
            <w:tcW w:w="1985" w:type="dxa"/>
            <w:noWrap w:val="0"/>
            <w:vAlign w:val="center"/>
          </w:tcPr>
          <w:p w14:paraId="6ED17953">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道路喷洒用水</w:t>
            </w:r>
          </w:p>
        </w:tc>
        <w:tc>
          <w:tcPr>
            <w:tcW w:w="1276" w:type="dxa"/>
            <w:noWrap w:val="0"/>
            <w:vAlign w:val="center"/>
          </w:tcPr>
          <w:p w14:paraId="1D49D6F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1</w:t>
            </w:r>
            <w:r>
              <w:rPr>
                <w:rFonts w:hint="default" w:ascii="Times New Roman" w:hAnsi="Times New Roman" w:eastAsia="宋体" w:cs="Times New Roman"/>
                <w:color w:val="auto"/>
              </w:rPr>
              <w:t>2</w:t>
            </w:r>
          </w:p>
        </w:tc>
        <w:tc>
          <w:tcPr>
            <w:tcW w:w="1275" w:type="dxa"/>
            <w:noWrap w:val="0"/>
            <w:vAlign w:val="center"/>
          </w:tcPr>
          <w:p w14:paraId="2BC4ED6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9</w:t>
            </w:r>
            <w:r>
              <w:rPr>
                <w:rFonts w:hint="default" w:ascii="Times New Roman" w:hAnsi="Times New Roman" w:eastAsia="宋体" w:cs="Times New Roman"/>
                <w:color w:val="auto"/>
              </w:rPr>
              <w:t>.577</w:t>
            </w:r>
          </w:p>
        </w:tc>
        <w:tc>
          <w:tcPr>
            <w:tcW w:w="1276" w:type="dxa"/>
            <w:noWrap w:val="0"/>
            <w:vAlign w:val="center"/>
          </w:tcPr>
          <w:p w14:paraId="3327212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2</w:t>
            </w:r>
            <w:r>
              <w:rPr>
                <w:rFonts w:hint="default" w:ascii="Times New Roman" w:hAnsi="Times New Roman" w:eastAsia="宋体" w:cs="Times New Roman"/>
                <w:color w:val="auto"/>
              </w:rPr>
              <w:t>.423</w:t>
            </w:r>
          </w:p>
        </w:tc>
        <w:tc>
          <w:tcPr>
            <w:tcW w:w="7733" w:type="dxa"/>
            <w:noWrap w:val="0"/>
            <w:vAlign w:val="center"/>
          </w:tcPr>
          <w:p w14:paraId="13FA4DD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18"/>
              </w:rPr>
            </w:pPr>
            <w:r>
              <w:rPr>
                <w:rFonts w:hint="default" w:ascii="Times New Roman" w:hAnsi="Times New Roman" w:eastAsia="宋体" w:cs="Times New Roman"/>
                <w:color w:val="auto"/>
                <w:szCs w:val="18"/>
              </w:rPr>
              <w:t>按每次2L/m</w:t>
            </w:r>
            <w:r>
              <w:rPr>
                <w:rFonts w:hint="default" w:ascii="Times New Roman" w:hAnsi="Times New Roman" w:eastAsia="宋体" w:cs="Times New Roman"/>
                <w:color w:val="auto"/>
                <w:szCs w:val="18"/>
                <w:vertAlign w:val="superscript"/>
              </w:rPr>
              <w:t>2</w:t>
            </w:r>
            <w:r>
              <w:rPr>
                <w:rFonts w:hint="default" w:ascii="Times New Roman" w:hAnsi="Times New Roman" w:eastAsia="宋体" w:cs="Times New Roman"/>
                <w:color w:val="auto"/>
                <w:szCs w:val="18"/>
              </w:rPr>
              <w:t>计算，</w:t>
            </w:r>
            <w:r>
              <w:rPr>
                <w:rFonts w:hint="eastAsia" w:ascii="Times New Roman" w:hAnsi="Times New Roman" w:eastAsia="宋体" w:cs="Times New Roman"/>
                <w:color w:val="auto"/>
                <w:szCs w:val="18"/>
              </w:rPr>
              <w:t>道路</w:t>
            </w:r>
            <w:r>
              <w:rPr>
                <w:rFonts w:hint="default" w:ascii="Times New Roman" w:hAnsi="Times New Roman" w:eastAsia="宋体" w:cs="Times New Roman"/>
                <w:color w:val="auto"/>
                <w:szCs w:val="18"/>
              </w:rPr>
              <w:t>面积约3000m</w:t>
            </w:r>
            <w:r>
              <w:rPr>
                <w:rFonts w:hint="default" w:ascii="Times New Roman" w:hAnsi="Times New Roman" w:eastAsia="宋体" w:cs="Times New Roman"/>
                <w:color w:val="auto"/>
                <w:szCs w:val="18"/>
                <w:vertAlign w:val="superscript"/>
              </w:rPr>
              <w:t>2</w:t>
            </w:r>
            <w:r>
              <w:rPr>
                <w:rFonts w:hint="default" w:ascii="Times New Roman" w:hAnsi="Times New Roman" w:eastAsia="宋体" w:cs="Times New Roman"/>
                <w:color w:val="auto"/>
                <w:szCs w:val="18"/>
              </w:rPr>
              <w:t>，每</w:t>
            </w:r>
            <w:r>
              <w:rPr>
                <w:rFonts w:hint="eastAsia" w:ascii="Times New Roman" w:hAnsi="Times New Roman" w:eastAsia="宋体" w:cs="Times New Roman"/>
                <w:color w:val="auto"/>
                <w:szCs w:val="18"/>
              </w:rPr>
              <w:t>天</w:t>
            </w:r>
            <w:r>
              <w:rPr>
                <w:rFonts w:hint="default" w:ascii="Times New Roman" w:hAnsi="Times New Roman" w:eastAsia="宋体" w:cs="Times New Roman"/>
                <w:color w:val="auto"/>
                <w:szCs w:val="18"/>
              </w:rPr>
              <w:t>冲洗</w:t>
            </w:r>
            <w:r>
              <w:rPr>
                <w:rFonts w:hint="eastAsia" w:ascii="Times New Roman" w:hAnsi="Times New Roman" w:eastAsia="宋体" w:cs="Times New Roman"/>
                <w:color w:val="auto"/>
                <w:szCs w:val="18"/>
              </w:rPr>
              <w:t>2</w:t>
            </w:r>
            <w:r>
              <w:rPr>
                <w:rFonts w:hint="default" w:ascii="Times New Roman" w:hAnsi="Times New Roman" w:eastAsia="宋体" w:cs="Times New Roman"/>
                <w:color w:val="auto"/>
                <w:szCs w:val="18"/>
              </w:rPr>
              <w:t>次</w:t>
            </w:r>
          </w:p>
        </w:tc>
      </w:tr>
      <w:tr w14:paraId="31B5A0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noWrap w:val="0"/>
            <w:vAlign w:val="center"/>
          </w:tcPr>
          <w:p w14:paraId="590FFBBD">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6</w:t>
            </w:r>
          </w:p>
        </w:tc>
        <w:tc>
          <w:tcPr>
            <w:tcW w:w="1985" w:type="dxa"/>
            <w:noWrap w:val="0"/>
            <w:vAlign w:val="center"/>
          </w:tcPr>
          <w:p w14:paraId="114CF6F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绿化用水</w:t>
            </w:r>
          </w:p>
        </w:tc>
        <w:tc>
          <w:tcPr>
            <w:tcW w:w="1276" w:type="dxa"/>
            <w:noWrap w:val="0"/>
            <w:vAlign w:val="center"/>
          </w:tcPr>
          <w:p w14:paraId="62EB6E5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2.857</w:t>
            </w:r>
          </w:p>
        </w:tc>
        <w:tc>
          <w:tcPr>
            <w:tcW w:w="1275" w:type="dxa"/>
            <w:noWrap w:val="0"/>
            <w:vAlign w:val="center"/>
          </w:tcPr>
          <w:p w14:paraId="4D2064D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2.857</w:t>
            </w:r>
          </w:p>
        </w:tc>
        <w:tc>
          <w:tcPr>
            <w:tcW w:w="1276" w:type="dxa"/>
            <w:noWrap w:val="0"/>
            <w:vAlign w:val="center"/>
          </w:tcPr>
          <w:p w14:paraId="064D017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c>
          <w:tcPr>
            <w:tcW w:w="7733" w:type="dxa"/>
            <w:noWrap w:val="0"/>
            <w:vAlign w:val="center"/>
          </w:tcPr>
          <w:p w14:paraId="2C64650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Cs w:val="18"/>
              </w:rPr>
            </w:pPr>
            <w:r>
              <w:rPr>
                <w:rFonts w:hint="eastAsia" w:ascii="宋体" w:hAnsi="宋体" w:eastAsia="宋体" w:cs="Times New Roman"/>
                <w:color w:val="auto"/>
                <w:szCs w:val="18"/>
              </w:rPr>
              <w:t>绿化面积约</w:t>
            </w:r>
            <w:r>
              <w:rPr>
                <w:rFonts w:hint="default" w:ascii="Times New Roman" w:hAnsi="Times New Roman" w:eastAsia="宋体" w:cs="Times New Roman"/>
                <w:color w:val="auto"/>
                <w:szCs w:val="18"/>
              </w:rPr>
              <w:t>10000m</w:t>
            </w:r>
            <w:r>
              <w:rPr>
                <w:rFonts w:hint="default" w:ascii="Times New Roman" w:hAnsi="Times New Roman" w:eastAsia="宋体" w:cs="Times New Roman"/>
                <w:color w:val="auto"/>
                <w:szCs w:val="18"/>
                <w:vertAlign w:val="superscript"/>
              </w:rPr>
              <w:t>2</w:t>
            </w:r>
            <w:r>
              <w:rPr>
                <w:rFonts w:hint="default" w:ascii="宋体" w:hAnsi="宋体" w:eastAsia="宋体" w:cs="Times New Roman"/>
                <w:color w:val="auto"/>
                <w:szCs w:val="18"/>
              </w:rPr>
              <w:t>，每周一次，港区绿化洒水按</w:t>
            </w:r>
            <w:r>
              <w:rPr>
                <w:rFonts w:hint="eastAsia" w:ascii="Times New Roman" w:hAnsi="Times New Roman" w:eastAsia="宋体" w:cs="Times New Roman"/>
                <w:color w:val="auto"/>
                <w:szCs w:val="18"/>
              </w:rPr>
              <w:t>2</w:t>
            </w:r>
            <w:r>
              <w:rPr>
                <w:rFonts w:hint="default" w:ascii="Times New Roman" w:hAnsi="Times New Roman" w:eastAsia="宋体" w:cs="Times New Roman"/>
                <w:color w:val="auto"/>
                <w:szCs w:val="18"/>
              </w:rPr>
              <w:t>.0L/m</w:t>
            </w:r>
            <w:r>
              <w:rPr>
                <w:rFonts w:hint="default" w:ascii="Times New Roman" w:hAnsi="Times New Roman" w:eastAsia="宋体" w:cs="Times New Roman"/>
                <w:color w:val="auto"/>
                <w:szCs w:val="18"/>
                <w:vertAlign w:val="superscript"/>
              </w:rPr>
              <w:t>2</w:t>
            </w:r>
            <w:r>
              <w:rPr>
                <w:rFonts w:hint="default" w:ascii="Times New Roman" w:hAnsi="Times New Roman" w:eastAsia="宋体" w:cs="Times New Roman"/>
                <w:color w:val="auto"/>
                <w:szCs w:val="18"/>
              </w:rPr>
              <w:t>·</w:t>
            </w:r>
            <w:r>
              <w:rPr>
                <w:rFonts w:hint="default" w:ascii="宋体" w:hAnsi="宋体" w:eastAsia="宋体" w:cs="Times New Roman"/>
                <w:color w:val="auto"/>
                <w:szCs w:val="18"/>
              </w:rPr>
              <w:t>次计</w:t>
            </w:r>
          </w:p>
        </w:tc>
      </w:tr>
      <w:tr w14:paraId="28EADB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noWrap w:val="0"/>
            <w:vAlign w:val="center"/>
          </w:tcPr>
          <w:p w14:paraId="2C87FC7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7</w:t>
            </w:r>
          </w:p>
        </w:tc>
        <w:tc>
          <w:tcPr>
            <w:tcW w:w="1985" w:type="dxa"/>
            <w:noWrap w:val="0"/>
            <w:vAlign w:val="center"/>
          </w:tcPr>
          <w:p w14:paraId="36556A16">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机械车辆冲洗用水</w:t>
            </w:r>
          </w:p>
        </w:tc>
        <w:tc>
          <w:tcPr>
            <w:tcW w:w="1276" w:type="dxa"/>
            <w:noWrap w:val="0"/>
            <w:vAlign w:val="center"/>
          </w:tcPr>
          <w:p w14:paraId="5173E12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7.2</w:t>
            </w:r>
          </w:p>
        </w:tc>
        <w:tc>
          <w:tcPr>
            <w:tcW w:w="1275" w:type="dxa"/>
            <w:noWrap w:val="0"/>
            <w:vAlign w:val="center"/>
          </w:tcPr>
          <w:p w14:paraId="450D505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6.480</w:t>
            </w:r>
          </w:p>
        </w:tc>
        <w:tc>
          <w:tcPr>
            <w:tcW w:w="1276" w:type="dxa"/>
            <w:noWrap w:val="0"/>
            <w:vAlign w:val="center"/>
          </w:tcPr>
          <w:p w14:paraId="3E779E6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0.720</w:t>
            </w:r>
          </w:p>
        </w:tc>
        <w:tc>
          <w:tcPr>
            <w:tcW w:w="7733" w:type="dxa"/>
            <w:noWrap w:val="0"/>
            <w:vAlign w:val="center"/>
          </w:tcPr>
          <w:p w14:paraId="0B41F87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工艺机械按</w:t>
            </w:r>
            <w:r>
              <w:rPr>
                <w:rFonts w:hint="default" w:ascii="Times New Roman" w:hAnsi="Times New Roman" w:eastAsia="宋体" w:cs="Times New Roman"/>
                <w:color w:val="auto"/>
              </w:rPr>
              <w:t>6</w:t>
            </w:r>
            <w:r>
              <w:rPr>
                <w:rFonts w:hint="eastAsia" w:ascii="Times New Roman" w:hAnsi="Times New Roman" w:eastAsia="宋体" w:cs="Times New Roman"/>
                <w:color w:val="auto"/>
              </w:rPr>
              <w:t>台考虑，冲洗水量按60</w:t>
            </w:r>
            <w:r>
              <w:rPr>
                <w:rFonts w:hint="default" w:ascii="Times New Roman" w:hAnsi="Times New Roman" w:eastAsia="宋体" w:cs="Times New Roman"/>
                <w:color w:val="auto"/>
              </w:rPr>
              <w:t>0</w:t>
            </w:r>
            <w:r>
              <w:rPr>
                <w:rFonts w:hint="eastAsia" w:ascii="Times New Roman" w:hAnsi="Times New Roman" w:eastAsia="宋体" w:cs="Times New Roman"/>
                <w:color w:val="auto"/>
              </w:rPr>
              <w:t>L/台</w:t>
            </w:r>
            <w:r>
              <w:rPr>
                <w:rFonts w:hint="default" w:ascii="Times New Roman" w:hAnsi="Times New Roman" w:eastAsia="宋体" w:cs="Times New Roman"/>
                <w:color w:val="auto"/>
              </w:rPr>
              <w:t>·</w:t>
            </w:r>
            <w:r>
              <w:rPr>
                <w:rFonts w:hint="eastAsia" w:ascii="Times New Roman" w:hAnsi="Times New Roman" w:eastAsia="宋体" w:cs="Times New Roman"/>
                <w:color w:val="auto"/>
              </w:rPr>
              <w:t>次考虑，每2天一次，每次冲洗60s</w:t>
            </w:r>
          </w:p>
        </w:tc>
      </w:tr>
      <w:tr w14:paraId="3E5ACA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noWrap w:val="0"/>
            <w:vAlign w:val="center"/>
          </w:tcPr>
          <w:p w14:paraId="3090E2F0">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8</w:t>
            </w:r>
          </w:p>
        </w:tc>
        <w:tc>
          <w:tcPr>
            <w:tcW w:w="1985" w:type="dxa"/>
            <w:noWrap w:val="0"/>
            <w:vAlign w:val="center"/>
          </w:tcPr>
          <w:p w14:paraId="670A8D2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合计</w:t>
            </w:r>
          </w:p>
        </w:tc>
        <w:tc>
          <w:tcPr>
            <w:tcW w:w="1276" w:type="dxa"/>
            <w:noWrap w:val="0"/>
            <w:vAlign w:val="center"/>
          </w:tcPr>
          <w:p w14:paraId="1A5F32C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1</w:t>
            </w:r>
            <w:r>
              <w:rPr>
                <w:rFonts w:hint="default" w:ascii="Times New Roman" w:hAnsi="Times New Roman" w:eastAsia="宋体" w:cs="Times New Roman"/>
                <w:color w:val="auto"/>
              </w:rPr>
              <w:t>36.057</w:t>
            </w:r>
          </w:p>
        </w:tc>
        <w:tc>
          <w:tcPr>
            <w:tcW w:w="1275" w:type="dxa"/>
            <w:noWrap w:val="0"/>
            <w:vAlign w:val="center"/>
          </w:tcPr>
          <w:p w14:paraId="37E8B79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26.914</w:t>
            </w:r>
          </w:p>
        </w:tc>
        <w:tc>
          <w:tcPr>
            <w:tcW w:w="1276" w:type="dxa"/>
            <w:noWrap w:val="0"/>
            <w:vAlign w:val="center"/>
          </w:tcPr>
          <w:p w14:paraId="294CDC8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109.143</w:t>
            </w:r>
          </w:p>
        </w:tc>
        <w:tc>
          <w:tcPr>
            <w:tcW w:w="7733" w:type="dxa"/>
            <w:noWrap w:val="0"/>
            <w:vAlign w:val="center"/>
          </w:tcPr>
          <w:p w14:paraId="188764BA">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不含消防量</w:t>
            </w:r>
          </w:p>
        </w:tc>
      </w:tr>
      <w:tr w14:paraId="08B8E9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5" w:type="dxa"/>
            <w:noWrap w:val="0"/>
            <w:vAlign w:val="center"/>
          </w:tcPr>
          <w:p w14:paraId="44CB1F5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9</w:t>
            </w:r>
          </w:p>
        </w:tc>
        <w:tc>
          <w:tcPr>
            <w:tcW w:w="1985" w:type="dxa"/>
            <w:noWrap w:val="0"/>
            <w:vAlign w:val="center"/>
          </w:tcPr>
          <w:p w14:paraId="3CB766D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消防水量</w:t>
            </w:r>
          </w:p>
        </w:tc>
        <w:tc>
          <w:tcPr>
            <w:tcW w:w="1276" w:type="dxa"/>
            <w:noWrap w:val="0"/>
            <w:vAlign w:val="center"/>
          </w:tcPr>
          <w:p w14:paraId="0B9D00B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162（m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/次）</w:t>
            </w:r>
          </w:p>
        </w:tc>
        <w:tc>
          <w:tcPr>
            <w:tcW w:w="1275" w:type="dxa"/>
            <w:noWrap w:val="0"/>
            <w:vAlign w:val="center"/>
          </w:tcPr>
          <w:p w14:paraId="4AD3861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w:t>
            </w:r>
          </w:p>
        </w:tc>
        <w:tc>
          <w:tcPr>
            <w:tcW w:w="1276" w:type="dxa"/>
            <w:noWrap w:val="0"/>
            <w:vAlign w:val="center"/>
          </w:tcPr>
          <w:p w14:paraId="4D48BC3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162（m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/次）</w:t>
            </w:r>
          </w:p>
        </w:tc>
        <w:tc>
          <w:tcPr>
            <w:tcW w:w="7733" w:type="dxa"/>
            <w:noWrap w:val="0"/>
            <w:vAlign w:val="center"/>
          </w:tcPr>
          <w:p w14:paraId="46CACD7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室外1</w:t>
            </w:r>
            <w:r>
              <w:rPr>
                <w:rFonts w:hint="default" w:ascii="Times New Roman" w:hAnsi="Times New Roman" w:eastAsia="宋体" w:cs="Times New Roman"/>
                <w:color w:val="auto"/>
              </w:rPr>
              <w:t>5</w:t>
            </w:r>
            <w:r>
              <w:rPr>
                <w:rFonts w:hint="eastAsia" w:ascii="Times New Roman" w:hAnsi="Times New Roman" w:eastAsia="宋体" w:cs="Times New Roman"/>
                <w:color w:val="auto"/>
              </w:rPr>
              <w:t>L/s，灭火延续时间3h</w:t>
            </w:r>
          </w:p>
        </w:tc>
      </w:tr>
    </w:tbl>
    <w:p w14:paraId="19DBA0A6">
      <w:pPr>
        <w:spacing w:line="360" w:lineRule="auto"/>
        <w:ind w:firstLine="480" w:firstLineChars="200"/>
        <w:rPr>
          <w:color w:val="auto"/>
          <w:sz w:val="24"/>
        </w:rPr>
        <w:sectPr>
          <w:pgSz w:w="16840" w:h="11907" w:orient="landscape"/>
          <w:pgMar w:top="1418" w:right="1418" w:bottom="1418" w:left="1418" w:header="851" w:footer="851" w:gutter="0"/>
          <w:pgBorders>
            <w:top w:val="none" w:sz="0" w:space="0"/>
            <w:left w:val="none" w:sz="0" w:space="0"/>
            <w:bottom w:val="none" w:sz="0" w:space="0"/>
            <w:right w:val="none" w:sz="0" w:space="0"/>
          </w:pgBorders>
          <w:cols w:space="720" w:num="1"/>
          <w:docGrid w:type="lines" w:linePitch="312" w:charSpace="0"/>
        </w:sectPr>
      </w:pPr>
    </w:p>
    <w:p w14:paraId="1B2C799E">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w:instrText>
      </w:r>
      <w:r>
        <w:rPr>
          <w:rFonts w:hint="eastAsia" w:ascii="Times New Roman" w:hAnsi="Times New Roman" w:eastAsia="宋体" w:cs="Times New Roman"/>
          <w:color w:val="auto"/>
          <w:sz w:val="24"/>
        </w:rPr>
        <w:instrText xml:space="preserve">= 2 \* GB3</w:instrText>
      </w:r>
      <w:r>
        <w:rPr>
          <w:rFonts w:ascii="Times New Roman" w:hAnsi="Times New Roman" w:eastAsia="宋体" w:cs="Times New Roman"/>
          <w:color w:val="auto"/>
          <w:sz w:val="24"/>
        </w:rPr>
        <w:instrText xml:space="preserve"> </w:instrText>
      </w:r>
      <w:r>
        <w:rPr>
          <w:rFonts w:ascii="Times New Roman" w:hAnsi="Times New Roman" w:eastAsia="宋体" w:cs="Times New Roman"/>
          <w:color w:val="auto"/>
          <w:sz w:val="24"/>
        </w:rPr>
        <w:fldChar w:fldCharType="separate"/>
      </w:r>
      <w:r>
        <w:rPr>
          <w:rFonts w:hint="eastAsia" w:ascii="Times New Roman" w:hAnsi="Times New Roman" w:eastAsia="宋体" w:cs="Times New Roman"/>
          <w:color w:val="auto"/>
          <w:sz w:val="24"/>
        </w:rPr>
        <w:t>②</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排水</w:t>
      </w:r>
    </w:p>
    <w:p w14:paraId="49092434">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1）排水体制</w:t>
      </w:r>
    </w:p>
    <w:p w14:paraId="7936EE77">
      <w:pPr>
        <w:spacing w:line="360" w:lineRule="auto"/>
        <w:ind w:firstLine="480" w:firstLineChars="200"/>
        <w:rPr>
          <w:rFonts w:hint="eastAsia" w:ascii="Times New Roman" w:hAnsi="Times New Roman" w:eastAsia="宋体" w:cs="Times New Roman"/>
          <w:color w:val="auto"/>
          <w:sz w:val="24"/>
          <w:szCs w:val="24"/>
        </w:rPr>
      </w:pPr>
      <w:r>
        <w:rPr>
          <w:rFonts w:ascii="Times New Roman" w:hAnsi="Times New Roman" w:eastAsia="宋体" w:cs="Times New Roman"/>
          <w:color w:val="auto"/>
          <w:sz w:val="24"/>
          <w:szCs w:val="24"/>
        </w:rPr>
        <w:t>港区排水采用雨、污分流排水体制。</w:t>
      </w:r>
    </w:p>
    <w:p w14:paraId="0284C014">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2</w:t>
      </w:r>
      <w:r>
        <w:rPr>
          <w:rFonts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rPr>
        <w:t>排水</w:t>
      </w:r>
      <w:r>
        <w:rPr>
          <w:rFonts w:ascii="Times New Roman" w:hAnsi="Times New Roman" w:eastAsia="宋体" w:cs="Times New Roman"/>
          <w:color w:val="auto"/>
          <w:sz w:val="24"/>
          <w:szCs w:val="24"/>
        </w:rPr>
        <w:t>系统</w:t>
      </w:r>
    </w:p>
    <w:p w14:paraId="52FBA430">
      <w:pPr>
        <w:spacing w:line="360" w:lineRule="auto"/>
        <w:ind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暴雨公式采用淮南暴雨强度公式：</w:t>
      </w:r>
    </w:p>
    <w:p w14:paraId="2FD41D81">
      <w:pPr>
        <w:spacing w:line="360" w:lineRule="auto"/>
        <w:jc w:val="cente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q=3600×（1+0.761×lgP）/(t+14)^0.84</w:t>
      </w:r>
    </w:p>
    <w:p w14:paraId="26814973">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式中：q—暴雨强度（</w:t>
      </w:r>
      <w:r>
        <w:rPr>
          <w:rFonts w:hint="eastAsia" w:ascii="Times New Roman" w:hAnsi="Times New Roman" w:eastAsia="宋体" w:cs="Times New Roman"/>
          <w:color w:val="auto"/>
          <w:sz w:val="24"/>
          <w:szCs w:val="24"/>
        </w:rPr>
        <w:t>L</w:t>
      </w:r>
      <w:r>
        <w:rPr>
          <w:rFonts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rPr>
        <w:t>s</w:t>
      </w:r>
      <w:r>
        <w:rPr>
          <w:rFonts w:ascii="Times New Roman" w:hAnsi="Times New Roman" w:eastAsia="宋体" w:cs="Times New Roman"/>
          <w:color w:val="auto"/>
          <w:sz w:val="24"/>
          <w:szCs w:val="24"/>
        </w:rPr>
        <w:t>·hm</w:t>
      </w:r>
      <w:r>
        <w:rPr>
          <w:rFonts w:ascii="Times New Roman" w:hAnsi="Times New Roman" w:eastAsia="宋体" w:cs="Times New Roman"/>
          <w:color w:val="auto"/>
          <w:sz w:val="24"/>
          <w:szCs w:val="24"/>
          <w:vertAlign w:val="superscript"/>
        </w:rPr>
        <w:t>2</w:t>
      </w:r>
      <w:r>
        <w:rPr>
          <w:rFonts w:ascii="Times New Roman" w:hAnsi="Times New Roman" w:eastAsia="宋体" w:cs="Times New Roman"/>
          <w:color w:val="auto"/>
          <w:sz w:val="24"/>
          <w:szCs w:val="24"/>
        </w:rPr>
        <w:t>）；</w:t>
      </w:r>
    </w:p>
    <w:p w14:paraId="4F72B10C">
      <w:pPr>
        <w:spacing w:line="360" w:lineRule="auto"/>
        <w:ind w:firstLine="1200" w:firstLineChars="5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P—重现期，取</w:t>
      </w:r>
      <w:r>
        <w:rPr>
          <w:rFonts w:ascii="Times New Roman" w:hAnsi="Times New Roman" w:eastAsia="宋体" w:cs="Times New Roman"/>
          <w:color w:val="auto"/>
          <w:sz w:val="24"/>
          <w:szCs w:val="24"/>
        </w:rPr>
        <w:t>3</w:t>
      </w:r>
      <w:r>
        <w:rPr>
          <w:rFonts w:hint="eastAsia" w:ascii="Times New Roman" w:hAnsi="Times New Roman" w:eastAsia="宋体" w:cs="Times New Roman"/>
          <w:color w:val="auto"/>
          <w:sz w:val="24"/>
          <w:szCs w:val="24"/>
        </w:rPr>
        <w:t>年；</w:t>
      </w:r>
    </w:p>
    <w:p w14:paraId="2AC6FCFB">
      <w:pPr>
        <w:spacing w:line="360" w:lineRule="auto"/>
        <w:ind w:firstLine="1200" w:firstLineChars="5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t</w:t>
      </w:r>
      <w:r>
        <w:rPr>
          <w:rFonts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rPr>
        <w:t>降雨</w:t>
      </w:r>
      <w:r>
        <w:rPr>
          <w:rFonts w:ascii="Times New Roman" w:hAnsi="Times New Roman" w:eastAsia="宋体" w:cs="Times New Roman"/>
          <w:color w:val="auto"/>
          <w:sz w:val="24"/>
          <w:szCs w:val="24"/>
        </w:rPr>
        <w:t>历时，取</w:t>
      </w:r>
      <w:r>
        <w:rPr>
          <w:rFonts w:hint="eastAsia" w:ascii="Times New Roman" w:hAnsi="Times New Roman" w:eastAsia="宋体" w:cs="Times New Roman"/>
          <w:color w:val="auto"/>
          <w:sz w:val="24"/>
          <w:szCs w:val="24"/>
        </w:rPr>
        <w:t>1</w:t>
      </w:r>
      <w:r>
        <w:rPr>
          <w:rFonts w:ascii="Times New Roman" w:hAnsi="Times New Roman" w:eastAsia="宋体" w:cs="Times New Roman"/>
          <w:color w:val="auto"/>
          <w:sz w:val="24"/>
          <w:szCs w:val="24"/>
        </w:rPr>
        <w:t>5min；</w:t>
      </w:r>
    </w:p>
    <w:p w14:paraId="17A81BAD">
      <w:pPr>
        <w:spacing w:line="360" w:lineRule="auto"/>
        <w:ind w:firstLine="480" w:firstLineChars="200"/>
        <w:rPr>
          <w:rFonts w:hint="eastAsia" w:ascii="Times New Roman" w:hAnsi="Times New Roman" w:eastAsia="宋体" w:cs="Times New Roman"/>
          <w:color w:val="auto"/>
          <w:sz w:val="24"/>
          <w:szCs w:val="24"/>
        </w:rPr>
      </w:pPr>
      <w:r>
        <w:rPr>
          <w:rFonts w:ascii="Times New Roman" w:hAnsi="Times New Roman" w:eastAsia="宋体" w:cs="Times New Roman"/>
          <w:color w:val="auto"/>
          <w:sz w:val="24"/>
          <w:szCs w:val="24"/>
        </w:rPr>
        <w:t>计算结果q=290.01</w:t>
      </w:r>
      <w:r>
        <w:rPr>
          <w:rFonts w:hint="eastAsia" w:ascii="Times New Roman" w:hAnsi="Times New Roman" w:eastAsia="宋体" w:cs="Times New Roman"/>
          <w:color w:val="auto"/>
          <w:sz w:val="24"/>
          <w:szCs w:val="24"/>
        </w:rPr>
        <w:t>L</w:t>
      </w:r>
      <w:r>
        <w:rPr>
          <w:rFonts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rPr>
        <w:t>s</w:t>
      </w:r>
      <w:r>
        <w:rPr>
          <w:rFonts w:ascii="Times New Roman" w:hAnsi="Times New Roman" w:eastAsia="宋体" w:cs="Times New Roman"/>
          <w:color w:val="auto"/>
          <w:sz w:val="24"/>
          <w:szCs w:val="24"/>
        </w:rPr>
        <w:t>·hm</w:t>
      </w:r>
      <w:r>
        <w:rPr>
          <w:rFonts w:ascii="Times New Roman" w:hAnsi="Times New Roman" w:eastAsia="宋体" w:cs="Times New Roman"/>
          <w:color w:val="auto"/>
          <w:sz w:val="24"/>
          <w:szCs w:val="24"/>
          <w:vertAlign w:val="superscript"/>
        </w:rPr>
        <w:t>2</w:t>
      </w:r>
      <w:r>
        <w:rPr>
          <w:rFonts w:hint="eastAsia" w:ascii="Times New Roman" w:hAnsi="Times New Roman" w:eastAsia="宋体" w:cs="Times New Roman"/>
          <w:color w:val="auto"/>
          <w:sz w:val="24"/>
          <w:szCs w:val="24"/>
        </w:rPr>
        <w:t>。</w:t>
      </w:r>
    </w:p>
    <w:p w14:paraId="23B2793C">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其中码头径流系数v取0.9，办公区、绿化等径流系数b取0.4，重现期</w:t>
      </w:r>
      <w:r>
        <w:rPr>
          <w:rFonts w:ascii="Times New Roman" w:hAnsi="Times New Roman" w:eastAsia="宋体" w:cs="Times New Roman"/>
          <w:color w:val="auto"/>
          <w:sz w:val="24"/>
          <w:szCs w:val="24"/>
        </w:rPr>
        <w:t>Р</w:t>
      </w:r>
      <w:r>
        <w:rPr>
          <w:rFonts w:hint="eastAsia" w:ascii="Times New Roman" w:hAnsi="Times New Roman" w:eastAsia="宋体" w:cs="Times New Roman"/>
          <w:color w:val="auto"/>
          <w:sz w:val="24"/>
          <w:szCs w:val="24"/>
        </w:rPr>
        <w:t>采用3年，降雨历时t=t1+t2。不同功能区采用雨水分别收集的方式，经计算，码头作业区初期雨水量为174m</w:t>
      </w:r>
      <w:r>
        <w:rPr>
          <w:rFonts w:hint="eastAsia" w:ascii="Times New Roman" w:hAnsi="Times New Roman" w:eastAsia="宋体" w:cs="Times New Roman"/>
          <w:color w:val="auto"/>
          <w:sz w:val="24"/>
          <w:szCs w:val="24"/>
          <w:vertAlign w:val="superscript"/>
        </w:rPr>
        <w:t>3</w:t>
      </w:r>
      <w:r>
        <w:rPr>
          <w:rFonts w:hint="eastAsia" w:ascii="Times New Roman" w:hAnsi="Times New Roman" w:eastAsia="宋体" w:cs="Times New Roman"/>
          <w:color w:val="auto"/>
          <w:sz w:val="24"/>
          <w:szCs w:val="24"/>
        </w:rPr>
        <w:t>。</w:t>
      </w:r>
    </w:p>
    <w:p w14:paraId="6F745F92">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码头附近新建沉淀池的设计尺寸取15×6×2m，有效容积</w:t>
      </w:r>
      <w:r>
        <w:rPr>
          <w:rFonts w:ascii="Times New Roman" w:hAnsi="Times New Roman" w:eastAsia="宋体" w:cs="Times New Roman"/>
          <w:color w:val="auto"/>
          <w:sz w:val="24"/>
          <w:szCs w:val="24"/>
        </w:rPr>
        <w:t>180</w:t>
      </w:r>
      <w:r>
        <w:rPr>
          <w:rFonts w:hint="eastAsia" w:ascii="Times New Roman" w:hAnsi="Times New Roman" w:eastAsia="宋体" w:cs="Times New Roman"/>
          <w:color w:val="auto"/>
          <w:sz w:val="24"/>
          <w:szCs w:val="24"/>
        </w:rPr>
        <w:t>m</w:t>
      </w:r>
      <w:r>
        <w:rPr>
          <w:rFonts w:hint="eastAsia" w:ascii="Times New Roman" w:hAnsi="Times New Roman" w:eastAsia="宋体" w:cs="Times New Roman"/>
          <w:color w:val="auto"/>
          <w:sz w:val="24"/>
          <w:szCs w:val="24"/>
          <w:vertAlign w:val="superscript"/>
        </w:rPr>
        <w:t>3</w:t>
      </w:r>
      <w:r>
        <w:rPr>
          <w:rFonts w:hint="eastAsia" w:ascii="Times New Roman" w:hAnsi="Times New Roman" w:eastAsia="宋体" w:cs="Times New Roman"/>
          <w:color w:val="auto"/>
          <w:sz w:val="24"/>
          <w:szCs w:val="24"/>
        </w:rPr>
        <w:t>，钢筋砼结构。码头后方设置散水沟B=500mm，靠近码头后沿侧为钢筋砼排水沟，坡度3.0‰，带钢格栅盖板。砖砌排水沟坡度1.5‰，详见给排水平面图。排水沟雨水排至沉淀池，并通过沉淀池闸板阀的启闭实现初期雨水与后期雨水的分离。码头初期雨水收集后静置经沉淀泵送隔油沉淀池后进入一体化污水处理设备处理，码头后期雨水排入河中。</w:t>
      </w:r>
    </w:p>
    <w:p w14:paraId="79F0EA71">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船舶污水主要为船舶生活污水和船舶含油污水。船舶生活污水管及船舶含油污水管沿码头前沿敷设，采用DN100内外热无缝镀锌钢管，管道公称压力不小于1.</w:t>
      </w:r>
      <w:r>
        <w:rPr>
          <w:rFonts w:ascii="Times New Roman" w:hAnsi="Times New Roman" w:eastAsia="宋体" w:cs="Times New Roman"/>
          <w:color w:val="auto"/>
          <w:sz w:val="24"/>
          <w:szCs w:val="24"/>
        </w:rPr>
        <w:t>0</w:t>
      </w:r>
      <w:r>
        <w:rPr>
          <w:rFonts w:hint="eastAsia" w:ascii="Times New Roman" w:hAnsi="Times New Roman" w:eastAsia="宋体" w:cs="Times New Roman"/>
          <w:color w:val="auto"/>
          <w:sz w:val="24"/>
          <w:szCs w:val="24"/>
        </w:rPr>
        <w:t>MPa。所有管道外露处须做保温处理，采用橡塑管壳保温。卡箍连接。本次设计码头2个泊位共设置2个自吸泵（自带推车）。</w:t>
      </w:r>
    </w:p>
    <w:p w14:paraId="6B0A20EA">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码头地面冲洗废水、机械车辆冲洗废水、码头初期雨水、船舶含油污水及船舶生活污水收集后泵入隔油沉淀池（</w:t>
      </w:r>
      <w:r>
        <w:rPr>
          <w:rFonts w:ascii="Times New Roman" w:hAnsi="Times New Roman" w:eastAsia="宋体" w:cs="Times New Roman"/>
          <w:color w:val="auto"/>
          <w:sz w:val="24"/>
          <w:szCs w:val="24"/>
        </w:rPr>
        <w:t>15m×6m×2m</w:t>
      </w:r>
      <w:r>
        <w:rPr>
          <w:rFonts w:hint="eastAsia" w:ascii="Times New Roman" w:hAnsi="Times New Roman" w:eastAsia="宋体" w:cs="Times New Roman"/>
          <w:color w:val="auto"/>
          <w:sz w:val="24"/>
          <w:szCs w:val="24"/>
        </w:rPr>
        <w:t>）经沉淀预处理进入一体化处理设施达标后排入港区回用水池，废水处理后满足《城市污水再生利用 城市杂用水水质》</w:t>
      </w:r>
      <w:r>
        <w:rPr>
          <w:rFonts w:hint="eastAsia" w:cs="Times New Roman"/>
          <w:color w:val="auto"/>
          <w:sz w:val="24"/>
          <w:szCs w:val="24"/>
          <w:lang w:eastAsia="zh-CN"/>
        </w:rPr>
        <w:t>（</w:t>
      </w:r>
      <w:r>
        <w:rPr>
          <w:rFonts w:hint="eastAsia" w:ascii="Times New Roman" w:hAnsi="Times New Roman" w:eastAsia="宋体" w:cs="Times New Roman"/>
          <w:color w:val="auto"/>
          <w:sz w:val="24"/>
          <w:szCs w:val="24"/>
        </w:rPr>
        <w:t>GB/T18920-20</w:t>
      </w:r>
      <w:r>
        <w:rPr>
          <w:rFonts w:ascii="Times New Roman" w:hAnsi="Times New Roman" w:eastAsia="宋体" w:cs="Times New Roman"/>
          <w:color w:val="auto"/>
          <w:sz w:val="24"/>
          <w:szCs w:val="24"/>
        </w:rPr>
        <w:t>20</w:t>
      </w:r>
      <w:r>
        <w:rPr>
          <w:rFonts w:hint="eastAsia" w:ascii="Times New Roman" w:hAnsi="Times New Roman" w:eastAsia="宋体" w:cs="Times New Roman"/>
          <w:color w:val="auto"/>
          <w:sz w:val="24"/>
          <w:szCs w:val="24"/>
        </w:rPr>
        <w:t>）中“城市绿化</w:t>
      </w:r>
      <w:r>
        <w:rPr>
          <w:rFonts w:hint="eastAsia" w:cs="Times New Roman"/>
          <w:color w:val="auto"/>
          <w:sz w:val="24"/>
          <w:szCs w:val="24"/>
          <w:lang w:eastAsia="zh-CN"/>
        </w:rPr>
        <w:t>”“</w:t>
      </w:r>
      <w:r>
        <w:rPr>
          <w:rFonts w:hint="eastAsia" w:ascii="Times New Roman" w:hAnsi="Times New Roman" w:eastAsia="宋体" w:cs="Times New Roman"/>
          <w:color w:val="auto"/>
          <w:sz w:val="24"/>
          <w:szCs w:val="24"/>
        </w:rPr>
        <w:t>道路清扫、消防”及“车辆冲洗”相应标准，用于道路喷洒、绿化、机械车辆冲洗及码头地面冲洗，后期雨水排入河中。</w:t>
      </w:r>
    </w:p>
    <w:p w14:paraId="43DA2FBF">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码头陆域生活污水利用周边已有旱厕，收集后用于当地农田或林地肥料。</w:t>
      </w:r>
    </w:p>
    <w:p w14:paraId="25F52C18">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3</w:t>
      </w:r>
      <w:r>
        <w:rPr>
          <w:rFonts w:ascii="Times New Roman" w:hAnsi="Times New Roman" w:eastAsia="宋体" w:cs="Times New Roman"/>
          <w:color w:val="auto"/>
          <w:sz w:val="24"/>
        </w:rPr>
        <w:t>）辅助设施</w:t>
      </w:r>
    </w:p>
    <w:p w14:paraId="710132C4">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整个港区建筑主要有管理房、危废库等。</w:t>
      </w:r>
    </w:p>
    <w:p w14:paraId="4C66D92B">
      <w:pPr>
        <w:spacing w:line="360" w:lineRule="auto"/>
        <w:ind w:firstLine="480" w:firstLineChars="200"/>
        <w:rPr>
          <w:rFonts w:hint="eastAsia" w:cs="Times New Roman"/>
          <w:color w:val="auto"/>
          <w:sz w:val="24"/>
          <w:lang w:val="en-US" w:eastAsia="zh-CN"/>
        </w:rPr>
      </w:pPr>
      <w:r>
        <w:rPr>
          <w:rFonts w:hint="eastAsia" w:cs="Times New Roman"/>
          <w:color w:val="auto"/>
          <w:sz w:val="24"/>
          <w:lang w:eastAsia="zh-CN"/>
        </w:rPr>
        <w:t>（</w:t>
      </w:r>
      <w:r>
        <w:rPr>
          <w:rFonts w:hint="eastAsia" w:cs="Times New Roman"/>
          <w:color w:val="auto"/>
          <w:sz w:val="24"/>
          <w:lang w:val="en-US" w:eastAsia="zh-CN"/>
        </w:rPr>
        <w:t>4</w:t>
      </w:r>
      <w:r>
        <w:rPr>
          <w:rFonts w:hint="eastAsia" w:cs="Times New Roman"/>
          <w:color w:val="auto"/>
          <w:sz w:val="24"/>
          <w:lang w:eastAsia="zh-CN"/>
        </w:rPr>
        <w:t>）</w:t>
      </w:r>
      <w:r>
        <w:rPr>
          <w:rFonts w:hint="eastAsia" w:cs="Times New Roman"/>
          <w:color w:val="auto"/>
          <w:sz w:val="24"/>
          <w:lang w:val="en-US" w:eastAsia="zh-CN"/>
        </w:rPr>
        <w:t>散货运输方式</w:t>
      </w:r>
    </w:p>
    <w:p w14:paraId="313E451E">
      <w:pPr>
        <w:spacing w:line="360" w:lineRule="auto"/>
        <w:ind w:firstLine="480" w:firstLineChars="200"/>
        <w:rPr>
          <w:rFonts w:hint="default" w:cs="Times New Roman"/>
          <w:color w:val="auto"/>
          <w:sz w:val="24"/>
          <w:lang w:val="en-US" w:eastAsia="zh-CN"/>
        </w:rPr>
      </w:pPr>
      <w:r>
        <w:rPr>
          <w:rFonts w:hint="default" w:cs="Times New Roman"/>
          <w:color w:val="auto"/>
          <w:sz w:val="24"/>
          <w:lang w:val="en-US" w:eastAsia="zh-CN"/>
        </w:rPr>
        <w:t>①水运运输</w:t>
      </w:r>
    </w:p>
    <w:p w14:paraId="4BD13137">
      <w:pPr>
        <w:spacing w:line="360" w:lineRule="auto"/>
        <w:ind w:firstLine="480" w:firstLineChars="200"/>
        <w:rPr>
          <w:rFonts w:hint="default" w:cs="Times New Roman"/>
          <w:color w:val="auto"/>
          <w:sz w:val="24"/>
          <w:lang w:val="en-US" w:eastAsia="zh-CN"/>
        </w:rPr>
      </w:pPr>
      <w:r>
        <w:rPr>
          <w:rFonts w:hint="default" w:cs="Times New Roman"/>
          <w:color w:val="auto"/>
          <w:sz w:val="24"/>
          <w:lang w:val="en-US" w:eastAsia="zh-CN"/>
        </w:rPr>
        <w:t>a.运输载体：船舶设置专用开放式货舱，无需包装，物料直接散装装载，适配各类干散货运输作业。</w:t>
      </w:r>
    </w:p>
    <w:p w14:paraId="4BEB497B">
      <w:pPr>
        <w:spacing w:line="360" w:lineRule="auto"/>
        <w:ind w:firstLine="480" w:firstLineChars="200"/>
        <w:rPr>
          <w:rFonts w:hint="default" w:cs="Times New Roman"/>
          <w:color w:val="auto"/>
          <w:sz w:val="24"/>
          <w:lang w:val="en-US" w:eastAsia="zh-CN"/>
        </w:rPr>
      </w:pPr>
      <w:r>
        <w:rPr>
          <w:rFonts w:hint="default" w:cs="Times New Roman"/>
          <w:color w:val="auto"/>
          <w:sz w:val="24"/>
          <w:lang w:val="en-US" w:eastAsia="zh-CN"/>
        </w:rPr>
        <w:t>b.作业工艺：进港物料由散货船运输至码头泊位靠泊后，通过门座起重机、桥式卸船机、抓斗卸船设备完成船舱物料抓取卸载，经码头前沿转接设备输送至堆场或料仓储存；出港物料由堆场取料机、装载机归集物料，通过码头装船设备、皮带机系统直接装船，完成平舱、固定作业后启航外运，全程配套水尺计重、品质核验、环保抑尘等标准化作业流程。</w:t>
      </w:r>
    </w:p>
    <w:p w14:paraId="310DBBB0">
      <w:pPr>
        <w:spacing w:line="360" w:lineRule="auto"/>
        <w:ind w:firstLine="480" w:firstLineChars="200"/>
        <w:rPr>
          <w:rFonts w:hint="default" w:cs="Times New Roman"/>
          <w:color w:val="auto"/>
          <w:sz w:val="24"/>
          <w:lang w:val="en-US" w:eastAsia="zh-CN"/>
        </w:rPr>
      </w:pPr>
      <w:r>
        <w:rPr>
          <w:rFonts w:hint="default" w:cs="Times New Roman"/>
          <w:color w:val="auto"/>
          <w:sz w:val="24"/>
          <w:lang w:val="en-US" w:eastAsia="zh-CN"/>
        </w:rPr>
        <w:t>②道路运输</w:t>
      </w:r>
    </w:p>
    <w:p w14:paraId="4E36AAC0">
      <w:pPr>
        <w:spacing w:line="360" w:lineRule="auto"/>
        <w:ind w:firstLine="480" w:firstLineChars="200"/>
        <w:rPr>
          <w:rFonts w:hint="default" w:cs="Times New Roman"/>
          <w:color w:val="auto"/>
          <w:sz w:val="24"/>
          <w:lang w:val="en-US" w:eastAsia="zh-CN"/>
        </w:rPr>
      </w:pPr>
      <w:r>
        <w:rPr>
          <w:rFonts w:hint="default" w:cs="Times New Roman"/>
          <w:color w:val="auto"/>
          <w:sz w:val="24"/>
          <w:lang w:val="en-US" w:eastAsia="zh-CN"/>
        </w:rPr>
        <w:t>a.运输载体：采用重型自卸散货车、密闭粉料运输车，针对矿石、砂石等颗粒物料采用自卸车辆，针对矿粉、粉煤灰等细料采用全密闭运输车，杜绝运输扬尘污染。</w:t>
      </w:r>
    </w:p>
    <w:p w14:paraId="46265009">
      <w:pPr>
        <w:spacing w:line="360" w:lineRule="auto"/>
        <w:ind w:firstLine="480" w:firstLineChars="200"/>
        <w:rPr>
          <w:rFonts w:hint="default" w:cs="Times New Roman"/>
          <w:color w:val="auto"/>
          <w:sz w:val="24"/>
          <w:lang w:val="en-US" w:eastAsia="zh-CN"/>
        </w:rPr>
      </w:pPr>
      <w:r>
        <w:rPr>
          <w:rFonts w:hint="default" w:cs="Times New Roman"/>
          <w:color w:val="auto"/>
          <w:sz w:val="24"/>
          <w:lang w:val="en-US" w:eastAsia="zh-CN"/>
        </w:rPr>
        <w:t>b.作业工艺：码头堆场物料通过装载机、装车机直接装车，经地磅计量核验后，由公路车辆转运至周边厂区、工地、临时仓储点；外部短途来料车辆经进场核验、称重后，卸料至码头指定堆场、料仓，完成货物集港。</w:t>
      </w:r>
    </w:p>
    <w:p w14:paraId="5011DCC0">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3.2.10港口劳动定员及作业班制</w:t>
      </w:r>
    </w:p>
    <w:p w14:paraId="35F8DA16">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劳动定员：项目劳动定员8人，其中机械司机4人，装卸工人4人。</w:t>
      </w:r>
    </w:p>
    <w:p w14:paraId="13C7515F">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作业</w:t>
      </w:r>
      <w:r>
        <w:rPr>
          <w:rFonts w:ascii="Times New Roman" w:hAnsi="Times New Roman" w:eastAsia="宋体" w:cs="宋体"/>
          <w:snapToGrid w:val="0"/>
          <w:color w:val="auto"/>
          <w:kern w:val="0"/>
          <w:sz w:val="24"/>
          <w:szCs w:val="21"/>
          <w:lang w:val="zh-CN" w:eastAsia="zh-CN" w:bidi="ar-SA"/>
        </w:rPr>
        <w:t>天数</w:t>
      </w:r>
      <w:r>
        <w:rPr>
          <w:rFonts w:hint="eastAsia" w:ascii="Times New Roman" w:hAnsi="Times New Roman" w:eastAsia="宋体" w:cs="宋体"/>
          <w:snapToGrid w:val="0"/>
          <w:color w:val="auto"/>
          <w:kern w:val="0"/>
          <w:sz w:val="24"/>
          <w:szCs w:val="21"/>
          <w:lang w:val="zh-CN" w:eastAsia="zh-CN" w:bidi="ar-SA"/>
        </w:rPr>
        <w:t>及作业班制</w:t>
      </w:r>
      <w:r>
        <w:rPr>
          <w:rFonts w:ascii="Times New Roman" w:hAnsi="Times New Roman" w:eastAsia="宋体" w:cs="宋体"/>
          <w:snapToGrid w:val="0"/>
          <w:color w:val="auto"/>
          <w:kern w:val="0"/>
          <w:sz w:val="24"/>
          <w:szCs w:val="21"/>
          <w:lang w:val="zh-CN" w:eastAsia="zh-CN" w:bidi="ar-SA"/>
        </w:rPr>
        <w:t>：项目码头年运行天数210天</w:t>
      </w:r>
      <w:r>
        <w:rPr>
          <w:rFonts w:hint="eastAsia" w:ascii="Times New Roman" w:hAnsi="Times New Roman" w:eastAsia="宋体" w:cs="宋体"/>
          <w:snapToGrid w:val="0"/>
          <w:color w:val="auto"/>
          <w:kern w:val="0"/>
          <w:sz w:val="24"/>
          <w:szCs w:val="21"/>
          <w:lang w:val="zh-CN" w:eastAsia="zh-CN" w:bidi="ar-SA"/>
        </w:rPr>
        <w:t>，三班制，每班工作8h</w:t>
      </w:r>
      <w:r>
        <w:rPr>
          <w:rFonts w:ascii="Times New Roman" w:hAnsi="Times New Roman" w:eastAsia="宋体" w:cs="宋体"/>
          <w:snapToGrid w:val="0"/>
          <w:color w:val="auto"/>
          <w:kern w:val="0"/>
          <w:sz w:val="24"/>
          <w:szCs w:val="21"/>
          <w:lang w:val="zh-CN" w:eastAsia="zh-CN" w:bidi="ar-SA"/>
        </w:rPr>
        <w:t>。</w:t>
      </w:r>
    </w:p>
    <w:p w14:paraId="5923FBDF">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3.2.11</w:t>
      </w:r>
      <w:r>
        <w:rPr>
          <w:rFonts w:ascii="Times New Roman" w:hAnsi="Times New Roman" w:eastAsia="黑体" w:cs="Times New Roman"/>
          <w:bCs/>
          <w:color w:val="auto"/>
          <w:kern w:val="2"/>
          <w:sz w:val="28"/>
          <w:szCs w:val="32"/>
          <w:lang w:val="en-US" w:eastAsia="zh-CN" w:bidi="ar-SA"/>
        </w:rPr>
        <w:t>施工组织方案</w:t>
      </w:r>
    </w:p>
    <w:p w14:paraId="3D405D86">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本项目的主要工程内容包括：陆上打入桩、现浇横梁和预制纵向梁系、进港道路等施工，以及机械设备、电气、给排水等设施的购置和安装。</w:t>
      </w:r>
    </w:p>
    <w:p w14:paraId="7FA31DF8">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3.2.11.1</w:t>
      </w:r>
      <w:r>
        <w:rPr>
          <w:rFonts w:ascii="Times New Roman" w:hAnsi="Times New Roman" w:eastAsia="黑体" w:cs="Times New Roman"/>
          <w:bCs/>
          <w:color w:val="auto"/>
          <w:kern w:val="2"/>
          <w:sz w:val="24"/>
          <w:szCs w:val="28"/>
          <w:lang w:val="en-US" w:eastAsia="zh-CN" w:bidi="ar-SA"/>
        </w:rPr>
        <w:t>施工</w:t>
      </w:r>
      <w:r>
        <w:rPr>
          <w:rFonts w:hint="eastAsia" w:ascii="Times New Roman" w:hAnsi="Times New Roman" w:eastAsia="黑体" w:cs="Times New Roman"/>
          <w:bCs/>
          <w:color w:val="auto"/>
          <w:kern w:val="2"/>
          <w:sz w:val="24"/>
          <w:szCs w:val="28"/>
          <w:lang w:val="en-US" w:eastAsia="zh-CN" w:bidi="ar-SA"/>
        </w:rPr>
        <w:t>条件</w:t>
      </w:r>
    </w:p>
    <w:p w14:paraId="63D83385">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拟建码头处水面开阔，圩堤与淮河大堤之间地势平坦，目前可通过X</w:t>
      </w:r>
      <w:r>
        <w:rPr>
          <w:rFonts w:ascii="Times New Roman" w:hAnsi="Times New Roman" w:eastAsia="宋体" w:cs="宋体"/>
          <w:snapToGrid w:val="0"/>
          <w:color w:val="auto"/>
          <w:kern w:val="0"/>
          <w:sz w:val="24"/>
          <w:szCs w:val="21"/>
          <w:lang w:val="zh-CN" w:eastAsia="zh-CN" w:bidi="ar-SA"/>
        </w:rPr>
        <w:t>0</w:t>
      </w:r>
      <w:r>
        <w:rPr>
          <w:rFonts w:hint="eastAsia" w:ascii="Times New Roman" w:hAnsi="Times New Roman" w:eastAsia="宋体" w:cs="宋体"/>
          <w:snapToGrid w:val="0"/>
          <w:color w:val="auto"/>
          <w:kern w:val="0"/>
          <w:sz w:val="24"/>
          <w:szCs w:val="21"/>
          <w:lang w:val="zh-CN" w:eastAsia="zh-CN" w:bidi="ar-SA"/>
        </w:rPr>
        <w:t>11县道和X</w:t>
      </w:r>
      <w:r>
        <w:rPr>
          <w:rFonts w:ascii="Times New Roman" w:hAnsi="Times New Roman" w:eastAsia="宋体" w:cs="宋体"/>
          <w:snapToGrid w:val="0"/>
          <w:color w:val="auto"/>
          <w:kern w:val="0"/>
          <w:sz w:val="24"/>
          <w:szCs w:val="21"/>
          <w:lang w:val="zh-CN" w:eastAsia="zh-CN" w:bidi="ar-SA"/>
        </w:rPr>
        <w:t>0</w:t>
      </w:r>
      <w:r>
        <w:rPr>
          <w:rFonts w:hint="eastAsia" w:ascii="Times New Roman" w:hAnsi="Times New Roman" w:eastAsia="宋体" w:cs="宋体"/>
          <w:snapToGrid w:val="0"/>
          <w:color w:val="auto"/>
          <w:kern w:val="0"/>
          <w:sz w:val="24"/>
          <w:szCs w:val="21"/>
          <w:lang w:val="zh-CN" w:eastAsia="zh-CN" w:bidi="ar-SA"/>
        </w:rPr>
        <w:t>12县道与淮潘公路和S225省道连接，交通便利。施工期生产用水可抽取淮河水解决，生活用水用电从后方市政管网接入码头所需建材可通过公路或水路运输。</w:t>
      </w:r>
    </w:p>
    <w:p w14:paraId="0B68D52C">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码头平台、栈桥等均位于河滩地上，主要构件均可干地施工。前方滩地可作为施工场地，不需另外安排临时用地。</w:t>
      </w:r>
    </w:p>
    <w:p w14:paraId="6B9A8B03">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安徽省水运工程施工单位有较强的建港能力，且具有丰富的施工经验，其设备、管理、技术等各方面的条件均能满足本项目的施工所需。施工设备如挖泥船、打桩设备为航务工程的常用施工设备。</w:t>
      </w:r>
    </w:p>
    <w:p w14:paraId="7EC0EEDB">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码头主体设施均可干地施工，场地施工期间需在征地范</w:t>
      </w:r>
      <w:r>
        <w:rPr>
          <w:rFonts w:hint="eastAsia" w:cs="宋体"/>
          <w:snapToGrid w:val="0"/>
          <w:color w:val="auto"/>
          <w:kern w:val="0"/>
          <w:sz w:val="24"/>
          <w:szCs w:val="21"/>
          <w:lang w:val="zh-CN" w:eastAsia="zh-CN" w:bidi="ar-SA"/>
        </w:rPr>
        <w:t>围内</w:t>
      </w:r>
      <w:r>
        <w:rPr>
          <w:rFonts w:hint="eastAsia" w:ascii="Times New Roman" w:hAnsi="Times New Roman" w:eastAsia="宋体" w:cs="宋体"/>
          <w:snapToGrid w:val="0"/>
          <w:color w:val="auto"/>
          <w:kern w:val="0"/>
          <w:sz w:val="24"/>
          <w:szCs w:val="21"/>
          <w:lang w:val="zh-CN" w:eastAsia="zh-CN" w:bidi="ar-SA"/>
        </w:rPr>
        <w:t>进行维护，防止社会人员掉落港池内。</w:t>
      </w:r>
    </w:p>
    <w:p w14:paraId="3933642F">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综合分析，本项目具备较好的施工条件。</w:t>
      </w:r>
    </w:p>
    <w:p w14:paraId="50F206C3">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3.2.11.</w:t>
      </w:r>
      <w:r>
        <w:rPr>
          <w:rFonts w:ascii="Times New Roman" w:hAnsi="Times New Roman" w:eastAsia="黑体" w:cs="Times New Roman"/>
          <w:bCs/>
          <w:color w:val="auto"/>
          <w:kern w:val="2"/>
          <w:sz w:val="24"/>
          <w:szCs w:val="28"/>
          <w:lang w:val="en-US" w:eastAsia="zh-CN" w:bidi="ar-SA"/>
        </w:rPr>
        <w:t>2施工</w:t>
      </w:r>
      <w:r>
        <w:rPr>
          <w:rFonts w:hint="eastAsia" w:ascii="Times New Roman" w:hAnsi="Times New Roman" w:eastAsia="黑体" w:cs="Times New Roman"/>
          <w:bCs/>
          <w:color w:val="auto"/>
          <w:kern w:val="2"/>
          <w:sz w:val="24"/>
          <w:szCs w:val="28"/>
          <w:lang w:val="en-US" w:eastAsia="zh-CN" w:bidi="ar-SA"/>
        </w:rPr>
        <w:t>方案</w:t>
      </w:r>
    </w:p>
    <w:p w14:paraId="2B38792A">
      <w:pPr>
        <w:widowControl w:val="0"/>
        <w:spacing w:line="360" w:lineRule="auto"/>
        <w:ind w:firstLine="480" w:firstLineChars="200"/>
        <w:jc w:val="both"/>
        <w:rPr>
          <w:rFonts w:ascii="Times New Roman" w:hAnsi="Times New Roman" w:eastAsia="宋体" w:cs="Times New Roman"/>
          <w:snapToGrid w:val="0"/>
          <w:color w:val="auto"/>
          <w:kern w:val="0"/>
          <w:sz w:val="24"/>
          <w:szCs w:val="21"/>
          <w:lang w:val="zh-CN" w:eastAsia="zh-CN" w:bidi="ar-SA"/>
        </w:rPr>
      </w:pPr>
      <w:r>
        <w:rPr>
          <w:rFonts w:ascii="Times New Roman" w:hAnsi="Times New Roman" w:eastAsia="宋体" w:cs="Times New Roman"/>
          <w:snapToGrid w:val="0"/>
          <w:color w:val="auto"/>
          <w:kern w:val="0"/>
          <w:sz w:val="24"/>
          <w:szCs w:val="21"/>
          <w:lang w:val="zh-CN" w:eastAsia="zh-CN" w:bidi="ar-SA"/>
        </w:rPr>
        <w:t>本项目计划工期12个月，主要施工方案如下：</w:t>
      </w:r>
    </w:p>
    <w:p w14:paraId="5B055011">
      <w:pPr>
        <w:spacing w:line="360" w:lineRule="auto"/>
        <w:ind w:firstLine="480" w:firstLineChars="200"/>
        <w:rPr>
          <w:rFonts w:ascii="Times New Roman" w:hAnsi="Times New Roman" w:eastAsia="宋体" w:cs="Times New Roman"/>
          <w:snapToGrid w:val="0"/>
          <w:color w:val="auto"/>
          <w:kern w:val="0"/>
          <w:sz w:val="24"/>
          <w:lang w:val="zh-CN"/>
        </w:rPr>
      </w:pPr>
      <w:r>
        <w:rPr>
          <w:rFonts w:hint="eastAsia" w:ascii="Times New Roman" w:hAnsi="Times New Roman" w:eastAsia="宋体" w:cs="Times New Roman"/>
          <w:snapToGrid w:val="0"/>
          <w:color w:val="auto"/>
          <w:kern w:val="0"/>
          <w:sz w:val="24"/>
          <w:lang w:val="zh-CN"/>
        </w:rPr>
        <w:t>1、水域施工方案</w:t>
      </w:r>
    </w:p>
    <w:p w14:paraId="44EDE80F">
      <w:pPr>
        <w:widowControl w:val="0"/>
        <w:spacing w:line="360" w:lineRule="auto"/>
        <w:ind w:firstLine="480" w:firstLineChars="200"/>
        <w:jc w:val="both"/>
        <w:rPr>
          <w:rFonts w:ascii="Times New Roman" w:hAnsi="Times New Roman" w:eastAsia="宋体" w:cs="Times New Roman"/>
          <w:snapToGrid w:val="0"/>
          <w:color w:val="auto"/>
          <w:kern w:val="0"/>
          <w:sz w:val="24"/>
          <w:szCs w:val="21"/>
          <w:lang w:val="zh-CN" w:eastAsia="zh-CN" w:bidi="ar-SA"/>
        </w:rPr>
      </w:pPr>
      <w:r>
        <w:rPr>
          <w:rFonts w:hint="eastAsia" w:ascii="Times New Roman" w:hAnsi="Times New Roman" w:eastAsia="宋体" w:cs="Times New Roman"/>
          <w:snapToGrid w:val="0"/>
          <w:color w:val="auto"/>
          <w:kern w:val="0"/>
          <w:sz w:val="24"/>
          <w:szCs w:val="21"/>
          <w:lang w:val="zh-CN" w:eastAsia="zh-CN" w:bidi="ar-SA"/>
        </w:rPr>
        <w:t>施工准备→</w:t>
      </w:r>
      <w:r>
        <w:rPr>
          <w:rFonts w:ascii="Times New Roman" w:hAnsi="Times New Roman" w:eastAsia="宋体" w:cs="Times New Roman"/>
          <w:snapToGrid w:val="0"/>
          <w:color w:val="auto"/>
          <w:kern w:val="0"/>
          <w:sz w:val="24"/>
          <w:szCs w:val="21"/>
          <w:lang w:val="zh-CN" w:eastAsia="zh-CN" w:bidi="ar-SA"/>
        </w:rPr>
        <w:t>PHC</w:t>
      </w:r>
      <w:r>
        <w:rPr>
          <w:rFonts w:hint="eastAsia" w:ascii="Times New Roman" w:hAnsi="Times New Roman" w:eastAsia="宋体" w:cs="Times New Roman"/>
          <w:snapToGrid w:val="0"/>
          <w:color w:val="auto"/>
          <w:kern w:val="0"/>
          <w:sz w:val="24"/>
          <w:szCs w:val="21"/>
          <w:lang w:val="zh-CN" w:eastAsia="zh-CN" w:bidi="ar-SA"/>
        </w:rPr>
        <w:t>管桩沉桩</w:t>
      </w:r>
      <w:r>
        <w:rPr>
          <w:rFonts w:ascii="Times New Roman" w:hAnsi="Times New Roman" w:eastAsia="宋体" w:cs="Times New Roman"/>
          <w:snapToGrid w:val="0"/>
          <w:color w:val="auto"/>
          <w:kern w:val="0"/>
          <w:sz w:val="24"/>
          <w:szCs w:val="21"/>
          <w:lang w:val="zh-CN" w:eastAsia="zh-CN" w:bidi="ar-SA"/>
        </w:rPr>
        <w:t>→</w:t>
      </w:r>
      <w:r>
        <w:rPr>
          <w:rFonts w:hint="eastAsia" w:ascii="Times New Roman" w:hAnsi="Times New Roman" w:eastAsia="宋体" w:cs="Times New Roman"/>
          <w:snapToGrid w:val="0"/>
          <w:color w:val="auto"/>
          <w:kern w:val="0"/>
          <w:sz w:val="24"/>
          <w:szCs w:val="21"/>
          <w:lang w:val="zh-CN" w:eastAsia="zh-CN" w:bidi="ar-SA"/>
        </w:rPr>
        <w:t>预制、驳运、安装纵梁→预制、驳运、安装面板→现浇砼面层混凝土、护轮坎→安装附属设施→交工验收。</w:t>
      </w:r>
    </w:p>
    <w:p w14:paraId="1736725F">
      <w:pPr>
        <w:widowControl w:val="0"/>
        <w:spacing w:line="360" w:lineRule="auto"/>
        <w:ind w:firstLine="480" w:firstLineChars="200"/>
        <w:jc w:val="both"/>
        <w:rPr>
          <w:rFonts w:hint="eastAsia" w:ascii="Times New Roman" w:hAnsi="Times New Roman" w:eastAsia="宋体" w:cs="Times New Roman"/>
          <w:snapToGrid w:val="0"/>
          <w:color w:val="auto"/>
          <w:kern w:val="0"/>
          <w:sz w:val="24"/>
          <w:szCs w:val="21"/>
          <w:lang w:val="zh-CN" w:eastAsia="zh-CN" w:bidi="ar-SA"/>
        </w:rPr>
      </w:pPr>
      <w:r>
        <w:rPr>
          <w:rFonts w:hint="eastAsia" w:ascii="Times New Roman" w:hAnsi="Times New Roman" w:eastAsia="宋体" w:cs="Times New Roman"/>
          <w:snapToGrid w:val="0"/>
          <w:color w:val="auto"/>
          <w:kern w:val="0"/>
          <w:sz w:val="24"/>
          <w:szCs w:val="21"/>
          <w:lang w:val="zh-CN" w:eastAsia="zh-CN" w:bidi="ar-SA"/>
        </w:rPr>
        <w:t>（1）施工工艺</w:t>
      </w:r>
    </w:p>
    <w:p w14:paraId="6CE10774">
      <w:pPr>
        <w:widowControl w:val="0"/>
        <w:spacing w:line="360" w:lineRule="auto"/>
        <w:ind w:firstLine="480" w:firstLineChars="200"/>
        <w:jc w:val="both"/>
        <w:rPr>
          <w:rFonts w:ascii="Times New Roman" w:hAnsi="Times New Roman" w:eastAsia="宋体" w:cs="Times New Roman"/>
          <w:snapToGrid w:val="0"/>
          <w:color w:val="auto"/>
          <w:kern w:val="0"/>
          <w:sz w:val="24"/>
          <w:szCs w:val="21"/>
          <w:lang w:val="zh-CN" w:eastAsia="zh-CN" w:bidi="ar-SA"/>
        </w:rPr>
      </w:pPr>
      <w:r>
        <w:rPr>
          <w:rFonts w:hint="eastAsia" w:ascii="Times New Roman" w:hAnsi="Times New Roman" w:eastAsia="宋体" w:cs="Times New Roman"/>
          <w:snapToGrid w:val="0"/>
          <w:color w:val="auto"/>
          <w:kern w:val="0"/>
          <w:sz w:val="24"/>
          <w:szCs w:val="21"/>
          <w:lang w:val="zh-CN" w:eastAsia="zh-CN" w:bidi="ar-SA"/>
        </w:rPr>
        <w:t>①桩基</w:t>
      </w:r>
    </w:p>
    <w:p w14:paraId="06E33B7C">
      <w:pPr>
        <w:widowControl w:val="0"/>
        <w:spacing w:line="360" w:lineRule="auto"/>
        <w:ind w:firstLine="480" w:firstLineChars="200"/>
        <w:jc w:val="both"/>
        <w:rPr>
          <w:rFonts w:hint="eastAsia" w:ascii="Times New Roman" w:hAnsi="Times New Roman" w:eastAsia="宋体" w:cs="Times New Roman"/>
          <w:snapToGrid w:val="0"/>
          <w:color w:val="auto"/>
          <w:kern w:val="0"/>
          <w:sz w:val="24"/>
          <w:szCs w:val="21"/>
          <w:lang w:val="zh-CN" w:eastAsia="zh-CN" w:bidi="ar-SA"/>
        </w:rPr>
      </w:pPr>
      <w:r>
        <w:rPr>
          <w:rFonts w:hint="eastAsia" w:ascii="Times New Roman" w:hAnsi="Times New Roman" w:eastAsia="宋体" w:cs="Times New Roman"/>
          <w:snapToGrid w:val="0"/>
          <w:color w:val="auto"/>
          <w:kern w:val="0"/>
          <w:sz w:val="24"/>
          <w:szCs w:val="21"/>
          <w:lang w:val="zh-CN" w:eastAsia="zh-CN" w:bidi="ar-SA"/>
        </w:rPr>
        <w:t>本项目使用PHC桩为工厂预制桩，通过驳船运输至施工现场。PHC桩基拟采用打桩船进行水工沉桩，桩锤可选用D-100柴油锤。</w:t>
      </w:r>
    </w:p>
    <w:p w14:paraId="6601EFE0">
      <w:pPr>
        <w:widowControl w:val="0"/>
        <w:spacing w:line="360" w:lineRule="auto"/>
        <w:ind w:firstLine="480" w:firstLineChars="200"/>
        <w:jc w:val="both"/>
        <w:rPr>
          <w:rFonts w:ascii="Times New Roman" w:hAnsi="Times New Roman" w:eastAsia="宋体" w:cs="Times New Roman"/>
          <w:snapToGrid w:val="0"/>
          <w:color w:val="auto"/>
          <w:kern w:val="0"/>
          <w:sz w:val="24"/>
          <w:szCs w:val="21"/>
          <w:lang w:val="zh-CN" w:eastAsia="zh-CN" w:bidi="ar-SA"/>
        </w:rPr>
      </w:pPr>
      <w:r>
        <w:rPr>
          <w:rFonts w:hint="eastAsia" w:ascii="Times New Roman" w:hAnsi="Times New Roman" w:eastAsia="宋体" w:cs="Times New Roman"/>
          <w:snapToGrid w:val="0"/>
          <w:color w:val="auto"/>
          <w:kern w:val="0"/>
          <w:sz w:val="24"/>
          <w:szCs w:val="21"/>
          <w:lang w:val="zh-CN" w:eastAsia="zh-CN" w:bidi="ar-SA"/>
        </w:rPr>
        <w:t>混凝土采用商品混凝土，由泵车输送。施工时泥浆禁止排入江中，需输送至陆域泥浆池妥善处理。桩基施工完成后，在上部结构浇筑前需及时夹桩，避免桩位变形。</w:t>
      </w:r>
    </w:p>
    <w:p w14:paraId="09BB52B3">
      <w:pPr>
        <w:widowControl w:val="0"/>
        <w:spacing w:line="360" w:lineRule="auto"/>
        <w:ind w:firstLine="480" w:firstLineChars="200"/>
        <w:jc w:val="both"/>
        <w:rPr>
          <w:rFonts w:ascii="Times New Roman" w:hAnsi="Times New Roman" w:eastAsia="宋体" w:cs="Times New Roman"/>
          <w:snapToGrid w:val="0"/>
          <w:color w:val="auto"/>
          <w:kern w:val="0"/>
          <w:sz w:val="24"/>
          <w:szCs w:val="21"/>
          <w:lang w:val="zh-CN" w:eastAsia="zh-CN" w:bidi="ar-SA"/>
        </w:rPr>
      </w:pPr>
      <w:r>
        <w:rPr>
          <w:rFonts w:hint="eastAsia" w:ascii="Times New Roman" w:hAnsi="Times New Roman" w:eastAsia="宋体" w:cs="Times New Roman"/>
          <w:snapToGrid w:val="0"/>
          <w:color w:val="auto"/>
          <w:kern w:val="0"/>
          <w:sz w:val="24"/>
          <w:szCs w:val="21"/>
          <w:lang w:val="zh-CN" w:eastAsia="zh-CN" w:bidi="ar-SA"/>
        </w:rPr>
        <w:t>②码头</w:t>
      </w:r>
    </w:p>
    <w:p w14:paraId="288EFD97">
      <w:pPr>
        <w:widowControl w:val="0"/>
        <w:spacing w:line="360" w:lineRule="auto"/>
        <w:ind w:firstLine="480" w:firstLineChars="200"/>
        <w:jc w:val="both"/>
        <w:rPr>
          <w:rFonts w:ascii="Times New Roman" w:hAnsi="Times New Roman" w:eastAsia="宋体" w:cs="Times New Roman"/>
          <w:snapToGrid w:val="0"/>
          <w:color w:val="auto"/>
          <w:kern w:val="0"/>
          <w:sz w:val="24"/>
          <w:szCs w:val="24"/>
          <w:lang w:val="zh-CN" w:eastAsia="zh-CN" w:bidi="ar-SA"/>
        </w:rPr>
      </w:pPr>
      <w:r>
        <w:rPr>
          <w:rFonts w:hint="eastAsia" w:ascii="宋体" w:hAnsi="宋体" w:eastAsia="宋体" w:cs="Times New Roman"/>
          <w:snapToGrid w:val="0"/>
          <w:color w:val="auto"/>
          <w:kern w:val="0"/>
          <w:sz w:val="24"/>
          <w:szCs w:val="21"/>
          <w:lang w:val="zh-CN" w:eastAsia="zh-CN" w:bidi="ar-SA"/>
        </w:rPr>
        <w:t>拟建码头平台位于陆上，施工难度较小。</w:t>
      </w:r>
    </w:p>
    <w:p w14:paraId="137535E8">
      <w:pPr>
        <w:widowControl w:val="0"/>
        <w:spacing w:line="360" w:lineRule="auto"/>
        <w:ind w:firstLine="480" w:firstLineChars="200"/>
        <w:jc w:val="both"/>
        <w:rPr>
          <w:rFonts w:ascii="Times New Roman" w:hAnsi="Times New Roman" w:eastAsia="宋体" w:cs="Times New Roman"/>
          <w:snapToGrid w:val="0"/>
          <w:color w:val="auto"/>
          <w:kern w:val="0"/>
          <w:sz w:val="24"/>
          <w:szCs w:val="21"/>
          <w:lang w:val="zh-CN" w:eastAsia="zh-CN" w:bidi="ar-SA"/>
        </w:rPr>
      </w:pPr>
      <w:r>
        <w:rPr>
          <w:rFonts w:hint="eastAsia" w:ascii="宋体" w:hAnsi="宋体" w:eastAsia="宋体" w:cs="Times New Roman"/>
          <w:snapToGrid w:val="0"/>
          <w:color w:val="auto"/>
          <w:kern w:val="0"/>
          <w:sz w:val="24"/>
          <w:szCs w:val="21"/>
          <w:lang w:val="zh-CN" w:eastAsia="zh-CN" w:bidi="ar-SA"/>
        </w:rPr>
        <w:t>码头选择中低水期开工，施工时局部开挖港池，开挖时留下水面线以上顶宽</w:t>
      </w:r>
      <w:r>
        <w:rPr>
          <w:rFonts w:hint="eastAsia" w:ascii="Times New Roman" w:hAnsi="Times New Roman" w:eastAsia="宋体" w:cs="Times New Roman"/>
          <w:snapToGrid w:val="0"/>
          <w:color w:val="auto"/>
          <w:kern w:val="0"/>
          <w:sz w:val="24"/>
          <w:szCs w:val="21"/>
          <w:lang w:val="zh-CN" w:eastAsia="zh-CN" w:bidi="ar-SA"/>
        </w:rPr>
        <w:t>3m</w:t>
      </w:r>
      <w:r>
        <w:rPr>
          <w:rFonts w:hint="eastAsia" w:ascii="宋体" w:hAnsi="宋体" w:eastAsia="宋体" w:cs="Times New Roman"/>
          <w:snapToGrid w:val="0"/>
          <w:color w:val="auto"/>
          <w:kern w:val="0"/>
          <w:sz w:val="24"/>
          <w:szCs w:val="21"/>
          <w:lang w:val="zh-CN" w:eastAsia="zh-CN" w:bidi="ar-SA"/>
        </w:rPr>
        <w:t>，坡度</w:t>
      </w:r>
      <w:r>
        <w:rPr>
          <w:rFonts w:hint="eastAsia" w:ascii="Times New Roman" w:hAnsi="Times New Roman" w:eastAsia="宋体" w:cs="Times New Roman"/>
          <w:snapToGrid w:val="0"/>
          <w:color w:val="auto"/>
          <w:kern w:val="0"/>
          <w:sz w:val="24"/>
          <w:szCs w:val="21"/>
          <w:lang w:val="zh-CN" w:eastAsia="zh-CN" w:bidi="ar-SA"/>
        </w:rPr>
        <w:t>1:2.5</w:t>
      </w:r>
      <w:r>
        <w:rPr>
          <w:rFonts w:hint="eastAsia" w:ascii="宋体" w:hAnsi="宋体" w:eastAsia="宋体" w:cs="Times New Roman"/>
          <w:snapToGrid w:val="0"/>
          <w:color w:val="auto"/>
          <w:kern w:val="0"/>
          <w:sz w:val="24"/>
          <w:szCs w:val="21"/>
          <w:lang w:val="zh-CN" w:eastAsia="zh-CN" w:bidi="ar-SA"/>
        </w:rPr>
        <w:t>的土堤作为围堰，陆上打入桩下部可干地施工，等下部结构施工完成后可再次开挖港池至港池设计底标高。</w:t>
      </w:r>
    </w:p>
    <w:p w14:paraId="256B6810">
      <w:pPr>
        <w:widowControl w:val="0"/>
        <w:spacing w:line="360" w:lineRule="auto"/>
        <w:ind w:firstLine="480" w:firstLineChars="200"/>
        <w:jc w:val="both"/>
        <w:rPr>
          <w:rFonts w:hint="eastAsia" w:ascii="Times New Roman" w:hAnsi="Times New Roman" w:eastAsia="宋体" w:cs="Times New Roman"/>
          <w:snapToGrid w:val="0"/>
          <w:color w:val="auto"/>
          <w:kern w:val="0"/>
          <w:sz w:val="24"/>
          <w:szCs w:val="21"/>
          <w:lang w:val="zh-CN" w:eastAsia="zh-CN" w:bidi="ar-SA"/>
        </w:rPr>
      </w:pPr>
      <w:r>
        <w:rPr>
          <w:rFonts w:hint="eastAsia" w:ascii="宋体" w:hAnsi="宋体" w:eastAsia="宋体" w:cs="Times New Roman"/>
          <w:snapToGrid w:val="0"/>
          <w:color w:val="auto"/>
          <w:kern w:val="0"/>
          <w:sz w:val="24"/>
          <w:szCs w:val="21"/>
          <w:lang w:val="zh-CN" w:eastAsia="zh-CN" w:bidi="ar-SA"/>
        </w:rPr>
        <w:t>框架、靠船构件、纵向梁系等为现浇构件，在现场支模浇筑，码头面板为预制构件，在滩地上预制，达到要求的强度后，采用汽车吊或浮吊安装，最后浇筑混凝土面层和护轮坎。</w:t>
      </w:r>
      <w:r>
        <w:rPr>
          <w:rFonts w:hint="eastAsia" w:ascii="Times New Roman" w:hAnsi="Times New Roman" w:eastAsia="宋体" w:cs="Times New Roman"/>
          <w:snapToGrid w:val="0"/>
          <w:color w:val="auto"/>
          <w:kern w:val="0"/>
          <w:sz w:val="24"/>
          <w:szCs w:val="21"/>
          <w:lang w:val="zh-CN" w:eastAsia="zh-CN" w:bidi="ar-SA"/>
        </w:rPr>
        <w:t>水工结构完成后，机械设备等由厂家直接运至现场，由专业人员到现场安装、调试。各配套附属设施随施工进度根据设计图纸的布置要求进行。</w:t>
      </w:r>
    </w:p>
    <w:p w14:paraId="627CB6BA">
      <w:pPr>
        <w:widowControl w:val="0"/>
        <w:spacing w:line="360" w:lineRule="auto"/>
        <w:ind w:firstLine="480" w:firstLineChars="200"/>
        <w:jc w:val="both"/>
        <w:rPr>
          <w:rFonts w:ascii="Times New Roman" w:hAnsi="Times New Roman" w:eastAsia="宋体" w:cs="Times New Roman"/>
          <w:snapToGrid w:val="0"/>
          <w:color w:val="auto"/>
          <w:kern w:val="0"/>
          <w:sz w:val="24"/>
          <w:szCs w:val="21"/>
          <w:lang w:val="zh-CN" w:eastAsia="zh-CN" w:bidi="ar-SA"/>
        </w:rPr>
      </w:pPr>
      <w:r>
        <w:rPr>
          <w:rFonts w:hint="eastAsia" w:ascii="宋体" w:hAnsi="宋体" w:eastAsia="宋体" w:cs="Times New Roman"/>
          <w:snapToGrid w:val="0"/>
          <w:color w:val="auto"/>
          <w:kern w:val="0"/>
          <w:sz w:val="24"/>
          <w:szCs w:val="21"/>
          <w:lang w:val="zh-CN" w:eastAsia="zh-CN" w:bidi="ar-SA"/>
        </w:rPr>
        <w:t>码头施工流程如下：</w:t>
      </w:r>
    </w:p>
    <w:p w14:paraId="5069EC7B">
      <w:pPr>
        <w:widowControl w:val="0"/>
        <w:spacing w:line="360" w:lineRule="auto"/>
        <w:ind w:firstLine="0" w:firstLineChars="0"/>
        <w:jc w:val="center"/>
        <w:rPr>
          <w:rFonts w:ascii="宋体" w:hAnsi="宋体" w:eastAsia="宋体" w:cs="Times New Roman"/>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fldChar w:fldCharType="begin"/>
      </w:r>
      <w:r>
        <w:rPr>
          <w:rFonts w:ascii="Times New Roman" w:hAnsi="Times New Roman" w:eastAsia="宋体" w:cs="宋体"/>
          <w:snapToGrid w:val="0"/>
          <w:color w:val="auto"/>
          <w:kern w:val="0"/>
          <w:sz w:val="24"/>
          <w:szCs w:val="21"/>
          <w:lang w:val="zh-CN" w:eastAsia="zh-CN" w:bidi="ar-SA"/>
        </w:rPr>
        <w:instrText xml:space="preserve"> INCLUDEPICTURE "C:\\Users\\dell\\AppData\\Local\\Temp\\ksohtml5636\\wps1.jpg" \* MERGEFORMATINET </w:instrText>
      </w:r>
      <w:r>
        <w:rPr>
          <w:rFonts w:ascii="Times New Roman" w:hAnsi="Times New Roman" w:eastAsia="宋体" w:cs="宋体"/>
          <w:snapToGrid w:val="0"/>
          <w:color w:val="auto"/>
          <w:kern w:val="0"/>
          <w:sz w:val="24"/>
          <w:szCs w:val="21"/>
          <w:lang w:val="zh-CN" w:eastAsia="zh-CN" w:bidi="ar-SA"/>
        </w:rPr>
        <w:fldChar w:fldCharType="separate"/>
      </w:r>
      <w:r>
        <w:rPr>
          <w:rFonts w:ascii="Times New Roman" w:hAnsi="Times New Roman" w:eastAsia="宋体" w:cs="宋体"/>
          <w:snapToGrid w:val="0"/>
          <w:color w:val="auto"/>
          <w:kern w:val="0"/>
          <w:sz w:val="24"/>
          <w:szCs w:val="21"/>
          <w:lang w:val="zh-CN" w:eastAsia="zh-CN" w:bidi="ar-SA"/>
        </w:rPr>
        <w:drawing>
          <wp:inline distT="0" distB="0" distL="114300" distR="114300">
            <wp:extent cx="4630420" cy="2877820"/>
            <wp:effectExtent l="0" t="0" r="17780" b="17780"/>
            <wp:docPr id="286" name="图片 46"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46" descr="wps1"/>
                    <pic:cNvPicPr>
                      <a:picLocks noChangeAspect="1"/>
                    </pic:cNvPicPr>
                  </pic:nvPicPr>
                  <pic:blipFill>
                    <a:blip r:embed="rId58"/>
                    <a:stretch>
                      <a:fillRect/>
                    </a:stretch>
                  </pic:blipFill>
                  <pic:spPr>
                    <a:xfrm>
                      <a:off x="0" y="0"/>
                      <a:ext cx="4630420" cy="2877820"/>
                    </a:xfrm>
                    <a:prstGeom prst="rect">
                      <a:avLst/>
                    </a:prstGeom>
                    <a:noFill/>
                    <a:ln>
                      <a:noFill/>
                    </a:ln>
                  </pic:spPr>
                </pic:pic>
              </a:graphicData>
            </a:graphic>
          </wp:inline>
        </w:drawing>
      </w:r>
      <w:r>
        <w:rPr>
          <w:rFonts w:ascii="Times New Roman" w:hAnsi="Times New Roman" w:eastAsia="宋体" w:cs="宋体"/>
          <w:snapToGrid w:val="0"/>
          <w:color w:val="auto"/>
          <w:kern w:val="0"/>
          <w:sz w:val="24"/>
          <w:szCs w:val="21"/>
          <w:lang w:val="zh-CN" w:eastAsia="zh-CN" w:bidi="ar-SA"/>
        </w:rPr>
        <w:fldChar w:fldCharType="end"/>
      </w:r>
      <w:r>
        <w:rPr>
          <w:rFonts w:hint="eastAsia" w:ascii="宋体" w:hAnsi="宋体" w:eastAsia="宋体" w:cs="Times New Roman"/>
          <w:snapToGrid w:val="0"/>
          <w:color w:val="auto"/>
          <w:kern w:val="0"/>
          <w:sz w:val="24"/>
          <w:szCs w:val="21"/>
          <w:lang w:val="zh-CN" w:eastAsia="zh-CN" w:bidi="ar-SA"/>
        </w:rPr>
        <w:t xml:space="preserve"> </w:t>
      </w:r>
    </w:p>
    <w:p w14:paraId="6ED9ED64">
      <w:pPr>
        <w:jc w:val="center"/>
        <w:rPr>
          <w:rFonts w:hint="eastAsia" w:ascii="Times New Roman" w:hAnsi="Times New Roman" w:eastAsia="黑体" w:cs="Times New Roman"/>
          <w:color w:val="auto"/>
          <w:sz w:val="24"/>
          <w:szCs w:val="24"/>
        </w:rPr>
      </w:pPr>
      <w:r>
        <w:rPr>
          <w:rFonts w:hint="eastAsia" w:ascii="Times New Roman" w:hAnsi="Times New Roman" w:eastAsia="黑体" w:cs="Times New Roman"/>
          <w:color w:val="auto"/>
          <w:sz w:val="24"/>
          <w:szCs w:val="24"/>
        </w:rPr>
        <w:t>图3.2-1</w:t>
      </w:r>
      <w:r>
        <w:rPr>
          <w:rFonts w:hint="eastAsia" w:eastAsia="黑体" w:cs="Times New Roman"/>
          <w:color w:val="auto"/>
          <w:sz w:val="24"/>
          <w:szCs w:val="24"/>
          <w:lang w:val="en-US" w:eastAsia="zh-CN"/>
        </w:rPr>
        <w:t>1</w:t>
      </w:r>
      <w:r>
        <w:rPr>
          <w:rFonts w:hint="eastAsia" w:ascii="Times New Roman" w:hAnsi="Times New Roman" w:eastAsia="黑体" w:cs="Times New Roman"/>
          <w:color w:val="auto"/>
          <w:sz w:val="24"/>
          <w:szCs w:val="24"/>
        </w:rPr>
        <w:t xml:space="preserve">  拟建码头施工流程图</w:t>
      </w:r>
    </w:p>
    <w:p w14:paraId="2E1AF6C9">
      <w:pPr>
        <w:widowControl w:val="0"/>
        <w:spacing w:line="360" w:lineRule="auto"/>
        <w:ind w:firstLine="480" w:firstLineChars="200"/>
        <w:jc w:val="both"/>
        <w:rPr>
          <w:rFonts w:ascii="Times New Roman" w:hAnsi="Times New Roman" w:eastAsia="宋体" w:cs="Times New Roman"/>
          <w:snapToGrid w:val="0"/>
          <w:color w:val="auto"/>
          <w:kern w:val="0"/>
          <w:sz w:val="24"/>
          <w:szCs w:val="21"/>
          <w:lang w:val="zh-CN" w:eastAsia="zh-CN" w:bidi="ar-SA"/>
        </w:rPr>
      </w:pPr>
      <w:r>
        <w:rPr>
          <w:rFonts w:hint="eastAsia" w:ascii="Times New Roman" w:hAnsi="Times New Roman" w:eastAsia="宋体" w:cs="Times New Roman"/>
          <w:snapToGrid w:val="0"/>
          <w:color w:val="auto"/>
          <w:kern w:val="0"/>
          <w:sz w:val="24"/>
          <w:szCs w:val="21"/>
          <w:lang w:val="zh-CN" w:eastAsia="zh-CN" w:bidi="ar-SA"/>
        </w:rPr>
        <w:t>（2）施工组织顺序</w:t>
      </w:r>
    </w:p>
    <w:p w14:paraId="0F7BC108">
      <w:pPr>
        <w:widowControl w:val="0"/>
        <w:spacing w:line="360" w:lineRule="auto"/>
        <w:ind w:firstLine="480" w:firstLineChars="200"/>
        <w:jc w:val="both"/>
        <w:rPr>
          <w:rFonts w:ascii="Times New Roman" w:hAnsi="Times New Roman" w:eastAsia="宋体" w:cs="Times New Roman"/>
          <w:snapToGrid w:val="0"/>
          <w:color w:val="auto"/>
          <w:kern w:val="0"/>
          <w:sz w:val="24"/>
          <w:szCs w:val="21"/>
          <w:lang w:val="zh-CN" w:eastAsia="zh-CN" w:bidi="ar-SA"/>
        </w:rPr>
      </w:pPr>
      <w:r>
        <w:rPr>
          <w:rFonts w:hint="eastAsia" w:ascii="Times New Roman" w:hAnsi="Times New Roman" w:eastAsia="宋体" w:cs="Times New Roman"/>
          <w:snapToGrid w:val="0"/>
          <w:color w:val="auto"/>
          <w:kern w:val="0"/>
          <w:sz w:val="24"/>
          <w:szCs w:val="21"/>
          <w:lang w:val="zh-CN" w:eastAsia="zh-CN" w:bidi="ar-SA"/>
        </w:rPr>
        <w:t>各项目的施工顺序、衔接条件如下：</w:t>
      </w:r>
    </w:p>
    <w:p w14:paraId="35AF3744">
      <w:pPr>
        <w:widowControl w:val="0"/>
        <w:spacing w:line="360" w:lineRule="auto"/>
        <w:ind w:firstLine="480" w:firstLineChars="200"/>
        <w:jc w:val="both"/>
        <w:rPr>
          <w:rFonts w:ascii="Times New Roman" w:hAnsi="Times New Roman" w:eastAsia="宋体" w:cs="Times New Roman"/>
          <w:snapToGrid w:val="0"/>
          <w:color w:val="auto"/>
          <w:kern w:val="0"/>
          <w:sz w:val="24"/>
          <w:szCs w:val="21"/>
          <w:lang w:val="zh-CN" w:eastAsia="zh-CN" w:bidi="ar-SA"/>
        </w:rPr>
      </w:pPr>
      <w:r>
        <w:rPr>
          <w:rFonts w:hint="eastAsia" w:ascii="Times New Roman" w:hAnsi="Times New Roman" w:eastAsia="宋体" w:cs="Times New Roman"/>
          <w:snapToGrid w:val="0"/>
          <w:color w:val="auto"/>
          <w:kern w:val="0"/>
          <w:sz w:val="24"/>
          <w:szCs w:val="21"/>
          <w:lang w:val="zh-CN" w:eastAsia="zh-CN" w:bidi="ar-SA"/>
        </w:rPr>
        <w:t>①码头工程</w:t>
      </w:r>
    </w:p>
    <w:p w14:paraId="5B61C10F">
      <w:pPr>
        <w:widowControl w:val="0"/>
        <w:spacing w:line="360" w:lineRule="auto"/>
        <w:ind w:firstLine="480" w:firstLineChars="200"/>
        <w:jc w:val="both"/>
        <w:rPr>
          <w:rFonts w:ascii="Times New Roman" w:hAnsi="Times New Roman" w:eastAsia="宋体" w:cs="Times New Roman"/>
          <w:snapToGrid w:val="0"/>
          <w:color w:val="auto"/>
          <w:kern w:val="0"/>
          <w:sz w:val="24"/>
          <w:szCs w:val="21"/>
          <w:lang w:val="zh-CN" w:eastAsia="zh-CN" w:bidi="ar-SA"/>
        </w:rPr>
      </w:pPr>
      <w:r>
        <w:rPr>
          <w:rFonts w:hint="eastAsia" w:ascii="Times New Roman" w:hAnsi="Times New Roman" w:eastAsia="宋体" w:cs="Times New Roman"/>
          <w:snapToGrid w:val="0"/>
          <w:color w:val="auto"/>
          <w:kern w:val="0"/>
          <w:sz w:val="24"/>
          <w:szCs w:val="21"/>
          <w:lang w:val="zh-CN" w:eastAsia="zh-CN" w:bidi="ar-SA"/>
        </w:rPr>
        <w:t>施工准备→桩基制作订购→桩基沉桩施工→码头上部结构预制构件制作→预制构件安装→上部现浇结构→水、电、通信等配套设施安装。</w:t>
      </w:r>
    </w:p>
    <w:p w14:paraId="0502D65A">
      <w:pPr>
        <w:widowControl w:val="0"/>
        <w:spacing w:line="360" w:lineRule="auto"/>
        <w:ind w:firstLine="480" w:firstLineChars="200"/>
        <w:jc w:val="both"/>
        <w:rPr>
          <w:rFonts w:ascii="Times New Roman" w:hAnsi="Times New Roman" w:eastAsia="宋体" w:cs="Times New Roman"/>
          <w:snapToGrid w:val="0"/>
          <w:color w:val="auto"/>
          <w:kern w:val="0"/>
          <w:sz w:val="24"/>
          <w:szCs w:val="21"/>
          <w:lang w:val="zh-CN" w:eastAsia="zh-CN" w:bidi="ar-SA"/>
        </w:rPr>
      </w:pPr>
      <w:r>
        <w:rPr>
          <w:rFonts w:hint="eastAsia" w:ascii="Times New Roman" w:hAnsi="Times New Roman" w:eastAsia="宋体" w:cs="Times New Roman"/>
          <w:snapToGrid w:val="0"/>
          <w:color w:val="auto"/>
          <w:kern w:val="0"/>
          <w:sz w:val="24"/>
          <w:szCs w:val="21"/>
          <w:lang w:val="zh-CN" w:eastAsia="zh-CN" w:bidi="ar-SA"/>
        </w:rPr>
        <w:t>②拆除临时设施</w:t>
      </w:r>
    </w:p>
    <w:p w14:paraId="6E911D7D">
      <w:pPr>
        <w:widowControl w:val="0"/>
        <w:spacing w:line="360" w:lineRule="auto"/>
        <w:ind w:firstLine="480" w:firstLineChars="200"/>
        <w:jc w:val="both"/>
        <w:rPr>
          <w:rFonts w:ascii="Times New Roman" w:hAnsi="Times New Roman" w:eastAsia="宋体" w:cs="Times New Roman"/>
          <w:snapToGrid w:val="0"/>
          <w:color w:val="auto"/>
          <w:kern w:val="0"/>
          <w:sz w:val="24"/>
          <w:szCs w:val="21"/>
          <w:lang w:val="zh-CN" w:eastAsia="zh-CN" w:bidi="ar-SA"/>
        </w:rPr>
      </w:pPr>
      <w:r>
        <w:rPr>
          <w:rFonts w:hint="eastAsia" w:ascii="Times New Roman" w:hAnsi="Times New Roman" w:eastAsia="宋体" w:cs="Times New Roman"/>
          <w:snapToGrid w:val="0"/>
          <w:color w:val="auto"/>
          <w:kern w:val="0"/>
          <w:sz w:val="24"/>
          <w:szCs w:val="21"/>
          <w:lang w:val="zh-CN" w:eastAsia="zh-CN" w:bidi="ar-SA"/>
        </w:rPr>
        <w:t>施工准备→桥面钢板拆除→贝雷片拆除→桩顶纵横梁拆除→钢管桩拆除→地面及滩涂恢复→材料运离退场</w:t>
      </w:r>
    </w:p>
    <w:p w14:paraId="0811F733">
      <w:pPr>
        <w:widowControl w:val="0"/>
        <w:spacing w:line="360" w:lineRule="auto"/>
        <w:ind w:firstLine="480" w:firstLineChars="200"/>
        <w:jc w:val="both"/>
        <w:rPr>
          <w:rFonts w:ascii="Times New Roman" w:hAnsi="Times New Roman" w:eastAsia="宋体" w:cs="Times New Roman"/>
          <w:snapToGrid w:val="0"/>
          <w:color w:val="auto"/>
          <w:kern w:val="0"/>
          <w:sz w:val="24"/>
          <w:szCs w:val="21"/>
          <w:lang w:val="zh-CN" w:eastAsia="zh-CN" w:bidi="ar-SA"/>
        </w:rPr>
      </w:pPr>
      <w:r>
        <w:rPr>
          <w:rFonts w:ascii="Times New Roman" w:hAnsi="Times New Roman" w:eastAsia="宋体" w:cs="Times New Roman"/>
          <w:snapToGrid w:val="0"/>
          <w:color w:val="auto"/>
          <w:kern w:val="0"/>
          <w:sz w:val="24"/>
          <w:szCs w:val="21"/>
          <w:lang w:val="zh-CN" w:eastAsia="zh-CN" w:bidi="ar-SA"/>
        </w:rPr>
        <w:t>2</w:t>
      </w:r>
      <w:r>
        <w:rPr>
          <w:rFonts w:hint="eastAsia" w:ascii="Times New Roman" w:hAnsi="Times New Roman" w:eastAsia="宋体" w:cs="Times New Roman"/>
          <w:snapToGrid w:val="0"/>
          <w:color w:val="auto"/>
          <w:kern w:val="0"/>
          <w:sz w:val="24"/>
          <w:szCs w:val="21"/>
          <w:lang w:val="zh-CN" w:eastAsia="zh-CN" w:bidi="ar-SA"/>
        </w:rPr>
        <w:t>、陆域施工方案</w:t>
      </w:r>
    </w:p>
    <w:p w14:paraId="650A23A4">
      <w:pPr>
        <w:widowControl w:val="0"/>
        <w:spacing w:line="360" w:lineRule="auto"/>
        <w:ind w:firstLine="480" w:firstLineChars="200"/>
        <w:jc w:val="both"/>
        <w:rPr>
          <w:rFonts w:ascii="Times New Roman" w:hAnsi="Times New Roman" w:eastAsia="宋体" w:cs="Times New Roman"/>
          <w:snapToGrid w:val="0"/>
          <w:color w:val="auto"/>
          <w:kern w:val="0"/>
          <w:sz w:val="24"/>
          <w:szCs w:val="21"/>
          <w:lang w:val="zh-CN" w:eastAsia="zh-CN" w:bidi="ar-SA"/>
        </w:rPr>
      </w:pPr>
      <w:r>
        <w:rPr>
          <w:rFonts w:hint="eastAsia" w:ascii="Times New Roman" w:hAnsi="Times New Roman" w:eastAsia="宋体" w:cs="Times New Roman"/>
          <w:snapToGrid w:val="0"/>
          <w:color w:val="auto"/>
          <w:kern w:val="0"/>
          <w:sz w:val="24"/>
          <w:szCs w:val="21"/>
          <w:lang w:val="zh-CN" w:eastAsia="zh-CN" w:bidi="ar-SA"/>
        </w:rPr>
        <w:t>施工准备→场地回填→基础施工→现浇上部框架、楼板→砌模充墙→装饰工程→场地整平→水电安装→绿化→交工验收。</w:t>
      </w:r>
    </w:p>
    <w:p w14:paraId="06121C94">
      <w:pPr>
        <w:widowControl w:val="0"/>
        <w:spacing w:line="360" w:lineRule="auto"/>
        <w:ind w:firstLine="480" w:firstLineChars="200"/>
        <w:jc w:val="both"/>
        <w:rPr>
          <w:rFonts w:ascii="Times New Roman" w:hAnsi="Times New Roman" w:eastAsia="宋体" w:cs="Times New Roman"/>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3、围堰、</w:t>
      </w:r>
      <w:r>
        <w:rPr>
          <w:rFonts w:ascii="Times New Roman" w:hAnsi="Times New Roman" w:eastAsia="宋体" w:cs="宋体"/>
          <w:snapToGrid w:val="0"/>
          <w:color w:val="auto"/>
          <w:kern w:val="0"/>
          <w:sz w:val="24"/>
          <w:szCs w:val="21"/>
          <w:lang w:val="zh-CN" w:eastAsia="zh-CN" w:bidi="ar-SA"/>
        </w:rPr>
        <w:t>土方</w:t>
      </w:r>
      <w:r>
        <w:rPr>
          <w:rFonts w:hint="eastAsia" w:ascii="Times New Roman" w:hAnsi="Times New Roman" w:eastAsia="宋体" w:cs="宋体"/>
          <w:snapToGrid w:val="0"/>
          <w:color w:val="auto"/>
          <w:kern w:val="0"/>
          <w:sz w:val="24"/>
          <w:szCs w:val="21"/>
          <w:lang w:val="zh-CN" w:eastAsia="zh-CN" w:bidi="ar-SA"/>
        </w:rPr>
        <w:t>及护岸</w:t>
      </w:r>
      <w:r>
        <w:rPr>
          <w:rFonts w:hint="eastAsia" w:ascii="Times New Roman" w:hAnsi="Times New Roman" w:eastAsia="宋体" w:cs="Times New Roman"/>
          <w:snapToGrid w:val="0"/>
          <w:color w:val="auto"/>
          <w:kern w:val="0"/>
          <w:sz w:val="24"/>
          <w:szCs w:val="21"/>
          <w:lang w:val="zh-CN" w:eastAsia="zh-CN" w:bidi="ar-SA"/>
        </w:rPr>
        <w:t>方案</w:t>
      </w:r>
    </w:p>
    <w:p w14:paraId="31CC721D">
      <w:pPr>
        <w:spacing w:line="360" w:lineRule="auto"/>
        <w:ind w:firstLine="480" w:firstLineChars="200"/>
        <w:rPr>
          <w:rFonts w:ascii="Times New Roman" w:hAnsi="Times New Roman" w:eastAsia="宋体" w:cs="Times New Roman"/>
          <w:snapToGrid w:val="0"/>
          <w:color w:val="auto"/>
          <w:kern w:val="0"/>
          <w:sz w:val="24"/>
          <w:lang w:val="zh-CN"/>
        </w:rPr>
      </w:pPr>
      <w:r>
        <w:rPr>
          <w:rFonts w:hint="eastAsia" w:ascii="Times New Roman" w:hAnsi="Times New Roman" w:eastAsia="宋体" w:cs="Times New Roman"/>
          <w:snapToGrid w:val="0"/>
          <w:color w:val="auto"/>
          <w:kern w:val="0"/>
          <w:sz w:val="24"/>
          <w:lang w:val="zh-CN"/>
        </w:rPr>
        <w:t>项目</w:t>
      </w:r>
      <w:r>
        <w:rPr>
          <w:rFonts w:ascii="Times New Roman" w:hAnsi="Times New Roman" w:eastAsia="宋体" w:cs="Times New Roman"/>
          <w:snapToGrid w:val="0"/>
          <w:color w:val="auto"/>
          <w:kern w:val="0"/>
          <w:sz w:val="24"/>
          <w:lang w:val="zh-CN"/>
        </w:rPr>
        <w:t>选择中低水期开工，</w:t>
      </w:r>
      <w:r>
        <w:rPr>
          <w:rFonts w:hint="eastAsia" w:ascii="Times New Roman" w:hAnsi="Times New Roman" w:eastAsia="宋体" w:cs="Times New Roman"/>
          <w:snapToGrid w:val="0"/>
          <w:color w:val="auto"/>
          <w:kern w:val="0"/>
          <w:sz w:val="24"/>
          <w:lang w:val="zh-CN"/>
        </w:rPr>
        <w:t>码头部分可</w:t>
      </w:r>
      <w:r>
        <w:rPr>
          <w:rFonts w:ascii="Times New Roman" w:hAnsi="Times New Roman" w:eastAsia="宋体" w:cs="Times New Roman"/>
          <w:snapToGrid w:val="0"/>
          <w:color w:val="auto"/>
          <w:kern w:val="0"/>
          <w:sz w:val="24"/>
          <w:lang w:val="zh-CN"/>
        </w:rPr>
        <w:t>利用前沿滩地作为施工围堰</w:t>
      </w:r>
      <w:r>
        <w:rPr>
          <w:rFonts w:hint="eastAsia" w:ascii="Times New Roman" w:hAnsi="Times New Roman" w:eastAsia="宋体" w:cs="Times New Roman"/>
          <w:snapToGrid w:val="0"/>
          <w:color w:val="auto"/>
          <w:kern w:val="0"/>
          <w:sz w:val="24"/>
          <w:lang w:val="zh-CN"/>
        </w:rPr>
        <w:t>，围堰顶宽至少2m，内坡坡度1:1~1.5。</w:t>
      </w:r>
    </w:p>
    <w:p w14:paraId="7AB516BC">
      <w:pPr>
        <w:spacing w:line="360" w:lineRule="auto"/>
        <w:ind w:firstLine="480" w:firstLineChars="200"/>
        <w:rPr>
          <w:rFonts w:ascii="Times New Roman" w:hAnsi="Times New Roman" w:eastAsia="宋体" w:cs="Times New Roman"/>
          <w:snapToGrid w:val="0"/>
          <w:color w:val="auto"/>
          <w:kern w:val="0"/>
          <w:sz w:val="24"/>
          <w:lang w:val="zh-CN"/>
        </w:rPr>
      </w:pPr>
      <w:r>
        <w:rPr>
          <w:rFonts w:ascii="Times New Roman" w:hAnsi="Times New Roman" w:eastAsia="宋体" w:cs="Times New Roman"/>
          <w:snapToGrid w:val="0"/>
          <w:color w:val="auto"/>
          <w:kern w:val="0"/>
          <w:sz w:val="24"/>
          <w:lang w:val="zh-CN"/>
        </w:rPr>
        <w:t>护岸</w:t>
      </w:r>
      <w:r>
        <w:rPr>
          <w:rFonts w:hint="eastAsia" w:ascii="Times New Roman" w:hAnsi="Times New Roman" w:eastAsia="宋体" w:cs="Times New Roman"/>
          <w:snapToGrid w:val="0"/>
          <w:color w:val="auto"/>
          <w:kern w:val="0"/>
          <w:sz w:val="24"/>
          <w:lang w:val="zh-CN"/>
        </w:rPr>
        <w:t>、</w:t>
      </w:r>
      <w:r>
        <w:rPr>
          <w:rFonts w:ascii="Times New Roman" w:hAnsi="Times New Roman" w:eastAsia="宋体" w:cs="Times New Roman"/>
          <w:snapToGrid w:val="0"/>
          <w:color w:val="auto"/>
          <w:kern w:val="0"/>
          <w:sz w:val="24"/>
          <w:lang w:val="zh-CN"/>
        </w:rPr>
        <w:t>护坡工程可以待</w:t>
      </w:r>
      <w:r>
        <w:rPr>
          <w:rFonts w:hint="eastAsia" w:ascii="Times New Roman" w:hAnsi="Times New Roman" w:eastAsia="宋体" w:cs="Times New Roman"/>
          <w:snapToGrid w:val="0"/>
          <w:color w:val="auto"/>
          <w:kern w:val="0"/>
          <w:sz w:val="24"/>
          <w:lang w:val="zh-CN"/>
        </w:rPr>
        <w:t>主体工程基本</w:t>
      </w:r>
      <w:r>
        <w:rPr>
          <w:rFonts w:ascii="Times New Roman" w:hAnsi="Times New Roman" w:eastAsia="宋体" w:cs="Times New Roman"/>
          <w:snapToGrid w:val="0"/>
          <w:color w:val="auto"/>
          <w:kern w:val="0"/>
          <w:sz w:val="24"/>
          <w:lang w:val="zh-CN"/>
        </w:rPr>
        <w:t>完成后，按设计坡度开挖，干地施工。</w:t>
      </w:r>
    </w:p>
    <w:p w14:paraId="062CB4FF">
      <w:pPr>
        <w:spacing w:line="360" w:lineRule="auto"/>
        <w:ind w:firstLine="480" w:firstLineChars="200"/>
        <w:rPr>
          <w:rFonts w:ascii="Times New Roman" w:hAnsi="Times New Roman" w:eastAsia="宋体" w:cs="Times New Roman"/>
          <w:snapToGrid w:val="0"/>
          <w:color w:val="auto"/>
          <w:kern w:val="0"/>
          <w:sz w:val="24"/>
          <w:lang w:val="zh-CN"/>
        </w:rPr>
      </w:pPr>
      <w:r>
        <w:rPr>
          <w:rFonts w:hint="eastAsia" w:ascii="Times New Roman" w:hAnsi="Times New Roman" w:eastAsia="宋体" w:cs="Times New Roman"/>
          <w:snapToGrid w:val="0"/>
          <w:color w:val="auto"/>
          <w:kern w:val="0"/>
          <w:sz w:val="24"/>
          <w:lang w:val="zh-CN"/>
        </w:rPr>
        <w:t>水上护岸结构设计：砼预制块护砌的结构型式为在坡面上铺0.10m厚碎石</w:t>
      </w:r>
      <w:r>
        <w:rPr>
          <w:rFonts w:hint="eastAsia" w:cs="Times New Roman"/>
          <w:snapToGrid w:val="0"/>
          <w:color w:val="auto"/>
          <w:kern w:val="0"/>
          <w:sz w:val="24"/>
          <w:lang w:val="zh-CN"/>
        </w:rPr>
        <w:t>，</w:t>
      </w:r>
      <w:r>
        <w:rPr>
          <w:rFonts w:hint="eastAsia" w:ascii="Times New Roman" w:hAnsi="Times New Roman" w:eastAsia="宋体" w:cs="Times New Roman"/>
          <w:snapToGrid w:val="0"/>
          <w:color w:val="auto"/>
          <w:kern w:val="0"/>
          <w:sz w:val="24"/>
          <w:lang w:val="zh-CN"/>
        </w:rPr>
        <w:t>再砌0.12m厚C20混凝土预制块，勒脚顶高程采用16.00m。港池段的C20砼勒脚尺寸0.8×1.0m</w:t>
      </w:r>
      <w:r>
        <w:rPr>
          <w:rFonts w:hint="eastAsia" w:cs="Times New Roman"/>
          <w:snapToGrid w:val="0"/>
          <w:color w:val="auto"/>
          <w:kern w:val="0"/>
          <w:sz w:val="24"/>
          <w:lang w:val="zh-CN"/>
        </w:rPr>
        <w:t>（</w:t>
      </w:r>
      <w:r>
        <w:rPr>
          <w:rFonts w:hint="eastAsia" w:ascii="Times New Roman" w:hAnsi="Times New Roman" w:eastAsia="宋体" w:cs="Times New Roman"/>
          <w:snapToGrid w:val="0"/>
          <w:color w:val="auto"/>
          <w:kern w:val="0"/>
          <w:sz w:val="24"/>
          <w:lang w:val="zh-CN"/>
        </w:rPr>
        <w:t>宽×深），坡面沿水流方向每间隔25m设置一道条埂，C20砼条埂截面尺寸为0.4×0.6m。</w:t>
      </w:r>
    </w:p>
    <w:p w14:paraId="5F8BA6FF">
      <w:pPr>
        <w:spacing w:line="360" w:lineRule="auto"/>
        <w:ind w:firstLine="480" w:firstLineChars="200"/>
        <w:rPr>
          <w:rFonts w:ascii="Times New Roman" w:hAnsi="Times New Roman" w:eastAsia="宋体" w:cs="Times New Roman"/>
          <w:snapToGrid w:val="0"/>
          <w:color w:val="auto"/>
          <w:kern w:val="0"/>
          <w:sz w:val="24"/>
          <w:lang w:val="zh-CN"/>
        </w:rPr>
      </w:pPr>
      <w:r>
        <w:rPr>
          <w:rFonts w:hint="eastAsia" w:ascii="Times New Roman" w:hAnsi="Times New Roman" w:eastAsia="宋体" w:cs="Times New Roman"/>
          <w:snapToGrid w:val="0"/>
          <w:color w:val="auto"/>
          <w:kern w:val="0"/>
          <w:sz w:val="24"/>
          <w:lang w:val="zh-CN"/>
        </w:rPr>
        <w:t>水下护岸结构设计：抛石护坎采用平顺抛护方式，挡土墙段抛石顶高程17.00m，上下游港池其他部分顶高程按现状坡顶确定，一般抛石厚度按0.6m控制，为增强稳定性，底部设5m长平抛段，厚度增大到0.8m。抛石护坎自护岸勒脚高程</w:t>
      </w:r>
      <w:r>
        <w:rPr>
          <w:rFonts w:hint="eastAsia" w:cs="Times New Roman"/>
          <w:snapToGrid w:val="0"/>
          <w:color w:val="auto"/>
          <w:kern w:val="0"/>
          <w:sz w:val="24"/>
          <w:lang w:val="zh-CN"/>
        </w:rPr>
        <w:t>开始</w:t>
      </w:r>
      <w:r>
        <w:rPr>
          <w:rFonts w:hint="eastAsia" w:ascii="Times New Roman" w:hAnsi="Times New Roman" w:eastAsia="宋体" w:cs="Times New Roman"/>
          <w:snapToGrid w:val="0"/>
          <w:color w:val="auto"/>
          <w:kern w:val="0"/>
          <w:sz w:val="24"/>
          <w:lang w:val="zh-CN"/>
        </w:rPr>
        <w:t>抛至港池高程，其中港池部分为防止石块</w:t>
      </w:r>
      <w:r>
        <w:rPr>
          <w:rFonts w:hint="eastAsia" w:cs="Times New Roman"/>
          <w:snapToGrid w:val="0"/>
          <w:color w:val="auto"/>
          <w:kern w:val="0"/>
          <w:sz w:val="24"/>
          <w:lang w:val="zh-CN"/>
        </w:rPr>
        <w:t>剐蹭</w:t>
      </w:r>
      <w:r>
        <w:rPr>
          <w:rFonts w:hint="eastAsia" w:ascii="Times New Roman" w:hAnsi="Times New Roman" w:eastAsia="宋体" w:cs="Times New Roman"/>
          <w:snapToGrid w:val="0"/>
          <w:color w:val="auto"/>
          <w:kern w:val="0"/>
          <w:sz w:val="24"/>
          <w:lang w:val="zh-CN"/>
        </w:rPr>
        <w:t>船底，采用水平抛段下挖0.8m后抛石。</w:t>
      </w:r>
    </w:p>
    <w:p w14:paraId="05FD24CA">
      <w:pPr>
        <w:spacing w:line="360" w:lineRule="auto"/>
        <w:ind w:firstLine="480" w:firstLineChars="200"/>
        <w:rPr>
          <w:rFonts w:hint="eastAsia" w:ascii="Times New Roman" w:hAnsi="Times New Roman" w:eastAsia="宋体" w:cs="Times New Roman"/>
          <w:snapToGrid w:val="0"/>
          <w:color w:val="auto"/>
          <w:kern w:val="0"/>
          <w:sz w:val="24"/>
          <w:lang w:val="zh-CN"/>
        </w:rPr>
      </w:pPr>
      <w:r>
        <w:rPr>
          <w:rFonts w:hint="eastAsia" w:ascii="Times New Roman" w:hAnsi="Times New Roman" w:eastAsia="宋体" w:cs="Times New Roman"/>
          <w:snapToGrid w:val="0"/>
          <w:color w:val="auto"/>
          <w:kern w:val="0"/>
          <w:sz w:val="24"/>
          <w:lang w:val="zh-CN"/>
        </w:rPr>
        <w:t>淮北大堤护坡恢复结构设计：淮北大堤迎水面干砌石护坡的结构型式为在坡面上铺，铺0.2m厚碎石（d=5~20mm），再砌0.3m厚干砌石，压顶高程为21.00~27.30，采用C20素砼尺寸为0.4×0.6，勒脚高程为21.00~27.30，采用C20素砼尺寸为0.4×0.7，坡面沿每间隔25m设置一道隔埂，C20砼隔埂截面尺寸为0.4×0.6m。</w:t>
      </w:r>
    </w:p>
    <w:p w14:paraId="373962D4">
      <w:pPr>
        <w:widowControl w:val="0"/>
        <w:spacing w:line="360" w:lineRule="auto"/>
        <w:ind w:firstLine="0" w:firstLineChars="0"/>
        <w:jc w:val="both"/>
        <w:rPr>
          <w:rFonts w:ascii="Times New Roman" w:hAnsi="Times New Roman" w:eastAsia="宋体" w:cs="Times New Roman"/>
          <w:snapToGrid w:val="0"/>
          <w:color w:val="auto"/>
          <w:kern w:val="0"/>
          <w:sz w:val="24"/>
          <w:szCs w:val="21"/>
          <w:lang w:val="zh-CN" w:eastAsia="zh-CN" w:bidi="ar-SA"/>
        </w:rPr>
      </w:pPr>
      <w:r>
        <w:rPr>
          <w:rFonts w:ascii="Times New Roman" w:hAnsi="Times New Roman" w:eastAsia="宋体" w:cs="宋体"/>
          <w:snapToGrid/>
          <w:color w:val="auto"/>
          <w:kern w:val="0"/>
          <w:sz w:val="24"/>
          <w:szCs w:val="21"/>
          <w:lang w:val="zh-CN" w:eastAsia="zh-CN" w:bidi="ar-SA"/>
        </w:rPr>
        <w:drawing>
          <wp:inline distT="0" distB="0" distL="114300" distR="114300">
            <wp:extent cx="5758815" cy="2917190"/>
            <wp:effectExtent l="0" t="0" r="13335" b="16510"/>
            <wp:docPr id="27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47"/>
                    <pic:cNvPicPr>
                      <a:picLocks noChangeAspect="1"/>
                    </pic:cNvPicPr>
                  </pic:nvPicPr>
                  <pic:blipFill>
                    <a:blip r:embed="rId59"/>
                    <a:stretch>
                      <a:fillRect/>
                    </a:stretch>
                  </pic:blipFill>
                  <pic:spPr>
                    <a:xfrm>
                      <a:off x="0" y="0"/>
                      <a:ext cx="5758815" cy="2917190"/>
                    </a:xfrm>
                    <a:prstGeom prst="rect">
                      <a:avLst/>
                    </a:prstGeom>
                    <a:noFill/>
                    <a:ln>
                      <a:noFill/>
                    </a:ln>
                  </pic:spPr>
                </pic:pic>
              </a:graphicData>
            </a:graphic>
          </wp:inline>
        </w:drawing>
      </w:r>
    </w:p>
    <w:p w14:paraId="63A00EAC">
      <w:pPr>
        <w:jc w:val="center"/>
        <w:rPr>
          <w:rFonts w:ascii="Times New Roman" w:hAnsi="Times New Roman" w:eastAsia="黑体" w:cs="Times New Roman"/>
          <w:color w:val="auto"/>
          <w:sz w:val="24"/>
          <w:szCs w:val="24"/>
        </w:rPr>
      </w:pPr>
      <w:r>
        <w:rPr>
          <w:rFonts w:hint="eastAsia" w:ascii="Times New Roman" w:hAnsi="Times New Roman" w:eastAsia="黑体" w:cs="Times New Roman"/>
          <w:color w:val="auto"/>
          <w:sz w:val="24"/>
          <w:szCs w:val="24"/>
        </w:rPr>
        <w:t>图3</w:t>
      </w:r>
      <w:r>
        <w:rPr>
          <w:rFonts w:ascii="Times New Roman" w:hAnsi="Times New Roman" w:eastAsia="黑体" w:cs="Times New Roman"/>
          <w:color w:val="auto"/>
          <w:sz w:val="24"/>
          <w:szCs w:val="24"/>
        </w:rPr>
        <w:t>.2-1</w:t>
      </w:r>
      <w:r>
        <w:rPr>
          <w:rFonts w:hint="eastAsia" w:eastAsia="黑体" w:cs="Times New Roman"/>
          <w:color w:val="auto"/>
          <w:sz w:val="24"/>
          <w:szCs w:val="24"/>
          <w:lang w:val="en-US" w:eastAsia="zh-CN"/>
        </w:rPr>
        <w:t>2</w:t>
      </w:r>
      <w:r>
        <w:rPr>
          <w:rFonts w:ascii="Times New Roman" w:hAnsi="Times New Roman" w:eastAsia="黑体" w:cs="Times New Roman"/>
          <w:color w:val="auto"/>
          <w:sz w:val="24"/>
          <w:szCs w:val="24"/>
        </w:rPr>
        <w:t xml:space="preserve"> </w:t>
      </w:r>
      <w:r>
        <w:rPr>
          <w:rFonts w:hint="eastAsia" w:ascii="Times New Roman" w:hAnsi="Times New Roman" w:eastAsia="黑体" w:cs="Times New Roman"/>
          <w:color w:val="auto"/>
          <w:sz w:val="24"/>
          <w:szCs w:val="24"/>
        </w:rPr>
        <w:t>港池、护坡平面示意图</w:t>
      </w:r>
    </w:p>
    <w:p w14:paraId="37DE3856">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4、</w:t>
      </w:r>
      <w:r>
        <w:rPr>
          <w:rFonts w:ascii="Times New Roman" w:hAnsi="Times New Roman" w:eastAsia="宋体" w:cs="宋体"/>
          <w:snapToGrid w:val="0"/>
          <w:color w:val="auto"/>
          <w:kern w:val="0"/>
          <w:sz w:val="24"/>
          <w:szCs w:val="21"/>
          <w:lang w:val="zh-CN" w:eastAsia="zh-CN" w:bidi="ar-SA"/>
        </w:rPr>
        <w:t>疏浚工程</w:t>
      </w:r>
    </w:p>
    <w:p w14:paraId="5393F1A8">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疏浚施工工艺流程：定位</w:t>
      </w:r>
      <w:r>
        <w:rPr>
          <w:rFonts w:ascii="Times New Roman" w:hAnsi="Times New Roman" w:eastAsia="宋体" w:cs="Times New Roman"/>
          <w:snapToGrid w:val="0"/>
          <w:color w:val="auto"/>
          <w:kern w:val="0"/>
          <w:sz w:val="24"/>
          <w:szCs w:val="21"/>
          <w:lang w:val="zh-CN" w:eastAsia="zh-CN" w:bidi="ar-SA"/>
        </w:rPr>
        <w:t>→</w:t>
      </w:r>
      <w:r>
        <w:rPr>
          <w:rFonts w:hint="eastAsia" w:ascii="Times New Roman" w:hAnsi="Times New Roman" w:eastAsia="宋体" w:cs="Times New Roman"/>
          <w:snapToGrid w:val="0"/>
          <w:color w:val="auto"/>
          <w:kern w:val="0"/>
          <w:sz w:val="24"/>
          <w:szCs w:val="21"/>
          <w:lang w:val="zh-CN" w:eastAsia="zh-CN" w:bidi="ar-SA"/>
        </w:rPr>
        <w:t>抓泥</w:t>
      </w:r>
      <w:r>
        <w:rPr>
          <w:rFonts w:ascii="Times New Roman" w:hAnsi="Times New Roman" w:eastAsia="宋体" w:cs="Times New Roman"/>
          <w:snapToGrid w:val="0"/>
          <w:color w:val="auto"/>
          <w:kern w:val="0"/>
          <w:sz w:val="24"/>
          <w:szCs w:val="21"/>
          <w:lang w:val="zh-CN" w:eastAsia="zh-CN" w:bidi="ar-SA"/>
        </w:rPr>
        <w:t>→</w:t>
      </w:r>
      <w:r>
        <w:rPr>
          <w:rFonts w:hint="eastAsia" w:ascii="Times New Roman" w:hAnsi="Times New Roman" w:eastAsia="宋体" w:cs="Times New Roman"/>
          <w:snapToGrid w:val="0"/>
          <w:color w:val="auto"/>
          <w:kern w:val="0"/>
          <w:sz w:val="24"/>
          <w:szCs w:val="21"/>
          <w:lang w:val="zh-CN" w:eastAsia="zh-CN" w:bidi="ar-SA"/>
        </w:rPr>
        <w:t>装泥</w:t>
      </w:r>
      <w:r>
        <w:rPr>
          <w:rFonts w:ascii="Times New Roman" w:hAnsi="Times New Roman" w:eastAsia="宋体" w:cs="Times New Roman"/>
          <w:snapToGrid w:val="0"/>
          <w:color w:val="auto"/>
          <w:kern w:val="0"/>
          <w:sz w:val="24"/>
          <w:szCs w:val="21"/>
          <w:lang w:val="zh-CN" w:eastAsia="zh-CN" w:bidi="ar-SA"/>
        </w:rPr>
        <w:t>→</w:t>
      </w:r>
      <w:r>
        <w:rPr>
          <w:rFonts w:hint="eastAsia" w:ascii="Times New Roman" w:hAnsi="Times New Roman" w:eastAsia="宋体" w:cs="Times New Roman"/>
          <w:snapToGrid w:val="0"/>
          <w:color w:val="auto"/>
          <w:kern w:val="0"/>
          <w:sz w:val="24"/>
          <w:szCs w:val="21"/>
          <w:lang w:val="zh-CN" w:eastAsia="zh-CN" w:bidi="ar-SA"/>
        </w:rPr>
        <w:t>运泥</w:t>
      </w:r>
      <w:r>
        <w:rPr>
          <w:rFonts w:ascii="Times New Roman" w:hAnsi="Times New Roman" w:eastAsia="宋体" w:cs="Times New Roman"/>
          <w:snapToGrid w:val="0"/>
          <w:color w:val="auto"/>
          <w:kern w:val="0"/>
          <w:sz w:val="24"/>
          <w:szCs w:val="21"/>
          <w:lang w:val="zh-CN" w:eastAsia="zh-CN" w:bidi="ar-SA"/>
        </w:rPr>
        <w:t>→</w:t>
      </w:r>
      <w:r>
        <w:rPr>
          <w:rFonts w:hint="eastAsia" w:ascii="Times New Roman" w:hAnsi="Times New Roman" w:eastAsia="宋体" w:cs="Times New Roman"/>
          <w:snapToGrid w:val="0"/>
          <w:color w:val="auto"/>
          <w:kern w:val="0"/>
          <w:sz w:val="24"/>
          <w:szCs w:val="21"/>
          <w:lang w:val="zh-CN" w:eastAsia="zh-CN" w:bidi="ar-SA"/>
        </w:rPr>
        <w:t>抛泥。</w:t>
      </w:r>
    </w:p>
    <w:p w14:paraId="031DD384">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进点定位：挖泥船由拖轮拖带至施工区附近，即根据船上自有的G</w:t>
      </w:r>
      <w:r>
        <w:rPr>
          <w:rFonts w:ascii="Times New Roman" w:hAnsi="Times New Roman" w:eastAsia="宋体" w:cs="宋体"/>
          <w:snapToGrid w:val="0"/>
          <w:color w:val="auto"/>
          <w:kern w:val="0"/>
          <w:sz w:val="24"/>
          <w:szCs w:val="21"/>
          <w:lang w:val="zh-CN" w:eastAsia="zh-CN" w:bidi="ar-SA"/>
        </w:rPr>
        <w:t>PS</w:t>
      </w:r>
      <w:r>
        <w:rPr>
          <w:rFonts w:hint="eastAsia" w:ascii="Times New Roman" w:hAnsi="Times New Roman" w:eastAsia="宋体" w:cs="宋体"/>
          <w:snapToGrid w:val="0"/>
          <w:color w:val="auto"/>
          <w:kern w:val="0"/>
          <w:sz w:val="24"/>
          <w:szCs w:val="21"/>
          <w:lang w:val="zh-CN" w:eastAsia="zh-CN" w:bidi="ar-SA"/>
        </w:rPr>
        <w:t>进行定位，并根据施工现场设置的定位导标拖带至开挖区域，根据水流、风向情况，通过绞锚艇抛锚定位。</w:t>
      </w:r>
    </w:p>
    <w:p w14:paraId="7EA413C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挖泥装驳：挖泥船装抓斗张开放入水底，合斗抓泥，提升泥斗旋转至泥驳泥舱，开斗装泥。依次重复作业直至装满泥驳，再换空驳。</w:t>
      </w:r>
    </w:p>
    <w:p w14:paraId="7CC1A62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运泥弃泥：泥驳装满后，解缆离开挖泥船，航运至规划抛泥区计划方格网范围，提升高度至装泥车上方，打开泥门，放出淤泥，依次重复至装满淤，到达指定抛泥地点通过排泥管线进行抛泥。</w:t>
      </w:r>
    </w:p>
    <w:p w14:paraId="40AB0127">
      <w:pPr>
        <w:pStyle w:val="24"/>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eastAsia="宋体"/>
          <w:color w:val="auto"/>
          <w:highlight w:val="none"/>
          <w:lang w:val="en-US" w:eastAsia="zh-CN"/>
        </w:rPr>
      </w:pPr>
      <w:r>
        <w:rPr>
          <w:rFonts w:hint="eastAsia" w:cs="宋体"/>
          <w:snapToGrid w:val="0"/>
          <w:color w:val="auto"/>
          <w:kern w:val="0"/>
          <w:sz w:val="24"/>
          <w:szCs w:val="21"/>
          <w:highlight w:val="none"/>
          <w:lang w:val="en-US" w:eastAsia="zh-CN" w:bidi="ar-SA"/>
        </w:rPr>
        <w:t>淤泥干化和利用</w:t>
      </w:r>
      <w:r>
        <w:rPr>
          <w:rFonts w:hint="eastAsia" w:ascii="Times New Roman" w:hAnsi="Times New Roman" w:eastAsia="宋体" w:cs="宋体"/>
          <w:snapToGrid w:val="0"/>
          <w:color w:val="auto"/>
          <w:kern w:val="0"/>
          <w:sz w:val="24"/>
          <w:szCs w:val="21"/>
          <w:highlight w:val="none"/>
          <w:lang w:val="zh-CN" w:eastAsia="zh-CN" w:bidi="ar-SA"/>
        </w:rPr>
        <w:t>：</w:t>
      </w:r>
      <w:r>
        <w:rPr>
          <w:rFonts w:hint="eastAsia" w:cs="宋体"/>
          <w:snapToGrid w:val="0"/>
          <w:color w:val="auto"/>
          <w:kern w:val="0"/>
          <w:sz w:val="24"/>
          <w:szCs w:val="21"/>
          <w:highlight w:val="none"/>
          <w:lang w:val="en-US" w:eastAsia="zh-CN" w:bidi="ar-SA"/>
        </w:rPr>
        <w:t>项目疏浚淤泥排入</w:t>
      </w:r>
      <w:r>
        <w:rPr>
          <w:rFonts w:hint="eastAsia" w:ascii="Times New Roman" w:hAnsi="Times New Roman" w:eastAsia="宋体" w:cs="宋体"/>
          <w:snapToGrid w:val="0"/>
          <w:color w:val="auto"/>
          <w:kern w:val="0"/>
          <w:sz w:val="24"/>
          <w:szCs w:val="21"/>
          <w:highlight w:val="none"/>
          <w:lang w:val="zh-CN" w:eastAsia="zh-CN" w:bidi="ar-SA"/>
        </w:rPr>
        <w:t>抛泥</w:t>
      </w:r>
      <w:r>
        <w:rPr>
          <w:rFonts w:hint="eastAsia" w:cs="宋体"/>
          <w:snapToGrid w:val="0"/>
          <w:color w:val="auto"/>
          <w:kern w:val="0"/>
          <w:sz w:val="24"/>
          <w:szCs w:val="21"/>
          <w:highlight w:val="none"/>
          <w:lang w:val="en-US" w:eastAsia="zh-CN" w:bidi="ar-SA"/>
        </w:rPr>
        <w:t>区（即淤泥干化场，为施工期临时占地区域）后，在抛泥区进行自然干化，抛泥区设置沉淀池，淤泥疏干水通过沉淀池沉淀后排入淮河</w:t>
      </w:r>
      <w:r>
        <w:rPr>
          <w:rFonts w:hint="eastAsia" w:ascii="Times New Roman" w:hAnsi="Times New Roman" w:eastAsia="宋体" w:cs="宋体"/>
          <w:snapToGrid w:val="0"/>
          <w:color w:val="auto"/>
          <w:kern w:val="0"/>
          <w:sz w:val="24"/>
          <w:szCs w:val="21"/>
          <w:highlight w:val="none"/>
          <w:lang w:val="zh-CN" w:eastAsia="zh-CN" w:bidi="ar-SA"/>
        </w:rPr>
        <w:t>。</w:t>
      </w:r>
      <w:r>
        <w:rPr>
          <w:rFonts w:hint="eastAsia" w:cs="宋体"/>
          <w:snapToGrid w:val="0"/>
          <w:color w:val="auto"/>
          <w:kern w:val="0"/>
          <w:sz w:val="24"/>
          <w:szCs w:val="21"/>
          <w:highlight w:val="none"/>
          <w:lang w:val="en-US" w:eastAsia="zh-CN" w:bidi="ar-SA"/>
        </w:rPr>
        <w:t>淤泥经自然干化后，作为土方，用于进港道路及路面拓宽、港池岸坡及上下游连接段防护的填方，项目所需填方略大于开挖出的土方，不需弃方。</w:t>
      </w:r>
    </w:p>
    <w:p w14:paraId="2805093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宋体"/>
          <w:snapToGrid w:val="0"/>
          <w:color w:val="auto"/>
          <w:kern w:val="0"/>
          <w:sz w:val="24"/>
          <w:szCs w:val="24"/>
          <w:lang w:val="zh-CN" w:eastAsia="zh-CN" w:bidi="ar-SA"/>
        </w:rPr>
      </w:pPr>
      <w:r>
        <w:rPr>
          <w:rFonts w:hint="eastAsia" w:ascii="Times New Roman" w:hAnsi="Times New Roman" w:eastAsia="宋体" w:cs="宋体"/>
          <w:snapToGrid w:val="0"/>
          <w:color w:val="auto"/>
          <w:kern w:val="0"/>
          <w:sz w:val="24"/>
          <w:szCs w:val="24"/>
          <w:highlight w:val="none"/>
          <w:lang w:val="zh-CN" w:eastAsia="zh-CN" w:bidi="ar-SA"/>
        </w:rPr>
        <w:t>土方工程采用挖泥船进行施工，疏浚港池至设计底标高。疏浚工程量为49060m</w:t>
      </w:r>
      <w:r>
        <w:rPr>
          <w:rFonts w:hint="eastAsia" w:ascii="Times New Roman" w:hAnsi="Times New Roman" w:eastAsia="宋体" w:cs="宋体"/>
          <w:snapToGrid w:val="0"/>
          <w:color w:val="auto"/>
          <w:kern w:val="0"/>
          <w:sz w:val="24"/>
          <w:szCs w:val="24"/>
          <w:highlight w:val="none"/>
          <w:vertAlign w:val="superscript"/>
          <w:lang w:val="zh-CN" w:eastAsia="zh-CN" w:bidi="ar-SA"/>
        </w:rPr>
        <w:t>3</w:t>
      </w:r>
      <w:r>
        <w:rPr>
          <w:rFonts w:hint="eastAsia" w:ascii="Times New Roman" w:hAnsi="Times New Roman" w:eastAsia="宋体" w:cs="宋体"/>
          <w:snapToGrid w:val="0"/>
          <w:color w:val="auto"/>
          <w:kern w:val="0"/>
          <w:sz w:val="24"/>
          <w:szCs w:val="24"/>
          <w:highlight w:val="none"/>
          <w:lang w:val="zh-CN" w:eastAsia="zh-CN" w:bidi="ar-SA"/>
        </w:rPr>
        <w:t>，考虑到疏浚土的综合利用，优先结合该项目的施工进度作为本项目疏浚土的处置方案，同时考虑到本项目施工周期等，疏浚工程施工工期为</w:t>
      </w:r>
      <w:r>
        <w:rPr>
          <w:rFonts w:ascii="Times New Roman" w:hAnsi="Times New Roman" w:eastAsia="宋体" w:cs="宋体"/>
          <w:snapToGrid w:val="0"/>
          <w:color w:val="auto"/>
          <w:kern w:val="0"/>
          <w:sz w:val="24"/>
          <w:szCs w:val="24"/>
          <w:highlight w:val="none"/>
          <w:lang w:val="zh-CN" w:eastAsia="zh-CN" w:bidi="ar-SA"/>
        </w:rPr>
        <w:t>3</w:t>
      </w:r>
      <w:r>
        <w:rPr>
          <w:rFonts w:hint="eastAsia" w:ascii="Times New Roman" w:hAnsi="Times New Roman" w:eastAsia="宋体" w:cs="宋体"/>
          <w:snapToGrid w:val="0"/>
          <w:color w:val="auto"/>
          <w:kern w:val="0"/>
          <w:sz w:val="24"/>
          <w:szCs w:val="24"/>
          <w:highlight w:val="none"/>
          <w:lang w:val="zh-CN" w:eastAsia="zh-CN" w:bidi="ar-SA"/>
        </w:rPr>
        <w:t>个月。</w:t>
      </w:r>
      <w:r>
        <w:rPr>
          <w:rFonts w:ascii="Times New Roman" w:hAnsi="Times New Roman" w:eastAsia="宋体" w:cs="宋体"/>
          <w:snapToGrid w:val="0"/>
          <w:color w:val="auto"/>
          <w:kern w:val="0"/>
          <w:sz w:val="24"/>
          <w:szCs w:val="21"/>
          <w:highlight w:val="none"/>
          <w:lang w:val="zh-CN" w:eastAsia="zh-CN" w:bidi="ar-SA"/>
        </w:rPr>
        <w:t>施工结束后</w:t>
      </w:r>
      <w:r>
        <w:rPr>
          <w:rFonts w:hint="eastAsia" w:ascii="Times New Roman" w:hAnsi="Times New Roman" w:eastAsia="宋体" w:cs="宋体"/>
          <w:snapToGrid w:val="0"/>
          <w:color w:val="auto"/>
          <w:kern w:val="0"/>
          <w:sz w:val="24"/>
          <w:szCs w:val="21"/>
          <w:highlight w:val="none"/>
          <w:lang w:val="zh-CN" w:eastAsia="zh-CN" w:bidi="ar-SA"/>
        </w:rPr>
        <w:t>抛泥</w:t>
      </w:r>
      <w:r>
        <w:rPr>
          <w:rFonts w:ascii="Times New Roman" w:hAnsi="Times New Roman" w:eastAsia="宋体" w:cs="宋体"/>
          <w:snapToGrid w:val="0"/>
          <w:color w:val="auto"/>
          <w:kern w:val="0"/>
          <w:sz w:val="24"/>
          <w:szCs w:val="21"/>
          <w:highlight w:val="none"/>
          <w:lang w:val="zh-CN" w:eastAsia="zh-CN" w:bidi="ar-SA"/>
        </w:rPr>
        <w:t>区</w:t>
      </w:r>
      <w:r>
        <w:rPr>
          <w:rFonts w:hint="eastAsia" w:ascii="Times New Roman" w:hAnsi="Times New Roman" w:eastAsia="宋体" w:cs="宋体"/>
          <w:snapToGrid w:val="0"/>
          <w:color w:val="auto"/>
          <w:kern w:val="0"/>
          <w:sz w:val="24"/>
          <w:szCs w:val="21"/>
          <w:highlight w:val="none"/>
          <w:lang w:val="zh-CN" w:eastAsia="zh-CN" w:bidi="ar-SA"/>
        </w:rPr>
        <w:t>进行复垦。</w:t>
      </w:r>
    </w:p>
    <w:p w14:paraId="091454BE">
      <w:pPr>
        <w:widowControl w:val="0"/>
        <w:spacing w:line="360" w:lineRule="auto"/>
        <w:ind w:firstLine="480" w:firstLineChars="200"/>
        <w:jc w:val="both"/>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w:t>
      </w:r>
      <w:r>
        <w:rPr>
          <w:rFonts w:ascii="Times New Roman" w:hAnsi="Times New Roman" w:eastAsia="黑体" w:cs="Times New Roman"/>
          <w:bCs/>
          <w:color w:val="auto"/>
          <w:kern w:val="2"/>
          <w:sz w:val="24"/>
          <w:szCs w:val="28"/>
          <w:lang w:val="en-US" w:eastAsia="zh-CN" w:bidi="ar-SA"/>
        </w:rPr>
        <w:t>.2.11.3</w:t>
      </w:r>
      <w:r>
        <w:rPr>
          <w:rFonts w:hint="eastAsia" w:ascii="Times New Roman" w:hAnsi="Times New Roman" w:eastAsia="黑体" w:cs="Times New Roman"/>
          <w:bCs/>
          <w:color w:val="auto"/>
          <w:kern w:val="2"/>
          <w:sz w:val="24"/>
          <w:szCs w:val="28"/>
          <w:lang w:val="en-US" w:eastAsia="zh-CN" w:bidi="ar-SA"/>
        </w:rPr>
        <w:t>施工设备</w:t>
      </w:r>
    </w:p>
    <w:p w14:paraId="5B6F1B37">
      <w:pPr>
        <w:widowControl w:val="0"/>
        <w:spacing w:line="300" w:lineRule="exact"/>
        <w:ind w:firstLine="0" w:firstLineChars="0"/>
        <w:jc w:val="center"/>
        <w:rPr>
          <w:rFonts w:ascii="Times New Roman" w:hAnsi="Times New Roman" w:eastAsia="黑体" w:cs="Times New Roman"/>
          <w:snapToGrid w:val="0"/>
          <w:color w:val="auto"/>
          <w:kern w:val="2"/>
          <w:sz w:val="24"/>
          <w:szCs w:val="21"/>
          <w:lang w:val="zh-CN" w:eastAsia="zh-CN" w:bidi="ar-SA"/>
        </w:rPr>
      </w:pPr>
      <w:r>
        <w:rPr>
          <w:rFonts w:hint="eastAsia" w:ascii="Times New Roman" w:hAnsi="Times New Roman" w:eastAsia="黑体" w:cs="Times New Roman"/>
          <w:snapToGrid w:val="0"/>
          <w:color w:val="auto"/>
          <w:kern w:val="2"/>
          <w:sz w:val="24"/>
          <w:szCs w:val="21"/>
          <w:lang w:val="zh-CN" w:eastAsia="zh-CN" w:bidi="ar-SA"/>
        </w:rPr>
        <w:t>表3</w:t>
      </w:r>
      <w:r>
        <w:rPr>
          <w:rFonts w:ascii="Times New Roman" w:hAnsi="Times New Roman" w:eastAsia="黑体" w:cs="Times New Roman"/>
          <w:snapToGrid w:val="0"/>
          <w:color w:val="auto"/>
          <w:kern w:val="2"/>
          <w:sz w:val="24"/>
          <w:szCs w:val="21"/>
          <w:lang w:val="zh-CN" w:eastAsia="zh-CN" w:bidi="ar-SA"/>
        </w:rPr>
        <w:t xml:space="preserve">.2-8  </w:t>
      </w:r>
      <w:r>
        <w:rPr>
          <w:rFonts w:hint="eastAsia" w:ascii="Times New Roman" w:hAnsi="Times New Roman" w:eastAsia="黑体" w:cs="Times New Roman"/>
          <w:snapToGrid w:val="0"/>
          <w:color w:val="auto"/>
          <w:kern w:val="2"/>
          <w:sz w:val="24"/>
          <w:szCs w:val="21"/>
          <w:lang w:val="zh-CN" w:eastAsia="zh-CN" w:bidi="ar-SA"/>
        </w:rPr>
        <w:t>施工期设备情况一览表</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693"/>
        <w:gridCol w:w="1985"/>
        <w:gridCol w:w="1701"/>
        <w:gridCol w:w="1949"/>
      </w:tblGrid>
      <w:tr w14:paraId="7F2B92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959" w:type="dxa"/>
            <w:noWrap w:val="0"/>
            <w:vAlign w:val="center"/>
          </w:tcPr>
          <w:p w14:paraId="1AD64775">
            <w:pPr>
              <w:keepNext w:val="0"/>
              <w:keepLines w:val="0"/>
              <w:suppressLineNumbers w:val="0"/>
              <w:overflowPunct w:val="0"/>
              <w:adjustRightInd w:val="0"/>
              <w:spacing w:before="0" w:beforeAutospacing="0" w:after="0" w:afterAutospacing="0" w:line="300" w:lineRule="exact"/>
              <w:ind w:left="0" w:right="0"/>
              <w:jc w:val="center"/>
              <w:textAlignment w:val="baseline"/>
              <w:rPr>
                <w:rFonts w:hint="default" w:ascii="Times New Roman" w:hAnsi="Times New Roman" w:eastAsia="宋体" w:cs="Times New Roman"/>
                <w:b/>
                <w:color w:val="auto"/>
                <w:kern w:val="0"/>
              </w:rPr>
            </w:pPr>
            <w:r>
              <w:rPr>
                <w:rFonts w:hint="eastAsia" w:ascii="Times New Roman" w:hAnsi="Times New Roman" w:eastAsia="宋体" w:cs="Times New Roman"/>
                <w:b/>
                <w:color w:val="auto"/>
                <w:kern w:val="0"/>
              </w:rPr>
              <w:t>序号</w:t>
            </w:r>
          </w:p>
        </w:tc>
        <w:tc>
          <w:tcPr>
            <w:tcW w:w="2693" w:type="dxa"/>
            <w:noWrap w:val="0"/>
            <w:vAlign w:val="center"/>
          </w:tcPr>
          <w:p w14:paraId="1595BD5D">
            <w:pPr>
              <w:keepNext w:val="0"/>
              <w:keepLines w:val="0"/>
              <w:suppressLineNumbers w:val="0"/>
              <w:overflowPunct w:val="0"/>
              <w:adjustRightInd w:val="0"/>
              <w:spacing w:before="0" w:beforeAutospacing="0" w:after="0" w:afterAutospacing="0" w:line="300" w:lineRule="exact"/>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机械名称</w:t>
            </w:r>
          </w:p>
        </w:tc>
        <w:tc>
          <w:tcPr>
            <w:tcW w:w="1985" w:type="dxa"/>
            <w:noWrap w:val="0"/>
            <w:vAlign w:val="center"/>
          </w:tcPr>
          <w:p w14:paraId="581F2DDA">
            <w:pPr>
              <w:keepNext w:val="0"/>
              <w:keepLines w:val="0"/>
              <w:suppressLineNumbers w:val="0"/>
              <w:overflowPunct w:val="0"/>
              <w:adjustRightInd w:val="0"/>
              <w:spacing w:before="0" w:beforeAutospacing="0" w:after="0" w:afterAutospacing="0" w:line="300" w:lineRule="exact"/>
              <w:ind w:left="0" w:right="0"/>
              <w:jc w:val="center"/>
              <w:textAlignment w:val="baseline"/>
              <w:rPr>
                <w:rFonts w:hint="eastAsia" w:ascii="Times New Roman" w:hAnsi="Times New Roman" w:eastAsia="宋体" w:cs="Times New Roman"/>
                <w:b/>
                <w:color w:val="auto"/>
                <w:kern w:val="0"/>
              </w:rPr>
            </w:pPr>
            <w:r>
              <w:rPr>
                <w:rFonts w:hint="eastAsia" w:ascii="Times New Roman" w:hAnsi="Times New Roman" w:eastAsia="宋体" w:cs="Times New Roman"/>
                <w:b/>
                <w:color w:val="auto"/>
                <w:kern w:val="0"/>
              </w:rPr>
              <w:t>型号</w:t>
            </w:r>
          </w:p>
        </w:tc>
        <w:tc>
          <w:tcPr>
            <w:tcW w:w="1701" w:type="dxa"/>
            <w:noWrap w:val="0"/>
            <w:vAlign w:val="top"/>
          </w:tcPr>
          <w:p w14:paraId="243C82E3">
            <w:pPr>
              <w:keepNext w:val="0"/>
              <w:keepLines w:val="0"/>
              <w:suppressLineNumbers w:val="0"/>
              <w:overflowPunct w:val="0"/>
              <w:adjustRightInd w:val="0"/>
              <w:spacing w:before="0" w:beforeAutospacing="0" w:after="0" w:afterAutospacing="0" w:line="300" w:lineRule="exact"/>
              <w:ind w:left="0" w:right="0"/>
              <w:jc w:val="center"/>
              <w:textAlignment w:val="baseline"/>
              <w:rPr>
                <w:rFonts w:hint="eastAsia" w:ascii="Times New Roman" w:hAnsi="Times New Roman" w:eastAsia="宋体" w:cs="Times New Roman"/>
                <w:b/>
                <w:color w:val="auto"/>
                <w:kern w:val="0"/>
              </w:rPr>
            </w:pPr>
            <w:r>
              <w:rPr>
                <w:rFonts w:hint="eastAsia" w:ascii="Times New Roman" w:hAnsi="Times New Roman" w:eastAsia="宋体" w:cs="Times New Roman"/>
                <w:b/>
                <w:color w:val="auto"/>
                <w:kern w:val="0"/>
              </w:rPr>
              <w:t>单位</w:t>
            </w:r>
          </w:p>
        </w:tc>
        <w:tc>
          <w:tcPr>
            <w:tcW w:w="1949" w:type="dxa"/>
            <w:noWrap w:val="0"/>
            <w:vAlign w:val="center"/>
          </w:tcPr>
          <w:p w14:paraId="2EC7B0D1">
            <w:pPr>
              <w:keepNext w:val="0"/>
              <w:keepLines w:val="0"/>
              <w:suppressLineNumbers w:val="0"/>
              <w:overflowPunct w:val="0"/>
              <w:adjustRightInd w:val="0"/>
              <w:spacing w:before="0" w:beforeAutospacing="0" w:after="0" w:afterAutospacing="0" w:line="300" w:lineRule="exact"/>
              <w:ind w:left="0" w:right="0"/>
              <w:jc w:val="center"/>
              <w:textAlignment w:val="baseline"/>
              <w:rPr>
                <w:rFonts w:hint="default" w:ascii="Times New Roman" w:hAnsi="Times New Roman" w:eastAsia="宋体" w:cs="Times New Roman"/>
                <w:b/>
                <w:color w:val="auto"/>
                <w:kern w:val="0"/>
              </w:rPr>
            </w:pPr>
            <w:r>
              <w:rPr>
                <w:rFonts w:hint="eastAsia" w:ascii="Times New Roman" w:hAnsi="Times New Roman" w:eastAsia="宋体" w:cs="Times New Roman"/>
                <w:b/>
                <w:color w:val="auto"/>
                <w:kern w:val="0"/>
              </w:rPr>
              <w:t>数量</w:t>
            </w:r>
          </w:p>
        </w:tc>
      </w:tr>
      <w:tr w14:paraId="2B58FF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959" w:type="dxa"/>
            <w:noWrap w:val="0"/>
            <w:vAlign w:val="center"/>
          </w:tcPr>
          <w:p w14:paraId="4926BADD">
            <w:pPr>
              <w:keepNext w:val="0"/>
              <w:keepLines w:val="0"/>
              <w:suppressLineNumbers w:val="0"/>
              <w:overflowPunct w:val="0"/>
              <w:adjustRightInd w:val="0"/>
              <w:spacing w:before="0" w:beforeAutospacing="0" w:after="0" w:afterAutospacing="0" w:line="300" w:lineRule="exact"/>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1</w:t>
            </w:r>
          </w:p>
        </w:tc>
        <w:tc>
          <w:tcPr>
            <w:tcW w:w="2693" w:type="dxa"/>
            <w:noWrap w:val="0"/>
            <w:vAlign w:val="center"/>
          </w:tcPr>
          <w:p w14:paraId="4208AAB5">
            <w:pPr>
              <w:keepNext w:val="0"/>
              <w:keepLines w:val="0"/>
              <w:suppressLineNumbers w:val="0"/>
              <w:overflowPunct w:val="0"/>
              <w:adjustRightInd w:val="0"/>
              <w:spacing w:before="0" w:beforeAutospacing="0" w:after="0" w:afterAutospacing="0" w:line="300" w:lineRule="exact"/>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color w:val="auto"/>
                <w:kern w:val="0"/>
              </w:rPr>
              <w:t>反铲挖掘机</w:t>
            </w:r>
          </w:p>
        </w:tc>
        <w:tc>
          <w:tcPr>
            <w:tcW w:w="1985" w:type="dxa"/>
            <w:noWrap w:val="0"/>
            <w:vAlign w:val="center"/>
          </w:tcPr>
          <w:p w14:paraId="40830EF3">
            <w:pPr>
              <w:keepNext w:val="0"/>
              <w:keepLines w:val="0"/>
              <w:suppressLineNumbers w:val="0"/>
              <w:overflowPunct w:val="0"/>
              <w:adjustRightInd w:val="0"/>
              <w:spacing w:before="0" w:beforeAutospacing="0" w:after="0" w:afterAutospacing="0" w:line="300" w:lineRule="exact"/>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color w:val="auto"/>
                <w:kern w:val="0"/>
              </w:rPr>
              <w:t>1.0m</w:t>
            </w:r>
            <w:r>
              <w:rPr>
                <w:rFonts w:hint="default" w:ascii="Times New Roman" w:hAnsi="Times New Roman" w:eastAsia="宋体" w:cs="Times New Roman"/>
                <w:color w:val="auto"/>
                <w:kern w:val="0"/>
                <w:vertAlign w:val="superscript"/>
              </w:rPr>
              <w:t>3</w:t>
            </w:r>
          </w:p>
        </w:tc>
        <w:tc>
          <w:tcPr>
            <w:tcW w:w="1701" w:type="dxa"/>
            <w:noWrap w:val="0"/>
            <w:vAlign w:val="top"/>
          </w:tcPr>
          <w:p w14:paraId="12BA5698">
            <w:pPr>
              <w:keepNext w:val="0"/>
              <w:keepLines w:val="0"/>
              <w:suppressLineNumbers w:val="0"/>
              <w:overflowPunct w:val="0"/>
              <w:adjustRightInd w:val="0"/>
              <w:spacing w:before="0" w:beforeAutospacing="0" w:after="0" w:afterAutospacing="0" w:line="300" w:lineRule="exact"/>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台</w:t>
            </w:r>
          </w:p>
        </w:tc>
        <w:tc>
          <w:tcPr>
            <w:tcW w:w="1949" w:type="dxa"/>
            <w:noWrap w:val="0"/>
            <w:vAlign w:val="center"/>
          </w:tcPr>
          <w:p w14:paraId="35677A19">
            <w:pPr>
              <w:keepNext w:val="0"/>
              <w:keepLines w:val="0"/>
              <w:suppressLineNumbers w:val="0"/>
              <w:overflowPunct w:val="0"/>
              <w:adjustRightInd w:val="0"/>
              <w:spacing w:before="0" w:beforeAutospacing="0" w:after="0" w:afterAutospacing="0" w:line="300" w:lineRule="exact"/>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1</w:t>
            </w:r>
            <w:r>
              <w:rPr>
                <w:rFonts w:hint="default" w:ascii="Times New Roman" w:hAnsi="Times New Roman" w:eastAsia="宋体" w:cs="Times New Roman"/>
                <w:bCs/>
                <w:color w:val="auto"/>
                <w:kern w:val="0"/>
              </w:rPr>
              <w:t>2</w:t>
            </w:r>
          </w:p>
        </w:tc>
      </w:tr>
      <w:tr w14:paraId="66720F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959" w:type="dxa"/>
            <w:noWrap w:val="0"/>
            <w:vAlign w:val="center"/>
          </w:tcPr>
          <w:p w14:paraId="530B5D67">
            <w:pPr>
              <w:keepNext w:val="0"/>
              <w:keepLines w:val="0"/>
              <w:suppressLineNumbers w:val="0"/>
              <w:overflowPunct w:val="0"/>
              <w:adjustRightInd w:val="0"/>
              <w:spacing w:before="0" w:beforeAutospacing="0" w:after="0" w:afterAutospacing="0" w:line="300" w:lineRule="exact"/>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2</w:t>
            </w:r>
          </w:p>
        </w:tc>
        <w:tc>
          <w:tcPr>
            <w:tcW w:w="2693" w:type="dxa"/>
            <w:noWrap w:val="0"/>
            <w:vAlign w:val="center"/>
          </w:tcPr>
          <w:p w14:paraId="26DE797F">
            <w:pPr>
              <w:keepNext w:val="0"/>
              <w:keepLines w:val="0"/>
              <w:suppressLineNumbers w:val="0"/>
              <w:overflowPunct w:val="0"/>
              <w:adjustRightInd w:val="0"/>
              <w:spacing w:before="0" w:beforeAutospacing="0" w:after="0" w:afterAutospacing="0" w:line="300" w:lineRule="exact"/>
              <w:ind w:left="0" w:right="0"/>
              <w:jc w:val="center"/>
              <w:textAlignment w:val="baseline"/>
              <w:rPr>
                <w:rFonts w:hint="eastAsia" w:ascii="Times New Roman" w:hAnsi="Times New Roman" w:eastAsia="宋体" w:cs="Times New Roman"/>
                <w:bCs/>
                <w:color w:val="auto"/>
                <w:kern w:val="0"/>
              </w:rPr>
            </w:pPr>
            <w:r>
              <w:rPr>
                <w:rFonts w:hint="default" w:ascii="Times New Roman" w:hAnsi="Times New Roman" w:eastAsia="宋体" w:cs="Times New Roman"/>
                <w:bCs/>
                <w:color w:val="auto"/>
                <w:kern w:val="0"/>
              </w:rPr>
              <w:t>推土机</w:t>
            </w:r>
          </w:p>
        </w:tc>
        <w:tc>
          <w:tcPr>
            <w:tcW w:w="1985" w:type="dxa"/>
            <w:noWrap w:val="0"/>
            <w:vAlign w:val="center"/>
          </w:tcPr>
          <w:p w14:paraId="3F9A7695">
            <w:pPr>
              <w:keepNext w:val="0"/>
              <w:keepLines w:val="0"/>
              <w:suppressLineNumbers w:val="0"/>
              <w:overflowPunct w:val="0"/>
              <w:adjustRightInd w:val="0"/>
              <w:spacing w:before="0" w:beforeAutospacing="0" w:after="0" w:afterAutospacing="0" w:line="300" w:lineRule="exact"/>
              <w:ind w:left="0" w:right="0"/>
              <w:jc w:val="center"/>
              <w:textAlignment w:val="baseline"/>
              <w:rPr>
                <w:rFonts w:hint="default" w:ascii="Times New Roman" w:hAnsi="Times New Roman" w:eastAsia="宋体" w:cs="Times New Roman"/>
                <w:b/>
                <w:color w:val="auto"/>
                <w:kern w:val="0"/>
              </w:rPr>
            </w:pPr>
            <w:r>
              <w:rPr>
                <w:rFonts w:hint="eastAsia" w:ascii="Times New Roman" w:hAnsi="Times New Roman" w:eastAsia="宋体" w:cs="Times New Roman"/>
                <w:bCs/>
                <w:color w:val="auto"/>
                <w:kern w:val="0"/>
              </w:rPr>
              <w:t>5</w:t>
            </w:r>
            <w:r>
              <w:rPr>
                <w:rFonts w:hint="default" w:ascii="Times New Roman" w:hAnsi="Times New Roman" w:eastAsia="宋体" w:cs="Times New Roman"/>
                <w:bCs/>
                <w:color w:val="auto"/>
                <w:kern w:val="0"/>
              </w:rPr>
              <w:t>5~74kW</w:t>
            </w:r>
          </w:p>
        </w:tc>
        <w:tc>
          <w:tcPr>
            <w:tcW w:w="1701" w:type="dxa"/>
            <w:noWrap w:val="0"/>
            <w:vAlign w:val="top"/>
          </w:tcPr>
          <w:p w14:paraId="58761E0C">
            <w:pPr>
              <w:keepNext w:val="0"/>
              <w:keepLines w:val="0"/>
              <w:suppressLineNumbers w:val="0"/>
              <w:overflowPunct w:val="0"/>
              <w:adjustRightInd w:val="0"/>
              <w:spacing w:before="0" w:beforeAutospacing="0" w:after="0" w:afterAutospacing="0" w:line="300" w:lineRule="exact"/>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台</w:t>
            </w:r>
          </w:p>
        </w:tc>
        <w:tc>
          <w:tcPr>
            <w:tcW w:w="1949" w:type="dxa"/>
            <w:noWrap w:val="0"/>
            <w:vAlign w:val="center"/>
          </w:tcPr>
          <w:p w14:paraId="5EC51099">
            <w:pPr>
              <w:keepNext w:val="0"/>
              <w:keepLines w:val="0"/>
              <w:suppressLineNumbers w:val="0"/>
              <w:overflowPunct w:val="0"/>
              <w:adjustRightInd w:val="0"/>
              <w:spacing w:before="0" w:beforeAutospacing="0" w:after="0" w:afterAutospacing="0" w:line="300" w:lineRule="exact"/>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1</w:t>
            </w:r>
            <w:r>
              <w:rPr>
                <w:rFonts w:hint="default" w:ascii="Times New Roman" w:hAnsi="Times New Roman" w:eastAsia="宋体" w:cs="Times New Roman"/>
                <w:bCs/>
                <w:color w:val="auto"/>
                <w:kern w:val="0"/>
              </w:rPr>
              <w:t>3</w:t>
            </w:r>
          </w:p>
        </w:tc>
      </w:tr>
      <w:tr w14:paraId="602D7F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959" w:type="dxa"/>
            <w:noWrap w:val="0"/>
            <w:vAlign w:val="center"/>
          </w:tcPr>
          <w:p w14:paraId="34527439">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3</w:t>
            </w:r>
          </w:p>
        </w:tc>
        <w:tc>
          <w:tcPr>
            <w:tcW w:w="2693" w:type="dxa"/>
            <w:noWrap w:val="0"/>
            <w:vAlign w:val="center"/>
          </w:tcPr>
          <w:p w14:paraId="44A947A3">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混凝土搅拌机</w:t>
            </w:r>
          </w:p>
        </w:tc>
        <w:tc>
          <w:tcPr>
            <w:tcW w:w="1985" w:type="dxa"/>
            <w:noWrap w:val="0"/>
            <w:vAlign w:val="center"/>
          </w:tcPr>
          <w:p w14:paraId="5150D547">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eastAsia" w:ascii="Times New Roman" w:hAnsi="Times New Roman" w:eastAsia="宋体" w:cs="Times New Roman"/>
                <w:bCs/>
                <w:color w:val="auto"/>
                <w:kern w:val="0"/>
              </w:rPr>
              <w:t>0</w:t>
            </w:r>
            <w:r>
              <w:rPr>
                <w:rFonts w:hint="default" w:ascii="Times New Roman" w:hAnsi="Times New Roman" w:eastAsia="宋体" w:cs="Times New Roman"/>
                <w:bCs/>
                <w:color w:val="auto"/>
                <w:kern w:val="0"/>
              </w:rPr>
              <w:t>.4</w:t>
            </w:r>
            <w:r>
              <w:rPr>
                <w:rFonts w:hint="eastAsia" w:ascii="Times New Roman" w:hAnsi="Times New Roman" w:eastAsia="宋体" w:cs="Times New Roman"/>
                <w:bCs/>
                <w:color w:val="auto"/>
                <w:kern w:val="0"/>
              </w:rPr>
              <w:t>m</w:t>
            </w:r>
            <w:r>
              <w:rPr>
                <w:rFonts w:hint="default" w:ascii="Times New Roman" w:hAnsi="Times New Roman" w:eastAsia="宋体" w:cs="Times New Roman"/>
                <w:bCs/>
                <w:color w:val="auto"/>
                <w:kern w:val="0"/>
                <w:vertAlign w:val="superscript"/>
              </w:rPr>
              <w:t>3</w:t>
            </w:r>
          </w:p>
        </w:tc>
        <w:tc>
          <w:tcPr>
            <w:tcW w:w="1701" w:type="dxa"/>
            <w:noWrap w:val="0"/>
            <w:vAlign w:val="top"/>
          </w:tcPr>
          <w:p w14:paraId="60D18CAA">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台</w:t>
            </w:r>
          </w:p>
        </w:tc>
        <w:tc>
          <w:tcPr>
            <w:tcW w:w="1949" w:type="dxa"/>
            <w:noWrap w:val="0"/>
            <w:vAlign w:val="center"/>
          </w:tcPr>
          <w:p w14:paraId="1FCB6726">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2</w:t>
            </w:r>
            <w:r>
              <w:rPr>
                <w:rFonts w:hint="default" w:ascii="Times New Roman" w:hAnsi="Times New Roman" w:eastAsia="宋体" w:cs="Times New Roman"/>
                <w:bCs/>
                <w:color w:val="auto"/>
                <w:kern w:val="0"/>
              </w:rPr>
              <w:t>4</w:t>
            </w:r>
          </w:p>
        </w:tc>
      </w:tr>
      <w:tr w14:paraId="362B1F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959" w:type="dxa"/>
            <w:noWrap w:val="0"/>
            <w:vAlign w:val="center"/>
          </w:tcPr>
          <w:p w14:paraId="2936DE4F">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4</w:t>
            </w:r>
          </w:p>
        </w:tc>
        <w:tc>
          <w:tcPr>
            <w:tcW w:w="2693" w:type="dxa"/>
            <w:noWrap w:val="0"/>
            <w:vAlign w:val="center"/>
          </w:tcPr>
          <w:p w14:paraId="74B30D0D">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eastAsia" w:ascii="Times New Roman" w:hAnsi="Times New Roman" w:eastAsia="宋体" w:cs="Times New Roman"/>
                <w:color w:val="auto"/>
                <w:kern w:val="0"/>
              </w:rPr>
              <w:t>蛙式打夯机</w:t>
            </w:r>
          </w:p>
        </w:tc>
        <w:tc>
          <w:tcPr>
            <w:tcW w:w="1985" w:type="dxa"/>
            <w:noWrap w:val="0"/>
            <w:vAlign w:val="center"/>
          </w:tcPr>
          <w:p w14:paraId="5BA77C95">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eastAsia" w:ascii="Times New Roman" w:hAnsi="Times New Roman" w:eastAsia="宋体" w:cs="Times New Roman"/>
                <w:color w:val="auto"/>
                <w:kern w:val="0"/>
              </w:rPr>
              <w:t>2</w:t>
            </w:r>
            <w:r>
              <w:rPr>
                <w:rFonts w:hint="default" w:ascii="Times New Roman" w:hAnsi="Times New Roman" w:eastAsia="宋体" w:cs="Times New Roman"/>
                <w:color w:val="auto"/>
                <w:kern w:val="0"/>
              </w:rPr>
              <w:t>.8</w:t>
            </w:r>
            <w:r>
              <w:rPr>
                <w:rFonts w:hint="eastAsia" w:ascii="Times New Roman" w:hAnsi="Times New Roman" w:eastAsia="宋体" w:cs="Times New Roman"/>
                <w:color w:val="auto"/>
                <w:kern w:val="0"/>
              </w:rPr>
              <w:t>k</w:t>
            </w:r>
            <w:r>
              <w:rPr>
                <w:rFonts w:hint="default" w:ascii="Times New Roman" w:hAnsi="Times New Roman" w:eastAsia="宋体" w:cs="Times New Roman"/>
                <w:color w:val="auto"/>
                <w:kern w:val="0"/>
              </w:rPr>
              <w:t>W</w:t>
            </w:r>
          </w:p>
        </w:tc>
        <w:tc>
          <w:tcPr>
            <w:tcW w:w="1701" w:type="dxa"/>
            <w:noWrap w:val="0"/>
            <w:vAlign w:val="top"/>
          </w:tcPr>
          <w:p w14:paraId="73F270DA">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台</w:t>
            </w:r>
          </w:p>
        </w:tc>
        <w:tc>
          <w:tcPr>
            <w:tcW w:w="1949" w:type="dxa"/>
            <w:noWrap w:val="0"/>
            <w:vAlign w:val="center"/>
          </w:tcPr>
          <w:p w14:paraId="4C0A8F8A">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2</w:t>
            </w:r>
            <w:r>
              <w:rPr>
                <w:rFonts w:hint="default" w:ascii="Times New Roman" w:hAnsi="Times New Roman" w:eastAsia="宋体" w:cs="Times New Roman"/>
                <w:bCs/>
                <w:color w:val="auto"/>
                <w:kern w:val="0"/>
              </w:rPr>
              <w:t>5</w:t>
            </w:r>
          </w:p>
        </w:tc>
      </w:tr>
      <w:tr w14:paraId="480D32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959" w:type="dxa"/>
            <w:noWrap w:val="0"/>
            <w:vAlign w:val="center"/>
          </w:tcPr>
          <w:p w14:paraId="33A5AE04">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5</w:t>
            </w:r>
          </w:p>
        </w:tc>
        <w:tc>
          <w:tcPr>
            <w:tcW w:w="2693" w:type="dxa"/>
            <w:noWrap w:val="0"/>
            <w:vAlign w:val="center"/>
          </w:tcPr>
          <w:p w14:paraId="64311560">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自卸汽车</w:t>
            </w:r>
          </w:p>
        </w:tc>
        <w:tc>
          <w:tcPr>
            <w:tcW w:w="1985" w:type="dxa"/>
            <w:noWrap w:val="0"/>
            <w:vAlign w:val="center"/>
          </w:tcPr>
          <w:p w14:paraId="5972CEA4">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5t</w:t>
            </w:r>
          </w:p>
        </w:tc>
        <w:tc>
          <w:tcPr>
            <w:tcW w:w="1701" w:type="dxa"/>
            <w:noWrap w:val="0"/>
            <w:vAlign w:val="top"/>
          </w:tcPr>
          <w:p w14:paraId="3CCBAF3F">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辆</w:t>
            </w:r>
          </w:p>
        </w:tc>
        <w:tc>
          <w:tcPr>
            <w:tcW w:w="1949" w:type="dxa"/>
            <w:noWrap w:val="0"/>
            <w:vAlign w:val="center"/>
          </w:tcPr>
          <w:p w14:paraId="07AB24C8">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1</w:t>
            </w:r>
            <w:r>
              <w:rPr>
                <w:rFonts w:hint="default" w:ascii="Times New Roman" w:hAnsi="Times New Roman" w:eastAsia="宋体" w:cs="Times New Roman"/>
                <w:bCs/>
                <w:color w:val="auto"/>
                <w:kern w:val="0"/>
              </w:rPr>
              <w:t>6</w:t>
            </w:r>
          </w:p>
        </w:tc>
      </w:tr>
      <w:tr w14:paraId="22E07C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959" w:type="dxa"/>
            <w:noWrap w:val="0"/>
            <w:vAlign w:val="center"/>
          </w:tcPr>
          <w:p w14:paraId="5355FAE7">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6</w:t>
            </w:r>
          </w:p>
        </w:tc>
        <w:tc>
          <w:tcPr>
            <w:tcW w:w="2693" w:type="dxa"/>
            <w:noWrap w:val="0"/>
            <w:vAlign w:val="center"/>
          </w:tcPr>
          <w:p w14:paraId="0217EE8D">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柴油发电机</w:t>
            </w:r>
          </w:p>
        </w:tc>
        <w:tc>
          <w:tcPr>
            <w:tcW w:w="1985" w:type="dxa"/>
            <w:noWrap w:val="0"/>
            <w:vAlign w:val="center"/>
          </w:tcPr>
          <w:p w14:paraId="5D56D24E">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85</w:t>
            </w:r>
            <w:r>
              <w:rPr>
                <w:rFonts w:hint="eastAsia" w:ascii="Times New Roman" w:hAnsi="Times New Roman" w:eastAsia="宋体" w:cs="Times New Roman"/>
                <w:bCs/>
                <w:color w:val="auto"/>
                <w:kern w:val="0"/>
              </w:rPr>
              <w:t>k</w:t>
            </w:r>
            <w:r>
              <w:rPr>
                <w:rFonts w:hint="default" w:ascii="Times New Roman" w:hAnsi="Times New Roman" w:eastAsia="宋体" w:cs="Times New Roman"/>
                <w:bCs/>
                <w:color w:val="auto"/>
                <w:kern w:val="0"/>
              </w:rPr>
              <w:t>W</w:t>
            </w:r>
          </w:p>
        </w:tc>
        <w:tc>
          <w:tcPr>
            <w:tcW w:w="1701" w:type="dxa"/>
            <w:noWrap w:val="0"/>
            <w:vAlign w:val="top"/>
          </w:tcPr>
          <w:p w14:paraId="48568764">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台</w:t>
            </w:r>
          </w:p>
        </w:tc>
        <w:tc>
          <w:tcPr>
            <w:tcW w:w="1949" w:type="dxa"/>
            <w:noWrap w:val="0"/>
            <w:vAlign w:val="center"/>
          </w:tcPr>
          <w:p w14:paraId="0141C6E3">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1</w:t>
            </w:r>
          </w:p>
        </w:tc>
      </w:tr>
      <w:tr w14:paraId="36C43F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959" w:type="dxa"/>
            <w:noWrap w:val="0"/>
            <w:vAlign w:val="center"/>
          </w:tcPr>
          <w:p w14:paraId="0BFB261E">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7</w:t>
            </w:r>
          </w:p>
        </w:tc>
        <w:tc>
          <w:tcPr>
            <w:tcW w:w="2693" w:type="dxa"/>
            <w:noWrap w:val="0"/>
            <w:vAlign w:val="center"/>
          </w:tcPr>
          <w:p w14:paraId="26E4D68C">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color w:val="auto"/>
              </w:rPr>
              <w:t>抓斗式</w:t>
            </w:r>
            <w:r>
              <w:rPr>
                <w:rFonts w:hint="default" w:ascii="Times New Roman" w:hAnsi="Times New Roman" w:eastAsia="宋体" w:cs="Times New Roman"/>
                <w:color w:val="auto"/>
              </w:rPr>
              <w:t>挖泥船</w:t>
            </w:r>
          </w:p>
        </w:tc>
        <w:tc>
          <w:tcPr>
            <w:tcW w:w="1985" w:type="dxa"/>
            <w:noWrap w:val="0"/>
            <w:vAlign w:val="center"/>
          </w:tcPr>
          <w:p w14:paraId="37C00375">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2</w:t>
            </w:r>
            <w:r>
              <w:rPr>
                <w:rFonts w:hint="eastAsia" w:ascii="Times New Roman" w:hAnsi="Times New Roman" w:eastAsia="宋体" w:cs="Times New Roman"/>
                <w:bCs/>
                <w:color w:val="auto"/>
                <w:kern w:val="0"/>
              </w:rPr>
              <w:t>m</w:t>
            </w:r>
            <w:r>
              <w:rPr>
                <w:rFonts w:hint="default" w:ascii="Times New Roman" w:hAnsi="Times New Roman" w:eastAsia="宋体" w:cs="Times New Roman"/>
                <w:bCs/>
                <w:color w:val="auto"/>
                <w:kern w:val="0"/>
                <w:vertAlign w:val="superscript"/>
              </w:rPr>
              <w:t>3</w:t>
            </w:r>
          </w:p>
        </w:tc>
        <w:tc>
          <w:tcPr>
            <w:tcW w:w="1701" w:type="dxa"/>
            <w:noWrap w:val="0"/>
            <w:vAlign w:val="top"/>
          </w:tcPr>
          <w:p w14:paraId="3A43F4A5">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艘</w:t>
            </w:r>
          </w:p>
        </w:tc>
        <w:tc>
          <w:tcPr>
            <w:tcW w:w="1949" w:type="dxa"/>
            <w:noWrap w:val="0"/>
            <w:vAlign w:val="center"/>
          </w:tcPr>
          <w:p w14:paraId="0F8B3F0A">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1</w:t>
            </w:r>
          </w:p>
        </w:tc>
      </w:tr>
      <w:tr w14:paraId="1F07C1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959" w:type="dxa"/>
            <w:noWrap w:val="0"/>
            <w:vAlign w:val="center"/>
          </w:tcPr>
          <w:p w14:paraId="125E0712">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8</w:t>
            </w:r>
          </w:p>
        </w:tc>
        <w:tc>
          <w:tcPr>
            <w:tcW w:w="2693" w:type="dxa"/>
            <w:noWrap w:val="0"/>
            <w:vAlign w:val="center"/>
          </w:tcPr>
          <w:p w14:paraId="58158F8C">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color w:val="auto"/>
              </w:rPr>
            </w:pPr>
            <w:r>
              <w:rPr>
                <w:rFonts w:hint="eastAsia" w:ascii="Times New Roman" w:hAnsi="Times New Roman" w:eastAsia="宋体" w:cs="Times New Roman"/>
                <w:color w:val="auto"/>
              </w:rPr>
              <w:t>钻桩机</w:t>
            </w:r>
          </w:p>
        </w:tc>
        <w:tc>
          <w:tcPr>
            <w:tcW w:w="1985" w:type="dxa"/>
            <w:noWrap w:val="0"/>
            <w:vAlign w:val="center"/>
          </w:tcPr>
          <w:p w14:paraId="49A02E69">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w:t>
            </w:r>
          </w:p>
        </w:tc>
        <w:tc>
          <w:tcPr>
            <w:tcW w:w="1701" w:type="dxa"/>
            <w:noWrap w:val="0"/>
            <w:vAlign w:val="top"/>
          </w:tcPr>
          <w:p w14:paraId="348E2E4B">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台</w:t>
            </w:r>
          </w:p>
        </w:tc>
        <w:tc>
          <w:tcPr>
            <w:tcW w:w="1949" w:type="dxa"/>
            <w:noWrap w:val="0"/>
            <w:vAlign w:val="center"/>
          </w:tcPr>
          <w:p w14:paraId="1FB46B07">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5</w:t>
            </w:r>
          </w:p>
        </w:tc>
      </w:tr>
      <w:tr w14:paraId="391CA1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959" w:type="dxa"/>
            <w:noWrap w:val="0"/>
            <w:vAlign w:val="center"/>
          </w:tcPr>
          <w:p w14:paraId="33763E72">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9</w:t>
            </w:r>
          </w:p>
        </w:tc>
        <w:tc>
          <w:tcPr>
            <w:tcW w:w="2693" w:type="dxa"/>
            <w:noWrap w:val="0"/>
            <w:vAlign w:val="center"/>
          </w:tcPr>
          <w:p w14:paraId="799F8089">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color w:val="auto"/>
              </w:rPr>
            </w:pPr>
            <w:r>
              <w:rPr>
                <w:rFonts w:hint="eastAsia" w:ascii="Times New Roman" w:hAnsi="Times New Roman" w:eastAsia="宋体" w:cs="Times New Roman"/>
                <w:color w:val="auto"/>
              </w:rPr>
              <w:t>打桩船</w:t>
            </w:r>
          </w:p>
        </w:tc>
        <w:tc>
          <w:tcPr>
            <w:tcW w:w="1985" w:type="dxa"/>
            <w:noWrap w:val="0"/>
            <w:vAlign w:val="center"/>
          </w:tcPr>
          <w:p w14:paraId="6A37AAD4">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w:t>
            </w:r>
          </w:p>
        </w:tc>
        <w:tc>
          <w:tcPr>
            <w:tcW w:w="1701" w:type="dxa"/>
            <w:noWrap w:val="0"/>
            <w:vAlign w:val="top"/>
          </w:tcPr>
          <w:p w14:paraId="1B560ABA">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艘</w:t>
            </w:r>
          </w:p>
        </w:tc>
        <w:tc>
          <w:tcPr>
            <w:tcW w:w="1949" w:type="dxa"/>
            <w:noWrap w:val="0"/>
            <w:vAlign w:val="center"/>
          </w:tcPr>
          <w:p w14:paraId="499F266A">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2</w:t>
            </w:r>
          </w:p>
        </w:tc>
      </w:tr>
      <w:tr w14:paraId="7A4601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959" w:type="dxa"/>
            <w:noWrap w:val="0"/>
            <w:vAlign w:val="center"/>
          </w:tcPr>
          <w:p w14:paraId="319392DF">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1</w:t>
            </w:r>
            <w:r>
              <w:rPr>
                <w:rFonts w:hint="default" w:ascii="Times New Roman" w:hAnsi="Times New Roman" w:eastAsia="宋体" w:cs="Times New Roman"/>
                <w:bCs/>
                <w:color w:val="auto"/>
                <w:kern w:val="0"/>
              </w:rPr>
              <w:t>0</w:t>
            </w:r>
          </w:p>
        </w:tc>
        <w:tc>
          <w:tcPr>
            <w:tcW w:w="2693" w:type="dxa"/>
            <w:noWrap w:val="0"/>
            <w:vAlign w:val="center"/>
          </w:tcPr>
          <w:p w14:paraId="7627A9B0">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color w:val="auto"/>
              </w:rPr>
            </w:pPr>
            <w:r>
              <w:rPr>
                <w:rFonts w:hint="eastAsia" w:ascii="Times New Roman" w:hAnsi="Times New Roman" w:eastAsia="宋体" w:cs="Times New Roman"/>
                <w:color w:val="auto"/>
                <w:lang w:val="zh-CN"/>
              </w:rPr>
              <w:t>混凝土罐车</w:t>
            </w:r>
          </w:p>
        </w:tc>
        <w:tc>
          <w:tcPr>
            <w:tcW w:w="1985" w:type="dxa"/>
            <w:noWrap w:val="0"/>
            <w:vAlign w:val="center"/>
          </w:tcPr>
          <w:p w14:paraId="619531EA">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w:t>
            </w:r>
          </w:p>
        </w:tc>
        <w:tc>
          <w:tcPr>
            <w:tcW w:w="1701" w:type="dxa"/>
            <w:noWrap w:val="0"/>
            <w:vAlign w:val="top"/>
          </w:tcPr>
          <w:p w14:paraId="575F8B77">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台</w:t>
            </w:r>
          </w:p>
        </w:tc>
        <w:tc>
          <w:tcPr>
            <w:tcW w:w="1949" w:type="dxa"/>
            <w:noWrap w:val="0"/>
            <w:vAlign w:val="center"/>
          </w:tcPr>
          <w:p w14:paraId="54A4CCB0">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5</w:t>
            </w:r>
          </w:p>
        </w:tc>
      </w:tr>
      <w:tr w14:paraId="391EEC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959" w:type="dxa"/>
            <w:noWrap w:val="0"/>
            <w:vAlign w:val="center"/>
          </w:tcPr>
          <w:p w14:paraId="1CFC66EA">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1</w:t>
            </w:r>
            <w:r>
              <w:rPr>
                <w:rFonts w:hint="default" w:ascii="Times New Roman" w:hAnsi="Times New Roman" w:eastAsia="宋体" w:cs="Times New Roman"/>
                <w:bCs/>
                <w:color w:val="auto"/>
                <w:kern w:val="0"/>
              </w:rPr>
              <w:t>1</w:t>
            </w:r>
          </w:p>
        </w:tc>
        <w:tc>
          <w:tcPr>
            <w:tcW w:w="2693" w:type="dxa"/>
            <w:noWrap w:val="0"/>
            <w:vAlign w:val="center"/>
          </w:tcPr>
          <w:p w14:paraId="5973E7EB">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color w:val="auto"/>
              </w:rPr>
            </w:pPr>
            <w:r>
              <w:rPr>
                <w:rFonts w:hint="eastAsia" w:ascii="Times New Roman" w:hAnsi="Times New Roman" w:eastAsia="宋体" w:cs="Times New Roman"/>
                <w:color w:val="auto"/>
                <w:lang w:val="zh-CN"/>
              </w:rPr>
              <w:t>土方车</w:t>
            </w:r>
          </w:p>
        </w:tc>
        <w:tc>
          <w:tcPr>
            <w:tcW w:w="1985" w:type="dxa"/>
            <w:noWrap w:val="0"/>
            <w:vAlign w:val="center"/>
          </w:tcPr>
          <w:p w14:paraId="636A1F2C">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w:t>
            </w:r>
          </w:p>
        </w:tc>
        <w:tc>
          <w:tcPr>
            <w:tcW w:w="1701" w:type="dxa"/>
            <w:noWrap w:val="0"/>
            <w:vAlign w:val="top"/>
          </w:tcPr>
          <w:p w14:paraId="0BAEAA4E">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台</w:t>
            </w:r>
          </w:p>
        </w:tc>
        <w:tc>
          <w:tcPr>
            <w:tcW w:w="1949" w:type="dxa"/>
            <w:noWrap w:val="0"/>
            <w:vAlign w:val="center"/>
          </w:tcPr>
          <w:p w14:paraId="517EB84A">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5</w:t>
            </w:r>
          </w:p>
        </w:tc>
      </w:tr>
      <w:tr w14:paraId="7EBEAE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959" w:type="dxa"/>
            <w:noWrap w:val="0"/>
            <w:vAlign w:val="center"/>
          </w:tcPr>
          <w:p w14:paraId="2CA97EEB">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1</w:t>
            </w:r>
            <w:r>
              <w:rPr>
                <w:rFonts w:hint="default" w:ascii="Times New Roman" w:hAnsi="Times New Roman" w:eastAsia="宋体" w:cs="Times New Roman"/>
                <w:bCs/>
                <w:color w:val="auto"/>
                <w:kern w:val="0"/>
              </w:rPr>
              <w:t>2</w:t>
            </w:r>
          </w:p>
        </w:tc>
        <w:tc>
          <w:tcPr>
            <w:tcW w:w="2693" w:type="dxa"/>
            <w:noWrap w:val="0"/>
            <w:vAlign w:val="center"/>
          </w:tcPr>
          <w:p w14:paraId="0CA5DFAD">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color w:val="auto"/>
              </w:rPr>
            </w:pPr>
            <w:r>
              <w:rPr>
                <w:rFonts w:hint="eastAsia" w:ascii="Times New Roman" w:hAnsi="Times New Roman" w:eastAsia="宋体" w:cs="Times New Roman"/>
                <w:color w:val="auto"/>
                <w:lang w:val="zh-CN"/>
              </w:rPr>
              <w:t>碾压车</w:t>
            </w:r>
          </w:p>
        </w:tc>
        <w:tc>
          <w:tcPr>
            <w:tcW w:w="1985" w:type="dxa"/>
            <w:noWrap w:val="0"/>
            <w:vAlign w:val="center"/>
          </w:tcPr>
          <w:p w14:paraId="008E183C">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w:t>
            </w:r>
          </w:p>
        </w:tc>
        <w:tc>
          <w:tcPr>
            <w:tcW w:w="1701" w:type="dxa"/>
            <w:noWrap w:val="0"/>
            <w:vAlign w:val="top"/>
          </w:tcPr>
          <w:p w14:paraId="2F747B11">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台</w:t>
            </w:r>
          </w:p>
        </w:tc>
        <w:tc>
          <w:tcPr>
            <w:tcW w:w="1949" w:type="dxa"/>
            <w:noWrap w:val="0"/>
            <w:vAlign w:val="center"/>
          </w:tcPr>
          <w:p w14:paraId="0C3F76E4">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5</w:t>
            </w:r>
          </w:p>
        </w:tc>
      </w:tr>
    </w:tbl>
    <w:p w14:paraId="14319A0B">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w:t>
      </w:r>
      <w:r>
        <w:rPr>
          <w:rFonts w:ascii="Times New Roman" w:hAnsi="Times New Roman" w:eastAsia="黑体" w:cs="Times New Roman"/>
          <w:bCs/>
          <w:color w:val="auto"/>
          <w:kern w:val="2"/>
          <w:sz w:val="24"/>
          <w:szCs w:val="28"/>
          <w:lang w:val="en-US" w:eastAsia="zh-CN" w:bidi="ar-SA"/>
        </w:rPr>
        <w:t>.2.11.4</w:t>
      </w:r>
      <w:r>
        <w:rPr>
          <w:rFonts w:hint="eastAsia" w:ascii="Times New Roman" w:hAnsi="Times New Roman" w:eastAsia="黑体" w:cs="Times New Roman"/>
          <w:bCs/>
          <w:color w:val="auto"/>
          <w:kern w:val="2"/>
          <w:sz w:val="24"/>
          <w:szCs w:val="28"/>
          <w:lang w:val="en-US" w:eastAsia="zh-CN" w:bidi="ar-SA"/>
        </w:rPr>
        <w:t>施工人员及进度安排</w:t>
      </w:r>
    </w:p>
    <w:p w14:paraId="384F9E65">
      <w:pPr>
        <w:widowControl w:val="0"/>
        <w:spacing w:line="360" w:lineRule="auto"/>
        <w:ind w:firstLine="480" w:firstLineChars="200"/>
        <w:jc w:val="both"/>
        <w:rPr>
          <w:rFonts w:ascii="Times New Roman" w:hAnsi="Times New Roman" w:eastAsia="宋体" w:cs="Times New Roman"/>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本项目</w:t>
      </w:r>
      <w:r>
        <w:rPr>
          <w:rFonts w:hint="eastAsia" w:ascii="Times New Roman" w:hAnsi="Times New Roman" w:eastAsia="宋体" w:cs="宋体"/>
          <w:snapToGrid w:val="0"/>
          <w:color w:val="auto"/>
          <w:kern w:val="0"/>
          <w:sz w:val="24"/>
          <w:szCs w:val="21"/>
          <w:lang w:val="zh-CN" w:eastAsia="zh-CN" w:bidi="ar-SA"/>
        </w:rPr>
        <w:t>陆域</w:t>
      </w:r>
      <w:r>
        <w:rPr>
          <w:rFonts w:ascii="Times New Roman" w:hAnsi="Times New Roman" w:eastAsia="宋体" w:cs="宋体"/>
          <w:snapToGrid w:val="0"/>
          <w:color w:val="auto"/>
          <w:kern w:val="0"/>
          <w:sz w:val="24"/>
          <w:szCs w:val="21"/>
          <w:lang w:val="zh-CN" w:eastAsia="zh-CN" w:bidi="ar-SA"/>
        </w:rPr>
        <w:t>施工</w:t>
      </w:r>
      <w:r>
        <w:rPr>
          <w:rFonts w:hint="eastAsia" w:ascii="Times New Roman" w:hAnsi="Times New Roman" w:eastAsia="宋体" w:cs="宋体"/>
          <w:snapToGrid w:val="0"/>
          <w:color w:val="auto"/>
          <w:kern w:val="0"/>
          <w:sz w:val="24"/>
          <w:szCs w:val="21"/>
          <w:lang w:val="zh-CN" w:eastAsia="zh-CN" w:bidi="ar-SA"/>
        </w:rPr>
        <w:t>高峰期</w:t>
      </w:r>
      <w:r>
        <w:rPr>
          <w:rFonts w:ascii="Times New Roman" w:hAnsi="Times New Roman" w:eastAsia="宋体" w:cs="宋体"/>
          <w:snapToGrid w:val="0"/>
          <w:color w:val="auto"/>
          <w:kern w:val="0"/>
          <w:sz w:val="24"/>
          <w:szCs w:val="21"/>
          <w:lang w:val="zh-CN" w:eastAsia="zh-CN" w:bidi="ar-SA"/>
        </w:rPr>
        <w:t>人员约18人，</w:t>
      </w:r>
      <w:r>
        <w:rPr>
          <w:rFonts w:hint="eastAsia" w:ascii="Times New Roman" w:hAnsi="Times New Roman" w:eastAsia="宋体" w:cs="宋体"/>
          <w:snapToGrid w:val="0"/>
          <w:color w:val="auto"/>
          <w:kern w:val="0"/>
          <w:sz w:val="24"/>
          <w:szCs w:val="21"/>
          <w:lang w:val="zh-CN" w:eastAsia="zh-CN" w:bidi="ar-SA"/>
        </w:rPr>
        <w:t>水</w:t>
      </w:r>
      <w:r>
        <w:rPr>
          <w:rFonts w:ascii="Times New Roman" w:hAnsi="Times New Roman" w:eastAsia="宋体" w:cs="Times New Roman"/>
          <w:snapToGrid w:val="0"/>
          <w:color w:val="auto"/>
          <w:kern w:val="0"/>
          <w:sz w:val="24"/>
          <w:szCs w:val="21"/>
          <w:lang w:val="zh-CN" w:eastAsia="zh-CN" w:bidi="ar-SA"/>
        </w:rPr>
        <w:t>上施工高峰期人员4人。</w:t>
      </w:r>
    </w:p>
    <w:p w14:paraId="5240A341">
      <w:pPr>
        <w:widowControl w:val="0"/>
        <w:spacing w:line="360" w:lineRule="auto"/>
        <w:ind w:firstLine="480" w:firstLineChars="200"/>
        <w:jc w:val="both"/>
        <w:rPr>
          <w:rFonts w:hint="eastAsia" w:ascii="Times New Roman" w:hAnsi="Times New Roman" w:eastAsia="宋体" w:cs="Times New Roman"/>
          <w:snapToGrid w:val="0"/>
          <w:color w:val="auto"/>
          <w:kern w:val="0"/>
          <w:sz w:val="24"/>
          <w:szCs w:val="21"/>
          <w:lang w:val="zh-CN" w:eastAsia="zh-CN" w:bidi="ar-SA"/>
        </w:rPr>
      </w:pPr>
      <w:r>
        <w:rPr>
          <w:rFonts w:hint="eastAsia" w:ascii="Times New Roman" w:hAnsi="Times New Roman" w:eastAsia="宋体" w:cs="Times New Roman"/>
          <w:snapToGrid w:val="0"/>
          <w:color w:val="auto"/>
          <w:kern w:val="0"/>
          <w:sz w:val="24"/>
          <w:szCs w:val="21"/>
          <w:lang w:val="zh-CN" w:eastAsia="zh-CN" w:bidi="ar-SA"/>
        </w:rPr>
        <w:t>本项目的施工期计划为</w:t>
      </w:r>
      <w:r>
        <w:rPr>
          <w:rFonts w:ascii="Times New Roman" w:hAnsi="Times New Roman" w:eastAsia="宋体" w:cs="Times New Roman"/>
          <w:snapToGrid w:val="0"/>
          <w:color w:val="auto"/>
          <w:kern w:val="0"/>
          <w:sz w:val="24"/>
          <w:szCs w:val="21"/>
          <w:lang w:val="zh-CN" w:eastAsia="zh-CN" w:bidi="ar-SA"/>
        </w:rPr>
        <w:t>12</w:t>
      </w:r>
      <w:r>
        <w:rPr>
          <w:rFonts w:hint="eastAsia" w:ascii="Times New Roman" w:hAnsi="Times New Roman" w:eastAsia="宋体" w:cs="Times New Roman"/>
          <w:snapToGrid w:val="0"/>
          <w:color w:val="auto"/>
          <w:kern w:val="0"/>
          <w:sz w:val="24"/>
          <w:szCs w:val="21"/>
          <w:lang w:val="zh-CN" w:eastAsia="zh-CN" w:bidi="ar-SA"/>
        </w:rPr>
        <w:t>个月，2</w:t>
      </w:r>
      <w:r>
        <w:rPr>
          <w:rFonts w:ascii="Times New Roman" w:hAnsi="Times New Roman" w:eastAsia="宋体" w:cs="Times New Roman"/>
          <w:snapToGrid w:val="0"/>
          <w:color w:val="auto"/>
          <w:kern w:val="0"/>
          <w:sz w:val="24"/>
          <w:szCs w:val="21"/>
          <w:lang w:val="zh-CN" w:eastAsia="zh-CN" w:bidi="ar-SA"/>
        </w:rPr>
        <w:t>02</w:t>
      </w:r>
      <w:r>
        <w:rPr>
          <w:rFonts w:hint="eastAsia" w:cs="Times New Roman"/>
          <w:snapToGrid w:val="0"/>
          <w:color w:val="auto"/>
          <w:kern w:val="0"/>
          <w:sz w:val="24"/>
          <w:szCs w:val="21"/>
          <w:lang w:val="en-US" w:eastAsia="zh-CN" w:bidi="ar-SA"/>
        </w:rPr>
        <w:t>7</w:t>
      </w:r>
      <w:r>
        <w:rPr>
          <w:rFonts w:hint="eastAsia" w:ascii="Times New Roman" w:hAnsi="Times New Roman" w:eastAsia="宋体" w:cs="Times New Roman"/>
          <w:snapToGrid w:val="0"/>
          <w:color w:val="auto"/>
          <w:kern w:val="0"/>
          <w:sz w:val="24"/>
          <w:szCs w:val="21"/>
          <w:lang w:val="zh-CN" w:eastAsia="zh-CN" w:bidi="ar-SA"/>
        </w:rPr>
        <w:t>年</w:t>
      </w:r>
      <w:r>
        <w:rPr>
          <w:rFonts w:ascii="Times New Roman" w:hAnsi="Times New Roman" w:eastAsia="宋体" w:cs="Times New Roman"/>
          <w:snapToGrid w:val="0"/>
          <w:color w:val="auto"/>
          <w:kern w:val="0"/>
          <w:sz w:val="24"/>
          <w:szCs w:val="21"/>
          <w:lang w:val="zh-CN" w:eastAsia="zh-CN" w:bidi="ar-SA"/>
        </w:rPr>
        <w:t>1</w:t>
      </w:r>
      <w:r>
        <w:rPr>
          <w:rFonts w:hint="eastAsia" w:ascii="Times New Roman" w:hAnsi="Times New Roman" w:eastAsia="宋体" w:cs="Times New Roman"/>
          <w:snapToGrid w:val="0"/>
          <w:color w:val="auto"/>
          <w:kern w:val="0"/>
          <w:sz w:val="24"/>
          <w:szCs w:val="21"/>
          <w:lang w:val="zh-CN" w:eastAsia="zh-CN" w:bidi="ar-SA"/>
        </w:rPr>
        <w:t>月开工，2</w:t>
      </w:r>
      <w:r>
        <w:rPr>
          <w:rFonts w:ascii="Times New Roman" w:hAnsi="Times New Roman" w:eastAsia="宋体" w:cs="Times New Roman"/>
          <w:snapToGrid w:val="0"/>
          <w:color w:val="auto"/>
          <w:kern w:val="0"/>
          <w:sz w:val="24"/>
          <w:szCs w:val="21"/>
          <w:lang w:val="zh-CN" w:eastAsia="zh-CN" w:bidi="ar-SA"/>
        </w:rPr>
        <w:t>02</w:t>
      </w:r>
      <w:r>
        <w:rPr>
          <w:rFonts w:hint="eastAsia" w:cs="Times New Roman"/>
          <w:snapToGrid w:val="0"/>
          <w:color w:val="auto"/>
          <w:kern w:val="0"/>
          <w:sz w:val="24"/>
          <w:szCs w:val="21"/>
          <w:lang w:val="en-US" w:eastAsia="zh-CN" w:bidi="ar-SA"/>
        </w:rPr>
        <w:t>7</w:t>
      </w:r>
      <w:r>
        <w:rPr>
          <w:rFonts w:hint="eastAsia" w:ascii="Times New Roman" w:hAnsi="Times New Roman" w:eastAsia="宋体" w:cs="Times New Roman"/>
          <w:snapToGrid w:val="0"/>
          <w:color w:val="auto"/>
          <w:kern w:val="0"/>
          <w:sz w:val="24"/>
          <w:szCs w:val="21"/>
          <w:lang w:val="zh-CN" w:eastAsia="zh-CN" w:bidi="ar-SA"/>
        </w:rPr>
        <w:t>年1</w:t>
      </w:r>
      <w:r>
        <w:rPr>
          <w:rFonts w:ascii="Times New Roman" w:hAnsi="Times New Roman" w:eastAsia="宋体" w:cs="Times New Roman"/>
          <w:snapToGrid w:val="0"/>
          <w:color w:val="auto"/>
          <w:kern w:val="0"/>
          <w:sz w:val="24"/>
          <w:szCs w:val="21"/>
          <w:lang w:val="zh-CN" w:eastAsia="zh-CN" w:bidi="ar-SA"/>
        </w:rPr>
        <w:t>2</w:t>
      </w:r>
      <w:r>
        <w:rPr>
          <w:rFonts w:hint="eastAsia" w:ascii="Times New Roman" w:hAnsi="Times New Roman" w:eastAsia="宋体" w:cs="Times New Roman"/>
          <w:snapToGrid w:val="0"/>
          <w:color w:val="auto"/>
          <w:kern w:val="0"/>
          <w:sz w:val="24"/>
          <w:szCs w:val="21"/>
          <w:lang w:val="zh-CN" w:eastAsia="zh-CN" w:bidi="ar-SA"/>
        </w:rPr>
        <w:t>月交工验收，工程进度见表3</w:t>
      </w:r>
      <w:r>
        <w:rPr>
          <w:rFonts w:ascii="Times New Roman" w:hAnsi="Times New Roman" w:eastAsia="宋体" w:cs="Times New Roman"/>
          <w:snapToGrid w:val="0"/>
          <w:color w:val="auto"/>
          <w:kern w:val="0"/>
          <w:sz w:val="24"/>
          <w:szCs w:val="21"/>
          <w:lang w:val="zh-CN" w:eastAsia="zh-CN" w:bidi="ar-SA"/>
        </w:rPr>
        <w:t>.2-</w:t>
      </w:r>
      <w:r>
        <w:rPr>
          <w:rFonts w:ascii="Times New Roman" w:hAnsi="Times New Roman" w:eastAsia="宋体" w:cs="Times New Roman"/>
          <w:snapToGrid w:val="0"/>
          <w:color w:val="auto"/>
          <w:kern w:val="0"/>
          <w:sz w:val="24"/>
          <w:szCs w:val="21"/>
          <w:lang w:val="en-US" w:eastAsia="zh-CN" w:bidi="ar-SA"/>
        </w:rPr>
        <w:t>9</w:t>
      </w:r>
      <w:r>
        <w:rPr>
          <w:rFonts w:hint="eastAsia" w:ascii="Times New Roman" w:hAnsi="Times New Roman" w:eastAsia="宋体" w:cs="Times New Roman"/>
          <w:snapToGrid w:val="0"/>
          <w:color w:val="auto"/>
          <w:kern w:val="0"/>
          <w:sz w:val="24"/>
          <w:szCs w:val="21"/>
          <w:lang w:val="zh-CN" w:eastAsia="zh-CN" w:bidi="ar-SA"/>
        </w:rPr>
        <w:t>。</w:t>
      </w:r>
    </w:p>
    <w:p w14:paraId="26EA9743">
      <w:pPr>
        <w:widowControl w:val="0"/>
        <w:spacing w:line="400" w:lineRule="exact"/>
        <w:ind w:firstLine="0" w:firstLineChars="0"/>
        <w:jc w:val="center"/>
        <w:rPr>
          <w:rFonts w:ascii="Times New Roman" w:hAnsi="Times New Roman" w:eastAsia="黑体" w:cs="Times New Roman"/>
          <w:snapToGrid w:val="0"/>
          <w:color w:val="auto"/>
          <w:kern w:val="0"/>
          <w:sz w:val="24"/>
          <w:szCs w:val="21"/>
          <w:lang w:val="zh-CN" w:eastAsia="zh-CN" w:bidi="ar-SA"/>
        </w:rPr>
      </w:pPr>
      <w:r>
        <w:rPr>
          <w:rFonts w:ascii="Times New Roman" w:hAnsi="Times New Roman" w:eastAsia="黑体" w:cs="Times New Roman"/>
          <w:snapToGrid w:val="0"/>
          <w:color w:val="auto"/>
          <w:kern w:val="0"/>
          <w:sz w:val="24"/>
          <w:szCs w:val="21"/>
          <w:lang w:val="zh-CN" w:eastAsia="zh-CN" w:bidi="ar-SA"/>
        </w:rPr>
        <w:t>表3.2-</w:t>
      </w:r>
      <w:r>
        <w:rPr>
          <w:rFonts w:ascii="Times New Roman" w:hAnsi="Times New Roman" w:eastAsia="黑体" w:cs="Times New Roman"/>
          <w:snapToGrid w:val="0"/>
          <w:color w:val="auto"/>
          <w:kern w:val="0"/>
          <w:sz w:val="24"/>
          <w:szCs w:val="21"/>
          <w:lang w:val="en-US" w:eastAsia="zh-CN" w:bidi="ar-SA"/>
        </w:rPr>
        <w:t>9</w:t>
      </w:r>
      <w:r>
        <w:rPr>
          <w:rFonts w:ascii="Times New Roman" w:hAnsi="Times New Roman" w:eastAsia="黑体" w:cs="Times New Roman"/>
          <w:snapToGrid w:val="0"/>
          <w:color w:val="auto"/>
          <w:kern w:val="0"/>
          <w:sz w:val="24"/>
          <w:szCs w:val="21"/>
          <w:lang w:val="zh-CN" w:eastAsia="zh-CN" w:bidi="ar-SA"/>
        </w:rPr>
        <w:t xml:space="preserve">  工程进度表</w:t>
      </w:r>
    </w:p>
    <w:tbl>
      <w:tblPr>
        <w:tblStyle w:val="53"/>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567"/>
        <w:gridCol w:w="567"/>
        <w:gridCol w:w="567"/>
        <w:gridCol w:w="567"/>
        <w:gridCol w:w="567"/>
        <w:gridCol w:w="567"/>
        <w:gridCol w:w="567"/>
        <w:gridCol w:w="567"/>
        <w:gridCol w:w="567"/>
        <w:gridCol w:w="567"/>
        <w:gridCol w:w="567"/>
        <w:gridCol w:w="532"/>
      </w:tblGrid>
      <w:tr w14:paraId="6BAAA93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restart"/>
            <w:tcBorders>
              <w:top w:val="single" w:color="auto" w:sz="12" w:space="0"/>
              <w:tl2br w:val="single" w:color="auto" w:sz="4" w:space="0"/>
            </w:tcBorders>
            <w:noWrap w:val="0"/>
            <w:vAlign w:val="center"/>
          </w:tcPr>
          <w:p w14:paraId="5B7AD0DB">
            <w:pPr>
              <w:keepNext w:val="0"/>
              <w:keepLines w:val="0"/>
              <w:widowControl w:val="0"/>
              <w:suppressLineNumbers w:val="0"/>
              <w:spacing w:before="0" w:beforeAutospacing="0" w:after="0" w:afterAutospacing="0" w:line="240" w:lineRule="auto"/>
              <w:ind w:left="0" w:right="0" w:firstLine="0" w:firstLineChars="0"/>
              <w:jc w:val="right"/>
              <w:rPr>
                <w:rFonts w:hint="default"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月</w:t>
            </w:r>
          </w:p>
          <w:p w14:paraId="00732A09">
            <w:pPr>
              <w:keepNext w:val="0"/>
              <w:keepLines w:val="0"/>
              <w:widowControl w:val="0"/>
              <w:suppressLineNumbers w:val="0"/>
              <w:spacing w:before="0" w:beforeAutospacing="0" w:after="0" w:afterAutospacing="0" w:line="240" w:lineRule="auto"/>
              <w:ind w:left="0" w:right="0" w:firstLine="0" w:firstLineChars="0"/>
              <w:jc w:val="left"/>
              <w:rPr>
                <w:rFonts w:hint="default" w:ascii="Times New Roman" w:hAnsi="Times New Roman" w:eastAsia="宋体" w:cs="Times New Roman"/>
                <w:snapToGrid w:val="0"/>
                <w:color w:val="auto"/>
                <w:kern w:val="0"/>
                <w:sz w:val="21"/>
                <w:szCs w:val="21"/>
                <w:lang w:val="zh-CN" w:eastAsia="zh-CN" w:bidi="ar-SA"/>
              </w:rPr>
            </w:pPr>
            <w:r>
              <w:rPr>
                <w:rFonts w:hint="default" w:ascii="Times New Roman" w:hAnsi="Times New Roman" w:eastAsia="宋体" w:cs="Times New Roman"/>
                <w:snapToGrid w:val="0"/>
                <w:color w:val="auto"/>
                <w:kern w:val="0"/>
                <w:sz w:val="21"/>
                <w:szCs w:val="21"/>
                <w:lang w:val="zh-CN" w:eastAsia="zh-CN" w:bidi="ar-SA"/>
              </w:rPr>
              <w:t>工程名称</w:t>
            </w:r>
          </w:p>
        </w:tc>
        <w:tc>
          <w:tcPr>
            <w:tcW w:w="6769" w:type="dxa"/>
            <w:gridSpan w:val="12"/>
            <w:tcBorders>
              <w:top w:val="single" w:color="auto" w:sz="12" w:space="0"/>
            </w:tcBorders>
            <w:noWrap w:val="0"/>
            <w:vAlign w:val="center"/>
          </w:tcPr>
          <w:p w14:paraId="1589C961">
            <w:pPr>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月份</w:t>
            </w:r>
          </w:p>
        </w:tc>
      </w:tr>
      <w:tr w14:paraId="6B8AE6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continue"/>
            <w:tcBorders>
              <w:tl2br w:val="single" w:color="auto" w:sz="4" w:space="0"/>
            </w:tcBorders>
            <w:noWrap w:val="0"/>
            <w:vAlign w:val="center"/>
          </w:tcPr>
          <w:p w14:paraId="5D3090C6">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B9B637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1</w:t>
            </w:r>
          </w:p>
        </w:tc>
        <w:tc>
          <w:tcPr>
            <w:tcW w:w="567" w:type="dxa"/>
            <w:noWrap w:val="0"/>
            <w:vAlign w:val="center"/>
          </w:tcPr>
          <w:p w14:paraId="7BD53A7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2</w:t>
            </w:r>
          </w:p>
        </w:tc>
        <w:tc>
          <w:tcPr>
            <w:tcW w:w="567" w:type="dxa"/>
            <w:noWrap w:val="0"/>
            <w:vAlign w:val="center"/>
          </w:tcPr>
          <w:p w14:paraId="50BDF761">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3</w:t>
            </w:r>
          </w:p>
        </w:tc>
        <w:tc>
          <w:tcPr>
            <w:tcW w:w="567" w:type="dxa"/>
            <w:noWrap w:val="0"/>
            <w:vAlign w:val="center"/>
          </w:tcPr>
          <w:p w14:paraId="51FEDA1E">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4</w:t>
            </w:r>
          </w:p>
        </w:tc>
        <w:tc>
          <w:tcPr>
            <w:tcW w:w="567" w:type="dxa"/>
            <w:noWrap w:val="0"/>
            <w:vAlign w:val="center"/>
          </w:tcPr>
          <w:p w14:paraId="2A1F3296">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5</w:t>
            </w:r>
          </w:p>
        </w:tc>
        <w:tc>
          <w:tcPr>
            <w:tcW w:w="567" w:type="dxa"/>
            <w:noWrap w:val="0"/>
            <w:vAlign w:val="center"/>
          </w:tcPr>
          <w:p w14:paraId="18EFA57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6</w:t>
            </w:r>
          </w:p>
        </w:tc>
        <w:tc>
          <w:tcPr>
            <w:tcW w:w="567" w:type="dxa"/>
            <w:noWrap w:val="0"/>
            <w:vAlign w:val="center"/>
          </w:tcPr>
          <w:p w14:paraId="408B298C">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7</w:t>
            </w:r>
          </w:p>
        </w:tc>
        <w:tc>
          <w:tcPr>
            <w:tcW w:w="567" w:type="dxa"/>
            <w:noWrap w:val="0"/>
            <w:vAlign w:val="center"/>
          </w:tcPr>
          <w:p w14:paraId="4C8CCD46">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8</w:t>
            </w:r>
          </w:p>
        </w:tc>
        <w:tc>
          <w:tcPr>
            <w:tcW w:w="567" w:type="dxa"/>
            <w:noWrap w:val="0"/>
            <w:vAlign w:val="center"/>
          </w:tcPr>
          <w:p w14:paraId="04EF93D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9</w:t>
            </w:r>
          </w:p>
        </w:tc>
        <w:tc>
          <w:tcPr>
            <w:tcW w:w="567" w:type="dxa"/>
            <w:noWrap w:val="0"/>
            <w:vAlign w:val="center"/>
          </w:tcPr>
          <w:p w14:paraId="40882E1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1</w:t>
            </w:r>
            <w:r>
              <w:rPr>
                <w:rFonts w:hint="default" w:ascii="Times New Roman" w:hAnsi="Times New Roman" w:eastAsia="宋体" w:cs="Times New Roman"/>
                <w:snapToGrid w:val="0"/>
                <w:color w:val="auto"/>
                <w:kern w:val="0"/>
                <w:sz w:val="21"/>
                <w:szCs w:val="21"/>
                <w:lang w:val="zh-CN" w:eastAsia="zh-CN" w:bidi="ar-SA"/>
              </w:rPr>
              <w:t>0</w:t>
            </w:r>
          </w:p>
        </w:tc>
        <w:tc>
          <w:tcPr>
            <w:tcW w:w="567" w:type="dxa"/>
            <w:noWrap w:val="0"/>
            <w:vAlign w:val="center"/>
          </w:tcPr>
          <w:p w14:paraId="624EAA1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1</w:t>
            </w:r>
            <w:r>
              <w:rPr>
                <w:rFonts w:hint="default" w:ascii="Times New Roman" w:hAnsi="Times New Roman" w:eastAsia="宋体" w:cs="Times New Roman"/>
                <w:snapToGrid w:val="0"/>
                <w:color w:val="auto"/>
                <w:kern w:val="0"/>
                <w:sz w:val="21"/>
                <w:szCs w:val="21"/>
                <w:lang w:val="zh-CN" w:eastAsia="zh-CN" w:bidi="ar-SA"/>
              </w:rPr>
              <w:t>1</w:t>
            </w:r>
          </w:p>
        </w:tc>
        <w:tc>
          <w:tcPr>
            <w:tcW w:w="532" w:type="dxa"/>
            <w:noWrap w:val="0"/>
            <w:vAlign w:val="center"/>
          </w:tcPr>
          <w:p w14:paraId="7E0125A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1</w:t>
            </w:r>
            <w:r>
              <w:rPr>
                <w:rFonts w:hint="default" w:ascii="Times New Roman" w:hAnsi="Times New Roman" w:eastAsia="宋体" w:cs="Times New Roman"/>
                <w:snapToGrid w:val="0"/>
                <w:color w:val="auto"/>
                <w:kern w:val="0"/>
                <w:sz w:val="21"/>
                <w:szCs w:val="21"/>
                <w:lang w:val="zh-CN" w:eastAsia="zh-CN" w:bidi="ar-SA"/>
              </w:rPr>
              <w:t>2</w:t>
            </w:r>
          </w:p>
        </w:tc>
      </w:tr>
      <w:tr w14:paraId="2CD13F5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35522667">
            <w:pPr>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施工招投标</w:t>
            </w:r>
          </w:p>
        </w:tc>
        <w:tc>
          <w:tcPr>
            <w:tcW w:w="567" w:type="dxa"/>
            <w:noWrap w:val="0"/>
            <w:vAlign w:val="center"/>
          </w:tcPr>
          <w:p w14:paraId="6508923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default" w:ascii="Times New Roman" w:hAnsi="Times New Roman" w:eastAsia="宋体" w:cs="Times New Roman"/>
                <w:snapToGrid/>
                <w:color w:val="auto"/>
                <w:kern w:val="0"/>
                <w:sz w:val="21"/>
                <w:szCs w:val="21"/>
                <w:lang w:val="zh-CN" w:eastAsia="zh-CN" w:bidi="ar-SA"/>
              </w:rPr>
              <mc:AlternateContent>
                <mc:Choice Requires="wps">
                  <w:drawing>
                    <wp:anchor distT="0" distB="0" distL="114300" distR="114300" simplePos="0" relativeHeight="251742208" behindDoc="0" locked="0" layoutInCell="1" allowOverlap="1">
                      <wp:simplePos x="0" y="0"/>
                      <wp:positionH relativeFrom="column">
                        <wp:posOffset>-64770</wp:posOffset>
                      </wp:positionH>
                      <wp:positionV relativeFrom="paragraph">
                        <wp:posOffset>93980</wp:posOffset>
                      </wp:positionV>
                      <wp:extent cx="161925" cy="0"/>
                      <wp:effectExtent l="0" t="9525" r="9525" b="9525"/>
                      <wp:wrapNone/>
                      <wp:docPr id="282" name="直接箭头连接符 282"/>
                      <wp:cNvGraphicFramePr/>
                      <a:graphic xmlns:a="http://schemas.openxmlformats.org/drawingml/2006/main">
                        <a:graphicData uri="http://schemas.microsoft.com/office/word/2010/wordprocessingShape">
                          <wps:wsp>
                            <wps:cNvCnPr/>
                            <wps:spPr>
                              <a:xfrm>
                                <a:off x="0" y="0"/>
                                <a:ext cx="16192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1pt;margin-top:7.4pt;height:0pt;width:12.75pt;z-index:251742208;mso-width-relative:page;mso-height-relative:page;" filled="f" stroked="t" coordsize="21600,21600" o:gfxdata="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KF4v/nSAAAACAEAAA8AAAAAAAAAAQAgAAAAIgAAAGRycy9kb3ducmV2Lnht&#10;bFBLAQIUABQAAAAIAIdO4kBJg/DC/wEAAPADAAAOAAAAAAAAAAEAIAAAACEBAABkcnMvZTJvRG9j&#10;LnhtbFBLBQYAAAAABgAGAFkBAACSBQAAAAA=&#10;">
                      <v:fill on="f" focussize="0,0"/>
                      <v:stroke weight="1.5pt" color="#000000" joinstyle="round"/>
                      <v:imagedata o:title=""/>
                      <o:lock v:ext="edit" aspectratio="f"/>
                    </v:shape>
                  </w:pict>
                </mc:Fallback>
              </mc:AlternateContent>
            </w:r>
          </w:p>
        </w:tc>
        <w:tc>
          <w:tcPr>
            <w:tcW w:w="567" w:type="dxa"/>
            <w:noWrap w:val="0"/>
            <w:vAlign w:val="center"/>
          </w:tcPr>
          <w:p w14:paraId="31A04FC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317C013C">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687DCFD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68AA835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2365C2D8">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5D090F7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8112D0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7681512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2E2E45E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F06227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32" w:type="dxa"/>
            <w:noWrap w:val="0"/>
            <w:vAlign w:val="center"/>
          </w:tcPr>
          <w:p w14:paraId="371D7D88">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r>
      <w:tr w14:paraId="17A6B7B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1C0FA491">
            <w:pPr>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施工准备</w:t>
            </w:r>
          </w:p>
        </w:tc>
        <w:tc>
          <w:tcPr>
            <w:tcW w:w="567" w:type="dxa"/>
            <w:noWrap w:val="0"/>
            <w:vAlign w:val="center"/>
          </w:tcPr>
          <w:p w14:paraId="42725C7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default" w:ascii="Times New Roman" w:hAnsi="Times New Roman" w:eastAsia="宋体" w:cs="Times New Roman"/>
                <w:snapToGrid/>
                <w:color w:val="auto"/>
                <w:kern w:val="0"/>
                <w:sz w:val="21"/>
                <w:szCs w:val="21"/>
                <w:lang w:val="zh-CN" w:eastAsia="zh-CN" w:bidi="ar-SA"/>
              </w:rPr>
              <mc:AlternateContent>
                <mc:Choice Requires="wps">
                  <w:drawing>
                    <wp:anchor distT="0" distB="0" distL="114300" distR="114300" simplePos="0" relativeHeight="251743232" behindDoc="0" locked="0" layoutInCell="1" allowOverlap="1">
                      <wp:simplePos x="0" y="0"/>
                      <wp:positionH relativeFrom="column">
                        <wp:posOffset>125730</wp:posOffset>
                      </wp:positionH>
                      <wp:positionV relativeFrom="paragraph">
                        <wp:posOffset>109855</wp:posOffset>
                      </wp:positionV>
                      <wp:extent cx="161925" cy="0"/>
                      <wp:effectExtent l="0" t="9525" r="9525" b="9525"/>
                      <wp:wrapNone/>
                      <wp:docPr id="283" name="直接箭头连接符 283"/>
                      <wp:cNvGraphicFramePr/>
                      <a:graphic xmlns:a="http://schemas.openxmlformats.org/drawingml/2006/main">
                        <a:graphicData uri="http://schemas.microsoft.com/office/word/2010/wordprocessingShape">
                          <wps:wsp>
                            <wps:cNvCnPr/>
                            <wps:spPr>
                              <a:xfrm>
                                <a:off x="0" y="0"/>
                                <a:ext cx="16192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9.9pt;margin-top:8.65pt;height:0pt;width:12.75pt;z-index:251743232;mso-width-relative:page;mso-height-relative:page;" filled="f" stroked="t" coordsize="21600,21600" o:gfxdata="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N/B7PRAAAABwEAAA8AAAAAAAAAAQAgAAAAIgAAAGRycy9kb3ducmV2Lnht&#10;bFBLAQIUABQAAAAIAIdO4kDy2u9nAAIAAPADAAAOAAAAAAAAAAEAIAAAACABAABkcnMvZTJvRG9j&#10;LnhtbFBLBQYAAAAABgAGAFkBAACSBQAAAAA=&#10;">
                      <v:fill on="f" focussize="0,0"/>
                      <v:stroke weight="1.5pt" color="#000000" joinstyle="round"/>
                      <v:imagedata o:title=""/>
                      <o:lock v:ext="edit" aspectratio="f"/>
                    </v:shape>
                  </w:pict>
                </mc:Fallback>
              </mc:AlternateContent>
            </w:r>
          </w:p>
        </w:tc>
        <w:tc>
          <w:tcPr>
            <w:tcW w:w="567" w:type="dxa"/>
            <w:noWrap w:val="0"/>
            <w:vAlign w:val="center"/>
          </w:tcPr>
          <w:p w14:paraId="65E6A52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68ECD5CE">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630D628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2DAF9D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55007A4C">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6A072C0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4D16339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33695AE">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30628EC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6AE78A9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32" w:type="dxa"/>
            <w:noWrap w:val="0"/>
            <w:vAlign w:val="center"/>
          </w:tcPr>
          <w:p w14:paraId="5F28594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r>
      <w:tr w14:paraId="07ED55A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379CD54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打入桩施工</w:t>
            </w:r>
          </w:p>
        </w:tc>
        <w:tc>
          <w:tcPr>
            <w:tcW w:w="567" w:type="dxa"/>
            <w:noWrap w:val="0"/>
            <w:vAlign w:val="center"/>
          </w:tcPr>
          <w:p w14:paraId="7C19EF1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default" w:ascii="Times New Roman" w:hAnsi="Times New Roman" w:eastAsia="宋体" w:cs="Times New Roman"/>
                <w:snapToGrid/>
                <w:color w:val="auto"/>
                <w:kern w:val="0"/>
                <w:sz w:val="21"/>
                <w:szCs w:val="21"/>
                <w:lang w:val="zh-CN" w:eastAsia="zh-CN" w:bidi="ar-SA"/>
              </w:rPr>
              <mc:AlternateContent>
                <mc:Choice Requires="wps">
                  <w:drawing>
                    <wp:anchor distT="0" distB="0" distL="114300" distR="114300" simplePos="0" relativeHeight="251744256" behindDoc="0" locked="0" layoutInCell="1" allowOverlap="1">
                      <wp:simplePos x="0" y="0"/>
                      <wp:positionH relativeFrom="column">
                        <wp:posOffset>291465</wp:posOffset>
                      </wp:positionH>
                      <wp:positionV relativeFrom="paragraph">
                        <wp:posOffset>91440</wp:posOffset>
                      </wp:positionV>
                      <wp:extent cx="1800225" cy="0"/>
                      <wp:effectExtent l="0" t="9525" r="9525" b="9525"/>
                      <wp:wrapNone/>
                      <wp:docPr id="284" name="直接箭头连接符 284"/>
                      <wp:cNvGraphicFramePr/>
                      <a:graphic xmlns:a="http://schemas.openxmlformats.org/drawingml/2006/main">
                        <a:graphicData uri="http://schemas.microsoft.com/office/word/2010/wordprocessingShape">
                          <wps:wsp>
                            <wps:cNvCnPr/>
                            <wps:spPr>
                              <a:xfrm flipV="1">
                                <a:off x="0" y="0"/>
                                <a:ext cx="180022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2.95pt;margin-top:7.2pt;height:0pt;width:141.75pt;z-index:251744256;mso-width-relative:page;mso-height-relative:page;" filled="f" stroked="t" coordsize="21600,21600" o:gfxdata="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&#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z2brLXAAAACAEAAA8AAAAAAAAAAQAgAAAAIgAAAGRy&#10;cy9kb3ducmV2LnhtbFBLAQIUABQAAAAIAIdO4kDabr/BBgIAAPsDAAAOAAAAAAAAAAEAIAAAACYB&#10;AABkcnMvZTJvRG9jLnhtbFBLBQYAAAAABgAGAFkBAACeBQAAAAA=&#10;">
                      <v:fill on="f" focussize="0,0"/>
                      <v:stroke weight="1.5pt" color="#000000" joinstyle="round"/>
                      <v:imagedata o:title=""/>
                      <o:lock v:ext="edit" aspectratio="f"/>
                    </v:shape>
                  </w:pict>
                </mc:Fallback>
              </mc:AlternateContent>
            </w:r>
          </w:p>
        </w:tc>
        <w:tc>
          <w:tcPr>
            <w:tcW w:w="567" w:type="dxa"/>
            <w:noWrap w:val="0"/>
            <w:vAlign w:val="center"/>
          </w:tcPr>
          <w:p w14:paraId="0F79A65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541435D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782B2F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248FA991">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45052F7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8E6B6D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1D20961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AD08CFE">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221B0C5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7F0D1C5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32" w:type="dxa"/>
            <w:noWrap w:val="0"/>
            <w:vAlign w:val="center"/>
          </w:tcPr>
          <w:p w14:paraId="5DE04D5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r>
      <w:tr w14:paraId="004F4E1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03E7BA01">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现浇横梁</w:t>
            </w:r>
          </w:p>
        </w:tc>
        <w:tc>
          <w:tcPr>
            <w:tcW w:w="567" w:type="dxa"/>
            <w:noWrap w:val="0"/>
            <w:vAlign w:val="center"/>
          </w:tcPr>
          <w:p w14:paraId="4370411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41701231">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10C5D18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10717FF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default" w:ascii="Times New Roman" w:hAnsi="Times New Roman" w:eastAsia="宋体" w:cs="Times New Roman"/>
                <w:snapToGrid/>
                <w:color w:val="auto"/>
                <w:kern w:val="0"/>
                <w:sz w:val="21"/>
                <w:szCs w:val="21"/>
                <w:lang w:val="zh-CN" w:eastAsia="zh-CN" w:bidi="ar-SA"/>
              </w:rPr>
              <mc:AlternateContent>
                <mc:Choice Requires="wps">
                  <w:drawing>
                    <wp:anchor distT="0" distB="0" distL="114300" distR="114300" simplePos="0" relativeHeight="251745280" behindDoc="0" locked="0" layoutInCell="1" allowOverlap="1">
                      <wp:simplePos x="0" y="0"/>
                      <wp:positionH relativeFrom="column">
                        <wp:posOffset>-66040</wp:posOffset>
                      </wp:positionH>
                      <wp:positionV relativeFrom="paragraph">
                        <wp:posOffset>97155</wp:posOffset>
                      </wp:positionV>
                      <wp:extent cx="1440180" cy="0"/>
                      <wp:effectExtent l="0" t="9525" r="7620" b="9525"/>
                      <wp:wrapNone/>
                      <wp:docPr id="285" name="直接箭头连接符 285"/>
                      <wp:cNvGraphicFramePr/>
                      <a:graphic xmlns:a="http://schemas.openxmlformats.org/drawingml/2006/main">
                        <a:graphicData uri="http://schemas.microsoft.com/office/word/2010/wordprocessingShape">
                          <wps:wsp>
                            <wps:cNvCnPr/>
                            <wps:spPr>
                              <a:xfrm flipV="1">
                                <a:off x="0" y="0"/>
                                <a:ext cx="1440180"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5.2pt;margin-top:7.65pt;height:0pt;width:113.4pt;z-index:251745280;mso-width-relative:page;mso-height-relative:page;" filled="f" stroked="t" coordsize="21600,21600" o:gfxdata="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UBqw9cAAAAJAQAADwAAAAAAAAABACAAAAAiAAAAZHJz&#10;L2Rvd25yZXYueG1sUEsBAhQAFAAAAAgAh07iQJpZ2QMFAgAA+wMAAA4AAAAAAAAAAQAgAAAAJgEA&#10;AGRycy9lMm9Eb2MueG1sUEsFBgAAAAAGAAYAWQEAAJ0FAAAAAA==&#10;">
                      <v:fill on="f" focussize="0,0"/>
                      <v:stroke weight="1.5pt" color="#000000" joinstyle="round"/>
                      <v:imagedata o:title=""/>
                      <o:lock v:ext="edit" aspectratio="f"/>
                    </v:shape>
                  </w:pict>
                </mc:Fallback>
              </mc:AlternateContent>
            </w:r>
          </w:p>
        </w:tc>
        <w:tc>
          <w:tcPr>
            <w:tcW w:w="567" w:type="dxa"/>
            <w:noWrap w:val="0"/>
            <w:vAlign w:val="center"/>
          </w:tcPr>
          <w:p w14:paraId="1CFB5AA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78F7E6D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4EFD7C3C">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7D081D4C">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6992485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51214F7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3C1EBFE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32" w:type="dxa"/>
            <w:noWrap w:val="0"/>
            <w:vAlign w:val="center"/>
          </w:tcPr>
          <w:p w14:paraId="00C40D5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r>
      <w:tr w14:paraId="7F57BCC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2788B0EE">
            <w:pPr>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纵向梁系、面板预制及安装</w:t>
            </w:r>
          </w:p>
        </w:tc>
        <w:tc>
          <w:tcPr>
            <w:tcW w:w="567" w:type="dxa"/>
            <w:noWrap w:val="0"/>
            <w:vAlign w:val="center"/>
          </w:tcPr>
          <w:p w14:paraId="78B3D9BE">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8F2806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3660BC8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default" w:ascii="Times New Roman" w:hAnsi="Times New Roman" w:eastAsia="宋体" w:cs="Times New Roman"/>
                <w:snapToGrid/>
                <w:color w:val="auto"/>
                <w:kern w:val="0"/>
                <w:sz w:val="21"/>
                <w:szCs w:val="21"/>
                <w:lang w:val="zh-CN" w:eastAsia="zh-CN" w:bidi="ar-SA"/>
              </w:rPr>
              <mc:AlternateContent>
                <mc:Choice Requires="wps">
                  <w:drawing>
                    <wp:anchor distT="0" distB="0" distL="114300" distR="114300" simplePos="0" relativeHeight="251746304" behindDoc="0" locked="0" layoutInCell="1" allowOverlap="1">
                      <wp:simplePos x="0" y="0"/>
                      <wp:positionH relativeFrom="column">
                        <wp:posOffset>282575</wp:posOffset>
                      </wp:positionH>
                      <wp:positionV relativeFrom="paragraph">
                        <wp:posOffset>207645</wp:posOffset>
                      </wp:positionV>
                      <wp:extent cx="2165985" cy="635"/>
                      <wp:effectExtent l="0" t="0" r="0" b="0"/>
                      <wp:wrapNone/>
                      <wp:docPr id="274" name="直接箭头连接符 274"/>
                      <wp:cNvGraphicFramePr/>
                      <a:graphic xmlns:a="http://schemas.openxmlformats.org/drawingml/2006/main">
                        <a:graphicData uri="http://schemas.microsoft.com/office/word/2010/wordprocessingShape">
                          <wps:wsp>
                            <wps:cNvCnPr/>
                            <wps:spPr>
                              <a:xfrm flipV="1">
                                <a:off x="0" y="0"/>
                                <a:ext cx="2165985" cy="635"/>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2.25pt;margin-top:16.35pt;height:0.05pt;width:170.55pt;z-index:251746304;mso-width-relative:page;mso-height-relative:page;" filled="f" stroked="t" coordsize="21600,21600" o:gfxdata="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WdO3HdkAAAAIAQAADwAAAAAAAAABACAAAAAi&#10;AAAAZHJzL2Rvd25yZXYueG1sUEsBAhQAFAAAAAgAh07iQBDyH0QJAgAA/QMAAA4AAAAAAAAAAQAg&#10;AAAAKAEAAGRycy9lMm9Eb2MueG1sUEsFBgAAAAAGAAYAWQEAAKMFAAAAAA==&#10;">
                      <v:fill on="f" focussize="0,0"/>
                      <v:stroke weight="1.5pt" color="#000000" joinstyle="round"/>
                      <v:imagedata o:title=""/>
                      <o:lock v:ext="edit" aspectratio="f"/>
                    </v:shape>
                  </w:pict>
                </mc:Fallback>
              </mc:AlternateContent>
            </w:r>
          </w:p>
        </w:tc>
        <w:tc>
          <w:tcPr>
            <w:tcW w:w="567" w:type="dxa"/>
            <w:noWrap w:val="0"/>
            <w:vAlign w:val="center"/>
          </w:tcPr>
          <w:p w14:paraId="23C3527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4947649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6424B828">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6823E7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404F80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624EE2E">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E899CB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14A2144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32" w:type="dxa"/>
            <w:noWrap w:val="0"/>
            <w:vAlign w:val="center"/>
          </w:tcPr>
          <w:p w14:paraId="1DAF3AC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r>
      <w:tr w14:paraId="68E3C77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jc w:val="center"/>
        </w:trPr>
        <w:tc>
          <w:tcPr>
            <w:tcW w:w="2518" w:type="dxa"/>
            <w:noWrap w:val="0"/>
            <w:vAlign w:val="center"/>
          </w:tcPr>
          <w:p w14:paraId="1BF7F0E8">
            <w:pPr>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港池开挖</w:t>
            </w:r>
          </w:p>
        </w:tc>
        <w:tc>
          <w:tcPr>
            <w:tcW w:w="567" w:type="dxa"/>
            <w:noWrap w:val="0"/>
            <w:vAlign w:val="center"/>
          </w:tcPr>
          <w:p w14:paraId="2F199A2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4523C7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2AE9C0A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4C031A1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112AB98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56032BC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3045218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default" w:ascii="Times New Roman" w:hAnsi="Times New Roman" w:eastAsia="宋体" w:cs="Times New Roman"/>
                <w:snapToGrid/>
                <w:color w:val="auto"/>
                <w:kern w:val="0"/>
                <w:sz w:val="21"/>
                <w:szCs w:val="21"/>
                <w:lang w:val="zh-CN" w:eastAsia="zh-CN" w:bidi="ar-SA"/>
              </w:rPr>
              <mc:AlternateContent>
                <mc:Choice Requires="wps">
                  <w:drawing>
                    <wp:anchor distT="0" distB="0" distL="114300" distR="114300" simplePos="0" relativeHeight="251747328" behindDoc="0" locked="0" layoutInCell="1" allowOverlap="1">
                      <wp:simplePos x="0" y="0"/>
                      <wp:positionH relativeFrom="column">
                        <wp:posOffset>643255</wp:posOffset>
                      </wp:positionH>
                      <wp:positionV relativeFrom="paragraph">
                        <wp:posOffset>88265</wp:posOffset>
                      </wp:positionV>
                      <wp:extent cx="365760" cy="2540"/>
                      <wp:effectExtent l="0" t="9525" r="2540" b="13335"/>
                      <wp:wrapNone/>
                      <wp:docPr id="275" name="直接箭头连接符 275"/>
                      <wp:cNvGraphicFramePr/>
                      <a:graphic xmlns:a="http://schemas.openxmlformats.org/drawingml/2006/main">
                        <a:graphicData uri="http://schemas.microsoft.com/office/word/2010/wordprocessingShape">
                          <wps:wsp>
                            <wps:cNvCnPr/>
                            <wps:spPr>
                              <a:xfrm>
                                <a:off x="0" y="0"/>
                                <a:ext cx="365760" cy="254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0.65pt;margin-top:6.95pt;height:0.2pt;width:28.8pt;z-index:251747328;mso-width-relative:page;mso-height-relative:page;" filled="f" stroked="t" coordsize="21600,21600" o:gfxdata="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4nzW8tMAAAAJAQAADwAAAAAAAAABACAAAAAiAAAAZHJzL2Rvd25y&#10;ZXYueG1sUEsBAhQAFAAAAAgAh07iQB9oTX8DAgAA8wMAAA4AAAAAAAAAAQAgAAAAIgEAAGRycy9l&#10;Mm9Eb2MueG1sUEsFBgAAAAAGAAYAWQEAAJcFAAAAAA==&#10;">
                      <v:fill on="f" focussize="0,0"/>
                      <v:stroke weight="1.5pt" color="#000000" joinstyle="round"/>
                      <v:imagedata o:title=""/>
                      <o:lock v:ext="edit" aspectratio="f"/>
                    </v:shape>
                  </w:pict>
                </mc:Fallback>
              </mc:AlternateContent>
            </w:r>
          </w:p>
        </w:tc>
        <w:tc>
          <w:tcPr>
            <w:tcW w:w="567" w:type="dxa"/>
            <w:noWrap w:val="0"/>
            <w:vAlign w:val="center"/>
          </w:tcPr>
          <w:p w14:paraId="3E84EED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3E8E916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6F0CDD0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4B24374E">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32" w:type="dxa"/>
            <w:noWrap w:val="0"/>
            <w:vAlign w:val="center"/>
          </w:tcPr>
          <w:p w14:paraId="1A8FC52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r>
      <w:tr w14:paraId="5EDAD97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416C9C83">
            <w:pPr>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护坡施工</w:t>
            </w:r>
          </w:p>
        </w:tc>
        <w:tc>
          <w:tcPr>
            <w:tcW w:w="567" w:type="dxa"/>
            <w:noWrap w:val="0"/>
            <w:vAlign w:val="center"/>
          </w:tcPr>
          <w:p w14:paraId="6C2A918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1DA1FD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76679B76">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299C4DE1">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F84EB8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7D676168">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5B2A7BBE">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51A0B1B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090EF9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default" w:ascii="Times New Roman" w:hAnsi="Times New Roman" w:eastAsia="宋体" w:cs="Times New Roman"/>
                <w:snapToGrid/>
                <w:color w:val="auto"/>
                <w:kern w:val="0"/>
                <w:sz w:val="21"/>
                <w:szCs w:val="21"/>
                <w:lang w:val="zh-CN" w:eastAsia="zh-CN" w:bidi="ar-SA"/>
              </w:rPr>
              <mc:AlternateContent>
                <mc:Choice Requires="wps">
                  <w:drawing>
                    <wp:anchor distT="0" distB="0" distL="114300" distR="114300" simplePos="0" relativeHeight="251748352" behindDoc="0" locked="0" layoutInCell="1" allowOverlap="1">
                      <wp:simplePos x="0" y="0"/>
                      <wp:positionH relativeFrom="column">
                        <wp:posOffset>-63500</wp:posOffset>
                      </wp:positionH>
                      <wp:positionV relativeFrom="paragraph">
                        <wp:posOffset>99060</wp:posOffset>
                      </wp:positionV>
                      <wp:extent cx="554355" cy="0"/>
                      <wp:effectExtent l="0" t="9525" r="17145" b="9525"/>
                      <wp:wrapNone/>
                      <wp:docPr id="276" name="直接箭头连接符 276"/>
                      <wp:cNvGraphicFramePr/>
                      <a:graphic xmlns:a="http://schemas.openxmlformats.org/drawingml/2006/main">
                        <a:graphicData uri="http://schemas.microsoft.com/office/word/2010/wordprocessingShape">
                          <wps:wsp>
                            <wps:cNvCnPr/>
                            <wps:spPr>
                              <a:xfrm>
                                <a:off x="0" y="0"/>
                                <a:ext cx="55435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pt;margin-top:7.8pt;height:0pt;width:43.65pt;z-index:251748352;mso-width-relative:page;mso-height-relative:page;" filled="f" stroked="t" coordsize="21600,21600" o:gfxdata="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HnWqH0gAAAAgBAAAPAAAAAAAAAAEAIAAAACIAAABkcnMvZG93bnJldi54&#10;bWxQSwECFAAUAAAACACHTuJALS3cWQACAADwAwAADgAAAAAAAAABACAAAAAhAQAAZHJzL2Uyb0Rv&#10;Yy54bWxQSwUGAAAAAAYABgBZAQAAkwUAAAAA&#10;">
                      <v:fill on="f" focussize="0,0"/>
                      <v:stroke weight="1.5pt" color="#000000" joinstyle="round"/>
                      <v:imagedata o:title=""/>
                      <o:lock v:ext="edit" aspectratio="f"/>
                    </v:shape>
                  </w:pict>
                </mc:Fallback>
              </mc:AlternateContent>
            </w:r>
          </w:p>
        </w:tc>
        <w:tc>
          <w:tcPr>
            <w:tcW w:w="567" w:type="dxa"/>
            <w:noWrap w:val="0"/>
            <w:vAlign w:val="center"/>
          </w:tcPr>
          <w:p w14:paraId="75F10DD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3FD0AD4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32" w:type="dxa"/>
            <w:noWrap w:val="0"/>
            <w:vAlign w:val="center"/>
          </w:tcPr>
          <w:p w14:paraId="64FFD646">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r>
      <w:tr w14:paraId="650764E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5C35E9A8">
            <w:pPr>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道路施工</w:t>
            </w:r>
          </w:p>
        </w:tc>
        <w:tc>
          <w:tcPr>
            <w:tcW w:w="567" w:type="dxa"/>
            <w:noWrap w:val="0"/>
            <w:vAlign w:val="center"/>
          </w:tcPr>
          <w:p w14:paraId="6C2E1D2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2CC28E2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5F1D0FB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2B460A76">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1E6C6731">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5EFA6E15">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4EEE342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6B595CFA">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50D5F32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default" w:ascii="Times New Roman" w:hAnsi="Times New Roman" w:eastAsia="宋体" w:cs="Times New Roman"/>
                <w:snapToGrid/>
                <w:color w:val="auto"/>
                <w:kern w:val="0"/>
                <w:sz w:val="21"/>
                <w:szCs w:val="21"/>
                <w:lang w:val="zh-CN" w:eastAsia="zh-CN" w:bidi="ar-SA"/>
              </w:rPr>
              <mc:AlternateContent>
                <mc:Choice Requires="wps">
                  <w:drawing>
                    <wp:anchor distT="0" distB="0" distL="114300" distR="114300" simplePos="0" relativeHeight="251749376" behindDoc="0" locked="0" layoutInCell="1" allowOverlap="1">
                      <wp:simplePos x="0" y="0"/>
                      <wp:positionH relativeFrom="column">
                        <wp:posOffset>-65405</wp:posOffset>
                      </wp:positionH>
                      <wp:positionV relativeFrom="paragraph">
                        <wp:posOffset>109220</wp:posOffset>
                      </wp:positionV>
                      <wp:extent cx="342265" cy="0"/>
                      <wp:effectExtent l="0" t="9525" r="635" b="9525"/>
                      <wp:wrapNone/>
                      <wp:docPr id="277" name="直接箭头连接符 277"/>
                      <wp:cNvGraphicFramePr/>
                      <a:graphic xmlns:a="http://schemas.openxmlformats.org/drawingml/2006/main">
                        <a:graphicData uri="http://schemas.microsoft.com/office/word/2010/wordprocessingShape">
                          <wps:wsp>
                            <wps:cNvCnPr/>
                            <wps:spPr>
                              <a:xfrm>
                                <a:off x="0" y="0"/>
                                <a:ext cx="34226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15pt;margin-top:8.6pt;height:0pt;width:26.95pt;z-index:251749376;mso-width-relative:page;mso-height-relative:page;" filled="f" stroked="t" coordsize="21600,21600" o:gfxdata="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e7guNMAAAAIAQAADwAAAAAAAAABACAAAAAiAAAAZHJzL2Rvd25yZXYu&#10;eG1sUEsBAhQAFAAAAAgAh07iQDcjvAoAAgAA8AMAAA4AAAAAAAAAAQAgAAAAIgEAAGRycy9lMm9E&#10;b2MueG1sUEsFBgAAAAAGAAYAWQEAAJQFAAAAAA==&#10;">
                      <v:fill on="f" focussize="0,0"/>
                      <v:stroke weight="1.5pt" color="#000000" joinstyle="round"/>
                      <v:imagedata o:title=""/>
                      <o:lock v:ext="edit" aspectratio="f"/>
                    </v:shape>
                  </w:pict>
                </mc:Fallback>
              </mc:AlternateContent>
            </w:r>
          </w:p>
        </w:tc>
        <w:tc>
          <w:tcPr>
            <w:tcW w:w="567" w:type="dxa"/>
            <w:noWrap w:val="0"/>
            <w:vAlign w:val="center"/>
          </w:tcPr>
          <w:p w14:paraId="0CF6BF5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740A655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32" w:type="dxa"/>
            <w:noWrap w:val="0"/>
            <w:vAlign w:val="center"/>
          </w:tcPr>
          <w:p w14:paraId="49A9D49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r>
      <w:tr w14:paraId="7A3E03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noWrap w:val="0"/>
            <w:vAlign w:val="center"/>
          </w:tcPr>
          <w:p w14:paraId="54F32B47">
            <w:pPr>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机械电气安装调试</w:t>
            </w:r>
          </w:p>
        </w:tc>
        <w:tc>
          <w:tcPr>
            <w:tcW w:w="567" w:type="dxa"/>
            <w:noWrap w:val="0"/>
            <w:vAlign w:val="center"/>
          </w:tcPr>
          <w:p w14:paraId="42DD883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4F86BF8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5E14E9FD">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0FCC83F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2CEA677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17AE04F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7136EA11">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7C8C8179">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704AD788">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default" w:ascii="Times New Roman" w:hAnsi="Times New Roman" w:eastAsia="宋体" w:cs="Times New Roman"/>
                <w:snapToGrid/>
                <w:color w:val="auto"/>
                <w:kern w:val="0"/>
                <w:sz w:val="21"/>
                <w:szCs w:val="21"/>
                <w:lang w:val="zh-CN" w:eastAsia="zh-CN" w:bidi="ar-SA"/>
              </w:rPr>
              <mc:AlternateContent>
                <mc:Choice Requires="wps">
                  <w:drawing>
                    <wp:anchor distT="0" distB="0" distL="114300" distR="114300" simplePos="0" relativeHeight="251750400" behindDoc="0" locked="0" layoutInCell="1" allowOverlap="1">
                      <wp:simplePos x="0" y="0"/>
                      <wp:positionH relativeFrom="column">
                        <wp:posOffset>290830</wp:posOffset>
                      </wp:positionH>
                      <wp:positionV relativeFrom="paragraph">
                        <wp:posOffset>96520</wp:posOffset>
                      </wp:positionV>
                      <wp:extent cx="720090" cy="0"/>
                      <wp:effectExtent l="0" t="9525" r="3810" b="9525"/>
                      <wp:wrapNone/>
                      <wp:docPr id="287" name="直接箭头连接符 287"/>
                      <wp:cNvGraphicFramePr/>
                      <a:graphic xmlns:a="http://schemas.openxmlformats.org/drawingml/2006/main">
                        <a:graphicData uri="http://schemas.microsoft.com/office/word/2010/wordprocessingShape">
                          <wps:wsp>
                            <wps:cNvCnPr/>
                            <wps:spPr>
                              <a:xfrm>
                                <a:off x="0" y="0"/>
                                <a:ext cx="720090"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2.9pt;margin-top:7.6pt;height:0pt;width:56.7pt;z-index:251750400;mso-width-relative:page;mso-height-relative:page;" filled="f" stroked="t" coordsize="21600,21600" o:gfxdata="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FIH2LTAAAACAEAAA8AAAAAAAAAAQAgAAAAIgAAAGRycy9kb3ducmV2Lnht&#10;bFBLAQIUABQAAAAIAIdO4kDmANF//gEAAPADAAAOAAAAAAAAAAEAIAAAACIBAABkcnMvZTJvRG9j&#10;LnhtbFBLBQYAAAAABgAGAFkBAACSBQAAAAA=&#10;">
                      <v:fill on="f" focussize="0,0"/>
                      <v:stroke weight="1.5pt" color="#000000" joinstyle="round"/>
                      <v:imagedata o:title=""/>
                      <o:lock v:ext="edit" aspectratio="f"/>
                    </v:shape>
                  </w:pict>
                </mc:Fallback>
              </mc:AlternateContent>
            </w:r>
          </w:p>
        </w:tc>
        <w:tc>
          <w:tcPr>
            <w:tcW w:w="567" w:type="dxa"/>
            <w:noWrap w:val="0"/>
            <w:vAlign w:val="center"/>
          </w:tcPr>
          <w:p w14:paraId="611BF76F">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noWrap w:val="0"/>
            <w:vAlign w:val="center"/>
          </w:tcPr>
          <w:p w14:paraId="12268FE8">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32" w:type="dxa"/>
            <w:noWrap w:val="0"/>
            <w:vAlign w:val="center"/>
          </w:tcPr>
          <w:p w14:paraId="22453B5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r>
      <w:tr w14:paraId="716033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bottom w:val="single" w:color="auto" w:sz="12" w:space="0"/>
            </w:tcBorders>
            <w:noWrap w:val="0"/>
            <w:vAlign w:val="center"/>
          </w:tcPr>
          <w:p w14:paraId="5FC1D43E">
            <w:pPr>
              <w:keepNext w:val="0"/>
              <w:keepLines w:val="0"/>
              <w:widowControl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snapToGrid w:val="0"/>
                <w:color w:val="auto"/>
                <w:kern w:val="0"/>
                <w:sz w:val="21"/>
                <w:szCs w:val="21"/>
                <w:lang w:val="zh-CN" w:eastAsia="zh-CN" w:bidi="ar-SA"/>
              </w:rPr>
            </w:pPr>
            <w:r>
              <w:rPr>
                <w:rFonts w:hint="eastAsia" w:ascii="Times New Roman" w:hAnsi="Times New Roman" w:eastAsia="宋体" w:cs="Times New Roman"/>
                <w:snapToGrid w:val="0"/>
                <w:color w:val="auto"/>
                <w:kern w:val="0"/>
                <w:sz w:val="21"/>
                <w:szCs w:val="21"/>
                <w:lang w:val="zh-CN" w:eastAsia="zh-CN" w:bidi="ar-SA"/>
              </w:rPr>
              <w:t>交工验收</w:t>
            </w:r>
          </w:p>
        </w:tc>
        <w:tc>
          <w:tcPr>
            <w:tcW w:w="567" w:type="dxa"/>
            <w:tcBorders>
              <w:bottom w:val="single" w:color="auto" w:sz="12" w:space="0"/>
            </w:tcBorders>
            <w:noWrap w:val="0"/>
            <w:vAlign w:val="center"/>
          </w:tcPr>
          <w:p w14:paraId="5373269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tcBorders>
              <w:bottom w:val="single" w:color="auto" w:sz="12" w:space="0"/>
            </w:tcBorders>
            <w:noWrap w:val="0"/>
            <w:vAlign w:val="center"/>
          </w:tcPr>
          <w:p w14:paraId="782C07F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tcBorders>
              <w:bottom w:val="single" w:color="auto" w:sz="12" w:space="0"/>
            </w:tcBorders>
            <w:noWrap w:val="0"/>
            <w:vAlign w:val="center"/>
          </w:tcPr>
          <w:p w14:paraId="4B19319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tcBorders>
              <w:bottom w:val="single" w:color="auto" w:sz="12" w:space="0"/>
            </w:tcBorders>
            <w:noWrap w:val="0"/>
            <w:vAlign w:val="center"/>
          </w:tcPr>
          <w:p w14:paraId="1AA1176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tcBorders>
              <w:bottom w:val="single" w:color="auto" w:sz="12" w:space="0"/>
            </w:tcBorders>
            <w:noWrap w:val="0"/>
            <w:vAlign w:val="center"/>
          </w:tcPr>
          <w:p w14:paraId="55D4583B">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tcBorders>
              <w:bottom w:val="single" w:color="auto" w:sz="12" w:space="0"/>
            </w:tcBorders>
            <w:noWrap w:val="0"/>
            <w:vAlign w:val="center"/>
          </w:tcPr>
          <w:p w14:paraId="5A8BEB20">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tcBorders>
              <w:bottom w:val="single" w:color="auto" w:sz="12" w:space="0"/>
            </w:tcBorders>
            <w:noWrap w:val="0"/>
            <w:vAlign w:val="center"/>
          </w:tcPr>
          <w:p w14:paraId="41BCE0F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tcBorders>
              <w:bottom w:val="single" w:color="auto" w:sz="12" w:space="0"/>
            </w:tcBorders>
            <w:noWrap w:val="0"/>
            <w:vAlign w:val="center"/>
          </w:tcPr>
          <w:p w14:paraId="56FA9B3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tcBorders>
              <w:bottom w:val="single" w:color="auto" w:sz="12" w:space="0"/>
            </w:tcBorders>
            <w:noWrap w:val="0"/>
            <w:vAlign w:val="center"/>
          </w:tcPr>
          <w:p w14:paraId="430D4AE4">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tcBorders>
              <w:bottom w:val="single" w:color="auto" w:sz="12" w:space="0"/>
            </w:tcBorders>
            <w:noWrap w:val="0"/>
            <w:vAlign w:val="center"/>
          </w:tcPr>
          <w:p w14:paraId="0FAFBF47">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c>
          <w:tcPr>
            <w:tcW w:w="567" w:type="dxa"/>
            <w:tcBorders>
              <w:bottom w:val="single" w:color="auto" w:sz="12" w:space="0"/>
            </w:tcBorders>
            <w:noWrap w:val="0"/>
            <w:vAlign w:val="center"/>
          </w:tcPr>
          <w:p w14:paraId="6D815CC2">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r>
              <w:rPr>
                <w:rFonts w:hint="default" w:ascii="Times New Roman" w:hAnsi="Times New Roman" w:eastAsia="宋体" w:cs="Times New Roman"/>
                <w:snapToGrid/>
                <w:color w:val="auto"/>
                <w:kern w:val="0"/>
                <w:sz w:val="21"/>
                <w:szCs w:val="21"/>
                <w:lang w:val="zh-CN" w:eastAsia="zh-CN" w:bidi="ar-SA"/>
              </w:rPr>
              <mc:AlternateContent>
                <mc:Choice Requires="wps">
                  <w:drawing>
                    <wp:anchor distT="0" distB="0" distL="114300" distR="114300" simplePos="0" relativeHeight="251751424" behindDoc="0" locked="0" layoutInCell="1" allowOverlap="1">
                      <wp:simplePos x="0" y="0"/>
                      <wp:positionH relativeFrom="column">
                        <wp:posOffset>290830</wp:posOffset>
                      </wp:positionH>
                      <wp:positionV relativeFrom="paragraph">
                        <wp:posOffset>100965</wp:posOffset>
                      </wp:positionV>
                      <wp:extent cx="342265" cy="0"/>
                      <wp:effectExtent l="0" t="9525" r="635" b="9525"/>
                      <wp:wrapNone/>
                      <wp:docPr id="288" name="直接箭头连接符 288"/>
                      <wp:cNvGraphicFramePr/>
                      <a:graphic xmlns:a="http://schemas.openxmlformats.org/drawingml/2006/main">
                        <a:graphicData uri="http://schemas.microsoft.com/office/word/2010/wordprocessingShape">
                          <wps:wsp>
                            <wps:cNvCnPr/>
                            <wps:spPr>
                              <a:xfrm>
                                <a:off x="0" y="0"/>
                                <a:ext cx="34226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2.9pt;margin-top:7.95pt;height:0pt;width:26.95pt;z-index:251751424;mso-width-relative:page;mso-height-relative:page;" filled="f" stroked="t" coordsize="21600,21600" o:gfxdata="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ybBenRAAAABwEAAA8AAAAAAAAAAQAgAAAAIgAAAGRycy9kb3ducmV2Lnht&#10;bFBLAQIUABQAAAAIAIdO4kBykZ0tAAIAAPADAAAOAAAAAAAAAAEAIAAAACABAABkcnMvZTJvRG9j&#10;LnhtbFBLBQYAAAAABgAGAFkBAACSBQAAAAA=&#10;">
                      <v:fill on="f" focussize="0,0"/>
                      <v:stroke weight="1.5pt" color="#000000" joinstyle="round"/>
                      <v:imagedata o:title=""/>
                      <o:lock v:ext="edit" aspectratio="f"/>
                    </v:shape>
                  </w:pict>
                </mc:Fallback>
              </mc:AlternateContent>
            </w:r>
          </w:p>
        </w:tc>
        <w:tc>
          <w:tcPr>
            <w:tcW w:w="532" w:type="dxa"/>
            <w:tcBorders>
              <w:bottom w:val="single" w:color="auto" w:sz="12" w:space="0"/>
            </w:tcBorders>
            <w:noWrap w:val="0"/>
            <w:vAlign w:val="center"/>
          </w:tcPr>
          <w:p w14:paraId="19C5F333">
            <w:pPr>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snapToGrid w:val="0"/>
                <w:color w:val="auto"/>
                <w:kern w:val="0"/>
                <w:sz w:val="21"/>
                <w:szCs w:val="21"/>
                <w:lang w:val="zh-CN" w:eastAsia="zh-CN" w:bidi="ar-SA"/>
              </w:rPr>
            </w:pPr>
          </w:p>
        </w:tc>
      </w:tr>
    </w:tbl>
    <w:p w14:paraId="577E24B0">
      <w:pPr>
        <w:ind w:firstLine="174" w:firstLineChars="83"/>
        <w:rPr>
          <w:rFonts w:hint="eastAsia"/>
          <w:color w:val="auto"/>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3ACB0A8D">
      <w:pPr>
        <w:widowControl w:val="0"/>
        <w:spacing w:line="360" w:lineRule="auto"/>
        <w:ind w:firstLine="0" w:firstLineChars="0"/>
        <w:jc w:val="both"/>
        <w:rPr>
          <w:rFonts w:ascii="Times New Roman" w:hAnsi="Times New Roman" w:eastAsia="宋体" w:cs="宋体"/>
          <w:snapToGrid/>
          <w:color w:val="auto"/>
          <w:kern w:val="0"/>
          <w:sz w:val="24"/>
          <w:szCs w:val="21"/>
          <w:lang w:val="zh-CN" w:eastAsia="zh-CN" w:bidi="ar-SA"/>
        </w:rPr>
      </w:pPr>
      <w:r>
        <w:rPr>
          <w:rFonts w:ascii="Times New Roman" w:hAnsi="Times New Roman" w:eastAsia="宋体" w:cs="宋体"/>
          <w:snapToGrid/>
          <w:color w:val="auto"/>
          <w:kern w:val="0"/>
          <w:sz w:val="24"/>
          <w:szCs w:val="21"/>
          <w:lang w:val="zh-CN" w:eastAsia="zh-CN" w:bidi="ar-SA"/>
        </w:rPr>
        <w:drawing>
          <wp:inline distT="0" distB="0" distL="114300" distR="114300">
            <wp:extent cx="8843010" cy="4973955"/>
            <wp:effectExtent l="0" t="0" r="8890" b="4445"/>
            <wp:docPr id="93" name="图片 93" descr="弃土区抛泥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弃土区抛泥区"/>
                    <pic:cNvPicPr>
                      <a:picLocks noChangeAspect="1"/>
                    </pic:cNvPicPr>
                  </pic:nvPicPr>
                  <pic:blipFill>
                    <a:blip r:embed="rId60"/>
                    <a:stretch>
                      <a:fillRect/>
                    </a:stretch>
                  </pic:blipFill>
                  <pic:spPr>
                    <a:xfrm>
                      <a:off x="0" y="0"/>
                      <a:ext cx="8843010" cy="4973955"/>
                    </a:xfrm>
                    <a:prstGeom prst="rect">
                      <a:avLst/>
                    </a:prstGeom>
                  </pic:spPr>
                </pic:pic>
              </a:graphicData>
            </a:graphic>
          </wp:inline>
        </w:drawing>
      </w:r>
      <w:r>
        <w:rPr>
          <w:rFonts w:ascii="Times New Roman" w:hAnsi="Times New Roman" w:eastAsia="宋体" w:cs="宋体"/>
          <w:snapToGrid w:val="0"/>
          <w:color w:val="auto"/>
          <w:kern w:val="0"/>
          <w:sz w:val="24"/>
          <w:szCs w:val="21"/>
          <w:lang w:val="zh-CN" w:eastAsia="zh-CN" w:bidi="ar-SA"/>
        </w:rPr>
        <w:drawing>
          <wp:anchor distT="0" distB="0" distL="114300" distR="114300" simplePos="0" relativeHeight="251755520" behindDoc="0" locked="0" layoutInCell="1" allowOverlap="1">
            <wp:simplePos x="0" y="0"/>
            <wp:positionH relativeFrom="column">
              <wp:posOffset>0</wp:posOffset>
            </wp:positionH>
            <wp:positionV relativeFrom="paragraph">
              <wp:posOffset>635</wp:posOffset>
            </wp:positionV>
            <wp:extent cx="665480" cy="665480"/>
            <wp:effectExtent l="0" t="0" r="1270" b="1270"/>
            <wp:wrapNone/>
            <wp:docPr id="289" name="图片 292"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92" descr="淮南"/>
                    <pic:cNvPicPr>
                      <a:picLocks noChangeAspect="1"/>
                    </pic:cNvPicPr>
                  </pic:nvPicPr>
                  <pic:blipFill>
                    <a:blip r:embed="rId40"/>
                    <a:stretch>
                      <a:fillRect/>
                    </a:stretch>
                  </pic:blipFill>
                  <pic:spPr>
                    <a:xfrm>
                      <a:off x="0" y="0"/>
                      <a:ext cx="665480" cy="665480"/>
                    </a:xfrm>
                    <a:prstGeom prst="rect">
                      <a:avLst/>
                    </a:prstGeom>
                    <a:noFill/>
                    <a:ln>
                      <a:noFill/>
                    </a:ln>
                  </pic:spPr>
                </pic:pic>
              </a:graphicData>
            </a:graphic>
          </wp:anchor>
        </w:drawing>
      </w:r>
    </w:p>
    <w:p w14:paraId="67AC5B7B">
      <w:pPr>
        <w:widowControl w:val="0"/>
        <w:spacing w:line="400" w:lineRule="exact"/>
        <w:ind w:firstLine="0" w:firstLineChars="0"/>
        <w:jc w:val="center"/>
        <w:rPr>
          <w:rFonts w:ascii="Times New Roman" w:hAnsi="Times New Roman" w:eastAsia="黑体" w:cs="Times New Roman"/>
          <w:color w:val="auto"/>
          <w:kern w:val="2"/>
          <w:sz w:val="24"/>
          <w:szCs w:val="24"/>
          <w:lang w:val="en-US" w:eastAsia="zh-CN" w:bidi="ar-SA"/>
        </w:rPr>
      </w:pPr>
      <w:r>
        <w:rPr>
          <w:rFonts w:ascii="黑体" w:hAnsi="黑体" w:eastAsia="黑体" w:cs="Times New Roman"/>
          <w:color w:val="auto"/>
          <w:kern w:val="2"/>
          <w:sz w:val="24"/>
          <w:szCs w:val="24"/>
          <w:lang w:val="en-US" w:eastAsia="zh-CN" w:bidi="ar-SA"/>
        </w:rPr>
        <w:t>图</w:t>
      </w:r>
      <w:r>
        <w:rPr>
          <w:rFonts w:ascii="Times New Roman" w:hAnsi="Times New Roman" w:eastAsia="黑体" w:cs="Times New Roman"/>
          <w:color w:val="auto"/>
          <w:kern w:val="2"/>
          <w:sz w:val="24"/>
          <w:szCs w:val="24"/>
          <w:lang w:val="en-US" w:eastAsia="zh-CN" w:bidi="ar-SA"/>
        </w:rPr>
        <w:t>3.2-</w:t>
      </w:r>
      <w:r>
        <w:rPr>
          <w:rFonts w:hint="eastAsia" w:eastAsia="黑体" w:cs="Times New Roman"/>
          <w:color w:val="auto"/>
          <w:kern w:val="2"/>
          <w:sz w:val="24"/>
          <w:szCs w:val="24"/>
          <w:lang w:val="en-US" w:eastAsia="zh-CN" w:bidi="ar-SA"/>
        </w:rPr>
        <w:t>13</w:t>
      </w:r>
      <w:r>
        <w:rPr>
          <w:rFonts w:ascii="Times New Roman" w:hAnsi="Times New Roman" w:eastAsia="黑体" w:cs="Times New Roman"/>
          <w:color w:val="auto"/>
          <w:kern w:val="2"/>
          <w:sz w:val="24"/>
          <w:szCs w:val="24"/>
          <w:lang w:val="en-US" w:eastAsia="zh-CN" w:bidi="ar-SA"/>
        </w:rPr>
        <w:t xml:space="preserve">  </w:t>
      </w:r>
      <w:r>
        <w:rPr>
          <w:rFonts w:hint="eastAsia" w:ascii="黑体" w:hAnsi="黑体" w:eastAsia="黑体" w:cs="Times New Roman"/>
          <w:color w:val="auto"/>
          <w:kern w:val="2"/>
          <w:sz w:val="24"/>
          <w:szCs w:val="24"/>
          <w:lang w:val="en-US" w:eastAsia="zh-CN" w:bidi="ar-SA"/>
        </w:rPr>
        <w:t>拟建项目</w:t>
      </w:r>
      <w:r>
        <w:rPr>
          <w:rFonts w:ascii="黑体" w:hAnsi="黑体" w:eastAsia="黑体" w:cs="Times New Roman"/>
          <w:color w:val="auto"/>
          <w:kern w:val="2"/>
          <w:sz w:val="24"/>
          <w:szCs w:val="24"/>
          <w:lang w:val="en-US" w:eastAsia="zh-CN" w:bidi="ar-SA"/>
        </w:rPr>
        <w:t>施工场地位置示意图</w:t>
      </w:r>
    </w:p>
    <w:p w14:paraId="3D6070EF">
      <w:pPr>
        <w:ind w:firstLine="0" w:firstLineChars="0"/>
        <w:rPr>
          <w:rFonts w:hint="eastAsia"/>
          <w:color w:val="auto"/>
          <w:lang w:val="en-US"/>
        </w:rPr>
        <w:sectPr>
          <w:pgSz w:w="16840" w:h="11907" w:orient="landscape"/>
          <w:pgMar w:top="1418" w:right="1418" w:bottom="1418" w:left="1418" w:header="851" w:footer="851" w:gutter="0"/>
          <w:pgBorders>
            <w:top w:val="none" w:sz="0" w:space="0"/>
            <w:left w:val="none" w:sz="0" w:space="0"/>
            <w:bottom w:val="none" w:sz="0" w:space="0"/>
            <w:right w:val="none" w:sz="0" w:space="0"/>
          </w:pgBorders>
          <w:cols w:space="720" w:num="1"/>
          <w:docGrid w:type="lines" w:linePitch="312" w:charSpace="0"/>
        </w:sectPr>
      </w:pPr>
    </w:p>
    <w:p w14:paraId="76F52CA6">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w:t>
      </w:r>
      <w:r>
        <w:rPr>
          <w:rFonts w:ascii="Times New Roman" w:hAnsi="Times New Roman" w:eastAsia="黑体" w:cs="Times New Roman"/>
          <w:bCs/>
          <w:color w:val="auto"/>
          <w:kern w:val="2"/>
          <w:sz w:val="24"/>
          <w:szCs w:val="28"/>
          <w:lang w:val="en-US" w:eastAsia="zh-CN" w:bidi="ar-SA"/>
        </w:rPr>
        <w:t>.2.11.5</w:t>
      </w:r>
      <w:r>
        <w:rPr>
          <w:rFonts w:hint="eastAsia" w:ascii="Times New Roman" w:hAnsi="Times New Roman" w:eastAsia="黑体" w:cs="Times New Roman"/>
          <w:bCs/>
          <w:color w:val="auto"/>
          <w:kern w:val="2"/>
          <w:sz w:val="24"/>
          <w:szCs w:val="28"/>
          <w:lang w:val="en-US" w:eastAsia="zh-CN" w:bidi="ar-SA"/>
        </w:rPr>
        <w:t>临时</w:t>
      </w:r>
      <w:r>
        <w:rPr>
          <w:rFonts w:hint="eastAsia" w:eastAsia="黑体" w:cs="Times New Roman"/>
          <w:bCs/>
          <w:color w:val="auto"/>
          <w:kern w:val="2"/>
          <w:sz w:val="24"/>
          <w:szCs w:val="28"/>
          <w:lang w:val="en-US" w:eastAsia="zh-CN" w:bidi="ar-SA"/>
        </w:rPr>
        <w:t>工程</w:t>
      </w:r>
    </w:p>
    <w:p w14:paraId="6BDA35C1">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本项目施工期弃土区</w:t>
      </w:r>
      <w:r>
        <w:rPr>
          <w:rFonts w:hint="eastAsia" w:cs="宋体"/>
          <w:snapToGrid w:val="0"/>
          <w:color w:val="auto"/>
          <w:kern w:val="0"/>
          <w:sz w:val="24"/>
          <w:szCs w:val="21"/>
          <w:lang w:val="zh-CN" w:eastAsia="zh-CN" w:bidi="ar-SA"/>
        </w:rPr>
        <w:t>（</w:t>
      </w:r>
      <w:r>
        <w:rPr>
          <w:rFonts w:hint="eastAsia" w:cs="宋体"/>
          <w:snapToGrid w:val="0"/>
          <w:color w:val="auto"/>
          <w:kern w:val="0"/>
          <w:sz w:val="24"/>
          <w:szCs w:val="21"/>
          <w:lang w:val="en-US" w:eastAsia="zh-CN" w:bidi="ar-SA"/>
        </w:rPr>
        <w:t>含表土临时堆场</w:t>
      </w:r>
      <w:r>
        <w:rPr>
          <w:rFonts w:hint="eastAsia" w:cs="宋体"/>
          <w:snapToGrid w:val="0"/>
          <w:color w:val="auto"/>
          <w:kern w:val="0"/>
          <w:sz w:val="24"/>
          <w:szCs w:val="21"/>
          <w:lang w:val="zh-CN" w:eastAsia="zh-CN" w:bidi="ar-SA"/>
        </w:rPr>
        <w:t>）</w:t>
      </w:r>
      <w:r>
        <w:rPr>
          <w:rFonts w:hint="eastAsia" w:ascii="Times New Roman" w:hAnsi="Times New Roman" w:eastAsia="宋体" w:cs="宋体"/>
          <w:snapToGrid w:val="0"/>
          <w:color w:val="auto"/>
          <w:kern w:val="0"/>
          <w:sz w:val="24"/>
          <w:szCs w:val="21"/>
          <w:lang w:val="zh-CN" w:eastAsia="zh-CN" w:bidi="ar-SA"/>
        </w:rPr>
        <w:t>及抛泥区</w:t>
      </w:r>
      <w:r>
        <w:rPr>
          <w:rFonts w:hint="eastAsia" w:cs="宋体"/>
          <w:snapToGrid w:val="0"/>
          <w:color w:val="auto"/>
          <w:kern w:val="0"/>
          <w:sz w:val="24"/>
          <w:szCs w:val="21"/>
          <w:lang w:val="zh-CN" w:eastAsia="zh-CN" w:bidi="ar-SA"/>
        </w:rPr>
        <w:t>（</w:t>
      </w:r>
      <w:r>
        <w:rPr>
          <w:rFonts w:hint="eastAsia" w:cs="宋体"/>
          <w:snapToGrid w:val="0"/>
          <w:color w:val="auto"/>
          <w:kern w:val="0"/>
          <w:sz w:val="24"/>
          <w:szCs w:val="21"/>
          <w:lang w:val="en-US" w:eastAsia="zh-CN" w:bidi="ar-SA"/>
        </w:rPr>
        <w:t>即淤泥干化场</w:t>
      </w:r>
      <w:r>
        <w:rPr>
          <w:rFonts w:hint="eastAsia" w:cs="宋体"/>
          <w:snapToGrid w:val="0"/>
          <w:color w:val="auto"/>
          <w:kern w:val="0"/>
          <w:sz w:val="24"/>
          <w:szCs w:val="21"/>
          <w:lang w:val="zh-CN" w:eastAsia="zh-CN" w:bidi="ar-SA"/>
        </w:rPr>
        <w:t>）</w:t>
      </w:r>
      <w:r>
        <w:rPr>
          <w:rFonts w:hint="eastAsia" w:ascii="Times New Roman" w:hAnsi="Times New Roman" w:eastAsia="宋体" w:cs="宋体"/>
          <w:snapToGrid w:val="0"/>
          <w:color w:val="auto"/>
          <w:kern w:val="0"/>
          <w:sz w:val="24"/>
          <w:szCs w:val="21"/>
          <w:lang w:val="zh-CN" w:eastAsia="zh-CN" w:bidi="ar-SA"/>
        </w:rPr>
        <w:t>临时占地全部设置在永久占地范围内，弃土区占地面积约</w:t>
      </w:r>
      <w:r>
        <w:rPr>
          <w:rFonts w:ascii="Times New Roman" w:hAnsi="Times New Roman" w:eastAsia="宋体" w:cs="宋体"/>
          <w:snapToGrid w:val="0"/>
          <w:color w:val="auto"/>
          <w:kern w:val="0"/>
          <w:sz w:val="24"/>
          <w:szCs w:val="21"/>
          <w:lang w:val="zh-CN" w:eastAsia="zh-CN" w:bidi="ar-SA"/>
        </w:rPr>
        <w:t>1000</w:t>
      </w:r>
      <w:r>
        <w:rPr>
          <w:rFonts w:hint="eastAsia" w:ascii="Times New Roman" w:hAnsi="Times New Roman" w:eastAsia="宋体" w:cs="宋体"/>
          <w:snapToGrid w:val="0"/>
          <w:color w:val="auto"/>
          <w:kern w:val="0"/>
          <w:sz w:val="24"/>
          <w:szCs w:val="21"/>
          <w:lang w:val="zh-CN" w:eastAsia="zh-CN" w:bidi="ar-SA"/>
        </w:rPr>
        <w:t>m</w:t>
      </w:r>
      <w:r>
        <w:rPr>
          <w:rFonts w:hint="eastAsia" w:ascii="Times New Roman" w:hAnsi="Times New Roman" w:eastAsia="宋体" w:cs="宋体"/>
          <w:snapToGrid w:val="0"/>
          <w:color w:val="auto"/>
          <w:kern w:val="0"/>
          <w:sz w:val="24"/>
          <w:szCs w:val="21"/>
          <w:vertAlign w:val="superscript"/>
          <w:lang w:val="zh-CN" w:eastAsia="zh-CN" w:bidi="ar-SA"/>
        </w:rPr>
        <w:t>2</w:t>
      </w:r>
      <w:r>
        <w:rPr>
          <w:rFonts w:hint="eastAsia" w:ascii="Times New Roman" w:hAnsi="Times New Roman" w:eastAsia="宋体" w:cs="宋体"/>
          <w:snapToGrid w:val="0"/>
          <w:color w:val="auto"/>
          <w:kern w:val="0"/>
          <w:sz w:val="24"/>
          <w:szCs w:val="21"/>
          <w:lang w:val="zh-CN" w:eastAsia="zh-CN" w:bidi="ar-SA"/>
        </w:rPr>
        <w:t>，抛泥区占地面积约</w:t>
      </w:r>
      <w:r>
        <w:rPr>
          <w:rFonts w:ascii="Times New Roman" w:hAnsi="Times New Roman" w:eastAsia="宋体" w:cs="宋体"/>
          <w:snapToGrid w:val="0"/>
          <w:color w:val="auto"/>
          <w:kern w:val="0"/>
          <w:sz w:val="24"/>
          <w:szCs w:val="21"/>
          <w:lang w:val="zh-CN" w:eastAsia="zh-CN" w:bidi="ar-SA"/>
        </w:rPr>
        <w:t>1000</w:t>
      </w:r>
      <w:r>
        <w:rPr>
          <w:rFonts w:hint="eastAsia" w:ascii="Times New Roman" w:hAnsi="Times New Roman" w:eastAsia="宋体" w:cs="宋体"/>
          <w:snapToGrid w:val="0"/>
          <w:color w:val="auto"/>
          <w:kern w:val="0"/>
          <w:sz w:val="24"/>
          <w:szCs w:val="21"/>
          <w:lang w:val="zh-CN" w:eastAsia="zh-CN" w:bidi="ar-SA"/>
        </w:rPr>
        <w:t>m</w:t>
      </w:r>
      <w:r>
        <w:rPr>
          <w:rFonts w:hint="eastAsia" w:ascii="Times New Roman" w:hAnsi="Times New Roman" w:eastAsia="宋体" w:cs="宋体"/>
          <w:snapToGrid w:val="0"/>
          <w:color w:val="auto"/>
          <w:kern w:val="0"/>
          <w:sz w:val="24"/>
          <w:szCs w:val="21"/>
          <w:vertAlign w:val="superscript"/>
          <w:lang w:val="zh-CN" w:eastAsia="zh-CN" w:bidi="ar-SA"/>
        </w:rPr>
        <w:t>2</w:t>
      </w:r>
      <w:r>
        <w:rPr>
          <w:rFonts w:hint="eastAsia" w:ascii="Times New Roman" w:hAnsi="Times New Roman" w:eastAsia="宋体" w:cs="宋体"/>
          <w:snapToGrid w:val="0"/>
          <w:color w:val="auto"/>
          <w:kern w:val="0"/>
          <w:sz w:val="24"/>
          <w:szCs w:val="21"/>
          <w:lang w:val="zh-CN" w:eastAsia="zh-CN" w:bidi="ar-SA"/>
        </w:rPr>
        <w:t>。</w:t>
      </w:r>
    </w:p>
    <w:p w14:paraId="2B6D6176">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水域部分临时占用水面均在项目水域使用面积内。</w:t>
      </w:r>
    </w:p>
    <w:p w14:paraId="3F96FCEC">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本项目</w:t>
      </w:r>
      <w:r>
        <w:rPr>
          <w:rFonts w:ascii="Times New Roman" w:hAnsi="Times New Roman" w:eastAsia="宋体" w:cs="宋体"/>
          <w:snapToGrid w:val="0"/>
          <w:color w:val="auto"/>
          <w:kern w:val="0"/>
          <w:sz w:val="24"/>
          <w:szCs w:val="21"/>
          <w:lang w:val="zh-CN" w:eastAsia="zh-CN" w:bidi="ar-SA"/>
        </w:rPr>
        <w:t>不设置施工营地，</w:t>
      </w:r>
      <w:r>
        <w:rPr>
          <w:rFonts w:hint="eastAsia" w:ascii="Times New Roman" w:hAnsi="Times New Roman" w:eastAsia="宋体" w:cs="宋体"/>
          <w:snapToGrid w:val="0"/>
          <w:color w:val="auto"/>
          <w:kern w:val="0"/>
          <w:sz w:val="24"/>
          <w:szCs w:val="21"/>
          <w:lang w:val="zh-CN" w:eastAsia="zh-CN" w:bidi="ar-SA"/>
        </w:rPr>
        <w:t>施工</w:t>
      </w:r>
      <w:r>
        <w:rPr>
          <w:rFonts w:hint="eastAsia" w:cs="宋体"/>
          <w:snapToGrid w:val="0"/>
          <w:color w:val="auto"/>
          <w:kern w:val="0"/>
          <w:sz w:val="24"/>
          <w:szCs w:val="21"/>
          <w:lang w:val="zh-CN" w:eastAsia="zh-CN" w:bidi="ar-SA"/>
        </w:rPr>
        <w:t>期间</w:t>
      </w:r>
      <w:r>
        <w:rPr>
          <w:rFonts w:hint="eastAsia" w:ascii="Times New Roman" w:hAnsi="Times New Roman" w:eastAsia="宋体" w:cs="宋体"/>
          <w:snapToGrid w:val="0"/>
          <w:color w:val="auto"/>
          <w:kern w:val="0"/>
          <w:sz w:val="24"/>
          <w:szCs w:val="21"/>
          <w:lang w:val="zh-CN" w:eastAsia="zh-CN" w:bidi="ar-SA"/>
        </w:rPr>
        <w:t>工人在周边租赁村民民房。</w:t>
      </w:r>
    </w:p>
    <w:p w14:paraId="615177A9">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3.2.1</w:t>
      </w:r>
      <w:r>
        <w:rPr>
          <w:rFonts w:ascii="Times New Roman" w:hAnsi="Times New Roman" w:eastAsia="黑体" w:cs="Times New Roman"/>
          <w:bCs/>
          <w:color w:val="auto"/>
          <w:kern w:val="2"/>
          <w:sz w:val="24"/>
          <w:szCs w:val="28"/>
          <w:lang w:val="en-US" w:eastAsia="zh-CN" w:bidi="ar-SA"/>
        </w:rPr>
        <w:t>1</w:t>
      </w:r>
      <w:r>
        <w:rPr>
          <w:rFonts w:hint="eastAsia" w:ascii="Times New Roman" w:hAnsi="Times New Roman" w:eastAsia="黑体" w:cs="Times New Roman"/>
          <w:bCs/>
          <w:color w:val="auto"/>
          <w:kern w:val="2"/>
          <w:sz w:val="24"/>
          <w:szCs w:val="28"/>
          <w:lang w:val="en-US" w:eastAsia="zh-CN" w:bidi="ar-SA"/>
        </w:rPr>
        <w:t>.</w:t>
      </w:r>
      <w:r>
        <w:rPr>
          <w:rFonts w:ascii="Times New Roman" w:hAnsi="Times New Roman" w:eastAsia="黑体" w:cs="Times New Roman"/>
          <w:bCs/>
          <w:color w:val="auto"/>
          <w:kern w:val="2"/>
          <w:sz w:val="24"/>
          <w:szCs w:val="28"/>
          <w:lang w:val="en-US" w:eastAsia="zh-CN" w:bidi="ar-SA"/>
        </w:rPr>
        <w:t>6土石方平衡</w:t>
      </w:r>
    </w:p>
    <w:p w14:paraId="2389F24D">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挖方总量</w:t>
      </w:r>
      <w:r>
        <w:rPr>
          <w:rFonts w:ascii="Times New Roman" w:hAnsi="Times New Roman" w:eastAsia="宋体" w:cs="Calibri"/>
          <w:color w:val="auto"/>
          <w:kern w:val="2"/>
          <w:sz w:val="24"/>
          <w:szCs w:val="24"/>
          <w:lang w:val="en-US" w:eastAsia="zh-CN" w:bidi="ar-SA"/>
        </w:rPr>
        <w:t>81822</w:t>
      </w:r>
      <w:r>
        <w:rPr>
          <w:rFonts w:hint="eastAsia" w:ascii="Times New Roman" w:hAnsi="Times New Roman" w:eastAsia="宋体" w:cs="Calibri"/>
          <w:color w:val="auto"/>
          <w:kern w:val="2"/>
          <w:sz w:val="24"/>
          <w:szCs w:val="24"/>
          <w:lang w:val="en-US" w:eastAsia="zh-CN" w:bidi="ar-SA"/>
        </w:rPr>
        <w:t>m</w:t>
      </w:r>
      <w:r>
        <w:rPr>
          <w:rFonts w:hint="eastAsia" w:ascii="Times New Roman" w:hAnsi="Times New Roman" w:eastAsia="宋体" w:cs="Calibri"/>
          <w:color w:val="auto"/>
          <w:kern w:val="2"/>
          <w:sz w:val="24"/>
          <w:szCs w:val="24"/>
          <w:vertAlign w:val="superscript"/>
          <w:lang w:val="en-US" w:eastAsia="zh-CN" w:bidi="ar-SA"/>
        </w:rPr>
        <w:t>3</w:t>
      </w:r>
      <w:r>
        <w:rPr>
          <w:rFonts w:hint="eastAsia" w:ascii="Times New Roman" w:hAnsi="Times New Roman" w:eastAsia="宋体" w:cs="Calibri"/>
          <w:color w:val="auto"/>
          <w:kern w:val="2"/>
          <w:sz w:val="24"/>
          <w:szCs w:val="24"/>
          <w:lang w:val="en-US" w:eastAsia="zh-CN" w:bidi="ar-SA"/>
        </w:rPr>
        <w:t>，填方量</w:t>
      </w:r>
      <w:r>
        <w:rPr>
          <w:rFonts w:ascii="Times New Roman" w:hAnsi="Times New Roman" w:eastAsia="宋体" w:cs="Calibri"/>
          <w:color w:val="auto"/>
          <w:kern w:val="2"/>
          <w:sz w:val="24"/>
          <w:szCs w:val="24"/>
          <w:lang w:val="en-US" w:eastAsia="zh-CN" w:bidi="ar-SA"/>
        </w:rPr>
        <w:t>8</w:t>
      </w:r>
      <w:r>
        <w:rPr>
          <w:rFonts w:hint="eastAsia" w:cs="Calibri"/>
          <w:color w:val="auto"/>
          <w:kern w:val="2"/>
          <w:sz w:val="24"/>
          <w:szCs w:val="24"/>
          <w:lang w:val="en-US" w:eastAsia="zh-CN" w:bidi="ar-SA"/>
        </w:rPr>
        <w:t>405</w:t>
      </w:r>
      <w:r>
        <w:rPr>
          <w:rFonts w:ascii="Times New Roman" w:hAnsi="Times New Roman" w:eastAsia="宋体" w:cs="Calibri"/>
          <w:color w:val="auto"/>
          <w:kern w:val="2"/>
          <w:sz w:val="24"/>
          <w:szCs w:val="24"/>
          <w:lang w:val="en-US" w:eastAsia="zh-CN" w:bidi="ar-SA"/>
        </w:rPr>
        <w:t>2</w:t>
      </w:r>
      <w:r>
        <w:rPr>
          <w:rFonts w:hint="eastAsia" w:ascii="Times New Roman" w:hAnsi="Times New Roman" w:eastAsia="宋体" w:cs="Calibri"/>
          <w:color w:val="auto"/>
          <w:kern w:val="2"/>
          <w:sz w:val="24"/>
          <w:szCs w:val="24"/>
          <w:lang w:val="en-US" w:eastAsia="zh-CN" w:bidi="ar-SA"/>
        </w:rPr>
        <w:t>m</w:t>
      </w:r>
      <w:r>
        <w:rPr>
          <w:rFonts w:hint="eastAsia" w:ascii="Times New Roman" w:hAnsi="Times New Roman" w:eastAsia="宋体" w:cs="Calibri"/>
          <w:color w:val="auto"/>
          <w:kern w:val="2"/>
          <w:sz w:val="24"/>
          <w:szCs w:val="24"/>
          <w:vertAlign w:val="superscript"/>
          <w:lang w:val="en-US" w:eastAsia="zh-CN" w:bidi="ar-SA"/>
        </w:rPr>
        <w:t>3</w:t>
      </w:r>
      <w:r>
        <w:rPr>
          <w:rFonts w:hint="eastAsia" w:ascii="Times New Roman" w:hAnsi="Times New Roman" w:eastAsia="宋体" w:cs="Calibri"/>
          <w:color w:val="auto"/>
          <w:kern w:val="2"/>
          <w:sz w:val="24"/>
          <w:szCs w:val="24"/>
          <w:lang w:val="en-US" w:eastAsia="zh-CN" w:bidi="ar-SA"/>
        </w:rPr>
        <w:t>，</w:t>
      </w:r>
      <w:r>
        <w:rPr>
          <w:rFonts w:hint="eastAsia" w:cs="Calibri"/>
          <w:color w:val="auto"/>
          <w:kern w:val="2"/>
          <w:sz w:val="24"/>
          <w:szCs w:val="24"/>
          <w:lang w:val="en-US" w:eastAsia="zh-CN" w:bidi="ar-SA"/>
        </w:rPr>
        <w:t>需外购土方2230</w:t>
      </w:r>
      <w:r>
        <w:rPr>
          <w:rFonts w:hint="eastAsia" w:ascii="Times New Roman" w:hAnsi="Times New Roman" w:eastAsia="宋体" w:cs="Calibri"/>
          <w:color w:val="auto"/>
          <w:kern w:val="2"/>
          <w:sz w:val="24"/>
          <w:szCs w:val="24"/>
          <w:lang w:val="en-US" w:eastAsia="zh-CN" w:bidi="ar-SA"/>
        </w:rPr>
        <w:t>m</w:t>
      </w:r>
      <w:r>
        <w:rPr>
          <w:rFonts w:hint="eastAsia" w:ascii="Times New Roman" w:hAnsi="Times New Roman" w:eastAsia="宋体" w:cs="Calibri"/>
          <w:color w:val="auto"/>
          <w:kern w:val="2"/>
          <w:sz w:val="24"/>
          <w:szCs w:val="24"/>
          <w:vertAlign w:val="superscript"/>
          <w:lang w:val="en-US" w:eastAsia="zh-CN" w:bidi="ar-SA"/>
        </w:rPr>
        <w:t>3</w:t>
      </w:r>
      <w:r>
        <w:rPr>
          <w:rFonts w:hint="eastAsia" w:ascii="Times New Roman" w:hAnsi="Times New Roman" w:eastAsia="宋体" w:cs="Calibri"/>
          <w:color w:val="auto"/>
          <w:kern w:val="2"/>
          <w:sz w:val="24"/>
          <w:szCs w:val="24"/>
          <w:lang w:val="en-US" w:eastAsia="zh-CN" w:bidi="ar-SA"/>
        </w:rPr>
        <w:t>，弃土区</w:t>
      </w:r>
      <w:r>
        <w:rPr>
          <w:rFonts w:hint="eastAsia" w:cs="宋体"/>
          <w:snapToGrid w:val="0"/>
          <w:color w:val="auto"/>
          <w:kern w:val="0"/>
          <w:sz w:val="24"/>
          <w:szCs w:val="21"/>
          <w:lang w:val="zh-CN" w:eastAsia="zh-CN" w:bidi="ar-SA"/>
        </w:rPr>
        <w:t>（</w:t>
      </w:r>
      <w:r>
        <w:rPr>
          <w:rFonts w:hint="eastAsia" w:cs="宋体"/>
          <w:snapToGrid w:val="0"/>
          <w:color w:val="auto"/>
          <w:kern w:val="0"/>
          <w:sz w:val="24"/>
          <w:szCs w:val="21"/>
          <w:lang w:val="en-US" w:eastAsia="zh-CN" w:bidi="ar-SA"/>
        </w:rPr>
        <w:t>含表土临时堆场</w:t>
      </w:r>
      <w:r>
        <w:rPr>
          <w:rFonts w:hint="eastAsia" w:cs="宋体"/>
          <w:snapToGrid w:val="0"/>
          <w:color w:val="auto"/>
          <w:kern w:val="0"/>
          <w:sz w:val="24"/>
          <w:szCs w:val="21"/>
          <w:lang w:val="zh-CN" w:eastAsia="zh-CN" w:bidi="ar-SA"/>
        </w:rPr>
        <w:t>）</w:t>
      </w:r>
      <w:r>
        <w:rPr>
          <w:rFonts w:hint="eastAsia" w:ascii="Times New Roman" w:hAnsi="Times New Roman" w:eastAsia="宋体" w:cs="Calibri"/>
          <w:color w:val="auto"/>
          <w:kern w:val="2"/>
          <w:sz w:val="24"/>
          <w:szCs w:val="24"/>
          <w:lang w:val="en-US" w:eastAsia="zh-CN" w:bidi="ar-SA"/>
        </w:rPr>
        <w:t>与抛泥区</w:t>
      </w:r>
      <w:r>
        <w:rPr>
          <w:rFonts w:hint="eastAsia" w:cs="宋体"/>
          <w:snapToGrid w:val="0"/>
          <w:color w:val="auto"/>
          <w:kern w:val="0"/>
          <w:sz w:val="24"/>
          <w:szCs w:val="21"/>
          <w:lang w:val="zh-CN" w:eastAsia="zh-CN" w:bidi="ar-SA"/>
        </w:rPr>
        <w:t>（</w:t>
      </w:r>
      <w:r>
        <w:rPr>
          <w:rFonts w:hint="eastAsia" w:cs="宋体"/>
          <w:snapToGrid w:val="0"/>
          <w:color w:val="auto"/>
          <w:kern w:val="0"/>
          <w:sz w:val="24"/>
          <w:szCs w:val="21"/>
          <w:lang w:val="en-US" w:eastAsia="zh-CN" w:bidi="ar-SA"/>
        </w:rPr>
        <w:t>即淤泥干化场</w:t>
      </w:r>
      <w:r>
        <w:rPr>
          <w:rFonts w:hint="eastAsia" w:cs="宋体"/>
          <w:snapToGrid w:val="0"/>
          <w:color w:val="auto"/>
          <w:kern w:val="0"/>
          <w:sz w:val="24"/>
          <w:szCs w:val="21"/>
          <w:lang w:val="zh-CN" w:eastAsia="zh-CN" w:bidi="ar-SA"/>
        </w:rPr>
        <w:t>）</w:t>
      </w:r>
      <w:r>
        <w:rPr>
          <w:rFonts w:hint="eastAsia" w:ascii="Times New Roman" w:hAnsi="Times New Roman" w:eastAsia="宋体" w:cs="Calibri"/>
          <w:color w:val="auto"/>
          <w:kern w:val="2"/>
          <w:sz w:val="24"/>
          <w:szCs w:val="24"/>
          <w:lang w:val="en-US" w:eastAsia="zh-CN" w:bidi="ar-SA"/>
        </w:rPr>
        <w:t>作为本项目临时土方堆场，</w:t>
      </w:r>
      <w:r>
        <w:rPr>
          <w:rFonts w:ascii="Times New Roman" w:hAnsi="Times New Roman" w:eastAsia="宋体" w:cs="Calibri"/>
          <w:color w:val="auto"/>
          <w:kern w:val="2"/>
          <w:sz w:val="24"/>
          <w:szCs w:val="24"/>
          <w:lang w:val="en-US" w:eastAsia="zh-CN" w:bidi="ar-SA"/>
        </w:rPr>
        <w:t>工程土石方平衡及流向表详见表3</w:t>
      </w:r>
      <w:r>
        <w:rPr>
          <w:rFonts w:hint="eastAsia" w:ascii="Times New Roman" w:hAnsi="Times New Roman" w:eastAsia="宋体" w:cs="Calibri"/>
          <w:color w:val="auto"/>
          <w:kern w:val="2"/>
          <w:sz w:val="24"/>
          <w:szCs w:val="24"/>
          <w:lang w:val="en-US" w:eastAsia="zh-CN" w:bidi="ar-SA"/>
        </w:rPr>
        <w:t>.</w:t>
      </w:r>
      <w:r>
        <w:rPr>
          <w:rFonts w:ascii="Times New Roman" w:hAnsi="Times New Roman" w:eastAsia="宋体" w:cs="Calibri"/>
          <w:color w:val="auto"/>
          <w:kern w:val="2"/>
          <w:sz w:val="24"/>
          <w:szCs w:val="24"/>
          <w:lang w:val="en-US" w:eastAsia="zh-CN" w:bidi="ar-SA"/>
        </w:rPr>
        <w:t>2</w:t>
      </w:r>
      <w:r>
        <w:rPr>
          <w:rFonts w:hint="eastAsia" w:ascii="Times New Roman" w:hAnsi="Times New Roman" w:eastAsia="宋体" w:cs="Calibri"/>
          <w:color w:val="auto"/>
          <w:kern w:val="2"/>
          <w:sz w:val="24"/>
          <w:szCs w:val="24"/>
          <w:lang w:val="en-US" w:eastAsia="zh-CN" w:bidi="ar-SA"/>
        </w:rPr>
        <w:t>-</w:t>
      </w:r>
      <w:r>
        <w:rPr>
          <w:rFonts w:ascii="Times New Roman" w:hAnsi="Times New Roman" w:eastAsia="宋体" w:cs="Calibri"/>
          <w:color w:val="auto"/>
          <w:kern w:val="2"/>
          <w:sz w:val="24"/>
          <w:szCs w:val="24"/>
          <w:lang w:val="en-US" w:eastAsia="zh-CN" w:bidi="ar-SA"/>
        </w:rPr>
        <w:t>10。</w:t>
      </w:r>
    </w:p>
    <w:p w14:paraId="51F67948">
      <w:pPr>
        <w:spacing w:line="400" w:lineRule="exact"/>
        <w:ind w:firstLine="0" w:firstLineChars="0"/>
        <w:jc w:val="center"/>
        <w:rPr>
          <w:rFonts w:eastAsia="黑体" w:cs="Times New Roman"/>
          <w:color w:val="auto"/>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040BF30C">
      <w:pPr>
        <w:widowControl w:val="0"/>
        <w:spacing w:line="400" w:lineRule="exact"/>
        <w:ind w:firstLine="0" w:firstLineChars="0"/>
        <w:jc w:val="center"/>
        <w:rPr>
          <w:rFonts w:ascii="Times New Roman" w:hAnsi="Times New Roman" w:eastAsia="黑体" w:cs="Times New Roman"/>
          <w:snapToGrid w:val="0"/>
          <w:color w:val="auto"/>
          <w:kern w:val="0"/>
          <w:sz w:val="24"/>
          <w:szCs w:val="21"/>
          <w:lang w:val="zh-CN" w:eastAsia="zh-CN" w:bidi="ar-SA"/>
        </w:rPr>
      </w:pPr>
      <w:r>
        <w:rPr>
          <w:rFonts w:ascii="Times New Roman" w:hAnsi="Times New Roman" w:eastAsia="黑体" w:cs="Times New Roman"/>
          <w:snapToGrid w:val="0"/>
          <w:color w:val="auto"/>
          <w:kern w:val="0"/>
          <w:sz w:val="24"/>
          <w:szCs w:val="21"/>
          <w:lang w:val="zh-CN" w:eastAsia="zh-CN" w:bidi="ar-SA"/>
        </w:rPr>
        <w:t>表3.2-</w:t>
      </w:r>
      <w:r>
        <w:rPr>
          <w:rFonts w:ascii="Times New Roman" w:hAnsi="Times New Roman" w:eastAsia="黑体" w:cs="Times New Roman"/>
          <w:snapToGrid w:val="0"/>
          <w:color w:val="auto"/>
          <w:kern w:val="0"/>
          <w:sz w:val="24"/>
          <w:szCs w:val="21"/>
          <w:lang w:val="en-US" w:eastAsia="zh-CN" w:bidi="ar-SA"/>
        </w:rPr>
        <w:t>10</w:t>
      </w:r>
      <w:r>
        <w:rPr>
          <w:rFonts w:ascii="Times New Roman" w:hAnsi="Times New Roman" w:eastAsia="黑体" w:cs="Times New Roman"/>
          <w:snapToGrid w:val="0"/>
          <w:color w:val="auto"/>
          <w:kern w:val="0"/>
          <w:sz w:val="24"/>
          <w:szCs w:val="21"/>
          <w:lang w:val="zh-CN" w:eastAsia="zh-CN" w:bidi="ar-SA"/>
        </w:rPr>
        <w:t xml:space="preserve">  码头工程土石方平衡及流向表    单位：万m</w:t>
      </w:r>
      <w:r>
        <w:rPr>
          <w:rFonts w:ascii="Times New Roman" w:hAnsi="Times New Roman" w:eastAsia="黑体" w:cs="Times New Roman"/>
          <w:snapToGrid w:val="0"/>
          <w:color w:val="auto"/>
          <w:kern w:val="0"/>
          <w:sz w:val="24"/>
          <w:szCs w:val="21"/>
          <w:vertAlign w:val="superscript"/>
          <w:lang w:val="zh-CN" w:eastAsia="zh-CN" w:bidi="ar-SA"/>
        </w:rPr>
        <w:t>3</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1759"/>
        <w:gridCol w:w="992"/>
        <w:gridCol w:w="992"/>
        <w:gridCol w:w="1701"/>
        <w:gridCol w:w="992"/>
        <w:gridCol w:w="1276"/>
        <w:gridCol w:w="992"/>
        <w:gridCol w:w="2127"/>
        <w:gridCol w:w="1275"/>
        <w:gridCol w:w="1071"/>
      </w:tblGrid>
      <w:tr w14:paraId="4696EB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2802" w:type="dxa"/>
            <w:gridSpan w:val="2"/>
            <w:vMerge w:val="restart"/>
            <w:noWrap w:val="0"/>
            <w:vAlign w:val="center"/>
          </w:tcPr>
          <w:p w14:paraId="145A2F1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项目分区</w:t>
            </w:r>
          </w:p>
        </w:tc>
        <w:tc>
          <w:tcPr>
            <w:tcW w:w="992" w:type="dxa"/>
            <w:vMerge w:val="restart"/>
            <w:noWrap w:val="0"/>
            <w:vAlign w:val="center"/>
          </w:tcPr>
          <w:p w14:paraId="7E96C8B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挖方</w:t>
            </w:r>
          </w:p>
        </w:tc>
        <w:tc>
          <w:tcPr>
            <w:tcW w:w="2693" w:type="dxa"/>
            <w:gridSpan w:val="2"/>
            <w:noWrap w:val="0"/>
            <w:vAlign w:val="center"/>
          </w:tcPr>
          <w:p w14:paraId="72D784D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填方</w:t>
            </w:r>
          </w:p>
        </w:tc>
        <w:tc>
          <w:tcPr>
            <w:tcW w:w="2268" w:type="dxa"/>
            <w:gridSpan w:val="2"/>
            <w:noWrap w:val="0"/>
            <w:vAlign w:val="center"/>
          </w:tcPr>
          <w:p w14:paraId="21D9718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区间调入</w:t>
            </w:r>
          </w:p>
        </w:tc>
        <w:tc>
          <w:tcPr>
            <w:tcW w:w="3119" w:type="dxa"/>
            <w:gridSpan w:val="2"/>
            <w:noWrap w:val="0"/>
            <w:vAlign w:val="center"/>
          </w:tcPr>
          <w:p w14:paraId="21E64A4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区间调出</w:t>
            </w:r>
          </w:p>
        </w:tc>
        <w:tc>
          <w:tcPr>
            <w:tcW w:w="2346" w:type="dxa"/>
            <w:gridSpan w:val="2"/>
            <w:noWrap w:val="0"/>
            <w:vAlign w:val="center"/>
          </w:tcPr>
          <w:p w14:paraId="20ABCBE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弃方</w:t>
            </w:r>
          </w:p>
        </w:tc>
      </w:tr>
      <w:tr w14:paraId="20C5C8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2802" w:type="dxa"/>
            <w:gridSpan w:val="2"/>
            <w:vMerge w:val="continue"/>
            <w:noWrap w:val="0"/>
            <w:vAlign w:val="center"/>
          </w:tcPr>
          <w:p w14:paraId="4B08833C">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auto"/>
                <w:kern w:val="0"/>
              </w:rPr>
            </w:pPr>
          </w:p>
        </w:tc>
        <w:tc>
          <w:tcPr>
            <w:tcW w:w="992" w:type="dxa"/>
            <w:vMerge w:val="continue"/>
            <w:noWrap w:val="0"/>
            <w:vAlign w:val="center"/>
          </w:tcPr>
          <w:p w14:paraId="1479F558">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auto"/>
                <w:kern w:val="0"/>
              </w:rPr>
            </w:pPr>
          </w:p>
        </w:tc>
        <w:tc>
          <w:tcPr>
            <w:tcW w:w="992" w:type="dxa"/>
            <w:noWrap w:val="0"/>
            <w:vAlign w:val="center"/>
          </w:tcPr>
          <w:p w14:paraId="35ED324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rPr>
            </w:pPr>
            <w:r>
              <w:rPr>
                <w:rFonts w:hint="eastAsia" w:ascii="Times New Roman" w:hAnsi="Times New Roman" w:eastAsia="宋体" w:cs="Times New Roman"/>
                <w:b/>
                <w:bCs/>
                <w:color w:val="auto"/>
                <w:kern w:val="0"/>
              </w:rPr>
              <w:t>数量</w:t>
            </w:r>
          </w:p>
        </w:tc>
        <w:tc>
          <w:tcPr>
            <w:tcW w:w="1701" w:type="dxa"/>
            <w:noWrap w:val="0"/>
            <w:vAlign w:val="center"/>
          </w:tcPr>
          <w:p w14:paraId="2F7E2E18">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b/>
                <w:bCs/>
                <w:color w:val="auto"/>
                <w:kern w:val="0"/>
              </w:rPr>
            </w:pPr>
            <w:r>
              <w:rPr>
                <w:rFonts w:hint="eastAsia" w:ascii="Times New Roman" w:hAnsi="Times New Roman" w:eastAsia="宋体" w:cs="Times New Roman"/>
                <w:b/>
                <w:bCs/>
                <w:color w:val="auto"/>
                <w:kern w:val="0"/>
              </w:rPr>
              <w:t>去向</w:t>
            </w:r>
          </w:p>
        </w:tc>
        <w:tc>
          <w:tcPr>
            <w:tcW w:w="992" w:type="dxa"/>
            <w:noWrap w:val="0"/>
            <w:vAlign w:val="center"/>
          </w:tcPr>
          <w:p w14:paraId="06CF30C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数量</w:t>
            </w:r>
          </w:p>
        </w:tc>
        <w:tc>
          <w:tcPr>
            <w:tcW w:w="1276" w:type="dxa"/>
            <w:noWrap w:val="0"/>
            <w:vAlign w:val="center"/>
          </w:tcPr>
          <w:p w14:paraId="1ED1D0A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来源</w:t>
            </w:r>
          </w:p>
        </w:tc>
        <w:tc>
          <w:tcPr>
            <w:tcW w:w="992" w:type="dxa"/>
            <w:noWrap w:val="0"/>
            <w:vAlign w:val="center"/>
          </w:tcPr>
          <w:p w14:paraId="36FFBDA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数量</w:t>
            </w:r>
          </w:p>
        </w:tc>
        <w:tc>
          <w:tcPr>
            <w:tcW w:w="2127" w:type="dxa"/>
            <w:noWrap w:val="0"/>
            <w:vAlign w:val="center"/>
          </w:tcPr>
          <w:p w14:paraId="45593F2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去向</w:t>
            </w:r>
          </w:p>
        </w:tc>
        <w:tc>
          <w:tcPr>
            <w:tcW w:w="1275" w:type="dxa"/>
            <w:noWrap w:val="0"/>
            <w:vAlign w:val="center"/>
          </w:tcPr>
          <w:p w14:paraId="32368EF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数量</w:t>
            </w:r>
          </w:p>
        </w:tc>
        <w:tc>
          <w:tcPr>
            <w:tcW w:w="1071" w:type="dxa"/>
            <w:noWrap w:val="0"/>
            <w:vAlign w:val="center"/>
          </w:tcPr>
          <w:p w14:paraId="2D4EDBA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去向</w:t>
            </w:r>
          </w:p>
        </w:tc>
      </w:tr>
      <w:tr w14:paraId="151B87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043" w:type="dxa"/>
            <w:vMerge w:val="restart"/>
            <w:noWrap w:val="0"/>
            <w:vAlign w:val="center"/>
          </w:tcPr>
          <w:p w14:paraId="777F024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陆域</w:t>
            </w:r>
          </w:p>
        </w:tc>
        <w:tc>
          <w:tcPr>
            <w:tcW w:w="1759" w:type="dxa"/>
            <w:noWrap w:val="0"/>
            <w:vAlign w:val="center"/>
          </w:tcPr>
          <w:p w14:paraId="64B3890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地基</w:t>
            </w:r>
          </w:p>
        </w:tc>
        <w:tc>
          <w:tcPr>
            <w:tcW w:w="992" w:type="dxa"/>
            <w:noWrap w:val="0"/>
            <w:vAlign w:val="center"/>
          </w:tcPr>
          <w:p w14:paraId="005A022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11904</w:t>
            </w:r>
          </w:p>
        </w:tc>
        <w:tc>
          <w:tcPr>
            <w:tcW w:w="992" w:type="dxa"/>
            <w:noWrap w:val="0"/>
            <w:vAlign w:val="center"/>
          </w:tcPr>
          <w:p w14:paraId="4632772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9704</w:t>
            </w:r>
          </w:p>
        </w:tc>
        <w:tc>
          <w:tcPr>
            <w:tcW w:w="1701" w:type="dxa"/>
            <w:noWrap w:val="0"/>
            <w:vAlign w:val="center"/>
          </w:tcPr>
          <w:p w14:paraId="0DB88D8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地基</w:t>
            </w:r>
          </w:p>
        </w:tc>
        <w:tc>
          <w:tcPr>
            <w:tcW w:w="992" w:type="dxa"/>
            <w:noWrap w:val="0"/>
            <w:vAlign w:val="center"/>
          </w:tcPr>
          <w:p w14:paraId="0A59EC6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276" w:type="dxa"/>
            <w:noWrap w:val="0"/>
            <w:vAlign w:val="center"/>
          </w:tcPr>
          <w:p w14:paraId="3015903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992" w:type="dxa"/>
            <w:noWrap w:val="0"/>
            <w:vAlign w:val="center"/>
          </w:tcPr>
          <w:p w14:paraId="23ED298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2200</w:t>
            </w:r>
          </w:p>
        </w:tc>
        <w:tc>
          <w:tcPr>
            <w:tcW w:w="2127" w:type="dxa"/>
            <w:noWrap w:val="0"/>
            <w:vAlign w:val="center"/>
          </w:tcPr>
          <w:p w14:paraId="3C22593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进港道路及路面拓宽</w:t>
            </w:r>
          </w:p>
        </w:tc>
        <w:tc>
          <w:tcPr>
            <w:tcW w:w="1275" w:type="dxa"/>
            <w:noWrap w:val="0"/>
            <w:vAlign w:val="center"/>
          </w:tcPr>
          <w:p w14:paraId="27E5912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071" w:type="dxa"/>
            <w:noWrap w:val="0"/>
            <w:vAlign w:val="center"/>
          </w:tcPr>
          <w:p w14:paraId="6D0D26E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r>
      <w:tr w14:paraId="58280A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043" w:type="dxa"/>
            <w:vMerge w:val="continue"/>
            <w:noWrap w:val="0"/>
            <w:vAlign w:val="center"/>
          </w:tcPr>
          <w:p w14:paraId="3E476B2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p>
        </w:tc>
        <w:tc>
          <w:tcPr>
            <w:tcW w:w="1759" w:type="dxa"/>
            <w:vMerge w:val="restart"/>
            <w:noWrap w:val="0"/>
            <w:vAlign w:val="center"/>
          </w:tcPr>
          <w:p w14:paraId="17E7186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进港道路及路面拓宽</w:t>
            </w:r>
          </w:p>
        </w:tc>
        <w:tc>
          <w:tcPr>
            <w:tcW w:w="992" w:type="dxa"/>
            <w:vMerge w:val="restart"/>
            <w:noWrap w:val="0"/>
            <w:vAlign w:val="center"/>
          </w:tcPr>
          <w:p w14:paraId="77EEFB5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9898</w:t>
            </w:r>
          </w:p>
        </w:tc>
        <w:tc>
          <w:tcPr>
            <w:tcW w:w="992" w:type="dxa"/>
            <w:vMerge w:val="restart"/>
            <w:noWrap w:val="0"/>
            <w:vAlign w:val="center"/>
          </w:tcPr>
          <w:p w14:paraId="4D54A03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lang w:val="en-US" w:eastAsia="zh-CN"/>
              </w:rPr>
            </w:pPr>
            <w:r>
              <w:rPr>
                <w:rFonts w:hint="eastAsia" w:cs="Times New Roman"/>
                <w:color w:val="auto"/>
                <w:kern w:val="0"/>
                <w:lang w:val="en-US" w:eastAsia="zh-CN"/>
              </w:rPr>
              <w:t>64733</w:t>
            </w:r>
          </w:p>
        </w:tc>
        <w:tc>
          <w:tcPr>
            <w:tcW w:w="1701" w:type="dxa"/>
            <w:vMerge w:val="restart"/>
            <w:noWrap w:val="0"/>
            <w:vAlign w:val="center"/>
          </w:tcPr>
          <w:p w14:paraId="41FAF90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进港道路及路面拓宽</w:t>
            </w:r>
          </w:p>
        </w:tc>
        <w:tc>
          <w:tcPr>
            <w:tcW w:w="992" w:type="dxa"/>
            <w:noWrap w:val="0"/>
            <w:vAlign w:val="center"/>
          </w:tcPr>
          <w:p w14:paraId="60B0F1B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2200</w:t>
            </w:r>
          </w:p>
        </w:tc>
        <w:tc>
          <w:tcPr>
            <w:tcW w:w="1276" w:type="dxa"/>
            <w:noWrap w:val="0"/>
            <w:vAlign w:val="center"/>
          </w:tcPr>
          <w:p w14:paraId="50446DD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地基</w:t>
            </w:r>
          </w:p>
        </w:tc>
        <w:tc>
          <w:tcPr>
            <w:tcW w:w="992" w:type="dxa"/>
            <w:noWrap w:val="0"/>
            <w:vAlign w:val="center"/>
          </w:tcPr>
          <w:p w14:paraId="1271E8D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2127" w:type="dxa"/>
            <w:noWrap w:val="0"/>
            <w:vAlign w:val="center"/>
          </w:tcPr>
          <w:p w14:paraId="4165231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275" w:type="dxa"/>
            <w:noWrap w:val="0"/>
            <w:vAlign w:val="center"/>
          </w:tcPr>
          <w:p w14:paraId="2151F76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071" w:type="dxa"/>
            <w:noWrap w:val="0"/>
            <w:vAlign w:val="center"/>
          </w:tcPr>
          <w:p w14:paraId="3A6D5F4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r>
      <w:tr w14:paraId="13BB93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043" w:type="dxa"/>
            <w:vMerge w:val="continue"/>
            <w:noWrap w:val="0"/>
            <w:vAlign w:val="center"/>
          </w:tcPr>
          <w:p w14:paraId="1AE9A635">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1759" w:type="dxa"/>
            <w:vMerge w:val="continue"/>
            <w:noWrap w:val="0"/>
            <w:vAlign w:val="center"/>
          </w:tcPr>
          <w:p w14:paraId="75FE197D">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992" w:type="dxa"/>
            <w:vMerge w:val="continue"/>
            <w:noWrap w:val="0"/>
            <w:vAlign w:val="center"/>
          </w:tcPr>
          <w:p w14:paraId="1F716A52">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992" w:type="dxa"/>
            <w:vMerge w:val="continue"/>
            <w:noWrap w:val="0"/>
            <w:vAlign w:val="center"/>
          </w:tcPr>
          <w:p w14:paraId="36DEA245">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1701" w:type="dxa"/>
            <w:vMerge w:val="continue"/>
            <w:noWrap w:val="0"/>
            <w:vAlign w:val="center"/>
          </w:tcPr>
          <w:p w14:paraId="1E52C796">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992" w:type="dxa"/>
            <w:noWrap w:val="0"/>
            <w:vAlign w:val="center"/>
          </w:tcPr>
          <w:p w14:paraId="2F39B99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lang w:val="en-US" w:eastAsia="zh-CN"/>
              </w:rPr>
            </w:pPr>
            <w:r>
              <w:rPr>
                <w:rFonts w:hint="eastAsia" w:eastAsia="等线" w:cs="Times New Roman"/>
                <w:color w:val="auto"/>
                <w:lang w:val="en-US" w:eastAsia="zh-CN"/>
              </w:rPr>
              <w:t>45153</w:t>
            </w:r>
          </w:p>
        </w:tc>
        <w:tc>
          <w:tcPr>
            <w:tcW w:w="1276" w:type="dxa"/>
            <w:noWrap w:val="0"/>
            <w:vAlign w:val="center"/>
          </w:tcPr>
          <w:p w14:paraId="339A205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lang w:val="en-US" w:eastAsia="zh-CN"/>
              </w:rPr>
            </w:pPr>
            <w:r>
              <w:rPr>
                <w:rFonts w:hint="eastAsia" w:ascii="Times New Roman" w:hAnsi="Times New Roman" w:eastAsia="宋体" w:cs="Times New Roman"/>
                <w:color w:val="auto"/>
              </w:rPr>
              <w:t>港池开挖</w:t>
            </w:r>
            <w:r>
              <w:rPr>
                <w:rFonts w:hint="eastAsia" w:cs="Times New Roman"/>
                <w:color w:val="auto"/>
                <w:lang w:eastAsia="zh-CN"/>
              </w:rPr>
              <w:t>、</w:t>
            </w:r>
            <w:r>
              <w:rPr>
                <w:rFonts w:hint="eastAsia" w:cs="Times New Roman"/>
                <w:color w:val="auto"/>
                <w:lang w:val="en-US" w:eastAsia="zh-CN"/>
              </w:rPr>
              <w:t>疏浚</w:t>
            </w:r>
          </w:p>
        </w:tc>
        <w:tc>
          <w:tcPr>
            <w:tcW w:w="992" w:type="dxa"/>
            <w:noWrap w:val="0"/>
            <w:vAlign w:val="center"/>
          </w:tcPr>
          <w:p w14:paraId="6800606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2127" w:type="dxa"/>
            <w:noWrap w:val="0"/>
            <w:vAlign w:val="center"/>
          </w:tcPr>
          <w:p w14:paraId="64378CC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275" w:type="dxa"/>
            <w:noWrap w:val="0"/>
            <w:vAlign w:val="center"/>
          </w:tcPr>
          <w:p w14:paraId="56BDC27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071" w:type="dxa"/>
            <w:noWrap w:val="0"/>
            <w:vAlign w:val="center"/>
          </w:tcPr>
          <w:p w14:paraId="1133C00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r>
      <w:tr w14:paraId="0E7A1B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043" w:type="dxa"/>
            <w:vMerge w:val="continue"/>
            <w:noWrap w:val="0"/>
            <w:vAlign w:val="center"/>
          </w:tcPr>
          <w:p w14:paraId="7C264E1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1759" w:type="dxa"/>
            <w:vMerge w:val="continue"/>
            <w:noWrap w:val="0"/>
            <w:vAlign w:val="center"/>
          </w:tcPr>
          <w:p w14:paraId="22E829B7">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992" w:type="dxa"/>
            <w:vMerge w:val="continue"/>
            <w:noWrap w:val="0"/>
            <w:vAlign w:val="center"/>
          </w:tcPr>
          <w:p w14:paraId="0D90C44B">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992" w:type="dxa"/>
            <w:vMerge w:val="continue"/>
            <w:noWrap w:val="0"/>
            <w:vAlign w:val="center"/>
          </w:tcPr>
          <w:p w14:paraId="3269CE71">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1701" w:type="dxa"/>
            <w:vMerge w:val="continue"/>
            <w:noWrap w:val="0"/>
            <w:vAlign w:val="center"/>
          </w:tcPr>
          <w:p w14:paraId="0C0183EA">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992" w:type="dxa"/>
            <w:noWrap w:val="0"/>
            <w:vAlign w:val="center"/>
          </w:tcPr>
          <w:p w14:paraId="40438548">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rPr>
              <w:t>5252</w:t>
            </w:r>
          </w:p>
        </w:tc>
        <w:tc>
          <w:tcPr>
            <w:tcW w:w="1276" w:type="dxa"/>
            <w:noWrap w:val="0"/>
            <w:vAlign w:val="center"/>
          </w:tcPr>
          <w:p w14:paraId="7A5DC55F">
            <w:pPr>
              <w:keepNext w:val="0"/>
              <w:keepLines w:val="0"/>
              <w:widowControl/>
              <w:suppressLineNumbers w:val="0"/>
              <w:spacing w:before="0" w:beforeAutospacing="0" w:after="0" w:afterAutospacing="0"/>
              <w:ind w:left="0" w:leftChars="0" w:right="0" w:rightChars="0"/>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rPr>
              <w:t>码头桩基</w:t>
            </w:r>
          </w:p>
        </w:tc>
        <w:tc>
          <w:tcPr>
            <w:tcW w:w="992" w:type="dxa"/>
            <w:noWrap w:val="0"/>
            <w:vAlign w:val="center"/>
          </w:tcPr>
          <w:p w14:paraId="5F81358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p>
        </w:tc>
        <w:tc>
          <w:tcPr>
            <w:tcW w:w="2127" w:type="dxa"/>
            <w:noWrap w:val="0"/>
            <w:vAlign w:val="center"/>
          </w:tcPr>
          <w:p w14:paraId="6850DFD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p>
        </w:tc>
        <w:tc>
          <w:tcPr>
            <w:tcW w:w="1275" w:type="dxa"/>
            <w:noWrap w:val="0"/>
            <w:vAlign w:val="center"/>
          </w:tcPr>
          <w:p w14:paraId="44945C1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p>
        </w:tc>
        <w:tc>
          <w:tcPr>
            <w:tcW w:w="1071" w:type="dxa"/>
            <w:noWrap w:val="0"/>
            <w:vAlign w:val="center"/>
          </w:tcPr>
          <w:p w14:paraId="665C164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p>
        </w:tc>
      </w:tr>
      <w:tr w14:paraId="3B94FA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043" w:type="dxa"/>
            <w:vMerge w:val="continue"/>
            <w:noWrap w:val="0"/>
            <w:vAlign w:val="center"/>
          </w:tcPr>
          <w:p w14:paraId="4D729E56">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1759" w:type="dxa"/>
            <w:vMerge w:val="continue"/>
            <w:noWrap w:val="0"/>
            <w:vAlign w:val="center"/>
          </w:tcPr>
          <w:p w14:paraId="2429C22D">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992" w:type="dxa"/>
            <w:vMerge w:val="continue"/>
            <w:noWrap w:val="0"/>
            <w:vAlign w:val="center"/>
          </w:tcPr>
          <w:p w14:paraId="4B2DA4E5">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992" w:type="dxa"/>
            <w:vMerge w:val="continue"/>
            <w:noWrap w:val="0"/>
            <w:vAlign w:val="center"/>
          </w:tcPr>
          <w:p w14:paraId="677CF8F5">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p>
        </w:tc>
        <w:tc>
          <w:tcPr>
            <w:tcW w:w="1701" w:type="dxa"/>
            <w:vMerge w:val="continue"/>
            <w:noWrap w:val="0"/>
            <w:vAlign w:val="center"/>
          </w:tcPr>
          <w:p w14:paraId="10EF8EF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p>
        </w:tc>
        <w:tc>
          <w:tcPr>
            <w:tcW w:w="992" w:type="dxa"/>
            <w:noWrap w:val="0"/>
            <w:vAlign w:val="center"/>
          </w:tcPr>
          <w:p w14:paraId="161A3E3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lang w:val="en-US" w:eastAsia="zh-CN"/>
              </w:rPr>
            </w:pPr>
            <w:r>
              <w:rPr>
                <w:rFonts w:hint="eastAsia" w:cs="Times New Roman"/>
                <w:color w:val="auto"/>
                <w:kern w:val="0"/>
                <w:lang w:val="en-US" w:eastAsia="zh-CN"/>
              </w:rPr>
              <w:t>2230</w:t>
            </w:r>
          </w:p>
        </w:tc>
        <w:tc>
          <w:tcPr>
            <w:tcW w:w="1276" w:type="dxa"/>
            <w:noWrap w:val="0"/>
            <w:vAlign w:val="center"/>
          </w:tcPr>
          <w:p w14:paraId="7BF04817">
            <w:pPr>
              <w:keepNext w:val="0"/>
              <w:keepLines w:val="0"/>
              <w:widowControl/>
              <w:suppressLineNumbers w:val="0"/>
              <w:spacing w:before="0" w:beforeAutospacing="0" w:after="0" w:afterAutospacing="0"/>
              <w:ind w:left="0" w:right="0"/>
              <w:jc w:val="center"/>
              <w:rPr>
                <w:rFonts w:hint="eastAsia" w:ascii="Times New Roman" w:hAnsi="Times New Roman" w:eastAsia="宋体" w:cs="Times New Roman"/>
                <w:color w:val="auto"/>
                <w:kern w:val="0"/>
                <w:lang w:val="en-US" w:eastAsia="zh-CN"/>
              </w:rPr>
            </w:pPr>
            <w:r>
              <w:rPr>
                <w:rFonts w:hint="eastAsia" w:cs="Times New Roman"/>
                <w:color w:val="auto"/>
                <w:kern w:val="0"/>
                <w:lang w:val="en-US" w:eastAsia="zh-CN"/>
              </w:rPr>
              <w:t>外购土方</w:t>
            </w:r>
          </w:p>
        </w:tc>
        <w:tc>
          <w:tcPr>
            <w:tcW w:w="992" w:type="dxa"/>
            <w:noWrap w:val="0"/>
            <w:vAlign w:val="center"/>
          </w:tcPr>
          <w:p w14:paraId="4DA0C71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2127" w:type="dxa"/>
            <w:noWrap w:val="0"/>
            <w:vAlign w:val="center"/>
          </w:tcPr>
          <w:p w14:paraId="727B8CD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275" w:type="dxa"/>
            <w:noWrap w:val="0"/>
            <w:vAlign w:val="center"/>
          </w:tcPr>
          <w:p w14:paraId="705A8C7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071" w:type="dxa"/>
            <w:noWrap w:val="0"/>
            <w:vAlign w:val="center"/>
          </w:tcPr>
          <w:p w14:paraId="3D9CBD6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r>
      <w:tr w14:paraId="5F9095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043" w:type="dxa"/>
            <w:vMerge w:val="continue"/>
            <w:noWrap w:val="0"/>
            <w:vAlign w:val="center"/>
          </w:tcPr>
          <w:p w14:paraId="00BA715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p>
        </w:tc>
        <w:tc>
          <w:tcPr>
            <w:tcW w:w="1759" w:type="dxa"/>
            <w:noWrap w:val="0"/>
            <w:vAlign w:val="center"/>
          </w:tcPr>
          <w:p w14:paraId="1D985E8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港池岸坡及上下游连接段防护</w:t>
            </w:r>
          </w:p>
        </w:tc>
        <w:tc>
          <w:tcPr>
            <w:tcW w:w="992" w:type="dxa"/>
            <w:noWrap w:val="0"/>
            <w:vAlign w:val="center"/>
          </w:tcPr>
          <w:p w14:paraId="3EAEC45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5708</w:t>
            </w:r>
          </w:p>
        </w:tc>
        <w:tc>
          <w:tcPr>
            <w:tcW w:w="992" w:type="dxa"/>
            <w:noWrap w:val="0"/>
            <w:vAlign w:val="center"/>
          </w:tcPr>
          <w:p w14:paraId="673D147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9615</w:t>
            </w:r>
          </w:p>
        </w:tc>
        <w:tc>
          <w:tcPr>
            <w:tcW w:w="1701" w:type="dxa"/>
            <w:noWrap w:val="0"/>
            <w:vAlign w:val="center"/>
          </w:tcPr>
          <w:p w14:paraId="72F4906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港池岸坡及上下游连接段防护</w:t>
            </w:r>
          </w:p>
        </w:tc>
        <w:tc>
          <w:tcPr>
            <w:tcW w:w="992" w:type="dxa"/>
            <w:noWrap w:val="0"/>
            <w:vAlign w:val="center"/>
          </w:tcPr>
          <w:p w14:paraId="5D220B0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3907</w:t>
            </w:r>
          </w:p>
        </w:tc>
        <w:tc>
          <w:tcPr>
            <w:tcW w:w="1276" w:type="dxa"/>
            <w:noWrap w:val="0"/>
            <w:vAlign w:val="center"/>
          </w:tcPr>
          <w:p w14:paraId="1983DF4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rPr>
              <w:t>港池开挖</w:t>
            </w:r>
            <w:r>
              <w:rPr>
                <w:rFonts w:hint="eastAsia" w:cs="Times New Roman"/>
                <w:color w:val="auto"/>
                <w:lang w:eastAsia="zh-CN"/>
              </w:rPr>
              <w:t>、</w:t>
            </w:r>
            <w:r>
              <w:rPr>
                <w:rFonts w:hint="eastAsia" w:cs="Times New Roman"/>
                <w:color w:val="auto"/>
                <w:lang w:val="en-US" w:eastAsia="zh-CN"/>
              </w:rPr>
              <w:t>疏浚</w:t>
            </w:r>
          </w:p>
        </w:tc>
        <w:tc>
          <w:tcPr>
            <w:tcW w:w="992" w:type="dxa"/>
            <w:noWrap w:val="0"/>
            <w:vAlign w:val="center"/>
          </w:tcPr>
          <w:p w14:paraId="358C5AA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2127" w:type="dxa"/>
            <w:noWrap w:val="0"/>
            <w:vAlign w:val="center"/>
          </w:tcPr>
          <w:p w14:paraId="0FB07A6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275" w:type="dxa"/>
            <w:noWrap w:val="0"/>
            <w:vAlign w:val="center"/>
          </w:tcPr>
          <w:p w14:paraId="75A1AC9C">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071" w:type="dxa"/>
            <w:noWrap w:val="0"/>
            <w:vAlign w:val="center"/>
          </w:tcPr>
          <w:p w14:paraId="2BE0564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r>
      <w:tr w14:paraId="4F90E6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043" w:type="dxa"/>
            <w:vMerge w:val="restart"/>
            <w:noWrap w:val="0"/>
            <w:vAlign w:val="center"/>
          </w:tcPr>
          <w:p w14:paraId="0899BD1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水域</w:t>
            </w:r>
          </w:p>
        </w:tc>
        <w:tc>
          <w:tcPr>
            <w:tcW w:w="1759" w:type="dxa"/>
            <w:noWrap w:val="0"/>
            <w:vAlign w:val="center"/>
          </w:tcPr>
          <w:p w14:paraId="29FBBFC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码头桩基</w:t>
            </w:r>
          </w:p>
        </w:tc>
        <w:tc>
          <w:tcPr>
            <w:tcW w:w="992" w:type="dxa"/>
            <w:noWrap w:val="0"/>
            <w:vAlign w:val="center"/>
          </w:tcPr>
          <w:p w14:paraId="362EC33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5252</w:t>
            </w:r>
          </w:p>
        </w:tc>
        <w:tc>
          <w:tcPr>
            <w:tcW w:w="992" w:type="dxa"/>
            <w:noWrap w:val="0"/>
            <w:vAlign w:val="center"/>
          </w:tcPr>
          <w:p w14:paraId="58610CF4">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701" w:type="dxa"/>
            <w:noWrap w:val="0"/>
            <w:vAlign w:val="center"/>
          </w:tcPr>
          <w:p w14:paraId="7B1AC5C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992" w:type="dxa"/>
            <w:noWrap w:val="0"/>
            <w:vAlign w:val="center"/>
          </w:tcPr>
          <w:p w14:paraId="2001834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276" w:type="dxa"/>
            <w:noWrap w:val="0"/>
            <w:vAlign w:val="center"/>
          </w:tcPr>
          <w:p w14:paraId="3D2B55C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992" w:type="dxa"/>
            <w:noWrap w:val="0"/>
            <w:vAlign w:val="center"/>
          </w:tcPr>
          <w:p w14:paraId="3400BF3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等线" w:cs="Times New Roman"/>
                <w:color w:val="auto"/>
              </w:rPr>
              <w:t>5252</w:t>
            </w:r>
          </w:p>
        </w:tc>
        <w:tc>
          <w:tcPr>
            <w:tcW w:w="2127" w:type="dxa"/>
            <w:noWrap w:val="0"/>
            <w:vAlign w:val="center"/>
          </w:tcPr>
          <w:p w14:paraId="7C6A9E4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rPr>
              <w:t>进港道路及路面拓宽</w:t>
            </w:r>
          </w:p>
        </w:tc>
        <w:tc>
          <w:tcPr>
            <w:tcW w:w="1275" w:type="dxa"/>
            <w:noWrap w:val="0"/>
            <w:vAlign w:val="center"/>
          </w:tcPr>
          <w:p w14:paraId="2F42EA3B">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071" w:type="dxa"/>
            <w:noWrap w:val="0"/>
            <w:vAlign w:val="center"/>
          </w:tcPr>
          <w:p w14:paraId="452C3FB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r>
      <w:tr w14:paraId="4E89C3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043" w:type="dxa"/>
            <w:vMerge w:val="continue"/>
            <w:noWrap w:val="0"/>
            <w:vAlign w:val="center"/>
          </w:tcPr>
          <w:p w14:paraId="6B6B18F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p>
        </w:tc>
        <w:tc>
          <w:tcPr>
            <w:tcW w:w="1759" w:type="dxa"/>
            <w:vMerge w:val="restart"/>
            <w:noWrap w:val="0"/>
            <w:vAlign w:val="center"/>
          </w:tcPr>
          <w:p w14:paraId="31F76F8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lang w:val="en-US" w:eastAsia="zh-CN"/>
              </w:rPr>
            </w:pPr>
            <w:r>
              <w:rPr>
                <w:rFonts w:hint="eastAsia" w:ascii="Times New Roman" w:hAnsi="Times New Roman" w:eastAsia="宋体" w:cs="Times New Roman"/>
                <w:color w:val="auto"/>
                <w:kern w:val="0"/>
              </w:rPr>
              <w:t>港池开挖</w:t>
            </w:r>
            <w:r>
              <w:rPr>
                <w:rFonts w:hint="eastAsia" w:cs="Times New Roman"/>
                <w:color w:val="auto"/>
                <w:kern w:val="0"/>
                <w:lang w:eastAsia="zh-CN"/>
              </w:rPr>
              <w:t>、</w:t>
            </w:r>
            <w:r>
              <w:rPr>
                <w:rFonts w:hint="eastAsia" w:cs="Times New Roman"/>
                <w:color w:val="auto"/>
                <w:kern w:val="0"/>
                <w:lang w:val="en-US" w:eastAsia="zh-CN"/>
              </w:rPr>
              <w:t>疏浚</w:t>
            </w:r>
          </w:p>
        </w:tc>
        <w:tc>
          <w:tcPr>
            <w:tcW w:w="992" w:type="dxa"/>
            <w:vMerge w:val="restart"/>
            <w:noWrap w:val="0"/>
            <w:vAlign w:val="center"/>
          </w:tcPr>
          <w:p w14:paraId="7063F04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49060</w:t>
            </w:r>
          </w:p>
        </w:tc>
        <w:tc>
          <w:tcPr>
            <w:tcW w:w="992" w:type="dxa"/>
            <w:vMerge w:val="restart"/>
            <w:noWrap w:val="0"/>
            <w:vAlign w:val="center"/>
          </w:tcPr>
          <w:p w14:paraId="0DFE7A45">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701" w:type="dxa"/>
            <w:vMerge w:val="restart"/>
            <w:noWrap w:val="0"/>
            <w:vAlign w:val="center"/>
          </w:tcPr>
          <w:p w14:paraId="21A1B582">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992" w:type="dxa"/>
            <w:noWrap w:val="0"/>
            <w:vAlign w:val="center"/>
          </w:tcPr>
          <w:p w14:paraId="5C26B6B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276" w:type="dxa"/>
            <w:noWrap w:val="0"/>
            <w:vAlign w:val="center"/>
          </w:tcPr>
          <w:p w14:paraId="6D87B2D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992" w:type="dxa"/>
            <w:noWrap w:val="0"/>
            <w:vAlign w:val="center"/>
          </w:tcPr>
          <w:p w14:paraId="01365A9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lang w:val="en-US" w:eastAsia="zh-CN"/>
              </w:rPr>
            </w:pPr>
            <w:r>
              <w:rPr>
                <w:rFonts w:hint="eastAsia" w:eastAsia="等线" w:cs="Times New Roman"/>
                <w:color w:val="auto"/>
                <w:lang w:val="en-US" w:eastAsia="zh-CN"/>
              </w:rPr>
              <w:t>45153</w:t>
            </w:r>
          </w:p>
        </w:tc>
        <w:tc>
          <w:tcPr>
            <w:tcW w:w="2127" w:type="dxa"/>
            <w:noWrap w:val="0"/>
            <w:vAlign w:val="center"/>
          </w:tcPr>
          <w:p w14:paraId="08EAA2B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rPr>
              <w:t>进港道路及路面拓宽</w:t>
            </w:r>
          </w:p>
        </w:tc>
        <w:tc>
          <w:tcPr>
            <w:tcW w:w="1275" w:type="dxa"/>
            <w:noWrap w:val="0"/>
            <w:vAlign w:val="center"/>
          </w:tcPr>
          <w:p w14:paraId="4729671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071" w:type="dxa"/>
            <w:noWrap w:val="0"/>
            <w:vAlign w:val="center"/>
          </w:tcPr>
          <w:p w14:paraId="5C68D28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r>
      <w:tr w14:paraId="4EF013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1043" w:type="dxa"/>
            <w:vMerge w:val="continue"/>
            <w:noWrap w:val="0"/>
            <w:vAlign w:val="center"/>
          </w:tcPr>
          <w:p w14:paraId="0B25AA8D">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1759" w:type="dxa"/>
            <w:vMerge w:val="continue"/>
            <w:noWrap w:val="0"/>
            <w:vAlign w:val="center"/>
          </w:tcPr>
          <w:p w14:paraId="5A375325">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992" w:type="dxa"/>
            <w:vMerge w:val="continue"/>
            <w:noWrap w:val="0"/>
            <w:vAlign w:val="center"/>
          </w:tcPr>
          <w:p w14:paraId="2FB96747">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992" w:type="dxa"/>
            <w:vMerge w:val="continue"/>
            <w:noWrap w:val="0"/>
            <w:vAlign w:val="center"/>
          </w:tcPr>
          <w:p w14:paraId="774BE999">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1701" w:type="dxa"/>
            <w:vMerge w:val="continue"/>
            <w:noWrap w:val="0"/>
            <w:vAlign w:val="center"/>
          </w:tcPr>
          <w:p w14:paraId="6212074E">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auto"/>
                <w:kern w:val="0"/>
              </w:rPr>
            </w:pPr>
          </w:p>
        </w:tc>
        <w:tc>
          <w:tcPr>
            <w:tcW w:w="992" w:type="dxa"/>
            <w:noWrap w:val="0"/>
            <w:vAlign w:val="center"/>
          </w:tcPr>
          <w:p w14:paraId="71E7010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276" w:type="dxa"/>
            <w:noWrap w:val="0"/>
            <w:vAlign w:val="center"/>
          </w:tcPr>
          <w:p w14:paraId="773EEF6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992" w:type="dxa"/>
            <w:noWrap w:val="0"/>
            <w:vAlign w:val="center"/>
          </w:tcPr>
          <w:p w14:paraId="5653DC3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等线" w:cs="Times New Roman"/>
                <w:color w:val="auto"/>
              </w:rPr>
              <w:t>3907</w:t>
            </w:r>
          </w:p>
        </w:tc>
        <w:tc>
          <w:tcPr>
            <w:tcW w:w="2127" w:type="dxa"/>
            <w:noWrap w:val="0"/>
            <w:vAlign w:val="center"/>
          </w:tcPr>
          <w:p w14:paraId="64279E2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rPr>
              <w:t>港池岸坡及上下游连接段防护</w:t>
            </w:r>
          </w:p>
        </w:tc>
        <w:tc>
          <w:tcPr>
            <w:tcW w:w="1275" w:type="dxa"/>
            <w:noWrap w:val="0"/>
            <w:vAlign w:val="center"/>
          </w:tcPr>
          <w:p w14:paraId="5020E3E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071" w:type="dxa"/>
            <w:noWrap w:val="0"/>
            <w:vAlign w:val="center"/>
          </w:tcPr>
          <w:p w14:paraId="4FC80BF9">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r>
      <w:tr w14:paraId="3A0665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2802" w:type="dxa"/>
            <w:gridSpan w:val="2"/>
            <w:noWrap w:val="0"/>
            <w:vAlign w:val="center"/>
          </w:tcPr>
          <w:p w14:paraId="1EC1DDC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合计</w:t>
            </w:r>
          </w:p>
        </w:tc>
        <w:tc>
          <w:tcPr>
            <w:tcW w:w="992" w:type="dxa"/>
            <w:noWrap w:val="0"/>
            <w:vAlign w:val="center"/>
          </w:tcPr>
          <w:p w14:paraId="0C5604C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81822</w:t>
            </w:r>
          </w:p>
        </w:tc>
        <w:tc>
          <w:tcPr>
            <w:tcW w:w="992" w:type="dxa"/>
            <w:noWrap w:val="0"/>
            <w:vAlign w:val="center"/>
          </w:tcPr>
          <w:p w14:paraId="4216F91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lang w:val="en-US" w:eastAsia="zh-CN"/>
              </w:rPr>
            </w:pPr>
            <w:r>
              <w:rPr>
                <w:rFonts w:hint="eastAsia" w:cs="Times New Roman"/>
                <w:color w:val="auto"/>
                <w:kern w:val="0"/>
                <w:lang w:val="en-US" w:eastAsia="zh-CN"/>
              </w:rPr>
              <w:t>84052</w:t>
            </w:r>
          </w:p>
        </w:tc>
        <w:tc>
          <w:tcPr>
            <w:tcW w:w="1701" w:type="dxa"/>
            <w:noWrap w:val="0"/>
            <w:vAlign w:val="center"/>
          </w:tcPr>
          <w:p w14:paraId="2710EB4A">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992" w:type="dxa"/>
            <w:noWrap w:val="0"/>
            <w:vAlign w:val="center"/>
          </w:tcPr>
          <w:p w14:paraId="3D5F970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lang w:val="en-US" w:eastAsia="zh-CN"/>
              </w:rPr>
            </w:pPr>
            <w:r>
              <w:rPr>
                <w:rFonts w:hint="eastAsia" w:cs="Times New Roman"/>
                <w:color w:val="auto"/>
                <w:kern w:val="0"/>
                <w:lang w:val="en-US" w:eastAsia="zh-CN"/>
              </w:rPr>
              <w:t>58742</w:t>
            </w:r>
          </w:p>
        </w:tc>
        <w:tc>
          <w:tcPr>
            <w:tcW w:w="1276" w:type="dxa"/>
            <w:noWrap w:val="0"/>
            <w:vAlign w:val="center"/>
          </w:tcPr>
          <w:p w14:paraId="121C7B3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992" w:type="dxa"/>
            <w:noWrap w:val="0"/>
            <w:vAlign w:val="center"/>
          </w:tcPr>
          <w:p w14:paraId="0D229F6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lang w:val="en-US" w:eastAsia="zh-CN"/>
              </w:rPr>
            </w:pPr>
            <w:r>
              <w:rPr>
                <w:rFonts w:hint="eastAsia" w:cs="Times New Roman"/>
                <w:color w:val="auto"/>
                <w:kern w:val="0"/>
                <w:lang w:val="en-US" w:eastAsia="zh-CN"/>
              </w:rPr>
              <w:t>56512</w:t>
            </w:r>
          </w:p>
        </w:tc>
        <w:tc>
          <w:tcPr>
            <w:tcW w:w="2127" w:type="dxa"/>
            <w:noWrap w:val="0"/>
            <w:vAlign w:val="center"/>
          </w:tcPr>
          <w:p w14:paraId="31AEF0F3">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275" w:type="dxa"/>
            <w:noWrap w:val="0"/>
            <w:vAlign w:val="center"/>
          </w:tcPr>
          <w:p w14:paraId="39929BE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071" w:type="dxa"/>
            <w:noWrap w:val="0"/>
            <w:vAlign w:val="center"/>
          </w:tcPr>
          <w:p w14:paraId="370FBEF6">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r>
    </w:tbl>
    <w:p w14:paraId="39A2546F">
      <w:pPr>
        <w:numPr>
          <w:ilvl w:val="3"/>
          <w:numId w:val="0"/>
        </w:numPr>
        <w:rPr>
          <w:rFonts w:hint="eastAsia"/>
          <w:color w:val="auto"/>
        </w:rPr>
        <w:sectPr>
          <w:pgSz w:w="16840" w:h="11907" w:orient="landscape"/>
          <w:pgMar w:top="1418" w:right="1418" w:bottom="1418" w:left="1418" w:header="851" w:footer="851" w:gutter="0"/>
          <w:pgBorders>
            <w:top w:val="none" w:sz="0" w:space="0"/>
            <w:left w:val="none" w:sz="0" w:space="0"/>
            <w:bottom w:val="none" w:sz="0" w:space="0"/>
            <w:right w:val="none" w:sz="0" w:space="0"/>
          </w:pgBorders>
          <w:cols w:space="720" w:num="1"/>
          <w:docGrid w:type="lines" w:linePitch="312" w:charSpace="0"/>
        </w:sectPr>
      </w:pPr>
    </w:p>
    <w:p w14:paraId="2E76B4E9">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3.2.1</w:t>
      </w:r>
      <w:r>
        <w:rPr>
          <w:rFonts w:ascii="Times New Roman" w:hAnsi="Times New Roman" w:eastAsia="黑体" w:cs="Times New Roman"/>
          <w:bCs/>
          <w:color w:val="auto"/>
          <w:kern w:val="2"/>
          <w:sz w:val="24"/>
          <w:szCs w:val="28"/>
          <w:lang w:val="en-US" w:eastAsia="zh-CN" w:bidi="ar-SA"/>
        </w:rPr>
        <w:t>1</w:t>
      </w:r>
      <w:r>
        <w:rPr>
          <w:rFonts w:hint="eastAsia" w:ascii="Times New Roman" w:hAnsi="Times New Roman" w:eastAsia="黑体" w:cs="Times New Roman"/>
          <w:bCs/>
          <w:color w:val="auto"/>
          <w:kern w:val="2"/>
          <w:sz w:val="24"/>
          <w:szCs w:val="28"/>
          <w:lang w:val="en-US" w:eastAsia="zh-CN" w:bidi="ar-SA"/>
        </w:rPr>
        <w:t>.</w:t>
      </w:r>
      <w:r>
        <w:rPr>
          <w:rFonts w:ascii="Times New Roman" w:hAnsi="Times New Roman" w:eastAsia="黑体" w:cs="Times New Roman"/>
          <w:bCs/>
          <w:color w:val="auto"/>
          <w:kern w:val="2"/>
          <w:sz w:val="24"/>
          <w:szCs w:val="28"/>
          <w:lang w:val="en-US" w:eastAsia="zh-CN" w:bidi="ar-SA"/>
        </w:rPr>
        <w:t>7</w:t>
      </w:r>
      <w:r>
        <w:rPr>
          <w:rFonts w:hint="eastAsia" w:ascii="Times New Roman" w:hAnsi="Times New Roman" w:eastAsia="黑体" w:cs="Times New Roman"/>
          <w:bCs/>
          <w:color w:val="auto"/>
          <w:kern w:val="2"/>
          <w:sz w:val="24"/>
          <w:szCs w:val="28"/>
          <w:lang w:val="en-US" w:eastAsia="zh-CN" w:bidi="ar-SA"/>
        </w:rPr>
        <w:t>工程</w:t>
      </w:r>
      <w:r>
        <w:rPr>
          <w:rFonts w:ascii="Times New Roman" w:hAnsi="Times New Roman" w:eastAsia="黑体" w:cs="Times New Roman"/>
          <w:bCs/>
          <w:color w:val="auto"/>
          <w:kern w:val="2"/>
          <w:sz w:val="24"/>
          <w:szCs w:val="28"/>
          <w:lang w:val="en-US" w:eastAsia="zh-CN" w:bidi="ar-SA"/>
        </w:rPr>
        <w:t>占地及拆迁情况</w:t>
      </w:r>
    </w:p>
    <w:p w14:paraId="50E8043C">
      <w:pPr>
        <w:spacing w:line="360" w:lineRule="auto"/>
        <w:ind w:firstLine="480" w:firstLineChars="200"/>
        <w:jc w:val="both"/>
        <w:rPr>
          <w:rFonts w:hint="eastAsia"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t>本项目</w:t>
      </w:r>
      <w:r>
        <w:rPr>
          <w:rFonts w:hint="eastAsia" w:ascii="Times New Roman" w:hAnsi="Times New Roman" w:eastAsia="宋体" w:cs="Calibri"/>
          <w:color w:val="auto"/>
          <w:kern w:val="2"/>
          <w:sz w:val="24"/>
          <w:szCs w:val="24"/>
          <w:lang w:val="en-US" w:eastAsia="zh-CN" w:bidi="ar-SA"/>
        </w:rPr>
        <w:t>陆域</w:t>
      </w:r>
      <w:r>
        <w:rPr>
          <w:rFonts w:ascii="Times New Roman" w:hAnsi="Times New Roman" w:eastAsia="宋体" w:cs="Calibri"/>
          <w:color w:val="auto"/>
          <w:kern w:val="2"/>
          <w:sz w:val="24"/>
          <w:szCs w:val="24"/>
          <w:lang w:val="en-US" w:eastAsia="zh-CN" w:bidi="ar-SA"/>
        </w:rPr>
        <w:t>永久占地20</w:t>
      </w:r>
      <w:r>
        <w:rPr>
          <w:rFonts w:hint="eastAsia" w:ascii="Times New Roman" w:hAnsi="Times New Roman" w:eastAsia="宋体" w:cs="Calibri"/>
          <w:color w:val="auto"/>
          <w:kern w:val="2"/>
          <w:sz w:val="24"/>
          <w:szCs w:val="24"/>
          <w:lang w:val="en-US" w:eastAsia="zh-CN" w:bidi="ar-SA"/>
        </w:rPr>
        <w:t>亩</w:t>
      </w:r>
      <w:r>
        <w:rPr>
          <w:rFonts w:ascii="Times New Roman" w:hAnsi="Times New Roman" w:eastAsia="宋体" w:cs="Calibri"/>
          <w:color w:val="auto"/>
          <w:kern w:val="2"/>
          <w:sz w:val="24"/>
          <w:szCs w:val="24"/>
          <w:lang w:val="en-US" w:eastAsia="zh-CN" w:bidi="ar-SA"/>
        </w:rPr>
        <w:t>，临时占地</w:t>
      </w:r>
      <w:r>
        <w:rPr>
          <w:rFonts w:hint="eastAsia" w:ascii="Times New Roman" w:hAnsi="Times New Roman" w:eastAsia="宋体" w:cs="Calibri"/>
          <w:color w:val="auto"/>
          <w:kern w:val="2"/>
          <w:sz w:val="24"/>
          <w:szCs w:val="24"/>
          <w:lang w:val="en-US" w:eastAsia="zh-CN" w:bidi="ar-SA"/>
        </w:rPr>
        <w:t>（含抛泥区</w:t>
      </w:r>
      <w:r>
        <w:rPr>
          <w:rFonts w:hint="eastAsia" w:cs="Calibri"/>
          <w:color w:val="auto"/>
          <w:kern w:val="2"/>
          <w:sz w:val="24"/>
          <w:szCs w:val="24"/>
          <w:lang w:val="en-US" w:eastAsia="zh-CN" w:bidi="ar-SA"/>
        </w:rPr>
        <w:t>（淤泥晾干区）</w:t>
      </w:r>
      <w:r>
        <w:rPr>
          <w:rFonts w:hint="eastAsia" w:ascii="Times New Roman" w:hAnsi="Times New Roman" w:eastAsia="宋体" w:cs="Calibri"/>
          <w:color w:val="auto"/>
          <w:kern w:val="2"/>
          <w:sz w:val="24"/>
          <w:szCs w:val="24"/>
          <w:lang w:val="en-US" w:eastAsia="zh-CN" w:bidi="ar-SA"/>
        </w:rPr>
        <w:t>、弃土区</w:t>
      </w:r>
      <w:r>
        <w:rPr>
          <w:rFonts w:hint="eastAsia" w:cs="Calibri"/>
          <w:color w:val="auto"/>
          <w:kern w:val="2"/>
          <w:sz w:val="24"/>
          <w:szCs w:val="24"/>
          <w:lang w:val="en-US" w:eastAsia="zh-CN" w:bidi="ar-SA"/>
        </w:rPr>
        <w:t>（表土存放区）</w:t>
      </w:r>
      <w:r>
        <w:rPr>
          <w:rFonts w:hint="eastAsia" w:ascii="Times New Roman" w:hAnsi="Times New Roman" w:eastAsia="宋体" w:cs="Calibri"/>
          <w:color w:val="auto"/>
          <w:kern w:val="2"/>
          <w:sz w:val="24"/>
          <w:szCs w:val="24"/>
          <w:lang w:val="en-US" w:eastAsia="zh-CN" w:bidi="ar-SA"/>
        </w:rPr>
        <w:t>）</w:t>
      </w:r>
      <w:r>
        <w:rPr>
          <w:rFonts w:ascii="Times New Roman" w:hAnsi="Times New Roman" w:eastAsia="宋体" w:cs="Calibri"/>
          <w:color w:val="auto"/>
          <w:kern w:val="2"/>
          <w:sz w:val="24"/>
          <w:szCs w:val="24"/>
          <w:lang w:val="en-US" w:eastAsia="zh-CN" w:bidi="ar-SA"/>
        </w:rPr>
        <w:t>为2000</w:t>
      </w:r>
      <w:r>
        <w:rPr>
          <w:rFonts w:hint="eastAsia" w:ascii="Times New Roman" w:hAnsi="Times New Roman" w:eastAsia="宋体" w:cs="Calibri"/>
          <w:color w:val="auto"/>
          <w:kern w:val="2"/>
          <w:sz w:val="24"/>
          <w:szCs w:val="24"/>
          <w:lang w:val="en-US" w:eastAsia="zh-CN" w:bidi="ar-SA"/>
        </w:rPr>
        <w:t>m</w:t>
      </w:r>
      <w:r>
        <w:rPr>
          <w:rFonts w:hint="eastAsia" w:ascii="Times New Roman" w:hAnsi="Times New Roman" w:eastAsia="宋体" w:cs="Calibri"/>
          <w:color w:val="auto"/>
          <w:kern w:val="2"/>
          <w:sz w:val="24"/>
          <w:szCs w:val="24"/>
          <w:vertAlign w:val="superscript"/>
          <w:lang w:val="en-US" w:eastAsia="zh-CN" w:bidi="ar-SA"/>
        </w:rPr>
        <w:t>2</w:t>
      </w:r>
      <w:r>
        <w:rPr>
          <w:rFonts w:ascii="Times New Roman" w:hAnsi="Times New Roman" w:eastAsia="宋体" w:cs="Calibri"/>
          <w:color w:val="auto"/>
          <w:kern w:val="2"/>
          <w:sz w:val="24"/>
          <w:szCs w:val="24"/>
          <w:lang w:val="en-US" w:eastAsia="zh-CN" w:bidi="ar-SA"/>
        </w:rPr>
        <w:t>。现状占地类型主要为内陆滩涂、坑塘水面。</w:t>
      </w:r>
      <w:r>
        <w:rPr>
          <w:rFonts w:hint="eastAsia" w:ascii="Times New Roman" w:hAnsi="Times New Roman" w:eastAsia="宋体" w:cs="Calibri"/>
          <w:color w:val="auto"/>
          <w:kern w:val="2"/>
          <w:sz w:val="24"/>
          <w:szCs w:val="24"/>
          <w:lang w:val="en-US" w:eastAsia="zh-CN" w:bidi="ar-SA"/>
        </w:rPr>
        <w:t>本项目不占基本农田与耕地</w:t>
      </w:r>
      <w:r>
        <w:rPr>
          <w:rFonts w:ascii="Times New Roman" w:hAnsi="Times New Roman" w:eastAsia="宋体" w:cs="Calibri"/>
          <w:color w:val="auto"/>
          <w:kern w:val="2"/>
          <w:sz w:val="24"/>
          <w:szCs w:val="24"/>
          <w:lang w:val="en-US" w:eastAsia="zh-CN" w:bidi="ar-SA"/>
        </w:rPr>
        <w:t>。</w:t>
      </w:r>
      <w:r>
        <w:rPr>
          <w:rFonts w:hint="eastAsia" w:ascii="Times New Roman" w:hAnsi="Times New Roman" w:eastAsia="宋体" w:cs="Calibri"/>
          <w:color w:val="auto"/>
          <w:kern w:val="2"/>
          <w:sz w:val="24"/>
          <w:szCs w:val="24"/>
          <w:lang w:val="en-US" w:eastAsia="zh-CN" w:bidi="ar-SA"/>
        </w:rPr>
        <w:t>前方滩地作为施工场地，不涉及拆迁情况。</w:t>
      </w:r>
    </w:p>
    <w:p w14:paraId="5FD84F1A">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80" w:name="_Toc20540"/>
      <w:r>
        <w:rPr>
          <w:rFonts w:hint="eastAsia" w:ascii="Times New Roman" w:hAnsi="Times New Roman" w:eastAsia="黑体" w:cs="Times New Roman"/>
          <w:bCs/>
          <w:color w:val="auto"/>
          <w:kern w:val="2"/>
          <w:sz w:val="30"/>
          <w:szCs w:val="32"/>
          <w:lang w:val="en-US" w:eastAsia="zh-CN" w:bidi="ar-SA"/>
        </w:rPr>
        <w:t>3.3</w:t>
      </w:r>
      <w:r>
        <w:rPr>
          <w:rFonts w:ascii="Times New Roman" w:hAnsi="Times New Roman" w:eastAsia="黑体" w:cs="Times New Roman"/>
          <w:bCs/>
          <w:color w:val="auto"/>
          <w:kern w:val="2"/>
          <w:sz w:val="30"/>
          <w:szCs w:val="32"/>
          <w:lang w:val="en-US" w:eastAsia="zh-CN" w:bidi="ar-SA"/>
        </w:rPr>
        <w:t>污染源强分析</w:t>
      </w:r>
      <w:bookmarkEnd w:id="80"/>
    </w:p>
    <w:p w14:paraId="35142931">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3.3.1</w:t>
      </w:r>
      <w:r>
        <w:rPr>
          <w:rFonts w:ascii="Times New Roman" w:hAnsi="Times New Roman" w:eastAsia="黑体" w:cs="Times New Roman"/>
          <w:bCs/>
          <w:color w:val="auto"/>
          <w:kern w:val="2"/>
          <w:sz w:val="28"/>
          <w:szCs w:val="32"/>
          <w:lang w:val="en-US" w:eastAsia="zh-CN" w:bidi="ar-SA"/>
        </w:rPr>
        <w:t>施工期污染源强分析</w:t>
      </w:r>
    </w:p>
    <w:p w14:paraId="26C348DA">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3.3.1.1施工</w:t>
      </w:r>
      <w:r>
        <w:rPr>
          <w:rFonts w:ascii="Times New Roman" w:hAnsi="Times New Roman" w:eastAsia="黑体" w:cs="Times New Roman"/>
          <w:bCs/>
          <w:color w:val="auto"/>
          <w:kern w:val="2"/>
          <w:sz w:val="24"/>
          <w:szCs w:val="28"/>
          <w:lang w:val="en-US" w:eastAsia="zh-CN" w:bidi="ar-SA"/>
        </w:rPr>
        <w:t>期废气源强</w:t>
      </w:r>
    </w:p>
    <w:p w14:paraId="7F0C190D">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宋体" w:hAnsi="Times New Roman" w:eastAsia="宋体" w:cs="宋体"/>
          <w:snapToGrid w:val="0"/>
          <w:color w:val="auto"/>
          <w:kern w:val="0"/>
          <w:sz w:val="24"/>
          <w:szCs w:val="24"/>
          <w:lang w:val="zh-CN" w:eastAsia="zh-CN" w:bidi="ar-SA"/>
        </w:rPr>
        <w:t>施工期的废气污染主要为施工扬尘、道路扬尘以及施工车辆和机械、船舶尾气。</w:t>
      </w:r>
    </w:p>
    <w:p w14:paraId="006F2C90">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（1）</w:t>
      </w:r>
      <w:r>
        <w:rPr>
          <w:rFonts w:ascii="Times New Roman" w:hAnsi="Times New Roman" w:eastAsia="宋体" w:cs="宋体"/>
          <w:snapToGrid w:val="0"/>
          <w:color w:val="auto"/>
          <w:kern w:val="0"/>
          <w:sz w:val="24"/>
          <w:szCs w:val="21"/>
          <w:lang w:val="zh-CN" w:eastAsia="zh-CN" w:bidi="ar-SA"/>
        </w:rPr>
        <w:t>施工扬尘</w:t>
      </w:r>
    </w:p>
    <w:p w14:paraId="69101020">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施工场地开挖平整、材料堆存等施工作业，</w:t>
      </w:r>
      <w:r>
        <w:rPr>
          <w:rFonts w:hint="eastAsia" w:cs="宋体"/>
          <w:snapToGrid w:val="0"/>
          <w:color w:val="auto"/>
          <w:kern w:val="0"/>
          <w:sz w:val="24"/>
          <w:szCs w:val="21"/>
          <w:lang w:val="zh-CN" w:eastAsia="zh-CN" w:bidi="ar-SA"/>
        </w:rPr>
        <w:t>在</w:t>
      </w:r>
      <w:r>
        <w:rPr>
          <w:rFonts w:ascii="Times New Roman" w:hAnsi="Times New Roman" w:eastAsia="宋体" w:cs="宋体"/>
          <w:snapToGrid w:val="0"/>
          <w:color w:val="auto"/>
          <w:kern w:val="0"/>
          <w:sz w:val="24"/>
          <w:szCs w:val="21"/>
          <w:lang w:val="zh-CN" w:eastAsia="zh-CN" w:bidi="ar-SA"/>
        </w:rPr>
        <w:t>风力作用下将会产生TSP污染影响，且风力越大污染越严重。</w:t>
      </w:r>
    </w:p>
    <w:p w14:paraId="2C1D6438">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在土方开挖施工扬尘等共同作用下，未采取环保措施时，施工现场面源污染源强为539g/s；在采取洒水抑尘、覆盖等环保措施后，施工现场面源污染源强为140g/s，施工作业场所粉尘浓度为1.5～30mg/m</w:t>
      </w:r>
      <w:r>
        <w:rPr>
          <w:rFonts w:ascii="Times New Roman" w:hAnsi="Times New Roman" w:eastAsia="宋体" w:cs="宋体"/>
          <w:snapToGrid w:val="0"/>
          <w:color w:val="auto"/>
          <w:kern w:val="0"/>
          <w:sz w:val="24"/>
          <w:szCs w:val="21"/>
          <w:vertAlign w:val="superscript"/>
          <w:lang w:val="zh-CN" w:eastAsia="zh-CN" w:bidi="ar-SA"/>
        </w:rPr>
        <w:t>3</w:t>
      </w:r>
      <w:r>
        <w:rPr>
          <w:rFonts w:ascii="Times New Roman" w:hAnsi="Times New Roman" w:eastAsia="宋体" w:cs="宋体"/>
          <w:snapToGrid w:val="0"/>
          <w:color w:val="auto"/>
          <w:kern w:val="0"/>
          <w:sz w:val="24"/>
          <w:szCs w:val="21"/>
          <w:lang w:val="zh-CN" w:eastAsia="zh-CN" w:bidi="ar-SA"/>
        </w:rPr>
        <w:t>。</w:t>
      </w:r>
    </w:p>
    <w:p w14:paraId="3A05388F">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根据《安徽省大气污染防治条例》、《关于印发&lt;安徽省建筑工程施工和预拌混凝土生产扬尘污染防治标准（试行）&gt;的通知》</w:t>
      </w:r>
      <w:r>
        <w:rPr>
          <w:rFonts w:hint="eastAsia" w:ascii="Times New Roman" w:hAnsi="Times New Roman" w:eastAsia="宋体" w:cs="宋体"/>
          <w:snapToGrid w:val="0"/>
          <w:color w:val="auto"/>
          <w:kern w:val="0"/>
          <w:sz w:val="24"/>
          <w:szCs w:val="21"/>
          <w:lang w:val="zh-CN" w:eastAsia="zh-CN" w:bidi="ar-SA"/>
        </w:rPr>
        <w:t>、《淮南市扬尘污染防治管理办法》、《淮南市扬尘污染防治条例》</w:t>
      </w:r>
      <w:r>
        <w:rPr>
          <w:rFonts w:ascii="Times New Roman" w:hAnsi="Times New Roman" w:eastAsia="宋体" w:cs="宋体"/>
          <w:snapToGrid w:val="0"/>
          <w:color w:val="auto"/>
          <w:kern w:val="0"/>
          <w:sz w:val="24"/>
          <w:szCs w:val="21"/>
          <w:lang w:val="zh-CN" w:eastAsia="zh-CN" w:bidi="ar-SA"/>
        </w:rPr>
        <w:t>等要求，施工现场扬尘污染防治应做</w:t>
      </w:r>
      <w:r>
        <w:rPr>
          <w:rFonts w:ascii="宋体" w:hAnsi="宋体" w:eastAsia="宋体" w:cs="Times New Roman"/>
          <w:snapToGrid w:val="0"/>
          <w:color w:val="auto"/>
          <w:kern w:val="0"/>
          <w:sz w:val="24"/>
          <w:szCs w:val="21"/>
          <w:lang w:val="zh-CN" w:eastAsia="zh-CN" w:bidi="ar-SA"/>
        </w:rPr>
        <w:t>到“六个百分之百”</w:t>
      </w:r>
      <w:r>
        <w:rPr>
          <w:rFonts w:ascii="Times New Roman" w:hAnsi="Times New Roman" w:eastAsia="宋体" w:cs="宋体"/>
          <w:snapToGrid w:val="0"/>
          <w:color w:val="auto"/>
          <w:kern w:val="0"/>
          <w:sz w:val="24"/>
          <w:szCs w:val="21"/>
          <w:lang w:val="zh-CN" w:eastAsia="zh-CN" w:bidi="ar-SA"/>
        </w:rPr>
        <w:t>：施工</w:t>
      </w:r>
      <w:r>
        <w:rPr>
          <w:rFonts w:hint="eastAsia" w:cs="宋体"/>
          <w:snapToGrid w:val="0"/>
          <w:color w:val="auto"/>
          <w:kern w:val="0"/>
          <w:sz w:val="24"/>
          <w:szCs w:val="21"/>
          <w:lang w:val="zh-CN" w:eastAsia="zh-CN" w:bidi="ar-SA"/>
        </w:rPr>
        <w:t>场地</w:t>
      </w:r>
      <w:r>
        <w:rPr>
          <w:rFonts w:ascii="Times New Roman" w:hAnsi="Times New Roman" w:eastAsia="宋体" w:cs="宋体"/>
          <w:snapToGrid w:val="0"/>
          <w:color w:val="auto"/>
          <w:kern w:val="0"/>
          <w:sz w:val="24"/>
          <w:szCs w:val="21"/>
          <w:lang w:val="zh-CN" w:eastAsia="zh-CN" w:bidi="ar-SA"/>
        </w:rPr>
        <w:t>周边100%围挡、物料堆放100%覆盖、施工现场地面100%硬化、土方开挖100%湿法作业、出入车辆100%清洗、渣土车辆100%密闭运输</w:t>
      </w:r>
      <w:r>
        <w:rPr>
          <w:rFonts w:hint="eastAsia" w:ascii="Times New Roman" w:hAnsi="Times New Roman" w:eastAsia="宋体" w:cs="宋体"/>
          <w:snapToGrid w:val="0"/>
          <w:color w:val="auto"/>
          <w:kern w:val="0"/>
          <w:sz w:val="24"/>
          <w:szCs w:val="21"/>
          <w:lang w:val="zh-CN" w:eastAsia="zh-CN" w:bidi="ar-SA"/>
        </w:rPr>
        <w:t>。</w:t>
      </w:r>
    </w:p>
    <w:p w14:paraId="619B7E3C">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（2）</w:t>
      </w:r>
      <w:r>
        <w:rPr>
          <w:rFonts w:ascii="Times New Roman" w:hAnsi="Times New Roman" w:eastAsia="宋体" w:cs="宋体"/>
          <w:snapToGrid w:val="0"/>
          <w:color w:val="auto"/>
          <w:kern w:val="0"/>
          <w:sz w:val="24"/>
          <w:szCs w:val="21"/>
          <w:lang w:val="zh-CN" w:eastAsia="zh-CN" w:bidi="ar-SA"/>
        </w:rPr>
        <w:t>施工道路扬尘</w:t>
      </w:r>
    </w:p>
    <w:p w14:paraId="5143660A">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根据港口码头工程施工现场监测资料，砂石料汽车运输路线两侧20～25m、车流量约400辆/d时，运输路线两侧20～25m的TSP增加量为0.072～0.158mg/m</w:t>
      </w:r>
      <w:r>
        <w:rPr>
          <w:rFonts w:ascii="Times New Roman" w:hAnsi="Times New Roman" w:eastAsia="宋体" w:cs="宋体"/>
          <w:snapToGrid w:val="0"/>
          <w:color w:val="auto"/>
          <w:kern w:val="0"/>
          <w:sz w:val="24"/>
          <w:szCs w:val="21"/>
          <w:vertAlign w:val="superscript"/>
          <w:lang w:val="zh-CN" w:eastAsia="zh-CN" w:bidi="ar-SA"/>
        </w:rPr>
        <w:t>3</w:t>
      </w:r>
      <w:r>
        <w:rPr>
          <w:rFonts w:ascii="Times New Roman" w:hAnsi="Times New Roman" w:eastAsia="宋体" w:cs="宋体"/>
          <w:snapToGrid w:val="0"/>
          <w:color w:val="auto"/>
          <w:kern w:val="0"/>
          <w:sz w:val="24"/>
          <w:szCs w:val="21"/>
          <w:lang w:val="zh-CN" w:eastAsia="zh-CN" w:bidi="ar-SA"/>
        </w:rPr>
        <w:t>，平均增加量为0.115mg/m</w:t>
      </w:r>
      <w:r>
        <w:rPr>
          <w:rFonts w:ascii="Times New Roman" w:hAnsi="Times New Roman" w:eastAsia="宋体" w:cs="宋体"/>
          <w:snapToGrid w:val="0"/>
          <w:color w:val="auto"/>
          <w:kern w:val="0"/>
          <w:sz w:val="24"/>
          <w:szCs w:val="21"/>
          <w:vertAlign w:val="superscript"/>
          <w:lang w:val="zh-CN" w:eastAsia="zh-CN" w:bidi="ar-SA"/>
        </w:rPr>
        <w:t>3</w:t>
      </w:r>
      <w:r>
        <w:rPr>
          <w:rFonts w:ascii="Times New Roman" w:hAnsi="Times New Roman" w:eastAsia="宋体" w:cs="宋体"/>
          <w:snapToGrid w:val="0"/>
          <w:color w:val="auto"/>
          <w:kern w:val="0"/>
          <w:sz w:val="24"/>
          <w:szCs w:val="21"/>
          <w:lang w:val="zh-CN" w:eastAsia="zh-CN" w:bidi="ar-SA"/>
        </w:rPr>
        <w:t>。评价以此类比分析汽车运输砂石料对空气环境的影响。</w:t>
      </w:r>
    </w:p>
    <w:p w14:paraId="45D65F9A">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（3）</w:t>
      </w:r>
      <w:r>
        <w:rPr>
          <w:rFonts w:ascii="Times New Roman" w:hAnsi="Times New Roman" w:eastAsia="宋体" w:cs="宋体"/>
          <w:snapToGrid w:val="0"/>
          <w:color w:val="auto"/>
          <w:kern w:val="0"/>
          <w:sz w:val="24"/>
          <w:szCs w:val="21"/>
          <w:lang w:val="zh-CN" w:eastAsia="zh-CN" w:bidi="ar-SA"/>
        </w:rPr>
        <w:t>施工车辆和机械、船舶废气</w:t>
      </w:r>
    </w:p>
    <w:p w14:paraId="1A0FB4AC">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施工船舶以及陆域施工机械包括运输车辆及挖掘机、装载机等，均以柴油为燃料，施工过程中柴油燃烧过程排放少量燃油废气，主要污染因子为SO</w:t>
      </w:r>
      <w:r>
        <w:rPr>
          <w:rFonts w:ascii="Times New Roman" w:hAnsi="Times New Roman" w:eastAsia="宋体" w:cs="宋体"/>
          <w:snapToGrid w:val="0"/>
          <w:color w:val="auto"/>
          <w:kern w:val="0"/>
          <w:sz w:val="24"/>
          <w:szCs w:val="21"/>
          <w:vertAlign w:val="subscript"/>
          <w:lang w:val="zh-CN" w:eastAsia="zh-CN" w:bidi="ar-SA"/>
        </w:rPr>
        <w:t>2</w:t>
      </w:r>
      <w:r>
        <w:rPr>
          <w:rFonts w:ascii="Times New Roman" w:hAnsi="Times New Roman" w:eastAsia="宋体" w:cs="宋体"/>
          <w:snapToGrid w:val="0"/>
          <w:color w:val="auto"/>
          <w:kern w:val="0"/>
          <w:sz w:val="24"/>
          <w:szCs w:val="21"/>
          <w:lang w:val="zh-CN" w:eastAsia="zh-CN" w:bidi="ar-SA"/>
        </w:rPr>
        <w:t>、NOx和烃类等</w:t>
      </w:r>
      <w:r>
        <w:rPr>
          <w:rFonts w:hint="eastAsia" w:ascii="Times New Roman" w:hAnsi="Times New Roman" w:eastAsia="宋体" w:cs="宋体"/>
          <w:snapToGrid w:val="0"/>
          <w:color w:val="auto"/>
          <w:kern w:val="0"/>
          <w:sz w:val="24"/>
          <w:szCs w:val="21"/>
          <w:lang w:val="zh-CN" w:eastAsia="zh-CN" w:bidi="ar-SA"/>
        </w:rPr>
        <w:t>。</w:t>
      </w:r>
    </w:p>
    <w:p w14:paraId="6800ED6D">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3.3.1.2施工</w:t>
      </w:r>
      <w:r>
        <w:rPr>
          <w:rFonts w:ascii="Times New Roman" w:hAnsi="Times New Roman" w:eastAsia="黑体" w:cs="Times New Roman"/>
          <w:bCs/>
          <w:color w:val="auto"/>
          <w:kern w:val="2"/>
          <w:sz w:val="24"/>
          <w:szCs w:val="28"/>
          <w:lang w:val="en-US" w:eastAsia="zh-CN" w:bidi="ar-SA"/>
        </w:rPr>
        <w:t>期废</w:t>
      </w:r>
      <w:r>
        <w:rPr>
          <w:rFonts w:hint="eastAsia" w:ascii="Times New Roman" w:hAnsi="Times New Roman" w:eastAsia="黑体" w:cs="Times New Roman"/>
          <w:bCs/>
          <w:color w:val="auto"/>
          <w:kern w:val="2"/>
          <w:sz w:val="24"/>
          <w:szCs w:val="28"/>
          <w:lang w:val="en-US" w:eastAsia="zh-CN" w:bidi="ar-SA"/>
        </w:rPr>
        <w:t>水</w:t>
      </w:r>
      <w:r>
        <w:rPr>
          <w:rFonts w:ascii="Times New Roman" w:hAnsi="Times New Roman" w:eastAsia="黑体" w:cs="Times New Roman"/>
          <w:bCs/>
          <w:color w:val="auto"/>
          <w:kern w:val="2"/>
          <w:sz w:val="24"/>
          <w:szCs w:val="28"/>
          <w:lang w:val="en-US" w:eastAsia="zh-CN" w:bidi="ar-SA"/>
        </w:rPr>
        <w:t>源强</w:t>
      </w:r>
    </w:p>
    <w:p w14:paraId="1C0825FB">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（1）</w:t>
      </w:r>
      <w:r>
        <w:rPr>
          <w:rFonts w:ascii="Times New Roman" w:hAnsi="Times New Roman" w:eastAsia="宋体" w:cs="Times New Roman"/>
          <w:color w:val="auto"/>
          <w:sz w:val="24"/>
        </w:rPr>
        <w:t>施工生产区废水</w:t>
      </w:r>
    </w:p>
    <w:p w14:paraId="34E3AF13">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本项目陆域施工不挖基坑，不涉及基坑排水，施工废水主要为施工中</w:t>
      </w:r>
      <w:r>
        <w:rPr>
          <w:rFonts w:hint="eastAsia" w:cs="Times New Roman"/>
          <w:color w:val="auto"/>
          <w:sz w:val="24"/>
          <w:lang w:eastAsia="zh-CN"/>
        </w:rPr>
        <w:t>混凝土浇筑</w:t>
      </w:r>
      <w:r>
        <w:rPr>
          <w:rFonts w:hint="eastAsia" w:ascii="Times New Roman" w:hAnsi="Times New Roman" w:eastAsia="宋体" w:cs="Times New Roman"/>
          <w:color w:val="auto"/>
          <w:sz w:val="24"/>
        </w:rPr>
        <w:t>和浆砌石砌筑等过程会产生泥浆水。此类废水</w:t>
      </w:r>
      <w:r>
        <w:rPr>
          <w:rFonts w:ascii="Times New Roman" w:hAnsi="Times New Roman" w:eastAsia="宋体" w:cs="Times New Roman"/>
          <w:color w:val="auto"/>
          <w:sz w:val="24"/>
        </w:rPr>
        <w:t>SS</w:t>
      </w:r>
      <w:r>
        <w:rPr>
          <w:rFonts w:hint="eastAsia" w:ascii="Times New Roman" w:hAnsi="Times New Roman" w:eastAsia="宋体" w:cs="Times New Roman"/>
          <w:color w:val="auto"/>
          <w:sz w:val="24"/>
        </w:rPr>
        <w:t>浓度高且</w:t>
      </w:r>
      <w:r>
        <w:rPr>
          <w:rFonts w:ascii="Times New Roman" w:hAnsi="Times New Roman" w:eastAsia="宋体" w:cs="Times New Roman"/>
          <w:color w:val="auto"/>
          <w:sz w:val="24"/>
        </w:rPr>
        <w:t>pH</w:t>
      </w:r>
      <w:r>
        <w:rPr>
          <w:rFonts w:hint="eastAsia" w:ascii="Times New Roman" w:hAnsi="Times New Roman" w:eastAsia="宋体" w:cs="Times New Roman"/>
          <w:color w:val="auto"/>
          <w:sz w:val="24"/>
        </w:rPr>
        <w:t>可达</w:t>
      </w:r>
      <w:r>
        <w:rPr>
          <w:rFonts w:ascii="Times New Roman" w:hAnsi="Times New Roman" w:eastAsia="宋体" w:cs="Times New Roman"/>
          <w:color w:val="auto"/>
          <w:sz w:val="24"/>
        </w:rPr>
        <w:t>11~12</w:t>
      </w:r>
      <w:r>
        <w:rPr>
          <w:rFonts w:hint="eastAsia" w:ascii="Times New Roman" w:hAnsi="Times New Roman" w:eastAsia="宋体" w:cs="Times New Roman"/>
          <w:color w:val="auto"/>
          <w:sz w:val="24"/>
        </w:rPr>
        <w:t>，若随意排放，将增加水体中悬浮物浓度且使附近水域的</w:t>
      </w:r>
      <w:r>
        <w:rPr>
          <w:rFonts w:ascii="Times New Roman" w:hAnsi="Times New Roman" w:eastAsia="宋体" w:cs="Times New Roman"/>
          <w:color w:val="auto"/>
          <w:sz w:val="24"/>
        </w:rPr>
        <w:t>pH</w:t>
      </w:r>
      <w:r>
        <w:rPr>
          <w:rFonts w:hint="eastAsia" w:ascii="Times New Roman" w:hAnsi="Times New Roman" w:eastAsia="宋体" w:cs="Times New Roman"/>
          <w:color w:val="auto"/>
          <w:sz w:val="24"/>
        </w:rPr>
        <w:t>值增加。</w:t>
      </w:r>
    </w:p>
    <w:p w14:paraId="27513E11">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本项目拟在施工场地设置一座6</w:t>
      </w:r>
      <w:r>
        <w:rPr>
          <w:rFonts w:ascii="Times New Roman" w:hAnsi="Times New Roman" w:eastAsia="宋体" w:cs="Times New Roman"/>
          <w:color w:val="auto"/>
          <w:sz w:val="24"/>
        </w:rPr>
        <w:t>00</w:t>
      </w:r>
      <w:r>
        <w:rPr>
          <w:rFonts w:hint="eastAsia" w:ascii="Times New Roman" w:hAnsi="Times New Roman" w:eastAsia="宋体" w:cs="Times New Roman"/>
          <w:color w:val="auto"/>
          <w:sz w:val="24"/>
        </w:rPr>
        <w:t>m</w:t>
      </w:r>
      <w:r>
        <w:rPr>
          <w:rFonts w:ascii="Times New Roman" w:hAnsi="Times New Roman" w:eastAsia="宋体" w:cs="Times New Roman"/>
          <w:color w:val="auto"/>
          <w:sz w:val="24"/>
          <w:vertAlign w:val="superscript"/>
        </w:rPr>
        <w:t>3</w:t>
      </w:r>
      <w:r>
        <w:rPr>
          <w:rFonts w:hint="eastAsia" w:ascii="Times New Roman" w:hAnsi="Times New Roman" w:eastAsia="宋体" w:cs="Times New Roman"/>
          <w:color w:val="auto"/>
          <w:sz w:val="24"/>
        </w:rPr>
        <w:t>沉淀池，泥浆废水经沉淀去除悬浮物后，回用于场地抑尘、车辆冲洗等，不会对周边河道地表水环境造成不利影响。</w:t>
      </w:r>
    </w:p>
    <w:p w14:paraId="5EEC0C02">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施工泥浆废水源强参考《混凝土用水标准》（</w:t>
      </w:r>
      <w:r>
        <w:rPr>
          <w:rFonts w:ascii="Times New Roman" w:hAnsi="Times New Roman" w:eastAsia="宋体" w:cs="Times New Roman"/>
          <w:color w:val="auto"/>
          <w:sz w:val="24"/>
        </w:rPr>
        <w:t>JGJ63-2006</w:t>
      </w:r>
      <w:r>
        <w:rPr>
          <w:rFonts w:hint="eastAsia" w:ascii="Times New Roman" w:hAnsi="Times New Roman" w:eastAsia="宋体" w:cs="Times New Roman"/>
          <w:color w:val="auto"/>
          <w:sz w:val="24"/>
        </w:rPr>
        <w:t>）中预应力混凝土用水水质进行估算，即</w:t>
      </w:r>
      <w:r>
        <w:rPr>
          <w:rFonts w:ascii="Times New Roman" w:hAnsi="Times New Roman" w:eastAsia="宋体" w:cs="Times New Roman"/>
          <w:color w:val="auto"/>
          <w:sz w:val="24"/>
        </w:rPr>
        <w:t>SS</w:t>
      </w:r>
      <w:r>
        <w:rPr>
          <w:rFonts w:hint="eastAsia" w:ascii="Times New Roman" w:hAnsi="Times New Roman" w:eastAsia="宋体" w:cs="Times New Roman"/>
          <w:color w:val="auto"/>
          <w:sz w:val="24"/>
        </w:rPr>
        <w:t>取</w:t>
      </w:r>
      <w:r>
        <w:rPr>
          <w:rFonts w:ascii="Times New Roman" w:hAnsi="Times New Roman" w:eastAsia="宋体" w:cs="Times New Roman"/>
          <w:color w:val="auto"/>
          <w:sz w:val="24"/>
        </w:rPr>
        <w:t>2000mg/L</w:t>
      </w:r>
      <w:r>
        <w:rPr>
          <w:rFonts w:hint="eastAsia" w:ascii="Times New Roman" w:hAnsi="Times New Roman" w:eastAsia="宋体" w:cs="Times New Roman"/>
          <w:color w:val="auto"/>
          <w:sz w:val="24"/>
        </w:rPr>
        <w:t>。</w:t>
      </w:r>
    </w:p>
    <w:p w14:paraId="5DABA6EC">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（2）</w:t>
      </w:r>
      <w:r>
        <w:rPr>
          <w:rFonts w:ascii="Times New Roman" w:hAnsi="Times New Roman" w:eastAsia="宋体" w:cs="Times New Roman"/>
          <w:color w:val="auto"/>
          <w:sz w:val="24"/>
        </w:rPr>
        <w:t>码头工程施工废水</w:t>
      </w:r>
    </w:p>
    <w:p w14:paraId="4E3B0C6F">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码头工程钻孔灌注桩施工过程中，利用泥浆胶体的粘结力使悬浮泥渣随泥浆的循环流动被带出桩孔，进入泥浆船进行沉淀处理，沉淀后的干泥浆收集后由交通艇运送上岸再由车辆运输至陆域工程</w:t>
      </w:r>
      <w:r>
        <w:rPr>
          <w:rFonts w:ascii="Times New Roman" w:hAnsi="Times New Roman" w:eastAsia="宋体" w:cs="Times New Roman"/>
          <w:color w:val="auto"/>
          <w:sz w:val="24"/>
        </w:rPr>
        <w:t>进港道路及路面拓宽</w:t>
      </w:r>
      <w:r>
        <w:rPr>
          <w:rFonts w:hint="eastAsia" w:ascii="Times New Roman" w:hAnsi="Times New Roman" w:eastAsia="宋体" w:cs="Times New Roman"/>
          <w:color w:val="auto"/>
          <w:sz w:val="24"/>
        </w:rPr>
        <w:t>处，作为填方使用。水工采用高桩梁板式结构，以减少对水底扰动。</w:t>
      </w:r>
    </w:p>
    <w:p w14:paraId="7996EFC8">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码头桩基施工产生的钻渣和钻孔干泥浆共约</w:t>
      </w:r>
      <w:r>
        <w:rPr>
          <w:rFonts w:ascii="Times New Roman" w:hAnsi="Times New Roman" w:eastAsia="宋体" w:cs="Times New Roman"/>
          <w:color w:val="auto"/>
          <w:sz w:val="24"/>
        </w:rPr>
        <w:t>5252m</w:t>
      </w:r>
      <w:r>
        <w:rPr>
          <w:rFonts w:ascii="Times New Roman" w:hAnsi="Times New Roman" w:eastAsia="宋体" w:cs="Times New Roman"/>
          <w:color w:val="auto"/>
          <w:sz w:val="24"/>
          <w:vertAlign w:val="superscript"/>
        </w:rPr>
        <w:t>3</w:t>
      </w:r>
      <w:r>
        <w:rPr>
          <w:rFonts w:hint="eastAsia" w:ascii="Times New Roman" w:hAnsi="Times New Roman" w:eastAsia="宋体" w:cs="Times New Roman"/>
          <w:color w:val="auto"/>
          <w:sz w:val="24"/>
        </w:rPr>
        <w:t>，钻渣形成泥浆水后其体积将增大约两倍，则钻渣泥浆水体积约为</w:t>
      </w:r>
      <w:r>
        <w:rPr>
          <w:rFonts w:ascii="Times New Roman" w:hAnsi="Times New Roman" w:eastAsia="宋体" w:cs="Times New Roman"/>
          <w:color w:val="auto"/>
          <w:sz w:val="24"/>
        </w:rPr>
        <w:t>10504m</w:t>
      </w:r>
      <w:r>
        <w:rPr>
          <w:rFonts w:ascii="Times New Roman" w:hAnsi="Times New Roman" w:eastAsia="宋体" w:cs="Times New Roman"/>
          <w:color w:val="auto"/>
          <w:sz w:val="24"/>
          <w:vertAlign w:val="superscript"/>
        </w:rPr>
        <w:t>3</w:t>
      </w:r>
      <w:r>
        <w:rPr>
          <w:rFonts w:hint="eastAsia" w:ascii="Times New Roman" w:hAnsi="Times New Roman" w:eastAsia="宋体" w:cs="Times New Roman"/>
          <w:color w:val="auto"/>
          <w:sz w:val="24"/>
        </w:rPr>
        <w:t>。钻渣泥浆水采用泥浆泵送入施工场地设置的沉淀池中，钻渣泥浆水经沉淀去除悬浮物后，回用于场地抑尘、车辆冲洗等，不会对周边河道地表水环境造成不利影响。沉淀后的干泥浆约</w:t>
      </w:r>
      <w:r>
        <w:rPr>
          <w:rFonts w:ascii="Times New Roman" w:hAnsi="Times New Roman" w:eastAsia="宋体" w:cs="Times New Roman"/>
          <w:color w:val="auto"/>
          <w:sz w:val="24"/>
        </w:rPr>
        <w:t>5252</w:t>
      </w:r>
      <w:r>
        <w:rPr>
          <w:rFonts w:hint="eastAsia" w:ascii="Times New Roman" w:hAnsi="Times New Roman" w:eastAsia="宋体" w:cs="Times New Roman"/>
          <w:color w:val="auto"/>
          <w:sz w:val="24"/>
        </w:rPr>
        <w:t>m</w:t>
      </w:r>
      <w:r>
        <w:rPr>
          <w:rFonts w:ascii="Times New Roman" w:hAnsi="Times New Roman" w:eastAsia="宋体" w:cs="Times New Roman"/>
          <w:color w:val="auto"/>
          <w:sz w:val="24"/>
          <w:vertAlign w:val="superscript"/>
        </w:rPr>
        <w:t>3</w:t>
      </w:r>
      <w:r>
        <w:rPr>
          <w:rFonts w:hint="eastAsia" w:ascii="Times New Roman" w:hAnsi="Times New Roman" w:eastAsia="宋体" w:cs="Times New Roman"/>
          <w:color w:val="auto"/>
          <w:sz w:val="24"/>
        </w:rPr>
        <w:t>收集后运送上岸再由车辆运输至陆域工程</w:t>
      </w:r>
      <w:r>
        <w:rPr>
          <w:rFonts w:ascii="Times New Roman" w:hAnsi="Times New Roman" w:eastAsia="宋体" w:cs="Times New Roman"/>
          <w:color w:val="auto"/>
          <w:sz w:val="24"/>
        </w:rPr>
        <w:t>进港道路及路面拓宽</w:t>
      </w:r>
      <w:r>
        <w:rPr>
          <w:rFonts w:hint="eastAsia" w:ascii="Times New Roman" w:hAnsi="Times New Roman" w:eastAsia="宋体" w:cs="Times New Roman"/>
          <w:color w:val="auto"/>
          <w:sz w:val="24"/>
        </w:rPr>
        <w:t>处，作为填方使用。</w:t>
      </w:r>
    </w:p>
    <w:p w14:paraId="7386B57C">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码头上部结构施工时，施工建筑材料落入水体可能会对淮河水体环境造成影响</w:t>
      </w:r>
      <w:r>
        <w:rPr>
          <w:rFonts w:ascii="Times New Roman" w:hAnsi="Times New Roman" w:eastAsia="宋体" w:cs="Times New Roman"/>
          <w:color w:val="auto"/>
          <w:sz w:val="24"/>
        </w:rPr>
        <w:t>。</w:t>
      </w:r>
    </w:p>
    <w:p w14:paraId="275C69AA">
      <w:pPr>
        <w:spacing w:line="440" w:lineRule="exact"/>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（3）</w:t>
      </w:r>
      <w:r>
        <w:rPr>
          <w:rFonts w:ascii="Times New Roman" w:hAnsi="Times New Roman" w:eastAsia="宋体" w:cs="Times New Roman"/>
          <w:color w:val="auto"/>
          <w:sz w:val="24"/>
        </w:rPr>
        <w:t>抛泥区余水</w:t>
      </w:r>
    </w:p>
    <w:p w14:paraId="2AC1545D">
      <w:pPr>
        <w:spacing w:line="440" w:lineRule="exact"/>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本项目设置一处抛泥区，抛泥区</w:t>
      </w:r>
      <w:r>
        <w:rPr>
          <w:rFonts w:hint="eastAsia" w:ascii="Times New Roman" w:hAnsi="Times New Roman" w:eastAsia="宋体" w:cs="Times New Roman"/>
          <w:color w:val="auto"/>
          <w:sz w:val="24"/>
        </w:rPr>
        <w:t>占地范围内</w:t>
      </w:r>
      <w:r>
        <w:rPr>
          <w:rFonts w:ascii="Times New Roman" w:hAnsi="Times New Roman" w:eastAsia="宋体" w:cs="Times New Roman"/>
          <w:color w:val="auto"/>
          <w:sz w:val="24"/>
        </w:rPr>
        <w:t>设置</w:t>
      </w:r>
      <w:r>
        <w:rPr>
          <w:rFonts w:hint="eastAsia" w:ascii="Times New Roman" w:hAnsi="Times New Roman" w:eastAsia="宋体" w:cs="Times New Roman"/>
          <w:color w:val="auto"/>
          <w:sz w:val="24"/>
        </w:rPr>
        <w:t>一处</w:t>
      </w:r>
      <w:r>
        <w:rPr>
          <w:rFonts w:ascii="Times New Roman" w:hAnsi="Times New Roman" w:eastAsia="宋体" w:cs="Times New Roman"/>
          <w:color w:val="auto"/>
          <w:sz w:val="24"/>
        </w:rPr>
        <w:t>沉淀池容积约为600m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，淤泥水在沉淀池水力停留时间可以达到12h，完全能够满足淤泥沉淀需要。淤泥经吹填至抛泥区后，</w:t>
      </w:r>
      <w:r>
        <w:rPr>
          <w:rFonts w:hint="eastAsia" w:ascii="Times New Roman" w:hAnsi="Times New Roman" w:eastAsia="宋体" w:cs="Times New Roman"/>
          <w:color w:val="auto"/>
          <w:sz w:val="24"/>
        </w:rPr>
        <w:t>经沉淀去除悬浮物后，回用于场地抑尘、车辆冲洗等，不会对周边河道地表水环境造成不利影响。</w:t>
      </w:r>
    </w:p>
    <w:p w14:paraId="42432311">
      <w:pPr>
        <w:spacing w:line="440" w:lineRule="exact"/>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根据现状监测，</w:t>
      </w:r>
      <w:r>
        <w:rPr>
          <w:rFonts w:hint="eastAsia" w:ascii="Times New Roman" w:hAnsi="Times New Roman" w:eastAsia="宋体" w:cs="Times New Roman"/>
          <w:color w:val="auto"/>
          <w:sz w:val="24"/>
        </w:rPr>
        <w:t>项目所在地淮</w:t>
      </w:r>
      <w:r>
        <w:rPr>
          <w:rFonts w:ascii="Times New Roman" w:hAnsi="Times New Roman" w:eastAsia="宋体" w:cs="Times New Roman"/>
          <w:color w:val="auto"/>
          <w:sz w:val="24"/>
        </w:rPr>
        <w:t xml:space="preserve">河底泥重金属含量较低，底泥的各项监测指标均满足《土壤环境质量 </w:t>
      </w:r>
      <w:r>
        <w:rPr>
          <w:rFonts w:hint="eastAsia" w:ascii="Times New Roman" w:hAnsi="Times New Roman" w:eastAsia="宋体" w:cs="Times New Roman"/>
          <w:color w:val="auto"/>
          <w:sz w:val="24"/>
        </w:rPr>
        <w:t>农</w:t>
      </w:r>
      <w:r>
        <w:rPr>
          <w:rFonts w:ascii="Times New Roman" w:hAnsi="Times New Roman" w:eastAsia="宋体" w:cs="Times New Roman"/>
          <w:color w:val="auto"/>
          <w:sz w:val="24"/>
        </w:rPr>
        <w:t>用地土壤污染风险管控标准（试行）》</w:t>
      </w:r>
      <w:r>
        <w:rPr>
          <w:rFonts w:hint="eastAsia" w:cs="Times New Roman"/>
          <w:color w:val="auto"/>
          <w:sz w:val="24"/>
          <w:lang w:eastAsia="zh-CN"/>
        </w:rPr>
        <w:t>（</w:t>
      </w:r>
      <w:r>
        <w:rPr>
          <w:rFonts w:ascii="Times New Roman" w:hAnsi="Times New Roman" w:eastAsia="宋体" w:cs="Times New Roman"/>
          <w:color w:val="auto"/>
          <w:sz w:val="24"/>
        </w:rPr>
        <w:t>GB15618-2018)</w:t>
      </w:r>
      <w:r>
        <w:rPr>
          <w:rFonts w:hint="eastAsia" w:ascii="Times New Roman" w:hAnsi="Times New Roman" w:eastAsia="宋体" w:cs="Times New Roman"/>
          <w:color w:val="auto"/>
          <w:sz w:val="24"/>
        </w:rPr>
        <w:t>中风险</w:t>
      </w:r>
      <w:r>
        <w:rPr>
          <w:rFonts w:ascii="Times New Roman" w:hAnsi="Times New Roman" w:eastAsia="宋体" w:cs="Times New Roman"/>
          <w:color w:val="auto"/>
          <w:sz w:val="24"/>
        </w:rPr>
        <w:t>筛选值要求，抛泥区余水中主要污染因子是SS、N和P（N和P主要附着在悬浮物上）。</w:t>
      </w:r>
    </w:p>
    <w:p w14:paraId="667AB66B">
      <w:pPr>
        <w:spacing w:line="440" w:lineRule="exact"/>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（4）</w:t>
      </w:r>
      <w:r>
        <w:rPr>
          <w:rFonts w:ascii="Times New Roman" w:hAnsi="Times New Roman" w:eastAsia="宋体" w:cs="Times New Roman"/>
          <w:color w:val="auto"/>
          <w:sz w:val="24"/>
        </w:rPr>
        <w:t>扰动水体</w:t>
      </w:r>
    </w:p>
    <w:p w14:paraId="2DD6036E">
      <w:pPr>
        <w:spacing w:line="440" w:lineRule="exact"/>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①疏浚作业悬浮泥沙源强</w:t>
      </w:r>
    </w:p>
    <w:p w14:paraId="28789D40">
      <w:pPr>
        <w:spacing w:line="440" w:lineRule="exact"/>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本项目疏浚采用</w:t>
      </w:r>
      <w:r>
        <w:rPr>
          <w:rFonts w:hint="eastAsia" w:ascii="Times New Roman" w:hAnsi="Times New Roman" w:eastAsia="宋体" w:cs="Times New Roman"/>
          <w:color w:val="auto"/>
          <w:sz w:val="24"/>
        </w:rPr>
        <w:t>2</w:t>
      </w:r>
      <w:r>
        <w:rPr>
          <w:rFonts w:ascii="Times New Roman" w:hAnsi="Times New Roman" w:eastAsia="宋体" w:cs="Times New Roman"/>
          <w:color w:val="auto"/>
          <w:sz w:val="24"/>
        </w:rPr>
        <w:t>.0</w:t>
      </w:r>
      <w:r>
        <w:rPr>
          <w:rFonts w:hint="eastAsia" w:ascii="Times New Roman" w:hAnsi="Times New Roman" w:eastAsia="宋体" w:cs="Times New Roman"/>
          <w:color w:val="auto"/>
          <w:sz w:val="24"/>
        </w:rPr>
        <w:t>m</w:t>
      </w:r>
      <w:r>
        <w:rPr>
          <w:rFonts w:ascii="Times New Roman" w:hAnsi="Times New Roman" w:eastAsia="宋体" w:cs="Times New Roman"/>
          <w:color w:val="auto"/>
          <w:sz w:val="24"/>
          <w:vertAlign w:val="superscript"/>
        </w:rPr>
        <w:t>3</w:t>
      </w:r>
      <w:r>
        <w:rPr>
          <w:rFonts w:hint="eastAsia" w:ascii="Times New Roman" w:hAnsi="Times New Roman" w:eastAsia="宋体" w:cs="Times New Roman"/>
          <w:color w:val="auto"/>
          <w:sz w:val="24"/>
        </w:rPr>
        <w:t>抓斗式</w:t>
      </w:r>
      <w:r>
        <w:rPr>
          <w:rFonts w:ascii="Times New Roman" w:hAnsi="Times New Roman" w:eastAsia="宋体" w:cs="Times New Roman"/>
          <w:color w:val="auto"/>
          <w:sz w:val="24"/>
        </w:rPr>
        <w:t>挖泥船挖泥结合陆上挖掘机施工挖泥的方法，本项目</w:t>
      </w:r>
      <w:r>
        <w:rPr>
          <w:rFonts w:hint="eastAsia" w:ascii="Times New Roman" w:hAnsi="Times New Roman" w:eastAsia="宋体" w:cs="Times New Roman"/>
          <w:color w:val="auto"/>
          <w:sz w:val="24"/>
        </w:rPr>
        <w:t>疏浚量</w:t>
      </w:r>
      <w:r>
        <w:rPr>
          <w:rFonts w:ascii="Times New Roman" w:hAnsi="Times New Roman" w:eastAsia="宋体" w:cs="Times New Roman"/>
          <w:color w:val="auto"/>
          <w:sz w:val="24"/>
        </w:rPr>
        <w:t>约49060m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，根据《环境影响评价工程师执业资格登记培训交通运输培训教材》推荐的日本神户港的经验公式，计算疏浚产生的悬浮物泥沙的污染源强，经验公式如下：</w:t>
      </w:r>
    </w:p>
    <w:p w14:paraId="03304C11">
      <w:pPr>
        <w:ind w:firstLine="480" w:firstLineChars="200"/>
        <w:jc w:val="center"/>
        <w:rPr>
          <w:rFonts w:ascii="Times New Roman" w:hAnsi="Times New Roman" w:eastAsia="宋体" w:cs="Times New Roman"/>
          <w:color w:val="auto"/>
          <w:sz w:val="24"/>
        </w:rPr>
      </w:pPr>
      <w:r>
        <w:rPr>
          <w:rFonts w:ascii="Times New Roman" w:hAnsi="Times New Roman" w:eastAsia="宋体" w:cs="Times New Roman"/>
          <w:color w:val="auto"/>
          <w:sz w:val="24"/>
        </w:rPr>
        <w:object>
          <v:shape id="_x0000_i1027" o:spt="75" type="#_x0000_t75" style="height:18.75pt;width:94.5pt;" o:ole="t" filled="f" o:preferrelative="t" stroked="f" coordsize="21600,21600">
            <v:path/>
            <v:fill on="f" focussize="0,0"/>
            <v:stroke on="f"/>
            <v:imagedata r:id="rId62" o:title=""/>
            <o:lock v:ext="edit" aspectratio="t"/>
            <w10:wrap type="none"/>
            <w10:anchorlock/>
          </v:shape>
          <o:OLEObject Type="Embed" ProgID="Equation.3" ShapeID="_x0000_i1027" DrawAspect="Content" ObjectID="_1468075727" r:id="rId61">
            <o:LockedField>false</o:LockedField>
          </o:OLEObject>
        </w:object>
      </w:r>
    </w:p>
    <w:p w14:paraId="0A450F30">
      <w:pPr>
        <w:spacing w:line="440" w:lineRule="exact"/>
        <w:ind w:firstLine="480" w:firstLineChars="200"/>
        <w:rPr>
          <w:rFonts w:ascii="Times New Roman" w:hAnsi="Times New Roman" w:eastAsia="宋体" w:cs="Times New Roman"/>
          <w:color w:val="auto"/>
          <w:sz w:val="24"/>
        </w:rPr>
      </w:pPr>
      <w:bookmarkStart w:id="81" w:name="_Toc372101613"/>
      <w:r>
        <w:rPr>
          <w:rFonts w:ascii="Times New Roman" w:hAnsi="Times New Roman" w:eastAsia="宋体" w:cs="Times New Roman"/>
          <w:color w:val="auto"/>
          <w:sz w:val="24"/>
        </w:rPr>
        <w:t>W</w:t>
      </w:r>
      <w:r>
        <w:rPr>
          <w:rFonts w:ascii="Times New Roman" w:hAnsi="Times New Roman" w:eastAsia="宋体" w:cs="Times New Roman"/>
          <w:color w:val="auto"/>
          <w:sz w:val="24"/>
          <w:vertAlign w:val="subscript"/>
        </w:rPr>
        <w:t>1</w:t>
      </w:r>
      <w:r>
        <w:rPr>
          <w:rFonts w:ascii="Times New Roman" w:hAnsi="Times New Roman" w:eastAsia="宋体" w:cs="Times New Roman"/>
          <w:color w:val="auto"/>
          <w:sz w:val="24"/>
        </w:rPr>
        <w:t>—疏浚时悬浮物发生量，t/h；</w:t>
      </w:r>
      <w:bookmarkEnd w:id="81"/>
    </w:p>
    <w:p w14:paraId="440C9519">
      <w:pPr>
        <w:spacing w:line="440" w:lineRule="exact"/>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w:t>
      </w:r>
      <w:r>
        <w:rPr>
          <w:rFonts w:ascii="Times New Roman" w:hAnsi="Times New Roman" w:eastAsia="宋体" w:cs="Times New Roman"/>
          <w:color w:val="auto"/>
          <w:sz w:val="24"/>
          <w:vertAlign w:val="subscript"/>
        </w:rPr>
        <w:t>0</w:t>
      </w:r>
      <w:r>
        <w:rPr>
          <w:rFonts w:ascii="Times New Roman" w:hAnsi="Times New Roman" w:eastAsia="宋体" w:cs="Times New Roman"/>
          <w:color w:val="auto"/>
          <w:sz w:val="24"/>
        </w:rPr>
        <w:t>—悬浮物发生系数（t/m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p>
    <w:p w14:paraId="7CD3DC77">
      <w:pPr>
        <w:spacing w:line="440" w:lineRule="exact"/>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R—现场流速中SS界限粒子的粒径加积百分比；</w:t>
      </w:r>
    </w:p>
    <w:p w14:paraId="0FADCE17">
      <w:pPr>
        <w:spacing w:line="440" w:lineRule="exact"/>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R</w:t>
      </w:r>
      <w:r>
        <w:rPr>
          <w:rFonts w:ascii="Times New Roman" w:hAnsi="Times New Roman" w:eastAsia="宋体" w:cs="Times New Roman"/>
          <w:color w:val="auto"/>
          <w:sz w:val="24"/>
          <w:vertAlign w:val="subscript"/>
        </w:rPr>
        <w:t>0</w:t>
      </w:r>
      <w:r>
        <w:rPr>
          <w:rFonts w:ascii="Times New Roman" w:hAnsi="Times New Roman" w:eastAsia="宋体" w:cs="Times New Roman"/>
          <w:color w:val="auto"/>
          <w:sz w:val="24"/>
        </w:rPr>
        <w:t>—指定发生系数W</w:t>
      </w:r>
      <w:r>
        <w:rPr>
          <w:rFonts w:ascii="Times New Roman" w:hAnsi="Times New Roman" w:eastAsia="宋体" w:cs="Times New Roman"/>
          <w:color w:val="auto"/>
          <w:sz w:val="24"/>
          <w:vertAlign w:val="subscript"/>
        </w:rPr>
        <w:t>0</w:t>
      </w:r>
      <w:r>
        <w:rPr>
          <w:rFonts w:ascii="Times New Roman" w:hAnsi="Times New Roman" w:eastAsia="宋体" w:cs="Times New Roman"/>
          <w:color w:val="auto"/>
          <w:sz w:val="24"/>
        </w:rPr>
        <w:t>时土粒粒径加积百分比；</w:t>
      </w:r>
    </w:p>
    <w:p w14:paraId="407CE4DA">
      <w:pPr>
        <w:spacing w:line="440" w:lineRule="exact"/>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Q—挖泥船的疏浚效率（m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/h）。</w:t>
      </w:r>
    </w:p>
    <w:p w14:paraId="543E9529">
      <w:pPr>
        <w:spacing w:line="440" w:lineRule="exact"/>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悬浮物的发生系数不是一个定数，它和取沙的粒径级配有关，污染源强还取决于挖泥船的作业方式和效率，根据《环境影响评价工程师执业资格登记培训交通运输培训教材》，在没有粒径分析数据的情况下，参照表3.3-2选取。</w:t>
      </w:r>
    </w:p>
    <w:p w14:paraId="6B40015E">
      <w:pPr>
        <w:adjustRightInd w:val="0"/>
        <w:snapToGrid w:val="0"/>
        <w:spacing w:line="440" w:lineRule="exact"/>
        <w:jc w:val="center"/>
        <w:rPr>
          <w:rFonts w:ascii="Times New Roman" w:hAnsi="Times New Roman" w:eastAsia="黑体" w:cs="Times New Roman"/>
          <w:color w:val="auto"/>
          <w:kern w:val="0"/>
          <w:sz w:val="24"/>
          <w:szCs w:val="20"/>
        </w:rPr>
      </w:pPr>
      <w:r>
        <w:rPr>
          <w:rFonts w:ascii="Times New Roman" w:hAnsi="Times New Roman" w:eastAsia="黑体" w:cs="Times New Roman"/>
          <w:color w:val="auto"/>
          <w:kern w:val="0"/>
          <w:sz w:val="24"/>
          <w:szCs w:val="20"/>
        </w:rPr>
        <w:t>表3.3-2  疏浚悬浮物粒径分布参考值</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84"/>
        <w:gridCol w:w="2385"/>
        <w:gridCol w:w="2385"/>
        <w:gridCol w:w="2133"/>
      </w:tblGrid>
      <w:tr w14:paraId="4CC1DF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2384" w:type="dxa"/>
            <w:noWrap w:val="0"/>
            <w:vAlign w:val="center"/>
          </w:tcPr>
          <w:p w14:paraId="2285D115">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施工项目</w:t>
            </w:r>
          </w:p>
        </w:tc>
        <w:tc>
          <w:tcPr>
            <w:tcW w:w="2385" w:type="dxa"/>
            <w:noWrap w:val="0"/>
            <w:vAlign w:val="center"/>
          </w:tcPr>
          <w:p w14:paraId="4C277247">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b/>
                <w:color w:val="auto"/>
              </w:rPr>
              <w:object>
                <v:shape id="_x0000_i1028" o:spt="75" type="#_x0000_t75" style="height:11.25pt;width:11.25pt;" o:ole="t" filled="f" o:preferrelative="t" stroked="f" coordsize="21600,21600">
                  <v:path/>
                  <v:fill on="f" focussize="0,0"/>
                  <v:stroke on="f"/>
                  <v:imagedata r:id="rId64" o:title=""/>
                  <o:lock v:ext="edit" aspectratio="t"/>
                  <w10:wrap type="none"/>
                  <w10:anchorlock/>
                </v:shape>
                <o:OLEObject Type="Embed" ProgID="Equation.3" ShapeID="_x0000_i1028" DrawAspect="Content" ObjectID="_1468075728" r:id="rId63">
                  <o:LockedField>false</o:LockedField>
                </o:OLEObject>
              </w:object>
            </w:r>
          </w:p>
        </w:tc>
        <w:tc>
          <w:tcPr>
            <w:tcW w:w="2385" w:type="dxa"/>
            <w:noWrap w:val="0"/>
            <w:vAlign w:val="center"/>
          </w:tcPr>
          <w:p w14:paraId="2431800B">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R</w:t>
            </w:r>
            <w:r>
              <w:rPr>
                <w:rFonts w:hint="default" w:ascii="Times New Roman" w:hAnsi="Times New Roman" w:eastAsia="宋体" w:cs="Times New Roman"/>
                <w:b/>
                <w:color w:val="auto"/>
                <w:kern w:val="0"/>
                <w:vertAlign w:val="subscript"/>
              </w:rPr>
              <w:t>0</w:t>
            </w:r>
          </w:p>
        </w:tc>
        <w:tc>
          <w:tcPr>
            <w:tcW w:w="2133" w:type="dxa"/>
            <w:noWrap w:val="0"/>
            <w:vAlign w:val="center"/>
          </w:tcPr>
          <w:p w14:paraId="3DEF9D72">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W</w:t>
            </w:r>
            <w:r>
              <w:rPr>
                <w:rFonts w:hint="default" w:ascii="Times New Roman" w:hAnsi="Times New Roman" w:eastAsia="宋体" w:cs="Times New Roman"/>
                <w:b/>
                <w:color w:val="auto"/>
                <w:kern w:val="0"/>
                <w:vertAlign w:val="subscript"/>
              </w:rPr>
              <w:t>0</w:t>
            </w:r>
          </w:p>
        </w:tc>
      </w:tr>
      <w:tr w14:paraId="0958DB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3" w:hRule="atLeast"/>
          <w:jc w:val="center"/>
        </w:trPr>
        <w:tc>
          <w:tcPr>
            <w:tcW w:w="2384" w:type="dxa"/>
            <w:noWrap w:val="0"/>
            <w:vAlign w:val="center"/>
          </w:tcPr>
          <w:p w14:paraId="570568BD">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填筑</w:t>
            </w:r>
          </w:p>
        </w:tc>
        <w:tc>
          <w:tcPr>
            <w:tcW w:w="2385" w:type="dxa"/>
            <w:noWrap w:val="0"/>
            <w:vAlign w:val="center"/>
          </w:tcPr>
          <w:p w14:paraId="1BFE9115">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23.0%</w:t>
            </w:r>
          </w:p>
        </w:tc>
        <w:tc>
          <w:tcPr>
            <w:tcW w:w="2385" w:type="dxa"/>
            <w:noWrap w:val="0"/>
            <w:vAlign w:val="center"/>
          </w:tcPr>
          <w:p w14:paraId="09B419E9">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36.55%</w:t>
            </w:r>
          </w:p>
        </w:tc>
        <w:tc>
          <w:tcPr>
            <w:tcW w:w="2133" w:type="dxa"/>
            <w:noWrap w:val="0"/>
            <w:vAlign w:val="center"/>
          </w:tcPr>
          <w:p w14:paraId="0C56A81F">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1.49×10</w:t>
            </w:r>
            <w:r>
              <w:rPr>
                <w:rFonts w:hint="default" w:ascii="Times New Roman" w:hAnsi="Times New Roman" w:eastAsia="宋体" w:cs="Times New Roman"/>
                <w:color w:val="auto"/>
                <w:kern w:val="0"/>
                <w:vertAlign w:val="superscript"/>
              </w:rPr>
              <w:t>-3</w:t>
            </w:r>
            <w:r>
              <w:rPr>
                <w:rFonts w:hint="default" w:ascii="Times New Roman" w:hAnsi="Times New Roman" w:eastAsia="宋体" w:cs="Times New Roman"/>
                <w:color w:val="auto"/>
                <w:kern w:val="0"/>
              </w:rPr>
              <w:t>t/m</w:t>
            </w:r>
            <w:r>
              <w:rPr>
                <w:rFonts w:hint="default" w:ascii="Times New Roman" w:hAnsi="Times New Roman" w:eastAsia="宋体" w:cs="Times New Roman"/>
                <w:color w:val="auto"/>
                <w:kern w:val="0"/>
                <w:vertAlign w:val="superscript"/>
              </w:rPr>
              <w:t>3</w:t>
            </w:r>
          </w:p>
        </w:tc>
      </w:tr>
      <w:tr w14:paraId="1DA18B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2384" w:type="dxa"/>
            <w:noWrap w:val="0"/>
            <w:vAlign w:val="center"/>
          </w:tcPr>
          <w:p w14:paraId="2283DB44">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疏浚</w:t>
            </w:r>
          </w:p>
        </w:tc>
        <w:tc>
          <w:tcPr>
            <w:tcW w:w="2385" w:type="dxa"/>
            <w:noWrap w:val="0"/>
            <w:vAlign w:val="center"/>
          </w:tcPr>
          <w:p w14:paraId="7E758F7E">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89.2%</w:t>
            </w:r>
          </w:p>
        </w:tc>
        <w:tc>
          <w:tcPr>
            <w:tcW w:w="2385" w:type="dxa"/>
            <w:noWrap w:val="0"/>
            <w:vAlign w:val="center"/>
          </w:tcPr>
          <w:p w14:paraId="431E15FD">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80.2%</w:t>
            </w:r>
          </w:p>
        </w:tc>
        <w:tc>
          <w:tcPr>
            <w:tcW w:w="2133" w:type="dxa"/>
            <w:noWrap w:val="0"/>
            <w:vAlign w:val="center"/>
          </w:tcPr>
          <w:p w14:paraId="758B89B2">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38.0×10</w:t>
            </w:r>
            <w:r>
              <w:rPr>
                <w:rFonts w:hint="default" w:ascii="Times New Roman" w:hAnsi="Times New Roman" w:eastAsia="宋体" w:cs="Times New Roman"/>
                <w:color w:val="auto"/>
                <w:kern w:val="0"/>
                <w:vertAlign w:val="superscript"/>
              </w:rPr>
              <w:t>-3</w:t>
            </w:r>
            <w:r>
              <w:rPr>
                <w:rFonts w:hint="default" w:ascii="Times New Roman" w:hAnsi="Times New Roman" w:eastAsia="宋体" w:cs="Times New Roman"/>
                <w:color w:val="auto"/>
                <w:kern w:val="0"/>
              </w:rPr>
              <w:t>t/m</w:t>
            </w:r>
            <w:r>
              <w:rPr>
                <w:rFonts w:hint="default" w:ascii="Times New Roman" w:hAnsi="Times New Roman" w:eastAsia="宋体" w:cs="Times New Roman"/>
                <w:color w:val="auto"/>
                <w:kern w:val="0"/>
                <w:vertAlign w:val="superscript"/>
              </w:rPr>
              <w:t>3</w:t>
            </w:r>
          </w:p>
        </w:tc>
      </w:tr>
    </w:tbl>
    <w:p w14:paraId="1E9E9992">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由经验公式计算的，本项目疏浚时悬浮物产生量为0.0845t/h。</w:t>
      </w:r>
    </w:p>
    <w:p w14:paraId="4174D8B7">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②</w:t>
      </w:r>
      <w:r>
        <w:rPr>
          <w:rFonts w:ascii="Times New Roman" w:hAnsi="Times New Roman" w:eastAsia="宋体" w:cs="Times New Roman"/>
          <w:color w:val="auto"/>
          <w:sz w:val="24"/>
        </w:rPr>
        <w:t>各施工工序对</w:t>
      </w:r>
      <w:r>
        <w:rPr>
          <w:rFonts w:hint="eastAsia" w:ascii="Times New Roman" w:hAnsi="Times New Roman" w:eastAsia="宋体" w:cs="Times New Roman"/>
          <w:color w:val="auto"/>
          <w:sz w:val="24"/>
        </w:rPr>
        <w:t>淮</w:t>
      </w:r>
      <w:r>
        <w:rPr>
          <w:rFonts w:ascii="Times New Roman" w:hAnsi="Times New Roman" w:eastAsia="宋体" w:cs="Times New Roman"/>
          <w:color w:val="auto"/>
          <w:sz w:val="24"/>
        </w:rPr>
        <w:t>河水体扰动影响</w:t>
      </w:r>
    </w:p>
    <w:p w14:paraId="5E72F173">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码头建筑物施工平台施工、水下构筑物施工时对水环境的影响主要是导致周边水体浑浊，底泥悬浮，以及管理、操作不当，施工物料跌落水体，泥浆</w:t>
      </w:r>
      <w:r>
        <w:rPr>
          <w:rFonts w:hint="eastAsia" w:ascii="Times New Roman" w:hAnsi="Times New Roman" w:eastAsia="宋体" w:cs="Times New Roman"/>
          <w:color w:val="auto"/>
          <w:sz w:val="24"/>
        </w:rPr>
        <w:t>水</w:t>
      </w:r>
      <w:r>
        <w:rPr>
          <w:rFonts w:ascii="Times New Roman" w:hAnsi="Times New Roman" w:eastAsia="宋体" w:cs="Times New Roman"/>
          <w:color w:val="auto"/>
          <w:sz w:val="24"/>
        </w:rPr>
        <w:t>流入水体，将使地表水体中悬浮物含量增加，并可能对水生生物活动产生一定影响。尤其是在水下挖泥过程中，将使局部水域变</w:t>
      </w:r>
      <w:r>
        <w:rPr>
          <w:rFonts w:hint="eastAsia" w:cs="Times New Roman"/>
          <w:color w:val="auto"/>
          <w:sz w:val="24"/>
          <w:lang w:eastAsia="zh-CN"/>
        </w:rPr>
        <w:t>浑浊</w:t>
      </w:r>
      <w:r>
        <w:rPr>
          <w:rFonts w:ascii="Times New Roman" w:hAnsi="Times New Roman" w:eastAsia="宋体" w:cs="Times New Roman"/>
          <w:color w:val="auto"/>
          <w:sz w:val="24"/>
        </w:rPr>
        <w:t>，水体中的SS含量显著增加，SS浓度升高100～200mg/L，N、P释放速率较静止状态提高了2倍。</w:t>
      </w:r>
    </w:p>
    <w:p w14:paraId="5B982873">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（5）</w:t>
      </w:r>
      <w:r>
        <w:rPr>
          <w:rFonts w:ascii="Times New Roman" w:hAnsi="Times New Roman" w:eastAsia="宋体" w:cs="Times New Roman"/>
          <w:color w:val="auto"/>
          <w:sz w:val="24"/>
        </w:rPr>
        <w:t>施工船舶污水</w:t>
      </w:r>
    </w:p>
    <w:p w14:paraId="42DC3943">
      <w:pPr>
        <w:spacing w:line="360" w:lineRule="auto"/>
        <w:ind w:firstLine="480" w:firstLineChars="200"/>
        <w:rPr>
          <w:rFonts w:hint="eastAsia" w:ascii="Times New Roman" w:hAnsi="Times New Roman" w:eastAsia="宋体" w:cs="Times New Roman"/>
          <w:color w:val="auto"/>
          <w:sz w:val="24"/>
        </w:rPr>
      </w:pPr>
      <w:r>
        <w:rPr>
          <w:rFonts w:ascii="Times New Roman" w:hAnsi="Times New Roman" w:eastAsia="宋体" w:cs="Times New Roman"/>
          <w:color w:val="auto"/>
          <w:sz w:val="24"/>
        </w:rPr>
        <w:t>施工船舶主要为</w:t>
      </w:r>
      <w:r>
        <w:rPr>
          <w:rFonts w:hint="eastAsia" w:ascii="Times New Roman" w:hAnsi="Times New Roman" w:eastAsia="宋体" w:cs="Times New Roman"/>
          <w:color w:val="auto"/>
          <w:sz w:val="24"/>
        </w:rPr>
        <w:t>抓斗式</w:t>
      </w:r>
      <w:r>
        <w:rPr>
          <w:rFonts w:ascii="Times New Roman" w:hAnsi="Times New Roman" w:eastAsia="宋体" w:cs="Times New Roman"/>
          <w:color w:val="auto"/>
          <w:sz w:val="24"/>
        </w:rPr>
        <w:t>挖泥船，污水包括船舶含油污水和船舶施工人员生活污水。本项目施工船舶含油污水由船舶自备的油水分离器隔油处理后由船舶统一收集后定期委托有资质的单位按照有关规定接收和处理。</w:t>
      </w:r>
      <w:r>
        <w:rPr>
          <w:rFonts w:hint="eastAsia" w:ascii="Times New Roman" w:hAnsi="Times New Roman" w:eastAsia="宋体" w:cs="Times New Roman"/>
          <w:color w:val="auto"/>
          <w:sz w:val="24"/>
        </w:rPr>
        <w:t>拟建项目施工船舶生活污水收集后由船舶统一收集后定期送至海事部门指定的船舶生活污水接收点进行处理。</w:t>
      </w:r>
    </w:p>
    <w:p w14:paraId="792C269A">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（6）</w:t>
      </w:r>
      <w:r>
        <w:rPr>
          <w:rFonts w:ascii="Times New Roman" w:hAnsi="Times New Roman" w:eastAsia="宋体" w:cs="Times New Roman"/>
          <w:color w:val="auto"/>
          <w:sz w:val="24"/>
        </w:rPr>
        <w:t>施工人员生活污水</w:t>
      </w:r>
    </w:p>
    <w:p w14:paraId="3169F3E9">
      <w:pPr>
        <w:widowControl w:val="0"/>
        <w:spacing w:after="0" w:line="360" w:lineRule="auto"/>
        <w:ind w:firstLine="480" w:firstLineChars="200"/>
        <w:jc w:val="both"/>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本项目不设置施工营地，</w:t>
      </w:r>
      <w:r>
        <w:rPr>
          <w:rFonts w:ascii="Times New Roman" w:hAnsi="Times New Roman" w:eastAsia="宋体" w:cs="Times New Roman"/>
          <w:color w:val="auto"/>
          <w:kern w:val="2"/>
          <w:sz w:val="24"/>
          <w:szCs w:val="24"/>
          <w:lang w:val="en-US" w:eastAsia="zh-CN" w:bidi="ar-SA"/>
        </w:rPr>
        <w:t>本项目施工人员约22人，</w:t>
      </w:r>
      <w:r>
        <w:rPr>
          <w:rFonts w:hint="eastAsia" w:ascii="宋体" w:hAnsi="宋体" w:eastAsia="宋体" w:cs="Times New Roman"/>
          <w:color w:val="auto"/>
          <w:kern w:val="2"/>
          <w:sz w:val="24"/>
          <w:szCs w:val="24"/>
          <w:lang w:val="en-US" w:eastAsia="zh-CN" w:bidi="ar-SA"/>
        </w:rPr>
        <w:t>施工期工人在周边租赁村民民房，施工场地基本不产生生活污水。施工期人员利用周边已有旱厕，收集后用于当地农田或林地肥料。</w:t>
      </w:r>
    </w:p>
    <w:p w14:paraId="3684058F">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3.3.1.3施工</w:t>
      </w:r>
      <w:r>
        <w:rPr>
          <w:rFonts w:ascii="Times New Roman" w:hAnsi="Times New Roman" w:eastAsia="黑体" w:cs="Times New Roman"/>
          <w:bCs/>
          <w:color w:val="auto"/>
          <w:kern w:val="2"/>
          <w:sz w:val="24"/>
          <w:szCs w:val="28"/>
          <w:lang w:val="en-US" w:eastAsia="zh-CN" w:bidi="ar-SA"/>
        </w:rPr>
        <w:t>期</w:t>
      </w:r>
      <w:r>
        <w:rPr>
          <w:rFonts w:hint="eastAsia" w:ascii="Times New Roman" w:hAnsi="Times New Roman" w:eastAsia="黑体" w:cs="Times New Roman"/>
          <w:bCs/>
          <w:color w:val="auto"/>
          <w:kern w:val="2"/>
          <w:sz w:val="24"/>
          <w:szCs w:val="28"/>
          <w:lang w:val="en-US" w:eastAsia="zh-CN" w:bidi="ar-SA"/>
        </w:rPr>
        <w:t>噪声</w:t>
      </w:r>
      <w:r>
        <w:rPr>
          <w:rFonts w:ascii="Times New Roman" w:hAnsi="Times New Roman" w:eastAsia="黑体" w:cs="Times New Roman"/>
          <w:bCs/>
          <w:color w:val="auto"/>
          <w:kern w:val="2"/>
          <w:sz w:val="24"/>
          <w:szCs w:val="28"/>
          <w:lang w:val="en-US" w:eastAsia="zh-CN" w:bidi="ar-SA"/>
        </w:rPr>
        <w:t>源强</w:t>
      </w:r>
    </w:p>
    <w:p w14:paraId="22020AF2">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根据工程布置，施工过程中噪声较大的污染源有可能对现场施工人员及周边环境敏感点产生不利影响。工程施工的噪声源主要有施工机械固定噪声源和运输车辆流动噪声源，参照《环境噪声与振动控制工程技术导则》（HJ2034-2013）、《水运工程建设项目环境影响评价指南》</w:t>
      </w:r>
      <w:r>
        <w:rPr>
          <w:rFonts w:hint="eastAsia" w:cs="宋体"/>
          <w:snapToGrid w:val="0"/>
          <w:color w:val="auto"/>
          <w:kern w:val="0"/>
          <w:sz w:val="24"/>
          <w:szCs w:val="21"/>
          <w:lang w:val="zh-CN" w:eastAsia="zh-CN" w:bidi="ar-SA"/>
        </w:rPr>
        <w:t>（</w:t>
      </w:r>
      <w:r>
        <w:rPr>
          <w:color w:val="auto"/>
          <w:sz w:val="24"/>
        </w:rPr>
        <w:t>JTS/T 105-2021</w:t>
      </w:r>
      <w:r>
        <w:rPr>
          <w:rFonts w:ascii="Times New Roman" w:hAnsi="Times New Roman" w:eastAsia="宋体" w:cs="宋体"/>
          <w:snapToGrid w:val="0"/>
          <w:color w:val="auto"/>
          <w:kern w:val="0"/>
          <w:sz w:val="24"/>
          <w:szCs w:val="21"/>
          <w:lang w:val="zh-CN" w:eastAsia="zh-CN" w:bidi="ar-SA"/>
        </w:rPr>
        <w:t>)、《</w:t>
      </w:r>
      <w:r>
        <w:rPr>
          <w:rFonts w:hint="eastAsia" w:cs="宋体"/>
          <w:snapToGrid w:val="0"/>
          <w:color w:val="auto"/>
          <w:kern w:val="0"/>
          <w:sz w:val="24"/>
          <w:szCs w:val="21"/>
          <w:lang w:val="zh-CN" w:eastAsia="zh-CN" w:bidi="ar-SA"/>
        </w:rPr>
        <w:t>水电工程施工机械选择设计规范</w:t>
      </w:r>
      <w:r>
        <w:rPr>
          <w:rFonts w:ascii="Times New Roman" w:hAnsi="Times New Roman" w:eastAsia="宋体" w:cs="宋体"/>
          <w:snapToGrid w:val="0"/>
          <w:color w:val="auto"/>
          <w:kern w:val="0"/>
          <w:sz w:val="24"/>
          <w:szCs w:val="21"/>
          <w:lang w:val="zh-CN" w:eastAsia="zh-CN" w:bidi="ar-SA"/>
        </w:rPr>
        <w:t>》（</w:t>
      </w:r>
      <w:r>
        <w:rPr>
          <w:rFonts w:hint="eastAsia" w:cs="宋体"/>
          <w:snapToGrid w:val="0"/>
          <w:color w:val="auto"/>
          <w:kern w:val="0"/>
          <w:sz w:val="24"/>
          <w:szCs w:val="21"/>
          <w:lang w:val="zh-CN" w:eastAsia="zh-CN" w:bidi="ar-SA"/>
        </w:rPr>
        <w:t>NB/T 10237-2019</w:t>
      </w:r>
      <w:r>
        <w:rPr>
          <w:rFonts w:ascii="Times New Roman" w:hAnsi="Times New Roman" w:eastAsia="宋体" w:cs="宋体"/>
          <w:snapToGrid w:val="0"/>
          <w:color w:val="auto"/>
          <w:kern w:val="0"/>
          <w:sz w:val="24"/>
          <w:szCs w:val="21"/>
          <w:lang w:val="zh-CN" w:eastAsia="zh-CN" w:bidi="ar-SA"/>
        </w:rPr>
        <w:t>），工程所用机械及其产生的噪声污染源强见下表。</w:t>
      </w:r>
    </w:p>
    <w:p w14:paraId="555685A6">
      <w:pPr>
        <w:adjustRightInd w:val="0"/>
        <w:snapToGrid w:val="0"/>
        <w:spacing w:line="440" w:lineRule="exact"/>
        <w:jc w:val="center"/>
        <w:rPr>
          <w:rFonts w:ascii="Times New Roman" w:hAnsi="Times New Roman" w:eastAsia="黑体" w:cs="Times New Roman"/>
          <w:color w:val="auto"/>
          <w:kern w:val="0"/>
          <w:sz w:val="24"/>
          <w:szCs w:val="20"/>
        </w:rPr>
      </w:pPr>
      <w:r>
        <w:rPr>
          <w:rFonts w:ascii="Times New Roman" w:hAnsi="Times New Roman" w:eastAsia="黑体" w:cs="Times New Roman"/>
          <w:color w:val="auto"/>
          <w:kern w:val="0"/>
          <w:sz w:val="24"/>
          <w:szCs w:val="20"/>
        </w:rPr>
        <w:t>表3.3-4  主要施工机械及噪声</w:t>
      </w:r>
      <w:r>
        <w:rPr>
          <w:rFonts w:hint="eastAsia" w:ascii="Times New Roman" w:hAnsi="Times New Roman" w:eastAsia="黑体" w:cs="Times New Roman"/>
          <w:color w:val="auto"/>
          <w:kern w:val="0"/>
          <w:sz w:val="24"/>
          <w:szCs w:val="20"/>
        </w:rPr>
        <w:t>污染</w:t>
      </w:r>
      <w:r>
        <w:rPr>
          <w:rFonts w:ascii="Times New Roman" w:hAnsi="Times New Roman" w:eastAsia="黑体" w:cs="Times New Roman"/>
          <w:color w:val="auto"/>
          <w:kern w:val="0"/>
          <w:sz w:val="24"/>
          <w:szCs w:val="20"/>
        </w:rPr>
        <w:t>源强一览表    单位：dB（A）</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3119"/>
        <w:gridCol w:w="2552"/>
        <w:gridCol w:w="1382"/>
      </w:tblGrid>
      <w:tr w14:paraId="3B7A8C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984" w:type="dxa"/>
            <w:noWrap w:val="0"/>
            <w:vAlign w:val="center"/>
          </w:tcPr>
          <w:p w14:paraId="06027D5D">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eastAsia" w:ascii="Times New Roman" w:hAnsi="Times New Roman" w:eastAsia="宋体" w:cs="Times New Roman"/>
                <w:b/>
                <w:color w:val="auto"/>
                <w:kern w:val="0"/>
              </w:rPr>
              <w:t>序号</w:t>
            </w:r>
          </w:p>
        </w:tc>
        <w:tc>
          <w:tcPr>
            <w:tcW w:w="3119" w:type="dxa"/>
            <w:noWrap w:val="0"/>
            <w:vAlign w:val="center"/>
          </w:tcPr>
          <w:p w14:paraId="1D561A47">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机械名称</w:t>
            </w:r>
          </w:p>
        </w:tc>
        <w:tc>
          <w:tcPr>
            <w:tcW w:w="2552" w:type="dxa"/>
            <w:noWrap w:val="0"/>
            <w:vAlign w:val="center"/>
          </w:tcPr>
          <w:p w14:paraId="706CB19A">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测点距施工机械距离</w:t>
            </w:r>
          </w:p>
        </w:tc>
        <w:tc>
          <w:tcPr>
            <w:tcW w:w="1382" w:type="dxa"/>
            <w:noWrap w:val="0"/>
            <w:vAlign w:val="center"/>
          </w:tcPr>
          <w:p w14:paraId="13375ACB">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参考声压级</w:t>
            </w:r>
          </w:p>
        </w:tc>
      </w:tr>
      <w:tr w14:paraId="3C1F01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984" w:type="dxa"/>
            <w:noWrap w:val="0"/>
            <w:vAlign w:val="center"/>
          </w:tcPr>
          <w:p w14:paraId="740A5405">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1</w:t>
            </w:r>
          </w:p>
        </w:tc>
        <w:tc>
          <w:tcPr>
            <w:tcW w:w="3119" w:type="dxa"/>
            <w:noWrap w:val="0"/>
            <w:vAlign w:val="center"/>
          </w:tcPr>
          <w:p w14:paraId="64AEE4E2">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color w:val="auto"/>
                <w:kern w:val="0"/>
              </w:rPr>
              <w:t>1.0m</w:t>
            </w:r>
            <w:r>
              <w:rPr>
                <w:rFonts w:hint="default" w:ascii="Times New Roman" w:hAnsi="Times New Roman" w:eastAsia="宋体" w:cs="Times New Roman"/>
                <w:color w:val="auto"/>
                <w:kern w:val="0"/>
                <w:vertAlign w:val="superscript"/>
              </w:rPr>
              <w:t>3</w:t>
            </w:r>
            <w:r>
              <w:rPr>
                <w:rFonts w:hint="default" w:ascii="Times New Roman" w:hAnsi="Times New Roman" w:eastAsia="宋体" w:cs="Times New Roman"/>
                <w:color w:val="auto"/>
                <w:kern w:val="0"/>
              </w:rPr>
              <w:t>反铲挖掘机</w:t>
            </w:r>
          </w:p>
        </w:tc>
        <w:tc>
          <w:tcPr>
            <w:tcW w:w="2552" w:type="dxa"/>
            <w:noWrap w:val="0"/>
            <w:vAlign w:val="center"/>
          </w:tcPr>
          <w:p w14:paraId="172FFA8B">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color w:val="auto"/>
                <w:kern w:val="0"/>
              </w:rPr>
              <w:t>5</w:t>
            </w:r>
          </w:p>
        </w:tc>
        <w:tc>
          <w:tcPr>
            <w:tcW w:w="1382" w:type="dxa"/>
            <w:noWrap w:val="0"/>
            <w:vAlign w:val="center"/>
          </w:tcPr>
          <w:p w14:paraId="56A5FC12">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color w:val="auto"/>
                <w:kern w:val="0"/>
              </w:rPr>
              <w:t>84</w:t>
            </w:r>
          </w:p>
        </w:tc>
      </w:tr>
      <w:tr w14:paraId="094827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984" w:type="dxa"/>
            <w:noWrap w:val="0"/>
            <w:vAlign w:val="center"/>
          </w:tcPr>
          <w:p w14:paraId="78A5F836">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2</w:t>
            </w:r>
          </w:p>
        </w:tc>
        <w:tc>
          <w:tcPr>
            <w:tcW w:w="3119" w:type="dxa"/>
            <w:noWrap w:val="0"/>
            <w:vAlign w:val="center"/>
          </w:tcPr>
          <w:p w14:paraId="7762EF01">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5</w:t>
            </w:r>
            <w:r>
              <w:rPr>
                <w:rFonts w:hint="default" w:ascii="Times New Roman" w:hAnsi="Times New Roman" w:eastAsia="宋体" w:cs="Times New Roman"/>
                <w:bCs/>
                <w:color w:val="auto"/>
                <w:kern w:val="0"/>
              </w:rPr>
              <w:t>5~74kW推土机</w:t>
            </w:r>
          </w:p>
        </w:tc>
        <w:tc>
          <w:tcPr>
            <w:tcW w:w="2552" w:type="dxa"/>
            <w:noWrap w:val="0"/>
            <w:vAlign w:val="center"/>
          </w:tcPr>
          <w:p w14:paraId="16806CA2">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color w:val="auto"/>
                <w:kern w:val="0"/>
              </w:rPr>
              <w:t>5</w:t>
            </w:r>
          </w:p>
        </w:tc>
        <w:tc>
          <w:tcPr>
            <w:tcW w:w="1382" w:type="dxa"/>
            <w:noWrap w:val="0"/>
            <w:vAlign w:val="center"/>
          </w:tcPr>
          <w:p w14:paraId="3AA7ADB5">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color w:val="auto"/>
                <w:kern w:val="0"/>
              </w:rPr>
              <w:t>85</w:t>
            </w:r>
          </w:p>
        </w:tc>
      </w:tr>
      <w:tr w14:paraId="565A71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984" w:type="dxa"/>
            <w:noWrap w:val="0"/>
            <w:vAlign w:val="center"/>
          </w:tcPr>
          <w:p w14:paraId="4262A474">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3</w:t>
            </w:r>
          </w:p>
        </w:tc>
        <w:tc>
          <w:tcPr>
            <w:tcW w:w="3119" w:type="dxa"/>
            <w:noWrap w:val="0"/>
            <w:vAlign w:val="center"/>
          </w:tcPr>
          <w:p w14:paraId="15D003E0">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0</w:t>
            </w:r>
            <w:r>
              <w:rPr>
                <w:rFonts w:hint="default" w:ascii="Times New Roman" w:hAnsi="Times New Roman" w:eastAsia="宋体" w:cs="Times New Roman"/>
                <w:bCs/>
                <w:color w:val="auto"/>
                <w:kern w:val="0"/>
              </w:rPr>
              <w:t>.4</w:t>
            </w:r>
            <w:r>
              <w:rPr>
                <w:rFonts w:hint="eastAsia" w:ascii="Times New Roman" w:hAnsi="Times New Roman" w:eastAsia="宋体" w:cs="Times New Roman"/>
                <w:bCs/>
                <w:color w:val="auto"/>
                <w:kern w:val="0"/>
              </w:rPr>
              <w:t>m</w:t>
            </w:r>
            <w:r>
              <w:rPr>
                <w:rFonts w:hint="default" w:ascii="Times New Roman" w:hAnsi="Times New Roman" w:eastAsia="宋体" w:cs="Times New Roman"/>
                <w:bCs/>
                <w:color w:val="auto"/>
                <w:kern w:val="0"/>
                <w:vertAlign w:val="superscript"/>
              </w:rPr>
              <w:t>3</w:t>
            </w:r>
            <w:r>
              <w:rPr>
                <w:rFonts w:hint="eastAsia" w:ascii="Times New Roman" w:hAnsi="Times New Roman" w:eastAsia="宋体" w:cs="Times New Roman"/>
                <w:bCs/>
                <w:color w:val="auto"/>
                <w:kern w:val="0"/>
              </w:rPr>
              <w:t>混凝土搅拌机</w:t>
            </w:r>
          </w:p>
        </w:tc>
        <w:tc>
          <w:tcPr>
            <w:tcW w:w="2552" w:type="dxa"/>
            <w:noWrap w:val="0"/>
            <w:vAlign w:val="center"/>
          </w:tcPr>
          <w:p w14:paraId="7DB2E18D">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color w:val="auto"/>
                <w:kern w:val="0"/>
              </w:rPr>
              <w:t>10</w:t>
            </w:r>
          </w:p>
        </w:tc>
        <w:tc>
          <w:tcPr>
            <w:tcW w:w="1382" w:type="dxa"/>
            <w:noWrap w:val="0"/>
            <w:vAlign w:val="center"/>
          </w:tcPr>
          <w:p w14:paraId="5EF018C7">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color w:val="auto"/>
                <w:kern w:val="0"/>
              </w:rPr>
              <w:t>86</w:t>
            </w:r>
          </w:p>
        </w:tc>
      </w:tr>
      <w:tr w14:paraId="4B9E19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984" w:type="dxa"/>
            <w:noWrap w:val="0"/>
            <w:vAlign w:val="center"/>
          </w:tcPr>
          <w:p w14:paraId="72C90359">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4</w:t>
            </w:r>
          </w:p>
        </w:tc>
        <w:tc>
          <w:tcPr>
            <w:tcW w:w="3119" w:type="dxa"/>
            <w:noWrap w:val="0"/>
            <w:vAlign w:val="center"/>
          </w:tcPr>
          <w:p w14:paraId="4159CD75">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eastAsia" w:ascii="Times New Roman" w:hAnsi="Times New Roman" w:eastAsia="宋体" w:cs="Times New Roman"/>
                <w:color w:val="auto"/>
                <w:kern w:val="0"/>
              </w:rPr>
              <w:t>2</w:t>
            </w:r>
            <w:r>
              <w:rPr>
                <w:rFonts w:hint="default" w:ascii="Times New Roman" w:hAnsi="Times New Roman" w:eastAsia="宋体" w:cs="Times New Roman"/>
                <w:color w:val="auto"/>
                <w:kern w:val="0"/>
              </w:rPr>
              <w:t>.8</w:t>
            </w:r>
            <w:r>
              <w:rPr>
                <w:rFonts w:hint="eastAsia" w:ascii="Times New Roman" w:hAnsi="Times New Roman" w:eastAsia="宋体" w:cs="Times New Roman"/>
                <w:color w:val="auto"/>
                <w:kern w:val="0"/>
              </w:rPr>
              <w:t>k</w:t>
            </w:r>
            <w:r>
              <w:rPr>
                <w:rFonts w:hint="default" w:ascii="Times New Roman" w:hAnsi="Times New Roman" w:eastAsia="宋体" w:cs="Times New Roman"/>
                <w:color w:val="auto"/>
                <w:kern w:val="0"/>
              </w:rPr>
              <w:t>W</w:t>
            </w:r>
            <w:r>
              <w:rPr>
                <w:rFonts w:hint="eastAsia" w:ascii="Times New Roman" w:hAnsi="Times New Roman" w:eastAsia="宋体" w:cs="Times New Roman"/>
                <w:color w:val="auto"/>
                <w:kern w:val="0"/>
              </w:rPr>
              <w:t>蛙式打夯机</w:t>
            </w:r>
          </w:p>
        </w:tc>
        <w:tc>
          <w:tcPr>
            <w:tcW w:w="2552" w:type="dxa"/>
            <w:noWrap w:val="0"/>
            <w:vAlign w:val="center"/>
          </w:tcPr>
          <w:p w14:paraId="3E99233C">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color w:val="auto"/>
                <w:kern w:val="0"/>
              </w:rPr>
              <w:t>10</w:t>
            </w:r>
          </w:p>
        </w:tc>
        <w:tc>
          <w:tcPr>
            <w:tcW w:w="1382" w:type="dxa"/>
            <w:noWrap w:val="0"/>
            <w:vAlign w:val="center"/>
          </w:tcPr>
          <w:p w14:paraId="3E7C12F7">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color w:val="auto"/>
                <w:kern w:val="0"/>
              </w:rPr>
              <w:t>86</w:t>
            </w:r>
          </w:p>
        </w:tc>
      </w:tr>
      <w:tr w14:paraId="3A8671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984" w:type="dxa"/>
            <w:noWrap w:val="0"/>
            <w:vAlign w:val="center"/>
          </w:tcPr>
          <w:p w14:paraId="3D1D4C6F">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5</w:t>
            </w:r>
          </w:p>
        </w:tc>
        <w:tc>
          <w:tcPr>
            <w:tcW w:w="3119" w:type="dxa"/>
            <w:noWrap w:val="0"/>
            <w:vAlign w:val="center"/>
          </w:tcPr>
          <w:p w14:paraId="1801E2F9">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5t自卸汽车</w:t>
            </w:r>
          </w:p>
        </w:tc>
        <w:tc>
          <w:tcPr>
            <w:tcW w:w="2552" w:type="dxa"/>
            <w:noWrap w:val="0"/>
            <w:vAlign w:val="center"/>
          </w:tcPr>
          <w:p w14:paraId="03FC90DF">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10</w:t>
            </w:r>
          </w:p>
        </w:tc>
        <w:tc>
          <w:tcPr>
            <w:tcW w:w="1382" w:type="dxa"/>
            <w:noWrap w:val="0"/>
            <w:vAlign w:val="center"/>
          </w:tcPr>
          <w:p w14:paraId="1C249F24">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85</w:t>
            </w:r>
          </w:p>
        </w:tc>
      </w:tr>
      <w:tr w14:paraId="49145D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984" w:type="dxa"/>
            <w:noWrap w:val="0"/>
            <w:vAlign w:val="center"/>
          </w:tcPr>
          <w:p w14:paraId="42719C3B">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6</w:t>
            </w:r>
          </w:p>
        </w:tc>
        <w:tc>
          <w:tcPr>
            <w:tcW w:w="3119" w:type="dxa"/>
            <w:noWrap w:val="0"/>
            <w:vAlign w:val="center"/>
          </w:tcPr>
          <w:p w14:paraId="069BAAEC">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eastAsia" w:ascii="Times New Roman" w:hAnsi="Times New Roman" w:eastAsia="宋体" w:cs="Times New Roman"/>
                <w:bCs/>
                <w:color w:val="auto"/>
                <w:kern w:val="0"/>
              </w:rPr>
              <w:t>柴油发电机</w:t>
            </w:r>
          </w:p>
        </w:tc>
        <w:tc>
          <w:tcPr>
            <w:tcW w:w="2552" w:type="dxa"/>
            <w:noWrap w:val="0"/>
            <w:vAlign w:val="center"/>
          </w:tcPr>
          <w:p w14:paraId="6710D671">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bCs/>
                <w:color w:val="auto"/>
                <w:kern w:val="0"/>
              </w:rPr>
              <w:t>10</w:t>
            </w:r>
          </w:p>
        </w:tc>
        <w:tc>
          <w:tcPr>
            <w:tcW w:w="1382" w:type="dxa"/>
            <w:noWrap w:val="0"/>
            <w:vAlign w:val="center"/>
          </w:tcPr>
          <w:p w14:paraId="2CB5083C">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
                <w:color w:val="auto"/>
                <w:kern w:val="0"/>
              </w:rPr>
            </w:pPr>
            <w:r>
              <w:rPr>
                <w:rFonts w:hint="default" w:ascii="Times New Roman" w:hAnsi="Times New Roman" w:eastAsia="宋体" w:cs="Times New Roman"/>
                <w:bCs/>
                <w:color w:val="auto"/>
                <w:kern w:val="0"/>
              </w:rPr>
              <w:t>85</w:t>
            </w:r>
          </w:p>
        </w:tc>
      </w:tr>
      <w:tr w14:paraId="32001E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984" w:type="dxa"/>
            <w:noWrap w:val="0"/>
            <w:vAlign w:val="center"/>
          </w:tcPr>
          <w:p w14:paraId="55D87F2D">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7</w:t>
            </w:r>
          </w:p>
        </w:tc>
        <w:tc>
          <w:tcPr>
            <w:tcW w:w="3119" w:type="dxa"/>
            <w:noWrap w:val="0"/>
            <w:vAlign w:val="center"/>
          </w:tcPr>
          <w:p w14:paraId="2B5E3515">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default" w:ascii="Times New Roman" w:hAnsi="Times New Roman" w:eastAsia="宋体" w:cs="Times New Roman"/>
                <w:bCs/>
                <w:color w:val="auto"/>
                <w:kern w:val="0"/>
              </w:rPr>
              <w:t>2</w:t>
            </w:r>
            <w:r>
              <w:rPr>
                <w:rFonts w:hint="eastAsia" w:ascii="Times New Roman" w:hAnsi="Times New Roman" w:eastAsia="宋体" w:cs="Times New Roman"/>
                <w:bCs/>
                <w:color w:val="auto"/>
                <w:kern w:val="0"/>
              </w:rPr>
              <w:t>m</w:t>
            </w:r>
            <w:r>
              <w:rPr>
                <w:rFonts w:hint="default" w:ascii="Times New Roman" w:hAnsi="Times New Roman" w:eastAsia="宋体" w:cs="Times New Roman"/>
                <w:bCs/>
                <w:color w:val="auto"/>
                <w:kern w:val="0"/>
                <w:vertAlign w:val="superscript"/>
              </w:rPr>
              <w:t>3</w:t>
            </w:r>
            <w:r>
              <w:rPr>
                <w:rFonts w:hint="eastAsia" w:ascii="Times New Roman" w:hAnsi="Times New Roman" w:eastAsia="宋体" w:cs="Times New Roman"/>
                <w:color w:val="auto"/>
              </w:rPr>
              <w:t>抓斗式</w:t>
            </w:r>
            <w:r>
              <w:rPr>
                <w:rFonts w:hint="default" w:ascii="Times New Roman" w:hAnsi="Times New Roman" w:eastAsia="宋体" w:cs="Times New Roman"/>
                <w:color w:val="auto"/>
              </w:rPr>
              <w:t>挖泥船</w:t>
            </w:r>
          </w:p>
        </w:tc>
        <w:tc>
          <w:tcPr>
            <w:tcW w:w="2552" w:type="dxa"/>
            <w:noWrap w:val="0"/>
            <w:vAlign w:val="center"/>
          </w:tcPr>
          <w:p w14:paraId="5BE76BF4">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10</w:t>
            </w:r>
          </w:p>
        </w:tc>
        <w:tc>
          <w:tcPr>
            <w:tcW w:w="1382" w:type="dxa"/>
            <w:noWrap w:val="0"/>
            <w:vAlign w:val="center"/>
          </w:tcPr>
          <w:p w14:paraId="46B5FDEF">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85</w:t>
            </w:r>
          </w:p>
        </w:tc>
      </w:tr>
      <w:tr w14:paraId="0E5582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984" w:type="dxa"/>
            <w:noWrap w:val="0"/>
            <w:vAlign w:val="center"/>
          </w:tcPr>
          <w:p w14:paraId="1A301D39">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8</w:t>
            </w:r>
          </w:p>
        </w:tc>
        <w:tc>
          <w:tcPr>
            <w:tcW w:w="3119" w:type="dxa"/>
            <w:noWrap w:val="0"/>
            <w:vAlign w:val="center"/>
          </w:tcPr>
          <w:p w14:paraId="792063A2">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color w:val="auto"/>
              </w:rPr>
            </w:pPr>
            <w:r>
              <w:rPr>
                <w:rFonts w:hint="eastAsia" w:ascii="Times New Roman" w:hAnsi="Times New Roman" w:eastAsia="宋体" w:cs="Times New Roman"/>
                <w:color w:val="auto"/>
              </w:rPr>
              <w:t>钻桩机</w:t>
            </w:r>
          </w:p>
        </w:tc>
        <w:tc>
          <w:tcPr>
            <w:tcW w:w="2552" w:type="dxa"/>
            <w:noWrap w:val="0"/>
            <w:vAlign w:val="center"/>
          </w:tcPr>
          <w:p w14:paraId="174ED9FF">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10</w:t>
            </w:r>
          </w:p>
        </w:tc>
        <w:tc>
          <w:tcPr>
            <w:tcW w:w="1382" w:type="dxa"/>
            <w:noWrap w:val="0"/>
            <w:vAlign w:val="center"/>
          </w:tcPr>
          <w:p w14:paraId="239DD0E9">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85</w:t>
            </w:r>
          </w:p>
        </w:tc>
      </w:tr>
      <w:tr w14:paraId="4AA820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984" w:type="dxa"/>
            <w:noWrap w:val="0"/>
            <w:vAlign w:val="center"/>
          </w:tcPr>
          <w:p w14:paraId="6001389D">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9</w:t>
            </w:r>
          </w:p>
        </w:tc>
        <w:tc>
          <w:tcPr>
            <w:tcW w:w="3119" w:type="dxa"/>
            <w:noWrap w:val="0"/>
            <w:vAlign w:val="center"/>
          </w:tcPr>
          <w:p w14:paraId="7D76460C">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color w:val="auto"/>
              </w:rPr>
            </w:pPr>
            <w:r>
              <w:rPr>
                <w:rFonts w:hint="eastAsia" w:ascii="Times New Roman" w:hAnsi="Times New Roman" w:eastAsia="宋体" w:cs="Times New Roman"/>
                <w:color w:val="auto"/>
              </w:rPr>
              <w:t>打桩船</w:t>
            </w:r>
          </w:p>
        </w:tc>
        <w:tc>
          <w:tcPr>
            <w:tcW w:w="2552" w:type="dxa"/>
            <w:noWrap w:val="0"/>
            <w:vAlign w:val="center"/>
          </w:tcPr>
          <w:p w14:paraId="6AF7411E">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1</w:t>
            </w:r>
          </w:p>
        </w:tc>
        <w:tc>
          <w:tcPr>
            <w:tcW w:w="1382" w:type="dxa"/>
            <w:noWrap w:val="0"/>
            <w:vAlign w:val="center"/>
          </w:tcPr>
          <w:p w14:paraId="6F5DF74A">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default" w:ascii="Times New Roman" w:hAnsi="Times New Roman" w:eastAsia="宋体" w:cs="Times New Roman"/>
                <w:bCs/>
                <w:color w:val="auto"/>
                <w:kern w:val="0"/>
              </w:rPr>
              <w:t>120</w:t>
            </w:r>
          </w:p>
        </w:tc>
      </w:tr>
      <w:tr w14:paraId="32E219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984" w:type="dxa"/>
            <w:noWrap w:val="0"/>
            <w:vAlign w:val="center"/>
          </w:tcPr>
          <w:p w14:paraId="3C077125">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1</w:t>
            </w:r>
            <w:r>
              <w:rPr>
                <w:rFonts w:hint="default" w:ascii="Times New Roman" w:hAnsi="Times New Roman" w:eastAsia="宋体" w:cs="Times New Roman"/>
                <w:bCs/>
                <w:color w:val="auto"/>
                <w:kern w:val="0"/>
              </w:rPr>
              <w:t>0</w:t>
            </w:r>
          </w:p>
        </w:tc>
        <w:tc>
          <w:tcPr>
            <w:tcW w:w="3119" w:type="dxa"/>
            <w:noWrap w:val="0"/>
            <w:vAlign w:val="center"/>
          </w:tcPr>
          <w:p w14:paraId="1460D0D5">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color w:val="auto"/>
              </w:rPr>
            </w:pPr>
            <w:r>
              <w:rPr>
                <w:rFonts w:hint="eastAsia" w:ascii="Times New Roman" w:hAnsi="Times New Roman" w:eastAsia="宋体" w:cs="Times New Roman"/>
                <w:color w:val="auto"/>
                <w:lang w:val="zh-CN"/>
              </w:rPr>
              <w:t>混凝土罐车</w:t>
            </w:r>
          </w:p>
        </w:tc>
        <w:tc>
          <w:tcPr>
            <w:tcW w:w="2552" w:type="dxa"/>
            <w:noWrap w:val="0"/>
            <w:vAlign w:val="center"/>
          </w:tcPr>
          <w:p w14:paraId="1555F498">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default" w:ascii="Times New Roman" w:hAnsi="Times New Roman" w:eastAsia="宋体" w:cs="Times New Roman"/>
                <w:color w:val="auto"/>
                <w:kern w:val="0"/>
              </w:rPr>
              <w:t>5</w:t>
            </w:r>
          </w:p>
        </w:tc>
        <w:tc>
          <w:tcPr>
            <w:tcW w:w="1382" w:type="dxa"/>
            <w:noWrap w:val="0"/>
            <w:vAlign w:val="center"/>
          </w:tcPr>
          <w:p w14:paraId="7A135B61">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default" w:ascii="Times New Roman" w:hAnsi="Times New Roman" w:eastAsia="宋体" w:cs="Times New Roman"/>
                <w:color w:val="auto"/>
                <w:kern w:val="0"/>
              </w:rPr>
              <w:t>85</w:t>
            </w:r>
          </w:p>
        </w:tc>
      </w:tr>
      <w:tr w14:paraId="468215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984" w:type="dxa"/>
            <w:noWrap w:val="0"/>
            <w:vAlign w:val="center"/>
          </w:tcPr>
          <w:p w14:paraId="7DC55FB4">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1</w:t>
            </w:r>
            <w:r>
              <w:rPr>
                <w:rFonts w:hint="default" w:ascii="Times New Roman" w:hAnsi="Times New Roman" w:eastAsia="宋体" w:cs="Times New Roman"/>
                <w:bCs/>
                <w:color w:val="auto"/>
                <w:kern w:val="0"/>
              </w:rPr>
              <w:t>1</w:t>
            </w:r>
          </w:p>
        </w:tc>
        <w:tc>
          <w:tcPr>
            <w:tcW w:w="3119" w:type="dxa"/>
            <w:noWrap w:val="0"/>
            <w:vAlign w:val="center"/>
          </w:tcPr>
          <w:p w14:paraId="736E24B9">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color w:val="auto"/>
              </w:rPr>
            </w:pPr>
            <w:r>
              <w:rPr>
                <w:rFonts w:hint="eastAsia" w:ascii="Times New Roman" w:hAnsi="Times New Roman" w:eastAsia="宋体" w:cs="Times New Roman"/>
                <w:color w:val="auto"/>
                <w:lang w:val="zh-CN"/>
              </w:rPr>
              <w:t>土方车</w:t>
            </w:r>
          </w:p>
        </w:tc>
        <w:tc>
          <w:tcPr>
            <w:tcW w:w="2552" w:type="dxa"/>
            <w:noWrap w:val="0"/>
            <w:vAlign w:val="center"/>
          </w:tcPr>
          <w:p w14:paraId="0C890887">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default" w:ascii="Times New Roman" w:hAnsi="Times New Roman" w:eastAsia="宋体" w:cs="Times New Roman"/>
                <w:color w:val="auto"/>
                <w:kern w:val="0"/>
              </w:rPr>
              <w:t>5</w:t>
            </w:r>
          </w:p>
        </w:tc>
        <w:tc>
          <w:tcPr>
            <w:tcW w:w="1382" w:type="dxa"/>
            <w:noWrap w:val="0"/>
            <w:vAlign w:val="center"/>
          </w:tcPr>
          <w:p w14:paraId="0DFBA9FC">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default" w:ascii="Times New Roman" w:hAnsi="Times New Roman" w:eastAsia="宋体" w:cs="Times New Roman"/>
                <w:color w:val="auto"/>
                <w:kern w:val="0"/>
              </w:rPr>
              <w:t>84</w:t>
            </w:r>
          </w:p>
        </w:tc>
      </w:tr>
      <w:tr w14:paraId="09E069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blHeader/>
          <w:jc w:val="center"/>
        </w:trPr>
        <w:tc>
          <w:tcPr>
            <w:tcW w:w="1984" w:type="dxa"/>
            <w:noWrap w:val="0"/>
            <w:vAlign w:val="center"/>
          </w:tcPr>
          <w:p w14:paraId="404EB581">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bCs/>
                <w:color w:val="auto"/>
                <w:kern w:val="0"/>
              </w:rPr>
            </w:pPr>
            <w:r>
              <w:rPr>
                <w:rFonts w:hint="eastAsia" w:ascii="Times New Roman" w:hAnsi="Times New Roman" w:eastAsia="宋体" w:cs="Times New Roman"/>
                <w:bCs/>
                <w:color w:val="auto"/>
                <w:kern w:val="0"/>
              </w:rPr>
              <w:t>1</w:t>
            </w:r>
            <w:r>
              <w:rPr>
                <w:rFonts w:hint="default" w:ascii="Times New Roman" w:hAnsi="Times New Roman" w:eastAsia="宋体" w:cs="Times New Roman"/>
                <w:bCs/>
                <w:color w:val="auto"/>
                <w:kern w:val="0"/>
              </w:rPr>
              <w:t>2</w:t>
            </w:r>
          </w:p>
        </w:tc>
        <w:tc>
          <w:tcPr>
            <w:tcW w:w="3119" w:type="dxa"/>
            <w:noWrap w:val="0"/>
            <w:vAlign w:val="center"/>
          </w:tcPr>
          <w:p w14:paraId="05B63345">
            <w:pPr>
              <w:keepNext w:val="0"/>
              <w:keepLines w:val="0"/>
              <w:suppressLineNumbers w:val="0"/>
              <w:overflowPunct w:val="0"/>
              <w:adjustRightInd w:val="0"/>
              <w:spacing w:before="0" w:beforeAutospacing="0" w:after="0" w:afterAutospacing="0"/>
              <w:ind w:left="0" w:right="0"/>
              <w:jc w:val="center"/>
              <w:textAlignment w:val="baseline"/>
              <w:rPr>
                <w:rFonts w:hint="eastAsia" w:ascii="Times New Roman" w:hAnsi="Times New Roman" w:eastAsia="宋体" w:cs="Times New Roman"/>
                <w:color w:val="auto"/>
              </w:rPr>
            </w:pPr>
            <w:r>
              <w:rPr>
                <w:rFonts w:hint="eastAsia" w:ascii="Times New Roman" w:hAnsi="Times New Roman" w:eastAsia="宋体" w:cs="Times New Roman"/>
                <w:color w:val="auto"/>
                <w:lang w:val="zh-CN"/>
              </w:rPr>
              <w:t>碾压车</w:t>
            </w:r>
          </w:p>
        </w:tc>
        <w:tc>
          <w:tcPr>
            <w:tcW w:w="2552" w:type="dxa"/>
            <w:noWrap w:val="0"/>
            <w:vAlign w:val="center"/>
          </w:tcPr>
          <w:p w14:paraId="2348C0BF">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default" w:ascii="Times New Roman" w:hAnsi="Times New Roman" w:eastAsia="宋体" w:cs="Times New Roman"/>
                <w:color w:val="auto"/>
                <w:kern w:val="0"/>
              </w:rPr>
              <w:t>10</w:t>
            </w:r>
          </w:p>
        </w:tc>
        <w:tc>
          <w:tcPr>
            <w:tcW w:w="1382" w:type="dxa"/>
            <w:noWrap w:val="0"/>
            <w:vAlign w:val="center"/>
          </w:tcPr>
          <w:p w14:paraId="03E6AE5B">
            <w:pPr>
              <w:keepNext w:val="0"/>
              <w:keepLines w:val="0"/>
              <w:suppressLineNumbers w:val="0"/>
              <w:overflowPunct w:val="0"/>
              <w:adjustRightInd w:val="0"/>
              <w:spacing w:before="0" w:beforeAutospacing="0" w:after="0" w:afterAutospacing="0"/>
              <w:ind w:left="0" w:right="0"/>
              <w:jc w:val="center"/>
              <w:textAlignment w:val="baseline"/>
              <w:rPr>
                <w:rFonts w:hint="default" w:ascii="Times New Roman" w:hAnsi="Times New Roman" w:eastAsia="宋体" w:cs="Times New Roman"/>
                <w:bCs/>
                <w:color w:val="auto"/>
                <w:kern w:val="0"/>
              </w:rPr>
            </w:pPr>
            <w:r>
              <w:rPr>
                <w:rFonts w:hint="default" w:ascii="Times New Roman" w:hAnsi="Times New Roman" w:eastAsia="宋体" w:cs="Times New Roman"/>
                <w:color w:val="auto"/>
                <w:kern w:val="0"/>
              </w:rPr>
              <w:t>86</w:t>
            </w:r>
          </w:p>
        </w:tc>
      </w:tr>
    </w:tbl>
    <w:p w14:paraId="661CDAB9">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3.3.1.4施工</w:t>
      </w:r>
      <w:r>
        <w:rPr>
          <w:rFonts w:ascii="Times New Roman" w:hAnsi="Times New Roman" w:eastAsia="黑体" w:cs="Times New Roman"/>
          <w:bCs/>
          <w:color w:val="auto"/>
          <w:kern w:val="2"/>
          <w:sz w:val="24"/>
          <w:szCs w:val="28"/>
          <w:lang w:val="en-US" w:eastAsia="zh-CN" w:bidi="ar-SA"/>
        </w:rPr>
        <w:t>期</w:t>
      </w:r>
      <w:r>
        <w:rPr>
          <w:rFonts w:hint="eastAsia" w:ascii="Times New Roman" w:hAnsi="Times New Roman" w:eastAsia="黑体" w:cs="Times New Roman"/>
          <w:bCs/>
          <w:color w:val="auto"/>
          <w:kern w:val="2"/>
          <w:sz w:val="24"/>
          <w:szCs w:val="28"/>
          <w:lang w:val="en-US" w:eastAsia="zh-CN" w:bidi="ar-SA"/>
        </w:rPr>
        <w:t>固废</w:t>
      </w:r>
      <w:r>
        <w:rPr>
          <w:rFonts w:ascii="Times New Roman" w:hAnsi="Times New Roman" w:eastAsia="黑体" w:cs="Times New Roman"/>
          <w:bCs/>
          <w:color w:val="auto"/>
          <w:kern w:val="2"/>
          <w:sz w:val="24"/>
          <w:szCs w:val="28"/>
          <w:lang w:val="en-US" w:eastAsia="zh-CN" w:bidi="ar-SA"/>
        </w:rPr>
        <w:t>源强</w:t>
      </w:r>
    </w:p>
    <w:p w14:paraId="7DDB6F84">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（1）船舶生活垃圾</w:t>
      </w:r>
    </w:p>
    <w:p w14:paraId="6522D3DF">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本项目施工期约</w:t>
      </w:r>
      <w:r>
        <w:rPr>
          <w:rFonts w:ascii="Times New Roman" w:hAnsi="Times New Roman" w:eastAsia="宋体" w:cs="Times New Roman"/>
          <w:color w:val="auto"/>
          <w:sz w:val="24"/>
        </w:rPr>
        <w:t>300</w:t>
      </w:r>
      <w:r>
        <w:rPr>
          <w:rFonts w:hint="eastAsia" w:ascii="Times New Roman" w:hAnsi="Times New Roman" w:eastAsia="宋体" w:cs="Times New Roman"/>
          <w:color w:val="auto"/>
          <w:sz w:val="24"/>
        </w:rPr>
        <w:t>d，施工船舶高峰期人员4人，船舶施工工期为9</w:t>
      </w:r>
      <w:r>
        <w:rPr>
          <w:rFonts w:ascii="Times New Roman" w:hAnsi="Times New Roman" w:eastAsia="宋体" w:cs="Times New Roman"/>
          <w:color w:val="auto"/>
          <w:sz w:val="24"/>
        </w:rPr>
        <w:t>0</w:t>
      </w:r>
      <w:r>
        <w:rPr>
          <w:rFonts w:hint="eastAsia" w:ascii="Times New Roman" w:hAnsi="Times New Roman" w:eastAsia="宋体" w:cs="Times New Roman"/>
          <w:color w:val="auto"/>
          <w:sz w:val="24"/>
        </w:rPr>
        <w:t>d，根据《水运工程环境保护设计规范》（J</w:t>
      </w:r>
      <w:r>
        <w:rPr>
          <w:rFonts w:ascii="Times New Roman" w:hAnsi="Times New Roman" w:eastAsia="宋体" w:cs="Times New Roman"/>
          <w:color w:val="auto"/>
          <w:sz w:val="24"/>
        </w:rPr>
        <w:t>TS149-2018</w:t>
      </w:r>
      <w:r>
        <w:rPr>
          <w:rFonts w:hint="eastAsia" w:ascii="Times New Roman" w:hAnsi="Times New Roman" w:eastAsia="宋体" w:cs="Times New Roman"/>
          <w:color w:val="auto"/>
          <w:sz w:val="24"/>
        </w:rPr>
        <w:t>），施工船舶垃圾以人均</w:t>
      </w:r>
      <w:r>
        <w:rPr>
          <w:rFonts w:ascii="Times New Roman" w:hAnsi="Times New Roman" w:eastAsia="宋体" w:cs="Times New Roman"/>
          <w:color w:val="auto"/>
          <w:sz w:val="24"/>
        </w:rPr>
        <w:t>1</w:t>
      </w:r>
      <w:r>
        <w:rPr>
          <w:rFonts w:hint="eastAsia" w:ascii="Times New Roman" w:hAnsi="Times New Roman" w:eastAsia="宋体" w:cs="Times New Roman"/>
          <w:color w:val="auto"/>
          <w:sz w:val="24"/>
        </w:rPr>
        <w:t>.5kg</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d产生量计算，则施工船舶产生约0</w:t>
      </w:r>
      <w:r>
        <w:rPr>
          <w:rFonts w:ascii="Times New Roman" w:hAnsi="Times New Roman" w:eastAsia="宋体" w:cs="Times New Roman"/>
          <w:color w:val="auto"/>
          <w:sz w:val="24"/>
        </w:rPr>
        <w:t>.54</w:t>
      </w:r>
      <w:r>
        <w:rPr>
          <w:rFonts w:hint="eastAsia" w:ascii="Times New Roman" w:hAnsi="Times New Roman" w:eastAsia="宋体" w:cs="Times New Roman"/>
          <w:color w:val="auto"/>
          <w:sz w:val="24"/>
        </w:rPr>
        <w:t>t</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a。施工船舶生活垃圾同陆域生活垃圾一起由环卫部门及时清运处置，减轻对环境的影响。</w:t>
      </w:r>
    </w:p>
    <w:p w14:paraId="47626F92">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2</w:t>
      </w:r>
      <w:r>
        <w:rPr>
          <w:rFonts w:hint="eastAsia" w:ascii="Times New Roman" w:hAnsi="Times New Roman" w:eastAsia="宋体" w:cs="Times New Roman"/>
          <w:color w:val="auto"/>
          <w:sz w:val="24"/>
        </w:rPr>
        <w:t>）陆域生活垃圾</w:t>
      </w:r>
    </w:p>
    <w:p w14:paraId="76422232">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本项目施工期约</w:t>
      </w:r>
      <w:r>
        <w:rPr>
          <w:rFonts w:ascii="Times New Roman" w:hAnsi="Times New Roman" w:eastAsia="宋体" w:cs="Times New Roman"/>
          <w:color w:val="auto"/>
          <w:sz w:val="24"/>
        </w:rPr>
        <w:t>300</w:t>
      </w:r>
      <w:r>
        <w:rPr>
          <w:rFonts w:hint="eastAsia" w:ascii="Times New Roman" w:hAnsi="Times New Roman" w:eastAsia="宋体" w:cs="Times New Roman"/>
          <w:color w:val="auto"/>
          <w:sz w:val="24"/>
        </w:rPr>
        <w:t>d，陆域施工高峰期人员约</w:t>
      </w:r>
      <w:r>
        <w:rPr>
          <w:rFonts w:ascii="Times New Roman" w:hAnsi="Times New Roman" w:eastAsia="宋体" w:cs="Times New Roman"/>
          <w:color w:val="auto"/>
          <w:sz w:val="24"/>
        </w:rPr>
        <w:t>18</w:t>
      </w:r>
      <w:r>
        <w:rPr>
          <w:rFonts w:hint="eastAsia" w:ascii="Times New Roman" w:hAnsi="Times New Roman" w:eastAsia="宋体" w:cs="Times New Roman"/>
          <w:color w:val="auto"/>
          <w:sz w:val="24"/>
        </w:rPr>
        <w:t>人，根据《水运工程环境保护设计规范》（J</w:t>
      </w:r>
      <w:r>
        <w:rPr>
          <w:rFonts w:ascii="Times New Roman" w:hAnsi="Times New Roman" w:eastAsia="宋体" w:cs="Times New Roman"/>
          <w:color w:val="auto"/>
          <w:sz w:val="24"/>
        </w:rPr>
        <w:t>TS149-2018</w:t>
      </w:r>
      <w:r>
        <w:rPr>
          <w:rFonts w:hint="eastAsia" w:ascii="Times New Roman" w:hAnsi="Times New Roman" w:eastAsia="宋体" w:cs="Times New Roman"/>
          <w:color w:val="auto"/>
          <w:sz w:val="24"/>
        </w:rPr>
        <w:t>），生活垃圾以人均</w:t>
      </w:r>
      <w:r>
        <w:rPr>
          <w:rFonts w:ascii="Times New Roman" w:hAnsi="Times New Roman" w:eastAsia="宋体" w:cs="Times New Roman"/>
          <w:color w:val="auto"/>
          <w:sz w:val="24"/>
        </w:rPr>
        <w:t>1</w:t>
      </w:r>
      <w:r>
        <w:rPr>
          <w:rFonts w:hint="eastAsia" w:ascii="Times New Roman" w:hAnsi="Times New Roman" w:eastAsia="宋体" w:cs="Times New Roman"/>
          <w:color w:val="auto"/>
          <w:sz w:val="24"/>
        </w:rPr>
        <w:t>.5kg</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d产生量计算，则产生</w:t>
      </w:r>
      <w:r>
        <w:rPr>
          <w:rFonts w:ascii="Times New Roman" w:hAnsi="Times New Roman" w:eastAsia="宋体" w:cs="Times New Roman"/>
          <w:color w:val="auto"/>
          <w:sz w:val="24"/>
        </w:rPr>
        <w:t>8.1</w:t>
      </w:r>
      <w:r>
        <w:rPr>
          <w:rFonts w:hint="eastAsia" w:ascii="Times New Roman" w:hAnsi="Times New Roman" w:eastAsia="宋体" w:cs="Times New Roman"/>
          <w:color w:val="auto"/>
          <w:sz w:val="24"/>
        </w:rPr>
        <w:t>t生活垃圾。生活垃圾由环卫部门及时清运处置，减轻对环境的影响。</w:t>
      </w:r>
    </w:p>
    <w:p w14:paraId="71C53E4D">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3</w:t>
      </w:r>
      <w:r>
        <w:rPr>
          <w:rFonts w:hint="eastAsia" w:ascii="Times New Roman" w:hAnsi="Times New Roman" w:eastAsia="宋体" w:cs="Times New Roman"/>
          <w:color w:val="auto"/>
          <w:sz w:val="24"/>
        </w:rPr>
        <w:t>）建筑垃圾</w:t>
      </w:r>
    </w:p>
    <w:p w14:paraId="27B01709">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施工期建筑垃圾主要为建筑模板、建筑材料下脚料、断残钢筋头、破钢管、包装袋以及建筑碎片、碎砖头、水泥块、石子、沙子等建筑材料废弃物。建筑垃圾统一收集后运至市政垃圾场处理，不排放。</w:t>
      </w:r>
    </w:p>
    <w:p w14:paraId="0BA7F2E3">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（4）钻孔泥浆</w:t>
      </w:r>
    </w:p>
    <w:p w14:paraId="036EE3E6">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码头桩基施工产生的钻渣和钻孔干泥浆共约</w:t>
      </w:r>
      <w:r>
        <w:rPr>
          <w:rFonts w:ascii="Times New Roman" w:hAnsi="Times New Roman" w:eastAsia="宋体" w:cs="Times New Roman"/>
          <w:color w:val="auto"/>
          <w:sz w:val="24"/>
        </w:rPr>
        <w:t>5252m</w:t>
      </w:r>
      <w:r>
        <w:rPr>
          <w:rFonts w:ascii="Times New Roman" w:hAnsi="Times New Roman" w:eastAsia="宋体" w:cs="Times New Roman"/>
          <w:color w:val="auto"/>
          <w:sz w:val="24"/>
          <w:vertAlign w:val="superscript"/>
        </w:rPr>
        <w:t>3</w:t>
      </w:r>
      <w:r>
        <w:rPr>
          <w:rFonts w:hint="eastAsia" w:ascii="Times New Roman" w:hAnsi="Times New Roman" w:eastAsia="宋体" w:cs="Times New Roman"/>
          <w:color w:val="auto"/>
          <w:sz w:val="24"/>
        </w:rPr>
        <w:t>，钻渣形成泥浆水后其体积将增大约两倍，则钻渣泥浆水体积约为</w:t>
      </w:r>
      <w:r>
        <w:rPr>
          <w:rFonts w:ascii="Times New Roman" w:hAnsi="Times New Roman" w:eastAsia="宋体" w:cs="Times New Roman"/>
          <w:color w:val="auto"/>
          <w:sz w:val="24"/>
        </w:rPr>
        <w:t>10504m</w:t>
      </w:r>
      <w:r>
        <w:rPr>
          <w:rFonts w:ascii="Times New Roman" w:hAnsi="Times New Roman" w:eastAsia="宋体" w:cs="Times New Roman"/>
          <w:color w:val="auto"/>
          <w:sz w:val="24"/>
          <w:vertAlign w:val="superscript"/>
        </w:rPr>
        <w:t>3</w:t>
      </w:r>
      <w:r>
        <w:rPr>
          <w:rFonts w:hint="eastAsia" w:ascii="Times New Roman" w:hAnsi="Times New Roman" w:eastAsia="宋体" w:cs="Times New Roman"/>
          <w:color w:val="auto"/>
          <w:sz w:val="24"/>
        </w:rPr>
        <w:t>。钻渣泥浆水采用泥浆泵送入施工场地设置的沉淀池中，钻渣泥浆水经沉淀去除悬浮物后，回用于场地抑尘、车辆冲洗等，不会对周边河道地表水环境造成不利影响。沉淀后的干泥浆约</w:t>
      </w:r>
      <w:r>
        <w:rPr>
          <w:rFonts w:ascii="Times New Roman" w:hAnsi="Times New Roman" w:eastAsia="宋体" w:cs="Times New Roman"/>
          <w:color w:val="auto"/>
          <w:sz w:val="24"/>
        </w:rPr>
        <w:t>5252</w:t>
      </w:r>
      <w:r>
        <w:rPr>
          <w:rFonts w:hint="eastAsia" w:ascii="Times New Roman" w:hAnsi="Times New Roman" w:eastAsia="宋体" w:cs="Times New Roman"/>
          <w:color w:val="auto"/>
          <w:sz w:val="24"/>
        </w:rPr>
        <w:t>m</w:t>
      </w:r>
      <w:r>
        <w:rPr>
          <w:rFonts w:ascii="Times New Roman" w:hAnsi="Times New Roman" w:eastAsia="宋体" w:cs="Times New Roman"/>
          <w:color w:val="auto"/>
          <w:sz w:val="24"/>
          <w:vertAlign w:val="superscript"/>
        </w:rPr>
        <w:t>3</w:t>
      </w:r>
      <w:r>
        <w:rPr>
          <w:rFonts w:hint="eastAsia" w:ascii="Times New Roman" w:hAnsi="Times New Roman" w:eastAsia="宋体" w:cs="Times New Roman"/>
          <w:color w:val="auto"/>
          <w:sz w:val="24"/>
        </w:rPr>
        <w:t>收集后运送上岸再由车辆运输至陆域工程</w:t>
      </w:r>
      <w:r>
        <w:rPr>
          <w:rFonts w:ascii="Times New Roman" w:hAnsi="Times New Roman" w:eastAsia="宋体" w:cs="Times New Roman"/>
          <w:color w:val="auto"/>
          <w:sz w:val="24"/>
        </w:rPr>
        <w:t>进港道路及路面拓宽</w:t>
      </w:r>
      <w:r>
        <w:rPr>
          <w:rFonts w:hint="eastAsia" w:ascii="Times New Roman" w:hAnsi="Times New Roman" w:eastAsia="宋体" w:cs="Times New Roman"/>
          <w:color w:val="auto"/>
          <w:sz w:val="24"/>
        </w:rPr>
        <w:t>处，作为填方使用。</w:t>
      </w:r>
    </w:p>
    <w:p w14:paraId="0A0B1902">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（5）疏浚土</w:t>
      </w:r>
    </w:p>
    <w:p w14:paraId="253CF2DF">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4"/>
          <w:lang w:val="zh-CN" w:eastAsia="zh-CN" w:bidi="ar-SA"/>
        </w:rPr>
        <w:t>土方工程采用挖泥船进行施工，疏浚港池至设计底标高。疏浚工程量为49060m</w:t>
      </w:r>
      <w:r>
        <w:rPr>
          <w:rFonts w:hint="eastAsia" w:ascii="Times New Roman" w:hAnsi="Times New Roman" w:eastAsia="宋体" w:cs="宋体"/>
          <w:snapToGrid w:val="0"/>
          <w:color w:val="auto"/>
          <w:kern w:val="0"/>
          <w:sz w:val="24"/>
          <w:szCs w:val="24"/>
          <w:vertAlign w:val="superscript"/>
          <w:lang w:val="zh-CN" w:eastAsia="zh-CN" w:bidi="ar-SA"/>
        </w:rPr>
        <w:t>3</w:t>
      </w:r>
      <w:r>
        <w:rPr>
          <w:rFonts w:hint="eastAsia" w:ascii="Times New Roman" w:hAnsi="Times New Roman" w:eastAsia="宋体" w:cs="宋体"/>
          <w:snapToGrid w:val="0"/>
          <w:color w:val="auto"/>
          <w:kern w:val="0"/>
          <w:sz w:val="24"/>
          <w:szCs w:val="24"/>
          <w:lang w:val="zh-CN" w:eastAsia="zh-CN" w:bidi="ar-SA"/>
        </w:rPr>
        <w:t>，</w:t>
      </w:r>
      <w:r>
        <w:rPr>
          <w:rFonts w:hint="eastAsia" w:ascii="Times New Roman" w:hAnsi="Times New Roman" w:eastAsia="宋体" w:cs="宋体"/>
          <w:snapToGrid w:val="0"/>
          <w:color w:val="auto"/>
          <w:kern w:val="0"/>
          <w:sz w:val="24"/>
          <w:szCs w:val="21"/>
          <w:lang w:val="zh-CN" w:eastAsia="zh-CN" w:bidi="ar-SA"/>
        </w:rPr>
        <w:t>水上疏浚弃方</w:t>
      </w:r>
      <w:r>
        <w:rPr>
          <w:rFonts w:ascii="Times New Roman" w:hAnsi="Times New Roman" w:eastAsia="宋体" w:cs="宋体"/>
          <w:snapToGrid w:val="0"/>
          <w:color w:val="auto"/>
          <w:kern w:val="0"/>
          <w:sz w:val="24"/>
          <w:szCs w:val="21"/>
          <w:lang w:val="zh-CN" w:eastAsia="zh-CN" w:bidi="ar-SA"/>
        </w:rPr>
        <w:t>吹填至</w:t>
      </w:r>
      <w:r>
        <w:rPr>
          <w:rFonts w:hint="eastAsia" w:ascii="Times New Roman" w:hAnsi="Times New Roman" w:eastAsia="宋体" w:cs="宋体"/>
          <w:snapToGrid w:val="0"/>
          <w:color w:val="auto"/>
          <w:kern w:val="0"/>
          <w:sz w:val="24"/>
          <w:szCs w:val="21"/>
          <w:lang w:val="zh-CN" w:eastAsia="zh-CN" w:bidi="ar-SA"/>
        </w:rPr>
        <w:t>抛泥区</w:t>
      </w:r>
      <w:r>
        <w:rPr>
          <w:rFonts w:ascii="Times New Roman" w:hAnsi="Times New Roman" w:eastAsia="宋体" w:cs="宋体"/>
          <w:snapToGrid w:val="0"/>
          <w:color w:val="auto"/>
          <w:kern w:val="0"/>
          <w:sz w:val="24"/>
          <w:szCs w:val="21"/>
          <w:lang w:val="zh-CN" w:eastAsia="zh-CN" w:bidi="ar-SA"/>
        </w:rPr>
        <w:t>中沉淀干化，施工结束后</w:t>
      </w:r>
      <w:r>
        <w:rPr>
          <w:rFonts w:hint="eastAsia" w:ascii="Times New Roman" w:hAnsi="Times New Roman" w:eastAsia="宋体" w:cs="宋体"/>
          <w:snapToGrid w:val="0"/>
          <w:color w:val="auto"/>
          <w:kern w:val="0"/>
          <w:sz w:val="24"/>
          <w:szCs w:val="21"/>
          <w:lang w:val="zh-CN" w:eastAsia="zh-CN" w:bidi="ar-SA"/>
        </w:rPr>
        <w:t>抛泥</w:t>
      </w:r>
      <w:r>
        <w:rPr>
          <w:rFonts w:ascii="Times New Roman" w:hAnsi="Times New Roman" w:eastAsia="宋体" w:cs="宋体"/>
          <w:snapToGrid w:val="0"/>
          <w:color w:val="auto"/>
          <w:kern w:val="0"/>
          <w:sz w:val="24"/>
          <w:szCs w:val="21"/>
          <w:lang w:val="zh-CN" w:eastAsia="zh-CN" w:bidi="ar-SA"/>
        </w:rPr>
        <w:t>区</w:t>
      </w:r>
      <w:r>
        <w:rPr>
          <w:rFonts w:hint="eastAsia" w:ascii="Times New Roman" w:hAnsi="Times New Roman" w:eastAsia="宋体" w:cs="宋体"/>
          <w:snapToGrid w:val="0"/>
          <w:color w:val="auto"/>
          <w:kern w:val="0"/>
          <w:sz w:val="24"/>
          <w:szCs w:val="21"/>
          <w:lang w:val="zh-CN" w:eastAsia="zh-CN" w:bidi="ar-SA"/>
        </w:rPr>
        <w:t>进行复垦。</w:t>
      </w:r>
    </w:p>
    <w:p w14:paraId="7D10DFE2">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（6）废油</w:t>
      </w:r>
    </w:p>
    <w:p w14:paraId="3B0797EF">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施工机械、车辆</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砂石水泥物料运输车辆车轮冲洗</w:t>
      </w:r>
      <w:r>
        <w:rPr>
          <w:rFonts w:hint="eastAsia" w:ascii="Times New Roman" w:hAnsi="Times New Roman" w:eastAsia="宋体" w:cs="Times New Roman"/>
          <w:color w:val="auto"/>
          <w:sz w:val="24"/>
          <w:szCs w:val="24"/>
        </w:rPr>
        <w:t>废水</w:t>
      </w:r>
      <w:r>
        <w:rPr>
          <w:rFonts w:ascii="Times New Roman" w:hAnsi="Times New Roman" w:eastAsia="宋体" w:cs="Times New Roman"/>
          <w:color w:val="auto"/>
          <w:sz w:val="24"/>
          <w:szCs w:val="24"/>
        </w:rPr>
        <w:t>采用</w:t>
      </w:r>
      <w:r>
        <w:rPr>
          <w:rFonts w:hint="eastAsia" w:ascii="Times New Roman" w:hAnsi="Times New Roman" w:eastAsia="宋体" w:cs="Times New Roman"/>
          <w:color w:val="auto"/>
          <w:sz w:val="24"/>
          <w:szCs w:val="24"/>
        </w:rPr>
        <w:t>隔油沉淀</w:t>
      </w:r>
      <w:r>
        <w:rPr>
          <w:rFonts w:ascii="Times New Roman" w:hAnsi="Times New Roman" w:eastAsia="宋体" w:cs="Times New Roman"/>
          <w:color w:val="auto"/>
          <w:sz w:val="24"/>
          <w:szCs w:val="24"/>
        </w:rPr>
        <w:t>池沉降，在施工区域内设置处理规模为15m</w:t>
      </w:r>
      <w:r>
        <w:rPr>
          <w:rFonts w:ascii="Times New Roman" w:hAnsi="Times New Roman" w:eastAsia="宋体" w:cs="Times New Roman"/>
          <w:color w:val="auto"/>
          <w:sz w:val="24"/>
          <w:szCs w:val="24"/>
          <w:vertAlign w:val="superscript"/>
        </w:rPr>
        <w:t>3</w:t>
      </w:r>
      <w:r>
        <w:rPr>
          <w:rFonts w:ascii="Times New Roman" w:hAnsi="Times New Roman" w:eastAsia="宋体" w:cs="Times New Roman"/>
          <w:color w:val="auto"/>
          <w:sz w:val="24"/>
          <w:szCs w:val="24"/>
        </w:rPr>
        <w:t>的</w:t>
      </w:r>
      <w:r>
        <w:rPr>
          <w:rFonts w:hint="eastAsia" w:ascii="Times New Roman" w:hAnsi="Times New Roman" w:eastAsia="宋体" w:cs="Times New Roman"/>
          <w:color w:val="auto"/>
          <w:sz w:val="24"/>
          <w:szCs w:val="24"/>
        </w:rPr>
        <w:t>隔油沉淀</w:t>
      </w:r>
      <w:r>
        <w:rPr>
          <w:rFonts w:ascii="Times New Roman" w:hAnsi="Times New Roman" w:eastAsia="宋体" w:cs="Times New Roman"/>
          <w:color w:val="auto"/>
          <w:sz w:val="24"/>
          <w:szCs w:val="24"/>
        </w:rPr>
        <w:t>池（5m×2m×1.5m），经</w:t>
      </w:r>
      <w:r>
        <w:rPr>
          <w:rFonts w:hint="eastAsia" w:ascii="Times New Roman" w:hAnsi="Times New Roman" w:eastAsia="宋体" w:cs="Times New Roman"/>
          <w:color w:val="auto"/>
          <w:sz w:val="24"/>
          <w:szCs w:val="24"/>
        </w:rPr>
        <w:t>隔油沉淀</w:t>
      </w:r>
      <w:r>
        <w:rPr>
          <w:rFonts w:ascii="Times New Roman" w:hAnsi="Times New Roman" w:eastAsia="宋体" w:cs="Times New Roman"/>
          <w:color w:val="auto"/>
          <w:sz w:val="24"/>
          <w:szCs w:val="24"/>
        </w:rPr>
        <w:t>池</w:t>
      </w:r>
      <w:r>
        <w:rPr>
          <w:rFonts w:hint="eastAsia" w:ascii="Times New Roman" w:hAnsi="Times New Roman" w:eastAsia="宋体" w:cs="Times New Roman"/>
          <w:color w:val="auto"/>
          <w:sz w:val="24"/>
          <w:szCs w:val="24"/>
        </w:rPr>
        <w:t>处理后</w:t>
      </w:r>
      <w:r>
        <w:rPr>
          <w:rFonts w:ascii="Times New Roman" w:hAnsi="Times New Roman" w:eastAsia="宋体" w:cs="Times New Roman"/>
          <w:color w:val="auto"/>
          <w:sz w:val="24"/>
          <w:szCs w:val="24"/>
        </w:rPr>
        <w:t>，回用于地面及车辆冲洗，不外排。收集的废油属危险废物，</w:t>
      </w:r>
      <w:r>
        <w:rPr>
          <w:rFonts w:hint="eastAsia" w:cs="Times New Roman"/>
          <w:color w:val="auto"/>
          <w:sz w:val="24"/>
          <w:szCs w:val="24"/>
          <w:lang w:eastAsia="zh-CN"/>
        </w:rPr>
        <w:t>交由</w:t>
      </w:r>
      <w:r>
        <w:rPr>
          <w:rFonts w:ascii="Times New Roman" w:hAnsi="Times New Roman" w:eastAsia="宋体" w:cs="Times New Roman"/>
          <w:color w:val="auto"/>
          <w:sz w:val="24"/>
          <w:szCs w:val="24"/>
        </w:rPr>
        <w:t>相关资质单位处置</w:t>
      </w:r>
      <w:r>
        <w:rPr>
          <w:rFonts w:hint="eastAsia" w:ascii="Times New Roman" w:hAnsi="Times New Roman" w:eastAsia="宋体" w:cs="Times New Roman"/>
          <w:color w:val="auto"/>
          <w:sz w:val="24"/>
          <w:szCs w:val="24"/>
        </w:rPr>
        <w:t>。</w:t>
      </w:r>
    </w:p>
    <w:p w14:paraId="2D2FDE4E">
      <w:pPr>
        <w:spacing w:line="360" w:lineRule="auto"/>
        <w:ind w:firstLine="480" w:firstLineChars="200"/>
        <w:rPr>
          <w:rFonts w:ascii="Times New Roman" w:hAnsi="Times New Roman" w:eastAsia="宋体" w:cs="Times New Roman"/>
          <w:color w:val="auto"/>
          <w:kern w:val="0"/>
          <w:sz w:val="24"/>
          <w:szCs w:val="24"/>
        </w:rPr>
      </w:pPr>
      <w:r>
        <w:rPr>
          <w:rFonts w:ascii="Times New Roman" w:hAnsi="Times New Roman" w:eastAsia="宋体" w:cs="Times New Roman"/>
          <w:color w:val="auto"/>
          <w:kern w:val="0"/>
          <w:sz w:val="24"/>
          <w:szCs w:val="24"/>
        </w:rPr>
        <w:t>（7）装修危废</w:t>
      </w:r>
    </w:p>
    <w:p w14:paraId="4D6248FA">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kern w:val="0"/>
          <w:sz w:val="24"/>
          <w:szCs w:val="24"/>
        </w:rPr>
        <w:t>在本项目装修过程中，会产生一定量的油漆桶危险废物。</w:t>
      </w:r>
      <w:r>
        <w:rPr>
          <w:rFonts w:ascii="Times New Roman" w:hAnsi="Times New Roman" w:eastAsia="宋体" w:cs="Times New Roman"/>
          <w:color w:val="auto"/>
          <w:sz w:val="24"/>
          <w:szCs w:val="24"/>
        </w:rPr>
        <w:t>收集的废油漆桶属危险废物，</w:t>
      </w:r>
      <w:r>
        <w:rPr>
          <w:rFonts w:hint="eastAsia" w:cs="Times New Roman"/>
          <w:color w:val="auto"/>
          <w:sz w:val="24"/>
          <w:szCs w:val="24"/>
          <w:lang w:eastAsia="zh-CN"/>
        </w:rPr>
        <w:t>交由</w:t>
      </w:r>
      <w:r>
        <w:rPr>
          <w:rFonts w:ascii="Times New Roman" w:hAnsi="Times New Roman" w:eastAsia="宋体" w:cs="Times New Roman"/>
          <w:color w:val="auto"/>
          <w:sz w:val="24"/>
          <w:szCs w:val="24"/>
        </w:rPr>
        <w:t>相关资质单位处置。</w:t>
      </w:r>
    </w:p>
    <w:p w14:paraId="13CAA188">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3.3.1.5施工</w:t>
      </w:r>
      <w:r>
        <w:rPr>
          <w:rFonts w:ascii="Times New Roman" w:hAnsi="Times New Roman" w:eastAsia="黑体" w:cs="Times New Roman"/>
          <w:bCs/>
          <w:color w:val="auto"/>
          <w:kern w:val="2"/>
          <w:sz w:val="24"/>
          <w:szCs w:val="28"/>
          <w:lang w:val="en-US" w:eastAsia="zh-CN" w:bidi="ar-SA"/>
        </w:rPr>
        <w:t>期</w:t>
      </w:r>
      <w:r>
        <w:rPr>
          <w:rFonts w:hint="eastAsia" w:ascii="Times New Roman" w:hAnsi="Times New Roman" w:eastAsia="黑体" w:cs="Times New Roman"/>
          <w:bCs/>
          <w:color w:val="auto"/>
          <w:kern w:val="2"/>
          <w:sz w:val="24"/>
          <w:szCs w:val="28"/>
          <w:lang w:val="en-US" w:eastAsia="zh-CN" w:bidi="ar-SA"/>
        </w:rPr>
        <w:t>生态环境影响</w:t>
      </w:r>
    </w:p>
    <w:p w14:paraId="01CC2265">
      <w:pPr>
        <w:spacing w:line="440" w:lineRule="exact"/>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本项目施工期对生态环境的影响主要表现在施工临时占地、永久占地对陆生生态系统的影响，疏浚工程对水生生态系统的影响。</w:t>
      </w:r>
    </w:p>
    <w:p w14:paraId="67312133">
      <w:pPr>
        <w:spacing w:line="440" w:lineRule="exact"/>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本项目的土方开挖、弃土弃渣等施工活动将导致地形地貌改变、植被损毁和水土流失加重，影响生态环境质量。</w:t>
      </w:r>
    </w:p>
    <w:p w14:paraId="44E24765">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施工过程中</w:t>
      </w:r>
      <w:r>
        <w:rPr>
          <w:rFonts w:hint="eastAsia" w:ascii="Times New Roman" w:hAnsi="Times New Roman" w:eastAsia="宋体" w:cs="宋体"/>
          <w:snapToGrid w:val="0"/>
          <w:color w:val="auto"/>
          <w:kern w:val="0"/>
          <w:sz w:val="24"/>
          <w:szCs w:val="21"/>
          <w:lang w:val="zh-CN" w:eastAsia="zh-CN" w:bidi="ar-SA"/>
        </w:rPr>
        <w:t>，</w:t>
      </w:r>
      <w:r>
        <w:rPr>
          <w:rFonts w:ascii="Times New Roman" w:hAnsi="Times New Roman" w:eastAsia="宋体" w:cs="宋体"/>
          <w:snapToGrid w:val="0"/>
          <w:color w:val="auto"/>
          <w:kern w:val="0"/>
          <w:sz w:val="24"/>
          <w:szCs w:val="21"/>
          <w:lang w:val="zh-CN" w:eastAsia="zh-CN" w:bidi="ar-SA"/>
        </w:rPr>
        <w:t>开挖产生的弃土弃渣，若不采取保护措施，遇降雨冲刷，将产生严重的水土流失，如不采取防治措施，不仅会影响工程的施工和安全运行，而且会对土地资源、河流水质、自然景观和生态环境造成不利影响和危害。工程建设过程中必须合理布设水土保持措施，有效控制新增水土流失。</w:t>
      </w:r>
    </w:p>
    <w:p w14:paraId="14AE30DE">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由于疏浚工程局部破坏了底栖水生生物栖息生境，降低了水生生物量，水生态系统完整性和稳定性受到影响，而且疏浚扰动使水体中悬浮物增加，降低浮游动、植物栖息水体的透明度，改变局部水域水生生物组成和数量。</w:t>
      </w:r>
    </w:p>
    <w:p w14:paraId="6A250BA1">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3.3.1.</w:t>
      </w:r>
      <w:r>
        <w:rPr>
          <w:rFonts w:ascii="Times New Roman" w:hAnsi="Times New Roman" w:eastAsia="黑体" w:cs="Times New Roman"/>
          <w:bCs/>
          <w:color w:val="auto"/>
          <w:kern w:val="2"/>
          <w:sz w:val="24"/>
          <w:szCs w:val="28"/>
          <w:lang w:val="en-US" w:eastAsia="zh-CN" w:bidi="ar-SA"/>
        </w:rPr>
        <w:t>6</w:t>
      </w:r>
      <w:r>
        <w:rPr>
          <w:rFonts w:hint="eastAsia" w:ascii="Times New Roman" w:hAnsi="Times New Roman" w:eastAsia="黑体" w:cs="Times New Roman"/>
          <w:bCs/>
          <w:color w:val="auto"/>
          <w:kern w:val="2"/>
          <w:sz w:val="24"/>
          <w:szCs w:val="28"/>
          <w:lang w:val="en-US" w:eastAsia="zh-CN" w:bidi="ar-SA"/>
        </w:rPr>
        <w:t>施工期环境风险影响</w:t>
      </w:r>
    </w:p>
    <w:p w14:paraId="242D2C0D">
      <w:pPr>
        <w:widowControl/>
        <w:spacing w:line="360" w:lineRule="auto"/>
        <w:ind w:firstLine="480" w:firstLineChars="200"/>
        <w:jc w:val="left"/>
        <w:rPr>
          <w:rFonts w:hint="eastAsia" w:ascii="Times New Roman" w:hAnsi="Times New Roman" w:eastAsia="宋体" w:cs="Times New Roman"/>
          <w:color w:val="auto"/>
          <w:kern w:val="0"/>
          <w:sz w:val="24"/>
          <w:szCs w:val="24"/>
        </w:rPr>
      </w:pPr>
      <w:r>
        <w:rPr>
          <w:rFonts w:ascii="Times New Roman" w:hAnsi="Times New Roman" w:eastAsia="宋体" w:cs="Times New Roman"/>
          <w:color w:val="auto"/>
          <w:sz w:val="24"/>
          <w:szCs w:val="24"/>
        </w:rPr>
        <w:t>淮南港</w:t>
      </w:r>
      <w:r>
        <w:rPr>
          <w:rFonts w:ascii="Times New Roman" w:hAnsi="Times New Roman" w:eastAsia="宋体" w:cs="Times New Roman"/>
          <w:color w:val="auto"/>
          <w:kern w:val="0"/>
          <w:sz w:val="24"/>
          <w:szCs w:val="24"/>
        </w:rPr>
        <w:t>淮河现状为</w:t>
      </w:r>
      <w:r>
        <w:rPr>
          <w:rFonts w:ascii="Times New Roman" w:hAnsi="Times New Roman" w:eastAsia="宋体" w:cs="Times New Roman"/>
          <w:color w:val="auto"/>
          <w:sz w:val="24"/>
          <w:szCs w:val="24"/>
        </w:rPr>
        <w:t>级航道，</w:t>
      </w:r>
      <w:r>
        <w:rPr>
          <w:rFonts w:hint="eastAsia" w:ascii="Times New Roman" w:hAnsi="Times New Roman" w:eastAsia="宋体" w:cs="Times New Roman"/>
          <w:color w:val="auto"/>
          <w:sz w:val="24"/>
          <w:szCs w:val="24"/>
        </w:rPr>
        <w:t>可常年通航1</w:t>
      </w:r>
      <w:r>
        <w:rPr>
          <w:rFonts w:ascii="Times New Roman" w:hAnsi="Times New Roman" w:eastAsia="宋体" w:cs="Times New Roman"/>
          <w:color w:val="auto"/>
          <w:sz w:val="24"/>
          <w:szCs w:val="24"/>
        </w:rPr>
        <w:t>000</w:t>
      </w:r>
      <w:r>
        <w:rPr>
          <w:rFonts w:hint="eastAsia" w:ascii="Times New Roman" w:hAnsi="Times New Roman" w:eastAsia="宋体" w:cs="Times New Roman"/>
          <w:color w:val="auto"/>
          <w:sz w:val="24"/>
          <w:szCs w:val="24"/>
        </w:rPr>
        <w:t>吨级船舶。</w:t>
      </w:r>
      <w:r>
        <w:rPr>
          <w:rFonts w:hint="eastAsia" w:ascii="Times New Roman" w:hAnsi="Times New Roman" w:eastAsia="宋体" w:cs="Times New Roman"/>
          <w:color w:val="auto"/>
          <w:kern w:val="0"/>
          <w:sz w:val="24"/>
          <w:szCs w:val="24"/>
        </w:rPr>
        <w:t>施工期可能发生溢油事故。根据《水上溢油环境风险评估技术导则》（</w:t>
      </w:r>
      <w:r>
        <w:rPr>
          <w:rFonts w:hint="eastAsia" w:cs="Times New Roman"/>
          <w:color w:val="auto"/>
          <w:kern w:val="0"/>
          <w:sz w:val="24"/>
          <w:szCs w:val="24"/>
          <w:lang w:eastAsia="zh-CN"/>
        </w:rPr>
        <w:t>JT/T 1143-2017</w:t>
      </w:r>
      <w:r>
        <w:rPr>
          <w:rFonts w:hint="eastAsia" w:ascii="Times New Roman" w:hAnsi="Times New Roman" w:eastAsia="宋体" w:cs="Times New Roman"/>
          <w:color w:val="auto"/>
          <w:kern w:val="0"/>
          <w:sz w:val="24"/>
          <w:szCs w:val="24"/>
        </w:rPr>
        <w:t>），5</w:t>
      </w:r>
      <w:r>
        <w:rPr>
          <w:rFonts w:ascii="Times New Roman" w:hAnsi="Times New Roman" w:eastAsia="宋体" w:cs="Times New Roman"/>
          <w:color w:val="auto"/>
          <w:kern w:val="0"/>
          <w:sz w:val="24"/>
          <w:szCs w:val="24"/>
        </w:rPr>
        <w:t>000</w:t>
      </w:r>
      <w:r>
        <w:rPr>
          <w:rFonts w:hint="eastAsia" w:ascii="Times New Roman" w:hAnsi="Times New Roman" w:eastAsia="宋体" w:cs="Times New Roman"/>
          <w:color w:val="auto"/>
          <w:kern w:val="0"/>
          <w:sz w:val="24"/>
          <w:szCs w:val="24"/>
        </w:rPr>
        <w:t>t以内驳船燃油舱单舱燃油量不超过3</w:t>
      </w:r>
      <w:r>
        <w:rPr>
          <w:rFonts w:ascii="Times New Roman" w:hAnsi="Times New Roman" w:eastAsia="宋体" w:cs="Times New Roman"/>
          <w:color w:val="auto"/>
          <w:kern w:val="0"/>
          <w:sz w:val="24"/>
          <w:szCs w:val="24"/>
        </w:rPr>
        <w:t>1</w:t>
      </w:r>
      <w:r>
        <w:rPr>
          <w:rFonts w:hint="eastAsia" w:ascii="Times New Roman" w:hAnsi="Times New Roman" w:eastAsia="宋体" w:cs="Times New Roman"/>
          <w:color w:val="auto"/>
          <w:kern w:val="0"/>
          <w:sz w:val="24"/>
          <w:szCs w:val="24"/>
        </w:rPr>
        <w:t>m</w:t>
      </w:r>
      <w:r>
        <w:rPr>
          <w:rFonts w:ascii="Times New Roman" w:hAnsi="Times New Roman" w:eastAsia="宋体" w:cs="Times New Roman"/>
          <w:color w:val="auto"/>
          <w:kern w:val="0"/>
          <w:sz w:val="24"/>
          <w:szCs w:val="24"/>
          <w:vertAlign w:val="superscript"/>
        </w:rPr>
        <w:t>3</w:t>
      </w:r>
      <w:r>
        <w:rPr>
          <w:rFonts w:hint="eastAsia" w:ascii="Times New Roman" w:hAnsi="Times New Roman" w:eastAsia="宋体" w:cs="Times New Roman"/>
          <w:color w:val="auto"/>
          <w:kern w:val="0"/>
          <w:sz w:val="24"/>
          <w:szCs w:val="24"/>
        </w:rPr>
        <w:t>，燃油密度</w:t>
      </w:r>
      <w:r>
        <w:rPr>
          <w:rFonts w:ascii="Times New Roman" w:hAnsi="Times New Roman" w:eastAsia="宋体" w:cs="Times New Roman"/>
          <w:color w:val="auto"/>
          <w:kern w:val="0"/>
          <w:sz w:val="24"/>
          <w:szCs w:val="24"/>
        </w:rPr>
        <w:t>850</w:t>
      </w:r>
      <w:r>
        <w:rPr>
          <w:rFonts w:hint="eastAsia" w:ascii="Times New Roman" w:hAnsi="Times New Roman" w:eastAsia="宋体" w:cs="Times New Roman"/>
          <w:color w:val="auto"/>
          <w:kern w:val="0"/>
          <w:sz w:val="24"/>
          <w:szCs w:val="24"/>
        </w:rPr>
        <w:t>kg</w:t>
      </w:r>
      <w:r>
        <w:rPr>
          <w:rFonts w:ascii="Times New Roman" w:hAnsi="Times New Roman" w:eastAsia="宋体" w:cs="Times New Roman"/>
          <w:color w:val="auto"/>
          <w:kern w:val="0"/>
          <w:sz w:val="24"/>
          <w:szCs w:val="24"/>
        </w:rPr>
        <w:t>/</w:t>
      </w:r>
      <w:r>
        <w:rPr>
          <w:rFonts w:hint="eastAsia" w:ascii="Times New Roman" w:hAnsi="Times New Roman" w:eastAsia="宋体" w:cs="Times New Roman"/>
          <w:color w:val="auto"/>
          <w:kern w:val="0"/>
          <w:sz w:val="24"/>
          <w:szCs w:val="24"/>
        </w:rPr>
        <w:t>m</w:t>
      </w:r>
      <w:r>
        <w:rPr>
          <w:rFonts w:ascii="Times New Roman" w:hAnsi="Times New Roman" w:eastAsia="宋体" w:cs="Times New Roman"/>
          <w:color w:val="auto"/>
          <w:kern w:val="0"/>
          <w:sz w:val="24"/>
          <w:szCs w:val="24"/>
          <w:vertAlign w:val="superscript"/>
        </w:rPr>
        <w:t>3</w:t>
      </w:r>
      <w:r>
        <w:rPr>
          <w:rFonts w:hint="eastAsia" w:ascii="Times New Roman" w:hAnsi="Times New Roman" w:eastAsia="宋体" w:cs="Times New Roman"/>
          <w:color w:val="auto"/>
          <w:kern w:val="0"/>
          <w:sz w:val="24"/>
          <w:szCs w:val="24"/>
        </w:rPr>
        <w:t>，单舱燃油量约</w:t>
      </w:r>
      <w:r>
        <w:rPr>
          <w:rFonts w:ascii="Times New Roman" w:hAnsi="Times New Roman" w:eastAsia="宋体" w:cs="Times New Roman"/>
          <w:color w:val="auto"/>
          <w:kern w:val="0"/>
          <w:sz w:val="24"/>
          <w:szCs w:val="24"/>
        </w:rPr>
        <w:t>26.35</w:t>
      </w:r>
      <w:r>
        <w:rPr>
          <w:rFonts w:hint="eastAsia" w:ascii="Times New Roman" w:hAnsi="Times New Roman" w:eastAsia="宋体" w:cs="Times New Roman"/>
          <w:color w:val="auto"/>
          <w:kern w:val="0"/>
          <w:sz w:val="24"/>
          <w:szCs w:val="24"/>
        </w:rPr>
        <w:t>t，则施工期溢油量按</w:t>
      </w:r>
      <w:r>
        <w:rPr>
          <w:rFonts w:ascii="Times New Roman" w:hAnsi="Times New Roman" w:eastAsia="宋体" w:cs="Times New Roman"/>
          <w:color w:val="auto"/>
          <w:kern w:val="0"/>
          <w:sz w:val="24"/>
          <w:szCs w:val="24"/>
        </w:rPr>
        <w:t>26.35</w:t>
      </w:r>
      <w:r>
        <w:rPr>
          <w:rFonts w:hint="eastAsia" w:ascii="Times New Roman" w:hAnsi="Times New Roman" w:eastAsia="宋体" w:cs="Times New Roman"/>
          <w:color w:val="auto"/>
          <w:kern w:val="0"/>
          <w:sz w:val="24"/>
          <w:szCs w:val="24"/>
        </w:rPr>
        <w:t>t考虑。</w:t>
      </w:r>
    </w:p>
    <w:p w14:paraId="44FD16BB">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3.3.2</w:t>
      </w:r>
      <w:r>
        <w:rPr>
          <w:rFonts w:ascii="Times New Roman" w:hAnsi="Times New Roman" w:eastAsia="黑体" w:cs="Times New Roman"/>
          <w:bCs/>
          <w:color w:val="auto"/>
          <w:kern w:val="2"/>
          <w:sz w:val="28"/>
          <w:szCs w:val="32"/>
          <w:lang w:val="en-US" w:eastAsia="zh-CN" w:bidi="ar-SA"/>
        </w:rPr>
        <w:t>运营期污染源强分析</w:t>
      </w:r>
    </w:p>
    <w:p w14:paraId="5362B862">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3.3.2.1</w:t>
      </w:r>
      <w:r>
        <w:rPr>
          <w:rFonts w:ascii="Times New Roman" w:hAnsi="Times New Roman" w:eastAsia="黑体" w:cs="Times New Roman"/>
          <w:bCs/>
          <w:color w:val="auto"/>
          <w:kern w:val="2"/>
          <w:sz w:val="24"/>
          <w:szCs w:val="28"/>
          <w:lang w:val="en-US" w:eastAsia="zh-CN" w:bidi="ar-SA"/>
        </w:rPr>
        <w:t>运营期废水源强</w:t>
      </w:r>
    </w:p>
    <w:p w14:paraId="04067A43">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本项目废水主要包括员工生活污水、初期雨水、码头地面冲洗废水、机械车辆冲洗废水、船舶生活污水和船舶含油污水。</w:t>
      </w:r>
    </w:p>
    <w:p w14:paraId="481FF19E">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（1）船舶生活污水</w:t>
      </w:r>
    </w:p>
    <w:p w14:paraId="0258A398">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船舶污水根据年吞吐量80万t和主要来港的船型1000</w:t>
      </w:r>
      <w:r>
        <w:rPr>
          <w:rFonts w:hint="eastAsia" w:ascii="Times New Roman" w:hAnsi="Times New Roman" w:eastAsia="宋体" w:cs="Times New Roman"/>
          <w:color w:val="auto"/>
          <w:sz w:val="24"/>
        </w:rPr>
        <w:t>吨级</w:t>
      </w:r>
      <w:r>
        <w:rPr>
          <w:rFonts w:ascii="Times New Roman" w:hAnsi="Times New Roman" w:eastAsia="宋体" w:cs="Times New Roman"/>
          <w:color w:val="auto"/>
          <w:sz w:val="24"/>
        </w:rPr>
        <w:t>计算，每天来港的船只大约为4艘，每船的工作人员为8人，按照日用水量100L/人•d，生活污水排放量为用水量的85%计，则生活污水产生量为2.72m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/d（571.2m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/a）。</w:t>
      </w:r>
      <w:r>
        <w:rPr>
          <w:rFonts w:hint="eastAsia" w:ascii="Times New Roman" w:hAnsi="Times New Roman" w:eastAsia="宋体" w:cs="Times New Roman"/>
          <w:color w:val="auto"/>
          <w:sz w:val="24"/>
        </w:rPr>
        <w:t>运输</w:t>
      </w:r>
      <w:r>
        <w:rPr>
          <w:rFonts w:ascii="Times New Roman" w:hAnsi="Times New Roman" w:eastAsia="宋体" w:cs="Times New Roman"/>
          <w:color w:val="auto"/>
          <w:sz w:val="24"/>
        </w:rPr>
        <w:t>船舶产生的生活污水</w:t>
      </w:r>
      <w:r>
        <w:rPr>
          <w:rFonts w:hint="eastAsia" w:ascii="Times New Roman" w:hAnsi="Times New Roman" w:eastAsia="宋体" w:cs="Times New Roman"/>
          <w:color w:val="auto"/>
          <w:sz w:val="24"/>
        </w:rPr>
        <w:t>经隔油沉淀池预处理后，进入一体化污水处理设施处理后，回用于道路喷洒、机械车辆冲洗、绿化及码头地面冲洗，不外排。</w:t>
      </w:r>
    </w:p>
    <w:p w14:paraId="250056E8">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根据《船舶水污染物内河港口岸上接收设施设计指南》（J</w:t>
      </w:r>
      <w:r>
        <w:rPr>
          <w:rFonts w:ascii="Times New Roman" w:hAnsi="Times New Roman" w:eastAsia="宋体" w:cs="Times New Roman"/>
          <w:color w:val="auto"/>
          <w:sz w:val="24"/>
        </w:rPr>
        <w:t>TS/T175-2019</w:t>
      </w: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来港船舶生活污水污染物产生</w:t>
      </w:r>
      <w:r>
        <w:rPr>
          <w:rFonts w:hint="eastAsia" w:ascii="Times New Roman" w:hAnsi="Times New Roman" w:eastAsia="宋体" w:cs="Times New Roman"/>
          <w:color w:val="auto"/>
          <w:sz w:val="24"/>
        </w:rPr>
        <w:t>情况及去向见下</w:t>
      </w:r>
      <w:r>
        <w:rPr>
          <w:rFonts w:ascii="Times New Roman" w:hAnsi="Times New Roman" w:eastAsia="宋体" w:cs="Times New Roman"/>
          <w:color w:val="auto"/>
          <w:sz w:val="24"/>
        </w:rPr>
        <w:t>表。</w:t>
      </w:r>
    </w:p>
    <w:p w14:paraId="19A5D6E6">
      <w:pPr>
        <w:spacing w:line="400" w:lineRule="exact"/>
        <w:jc w:val="center"/>
        <w:rPr>
          <w:rFonts w:ascii="Times New Roman" w:hAnsi="Times New Roman" w:eastAsia="黑体" w:cs="Times New Roman"/>
          <w:color w:val="auto"/>
          <w:sz w:val="24"/>
        </w:rPr>
      </w:pPr>
      <w:r>
        <w:rPr>
          <w:rFonts w:ascii="Times New Roman" w:hAnsi="Times New Roman" w:eastAsia="黑体" w:cs="Times New Roman"/>
          <w:color w:val="auto"/>
          <w:sz w:val="24"/>
        </w:rPr>
        <w:t>表3.3-</w:t>
      </w:r>
      <w:r>
        <w:rPr>
          <w:rFonts w:hint="eastAsia" w:ascii="Times New Roman" w:hAnsi="Times New Roman" w:eastAsia="黑体" w:cs="Times New Roman"/>
          <w:color w:val="auto"/>
          <w:sz w:val="24"/>
        </w:rPr>
        <w:t>5</w:t>
      </w:r>
      <w:r>
        <w:rPr>
          <w:rFonts w:ascii="Times New Roman" w:hAnsi="Times New Roman" w:eastAsia="黑体" w:cs="Times New Roman"/>
          <w:color w:val="auto"/>
          <w:sz w:val="24"/>
        </w:rPr>
        <w:t xml:space="preserve">  船舶生活污水污染物产生及排放情况</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451"/>
        <w:gridCol w:w="1885"/>
        <w:gridCol w:w="1452"/>
        <w:gridCol w:w="3773"/>
      </w:tblGrid>
      <w:tr w14:paraId="190720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26" w:type="dxa"/>
            <w:noWrap w:val="0"/>
            <w:vAlign w:val="center"/>
          </w:tcPr>
          <w:p w14:paraId="67F996A9">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序号</w:t>
            </w:r>
          </w:p>
        </w:tc>
        <w:tc>
          <w:tcPr>
            <w:tcW w:w="1451" w:type="dxa"/>
            <w:noWrap w:val="0"/>
            <w:vAlign w:val="center"/>
          </w:tcPr>
          <w:p w14:paraId="4AC9362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污染物名称</w:t>
            </w:r>
          </w:p>
        </w:tc>
        <w:tc>
          <w:tcPr>
            <w:tcW w:w="1885" w:type="dxa"/>
            <w:noWrap w:val="0"/>
            <w:vAlign w:val="center"/>
          </w:tcPr>
          <w:p w14:paraId="174717D8">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产生浓度（mg/L）</w:t>
            </w:r>
          </w:p>
        </w:tc>
        <w:tc>
          <w:tcPr>
            <w:tcW w:w="1452" w:type="dxa"/>
            <w:noWrap w:val="0"/>
            <w:vAlign w:val="center"/>
          </w:tcPr>
          <w:p w14:paraId="69E2DCC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产生量（t/a）</w:t>
            </w:r>
          </w:p>
        </w:tc>
        <w:tc>
          <w:tcPr>
            <w:tcW w:w="3773" w:type="dxa"/>
            <w:noWrap w:val="0"/>
            <w:vAlign w:val="center"/>
          </w:tcPr>
          <w:p w14:paraId="2127A8DB">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去向</w:t>
            </w:r>
          </w:p>
        </w:tc>
      </w:tr>
      <w:tr w14:paraId="50726F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26" w:type="dxa"/>
            <w:noWrap w:val="0"/>
            <w:vAlign w:val="center"/>
          </w:tcPr>
          <w:p w14:paraId="12C7AB08">
            <w:pPr>
              <w:keepNext w:val="0"/>
              <w:keepLines w:val="0"/>
              <w:widowControl w:val="0"/>
              <w:suppressLineNumbers w:val="0"/>
              <w:spacing w:before="0" w:beforeAutospacing="0" w:after="0" w:afterAutospacing="0" w:line="276" w:lineRule="auto"/>
              <w:ind w:left="0" w:right="0"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1</w:t>
            </w:r>
          </w:p>
        </w:tc>
        <w:tc>
          <w:tcPr>
            <w:tcW w:w="1451" w:type="dxa"/>
            <w:noWrap w:val="0"/>
            <w:vAlign w:val="center"/>
          </w:tcPr>
          <w:p w14:paraId="43FD5EA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COD</w:t>
            </w:r>
          </w:p>
        </w:tc>
        <w:tc>
          <w:tcPr>
            <w:tcW w:w="1885" w:type="dxa"/>
            <w:noWrap w:val="0"/>
            <w:vAlign w:val="center"/>
          </w:tcPr>
          <w:p w14:paraId="2BB7980A">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400</w:t>
            </w:r>
          </w:p>
        </w:tc>
        <w:tc>
          <w:tcPr>
            <w:tcW w:w="1452" w:type="dxa"/>
            <w:noWrap w:val="0"/>
            <w:vAlign w:val="center"/>
          </w:tcPr>
          <w:p w14:paraId="4BFAF406">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等线" w:cs="Times New Roman"/>
                <w:color w:val="auto"/>
              </w:rPr>
              <w:t>0.228</w:t>
            </w:r>
          </w:p>
        </w:tc>
        <w:tc>
          <w:tcPr>
            <w:tcW w:w="3773" w:type="dxa"/>
            <w:vMerge w:val="restart"/>
            <w:noWrap w:val="0"/>
            <w:vAlign w:val="center"/>
          </w:tcPr>
          <w:p w14:paraId="795AFA07">
            <w:pPr>
              <w:keepNext w:val="0"/>
              <w:keepLines w:val="0"/>
              <w:suppressLineNumbers w:val="0"/>
              <w:spacing w:before="0" w:beforeAutospacing="0" w:after="0" w:afterAutospacing="0" w:line="276" w:lineRule="auto"/>
              <w:ind w:left="0" w:right="0"/>
              <w:jc w:val="center"/>
              <w:rPr>
                <w:rFonts w:hint="eastAsia" w:ascii="宋体" w:hAnsi="宋体" w:eastAsia="宋体" w:cs="Times New Roman"/>
                <w:color w:val="auto"/>
              </w:rPr>
            </w:pPr>
            <w:r>
              <w:rPr>
                <w:rFonts w:hint="eastAsia" w:ascii="宋体" w:hAnsi="宋体" w:eastAsia="宋体" w:cs="Times New Roman"/>
                <w:color w:val="auto"/>
              </w:rPr>
              <w:t>经隔油沉淀池预处理后，进入一体化污水处理设施处理，回用于道路喷洒、机械车辆冲洗、绿化及码头地面冲洗，不外排</w:t>
            </w:r>
          </w:p>
        </w:tc>
      </w:tr>
      <w:tr w14:paraId="1F8514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26" w:type="dxa"/>
            <w:noWrap w:val="0"/>
            <w:vAlign w:val="center"/>
          </w:tcPr>
          <w:p w14:paraId="099924EC">
            <w:pPr>
              <w:keepNext w:val="0"/>
              <w:keepLines w:val="0"/>
              <w:widowControl w:val="0"/>
              <w:suppressLineNumbers w:val="0"/>
              <w:spacing w:before="0" w:beforeAutospacing="0" w:after="0" w:afterAutospacing="0" w:line="276" w:lineRule="auto"/>
              <w:ind w:left="0" w:right="0"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2</w:t>
            </w:r>
          </w:p>
        </w:tc>
        <w:tc>
          <w:tcPr>
            <w:tcW w:w="1451" w:type="dxa"/>
            <w:noWrap w:val="0"/>
            <w:vAlign w:val="center"/>
          </w:tcPr>
          <w:p w14:paraId="5BDE896B">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vertAlign w:val="subscript"/>
              </w:rPr>
            </w:pPr>
            <w:r>
              <w:rPr>
                <w:rFonts w:hint="eastAsia" w:ascii="Times New Roman" w:hAnsi="Times New Roman" w:eastAsia="宋体" w:cs="Times New Roman"/>
                <w:color w:val="auto"/>
                <w:kern w:val="0"/>
              </w:rPr>
              <w:t>B</w:t>
            </w:r>
            <w:r>
              <w:rPr>
                <w:rFonts w:hint="default" w:ascii="Times New Roman" w:hAnsi="Times New Roman" w:eastAsia="宋体" w:cs="Times New Roman"/>
                <w:color w:val="auto"/>
                <w:kern w:val="0"/>
              </w:rPr>
              <w:t>OD</w:t>
            </w:r>
            <w:r>
              <w:rPr>
                <w:rFonts w:hint="default" w:ascii="Times New Roman" w:hAnsi="Times New Roman" w:eastAsia="宋体" w:cs="Times New Roman"/>
                <w:color w:val="auto"/>
                <w:kern w:val="0"/>
                <w:vertAlign w:val="subscript"/>
              </w:rPr>
              <w:t>5</w:t>
            </w:r>
          </w:p>
        </w:tc>
        <w:tc>
          <w:tcPr>
            <w:tcW w:w="1885" w:type="dxa"/>
            <w:noWrap w:val="0"/>
            <w:vAlign w:val="center"/>
          </w:tcPr>
          <w:p w14:paraId="731A7273">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500</w:t>
            </w:r>
          </w:p>
        </w:tc>
        <w:tc>
          <w:tcPr>
            <w:tcW w:w="1452" w:type="dxa"/>
            <w:noWrap w:val="0"/>
            <w:vAlign w:val="center"/>
          </w:tcPr>
          <w:p w14:paraId="679FBDBC">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0</w:t>
            </w:r>
            <w:r>
              <w:rPr>
                <w:rFonts w:hint="default" w:ascii="Times New Roman" w:hAnsi="Times New Roman" w:eastAsia="宋体" w:cs="Times New Roman"/>
                <w:color w:val="auto"/>
                <w:kern w:val="0"/>
              </w:rPr>
              <w:t>.286</w:t>
            </w:r>
          </w:p>
        </w:tc>
        <w:tc>
          <w:tcPr>
            <w:tcW w:w="3773" w:type="dxa"/>
            <w:vMerge w:val="continue"/>
            <w:noWrap w:val="0"/>
            <w:vAlign w:val="center"/>
          </w:tcPr>
          <w:p w14:paraId="4CD8F7B8">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rPr>
            </w:pPr>
          </w:p>
        </w:tc>
      </w:tr>
      <w:tr w14:paraId="6E8D9E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26" w:type="dxa"/>
            <w:noWrap w:val="0"/>
            <w:vAlign w:val="center"/>
          </w:tcPr>
          <w:p w14:paraId="5509FC82">
            <w:pPr>
              <w:keepNext w:val="0"/>
              <w:keepLines w:val="0"/>
              <w:widowControl w:val="0"/>
              <w:suppressLineNumbers w:val="0"/>
              <w:spacing w:before="0" w:beforeAutospacing="0" w:after="0" w:afterAutospacing="0" w:line="276" w:lineRule="auto"/>
              <w:ind w:left="0" w:right="0" w:firstLine="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3</w:t>
            </w:r>
          </w:p>
        </w:tc>
        <w:tc>
          <w:tcPr>
            <w:tcW w:w="1451" w:type="dxa"/>
            <w:noWrap w:val="0"/>
            <w:vAlign w:val="center"/>
          </w:tcPr>
          <w:p w14:paraId="435E45ED">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SS</w:t>
            </w:r>
          </w:p>
        </w:tc>
        <w:tc>
          <w:tcPr>
            <w:tcW w:w="1885" w:type="dxa"/>
            <w:noWrap w:val="0"/>
            <w:vAlign w:val="center"/>
          </w:tcPr>
          <w:p w14:paraId="7000C236">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425</w:t>
            </w:r>
          </w:p>
        </w:tc>
        <w:tc>
          <w:tcPr>
            <w:tcW w:w="1452" w:type="dxa"/>
            <w:noWrap w:val="0"/>
            <w:vAlign w:val="center"/>
          </w:tcPr>
          <w:p w14:paraId="516D18F8">
            <w:pPr>
              <w:keepNext w:val="0"/>
              <w:keepLines w:val="0"/>
              <w:suppressLineNumbers w:val="0"/>
              <w:spacing w:before="0" w:beforeAutospacing="0" w:after="0" w:afterAutospacing="0" w:line="276" w:lineRule="auto"/>
              <w:ind w:left="0" w:right="0"/>
              <w:jc w:val="center"/>
              <w:rPr>
                <w:rFonts w:hint="default" w:ascii="Times New Roman" w:hAnsi="Times New Roman" w:eastAsia="等线" w:cs="Times New Roman"/>
                <w:color w:val="auto"/>
              </w:rPr>
            </w:pPr>
            <w:r>
              <w:rPr>
                <w:rFonts w:hint="default" w:ascii="Times New Roman" w:hAnsi="Times New Roman" w:eastAsia="等线" w:cs="Times New Roman"/>
                <w:color w:val="auto"/>
              </w:rPr>
              <w:t>0.243</w:t>
            </w:r>
          </w:p>
        </w:tc>
        <w:tc>
          <w:tcPr>
            <w:tcW w:w="3773" w:type="dxa"/>
            <w:vMerge w:val="continue"/>
            <w:noWrap w:val="0"/>
            <w:vAlign w:val="center"/>
          </w:tcPr>
          <w:p w14:paraId="1B5271F5">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rPr>
            </w:pPr>
          </w:p>
        </w:tc>
      </w:tr>
      <w:tr w14:paraId="6BD79E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26" w:type="dxa"/>
            <w:noWrap w:val="0"/>
            <w:vAlign w:val="center"/>
          </w:tcPr>
          <w:p w14:paraId="4BD58F95">
            <w:pPr>
              <w:keepNext w:val="0"/>
              <w:keepLines w:val="0"/>
              <w:widowControl w:val="0"/>
              <w:suppressLineNumbers w:val="0"/>
              <w:spacing w:before="0" w:beforeAutospacing="0" w:after="0" w:afterAutospacing="0" w:line="276" w:lineRule="auto"/>
              <w:ind w:left="0" w:right="0" w:firstLine="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4</w:t>
            </w:r>
          </w:p>
        </w:tc>
        <w:tc>
          <w:tcPr>
            <w:tcW w:w="1451" w:type="dxa"/>
            <w:noWrap w:val="0"/>
            <w:vAlign w:val="center"/>
          </w:tcPr>
          <w:p w14:paraId="5DFC056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氨氮</w:t>
            </w:r>
          </w:p>
        </w:tc>
        <w:tc>
          <w:tcPr>
            <w:tcW w:w="1885" w:type="dxa"/>
            <w:noWrap w:val="0"/>
            <w:vAlign w:val="center"/>
          </w:tcPr>
          <w:p w14:paraId="04EDE52A">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35</w:t>
            </w:r>
          </w:p>
        </w:tc>
        <w:tc>
          <w:tcPr>
            <w:tcW w:w="1452" w:type="dxa"/>
            <w:noWrap w:val="0"/>
            <w:vAlign w:val="center"/>
          </w:tcPr>
          <w:p w14:paraId="45E05D1C">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等线" w:cs="Times New Roman"/>
                <w:color w:val="auto"/>
              </w:rPr>
              <w:t>0.020</w:t>
            </w:r>
          </w:p>
        </w:tc>
        <w:tc>
          <w:tcPr>
            <w:tcW w:w="3773" w:type="dxa"/>
            <w:vMerge w:val="continue"/>
            <w:noWrap w:val="0"/>
            <w:vAlign w:val="center"/>
          </w:tcPr>
          <w:p w14:paraId="6A40F6B8">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rPr>
            </w:pPr>
          </w:p>
        </w:tc>
      </w:tr>
    </w:tbl>
    <w:p w14:paraId="6D1847C9">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（2）船舶含油污水</w:t>
      </w:r>
    </w:p>
    <w:p w14:paraId="35990936">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项目码头为干散货码头，</w:t>
      </w:r>
      <w:r>
        <w:rPr>
          <w:rFonts w:ascii="Times New Roman" w:hAnsi="Times New Roman" w:eastAsia="宋体" w:cs="Times New Roman"/>
          <w:color w:val="auto"/>
          <w:sz w:val="24"/>
        </w:rPr>
        <w:t>根据《水运工程环境保护设计规范》（JTS149-2018），1000~3000吨级船舶含油污水量</w:t>
      </w:r>
      <w:r>
        <w:rPr>
          <w:rFonts w:hint="eastAsia" w:ascii="Times New Roman" w:hAnsi="Times New Roman" w:eastAsia="宋体" w:cs="Times New Roman"/>
          <w:color w:val="auto"/>
          <w:sz w:val="24"/>
        </w:rPr>
        <w:t>取值</w:t>
      </w:r>
      <w:r>
        <w:rPr>
          <w:rFonts w:ascii="Times New Roman" w:hAnsi="Times New Roman" w:eastAsia="宋体" w:cs="Times New Roman"/>
          <w:color w:val="auto"/>
          <w:sz w:val="24"/>
        </w:rPr>
        <w:t>为0.54m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/d•艘</w:t>
      </w: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根据</w:t>
      </w:r>
      <w:r>
        <w:rPr>
          <w:rFonts w:hint="eastAsia" w:ascii="Times New Roman" w:hAnsi="Times New Roman" w:eastAsia="宋体" w:cs="Times New Roman"/>
          <w:color w:val="auto"/>
          <w:sz w:val="24"/>
        </w:rPr>
        <w:t>本</w:t>
      </w:r>
      <w:r>
        <w:rPr>
          <w:rFonts w:ascii="Times New Roman" w:hAnsi="Times New Roman" w:eastAsia="宋体" w:cs="Times New Roman"/>
          <w:color w:val="auto"/>
          <w:sz w:val="24"/>
        </w:rPr>
        <w:t>项目年吞吐量计算，每天到港船舶数量约为4艘，到港船舶含油污水产生量约2.16m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/d（453.6m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/a），</w:t>
      </w:r>
      <w:r>
        <w:rPr>
          <w:rFonts w:hint="eastAsia" w:ascii="Times New Roman" w:hAnsi="Times New Roman" w:eastAsia="宋体" w:cs="Times New Roman"/>
          <w:color w:val="auto"/>
          <w:sz w:val="24"/>
        </w:rPr>
        <w:t>对照</w:t>
      </w:r>
      <w:r>
        <w:rPr>
          <w:rFonts w:ascii="Times New Roman" w:hAnsi="Times New Roman" w:eastAsia="宋体" w:cs="Times New Roman"/>
          <w:color w:val="auto"/>
          <w:sz w:val="24"/>
        </w:rPr>
        <w:t>《水运工程环境保护设计规范》（JTS149-2018）</w:t>
      </w:r>
      <w:r>
        <w:rPr>
          <w:rFonts w:hint="eastAsia" w:ascii="Times New Roman" w:hAnsi="Times New Roman" w:eastAsia="宋体" w:cs="Times New Roman"/>
          <w:color w:val="auto"/>
          <w:sz w:val="24"/>
        </w:rPr>
        <w:t>及同类型企业类比，</w:t>
      </w:r>
      <w:r>
        <w:rPr>
          <w:rFonts w:ascii="Times New Roman" w:hAnsi="Times New Roman" w:eastAsia="宋体" w:cs="Times New Roman"/>
          <w:color w:val="auto"/>
          <w:sz w:val="24"/>
        </w:rPr>
        <w:t>船舶含油污水产生量及浓度见表3.3-</w:t>
      </w:r>
      <w:r>
        <w:rPr>
          <w:rFonts w:hint="eastAsia" w:ascii="Times New Roman" w:hAnsi="Times New Roman" w:eastAsia="宋体" w:cs="Times New Roman"/>
          <w:color w:val="auto"/>
          <w:sz w:val="24"/>
        </w:rPr>
        <w:t>6</w:t>
      </w:r>
      <w:r>
        <w:rPr>
          <w:rFonts w:ascii="Times New Roman" w:hAnsi="Times New Roman" w:eastAsia="宋体" w:cs="Times New Roman"/>
          <w:color w:val="auto"/>
          <w:sz w:val="24"/>
        </w:rPr>
        <w:t>。本项目到港船舶含油污水</w:t>
      </w:r>
      <w:r>
        <w:rPr>
          <w:rFonts w:hint="eastAsia" w:ascii="Times New Roman" w:hAnsi="Times New Roman" w:eastAsia="宋体" w:cs="Times New Roman"/>
          <w:color w:val="auto"/>
          <w:sz w:val="24"/>
        </w:rPr>
        <w:t>经隔油沉淀池预处理后，进入一体化污水处理设施处理，经处理后回用于道路喷洒、机械车辆冲洗、绿化及码头地面冲洗，不外排。</w:t>
      </w:r>
    </w:p>
    <w:p w14:paraId="5D475DC6">
      <w:pPr>
        <w:adjustRightInd w:val="0"/>
        <w:snapToGrid w:val="0"/>
        <w:spacing w:line="360" w:lineRule="exact"/>
        <w:jc w:val="center"/>
        <w:rPr>
          <w:rFonts w:ascii="Times New Roman" w:hAnsi="Times New Roman" w:eastAsia="黑体" w:cs="Times New Roman"/>
          <w:color w:val="auto"/>
          <w:kern w:val="0"/>
          <w:sz w:val="24"/>
          <w:szCs w:val="20"/>
        </w:rPr>
      </w:pPr>
      <w:r>
        <w:rPr>
          <w:rFonts w:ascii="Times New Roman" w:hAnsi="Times New Roman" w:eastAsia="黑体" w:cs="Times New Roman"/>
          <w:color w:val="auto"/>
          <w:kern w:val="0"/>
          <w:sz w:val="24"/>
          <w:szCs w:val="20"/>
        </w:rPr>
        <w:t>表3.3-</w:t>
      </w:r>
      <w:r>
        <w:rPr>
          <w:rFonts w:hint="eastAsia" w:ascii="Times New Roman" w:hAnsi="Times New Roman" w:eastAsia="黑体" w:cs="Times New Roman"/>
          <w:color w:val="auto"/>
          <w:kern w:val="0"/>
          <w:sz w:val="24"/>
          <w:szCs w:val="20"/>
        </w:rPr>
        <w:t>6</w:t>
      </w:r>
      <w:r>
        <w:rPr>
          <w:rFonts w:ascii="Times New Roman" w:hAnsi="Times New Roman" w:eastAsia="黑体" w:cs="Times New Roman"/>
          <w:color w:val="auto"/>
          <w:kern w:val="0"/>
          <w:sz w:val="24"/>
          <w:szCs w:val="20"/>
        </w:rPr>
        <w:t xml:space="preserve">  船舶含油污水产生量及浓度</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1903"/>
        <w:gridCol w:w="1295"/>
        <w:gridCol w:w="1692"/>
        <w:gridCol w:w="1436"/>
        <w:gridCol w:w="1546"/>
      </w:tblGrid>
      <w:tr w14:paraId="482A98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15" w:type="dxa"/>
            <w:noWrap/>
            <w:vAlign w:val="center"/>
          </w:tcPr>
          <w:p w14:paraId="54C671D0">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kern w:val="0"/>
              </w:rPr>
            </w:pPr>
            <w:r>
              <w:rPr>
                <w:rFonts w:hint="default" w:ascii="Times New Roman" w:hAnsi="Times New Roman" w:eastAsia="宋体" w:cs="Times New Roman"/>
                <w:b/>
                <w:color w:val="auto"/>
                <w:kern w:val="0"/>
              </w:rPr>
              <w:t>船舶吨级</w:t>
            </w:r>
          </w:p>
        </w:tc>
        <w:tc>
          <w:tcPr>
            <w:tcW w:w="1903" w:type="dxa"/>
            <w:noWrap/>
            <w:vAlign w:val="center"/>
          </w:tcPr>
          <w:p w14:paraId="244E01A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平均到港次数</w:t>
            </w:r>
          </w:p>
          <w:p w14:paraId="71D6993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（艘次/d）</w:t>
            </w:r>
          </w:p>
        </w:tc>
        <w:tc>
          <w:tcPr>
            <w:tcW w:w="1295" w:type="dxa"/>
            <w:noWrap/>
            <w:vAlign w:val="center"/>
          </w:tcPr>
          <w:p w14:paraId="5A36748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产生系数</w:t>
            </w:r>
          </w:p>
          <w:p w14:paraId="48ACBD25">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（t/d·艘）</w:t>
            </w:r>
          </w:p>
        </w:tc>
        <w:tc>
          <w:tcPr>
            <w:tcW w:w="1692" w:type="dxa"/>
            <w:noWrap/>
            <w:vAlign w:val="center"/>
          </w:tcPr>
          <w:p w14:paraId="0772828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含油废水产生量</w:t>
            </w:r>
          </w:p>
          <w:p w14:paraId="216E3BB2">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w:t>
            </w:r>
            <w:r>
              <w:rPr>
                <w:rFonts w:hint="default" w:ascii="Times New Roman" w:hAnsi="Times New Roman" w:eastAsia="宋体" w:cs="Times New Roman"/>
                <w:b/>
                <w:color w:val="auto"/>
              </w:rPr>
              <w:t>m</w:t>
            </w:r>
            <w:r>
              <w:rPr>
                <w:rFonts w:hint="default" w:ascii="Times New Roman" w:hAnsi="Times New Roman" w:eastAsia="宋体" w:cs="Times New Roman"/>
                <w:b/>
                <w:color w:val="auto"/>
                <w:vertAlign w:val="superscript"/>
              </w:rPr>
              <w:t>3</w:t>
            </w:r>
            <w:r>
              <w:rPr>
                <w:rFonts w:hint="default" w:ascii="Times New Roman" w:hAnsi="Times New Roman" w:eastAsia="宋体" w:cs="Times New Roman"/>
                <w:b/>
                <w:color w:val="auto"/>
              </w:rPr>
              <w:t>/a</w:t>
            </w:r>
            <w:r>
              <w:rPr>
                <w:rFonts w:hint="default" w:ascii="Times New Roman" w:hAnsi="Times New Roman" w:eastAsia="宋体" w:cs="Times New Roman"/>
                <w:b/>
                <w:color w:val="auto"/>
                <w:kern w:val="0"/>
              </w:rPr>
              <w:t>）</w:t>
            </w:r>
          </w:p>
        </w:tc>
        <w:tc>
          <w:tcPr>
            <w:tcW w:w="1436" w:type="dxa"/>
            <w:noWrap/>
            <w:vAlign w:val="center"/>
          </w:tcPr>
          <w:p w14:paraId="59A4C46E">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石油类浓度</w:t>
            </w:r>
          </w:p>
          <w:p w14:paraId="47273B64">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（mg/L）</w:t>
            </w:r>
          </w:p>
        </w:tc>
        <w:tc>
          <w:tcPr>
            <w:tcW w:w="1546" w:type="dxa"/>
            <w:noWrap/>
            <w:vAlign w:val="center"/>
          </w:tcPr>
          <w:p w14:paraId="333B5DD1">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COD浓度</w:t>
            </w:r>
          </w:p>
          <w:p w14:paraId="17531A63">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（mg/L）</w:t>
            </w:r>
          </w:p>
        </w:tc>
      </w:tr>
      <w:tr w14:paraId="5AD74A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415" w:type="dxa"/>
            <w:noWrap/>
            <w:vAlign w:val="center"/>
          </w:tcPr>
          <w:p w14:paraId="038CE42D">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1000</w:t>
            </w:r>
          </w:p>
        </w:tc>
        <w:tc>
          <w:tcPr>
            <w:tcW w:w="1903" w:type="dxa"/>
            <w:noWrap/>
            <w:vAlign w:val="center"/>
          </w:tcPr>
          <w:p w14:paraId="26378A4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4</w:t>
            </w:r>
          </w:p>
        </w:tc>
        <w:tc>
          <w:tcPr>
            <w:tcW w:w="1295" w:type="dxa"/>
            <w:noWrap/>
            <w:vAlign w:val="center"/>
          </w:tcPr>
          <w:p w14:paraId="24262E4F">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0.54</w:t>
            </w:r>
          </w:p>
        </w:tc>
        <w:tc>
          <w:tcPr>
            <w:tcW w:w="1692" w:type="dxa"/>
            <w:noWrap/>
            <w:vAlign w:val="center"/>
          </w:tcPr>
          <w:p w14:paraId="5217DDF8">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453.6</w:t>
            </w:r>
          </w:p>
        </w:tc>
        <w:tc>
          <w:tcPr>
            <w:tcW w:w="1436" w:type="dxa"/>
            <w:noWrap/>
            <w:vAlign w:val="center"/>
          </w:tcPr>
          <w:p w14:paraId="6FE45BC7">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5000</w:t>
            </w:r>
          </w:p>
        </w:tc>
        <w:tc>
          <w:tcPr>
            <w:tcW w:w="1546" w:type="dxa"/>
            <w:noWrap/>
            <w:vAlign w:val="center"/>
          </w:tcPr>
          <w:p w14:paraId="157F69C0">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400</w:t>
            </w:r>
          </w:p>
        </w:tc>
      </w:tr>
    </w:tbl>
    <w:p w14:paraId="4A0367A3">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（3）初期雨水</w:t>
      </w:r>
    </w:p>
    <w:p w14:paraId="459B95B0">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码头由于存在</w:t>
      </w:r>
      <w:r>
        <w:rPr>
          <w:rFonts w:hint="eastAsia" w:ascii="Times New Roman" w:hAnsi="Times New Roman" w:eastAsia="宋体" w:cs="Times New Roman"/>
          <w:color w:val="auto"/>
          <w:sz w:val="24"/>
        </w:rPr>
        <w:t>煤炭、矿建材料</w:t>
      </w:r>
      <w:r>
        <w:rPr>
          <w:rFonts w:ascii="Times New Roman" w:hAnsi="Times New Roman" w:eastAsia="宋体" w:cs="Times New Roman"/>
          <w:color w:val="auto"/>
          <w:sz w:val="24"/>
        </w:rPr>
        <w:t>散货装卸作业，容易产生粉尘飘洒在码头作业区，当遇到降雨时，由于悬浮物含量较高，会对环境造成污染，故应对项目码头初期雨水进行</w:t>
      </w:r>
      <w:r>
        <w:rPr>
          <w:rFonts w:hint="eastAsia" w:ascii="Times New Roman" w:hAnsi="Times New Roman" w:eastAsia="宋体" w:cs="Times New Roman"/>
          <w:color w:val="auto"/>
          <w:sz w:val="24"/>
        </w:rPr>
        <w:t>处理，</w:t>
      </w:r>
      <w:r>
        <w:rPr>
          <w:rFonts w:ascii="Times New Roman" w:hAnsi="Times New Roman" w:eastAsia="宋体" w:cs="Times New Roman"/>
          <w:color w:val="auto"/>
          <w:sz w:val="24"/>
        </w:rPr>
        <w:t>初</w:t>
      </w:r>
      <w:r>
        <w:rPr>
          <w:rFonts w:hint="eastAsia" w:ascii="Times New Roman" w:hAnsi="Times New Roman" w:eastAsia="宋体" w:cs="Times New Roman"/>
          <w:color w:val="auto"/>
          <w:sz w:val="24"/>
        </w:rPr>
        <w:t>期</w:t>
      </w:r>
      <w:r>
        <w:rPr>
          <w:rFonts w:ascii="Times New Roman" w:hAnsi="Times New Roman" w:eastAsia="宋体" w:cs="Times New Roman"/>
          <w:color w:val="auto"/>
          <w:sz w:val="24"/>
        </w:rPr>
        <w:t>雨水由设于码头面</w:t>
      </w:r>
      <w:r>
        <w:rPr>
          <w:rFonts w:hint="eastAsia" w:ascii="Times New Roman" w:hAnsi="Times New Roman" w:eastAsia="宋体" w:cs="Times New Roman"/>
          <w:color w:val="auto"/>
          <w:sz w:val="24"/>
        </w:rPr>
        <w:t>隔油沉淀池预处理后进入一体化污水处理设备</w:t>
      </w:r>
      <w:r>
        <w:rPr>
          <w:rFonts w:ascii="Times New Roman" w:hAnsi="Times New Roman" w:eastAsia="宋体" w:cs="Times New Roman"/>
          <w:color w:val="auto"/>
          <w:sz w:val="24"/>
        </w:rPr>
        <w:t>处理后，作为码头地面冲洗</w:t>
      </w:r>
      <w:r>
        <w:rPr>
          <w:rFonts w:hint="eastAsia" w:ascii="Times New Roman" w:hAnsi="Times New Roman" w:eastAsia="宋体" w:cs="Times New Roman"/>
          <w:color w:val="auto"/>
          <w:sz w:val="24"/>
        </w:rPr>
        <w:t>用水、道路喷洒用水、机械车辆冲洗用水及绿化用水</w:t>
      </w:r>
      <w:r>
        <w:rPr>
          <w:rFonts w:ascii="Times New Roman" w:hAnsi="Times New Roman" w:eastAsia="宋体" w:cs="Times New Roman"/>
          <w:color w:val="auto"/>
          <w:sz w:val="24"/>
        </w:rPr>
        <w:t>。</w:t>
      </w:r>
    </w:p>
    <w:p w14:paraId="1475A799">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根据</w:t>
      </w:r>
      <w:r>
        <w:rPr>
          <w:rFonts w:ascii="Times New Roman" w:hAnsi="Times New Roman" w:eastAsia="宋体" w:cs="Times New Roman"/>
          <w:color w:val="auto"/>
          <w:sz w:val="24"/>
        </w:rPr>
        <w:t>《水运工程环境保护设计规范》（JTS149-2018）</w:t>
      </w:r>
      <w:r>
        <w:rPr>
          <w:rFonts w:hint="eastAsia" w:ascii="Times New Roman" w:hAnsi="Times New Roman" w:eastAsia="宋体" w:cs="Times New Roman"/>
          <w:color w:val="auto"/>
          <w:sz w:val="24"/>
        </w:rPr>
        <w:t>，初期雨水量按下式计算：</w:t>
      </w:r>
    </w:p>
    <w:p w14:paraId="2118548A">
      <w:pPr>
        <w:spacing w:line="360" w:lineRule="auto"/>
        <w:jc w:val="center"/>
        <w:rPr>
          <w:rFonts w:hint="eastAsia" w:ascii="Times New Roman" w:hAnsi="Times New Roman" w:eastAsia="宋体" w:cs="Times New Roman"/>
          <w:color w:val="auto"/>
          <w:sz w:val="24"/>
          <w:szCs w:val="24"/>
        </w:rPr>
      </w:pPr>
      <w:r>
        <w:rPr>
          <w:rFonts w:ascii="Times New Roman" w:hAnsi="Times New Roman" w:eastAsia="宋体" w:cs="Times New Roman"/>
          <w:color w:val="auto"/>
          <w:sz w:val="24"/>
          <w:szCs w:val="24"/>
        </w:rPr>
        <w:t>V=ψ·F·</w:t>
      </w:r>
      <w:r>
        <w:rPr>
          <w:rFonts w:hint="eastAsia" w:ascii="Times New Roman" w:hAnsi="Times New Roman" w:eastAsia="宋体" w:cs="Times New Roman"/>
          <w:color w:val="auto"/>
          <w:sz w:val="24"/>
          <w:szCs w:val="24"/>
        </w:rPr>
        <w:t>h</w:t>
      </w:r>
    </w:p>
    <w:p w14:paraId="02C177BA">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式中：</w:t>
      </w:r>
      <w:r>
        <w:rPr>
          <w:rFonts w:ascii="Times New Roman" w:hAnsi="Times New Roman" w:eastAsia="宋体" w:cs="Times New Roman"/>
          <w:color w:val="auto"/>
          <w:sz w:val="24"/>
          <w:szCs w:val="24"/>
        </w:rPr>
        <w:t>V</w:t>
      </w:r>
      <w:r>
        <w:rPr>
          <w:rFonts w:hint="eastAsia" w:ascii="Times New Roman" w:hAnsi="Times New Roman" w:eastAsia="宋体" w:cs="Times New Roman"/>
          <w:color w:val="auto"/>
          <w:sz w:val="24"/>
          <w:szCs w:val="24"/>
        </w:rPr>
        <w:t>—初期雨水量（m</w:t>
      </w:r>
      <w:r>
        <w:rPr>
          <w:rFonts w:ascii="Times New Roman" w:hAnsi="Times New Roman" w:eastAsia="宋体" w:cs="Times New Roman"/>
          <w:color w:val="auto"/>
          <w:sz w:val="24"/>
          <w:szCs w:val="24"/>
          <w:vertAlign w:val="superscript"/>
        </w:rPr>
        <w:t>3</w:t>
      </w:r>
      <w:r>
        <w:rPr>
          <w:rFonts w:hint="eastAsia" w:ascii="Times New Roman" w:hAnsi="Times New Roman" w:eastAsia="宋体" w:cs="Times New Roman"/>
          <w:color w:val="auto"/>
          <w:sz w:val="24"/>
          <w:szCs w:val="24"/>
        </w:rPr>
        <w:t>）；</w:t>
      </w:r>
    </w:p>
    <w:p w14:paraId="4B343B77">
      <w:pPr>
        <w:spacing w:line="360" w:lineRule="auto"/>
        <w:ind w:firstLine="1200" w:firstLineChars="5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F—汇水面积（m</w:t>
      </w:r>
      <w:r>
        <w:rPr>
          <w:rFonts w:ascii="Times New Roman" w:hAnsi="Times New Roman" w:eastAsia="宋体" w:cs="Times New Roman"/>
          <w:color w:val="auto"/>
          <w:sz w:val="24"/>
          <w:szCs w:val="24"/>
          <w:vertAlign w:val="superscript"/>
        </w:rPr>
        <w:t>2</w:t>
      </w:r>
      <w:r>
        <w:rPr>
          <w:rFonts w:hint="eastAsia" w:ascii="Times New Roman" w:hAnsi="Times New Roman" w:eastAsia="宋体" w:cs="Times New Roman"/>
          <w:color w:val="auto"/>
          <w:sz w:val="24"/>
          <w:szCs w:val="24"/>
        </w:rPr>
        <w:t>）；码头区域占地面积约4</w:t>
      </w:r>
      <w:r>
        <w:rPr>
          <w:rFonts w:ascii="Times New Roman" w:hAnsi="Times New Roman" w:eastAsia="宋体" w:cs="Times New Roman"/>
          <w:color w:val="auto"/>
          <w:sz w:val="24"/>
          <w:szCs w:val="24"/>
        </w:rPr>
        <w:t>000</w:t>
      </w:r>
      <w:r>
        <w:rPr>
          <w:rFonts w:hint="eastAsia" w:ascii="Times New Roman" w:hAnsi="Times New Roman" w:eastAsia="宋体" w:cs="Times New Roman"/>
          <w:color w:val="auto"/>
          <w:sz w:val="24"/>
          <w:szCs w:val="24"/>
        </w:rPr>
        <w:t>m</w:t>
      </w:r>
      <w:r>
        <w:rPr>
          <w:rFonts w:ascii="Times New Roman" w:hAnsi="Times New Roman" w:eastAsia="宋体" w:cs="Times New Roman"/>
          <w:color w:val="auto"/>
          <w:sz w:val="24"/>
          <w:szCs w:val="24"/>
          <w:vertAlign w:val="superscript"/>
        </w:rPr>
        <w:t>2</w:t>
      </w:r>
      <w:r>
        <w:rPr>
          <w:rFonts w:hint="eastAsia" w:ascii="Times New Roman" w:hAnsi="Times New Roman" w:eastAsia="宋体" w:cs="Times New Roman"/>
          <w:color w:val="auto"/>
          <w:sz w:val="24"/>
          <w:szCs w:val="24"/>
        </w:rPr>
        <w:t>；</w:t>
      </w:r>
    </w:p>
    <w:p w14:paraId="532C9C77">
      <w:pPr>
        <w:spacing w:line="360" w:lineRule="auto"/>
        <w:ind w:firstLine="1200" w:firstLineChars="5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ψ</w:t>
      </w:r>
      <w:r>
        <w:rPr>
          <w:rFonts w:hint="eastAsia" w:ascii="Times New Roman" w:hAnsi="Times New Roman" w:eastAsia="宋体" w:cs="Times New Roman"/>
          <w:color w:val="auto"/>
          <w:sz w:val="24"/>
          <w:szCs w:val="24"/>
        </w:rPr>
        <w:t>—为径流系数，</w:t>
      </w:r>
      <w:r>
        <w:rPr>
          <w:rFonts w:ascii="Times New Roman" w:hAnsi="Times New Roman" w:eastAsia="宋体" w:cs="Times New Roman"/>
          <w:color w:val="auto"/>
          <w:sz w:val="24"/>
          <w:szCs w:val="24"/>
        </w:rPr>
        <w:t>取</w:t>
      </w:r>
      <w:r>
        <w:rPr>
          <w:rFonts w:hint="eastAsia" w:ascii="Times New Roman" w:hAnsi="Times New Roman" w:eastAsia="宋体" w:cs="Times New Roman"/>
          <w:color w:val="auto"/>
          <w:sz w:val="24"/>
          <w:szCs w:val="24"/>
        </w:rPr>
        <w:t>0</w:t>
      </w:r>
      <w:r>
        <w:rPr>
          <w:rFonts w:ascii="Times New Roman" w:hAnsi="Times New Roman" w:eastAsia="宋体" w:cs="Times New Roman"/>
          <w:color w:val="auto"/>
          <w:sz w:val="24"/>
          <w:szCs w:val="24"/>
        </w:rPr>
        <w:t>.9</w:t>
      </w:r>
      <w:r>
        <w:rPr>
          <w:rFonts w:hint="eastAsia" w:ascii="Times New Roman" w:hAnsi="Times New Roman" w:eastAsia="宋体" w:cs="Times New Roman"/>
          <w:color w:val="auto"/>
          <w:sz w:val="24"/>
          <w:szCs w:val="24"/>
        </w:rPr>
        <w:t>；</w:t>
      </w:r>
    </w:p>
    <w:p w14:paraId="1BFE179A">
      <w:pPr>
        <w:spacing w:line="360" w:lineRule="auto"/>
        <w:ind w:firstLine="1200" w:firstLineChars="5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h</w:t>
      </w:r>
      <w:r>
        <w:rPr>
          <w:rFonts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rPr>
        <w:t>降水深度（m）</w:t>
      </w:r>
      <w:r>
        <w:rPr>
          <w:rFonts w:ascii="Times New Roman" w:hAnsi="Times New Roman" w:eastAsia="宋体" w:cs="Times New Roman"/>
          <w:color w:val="auto"/>
          <w:sz w:val="24"/>
          <w:szCs w:val="24"/>
        </w:rPr>
        <w:t>，取0.015~0.03</w:t>
      </w:r>
      <w:r>
        <w:rPr>
          <w:rFonts w:hint="eastAsia" w:ascii="Times New Roman" w:hAnsi="Times New Roman" w:eastAsia="宋体" w:cs="Times New Roman"/>
          <w:color w:val="auto"/>
          <w:sz w:val="24"/>
          <w:szCs w:val="24"/>
        </w:rPr>
        <w:t>m</w:t>
      </w:r>
      <w:r>
        <w:rPr>
          <w:rFonts w:ascii="Times New Roman" w:hAnsi="Times New Roman" w:eastAsia="宋体" w:cs="Times New Roman"/>
          <w:color w:val="auto"/>
          <w:sz w:val="24"/>
          <w:szCs w:val="24"/>
        </w:rPr>
        <w:t>。</w:t>
      </w:r>
    </w:p>
    <w:p w14:paraId="36EBDDB0">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经计算，初期雨水量</w:t>
      </w:r>
      <w:r>
        <w:rPr>
          <w:rFonts w:hint="eastAsia" w:ascii="Times New Roman" w:hAnsi="Times New Roman" w:eastAsia="宋体" w:cs="Times New Roman"/>
          <w:color w:val="auto"/>
          <w:sz w:val="24"/>
          <w:szCs w:val="24"/>
        </w:rPr>
        <w:t>约</w:t>
      </w:r>
      <w:r>
        <w:rPr>
          <w:rFonts w:ascii="Times New Roman" w:hAnsi="Times New Roman" w:eastAsia="宋体" w:cs="Times New Roman"/>
          <w:color w:val="auto"/>
          <w:sz w:val="24"/>
          <w:szCs w:val="24"/>
        </w:rPr>
        <w:t>为108m</w:t>
      </w:r>
      <w:r>
        <w:rPr>
          <w:rFonts w:ascii="Times New Roman" w:hAnsi="Times New Roman" w:eastAsia="宋体" w:cs="Times New Roman"/>
          <w:color w:val="auto"/>
          <w:sz w:val="24"/>
          <w:szCs w:val="24"/>
          <w:vertAlign w:val="superscript"/>
        </w:rPr>
        <w:t>3</w:t>
      </w:r>
      <w:r>
        <w:rPr>
          <w:rFonts w:ascii="Times New Roman" w:hAnsi="Times New Roman" w:eastAsia="宋体" w:cs="Times New Roman"/>
          <w:color w:val="auto"/>
          <w:sz w:val="24"/>
          <w:szCs w:val="24"/>
        </w:rPr>
        <w:t>/次。年暴雨频次按15次/a计，初期雨水收集量为1620m</w:t>
      </w:r>
      <w:r>
        <w:rPr>
          <w:rFonts w:ascii="Times New Roman" w:hAnsi="Times New Roman" w:eastAsia="宋体" w:cs="Times New Roman"/>
          <w:color w:val="auto"/>
          <w:sz w:val="24"/>
          <w:szCs w:val="24"/>
          <w:vertAlign w:val="superscript"/>
        </w:rPr>
        <w:t>3</w:t>
      </w:r>
      <w:r>
        <w:rPr>
          <w:rFonts w:ascii="Times New Roman" w:hAnsi="Times New Roman" w:eastAsia="宋体" w:cs="Times New Roman"/>
          <w:color w:val="auto"/>
          <w:sz w:val="24"/>
          <w:szCs w:val="24"/>
        </w:rPr>
        <w:t>/a，</w:t>
      </w:r>
      <w:r>
        <w:rPr>
          <w:rFonts w:ascii="Times New Roman" w:hAnsi="Times New Roman" w:eastAsia="宋体" w:cs="Times New Roman"/>
          <w:color w:val="auto"/>
          <w:sz w:val="24"/>
          <w:szCs w:val="20"/>
        </w:rPr>
        <w:t>其主要污染物为SS，</w:t>
      </w:r>
      <w:r>
        <w:rPr>
          <w:rFonts w:hint="eastAsia" w:ascii="Times New Roman" w:hAnsi="Times New Roman" w:eastAsia="宋体" w:cs="Times New Roman"/>
          <w:color w:val="auto"/>
          <w:sz w:val="24"/>
        </w:rPr>
        <w:t>根据</w:t>
      </w:r>
      <w:r>
        <w:rPr>
          <w:rFonts w:ascii="Times New Roman" w:hAnsi="Times New Roman" w:eastAsia="宋体" w:cs="Times New Roman"/>
          <w:color w:val="auto"/>
          <w:sz w:val="24"/>
        </w:rPr>
        <w:t>《水运工程环境保护设计规范》（JTS149-2018）</w:t>
      </w:r>
      <w:r>
        <w:rPr>
          <w:rFonts w:hint="eastAsia" w:ascii="Times New Roman" w:hAnsi="Times New Roman" w:eastAsia="宋体" w:cs="Times New Roman"/>
          <w:color w:val="auto"/>
          <w:sz w:val="24"/>
        </w:rPr>
        <w:t>，</w:t>
      </w:r>
      <w:r>
        <w:rPr>
          <w:rFonts w:ascii="Times New Roman" w:hAnsi="Times New Roman" w:eastAsia="宋体" w:cs="Times New Roman"/>
          <w:color w:val="auto"/>
          <w:sz w:val="24"/>
          <w:szCs w:val="20"/>
        </w:rPr>
        <w:t>SS</w:t>
      </w:r>
      <w:r>
        <w:rPr>
          <w:rFonts w:hint="eastAsia" w:cs="Times New Roman"/>
          <w:color w:val="auto"/>
          <w:sz w:val="24"/>
          <w:szCs w:val="20"/>
          <w:lang w:eastAsia="zh-CN"/>
        </w:rPr>
        <w:t>浓度</w:t>
      </w:r>
      <w:r>
        <w:rPr>
          <w:rFonts w:hint="eastAsia" w:ascii="Times New Roman" w:hAnsi="Times New Roman" w:eastAsia="宋体" w:cs="Times New Roman"/>
          <w:color w:val="auto"/>
          <w:sz w:val="24"/>
          <w:szCs w:val="20"/>
        </w:rPr>
        <w:t>为</w:t>
      </w:r>
      <w:r>
        <w:rPr>
          <w:rFonts w:ascii="Times New Roman" w:hAnsi="Times New Roman" w:eastAsia="宋体" w:cs="Times New Roman"/>
          <w:color w:val="auto"/>
          <w:sz w:val="24"/>
          <w:szCs w:val="20"/>
        </w:rPr>
        <w:t>1000mg/L，产生量为1.620t/a。</w:t>
      </w:r>
    </w:p>
    <w:p w14:paraId="2C81F984">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（4）</w:t>
      </w:r>
      <w:r>
        <w:rPr>
          <w:rFonts w:hint="eastAsia" w:ascii="Times New Roman" w:hAnsi="Times New Roman" w:eastAsia="宋体" w:cs="Times New Roman"/>
          <w:color w:val="auto"/>
          <w:sz w:val="24"/>
        </w:rPr>
        <w:t>机械设备冲洗用水</w:t>
      </w:r>
    </w:p>
    <w:p w14:paraId="16A731F3">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本项目配备机械设备约6台，根据《水运工程环境保护设计规范》（JTS149-2018），用水量标准约600~800L/台次，取600L/台次，所有机械每</w:t>
      </w:r>
      <w:r>
        <w:rPr>
          <w:rFonts w:hint="eastAsia" w:ascii="Times New Roman" w:hAnsi="Times New Roman" w:eastAsia="宋体" w:cs="Times New Roman"/>
          <w:color w:val="auto"/>
          <w:sz w:val="24"/>
        </w:rPr>
        <w:t>2天</w:t>
      </w:r>
      <w:r>
        <w:rPr>
          <w:rFonts w:ascii="Times New Roman" w:hAnsi="Times New Roman" w:eastAsia="宋体" w:cs="Times New Roman"/>
          <w:color w:val="auto"/>
          <w:sz w:val="24"/>
        </w:rPr>
        <w:t>冲洗1次，则用水量约1.8m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d</w:t>
      </w:r>
      <w:r>
        <w:rPr>
          <w:rFonts w:ascii="Times New Roman" w:hAnsi="Times New Roman" w:eastAsia="宋体" w:cs="Times New Roman"/>
          <w:color w:val="auto"/>
          <w:sz w:val="24"/>
        </w:rPr>
        <w:t>（378m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a</w:t>
      </w:r>
      <w:r>
        <w:rPr>
          <w:rFonts w:ascii="Times New Roman" w:hAnsi="Times New Roman" w:eastAsia="宋体" w:cs="Times New Roman"/>
          <w:color w:val="auto"/>
          <w:sz w:val="24"/>
        </w:rPr>
        <w:t>）；按10%损耗量计算，则机械设备冲洗废水排放量约1.62m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d</w:t>
      </w:r>
      <w:r>
        <w:rPr>
          <w:rFonts w:ascii="Times New Roman" w:hAnsi="Times New Roman" w:eastAsia="宋体" w:cs="Times New Roman"/>
          <w:color w:val="auto"/>
          <w:sz w:val="24"/>
        </w:rPr>
        <w:t>（340.2m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a</w:t>
      </w:r>
      <w:r>
        <w:rPr>
          <w:rFonts w:ascii="Times New Roman" w:hAnsi="Times New Roman" w:eastAsia="宋体" w:cs="Times New Roman"/>
          <w:color w:val="auto"/>
          <w:sz w:val="24"/>
        </w:rPr>
        <w:t>）。</w:t>
      </w:r>
    </w:p>
    <w:p w14:paraId="38D48D8B">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项目码头货种主要为煤炭</w:t>
      </w:r>
      <w:r>
        <w:rPr>
          <w:rFonts w:hint="eastAsia" w:ascii="Times New Roman" w:hAnsi="Times New Roman" w:eastAsia="宋体" w:cs="Times New Roman"/>
          <w:color w:val="auto"/>
          <w:sz w:val="24"/>
        </w:rPr>
        <w:t>、矿建材料</w:t>
      </w:r>
      <w:r>
        <w:rPr>
          <w:rFonts w:ascii="Times New Roman" w:hAnsi="Times New Roman" w:eastAsia="宋体" w:cs="Times New Roman"/>
          <w:color w:val="auto"/>
          <w:sz w:val="24"/>
        </w:rPr>
        <w:t>，其装载卡车出场需冲洗轮胎及底盘。本项目预计进出车辆约60辆/d，</w:t>
      </w:r>
      <w:r>
        <w:rPr>
          <w:rFonts w:hint="eastAsia" w:ascii="Times New Roman" w:hAnsi="Times New Roman" w:eastAsia="宋体" w:cs="Times New Roman"/>
          <w:color w:val="auto"/>
          <w:sz w:val="24"/>
        </w:rPr>
        <w:t>参照《安徽省行业用水定额》（</w:t>
      </w:r>
      <w:r>
        <w:rPr>
          <w:rFonts w:ascii="Times New Roman" w:hAnsi="Times New Roman" w:eastAsia="宋体" w:cs="Times New Roman"/>
          <w:color w:val="auto"/>
          <w:sz w:val="24"/>
        </w:rPr>
        <w:t>DB34/T 679-2019</w:t>
      </w:r>
      <w:r>
        <w:rPr>
          <w:rFonts w:hint="eastAsia" w:ascii="Times New Roman" w:hAnsi="Times New Roman" w:eastAsia="宋体" w:cs="Times New Roman"/>
          <w:color w:val="auto"/>
          <w:sz w:val="24"/>
        </w:rPr>
        <w:t>）中</w:t>
      </w:r>
      <w:r>
        <w:rPr>
          <w:rFonts w:ascii="Times New Roman" w:hAnsi="Times New Roman" w:eastAsia="宋体" w:cs="Times New Roman"/>
          <w:color w:val="auto"/>
          <w:sz w:val="24"/>
        </w:rPr>
        <w:t>大型车洗车用水量0.09m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车次</w:t>
      </w:r>
      <w:r>
        <w:rPr>
          <w:rFonts w:ascii="Times New Roman" w:hAnsi="Times New Roman" w:eastAsia="宋体" w:cs="Times New Roman"/>
          <w:color w:val="auto"/>
          <w:sz w:val="24"/>
        </w:rPr>
        <w:t>，车辆进出1次/d，则用水量约5.4m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d</w:t>
      </w:r>
      <w:r>
        <w:rPr>
          <w:rFonts w:ascii="Times New Roman" w:hAnsi="Times New Roman" w:eastAsia="宋体" w:cs="Times New Roman"/>
          <w:color w:val="auto"/>
          <w:sz w:val="24"/>
        </w:rPr>
        <w:t>（1134m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a</w:t>
      </w:r>
      <w:r>
        <w:rPr>
          <w:rFonts w:ascii="Times New Roman" w:hAnsi="Times New Roman" w:eastAsia="宋体" w:cs="Times New Roman"/>
          <w:color w:val="auto"/>
          <w:sz w:val="24"/>
        </w:rPr>
        <w:t>）；按10%损耗量计算，则车辆冲洗废水约4.86m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d</w:t>
      </w:r>
      <w:r>
        <w:rPr>
          <w:rFonts w:ascii="Times New Roman" w:hAnsi="Times New Roman" w:eastAsia="宋体" w:cs="Times New Roman"/>
          <w:color w:val="auto"/>
          <w:sz w:val="24"/>
        </w:rPr>
        <w:t>（1020.6m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a</w:t>
      </w:r>
      <w:r>
        <w:rPr>
          <w:rFonts w:ascii="Times New Roman" w:hAnsi="Times New Roman" w:eastAsia="宋体" w:cs="Times New Roman"/>
          <w:color w:val="auto"/>
          <w:sz w:val="24"/>
        </w:rPr>
        <w:t>）。</w:t>
      </w:r>
    </w:p>
    <w:p w14:paraId="4A99C79B">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故机械、车辆冲洗用水总量为7.2m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d</w:t>
      </w:r>
      <w:r>
        <w:rPr>
          <w:rFonts w:ascii="Times New Roman" w:hAnsi="Times New Roman" w:eastAsia="宋体" w:cs="Times New Roman"/>
          <w:color w:val="auto"/>
          <w:sz w:val="24"/>
        </w:rPr>
        <w:t>（1512m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a</w:t>
      </w:r>
      <w:r>
        <w:rPr>
          <w:rFonts w:ascii="Times New Roman" w:hAnsi="Times New Roman" w:eastAsia="宋体" w:cs="Times New Roman"/>
          <w:color w:val="auto"/>
          <w:sz w:val="24"/>
        </w:rPr>
        <w:t>），废水总排放量为6.48m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d</w:t>
      </w:r>
      <w:r>
        <w:rPr>
          <w:rFonts w:ascii="Times New Roman" w:hAnsi="Times New Roman" w:eastAsia="宋体" w:cs="Times New Roman"/>
          <w:color w:val="auto"/>
          <w:sz w:val="24"/>
        </w:rPr>
        <w:t>（1360.8m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a</w:t>
      </w:r>
      <w:r>
        <w:rPr>
          <w:rFonts w:ascii="Times New Roman" w:hAnsi="Times New Roman" w:eastAsia="宋体" w:cs="Times New Roman"/>
          <w:color w:val="auto"/>
          <w:sz w:val="24"/>
        </w:rPr>
        <w:t>），主要污染物为COD、SS和石油类，浓度分别约为100mg/L、1000mg/L和12mg/L。经</w:t>
      </w:r>
      <w:r>
        <w:rPr>
          <w:rFonts w:hint="eastAsia" w:ascii="Times New Roman" w:hAnsi="Times New Roman" w:eastAsia="宋体" w:cs="Times New Roman"/>
          <w:color w:val="auto"/>
          <w:sz w:val="24"/>
        </w:rPr>
        <w:t>隔油沉淀池预处理后进入一体化污水处理设备处理</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作为码头地面冲洗用水、道路喷洒用水、机械车辆冲洗用水及绿化用水，</w:t>
      </w:r>
      <w:r>
        <w:rPr>
          <w:rFonts w:ascii="Times New Roman" w:hAnsi="Times New Roman" w:eastAsia="宋体" w:cs="Times New Roman"/>
          <w:color w:val="auto"/>
          <w:sz w:val="24"/>
        </w:rPr>
        <w:t>不外排。</w:t>
      </w:r>
    </w:p>
    <w:p w14:paraId="02DAEE85">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（5）</w:t>
      </w:r>
      <w:r>
        <w:rPr>
          <w:rFonts w:ascii="Times New Roman" w:hAnsi="Times New Roman" w:eastAsia="宋体" w:cs="Times New Roman"/>
          <w:color w:val="auto"/>
          <w:sz w:val="24"/>
        </w:rPr>
        <w:t>码头</w:t>
      </w:r>
      <w:r>
        <w:rPr>
          <w:rFonts w:hint="eastAsia" w:ascii="Times New Roman" w:hAnsi="Times New Roman" w:eastAsia="宋体" w:cs="Times New Roman"/>
          <w:color w:val="auto"/>
          <w:sz w:val="24"/>
        </w:rPr>
        <w:t>地面</w:t>
      </w:r>
      <w:r>
        <w:rPr>
          <w:rFonts w:ascii="Times New Roman" w:hAnsi="Times New Roman" w:eastAsia="宋体" w:cs="Times New Roman"/>
          <w:color w:val="auto"/>
          <w:sz w:val="24"/>
        </w:rPr>
        <w:t>冲洗</w:t>
      </w:r>
      <w:r>
        <w:rPr>
          <w:rFonts w:hint="eastAsia" w:ascii="Times New Roman" w:hAnsi="Times New Roman" w:eastAsia="宋体" w:cs="Times New Roman"/>
          <w:color w:val="auto"/>
          <w:sz w:val="24"/>
        </w:rPr>
        <w:t>用</w:t>
      </w:r>
      <w:r>
        <w:rPr>
          <w:rFonts w:ascii="Times New Roman" w:hAnsi="Times New Roman" w:eastAsia="宋体" w:cs="Times New Roman"/>
          <w:color w:val="auto"/>
          <w:sz w:val="24"/>
        </w:rPr>
        <w:t>水</w:t>
      </w:r>
    </w:p>
    <w:p w14:paraId="112E87A7">
      <w:pPr>
        <w:spacing w:line="360" w:lineRule="auto"/>
        <w:ind w:firstLine="480" w:firstLineChars="200"/>
        <w:rPr>
          <w:rFonts w:hint="eastAsia" w:ascii="Times New Roman" w:hAnsi="Times New Roman" w:eastAsia="宋体" w:cs="Times New Roman"/>
          <w:color w:val="auto"/>
          <w:sz w:val="24"/>
        </w:rPr>
      </w:pPr>
      <w:r>
        <w:rPr>
          <w:rFonts w:ascii="Times New Roman" w:hAnsi="Times New Roman" w:eastAsia="宋体" w:cs="Times New Roman"/>
          <w:color w:val="auto"/>
          <w:sz w:val="24"/>
        </w:rPr>
        <w:t>根据《水运工程环境保护设计规范》（JTS 149-2018），码头地面冲洗用水量按每次5L/m</w:t>
      </w:r>
      <w:r>
        <w:rPr>
          <w:rFonts w:ascii="Times New Roman" w:hAnsi="Times New Roman" w:eastAsia="宋体" w:cs="Times New Roman"/>
          <w:color w:val="auto"/>
          <w:sz w:val="24"/>
          <w:vertAlign w:val="superscript"/>
        </w:rPr>
        <w:t>2</w:t>
      </w:r>
      <w:r>
        <w:rPr>
          <w:rFonts w:ascii="Times New Roman" w:hAnsi="Times New Roman" w:eastAsia="宋体" w:cs="Times New Roman"/>
          <w:color w:val="auto"/>
          <w:sz w:val="24"/>
        </w:rPr>
        <w:t>计算，</w:t>
      </w:r>
      <w:r>
        <w:rPr>
          <w:rFonts w:hint="eastAsia" w:ascii="Times New Roman" w:hAnsi="Times New Roman" w:eastAsia="宋体" w:cs="Times New Roman"/>
          <w:color w:val="auto"/>
          <w:sz w:val="24"/>
        </w:rPr>
        <w:t>冲洗区</w:t>
      </w:r>
      <w:r>
        <w:rPr>
          <w:rFonts w:ascii="Times New Roman" w:hAnsi="Times New Roman" w:eastAsia="宋体" w:cs="Times New Roman"/>
          <w:color w:val="auto"/>
          <w:sz w:val="24"/>
        </w:rPr>
        <w:t>面积约4000m</w:t>
      </w:r>
      <w:r>
        <w:rPr>
          <w:rFonts w:ascii="Times New Roman" w:hAnsi="Times New Roman" w:eastAsia="宋体" w:cs="Times New Roman"/>
          <w:color w:val="auto"/>
          <w:sz w:val="24"/>
          <w:vertAlign w:val="superscript"/>
        </w:rPr>
        <w:t>2</w:t>
      </w:r>
      <w:r>
        <w:rPr>
          <w:rFonts w:ascii="Times New Roman" w:hAnsi="Times New Roman" w:eastAsia="宋体" w:cs="Times New Roman"/>
          <w:color w:val="auto"/>
          <w:sz w:val="24"/>
        </w:rPr>
        <w:t>，每</w:t>
      </w:r>
      <w:r>
        <w:rPr>
          <w:rFonts w:hint="eastAsia" w:ascii="Times New Roman" w:hAnsi="Times New Roman" w:eastAsia="宋体" w:cs="Times New Roman"/>
          <w:color w:val="auto"/>
          <w:sz w:val="24"/>
        </w:rPr>
        <w:t>2天</w:t>
      </w:r>
      <w:r>
        <w:rPr>
          <w:rFonts w:ascii="Times New Roman" w:hAnsi="Times New Roman" w:eastAsia="宋体" w:cs="Times New Roman"/>
          <w:color w:val="auto"/>
          <w:sz w:val="24"/>
        </w:rPr>
        <w:t>冲洗一次，冲洗水量为10m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d（</w:t>
      </w:r>
      <w:r>
        <w:rPr>
          <w:rFonts w:ascii="Times New Roman" w:hAnsi="Times New Roman" w:eastAsia="宋体" w:cs="Times New Roman"/>
          <w:color w:val="auto"/>
          <w:sz w:val="24"/>
        </w:rPr>
        <w:t>2100m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a）</w:t>
      </w:r>
      <w:r>
        <w:rPr>
          <w:rFonts w:ascii="Times New Roman" w:hAnsi="Times New Roman" w:eastAsia="宋体" w:cs="Times New Roman"/>
          <w:color w:val="auto"/>
          <w:sz w:val="24"/>
        </w:rPr>
        <w:t>，地面吸收及挥发损耗按20%计，</w:t>
      </w:r>
      <w:r>
        <w:rPr>
          <w:rFonts w:hint="eastAsia" w:ascii="Times New Roman" w:hAnsi="Times New Roman" w:eastAsia="宋体" w:cs="Times New Roman"/>
          <w:color w:val="auto"/>
          <w:sz w:val="24"/>
        </w:rPr>
        <w:t>废</w:t>
      </w:r>
      <w:r>
        <w:rPr>
          <w:rFonts w:ascii="Times New Roman" w:hAnsi="Times New Roman" w:eastAsia="宋体" w:cs="Times New Roman"/>
          <w:color w:val="auto"/>
          <w:sz w:val="24"/>
        </w:rPr>
        <w:t>水排放量为8.0m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d（</w:t>
      </w:r>
      <w:r>
        <w:rPr>
          <w:rFonts w:ascii="Times New Roman" w:hAnsi="Times New Roman" w:eastAsia="宋体" w:cs="Times New Roman"/>
          <w:color w:val="auto"/>
          <w:sz w:val="24"/>
        </w:rPr>
        <w:t>1680m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a）</w:t>
      </w:r>
      <w:r>
        <w:rPr>
          <w:rFonts w:ascii="Times New Roman" w:hAnsi="Times New Roman" w:eastAsia="宋体" w:cs="Times New Roman"/>
          <w:color w:val="auto"/>
          <w:sz w:val="24"/>
        </w:rPr>
        <w:t>，主要污染物为SS，浓度为1000mg/L。</w:t>
      </w:r>
      <w:r>
        <w:rPr>
          <w:rFonts w:hint="eastAsia" w:ascii="Times New Roman" w:hAnsi="Times New Roman" w:eastAsia="宋体" w:cs="Times New Roman"/>
          <w:color w:val="auto"/>
          <w:sz w:val="24"/>
        </w:rPr>
        <w:t>冲洗</w:t>
      </w:r>
      <w:r>
        <w:rPr>
          <w:rFonts w:ascii="Times New Roman" w:hAnsi="Times New Roman" w:eastAsia="宋体" w:cs="Times New Roman"/>
          <w:color w:val="auto"/>
          <w:sz w:val="24"/>
        </w:rPr>
        <w:t>废水</w:t>
      </w:r>
      <w:r>
        <w:rPr>
          <w:rFonts w:hint="eastAsia" w:ascii="Times New Roman" w:hAnsi="Times New Roman" w:eastAsia="宋体" w:cs="Times New Roman"/>
          <w:color w:val="auto"/>
          <w:sz w:val="24"/>
        </w:rPr>
        <w:t>设于码头面隔油沉淀池预处理后进入一体化污水处理设备处理，处理后废水全部回用于码头地面冲洗、道路喷洒、机械车辆冲洗及绿化，不外排</w:t>
      </w:r>
    </w:p>
    <w:p w14:paraId="4DADA7BE">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（6）</w:t>
      </w:r>
      <w:r>
        <w:rPr>
          <w:rFonts w:hint="eastAsia" w:ascii="Times New Roman" w:hAnsi="Times New Roman" w:eastAsia="宋体" w:cs="Times New Roman"/>
          <w:color w:val="auto"/>
          <w:sz w:val="24"/>
        </w:rPr>
        <w:t>装卸抑尘</w:t>
      </w:r>
      <w:r>
        <w:rPr>
          <w:rFonts w:ascii="Times New Roman" w:hAnsi="Times New Roman" w:eastAsia="宋体" w:cs="Times New Roman"/>
          <w:color w:val="auto"/>
          <w:sz w:val="24"/>
        </w:rPr>
        <w:t>用水</w:t>
      </w:r>
    </w:p>
    <w:p w14:paraId="43487365">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本项目装卸作业会有一定的扬尘，为了有效防止装卸作业二次扬尘，装船机</w:t>
      </w:r>
      <w:r>
        <w:rPr>
          <w:rFonts w:hint="eastAsia" w:ascii="Times New Roman" w:hAnsi="Times New Roman" w:eastAsia="宋体" w:cs="Times New Roman"/>
          <w:color w:val="auto"/>
          <w:sz w:val="24"/>
        </w:rPr>
        <w:t>、泊位、装车、卸车处</w:t>
      </w:r>
      <w:r>
        <w:rPr>
          <w:rFonts w:ascii="Times New Roman" w:hAnsi="Times New Roman" w:eastAsia="宋体" w:cs="Times New Roman"/>
          <w:color w:val="auto"/>
          <w:sz w:val="24"/>
        </w:rPr>
        <w:t>需要喷洒水抑尘，本项目喷洒抑尘用水量约为43.2m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/d，抑尘洒水蒸发进入大气。</w:t>
      </w:r>
    </w:p>
    <w:p w14:paraId="421E639D">
      <w:pPr>
        <w:spacing w:line="360" w:lineRule="auto"/>
        <w:ind w:firstLine="480" w:firstLineChars="200"/>
        <w:rPr>
          <w:rFonts w:hint="eastAsia" w:ascii="Times New Roman" w:hAnsi="Times New Roman" w:eastAsia="宋体" w:cs="Times New Roman"/>
          <w:color w:val="auto"/>
          <w:sz w:val="24"/>
        </w:rPr>
      </w:pPr>
      <w:r>
        <w:rPr>
          <w:rFonts w:ascii="Times New Roman" w:hAnsi="Times New Roman" w:eastAsia="宋体" w:cs="Times New Roman"/>
          <w:color w:val="auto"/>
          <w:sz w:val="24"/>
        </w:rPr>
        <w:t>（7）</w:t>
      </w:r>
      <w:r>
        <w:rPr>
          <w:rFonts w:hint="eastAsia" w:ascii="Times New Roman" w:hAnsi="Times New Roman" w:eastAsia="宋体" w:cs="Times New Roman"/>
          <w:color w:val="auto"/>
          <w:sz w:val="24"/>
        </w:rPr>
        <w:t>道路喷洒用水</w:t>
      </w:r>
    </w:p>
    <w:p w14:paraId="6B96E7E6">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根据《水运工程环境保护设计规范》（JTS 149-2018），</w:t>
      </w:r>
      <w:r>
        <w:rPr>
          <w:rFonts w:hint="eastAsia" w:ascii="Times New Roman" w:hAnsi="Times New Roman" w:eastAsia="宋体" w:cs="Times New Roman"/>
          <w:color w:val="auto"/>
          <w:sz w:val="24"/>
        </w:rPr>
        <w:t>道路喷洒</w:t>
      </w:r>
      <w:r>
        <w:rPr>
          <w:rFonts w:ascii="Times New Roman" w:hAnsi="Times New Roman" w:eastAsia="宋体" w:cs="Times New Roman"/>
          <w:color w:val="auto"/>
          <w:sz w:val="24"/>
        </w:rPr>
        <w:t>用水量按每次2L/m</w:t>
      </w:r>
      <w:r>
        <w:rPr>
          <w:rFonts w:ascii="Times New Roman" w:hAnsi="Times New Roman" w:eastAsia="宋体" w:cs="Times New Roman"/>
          <w:color w:val="auto"/>
          <w:sz w:val="24"/>
          <w:vertAlign w:val="superscript"/>
        </w:rPr>
        <w:t>2</w:t>
      </w:r>
      <w:r>
        <w:rPr>
          <w:rFonts w:ascii="Times New Roman" w:hAnsi="Times New Roman" w:eastAsia="宋体" w:cs="Times New Roman"/>
          <w:color w:val="auto"/>
          <w:sz w:val="24"/>
        </w:rPr>
        <w:t>计算，</w:t>
      </w:r>
      <w:r>
        <w:rPr>
          <w:rFonts w:hint="eastAsia" w:ascii="Times New Roman" w:hAnsi="Times New Roman" w:eastAsia="宋体" w:cs="Times New Roman"/>
          <w:color w:val="auto"/>
          <w:sz w:val="24"/>
        </w:rPr>
        <w:t>道路</w:t>
      </w:r>
      <w:r>
        <w:rPr>
          <w:rFonts w:ascii="Times New Roman" w:hAnsi="Times New Roman" w:eastAsia="宋体" w:cs="Times New Roman"/>
          <w:color w:val="auto"/>
          <w:sz w:val="24"/>
        </w:rPr>
        <w:t>面积约3000m</w:t>
      </w:r>
      <w:r>
        <w:rPr>
          <w:rFonts w:ascii="Times New Roman" w:hAnsi="Times New Roman" w:eastAsia="宋体" w:cs="Times New Roman"/>
          <w:color w:val="auto"/>
          <w:sz w:val="24"/>
          <w:vertAlign w:val="superscript"/>
        </w:rPr>
        <w:t>2</w:t>
      </w:r>
      <w:r>
        <w:rPr>
          <w:rFonts w:ascii="Times New Roman" w:hAnsi="Times New Roman" w:eastAsia="宋体" w:cs="Times New Roman"/>
          <w:color w:val="auto"/>
          <w:sz w:val="24"/>
        </w:rPr>
        <w:t>，每</w:t>
      </w:r>
      <w:r>
        <w:rPr>
          <w:rFonts w:hint="eastAsia" w:ascii="Times New Roman" w:hAnsi="Times New Roman" w:eastAsia="宋体" w:cs="Times New Roman"/>
          <w:color w:val="auto"/>
          <w:sz w:val="24"/>
        </w:rPr>
        <w:t>天</w:t>
      </w:r>
      <w:r>
        <w:rPr>
          <w:rFonts w:ascii="Times New Roman" w:hAnsi="Times New Roman" w:eastAsia="宋体" w:cs="Times New Roman"/>
          <w:color w:val="auto"/>
          <w:sz w:val="24"/>
        </w:rPr>
        <w:t>冲洗</w:t>
      </w:r>
      <w:r>
        <w:rPr>
          <w:rFonts w:hint="eastAsia" w:ascii="Times New Roman" w:hAnsi="Times New Roman" w:eastAsia="宋体" w:cs="Times New Roman"/>
          <w:color w:val="auto"/>
          <w:sz w:val="24"/>
        </w:rPr>
        <w:t>2</w:t>
      </w:r>
      <w:r>
        <w:rPr>
          <w:rFonts w:ascii="Times New Roman" w:hAnsi="Times New Roman" w:eastAsia="宋体" w:cs="Times New Roman"/>
          <w:color w:val="auto"/>
          <w:sz w:val="24"/>
        </w:rPr>
        <w:t>次，</w:t>
      </w:r>
      <w:r>
        <w:rPr>
          <w:rFonts w:hint="eastAsia" w:ascii="Times New Roman" w:hAnsi="Times New Roman" w:eastAsia="宋体" w:cs="Times New Roman"/>
          <w:color w:val="auto"/>
          <w:sz w:val="24"/>
        </w:rPr>
        <w:t>道路喷洒用水</w:t>
      </w:r>
      <w:r>
        <w:rPr>
          <w:rFonts w:ascii="Times New Roman" w:hAnsi="Times New Roman" w:eastAsia="宋体" w:cs="Times New Roman"/>
          <w:color w:val="auto"/>
          <w:sz w:val="24"/>
        </w:rPr>
        <w:t>量为12m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d（</w:t>
      </w:r>
      <w:r>
        <w:rPr>
          <w:rFonts w:ascii="Times New Roman" w:hAnsi="Times New Roman" w:eastAsia="宋体" w:cs="Times New Roman"/>
          <w:color w:val="auto"/>
          <w:sz w:val="24"/>
        </w:rPr>
        <w:t>2520m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a）</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道路喷洒用水随空气</w:t>
      </w:r>
      <w:r>
        <w:rPr>
          <w:rFonts w:ascii="Times New Roman" w:hAnsi="Times New Roman" w:eastAsia="宋体" w:cs="Times New Roman"/>
          <w:color w:val="auto"/>
          <w:sz w:val="24"/>
        </w:rPr>
        <w:t>蒸发进入大气。</w:t>
      </w:r>
    </w:p>
    <w:p w14:paraId="2384D567">
      <w:pPr>
        <w:spacing w:line="360" w:lineRule="auto"/>
        <w:ind w:firstLine="480"/>
        <w:rPr>
          <w:rFonts w:ascii="Times New Roman" w:hAnsi="Times New Roman" w:eastAsia="宋体" w:cs="Times New Roman"/>
          <w:color w:val="auto"/>
          <w:sz w:val="24"/>
        </w:rPr>
      </w:pPr>
      <w:r>
        <w:rPr>
          <w:rFonts w:hint="eastAsia" w:ascii="Times New Roman" w:hAnsi="Times New Roman" w:eastAsia="宋体" w:cs="Times New Roman"/>
          <w:color w:val="auto"/>
          <w:sz w:val="24"/>
        </w:rPr>
        <w:t>（8）码头</w:t>
      </w:r>
      <w:r>
        <w:rPr>
          <w:rFonts w:ascii="Times New Roman" w:hAnsi="Times New Roman" w:eastAsia="宋体" w:cs="Times New Roman"/>
          <w:color w:val="auto"/>
          <w:sz w:val="24"/>
        </w:rPr>
        <w:t>员工生活用水</w:t>
      </w:r>
    </w:p>
    <w:p w14:paraId="4984F27F">
      <w:pPr>
        <w:widowControl w:val="0"/>
        <w:spacing w:after="0" w:line="360" w:lineRule="auto"/>
        <w:ind w:firstLine="480" w:firstLineChars="200"/>
        <w:jc w:val="both"/>
        <w:rPr>
          <w:rFonts w:hint="eastAsia" w:ascii="宋体" w:hAnsi="宋体"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本项目劳动定员8人，</w:t>
      </w:r>
      <w:r>
        <w:rPr>
          <w:rFonts w:hint="eastAsia" w:ascii="Times New Roman" w:hAnsi="Times New Roman" w:eastAsia="宋体" w:cs="Times New Roman"/>
          <w:color w:val="auto"/>
          <w:kern w:val="2"/>
          <w:sz w:val="24"/>
          <w:szCs w:val="24"/>
          <w:lang w:val="en-US" w:eastAsia="zh-CN" w:bidi="ar-SA"/>
        </w:rPr>
        <w:t>工人在周边租赁村民民房，</w:t>
      </w:r>
      <w:r>
        <w:rPr>
          <w:rFonts w:ascii="Times New Roman" w:hAnsi="Times New Roman" w:eastAsia="宋体" w:cs="Times New Roman"/>
          <w:color w:val="auto"/>
          <w:kern w:val="2"/>
          <w:sz w:val="24"/>
          <w:szCs w:val="24"/>
          <w:lang w:val="en-US" w:eastAsia="zh-CN" w:bidi="ar-SA"/>
        </w:rPr>
        <w:t>码头年运行天数为210天，设计生活用水标准为100L/人·d，则生活用水量0.8m</w:t>
      </w:r>
      <w:r>
        <w:rPr>
          <w:rFonts w:ascii="Times New Roman" w:hAnsi="Times New Roman" w:eastAsia="宋体" w:cs="Times New Roman"/>
          <w:color w:val="auto"/>
          <w:kern w:val="2"/>
          <w:sz w:val="24"/>
          <w:szCs w:val="24"/>
          <w:vertAlign w:val="superscript"/>
          <w:lang w:val="en-US" w:eastAsia="zh-CN" w:bidi="ar-SA"/>
        </w:rPr>
        <w:t>3</w:t>
      </w:r>
      <w:r>
        <w:rPr>
          <w:rFonts w:ascii="Times New Roman" w:hAnsi="Times New Roman" w:eastAsia="宋体" w:cs="Times New Roman"/>
          <w:color w:val="auto"/>
          <w:kern w:val="2"/>
          <w:sz w:val="24"/>
          <w:szCs w:val="24"/>
          <w:lang w:val="en-US" w:eastAsia="zh-CN" w:bidi="ar-SA"/>
        </w:rPr>
        <w:t>/d（168m</w:t>
      </w:r>
      <w:r>
        <w:rPr>
          <w:rFonts w:ascii="Times New Roman" w:hAnsi="Times New Roman" w:eastAsia="宋体" w:cs="Times New Roman"/>
          <w:color w:val="auto"/>
          <w:kern w:val="2"/>
          <w:sz w:val="24"/>
          <w:szCs w:val="24"/>
          <w:vertAlign w:val="superscript"/>
          <w:lang w:val="en-US" w:eastAsia="zh-CN" w:bidi="ar-SA"/>
        </w:rPr>
        <w:t>3</w:t>
      </w:r>
      <w:r>
        <w:rPr>
          <w:rFonts w:ascii="Times New Roman" w:hAnsi="Times New Roman" w:eastAsia="宋体" w:cs="Times New Roman"/>
          <w:color w:val="auto"/>
          <w:kern w:val="2"/>
          <w:sz w:val="24"/>
          <w:szCs w:val="24"/>
          <w:lang w:val="en-US" w:eastAsia="zh-CN" w:bidi="ar-SA"/>
        </w:rPr>
        <w:t>/a），取排污系数为0.8，则生活污水产生量为0.64m</w:t>
      </w:r>
      <w:r>
        <w:rPr>
          <w:rFonts w:ascii="Times New Roman" w:hAnsi="Times New Roman" w:eastAsia="宋体" w:cs="Times New Roman"/>
          <w:color w:val="auto"/>
          <w:kern w:val="2"/>
          <w:sz w:val="24"/>
          <w:szCs w:val="24"/>
          <w:vertAlign w:val="superscript"/>
          <w:lang w:val="en-US" w:eastAsia="zh-CN" w:bidi="ar-SA"/>
        </w:rPr>
        <w:t>3</w:t>
      </w:r>
      <w:r>
        <w:rPr>
          <w:rFonts w:ascii="Times New Roman" w:hAnsi="Times New Roman" w:eastAsia="宋体" w:cs="Times New Roman"/>
          <w:color w:val="auto"/>
          <w:kern w:val="2"/>
          <w:sz w:val="24"/>
          <w:szCs w:val="24"/>
          <w:lang w:val="en-US" w:eastAsia="zh-CN" w:bidi="ar-SA"/>
        </w:rPr>
        <w:t>/d（134.4m</w:t>
      </w:r>
      <w:r>
        <w:rPr>
          <w:rFonts w:ascii="Times New Roman" w:hAnsi="Times New Roman" w:eastAsia="宋体" w:cs="Times New Roman"/>
          <w:color w:val="auto"/>
          <w:kern w:val="2"/>
          <w:sz w:val="24"/>
          <w:szCs w:val="24"/>
          <w:vertAlign w:val="superscript"/>
          <w:lang w:val="en-US" w:eastAsia="zh-CN" w:bidi="ar-SA"/>
        </w:rPr>
        <w:t>3</w:t>
      </w:r>
      <w:r>
        <w:rPr>
          <w:rFonts w:ascii="Times New Roman" w:hAnsi="Times New Roman" w:eastAsia="宋体" w:cs="Times New Roman"/>
          <w:color w:val="auto"/>
          <w:kern w:val="2"/>
          <w:sz w:val="24"/>
          <w:szCs w:val="24"/>
          <w:lang w:val="en-US" w:eastAsia="zh-CN" w:bidi="ar-SA"/>
        </w:rPr>
        <w:t>/a）。</w:t>
      </w:r>
      <w:r>
        <w:rPr>
          <w:rFonts w:hint="eastAsia" w:ascii="Times New Roman" w:hAnsi="Times New Roman" w:eastAsia="宋体" w:cs="Times New Roman"/>
          <w:color w:val="auto"/>
          <w:kern w:val="2"/>
          <w:sz w:val="24"/>
          <w:szCs w:val="24"/>
          <w:lang w:val="en-US" w:eastAsia="zh-CN" w:bidi="ar-SA"/>
        </w:rPr>
        <w:t>码头人员生活污水利用周边已有旱厕，</w:t>
      </w:r>
      <w:r>
        <w:rPr>
          <w:rFonts w:hint="eastAsia" w:ascii="宋体" w:hAnsi="宋体" w:eastAsia="宋体" w:cs="Times New Roman"/>
          <w:color w:val="auto"/>
          <w:kern w:val="2"/>
          <w:sz w:val="24"/>
          <w:szCs w:val="24"/>
          <w:lang w:val="en-US" w:eastAsia="zh-CN" w:bidi="ar-SA"/>
        </w:rPr>
        <w:t>收集后用于当地农田或林地肥料。</w:t>
      </w:r>
    </w:p>
    <w:p w14:paraId="730629F0">
      <w:pPr>
        <w:widowControl w:val="0"/>
        <w:spacing w:after="0" w:line="360" w:lineRule="auto"/>
        <w:ind w:firstLine="480" w:firstLineChars="200"/>
        <w:jc w:val="both"/>
        <w:rPr>
          <w:rFonts w:ascii="Times New Roman" w:hAnsi="Times New Roman"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w:t>
      </w:r>
      <w:r>
        <w:rPr>
          <w:rFonts w:ascii="Times New Roman" w:hAnsi="Times New Roman" w:eastAsia="宋体" w:cs="Times New Roman"/>
          <w:color w:val="auto"/>
          <w:kern w:val="2"/>
          <w:sz w:val="24"/>
          <w:szCs w:val="24"/>
          <w:lang w:val="en-US" w:eastAsia="zh-CN" w:bidi="ar-SA"/>
        </w:rPr>
        <w:t>9</w:t>
      </w:r>
      <w:r>
        <w:rPr>
          <w:rFonts w:hint="eastAsia" w:ascii="宋体" w:hAnsi="宋体" w:eastAsia="宋体" w:cs="Times New Roman"/>
          <w:color w:val="auto"/>
          <w:kern w:val="2"/>
          <w:sz w:val="24"/>
          <w:szCs w:val="24"/>
          <w:lang w:val="en-US" w:eastAsia="zh-CN" w:bidi="ar-SA"/>
        </w:rPr>
        <w:t>）绿化用水</w:t>
      </w:r>
    </w:p>
    <w:p w14:paraId="46819381">
      <w:pPr>
        <w:spacing w:line="360" w:lineRule="auto"/>
        <w:ind w:firstLine="480" w:firstLineChars="200"/>
        <w:rPr>
          <w:rFonts w:ascii="Times New Roman" w:hAnsi="Times New Roman" w:eastAsia="宋体" w:cs="Times New Roman"/>
          <w:color w:val="auto"/>
          <w:sz w:val="24"/>
          <w:szCs w:val="24"/>
        </w:rPr>
      </w:pPr>
      <w:r>
        <w:rPr>
          <w:rFonts w:hint="eastAsia" w:ascii="宋体" w:hAnsi="宋体" w:eastAsia="宋体" w:cs="Times New Roman"/>
          <w:color w:val="auto"/>
          <w:sz w:val="24"/>
          <w:szCs w:val="24"/>
        </w:rPr>
        <w:t>港区周边绿化面积约</w:t>
      </w:r>
      <w:r>
        <w:rPr>
          <w:rFonts w:ascii="Times New Roman" w:hAnsi="Times New Roman" w:eastAsia="宋体" w:cs="Times New Roman"/>
          <w:color w:val="auto"/>
          <w:sz w:val="24"/>
          <w:szCs w:val="24"/>
        </w:rPr>
        <w:t>10000m</w:t>
      </w:r>
      <w:r>
        <w:rPr>
          <w:rFonts w:ascii="Times New Roman" w:hAnsi="Times New Roman" w:eastAsia="宋体" w:cs="Times New Roman"/>
          <w:color w:val="auto"/>
          <w:sz w:val="24"/>
          <w:szCs w:val="24"/>
          <w:vertAlign w:val="superscript"/>
        </w:rPr>
        <w:t>2</w:t>
      </w:r>
      <w:r>
        <w:rPr>
          <w:rFonts w:ascii="宋体" w:hAnsi="宋体" w:eastAsia="宋体" w:cs="Times New Roman"/>
          <w:color w:val="auto"/>
          <w:sz w:val="24"/>
          <w:szCs w:val="24"/>
        </w:rPr>
        <w:t>，每周一次，港区绿化洒水按</w:t>
      </w:r>
      <w:r>
        <w:rPr>
          <w:rFonts w:hint="eastAsia" w:ascii="Times New Roman" w:hAnsi="Times New Roman" w:eastAsia="宋体" w:cs="Times New Roman"/>
          <w:color w:val="auto"/>
          <w:sz w:val="24"/>
          <w:szCs w:val="24"/>
        </w:rPr>
        <w:t>2</w:t>
      </w:r>
      <w:r>
        <w:rPr>
          <w:rFonts w:ascii="Times New Roman" w:hAnsi="Times New Roman" w:eastAsia="宋体" w:cs="Times New Roman"/>
          <w:color w:val="auto"/>
          <w:sz w:val="24"/>
          <w:szCs w:val="24"/>
        </w:rPr>
        <w:t>.0L/m</w:t>
      </w:r>
      <w:r>
        <w:rPr>
          <w:rFonts w:ascii="Times New Roman" w:hAnsi="Times New Roman" w:eastAsia="宋体" w:cs="Times New Roman"/>
          <w:color w:val="auto"/>
          <w:sz w:val="24"/>
          <w:szCs w:val="24"/>
          <w:vertAlign w:val="superscript"/>
        </w:rPr>
        <w:t>2</w:t>
      </w:r>
      <w:r>
        <w:rPr>
          <w:rFonts w:ascii="Times New Roman" w:hAnsi="Times New Roman" w:eastAsia="宋体" w:cs="Times New Roman"/>
          <w:color w:val="auto"/>
          <w:sz w:val="24"/>
          <w:szCs w:val="24"/>
        </w:rPr>
        <w:t>·</w:t>
      </w:r>
      <w:r>
        <w:rPr>
          <w:rFonts w:ascii="宋体" w:hAnsi="宋体" w:eastAsia="宋体" w:cs="Times New Roman"/>
          <w:color w:val="auto"/>
          <w:sz w:val="24"/>
          <w:szCs w:val="24"/>
        </w:rPr>
        <w:t>次计，则绿化用水量为</w:t>
      </w:r>
      <w:r>
        <w:rPr>
          <w:rFonts w:ascii="Times New Roman" w:hAnsi="Times New Roman" w:eastAsia="宋体" w:cs="Times New Roman"/>
          <w:color w:val="auto"/>
          <w:sz w:val="24"/>
          <w:szCs w:val="24"/>
        </w:rPr>
        <w:t>2.857m</w:t>
      </w:r>
      <w:r>
        <w:rPr>
          <w:rFonts w:ascii="Times New Roman" w:hAnsi="Times New Roman" w:eastAsia="宋体" w:cs="Times New Roman"/>
          <w:color w:val="auto"/>
          <w:sz w:val="24"/>
          <w:szCs w:val="24"/>
          <w:vertAlign w:val="superscript"/>
        </w:rPr>
        <w:t>3</w:t>
      </w:r>
      <w:r>
        <w:rPr>
          <w:rFonts w:ascii="Times New Roman" w:hAnsi="Times New Roman" w:eastAsia="宋体" w:cs="Times New Roman"/>
          <w:color w:val="auto"/>
          <w:sz w:val="24"/>
          <w:szCs w:val="24"/>
        </w:rPr>
        <w:t>/d</w:t>
      </w:r>
      <w:r>
        <w:rPr>
          <w:rFonts w:ascii="宋体" w:hAnsi="宋体" w:eastAsia="宋体" w:cs="Times New Roman"/>
          <w:color w:val="auto"/>
          <w:sz w:val="24"/>
          <w:szCs w:val="24"/>
        </w:rPr>
        <w:t>（</w:t>
      </w:r>
      <w:r>
        <w:rPr>
          <w:rFonts w:ascii="Times New Roman" w:hAnsi="Times New Roman" w:eastAsia="宋体" w:cs="Times New Roman"/>
          <w:color w:val="auto"/>
          <w:sz w:val="24"/>
          <w:szCs w:val="24"/>
        </w:rPr>
        <w:t>600m</w:t>
      </w:r>
      <w:r>
        <w:rPr>
          <w:rFonts w:ascii="Times New Roman" w:hAnsi="Times New Roman" w:eastAsia="宋体" w:cs="Times New Roman"/>
          <w:color w:val="auto"/>
          <w:sz w:val="24"/>
          <w:szCs w:val="24"/>
          <w:vertAlign w:val="superscript"/>
        </w:rPr>
        <w:t>3</w:t>
      </w:r>
      <w:r>
        <w:rPr>
          <w:rFonts w:ascii="Times New Roman" w:hAnsi="Times New Roman" w:eastAsia="宋体" w:cs="Times New Roman"/>
          <w:color w:val="auto"/>
          <w:sz w:val="24"/>
          <w:szCs w:val="24"/>
        </w:rPr>
        <w:t>/a</w:t>
      </w:r>
      <w:r>
        <w:rPr>
          <w:rFonts w:ascii="宋体" w:hAnsi="宋体" w:eastAsia="宋体" w:cs="Times New Roman"/>
          <w:color w:val="auto"/>
          <w:sz w:val="24"/>
          <w:szCs w:val="24"/>
        </w:rPr>
        <w:t>）。</w:t>
      </w:r>
    </w:p>
    <w:p w14:paraId="1B6B314D">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本项目水量平衡图见图3.</w:t>
      </w:r>
      <w:r>
        <w:rPr>
          <w:rFonts w:hint="eastAsia" w:ascii="Times New Roman" w:hAnsi="Times New Roman" w:eastAsia="宋体" w:cs="Times New Roman"/>
          <w:color w:val="auto"/>
          <w:sz w:val="24"/>
        </w:rPr>
        <w:t>3</w:t>
      </w:r>
      <w:r>
        <w:rPr>
          <w:rFonts w:ascii="Times New Roman" w:hAnsi="Times New Roman" w:eastAsia="宋体" w:cs="Times New Roman"/>
          <w:color w:val="auto"/>
          <w:sz w:val="24"/>
        </w:rPr>
        <w:t>-1所示。</w:t>
      </w:r>
    </w:p>
    <w:p w14:paraId="04E30656">
      <w:pPr>
        <w:spacing w:line="360" w:lineRule="auto"/>
        <w:jc w:val="center"/>
        <w:rPr>
          <w:rFonts w:ascii="Times New Roman" w:hAnsi="Times New Roman" w:eastAsia="黑体" w:cs="Times New Roman"/>
          <w:color w:val="auto"/>
          <w:sz w:val="24"/>
        </w:rPr>
      </w:pPr>
      <w:r>
        <w:rPr>
          <w:rFonts w:ascii="Times New Roman" w:hAnsi="Times New Roman" w:eastAsia="宋体" w:cs="Times New Roman"/>
          <w:color w:val="auto"/>
        </w:rPr>
        <w:object>
          <v:shape id="_x0000_i1029" o:spt="75" type="#_x0000_t75" style="height:359.2pt;width:453.55pt;" o:ole="t" filled="f" stroked="f" coordsize="21600,21600">
            <v:path/>
            <v:fill on="f" focussize="0,0"/>
            <v:stroke on="f"/>
            <v:imagedata r:id="rId66" o:title=""/>
            <o:lock v:ext="edit" aspectratio="t"/>
            <w10:wrap type="none"/>
            <w10:anchorlock/>
          </v:shape>
          <o:OLEObject Type="Embed" ProgID="RFFlow4" ShapeID="_x0000_i1029" DrawAspect="Content" ObjectID="_1468075729" r:id="rId65">
            <o:LockedField>false</o:LockedField>
          </o:OLEObject>
        </w:object>
      </w:r>
      <w:r>
        <w:rPr>
          <w:rFonts w:ascii="Times New Roman" w:hAnsi="Times New Roman" w:eastAsia="黑体" w:cs="Times New Roman"/>
          <w:color w:val="auto"/>
          <w:sz w:val="24"/>
        </w:rPr>
        <w:t>图3.</w:t>
      </w:r>
      <w:r>
        <w:rPr>
          <w:rFonts w:hint="eastAsia" w:ascii="Times New Roman" w:hAnsi="Times New Roman" w:eastAsia="黑体" w:cs="Times New Roman"/>
          <w:color w:val="auto"/>
          <w:sz w:val="24"/>
        </w:rPr>
        <w:t>3</w:t>
      </w:r>
      <w:r>
        <w:rPr>
          <w:rFonts w:ascii="Times New Roman" w:hAnsi="Times New Roman" w:eastAsia="黑体" w:cs="Times New Roman"/>
          <w:color w:val="auto"/>
          <w:sz w:val="24"/>
        </w:rPr>
        <w:t>-</w:t>
      </w:r>
      <w:r>
        <w:rPr>
          <w:rFonts w:hint="eastAsia" w:ascii="Times New Roman" w:hAnsi="Times New Roman" w:eastAsia="黑体" w:cs="Times New Roman"/>
          <w:color w:val="auto"/>
          <w:sz w:val="24"/>
        </w:rPr>
        <w:t>1</w:t>
      </w:r>
      <w:r>
        <w:rPr>
          <w:rFonts w:ascii="Times New Roman" w:hAnsi="Times New Roman" w:eastAsia="黑体" w:cs="Times New Roman"/>
          <w:color w:val="auto"/>
          <w:sz w:val="24"/>
        </w:rPr>
        <w:t xml:space="preserve">  项目水平衡图    单位：m</w:t>
      </w:r>
      <w:r>
        <w:rPr>
          <w:rFonts w:ascii="Times New Roman" w:hAnsi="Times New Roman" w:eastAsia="黑体" w:cs="Times New Roman"/>
          <w:color w:val="auto"/>
          <w:sz w:val="24"/>
          <w:vertAlign w:val="superscript"/>
        </w:rPr>
        <w:t>3</w:t>
      </w:r>
      <w:r>
        <w:rPr>
          <w:rFonts w:ascii="Times New Roman" w:hAnsi="Times New Roman" w:eastAsia="黑体" w:cs="Times New Roman"/>
          <w:color w:val="auto"/>
          <w:sz w:val="24"/>
        </w:rPr>
        <w:t>/d</w:t>
      </w:r>
    </w:p>
    <w:p w14:paraId="218FBC93">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综上所述，本项目水污染物排放情况见表</w:t>
      </w:r>
      <w:r>
        <w:rPr>
          <w:rFonts w:ascii="Times New Roman" w:hAnsi="Times New Roman" w:eastAsia="黑体" w:cs="宋体"/>
          <w:snapToGrid w:val="0"/>
          <w:color w:val="auto"/>
          <w:kern w:val="0"/>
          <w:sz w:val="24"/>
          <w:szCs w:val="21"/>
          <w:lang w:val="zh-CN" w:eastAsia="zh-CN" w:bidi="ar-SA"/>
        </w:rPr>
        <w:t>3.</w:t>
      </w:r>
      <w:r>
        <w:rPr>
          <w:rFonts w:hint="eastAsia" w:ascii="Times New Roman" w:hAnsi="Times New Roman" w:eastAsia="黑体" w:cs="宋体"/>
          <w:snapToGrid w:val="0"/>
          <w:color w:val="auto"/>
          <w:kern w:val="0"/>
          <w:sz w:val="24"/>
          <w:szCs w:val="21"/>
          <w:lang w:val="en-US" w:eastAsia="zh-CN" w:bidi="ar-SA"/>
        </w:rPr>
        <w:t>3-7</w:t>
      </w:r>
      <w:r>
        <w:rPr>
          <w:rFonts w:ascii="Times New Roman" w:hAnsi="Times New Roman" w:eastAsia="宋体" w:cs="宋体"/>
          <w:snapToGrid w:val="0"/>
          <w:color w:val="auto"/>
          <w:kern w:val="0"/>
          <w:sz w:val="24"/>
          <w:szCs w:val="21"/>
          <w:lang w:val="zh-CN" w:eastAsia="zh-CN" w:bidi="ar-SA"/>
        </w:rPr>
        <w:t>。</w:t>
      </w:r>
    </w:p>
    <w:p w14:paraId="2D80B740">
      <w:pPr>
        <w:spacing w:line="400" w:lineRule="exact"/>
        <w:jc w:val="center"/>
        <w:rPr>
          <w:rFonts w:eastAsia="黑体"/>
          <w:color w:val="auto"/>
          <w:sz w:val="24"/>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5E8E0D93">
      <w:pPr>
        <w:spacing w:line="400" w:lineRule="exact"/>
        <w:jc w:val="center"/>
        <w:rPr>
          <w:rFonts w:ascii="Times New Roman" w:hAnsi="Times New Roman" w:eastAsia="黑体" w:cs="Times New Roman"/>
          <w:color w:val="auto"/>
          <w:sz w:val="24"/>
        </w:rPr>
      </w:pPr>
      <w:r>
        <w:rPr>
          <w:rFonts w:ascii="Times New Roman" w:hAnsi="Times New Roman" w:eastAsia="黑体" w:cs="Times New Roman"/>
          <w:color w:val="auto"/>
          <w:sz w:val="24"/>
        </w:rPr>
        <w:t>表3.</w:t>
      </w:r>
      <w:r>
        <w:rPr>
          <w:rFonts w:hint="eastAsia" w:ascii="Times New Roman" w:hAnsi="Times New Roman" w:eastAsia="黑体" w:cs="Times New Roman"/>
          <w:color w:val="auto"/>
          <w:sz w:val="24"/>
        </w:rPr>
        <w:t>3-7</w:t>
      </w:r>
      <w:r>
        <w:rPr>
          <w:rFonts w:ascii="Times New Roman" w:hAnsi="Times New Roman" w:eastAsia="黑体" w:cs="Times New Roman"/>
          <w:color w:val="auto"/>
          <w:sz w:val="24"/>
        </w:rPr>
        <w:t xml:space="preserve">  本项目水污染物排放情况</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992"/>
        <w:gridCol w:w="1135"/>
        <w:gridCol w:w="1274"/>
        <w:gridCol w:w="1277"/>
        <w:gridCol w:w="3484"/>
        <w:gridCol w:w="1573"/>
        <w:gridCol w:w="1038"/>
        <w:gridCol w:w="1354"/>
      </w:tblGrid>
      <w:tr w14:paraId="769614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93" w:type="dxa"/>
            <w:vMerge w:val="restart"/>
            <w:noWrap/>
            <w:vAlign w:val="center"/>
          </w:tcPr>
          <w:p w14:paraId="36B1C161">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废水种类</w:t>
            </w:r>
          </w:p>
        </w:tc>
        <w:tc>
          <w:tcPr>
            <w:tcW w:w="4678" w:type="dxa"/>
            <w:gridSpan w:val="4"/>
            <w:noWrap/>
            <w:vAlign w:val="center"/>
          </w:tcPr>
          <w:p w14:paraId="4FBEEB5D">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产生情况</w:t>
            </w:r>
          </w:p>
        </w:tc>
        <w:tc>
          <w:tcPr>
            <w:tcW w:w="3484" w:type="dxa"/>
            <w:vMerge w:val="restart"/>
            <w:noWrap/>
            <w:vAlign w:val="center"/>
          </w:tcPr>
          <w:p w14:paraId="0A3B0B4B">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处理方式</w:t>
            </w:r>
          </w:p>
        </w:tc>
        <w:tc>
          <w:tcPr>
            <w:tcW w:w="2611" w:type="dxa"/>
            <w:gridSpan w:val="2"/>
            <w:noWrap/>
            <w:vAlign w:val="center"/>
          </w:tcPr>
          <w:p w14:paraId="45E669F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排放情况</w:t>
            </w:r>
          </w:p>
        </w:tc>
        <w:tc>
          <w:tcPr>
            <w:tcW w:w="1354" w:type="dxa"/>
            <w:vMerge w:val="restart"/>
            <w:noWrap/>
            <w:vAlign w:val="center"/>
          </w:tcPr>
          <w:p w14:paraId="74CAA3D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排放去向</w:t>
            </w:r>
          </w:p>
        </w:tc>
      </w:tr>
      <w:tr w14:paraId="2E9D14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93" w:type="dxa"/>
            <w:vMerge w:val="continue"/>
            <w:noWrap/>
            <w:vAlign w:val="center"/>
          </w:tcPr>
          <w:p w14:paraId="7699ACC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992" w:type="dxa"/>
            <w:noWrap/>
            <w:vAlign w:val="center"/>
          </w:tcPr>
          <w:p w14:paraId="417F990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水量（m</w:t>
            </w:r>
            <w:r>
              <w:rPr>
                <w:rFonts w:hint="default" w:ascii="Times New Roman" w:hAnsi="Times New Roman" w:eastAsia="宋体" w:cs="Times New Roman"/>
                <w:b/>
                <w:bCs/>
                <w:color w:val="auto"/>
                <w:kern w:val="0"/>
                <w:vertAlign w:val="superscript"/>
              </w:rPr>
              <w:t>3</w:t>
            </w:r>
            <w:r>
              <w:rPr>
                <w:rFonts w:hint="default" w:ascii="Times New Roman" w:hAnsi="Times New Roman" w:eastAsia="宋体" w:cs="Times New Roman"/>
                <w:b/>
                <w:bCs/>
                <w:color w:val="auto"/>
                <w:kern w:val="0"/>
              </w:rPr>
              <w:t>/a）</w:t>
            </w:r>
          </w:p>
        </w:tc>
        <w:tc>
          <w:tcPr>
            <w:tcW w:w="1135" w:type="dxa"/>
            <w:noWrap w:val="0"/>
            <w:vAlign w:val="center"/>
          </w:tcPr>
          <w:p w14:paraId="64252499">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污染因子</w:t>
            </w:r>
          </w:p>
        </w:tc>
        <w:tc>
          <w:tcPr>
            <w:tcW w:w="1274" w:type="dxa"/>
            <w:noWrap w:val="0"/>
            <w:vAlign w:val="center"/>
          </w:tcPr>
          <w:p w14:paraId="4CD51F9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产生浓度（mg/L）</w:t>
            </w:r>
          </w:p>
        </w:tc>
        <w:tc>
          <w:tcPr>
            <w:tcW w:w="1277" w:type="dxa"/>
            <w:noWrap/>
            <w:vAlign w:val="center"/>
          </w:tcPr>
          <w:p w14:paraId="7618BCA2">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产生量（t/a）</w:t>
            </w:r>
          </w:p>
        </w:tc>
        <w:tc>
          <w:tcPr>
            <w:tcW w:w="3484" w:type="dxa"/>
            <w:vMerge w:val="continue"/>
            <w:noWrap/>
            <w:vAlign w:val="center"/>
          </w:tcPr>
          <w:p w14:paraId="1A896DD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573" w:type="dxa"/>
            <w:noWrap/>
            <w:vAlign w:val="center"/>
          </w:tcPr>
          <w:p w14:paraId="5E04B72A">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排放浓度（mg/L）</w:t>
            </w:r>
          </w:p>
        </w:tc>
        <w:tc>
          <w:tcPr>
            <w:tcW w:w="1038" w:type="dxa"/>
            <w:noWrap w:val="0"/>
            <w:vAlign w:val="center"/>
          </w:tcPr>
          <w:p w14:paraId="385285C9">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kern w:val="0"/>
              </w:rPr>
              <w:t>排放量（t/a）</w:t>
            </w:r>
          </w:p>
        </w:tc>
        <w:tc>
          <w:tcPr>
            <w:tcW w:w="1354" w:type="dxa"/>
            <w:vMerge w:val="continue"/>
            <w:noWrap/>
            <w:vAlign w:val="center"/>
          </w:tcPr>
          <w:p w14:paraId="57D7524B">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r>
      <w:tr w14:paraId="1D0A68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93" w:type="dxa"/>
            <w:vMerge w:val="restart"/>
            <w:noWrap/>
            <w:vAlign w:val="center"/>
          </w:tcPr>
          <w:p w14:paraId="2053FF8B">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船舶生活污水</w:t>
            </w:r>
          </w:p>
        </w:tc>
        <w:tc>
          <w:tcPr>
            <w:tcW w:w="992" w:type="dxa"/>
            <w:vMerge w:val="restart"/>
            <w:noWrap/>
            <w:vAlign w:val="center"/>
          </w:tcPr>
          <w:p w14:paraId="148AD928">
            <w:pPr>
              <w:keepNext w:val="0"/>
              <w:keepLines w:val="0"/>
              <w:widowControl/>
              <w:suppressLineNumbers w:val="0"/>
              <w:spacing w:before="0" w:beforeAutospacing="0" w:after="0" w:afterAutospacing="0" w:line="276" w:lineRule="auto"/>
              <w:ind w:left="0" w:right="0"/>
              <w:jc w:val="center"/>
              <w:rPr>
                <w:rFonts w:hint="eastAsia" w:ascii="Times New Roman" w:hAnsi="Times New Roman" w:eastAsia="宋体" w:cs="Times New Roman"/>
                <w:color w:val="auto"/>
                <w:kern w:val="0"/>
              </w:rPr>
            </w:pPr>
            <w:r>
              <w:rPr>
                <w:rFonts w:hint="default" w:ascii="Times New Roman" w:hAnsi="Times New Roman" w:eastAsia="宋体" w:cs="Times New Roman"/>
                <w:color w:val="auto"/>
                <w:kern w:val="0"/>
              </w:rPr>
              <w:t>571.2</w:t>
            </w:r>
          </w:p>
        </w:tc>
        <w:tc>
          <w:tcPr>
            <w:tcW w:w="1135" w:type="dxa"/>
            <w:noWrap w:val="0"/>
            <w:vAlign w:val="center"/>
          </w:tcPr>
          <w:p w14:paraId="61B2689A">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COD</w:t>
            </w:r>
          </w:p>
        </w:tc>
        <w:tc>
          <w:tcPr>
            <w:tcW w:w="1274" w:type="dxa"/>
            <w:noWrap w:val="0"/>
            <w:vAlign w:val="center"/>
          </w:tcPr>
          <w:p w14:paraId="08921582">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400</w:t>
            </w:r>
          </w:p>
        </w:tc>
        <w:tc>
          <w:tcPr>
            <w:tcW w:w="1277" w:type="dxa"/>
            <w:noWrap/>
            <w:vAlign w:val="center"/>
          </w:tcPr>
          <w:p w14:paraId="7F6A6929">
            <w:pPr>
              <w:keepNext w:val="0"/>
              <w:keepLines w:val="0"/>
              <w:suppressLineNumbers w:val="0"/>
              <w:spacing w:before="0" w:beforeAutospacing="0" w:after="0" w:afterAutospacing="0" w:line="276" w:lineRule="auto"/>
              <w:ind w:left="0" w:right="0"/>
              <w:jc w:val="center"/>
              <w:rPr>
                <w:rFonts w:hint="eastAsia" w:ascii="Times New Roman" w:hAnsi="Times New Roman" w:eastAsia="宋体" w:cs="Times New Roman"/>
                <w:color w:val="auto"/>
                <w:kern w:val="0"/>
              </w:rPr>
            </w:pPr>
            <w:r>
              <w:rPr>
                <w:rFonts w:hint="default" w:ascii="Times New Roman" w:hAnsi="Times New Roman" w:eastAsia="等线" w:cs="Times New Roman"/>
                <w:color w:val="auto"/>
              </w:rPr>
              <w:t>0.228</w:t>
            </w:r>
          </w:p>
        </w:tc>
        <w:tc>
          <w:tcPr>
            <w:tcW w:w="3484" w:type="dxa"/>
            <w:vMerge w:val="restart"/>
            <w:noWrap/>
            <w:vAlign w:val="center"/>
          </w:tcPr>
          <w:p w14:paraId="155EA1E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经隔油沉淀池预处理后，进入一体化污水处理设备处理，</w:t>
            </w:r>
            <w:r>
              <w:rPr>
                <w:rFonts w:hint="default" w:ascii="Times New Roman" w:hAnsi="Times New Roman" w:eastAsia="宋体" w:cs="Times New Roman"/>
                <w:color w:val="auto"/>
                <w:kern w:val="0"/>
              </w:rPr>
              <w:t>回用于码头</w:t>
            </w:r>
            <w:r>
              <w:rPr>
                <w:rFonts w:hint="eastAsia" w:ascii="Times New Roman" w:hAnsi="Times New Roman" w:eastAsia="宋体" w:cs="Times New Roman"/>
                <w:color w:val="auto"/>
                <w:kern w:val="0"/>
              </w:rPr>
              <w:t>地面</w:t>
            </w:r>
            <w:r>
              <w:rPr>
                <w:rFonts w:hint="default" w:ascii="Times New Roman" w:hAnsi="Times New Roman" w:eastAsia="宋体" w:cs="Times New Roman"/>
                <w:color w:val="auto"/>
                <w:kern w:val="0"/>
              </w:rPr>
              <w:t>冲洗</w:t>
            </w:r>
            <w:r>
              <w:rPr>
                <w:rFonts w:hint="eastAsia" w:ascii="Times New Roman" w:hAnsi="Times New Roman" w:eastAsia="宋体" w:cs="Times New Roman"/>
                <w:color w:val="auto"/>
                <w:kern w:val="0"/>
              </w:rPr>
              <w:t>、道路喷洒、机械车辆冲洗及</w:t>
            </w:r>
            <w:r>
              <w:rPr>
                <w:rFonts w:hint="default" w:ascii="Times New Roman" w:hAnsi="Times New Roman" w:eastAsia="宋体" w:cs="Times New Roman"/>
                <w:color w:val="auto"/>
                <w:kern w:val="0"/>
              </w:rPr>
              <w:t>绿化</w:t>
            </w:r>
          </w:p>
        </w:tc>
        <w:tc>
          <w:tcPr>
            <w:tcW w:w="1573" w:type="dxa"/>
            <w:vMerge w:val="restart"/>
            <w:noWrap/>
            <w:vAlign w:val="center"/>
          </w:tcPr>
          <w:p w14:paraId="7ED64189">
            <w:pPr>
              <w:keepNext w:val="0"/>
              <w:keepLines w:val="0"/>
              <w:widowControl/>
              <w:suppressLineNumbers w:val="0"/>
              <w:spacing w:before="0" w:beforeAutospacing="0" w:after="0" w:afterAutospacing="0" w:line="276" w:lineRule="auto"/>
              <w:ind w:left="0" w:right="0"/>
              <w:jc w:val="center"/>
              <w:rPr>
                <w:rFonts w:hint="eastAsia"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038" w:type="dxa"/>
            <w:vMerge w:val="restart"/>
            <w:noWrap w:val="0"/>
            <w:vAlign w:val="center"/>
          </w:tcPr>
          <w:p w14:paraId="26C7A7BF">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354" w:type="dxa"/>
            <w:vMerge w:val="restart"/>
            <w:noWrap/>
            <w:vAlign w:val="center"/>
          </w:tcPr>
          <w:p w14:paraId="136BA398">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不外排</w:t>
            </w:r>
          </w:p>
        </w:tc>
      </w:tr>
      <w:tr w14:paraId="7A011E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93" w:type="dxa"/>
            <w:vMerge w:val="continue"/>
            <w:noWrap/>
            <w:vAlign w:val="center"/>
          </w:tcPr>
          <w:p w14:paraId="239D065F">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992" w:type="dxa"/>
            <w:vMerge w:val="continue"/>
            <w:noWrap/>
            <w:vAlign w:val="center"/>
          </w:tcPr>
          <w:p w14:paraId="1D925BE0">
            <w:pPr>
              <w:keepNext w:val="0"/>
              <w:keepLines w:val="0"/>
              <w:widowControl/>
              <w:suppressLineNumbers w:val="0"/>
              <w:spacing w:before="0" w:beforeAutospacing="0" w:after="0" w:afterAutospacing="0" w:line="276" w:lineRule="auto"/>
              <w:ind w:left="0" w:right="0"/>
              <w:jc w:val="center"/>
              <w:rPr>
                <w:rFonts w:hint="eastAsia" w:ascii="Times New Roman" w:hAnsi="Times New Roman" w:eastAsia="宋体" w:cs="Times New Roman"/>
                <w:color w:val="auto"/>
                <w:kern w:val="0"/>
              </w:rPr>
            </w:pPr>
          </w:p>
        </w:tc>
        <w:tc>
          <w:tcPr>
            <w:tcW w:w="1135" w:type="dxa"/>
            <w:noWrap w:val="0"/>
            <w:vAlign w:val="center"/>
          </w:tcPr>
          <w:p w14:paraId="15E68D9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vertAlign w:val="subscript"/>
              </w:rPr>
            </w:pPr>
            <w:r>
              <w:rPr>
                <w:rFonts w:hint="eastAsia" w:ascii="Times New Roman" w:hAnsi="Times New Roman" w:eastAsia="宋体" w:cs="Times New Roman"/>
                <w:color w:val="auto"/>
                <w:kern w:val="0"/>
              </w:rPr>
              <w:t>B</w:t>
            </w:r>
            <w:r>
              <w:rPr>
                <w:rFonts w:hint="default" w:ascii="Times New Roman" w:hAnsi="Times New Roman" w:eastAsia="宋体" w:cs="Times New Roman"/>
                <w:color w:val="auto"/>
                <w:kern w:val="0"/>
              </w:rPr>
              <w:t>OD</w:t>
            </w:r>
            <w:r>
              <w:rPr>
                <w:rFonts w:hint="default" w:ascii="Times New Roman" w:hAnsi="Times New Roman" w:eastAsia="宋体" w:cs="Times New Roman"/>
                <w:color w:val="auto"/>
                <w:kern w:val="0"/>
                <w:vertAlign w:val="subscript"/>
              </w:rPr>
              <w:t>5</w:t>
            </w:r>
          </w:p>
        </w:tc>
        <w:tc>
          <w:tcPr>
            <w:tcW w:w="1274" w:type="dxa"/>
            <w:noWrap w:val="0"/>
            <w:vAlign w:val="center"/>
          </w:tcPr>
          <w:p w14:paraId="0C8AD84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500</w:t>
            </w:r>
          </w:p>
        </w:tc>
        <w:tc>
          <w:tcPr>
            <w:tcW w:w="1277" w:type="dxa"/>
            <w:noWrap/>
            <w:vAlign w:val="center"/>
          </w:tcPr>
          <w:p w14:paraId="063A350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0</w:t>
            </w:r>
            <w:r>
              <w:rPr>
                <w:rFonts w:hint="default" w:ascii="Times New Roman" w:hAnsi="Times New Roman" w:eastAsia="宋体" w:cs="Times New Roman"/>
                <w:color w:val="auto"/>
                <w:kern w:val="0"/>
              </w:rPr>
              <w:t>.286</w:t>
            </w:r>
          </w:p>
        </w:tc>
        <w:tc>
          <w:tcPr>
            <w:tcW w:w="3484" w:type="dxa"/>
            <w:vMerge w:val="continue"/>
            <w:noWrap/>
            <w:vAlign w:val="center"/>
          </w:tcPr>
          <w:p w14:paraId="1A0EEE96">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573" w:type="dxa"/>
            <w:vMerge w:val="continue"/>
            <w:noWrap/>
            <w:vAlign w:val="center"/>
          </w:tcPr>
          <w:p w14:paraId="5AB11CE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038" w:type="dxa"/>
            <w:vMerge w:val="continue"/>
            <w:noWrap w:val="0"/>
            <w:vAlign w:val="center"/>
          </w:tcPr>
          <w:p w14:paraId="185D4348">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354" w:type="dxa"/>
            <w:vMerge w:val="continue"/>
            <w:noWrap/>
            <w:vAlign w:val="center"/>
          </w:tcPr>
          <w:p w14:paraId="6C1182BA">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r>
      <w:tr w14:paraId="327A13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93" w:type="dxa"/>
            <w:vMerge w:val="continue"/>
            <w:noWrap/>
            <w:vAlign w:val="center"/>
          </w:tcPr>
          <w:p w14:paraId="2333A42D">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992" w:type="dxa"/>
            <w:vMerge w:val="continue"/>
            <w:noWrap/>
            <w:vAlign w:val="center"/>
          </w:tcPr>
          <w:p w14:paraId="05FDC9B3">
            <w:pPr>
              <w:keepNext w:val="0"/>
              <w:keepLines w:val="0"/>
              <w:widowControl/>
              <w:suppressLineNumbers w:val="0"/>
              <w:spacing w:before="0" w:beforeAutospacing="0" w:after="0" w:afterAutospacing="0" w:line="276" w:lineRule="auto"/>
              <w:ind w:left="0" w:right="0"/>
              <w:jc w:val="center"/>
              <w:rPr>
                <w:rFonts w:hint="eastAsia" w:ascii="Times New Roman" w:hAnsi="Times New Roman" w:eastAsia="宋体" w:cs="Times New Roman"/>
                <w:color w:val="auto"/>
                <w:kern w:val="0"/>
              </w:rPr>
            </w:pPr>
          </w:p>
        </w:tc>
        <w:tc>
          <w:tcPr>
            <w:tcW w:w="1135" w:type="dxa"/>
            <w:noWrap w:val="0"/>
            <w:vAlign w:val="center"/>
          </w:tcPr>
          <w:p w14:paraId="294674C2">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SS</w:t>
            </w:r>
          </w:p>
        </w:tc>
        <w:tc>
          <w:tcPr>
            <w:tcW w:w="1274" w:type="dxa"/>
            <w:noWrap w:val="0"/>
            <w:vAlign w:val="center"/>
          </w:tcPr>
          <w:p w14:paraId="131210DD">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425</w:t>
            </w:r>
          </w:p>
        </w:tc>
        <w:tc>
          <w:tcPr>
            <w:tcW w:w="1277" w:type="dxa"/>
            <w:noWrap/>
            <w:vAlign w:val="center"/>
          </w:tcPr>
          <w:p w14:paraId="79CC0D47">
            <w:pPr>
              <w:keepNext w:val="0"/>
              <w:keepLines w:val="0"/>
              <w:suppressLineNumbers w:val="0"/>
              <w:spacing w:before="0" w:beforeAutospacing="0" w:after="0" w:afterAutospacing="0" w:line="276" w:lineRule="auto"/>
              <w:ind w:left="0" w:right="0"/>
              <w:jc w:val="center"/>
              <w:rPr>
                <w:rFonts w:hint="eastAsia" w:ascii="Times New Roman" w:hAnsi="Times New Roman" w:eastAsia="宋体" w:cs="Times New Roman"/>
                <w:color w:val="auto"/>
                <w:kern w:val="0"/>
              </w:rPr>
            </w:pPr>
            <w:r>
              <w:rPr>
                <w:rFonts w:hint="default" w:ascii="Times New Roman" w:hAnsi="Times New Roman" w:eastAsia="等线" w:cs="Times New Roman"/>
                <w:color w:val="auto"/>
              </w:rPr>
              <w:t>0.243</w:t>
            </w:r>
          </w:p>
        </w:tc>
        <w:tc>
          <w:tcPr>
            <w:tcW w:w="3484" w:type="dxa"/>
            <w:vMerge w:val="continue"/>
            <w:noWrap/>
            <w:vAlign w:val="center"/>
          </w:tcPr>
          <w:p w14:paraId="2649313D">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573" w:type="dxa"/>
            <w:vMerge w:val="continue"/>
            <w:noWrap/>
            <w:vAlign w:val="center"/>
          </w:tcPr>
          <w:p w14:paraId="69BAEF52">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038" w:type="dxa"/>
            <w:vMerge w:val="continue"/>
            <w:noWrap w:val="0"/>
            <w:vAlign w:val="center"/>
          </w:tcPr>
          <w:p w14:paraId="7AA3FBBE">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354" w:type="dxa"/>
            <w:vMerge w:val="continue"/>
            <w:noWrap/>
            <w:vAlign w:val="center"/>
          </w:tcPr>
          <w:p w14:paraId="1D4799E8">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r>
      <w:tr w14:paraId="1B4E18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93" w:type="dxa"/>
            <w:vMerge w:val="continue"/>
            <w:noWrap/>
            <w:vAlign w:val="center"/>
          </w:tcPr>
          <w:p w14:paraId="3868D41B">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992" w:type="dxa"/>
            <w:vMerge w:val="continue"/>
            <w:noWrap/>
            <w:vAlign w:val="center"/>
          </w:tcPr>
          <w:p w14:paraId="5A16ADAF">
            <w:pPr>
              <w:keepNext w:val="0"/>
              <w:keepLines w:val="0"/>
              <w:widowControl/>
              <w:suppressLineNumbers w:val="0"/>
              <w:spacing w:before="0" w:beforeAutospacing="0" w:after="0" w:afterAutospacing="0" w:line="276" w:lineRule="auto"/>
              <w:ind w:left="0" w:right="0"/>
              <w:jc w:val="center"/>
              <w:rPr>
                <w:rFonts w:hint="eastAsia" w:ascii="Times New Roman" w:hAnsi="Times New Roman" w:eastAsia="宋体" w:cs="Times New Roman"/>
                <w:color w:val="auto"/>
                <w:kern w:val="0"/>
              </w:rPr>
            </w:pPr>
          </w:p>
        </w:tc>
        <w:tc>
          <w:tcPr>
            <w:tcW w:w="1135" w:type="dxa"/>
            <w:noWrap w:val="0"/>
            <w:vAlign w:val="center"/>
          </w:tcPr>
          <w:p w14:paraId="0ED79D5F">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氨氮</w:t>
            </w:r>
          </w:p>
        </w:tc>
        <w:tc>
          <w:tcPr>
            <w:tcW w:w="1274" w:type="dxa"/>
            <w:noWrap w:val="0"/>
            <w:vAlign w:val="center"/>
          </w:tcPr>
          <w:p w14:paraId="06D60D55">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35</w:t>
            </w:r>
          </w:p>
        </w:tc>
        <w:tc>
          <w:tcPr>
            <w:tcW w:w="1277" w:type="dxa"/>
            <w:noWrap/>
            <w:vAlign w:val="center"/>
          </w:tcPr>
          <w:p w14:paraId="5713DE14">
            <w:pPr>
              <w:keepNext w:val="0"/>
              <w:keepLines w:val="0"/>
              <w:suppressLineNumbers w:val="0"/>
              <w:spacing w:before="0" w:beforeAutospacing="0" w:after="0" w:afterAutospacing="0" w:line="276" w:lineRule="auto"/>
              <w:ind w:left="0" w:right="0"/>
              <w:jc w:val="center"/>
              <w:rPr>
                <w:rFonts w:hint="eastAsia" w:ascii="Times New Roman" w:hAnsi="Times New Roman" w:eastAsia="宋体" w:cs="Times New Roman"/>
                <w:color w:val="auto"/>
                <w:kern w:val="0"/>
              </w:rPr>
            </w:pPr>
            <w:r>
              <w:rPr>
                <w:rFonts w:hint="default" w:ascii="Times New Roman" w:hAnsi="Times New Roman" w:eastAsia="等线" w:cs="Times New Roman"/>
                <w:color w:val="auto"/>
              </w:rPr>
              <w:t>0.020</w:t>
            </w:r>
          </w:p>
        </w:tc>
        <w:tc>
          <w:tcPr>
            <w:tcW w:w="3484" w:type="dxa"/>
            <w:vMerge w:val="continue"/>
            <w:noWrap/>
            <w:vAlign w:val="center"/>
          </w:tcPr>
          <w:p w14:paraId="306D8038">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573" w:type="dxa"/>
            <w:vMerge w:val="continue"/>
            <w:noWrap/>
            <w:vAlign w:val="center"/>
          </w:tcPr>
          <w:p w14:paraId="14AF8AC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038" w:type="dxa"/>
            <w:vMerge w:val="continue"/>
            <w:noWrap w:val="0"/>
            <w:vAlign w:val="center"/>
          </w:tcPr>
          <w:p w14:paraId="2B1EFADC">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354" w:type="dxa"/>
            <w:vMerge w:val="continue"/>
            <w:noWrap/>
            <w:vAlign w:val="center"/>
          </w:tcPr>
          <w:p w14:paraId="530B1B7C">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r>
      <w:tr w14:paraId="727245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93" w:type="dxa"/>
            <w:vMerge w:val="restart"/>
            <w:noWrap/>
            <w:vAlign w:val="center"/>
          </w:tcPr>
          <w:p w14:paraId="6F1DB0E8">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船舶含油污水</w:t>
            </w:r>
          </w:p>
        </w:tc>
        <w:tc>
          <w:tcPr>
            <w:tcW w:w="992" w:type="dxa"/>
            <w:vMerge w:val="restart"/>
            <w:noWrap/>
            <w:vAlign w:val="center"/>
          </w:tcPr>
          <w:p w14:paraId="6CB61274">
            <w:pPr>
              <w:keepNext w:val="0"/>
              <w:keepLines w:val="0"/>
              <w:widowControl/>
              <w:suppressLineNumbers w:val="0"/>
              <w:spacing w:before="0" w:beforeAutospacing="0" w:after="0" w:afterAutospacing="0" w:line="276" w:lineRule="auto"/>
              <w:ind w:left="0" w:right="0"/>
              <w:jc w:val="center"/>
              <w:rPr>
                <w:rFonts w:hint="eastAsia" w:ascii="Times New Roman" w:hAnsi="Times New Roman" w:eastAsia="宋体" w:cs="Times New Roman"/>
                <w:color w:val="auto"/>
                <w:kern w:val="0"/>
              </w:rPr>
            </w:pPr>
            <w:r>
              <w:rPr>
                <w:rFonts w:hint="default" w:ascii="Times New Roman" w:hAnsi="Times New Roman" w:eastAsia="宋体" w:cs="Times New Roman"/>
                <w:color w:val="auto"/>
                <w:kern w:val="0"/>
              </w:rPr>
              <w:t>453.6</w:t>
            </w:r>
          </w:p>
        </w:tc>
        <w:tc>
          <w:tcPr>
            <w:tcW w:w="1135" w:type="dxa"/>
            <w:noWrap w:val="0"/>
            <w:vAlign w:val="center"/>
          </w:tcPr>
          <w:p w14:paraId="1627D7B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COD</w:t>
            </w:r>
          </w:p>
        </w:tc>
        <w:tc>
          <w:tcPr>
            <w:tcW w:w="1274" w:type="dxa"/>
            <w:noWrap w:val="0"/>
            <w:vAlign w:val="center"/>
          </w:tcPr>
          <w:p w14:paraId="0DC3F4A2">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400</w:t>
            </w:r>
          </w:p>
        </w:tc>
        <w:tc>
          <w:tcPr>
            <w:tcW w:w="1277" w:type="dxa"/>
            <w:noWrap/>
            <w:vAlign w:val="center"/>
          </w:tcPr>
          <w:p w14:paraId="06CD4BFD">
            <w:pPr>
              <w:keepNext w:val="0"/>
              <w:keepLines w:val="0"/>
              <w:suppressLineNumbers w:val="0"/>
              <w:spacing w:before="0" w:beforeAutospacing="0" w:after="0" w:afterAutospacing="0" w:line="276" w:lineRule="auto"/>
              <w:ind w:left="0" w:right="0"/>
              <w:jc w:val="center"/>
              <w:rPr>
                <w:rFonts w:hint="eastAsia" w:ascii="Times New Roman" w:hAnsi="Times New Roman" w:eastAsia="宋体" w:cs="Times New Roman"/>
                <w:color w:val="auto"/>
                <w:kern w:val="0"/>
              </w:rPr>
            </w:pPr>
            <w:r>
              <w:rPr>
                <w:rFonts w:hint="default" w:ascii="Times New Roman" w:hAnsi="Times New Roman" w:eastAsia="宋体" w:cs="Times New Roman"/>
                <w:color w:val="auto"/>
                <w:kern w:val="0"/>
              </w:rPr>
              <w:t>0.181</w:t>
            </w:r>
          </w:p>
        </w:tc>
        <w:tc>
          <w:tcPr>
            <w:tcW w:w="3484" w:type="dxa"/>
            <w:vMerge w:val="continue"/>
            <w:noWrap/>
            <w:vAlign w:val="center"/>
          </w:tcPr>
          <w:p w14:paraId="45ED96D9">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573" w:type="dxa"/>
            <w:vMerge w:val="continue"/>
            <w:noWrap/>
            <w:vAlign w:val="center"/>
          </w:tcPr>
          <w:p w14:paraId="5D8417AF">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038" w:type="dxa"/>
            <w:vMerge w:val="continue"/>
            <w:noWrap w:val="0"/>
            <w:vAlign w:val="center"/>
          </w:tcPr>
          <w:p w14:paraId="2168CA3C">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354" w:type="dxa"/>
            <w:vMerge w:val="continue"/>
            <w:noWrap/>
            <w:vAlign w:val="center"/>
          </w:tcPr>
          <w:p w14:paraId="367D8186">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r>
      <w:tr w14:paraId="6E8287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93" w:type="dxa"/>
            <w:vMerge w:val="continue"/>
            <w:noWrap/>
            <w:vAlign w:val="center"/>
          </w:tcPr>
          <w:p w14:paraId="03EFD4E2">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992" w:type="dxa"/>
            <w:vMerge w:val="continue"/>
            <w:noWrap/>
            <w:vAlign w:val="center"/>
          </w:tcPr>
          <w:p w14:paraId="54B5A9C9">
            <w:pPr>
              <w:keepNext w:val="0"/>
              <w:keepLines w:val="0"/>
              <w:widowControl/>
              <w:suppressLineNumbers w:val="0"/>
              <w:spacing w:before="0" w:beforeAutospacing="0" w:after="0" w:afterAutospacing="0" w:line="276" w:lineRule="auto"/>
              <w:ind w:left="0" w:right="0"/>
              <w:jc w:val="center"/>
              <w:rPr>
                <w:rFonts w:hint="eastAsia" w:ascii="Times New Roman" w:hAnsi="Times New Roman" w:eastAsia="宋体" w:cs="Times New Roman"/>
                <w:color w:val="auto"/>
                <w:kern w:val="0"/>
              </w:rPr>
            </w:pPr>
          </w:p>
        </w:tc>
        <w:tc>
          <w:tcPr>
            <w:tcW w:w="1135" w:type="dxa"/>
            <w:noWrap w:val="0"/>
            <w:vAlign w:val="center"/>
          </w:tcPr>
          <w:p w14:paraId="62CB9221">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石油类</w:t>
            </w:r>
          </w:p>
        </w:tc>
        <w:tc>
          <w:tcPr>
            <w:tcW w:w="1274" w:type="dxa"/>
            <w:noWrap w:val="0"/>
            <w:vAlign w:val="center"/>
          </w:tcPr>
          <w:p w14:paraId="6DBFAB21">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5000</w:t>
            </w:r>
          </w:p>
        </w:tc>
        <w:tc>
          <w:tcPr>
            <w:tcW w:w="1277" w:type="dxa"/>
            <w:noWrap/>
            <w:vAlign w:val="center"/>
          </w:tcPr>
          <w:p w14:paraId="7657C61A">
            <w:pPr>
              <w:keepNext w:val="0"/>
              <w:keepLines w:val="0"/>
              <w:suppressLineNumbers w:val="0"/>
              <w:spacing w:before="0" w:beforeAutospacing="0" w:after="0" w:afterAutospacing="0" w:line="276" w:lineRule="auto"/>
              <w:ind w:left="0" w:right="0"/>
              <w:jc w:val="center"/>
              <w:rPr>
                <w:rFonts w:hint="eastAsia" w:ascii="Times New Roman" w:hAnsi="Times New Roman" w:eastAsia="宋体" w:cs="Times New Roman"/>
                <w:color w:val="auto"/>
                <w:kern w:val="0"/>
              </w:rPr>
            </w:pPr>
            <w:r>
              <w:rPr>
                <w:rFonts w:hint="default" w:ascii="Times New Roman" w:hAnsi="Times New Roman" w:eastAsia="宋体" w:cs="Times New Roman"/>
                <w:color w:val="auto"/>
                <w:kern w:val="0"/>
              </w:rPr>
              <w:t>2.268</w:t>
            </w:r>
          </w:p>
        </w:tc>
        <w:tc>
          <w:tcPr>
            <w:tcW w:w="3484" w:type="dxa"/>
            <w:vMerge w:val="continue"/>
            <w:noWrap/>
            <w:vAlign w:val="center"/>
          </w:tcPr>
          <w:p w14:paraId="63654F6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573" w:type="dxa"/>
            <w:vMerge w:val="continue"/>
            <w:noWrap/>
            <w:vAlign w:val="center"/>
          </w:tcPr>
          <w:p w14:paraId="22244C6F">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038" w:type="dxa"/>
            <w:vMerge w:val="continue"/>
            <w:noWrap w:val="0"/>
            <w:vAlign w:val="center"/>
          </w:tcPr>
          <w:p w14:paraId="092525AC">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354" w:type="dxa"/>
            <w:vMerge w:val="continue"/>
            <w:noWrap/>
            <w:vAlign w:val="center"/>
          </w:tcPr>
          <w:p w14:paraId="020D85C6">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r>
      <w:tr w14:paraId="4C219E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93" w:type="dxa"/>
            <w:noWrap/>
            <w:vAlign w:val="center"/>
          </w:tcPr>
          <w:p w14:paraId="56767F95">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初期雨水</w:t>
            </w:r>
          </w:p>
        </w:tc>
        <w:tc>
          <w:tcPr>
            <w:tcW w:w="992" w:type="dxa"/>
            <w:noWrap/>
            <w:vAlign w:val="center"/>
          </w:tcPr>
          <w:p w14:paraId="2EB0D4C7">
            <w:pPr>
              <w:keepNext w:val="0"/>
              <w:keepLines w:val="0"/>
              <w:widowControl/>
              <w:suppressLineNumbers w:val="0"/>
              <w:spacing w:before="0" w:beforeAutospacing="0" w:after="0" w:afterAutospacing="0" w:line="276" w:lineRule="auto"/>
              <w:ind w:left="0" w:right="0"/>
              <w:jc w:val="center"/>
              <w:rPr>
                <w:rFonts w:hint="eastAsia" w:ascii="Times New Roman" w:hAnsi="Times New Roman" w:eastAsia="宋体" w:cs="Times New Roman"/>
                <w:color w:val="auto"/>
                <w:kern w:val="0"/>
              </w:rPr>
            </w:pPr>
            <w:r>
              <w:rPr>
                <w:rFonts w:hint="default" w:ascii="Times New Roman" w:hAnsi="Times New Roman" w:eastAsia="宋体" w:cs="Times New Roman"/>
                <w:color w:val="auto"/>
                <w:kern w:val="0"/>
              </w:rPr>
              <w:t>1620</w:t>
            </w:r>
          </w:p>
        </w:tc>
        <w:tc>
          <w:tcPr>
            <w:tcW w:w="1135" w:type="dxa"/>
            <w:noWrap w:val="0"/>
            <w:vAlign w:val="center"/>
          </w:tcPr>
          <w:p w14:paraId="1BDAEBF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SS</w:t>
            </w:r>
          </w:p>
        </w:tc>
        <w:tc>
          <w:tcPr>
            <w:tcW w:w="1274" w:type="dxa"/>
            <w:noWrap w:val="0"/>
            <w:vAlign w:val="center"/>
          </w:tcPr>
          <w:p w14:paraId="23936B71">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1000</w:t>
            </w:r>
          </w:p>
        </w:tc>
        <w:tc>
          <w:tcPr>
            <w:tcW w:w="1277" w:type="dxa"/>
            <w:noWrap/>
            <w:vAlign w:val="center"/>
          </w:tcPr>
          <w:p w14:paraId="65922E46">
            <w:pPr>
              <w:keepNext w:val="0"/>
              <w:keepLines w:val="0"/>
              <w:suppressLineNumbers w:val="0"/>
              <w:spacing w:before="0" w:beforeAutospacing="0" w:after="0" w:afterAutospacing="0" w:line="276" w:lineRule="auto"/>
              <w:ind w:left="0" w:right="0"/>
              <w:jc w:val="center"/>
              <w:rPr>
                <w:rFonts w:hint="eastAsia" w:ascii="Times New Roman" w:hAnsi="Times New Roman" w:eastAsia="宋体" w:cs="Times New Roman"/>
                <w:color w:val="auto"/>
                <w:kern w:val="0"/>
              </w:rPr>
            </w:pPr>
            <w:r>
              <w:rPr>
                <w:rFonts w:hint="default" w:ascii="Times New Roman" w:hAnsi="Times New Roman" w:eastAsia="宋体" w:cs="Times New Roman"/>
                <w:color w:val="auto"/>
                <w:kern w:val="0"/>
              </w:rPr>
              <w:t>1.620</w:t>
            </w:r>
          </w:p>
        </w:tc>
        <w:tc>
          <w:tcPr>
            <w:tcW w:w="3484" w:type="dxa"/>
            <w:vMerge w:val="continue"/>
            <w:noWrap/>
            <w:vAlign w:val="center"/>
          </w:tcPr>
          <w:p w14:paraId="6C21D0E3">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573" w:type="dxa"/>
            <w:vMerge w:val="continue"/>
            <w:noWrap/>
            <w:vAlign w:val="center"/>
          </w:tcPr>
          <w:p w14:paraId="6E27056A">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038" w:type="dxa"/>
            <w:vMerge w:val="continue"/>
            <w:noWrap w:val="0"/>
            <w:vAlign w:val="center"/>
          </w:tcPr>
          <w:p w14:paraId="5BD884E9">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354" w:type="dxa"/>
            <w:vMerge w:val="continue"/>
            <w:noWrap/>
            <w:vAlign w:val="center"/>
          </w:tcPr>
          <w:p w14:paraId="609A2B82">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r>
      <w:tr w14:paraId="28EB4A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93" w:type="dxa"/>
            <w:noWrap/>
            <w:vAlign w:val="center"/>
          </w:tcPr>
          <w:p w14:paraId="3CBF2002">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码头地面冲洗废水</w:t>
            </w:r>
          </w:p>
        </w:tc>
        <w:tc>
          <w:tcPr>
            <w:tcW w:w="992" w:type="dxa"/>
            <w:noWrap/>
            <w:vAlign w:val="center"/>
          </w:tcPr>
          <w:p w14:paraId="7266BF00">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1680</w:t>
            </w:r>
          </w:p>
        </w:tc>
        <w:tc>
          <w:tcPr>
            <w:tcW w:w="1135" w:type="dxa"/>
            <w:noWrap w:val="0"/>
            <w:vAlign w:val="center"/>
          </w:tcPr>
          <w:p w14:paraId="4BA51F71">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SS</w:t>
            </w:r>
          </w:p>
        </w:tc>
        <w:tc>
          <w:tcPr>
            <w:tcW w:w="1274" w:type="dxa"/>
            <w:noWrap w:val="0"/>
            <w:vAlign w:val="center"/>
          </w:tcPr>
          <w:p w14:paraId="50B2F041">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1000</w:t>
            </w:r>
          </w:p>
        </w:tc>
        <w:tc>
          <w:tcPr>
            <w:tcW w:w="1277" w:type="dxa"/>
            <w:noWrap/>
            <w:vAlign w:val="center"/>
          </w:tcPr>
          <w:p w14:paraId="252F358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1.680</w:t>
            </w:r>
          </w:p>
        </w:tc>
        <w:tc>
          <w:tcPr>
            <w:tcW w:w="3484" w:type="dxa"/>
            <w:vMerge w:val="continue"/>
            <w:noWrap/>
            <w:vAlign w:val="center"/>
          </w:tcPr>
          <w:p w14:paraId="435726EC">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573" w:type="dxa"/>
            <w:vMerge w:val="continue"/>
            <w:noWrap/>
            <w:vAlign w:val="center"/>
          </w:tcPr>
          <w:p w14:paraId="5B4A239D">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038" w:type="dxa"/>
            <w:vMerge w:val="continue"/>
            <w:noWrap w:val="0"/>
            <w:vAlign w:val="center"/>
          </w:tcPr>
          <w:p w14:paraId="39D31C53">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354" w:type="dxa"/>
            <w:vMerge w:val="continue"/>
            <w:noWrap/>
            <w:vAlign w:val="center"/>
          </w:tcPr>
          <w:p w14:paraId="7E347203">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r>
      <w:tr w14:paraId="1D718D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93" w:type="dxa"/>
            <w:vMerge w:val="restart"/>
            <w:noWrap/>
            <w:vAlign w:val="center"/>
          </w:tcPr>
          <w:p w14:paraId="2C1539C8">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机械</w:t>
            </w:r>
            <w:r>
              <w:rPr>
                <w:rFonts w:hint="eastAsia" w:ascii="Times New Roman" w:hAnsi="Times New Roman" w:eastAsia="宋体" w:cs="Times New Roman"/>
                <w:color w:val="auto"/>
                <w:kern w:val="0"/>
              </w:rPr>
              <w:t>车辆</w:t>
            </w:r>
            <w:r>
              <w:rPr>
                <w:rFonts w:hint="default" w:ascii="Times New Roman" w:hAnsi="Times New Roman" w:eastAsia="宋体" w:cs="Times New Roman"/>
                <w:color w:val="auto"/>
                <w:kern w:val="0"/>
              </w:rPr>
              <w:t>冲洗</w:t>
            </w:r>
            <w:r>
              <w:rPr>
                <w:rFonts w:hint="eastAsia" w:ascii="Times New Roman" w:hAnsi="Times New Roman" w:eastAsia="宋体" w:cs="Times New Roman"/>
                <w:color w:val="auto"/>
                <w:kern w:val="0"/>
              </w:rPr>
              <w:t>废</w:t>
            </w:r>
            <w:r>
              <w:rPr>
                <w:rFonts w:hint="default" w:ascii="Times New Roman" w:hAnsi="Times New Roman" w:eastAsia="宋体" w:cs="Times New Roman"/>
                <w:color w:val="auto"/>
                <w:kern w:val="0"/>
              </w:rPr>
              <w:t>水</w:t>
            </w:r>
          </w:p>
        </w:tc>
        <w:tc>
          <w:tcPr>
            <w:tcW w:w="992" w:type="dxa"/>
            <w:vMerge w:val="restart"/>
            <w:noWrap/>
            <w:vAlign w:val="center"/>
          </w:tcPr>
          <w:p w14:paraId="06A2C593">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1360.8</w:t>
            </w:r>
          </w:p>
        </w:tc>
        <w:tc>
          <w:tcPr>
            <w:tcW w:w="1135" w:type="dxa"/>
            <w:noWrap w:val="0"/>
            <w:vAlign w:val="center"/>
          </w:tcPr>
          <w:p w14:paraId="49EB6AC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COD</w:t>
            </w:r>
          </w:p>
        </w:tc>
        <w:tc>
          <w:tcPr>
            <w:tcW w:w="1274" w:type="dxa"/>
            <w:noWrap w:val="0"/>
            <w:vAlign w:val="center"/>
          </w:tcPr>
          <w:p w14:paraId="6D6389CC">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100</w:t>
            </w:r>
          </w:p>
        </w:tc>
        <w:tc>
          <w:tcPr>
            <w:tcW w:w="1277" w:type="dxa"/>
            <w:noWrap/>
            <w:vAlign w:val="center"/>
          </w:tcPr>
          <w:p w14:paraId="1FAEBE6D">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0.136</w:t>
            </w:r>
          </w:p>
        </w:tc>
        <w:tc>
          <w:tcPr>
            <w:tcW w:w="3484" w:type="dxa"/>
            <w:vMerge w:val="continue"/>
            <w:noWrap/>
            <w:vAlign w:val="center"/>
          </w:tcPr>
          <w:p w14:paraId="20B1BC57">
            <w:pPr>
              <w:keepNext w:val="0"/>
              <w:keepLines w:val="0"/>
              <w:widowControl/>
              <w:suppressLineNumbers w:val="0"/>
              <w:spacing w:before="0" w:beforeAutospacing="0" w:after="0" w:afterAutospacing="0" w:line="276" w:lineRule="auto"/>
              <w:ind w:left="0" w:right="0"/>
              <w:jc w:val="center"/>
              <w:rPr>
                <w:rFonts w:hint="eastAsia" w:ascii="Times New Roman" w:hAnsi="Times New Roman" w:eastAsia="宋体" w:cs="Times New Roman"/>
                <w:color w:val="auto"/>
                <w:kern w:val="0"/>
              </w:rPr>
            </w:pPr>
          </w:p>
        </w:tc>
        <w:tc>
          <w:tcPr>
            <w:tcW w:w="1573" w:type="dxa"/>
            <w:vMerge w:val="continue"/>
            <w:noWrap/>
            <w:vAlign w:val="center"/>
          </w:tcPr>
          <w:p w14:paraId="617EF90D">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038" w:type="dxa"/>
            <w:vMerge w:val="continue"/>
            <w:noWrap w:val="0"/>
            <w:vAlign w:val="center"/>
          </w:tcPr>
          <w:p w14:paraId="71DA3EDE">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354" w:type="dxa"/>
            <w:vMerge w:val="continue"/>
            <w:noWrap/>
            <w:vAlign w:val="center"/>
          </w:tcPr>
          <w:p w14:paraId="0EA57644">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r>
      <w:tr w14:paraId="086E33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93" w:type="dxa"/>
            <w:vMerge w:val="continue"/>
            <w:noWrap/>
            <w:vAlign w:val="center"/>
          </w:tcPr>
          <w:p w14:paraId="1545ECBD">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992" w:type="dxa"/>
            <w:vMerge w:val="continue"/>
            <w:noWrap/>
            <w:vAlign w:val="center"/>
          </w:tcPr>
          <w:p w14:paraId="191B6629">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135" w:type="dxa"/>
            <w:noWrap w:val="0"/>
            <w:vAlign w:val="center"/>
          </w:tcPr>
          <w:p w14:paraId="309E55B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SS</w:t>
            </w:r>
          </w:p>
        </w:tc>
        <w:tc>
          <w:tcPr>
            <w:tcW w:w="1274" w:type="dxa"/>
            <w:noWrap w:val="0"/>
            <w:vAlign w:val="center"/>
          </w:tcPr>
          <w:p w14:paraId="46BF663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1000</w:t>
            </w:r>
          </w:p>
        </w:tc>
        <w:tc>
          <w:tcPr>
            <w:tcW w:w="1277" w:type="dxa"/>
            <w:noWrap/>
            <w:vAlign w:val="center"/>
          </w:tcPr>
          <w:p w14:paraId="67133CF2">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1.361</w:t>
            </w:r>
          </w:p>
        </w:tc>
        <w:tc>
          <w:tcPr>
            <w:tcW w:w="3484" w:type="dxa"/>
            <w:vMerge w:val="continue"/>
            <w:noWrap/>
            <w:vAlign w:val="center"/>
          </w:tcPr>
          <w:p w14:paraId="168B9679">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573" w:type="dxa"/>
            <w:vMerge w:val="continue"/>
            <w:noWrap/>
            <w:vAlign w:val="center"/>
          </w:tcPr>
          <w:p w14:paraId="3C6DC039">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038" w:type="dxa"/>
            <w:vMerge w:val="continue"/>
            <w:noWrap w:val="0"/>
            <w:vAlign w:val="center"/>
          </w:tcPr>
          <w:p w14:paraId="16135B04">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354" w:type="dxa"/>
            <w:vMerge w:val="continue"/>
            <w:noWrap/>
            <w:vAlign w:val="center"/>
          </w:tcPr>
          <w:p w14:paraId="6647B585">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r>
      <w:tr w14:paraId="408B0E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93" w:type="dxa"/>
            <w:vMerge w:val="continue"/>
            <w:noWrap/>
            <w:vAlign w:val="center"/>
          </w:tcPr>
          <w:p w14:paraId="6F6D8625">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992" w:type="dxa"/>
            <w:vMerge w:val="continue"/>
            <w:noWrap/>
            <w:vAlign w:val="center"/>
          </w:tcPr>
          <w:p w14:paraId="0D99D030">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135" w:type="dxa"/>
            <w:noWrap w:val="0"/>
            <w:vAlign w:val="center"/>
          </w:tcPr>
          <w:p w14:paraId="1B87634F">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石油类</w:t>
            </w:r>
          </w:p>
        </w:tc>
        <w:tc>
          <w:tcPr>
            <w:tcW w:w="1274" w:type="dxa"/>
            <w:noWrap w:val="0"/>
            <w:vAlign w:val="center"/>
          </w:tcPr>
          <w:p w14:paraId="57005A91">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12</w:t>
            </w:r>
          </w:p>
        </w:tc>
        <w:tc>
          <w:tcPr>
            <w:tcW w:w="1277" w:type="dxa"/>
            <w:noWrap/>
            <w:vAlign w:val="center"/>
          </w:tcPr>
          <w:p w14:paraId="4B9FE793">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0.016</w:t>
            </w:r>
          </w:p>
        </w:tc>
        <w:tc>
          <w:tcPr>
            <w:tcW w:w="3484" w:type="dxa"/>
            <w:vMerge w:val="continue"/>
            <w:noWrap/>
            <w:vAlign w:val="center"/>
          </w:tcPr>
          <w:p w14:paraId="50243A9F">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573" w:type="dxa"/>
            <w:vMerge w:val="continue"/>
            <w:noWrap/>
            <w:vAlign w:val="center"/>
          </w:tcPr>
          <w:p w14:paraId="1A06F90C">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038" w:type="dxa"/>
            <w:vMerge w:val="continue"/>
            <w:noWrap w:val="0"/>
            <w:vAlign w:val="center"/>
          </w:tcPr>
          <w:p w14:paraId="08C8DD7D">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354" w:type="dxa"/>
            <w:vMerge w:val="continue"/>
            <w:noWrap/>
            <w:vAlign w:val="center"/>
          </w:tcPr>
          <w:p w14:paraId="157C4298">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r>
      <w:tr w14:paraId="358AD3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93" w:type="dxa"/>
            <w:vMerge w:val="restart"/>
            <w:noWrap/>
            <w:vAlign w:val="center"/>
          </w:tcPr>
          <w:p w14:paraId="717E1244">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码头员工生活污水</w:t>
            </w:r>
          </w:p>
        </w:tc>
        <w:tc>
          <w:tcPr>
            <w:tcW w:w="992" w:type="dxa"/>
            <w:vMerge w:val="restart"/>
            <w:noWrap/>
            <w:vAlign w:val="center"/>
          </w:tcPr>
          <w:p w14:paraId="0FE33CFD">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134.4</w:t>
            </w:r>
          </w:p>
        </w:tc>
        <w:tc>
          <w:tcPr>
            <w:tcW w:w="1135" w:type="dxa"/>
            <w:noWrap w:val="0"/>
            <w:vAlign w:val="center"/>
          </w:tcPr>
          <w:p w14:paraId="36980A07">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COD</w:t>
            </w:r>
          </w:p>
        </w:tc>
        <w:tc>
          <w:tcPr>
            <w:tcW w:w="1274" w:type="dxa"/>
            <w:noWrap w:val="0"/>
            <w:vAlign w:val="center"/>
          </w:tcPr>
          <w:p w14:paraId="10A4C28C">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400</w:t>
            </w:r>
          </w:p>
        </w:tc>
        <w:tc>
          <w:tcPr>
            <w:tcW w:w="1277" w:type="dxa"/>
            <w:noWrap/>
            <w:vAlign w:val="center"/>
          </w:tcPr>
          <w:p w14:paraId="682E690B">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0</w:t>
            </w:r>
            <w:r>
              <w:rPr>
                <w:rFonts w:hint="default" w:ascii="Times New Roman" w:hAnsi="Times New Roman" w:eastAsia="宋体" w:cs="Times New Roman"/>
                <w:color w:val="auto"/>
                <w:kern w:val="0"/>
              </w:rPr>
              <w:t>.054</w:t>
            </w:r>
          </w:p>
        </w:tc>
        <w:tc>
          <w:tcPr>
            <w:tcW w:w="3484" w:type="dxa"/>
            <w:vMerge w:val="restart"/>
            <w:noWrap/>
            <w:vAlign w:val="center"/>
          </w:tcPr>
          <w:p w14:paraId="14EE207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利用周边已有旱厕，收集后用于当地农田或林地肥料</w:t>
            </w:r>
          </w:p>
        </w:tc>
        <w:tc>
          <w:tcPr>
            <w:tcW w:w="1573" w:type="dxa"/>
            <w:vMerge w:val="restart"/>
            <w:noWrap/>
            <w:vAlign w:val="center"/>
          </w:tcPr>
          <w:p w14:paraId="02263762">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038" w:type="dxa"/>
            <w:vMerge w:val="restart"/>
            <w:noWrap w:val="0"/>
            <w:vAlign w:val="center"/>
          </w:tcPr>
          <w:p w14:paraId="2E5FA907">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354" w:type="dxa"/>
            <w:vMerge w:val="restart"/>
            <w:noWrap/>
            <w:vAlign w:val="center"/>
          </w:tcPr>
          <w:p w14:paraId="0C5B2F6F">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不外排</w:t>
            </w:r>
          </w:p>
        </w:tc>
      </w:tr>
      <w:tr w14:paraId="151252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93" w:type="dxa"/>
            <w:vMerge w:val="continue"/>
            <w:noWrap/>
            <w:vAlign w:val="center"/>
          </w:tcPr>
          <w:p w14:paraId="78972A80">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992" w:type="dxa"/>
            <w:vMerge w:val="continue"/>
            <w:noWrap/>
            <w:vAlign w:val="center"/>
          </w:tcPr>
          <w:p w14:paraId="778A2368">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135" w:type="dxa"/>
            <w:noWrap w:val="0"/>
            <w:vAlign w:val="center"/>
          </w:tcPr>
          <w:p w14:paraId="7D23385C">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B</w:t>
            </w:r>
            <w:r>
              <w:rPr>
                <w:rFonts w:hint="default" w:ascii="Times New Roman" w:hAnsi="Times New Roman" w:eastAsia="宋体" w:cs="Times New Roman"/>
                <w:color w:val="auto"/>
                <w:kern w:val="0"/>
              </w:rPr>
              <w:t>OD</w:t>
            </w:r>
            <w:r>
              <w:rPr>
                <w:rFonts w:hint="default" w:ascii="Times New Roman" w:hAnsi="Times New Roman" w:eastAsia="宋体" w:cs="Times New Roman"/>
                <w:color w:val="auto"/>
                <w:kern w:val="0"/>
                <w:vertAlign w:val="subscript"/>
              </w:rPr>
              <w:t>5</w:t>
            </w:r>
          </w:p>
        </w:tc>
        <w:tc>
          <w:tcPr>
            <w:tcW w:w="1274" w:type="dxa"/>
            <w:noWrap w:val="0"/>
            <w:vAlign w:val="center"/>
          </w:tcPr>
          <w:p w14:paraId="366AF0EF">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2</w:t>
            </w:r>
            <w:r>
              <w:rPr>
                <w:rFonts w:hint="default" w:ascii="Times New Roman" w:hAnsi="Times New Roman" w:eastAsia="宋体" w:cs="Times New Roman"/>
                <w:color w:val="auto"/>
                <w:kern w:val="0"/>
              </w:rPr>
              <w:t>00</w:t>
            </w:r>
          </w:p>
        </w:tc>
        <w:tc>
          <w:tcPr>
            <w:tcW w:w="1277" w:type="dxa"/>
            <w:noWrap/>
            <w:vAlign w:val="center"/>
          </w:tcPr>
          <w:p w14:paraId="0EC38463">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0</w:t>
            </w:r>
            <w:r>
              <w:rPr>
                <w:rFonts w:hint="default" w:ascii="Times New Roman" w:hAnsi="Times New Roman" w:eastAsia="宋体" w:cs="Times New Roman"/>
                <w:color w:val="auto"/>
                <w:kern w:val="0"/>
              </w:rPr>
              <w:t>.027</w:t>
            </w:r>
          </w:p>
        </w:tc>
        <w:tc>
          <w:tcPr>
            <w:tcW w:w="3484" w:type="dxa"/>
            <w:vMerge w:val="continue"/>
            <w:noWrap/>
            <w:vAlign w:val="center"/>
          </w:tcPr>
          <w:p w14:paraId="11357A30">
            <w:pPr>
              <w:keepNext w:val="0"/>
              <w:keepLines w:val="0"/>
              <w:suppressLineNumbers w:val="0"/>
              <w:spacing w:before="0" w:beforeAutospacing="0" w:after="0" w:afterAutospacing="0"/>
              <w:ind w:left="0" w:right="0"/>
              <w:jc w:val="center"/>
              <w:rPr>
                <w:rFonts w:hint="eastAsia" w:ascii="宋体" w:hAnsi="宋体" w:eastAsia="宋体" w:cs="Times New Roman"/>
                <w:color w:val="auto"/>
                <w:kern w:val="2"/>
                <w:sz w:val="21"/>
                <w:szCs w:val="21"/>
                <w:lang w:val="en-US" w:eastAsia="zh-CN" w:bidi="ar-SA"/>
              </w:rPr>
            </w:pPr>
          </w:p>
        </w:tc>
        <w:tc>
          <w:tcPr>
            <w:tcW w:w="1573" w:type="dxa"/>
            <w:vMerge w:val="continue"/>
            <w:noWrap/>
            <w:vAlign w:val="center"/>
          </w:tcPr>
          <w:p w14:paraId="756F400C">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038" w:type="dxa"/>
            <w:vMerge w:val="continue"/>
            <w:noWrap w:val="0"/>
            <w:vAlign w:val="center"/>
          </w:tcPr>
          <w:p w14:paraId="5AF59DFD">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354" w:type="dxa"/>
            <w:vMerge w:val="continue"/>
            <w:noWrap/>
            <w:vAlign w:val="center"/>
          </w:tcPr>
          <w:p w14:paraId="14C2313E">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r>
      <w:tr w14:paraId="1A0459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93" w:type="dxa"/>
            <w:vMerge w:val="continue"/>
            <w:noWrap/>
            <w:vAlign w:val="center"/>
          </w:tcPr>
          <w:p w14:paraId="5DCC413E">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992" w:type="dxa"/>
            <w:vMerge w:val="continue"/>
            <w:noWrap/>
            <w:vAlign w:val="center"/>
          </w:tcPr>
          <w:p w14:paraId="199197EC">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135" w:type="dxa"/>
            <w:noWrap w:val="0"/>
            <w:vAlign w:val="center"/>
          </w:tcPr>
          <w:p w14:paraId="00187D5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SS</w:t>
            </w:r>
          </w:p>
        </w:tc>
        <w:tc>
          <w:tcPr>
            <w:tcW w:w="1274" w:type="dxa"/>
            <w:noWrap w:val="0"/>
            <w:vAlign w:val="center"/>
          </w:tcPr>
          <w:p w14:paraId="23C8D105">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300</w:t>
            </w:r>
          </w:p>
        </w:tc>
        <w:tc>
          <w:tcPr>
            <w:tcW w:w="1277" w:type="dxa"/>
            <w:noWrap/>
            <w:vAlign w:val="center"/>
          </w:tcPr>
          <w:p w14:paraId="68EE4E2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0</w:t>
            </w:r>
            <w:r>
              <w:rPr>
                <w:rFonts w:hint="default" w:ascii="Times New Roman" w:hAnsi="Times New Roman" w:eastAsia="宋体" w:cs="Times New Roman"/>
                <w:color w:val="auto"/>
                <w:kern w:val="0"/>
              </w:rPr>
              <w:t>.040</w:t>
            </w:r>
          </w:p>
        </w:tc>
        <w:tc>
          <w:tcPr>
            <w:tcW w:w="3484" w:type="dxa"/>
            <w:vMerge w:val="continue"/>
            <w:noWrap/>
            <w:vAlign w:val="center"/>
          </w:tcPr>
          <w:p w14:paraId="4E9E543B">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573" w:type="dxa"/>
            <w:vMerge w:val="continue"/>
            <w:noWrap/>
            <w:vAlign w:val="center"/>
          </w:tcPr>
          <w:p w14:paraId="5B44A88D">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038" w:type="dxa"/>
            <w:vMerge w:val="continue"/>
            <w:noWrap w:val="0"/>
            <w:vAlign w:val="center"/>
          </w:tcPr>
          <w:p w14:paraId="1A7A2556">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354" w:type="dxa"/>
            <w:vMerge w:val="continue"/>
            <w:noWrap/>
            <w:vAlign w:val="center"/>
          </w:tcPr>
          <w:p w14:paraId="16D16EEA">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r>
      <w:tr w14:paraId="40EECF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93" w:type="dxa"/>
            <w:vMerge w:val="continue"/>
            <w:noWrap/>
            <w:vAlign w:val="center"/>
          </w:tcPr>
          <w:p w14:paraId="177EC070">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992" w:type="dxa"/>
            <w:vMerge w:val="continue"/>
            <w:noWrap/>
            <w:vAlign w:val="center"/>
          </w:tcPr>
          <w:p w14:paraId="10A5EE05">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135" w:type="dxa"/>
            <w:noWrap w:val="0"/>
            <w:vAlign w:val="center"/>
          </w:tcPr>
          <w:p w14:paraId="529C6400">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氨氮</w:t>
            </w:r>
          </w:p>
        </w:tc>
        <w:tc>
          <w:tcPr>
            <w:tcW w:w="1274" w:type="dxa"/>
            <w:noWrap w:val="0"/>
            <w:vAlign w:val="center"/>
          </w:tcPr>
          <w:p w14:paraId="324D6D94">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35</w:t>
            </w:r>
          </w:p>
        </w:tc>
        <w:tc>
          <w:tcPr>
            <w:tcW w:w="1277" w:type="dxa"/>
            <w:noWrap/>
            <w:vAlign w:val="center"/>
          </w:tcPr>
          <w:p w14:paraId="77FF2B7E">
            <w:pPr>
              <w:keepNext w:val="0"/>
              <w:keepLines w:val="0"/>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0</w:t>
            </w:r>
            <w:r>
              <w:rPr>
                <w:rFonts w:hint="default" w:ascii="Times New Roman" w:hAnsi="Times New Roman" w:eastAsia="宋体" w:cs="Times New Roman"/>
                <w:color w:val="auto"/>
                <w:kern w:val="0"/>
              </w:rPr>
              <w:t>.005</w:t>
            </w:r>
          </w:p>
        </w:tc>
        <w:tc>
          <w:tcPr>
            <w:tcW w:w="3484" w:type="dxa"/>
            <w:vMerge w:val="continue"/>
            <w:noWrap/>
            <w:vAlign w:val="center"/>
          </w:tcPr>
          <w:p w14:paraId="29652019">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573" w:type="dxa"/>
            <w:vMerge w:val="continue"/>
            <w:noWrap/>
            <w:vAlign w:val="center"/>
          </w:tcPr>
          <w:p w14:paraId="0826A1BB">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038" w:type="dxa"/>
            <w:vMerge w:val="continue"/>
            <w:noWrap w:val="0"/>
            <w:vAlign w:val="center"/>
          </w:tcPr>
          <w:p w14:paraId="246518E2">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c>
          <w:tcPr>
            <w:tcW w:w="1354" w:type="dxa"/>
            <w:vMerge w:val="continue"/>
            <w:noWrap/>
            <w:vAlign w:val="center"/>
          </w:tcPr>
          <w:p w14:paraId="76E2636C">
            <w:pPr>
              <w:keepNext w:val="0"/>
              <w:keepLines w:val="0"/>
              <w:widowControl/>
              <w:suppressLineNumbers w:val="0"/>
              <w:spacing w:before="0" w:beforeAutospacing="0" w:after="0" w:afterAutospacing="0" w:line="276" w:lineRule="auto"/>
              <w:ind w:left="0" w:right="0"/>
              <w:jc w:val="center"/>
              <w:rPr>
                <w:rFonts w:hint="default" w:ascii="Times New Roman" w:hAnsi="Times New Roman" w:eastAsia="宋体" w:cs="Times New Roman"/>
                <w:color w:val="auto"/>
                <w:kern w:val="0"/>
              </w:rPr>
            </w:pPr>
          </w:p>
        </w:tc>
      </w:tr>
    </w:tbl>
    <w:p w14:paraId="43560981">
      <w:pPr>
        <w:rPr>
          <w:color w:val="auto"/>
        </w:rPr>
        <w:sectPr>
          <w:pgSz w:w="16840" w:h="11907" w:orient="landscape"/>
          <w:pgMar w:top="1418" w:right="1418" w:bottom="1418" w:left="1418" w:header="851" w:footer="851" w:gutter="0"/>
          <w:pgBorders>
            <w:top w:val="none" w:sz="0" w:space="0"/>
            <w:left w:val="none" w:sz="0" w:space="0"/>
            <w:bottom w:val="none" w:sz="0" w:space="0"/>
            <w:right w:val="none" w:sz="0" w:space="0"/>
          </w:pgBorders>
          <w:cols w:space="720" w:num="1"/>
          <w:docGrid w:type="lines" w:linePitch="312" w:charSpace="0"/>
        </w:sectPr>
      </w:pPr>
    </w:p>
    <w:p w14:paraId="72E0FE1B">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3.3.2.2</w:t>
      </w:r>
      <w:r>
        <w:rPr>
          <w:rFonts w:ascii="Times New Roman" w:hAnsi="Times New Roman" w:eastAsia="黑体" w:cs="Times New Roman"/>
          <w:bCs/>
          <w:color w:val="auto"/>
          <w:kern w:val="2"/>
          <w:sz w:val="24"/>
          <w:szCs w:val="28"/>
          <w:lang w:val="en-US" w:eastAsia="zh-CN" w:bidi="ar-SA"/>
        </w:rPr>
        <w:t>运营期</w:t>
      </w:r>
      <w:r>
        <w:rPr>
          <w:rFonts w:hint="eastAsia" w:ascii="Times New Roman" w:hAnsi="Times New Roman" w:eastAsia="黑体" w:cs="Times New Roman"/>
          <w:bCs/>
          <w:color w:val="auto"/>
          <w:kern w:val="2"/>
          <w:sz w:val="24"/>
          <w:szCs w:val="28"/>
          <w:lang w:val="en-US" w:eastAsia="zh-CN" w:bidi="ar-SA"/>
        </w:rPr>
        <w:t>废气</w:t>
      </w:r>
      <w:r>
        <w:rPr>
          <w:rFonts w:ascii="Times New Roman" w:hAnsi="Times New Roman" w:eastAsia="黑体" w:cs="Times New Roman"/>
          <w:bCs/>
          <w:color w:val="auto"/>
          <w:kern w:val="2"/>
          <w:sz w:val="24"/>
          <w:szCs w:val="28"/>
          <w:lang w:val="en-US" w:eastAsia="zh-CN" w:bidi="ar-SA"/>
        </w:rPr>
        <w:t>源强</w:t>
      </w:r>
    </w:p>
    <w:p w14:paraId="4CDF87A6">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经调查码头情况，本项目运营期大气污染物主要来源于进出港船舶柴油尾气、道路扬尘、装卸扬尘。</w:t>
      </w:r>
    </w:p>
    <w:p w14:paraId="5C91480B">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（1）进出港船舶柴油尾气</w:t>
      </w:r>
    </w:p>
    <w:p w14:paraId="0A2938ED">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内河船舶的大气污染物排放源主要包括主机和辅机。</w:t>
      </w:r>
    </w:p>
    <w:p w14:paraId="6B72B348">
      <w:pPr>
        <w:spacing w:line="360" w:lineRule="auto"/>
        <w:ind w:firstLine="480" w:firstLineChars="200"/>
        <w:rPr>
          <w:rFonts w:hint="eastAsia" w:ascii="Times New Roman" w:hAnsi="Times New Roman" w:eastAsia="宋体" w:cs="Times New Roman"/>
          <w:color w:val="auto"/>
          <w:sz w:val="24"/>
          <w:szCs w:val="24"/>
        </w:rPr>
      </w:pPr>
      <w:r>
        <w:rPr>
          <w:rFonts w:ascii="Times New Roman" w:hAnsi="Times New Roman" w:eastAsia="宋体" w:cs="Times New Roman"/>
          <w:color w:val="auto"/>
          <w:sz w:val="24"/>
          <w:szCs w:val="24"/>
        </w:rPr>
        <w:t>停靠码头的船舶使用岸电，辅机不工作，因此只在船舶到港、出港阶段</w:t>
      </w:r>
      <w:r>
        <w:rPr>
          <w:rFonts w:hint="eastAsia" w:ascii="Times New Roman" w:hAnsi="Times New Roman" w:eastAsia="宋体" w:cs="Times New Roman"/>
          <w:color w:val="auto"/>
          <w:sz w:val="24"/>
          <w:szCs w:val="24"/>
        </w:rPr>
        <w:t>主机开启时</w:t>
      </w:r>
      <w:r>
        <w:rPr>
          <w:rFonts w:ascii="Times New Roman" w:hAnsi="Times New Roman" w:eastAsia="宋体" w:cs="Times New Roman"/>
          <w:color w:val="auto"/>
          <w:sz w:val="24"/>
          <w:szCs w:val="24"/>
        </w:rPr>
        <w:t>会产生少量的船舶燃油废气污染物的排放。废气主要污染物有SO</w:t>
      </w:r>
      <w:r>
        <w:rPr>
          <w:rFonts w:ascii="Times New Roman" w:hAnsi="Times New Roman" w:eastAsia="宋体" w:cs="Times New Roman"/>
          <w:color w:val="auto"/>
          <w:sz w:val="24"/>
          <w:szCs w:val="24"/>
          <w:vertAlign w:val="subscript"/>
        </w:rPr>
        <w:t>2</w:t>
      </w:r>
      <w:r>
        <w:rPr>
          <w:rFonts w:ascii="Times New Roman" w:hAnsi="Times New Roman" w:eastAsia="宋体" w:cs="Times New Roman"/>
          <w:color w:val="auto"/>
          <w:sz w:val="24"/>
          <w:szCs w:val="24"/>
        </w:rPr>
        <w:t>、CO、NO</w:t>
      </w:r>
      <w:r>
        <w:rPr>
          <w:rFonts w:ascii="Times New Roman" w:hAnsi="Times New Roman" w:eastAsia="宋体" w:cs="Times New Roman"/>
          <w:color w:val="auto"/>
          <w:sz w:val="24"/>
          <w:szCs w:val="24"/>
          <w:vertAlign w:val="subscript"/>
        </w:rPr>
        <w:t>X</w:t>
      </w:r>
      <w:r>
        <w:rPr>
          <w:rFonts w:ascii="Times New Roman" w:hAnsi="Times New Roman" w:eastAsia="宋体" w:cs="Times New Roman"/>
          <w:color w:val="auto"/>
          <w:sz w:val="24"/>
          <w:szCs w:val="24"/>
        </w:rPr>
        <w:t>、烃类等，废气污染物的产生源强较小，不做定量计算。</w:t>
      </w:r>
    </w:p>
    <w:p w14:paraId="661ECEC4">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（2）码头道路扬尘</w:t>
      </w:r>
    </w:p>
    <w:p w14:paraId="6FAF2E2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本项目水平运输采用自卸汽车等运输车辆，其运输过程将产生汽车道路扬尘污染。本项目日均车流量约为60辆/d，码头的年运营天数210天/年。根据</w:t>
      </w:r>
      <w:r>
        <w:rPr>
          <w:rFonts w:hint="eastAsia" w:cs="Times New Roman"/>
          <w:color w:val="auto"/>
          <w:sz w:val="24"/>
          <w:lang w:eastAsia="zh-CN"/>
        </w:rPr>
        <w:t>交通运输部</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水运工程建设项目环境影响评价指南</w:t>
      </w:r>
      <w:r>
        <w:rPr>
          <w:rFonts w:ascii="Times New Roman" w:hAnsi="Times New Roman" w:eastAsia="宋体" w:cs="Times New Roman"/>
          <w:color w:val="auto"/>
          <w:sz w:val="24"/>
        </w:rPr>
        <w:t>》（</w:t>
      </w:r>
      <w:r>
        <w:rPr>
          <w:color w:val="auto"/>
          <w:sz w:val="24"/>
        </w:rPr>
        <w:t>JTS/T 105-2021</w:t>
      </w:r>
      <w:r>
        <w:rPr>
          <w:rFonts w:ascii="Times New Roman" w:hAnsi="Times New Roman" w:eastAsia="宋体" w:cs="Times New Roman"/>
          <w:color w:val="auto"/>
          <w:sz w:val="24"/>
        </w:rPr>
        <w:t>）推荐的经验公式，港区道路扬尘量按下式测算：</w:t>
      </w:r>
    </w:p>
    <w:p w14:paraId="4E020FCC">
      <w:pPr>
        <w:spacing w:line="360" w:lineRule="auto"/>
        <w:ind w:firstLine="480" w:firstLineChars="200"/>
        <w:jc w:val="center"/>
        <w:rPr>
          <w:rFonts w:ascii="Times New Roman" w:hAnsi="Times New Roman" w:eastAsia="宋体" w:cs="Times New Roman"/>
          <w:color w:val="auto"/>
          <w:sz w:val="24"/>
        </w:rPr>
      </w:pPr>
      <w:r>
        <w:rPr>
          <w:rFonts w:ascii="Times New Roman" w:hAnsi="Times New Roman" w:eastAsia="宋体" w:cs="Times New Roman"/>
          <w:color w:val="auto"/>
          <w:sz w:val="24"/>
        </w:rPr>
        <w:t>W</w:t>
      </w:r>
      <w:r>
        <w:rPr>
          <w:rFonts w:ascii="Times New Roman" w:hAnsi="Times New Roman" w:eastAsia="宋体" w:cs="Times New Roman"/>
          <w:color w:val="auto"/>
          <w:sz w:val="24"/>
          <w:vertAlign w:val="subscript"/>
        </w:rPr>
        <w:t>Ri</w:t>
      </w:r>
      <w:r>
        <w:rPr>
          <w:rFonts w:ascii="Times New Roman" w:hAnsi="Times New Roman" w:eastAsia="宋体" w:cs="Times New Roman"/>
          <w:color w:val="auto"/>
          <w:sz w:val="24"/>
        </w:rPr>
        <w:t>=E</w:t>
      </w:r>
      <w:r>
        <w:rPr>
          <w:rFonts w:ascii="Times New Roman" w:hAnsi="Times New Roman" w:eastAsia="宋体" w:cs="Times New Roman"/>
          <w:color w:val="auto"/>
          <w:sz w:val="24"/>
          <w:vertAlign w:val="subscript"/>
        </w:rPr>
        <w:t>Ri</w:t>
      </w:r>
      <w:r>
        <w:rPr>
          <w:rFonts w:ascii="Times New Roman" w:hAnsi="Times New Roman" w:eastAsia="宋体" w:cs="Times New Roman"/>
          <w:color w:val="auto"/>
          <w:sz w:val="24"/>
        </w:rPr>
        <w:t>L</w:t>
      </w:r>
      <w:r>
        <w:rPr>
          <w:rFonts w:ascii="Times New Roman" w:hAnsi="Times New Roman" w:eastAsia="宋体" w:cs="Times New Roman"/>
          <w:color w:val="auto"/>
          <w:sz w:val="24"/>
          <w:vertAlign w:val="subscript"/>
        </w:rPr>
        <w:t>R</w:t>
      </w:r>
      <w:r>
        <w:rPr>
          <w:rFonts w:ascii="Times New Roman" w:hAnsi="Times New Roman" w:eastAsia="宋体" w:cs="Times New Roman"/>
          <w:color w:val="auto"/>
          <w:sz w:val="24"/>
        </w:rPr>
        <w:t>N</w:t>
      </w:r>
      <w:r>
        <w:rPr>
          <w:rFonts w:ascii="Times New Roman" w:hAnsi="Times New Roman" w:eastAsia="宋体" w:cs="Times New Roman"/>
          <w:color w:val="auto"/>
          <w:sz w:val="24"/>
          <w:vertAlign w:val="subscript"/>
        </w:rPr>
        <w:t>R</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1-n</w:t>
      </w:r>
      <w:r>
        <w:rPr>
          <w:rFonts w:hint="eastAsia" w:ascii="Times New Roman" w:hAnsi="Times New Roman" w:eastAsia="宋体" w:cs="Times New Roman"/>
          <w:color w:val="auto"/>
          <w:sz w:val="24"/>
          <w:vertAlign w:val="subscript"/>
        </w:rPr>
        <w:t>r</w:t>
      </w:r>
      <w:r>
        <w:rPr>
          <w:rFonts w:ascii="Times New Roman" w:hAnsi="Times New Roman" w:eastAsia="宋体" w:cs="Times New Roman"/>
          <w:color w:val="auto"/>
          <w:sz w:val="24"/>
        </w:rPr>
        <w:t>/365〕×10</w:t>
      </w:r>
      <w:r>
        <w:rPr>
          <w:rFonts w:ascii="Times New Roman" w:hAnsi="Times New Roman" w:eastAsia="宋体" w:cs="Times New Roman"/>
          <w:color w:val="auto"/>
          <w:sz w:val="24"/>
          <w:vertAlign w:val="superscript"/>
        </w:rPr>
        <w:t>-6</w:t>
      </w:r>
    </w:p>
    <w:p w14:paraId="4DEC52FC">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式中：W</w:t>
      </w:r>
      <w:r>
        <w:rPr>
          <w:rFonts w:ascii="Times New Roman" w:hAnsi="Times New Roman" w:eastAsia="宋体" w:cs="Times New Roman"/>
          <w:color w:val="auto"/>
          <w:sz w:val="24"/>
          <w:vertAlign w:val="subscript"/>
        </w:rPr>
        <w:t>R</w:t>
      </w:r>
      <w:r>
        <w:rPr>
          <w:rFonts w:hint="eastAsia" w:ascii="Times New Roman" w:hAnsi="Times New Roman" w:eastAsia="宋体" w:cs="Times New Roman"/>
          <w:color w:val="auto"/>
          <w:sz w:val="24"/>
          <w:vertAlign w:val="subscript"/>
        </w:rPr>
        <w:t>i</w:t>
      </w:r>
      <w:r>
        <w:rPr>
          <w:rFonts w:hint="eastAsia" w:ascii="Times New Roman" w:hAnsi="Times New Roman" w:eastAsia="宋体" w:cs="Times New Roman"/>
          <w:color w:val="auto"/>
          <w:sz w:val="24"/>
        </w:rPr>
        <w:t>——道路扬尘源中颗粒物P</w:t>
      </w:r>
      <w:r>
        <w:rPr>
          <w:rFonts w:hint="eastAsia" w:ascii="Times New Roman" w:hAnsi="Times New Roman" w:eastAsia="宋体" w:cs="Times New Roman"/>
          <w:color w:val="auto"/>
          <w:sz w:val="24"/>
          <w:vertAlign w:val="subscript"/>
        </w:rPr>
        <w:t>mi</w:t>
      </w:r>
      <w:r>
        <w:rPr>
          <w:rFonts w:hint="eastAsia" w:ascii="Times New Roman" w:hAnsi="Times New Roman" w:eastAsia="宋体" w:cs="Times New Roman"/>
          <w:color w:val="auto"/>
          <w:sz w:val="24"/>
        </w:rPr>
        <w:t>的总排放量（t</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a）；</w:t>
      </w:r>
    </w:p>
    <w:p w14:paraId="1548AB27">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 xml:space="preserve"> </w:t>
      </w:r>
      <w:r>
        <w:rPr>
          <w:rFonts w:ascii="Times New Roman" w:hAnsi="Times New Roman" w:eastAsia="宋体" w:cs="Times New Roman"/>
          <w:color w:val="auto"/>
          <w:sz w:val="24"/>
        </w:rPr>
        <w:t xml:space="preserve">     E</w:t>
      </w:r>
      <w:r>
        <w:rPr>
          <w:rFonts w:ascii="Times New Roman" w:hAnsi="Times New Roman" w:eastAsia="宋体" w:cs="Times New Roman"/>
          <w:color w:val="auto"/>
          <w:sz w:val="24"/>
          <w:vertAlign w:val="subscript"/>
        </w:rPr>
        <w:t>R</w:t>
      </w:r>
      <w:r>
        <w:rPr>
          <w:rFonts w:hint="eastAsia" w:ascii="Times New Roman" w:hAnsi="Times New Roman" w:eastAsia="宋体" w:cs="Times New Roman"/>
          <w:color w:val="auto"/>
          <w:sz w:val="24"/>
          <w:vertAlign w:val="subscript"/>
        </w:rPr>
        <w:t>i</w:t>
      </w:r>
      <w:r>
        <w:rPr>
          <w:rFonts w:hint="eastAsia" w:ascii="Times New Roman" w:hAnsi="Times New Roman" w:eastAsia="宋体" w:cs="Times New Roman"/>
          <w:color w:val="auto"/>
          <w:sz w:val="24"/>
        </w:rPr>
        <w:t>——道路扬尘源中Pmj平均排放系数[g</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（km·辆）</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w:t>
      </w:r>
    </w:p>
    <w:p w14:paraId="19F5BDDB">
      <w:pPr>
        <w:spacing w:line="360" w:lineRule="auto"/>
        <w:ind w:firstLine="1200" w:firstLineChars="500"/>
        <w:rPr>
          <w:rFonts w:ascii="Times New Roman" w:hAnsi="Times New Roman" w:eastAsia="宋体" w:cs="Times New Roman"/>
          <w:color w:val="auto"/>
          <w:sz w:val="24"/>
        </w:rPr>
      </w:pPr>
      <w:r>
        <w:rPr>
          <w:rFonts w:hint="eastAsia" w:ascii="Times New Roman" w:hAnsi="Times New Roman" w:eastAsia="宋体" w:cs="Times New Roman"/>
          <w:color w:val="auto"/>
          <w:sz w:val="24"/>
        </w:rPr>
        <w:t>L</w:t>
      </w:r>
      <w:r>
        <w:rPr>
          <w:rFonts w:ascii="Times New Roman" w:hAnsi="Times New Roman" w:eastAsia="宋体" w:cs="Times New Roman"/>
          <w:color w:val="auto"/>
          <w:sz w:val="24"/>
          <w:vertAlign w:val="subscript"/>
        </w:rPr>
        <w:t>R</w:t>
      </w:r>
      <w:r>
        <w:rPr>
          <w:rFonts w:hint="eastAsia" w:ascii="Times New Roman" w:hAnsi="Times New Roman" w:eastAsia="宋体" w:cs="Times New Roman"/>
          <w:color w:val="auto"/>
          <w:sz w:val="24"/>
        </w:rPr>
        <w:t>——道路长度（km）；</w:t>
      </w:r>
    </w:p>
    <w:p w14:paraId="366C61E8">
      <w:pPr>
        <w:spacing w:line="360" w:lineRule="auto"/>
        <w:ind w:firstLine="1200" w:firstLineChars="500"/>
        <w:rPr>
          <w:rFonts w:ascii="Times New Roman" w:hAnsi="Times New Roman" w:eastAsia="宋体" w:cs="Times New Roman"/>
          <w:color w:val="auto"/>
          <w:sz w:val="24"/>
        </w:rPr>
      </w:pPr>
      <w:r>
        <w:rPr>
          <w:rFonts w:hint="eastAsia" w:ascii="Times New Roman" w:hAnsi="Times New Roman" w:eastAsia="宋体" w:cs="Times New Roman"/>
          <w:color w:val="auto"/>
          <w:sz w:val="24"/>
        </w:rPr>
        <w:t>N</w:t>
      </w:r>
      <w:r>
        <w:rPr>
          <w:rFonts w:ascii="Times New Roman" w:hAnsi="Times New Roman" w:eastAsia="宋体" w:cs="Times New Roman"/>
          <w:color w:val="auto"/>
          <w:sz w:val="24"/>
          <w:vertAlign w:val="subscript"/>
        </w:rPr>
        <w:t>R</w:t>
      </w:r>
      <w:r>
        <w:rPr>
          <w:rFonts w:hint="eastAsia" w:ascii="Times New Roman" w:hAnsi="Times New Roman" w:eastAsia="宋体" w:cs="Times New Roman"/>
          <w:color w:val="auto"/>
          <w:sz w:val="24"/>
        </w:rPr>
        <w:t>——一定时期内车辆在该段道路上的平均车流量（辆/a）；</w:t>
      </w:r>
    </w:p>
    <w:p w14:paraId="3799A729">
      <w:pPr>
        <w:spacing w:line="360" w:lineRule="auto"/>
        <w:ind w:firstLine="1200" w:firstLineChars="500"/>
        <w:rPr>
          <w:rFonts w:ascii="Times New Roman" w:hAnsi="Times New Roman" w:eastAsia="宋体" w:cs="Times New Roman"/>
          <w:color w:val="auto"/>
          <w:sz w:val="24"/>
        </w:rPr>
      </w:pPr>
      <w:r>
        <w:rPr>
          <w:rFonts w:hint="eastAsia" w:ascii="Times New Roman" w:hAnsi="Times New Roman" w:eastAsia="宋体" w:cs="Times New Roman"/>
          <w:color w:val="auto"/>
          <w:sz w:val="24"/>
        </w:rPr>
        <w:t>n</w:t>
      </w:r>
      <w:r>
        <w:rPr>
          <w:rFonts w:hint="eastAsia" w:ascii="Times New Roman" w:hAnsi="Times New Roman" w:eastAsia="宋体" w:cs="Times New Roman"/>
          <w:color w:val="auto"/>
          <w:sz w:val="24"/>
          <w:vertAlign w:val="subscript"/>
        </w:rPr>
        <w:t>r</w:t>
      </w:r>
      <w:r>
        <w:rPr>
          <w:rFonts w:hint="eastAsia" w:ascii="Times New Roman" w:hAnsi="Times New Roman" w:eastAsia="宋体" w:cs="Times New Roman"/>
          <w:color w:val="auto"/>
          <w:sz w:val="24"/>
        </w:rPr>
        <w:t>——不起尘天数，通过实测（统计降水造成的路面潮湿的天数）得到；</w:t>
      </w:r>
    </w:p>
    <w:p w14:paraId="6FF2BE12">
      <w:pPr>
        <w:spacing w:line="360" w:lineRule="auto"/>
        <w:jc w:val="center"/>
        <w:rPr>
          <w:rFonts w:ascii="Times New Roman" w:hAnsi="Times New Roman" w:eastAsia="宋体" w:cs="Times New Roman"/>
          <w:color w:val="auto"/>
          <w:sz w:val="24"/>
        </w:rPr>
      </w:pPr>
      <w:r>
        <w:rPr>
          <w:rFonts w:ascii="Times New Roman" w:hAnsi="Times New Roman" w:eastAsia="宋体" w:cs="Times New Roman"/>
          <w:color w:val="auto"/>
          <w:sz w:val="24"/>
        </w:rPr>
        <w:t>E</w:t>
      </w:r>
      <w:r>
        <w:rPr>
          <w:rFonts w:ascii="Times New Roman" w:hAnsi="Times New Roman" w:eastAsia="宋体" w:cs="Times New Roman"/>
          <w:color w:val="auto"/>
          <w:sz w:val="24"/>
          <w:vertAlign w:val="subscript"/>
        </w:rPr>
        <w:t>pi</w:t>
      </w:r>
      <w:r>
        <w:rPr>
          <w:rFonts w:ascii="Times New Roman" w:hAnsi="Times New Roman" w:eastAsia="宋体" w:cs="Times New Roman"/>
          <w:color w:val="auto"/>
          <w:sz w:val="24"/>
        </w:rPr>
        <w:t>=</w:t>
      </w:r>
      <w:r>
        <w:rPr>
          <w:rFonts w:ascii="Times New Roman" w:hAnsi="Times New Roman" w:eastAsia="宋体" w:cs="Times New Roman"/>
          <w:i/>
          <w:iCs/>
          <w:color w:val="auto"/>
          <w:sz w:val="24"/>
        </w:rPr>
        <w:t>k</w:t>
      </w:r>
      <w:r>
        <w:rPr>
          <w:rFonts w:ascii="Times New Roman" w:hAnsi="Times New Roman" w:eastAsia="宋体" w:cs="Times New Roman"/>
          <w:i/>
          <w:iCs/>
          <w:color w:val="auto"/>
          <w:sz w:val="24"/>
          <w:vertAlign w:val="subscript"/>
        </w:rPr>
        <w:t>i</w:t>
      </w:r>
      <w:r>
        <w:rPr>
          <w:rFonts w:ascii="Times New Roman" w:hAnsi="Times New Roman" w:eastAsia="宋体" w:cs="Times New Roman"/>
          <w:color w:val="auto"/>
          <w:sz w:val="24"/>
        </w:rPr>
        <w:t>（</w:t>
      </w:r>
      <w:r>
        <w:rPr>
          <w:rFonts w:ascii="Times New Roman" w:hAnsi="Times New Roman" w:eastAsia="宋体" w:cs="Times New Roman"/>
          <w:i/>
          <w:iCs/>
          <w:color w:val="auto"/>
          <w:sz w:val="24"/>
        </w:rPr>
        <w:t>sL</w:t>
      </w:r>
      <w:r>
        <w:rPr>
          <w:rFonts w:ascii="Times New Roman" w:hAnsi="Times New Roman" w:eastAsia="宋体" w:cs="Times New Roman"/>
          <w:color w:val="auto"/>
          <w:sz w:val="24"/>
        </w:rPr>
        <w:t>）</w:t>
      </w:r>
      <w:r>
        <w:rPr>
          <w:rFonts w:ascii="Times New Roman" w:hAnsi="Times New Roman" w:eastAsia="宋体" w:cs="Times New Roman"/>
          <w:color w:val="auto"/>
          <w:sz w:val="24"/>
          <w:vertAlign w:val="superscript"/>
        </w:rPr>
        <w:t>0.91</w:t>
      </w:r>
      <w:r>
        <w:rPr>
          <w:rFonts w:ascii="Times New Roman" w:hAnsi="Times New Roman" w:eastAsia="宋体" w:cs="Times New Roman"/>
          <w:color w:val="auto"/>
          <w:sz w:val="24"/>
        </w:rPr>
        <w:t>（</w:t>
      </w:r>
      <w:r>
        <w:rPr>
          <w:rFonts w:ascii="Times New Roman" w:hAnsi="Times New Roman" w:eastAsia="宋体" w:cs="Times New Roman"/>
          <w:i/>
          <w:iCs/>
          <w:color w:val="auto"/>
          <w:sz w:val="24"/>
        </w:rPr>
        <w:t>W</w:t>
      </w:r>
      <w:r>
        <w:rPr>
          <w:rFonts w:ascii="Times New Roman" w:hAnsi="Times New Roman" w:eastAsia="宋体" w:cs="Times New Roman"/>
          <w:color w:val="auto"/>
          <w:sz w:val="24"/>
        </w:rPr>
        <w:t>）</w:t>
      </w:r>
      <w:r>
        <w:rPr>
          <w:rFonts w:ascii="Times New Roman" w:hAnsi="Times New Roman" w:eastAsia="宋体" w:cs="Times New Roman"/>
          <w:color w:val="auto"/>
          <w:sz w:val="24"/>
          <w:vertAlign w:val="superscript"/>
        </w:rPr>
        <w:t>1.02</w:t>
      </w:r>
      <w:r>
        <w:rPr>
          <w:rFonts w:ascii="Times New Roman" w:hAnsi="Times New Roman" w:eastAsia="宋体" w:cs="Times New Roman"/>
          <w:color w:val="auto"/>
          <w:sz w:val="24"/>
        </w:rPr>
        <w:t>（1-η）</w:t>
      </w:r>
    </w:p>
    <w:p w14:paraId="606E32B7">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式中：E</w:t>
      </w:r>
      <w:r>
        <w:rPr>
          <w:rFonts w:ascii="Times New Roman" w:hAnsi="Times New Roman" w:eastAsia="宋体" w:cs="Times New Roman"/>
          <w:color w:val="auto"/>
          <w:sz w:val="24"/>
        </w:rPr>
        <w:t>p</w:t>
      </w:r>
      <w:r>
        <w:rPr>
          <w:rFonts w:hint="eastAsia" w:ascii="Times New Roman" w:hAnsi="Times New Roman" w:eastAsia="宋体" w:cs="Times New Roman"/>
          <w:color w:val="auto"/>
          <w:sz w:val="24"/>
        </w:rPr>
        <w:t>i——铺装道路的扬尘中Pmi排放系数（g</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km）；</w:t>
      </w:r>
    </w:p>
    <w:p w14:paraId="7710364A">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 xml:space="preserve"> </w:t>
      </w:r>
      <w:r>
        <w:rPr>
          <w:rFonts w:ascii="Times New Roman" w:hAnsi="Times New Roman" w:eastAsia="宋体" w:cs="Times New Roman"/>
          <w:color w:val="auto"/>
          <w:sz w:val="24"/>
        </w:rPr>
        <w:t xml:space="preserve">     </w:t>
      </w:r>
      <w:r>
        <w:rPr>
          <w:rFonts w:hint="eastAsia" w:ascii="Times New Roman" w:hAnsi="Times New Roman" w:eastAsia="宋体" w:cs="Times New Roman"/>
          <w:color w:val="auto"/>
          <w:sz w:val="24"/>
        </w:rPr>
        <w:t>kj——扬尘中Pmi的粒度乘数，参考值见表3</w:t>
      </w:r>
      <w:r>
        <w:rPr>
          <w:rFonts w:ascii="Times New Roman" w:hAnsi="Times New Roman" w:eastAsia="宋体" w:cs="Times New Roman"/>
          <w:color w:val="auto"/>
          <w:sz w:val="24"/>
        </w:rPr>
        <w:t>.3-8</w:t>
      </w:r>
      <w:r>
        <w:rPr>
          <w:rFonts w:hint="eastAsia" w:ascii="Times New Roman" w:hAnsi="Times New Roman" w:eastAsia="宋体" w:cs="Times New Roman"/>
          <w:color w:val="auto"/>
          <w:sz w:val="24"/>
        </w:rPr>
        <w:t>。</w:t>
      </w:r>
    </w:p>
    <w:p w14:paraId="188712E9">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 xml:space="preserve"> </w:t>
      </w:r>
      <w:r>
        <w:rPr>
          <w:rFonts w:ascii="Times New Roman" w:hAnsi="Times New Roman" w:eastAsia="宋体" w:cs="Times New Roman"/>
          <w:color w:val="auto"/>
          <w:sz w:val="24"/>
        </w:rPr>
        <w:t xml:space="preserve">     </w:t>
      </w:r>
      <w:r>
        <w:rPr>
          <w:rFonts w:hint="eastAsia" w:ascii="Times New Roman" w:hAnsi="Times New Roman" w:eastAsia="宋体" w:cs="Times New Roman"/>
          <w:color w:val="auto"/>
          <w:sz w:val="24"/>
        </w:rPr>
        <w:t>s</w:t>
      </w:r>
      <w:r>
        <w:rPr>
          <w:rFonts w:ascii="Times New Roman" w:hAnsi="Times New Roman" w:eastAsia="宋体" w:cs="Times New Roman"/>
          <w:color w:val="auto"/>
          <w:sz w:val="24"/>
        </w:rPr>
        <w:t>L</w:t>
      </w:r>
      <w:r>
        <w:rPr>
          <w:rFonts w:hint="eastAsia" w:ascii="Times New Roman" w:hAnsi="Times New Roman" w:eastAsia="宋体" w:cs="Times New Roman"/>
          <w:color w:val="auto"/>
          <w:sz w:val="24"/>
        </w:rPr>
        <w:t>——道路积尘负荷（g</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m</w:t>
      </w:r>
      <w:r>
        <w:rPr>
          <w:rFonts w:ascii="Times New Roman" w:hAnsi="Times New Roman" w:eastAsia="宋体" w:cs="Times New Roman"/>
          <w:color w:val="auto"/>
          <w:sz w:val="24"/>
          <w:vertAlign w:val="superscript"/>
        </w:rPr>
        <w:t>2</w:t>
      </w:r>
      <w:r>
        <w:rPr>
          <w:rFonts w:hint="eastAsia" w:ascii="Times New Roman" w:hAnsi="Times New Roman" w:eastAsia="宋体" w:cs="Times New Roman"/>
          <w:color w:val="auto"/>
          <w:sz w:val="24"/>
        </w:rPr>
        <w:t>）；</w:t>
      </w:r>
    </w:p>
    <w:p w14:paraId="59C740D9">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 xml:space="preserve"> </w:t>
      </w:r>
      <w:r>
        <w:rPr>
          <w:rFonts w:ascii="Times New Roman" w:hAnsi="Times New Roman" w:eastAsia="宋体" w:cs="Times New Roman"/>
          <w:color w:val="auto"/>
          <w:sz w:val="24"/>
        </w:rPr>
        <w:t xml:space="preserve">     W</w:t>
      </w:r>
      <w:r>
        <w:rPr>
          <w:rFonts w:hint="eastAsia" w:ascii="Times New Roman" w:hAnsi="Times New Roman" w:eastAsia="宋体" w:cs="Times New Roman"/>
          <w:color w:val="auto"/>
          <w:sz w:val="24"/>
        </w:rPr>
        <w:t>——平均车重（t）；</w:t>
      </w:r>
    </w:p>
    <w:p w14:paraId="6D911444">
      <w:pPr>
        <w:spacing w:line="360" w:lineRule="auto"/>
        <w:ind w:firstLine="1200" w:firstLineChars="500"/>
        <w:rPr>
          <w:rFonts w:ascii="Times New Roman" w:hAnsi="Times New Roman" w:eastAsia="宋体" w:cs="Times New Roman"/>
          <w:color w:val="auto"/>
          <w:sz w:val="24"/>
        </w:rPr>
      </w:pPr>
      <w:r>
        <w:rPr>
          <w:rFonts w:ascii="Times New Roman" w:hAnsi="Times New Roman" w:eastAsia="宋体" w:cs="Times New Roman"/>
          <w:color w:val="auto"/>
          <w:sz w:val="24"/>
        </w:rPr>
        <w:t>η</w:t>
      </w:r>
      <w:r>
        <w:rPr>
          <w:rFonts w:hint="eastAsia" w:ascii="Times New Roman" w:hAnsi="Times New Roman" w:eastAsia="宋体" w:cs="Times New Roman"/>
          <w:color w:val="auto"/>
          <w:sz w:val="24"/>
        </w:rPr>
        <w:t>——污染控制技术对扬尘的控制效率（%），推荐值见表3</w:t>
      </w:r>
      <w:r>
        <w:rPr>
          <w:rFonts w:ascii="Times New Roman" w:hAnsi="Times New Roman" w:eastAsia="宋体" w:cs="Times New Roman"/>
          <w:color w:val="auto"/>
          <w:sz w:val="24"/>
        </w:rPr>
        <w:t>.3</w:t>
      </w: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9</w:t>
      </w:r>
      <w:r>
        <w:rPr>
          <w:rFonts w:hint="eastAsia" w:ascii="Times New Roman" w:hAnsi="Times New Roman" w:eastAsia="宋体" w:cs="Times New Roman"/>
          <w:color w:val="auto"/>
          <w:sz w:val="24"/>
        </w:rPr>
        <w:t>。</w:t>
      </w:r>
    </w:p>
    <w:p w14:paraId="629DC854">
      <w:pPr>
        <w:spacing w:line="400" w:lineRule="exact"/>
        <w:jc w:val="center"/>
        <w:rPr>
          <w:rFonts w:ascii="Times New Roman" w:hAnsi="Times New Roman" w:eastAsia="黑体" w:cs="Times New Roman"/>
          <w:color w:val="auto"/>
          <w:sz w:val="24"/>
        </w:rPr>
      </w:pPr>
      <w:r>
        <w:rPr>
          <w:rFonts w:ascii="Times New Roman" w:hAnsi="Times New Roman" w:eastAsia="黑体" w:cs="Times New Roman"/>
          <w:color w:val="auto"/>
          <w:sz w:val="24"/>
        </w:rPr>
        <w:t>表3.</w:t>
      </w:r>
      <w:r>
        <w:rPr>
          <w:rFonts w:hint="eastAsia" w:ascii="Times New Roman" w:hAnsi="Times New Roman" w:eastAsia="黑体" w:cs="Times New Roman"/>
          <w:color w:val="auto"/>
          <w:sz w:val="24"/>
        </w:rPr>
        <w:t>3-</w:t>
      </w:r>
      <w:r>
        <w:rPr>
          <w:rFonts w:ascii="Times New Roman" w:hAnsi="Times New Roman" w:eastAsia="黑体" w:cs="Times New Roman"/>
          <w:color w:val="auto"/>
          <w:sz w:val="24"/>
        </w:rPr>
        <w:t>8  铺装道路产生颗粒物的粒度乘数</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21"/>
        <w:gridCol w:w="2322"/>
        <w:gridCol w:w="2322"/>
        <w:gridCol w:w="2322"/>
      </w:tblGrid>
      <w:tr w14:paraId="286D60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321" w:type="dxa"/>
            <w:noWrap w:val="0"/>
            <w:vAlign w:val="center"/>
          </w:tcPr>
          <w:p w14:paraId="4D2EF3A9">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粒径</w:t>
            </w:r>
          </w:p>
        </w:tc>
        <w:tc>
          <w:tcPr>
            <w:tcW w:w="2322" w:type="dxa"/>
            <w:noWrap w:val="0"/>
            <w:vAlign w:val="center"/>
          </w:tcPr>
          <w:p w14:paraId="43196817">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TSP</w:t>
            </w:r>
          </w:p>
        </w:tc>
        <w:tc>
          <w:tcPr>
            <w:tcW w:w="2322" w:type="dxa"/>
            <w:noWrap w:val="0"/>
            <w:vAlign w:val="center"/>
          </w:tcPr>
          <w:p w14:paraId="5AEA126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PM</w:t>
            </w:r>
            <w:r>
              <w:rPr>
                <w:rFonts w:hint="default" w:ascii="Times New Roman" w:hAnsi="Times New Roman" w:eastAsia="宋体" w:cs="Times New Roman"/>
                <w:b/>
                <w:bCs/>
                <w:color w:val="auto"/>
                <w:vertAlign w:val="subscript"/>
              </w:rPr>
              <w:t>10</w:t>
            </w:r>
          </w:p>
        </w:tc>
        <w:tc>
          <w:tcPr>
            <w:tcW w:w="2322" w:type="dxa"/>
            <w:noWrap w:val="0"/>
            <w:vAlign w:val="center"/>
          </w:tcPr>
          <w:p w14:paraId="2CEBD6B1">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PM</w:t>
            </w:r>
            <w:r>
              <w:rPr>
                <w:rFonts w:hint="default" w:ascii="Times New Roman" w:hAnsi="Times New Roman" w:eastAsia="宋体" w:cs="Times New Roman"/>
                <w:b/>
                <w:bCs/>
                <w:color w:val="auto"/>
                <w:vertAlign w:val="subscript"/>
              </w:rPr>
              <w:t>2.5</w:t>
            </w:r>
          </w:p>
        </w:tc>
      </w:tr>
      <w:tr w14:paraId="49BE5F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321" w:type="dxa"/>
            <w:noWrap w:val="0"/>
            <w:vAlign w:val="center"/>
          </w:tcPr>
          <w:p w14:paraId="39D5A89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粒度乘数（g/km）</w:t>
            </w:r>
          </w:p>
        </w:tc>
        <w:tc>
          <w:tcPr>
            <w:tcW w:w="2322" w:type="dxa"/>
            <w:noWrap w:val="0"/>
            <w:vAlign w:val="center"/>
          </w:tcPr>
          <w:p w14:paraId="0D55C46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3.23</w:t>
            </w:r>
          </w:p>
        </w:tc>
        <w:tc>
          <w:tcPr>
            <w:tcW w:w="2322" w:type="dxa"/>
            <w:noWrap w:val="0"/>
            <w:vAlign w:val="center"/>
          </w:tcPr>
          <w:p w14:paraId="718E6F2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0.62</w:t>
            </w:r>
          </w:p>
        </w:tc>
        <w:tc>
          <w:tcPr>
            <w:tcW w:w="2322" w:type="dxa"/>
            <w:noWrap w:val="0"/>
            <w:vAlign w:val="center"/>
          </w:tcPr>
          <w:p w14:paraId="176BA4E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0.15</w:t>
            </w:r>
          </w:p>
        </w:tc>
      </w:tr>
    </w:tbl>
    <w:p w14:paraId="5CDDE6A3">
      <w:pPr>
        <w:spacing w:line="400" w:lineRule="exact"/>
        <w:jc w:val="center"/>
        <w:rPr>
          <w:rFonts w:ascii="Times New Roman" w:hAnsi="Times New Roman" w:eastAsia="黑体" w:cs="Times New Roman"/>
          <w:color w:val="auto"/>
          <w:sz w:val="24"/>
        </w:rPr>
      </w:pPr>
      <w:r>
        <w:rPr>
          <w:rFonts w:ascii="Times New Roman" w:hAnsi="Times New Roman" w:eastAsia="黑体" w:cs="Times New Roman"/>
          <w:color w:val="auto"/>
          <w:sz w:val="24"/>
        </w:rPr>
        <w:t>表3.</w:t>
      </w:r>
      <w:r>
        <w:rPr>
          <w:rFonts w:hint="eastAsia" w:ascii="Times New Roman" w:hAnsi="Times New Roman" w:eastAsia="黑体" w:cs="Times New Roman"/>
          <w:color w:val="auto"/>
          <w:sz w:val="24"/>
        </w:rPr>
        <w:t>3-</w:t>
      </w:r>
      <w:r>
        <w:rPr>
          <w:rFonts w:ascii="Times New Roman" w:hAnsi="Times New Roman" w:eastAsia="黑体" w:cs="Times New Roman"/>
          <w:color w:val="auto"/>
          <w:sz w:val="24"/>
        </w:rPr>
        <w:t>9  铺装道路</w:t>
      </w:r>
      <w:r>
        <w:rPr>
          <w:rFonts w:hint="eastAsia" w:ascii="Times New Roman" w:hAnsi="Times New Roman" w:eastAsia="黑体" w:cs="Times New Roman"/>
          <w:color w:val="auto"/>
          <w:sz w:val="24"/>
        </w:rPr>
        <w:t>扬尘源控制措施的控制效率</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321"/>
        <w:gridCol w:w="2322"/>
        <w:gridCol w:w="2322"/>
        <w:gridCol w:w="2322"/>
      </w:tblGrid>
      <w:tr w14:paraId="7E6888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321" w:type="dxa"/>
            <w:noWrap w:val="0"/>
            <w:vAlign w:val="center"/>
          </w:tcPr>
          <w:p w14:paraId="7A6F5EC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控制措施</w:t>
            </w:r>
          </w:p>
        </w:tc>
        <w:tc>
          <w:tcPr>
            <w:tcW w:w="2322" w:type="dxa"/>
            <w:noWrap w:val="0"/>
            <w:vAlign w:val="center"/>
          </w:tcPr>
          <w:p w14:paraId="372BB86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TSP控制效率</w:t>
            </w:r>
          </w:p>
        </w:tc>
        <w:tc>
          <w:tcPr>
            <w:tcW w:w="2322" w:type="dxa"/>
            <w:noWrap w:val="0"/>
            <w:vAlign w:val="center"/>
          </w:tcPr>
          <w:p w14:paraId="70365F0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PM</w:t>
            </w:r>
            <w:r>
              <w:rPr>
                <w:rFonts w:hint="default" w:ascii="Times New Roman" w:hAnsi="Times New Roman" w:eastAsia="宋体" w:cs="Times New Roman"/>
                <w:color w:val="auto"/>
                <w:vertAlign w:val="subscript"/>
              </w:rPr>
              <w:t>10</w:t>
            </w:r>
            <w:r>
              <w:rPr>
                <w:rFonts w:hint="default" w:ascii="Times New Roman" w:hAnsi="Times New Roman" w:eastAsia="宋体" w:cs="Times New Roman"/>
                <w:color w:val="auto"/>
              </w:rPr>
              <w:t>控制效率</w:t>
            </w:r>
          </w:p>
        </w:tc>
        <w:tc>
          <w:tcPr>
            <w:tcW w:w="2322" w:type="dxa"/>
            <w:noWrap w:val="0"/>
            <w:vAlign w:val="center"/>
          </w:tcPr>
          <w:p w14:paraId="4248823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PM</w:t>
            </w:r>
            <w:r>
              <w:rPr>
                <w:rFonts w:hint="default" w:ascii="Times New Roman" w:hAnsi="Times New Roman" w:eastAsia="宋体" w:cs="Times New Roman"/>
                <w:color w:val="auto"/>
                <w:vertAlign w:val="subscript"/>
              </w:rPr>
              <w:t>2.5</w:t>
            </w:r>
            <w:r>
              <w:rPr>
                <w:rFonts w:hint="default" w:ascii="Times New Roman" w:hAnsi="Times New Roman" w:eastAsia="宋体" w:cs="Times New Roman"/>
                <w:color w:val="auto"/>
              </w:rPr>
              <w:t>控制效率</w:t>
            </w:r>
          </w:p>
        </w:tc>
      </w:tr>
      <w:tr w14:paraId="5D625B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321" w:type="dxa"/>
            <w:noWrap w:val="0"/>
            <w:vAlign w:val="center"/>
          </w:tcPr>
          <w:p w14:paraId="41FE7E1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洒水（2次/d）</w:t>
            </w:r>
          </w:p>
        </w:tc>
        <w:tc>
          <w:tcPr>
            <w:tcW w:w="2322" w:type="dxa"/>
            <w:noWrap w:val="0"/>
            <w:vAlign w:val="center"/>
          </w:tcPr>
          <w:p w14:paraId="2604F41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66%</w:t>
            </w:r>
          </w:p>
        </w:tc>
        <w:tc>
          <w:tcPr>
            <w:tcW w:w="2322" w:type="dxa"/>
            <w:noWrap w:val="0"/>
            <w:vAlign w:val="center"/>
          </w:tcPr>
          <w:p w14:paraId="28842DA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55%</w:t>
            </w:r>
          </w:p>
        </w:tc>
        <w:tc>
          <w:tcPr>
            <w:tcW w:w="2322" w:type="dxa"/>
            <w:noWrap w:val="0"/>
            <w:vAlign w:val="center"/>
          </w:tcPr>
          <w:p w14:paraId="7319DA9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46%</w:t>
            </w:r>
          </w:p>
        </w:tc>
      </w:tr>
    </w:tbl>
    <w:p w14:paraId="4D886697">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按车辆在码头内平均行驶距离0.5km计算，本项目采取洒水措施前后道路扬尘量分别0.0254kg/km·辆、0.0048kg/km辆，故洒水前后码头道路扬尘产生量分别为0.762kg/d和0.144kg/d；全年扬尘产生及排放量分别为0.160t/a和0.030t/a。</w:t>
      </w:r>
    </w:p>
    <w:p w14:paraId="6C2316C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（3）散货装卸扬尘</w:t>
      </w:r>
    </w:p>
    <w:p w14:paraId="6EDD3084">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根据</w:t>
      </w:r>
      <w:r>
        <w:rPr>
          <w:rFonts w:ascii="Times New Roman" w:hAnsi="Times New Roman" w:eastAsia="宋体" w:cs="Times New Roman"/>
          <w:color w:val="auto"/>
          <w:sz w:val="24"/>
        </w:rPr>
        <w:t>《排污许可证申请与核发技术规范</w:t>
      </w:r>
      <w:r>
        <w:rPr>
          <w:rFonts w:hint="eastAsia" w:ascii="Times New Roman" w:hAnsi="Times New Roman" w:eastAsia="宋体" w:cs="Times New Roman"/>
          <w:color w:val="auto"/>
          <w:sz w:val="24"/>
        </w:rPr>
        <w:t xml:space="preserve"> 码头</w:t>
      </w:r>
      <w:r>
        <w:rPr>
          <w:rFonts w:ascii="Times New Roman" w:hAnsi="Times New Roman" w:eastAsia="宋体" w:cs="Times New Roman"/>
          <w:color w:val="auto"/>
          <w:sz w:val="24"/>
        </w:rPr>
        <w:t>》（HJ1107-2020）</w:t>
      </w:r>
      <w:r>
        <w:rPr>
          <w:rFonts w:hint="eastAsia" w:ascii="Times New Roman" w:hAnsi="Times New Roman" w:eastAsia="宋体" w:cs="Times New Roman"/>
          <w:color w:val="auto"/>
          <w:sz w:val="24"/>
        </w:rPr>
        <w:t>，码头排污单位的颗粒物无组织实际排放量为泊位、堆场及输运系统生产单元颗粒物无组织实际排放量之和，核算方法见</w:t>
      </w:r>
      <w:r>
        <w:rPr>
          <w:rFonts w:ascii="Times New Roman" w:hAnsi="Times New Roman" w:eastAsia="宋体" w:cs="Times New Roman"/>
          <w:color w:val="auto"/>
          <w:sz w:val="24"/>
        </w:rPr>
        <w:t>公式（1）：</w:t>
      </w:r>
    </w:p>
    <w:p w14:paraId="4750E48C">
      <w:pPr>
        <w:spacing w:line="360" w:lineRule="auto"/>
        <w:jc w:val="center"/>
        <w:rPr>
          <w:rFonts w:ascii="Times New Roman" w:hAnsi="Times New Roman" w:eastAsia="宋体" w:cs="Times New Roman"/>
          <w:color w:val="auto"/>
          <w:sz w:val="24"/>
        </w:rPr>
      </w:pPr>
      <w:r>
        <w:rPr>
          <w:rFonts w:ascii="Times New Roman" w:hAnsi="Times New Roman" w:eastAsia="宋体" w:cs="Times New Roman"/>
          <w:color w:val="auto"/>
          <w:position w:val="-30"/>
          <w:sz w:val="24"/>
        </w:rPr>
        <w:object>
          <v:shape id="_x0000_i1030" o:spt="75" type="#_x0000_t75" style="height:38.7pt;width:254.15pt;" o:ole="t" filled="f" o:preferrelative="t" stroked="f" coordsize="21600,21600">
            <v:path/>
            <v:fill on="f" alignshape="1" focussize="0,0"/>
            <v:stroke on="f"/>
            <v:imagedata r:id="rId68" o:title=""/>
            <o:lock v:ext="edit" aspectratio="t"/>
            <w10:wrap type="none"/>
            <w10:anchorlock/>
          </v:shape>
          <o:OLEObject Type="Embed" ProgID="Equation.3" ShapeID="_x0000_i1030" DrawAspect="Content" ObjectID="_1468075730" r:id="rId67">
            <o:LockedField>false</o:LockedField>
          </o:OLEObject>
        </w:object>
      </w:r>
      <w:r>
        <w:rPr>
          <w:rFonts w:ascii="Times New Roman" w:hAnsi="Times New Roman" w:eastAsia="宋体" w:cs="Times New Roman"/>
          <w:color w:val="auto"/>
          <w:sz w:val="24"/>
        </w:rPr>
        <w:t xml:space="preserve">   （1）</w:t>
      </w:r>
    </w:p>
    <w:p w14:paraId="40940FE7">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式中：</w:t>
      </w:r>
    </w:p>
    <w:p w14:paraId="19140562">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i/>
          <w:color w:val="auto"/>
          <w:sz w:val="24"/>
        </w:rPr>
        <w:t>E</w:t>
      </w:r>
      <w:r>
        <w:rPr>
          <w:rFonts w:ascii="Times New Roman" w:hAnsi="Times New Roman" w:eastAsia="宋体" w:cs="Times New Roman"/>
          <w:i/>
          <w:color w:val="auto"/>
          <w:sz w:val="24"/>
          <w:vertAlign w:val="subscript"/>
        </w:rPr>
        <w:t>年排放量</w:t>
      </w:r>
      <w:r>
        <w:rPr>
          <w:rFonts w:ascii="Times New Roman" w:hAnsi="Times New Roman" w:eastAsia="宋体" w:cs="Times New Roman"/>
          <w:color w:val="auto"/>
          <w:sz w:val="24"/>
        </w:rPr>
        <w:t>为码头排污单位的颗粒物无组织</w:t>
      </w:r>
      <w:r>
        <w:rPr>
          <w:rFonts w:hint="eastAsia" w:ascii="Times New Roman" w:hAnsi="Times New Roman" w:eastAsia="宋体" w:cs="Times New Roman"/>
          <w:color w:val="auto"/>
          <w:sz w:val="24"/>
        </w:rPr>
        <w:t>实际</w:t>
      </w:r>
      <w:r>
        <w:rPr>
          <w:rFonts w:ascii="Times New Roman" w:hAnsi="Times New Roman" w:eastAsia="宋体" w:cs="Times New Roman"/>
          <w:color w:val="auto"/>
          <w:sz w:val="24"/>
        </w:rPr>
        <w:t>排放量，t；</w:t>
      </w:r>
    </w:p>
    <w:p w14:paraId="6073AD38">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i/>
          <w:color w:val="auto"/>
          <w:sz w:val="24"/>
        </w:rPr>
        <w:t>E</w:t>
      </w:r>
      <w:r>
        <w:rPr>
          <w:rFonts w:ascii="Times New Roman" w:hAnsi="Times New Roman" w:eastAsia="宋体" w:cs="Times New Roman"/>
          <w:i/>
          <w:color w:val="auto"/>
          <w:sz w:val="24"/>
          <w:vertAlign w:val="subscript"/>
        </w:rPr>
        <w:t>泊位i</w:t>
      </w:r>
      <w:r>
        <w:rPr>
          <w:rFonts w:ascii="Times New Roman" w:hAnsi="Times New Roman" w:eastAsia="宋体" w:cs="Times New Roman"/>
          <w:color w:val="auto"/>
          <w:sz w:val="24"/>
        </w:rPr>
        <w:t>为第</w:t>
      </w:r>
      <w:r>
        <w:rPr>
          <w:rFonts w:ascii="Times New Roman" w:hAnsi="Times New Roman" w:eastAsia="宋体" w:cs="Times New Roman"/>
          <w:i/>
          <w:color w:val="auto"/>
          <w:sz w:val="24"/>
        </w:rPr>
        <w:t>i</w:t>
      </w:r>
      <w:r>
        <w:rPr>
          <w:rFonts w:ascii="Times New Roman" w:hAnsi="Times New Roman" w:eastAsia="宋体" w:cs="Times New Roman"/>
          <w:color w:val="auto"/>
          <w:sz w:val="24"/>
        </w:rPr>
        <w:t>个泊位生产单元的颗粒物无组织</w:t>
      </w:r>
      <w:r>
        <w:rPr>
          <w:rFonts w:hint="eastAsia" w:ascii="Times New Roman" w:hAnsi="Times New Roman" w:eastAsia="宋体" w:cs="Times New Roman"/>
          <w:color w:val="auto"/>
          <w:sz w:val="24"/>
        </w:rPr>
        <w:t>实际</w:t>
      </w:r>
      <w:r>
        <w:rPr>
          <w:rFonts w:ascii="Times New Roman" w:hAnsi="Times New Roman" w:eastAsia="宋体" w:cs="Times New Roman"/>
          <w:color w:val="auto"/>
          <w:sz w:val="24"/>
        </w:rPr>
        <w:t>排放量，t；</w:t>
      </w:r>
    </w:p>
    <w:p w14:paraId="5B4FCF4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i/>
          <w:color w:val="auto"/>
          <w:sz w:val="24"/>
        </w:rPr>
        <w:t>E</w:t>
      </w:r>
      <w:r>
        <w:rPr>
          <w:rFonts w:ascii="Times New Roman" w:hAnsi="Times New Roman" w:eastAsia="宋体" w:cs="Times New Roman"/>
          <w:i/>
          <w:color w:val="auto"/>
          <w:sz w:val="24"/>
          <w:vertAlign w:val="subscript"/>
        </w:rPr>
        <w:t>堆场j</w:t>
      </w:r>
      <w:r>
        <w:rPr>
          <w:rFonts w:ascii="Times New Roman" w:hAnsi="Times New Roman" w:eastAsia="宋体" w:cs="Times New Roman"/>
          <w:color w:val="auto"/>
          <w:sz w:val="24"/>
        </w:rPr>
        <w:t>为第</w:t>
      </w:r>
      <w:r>
        <w:rPr>
          <w:rFonts w:ascii="Times New Roman" w:hAnsi="Times New Roman" w:eastAsia="宋体" w:cs="Times New Roman"/>
          <w:i/>
          <w:color w:val="auto"/>
          <w:sz w:val="24"/>
        </w:rPr>
        <w:t>j</w:t>
      </w:r>
      <w:r>
        <w:rPr>
          <w:rFonts w:ascii="Times New Roman" w:hAnsi="Times New Roman" w:eastAsia="宋体" w:cs="Times New Roman"/>
          <w:color w:val="auto"/>
          <w:sz w:val="24"/>
        </w:rPr>
        <w:t>个堆场生产单元的颗粒物无组织</w:t>
      </w:r>
      <w:r>
        <w:rPr>
          <w:rFonts w:hint="eastAsia" w:ascii="Times New Roman" w:hAnsi="Times New Roman" w:eastAsia="宋体" w:cs="Times New Roman"/>
          <w:color w:val="auto"/>
          <w:sz w:val="24"/>
        </w:rPr>
        <w:t>实际</w:t>
      </w:r>
      <w:r>
        <w:rPr>
          <w:rFonts w:ascii="Times New Roman" w:hAnsi="Times New Roman" w:eastAsia="宋体" w:cs="Times New Roman"/>
          <w:color w:val="auto"/>
          <w:sz w:val="24"/>
        </w:rPr>
        <w:t>排放量，t；</w:t>
      </w:r>
    </w:p>
    <w:p w14:paraId="747BB1A8">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i/>
          <w:color w:val="auto"/>
          <w:sz w:val="24"/>
        </w:rPr>
        <w:t>E</w:t>
      </w:r>
      <w:r>
        <w:rPr>
          <w:rFonts w:ascii="Times New Roman" w:hAnsi="Times New Roman" w:eastAsia="宋体" w:cs="Times New Roman"/>
          <w:i/>
          <w:color w:val="auto"/>
          <w:sz w:val="24"/>
          <w:vertAlign w:val="subscript"/>
        </w:rPr>
        <w:t>输运系统k</w:t>
      </w:r>
      <w:r>
        <w:rPr>
          <w:rFonts w:ascii="Times New Roman" w:hAnsi="Times New Roman" w:eastAsia="宋体" w:cs="Times New Roman"/>
          <w:color w:val="auto"/>
          <w:sz w:val="24"/>
        </w:rPr>
        <w:t>为第</w:t>
      </w:r>
      <w:r>
        <w:rPr>
          <w:rFonts w:ascii="Times New Roman" w:hAnsi="Times New Roman" w:eastAsia="宋体" w:cs="Times New Roman"/>
          <w:i/>
          <w:color w:val="auto"/>
          <w:sz w:val="24"/>
        </w:rPr>
        <w:t>k</w:t>
      </w:r>
      <w:r>
        <w:rPr>
          <w:rFonts w:ascii="Times New Roman" w:hAnsi="Times New Roman" w:eastAsia="宋体" w:cs="Times New Roman"/>
          <w:color w:val="auto"/>
          <w:sz w:val="24"/>
        </w:rPr>
        <w:t>个输运系统生产单元的颗粒物无组织</w:t>
      </w:r>
      <w:r>
        <w:rPr>
          <w:rFonts w:hint="eastAsia" w:ascii="Times New Roman" w:hAnsi="Times New Roman" w:eastAsia="宋体" w:cs="Times New Roman"/>
          <w:color w:val="auto"/>
          <w:sz w:val="24"/>
        </w:rPr>
        <w:t>实际</w:t>
      </w:r>
      <w:r>
        <w:rPr>
          <w:rFonts w:ascii="Times New Roman" w:hAnsi="Times New Roman" w:eastAsia="宋体" w:cs="Times New Roman"/>
          <w:color w:val="auto"/>
          <w:sz w:val="24"/>
        </w:rPr>
        <w:t>排放量，t；</w:t>
      </w:r>
    </w:p>
    <w:p w14:paraId="56BC2E4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i/>
          <w:iCs/>
          <w:color w:val="auto"/>
          <w:sz w:val="24"/>
        </w:rPr>
        <w:t>n1</w:t>
      </w:r>
      <w:r>
        <w:rPr>
          <w:rFonts w:ascii="Times New Roman" w:hAnsi="Times New Roman" w:eastAsia="宋体" w:cs="Times New Roman"/>
          <w:color w:val="auto"/>
          <w:sz w:val="24"/>
        </w:rPr>
        <w:t>、</w:t>
      </w:r>
      <w:r>
        <w:rPr>
          <w:rFonts w:ascii="Times New Roman" w:hAnsi="Times New Roman" w:eastAsia="宋体" w:cs="Times New Roman"/>
          <w:i/>
          <w:iCs/>
          <w:color w:val="auto"/>
          <w:sz w:val="24"/>
        </w:rPr>
        <w:t>n2</w:t>
      </w:r>
      <w:r>
        <w:rPr>
          <w:rFonts w:ascii="Times New Roman" w:hAnsi="Times New Roman" w:eastAsia="宋体" w:cs="Times New Roman"/>
          <w:color w:val="auto"/>
          <w:sz w:val="24"/>
        </w:rPr>
        <w:t>、</w:t>
      </w:r>
      <w:r>
        <w:rPr>
          <w:rFonts w:ascii="Times New Roman" w:hAnsi="Times New Roman" w:eastAsia="宋体" w:cs="Times New Roman"/>
          <w:i/>
          <w:iCs/>
          <w:color w:val="auto"/>
          <w:sz w:val="24"/>
        </w:rPr>
        <w:t>n3</w:t>
      </w:r>
      <w:r>
        <w:rPr>
          <w:rFonts w:ascii="Times New Roman" w:hAnsi="Times New Roman" w:eastAsia="宋体" w:cs="Times New Roman"/>
          <w:color w:val="auto"/>
          <w:sz w:val="24"/>
        </w:rPr>
        <w:t>分别为泊位、堆场、输运系统生产单元的数量。</w:t>
      </w:r>
    </w:p>
    <w:p w14:paraId="328E4D38">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其中，泊位生产单元的颗粒物无组织</w:t>
      </w:r>
      <w:r>
        <w:rPr>
          <w:rFonts w:hint="eastAsia" w:ascii="Times New Roman" w:hAnsi="Times New Roman" w:eastAsia="宋体" w:cs="Times New Roman"/>
          <w:color w:val="auto"/>
          <w:sz w:val="24"/>
        </w:rPr>
        <w:t>实际</w:t>
      </w:r>
      <w:r>
        <w:rPr>
          <w:rFonts w:ascii="Times New Roman" w:hAnsi="Times New Roman" w:eastAsia="宋体" w:cs="Times New Roman"/>
          <w:color w:val="auto"/>
          <w:sz w:val="24"/>
        </w:rPr>
        <w:t>排放量为装船工艺与卸船工艺颗粒物无组织</w:t>
      </w:r>
      <w:r>
        <w:rPr>
          <w:rFonts w:hint="eastAsia" w:ascii="Times New Roman" w:hAnsi="Times New Roman" w:eastAsia="宋体" w:cs="Times New Roman"/>
          <w:color w:val="auto"/>
          <w:sz w:val="24"/>
        </w:rPr>
        <w:t>实际</w:t>
      </w:r>
      <w:r>
        <w:rPr>
          <w:rFonts w:ascii="Times New Roman" w:hAnsi="Times New Roman" w:eastAsia="宋体" w:cs="Times New Roman"/>
          <w:color w:val="auto"/>
          <w:sz w:val="24"/>
        </w:rPr>
        <w:t>排放量之和，输运系统生产单元的颗粒物无组织</w:t>
      </w:r>
      <w:r>
        <w:rPr>
          <w:rFonts w:hint="eastAsia" w:ascii="Times New Roman" w:hAnsi="Times New Roman" w:eastAsia="宋体" w:cs="Times New Roman"/>
          <w:color w:val="auto"/>
          <w:sz w:val="24"/>
        </w:rPr>
        <w:t>实际</w:t>
      </w:r>
      <w:r>
        <w:rPr>
          <w:rFonts w:ascii="Times New Roman" w:hAnsi="Times New Roman" w:eastAsia="宋体" w:cs="Times New Roman"/>
          <w:color w:val="auto"/>
          <w:sz w:val="24"/>
        </w:rPr>
        <w:t>排放量为装车工艺与卸车工艺颗粒物无组织</w:t>
      </w:r>
      <w:r>
        <w:rPr>
          <w:rFonts w:hint="eastAsia" w:ascii="Times New Roman" w:hAnsi="Times New Roman" w:eastAsia="宋体" w:cs="Times New Roman"/>
          <w:color w:val="auto"/>
          <w:sz w:val="24"/>
        </w:rPr>
        <w:t>实际</w:t>
      </w:r>
      <w:r>
        <w:rPr>
          <w:rFonts w:ascii="Times New Roman" w:hAnsi="Times New Roman" w:eastAsia="宋体" w:cs="Times New Roman"/>
          <w:color w:val="auto"/>
          <w:sz w:val="24"/>
        </w:rPr>
        <w:t>排放量之和</w:t>
      </w:r>
      <w:r>
        <w:rPr>
          <w:rFonts w:hint="eastAsia" w:ascii="Times New Roman" w:hAnsi="Times New Roman" w:eastAsia="宋体" w:cs="Times New Roman"/>
          <w:color w:val="auto"/>
          <w:sz w:val="24"/>
        </w:rPr>
        <w:t>，见公示（2）、（3）</w:t>
      </w:r>
      <w:r>
        <w:rPr>
          <w:rFonts w:ascii="Times New Roman" w:hAnsi="Times New Roman" w:eastAsia="宋体" w:cs="Times New Roman"/>
          <w:color w:val="auto"/>
          <w:sz w:val="24"/>
        </w:rPr>
        <w:t>。</w:t>
      </w:r>
    </w:p>
    <w:p w14:paraId="22E68BE4">
      <w:pPr>
        <w:spacing w:line="360" w:lineRule="auto"/>
        <w:jc w:val="center"/>
        <w:rPr>
          <w:rFonts w:ascii="Times New Roman" w:hAnsi="Times New Roman" w:eastAsia="宋体" w:cs="Times New Roman"/>
          <w:color w:val="auto"/>
          <w:sz w:val="24"/>
        </w:rPr>
      </w:pPr>
      <w:r>
        <w:rPr>
          <w:rFonts w:ascii="Times New Roman" w:hAnsi="Times New Roman" w:eastAsia="宋体" w:cs="Times New Roman"/>
          <w:color w:val="auto"/>
          <w:position w:val="-12"/>
          <w:sz w:val="24"/>
        </w:rPr>
        <w:object>
          <v:shape id="_x0000_i1031" o:spt="75" type="#_x0000_t75" style="height:26.75pt;width:161.6pt;" o:ole="t" filled="f" o:preferrelative="t" stroked="f" coordsize="21600,21600">
            <v:path/>
            <v:fill on="f" alignshape="1" focussize="0,0"/>
            <v:stroke on="f"/>
            <v:imagedata r:id="rId70" o:title=""/>
            <o:lock v:ext="edit" aspectratio="t"/>
            <w10:wrap type="none"/>
            <w10:anchorlock/>
          </v:shape>
          <o:OLEObject Type="Embed" ProgID="Equation.3" ShapeID="_x0000_i1031" DrawAspect="Content" ObjectID="_1468075731" r:id="rId69">
            <o:LockedField>false</o:LockedField>
          </o:OLEObject>
        </w:object>
      </w:r>
      <w:r>
        <w:rPr>
          <w:rFonts w:ascii="Times New Roman" w:hAnsi="Times New Roman" w:eastAsia="宋体" w:cs="Times New Roman"/>
          <w:color w:val="auto"/>
          <w:sz w:val="24"/>
        </w:rPr>
        <w:t xml:space="preserve">       （2）</w:t>
      </w:r>
    </w:p>
    <w:p w14:paraId="6F8F0DCE">
      <w:pPr>
        <w:spacing w:line="360" w:lineRule="auto"/>
        <w:jc w:val="center"/>
        <w:rPr>
          <w:rFonts w:ascii="Times New Roman" w:hAnsi="Times New Roman" w:eastAsia="宋体" w:cs="Times New Roman"/>
          <w:color w:val="auto"/>
          <w:sz w:val="24"/>
        </w:rPr>
      </w:pPr>
      <w:r>
        <w:rPr>
          <w:rFonts w:ascii="Times New Roman" w:hAnsi="Times New Roman" w:eastAsia="宋体" w:cs="Times New Roman"/>
          <w:color w:val="auto"/>
          <w:position w:val="-16"/>
          <w:sz w:val="24"/>
        </w:rPr>
        <w:object>
          <v:shape id="_x0000_i1032" o:spt="75" type="#_x0000_t75" style="height:26.85pt;width:163.05pt;" o:ole="t" filled="f" o:preferrelative="t" stroked="f" coordsize="21600,21600">
            <v:path/>
            <v:fill on="f" alignshape="1" focussize="0,0"/>
            <v:stroke on="f"/>
            <v:imagedata r:id="rId72" o:title=""/>
            <o:lock v:ext="edit" aspectratio="t"/>
            <w10:wrap type="none"/>
            <w10:anchorlock/>
          </v:shape>
          <o:OLEObject Type="Embed" ProgID="Equation.3" ShapeID="_x0000_i1032" DrawAspect="Content" ObjectID="_1468075732" r:id="rId71">
            <o:LockedField>false</o:LockedField>
          </o:OLEObject>
        </w:object>
      </w:r>
      <w:r>
        <w:rPr>
          <w:rFonts w:ascii="Times New Roman" w:hAnsi="Times New Roman" w:eastAsia="宋体" w:cs="Times New Roman"/>
          <w:color w:val="auto"/>
          <w:sz w:val="24"/>
        </w:rPr>
        <w:t xml:space="preserve">        （3）</w:t>
      </w:r>
    </w:p>
    <w:p w14:paraId="471EACDE">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式中：</w:t>
      </w:r>
    </w:p>
    <w:p w14:paraId="649BB97B">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i/>
          <w:snapToGrid w:val="0"/>
          <w:color w:val="auto"/>
          <w:kern w:val="0"/>
          <w:sz w:val="24"/>
          <w:szCs w:val="21"/>
          <w:lang w:val="zh-CN" w:eastAsia="zh-CN" w:bidi="ar-SA"/>
        </w:rPr>
        <w:t>E</w:t>
      </w:r>
      <w:r>
        <w:rPr>
          <w:rFonts w:ascii="Times New Roman" w:hAnsi="Times New Roman" w:eastAsia="宋体" w:cs="宋体"/>
          <w:i/>
          <w:snapToGrid w:val="0"/>
          <w:color w:val="auto"/>
          <w:kern w:val="0"/>
          <w:sz w:val="24"/>
          <w:szCs w:val="21"/>
          <w:vertAlign w:val="subscript"/>
          <w:lang w:val="zh-CN" w:eastAsia="zh-CN" w:bidi="ar-SA"/>
        </w:rPr>
        <w:t>装船i</w:t>
      </w:r>
      <w:r>
        <w:rPr>
          <w:rFonts w:ascii="Times New Roman" w:hAnsi="Times New Roman" w:eastAsia="宋体" w:cs="宋体"/>
          <w:snapToGrid w:val="0"/>
          <w:color w:val="auto"/>
          <w:kern w:val="0"/>
          <w:sz w:val="24"/>
          <w:szCs w:val="21"/>
          <w:lang w:val="zh-CN" w:eastAsia="zh-CN" w:bidi="ar-SA"/>
        </w:rPr>
        <w:t>为第</w:t>
      </w:r>
      <w:r>
        <w:rPr>
          <w:rFonts w:ascii="Times New Roman" w:hAnsi="Times New Roman" w:eastAsia="宋体" w:cs="宋体"/>
          <w:i/>
          <w:snapToGrid w:val="0"/>
          <w:color w:val="auto"/>
          <w:kern w:val="0"/>
          <w:sz w:val="24"/>
          <w:szCs w:val="21"/>
          <w:lang w:val="zh-CN" w:eastAsia="zh-CN" w:bidi="ar-SA"/>
        </w:rPr>
        <w:t>i</w:t>
      </w:r>
      <w:r>
        <w:rPr>
          <w:rFonts w:ascii="Times New Roman" w:hAnsi="Times New Roman" w:eastAsia="宋体" w:cs="宋体"/>
          <w:snapToGrid w:val="0"/>
          <w:color w:val="auto"/>
          <w:kern w:val="0"/>
          <w:sz w:val="24"/>
          <w:szCs w:val="21"/>
          <w:lang w:val="zh-CN" w:eastAsia="zh-CN" w:bidi="ar-SA"/>
        </w:rPr>
        <w:t>个泊位生产单元装船工艺的颗粒物无组织</w:t>
      </w:r>
      <w:r>
        <w:rPr>
          <w:rFonts w:hint="eastAsia" w:ascii="Times New Roman" w:hAnsi="Times New Roman" w:eastAsia="宋体" w:cs="宋体"/>
          <w:snapToGrid w:val="0"/>
          <w:color w:val="auto"/>
          <w:kern w:val="0"/>
          <w:sz w:val="24"/>
          <w:szCs w:val="21"/>
          <w:lang w:val="zh-CN" w:eastAsia="zh-CN" w:bidi="ar-SA"/>
        </w:rPr>
        <w:t>实际</w:t>
      </w:r>
      <w:r>
        <w:rPr>
          <w:rFonts w:ascii="Times New Roman" w:hAnsi="Times New Roman" w:eastAsia="宋体" w:cs="宋体"/>
          <w:snapToGrid w:val="0"/>
          <w:color w:val="auto"/>
          <w:kern w:val="0"/>
          <w:sz w:val="24"/>
          <w:szCs w:val="21"/>
          <w:lang w:val="zh-CN" w:eastAsia="zh-CN" w:bidi="ar-SA"/>
        </w:rPr>
        <w:t>排放量，t；</w:t>
      </w:r>
    </w:p>
    <w:p w14:paraId="0BEEF074">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i/>
          <w:snapToGrid w:val="0"/>
          <w:color w:val="auto"/>
          <w:kern w:val="0"/>
          <w:sz w:val="24"/>
          <w:szCs w:val="21"/>
          <w:lang w:val="zh-CN" w:eastAsia="zh-CN" w:bidi="ar-SA"/>
        </w:rPr>
        <w:t>E</w:t>
      </w:r>
      <w:r>
        <w:rPr>
          <w:rFonts w:ascii="Times New Roman" w:hAnsi="Times New Roman" w:eastAsia="宋体" w:cs="宋体"/>
          <w:i/>
          <w:snapToGrid w:val="0"/>
          <w:color w:val="auto"/>
          <w:kern w:val="0"/>
          <w:sz w:val="24"/>
          <w:szCs w:val="21"/>
          <w:vertAlign w:val="subscript"/>
          <w:lang w:val="zh-CN" w:eastAsia="zh-CN" w:bidi="ar-SA"/>
        </w:rPr>
        <w:t>卸船i</w:t>
      </w:r>
      <w:r>
        <w:rPr>
          <w:rFonts w:ascii="Times New Roman" w:hAnsi="Times New Roman" w:eastAsia="宋体" w:cs="宋体"/>
          <w:snapToGrid w:val="0"/>
          <w:color w:val="auto"/>
          <w:kern w:val="0"/>
          <w:sz w:val="24"/>
          <w:szCs w:val="21"/>
          <w:lang w:val="zh-CN" w:eastAsia="zh-CN" w:bidi="ar-SA"/>
        </w:rPr>
        <w:t>为第</w:t>
      </w:r>
      <w:r>
        <w:rPr>
          <w:rFonts w:ascii="Times New Roman" w:hAnsi="Times New Roman" w:eastAsia="宋体" w:cs="宋体"/>
          <w:i/>
          <w:snapToGrid w:val="0"/>
          <w:color w:val="auto"/>
          <w:kern w:val="0"/>
          <w:sz w:val="24"/>
          <w:szCs w:val="21"/>
          <w:lang w:val="zh-CN" w:eastAsia="zh-CN" w:bidi="ar-SA"/>
        </w:rPr>
        <w:t>i</w:t>
      </w:r>
      <w:r>
        <w:rPr>
          <w:rFonts w:ascii="Times New Roman" w:hAnsi="Times New Roman" w:eastAsia="宋体" w:cs="宋体"/>
          <w:snapToGrid w:val="0"/>
          <w:color w:val="auto"/>
          <w:kern w:val="0"/>
          <w:sz w:val="24"/>
          <w:szCs w:val="21"/>
          <w:lang w:val="zh-CN" w:eastAsia="zh-CN" w:bidi="ar-SA"/>
        </w:rPr>
        <w:t>个泊位生产单元卸船工艺的颗粒物无组织</w:t>
      </w:r>
      <w:r>
        <w:rPr>
          <w:rFonts w:hint="eastAsia" w:ascii="Times New Roman" w:hAnsi="Times New Roman" w:eastAsia="宋体" w:cs="宋体"/>
          <w:snapToGrid w:val="0"/>
          <w:color w:val="auto"/>
          <w:kern w:val="0"/>
          <w:sz w:val="24"/>
          <w:szCs w:val="21"/>
          <w:lang w:val="zh-CN" w:eastAsia="zh-CN" w:bidi="ar-SA"/>
        </w:rPr>
        <w:t>实际</w:t>
      </w:r>
      <w:r>
        <w:rPr>
          <w:rFonts w:ascii="Times New Roman" w:hAnsi="Times New Roman" w:eastAsia="宋体" w:cs="宋体"/>
          <w:snapToGrid w:val="0"/>
          <w:color w:val="auto"/>
          <w:kern w:val="0"/>
          <w:sz w:val="24"/>
          <w:szCs w:val="21"/>
          <w:lang w:val="zh-CN" w:eastAsia="zh-CN" w:bidi="ar-SA"/>
        </w:rPr>
        <w:t>排放量，t；</w:t>
      </w:r>
    </w:p>
    <w:p w14:paraId="2EE3EE21">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i/>
          <w:snapToGrid w:val="0"/>
          <w:color w:val="auto"/>
          <w:kern w:val="0"/>
          <w:sz w:val="24"/>
          <w:szCs w:val="21"/>
          <w:lang w:val="zh-CN" w:eastAsia="zh-CN" w:bidi="ar-SA"/>
        </w:rPr>
        <w:t>E</w:t>
      </w:r>
      <w:r>
        <w:rPr>
          <w:rFonts w:ascii="Times New Roman" w:hAnsi="Times New Roman" w:eastAsia="宋体" w:cs="宋体"/>
          <w:i/>
          <w:snapToGrid w:val="0"/>
          <w:color w:val="auto"/>
          <w:kern w:val="0"/>
          <w:sz w:val="24"/>
          <w:szCs w:val="21"/>
          <w:vertAlign w:val="subscript"/>
          <w:lang w:val="zh-CN" w:eastAsia="zh-CN" w:bidi="ar-SA"/>
        </w:rPr>
        <w:t>装车k</w:t>
      </w:r>
      <w:r>
        <w:rPr>
          <w:rFonts w:ascii="Times New Roman" w:hAnsi="Times New Roman" w:eastAsia="宋体" w:cs="宋体"/>
          <w:snapToGrid w:val="0"/>
          <w:color w:val="auto"/>
          <w:kern w:val="0"/>
          <w:sz w:val="24"/>
          <w:szCs w:val="21"/>
          <w:lang w:val="zh-CN" w:eastAsia="zh-CN" w:bidi="ar-SA"/>
        </w:rPr>
        <w:t>为第</w:t>
      </w:r>
      <w:r>
        <w:rPr>
          <w:rFonts w:ascii="Times New Roman" w:hAnsi="Times New Roman" w:eastAsia="宋体" w:cs="宋体"/>
          <w:i/>
          <w:snapToGrid w:val="0"/>
          <w:color w:val="auto"/>
          <w:kern w:val="0"/>
          <w:sz w:val="24"/>
          <w:szCs w:val="21"/>
          <w:lang w:val="zh-CN" w:eastAsia="zh-CN" w:bidi="ar-SA"/>
        </w:rPr>
        <w:t>k</w:t>
      </w:r>
      <w:r>
        <w:rPr>
          <w:rFonts w:ascii="Times New Roman" w:hAnsi="Times New Roman" w:eastAsia="宋体" w:cs="宋体"/>
          <w:snapToGrid w:val="0"/>
          <w:color w:val="auto"/>
          <w:kern w:val="0"/>
          <w:sz w:val="24"/>
          <w:szCs w:val="21"/>
          <w:lang w:val="zh-CN" w:eastAsia="zh-CN" w:bidi="ar-SA"/>
        </w:rPr>
        <w:t>个输运系统生产单元装车工艺的颗粒物无组织</w:t>
      </w:r>
      <w:r>
        <w:rPr>
          <w:rFonts w:hint="eastAsia" w:ascii="Times New Roman" w:hAnsi="Times New Roman" w:eastAsia="宋体" w:cs="宋体"/>
          <w:snapToGrid w:val="0"/>
          <w:color w:val="auto"/>
          <w:kern w:val="0"/>
          <w:sz w:val="24"/>
          <w:szCs w:val="21"/>
          <w:lang w:val="zh-CN" w:eastAsia="zh-CN" w:bidi="ar-SA"/>
        </w:rPr>
        <w:t>实际</w:t>
      </w:r>
      <w:r>
        <w:rPr>
          <w:rFonts w:ascii="Times New Roman" w:hAnsi="Times New Roman" w:eastAsia="宋体" w:cs="宋体"/>
          <w:snapToGrid w:val="0"/>
          <w:color w:val="auto"/>
          <w:kern w:val="0"/>
          <w:sz w:val="24"/>
          <w:szCs w:val="21"/>
          <w:lang w:val="zh-CN" w:eastAsia="zh-CN" w:bidi="ar-SA"/>
        </w:rPr>
        <w:t>排放量，t；</w:t>
      </w:r>
    </w:p>
    <w:p w14:paraId="434571ED">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i/>
          <w:snapToGrid w:val="0"/>
          <w:color w:val="auto"/>
          <w:kern w:val="0"/>
          <w:sz w:val="24"/>
          <w:szCs w:val="21"/>
          <w:lang w:val="zh-CN" w:eastAsia="zh-CN" w:bidi="ar-SA"/>
        </w:rPr>
        <w:t>E</w:t>
      </w:r>
      <w:r>
        <w:rPr>
          <w:rFonts w:ascii="Times New Roman" w:hAnsi="Times New Roman" w:eastAsia="宋体" w:cs="宋体"/>
          <w:i/>
          <w:snapToGrid w:val="0"/>
          <w:color w:val="auto"/>
          <w:kern w:val="0"/>
          <w:sz w:val="24"/>
          <w:szCs w:val="21"/>
          <w:vertAlign w:val="subscript"/>
          <w:lang w:val="zh-CN" w:eastAsia="zh-CN" w:bidi="ar-SA"/>
        </w:rPr>
        <w:t>卸车k</w:t>
      </w:r>
      <w:r>
        <w:rPr>
          <w:rFonts w:ascii="Times New Roman" w:hAnsi="Times New Roman" w:eastAsia="宋体" w:cs="宋体"/>
          <w:snapToGrid w:val="0"/>
          <w:color w:val="auto"/>
          <w:kern w:val="0"/>
          <w:sz w:val="24"/>
          <w:szCs w:val="21"/>
          <w:lang w:val="zh-CN" w:eastAsia="zh-CN" w:bidi="ar-SA"/>
        </w:rPr>
        <w:t>为第</w:t>
      </w:r>
      <w:r>
        <w:rPr>
          <w:rFonts w:ascii="Times New Roman" w:hAnsi="Times New Roman" w:eastAsia="宋体" w:cs="宋体"/>
          <w:i/>
          <w:snapToGrid w:val="0"/>
          <w:color w:val="auto"/>
          <w:kern w:val="0"/>
          <w:sz w:val="24"/>
          <w:szCs w:val="21"/>
          <w:lang w:val="zh-CN" w:eastAsia="zh-CN" w:bidi="ar-SA"/>
        </w:rPr>
        <w:t>k</w:t>
      </w:r>
      <w:r>
        <w:rPr>
          <w:rFonts w:ascii="Times New Roman" w:hAnsi="Times New Roman" w:eastAsia="宋体" w:cs="宋体"/>
          <w:snapToGrid w:val="0"/>
          <w:color w:val="auto"/>
          <w:kern w:val="0"/>
          <w:sz w:val="24"/>
          <w:szCs w:val="21"/>
          <w:lang w:val="zh-CN" w:eastAsia="zh-CN" w:bidi="ar-SA"/>
        </w:rPr>
        <w:t>个输运系统生产单元卸车工艺的颗粒物无组织</w:t>
      </w:r>
      <w:r>
        <w:rPr>
          <w:rFonts w:hint="eastAsia" w:ascii="Times New Roman" w:hAnsi="Times New Roman" w:eastAsia="宋体" w:cs="宋体"/>
          <w:snapToGrid w:val="0"/>
          <w:color w:val="auto"/>
          <w:kern w:val="0"/>
          <w:sz w:val="24"/>
          <w:szCs w:val="21"/>
          <w:lang w:val="zh-CN" w:eastAsia="zh-CN" w:bidi="ar-SA"/>
        </w:rPr>
        <w:t>实际</w:t>
      </w:r>
      <w:r>
        <w:rPr>
          <w:rFonts w:ascii="Times New Roman" w:hAnsi="Times New Roman" w:eastAsia="宋体" w:cs="宋体"/>
          <w:snapToGrid w:val="0"/>
          <w:color w:val="auto"/>
          <w:kern w:val="0"/>
          <w:sz w:val="24"/>
          <w:szCs w:val="21"/>
          <w:lang w:val="zh-CN" w:eastAsia="zh-CN" w:bidi="ar-SA"/>
        </w:rPr>
        <w:t>排放量，t；</w:t>
      </w:r>
    </w:p>
    <w:p w14:paraId="0E4F2F2A">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各生产工艺的颗粒物无组织年排放量见公</w:t>
      </w:r>
      <w:r>
        <w:rPr>
          <w:rFonts w:hint="eastAsia" w:ascii="Times New Roman" w:hAnsi="Times New Roman" w:eastAsia="宋体" w:cs="宋体"/>
          <w:snapToGrid w:val="0"/>
          <w:color w:val="auto"/>
          <w:kern w:val="0"/>
          <w:sz w:val="24"/>
          <w:szCs w:val="21"/>
          <w:lang w:val="zh-CN" w:eastAsia="zh-CN" w:bidi="ar-SA"/>
        </w:rPr>
        <w:t>式</w:t>
      </w:r>
      <w:r>
        <w:rPr>
          <w:rFonts w:ascii="Times New Roman" w:hAnsi="Times New Roman" w:eastAsia="宋体" w:cs="宋体"/>
          <w:snapToGrid w:val="0"/>
          <w:color w:val="auto"/>
          <w:kern w:val="0"/>
          <w:sz w:val="24"/>
          <w:szCs w:val="21"/>
          <w:lang w:val="zh-CN" w:eastAsia="zh-CN" w:bidi="ar-SA"/>
        </w:rPr>
        <w:t>（4）。</w:t>
      </w:r>
    </w:p>
    <w:p w14:paraId="1EC1EA69">
      <w:pPr>
        <w:spacing w:line="360" w:lineRule="auto"/>
        <w:jc w:val="center"/>
        <w:rPr>
          <w:rFonts w:ascii="Times New Roman" w:hAnsi="Times New Roman" w:eastAsia="宋体" w:cs="Times New Roman"/>
          <w:color w:val="auto"/>
          <w:sz w:val="24"/>
        </w:rPr>
      </w:pPr>
      <w:r>
        <w:rPr>
          <w:rFonts w:ascii="Times New Roman" w:hAnsi="Times New Roman" w:eastAsia="宋体" w:cs="Times New Roman"/>
          <w:color w:val="auto"/>
          <w:position w:val="-12"/>
          <w:sz w:val="24"/>
        </w:rPr>
        <w:object>
          <v:shape id="_x0000_i1033" o:spt="75" type="#_x0000_t75" style="height:27.75pt;width:356.55pt;" o:ole="t" filled="f" o:preferrelative="t" stroked="f" coordsize="21600,21600">
            <v:path/>
            <v:fill on="f" alignshape="1" focussize="0,0"/>
            <v:stroke on="f"/>
            <v:imagedata r:id="rId74" o:title=""/>
            <o:lock v:ext="edit" aspectratio="t"/>
            <w10:wrap type="none"/>
            <w10:anchorlock/>
          </v:shape>
          <o:OLEObject Type="Embed" ProgID="Equation.3" ShapeID="_x0000_i1033" DrawAspect="Content" ObjectID="_1468075733" r:id="rId73">
            <o:LockedField>false</o:LockedField>
          </o:OLEObject>
        </w:object>
      </w:r>
      <w:r>
        <w:rPr>
          <w:rFonts w:ascii="Times New Roman" w:hAnsi="Times New Roman" w:eastAsia="宋体" w:cs="Times New Roman"/>
          <w:color w:val="auto"/>
          <w:sz w:val="24"/>
        </w:rPr>
        <w:t xml:space="preserve">  （4）</w:t>
      </w:r>
    </w:p>
    <w:p w14:paraId="4A67271A">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式中：</w:t>
      </w:r>
    </w:p>
    <w:p w14:paraId="7B50CFD4">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i/>
          <w:color w:val="auto"/>
          <w:sz w:val="24"/>
        </w:rPr>
        <w:t>R</w:t>
      </w:r>
      <w:r>
        <w:rPr>
          <w:rFonts w:ascii="Times New Roman" w:hAnsi="Times New Roman" w:eastAsia="宋体" w:cs="Times New Roman"/>
          <w:color w:val="auto"/>
          <w:sz w:val="24"/>
        </w:rPr>
        <w:t>为第</w:t>
      </w:r>
      <w:r>
        <w:rPr>
          <w:rFonts w:ascii="Times New Roman" w:hAnsi="Times New Roman" w:eastAsia="宋体" w:cs="Times New Roman"/>
          <w:i/>
          <w:color w:val="auto"/>
          <w:sz w:val="24"/>
        </w:rPr>
        <w:t>i</w:t>
      </w:r>
      <w:r>
        <w:rPr>
          <w:rFonts w:ascii="Times New Roman" w:hAnsi="Times New Roman" w:eastAsia="宋体" w:cs="Times New Roman"/>
          <w:color w:val="auto"/>
          <w:sz w:val="24"/>
        </w:rPr>
        <w:t>个泊位生产单元或第j个堆场生产单元或第</w:t>
      </w:r>
      <w:r>
        <w:rPr>
          <w:rFonts w:ascii="Times New Roman" w:hAnsi="Times New Roman" w:eastAsia="宋体" w:cs="Times New Roman"/>
          <w:i/>
          <w:color w:val="auto"/>
          <w:sz w:val="24"/>
        </w:rPr>
        <w:t>k</w:t>
      </w:r>
      <w:r>
        <w:rPr>
          <w:rFonts w:ascii="Times New Roman" w:hAnsi="Times New Roman" w:eastAsia="宋体" w:cs="Times New Roman"/>
          <w:color w:val="auto"/>
          <w:sz w:val="24"/>
        </w:rPr>
        <w:t>个输运系统生产单元下不同生产工艺的年设计生产能力或堆场年周转量，t；</w:t>
      </w:r>
    </w:p>
    <w:p w14:paraId="5E77403B">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i/>
          <w:color w:val="auto"/>
          <w:sz w:val="24"/>
        </w:rPr>
        <w:t>G</w:t>
      </w:r>
      <w:r>
        <w:rPr>
          <w:rFonts w:ascii="Times New Roman" w:hAnsi="Times New Roman" w:eastAsia="宋体" w:cs="Times New Roman"/>
          <w:color w:val="auto"/>
          <w:sz w:val="24"/>
        </w:rPr>
        <w:t>为第</w:t>
      </w:r>
      <w:r>
        <w:rPr>
          <w:rFonts w:ascii="Times New Roman" w:hAnsi="Times New Roman" w:eastAsia="宋体" w:cs="Times New Roman"/>
          <w:i/>
          <w:color w:val="auto"/>
          <w:sz w:val="24"/>
        </w:rPr>
        <w:t>i</w:t>
      </w:r>
      <w:r>
        <w:rPr>
          <w:rFonts w:ascii="Times New Roman" w:hAnsi="Times New Roman" w:eastAsia="宋体" w:cs="Times New Roman"/>
          <w:color w:val="auto"/>
          <w:sz w:val="24"/>
        </w:rPr>
        <w:t>个泊位生产单元或第j个堆场生产单元或第</w:t>
      </w:r>
      <w:r>
        <w:rPr>
          <w:rFonts w:ascii="Times New Roman" w:hAnsi="Times New Roman" w:eastAsia="宋体" w:cs="Times New Roman"/>
          <w:i/>
          <w:color w:val="auto"/>
          <w:sz w:val="24"/>
        </w:rPr>
        <w:t>k</w:t>
      </w:r>
      <w:r>
        <w:rPr>
          <w:rFonts w:ascii="Times New Roman" w:hAnsi="Times New Roman" w:eastAsia="宋体" w:cs="Times New Roman"/>
          <w:color w:val="auto"/>
          <w:sz w:val="24"/>
        </w:rPr>
        <w:t>个输运系统生产单元下不同生产工艺的颗粒物无组织排放绩效值，kg/t。</w:t>
      </w:r>
      <w:r>
        <w:rPr>
          <w:rFonts w:hint="eastAsia" w:ascii="Times New Roman" w:hAnsi="Times New Roman" w:eastAsia="宋体" w:cs="Times New Roman"/>
          <w:color w:val="auto"/>
          <w:sz w:val="24"/>
        </w:rPr>
        <w:t>通用散货码头</w:t>
      </w:r>
      <w:r>
        <w:rPr>
          <w:rFonts w:ascii="Times New Roman" w:hAnsi="Times New Roman" w:eastAsia="宋体" w:cs="Times New Roman"/>
          <w:color w:val="auto"/>
          <w:sz w:val="24"/>
        </w:rPr>
        <w:t>排污单位不同生产工艺的颗粒物无组织排放绩效值见表3.3-1</w:t>
      </w:r>
      <w:r>
        <w:rPr>
          <w:rFonts w:hint="eastAsia" w:ascii="Times New Roman" w:hAnsi="Times New Roman" w:eastAsia="宋体" w:cs="Times New Roman"/>
          <w:color w:val="auto"/>
          <w:sz w:val="24"/>
        </w:rPr>
        <w:t>0</w:t>
      </w:r>
      <w:r>
        <w:rPr>
          <w:rFonts w:ascii="Times New Roman" w:hAnsi="Times New Roman" w:eastAsia="宋体" w:cs="Times New Roman"/>
          <w:color w:val="auto"/>
          <w:sz w:val="24"/>
        </w:rPr>
        <w:t>；</w:t>
      </w:r>
    </w:p>
    <w:p w14:paraId="23DAFAE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i/>
          <w:color w:val="auto"/>
          <w:sz w:val="24"/>
        </w:rPr>
        <w:t>β</w:t>
      </w:r>
      <w:r>
        <w:rPr>
          <w:rFonts w:ascii="Times New Roman" w:hAnsi="Times New Roman" w:eastAsia="宋体" w:cs="Times New Roman"/>
          <w:color w:val="auto"/>
          <w:sz w:val="24"/>
        </w:rPr>
        <w:t>为货类起尘调节系数，无量纲。</w:t>
      </w:r>
    </w:p>
    <w:p w14:paraId="48F0F22C">
      <w:pPr>
        <w:spacing w:line="400" w:lineRule="exact"/>
        <w:jc w:val="center"/>
        <w:rPr>
          <w:rFonts w:ascii="Times New Roman" w:hAnsi="Times New Roman" w:eastAsia="黑体" w:cs="Times New Roman"/>
          <w:color w:val="auto"/>
          <w:sz w:val="24"/>
        </w:rPr>
      </w:pPr>
      <w:r>
        <w:rPr>
          <w:rFonts w:ascii="Times New Roman" w:hAnsi="Times New Roman" w:eastAsia="黑体" w:cs="Times New Roman"/>
          <w:color w:val="auto"/>
          <w:sz w:val="24"/>
        </w:rPr>
        <w:t>表3.3-1</w:t>
      </w:r>
      <w:r>
        <w:rPr>
          <w:rFonts w:hint="eastAsia" w:ascii="Times New Roman" w:hAnsi="Times New Roman" w:eastAsia="黑体" w:cs="Times New Roman"/>
          <w:color w:val="auto"/>
          <w:sz w:val="24"/>
        </w:rPr>
        <w:t>0</w:t>
      </w:r>
      <w:r>
        <w:rPr>
          <w:rFonts w:ascii="Times New Roman" w:hAnsi="Times New Roman" w:eastAsia="黑体" w:cs="Times New Roman"/>
          <w:color w:val="auto"/>
          <w:sz w:val="24"/>
        </w:rPr>
        <w:t xml:space="preserve">  </w:t>
      </w:r>
      <w:r>
        <w:rPr>
          <w:rFonts w:hint="eastAsia" w:ascii="Times New Roman" w:hAnsi="Times New Roman" w:eastAsia="黑体" w:cs="Times New Roman"/>
          <w:color w:val="auto"/>
          <w:sz w:val="24"/>
        </w:rPr>
        <w:t>通用散货码头</w:t>
      </w:r>
      <w:r>
        <w:rPr>
          <w:rFonts w:ascii="Times New Roman" w:hAnsi="Times New Roman" w:eastAsia="黑体" w:cs="Times New Roman"/>
          <w:color w:val="auto"/>
          <w:sz w:val="24"/>
        </w:rPr>
        <w:t>排污单位颗粒物</w:t>
      </w:r>
      <w:r>
        <w:rPr>
          <w:rFonts w:hint="eastAsia" w:ascii="Times New Roman" w:hAnsi="Times New Roman" w:eastAsia="黑体" w:cs="Times New Roman"/>
          <w:color w:val="auto"/>
          <w:sz w:val="24"/>
        </w:rPr>
        <w:t>排污系数</w:t>
      </w:r>
      <w:r>
        <w:rPr>
          <w:rFonts w:ascii="Times New Roman" w:hAnsi="Times New Roman" w:eastAsia="黑体" w:cs="Times New Roman"/>
          <w:color w:val="auto"/>
          <w:sz w:val="24"/>
        </w:rPr>
        <w:t>表</w:t>
      </w:r>
      <w:r>
        <w:rPr>
          <w:rFonts w:ascii="Times New Roman" w:hAnsi="Times New Roman" w:eastAsia="黑体" w:cs="Times New Roman"/>
          <w:color w:val="auto"/>
          <w:sz w:val="24"/>
          <w:vertAlign w:val="superscript"/>
        </w:rPr>
        <w:t>a</w:t>
      </w:r>
    </w:p>
    <w:tbl>
      <w:tblPr>
        <w:tblStyle w:val="53"/>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717"/>
        <w:gridCol w:w="6273"/>
        <w:gridCol w:w="1487"/>
      </w:tblGrid>
      <w:tr w14:paraId="2A8F76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noWrap w:val="0"/>
            <w:vAlign w:val="center"/>
          </w:tcPr>
          <w:p w14:paraId="3BD837F3">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主要生产单元</w:t>
            </w:r>
          </w:p>
        </w:tc>
        <w:tc>
          <w:tcPr>
            <w:tcW w:w="386" w:type="pct"/>
            <w:noWrap w:val="0"/>
            <w:vAlign w:val="center"/>
          </w:tcPr>
          <w:p w14:paraId="3C15125D">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color w:val="auto"/>
              </w:rPr>
            </w:pPr>
            <w:r>
              <w:rPr>
                <w:rFonts w:hint="eastAsia" w:ascii="Times New Roman" w:hAnsi="Times New Roman" w:eastAsia="宋体" w:cs="Times New Roman"/>
                <w:b/>
                <w:color w:val="auto"/>
              </w:rPr>
              <w:t>主要</w:t>
            </w:r>
            <w:r>
              <w:rPr>
                <w:rFonts w:hint="default" w:ascii="Times New Roman" w:hAnsi="Times New Roman" w:eastAsia="宋体" w:cs="Times New Roman"/>
                <w:b/>
                <w:color w:val="auto"/>
              </w:rPr>
              <w:t>工艺</w:t>
            </w:r>
          </w:p>
        </w:tc>
        <w:tc>
          <w:tcPr>
            <w:tcW w:w="3378" w:type="pct"/>
            <w:noWrap w:val="0"/>
            <w:vAlign w:val="center"/>
          </w:tcPr>
          <w:p w14:paraId="30015DFF">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color w:val="auto"/>
              </w:rPr>
            </w:pPr>
            <w:r>
              <w:rPr>
                <w:rFonts w:hint="eastAsia" w:ascii="Times New Roman" w:hAnsi="Times New Roman" w:eastAsia="宋体" w:cs="Times New Roman"/>
                <w:b/>
                <w:color w:val="auto"/>
              </w:rPr>
              <w:t>不同作业方式与粉尘污染防治措施</w:t>
            </w:r>
          </w:p>
        </w:tc>
        <w:tc>
          <w:tcPr>
            <w:tcW w:w="799" w:type="pct"/>
            <w:noWrap w:val="0"/>
            <w:vAlign w:val="center"/>
          </w:tcPr>
          <w:p w14:paraId="5B2DBCFD">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color w:val="auto"/>
              </w:rPr>
            </w:pPr>
            <w:r>
              <w:rPr>
                <w:rFonts w:hint="eastAsia" w:ascii="Times New Roman" w:hAnsi="Times New Roman" w:eastAsia="宋体" w:cs="Times New Roman"/>
                <w:b/>
                <w:color w:val="auto"/>
              </w:rPr>
              <w:t>排污系数</w:t>
            </w:r>
          </w:p>
          <w:p w14:paraId="61A5ADC1">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（kg/t）</w:t>
            </w:r>
          </w:p>
        </w:tc>
      </w:tr>
      <w:tr w14:paraId="4811B7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restart"/>
            <w:noWrap w:val="0"/>
            <w:vAlign w:val="center"/>
          </w:tcPr>
          <w:p w14:paraId="79A6E8DD">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泊位</w:t>
            </w:r>
          </w:p>
        </w:tc>
        <w:tc>
          <w:tcPr>
            <w:tcW w:w="386" w:type="pct"/>
            <w:vMerge w:val="restart"/>
            <w:noWrap w:val="0"/>
            <w:vAlign w:val="center"/>
          </w:tcPr>
          <w:p w14:paraId="4F9B1073">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装船</w:t>
            </w:r>
          </w:p>
        </w:tc>
        <w:tc>
          <w:tcPr>
            <w:tcW w:w="3378" w:type="pct"/>
            <w:noWrap w:val="0"/>
            <w:vAlign w:val="center"/>
          </w:tcPr>
          <w:p w14:paraId="04284AEA">
            <w:pPr>
              <w:keepNext w:val="0"/>
              <w:keepLines w:val="0"/>
              <w:suppressLineNumbers w:val="0"/>
              <w:spacing w:before="0" w:beforeAutospacing="0" w:after="0" w:afterAutospacing="0"/>
              <w:ind w:left="0" w:right="0"/>
              <w:jc w:val="left"/>
              <w:rPr>
                <w:rFonts w:hint="eastAsia" w:ascii="Times New Roman" w:hAnsi="Times New Roman" w:eastAsia="宋体" w:cs="Times New Roman"/>
                <w:color w:val="auto"/>
              </w:rPr>
            </w:pPr>
            <w:r>
              <w:rPr>
                <w:rFonts w:hint="eastAsia" w:ascii="Times New Roman" w:hAnsi="Times New Roman" w:eastAsia="宋体" w:cs="Times New Roman"/>
                <w:color w:val="auto"/>
              </w:rPr>
              <w:t>污染控制措施满足或整体优于以下措施要求：</w:t>
            </w:r>
          </w:p>
          <w:p w14:paraId="5BE714B1">
            <w:pPr>
              <w:keepNext w:val="0"/>
              <w:keepLines w:val="0"/>
              <w:suppressLineNumbers w:val="0"/>
              <w:spacing w:before="0" w:beforeAutospacing="0" w:after="0" w:afterAutospacing="0"/>
              <w:ind w:left="0" w:right="0"/>
              <w:jc w:val="left"/>
              <w:rPr>
                <w:rFonts w:hint="eastAsia" w:ascii="Times New Roman" w:hAnsi="Times New Roman" w:eastAsia="宋体" w:cs="Times New Roman"/>
                <w:color w:val="auto"/>
              </w:rPr>
            </w:pPr>
            <w:r>
              <w:rPr>
                <w:rFonts w:hint="default" w:ascii="Times New Roman" w:hAnsi="Times New Roman" w:eastAsia="宋体" w:cs="Times New Roman"/>
                <w:color w:val="auto"/>
              </w:rPr>
              <w:t>1</w:t>
            </w:r>
            <w:r>
              <w:rPr>
                <w:rFonts w:hint="eastAsia" w:ascii="Times New Roman" w:hAnsi="Times New Roman" w:eastAsia="宋体" w:cs="Times New Roman"/>
                <w:color w:val="auto"/>
              </w:rPr>
              <w:t>）采用散货连续装船机；</w:t>
            </w:r>
          </w:p>
          <w:p w14:paraId="2536970D">
            <w:pPr>
              <w:keepNext w:val="0"/>
              <w:keepLines w:val="0"/>
              <w:suppressLineNumbers w:val="0"/>
              <w:spacing w:before="0" w:beforeAutospacing="0" w:after="0" w:afterAutospacing="0"/>
              <w:ind w:left="0" w:right="0"/>
              <w:jc w:val="left"/>
              <w:rPr>
                <w:rFonts w:hint="eastAsia" w:ascii="Times New Roman" w:hAnsi="Times New Roman" w:eastAsia="宋体" w:cs="Times New Roman"/>
                <w:color w:val="auto"/>
              </w:rPr>
            </w:pPr>
            <w:r>
              <w:rPr>
                <w:rFonts w:hint="eastAsia" w:ascii="Times New Roman" w:hAnsi="Times New Roman" w:eastAsia="宋体" w:cs="Times New Roman"/>
                <w:color w:val="auto"/>
              </w:rPr>
              <w:t>2）装船机皮带头部设置密闭罩，在物料转运处设置导料槽、密闭罩和防尘帘；</w:t>
            </w:r>
          </w:p>
          <w:p w14:paraId="28C2585F">
            <w:pPr>
              <w:keepNext w:val="0"/>
              <w:keepLines w:val="0"/>
              <w:suppressLineNumbers w:val="0"/>
              <w:spacing w:before="0" w:beforeAutospacing="0" w:after="0" w:afterAutospacing="0"/>
              <w:ind w:left="0" w:right="0"/>
              <w:jc w:val="left"/>
              <w:rPr>
                <w:rFonts w:hint="eastAsia" w:ascii="Times New Roman" w:hAnsi="Times New Roman" w:eastAsia="宋体" w:cs="Times New Roman"/>
                <w:color w:val="auto"/>
              </w:rPr>
            </w:pPr>
            <w:r>
              <w:rPr>
                <w:rFonts w:hint="eastAsia" w:ascii="Times New Roman" w:hAnsi="Times New Roman" w:eastAsia="宋体" w:cs="Times New Roman"/>
                <w:color w:val="auto"/>
              </w:rPr>
              <w:t>3）装船机尾车、臂架皮带机两侧及装船机行走段皮带机设置挡风板，其他区域皮带机采用防护罩或廊道予以封闭；</w:t>
            </w:r>
          </w:p>
          <w:p w14:paraId="12BAE37F">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rPr>
            </w:pPr>
            <w:r>
              <w:rPr>
                <w:rFonts w:hint="eastAsia" w:ascii="Times New Roman" w:hAnsi="Times New Roman" w:eastAsia="宋体" w:cs="Times New Roman"/>
                <w:color w:val="auto"/>
              </w:rPr>
              <w:t>4）装船机尾车头部、导料槽和出料溜筒等部位设置喷嘴组；</w:t>
            </w:r>
          </w:p>
        </w:tc>
        <w:tc>
          <w:tcPr>
            <w:tcW w:w="799" w:type="pct"/>
            <w:noWrap w:val="0"/>
            <w:vAlign w:val="center"/>
          </w:tcPr>
          <w:p w14:paraId="330016B8">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color w:val="auto"/>
              </w:rPr>
            </w:pPr>
            <w:r>
              <w:rPr>
                <w:rFonts w:hint="eastAsia" w:ascii="Times New Roman" w:hAnsi="Times New Roman" w:eastAsia="宋体" w:cs="Times New Roman"/>
                <w:b/>
                <w:color w:val="auto"/>
              </w:rPr>
              <w:t>0</w:t>
            </w:r>
            <w:r>
              <w:rPr>
                <w:rFonts w:hint="default" w:ascii="Times New Roman" w:hAnsi="Times New Roman" w:eastAsia="宋体" w:cs="Times New Roman"/>
                <w:b/>
                <w:color w:val="auto"/>
              </w:rPr>
              <w:t>.01574</w:t>
            </w:r>
          </w:p>
        </w:tc>
      </w:tr>
      <w:tr w14:paraId="597EC7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continue"/>
            <w:noWrap w:val="0"/>
            <w:vAlign w:val="center"/>
          </w:tcPr>
          <w:p w14:paraId="43E650BB">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86" w:type="pct"/>
            <w:vMerge w:val="continue"/>
            <w:noWrap w:val="0"/>
            <w:vAlign w:val="center"/>
          </w:tcPr>
          <w:p w14:paraId="26E16D0A">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378" w:type="pct"/>
            <w:noWrap w:val="0"/>
            <w:vAlign w:val="center"/>
          </w:tcPr>
          <w:p w14:paraId="1DCBCFEB">
            <w:pPr>
              <w:keepNext w:val="0"/>
              <w:keepLines w:val="0"/>
              <w:suppressLineNumbers w:val="0"/>
              <w:spacing w:before="0" w:beforeAutospacing="0" w:after="0" w:afterAutospacing="0"/>
              <w:ind w:left="0" w:right="0"/>
              <w:jc w:val="left"/>
              <w:rPr>
                <w:rFonts w:hint="eastAsia" w:ascii="Times New Roman" w:hAnsi="Times New Roman" w:eastAsia="宋体" w:cs="Times New Roman"/>
                <w:color w:val="auto"/>
              </w:rPr>
            </w:pPr>
            <w:r>
              <w:rPr>
                <w:rFonts w:hint="eastAsia" w:ascii="Times New Roman" w:hAnsi="Times New Roman" w:eastAsia="宋体" w:cs="Times New Roman"/>
                <w:color w:val="auto"/>
              </w:rPr>
              <w:t>污染控制措施整体优于下述措施，但劣于上述措施</w:t>
            </w:r>
          </w:p>
        </w:tc>
        <w:tc>
          <w:tcPr>
            <w:tcW w:w="799" w:type="pct"/>
            <w:noWrap w:val="0"/>
            <w:vAlign w:val="center"/>
          </w:tcPr>
          <w:p w14:paraId="54ADBC79">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0</w:t>
            </w:r>
            <w:r>
              <w:rPr>
                <w:rFonts w:hint="default" w:ascii="Times New Roman" w:hAnsi="Times New Roman" w:eastAsia="宋体" w:cs="Times New Roman"/>
                <w:color w:val="auto"/>
              </w:rPr>
              <w:t>.02992</w:t>
            </w:r>
          </w:p>
        </w:tc>
      </w:tr>
      <w:tr w14:paraId="4E7826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continue"/>
            <w:noWrap w:val="0"/>
            <w:vAlign w:val="center"/>
          </w:tcPr>
          <w:p w14:paraId="7255B474">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86" w:type="pct"/>
            <w:vMerge w:val="continue"/>
            <w:noWrap w:val="0"/>
            <w:vAlign w:val="center"/>
          </w:tcPr>
          <w:p w14:paraId="4602845C">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378" w:type="pct"/>
            <w:noWrap w:val="0"/>
            <w:vAlign w:val="center"/>
          </w:tcPr>
          <w:p w14:paraId="78B4F1FE">
            <w:pPr>
              <w:keepNext w:val="0"/>
              <w:keepLines w:val="0"/>
              <w:suppressLineNumbers w:val="0"/>
              <w:spacing w:before="0" w:beforeAutospacing="0" w:after="0" w:afterAutospacing="0"/>
              <w:ind w:left="0" w:right="0"/>
              <w:jc w:val="left"/>
              <w:rPr>
                <w:rFonts w:hint="eastAsia" w:ascii="Times New Roman" w:hAnsi="Times New Roman" w:eastAsia="宋体" w:cs="Times New Roman"/>
                <w:color w:val="auto"/>
              </w:rPr>
            </w:pPr>
            <w:r>
              <w:rPr>
                <w:rFonts w:hint="eastAsia" w:ascii="Times New Roman" w:hAnsi="Times New Roman" w:eastAsia="宋体" w:cs="Times New Roman"/>
                <w:color w:val="auto"/>
              </w:rPr>
              <w:t>1）采用非连续式装船作业</w:t>
            </w:r>
            <w:r>
              <w:rPr>
                <w:rFonts w:hint="eastAsia" w:ascii="Times New Roman" w:hAnsi="Times New Roman" w:eastAsia="宋体" w:cs="Times New Roman"/>
                <w:color w:val="auto"/>
                <w:vertAlign w:val="superscript"/>
              </w:rPr>
              <w:t>b</w:t>
            </w:r>
            <w:r>
              <w:rPr>
                <w:rFonts w:hint="eastAsia" w:ascii="Times New Roman" w:hAnsi="Times New Roman" w:eastAsia="宋体" w:cs="Times New Roman"/>
                <w:color w:val="auto"/>
              </w:rPr>
              <w:t>；</w:t>
            </w:r>
          </w:p>
          <w:p w14:paraId="4D1AAE65">
            <w:pPr>
              <w:keepNext w:val="0"/>
              <w:keepLines w:val="0"/>
              <w:suppressLineNumbers w:val="0"/>
              <w:spacing w:before="0" w:beforeAutospacing="0" w:after="0" w:afterAutospacing="0"/>
              <w:ind w:left="0" w:right="0"/>
              <w:jc w:val="left"/>
              <w:rPr>
                <w:rFonts w:hint="eastAsia" w:ascii="Times New Roman" w:hAnsi="Times New Roman" w:eastAsia="宋体" w:cs="Times New Roman"/>
                <w:color w:val="auto"/>
              </w:rPr>
            </w:pPr>
            <w:r>
              <w:rPr>
                <w:rFonts w:hint="eastAsia" w:ascii="Times New Roman" w:hAnsi="Times New Roman" w:eastAsia="宋体" w:cs="Times New Roman"/>
                <w:color w:val="auto"/>
              </w:rPr>
              <w:t>2）采用移动式射雾器等设施对装船作业实施喷雾或洒水抑尘。</w:t>
            </w:r>
          </w:p>
        </w:tc>
        <w:tc>
          <w:tcPr>
            <w:tcW w:w="799" w:type="pct"/>
            <w:noWrap w:val="0"/>
            <w:vAlign w:val="center"/>
          </w:tcPr>
          <w:p w14:paraId="4BD4A04A">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0</w:t>
            </w:r>
            <w:r>
              <w:rPr>
                <w:rFonts w:hint="default" w:ascii="Times New Roman" w:hAnsi="Times New Roman" w:eastAsia="宋体" w:cs="Times New Roman"/>
                <w:color w:val="auto"/>
              </w:rPr>
              <w:t>.04412</w:t>
            </w:r>
          </w:p>
        </w:tc>
      </w:tr>
      <w:tr w14:paraId="72B100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continue"/>
            <w:noWrap w:val="0"/>
            <w:vAlign w:val="center"/>
          </w:tcPr>
          <w:p w14:paraId="48CB6C96">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86" w:type="pct"/>
            <w:vMerge w:val="continue"/>
            <w:noWrap w:val="0"/>
            <w:vAlign w:val="center"/>
          </w:tcPr>
          <w:p w14:paraId="27AA3FD7">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378" w:type="pct"/>
            <w:noWrap w:val="0"/>
            <w:vAlign w:val="center"/>
          </w:tcPr>
          <w:p w14:paraId="6671862A">
            <w:pPr>
              <w:keepNext w:val="0"/>
              <w:keepLines w:val="0"/>
              <w:suppressLineNumbers w:val="0"/>
              <w:spacing w:before="0" w:beforeAutospacing="0" w:after="0" w:afterAutospacing="0"/>
              <w:ind w:left="0" w:right="0"/>
              <w:jc w:val="left"/>
              <w:rPr>
                <w:rFonts w:hint="eastAsia" w:ascii="Times New Roman" w:hAnsi="Times New Roman" w:eastAsia="宋体" w:cs="Times New Roman"/>
                <w:color w:val="auto"/>
              </w:rPr>
            </w:pPr>
            <w:r>
              <w:rPr>
                <w:rFonts w:hint="eastAsia" w:ascii="Times New Roman" w:hAnsi="Times New Roman" w:eastAsia="宋体" w:cs="Times New Roman"/>
                <w:color w:val="auto"/>
              </w:rPr>
              <w:t>污染控制措施整体劣于上述措施</w:t>
            </w:r>
          </w:p>
        </w:tc>
        <w:tc>
          <w:tcPr>
            <w:tcW w:w="799" w:type="pct"/>
            <w:noWrap w:val="0"/>
            <w:vAlign w:val="center"/>
          </w:tcPr>
          <w:p w14:paraId="29241698">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0.07149</w:t>
            </w:r>
          </w:p>
        </w:tc>
      </w:tr>
      <w:tr w14:paraId="2B07B7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continue"/>
            <w:noWrap w:val="0"/>
            <w:vAlign w:val="center"/>
          </w:tcPr>
          <w:p w14:paraId="019BDFC1">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86" w:type="pct"/>
            <w:vMerge w:val="restart"/>
            <w:noWrap w:val="0"/>
            <w:vAlign w:val="center"/>
          </w:tcPr>
          <w:p w14:paraId="626E4368">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卸船</w:t>
            </w:r>
          </w:p>
        </w:tc>
        <w:tc>
          <w:tcPr>
            <w:tcW w:w="3378" w:type="pct"/>
            <w:noWrap w:val="0"/>
            <w:vAlign w:val="center"/>
          </w:tcPr>
          <w:p w14:paraId="35FCD7D6">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污染控制措施满足或整体优于以下措施要求：</w:t>
            </w:r>
          </w:p>
          <w:p w14:paraId="5680334C">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1）采用桥式、门座式等抓斗卸船机；</w:t>
            </w:r>
          </w:p>
          <w:p w14:paraId="3CF915E6">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2）卸船机采取防泄漏措施；</w:t>
            </w:r>
          </w:p>
          <w:p w14:paraId="4C709CB1">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3）卸船机皮带头部设置密闭罩，在物料转运处设置导料槽、密闭罩和防尘帘；</w:t>
            </w:r>
          </w:p>
          <w:p w14:paraId="134891EC">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4）在接料斗上口和向码头皮带机供料的导料槽处设置喷嘴组；</w:t>
            </w:r>
          </w:p>
          <w:p w14:paraId="2DD7B559">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5）卸船机行走段皮带机设置挡风板，其他区域皮带机采用防护罩或廊道予以封闭。</w:t>
            </w:r>
          </w:p>
        </w:tc>
        <w:tc>
          <w:tcPr>
            <w:tcW w:w="799" w:type="pct"/>
            <w:noWrap w:val="0"/>
            <w:vAlign w:val="center"/>
          </w:tcPr>
          <w:p w14:paraId="48B42B19">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color w:val="auto"/>
              </w:rPr>
            </w:pPr>
            <w:r>
              <w:rPr>
                <w:rFonts w:hint="eastAsia" w:ascii="Times New Roman" w:hAnsi="Times New Roman" w:eastAsia="宋体" w:cs="Times New Roman"/>
                <w:b/>
                <w:color w:val="auto"/>
              </w:rPr>
              <w:t>0</w:t>
            </w:r>
            <w:r>
              <w:rPr>
                <w:rFonts w:hint="default" w:ascii="Times New Roman" w:hAnsi="Times New Roman" w:eastAsia="宋体" w:cs="Times New Roman"/>
                <w:b/>
                <w:color w:val="auto"/>
              </w:rPr>
              <w:t>.03450</w:t>
            </w:r>
          </w:p>
        </w:tc>
      </w:tr>
      <w:tr w14:paraId="7E2631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continue"/>
            <w:noWrap w:val="0"/>
            <w:vAlign w:val="center"/>
          </w:tcPr>
          <w:p w14:paraId="5DB99210">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86" w:type="pct"/>
            <w:vMerge w:val="continue"/>
            <w:noWrap w:val="0"/>
            <w:vAlign w:val="center"/>
          </w:tcPr>
          <w:p w14:paraId="2453E56B">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378" w:type="pct"/>
            <w:noWrap w:val="0"/>
            <w:vAlign w:val="center"/>
          </w:tcPr>
          <w:p w14:paraId="7C6D4A44">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污染控制措施整体优于下述措施，但劣于上述措施</w:t>
            </w:r>
          </w:p>
        </w:tc>
        <w:tc>
          <w:tcPr>
            <w:tcW w:w="799" w:type="pct"/>
            <w:noWrap w:val="0"/>
            <w:vAlign w:val="center"/>
          </w:tcPr>
          <w:p w14:paraId="5C40677D">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0</w:t>
            </w:r>
            <w:r>
              <w:rPr>
                <w:rFonts w:hint="default" w:ascii="Times New Roman" w:hAnsi="Times New Roman" w:eastAsia="宋体" w:cs="Times New Roman"/>
                <w:color w:val="auto"/>
              </w:rPr>
              <w:t>.04274</w:t>
            </w:r>
          </w:p>
        </w:tc>
      </w:tr>
      <w:tr w14:paraId="6ACE2B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continue"/>
            <w:noWrap w:val="0"/>
            <w:vAlign w:val="center"/>
          </w:tcPr>
          <w:p w14:paraId="4830EFEF">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86" w:type="pct"/>
            <w:vMerge w:val="continue"/>
            <w:noWrap w:val="0"/>
            <w:vAlign w:val="center"/>
          </w:tcPr>
          <w:p w14:paraId="1C3A260B">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378" w:type="pct"/>
            <w:noWrap w:val="0"/>
            <w:vAlign w:val="center"/>
          </w:tcPr>
          <w:p w14:paraId="4DC0D60D">
            <w:pPr>
              <w:keepNext w:val="0"/>
              <w:keepLines w:val="0"/>
              <w:numPr>
                <w:ilvl w:val="0"/>
                <w:numId w:val="11"/>
              </w:numPr>
              <w:suppressLineNumbers w:val="0"/>
              <w:spacing w:before="0" w:beforeAutospacing="0" w:after="0" w:afterAutospacing="0" w:line="300" w:lineRule="exact"/>
              <w:ind w:left="0" w:right="0"/>
              <w:rPr>
                <w:rFonts w:hint="eastAsia" w:cs="Times New Roman"/>
                <w:color w:val="auto"/>
                <w:lang w:eastAsia="zh-CN"/>
              </w:rPr>
            </w:pPr>
            <w:r>
              <w:rPr>
                <w:rFonts w:hint="eastAsia" w:ascii="Times New Roman" w:hAnsi="Times New Roman" w:eastAsia="宋体" w:cs="Times New Roman"/>
                <w:color w:val="auto"/>
              </w:rPr>
              <w:t>采用桥式、门座式等抓斗卸船机</w:t>
            </w:r>
            <w:r>
              <w:rPr>
                <w:rFonts w:hint="eastAsia" w:cs="Times New Roman"/>
                <w:color w:val="auto"/>
                <w:lang w:eastAsia="zh-CN"/>
              </w:rPr>
              <w:t>；</w:t>
            </w:r>
          </w:p>
          <w:p w14:paraId="2286AAD3">
            <w:pPr>
              <w:keepNext w:val="0"/>
              <w:keepLines w:val="0"/>
              <w:numPr>
                <w:ilvl w:val="0"/>
                <w:numId w:val="0"/>
              </w:numPr>
              <w:suppressLineNumbers w:val="0"/>
              <w:spacing w:before="0" w:beforeAutospacing="0" w:after="0" w:afterAutospacing="0" w:line="300" w:lineRule="exact"/>
              <w:ind w:left="0" w:right="0" w:rightChars="0"/>
              <w:rPr>
                <w:rFonts w:hint="eastAsia" w:ascii="Times New Roman" w:hAnsi="Times New Roman" w:eastAsia="宋体" w:cs="Times New Roman"/>
                <w:color w:val="auto"/>
              </w:rPr>
            </w:pPr>
            <w:r>
              <w:rPr>
                <w:rFonts w:hint="eastAsia" w:ascii="Times New Roman" w:hAnsi="Times New Roman" w:eastAsia="宋体" w:cs="Times New Roman"/>
                <w:color w:val="auto"/>
              </w:rPr>
              <w:t>2）卸船机采取防泄漏措施</w:t>
            </w:r>
            <w:r>
              <w:rPr>
                <w:rFonts w:hint="eastAsia" w:cs="Times New Roman"/>
                <w:color w:val="auto"/>
                <w:lang w:eastAsia="zh-CN"/>
              </w:rPr>
              <w:t>；</w:t>
            </w:r>
          </w:p>
          <w:p w14:paraId="5C7B5AED">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3）采用射雾器等设施对码头前沿卸船机卸料、装车作业实施喷雾或洒水抑尘。</w:t>
            </w:r>
          </w:p>
        </w:tc>
        <w:tc>
          <w:tcPr>
            <w:tcW w:w="799" w:type="pct"/>
            <w:noWrap w:val="0"/>
            <w:vAlign w:val="center"/>
          </w:tcPr>
          <w:p w14:paraId="4687FBBD">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0</w:t>
            </w:r>
            <w:r>
              <w:rPr>
                <w:rFonts w:hint="default" w:ascii="Times New Roman" w:hAnsi="Times New Roman" w:eastAsia="宋体" w:cs="Times New Roman"/>
                <w:color w:val="auto"/>
              </w:rPr>
              <w:t>.05098</w:t>
            </w:r>
          </w:p>
        </w:tc>
      </w:tr>
      <w:tr w14:paraId="0CAFBA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continue"/>
            <w:noWrap w:val="0"/>
            <w:vAlign w:val="center"/>
          </w:tcPr>
          <w:p w14:paraId="1EF2486B">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86" w:type="pct"/>
            <w:vMerge w:val="continue"/>
            <w:noWrap w:val="0"/>
            <w:vAlign w:val="center"/>
          </w:tcPr>
          <w:p w14:paraId="6B034705">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378" w:type="pct"/>
            <w:noWrap w:val="0"/>
            <w:vAlign w:val="center"/>
          </w:tcPr>
          <w:p w14:paraId="565C0812">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污染控制措施整体劣于上述措施</w:t>
            </w:r>
          </w:p>
        </w:tc>
        <w:tc>
          <w:tcPr>
            <w:tcW w:w="799" w:type="pct"/>
            <w:noWrap w:val="0"/>
            <w:vAlign w:val="center"/>
          </w:tcPr>
          <w:p w14:paraId="6C4DABE4">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0</w:t>
            </w:r>
            <w:r>
              <w:rPr>
                <w:rFonts w:hint="default" w:ascii="Times New Roman" w:hAnsi="Times New Roman" w:eastAsia="宋体" w:cs="Times New Roman"/>
                <w:color w:val="auto"/>
              </w:rPr>
              <w:t>.07036</w:t>
            </w:r>
          </w:p>
        </w:tc>
      </w:tr>
      <w:tr w14:paraId="091A8F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restart"/>
            <w:noWrap w:val="0"/>
            <w:vAlign w:val="center"/>
          </w:tcPr>
          <w:p w14:paraId="39E9EE5D">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宋体" w:hAnsi="宋体" w:eastAsia="宋体" w:cs="Times New Roman"/>
                <w:color w:val="auto"/>
              </w:rPr>
              <w:t>堆场</w:t>
            </w:r>
          </w:p>
        </w:tc>
        <w:tc>
          <w:tcPr>
            <w:tcW w:w="386" w:type="pct"/>
            <w:vMerge w:val="restart"/>
            <w:noWrap w:val="0"/>
            <w:vAlign w:val="center"/>
          </w:tcPr>
          <w:p w14:paraId="641E421B">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宋体" w:hAnsi="宋体" w:eastAsia="宋体" w:cs="Times New Roman"/>
                <w:color w:val="auto"/>
              </w:rPr>
              <w:t>储存</w:t>
            </w:r>
            <w:r>
              <w:rPr>
                <w:rFonts w:hint="eastAsia" w:ascii="宋体" w:hAnsi="宋体" w:eastAsia="宋体" w:cs="Times New Roman"/>
                <w:color w:val="auto"/>
              </w:rPr>
              <w:t>及堆取料</w:t>
            </w:r>
          </w:p>
        </w:tc>
        <w:tc>
          <w:tcPr>
            <w:tcW w:w="3378" w:type="pct"/>
            <w:noWrap w:val="0"/>
            <w:vAlign w:val="center"/>
          </w:tcPr>
          <w:p w14:paraId="6450505E">
            <w:pPr>
              <w:keepNext w:val="0"/>
              <w:keepLines w:val="0"/>
              <w:suppressLineNumbers w:val="0"/>
              <w:spacing w:before="0" w:beforeAutospacing="0" w:after="0" w:afterAutospacing="0" w:line="300" w:lineRule="exact"/>
              <w:ind w:left="0" w:right="0"/>
              <w:rPr>
                <w:rFonts w:hint="default" w:ascii="宋体" w:hAnsi="宋体" w:eastAsia="宋体" w:cs="Times New Roman"/>
                <w:color w:val="auto"/>
              </w:rPr>
            </w:pPr>
            <w:r>
              <w:rPr>
                <w:rFonts w:hint="eastAsia" w:ascii="宋体" w:hAnsi="宋体" w:eastAsia="宋体" w:cs="Times New Roman"/>
                <w:color w:val="auto"/>
              </w:rPr>
              <w:t>污染控制措施满足或整体优于以下措施要求：</w:t>
            </w:r>
          </w:p>
          <w:p w14:paraId="3E6D1A3D">
            <w:pPr>
              <w:keepNext w:val="0"/>
              <w:keepLines w:val="0"/>
              <w:suppressLineNumbers w:val="0"/>
              <w:spacing w:before="0" w:beforeAutospacing="0" w:after="0" w:afterAutospacing="0" w:line="300" w:lineRule="exact"/>
              <w:ind w:left="0" w:right="0"/>
              <w:rPr>
                <w:rFonts w:hint="eastAsia" w:ascii="宋体" w:hAnsi="宋体" w:eastAsia="宋体" w:cs="Times New Roman"/>
                <w:color w:val="auto"/>
              </w:rPr>
            </w:pPr>
            <w:r>
              <w:rPr>
                <w:rFonts w:hint="eastAsia" w:ascii="Times New Roman" w:hAnsi="Times New Roman" w:eastAsia="宋体" w:cs="Times New Roman"/>
                <w:color w:val="auto"/>
              </w:rPr>
              <w:t>1</w:t>
            </w:r>
            <w:r>
              <w:rPr>
                <w:rFonts w:hint="eastAsia" w:ascii="宋体" w:hAnsi="宋体" w:eastAsia="宋体" w:cs="Times New Roman"/>
                <w:color w:val="auto"/>
              </w:rPr>
              <w:t>）设置闭合式防风网，且高度、开孔率、板型等相关参数选取满足防风抑尘设计要求；</w:t>
            </w:r>
          </w:p>
          <w:p w14:paraId="3C32E37A">
            <w:pPr>
              <w:keepNext w:val="0"/>
              <w:keepLines w:val="0"/>
              <w:suppressLineNumbers w:val="0"/>
              <w:spacing w:before="0" w:beforeAutospacing="0" w:after="0" w:afterAutospacing="0" w:line="300" w:lineRule="exact"/>
              <w:ind w:left="0" w:right="0"/>
              <w:rPr>
                <w:rFonts w:hint="eastAsia" w:ascii="宋体" w:hAnsi="宋体" w:eastAsia="宋体" w:cs="Times New Roman"/>
                <w:color w:val="auto"/>
              </w:rPr>
            </w:pPr>
            <w:r>
              <w:rPr>
                <w:rFonts w:hint="eastAsia" w:ascii="Times New Roman" w:hAnsi="Times New Roman" w:eastAsia="宋体" w:cs="Times New Roman"/>
                <w:color w:val="auto"/>
              </w:rPr>
              <w:t>2)</w:t>
            </w:r>
            <w:r>
              <w:rPr>
                <w:rFonts w:hint="eastAsia" w:ascii="宋体" w:hAnsi="宋体" w:eastAsia="宋体" w:cs="Times New Roman"/>
                <w:color w:val="auto"/>
              </w:rPr>
              <w:t>采用集中程序控制的固定式喷枪洒水抑尘系统，喷枪射流轨迹能够覆盖整个堆垛表面，且喷洒均匀；</w:t>
            </w:r>
          </w:p>
          <w:p w14:paraId="4BE4D9C7">
            <w:pPr>
              <w:keepNext w:val="0"/>
              <w:keepLines w:val="0"/>
              <w:suppressLineNumbers w:val="0"/>
              <w:spacing w:before="0" w:beforeAutospacing="0" w:after="0" w:afterAutospacing="0" w:line="300" w:lineRule="exact"/>
              <w:ind w:left="0" w:right="0"/>
              <w:rPr>
                <w:rFonts w:hint="eastAsia" w:ascii="宋体" w:hAnsi="宋体" w:eastAsia="宋体" w:cs="Times New Roman"/>
                <w:color w:val="auto"/>
              </w:rPr>
            </w:pPr>
            <w:r>
              <w:rPr>
                <w:rFonts w:hint="eastAsia" w:ascii="Times New Roman" w:hAnsi="Times New Roman" w:eastAsia="宋体" w:cs="Times New Roman"/>
                <w:color w:val="auto"/>
              </w:rPr>
              <w:t>3)</w:t>
            </w:r>
            <w:r>
              <w:rPr>
                <w:rFonts w:hint="eastAsia" w:ascii="宋体" w:hAnsi="宋体" w:eastAsia="宋体" w:cs="Times New Roman"/>
                <w:color w:val="auto"/>
              </w:rPr>
              <w:t>除需要与装卸设备配套的皮带机外，其他区域带式输送机应采用防护罩或廊道予以封闭，在跨道路段设置有效的洒漏料接集设施；</w:t>
            </w:r>
          </w:p>
          <w:p w14:paraId="20A39FCB">
            <w:pPr>
              <w:keepNext w:val="0"/>
              <w:keepLines w:val="0"/>
              <w:suppressLineNumbers w:val="0"/>
              <w:spacing w:before="0" w:beforeAutospacing="0" w:after="0" w:afterAutospacing="0" w:line="300" w:lineRule="exact"/>
              <w:ind w:left="0" w:right="0"/>
              <w:rPr>
                <w:rFonts w:hint="eastAsia" w:ascii="宋体" w:hAnsi="宋体" w:eastAsia="宋体" w:cs="Times New Roman"/>
                <w:color w:val="auto"/>
              </w:rPr>
            </w:pPr>
            <w:r>
              <w:rPr>
                <w:rFonts w:hint="eastAsia" w:ascii="Times New Roman" w:hAnsi="Times New Roman" w:eastAsia="宋体" w:cs="Times New Roman"/>
                <w:color w:val="auto"/>
              </w:rPr>
              <w:t>4</w:t>
            </w:r>
            <w:r>
              <w:rPr>
                <w:rFonts w:hint="eastAsia" w:ascii="宋体" w:hAnsi="宋体" w:eastAsia="宋体" w:cs="Times New Roman"/>
                <w:color w:val="auto"/>
              </w:rPr>
              <w:t>）转运站在转接落料处设置导料槽、密封罩、防尘帘等封闭设施</w:t>
            </w:r>
            <w:r>
              <w:rPr>
                <w:rFonts w:hint="eastAsia" w:ascii="宋体" w:hAnsi="宋体" w:cs="Times New Roman"/>
                <w:color w:val="auto"/>
                <w:lang w:eastAsia="zh-CN"/>
              </w:rPr>
              <w:t>，</w:t>
            </w:r>
            <w:r>
              <w:rPr>
                <w:rFonts w:hint="eastAsia" w:ascii="宋体" w:hAnsi="宋体" w:eastAsia="宋体" w:cs="Times New Roman"/>
                <w:color w:val="auto"/>
              </w:rPr>
              <w:t>对布置有带式输送机的楼层予以封闭；</w:t>
            </w:r>
          </w:p>
          <w:p w14:paraId="5F5144B1">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5</w:t>
            </w:r>
            <w:r>
              <w:rPr>
                <w:rFonts w:hint="eastAsia" w:ascii="宋体" w:hAnsi="宋体" w:eastAsia="宋体" w:cs="Times New Roman"/>
                <w:color w:val="auto"/>
              </w:rPr>
              <w:t>）转运站内上游皮带机密闭罩和下游皮带机的导料槽等处设置除尘或抑尘设施；</w:t>
            </w:r>
          </w:p>
          <w:p w14:paraId="3F8A090A">
            <w:pPr>
              <w:keepNext w:val="0"/>
              <w:keepLines w:val="0"/>
              <w:suppressLineNumbers w:val="0"/>
              <w:spacing w:before="0" w:beforeAutospacing="0" w:after="0" w:afterAutospacing="0" w:line="300" w:lineRule="exact"/>
              <w:ind w:left="0" w:right="0"/>
              <w:rPr>
                <w:rFonts w:hint="default" w:ascii="宋体" w:hAnsi="宋体" w:eastAsia="宋体" w:cs="Times New Roman"/>
                <w:color w:val="auto"/>
              </w:rPr>
            </w:pPr>
            <w:r>
              <w:rPr>
                <w:rFonts w:hint="eastAsia" w:ascii="Times New Roman" w:hAnsi="Times New Roman" w:eastAsia="宋体" w:cs="Times New Roman"/>
                <w:color w:val="auto"/>
              </w:rPr>
              <w:t>6</w:t>
            </w:r>
            <w:r>
              <w:rPr>
                <w:rFonts w:hint="eastAsia" w:ascii="宋体" w:hAnsi="宋体" w:eastAsia="宋体" w:cs="Times New Roman"/>
                <w:color w:val="auto"/>
              </w:rPr>
              <w:t>）堆料机在尾车头部、臂架皮带机导料槽和臂架头部处设置喷嘴组；</w:t>
            </w:r>
          </w:p>
          <w:p w14:paraId="4F2A8937">
            <w:pPr>
              <w:keepNext w:val="0"/>
              <w:keepLines w:val="0"/>
              <w:suppressLineNumbers w:val="0"/>
              <w:spacing w:before="0" w:beforeAutospacing="0" w:after="0" w:afterAutospacing="0" w:line="300" w:lineRule="exact"/>
              <w:ind w:left="0" w:right="0"/>
              <w:rPr>
                <w:rFonts w:hint="eastAsia" w:ascii="宋体" w:hAnsi="宋体" w:eastAsia="宋体" w:cs="Times New Roman"/>
                <w:color w:val="auto"/>
              </w:rPr>
            </w:pPr>
            <w:r>
              <w:rPr>
                <w:rFonts w:hint="eastAsia" w:ascii="Times New Roman" w:hAnsi="Times New Roman" w:eastAsia="宋体" w:cs="Times New Roman"/>
                <w:color w:val="auto"/>
              </w:rPr>
              <w:t>7</w:t>
            </w:r>
            <w:r>
              <w:rPr>
                <w:rFonts w:hint="eastAsia" w:ascii="宋体" w:hAnsi="宋体" w:eastAsia="宋体" w:cs="Times New Roman"/>
                <w:color w:val="auto"/>
              </w:rPr>
              <w:t>）取料机在斗轮、中心漏斗和地面皮带导料槽处设置喷嘴组；</w:t>
            </w:r>
          </w:p>
          <w:p w14:paraId="79F39B49">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8</w:t>
            </w:r>
            <w:r>
              <w:rPr>
                <w:rFonts w:hint="eastAsia" w:ascii="宋体" w:hAnsi="宋体" w:eastAsia="宋体" w:cs="Times New Roman"/>
                <w:color w:val="auto"/>
              </w:rPr>
              <w:t>）对于中周转频率低的堆垛采用</w:t>
            </w:r>
            <w:r>
              <w:rPr>
                <w:rFonts w:hint="eastAsia" w:ascii="宋体" w:hAnsi="宋体" w:cs="Times New Roman"/>
                <w:color w:val="auto"/>
                <w:lang w:eastAsia="zh-CN"/>
              </w:rPr>
              <w:t>苫盖</w:t>
            </w:r>
            <w:r>
              <w:rPr>
                <w:rFonts w:hint="eastAsia" w:ascii="宋体" w:hAnsi="宋体" w:eastAsia="宋体" w:cs="Times New Roman"/>
                <w:color w:val="auto"/>
              </w:rPr>
              <w:t>、化学药剂喷洒覆盖等辅助抑尘措施；</w:t>
            </w:r>
          </w:p>
          <w:p w14:paraId="3CCA7425">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9</w:t>
            </w:r>
            <w:r>
              <w:rPr>
                <w:rFonts w:hint="eastAsia" w:ascii="宋体" w:hAnsi="宋体" w:eastAsia="宋体" w:cs="Times New Roman"/>
                <w:color w:val="auto"/>
              </w:rPr>
              <w:t>）场地实施临时或永久性铺面硬化，堆存区域与场内道路采取有效的隔离措施。</w:t>
            </w:r>
          </w:p>
        </w:tc>
        <w:tc>
          <w:tcPr>
            <w:tcW w:w="799" w:type="pct"/>
            <w:noWrap w:val="0"/>
            <w:vAlign w:val="center"/>
          </w:tcPr>
          <w:p w14:paraId="4291EB4A">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0.19365</w:t>
            </w:r>
          </w:p>
        </w:tc>
      </w:tr>
      <w:tr w14:paraId="0D9373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continue"/>
            <w:noWrap w:val="0"/>
            <w:vAlign w:val="center"/>
          </w:tcPr>
          <w:p w14:paraId="643636C1">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86" w:type="pct"/>
            <w:vMerge w:val="continue"/>
            <w:noWrap w:val="0"/>
            <w:vAlign w:val="center"/>
          </w:tcPr>
          <w:p w14:paraId="3648988E">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378" w:type="pct"/>
            <w:noWrap w:val="0"/>
            <w:vAlign w:val="center"/>
          </w:tcPr>
          <w:p w14:paraId="14B3E99D">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eastAsia" w:ascii="宋体" w:hAnsi="宋体" w:eastAsia="宋体" w:cs="Times New Roman"/>
                <w:color w:val="auto"/>
              </w:rPr>
              <w:t>污染控制措施整体优于下述措施，但劣于上述措施</w:t>
            </w:r>
          </w:p>
        </w:tc>
        <w:tc>
          <w:tcPr>
            <w:tcW w:w="799" w:type="pct"/>
            <w:noWrap w:val="0"/>
            <w:vAlign w:val="center"/>
          </w:tcPr>
          <w:p w14:paraId="4F009BCB">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0.25097</w:t>
            </w:r>
          </w:p>
        </w:tc>
      </w:tr>
      <w:tr w14:paraId="52226C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continue"/>
            <w:noWrap w:val="0"/>
            <w:vAlign w:val="center"/>
          </w:tcPr>
          <w:p w14:paraId="2BA71480">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86" w:type="pct"/>
            <w:vMerge w:val="continue"/>
            <w:noWrap w:val="0"/>
            <w:vAlign w:val="center"/>
          </w:tcPr>
          <w:p w14:paraId="6474B475">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378" w:type="pct"/>
            <w:noWrap w:val="0"/>
            <w:vAlign w:val="center"/>
          </w:tcPr>
          <w:p w14:paraId="67A1DF40">
            <w:pPr>
              <w:keepNext w:val="0"/>
              <w:keepLines w:val="0"/>
              <w:suppressLineNumbers w:val="0"/>
              <w:spacing w:before="0" w:beforeAutospacing="0" w:after="0" w:afterAutospacing="0" w:line="300" w:lineRule="exact"/>
              <w:ind w:left="0" w:right="0"/>
              <w:rPr>
                <w:rFonts w:hint="default" w:ascii="宋体" w:hAnsi="宋体" w:eastAsia="宋体" w:cs="Times New Roman"/>
                <w:color w:val="auto"/>
              </w:rPr>
            </w:pPr>
            <w:r>
              <w:rPr>
                <w:rFonts w:hint="eastAsia" w:ascii="Times New Roman" w:hAnsi="Times New Roman" w:eastAsia="宋体" w:cs="Times New Roman"/>
                <w:color w:val="auto"/>
              </w:rPr>
              <w:t>1</w:t>
            </w:r>
            <w:r>
              <w:rPr>
                <w:rFonts w:hint="eastAsia" w:ascii="宋体" w:hAnsi="宋体" w:eastAsia="宋体" w:cs="Times New Roman"/>
                <w:color w:val="auto"/>
              </w:rPr>
              <w:t>）堆场设置防风网，且平面布置、高度、开孔率、板型等相关参数选取满足防风抑尘设计要求</w:t>
            </w:r>
            <w:r>
              <w:rPr>
                <w:rFonts w:hint="eastAsia" w:ascii="Times New Roman" w:hAnsi="Times New Roman" w:eastAsia="宋体" w:cs="Times New Roman"/>
                <w:color w:val="auto"/>
              </w:rPr>
              <w:t>；</w:t>
            </w:r>
          </w:p>
          <w:p w14:paraId="7E5FF383">
            <w:pPr>
              <w:keepNext w:val="0"/>
              <w:keepLines w:val="0"/>
              <w:suppressLineNumbers w:val="0"/>
              <w:spacing w:before="0" w:beforeAutospacing="0" w:after="0" w:afterAutospacing="0" w:line="300" w:lineRule="exact"/>
              <w:ind w:left="0" w:right="0"/>
              <w:rPr>
                <w:rFonts w:hint="eastAsia" w:ascii="宋体" w:hAnsi="宋体" w:eastAsia="宋体" w:cs="Times New Roman"/>
                <w:color w:val="auto"/>
              </w:rPr>
            </w:pPr>
            <w:r>
              <w:rPr>
                <w:rFonts w:hint="eastAsia" w:ascii="Times New Roman" w:hAnsi="Times New Roman" w:eastAsia="宋体" w:cs="Times New Roman"/>
                <w:color w:val="auto"/>
              </w:rPr>
              <w:t>2</w:t>
            </w:r>
            <w:r>
              <w:rPr>
                <w:rFonts w:hint="eastAsia" w:ascii="宋体" w:hAnsi="宋体" w:eastAsia="宋体" w:cs="Times New Roman"/>
                <w:color w:val="auto"/>
              </w:rPr>
              <w:t>）设置固定式喷枪洒水装置</w:t>
            </w:r>
            <w:r>
              <w:rPr>
                <w:rFonts w:hint="eastAsia" w:ascii="Times New Roman" w:hAnsi="Times New Roman" w:eastAsia="宋体" w:cs="Times New Roman"/>
                <w:color w:val="auto"/>
              </w:rPr>
              <w:t>；</w:t>
            </w:r>
          </w:p>
          <w:p w14:paraId="24A4AE5D">
            <w:pPr>
              <w:keepNext w:val="0"/>
              <w:keepLines w:val="0"/>
              <w:suppressLineNumbers w:val="0"/>
              <w:spacing w:before="0" w:beforeAutospacing="0" w:after="0" w:afterAutospacing="0" w:line="300" w:lineRule="exact"/>
              <w:ind w:left="0" w:right="0"/>
              <w:rPr>
                <w:rFonts w:hint="eastAsia" w:ascii="宋体" w:hAnsi="宋体" w:cs="Times New Roman"/>
                <w:color w:val="auto"/>
                <w:lang w:eastAsia="zh-CN"/>
              </w:rPr>
            </w:pPr>
            <w:r>
              <w:rPr>
                <w:rFonts w:hint="eastAsia" w:ascii="Times New Roman" w:hAnsi="Times New Roman" w:eastAsia="宋体" w:cs="Times New Roman"/>
                <w:color w:val="auto"/>
              </w:rPr>
              <w:t>3</w:t>
            </w:r>
            <w:r>
              <w:rPr>
                <w:rFonts w:hint="eastAsia" w:ascii="宋体" w:hAnsi="宋体" w:eastAsia="宋体" w:cs="Times New Roman"/>
                <w:color w:val="auto"/>
              </w:rPr>
              <w:t>）运输车辆车厢应采取有效的封闭或苫盖措施</w:t>
            </w:r>
            <w:r>
              <w:rPr>
                <w:rFonts w:hint="eastAsia" w:ascii="宋体" w:hAnsi="宋体" w:cs="Times New Roman"/>
                <w:color w:val="auto"/>
                <w:lang w:eastAsia="zh-CN"/>
              </w:rPr>
              <w:t>；</w:t>
            </w:r>
          </w:p>
          <w:p w14:paraId="50CCD973">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宋体" w:hAnsi="宋体" w:eastAsia="宋体" w:cs="Times New Roman"/>
                <w:color w:val="auto"/>
              </w:rPr>
              <w:t>）堆存区域与场内道路采取有效的隔离措施。</w:t>
            </w:r>
          </w:p>
        </w:tc>
        <w:tc>
          <w:tcPr>
            <w:tcW w:w="799" w:type="pct"/>
            <w:noWrap w:val="0"/>
            <w:vAlign w:val="center"/>
          </w:tcPr>
          <w:p w14:paraId="276FAA1C">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0.30830</w:t>
            </w:r>
          </w:p>
        </w:tc>
      </w:tr>
      <w:tr w14:paraId="3D47FB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continue"/>
            <w:noWrap w:val="0"/>
            <w:vAlign w:val="center"/>
          </w:tcPr>
          <w:p w14:paraId="1262385F">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86" w:type="pct"/>
            <w:vMerge w:val="continue"/>
            <w:noWrap w:val="0"/>
            <w:vAlign w:val="center"/>
          </w:tcPr>
          <w:p w14:paraId="5CF38A23">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378" w:type="pct"/>
            <w:noWrap w:val="0"/>
            <w:vAlign w:val="center"/>
          </w:tcPr>
          <w:p w14:paraId="318604C2">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eastAsia" w:ascii="宋体" w:hAnsi="宋体" w:eastAsia="宋体" w:cs="Times New Roman"/>
                <w:color w:val="auto"/>
              </w:rPr>
              <w:t>污染控制措施整体劣于上述措施</w:t>
            </w:r>
          </w:p>
        </w:tc>
        <w:tc>
          <w:tcPr>
            <w:tcW w:w="799" w:type="pct"/>
            <w:noWrap w:val="0"/>
            <w:vAlign w:val="center"/>
          </w:tcPr>
          <w:p w14:paraId="7E5991FF">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0.68025</w:t>
            </w:r>
          </w:p>
        </w:tc>
      </w:tr>
      <w:tr w14:paraId="2F3B75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restart"/>
            <w:noWrap w:val="0"/>
            <w:vAlign w:val="center"/>
          </w:tcPr>
          <w:p w14:paraId="1A71ED53">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eastAsia" w:cs="Times New Roman"/>
                <w:color w:val="auto"/>
                <w:lang w:eastAsia="zh-CN"/>
              </w:rPr>
              <w:t>运输</w:t>
            </w:r>
            <w:r>
              <w:rPr>
                <w:rFonts w:hint="default" w:ascii="Times New Roman" w:hAnsi="Times New Roman" w:eastAsia="宋体" w:cs="Times New Roman"/>
                <w:color w:val="auto"/>
              </w:rPr>
              <w:t>系统</w:t>
            </w:r>
          </w:p>
        </w:tc>
        <w:tc>
          <w:tcPr>
            <w:tcW w:w="386" w:type="pct"/>
            <w:vMerge w:val="restart"/>
            <w:noWrap w:val="0"/>
            <w:vAlign w:val="center"/>
          </w:tcPr>
          <w:p w14:paraId="69383617">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卸车</w:t>
            </w:r>
          </w:p>
        </w:tc>
        <w:tc>
          <w:tcPr>
            <w:tcW w:w="3378" w:type="pct"/>
            <w:noWrap w:val="0"/>
            <w:vAlign w:val="center"/>
          </w:tcPr>
          <w:p w14:paraId="33A961AA">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污染控制措施满足或整体优于以下措施要求</w:t>
            </w:r>
            <w:r>
              <w:rPr>
                <w:rFonts w:hint="eastAsia" w:cs="Times New Roman"/>
                <w:color w:val="auto"/>
                <w:lang w:eastAsia="zh-CN"/>
              </w:rPr>
              <w:t>：</w:t>
            </w:r>
          </w:p>
          <w:p w14:paraId="71A170EA">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1）采用基坑式卸车方式</w:t>
            </w:r>
            <w:r>
              <w:rPr>
                <w:rFonts w:hint="eastAsia" w:cs="Times New Roman"/>
                <w:color w:val="auto"/>
                <w:lang w:eastAsia="zh-CN"/>
              </w:rPr>
              <w:t>；</w:t>
            </w:r>
          </w:p>
          <w:p w14:paraId="3991BCC1">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2）卸车点处于封闭或者半封闭设施内部</w:t>
            </w:r>
            <w:r>
              <w:rPr>
                <w:rFonts w:hint="eastAsia" w:cs="Times New Roman"/>
                <w:color w:val="auto"/>
                <w:lang w:eastAsia="zh-CN"/>
              </w:rPr>
              <w:t>；</w:t>
            </w:r>
          </w:p>
          <w:p w14:paraId="3AACE87B">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3）基坑皮带机导料槽物料转运处设置水雾抑尘设施。</w:t>
            </w:r>
          </w:p>
        </w:tc>
        <w:tc>
          <w:tcPr>
            <w:tcW w:w="799" w:type="pct"/>
            <w:noWrap w:val="0"/>
            <w:vAlign w:val="center"/>
          </w:tcPr>
          <w:p w14:paraId="0E93A492">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color w:val="auto"/>
              </w:rPr>
            </w:pPr>
            <w:r>
              <w:rPr>
                <w:rFonts w:hint="eastAsia" w:ascii="Times New Roman" w:hAnsi="Times New Roman" w:eastAsia="宋体" w:cs="Times New Roman"/>
                <w:b/>
                <w:color w:val="auto"/>
              </w:rPr>
              <w:t>0</w:t>
            </w:r>
            <w:r>
              <w:rPr>
                <w:rFonts w:hint="default" w:ascii="Times New Roman" w:hAnsi="Times New Roman" w:eastAsia="宋体" w:cs="Times New Roman"/>
                <w:b/>
                <w:color w:val="auto"/>
              </w:rPr>
              <w:t>.01539</w:t>
            </w:r>
          </w:p>
        </w:tc>
      </w:tr>
      <w:tr w14:paraId="0E988F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continue"/>
            <w:noWrap w:val="0"/>
            <w:vAlign w:val="center"/>
          </w:tcPr>
          <w:p w14:paraId="654A1937">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86" w:type="pct"/>
            <w:vMerge w:val="continue"/>
            <w:noWrap w:val="0"/>
            <w:vAlign w:val="center"/>
          </w:tcPr>
          <w:p w14:paraId="4FFE826B">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378" w:type="pct"/>
            <w:noWrap w:val="0"/>
            <w:vAlign w:val="center"/>
          </w:tcPr>
          <w:p w14:paraId="2B888F63">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污染控制措施整体优于下述措施，但劣于上述措施</w:t>
            </w:r>
          </w:p>
        </w:tc>
        <w:tc>
          <w:tcPr>
            <w:tcW w:w="799" w:type="pct"/>
            <w:noWrap w:val="0"/>
            <w:vAlign w:val="center"/>
          </w:tcPr>
          <w:p w14:paraId="739AE9A4">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w:t>
            </w:r>
            <w:r>
              <w:rPr>
                <w:rFonts w:hint="default" w:ascii="Times New Roman" w:hAnsi="Times New Roman" w:eastAsia="宋体" w:cs="Times New Roman"/>
                <w:color w:val="auto"/>
              </w:rPr>
              <w:t>.04191</w:t>
            </w:r>
          </w:p>
        </w:tc>
      </w:tr>
      <w:tr w14:paraId="52991C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continue"/>
            <w:noWrap w:val="0"/>
            <w:vAlign w:val="center"/>
          </w:tcPr>
          <w:p w14:paraId="33C39D86">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86" w:type="pct"/>
            <w:vMerge w:val="continue"/>
            <w:noWrap w:val="0"/>
            <w:vAlign w:val="center"/>
          </w:tcPr>
          <w:p w14:paraId="3F348055">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378" w:type="pct"/>
            <w:noWrap w:val="0"/>
            <w:vAlign w:val="center"/>
          </w:tcPr>
          <w:p w14:paraId="7C36260A">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1）采用非基坑式卸车</w:t>
            </w:r>
            <w:r>
              <w:rPr>
                <w:rFonts w:hint="eastAsia" w:ascii="Times New Roman" w:hAnsi="Times New Roman" w:eastAsia="宋体" w:cs="Times New Roman"/>
                <w:color w:val="auto"/>
                <w:vertAlign w:val="superscript"/>
              </w:rPr>
              <w:t>c</w:t>
            </w:r>
            <w:r>
              <w:rPr>
                <w:rFonts w:hint="eastAsia" w:ascii="Times New Roman" w:hAnsi="Times New Roman" w:eastAsia="宋体" w:cs="Times New Roman"/>
                <w:color w:val="auto"/>
              </w:rPr>
              <w:t>；</w:t>
            </w:r>
          </w:p>
          <w:p w14:paraId="51007CCD">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2）卸车作业时采取有效的湿式抑尘设施。</w:t>
            </w:r>
          </w:p>
        </w:tc>
        <w:tc>
          <w:tcPr>
            <w:tcW w:w="799" w:type="pct"/>
            <w:noWrap w:val="0"/>
            <w:vAlign w:val="center"/>
          </w:tcPr>
          <w:p w14:paraId="38FAF684">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w:t>
            </w:r>
            <w:r>
              <w:rPr>
                <w:rFonts w:hint="default" w:ascii="Times New Roman" w:hAnsi="Times New Roman" w:eastAsia="宋体" w:cs="Times New Roman"/>
                <w:color w:val="auto"/>
              </w:rPr>
              <w:t>.06842</w:t>
            </w:r>
          </w:p>
        </w:tc>
      </w:tr>
      <w:tr w14:paraId="4D8343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continue"/>
            <w:noWrap w:val="0"/>
            <w:vAlign w:val="center"/>
          </w:tcPr>
          <w:p w14:paraId="74A366CE">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86" w:type="pct"/>
            <w:vMerge w:val="continue"/>
            <w:noWrap w:val="0"/>
            <w:vAlign w:val="center"/>
          </w:tcPr>
          <w:p w14:paraId="235E6D2F">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378" w:type="pct"/>
            <w:noWrap w:val="0"/>
            <w:vAlign w:val="center"/>
          </w:tcPr>
          <w:p w14:paraId="3CF7E4A5">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污染控制措施整体劣于上述措施</w:t>
            </w:r>
          </w:p>
        </w:tc>
        <w:tc>
          <w:tcPr>
            <w:tcW w:w="799" w:type="pct"/>
            <w:noWrap w:val="0"/>
            <w:vAlign w:val="center"/>
          </w:tcPr>
          <w:p w14:paraId="4E508ECB">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w:t>
            </w:r>
            <w:r>
              <w:rPr>
                <w:rFonts w:hint="default" w:ascii="Times New Roman" w:hAnsi="Times New Roman" w:eastAsia="宋体" w:cs="Times New Roman"/>
                <w:color w:val="auto"/>
              </w:rPr>
              <w:t>.08036</w:t>
            </w:r>
          </w:p>
        </w:tc>
      </w:tr>
      <w:tr w14:paraId="14B2CC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continue"/>
            <w:noWrap w:val="0"/>
            <w:vAlign w:val="center"/>
          </w:tcPr>
          <w:p w14:paraId="4443D7A0">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86" w:type="pct"/>
            <w:vMerge w:val="restart"/>
            <w:noWrap w:val="0"/>
            <w:vAlign w:val="center"/>
          </w:tcPr>
          <w:p w14:paraId="221C963F">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装车</w:t>
            </w:r>
          </w:p>
        </w:tc>
        <w:tc>
          <w:tcPr>
            <w:tcW w:w="3378" w:type="pct"/>
            <w:noWrap w:val="0"/>
            <w:vAlign w:val="center"/>
          </w:tcPr>
          <w:p w14:paraId="5AD63B2D">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1）采用非连续式装车</w:t>
            </w:r>
            <w:r>
              <w:rPr>
                <w:rFonts w:hint="eastAsia" w:ascii="Times New Roman" w:hAnsi="Times New Roman" w:eastAsia="宋体" w:cs="Times New Roman"/>
                <w:color w:val="auto"/>
                <w:vertAlign w:val="superscript"/>
              </w:rPr>
              <w:t>d</w:t>
            </w:r>
            <w:r>
              <w:rPr>
                <w:rFonts w:hint="eastAsia" w:ascii="Times New Roman" w:hAnsi="Times New Roman" w:eastAsia="宋体" w:cs="Times New Roman"/>
                <w:color w:val="auto"/>
              </w:rPr>
              <w:t>;</w:t>
            </w:r>
          </w:p>
          <w:p w14:paraId="28844E37">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2）装车作业时采取有效的湿式抑尘设施。</w:t>
            </w:r>
          </w:p>
        </w:tc>
        <w:tc>
          <w:tcPr>
            <w:tcW w:w="799" w:type="pct"/>
            <w:noWrap w:val="0"/>
            <w:vAlign w:val="center"/>
          </w:tcPr>
          <w:p w14:paraId="6D3718FE">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color w:val="auto"/>
              </w:rPr>
            </w:pPr>
            <w:r>
              <w:rPr>
                <w:rFonts w:hint="eastAsia" w:ascii="Times New Roman" w:hAnsi="Times New Roman" w:eastAsia="宋体" w:cs="Times New Roman"/>
                <w:b/>
                <w:color w:val="auto"/>
              </w:rPr>
              <w:t>0</w:t>
            </w:r>
            <w:r>
              <w:rPr>
                <w:rFonts w:hint="default" w:ascii="Times New Roman" w:hAnsi="Times New Roman" w:eastAsia="宋体" w:cs="Times New Roman"/>
                <w:b/>
                <w:color w:val="auto"/>
              </w:rPr>
              <w:t>.01385</w:t>
            </w:r>
          </w:p>
        </w:tc>
      </w:tr>
      <w:tr w14:paraId="49ED1C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continue"/>
            <w:noWrap w:val="0"/>
            <w:vAlign w:val="center"/>
          </w:tcPr>
          <w:p w14:paraId="52442F02">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86" w:type="pct"/>
            <w:vMerge w:val="continue"/>
            <w:noWrap w:val="0"/>
            <w:vAlign w:val="center"/>
          </w:tcPr>
          <w:p w14:paraId="5D09887C">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378" w:type="pct"/>
            <w:noWrap w:val="0"/>
            <w:vAlign w:val="center"/>
          </w:tcPr>
          <w:p w14:paraId="133AB2F9">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污染控制措施整体优于下述措施，但劣于上述措施</w:t>
            </w:r>
          </w:p>
        </w:tc>
        <w:tc>
          <w:tcPr>
            <w:tcW w:w="799" w:type="pct"/>
            <w:noWrap w:val="0"/>
            <w:vAlign w:val="center"/>
          </w:tcPr>
          <w:p w14:paraId="303F3E81">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w:t>
            </w:r>
            <w:r>
              <w:rPr>
                <w:rFonts w:hint="default" w:ascii="Times New Roman" w:hAnsi="Times New Roman" w:eastAsia="宋体" w:cs="Times New Roman"/>
                <w:color w:val="auto"/>
              </w:rPr>
              <w:t>.02689</w:t>
            </w:r>
          </w:p>
        </w:tc>
      </w:tr>
      <w:tr w14:paraId="74317E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continue"/>
            <w:noWrap w:val="0"/>
            <w:vAlign w:val="center"/>
          </w:tcPr>
          <w:p w14:paraId="06DC07D2">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86" w:type="pct"/>
            <w:vMerge w:val="continue"/>
            <w:noWrap w:val="0"/>
            <w:vAlign w:val="center"/>
          </w:tcPr>
          <w:p w14:paraId="163DBC70">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378" w:type="pct"/>
            <w:noWrap w:val="0"/>
            <w:vAlign w:val="center"/>
          </w:tcPr>
          <w:p w14:paraId="0A44F467">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1）采用非连续式装车</w:t>
            </w:r>
            <w:r>
              <w:rPr>
                <w:rFonts w:hint="eastAsia" w:ascii="Times New Roman" w:hAnsi="Times New Roman" w:eastAsia="宋体" w:cs="Times New Roman"/>
                <w:color w:val="auto"/>
                <w:vertAlign w:val="superscript"/>
              </w:rPr>
              <w:t>e</w:t>
            </w:r>
            <w:r>
              <w:rPr>
                <w:rFonts w:hint="eastAsia" w:ascii="Times New Roman" w:hAnsi="Times New Roman" w:eastAsia="宋体" w:cs="Times New Roman"/>
                <w:color w:val="auto"/>
              </w:rPr>
              <w:t>;</w:t>
            </w:r>
          </w:p>
          <w:p w14:paraId="1A915309">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2）装车作业时采取有效的湿式抑尘设施。</w:t>
            </w:r>
          </w:p>
        </w:tc>
        <w:tc>
          <w:tcPr>
            <w:tcW w:w="799" w:type="pct"/>
            <w:noWrap w:val="0"/>
            <w:vAlign w:val="center"/>
          </w:tcPr>
          <w:p w14:paraId="7F7859B9">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w:t>
            </w:r>
            <w:r>
              <w:rPr>
                <w:rFonts w:hint="default" w:ascii="Times New Roman" w:hAnsi="Times New Roman" w:eastAsia="宋体" w:cs="Times New Roman"/>
                <w:color w:val="auto"/>
              </w:rPr>
              <w:t>.03992</w:t>
            </w:r>
          </w:p>
        </w:tc>
      </w:tr>
      <w:tr w14:paraId="1CFE6E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435" w:type="pct"/>
            <w:vMerge w:val="continue"/>
            <w:noWrap w:val="0"/>
            <w:vAlign w:val="center"/>
          </w:tcPr>
          <w:p w14:paraId="6F6FA412">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86" w:type="pct"/>
            <w:vMerge w:val="continue"/>
            <w:noWrap w:val="0"/>
            <w:vAlign w:val="center"/>
          </w:tcPr>
          <w:p w14:paraId="50DEED0E">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378" w:type="pct"/>
            <w:noWrap w:val="0"/>
            <w:vAlign w:val="center"/>
          </w:tcPr>
          <w:p w14:paraId="144151E7">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污染控制措施整体劣于上述措施</w:t>
            </w:r>
          </w:p>
        </w:tc>
        <w:tc>
          <w:tcPr>
            <w:tcW w:w="799" w:type="pct"/>
            <w:noWrap w:val="0"/>
            <w:vAlign w:val="center"/>
          </w:tcPr>
          <w:p w14:paraId="4804D653">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w:t>
            </w:r>
            <w:r>
              <w:rPr>
                <w:rFonts w:hint="default" w:ascii="Times New Roman" w:hAnsi="Times New Roman" w:eastAsia="宋体" w:cs="Times New Roman"/>
                <w:color w:val="auto"/>
              </w:rPr>
              <w:t>.04441</w:t>
            </w:r>
          </w:p>
        </w:tc>
      </w:tr>
      <w:tr w14:paraId="21FF5B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000" w:type="pct"/>
            <w:gridSpan w:val="4"/>
            <w:noWrap w:val="0"/>
            <w:vAlign w:val="center"/>
          </w:tcPr>
          <w:p w14:paraId="1BA05160">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注</w:t>
            </w:r>
            <w:r>
              <w:rPr>
                <w:rFonts w:hint="eastAsia" w:cs="Times New Roman"/>
                <w:color w:val="auto"/>
                <w:lang w:eastAsia="zh-CN"/>
              </w:rPr>
              <w:t>：</w:t>
            </w:r>
            <w:r>
              <w:rPr>
                <w:rFonts w:hint="eastAsia" w:ascii="Times New Roman" w:hAnsi="Times New Roman" w:eastAsia="宋体" w:cs="Times New Roman"/>
                <w:color w:val="auto"/>
              </w:rPr>
              <w:t>a对于散粮、水泥等干散货物料无法采取湿法除尘/抑尘设施的，在各工艺环节起尘部位应采取相应的干式除尘设施；</w:t>
            </w:r>
          </w:p>
          <w:p w14:paraId="7B220BFF">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b除连续式装船机以外的装船方式，如抓斗式、自卸车配套溜槽等。</w:t>
            </w:r>
          </w:p>
          <w:p w14:paraId="051C11C7">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c除基坑式卸车以外的卸车方式，如挖掘机卸车、人工卸车等。</w:t>
            </w:r>
          </w:p>
          <w:p w14:paraId="22575E19">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d采用装车楼、移动式火车装车机等连续给料装车方式。</w:t>
            </w:r>
          </w:p>
          <w:p w14:paraId="41C9C7DD">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e采用装载机、挖掘机等非连续给料方式装车。</w:t>
            </w:r>
          </w:p>
        </w:tc>
      </w:tr>
    </w:tbl>
    <w:p w14:paraId="0EBACA7D">
      <w:pPr>
        <w:spacing w:line="300" w:lineRule="exact"/>
        <w:jc w:val="center"/>
        <w:rPr>
          <w:rFonts w:ascii="Times New Roman" w:hAnsi="Times New Roman" w:eastAsia="黑体" w:cs="Times New Roman"/>
          <w:color w:val="auto"/>
          <w:sz w:val="24"/>
        </w:rPr>
      </w:pPr>
    </w:p>
    <w:p w14:paraId="195D738E">
      <w:pPr>
        <w:spacing w:line="300" w:lineRule="exact"/>
        <w:jc w:val="center"/>
        <w:rPr>
          <w:rFonts w:ascii="Times New Roman" w:hAnsi="Times New Roman" w:eastAsia="黑体" w:cs="Times New Roman"/>
          <w:color w:val="auto"/>
          <w:sz w:val="24"/>
        </w:rPr>
      </w:pPr>
      <w:r>
        <w:rPr>
          <w:rFonts w:ascii="Times New Roman" w:hAnsi="Times New Roman" w:eastAsia="黑体" w:cs="Times New Roman"/>
          <w:color w:val="auto"/>
          <w:sz w:val="24"/>
        </w:rPr>
        <w:t>表3.3-1</w:t>
      </w:r>
      <w:r>
        <w:rPr>
          <w:rFonts w:hint="eastAsia" w:ascii="Times New Roman" w:hAnsi="Times New Roman" w:eastAsia="黑体" w:cs="Times New Roman"/>
          <w:color w:val="auto"/>
          <w:sz w:val="24"/>
        </w:rPr>
        <w:t>1</w:t>
      </w:r>
      <w:r>
        <w:rPr>
          <w:rFonts w:ascii="Times New Roman" w:hAnsi="Times New Roman" w:eastAsia="黑体" w:cs="Times New Roman"/>
          <w:color w:val="auto"/>
          <w:sz w:val="24"/>
        </w:rPr>
        <w:t xml:space="preserve">  货类起尘调节系数取值表</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43"/>
        <w:gridCol w:w="4644"/>
      </w:tblGrid>
      <w:tr w14:paraId="0E3BF0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198" w:hRule="atLeast"/>
          <w:jc w:val="center"/>
        </w:trPr>
        <w:tc>
          <w:tcPr>
            <w:tcW w:w="4643" w:type="dxa"/>
            <w:noWrap w:val="0"/>
            <w:vAlign w:val="center"/>
          </w:tcPr>
          <w:p w14:paraId="6762B45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货类</w:t>
            </w:r>
          </w:p>
        </w:tc>
        <w:tc>
          <w:tcPr>
            <w:tcW w:w="4644" w:type="dxa"/>
            <w:noWrap w:val="0"/>
            <w:vAlign w:val="center"/>
          </w:tcPr>
          <w:p w14:paraId="52E46EE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系数值</w:t>
            </w:r>
          </w:p>
        </w:tc>
      </w:tr>
      <w:tr w14:paraId="4964EC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643" w:type="dxa"/>
            <w:noWrap w:val="0"/>
            <w:vAlign w:val="center"/>
          </w:tcPr>
          <w:p w14:paraId="1D1BA9B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煤炭</w:t>
            </w:r>
          </w:p>
        </w:tc>
        <w:tc>
          <w:tcPr>
            <w:tcW w:w="4644" w:type="dxa"/>
            <w:noWrap w:val="0"/>
            <w:vAlign w:val="center"/>
          </w:tcPr>
          <w:p w14:paraId="2A0A1FD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1.0</w:t>
            </w:r>
          </w:p>
        </w:tc>
      </w:tr>
      <w:tr w14:paraId="4C75A1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643" w:type="dxa"/>
            <w:noWrap w:val="0"/>
            <w:vAlign w:val="center"/>
          </w:tcPr>
          <w:p w14:paraId="4AA968C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金属矿石</w:t>
            </w:r>
          </w:p>
        </w:tc>
        <w:tc>
          <w:tcPr>
            <w:tcW w:w="4644" w:type="dxa"/>
            <w:noWrap w:val="0"/>
            <w:vAlign w:val="center"/>
          </w:tcPr>
          <w:p w14:paraId="549F730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1.27</w:t>
            </w:r>
          </w:p>
        </w:tc>
      </w:tr>
      <w:tr w14:paraId="0E9922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643" w:type="dxa"/>
            <w:noWrap w:val="0"/>
            <w:vAlign w:val="center"/>
          </w:tcPr>
          <w:p w14:paraId="0E19E9A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非金属矿石</w:t>
            </w:r>
          </w:p>
        </w:tc>
        <w:tc>
          <w:tcPr>
            <w:tcW w:w="4644" w:type="dxa"/>
            <w:noWrap w:val="0"/>
            <w:vAlign w:val="center"/>
          </w:tcPr>
          <w:p w14:paraId="48F48E1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0.4</w:t>
            </w:r>
          </w:p>
        </w:tc>
      </w:tr>
      <w:tr w14:paraId="683F8D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643" w:type="dxa"/>
            <w:noWrap w:val="0"/>
            <w:vAlign w:val="center"/>
          </w:tcPr>
          <w:p w14:paraId="0B44218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水泥</w:t>
            </w:r>
          </w:p>
        </w:tc>
        <w:tc>
          <w:tcPr>
            <w:tcW w:w="4644" w:type="dxa"/>
            <w:noWrap w:val="0"/>
            <w:vAlign w:val="center"/>
          </w:tcPr>
          <w:p w14:paraId="5554301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1.04</w:t>
            </w:r>
          </w:p>
        </w:tc>
      </w:tr>
      <w:tr w14:paraId="5B3F11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643" w:type="dxa"/>
            <w:noWrap w:val="0"/>
            <w:vAlign w:val="center"/>
          </w:tcPr>
          <w:p w14:paraId="09F0BA1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粮食</w:t>
            </w:r>
          </w:p>
        </w:tc>
        <w:tc>
          <w:tcPr>
            <w:tcW w:w="4644" w:type="dxa"/>
            <w:noWrap w:val="0"/>
            <w:vAlign w:val="center"/>
          </w:tcPr>
          <w:p w14:paraId="2AC3237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0.1</w:t>
            </w:r>
          </w:p>
        </w:tc>
      </w:tr>
      <w:tr w14:paraId="281CFF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4643" w:type="dxa"/>
            <w:noWrap w:val="0"/>
            <w:vAlign w:val="center"/>
          </w:tcPr>
          <w:p w14:paraId="5A24EF6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矿建材料及其它</w:t>
            </w:r>
          </w:p>
        </w:tc>
        <w:tc>
          <w:tcPr>
            <w:tcW w:w="4644" w:type="dxa"/>
            <w:noWrap w:val="0"/>
            <w:vAlign w:val="center"/>
          </w:tcPr>
          <w:p w14:paraId="3538B37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0.6</w:t>
            </w:r>
          </w:p>
        </w:tc>
      </w:tr>
    </w:tbl>
    <w:p w14:paraId="7027D573">
      <w:pPr>
        <w:spacing w:line="360" w:lineRule="auto"/>
        <w:ind w:firstLine="480" w:firstLineChars="200"/>
        <w:jc w:val="both"/>
        <w:rPr>
          <w:rFonts w:hint="eastAsia"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本项目运输的矿建材料多为石子，正常风速条件下装卸作业时产生的颗粒物粒径若大于0</w:t>
      </w:r>
      <w:r>
        <w:rPr>
          <w:rFonts w:ascii="Times New Roman" w:hAnsi="Times New Roman" w:eastAsia="宋体" w:cs="Calibri"/>
          <w:color w:val="auto"/>
          <w:kern w:val="2"/>
          <w:sz w:val="24"/>
          <w:szCs w:val="24"/>
          <w:lang w:val="en-US" w:eastAsia="zh-CN" w:bidi="ar-SA"/>
        </w:rPr>
        <w:t>.1</w:t>
      </w:r>
      <w:r>
        <w:rPr>
          <w:rFonts w:hint="eastAsia" w:ascii="Times New Roman" w:hAnsi="Times New Roman" w:eastAsia="宋体" w:cs="Calibri"/>
          <w:color w:val="auto"/>
          <w:kern w:val="2"/>
          <w:sz w:val="24"/>
          <w:szCs w:val="24"/>
          <w:lang w:val="en-US" w:eastAsia="zh-CN" w:bidi="ar-SA"/>
        </w:rPr>
        <w:t>mm</w:t>
      </w:r>
      <w:r>
        <w:rPr>
          <w:rFonts w:hint="eastAsia" w:cs="Calibri"/>
          <w:color w:val="auto"/>
          <w:kern w:val="2"/>
          <w:sz w:val="24"/>
          <w:szCs w:val="24"/>
          <w:lang w:val="en-US" w:eastAsia="zh-CN" w:bidi="ar-SA"/>
        </w:rPr>
        <w:t>会有</w:t>
      </w:r>
      <w:r>
        <w:rPr>
          <w:rFonts w:hint="eastAsia" w:ascii="Times New Roman" w:hAnsi="Times New Roman" w:eastAsia="宋体" w:cs="Calibri"/>
          <w:color w:val="auto"/>
          <w:kern w:val="2"/>
          <w:sz w:val="24"/>
          <w:szCs w:val="24"/>
          <w:lang w:val="en-US" w:eastAsia="zh-CN" w:bidi="ar-SA"/>
        </w:rPr>
        <w:t>较快的自然沉降，不作为总悬浮颗粒物（T</w:t>
      </w:r>
      <w:r>
        <w:rPr>
          <w:rFonts w:ascii="Times New Roman" w:hAnsi="Times New Roman" w:eastAsia="宋体" w:cs="Calibri"/>
          <w:color w:val="auto"/>
          <w:kern w:val="2"/>
          <w:sz w:val="24"/>
          <w:szCs w:val="24"/>
          <w:lang w:val="en-US" w:eastAsia="zh-CN" w:bidi="ar-SA"/>
        </w:rPr>
        <w:t>SP</w:t>
      </w:r>
      <w:r>
        <w:rPr>
          <w:rFonts w:hint="eastAsia" w:ascii="Times New Roman" w:hAnsi="Times New Roman" w:eastAsia="宋体" w:cs="Calibri"/>
          <w:color w:val="auto"/>
          <w:kern w:val="2"/>
          <w:sz w:val="24"/>
          <w:szCs w:val="24"/>
          <w:lang w:val="en-US" w:eastAsia="zh-CN" w:bidi="ar-SA"/>
        </w:rPr>
        <w:t>）的污染来源，同时，参照《港口散货堆场起尘规律研究》（天津大学），经试验细颗粒物（0</w:t>
      </w:r>
      <w:r>
        <w:rPr>
          <w:rFonts w:ascii="Times New Roman" w:hAnsi="Times New Roman" w:eastAsia="宋体" w:cs="Calibri"/>
          <w:color w:val="auto"/>
          <w:kern w:val="2"/>
          <w:sz w:val="24"/>
          <w:szCs w:val="24"/>
          <w:lang w:val="en-US" w:eastAsia="zh-CN" w:bidi="ar-SA"/>
        </w:rPr>
        <w:t>.5</w:t>
      </w:r>
      <w:r>
        <w:rPr>
          <w:rFonts w:hint="eastAsia" w:ascii="Times New Roman" w:hAnsi="Times New Roman" w:eastAsia="宋体" w:cs="Calibri"/>
          <w:color w:val="auto"/>
          <w:kern w:val="2"/>
          <w:sz w:val="24"/>
          <w:szCs w:val="24"/>
          <w:lang w:val="en-US" w:eastAsia="zh-CN" w:bidi="ar-SA"/>
        </w:rPr>
        <w:t>mm以下）所占分数比为1</w:t>
      </w:r>
      <w:r>
        <w:rPr>
          <w:rFonts w:ascii="Times New Roman" w:hAnsi="Times New Roman" w:eastAsia="宋体" w:cs="Calibri"/>
          <w:color w:val="auto"/>
          <w:kern w:val="2"/>
          <w:sz w:val="24"/>
          <w:szCs w:val="24"/>
          <w:lang w:val="en-US" w:eastAsia="zh-CN" w:bidi="ar-SA"/>
        </w:rPr>
        <w:t>0.6%~31.0%</w:t>
      </w:r>
      <w:r>
        <w:rPr>
          <w:rFonts w:hint="eastAsia" w:ascii="Times New Roman" w:hAnsi="Times New Roman" w:eastAsia="宋体" w:cs="Calibri"/>
          <w:color w:val="auto"/>
          <w:kern w:val="2"/>
          <w:sz w:val="24"/>
          <w:szCs w:val="24"/>
          <w:lang w:val="en-US" w:eastAsia="zh-CN" w:bidi="ar-SA"/>
        </w:rPr>
        <w:t>之间，因此，本项目T</w:t>
      </w:r>
      <w:r>
        <w:rPr>
          <w:rFonts w:ascii="Times New Roman" w:hAnsi="Times New Roman" w:eastAsia="宋体" w:cs="Calibri"/>
          <w:color w:val="auto"/>
          <w:kern w:val="2"/>
          <w:sz w:val="24"/>
          <w:szCs w:val="24"/>
          <w:lang w:val="en-US" w:eastAsia="zh-CN" w:bidi="ar-SA"/>
        </w:rPr>
        <w:t>SP</w:t>
      </w:r>
      <w:r>
        <w:rPr>
          <w:rFonts w:hint="eastAsia" w:ascii="Times New Roman" w:hAnsi="Times New Roman" w:eastAsia="宋体" w:cs="Calibri"/>
          <w:color w:val="auto"/>
          <w:kern w:val="2"/>
          <w:sz w:val="24"/>
          <w:szCs w:val="24"/>
          <w:lang w:val="en-US" w:eastAsia="zh-CN" w:bidi="ar-SA"/>
        </w:rPr>
        <w:t>（0</w:t>
      </w:r>
      <w:r>
        <w:rPr>
          <w:rFonts w:ascii="Times New Roman" w:hAnsi="Times New Roman" w:eastAsia="宋体" w:cs="Calibri"/>
          <w:color w:val="auto"/>
          <w:kern w:val="2"/>
          <w:sz w:val="24"/>
          <w:szCs w:val="24"/>
          <w:lang w:val="en-US" w:eastAsia="zh-CN" w:bidi="ar-SA"/>
        </w:rPr>
        <w:t>.1</w:t>
      </w:r>
      <w:r>
        <w:rPr>
          <w:rFonts w:hint="eastAsia" w:ascii="Times New Roman" w:hAnsi="Times New Roman" w:eastAsia="宋体" w:cs="Calibri"/>
          <w:color w:val="auto"/>
          <w:kern w:val="2"/>
          <w:sz w:val="24"/>
          <w:szCs w:val="24"/>
          <w:lang w:val="en-US" w:eastAsia="zh-CN" w:bidi="ar-SA"/>
        </w:rPr>
        <w:t>mm以下）占起尘量的比例取1</w:t>
      </w:r>
      <w:r>
        <w:rPr>
          <w:rFonts w:ascii="Times New Roman" w:hAnsi="Times New Roman" w:eastAsia="宋体" w:cs="Calibri"/>
          <w:color w:val="auto"/>
          <w:kern w:val="2"/>
          <w:sz w:val="24"/>
          <w:szCs w:val="24"/>
          <w:lang w:val="en-US" w:eastAsia="zh-CN" w:bidi="ar-SA"/>
        </w:rPr>
        <w:t>0%</w:t>
      </w:r>
      <w:r>
        <w:rPr>
          <w:rFonts w:hint="eastAsia" w:ascii="Times New Roman" w:hAnsi="Times New Roman" w:eastAsia="宋体" w:cs="Calibri"/>
          <w:color w:val="auto"/>
          <w:kern w:val="2"/>
          <w:sz w:val="24"/>
          <w:szCs w:val="24"/>
          <w:lang w:val="en-US" w:eastAsia="zh-CN" w:bidi="ar-SA"/>
        </w:rPr>
        <w:t>。根据上述公式计算，本项目码头装卸作业起尘情况见下表。</w:t>
      </w:r>
    </w:p>
    <w:p w14:paraId="091D975D">
      <w:pPr>
        <w:spacing w:line="400" w:lineRule="exact"/>
        <w:jc w:val="center"/>
        <w:rPr>
          <w:rFonts w:ascii="Times New Roman" w:hAnsi="Times New Roman" w:eastAsia="黑体" w:cs="Times New Roman"/>
          <w:color w:val="auto"/>
          <w:sz w:val="24"/>
        </w:rPr>
      </w:pPr>
      <w:r>
        <w:rPr>
          <w:rFonts w:ascii="Times New Roman" w:hAnsi="Times New Roman" w:eastAsia="黑体" w:cs="Times New Roman"/>
          <w:color w:val="auto"/>
          <w:sz w:val="24"/>
        </w:rPr>
        <w:t>表</w:t>
      </w:r>
      <w:r>
        <w:rPr>
          <w:rFonts w:hint="eastAsia" w:ascii="Times New Roman" w:hAnsi="Times New Roman" w:eastAsia="黑体" w:cs="Times New Roman"/>
          <w:color w:val="auto"/>
          <w:sz w:val="24"/>
        </w:rPr>
        <w:t>3</w:t>
      </w:r>
      <w:r>
        <w:rPr>
          <w:rFonts w:ascii="Times New Roman" w:hAnsi="Times New Roman" w:eastAsia="黑体" w:cs="Times New Roman"/>
          <w:color w:val="auto"/>
          <w:sz w:val="24"/>
        </w:rPr>
        <w:t>.3-1</w:t>
      </w:r>
      <w:r>
        <w:rPr>
          <w:rFonts w:hint="eastAsia" w:ascii="Times New Roman" w:hAnsi="Times New Roman" w:eastAsia="黑体" w:cs="Times New Roman"/>
          <w:color w:val="auto"/>
          <w:sz w:val="24"/>
        </w:rPr>
        <w:t>2</w:t>
      </w:r>
      <w:r>
        <w:rPr>
          <w:rFonts w:ascii="Times New Roman" w:hAnsi="Times New Roman" w:eastAsia="黑体" w:cs="Times New Roman"/>
          <w:color w:val="auto"/>
          <w:sz w:val="24"/>
        </w:rPr>
        <w:t xml:space="preserve">  本项目颗粒物无组织</w:t>
      </w:r>
      <w:r>
        <w:rPr>
          <w:rFonts w:hint="eastAsia" w:ascii="Times New Roman" w:hAnsi="Times New Roman" w:eastAsia="黑体" w:cs="Times New Roman"/>
          <w:color w:val="auto"/>
          <w:sz w:val="24"/>
        </w:rPr>
        <w:t>绩效</w:t>
      </w:r>
      <w:r>
        <w:rPr>
          <w:rFonts w:ascii="Times New Roman" w:hAnsi="Times New Roman" w:eastAsia="黑体" w:cs="Times New Roman"/>
          <w:color w:val="auto"/>
          <w:sz w:val="24"/>
        </w:rPr>
        <w:t>排放量一览表</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3544"/>
        <w:gridCol w:w="3650"/>
      </w:tblGrid>
      <w:tr w14:paraId="21D47F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3" w:type="dxa"/>
            <w:noWrap w:val="0"/>
            <w:vAlign w:val="center"/>
          </w:tcPr>
          <w:p w14:paraId="4DFEE8EA">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生产单元</w:t>
            </w:r>
          </w:p>
        </w:tc>
        <w:tc>
          <w:tcPr>
            <w:tcW w:w="3544" w:type="dxa"/>
            <w:noWrap w:val="0"/>
            <w:vAlign w:val="center"/>
          </w:tcPr>
          <w:p w14:paraId="78101860">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生产工艺</w:t>
            </w:r>
          </w:p>
        </w:tc>
        <w:tc>
          <w:tcPr>
            <w:tcW w:w="3650" w:type="dxa"/>
            <w:noWrap w:val="0"/>
            <w:vAlign w:val="center"/>
          </w:tcPr>
          <w:p w14:paraId="19D62737">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color w:val="auto"/>
              </w:rPr>
            </w:pPr>
            <w:r>
              <w:rPr>
                <w:rFonts w:hint="eastAsia" w:ascii="Times New Roman" w:hAnsi="Times New Roman" w:eastAsia="宋体" w:cs="Times New Roman"/>
                <w:b/>
                <w:color w:val="auto"/>
              </w:rPr>
              <w:t>绩效</w:t>
            </w:r>
            <w:r>
              <w:rPr>
                <w:rFonts w:hint="default" w:ascii="Times New Roman" w:hAnsi="Times New Roman" w:eastAsia="宋体" w:cs="Times New Roman"/>
                <w:b/>
                <w:color w:val="auto"/>
              </w:rPr>
              <w:t>排放量（t/a）</w:t>
            </w:r>
          </w:p>
        </w:tc>
      </w:tr>
      <w:tr w14:paraId="1BB161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3" w:type="dxa"/>
            <w:vMerge w:val="restart"/>
            <w:noWrap w:val="0"/>
            <w:vAlign w:val="center"/>
          </w:tcPr>
          <w:p w14:paraId="54787FF1">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泊位</w:t>
            </w:r>
          </w:p>
        </w:tc>
        <w:tc>
          <w:tcPr>
            <w:tcW w:w="3544" w:type="dxa"/>
            <w:noWrap w:val="0"/>
            <w:vAlign w:val="center"/>
          </w:tcPr>
          <w:p w14:paraId="29493888">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装</w:t>
            </w:r>
            <w:r>
              <w:rPr>
                <w:rFonts w:hint="default" w:ascii="Times New Roman" w:hAnsi="Times New Roman" w:eastAsia="宋体" w:cs="Times New Roman"/>
                <w:color w:val="auto"/>
              </w:rPr>
              <w:t>船（煤炭）</w:t>
            </w:r>
          </w:p>
        </w:tc>
        <w:tc>
          <w:tcPr>
            <w:tcW w:w="3650" w:type="dxa"/>
            <w:noWrap w:val="0"/>
            <w:vAlign w:val="center"/>
          </w:tcPr>
          <w:p w14:paraId="24F8DA67">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7.870</w:t>
            </w:r>
          </w:p>
        </w:tc>
      </w:tr>
      <w:tr w14:paraId="6DD59F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3" w:type="dxa"/>
            <w:vMerge w:val="continue"/>
            <w:noWrap w:val="0"/>
            <w:vAlign w:val="center"/>
          </w:tcPr>
          <w:p w14:paraId="6415C4A0">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544" w:type="dxa"/>
            <w:noWrap w:val="0"/>
            <w:vAlign w:val="center"/>
          </w:tcPr>
          <w:p w14:paraId="43E3D02B">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卸船（</w:t>
            </w:r>
            <w:r>
              <w:rPr>
                <w:rFonts w:hint="default" w:ascii="Times New Roman" w:hAnsi="Times New Roman" w:eastAsia="宋体" w:cs="Times New Roman"/>
                <w:color w:val="auto"/>
              </w:rPr>
              <w:t>矿建材料</w:t>
            </w:r>
            <w:r>
              <w:rPr>
                <w:rFonts w:hint="eastAsia" w:ascii="Times New Roman" w:hAnsi="Times New Roman" w:eastAsia="宋体" w:cs="Times New Roman"/>
                <w:color w:val="auto"/>
              </w:rPr>
              <w:t>）</w:t>
            </w:r>
          </w:p>
        </w:tc>
        <w:tc>
          <w:tcPr>
            <w:tcW w:w="3650" w:type="dxa"/>
            <w:noWrap w:val="0"/>
            <w:vAlign w:val="center"/>
          </w:tcPr>
          <w:p w14:paraId="31537999">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0.062</w:t>
            </w:r>
          </w:p>
        </w:tc>
      </w:tr>
      <w:tr w14:paraId="6DF2FF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3" w:type="dxa"/>
            <w:vMerge w:val="restart"/>
            <w:noWrap w:val="0"/>
            <w:vAlign w:val="center"/>
          </w:tcPr>
          <w:p w14:paraId="59195232">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eastAsia" w:cs="Times New Roman"/>
                <w:color w:val="auto"/>
                <w:lang w:eastAsia="zh-CN"/>
              </w:rPr>
              <w:t>运输</w:t>
            </w:r>
            <w:r>
              <w:rPr>
                <w:rFonts w:hint="default" w:ascii="Times New Roman" w:hAnsi="Times New Roman" w:eastAsia="宋体" w:cs="Times New Roman"/>
                <w:color w:val="auto"/>
              </w:rPr>
              <w:t>系统</w:t>
            </w:r>
          </w:p>
        </w:tc>
        <w:tc>
          <w:tcPr>
            <w:tcW w:w="3544" w:type="dxa"/>
            <w:noWrap w:val="0"/>
            <w:vAlign w:val="center"/>
          </w:tcPr>
          <w:p w14:paraId="4C04593B">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卸车（煤炭）</w:t>
            </w:r>
          </w:p>
        </w:tc>
        <w:tc>
          <w:tcPr>
            <w:tcW w:w="3650" w:type="dxa"/>
            <w:noWrap w:val="0"/>
            <w:vAlign w:val="center"/>
          </w:tcPr>
          <w:p w14:paraId="7CF1ED71">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7</w:t>
            </w:r>
            <w:r>
              <w:rPr>
                <w:rFonts w:hint="default" w:ascii="Times New Roman" w:hAnsi="Times New Roman" w:eastAsia="宋体" w:cs="Times New Roman"/>
                <w:color w:val="auto"/>
              </w:rPr>
              <w:t>.695</w:t>
            </w:r>
          </w:p>
        </w:tc>
      </w:tr>
      <w:tr w14:paraId="283212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3" w:type="dxa"/>
            <w:vMerge w:val="continue"/>
            <w:noWrap w:val="0"/>
            <w:vAlign w:val="center"/>
          </w:tcPr>
          <w:p w14:paraId="477564C4">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3544" w:type="dxa"/>
            <w:noWrap w:val="0"/>
            <w:vAlign w:val="center"/>
          </w:tcPr>
          <w:p w14:paraId="4A5A94A8">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装车（</w:t>
            </w:r>
            <w:r>
              <w:rPr>
                <w:rFonts w:hint="default" w:ascii="Times New Roman" w:hAnsi="Times New Roman" w:eastAsia="宋体" w:cs="Times New Roman"/>
                <w:color w:val="auto"/>
              </w:rPr>
              <w:t>矿建材料</w:t>
            </w:r>
            <w:r>
              <w:rPr>
                <w:rFonts w:hint="eastAsia" w:ascii="Times New Roman" w:hAnsi="Times New Roman" w:eastAsia="宋体" w:cs="Times New Roman"/>
                <w:color w:val="auto"/>
              </w:rPr>
              <w:t>）</w:t>
            </w:r>
          </w:p>
        </w:tc>
        <w:tc>
          <w:tcPr>
            <w:tcW w:w="3650" w:type="dxa"/>
            <w:noWrap w:val="0"/>
            <w:vAlign w:val="center"/>
          </w:tcPr>
          <w:p w14:paraId="58BC0393">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0.249</w:t>
            </w:r>
          </w:p>
        </w:tc>
      </w:tr>
      <w:tr w14:paraId="7C0AC1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637" w:type="dxa"/>
            <w:gridSpan w:val="2"/>
            <w:noWrap w:val="0"/>
            <w:vAlign w:val="center"/>
          </w:tcPr>
          <w:p w14:paraId="4D617393">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合计</w:t>
            </w:r>
          </w:p>
        </w:tc>
        <w:tc>
          <w:tcPr>
            <w:tcW w:w="3650" w:type="dxa"/>
            <w:noWrap w:val="0"/>
            <w:vAlign w:val="center"/>
          </w:tcPr>
          <w:p w14:paraId="1126E4D1">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15.876</w:t>
            </w:r>
          </w:p>
        </w:tc>
      </w:tr>
      <w:tr w14:paraId="487556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287" w:type="dxa"/>
            <w:gridSpan w:val="3"/>
            <w:noWrap w:val="0"/>
            <w:vAlign w:val="center"/>
          </w:tcPr>
          <w:p w14:paraId="4003576F">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default" w:ascii="Times New Roman" w:hAnsi="Times New Roman" w:eastAsia="宋体" w:cs="Times New Roman"/>
                <w:color w:val="auto"/>
              </w:rPr>
              <w:t>注：本项目装（卸）</w:t>
            </w:r>
            <w:r>
              <w:rPr>
                <w:rFonts w:hint="eastAsia" w:ascii="Times New Roman" w:hAnsi="Times New Roman" w:eastAsia="宋体" w:cs="Times New Roman"/>
                <w:color w:val="auto"/>
              </w:rPr>
              <w:t>船、装（卸）车</w:t>
            </w:r>
            <w:r>
              <w:rPr>
                <w:rFonts w:hint="default" w:ascii="Times New Roman" w:hAnsi="Times New Roman" w:eastAsia="宋体" w:cs="Times New Roman"/>
                <w:color w:val="auto"/>
              </w:rPr>
              <w:t>过程除表3.3-10中相应措施外，在装船、装车、卸船</w:t>
            </w:r>
            <w:r>
              <w:rPr>
                <w:rFonts w:hint="eastAsia" w:ascii="Times New Roman" w:hAnsi="Times New Roman" w:eastAsia="宋体" w:cs="Times New Roman"/>
                <w:color w:val="auto"/>
              </w:rPr>
              <w:t>等</w:t>
            </w:r>
            <w:r>
              <w:rPr>
                <w:rFonts w:hint="default" w:ascii="Times New Roman" w:hAnsi="Times New Roman" w:eastAsia="宋体" w:cs="Times New Roman"/>
                <w:color w:val="auto"/>
              </w:rPr>
              <w:t>处设置</w:t>
            </w:r>
            <w:r>
              <w:rPr>
                <w:rFonts w:hint="eastAsia" w:ascii="Times New Roman" w:hAnsi="Times New Roman" w:eastAsia="宋体" w:cs="Times New Roman"/>
                <w:color w:val="auto"/>
              </w:rPr>
              <w:t>干雾</w:t>
            </w:r>
            <w:r>
              <w:rPr>
                <w:rFonts w:hint="default" w:ascii="Times New Roman" w:hAnsi="Times New Roman" w:eastAsia="宋体" w:cs="Times New Roman"/>
                <w:color w:val="auto"/>
              </w:rPr>
              <w:t>抑尘，在此基础上进一步降低了无组织颗粒物的排放，根据可研设计资料，干雾抑尘措施的削减效率约</w:t>
            </w:r>
            <w:r>
              <w:rPr>
                <w:rFonts w:hint="eastAsia" w:ascii="Times New Roman" w:hAnsi="Times New Roman" w:eastAsia="宋体" w:cs="Times New Roman"/>
                <w:color w:val="auto"/>
              </w:rPr>
              <w:t>9</w:t>
            </w:r>
            <w:r>
              <w:rPr>
                <w:rFonts w:hint="default" w:ascii="Times New Roman" w:hAnsi="Times New Roman" w:eastAsia="宋体" w:cs="Times New Roman"/>
                <w:color w:val="auto"/>
              </w:rPr>
              <w:t>0%，因此本项目</w:t>
            </w:r>
            <w:r>
              <w:rPr>
                <w:rFonts w:hint="eastAsia" w:ascii="Times New Roman" w:hAnsi="Times New Roman" w:eastAsia="宋体" w:cs="Times New Roman"/>
                <w:color w:val="auto"/>
              </w:rPr>
              <w:t>建成后装卸</w:t>
            </w:r>
            <w:r>
              <w:rPr>
                <w:rFonts w:hint="default" w:ascii="Times New Roman" w:hAnsi="Times New Roman" w:eastAsia="宋体" w:cs="Times New Roman"/>
                <w:color w:val="auto"/>
              </w:rPr>
              <w:t>粉尘为15.876×</w:t>
            </w:r>
            <w:r>
              <w:rPr>
                <w:rFonts w:hint="eastAsia" w:ascii="Times New Roman" w:hAnsi="Times New Roman" w:eastAsia="宋体" w:cs="Times New Roman"/>
                <w:color w:val="auto"/>
              </w:rPr>
              <w:t>0.</w:t>
            </w:r>
            <w:r>
              <w:rPr>
                <w:rFonts w:hint="default" w:ascii="Times New Roman" w:hAnsi="Times New Roman" w:eastAsia="宋体" w:cs="Times New Roman"/>
                <w:color w:val="auto"/>
              </w:rPr>
              <w:t>1</w:t>
            </w:r>
            <w:r>
              <w:rPr>
                <w:rFonts w:hint="eastAsia" w:ascii="Times New Roman" w:hAnsi="Times New Roman" w:eastAsia="宋体" w:cs="Times New Roman"/>
                <w:color w:val="auto"/>
              </w:rPr>
              <w:t>=</w:t>
            </w:r>
            <w:r>
              <w:rPr>
                <w:rFonts w:hint="default" w:ascii="Times New Roman" w:hAnsi="Times New Roman" w:eastAsia="宋体" w:cs="Times New Roman"/>
                <w:color w:val="auto"/>
              </w:rPr>
              <w:t>1.588</w:t>
            </w:r>
            <w:r>
              <w:rPr>
                <w:rFonts w:hint="eastAsia" w:ascii="Times New Roman" w:hAnsi="Times New Roman" w:eastAsia="宋体" w:cs="Times New Roman"/>
                <w:color w:val="auto"/>
              </w:rPr>
              <w:t>t/a。</w:t>
            </w:r>
          </w:p>
        </w:tc>
      </w:tr>
    </w:tbl>
    <w:p w14:paraId="47733A84">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（4）大气污染物产生及排放汇总</w:t>
      </w:r>
    </w:p>
    <w:p w14:paraId="587798FA">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本项目运营期大气污染物产生及排放情况见表</w:t>
      </w:r>
      <w:r>
        <w:rPr>
          <w:rFonts w:ascii="Times New Roman" w:hAnsi="Times New Roman" w:eastAsia="黑体" w:cs="Times New Roman"/>
          <w:color w:val="auto"/>
          <w:sz w:val="24"/>
        </w:rPr>
        <w:t>3.3-1</w:t>
      </w:r>
      <w:r>
        <w:rPr>
          <w:rFonts w:hint="eastAsia" w:ascii="Times New Roman" w:hAnsi="Times New Roman" w:eastAsia="黑体" w:cs="Times New Roman"/>
          <w:color w:val="auto"/>
          <w:sz w:val="24"/>
        </w:rPr>
        <w:t>3</w:t>
      </w:r>
      <w:r>
        <w:rPr>
          <w:rFonts w:ascii="Times New Roman" w:hAnsi="Times New Roman" w:eastAsia="宋体" w:cs="Times New Roman"/>
          <w:color w:val="auto"/>
          <w:sz w:val="24"/>
        </w:rPr>
        <w:t>。</w:t>
      </w:r>
    </w:p>
    <w:p w14:paraId="32DB7819">
      <w:pPr>
        <w:spacing w:line="400" w:lineRule="exact"/>
        <w:jc w:val="center"/>
        <w:rPr>
          <w:rFonts w:ascii="Times New Roman" w:hAnsi="Times New Roman" w:eastAsia="黑体" w:cs="Times New Roman"/>
          <w:color w:val="auto"/>
          <w:sz w:val="24"/>
        </w:rPr>
      </w:pPr>
      <w:r>
        <w:rPr>
          <w:rFonts w:ascii="Times New Roman" w:hAnsi="Times New Roman" w:eastAsia="黑体" w:cs="Times New Roman"/>
          <w:color w:val="auto"/>
          <w:sz w:val="24"/>
        </w:rPr>
        <w:t>表3.3-1</w:t>
      </w:r>
      <w:r>
        <w:rPr>
          <w:rFonts w:hint="eastAsia" w:ascii="Times New Roman" w:hAnsi="Times New Roman" w:eastAsia="黑体" w:cs="Times New Roman"/>
          <w:color w:val="auto"/>
          <w:sz w:val="24"/>
        </w:rPr>
        <w:t>3</w:t>
      </w:r>
      <w:r>
        <w:rPr>
          <w:rFonts w:ascii="Times New Roman" w:hAnsi="Times New Roman" w:eastAsia="黑体" w:cs="Times New Roman"/>
          <w:color w:val="auto"/>
          <w:sz w:val="24"/>
        </w:rPr>
        <w:t xml:space="preserve">  本项目大气污染物产生及排放情况汇总表</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615"/>
        <w:gridCol w:w="1228"/>
        <w:gridCol w:w="1417"/>
        <w:gridCol w:w="1559"/>
        <w:gridCol w:w="1701"/>
        <w:gridCol w:w="1241"/>
      </w:tblGrid>
      <w:tr w14:paraId="22247A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41" w:type="dxa"/>
            <w:gridSpan w:val="2"/>
            <w:noWrap w:val="0"/>
            <w:vAlign w:val="center"/>
          </w:tcPr>
          <w:p w14:paraId="63A5938E">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污染源名称</w:t>
            </w:r>
          </w:p>
        </w:tc>
        <w:tc>
          <w:tcPr>
            <w:tcW w:w="1228" w:type="dxa"/>
            <w:noWrap w:val="0"/>
            <w:vAlign w:val="center"/>
          </w:tcPr>
          <w:p w14:paraId="1ED18A57">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产生量t/a</w:t>
            </w:r>
          </w:p>
        </w:tc>
        <w:tc>
          <w:tcPr>
            <w:tcW w:w="1417" w:type="dxa"/>
            <w:noWrap w:val="0"/>
            <w:vAlign w:val="center"/>
          </w:tcPr>
          <w:p w14:paraId="5934E7B5">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治理措施</w:t>
            </w:r>
          </w:p>
        </w:tc>
        <w:tc>
          <w:tcPr>
            <w:tcW w:w="1559" w:type="dxa"/>
            <w:noWrap w:val="0"/>
            <w:vAlign w:val="center"/>
          </w:tcPr>
          <w:p w14:paraId="33294B03">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排放速率kg/h</w:t>
            </w:r>
          </w:p>
        </w:tc>
        <w:tc>
          <w:tcPr>
            <w:tcW w:w="1701" w:type="dxa"/>
            <w:noWrap w:val="0"/>
            <w:vAlign w:val="center"/>
          </w:tcPr>
          <w:p w14:paraId="54EBC8D0">
            <w:pPr>
              <w:keepNext w:val="0"/>
              <w:keepLines w:val="0"/>
              <w:suppressLineNumbers w:val="0"/>
              <w:spacing w:before="0" w:beforeAutospacing="0" w:after="0" w:afterAutospacing="0"/>
              <w:ind w:left="0" w:right="0"/>
              <w:jc w:val="center"/>
              <w:rPr>
                <w:rFonts w:hint="eastAsia" w:ascii="Times New Roman" w:hAnsi="Times New Roman" w:eastAsia="宋体" w:cs="Times New Roman"/>
                <w:b/>
                <w:color w:val="auto"/>
              </w:rPr>
            </w:pPr>
            <w:r>
              <w:rPr>
                <w:rFonts w:hint="eastAsia" w:ascii="Times New Roman" w:hAnsi="Times New Roman" w:eastAsia="宋体" w:cs="Times New Roman"/>
                <w:b/>
                <w:color w:val="auto"/>
              </w:rPr>
              <w:t>年工作时间h</w:t>
            </w:r>
            <w:r>
              <w:rPr>
                <w:rFonts w:hint="default" w:ascii="Times New Roman" w:hAnsi="Times New Roman" w:eastAsia="宋体" w:cs="Times New Roman"/>
                <w:b/>
                <w:color w:val="auto"/>
              </w:rPr>
              <w:t>/</w:t>
            </w:r>
            <w:r>
              <w:rPr>
                <w:rFonts w:hint="eastAsia" w:ascii="Times New Roman" w:hAnsi="Times New Roman" w:eastAsia="宋体" w:cs="Times New Roman"/>
                <w:b/>
                <w:color w:val="auto"/>
              </w:rPr>
              <w:t>a</w:t>
            </w:r>
          </w:p>
        </w:tc>
        <w:tc>
          <w:tcPr>
            <w:tcW w:w="1241" w:type="dxa"/>
            <w:noWrap w:val="0"/>
            <w:vAlign w:val="center"/>
          </w:tcPr>
          <w:p w14:paraId="557D08F7">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排放量t/a</w:t>
            </w:r>
          </w:p>
        </w:tc>
      </w:tr>
      <w:tr w14:paraId="3D240E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6" w:type="dxa"/>
            <w:noWrap w:val="0"/>
            <w:vAlign w:val="center"/>
          </w:tcPr>
          <w:p w14:paraId="1823E1C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码头道路扬尘</w:t>
            </w:r>
          </w:p>
        </w:tc>
        <w:tc>
          <w:tcPr>
            <w:tcW w:w="615" w:type="dxa"/>
            <w:noWrap w:val="0"/>
            <w:vAlign w:val="center"/>
          </w:tcPr>
          <w:p w14:paraId="13EC684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TSP</w:t>
            </w:r>
          </w:p>
        </w:tc>
        <w:tc>
          <w:tcPr>
            <w:tcW w:w="1228" w:type="dxa"/>
            <w:noWrap w:val="0"/>
            <w:vAlign w:val="center"/>
          </w:tcPr>
          <w:p w14:paraId="2F3F10B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0.160</w:t>
            </w:r>
          </w:p>
        </w:tc>
        <w:tc>
          <w:tcPr>
            <w:tcW w:w="1417" w:type="dxa"/>
            <w:noWrap w:val="0"/>
            <w:vAlign w:val="center"/>
          </w:tcPr>
          <w:p w14:paraId="7C8AEBC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洒水抑尘</w:t>
            </w:r>
          </w:p>
        </w:tc>
        <w:tc>
          <w:tcPr>
            <w:tcW w:w="1559" w:type="dxa"/>
            <w:noWrap w:val="0"/>
            <w:vAlign w:val="center"/>
          </w:tcPr>
          <w:p w14:paraId="2C40119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w:t>
            </w:r>
            <w:r>
              <w:rPr>
                <w:rFonts w:hint="default" w:ascii="Times New Roman" w:hAnsi="Times New Roman" w:eastAsia="宋体" w:cs="Times New Roman"/>
                <w:color w:val="auto"/>
              </w:rPr>
              <w:t>.006</w:t>
            </w:r>
          </w:p>
        </w:tc>
        <w:tc>
          <w:tcPr>
            <w:tcW w:w="1701" w:type="dxa"/>
            <w:noWrap w:val="0"/>
            <w:vAlign w:val="center"/>
          </w:tcPr>
          <w:p w14:paraId="715CEFC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5</w:t>
            </w:r>
            <w:r>
              <w:rPr>
                <w:rFonts w:hint="eastAsia" w:ascii="Times New Roman" w:hAnsi="Times New Roman" w:eastAsia="宋体" w:cs="Times New Roman"/>
                <w:color w:val="auto"/>
              </w:rPr>
              <w:t>0</w:t>
            </w:r>
            <w:r>
              <w:rPr>
                <w:rFonts w:hint="default" w:ascii="Times New Roman" w:hAnsi="Times New Roman" w:eastAsia="宋体" w:cs="Times New Roman"/>
                <w:color w:val="auto"/>
              </w:rPr>
              <w:t>40</w:t>
            </w:r>
          </w:p>
        </w:tc>
        <w:tc>
          <w:tcPr>
            <w:tcW w:w="1241" w:type="dxa"/>
            <w:noWrap w:val="0"/>
            <w:vAlign w:val="center"/>
          </w:tcPr>
          <w:p w14:paraId="7931BBF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0.030</w:t>
            </w:r>
          </w:p>
        </w:tc>
      </w:tr>
      <w:tr w14:paraId="1B7F51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6" w:type="dxa"/>
            <w:noWrap w:val="0"/>
            <w:vAlign w:val="center"/>
          </w:tcPr>
          <w:p w14:paraId="18C56D6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码头装卸扬尘</w:t>
            </w:r>
          </w:p>
        </w:tc>
        <w:tc>
          <w:tcPr>
            <w:tcW w:w="615" w:type="dxa"/>
            <w:noWrap w:val="0"/>
            <w:vAlign w:val="center"/>
          </w:tcPr>
          <w:p w14:paraId="14C63B8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TSP</w:t>
            </w:r>
          </w:p>
        </w:tc>
        <w:tc>
          <w:tcPr>
            <w:tcW w:w="1228" w:type="dxa"/>
            <w:noWrap w:val="0"/>
            <w:vAlign w:val="center"/>
          </w:tcPr>
          <w:p w14:paraId="5B3114B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15.876</w:t>
            </w:r>
          </w:p>
        </w:tc>
        <w:tc>
          <w:tcPr>
            <w:tcW w:w="1417" w:type="dxa"/>
            <w:noWrap w:val="0"/>
            <w:vAlign w:val="center"/>
          </w:tcPr>
          <w:p w14:paraId="455C42B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干雾抑尘</w:t>
            </w:r>
          </w:p>
        </w:tc>
        <w:tc>
          <w:tcPr>
            <w:tcW w:w="1559" w:type="dxa"/>
            <w:noWrap w:val="0"/>
            <w:vAlign w:val="center"/>
          </w:tcPr>
          <w:p w14:paraId="2BDD4B9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0.473</w:t>
            </w:r>
          </w:p>
        </w:tc>
        <w:tc>
          <w:tcPr>
            <w:tcW w:w="1701" w:type="dxa"/>
            <w:noWrap w:val="0"/>
            <w:vAlign w:val="center"/>
          </w:tcPr>
          <w:p w14:paraId="24C6381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3</w:t>
            </w:r>
            <w:r>
              <w:rPr>
                <w:rFonts w:hint="default" w:ascii="Times New Roman" w:hAnsi="Times New Roman" w:eastAsia="宋体" w:cs="Times New Roman"/>
                <w:color w:val="auto"/>
              </w:rPr>
              <w:t>360</w:t>
            </w:r>
          </w:p>
        </w:tc>
        <w:tc>
          <w:tcPr>
            <w:tcW w:w="1241" w:type="dxa"/>
            <w:noWrap w:val="0"/>
            <w:vAlign w:val="center"/>
          </w:tcPr>
          <w:p w14:paraId="37D188A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1.588</w:t>
            </w:r>
          </w:p>
        </w:tc>
      </w:tr>
      <w:tr w14:paraId="0AD053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526" w:type="dxa"/>
            <w:noWrap w:val="0"/>
            <w:vAlign w:val="center"/>
          </w:tcPr>
          <w:p w14:paraId="50FBD64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合计</w:t>
            </w:r>
          </w:p>
        </w:tc>
        <w:tc>
          <w:tcPr>
            <w:tcW w:w="615" w:type="dxa"/>
            <w:noWrap w:val="0"/>
            <w:vAlign w:val="center"/>
          </w:tcPr>
          <w:p w14:paraId="4A21994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TSP</w:t>
            </w:r>
          </w:p>
        </w:tc>
        <w:tc>
          <w:tcPr>
            <w:tcW w:w="1228" w:type="dxa"/>
            <w:noWrap w:val="0"/>
            <w:vAlign w:val="center"/>
          </w:tcPr>
          <w:p w14:paraId="574BF86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16.036</w:t>
            </w:r>
          </w:p>
        </w:tc>
        <w:tc>
          <w:tcPr>
            <w:tcW w:w="1417" w:type="dxa"/>
            <w:noWrap w:val="0"/>
            <w:vAlign w:val="center"/>
          </w:tcPr>
          <w:p w14:paraId="1E4E630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w:t>
            </w:r>
          </w:p>
        </w:tc>
        <w:tc>
          <w:tcPr>
            <w:tcW w:w="1559" w:type="dxa"/>
            <w:noWrap w:val="0"/>
            <w:vAlign w:val="center"/>
          </w:tcPr>
          <w:p w14:paraId="7180FE7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0.479</w:t>
            </w:r>
          </w:p>
        </w:tc>
        <w:tc>
          <w:tcPr>
            <w:tcW w:w="1701" w:type="dxa"/>
            <w:noWrap w:val="0"/>
            <w:vAlign w:val="center"/>
          </w:tcPr>
          <w:p w14:paraId="584FEEF5">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w:t>
            </w:r>
          </w:p>
        </w:tc>
        <w:tc>
          <w:tcPr>
            <w:tcW w:w="1241" w:type="dxa"/>
            <w:noWrap w:val="0"/>
            <w:vAlign w:val="center"/>
          </w:tcPr>
          <w:p w14:paraId="4930005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1.618</w:t>
            </w:r>
          </w:p>
        </w:tc>
      </w:tr>
    </w:tbl>
    <w:p w14:paraId="683F00EA">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3.3.2.3</w:t>
      </w:r>
      <w:r>
        <w:rPr>
          <w:rFonts w:ascii="Times New Roman" w:hAnsi="Times New Roman" w:eastAsia="黑体" w:cs="Times New Roman"/>
          <w:bCs/>
          <w:color w:val="auto"/>
          <w:kern w:val="2"/>
          <w:sz w:val="24"/>
          <w:szCs w:val="28"/>
          <w:lang w:val="en-US" w:eastAsia="zh-CN" w:bidi="ar-SA"/>
        </w:rPr>
        <w:t>运营期噪声源强</w:t>
      </w:r>
    </w:p>
    <w:p w14:paraId="78D5E9D6">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主要为码头内各生产设备噪声，主要噪声源声压级值见表</w:t>
      </w:r>
      <w:r>
        <w:rPr>
          <w:rFonts w:ascii="Times New Roman" w:hAnsi="Times New Roman" w:eastAsia="黑体" w:cs="Times New Roman"/>
          <w:color w:val="auto"/>
          <w:sz w:val="24"/>
        </w:rPr>
        <w:t>3.3-14</w:t>
      </w:r>
      <w:r>
        <w:rPr>
          <w:rFonts w:ascii="Times New Roman" w:hAnsi="Times New Roman" w:eastAsia="宋体" w:cs="Times New Roman"/>
          <w:color w:val="auto"/>
          <w:sz w:val="24"/>
        </w:rPr>
        <w:t>。</w:t>
      </w:r>
    </w:p>
    <w:p w14:paraId="5875533F">
      <w:pPr>
        <w:spacing w:line="400" w:lineRule="exact"/>
        <w:jc w:val="center"/>
        <w:rPr>
          <w:rFonts w:ascii="Times New Roman" w:hAnsi="Times New Roman" w:eastAsia="黑体" w:cs="Times New Roman"/>
          <w:color w:val="auto"/>
          <w:sz w:val="24"/>
        </w:rPr>
      </w:pPr>
      <w:r>
        <w:rPr>
          <w:rFonts w:ascii="Times New Roman" w:hAnsi="Times New Roman" w:eastAsia="黑体" w:cs="Times New Roman"/>
          <w:color w:val="auto"/>
          <w:sz w:val="24"/>
        </w:rPr>
        <w:t>表3.3-14  码头主要噪声源声压级  单位：dB (A)</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8"/>
        <w:gridCol w:w="663"/>
        <w:gridCol w:w="1134"/>
        <w:gridCol w:w="708"/>
        <w:gridCol w:w="991"/>
        <w:gridCol w:w="1277"/>
        <w:gridCol w:w="706"/>
        <w:gridCol w:w="710"/>
        <w:gridCol w:w="851"/>
        <w:gridCol w:w="711"/>
        <w:gridCol w:w="1098"/>
      </w:tblGrid>
      <w:tr w14:paraId="766755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8" w:type="dxa"/>
            <w:vMerge w:val="restart"/>
            <w:noWrap/>
            <w:vAlign w:val="center"/>
          </w:tcPr>
          <w:p w14:paraId="5EC98B4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1797" w:type="dxa"/>
            <w:gridSpan w:val="2"/>
            <w:vMerge w:val="restart"/>
            <w:noWrap/>
            <w:vAlign w:val="center"/>
          </w:tcPr>
          <w:p w14:paraId="384F04A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设备名称</w:t>
            </w:r>
          </w:p>
        </w:tc>
        <w:tc>
          <w:tcPr>
            <w:tcW w:w="708" w:type="dxa"/>
            <w:vMerge w:val="restart"/>
            <w:noWrap/>
            <w:vAlign w:val="center"/>
          </w:tcPr>
          <w:p w14:paraId="2F8D733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台数</w:t>
            </w:r>
          </w:p>
        </w:tc>
        <w:tc>
          <w:tcPr>
            <w:tcW w:w="991" w:type="dxa"/>
            <w:vMerge w:val="restart"/>
            <w:noWrap/>
            <w:vAlign w:val="center"/>
          </w:tcPr>
          <w:p w14:paraId="65BA14C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声压级</w:t>
            </w:r>
          </w:p>
          <w:p w14:paraId="08B7EED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dB（A）</w:t>
            </w:r>
          </w:p>
        </w:tc>
        <w:tc>
          <w:tcPr>
            <w:tcW w:w="1277" w:type="dxa"/>
            <w:vMerge w:val="restart"/>
            <w:noWrap/>
            <w:vAlign w:val="center"/>
          </w:tcPr>
          <w:p w14:paraId="165CBCF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对应距离</w:t>
            </w:r>
          </w:p>
        </w:tc>
        <w:tc>
          <w:tcPr>
            <w:tcW w:w="706" w:type="dxa"/>
            <w:vMerge w:val="restart"/>
            <w:noWrap/>
            <w:vAlign w:val="center"/>
          </w:tcPr>
          <w:p w14:paraId="5F91803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布置方式</w:t>
            </w:r>
          </w:p>
        </w:tc>
        <w:tc>
          <w:tcPr>
            <w:tcW w:w="2272" w:type="dxa"/>
            <w:gridSpan w:val="3"/>
            <w:noWrap/>
            <w:vAlign w:val="center"/>
          </w:tcPr>
          <w:p w14:paraId="73A43E9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坐标</w:t>
            </w:r>
          </w:p>
        </w:tc>
        <w:tc>
          <w:tcPr>
            <w:tcW w:w="1098" w:type="dxa"/>
            <w:vMerge w:val="restart"/>
            <w:noWrap/>
            <w:vAlign w:val="center"/>
          </w:tcPr>
          <w:p w14:paraId="561D735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降噪效果dB(A)</w:t>
            </w:r>
          </w:p>
        </w:tc>
      </w:tr>
      <w:tr w14:paraId="7004C4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8" w:type="dxa"/>
            <w:vMerge w:val="continue"/>
            <w:noWrap/>
            <w:vAlign w:val="center"/>
          </w:tcPr>
          <w:p w14:paraId="0BBCEEF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p>
        </w:tc>
        <w:tc>
          <w:tcPr>
            <w:tcW w:w="1797" w:type="dxa"/>
            <w:gridSpan w:val="2"/>
            <w:vMerge w:val="continue"/>
            <w:noWrap/>
            <w:vAlign w:val="center"/>
          </w:tcPr>
          <w:p w14:paraId="75936BA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p>
        </w:tc>
        <w:tc>
          <w:tcPr>
            <w:tcW w:w="708" w:type="dxa"/>
            <w:vMerge w:val="continue"/>
            <w:noWrap/>
            <w:vAlign w:val="center"/>
          </w:tcPr>
          <w:p w14:paraId="3FADAE7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p>
        </w:tc>
        <w:tc>
          <w:tcPr>
            <w:tcW w:w="991" w:type="dxa"/>
            <w:vMerge w:val="continue"/>
            <w:noWrap/>
            <w:vAlign w:val="center"/>
          </w:tcPr>
          <w:p w14:paraId="2B0EA9D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p>
        </w:tc>
        <w:tc>
          <w:tcPr>
            <w:tcW w:w="1277" w:type="dxa"/>
            <w:vMerge w:val="continue"/>
            <w:noWrap/>
            <w:vAlign w:val="center"/>
          </w:tcPr>
          <w:p w14:paraId="04AF75C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p>
        </w:tc>
        <w:tc>
          <w:tcPr>
            <w:tcW w:w="706" w:type="dxa"/>
            <w:vMerge w:val="continue"/>
            <w:noWrap/>
            <w:vAlign w:val="center"/>
          </w:tcPr>
          <w:p w14:paraId="79AA540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p>
        </w:tc>
        <w:tc>
          <w:tcPr>
            <w:tcW w:w="710" w:type="dxa"/>
            <w:noWrap/>
            <w:vAlign w:val="center"/>
          </w:tcPr>
          <w:p w14:paraId="72F8CB7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X</w:t>
            </w:r>
          </w:p>
        </w:tc>
        <w:tc>
          <w:tcPr>
            <w:tcW w:w="851" w:type="dxa"/>
            <w:noWrap/>
            <w:vAlign w:val="center"/>
          </w:tcPr>
          <w:p w14:paraId="73E7121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Y</w:t>
            </w:r>
          </w:p>
        </w:tc>
        <w:tc>
          <w:tcPr>
            <w:tcW w:w="711" w:type="dxa"/>
            <w:noWrap/>
            <w:vAlign w:val="center"/>
          </w:tcPr>
          <w:p w14:paraId="3792834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Z</w:t>
            </w:r>
          </w:p>
        </w:tc>
        <w:tc>
          <w:tcPr>
            <w:tcW w:w="1098" w:type="dxa"/>
            <w:vMerge w:val="continue"/>
            <w:noWrap/>
            <w:vAlign w:val="center"/>
          </w:tcPr>
          <w:p w14:paraId="6F16E38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b/>
                <w:bCs/>
                <w:color w:val="auto"/>
                <w:sz w:val="21"/>
                <w:szCs w:val="21"/>
              </w:rPr>
            </w:pPr>
          </w:p>
        </w:tc>
      </w:tr>
      <w:tr w14:paraId="24DB62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8" w:type="dxa"/>
            <w:noWrap/>
            <w:vAlign w:val="center"/>
          </w:tcPr>
          <w:p w14:paraId="3010D23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663" w:type="dxa"/>
            <w:vMerge w:val="restart"/>
            <w:noWrap/>
            <w:vAlign w:val="center"/>
          </w:tcPr>
          <w:p w14:paraId="7234B35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陆域</w:t>
            </w:r>
          </w:p>
        </w:tc>
        <w:tc>
          <w:tcPr>
            <w:tcW w:w="1134" w:type="dxa"/>
            <w:noWrap w:val="0"/>
            <w:vAlign w:val="center"/>
          </w:tcPr>
          <w:p w14:paraId="2B5CD8F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流动</w:t>
            </w:r>
            <w:r>
              <w:rPr>
                <w:rFonts w:hint="default" w:ascii="Times New Roman" w:hAnsi="Times New Roman" w:eastAsia="宋体" w:cs="Times New Roman"/>
                <w:color w:val="auto"/>
                <w:sz w:val="21"/>
                <w:szCs w:val="21"/>
              </w:rPr>
              <w:t>装船机</w:t>
            </w:r>
          </w:p>
        </w:tc>
        <w:tc>
          <w:tcPr>
            <w:tcW w:w="708" w:type="dxa"/>
            <w:noWrap/>
            <w:vAlign w:val="center"/>
          </w:tcPr>
          <w:p w14:paraId="6FBE871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991" w:type="dxa"/>
            <w:noWrap/>
            <w:vAlign w:val="center"/>
          </w:tcPr>
          <w:p w14:paraId="2BD5A36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85</w:t>
            </w:r>
          </w:p>
        </w:tc>
        <w:tc>
          <w:tcPr>
            <w:tcW w:w="1277" w:type="dxa"/>
            <w:noWrap/>
            <w:vAlign w:val="center"/>
          </w:tcPr>
          <w:p w14:paraId="2D34F44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设备外1m</w:t>
            </w:r>
          </w:p>
        </w:tc>
        <w:tc>
          <w:tcPr>
            <w:tcW w:w="706" w:type="dxa"/>
            <w:noWrap/>
            <w:vAlign w:val="center"/>
          </w:tcPr>
          <w:p w14:paraId="7615946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室外</w:t>
            </w:r>
          </w:p>
        </w:tc>
        <w:tc>
          <w:tcPr>
            <w:tcW w:w="710" w:type="dxa"/>
            <w:noWrap/>
            <w:vAlign w:val="center"/>
          </w:tcPr>
          <w:p w14:paraId="0B3AEF4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60-80</w:t>
            </w:r>
          </w:p>
        </w:tc>
        <w:tc>
          <w:tcPr>
            <w:tcW w:w="851" w:type="dxa"/>
            <w:noWrap/>
            <w:vAlign w:val="center"/>
          </w:tcPr>
          <w:p w14:paraId="33492E2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w:t>
            </w:r>
          </w:p>
        </w:tc>
        <w:tc>
          <w:tcPr>
            <w:tcW w:w="711" w:type="dxa"/>
            <w:noWrap/>
            <w:vAlign w:val="center"/>
          </w:tcPr>
          <w:p w14:paraId="54D621A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w:t>
            </w:r>
          </w:p>
        </w:tc>
        <w:tc>
          <w:tcPr>
            <w:tcW w:w="1098" w:type="dxa"/>
            <w:noWrap/>
            <w:vAlign w:val="center"/>
          </w:tcPr>
          <w:p w14:paraId="2C8CFF5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r>
      <w:tr w14:paraId="23D83F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8" w:type="dxa"/>
            <w:noWrap/>
            <w:vAlign w:val="center"/>
          </w:tcPr>
          <w:p w14:paraId="5AC08B3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663" w:type="dxa"/>
            <w:vMerge w:val="continue"/>
            <w:noWrap/>
            <w:vAlign w:val="center"/>
          </w:tcPr>
          <w:p w14:paraId="64F44CAB">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sz w:val="21"/>
                <w:szCs w:val="21"/>
              </w:rPr>
            </w:pPr>
          </w:p>
        </w:tc>
        <w:tc>
          <w:tcPr>
            <w:tcW w:w="1134" w:type="dxa"/>
            <w:noWrap w:val="0"/>
            <w:vAlign w:val="center"/>
          </w:tcPr>
          <w:p w14:paraId="73DE7362">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固定吊</w:t>
            </w:r>
          </w:p>
        </w:tc>
        <w:tc>
          <w:tcPr>
            <w:tcW w:w="708" w:type="dxa"/>
            <w:noWrap/>
            <w:vAlign w:val="center"/>
          </w:tcPr>
          <w:p w14:paraId="3976FC0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w:t>
            </w:r>
          </w:p>
        </w:tc>
        <w:tc>
          <w:tcPr>
            <w:tcW w:w="991" w:type="dxa"/>
            <w:noWrap/>
            <w:vAlign w:val="center"/>
          </w:tcPr>
          <w:p w14:paraId="0B854BAA">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8</w:t>
            </w:r>
            <w:r>
              <w:rPr>
                <w:rFonts w:hint="default" w:ascii="Times New Roman" w:hAnsi="Times New Roman" w:eastAsia="宋体" w:cs="Times New Roman"/>
                <w:color w:val="auto"/>
                <w:sz w:val="21"/>
                <w:szCs w:val="21"/>
              </w:rPr>
              <w:t>0</w:t>
            </w:r>
          </w:p>
        </w:tc>
        <w:tc>
          <w:tcPr>
            <w:tcW w:w="1277" w:type="dxa"/>
            <w:noWrap/>
            <w:vAlign w:val="center"/>
          </w:tcPr>
          <w:p w14:paraId="78F495EA">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设备外1m</w:t>
            </w:r>
          </w:p>
        </w:tc>
        <w:tc>
          <w:tcPr>
            <w:tcW w:w="706" w:type="dxa"/>
            <w:noWrap/>
            <w:vAlign w:val="center"/>
          </w:tcPr>
          <w:p w14:paraId="6225D4CA">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室外</w:t>
            </w:r>
          </w:p>
        </w:tc>
        <w:tc>
          <w:tcPr>
            <w:tcW w:w="710" w:type="dxa"/>
            <w:noWrap/>
            <w:vAlign w:val="center"/>
          </w:tcPr>
          <w:p w14:paraId="37F7852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r>
              <w:rPr>
                <w:rFonts w:hint="default" w:ascii="Times New Roman" w:hAnsi="Times New Roman" w:eastAsia="宋体" w:cs="Times New Roman"/>
                <w:color w:val="auto"/>
                <w:sz w:val="21"/>
                <w:szCs w:val="21"/>
              </w:rPr>
              <w:t>25</w:t>
            </w:r>
          </w:p>
        </w:tc>
        <w:tc>
          <w:tcPr>
            <w:tcW w:w="851" w:type="dxa"/>
            <w:noWrap/>
            <w:vAlign w:val="center"/>
          </w:tcPr>
          <w:p w14:paraId="606A5AF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rPr>
              <w:t>10</w:t>
            </w:r>
          </w:p>
        </w:tc>
        <w:tc>
          <w:tcPr>
            <w:tcW w:w="711" w:type="dxa"/>
            <w:noWrap/>
            <w:vAlign w:val="center"/>
          </w:tcPr>
          <w:p w14:paraId="34E20558">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r>
              <w:rPr>
                <w:rFonts w:hint="default" w:ascii="Times New Roman" w:hAnsi="Times New Roman" w:eastAsia="宋体" w:cs="Times New Roman"/>
                <w:color w:val="auto"/>
                <w:sz w:val="21"/>
                <w:szCs w:val="21"/>
              </w:rPr>
              <w:t>1</w:t>
            </w:r>
          </w:p>
        </w:tc>
        <w:tc>
          <w:tcPr>
            <w:tcW w:w="1098" w:type="dxa"/>
            <w:noWrap/>
            <w:vAlign w:val="center"/>
          </w:tcPr>
          <w:p w14:paraId="547A9A8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1</w:t>
            </w:r>
            <w:r>
              <w:rPr>
                <w:rFonts w:hint="default" w:ascii="Times New Roman" w:hAnsi="Times New Roman" w:eastAsia="宋体" w:cs="Times New Roman"/>
                <w:color w:val="auto"/>
                <w:sz w:val="21"/>
                <w:szCs w:val="21"/>
              </w:rPr>
              <w:t>5</w:t>
            </w:r>
          </w:p>
        </w:tc>
      </w:tr>
      <w:tr w14:paraId="2AB5AD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8" w:type="dxa"/>
            <w:noWrap/>
            <w:vAlign w:val="center"/>
          </w:tcPr>
          <w:p w14:paraId="555E20E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663" w:type="dxa"/>
            <w:vMerge w:val="continue"/>
            <w:noWrap/>
            <w:vAlign w:val="center"/>
          </w:tcPr>
          <w:p w14:paraId="5A005B7E">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sz w:val="21"/>
                <w:szCs w:val="21"/>
              </w:rPr>
            </w:pPr>
          </w:p>
        </w:tc>
        <w:tc>
          <w:tcPr>
            <w:tcW w:w="1134" w:type="dxa"/>
            <w:noWrap w:val="0"/>
            <w:vAlign w:val="center"/>
          </w:tcPr>
          <w:p w14:paraId="67DD380B">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液压抓机</w:t>
            </w:r>
          </w:p>
        </w:tc>
        <w:tc>
          <w:tcPr>
            <w:tcW w:w="708" w:type="dxa"/>
            <w:noWrap/>
            <w:vAlign w:val="center"/>
          </w:tcPr>
          <w:p w14:paraId="7CD406B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991" w:type="dxa"/>
            <w:noWrap/>
            <w:vAlign w:val="center"/>
          </w:tcPr>
          <w:p w14:paraId="1D44A60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8</w:t>
            </w:r>
            <w:r>
              <w:rPr>
                <w:rFonts w:hint="default" w:ascii="Times New Roman" w:hAnsi="Times New Roman" w:eastAsia="宋体" w:cs="Times New Roman"/>
                <w:color w:val="auto"/>
                <w:sz w:val="21"/>
                <w:szCs w:val="21"/>
              </w:rPr>
              <w:t>0</w:t>
            </w:r>
          </w:p>
        </w:tc>
        <w:tc>
          <w:tcPr>
            <w:tcW w:w="1277" w:type="dxa"/>
            <w:noWrap/>
            <w:vAlign w:val="center"/>
          </w:tcPr>
          <w:p w14:paraId="2B9BC39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设备外1m</w:t>
            </w:r>
          </w:p>
        </w:tc>
        <w:tc>
          <w:tcPr>
            <w:tcW w:w="706" w:type="dxa"/>
            <w:noWrap/>
            <w:vAlign w:val="center"/>
          </w:tcPr>
          <w:p w14:paraId="5CBE7EE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室外</w:t>
            </w:r>
          </w:p>
        </w:tc>
        <w:tc>
          <w:tcPr>
            <w:tcW w:w="710" w:type="dxa"/>
            <w:noWrap/>
            <w:vAlign w:val="center"/>
          </w:tcPr>
          <w:p w14:paraId="42D887D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150</w:t>
            </w:r>
          </w:p>
        </w:tc>
        <w:tc>
          <w:tcPr>
            <w:tcW w:w="851" w:type="dxa"/>
            <w:noWrap/>
            <w:vAlign w:val="center"/>
          </w:tcPr>
          <w:p w14:paraId="1828941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711" w:type="dxa"/>
            <w:noWrap/>
            <w:vAlign w:val="center"/>
          </w:tcPr>
          <w:p w14:paraId="7089ED8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1098" w:type="dxa"/>
            <w:noWrap/>
            <w:vAlign w:val="center"/>
          </w:tcPr>
          <w:p w14:paraId="3F0696B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r>
      <w:tr w14:paraId="2D151E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8" w:type="dxa"/>
            <w:noWrap/>
            <w:vAlign w:val="center"/>
          </w:tcPr>
          <w:p w14:paraId="659CA44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4</w:t>
            </w:r>
          </w:p>
        </w:tc>
        <w:tc>
          <w:tcPr>
            <w:tcW w:w="663" w:type="dxa"/>
            <w:vMerge w:val="continue"/>
            <w:noWrap/>
            <w:vAlign w:val="center"/>
          </w:tcPr>
          <w:p w14:paraId="38C53E7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p>
        </w:tc>
        <w:tc>
          <w:tcPr>
            <w:tcW w:w="1134" w:type="dxa"/>
            <w:noWrap w:val="0"/>
            <w:vAlign w:val="center"/>
          </w:tcPr>
          <w:p w14:paraId="1815FFA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水泵</w:t>
            </w:r>
          </w:p>
        </w:tc>
        <w:tc>
          <w:tcPr>
            <w:tcW w:w="708" w:type="dxa"/>
            <w:noWrap/>
            <w:vAlign w:val="center"/>
          </w:tcPr>
          <w:p w14:paraId="052CE52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w:t>
            </w:r>
          </w:p>
        </w:tc>
        <w:tc>
          <w:tcPr>
            <w:tcW w:w="991" w:type="dxa"/>
            <w:noWrap/>
            <w:vAlign w:val="center"/>
          </w:tcPr>
          <w:p w14:paraId="79E8945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85</w:t>
            </w:r>
          </w:p>
        </w:tc>
        <w:tc>
          <w:tcPr>
            <w:tcW w:w="1277" w:type="dxa"/>
            <w:noWrap/>
            <w:vAlign w:val="center"/>
          </w:tcPr>
          <w:p w14:paraId="6DA0288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设备外1m</w:t>
            </w:r>
          </w:p>
        </w:tc>
        <w:tc>
          <w:tcPr>
            <w:tcW w:w="706" w:type="dxa"/>
            <w:noWrap/>
            <w:vAlign w:val="center"/>
          </w:tcPr>
          <w:p w14:paraId="732E73D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室外</w:t>
            </w:r>
          </w:p>
        </w:tc>
        <w:tc>
          <w:tcPr>
            <w:tcW w:w="710" w:type="dxa"/>
            <w:noWrap/>
            <w:vAlign w:val="center"/>
          </w:tcPr>
          <w:p w14:paraId="1F7E57C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c>
          <w:tcPr>
            <w:tcW w:w="851" w:type="dxa"/>
            <w:noWrap/>
            <w:vAlign w:val="center"/>
          </w:tcPr>
          <w:p w14:paraId="664F341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w:t>
            </w:r>
          </w:p>
        </w:tc>
        <w:tc>
          <w:tcPr>
            <w:tcW w:w="711" w:type="dxa"/>
            <w:noWrap/>
            <w:vAlign w:val="center"/>
          </w:tcPr>
          <w:p w14:paraId="272FECD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0</w:t>
            </w:r>
            <w:r>
              <w:rPr>
                <w:rFonts w:hint="default" w:ascii="Times New Roman" w:hAnsi="Times New Roman" w:eastAsia="宋体" w:cs="Times New Roman"/>
                <w:color w:val="auto"/>
                <w:sz w:val="21"/>
                <w:szCs w:val="21"/>
              </w:rPr>
              <w:t>.5</w:t>
            </w:r>
          </w:p>
        </w:tc>
        <w:tc>
          <w:tcPr>
            <w:tcW w:w="1098" w:type="dxa"/>
            <w:noWrap/>
            <w:vAlign w:val="center"/>
          </w:tcPr>
          <w:p w14:paraId="2945056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r>
      <w:tr w14:paraId="6545B0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38" w:type="dxa"/>
            <w:noWrap/>
            <w:vAlign w:val="center"/>
          </w:tcPr>
          <w:p w14:paraId="1CCF656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5</w:t>
            </w:r>
          </w:p>
        </w:tc>
        <w:tc>
          <w:tcPr>
            <w:tcW w:w="663" w:type="dxa"/>
            <w:noWrap/>
            <w:vAlign w:val="center"/>
          </w:tcPr>
          <w:p w14:paraId="6CC27FE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水域</w:t>
            </w:r>
          </w:p>
        </w:tc>
        <w:tc>
          <w:tcPr>
            <w:tcW w:w="1134" w:type="dxa"/>
            <w:noWrap w:val="0"/>
            <w:vAlign w:val="center"/>
          </w:tcPr>
          <w:p w14:paraId="345C389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船舶发动机</w:t>
            </w:r>
          </w:p>
        </w:tc>
        <w:tc>
          <w:tcPr>
            <w:tcW w:w="708" w:type="dxa"/>
            <w:noWrap/>
            <w:vAlign w:val="center"/>
          </w:tcPr>
          <w:p w14:paraId="32D1A37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991" w:type="dxa"/>
            <w:noWrap/>
            <w:vAlign w:val="center"/>
          </w:tcPr>
          <w:p w14:paraId="64E0498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68（10m处）</w:t>
            </w:r>
          </w:p>
        </w:tc>
        <w:tc>
          <w:tcPr>
            <w:tcW w:w="1277" w:type="dxa"/>
            <w:noWrap/>
            <w:vAlign w:val="center"/>
          </w:tcPr>
          <w:p w14:paraId="52C1886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设备外1m</w:t>
            </w:r>
          </w:p>
        </w:tc>
        <w:tc>
          <w:tcPr>
            <w:tcW w:w="706" w:type="dxa"/>
            <w:noWrap/>
            <w:vAlign w:val="center"/>
          </w:tcPr>
          <w:p w14:paraId="6261624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室外</w:t>
            </w:r>
          </w:p>
        </w:tc>
        <w:tc>
          <w:tcPr>
            <w:tcW w:w="710" w:type="dxa"/>
            <w:noWrap/>
            <w:vAlign w:val="center"/>
          </w:tcPr>
          <w:p w14:paraId="180452B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w:t>
            </w:r>
          </w:p>
        </w:tc>
        <w:tc>
          <w:tcPr>
            <w:tcW w:w="851" w:type="dxa"/>
            <w:noWrap/>
            <w:vAlign w:val="center"/>
          </w:tcPr>
          <w:p w14:paraId="72ED767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5</w:t>
            </w:r>
          </w:p>
        </w:tc>
        <w:tc>
          <w:tcPr>
            <w:tcW w:w="711" w:type="dxa"/>
            <w:noWrap/>
            <w:vAlign w:val="center"/>
          </w:tcPr>
          <w:p w14:paraId="766F115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098" w:type="dxa"/>
            <w:noWrap/>
            <w:vAlign w:val="center"/>
          </w:tcPr>
          <w:p w14:paraId="13FD7B7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r>
    </w:tbl>
    <w:p w14:paraId="5318B824">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3.3.2.4</w:t>
      </w:r>
      <w:r>
        <w:rPr>
          <w:rFonts w:ascii="Times New Roman" w:hAnsi="Times New Roman" w:eastAsia="黑体" w:cs="Times New Roman"/>
          <w:bCs/>
          <w:color w:val="auto"/>
          <w:kern w:val="2"/>
          <w:sz w:val="24"/>
          <w:szCs w:val="28"/>
          <w:lang w:val="en-US" w:eastAsia="zh-CN" w:bidi="ar-SA"/>
        </w:rPr>
        <w:t>运营期</w:t>
      </w:r>
      <w:r>
        <w:rPr>
          <w:rFonts w:hint="eastAsia" w:ascii="Times New Roman" w:hAnsi="Times New Roman" w:eastAsia="黑体" w:cs="Times New Roman"/>
          <w:bCs/>
          <w:color w:val="auto"/>
          <w:kern w:val="2"/>
          <w:sz w:val="24"/>
          <w:szCs w:val="28"/>
          <w:lang w:val="en-US" w:eastAsia="zh-CN" w:bidi="ar-SA"/>
        </w:rPr>
        <w:t>固废</w:t>
      </w:r>
      <w:r>
        <w:rPr>
          <w:rFonts w:ascii="Times New Roman" w:hAnsi="Times New Roman" w:eastAsia="黑体" w:cs="Times New Roman"/>
          <w:bCs/>
          <w:color w:val="auto"/>
          <w:kern w:val="2"/>
          <w:sz w:val="24"/>
          <w:szCs w:val="28"/>
          <w:lang w:val="en-US" w:eastAsia="zh-CN" w:bidi="ar-SA"/>
        </w:rPr>
        <w:t>源强</w:t>
      </w:r>
    </w:p>
    <w:p w14:paraId="7D6F4391">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项目运营期产生的固体废物主要有到港船舶工作人员生活垃圾、陆域工作人员生活垃圾、含油</w:t>
      </w:r>
      <w:r>
        <w:rPr>
          <w:rFonts w:hint="eastAsia" w:ascii="Times New Roman" w:hAnsi="Times New Roman" w:eastAsia="宋体" w:cs="Times New Roman"/>
          <w:color w:val="auto"/>
          <w:sz w:val="24"/>
        </w:rPr>
        <w:t>废</w:t>
      </w:r>
      <w:r>
        <w:rPr>
          <w:rFonts w:ascii="Times New Roman" w:hAnsi="Times New Roman" w:eastAsia="宋体" w:cs="Times New Roman"/>
          <w:color w:val="auto"/>
          <w:sz w:val="24"/>
        </w:rPr>
        <w:t>水处理设施产生的含油污泥、沉淀池泥沙等。</w:t>
      </w:r>
    </w:p>
    <w:p w14:paraId="70FB02A7">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（1）码头职工生活垃圾</w:t>
      </w:r>
    </w:p>
    <w:p w14:paraId="110421D8">
      <w:pPr>
        <w:widowControl w:val="0"/>
        <w:spacing w:line="360" w:lineRule="auto"/>
        <w:ind w:firstLine="480" w:firstLineChars="200"/>
        <w:jc w:val="both"/>
        <w:rPr>
          <w:rFonts w:ascii="Times New Roman" w:hAnsi="Times New Roman" w:eastAsia="宋体" w:cs="Times New Roman"/>
          <w:color w:val="auto"/>
          <w:kern w:val="2"/>
          <w:sz w:val="24"/>
          <w:szCs w:val="21"/>
          <w:lang w:val="en-US" w:eastAsia="zh-CN" w:bidi="ar-SA"/>
        </w:rPr>
      </w:pPr>
      <w:r>
        <w:rPr>
          <w:rFonts w:ascii="Times New Roman" w:hAnsi="Times New Roman" w:eastAsia="宋体" w:cs="Times New Roman"/>
          <w:color w:val="auto"/>
          <w:kern w:val="2"/>
          <w:sz w:val="24"/>
          <w:szCs w:val="21"/>
          <w:lang w:val="en-US" w:eastAsia="zh-CN" w:bidi="ar-SA"/>
        </w:rPr>
        <w:t>项目运营期劳动定员8人，每人每天产生生活垃圾1.5kg，按年运行210d计算，项目陆域生活垃圾的产生量为2.52t/a，经收集后交由当地环卫部门定期清运并处理。</w:t>
      </w:r>
    </w:p>
    <w:p w14:paraId="6877AE69">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（2）船舶员工生活垃圾</w:t>
      </w:r>
    </w:p>
    <w:p w14:paraId="232522EA">
      <w:pPr>
        <w:widowControl w:val="0"/>
        <w:spacing w:line="360" w:lineRule="auto"/>
        <w:ind w:firstLine="480" w:firstLineChars="200"/>
        <w:jc w:val="both"/>
        <w:rPr>
          <w:rFonts w:ascii="Times New Roman" w:hAnsi="Times New Roman" w:eastAsia="宋体" w:cs="Times New Roman"/>
          <w:color w:val="auto"/>
          <w:kern w:val="2"/>
          <w:sz w:val="24"/>
          <w:szCs w:val="21"/>
          <w:lang w:val="en-US" w:eastAsia="zh-CN" w:bidi="ar-SA"/>
        </w:rPr>
      </w:pPr>
      <w:r>
        <w:rPr>
          <w:rFonts w:ascii="Times New Roman" w:hAnsi="Times New Roman" w:eastAsia="宋体" w:cs="Times New Roman"/>
          <w:color w:val="auto"/>
          <w:kern w:val="2"/>
          <w:sz w:val="24"/>
          <w:szCs w:val="21"/>
          <w:lang w:val="en-US" w:eastAsia="zh-CN" w:bidi="ar-SA"/>
        </w:rPr>
        <w:t>根据船舶在港天数、代表船型人数（</w:t>
      </w:r>
      <w:r>
        <w:rPr>
          <w:rFonts w:hint="eastAsia" w:ascii="Times New Roman" w:hAnsi="Times New Roman" w:eastAsia="宋体" w:cs="Times New Roman"/>
          <w:color w:val="auto"/>
          <w:kern w:val="2"/>
          <w:sz w:val="24"/>
          <w:szCs w:val="21"/>
          <w:lang w:val="en-US" w:eastAsia="zh-CN" w:bidi="ar-SA"/>
        </w:rPr>
        <w:t>1</w:t>
      </w:r>
      <w:r>
        <w:rPr>
          <w:rFonts w:ascii="Times New Roman" w:hAnsi="Times New Roman" w:eastAsia="宋体" w:cs="Times New Roman"/>
          <w:color w:val="auto"/>
          <w:kern w:val="2"/>
          <w:sz w:val="24"/>
          <w:szCs w:val="21"/>
          <w:lang w:val="en-US" w:eastAsia="zh-CN" w:bidi="ar-SA"/>
        </w:rPr>
        <w:t>000</w:t>
      </w:r>
      <w:r>
        <w:rPr>
          <w:rFonts w:hint="eastAsia" w:ascii="Times New Roman" w:hAnsi="Times New Roman" w:eastAsia="宋体" w:cs="Times New Roman"/>
          <w:color w:val="auto"/>
          <w:kern w:val="2"/>
          <w:sz w:val="24"/>
          <w:szCs w:val="21"/>
          <w:lang w:val="en-US" w:eastAsia="zh-CN" w:bidi="ar-SA"/>
        </w:rPr>
        <w:t>吨级</w:t>
      </w:r>
      <w:r>
        <w:rPr>
          <w:rFonts w:ascii="Times New Roman" w:hAnsi="Times New Roman" w:eastAsia="宋体" w:cs="Times New Roman"/>
          <w:color w:val="auto"/>
          <w:kern w:val="2"/>
          <w:sz w:val="24"/>
          <w:szCs w:val="21"/>
          <w:lang w:val="en-US" w:eastAsia="zh-CN" w:bidi="ar-SA"/>
        </w:rPr>
        <w:t>货船船员按8人计），按照每人每天产生生活垃圾1.5kg，则本项目到港船舶生活垃圾约为10.08t/a，经收集后交由当地环卫部门定期清运并处理。</w:t>
      </w:r>
    </w:p>
    <w:p w14:paraId="2240268E">
      <w:pPr>
        <w:spacing w:line="360" w:lineRule="auto"/>
        <w:ind w:firstLine="480" w:firstLineChars="200"/>
        <w:rPr>
          <w:rFonts w:hint="eastAsia" w:ascii="Times New Roman" w:hAnsi="Times New Roman" w:eastAsia="宋体" w:cs="Times New Roman"/>
          <w:color w:val="auto"/>
          <w:sz w:val="24"/>
        </w:rPr>
      </w:pPr>
      <w:r>
        <w:rPr>
          <w:rFonts w:ascii="Times New Roman" w:hAnsi="Times New Roman" w:eastAsia="宋体" w:cs="Times New Roman"/>
          <w:color w:val="auto"/>
          <w:sz w:val="24"/>
        </w:rPr>
        <w:t>（3）</w:t>
      </w:r>
      <w:r>
        <w:rPr>
          <w:rFonts w:hint="eastAsia" w:ascii="Times New Roman" w:hAnsi="Times New Roman" w:eastAsia="宋体" w:cs="Times New Roman"/>
          <w:color w:val="auto"/>
          <w:sz w:val="24"/>
        </w:rPr>
        <w:t>污泥</w:t>
      </w:r>
    </w:p>
    <w:p w14:paraId="3FAF3807">
      <w:pPr>
        <w:spacing w:line="360" w:lineRule="auto"/>
        <w:ind w:firstLine="480"/>
        <w:jc w:val="left"/>
        <w:rPr>
          <w:rFonts w:ascii="Times New Roman" w:hAnsi="Times New Roman" w:eastAsia="宋体" w:cs="Times New Roman"/>
          <w:color w:val="auto"/>
          <w:sz w:val="32"/>
          <w:szCs w:val="32"/>
        </w:rPr>
      </w:pPr>
      <w:r>
        <w:rPr>
          <w:rFonts w:hint="eastAsia" w:ascii="宋体" w:hAnsi="宋体" w:eastAsia="宋体" w:cs="Times New Roman"/>
          <w:color w:val="auto"/>
          <w:sz w:val="24"/>
          <w:szCs w:val="24"/>
        </w:rPr>
        <w:t>根据《排污许可证申请与核发技术规范  水处理（试行）》（</w:t>
      </w:r>
      <w:r>
        <w:rPr>
          <w:rFonts w:hint="eastAsia" w:ascii="Times New Roman" w:hAnsi="Times New Roman" w:eastAsia="宋体" w:cs="Times New Roman"/>
          <w:color w:val="auto"/>
          <w:sz w:val="24"/>
          <w:szCs w:val="24"/>
        </w:rPr>
        <w:t>HJ978-2018</w:t>
      </w:r>
      <w:r>
        <w:rPr>
          <w:rFonts w:hint="eastAsia" w:ascii="宋体" w:hAnsi="宋体" w:eastAsia="宋体" w:cs="Times New Roman"/>
          <w:color w:val="auto"/>
          <w:sz w:val="24"/>
          <w:szCs w:val="24"/>
        </w:rPr>
        <w:t>）中“</w:t>
      </w:r>
      <w:r>
        <w:rPr>
          <w:rFonts w:hint="eastAsia" w:ascii="Times New Roman" w:hAnsi="Times New Roman" w:eastAsia="宋体" w:cs="Times New Roman"/>
          <w:color w:val="auto"/>
          <w:sz w:val="24"/>
          <w:szCs w:val="24"/>
        </w:rPr>
        <w:t>9.4</w:t>
      </w:r>
      <w:r>
        <w:rPr>
          <w:rFonts w:hint="eastAsia" w:ascii="宋体" w:hAnsi="宋体" w:eastAsia="宋体" w:cs="Times New Roman"/>
          <w:color w:val="auto"/>
          <w:sz w:val="24"/>
          <w:szCs w:val="24"/>
        </w:rPr>
        <w:t>污泥实际排放量核算方法”推荐污水处理厂干污泥量参照下式进行计算。</w:t>
      </w:r>
    </w:p>
    <w:p w14:paraId="5139AAA4">
      <w:pPr>
        <w:spacing w:line="360" w:lineRule="auto"/>
        <w:ind w:firstLine="480"/>
        <w:jc w:val="center"/>
        <w:rPr>
          <w:rFonts w:ascii="宋体" w:hAnsi="宋体" w:eastAsia="宋体" w:cs="Times New Roman"/>
          <w:color w:val="auto"/>
          <w:sz w:val="24"/>
          <w:szCs w:val="24"/>
        </w:rPr>
      </w:pPr>
      <w:r>
        <w:rPr>
          <w:rFonts w:hint="eastAsia" w:ascii="Times New Roman" w:hAnsi="Times New Roman" w:eastAsia="宋体" w:cs="Times New Roman"/>
          <w:color w:val="auto"/>
          <w:sz w:val="24"/>
          <w:szCs w:val="24"/>
        </w:rPr>
        <w:t>E</w:t>
      </w:r>
      <w:r>
        <w:rPr>
          <w:rFonts w:hint="eastAsia" w:ascii="宋体" w:hAnsi="宋体" w:eastAsia="宋体" w:cs="Times New Roman"/>
          <w:color w:val="auto"/>
          <w:sz w:val="24"/>
          <w:szCs w:val="24"/>
          <w:vertAlign w:val="subscript"/>
        </w:rPr>
        <w:t>产生量</w:t>
      </w:r>
      <w:r>
        <w:rPr>
          <w:rFonts w:hint="eastAsia" w:ascii="Times New Roman" w:hAnsi="Times New Roman" w:eastAsia="宋体" w:cs="Times New Roman"/>
          <w:color w:val="auto"/>
          <w:sz w:val="24"/>
          <w:szCs w:val="24"/>
        </w:rPr>
        <w:t>=1.7</w:t>
      </w:r>
      <w:r>
        <w:rPr>
          <w:rFonts w:hint="eastAsia" w:ascii="宋体" w:hAnsi="宋体" w:eastAsia="宋体" w:cs="Times New Roman"/>
          <w:color w:val="auto"/>
          <w:sz w:val="24"/>
          <w:szCs w:val="24"/>
        </w:rPr>
        <w:t>×</w:t>
      </w:r>
      <w:r>
        <w:rPr>
          <w:rFonts w:ascii="Times New Roman" w:hAnsi="Times New Roman" w:eastAsia="宋体" w:cs="Times New Roman"/>
          <w:color w:val="auto"/>
          <w:sz w:val="24"/>
          <w:szCs w:val="24"/>
        </w:rPr>
        <w:t>Q</w:t>
      </w:r>
      <w:r>
        <w:rPr>
          <w:rFonts w:hint="eastAsia" w:ascii="宋体" w:hAnsi="宋体" w:eastAsia="宋体" w:cs="Times New Roman"/>
          <w:color w:val="auto"/>
          <w:sz w:val="24"/>
          <w:szCs w:val="24"/>
        </w:rPr>
        <w:t>×</w:t>
      </w:r>
      <w:r>
        <w:rPr>
          <w:rFonts w:hint="eastAsia" w:ascii="Times New Roman" w:hAnsi="Times New Roman" w:eastAsia="宋体" w:cs="Times New Roman"/>
          <w:color w:val="auto"/>
          <w:sz w:val="24"/>
          <w:szCs w:val="24"/>
        </w:rPr>
        <w:t>W</w:t>
      </w:r>
      <w:r>
        <w:rPr>
          <w:rFonts w:hint="eastAsia" w:ascii="宋体" w:hAnsi="宋体" w:eastAsia="宋体" w:cs="Times New Roman"/>
          <w:color w:val="auto"/>
          <w:sz w:val="24"/>
          <w:szCs w:val="24"/>
          <w:vertAlign w:val="subscript"/>
        </w:rPr>
        <w:t>深</w:t>
      </w:r>
      <w:r>
        <w:rPr>
          <w:rFonts w:hint="eastAsia" w:ascii="宋体" w:hAnsi="宋体" w:eastAsia="宋体" w:cs="Times New Roman"/>
          <w:color w:val="auto"/>
          <w:sz w:val="24"/>
          <w:szCs w:val="24"/>
        </w:rPr>
        <w:t>×</w:t>
      </w:r>
      <w:r>
        <w:rPr>
          <w:rFonts w:hint="eastAsia" w:ascii="Times New Roman" w:hAnsi="Times New Roman" w:eastAsia="宋体" w:cs="Times New Roman"/>
          <w:color w:val="auto"/>
          <w:sz w:val="24"/>
          <w:szCs w:val="24"/>
        </w:rPr>
        <w:t>10</w:t>
      </w:r>
      <w:r>
        <w:rPr>
          <w:rFonts w:hint="eastAsia" w:ascii="Times New Roman" w:hAnsi="Times New Roman" w:eastAsia="宋体" w:cs="Times New Roman"/>
          <w:color w:val="auto"/>
          <w:sz w:val="24"/>
          <w:szCs w:val="24"/>
          <w:vertAlign w:val="superscript"/>
        </w:rPr>
        <w:t>-4</w:t>
      </w:r>
    </w:p>
    <w:p w14:paraId="3E164AB9">
      <w:pPr>
        <w:spacing w:line="360" w:lineRule="auto"/>
        <w:ind w:firstLine="480"/>
        <w:jc w:val="left"/>
        <w:rPr>
          <w:rFonts w:hint="eastAsia" w:ascii="Times New Roman" w:hAnsi="Times New Roman" w:eastAsia="宋体" w:cs="Times New Roman"/>
          <w:color w:val="auto"/>
          <w:sz w:val="24"/>
          <w:szCs w:val="24"/>
        </w:rPr>
      </w:pPr>
      <w:r>
        <w:rPr>
          <w:rFonts w:hint="eastAsia" w:ascii="宋体" w:hAnsi="宋体" w:eastAsia="宋体" w:cs="Times New Roman"/>
          <w:color w:val="auto"/>
          <w:sz w:val="24"/>
          <w:szCs w:val="24"/>
        </w:rPr>
        <w:t>式中：</w:t>
      </w:r>
    </w:p>
    <w:p w14:paraId="460F8FA7">
      <w:pPr>
        <w:spacing w:line="360" w:lineRule="auto"/>
        <w:ind w:firstLine="480"/>
        <w:jc w:val="left"/>
        <w:rPr>
          <w:rFonts w:ascii="Times New Roman" w:hAnsi="Times New Roman" w:eastAsia="宋体" w:cs="Times New Roman"/>
          <w:color w:val="auto"/>
          <w:sz w:val="24"/>
          <w:szCs w:val="24"/>
        </w:rPr>
      </w:pPr>
      <w:r>
        <w:rPr>
          <w:rFonts w:hint="eastAsia" w:ascii="宋体" w:hAnsi="宋体" w:eastAsia="宋体" w:cs="Times New Roman"/>
          <w:color w:val="auto"/>
          <w:sz w:val="24"/>
          <w:szCs w:val="24"/>
        </w:rPr>
        <w:t xml:space="preserve"> </w:t>
      </w:r>
      <w:r>
        <w:rPr>
          <w:rFonts w:ascii="Times New Roman" w:hAnsi="Times New Roman" w:eastAsia="宋体" w:cs="Times New Roman"/>
          <w:color w:val="auto"/>
          <w:sz w:val="24"/>
          <w:szCs w:val="24"/>
        </w:rPr>
        <w:t xml:space="preserve">     E</w:t>
      </w:r>
      <w:r>
        <w:rPr>
          <w:rFonts w:hint="eastAsia" w:ascii="宋体" w:hAnsi="宋体" w:eastAsia="宋体" w:cs="Times New Roman"/>
          <w:color w:val="auto"/>
          <w:sz w:val="24"/>
          <w:szCs w:val="24"/>
          <w:vertAlign w:val="subscript"/>
        </w:rPr>
        <w:t>产生量</w:t>
      </w:r>
      <w:r>
        <w:rPr>
          <w:rFonts w:hint="eastAsia" w:ascii="宋体" w:hAnsi="宋体" w:eastAsia="宋体" w:cs="Times New Roman"/>
          <w:color w:val="auto"/>
          <w:sz w:val="24"/>
          <w:szCs w:val="24"/>
        </w:rPr>
        <w:t>——污水处理过程中产生的污泥量，以干泥计，</w:t>
      </w:r>
      <w:r>
        <w:rPr>
          <w:rFonts w:hint="eastAsia" w:ascii="Times New Roman" w:hAnsi="Times New Roman" w:eastAsia="宋体" w:cs="Times New Roman"/>
          <w:color w:val="auto"/>
          <w:sz w:val="24"/>
          <w:szCs w:val="24"/>
        </w:rPr>
        <w:t>t</w:t>
      </w:r>
      <w:r>
        <w:rPr>
          <w:rFonts w:hint="eastAsia" w:ascii="宋体" w:hAnsi="宋体" w:eastAsia="宋体" w:cs="Times New Roman"/>
          <w:color w:val="auto"/>
          <w:sz w:val="24"/>
          <w:szCs w:val="24"/>
        </w:rPr>
        <w:t>；</w:t>
      </w:r>
    </w:p>
    <w:p w14:paraId="0EB609DB">
      <w:pPr>
        <w:spacing w:line="360" w:lineRule="auto"/>
        <w:ind w:firstLine="480"/>
        <w:jc w:val="left"/>
        <w:rPr>
          <w:rFonts w:ascii="Times New Roman" w:hAnsi="Times New Roman" w:eastAsia="宋体" w:cs="Times New Roman"/>
          <w:color w:val="auto"/>
          <w:sz w:val="24"/>
          <w:szCs w:val="24"/>
        </w:rPr>
      </w:pPr>
      <w:r>
        <w:rPr>
          <w:rFonts w:hint="eastAsia" w:ascii="宋体" w:hAnsi="宋体" w:eastAsia="宋体" w:cs="Times New Roman"/>
          <w:color w:val="auto"/>
          <w:sz w:val="24"/>
          <w:szCs w:val="24"/>
        </w:rPr>
        <w:t xml:space="preserve"> </w:t>
      </w:r>
      <w:r>
        <w:rPr>
          <w:rFonts w:ascii="Times New Roman" w:hAnsi="Times New Roman" w:eastAsia="宋体" w:cs="Times New Roman"/>
          <w:color w:val="auto"/>
          <w:sz w:val="24"/>
          <w:szCs w:val="24"/>
        </w:rPr>
        <w:t xml:space="preserve">     Q</w:t>
      </w:r>
      <w:r>
        <w:rPr>
          <w:rFonts w:hint="eastAsia" w:ascii="宋体" w:hAnsi="宋体" w:eastAsia="宋体" w:cs="Times New Roman"/>
          <w:color w:val="auto"/>
          <w:sz w:val="24"/>
          <w:szCs w:val="24"/>
        </w:rPr>
        <w:t>——核算时段内排污单位废水处理量，</w:t>
      </w:r>
      <w:r>
        <w:rPr>
          <w:rFonts w:hint="eastAsia" w:ascii="Times New Roman" w:hAnsi="Times New Roman" w:eastAsia="宋体" w:cs="Times New Roman"/>
          <w:color w:val="auto"/>
          <w:sz w:val="24"/>
          <w:szCs w:val="24"/>
        </w:rPr>
        <w:t>m</w:t>
      </w:r>
      <w:r>
        <w:rPr>
          <w:rFonts w:ascii="Times New Roman" w:hAnsi="Times New Roman" w:eastAsia="宋体" w:cs="Times New Roman"/>
          <w:color w:val="auto"/>
          <w:sz w:val="24"/>
          <w:szCs w:val="24"/>
          <w:vertAlign w:val="superscript"/>
        </w:rPr>
        <w:t>3</w:t>
      </w:r>
      <w:r>
        <w:rPr>
          <w:rFonts w:hint="eastAsia" w:ascii="宋体" w:hAnsi="宋体" w:eastAsia="宋体" w:cs="Times New Roman"/>
          <w:color w:val="auto"/>
          <w:sz w:val="24"/>
          <w:szCs w:val="24"/>
        </w:rPr>
        <w:t>；取</w:t>
      </w:r>
      <w:r>
        <w:rPr>
          <w:rFonts w:ascii="Times New Roman" w:hAnsi="Times New Roman" w:eastAsia="宋体" w:cs="Times New Roman"/>
          <w:color w:val="auto"/>
          <w:sz w:val="24"/>
          <w:szCs w:val="24"/>
        </w:rPr>
        <w:t>5685.6</w:t>
      </w:r>
      <w:r>
        <w:rPr>
          <w:rFonts w:hint="eastAsia" w:ascii="Times New Roman" w:hAnsi="Times New Roman" w:eastAsia="宋体" w:cs="Times New Roman"/>
          <w:color w:val="auto"/>
          <w:sz w:val="24"/>
          <w:szCs w:val="24"/>
        </w:rPr>
        <w:t>m</w:t>
      </w:r>
      <w:r>
        <w:rPr>
          <w:rFonts w:hint="eastAsia" w:ascii="Times New Roman" w:hAnsi="Times New Roman" w:eastAsia="宋体" w:cs="Times New Roman"/>
          <w:color w:val="auto"/>
          <w:sz w:val="24"/>
          <w:szCs w:val="24"/>
          <w:vertAlign w:val="superscript"/>
        </w:rPr>
        <w:t>3</w:t>
      </w:r>
      <w:r>
        <w:rPr>
          <w:rFonts w:hint="eastAsia" w:ascii="宋体" w:hAnsi="宋体" w:eastAsia="宋体" w:cs="Times New Roman"/>
          <w:color w:val="auto"/>
          <w:sz w:val="24"/>
          <w:szCs w:val="24"/>
        </w:rPr>
        <w:t>；</w:t>
      </w:r>
    </w:p>
    <w:p w14:paraId="2ED12E6D">
      <w:pPr>
        <w:spacing w:line="360" w:lineRule="auto"/>
        <w:ind w:firstLine="480"/>
        <w:jc w:val="left"/>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ascii="Times New Roman" w:hAnsi="Times New Roman" w:eastAsia="宋体" w:cs="Times New Roman"/>
          <w:color w:val="auto"/>
          <w:sz w:val="24"/>
          <w:szCs w:val="24"/>
        </w:rPr>
        <w:t xml:space="preserve">     W</w:t>
      </w:r>
      <w:r>
        <w:rPr>
          <w:rFonts w:hint="eastAsia" w:ascii="宋体" w:hAnsi="宋体" w:eastAsia="宋体" w:cs="Times New Roman"/>
          <w:color w:val="auto"/>
          <w:sz w:val="24"/>
          <w:szCs w:val="24"/>
          <w:vertAlign w:val="subscript"/>
        </w:rPr>
        <w:t>深</w:t>
      </w:r>
      <w:r>
        <w:rPr>
          <w:rFonts w:hint="eastAsia" w:ascii="宋体" w:hAnsi="宋体" w:eastAsia="宋体" w:cs="Times New Roman"/>
          <w:color w:val="auto"/>
          <w:sz w:val="24"/>
          <w:szCs w:val="24"/>
        </w:rPr>
        <w:t>——有深度处理工艺（添加化学药剂）时按</w:t>
      </w:r>
      <w:r>
        <w:rPr>
          <w:rFonts w:hint="eastAsia" w:ascii="Times New Roman" w:hAnsi="Times New Roman" w:eastAsia="宋体" w:cs="Times New Roman"/>
          <w:color w:val="auto"/>
          <w:sz w:val="24"/>
          <w:szCs w:val="24"/>
        </w:rPr>
        <w:t>2</w:t>
      </w:r>
      <w:r>
        <w:rPr>
          <w:rFonts w:hint="eastAsia" w:ascii="宋体" w:hAnsi="宋体" w:eastAsia="宋体" w:cs="Times New Roman"/>
          <w:color w:val="auto"/>
          <w:sz w:val="24"/>
          <w:szCs w:val="24"/>
        </w:rPr>
        <w:t>计，无深度处理工艺时按</w:t>
      </w:r>
      <w:r>
        <w:rPr>
          <w:rFonts w:hint="eastAsia" w:ascii="Times New Roman" w:hAnsi="Times New Roman" w:eastAsia="宋体" w:cs="Times New Roman"/>
          <w:color w:val="auto"/>
          <w:sz w:val="24"/>
          <w:szCs w:val="24"/>
        </w:rPr>
        <w:t>1</w:t>
      </w:r>
      <w:r>
        <w:rPr>
          <w:rFonts w:hint="eastAsia" w:ascii="宋体" w:hAnsi="宋体" w:eastAsia="宋体" w:cs="Times New Roman"/>
          <w:color w:val="auto"/>
          <w:sz w:val="24"/>
          <w:szCs w:val="24"/>
        </w:rPr>
        <w:t>计，无量纲；取</w:t>
      </w:r>
      <w:r>
        <w:rPr>
          <w:rFonts w:hint="eastAsia" w:ascii="Times New Roman" w:hAnsi="Times New Roman" w:eastAsia="宋体" w:cs="Times New Roman"/>
          <w:color w:val="auto"/>
          <w:sz w:val="24"/>
          <w:szCs w:val="24"/>
        </w:rPr>
        <w:t>2</w:t>
      </w:r>
    </w:p>
    <w:p w14:paraId="00A8F6A0">
      <w:pPr>
        <w:spacing w:line="360" w:lineRule="auto"/>
        <w:ind w:firstLine="480"/>
        <w:rPr>
          <w:rFonts w:ascii="Times New Roman" w:hAnsi="Times New Roman" w:eastAsia="宋体" w:cs="Times New Roman"/>
          <w:color w:val="auto"/>
          <w:sz w:val="24"/>
          <w:highlight w:val="yellow"/>
        </w:rPr>
      </w:pPr>
      <w:r>
        <w:rPr>
          <w:rFonts w:hint="eastAsia" w:ascii="宋体" w:hAnsi="宋体" w:eastAsia="宋体" w:cs="Times New Roman"/>
          <w:color w:val="auto"/>
          <w:sz w:val="24"/>
          <w:szCs w:val="24"/>
        </w:rPr>
        <w:t>经上式计算，混凝沉淀池、二沉池及接触氧化池中绝干污泥产生量约为</w:t>
      </w:r>
      <w:r>
        <w:rPr>
          <w:rFonts w:ascii="Times New Roman" w:hAnsi="Times New Roman" w:eastAsia="宋体" w:cs="Times New Roman"/>
          <w:color w:val="auto"/>
          <w:sz w:val="24"/>
          <w:szCs w:val="24"/>
        </w:rPr>
        <w:t>1.933</w:t>
      </w:r>
      <w:r>
        <w:rPr>
          <w:rFonts w:hint="eastAsia" w:ascii="Times New Roman" w:hAnsi="Times New Roman" w:eastAsia="宋体" w:cs="Times New Roman"/>
          <w:color w:val="auto"/>
          <w:sz w:val="24"/>
          <w:szCs w:val="24"/>
        </w:rPr>
        <w:t>t</w:t>
      </w:r>
      <w:r>
        <w:rPr>
          <w:rFonts w:ascii="Times New Roman" w:hAnsi="Times New Roman" w:eastAsia="宋体" w:cs="Times New Roman"/>
          <w:color w:val="auto"/>
          <w:sz w:val="24"/>
          <w:szCs w:val="24"/>
        </w:rPr>
        <w:t>/a</w:t>
      </w:r>
      <w:r>
        <w:rPr>
          <w:rFonts w:hint="eastAsia" w:ascii="宋体" w:hAnsi="宋体" w:eastAsia="宋体" w:cs="Times New Roman"/>
          <w:color w:val="auto"/>
          <w:sz w:val="24"/>
          <w:szCs w:val="24"/>
        </w:rPr>
        <w:t>。本项目污泥含水率取</w:t>
      </w:r>
      <w:r>
        <w:rPr>
          <w:rFonts w:hint="eastAsia" w:ascii="Times New Roman" w:hAnsi="Times New Roman" w:eastAsia="宋体" w:cs="Times New Roman"/>
          <w:color w:val="auto"/>
          <w:sz w:val="24"/>
          <w:szCs w:val="24"/>
        </w:rPr>
        <w:t>6</w:t>
      </w:r>
      <w:r>
        <w:rPr>
          <w:rFonts w:ascii="Times New Roman" w:hAnsi="Times New Roman" w:eastAsia="宋体" w:cs="Times New Roman"/>
          <w:color w:val="auto"/>
          <w:sz w:val="24"/>
          <w:szCs w:val="24"/>
        </w:rPr>
        <w:t>5</w:t>
      </w:r>
      <w:r>
        <w:rPr>
          <w:rFonts w:hint="eastAsia" w:ascii="Times New Roman" w:hAnsi="Times New Roman" w:eastAsia="宋体" w:cs="Times New Roman"/>
          <w:color w:val="auto"/>
          <w:sz w:val="24"/>
          <w:szCs w:val="24"/>
        </w:rPr>
        <w:t>%</w:t>
      </w:r>
      <w:r>
        <w:rPr>
          <w:rFonts w:hint="eastAsia" w:ascii="宋体" w:hAnsi="宋体" w:eastAsia="宋体" w:cs="Times New Roman"/>
          <w:color w:val="auto"/>
          <w:sz w:val="24"/>
          <w:szCs w:val="24"/>
        </w:rPr>
        <w:t>。经核算，建设项目污泥（含水率</w:t>
      </w:r>
      <w:r>
        <w:rPr>
          <w:rFonts w:hint="eastAsia" w:ascii="Times New Roman" w:hAnsi="Times New Roman" w:eastAsia="宋体" w:cs="Times New Roman"/>
          <w:color w:val="auto"/>
          <w:sz w:val="24"/>
          <w:szCs w:val="24"/>
        </w:rPr>
        <w:t>6</w:t>
      </w:r>
      <w:r>
        <w:rPr>
          <w:rFonts w:ascii="Times New Roman" w:hAnsi="Times New Roman" w:eastAsia="宋体" w:cs="Times New Roman"/>
          <w:color w:val="auto"/>
          <w:sz w:val="24"/>
          <w:szCs w:val="24"/>
        </w:rPr>
        <w:t>5</w:t>
      </w:r>
      <w:r>
        <w:rPr>
          <w:rFonts w:hint="eastAsia" w:ascii="Times New Roman" w:hAnsi="Times New Roman" w:eastAsia="宋体" w:cs="Times New Roman"/>
          <w:color w:val="auto"/>
          <w:sz w:val="24"/>
          <w:szCs w:val="24"/>
        </w:rPr>
        <w:t>%</w:t>
      </w:r>
      <w:r>
        <w:rPr>
          <w:rFonts w:hint="eastAsia" w:ascii="宋体" w:hAnsi="宋体" w:eastAsia="宋体" w:cs="Times New Roman"/>
          <w:color w:val="auto"/>
          <w:sz w:val="24"/>
          <w:szCs w:val="24"/>
        </w:rPr>
        <w:t>）产生量约为</w:t>
      </w:r>
      <w:r>
        <w:rPr>
          <w:rFonts w:ascii="Times New Roman" w:hAnsi="Times New Roman" w:eastAsia="宋体" w:cs="Times New Roman"/>
          <w:color w:val="auto"/>
          <w:sz w:val="24"/>
          <w:szCs w:val="24"/>
        </w:rPr>
        <w:t>5.53</w:t>
      </w:r>
      <w:r>
        <w:rPr>
          <w:rFonts w:hint="eastAsia" w:ascii="Times New Roman" w:hAnsi="Times New Roman" w:eastAsia="宋体" w:cs="Times New Roman"/>
          <w:color w:val="auto"/>
          <w:sz w:val="24"/>
          <w:szCs w:val="24"/>
        </w:rPr>
        <w:t>t/a</w:t>
      </w:r>
      <w:r>
        <w:rPr>
          <w:rFonts w:hint="eastAsia" w:ascii="宋体" w:hAnsi="宋体" w:eastAsia="宋体" w:cs="Times New Roman"/>
          <w:color w:val="auto"/>
          <w:sz w:val="24"/>
          <w:szCs w:val="24"/>
        </w:rPr>
        <w:t>，交由污泥处置单位资源化利用</w:t>
      </w:r>
    </w:p>
    <w:p w14:paraId="5D21A365">
      <w:pPr>
        <w:widowControl w:val="0"/>
        <w:spacing w:line="360" w:lineRule="auto"/>
        <w:ind w:firstLine="480" w:firstLineChars="200"/>
        <w:jc w:val="both"/>
        <w:rPr>
          <w:rFonts w:ascii="Times New Roman" w:hAnsi="Times New Roman" w:eastAsia="宋体" w:cs="Times New Roman"/>
          <w:color w:val="auto"/>
          <w:kern w:val="2"/>
          <w:sz w:val="24"/>
          <w:szCs w:val="21"/>
          <w:lang w:val="en-US" w:eastAsia="zh-CN" w:bidi="ar-SA"/>
        </w:rPr>
      </w:pPr>
      <w:r>
        <w:rPr>
          <w:rFonts w:ascii="Times New Roman" w:hAnsi="Times New Roman" w:eastAsia="宋体" w:cs="Times New Roman"/>
          <w:color w:val="auto"/>
          <w:kern w:val="2"/>
          <w:sz w:val="24"/>
          <w:szCs w:val="21"/>
          <w:lang w:val="en-US" w:eastAsia="zh-CN" w:bidi="ar-SA"/>
        </w:rPr>
        <w:t>（4）</w:t>
      </w:r>
      <w:r>
        <w:rPr>
          <w:rFonts w:hint="eastAsia" w:ascii="Times New Roman" w:hAnsi="Times New Roman" w:eastAsia="宋体" w:cs="Times New Roman"/>
          <w:color w:val="auto"/>
          <w:kern w:val="2"/>
          <w:sz w:val="24"/>
          <w:szCs w:val="21"/>
          <w:lang w:val="en-US" w:eastAsia="zh-CN" w:bidi="ar-SA"/>
        </w:rPr>
        <w:t>隔</w:t>
      </w:r>
      <w:r>
        <w:rPr>
          <w:rFonts w:ascii="Times New Roman" w:hAnsi="Times New Roman" w:eastAsia="宋体" w:cs="Times New Roman"/>
          <w:color w:val="auto"/>
          <w:kern w:val="2"/>
          <w:sz w:val="24"/>
          <w:szCs w:val="21"/>
          <w:lang w:val="en-US" w:eastAsia="zh-CN" w:bidi="ar-SA"/>
        </w:rPr>
        <w:t>油</w:t>
      </w:r>
      <w:r>
        <w:rPr>
          <w:rFonts w:hint="eastAsia" w:ascii="Times New Roman" w:hAnsi="Times New Roman" w:eastAsia="宋体" w:cs="Times New Roman"/>
          <w:color w:val="auto"/>
          <w:kern w:val="2"/>
          <w:sz w:val="24"/>
          <w:szCs w:val="21"/>
          <w:lang w:val="en-US" w:eastAsia="zh-CN" w:bidi="ar-SA"/>
        </w:rPr>
        <w:t>沉淀池</w:t>
      </w:r>
      <w:r>
        <w:rPr>
          <w:rFonts w:ascii="Times New Roman" w:hAnsi="Times New Roman" w:eastAsia="宋体" w:cs="Times New Roman"/>
          <w:color w:val="auto"/>
          <w:kern w:val="2"/>
          <w:sz w:val="24"/>
          <w:szCs w:val="21"/>
          <w:lang w:val="en-US" w:eastAsia="zh-CN" w:bidi="ar-SA"/>
        </w:rPr>
        <w:t>含油污泥</w:t>
      </w:r>
    </w:p>
    <w:p w14:paraId="6CD9A6A9">
      <w:pPr>
        <w:widowControl w:val="0"/>
        <w:spacing w:line="360" w:lineRule="auto"/>
        <w:ind w:firstLine="480" w:firstLineChars="200"/>
        <w:jc w:val="both"/>
        <w:rPr>
          <w:rFonts w:ascii="Times New Roman" w:hAnsi="Times New Roman" w:eastAsia="宋体" w:cs="Times New Roman"/>
          <w:color w:val="auto"/>
          <w:kern w:val="2"/>
          <w:sz w:val="24"/>
          <w:szCs w:val="21"/>
          <w:lang w:val="en-US" w:eastAsia="zh-CN" w:bidi="ar-SA"/>
        </w:rPr>
      </w:pPr>
      <w:r>
        <w:rPr>
          <w:rFonts w:ascii="Times New Roman" w:hAnsi="Times New Roman" w:eastAsia="宋体" w:cs="Times New Roman"/>
          <w:color w:val="auto"/>
          <w:kern w:val="2"/>
          <w:sz w:val="24"/>
          <w:szCs w:val="21"/>
          <w:lang w:val="en-US" w:eastAsia="zh-CN" w:bidi="ar-SA"/>
        </w:rPr>
        <w:t>本项目</w:t>
      </w:r>
      <w:r>
        <w:rPr>
          <w:rFonts w:hint="eastAsia" w:ascii="Times New Roman" w:hAnsi="Times New Roman" w:eastAsia="宋体" w:cs="Times New Roman"/>
          <w:color w:val="auto"/>
          <w:kern w:val="2"/>
          <w:sz w:val="24"/>
          <w:szCs w:val="21"/>
          <w:lang w:val="en-US" w:eastAsia="zh-CN" w:bidi="ar-SA"/>
        </w:rPr>
        <w:t>隔油</w:t>
      </w:r>
      <w:r>
        <w:rPr>
          <w:rFonts w:ascii="Times New Roman" w:hAnsi="Times New Roman" w:eastAsia="宋体" w:cs="Times New Roman"/>
          <w:color w:val="auto"/>
          <w:kern w:val="2"/>
          <w:sz w:val="24"/>
          <w:szCs w:val="21"/>
          <w:lang w:val="en-US" w:eastAsia="zh-CN" w:bidi="ar-SA"/>
        </w:rPr>
        <w:t>池运行过程中将产生少量的含油污泥，含油污泥产生量约为1.97t/a。含油污泥属于危险废物（废物类别：HW08废矿物油与含矿物油废物，废物代码：900-210-08），经收集后采用专用的桶装，暂存于本项目危险废物暂存</w:t>
      </w:r>
      <w:r>
        <w:rPr>
          <w:rFonts w:hint="eastAsia" w:ascii="Times New Roman" w:hAnsi="Times New Roman" w:eastAsia="宋体" w:cs="Times New Roman"/>
          <w:color w:val="auto"/>
          <w:kern w:val="2"/>
          <w:sz w:val="24"/>
          <w:szCs w:val="21"/>
          <w:lang w:val="en-US" w:eastAsia="zh-CN" w:bidi="ar-SA"/>
        </w:rPr>
        <w:t>间</w:t>
      </w:r>
      <w:r>
        <w:rPr>
          <w:rFonts w:ascii="Times New Roman" w:hAnsi="Times New Roman" w:eastAsia="宋体" w:cs="Times New Roman"/>
          <w:color w:val="auto"/>
          <w:kern w:val="2"/>
          <w:sz w:val="24"/>
          <w:szCs w:val="21"/>
          <w:lang w:val="en-US" w:eastAsia="zh-CN" w:bidi="ar-SA"/>
        </w:rPr>
        <w:t>，交由有资质单位</w:t>
      </w:r>
      <w:r>
        <w:rPr>
          <w:rFonts w:hint="eastAsia" w:ascii="Times New Roman" w:hAnsi="Times New Roman" w:eastAsia="宋体" w:cs="Times New Roman"/>
          <w:color w:val="auto"/>
          <w:kern w:val="2"/>
          <w:sz w:val="24"/>
          <w:szCs w:val="21"/>
          <w:lang w:val="en-US" w:eastAsia="zh-CN" w:bidi="ar-SA"/>
        </w:rPr>
        <w:t>处理</w:t>
      </w:r>
      <w:r>
        <w:rPr>
          <w:rFonts w:ascii="Times New Roman" w:hAnsi="Times New Roman" w:eastAsia="宋体" w:cs="Times New Roman"/>
          <w:color w:val="auto"/>
          <w:kern w:val="2"/>
          <w:sz w:val="24"/>
          <w:szCs w:val="21"/>
          <w:lang w:val="en-US" w:eastAsia="zh-CN" w:bidi="ar-SA"/>
        </w:rPr>
        <w:t>处置。</w:t>
      </w:r>
    </w:p>
    <w:p w14:paraId="7980649F">
      <w:pPr>
        <w:widowControl w:val="0"/>
        <w:spacing w:line="360" w:lineRule="auto"/>
        <w:ind w:firstLine="480" w:firstLineChars="200"/>
        <w:jc w:val="both"/>
        <w:rPr>
          <w:rFonts w:hint="eastAsia" w:ascii="Times New Roman" w:hAnsi="Times New Roman" w:eastAsia="宋体" w:cs="Times New Roman"/>
          <w:color w:val="auto"/>
          <w:kern w:val="2"/>
          <w:sz w:val="24"/>
          <w:szCs w:val="21"/>
          <w:lang w:val="en-US" w:eastAsia="zh-CN" w:bidi="ar-SA"/>
        </w:rPr>
      </w:pPr>
    </w:p>
    <w:p w14:paraId="0FA0ABEE">
      <w:pPr>
        <w:spacing w:line="300" w:lineRule="exact"/>
        <w:jc w:val="center"/>
        <w:rPr>
          <w:rFonts w:eastAsia="黑体"/>
          <w:color w:val="auto"/>
          <w:sz w:val="24"/>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52EBAE94">
      <w:pPr>
        <w:spacing w:line="300" w:lineRule="exact"/>
        <w:jc w:val="center"/>
        <w:rPr>
          <w:rFonts w:ascii="Times New Roman" w:hAnsi="Times New Roman" w:eastAsia="黑体" w:cs="Times New Roman"/>
          <w:color w:val="auto"/>
          <w:sz w:val="24"/>
        </w:rPr>
      </w:pPr>
      <w:r>
        <w:rPr>
          <w:rFonts w:ascii="Times New Roman" w:hAnsi="Times New Roman" w:eastAsia="黑体" w:cs="Times New Roman"/>
          <w:color w:val="auto"/>
          <w:sz w:val="24"/>
        </w:rPr>
        <w:t>表3.3-1</w:t>
      </w:r>
      <w:r>
        <w:rPr>
          <w:rFonts w:hint="eastAsia" w:ascii="Times New Roman" w:hAnsi="Times New Roman" w:eastAsia="黑体" w:cs="Times New Roman"/>
          <w:color w:val="auto"/>
          <w:sz w:val="24"/>
        </w:rPr>
        <w:t>5</w:t>
      </w:r>
      <w:r>
        <w:rPr>
          <w:rFonts w:ascii="Times New Roman" w:hAnsi="Times New Roman" w:eastAsia="黑体" w:cs="Times New Roman"/>
          <w:color w:val="auto"/>
          <w:sz w:val="24"/>
        </w:rPr>
        <w:t xml:space="preserve">  本项目运营期固体废物产生、处置情况汇总表</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975"/>
        <w:gridCol w:w="1134"/>
        <w:gridCol w:w="1276"/>
        <w:gridCol w:w="992"/>
        <w:gridCol w:w="1559"/>
        <w:gridCol w:w="1134"/>
        <w:gridCol w:w="1134"/>
        <w:gridCol w:w="1276"/>
        <w:gridCol w:w="992"/>
        <w:gridCol w:w="2063"/>
      </w:tblGrid>
      <w:tr w14:paraId="7E3C83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5" w:type="dxa"/>
            <w:noWrap/>
            <w:vAlign w:val="center"/>
          </w:tcPr>
          <w:p w14:paraId="688F6F39">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序号</w:t>
            </w:r>
          </w:p>
        </w:tc>
        <w:tc>
          <w:tcPr>
            <w:tcW w:w="1975" w:type="dxa"/>
            <w:noWrap/>
            <w:vAlign w:val="center"/>
          </w:tcPr>
          <w:p w14:paraId="18DF564E">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固体废物名称</w:t>
            </w:r>
          </w:p>
        </w:tc>
        <w:tc>
          <w:tcPr>
            <w:tcW w:w="1134" w:type="dxa"/>
            <w:noWrap/>
            <w:vAlign w:val="center"/>
          </w:tcPr>
          <w:p w14:paraId="0AF36C42">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属性</w:t>
            </w:r>
          </w:p>
        </w:tc>
        <w:tc>
          <w:tcPr>
            <w:tcW w:w="1276" w:type="dxa"/>
            <w:noWrap/>
            <w:vAlign w:val="center"/>
          </w:tcPr>
          <w:p w14:paraId="4FA4E6CE">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产生工序</w:t>
            </w:r>
          </w:p>
        </w:tc>
        <w:tc>
          <w:tcPr>
            <w:tcW w:w="992" w:type="dxa"/>
            <w:noWrap/>
            <w:vAlign w:val="center"/>
          </w:tcPr>
          <w:p w14:paraId="177768B9">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形态</w:t>
            </w:r>
          </w:p>
        </w:tc>
        <w:tc>
          <w:tcPr>
            <w:tcW w:w="1559" w:type="dxa"/>
            <w:noWrap/>
            <w:vAlign w:val="center"/>
          </w:tcPr>
          <w:p w14:paraId="4EDB7E8C">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主要成分</w:t>
            </w:r>
          </w:p>
        </w:tc>
        <w:tc>
          <w:tcPr>
            <w:tcW w:w="1134" w:type="dxa"/>
            <w:noWrap/>
            <w:vAlign w:val="center"/>
          </w:tcPr>
          <w:p w14:paraId="04791352">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危险特性</w:t>
            </w:r>
          </w:p>
        </w:tc>
        <w:tc>
          <w:tcPr>
            <w:tcW w:w="1134" w:type="dxa"/>
            <w:noWrap/>
            <w:vAlign w:val="center"/>
          </w:tcPr>
          <w:p w14:paraId="4A29EA6B">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废物类别</w:t>
            </w:r>
          </w:p>
        </w:tc>
        <w:tc>
          <w:tcPr>
            <w:tcW w:w="1276" w:type="dxa"/>
            <w:noWrap/>
            <w:vAlign w:val="center"/>
          </w:tcPr>
          <w:p w14:paraId="006B6853">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废物代码</w:t>
            </w:r>
          </w:p>
        </w:tc>
        <w:tc>
          <w:tcPr>
            <w:tcW w:w="992" w:type="dxa"/>
            <w:noWrap/>
            <w:vAlign w:val="center"/>
          </w:tcPr>
          <w:p w14:paraId="29EE9C6A">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产生量（</w:t>
            </w:r>
            <w:r>
              <w:rPr>
                <w:rFonts w:hint="default" w:ascii="Times New Roman" w:hAnsi="Times New Roman" w:eastAsia="宋体" w:cs="Times New Roman"/>
                <w:b/>
                <w:bCs/>
                <w:color w:val="auto"/>
                <w:kern w:val="0"/>
              </w:rPr>
              <w:t>t/a</w:t>
            </w:r>
            <w:r>
              <w:rPr>
                <w:rFonts w:hint="default" w:ascii="Times New Roman" w:hAnsi="Times New Roman" w:eastAsia="宋体" w:cs="Times New Roman"/>
                <w:b/>
                <w:color w:val="auto"/>
                <w:kern w:val="0"/>
              </w:rPr>
              <w:t>）</w:t>
            </w:r>
          </w:p>
        </w:tc>
        <w:tc>
          <w:tcPr>
            <w:tcW w:w="2063" w:type="dxa"/>
            <w:noWrap w:val="0"/>
            <w:vAlign w:val="center"/>
          </w:tcPr>
          <w:p w14:paraId="1AA09237">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处置方式</w:t>
            </w:r>
          </w:p>
        </w:tc>
      </w:tr>
      <w:tr w14:paraId="1FA64B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5" w:type="dxa"/>
            <w:noWrap/>
            <w:vAlign w:val="center"/>
          </w:tcPr>
          <w:p w14:paraId="3F43B3FA">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1</w:t>
            </w:r>
          </w:p>
        </w:tc>
        <w:tc>
          <w:tcPr>
            <w:tcW w:w="1975" w:type="dxa"/>
            <w:noWrap/>
            <w:vAlign w:val="center"/>
          </w:tcPr>
          <w:p w14:paraId="105D4109">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到港船舶生活垃圾</w:t>
            </w:r>
          </w:p>
        </w:tc>
        <w:tc>
          <w:tcPr>
            <w:tcW w:w="1134" w:type="dxa"/>
            <w:vMerge w:val="restart"/>
            <w:noWrap/>
            <w:vAlign w:val="center"/>
          </w:tcPr>
          <w:p w14:paraId="72697B2D">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一般工业固废</w:t>
            </w:r>
          </w:p>
        </w:tc>
        <w:tc>
          <w:tcPr>
            <w:tcW w:w="1276" w:type="dxa"/>
            <w:noWrap/>
            <w:vAlign w:val="center"/>
          </w:tcPr>
          <w:p w14:paraId="67C7838A">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船员生活</w:t>
            </w:r>
          </w:p>
        </w:tc>
        <w:tc>
          <w:tcPr>
            <w:tcW w:w="992" w:type="dxa"/>
            <w:noWrap/>
            <w:vAlign w:val="center"/>
          </w:tcPr>
          <w:p w14:paraId="386D3AB3">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固态</w:t>
            </w:r>
          </w:p>
        </w:tc>
        <w:tc>
          <w:tcPr>
            <w:tcW w:w="1559" w:type="dxa"/>
            <w:noWrap/>
            <w:vAlign w:val="center"/>
          </w:tcPr>
          <w:p w14:paraId="6A891636">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食品</w:t>
            </w:r>
            <w:r>
              <w:rPr>
                <w:rFonts w:hint="eastAsia" w:ascii="Times New Roman" w:hAnsi="Times New Roman" w:eastAsia="宋体" w:cs="Times New Roman"/>
                <w:color w:val="auto"/>
                <w:kern w:val="0"/>
              </w:rPr>
              <w:t>、</w:t>
            </w:r>
            <w:r>
              <w:rPr>
                <w:rFonts w:hint="default" w:ascii="Times New Roman" w:hAnsi="Times New Roman" w:eastAsia="宋体" w:cs="Times New Roman"/>
                <w:color w:val="auto"/>
                <w:kern w:val="0"/>
              </w:rPr>
              <w:t>废物等</w:t>
            </w:r>
          </w:p>
        </w:tc>
        <w:tc>
          <w:tcPr>
            <w:tcW w:w="1134" w:type="dxa"/>
            <w:noWrap/>
            <w:vAlign w:val="center"/>
          </w:tcPr>
          <w:p w14:paraId="53A9122B">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134" w:type="dxa"/>
            <w:noWrap/>
            <w:vAlign w:val="center"/>
          </w:tcPr>
          <w:p w14:paraId="642FDE99">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99</w:t>
            </w:r>
          </w:p>
        </w:tc>
        <w:tc>
          <w:tcPr>
            <w:tcW w:w="1276" w:type="dxa"/>
            <w:noWrap/>
            <w:vAlign w:val="center"/>
          </w:tcPr>
          <w:p w14:paraId="6C5A2ACE">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553-002-99</w:t>
            </w:r>
          </w:p>
        </w:tc>
        <w:tc>
          <w:tcPr>
            <w:tcW w:w="992" w:type="dxa"/>
            <w:noWrap/>
            <w:vAlign w:val="center"/>
          </w:tcPr>
          <w:p w14:paraId="29DD2BFD">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rPr>
              <w:t>10.08</w:t>
            </w:r>
          </w:p>
        </w:tc>
        <w:tc>
          <w:tcPr>
            <w:tcW w:w="2063" w:type="dxa"/>
            <w:vMerge w:val="restart"/>
            <w:noWrap w:val="0"/>
            <w:vAlign w:val="center"/>
          </w:tcPr>
          <w:p w14:paraId="41656604">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交由当地环卫部门统一收集处理</w:t>
            </w:r>
          </w:p>
        </w:tc>
      </w:tr>
      <w:tr w14:paraId="236872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5" w:type="dxa"/>
            <w:noWrap/>
            <w:vAlign w:val="center"/>
          </w:tcPr>
          <w:p w14:paraId="0CDF8C43">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2</w:t>
            </w:r>
          </w:p>
        </w:tc>
        <w:tc>
          <w:tcPr>
            <w:tcW w:w="1975" w:type="dxa"/>
            <w:noWrap/>
            <w:vAlign w:val="center"/>
          </w:tcPr>
          <w:p w14:paraId="7004F4CF">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职工</w:t>
            </w:r>
            <w:r>
              <w:rPr>
                <w:rFonts w:hint="default" w:ascii="Times New Roman" w:hAnsi="Times New Roman" w:eastAsia="宋体" w:cs="Times New Roman"/>
                <w:color w:val="auto"/>
                <w:kern w:val="0"/>
              </w:rPr>
              <w:t>生活垃圾</w:t>
            </w:r>
          </w:p>
        </w:tc>
        <w:tc>
          <w:tcPr>
            <w:tcW w:w="1134" w:type="dxa"/>
            <w:vMerge w:val="continue"/>
            <w:noWrap/>
            <w:vAlign w:val="center"/>
          </w:tcPr>
          <w:p w14:paraId="0B7BF68A">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p>
        </w:tc>
        <w:tc>
          <w:tcPr>
            <w:tcW w:w="1276" w:type="dxa"/>
            <w:noWrap/>
            <w:vAlign w:val="center"/>
          </w:tcPr>
          <w:p w14:paraId="1DFE6A08">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办公、生活</w:t>
            </w:r>
          </w:p>
        </w:tc>
        <w:tc>
          <w:tcPr>
            <w:tcW w:w="992" w:type="dxa"/>
            <w:noWrap/>
            <w:vAlign w:val="center"/>
          </w:tcPr>
          <w:p w14:paraId="1760D4D1">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固态</w:t>
            </w:r>
          </w:p>
        </w:tc>
        <w:tc>
          <w:tcPr>
            <w:tcW w:w="1559" w:type="dxa"/>
            <w:noWrap/>
            <w:vAlign w:val="center"/>
          </w:tcPr>
          <w:p w14:paraId="70E8DDF6">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食品</w:t>
            </w:r>
            <w:r>
              <w:rPr>
                <w:rFonts w:hint="eastAsia" w:ascii="Times New Roman" w:hAnsi="Times New Roman" w:eastAsia="宋体" w:cs="Times New Roman"/>
                <w:color w:val="auto"/>
                <w:kern w:val="0"/>
              </w:rPr>
              <w:t>、</w:t>
            </w:r>
            <w:r>
              <w:rPr>
                <w:rFonts w:hint="default" w:ascii="Times New Roman" w:hAnsi="Times New Roman" w:eastAsia="宋体" w:cs="Times New Roman"/>
                <w:color w:val="auto"/>
                <w:kern w:val="0"/>
              </w:rPr>
              <w:t>废物等</w:t>
            </w:r>
          </w:p>
        </w:tc>
        <w:tc>
          <w:tcPr>
            <w:tcW w:w="1134" w:type="dxa"/>
            <w:noWrap/>
            <w:vAlign w:val="center"/>
          </w:tcPr>
          <w:p w14:paraId="1CFEE874">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134" w:type="dxa"/>
            <w:noWrap/>
            <w:vAlign w:val="center"/>
          </w:tcPr>
          <w:p w14:paraId="1749F186">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99</w:t>
            </w:r>
          </w:p>
        </w:tc>
        <w:tc>
          <w:tcPr>
            <w:tcW w:w="1276" w:type="dxa"/>
            <w:noWrap/>
            <w:vAlign w:val="center"/>
          </w:tcPr>
          <w:p w14:paraId="4790EED2">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553-002-99</w:t>
            </w:r>
          </w:p>
        </w:tc>
        <w:tc>
          <w:tcPr>
            <w:tcW w:w="992" w:type="dxa"/>
            <w:noWrap/>
            <w:vAlign w:val="center"/>
          </w:tcPr>
          <w:p w14:paraId="4BFD7541">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rPr>
              <w:t>1.68</w:t>
            </w:r>
          </w:p>
        </w:tc>
        <w:tc>
          <w:tcPr>
            <w:tcW w:w="2063" w:type="dxa"/>
            <w:vMerge w:val="continue"/>
            <w:noWrap w:val="0"/>
            <w:vAlign w:val="center"/>
          </w:tcPr>
          <w:p w14:paraId="410C7AB2">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p>
        </w:tc>
      </w:tr>
      <w:tr w14:paraId="0305B7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5" w:type="dxa"/>
            <w:noWrap/>
            <w:vAlign w:val="center"/>
          </w:tcPr>
          <w:p w14:paraId="6B89AD6C">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3</w:t>
            </w:r>
          </w:p>
        </w:tc>
        <w:tc>
          <w:tcPr>
            <w:tcW w:w="1975" w:type="dxa"/>
            <w:noWrap/>
            <w:vAlign w:val="center"/>
          </w:tcPr>
          <w:p w14:paraId="13C95DFC">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污泥</w:t>
            </w:r>
          </w:p>
        </w:tc>
        <w:tc>
          <w:tcPr>
            <w:tcW w:w="1134" w:type="dxa"/>
            <w:vMerge w:val="continue"/>
            <w:noWrap/>
            <w:vAlign w:val="center"/>
          </w:tcPr>
          <w:p w14:paraId="422AAE51">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p>
        </w:tc>
        <w:tc>
          <w:tcPr>
            <w:tcW w:w="1276" w:type="dxa"/>
            <w:noWrap/>
            <w:vAlign w:val="center"/>
          </w:tcPr>
          <w:p w14:paraId="38660334">
            <w:pPr>
              <w:keepNext w:val="0"/>
              <w:keepLines w:val="0"/>
              <w:widowControl/>
              <w:suppressLineNumbers w:val="0"/>
              <w:spacing w:before="0" w:beforeAutospacing="0" w:after="0" w:afterAutospacing="0" w:line="300" w:lineRule="exact"/>
              <w:ind w:left="0" w:right="0"/>
              <w:jc w:val="center"/>
              <w:rPr>
                <w:rFonts w:hint="eastAsia" w:ascii="Times New Roman" w:hAnsi="Times New Roman" w:eastAsia="宋体" w:cs="Times New Roman"/>
                <w:color w:val="auto"/>
                <w:kern w:val="0"/>
              </w:rPr>
            </w:pPr>
            <w:r>
              <w:rPr>
                <w:rFonts w:hint="eastAsia" w:ascii="Times New Roman" w:hAnsi="Times New Roman" w:eastAsia="宋体" w:cs="Times New Roman"/>
                <w:color w:val="auto"/>
                <w:kern w:val="0"/>
              </w:rPr>
              <w:t>二沉池、接触氧化池及混凝沉淀池</w:t>
            </w:r>
          </w:p>
        </w:tc>
        <w:tc>
          <w:tcPr>
            <w:tcW w:w="992" w:type="dxa"/>
            <w:noWrap/>
            <w:vAlign w:val="center"/>
          </w:tcPr>
          <w:p w14:paraId="1477AB48">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固</w:t>
            </w:r>
            <w:r>
              <w:rPr>
                <w:rFonts w:hint="eastAsia" w:ascii="Times New Roman" w:hAnsi="Times New Roman" w:eastAsia="宋体" w:cs="Times New Roman"/>
                <w:color w:val="auto"/>
                <w:kern w:val="0"/>
              </w:rPr>
              <w:t>/液</w:t>
            </w:r>
            <w:r>
              <w:rPr>
                <w:rFonts w:hint="default" w:ascii="Times New Roman" w:hAnsi="Times New Roman" w:eastAsia="宋体" w:cs="Times New Roman"/>
                <w:color w:val="auto"/>
                <w:kern w:val="0"/>
              </w:rPr>
              <w:t>态</w:t>
            </w:r>
          </w:p>
        </w:tc>
        <w:tc>
          <w:tcPr>
            <w:tcW w:w="1559" w:type="dxa"/>
            <w:noWrap/>
            <w:vAlign w:val="center"/>
          </w:tcPr>
          <w:p w14:paraId="0CBF1501">
            <w:pPr>
              <w:keepNext w:val="0"/>
              <w:keepLines w:val="0"/>
              <w:widowControl/>
              <w:suppressLineNumbers w:val="0"/>
              <w:spacing w:before="0" w:beforeAutospacing="0" w:after="0" w:afterAutospacing="0" w:line="300" w:lineRule="exact"/>
              <w:ind w:left="0" w:right="0"/>
              <w:jc w:val="center"/>
              <w:rPr>
                <w:rFonts w:hint="eastAsia" w:ascii="Times New Roman" w:hAnsi="Times New Roman" w:eastAsia="宋体" w:cs="Times New Roman"/>
                <w:color w:val="auto"/>
                <w:kern w:val="0"/>
              </w:rPr>
            </w:pPr>
            <w:r>
              <w:rPr>
                <w:rFonts w:hint="eastAsia" w:ascii="Times New Roman" w:hAnsi="Times New Roman" w:eastAsia="宋体" w:cs="Times New Roman"/>
                <w:color w:val="auto"/>
                <w:kern w:val="0"/>
              </w:rPr>
              <w:t>疏浚淤泥</w:t>
            </w:r>
          </w:p>
        </w:tc>
        <w:tc>
          <w:tcPr>
            <w:tcW w:w="1134" w:type="dxa"/>
            <w:noWrap/>
            <w:vAlign w:val="center"/>
          </w:tcPr>
          <w:p w14:paraId="4EB08F9A">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w:t>
            </w:r>
          </w:p>
        </w:tc>
        <w:tc>
          <w:tcPr>
            <w:tcW w:w="1134" w:type="dxa"/>
            <w:noWrap/>
            <w:vAlign w:val="center"/>
          </w:tcPr>
          <w:p w14:paraId="3D6ABA53">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61</w:t>
            </w:r>
          </w:p>
        </w:tc>
        <w:tc>
          <w:tcPr>
            <w:tcW w:w="1276" w:type="dxa"/>
            <w:noWrap/>
            <w:vAlign w:val="center"/>
          </w:tcPr>
          <w:p w14:paraId="3AB95B12">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553-002-61</w:t>
            </w:r>
          </w:p>
        </w:tc>
        <w:tc>
          <w:tcPr>
            <w:tcW w:w="992" w:type="dxa"/>
            <w:noWrap/>
            <w:vAlign w:val="center"/>
          </w:tcPr>
          <w:p w14:paraId="4722F017">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5.53</w:t>
            </w:r>
          </w:p>
        </w:tc>
        <w:tc>
          <w:tcPr>
            <w:tcW w:w="2063" w:type="dxa"/>
            <w:noWrap w:val="0"/>
            <w:vAlign w:val="center"/>
          </w:tcPr>
          <w:p w14:paraId="1083B74F">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交由</w:t>
            </w:r>
            <w:r>
              <w:rPr>
                <w:rFonts w:hint="eastAsia" w:ascii="Times New Roman" w:hAnsi="Times New Roman" w:eastAsia="宋体" w:cs="Times New Roman"/>
                <w:color w:val="auto"/>
                <w:kern w:val="0"/>
              </w:rPr>
              <w:t>污泥处置单位资源化利用</w:t>
            </w:r>
          </w:p>
        </w:tc>
      </w:tr>
      <w:tr w14:paraId="21B408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5" w:type="dxa"/>
            <w:noWrap/>
            <w:vAlign w:val="center"/>
          </w:tcPr>
          <w:p w14:paraId="3E962EC4">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4</w:t>
            </w:r>
          </w:p>
        </w:tc>
        <w:tc>
          <w:tcPr>
            <w:tcW w:w="1975" w:type="dxa"/>
            <w:noWrap/>
            <w:vAlign w:val="center"/>
          </w:tcPr>
          <w:p w14:paraId="4EE23D6B">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含油污泥</w:t>
            </w:r>
          </w:p>
        </w:tc>
        <w:tc>
          <w:tcPr>
            <w:tcW w:w="1134" w:type="dxa"/>
            <w:noWrap/>
            <w:vAlign w:val="center"/>
          </w:tcPr>
          <w:p w14:paraId="6CBBD419">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危险废物</w:t>
            </w:r>
          </w:p>
        </w:tc>
        <w:tc>
          <w:tcPr>
            <w:tcW w:w="1276" w:type="dxa"/>
            <w:noWrap/>
            <w:vAlign w:val="center"/>
          </w:tcPr>
          <w:p w14:paraId="2C80F5C9">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含油废水处理设施</w:t>
            </w:r>
          </w:p>
        </w:tc>
        <w:tc>
          <w:tcPr>
            <w:tcW w:w="992" w:type="dxa"/>
            <w:noWrap/>
            <w:vAlign w:val="center"/>
          </w:tcPr>
          <w:p w14:paraId="55316143">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固</w:t>
            </w:r>
            <w:r>
              <w:rPr>
                <w:rFonts w:hint="eastAsia" w:ascii="Times New Roman" w:hAnsi="Times New Roman" w:eastAsia="宋体" w:cs="Times New Roman"/>
                <w:color w:val="auto"/>
                <w:kern w:val="0"/>
              </w:rPr>
              <w:t>/液</w:t>
            </w:r>
            <w:r>
              <w:rPr>
                <w:rFonts w:hint="default" w:ascii="Times New Roman" w:hAnsi="Times New Roman" w:eastAsia="宋体" w:cs="Times New Roman"/>
                <w:color w:val="auto"/>
                <w:kern w:val="0"/>
              </w:rPr>
              <w:t>态</w:t>
            </w:r>
          </w:p>
        </w:tc>
        <w:tc>
          <w:tcPr>
            <w:tcW w:w="1559" w:type="dxa"/>
            <w:noWrap/>
            <w:vAlign w:val="center"/>
          </w:tcPr>
          <w:p w14:paraId="0A7264B6">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含矿物油废物</w:t>
            </w:r>
          </w:p>
        </w:tc>
        <w:tc>
          <w:tcPr>
            <w:tcW w:w="1134" w:type="dxa"/>
            <w:noWrap/>
            <w:vAlign w:val="center"/>
          </w:tcPr>
          <w:p w14:paraId="6C0648FB">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T，I</w:t>
            </w:r>
          </w:p>
        </w:tc>
        <w:tc>
          <w:tcPr>
            <w:tcW w:w="1134" w:type="dxa"/>
            <w:noWrap/>
            <w:vAlign w:val="center"/>
          </w:tcPr>
          <w:p w14:paraId="54C1FF4B">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HW08</w:t>
            </w:r>
          </w:p>
        </w:tc>
        <w:tc>
          <w:tcPr>
            <w:tcW w:w="1276" w:type="dxa"/>
            <w:noWrap/>
            <w:vAlign w:val="center"/>
          </w:tcPr>
          <w:p w14:paraId="38919A86">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900-210-08</w:t>
            </w:r>
          </w:p>
        </w:tc>
        <w:tc>
          <w:tcPr>
            <w:tcW w:w="992" w:type="dxa"/>
            <w:noWrap/>
            <w:vAlign w:val="center"/>
          </w:tcPr>
          <w:p w14:paraId="657DDC34">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rPr>
              <w:t>1.97</w:t>
            </w:r>
          </w:p>
        </w:tc>
        <w:tc>
          <w:tcPr>
            <w:tcW w:w="2063" w:type="dxa"/>
            <w:noWrap w:val="0"/>
            <w:vAlign w:val="center"/>
          </w:tcPr>
          <w:p w14:paraId="5B39E6B5">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暂存于危险废物暂存库中，定期</w:t>
            </w:r>
            <w:r>
              <w:rPr>
                <w:rFonts w:hint="eastAsia" w:ascii="Times New Roman" w:hAnsi="Times New Roman" w:eastAsia="宋体" w:cs="Times New Roman"/>
                <w:color w:val="auto"/>
                <w:kern w:val="0"/>
              </w:rPr>
              <w:t>委托</w:t>
            </w:r>
            <w:r>
              <w:rPr>
                <w:rFonts w:hint="default" w:ascii="Times New Roman" w:hAnsi="Times New Roman" w:eastAsia="宋体" w:cs="Times New Roman"/>
                <w:color w:val="auto"/>
                <w:kern w:val="0"/>
              </w:rPr>
              <w:t>资质单位处理</w:t>
            </w:r>
          </w:p>
        </w:tc>
      </w:tr>
    </w:tbl>
    <w:p w14:paraId="0564F517">
      <w:pPr>
        <w:numPr>
          <w:ilvl w:val="3"/>
          <w:numId w:val="0"/>
        </w:numPr>
        <w:rPr>
          <w:color w:val="auto"/>
        </w:rPr>
        <w:sectPr>
          <w:pgSz w:w="16840" w:h="11907" w:orient="landscape"/>
          <w:pgMar w:top="1418" w:right="1418" w:bottom="1418" w:left="1418" w:header="851" w:footer="851" w:gutter="0"/>
          <w:pgBorders>
            <w:top w:val="none" w:sz="0" w:space="0"/>
            <w:left w:val="none" w:sz="0" w:space="0"/>
            <w:bottom w:val="none" w:sz="0" w:space="0"/>
            <w:right w:val="none" w:sz="0" w:space="0"/>
          </w:pgBorders>
          <w:cols w:space="720" w:num="1"/>
          <w:docGrid w:type="lines" w:linePitch="312" w:charSpace="0"/>
        </w:sectPr>
      </w:pPr>
    </w:p>
    <w:p w14:paraId="511DB671">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3.3.2.</w:t>
      </w:r>
      <w:r>
        <w:rPr>
          <w:rFonts w:ascii="Times New Roman" w:hAnsi="Times New Roman" w:eastAsia="黑体" w:cs="Times New Roman"/>
          <w:bCs/>
          <w:color w:val="auto"/>
          <w:kern w:val="2"/>
          <w:sz w:val="24"/>
          <w:szCs w:val="28"/>
          <w:lang w:val="en-US" w:eastAsia="zh-CN" w:bidi="ar-SA"/>
        </w:rPr>
        <w:t>5运营期</w:t>
      </w:r>
      <w:r>
        <w:rPr>
          <w:rFonts w:hint="eastAsia" w:ascii="Times New Roman" w:hAnsi="Times New Roman" w:eastAsia="黑体" w:cs="Times New Roman"/>
          <w:bCs/>
          <w:color w:val="auto"/>
          <w:kern w:val="2"/>
          <w:sz w:val="24"/>
          <w:szCs w:val="28"/>
          <w:lang w:val="en-US" w:eastAsia="zh-CN" w:bidi="ar-SA"/>
        </w:rPr>
        <w:t>生态环境影响</w:t>
      </w:r>
    </w:p>
    <w:p w14:paraId="78177202">
      <w:pPr>
        <w:spacing w:line="360" w:lineRule="auto"/>
        <w:ind w:firstLine="480" w:firstLineChars="200"/>
        <w:jc w:val="both"/>
        <w:rPr>
          <w:rFonts w:hint="eastAsia"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（1）本项目维护性疏浚过程中对河床底泥扰动，使得泥沙悬浮，造成水体浑浊，水质下降，并使区域底栖生物生存环境遭到破损，对部分浮游生物会产生影响。维护性疏浚时间较短，</w:t>
      </w:r>
      <w:r>
        <w:rPr>
          <w:rFonts w:hint="eastAsia" w:cs="Calibri"/>
          <w:color w:val="auto"/>
          <w:kern w:val="2"/>
          <w:sz w:val="24"/>
          <w:szCs w:val="24"/>
          <w:lang w:val="en-US" w:eastAsia="zh-CN" w:bidi="ar-SA"/>
        </w:rPr>
        <w:t>随着</w:t>
      </w:r>
      <w:r>
        <w:rPr>
          <w:rFonts w:hint="eastAsia" w:ascii="Times New Roman" w:hAnsi="Times New Roman" w:eastAsia="宋体" w:cs="Calibri"/>
          <w:color w:val="auto"/>
          <w:kern w:val="2"/>
          <w:sz w:val="24"/>
          <w:szCs w:val="24"/>
          <w:lang w:val="en-US" w:eastAsia="zh-CN" w:bidi="ar-SA"/>
        </w:rPr>
        <w:t>疏浚工程结束，维护性疏浚</w:t>
      </w:r>
      <w:r>
        <w:rPr>
          <w:rFonts w:ascii="Times New Roman" w:hAnsi="Times New Roman" w:eastAsia="宋体" w:cs="Calibri"/>
          <w:color w:val="auto"/>
          <w:kern w:val="2"/>
          <w:sz w:val="24"/>
          <w:szCs w:val="24"/>
          <w:lang w:val="en-US" w:eastAsia="zh-CN" w:bidi="ar-SA"/>
        </w:rPr>
        <w:t>产生的不利影响逐渐消失</w:t>
      </w:r>
      <w:r>
        <w:rPr>
          <w:rFonts w:hint="eastAsia" w:ascii="Times New Roman" w:hAnsi="Times New Roman" w:eastAsia="宋体" w:cs="Calibri"/>
          <w:color w:val="auto"/>
          <w:kern w:val="2"/>
          <w:sz w:val="24"/>
          <w:szCs w:val="24"/>
          <w:lang w:val="en-US" w:eastAsia="zh-CN" w:bidi="ar-SA"/>
        </w:rPr>
        <w:t>。</w:t>
      </w:r>
    </w:p>
    <w:p w14:paraId="70B39988">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w:t>
      </w:r>
      <w:r>
        <w:rPr>
          <w:rFonts w:ascii="Times New Roman" w:hAnsi="Times New Roman" w:eastAsia="宋体" w:cs="Calibri"/>
          <w:color w:val="auto"/>
          <w:kern w:val="2"/>
          <w:sz w:val="24"/>
          <w:szCs w:val="24"/>
          <w:lang w:val="en-US" w:eastAsia="zh-CN" w:bidi="ar-SA"/>
        </w:rPr>
        <w:t>2</w:t>
      </w:r>
      <w:r>
        <w:rPr>
          <w:rFonts w:hint="eastAsia" w:ascii="Times New Roman" w:hAnsi="Times New Roman" w:eastAsia="宋体" w:cs="Calibri"/>
          <w:color w:val="auto"/>
          <w:kern w:val="2"/>
          <w:sz w:val="24"/>
          <w:szCs w:val="24"/>
          <w:lang w:val="en-US" w:eastAsia="zh-CN" w:bidi="ar-SA"/>
        </w:rPr>
        <w:t>）水工建筑桩基对区域的水动力条件有一定的改变，包括流场、行洪能力的改变等，桩基</w:t>
      </w:r>
      <w:r>
        <w:rPr>
          <w:rFonts w:ascii="Times New Roman" w:hAnsi="Times New Roman" w:eastAsia="宋体" w:cs="Calibri"/>
          <w:color w:val="auto"/>
          <w:kern w:val="2"/>
          <w:sz w:val="24"/>
          <w:szCs w:val="24"/>
          <w:lang w:val="en-US" w:eastAsia="zh-CN" w:bidi="ar-SA"/>
        </w:rPr>
        <w:t>压缩水生生物的生存空间，影响水生生物的生存、繁殖</w:t>
      </w:r>
      <w:r>
        <w:rPr>
          <w:rFonts w:hint="eastAsia" w:ascii="Times New Roman" w:hAnsi="Times New Roman" w:eastAsia="宋体" w:cs="Calibri"/>
          <w:color w:val="auto"/>
          <w:kern w:val="2"/>
          <w:sz w:val="24"/>
          <w:szCs w:val="24"/>
          <w:lang w:val="en-US" w:eastAsia="zh-CN" w:bidi="ar-SA"/>
        </w:rPr>
        <w:t>。</w:t>
      </w:r>
    </w:p>
    <w:p w14:paraId="37B565A8">
      <w:pPr>
        <w:spacing w:line="360" w:lineRule="auto"/>
        <w:ind w:firstLine="480" w:firstLineChars="200"/>
        <w:jc w:val="both"/>
        <w:rPr>
          <w:rFonts w:hint="eastAsia"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w:t>
      </w:r>
      <w:r>
        <w:rPr>
          <w:rFonts w:ascii="Times New Roman" w:hAnsi="Times New Roman" w:eastAsia="宋体" w:cs="Calibri"/>
          <w:color w:val="auto"/>
          <w:kern w:val="2"/>
          <w:sz w:val="24"/>
          <w:szCs w:val="24"/>
          <w:lang w:val="en-US" w:eastAsia="zh-CN" w:bidi="ar-SA"/>
        </w:rPr>
        <w:t>3</w:t>
      </w:r>
      <w:r>
        <w:rPr>
          <w:rFonts w:hint="eastAsia" w:ascii="Times New Roman" w:hAnsi="Times New Roman" w:eastAsia="宋体" w:cs="Calibri"/>
          <w:color w:val="auto"/>
          <w:kern w:val="2"/>
          <w:sz w:val="24"/>
          <w:szCs w:val="24"/>
          <w:lang w:val="en-US" w:eastAsia="zh-CN" w:bidi="ar-SA"/>
        </w:rPr>
        <w:t>）陆域形成会对拟建港区的陆域生态产生直接破坏，造成植被破坏和水土流失等。</w:t>
      </w:r>
    </w:p>
    <w:p w14:paraId="212AE1E4">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w:t>
      </w:r>
      <w:r>
        <w:rPr>
          <w:rFonts w:ascii="Times New Roman" w:hAnsi="Times New Roman" w:eastAsia="宋体" w:cs="Calibri"/>
          <w:color w:val="auto"/>
          <w:kern w:val="2"/>
          <w:sz w:val="24"/>
          <w:szCs w:val="24"/>
          <w:lang w:val="en-US" w:eastAsia="zh-CN" w:bidi="ar-SA"/>
        </w:rPr>
        <w:t>4</w:t>
      </w:r>
      <w:r>
        <w:rPr>
          <w:rFonts w:hint="eastAsia" w:ascii="Times New Roman" w:hAnsi="Times New Roman" w:eastAsia="宋体" w:cs="Calibri"/>
          <w:color w:val="auto"/>
          <w:kern w:val="2"/>
          <w:sz w:val="24"/>
          <w:szCs w:val="24"/>
          <w:lang w:val="en-US" w:eastAsia="zh-CN" w:bidi="ar-SA"/>
        </w:rPr>
        <w:t>）船舶行驶对其河道鱼类的活动空间产生一定的影响。</w:t>
      </w:r>
    </w:p>
    <w:p w14:paraId="257C0159">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3.3.2.</w:t>
      </w:r>
      <w:r>
        <w:rPr>
          <w:rFonts w:ascii="Times New Roman" w:hAnsi="Times New Roman" w:eastAsia="黑体" w:cs="Times New Roman"/>
          <w:bCs/>
          <w:color w:val="auto"/>
          <w:kern w:val="2"/>
          <w:sz w:val="24"/>
          <w:szCs w:val="28"/>
          <w:lang w:val="en-US" w:eastAsia="zh-CN" w:bidi="ar-SA"/>
        </w:rPr>
        <w:t>6运营期</w:t>
      </w:r>
      <w:r>
        <w:rPr>
          <w:rFonts w:hint="eastAsia" w:ascii="Times New Roman" w:hAnsi="Times New Roman" w:eastAsia="黑体" w:cs="Times New Roman"/>
          <w:bCs/>
          <w:color w:val="auto"/>
          <w:kern w:val="2"/>
          <w:sz w:val="24"/>
          <w:szCs w:val="28"/>
          <w:lang w:val="en-US" w:eastAsia="zh-CN" w:bidi="ar-SA"/>
        </w:rPr>
        <w:t>环境风险影响</w:t>
      </w:r>
    </w:p>
    <w:p w14:paraId="549739CB">
      <w:pPr>
        <w:spacing w:line="360" w:lineRule="auto"/>
        <w:ind w:firstLine="480" w:firstLineChars="200"/>
        <w:jc w:val="both"/>
        <w:rPr>
          <w:rFonts w:ascii="Times New Roman" w:hAnsi="Times New Roman" w:eastAsia="宋体" w:cs="Calibri"/>
          <w:snapToGrid w:val="0"/>
          <w:color w:val="auto"/>
          <w:kern w:val="2"/>
          <w:sz w:val="24"/>
          <w:szCs w:val="21"/>
          <w:lang w:val="zh-CN" w:eastAsia="zh-CN" w:bidi="ar-SA"/>
        </w:rPr>
      </w:pPr>
      <w:r>
        <w:rPr>
          <w:rFonts w:ascii="Times New Roman" w:hAnsi="Times New Roman" w:eastAsia="宋体" w:cs="Calibri"/>
          <w:snapToGrid w:val="0"/>
          <w:color w:val="auto"/>
          <w:kern w:val="2"/>
          <w:sz w:val="24"/>
          <w:szCs w:val="24"/>
          <w:lang w:val="zh-CN" w:eastAsia="zh-CN" w:bidi="ar-SA"/>
        </w:rPr>
        <w:t>本项目运营货种为煤炭、矿建材料，运营期发生风险事故的可能性主要是</w:t>
      </w:r>
      <w:r>
        <w:rPr>
          <w:rFonts w:hint="eastAsia" w:ascii="Times New Roman" w:hAnsi="Times New Roman" w:eastAsia="宋体" w:cs="Calibri"/>
          <w:snapToGrid w:val="0"/>
          <w:color w:val="auto"/>
          <w:kern w:val="2"/>
          <w:sz w:val="24"/>
          <w:szCs w:val="24"/>
          <w:lang w:val="zh-CN" w:eastAsia="zh-CN" w:bidi="ar-SA"/>
        </w:rPr>
        <w:t>船舶</w:t>
      </w:r>
      <w:r>
        <w:rPr>
          <w:rFonts w:ascii="Times New Roman" w:hAnsi="Times New Roman" w:eastAsia="宋体" w:cs="Calibri"/>
          <w:snapToGrid w:val="0"/>
          <w:color w:val="auto"/>
          <w:kern w:val="2"/>
          <w:sz w:val="24"/>
          <w:szCs w:val="24"/>
          <w:lang w:val="zh-CN" w:eastAsia="zh-CN" w:bidi="ar-SA"/>
        </w:rPr>
        <w:t>溢油事故。一方面，船舶在作业或行进时，由于管理疏忽、操作违反规程或失误等原因引起石油类跑、冒、滴、漏事故的可能性是比较大的，这类溢油事故对环境影响相对较小，但也会对水域造成油污染；另一方面，由于船舶本身出现设施损废，或者发生船舶碰撞，有可能使油类溢出造成污染，这类事故产生的环境影响较大。</w:t>
      </w:r>
    </w:p>
    <w:p w14:paraId="71DF603D">
      <w:pPr>
        <w:widowControl w:val="0"/>
        <w:spacing w:line="360" w:lineRule="auto"/>
        <w:ind w:firstLine="480" w:firstLineChars="200"/>
        <w:jc w:val="both"/>
        <w:rPr>
          <w:rFonts w:ascii="Times New Roman" w:hAnsi="Times New Roman" w:eastAsia="宋体" w:cs="宋体"/>
          <w:snapToGrid w:val="0"/>
          <w:color w:val="auto"/>
          <w:kern w:val="0"/>
          <w:sz w:val="24"/>
          <w:szCs w:val="21"/>
          <w:lang w:val="en-US" w:eastAsia="zh-CN" w:bidi="ar-SA"/>
        </w:rPr>
      </w:pPr>
      <w:r>
        <w:rPr>
          <w:rFonts w:hint="eastAsia" w:ascii="Times New Roman" w:hAnsi="Times New Roman" w:eastAsia="宋体" w:cs="宋体"/>
          <w:snapToGrid w:val="0"/>
          <w:color w:val="auto"/>
          <w:kern w:val="0"/>
          <w:sz w:val="24"/>
          <w:szCs w:val="21"/>
          <w:lang w:val="zh-CN" w:eastAsia="zh-CN" w:bidi="ar-SA"/>
        </w:rPr>
        <w:t>根据《水上溢油环境风险评估技术导则》（JT</w:t>
      </w:r>
      <w:r>
        <w:rPr>
          <w:rFonts w:ascii="Times New Roman" w:hAnsi="Times New Roman" w:eastAsia="宋体" w:cs="宋体"/>
          <w:snapToGrid w:val="0"/>
          <w:color w:val="auto"/>
          <w:kern w:val="0"/>
          <w:sz w:val="24"/>
          <w:szCs w:val="21"/>
          <w:lang w:val="zh-CN" w:eastAsia="zh-CN" w:bidi="ar-SA"/>
        </w:rPr>
        <w:t>/</w:t>
      </w:r>
      <w:r>
        <w:rPr>
          <w:rFonts w:hint="eastAsia" w:ascii="Times New Roman" w:hAnsi="Times New Roman" w:eastAsia="宋体" w:cs="宋体"/>
          <w:snapToGrid w:val="0"/>
          <w:color w:val="auto"/>
          <w:kern w:val="0"/>
          <w:sz w:val="24"/>
          <w:szCs w:val="21"/>
          <w:lang w:val="zh-CN" w:eastAsia="zh-CN" w:bidi="ar-SA"/>
        </w:rPr>
        <w:t>T1143-2017），水运工程项目的可能最大水上溢油事故溢油量按照实际航行和作业船舶中载油量最大船型的1个货油边舱或燃料油边舱的容积确定，本项目事故溢油主要为船舶自身的燃料油，根据查阅《水上溢油环境风险评估技术导则》（JT/T1143-2017）附录C，以</w:t>
      </w:r>
      <w:r>
        <w:rPr>
          <w:rFonts w:ascii="Times New Roman" w:hAnsi="Times New Roman" w:eastAsia="宋体" w:cs="宋体"/>
          <w:snapToGrid w:val="0"/>
          <w:color w:val="auto"/>
          <w:kern w:val="0"/>
          <w:sz w:val="24"/>
          <w:szCs w:val="21"/>
          <w:lang w:val="zh-CN" w:eastAsia="zh-CN" w:bidi="ar-SA"/>
        </w:rPr>
        <w:t>1</w:t>
      </w:r>
      <w:r>
        <w:rPr>
          <w:rFonts w:hint="eastAsia" w:ascii="Times New Roman" w:hAnsi="Times New Roman" w:eastAsia="宋体" w:cs="宋体"/>
          <w:snapToGrid w:val="0"/>
          <w:color w:val="auto"/>
          <w:kern w:val="0"/>
          <w:sz w:val="24"/>
          <w:szCs w:val="21"/>
          <w:lang w:val="zh-CN" w:eastAsia="zh-CN" w:bidi="ar-SA"/>
        </w:rPr>
        <w:t>000吨级散货船燃油舱储油量测算，货船发生事故时燃油舱单舱燃油量大约为61m</w:t>
      </w:r>
      <w:r>
        <w:rPr>
          <w:rFonts w:hint="eastAsia" w:ascii="Times New Roman" w:hAnsi="Times New Roman" w:eastAsia="宋体" w:cs="宋体"/>
          <w:snapToGrid w:val="0"/>
          <w:color w:val="auto"/>
          <w:kern w:val="0"/>
          <w:sz w:val="24"/>
          <w:szCs w:val="21"/>
          <w:vertAlign w:val="superscript"/>
          <w:lang w:val="zh-CN" w:eastAsia="zh-CN" w:bidi="ar-SA"/>
        </w:rPr>
        <w:t>3</w:t>
      </w:r>
      <w:r>
        <w:rPr>
          <w:rFonts w:hint="eastAsia" w:ascii="Times New Roman" w:hAnsi="Times New Roman" w:eastAsia="宋体" w:cs="宋体"/>
          <w:snapToGrid w:val="0"/>
          <w:color w:val="auto"/>
          <w:kern w:val="0"/>
          <w:sz w:val="24"/>
          <w:szCs w:val="21"/>
          <w:lang w:val="zh-CN" w:eastAsia="zh-CN" w:bidi="ar-SA"/>
        </w:rPr>
        <w:t>左右。船舶燃油的主要成分为柴油，密度按0.85t/m</w:t>
      </w:r>
      <w:r>
        <w:rPr>
          <w:rFonts w:hint="eastAsia" w:ascii="Times New Roman" w:hAnsi="Times New Roman" w:eastAsia="宋体" w:cs="宋体"/>
          <w:snapToGrid w:val="0"/>
          <w:color w:val="auto"/>
          <w:kern w:val="0"/>
          <w:sz w:val="24"/>
          <w:szCs w:val="21"/>
          <w:vertAlign w:val="superscript"/>
          <w:lang w:val="zh-CN" w:eastAsia="zh-CN" w:bidi="ar-SA"/>
        </w:rPr>
        <w:t>3</w:t>
      </w:r>
      <w:r>
        <w:rPr>
          <w:rFonts w:hint="eastAsia" w:ascii="Times New Roman" w:hAnsi="Times New Roman" w:eastAsia="宋体" w:cs="宋体"/>
          <w:snapToGrid w:val="0"/>
          <w:color w:val="auto"/>
          <w:kern w:val="0"/>
          <w:sz w:val="24"/>
          <w:szCs w:val="21"/>
          <w:lang w:val="zh-CN" w:eastAsia="zh-CN" w:bidi="ar-SA"/>
        </w:rPr>
        <w:t>计，则泄漏体积为61m</w:t>
      </w:r>
      <w:r>
        <w:rPr>
          <w:rFonts w:hint="eastAsia" w:ascii="Times New Roman" w:hAnsi="Times New Roman" w:eastAsia="宋体" w:cs="宋体"/>
          <w:snapToGrid w:val="0"/>
          <w:color w:val="auto"/>
          <w:kern w:val="0"/>
          <w:sz w:val="24"/>
          <w:szCs w:val="21"/>
          <w:vertAlign w:val="superscript"/>
          <w:lang w:val="zh-CN" w:eastAsia="zh-CN" w:bidi="ar-SA"/>
        </w:rPr>
        <w:t>3</w:t>
      </w:r>
      <w:r>
        <w:rPr>
          <w:rFonts w:hint="eastAsia" w:ascii="Times New Roman" w:hAnsi="Times New Roman" w:eastAsia="宋体" w:cs="宋体"/>
          <w:snapToGrid w:val="0"/>
          <w:color w:val="auto"/>
          <w:kern w:val="0"/>
          <w:sz w:val="24"/>
          <w:szCs w:val="21"/>
          <w:lang w:val="zh-CN" w:eastAsia="zh-CN" w:bidi="ar-SA"/>
        </w:rPr>
        <w:t>，则泄漏量为51.85t，溢油形式按突发性瞬间点源</w:t>
      </w:r>
      <w:r>
        <w:rPr>
          <w:rFonts w:ascii="Times New Roman" w:hAnsi="Times New Roman" w:eastAsia="宋体" w:cs="宋体"/>
          <w:snapToGrid w:val="0"/>
          <w:color w:val="auto"/>
          <w:kern w:val="0"/>
          <w:sz w:val="24"/>
          <w:szCs w:val="21"/>
          <w:lang w:val="en-US" w:eastAsia="zh-CN" w:bidi="ar-SA"/>
        </w:rPr>
        <w:t>。</w:t>
      </w:r>
    </w:p>
    <w:p w14:paraId="7E0835A9">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3.3.2.</w:t>
      </w:r>
      <w:r>
        <w:rPr>
          <w:rFonts w:ascii="Times New Roman" w:hAnsi="Times New Roman" w:eastAsia="黑体" w:cs="Times New Roman"/>
          <w:bCs/>
          <w:color w:val="auto"/>
          <w:kern w:val="2"/>
          <w:sz w:val="24"/>
          <w:szCs w:val="28"/>
          <w:lang w:val="en-US" w:eastAsia="zh-CN" w:bidi="ar-SA"/>
        </w:rPr>
        <w:t>7运营期污染物排放汇总</w:t>
      </w:r>
    </w:p>
    <w:p w14:paraId="5F4B545E">
      <w:pPr>
        <w:spacing w:line="360" w:lineRule="auto"/>
        <w:ind w:firstLine="480" w:firstLineChars="200"/>
        <w:rPr>
          <w:rFonts w:ascii="Times New Roman" w:hAnsi="Times New Roman" w:eastAsia="黑体" w:cs="Times New Roman"/>
          <w:color w:val="auto"/>
          <w:sz w:val="24"/>
        </w:rPr>
      </w:pPr>
      <w:r>
        <w:rPr>
          <w:rFonts w:ascii="Times New Roman" w:hAnsi="Times New Roman" w:eastAsia="宋体" w:cs="Times New Roman"/>
          <w:color w:val="auto"/>
          <w:sz w:val="24"/>
        </w:rPr>
        <w:t>本项目运营期污染物排放量汇总见表</w:t>
      </w:r>
      <w:r>
        <w:rPr>
          <w:rFonts w:ascii="Times New Roman" w:hAnsi="Times New Roman" w:eastAsia="黑体" w:cs="Times New Roman"/>
          <w:color w:val="auto"/>
          <w:sz w:val="24"/>
        </w:rPr>
        <w:t>3.3-1</w:t>
      </w:r>
      <w:r>
        <w:rPr>
          <w:rFonts w:hint="eastAsia" w:ascii="Times New Roman" w:hAnsi="Times New Roman" w:eastAsia="黑体" w:cs="Times New Roman"/>
          <w:color w:val="auto"/>
          <w:sz w:val="24"/>
        </w:rPr>
        <w:t>6</w:t>
      </w:r>
      <w:r>
        <w:rPr>
          <w:rFonts w:ascii="Times New Roman" w:hAnsi="Times New Roman" w:eastAsia="宋体" w:cs="Times New Roman"/>
          <w:color w:val="auto"/>
          <w:sz w:val="24"/>
        </w:rPr>
        <w:t>。</w:t>
      </w:r>
    </w:p>
    <w:p w14:paraId="224917E1">
      <w:pPr>
        <w:spacing w:line="400" w:lineRule="exact"/>
        <w:jc w:val="center"/>
        <w:rPr>
          <w:rFonts w:ascii="Times New Roman" w:hAnsi="Times New Roman" w:eastAsia="黑体" w:cs="Times New Roman"/>
          <w:color w:val="auto"/>
          <w:sz w:val="24"/>
        </w:rPr>
      </w:pPr>
      <w:r>
        <w:rPr>
          <w:rFonts w:ascii="Times New Roman" w:hAnsi="Times New Roman" w:eastAsia="黑体" w:cs="Times New Roman"/>
          <w:color w:val="auto"/>
          <w:sz w:val="24"/>
        </w:rPr>
        <w:t>表3.3-1</w:t>
      </w:r>
      <w:r>
        <w:rPr>
          <w:rFonts w:hint="eastAsia" w:ascii="Times New Roman" w:hAnsi="Times New Roman" w:eastAsia="黑体" w:cs="Times New Roman"/>
          <w:color w:val="auto"/>
          <w:sz w:val="24"/>
        </w:rPr>
        <w:t>6</w:t>
      </w:r>
      <w:r>
        <w:rPr>
          <w:rFonts w:ascii="Times New Roman" w:hAnsi="Times New Roman" w:eastAsia="黑体" w:cs="Times New Roman"/>
          <w:color w:val="auto"/>
          <w:sz w:val="24"/>
        </w:rPr>
        <w:t xml:space="preserve">  建设项目污染物排放情况表</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134"/>
        <w:gridCol w:w="1701"/>
        <w:gridCol w:w="1275"/>
        <w:gridCol w:w="1276"/>
        <w:gridCol w:w="1666"/>
      </w:tblGrid>
      <w:tr w14:paraId="20CF95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235" w:type="dxa"/>
            <w:noWrap w:val="0"/>
            <w:vAlign w:val="center"/>
          </w:tcPr>
          <w:p w14:paraId="78CF6DCC">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b/>
                <w:color w:val="auto"/>
              </w:rPr>
            </w:pPr>
            <w:r>
              <w:rPr>
                <w:rFonts w:hint="eastAsia" w:ascii="Times New Roman" w:hAnsi="Times New Roman" w:eastAsia="宋体" w:cs="Times New Roman"/>
                <w:b/>
                <w:color w:val="auto"/>
              </w:rPr>
              <w:t>种类</w:t>
            </w:r>
          </w:p>
        </w:tc>
        <w:tc>
          <w:tcPr>
            <w:tcW w:w="2835" w:type="dxa"/>
            <w:gridSpan w:val="2"/>
            <w:noWrap w:val="0"/>
            <w:vAlign w:val="center"/>
          </w:tcPr>
          <w:p w14:paraId="6C35CB1E">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b/>
                <w:color w:val="auto"/>
              </w:rPr>
            </w:pPr>
            <w:r>
              <w:rPr>
                <w:rFonts w:hint="eastAsia" w:ascii="Times New Roman" w:hAnsi="Times New Roman" w:eastAsia="宋体" w:cs="Times New Roman"/>
                <w:b/>
                <w:color w:val="auto"/>
              </w:rPr>
              <w:t>污染物名称</w:t>
            </w:r>
          </w:p>
        </w:tc>
        <w:tc>
          <w:tcPr>
            <w:tcW w:w="1275" w:type="dxa"/>
            <w:noWrap w:val="0"/>
            <w:vAlign w:val="center"/>
          </w:tcPr>
          <w:p w14:paraId="020A66A6">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b/>
                <w:color w:val="auto"/>
              </w:rPr>
            </w:pPr>
            <w:r>
              <w:rPr>
                <w:rFonts w:hint="eastAsia" w:ascii="Times New Roman" w:hAnsi="Times New Roman" w:eastAsia="宋体" w:cs="Times New Roman"/>
                <w:b/>
                <w:color w:val="auto"/>
              </w:rPr>
              <w:t>产生量</w:t>
            </w:r>
            <w:r>
              <w:rPr>
                <w:rFonts w:hint="default" w:ascii="Times New Roman" w:hAnsi="Times New Roman" w:eastAsia="宋体" w:cs="Times New Roman"/>
                <w:b/>
                <w:color w:val="auto"/>
              </w:rPr>
              <w:t>(t/a)</w:t>
            </w:r>
          </w:p>
        </w:tc>
        <w:tc>
          <w:tcPr>
            <w:tcW w:w="1276" w:type="dxa"/>
            <w:noWrap w:val="0"/>
            <w:vAlign w:val="center"/>
          </w:tcPr>
          <w:p w14:paraId="6EA81CA2">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b/>
                <w:color w:val="auto"/>
              </w:rPr>
            </w:pPr>
            <w:r>
              <w:rPr>
                <w:rFonts w:hint="eastAsia" w:ascii="Times New Roman" w:hAnsi="Times New Roman" w:eastAsia="宋体" w:cs="Times New Roman"/>
                <w:b/>
                <w:color w:val="auto"/>
              </w:rPr>
              <w:t>消减量</w:t>
            </w:r>
            <w:r>
              <w:rPr>
                <w:rFonts w:hint="default" w:ascii="Times New Roman" w:hAnsi="Times New Roman" w:eastAsia="宋体" w:cs="Times New Roman"/>
                <w:b/>
                <w:color w:val="auto"/>
              </w:rPr>
              <w:t>(t/a)</w:t>
            </w:r>
          </w:p>
        </w:tc>
        <w:tc>
          <w:tcPr>
            <w:tcW w:w="1666" w:type="dxa"/>
            <w:noWrap w:val="0"/>
            <w:vAlign w:val="center"/>
          </w:tcPr>
          <w:p w14:paraId="649257A9">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b/>
                <w:color w:val="auto"/>
              </w:rPr>
            </w:pPr>
            <w:r>
              <w:rPr>
                <w:rFonts w:hint="eastAsia" w:ascii="Times New Roman" w:hAnsi="Times New Roman" w:eastAsia="宋体" w:cs="Times New Roman"/>
                <w:b/>
                <w:color w:val="auto"/>
              </w:rPr>
              <w:t>环境排放量</w:t>
            </w:r>
            <w:r>
              <w:rPr>
                <w:rFonts w:hint="default" w:ascii="Times New Roman" w:hAnsi="Times New Roman" w:eastAsia="宋体" w:cs="Times New Roman"/>
                <w:b/>
                <w:color w:val="auto"/>
              </w:rPr>
              <w:t>(t/a)</w:t>
            </w:r>
          </w:p>
        </w:tc>
      </w:tr>
      <w:tr w14:paraId="178D73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235" w:type="dxa"/>
            <w:noWrap w:val="0"/>
            <w:vAlign w:val="center"/>
          </w:tcPr>
          <w:p w14:paraId="5DD4747A">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default" w:ascii="Times New Roman" w:hAnsi="Times New Roman" w:eastAsia="宋体" w:cs="Times New Roman"/>
                <w:color w:val="auto"/>
              </w:rPr>
              <w:t>废气</w:t>
            </w:r>
          </w:p>
        </w:tc>
        <w:tc>
          <w:tcPr>
            <w:tcW w:w="2835" w:type="dxa"/>
            <w:gridSpan w:val="2"/>
            <w:noWrap w:val="0"/>
            <w:vAlign w:val="center"/>
          </w:tcPr>
          <w:p w14:paraId="52C83DF1">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TSP</w:t>
            </w:r>
          </w:p>
        </w:tc>
        <w:tc>
          <w:tcPr>
            <w:tcW w:w="1275" w:type="dxa"/>
            <w:noWrap w:val="0"/>
            <w:vAlign w:val="center"/>
          </w:tcPr>
          <w:p w14:paraId="79327AD6">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lang w:val="en-US" w:eastAsia="zh-CN"/>
              </w:rPr>
            </w:pPr>
            <w:r>
              <w:rPr>
                <w:rFonts w:hint="eastAsia" w:cs="Times New Roman"/>
                <w:color w:val="auto"/>
                <w:lang w:eastAsia="zh-CN"/>
              </w:rPr>
              <w:t>1</w:t>
            </w:r>
            <w:r>
              <w:rPr>
                <w:rFonts w:hint="eastAsia" w:cs="Times New Roman"/>
                <w:color w:val="auto"/>
                <w:lang w:val="en-US" w:eastAsia="zh-CN"/>
              </w:rPr>
              <w:t>6.036</w:t>
            </w:r>
          </w:p>
        </w:tc>
        <w:tc>
          <w:tcPr>
            <w:tcW w:w="1276" w:type="dxa"/>
            <w:noWrap w:val="0"/>
            <w:vAlign w:val="center"/>
          </w:tcPr>
          <w:p w14:paraId="4148DFA2">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14.</w:t>
            </w:r>
            <w:r>
              <w:rPr>
                <w:rFonts w:hint="eastAsia" w:cs="Times New Roman"/>
                <w:color w:val="auto"/>
                <w:lang w:val="en-US" w:eastAsia="zh-CN"/>
              </w:rPr>
              <w:t>418</w:t>
            </w:r>
          </w:p>
        </w:tc>
        <w:tc>
          <w:tcPr>
            <w:tcW w:w="1666" w:type="dxa"/>
            <w:noWrap w:val="0"/>
            <w:vAlign w:val="center"/>
          </w:tcPr>
          <w:p w14:paraId="3B74564D">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lang w:val="en-US" w:eastAsia="zh-CN"/>
              </w:rPr>
            </w:pPr>
            <w:r>
              <w:rPr>
                <w:rFonts w:hint="eastAsia" w:cs="Times New Roman"/>
                <w:color w:val="auto"/>
                <w:lang w:val="en-US" w:eastAsia="zh-CN"/>
              </w:rPr>
              <w:t>1.618</w:t>
            </w:r>
          </w:p>
        </w:tc>
      </w:tr>
      <w:tr w14:paraId="4BF5AC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235" w:type="dxa"/>
            <w:vMerge w:val="restart"/>
            <w:noWrap w:val="0"/>
            <w:vAlign w:val="center"/>
          </w:tcPr>
          <w:p w14:paraId="7AADE806">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废水</w:t>
            </w:r>
          </w:p>
          <w:p w14:paraId="6CF4AE85">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（废水量含初期雨水）</w:t>
            </w:r>
          </w:p>
        </w:tc>
        <w:tc>
          <w:tcPr>
            <w:tcW w:w="2835" w:type="dxa"/>
            <w:gridSpan w:val="2"/>
            <w:noWrap w:val="0"/>
            <w:vAlign w:val="center"/>
          </w:tcPr>
          <w:p w14:paraId="44703577">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废水量</w:t>
            </w:r>
          </w:p>
        </w:tc>
        <w:tc>
          <w:tcPr>
            <w:tcW w:w="1275" w:type="dxa"/>
            <w:noWrap w:val="0"/>
            <w:vAlign w:val="center"/>
          </w:tcPr>
          <w:p w14:paraId="6C083EA9">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lang w:val="en-US"/>
              </w:rPr>
            </w:pPr>
            <w:r>
              <w:rPr>
                <w:rFonts w:hint="default" w:ascii="Times New Roman" w:hAnsi="Times New Roman" w:eastAsia="宋体" w:cs="Times New Roman"/>
                <w:color w:val="auto"/>
                <w:lang w:val="en-US"/>
              </w:rPr>
              <w:t>5820.0</w:t>
            </w:r>
          </w:p>
        </w:tc>
        <w:tc>
          <w:tcPr>
            <w:tcW w:w="1276" w:type="dxa"/>
            <w:noWrap w:val="0"/>
            <w:vAlign w:val="center"/>
          </w:tcPr>
          <w:p w14:paraId="238A22B2">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5</w:t>
            </w:r>
            <w:r>
              <w:rPr>
                <w:rFonts w:hint="default" w:ascii="Times New Roman" w:hAnsi="Times New Roman" w:eastAsia="宋体" w:cs="Times New Roman"/>
                <w:color w:val="auto"/>
              </w:rPr>
              <w:t>820.0</w:t>
            </w:r>
          </w:p>
        </w:tc>
        <w:tc>
          <w:tcPr>
            <w:tcW w:w="1666" w:type="dxa"/>
            <w:noWrap w:val="0"/>
            <w:vAlign w:val="center"/>
          </w:tcPr>
          <w:p w14:paraId="0F8D0014">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r>
      <w:tr w14:paraId="2C62E7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235" w:type="dxa"/>
            <w:vMerge w:val="continue"/>
            <w:noWrap w:val="0"/>
            <w:vAlign w:val="center"/>
          </w:tcPr>
          <w:p w14:paraId="7EBEE8A6">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p>
        </w:tc>
        <w:tc>
          <w:tcPr>
            <w:tcW w:w="2835" w:type="dxa"/>
            <w:gridSpan w:val="2"/>
            <w:noWrap w:val="0"/>
            <w:vAlign w:val="center"/>
          </w:tcPr>
          <w:p w14:paraId="226E0A78">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COD</w:t>
            </w:r>
          </w:p>
        </w:tc>
        <w:tc>
          <w:tcPr>
            <w:tcW w:w="1275" w:type="dxa"/>
            <w:noWrap w:val="0"/>
            <w:vAlign w:val="center"/>
          </w:tcPr>
          <w:p w14:paraId="2A67B4DC">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0.599</w:t>
            </w:r>
          </w:p>
        </w:tc>
        <w:tc>
          <w:tcPr>
            <w:tcW w:w="1276" w:type="dxa"/>
            <w:noWrap w:val="0"/>
            <w:vAlign w:val="center"/>
          </w:tcPr>
          <w:p w14:paraId="5ED12B7F">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0.599</w:t>
            </w:r>
          </w:p>
        </w:tc>
        <w:tc>
          <w:tcPr>
            <w:tcW w:w="1666" w:type="dxa"/>
            <w:noWrap w:val="0"/>
            <w:vAlign w:val="center"/>
          </w:tcPr>
          <w:p w14:paraId="48D30A34">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r>
      <w:tr w14:paraId="6ECF31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235" w:type="dxa"/>
            <w:vMerge w:val="continue"/>
            <w:noWrap w:val="0"/>
            <w:vAlign w:val="center"/>
          </w:tcPr>
          <w:p w14:paraId="21977A01">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p>
        </w:tc>
        <w:tc>
          <w:tcPr>
            <w:tcW w:w="2835" w:type="dxa"/>
            <w:gridSpan w:val="2"/>
            <w:noWrap w:val="0"/>
            <w:vAlign w:val="center"/>
          </w:tcPr>
          <w:p w14:paraId="270EE995">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SS</w:t>
            </w:r>
          </w:p>
        </w:tc>
        <w:tc>
          <w:tcPr>
            <w:tcW w:w="1275" w:type="dxa"/>
            <w:noWrap w:val="0"/>
            <w:vAlign w:val="center"/>
          </w:tcPr>
          <w:p w14:paraId="5DFB8B77">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0.313</w:t>
            </w:r>
          </w:p>
        </w:tc>
        <w:tc>
          <w:tcPr>
            <w:tcW w:w="1276" w:type="dxa"/>
            <w:noWrap w:val="0"/>
            <w:vAlign w:val="center"/>
          </w:tcPr>
          <w:p w14:paraId="21370A6A">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0.313</w:t>
            </w:r>
          </w:p>
        </w:tc>
        <w:tc>
          <w:tcPr>
            <w:tcW w:w="1666" w:type="dxa"/>
            <w:noWrap w:val="0"/>
            <w:vAlign w:val="center"/>
          </w:tcPr>
          <w:p w14:paraId="402D9672">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r>
      <w:tr w14:paraId="667DFD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235" w:type="dxa"/>
            <w:vMerge w:val="continue"/>
            <w:noWrap w:val="0"/>
            <w:vAlign w:val="center"/>
          </w:tcPr>
          <w:p w14:paraId="0A30BBAD">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p>
        </w:tc>
        <w:tc>
          <w:tcPr>
            <w:tcW w:w="2835" w:type="dxa"/>
            <w:gridSpan w:val="2"/>
            <w:noWrap w:val="0"/>
            <w:vAlign w:val="center"/>
          </w:tcPr>
          <w:p w14:paraId="36CEBB59">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氨氮</w:t>
            </w:r>
          </w:p>
        </w:tc>
        <w:tc>
          <w:tcPr>
            <w:tcW w:w="1275" w:type="dxa"/>
            <w:noWrap w:val="0"/>
            <w:vAlign w:val="center"/>
          </w:tcPr>
          <w:p w14:paraId="12A966C0">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4.931</w:t>
            </w:r>
          </w:p>
        </w:tc>
        <w:tc>
          <w:tcPr>
            <w:tcW w:w="1276" w:type="dxa"/>
            <w:noWrap w:val="0"/>
            <w:vAlign w:val="center"/>
          </w:tcPr>
          <w:p w14:paraId="0F662AE2">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4.931</w:t>
            </w:r>
          </w:p>
        </w:tc>
        <w:tc>
          <w:tcPr>
            <w:tcW w:w="1666" w:type="dxa"/>
            <w:noWrap w:val="0"/>
            <w:vAlign w:val="center"/>
          </w:tcPr>
          <w:p w14:paraId="24A0FCF1">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r>
      <w:tr w14:paraId="26A316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235" w:type="dxa"/>
            <w:vMerge w:val="continue"/>
            <w:noWrap w:val="0"/>
            <w:vAlign w:val="center"/>
          </w:tcPr>
          <w:p w14:paraId="54239C1E">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p>
        </w:tc>
        <w:tc>
          <w:tcPr>
            <w:tcW w:w="2835" w:type="dxa"/>
            <w:gridSpan w:val="2"/>
            <w:noWrap w:val="0"/>
            <w:vAlign w:val="center"/>
          </w:tcPr>
          <w:p w14:paraId="39B4ED84">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石油类</w:t>
            </w:r>
          </w:p>
        </w:tc>
        <w:tc>
          <w:tcPr>
            <w:tcW w:w="1275" w:type="dxa"/>
            <w:noWrap w:val="0"/>
            <w:vAlign w:val="center"/>
          </w:tcPr>
          <w:p w14:paraId="26522179">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0.025</w:t>
            </w:r>
          </w:p>
        </w:tc>
        <w:tc>
          <w:tcPr>
            <w:tcW w:w="1276" w:type="dxa"/>
            <w:noWrap w:val="0"/>
            <w:vAlign w:val="center"/>
          </w:tcPr>
          <w:p w14:paraId="0A0A2518">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0.025</w:t>
            </w:r>
          </w:p>
        </w:tc>
        <w:tc>
          <w:tcPr>
            <w:tcW w:w="1666" w:type="dxa"/>
            <w:noWrap w:val="0"/>
            <w:vAlign w:val="center"/>
          </w:tcPr>
          <w:p w14:paraId="430B23BD">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r>
      <w:tr w14:paraId="24E646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235" w:type="dxa"/>
            <w:vMerge w:val="restart"/>
            <w:noWrap w:val="0"/>
            <w:vAlign w:val="center"/>
          </w:tcPr>
          <w:p w14:paraId="46DB1AA6">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固体废物</w:t>
            </w:r>
          </w:p>
        </w:tc>
        <w:tc>
          <w:tcPr>
            <w:tcW w:w="1134" w:type="dxa"/>
            <w:noWrap w:val="0"/>
            <w:vAlign w:val="center"/>
          </w:tcPr>
          <w:p w14:paraId="1462B792">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危险废物</w:t>
            </w:r>
          </w:p>
        </w:tc>
        <w:tc>
          <w:tcPr>
            <w:tcW w:w="1701" w:type="dxa"/>
            <w:noWrap w:val="0"/>
            <w:vAlign w:val="center"/>
          </w:tcPr>
          <w:p w14:paraId="73580287">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含油污泥</w:t>
            </w:r>
          </w:p>
        </w:tc>
        <w:tc>
          <w:tcPr>
            <w:tcW w:w="1275" w:type="dxa"/>
            <w:noWrap w:val="0"/>
            <w:vAlign w:val="center"/>
          </w:tcPr>
          <w:p w14:paraId="6BD6A715">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default" w:ascii="Times New Roman" w:hAnsi="Times New Roman" w:eastAsia="宋体" w:cs="Times New Roman"/>
                <w:color w:val="auto"/>
              </w:rPr>
              <w:t>1.97</w:t>
            </w:r>
          </w:p>
        </w:tc>
        <w:tc>
          <w:tcPr>
            <w:tcW w:w="1276" w:type="dxa"/>
            <w:noWrap w:val="0"/>
            <w:vAlign w:val="center"/>
          </w:tcPr>
          <w:p w14:paraId="0410CE2B">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default" w:ascii="Times New Roman" w:hAnsi="Times New Roman" w:eastAsia="宋体" w:cs="Times New Roman"/>
                <w:color w:val="auto"/>
              </w:rPr>
              <w:t>1.97</w:t>
            </w:r>
          </w:p>
        </w:tc>
        <w:tc>
          <w:tcPr>
            <w:tcW w:w="1666" w:type="dxa"/>
            <w:noWrap w:val="0"/>
            <w:vAlign w:val="center"/>
          </w:tcPr>
          <w:p w14:paraId="29393CC2">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r>
      <w:tr w14:paraId="16F5DA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235" w:type="dxa"/>
            <w:vMerge w:val="continue"/>
            <w:noWrap w:val="0"/>
            <w:vAlign w:val="center"/>
          </w:tcPr>
          <w:p w14:paraId="607B54E7">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1134" w:type="dxa"/>
            <w:vMerge w:val="restart"/>
            <w:noWrap w:val="0"/>
            <w:vAlign w:val="center"/>
          </w:tcPr>
          <w:p w14:paraId="5D6E94DF">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一般工业固废</w:t>
            </w:r>
          </w:p>
        </w:tc>
        <w:tc>
          <w:tcPr>
            <w:tcW w:w="1701" w:type="dxa"/>
            <w:noWrap w:val="0"/>
            <w:vAlign w:val="center"/>
          </w:tcPr>
          <w:p w14:paraId="1BC8B526">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生活垃圾</w:t>
            </w:r>
          </w:p>
        </w:tc>
        <w:tc>
          <w:tcPr>
            <w:tcW w:w="1275" w:type="dxa"/>
            <w:noWrap w:val="0"/>
            <w:vAlign w:val="center"/>
          </w:tcPr>
          <w:p w14:paraId="299F6F46">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default" w:ascii="Times New Roman" w:hAnsi="Times New Roman" w:eastAsia="宋体" w:cs="Times New Roman"/>
                <w:color w:val="auto"/>
              </w:rPr>
              <w:t>12.60</w:t>
            </w:r>
          </w:p>
        </w:tc>
        <w:tc>
          <w:tcPr>
            <w:tcW w:w="1276" w:type="dxa"/>
            <w:noWrap w:val="0"/>
            <w:vAlign w:val="center"/>
          </w:tcPr>
          <w:p w14:paraId="14B43802">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default" w:ascii="Times New Roman" w:hAnsi="Times New Roman" w:eastAsia="宋体" w:cs="Times New Roman"/>
                <w:color w:val="auto"/>
              </w:rPr>
              <w:t>12.60</w:t>
            </w:r>
          </w:p>
        </w:tc>
        <w:tc>
          <w:tcPr>
            <w:tcW w:w="1666" w:type="dxa"/>
            <w:noWrap w:val="0"/>
            <w:vAlign w:val="center"/>
          </w:tcPr>
          <w:p w14:paraId="5A56F06B">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r>
      <w:tr w14:paraId="17E305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235" w:type="dxa"/>
            <w:vMerge w:val="continue"/>
            <w:noWrap w:val="0"/>
            <w:vAlign w:val="center"/>
          </w:tcPr>
          <w:p w14:paraId="34DE743E">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1134" w:type="dxa"/>
            <w:vMerge w:val="continue"/>
            <w:noWrap w:val="0"/>
            <w:vAlign w:val="center"/>
          </w:tcPr>
          <w:p w14:paraId="293E1D11">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p>
        </w:tc>
        <w:tc>
          <w:tcPr>
            <w:tcW w:w="1701" w:type="dxa"/>
            <w:noWrap w:val="0"/>
            <w:vAlign w:val="center"/>
          </w:tcPr>
          <w:p w14:paraId="26F18E75">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污泥</w:t>
            </w:r>
          </w:p>
        </w:tc>
        <w:tc>
          <w:tcPr>
            <w:tcW w:w="1275" w:type="dxa"/>
            <w:noWrap w:val="0"/>
            <w:vAlign w:val="center"/>
          </w:tcPr>
          <w:p w14:paraId="2F4A6B65">
            <w:pPr>
              <w:keepNext w:val="0"/>
              <w:keepLines w:val="0"/>
              <w:suppressLineNumbers w:val="0"/>
              <w:spacing w:before="0" w:beforeAutospacing="0" w:after="0" w:afterAutospacing="0" w:line="300" w:lineRule="exact"/>
              <w:ind w:left="0" w:right="0"/>
              <w:contextualSpacing/>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5</w:t>
            </w:r>
            <w:r>
              <w:rPr>
                <w:rFonts w:hint="default" w:ascii="Times New Roman" w:hAnsi="Times New Roman" w:eastAsia="宋体" w:cs="Times New Roman"/>
                <w:color w:val="auto"/>
              </w:rPr>
              <w:t>.53</w:t>
            </w:r>
          </w:p>
        </w:tc>
        <w:tc>
          <w:tcPr>
            <w:tcW w:w="1276" w:type="dxa"/>
            <w:noWrap w:val="0"/>
            <w:vAlign w:val="center"/>
          </w:tcPr>
          <w:p w14:paraId="0A49475F">
            <w:pPr>
              <w:keepNext w:val="0"/>
              <w:keepLines w:val="0"/>
              <w:suppressLineNumbers w:val="0"/>
              <w:spacing w:before="0" w:beforeAutospacing="0" w:after="0" w:afterAutospacing="0" w:line="300" w:lineRule="exact"/>
              <w:ind w:left="0" w:right="0"/>
              <w:contextualSpacing/>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5</w:t>
            </w:r>
            <w:r>
              <w:rPr>
                <w:rFonts w:hint="default" w:ascii="Times New Roman" w:hAnsi="Times New Roman" w:eastAsia="宋体" w:cs="Times New Roman"/>
                <w:color w:val="auto"/>
              </w:rPr>
              <w:t>.53</w:t>
            </w:r>
          </w:p>
        </w:tc>
        <w:tc>
          <w:tcPr>
            <w:tcW w:w="1666" w:type="dxa"/>
            <w:noWrap w:val="0"/>
            <w:vAlign w:val="center"/>
          </w:tcPr>
          <w:p w14:paraId="46487355">
            <w:pPr>
              <w:keepNext w:val="0"/>
              <w:keepLines w:val="0"/>
              <w:suppressLineNumbers w:val="0"/>
              <w:spacing w:before="0" w:beforeAutospacing="0" w:after="0" w:afterAutospacing="0" w:line="300" w:lineRule="exact"/>
              <w:ind w:left="0" w:right="0"/>
              <w:contextualSpacing/>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0</w:t>
            </w:r>
          </w:p>
        </w:tc>
      </w:tr>
      <w:tr w14:paraId="1CB4A2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2235" w:type="dxa"/>
            <w:vMerge w:val="continue"/>
            <w:noWrap w:val="0"/>
            <w:vAlign w:val="center"/>
          </w:tcPr>
          <w:p w14:paraId="4369AA20">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p>
        </w:tc>
        <w:tc>
          <w:tcPr>
            <w:tcW w:w="1134" w:type="dxa"/>
            <w:vMerge w:val="continue"/>
            <w:noWrap w:val="0"/>
            <w:vAlign w:val="center"/>
          </w:tcPr>
          <w:p w14:paraId="2535D349">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p>
        </w:tc>
        <w:tc>
          <w:tcPr>
            <w:tcW w:w="1701" w:type="dxa"/>
            <w:noWrap w:val="0"/>
            <w:vAlign w:val="center"/>
          </w:tcPr>
          <w:p w14:paraId="7D3F616B">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default" w:ascii="Times New Roman" w:hAnsi="Times New Roman" w:eastAsia="宋体" w:cs="Times New Roman"/>
                <w:color w:val="auto"/>
              </w:rPr>
              <w:t>沉砂池泥沙</w:t>
            </w:r>
          </w:p>
        </w:tc>
        <w:tc>
          <w:tcPr>
            <w:tcW w:w="1275" w:type="dxa"/>
            <w:noWrap w:val="0"/>
            <w:vAlign w:val="center"/>
          </w:tcPr>
          <w:p w14:paraId="43416521">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4.87</w:t>
            </w:r>
          </w:p>
        </w:tc>
        <w:tc>
          <w:tcPr>
            <w:tcW w:w="1276" w:type="dxa"/>
            <w:noWrap w:val="0"/>
            <w:vAlign w:val="center"/>
          </w:tcPr>
          <w:p w14:paraId="57E7CB37">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4.87</w:t>
            </w:r>
          </w:p>
        </w:tc>
        <w:tc>
          <w:tcPr>
            <w:tcW w:w="1666" w:type="dxa"/>
            <w:noWrap w:val="0"/>
            <w:vAlign w:val="center"/>
          </w:tcPr>
          <w:p w14:paraId="7D92CE25">
            <w:pPr>
              <w:keepNext w:val="0"/>
              <w:keepLines w:val="0"/>
              <w:suppressLineNumbers w:val="0"/>
              <w:spacing w:before="0" w:beforeAutospacing="0" w:after="0" w:afterAutospacing="0" w:line="300" w:lineRule="exact"/>
              <w:ind w:left="0" w:right="0"/>
              <w:contextualSpacing/>
              <w:jc w:val="center"/>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r>
    </w:tbl>
    <w:p w14:paraId="6DA97ED7">
      <w:pPr>
        <w:keepNext/>
        <w:keepLines/>
        <w:widowControl w:val="0"/>
        <w:numPr>
          <w:ilvl w:val="1"/>
          <w:numId w:val="0"/>
        </w:numPr>
        <w:spacing w:line="360" w:lineRule="auto"/>
        <w:ind w:left="0"/>
        <w:jc w:val="both"/>
        <w:outlineLvl w:val="1"/>
        <w:rPr>
          <w:rFonts w:hint="eastAsia" w:ascii="Times New Roman" w:hAnsi="Times New Roman" w:eastAsia="黑体" w:cs="Times New Roman"/>
          <w:bCs/>
          <w:color w:val="auto"/>
          <w:kern w:val="2"/>
          <w:sz w:val="30"/>
          <w:szCs w:val="32"/>
          <w:lang w:val="en-US" w:eastAsia="zh-CN" w:bidi="ar-SA"/>
        </w:rPr>
      </w:pPr>
      <w:bookmarkStart w:id="82" w:name="_Toc13354"/>
      <w:r>
        <w:rPr>
          <w:rFonts w:hint="eastAsia" w:ascii="Times New Roman" w:hAnsi="Times New Roman" w:eastAsia="黑体" w:cs="Times New Roman"/>
          <w:bCs/>
          <w:color w:val="auto"/>
          <w:kern w:val="2"/>
          <w:sz w:val="30"/>
          <w:szCs w:val="32"/>
          <w:lang w:val="en-US" w:eastAsia="zh-CN" w:bidi="ar-SA"/>
        </w:rPr>
        <w:t>3.</w:t>
      </w:r>
      <w:r>
        <w:rPr>
          <w:rFonts w:ascii="Times New Roman" w:hAnsi="Times New Roman" w:eastAsia="黑体" w:cs="Times New Roman"/>
          <w:bCs/>
          <w:color w:val="auto"/>
          <w:kern w:val="2"/>
          <w:sz w:val="30"/>
          <w:szCs w:val="32"/>
          <w:lang w:val="en-US" w:eastAsia="zh-CN" w:bidi="ar-SA"/>
        </w:rPr>
        <w:t>4</w:t>
      </w:r>
      <w:r>
        <w:rPr>
          <w:rFonts w:hint="eastAsia" w:ascii="Times New Roman" w:hAnsi="Times New Roman" w:eastAsia="黑体" w:cs="Times New Roman"/>
          <w:bCs/>
          <w:color w:val="auto"/>
          <w:kern w:val="2"/>
          <w:sz w:val="30"/>
          <w:szCs w:val="32"/>
          <w:lang w:val="en-US" w:eastAsia="zh-CN" w:bidi="ar-SA"/>
        </w:rPr>
        <w:t>清洁生产</w:t>
      </w:r>
      <w:bookmarkEnd w:id="82"/>
    </w:p>
    <w:p w14:paraId="0C783CD1">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从环境影响的性质来看，施工期本项目是直接或通过影响水域悬浮物含量间接对水生生态环境产生影响的基础设施建设项目，其他污染物还有施工产生的生活污水和生活垃圾、建筑垃圾；运营期本项目主要产生生活污水、船舶含油污水、船舶生活污水等。</w:t>
      </w:r>
    </w:p>
    <w:p w14:paraId="3AC64AA7">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根据项目施工和营运特点，结合本项目的实际情况，主要从建设期及营运期的清洁生产措施等方面分析本项目的清洁生产水平。</w:t>
      </w:r>
    </w:p>
    <w:p w14:paraId="4619119D">
      <w:pPr>
        <w:keepNext/>
        <w:keepLines/>
        <w:widowControl w:val="0"/>
        <w:numPr>
          <w:ilvl w:val="2"/>
          <w:numId w:val="0"/>
        </w:numPr>
        <w:spacing w:line="360" w:lineRule="auto"/>
        <w:jc w:val="both"/>
        <w:outlineLvl w:val="2"/>
        <w:rPr>
          <w:rFonts w:hint="eastAsia"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w:t>
      </w:r>
      <w:r>
        <w:rPr>
          <w:rFonts w:ascii="Times New Roman" w:hAnsi="Times New Roman" w:eastAsia="黑体" w:cs="Times New Roman"/>
          <w:bCs/>
          <w:color w:val="auto"/>
          <w:kern w:val="2"/>
          <w:sz w:val="28"/>
          <w:szCs w:val="32"/>
          <w:lang w:val="en-US" w:eastAsia="zh-CN" w:bidi="ar-SA"/>
        </w:rPr>
        <w:t>.4.1</w:t>
      </w:r>
      <w:r>
        <w:rPr>
          <w:rFonts w:hint="eastAsia" w:ascii="Times New Roman" w:hAnsi="Times New Roman" w:eastAsia="黑体" w:cs="Times New Roman"/>
          <w:bCs/>
          <w:color w:val="auto"/>
          <w:kern w:val="2"/>
          <w:sz w:val="28"/>
          <w:szCs w:val="32"/>
          <w:lang w:val="en-US" w:eastAsia="zh-CN" w:bidi="ar-SA"/>
        </w:rPr>
        <w:t>施工期清洁生产内容</w:t>
      </w:r>
    </w:p>
    <w:p w14:paraId="1E608E54">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本项目施工期的清洁生产具体表现如下</w:t>
      </w:r>
    </w:p>
    <w:p w14:paraId="39482A6E">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w:t>
      </w:r>
      <w:r>
        <w:rPr>
          <w:rFonts w:ascii="Times New Roman" w:hAnsi="Times New Roman" w:eastAsia="黑体" w:cs="Times New Roman"/>
          <w:bCs/>
          <w:color w:val="auto"/>
          <w:kern w:val="2"/>
          <w:sz w:val="24"/>
          <w:szCs w:val="28"/>
          <w:lang w:val="en-US" w:eastAsia="zh-CN" w:bidi="ar-SA"/>
        </w:rPr>
        <w:t>.4.1.1</w:t>
      </w:r>
      <w:r>
        <w:rPr>
          <w:rFonts w:hint="eastAsia" w:ascii="Times New Roman" w:hAnsi="Times New Roman" w:eastAsia="黑体" w:cs="Times New Roman"/>
          <w:bCs/>
          <w:color w:val="auto"/>
          <w:kern w:val="2"/>
          <w:sz w:val="24"/>
          <w:szCs w:val="28"/>
          <w:lang w:val="en-US" w:eastAsia="zh-CN" w:bidi="ar-SA"/>
        </w:rPr>
        <w:t>采用合适的施工方式</w:t>
      </w:r>
    </w:p>
    <w:p w14:paraId="4A442B78">
      <w:pPr>
        <w:spacing w:line="360" w:lineRule="auto"/>
        <w:ind w:firstLine="480" w:firstLineChars="200"/>
        <w:jc w:val="both"/>
        <w:rPr>
          <w:rFonts w:hint="eastAsia"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本项目疏浚开挖选择抓斗式挖泥船。抓斗式挖泥船是国内普遍采用的施工机械。建设单位合理安排，调度船舶，其产生悬浮物较</w:t>
      </w:r>
      <w:r>
        <w:rPr>
          <w:rFonts w:hint="eastAsia" w:cs="Calibri"/>
          <w:color w:val="auto"/>
          <w:kern w:val="2"/>
          <w:sz w:val="24"/>
          <w:szCs w:val="24"/>
          <w:lang w:val="en-US" w:eastAsia="zh-CN" w:bidi="ar-SA"/>
        </w:rPr>
        <w:t>少</w:t>
      </w:r>
      <w:r>
        <w:rPr>
          <w:rFonts w:hint="eastAsia" w:ascii="Times New Roman" w:hAnsi="Times New Roman" w:eastAsia="宋体" w:cs="Calibri"/>
          <w:color w:val="auto"/>
          <w:kern w:val="2"/>
          <w:sz w:val="24"/>
          <w:szCs w:val="24"/>
          <w:lang w:val="en-US" w:eastAsia="zh-CN" w:bidi="ar-SA"/>
        </w:rPr>
        <w:t>，并采取环保措施控制悬浮物污染。因此，在本项目施工期选择抓斗式挖泥船是符合清洁生产的要求的。</w:t>
      </w:r>
    </w:p>
    <w:p w14:paraId="3E35A84A">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w:t>
      </w:r>
      <w:r>
        <w:rPr>
          <w:rFonts w:ascii="Times New Roman" w:hAnsi="Times New Roman" w:eastAsia="黑体" w:cs="Times New Roman"/>
          <w:bCs/>
          <w:color w:val="auto"/>
          <w:kern w:val="2"/>
          <w:sz w:val="24"/>
          <w:szCs w:val="28"/>
          <w:lang w:val="en-US" w:eastAsia="zh-CN" w:bidi="ar-SA"/>
        </w:rPr>
        <w:t>.4.1.2</w:t>
      </w:r>
      <w:r>
        <w:rPr>
          <w:rFonts w:hint="eastAsia" w:ascii="宋体" w:hAnsi="Times New Roman" w:eastAsia="黑体" w:cs="宋体"/>
          <w:bCs/>
          <w:color w:val="auto"/>
          <w:kern w:val="0"/>
          <w:sz w:val="24"/>
          <w:szCs w:val="24"/>
          <w:lang w:val="en-US" w:eastAsia="zh-CN" w:bidi="ar-SA"/>
        </w:rPr>
        <w:t>严守规范、科学施工、降低对环境不必要的干扰</w:t>
      </w:r>
    </w:p>
    <w:p w14:paraId="1D88BB4D">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有了合适的施工方案和机械，还需要注重施工方式，各个环节都必须始终贯彻环境保护意识，才能将对环境的影响减至最低程度，具体应做到：合理安排施工船舶数量、位置及施工进度，在施工过程中严格按照施工组织方案进行，尽可能缩短施工期以减小对周围环境的不利影响；对施工船只进行机械管理，严</w:t>
      </w:r>
      <w:r>
        <w:rPr>
          <w:rFonts w:hint="eastAsia" w:ascii="宋体" w:hAnsi="宋体" w:eastAsia="宋体" w:cs="Calibri"/>
          <w:color w:val="auto"/>
          <w:kern w:val="2"/>
          <w:sz w:val="24"/>
          <w:szCs w:val="24"/>
          <w:lang w:val="en-US" w:eastAsia="zh-CN" w:bidi="ar-SA"/>
        </w:rPr>
        <w:t>禁带</w:t>
      </w:r>
      <w:r>
        <w:rPr>
          <w:rFonts w:ascii="宋体" w:hAnsi="宋体" w:eastAsia="宋体" w:cs="Calibri"/>
          <w:color w:val="auto"/>
          <w:kern w:val="2"/>
          <w:sz w:val="24"/>
          <w:szCs w:val="24"/>
          <w:lang w:val="en-US" w:eastAsia="zh-CN" w:bidi="ar-SA"/>
        </w:rPr>
        <w:t>“</w:t>
      </w:r>
      <w:r>
        <w:rPr>
          <w:rFonts w:hint="eastAsia" w:ascii="宋体" w:hAnsi="宋体" w:eastAsia="宋体" w:cs="Calibri"/>
          <w:color w:val="auto"/>
          <w:kern w:val="2"/>
          <w:sz w:val="24"/>
          <w:szCs w:val="24"/>
          <w:lang w:val="en-US" w:eastAsia="zh-CN" w:bidi="ar-SA"/>
        </w:rPr>
        <w:t>病</w:t>
      </w:r>
      <w:r>
        <w:rPr>
          <w:rFonts w:ascii="宋体" w:hAnsi="宋体" w:eastAsia="宋体" w:cs="Calibri"/>
          <w:color w:val="auto"/>
          <w:kern w:val="2"/>
          <w:sz w:val="24"/>
          <w:szCs w:val="24"/>
          <w:lang w:val="en-US" w:eastAsia="zh-CN" w:bidi="ar-SA"/>
        </w:rPr>
        <w:t>”</w:t>
      </w:r>
      <w:r>
        <w:rPr>
          <w:rFonts w:hint="eastAsia" w:ascii="宋体" w:hAnsi="宋体" w:eastAsia="宋体" w:cs="Calibri"/>
          <w:color w:val="auto"/>
          <w:kern w:val="2"/>
          <w:sz w:val="24"/>
          <w:szCs w:val="24"/>
          <w:lang w:val="en-US" w:eastAsia="zh-CN" w:bidi="ar-SA"/>
        </w:rPr>
        <w:t>作</w:t>
      </w:r>
      <w:r>
        <w:rPr>
          <w:rFonts w:hint="eastAsia" w:ascii="Times New Roman" w:hAnsi="Times New Roman" w:eastAsia="宋体" w:cs="Calibri"/>
          <w:color w:val="auto"/>
          <w:kern w:val="2"/>
          <w:sz w:val="24"/>
          <w:szCs w:val="24"/>
          <w:lang w:val="en-US" w:eastAsia="zh-CN" w:bidi="ar-SA"/>
        </w:rPr>
        <w:t>业，防止发生机油泄漏事故；船舶生活污水不</w:t>
      </w:r>
      <w:r>
        <w:rPr>
          <w:rFonts w:hint="eastAsia" w:cs="Calibri"/>
          <w:color w:val="auto"/>
          <w:kern w:val="2"/>
          <w:sz w:val="24"/>
          <w:szCs w:val="24"/>
          <w:lang w:val="en-US" w:eastAsia="zh-CN" w:bidi="ar-SA"/>
        </w:rPr>
        <w:t>排入淮河</w:t>
      </w:r>
      <w:r>
        <w:rPr>
          <w:rFonts w:hint="eastAsia" w:ascii="Times New Roman" w:hAnsi="Times New Roman" w:eastAsia="宋体" w:cs="Calibri"/>
          <w:color w:val="auto"/>
          <w:kern w:val="2"/>
          <w:sz w:val="24"/>
          <w:szCs w:val="24"/>
          <w:lang w:val="en-US" w:eastAsia="zh-CN" w:bidi="ar-SA"/>
        </w:rPr>
        <w:t>，委托有资质的单位处理；岸上生活污水通过环保厕所收集交由环卫部门处理；施工</w:t>
      </w:r>
      <w:r>
        <w:rPr>
          <w:rFonts w:hint="eastAsia" w:cs="Calibri"/>
          <w:color w:val="auto"/>
          <w:kern w:val="2"/>
          <w:sz w:val="24"/>
          <w:szCs w:val="24"/>
          <w:lang w:val="en-US" w:eastAsia="zh-CN" w:bidi="ar-SA"/>
        </w:rPr>
        <w:t>期间</w:t>
      </w:r>
      <w:r>
        <w:rPr>
          <w:rFonts w:hint="eastAsia" w:ascii="Times New Roman" w:hAnsi="Times New Roman" w:eastAsia="宋体" w:cs="Calibri"/>
          <w:color w:val="auto"/>
          <w:kern w:val="2"/>
          <w:sz w:val="24"/>
          <w:szCs w:val="24"/>
          <w:lang w:val="en-US" w:eastAsia="zh-CN" w:bidi="ar-SA"/>
        </w:rPr>
        <w:t>尽量避开经济鱼类繁育期和幼鱼幼虾保护期；建设单位应当做好施工期间环境监测检查工作，并实施公众参与制度，公众提出的环境投诉应由建设单位和监理单位责成施工单位整改，直到公众满意为止。</w:t>
      </w:r>
    </w:p>
    <w:p w14:paraId="2C991E2D">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w:t>
      </w:r>
      <w:r>
        <w:rPr>
          <w:rFonts w:ascii="Times New Roman" w:hAnsi="Times New Roman" w:eastAsia="黑体" w:cs="Times New Roman"/>
          <w:bCs/>
          <w:color w:val="auto"/>
          <w:kern w:val="2"/>
          <w:sz w:val="24"/>
          <w:szCs w:val="28"/>
          <w:lang w:val="en-US" w:eastAsia="zh-CN" w:bidi="ar-SA"/>
        </w:rPr>
        <w:t>.4.1.3</w:t>
      </w:r>
      <w:r>
        <w:rPr>
          <w:rFonts w:hint="eastAsia" w:ascii="宋体" w:hAnsi="Times New Roman" w:eastAsia="黑体" w:cs="宋体"/>
          <w:bCs/>
          <w:color w:val="auto"/>
          <w:kern w:val="0"/>
          <w:sz w:val="24"/>
          <w:szCs w:val="24"/>
          <w:lang w:val="en-US" w:eastAsia="zh-CN" w:bidi="ar-SA"/>
        </w:rPr>
        <w:t>文明施工，爱护环境</w:t>
      </w:r>
      <w:r>
        <w:rPr>
          <w:rFonts w:hint="eastAsia" w:ascii="Times New Roman" w:hAnsi="Times New Roman" w:eastAsia="黑体" w:cs="Times New Roman"/>
          <w:bCs/>
          <w:color w:val="auto"/>
          <w:kern w:val="2"/>
          <w:sz w:val="24"/>
          <w:szCs w:val="28"/>
          <w:lang w:val="en-US" w:eastAsia="zh-CN" w:bidi="ar-SA"/>
        </w:rPr>
        <w:t xml:space="preserve"> </w:t>
      </w:r>
    </w:p>
    <w:p w14:paraId="738E0E14">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t>1</w:t>
      </w:r>
      <w:r>
        <w:rPr>
          <w:rFonts w:hint="eastAsia" w:ascii="Times New Roman" w:hAnsi="Times New Roman" w:eastAsia="宋体" w:cs="Calibri"/>
          <w:color w:val="auto"/>
          <w:kern w:val="2"/>
          <w:sz w:val="24"/>
          <w:szCs w:val="24"/>
          <w:lang w:val="en-US" w:eastAsia="zh-CN" w:bidi="ar-SA"/>
        </w:rPr>
        <w:t>、抓好施工现场管理，制定文明施工计划。对职工的操作技能和环保意识都要加以必要的培训，确保按照规范进行操作。既要保证工作效率，又要尽量减少对海域水体和底质的扰动；</w:t>
      </w:r>
    </w:p>
    <w:p w14:paraId="4C29C2C6">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t>2</w:t>
      </w:r>
      <w:r>
        <w:rPr>
          <w:rFonts w:hint="eastAsia" w:ascii="Times New Roman" w:hAnsi="Times New Roman" w:eastAsia="宋体" w:cs="Calibri"/>
          <w:color w:val="auto"/>
          <w:kern w:val="2"/>
          <w:sz w:val="24"/>
          <w:szCs w:val="24"/>
          <w:lang w:val="en-US" w:eastAsia="zh-CN" w:bidi="ar-SA"/>
        </w:rPr>
        <w:t>、加强对施工设备运行情况的检查，经常进行维修保养，避免由于机械故障</w:t>
      </w:r>
      <w:r>
        <w:rPr>
          <w:rFonts w:hint="eastAsia" w:cs="Calibri"/>
          <w:color w:val="auto"/>
          <w:kern w:val="2"/>
          <w:sz w:val="24"/>
          <w:szCs w:val="24"/>
          <w:lang w:val="en-US" w:eastAsia="zh-CN" w:bidi="ar-SA"/>
        </w:rPr>
        <w:t>造成</w:t>
      </w:r>
      <w:r>
        <w:rPr>
          <w:rFonts w:hint="eastAsia" w:ascii="Times New Roman" w:hAnsi="Times New Roman" w:eastAsia="宋体" w:cs="Calibri"/>
          <w:color w:val="auto"/>
          <w:kern w:val="2"/>
          <w:sz w:val="24"/>
          <w:szCs w:val="24"/>
          <w:lang w:val="en-US" w:eastAsia="zh-CN" w:bidi="ar-SA"/>
        </w:rPr>
        <w:t>对海域的污染；</w:t>
      </w:r>
    </w:p>
    <w:p w14:paraId="2E7F506F">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t>3</w:t>
      </w:r>
      <w:r>
        <w:rPr>
          <w:rFonts w:hint="eastAsia" w:ascii="Times New Roman" w:hAnsi="Times New Roman" w:eastAsia="宋体" w:cs="Calibri"/>
          <w:color w:val="auto"/>
          <w:kern w:val="2"/>
          <w:sz w:val="24"/>
          <w:szCs w:val="24"/>
          <w:lang w:val="en-US" w:eastAsia="zh-CN" w:bidi="ar-SA"/>
        </w:rPr>
        <w:t>、加强事故防范措施：遇到风暴潮、台风或者暴雨等恶劣天气时，应停止施工作业，提前做好安全防护工作。</w:t>
      </w:r>
    </w:p>
    <w:p w14:paraId="56A69E09">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废物处置情况生产过程中产生的垃圾将进行分类收集，回收钢筋等可重复利用的生产材料。施工过程中不使用有毒原料，有效地处理产生的污水和固废，符合循环经济的特点。各种污水和固废均不排入海域，处理措施和设备符合相关法规政策和规范要求</w:t>
      </w:r>
    </w:p>
    <w:p w14:paraId="426EB0AB">
      <w:pPr>
        <w:keepNext/>
        <w:keepLines/>
        <w:widowControl w:val="0"/>
        <w:numPr>
          <w:ilvl w:val="2"/>
          <w:numId w:val="0"/>
        </w:numPr>
        <w:spacing w:line="360" w:lineRule="auto"/>
        <w:jc w:val="both"/>
        <w:outlineLvl w:val="2"/>
        <w:rPr>
          <w:rFonts w:hint="eastAsia"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w:t>
      </w:r>
      <w:r>
        <w:rPr>
          <w:rFonts w:ascii="Times New Roman" w:hAnsi="Times New Roman" w:eastAsia="黑体" w:cs="Times New Roman"/>
          <w:bCs/>
          <w:color w:val="auto"/>
          <w:kern w:val="2"/>
          <w:sz w:val="28"/>
          <w:szCs w:val="32"/>
          <w:lang w:val="en-US" w:eastAsia="zh-CN" w:bidi="ar-SA"/>
        </w:rPr>
        <w:t>.4.2</w:t>
      </w:r>
      <w:r>
        <w:rPr>
          <w:rFonts w:hint="eastAsia" w:ascii="Times New Roman" w:hAnsi="Times New Roman" w:eastAsia="黑体" w:cs="Times New Roman"/>
          <w:bCs/>
          <w:color w:val="auto"/>
          <w:kern w:val="2"/>
          <w:sz w:val="28"/>
          <w:szCs w:val="32"/>
          <w:lang w:val="en-US" w:eastAsia="zh-CN" w:bidi="ar-SA"/>
        </w:rPr>
        <w:t>运营期清洁生产内容</w:t>
      </w:r>
    </w:p>
    <w:p w14:paraId="59F0CFB7">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w:t>
      </w:r>
      <w:r>
        <w:rPr>
          <w:rFonts w:ascii="Times New Roman" w:hAnsi="Times New Roman" w:eastAsia="黑体" w:cs="Times New Roman"/>
          <w:bCs/>
          <w:color w:val="auto"/>
          <w:kern w:val="2"/>
          <w:sz w:val="24"/>
          <w:szCs w:val="28"/>
          <w:lang w:val="en-US" w:eastAsia="zh-CN" w:bidi="ar-SA"/>
        </w:rPr>
        <w:t>.4.2.1</w:t>
      </w:r>
      <w:r>
        <w:rPr>
          <w:rFonts w:hint="eastAsia" w:ascii="宋体" w:hAnsi="Times New Roman" w:eastAsia="黑体" w:cs="宋体"/>
          <w:bCs/>
          <w:color w:val="auto"/>
          <w:kern w:val="0"/>
          <w:sz w:val="24"/>
          <w:szCs w:val="24"/>
          <w:lang w:val="en-US" w:eastAsia="zh-CN" w:bidi="ar-SA"/>
        </w:rPr>
        <w:t>节能技术</w:t>
      </w:r>
      <w:r>
        <w:rPr>
          <w:rFonts w:hint="eastAsia" w:ascii="Times New Roman" w:hAnsi="Times New Roman" w:eastAsia="黑体" w:cs="Times New Roman"/>
          <w:bCs/>
          <w:color w:val="auto"/>
          <w:kern w:val="2"/>
          <w:sz w:val="24"/>
          <w:szCs w:val="28"/>
          <w:lang w:val="en-US" w:eastAsia="zh-CN" w:bidi="ar-SA"/>
        </w:rPr>
        <w:t xml:space="preserve"> </w:t>
      </w:r>
    </w:p>
    <w:p w14:paraId="5B0DDFE0">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t>1</w:t>
      </w:r>
      <w:r>
        <w:rPr>
          <w:rFonts w:hint="eastAsia" w:ascii="Times New Roman" w:hAnsi="Times New Roman" w:eastAsia="宋体" w:cs="Calibri"/>
          <w:color w:val="auto"/>
          <w:kern w:val="2"/>
          <w:sz w:val="24"/>
          <w:szCs w:val="24"/>
          <w:lang w:val="en-US" w:eastAsia="zh-CN" w:bidi="ar-SA"/>
        </w:rPr>
        <w:t>、装卸工艺</w:t>
      </w:r>
    </w:p>
    <w:p w14:paraId="1A26DEF4">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对于本工程，机械设备耗电量高，为了减少能耗，装卸工艺采用了下列节能措施：</w:t>
      </w:r>
    </w:p>
    <w:p w14:paraId="6F574A13">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对于大型装卸设备，优先采用同类产品中的高效节能设备；合理布置工艺流程，尽量缩短运输距离，减少操作环节，减少各种机械空转的机会，以减少能耗；</w:t>
      </w:r>
    </w:p>
    <w:p w14:paraId="72C1134E">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一般情况下选用电力驱动的港口装卸机械设备，不宜选用电力驱动的采用柴油机作为动力。</w:t>
      </w:r>
    </w:p>
    <w:p w14:paraId="743618F7">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t>2</w:t>
      </w:r>
      <w:r>
        <w:rPr>
          <w:rFonts w:hint="eastAsia" w:ascii="Times New Roman" w:hAnsi="Times New Roman" w:eastAsia="宋体" w:cs="Calibri"/>
          <w:color w:val="auto"/>
          <w:kern w:val="2"/>
          <w:sz w:val="24"/>
          <w:szCs w:val="24"/>
          <w:lang w:val="en-US" w:eastAsia="zh-CN" w:bidi="ar-SA"/>
        </w:rPr>
        <w:t>、给排水系统</w:t>
      </w:r>
    </w:p>
    <w:p w14:paraId="00F84F1E">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港区及码头给水管网采用船舶生产、生活给水系统与消防系统分设的给水管网系统。港区所有生产设施需要用水的单元用户装置水表进行计量，核定用水标准。节约奖励，超标扣奖，以节约用水和节省能源。</w:t>
      </w:r>
    </w:p>
    <w:p w14:paraId="5929EB08">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港区选择耗电少，效率高的电机，以节省能源。</w:t>
      </w:r>
    </w:p>
    <w:p w14:paraId="295AAB66">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t>3</w:t>
      </w:r>
      <w:r>
        <w:rPr>
          <w:rFonts w:hint="eastAsia" w:ascii="Times New Roman" w:hAnsi="Times New Roman" w:eastAsia="宋体" w:cs="Calibri"/>
          <w:color w:val="auto"/>
          <w:kern w:val="2"/>
          <w:sz w:val="24"/>
          <w:szCs w:val="24"/>
          <w:lang w:val="en-US" w:eastAsia="zh-CN" w:bidi="ar-SA"/>
        </w:rPr>
        <w:t>、供电照明系统</w:t>
      </w:r>
    </w:p>
    <w:p w14:paraId="5CC03843">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采用高效率、低损耗、节能型的干式变压器。</w:t>
      </w:r>
    </w:p>
    <w:p w14:paraId="11A8EF87">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采用自动无功功率补偿，提高供电系统的功率因数。</w:t>
      </w:r>
    </w:p>
    <w:p w14:paraId="34764463">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选用节能型高压钠灯具，合理布置，使照明灯具布置既满足照明需要，又达到节能效果。</w:t>
      </w:r>
    </w:p>
    <w:p w14:paraId="05B31A4F">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对用户实行用电计量计费，避免浪费电能，节约用电。</w:t>
      </w:r>
    </w:p>
    <w:p w14:paraId="60DCB779">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w:t>
      </w:r>
      <w:r>
        <w:rPr>
          <w:rFonts w:ascii="Times New Roman" w:hAnsi="Times New Roman" w:eastAsia="黑体" w:cs="Times New Roman"/>
          <w:bCs/>
          <w:color w:val="auto"/>
          <w:kern w:val="2"/>
          <w:sz w:val="24"/>
          <w:szCs w:val="28"/>
          <w:lang w:val="en-US" w:eastAsia="zh-CN" w:bidi="ar-SA"/>
        </w:rPr>
        <w:t>.4.2.2</w:t>
      </w:r>
      <w:r>
        <w:rPr>
          <w:rFonts w:hint="eastAsia" w:ascii="宋体" w:hAnsi="Times New Roman" w:eastAsia="黑体" w:cs="宋体"/>
          <w:bCs/>
          <w:color w:val="auto"/>
          <w:kern w:val="0"/>
          <w:sz w:val="24"/>
          <w:szCs w:val="24"/>
          <w:lang w:val="en-US" w:eastAsia="zh-CN" w:bidi="ar-SA"/>
        </w:rPr>
        <w:t>完善的事故应急能力</w:t>
      </w:r>
      <w:r>
        <w:rPr>
          <w:rFonts w:hint="eastAsia" w:ascii="Times New Roman" w:hAnsi="Times New Roman" w:eastAsia="黑体" w:cs="Times New Roman"/>
          <w:bCs/>
          <w:color w:val="auto"/>
          <w:kern w:val="2"/>
          <w:sz w:val="24"/>
          <w:szCs w:val="28"/>
          <w:lang w:val="en-US" w:eastAsia="zh-CN" w:bidi="ar-SA"/>
        </w:rPr>
        <w:t xml:space="preserve"> </w:t>
      </w:r>
    </w:p>
    <w:p w14:paraId="4DC89DA9">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在事故出现后，为了降低事故带来的危害，减少损失，本项目采取多项紧急救护措施：在码头区设置灭火器及小型灭火设施，用于扑灭码头装卸作业区，控制室等的火灾。采取以上措施，可有效应对风险事故的发生，使对环境的危害减轻到最低程度。</w:t>
      </w:r>
    </w:p>
    <w:p w14:paraId="38419BDE">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w:t>
      </w:r>
      <w:r>
        <w:rPr>
          <w:rFonts w:ascii="Times New Roman" w:hAnsi="Times New Roman" w:eastAsia="黑体" w:cs="Times New Roman"/>
          <w:bCs/>
          <w:color w:val="auto"/>
          <w:kern w:val="2"/>
          <w:sz w:val="24"/>
          <w:szCs w:val="28"/>
          <w:lang w:val="en-US" w:eastAsia="zh-CN" w:bidi="ar-SA"/>
        </w:rPr>
        <w:t>.4.2.3</w:t>
      </w:r>
      <w:r>
        <w:rPr>
          <w:rFonts w:hint="eastAsia" w:ascii="宋体" w:hAnsi="Times New Roman" w:eastAsia="黑体" w:cs="宋体"/>
          <w:bCs/>
          <w:color w:val="auto"/>
          <w:kern w:val="0"/>
          <w:sz w:val="24"/>
          <w:szCs w:val="24"/>
          <w:lang w:val="en-US" w:eastAsia="zh-CN" w:bidi="ar-SA"/>
        </w:rPr>
        <w:t>环境质量管理</w:t>
      </w:r>
      <w:r>
        <w:rPr>
          <w:rFonts w:hint="eastAsia" w:ascii="Times New Roman" w:hAnsi="Times New Roman" w:eastAsia="黑体" w:cs="Times New Roman"/>
          <w:bCs/>
          <w:color w:val="auto"/>
          <w:kern w:val="2"/>
          <w:sz w:val="24"/>
          <w:szCs w:val="28"/>
          <w:lang w:val="en-US" w:eastAsia="zh-CN" w:bidi="ar-SA"/>
        </w:rPr>
        <w:t xml:space="preserve"> </w:t>
      </w:r>
    </w:p>
    <w:p w14:paraId="2470C2B7">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t>1</w:t>
      </w:r>
      <w:r>
        <w:rPr>
          <w:rFonts w:hint="eastAsia" w:ascii="Times New Roman" w:hAnsi="Times New Roman" w:eastAsia="宋体" w:cs="Calibri"/>
          <w:color w:val="auto"/>
          <w:kern w:val="2"/>
          <w:sz w:val="24"/>
          <w:szCs w:val="24"/>
          <w:lang w:val="en-US" w:eastAsia="zh-CN" w:bidi="ar-SA"/>
        </w:rPr>
        <w:t>、所有有关部门和人员均应具备相应的资质，码头作业人员均应接受操作技能、设备使用、作业程序、安全防护和应急反应等方面的教育与培训。对国家规定的特种作业人员，必须经考核合格后，持证上岗。</w:t>
      </w:r>
    </w:p>
    <w:p w14:paraId="069908AB">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t>2</w:t>
      </w:r>
      <w:r>
        <w:rPr>
          <w:rFonts w:hint="eastAsia" w:ascii="Times New Roman" w:hAnsi="Times New Roman" w:eastAsia="宋体" w:cs="Calibri"/>
          <w:color w:val="auto"/>
          <w:kern w:val="2"/>
          <w:sz w:val="24"/>
          <w:szCs w:val="24"/>
          <w:lang w:val="en-US" w:eastAsia="zh-CN" w:bidi="ar-SA"/>
        </w:rPr>
        <w:t>、采用国际上先进的码头设备和操作管理程序，正常生产情况下并不产生物料的泄漏排放。</w:t>
      </w:r>
    </w:p>
    <w:p w14:paraId="5EDABDB6">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t>3</w:t>
      </w:r>
      <w:r>
        <w:rPr>
          <w:rFonts w:hint="eastAsia" w:ascii="Times New Roman" w:hAnsi="Times New Roman" w:eastAsia="宋体" w:cs="Calibri"/>
          <w:color w:val="auto"/>
          <w:kern w:val="2"/>
          <w:sz w:val="24"/>
          <w:szCs w:val="24"/>
          <w:lang w:val="en-US" w:eastAsia="zh-CN" w:bidi="ar-SA"/>
        </w:rPr>
        <w:t>、加强对职工的环境管理，通过不同的方式</w:t>
      </w:r>
      <w:r>
        <w:rPr>
          <w:rFonts w:hint="eastAsia" w:cs="Calibri"/>
          <w:color w:val="auto"/>
          <w:kern w:val="2"/>
          <w:sz w:val="24"/>
          <w:szCs w:val="24"/>
          <w:lang w:val="en-US" w:eastAsia="zh-CN" w:bidi="ar-SA"/>
        </w:rPr>
        <w:t>增强</w:t>
      </w:r>
      <w:r>
        <w:rPr>
          <w:rFonts w:hint="eastAsia" w:ascii="Times New Roman" w:hAnsi="Times New Roman" w:eastAsia="宋体" w:cs="Calibri"/>
          <w:color w:val="auto"/>
          <w:kern w:val="2"/>
          <w:sz w:val="24"/>
          <w:szCs w:val="24"/>
          <w:lang w:val="en-US" w:eastAsia="zh-CN" w:bidi="ar-SA"/>
        </w:rPr>
        <w:t>职工的环境</w:t>
      </w:r>
      <w:r>
        <w:rPr>
          <w:rFonts w:hint="eastAsia" w:cs="Calibri"/>
          <w:color w:val="auto"/>
          <w:kern w:val="2"/>
          <w:sz w:val="24"/>
          <w:szCs w:val="24"/>
          <w:lang w:val="en-US" w:eastAsia="zh-CN" w:bidi="ar-SA"/>
        </w:rPr>
        <w:t>意识</w:t>
      </w:r>
      <w:r>
        <w:rPr>
          <w:rFonts w:hint="eastAsia" w:ascii="Times New Roman" w:hAnsi="Times New Roman" w:eastAsia="宋体" w:cs="Calibri"/>
          <w:color w:val="auto"/>
          <w:kern w:val="2"/>
          <w:sz w:val="24"/>
          <w:szCs w:val="24"/>
          <w:lang w:val="en-US" w:eastAsia="zh-CN" w:bidi="ar-SA"/>
        </w:rPr>
        <w:t>和文化素质，培养职工的环保观念。特别让</w:t>
      </w:r>
      <w:r>
        <w:rPr>
          <w:rFonts w:hint="eastAsia" w:cs="Calibri"/>
          <w:color w:val="auto"/>
          <w:kern w:val="2"/>
          <w:sz w:val="24"/>
          <w:szCs w:val="24"/>
          <w:lang w:val="en-US" w:eastAsia="zh-CN" w:bidi="ar-SA"/>
        </w:rPr>
        <w:t>职工</w:t>
      </w:r>
      <w:r>
        <w:rPr>
          <w:rFonts w:hint="eastAsia" w:ascii="Times New Roman" w:hAnsi="Times New Roman" w:eastAsia="宋体" w:cs="Calibri"/>
          <w:color w:val="auto"/>
          <w:kern w:val="2"/>
          <w:sz w:val="24"/>
          <w:szCs w:val="24"/>
          <w:lang w:val="en-US" w:eastAsia="zh-CN" w:bidi="ar-SA"/>
        </w:rPr>
        <w:t>了解自己的责任心不强或操作处理不当，不仅会给自身安全带来不可预测的危害，而且还可能给企业和国家带来巨大的经济损失与环境损害。</w:t>
      </w:r>
    </w:p>
    <w:p w14:paraId="7BFAB434">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3</w:t>
      </w:r>
      <w:r>
        <w:rPr>
          <w:rFonts w:ascii="Times New Roman" w:hAnsi="Times New Roman" w:eastAsia="黑体" w:cs="Times New Roman"/>
          <w:bCs/>
          <w:color w:val="auto"/>
          <w:kern w:val="2"/>
          <w:sz w:val="24"/>
          <w:szCs w:val="28"/>
          <w:lang w:val="en-US" w:eastAsia="zh-CN" w:bidi="ar-SA"/>
        </w:rPr>
        <w:t>.4.2.4</w:t>
      </w:r>
      <w:r>
        <w:rPr>
          <w:rFonts w:hint="eastAsia" w:ascii="宋体" w:hAnsi="Times New Roman" w:eastAsia="黑体" w:cs="宋体"/>
          <w:bCs/>
          <w:color w:val="auto"/>
          <w:kern w:val="0"/>
          <w:sz w:val="24"/>
          <w:szCs w:val="24"/>
          <w:lang w:val="en-US" w:eastAsia="zh-CN" w:bidi="ar-SA"/>
        </w:rPr>
        <w:t>污染控制及治理</w:t>
      </w:r>
      <w:r>
        <w:rPr>
          <w:rFonts w:hint="eastAsia" w:ascii="Times New Roman" w:hAnsi="Times New Roman" w:eastAsia="黑体" w:cs="Times New Roman"/>
          <w:bCs/>
          <w:color w:val="auto"/>
          <w:kern w:val="2"/>
          <w:sz w:val="24"/>
          <w:szCs w:val="28"/>
          <w:lang w:val="en-US" w:eastAsia="zh-CN" w:bidi="ar-SA"/>
        </w:rPr>
        <w:t xml:space="preserve"> </w:t>
      </w:r>
    </w:p>
    <w:p w14:paraId="3E28B14C">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项目在营运期，对到港作业船舶应加强管理，船舶含油污水、船舶生活污水严禁在码头附近水域内排放，船舶含油污水、船舶生活污水经隔油沉淀池预处理后进入一体化污水处理设施，经处理后回用于码头地面冲洗、周边绿化及机械车辆冲洗。</w:t>
      </w:r>
    </w:p>
    <w:p w14:paraId="3406BE76">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运营期人员租赁周边居民住房</w:t>
      </w:r>
      <w:r>
        <w:rPr>
          <w:rFonts w:hint="eastAsia" w:cs="Calibri"/>
          <w:color w:val="auto"/>
          <w:kern w:val="2"/>
          <w:sz w:val="24"/>
          <w:szCs w:val="24"/>
          <w:lang w:val="en-US" w:eastAsia="zh-CN" w:bidi="ar-SA"/>
        </w:rPr>
        <w:t>作</w:t>
      </w:r>
      <w:r>
        <w:rPr>
          <w:rFonts w:hint="eastAsia" w:ascii="Times New Roman" w:hAnsi="Times New Roman" w:eastAsia="宋体" w:cs="Calibri"/>
          <w:color w:val="auto"/>
          <w:kern w:val="2"/>
          <w:sz w:val="24"/>
          <w:szCs w:val="24"/>
          <w:lang w:val="en-US" w:eastAsia="zh-CN" w:bidi="ar-SA"/>
        </w:rPr>
        <w:t>办公用地，生活污水利用现有旱厕处理后，收集后用作当地农田或林地肥料。初期雨水、机械设备冲洗废水、码头地面冲洗废水经隔油沉淀池预处理后进入一体化污水处理设施，经处理后回用于码头地面冲洗、周边绿化及机械车辆冲洗。</w:t>
      </w:r>
    </w:p>
    <w:p w14:paraId="452AD41D">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同时加强对港区设备流动机械、装卸过程的管理，并应经常性的维修检查，防止油品的跑、冒、滴、漏现象的产生，以免造成对水域环境的影响。</w:t>
      </w:r>
    </w:p>
    <w:p w14:paraId="4CBF37CD">
      <w:pPr>
        <w:spacing w:line="360" w:lineRule="auto"/>
        <w:ind w:firstLine="480" w:firstLineChars="200"/>
        <w:jc w:val="both"/>
        <w:rPr>
          <w:rFonts w:hint="eastAsia"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建设单位</w:t>
      </w:r>
      <w:r>
        <w:rPr>
          <w:rFonts w:ascii="Times New Roman" w:hAnsi="Times New Roman" w:eastAsia="宋体" w:cs="Calibri"/>
          <w:color w:val="auto"/>
          <w:kern w:val="2"/>
          <w:sz w:val="24"/>
          <w:szCs w:val="24"/>
          <w:lang w:val="en-US" w:eastAsia="zh-CN" w:bidi="ar-SA"/>
        </w:rPr>
        <w:t>在装船、装车、卸船</w:t>
      </w:r>
      <w:r>
        <w:rPr>
          <w:rFonts w:hint="eastAsia" w:ascii="Times New Roman" w:hAnsi="Times New Roman" w:eastAsia="宋体" w:cs="Calibri"/>
          <w:color w:val="auto"/>
          <w:kern w:val="2"/>
          <w:sz w:val="24"/>
          <w:szCs w:val="24"/>
          <w:lang w:val="en-US" w:eastAsia="zh-CN" w:bidi="ar-SA"/>
        </w:rPr>
        <w:t>等</w:t>
      </w:r>
      <w:r>
        <w:rPr>
          <w:rFonts w:ascii="Times New Roman" w:hAnsi="Times New Roman" w:eastAsia="宋体" w:cs="Calibri"/>
          <w:color w:val="auto"/>
          <w:kern w:val="2"/>
          <w:sz w:val="24"/>
          <w:szCs w:val="24"/>
          <w:lang w:val="en-US" w:eastAsia="zh-CN" w:bidi="ar-SA"/>
        </w:rPr>
        <w:t>处设置</w:t>
      </w:r>
      <w:r>
        <w:rPr>
          <w:rFonts w:hint="eastAsia" w:ascii="Times New Roman" w:hAnsi="Times New Roman" w:eastAsia="宋体" w:cs="Calibri"/>
          <w:color w:val="auto"/>
          <w:kern w:val="2"/>
          <w:sz w:val="24"/>
          <w:szCs w:val="24"/>
          <w:lang w:val="en-US" w:eastAsia="zh-CN" w:bidi="ar-SA"/>
        </w:rPr>
        <w:t>干雾</w:t>
      </w:r>
      <w:r>
        <w:rPr>
          <w:rFonts w:ascii="Times New Roman" w:hAnsi="Times New Roman" w:eastAsia="宋体" w:cs="Calibri"/>
          <w:color w:val="auto"/>
          <w:kern w:val="2"/>
          <w:sz w:val="24"/>
          <w:szCs w:val="24"/>
          <w:lang w:val="en-US" w:eastAsia="zh-CN" w:bidi="ar-SA"/>
        </w:rPr>
        <w:t>抑尘，在此基础上进一步降低了无组织颗粒物的排放</w:t>
      </w:r>
      <w:r>
        <w:rPr>
          <w:rFonts w:hint="eastAsia" w:ascii="Times New Roman" w:hAnsi="Times New Roman" w:eastAsia="宋体" w:cs="Calibri"/>
          <w:color w:val="auto"/>
          <w:kern w:val="2"/>
          <w:sz w:val="24"/>
          <w:szCs w:val="24"/>
          <w:lang w:val="en-US" w:eastAsia="zh-CN" w:bidi="ar-SA"/>
        </w:rPr>
        <w:t>。</w:t>
      </w:r>
    </w:p>
    <w:p w14:paraId="33C9C681">
      <w:pPr>
        <w:spacing w:line="360" w:lineRule="auto"/>
        <w:ind w:firstLine="480" w:firstLineChars="200"/>
        <w:jc w:val="both"/>
        <w:rPr>
          <w:rFonts w:hint="eastAsia"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场内设有危废暂存间、垃圾桶，项目产生的固废均得到有效处理、处置，不外排。</w:t>
      </w:r>
    </w:p>
    <w:p w14:paraId="48BC3D8F">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企业应制订严格的内部管理规章制度、职业培训等，实行岗位责任制，加强质量管理和环保管理水平，减少污染排放，达到清洁生产目的。</w:t>
      </w:r>
    </w:p>
    <w:p w14:paraId="402EA98D">
      <w:pPr>
        <w:keepNext/>
        <w:keepLines/>
        <w:widowControl w:val="0"/>
        <w:numPr>
          <w:ilvl w:val="2"/>
          <w:numId w:val="0"/>
        </w:numPr>
        <w:spacing w:line="360" w:lineRule="auto"/>
        <w:jc w:val="both"/>
        <w:outlineLvl w:val="2"/>
        <w:rPr>
          <w:rFonts w:hint="eastAsia"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3</w:t>
      </w:r>
      <w:r>
        <w:rPr>
          <w:rFonts w:ascii="Times New Roman" w:hAnsi="Times New Roman" w:eastAsia="黑体" w:cs="Times New Roman"/>
          <w:bCs/>
          <w:color w:val="auto"/>
          <w:kern w:val="2"/>
          <w:sz w:val="28"/>
          <w:szCs w:val="32"/>
          <w:lang w:val="en-US" w:eastAsia="zh-CN" w:bidi="ar-SA"/>
        </w:rPr>
        <w:t>.4.3</w:t>
      </w:r>
      <w:r>
        <w:rPr>
          <w:rFonts w:hint="eastAsia" w:ascii="Times New Roman" w:hAnsi="Times New Roman" w:eastAsia="黑体" w:cs="Times New Roman"/>
          <w:bCs/>
          <w:color w:val="auto"/>
          <w:kern w:val="2"/>
          <w:sz w:val="28"/>
          <w:szCs w:val="32"/>
          <w:lang w:val="en-US" w:eastAsia="zh-CN" w:bidi="ar-SA"/>
        </w:rPr>
        <w:t xml:space="preserve">建设项目清洁生产评价 </w:t>
      </w:r>
    </w:p>
    <w:p w14:paraId="772C309D">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在本项目的建设施工过程中，采用了合适的施工方案，使用先进的工艺装备、使作业高效、节能，减少不必要的消耗，也就降低了对环境的不必要的影响；同时，在作业过程中严格遵守技术规范，以环境保护意识贯穿于整个建设过程中，文明施工，爱护环境，这些都是清洁生产原则在本项目建设过程中的体现。因此，从总体上说，本项目在施工期间能达到较好的清洁生产水平。</w:t>
      </w:r>
    </w:p>
    <w:p w14:paraId="01F8A8A2">
      <w:pPr>
        <w:spacing w:line="360" w:lineRule="auto"/>
        <w:ind w:firstLine="480" w:firstLineChars="200"/>
        <w:rPr>
          <w:rFonts w:hint="eastAsia" w:eastAsia="黑体"/>
          <w:color w:val="auto"/>
          <w:sz w:val="24"/>
        </w:rPr>
      </w:pPr>
    </w:p>
    <w:p w14:paraId="325DCFE8">
      <w:pPr>
        <w:spacing w:line="360" w:lineRule="auto"/>
        <w:ind w:firstLine="480" w:firstLineChars="200"/>
        <w:rPr>
          <w:rFonts w:eastAsia="黑体"/>
          <w:color w:val="auto"/>
          <w:sz w:val="24"/>
        </w:rPr>
        <w:sectPr>
          <w:footerReference r:id="rId13" w:type="default"/>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7D6297D1">
      <w:pPr>
        <w:pStyle w:val="2"/>
        <w:numPr>
          <w:ilvl w:val="0"/>
          <w:numId w:val="0"/>
        </w:numPr>
        <w:rPr>
          <w:color w:val="auto"/>
        </w:rPr>
      </w:pPr>
      <w:bookmarkStart w:id="83" w:name="_Toc20324"/>
      <w:r>
        <w:rPr>
          <w:rFonts w:hint="eastAsia"/>
          <w:color w:val="auto"/>
        </w:rPr>
        <w:t>4</w:t>
      </w:r>
      <w:r>
        <w:rPr>
          <w:color w:val="auto"/>
        </w:rPr>
        <w:t>环境现状调查与评价</w:t>
      </w:r>
      <w:bookmarkEnd w:id="83"/>
    </w:p>
    <w:p w14:paraId="1BCA41DC">
      <w:pPr>
        <w:pStyle w:val="3"/>
        <w:numPr>
          <w:ilvl w:val="1"/>
          <w:numId w:val="0"/>
        </w:numPr>
        <w:rPr>
          <w:color w:val="auto"/>
        </w:rPr>
      </w:pPr>
      <w:bookmarkStart w:id="84" w:name="_Toc25879"/>
      <w:r>
        <w:rPr>
          <w:rFonts w:hint="eastAsia"/>
          <w:color w:val="auto"/>
        </w:rPr>
        <w:t>4.1</w:t>
      </w:r>
      <w:r>
        <w:rPr>
          <w:color w:val="auto"/>
        </w:rPr>
        <w:t>自然环境概况</w:t>
      </w:r>
      <w:bookmarkEnd w:id="84"/>
    </w:p>
    <w:p w14:paraId="31975D8C">
      <w:pPr>
        <w:pStyle w:val="4"/>
        <w:numPr>
          <w:ilvl w:val="2"/>
          <w:numId w:val="0"/>
        </w:numPr>
        <w:rPr>
          <w:color w:val="auto"/>
        </w:rPr>
      </w:pPr>
      <w:r>
        <w:rPr>
          <w:rFonts w:hint="eastAsia"/>
          <w:color w:val="auto"/>
        </w:rPr>
        <w:t>4.1.1</w:t>
      </w:r>
      <w:r>
        <w:rPr>
          <w:color w:val="auto"/>
        </w:rPr>
        <w:t>地理位置</w:t>
      </w:r>
    </w:p>
    <w:p w14:paraId="34E4D23E">
      <w:pPr>
        <w:pStyle w:val="15"/>
        <w:tabs>
          <w:tab w:val="left" w:pos="1080"/>
        </w:tabs>
        <w:spacing w:line="360" w:lineRule="auto"/>
        <w:ind w:firstLine="480" w:firstLineChars="200"/>
        <w:textAlignment w:val="baseline"/>
        <w:rPr>
          <w:color w:val="auto"/>
          <w:sz w:val="24"/>
        </w:rPr>
      </w:pPr>
      <w:r>
        <w:rPr>
          <w:color w:val="auto"/>
          <w:sz w:val="24"/>
        </w:rPr>
        <w:t>淮南市位于东经116°21'5"~117°12'30"，北纬31°54'8"~33°00'26"之间，地处安徽省中北部，东与滁州市毗邻，东南与合肥市接壤，西南与六安市相连，西与阜阳市相接，北与亳州市、蚌埠市交界。最东端位于大通区孔店乡王祠村以东、高塘湖中心线上，最西端位于凤台县尚塘乡侯海孜以西与利辛县接壤处，最南端位于寿县三觉镇冯楼村槐树庄以南与六安市金安区接壤处，最北端位于凤台县与蒙城县、利辛县交会的茨淮新河主航道中心线上。</w:t>
      </w:r>
    </w:p>
    <w:p w14:paraId="1A5FA43A">
      <w:pPr>
        <w:pStyle w:val="15"/>
        <w:tabs>
          <w:tab w:val="left" w:pos="1080"/>
        </w:tabs>
        <w:spacing w:line="360" w:lineRule="auto"/>
        <w:ind w:firstLine="480" w:firstLineChars="200"/>
        <w:textAlignment w:val="baseline"/>
        <w:rPr>
          <w:color w:val="auto"/>
          <w:sz w:val="24"/>
        </w:rPr>
      </w:pPr>
      <w:r>
        <w:rPr>
          <w:color w:val="auto"/>
          <w:sz w:val="24"/>
        </w:rPr>
        <w:t>本项目选址位于</w:t>
      </w:r>
      <w:r>
        <w:rPr>
          <w:rFonts w:hint="eastAsia"/>
          <w:color w:val="auto"/>
          <w:sz w:val="24"/>
        </w:rPr>
        <w:t>淮南市潘集区平圩镇淮河北汊的左岸潘集港区规划作业区。项目</w:t>
      </w:r>
      <w:r>
        <w:rPr>
          <w:color w:val="auto"/>
          <w:sz w:val="24"/>
        </w:rPr>
        <w:t>中心点坐标为经度：116.90191001</w:t>
      </w:r>
      <w:r>
        <w:rPr>
          <w:rFonts w:hint="eastAsia"/>
          <w:color w:val="auto"/>
          <w:sz w:val="24"/>
        </w:rPr>
        <w:t>°，纬度：</w:t>
      </w:r>
      <w:r>
        <w:rPr>
          <w:color w:val="auto"/>
          <w:sz w:val="24"/>
        </w:rPr>
        <w:t>32.67087058</w:t>
      </w:r>
      <w:r>
        <w:rPr>
          <w:rFonts w:hint="eastAsia"/>
          <w:color w:val="auto"/>
          <w:sz w:val="24"/>
        </w:rPr>
        <w:t>°</w:t>
      </w:r>
      <w:r>
        <w:rPr>
          <w:color w:val="auto"/>
          <w:sz w:val="24"/>
        </w:rPr>
        <w:t>，项目地理位置见图4.1-1。</w:t>
      </w:r>
    </w:p>
    <w:p w14:paraId="76A23C6E">
      <w:pPr>
        <w:pStyle w:val="15"/>
        <w:tabs>
          <w:tab w:val="left" w:pos="1080"/>
        </w:tabs>
        <w:spacing w:line="360" w:lineRule="auto"/>
        <w:ind w:firstLine="0"/>
        <w:textAlignment w:val="baseline"/>
        <w:rPr>
          <w:color w:val="auto"/>
          <w:sz w:val="24"/>
          <w:szCs w:val="21"/>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7EF9490E">
      <w:pPr>
        <w:pStyle w:val="15"/>
        <w:tabs>
          <w:tab w:val="left" w:pos="1080"/>
        </w:tabs>
        <w:spacing w:line="360" w:lineRule="auto"/>
        <w:ind w:firstLine="0"/>
        <w:jc w:val="center"/>
        <w:textAlignment w:val="baseline"/>
        <w:rPr>
          <w:color w:val="auto"/>
        </w:rPr>
      </w:pPr>
      <w:r>
        <w:rPr>
          <w:color w:val="auto"/>
        </w:rPr>
        <w:drawing>
          <wp:anchor distT="0" distB="0" distL="114300" distR="114300" simplePos="0" relativeHeight="251719680" behindDoc="0" locked="0" layoutInCell="1" allowOverlap="1">
            <wp:simplePos x="0" y="0"/>
            <wp:positionH relativeFrom="column">
              <wp:posOffset>7704455</wp:posOffset>
            </wp:positionH>
            <wp:positionV relativeFrom="paragraph">
              <wp:posOffset>137160</wp:posOffset>
            </wp:positionV>
            <wp:extent cx="661670" cy="661670"/>
            <wp:effectExtent l="0" t="0" r="5080" b="5080"/>
            <wp:wrapNone/>
            <wp:docPr id="111" name="图片 292"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92" descr="淮南"/>
                    <pic:cNvPicPr>
                      <a:picLocks noChangeAspect="1"/>
                    </pic:cNvPicPr>
                  </pic:nvPicPr>
                  <pic:blipFill>
                    <a:blip r:embed="rId40"/>
                    <a:stretch>
                      <a:fillRect/>
                    </a:stretch>
                  </pic:blipFill>
                  <pic:spPr>
                    <a:xfrm>
                      <a:off x="0" y="0"/>
                      <a:ext cx="661670" cy="661670"/>
                    </a:xfrm>
                    <a:prstGeom prst="rect">
                      <a:avLst/>
                    </a:prstGeom>
                    <a:noFill/>
                    <a:ln>
                      <a:noFill/>
                    </a:ln>
                  </pic:spPr>
                </pic:pic>
              </a:graphicData>
            </a:graphic>
          </wp:anchor>
        </w:drawing>
      </w:r>
      <w:r>
        <w:rPr>
          <w:color w:val="auto"/>
        </w:rPr>
        <w:drawing>
          <wp:inline distT="0" distB="0" distL="114300" distR="114300">
            <wp:extent cx="7936230" cy="5187315"/>
            <wp:effectExtent l="0" t="0" r="7620" b="13335"/>
            <wp:docPr id="152"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245"/>
                    <pic:cNvPicPr>
                      <a:picLocks noChangeAspect="1"/>
                    </pic:cNvPicPr>
                  </pic:nvPicPr>
                  <pic:blipFill>
                    <a:blip r:embed="rId75"/>
                    <a:stretch>
                      <a:fillRect/>
                    </a:stretch>
                  </pic:blipFill>
                  <pic:spPr>
                    <a:xfrm>
                      <a:off x="0" y="0"/>
                      <a:ext cx="7936230" cy="5187315"/>
                    </a:xfrm>
                    <a:prstGeom prst="rect">
                      <a:avLst/>
                    </a:prstGeom>
                    <a:noFill/>
                    <a:ln>
                      <a:noFill/>
                    </a:ln>
                  </pic:spPr>
                </pic:pic>
              </a:graphicData>
            </a:graphic>
          </wp:inline>
        </w:drawing>
      </w:r>
    </w:p>
    <w:p w14:paraId="6AFC95E9">
      <w:pPr>
        <w:pStyle w:val="15"/>
        <w:tabs>
          <w:tab w:val="left" w:pos="1080"/>
        </w:tabs>
        <w:spacing w:line="360" w:lineRule="auto"/>
        <w:ind w:firstLine="0"/>
        <w:jc w:val="center"/>
        <w:textAlignment w:val="baseline"/>
        <w:rPr>
          <w:color w:val="auto"/>
        </w:rPr>
      </w:pPr>
      <w:r>
        <w:rPr>
          <w:rFonts w:eastAsia="黑体"/>
          <w:color w:val="auto"/>
          <w:sz w:val="24"/>
        </w:rPr>
        <w:t>图4.1-1  项目地理位置</w:t>
      </w:r>
    </w:p>
    <w:p w14:paraId="2F158003">
      <w:pPr>
        <w:pStyle w:val="15"/>
        <w:tabs>
          <w:tab w:val="left" w:pos="1080"/>
        </w:tabs>
        <w:spacing w:line="360" w:lineRule="auto"/>
        <w:ind w:firstLine="480" w:firstLineChars="200"/>
        <w:textAlignment w:val="baseline"/>
        <w:rPr>
          <w:color w:val="auto"/>
          <w:sz w:val="24"/>
          <w:szCs w:val="21"/>
        </w:rPr>
        <w:sectPr>
          <w:pgSz w:w="16840" w:h="11907" w:orient="landscape"/>
          <w:pgMar w:top="1418" w:right="1418" w:bottom="1418" w:left="1418" w:header="851" w:footer="851" w:gutter="0"/>
          <w:pgBorders>
            <w:top w:val="none" w:sz="0" w:space="0"/>
            <w:left w:val="none" w:sz="0" w:space="0"/>
            <w:bottom w:val="none" w:sz="0" w:space="0"/>
            <w:right w:val="none" w:sz="0" w:space="0"/>
          </w:pgBorders>
          <w:cols w:space="720" w:num="1"/>
          <w:docGrid w:type="lines" w:linePitch="312" w:charSpace="0"/>
        </w:sectPr>
      </w:pPr>
    </w:p>
    <w:p w14:paraId="5269537B">
      <w:pPr>
        <w:pStyle w:val="4"/>
        <w:numPr>
          <w:ilvl w:val="2"/>
          <w:numId w:val="0"/>
        </w:numPr>
        <w:rPr>
          <w:color w:val="auto"/>
        </w:rPr>
      </w:pPr>
      <w:r>
        <w:rPr>
          <w:rFonts w:hint="eastAsia"/>
          <w:color w:val="auto"/>
        </w:rPr>
        <w:t>4.1.2</w:t>
      </w:r>
      <w:r>
        <w:rPr>
          <w:color w:val="auto"/>
        </w:rPr>
        <w:t>地质、地貌</w:t>
      </w:r>
      <w:r>
        <w:rPr>
          <w:rFonts w:hint="eastAsia"/>
          <w:color w:val="auto"/>
        </w:rPr>
        <w:t>及工程泥沙</w:t>
      </w:r>
    </w:p>
    <w:p w14:paraId="6481D0F9">
      <w:pPr>
        <w:pStyle w:val="15"/>
        <w:tabs>
          <w:tab w:val="left" w:pos="1080"/>
        </w:tabs>
        <w:spacing w:line="360" w:lineRule="auto"/>
        <w:ind w:firstLine="480" w:firstLineChars="200"/>
        <w:textAlignment w:val="baseline"/>
        <w:rPr>
          <w:color w:val="auto"/>
          <w:sz w:val="24"/>
        </w:rPr>
      </w:pPr>
      <w:r>
        <w:rPr>
          <w:color w:val="auto"/>
          <w:sz w:val="24"/>
        </w:rPr>
        <w:t>淮南市境在构造单元上属于中朝准地台淮河台坳淮南陷褶断带</w:t>
      </w:r>
      <w:r>
        <w:rPr>
          <w:rFonts w:hint="eastAsia"/>
          <w:color w:val="auto"/>
          <w:sz w:val="24"/>
          <w:lang w:eastAsia="zh-CN"/>
        </w:rPr>
        <w:t>（</w:t>
      </w:r>
      <w:r>
        <w:rPr>
          <w:color w:val="auto"/>
          <w:sz w:val="24"/>
        </w:rPr>
        <w:t>即华北地台豫淮褶皱带)东部的淮南复向斜。东界为郯庐断裂，西临周口坳陷，北接蚌埠隆起，南邻合肥坳陷，南北为洞山断裂和刘府断裂夹持。区内构造以北西西向构造占主导地位，受后期强烈改造，但总体形态变化不大，复式向斜内次一级褶皱及断裂发育。地质演化历史可分为前震旦纪、震旦纪一三叠纪、侏罗纪一第四纪3个阶段，前震旦纪，淮南地壳处于活动阶段；震旦纪一三叠纪属于剧烈运动时期，先后经历了蚌埠、凤阳、皖南、加里东、华西力、印支等运动。其间地壳几度隆起沉降，形成了海陆交互相地层。特别是晚石炭纪和二叠纪时期海陆交互相的沉积环境，成为煤炭资源良好的生成条件，从而形成了境内大量的煤炭资源。侏罗纪一第四纪，经过燕山运动和喜马拉雅运动，逐渐塑造出了今天的地貌特征。</w:t>
      </w:r>
    </w:p>
    <w:p w14:paraId="160E56E8">
      <w:pPr>
        <w:pStyle w:val="15"/>
        <w:tabs>
          <w:tab w:val="left" w:pos="0"/>
          <w:tab w:val="left" w:pos="1080"/>
        </w:tabs>
        <w:spacing w:line="360" w:lineRule="auto"/>
        <w:ind w:firstLine="480" w:firstLineChars="200"/>
        <w:textAlignment w:val="baseline"/>
        <w:rPr>
          <w:color w:val="auto"/>
          <w:sz w:val="24"/>
        </w:rPr>
      </w:pPr>
      <w:r>
        <w:rPr>
          <w:color w:val="auto"/>
          <w:sz w:val="24"/>
        </w:rPr>
        <w:t>市境以淮河为界形成两种不同的地貌类型，淮河以南为丘陵，属于江淮丘陵的一部分，以寿县为例，北、中部为淮河冲积平原；西北部沿淮河、淠河洼池；东南部为岗地。淮河以北为地势平坦的淮北平原，淮河南岸由东至西隆起不连续的低山丘陵，环山为一斜坡地带，宽约500米~1500米，坡度10左右，海拔40米~75米；斜坡地带以下交错衔接洪冲积二级阶地，宽500米~2500米，海拔30米~40米，坡度2°左右；舜耕山以北二级阶地以下是淮河冲积一级阶地，宽2500米~3000米，海拔25米以下，坡度平缓</w:t>
      </w:r>
      <w:r>
        <w:rPr>
          <w:rFonts w:hint="eastAsia"/>
          <w:color w:val="auto"/>
          <w:sz w:val="24"/>
          <w:lang w:eastAsia="zh-CN"/>
        </w:rPr>
        <w:t>；</w:t>
      </w:r>
      <w:r>
        <w:rPr>
          <w:color w:val="auto"/>
          <w:sz w:val="24"/>
        </w:rPr>
        <w:t>一级阶地以下是淮河高位漫滩，宽2000米~3000米，海拔17米~20米，漫滩以下是淮河滨河浅滩。舜耕山以南斜坡以下，东为高塘湖一、二级洪冲积阶地</w:t>
      </w:r>
      <w:r>
        <w:rPr>
          <w:rFonts w:hint="eastAsia"/>
          <w:color w:val="auto"/>
          <w:sz w:val="24"/>
          <w:lang w:eastAsia="zh-CN"/>
        </w:rPr>
        <w:t>，</w:t>
      </w:r>
      <w:r>
        <w:rPr>
          <w:color w:val="auto"/>
          <w:sz w:val="24"/>
        </w:rPr>
        <w:t>西为瓦埠湖一、二级洪冲积阶地；中为丘陵岗地。淮河以北平原地区为河间浅洼平原，地势呈西北东南向倾斜，海拔20米~24米，对高差4米~5米。</w:t>
      </w:r>
    </w:p>
    <w:p w14:paraId="472F0F8B">
      <w:pPr>
        <w:pStyle w:val="15"/>
        <w:tabs>
          <w:tab w:val="left" w:pos="0"/>
          <w:tab w:val="left" w:pos="1080"/>
        </w:tabs>
        <w:spacing w:line="360" w:lineRule="auto"/>
        <w:ind w:firstLine="480" w:firstLineChars="200"/>
        <w:textAlignment w:val="baseline"/>
        <w:rPr>
          <w:color w:val="auto"/>
          <w:sz w:val="24"/>
        </w:rPr>
      </w:pPr>
      <w:r>
        <w:rPr>
          <w:rFonts w:hint="eastAsia"/>
          <w:color w:val="auto"/>
          <w:sz w:val="24"/>
        </w:rPr>
        <w:t>拟建码头前方属河漫滩冲、淤积地貌和淮河河床地貌，后方为平原江淮微丘区。淮河属于砂质河床，除汛期外，其余时间含沙量较小，平均含沙量</w:t>
      </w:r>
      <w:r>
        <w:rPr>
          <w:color w:val="auto"/>
          <w:sz w:val="24"/>
        </w:rPr>
        <w:t>0.5891kg/m</w:t>
      </w:r>
      <w:r>
        <w:rPr>
          <w:color w:val="auto"/>
          <w:sz w:val="24"/>
          <w:vertAlign w:val="superscript"/>
        </w:rPr>
        <w:t>3</w:t>
      </w:r>
      <w:r>
        <w:rPr>
          <w:rFonts w:hint="eastAsia"/>
          <w:color w:val="auto"/>
          <w:sz w:val="24"/>
        </w:rPr>
        <w:t>，最大含沙量为</w:t>
      </w:r>
      <w:r>
        <w:rPr>
          <w:color w:val="auto"/>
          <w:sz w:val="24"/>
        </w:rPr>
        <w:t>17.2kg/m</w:t>
      </w:r>
      <w:r>
        <w:rPr>
          <w:color w:val="auto"/>
          <w:sz w:val="24"/>
          <w:vertAlign w:val="superscript"/>
        </w:rPr>
        <w:t>3</w:t>
      </w:r>
      <w:r>
        <w:rPr>
          <w:rFonts w:hint="eastAsia"/>
          <w:color w:val="auto"/>
          <w:sz w:val="24"/>
        </w:rPr>
        <w:t>，最小含沙量</w:t>
      </w:r>
      <w:r>
        <w:rPr>
          <w:color w:val="auto"/>
          <w:sz w:val="24"/>
        </w:rPr>
        <w:t>0.002kg/m</w:t>
      </w:r>
      <w:r>
        <w:rPr>
          <w:color w:val="auto"/>
          <w:sz w:val="24"/>
          <w:vertAlign w:val="superscript"/>
        </w:rPr>
        <w:t>3</w:t>
      </w:r>
      <w:r>
        <w:rPr>
          <w:rFonts w:hint="eastAsia"/>
          <w:color w:val="auto"/>
          <w:sz w:val="24"/>
        </w:rPr>
        <w:t>，淮河干流的含沙量</w:t>
      </w:r>
      <w:r>
        <w:rPr>
          <w:rFonts w:hint="eastAsia"/>
          <w:color w:val="auto"/>
          <w:sz w:val="24"/>
          <w:lang w:eastAsia="zh-CN"/>
        </w:rPr>
        <w:t>自</w:t>
      </w:r>
      <w:r>
        <w:rPr>
          <w:rFonts w:hint="eastAsia"/>
          <w:color w:val="auto"/>
          <w:sz w:val="24"/>
        </w:rPr>
        <w:t>上游往下游逐渐减小，由于上游有临淮岗水利枢纽，进入本项目河道段的泥沙将大幅减少。</w:t>
      </w:r>
    </w:p>
    <w:p w14:paraId="3905410B">
      <w:pPr>
        <w:pStyle w:val="4"/>
        <w:numPr>
          <w:ilvl w:val="2"/>
          <w:numId w:val="0"/>
        </w:numPr>
        <w:rPr>
          <w:color w:val="auto"/>
        </w:rPr>
      </w:pPr>
      <w:r>
        <w:rPr>
          <w:rFonts w:hint="eastAsia"/>
          <w:color w:val="auto"/>
        </w:rPr>
        <w:t>4.1.3</w:t>
      </w:r>
      <w:r>
        <w:rPr>
          <w:color w:val="auto"/>
        </w:rPr>
        <w:t>气象气候</w:t>
      </w:r>
    </w:p>
    <w:p w14:paraId="37DAC131">
      <w:pPr>
        <w:spacing w:line="360" w:lineRule="auto"/>
        <w:ind w:firstLine="480" w:firstLineChars="200"/>
        <w:rPr>
          <w:color w:val="auto"/>
          <w:sz w:val="24"/>
        </w:rPr>
      </w:pPr>
      <w:r>
        <w:rPr>
          <w:color w:val="auto"/>
          <w:sz w:val="24"/>
        </w:rPr>
        <w:t>项目</w:t>
      </w:r>
      <w:r>
        <w:rPr>
          <w:rFonts w:hint="eastAsia"/>
          <w:color w:val="auto"/>
          <w:sz w:val="24"/>
          <w:lang w:eastAsia="zh-CN"/>
        </w:rPr>
        <w:t>所在</w:t>
      </w:r>
      <w:r>
        <w:rPr>
          <w:color w:val="auto"/>
          <w:sz w:val="24"/>
        </w:rPr>
        <w:t>区域属暖温带与亚热带气候的过渡区，属暖温带半湿润大陆性季风气候区，基本特征为：四季分明，春暖秋爽，夏炎冬寒，气候温和，光照充足，热量丰沛，无霜期长，季风显著，雨热同季。</w:t>
      </w:r>
    </w:p>
    <w:p w14:paraId="07872041">
      <w:pPr>
        <w:spacing w:line="360" w:lineRule="auto"/>
        <w:ind w:firstLine="480" w:firstLineChars="200"/>
        <w:rPr>
          <w:color w:val="auto"/>
          <w:sz w:val="24"/>
        </w:rPr>
      </w:pPr>
      <w:r>
        <w:rPr>
          <w:color w:val="auto"/>
          <w:sz w:val="24"/>
        </w:rPr>
        <w:t>（1）气温</w:t>
      </w:r>
    </w:p>
    <w:p w14:paraId="0F7ADAEF">
      <w:pPr>
        <w:spacing w:line="360" w:lineRule="auto"/>
        <w:ind w:firstLine="480" w:firstLineChars="200"/>
        <w:rPr>
          <w:color w:val="auto"/>
          <w:sz w:val="24"/>
        </w:rPr>
      </w:pPr>
      <w:r>
        <w:rPr>
          <w:color w:val="auto"/>
          <w:sz w:val="24"/>
        </w:rPr>
        <w:t>年均气温：15.7℃</w:t>
      </w:r>
    </w:p>
    <w:p w14:paraId="701596B6">
      <w:pPr>
        <w:spacing w:line="360" w:lineRule="auto"/>
        <w:ind w:firstLine="480" w:firstLineChars="200"/>
        <w:rPr>
          <w:color w:val="auto"/>
          <w:sz w:val="24"/>
        </w:rPr>
      </w:pPr>
      <w:r>
        <w:rPr>
          <w:color w:val="auto"/>
          <w:sz w:val="24"/>
        </w:rPr>
        <w:t>最高气温：40.6℃</w:t>
      </w:r>
    </w:p>
    <w:p w14:paraId="26E41089">
      <w:pPr>
        <w:spacing w:line="360" w:lineRule="auto"/>
        <w:ind w:firstLine="480" w:firstLineChars="200"/>
        <w:rPr>
          <w:color w:val="auto"/>
          <w:sz w:val="24"/>
        </w:rPr>
      </w:pPr>
      <w:r>
        <w:rPr>
          <w:color w:val="auto"/>
          <w:sz w:val="24"/>
        </w:rPr>
        <w:t>最低气温：-10.4℃</w:t>
      </w:r>
    </w:p>
    <w:p w14:paraId="044BD82C">
      <w:pPr>
        <w:spacing w:line="360" w:lineRule="auto"/>
        <w:ind w:firstLine="480" w:firstLineChars="200"/>
        <w:rPr>
          <w:color w:val="auto"/>
          <w:sz w:val="24"/>
        </w:rPr>
      </w:pPr>
      <w:r>
        <w:rPr>
          <w:color w:val="auto"/>
          <w:sz w:val="24"/>
        </w:rPr>
        <w:t>年平均最高气温：20.4℃</w:t>
      </w:r>
    </w:p>
    <w:p w14:paraId="41373643">
      <w:pPr>
        <w:spacing w:line="360" w:lineRule="auto"/>
        <w:ind w:firstLine="480" w:firstLineChars="200"/>
        <w:rPr>
          <w:color w:val="auto"/>
          <w:sz w:val="24"/>
        </w:rPr>
      </w:pPr>
      <w:r>
        <w:rPr>
          <w:color w:val="auto"/>
          <w:sz w:val="24"/>
        </w:rPr>
        <w:t>年平均最低气温：11.4℃</w:t>
      </w:r>
    </w:p>
    <w:p w14:paraId="67AD9A61">
      <w:pPr>
        <w:spacing w:line="360" w:lineRule="auto"/>
        <w:ind w:firstLine="480" w:firstLineChars="200"/>
        <w:rPr>
          <w:color w:val="auto"/>
          <w:sz w:val="24"/>
        </w:rPr>
      </w:pPr>
      <w:r>
        <w:rPr>
          <w:color w:val="auto"/>
          <w:sz w:val="24"/>
        </w:rPr>
        <w:t>1月</w:t>
      </w:r>
      <w:r>
        <w:rPr>
          <w:rFonts w:hint="eastAsia"/>
          <w:color w:val="auto"/>
          <w:sz w:val="24"/>
          <w:lang w:eastAsia="zh-CN"/>
        </w:rPr>
        <w:t>（</w:t>
      </w:r>
      <w:r>
        <w:rPr>
          <w:color w:val="auto"/>
          <w:sz w:val="24"/>
        </w:rPr>
        <w:t>最冷月)平均气温：6.3℃</w:t>
      </w:r>
    </w:p>
    <w:p w14:paraId="2645463C">
      <w:pPr>
        <w:spacing w:line="360" w:lineRule="auto"/>
        <w:ind w:firstLine="480" w:firstLineChars="200"/>
        <w:rPr>
          <w:color w:val="auto"/>
          <w:sz w:val="24"/>
        </w:rPr>
      </w:pPr>
      <w:r>
        <w:rPr>
          <w:color w:val="auto"/>
          <w:sz w:val="24"/>
        </w:rPr>
        <w:t>8月</w:t>
      </w:r>
      <w:r>
        <w:rPr>
          <w:rFonts w:hint="eastAsia"/>
          <w:color w:val="auto"/>
          <w:sz w:val="24"/>
          <w:lang w:eastAsia="zh-CN"/>
        </w:rPr>
        <w:t>（</w:t>
      </w:r>
      <w:r>
        <w:rPr>
          <w:color w:val="auto"/>
          <w:sz w:val="24"/>
        </w:rPr>
        <w:t>最热月)平均气温：32.5℃。</w:t>
      </w:r>
    </w:p>
    <w:p w14:paraId="5752478C">
      <w:pPr>
        <w:spacing w:line="360" w:lineRule="auto"/>
        <w:ind w:firstLine="480" w:firstLineChars="200"/>
        <w:rPr>
          <w:color w:val="auto"/>
          <w:sz w:val="24"/>
        </w:rPr>
      </w:pPr>
      <w:r>
        <w:rPr>
          <w:color w:val="auto"/>
          <w:sz w:val="24"/>
        </w:rPr>
        <w:t>（2）降水</w:t>
      </w:r>
    </w:p>
    <w:p w14:paraId="5C29133F">
      <w:pPr>
        <w:spacing w:line="360" w:lineRule="auto"/>
        <w:ind w:firstLine="480" w:firstLineChars="200"/>
        <w:rPr>
          <w:color w:val="auto"/>
          <w:sz w:val="24"/>
        </w:rPr>
      </w:pPr>
      <w:r>
        <w:rPr>
          <w:color w:val="auto"/>
          <w:sz w:val="24"/>
        </w:rPr>
        <w:t>年最大降雨量：1567.5mm</w:t>
      </w:r>
    </w:p>
    <w:p w14:paraId="726EB185">
      <w:pPr>
        <w:spacing w:line="360" w:lineRule="auto"/>
        <w:ind w:firstLine="480" w:firstLineChars="200"/>
        <w:rPr>
          <w:color w:val="auto"/>
          <w:sz w:val="24"/>
        </w:rPr>
      </w:pPr>
      <w:r>
        <w:rPr>
          <w:color w:val="auto"/>
          <w:sz w:val="24"/>
        </w:rPr>
        <w:t>年最小降雨量：471.0mm</w:t>
      </w:r>
    </w:p>
    <w:p w14:paraId="73E318BE">
      <w:pPr>
        <w:spacing w:line="360" w:lineRule="auto"/>
        <w:ind w:firstLine="480" w:firstLineChars="200"/>
        <w:rPr>
          <w:color w:val="auto"/>
          <w:sz w:val="24"/>
        </w:rPr>
      </w:pPr>
      <w:r>
        <w:rPr>
          <w:color w:val="auto"/>
          <w:sz w:val="24"/>
        </w:rPr>
        <w:t>年平均降雨量：945.1mm</w:t>
      </w:r>
    </w:p>
    <w:p w14:paraId="39B89261">
      <w:pPr>
        <w:spacing w:line="360" w:lineRule="auto"/>
        <w:ind w:firstLine="480" w:firstLineChars="200"/>
        <w:rPr>
          <w:color w:val="auto"/>
          <w:sz w:val="24"/>
        </w:rPr>
      </w:pPr>
      <w:r>
        <w:rPr>
          <w:color w:val="auto"/>
          <w:sz w:val="24"/>
        </w:rPr>
        <w:t>年最大日降雨量：218.7mm</w:t>
      </w:r>
    </w:p>
    <w:p w14:paraId="21DBA2AB">
      <w:pPr>
        <w:spacing w:line="360" w:lineRule="auto"/>
        <w:ind w:firstLine="480" w:firstLineChars="200"/>
        <w:rPr>
          <w:color w:val="auto"/>
          <w:sz w:val="24"/>
        </w:rPr>
      </w:pPr>
      <w:r>
        <w:rPr>
          <w:color w:val="auto"/>
          <w:sz w:val="24"/>
        </w:rPr>
        <w:t>年平均降雨日数：105.9天</w:t>
      </w:r>
    </w:p>
    <w:p w14:paraId="75819B33">
      <w:pPr>
        <w:spacing w:line="360" w:lineRule="auto"/>
        <w:ind w:firstLine="480" w:firstLineChars="200"/>
        <w:rPr>
          <w:color w:val="auto"/>
          <w:sz w:val="24"/>
        </w:rPr>
      </w:pPr>
      <w:r>
        <w:rPr>
          <w:color w:val="auto"/>
          <w:sz w:val="24"/>
        </w:rPr>
        <w:t>（3）蒸发</w:t>
      </w:r>
    </w:p>
    <w:p w14:paraId="403CD8E7">
      <w:pPr>
        <w:spacing w:line="360" w:lineRule="auto"/>
        <w:ind w:firstLine="480" w:firstLineChars="200"/>
        <w:rPr>
          <w:color w:val="auto"/>
          <w:sz w:val="24"/>
        </w:rPr>
      </w:pPr>
      <w:r>
        <w:rPr>
          <w:color w:val="auto"/>
          <w:sz w:val="24"/>
        </w:rPr>
        <w:t>年平均蒸发量：1600.3mm</w:t>
      </w:r>
    </w:p>
    <w:p w14:paraId="3D1D3FB2">
      <w:pPr>
        <w:spacing w:line="360" w:lineRule="auto"/>
        <w:ind w:firstLine="480" w:firstLineChars="200"/>
        <w:rPr>
          <w:color w:val="auto"/>
          <w:sz w:val="24"/>
        </w:rPr>
      </w:pPr>
      <w:r>
        <w:rPr>
          <w:color w:val="auto"/>
          <w:sz w:val="24"/>
        </w:rPr>
        <w:t xml:space="preserve">最大年蒸发量：2008.1mm </w:t>
      </w:r>
    </w:p>
    <w:p w14:paraId="492CE6DD">
      <w:pPr>
        <w:spacing w:line="360" w:lineRule="auto"/>
        <w:ind w:firstLine="480" w:firstLineChars="200"/>
        <w:rPr>
          <w:color w:val="auto"/>
          <w:sz w:val="24"/>
        </w:rPr>
      </w:pPr>
      <w:r>
        <w:rPr>
          <w:color w:val="auto"/>
          <w:sz w:val="24"/>
        </w:rPr>
        <w:t>年均雾日数：17.3天</w:t>
      </w:r>
    </w:p>
    <w:p w14:paraId="6C445FFA">
      <w:pPr>
        <w:spacing w:line="360" w:lineRule="auto"/>
        <w:ind w:firstLine="480" w:firstLineChars="200"/>
        <w:rPr>
          <w:color w:val="auto"/>
          <w:sz w:val="24"/>
        </w:rPr>
      </w:pPr>
      <w:r>
        <w:rPr>
          <w:color w:val="auto"/>
          <w:sz w:val="24"/>
        </w:rPr>
        <w:t>年均日照时数：2218.7时</w:t>
      </w:r>
    </w:p>
    <w:p w14:paraId="70703BE6">
      <w:pPr>
        <w:spacing w:line="360" w:lineRule="auto"/>
        <w:ind w:firstLine="480" w:firstLineChars="200"/>
        <w:rPr>
          <w:color w:val="auto"/>
          <w:sz w:val="24"/>
        </w:rPr>
      </w:pPr>
      <w:r>
        <w:rPr>
          <w:color w:val="auto"/>
          <w:sz w:val="24"/>
        </w:rPr>
        <w:t>年均日照率：51%</w:t>
      </w:r>
    </w:p>
    <w:p w14:paraId="3F07E848">
      <w:pPr>
        <w:spacing w:line="360" w:lineRule="auto"/>
        <w:ind w:firstLine="480" w:firstLineChars="200"/>
        <w:rPr>
          <w:color w:val="auto"/>
          <w:sz w:val="24"/>
        </w:rPr>
      </w:pPr>
      <w:r>
        <w:rPr>
          <w:color w:val="auto"/>
          <w:sz w:val="24"/>
        </w:rPr>
        <w:t>（4）湿度、气压</w:t>
      </w:r>
    </w:p>
    <w:p w14:paraId="20FC4AC7">
      <w:pPr>
        <w:spacing w:line="360" w:lineRule="auto"/>
        <w:ind w:firstLine="480" w:firstLineChars="200"/>
        <w:rPr>
          <w:color w:val="auto"/>
          <w:sz w:val="24"/>
        </w:rPr>
      </w:pPr>
      <w:r>
        <w:rPr>
          <w:color w:val="auto"/>
          <w:sz w:val="24"/>
        </w:rPr>
        <w:t>年平均相对湿度：72%</w:t>
      </w:r>
    </w:p>
    <w:p w14:paraId="16E3E0B8">
      <w:pPr>
        <w:spacing w:line="360" w:lineRule="auto"/>
        <w:ind w:firstLine="480" w:firstLineChars="200"/>
        <w:rPr>
          <w:color w:val="auto"/>
          <w:sz w:val="24"/>
        </w:rPr>
      </w:pPr>
      <w:r>
        <w:rPr>
          <w:color w:val="auto"/>
          <w:sz w:val="24"/>
        </w:rPr>
        <w:t>年最小相对湿度：2%</w:t>
      </w:r>
    </w:p>
    <w:p w14:paraId="5F258134">
      <w:pPr>
        <w:spacing w:line="360" w:lineRule="auto"/>
        <w:ind w:firstLine="480" w:firstLineChars="200"/>
        <w:rPr>
          <w:color w:val="auto"/>
          <w:sz w:val="24"/>
        </w:rPr>
      </w:pPr>
      <w:r>
        <w:rPr>
          <w:color w:val="auto"/>
          <w:sz w:val="24"/>
        </w:rPr>
        <w:t>年平均气压：10.13×10</w:t>
      </w:r>
      <w:r>
        <w:rPr>
          <w:color w:val="auto"/>
          <w:sz w:val="24"/>
          <w:vertAlign w:val="superscript"/>
        </w:rPr>
        <w:t>4</w:t>
      </w:r>
      <w:r>
        <w:rPr>
          <w:color w:val="auto"/>
          <w:sz w:val="24"/>
        </w:rPr>
        <w:t>Pa</w:t>
      </w:r>
    </w:p>
    <w:p w14:paraId="2092404C">
      <w:pPr>
        <w:spacing w:line="360" w:lineRule="auto"/>
        <w:ind w:firstLine="480" w:firstLineChars="200"/>
        <w:rPr>
          <w:color w:val="auto"/>
          <w:sz w:val="24"/>
        </w:rPr>
      </w:pPr>
      <w:r>
        <w:rPr>
          <w:color w:val="auto"/>
          <w:sz w:val="24"/>
        </w:rPr>
        <w:t>（5）风场</w:t>
      </w:r>
    </w:p>
    <w:p w14:paraId="71B9C4B8">
      <w:pPr>
        <w:spacing w:line="360" w:lineRule="auto"/>
        <w:ind w:firstLine="480" w:firstLineChars="200"/>
        <w:rPr>
          <w:color w:val="auto"/>
          <w:sz w:val="24"/>
        </w:rPr>
      </w:pPr>
      <w:r>
        <w:rPr>
          <w:color w:val="auto"/>
          <w:sz w:val="24"/>
        </w:rPr>
        <w:t>年均风速：1.7m/s年最大风速：19.0m/s全年主导风向：东</w:t>
      </w:r>
    </w:p>
    <w:p w14:paraId="2F521A90">
      <w:pPr>
        <w:spacing w:line="360" w:lineRule="auto"/>
        <w:ind w:firstLine="480" w:firstLineChars="200"/>
        <w:rPr>
          <w:color w:val="auto"/>
          <w:sz w:val="24"/>
        </w:rPr>
      </w:pPr>
      <w:r>
        <w:rPr>
          <w:color w:val="auto"/>
          <w:sz w:val="24"/>
        </w:rPr>
        <w:t>夏秋季主导风向：东</w:t>
      </w:r>
    </w:p>
    <w:p w14:paraId="36A46C03">
      <w:pPr>
        <w:spacing w:line="360" w:lineRule="auto"/>
        <w:ind w:firstLine="480" w:firstLineChars="200"/>
        <w:rPr>
          <w:color w:val="auto"/>
          <w:sz w:val="24"/>
        </w:rPr>
      </w:pPr>
      <w:r>
        <w:rPr>
          <w:color w:val="auto"/>
          <w:sz w:val="24"/>
        </w:rPr>
        <w:t>冬季主导风向：东北、北</w:t>
      </w:r>
    </w:p>
    <w:p w14:paraId="1CD3BC2E">
      <w:pPr>
        <w:spacing w:line="360" w:lineRule="auto"/>
        <w:ind w:firstLine="480" w:firstLineChars="200"/>
        <w:rPr>
          <w:color w:val="auto"/>
          <w:sz w:val="24"/>
        </w:rPr>
      </w:pPr>
      <w:r>
        <w:rPr>
          <w:color w:val="auto"/>
          <w:sz w:val="24"/>
        </w:rPr>
        <w:t>（6）气象灾害</w:t>
      </w:r>
    </w:p>
    <w:p w14:paraId="71934BCF">
      <w:pPr>
        <w:spacing w:line="360" w:lineRule="auto"/>
        <w:ind w:firstLine="480" w:firstLineChars="200"/>
        <w:rPr>
          <w:color w:val="auto"/>
          <w:sz w:val="24"/>
        </w:rPr>
      </w:pPr>
      <w:r>
        <w:rPr>
          <w:color w:val="auto"/>
          <w:sz w:val="24"/>
        </w:rPr>
        <w:t>年均雷暴日数：26.6天</w:t>
      </w:r>
    </w:p>
    <w:p w14:paraId="59FBE276">
      <w:pPr>
        <w:spacing w:line="360" w:lineRule="auto"/>
        <w:ind w:firstLine="480" w:firstLineChars="200"/>
        <w:rPr>
          <w:color w:val="auto"/>
          <w:sz w:val="24"/>
        </w:rPr>
      </w:pPr>
      <w:r>
        <w:rPr>
          <w:color w:val="auto"/>
          <w:sz w:val="24"/>
        </w:rPr>
        <w:t>历年最多雷暴日数：52天</w:t>
      </w:r>
    </w:p>
    <w:p w14:paraId="56DDF6DA">
      <w:pPr>
        <w:spacing w:line="360" w:lineRule="auto"/>
        <w:ind w:firstLine="480" w:firstLineChars="200"/>
        <w:rPr>
          <w:color w:val="auto"/>
          <w:sz w:val="24"/>
        </w:rPr>
      </w:pPr>
      <w:r>
        <w:rPr>
          <w:color w:val="auto"/>
          <w:sz w:val="24"/>
        </w:rPr>
        <w:t>历年最少雷暴日数：16天</w:t>
      </w:r>
    </w:p>
    <w:p w14:paraId="4AA02566">
      <w:pPr>
        <w:pStyle w:val="4"/>
        <w:numPr>
          <w:ilvl w:val="2"/>
          <w:numId w:val="0"/>
        </w:numPr>
        <w:rPr>
          <w:color w:val="auto"/>
        </w:rPr>
      </w:pPr>
      <w:r>
        <w:rPr>
          <w:rFonts w:hint="eastAsia"/>
          <w:color w:val="auto"/>
        </w:rPr>
        <w:t>4.1.4</w:t>
      </w:r>
      <w:r>
        <w:rPr>
          <w:color w:val="auto"/>
        </w:rPr>
        <w:t>河流水系</w:t>
      </w:r>
    </w:p>
    <w:p w14:paraId="699F0732">
      <w:pPr>
        <w:pStyle w:val="5"/>
        <w:numPr>
          <w:ilvl w:val="3"/>
          <w:numId w:val="0"/>
        </w:numPr>
        <w:rPr>
          <w:color w:val="auto"/>
        </w:rPr>
      </w:pPr>
      <w:r>
        <w:rPr>
          <w:rFonts w:hint="eastAsia"/>
          <w:color w:val="auto"/>
        </w:rPr>
        <w:t>4.1.4.1</w:t>
      </w:r>
      <w:r>
        <w:rPr>
          <w:color w:val="auto"/>
        </w:rPr>
        <w:t>地表水</w:t>
      </w:r>
    </w:p>
    <w:p w14:paraId="73A6130F">
      <w:pPr>
        <w:spacing w:line="360" w:lineRule="auto"/>
        <w:ind w:firstLine="480" w:firstLineChars="200"/>
        <w:rPr>
          <w:snapToGrid w:val="0"/>
          <w:color w:val="auto"/>
          <w:kern w:val="0"/>
          <w:sz w:val="24"/>
        </w:rPr>
      </w:pPr>
      <w:r>
        <w:rPr>
          <w:snapToGrid w:val="0"/>
          <w:color w:val="auto"/>
          <w:kern w:val="0"/>
          <w:sz w:val="24"/>
        </w:rPr>
        <w:t>淮南市位于淮河流域，最大的地表水为淮河。淮河发源于河南省桐柏山流经河南、安徽、江苏、山东四省，是我国五大水系之一，也是全市工农业生产与人民生活的主要水源。淮河在淮南境内长73km，河道宽一般400m左右，枯水期河道宽一般250～300m，丰水期河道宽一般400～800m，净水域面积21.5平方公里；年平均流量813m</w:t>
      </w:r>
      <w:r>
        <w:rPr>
          <w:snapToGrid w:val="0"/>
          <w:color w:val="auto"/>
          <w:kern w:val="0"/>
          <w:sz w:val="24"/>
          <w:vertAlign w:val="superscript"/>
        </w:rPr>
        <w:t>3</w:t>
      </w:r>
      <w:r>
        <w:rPr>
          <w:snapToGrid w:val="0"/>
          <w:color w:val="auto"/>
          <w:kern w:val="0"/>
          <w:sz w:val="24"/>
        </w:rPr>
        <w:t>/s，最大流量12700m</w:t>
      </w:r>
      <w:r>
        <w:rPr>
          <w:snapToGrid w:val="0"/>
          <w:color w:val="auto"/>
          <w:kern w:val="0"/>
          <w:sz w:val="24"/>
          <w:vertAlign w:val="superscript"/>
        </w:rPr>
        <w:t>3</w:t>
      </w:r>
      <w:r>
        <w:rPr>
          <w:snapToGrid w:val="0"/>
          <w:color w:val="auto"/>
          <w:kern w:val="0"/>
          <w:sz w:val="24"/>
        </w:rPr>
        <w:t>/s（1954年7月25日），最小流量0.5m</w:t>
      </w:r>
      <w:r>
        <w:rPr>
          <w:snapToGrid w:val="0"/>
          <w:color w:val="auto"/>
          <w:kern w:val="0"/>
          <w:sz w:val="24"/>
          <w:vertAlign w:val="superscript"/>
        </w:rPr>
        <w:t>3</w:t>
      </w:r>
      <w:r>
        <w:rPr>
          <w:snapToGrid w:val="0"/>
          <w:color w:val="auto"/>
          <w:kern w:val="0"/>
          <w:sz w:val="24"/>
        </w:rPr>
        <w:t>/s（1978年）；90%保证率，年平均流量300m</w:t>
      </w:r>
      <w:r>
        <w:rPr>
          <w:snapToGrid w:val="0"/>
          <w:color w:val="auto"/>
          <w:kern w:val="0"/>
          <w:sz w:val="24"/>
          <w:vertAlign w:val="superscript"/>
        </w:rPr>
        <w:t>3</w:t>
      </w:r>
      <w:r>
        <w:rPr>
          <w:snapToGrid w:val="0"/>
          <w:color w:val="auto"/>
          <w:kern w:val="0"/>
          <w:sz w:val="24"/>
        </w:rPr>
        <w:t>/s，多年最枯月平均流量20m</w:t>
      </w:r>
      <w:r>
        <w:rPr>
          <w:snapToGrid w:val="0"/>
          <w:color w:val="auto"/>
          <w:kern w:val="0"/>
          <w:sz w:val="24"/>
          <w:vertAlign w:val="superscript"/>
        </w:rPr>
        <w:t>3</w:t>
      </w:r>
      <w:r>
        <w:rPr>
          <w:snapToGrid w:val="0"/>
          <w:color w:val="auto"/>
          <w:kern w:val="0"/>
          <w:sz w:val="24"/>
        </w:rPr>
        <w:t>/s；年平均含砂量0.581kg/m</w:t>
      </w:r>
      <w:r>
        <w:rPr>
          <w:snapToGrid w:val="0"/>
          <w:color w:val="auto"/>
          <w:kern w:val="0"/>
          <w:sz w:val="24"/>
          <w:vertAlign w:val="superscript"/>
        </w:rPr>
        <w:t>3</w:t>
      </w:r>
      <w:r>
        <w:rPr>
          <w:snapToGrid w:val="0"/>
          <w:color w:val="auto"/>
          <w:kern w:val="0"/>
          <w:sz w:val="24"/>
        </w:rPr>
        <w:t>，最大含砂量17.2kg/m</w:t>
      </w:r>
      <w:r>
        <w:rPr>
          <w:snapToGrid w:val="0"/>
          <w:color w:val="auto"/>
          <w:kern w:val="0"/>
          <w:sz w:val="24"/>
          <w:vertAlign w:val="superscript"/>
        </w:rPr>
        <w:t>3</w:t>
      </w:r>
      <w:r>
        <w:rPr>
          <w:snapToGrid w:val="0"/>
          <w:color w:val="auto"/>
          <w:kern w:val="0"/>
          <w:sz w:val="24"/>
        </w:rPr>
        <w:t>，最小含砂量0.002kg/m</w:t>
      </w:r>
      <w:r>
        <w:rPr>
          <w:snapToGrid w:val="0"/>
          <w:color w:val="auto"/>
          <w:kern w:val="0"/>
          <w:sz w:val="24"/>
          <w:vertAlign w:val="superscript"/>
        </w:rPr>
        <w:t>3</w:t>
      </w:r>
      <w:r>
        <w:rPr>
          <w:snapToGrid w:val="0"/>
          <w:color w:val="auto"/>
          <w:kern w:val="0"/>
          <w:sz w:val="24"/>
        </w:rPr>
        <w:t>。</w:t>
      </w:r>
    </w:p>
    <w:p w14:paraId="16279CF3">
      <w:pPr>
        <w:spacing w:line="360" w:lineRule="auto"/>
        <w:ind w:firstLine="480" w:firstLineChars="200"/>
        <w:rPr>
          <w:snapToGrid w:val="0"/>
          <w:color w:val="auto"/>
          <w:kern w:val="0"/>
          <w:sz w:val="24"/>
        </w:rPr>
      </w:pPr>
      <w:r>
        <w:rPr>
          <w:snapToGrid w:val="0"/>
          <w:color w:val="auto"/>
          <w:kern w:val="0"/>
          <w:sz w:val="24"/>
        </w:rPr>
        <w:t>淮河又称洛河、新河，古称洛涧，是高塘湖水入淮河的通道。淮河全长104公里，流域面积1490km。高塘湖位于安徽省淮河以南淮河流域下游，通过淮河闸、淮河与淮河相通。高塘湖流域平面形状呈</w:t>
      </w:r>
      <w:r>
        <w:rPr>
          <w:rFonts w:hint="eastAsia"/>
          <w:snapToGrid w:val="0"/>
          <w:color w:val="auto"/>
          <w:kern w:val="0"/>
          <w:sz w:val="24"/>
          <w:lang w:eastAsia="zh-CN"/>
        </w:rPr>
        <w:t>扇形</w:t>
      </w:r>
      <w:r>
        <w:rPr>
          <w:snapToGrid w:val="0"/>
          <w:color w:val="auto"/>
          <w:kern w:val="0"/>
          <w:sz w:val="24"/>
        </w:rPr>
        <w:t>，东西向长约49km，南北向宽约46km。流域地势为四周高中间低，由边界向湖区倾斜。按地形划分，25m高程以上丘陵和低山区面积为1160km</w:t>
      </w:r>
      <w:r>
        <w:rPr>
          <w:snapToGrid w:val="0"/>
          <w:color w:val="auto"/>
          <w:kern w:val="0"/>
          <w:sz w:val="24"/>
          <w:vertAlign w:val="superscript"/>
        </w:rPr>
        <w:t>2</w:t>
      </w:r>
      <w:r>
        <w:rPr>
          <w:snapToGrid w:val="0"/>
          <w:color w:val="auto"/>
          <w:kern w:val="0"/>
          <w:sz w:val="24"/>
        </w:rPr>
        <w:t>，占流域总面积的77.4%；20～25m之间平原区面积为248km</w:t>
      </w:r>
      <w:r>
        <w:rPr>
          <w:snapToGrid w:val="0"/>
          <w:color w:val="auto"/>
          <w:kern w:val="0"/>
          <w:sz w:val="24"/>
          <w:vertAlign w:val="superscript"/>
        </w:rPr>
        <w:t>2</w:t>
      </w:r>
      <w:r>
        <w:rPr>
          <w:snapToGrid w:val="0"/>
          <w:color w:val="auto"/>
          <w:kern w:val="0"/>
          <w:sz w:val="24"/>
        </w:rPr>
        <w:t>，占16.5%；20m高程以下的面积为92km</w:t>
      </w:r>
      <w:r>
        <w:rPr>
          <w:snapToGrid w:val="0"/>
          <w:color w:val="auto"/>
          <w:kern w:val="0"/>
          <w:sz w:val="24"/>
          <w:vertAlign w:val="superscript"/>
        </w:rPr>
        <w:t>2</w:t>
      </w:r>
      <w:r>
        <w:rPr>
          <w:snapToGrid w:val="0"/>
          <w:color w:val="auto"/>
          <w:kern w:val="0"/>
          <w:sz w:val="24"/>
        </w:rPr>
        <w:t>，占6.1%，为高塘湖湖洼区。湖区20m高程以下没有村庄，干旱年份20m高程以下面积也可耕种，基本上可以保收。高塘湖正常蓄水位17.5m，为充分利用当地水资源，近几年基本控制正常蓄水位在18～18.5m之间。淮河闸以上流域总面积1500km</w:t>
      </w:r>
      <w:r>
        <w:rPr>
          <w:snapToGrid w:val="0"/>
          <w:color w:val="auto"/>
          <w:kern w:val="0"/>
          <w:sz w:val="24"/>
          <w:vertAlign w:val="superscript"/>
        </w:rPr>
        <w:t>2</w:t>
      </w:r>
      <w:r>
        <w:rPr>
          <w:snapToGrid w:val="0"/>
          <w:color w:val="auto"/>
          <w:kern w:val="0"/>
          <w:sz w:val="24"/>
        </w:rPr>
        <w:t>，水位17.5m时，湖水面积50km，容积8500万m</w:t>
      </w:r>
      <w:r>
        <w:rPr>
          <w:snapToGrid w:val="0"/>
          <w:color w:val="auto"/>
          <w:kern w:val="0"/>
          <w:sz w:val="24"/>
          <w:vertAlign w:val="superscript"/>
        </w:rPr>
        <w:t>3</w:t>
      </w:r>
      <w:r>
        <w:rPr>
          <w:snapToGrid w:val="0"/>
          <w:color w:val="auto"/>
          <w:kern w:val="0"/>
          <w:sz w:val="24"/>
        </w:rPr>
        <w:t>。</w:t>
      </w:r>
    </w:p>
    <w:p w14:paraId="1FC1FA48">
      <w:pPr>
        <w:spacing w:line="360" w:lineRule="auto"/>
        <w:ind w:firstLine="480" w:firstLineChars="200"/>
        <w:rPr>
          <w:color w:val="auto"/>
          <w:sz w:val="24"/>
        </w:rPr>
      </w:pPr>
      <w:r>
        <w:rPr>
          <w:color w:val="auto"/>
          <w:sz w:val="24"/>
        </w:rPr>
        <w:t>项目评价区域水系图详见图4.1-2。</w:t>
      </w:r>
    </w:p>
    <w:p w14:paraId="23855EF6">
      <w:pPr>
        <w:spacing w:line="360" w:lineRule="auto"/>
        <w:jc w:val="center"/>
        <w:rPr>
          <w:rFonts w:hint="eastAsia"/>
          <w:color w:val="auto"/>
        </w:rPr>
      </w:pPr>
      <w:r>
        <w:rPr>
          <w:color w:val="auto"/>
        </w:rPr>
        <mc:AlternateContent>
          <mc:Choice Requires="wps">
            <w:drawing>
              <wp:anchor distT="0" distB="0" distL="114300" distR="114300" simplePos="0" relativeHeight="251693056" behindDoc="0" locked="0" layoutInCell="1" allowOverlap="1">
                <wp:simplePos x="0" y="0"/>
                <wp:positionH relativeFrom="column">
                  <wp:posOffset>3595370</wp:posOffset>
                </wp:positionH>
                <wp:positionV relativeFrom="paragraph">
                  <wp:posOffset>4451350</wp:posOffset>
                </wp:positionV>
                <wp:extent cx="1102995" cy="377190"/>
                <wp:effectExtent l="0" t="0" r="0" b="0"/>
                <wp:wrapNone/>
                <wp:docPr id="50" name="文本框 162"/>
                <wp:cNvGraphicFramePr/>
                <a:graphic xmlns:a="http://schemas.openxmlformats.org/drawingml/2006/main">
                  <a:graphicData uri="http://schemas.microsoft.com/office/word/2010/wordprocessingShape">
                    <wps:wsp>
                      <wps:cNvSpPr txBox="1"/>
                      <wps:spPr>
                        <a:xfrm>
                          <a:off x="0" y="0"/>
                          <a:ext cx="1102995" cy="377190"/>
                        </a:xfrm>
                        <a:prstGeom prst="rect">
                          <a:avLst/>
                        </a:prstGeom>
                        <a:noFill/>
                        <a:ln>
                          <a:noFill/>
                        </a:ln>
                      </wps:spPr>
                      <wps:txbx>
                        <w:txbxContent>
                          <w:p w14:paraId="4D664C90">
                            <w:pPr>
                              <w:rPr>
                                <w:b/>
                                <w:bCs/>
                                <w:color w:val="FF0000"/>
                                <w:sz w:val="22"/>
                                <w:szCs w:val="22"/>
                              </w:rPr>
                            </w:pPr>
                            <w:r>
                              <w:rPr>
                                <w:rFonts w:hint="eastAsia"/>
                                <w:b/>
                                <w:bCs/>
                                <w:color w:val="FF0000"/>
                                <w:sz w:val="22"/>
                                <w:szCs w:val="22"/>
                              </w:rPr>
                              <w:t>项目所在地</w:t>
                            </w:r>
                          </w:p>
                        </w:txbxContent>
                      </wps:txbx>
                      <wps:bodyPr wrap="square" upright="1"/>
                    </wps:wsp>
                  </a:graphicData>
                </a:graphic>
              </wp:anchor>
            </w:drawing>
          </mc:Choice>
          <mc:Fallback>
            <w:pict>
              <v:shape id="文本框 162" o:spid="_x0000_s1026" o:spt="202" type="#_x0000_t202" style="position:absolute;left:0pt;margin-left:283.1pt;margin-top:350.5pt;height:29.7pt;width:86.85pt;z-index:251693056;mso-width-relative:page;mso-height-relative:page;" filled="f" stroked="f" coordsize="21600,21600" o:gfxdata="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arspbZAAAACwEAAA8AAAAAAAAAAQAgAAAAIgAAAGRycy9kb3ducmV2LnhtbFBLAQIU&#10;ABQAAAAIAIdO4kA7NezguQEAAF8DAAAOAAAAAAAAAAEAIAAAACgBAABkcnMvZTJvRG9jLnhtbFBL&#10;BQYAAAAABgAGAFkBAABTBQAAAAA=&#10;">
                <v:fill on="f" focussize="0,0"/>
                <v:stroke on="f"/>
                <v:imagedata o:title=""/>
                <o:lock v:ext="edit" aspectratio="f"/>
                <v:textbox>
                  <w:txbxContent>
                    <w:p w14:paraId="4D664C90">
                      <w:pPr>
                        <w:rPr>
                          <w:b/>
                          <w:bCs/>
                          <w:color w:val="FF0000"/>
                          <w:sz w:val="22"/>
                          <w:szCs w:val="22"/>
                        </w:rPr>
                      </w:pPr>
                      <w:r>
                        <w:rPr>
                          <w:rFonts w:hint="eastAsia"/>
                          <w:b/>
                          <w:bCs/>
                          <w:color w:val="FF0000"/>
                          <w:sz w:val="22"/>
                          <w:szCs w:val="22"/>
                        </w:rPr>
                        <w:t>项目所在地</w:t>
                      </w:r>
                    </w:p>
                  </w:txbxContent>
                </v:textbox>
              </v:shape>
            </w:pict>
          </mc:Fallback>
        </mc:AlternateContent>
      </w:r>
      <w:r>
        <w:rPr>
          <w:color w:val="auto"/>
        </w:rPr>
        <mc:AlternateContent>
          <mc:Choice Requires="wps">
            <w:drawing>
              <wp:anchor distT="0" distB="0" distL="114300" distR="114300" simplePos="0" relativeHeight="251692032" behindDoc="0" locked="0" layoutInCell="1" allowOverlap="1">
                <wp:simplePos x="0" y="0"/>
                <wp:positionH relativeFrom="column">
                  <wp:posOffset>3846830</wp:posOffset>
                </wp:positionH>
                <wp:positionV relativeFrom="paragraph">
                  <wp:posOffset>4820920</wp:posOffset>
                </wp:positionV>
                <wp:extent cx="129540" cy="36195"/>
                <wp:effectExtent l="13970" t="11430" r="8890" b="28575"/>
                <wp:wrapNone/>
                <wp:docPr id="49" name="自选图形 164"/>
                <wp:cNvGraphicFramePr/>
                <a:graphic xmlns:a="http://schemas.openxmlformats.org/drawingml/2006/main">
                  <a:graphicData uri="http://schemas.microsoft.com/office/word/2010/wordprocessingShape">
                    <wps:wsp>
                      <wps:cNvSpPr/>
                      <wps:spPr>
                        <a:xfrm rot="713319" flipV="1">
                          <a:off x="0" y="0"/>
                          <a:ext cx="129540" cy="36195"/>
                        </a:xfrm>
                        <a:custGeom>
                          <a:avLst/>
                          <a:gdLst>
                            <a:gd name="txL" fmla="*/ 4500 w 21600"/>
                            <a:gd name="txT" fmla="*/ 4500 h 21600"/>
                            <a:gd name="txR" fmla="*/ 17100 w 21600"/>
                            <a:gd name="txB" fmla="*/ 17100 h 21600"/>
                          </a:gdLst>
                          <a:ahLst/>
                          <a:cxnLst>
                            <a:cxn ang="0">
                              <a:pos x="18900" y="10800"/>
                            </a:cxn>
                            <a:cxn ang="90">
                              <a:pos x="10800" y="21600"/>
                            </a:cxn>
                            <a:cxn ang="180">
                              <a:pos x="2700" y="10800"/>
                            </a:cxn>
                            <a:cxn ang="270">
                              <a:pos x="10800" y="0"/>
                            </a:cxn>
                          </a:cxnLst>
                          <a:rect l="txL" t="txT" r="txR" b="txB"/>
                          <a:pathLst>
                            <a:path w="21600" h="21600">
                              <a:moveTo>
                                <a:pt x="0" y="0"/>
                              </a:moveTo>
                              <a:lnTo>
                                <a:pt x="5400" y="21600"/>
                              </a:lnTo>
                              <a:lnTo>
                                <a:pt x="16200" y="21600"/>
                              </a:lnTo>
                              <a:lnTo>
                                <a:pt x="21600" y="0"/>
                              </a:lnTo>
                              <a:close/>
                            </a:path>
                          </a:pathLst>
                        </a:custGeom>
                        <a:solidFill>
                          <a:srgbClr val="FF0000"/>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shape id="自选图形 164" o:spid="_x0000_s1026" o:spt="100" style="position:absolute;left:0pt;flip:y;margin-left:302.9pt;margin-top:379.6pt;height:2.85pt;width:10.2pt;rotation:-779135f;z-index:251692032;mso-width-relative:page;mso-height-relative:page;" fillcolor="#FF0000" filled="t" stroked="t" coordsize="21600,21600" o:gfxdata="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D4Det7c&#10;AAAACwEAAA8AAAAAAAAAAQAgAAAAIgAAAGRycy9kb3ducmV2LnhtbFBLAQIUABQAAAAIAIdO4kAg&#10;tFHmAAMAAPgGAAAOAAAAAAAAAAEAIAAAACsBAABkcnMvZTJvRG9jLnhtbFBLBQYAAAAABgAGAFkB&#10;AACdBgAAAAA=&#10;" path="m0,0l5400,21600,16200,21600,21600,0xe">
                <v:path o:connectlocs="18900,10800;10800,21600;2700,10800;10800,0" o:connectangles="0,0,0,0"/>
                <v:fill on="t" focussize="0,0"/>
                <v:stroke color="#000000" joinstyle="miter"/>
                <v:imagedata o:title=""/>
                <o:lock v:ext="edit" aspectratio="f"/>
              </v:shape>
            </w:pict>
          </mc:Fallback>
        </mc:AlternateContent>
      </w:r>
      <w:r>
        <w:rPr>
          <w:color w:val="auto"/>
          <w:sz w:val="21"/>
        </w:rPr>
        <mc:AlternateContent>
          <mc:Choice Requires="wps">
            <w:drawing>
              <wp:anchor distT="0" distB="0" distL="114300" distR="114300" simplePos="0" relativeHeight="251722752" behindDoc="0" locked="0" layoutInCell="1" allowOverlap="1">
                <wp:simplePos x="0" y="0"/>
                <wp:positionH relativeFrom="column">
                  <wp:posOffset>2647950</wp:posOffset>
                </wp:positionH>
                <wp:positionV relativeFrom="paragraph">
                  <wp:posOffset>4272915</wp:posOffset>
                </wp:positionV>
                <wp:extent cx="373380" cy="176530"/>
                <wp:effectExtent l="1905" t="4445" r="5715" b="9525"/>
                <wp:wrapNone/>
                <wp:docPr id="115" name="直线 251"/>
                <wp:cNvGraphicFramePr/>
                <a:graphic xmlns:a="http://schemas.openxmlformats.org/drawingml/2006/main">
                  <a:graphicData uri="http://schemas.microsoft.com/office/word/2010/wordprocessingShape">
                    <wps:wsp>
                      <wps:cNvCnPr/>
                      <wps:spPr>
                        <a:xfrm>
                          <a:off x="0" y="0"/>
                          <a:ext cx="373380" cy="176530"/>
                        </a:xfrm>
                        <a:prstGeom prst="line">
                          <a:avLst/>
                        </a:prstGeom>
                        <a:ln w="9525" cap="flat" cmpd="sng">
                          <a:solidFill>
                            <a:srgbClr val="7030A0"/>
                          </a:solidFill>
                          <a:prstDash val="solid"/>
                          <a:headEnd type="none" w="med" len="med"/>
                          <a:tailEnd type="arrow" w="med" len="med"/>
                        </a:ln>
                      </wps:spPr>
                      <wps:bodyPr upright="1"/>
                    </wps:wsp>
                  </a:graphicData>
                </a:graphic>
              </wp:anchor>
            </w:drawing>
          </mc:Choice>
          <mc:Fallback>
            <w:pict>
              <v:line id="直线 251" o:spid="_x0000_s1026" o:spt="20" style="position:absolute;left:0pt;margin-left:208.5pt;margin-top:336.45pt;height:13.9pt;width:29.4pt;z-index:251722752;mso-width-relative:page;mso-height-relative:page;" filled="f" stroked="t" coordsize="21600,21600" o:gfxdata="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dhn9+2wAAAAsBAAAPAAAAAAAAAAEAIAAAACIAAABkcnMvZG93bnJldi54&#10;bWxQSwECFAAUAAAACACHTuJArDk27PcBAADkAwAADgAAAAAAAAABACAAAAAqAQAAZHJzL2Uyb0Rv&#10;Yy54bWxQSwUGAAAAAAYABgBZAQAAkwUAAAAA&#10;">
                <v:fill on="f" focussize="0,0"/>
                <v:stroke color="#7030A0" joinstyle="round" endarrow="open"/>
                <v:imagedata o:title=""/>
                <o:lock v:ext="edit" aspectratio="f"/>
              </v:line>
            </w:pict>
          </mc:Fallback>
        </mc:AlternateContent>
      </w:r>
      <w:r>
        <w:rPr>
          <w:color w:val="auto"/>
          <w:sz w:val="21"/>
        </w:rPr>
        <mc:AlternateContent>
          <mc:Choice Requires="wps">
            <w:drawing>
              <wp:anchor distT="0" distB="0" distL="114300" distR="114300" simplePos="0" relativeHeight="251723776" behindDoc="0" locked="0" layoutInCell="1" allowOverlap="1">
                <wp:simplePos x="0" y="0"/>
                <wp:positionH relativeFrom="column">
                  <wp:posOffset>3116580</wp:posOffset>
                </wp:positionH>
                <wp:positionV relativeFrom="paragraph">
                  <wp:posOffset>4442460</wp:posOffset>
                </wp:positionV>
                <wp:extent cx="309880" cy="182245"/>
                <wp:effectExtent l="2540" t="3810" r="11430" b="4445"/>
                <wp:wrapNone/>
                <wp:docPr id="116" name="直线 252"/>
                <wp:cNvGraphicFramePr/>
                <a:graphic xmlns:a="http://schemas.openxmlformats.org/drawingml/2006/main">
                  <a:graphicData uri="http://schemas.microsoft.com/office/word/2010/wordprocessingShape">
                    <wps:wsp>
                      <wps:cNvCnPr/>
                      <wps:spPr>
                        <a:xfrm>
                          <a:off x="0" y="0"/>
                          <a:ext cx="309880" cy="182245"/>
                        </a:xfrm>
                        <a:prstGeom prst="line">
                          <a:avLst/>
                        </a:prstGeom>
                        <a:ln w="9525" cap="flat" cmpd="sng">
                          <a:solidFill>
                            <a:srgbClr val="7030A0"/>
                          </a:solidFill>
                          <a:prstDash val="solid"/>
                          <a:headEnd type="none" w="med" len="med"/>
                          <a:tailEnd type="arrow" w="med" len="med"/>
                        </a:ln>
                      </wps:spPr>
                      <wps:bodyPr upright="1"/>
                    </wps:wsp>
                  </a:graphicData>
                </a:graphic>
              </wp:anchor>
            </w:drawing>
          </mc:Choice>
          <mc:Fallback>
            <w:pict>
              <v:line id="直线 252" o:spid="_x0000_s1026" o:spt="20" style="position:absolute;left:0pt;margin-left:245.4pt;margin-top:349.8pt;height:14.35pt;width:24.4pt;z-index:251723776;mso-width-relative:page;mso-height-relative:page;" filled="f" stroked="t" coordsize="21600,21600" o:gfxdata="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mpAizbAAAACwEAAA8AAAAAAAAAAQAgAAAAIgAAAGRycy9kb3ducmV2&#10;LnhtbFBLAQIUABQAAAAIAIdO4kDWMxAh+QEAAOQDAAAOAAAAAAAAAAEAIAAAACoBAABkcnMvZTJv&#10;RG9jLnhtbFBLBQYAAAAABgAGAFkBAACVBQAAAAA=&#10;">
                <v:fill on="f" focussize="0,0"/>
                <v:stroke color="#7030A0" joinstyle="round" endarrow="open"/>
                <v:imagedata o:title=""/>
                <o:lock v:ext="edit" aspectratio="f"/>
              </v:line>
            </w:pict>
          </mc:Fallback>
        </mc:AlternateContent>
      </w:r>
      <w:r>
        <w:rPr>
          <w:color w:val="auto"/>
          <w:sz w:val="21"/>
        </w:rPr>
        <mc:AlternateContent>
          <mc:Choice Requires="wps">
            <w:drawing>
              <wp:anchor distT="0" distB="0" distL="114300" distR="114300" simplePos="0" relativeHeight="251724800" behindDoc="0" locked="0" layoutInCell="1" allowOverlap="1">
                <wp:simplePos x="0" y="0"/>
                <wp:positionH relativeFrom="column">
                  <wp:posOffset>3447415</wp:posOffset>
                </wp:positionH>
                <wp:positionV relativeFrom="paragraph">
                  <wp:posOffset>4711065</wp:posOffset>
                </wp:positionV>
                <wp:extent cx="450850" cy="71120"/>
                <wp:effectExtent l="635" t="4445" r="5715" b="38735"/>
                <wp:wrapNone/>
                <wp:docPr id="117" name="直线 253"/>
                <wp:cNvGraphicFramePr/>
                <a:graphic xmlns:a="http://schemas.openxmlformats.org/drawingml/2006/main">
                  <a:graphicData uri="http://schemas.microsoft.com/office/word/2010/wordprocessingShape">
                    <wps:wsp>
                      <wps:cNvCnPr/>
                      <wps:spPr>
                        <a:xfrm>
                          <a:off x="0" y="0"/>
                          <a:ext cx="450850" cy="71120"/>
                        </a:xfrm>
                        <a:prstGeom prst="line">
                          <a:avLst/>
                        </a:prstGeom>
                        <a:ln w="9525" cap="flat" cmpd="sng">
                          <a:solidFill>
                            <a:srgbClr val="7030A0"/>
                          </a:solidFill>
                          <a:prstDash val="solid"/>
                          <a:headEnd type="none" w="med" len="med"/>
                          <a:tailEnd type="arrow" w="med" len="med"/>
                        </a:ln>
                      </wps:spPr>
                      <wps:bodyPr upright="1"/>
                    </wps:wsp>
                  </a:graphicData>
                </a:graphic>
              </wp:anchor>
            </w:drawing>
          </mc:Choice>
          <mc:Fallback>
            <w:pict>
              <v:line id="直线 253" o:spid="_x0000_s1026" o:spt="20" style="position:absolute;left:0pt;margin-left:271.45pt;margin-top:370.95pt;height:5.6pt;width:35.5pt;z-index:251724800;mso-width-relative:page;mso-height-relative:page;" filled="f" stroked="t" coordsize="21600,21600" o:gfxdata="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mTikNoAAAALAQAADwAAAAAAAAABACAAAAAiAAAAZHJzL2Rvd25yZXYueG1s&#10;UEsBAhQAFAAAAAgAh07iQKLwTQP2AQAA4wMAAA4AAAAAAAAAAQAgAAAAKQEAAGRycy9lMm9Eb2Mu&#10;eG1sUEsFBgAAAAAGAAYAWQEAAJEFAAAAAA==&#10;">
                <v:fill on="f" focussize="0,0"/>
                <v:stroke color="#7030A0" joinstyle="round" endarrow="open"/>
                <v:imagedata o:title=""/>
                <o:lock v:ext="edit" aspectratio="f"/>
              </v:line>
            </w:pict>
          </mc:Fallback>
        </mc:AlternateContent>
      </w:r>
      <w:r>
        <w:rPr>
          <w:color w:val="auto"/>
          <w:sz w:val="21"/>
        </w:rPr>
        <mc:AlternateContent>
          <mc:Choice Requires="wps">
            <w:drawing>
              <wp:anchor distT="0" distB="0" distL="114300" distR="114300" simplePos="0" relativeHeight="251725824" behindDoc="0" locked="0" layoutInCell="1" allowOverlap="1">
                <wp:simplePos x="0" y="0"/>
                <wp:positionH relativeFrom="column">
                  <wp:posOffset>3912870</wp:posOffset>
                </wp:positionH>
                <wp:positionV relativeFrom="paragraph">
                  <wp:posOffset>4777740</wp:posOffset>
                </wp:positionV>
                <wp:extent cx="415290" cy="55245"/>
                <wp:effectExtent l="635" t="37465" r="3175" b="21590"/>
                <wp:wrapNone/>
                <wp:docPr id="118" name="直线 256"/>
                <wp:cNvGraphicFramePr/>
                <a:graphic xmlns:a="http://schemas.openxmlformats.org/drawingml/2006/main">
                  <a:graphicData uri="http://schemas.microsoft.com/office/word/2010/wordprocessingShape">
                    <wps:wsp>
                      <wps:cNvCnPr/>
                      <wps:spPr>
                        <a:xfrm flipV="1">
                          <a:off x="0" y="0"/>
                          <a:ext cx="415290" cy="55245"/>
                        </a:xfrm>
                        <a:prstGeom prst="line">
                          <a:avLst/>
                        </a:prstGeom>
                        <a:ln w="9525" cap="flat" cmpd="sng">
                          <a:solidFill>
                            <a:srgbClr val="7030A0"/>
                          </a:solidFill>
                          <a:prstDash val="solid"/>
                          <a:headEnd type="none" w="med" len="med"/>
                          <a:tailEnd type="arrow" w="med" len="med"/>
                        </a:ln>
                      </wps:spPr>
                      <wps:bodyPr upright="1"/>
                    </wps:wsp>
                  </a:graphicData>
                </a:graphic>
              </wp:anchor>
            </w:drawing>
          </mc:Choice>
          <mc:Fallback>
            <w:pict>
              <v:line id="直线 256" o:spid="_x0000_s1026" o:spt="20" style="position:absolute;left:0pt;flip:y;margin-left:308.1pt;margin-top:376.2pt;height:4.35pt;width:32.7pt;z-index:251725824;mso-width-relative:page;mso-height-relative:page;" filled="f" stroked="t" coordsize="21600,21600" o:gfxdata="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EzC69cAAAALAQAADwAAAAAAAAABACAAAAAiAAAAZHJzL2Rvd25y&#10;ZXYueG1sUEsBAhQAFAAAAAgAh07iQCNjJJH/AQAA7QMAAA4AAAAAAAAAAQAgAAAAJgEAAGRycy9l&#10;Mm9Eb2MueG1sUEsFBgAAAAAGAAYAWQEAAJcFAAAAAA==&#10;">
                <v:fill on="f" focussize="0,0"/>
                <v:stroke color="#7030A0" joinstyle="round" endarrow="open"/>
                <v:imagedata o:title=""/>
                <o:lock v:ext="edit" aspectratio="f"/>
              </v:line>
            </w:pict>
          </mc:Fallback>
        </mc:AlternateContent>
      </w:r>
      <w:r>
        <w:rPr>
          <w:color w:val="auto"/>
          <w:sz w:val="21"/>
        </w:rPr>
        <mc:AlternateContent>
          <mc:Choice Requires="wps">
            <w:drawing>
              <wp:anchor distT="0" distB="0" distL="114300" distR="114300" simplePos="0" relativeHeight="251726848" behindDoc="0" locked="0" layoutInCell="1" allowOverlap="1">
                <wp:simplePos x="0" y="0"/>
                <wp:positionH relativeFrom="column">
                  <wp:posOffset>3866515</wp:posOffset>
                </wp:positionH>
                <wp:positionV relativeFrom="paragraph">
                  <wp:posOffset>4939665</wp:posOffset>
                </wp:positionV>
                <wp:extent cx="337820" cy="400685"/>
                <wp:effectExtent l="3810" t="0" r="1270" b="18415"/>
                <wp:wrapNone/>
                <wp:docPr id="119" name="直线 257"/>
                <wp:cNvGraphicFramePr/>
                <a:graphic xmlns:a="http://schemas.openxmlformats.org/drawingml/2006/main">
                  <a:graphicData uri="http://schemas.microsoft.com/office/word/2010/wordprocessingShape">
                    <wps:wsp>
                      <wps:cNvCnPr/>
                      <wps:spPr>
                        <a:xfrm flipV="1">
                          <a:off x="0" y="0"/>
                          <a:ext cx="337820" cy="400685"/>
                        </a:xfrm>
                        <a:prstGeom prst="line">
                          <a:avLst/>
                        </a:prstGeom>
                        <a:ln w="9525" cap="flat" cmpd="sng">
                          <a:solidFill>
                            <a:srgbClr val="7030A0"/>
                          </a:solidFill>
                          <a:prstDash val="solid"/>
                          <a:headEnd type="none" w="med" len="med"/>
                          <a:tailEnd type="arrow" w="med" len="med"/>
                        </a:ln>
                      </wps:spPr>
                      <wps:bodyPr upright="1"/>
                    </wps:wsp>
                  </a:graphicData>
                </a:graphic>
              </wp:anchor>
            </w:drawing>
          </mc:Choice>
          <mc:Fallback>
            <w:pict>
              <v:line id="直线 257" o:spid="_x0000_s1026" o:spt="20" style="position:absolute;left:0pt;flip:y;margin-left:304.45pt;margin-top:388.95pt;height:31.55pt;width:26.6pt;z-index:251726848;mso-width-relative:page;mso-height-relative:page;" filled="f" stroked="t" coordsize="21600,21600" o:gfxdata="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GGzJ2QAAAAsBAAAPAAAAAAAAAAEAIAAAACIAAABkcnMvZG93&#10;bnJldi54bWxQSwECFAAUAAAACACHTuJAZ+a2rf8BAADuAwAADgAAAAAAAAABACAAAAAoAQAAZHJz&#10;L2Uyb0RvYy54bWxQSwUGAAAAAAYABgBZAQAAmQUAAAAA&#10;">
                <v:fill on="f" focussize="0,0"/>
                <v:stroke color="#7030A0" joinstyle="round" endarrow="open"/>
                <v:imagedata o:title=""/>
                <o:lock v:ext="edit" aspectratio="f"/>
              </v:line>
            </w:pict>
          </mc:Fallback>
        </mc:AlternateContent>
      </w:r>
      <w:r>
        <w:rPr>
          <w:color w:val="auto"/>
        </w:rPr>
        <mc:AlternateContent>
          <mc:Choice Requires="wps">
            <w:drawing>
              <wp:anchor distT="0" distB="0" distL="114300" distR="114300" simplePos="0" relativeHeight="251689984" behindDoc="0" locked="0" layoutInCell="1" allowOverlap="1">
                <wp:simplePos x="0" y="0"/>
                <wp:positionH relativeFrom="column">
                  <wp:posOffset>3202940</wp:posOffset>
                </wp:positionH>
                <wp:positionV relativeFrom="paragraph">
                  <wp:posOffset>3019425</wp:posOffset>
                </wp:positionV>
                <wp:extent cx="320040" cy="427990"/>
                <wp:effectExtent l="0" t="2540" r="3810" b="7620"/>
                <wp:wrapNone/>
                <wp:docPr id="47" name="自选图形 163"/>
                <wp:cNvGraphicFramePr/>
                <a:graphic xmlns:a="http://schemas.openxmlformats.org/drawingml/2006/main">
                  <a:graphicData uri="http://schemas.microsoft.com/office/word/2010/wordprocessingShape">
                    <wps:wsp>
                      <wps:cNvCnPr/>
                      <wps:spPr>
                        <a:xfrm flipH="1">
                          <a:off x="0" y="0"/>
                          <a:ext cx="320040" cy="42799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自选图形 163" o:spid="_x0000_s1026" o:spt="32" type="#_x0000_t32" style="position:absolute;left:0pt;flip:x;margin-left:252.2pt;margin-top:237.75pt;height:33.7pt;width:25.2pt;z-index:251689984;mso-width-relative:page;mso-height-relative:page;" filled="f" stroked="t" coordsize="21600,21600" o:gfxdata="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ogZPTaAAAACwEAAA8AAAAAAAAAAQAg&#10;AAAAIgAAAGRycy9kb3ducmV2LnhtbFBLAQIUABQAAAAIAIdO4kDzHw+VDAIAAPgDAAAOAAAAAAAA&#10;AAEAIAAAACkBAABkcnMvZTJvRG9jLnhtbFBLBQYAAAAABgAGAFkBAACnBQAAAAA=&#10;">
                <v:fill on="f" focussize="0,0"/>
                <v:stroke color="#000000" joinstyle="round" endarrow="block"/>
                <v:imagedata o:title=""/>
                <o:lock v:ext="edit" aspectratio="f"/>
              </v:shape>
            </w:pict>
          </mc:Fallback>
        </mc:AlternateContent>
      </w:r>
      <w:r>
        <w:rPr>
          <w:color w:val="auto"/>
        </w:rPr>
        <w:drawing>
          <wp:anchor distT="0" distB="0" distL="114300" distR="114300" simplePos="0" relativeHeight="251691008" behindDoc="0" locked="0" layoutInCell="1" allowOverlap="1">
            <wp:simplePos x="0" y="0"/>
            <wp:positionH relativeFrom="column">
              <wp:posOffset>415925</wp:posOffset>
            </wp:positionH>
            <wp:positionV relativeFrom="paragraph">
              <wp:posOffset>3470275</wp:posOffset>
            </wp:positionV>
            <wp:extent cx="5043170" cy="3235325"/>
            <wp:effectExtent l="19050" t="19050" r="24130" b="22225"/>
            <wp:wrapNone/>
            <wp:docPr id="48" name="图片 1" descr="C:/Users/dell/Desktop/1723722599308.jpg1723722599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 descr="C:/Users/dell/Desktop/1723722599308.jpg1723722599308"/>
                    <pic:cNvPicPr>
                      <a:picLocks noChangeAspect="1"/>
                    </pic:cNvPicPr>
                  </pic:nvPicPr>
                  <pic:blipFill>
                    <a:blip r:embed="rId76"/>
                    <a:srcRect t="2418" b="2418"/>
                    <a:stretch>
                      <a:fillRect/>
                    </a:stretch>
                  </pic:blipFill>
                  <pic:spPr>
                    <a:xfrm>
                      <a:off x="0" y="0"/>
                      <a:ext cx="5043170" cy="3235325"/>
                    </a:xfrm>
                    <a:prstGeom prst="rect">
                      <a:avLst/>
                    </a:prstGeom>
                    <a:noFill/>
                    <a:ln w="19050" cap="flat" cmpd="sng">
                      <a:solidFill>
                        <a:schemeClr val="accent3"/>
                      </a:solidFill>
                      <a:prstDash val="solid"/>
                      <a:miter/>
                      <a:headEnd type="none" w="med" len="med"/>
                      <a:tailEnd type="none" w="med" len="med"/>
                    </a:ln>
                  </pic:spPr>
                </pic:pic>
              </a:graphicData>
            </a:graphic>
          </wp:anchor>
        </w:drawing>
      </w:r>
      <w:r>
        <w:rPr>
          <w:color w:val="auto"/>
        </w:rPr>
        <mc:AlternateContent>
          <mc:Choice Requires="wps">
            <w:drawing>
              <wp:anchor distT="0" distB="0" distL="114300" distR="114300" simplePos="0" relativeHeight="251688960" behindDoc="0" locked="0" layoutInCell="1" allowOverlap="1">
                <wp:simplePos x="0" y="0"/>
                <wp:positionH relativeFrom="column">
                  <wp:posOffset>3515360</wp:posOffset>
                </wp:positionH>
                <wp:positionV relativeFrom="paragraph">
                  <wp:posOffset>2947670</wp:posOffset>
                </wp:positionV>
                <wp:extent cx="71755" cy="71755"/>
                <wp:effectExtent l="4445" t="4445" r="19050" b="19050"/>
                <wp:wrapNone/>
                <wp:docPr id="46" name="自选图形 166"/>
                <wp:cNvGraphicFramePr/>
                <a:graphic xmlns:a="http://schemas.openxmlformats.org/drawingml/2006/main">
                  <a:graphicData uri="http://schemas.microsoft.com/office/word/2010/wordprocessingShape">
                    <wps:wsp>
                      <wps:cNvSpPr/>
                      <wps:spPr>
                        <a:xfrm>
                          <a:off x="0" y="0"/>
                          <a:ext cx="71755" cy="71755"/>
                        </a:xfrm>
                        <a:prstGeom prst="flowChartConnector">
                          <a:avLst/>
                        </a:prstGeom>
                        <a:solidFill>
                          <a:srgbClr val="FF0000"/>
                        </a:solidFill>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166" o:spid="_x0000_s1026" o:spt="120" type="#_x0000_t120" style="position:absolute;left:0pt;margin-left:276.8pt;margin-top:232.1pt;height:5.65pt;width:5.65pt;z-index:251688960;mso-width-relative:page;mso-height-relative:page;" fillcolor="#FF0000" filled="t" stroked="t" coordsize="21600,21600" o:gfxdata="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Mu18NoAAAALAQAADwAA&#10;AAAAAAABACAAAAAiAAAAZHJzL2Rvd25yZXYueG1sUEsBAhQAFAAAAAgAh07iQOR4OoEUAgAANgQA&#10;AA4AAAAAAAAAAQAgAAAAKQEAAGRycy9lMm9Eb2MueG1sUEsFBgAAAAAGAAYAWQEAAK8FAAAAAA==&#10;">
                <v:fill on="t" focussize="0,0"/>
                <v:stroke color="#000000" joinstyle="round"/>
                <v:imagedata o:title=""/>
                <o:lock v:ext="edit" aspectratio="f"/>
              </v:shape>
            </w:pict>
          </mc:Fallback>
        </mc:AlternateContent>
      </w:r>
      <w:r>
        <w:rPr>
          <w:color w:val="auto"/>
        </w:rPr>
        <w:drawing>
          <wp:inline distT="0" distB="0" distL="114300" distR="114300">
            <wp:extent cx="5718175" cy="8192770"/>
            <wp:effectExtent l="0" t="0" r="15875" b="17780"/>
            <wp:docPr id="153" name="图片 246" descr="C:/Users/dell/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246" descr="C:/Users/dell/Desktop/图片1.png图片1"/>
                    <pic:cNvPicPr>
                      <a:picLocks noChangeAspect="1"/>
                    </pic:cNvPicPr>
                  </pic:nvPicPr>
                  <pic:blipFill>
                    <a:blip r:embed="rId77"/>
                    <a:srcRect l="686" r="686"/>
                    <a:stretch>
                      <a:fillRect/>
                    </a:stretch>
                  </pic:blipFill>
                  <pic:spPr>
                    <a:xfrm>
                      <a:off x="0" y="0"/>
                      <a:ext cx="5718175" cy="8192770"/>
                    </a:xfrm>
                    <a:prstGeom prst="rect">
                      <a:avLst/>
                    </a:prstGeom>
                    <a:noFill/>
                    <a:ln>
                      <a:noFill/>
                    </a:ln>
                  </pic:spPr>
                </pic:pic>
              </a:graphicData>
            </a:graphic>
          </wp:inline>
        </w:drawing>
      </w:r>
    </w:p>
    <w:p w14:paraId="703700E1">
      <w:pPr>
        <w:spacing w:line="400" w:lineRule="exact"/>
        <w:jc w:val="center"/>
        <w:rPr>
          <w:rFonts w:eastAsia="黑体"/>
          <w:color w:val="auto"/>
          <w:sz w:val="24"/>
        </w:rPr>
      </w:pPr>
      <w:r>
        <w:rPr>
          <w:rFonts w:eastAsia="黑体"/>
          <w:color w:val="auto"/>
          <w:sz w:val="24"/>
        </w:rPr>
        <w:t xml:space="preserve">图4.1-2  </w:t>
      </w:r>
      <w:r>
        <w:rPr>
          <w:rFonts w:hint="eastAsia" w:eastAsia="黑体"/>
          <w:color w:val="auto"/>
          <w:sz w:val="24"/>
          <w:lang w:val="en-US" w:eastAsia="zh-CN"/>
        </w:rPr>
        <w:t>本</w:t>
      </w:r>
      <w:r>
        <w:rPr>
          <w:rFonts w:eastAsia="黑体"/>
          <w:color w:val="auto"/>
          <w:sz w:val="24"/>
        </w:rPr>
        <w:t>项目水系图</w:t>
      </w:r>
    </w:p>
    <w:p w14:paraId="46800C2E">
      <w:pPr>
        <w:pStyle w:val="5"/>
        <w:numPr>
          <w:ilvl w:val="3"/>
          <w:numId w:val="0"/>
        </w:numPr>
        <w:rPr>
          <w:color w:val="auto"/>
        </w:rPr>
      </w:pPr>
      <w:r>
        <w:rPr>
          <w:rFonts w:hint="eastAsia"/>
          <w:color w:val="auto"/>
        </w:rPr>
        <w:t>4.1.4.2</w:t>
      </w:r>
      <w:r>
        <w:rPr>
          <w:color w:val="auto"/>
        </w:rPr>
        <w:t>地下水</w:t>
      </w:r>
    </w:p>
    <w:p w14:paraId="5EADFF69">
      <w:pPr>
        <w:spacing w:line="360" w:lineRule="auto"/>
        <w:ind w:firstLine="480" w:firstLineChars="200"/>
        <w:rPr>
          <w:color w:val="auto"/>
          <w:sz w:val="24"/>
        </w:rPr>
      </w:pPr>
      <w:r>
        <w:rPr>
          <w:color w:val="auto"/>
          <w:sz w:val="24"/>
        </w:rPr>
        <w:t>淮南市地下水分布与江淮丘陵地区地下水分布基本相同。第四纪地层中的潜水和承压水，主要分布在淮河沿岸的河漫滩和一级阶地。</w:t>
      </w:r>
    </w:p>
    <w:p w14:paraId="7C4B820F">
      <w:pPr>
        <w:spacing w:line="360" w:lineRule="auto"/>
        <w:ind w:firstLine="480" w:firstLineChars="200"/>
        <w:rPr>
          <w:color w:val="auto"/>
          <w:sz w:val="24"/>
        </w:rPr>
      </w:pPr>
      <w:r>
        <w:rPr>
          <w:color w:val="auto"/>
          <w:sz w:val="24"/>
        </w:rPr>
        <w:t>淮南境内，淮河北岸至焦岗湖区、淮河一级支流西淝河-花家湖下游区域、淮河及其一级支流东淝河-瓦埠湖两岸、淮河北岸至高皇乡以南区域均为富水区，淮河南岸洛河与姚家湾以西的地下水呈带状分布在两区，含水层较厚，水量较大。</w:t>
      </w:r>
    </w:p>
    <w:p w14:paraId="70F90C4D">
      <w:pPr>
        <w:spacing w:line="360" w:lineRule="auto"/>
        <w:ind w:firstLine="480" w:firstLineChars="200"/>
        <w:rPr>
          <w:color w:val="auto"/>
          <w:sz w:val="24"/>
        </w:rPr>
      </w:pPr>
      <w:r>
        <w:rPr>
          <w:color w:val="auto"/>
          <w:sz w:val="24"/>
        </w:rPr>
        <w:t>淮南市区中深层地下水源区主要开采QII第2组冲积中细砂含水层，地下水补给源为基岩裂隙、地下暗河补给。</w:t>
      </w:r>
    </w:p>
    <w:p w14:paraId="46B020BD">
      <w:pPr>
        <w:spacing w:line="360" w:lineRule="auto"/>
        <w:ind w:firstLine="480" w:firstLineChars="200"/>
        <w:rPr>
          <w:color w:val="auto"/>
          <w:sz w:val="24"/>
        </w:rPr>
      </w:pPr>
      <w:r>
        <w:rPr>
          <w:color w:val="auto"/>
          <w:sz w:val="24"/>
        </w:rPr>
        <w:t>淮南市区冲积、洪程、残坡积粘土中的浅层地下水系土中上部滞水，属潜层水。这类地下水埋深一般0.5~1.5m，区域分布、埋藏条件、水量变化无一定规律，主要靠大气降水补给，水位、水量、水质直接受地表水影响，极易受地表径流、农田污灌污养和废水污染源侵袭。</w:t>
      </w:r>
    </w:p>
    <w:p w14:paraId="2D7D7038">
      <w:pPr>
        <w:spacing w:line="360" w:lineRule="auto"/>
        <w:ind w:firstLine="480" w:firstLineChars="200"/>
        <w:rPr>
          <w:color w:val="auto"/>
          <w:sz w:val="24"/>
        </w:rPr>
      </w:pPr>
      <w:r>
        <w:rPr>
          <w:color w:val="auto"/>
          <w:sz w:val="24"/>
        </w:rPr>
        <w:t>淮南市的地下水作为工业用水和生活用水的补充水源。据淮南市地下水资源开采储量估算，田东至洛河地区的地下水开采可供水4.8m</w:t>
      </w:r>
      <w:r>
        <w:rPr>
          <w:color w:val="auto"/>
          <w:sz w:val="24"/>
          <w:vertAlign w:val="superscript"/>
        </w:rPr>
        <w:t>3</w:t>
      </w:r>
      <w:r>
        <w:rPr>
          <w:color w:val="auto"/>
          <w:sz w:val="24"/>
        </w:rPr>
        <w:t>/s，姚家湾的地下水开采可供水3.0m</w:t>
      </w:r>
      <w:r>
        <w:rPr>
          <w:color w:val="auto"/>
          <w:sz w:val="24"/>
          <w:vertAlign w:val="superscript"/>
        </w:rPr>
        <w:t>3</w:t>
      </w:r>
      <w:r>
        <w:rPr>
          <w:color w:val="auto"/>
          <w:sz w:val="24"/>
        </w:rPr>
        <w:t>/s，市内范围内地下水储量</w:t>
      </w:r>
      <w:r>
        <w:rPr>
          <w:rFonts w:hint="eastAsia"/>
          <w:color w:val="auto"/>
          <w:sz w:val="24"/>
          <w:lang w:eastAsia="zh-CN"/>
        </w:rPr>
        <w:t>的</w:t>
      </w:r>
      <w:r>
        <w:rPr>
          <w:color w:val="auto"/>
          <w:sz w:val="24"/>
        </w:rPr>
        <w:t>保证率在95%的情况下可供水6.78m</w:t>
      </w:r>
      <w:r>
        <w:rPr>
          <w:color w:val="auto"/>
          <w:sz w:val="24"/>
          <w:vertAlign w:val="superscript"/>
        </w:rPr>
        <w:t>3</w:t>
      </w:r>
      <w:r>
        <w:rPr>
          <w:color w:val="auto"/>
          <w:sz w:val="24"/>
        </w:rPr>
        <w:t>/s。地下水的静水位在0.4~0.7m，初见水位一般比较深，属二存滞水，全市地下水储量约2.91亿m</w:t>
      </w:r>
      <w:r>
        <w:rPr>
          <w:color w:val="auto"/>
          <w:sz w:val="24"/>
          <w:vertAlign w:val="superscript"/>
        </w:rPr>
        <w:t>3</w:t>
      </w:r>
      <w:r>
        <w:rPr>
          <w:color w:val="auto"/>
          <w:sz w:val="24"/>
        </w:rPr>
        <w:t>。</w:t>
      </w:r>
    </w:p>
    <w:p w14:paraId="0650B79D">
      <w:pPr>
        <w:pStyle w:val="4"/>
        <w:numPr>
          <w:ilvl w:val="2"/>
          <w:numId w:val="0"/>
        </w:numPr>
        <w:rPr>
          <w:color w:val="auto"/>
        </w:rPr>
      </w:pPr>
      <w:r>
        <w:rPr>
          <w:rFonts w:hint="eastAsia"/>
          <w:color w:val="auto"/>
        </w:rPr>
        <w:t>4.1.5</w:t>
      </w:r>
      <w:r>
        <w:rPr>
          <w:color w:val="auto"/>
        </w:rPr>
        <w:t>土壤</w:t>
      </w:r>
    </w:p>
    <w:p w14:paraId="72918CCA">
      <w:pPr>
        <w:spacing w:line="360" w:lineRule="auto"/>
        <w:ind w:firstLine="480" w:firstLineChars="200"/>
        <w:rPr>
          <w:color w:val="auto"/>
          <w:sz w:val="24"/>
        </w:rPr>
      </w:pPr>
      <w:r>
        <w:rPr>
          <w:color w:val="auto"/>
          <w:sz w:val="24"/>
        </w:rPr>
        <w:t>淮南地区的土壤类型主要为黄棕壤和水稻土，黄棕壤为晚更新黄土状沉积物上发育的马肝土属，水稻土为发育在马肝土母质上的潴育性马肝田土属。马肝土质地较适中，土层深厚，肥力较高，耕性良好，是项目的主要旱作土壤，易种植蔬菜等旱作物；马肝田系由马肝土上长期种植水稻发育而成，为良水性水稻土，潴育层较厚，剖面发育良好，可作为麦、稻、油菜耕作土壤。</w:t>
      </w:r>
    </w:p>
    <w:p w14:paraId="5C07A9AD">
      <w:pPr>
        <w:pStyle w:val="4"/>
        <w:numPr>
          <w:ilvl w:val="2"/>
          <w:numId w:val="0"/>
        </w:numPr>
        <w:rPr>
          <w:color w:val="auto"/>
        </w:rPr>
      </w:pPr>
      <w:r>
        <w:rPr>
          <w:rFonts w:hint="eastAsia"/>
          <w:color w:val="auto"/>
        </w:rPr>
        <w:t>4.1.6</w:t>
      </w:r>
      <w:r>
        <w:rPr>
          <w:color w:val="auto"/>
        </w:rPr>
        <w:t>自然资源</w:t>
      </w:r>
    </w:p>
    <w:p w14:paraId="264E382E">
      <w:pPr>
        <w:spacing w:line="360" w:lineRule="auto"/>
        <w:ind w:firstLine="480" w:firstLineChars="200"/>
        <w:rPr>
          <w:rFonts w:hint="eastAsia"/>
          <w:color w:val="auto"/>
          <w:sz w:val="24"/>
        </w:rPr>
      </w:pPr>
      <w:r>
        <w:rPr>
          <w:color w:val="auto"/>
          <w:sz w:val="24"/>
        </w:rPr>
        <w:t>（1）煤炭资源</w:t>
      </w:r>
    </w:p>
    <w:p w14:paraId="54699D23">
      <w:pPr>
        <w:spacing w:line="360" w:lineRule="auto"/>
        <w:ind w:firstLine="480" w:firstLineChars="200"/>
        <w:rPr>
          <w:color w:val="auto"/>
          <w:sz w:val="24"/>
        </w:rPr>
      </w:pPr>
      <w:r>
        <w:rPr>
          <w:color w:val="auto"/>
          <w:sz w:val="24"/>
        </w:rPr>
        <w:t>淮南煤田远景储量444亿吨，探明储量180亿吨，占安徽省的70%，占华东地区的32%。</w:t>
      </w:r>
      <w:r>
        <w:rPr>
          <w:rFonts w:hint="eastAsia"/>
          <w:color w:val="auto"/>
          <w:sz w:val="24"/>
          <w:lang w:eastAsia="zh-CN"/>
        </w:rPr>
        <w:t>中华人民共和国成立</w:t>
      </w:r>
      <w:r>
        <w:rPr>
          <w:color w:val="auto"/>
          <w:sz w:val="24"/>
        </w:rPr>
        <w:t>以后，淮南煤炭工业得到了突飞猛进的发展。1952年3月，淮南解放后兴建的第一座矿井蔡家岗煤矿（谢家集一矿）建成投产，揭开了淮南煤矿建设的序幕。1954年，谢家集二矿、三矿、李郢孜一矿先后破土兴建，分别于1956、1957年投产；1955～1964年，先后又有李郢孜二矿、毕家岗矿、李嘴孜煤矿、孔集矿动工兴建并竣工。云集淮南西部的建井工人，住窝棚、吃咸菜、战酷暑、斗严寒，创造了矿井建设的高速度。至1964年，淮南矿区新增矿井7座，设计能力达到855万吨。</w:t>
      </w:r>
    </w:p>
    <w:p w14:paraId="075C507B">
      <w:pPr>
        <w:spacing w:line="360" w:lineRule="auto"/>
        <w:ind w:firstLine="480" w:firstLineChars="200"/>
        <w:rPr>
          <w:rFonts w:hint="eastAsia"/>
          <w:color w:val="auto"/>
          <w:sz w:val="24"/>
        </w:rPr>
      </w:pPr>
      <w:r>
        <w:rPr>
          <w:color w:val="auto"/>
          <w:sz w:val="24"/>
        </w:rPr>
        <w:t>（2）电力资源</w:t>
      </w:r>
    </w:p>
    <w:p w14:paraId="75E73544">
      <w:pPr>
        <w:spacing w:line="360" w:lineRule="auto"/>
        <w:ind w:firstLine="480" w:firstLineChars="200"/>
        <w:rPr>
          <w:color w:val="auto"/>
          <w:sz w:val="24"/>
        </w:rPr>
      </w:pPr>
      <w:r>
        <w:rPr>
          <w:color w:val="auto"/>
          <w:sz w:val="24"/>
        </w:rPr>
        <w:t>淮南电力工业是伴随煤炭工业的发展而兴起的，并逐步发展成为独立的工业门类。淮南解放后，电力工业由煤矿附属地位走向独立发展的道路。国家投入了大量人力物力，对田家庵电厂进行改建，1956年，国产第一台6000千瓦发电机在田家庵电厂投产，成为我国电力工业发展的一个里程碑。此后，田家庵发电厂经过5期扩建，装机容量达到60.1万千瓦，包括了6000千瓦、1.2万千瓦、2.5万千瓦、12万千瓦等不同型号的国产、进口机组，如同一座电力工业博物馆，成为新中国电力工业发展的一个缩影。</w:t>
      </w:r>
    </w:p>
    <w:p w14:paraId="619B4918">
      <w:pPr>
        <w:spacing w:line="360" w:lineRule="auto"/>
        <w:ind w:firstLine="480" w:firstLineChars="200"/>
        <w:rPr>
          <w:color w:val="auto"/>
          <w:sz w:val="24"/>
        </w:rPr>
      </w:pPr>
      <w:r>
        <w:rPr>
          <w:color w:val="auto"/>
          <w:sz w:val="24"/>
        </w:rPr>
        <w:t>淮南新上马的火电机组占“皖电东送”总装机量的85%以上，是“皖电东送”当之无愧的“领军主力”。截至2009年底，淮南的发电装机总容量已达到1000万千瓦，发电总量460亿千瓦时以上。是全国6个煤电基地之一。到2020年，将建成装机总容量将达到2000万千瓦时的火电基地。发电能力将超过</w:t>
      </w:r>
      <w:r>
        <w:rPr>
          <w:color w:val="auto"/>
          <w:sz w:val="24"/>
        </w:rPr>
        <w:fldChar w:fldCharType="begin"/>
      </w:r>
      <w:r>
        <w:rPr>
          <w:color w:val="auto"/>
          <w:sz w:val="24"/>
        </w:rPr>
        <w:instrText xml:space="preserve"> HYPERLINK "https://baike.baidu.com/item/%E9%95%BF%E6%B1%9F%E4%B8%89%E5%B3%A1%E6%B0%B4%E7%94%B5%E7%AB%99" \t "_blank" </w:instrText>
      </w:r>
      <w:r>
        <w:rPr>
          <w:color w:val="auto"/>
          <w:sz w:val="24"/>
        </w:rPr>
        <w:fldChar w:fldCharType="separate"/>
      </w:r>
      <w:r>
        <w:rPr>
          <w:color w:val="auto"/>
          <w:sz w:val="24"/>
        </w:rPr>
        <w:t>长江三峡水电站</w:t>
      </w:r>
      <w:r>
        <w:rPr>
          <w:color w:val="auto"/>
          <w:sz w:val="24"/>
        </w:rPr>
        <w:fldChar w:fldCharType="end"/>
      </w:r>
      <w:r>
        <w:rPr>
          <w:color w:val="auto"/>
          <w:sz w:val="24"/>
        </w:rPr>
        <w:t>。成为名副其实的“</w:t>
      </w:r>
      <w:r>
        <w:rPr>
          <w:color w:val="auto"/>
          <w:sz w:val="24"/>
        </w:rPr>
        <w:fldChar w:fldCharType="begin"/>
      </w:r>
      <w:r>
        <w:rPr>
          <w:color w:val="auto"/>
          <w:sz w:val="24"/>
        </w:rPr>
        <w:instrText xml:space="preserve"> HYPERLINK "https://baike.baidu.com/item/%E7%81%AB%E7%94%B5%E4%B8%89%E5%B3%A1" \t "_blank" </w:instrText>
      </w:r>
      <w:r>
        <w:rPr>
          <w:color w:val="auto"/>
          <w:sz w:val="24"/>
        </w:rPr>
        <w:fldChar w:fldCharType="separate"/>
      </w:r>
      <w:r>
        <w:rPr>
          <w:color w:val="auto"/>
          <w:sz w:val="24"/>
        </w:rPr>
        <w:t>火电三峡</w:t>
      </w:r>
      <w:r>
        <w:rPr>
          <w:color w:val="auto"/>
          <w:sz w:val="24"/>
        </w:rPr>
        <w:fldChar w:fldCharType="end"/>
      </w:r>
      <w:r>
        <w:rPr>
          <w:color w:val="auto"/>
          <w:sz w:val="24"/>
        </w:rPr>
        <w:t>”。</w:t>
      </w:r>
    </w:p>
    <w:p w14:paraId="4B35831B">
      <w:pPr>
        <w:spacing w:line="360" w:lineRule="auto"/>
        <w:ind w:firstLine="480" w:firstLineChars="200"/>
        <w:rPr>
          <w:color w:val="auto"/>
          <w:sz w:val="24"/>
        </w:rPr>
      </w:pPr>
      <w:r>
        <w:rPr>
          <w:color w:val="auto"/>
          <w:sz w:val="24"/>
        </w:rPr>
        <w:t>（3）动植物资源</w:t>
      </w:r>
    </w:p>
    <w:p w14:paraId="14730B0E">
      <w:pPr>
        <w:spacing w:line="360" w:lineRule="auto"/>
        <w:ind w:firstLine="480" w:firstLineChars="200"/>
        <w:rPr>
          <w:color w:val="auto"/>
          <w:sz w:val="24"/>
        </w:rPr>
      </w:pPr>
      <w:r>
        <w:rPr>
          <w:color w:val="auto"/>
          <w:sz w:val="24"/>
        </w:rPr>
        <w:t>淮南市地处南北交界过渡地带，气候、土壤、地形的多样性为多种动植物繁衍生息提供了适宜的环境。但由于城市规模不断扩大，人口逐年增多，境内所有山丘四周多为工厂、居民住宅。故此，多数野生兽类已不复见，偶见黄鼠狼、刺猬、野兔等，唯蝙蝠、老鼠较为常见。常见的禽类有麻雀、鹌鹑、燕子等。大雁、鹰、野鸭、野鸡等在山林湖沼中</w:t>
      </w:r>
      <w:r>
        <w:rPr>
          <w:rFonts w:hint="eastAsia"/>
          <w:color w:val="auto"/>
          <w:sz w:val="24"/>
          <w:lang w:eastAsia="zh-CN"/>
        </w:rPr>
        <w:t>偶尔</w:t>
      </w:r>
      <w:r>
        <w:rPr>
          <w:color w:val="auto"/>
          <w:sz w:val="24"/>
        </w:rPr>
        <w:t>可见；鹭鸶、刁鱼郎、喜鹊、斑鸠、啄木鸟、白头翁、相思鸟、画眉、稻鸡、翡翠鸟，原来境内时有所见，现已基本绝迹。甲贝类有虾、蟹、螺、蚌等。由于化肥、农药的广泛使用，草虾大量减少。爬行类有龟、蛇、壁虎等。由于大量捕捉，龟、蛇已大量减少。两栖类有青蛙、蟾蜍等。昆虫类有蜂、蝶、知了、蜻蜓、螳螂、蚂蚁、蟋蟀、蝼蛄、蚱蜢、蚜虫等。</w:t>
      </w:r>
    </w:p>
    <w:p w14:paraId="45092F50">
      <w:pPr>
        <w:spacing w:line="360" w:lineRule="auto"/>
        <w:ind w:firstLine="480" w:firstLineChars="200"/>
        <w:rPr>
          <w:color w:val="auto"/>
          <w:sz w:val="24"/>
        </w:rPr>
      </w:pPr>
      <w:r>
        <w:rPr>
          <w:color w:val="auto"/>
          <w:sz w:val="24"/>
        </w:rPr>
        <w:t>淮南市地处淮河两岸，农业生产条件优越，光热水资源丰富，土壤肥沃，非常有利于小麦、水稻生长，是发展优质专用小麦和优质水稻的适宜地区。自然植被类型为落叶、阔叶林和常绿针叶混交林。自然植被中</w:t>
      </w:r>
      <w:r>
        <w:rPr>
          <w:rFonts w:hint="eastAsia"/>
          <w:color w:val="auto"/>
          <w:sz w:val="24"/>
          <w:lang w:eastAsia="zh-CN"/>
        </w:rPr>
        <w:t>草本植物</w:t>
      </w:r>
      <w:r>
        <w:rPr>
          <w:color w:val="auto"/>
          <w:sz w:val="24"/>
        </w:rPr>
        <w:t>主要有白茅、荩草和野古草等，灌木主要有酸枣、胡枝子、枸杞和柘树等。并拥有青檀、铜线树、大叶榉、糯米椴、苦槠、柞木、紫楠、银杏、楸树等乡土稀有树种。</w:t>
      </w:r>
    </w:p>
    <w:p w14:paraId="28127935">
      <w:pPr>
        <w:spacing w:line="360" w:lineRule="auto"/>
        <w:ind w:firstLine="480" w:firstLineChars="200"/>
        <w:rPr>
          <w:color w:val="auto"/>
          <w:sz w:val="24"/>
        </w:rPr>
      </w:pPr>
      <w:r>
        <w:rPr>
          <w:color w:val="auto"/>
          <w:sz w:val="24"/>
        </w:rPr>
        <w:t>（4）农业资源</w:t>
      </w:r>
    </w:p>
    <w:p w14:paraId="6C12FF1B">
      <w:pPr>
        <w:spacing w:line="360" w:lineRule="auto"/>
        <w:ind w:firstLine="480" w:firstLineChars="200"/>
        <w:rPr>
          <w:color w:val="auto"/>
          <w:sz w:val="24"/>
        </w:rPr>
      </w:pPr>
      <w:r>
        <w:rPr>
          <w:color w:val="auto"/>
          <w:sz w:val="24"/>
        </w:rPr>
        <w:t>农业物产丰饶，自然景观优美。区内农业资源丰富，拥有14万亩良田、8万亩优质水面，农作物种类有70余种，盛产优质豆类、薯类、水产品等。瓦埠湖出产的银鱼、瓦虾和刀鱼素有“瓦埠湖三秀”美名。境内有省级风景区卧龙山森林公园、八公山余脉车路山、安徽省第二大淡水湖瓦埠湖和乳山水库等秀丽自然景观。</w:t>
      </w:r>
    </w:p>
    <w:p w14:paraId="7FEEC852">
      <w:pPr>
        <w:spacing w:line="360" w:lineRule="auto"/>
        <w:ind w:firstLine="480" w:firstLineChars="200"/>
        <w:rPr>
          <w:color w:val="auto"/>
          <w:sz w:val="24"/>
        </w:rPr>
      </w:pPr>
      <w:r>
        <w:rPr>
          <w:color w:val="auto"/>
          <w:sz w:val="24"/>
        </w:rPr>
        <w:t>现代农业提速，商贸流通繁荣。南部三乡镇优质粮主产区和北部三乡镇高效城郊型农业的发展格局渐成规模，孙庙黄晶梨、杨公草莓、施家湖水产以及畜禽养殖、特色种植等现代农业不断发展壮大。</w:t>
      </w:r>
    </w:p>
    <w:p w14:paraId="040EBAF1">
      <w:pPr>
        <w:pStyle w:val="4"/>
        <w:numPr>
          <w:ilvl w:val="2"/>
          <w:numId w:val="0"/>
        </w:numPr>
        <w:rPr>
          <w:rFonts w:hint="default" w:eastAsia="黑体"/>
          <w:color w:val="auto"/>
          <w:lang w:val="en-US" w:eastAsia="zh-CN"/>
        </w:rPr>
      </w:pPr>
      <w:r>
        <w:rPr>
          <w:rFonts w:hint="eastAsia"/>
          <w:color w:val="auto"/>
        </w:rPr>
        <w:t>4.1.</w:t>
      </w:r>
      <w:r>
        <w:rPr>
          <w:rFonts w:hint="eastAsia"/>
          <w:color w:val="auto"/>
          <w:lang w:val="en-US" w:eastAsia="zh-CN"/>
        </w:rPr>
        <w:t>7主要珍稀鱼类、经济鱼类“三场一通道”</w:t>
      </w:r>
    </w:p>
    <w:p w14:paraId="55ED69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lang w:val="en-US" w:eastAsia="zh-CN"/>
        </w:rPr>
      </w:pPr>
      <w:r>
        <w:rPr>
          <w:rFonts w:hint="eastAsia"/>
          <w:color w:val="auto"/>
          <w:sz w:val="24"/>
          <w:lang w:val="en-US" w:eastAsia="zh-CN"/>
        </w:rPr>
        <w:t>项目所在地为淮河北岸，淮河水域存在多种鱼类，项目地所在水域的主要珍稀鱼类包括长吻鮠、</w:t>
      </w:r>
      <w:r>
        <w:rPr>
          <w:rFonts w:hint="eastAsia"/>
          <w:color w:val="auto"/>
          <w:sz w:val="24"/>
        </w:rPr>
        <w:t>黄颡鱼</w:t>
      </w:r>
      <w:r>
        <w:rPr>
          <w:rFonts w:hint="eastAsia"/>
          <w:color w:val="auto"/>
          <w:sz w:val="24"/>
          <w:lang w:val="en-US" w:eastAsia="zh-CN"/>
        </w:rPr>
        <w:t>等，主要经济鱼类包括青、草、鲢、鳙等四大家鱼。</w:t>
      </w:r>
    </w:p>
    <w:p w14:paraId="74D542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lang w:val="en-US" w:eastAsia="zh-CN"/>
        </w:rPr>
      </w:pPr>
      <w:r>
        <w:rPr>
          <w:rFonts w:hint="default" w:ascii="Times New Roman" w:hAnsi="Times New Roman" w:eastAsia="宋体" w:cs="Times New Roman"/>
          <w:color w:val="auto"/>
          <w:kern w:val="2"/>
          <w:sz w:val="24"/>
          <w:szCs w:val="21"/>
          <w:lang w:val="en-US" w:eastAsia="zh-CN" w:bidi="ar-SA"/>
        </w:rPr>
        <w:t>（1）</w:t>
      </w:r>
      <w:r>
        <w:rPr>
          <w:rFonts w:hint="eastAsia"/>
          <w:color w:val="auto"/>
          <w:sz w:val="24"/>
          <w:lang w:val="en-US" w:eastAsia="zh-CN"/>
        </w:rPr>
        <w:t>长吻鮠</w:t>
      </w:r>
      <w:r>
        <w:rPr>
          <w:rFonts w:hint="eastAsia"/>
          <w:i/>
          <w:iCs/>
          <w:color w:val="auto"/>
          <w:sz w:val="24"/>
          <w:lang w:val="en-US" w:eastAsia="zh-CN"/>
        </w:rPr>
        <w:t>（Leiocassis longirostris）</w:t>
      </w:r>
    </w:p>
    <w:p w14:paraId="1F21E9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olor w:val="auto"/>
          <w:sz w:val="24"/>
          <w:lang w:val="en-US" w:eastAsia="zh-CN"/>
        </w:rPr>
      </w:pPr>
      <w:r>
        <w:rPr>
          <w:rFonts w:hint="default"/>
          <w:color w:val="auto"/>
          <w:sz w:val="24"/>
          <w:lang w:val="en-US" w:eastAsia="zh-CN"/>
        </w:rPr>
        <w:t>鲿科、鮠属鱼类。体延长，前部粗短，后部侧扁。头略大，后部隆起，不被皮膜所盖；上枕骨棘粗糙，裸露。吻颇尖且突出，锥形。口下位，呈弧形。唇肥厚。上颌突出于下颌。眼小，侧上位，眼缘不游离，被以皮膜。眼间隔宽，隆起。鼻须位于后鼻孔前缘，后端达眼前缘。鳃孔大。鳃盖膜不与鳃峡相连。鳃耙细小。体光滑无鳞。背鳍短，骨质硬刺前缘光滑，后缘具锯齿；其硬刺长于胸鳍硬刺，起点位于胸鳍后端之垂直上方。脂鳍短，基部位于背鳍基后端至尾鳍基中央偏后。臀鳍起点位于脂鳍起点之后，至尾鳍基的距离与至胸鳍后端几相等。胸鳍侧下位，硬刺后缘有锯齿。腹鳍小，起点位于背鳍基后端之垂直下方稍后，距胸鳍基后端大于距臀鳍起点。肛门约位臀鳍起点至腹鳍基后端的中点。尾鳍深分叉，上、下叶等长，末端稍钝。体粉红色，背部暗灰，腹部色浅。头及体侧具不规则的紫灰色斑块。各鳍灰黄色。</w:t>
      </w:r>
    </w:p>
    <w:p w14:paraId="4BC49F54">
      <w:pPr>
        <w:pStyle w:val="24"/>
        <w:numPr>
          <w:ilvl w:val="0"/>
          <w:numId w:val="0"/>
        </w:numPr>
        <w:rPr>
          <w:rFonts w:hint="eastAsia"/>
          <w:color w:val="auto"/>
          <w:lang w:val="en-US" w:eastAsia="zh-CN"/>
        </w:rPr>
      </w:pPr>
      <w:r>
        <w:rPr>
          <w:color w:val="auto"/>
        </w:rPr>
        <w:drawing>
          <wp:inline distT="0" distB="0" distL="114300" distR="114300">
            <wp:extent cx="5758180" cy="2076450"/>
            <wp:effectExtent l="0" t="0" r="13970" b="0"/>
            <wp:docPr id="4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7"/>
                    <pic:cNvPicPr>
                      <a:picLocks noChangeAspect="1"/>
                    </pic:cNvPicPr>
                  </pic:nvPicPr>
                  <pic:blipFill>
                    <a:blip r:embed="rId78"/>
                    <a:stretch>
                      <a:fillRect/>
                    </a:stretch>
                  </pic:blipFill>
                  <pic:spPr>
                    <a:xfrm>
                      <a:off x="0" y="0"/>
                      <a:ext cx="5758180" cy="2076450"/>
                    </a:xfrm>
                    <a:prstGeom prst="rect">
                      <a:avLst/>
                    </a:prstGeom>
                    <a:noFill/>
                    <a:ln>
                      <a:noFill/>
                    </a:ln>
                  </pic:spPr>
                </pic:pic>
              </a:graphicData>
            </a:graphic>
          </wp:inline>
        </w:drawing>
      </w:r>
    </w:p>
    <w:p w14:paraId="64DFAB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lang w:val="en-US" w:eastAsia="zh-CN"/>
        </w:rPr>
      </w:pPr>
      <w:r>
        <w:rPr>
          <w:rFonts w:hint="default"/>
          <w:color w:val="auto"/>
          <w:sz w:val="24"/>
          <w:lang w:val="en-US" w:eastAsia="zh-CN"/>
        </w:rPr>
        <w:t>长吻鮠为</w:t>
      </w:r>
      <w:r>
        <w:rPr>
          <w:rFonts w:hint="default"/>
          <w:color w:val="auto"/>
          <w:sz w:val="24"/>
          <w:lang w:val="en-US" w:eastAsia="zh-CN"/>
        </w:rPr>
        <w:fldChar w:fldCharType="begin"/>
      </w:r>
      <w:r>
        <w:rPr>
          <w:rFonts w:hint="default"/>
          <w:color w:val="auto"/>
          <w:sz w:val="24"/>
          <w:lang w:val="en-US" w:eastAsia="zh-CN"/>
        </w:rPr>
        <w:instrText xml:space="preserve"> HYPERLINK "https://baike.baidu.com/item/%E5%BA%95%E5%B1%82%E9%B1%BC%E7%B1%BB/5264659?fromModule=lemma_inlink" \t "https://baike.baidu.com/item/%E9%95%BF%E5%90%BB%E9%AE%A0/_blank" </w:instrText>
      </w:r>
      <w:r>
        <w:rPr>
          <w:rFonts w:hint="default"/>
          <w:color w:val="auto"/>
          <w:sz w:val="24"/>
          <w:lang w:val="en-US" w:eastAsia="zh-CN"/>
        </w:rPr>
        <w:fldChar w:fldCharType="separate"/>
      </w:r>
      <w:r>
        <w:rPr>
          <w:rFonts w:hint="eastAsia"/>
          <w:color w:val="auto"/>
          <w:sz w:val="24"/>
          <w:lang w:val="en-US" w:eastAsia="zh-CN"/>
        </w:rPr>
        <w:t>底栖</w:t>
      </w:r>
      <w:r>
        <w:rPr>
          <w:rFonts w:hint="default"/>
          <w:color w:val="auto"/>
          <w:sz w:val="24"/>
          <w:lang w:val="en-US" w:eastAsia="zh-CN"/>
        </w:rPr>
        <w:t>鱼类</w:t>
      </w:r>
      <w:r>
        <w:rPr>
          <w:rFonts w:hint="default"/>
          <w:color w:val="auto"/>
          <w:sz w:val="24"/>
          <w:lang w:val="en-US" w:eastAsia="zh-CN"/>
        </w:rPr>
        <w:fldChar w:fldCharType="end"/>
      </w:r>
      <w:r>
        <w:rPr>
          <w:rFonts w:hint="default"/>
          <w:color w:val="auto"/>
          <w:sz w:val="24"/>
          <w:lang w:val="en-US" w:eastAsia="zh-CN"/>
        </w:rPr>
        <w:t>。常在水流较缓、水深且石块多的河湾水域里生活。白天多潜伏于水底或石缝内，夜间外出寻食。觅食时也在水体的中、下层活动；冬季多在干流深水处多砾石的夹缝中越冬。主要以水生昆虫及其幼虫、甲壳类、小型软体动物和小型鱼类为食。分布于中国东部的辽河、淮河、长江、闽江至珠江等水系及朝鲜西部，以长江水系为主。</w:t>
      </w:r>
    </w:p>
    <w:p w14:paraId="0D52F9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color w:val="auto"/>
          <w:sz w:val="24"/>
          <w:lang w:val="en-US" w:eastAsia="zh-CN"/>
        </w:rPr>
      </w:pPr>
      <w:r>
        <w:rPr>
          <w:rFonts w:hint="eastAsia" w:ascii="Times New Roman" w:hAnsi="Times New Roman" w:eastAsia="宋体" w:cs="Times New Roman"/>
          <w:color w:val="auto"/>
          <w:kern w:val="2"/>
          <w:sz w:val="24"/>
          <w:szCs w:val="21"/>
          <w:lang w:val="en-US" w:eastAsia="zh-CN" w:bidi="ar-SA"/>
        </w:rPr>
        <w:t>（2）</w:t>
      </w:r>
      <w:r>
        <w:rPr>
          <w:rFonts w:hint="eastAsia"/>
          <w:color w:val="auto"/>
          <w:sz w:val="24"/>
          <w:lang w:val="en-US" w:eastAsia="zh-CN"/>
        </w:rPr>
        <w:t>黄颡鱼</w:t>
      </w:r>
      <w:r>
        <w:rPr>
          <w:rFonts w:hint="eastAsia"/>
          <w:i/>
          <w:iCs/>
          <w:color w:val="auto"/>
          <w:sz w:val="24"/>
          <w:lang w:val="en-US" w:eastAsia="zh-CN"/>
        </w:rPr>
        <w:t>（Pelteobagrus fulvidraco）</w:t>
      </w:r>
    </w:p>
    <w:p w14:paraId="542A90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color w:val="auto"/>
          <w:sz w:val="24"/>
          <w:lang w:val="en-US" w:eastAsia="zh-CN"/>
        </w:rPr>
      </w:pPr>
      <w:r>
        <w:rPr>
          <w:rFonts w:hint="default"/>
          <w:color w:val="auto"/>
          <w:sz w:val="24"/>
          <w:lang w:val="en-US" w:eastAsia="zh-CN"/>
        </w:rPr>
        <w:t>鲇形目鲿科黄颡鱼属的鱼类动物，是一种小型鱼类，体长，腹平</w:t>
      </w:r>
      <w:r>
        <w:rPr>
          <w:rFonts w:hint="eastAsia"/>
          <w:color w:val="auto"/>
          <w:sz w:val="24"/>
          <w:lang w:val="en-US" w:eastAsia="zh-CN"/>
        </w:rPr>
        <w:t>，</w:t>
      </w:r>
      <w:r>
        <w:rPr>
          <w:rFonts w:hint="default"/>
          <w:color w:val="auto"/>
          <w:sz w:val="24"/>
          <w:lang w:val="en-US" w:eastAsia="zh-CN"/>
        </w:rPr>
        <w:t>体后部稍侧扁，头大且平扁，眼小，无鳞，背鳍和胸鳍均具发达的硬刺，胸鳍短小，体青黄色。雄鱼一般较雌鱼大。黄颡鱼产卵季节为每年5-7月。寿命为5-6年。 因体侧至尾部黄色，而有“黄姑”之称。</w:t>
      </w:r>
    </w:p>
    <w:p w14:paraId="3854E3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color w:val="auto"/>
          <w:sz w:val="24"/>
          <w:lang w:val="en-US" w:eastAsia="zh-CN"/>
        </w:rPr>
      </w:pPr>
      <w:r>
        <w:rPr>
          <w:rFonts w:hint="default"/>
          <w:color w:val="auto"/>
          <w:sz w:val="24"/>
          <w:lang w:val="en-US" w:eastAsia="zh-CN"/>
        </w:rPr>
        <w:t>黄颡鱼分布于中国西部以外的水系，</w:t>
      </w:r>
      <w:r>
        <w:rPr>
          <w:rFonts w:hint="default"/>
          <w:color w:val="auto"/>
          <w:sz w:val="24"/>
          <w:lang w:val="en-US" w:eastAsia="zh-CN"/>
        </w:rPr>
        <w:fldChar w:fldCharType="begin"/>
      </w:r>
      <w:r>
        <w:rPr>
          <w:rFonts w:hint="default"/>
          <w:color w:val="auto"/>
          <w:sz w:val="24"/>
          <w:lang w:val="en-US" w:eastAsia="zh-CN"/>
        </w:rPr>
        <w:instrText xml:space="preserve"> HYPERLINK "https://baike.baidu.com/item/%E4%BF%84%E7%BD%97%E6%96%AF/125568?fromModule=lemma_inlink" \t "https://baike.baidu.com/item/%E9%BB%84%E9%A2%A1%E9%B1%BC/_blank" </w:instrText>
      </w:r>
      <w:r>
        <w:rPr>
          <w:rFonts w:hint="default"/>
          <w:color w:val="auto"/>
          <w:sz w:val="24"/>
          <w:lang w:val="en-US" w:eastAsia="zh-CN"/>
        </w:rPr>
        <w:fldChar w:fldCharType="separate"/>
      </w:r>
      <w:r>
        <w:rPr>
          <w:rFonts w:hint="default"/>
          <w:color w:val="auto"/>
          <w:sz w:val="24"/>
          <w:lang w:val="en-US" w:eastAsia="zh-CN"/>
        </w:rPr>
        <w:t>俄罗斯</w:t>
      </w:r>
      <w:r>
        <w:rPr>
          <w:rFonts w:hint="default"/>
          <w:color w:val="auto"/>
          <w:sz w:val="24"/>
          <w:lang w:val="en-US" w:eastAsia="zh-CN"/>
        </w:rPr>
        <w:fldChar w:fldCharType="end"/>
      </w:r>
      <w:r>
        <w:rPr>
          <w:rFonts w:hint="default"/>
          <w:color w:val="auto"/>
          <w:sz w:val="24"/>
          <w:lang w:val="en-US" w:eastAsia="zh-CN"/>
        </w:rPr>
        <w:t>远东地区的黑龙江水系，日本、</w:t>
      </w:r>
      <w:r>
        <w:rPr>
          <w:rFonts w:hint="default"/>
          <w:color w:val="auto"/>
          <w:sz w:val="24"/>
          <w:lang w:val="en-US" w:eastAsia="zh-CN"/>
        </w:rPr>
        <w:fldChar w:fldCharType="begin"/>
      </w:r>
      <w:r>
        <w:rPr>
          <w:rFonts w:hint="default"/>
          <w:color w:val="auto"/>
          <w:sz w:val="24"/>
          <w:lang w:val="en-US" w:eastAsia="zh-CN"/>
        </w:rPr>
        <w:instrText xml:space="preserve"> HYPERLINK "https://baike.baidu.com/item/%E6%9C%9D%E9%B2%9C/191777?fromModule=lemma_inlink" \t "https://baike.baidu.com/item/%E9%BB%84%E9%A2%A1%E9%B1%BC/_blank" </w:instrText>
      </w:r>
      <w:r>
        <w:rPr>
          <w:rFonts w:hint="default"/>
          <w:color w:val="auto"/>
          <w:sz w:val="24"/>
          <w:lang w:val="en-US" w:eastAsia="zh-CN"/>
        </w:rPr>
        <w:fldChar w:fldCharType="separate"/>
      </w:r>
      <w:r>
        <w:rPr>
          <w:rFonts w:hint="default"/>
          <w:color w:val="auto"/>
          <w:sz w:val="24"/>
          <w:lang w:val="en-US" w:eastAsia="zh-CN"/>
        </w:rPr>
        <w:t>朝鲜</w:t>
      </w:r>
      <w:r>
        <w:rPr>
          <w:rFonts w:hint="default"/>
          <w:color w:val="auto"/>
          <w:sz w:val="24"/>
          <w:lang w:val="en-US" w:eastAsia="zh-CN"/>
        </w:rPr>
        <w:fldChar w:fldCharType="end"/>
      </w:r>
      <w:r>
        <w:rPr>
          <w:rFonts w:hint="default"/>
          <w:color w:val="auto"/>
          <w:sz w:val="24"/>
          <w:lang w:val="en-US" w:eastAsia="zh-CN"/>
        </w:rPr>
        <w:t>亦有分布。多在静水或江河缓流中活动，白天栖息于湖水底层，夜间游到水上层觅食，对环境的适应能力较强。黄颡鱼是杂食性鱼类，食物包括小鱼、虾、各种陆生和水生昆</w:t>
      </w:r>
      <w:r>
        <w:rPr>
          <w:rFonts w:hint="eastAsia"/>
          <w:color w:val="auto"/>
          <w:sz w:val="24"/>
          <w:lang w:val="en-US" w:eastAsia="zh-CN"/>
        </w:rPr>
        <w:t>虫、</w:t>
      </w:r>
      <w:r>
        <w:rPr>
          <w:rFonts w:hint="default"/>
          <w:color w:val="auto"/>
          <w:sz w:val="24"/>
          <w:lang w:val="en-US" w:eastAsia="zh-CN"/>
        </w:rPr>
        <w:t>小型软体动物和其它水生无脊椎动物， 具有筑巢产卵，保护后代的习性。</w:t>
      </w:r>
    </w:p>
    <w:p w14:paraId="4B4E101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default"/>
          <w:color w:val="auto"/>
          <w:sz w:val="24"/>
          <w:lang w:val="en-US" w:eastAsia="zh-CN"/>
        </w:rPr>
      </w:pPr>
      <w:r>
        <w:rPr>
          <w:color w:val="auto"/>
        </w:rPr>
        <w:drawing>
          <wp:inline distT="0" distB="0" distL="114300" distR="114300">
            <wp:extent cx="3407410" cy="2042795"/>
            <wp:effectExtent l="0" t="0" r="2540" b="14605"/>
            <wp:docPr id="4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8"/>
                    <pic:cNvPicPr>
                      <a:picLocks noChangeAspect="1"/>
                    </pic:cNvPicPr>
                  </pic:nvPicPr>
                  <pic:blipFill>
                    <a:blip r:embed="rId79"/>
                    <a:stretch>
                      <a:fillRect/>
                    </a:stretch>
                  </pic:blipFill>
                  <pic:spPr>
                    <a:xfrm>
                      <a:off x="0" y="0"/>
                      <a:ext cx="3407410" cy="2042795"/>
                    </a:xfrm>
                    <a:prstGeom prst="rect">
                      <a:avLst/>
                    </a:prstGeom>
                    <a:noFill/>
                    <a:ln>
                      <a:noFill/>
                    </a:ln>
                  </pic:spPr>
                </pic:pic>
              </a:graphicData>
            </a:graphic>
          </wp:inline>
        </w:drawing>
      </w:r>
    </w:p>
    <w:p w14:paraId="6A5A777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color w:val="auto"/>
          <w:sz w:val="24"/>
          <w:lang w:val="en-US" w:eastAsia="zh-CN"/>
        </w:rPr>
      </w:pPr>
      <w:r>
        <w:rPr>
          <w:rFonts w:hint="eastAsia"/>
          <w:color w:val="auto"/>
          <w:sz w:val="24"/>
          <w:lang w:val="en-US" w:eastAsia="zh-CN"/>
        </w:rPr>
        <w:t>根据相关历史资料，长吻鮠、</w:t>
      </w:r>
      <w:r>
        <w:rPr>
          <w:rFonts w:hint="eastAsia"/>
          <w:color w:val="auto"/>
          <w:sz w:val="24"/>
        </w:rPr>
        <w:t>瓦氏黄颡鱼</w:t>
      </w:r>
      <w:r>
        <w:rPr>
          <w:rFonts w:hint="eastAsia"/>
          <w:color w:val="auto"/>
          <w:sz w:val="24"/>
          <w:lang w:val="en-US" w:eastAsia="zh-CN"/>
        </w:rPr>
        <w:t>为底栖鱼类，没有明显的洄游特征，喜栖息在深水潭石缝中或淤泥坎上，冬季在多岩石的深水处越冬，其主要栖息地为八公山以西的峡山口和八公山以北的黑龙潭两处。</w:t>
      </w:r>
    </w:p>
    <w:p w14:paraId="7197C54F">
      <w:pPr>
        <w:pStyle w:val="24"/>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color w:val="auto"/>
          <w:lang w:val="en-US" w:eastAsia="zh-CN"/>
        </w:rPr>
      </w:pPr>
      <w:r>
        <w:rPr>
          <w:rFonts w:hint="eastAsia"/>
          <w:color w:val="auto"/>
          <w:sz w:val="24"/>
          <w:lang w:val="en-US" w:eastAsia="zh-CN"/>
        </w:rPr>
        <w:t>（3）青草鲢鳙“四大家鱼”</w:t>
      </w:r>
    </w:p>
    <w:p w14:paraId="77361D8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color w:val="auto"/>
          <w:sz w:val="24"/>
          <w:lang w:val="en-US" w:eastAsia="zh-CN"/>
        </w:rPr>
      </w:pPr>
      <w:r>
        <w:rPr>
          <w:rFonts w:hint="eastAsia"/>
          <w:color w:val="auto"/>
          <w:sz w:val="24"/>
          <w:lang w:val="en-US" w:eastAsia="zh-CN"/>
        </w:rPr>
        <w:t>青草鲢鳙“四大家鱼”，均属于江湖洄游性鱼类，在江河流水生境中产卵繁殖，在湖泊湿地中生长发育。每年春天淮河上游水位上涨时，“四大家鱼”就会从洪泽湖出发，溯河而上，在上游的淮河中产卵，幼鱼成长至一定长度后会返回洪泽湖。据相关资料，淮河“四大家鱼”的产卵场主要有清河口、三河尖、沫河口、峡山口、黑龙潭、蚌埠铁桥附近等，其索饵场和越冬场主要为下游的洪泽湖。具体见下图。</w:t>
      </w:r>
    </w:p>
    <w:p w14:paraId="14B981FC">
      <w:pPr>
        <w:spacing w:line="360" w:lineRule="auto"/>
        <w:ind w:firstLine="480" w:firstLineChars="200"/>
        <w:rPr>
          <w:rFonts w:hint="default" w:eastAsia="宋体"/>
          <w:color w:val="auto"/>
          <w:sz w:val="24"/>
          <w:lang w:val="en-US" w:eastAsia="zh-CN"/>
        </w:rPr>
      </w:pPr>
      <w:r>
        <w:rPr>
          <w:rFonts w:hint="eastAsia"/>
          <w:color w:val="auto"/>
          <w:sz w:val="24"/>
          <w:lang w:val="en-US" w:eastAsia="zh-CN"/>
        </w:rPr>
        <w:t>而青草鲢鳙“四大家鱼”的洄游通道即从下游的洪泽湖，到上游的各个产卵场之间的通道。</w:t>
      </w:r>
    </w:p>
    <w:p w14:paraId="504E53F8">
      <w:pPr>
        <w:pStyle w:val="24"/>
        <w:keepNext w:val="0"/>
        <w:keepLines w:val="0"/>
        <w:pageBreakBefore w:val="0"/>
        <w:widowControl w:val="0"/>
        <w:kinsoku/>
        <w:wordWrap/>
        <w:overflowPunct/>
        <w:topLinePunct w:val="0"/>
        <w:autoSpaceDE/>
        <w:autoSpaceDN/>
        <w:bidi w:val="0"/>
        <w:adjustRightInd/>
        <w:snapToGrid/>
        <w:spacing w:line="360" w:lineRule="auto"/>
        <w:ind w:left="420" w:hanging="420" w:hangingChars="200"/>
        <w:textAlignment w:val="auto"/>
        <w:rPr>
          <w:rFonts w:hint="eastAsia" w:eastAsia="宋体"/>
          <w:color w:val="auto"/>
          <w:lang w:eastAsia="zh-CN"/>
        </w:rPr>
      </w:pPr>
      <w:r>
        <w:rPr>
          <w:rFonts w:hint="eastAsia" w:eastAsia="宋体"/>
          <w:color w:val="auto"/>
          <w:lang w:eastAsia="zh-CN"/>
        </w:rPr>
        <w:drawing>
          <wp:inline distT="0" distB="0" distL="114300" distR="114300">
            <wp:extent cx="5753735" cy="2967355"/>
            <wp:effectExtent l="0" t="0" r="18415" b="4445"/>
            <wp:docPr id="39" name="图片 39" descr="三场一通道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三场一通道副本"/>
                    <pic:cNvPicPr>
                      <a:picLocks noChangeAspect="1"/>
                    </pic:cNvPicPr>
                  </pic:nvPicPr>
                  <pic:blipFill>
                    <a:blip r:embed="rId80"/>
                    <a:stretch>
                      <a:fillRect/>
                    </a:stretch>
                  </pic:blipFill>
                  <pic:spPr>
                    <a:xfrm>
                      <a:off x="0" y="0"/>
                      <a:ext cx="5753735" cy="2967355"/>
                    </a:xfrm>
                    <a:prstGeom prst="rect">
                      <a:avLst/>
                    </a:prstGeom>
                  </pic:spPr>
                </pic:pic>
              </a:graphicData>
            </a:graphic>
          </wp:inline>
        </w:drawing>
      </w:r>
    </w:p>
    <w:p w14:paraId="1CE91C1D">
      <w:pPr>
        <w:pStyle w:val="24"/>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eastAsia="宋体"/>
          <w:color w:val="auto"/>
          <w:lang w:eastAsia="zh-CN"/>
        </w:rPr>
      </w:pPr>
      <w:r>
        <w:rPr>
          <w:rFonts w:hint="eastAsia"/>
          <w:color w:val="auto"/>
          <w:sz w:val="24"/>
          <w:lang w:val="en-US" w:eastAsia="zh-CN"/>
        </w:rPr>
        <w:t>根据上文对于区域主要珍稀鱼类（长吻鮠、</w:t>
      </w:r>
      <w:r>
        <w:rPr>
          <w:rFonts w:hint="eastAsia"/>
          <w:color w:val="auto"/>
          <w:sz w:val="24"/>
        </w:rPr>
        <w:t>瓦氏黄颡鱼</w:t>
      </w:r>
      <w:r>
        <w:rPr>
          <w:rFonts w:hint="eastAsia"/>
          <w:color w:val="auto"/>
          <w:sz w:val="24"/>
          <w:lang w:val="en-US" w:eastAsia="zh-CN"/>
        </w:rPr>
        <w:t>），主要经济鱼类（青、草、鲢、鳙）的“三场一通道”的分析，本工程建设不涉及珍稀鱼类的栖息地和主要经济鱼类的产卵场、越冬场和索饵场，但是会占用部分“四大家鱼”洄游通道。</w:t>
      </w:r>
    </w:p>
    <w:p w14:paraId="3B979F2A">
      <w:pPr>
        <w:pStyle w:val="4"/>
        <w:numPr>
          <w:ilvl w:val="2"/>
          <w:numId w:val="0"/>
        </w:numPr>
        <w:rPr>
          <w:color w:val="auto"/>
        </w:rPr>
      </w:pPr>
      <w:r>
        <w:rPr>
          <w:rFonts w:hint="eastAsia"/>
          <w:color w:val="auto"/>
        </w:rPr>
        <w:t>4.1.</w:t>
      </w:r>
      <w:r>
        <w:rPr>
          <w:rFonts w:hint="eastAsia"/>
          <w:color w:val="auto"/>
          <w:lang w:val="en-US" w:eastAsia="zh-CN"/>
        </w:rPr>
        <w:t>8</w:t>
      </w:r>
      <w:r>
        <w:rPr>
          <w:color w:val="auto"/>
        </w:rPr>
        <w:t>淮河淮南段长吻鮠国家级水产种质资源保护区</w:t>
      </w:r>
    </w:p>
    <w:p w14:paraId="793359A5">
      <w:pPr>
        <w:spacing w:line="360" w:lineRule="auto"/>
        <w:ind w:firstLine="480" w:firstLineChars="200"/>
        <w:rPr>
          <w:color w:val="auto"/>
          <w:sz w:val="24"/>
        </w:rPr>
      </w:pPr>
      <w:r>
        <w:rPr>
          <w:color w:val="auto"/>
          <w:sz w:val="24"/>
        </w:rPr>
        <w:t>（</w:t>
      </w:r>
      <w:r>
        <w:rPr>
          <w:rFonts w:hint="eastAsia"/>
          <w:color w:val="auto"/>
          <w:sz w:val="24"/>
        </w:rPr>
        <w:t>1</w:t>
      </w:r>
      <w:r>
        <w:rPr>
          <w:color w:val="auto"/>
          <w:sz w:val="24"/>
        </w:rPr>
        <w:t>）保护区概况</w:t>
      </w:r>
    </w:p>
    <w:p w14:paraId="19BD7D8D">
      <w:pPr>
        <w:spacing w:line="360" w:lineRule="auto"/>
        <w:ind w:firstLine="480" w:firstLineChars="200"/>
        <w:rPr>
          <w:rFonts w:hint="eastAsia"/>
          <w:color w:val="auto"/>
          <w:sz w:val="24"/>
        </w:rPr>
      </w:pPr>
      <w:r>
        <w:rPr>
          <w:rFonts w:hint="eastAsia"/>
          <w:color w:val="auto"/>
          <w:sz w:val="24"/>
        </w:rPr>
        <w:t>淮河淮南段长吻鮠国家级水产种质资源保护区于2011年由</w:t>
      </w:r>
      <w:r>
        <w:rPr>
          <w:rFonts w:hint="eastAsia"/>
          <w:color w:val="auto"/>
          <w:sz w:val="24"/>
          <w:lang w:eastAsia="zh-CN"/>
        </w:rPr>
        <w:t>农业农村部</w:t>
      </w:r>
      <w:r>
        <w:rPr>
          <w:rFonts w:hint="eastAsia"/>
          <w:color w:val="auto"/>
          <w:sz w:val="24"/>
        </w:rPr>
        <w:t>公告第1684号文批准成立，保护区位于安徽省淮南市</w:t>
      </w:r>
      <w:r>
        <w:rPr>
          <w:rFonts w:hint="eastAsia"/>
          <w:color w:val="auto"/>
          <w:sz w:val="24"/>
          <w:lang w:eastAsia="zh-CN"/>
        </w:rPr>
        <w:t>凤台县</w:t>
      </w:r>
      <w:r>
        <w:rPr>
          <w:rFonts w:hint="eastAsia"/>
          <w:color w:val="auto"/>
          <w:sz w:val="24"/>
        </w:rPr>
        <w:t>矛仙洞至何台淮河大桥间的淮河干流，保护区总面积为1000hm</w:t>
      </w:r>
      <w:r>
        <w:rPr>
          <w:color w:val="auto"/>
          <w:sz w:val="24"/>
          <w:vertAlign w:val="superscript"/>
        </w:rPr>
        <w:t>2</w:t>
      </w:r>
      <w:r>
        <w:rPr>
          <w:rFonts w:hint="eastAsia"/>
          <w:color w:val="auto"/>
          <w:sz w:val="24"/>
        </w:rPr>
        <w:t>，其中核心区面积为300hm</w:t>
      </w:r>
      <w:r>
        <w:rPr>
          <w:rFonts w:hint="eastAsia"/>
          <w:color w:val="auto"/>
          <w:sz w:val="24"/>
          <w:vertAlign w:val="superscript"/>
        </w:rPr>
        <w:t>2</w:t>
      </w:r>
      <w:r>
        <w:rPr>
          <w:rFonts w:hint="eastAsia"/>
          <w:color w:val="auto"/>
          <w:sz w:val="24"/>
        </w:rPr>
        <w:t>，实验区面积为700hm</w:t>
      </w:r>
      <w:r>
        <w:rPr>
          <w:rFonts w:hint="eastAsia"/>
          <w:color w:val="auto"/>
          <w:sz w:val="24"/>
          <w:vertAlign w:val="superscript"/>
        </w:rPr>
        <w:t>2</w:t>
      </w:r>
      <w:r>
        <w:rPr>
          <w:rFonts w:hint="eastAsia"/>
          <w:color w:val="auto"/>
          <w:sz w:val="24"/>
        </w:rPr>
        <w:t>。核心区特别保护期为每年4月1日~6月30日。保护区位于淮河淮南市凤台县李冲回族乡茅仙洞下至毛集区何台镇淮河大桥段的淮河水域，全长30km，其中核心区位于保护区上游，从凤台李冲回族乡的茅仙洞至凤台县淮河大桥（</w:t>
      </w:r>
      <w:r>
        <w:rPr>
          <w:color w:val="auto"/>
          <w:sz w:val="24"/>
        </w:rPr>
        <w:t>116°43′34″</w:t>
      </w:r>
      <w:r>
        <w:rPr>
          <w:rFonts w:hint="eastAsia"/>
          <w:color w:val="auto"/>
          <w:sz w:val="24"/>
        </w:rPr>
        <w:t>~</w:t>
      </w:r>
      <w:r>
        <w:rPr>
          <w:color w:val="auto"/>
          <w:sz w:val="24"/>
        </w:rPr>
        <w:t>116°44′13″E，32°39′43″</w:t>
      </w:r>
      <w:r>
        <w:rPr>
          <w:rFonts w:hint="eastAsia"/>
          <w:color w:val="auto"/>
          <w:sz w:val="24"/>
        </w:rPr>
        <w:t>~</w:t>
      </w:r>
      <w:r>
        <w:rPr>
          <w:color w:val="auto"/>
          <w:sz w:val="24"/>
        </w:rPr>
        <w:t>32°42′14″N</w:t>
      </w:r>
      <w:r>
        <w:rPr>
          <w:rFonts w:hint="eastAsia"/>
          <w:color w:val="auto"/>
          <w:sz w:val="24"/>
        </w:rPr>
        <w:t>），主要是八公山断裂带，实验区从凤台淮河大桥至毛集区何台淮河大桥（</w:t>
      </w:r>
      <w:r>
        <w:rPr>
          <w:color w:val="auto"/>
          <w:sz w:val="24"/>
        </w:rPr>
        <w:t>116°44′13″</w:t>
      </w:r>
      <w:r>
        <w:rPr>
          <w:rFonts w:hint="eastAsia"/>
          <w:color w:val="auto"/>
          <w:sz w:val="24"/>
        </w:rPr>
        <w:t>~</w:t>
      </w:r>
      <w:r>
        <w:rPr>
          <w:color w:val="auto"/>
          <w:sz w:val="24"/>
        </w:rPr>
        <w:t>116°56′06″E，32°42′14″</w:t>
      </w:r>
      <w:r>
        <w:rPr>
          <w:rFonts w:hint="eastAsia"/>
          <w:color w:val="auto"/>
          <w:sz w:val="24"/>
        </w:rPr>
        <w:t>~</w:t>
      </w:r>
      <w:r>
        <w:rPr>
          <w:color w:val="auto"/>
          <w:sz w:val="24"/>
        </w:rPr>
        <w:t>32°40′16″N</w:t>
      </w:r>
      <w:r>
        <w:rPr>
          <w:rFonts w:hint="eastAsia"/>
          <w:color w:val="auto"/>
          <w:sz w:val="24"/>
        </w:rPr>
        <w:t>），以行蓄洪区为主。</w:t>
      </w:r>
    </w:p>
    <w:p w14:paraId="2D65DEEF">
      <w:pPr>
        <w:spacing w:line="360" w:lineRule="auto"/>
        <w:ind w:firstLine="480" w:firstLineChars="200"/>
        <w:rPr>
          <w:color w:val="auto"/>
          <w:sz w:val="24"/>
        </w:rPr>
      </w:pPr>
      <w:r>
        <w:rPr>
          <w:rFonts w:hint="eastAsia"/>
          <w:color w:val="auto"/>
          <w:sz w:val="24"/>
        </w:rPr>
        <w:t>核心区长度为10km，面积为300hm</w:t>
      </w:r>
      <w:r>
        <w:rPr>
          <w:rFonts w:hint="eastAsia"/>
          <w:color w:val="auto"/>
          <w:sz w:val="24"/>
          <w:vertAlign w:val="superscript"/>
        </w:rPr>
        <w:t>2</w:t>
      </w:r>
      <w:r>
        <w:rPr>
          <w:rFonts w:hint="eastAsia"/>
          <w:color w:val="auto"/>
          <w:sz w:val="24"/>
        </w:rPr>
        <w:t>，范围包括淮河西岸李冲回族乡石湾村耕地下（即茅仙洞对岸）（</w:t>
      </w:r>
      <w:r>
        <w:rPr>
          <w:color w:val="auto"/>
          <w:sz w:val="24"/>
        </w:rPr>
        <w:t>116°44′30″E</w:t>
      </w:r>
      <w:r>
        <w:rPr>
          <w:rFonts w:hint="eastAsia"/>
          <w:color w:val="auto"/>
          <w:sz w:val="24"/>
        </w:rPr>
        <w:t>，</w:t>
      </w:r>
      <w:r>
        <w:rPr>
          <w:color w:val="auto"/>
          <w:sz w:val="24"/>
        </w:rPr>
        <w:t>32°37′39″N</w:t>
      </w:r>
      <w:r>
        <w:rPr>
          <w:rFonts w:hint="eastAsia"/>
          <w:color w:val="auto"/>
          <w:sz w:val="24"/>
        </w:rPr>
        <w:t>）、峡山口西岸（</w:t>
      </w:r>
      <w:r>
        <w:rPr>
          <w:color w:val="auto"/>
          <w:sz w:val="24"/>
        </w:rPr>
        <w:t>116°41′46″E</w:t>
      </w:r>
      <w:r>
        <w:rPr>
          <w:rFonts w:hint="eastAsia"/>
          <w:color w:val="auto"/>
          <w:sz w:val="24"/>
        </w:rPr>
        <w:t>，</w:t>
      </w:r>
      <w:r>
        <w:rPr>
          <w:color w:val="auto"/>
          <w:sz w:val="24"/>
        </w:rPr>
        <w:t>32°40′25″N</w:t>
      </w:r>
      <w:r>
        <w:rPr>
          <w:rFonts w:hint="eastAsia"/>
          <w:color w:val="auto"/>
          <w:sz w:val="24"/>
        </w:rPr>
        <w:t>）、西淝河入淮口（</w:t>
      </w:r>
      <w:r>
        <w:rPr>
          <w:color w:val="auto"/>
          <w:sz w:val="24"/>
        </w:rPr>
        <w:t>116°41′25″E</w:t>
      </w:r>
      <w:r>
        <w:rPr>
          <w:rFonts w:hint="eastAsia"/>
          <w:color w:val="auto"/>
          <w:sz w:val="24"/>
        </w:rPr>
        <w:t>，</w:t>
      </w:r>
      <w:r>
        <w:rPr>
          <w:color w:val="auto"/>
          <w:sz w:val="24"/>
        </w:rPr>
        <w:t>32°41′17″N</w:t>
      </w:r>
      <w:r>
        <w:rPr>
          <w:rFonts w:hint="eastAsia"/>
          <w:color w:val="auto"/>
          <w:sz w:val="24"/>
        </w:rPr>
        <w:t>）、谢郢村下淮河北岸（</w:t>
      </w:r>
      <w:r>
        <w:rPr>
          <w:color w:val="auto"/>
          <w:sz w:val="24"/>
        </w:rPr>
        <w:t>116°42′05″E</w:t>
      </w:r>
      <w:r>
        <w:rPr>
          <w:rFonts w:hint="eastAsia"/>
          <w:color w:val="auto"/>
          <w:sz w:val="24"/>
        </w:rPr>
        <w:t>，</w:t>
      </w:r>
      <w:r>
        <w:rPr>
          <w:color w:val="auto"/>
          <w:sz w:val="24"/>
        </w:rPr>
        <w:t>32°42′05″N</w:t>
      </w:r>
      <w:r>
        <w:rPr>
          <w:rFonts w:hint="eastAsia"/>
          <w:color w:val="auto"/>
          <w:sz w:val="24"/>
        </w:rPr>
        <w:t>）、凤台淮河大桥西端（</w:t>
      </w:r>
      <w:r>
        <w:rPr>
          <w:color w:val="auto"/>
          <w:sz w:val="24"/>
        </w:rPr>
        <w:t>116°43′29″E</w:t>
      </w:r>
      <w:r>
        <w:rPr>
          <w:rFonts w:hint="eastAsia"/>
          <w:color w:val="auto"/>
          <w:sz w:val="24"/>
        </w:rPr>
        <w:t>，</w:t>
      </w:r>
      <w:r>
        <w:rPr>
          <w:color w:val="auto"/>
          <w:sz w:val="24"/>
        </w:rPr>
        <w:t>32°42′22″N</w:t>
      </w:r>
      <w:r>
        <w:rPr>
          <w:rFonts w:hint="eastAsia"/>
          <w:color w:val="auto"/>
          <w:sz w:val="24"/>
        </w:rPr>
        <w:t>）、凤台淮河大桥东端（</w:t>
      </w:r>
      <w:r>
        <w:rPr>
          <w:color w:val="auto"/>
          <w:sz w:val="24"/>
        </w:rPr>
        <w:t>116°43′49″E</w:t>
      </w:r>
      <w:r>
        <w:rPr>
          <w:rFonts w:hint="eastAsia"/>
          <w:color w:val="auto"/>
          <w:sz w:val="24"/>
        </w:rPr>
        <w:t>，</w:t>
      </w:r>
      <w:r>
        <w:rPr>
          <w:color w:val="auto"/>
          <w:sz w:val="24"/>
        </w:rPr>
        <w:t>32°42′24″N</w:t>
      </w:r>
      <w:r>
        <w:rPr>
          <w:rFonts w:hint="eastAsia"/>
          <w:color w:val="auto"/>
          <w:sz w:val="24"/>
        </w:rPr>
        <w:t>）、魏台孜淮河南岸（</w:t>
      </w:r>
      <w:r>
        <w:rPr>
          <w:color w:val="auto"/>
          <w:sz w:val="24"/>
        </w:rPr>
        <w:t>116°43′30″E</w:t>
      </w:r>
      <w:r>
        <w:rPr>
          <w:rFonts w:hint="eastAsia"/>
          <w:color w:val="auto"/>
          <w:sz w:val="24"/>
        </w:rPr>
        <w:t>，</w:t>
      </w:r>
      <w:r>
        <w:rPr>
          <w:color w:val="auto"/>
          <w:sz w:val="24"/>
        </w:rPr>
        <w:t>32°41′25″N</w:t>
      </w:r>
      <w:r>
        <w:rPr>
          <w:rFonts w:hint="eastAsia"/>
          <w:color w:val="auto"/>
          <w:sz w:val="24"/>
        </w:rPr>
        <w:t>）、峡山口东岸半个山（</w:t>
      </w:r>
      <w:r>
        <w:rPr>
          <w:color w:val="auto"/>
          <w:sz w:val="24"/>
        </w:rPr>
        <w:t>116°41′48″E</w:t>
      </w:r>
      <w:r>
        <w:rPr>
          <w:rFonts w:hint="eastAsia"/>
          <w:color w:val="auto"/>
          <w:sz w:val="24"/>
        </w:rPr>
        <w:t>，</w:t>
      </w:r>
      <w:r>
        <w:rPr>
          <w:color w:val="auto"/>
          <w:sz w:val="24"/>
        </w:rPr>
        <w:t>32°41′35″N</w:t>
      </w:r>
      <w:r>
        <w:rPr>
          <w:rFonts w:hint="eastAsia"/>
          <w:color w:val="auto"/>
          <w:sz w:val="24"/>
        </w:rPr>
        <w:t>）和矛仙洞下淮河东岸（</w:t>
      </w:r>
      <w:r>
        <w:rPr>
          <w:color w:val="auto"/>
          <w:sz w:val="24"/>
        </w:rPr>
        <w:t>116°44′45″E</w:t>
      </w:r>
      <w:r>
        <w:rPr>
          <w:rFonts w:hint="eastAsia"/>
          <w:color w:val="auto"/>
          <w:sz w:val="24"/>
        </w:rPr>
        <w:t>，</w:t>
      </w:r>
      <w:r>
        <w:rPr>
          <w:color w:val="auto"/>
          <w:sz w:val="24"/>
        </w:rPr>
        <w:t>32°37′30″N</w:t>
      </w:r>
      <w:r>
        <w:rPr>
          <w:rFonts w:hint="eastAsia"/>
          <w:color w:val="auto"/>
          <w:sz w:val="24"/>
        </w:rPr>
        <w:t>）等9个拐点顺序连线所围的水域。实验区总长度为20km，水体总面积为700hm</w:t>
      </w:r>
      <w:r>
        <w:rPr>
          <w:rFonts w:hint="eastAsia"/>
          <w:color w:val="auto"/>
          <w:sz w:val="24"/>
          <w:vertAlign w:val="superscript"/>
        </w:rPr>
        <w:t>2</w:t>
      </w:r>
      <w:r>
        <w:rPr>
          <w:rFonts w:hint="eastAsia"/>
          <w:color w:val="auto"/>
          <w:sz w:val="24"/>
        </w:rPr>
        <w:t>，范围包括凤台淮河大桥西端（</w:t>
      </w:r>
      <w:r>
        <w:rPr>
          <w:color w:val="auto"/>
          <w:sz w:val="24"/>
        </w:rPr>
        <w:t>116°43′29″E</w:t>
      </w:r>
      <w:r>
        <w:rPr>
          <w:rFonts w:hint="eastAsia"/>
          <w:color w:val="auto"/>
          <w:sz w:val="24"/>
        </w:rPr>
        <w:t>，</w:t>
      </w:r>
      <w:r>
        <w:rPr>
          <w:color w:val="auto"/>
          <w:sz w:val="24"/>
        </w:rPr>
        <w:t>32°42′22″N</w:t>
      </w:r>
      <w:r>
        <w:rPr>
          <w:rFonts w:hint="eastAsia"/>
          <w:color w:val="auto"/>
          <w:sz w:val="24"/>
        </w:rPr>
        <w:t>）、三里湾（</w:t>
      </w:r>
      <w:r>
        <w:rPr>
          <w:color w:val="auto"/>
          <w:sz w:val="24"/>
        </w:rPr>
        <w:t>116°43′56″E</w:t>
      </w:r>
      <w:r>
        <w:rPr>
          <w:rFonts w:hint="eastAsia"/>
          <w:color w:val="auto"/>
          <w:sz w:val="24"/>
        </w:rPr>
        <w:t>，</w:t>
      </w:r>
      <w:r>
        <w:rPr>
          <w:color w:val="auto"/>
          <w:sz w:val="24"/>
        </w:rPr>
        <w:t>32°44′45″N</w:t>
      </w:r>
      <w:r>
        <w:rPr>
          <w:rFonts w:hint="eastAsia"/>
          <w:color w:val="auto"/>
          <w:sz w:val="24"/>
        </w:rPr>
        <w:t>）、曹岗村下（</w:t>
      </w:r>
      <w:r>
        <w:rPr>
          <w:color w:val="auto"/>
          <w:sz w:val="24"/>
        </w:rPr>
        <w:t>116°50′37″E</w:t>
      </w:r>
      <w:r>
        <w:rPr>
          <w:rFonts w:hint="eastAsia"/>
          <w:color w:val="auto"/>
          <w:sz w:val="24"/>
        </w:rPr>
        <w:t>，</w:t>
      </w:r>
      <w:r>
        <w:rPr>
          <w:color w:val="auto"/>
          <w:sz w:val="24"/>
        </w:rPr>
        <w:t>32°41′40″N</w:t>
      </w:r>
      <w:r>
        <w:rPr>
          <w:rFonts w:hint="eastAsia"/>
          <w:color w:val="auto"/>
          <w:sz w:val="24"/>
        </w:rPr>
        <w:t>）、下六坊东北角对岸（</w:t>
      </w:r>
      <w:r>
        <w:rPr>
          <w:color w:val="auto"/>
          <w:sz w:val="24"/>
        </w:rPr>
        <w:t>116°54′53″E</w:t>
      </w:r>
      <w:r>
        <w:rPr>
          <w:rFonts w:hint="eastAsia"/>
          <w:color w:val="auto"/>
          <w:sz w:val="24"/>
        </w:rPr>
        <w:t>，</w:t>
      </w:r>
      <w:r>
        <w:rPr>
          <w:color w:val="auto"/>
          <w:sz w:val="24"/>
        </w:rPr>
        <w:t>32°40′00″N</w:t>
      </w:r>
      <w:r>
        <w:rPr>
          <w:rFonts w:hint="eastAsia"/>
          <w:color w:val="auto"/>
          <w:sz w:val="24"/>
        </w:rPr>
        <w:t>）、何台淮河大桥北端（</w:t>
      </w:r>
      <w:r>
        <w:rPr>
          <w:color w:val="auto"/>
          <w:sz w:val="24"/>
        </w:rPr>
        <w:t>116°55′50″E</w:t>
      </w:r>
      <w:r>
        <w:rPr>
          <w:rFonts w:hint="eastAsia"/>
          <w:color w:val="auto"/>
          <w:sz w:val="24"/>
        </w:rPr>
        <w:t>，</w:t>
      </w:r>
      <w:r>
        <w:rPr>
          <w:color w:val="auto"/>
          <w:sz w:val="24"/>
        </w:rPr>
        <w:t>32°40′35″N</w:t>
      </w:r>
      <w:r>
        <w:rPr>
          <w:rFonts w:hint="eastAsia"/>
          <w:color w:val="auto"/>
          <w:sz w:val="24"/>
        </w:rPr>
        <w:t>）、何台淮河大桥南端（</w:t>
      </w:r>
      <w:r>
        <w:rPr>
          <w:color w:val="auto"/>
          <w:sz w:val="24"/>
        </w:rPr>
        <w:t>116°55′52″E</w:t>
      </w:r>
      <w:r>
        <w:rPr>
          <w:rFonts w:hint="eastAsia"/>
          <w:color w:val="auto"/>
          <w:sz w:val="24"/>
        </w:rPr>
        <w:t>，</w:t>
      </w:r>
      <w:r>
        <w:rPr>
          <w:color w:val="auto"/>
          <w:sz w:val="24"/>
        </w:rPr>
        <w:t>32°40′25″N</w:t>
      </w:r>
      <w:r>
        <w:rPr>
          <w:rFonts w:hint="eastAsia"/>
          <w:color w:val="auto"/>
          <w:sz w:val="24"/>
        </w:rPr>
        <w:t>）、石头埠耿皇</w:t>
      </w:r>
      <w:r>
        <w:rPr>
          <w:rFonts w:hint="eastAsia"/>
          <w:color w:val="auto"/>
          <w:sz w:val="24"/>
          <w:lang w:eastAsia="zh-CN"/>
        </w:rPr>
        <w:t>村</w:t>
      </w:r>
      <w:r>
        <w:rPr>
          <w:rFonts w:hint="eastAsia"/>
          <w:color w:val="auto"/>
          <w:sz w:val="24"/>
        </w:rPr>
        <w:t>淮河南岸（</w:t>
      </w:r>
      <w:r>
        <w:rPr>
          <w:color w:val="auto"/>
          <w:sz w:val="24"/>
        </w:rPr>
        <w:t>116°53′55″E</w:t>
      </w:r>
      <w:r>
        <w:rPr>
          <w:rFonts w:hint="eastAsia"/>
          <w:color w:val="auto"/>
          <w:sz w:val="24"/>
        </w:rPr>
        <w:t>，</w:t>
      </w:r>
      <w:r>
        <w:rPr>
          <w:color w:val="auto"/>
          <w:sz w:val="24"/>
        </w:rPr>
        <w:t>32°37′50″N</w:t>
      </w:r>
      <w:r>
        <w:rPr>
          <w:rFonts w:hint="eastAsia"/>
          <w:color w:val="auto"/>
          <w:sz w:val="24"/>
        </w:rPr>
        <w:t>）、八公山孔集下皮叉路（</w:t>
      </w:r>
      <w:r>
        <w:rPr>
          <w:color w:val="auto"/>
          <w:sz w:val="24"/>
        </w:rPr>
        <w:t>116°49′10″E</w:t>
      </w:r>
      <w:r>
        <w:rPr>
          <w:rFonts w:hint="eastAsia"/>
          <w:color w:val="auto"/>
          <w:sz w:val="24"/>
        </w:rPr>
        <w:t>，</w:t>
      </w:r>
      <w:r>
        <w:rPr>
          <w:color w:val="auto"/>
          <w:sz w:val="24"/>
        </w:rPr>
        <w:t>32°41′55″N</w:t>
      </w:r>
      <w:r>
        <w:rPr>
          <w:rFonts w:hint="eastAsia"/>
          <w:color w:val="auto"/>
          <w:sz w:val="24"/>
        </w:rPr>
        <w:t>）、凤台大山镇淮河东岸分叉口（</w:t>
      </w:r>
      <w:r>
        <w:rPr>
          <w:color w:val="auto"/>
          <w:sz w:val="24"/>
        </w:rPr>
        <w:t>116°45′30″E</w:t>
      </w:r>
      <w:r>
        <w:rPr>
          <w:rFonts w:hint="eastAsia"/>
          <w:color w:val="auto"/>
          <w:sz w:val="24"/>
        </w:rPr>
        <w:t>，</w:t>
      </w:r>
      <w:r>
        <w:rPr>
          <w:color w:val="auto"/>
          <w:sz w:val="24"/>
        </w:rPr>
        <w:t>32°43′20″N</w:t>
      </w:r>
      <w:r>
        <w:rPr>
          <w:rFonts w:hint="eastAsia"/>
          <w:color w:val="auto"/>
          <w:sz w:val="24"/>
        </w:rPr>
        <w:t>）和凤台淮河大桥东端（</w:t>
      </w:r>
      <w:r>
        <w:rPr>
          <w:color w:val="auto"/>
          <w:sz w:val="24"/>
        </w:rPr>
        <w:t>116°43′49″E</w:t>
      </w:r>
      <w:r>
        <w:rPr>
          <w:rFonts w:hint="eastAsia"/>
          <w:color w:val="auto"/>
          <w:sz w:val="24"/>
        </w:rPr>
        <w:t>，</w:t>
      </w:r>
      <w:r>
        <w:rPr>
          <w:color w:val="auto"/>
          <w:sz w:val="24"/>
        </w:rPr>
        <w:t>32°42′24″N</w:t>
      </w:r>
      <w:r>
        <w:rPr>
          <w:rFonts w:hint="eastAsia"/>
          <w:color w:val="auto"/>
          <w:sz w:val="24"/>
        </w:rPr>
        <w:t>）等10个拐点顺序连线所围成的水域（不包括上六坊、下六坊行蓄洪区土地）。</w:t>
      </w:r>
    </w:p>
    <w:p w14:paraId="35893AE0">
      <w:pPr>
        <w:spacing w:line="360" w:lineRule="auto"/>
        <w:ind w:firstLine="480" w:firstLineChars="200"/>
        <w:rPr>
          <w:color w:val="auto"/>
          <w:sz w:val="24"/>
        </w:rPr>
      </w:pPr>
      <w:r>
        <w:rPr>
          <w:color w:val="auto"/>
          <w:sz w:val="24"/>
        </w:rPr>
        <w:t>（</w:t>
      </w:r>
      <w:r>
        <w:rPr>
          <w:rFonts w:hint="eastAsia"/>
          <w:color w:val="auto"/>
          <w:sz w:val="24"/>
        </w:rPr>
        <w:t>2</w:t>
      </w:r>
      <w:r>
        <w:rPr>
          <w:color w:val="auto"/>
          <w:sz w:val="24"/>
        </w:rPr>
        <w:t>）保护区的主要功能</w:t>
      </w:r>
    </w:p>
    <w:p w14:paraId="2F998341">
      <w:pPr>
        <w:spacing w:line="360" w:lineRule="auto"/>
        <w:ind w:firstLine="480" w:firstLineChars="200"/>
        <w:rPr>
          <w:color w:val="auto"/>
          <w:sz w:val="24"/>
        </w:rPr>
      </w:pPr>
      <w:r>
        <w:rPr>
          <w:rFonts w:hint="eastAsia"/>
          <w:color w:val="auto"/>
          <w:sz w:val="24"/>
        </w:rPr>
        <w:t>水产种质资源保护区是以鱼类和其它水生动植物及其生态系统为主要保护对象，保护鱼虾类产卵场、索饵场、越冬场、洄游通道及其生态环境，防治渔业水域污染，保护珍稀野生水生生物栖息地与集中分布区，维护渔业水域的生物多样性。属于集生物多样性保护、科学研究、宣传教育为一体的综合性生态系统类型的保护区。主导功能是保护水产种质资源、维护生物多样性。</w:t>
      </w:r>
    </w:p>
    <w:p w14:paraId="26E7F0DB">
      <w:pPr>
        <w:spacing w:line="360" w:lineRule="auto"/>
        <w:ind w:firstLine="480" w:firstLineChars="200"/>
        <w:rPr>
          <w:color w:val="auto"/>
          <w:sz w:val="24"/>
        </w:rPr>
      </w:pPr>
      <w:r>
        <w:rPr>
          <w:rFonts w:hint="eastAsia"/>
          <w:color w:val="auto"/>
          <w:sz w:val="24"/>
        </w:rPr>
        <w:t>（3）保护区主要保护对象</w:t>
      </w:r>
    </w:p>
    <w:p w14:paraId="243DAE3E">
      <w:pPr>
        <w:spacing w:line="360" w:lineRule="auto"/>
        <w:ind w:firstLine="480" w:firstLineChars="200"/>
        <w:rPr>
          <w:color w:val="auto"/>
          <w:sz w:val="24"/>
        </w:rPr>
      </w:pPr>
      <w:r>
        <w:rPr>
          <w:rFonts w:hint="eastAsia"/>
          <w:color w:val="auto"/>
          <w:sz w:val="24"/>
        </w:rPr>
        <w:t>淮河淮南段长吻鮠国家级水产种质资源保护区主要保护对象为长吻鮠、瓦氏黄颡鱼，其他保护物种还有青鱼、草鱼、鲢、鳙、鲤、鲫、鳊、团头鲂、长吻鮠、黄颡鱼、乌鳢、鳜、翘嘴鲌、日本沼虾、秀丽白虾等。</w:t>
      </w:r>
    </w:p>
    <w:p w14:paraId="6D8181B1">
      <w:pPr>
        <w:spacing w:line="360" w:lineRule="auto"/>
        <w:ind w:firstLine="480" w:firstLineChars="200"/>
        <w:rPr>
          <w:color w:val="auto"/>
          <w:sz w:val="24"/>
        </w:rPr>
      </w:pPr>
      <w:r>
        <w:rPr>
          <w:color w:val="auto"/>
          <w:sz w:val="24"/>
        </w:rPr>
        <w:t>（</w:t>
      </w:r>
      <w:r>
        <w:rPr>
          <w:rFonts w:hint="eastAsia"/>
          <w:color w:val="auto"/>
          <w:sz w:val="24"/>
        </w:rPr>
        <w:t>4</w:t>
      </w:r>
      <w:r>
        <w:rPr>
          <w:color w:val="auto"/>
          <w:sz w:val="24"/>
        </w:rPr>
        <w:t>）项目与国家级水产种质资源保护区位置关系</w:t>
      </w:r>
    </w:p>
    <w:p w14:paraId="67649969">
      <w:pPr>
        <w:spacing w:line="360" w:lineRule="auto"/>
        <w:ind w:firstLine="480" w:firstLineChars="200"/>
        <w:rPr>
          <w:rFonts w:hint="eastAsia"/>
          <w:color w:val="auto"/>
          <w:sz w:val="24"/>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r>
        <w:rPr>
          <w:color w:val="auto"/>
          <w:sz w:val="24"/>
        </w:rPr>
        <w:t>本项目选址</w:t>
      </w:r>
      <w:r>
        <w:rPr>
          <w:rFonts w:hint="eastAsia"/>
          <w:color w:val="auto"/>
          <w:sz w:val="24"/>
        </w:rPr>
        <w:t>位于淮南市潘集区平圩镇淮河北汊的左岸潘集港区规划作业区，对应淮北大堤饶荆段桩号</w:t>
      </w:r>
      <w:r>
        <w:rPr>
          <w:rFonts w:hint="eastAsia"/>
          <w:color w:val="auto"/>
          <w:sz w:val="24"/>
          <w:lang w:eastAsia="zh-CN"/>
        </w:rPr>
        <w:t>68+052~68+254</w:t>
      </w:r>
      <w:r>
        <w:rPr>
          <w:rFonts w:hint="eastAsia"/>
          <w:color w:val="auto"/>
          <w:sz w:val="24"/>
        </w:rPr>
        <w:t>，上距平圩大件码头约136m，鹏源码头约500m；下距店集码头约75m，下距淮南淮河大桥约2.</w:t>
      </w:r>
      <w:r>
        <w:rPr>
          <w:rFonts w:hint="eastAsia"/>
          <w:color w:val="auto"/>
          <w:sz w:val="24"/>
          <w:lang w:val="en-US" w:eastAsia="zh-CN"/>
        </w:rPr>
        <w:t>5</w:t>
      </w:r>
      <w:r>
        <w:rPr>
          <w:rFonts w:hint="eastAsia"/>
          <w:color w:val="auto"/>
          <w:sz w:val="24"/>
        </w:rPr>
        <w:t>km，属淮南港潘集港区平圩作业区。位于淮南段长吻鮠国家级水产种质资源保护区实验区。</w:t>
      </w:r>
    </w:p>
    <w:p w14:paraId="0C4234FA">
      <w:pPr>
        <w:jc w:val="center"/>
        <w:rPr>
          <w:rFonts w:hint="eastAsia"/>
          <w:color w:val="auto"/>
          <w:sz w:val="24"/>
        </w:rPr>
      </w:pPr>
      <w:r>
        <w:rPr>
          <w:color w:val="auto"/>
        </w:rPr>
        <w:drawing>
          <wp:anchor distT="0" distB="0" distL="114300" distR="114300" simplePos="0" relativeHeight="251720704" behindDoc="0" locked="0" layoutInCell="1" allowOverlap="1">
            <wp:simplePos x="0" y="0"/>
            <wp:positionH relativeFrom="column">
              <wp:posOffset>922655</wp:posOffset>
            </wp:positionH>
            <wp:positionV relativeFrom="paragraph">
              <wp:posOffset>339090</wp:posOffset>
            </wp:positionV>
            <wp:extent cx="897890" cy="897890"/>
            <wp:effectExtent l="0" t="0" r="3810" b="3810"/>
            <wp:wrapNone/>
            <wp:docPr id="112" name="图片 292"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92" descr="淮南"/>
                    <pic:cNvPicPr>
                      <a:picLocks noChangeAspect="1"/>
                    </pic:cNvPicPr>
                  </pic:nvPicPr>
                  <pic:blipFill>
                    <a:blip r:embed="rId40"/>
                    <a:stretch>
                      <a:fillRect/>
                    </a:stretch>
                  </pic:blipFill>
                  <pic:spPr>
                    <a:xfrm>
                      <a:off x="0" y="0"/>
                      <a:ext cx="897890" cy="897890"/>
                    </a:xfrm>
                    <a:prstGeom prst="rect">
                      <a:avLst/>
                    </a:prstGeom>
                    <a:noFill/>
                    <a:ln>
                      <a:noFill/>
                    </a:ln>
                  </pic:spPr>
                </pic:pic>
              </a:graphicData>
            </a:graphic>
          </wp:anchor>
        </w:drawing>
      </w:r>
      <w:r>
        <w:rPr>
          <w:rFonts w:ascii="Times New Roman" w:hAnsi="Times New Roman" w:eastAsia="宋体"/>
          <w:b/>
        </w:rPr>
        <w:drawing>
          <wp:inline distT="0" distB="0" distL="114300" distR="114300">
            <wp:extent cx="7367905" cy="5146040"/>
            <wp:effectExtent l="0" t="0" r="10795" b="10160"/>
            <wp:docPr id="154" name="图片 33" descr="2变更后方案-放大图+缩略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33" descr="2变更后方案-放大图+缩略图"/>
                    <pic:cNvPicPr>
                      <a:picLocks noChangeAspect="1"/>
                    </pic:cNvPicPr>
                  </pic:nvPicPr>
                  <pic:blipFill>
                    <a:blip r:embed="rId81"/>
                    <a:stretch>
                      <a:fillRect/>
                    </a:stretch>
                  </pic:blipFill>
                  <pic:spPr>
                    <a:xfrm>
                      <a:off x="0" y="0"/>
                      <a:ext cx="7367905" cy="5146040"/>
                    </a:xfrm>
                    <a:prstGeom prst="rect">
                      <a:avLst/>
                    </a:prstGeom>
                    <a:noFill/>
                    <a:ln>
                      <a:noFill/>
                    </a:ln>
                  </pic:spPr>
                </pic:pic>
              </a:graphicData>
            </a:graphic>
          </wp:inline>
        </w:drawing>
      </w:r>
    </w:p>
    <w:p w14:paraId="077DCAE7">
      <w:pPr>
        <w:spacing w:line="360" w:lineRule="auto"/>
        <w:ind w:firstLine="480" w:firstLineChars="200"/>
        <w:jc w:val="center"/>
        <w:rPr>
          <w:rFonts w:eastAsia="黑体"/>
          <w:color w:val="auto"/>
          <w:sz w:val="24"/>
        </w:rPr>
        <w:sectPr>
          <w:pgSz w:w="16840" w:h="11907" w:orient="landscape"/>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r>
        <w:rPr>
          <w:rFonts w:eastAsia="黑体"/>
          <w:color w:val="auto"/>
          <w:sz w:val="24"/>
        </w:rPr>
        <w:t>图4.1-</w:t>
      </w:r>
      <w:r>
        <w:rPr>
          <w:rFonts w:hint="eastAsia" w:eastAsia="黑体"/>
          <w:color w:val="auto"/>
          <w:sz w:val="24"/>
        </w:rPr>
        <w:t>3</w:t>
      </w:r>
      <w:r>
        <w:rPr>
          <w:rFonts w:eastAsia="黑体"/>
          <w:color w:val="auto"/>
          <w:sz w:val="24"/>
        </w:rPr>
        <w:t xml:space="preserve">  项目与淮河淮南段长吻鮠国家级水产种质资源保护区的位置关系图</w:t>
      </w:r>
    </w:p>
    <w:p w14:paraId="1C3096AC">
      <w:pPr>
        <w:spacing w:line="360" w:lineRule="auto"/>
        <w:ind w:firstLine="480" w:firstLineChars="200"/>
        <w:rPr>
          <w:rFonts w:hint="eastAsia" w:eastAsia="宋体"/>
          <w:color w:val="auto"/>
          <w:sz w:val="24"/>
          <w:lang w:eastAsia="zh-CN"/>
        </w:rPr>
      </w:pPr>
      <w:r>
        <w:rPr>
          <w:color w:val="auto"/>
          <w:sz w:val="24"/>
        </w:rPr>
        <w:t>（</w:t>
      </w:r>
      <w:r>
        <w:rPr>
          <w:rFonts w:hint="eastAsia"/>
          <w:color w:val="auto"/>
          <w:sz w:val="24"/>
          <w:lang w:val="en-US" w:eastAsia="zh-CN"/>
        </w:rPr>
        <w:t>5</w:t>
      </w:r>
      <w:r>
        <w:rPr>
          <w:color w:val="auto"/>
          <w:sz w:val="24"/>
        </w:rPr>
        <w:t>）国家级水产种质资源保护区</w:t>
      </w:r>
      <w:r>
        <w:rPr>
          <w:rFonts w:hint="eastAsia"/>
          <w:color w:val="auto"/>
          <w:sz w:val="24"/>
          <w:lang w:val="en-US" w:eastAsia="zh-CN"/>
        </w:rPr>
        <w:t>管理要求</w:t>
      </w:r>
    </w:p>
    <w:p w14:paraId="6257F4B9">
      <w:pPr>
        <w:spacing w:line="360" w:lineRule="auto"/>
        <w:ind w:firstLine="480" w:firstLineChars="200"/>
        <w:rPr>
          <w:color w:val="auto"/>
          <w:sz w:val="24"/>
        </w:rPr>
      </w:pPr>
      <w:r>
        <w:rPr>
          <w:rFonts w:hint="eastAsia"/>
          <w:color w:val="auto"/>
          <w:sz w:val="24"/>
        </w:rPr>
        <w:t>淮河淮南段长吻鮠国家级水产种质资源保护区主要保护对象为长吻鮠、瓦氏黄颡鱼，</w:t>
      </w:r>
      <w:r>
        <w:rPr>
          <w:rFonts w:hint="eastAsia"/>
          <w:color w:val="auto"/>
          <w:sz w:val="24"/>
          <w:lang w:val="en-US" w:eastAsia="zh-CN"/>
        </w:rPr>
        <w:t>具体管理要求按照《水产种质资源保护区管理暂定办法》（农业部〔2016〕3号令）和《淮南市人民代表大会常务委员会关于加强淮河淮南段长吻鮠、焦岗湖芡实国家级水产种质资源保护区管理的决定》，具体内容见表2.5-5，此处不再重复</w:t>
      </w:r>
      <w:r>
        <w:rPr>
          <w:rFonts w:hint="eastAsia"/>
          <w:color w:val="auto"/>
          <w:sz w:val="24"/>
        </w:rPr>
        <w:t>。</w:t>
      </w:r>
    </w:p>
    <w:p w14:paraId="4B6B7036">
      <w:pPr>
        <w:pStyle w:val="3"/>
        <w:numPr>
          <w:ilvl w:val="1"/>
          <w:numId w:val="0"/>
        </w:numPr>
        <w:rPr>
          <w:color w:val="auto"/>
        </w:rPr>
      </w:pPr>
      <w:bookmarkStart w:id="85" w:name="_Toc30854"/>
      <w:r>
        <w:rPr>
          <w:rFonts w:hint="eastAsia"/>
          <w:color w:val="auto"/>
        </w:rPr>
        <w:t>4.2</w:t>
      </w:r>
      <w:r>
        <w:rPr>
          <w:color w:val="auto"/>
        </w:rPr>
        <w:t>环境质量现状调查与评价</w:t>
      </w:r>
      <w:bookmarkEnd w:id="85"/>
    </w:p>
    <w:p w14:paraId="77C910E5">
      <w:pPr>
        <w:pStyle w:val="4"/>
        <w:numPr>
          <w:ilvl w:val="2"/>
          <w:numId w:val="0"/>
        </w:numPr>
        <w:rPr>
          <w:color w:val="auto"/>
        </w:rPr>
      </w:pPr>
      <w:r>
        <w:rPr>
          <w:rFonts w:hint="eastAsia"/>
          <w:color w:val="auto"/>
        </w:rPr>
        <w:t>4.2.1</w:t>
      </w:r>
      <w:r>
        <w:rPr>
          <w:color w:val="auto"/>
        </w:rPr>
        <w:t>环境空气质量现状</w:t>
      </w:r>
    </w:p>
    <w:p w14:paraId="5C868B89">
      <w:pPr>
        <w:pStyle w:val="5"/>
        <w:numPr>
          <w:ilvl w:val="3"/>
          <w:numId w:val="0"/>
        </w:numPr>
        <w:rPr>
          <w:color w:val="auto"/>
        </w:rPr>
      </w:pPr>
      <w:r>
        <w:rPr>
          <w:rFonts w:hint="eastAsia"/>
          <w:color w:val="auto"/>
        </w:rPr>
        <w:t>4.2.1.1</w:t>
      </w:r>
      <w:r>
        <w:rPr>
          <w:color w:val="auto"/>
        </w:rPr>
        <w:t>项目所在地区域达标判断</w:t>
      </w:r>
    </w:p>
    <w:p w14:paraId="3B928872">
      <w:pPr>
        <w:widowControl/>
        <w:adjustRightInd w:val="0"/>
        <w:snapToGrid w:val="0"/>
        <w:spacing w:line="360" w:lineRule="auto"/>
        <w:ind w:firstLine="480" w:firstLineChars="200"/>
        <w:rPr>
          <w:rFonts w:eastAsia="宋体"/>
          <w:color w:val="auto"/>
          <w:sz w:val="24"/>
          <w:szCs w:val="22"/>
          <w:highlight w:val="none"/>
        </w:rPr>
      </w:pPr>
      <w:r>
        <w:rPr>
          <w:rFonts w:eastAsia="宋体"/>
          <w:color w:val="auto"/>
          <w:sz w:val="24"/>
          <w:szCs w:val="22"/>
          <w:highlight w:val="none"/>
        </w:rPr>
        <w:t>根据《环境影响评价技术导则大气环境》（HJ2.2-2018）要求，拟建项目所在区域环境空气达标情况评价指标为SO</w:t>
      </w:r>
      <w:r>
        <w:rPr>
          <w:rFonts w:eastAsia="宋体"/>
          <w:color w:val="auto"/>
          <w:sz w:val="24"/>
          <w:szCs w:val="22"/>
          <w:highlight w:val="none"/>
          <w:vertAlign w:val="subscript"/>
        </w:rPr>
        <w:t>2</w:t>
      </w:r>
      <w:r>
        <w:rPr>
          <w:rFonts w:eastAsia="宋体"/>
          <w:color w:val="auto"/>
          <w:sz w:val="24"/>
          <w:szCs w:val="22"/>
          <w:highlight w:val="none"/>
        </w:rPr>
        <w:t>、NO</w:t>
      </w:r>
      <w:r>
        <w:rPr>
          <w:rFonts w:eastAsia="宋体"/>
          <w:color w:val="auto"/>
          <w:sz w:val="24"/>
          <w:szCs w:val="22"/>
          <w:highlight w:val="none"/>
          <w:vertAlign w:val="subscript"/>
        </w:rPr>
        <w:t>2</w:t>
      </w:r>
      <w:r>
        <w:rPr>
          <w:rFonts w:eastAsia="宋体"/>
          <w:color w:val="auto"/>
          <w:sz w:val="24"/>
          <w:szCs w:val="22"/>
          <w:highlight w:val="none"/>
        </w:rPr>
        <w:t>、PM</w:t>
      </w:r>
      <w:r>
        <w:rPr>
          <w:rFonts w:eastAsia="宋体"/>
          <w:color w:val="auto"/>
          <w:sz w:val="24"/>
          <w:szCs w:val="22"/>
          <w:highlight w:val="none"/>
          <w:vertAlign w:val="subscript"/>
        </w:rPr>
        <w:t>10</w:t>
      </w:r>
      <w:r>
        <w:rPr>
          <w:rFonts w:eastAsia="宋体"/>
          <w:color w:val="auto"/>
          <w:sz w:val="24"/>
          <w:szCs w:val="22"/>
          <w:highlight w:val="none"/>
        </w:rPr>
        <w:t>、PM</w:t>
      </w:r>
      <w:r>
        <w:rPr>
          <w:rFonts w:eastAsia="宋体"/>
          <w:color w:val="auto"/>
          <w:sz w:val="24"/>
          <w:szCs w:val="22"/>
          <w:highlight w:val="none"/>
          <w:vertAlign w:val="subscript"/>
        </w:rPr>
        <w:t>2.5</w:t>
      </w:r>
      <w:r>
        <w:rPr>
          <w:rFonts w:eastAsia="宋体"/>
          <w:color w:val="auto"/>
          <w:sz w:val="24"/>
          <w:szCs w:val="22"/>
          <w:highlight w:val="none"/>
        </w:rPr>
        <w:t>、CO和O</w:t>
      </w:r>
      <w:r>
        <w:rPr>
          <w:rFonts w:eastAsia="宋体"/>
          <w:color w:val="auto"/>
          <w:sz w:val="24"/>
          <w:szCs w:val="22"/>
          <w:highlight w:val="none"/>
          <w:vertAlign w:val="subscript"/>
        </w:rPr>
        <w:t>3</w:t>
      </w:r>
      <w:r>
        <w:rPr>
          <w:rFonts w:eastAsia="宋体"/>
          <w:color w:val="auto"/>
          <w:sz w:val="24"/>
          <w:szCs w:val="22"/>
          <w:highlight w:val="none"/>
        </w:rPr>
        <w:t>，六项基本污染物全部达标即为城市环境空气质量达标。基本污染物环境质量现状数据优先采用国家或地方生态环境主管部门发布的评价基准年环境质量公告或环境质量报告中的数据或结论。</w:t>
      </w:r>
    </w:p>
    <w:p w14:paraId="729F6AEE">
      <w:pPr>
        <w:spacing w:line="360" w:lineRule="auto"/>
        <w:ind w:firstLine="480" w:firstLineChars="200"/>
        <w:rPr>
          <w:rFonts w:ascii="宋体" w:hAnsi="Courier New"/>
          <w:color w:val="auto"/>
          <w:sz w:val="24"/>
          <w:szCs w:val="20"/>
        </w:rPr>
      </w:pPr>
      <w:r>
        <w:rPr>
          <w:rFonts w:hint="eastAsia" w:cs="Times New Roman"/>
          <w:color w:val="auto"/>
          <w:sz w:val="24"/>
          <w:highlight w:val="none"/>
          <w:lang w:val="en-US" w:eastAsia="zh-CN"/>
        </w:rPr>
        <w:t>根据</w:t>
      </w:r>
      <w:r>
        <w:rPr>
          <w:rFonts w:hint="default" w:ascii="Times New Roman" w:hAnsi="Times New Roman" w:cs="Times New Roman"/>
          <w:color w:val="auto"/>
          <w:sz w:val="24"/>
          <w:highlight w:val="none"/>
          <w:lang w:eastAsia="zh-CN"/>
        </w:rPr>
        <w:t>《2025年淮南市生态环境质量状况公报》</w:t>
      </w:r>
      <w:r>
        <w:rPr>
          <w:rFonts w:hint="default" w:ascii="Times New Roman" w:hAnsi="Times New Roman" w:cs="Times New Roman"/>
          <w:color w:val="auto"/>
          <w:sz w:val="24"/>
          <w:highlight w:val="none"/>
        </w:rPr>
        <w:t>，</w:t>
      </w:r>
      <w:r>
        <w:rPr>
          <w:bCs/>
          <w:color w:val="auto"/>
          <w:sz w:val="24"/>
          <w:szCs w:val="24"/>
        </w:rPr>
        <w:t>中环境空气质量部分内容，</w:t>
      </w:r>
      <w:r>
        <w:rPr>
          <w:rFonts w:hint="eastAsia" w:ascii="宋体" w:hAnsi="Courier New"/>
          <w:color w:val="auto"/>
          <w:sz w:val="24"/>
          <w:szCs w:val="20"/>
        </w:rPr>
        <w:t>区域</w:t>
      </w:r>
      <w:r>
        <w:rPr>
          <w:rFonts w:ascii="宋体" w:hAnsi="Courier New"/>
          <w:color w:val="auto"/>
          <w:sz w:val="24"/>
          <w:szCs w:val="20"/>
        </w:rPr>
        <w:t>空气质量现状评价情况</w:t>
      </w:r>
      <w:r>
        <w:rPr>
          <w:color w:val="auto"/>
          <w:sz w:val="24"/>
          <w:szCs w:val="20"/>
        </w:rPr>
        <w:t>见表4.2-1。</w:t>
      </w:r>
    </w:p>
    <w:p w14:paraId="04BD9043">
      <w:pPr>
        <w:spacing w:line="400" w:lineRule="exact"/>
        <w:jc w:val="center"/>
        <w:rPr>
          <w:rFonts w:eastAsia="黑体"/>
          <w:color w:val="auto"/>
          <w:sz w:val="24"/>
        </w:rPr>
      </w:pPr>
      <w:r>
        <w:rPr>
          <w:rFonts w:eastAsia="黑体"/>
          <w:color w:val="auto"/>
          <w:sz w:val="24"/>
        </w:rPr>
        <w:t>表4.2-1  区域空气环境质量现状评价表</w:t>
      </w:r>
    </w:p>
    <w:tbl>
      <w:tblPr>
        <w:tblStyle w:val="53"/>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80"/>
        <w:gridCol w:w="2311"/>
        <w:gridCol w:w="1045"/>
        <w:gridCol w:w="1338"/>
        <w:gridCol w:w="744"/>
        <w:gridCol w:w="735"/>
        <w:gridCol w:w="993"/>
        <w:gridCol w:w="567"/>
        <w:gridCol w:w="755"/>
      </w:tblGrid>
      <w:tr w14:paraId="7FC0AE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19" w:type="pct"/>
            <w:noWrap w:val="0"/>
            <w:vAlign w:val="center"/>
          </w:tcPr>
          <w:p w14:paraId="16C4BA7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污染物</w:t>
            </w:r>
          </w:p>
        </w:tc>
        <w:tc>
          <w:tcPr>
            <w:tcW w:w="1274" w:type="pct"/>
            <w:noWrap w:val="0"/>
            <w:vAlign w:val="center"/>
          </w:tcPr>
          <w:p w14:paraId="5961A7F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评价指标</w:t>
            </w:r>
          </w:p>
        </w:tc>
        <w:tc>
          <w:tcPr>
            <w:tcW w:w="576" w:type="pct"/>
            <w:noWrap w:val="0"/>
            <w:vAlign w:val="center"/>
          </w:tcPr>
          <w:p w14:paraId="07F4984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eastAsia="宋体" w:cs="Times New Roman"/>
                <w:b/>
                <w:color w:val="auto"/>
                <w:sz w:val="21"/>
                <w:szCs w:val="21"/>
                <w:highlight w:val="none"/>
              </w:rPr>
              <w:t>现状浓度（μg/m</w:t>
            </w:r>
            <w:r>
              <w:rPr>
                <w:rFonts w:hint="default" w:ascii="Times New Roman" w:hAnsi="Times New Roman" w:eastAsia="宋体" w:cs="Times New Roman"/>
                <w:b/>
                <w:color w:val="auto"/>
                <w:sz w:val="21"/>
                <w:szCs w:val="21"/>
                <w:highlight w:val="none"/>
                <w:vertAlign w:val="superscript"/>
              </w:rPr>
              <w:t>3</w:t>
            </w:r>
            <w:r>
              <w:rPr>
                <w:rFonts w:hint="default" w:ascii="Times New Roman" w:hAnsi="Times New Roman" w:eastAsia="宋体" w:cs="Times New Roman"/>
                <w:b/>
                <w:color w:val="auto"/>
                <w:sz w:val="21"/>
                <w:szCs w:val="21"/>
                <w:highlight w:val="none"/>
              </w:rPr>
              <w:t>）</w:t>
            </w:r>
          </w:p>
        </w:tc>
        <w:tc>
          <w:tcPr>
            <w:tcW w:w="737" w:type="pct"/>
            <w:noWrap w:val="0"/>
            <w:vAlign w:val="center"/>
          </w:tcPr>
          <w:p w14:paraId="5175745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eastAsia="宋体" w:cs="Times New Roman"/>
                <w:b/>
                <w:color w:val="auto"/>
                <w:sz w:val="21"/>
                <w:szCs w:val="21"/>
                <w:highlight w:val="none"/>
              </w:rPr>
              <w:t>GB3095-2012标准值（μg/m</w:t>
            </w:r>
            <w:r>
              <w:rPr>
                <w:rFonts w:hint="default" w:ascii="Times New Roman" w:hAnsi="Times New Roman" w:eastAsia="宋体" w:cs="Times New Roman"/>
                <w:b/>
                <w:color w:val="auto"/>
                <w:sz w:val="21"/>
                <w:szCs w:val="21"/>
                <w:highlight w:val="none"/>
                <w:vertAlign w:val="superscript"/>
              </w:rPr>
              <w:t>3</w:t>
            </w:r>
            <w:r>
              <w:rPr>
                <w:rFonts w:hint="default" w:ascii="Times New Roman" w:hAnsi="Times New Roman" w:eastAsia="宋体" w:cs="Times New Roman"/>
                <w:b/>
                <w:color w:val="auto"/>
                <w:sz w:val="21"/>
                <w:szCs w:val="21"/>
                <w:highlight w:val="none"/>
              </w:rPr>
              <w:t>）</w:t>
            </w:r>
          </w:p>
        </w:tc>
        <w:tc>
          <w:tcPr>
            <w:tcW w:w="410" w:type="pct"/>
            <w:noWrap w:val="0"/>
            <w:vAlign w:val="center"/>
          </w:tcPr>
          <w:p w14:paraId="2F3642F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eastAsia="宋体" w:cs="Times New Roman"/>
                <w:b/>
                <w:color w:val="auto"/>
                <w:sz w:val="21"/>
                <w:szCs w:val="21"/>
                <w:highlight w:val="none"/>
              </w:rPr>
              <w:t>占标率</w:t>
            </w:r>
            <w:r>
              <w:rPr>
                <w:rFonts w:hint="eastAsia" w:ascii="Times New Roman" w:hAnsi="Times New Roman" w:eastAsia="宋体" w:cs="Times New Roman"/>
                <w:b/>
                <w:color w:val="auto"/>
                <w:sz w:val="21"/>
                <w:szCs w:val="21"/>
                <w:highlight w:val="none"/>
                <w:lang w:eastAsia="zh-CN"/>
              </w:rPr>
              <w:t>（</w:t>
            </w:r>
            <w:r>
              <w:rPr>
                <w:rFonts w:hint="eastAsia" w:ascii="Times New Roman" w:hAnsi="Times New Roman" w:eastAsia="宋体" w:cs="Times New Roman"/>
                <w:b/>
                <w:color w:val="auto"/>
                <w:sz w:val="21"/>
                <w:szCs w:val="21"/>
                <w:highlight w:val="none"/>
                <w:lang w:val="en-US" w:eastAsia="zh-CN"/>
              </w:rPr>
              <w:t>%</w:t>
            </w:r>
            <w:r>
              <w:rPr>
                <w:rFonts w:hint="eastAsia" w:ascii="Times New Roman" w:hAnsi="Times New Roman" w:eastAsia="宋体" w:cs="Times New Roman"/>
                <w:b/>
                <w:color w:val="auto"/>
                <w:sz w:val="21"/>
                <w:szCs w:val="21"/>
                <w:highlight w:val="none"/>
                <w:lang w:eastAsia="zh-CN"/>
              </w:rPr>
              <w:t>）</w:t>
            </w:r>
          </w:p>
        </w:tc>
        <w:tc>
          <w:tcPr>
            <w:tcW w:w="405" w:type="pct"/>
            <w:noWrap w:val="0"/>
            <w:vAlign w:val="center"/>
          </w:tcPr>
          <w:p w14:paraId="4815418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eastAsia="宋体" w:cs="Times New Roman"/>
                <w:b/>
                <w:color w:val="auto"/>
                <w:sz w:val="21"/>
                <w:szCs w:val="21"/>
                <w:highlight w:val="none"/>
              </w:rPr>
              <w:t>达标情况</w:t>
            </w:r>
          </w:p>
        </w:tc>
        <w:tc>
          <w:tcPr>
            <w:tcW w:w="547" w:type="pct"/>
            <w:noWrap w:val="0"/>
            <w:vAlign w:val="center"/>
          </w:tcPr>
          <w:p w14:paraId="50115D3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GB3095-20</w:t>
            </w:r>
            <w:r>
              <w:rPr>
                <w:rFonts w:hint="eastAsia" w:ascii="Times New Roman" w:hAnsi="Times New Roman" w:eastAsia="宋体" w:cs="Times New Roman"/>
                <w:b/>
                <w:color w:val="auto"/>
                <w:sz w:val="21"/>
                <w:szCs w:val="21"/>
                <w:highlight w:val="none"/>
                <w:lang w:val="en-US" w:eastAsia="zh-CN"/>
              </w:rPr>
              <w:t>26</w:t>
            </w:r>
            <w:r>
              <w:rPr>
                <w:rFonts w:hint="default" w:ascii="Times New Roman" w:hAnsi="Times New Roman" w:eastAsia="宋体" w:cs="Times New Roman"/>
                <w:b/>
                <w:color w:val="auto"/>
                <w:sz w:val="21"/>
                <w:szCs w:val="21"/>
                <w:highlight w:val="none"/>
              </w:rPr>
              <w:t>标准值（μg/m</w:t>
            </w:r>
            <w:r>
              <w:rPr>
                <w:rFonts w:hint="default" w:ascii="Times New Roman" w:hAnsi="Times New Roman" w:eastAsia="宋体" w:cs="Times New Roman"/>
                <w:b/>
                <w:color w:val="auto"/>
                <w:sz w:val="21"/>
                <w:szCs w:val="21"/>
                <w:highlight w:val="none"/>
                <w:vertAlign w:val="superscript"/>
              </w:rPr>
              <w:t>3</w:t>
            </w:r>
            <w:r>
              <w:rPr>
                <w:rFonts w:hint="default" w:ascii="Times New Roman" w:hAnsi="Times New Roman" w:eastAsia="宋体" w:cs="Times New Roman"/>
                <w:b/>
                <w:color w:val="auto"/>
                <w:sz w:val="21"/>
                <w:szCs w:val="21"/>
                <w:highlight w:val="none"/>
              </w:rPr>
              <w:t>）</w:t>
            </w:r>
          </w:p>
        </w:tc>
        <w:tc>
          <w:tcPr>
            <w:tcW w:w="312" w:type="pct"/>
            <w:noWrap w:val="0"/>
            <w:vAlign w:val="center"/>
          </w:tcPr>
          <w:p w14:paraId="5B2EFC6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占标率</w:t>
            </w:r>
            <w:r>
              <w:rPr>
                <w:rFonts w:hint="eastAsia" w:ascii="Times New Roman" w:hAnsi="Times New Roman" w:eastAsia="宋体" w:cs="Times New Roman"/>
                <w:b/>
                <w:color w:val="auto"/>
                <w:sz w:val="21"/>
                <w:szCs w:val="21"/>
                <w:highlight w:val="none"/>
                <w:lang w:eastAsia="zh-CN"/>
              </w:rPr>
              <w:t>（</w:t>
            </w:r>
            <w:r>
              <w:rPr>
                <w:rFonts w:hint="eastAsia" w:ascii="Times New Roman" w:hAnsi="Times New Roman" w:eastAsia="宋体" w:cs="Times New Roman"/>
                <w:b/>
                <w:color w:val="auto"/>
                <w:sz w:val="21"/>
                <w:szCs w:val="21"/>
                <w:highlight w:val="none"/>
                <w:lang w:val="en-US" w:eastAsia="zh-CN"/>
              </w:rPr>
              <w:t>%</w:t>
            </w:r>
            <w:r>
              <w:rPr>
                <w:rFonts w:hint="eastAsia" w:ascii="Times New Roman" w:hAnsi="Times New Roman" w:eastAsia="宋体" w:cs="Times New Roman"/>
                <w:b/>
                <w:color w:val="auto"/>
                <w:sz w:val="21"/>
                <w:szCs w:val="21"/>
                <w:highlight w:val="none"/>
                <w:lang w:eastAsia="zh-CN"/>
              </w:rPr>
              <w:t>）</w:t>
            </w:r>
          </w:p>
        </w:tc>
        <w:tc>
          <w:tcPr>
            <w:tcW w:w="416" w:type="pct"/>
            <w:noWrap w:val="0"/>
            <w:vAlign w:val="center"/>
          </w:tcPr>
          <w:p w14:paraId="513181F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达标情况</w:t>
            </w:r>
          </w:p>
        </w:tc>
      </w:tr>
      <w:tr w14:paraId="2E79AC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19" w:type="pct"/>
            <w:noWrap w:val="0"/>
            <w:vAlign w:val="center"/>
          </w:tcPr>
          <w:p w14:paraId="141369D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p>
        </w:tc>
        <w:tc>
          <w:tcPr>
            <w:tcW w:w="1274" w:type="pct"/>
            <w:vMerge w:val="restart"/>
            <w:noWrap w:val="0"/>
            <w:vAlign w:val="center"/>
          </w:tcPr>
          <w:p w14:paraId="740ABFF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年平均质量浓度</w:t>
            </w:r>
          </w:p>
        </w:tc>
        <w:tc>
          <w:tcPr>
            <w:tcW w:w="576" w:type="pct"/>
            <w:noWrap w:val="0"/>
            <w:vAlign w:val="center"/>
          </w:tcPr>
          <w:p w14:paraId="15E31F6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eastAsia="宋体" w:cs="Times New Roman"/>
                <w:color w:val="auto"/>
                <w:sz w:val="21"/>
                <w:szCs w:val="21"/>
                <w:highlight w:val="none"/>
                <w:lang w:val="en-US" w:eastAsia="zh-CN"/>
              </w:rPr>
              <w:t>7</w:t>
            </w:r>
          </w:p>
        </w:tc>
        <w:tc>
          <w:tcPr>
            <w:tcW w:w="737" w:type="pct"/>
            <w:noWrap w:val="0"/>
            <w:vAlign w:val="center"/>
          </w:tcPr>
          <w:p w14:paraId="04463BB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c>
          <w:tcPr>
            <w:tcW w:w="410" w:type="pct"/>
            <w:noWrap w:val="0"/>
            <w:vAlign w:val="center"/>
          </w:tcPr>
          <w:p w14:paraId="31F2C0B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 xml:space="preserve">11.67 </w:t>
            </w:r>
          </w:p>
        </w:tc>
        <w:tc>
          <w:tcPr>
            <w:tcW w:w="405" w:type="pct"/>
            <w:noWrap w:val="0"/>
            <w:vAlign w:val="center"/>
          </w:tcPr>
          <w:p w14:paraId="3144B6E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达标</w:t>
            </w:r>
          </w:p>
        </w:tc>
        <w:tc>
          <w:tcPr>
            <w:tcW w:w="547" w:type="pct"/>
            <w:noWrap w:val="0"/>
            <w:vAlign w:val="center"/>
          </w:tcPr>
          <w:p w14:paraId="255A5AB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60</w:t>
            </w:r>
          </w:p>
        </w:tc>
        <w:tc>
          <w:tcPr>
            <w:tcW w:w="312" w:type="pct"/>
            <w:noWrap w:val="0"/>
            <w:vAlign w:val="center"/>
          </w:tcPr>
          <w:p w14:paraId="4DFA6A7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11.67 </w:t>
            </w:r>
          </w:p>
        </w:tc>
        <w:tc>
          <w:tcPr>
            <w:tcW w:w="416" w:type="pct"/>
            <w:noWrap w:val="0"/>
            <w:vAlign w:val="center"/>
          </w:tcPr>
          <w:p w14:paraId="20610DF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67386A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19" w:type="pct"/>
            <w:noWrap w:val="0"/>
            <w:vAlign w:val="center"/>
          </w:tcPr>
          <w:p w14:paraId="53DD1A4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NO</w:t>
            </w:r>
            <w:r>
              <w:rPr>
                <w:rFonts w:hint="default" w:ascii="Times New Roman" w:hAnsi="Times New Roman" w:eastAsia="宋体" w:cs="Times New Roman"/>
                <w:color w:val="auto"/>
                <w:sz w:val="21"/>
                <w:szCs w:val="21"/>
                <w:highlight w:val="none"/>
                <w:vertAlign w:val="subscript"/>
              </w:rPr>
              <w:t>2</w:t>
            </w:r>
          </w:p>
        </w:tc>
        <w:tc>
          <w:tcPr>
            <w:tcW w:w="1274" w:type="pct"/>
            <w:vMerge w:val="continue"/>
            <w:noWrap w:val="0"/>
            <w:vAlign w:val="center"/>
          </w:tcPr>
          <w:p w14:paraId="0775FE3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p>
        </w:tc>
        <w:tc>
          <w:tcPr>
            <w:tcW w:w="576" w:type="pct"/>
            <w:noWrap w:val="0"/>
            <w:vAlign w:val="center"/>
          </w:tcPr>
          <w:p w14:paraId="630EA11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18</w:t>
            </w:r>
          </w:p>
        </w:tc>
        <w:tc>
          <w:tcPr>
            <w:tcW w:w="737" w:type="pct"/>
            <w:noWrap w:val="0"/>
            <w:vAlign w:val="center"/>
          </w:tcPr>
          <w:p w14:paraId="0C2CC5C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40</w:t>
            </w:r>
          </w:p>
        </w:tc>
        <w:tc>
          <w:tcPr>
            <w:tcW w:w="410" w:type="pct"/>
            <w:noWrap w:val="0"/>
            <w:vAlign w:val="center"/>
          </w:tcPr>
          <w:p w14:paraId="5626323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45</w:t>
            </w:r>
          </w:p>
        </w:tc>
        <w:tc>
          <w:tcPr>
            <w:tcW w:w="405" w:type="pct"/>
            <w:noWrap w:val="0"/>
            <w:vAlign w:val="center"/>
          </w:tcPr>
          <w:p w14:paraId="6B87DC1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达标</w:t>
            </w:r>
          </w:p>
        </w:tc>
        <w:tc>
          <w:tcPr>
            <w:tcW w:w="547" w:type="pct"/>
            <w:noWrap w:val="0"/>
            <w:vAlign w:val="center"/>
          </w:tcPr>
          <w:p w14:paraId="14A72FF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40</w:t>
            </w:r>
          </w:p>
        </w:tc>
        <w:tc>
          <w:tcPr>
            <w:tcW w:w="312" w:type="pct"/>
            <w:noWrap w:val="0"/>
            <w:vAlign w:val="center"/>
          </w:tcPr>
          <w:p w14:paraId="69FBEAB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45</w:t>
            </w:r>
          </w:p>
        </w:tc>
        <w:tc>
          <w:tcPr>
            <w:tcW w:w="416" w:type="pct"/>
            <w:noWrap w:val="0"/>
            <w:vAlign w:val="center"/>
          </w:tcPr>
          <w:p w14:paraId="7D74279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6BD3B9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19" w:type="pct"/>
            <w:noWrap w:val="0"/>
            <w:vAlign w:val="center"/>
          </w:tcPr>
          <w:p w14:paraId="48B0489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10</w:t>
            </w:r>
          </w:p>
        </w:tc>
        <w:tc>
          <w:tcPr>
            <w:tcW w:w="1274" w:type="pct"/>
            <w:vMerge w:val="continue"/>
            <w:noWrap w:val="0"/>
            <w:vAlign w:val="center"/>
          </w:tcPr>
          <w:p w14:paraId="2D16B67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p>
        </w:tc>
        <w:tc>
          <w:tcPr>
            <w:tcW w:w="576" w:type="pct"/>
            <w:noWrap w:val="0"/>
            <w:vAlign w:val="center"/>
          </w:tcPr>
          <w:p w14:paraId="60F3151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sz w:val="21"/>
                <w:szCs w:val="21"/>
                <w:highlight w:val="none"/>
                <w:lang w:val="en-US" w:eastAsia="zh-CN"/>
              </w:rPr>
            </w:pPr>
            <w:r>
              <w:rPr>
                <w:rFonts w:hint="eastAsia" w:eastAsia="宋体" w:cs="Times New Roman"/>
                <w:b w:val="0"/>
                <w:bCs/>
                <w:color w:val="auto"/>
                <w:sz w:val="21"/>
                <w:szCs w:val="21"/>
                <w:highlight w:val="none"/>
                <w:lang w:val="en-US" w:eastAsia="zh-CN"/>
              </w:rPr>
              <w:t>61</w:t>
            </w:r>
          </w:p>
        </w:tc>
        <w:tc>
          <w:tcPr>
            <w:tcW w:w="737" w:type="pct"/>
            <w:noWrap w:val="0"/>
            <w:vAlign w:val="center"/>
          </w:tcPr>
          <w:p w14:paraId="695085A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w:t>
            </w:r>
          </w:p>
        </w:tc>
        <w:tc>
          <w:tcPr>
            <w:tcW w:w="410" w:type="pct"/>
            <w:noWrap w:val="0"/>
            <w:vAlign w:val="center"/>
          </w:tcPr>
          <w:p w14:paraId="1C25081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 xml:space="preserve">87.14 </w:t>
            </w:r>
          </w:p>
        </w:tc>
        <w:tc>
          <w:tcPr>
            <w:tcW w:w="405" w:type="pct"/>
            <w:noWrap w:val="0"/>
            <w:vAlign w:val="center"/>
          </w:tcPr>
          <w:p w14:paraId="0A3DE81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达标</w:t>
            </w:r>
          </w:p>
        </w:tc>
        <w:tc>
          <w:tcPr>
            <w:tcW w:w="547" w:type="pct"/>
            <w:noWrap w:val="0"/>
            <w:vAlign w:val="center"/>
          </w:tcPr>
          <w:p w14:paraId="6947F05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60</w:t>
            </w:r>
          </w:p>
        </w:tc>
        <w:tc>
          <w:tcPr>
            <w:tcW w:w="312" w:type="pct"/>
            <w:noWrap w:val="0"/>
            <w:vAlign w:val="center"/>
          </w:tcPr>
          <w:p w14:paraId="215BA5C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101.67 </w:t>
            </w:r>
          </w:p>
        </w:tc>
        <w:tc>
          <w:tcPr>
            <w:tcW w:w="416" w:type="pct"/>
            <w:noWrap w:val="0"/>
            <w:vAlign w:val="center"/>
          </w:tcPr>
          <w:p w14:paraId="37D5667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超</w:t>
            </w:r>
            <w:r>
              <w:rPr>
                <w:rFonts w:hint="default" w:ascii="Times New Roman" w:hAnsi="Times New Roman" w:eastAsia="宋体" w:cs="Times New Roman"/>
                <w:b/>
                <w:bCs/>
                <w:color w:val="auto"/>
                <w:sz w:val="21"/>
                <w:szCs w:val="21"/>
                <w:highlight w:val="none"/>
              </w:rPr>
              <w:t>标</w:t>
            </w:r>
          </w:p>
        </w:tc>
      </w:tr>
      <w:tr w14:paraId="63896D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19" w:type="pct"/>
            <w:noWrap w:val="0"/>
            <w:vAlign w:val="center"/>
          </w:tcPr>
          <w:p w14:paraId="1B1DC33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PM</w:t>
            </w:r>
            <w:r>
              <w:rPr>
                <w:rFonts w:hint="default" w:ascii="Times New Roman" w:hAnsi="Times New Roman" w:eastAsia="宋体" w:cs="Times New Roman"/>
                <w:color w:val="auto"/>
                <w:sz w:val="21"/>
                <w:szCs w:val="21"/>
                <w:highlight w:val="none"/>
                <w:vertAlign w:val="subscript"/>
              </w:rPr>
              <w:t>2.5</w:t>
            </w:r>
          </w:p>
        </w:tc>
        <w:tc>
          <w:tcPr>
            <w:tcW w:w="1274" w:type="pct"/>
            <w:vMerge w:val="continue"/>
            <w:noWrap w:val="0"/>
            <w:vAlign w:val="center"/>
          </w:tcPr>
          <w:p w14:paraId="3803AD8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p>
        </w:tc>
        <w:tc>
          <w:tcPr>
            <w:tcW w:w="576" w:type="pct"/>
            <w:noWrap w:val="0"/>
            <w:vAlign w:val="center"/>
          </w:tcPr>
          <w:p w14:paraId="6FB610B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color w:val="auto"/>
                <w:sz w:val="21"/>
                <w:szCs w:val="21"/>
                <w:highlight w:val="none"/>
                <w:lang w:val="en-US" w:eastAsia="zh-CN"/>
              </w:rPr>
            </w:pPr>
            <w:r>
              <w:rPr>
                <w:rFonts w:hint="eastAsia" w:eastAsia="宋体" w:cs="Times New Roman"/>
                <w:b w:val="0"/>
                <w:bCs/>
                <w:color w:val="auto"/>
                <w:sz w:val="21"/>
                <w:szCs w:val="21"/>
                <w:highlight w:val="none"/>
                <w:lang w:val="en-US" w:eastAsia="zh-CN"/>
              </w:rPr>
              <w:t>37.1</w:t>
            </w:r>
          </w:p>
        </w:tc>
        <w:tc>
          <w:tcPr>
            <w:tcW w:w="737" w:type="pct"/>
            <w:noWrap w:val="0"/>
            <w:vAlign w:val="center"/>
          </w:tcPr>
          <w:p w14:paraId="716A0E9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35</w:t>
            </w:r>
          </w:p>
        </w:tc>
        <w:tc>
          <w:tcPr>
            <w:tcW w:w="410" w:type="pct"/>
            <w:noWrap w:val="0"/>
            <w:vAlign w:val="center"/>
          </w:tcPr>
          <w:p w14:paraId="46F69F8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106</w:t>
            </w:r>
          </w:p>
        </w:tc>
        <w:tc>
          <w:tcPr>
            <w:tcW w:w="405" w:type="pct"/>
            <w:noWrap w:val="0"/>
            <w:vAlign w:val="center"/>
          </w:tcPr>
          <w:p w14:paraId="481D907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超</w:t>
            </w:r>
            <w:r>
              <w:rPr>
                <w:rFonts w:hint="default" w:ascii="Times New Roman" w:hAnsi="Times New Roman" w:eastAsia="宋体" w:cs="Times New Roman"/>
                <w:b/>
                <w:bCs/>
                <w:color w:val="auto"/>
                <w:sz w:val="21"/>
                <w:szCs w:val="21"/>
                <w:highlight w:val="none"/>
              </w:rPr>
              <w:t>标</w:t>
            </w:r>
          </w:p>
        </w:tc>
        <w:tc>
          <w:tcPr>
            <w:tcW w:w="547" w:type="pct"/>
            <w:noWrap w:val="0"/>
            <w:vAlign w:val="center"/>
          </w:tcPr>
          <w:p w14:paraId="2EE2376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w:t>
            </w:r>
          </w:p>
        </w:tc>
        <w:tc>
          <w:tcPr>
            <w:tcW w:w="312" w:type="pct"/>
            <w:noWrap w:val="0"/>
            <w:vAlign w:val="center"/>
          </w:tcPr>
          <w:p w14:paraId="34D52DB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 xml:space="preserve">123.67 </w:t>
            </w:r>
          </w:p>
        </w:tc>
        <w:tc>
          <w:tcPr>
            <w:tcW w:w="416" w:type="pct"/>
            <w:noWrap w:val="0"/>
            <w:vAlign w:val="center"/>
          </w:tcPr>
          <w:p w14:paraId="1CC7A0C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超</w:t>
            </w:r>
            <w:r>
              <w:rPr>
                <w:rFonts w:hint="default" w:ascii="Times New Roman" w:hAnsi="Times New Roman" w:eastAsia="宋体" w:cs="Times New Roman"/>
                <w:b/>
                <w:bCs/>
                <w:color w:val="auto"/>
                <w:sz w:val="21"/>
                <w:szCs w:val="21"/>
                <w:highlight w:val="none"/>
              </w:rPr>
              <w:t>标</w:t>
            </w:r>
          </w:p>
        </w:tc>
      </w:tr>
      <w:tr w14:paraId="6497E7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19" w:type="pct"/>
            <w:noWrap w:val="0"/>
            <w:vAlign w:val="center"/>
          </w:tcPr>
          <w:p w14:paraId="395D84B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w:t>
            </w:r>
          </w:p>
        </w:tc>
        <w:tc>
          <w:tcPr>
            <w:tcW w:w="1274" w:type="pct"/>
            <w:noWrap w:val="0"/>
            <w:vAlign w:val="center"/>
          </w:tcPr>
          <w:p w14:paraId="3EBF5E1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日均值第95百分位浓度</w:t>
            </w:r>
          </w:p>
        </w:tc>
        <w:tc>
          <w:tcPr>
            <w:tcW w:w="576" w:type="pct"/>
            <w:noWrap w:val="0"/>
            <w:vAlign w:val="center"/>
          </w:tcPr>
          <w:p w14:paraId="12A78B5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8</w:t>
            </w:r>
            <w:r>
              <w:rPr>
                <w:rFonts w:hint="eastAsia" w:ascii="Times New Roman" w:hAnsi="Times New Roman" w:eastAsia="宋体" w:cs="Times New Roman"/>
                <w:color w:val="auto"/>
                <w:sz w:val="21"/>
                <w:szCs w:val="21"/>
                <w:highlight w:val="none"/>
                <w:lang w:val="en-US" w:eastAsia="zh-CN"/>
              </w:rPr>
              <w:t>00</w:t>
            </w:r>
          </w:p>
        </w:tc>
        <w:tc>
          <w:tcPr>
            <w:tcW w:w="737" w:type="pct"/>
            <w:noWrap w:val="0"/>
            <w:vAlign w:val="center"/>
          </w:tcPr>
          <w:p w14:paraId="7E773DE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4000</w:t>
            </w:r>
          </w:p>
        </w:tc>
        <w:tc>
          <w:tcPr>
            <w:tcW w:w="410" w:type="pct"/>
            <w:noWrap w:val="0"/>
            <w:vAlign w:val="center"/>
          </w:tcPr>
          <w:p w14:paraId="66828A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20</w:t>
            </w:r>
          </w:p>
        </w:tc>
        <w:tc>
          <w:tcPr>
            <w:tcW w:w="405" w:type="pct"/>
            <w:noWrap w:val="0"/>
            <w:vAlign w:val="center"/>
          </w:tcPr>
          <w:p w14:paraId="3D3476C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达标</w:t>
            </w:r>
          </w:p>
        </w:tc>
        <w:tc>
          <w:tcPr>
            <w:tcW w:w="547" w:type="pct"/>
            <w:noWrap w:val="0"/>
            <w:vAlign w:val="center"/>
          </w:tcPr>
          <w:p w14:paraId="1E381DA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4000</w:t>
            </w:r>
          </w:p>
        </w:tc>
        <w:tc>
          <w:tcPr>
            <w:tcW w:w="312" w:type="pct"/>
            <w:noWrap w:val="0"/>
            <w:vAlign w:val="center"/>
          </w:tcPr>
          <w:p w14:paraId="7F91578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20</w:t>
            </w:r>
          </w:p>
        </w:tc>
        <w:tc>
          <w:tcPr>
            <w:tcW w:w="416" w:type="pct"/>
            <w:noWrap w:val="0"/>
            <w:vAlign w:val="center"/>
          </w:tcPr>
          <w:p w14:paraId="744AF0E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763133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319" w:type="pct"/>
            <w:noWrap w:val="0"/>
            <w:vAlign w:val="center"/>
          </w:tcPr>
          <w:p w14:paraId="3580B7A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O</w:t>
            </w:r>
            <w:r>
              <w:rPr>
                <w:rFonts w:hint="default" w:ascii="Times New Roman" w:hAnsi="Times New Roman" w:eastAsia="宋体" w:cs="Times New Roman"/>
                <w:color w:val="auto"/>
                <w:sz w:val="21"/>
                <w:szCs w:val="21"/>
                <w:highlight w:val="none"/>
                <w:vertAlign w:val="subscript"/>
              </w:rPr>
              <w:t>3</w:t>
            </w:r>
          </w:p>
        </w:tc>
        <w:tc>
          <w:tcPr>
            <w:tcW w:w="1274" w:type="pct"/>
            <w:noWrap w:val="0"/>
            <w:vAlign w:val="center"/>
          </w:tcPr>
          <w:p w14:paraId="7EC32C7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最大8小时平均值第90百分位浓度</w:t>
            </w:r>
          </w:p>
        </w:tc>
        <w:tc>
          <w:tcPr>
            <w:tcW w:w="576" w:type="pct"/>
            <w:noWrap w:val="0"/>
            <w:vAlign w:val="center"/>
          </w:tcPr>
          <w:p w14:paraId="3C4D429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14</w:t>
            </w:r>
            <w:r>
              <w:rPr>
                <w:rFonts w:hint="eastAsia" w:eastAsia="宋体" w:cs="Times New Roman"/>
                <w:color w:val="auto"/>
                <w:sz w:val="21"/>
                <w:szCs w:val="21"/>
                <w:highlight w:val="none"/>
                <w:lang w:val="en-US" w:eastAsia="zh-CN"/>
              </w:rPr>
              <w:t>9</w:t>
            </w:r>
          </w:p>
        </w:tc>
        <w:tc>
          <w:tcPr>
            <w:tcW w:w="737" w:type="pct"/>
            <w:noWrap w:val="0"/>
            <w:vAlign w:val="center"/>
          </w:tcPr>
          <w:p w14:paraId="5667F68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160</w:t>
            </w:r>
          </w:p>
        </w:tc>
        <w:tc>
          <w:tcPr>
            <w:tcW w:w="410" w:type="pct"/>
            <w:noWrap w:val="0"/>
            <w:vAlign w:val="center"/>
          </w:tcPr>
          <w:p w14:paraId="6FAC59B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93.125</w:t>
            </w:r>
          </w:p>
        </w:tc>
        <w:tc>
          <w:tcPr>
            <w:tcW w:w="405" w:type="pct"/>
            <w:noWrap w:val="0"/>
            <w:vAlign w:val="center"/>
          </w:tcPr>
          <w:p w14:paraId="7CCBED3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达标</w:t>
            </w:r>
          </w:p>
        </w:tc>
        <w:tc>
          <w:tcPr>
            <w:tcW w:w="547" w:type="pct"/>
            <w:noWrap w:val="0"/>
            <w:vAlign w:val="center"/>
          </w:tcPr>
          <w:p w14:paraId="1D9F909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160</w:t>
            </w:r>
          </w:p>
        </w:tc>
        <w:tc>
          <w:tcPr>
            <w:tcW w:w="312" w:type="pct"/>
            <w:noWrap w:val="0"/>
            <w:vAlign w:val="center"/>
          </w:tcPr>
          <w:p w14:paraId="7021DEF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93.125</w:t>
            </w:r>
          </w:p>
        </w:tc>
        <w:tc>
          <w:tcPr>
            <w:tcW w:w="416" w:type="pct"/>
            <w:noWrap w:val="0"/>
            <w:vAlign w:val="center"/>
          </w:tcPr>
          <w:p w14:paraId="3200A8C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bl>
    <w:p w14:paraId="17F2186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z w:val="24"/>
          <w:szCs w:val="22"/>
          <w:highlight w:val="none"/>
          <w:shd w:val="clear" w:color="auto" w:fill="FFFFFF"/>
        </w:rPr>
      </w:pPr>
      <w:r>
        <w:rPr>
          <w:rFonts w:hint="default" w:ascii="Times New Roman" w:hAnsi="Times New Roman" w:eastAsia="宋体" w:cs="Times New Roman"/>
          <w:color w:val="auto"/>
          <w:sz w:val="24"/>
          <w:szCs w:val="24"/>
          <w:highlight w:val="none"/>
          <w:lang w:val="en-US" w:eastAsia="zh-CN"/>
        </w:rPr>
        <w:t>根据上表</w:t>
      </w:r>
      <w:r>
        <w:rPr>
          <w:rFonts w:hint="default" w:ascii="Times New Roman" w:hAnsi="Times New Roman" w:eastAsia="宋体" w:cs="Times New Roman"/>
          <w:color w:val="auto"/>
          <w:kern w:val="0"/>
          <w:sz w:val="24"/>
          <w:szCs w:val="24"/>
          <w:highlight w:val="none"/>
          <w:lang w:val="en-US" w:eastAsia="zh-CN"/>
        </w:rPr>
        <w:t>可知</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2025</w:t>
      </w:r>
      <w:r>
        <w:rPr>
          <w:rFonts w:hint="default" w:ascii="Times New Roman" w:hAnsi="Times New Roman" w:eastAsia="宋体" w:cs="Times New Roman"/>
          <w:color w:val="auto"/>
          <w:sz w:val="24"/>
          <w:szCs w:val="24"/>
          <w:highlight w:val="none"/>
          <w:lang w:val="en-US" w:eastAsia="zh-CN"/>
        </w:rPr>
        <w:t>年</w:t>
      </w:r>
      <w:r>
        <w:rPr>
          <w:rFonts w:hint="eastAsia" w:eastAsia="宋体" w:cs="Times New Roman"/>
          <w:color w:val="auto"/>
          <w:sz w:val="24"/>
          <w:szCs w:val="24"/>
          <w:highlight w:val="none"/>
          <w:lang w:val="en-US" w:eastAsia="zh-CN"/>
        </w:rPr>
        <w:t>淮南</w:t>
      </w:r>
      <w:r>
        <w:rPr>
          <w:rFonts w:hint="default" w:ascii="Times New Roman" w:hAnsi="Times New Roman" w:eastAsia="宋体" w:cs="Times New Roman"/>
          <w:color w:val="auto"/>
          <w:sz w:val="24"/>
          <w:szCs w:val="24"/>
          <w:highlight w:val="none"/>
          <w:lang w:val="en-US" w:eastAsia="zh-CN"/>
        </w:rPr>
        <w:t>市环境空气中SO</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、NO</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PM</w:t>
      </w:r>
      <w:r>
        <w:rPr>
          <w:rFonts w:hint="default" w:ascii="Times New Roman" w:hAnsi="Times New Roman" w:eastAsia="宋体" w:cs="Times New Roman"/>
          <w:color w:val="auto"/>
          <w:sz w:val="24"/>
          <w:szCs w:val="24"/>
          <w:highlight w:val="none"/>
          <w:vertAlign w:val="subscript"/>
        </w:rPr>
        <w:t>10</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CO、</w:t>
      </w:r>
      <w:r>
        <w:rPr>
          <w:rFonts w:hint="default" w:ascii="Times New Roman" w:hAnsi="Times New Roman" w:eastAsia="宋体" w:cs="Times New Roman"/>
          <w:color w:val="auto"/>
          <w:sz w:val="24"/>
          <w:szCs w:val="24"/>
          <w:highlight w:val="none"/>
        </w:rPr>
        <w:t>O</w:t>
      </w:r>
      <w:r>
        <w:rPr>
          <w:rFonts w:hint="default" w:ascii="Times New Roman" w:hAnsi="Times New Roman" w:eastAsia="宋体" w:cs="Times New Roman"/>
          <w:color w:val="auto"/>
          <w:sz w:val="24"/>
          <w:szCs w:val="24"/>
          <w:highlight w:val="none"/>
          <w:vertAlign w:val="subscript"/>
        </w:rPr>
        <w:t>3</w:t>
      </w:r>
      <w:r>
        <w:rPr>
          <w:rFonts w:hint="default" w:ascii="Times New Roman" w:hAnsi="Times New Roman" w:eastAsia="宋体" w:cs="Times New Roman"/>
          <w:color w:val="auto"/>
          <w:sz w:val="24"/>
          <w:szCs w:val="28"/>
          <w:highlight w:val="none"/>
        </w:rPr>
        <w:t>均能</w:t>
      </w:r>
      <w:r>
        <w:rPr>
          <w:rFonts w:hint="default" w:ascii="Times New Roman" w:hAnsi="Times New Roman" w:eastAsia="宋体" w:cs="Times New Roman"/>
          <w:color w:val="auto"/>
          <w:sz w:val="24"/>
          <w:szCs w:val="28"/>
          <w:highlight w:val="none"/>
          <w:lang w:val="en-US" w:eastAsia="zh-CN"/>
        </w:rPr>
        <w:t>满足</w:t>
      </w:r>
      <w:r>
        <w:rPr>
          <w:rFonts w:hint="default" w:ascii="Times New Roman" w:hAnsi="Times New Roman" w:eastAsia="宋体" w:cs="Times New Roman"/>
          <w:color w:val="auto"/>
          <w:sz w:val="24"/>
          <w:szCs w:val="28"/>
          <w:highlight w:val="none"/>
        </w:rPr>
        <w:t>《环境空气质量标准》（GB3095-2012）二级标准</w:t>
      </w:r>
      <w:r>
        <w:rPr>
          <w:rFonts w:hint="default" w:ascii="Times New Roman" w:hAnsi="Times New Roman" w:eastAsia="宋体" w:cs="Times New Roman"/>
          <w:color w:val="auto"/>
          <w:sz w:val="24"/>
          <w:szCs w:val="28"/>
          <w:highlight w:val="none"/>
          <w:lang w:val="en-US" w:eastAsia="zh-CN"/>
        </w:rPr>
        <w:t>及修改单</w:t>
      </w:r>
      <w:r>
        <w:rPr>
          <w:rFonts w:hint="eastAsia" w:ascii="Times New Roman" w:hAnsi="Times New Roman" w:eastAsia="宋体" w:cs="Times New Roman"/>
          <w:color w:val="auto"/>
          <w:sz w:val="24"/>
          <w:szCs w:val="28"/>
          <w:highlight w:val="none"/>
          <w:lang w:val="en-US" w:eastAsia="zh-CN"/>
        </w:rPr>
        <w:t>要求</w:t>
      </w:r>
      <w:r>
        <w:rPr>
          <w:rFonts w:hint="default" w:ascii="Times New Roman" w:hAnsi="Times New Roman" w:eastAsia="宋体" w:cs="Times New Roman"/>
          <w:color w:val="auto"/>
          <w:sz w:val="24"/>
          <w:szCs w:val="28"/>
          <w:highlight w:val="none"/>
          <w:lang w:eastAsia="zh-CN"/>
        </w:rPr>
        <w:t>，</w:t>
      </w:r>
      <w:r>
        <w:rPr>
          <w:rFonts w:hint="default" w:ascii="Times New Roman" w:hAnsi="Times New Roman" w:eastAsia="宋体" w:cs="Times New Roman"/>
          <w:color w:val="auto"/>
          <w:sz w:val="24"/>
          <w:szCs w:val="24"/>
          <w:highlight w:val="none"/>
        </w:rPr>
        <w:t>PM</w:t>
      </w:r>
      <w:r>
        <w:rPr>
          <w:rFonts w:hint="default" w:ascii="Times New Roman" w:hAnsi="Times New Roman" w:eastAsia="宋体" w:cs="Times New Roman"/>
          <w:color w:val="auto"/>
          <w:sz w:val="24"/>
          <w:szCs w:val="24"/>
          <w:highlight w:val="none"/>
          <w:vertAlign w:val="subscript"/>
        </w:rPr>
        <w:t>2.5</w:t>
      </w:r>
      <w:r>
        <w:rPr>
          <w:rFonts w:hint="eastAsia" w:eastAsia="宋体" w:cs="Times New Roman"/>
          <w:color w:val="auto"/>
          <w:sz w:val="24"/>
          <w:szCs w:val="24"/>
          <w:highlight w:val="none"/>
          <w:vertAlign w:val="baseline"/>
          <w:lang w:val="en-US" w:eastAsia="zh-CN"/>
        </w:rPr>
        <w:t>不</w:t>
      </w:r>
      <w:r>
        <w:rPr>
          <w:rFonts w:hint="default" w:ascii="Times New Roman" w:hAnsi="Times New Roman" w:eastAsia="宋体" w:cs="Times New Roman"/>
          <w:color w:val="auto"/>
          <w:sz w:val="24"/>
          <w:szCs w:val="28"/>
          <w:highlight w:val="none"/>
          <w:lang w:val="en-US" w:eastAsia="zh-CN"/>
        </w:rPr>
        <w:t>满足</w:t>
      </w:r>
      <w:r>
        <w:rPr>
          <w:rFonts w:hint="default" w:ascii="Times New Roman" w:hAnsi="Times New Roman" w:eastAsia="宋体" w:cs="Times New Roman"/>
          <w:color w:val="auto"/>
          <w:sz w:val="24"/>
          <w:szCs w:val="28"/>
          <w:highlight w:val="none"/>
        </w:rPr>
        <w:t>《环境空气质量标准》（GB3095-2012）二级标准</w:t>
      </w:r>
      <w:r>
        <w:rPr>
          <w:rFonts w:hint="default" w:ascii="Times New Roman" w:hAnsi="Times New Roman" w:eastAsia="宋体" w:cs="Times New Roman"/>
          <w:color w:val="auto"/>
          <w:sz w:val="24"/>
          <w:szCs w:val="28"/>
          <w:highlight w:val="none"/>
          <w:lang w:val="en-US" w:eastAsia="zh-CN"/>
        </w:rPr>
        <w:t>及修改单</w:t>
      </w:r>
      <w:r>
        <w:rPr>
          <w:rFonts w:hint="eastAsia" w:ascii="Times New Roman" w:hAnsi="Times New Roman" w:eastAsia="宋体" w:cs="Times New Roman"/>
          <w:color w:val="auto"/>
          <w:sz w:val="24"/>
          <w:szCs w:val="28"/>
          <w:highlight w:val="none"/>
          <w:lang w:val="en-US" w:eastAsia="zh-CN"/>
        </w:rPr>
        <w:t>要求</w:t>
      </w:r>
      <w:r>
        <w:rPr>
          <w:rFonts w:hint="eastAsia" w:eastAsia="宋体" w:cs="Times New Roman"/>
          <w:color w:val="auto"/>
          <w:sz w:val="24"/>
          <w:szCs w:val="28"/>
          <w:highlight w:val="none"/>
          <w:lang w:val="en-US" w:eastAsia="zh-CN"/>
        </w:rPr>
        <w:t>，</w:t>
      </w:r>
      <w:r>
        <w:rPr>
          <w:rFonts w:hint="eastAsia" w:ascii="Times New Roman" w:hAnsi="Times New Roman" w:eastAsia="宋体" w:cs="Times New Roman"/>
          <w:color w:val="auto"/>
          <w:sz w:val="24"/>
          <w:szCs w:val="24"/>
          <w:highlight w:val="none"/>
          <w:lang w:val="en-US" w:eastAsia="zh-CN"/>
        </w:rPr>
        <w:t>2025</w:t>
      </w:r>
      <w:r>
        <w:rPr>
          <w:rFonts w:hint="default" w:ascii="Times New Roman" w:hAnsi="Times New Roman" w:eastAsia="宋体" w:cs="Times New Roman"/>
          <w:color w:val="auto"/>
          <w:sz w:val="24"/>
          <w:szCs w:val="24"/>
          <w:highlight w:val="none"/>
          <w:lang w:val="en-US" w:eastAsia="zh-CN"/>
        </w:rPr>
        <w:t>年</w:t>
      </w:r>
      <w:r>
        <w:rPr>
          <w:rFonts w:hint="eastAsia" w:eastAsia="宋体" w:cs="Times New Roman"/>
          <w:color w:val="auto"/>
          <w:sz w:val="24"/>
          <w:szCs w:val="24"/>
          <w:highlight w:val="none"/>
          <w:lang w:val="en-US" w:eastAsia="zh-CN"/>
        </w:rPr>
        <w:t>淮南</w:t>
      </w:r>
      <w:r>
        <w:rPr>
          <w:rFonts w:hint="default" w:ascii="Times New Roman" w:hAnsi="Times New Roman" w:eastAsia="宋体" w:cs="Times New Roman"/>
          <w:color w:val="auto"/>
          <w:sz w:val="24"/>
          <w:szCs w:val="24"/>
          <w:highlight w:val="none"/>
        </w:rPr>
        <w:t>市属于</w:t>
      </w:r>
      <w:r>
        <w:rPr>
          <w:rFonts w:hint="eastAsia" w:eastAsia="宋体" w:cs="Times New Roman"/>
          <w:color w:val="auto"/>
          <w:sz w:val="24"/>
          <w:szCs w:val="24"/>
          <w:highlight w:val="none"/>
          <w:lang w:val="en-US" w:eastAsia="zh-CN"/>
        </w:rPr>
        <w:t>不</w:t>
      </w:r>
      <w:r>
        <w:rPr>
          <w:rFonts w:hint="default" w:ascii="Times New Roman" w:hAnsi="Times New Roman" w:eastAsia="宋体" w:cs="Times New Roman"/>
          <w:color w:val="auto"/>
          <w:sz w:val="24"/>
          <w:szCs w:val="24"/>
          <w:highlight w:val="none"/>
        </w:rPr>
        <w:t>达标区域</w:t>
      </w:r>
      <w:r>
        <w:rPr>
          <w:rFonts w:hint="default" w:ascii="Times New Roman" w:hAnsi="Times New Roman" w:eastAsia="宋体" w:cs="Times New Roman"/>
          <w:color w:val="auto"/>
          <w:kern w:val="0"/>
          <w:sz w:val="24"/>
          <w:szCs w:val="24"/>
          <w:highlight w:val="none"/>
        </w:rPr>
        <w:t>。</w:t>
      </w:r>
    </w:p>
    <w:p w14:paraId="3BBC7E75">
      <w:pPr>
        <w:adjustRightInd w:val="0"/>
        <w:snapToGrid w:val="0"/>
        <w:spacing w:line="360" w:lineRule="auto"/>
        <w:ind w:firstLine="480" w:firstLineChars="200"/>
        <w:rPr>
          <w:rFonts w:eastAsia="宋体"/>
          <w:sz w:val="24"/>
          <w:szCs w:val="22"/>
          <w:highlight w:val="none"/>
        </w:rPr>
      </w:pPr>
      <w:r>
        <w:rPr>
          <w:rFonts w:hint="default" w:ascii="Times New Roman" w:hAnsi="Times New Roman" w:eastAsia="宋体" w:cs="Times New Roman"/>
          <w:color w:val="auto"/>
          <w:sz w:val="24"/>
          <w:szCs w:val="21"/>
          <w:highlight w:val="none"/>
          <w:lang w:val="en-US" w:eastAsia="zh-CN"/>
        </w:rPr>
        <w:t>根据</w:t>
      </w:r>
      <w:r>
        <w:rPr>
          <w:rFonts w:hint="default" w:ascii="Times New Roman" w:hAnsi="Times New Roman" w:eastAsia="宋体" w:cs="Times New Roman"/>
          <w:color w:val="auto"/>
          <w:sz w:val="24"/>
          <w:szCs w:val="21"/>
          <w:highlight w:val="none"/>
        </w:rPr>
        <w:t>《环境空气质量标准》（GB3095-20</w:t>
      </w:r>
      <w:r>
        <w:rPr>
          <w:rFonts w:hint="default" w:ascii="Times New Roman" w:hAnsi="Times New Roman" w:eastAsia="宋体" w:cs="Times New Roman"/>
          <w:color w:val="auto"/>
          <w:sz w:val="24"/>
          <w:szCs w:val="21"/>
          <w:highlight w:val="none"/>
          <w:lang w:val="en-US" w:eastAsia="zh-CN"/>
        </w:rPr>
        <w:t>26</w:t>
      </w:r>
      <w:r>
        <w:rPr>
          <w:rFonts w:hint="default" w:ascii="Times New Roman" w:hAnsi="Times New Roman" w:eastAsia="宋体" w:cs="Times New Roman"/>
          <w:color w:val="auto"/>
          <w:sz w:val="24"/>
          <w:szCs w:val="21"/>
          <w:highlight w:val="none"/>
        </w:rPr>
        <w:t>）</w:t>
      </w:r>
      <w:r>
        <w:rPr>
          <w:rFonts w:hint="default" w:ascii="Times New Roman" w:hAnsi="Times New Roman" w:eastAsia="宋体" w:cs="Times New Roman"/>
          <w:color w:val="auto"/>
          <w:sz w:val="24"/>
          <w:szCs w:val="21"/>
          <w:highlight w:val="none"/>
          <w:lang w:eastAsia="zh-CN"/>
        </w:rPr>
        <w:t>，</w:t>
      </w:r>
      <w:r>
        <w:rPr>
          <w:rFonts w:hint="default" w:ascii="Times New Roman" w:hAnsi="Times New Roman" w:eastAsia="宋体" w:cs="Times New Roman"/>
          <w:color w:val="auto"/>
          <w:sz w:val="24"/>
          <w:szCs w:val="21"/>
          <w:highlight w:val="none"/>
          <w:lang w:val="en-US" w:eastAsia="zh-CN"/>
        </w:rPr>
        <w:t>现阶段至2030年12月31日起，</w:t>
      </w:r>
      <w:r>
        <w:rPr>
          <w:rFonts w:hint="default" w:ascii="Times New Roman" w:hAnsi="Times New Roman" w:eastAsia="宋体" w:cs="Times New Roman"/>
          <w:color w:val="auto"/>
          <w:sz w:val="24"/>
          <w:szCs w:val="21"/>
          <w:highlight w:val="none"/>
        </w:rPr>
        <w:t>SO</w:t>
      </w:r>
      <w:r>
        <w:rPr>
          <w:rFonts w:hint="default" w:ascii="Times New Roman" w:hAnsi="Times New Roman" w:eastAsia="宋体" w:cs="Times New Roman"/>
          <w:color w:val="auto"/>
          <w:sz w:val="24"/>
          <w:szCs w:val="21"/>
          <w:highlight w:val="none"/>
          <w:vertAlign w:val="subscript"/>
        </w:rPr>
        <w:t>2</w:t>
      </w:r>
      <w:r>
        <w:rPr>
          <w:rFonts w:hint="default" w:ascii="Times New Roman" w:hAnsi="Times New Roman" w:eastAsia="宋体" w:cs="Times New Roman"/>
          <w:color w:val="auto"/>
          <w:sz w:val="24"/>
          <w:szCs w:val="21"/>
          <w:highlight w:val="none"/>
        </w:rPr>
        <w:t>、NO</w:t>
      </w:r>
      <w:r>
        <w:rPr>
          <w:rFonts w:hint="default" w:ascii="Times New Roman" w:hAnsi="Times New Roman" w:eastAsia="宋体" w:cs="Times New Roman"/>
          <w:color w:val="auto"/>
          <w:sz w:val="24"/>
          <w:szCs w:val="21"/>
          <w:highlight w:val="none"/>
          <w:vertAlign w:val="subscript"/>
        </w:rPr>
        <w:t>2</w:t>
      </w:r>
      <w:r>
        <w:rPr>
          <w:rFonts w:hint="default" w:ascii="Times New Roman" w:hAnsi="Times New Roman" w:eastAsia="宋体" w:cs="Times New Roman"/>
          <w:color w:val="auto"/>
          <w:sz w:val="24"/>
          <w:szCs w:val="21"/>
          <w:highlight w:val="none"/>
        </w:rPr>
        <w:t>、PM</w:t>
      </w:r>
      <w:r>
        <w:rPr>
          <w:rFonts w:hint="default" w:ascii="Times New Roman" w:hAnsi="Times New Roman" w:eastAsia="宋体" w:cs="Times New Roman"/>
          <w:color w:val="auto"/>
          <w:sz w:val="24"/>
          <w:szCs w:val="21"/>
          <w:highlight w:val="none"/>
          <w:vertAlign w:val="subscript"/>
        </w:rPr>
        <w:t>10</w:t>
      </w:r>
      <w:r>
        <w:rPr>
          <w:rFonts w:hint="default" w:ascii="Times New Roman" w:hAnsi="Times New Roman" w:eastAsia="宋体" w:cs="Times New Roman"/>
          <w:color w:val="auto"/>
          <w:sz w:val="24"/>
          <w:szCs w:val="21"/>
          <w:highlight w:val="none"/>
        </w:rPr>
        <w:t>、PM</w:t>
      </w:r>
      <w:r>
        <w:rPr>
          <w:rFonts w:hint="default" w:ascii="Times New Roman" w:hAnsi="Times New Roman" w:eastAsia="宋体" w:cs="Times New Roman"/>
          <w:color w:val="auto"/>
          <w:sz w:val="24"/>
          <w:szCs w:val="21"/>
          <w:highlight w:val="none"/>
          <w:vertAlign w:val="subscript"/>
        </w:rPr>
        <w:t>2.5</w:t>
      </w:r>
      <w:r>
        <w:rPr>
          <w:rFonts w:hint="default" w:ascii="Times New Roman" w:hAnsi="Times New Roman" w:eastAsia="宋体" w:cs="Times New Roman"/>
          <w:color w:val="auto"/>
          <w:sz w:val="24"/>
          <w:szCs w:val="21"/>
          <w:highlight w:val="none"/>
        </w:rPr>
        <w:t>、CO、O</w:t>
      </w:r>
      <w:r>
        <w:rPr>
          <w:rFonts w:hint="default" w:ascii="Times New Roman" w:hAnsi="Times New Roman" w:eastAsia="宋体" w:cs="Times New Roman"/>
          <w:color w:val="auto"/>
          <w:sz w:val="24"/>
          <w:szCs w:val="21"/>
          <w:highlight w:val="none"/>
          <w:vertAlign w:val="subscript"/>
        </w:rPr>
        <w:t>3</w:t>
      </w:r>
      <w:r>
        <w:rPr>
          <w:rFonts w:hint="default" w:ascii="Times New Roman" w:hAnsi="Times New Roman" w:eastAsia="宋体" w:cs="Times New Roman"/>
          <w:color w:val="auto"/>
          <w:sz w:val="24"/>
          <w:szCs w:val="21"/>
          <w:highlight w:val="none"/>
        </w:rPr>
        <w:t>评价标准执行《环境空气质量标准》（GB3095-20</w:t>
      </w:r>
      <w:r>
        <w:rPr>
          <w:rFonts w:hint="default" w:ascii="Times New Roman" w:hAnsi="Times New Roman" w:eastAsia="宋体" w:cs="Times New Roman"/>
          <w:color w:val="auto"/>
          <w:sz w:val="24"/>
          <w:szCs w:val="21"/>
          <w:highlight w:val="none"/>
          <w:lang w:val="en-US" w:eastAsia="zh-CN"/>
        </w:rPr>
        <w:t>26</w:t>
      </w:r>
      <w:r>
        <w:rPr>
          <w:rFonts w:hint="default" w:ascii="Times New Roman" w:hAnsi="Times New Roman" w:eastAsia="宋体" w:cs="Times New Roman"/>
          <w:color w:val="auto"/>
          <w:sz w:val="24"/>
          <w:szCs w:val="21"/>
          <w:highlight w:val="none"/>
        </w:rPr>
        <w:t>）</w:t>
      </w:r>
      <w:r>
        <w:rPr>
          <w:rFonts w:hint="default" w:ascii="Times New Roman" w:hAnsi="Times New Roman" w:eastAsia="宋体" w:cs="Times New Roman"/>
          <w:color w:val="auto"/>
          <w:sz w:val="24"/>
          <w:szCs w:val="21"/>
          <w:highlight w:val="none"/>
          <w:lang w:val="en-US" w:eastAsia="zh-CN"/>
        </w:rPr>
        <w:t>表1中过渡阶段</w:t>
      </w:r>
      <w:r>
        <w:rPr>
          <w:rFonts w:hint="default" w:ascii="Times New Roman" w:hAnsi="Times New Roman" w:eastAsia="宋体" w:cs="Times New Roman"/>
          <w:color w:val="auto"/>
          <w:sz w:val="24"/>
          <w:szCs w:val="21"/>
          <w:highlight w:val="none"/>
        </w:rPr>
        <w:t>二级</w:t>
      </w:r>
      <w:r>
        <w:rPr>
          <w:rFonts w:hint="default" w:ascii="Times New Roman" w:hAnsi="Times New Roman" w:eastAsia="宋体" w:cs="Times New Roman"/>
          <w:color w:val="auto"/>
          <w:sz w:val="24"/>
          <w:szCs w:val="21"/>
          <w:highlight w:val="none"/>
          <w:lang w:val="en-US" w:eastAsia="zh-CN"/>
        </w:rPr>
        <w:t>浓度限值</w:t>
      </w:r>
      <w:r>
        <w:rPr>
          <w:rFonts w:hint="default" w:ascii="Times New Roman" w:hAnsi="Times New Roman" w:eastAsia="宋体" w:cs="Times New Roman"/>
          <w:bCs/>
          <w:color w:val="auto"/>
          <w:sz w:val="24"/>
          <w:szCs w:val="24"/>
          <w:highlight w:val="none"/>
          <w:lang w:eastAsia="zh-CN"/>
        </w:rPr>
        <w:t>，</w:t>
      </w:r>
      <w:r>
        <w:rPr>
          <w:rFonts w:hint="default" w:ascii="Times New Roman" w:hAnsi="Times New Roman" w:eastAsia="宋体" w:cs="Times New Roman"/>
          <w:color w:val="auto"/>
          <w:sz w:val="24"/>
          <w:szCs w:val="21"/>
          <w:highlight w:val="none"/>
          <w:lang w:val="en-US" w:eastAsia="zh-CN"/>
        </w:rPr>
        <w:t>2031年1月1日起执行表1二级浓度限值。因此，对照</w:t>
      </w:r>
      <w:r>
        <w:rPr>
          <w:rFonts w:hint="default" w:ascii="Times New Roman" w:hAnsi="Times New Roman" w:eastAsia="宋体" w:cs="Times New Roman"/>
          <w:color w:val="auto"/>
          <w:sz w:val="24"/>
          <w:szCs w:val="21"/>
          <w:highlight w:val="none"/>
        </w:rPr>
        <w:t>《环境空气质量标准》（GB3095-20</w:t>
      </w:r>
      <w:r>
        <w:rPr>
          <w:rFonts w:hint="default" w:ascii="Times New Roman" w:hAnsi="Times New Roman" w:eastAsia="宋体" w:cs="Times New Roman"/>
          <w:color w:val="auto"/>
          <w:sz w:val="24"/>
          <w:szCs w:val="21"/>
          <w:highlight w:val="none"/>
          <w:lang w:val="en-US" w:eastAsia="zh-CN"/>
        </w:rPr>
        <w:t>26），</w:t>
      </w:r>
      <w:r>
        <w:rPr>
          <w:rFonts w:hint="eastAsia" w:ascii="Times New Roman" w:hAnsi="Times New Roman" w:eastAsia="宋体" w:cs="Times New Roman"/>
          <w:color w:val="auto"/>
          <w:sz w:val="24"/>
          <w:szCs w:val="21"/>
          <w:highlight w:val="none"/>
          <w:lang w:val="en-US" w:eastAsia="zh-CN"/>
        </w:rPr>
        <w:t>2025年</w:t>
      </w:r>
      <w:r>
        <w:rPr>
          <w:rFonts w:hint="eastAsia" w:eastAsia="宋体" w:cs="Times New Roman"/>
          <w:color w:val="auto"/>
          <w:sz w:val="24"/>
          <w:szCs w:val="21"/>
          <w:highlight w:val="none"/>
          <w:lang w:val="en-US" w:eastAsia="zh-CN"/>
        </w:rPr>
        <w:t>淮南</w:t>
      </w:r>
      <w:r>
        <w:rPr>
          <w:rFonts w:hint="eastAsia" w:ascii="Times New Roman" w:hAnsi="Times New Roman" w:eastAsia="宋体" w:cs="Times New Roman"/>
          <w:color w:val="auto"/>
          <w:sz w:val="24"/>
          <w:szCs w:val="21"/>
          <w:highlight w:val="none"/>
          <w:lang w:val="en-US" w:eastAsia="zh-CN"/>
        </w:rPr>
        <w:t>市</w:t>
      </w:r>
      <w:r>
        <w:rPr>
          <w:rFonts w:hint="default" w:ascii="Times New Roman" w:hAnsi="Times New Roman" w:eastAsia="宋体" w:cs="Times New Roman"/>
          <w:color w:val="auto"/>
          <w:sz w:val="24"/>
          <w:szCs w:val="21"/>
          <w:highlight w:val="none"/>
          <w:lang w:val="en-US" w:eastAsia="zh-CN"/>
        </w:rPr>
        <w:t>PM</w:t>
      </w:r>
      <w:r>
        <w:rPr>
          <w:rFonts w:hint="default" w:ascii="Times New Roman" w:hAnsi="Times New Roman" w:eastAsia="宋体" w:cs="Times New Roman"/>
          <w:color w:val="auto"/>
          <w:sz w:val="24"/>
          <w:szCs w:val="21"/>
          <w:highlight w:val="none"/>
          <w:vertAlign w:val="subscript"/>
          <w:lang w:val="en-US" w:eastAsia="zh-CN"/>
        </w:rPr>
        <w:t>10</w:t>
      </w:r>
      <w:r>
        <w:rPr>
          <w:rFonts w:hint="eastAsia" w:ascii="Times New Roman" w:hAnsi="Times New Roman" w:eastAsia="宋体" w:cs="Times New Roman"/>
          <w:color w:val="auto"/>
          <w:sz w:val="24"/>
          <w:szCs w:val="21"/>
          <w:highlight w:val="none"/>
          <w:vertAlign w:val="baseline"/>
          <w:lang w:val="en-US" w:eastAsia="zh-CN"/>
        </w:rPr>
        <w:t>、</w:t>
      </w:r>
      <w:r>
        <w:rPr>
          <w:rFonts w:hint="default" w:ascii="Times New Roman" w:hAnsi="Times New Roman" w:eastAsia="宋体" w:cs="Times New Roman"/>
          <w:color w:val="auto"/>
          <w:sz w:val="24"/>
          <w:szCs w:val="21"/>
          <w:highlight w:val="none"/>
          <w:lang w:val="en-US" w:eastAsia="zh-CN"/>
        </w:rPr>
        <w:t>PM</w:t>
      </w:r>
      <w:r>
        <w:rPr>
          <w:rFonts w:hint="eastAsia" w:ascii="Times New Roman" w:hAnsi="Times New Roman" w:eastAsia="宋体" w:cs="Times New Roman"/>
          <w:color w:val="auto"/>
          <w:sz w:val="24"/>
          <w:szCs w:val="21"/>
          <w:highlight w:val="none"/>
          <w:vertAlign w:val="subscript"/>
          <w:lang w:val="en-US" w:eastAsia="zh-CN"/>
        </w:rPr>
        <w:t>2.5</w:t>
      </w:r>
      <w:r>
        <w:rPr>
          <w:rFonts w:hint="default" w:ascii="Times New Roman" w:hAnsi="Times New Roman" w:eastAsia="宋体" w:cs="Times New Roman"/>
          <w:color w:val="auto"/>
          <w:sz w:val="24"/>
          <w:szCs w:val="21"/>
          <w:highlight w:val="none"/>
          <w:lang w:val="en-US" w:eastAsia="zh-CN"/>
        </w:rPr>
        <w:t>年均浓度超过</w:t>
      </w:r>
      <w:r>
        <w:rPr>
          <w:rFonts w:hint="default" w:ascii="Times New Roman" w:hAnsi="Times New Roman" w:eastAsia="宋体" w:cs="Times New Roman"/>
          <w:color w:val="auto"/>
          <w:sz w:val="24"/>
          <w:szCs w:val="21"/>
          <w:highlight w:val="none"/>
        </w:rPr>
        <w:t>GB3095-20</w:t>
      </w:r>
      <w:r>
        <w:rPr>
          <w:rFonts w:hint="default" w:ascii="Times New Roman" w:hAnsi="Times New Roman" w:eastAsia="宋体" w:cs="Times New Roman"/>
          <w:color w:val="auto"/>
          <w:sz w:val="24"/>
          <w:szCs w:val="21"/>
          <w:highlight w:val="none"/>
          <w:lang w:val="en-US" w:eastAsia="zh-CN"/>
        </w:rPr>
        <w:t>26表1中过渡阶段</w:t>
      </w:r>
      <w:r>
        <w:rPr>
          <w:rFonts w:hint="default" w:ascii="Times New Roman" w:hAnsi="Times New Roman" w:eastAsia="宋体" w:cs="Times New Roman"/>
          <w:color w:val="auto"/>
          <w:sz w:val="24"/>
          <w:szCs w:val="21"/>
          <w:highlight w:val="none"/>
        </w:rPr>
        <w:t>二级</w:t>
      </w:r>
      <w:r>
        <w:rPr>
          <w:rFonts w:hint="default" w:ascii="Times New Roman" w:hAnsi="Times New Roman" w:eastAsia="宋体" w:cs="Times New Roman"/>
          <w:color w:val="auto"/>
          <w:sz w:val="24"/>
          <w:szCs w:val="21"/>
          <w:highlight w:val="none"/>
          <w:lang w:val="en-US" w:eastAsia="zh-CN"/>
        </w:rPr>
        <w:t>浓度限值（PM</w:t>
      </w:r>
      <w:r>
        <w:rPr>
          <w:rFonts w:hint="default" w:ascii="Times New Roman" w:hAnsi="Times New Roman" w:eastAsia="宋体" w:cs="Times New Roman"/>
          <w:color w:val="auto"/>
          <w:sz w:val="24"/>
          <w:szCs w:val="21"/>
          <w:highlight w:val="none"/>
          <w:vertAlign w:val="subscript"/>
          <w:lang w:val="en-US" w:eastAsia="zh-CN"/>
        </w:rPr>
        <w:t>10</w:t>
      </w:r>
      <w:r>
        <w:rPr>
          <w:rFonts w:hint="default" w:ascii="Times New Roman" w:hAnsi="Times New Roman" w:eastAsia="宋体" w:cs="Times New Roman"/>
          <w:color w:val="auto"/>
          <w:sz w:val="24"/>
          <w:szCs w:val="21"/>
          <w:highlight w:val="none"/>
          <w:lang w:val="en-US" w:eastAsia="zh-CN"/>
        </w:rPr>
        <w:t>限值60μg/m</w:t>
      </w:r>
      <w:r>
        <w:rPr>
          <w:rFonts w:hint="default" w:ascii="Times New Roman" w:hAnsi="Times New Roman" w:eastAsia="宋体" w:cs="Times New Roman"/>
          <w:color w:val="auto"/>
          <w:sz w:val="24"/>
          <w:szCs w:val="21"/>
          <w:highlight w:val="none"/>
          <w:vertAlign w:val="superscript"/>
          <w:lang w:val="en-US" w:eastAsia="zh-CN"/>
        </w:rPr>
        <w:t>3</w:t>
      </w:r>
      <w:r>
        <w:rPr>
          <w:rFonts w:hint="eastAsia" w:ascii="Times New Roman" w:hAnsi="Times New Roman" w:eastAsia="宋体" w:cs="Times New Roman"/>
          <w:color w:val="auto"/>
          <w:sz w:val="24"/>
          <w:szCs w:val="21"/>
          <w:highlight w:val="none"/>
          <w:vertAlign w:val="baseline"/>
          <w:lang w:val="en-US" w:eastAsia="zh-CN"/>
        </w:rPr>
        <w:t>、</w:t>
      </w:r>
      <w:r>
        <w:rPr>
          <w:rFonts w:hint="default" w:ascii="Times New Roman" w:hAnsi="Times New Roman" w:eastAsia="宋体" w:cs="Times New Roman"/>
          <w:color w:val="auto"/>
          <w:sz w:val="24"/>
          <w:szCs w:val="21"/>
          <w:highlight w:val="none"/>
          <w:lang w:val="en-US" w:eastAsia="zh-CN"/>
        </w:rPr>
        <w:t>PM</w:t>
      </w:r>
      <w:r>
        <w:rPr>
          <w:rFonts w:hint="eastAsia" w:ascii="Times New Roman" w:hAnsi="Times New Roman" w:eastAsia="宋体" w:cs="Times New Roman"/>
          <w:color w:val="auto"/>
          <w:sz w:val="24"/>
          <w:szCs w:val="21"/>
          <w:highlight w:val="none"/>
          <w:vertAlign w:val="subscript"/>
          <w:lang w:val="en-US" w:eastAsia="zh-CN"/>
        </w:rPr>
        <w:t>2.5</w:t>
      </w:r>
      <w:r>
        <w:rPr>
          <w:rFonts w:hint="default" w:ascii="Times New Roman" w:hAnsi="Times New Roman" w:eastAsia="宋体" w:cs="Times New Roman"/>
          <w:color w:val="auto"/>
          <w:sz w:val="24"/>
          <w:szCs w:val="21"/>
          <w:highlight w:val="none"/>
          <w:lang w:val="en-US" w:eastAsia="zh-CN"/>
        </w:rPr>
        <w:t>限值</w:t>
      </w:r>
      <w:r>
        <w:rPr>
          <w:rFonts w:hint="eastAsia" w:ascii="Times New Roman" w:hAnsi="Times New Roman" w:eastAsia="宋体" w:cs="Times New Roman"/>
          <w:color w:val="auto"/>
          <w:sz w:val="24"/>
          <w:szCs w:val="21"/>
          <w:highlight w:val="none"/>
          <w:lang w:val="en-US" w:eastAsia="zh-CN"/>
        </w:rPr>
        <w:t>30</w:t>
      </w:r>
      <w:r>
        <w:rPr>
          <w:rFonts w:hint="default" w:ascii="Times New Roman" w:hAnsi="Times New Roman" w:eastAsia="宋体" w:cs="Times New Roman"/>
          <w:color w:val="auto"/>
          <w:sz w:val="24"/>
          <w:szCs w:val="21"/>
          <w:highlight w:val="none"/>
          <w:lang w:val="en-US" w:eastAsia="zh-CN"/>
        </w:rPr>
        <w:t>μg/m</w:t>
      </w:r>
      <w:r>
        <w:rPr>
          <w:rFonts w:hint="default" w:ascii="Times New Roman" w:hAnsi="Times New Roman" w:eastAsia="宋体" w:cs="Times New Roman"/>
          <w:color w:val="auto"/>
          <w:sz w:val="24"/>
          <w:szCs w:val="21"/>
          <w:highlight w:val="none"/>
          <w:vertAlign w:val="superscript"/>
          <w:lang w:val="en-US" w:eastAsia="zh-CN"/>
        </w:rPr>
        <w:t>3</w:t>
      </w:r>
      <w:r>
        <w:rPr>
          <w:rFonts w:hint="default" w:ascii="Times New Roman" w:hAnsi="Times New Roman" w:eastAsia="宋体" w:cs="Times New Roman"/>
          <w:color w:val="auto"/>
          <w:sz w:val="24"/>
          <w:szCs w:val="21"/>
          <w:highlight w:val="none"/>
          <w:lang w:val="en-US" w:eastAsia="zh-CN"/>
        </w:rPr>
        <w:t>）</w:t>
      </w:r>
      <w:r>
        <w:rPr>
          <w:rFonts w:hint="eastAsia" w:eastAsia="宋体" w:cs="Times New Roman"/>
          <w:color w:val="auto"/>
          <w:sz w:val="24"/>
          <w:szCs w:val="21"/>
          <w:highlight w:val="none"/>
          <w:lang w:val="en-US" w:eastAsia="zh-CN"/>
        </w:rPr>
        <w:t>。</w:t>
      </w:r>
    </w:p>
    <w:p w14:paraId="6319A7C9">
      <w:pPr>
        <w:spacing w:line="360" w:lineRule="auto"/>
        <w:ind w:firstLine="480" w:firstLineChars="200"/>
        <w:rPr>
          <w:bCs/>
          <w:color w:val="auto"/>
          <w:sz w:val="24"/>
        </w:rPr>
      </w:pPr>
      <w:r>
        <w:rPr>
          <w:bCs/>
          <w:color w:val="auto"/>
          <w:sz w:val="24"/>
        </w:rPr>
        <w:t>20</w:t>
      </w:r>
      <w:r>
        <w:rPr>
          <w:rFonts w:hint="eastAsia"/>
          <w:bCs/>
          <w:color w:val="auto"/>
          <w:sz w:val="24"/>
          <w:lang w:val="en-US" w:eastAsia="zh-CN"/>
        </w:rPr>
        <w:t>25</w:t>
      </w:r>
      <w:r>
        <w:rPr>
          <w:bCs/>
          <w:color w:val="auto"/>
          <w:sz w:val="24"/>
        </w:rPr>
        <w:t>年淮南市PM</w:t>
      </w:r>
      <w:r>
        <w:rPr>
          <w:bCs/>
          <w:color w:val="auto"/>
          <w:sz w:val="24"/>
          <w:vertAlign w:val="subscript"/>
        </w:rPr>
        <w:t>2.5</w:t>
      </w:r>
      <w:r>
        <w:rPr>
          <w:bCs/>
          <w:color w:val="auto"/>
          <w:sz w:val="24"/>
        </w:rPr>
        <w:t>评价指标不能满足《环境空气质量标准》（</w:t>
      </w:r>
      <w:r>
        <w:rPr>
          <w:rFonts w:hint="eastAsia"/>
          <w:bCs/>
          <w:color w:val="auto"/>
          <w:sz w:val="24"/>
          <w:lang w:eastAsia="zh-CN"/>
        </w:rPr>
        <w:t>GB 3095-2026</w:t>
      </w:r>
      <w:r>
        <w:rPr>
          <w:bCs/>
          <w:color w:val="auto"/>
          <w:sz w:val="24"/>
        </w:rPr>
        <w:t>）中二级标准限值要求，项目所在区域为环境空气质量不达标区。</w:t>
      </w:r>
    </w:p>
    <w:p w14:paraId="4B67F622">
      <w:pPr>
        <w:spacing w:line="360" w:lineRule="auto"/>
        <w:ind w:firstLine="480" w:firstLineChars="200"/>
        <w:rPr>
          <w:rFonts w:hint="eastAsia"/>
          <w:color w:val="auto"/>
          <w:sz w:val="24"/>
        </w:rPr>
      </w:pPr>
      <w:r>
        <w:rPr>
          <w:rFonts w:hint="eastAsia"/>
          <w:color w:val="auto"/>
          <w:sz w:val="24"/>
        </w:rPr>
        <w:t>淮南市生态环境局就空气质量不达标提出一系列举措，一是聚焦协同治理，蓝天保卫战成效显著。开展大气污染防治专项巡查督查，排查整治各类问题1588个。督促27家企业编制“一厂一策”，4个工业园区编制“一园一案”，完成19家低效VOCs治理工艺企业升级改造。开展夏季监督帮扶，指导企业完成问题整改80个。整治扬尘问题793个，</w:t>
      </w:r>
      <w:r>
        <w:rPr>
          <w:rFonts w:hint="eastAsia"/>
          <w:color w:val="auto"/>
          <w:sz w:val="24"/>
          <w:lang w:eastAsia="zh-CN"/>
        </w:rPr>
        <w:t>秸秆</w:t>
      </w:r>
      <w:r>
        <w:rPr>
          <w:rFonts w:hint="eastAsia"/>
          <w:color w:val="auto"/>
          <w:sz w:val="24"/>
        </w:rPr>
        <w:t>焚烧问题156个，餐饮油烟问题89个，散煤问题141个，取缔经营性小煤炉、炉灶692个。聘请</w:t>
      </w:r>
      <w:r>
        <w:rPr>
          <w:rFonts w:hint="eastAsia"/>
          <w:color w:val="auto"/>
          <w:sz w:val="24"/>
          <w:lang w:eastAsia="zh-CN"/>
        </w:rPr>
        <w:t>中国科学院</w:t>
      </w:r>
      <w:r>
        <w:rPr>
          <w:rFonts w:hint="eastAsia"/>
          <w:color w:val="auto"/>
          <w:sz w:val="24"/>
        </w:rPr>
        <w:t>大气所专家团队开展细颗粒物和臭氧协同治理驻点跟踪研究，提出了PM</w:t>
      </w:r>
      <w:r>
        <w:rPr>
          <w:rFonts w:hint="eastAsia"/>
          <w:color w:val="auto"/>
          <w:sz w:val="24"/>
          <w:vertAlign w:val="subscript"/>
        </w:rPr>
        <w:t>2.5</w:t>
      </w:r>
      <w:r>
        <w:rPr>
          <w:rFonts w:hint="eastAsia"/>
          <w:color w:val="auto"/>
          <w:sz w:val="24"/>
        </w:rPr>
        <w:t>和O</w:t>
      </w:r>
      <w:r>
        <w:rPr>
          <w:rFonts w:hint="eastAsia"/>
          <w:color w:val="auto"/>
          <w:sz w:val="24"/>
          <w:vertAlign w:val="subscript"/>
        </w:rPr>
        <w:t>3</w:t>
      </w:r>
      <w:r>
        <w:rPr>
          <w:rFonts w:hint="eastAsia"/>
          <w:color w:val="auto"/>
          <w:sz w:val="24"/>
        </w:rPr>
        <w:t>污染协同防控“一市一策”综合解决方案，切实提升了我市大气污染防治可持续支撑能力和科学治污水平。</w:t>
      </w:r>
    </w:p>
    <w:p w14:paraId="40C40AB4">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淮南市人民政府将持续推进大气污染防治行动计划，打赢蓝天保卫战，严格实行环境空气质量和大气污染防治工作“双考核”制度，推进以燃煤电厂为主的重点行业大气污染源深度治理、城市扬尘污染控制，持续降低可吸入颗粒物（</w:t>
      </w:r>
      <w:r>
        <w:rPr>
          <w:color w:val="auto"/>
          <w:sz w:val="24"/>
          <w:szCs w:val="24"/>
        </w:rPr>
        <w:t>PM</w:t>
      </w:r>
      <w:r>
        <w:rPr>
          <w:color w:val="auto"/>
          <w:sz w:val="24"/>
          <w:szCs w:val="24"/>
          <w:vertAlign w:val="subscript"/>
        </w:rPr>
        <w:t>10</w:t>
      </w:r>
      <w:r>
        <w:rPr>
          <w:rFonts w:hint="eastAsia" w:ascii="宋体" w:hAnsi="宋体" w:cs="宋体"/>
          <w:color w:val="auto"/>
          <w:sz w:val="24"/>
          <w:szCs w:val="24"/>
        </w:rPr>
        <w:t>）和细颗粒物（</w:t>
      </w:r>
      <w:r>
        <w:rPr>
          <w:color w:val="auto"/>
          <w:sz w:val="24"/>
          <w:szCs w:val="24"/>
        </w:rPr>
        <w:t>PM</w:t>
      </w:r>
      <w:r>
        <w:rPr>
          <w:color w:val="auto"/>
          <w:sz w:val="24"/>
          <w:szCs w:val="24"/>
          <w:vertAlign w:val="subscript"/>
        </w:rPr>
        <w:t>2.5</w:t>
      </w:r>
      <w:r>
        <w:rPr>
          <w:rFonts w:hint="eastAsia" w:ascii="宋体" w:hAnsi="宋体" w:cs="宋体"/>
          <w:color w:val="auto"/>
          <w:sz w:val="24"/>
          <w:szCs w:val="24"/>
        </w:rPr>
        <w:t>）浓度，环境空气质量总体改善。</w:t>
      </w:r>
    </w:p>
    <w:p w14:paraId="667D99BD">
      <w:pPr>
        <w:pStyle w:val="5"/>
        <w:numPr>
          <w:ilvl w:val="3"/>
          <w:numId w:val="0"/>
        </w:numPr>
        <w:rPr>
          <w:color w:val="auto"/>
        </w:rPr>
      </w:pPr>
      <w:r>
        <w:rPr>
          <w:rFonts w:hint="eastAsia"/>
          <w:color w:val="auto"/>
        </w:rPr>
        <w:t>4.2.1.2大气</w:t>
      </w:r>
      <w:r>
        <w:rPr>
          <w:color w:val="auto"/>
        </w:rPr>
        <w:t>环境质量现状补充监测</w:t>
      </w:r>
    </w:p>
    <w:p w14:paraId="5ACA21A0">
      <w:pPr>
        <w:spacing w:line="480" w:lineRule="exact"/>
        <w:ind w:firstLine="480" w:firstLineChars="200"/>
        <w:rPr>
          <w:color w:val="auto"/>
          <w:sz w:val="24"/>
        </w:rPr>
      </w:pPr>
      <w:r>
        <w:rPr>
          <w:rFonts w:hint="eastAsia"/>
          <w:color w:val="auto"/>
          <w:sz w:val="24"/>
        </w:rPr>
        <w:t>（1）</w:t>
      </w:r>
      <w:r>
        <w:rPr>
          <w:color w:val="auto"/>
          <w:sz w:val="24"/>
        </w:rPr>
        <w:t>监测布点：按照环境影响评价技术导则要求，结合本项目所在区域地形特点，以及当地气象特征，本项目共设置</w:t>
      </w:r>
      <w:r>
        <w:rPr>
          <w:rFonts w:hint="eastAsia"/>
          <w:color w:val="auto"/>
          <w:sz w:val="24"/>
        </w:rPr>
        <w:t>2</w:t>
      </w:r>
      <w:r>
        <w:rPr>
          <w:color w:val="auto"/>
          <w:sz w:val="24"/>
        </w:rPr>
        <w:t>个大气环境质量监测点</w:t>
      </w:r>
      <w:r>
        <w:rPr>
          <w:rFonts w:hint="eastAsia"/>
          <w:color w:val="auto"/>
          <w:sz w:val="24"/>
        </w:rPr>
        <w:t>G</w:t>
      </w:r>
      <w:r>
        <w:rPr>
          <w:color w:val="auto"/>
          <w:sz w:val="24"/>
        </w:rPr>
        <w:t>1</w:t>
      </w:r>
      <w:r>
        <w:rPr>
          <w:rFonts w:hint="eastAsia"/>
          <w:color w:val="auto"/>
          <w:sz w:val="24"/>
        </w:rPr>
        <w:t>及G2</w:t>
      </w:r>
      <w:r>
        <w:rPr>
          <w:rFonts w:hint="eastAsia"/>
          <w:color w:val="auto"/>
          <w:sz w:val="24"/>
          <w:lang w:eastAsia="zh-CN"/>
        </w:rPr>
        <w:t>（</w:t>
      </w:r>
      <w:r>
        <w:rPr>
          <w:rFonts w:hint="eastAsia"/>
          <w:color w:val="auto"/>
          <w:sz w:val="24"/>
          <w:lang w:val="en-US" w:eastAsia="zh-CN"/>
        </w:rPr>
        <w:t>下风向</w:t>
      </w:r>
      <w:r>
        <w:rPr>
          <w:rFonts w:hint="eastAsia"/>
          <w:color w:val="auto"/>
          <w:sz w:val="24"/>
          <w:lang w:eastAsia="zh-CN"/>
        </w:rPr>
        <w:t>），</w:t>
      </w:r>
      <w:r>
        <w:rPr>
          <w:rFonts w:hint="eastAsia"/>
          <w:color w:val="auto"/>
          <w:sz w:val="24"/>
          <w:lang w:val="en-US" w:eastAsia="zh-CN"/>
        </w:rPr>
        <w:t>符合</w:t>
      </w:r>
      <w:r>
        <w:rPr>
          <w:color w:val="auto"/>
          <w:sz w:val="24"/>
        </w:rPr>
        <w:t>《环境影响评价技术导则 大气环境》</w:t>
      </w:r>
      <w:r>
        <w:rPr>
          <w:rFonts w:hint="eastAsia"/>
          <w:color w:val="auto"/>
          <w:sz w:val="24"/>
          <w:lang w:eastAsia="zh-CN"/>
        </w:rPr>
        <w:t>（</w:t>
      </w:r>
      <w:r>
        <w:rPr>
          <w:color w:val="auto"/>
          <w:sz w:val="24"/>
        </w:rPr>
        <w:t>HJ2.2-2018)</w:t>
      </w:r>
      <w:r>
        <w:rPr>
          <w:rFonts w:hint="eastAsia"/>
          <w:color w:val="auto"/>
          <w:sz w:val="24"/>
          <w:lang w:val="en-US" w:eastAsia="zh-CN"/>
        </w:rPr>
        <w:t>中“6.3.2监测布点 以近20 年统计的当地主导风向为轴向，在厂址及主导风向下风向5km 范围内设置1-2 个监测点”要求</w:t>
      </w:r>
      <w:r>
        <w:rPr>
          <w:color w:val="auto"/>
          <w:sz w:val="24"/>
        </w:rPr>
        <w:t>，监测点具体位置见</w:t>
      </w:r>
      <w:r>
        <w:rPr>
          <w:rFonts w:hint="eastAsia"/>
          <w:color w:val="auto"/>
          <w:sz w:val="24"/>
        </w:rPr>
        <w:t>表</w:t>
      </w:r>
      <w:r>
        <w:rPr>
          <w:color w:val="auto"/>
          <w:sz w:val="24"/>
        </w:rPr>
        <w:t>4.2-2</w:t>
      </w:r>
      <w:r>
        <w:rPr>
          <w:rFonts w:hint="eastAsia"/>
          <w:color w:val="auto"/>
          <w:sz w:val="24"/>
        </w:rPr>
        <w:t>和</w:t>
      </w:r>
      <w:r>
        <w:rPr>
          <w:color w:val="auto"/>
          <w:sz w:val="24"/>
        </w:rPr>
        <w:t>图</w:t>
      </w:r>
      <w:r>
        <w:rPr>
          <w:rFonts w:hint="eastAsia"/>
          <w:color w:val="auto"/>
          <w:sz w:val="24"/>
        </w:rPr>
        <w:t>4</w:t>
      </w:r>
      <w:r>
        <w:rPr>
          <w:color w:val="auto"/>
          <w:sz w:val="24"/>
        </w:rPr>
        <w:t>.2-1。</w:t>
      </w:r>
    </w:p>
    <w:p w14:paraId="4F23584B">
      <w:pPr>
        <w:spacing w:line="400" w:lineRule="exact"/>
        <w:jc w:val="center"/>
        <w:rPr>
          <w:rFonts w:eastAsia="黑体"/>
          <w:color w:val="auto"/>
          <w:sz w:val="24"/>
        </w:rPr>
      </w:pPr>
      <w:r>
        <w:rPr>
          <w:rFonts w:eastAsia="黑体"/>
          <w:color w:val="auto"/>
          <w:sz w:val="24"/>
        </w:rPr>
        <w:t>表</w:t>
      </w:r>
      <w:r>
        <w:rPr>
          <w:rFonts w:hint="eastAsia" w:eastAsia="黑体"/>
          <w:color w:val="auto"/>
          <w:sz w:val="24"/>
        </w:rPr>
        <w:t>4</w:t>
      </w:r>
      <w:r>
        <w:rPr>
          <w:rFonts w:eastAsia="黑体"/>
          <w:color w:val="auto"/>
          <w:sz w:val="24"/>
        </w:rPr>
        <w:t>.2-2  环境空气质量现状监测点位一览表</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4"/>
        <w:gridCol w:w="2384"/>
        <w:gridCol w:w="2384"/>
        <w:gridCol w:w="2385"/>
      </w:tblGrid>
      <w:tr w14:paraId="79AB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4" w:type="dxa"/>
            <w:tcBorders>
              <w:top w:val="single" w:color="auto" w:sz="12" w:space="0"/>
              <w:left w:val="nil"/>
            </w:tcBorders>
            <w:noWrap w:val="0"/>
            <w:vAlign w:val="center"/>
          </w:tcPr>
          <w:p w14:paraId="66C9F91E">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编号</w:t>
            </w:r>
          </w:p>
        </w:tc>
        <w:tc>
          <w:tcPr>
            <w:tcW w:w="2384" w:type="dxa"/>
            <w:tcBorders>
              <w:top w:val="single" w:color="auto" w:sz="12" w:space="0"/>
            </w:tcBorders>
            <w:noWrap w:val="0"/>
            <w:vAlign w:val="center"/>
          </w:tcPr>
          <w:p w14:paraId="6ED84A15">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测点名称</w:t>
            </w:r>
          </w:p>
        </w:tc>
        <w:tc>
          <w:tcPr>
            <w:tcW w:w="2384" w:type="dxa"/>
            <w:tcBorders>
              <w:top w:val="single" w:color="auto" w:sz="12" w:space="0"/>
            </w:tcBorders>
            <w:noWrap w:val="0"/>
            <w:vAlign w:val="center"/>
          </w:tcPr>
          <w:p w14:paraId="6350F5A3">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方向</w:t>
            </w:r>
          </w:p>
        </w:tc>
        <w:tc>
          <w:tcPr>
            <w:tcW w:w="2385" w:type="dxa"/>
            <w:tcBorders>
              <w:top w:val="single" w:color="auto" w:sz="12" w:space="0"/>
              <w:right w:val="nil"/>
            </w:tcBorders>
            <w:noWrap w:val="0"/>
            <w:vAlign w:val="center"/>
          </w:tcPr>
          <w:p w14:paraId="153A6623">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备注</w:t>
            </w:r>
          </w:p>
        </w:tc>
      </w:tr>
      <w:tr w14:paraId="3E4C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4" w:type="dxa"/>
            <w:tcBorders>
              <w:left w:val="nil"/>
            </w:tcBorders>
            <w:noWrap w:val="0"/>
            <w:vAlign w:val="center"/>
          </w:tcPr>
          <w:p w14:paraId="20CD240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G</w:t>
            </w:r>
            <w:r>
              <w:rPr>
                <w:rFonts w:hint="default" w:ascii="Times New Roman" w:hAnsi="Times New Roman" w:cs="Times New Roman"/>
                <w:color w:val="auto"/>
              </w:rPr>
              <w:t>1</w:t>
            </w:r>
          </w:p>
        </w:tc>
        <w:tc>
          <w:tcPr>
            <w:tcW w:w="2384" w:type="dxa"/>
            <w:noWrap w:val="0"/>
            <w:vAlign w:val="center"/>
          </w:tcPr>
          <w:p w14:paraId="12C265EA">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项目所在地</w:t>
            </w:r>
          </w:p>
        </w:tc>
        <w:tc>
          <w:tcPr>
            <w:tcW w:w="2384" w:type="dxa"/>
            <w:noWrap w:val="0"/>
            <w:vAlign w:val="center"/>
          </w:tcPr>
          <w:p w14:paraId="2637237F">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w:t>
            </w:r>
          </w:p>
        </w:tc>
        <w:tc>
          <w:tcPr>
            <w:tcW w:w="2385" w:type="dxa"/>
            <w:tcBorders>
              <w:right w:val="nil"/>
            </w:tcBorders>
            <w:noWrap w:val="0"/>
            <w:vAlign w:val="center"/>
          </w:tcPr>
          <w:p w14:paraId="642D1C4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w:t>
            </w:r>
          </w:p>
        </w:tc>
      </w:tr>
      <w:tr w14:paraId="0A89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4" w:type="dxa"/>
            <w:tcBorders>
              <w:left w:val="nil"/>
              <w:bottom w:val="single" w:color="auto" w:sz="12" w:space="0"/>
            </w:tcBorders>
            <w:noWrap w:val="0"/>
            <w:vAlign w:val="center"/>
          </w:tcPr>
          <w:p w14:paraId="1637A8B0">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G2</w:t>
            </w:r>
          </w:p>
        </w:tc>
        <w:tc>
          <w:tcPr>
            <w:tcW w:w="2384" w:type="dxa"/>
            <w:tcBorders>
              <w:bottom w:val="single" w:color="auto" w:sz="12" w:space="0"/>
            </w:tcBorders>
            <w:noWrap w:val="0"/>
            <w:vAlign w:val="center"/>
          </w:tcPr>
          <w:p w14:paraId="6BC402D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小孙家岗</w:t>
            </w:r>
          </w:p>
        </w:tc>
        <w:tc>
          <w:tcPr>
            <w:tcW w:w="2384" w:type="dxa"/>
            <w:tcBorders>
              <w:bottom w:val="single" w:color="auto" w:sz="12" w:space="0"/>
            </w:tcBorders>
            <w:noWrap w:val="0"/>
            <w:vAlign w:val="center"/>
          </w:tcPr>
          <w:p w14:paraId="1B84B7C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NW</w:t>
            </w:r>
          </w:p>
        </w:tc>
        <w:tc>
          <w:tcPr>
            <w:tcW w:w="2385" w:type="dxa"/>
            <w:tcBorders>
              <w:bottom w:val="single" w:color="auto" w:sz="12" w:space="0"/>
              <w:right w:val="nil"/>
            </w:tcBorders>
            <w:noWrap w:val="0"/>
            <w:vAlign w:val="center"/>
          </w:tcPr>
          <w:p w14:paraId="0E6BB5CB">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rPr>
              <w:t>1</w:t>
            </w:r>
            <w:r>
              <w:rPr>
                <w:rFonts w:hint="default" w:ascii="Times New Roman" w:hAnsi="Times New Roman" w:cs="Times New Roman"/>
                <w:color w:val="auto"/>
              </w:rPr>
              <w:t>69</w:t>
            </w:r>
            <w:r>
              <w:rPr>
                <w:rFonts w:hint="eastAsia" w:cs="Times New Roman"/>
                <w:color w:val="auto"/>
                <w:lang w:val="en-US" w:eastAsia="zh-CN"/>
              </w:rPr>
              <w:t>m</w:t>
            </w:r>
          </w:p>
        </w:tc>
      </w:tr>
    </w:tbl>
    <w:p w14:paraId="10F8DA48">
      <w:pPr>
        <w:spacing w:line="360" w:lineRule="auto"/>
        <w:ind w:firstLine="420" w:firstLineChars="200"/>
        <w:rPr>
          <w:color w:val="auto"/>
        </w:rPr>
      </w:pPr>
    </w:p>
    <w:p w14:paraId="4477752E">
      <w:pPr>
        <w:spacing w:line="360" w:lineRule="auto"/>
        <w:rPr>
          <w:color w:val="auto"/>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03A79D43">
      <w:pPr>
        <w:spacing w:line="360" w:lineRule="auto"/>
        <w:rPr>
          <w:color w:val="auto"/>
        </w:rPr>
      </w:pPr>
      <w:r>
        <w:rPr>
          <w:color w:val="auto"/>
        </w:rPr>
        <mc:AlternateContent>
          <mc:Choice Requires="wps">
            <w:drawing>
              <wp:anchor distT="0" distB="0" distL="114300" distR="114300" simplePos="0" relativeHeight="251685888" behindDoc="0" locked="0" layoutInCell="1" allowOverlap="1">
                <wp:simplePos x="0" y="0"/>
                <wp:positionH relativeFrom="column">
                  <wp:posOffset>6504305</wp:posOffset>
                </wp:positionH>
                <wp:positionV relativeFrom="paragraph">
                  <wp:posOffset>4641850</wp:posOffset>
                </wp:positionV>
                <wp:extent cx="214630" cy="215900"/>
                <wp:effectExtent l="4445" t="4445" r="9525" b="8255"/>
                <wp:wrapNone/>
                <wp:docPr id="30" name="椭圆 170"/>
                <wp:cNvGraphicFramePr/>
                <a:graphic xmlns:a="http://schemas.openxmlformats.org/drawingml/2006/main">
                  <a:graphicData uri="http://schemas.microsoft.com/office/word/2010/wordprocessingShape">
                    <wps:wsp>
                      <wps:cNvSpPr/>
                      <wps:spPr>
                        <a:xfrm>
                          <a:off x="0" y="0"/>
                          <a:ext cx="214630" cy="215900"/>
                        </a:xfrm>
                        <a:prstGeom prst="ellipse">
                          <a:avLst/>
                        </a:prstGeom>
                        <a:solidFill>
                          <a:srgbClr val="1100F0"/>
                        </a:solidFill>
                        <a:ln w="9525" cap="flat" cmpd="sng">
                          <a:solidFill>
                            <a:srgbClr val="1601E1"/>
                          </a:solidFill>
                          <a:prstDash val="solid"/>
                          <a:headEnd type="none" w="med" len="med"/>
                          <a:tailEnd type="none" w="med" len="med"/>
                        </a:ln>
                      </wps:spPr>
                      <wps:bodyPr wrap="square" upright="1"/>
                    </wps:wsp>
                  </a:graphicData>
                </a:graphic>
              </wp:anchor>
            </w:drawing>
          </mc:Choice>
          <mc:Fallback>
            <w:pict>
              <v:shape id="椭圆 170" o:spid="_x0000_s1026" o:spt="3" type="#_x0000_t3" style="position:absolute;left:0pt;margin-left:512.15pt;margin-top:365.5pt;height:17pt;width:16.9pt;z-index:251685888;mso-width-relative:page;mso-height-relative:page;" fillcolor="#1100F0" filled="t" stroked="t" coordsize="21600,21600" o:gfxdata="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bqroC2AAAAA0BAAAPAAAAAAAAAAEAIAAAACIAAABk&#10;cnMvZG93bnJldi54bWxQSwECFAAUAAAACACHTuJAEX8w5wYCAAAnBAAADgAAAAAAAAABACAAAAAn&#10;AQAAZHJzL2Uyb0RvYy54bWxQSwUGAAAAAAYABgBZAQAAnwUAAAAA&#10;">
                <v:fill on="t" focussize="0,0"/>
                <v:stroke color="#1601E1" joinstyle="round"/>
                <v:imagedata o:title=""/>
                <o:lock v:ext="edit" aspectratio="f"/>
              </v:shape>
            </w:pict>
          </mc:Fallback>
        </mc:AlternateContent>
      </w:r>
      <w:r>
        <w:rPr>
          <w:color w:val="auto"/>
        </w:rPr>
        <mc:AlternateContent>
          <mc:Choice Requires="wps">
            <w:drawing>
              <wp:anchor distT="0" distB="0" distL="114300" distR="114300" simplePos="0" relativeHeight="251684864" behindDoc="0" locked="0" layoutInCell="1" allowOverlap="1">
                <wp:simplePos x="0" y="0"/>
                <wp:positionH relativeFrom="column">
                  <wp:posOffset>6502400</wp:posOffset>
                </wp:positionH>
                <wp:positionV relativeFrom="paragraph">
                  <wp:posOffset>4349750</wp:posOffset>
                </wp:positionV>
                <wp:extent cx="215900" cy="215900"/>
                <wp:effectExtent l="7620" t="10795" r="24130" b="20955"/>
                <wp:wrapNone/>
                <wp:docPr id="29" name="自选图形 171"/>
                <wp:cNvGraphicFramePr/>
                <a:graphic xmlns:a="http://schemas.openxmlformats.org/drawingml/2006/main">
                  <a:graphicData uri="http://schemas.microsoft.com/office/word/2010/wordprocessingShape">
                    <wps:wsp>
                      <wps:cNvSpPr/>
                      <wps:spPr>
                        <a:xfrm>
                          <a:off x="0" y="0"/>
                          <a:ext cx="215900" cy="215900"/>
                        </a:xfrm>
                        <a:prstGeom prst="flowChartExtract">
                          <a:avLst/>
                        </a:prstGeom>
                        <a:solidFill>
                          <a:srgbClr val="FFFF00"/>
                        </a:solidFill>
                        <a:ln w="9525"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171" o:spid="_x0000_s1026" o:spt="127" type="#_x0000_t127" style="position:absolute;left:0pt;margin-left:512pt;margin-top:342.5pt;height:17pt;width:17pt;z-index:251684864;mso-width-relative:page;mso-height-relative:page;" fillcolor="#FFFF00" filled="t" stroked="t" coordsize="21600,21600" o:gfxdata="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TNX/jaAAAADQEAAA8AAAAA&#10;AAAAAQAgAAAAIgAAAGRycy9kb3ducmV2LnhtbFBLAQIUABQAAAAIAIdO4kBqoZVJEgIAAEAEAAAO&#10;AAAAAAAAAAEAIAAAACkBAABkcnMvZTJvRG9jLnhtbFBLBQYAAAAABgAGAFkBAACtBQAAAAA=&#10;">
                <v:fill on="t" focussize="0,0"/>
                <v:stroke color="#FFFF00" joinstyle="miter"/>
                <v:imagedata o:title=""/>
                <o:lock v:ext="edit" aspectratio="f"/>
              </v:shape>
            </w:pict>
          </mc:Fallback>
        </mc:AlternateContent>
      </w:r>
      <w:r>
        <w:rPr>
          <w:color w:val="auto"/>
        </w:rPr>
        <mc:AlternateContent>
          <mc:Choice Requires="wps">
            <w:drawing>
              <wp:anchor distT="0" distB="0" distL="114300" distR="114300" simplePos="0" relativeHeight="251683840" behindDoc="0" locked="0" layoutInCell="1" allowOverlap="1">
                <wp:simplePos x="0" y="0"/>
                <wp:positionH relativeFrom="column">
                  <wp:posOffset>6282055</wp:posOffset>
                </wp:positionH>
                <wp:positionV relativeFrom="paragraph">
                  <wp:posOffset>3974465</wp:posOffset>
                </wp:positionV>
                <wp:extent cx="2578735" cy="932815"/>
                <wp:effectExtent l="5080" t="4445" r="6985" b="15240"/>
                <wp:wrapNone/>
                <wp:docPr id="28" name="文本框 172"/>
                <wp:cNvGraphicFramePr/>
                <a:graphic xmlns:a="http://schemas.openxmlformats.org/drawingml/2006/main">
                  <a:graphicData uri="http://schemas.microsoft.com/office/word/2010/wordprocessingShape">
                    <wps:wsp>
                      <wps:cNvSpPr txBox="1"/>
                      <wps:spPr>
                        <a:xfrm>
                          <a:off x="0" y="0"/>
                          <a:ext cx="2578735" cy="932815"/>
                        </a:xfrm>
                        <a:prstGeom prst="rect">
                          <a:avLst/>
                        </a:prstGeom>
                        <a:noFill/>
                        <a:ln w="9525" cap="flat" cmpd="sng">
                          <a:solidFill>
                            <a:srgbClr val="000000"/>
                          </a:solidFill>
                          <a:prstDash val="solid"/>
                          <a:miter/>
                          <a:headEnd type="none" w="med" len="med"/>
                          <a:tailEnd type="none" w="med" len="med"/>
                        </a:ln>
                      </wps:spPr>
                      <wps:txbx>
                        <w:txbxContent>
                          <w:p w14:paraId="5D4E9DE3">
                            <w:pPr>
                              <w:spacing w:line="360" w:lineRule="auto"/>
                              <w:rPr>
                                <w:rFonts w:hint="eastAsia"/>
                                <w:b/>
                                <w:bCs/>
                              </w:rPr>
                            </w:pPr>
                            <w:r>
                              <w:rPr>
                                <w:rFonts w:hint="eastAsia"/>
                                <w:b/>
                                <w:bCs/>
                              </w:rPr>
                              <w:t>图例：</w:t>
                            </w:r>
                          </w:p>
                          <w:p w14:paraId="2963BE11">
                            <w:pPr>
                              <w:spacing w:line="360" w:lineRule="auto"/>
                              <w:rPr>
                                <w:b/>
                                <w:bCs/>
                              </w:rPr>
                            </w:pPr>
                            <w:r>
                              <w:rPr>
                                <w:rFonts w:hint="eastAsia"/>
                              </w:rPr>
                              <w:t xml:space="preserve">        </w:t>
                            </w:r>
                            <w:r>
                              <w:rPr>
                                <w:rFonts w:hint="eastAsia"/>
                                <w:b/>
                                <w:bCs/>
                              </w:rPr>
                              <w:t>声环境质量现状检测点位</w:t>
                            </w:r>
                          </w:p>
                          <w:p w14:paraId="765735AC">
                            <w:pPr>
                              <w:spacing w:line="360" w:lineRule="auto"/>
                              <w:rPr>
                                <w:b/>
                                <w:bCs/>
                              </w:rPr>
                            </w:pPr>
                            <w:r>
                              <w:rPr>
                                <w:rFonts w:hint="eastAsia"/>
                                <w:b/>
                                <w:bCs/>
                              </w:rPr>
                              <w:t xml:space="preserve">        大气环境质量现状监测点位</w:t>
                            </w:r>
                          </w:p>
                        </w:txbxContent>
                      </wps:txbx>
                      <wps:bodyPr wrap="square" upright="1"/>
                    </wps:wsp>
                  </a:graphicData>
                </a:graphic>
              </wp:anchor>
            </w:drawing>
          </mc:Choice>
          <mc:Fallback>
            <w:pict>
              <v:shape id="文本框 172" o:spid="_x0000_s1026" o:spt="202" type="#_x0000_t202" style="position:absolute;left:0pt;margin-left:494.65pt;margin-top:312.95pt;height:73.45pt;width:203.05pt;z-index:251683840;mso-width-relative:page;mso-height-relative:page;" filled="f" stroked="t" coordsize="21600,21600" o:gfxdata="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038Q72QAAAAwBAAAPAAAAAAAA&#10;AAEAIAAAACIAAABkcnMvZG93bnJldi54bWxQSwECFAAUAAAACACHTuJAVWQqLBECAAAeBAAADgAA&#10;AAAAAAABACAAAAAoAQAAZHJzL2Uyb0RvYy54bWxQSwUGAAAAAAYABgBZAQAAqwUAAAAA&#10;">
                <v:fill on="f" focussize="0,0"/>
                <v:stroke color="#000000" joinstyle="miter"/>
                <v:imagedata o:title=""/>
                <o:lock v:ext="edit" aspectratio="f"/>
                <v:textbox>
                  <w:txbxContent>
                    <w:p w14:paraId="5D4E9DE3">
                      <w:pPr>
                        <w:spacing w:line="360" w:lineRule="auto"/>
                        <w:rPr>
                          <w:rFonts w:hint="eastAsia"/>
                          <w:b/>
                          <w:bCs/>
                        </w:rPr>
                      </w:pPr>
                      <w:r>
                        <w:rPr>
                          <w:rFonts w:hint="eastAsia"/>
                          <w:b/>
                          <w:bCs/>
                        </w:rPr>
                        <w:t>图例：</w:t>
                      </w:r>
                    </w:p>
                    <w:p w14:paraId="2963BE11">
                      <w:pPr>
                        <w:spacing w:line="360" w:lineRule="auto"/>
                        <w:rPr>
                          <w:b/>
                          <w:bCs/>
                        </w:rPr>
                      </w:pPr>
                      <w:r>
                        <w:rPr>
                          <w:rFonts w:hint="eastAsia"/>
                        </w:rPr>
                        <w:t xml:space="preserve">        </w:t>
                      </w:r>
                      <w:r>
                        <w:rPr>
                          <w:rFonts w:hint="eastAsia"/>
                          <w:b/>
                          <w:bCs/>
                        </w:rPr>
                        <w:t>声环境质量现状检测点位</w:t>
                      </w:r>
                    </w:p>
                    <w:p w14:paraId="765735AC">
                      <w:pPr>
                        <w:spacing w:line="360" w:lineRule="auto"/>
                        <w:rPr>
                          <w:b/>
                          <w:bCs/>
                        </w:rPr>
                      </w:pPr>
                      <w:r>
                        <w:rPr>
                          <w:rFonts w:hint="eastAsia"/>
                          <w:b/>
                          <w:bCs/>
                        </w:rPr>
                        <w:t xml:space="preserve">        大气环境质量现状监测点位</w:t>
                      </w:r>
                    </w:p>
                  </w:txbxContent>
                </v:textbox>
              </v:shape>
            </w:pict>
          </mc:Fallback>
        </mc:AlternateContent>
      </w:r>
      <w:r>
        <w:rPr>
          <w:color w:val="auto"/>
        </w:rPr>
        <w:drawing>
          <wp:inline distT="0" distB="0" distL="114300" distR="114300">
            <wp:extent cx="8880475" cy="5045710"/>
            <wp:effectExtent l="0" t="0" r="15875" b="2540"/>
            <wp:docPr id="155"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248"/>
                    <pic:cNvPicPr>
                      <a:picLocks noChangeAspect="1"/>
                    </pic:cNvPicPr>
                  </pic:nvPicPr>
                  <pic:blipFill>
                    <a:blip r:embed="rId82"/>
                    <a:stretch>
                      <a:fillRect/>
                    </a:stretch>
                  </pic:blipFill>
                  <pic:spPr>
                    <a:xfrm>
                      <a:off x="0" y="0"/>
                      <a:ext cx="8880475" cy="5045710"/>
                    </a:xfrm>
                    <a:prstGeom prst="rect">
                      <a:avLst/>
                    </a:prstGeom>
                    <a:noFill/>
                    <a:ln>
                      <a:noFill/>
                    </a:ln>
                  </pic:spPr>
                </pic:pic>
              </a:graphicData>
            </a:graphic>
          </wp:inline>
        </w:drawing>
      </w:r>
    </w:p>
    <w:p w14:paraId="729C962C">
      <w:pPr>
        <w:spacing w:line="400" w:lineRule="exact"/>
        <w:jc w:val="center"/>
        <w:rPr>
          <w:rFonts w:eastAsia="黑体"/>
          <w:color w:val="auto"/>
          <w:sz w:val="24"/>
        </w:rPr>
      </w:pPr>
      <w:r>
        <w:rPr>
          <w:rFonts w:eastAsia="黑体"/>
          <w:color w:val="auto"/>
          <w:sz w:val="24"/>
        </w:rPr>
        <w:t>图</w:t>
      </w:r>
      <w:r>
        <w:rPr>
          <w:rFonts w:hint="eastAsia" w:eastAsia="黑体"/>
          <w:color w:val="auto"/>
          <w:sz w:val="24"/>
        </w:rPr>
        <w:t>4</w:t>
      </w:r>
      <w:r>
        <w:rPr>
          <w:rFonts w:eastAsia="黑体"/>
          <w:color w:val="auto"/>
          <w:sz w:val="24"/>
        </w:rPr>
        <w:t>.2-1  大气、声环境监测点位图</w:t>
      </w:r>
    </w:p>
    <w:p w14:paraId="667DD04E">
      <w:pPr>
        <w:spacing w:line="360" w:lineRule="auto"/>
        <w:rPr>
          <w:color w:val="auto"/>
        </w:rPr>
        <w:sectPr>
          <w:pgSz w:w="16840" w:h="11907" w:orient="landscape"/>
          <w:pgMar w:top="1417" w:right="1418" w:bottom="1417"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2BD80A49">
      <w:pPr>
        <w:spacing w:line="360" w:lineRule="auto"/>
        <w:ind w:firstLine="480" w:firstLineChars="200"/>
        <w:rPr>
          <w:color w:val="auto"/>
          <w:sz w:val="24"/>
        </w:rPr>
      </w:pPr>
      <w:r>
        <w:rPr>
          <w:color w:val="auto"/>
          <w:sz w:val="24"/>
        </w:rPr>
        <w:t>（2）监测</w:t>
      </w:r>
      <w:r>
        <w:rPr>
          <w:rFonts w:hint="eastAsia"/>
          <w:color w:val="auto"/>
          <w:sz w:val="24"/>
        </w:rPr>
        <w:t>项目</w:t>
      </w:r>
    </w:p>
    <w:p w14:paraId="052FCD71">
      <w:pPr>
        <w:spacing w:line="360" w:lineRule="auto"/>
        <w:ind w:firstLine="480" w:firstLineChars="200"/>
        <w:rPr>
          <w:rFonts w:hint="eastAsia"/>
          <w:color w:val="auto"/>
          <w:sz w:val="24"/>
        </w:rPr>
      </w:pPr>
      <w:r>
        <w:rPr>
          <w:rFonts w:hint="eastAsia"/>
          <w:color w:val="auto"/>
          <w:sz w:val="24"/>
        </w:rPr>
        <w:t>本</w:t>
      </w:r>
      <w:r>
        <w:rPr>
          <w:color w:val="auto"/>
          <w:sz w:val="24"/>
        </w:rPr>
        <w:t>次大气环境质量现状补充监测因子为</w:t>
      </w:r>
      <w:r>
        <w:rPr>
          <w:rFonts w:hint="eastAsia"/>
          <w:color w:val="auto"/>
          <w:sz w:val="24"/>
        </w:rPr>
        <w:t>T</w:t>
      </w:r>
      <w:r>
        <w:rPr>
          <w:color w:val="auto"/>
          <w:sz w:val="24"/>
        </w:rPr>
        <w:t>SP，同步监测各监测时间的地面风向、风速、气温、气压等气象资料。</w:t>
      </w:r>
    </w:p>
    <w:p w14:paraId="2D17F367">
      <w:pPr>
        <w:spacing w:line="360" w:lineRule="auto"/>
        <w:ind w:firstLine="480" w:firstLineChars="200"/>
        <w:rPr>
          <w:rFonts w:hint="eastAsia"/>
          <w:color w:val="auto"/>
          <w:sz w:val="24"/>
          <w:szCs w:val="24"/>
        </w:rPr>
      </w:pPr>
      <w:r>
        <w:rPr>
          <w:rFonts w:hint="eastAsia"/>
          <w:color w:val="auto"/>
          <w:sz w:val="24"/>
          <w:szCs w:val="24"/>
        </w:rPr>
        <w:t>（</w:t>
      </w:r>
      <w:r>
        <w:rPr>
          <w:color w:val="auto"/>
          <w:sz w:val="24"/>
          <w:szCs w:val="24"/>
        </w:rPr>
        <w:t>3</w:t>
      </w:r>
      <w:r>
        <w:rPr>
          <w:rFonts w:hint="eastAsia"/>
          <w:color w:val="auto"/>
          <w:sz w:val="24"/>
          <w:szCs w:val="24"/>
        </w:rPr>
        <w:t>）监测时间、频次</w:t>
      </w:r>
    </w:p>
    <w:p w14:paraId="53D1D083">
      <w:pPr>
        <w:spacing w:line="360" w:lineRule="auto"/>
        <w:ind w:firstLine="480" w:firstLineChars="200"/>
        <w:rPr>
          <w:color w:val="auto"/>
          <w:sz w:val="24"/>
        </w:rPr>
      </w:pPr>
      <w:bookmarkStart w:id="86" w:name="_Hlk62121372"/>
      <w:r>
        <w:rPr>
          <w:color w:val="auto"/>
          <w:sz w:val="24"/>
        </w:rPr>
        <w:t>连续监测7天</w:t>
      </w:r>
      <w:bookmarkEnd w:id="86"/>
      <w:r>
        <w:rPr>
          <w:color w:val="auto"/>
          <w:sz w:val="24"/>
        </w:rPr>
        <w:t>。</w:t>
      </w:r>
      <w:r>
        <w:rPr>
          <w:rFonts w:hint="eastAsia"/>
          <w:color w:val="auto"/>
          <w:sz w:val="24"/>
        </w:rPr>
        <w:t>T</w:t>
      </w:r>
      <w:r>
        <w:rPr>
          <w:color w:val="auto"/>
          <w:sz w:val="24"/>
        </w:rPr>
        <w:t>SP</w:t>
      </w:r>
      <w:r>
        <w:rPr>
          <w:rFonts w:hint="eastAsia"/>
          <w:color w:val="auto"/>
          <w:sz w:val="24"/>
        </w:rPr>
        <w:t>日均值（每日应有2</w:t>
      </w:r>
      <w:r>
        <w:rPr>
          <w:color w:val="auto"/>
          <w:sz w:val="24"/>
        </w:rPr>
        <w:t>4</w:t>
      </w:r>
      <w:r>
        <w:rPr>
          <w:rFonts w:hint="eastAsia"/>
          <w:color w:val="auto"/>
          <w:sz w:val="24"/>
        </w:rPr>
        <w:t>小时的采样时间），一天一次。</w:t>
      </w:r>
    </w:p>
    <w:p w14:paraId="47FEB639">
      <w:pPr>
        <w:spacing w:line="360" w:lineRule="auto"/>
        <w:ind w:firstLine="480" w:firstLineChars="200"/>
        <w:rPr>
          <w:color w:val="auto"/>
          <w:sz w:val="24"/>
        </w:rPr>
      </w:pPr>
      <w:r>
        <w:rPr>
          <w:rFonts w:hint="eastAsia"/>
          <w:color w:val="auto"/>
          <w:sz w:val="24"/>
        </w:rPr>
        <w:t>1）监测期间气象条件如下表。</w:t>
      </w:r>
    </w:p>
    <w:p w14:paraId="7724EB10">
      <w:pPr>
        <w:spacing w:line="400" w:lineRule="exact"/>
        <w:jc w:val="center"/>
        <w:rPr>
          <w:rFonts w:eastAsia="黑体"/>
          <w:color w:val="auto"/>
          <w:sz w:val="24"/>
        </w:rPr>
      </w:pPr>
      <w:r>
        <w:rPr>
          <w:rFonts w:hint="eastAsia" w:eastAsia="黑体"/>
          <w:color w:val="auto"/>
          <w:sz w:val="24"/>
        </w:rPr>
        <w:t>表4</w:t>
      </w:r>
      <w:r>
        <w:rPr>
          <w:rFonts w:eastAsia="黑体"/>
          <w:color w:val="auto"/>
          <w:sz w:val="24"/>
        </w:rPr>
        <w:t>.2-3</w:t>
      </w:r>
      <w:r>
        <w:rPr>
          <w:rFonts w:hint="eastAsia" w:eastAsia="黑体"/>
          <w:color w:val="auto"/>
          <w:sz w:val="24"/>
        </w:rPr>
        <w:t xml:space="preserve"> </w:t>
      </w:r>
      <w:r>
        <w:rPr>
          <w:rFonts w:eastAsia="黑体"/>
          <w:color w:val="auto"/>
          <w:sz w:val="24"/>
        </w:rPr>
        <w:t xml:space="preserve"> </w:t>
      </w:r>
      <w:r>
        <w:rPr>
          <w:rFonts w:hint="eastAsia" w:eastAsia="黑体"/>
          <w:color w:val="auto"/>
          <w:sz w:val="24"/>
        </w:rPr>
        <w:t>监测期间气象条件</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1748"/>
        <w:gridCol w:w="1491"/>
        <w:gridCol w:w="1495"/>
        <w:gridCol w:w="1597"/>
        <w:gridCol w:w="1493"/>
        <w:gridCol w:w="1463"/>
      </w:tblGrid>
      <w:tr w14:paraId="7D2FAB7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748" w:type="dxa"/>
            <w:noWrap w:val="0"/>
            <w:vAlign w:val="center"/>
          </w:tcPr>
          <w:p w14:paraId="795557AE">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kern w:val="0"/>
              </w:rPr>
            </w:pPr>
            <w:r>
              <w:rPr>
                <w:rFonts w:hint="eastAsia" w:ascii="Times New Roman" w:hAnsi="Times New Roman" w:cs="Times New Roman"/>
                <w:b/>
                <w:bCs/>
                <w:color w:val="auto"/>
                <w:kern w:val="0"/>
              </w:rPr>
              <w:t>采样日期</w:t>
            </w:r>
          </w:p>
        </w:tc>
        <w:tc>
          <w:tcPr>
            <w:tcW w:w="1491" w:type="dxa"/>
            <w:noWrap w:val="0"/>
            <w:vAlign w:val="center"/>
          </w:tcPr>
          <w:p w14:paraId="1647A40E">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kern w:val="0"/>
              </w:rPr>
            </w:pPr>
            <w:r>
              <w:rPr>
                <w:rFonts w:hint="eastAsia" w:ascii="Times New Roman" w:hAnsi="Times New Roman" w:cs="Times New Roman"/>
                <w:b/>
                <w:bCs/>
                <w:color w:val="auto"/>
                <w:kern w:val="0"/>
              </w:rPr>
              <w:t>天气状况</w:t>
            </w:r>
          </w:p>
        </w:tc>
        <w:tc>
          <w:tcPr>
            <w:tcW w:w="1495" w:type="dxa"/>
            <w:noWrap w:val="0"/>
            <w:vAlign w:val="center"/>
          </w:tcPr>
          <w:p w14:paraId="1C274A2D">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kern w:val="0"/>
              </w:rPr>
            </w:pPr>
            <w:r>
              <w:rPr>
                <w:rFonts w:hint="eastAsia" w:ascii="Times New Roman" w:hAnsi="Times New Roman" w:cs="Times New Roman"/>
                <w:b/>
                <w:bCs/>
                <w:color w:val="auto"/>
                <w:kern w:val="0"/>
              </w:rPr>
              <w:t>气温（</w:t>
            </w:r>
            <w:r>
              <w:rPr>
                <w:rFonts w:hint="eastAsia" w:ascii="Times New Roman" w:hAnsi="宋体" w:cs="宋体"/>
                <w:b/>
                <w:bCs/>
                <w:color w:val="auto"/>
                <w:kern w:val="0"/>
              </w:rPr>
              <w:t>℃</w:t>
            </w:r>
            <w:r>
              <w:rPr>
                <w:rFonts w:hint="eastAsia" w:ascii="Times New Roman" w:hAnsi="Times New Roman" w:cs="Times New Roman"/>
                <w:b/>
                <w:bCs/>
                <w:color w:val="auto"/>
                <w:kern w:val="0"/>
              </w:rPr>
              <w:t>）</w:t>
            </w:r>
          </w:p>
        </w:tc>
        <w:tc>
          <w:tcPr>
            <w:tcW w:w="1597" w:type="dxa"/>
            <w:noWrap w:val="0"/>
            <w:vAlign w:val="center"/>
          </w:tcPr>
          <w:p w14:paraId="6973C9BE">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kern w:val="0"/>
              </w:rPr>
            </w:pPr>
            <w:r>
              <w:rPr>
                <w:rFonts w:hint="eastAsia" w:ascii="Times New Roman" w:hAnsi="Times New Roman" w:cs="Times New Roman"/>
                <w:b/>
                <w:bCs/>
                <w:color w:val="auto"/>
                <w:kern w:val="0"/>
              </w:rPr>
              <w:t>气压（</w:t>
            </w:r>
            <w:r>
              <w:rPr>
                <w:rFonts w:hint="default" w:ascii="Times New Roman" w:hAnsi="Times New Roman" w:cs="Times New Roman"/>
                <w:b/>
                <w:bCs/>
                <w:color w:val="auto"/>
                <w:kern w:val="0"/>
              </w:rPr>
              <w:t>hPa</w:t>
            </w:r>
            <w:r>
              <w:rPr>
                <w:rFonts w:hint="eastAsia" w:ascii="Times New Roman" w:hAnsi="Times New Roman" w:cs="Times New Roman"/>
                <w:b/>
                <w:bCs/>
                <w:color w:val="auto"/>
                <w:kern w:val="0"/>
              </w:rPr>
              <w:t>）</w:t>
            </w:r>
          </w:p>
        </w:tc>
        <w:tc>
          <w:tcPr>
            <w:tcW w:w="1493" w:type="dxa"/>
            <w:noWrap w:val="0"/>
            <w:vAlign w:val="center"/>
          </w:tcPr>
          <w:p w14:paraId="4EC0D7B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kern w:val="0"/>
              </w:rPr>
            </w:pPr>
            <w:r>
              <w:rPr>
                <w:rFonts w:hint="eastAsia" w:ascii="Times New Roman" w:hAnsi="Times New Roman" w:cs="Times New Roman"/>
                <w:b/>
                <w:bCs/>
                <w:color w:val="auto"/>
                <w:kern w:val="0"/>
              </w:rPr>
              <w:t>风速（</w:t>
            </w:r>
            <w:r>
              <w:rPr>
                <w:rFonts w:hint="default" w:ascii="Times New Roman" w:hAnsi="Times New Roman" w:cs="Times New Roman"/>
                <w:b/>
                <w:bCs/>
                <w:color w:val="auto"/>
                <w:kern w:val="0"/>
              </w:rPr>
              <w:t>m/s</w:t>
            </w:r>
            <w:r>
              <w:rPr>
                <w:rFonts w:hint="eastAsia" w:ascii="Times New Roman" w:hAnsi="Times New Roman" w:cs="Times New Roman"/>
                <w:b/>
                <w:bCs/>
                <w:color w:val="auto"/>
                <w:kern w:val="0"/>
              </w:rPr>
              <w:t>）</w:t>
            </w:r>
          </w:p>
        </w:tc>
        <w:tc>
          <w:tcPr>
            <w:tcW w:w="1463" w:type="dxa"/>
            <w:noWrap w:val="0"/>
            <w:vAlign w:val="center"/>
          </w:tcPr>
          <w:p w14:paraId="5CB49F48">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kern w:val="0"/>
              </w:rPr>
            </w:pPr>
            <w:r>
              <w:rPr>
                <w:rFonts w:hint="eastAsia" w:ascii="Times New Roman" w:hAnsi="Times New Roman" w:cs="Times New Roman"/>
                <w:b/>
                <w:bCs/>
                <w:color w:val="auto"/>
                <w:kern w:val="0"/>
              </w:rPr>
              <w:t>风向</w:t>
            </w:r>
          </w:p>
        </w:tc>
      </w:tr>
      <w:tr w14:paraId="372D70B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69" w:hRule="atLeast"/>
          <w:jc w:val="center"/>
        </w:trPr>
        <w:tc>
          <w:tcPr>
            <w:tcW w:w="1748" w:type="dxa"/>
            <w:noWrap w:val="0"/>
            <w:vAlign w:val="center"/>
          </w:tcPr>
          <w:p w14:paraId="662A935A">
            <w:pPr>
              <w:keepNext w:val="0"/>
              <w:keepLines w:val="0"/>
              <w:suppressLineNumbers w:val="0"/>
              <w:spacing w:before="0" w:beforeAutospacing="0" w:after="0" w:afterAutospacing="0"/>
              <w:ind w:left="0" w:right="0"/>
              <w:rPr>
                <w:rFonts w:hint="eastAsia" w:ascii="Times New Roman" w:hAnsi="Times New Roman" w:cs="Times New Roman"/>
                <w:color w:val="auto"/>
              </w:rPr>
            </w:pPr>
            <w:r>
              <w:rPr>
                <w:rFonts w:hint="default" w:ascii="Times New Roman" w:hAnsi="Times New Roman" w:cs="Times New Roman"/>
                <w:color w:val="auto"/>
                <w:kern w:val="0"/>
              </w:rPr>
              <w:t>202</w:t>
            </w:r>
            <w:r>
              <w:rPr>
                <w:rFonts w:hint="eastAsia" w:ascii="Times New Roman" w:hAnsi="Times New Roman" w:cs="Times New Roman"/>
                <w:color w:val="auto"/>
                <w:kern w:val="0"/>
              </w:rPr>
              <w:t>3.10.23~10.30</w:t>
            </w:r>
          </w:p>
        </w:tc>
        <w:tc>
          <w:tcPr>
            <w:tcW w:w="1491" w:type="dxa"/>
            <w:noWrap w:val="0"/>
            <w:vAlign w:val="center"/>
          </w:tcPr>
          <w:p w14:paraId="261C6024">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rPr>
            </w:pPr>
            <w:r>
              <w:rPr>
                <w:rFonts w:hint="eastAsia" w:ascii="Times New Roman" w:hAnsi="Times New Roman" w:cs="Times New Roman"/>
                <w:color w:val="auto"/>
                <w:kern w:val="0"/>
              </w:rPr>
              <w:t>多云</w:t>
            </w:r>
          </w:p>
        </w:tc>
        <w:tc>
          <w:tcPr>
            <w:tcW w:w="1495" w:type="dxa"/>
            <w:noWrap w:val="0"/>
            <w:vAlign w:val="center"/>
          </w:tcPr>
          <w:p w14:paraId="4372253E">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19.7~23.4</w:t>
            </w:r>
          </w:p>
        </w:tc>
        <w:tc>
          <w:tcPr>
            <w:tcW w:w="1597" w:type="dxa"/>
            <w:noWrap w:val="0"/>
            <w:vAlign w:val="center"/>
          </w:tcPr>
          <w:p w14:paraId="36CE7A20">
            <w:pPr>
              <w:keepNext w:val="0"/>
              <w:keepLines w:val="0"/>
              <w:suppressLineNumbers w:val="0"/>
              <w:spacing w:before="0" w:beforeAutospacing="0" w:after="0" w:afterAutospacing="0"/>
              <w:ind w:left="0" w:right="0"/>
              <w:rPr>
                <w:rFonts w:hint="eastAsia" w:ascii="Times New Roman" w:hAnsi="Times New Roman" w:cs="Times New Roman"/>
                <w:color w:val="auto"/>
              </w:rPr>
            </w:pPr>
            <w:r>
              <w:rPr>
                <w:rFonts w:hint="eastAsia" w:ascii="Times New Roman" w:hAnsi="Times New Roman" w:cs="Times New Roman"/>
                <w:color w:val="auto"/>
                <w:kern w:val="0"/>
              </w:rPr>
              <w:t>1007.3~1016.2</w:t>
            </w:r>
          </w:p>
        </w:tc>
        <w:tc>
          <w:tcPr>
            <w:tcW w:w="1493" w:type="dxa"/>
            <w:noWrap w:val="0"/>
            <w:vAlign w:val="center"/>
          </w:tcPr>
          <w:p w14:paraId="79893F63">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2.2~2.8</w:t>
            </w:r>
          </w:p>
        </w:tc>
        <w:tc>
          <w:tcPr>
            <w:tcW w:w="1463" w:type="dxa"/>
            <w:noWrap w:val="0"/>
            <w:vAlign w:val="center"/>
          </w:tcPr>
          <w:p w14:paraId="65A4893B">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rPr>
            </w:pPr>
            <w:r>
              <w:rPr>
                <w:rFonts w:hint="eastAsia" w:ascii="Times New Roman" w:hAnsi="Times New Roman" w:cs="Times New Roman"/>
                <w:color w:val="auto"/>
                <w:kern w:val="0"/>
              </w:rPr>
              <w:t>西</w:t>
            </w:r>
          </w:p>
        </w:tc>
      </w:tr>
    </w:tbl>
    <w:p w14:paraId="353C2F40">
      <w:pPr>
        <w:spacing w:line="360" w:lineRule="auto"/>
        <w:ind w:firstLine="480" w:firstLineChars="200"/>
        <w:rPr>
          <w:color w:val="auto"/>
          <w:sz w:val="24"/>
        </w:rPr>
      </w:pPr>
      <w:r>
        <w:rPr>
          <w:rFonts w:hint="eastAsia"/>
          <w:color w:val="auto"/>
          <w:sz w:val="24"/>
        </w:rPr>
        <w:t>2）</w:t>
      </w:r>
      <w:r>
        <w:rPr>
          <w:color w:val="auto"/>
          <w:sz w:val="24"/>
        </w:rPr>
        <w:t>监测结果见下表。</w:t>
      </w:r>
    </w:p>
    <w:p w14:paraId="274FFCEC">
      <w:pPr>
        <w:spacing w:line="400" w:lineRule="exact"/>
        <w:jc w:val="center"/>
        <w:rPr>
          <w:rFonts w:eastAsia="黑体"/>
          <w:color w:val="auto"/>
          <w:sz w:val="24"/>
        </w:rPr>
      </w:pPr>
      <w:r>
        <w:rPr>
          <w:rFonts w:eastAsia="黑体"/>
          <w:color w:val="auto"/>
          <w:sz w:val="24"/>
        </w:rPr>
        <w:t>表</w:t>
      </w:r>
      <w:r>
        <w:rPr>
          <w:rFonts w:hint="eastAsia" w:eastAsia="黑体"/>
          <w:color w:val="auto"/>
          <w:sz w:val="24"/>
        </w:rPr>
        <w:t>4</w:t>
      </w:r>
      <w:r>
        <w:rPr>
          <w:rFonts w:eastAsia="黑体"/>
          <w:color w:val="auto"/>
          <w:sz w:val="24"/>
        </w:rPr>
        <w:t xml:space="preserve">.2-4  </w:t>
      </w:r>
      <w:r>
        <w:rPr>
          <w:rFonts w:hint="eastAsia" w:eastAsia="黑体"/>
          <w:color w:val="auto"/>
          <w:sz w:val="24"/>
        </w:rPr>
        <w:t>T</w:t>
      </w:r>
      <w:r>
        <w:rPr>
          <w:rFonts w:eastAsia="黑体"/>
          <w:color w:val="auto"/>
          <w:sz w:val="24"/>
        </w:rPr>
        <w:t>SP检测结果一览表</w:t>
      </w:r>
      <w:r>
        <w:rPr>
          <w:rFonts w:hint="eastAsia" w:eastAsia="黑体"/>
          <w:color w:val="auto"/>
          <w:sz w:val="24"/>
        </w:rPr>
        <w:t xml:space="preserve"> </w:t>
      </w:r>
      <w:r>
        <w:rPr>
          <w:rFonts w:eastAsia="黑体"/>
          <w:color w:val="auto"/>
          <w:sz w:val="24"/>
        </w:rPr>
        <w:t xml:space="preserve">  单位：μg/m</w:t>
      </w:r>
      <w:r>
        <w:rPr>
          <w:rFonts w:eastAsia="黑体"/>
          <w:color w:val="auto"/>
          <w:sz w:val="24"/>
          <w:vertAlign w:val="superscript"/>
        </w:rPr>
        <w:t>3</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2"/>
        <w:gridCol w:w="1100"/>
        <w:gridCol w:w="875"/>
        <w:gridCol w:w="1012"/>
        <w:gridCol w:w="1179"/>
        <w:gridCol w:w="1191"/>
        <w:gridCol w:w="1165"/>
        <w:gridCol w:w="1213"/>
      </w:tblGrid>
      <w:tr w14:paraId="12B52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552" w:type="dxa"/>
            <w:vMerge w:val="restart"/>
            <w:tcBorders>
              <w:top w:val="single" w:color="auto" w:sz="12" w:space="0"/>
              <w:left w:val="nil"/>
            </w:tcBorders>
            <w:noWrap w:val="0"/>
            <w:vAlign w:val="center"/>
          </w:tcPr>
          <w:p w14:paraId="28C8FE73">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监测点位</w:t>
            </w:r>
          </w:p>
        </w:tc>
        <w:tc>
          <w:tcPr>
            <w:tcW w:w="7735" w:type="dxa"/>
            <w:gridSpan w:val="7"/>
            <w:tcBorders>
              <w:top w:val="single" w:color="auto" w:sz="12" w:space="0"/>
              <w:right w:val="nil"/>
            </w:tcBorders>
            <w:noWrap w:val="0"/>
            <w:vAlign w:val="center"/>
          </w:tcPr>
          <w:p w14:paraId="1E8A70DC">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监测结果</w:t>
            </w:r>
          </w:p>
        </w:tc>
      </w:tr>
      <w:tr w14:paraId="271D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552" w:type="dxa"/>
            <w:vMerge w:val="continue"/>
            <w:tcBorders>
              <w:left w:val="nil"/>
            </w:tcBorders>
            <w:noWrap w:val="0"/>
            <w:vAlign w:val="center"/>
          </w:tcPr>
          <w:p w14:paraId="3742AC5E">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p>
        </w:tc>
        <w:tc>
          <w:tcPr>
            <w:tcW w:w="1100" w:type="dxa"/>
            <w:noWrap w:val="0"/>
            <w:vAlign w:val="center"/>
          </w:tcPr>
          <w:p w14:paraId="5E3CA46F">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default" w:ascii="Times New Roman" w:hAnsi="Times New Roman" w:cs="Times New Roman"/>
                <w:b/>
                <w:color w:val="auto"/>
              </w:rPr>
              <w:t>10.24</w:t>
            </w:r>
          </w:p>
        </w:tc>
        <w:tc>
          <w:tcPr>
            <w:tcW w:w="875" w:type="dxa"/>
            <w:noWrap w:val="0"/>
            <w:vAlign w:val="center"/>
          </w:tcPr>
          <w:p w14:paraId="07D32CDD">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default" w:ascii="Times New Roman" w:hAnsi="Times New Roman" w:cs="Times New Roman"/>
                <w:b/>
                <w:color w:val="auto"/>
              </w:rPr>
              <w:t>10.25</w:t>
            </w:r>
          </w:p>
        </w:tc>
        <w:tc>
          <w:tcPr>
            <w:tcW w:w="1012" w:type="dxa"/>
            <w:noWrap w:val="0"/>
            <w:vAlign w:val="center"/>
          </w:tcPr>
          <w:p w14:paraId="3878AF54">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1</w:t>
            </w:r>
            <w:r>
              <w:rPr>
                <w:rFonts w:hint="default" w:ascii="Times New Roman" w:hAnsi="Times New Roman" w:cs="Times New Roman"/>
                <w:b/>
                <w:color w:val="auto"/>
              </w:rPr>
              <w:t>0.26</w:t>
            </w:r>
          </w:p>
        </w:tc>
        <w:tc>
          <w:tcPr>
            <w:tcW w:w="1179" w:type="dxa"/>
            <w:noWrap w:val="0"/>
            <w:vAlign w:val="center"/>
          </w:tcPr>
          <w:p w14:paraId="1FEFA59C">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1</w:t>
            </w:r>
            <w:r>
              <w:rPr>
                <w:rFonts w:hint="default" w:ascii="Times New Roman" w:hAnsi="Times New Roman" w:cs="Times New Roman"/>
                <w:b/>
                <w:color w:val="auto"/>
              </w:rPr>
              <w:t>0.27</w:t>
            </w:r>
          </w:p>
        </w:tc>
        <w:tc>
          <w:tcPr>
            <w:tcW w:w="1191" w:type="dxa"/>
            <w:noWrap w:val="0"/>
            <w:vAlign w:val="center"/>
          </w:tcPr>
          <w:p w14:paraId="7D17F40D">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1</w:t>
            </w:r>
            <w:r>
              <w:rPr>
                <w:rFonts w:hint="default" w:ascii="Times New Roman" w:hAnsi="Times New Roman" w:cs="Times New Roman"/>
                <w:b/>
                <w:color w:val="auto"/>
              </w:rPr>
              <w:t>0.28</w:t>
            </w:r>
          </w:p>
        </w:tc>
        <w:tc>
          <w:tcPr>
            <w:tcW w:w="1165" w:type="dxa"/>
            <w:noWrap w:val="0"/>
            <w:vAlign w:val="center"/>
          </w:tcPr>
          <w:p w14:paraId="7C3DDCC3">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1</w:t>
            </w:r>
            <w:r>
              <w:rPr>
                <w:rFonts w:hint="default" w:ascii="Times New Roman" w:hAnsi="Times New Roman" w:cs="Times New Roman"/>
                <w:b/>
                <w:color w:val="auto"/>
              </w:rPr>
              <w:t>0.29</w:t>
            </w:r>
          </w:p>
        </w:tc>
        <w:tc>
          <w:tcPr>
            <w:tcW w:w="1213" w:type="dxa"/>
            <w:tcBorders>
              <w:right w:val="nil"/>
            </w:tcBorders>
            <w:noWrap w:val="0"/>
            <w:vAlign w:val="center"/>
          </w:tcPr>
          <w:p w14:paraId="2124CCA6">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1</w:t>
            </w:r>
            <w:r>
              <w:rPr>
                <w:rFonts w:hint="default" w:ascii="Times New Roman" w:hAnsi="Times New Roman" w:cs="Times New Roman"/>
                <w:b/>
                <w:color w:val="auto"/>
              </w:rPr>
              <w:t>0.30</w:t>
            </w:r>
          </w:p>
        </w:tc>
      </w:tr>
      <w:tr w14:paraId="7849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552" w:type="dxa"/>
            <w:tcBorders>
              <w:left w:val="nil"/>
            </w:tcBorders>
            <w:noWrap w:val="0"/>
            <w:vAlign w:val="center"/>
          </w:tcPr>
          <w:p w14:paraId="3817CD0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G</w:t>
            </w:r>
            <w:r>
              <w:rPr>
                <w:rFonts w:hint="default" w:ascii="Times New Roman" w:hAnsi="Times New Roman" w:cs="Times New Roman"/>
                <w:color w:val="auto"/>
              </w:rPr>
              <w:t>1</w:t>
            </w:r>
            <w:r>
              <w:rPr>
                <w:rFonts w:hint="eastAsia" w:ascii="Times New Roman" w:hAnsi="Times New Roman" w:cs="Times New Roman"/>
                <w:color w:val="auto"/>
              </w:rPr>
              <w:t>项目地</w:t>
            </w:r>
          </w:p>
        </w:tc>
        <w:tc>
          <w:tcPr>
            <w:tcW w:w="1100" w:type="dxa"/>
            <w:noWrap w:val="0"/>
            <w:vAlign w:val="center"/>
          </w:tcPr>
          <w:p w14:paraId="57341EF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11</w:t>
            </w:r>
          </w:p>
        </w:tc>
        <w:tc>
          <w:tcPr>
            <w:tcW w:w="875" w:type="dxa"/>
            <w:noWrap w:val="0"/>
            <w:vAlign w:val="center"/>
          </w:tcPr>
          <w:p w14:paraId="1069F28A">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07</w:t>
            </w:r>
          </w:p>
        </w:tc>
        <w:tc>
          <w:tcPr>
            <w:tcW w:w="1012" w:type="dxa"/>
            <w:noWrap w:val="0"/>
            <w:vAlign w:val="center"/>
          </w:tcPr>
          <w:p w14:paraId="23333F3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09</w:t>
            </w:r>
          </w:p>
        </w:tc>
        <w:tc>
          <w:tcPr>
            <w:tcW w:w="1179" w:type="dxa"/>
            <w:noWrap w:val="0"/>
            <w:vAlign w:val="center"/>
          </w:tcPr>
          <w:p w14:paraId="2F2D863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04</w:t>
            </w:r>
          </w:p>
        </w:tc>
        <w:tc>
          <w:tcPr>
            <w:tcW w:w="1191" w:type="dxa"/>
            <w:noWrap w:val="0"/>
            <w:vAlign w:val="center"/>
          </w:tcPr>
          <w:p w14:paraId="265F5CC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12</w:t>
            </w:r>
          </w:p>
        </w:tc>
        <w:tc>
          <w:tcPr>
            <w:tcW w:w="1165" w:type="dxa"/>
            <w:noWrap w:val="0"/>
            <w:vAlign w:val="center"/>
          </w:tcPr>
          <w:p w14:paraId="346A3B1F">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05</w:t>
            </w:r>
          </w:p>
        </w:tc>
        <w:tc>
          <w:tcPr>
            <w:tcW w:w="1213" w:type="dxa"/>
            <w:tcBorders>
              <w:right w:val="nil"/>
            </w:tcBorders>
            <w:noWrap w:val="0"/>
            <w:vAlign w:val="center"/>
          </w:tcPr>
          <w:p w14:paraId="18A2C15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06</w:t>
            </w:r>
          </w:p>
        </w:tc>
      </w:tr>
      <w:tr w14:paraId="042B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552" w:type="dxa"/>
            <w:tcBorders>
              <w:left w:val="nil"/>
              <w:bottom w:val="single" w:color="auto" w:sz="12" w:space="0"/>
            </w:tcBorders>
            <w:noWrap w:val="0"/>
            <w:vAlign w:val="center"/>
          </w:tcPr>
          <w:p w14:paraId="64400E4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G2小孙家岗</w:t>
            </w:r>
          </w:p>
        </w:tc>
        <w:tc>
          <w:tcPr>
            <w:tcW w:w="1100" w:type="dxa"/>
            <w:tcBorders>
              <w:bottom w:val="single" w:color="auto" w:sz="12" w:space="0"/>
            </w:tcBorders>
            <w:noWrap w:val="0"/>
            <w:vAlign w:val="center"/>
          </w:tcPr>
          <w:p w14:paraId="3A231EB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9</w:t>
            </w:r>
            <w:r>
              <w:rPr>
                <w:rFonts w:hint="default" w:ascii="Times New Roman" w:hAnsi="Times New Roman" w:cs="Times New Roman"/>
                <w:color w:val="auto"/>
              </w:rPr>
              <w:t>7</w:t>
            </w:r>
          </w:p>
        </w:tc>
        <w:tc>
          <w:tcPr>
            <w:tcW w:w="875" w:type="dxa"/>
            <w:tcBorders>
              <w:bottom w:val="single" w:color="auto" w:sz="12" w:space="0"/>
            </w:tcBorders>
            <w:noWrap w:val="0"/>
            <w:vAlign w:val="center"/>
          </w:tcPr>
          <w:p w14:paraId="226D21C2">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9</w:t>
            </w:r>
            <w:r>
              <w:rPr>
                <w:rFonts w:hint="default" w:ascii="Times New Roman" w:hAnsi="Times New Roman" w:cs="Times New Roman"/>
                <w:color w:val="auto"/>
              </w:rPr>
              <w:t>8</w:t>
            </w:r>
          </w:p>
        </w:tc>
        <w:tc>
          <w:tcPr>
            <w:tcW w:w="1012" w:type="dxa"/>
            <w:tcBorders>
              <w:bottom w:val="single" w:color="auto" w:sz="12" w:space="0"/>
            </w:tcBorders>
            <w:noWrap w:val="0"/>
            <w:vAlign w:val="center"/>
          </w:tcPr>
          <w:p w14:paraId="2821551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9</w:t>
            </w:r>
            <w:r>
              <w:rPr>
                <w:rFonts w:hint="default" w:ascii="Times New Roman" w:hAnsi="Times New Roman" w:cs="Times New Roman"/>
                <w:color w:val="auto"/>
              </w:rPr>
              <w:t>2</w:t>
            </w:r>
          </w:p>
        </w:tc>
        <w:tc>
          <w:tcPr>
            <w:tcW w:w="1179" w:type="dxa"/>
            <w:tcBorders>
              <w:bottom w:val="single" w:color="auto" w:sz="12" w:space="0"/>
            </w:tcBorders>
            <w:noWrap w:val="0"/>
            <w:vAlign w:val="center"/>
          </w:tcPr>
          <w:p w14:paraId="5FCA48C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00</w:t>
            </w:r>
          </w:p>
        </w:tc>
        <w:tc>
          <w:tcPr>
            <w:tcW w:w="1191" w:type="dxa"/>
            <w:tcBorders>
              <w:bottom w:val="single" w:color="auto" w:sz="12" w:space="0"/>
            </w:tcBorders>
            <w:noWrap w:val="0"/>
            <w:vAlign w:val="center"/>
          </w:tcPr>
          <w:p w14:paraId="70A6FFE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9</w:t>
            </w:r>
            <w:r>
              <w:rPr>
                <w:rFonts w:hint="default" w:ascii="Times New Roman" w:hAnsi="Times New Roman" w:cs="Times New Roman"/>
                <w:color w:val="auto"/>
              </w:rPr>
              <w:t>7</w:t>
            </w:r>
          </w:p>
        </w:tc>
        <w:tc>
          <w:tcPr>
            <w:tcW w:w="1165" w:type="dxa"/>
            <w:tcBorders>
              <w:bottom w:val="single" w:color="auto" w:sz="12" w:space="0"/>
            </w:tcBorders>
            <w:noWrap w:val="0"/>
            <w:vAlign w:val="center"/>
          </w:tcPr>
          <w:p w14:paraId="65E38E7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9</w:t>
            </w:r>
            <w:r>
              <w:rPr>
                <w:rFonts w:hint="default" w:ascii="Times New Roman" w:hAnsi="Times New Roman" w:cs="Times New Roman"/>
                <w:color w:val="auto"/>
              </w:rPr>
              <w:t>4</w:t>
            </w:r>
          </w:p>
        </w:tc>
        <w:tc>
          <w:tcPr>
            <w:tcW w:w="1213" w:type="dxa"/>
            <w:tcBorders>
              <w:bottom w:val="single" w:color="auto" w:sz="12" w:space="0"/>
              <w:right w:val="nil"/>
            </w:tcBorders>
            <w:noWrap w:val="0"/>
            <w:vAlign w:val="center"/>
          </w:tcPr>
          <w:p w14:paraId="0221726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9</w:t>
            </w:r>
            <w:r>
              <w:rPr>
                <w:rFonts w:hint="default" w:ascii="Times New Roman" w:hAnsi="Times New Roman" w:cs="Times New Roman"/>
                <w:color w:val="auto"/>
              </w:rPr>
              <w:t>2</w:t>
            </w:r>
          </w:p>
        </w:tc>
      </w:tr>
    </w:tbl>
    <w:p w14:paraId="2075EFF4">
      <w:pPr>
        <w:spacing w:line="360" w:lineRule="auto"/>
        <w:ind w:firstLine="480" w:firstLineChars="200"/>
        <w:rPr>
          <w:color w:val="auto"/>
          <w:sz w:val="24"/>
        </w:rPr>
      </w:pPr>
      <w:r>
        <w:rPr>
          <w:rFonts w:hint="eastAsia"/>
          <w:color w:val="auto"/>
          <w:sz w:val="24"/>
        </w:rPr>
        <w:t>（</w:t>
      </w:r>
      <w:r>
        <w:rPr>
          <w:color w:val="auto"/>
          <w:sz w:val="24"/>
        </w:rPr>
        <w:t>5</w:t>
      </w:r>
      <w:r>
        <w:rPr>
          <w:rFonts w:hint="eastAsia"/>
          <w:color w:val="auto"/>
          <w:sz w:val="24"/>
        </w:rPr>
        <w:t>）评价方法</w:t>
      </w:r>
    </w:p>
    <w:p w14:paraId="700BA2B4">
      <w:pPr>
        <w:spacing w:line="360" w:lineRule="auto"/>
        <w:ind w:firstLine="480" w:firstLineChars="200"/>
        <w:rPr>
          <w:color w:val="auto"/>
          <w:sz w:val="24"/>
        </w:rPr>
      </w:pPr>
      <w:r>
        <w:rPr>
          <w:rFonts w:hint="eastAsia"/>
          <w:color w:val="auto"/>
          <w:sz w:val="24"/>
        </w:rPr>
        <w:t>本次大气环境质量现状评价采用单因子污染指数法，公式如下：</w:t>
      </w:r>
    </w:p>
    <w:p w14:paraId="0BEDC370">
      <w:pPr>
        <w:spacing w:line="360" w:lineRule="auto"/>
        <w:jc w:val="center"/>
        <w:rPr>
          <w:color w:val="auto"/>
          <w:sz w:val="24"/>
        </w:rPr>
      </w:pPr>
      <w:r>
        <w:rPr>
          <w:rFonts w:hint="eastAsia"/>
          <w:color w:val="auto"/>
          <w:sz w:val="24"/>
        </w:rPr>
        <w:object>
          <v:shape id="_x0000_i1034" o:spt="75" type="#_x0000_t75" style="height:29.9pt;width:50.95pt;" o:ole="t" filled="f" o:preferrelative="t" stroked="f" coordsize="21600,21600">
            <v:path/>
            <v:fill on="f" focussize="0,0"/>
            <v:stroke on="f"/>
            <v:imagedata r:id="rId84" o:title=""/>
            <o:lock v:ext="edit" aspectratio="t"/>
            <w10:wrap type="none"/>
            <w10:anchorlock/>
          </v:shape>
          <o:OLEObject Type="Embed" ProgID="Equation.DSMT4" ShapeID="_x0000_i1034" DrawAspect="Content" ObjectID="_1468075734" r:id="rId83">
            <o:LockedField>false</o:LockedField>
          </o:OLEObject>
        </w:object>
      </w:r>
    </w:p>
    <w:p w14:paraId="20BED3B6">
      <w:pPr>
        <w:spacing w:line="360" w:lineRule="auto"/>
        <w:ind w:firstLine="480" w:firstLineChars="200"/>
        <w:rPr>
          <w:color w:val="auto"/>
          <w:sz w:val="24"/>
        </w:rPr>
      </w:pPr>
      <w:r>
        <w:rPr>
          <w:rFonts w:hint="eastAsia"/>
          <w:color w:val="auto"/>
          <w:sz w:val="24"/>
        </w:rPr>
        <w:t>式中：</w:t>
      </w:r>
      <w:r>
        <w:rPr>
          <w:rFonts w:hint="eastAsia"/>
          <w:i/>
          <w:color w:val="auto"/>
          <w:sz w:val="24"/>
        </w:rPr>
        <w:t>I</w:t>
      </w:r>
      <w:r>
        <w:rPr>
          <w:rFonts w:hint="eastAsia"/>
          <w:color w:val="auto"/>
          <w:sz w:val="24"/>
          <w:vertAlign w:val="subscript"/>
        </w:rPr>
        <w:t>i</w:t>
      </w:r>
      <w:r>
        <w:rPr>
          <w:rFonts w:hint="eastAsia"/>
          <w:color w:val="auto"/>
          <w:sz w:val="24"/>
        </w:rPr>
        <w:t>—i污染物的单因子污染指数；</w:t>
      </w:r>
    </w:p>
    <w:p w14:paraId="0D1B89B4">
      <w:pPr>
        <w:spacing w:line="360" w:lineRule="auto"/>
        <w:ind w:firstLine="480" w:firstLineChars="200"/>
        <w:rPr>
          <w:color w:val="auto"/>
          <w:sz w:val="24"/>
        </w:rPr>
      </w:pPr>
      <w:r>
        <w:rPr>
          <w:rFonts w:hint="eastAsia"/>
          <w:color w:val="auto"/>
          <w:sz w:val="24"/>
        </w:rPr>
        <w:t xml:space="preserve">     </w:t>
      </w:r>
      <w:r>
        <w:rPr>
          <w:rFonts w:hint="eastAsia"/>
          <w:i/>
          <w:color w:val="auto"/>
          <w:sz w:val="24"/>
        </w:rPr>
        <w:t>C</w:t>
      </w:r>
      <w:r>
        <w:rPr>
          <w:rFonts w:hint="eastAsia"/>
          <w:color w:val="auto"/>
          <w:sz w:val="24"/>
          <w:vertAlign w:val="subscript"/>
        </w:rPr>
        <w:t>i</w:t>
      </w:r>
      <w:r>
        <w:rPr>
          <w:rFonts w:hint="eastAsia"/>
          <w:color w:val="auto"/>
          <w:sz w:val="24"/>
        </w:rPr>
        <w:t xml:space="preserve"> —i污染物的实测浓度，mg/Nm</w:t>
      </w:r>
      <w:r>
        <w:rPr>
          <w:rFonts w:hint="eastAsia"/>
          <w:color w:val="auto"/>
          <w:sz w:val="24"/>
          <w:vertAlign w:val="superscript"/>
        </w:rPr>
        <w:t>3</w:t>
      </w:r>
      <w:r>
        <w:rPr>
          <w:rFonts w:hint="eastAsia"/>
          <w:color w:val="auto"/>
          <w:sz w:val="24"/>
        </w:rPr>
        <w:t>；</w:t>
      </w:r>
    </w:p>
    <w:p w14:paraId="3F210C97">
      <w:pPr>
        <w:spacing w:line="360" w:lineRule="auto"/>
        <w:ind w:firstLine="480" w:firstLineChars="200"/>
        <w:rPr>
          <w:color w:val="auto"/>
          <w:sz w:val="24"/>
        </w:rPr>
      </w:pPr>
      <w:r>
        <w:rPr>
          <w:rFonts w:hint="eastAsia"/>
          <w:color w:val="auto"/>
          <w:sz w:val="24"/>
        </w:rPr>
        <w:t xml:space="preserve">     </w:t>
      </w:r>
      <w:r>
        <w:rPr>
          <w:rFonts w:hint="eastAsia"/>
          <w:i/>
          <w:color w:val="auto"/>
          <w:sz w:val="24"/>
        </w:rPr>
        <w:t>C</w:t>
      </w:r>
      <w:r>
        <w:rPr>
          <w:rFonts w:hint="eastAsia"/>
          <w:color w:val="auto"/>
          <w:sz w:val="24"/>
          <w:vertAlign w:val="subscript"/>
        </w:rPr>
        <w:t>Oi</w:t>
      </w:r>
      <w:r>
        <w:rPr>
          <w:rFonts w:hint="eastAsia"/>
          <w:color w:val="auto"/>
          <w:sz w:val="24"/>
        </w:rPr>
        <w:t xml:space="preserve"> —i污染物的评价标准，mg/Nm</w:t>
      </w:r>
      <w:r>
        <w:rPr>
          <w:rFonts w:hint="eastAsia"/>
          <w:color w:val="auto"/>
          <w:sz w:val="24"/>
          <w:vertAlign w:val="superscript"/>
        </w:rPr>
        <w:t>3</w:t>
      </w:r>
      <w:r>
        <w:rPr>
          <w:rFonts w:hint="eastAsia"/>
          <w:color w:val="auto"/>
          <w:sz w:val="24"/>
        </w:rPr>
        <w:t>。</w:t>
      </w:r>
    </w:p>
    <w:p w14:paraId="532A5A34">
      <w:pPr>
        <w:spacing w:line="360" w:lineRule="auto"/>
        <w:ind w:firstLine="480" w:firstLineChars="200"/>
        <w:rPr>
          <w:color w:val="auto"/>
          <w:sz w:val="24"/>
        </w:rPr>
      </w:pPr>
      <w:r>
        <w:rPr>
          <w:rFonts w:hint="eastAsia"/>
          <w:color w:val="auto"/>
          <w:sz w:val="24"/>
        </w:rPr>
        <w:t>当</w:t>
      </w:r>
      <w:r>
        <w:rPr>
          <w:rFonts w:hint="eastAsia"/>
          <w:i/>
          <w:color w:val="auto"/>
          <w:sz w:val="24"/>
        </w:rPr>
        <w:t>I</w:t>
      </w:r>
      <w:r>
        <w:rPr>
          <w:rFonts w:hint="eastAsia"/>
          <w:color w:val="auto"/>
          <w:sz w:val="24"/>
          <w:vertAlign w:val="subscript"/>
        </w:rPr>
        <w:t>i</w:t>
      </w:r>
      <w:r>
        <w:rPr>
          <w:rFonts w:hint="eastAsia"/>
          <w:color w:val="auto"/>
          <w:sz w:val="24"/>
        </w:rPr>
        <w:t>≥1时，即该因子超标。对照评价标准计算各监测点的各污染物小时平均浓度和日均浓度的污染指数范围、超标率等。</w:t>
      </w:r>
    </w:p>
    <w:p w14:paraId="1734F944">
      <w:pPr>
        <w:spacing w:line="360" w:lineRule="auto"/>
        <w:ind w:firstLine="480" w:firstLineChars="200"/>
        <w:rPr>
          <w:color w:val="auto"/>
          <w:sz w:val="24"/>
        </w:rPr>
      </w:pPr>
      <w:r>
        <w:rPr>
          <w:color w:val="auto"/>
          <w:sz w:val="24"/>
        </w:rPr>
        <w:t>（6）</w:t>
      </w:r>
      <w:r>
        <w:rPr>
          <w:rFonts w:hint="eastAsia"/>
          <w:color w:val="auto"/>
          <w:sz w:val="24"/>
        </w:rPr>
        <w:t>评价</w:t>
      </w:r>
      <w:r>
        <w:rPr>
          <w:color w:val="auto"/>
          <w:sz w:val="24"/>
        </w:rPr>
        <w:t>结果</w:t>
      </w:r>
    </w:p>
    <w:p w14:paraId="355AF754">
      <w:pPr>
        <w:spacing w:line="360" w:lineRule="auto"/>
        <w:ind w:firstLine="480" w:firstLineChars="200"/>
        <w:rPr>
          <w:color w:val="auto"/>
          <w:sz w:val="24"/>
        </w:rPr>
      </w:pPr>
      <w:r>
        <w:rPr>
          <w:rFonts w:hint="eastAsia"/>
          <w:color w:val="auto"/>
          <w:sz w:val="24"/>
        </w:rPr>
        <w:t>评价</w:t>
      </w:r>
      <w:r>
        <w:rPr>
          <w:color w:val="auto"/>
          <w:sz w:val="24"/>
        </w:rPr>
        <w:t>结果见下表。</w:t>
      </w:r>
    </w:p>
    <w:p w14:paraId="79D298D2">
      <w:pPr>
        <w:spacing w:line="400" w:lineRule="exact"/>
        <w:jc w:val="center"/>
        <w:rPr>
          <w:rFonts w:eastAsia="黑体"/>
          <w:color w:val="auto"/>
          <w:sz w:val="24"/>
        </w:rPr>
      </w:pPr>
      <w:r>
        <w:rPr>
          <w:rFonts w:eastAsia="黑体"/>
          <w:color w:val="auto"/>
          <w:sz w:val="24"/>
        </w:rPr>
        <w:t>表</w:t>
      </w:r>
      <w:r>
        <w:rPr>
          <w:rFonts w:hint="eastAsia" w:eastAsia="黑体"/>
          <w:color w:val="auto"/>
          <w:sz w:val="24"/>
        </w:rPr>
        <w:t>4</w:t>
      </w:r>
      <w:r>
        <w:rPr>
          <w:rFonts w:eastAsia="黑体"/>
          <w:color w:val="auto"/>
          <w:sz w:val="24"/>
        </w:rPr>
        <w:t>.2-5  空气环境监测数据统计表</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883"/>
        <w:gridCol w:w="1231"/>
        <w:gridCol w:w="1199"/>
        <w:gridCol w:w="1449"/>
        <w:gridCol w:w="1267"/>
        <w:gridCol w:w="937"/>
        <w:gridCol w:w="845"/>
      </w:tblGrid>
      <w:tr w14:paraId="6C67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6" w:type="dxa"/>
            <w:tcBorders>
              <w:top w:val="single" w:color="auto" w:sz="12" w:space="0"/>
              <w:left w:val="nil"/>
            </w:tcBorders>
            <w:noWrap w:val="0"/>
            <w:vAlign w:val="center"/>
          </w:tcPr>
          <w:p w14:paraId="31EF5C4A">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监测点位</w:t>
            </w:r>
          </w:p>
        </w:tc>
        <w:tc>
          <w:tcPr>
            <w:tcW w:w="883" w:type="dxa"/>
            <w:tcBorders>
              <w:top w:val="single" w:color="auto" w:sz="12" w:space="0"/>
            </w:tcBorders>
            <w:noWrap w:val="0"/>
            <w:vAlign w:val="center"/>
          </w:tcPr>
          <w:p w14:paraId="4F1098CD">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污染物</w:t>
            </w:r>
          </w:p>
        </w:tc>
        <w:tc>
          <w:tcPr>
            <w:tcW w:w="1231" w:type="dxa"/>
            <w:tcBorders>
              <w:top w:val="single" w:color="auto" w:sz="12" w:space="0"/>
            </w:tcBorders>
            <w:noWrap w:val="0"/>
            <w:vAlign w:val="center"/>
          </w:tcPr>
          <w:p w14:paraId="2E2DFF9D">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监测时间</w:t>
            </w:r>
          </w:p>
        </w:tc>
        <w:tc>
          <w:tcPr>
            <w:tcW w:w="1199" w:type="dxa"/>
            <w:tcBorders>
              <w:top w:val="single" w:color="auto" w:sz="12" w:space="0"/>
            </w:tcBorders>
            <w:noWrap w:val="0"/>
            <w:vAlign w:val="center"/>
          </w:tcPr>
          <w:p w14:paraId="21231D38">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评价标准（</w:t>
            </w:r>
            <w:r>
              <w:rPr>
                <w:rFonts w:hint="default" w:ascii="Times New Roman" w:hAnsi="Times New Roman" w:eastAsia="黑体" w:cs="Times New Roman"/>
                <w:b/>
                <w:color w:val="auto"/>
              </w:rPr>
              <w:t>μg/m</w:t>
            </w:r>
            <w:r>
              <w:rPr>
                <w:rFonts w:hint="default" w:ascii="Times New Roman" w:hAnsi="Times New Roman" w:eastAsia="黑体" w:cs="Times New Roman"/>
                <w:b/>
                <w:color w:val="auto"/>
                <w:vertAlign w:val="superscript"/>
              </w:rPr>
              <w:t>3</w:t>
            </w:r>
            <w:r>
              <w:rPr>
                <w:rFonts w:hint="eastAsia" w:ascii="Times New Roman" w:hAnsi="Times New Roman" w:cs="Times New Roman"/>
                <w:b/>
                <w:color w:val="auto"/>
              </w:rPr>
              <w:t>）</w:t>
            </w:r>
          </w:p>
        </w:tc>
        <w:tc>
          <w:tcPr>
            <w:tcW w:w="1449" w:type="dxa"/>
            <w:tcBorders>
              <w:top w:val="single" w:color="auto" w:sz="12" w:space="0"/>
            </w:tcBorders>
            <w:noWrap w:val="0"/>
            <w:vAlign w:val="center"/>
          </w:tcPr>
          <w:p w14:paraId="7BACCDAB">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监测浓度范围（</w:t>
            </w:r>
            <w:r>
              <w:rPr>
                <w:rFonts w:hint="default" w:ascii="Times New Roman" w:hAnsi="Times New Roman" w:eastAsia="黑体" w:cs="Times New Roman"/>
                <w:b/>
                <w:color w:val="auto"/>
              </w:rPr>
              <w:t>μg/m</w:t>
            </w:r>
            <w:r>
              <w:rPr>
                <w:rFonts w:hint="default" w:ascii="Times New Roman" w:hAnsi="Times New Roman" w:eastAsia="黑体" w:cs="Times New Roman"/>
                <w:b/>
                <w:color w:val="auto"/>
                <w:vertAlign w:val="superscript"/>
              </w:rPr>
              <w:t>3</w:t>
            </w:r>
            <w:r>
              <w:rPr>
                <w:rFonts w:hint="eastAsia" w:ascii="Times New Roman" w:hAnsi="Times New Roman" w:cs="Times New Roman"/>
                <w:b/>
                <w:color w:val="auto"/>
              </w:rPr>
              <w:t>）</w:t>
            </w:r>
          </w:p>
        </w:tc>
        <w:tc>
          <w:tcPr>
            <w:tcW w:w="1267" w:type="dxa"/>
            <w:tcBorders>
              <w:top w:val="single" w:color="auto" w:sz="12" w:space="0"/>
            </w:tcBorders>
            <w:noWrap w:val="0"/>
            <w:vAlign w:val="center"/>
          </w:tcPr>
          <w:p w14:paraId="28AD2BDA">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最大浓度占标率/%</w:t>
            </w:r>
          </w:p>
        </w:tc>
        <w:tc>
          <w:tcPr>
            <w:tcW w:w="937" w:type="dxa"/>
            <w:tcBorders>
              <w:top w:val="single" w:color="auto" w:sz="12" w:space="0"/>
            </w:tcBorders>
            <w:noWrap w:val="0"/>
            <w:vAlign w:val="center"/>
          </w:tcPr>
          <w:p w14:paraId="3287BD98">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超标率/</w:t>
            </w:r>
            <w:r>
              <w:rPr>
                <w:rFonts w:hint="default" w:ascii="Times New Roman" w:hAnsi="Times New Roman" w:cs="Times New Roman"/>
                <w:b/>
                <w:color w:val="auto"/>
              </w:rPr>
              <w:t>%</w:t>
            </w:r>
          </w:p>
        </w:tc>
        <w:tc>
          <w:tcPr>
            <w:tcW w:w="845" w:type="dxa"/>
            <w:tcBorders>
              <w:top w:val="single" w:color="auto" w:sz="12" w:space="0"/>
              <w:right w:val="nil"/>
            </w:tcBorders>
            <w:noWrap w:val="0"/>
            <w:vAlign w:val="center"/>
          </w:tcPr>
          <w:p w14:paraId="44F489BC">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达标</w:t>
            </w:r>
          </w:p>
          <w:p w14:paraId="3CFA1484">
            <w:pPr>
              <w:keepNext w:val="0"/>
              <w:keepLines w:val="0"/>
              <w:suppressLineNumbers w:val="0"/>
              <w:spacing w:before="0" w:beforeAutospacing="0" w:after="0" w:afterAutospacing="0"/>
              <w:ind w:left="0" w:right="0"/>
              <w:jc w:val="center"/>
              <w:rPr>
                <w:rFonts w:hint="eastAsia" w:ascii="Times New Roman" w:hAnsi="Times New Roman" w:cs="Times New Roman"/>
                <w:b/>
                <w:color w:val="auto"/>
              </w:rPr>
            </w:pPr>
            <w:r>
              <w:rPr>
                <w:rFonts w:hint="eastAsia" w:ascii="Times New Roman" w:hAnsi="Times New Roman" w:cs="Times New Roman"/>
                <w:b/>
                <w:color w:val="auto"/>
              </w:rPr>
              <w:t>情况</w:t>
            </w:r>
          </w:p>
        </w:tc>
      </w:tr>
      <w:tr w14:paraId="335F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6" w:type="dxa"/>
            <w:tcBorders>
              <w:left w:val="nil"/>
            </w:tcBorders>
            <w:noWrap w:val="0"/>
            <w:vAlign w:val="center"/>
          </w:tcPr>
          <w:p w14:paraId="6910134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G</w:t>
            </w:r>
            <w:r>
              <w:rPr>
                <w:rFonts w:hint="default" w:ascii="Times New Roman" w:hAnsi="Times New Roman" w:cs="Times New Roman"/>
                <w:color w:val="auto"/>
              </w:rPr>
              <w:t>1</w:t>
            </w:r>
            <w:r>
              <w:rPr>
                <w:rFonts w:hint="eastAsia" w:ascii="Times New Roman" w:hAnsi="Times New Roman" w:cs="Times New Roman"/>
                <w:color w:val="auto"/>
              </w:rPr>
              <w:t>项目地</w:t>
            </w:r>
          </w:p>
        </w:tc>
        <w:tc>
          <w:tcPr>
            <w:tcW w:w="883" w:type="dxa"/>
            <w:vMerge w:val="restart"/>
            <w:noWrap w:val="0"/>
            <w:vAlign w:val="center"/>
          </w:tcPr>
          <w:p w14:paraId="43F1148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T</w:t>
            </w:r>
            <w:r>
              <w:rPr>
                <w:rFonts w:hint="default" w:ascii="Times New Roman" w:hAnsi="Times New Roman" w:cs="Times New Roman"/>
                <w:color w:val="auto"/>
              </w:rPr>
              <w:t>SP</w:t>
            </w:r>
          </w:p>
        </w:tc>
        <w:tc>
          <w:tcPr>
            <w:tcW w:w="1231" w:type="dxa"/>
            <w:vMerge w:val="restart"/>
            <w:noWrap w:val="0"/>
            <w:vAlign w:val="center"/>
          </w:tcPr>
          <w:p w14:paraId="0258CEFF">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10.24-10.30</w:t>
            </w:r>
          </w:p>
        </w:tc>
        <w:tc>
          <w:tcPr>
            <w:tcW w:w="1199" w:type="dxa"/>
            <w:vMerge w:val="restart"/>
            <w:noWrap w:val="0"/>
            <w:vAlign w:val="center"/>
          </w:tcPr>
          <w:p w14:paraId="79CA2B9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00</w:t>
            </w:r>
          </w:p>
        </w:tc>
        <w:tc>
          <w:tcPr>
            <w:tcW w:w="1449" w:type="dxa"/>
            <w:noWrap w:val="0"/>
            <w:vAlign w:val="center"/>
          </w:tcPr>
          <w:p w14:paraId="0CA2499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104~112</w:t>
            </w:r>
          </w:p>
        </w:tc>
        <w:tc>
          <w:tcPr>
            <w:tcW w:w="1267" w:type="dxa"/>
            <w:noWrap w:val="0"/>
            <w:vAlign w:val="center"/>
          </w:tcPr>
          <w:p w14:paraId="00AA6FE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37.33</w:t>
            </w:r>
          </w:p>
        </w:tc>
        <w:tc>
          <w:tcPr>
            <w:tcW w:w="937" w:type="dxa"/>
            <w:noWrap w:val="0"/>
            <w:vAlign w:val="center"/>
          </w:tcPr>
          <w:p w14:paraId="6F1C8BC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0</w:t>
            </w:r>
          </w:p>
        </w:tc>
        <w:tc>
          <w:tcPr>
            <w:tcW w:w="845" w:type="dxa"/>
            <w:tcBorders>
              <w:right w:val="nil"/>
            </w:tcBorders>
            <w:noWrap w:val="0"/>
            <w:vAlign w:val="center"/>
          </w:tcPr>
          <w:p w14:paraId="420CF3B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达标</w:t>
            </w:r>
          </w:p>
        </w:tc>
      </w:tr>
      <w:tr w14:paraId="33FE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76" w:type="dxa"/>
            <w:tcBorders>
              <w:left w:val="nil"/>
              <w:bottom w:val="single" w:color="auto" w:sz="12" w:space="0"/>
            </w:tcBorders>
            <w:noWrap w:val="0"/>
            <w:vAlign w:val="center"/>
          </w:tcPr>
          <w:p w14:paraId="59CB3F8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G2小孙家岗</w:t>
            </w:r>
          </w:p>
        </w:tc>
        <w:tc>
          <w:tcPr>
            <w:tcW w:w="883" w:type="dxa"/>
            <w:vMerge w:val="continue"/>
            <w:tcBorders>
              <w:bottom w:val="single" w:color="auto" w:sz="12" w:space="0"/>
            </w:tcBorders>
            <w:noWrap w:val="0"/>
            <w:vAlign w:val="center"/>
          </w:tcPr>
          <w:p w14:paraId="470181D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231" w:type="dxa"/>
            <w:vMerge w:val="continue"/>
            <w:tcBorders>
              <w:bottom w:val="single" w:color="auto" w:sz="12" w:space="0"/>
            </w:tcBorders>
            <w:noWrap w:val="0"/>
            <w:vAlign w:val="center"/>
          </w:tcPr>
          <w:p w14:paraId="609CD130">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199" w:type="dxa"/>
            <w:vMerge w:val="continue"/>
            <w:tcBorders>
              <w:bottom w:val="single" w:color="auto" w:sz="12" w:space="0"/>
            </w:tcBorders>
            <w:noWrap w:val="0"/>
            <w:vAlign w:val="center"/>
          </w:tcPr>
          <w:p w14:paraId="79A578FA">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449" w:type="dxa"/>
            <w:tcBorders>
              <w:bottom w:val="single" w:color="auto" w:sz="12" w:space="0"/>
            </w:tcBorders>
            <w:noWrap w:val="0"/>
            <w:vAlign w:val="center"/>
          </w:tcPr>
          <w:p w14:paraId="5F67A7C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9</w:t>
            </w:r>
            <w:r>
              <w:rPr>
                <w:rFonts w:hint="default" w:ascii="Times New Roman" w:hAnsi="Times New Roman" w:cs="Times New Roman"/>
                <w:color w:val="auto"/>
              </w:rPr>
              <w:t>2~100</w:t>
            </w:r>
          </w:p>
        </w:tc>
        <w:tc>
          <w:tcPr>
            <w:tcW w:w="1267" w:type="dxa"/>
            <w:tcBorders>
              <w:bottom w:val="single" w:color="auto" w:sz="12" w:space="0"/>
            </w:tcBorders>
            <w:noWrap w:val="0"/>
            <w:vAlign w:val="center"/>
          </w:tcPr>
          <w:p w14:paraId="2D683BD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3.33</w:t>
            </w:r>
          </w:p>
        </w:tc>
        <w:tc>
          <w:tcPr>
            <w:tcW w:w="937" w:type="dxa"/>
            <w:tcBorders>
              <w:bottom w:val="single" w:color="auto" w:sz="12" w:space="0"/>
            </w:tcBorders>
            <w:noWrap w:val="0"/>
            <w:vAlign w:val="center"/>
          </w:tcPr>
          <w:p w14:paraId="43358D5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0</w:t>
            </w:r>
          </w:p>
        </w:tc>
        <w:tc>
          <w:tcPr>
            <w:tcW w:w="845" w:type="dxa"/>
            <w:tcBorders>
              <w:bottom w:val="single" w:color="auto" w:sz="12" w:space="0"/>
              <w:right w:val="nil"/>
            </w:tcBorders>
            <w:noWrap w:val="0"/>
            <w:vAlign w:val="center"/>
          </w:tcPr>
          <w:p w14:paraId="3D4C47C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达标</w:t>
            </w:r>
          </w:p>
        </w:tc>
      </w:tr>
    </w:tbl>
    <w:p w14:paraId="76956193">
      <w:pPr>
        <w:spacing w:line="360" w:lineRule="auto"/>
        <w:ind w:firstLine="480" w:firstLineChars="200"/>
        <w:rPr>
          <w:color w:val="auto"/>
          <w:sz w:val="24"/>
        </w:rPr>
      </w:pPr>
      <w:r>
        <w:rPr>
          <w:color w:val="auto"/>
          <w:sz w:val="24"/>
        </w:rPr>
        <w:t>由上表可知，项目区域</w:t>
      </w:r>
      <w:r>
        <w:rPr>
          <w:rFonts w:hint="eastAsia"/>
          <w:color w:val="auto"/>
          <w:sz w:val="24"/>
        </w:rPr>
        <w:t>T</w:t>
      </w:r>
      <w:r>
        <w:rPr>
          <w:color w:val="auto"/>
          <w:sz w:val="24"/>
        </w:rPr>
        <w:t>SP监测浓度能够满足《环境空气质量标准》（</w:t>
      </w:r>
      <w:r>
        <w:rPr>
          <w:rFonts w:hint="eastAsia"/>
          <w:color w:val="auto"/>
          <w:sz w:val="24"/>
          <w:lang w:eastAsia="zh-CN"/>
        </w:rPr>
        <w:t>GB 3095-2026</w:t>
      </w:r>
      <w:r>
        <w:rPr>
          <w:color w:val="auto"/>
          <w:sz w:val="24"/>
        </w:rPr>
        <w:t>）</w:t>
      </w:r>
      <w:r>
        <w:rPr>
          <w:rFonts w:hint="eastAsia"/>
          <w:color w:val="auto"/>
          <w:sz w:val="24"/>
        </w:rPr>
        <w:t>中二级标准要求。</w:t>
      </w:r>
    </w:p>
    <w:p w14:paraId="2C8541F9">
      <w:pPr>
        <w:pStyle w:val="4"/>
        <w:numPr>
          <w:ilvl w:val="2"/>
          <w:numId w:val="0"/>
        </w:numPr>
        <w:rPr>
          <w:color w:val="auto"/>
        </w:rPr>
      </w:pPr>
      <w:r>
        <w:rPr>
          <w:rFonts w:hint="eastAsia"/>
          <w:color w:val="auto"/>
        </w:rPr>
        <w:t>4.2.2</w:t>
      </w:r>
      <w:r>
        <w:rPr>
          <w:color w:val="auto"/>
        </w:rPr>
        <w:t>声环境质量现状监测与评价</w:t>
      </w:r>
    </w:p>
    <w:p w14:paraId="7DA29A81">
      <w:pPr>
        <w:pStyle w:val="5"/>
        <w:numPr>
          <w:ilvl w:val="3"/>
          <w:numId w:val="0"/>
        </w:numPr>
        <w:rPr>
          <w:color w:val="auto"/>
        </w:rPr>
      </w:pPr>
      <w:r>
        <w:rPr>
          <w:rFonts w:hint="eastAsia"/>
          <w:color w:val="auto"/>
        </w:rPr>
        <w:t>4.2.2.1</w:t>
      </w:r>
      <w:r>
        <w:rPr>
          <w:color w:val="auto"/>
        </w:rPr>
        <w:t>声环境质量监测</w:t>
      </w:r>
    </w:p>
    <w:p w14:paraId="3F5C3640">
      <w:pPr>
        <w:spacing w:line="360" w:lineRule="auto"/>
        <w:ind w:firstLine="480" w:firstLineChars="200"/>
        <w:rPr>
          <w:color w:val="auto"/>
          <w:sz w:val="24"/>
        </w:rPr>
      </w:pPr>
      <w:r>
        <w:rPr>
          <w:color w:val="auto"/>
          <w:sz w:val="24"/>
        </w:rPr>
        <w:t>（1）监测点位的布设</w:t>
      </w:r>
    </w:p>
    <w:p w14:paraId="02B8AE9A">
      <w:pPr>
        <w:spacing w:line="360" w:lineRule="auto"/>
        <w:ind w:firstLine="480" w:firstLineChars="200"/>
        <w:rPr>
          <w:color w:val="auto"/>
          <w:sz w:val="24"/>
        </w:rPr>
      </w:pPr>
      <w:r>
        <w:rPr>
          <w:color w:val="auto"/>
          <w:sz w:val="24"/>
        </w:rPr>
        <w:t>本次声环境质量现状监测，在</w:t>
      </w:r>
      <w:r>
        <w:rPr>
          <w:rFonts w:hint="eastAsia"/>
          <w:color w:val="auto"/>
          <w:sz w:val="24"/>
        </w:rPr>
        <w:t>项目</w:t>
      </w:r>
      <w:r>
        <w:rPr>
          <w:color w:val="auto"/>
          <w:sz w:val="24"/>
        </w:rPr>
        <w:t>区场界四周进行了监测，监测点位布设如下表及图</w:t>
      </w:r>
      <w:r>
        <w:rPr>
          <w:rFonts w:hint="eastAsia"/>
          <w:color w:val="auto"/>
          <w:sz w:val="24"/>
        </w:rPr>
        <w:t>4</w:t>
      </w:r>
      <w:r>
        <w:rPr>
          <w:color w:val="auto"/>
          <w:sz w:val="24"/>
        </w:rPr>
        <w:t>.2-1。</w:t>
      </w:r>
    </w:p>
    <w:p w14:paraId="6965EA75">
      <w:pPr>
        <w:spacing w:line="400" w:lineRule="exact"/>
        <w:jc w:val="center"/>
        <w:rPr>
          <w:rFonts w:eastAsia="黑体"/>
          <w:color w:val="auto"/>
          <w:sz w:val="24"/>
        </w:rPr>
      </w:pPr>
      <w:r>
        <w:rPr>
          <w:rFonts w:eastAsia="黑体"/>
          <w:color w:val="auto"/>
          <w:sz w:val="24"/>
        </w:rPr>
        <w:t>表4.2-</w:t>
      </w:r>
      <w:r>
        <w:rPr>
          <w:rFonts w:hint="eastAsia" w:eastAsia="黑体"/>
          <w:color w:val="auto"/>
          <w:sz w:val="24"/>
        </w:rPr>
        <w:t>6</w:t>
      </w:r>
      <w:r>
        <w:rPr>
          <w:rFonts w:eastAsia="黑体"/>
          <w:color w:val="auto"/>
          <w:sz w:val="24"/>
        </w:rPr>
        <w:t xml:space="preserve">  声环境监测点位一览表</w:t>
      </w:r>
    </w:p>
    <w:tbl>
      <w:tblPr>
        <w:tblStyle w:val="53"/>
        <w:tblW w:w="499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747"/>
        <w:gridCol w:w="4538"/>
      </w:tblGrid>
      <w:tr w14:paraId="5CA741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556" w:type="pct"/>
            <w:tcBorders>
              <w:tl2br w:val="nil"/>
              <w:tr2bl w:val="nil"/>
            </w:tcBorders>
            <w:noWrap w:val="0"/>
            <w:vAlign w:val="center"/>
          </w:tcPr>
          <w:p w14:paraId="04FE93F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测点编号</w:t>
            </w:r>
          </w:p>
        </w:tc>
        <w:tc>
          <w:tcPr>
            <w:tcW w:w="2443" w:type="pct"/>
            <w:tcBorders>
              <w:tl2br w:val="nil"/>
              <w:tr2bl w:val="nil"/>
            </w:tcBorders>
            <w:noWrap w:val="0"/>
            <w:vAlign w:val="center"/>
          </w:tcPr>
          <w:p w14:paraId="281270B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测点位置</w:t>
            </w:r>
          </w:p>
        </w:tc>
      </w:tr>
      <w:tr w14:paraId="6D56E3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556" w:type="pct"/>
            <w:tcBorders>
              <w:tl2br w:val="nil"/>
              <w:tr2bl w:val="nil"/>
            </w:tcBorders>
            <w:noWrap w:val="0"/>
            <w:vAlign w:val="center"/>
          </w:tcPr>
          <w:p w14:paraId="63BBC13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N1</w:t>
            </w:r>
          </w:p>
        </w:tc>
        <w:tc>
          <w:tcPr>
            <w:tcW w:w="2443" w:type="pct"/>
            <w:tcBorders>
              <w:tl2br w:val="nil"/>
              <w:tr2bl w:val="nil"/>
            </w:tcBorders>
            <w:noWrap w:val="0"/>
            <w:vAlign w:val="center"/>
          </w:tcPr>
          <w:p w14:paraId="0A67D5D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项目</w:t>
            </w:r>
            <w:r>
              <w:rPr>
                <w:rFonts w:hint="default" w:ascii="Times New Roman" w:hAnsi="Times New Roman" w:cs="Times New Roman"/>
                <w:color w:val="auto"/>
              </w:rPr>
              <w:t>东</w:t>
            </w:r>
            <w:r>
              <w:rPr>
                <w:rFonts w:hint="eastAsia" w:ascii="Times New Roman" w:hAnsi="Times New Roman" w:cs="Times New Roman"/>
                <w:color w:val="auto"/>
              </w:rPr>
              <w:t>场界</w:t>
            </w:r>
            <w:r>
              <w:rPr>
                <w:rFonts w:hint="eastAsia" w:ascii="Times New Roman" w:hAnsi="Times New Roman" w:cs="Times New Roman"/>
                <w:color w:val="auto"/>
                <w:lang w:val="en-US" w:eastAsia="zh-CN"/>
              </w:rPr>
              <w:t>外1m</w:t>
            </w:r>
          </w:p>
        </w:tc>
      </w:tr>
      <w:tr w14:paraId="59E9BD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556" w:type="pct"/>
            <w:tcBorders>
              <w:tl2br w:val="nil"/>
              <w:tr2bl w:val="nil"/>
            </w:tcBorders>
            <w:noWrap w:val="0"/>
            <w:vAlign w:val="center"/>
          </w:tcPr>
          <w:p w14:paraId="4D6298A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N2</w:t>
            </w:r>
          </w:p>
        </w:tc>
        <w:tc>
          <w:tcPr>
            <w:tcW w:w="2443" w:type="pct"/>
            <w:tcBorders>
              <w:tl2br w:val="nil"/>
              <w:tr2bl w:val="nil"/>
            </w:tcBorders>
            <w:noWrap w:val="0"/>
            <w:vAlign w:val="center"/>
          </w:tcPr>
          <w:p w14:paraId="3BFC821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lang w:val="en-US" w:eastAsia="zh-CN"/>
              </w:rPr>
              <w:t>项目</w:t>
            </w:r>
            <w:r>
              <w:rPr>
                <w:rFonts w:hint="default" w:ascii="Times New Roman" w:hAnsi="Times New Roman" w:cs="Times New Roman"/>
                <w:color w:val="auto"/>
              </w:rPr>
              <w:t>南</w:t>
            </w:r>
            <w:r>
              <w:rPr>
                <w:rFonts w:hint="eastAsia" w:ascii="Times New Roman" w:hAnsi="Times New Roman" w:cs="Times New Roman"/>
                <w:color w:val="auto"/>
              </w:rPr>
              <w:t>场界</w:t>
            </w:r>
            <w:r>
              <w:rPr>
                <w:rFonts w:hint="eastAsia" w:ascii="Times New Roman" w:hAnsi="Times New Roman" w:cs="Times New Roman"/>
                <w:color w:val="auto"/>
                <w:lang w:val="en-US" w:eastAsia="zh-CN"/>
              </w:rPr>
              <w:t>外1m</w:t>
            </w:r>
          </w:p>
        </w:tc>
      </w:tr>
      <w:tr w14:paraId="37B2EB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556" w:type="pct"/>
            <w:tcBorders>
              <w:tl2br w:val="nil"/>
              <w:tr2bl w:val="nil"/>
            </w:tcBorders>
            <w:noWrap w:val="0"/>
            <w:vAlign w:val="center"/>
          </w:tcPr>
          <w:p w14:paraId="284DEC9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N3</w:t>
            </w:r>
          </w:p>
        </w:tc>
        <w:tc>
          <w:tcPr>
            <w:tcW w:w="2443" w:type="pct"/>
            <w:tcBorders>
              <w:tl2br w:val="nil"/>
              <w:tr2bl w:val="nil"/>
            </w:tcBorders>
            <w:noWrap w:val="0"/>
            <w:vAlign w:val="center"/>
          </w:tcPr>
          <w:p w14:paraId="1DF5F7A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lang w:val="en-US" w:eastAsia="zh-CN"/>
              </w:rPr>
              <w:t>项目</w:t>
            </w:r>
            <w:r>
              <w:rPr>
                <w:rFonts w:hint="default" w:ascii="Times New Roman" w:hAnsi="Times New Roman" w:cs="Times New Roman"/>
                <w:color w:val="auto"/>
              </w:rPr>
              <w:t>西</w:t>
            </w:r>
            <w:r>
              <w:rPr>
                <w:rFonts w:hint="eastAsia" w:ascii="Times New Roman" w:hAnsi="Times New Roman" w:cs="Times New Roman"/>
                <w:color w:val="auto"/>
              </w:rPr>
              <w:t>场界</w:t>
            </w:r>
            <w:r>
              <w:rPr>
                <w:rFonts w:hint="eastAsia" w:ascii="Times New Roman" w:hAnsi="Times New Roman" w:cs="Times New Roman"/>
                <w:color w:val="auto"/>
                <w:lang w:val="en-US" w:eastAsia="zh-CN"/>
              </w:rPr>
              <w:t>外1m</w:t>
            </w:r>
          </w:p>
        </w:tc>
      </w:tr>
      <w:tr w14:paraId="1C026B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556" w:type="pct"/>
            <w:tcBorders>
              <w:tl2br w:val="nil"/>
              <w:tr2bl w:val="nil"/>
            </w:tcBorders>
            <w:noWrap w:val="0"/>
            <w:vAlign w:val="center"/>
          </w:tcPr>
          <w:p w14:paraId="22AFBDC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N4</w:t>
            </w:r>
          </w:p>
        </w:tc>
        <w:tc>
          <w:tcPr>
            <w:tcW w:w="2443" w:type="pct"/>
            <w:tcBorders>
              <w:tl2br w:val="nil"/>
              <w:tr2bl w:val="nil"/>
            </w:tcBorders>
            <w:noWrap w:val="0"/>
            <w:vAlign w:val="center"/>
          </w:tcPr>
          <w:p w14:paraId="128CC59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lang w:val="en-US" w:eastAsia="zh-CN"/>
              </w:rPr>
              <w:t>项目</w:t>
            </w:r>
            <w:r>
              <w:rPr>
                <w:rFonts w:hint="default" w:ascii="Times New Roman" w:hAnsi="Times New Roman" w:cs="Times New Roman"/>
                <w:color w:val="auto"/>
              </w:rPr>
              <w:t>北</w:t>
            </w:r>
            <w:r>
              <w:rPr>
                <w:rFonts w:hint="eastAsia" w:ascii="Times New Roman" w:hAnsi="Times New Roman" w:cs="Times New Roman"/>
                <w:color w:val="auto"/>
              </w:rPr>
              <w:t>场界</w:t>
            </w:r>
            <w:r>
              <w:rPr>
                <w:rFonts w:hint="eastAsia" w:ascii="Times New Roman" w:hAnsi="Times New Roman" w:cs="Times New Roman"/>
                <w:color w:val="auto"/>
                <w:lang w:val="en-US" w:eastAsia="zh-CN"/>
              </w:rPr>
              <w:t>外1m</w:t>
            </w:r>
          </w:p>
        </w:tc>
      </w:tr>
      <w:tr w14:paraId="752DD2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556" w:type="pct"/>
            <w:tcBorders>
              <w:tl2br w:val="nil"/>
              <w:tr2bl w:val="nil"/>
            </w:tcBorders>
            <w:noWrap w:val="0"/>
            <w:vAlign w:val="center"/>
          </w:tcPr>
          <w:p w14:paraId="5300A26A">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N</w:t>
            </w:r>
            <w:r>
              <w:rPr>
                <w:rFonts w:hint="eastAsia" w:ascii="Times New Roman" w:hAnsi="Times New Roman" w:cs="Times New Roman"/>
                <w:color w:val="auto"/>
              </w:rPr>
              <w:t>5</w:t>
            </w:r>
          </w:p>
        </w:tc>
        <w:tc>
          <w:tcPr>
            <w:tcW w:w="2443" w:type="pct"/>
            <w:tcBorders>
              <w:tl2br w:val="nil"/>
              <w:tr2bl w:val="nil"/>
            </w:tcBorders>
            <w:noWrap w:val="0"/>
            <w:vAlign w:val="center"/>
          </w:tcPr>
          <w:p w14:paraId="5288E3F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本项目道路北侧</w:t>
            </w:r>
          </w:p>
        </w:tc>
      </w:tr>
      <w:tr w14:paraId="1AA08E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556" w:type="pct"/>
            <w:tcBorders>
              <w:tl2br w:val="nil"/>
              <w:tr2bl w:val="nil"/>
            </w:tcBorders>
            <w:noWrap w:val="0"/>
            <w:vAlign w:val="center"/>
          </w:tcPr>
          <w:p w14:paraId="1E17749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N</w:t>
            </w:r>
            <w:r>
              <w:rPr>
                <w:rFonts w:hint="eastAsia" w:ascii="Times New Roman" w:hAnsi="Times New Roman" w:cs="Times New Roman"/>
                <w:color w:val="auto"/>
              </w:rPr>
              <w:t>6</w:t>
            </w:r>
          </w:p>
        </w:tc>
        <w:tc>
          <w:tcPr>
            <w:tcW w:w="2443" w:type="pct"/>
            <w:tcBorders>
              <w:tl2br w:val="nil"/>
              <w:tr2bl w:val="nil"/>
            </w:tcBorders>
            <w:noWrap w:val="0"/>
            <w:vAlign w:val="center"/>
          </w:tcPr>
          <w:p w14:paraId="08A6B1A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现有道路与本项目道路交汇处</w:t>
            </w:r>
          </w:p>
        </w:tc>
      </w:tr>
      <w:tr w14:paraId="37B1E7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556" w:type="pct"/>
            <w:tcBorders>
              <w:tl2br w:val="nil"/>
              <w:tr2bl w:val="nil"/>
            </w:tcBorders>
            <w:noWrap w:val="0"/>
            <w:vAlign w:val="center"/>
          </w:tcPr>
          <w:p w14:paraId="457A3A5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N</w:t>
            </w:r>
            <w:r>
              <w:rPr>
                <w:rFonts w:hint="eastAsia" w:ascii="Times New Roman" w:hAnsi="Times New Roman" w:cs="Times New Roman"/>
                <w:color w:val="auto"/>
              </w:rPr>
              <w:t>7</w:t>
            </w:r>
          </w:p>
        </w:tc>
        <w:tc>
          <w:tcPr>
            <w:tcW w:w="2443" w:type="pct"/>
            <w:tcBorders>
              <w:tl2br w:val="nil"/>
              <w:tr2bl w:val="nil"/>
            </w:tcBorders>
            <w:noWrap w:val="0"/>
            <w:vAlign w:val="center"/>
          </w:tcPr>
          <w:p w14:paraId="02E8267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小孙家岗1</w:t>
            </w:r>
          </w:p>
        </w:tc>
      </w:tr>
      <w:tr w14:paraId="1A0417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556" w:type="pct"/>
            <w:tcBorders>
              <w:tl2br w:val="nil"/>
              <w:tr2bl w:val="nil"/>
            </w:tcBorders>
            <w:noWrap w:val="0"/>
            <w:vAlign w:val="center"/>
          </w:tcPr>
          <w:p w14:paraId="774DC77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N</w:t>
            </w:r>
            <w:r>
              <w:rPr>
                <w:rFonts w:hint="eastAsia" w:ascii="Times New Roman" w:hAnsi="Times New Roman" w:cs="Times New Roman"/>
                <w:color w:val="auto"/>
              </w:rPr>
              <w:t>8</w:t>
            </w:r>
          </w:p>
        </w:tc>
        <w:tc>
          <w:tcPr>
            <w:tcW w:w="2443" w:type="pct"/>
            <w:tcBorders>
              <w:tl2br w:val="nil"/>
              <w:tr2bl w:val="nil"/>
            </w:tcBorders>
            <w:noWrap w:val="0"/>
            <w:vAlign w:val="center"/>
          </w:tcPr>
          <w:p w14:paraId="0D8B4A4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小孙家岗2</w:t>
            </w:r>
          </w:p>
        </w:tc>
      </w:tr>
      <w:tr w14:paraId="39C216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556" w:type="pct"/>
            <w:tcBorders>
              <w:tl2br w:val="nil"/>
              <w:tr2bl w:val="nil"/>
            </w:tcBorders>
            <w:noWrap w:val="0"/>
            <w:vAlign w:val="center"/>
          </w:tcPr>
          <w:p w14:paraId="54DB632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N</w:t>
            </w:r>
            <w:r>
              <w:rPr>
                <w:rFonts w:hint="eastAsia" w:ascii="Times New Roman" w:hAnsi="Times New Roman" w:cs="Times New Roman"/>
                <w:color w:val="auto"/>
              </w:rPr>
              <w:t>9</w:t>
            </w:r>
          </w:p>
        </w:tc>
        <w:tc>
          <w:tcPr>
            <w:tcW w:w="2443" w:type="pct"/>
            <w:tcBorders>
              <w:tl2br w:val="nil"/>
              <w:tr2bl w:val="nil"/>
            </w:tcBorders>
            <w:noWrap w:val="0"/>
            <w:vAlign w:val="center"/>
          </w:tcPr>
          <w:p w14:paraId="4CBDA0B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陶郢孜1</w:t>
            </w:r>
          </w:p>
        </w:tc>
      </w:tr>
      <w:tr w14:paraId="136619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556" w:type="pct"/>
            <w:tcBorders>
              <w:tl2br w:val="nil"/>
              <w:tr2bl w:val="nil"/>
            </w:tcBorders>
            <w:noWrap w:val="0"/>
            <w:vAlign w:val="center"/>
          </w:tcPr>
          <w:p w14:paraId="27959F1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N</w:t>
            </w:r>
            <w:r>
              <w:rPr>
                <w:rFonts w:hint="eastAsia" w:ascii="Times New Roman" w:hAnsi="Times New Roman" w:cs="Times New Roman"/>
                <w:color w:val="auto"/>
              </w:rPr>
              <w:t>10</w:t>
            </w:r>
          </w:p>
        </w:tc>
        <w:tc>
          <w:tcPr>
            <w:tcW w:w="2443" w:type="pct"/>
            <w:tcBorders>
              <w:tl2br w:val="nil"/>
              <w:tr2bl w:val="nil"/>
            </w:tcBorders>
            <w:noWrap w:val="0"/>
            <w:vAlign w:val="center"/>
          </w:tcPr>
          <w:p w14:paraId="51B9C36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陶郢孜2</w:t>
            </w:r>
          </w:p>
        </w:tc>
      </w:tr>
      <w:tr w14:paraId="2A36AD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556" w:type="pct"/>
            <w:tcBorders>
              <w:tl2br w:val="nil"/>
              <w:tr2bl w:val="nil"/>
            </w:tcBorders>
            <w:noWrap w:val="0"/>
            <w:vAlign w:val="center"/>
          </w:tcPr>
          <w:p w14:paraId="196FEFC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N</w:t>
            </w:r>
            <w:r>
              <w:rPr>
                <w:rFonts w:hint="eastAsia" w:ascii="Times New Roman" w:hAnsi="Times New Roman" w:cs="Times New Roman"/>
                <w:color w:val="auto"/>
              </w:rPr>
              <w:t>11</w:t>
            </w:r>
          </w:p>
        </w:tc>
        <w:tc>
          <w:tcPr>
            <w:tcW w:w="2443" w:type="pct"/>
            <w:tcBorders>
              <w:tl2br w:val="nil"/>
              <w:tr2bl w:val="nil"/>
            </w:tcBorders>
            <w:noWrap w:val="0"/>
            <w:vAlign w:val="center"/>
          </w:tcPr>
          <w:p w14:paraId="359B6D9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陶郢孜3</w:t>
            </w:r>
          </w:p>
        </w:tc>
      </w:tr>
    </w:tbl>
    <w:p w14:paraId="10FD741E">
      <w:pPr>
        <w:spacing w:line="360" w:lineRule="auto"/>
        <w:ind w:firstLine="480" w:firstLineChars="200"/>
        <w:rPr>
          <w:color w:val="auto"/>
          <w:sz w:val="24"/>
        </w:rPr>
      </w:pPr>
      <w:r>
        <w:rPr>
          <w:color w:val="auto"/>
          <w:sz w:val="24"/>
        </w:rPr>
        <w:t>（2）监测项目</w:t>
      </w:r>
    </w:p>
    <w:p w14:paraId="0F7CE658">
      <w:pPr>
        <w:spacing w:line="360" w:lineRule="auto"/>
        <w:ind w:firstLine="480" w:firstLineChars="200"/>
        <w:rPr>
          <w:color w:val="auto"/>
          <w:sz w:val="24"/>
        </w:rPr>
      </w:pPr>
      <w:r>
        <w:rPr>
          <w:color w:val="auto"/>
          <w:sz w:val="24"/>
        </w:rPr>
        <w:t>等效连续A声级</w:t>
      </w:r>
      <w:r>
        <w:rPr>
          <w:rFonts w:hint="eastAsia"/>
          <w:color w:val="auto"/>
          <w:sz w:val="24"/>
          <w:lang w:eastAsia="zh-CN"/>
        </w:rPr>
        <w:t>（</w:t>
      </w:r>
      <w:r>
        <w:rPr>
          <w:color w:val="auto"/>
          <w:sz w:val="24"/>
        </w:rPr>
        <w:t>Leq)</w:t>
      </w:r>
    </w:p>
    <w:p w14:paraId="0960A4D1">
      <w:pPr>
        <w:spacing w:line="360" w:lineRule="auto"/>
        <w:ind w:firstLine="480" w:firstLineChars="200"/>
        <w:rPr>
          <w:color w:val="auto"/>
          <w:sz w:val="24"/>
        </w:rPr>
      </w:pPr>
      <w:r>
        <w:rPr>
          <w:color w:val="auto"/>
          <w:sz w:val="24"/>
        </w:rPr>
        <w:t>（3）监测时间</w:t>
      </w:r>
    </w:p>
    <w:p w14:paraId="7F53BF0C">
      <w:pPr>
        <w:spacing w:line="360" w:lineRule="auto"/>
        <w:ind w:firstLine="480" w:firstLineChars="200"/>
        <w:rPr>
          <w:color w:val="auto"/>
          <w:sz w:val="24"/>
        </w:rPr>
      </w:pPr>
      <w:r>
        <w:rPr>
          <w:color w:val="auto"/>
          <w:sz w:val="24"/>
        </w:rPr>
        <w:t>本项目监测时间为2023年10月23日，连续监测1天，昼夜各监测一次。</w:t>
      </w:r>
    </w:p>
    <w:p w14:paraId="583924FF">
      <w:pPr>
        <w:spacing w:line="360" w:lineRule="auto"/>
        <w:ind w:firstLine="480" w:firstLineChars="200"/>
        <w:rPr>
          <w:color w:val="auto"/>
          <w:sz w:val="24"/>
        </w:rPr>
      </w:pPr>
      <w:r>
        <w:rPr>
          <w:color w:val="auto"/>
          <w:sz w:val="24"/>
        </w:rPr>
        <w:t>（4）分析方法</w:t>
      </w:r>
    </w:p>
    <w:p w14:paraId="5FC697EF">
      <w:pPr>
        <w:spacing w:line="360" w:lineRule="auto"/>
        <w:ind w:firstLine="480" w:firstLineChars="200"/>
        <w:rPr>
          <w:color w:val="auto"/>
          <w:sz w:val="24"/>
        </w:rPr>
      </w:pPr>
      <w:r>
        <w:rPr>
          <w:color w:val="auto"/>
          <w:sz w:val="24"/>
        </w:rPr>
        <w:t>监测按《声环境质量标准》</w:t>
      </w:r>
      <w:r>
        <w:rPr>
          <w:rFonts w:hint="eastAsia"/>
          <w:color w:val="auto"/>
          <w:sz w:val="24"/>
        </w:rPr>
        <w:t>（</w:t>
      </w:r>
      <w:r>
        <w:rPr>
          <w:color w:val="auto"/>
          <w:sz w:val="24"/>
        </w:rPr>
        <w:t>GB3096-2008</w:t>
      </w:r>
      <w:r>
        <w:rPr>
          <w:rFonts w:hint="eastAsia"/>
          <w:color w:val="auto"/>
          <w:sz w:val="24"/>
        </w:rPr>
        <w:t>）</w:t>
      </w:r>
      <w:r>
        <w:rPr>
          <w:color w:val="auto"/>
          <w:sz w:val="24"/>
        </w:rPr>
        <w:t>中要求测量方法进行。</w:t>
      </w:r>
    </w:p>
    <w:p w14:paraId="29B17D18">
      <w:pPr>
        <w:spacing w:line="360" w:lineRule="auto"/>
        <w:ind w:firstLine="480" w:firstLineChars="200"/>
        <w:rPr>
          <w:color w:val="auto"/>
          <w:sz w:val="24"/>
        </w:rPr>
      </w:pPr>
      <w:r>
        <w:rPr>
          <w:color w:val="auto"/>
          <w:sz w:val="24"/>
        </w:rPr>
        <w:t>（5）监测结果</w:t>
      </w:r>
    </w:p>
    <w:p w14:paraId="3A6F40C5">
      <w:pPr>
        <w:spacing w:line="400" w:lineRule="exact"/>
        <w:jc w:val="center"/>
        <w:rPr>
          <w:rFonts w:eastAsia="黑体"/>
          <w:color w:val="auto"/>
          <w:sz w:val="24"/>
        </w:rPr>
      </w:pPr>
      <w:r>
        <w:rPr>
          <w:rFonts w:eastAsia="黑体"/>
          <w:color w:val="auto"/>
          <w:sz w:val="24"/>
        </w:rPr>
        <w:t>表4.2-7  声环境质量监测结果统计表   单位：dB（A）</w:t>
      </w:r>
    </w:p>
    <w:tbl>
      <w:tblPr>
        <w:tblStyle w:val="53"/>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1177"/>
        <w:gridCol w:w="908"/>
        <w:gridCol w:w="1393"/>
        <w:gridCol w:w="1198"/>
        <w:gridCol w:w="1855"/>
        <w:gridCol w:w="1854"/>
      </w:tblGrid>
      <w:tr w14:paraId="60CB06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82" w:type="pct"/>
            <w:vMerge w:val="restart"/>
            <w:noWrap w:val="0"/>
            <w:vAlign w:val="center"/>
          </w:tcPr>
          <w:p w14:paraId="67E4D689">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监测编号</w:t>
            </w:r>
          </w:p>
        </w:tc>
        <w:tc>
          <w:tcPr>
            <w:tcW w:w="634" w:type="pct"/>
            <w:vMerge w:val="restart"/>
            <w:noWrap w:val="0"/>
            <w:vAlign w:val="center"/>
          </w:tcPr>
          <w:p w14:paraId="3088D134">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测点位置</w:t>
            </w:r>
          </w:p>
        </w:tc>
        <w:tc>
          <w:tcPr>
            <w:tcW w:w="1239" w:type="pct"/>
            <w:gridSpan w:val="2"/>
            <w:noWrap w:val="0"/>
            <w:vAlign w:val="center"/>
          </w:tcPr>
          <w:p w14:paraId="04A56454">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2023.10.23</w:t>
            </w:r>
          </w:p>
        </w:tc>
        <w:tc>
          <w:tcPr>
            <w:tcW w:w="1644" w:type="pct"/>
            <w:gridSpan w:val="2"/>
            <w:noWrap w:val="0"/>
            <w:vAlign w:val="center"/>
          </w:tcPr>
          <w:p w14:paraId="1E04B930">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eastAsia" w:ascii="Times New Roman" w:hAnsi="Times New Roman" w:cs="Times New Roman"/>
                <w:b/>
                <w:color w:val="auto"/>
                <w:lang w:val="en-US" w:eastAsia="zh-CN"/>
              </w:rPr>
              <w:t>评价标准</w:t>
            </w:r>
          </w:p>
        </w:tc>
        <w:tc>
          <w:tcPr>
            <w:tcW w:w="998" w:type="pct"/>
            <w:vMerge w:val="restart"/>
            <w:noWrap w:val="0"/>
            <w:vAlign w:val="center"/>
          </w:tcPr>
          <w:p w14:paraId="346FF16C">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lang w:val="en-US" w:eastAsia="zh-CN"/>
              </w:rPr>
            </w:pPr>
            <w:r>
              <w:rPr>
                <w:rFonts w:hint="eastAsia" w:ascii="Times New Roman" w:hAnsi="Times New Roman" w:cs="Times New Roman"/>
                <w:b/>
                <w:color w:val="auto"/>
                <w:lang w:val="en-US" w:eastAsia="zh-CN"/>
              </w:rPr>
              <w:t>评价结果</w:t>
            </w:r>
          </w:p>
        </w:tc>
      </w:tr>
      <w:tr w14:paraId="697DF2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82" w:type="pct"/>
            <w:vMerge w:val="continue"/>
            <w:noWrap w:val="0"/>
            <w:vAlign w:val="center"/>
          </w:tcPr>
          <w:p w14:paraId="1D1B1783">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p>
        </w:tc>
        <w:tc>
          <w:tcPr>
            <w:tcW w:w="634" w:type="pct"/>
            <w:vMerge w:val="continue"/>
            <w:noWrap w:val="0"/>
            <w:vAlign w:val="center"/>
          </w:tcPr>
          <w:p w14:paraId="3EBD650D">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p>
        </w:tc>
        <w:tc>
          <w:tcPr>
            <w:tcW w:w="489" w:type="pct"/>
            <w:noWrap w:val="0"/>
            <w:vAlign w:val="center"/>
          </w:tcPr>
          <w:p w14:paraId="101D7BE8">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昼间</w:t>
            </w:r>
          </w:p>
        </w:tc>
        <w:tc>
          <w:tcPr>
            <w:tcW w:w="749" w:type="pct"/>
            <w:noWrap w:val="0"/>
            <w:vAlign w:val="center"/>
          </w:tcPr>
          <w:p w14:paraId="5BD7EAC6">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夜间</w:t>
            </w:r>
          </w:p>
        </w:tc>
        <w:tc>
          <w:tcPr>
            <w:tcW w:w="645" w:type="pct"/>
            <w:noWrap w:val="0"/>
            <w:vAlign w:val="center"/>
          </w:tcPr>
          <w:p w14:paraId="1D37D91F">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昼间</w:t>
            </w:r>
          </w:p>
        </w:tc>
        <w:tc>
          <w:tcPr>
            <w:tcW w:w="999" w:type="pct"/>
            <w:noWrap w:val="0"/>
            <w:vAlign w:val="center"/>
          </w:tcPr>
          <w:p w14:paraId="36CE29B2">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夜间</w:t>
            </w:r>
          </w:p>
        </w:tc>
        <w:tc>
          <w:tcPr>
            <w:tcW w:w="998" w:type="pct"/>
            <w:vMerge w:val="continue"/>
            <w:noWrap w:val="0"/>
            <w:vAlign w:val="center"/>
          </w:tcPr>
          <w:p w14:paraId="76D8CFFE">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p>
        </w:tc>
      </w:tr>
      <w:tr w14:paraId="3F9290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82" w:type="pct"/>
            <w:noWrap w:val="0"/>
            <w:vAlign w:val="center"/>
          </w:tcPr>
          <w:p w14:paraId="184D587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N1</w:t>
            </w:r>
          </w:p>
        </w:tc>
        <w:tc>
          <w:tcPr>
            <w:tcW w:w="634" w:type="pct"/>
            <w:noWrap w:val="0"/>
            <w:vAlign w:val="center"/>
          </w:tcPr>
          <w:p w14:paraId="044028F0">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东</w:t>
            </w:r>
            <w:r>
              <w:rPr>
                <w:rFonts w:hint="eastAsia" w:ascii="Times New Roman" w:hAnsi="Times New Roman" w:cs="Times New Roman"/>
                <w:color w:val="auto"/>
              </w:rPr>
              <w:t>场界</w:t>
            </w:r>
          </w:p>
        </w:tc>
        <w:tc>
          <w:tcPr>
            <w:tcW w:w="489" w:type="pct"/>
            <w:noWrap w:val="0"/>
            <w:vAlign w:val="center"/>
          </w:tcPr>
          <w:p w14:paraId="76B9315A">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51.9</w:t>
            </w:r>
          </w:p>
        </w:tc>
        <w:tc>
          <w:tcPr>
            <w:tcW w:w="749" w:type="pct"/>
            <w:noWrap w:val="0"/>
            <w:vAlign w:val="center"/>
          </w:tcPr>
          <w:p w14:paraId="2C8941F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36.0</w:t>
            </w:r>
          </w:p>
        </w:tc>
        <w:tc>
          <w:tcPr>
            <w:tcW w:w="645" w:type="pct"/>
            <w:noWrap w:val="0"/>
            <w:vAlign w:val="center"/>
          </w:tcPr>
          <w:p w14:paraId="6925FA1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60</w:t>
            </w:r>
          </w:p>
        </w:tc>
        <w:tc>
          <w:tcPr>
            <w:tcW w:w="999" w:type="pct"/>
            <w:noWrap w:val="0"/>
            <w:vAlign w:val="center"/>
          </w:tcPr>
          <w:p w14:paraId="6BFFF88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50</w:t>
            </w:r>
          </w:p>
        </w:tc>
        <w:tc>
          <w:tcPr>
            <w:tcW w:w="998" w:type="pct"/>
            <w:noWrap w:val="0"/>
            <w:vAlign w:val="center"/>
          </w:tcPr>
          <w:p w14:paraId="6893A228">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达标</w:t>
            </w:r>
          </w:p>
        </w:tc>
      </w:tr>
      <w:tr w14:paraId="6D66CC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82" w:type="pct"/>
            <w:noWrap w:val="0"/>
            <w:vAlign w:val="center"/>
          </w:tcPr>
          <w:p w14:paraId="0B273D6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N2</w:t>
            </w:r>
          </w:p>
        </w:tc>
        <w:tc>
          <w:tcPr>
            <w:tcW w:w="634" w:type="pct"/>
            <w:noWrap w:val="0"/>
            <w:vAlign w:val="center"/>
          </w:tcPr>
          <w:p w14:paraId="1AC55B6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南</w:t>
            </w:r>
            <w:r>
              <w:rPr>
                <w:rFonts w:hint="eastAsia" w:ascii="Times New Roman" w:hAnsi="Times New Roman" w:cs="Times New Roman"/>
                <w:color w:val="auto"/>
              </w:rPr>
              <w:t>场界</w:t>
            </w:r>
          </w:p>
        </w:tc>
        <w:tc>
          <w:tcPr>
            <w:tcW w:w="489" w:type="pct"/>
            <w:noWrap w:val="0"/>
            <w:vAlign w:val="center"/>
          </w:tcPr>
          <w:p w14:paraId="2269B9B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45.6</w:t>
            </w:r>
          </w:p>
        </w:tc>
        <w:tc>
          <w:tcPr>
            <w:tcW w:w="749" w:type="pct"/>
            <w:noWrap w:val="0"/>
            <w:vAlign w:val="center"/>
          </w:tcPr>
          <w:p w14:paraId="5A28130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36.0</w:t>
            </w:r>
          </w:p>
        </w:tc>
        <w:tc>
          <w:tcPr>
            <w:tcW w:w="645" w:type="pct"/>
            <w:noWrap w:val="0"/>
            <w:vAlign w:val="center"/>
          </w:tcPr>
          <w:p w14:paraId="3367D890">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70</w:t>
            </w:r>
          </w:p>
        </w:tc>
        <w:tc>
          <w:tcPr>
            <w:tcW w:w="999" w:type="pct"/>
            <w:noWrap w:val="0"/>
            <w:vAlign w:val="center"/>
          </w:tcPr>
          <w:p w14:paraId="2D995AEA">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55</w:t>
            </w:r>
          </w:p>
        </w:tc>
        <w:tc>
          <w:tcPr>
            <w:tcW w:w="998" w:type="pct"/>
            <w:noWrap w:val="0"/>
            <w:vAlign w:val="center"/>
          </w:tcPr>
          <w:p w14:paraId="116D351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lang w:val="en-US" w:eastAsia="zh-CN"/>
              </w:rPr>
              <w:t>达标</w:t>
            </w:r>
          </w:p>
        </w:tc>
      </w:tr>
      <w:tr w14:paraId="301038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82" w:type="pct"/>
            <w:noWrap w:val="0"/>
            <w:vAlign w:val="center"/>
          </w:tcPr>
          <w:p w14:paraId="62270D1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N3</w:t>
            </w:r>
          </w:p>
        </w:tc>
        <w:tc>
          <w:tcPr>
            <w:tcW w:w="634" w:type="pct"/>
            <w:noWrap w:val="0"/>
            <w:vAlign w:val="center"/>
          </w:tcPr>
          <w:p w14:paraId="1A96F612">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西</w:t>
            </w:r>
            <w:r>
              <w:rPr>
                <w:rFonts w:hint="eastAsia" w:ascii="Times New Roman" w:hAnsi="Times New Roman" w:cs="Times New Roman"/>
                <w:color w:val="auto"/>
              </w:rPr>
              <w:t>场界</w:t>
            </w:r>
          </w:p>
        </w:tc>
        <w:tc>
          <w:tcPr>
            <w:tcW w:w="489" w:type="pct"/>
            <w:noWrap w:val="0"/>
            <w:vAlign w:val="center"/>
          </w:tcPr>
          <w:p w14:paraId="286FF44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46.9</w:t>
            </w:r>
          </w:p>
        </w:tc>
        <w:tc>
          <w:tcPr>
            <w:tcW w:w="749" w:type="pct"/>
            <w:noWrap w:val="0"/>
            <w:vAlign w:val="center"/>
          </w:tcPr>
          <w:p w14:paraId="0CE4A35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40.3</w:t>
            </w:r>
          </w:p>
        </w:tc>
        <w:tc>
          <w:tcPr>
            <w:tcW w:w="645" w:type="pct"/>
            <w:noWrap w:val="0"/>
            <w:vAlign w:val="center"/>
          </w:tcPr>
          <w:p w14:paraId="3064165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60</w:t>
            </w:r>
          </w:p>
        </w:tc>
        <w:tc>
          <w:tcPr>
            <w:tcW w:w="999" w:type="pct"/>
            <w:noWrap w:val="0"/>
            <w:vAlign w:val="center"/>
          </w:tcPr>
          <w:p w14:paraId="464EE422">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50</w:t>
            </w:r>
          </w:p>
        </w:tc>
        <w:tc>
          <w:tcPr>
            <w:tcW w:w="998" w:type="pct"/>
            <w:noWrap w:val="0"/>
            <w:vAlign w:val="center"/>
          </w:tcPr>
          <w:p w14:paraId="1E8B267F">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lang w:val="en-US" w:eastAsia="zh-CN"/>
              </w:rPr>
              <w:t>达标</w:t>
            </w:r>
          </w:p>
        </w:tc>
      </w:tr>
      <w:tr w14:paraId="132075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82" w:type="pct"/>
            <w:noWrap w:val="0"/>
            <w:vAlign w:val="center"/>
          </w:tcPr>
          <w:p w14:paraId="0AA81BF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N4</w:t>
            </w:r>
          </w:p>
        </w:tc>
        <w:tc>
          <w:tcPr>
            <w:tcW w:w="634" w:type="pct"/>
            <w:noWrap w:val="0"/>
            <w:vAlign w:val="center"/>
          </w:tcPr>
          <w:p w14:paraId="56FE4E08">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北</w:t>
            </w:r>
            <w:r>
              <w:rPr>
                <w:rFonts w:hint="eastAsia" w:ascii="Times New Roman" w:hAnsi="Times New Roman" w:cs="Times New Roman"/>
                <w:color w:val="auto"/>
              </w:rPr>
              <w:t>场界</w:t>
            </w:r>
          </w:p>
        </w:tc>
        <w:tc>
          <w:tcPr>
            <w:tcW w:w="489" w:type="pct"/>
            <w:noWrap w:val="0"/>
            <w:vAlign w:val="center"/>
          </w:tcPr>
          <w:p w14:paraId="6DE58458">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43.7</w:t>
            </w:r>
          </w:p>
        </w:tc>
        <w:tc>
          <w:tcPr>
            <w:tcW w:w="749" w:type="pct"/>
            <w:noWrap w:val="0"/>
            <w:vAlign w:val="center"/>
          </w:tcPr>
          <w:p w14:paraId="093DAB8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37.1</w:t>
            </w:r>
          </w:p>
        </w:tc>
        <w:tc>
          <w:tcPr>
            <w:tcW w:w="645" w:type="pct"/>
            <w:noWrap w:val="0"/>
            <w:vAlign w:val="center"/>
          </w:tcPr>
          <w:p w14:paraId="6B5C6A8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60</w:t>
            </w:r>
          </w:p>
        </w:tc>
        <w:tc>
          <w:tcPr>
            <w:tcW w:w="999" w:type="pct"/>
            <w:noWrap w:val="0"/>
            <w:vAlign w:val="center"/>
          </w:tcPr>
          <w:p w14:paraId="3322D53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50</w:t>
            </w:r>
          </w:p>
        </w:tc>
        <w:tc>
          <w:tcPr>
            <w:tcW w:w="998" w:type="pct"/>
            <w:noWrap w:val="0"/>
            <w:vAlign w:val="center"/>
          </w:tcPr>
          <w:p w14:paraId="0A92097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lang w:val="en-US" w:eastAsia="zh-CN"/>
              </w:rPr>
              <w:t>达标</w:t>
            </w:r>
          </w:p>
        </w:tc>
      </w:tr>
      <w:tr w14:paraId="264F30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82" w:type="pct"/>
            <w:noWrap w:val="0"/>
            <w:vAlign w:val="center"/>
          </w:tcPr>
          <w:p w14:paraId="3C8DC5E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N</w:t>
            </w:r>
            <w:r>
              <w:rPr>
                <w:rFonts w:hint="eastAsia" w:ascii="Times New Roman" w:hAnsi="Times New Roman" w:cs="Times New Roman"/>
                <w:color w:val="auto"/>
              </w:rPr>
              <w:t>5</w:t>
            </w:r>
          </w:p>
        </w:tc>
        <w:tc>
          <w:tcPr>
            <w:tcW w:w="634" w:type="pct"/>
            <w:noWrap w:val="0"/>
            <w:vAlign w:val="center"/>
          </w:tcPr>
          <w:p w14:paraId="495A6B7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本项目道路北侧</w:t>
            </w:r>
          </w:p>
        </w:tc>
        <w:tc>
          <w:tcPr>
            <w:tcW w:w="489" w:type="pct"/>
            <w:noWrap w:val="0"/>
            <w:vAlign w:val="center"/>
          </w:tcPr>
          <w:p w14:paraId="2D530808">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42.9</w:t>
            </w:r>
          </w:p>
        </w:tc>
        <w:tc>
          <w:tcPr>
            <w:tcW w:w="749" w:type="pct"/>
            <w:noWrap w:val="0"/>
            <w:vAlign w:val="center"/>
          </w:tcPr>
          <w:p w14:paraId="61C2A26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39.3</w:t>
            </w:r>
          </w:p>
        </w:tc>
        <w:tc>
          <w:tcPr>
            <w:tcW w:w="645" w:type="pct"/>
            <w:noWrap w:val="0"/>
            <w:vAlign w:val="center"/>
          </w:tcPr>
          <w:p w14:paraId="701A75B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60</w:t>
            </w:r>
          </w:p>
        </w:tc>
        <w:tc>
          <w:tcPr>
            <w:tcW w:w="999" w:type="pct"/>
            <w:noWrap w:val="0"/>
            <w:vAlign w:val="center"/>
          </w:tcPr>
          <w:p w14:paraId="3D2CF55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50</w:t>
            </w:r>
          </w:p>
        </w:tc>
        <w:tc>
          <w:tcPr>
            <w:tcW w:w="998" w:type="pct"/>
            <w:noWrap w:val="0"/>
            <w:vAlign w:val="center"/>
          </w:tcPr>
          <w:p w14:paraId="3471784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lang w:val="en-US" w:eastAsia="zh-CN"/>
              </w:rPr>
              <w:t>达标</w:t>
            </w:r>
          </w:p>
        </w:tc>
      </w:tr>
      <w:tr w14:paraId="0719EB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82" w:type="pct"/>
            <w:noWrap w:val="0"/>
            <w:vAlign w:val="center"/>
          </w:tcPr>
          <w:p w14:paraId="61AA9E8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N</w:t>
            </w:r>
            <w:r>
              <w:rPr>
                <w:rFonts w:hint="eastAsia" w:ascii="Times New Roman" w:hAnsi="Times New Roman" w:cs="Times New Roman"/>
                <w:color w:val="auto"/>
              </w:rPr>
              <w:t>6</w:t>
            </w:r>
          </w:p>
        </w:tc>
        <w:tc>
          <w:tcPr>
            <w:tcW w:w="634" w:type="pct"/>
            <w:noWrap w:val="0"/>
            <w:vAlign w:val="center"/>
          </w:tcPr>
          <w:p w14:paraId="523AD2E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现有道路与本项目道路交汇处</w:t>
            </w:r>
          </w:p>
        </w:tc>
        <w:tc>
          <w:tcPr>
            <w:tcW w:w="489" w:type="pct"/>
            <w:noWrap w:val="0"/>
            <w:vAlign w:val="center"/>
          </w:tcPr>
          <w:p w14:paraId="373888C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51.3</w:t>
            </w:r>
          </w:p>
        </w:tc>
        <w:tc>
          <w:tcPr>
            <w:tcW w:w="749" w:type="pct"/>
            <w:noWrap w:val="0"/>
            <w:vAlign w:val="center"/>
          </w:tcPr>
          <w:p w14:paraId="3D44BF6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39.2</w:t>
            </w:r>
          </w:p>
        </w:tc>
        <w:tc>
          <w:tcPr>
            <w:tcW w:w="645" w:type="pct"/>
            <w:noWrap w:val="0"/>
            <w:vAlign w:val="center"/>
          </w:tcPr>
          <w:p w14:paraId="0F91956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60</w:t>
            </w:r>
          </w:p>
        </w:tc>
        <w:tc>
          <w:tcPr>
            <w:tcW w:w="999" w:type="pct"/>
            <w:noWrap w:val="0"/>
            <w:vAlign w:val="center"/>
          </w:tcPr>
          <w:p w14:paraId="655C7E0A">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50</w:t>
            </w:r>
          </w:p>
        </w:tc>
        <w:tc>
          <w:tcPr>
            <w:tcW w:w="998" w:type="pct"/>
            <w:noWrap w:val="0"/>
            <w:vAlign w:val="center"/>
          </w:tcPr>
          <w:p w14:paraId="6AA800A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lang w:val="en-US" w:eastAsia="zh-CN"/>
              </w:rPr>
              <w:t>达标</w:t>
            </w:r>
          </w:p>
        </w:tc>
      </w:tr>
      <w:tr w14:paraId="177321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82" w:type="pct"/>
            <w:noWrap w:val="0"/>
            <w:vAlign w:val="center"/>
          </w:tcPr>
          <w:p w14:paraId="479C342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N</w:t>
            </w:r>
            <w:r>
              <w:rPr>
                <w:rFonts w:hint="eastAsia" w:ascii="Times New Roman" w:hAnsi="Times New Roman" w:cs="Times New Roman"/>
                <w:color w:val="auto"/>
              </w:rPr>
              <w:t>7</w:t>
            </w:r>
          </w:p>
        </w:tc>
        <w:tc>
          <w:tcPr>
            <w:tcW w:w="634" w:type="pct"/>
            <w:noWrap w:val="0"/>
            <w:vAlign w:val="center"/>
          </w:tcPr>
          <w:p w14:paraId="442956E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小孙家岗1</w:t>
            </w:r>
          </w:p>
        </w:tc>
        <w:tc>
          <w:tcPr>
            <w:tcW w:w="489" w:type="pct"/>
            <w:noWrap w:val="0"/>
            <w:vAlign w:val="center"/>
          </w:tcPr>
          <w:p w14:paraId="48064D20">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53.1</w:t>
            </w:r>
          </w:p>
        </w:tc>
        <w:tc>
          <w:tcPr>
            <w:tcW w:w="749" w:type="pct"/>
            <w:noWrap w:val="0"/>
            <w:vAlign w:val="center"/>
          </w:tcPr>
          <w:p w14:paraId="7E675970">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40.5</w:t>
            </w:r>
          </w:p>
        </w:tc>
        <w:tc>
          <w:tcPr>
            <w:tcW w:w="645" w:type="pct"/>
            <w:noWrap w:val="0"/>
            <w:vAlign w:val="center"/>
          </w:tcPr>
          <w:p w14:paraId="04839D9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60</w:t>
            </w:r>
          </w:p>
        </w:tc>
        <w:tc>
          <w:tcPr>
            <w:tcW w:w="999" w:type="pct"/>
            <w:noWrap w:val="0"/>
            <w:vAlign w:val="center"/>
          </w:tcPr>
          <w:p w14:paraId="04FA15B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50</w:t>
            </w:r>
          </w:p>
        </w:tc>
        <w:tc>
          <w:tcPr>
            <w:tcW w:w="998" w:type="pct"/>
            <w:noWrap w:val="0"/>
            <w:vAlign w:val="center"/>
          </w:tcPr>
          <w:p w14:paraId="0A693C8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lang w:val="en-US" w:eastAsia="zh-CN"/>
              </w:rPr>
              <w:t>达标</w:t>
            </w:r>
          </w:p>
        </w:tc>
      </w:tr>
      <w:tr w14:paraId="690ED4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82" w:type="pct"/>
            <w:noWrap w:val="0"/>
            <w:vAlign w:val="center"/>
          </w:tcPr>
          <w:p w14:paraId="14AE04B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N</w:t>
            </w:r>
            <w:r>
              <w:rPr>
                <w:rFonts w:hint="eastAsia" w:ascii="Times New Roman" w:hAnsi="Times New Roman" w:cs="Times New Roman"/>
                <w:color w:val="auto"/>
              </w:rPr>
              <w:t>8</w:t>
            </w:r>
          </w:p>
        </w:tc>
        <w:tc>
          <w:tcPr>
            <w:tcW w:w="634" w:type="pct"/>
            <w:noWrap w:val="0"/>
            <w:vAlign w:val="center"/>
          </w:tcPr>
          <w:p w14:paraId="3FA5828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小孙家岗2</w:t>
            </w:r>
          </w:p>
        </w:tc>
        <w:tc>
          <w:tcPr>
            <w:tcW w:w="489" w:type="pct"/>
            <w:noWrap w:val="0"/>
            <w:vAlign w:val="center"/>
          </w:tcPr>
          <w:p w14:paraId="1252F94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49.7</w:t>
            </w:r>
          </w:p>
        </w:tc>
        <w:tc>
          <w:tcPr>
            <w:tcW w:w="749" w:type="pct"/>
            <w:noWrap w:val="0"/>
            <w:vAlign w:val="center"/>
          </w:tcPr>
          <w:p w14:paraId="221DC2E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43.1</w:t>
            </w:r>
          </w:p>
        </w:tc>
        <w:tc>
          <w:tcPr>
            <w:tcW w:w="645" w:type="pct"/>
            <w:noWrap w:val="0"/>
            <w:vAlign w:val="center"/>
          </w:tcPr>
          <w:p w14:paraId="65FBFED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60</w:t>
            </w:r>
          </w:p>
        </w:tc>
        <w:tc>
          <w:tcPr>
            <w:tcW w:w="999" w:type="pct"/>
            <w:noWrap w:val="0"/>
            <w:vAlign w:val="center"/>
          </w:tcPr>
          <w:p w14:paraId="6CA58C9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50</w:t>
            </w:r>
          </w:p>
        </w:tc>
        <w:tc>
          <w:tcPr>
            <w:tcW w:w="998" w:type="pct"/>
            <w:noWrap w:val="0"/>
            <w:vAlign w:val="center"/>
          </w:tcPr>
          <w:p w14:paraId="34DFD24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lang w:val="en-US" w:eastAsia="zh-CN"/>
              </w:rPr>
              <w:t>达标</w:t>
            </w:r>
          </w:p>
        </w:tc>
      </w:tr>
      <w:tr w14:paraId="3BB3A2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82" w:type="pct"/>
            <w:noWrap w:val="0"/>
            <w:vAlign w:val="center"/>
          </w:tcPr>
          <w:p w14:paraId="0F68A47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N</w:t>
            </w:r>
            <w:r>
              <w:rPr>
                <w:rFonts w:hint="eastAsia" w:ascii="Times New Roman" w:hAnsi="Times New Roman" w:cs="Times New Roman"/>
                <w:color w:val="auto"/>
              </w:rPr>
              <w:t>9</w:t>
            </w:r>
          </w:p>
        </w:tc>
        <w:tc>
          <w:tcPr>
            <w:tcW w:w="634" w:type="pct"/>
            <w:noWrap w:val="0"/>
            <w:vAlign w:val="center"/>
          </w:tcPr>
          <w:p w14:paraId="3719523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陶郢孜1</w:t>
            </w:r>
          </w:p>
        </w:tc>
        <w:tc>
          <w:tcPr>
            <w:tcW w:w="489" w:type="pct"/>
            <w:noWrap w:val="0"/>
            <w:vAlign w:val="center"/>
          </w:tcPr>
          <w:p w14:paraId="4D77D04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53.7</w:t>
            </w:r>
          </w:p>
        </w:tc>
        <w:tc>
          <w:tcPr>
            <w:tcW w:w="749" w:type="pct"/>
            <w:noWrap w:val="0"/>
            <w:vAlign w:val="center"/>
          </w:tcPr>
          <w:p w14:paraId="163414B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36.4</w:t>
            </w:r>
          </w:p>
        </w:tc>
        <w:tc>
          <w:tcPr>
            <w:tcW w:w="645" w:type="pct"/>
            <w:noWrap w:val="0"/>
            <w:vAlign w:val="center"/>
          </w:tcPr>
          <w:p w14:paraId="64470D7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60</w:t>
            </w:r>
          </w:p>
        </w:tc>
        <w:tc>
          <w:tcPr>
            <w:tcW w:w="999" w:type="pct"/>
            <w:noWrap w:val="0"/>
            <w:vAlign w:val="center"/>
          </w:tcPr>
          <w:p w14:paraId="7E3B347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50</w:t>
            </w:r>
          </w:p>
        </w:tc>
        <w:tc>
          <w:tcPr>
            <w:tcW w:w="998" w:type="pct"/>
            <w:noWrap w:val="0"/>
            <w:vAlign w:val="center"/>
          </w:tcPr>
          <w:p w14:paraId="0481B3C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lang w:val="en-US" w:eastAsia="zh-CN"/>
              </w:rPr>
              <w:t>达标</w:t>
            </w:r>
          </w:p>
        </w:tc>
      </w:tr>
      <w:tr w14:paraId="712FD2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82" w:type="pct"/>
            <w:noWrap w:val="0"/>
            <w:vAlign w:val="center"/>
          </w:tcPr>
          <w:p w14:paraId="5F9F64E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N</w:t>
            </w:r>
            <w:r>
              <w:rPr>
                <w:rFonts w:hint="eastAsia" w:ascii="Times New Roman" w:hAnsi="Times New Roman" w:cs="Times New Roman"/>
                <w:color w:val="auto"/>
              </w:rPr>
              <w:t>10</w:t>
            </w:r>
          </w:p>
        </w:tc>
        <w:tc>
          <w:tcPr>
            <w:tcW w:w="634" w:type="pct"/>
            <w:noWrap w:val="0"/>
            <w:vAlign w:val="center"/>
          </w:tcPr>
          <w:p w14:paraId="0D0CC11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陶郢孜2</w:t>
            </w:r>
          </w:p>
        </w:tc>
        <w:tc>
          <w:tcPr>
            <w:tcW w:w="489" w:type="pct"/>
            <w:noWrap w:val="0"/>
            <w:vAlign w:val="center"/>
          </w:tcPr>
          <w:p w14:paraId="43FCF0F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47.6</w:t>
            </w:r>
          </w:p>
        </w:tc>
        <w:tc>
          <w:tcPr>
            <w:tcW w:w="749" w:type="pct"/>
            <w:noWrap w:val="0"/>
            <w:vAlign w:val="center"/>
          </w:tcPr>
          <w:p w14:paraId="223A112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44.9</w:t>
            </w:r>
          </w:p>
        </w:tc>
        <w:tc>
          <w:tcPr>
            <w:tcW w:w="645" w:type="pct"/>
            <w:noWrap w:val="0"/>
            <w:vAlign w:val="center"/>
          </w:tcPr>
          <w:p w14:paraId="5E0F4892">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60</w:t>
            </w:r>
          </w:p>
        </w:tc>
        <w:tc>
          <w:tcPr>
            <w:tcW w:w="999" w:type="pct"/>
            <w:noWrap w:val="0"/>
            <w:vAlign w:val="center"/>
          </w:tcPr>
          <w:p w14:paraId="2FE4650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50</w:t>
            </w:r>
          </w:p>
        </w:tc>
        <w:tc>
          <w:tcPr>
            <w:tcW w:w="998" w:type="pct"/>
            <w:noWrap w:val="0"/>
            <w:vAlign w:val="center"/>
          </w:tcPr>
          <w:p w14:paraId="69C05B88">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lang w:val="en-US" w:eastAsia="zh-CN"/>
              </w:rPr>
              <w:t>达标</w:t>
            </w:r>
          </w:p>
        </w:tc>
      </w:tr>
      <w:tr w14:paraId="78883E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82" w:type="pct"/>
            <w:noWrap w:val="0"/>
            <w:vAlign w:val="center"/>
          </w:tcPr>
          <w:p w14:paraId="7AC7342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N</w:t>
            </w:r>
            <w:r>
              <w:rPr>
                <w:rFonts w:hint="eastAsia" w:ascii="Times New Roman" w:hAnsi="Times New Roman" w:cs="Times New Roman"/>
                <w:color w:val="auto"/>
              </w:rPr>
              <w:t>11</w:t>
            </w:r>
          </w:p>
        </w:tc>
        <w:tc>
          <w:tcPr>
            <w:tcW w:w="634" w:type="pct"/>
            <w:noWrap w:val="0"/>
            <w:vAlign w:val="center"/>
          </w:tcPr>
          <w:p w14:paraId="0065D0C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陶郢孜3</w:t>
            </w:r>
          </w:p>
        </w:tc>
        <w:tc>
          <w:tcPr>
            <w:tcW w:w="489" w:type="pct"/>
            <w:noWrap w:val="0"/>
            <w:vAlign w:val="center"/>
          </w:tcPr>
          <w:p w14:paraId="4250195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48.0</w:t>
            </w:r>
          </w:p>
        </w:tc>
        <w:tc>
          <w:tcPr>
            <w:tcW w:w="749" w:type="pct"/>
            <w:noWrap w:val="0"/>
            <w:vAlign w:val="center"/>
          </w:tcPr>
          <w:p w14:paraId="2697374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41.8</w:t>
            </w:r>
          </w:p>
        </w:tc>
        <w:tc>
          <w:tcPr>
            <w:tcW w:w="645" w:type="pct"/>
            <w:noWrap w:val="0"/>
            <w:vAlign w:val="center"/>
          </w:tcPr>
          <w:p w14:paraId="3AB9A5D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60</w:t>
            </w:r>
          </w:p>
        </w:tc>
        <w:tc>
          <w:tcPr>
            <w:tcW w:w="999" w:type="pct"/>
            <w:noWrap w:val="0"/>
            <w:vAlign w:val="center"/>
          </w:tcPr>
          <w:p w14:paraId="11F4EB4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rPr>
              <w:t>50</w:t>
            </w:r>
          </w:p>
        </w:tc>
        <w:tc>
          <w:tcPr>
            <w:tcW w:w="998" w:type="pct"/>
            <w:noWrap w:val="0"/>
            <w:vAlign w:val="center"/>
          </w:tcPr>
          <w:p w14:paraId="0B6EA0E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lang w:val="en-US" w:eastAsia="zh-CN"/>
              </w:rPr>
              <w:t>达标</w:t>
            </w:r>
          </w:p>
        </w:tc>
      </w:tr>
    </w:tbl>
    <w:p w14:paraId="32EEBE81">
      <w:pPr>
        <w:jc w:val="center"/>
        <w:rPr>
          <w:b/>
          <w:bCs/>
          <w:color w:val="auto"/>
        </w:rPr>
      </w:pPr>
      <w:r>
        <w:rPr>
          <w:rFonts w:ascii="宋体" w:hAnsi="宋体"/>
          <w:b/>
          <w:bCs/>
          <w:color w:val="auto"/>
        </w:rPr>
        <w:t>表</w:t>
      </w:r>
      <w:r>
        <w:rPr>
          <w:b/>
          <w:bCs/>
          <w:color w:val="auto"/>
        </w:rPr>
        <w:t>4.2-8</w:t>
      </w:r>
      <w:r>
        <w:rPr>
          <w:rFonts w:hint="eastAsia"/>
          <w:b/>
          <w:bCs/>
          <w:color w:val="auto"/>
        </w:rPr>
        <w:t xml:space="preserve"> </w:t>
      </w:r>
      <w:r>
        <w:rPr>
          <w:rFonts w:hint="eastAsia" w:ascii="宋体" w:hAnsi="宋体"/>
          <w:b/>
          <w:bCs/>
          <w:color w:val="auto"/>
        </w:rPr>
        <w:t>交通噪声衰减断面</w:t>
      </w:r>
      <w:r>
        <w:rPr>
          <w:rFonts w:ascii="宋体" w:hAnsi="宋体"/>
          <w:b/>
          <w:bCs/>
          <w:color w:val="auto"/>
        </w:rPr>
        <w:t>检测结果表</w:t>
      </w:r>
      <w:r>
        <w:rPr>
          <w:rFonts w:hint="eastAsia"/>
          <w:b/>
          <w:bCs/>
          <w:color w:val="auto"/>
        </w:rPr>
        <w:t xml:space="preserve">  </w:t>
      </w:r>
      <w:r>
        <w:rPr>
          <w:b/>
          <w:bCs/>
          <w:color w:val="auto"/>
        </w:rPr>
        <w:t xml:space="preserve">   </w:t>
      </w:r>
      <w:r>
        <w:rPr>
          <w:rFonts w:ascii="宋体" w:hAnsi="宋体"/>
          <w:b/>
          <w:bCs/>
          <w:color w:val="auto"/>
        </w:rPr>
        <w:t>（单位：</w:t>
      </w:r>
      <w:r>
        <w:rPr>
          <w:b/>
          <w:bCs/>
          <w:color w:val="auto"/>
        </w:rPr>
        <w:t>dB</w:t>
      </w:r>
      <w:r>
        <w:rPr>
          <w:rFonts w:ascii="宋体" w:hAnsi="宋体"/>
          <w:b/>
          <w:bCs/>
          <w:color w:val="auto"/>
        </w:rPr>
        <w:t>（</w:t>
      </w:r>
      <w:r>
        <w:rPr>
          <w:b/>
          <w:bCs/>
          <w:color w:val="auto"/>
        </w:rPr>
        <w:t>A</w:t>
      </w:r>
      <w:r>
        <w:rPr>
          <w:rFonts w:ascii="宋体" w:hAnsi="宋体"/>
          <w:b/>
          <w:bCs/>
          <w:color w:val="auto"/>
        </w:rPr>
        <w:t>））</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73"/>
        <w:gridCol w:w="774"/>
        <w:gridCol w:w="774"/>
        <w:gridCol w:w="774"/>
        <w:gridCol w:w="774"/>
        <w:gridCol w:w="774"/>
        <w:gridCol w:w="774"/>
        <w:gridCol w:w="774"/>
        <w:gridCol w:w="774"/>
        <w:gridCol w:w="774"/>
        <w:gridCol w:w="774"/>
        <w:gridCol w:w="774"/>
      </w:tblGrid>
      <w:tr w14:paraId="3F5961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3" w:type="dxa"/>
            <w:vMerge w:val="restart"/>
            <w:noWrap w:val="0"/>
            <w:vAlign w:val="center"/>
          </w:tcPr>
          <w:p w14:paraId="7960CAC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宋体" w:hAnsi="宋体" w:cs="Times New Roman"/>
                <w:b/>
                <w:bCs/>
                <w:color w:val="auto"/>
                <w:sz w:val="21"/>
                <w:szCs w:val="21"/>
              </w:rPr>
              <w:t>点位</w:t>
            </w:r>
          </w:p>
          <w:p w14:paraId="33A6EF7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宋体" w:hAnsi="宋体" w:cs="Times New Roman"/>
                <w:b/>
                <w:bCs/>
                <w:color w:val="auto"/>
                <w:sz w:val="21"/>
                <w:szCs w:val="21"/>
              </w:rPr>
              <w:t>编号</w:t>
            </w:r>
          </w:p>
        </w:tc>
        <w:tc>
          <w:tcPr>
            <w:tcW w:w="774" w:type="dxa"/>
            <w:vMerge w:val="restart"/>
            <w:noWrap w:val="0"/>
            <w:vAlign w:val="center"/>
          </w:tcPr>
          <w:p w14:paraId="1A7A6953">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宋体" w:hAnsi="宋体" w:cs="Times New Roman"/>
                <w:b/>
                <w:bCs/>
                <w:color w:val="auto"/>
                <w:sz w:val="21"/>
                <w:szCs w:val="21"/>
              </w:rPr>
              <w:t>检测</w:t>
            </w:r>
          </w:p>
          <w:p w14:paraId="6C075AD8">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宋体" w:hAnsi="宋体" w:cs="Times New Roman"/>
                <w:b/>
                <w:bCs/>
                <w:color w:val="auto"/>
                <w:sz w:val="21"/>
                <w:szCs w:val="21"/>
              </w:rPr>
              <w:t>点位</w:t>
            </w:r>
          </w:p>
        </w:tc>
        <w:tc>
          <w:tcPr>
            <w:tcW w:w="774" w:type="dxa"/>
            <w:vMerge w:val="restart"/>
            <w:noWrap w:val="0"/>
            <w:vAlign w:val="center"/>
          </w:tcPr>
          <w:p w14:paraId="0AC0531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宋体" w:hAnsi="宋体" w:cs="Times New Roman"/>
                <w:b/>
                <w:bCs/>
                <w:color w:val="auto"/>
                <w:sz w:val="21"/>
                <w:szCs w:val="21"/>
              </w:rPr>
              <w:t>检测</w:t>
            </w:r>
          </w:p>
          <w:p w14:paraId="5F0481A9">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宋体" w:hAnsi="宋体" w:cs="Times New Roman"/>
                <w:b/>
                <w:bCs/>
                <w:color w:val="auto"/>
                <w:sz w:val="21"/>
                <w:szCs w:val="21"/>
              </w:rPr>
              <w:t>日期</w:t>
            </w:r>
          </w:p>
        </w:tc>
        <w:tc>
          <w:tcPr>
            <w:tcW w:w="774" w:type="dxa"/>
            <w:vMerge w:val="restart"/>
            <w:noWrap w:val="0"/>
            <w:vAlign w:val="center"/>
          </w:tcPr>
          <w:p w14:paraId="16D44FF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宋体" w:hAnsi="宋体" w:cs="Times New Roman"/>
                <w:b/>
                <w:bCs/>
                <w:color w:val="auto"/>
                <w:sz w:val="21"/>
                <w:szCs w:val="21"/>
              </w:rPr>
              <w:t>检测</w:t>
            </w:r>
          </w:p>
          <w:p w14:paraId="268F6E3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宋体" w:hAnsi="宋体" w:cs="Times New Roman"/>
                <w:b/>
                <w:bCs/>
                <w:color w:val="auto"/>
                <w:sz w:val="21"/>
                <w:szCs w:val="21"/>
              </w:rPr>
              <w:t>频次</w:t>
            </w:r>
          </w:p>
        </w:tc>
        <w:tc>
          <w:tcPr>
            <w:tcW w:w="3870" w:type="dxa"/>
            <w:gridSpan w:val="5"/>
            <w:noWrap w:val="0"/>
            <w:vAlign w:val="center"/>
          </w:tcPr>
          <w:p w14:paraId="26836E5D">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宋体" w:hAnsi="宋体" w:cs="Times New Roman"/>
                <w:b/>
                <w:bCs/>
                <w:color w:val="auto"/>
                <w:sz w:val="21"/>
                <w:szCs w:val="21"/>
              </w:rPr>
              <w:t>距道路</w:t>
            </w:r>
            <w:r>
              <w:rPr>
                <w:rFonts w:hint="eastAsia" w:ascii="宋体" w:hAnsi="宋体" w:cs="Times New Roman"/>
                <w:b/>
                <w:bCs/>
                <w:color w:val="auto"/>
                <w:sz w:val="21"/>
                <w:szCs w:val="21"/>
              </w:rPr>
              <w:t>边界</w:t>
            </w:r>
            <w:r>
              <w:rPr>
                <w:rFonts w:hint="default" w:ascii="宋体" w:hAnsi="宋体" w:cs="Times New Roman"/>
                <w:b/>
                <w:bCs/>
                <w:color w:val="auto"/>
                <w:sz w:val="21"/>
                <w:szCs w:val="21"/>
              </w:rPr>
              <w:t>线距离（</w:t>
            </w:r>
            <w:r>
              <w:rPr>
                <w:rFonts w:hint="default" w:ascii="Times New Roman" w:hAnsi="Times New Roman" w:cs="Times New Roman"/>
                <w:b/>
                <w:bCs/>
                <w:color w:val="auto"/>
                <w:sz w:val="21"/>
                <w:szCs w:val="21"/>
              </w:rPr>
              <w:t>m</w:t>
            </w:r>
            <w:r>
              <w:rPr>
                <w:rFonts w:hint="default" w:ascii="宋体" w:hAnsi="宋体" w:cs="Times New Roman"/>
                <w:b/>
                <w:bCs/>
                <w:color w:val="auto"/>
                <w:sz w:val="21"/>
                <w:szCs w:val="21"/>
              </w:rPr>
              <w:t>）</w:t>
            </w:r>
          </w:p>
        </w:tc>
        <w:tc>
          <w:tcPr>
            <w:tcW w:w="2322" w:type="dxa"/>
            <w:gridSpan w:val="3"/>
            <w:noWrap w:val="0"/>
            <w:vAlign w:val="center"/>
          </w:tcPr>
          <w:p w14:paraId="663782B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宋体" w:hAnsi="宋体" w:cs="Times New Roman"/>
                <w:b/>
                <w:bCs/>
                <w:color w:val="auto"/>
                <w:sz w:val="21"/>
                <w:szCs w:val="21"/>
              </w:rPr>
              <w:t>车型及车流量（辆</w:t>
            </w:r>
            <w:r>
              <w:rPr>
                <w:rFonts w:hint="default" w:ascii="Times New Roman" w:hAnsi="Times New Roman" w:cs="Times New Roman"/>
                <w:b/>
                <w:bCs/>
                <w:color w:val="auto"/>
                <w:sz w:val="21"/>
                <w:szCs w:val="21"/>
              </w:rPr>
              <w:t>/</w:t>
            </w:r>
            <w:r>
              <w:rPr>
                <w:rFonts w:hint="eastAsia" w:ascii="Times New Roman" w:hAnsi="Times New Roman" w:cs="Times New Roman"/>
                <w:b/>
                <w:bCs/>
                <w:color w:val="auto"/>
                <w:sz w:val="21"/>
                <w:szCs w:val="21"/>
              </w:rPr>
              <w:t>h</w:t>
            </w:r>
            <w:r>
              <w:rPr>
                <w:rFonts w:hint="default" w:ascii="宋体" w:hAnsi="宋体" w:cs="Times New Roman"/>
                <w:b/>
                <w:bCs/>
                <w:color w:val="auto"/>
                <w:sz w:val="21"/>
                <w:szCs w:val="21"/>
              </w:rPr>
              <w:t>）</w:t>
            </w:r>
          </w:p>
        </w:tc>
      </w:tr>
      <w:tr w14:paraId="331D06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3" w:type="dxa"/>
            <w:vMerge w:val="continue"/>
            <w:noWrap w:val="0"/>
            <w:vAlign w:val="center"/>
          </w:tcPr>
          <w:p w14:paraId="0BE7FB44">
            <w:pPr>
              <w:keepNext w:val="0"/>
              <w:keepLines w:val="0"/>
              <w:widowControl/>
              <w:suppressLineNumbers w:val="0"/>
              <w:spacing w:before="0" w:beforeAutospacing="0" w:after="0" w:afterAutospacing="0"/>
              <w:ind w:left="0" w:right="0"/>
              <w:jc w:val="left"/>
              <w:rPr>
                <w:rFonts w:hint="default" w:ascii="Times New Roman" w:hAnsi="Times New Roman" w:cs="Times New Roman"/>
                <w:b/>
                <w:bCs/>
                <w:color w:val="auto"/>
                <w:sz w:val="21"/>
                <w:szCs w:val="21"/>
              </w:rPr>
            </w:pPr>
          </w:p>
        </w:tc>
        <w:tc>
          <w:tcPr>
            <w:tcW w:w="774" w:type="dxa"/>
            <w:vMerge w:val="continue"/>
            <w:noWrap w:val="0"/>
            <w:vAlign w:val="center"/>
          </w:tcPr>
          <w:p w14:paraId="65B3BEED">
            <w:pPr>
              <w:keepNext w:val="0"/>
              <w:keepLines w:val="0"/>
              <w:widowControl/>
              <w:suppressLineNumbers w:val="0"/>
              <w:spacing w:before="0" w:beforeAutospacing="0" w:after="0" w:afterAutospacing="0"/>
              <w:ind w:left="0" w:right="0"/>
              <w:jc w:val="left"/>
              <w:rPr>
                <w:rFonts w:hint="default" w:ascii="Times New Roman" w:hAnsi="Times New Roman" w:cs="Times New Roman"/>
                <w:b/>
                <w:bCs/>
                <w:color w:val="auto"/>
                <w:sz w:val="21"/>
                <w:szCs w:val="21"/>
              </w:rPr>
            </w:pPr>
          </w:p>
        </w:tc>
        <w:tc>
          <w:tcPr>
            <w:tcW w:w="774" w:type="dxa"/>
            <w:vMerge w:val="continue"/>
            <w:noWrap w:val="0"/>
            <w:vAlign w:val="center"/>
          </w:tcPr>
          <w:p w14:paraId="41A819D9">
            <w:pPr>
              <w:keepNext w:val="0"/>
              <w:keepLines w:val="0"/>
              <w:widowControl/>
              <w:suppressLineNumbers w:val="0"/>
              <w:spacing w:before="0" w:beforeAutospacing="0" w:after="0" w:afterAutospacing="0"/>
              <w:ind w:left="0" w:right="0"/>
              <w:jc w:val="left"/>
              <w:rPr>
                <w:rFonts w:hint="default" w:ascii="Times New Roman" w:hAnsi="Times New Roman" w:cs="Times New Roman"/>
                <w:b/>
                <w:bCs/>
                <w:color w:val="auto"/>
                <w:sz w:val="21"/>
                <w:szCs w:val="21"/>
              </w:rPr>
            </w:pPr>
          </w:p>
        </w:tc>
        <w:tc>
          <w:tcPr>
            <w:tcW w:w="774" w:type="dxa"/>
            <w:vMerge w:val="continue"/>
            <w:noWrap w:val="0"/>
            <w:vAlign w:val="center"/>
          </w:tcPr>
          <w:p w14:paraId="2D3BE5C3">
            <w:pPr>
              <w:keepNext w:val="0"/>
              <w:keepLines w:val="0"/>
              <w:widowControl/>
              <w:suppressLineNumbers w:val="0"/>
              <w:spacing w:before="0" w:beforeAutospacing="0" w:after="0" w:afterAutospacing="0"/>
              <w:ind w:left="0" w:right="0"/>
              <w:jc w:val="left"/>
              <w:rPr>
                <w:rFonts w:hint="default" w:ascii="Times New Roman" w:hAnsi="Times New Roman" w:cs="Times New Roman"/>
                <w:b/>
                <w:bCs/>
                <w:color w:val="auto"/>
                <w:sz w:val="21"/>
                <w:szCs w:val="21"/>
              </w:rPr>
            </w:pPr>
          </w:p>
        </w:tc>
        <w:tc>
          <w:tcPr>
            <w:tcW w:w="774" w:type="dxa"/>
            <w:noWrap w:val="0"/>
            <w:vAlign w:val="center"/>
          </w:tcPr>
          <w:p w14:paraId="4DB03190">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20</w:t>
            </w:r>
          </w:p>
        </w:tc>
        <w:tc>
          <w:tcPr>
            <w:tcW w:w="774" w:type="dxa"/>
            <w:noWrap w:val="0"/>
            <w:vAlign w:val="center"/>
          </w:tcPr>
          <w:p w14:paraId="7D6EE1C3">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40</w:t>
            </w:r>
          </w:p>
        </w:tc>
        <w:tc>
          <w:tcPr>
            <w:tcW w:w="774" w:type="dxa"/>
            <w:noWrap w:val="0"/>
            <w:vAlign w:val="center"/>
          </w:tcPr>
          <w:p w14:paraId="3D135927">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80</w:t>
            </w:r>
          </w:p>
        </w:tc>
        <w:tc>
          <w:tcPr>
            <w:tcW w:w="774" w:type="dxa"/>
            <w:noWrap w:val="0"/>
            <w:vAlign w:val="center"/>
          </w:tcPr>
          <w:p w14:paraId="0C796A3F">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120</w:t>
            </w:r>
          </w:p>
        </w:tc>
        <w:tc>
          <w:tcPr>
            <w:tcW w:w="774" w:type="dxa"/>
            <w:noWrap w:val="0"/>
            <w:vAlign w:val="center"/>
          </w:tcPr>
          <w:p w14:paraId="0AB431B0">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200</w:t>
            </w:r>
          </w:p>
        </w:tc>
        <w:tc>
          <w:tcPr>
            <w:tcW w:w="774" w:type="dxa"/>
            <w:noWrap w:val="0"/>
            <w:vAlign w:val="center"/>
          </w:tcPr>
          <w:p w14:paraId="21AA1BE6">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宋体" w:hAnsi="宋体" w:cs="Times New Roman"/>
                <w:b/>
                <w:bCs/>
                <w:color w:val="auto"/>
                <w:sz w:val="21"/>
                <w:szCs w:val="21"/>
              </w:rPr>
              <w:t>大型车</w:t>
            </w:r>
          </w:p>
        </w:tc>
        <w:tc>
          <w:tcPr>
            <w:tcW w:w="774" w:type="dxa"/>
            <w:noWrap w:val="0"/>
            <w:vAlign w:val="center"/>
          </w:tcPr>
          <w:p w14:paraId="6C76FAD5">
            <w:pPr>
              <w:keepNext w:val="0"/>
              <w:keepLines w:val="0"/>
              <w:suppressLineNumbers w:val="0"/>
              <w:spacing w:before="0" w:beforeAutospacing="0" w:after="0" w:afterAutospacing="0"/>
              <w:ind w:left="0" w:right="0"/>
              <w:jc w:val="center"/>
              <w:rPr>
                <w:rFonts w:hint="eastAsia" w:ascii="Times New Roman" w:hAnsi="Times New Roman" w:cs="Times New Roman"/>
                <w:b/>
                <w:bCs/>
                <w:color w:val="auto"/>
                <w:sz w:val="21"/>
                <w:szCs w:val="21"/>
              </w:rPr>
            </w:pPr>
            <w:r>
              <w:rPr>
                <w:rFonts w:hint="default" w:ascii="宋体" w:hAnsi="宋体" w:cs="Times New Roman"/>
                <w:b/>
                <w:bCs/>
                <w:color w:val="auto"/>
                <w:sz w:val="21"/>
                <w:szCs w:val="21"/>
              </w:rPr>
              <w:t>中型车</w:t>
            </w:r>
          </w:p>
        </w:tc>
        <w:tc>
          <w:tcPr>
            <w:tcW w:w="774" w:type="dxa"/>
            <w:noWrap w:val="0"/>
            <w:vAlign w:val="center"/>
          </w:tcPr>
          <w:p w14:paraId="34915AB0">
            <w:pPr>
              <w:keepNext w:val="0"/>
              <w:keepLines w:val="0"/>
              <w:suppressLineNumbers w:val="0"/>
              <w:spacing w:before="0" w:beforeAutospacing="0" w:after="0" w:afterAutospacing="0"/>
              <w:ind w:left="0" w:right="0"/>
              <w:jc w:val="center"/>
              <w:rPr>
                <w:rFonts w:hint="eastAsia" w:ascii="Times New Roman" w:hAnsi="Times New Roman" w:cs="Times New Roman"/>
                <w:b/>
                <w:bCs/>
                <w:color w:val="auto"/>
                <w:sz w:val="21"/>
                <w:szCs w:val="21"/>
              </w:rPr>
            </w:pPr>
            <w:r>
              <w:rPr>
                <w:rFonts w:hint="default" w:ascii="宋体" w:hAnsi="宋体" w:cs="Times New Roman"/>
                <w:b/>
                <w:bCs/>
                <w:color w:val="auto"/>
                <w:sz w:val="21"/>
                <w:szCs w:val="21"/>
              </w:rPr>
              <w:t>小型车</w:t>
            </w:r>
          </w:p>
        </w:tc>
      </w:tr>
      <w:tr w14:paraId="04A4AB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3" w:type="dxa"/>
            <w:vMerge w:val="restart"/>
            <w:noWrap w:val="0"/>
            <w:vAlign w:val="center"/>
          </w:tcPr>
          <w:p w14:paraId="172328B1">
            <w:pPr>
              <w:pStyle w:val="302"/>
              <w:keepNext w:val="0"/>
              <w:keepLines w:val="0"/>
              <w:suppressLineNumbers w:val="0"/>
              <w:spacing w:before="0" w:beforeAutospacing="0" w:after="0" w:afterAutospacing="0"/>
              <w:ind w:left="0" w:right="0"/>
              <w:rPr>
                <w:rFonts w:hint="eastAsia" w:ascii="Times New Roman" w:hAnsi="Times New Roman" w:cs="Times New Roman"/>
                <w:color w:val="auto"/>
                <w:sz w:val="21"/>
                <w:szCs w:val="21"/>
              </w:rPr>
            </w:pPr>
            <w:r>
              <w:rPr>
                <w:rFonts w:hint="default" w:ascii="Times New Roman" w:hAnsi="Times New Roman" w:cs="Times New Roman"/>
                <w:color w:val="auto"/>
                <w:sz w:val="21"/>
                <w:szCs w:val="21"/>
              </w:rPr>
              <w:t>N</w:t>
            </w:r>
            <w:r>
              <w:rPr>
                <w:rFonts w:hint="eastAsia" w:ascii="Times New Roman" w:hAnsi="Times New Roman" w:cs="Times New Roman"/>
                <w:color w:val="auto"/>
                <w:sz w:val="21"/>
                <w:szCs w:val="21"/>
              </w:rPr>
              <w:t>12</w:t>
            </w:r>
          </w:p>
        </w:tc>
        <w:tc>
          <w:tcPr>
            <w:tcW w:w="774" w:type="dxa"/>
            <w:vMerge w:val="restart"/>
            <w:noWrap w:val="0"/>
            <w:vAlign w:val="center"/>
          </w:tcPr>
          <w:p w14:paraId="14DCBA39">
            <w:pPr>
              <w:pStyle w:val="302"/>
              <w:keepNext w:val="0"/>
              <w:keepLines w:val="0"/>
              <w:suppressLineNumbers w:val="0"/>
              <w:spacing w:before="0" w:beforeAutospacing="0" w:after="0" w:afterAutospacing="0"/>
              <w:ind w:left="0" w:right="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x011</w:t>
            </w:r>
            <w:r>
              <w:rPr>
                <w:rFonts w:hint="eastAsia" w:ascii="宋体" w:hAnsi="宋体"/>
                <w:color w:val="auto"/>
                <w:sz w:val="21"/>
                <w:szCs w:val="21"/>
              </w:rPr>
              <w:t>县道</w:t>
            </w:r>
          </w:p>
        </w:tc>
        <w:tc>
          <w:tcPr>
            <w:tcW w:w="774" w:type="dxa"/>
            <w:vMerge w:val="restart"/>
            <w:noWrap w:val="0"/>
            <w:vAlign w:val="center"/>
          </w:tcPr>
          <w:p w14:paraId="74FCAE7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2023.</w:t>
            </w:r>
            <w:r>
              <w:rPr>
                <w:rFonts w:hint="eastAsia" w:ascii="Times New Roman" w:hAnsi="Times New Roman" w:cs="Times New Roman"/>
                <w:color w:val="auto"/>
                <w:sz w:val="21"/>
                <w:szCs w:val="21"/>
              </w:rPr>
              <w:t>10.24</w:t>
            </w:r>
          </w:p>
        </w:tc>
        <w:tc>
          <w:tcPr>
            <w:tcW w:w="774" w:type="dxa"/>
            <w:noWrap w:val="0"/>
            <w:vAlign w:val="center"/>
          </w:tcPr>
          <w:p w14:paraId="0954DAD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宋体" w:hAnsi="宋体" w:cs="Times New Roman"/>
                <w:color w:val="auto"/>
                <w:sz w:val="21"/>
                <w:szCs w:val="21"/>
              </w:rPr>
              <w:t>昼间</w:t>
            </w:r>
          </w:p>
        </w:tc>
        <w:tc>
          <w:tcPr>
            <w:tcW w:w="774" w:type="dxa"/>
            <w:noWrap w:val="0"/>
            <w:vAlign w:val="center"/>
          </w:tcPr>
          <w:p w14:paraId="47C84F7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49.3</w:t>
            </w:r>
          </w:p>
        </w:tc>
        <w:tc>
          <w:tcPr>
            <w:tcW w:w="774" w:type="dxa"/>
            <w:noWrap w:val="0"/>
            <w:vAlign w:val="center"/>
          </w:tcPr>
          <w:p w14:paraId="6B50B0C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47.8</w:t>
            </w:r>
          </w:p>
        </w:tc>
        <w:tc>
          <w:tcPr>
            <w:tcW w:w="774" w:type="dxa"/>
            <w:noWrap w:val="0"/>
            <w:vAlign w:val="center"/>
          </w:tcPr>
          <w:p w14:paraId="55B5171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47.4</w:t>
            </w:r>
          </w:p>
        </w:tc>
        <w:tc>
          <w:tcPr>
            <w:tcW w:w="774" w:type="dxa"/>
            <w:noWrap w:val="0"/>
            <w:vAlign w:val="center"/>
          </w:tcPr>
          <w:p w14:paraId="7B9FE6A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46.9</w:t>
            </w:r>
          </w:p>
        </w:tc>
        <w:tc>
          <w:tcPr>
            <w:tcW w:w="774" w:type="dxa"/>
            <w:noWrap w:val="0"/>
            <w:vAlign w:val="center"/>
          </w:tcPr>
          <w:p w14:paraId="7088CF5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46.3</w:t>
            </w:r>
          </w:p>
        </w:tc>
        <w:tc>
          <w:tcPr>
            <w:tcW w:w="774" w:type="dxa"/>
            <w:noWrap w:val="0"/>
            <w:vAlign w:val="center"/>
          </w:tcPr>
          <w:p w14:paraId="4B0952B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eastAsia" w:ascii="Times New Roman" w:hAnsi="Times New Roman" w:cs="Times New Roman"/>
                <w:color w:val="auto"/>
                <w:kern w:val="0"/>
                <w:sz w:val="21"/>
                <w:szCs w:val="21"/>
              </w:rPr>
              <w:t>0</w:t>
            </w:r>
          </w:p>
        </w:tc>
        <w:tc>
          <w:tcPr>
            <w:tcW w:w="774" w:type="dxa"/>
            <w:noWrap w:val="0"/>
            <w:vAlign w:val="center"/>
          </w:tcPr>
          <w:p w14:paraId="247B355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0</w:t>
            </w:r>
          </w:p>
        </w:tc>
        <w:tc>
          <w:tcPr>
            <w:tcW w:w="774" w:type="dxa"/>
            <w:noWrap w:val="0"/>
            <w:vAlign w:val="center"/>
          </w:tcPr>
          <w:p w14:paraId="22F2B2B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eastAsia" w:ascii="Times New Roman" w:hAnsi="Times New Roman" w:cs="Times New Roman"/>
                <w:color w:val="auto"/>
                <w:kern w:val="0"/>
                <w:sz w:val="21"/>
                <w:szCs w:val="21"/>
              </w:rPr>
              <w:t>39</w:t>
            </w:r>
          </w:p>
        </w:tc>
      </w:tr>
      <w:tr w14:paraId="450E9F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73" w:type="dxa"/>
            <w:vMerge w:val="continue"/>
            <w:noWrap w:val="0"/>
            <w:vAlign w:val="center"/>
          </w:tcPr>
          <w:p w14:paraId="4D0364E2">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sz w:val="21"/>
                <w:szCs w:val="21"/>
              </w:rPr>
            </w:pPr>
          </w:p>
        </w:tc>
        <w:tc>
          <w:tcPr>
            <w:tcW w:w="774" w:type="dxa"/>
            <w:vMerge w:val="continue"/>
            <w:noWrap w:val="0"/>
            <w:vAlign w:val="center"/>
          </w:tcPr>
          <w:p w14:paraId="03AB1B55">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sz w:val="21"/>
                <w:szCs w:val="21"/>
              </w:rPr>
            </w:pPr>
          </w:p>
        </w:tc>
        <w:tc>
          <w:tcPr>
            <w:tcW w:w="774" w:type="dxa"/>
            <w:vMerge w:val="continue"/>
            <w:noWrap w:val="0"/>
            <w:vAlign w:val="center"/>
          </w:tcPr>
          <w:p w14:paraId="0425168A">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sz w:val="21"/>
                <w:szCs w:val="21"/>
              </w:rPr>
            </w:pPr>
          </w:p>
        </w:tc>
        <w:tc>
          <w:tcPr>
            <w:tcW w:w="774" w:type="dxa"/>
            <w:noWrap w:val="0"/>
            <w:vAlign w:val="center"/>
          </w:tcPr>
          <w:p w14:paraId="0B2FBF5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宋体" w:hAnsi="宋体" w:cs="Times New Roman"/>
                <w:color w:val="auto"/>
                <w:sz w:val="21"/>
                <w:szCs w:val="21"/>
              </w:rPr>
              <w:t>夜间</w:t>
            </w:r>
          </w:p>
        </w:tc>
        <w:tc>
          <w:tcPr>
            <w:tcW w:w="774" w:type="dxa"/>
            <w:noWrap w:val="0"/>
            <w:vAlign w:val="center"/>
          </w:tcPr>
          <w:p w14:paraId="6EF3735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50.1</w:t>
            </w:r>
          </w:p>
        </w:tc>
        <w:tc>
          <w:tcPr>
            <w:tcW w:w="774" w:type="dxa"/>
            <w:noWrap w:val="0"/>
            <w:vAlign w:val="center"/>
          </w:tcPr>
          <w:p w14:paraId="0AFE924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47.0</w:t>
            </w:r>
          </w:p>
        </w:tc>
        <w:tc>
          <w:tcPr>
            <w:tcW w:w="774" w:type="dxa"/>
            <w:noWrap w:val="0"/>
            <w:vAlign w:val="center"/>
          </w:tcPr>
          <w:p w14:paraId="04D1F36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46.4</w:t>
            </w:r>
          </w:p>
        </w:tc>
        <w:tc>
          <w:tcPr>
            <w:tcW w:w="774" w:type="dxa"/>
            <w:noWrap w:val="0"/>
            <w:vAlign w:val="center"/>
          </w:tcPr>
          <w:p w14:paraId="337C064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46.3</w:t>
            </w:r>
          </w:p>
        </w:tc>
        <w:tc>
          <w:tcPr>
            <w:tcW w:w="774" w:type="dxa"/>
            <w:noWrap w:val="0"/>
            <w:vAlign w:val="center"/>
          </w:tcPr>
          <w:p w14:paraId="0FD745E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46.2</w:t>
            </w:r>
          </w:p>
        </w:tc>
        <w:tc>
          <w:tcPr>
            <w:tcW w:w="774" w:type="dxa"/>
            <w:noWrap w:val="0"/>
            <w:vAlign w:val="center"/>
          </w:tcPr>
          <w:p w14:paraId="1479439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eastAsia" w:ascii="Times New Roman" w:hAnsi="Times New Roman" w:cs="Times New Roman"/>
                <w:color w:val="auto"/>
                <w:kern w:val="0"/>
                <w:sz w:val="21"/>
                <w:szCs w:val="21"/>
              </w:rPr>
              <w:t>0</w:t>
            </w:r>
          </w:p>
        </w:tc>
        <w:tc>
          <w:tcPr>
            <w:tcW w:w="774" w:type="dxa"/>
            <w:noWrap w:val="0"/>
            <w:vAlign w:val="center"/>
          </w:tcPr>
          <w:p w14:paraId="4A9D786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eastAsia" w:ascii="Times New Roman" w:hAnsi="Times New Roman" w:cs="Times New Roman"/>
                <w:color w:val="auto"/>
                <w:kern w:val="0"/>
                <w:sz w:val="21"/>
                <w:szCs w:val="21"/>
              </w:rPr>
              <w:t>0</w:t>
            </w:r>
          </w:p>
        </w:tc>
        <w:tc>
          <w:tcPr>
            <w:tcW w:w="774" w:type="dxa"/>
            <w:noWrap w:val="0"/>
            <w:vAlign w:val="center"/>
          </w:tcPr>
          <w:p w14:paraId="42B8DA6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eastAsia" w:ascii="Times New Roman" w:hAnsi="Times New Roman" w:cs="Times New Roman"/>
                <w:color w:val="auto"/>
                <w:kern w:val="0"/>
                <w:sz w:val="21"/>
                <w:szCs w:val="21"/>
              </w:rPr>
              <w:t>24</w:t>
            </w:r>
          </w:p>
        </w:tc>
      </w:tr>
    </w:tbl>
    <w:p w14:paraId="5FBA6892">
      <w:pPr>
        <w:pStyle w:val="5"/>
        <w:numPr>
          <w:ilvl w:val="3"/>
          <w:numId w:val="0"/>
        </w:numPr>
        <w:rPr>
          <w:color w:val="auto"/>
        </w:rPr>
      </w:pPr>
      <w:r>
        <w:rPr>
          <w:rFonts w:hint="eastAsia"/>
          <w:color w:val="auto"/>
        </w:rPr>
        <w:t>4.2.2.2</w:t>
      </w:r>
      <w:r>
        <w:rPr>
          <w:color w:val="auto"/>
        </w:rPr>
        <w:t>声环境质量评价</w:t>
      </w:r>
    </w:p>
    <w:p w14:paraId="31C00243">
      <w:pPr>
        <w:spacing w:line="360" w:lineRule="auto"/>
        <w:ind w:left="480"/>
        <w:rPr>
          <w:color w:val="auto"/>
          <w:sz w:val="24"/>
        </w:rPr>
      </w:pPr>
      <w:r>
        <w:rPr>
          <w:color w:val="auto"/>
          <w:sz w:val="24"/>
        </w:rPr>
        <w:t>（1）评价标准</w:t>
      </w:r>
    </w:p>
    <w:p w14:paraId="05B7A863">
      <w:pPr>
        <w:spacing w:line="360" w:lineRule="auto"/>
        <w:ind w:firstLine="480" w:firstLineChars="200"/>
        <w:rPr>
          <w:color w:val="auto"/>
          <w:sz w:val="24"/>
        </w:rPr>
      </w:pPr>
      <w:r>
        <w:rPr>
          <w:color w:val="auto"/>
          <w:sz w:val="24"/>
        </w:rPr>
        <w:t>项目所在地声环境执行《声环境质量标准》</w:t>
      </w:r>
      <w:r>
        <w:rPr>
          <w:rFonts w:hint="eastAsia"/>
          <w:color w:val="auto"/>
          <w:sz w:val="24"/>
          <w:lang w:eastAsia="zh-CN"/>
        </w:rPr>
        <w:t>（</w:t>
      </w:r>
      <w:r>
        <w:rPr>
          <w:color w:val="auto"/>
          <w:sz w:val="24"/>
        </w:rPr>
        <w:t>GB3096-2008)中2类标准；其中内河航道边界线35m范围内执行《声环境质量标准》</w:t>
      </w:r>
      <w:r>
        <w:rPr>
          <w:rFonts w:hint="eastAsia"/>
          <w:color w:val="auto"/>
          <w:sz w:val="24"/>
          <w:lang w:eastAsia="zh-CN"/>
        </w:rPr>
        <w:t>（</w:t>
      </w:r>
      <w:r>
        <w:rPr>
          <w:color w:val="auto"/>
          <w:sz w:val="24"/>
        </w:rPr>
        <w:t>GB3096-2008)中4a类标准，具体标准值详见表</w:t>
      </w:r>
      <w:r>
        <w:rPr>
          <w:rFonts w:eastAsia="黑体"/>
          <w:color w:val="auto"/>
          <w:sz w:val="24"/>
        </w:rPr>
        <w:t>4.2-9</w:t>
      </w:r>
      <w:r>
        <w:rPr>
          <w:color w:val="auto"/>
          <w:sz w:val="24"/>
        </w:rPr>
        <w:t>。</w:t>
      </w:r>
    </w:p>
    <w:p w14:paraId="7A994C9C">
      <w:pPr>
        <w:spacing w:line="400" w:lineRule="exact"/>
        <w:jc w:val="center"/>
        <w:rPr>
          <w:rFonts w:eastAsia="黑体"/>
          <w:color w:val="auto"/>
          <w:sz w:val="24"/>
        </w:rPr>
      </w:pPr>
      <w:r>
        <w:rPr>
          <w:rFonts w:eastAsia="黑体"/>
          <w:color w:val="auto"/>
          <w:sz w:val="24"/>
        </w:rPr>
        <w:t>表4.2-</w:t>
      </w:r>
      <w:r>
        <w:rPr>
          <w:rFonts w:hint="eastAsia" w:eastAsia="黑体"/>
          <w:color w:val="auto"/>
          <w:sz w:val="24"/>
          <w:lang w:val="en-US" w:eastAsia="zh-CN"/>
        </w:rPr>
        <w:t>9</w:t>
      </w:r>
      <w:r>
        <w:rPr>
          <w:rFonts w:eastAsia="黑体"/>
          <w:color w:val="auto"/>
          <w:sz w:val="24"/>
        </w:rPr>
        <w:t xml:space="preserve">  声环境质量标准   单位：dB(A)</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42"/>
        <w:gridCol w:w="2377"/>
        <w:gridCol w:w="2268"/>
      </w:tblGrid>
      <w:tr w14:paraId="560421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42" w:type="dxa"/>
            <w:noWrap w:val="0"/>
            <w:vAlign w:val="center"/>
          </w:tcPr>
          <w:p w14:paraId="1CB16D69">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声环境功能区类别</w:t>
            </w:r>
          </w:p>
        </w:tc>
        <w:tc>
          <w:tcPr>
            <w:tcW w:w="2377" w:type="dxa"/>
            <w:noWrap w:val="0"/>
            <w:vAlign w:val="center"/>
          </w:tcPr>
          <w:p w14:paraId="204B2BC6">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昼间</w:t>
            </w:r>
          </w:p>
        </w:tc>
        <w:tc>
          <w:tcPr>
            <w:tcW w:w="2268" w:type="dxa"/>
            <w:noWrap w:val="0"/>
            <w:vAlign w:val="center"/>
          </w:tcPr>
          <w:p w14:paraId="3809B391">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夜间</w:t>
            </w:r>
          </w:p>
        </w:tc>
      </w:tr>
      <w:tr w14:paraId="350F53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42" w:type="dxa"/>
            <w:noWrap w:val="0"/>
            <w:vAlign w:val="center"/>
          </w:tcPr>
          <w:p w14:paraId="1ED83B3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2类</w:t>
            </w:r>
          </w:p>
        </w:tc>
        <w:tc>
          <w:tcPr>
            <w:tcW w:w="2377" w:type="dxa"/>
            <w:noWrap w:val="0"/>
            <w:vAlign w:val="center"/>
          </w:tcPr>
          <w:p w14:paraId="2450BAD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60</w:t>
            </w:r>
          </w:p>
        </w:tc>
        <w:tc>
          <w:tcPr>
            <w:tcW w:w="2268" w:type="dxa"/>
            <w:noWrap w:val="0"/>
            <w:vAlign w:val="center"/>
          </w:tcPr>
          <w:p w14:paraId="5430306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50</w:t>
            </w:r>
          </w:p>
        </w:tc>
      </w:tr>
      <w:tr w14:paraId="7F2FCE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42" w:type="dxa"/>
            <w:noWrap w:val="0"/>
            <w:vAlign w:val="center"/>
          </w:tcPr>
          <w:p w14:paraId="1BFEB9F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4a类</w:t>
            </w:r>
          </w:p>
        </w:tc>
        <w:tc>
          <w:tcPr>
            <w:tcW w:w="2377" w:type="dxa"/>
            <w:noWrap w:val="0"/>
            <w:vAlign w:val="center"/>
          </w:tcPr>
          <w:p w14:paraId="3C7C2AE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70</w:t>
            </w:r>
          </w:p>
        </w:tc>
        <w:tc>
          <w:tcPr>
            <w:tcW w:w="2268" w:type="dxa"/>
            <w:noWrap w:val="0"/>
            <w:vAlign w:val="center"/>
          </w:tcPr>
          <w:p w14:paraId="0C105C9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55</w:t>
            </w:r>
          </w:p>
        </w:tc>
      </w:tr>
    </w:tbl>
    <w:p w14:paraId="20707FAC">
      <w:pPr>
        <w:spacing w:line="360" w:lineRule="auto"/>
        <w:ind w:firstLine="480" w:firstLineChars="200"/>
        <w:rPr>
          <w:color w:val="auto"/>
          <w:sz w:val="24"/>
        </w:rPr>
      </w:pPr>
      <w:r>
        <w:rPr>
          <w:color w:val="auto"/>
          <w:sz w:val="24"/>
        </w:rPr>
        <w:t>（2）评价结果</w:t>
      </w:r>
    </w:p>
    <w:p w14:paraId="41F33B05">
      <w:pPr>
        <w:spacing w:line="360" w:lineRule="auto"/>
        <w:ind w:firstLine="480" w:firstLineChars="200"/>
        <w:rPr>
          <w:rFonts w:hint="eastAsia" w:eastAsia="宋体"/>
          <w:color w:val="auto"/>
          <w:sz w:val="24"/>
          <w:lang w:val="en-US" w:eastAsia="zh-CN"/>
        </w:rPr>
      </w:pPr>
      <w:r>
        <w:rPr>
          <w:color w:val="auto"/>
          <w:sz w:val="24"/>
        </w:rPr>
        <w:t>从监测结果看，码头区</w:t>
      </w:r>
      <w:r>
        <w:rPr>
          <w:rFonts w:hint="eastAsia"/>
          <w:color w:val="auto"/>
          <w:sz w:val="24"/>
          <w:lang w:val="en-US" w:eastAsia="zh-CN"/>
        </w:rPr>
        <w:t>南侧</w:t>
      </w:r>
      <w:r>
        <w:rPr>
          <w:color w:val="auto"/>
          <w:sz w:val="24"/>
        </w:rPr>
        <w:t>边界声环境质量现状符合《声环境质量标准》（</w:t>
      </w:r>
      <w:r>
        <w:rPr>
          <w:rFonts w:hint="eastAsia"/>
          <w:color w:val="auto"/>
          <w:sz w:val="24"/>
        </w:rPr>
        <w:t>G</w:t>
      </w:r>
      <w:r>
        <w:rPr>
          <w:color w:val="auto"/>
          <w:sz w:val="24"/>
        </w:rPr>
        <w:t>B3096-2008）中</w:t>
      </w:r>
      <w:r>
        <w:rPr>
          <w:rFonts w:hint="eastAsia"/>
          <w:color w:val="auto"/>
          <w:sz w:val="24"/>
        </w:rPr>
        <w:t>4a类标准要求，</w:t>
      </w:r>
      <w:r>
        <w:rPr>
          <w:rFonts w:hint="eastAsia"/>
          <w:color w:val="auto"/>
          <w:sz w:val="24"/>
          <w:lang w:val="en-US" w:eastAsia="zh-CN"/>
        </w:rPr>
        <w:t>东侧、西侧、北侧场界</w:t>
      </w:r>
      <w:r>
        <w:rPr>
          <w:rFonts w:hint="eastAsia"/>
          <w:color w:val="auto"/>
          <w:sz w:val="24"/>
        </w:rPr>
        <w:t>能够</w:t>
      </w:r>
      <w:r>
        <w:rPr>
          <w:rFonts w:hint="eastAsia"/>
          <w:color w:val="auto"/>
          <w:sz w:val="24"/>
          <w:lang w:val="en-US" w:eastAsia="zh-CN"/>
        </w:rPr>
        <w:t>满足</w:t>
      </w:r>
      <w:r>
        <w:rPr>
          <w:color w:val="auto"/>
          <w:sz w:val="24"/>
        </w:rPr>
        <w:t>《声环境质量标准》（</w:t>
      </w:r>
      <w:r>
        <w:rPr>
          <w:rFonts w:hint="eastAsia"/>
          <w:color w:val="auto"/>
          <w:sz w:val="24"/>
        </w:rPr>
        <w:t>G</w:t>
      </w:r>
      <w:r>
        <w:rPr>
          <w:color w:val="auto"/>
          <w:sz w:val="24"/>
        </w:rPr>
        <w:t>B3096-2008）中</w:t>
      </w:r>
      <w:r>
        <w:rPr>
          <w:rFonts w:hint="eastAsia"/>
          <w:color w:val="auto"/>
          <w:sz w:val="24"/>
        </w:rPr>
        <w:t>2类标准要求</w:t>
      </w:r>
      <w:r>
        <w:rPr>
          <w:rFonts w:hint="eastAsia"/>
          <w:color w:val="auto"/>
          <w:sz w:val="24"/>
          <w:lang w:eastAsia="zh-CN"/>
        </w:rPr>
        <w:t>；</w:t>
      </w:r>
      <w:r>
        <w:rPr>
          <w:rFonts w:hint="eastAsia"/>
          <w:color w:val="auto"/>
          <w:sz w:val="24"/>
          <w:lang w:val="en-US" w:eastAsia="zh-CN"/>
        </w:rPr>
        <w:t>周边敏感点（</w:t>
      </w:r>
      <w:r>
        <w:rPr>
          <w:rFonts w:hint="eastAsia"/>
          <w:color w:val="auto"/>
          <w:sz w:val="24"/>
        </w:rPr>
        <w:t>小孙家岗</w:t>
      </w:r>
      <w:r>
        <w:rPr>
          <w:rFonts w:hint="eastAsia"/>
          <w:color w:val="auto"/>
          <w:sz w:val="24"/>
          <w:lang w:eastAsia="zh-CN"/>
        </w:rPr>
        <w:t>、</w:t>
      </w:r>
      <w:r>
        <w:rPr>
          <w:rFonts w:hint="eastAsia"/>
          <w:color w:val="auto"/>
          <w:sz w:val="24"/>
        </w:rPr>
        <w:t>陶郢孜</w:t>
      </w:r>
      <w:r>
        <w:rPr>
          <w:rFonts w:hint="eastAsia"/>
          <w:color w:val="auto"/>
          <w:sz w:val="24"/>
          <w:lang w:val="en-US" w:eastAsia="zh-CN"/>
        </w:rPr>
        <w:t>）</w:t>
      </w:r>
      <w:r>
        <w:rPr>
          <w:rFonts w:hint="eastAsia"/>
          <w:color w:val="auto"/>
          <w:sz w:val="24"/>
        </w:rPr>
        <w:t>能够</w:t>
      </w:r>
      <w:r>
        <w:rPr>
          <w:rFonts w:hint="eastAsia"/>
          <w:color w:val="auto"/>
          <w:sz w:val="24"/>
          <w:lang w:val="en-US" w:eastAsia="zh-CN"/>
        </w:rPr>
        <w:t>满足</w:t>
      </w:r>
      <w:r>
        <w:rPr>
          <w:color w:val="auto"/>
          <w:sz w:val="24"/>
        </w:rPr>
        <w:t>《声环境质量标准》（</w:t>
      </w:r>
      <w:r>
        <w:rPr>
          <w:rFonts w:hint="eastAsia"/>
          <w:color w:val="auto"/>
          <w:sz w:val="24"/>
        </w:rPr>
        <w:t>G</w:t>
      </w:r>
      <w:r>
        <w:rPr>
          <w:color w:val="auto"/>
          <w:sz w:val="24"/>
        </w:rPr>
        <w:t>B3096-2008）中</w:t>
      </w:r>
      <w:r>
        <w:rPr>
          <w:rFonts w:hint="eastAsia"/>
          <w:color w:val="auto"/>
          <w:sz w:val="24"/>
        </w:rPr>
        <w:t>2类标准要求</w:t>
      </w:r>
      <w:r>
        <w:rPr>
          <w:rFonts w:hint="eastAsia"/>
          <w:color w:val="auto"/>
          <w:sz w:val="24"/>
          <w:lang w:eastAsia="zh-CN"/>
        </w:rPr>
        <w:t>。</w:t>
      </w:r>
    </w:p>
    <w:p w14:paraId="6B83A35E">
      <w:pPr>
        <w:pStyle w:val="4"/>
        <w:numPr>
          <w:ilvl w:val="2"/>
          <w:numId w:val="0"/>
        </w:numPr>
        <w:rPr>
          <w:color w:val="auto"/>
        </w:rPr>
      </w:pPr>
      <w:r>
        <w:rPr>
          <w:rFonts w:hint="eastAsia"/>
          <w:color w:val="auto"/>
        </w:rPr>
        <w:t>4.2.3</w:t>
      </w:r>
      <w:r>
        <w:rPr>
          <w:color w:val="auto"/>
        </w:rPr>
        <w:t>地表水环境质量现状监测与评价</w:t>
      </w:r>
    </w:p>
    <w:p w14:paraId="09B74E91">
      <w:pPr>
        <w:pStyle w:val="5"/>
        <w:numPr>
          <w:ilvl w:val="3"/>
          <w:numId w:val="0"/>
        </w:numPr>
        <w:rPr>
          <w:color w:val="auto"/>
        </w:rPr>
      </w:pPr>
      <w:r>
        <w:rPr>
          <w:rFonts w:hint="eastAsia"/>
          <w:color w:val="auto"/>
        </w:rPr>
        <w:t>4.2.3.1</w:t>
      </w:r>
      <w:r>
        <w:rPr>
          <w:color w:val="auto"/>
        </w:rPr>
        <w:t>监测断面的布设</w:t>
      </w:r>
    </w:p>
    <w:p w14:paraId="46C1387B">
      <w:pPr>
        <w:spacing w:line="360" w:lineRule="auto"/>
        <w:ind w:firstLine="480" w:firstLineChars="200"/>
        <w:rPr>
          <w:rFonts w:hint="eastAsia"/>
          <w:color w:val="auto"/>
          <w:sz w:val="24"/>
          <w:lang w:val="en-US" w:eastAsia="zh-CN"/>
        </w:rPr>
      </w:pPr>
      <w:r>
        <w:rPr>
          <w:rFonts w:hint="eastAsia"/>
          <w:color w:val="auto"/>
          <w:sz w:val="24"/>
          <w:lang w:val="en-US" w:eastAsia="zh-CN"/>
        </w:rPr>
        <w:t>根据《淮南市2020年环境质量状况公报》，市辖淮河干流及其支流 16 个监测断面中 I~I类水质比例 81.2%，无劣V类水质，总体水质良好，与 2019 年相比水质比例增加 5.2个百分点</w:t>
      </w:r>
    </w:p>
    <w:p w14:paraId="232A0459">
      <w:pPr>
        <w:spacing w:line="360" w:lineRule="auto"/>
        <w:ind w:firstLine="480" w:firstLineChars="200"/>
        <w:rPr>
          <w:rFonts w:hint="eastAsia"/>
          <w:color w:val="auto"/>
          <w:sz w:val="24"/>
          <w:lang w:val="en-US" w:eastAsia="zh-CN"/>
        </w:rPr>
      </w:pPr>
      <w:r>
        <w:rPr>
          <w:rFonts w:hint="eastAsia"/>
          <w:color w:val="auto"/>
          <w:sz w:val="24"/>
          <w:lang w:val="en-US" w:eastAsia="zh-CN"/>
        </w:rPr>
        <w:t>根据《淮南市2021年环境质量状况公报》，市辖淮河干流及其支流22个监测断面中Ⅰ-Ⅲ类水质比例为 86.4%，无劣Ⅴ类水质，总体水质良好。与2020年相比水质比例增加5.2个百分点，水质状况保持良好。出境断面新城口和入境断面鲁台孜水质评价指标年平均浓度值均符合《地表水环境质量标准》（GB3838-2002）Ⅱ类标准。</w:t>
      </w:r>
    </w:p>
    <w:p w14:paraId="49FF220D">
      <w:pPr>
        <w:spacing w:line="360" w:lineRule="auto"/>
        <w:ind w:firstLine="480" w:firstLineChars="200"/>
        <w:rPr>
          <w:rFonts w:hint="eastAsia"/>
          <w:color w:val="auto"/>
          <w:sz w:val="24"/>
          <w:lang w:eastAsia="zh-CN"/>
        </w:rPr>
      </w:pPr>
      <w:r>
        <w:rPr>
          <w:rFonts w:hint="eastAsia"/>
          <w:color w:val="auto"/>
          <w:sz w:val="24"/>
          <w:lang w:val="en-US" w:eastAsia="zh-CN"/>
        </w:rPr>
        <w:t>根据《淮南市2022年环境质量状况公报》，</w:t>
      </w:r>
      <w:r>
        <w:rPr>
          <w:rFonts w:hint="eastAsia"/>
          <w:color w:val="auto"/>
          <w:sz w:val="24"/>
        </w:rPr>
        <w:t>淮河干流淮南段</w:t>
      </w:r>
      <w:r>
        <w:rPr>
          <w:rFonts w:hint="default"/>
          <w:color w:val="auto"/>
          <w:sz w:val="24"/>
        </w:rPr>
        <w:t>6个断面，Ⅰ~Ⅲ类水质比例为100%，总体水质状况为优。鲁台孜和石头埠断面水质年均值均符合《地表水环境质量标准》（GB3838-2002）Ⅱ类水质标准，水质优；新城口、袁庄水厂、凤台水厂和东部城区水源地断面水质年均值均符合《地表水环境质量标准》（GB3838-2002）Ⅲ类水质标准</w:t>
      </w:r>
      <w:r>
        <w:rPr>
          <w:rFonts w:hint="eastAsia"/>
          <w:color w:val="auto"/>
          <w:sz w:val="24"/>
          <w:lang w:eastAsia="zh-CN"/>
        </w:rPr>
        <w:t>。</w:t>
      </w:r>
    </w:p>
    <w:p w14:paraId="12E4A49C">
      <w:pPr>
        <w:spacing w:line="360" w:lineRule="auto"/>
        <w:ind w:firstLine="480" w:firstLineChars="200"/>
        <w:rPr>
          <w:color w:val="auto"/>
          <w:sz w:val="24"/>
        </w:rPr>
      </w:pPr>
      <w:r>
        <w:rPr>
          <w:rFonts w:hint="eastAsia"/>
          <w:color w:val="auto"/>
          <w:sz w:val="24"/>
          <w:lang w:val="en-US" w:eastAsia="zh-CN"/>
        </w:rPr>
        <w:t>本项目</w:t>
      </w:r>
      <w:r>
        <w:rPr>
          <w:color w:val="auto"/>
          <w:sz w:val="24"/>
        </w:rPr>
        <w:t>评价区内的河流主要为淮河，按环境功能区划执行《地表水环境质量标准》</w:t>
      </w:r>
      <w:r>
        <w:rPr>
          <w:rFonts w:hint="eastAsia"/>
          <w:color w:val="auto"/>
          <w:sz w:val="24"/>
          <w:lang w:eastAsia="zh-CN"/>
        </w:rPr>
        <w:t>（</w:t>
      </w:r>
      <w:r>
        <w:rPr>
          <w:color w:val="auto"/>
          <w:sz w:val="24"/>
        </w:rPr>
        <w:t>GB3838-2002)中的</w:t>
      </w:r>
      <w:r>
        <w:rPr>
          <w:color w:val="auto"/>
          <w:sz w:val="24"/>
        </w:rPr>
        <w:fldChar w:fldCharType="begin"/>
      </w:r>
      <w:r>
        <w:rPr>
          <w:color w:val="auto"/>
          <w:sz w:val="24"/>
        </w:rPr>
        <w:instrText xml:space="preserve"> = 3 \* ROMAN </w:instrText>
      </w:r>
      <w:r>
        <w:rPr>
          <w:color w:val="auto"/>
          <w:sz w:val="24"/>
        </w:rPr>
        <w:fldChar w:fldCharType="separate"/>
      </w:r>
      <w:r>
        <w:rPr>
          <w:color w:val="auto"/>
          <w:sz w:val="24"/>
        </w:rPr>
        <w:t>III</w:t>
      </w:r>
      <w:r>
        <w:rPr>
          <w:color w:val="auto"/>
          <w:sz w:val="24"/>
        </w:rPr>
        <w:fldChar w:fldCharType="end"/>
      </w:r>
      <w:r>
        <w:rPr>
          <w:color w:val="auto"/>
          <w:sz w:val="24"/>
        </w:rPr>
        <w:t>类标准。监测断面布设情况见表4.2-</w:t>
      </w:r>
      <w:r>
        <w:rPr>
          <w:rFonts w:hint="eastAsia"/>
          <w:color w:val="auto"/>
          <w:sz w:val="24"/>
          <w:lang w:val="en-US" w:eastAsia="zh-CN"/>
        </w:rPr>
        <w:t>10</w:t>
      </w:r>
      <w:r>
        <w:rPr>
          <w:color w:val="auto"/>
          <w:sz w:val="24"/>
        </w:rPr>
        <w:t>及图4.2-2。</w:t>
      </w:r>
    </w:p>
    <w:p w14:paraId="63D65C18">
      <w:pPr>
        <w:spacing w:line="400" w:lineRule="exact"/>
        <w:jc w:val="center"/>
        <w:rPr>
          <w:rFonts w:eastAsia="黑体"/>
          <w:color w:val="auto"/>
          <w:sz w:val="24"/>
        </w:rPr>
      </w:pPr>
      <w:r>
        <w:rPr>
          <w:rFonts w:eastAsia="黑体"/>
          <w:color w:val="auto"/>
          <w:sz w:val="24"/>
        </w:rPr>
        <w:t>表4.2-</w:t>
      </w:r>
      <w:r>
        <w:rPr>
          <w:rFonts w:hint="eastAsia" w:eastAsia="黑体"/>
          <w:color w:val="auto"/>
          <w:sz w:val="24"/>
          <w:lang w:val="en-US" w:eastAsia="zh-CN"/>
        </w:rPr>
        <w:t>10</w:t>
      </w:r>
      <w:r>
        <w:rPr>
          <w:rFonts w:eastAsia="黑体"/>
          <w:color w:val="auto"/>
          <w:sz w:val="24"/>
        </w:rPr>
        <w:t xml:space="preserve">  地表水监测断面设置一览表</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7"/>
        <w:gridCol w:w="4657"/>
        <w:gridCol w:w="1603"/>
        <w:gridCol w:w="2000"/>
      </w:tblGrid>
      <w:tr w14:paraId="5C08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1027" w:type="dxa"/>
            <w:tcBorders>
              <w:top w:val="single" w:color="auto" w:sz="12" w:space="0"/>
              <w:left w:val="nil"/>
            </w:tcBorders>
            <w:noWrap w:val="0"/>
            <w:vAlign w:val="center"/>
          </w:tcPr>
          <w:p w14:paraId="3AE9366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编号</w:t>
            </w:r>
          </w:p>
        </w:tc>
        <w:tc>
          <w:tcPr>
            <w:tcW w:w="4657" w:type="dxa"/>
            <w:tcBorders>
              <w:top w:val="single" w:color="auto" w:sz="12" w:space="0"/>
            </w:tcBorders>
            <w:noWrap w:val="0"/>
            <w:vAlign w:val="center"/>
          </w:tcPr>
          <w:p w14:paraId="4D229909">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断面位置</w:t>
            </w:r>
          </w:p>
        </w:tc>
        <w:tc>
          <w:tcPr>
            <w:tcW w:w="1603" w:type="dxa"/>
            <w:tcBorders>
              <w:top w:val="single" w:color="auto" w:sz="12" w:space="0"/>
            </w:tcBorders>
            <w:noWrap w:val="0"/>
            <w:vAlign w:val="center"/>
          </w:tcPr>
          <w:p w14:paraId="2D178EEF">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河流名称</w:t>
            </w:r>
          </w:p>
        </w:tc>
        <w:tc>
          <w:tcPr>
            <w:tcW w:w="2000" w:type="dxa"/>
            <w:tcBorders>
              <w:top w:val="single" w:color="auto" w:sz="12" w:space="0"/>
              <w:right w:val="nil"/>
            </w:tcBorders>
            <w:noWrap w:val="0"/>
            <w:vAlign w:val="center"/>
          </w:tcPr>
          <w:p w14:paraId="3C4F577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备注</w:t>
            </w:r>
          </w:p>
        </w:tc>
      </w:tr>
      <w:tr w14:paraId="368F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1027" w:type="dxa"/>
            <w:tcBorders>
              <w:left w:val="nil"/>
            </w:tcBorders>
            <w:noWrap w:val="0"/>
            <w:vAlign w:val="center"/>
          </w:tcPr>
          <w:p w14:paraId="04CB076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W1</w:t>
            </w:r>
          </w:p>
        </w:tc>
        <w:tc>
          <w:tcPr>
            <w:tcW w:w="4657" w:type="dxa"/>
            <w:noWrap w:val="0"/>
            <w:vAlign w:val="center"/>
          </w:tcPr>
          <w:p w14:paraId="6BA66DE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淮河-项目区</w:t>
            </w:r>
            <w:r>
              <w:rPr>
                <w:rFonts w:hint="default" w:ascii="Times New Roman" w:hAnsi="Times New Roman" w:cs="Times New Roman"/>
                <w:color w:val="auto"/>
              </w:rPr>
              <w:t>上游500m</w:t>
            </w:r>
          </w:p>
        </w:tc>
        <w:tc>
          <w:tcPr>
            <w:tcW w:w="1603" w:type="dxa"/>
            <w:vMerge w:val="restart"/>
            <w:noWrap w:val="0"/>
            <w:vAlign w:val="center"/>
          </w:tcPr>
          <w:p w14:paraId="61FCAA6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淮河</w:t>
            </w:r>
          </w:p>
        </w:tc>
        <w:tc>
          <w:tcPr>
            <w:tcW w:w="2000" w:type="dxa"/>
            <w:tcBorders>
              <w:right w:val="nil"/>
            </w:tcBorders>
            <w:noWrap w:val="0"/>
            <w:vAlign w:val="center"/>
          </w:tcPr>
          <w:p w14:paraId="4964CCD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背景断面</w:t>
            </w:r>
          </w:p>
        </w:tc>
      </w:tr>
      <w:tr w14:paraId="132B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1027" w:type="dxa"/>
            <w:tcBorders>
              <w:left w:val="nil"/>
            </w:tcBorders>
            <w:noWrap w:val="0"/>
            <w:vAlign w:val="center"/>
          </w:tcPr>
          <w:p w14:paraId="7BF0F78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W2</w:t>
            </w:r>
          </w:p>
        </w:tc>
        <w:tc>
          <w:tcPr>
            <w:tcW w:w="4657" w:type="dxa"/>
            <w:noWrap w:val="0"/>
            <w:vAlign w:val="center"/>
          </w:tcPr>
          <w:p w14:paraId="3DDD5BA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淮河-项目区</w:t>
            </w:r>
          </w:p>
        </w:tc>
        <w:tc>
          <w:tcPr>
            <w:tcW w:w="1603" w:type="dxa"/>
            <w:vMerge w:val="continue"/>
            <w:noWrap w:val="0"/>
            <w:vAlign w:val="center"/>
          </w:tcPr>
          <w:p w14:paraId="621A415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2000" w:type="dxa"/>
            <w:tcBorders>
              <w:right w:val="nil"/>
            </w:tcBorders>
            <w:noWrap w:val="0"/>
            <w:vAlign w:val="center"/>
          </w:tcPr>
          <w:p w14:paraId="5B3F14D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对照断面</w:t>
            </w:r>
          </w:p>
        </w:tc>
      </w:tr>
      <w:tr w14:paraId="4B5B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1027" w:type="dxa"/>
            <w:tcBorders>
              <w:left w:val="nil"/>
            </w:tcBorders>
            <w:noWrap w:val="0"/>
            <w:vAlign w:val="center"/>
          </w:tcPr>
          <w:p w14:paraId="04C2F58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W3</w:t>
            </w:r>
          </w:p>
        </w:tc>
        <w:tc>
          <w:tcPr>
            <w:tcW w:w="4657" w:type="dxa"/>
            <w:noWrap w:val="0"/>
            <w:vAlign w:val="center"/>
          </w:tcPr>
          <w:p w14:paraId="5464701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淮河-项目区</w:t>
            </w:r>
            <w:r>
              <w:rPr>
                <w:rFonts w:hint="default" w:ascii="Times New Roman" w:hAnsi="Times New Roman" w:cs="Times New Roman"/>
                <w:color w:val="auto"/>
              </w:rPr>
              <w:t>下游1000m</w:t>
            </w:r>
          </w:p>
        </w:tc>
        <w:tc>
          <w:tcPr>
            <w:tcW w:w="1603" w:type="dxa"/>
            <w:vMerge w:val="continue"/>
            <w:noWrap w:val="0"/>
            <w:vAlign w:val="center"/>
          </w:tcPr>
          <w:p w14:paraId="0EB3DC6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2000" w:type="dxa"/>
            <w:tcBorders>
              <w:right w:val="nil"/>
            </w:tcBorders>
            <w:noWrap w:val="0"/>
            <w:vAlign w:val="center"/>
          </w:tcPr>
          <w:p w14:paraId="0A66215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消减断面</w:t>
            </w:r>
          </w:p>
        </w:tc>
      </w:tr>
      <w:tr w14:paraId="3F5F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1027" w:type="dxa"/>
            <w:tcBorders>
              <w:left w:val="nil"/>
              <w:bottom w:val="single" w:color="auto" w:sz="12" w:space="0"/>
            </w:tcBorders>
            <w:noWrap w:val="0"/>
            <w:vAlign w:val="center"/>
          </w:tcPr>
          <w:p w14:paraId="77A11C4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W4</w:t>
            </w:r>
          </w:p>
        </w:tc>
        <w:tc>
          <w:tcPr>
            <w:tcW w:w="4657" w:type="dxa"/>
            <w:tcBorders>
              <w:bottom w:val="single" w:color="auto" w:sz="12" w:space="0"/>
            </w:tcBorders>
            <w:noWrap w:val="0"/>
            <w:vAlign w:val="center"/>
          </w:tcPr>
          <w:p w14:paraId="35AE790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淮河-项目区</w:t>
            </w:r>
            <w:r>
              <w:rPr>
                <w:rFonts w:hint="default" w:ascii="Times New Roman" w:hAnsi="Times New Roman" w:cs="Times New Roman"/>
                <w:color w:val="auto"/>
              </w:rPr>
              <w:t>下游2000m</w:t>
            </w:r>
          </w:p>
        </w:tc>
        <w:tc>
          <w:tcPr>
            <w:tcW w:w="1603" w:type="dxa"/>
            <w:vMerge w:val="continue"/>
            <w:tcBorders>
              <w:bottom w:val="single" w:color="auto" w:sz="12" w:space="0"/>
            </w:tcBorders>
            <w:noWrap w:val="0"/>
            <w:vAlign w:val="center"/>
          </w:tcPr>
          <w:p w14:paraId="118A1A9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2000" w:type="dxa"/>
            <w:tcBorders>
              <w:bottom w:val="single" w:color="auto" w:sz="12" w:space="0"/>
              <w:right w:val="nil"/>
            </w:tcBorders>
            <w:noWrap w:val="0"/>
            <w:vAlign w:val="center"/>
          </w:tcPr>
          <w:p w14:paraId="678473B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消减断面</w:t>
            </w:r>
          </w:p>
        </w:tc>
      </w:tr>
    </w:tbl>
    <w:p w14:paraId="0F99845C">
      <w:pPr>
        <w:spacing w:line="360" w:lineRule="auto"/>
        <w:jc w:val="center"/>
        <w:rPr>
          <w:rFonts w:eastAsia="黑体"/>
          <w:color w:val="auto"/>
          <w:sz w:val="24"/>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7A444A5A">
      <w:pPr>
        <w:spacing w:line="360" w:lineRule="auto"/>
        <w:jc w:val="center"/>
        <w:rPr>
          <w:color w:val="auto"/>
          <w:sz w:val="24"/>
        </w:rPr>
      </w:pPr>
      <w:r>
        <w:rPr>
          <w:color w:val="auto"/>
          <w:sz w:val="21"/>
        </w:rPr>
        <mc:AlternateContent>
          <mc:Choice Requires="wps">
            <w:drawing>
              <wp:anchor distT="0" distB="0" distL="114300" distR="114300" simplePos="0" relativeHeight="251736064" behindDoc="0" locked="0" layoutInCell="1" allowOverlap="1">
                <wp:simplePos x="0" y="0"/>
                <wp:positionH relativeFrom="column">
                  <wp:posOffset>4161790</wp:posOffset>
                </wp:positionH>
                <wp:positionV relativeFrom="paragraph">
                  <wp:posOffset>3577590</wp:posOffset>
                </wp:positionV>
                <wp:extent cx="546100" cy="528955"/>
                <wp:effectExtent l="3175" t="0" r="3175" b="4445"/>
                <wp:wrapNone/>
                <wp:docPr id="128" name="直线 266"/>
                <wp:cNvGraphicFramePr/>
                <a:graphic xmlns:a="http://schemas.openxmlformats.org/drawingml/2006/main">
                  <a:graphicData uri="http://schemas.microsoft.com/office/word/2010/wordprocessingShape">
                    <wps:wsp>
                      <wps:cNvCnPr/>
                      <wps:spPr>
                        <a:xfrm flipV="1">
                          <a:off x="0" y="0"/>
                          <a:ext cx="546100" cy="528955"/>
                        </a:xfrm>
                        <a:prstGeom prst="line">
                          <a:avLst/>
                        </a:prstGeom>
                        <a:ln w="9525" cap="flat" cmpd="sng">
                          <a:solidFill>
                            <a:srgbClr val="F71BD5"/>
                          </a:solidFill>
                          <a:prstDash val="solid"/>
                          <a:headEnd type="none" w="med" len="med"/>
                          <a:tailEnd type="arrow" w="med" len="med"/>
                        </a:ln>
                      </wps:spPr>
                      <wps:bodyPr upright="1"/>
                    </wps:wsp>
                  </a:graphicData>
                </a:graphic>
              </wp:anchor>
            </w:drawing>
          </mc:Choice>
          <mc:Fallback>
            <w:pict>
              <v:line id="直线 266" o:spid="_x0000_s1026" o:spt="20" style="position:absolute;left:0pt;flip:y;margin-left:327.7pt;margin-top:281.7pt;height:41.65pt;width:43pt;z-index:251736064;mso-width-relative:page;mso-height-relative:page;" filled="f" stroked="t" coordsize="21600,21600" o:gfxdata="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54nfHbAAAACwEAAA8AAAAAAAAAAQAgAAAAIgAAAGRycy9k&#10;b3ducmV2LnhtbFBLAQIUABQAAAAIAIdO4kCTfoz7/wEAAO4DAAAOAAAAAAAAAAEAIAAAACoBAABk&#10;cnMvZTJvRG9jLnhtbFBLBQYAAAAABgAGAFkBAACbBQAAAAA=&#10;">
                <v:fill on="f" focussize="0,0"/>
                <v:stroke color="#F71BD5" joinstyle="round" endarrow="open"/>
                <v:imagedata o:title=""/>
                <o:lock v:ext="edit" aspectratio="f"/>
              </v:line>
            </w:pict>
          </mc:Fallback>
        </mc:AlternateContent>
      </w:r>
      <w:r>
        <w:rPr>
          <w:color w:val="auto"/>
          <w:sz w:val="21"/>
        </w:rPr>
        <mc:AlternateContent>
          <mc:Choice Requires="wps">
            <w:drawing>
              <wp:anchor distT="0" distB="0" distL="114300" distR="114300" simplePos="0" relativeHeight="251735040" behindDoc="0" locked="0" layoutInCell="1" allowOverlap="1">
                <wp:simplePos x="0" y="0"/>
                <wp:positionH relativeFrom="column">
                  <wp:posOffset>3507105</wp:posOffset>
                </wp:positionH>
                <wp:positionV relativeFrom="paragraph">
                  <wp:posOffset>4430395</wp:posOffset>
                </wp:positionV>
                <wp:extent cx="546100" cy="528955"/>
                <wp:effectExtent l="3175" t="0" r="3175" b="4445"/>
                <wp:wrapNone/>
                <wp:docPr id="127" name="直线 265"/>
                <wp:cNvGraphicFramePr/>
                <a:graphic xmlns:a="http://schemas.openxmlformats.org/drawingml/2006/main">
                  <a:graphicData uri="http://schemas.microsoft.com/office/word/2010/wordprocessingShape">
                    <wps:wsp>
                      <wps:cNvCnPr/>
                      <wps:spPr>
                        <a:xfrm flipV="1">
                          <a:off x="0" y="0"/>
                          <a:ext cx="546100" cy="528955"/>
                        </a:xfrm>
                        <a:prstGeom prst="line">
                          <a:avLst/>
                        </a:prstGeom>
                        <a:ln w="9525" cap="flat" cmpd="sng">
                          <a:solidFill>
                            <a:srgbClr val="F71BD5"/>
                          </a:solidFill>
                          <a:prstDash val="solid"/>
                          <a:headEnd type="none" w="med" len="med"/>
                          <a:tailEnd type="arrow" w="med" len="med"/>
                        </a:ln>
                      </wps:spPr>
                      <wps:bodyPr upright="1"/>
                    </wps:wsp>
                  </a:graphicData>
                </a:graphic>
              </wp:anchor>
            </w:drawing>
          </mc:Choice>
          <mc:Fallback>
            <w:pict>
              <v:line id="直线 265" o:spid="_x0000_s1026" o:spt="20" style="position:absolute;left:0pt;flip:y;margin-left:276.15pt;margin-top:348.85pt;height:41.65pt;width:43pt;z-index:251735040;mso-width-relative:page;mso-height-relative:page;" filled="f" stroked="t" coordsize="21600,21600" o:gfxdata="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cGISPcAAAACwEAAA8AAAAAAAAAAQAgAAAAIgAAAGRycy9k&#10;b3ducmV2LnhtbFBLAQIUABQAAAAIAIdO4kC+rMfD/gEAAO4DAAAOAAAAAAAAAAEAIAAAACsBAABk&#10;cnMvZTJvRG9jLnhtbFBLBQYAAAAABgAGAFkBAACbBQAAAAA=&#10;">
                <v:fill on="f" focussize="0,0"/>
                <v:stroke color="#F71BD5" joinstyle="round" endarrow="open"/>
                <v:imagedata o:title=""/>
                <o:lock v:ext="edit" aspectratio="f"/>
              </v:line>
            </w:pict>
          </mc:Fallback>
        </mc:AlternateContent>
      </w:r>
      <w:r>
        <w:rPr>
          <w:color w:val="auto"/>
          <w:sz w:val="21"/>
        </w:rPr>
        <mc:AlternateContent>
          <mc:Choice Requires="wps">
            <w:drawing>
              <wp:anchor distT="0" distB="0" distL="114300" distR="114300" simplePos="0" relativeHeight="251734016" behindDoc="0" locked="0" layoutInCell="1" allowOverlap="1">
                <wp:simplePos x="0" y="0"/>
                <wp:positionH relativeFrom="column">
                  <wp:posOffset>7731125</wp:posOffset>
                </wp:positionH>
                <wp:positionV relativeFrom="paragraph">
                  <wp:posOffset>1970405</wp:posOffset>
                </wp:positionV>
                <wp:extent cx="927100" cy="272415"/>
                <wp:effectExtent l="1270" t="23495" r="5080" b="8890"/>
                <wp:wrapNone/>
                <wp:docPr id="126" name="直线 264"/>
                <wp:cNvGraphicFramePr/>
                <a:graphic xmlns:a="http://schemas.openxmlformats.org/drawingml/2006/main">
                  <a:graphicData uri="http://schemas.microsoft.com/office/word/2010/wordprocessingShape">
                    <wps:wsp>
                      <wps:cNvCnPr/>
                      <wps:spPr>
                        <a:xfrm flipV="1">
                          <a:off x="0" y="0"/>
                          <a:ext cx="927100" cy="272415"/>
                        </a:xfrm>
                        <a:prstGeom prst="line">
                          <a:avLst/>
                        </a:prstGeom>
                        <a:ln w="9525" cap="flat" cmpd="sng">
                          <a:solidFill>
                            <a:srgbClr val="F71BD5"/>
                          </a:solidFill>
                          <a:prstDash val="solid"/>
                          <a:headEnd type="none" w="med" len="med"/>
                          <a:tailEnd type="arrow" w="med" len="med"/>
                        </a:ln>
                      </wps:spPr>
                      <wps:bodyPr upright="1"/>
                    </wps:wsp>
                  </a:graphicData>
                </a:graphic>
              </wp:anchor>
            </w:drawing>
          </mc:Choice>
          <mc:Fallback>
            <w:pict>
              <v:line id="直线 264" o:spid="_x0000_s1026" o:spt="20" style="position:absolute;left:0pt;flip:y;margin-left:608.75pt;margin-top:155.15pt;height:21.45pt;width:73pt;z-index:251734016;mso-width-relative:page;mso-height-relative:page;" filled="f" stroked="t" coordsize="21600,21600" o:gfxdata="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IZxlcdsAAAANAQAADwAAAAAAAAABACAAAAAiAAAAZHJzL2Rv&#10;d25yZXYueG1sUEsBAhQAFAAAAAgAh07iQC3Wy4z+AQAA7gMAAA4AAAAAAAAAAQAgAAAAKgEAAGRy&#10;cy9lMm9Eb2MueG1sUEsFBgAAAAAGAAYAWQEAAJoFAAAAAA==&#10;">
                <v:fill on="f" focussize="0,0"/>
                <v:stroke color="#F71BD5" joinstyle="round" endarrow="open"/>
                <v:imagedata o:title=""/>
                <o:lock v:ext="edit" aspectratio="f"/>
              </v:line>
            </w:pict>
          </mc:Fallback>
        </mc:AlternateContent>
      </w:r>
      <w:r>
        <w:rPr>
          <w:color w:val="auto"/>
          <w:sz w:val="21"/>
        </w:rPr>
        <mc:AlternateContent>
          <mc:Choice Requires="wps">
            <w:drawing>
              <wp:anchor distT="0" distB="0" distL="114300" distR="114300" simplePos="0" relativeHeight="251732992" behindDoc="0" locked="0" layoutInCell="1" allowOverlap="1">
                <wp:simplePos x="0" y="0"/>
                <wp:positionH relativeFrom="column">
                  <wp:posOffset>6819900</wp:posOffset>
                </wp:positionH>
                <wp:positionV relativeFrom="paragraph">
                  <wp:posOffset>2442845</wp:posOffset>
                </wp:positionV>
                <wp:extent cx="927100" cy="272415"/>
                <wp:effectExtent l="1270" t="23495" r="5080" b="8890"/>
                <wp:wrapNone/>
                <wp:docPr id="125" name="直线 263"/>
                <wp:cNvGraphicFramePr/>
                <a:graphic xmlns:a="http://schemas.openxmlformats.org/drawingml/2006/main">
                  <a:graphicData uri="http://schemas.microsoft.com/office/word/2010/wordprocessingShape">
                    <wps:wsp>
                      <wps:cNvCnPr/>
                      <wps:spPr>
                        <a:xfrm flipV="1">
                          <a:off x="0" y="0"/>
                          <a:ext cx="927100" cy="272415"/>
                        </a:xfrm>
                        <a:prstGeom prst="line">
                          <a:avLst/>
                        </a:prstGeom>
                        <a:ln w="9525" cap="flat" cmpd="sng">
                          <a:solidFill>
                            <a:srgbClr val="F71BD5"/>
                          </a:solidFill>
                          <a:prstDash val="solid"/>
                          <a:headEnd type="none" w="med" len="med"/>
                          <a:tailEnd type="arrow" w="med" len="med"/>
                        </a:ln>
                      </wps:spPr>
                      <wps:bodyPr upright="1"/>
                    </wps:wsp>
                  </a:graphicData>
                </a:graphic>
              </wp:anchor>
            </w:drawing>
          </mc:Choice>
          <mc:Fallback>
            <w:pict>
              <v:line id="直线 263" o:spid="_x0000_s1026" o:spt="20" style="position:absolute;left:0pt;flip:y;margin-left:537pt;margin-top:192.35pt;height:21.45pt;width:73pt;z-index:251732992;mso-width-relative:page;mso-height-relative:page;" filled="f" stroked="t" coordsize="21600,21600" o:gfxdata="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8wd/9wAAAANAQAADwAAAAAAAAABACAAAAAiAAAAZHJzL2Rv&#10;d25yZXYueG1sUEsBAhQAFAAAAAgAh07iQPm5ywn9AQAA7gMAAA4AAAAAAAAAAQAgAAAAKwEAAGRy&#10;cy9lMm9Eb2MueG1sUEsFBgAAAAAGAAYAWQEAAJoFAAAAAA==&#10;">
                <v:fill on="f" focussize="0,0"/>
                <v:stroke color="#F71BD5" joinstyle="round" endarrow="open"/>
                <v:imagedata o:title=""/>
                <o:lock v:ext="edit" aspectratio="f"/>
              </v:line>
            </w:pict>
          </mc:Fallback>
        </mc:AlternateContent>
      </w:r>
      <w:r>
        <w:rPr>
          <w:color w:val="auto"/>
          <w:sz w:val="21"/>
        </w:rPr>
        <mc:AlternateContent>
          <mc:Choice Requires="wps">
            <w:drawing>
              <wp:anchor distT="0" distB="0" distL="114300" distR="114300" simplePos="0" relativeHeight="251731968" behindDoc="0" locked="0" layoutInCell="1" allowOverlap="1">
                <wp:simplePos x="0" y="0"/>
                <wp:positionH relativeFrom="column">
                  <wp:posOffset>5519420</wp:posOffset>
                </wp:positionH>
                <wp:positionV relativeFrom="paragraph">
                  <wp:posOffset>2832100</wp:posOffset>
                </wp:positionV>
                <wp:extent cx="927100" cy="272415"/>
                <wp:effectExtent l="1270" t="23495" r="5080" b="8890"/>
                <wp:wrapNone/>
                <wp:docPr id="124" name="直线 262"/>
                <wp:cNvGraphicFramePr/>
                <a:graphic xmlns:a="http://schemas.openxmlformats.org/drawingml/2006/main">
                  <a:graphicData uri="http://schemas.microsoft.com/office/word/2010/wordprocessingShape">
                    <wps:wsp>
                      <wps:cNvCnPr/>
                      <wps:spPr>
                        <a:xfrm flipV="1">
                          <a:off x="0" y="0"/>
                          <a:ext cx="927100" cy="272415"/>
                        </a:xfrm>
                        <a:prstGeom prst="line">
                          <a:avLst/>
                        </a:prstGeom>
                        <a:ln w="9525" cap="flat" cmpd="sng">
                          <a:solidFill>
                            <a:srgbClr val="F71BD5"/>
                          </a:solidFill>
                          <a:prstDash val="solid"/>
                          <a:headEnd type="none" w="med" len="med"/>
                          <a:tailEnd type="arrow" w="med" len="med"/>
                        </a:ln>
                      </wps:spPr>
                      <wps:bodyPr upright="1"/>
                    </wps:wsp>
                  </a:graphicData>
                </a:graphic>
              </wp:anchor>
            </w:drawing>
          </mc:Choice>
          <mc:Fallback>
            <w:pict>
              <v:line id="直线 262" o:spid="_x0000_s1026" o:spt="20" style="position:absolute;left:0pt;flip:y;margin-left:434.6pt;margin-top:223pt;height:21.45pt;width:73pt;z-index:251731968;mso-width-relative:page;mso-height-relative:page;" filled="f" stroked="t" coordsize="21600,21600" o:gfxdata="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6s0aJ2wAAAAwBAAAPAAAAAAAAAAEAIAAAACIAAABkcnMvZG93&#10;bnJldi54bWxQSwECFAAUAAAACACHTuJAUUnNB/0BAADuAwAADgAAAAAAAAABACAAAAAqAQAAZHJz&#10;L2Uyb0RvYy54bWxQSwUGAAAAAAYABgBZAQAAmQUAAAAA&#10;">
                <v:fill on="f" focussize="0,0"/>
                <v:stroke color="#F71BD5" joinstyle="round" endarrow="open"/>
                <v:imagedata o:title=""/>
                <o:lock v:ext="edit" aspectratio="f"/>
              </v:line>
            </w:pict>
          </mc:Fallback>
        </mc:AlternateContent>
      </w:r>
      <w:r>
        <w:rPr>
          <w:color w:val="auto"/>
          <w:sz w:val="21"/>
        </w:rPr>
        <mc:AlternateContent>
          <mc:Choice Requires="wps">
            <w:drawing>
              <wp:anchor distT="0" distB="0" distL="114300" distR="114300" simplePos="0" relativeHeight="251730944" behindDoc="0" locked="0" layoutInCell="1" allowOverlap="1">
                <wp:simplePos x="0" y="0"/>
                <wp:positionH relativeFrom="column">
                  <wp:posOffset>4533265</wp:posOffset>
                </wp:positionH>
                <wp:positionV relativeFrom="paragraph">
                  <wp:posOffset>3096895</wp:posOffset>
                </wp:positionV>
                <wp:extent cx="927100" cy="272415"/>
                <wp:effectExtent l="1270" t="23495" r="5080" b="8890"/>
                <wp:wrapNone/>
                <wp:docPr id="123" name="直线 261"/>
                <wp:cNvGraphicFramePr/>
                <a:graphic xmlns:a="http://schemas.openxmlformats.org/drawingml/2006/main">
                  <a:graphicData uri="http://schemas.microsoft.com/office/word/2010/wordprocessingShape">
                    <wps:wsp>
                      <wps:cNvCnPr/>
                      <wps:spPr>
                        <a:xfrm flipV="1">
                          <a:off x="0" y="0"/>
                          <a:ext cx="927100" cy="272415"/>
                        </a:xfrm>
                        <a:prstGeom prst="line">
                          <a:avLst/>
                        </a:prstGeom>
                        <a:ln w="9525" cap="flat" cmpd="sng">
                          <a:solidFill>
                            <a:srgbClr val="F71BD5"/>
                          </a:solidFill>
                          <a:prstDash val="solid"/>
                          <a:headEnd type="none" w="med" len="med"/>
                          <a:tailEnd type="arrow" w="med" len="med"/>
                        </a:ln>
                      </wps:spPr>
                      <wps:bodyPr upright="1"/>
                    </wps:wsp>
                  </a:graphicData>
                </a:graphic>
              </wp:anchor>
            </w:drawing>
          </mc:Choice>
          <mc:Fallback>
            <w:pict>
              <v:line id="直线 261" o:spid="_x0000_s1026" o:spt="20" style="position:absolute;left:0pt;flip:y;margin-left:356.95pt;margin-top:243.85pt;height:21.45pt;width:73pt;z-index:251730944;mso-width-relative:page;mso-height-relative:page;" filled="f" stroked="t" coordsize="21600,21600" o:gfxdata="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5+/7ON0AAAALAQAADwAAAAAAAAABACAAAAAiAAAAZHJzL2Rv&#10;d25yZXYueG1sUEsBAhQAFAAAAAgAh07iQCXk1rr8AQAA7gMAAA4AAAAAAAAAAQAgAAAALAEAAGRy&#10;cy9lMm9Eb2MueG1sUEsFBgAAAAAGAAYAWQEAAJoFAAAAAA==&#10;">
                <v:fill on="f" focussize="0,0"/>
                <v:stroke color="#F71BD5" joinstyle="round" endarrow="open"/>
                <v:imagedata o:title=""/>
                <o:lock v:ext="edit" aspectratio="f"/>
              </v:line>
            </w:pict>
          </mc:Fallback>
        </mc:AlternateContent>
      </w:r>
      <w:r>
        <w:rPr>
          <w:color w:val="auto"/>
          <w:sz w:val="21"/>
        </w:rPr>
        <mc:AlternateContent>
          <mc:Choice Requires="wps">
            <w:drawing>
              <wp:anchor distT="0" distB="0" distL="114300" distR="114300" simplePos="0" relativeHeight="251729920" behindDoc="0" locked="0" layoutInCell="1" allowOverlap="1">
                <wp:simplePos x="0" y="0"/>
                <wp:positionH relativeFrom="column">
                  <wp:posOffset>3506470</wp:posOffset>
                </wp:positionH>
                <wp:positionV relativeFrom="paragraph">
                  <wp:posOffset>3402330</wp:posOffset>
                </wp:positionV>
                <wp:extent cx="935990" cy="635"/>
                <wp:effectExtent l="0" t="48260" r="16510" b="65405"/>
                <wp:wrapNone/>
                <wp:docPr id="122" name="直线 260"/>
                <wp:cNvGraphicFramePr/>
                <a:graphic xmlns:a="http://schemas.openxmlformats.org/drawingml/2006/main">
                  <a:graphicData uri="http://schemas.microsoft.com/office/word/2010/wordprocessingShape">
                    <wps:wsp>
                      <wps:cNvCnPr/>
                      <wps:spPr>
                        <a:xfrm>
                          <a:off x="0" y="0"/>
                          <a:ext cx="935990" cy="635"/>
                        </a:xfrm>
                        <a:prstGeom prst="line">
                          <a:avLst/>
                        </a:prstGeom>
                        <a:ln w="9525" cap="flat" cmpd="sng">
                          <a:solidFill>
                            <a:srgbClr val="F71BD5"/>
                          </a:solidFill>
                          <a:prstDash val="solid"/>
                          <a:headEnd type="none" w="med" len="med"/>
                          <a:tailEnd type="arrow" w="med" len="med"/>
                        </a:ln>
                      </wps:spPr>
                      <wps:bodyPr upright="1"/>
                    </wps:wsp>
                  </a:graphicData>
                </a:graphic>
              </wp:anchor>
            </w:drawing>
          </mc:Choice>
          <mc:Fallback>
            <w:pict>
              <v:line id="直线 260" o:spid="_x0000_s1026" o:spt="20" style="position:absolute;left:0pt;margin-left:276.1pt;margin-top:267.9pt;height:0.05pt;width:73.7pt;z-index:251729920;mso-width-relative:page;mso-height-relative:page;" filled="f" stroked="t" coordsize="21600,21600" o:gfxdata="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N9Rx3WAAAACwEAAA8AAAAAAAAAAQAgAAAAIgAAAGRycy9kb3ducmV2LnhtbFBLAQIUABQA&#10;AAAIAIdO4kAQyv7y8gEAAOEDAAAOAAAAAAAAAAEAIAAAACUBAABkcnMvZTJvRG9jLnhtbFBLBQYA&#10;AAAABgAGAFkBAACJBQAAAAA=&#10;">
                <v:fill on="f" focussize="0,0"/>
                <v:stroke color="#F71BD5" joinstyle="round" endarrow="open"/>
                <v:imagedata o:title=""/>
                <o:lock v:ext="edit" aspectratio="f"/>
              </v:line>
            </w:pict>
          </mc:Fallback>
        </mc:AlternateContent>
      </w:r>
      <w:r>
        <w:rPr>
          <w:color w:val="auto"/>
          <w:sz w:val="21"/>
        </w:rPr>
        <mc:AlternateContent>
          <mc:Choice Requires="wps">
            <w:drawing>
              <wp:anchor distT="0" distB="0" distL="114300" distR="114300" simplePos="0" relativeHeight="251728896" behindDoc="0" locked="0" layoutInCell="1" allowOverlap="1">
                <wp:simplePos x="0" y="0"/>
                <wp:positionH relativeFrom="column">
                  <wp:posOffset>2280285</wp:posOffset>
                </wp:positionH>
                <wp:positionV relativeFrom="paragraph">
                  <wp:posOffset>3187065</wp:posOffset>
                </wp:positionV>
                <wp:extent cx="1027430" cy="174625"/>
                <wp:effectExtent l="635" t="4445" r="635" b="49530"/>
                <wp:wrapNone/>
                <wp:docPr id="121" name="直线 259"/>
                <wp:cNvGraphicFramePr/>
                <a:graphic xmlns:a="http://schemas.openxmlformats.org/drawingml/2006/main">
                  <a:graphicData uri="http://schemas.microsoft.com/office/word/2010/wordprocessingShape">
                    <wps:wsp>
                      <wps:cNvCnPr/>
                      <wps:spPr>
                        <a:xfrm>
                          <a:off x="0" y="0"/>
                          <a:ext cx="1027430" cy="174625"/>
                        </a:xfrm>
                        <a:prstGeom prst="line">
                          <a:avLst/>
                        </a:prstGeom>
                        <a:ln w="9525" cap="flat" cmpd="sng">
                          <a:solidFill>
                            <a:srgbClr val="F71BD5"/>
                          </a:solidFill>
                          <a:prstDash val="solid"/>
                          <a:headEnd type="none" w="med" len="med"/>
                          <a:tailEnd type="arrow" w="med" len="med"/>
                        </a:ln>
                      </wps:spPr>
                      <wps:bodyPr upright="1"/>
                    </wps:wsp>
                  </a:graphicData>
                </a:graphic>
              </wp:anchor>
            </w:drawing>
          </mc:Choice>
          <mc:Fallback>
            <w:pict>
              <v:line id="直线 259" o:spid="_x0000_s1026" o:spt="20" style="position:absolute;left:0pt;margin-left:179.55pt;margin-top:250.95pt;height:13.75pt;width:80.9pt;z-index:251728896;mso-width-relative:page;mso-height-relative:page;" filled="f" stroked="t" coordsize="21600,21600" o:gfxdata="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5qBCW1gAAAAsBAAAPAAAAAAAAAAEAIAAAACIAAABkcnMvZG93bnJldi54bWxQ&#10;SwECFAAUAAAACACHTuJAozhmvvkBAADlAwAADgAAAAAAAAABACAAAAAlAQAAZHJzL2Uyb0RvYy54&#10;bWxQSwUGAAAAAAYABgBZAQAAkAUAAAAA&#10;">
                <v:fill on="f" focussize="0,0"/>
                <v:stroke color="#F71BD5" joinstyle="round" endarrow="open"/>
                <v:imagedata o:title=""/>
                <o:lock v:ext="edit" aspectratio="f"/>
              </v:line>
            </w:pict>
          </mc:Fallback>
        </mc:AlternateContent>
      </w:r>
      <w:r>
        <w:rPr>
          <w:color w:val="auto"/>
          <w:sz w:val="21"/>
        </w:rPr>
        <mc:AlternateContent>
          <mc:Choice Requires="wps">
            <w:drawing>
              <wp:anchor distT="0" distB="0" distL="114300" distR="114300" simplePos="0" relativeHeight="251727872" behindDoc="0" locked="0" layoutInCell="1" allowOverlap="1">
                <wp:simplePos x="0" y="0"/>
                <wp:positionH relativeFrom="column">
                  <wp:posOffset>367030</wp:posOffset>
                </wp:positionH>
                <wp:positionV relativeFrom="paragraph">
                  <wp:posOffset>2847975</wp:posOffset>
                </wp:positionV>
                <wp:extent cx="1614805" cy="273685"/>
                <wp:effectExtent l="635" t="4445" r="3810" b="45720"/>
                <wp:wrapNone/>
                <wp:docPr id="120" name="直线 258"/>
                <wp:cNvGraphicFramePr/>
                <a:graphic xmlns:a="http://schemas.openxmlformats.org/drawingml/2006/main">
                  <a:graphicData uri="http://schemas.microsoft.com/office/word/2010/wordprocessingShape">
                    <wps:wsp>
                      <wps:cNvCnPr/>
                      <wps:spPr>
                        <a:xfrm>
                          <a:off x="0" y="0"/>
                          <a:ext cx="1614805" cy="273685"/>
                        </a:xfrm>
                        <a:prstGeom prst="line">
                          <a:avLst/>
                        </a:prstGeom>
                        <a:ln w="9525" cap="flat" cmpd="sng">
                          <a:solidFill>
                            <a:srgbClr val="F71BD5"/>
                          </a:solidFill>
                          <a:prstDash val="solid"/>
                          <a:headEnd type="none" w="med" len="med"/>
                          <a:tailEnd type="arrow" w="med" len="med"/>
                        </a:ln>
                      </wps:spPr>
                      <wps:bodyPr upright="1"/>
                    </wps:wsp>
                  </a:graphicData>
                </a:graphic>
              </wp:anchor>
            </w:drawing>
          </mc:Choice>
          <mc:Fallback>
            <w:pict>
              <v:line id="直线 258" o:spid="_x0000_s1026" o:spt="20" style="position:absolute;left:0pt;margin-left:28.9pt;margin-top:224.25pt;height:21.55pt;width:127.15pt;z-index:251727872;mso-width-relative:page;mso-height-relative:page;" filled="f" stroked="t" coordsize="21600,21600" o:gfxdata="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w1QmM1wAAAAoBAAAPAAAAAAAAAAEAIAAAACIAAABkcnMvZG93bnJldi54bWxQ&#10;SwECFAAUAAAACACHTuJAaJhyVvgBAADlAwAADgAAAAAAAAABACAAAAAmAQAAZHJzL2Uyb0RvYy54&#10;bWxQSwUGAAAAAAYABgBZAQAAkAUAAAAA&#10;">
                <v:fill on="f" focussize="0,0"/>
                <v:stroke color="#F71BD5" joinstyle="round" endarrow="open"/>
                <v:imagedata o:title=""/>
                <o:lock v:ext="edit" aspectratio="f"/>
              </v:line>
            </w:pict>
          </mc:Fallback>
        </mc:AlternateContent>
      </w:r>
      <w:r>
        <w:rPr>
          <w:color w:val="auto"/>
        </w:rPr>
        <w:drawing>
          <wp:anchor distT="0" distB="0" distL="114300" distR="114300" simplePos="0" relativeHeight="251721728" behindDoc="0" locked="0" layoutInCell="1" allowOverlap="1">
            <wp:simplePos x="0" y="0"/>
            <wp:positionH relativeFrom="column">
              <wp:posOffset>8203565</wp:posOffset>
            </wp:positionH>
            <wp:positionV relativeFrom="paragraph">
              <wp:posOffset>78740</wp:posOffset>
            </wp:positionV>
            <wp:extent cx="668020" cy="668020"/>
            <wp:effectExtent l="0" t="0" r="17780" b="17780"/>
            <wp:wrapNone/>
            <wp:docPr id="113" name="图片 292"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292" descr="淮南"/>
                    <pic:cNvPicPr>
                      <a:picLocks noChangeAspect="1"/>
                    </pic:cNvPicPr>
                  </pic:nvPicPr>
                  <pic:blipFill>
                    <a:blip r:embed="rId40"/>
                    <a:stretch>
                      <a:fillRect/>
                    </a:stretch>
                  </pic:blipFill>
                  <pic:spPr>
                    <a:xfrm>
                      <a:off x="0" y="0"/>
                      <a:ext cx="668020" cy="668020"/>
                    </a:xfrm>
                    <a:prstGeom prst="rect">
                      <a:avLst/>
                    </a:prstGeom>
                    <a:noFill/>
                    <a:ln>
                      <a:noFill/>
                    </a:ln>
                  </pic:spPr>
                </pic:pic>
              </a:graphicData>
            </a:graphic>
          </wp:anchor>
        </w:drawing>
      </w:r>
      <w:r>
        <w:rPr>
          <w:color w:val="auto"/>
        </w:rPr>
        <w:drawing>
          <wp:inline distT="0" distB="0" distL="114300" distR="114300">
            <wp:extent cx="8884920" cy="4992370"/>
            <wp:effectExtent l="0" t="0" r="11430" b="17780"/>
            <wp:docPr id="156"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15"/>
                    <pic:cNvPicPr>
                      <a:picLocks noChangeAspect="1"/>
                    </pic:cNvPicPr>
                  </pic:nvPicPr>
                  <pic:blipFill>
                    <a:blip r:embed="rId85"/>
                    <a:stretch>
                      <a:fillRect/>
                    </a:stretch>
                  </pic:blipFill>
                  <pic:spPr>
                    <a:xfrm>
                      <a:off x="0" y="0"/>
                      <a:ext cx="8884920" cy="4992370"/>
                    </a:xfrm>
                    <a:prstGeom prst="rect">
                      <a:avLst/>
                    </a:prstGeom>
                    <a:noFill/>
                    <a:ln>
                      <a:noFill/>
                    </a:ln>
                  </pic:spPr>
                </pic:pic>
              </a:graphicData>
            </a:graphic>
          </wp:inline>
        </w:drawing>
      </w:r>
      <w:r>
        <w:rPr>
          <w:rFonts w:eastAsia="黑体"/>
          <w:color w:val="auto"/>
          <w:sz w:val="24"/>
        </w:rPr>
        <w:t>图4.2-2  地表水</w:t>
      </w:r>
      <w:r>
        <w:rPr>
          <w:rFonts w:hint="eastAsia" w:eastAsia="黑体"/>
          <w:color w:val="auto"/>
          <w:sz w:val="24"/>
        </w:rPr>
        <w:t>和底泥</w:t>
      </w:r>
      <w:r>
        <w:rPr>
          <w:rFonts w:eastAsia="黑体"/>
          <w:color w:val="auto"/>
          <w:sz w:val="24"/>
        </w:rPr>
        <w:t>监测断面分布图</w:t>
      </w:r>
    </w:p>
    <w:p w14:paraId="53FE34E7">
      <w:pPr>
        <w:spacing w:line="360" w:lineRule="auto"/>
        <w:jc w:val="center"/>
        <w:rPr>
          <w:rFonts w:eastAsia="黑体"/>
          <w:color w:val="auto"/>
          <w:sz w:val="24"/>
        </w:rPr>
        <w:sectPr>
          <w:pgSz w:w="16840" w:h="11907" w:orient="landscape"/>
          <w:pgMar w:top="1417" w:right="1418" w:bottom="1417"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43874FF5">
      <w:pPr>
        <w:pStyle w:val="5"/>
        <w:numPr>
          <w:ilvl w:val="3"/>
          <w:numId w:val="0"/>
        </w:numPr>
        <w:rPr>
          <w:color w:val="auto"/>
        </w:rPr>
      </w:pPr>
      <w:r>
        <w:rPr>
          <w:rFonts w:hint="eastAsia"/>
          <w:color w:val="auto"/>
        </w:rPr>
        <w:t>4.2.3.2</w:t>
      </w:r>
      <w:r>
        <w:rPr>
          <w:color w:val="auto"/>
        </w:rPr>
        <w:t>监测项目</w:t>
      </w:r>
    </w:p>
    <w:p w14:paraId="6C85027B">
      <w:pPr>
        <w:spacing w:line="360" w:lineRule="auto"/>
        <w:ind w:firstLine="480" w:firstLineChars="200"/>
        <w:rPr>
          <w:color w:val="auto"/>
          <w:sz w:val="24"/>
        </w:rPr>
      </w:pPr>
      <w:r>
        <w:rPr>
          <w:color w:val="auto"/>
          <w:sz w:val="24"/>
        </w:rPr>
        <w:t>pH、COD、BOD</w:t>
      </w:r>
      <w:r>
        <w:rPr>
          <w:color w:val="auto"/>
          <w:sz w:val="24"/>
          <w:vertAlign w:val="subscript"/>
        </w:rPr>
        <w:t>5</w:t>
      </w:r>
      <w:r>
        <w:rPr>
          <w:color w:val="auto"/>
          <w:sz w:val="24"/>
        </w:rPr>
        <w:t>、NH</w:t>
      </w:r>
      <w:r>
        <w:rPr>
          <w:color w:val="auto"/>
          <w:sz w:val="24"/>
          <w:vertAlign w:val="subscript"/>
        </w:rPr>
        <w:t>3</w:t>
      </w:r>
      <w:r>
        <w:rPr>
          <w:color w:val="auto"/>
          <w:sz w:val="24"/>
        </w:rPr>
        <w:t>-N、TP、石油类共六项。</w:t>
      </w:r>
    </w:p>
    <w:p w14:paraId="0555361A">
      <w:pPr>
        <w:pStyle w:val="5"/>
        <w:numPr>
          <w:ilvl w:val="3"/>
          <w:numId w:val="0"/>
        </w:numPr>
        <w:rPr>
          <w:color w:val="auto"/>
        </w:rPr>
      </w:pPr>
      <w:r>
        <w:rPr>
          <w:rFonts w:hint="eastAsia"/>
          <w:color w:val="auto"/>
        </w:rPr>
        <w:t>4.2.3.3</w:t>
      </w:r>
      <w:r>
        <w:rPr>
          <w:color w:val="auto"/>
        </w:rPr>
        <w:t>监测时间</w:t>
      </w:r>
    </w:p>
    <w:p w14:paraId="7928808A">
      <w:pPr>
        <w:spacing w:line="360" w:lineRule="auto"/>
        <w:ind w:firstLine="480" w:firstLineChars="200"/>
        <w:rPr>
          <w:color w:val="auto"/>
          <w:sz w:val="24"/>
        </w:rPr>
      </w:pPr>
      <w:r>
        <w:rPr>
          <w:color w:val="auto"/>
          <w:sz w:val="24"/>
        </w:rPr>
        <w:t>本项目监测时间为2023年10月21日～23日，连续3天监测数据。</w:t>
      </w:r>
    </w:p>
    <w:p w14:paraId="0C6C4F10">
      <w:pPr>
        <w:pStyle w:val="5"/>
        <w:numPr>
          <w:ilvl w:val="3"/>
          <w:numId w:val="0"/>
        </w:numPr>
        <w:rPr>
          <w:color w:val="auto"/>
        </w:rPr>
      </w:pPr>
      <w:r>
        <w:rPr>
          <w:rFonts w:hint="eastAsia"/>
          <w:color w:val="auto"/>
        </w:rPr>
        <w:t>4.2.3.4</w:t>
      </w:r>
      <w:r>
        <w:rPr>
          <w:color w:val="auto"/>
        </w:rPr>
        <w:t>分析方法</w:t>
      </w:r>
    </w:p>
    <w:p w14:paraId="78D1B1FA">
      <w:pPr>
        <w:spacing w:line="360" w:lineRule="auto"/>
        <w:ind w:firstLine="480" w:firstLineChars="200"/>
        <w:rPr>
          <w:color w:val="auto"/>
          <w:sz w:val="24"/>
        </w:rPr>
      </w:pPr>
      <w:r>
        <w:rPr>
          <w:color w:val="auto"/>
          <w:sz w:val="24"/>
        </w:rPr>
        <w:t>监测分析方法按国家有关规定进行，见表</w:t>
      </w:r>
      <w:r>
        <w:rPr>
          <w:rFonts w:eastAsia="黑体"/>
          <w:color w:val="auto"/>
          <w:sz w:val="24"/>
        </w:rPr>
        <w:t>4.2-</w:t>
      </w:r>
      <w:r>
        <w:rPr>
          <w:rFonts w:hint="eastAsia" w:eastAsia="黑体"/>
          <w:color w:val="auto"/>
          <w:sz w:val="24"/>
        </w:rPr>
        <w:t>1</w:t>
      </w:r>
      <w:r>
        <w:rPr>
          <w:rFonts w:hint="eastAsia" w:eastAsia="黑体"/>
          <w:color w:val="auto"/>
          <w:sz w:val="24"/>
          <w:lang w:val="en-US" w:eastAsia="zh-CN"/>
        </w:rPr>
        <w:t>1</w:t>
      </w:r>
      <w:r>
        <w:rPr>
          <w:color w:val="auto"/>
          <w:sz w:val="24"/>
        </w:rPr>
        <w:t>。</w:t>
      </w:r>
    </w:p>
    <w:p w14:paraId="1B6FA289">
      <w:pPr>
        <w:spacing w:line="400" w:lineRule="exact"/>
        <w:jc w:val="center"/>
        <w:rPr>
          <w:rFonts w:eastAsia="黑体"/>
          <w:color w:val="auto"/>
          <w:sz w:val="24"/>
        </w:rPr>
      </w:pPr>
      <w:r>
        <w:rPr>
          <w:rFonts w:eastAsia="黑体"/>
          <w:color w:val="auto"/>
          <w:sz w:val="24"/>
        </w:rPr>
        <w:t>表4.2-</w:t>
      </w:r>
      <w:r>
        <w:rPr>
          <w:rFonts w:hint="eastAsia" w:eastAsia="黑体"/>
          <w:color w:val="auto"/>
          <w:sz w:val="24"/>
        </w:rPr>
        <w:t>1</w:t>
      </w:r>
      <w:r>
        <w:rPr>
          <w:rFonts w:hint="eastAsia" w:eastAsia="黑体"/>
          <w:color w:val="auto"/>
          <w:sz w:val="24"/>
          <w:lang w:val="en-US" w:eastAsia="zh-CN"/>
        </w:rPr>
        <w:t>1</w:t>
      </w:r>
      <w:r>
        <w:rPr>
          <w:rFonts w:eastAsia="黑体"/>
          <w:color w:val="auto"/>
          <w:sz w:val="24"/>
        </w:rPr>
        <w:t xml:space="preserve">  水环境监测方法一览表</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985"/>
        <w:gridCol w:w="3827"/>
        <w:gridCol w:w="1950"/>
      </w:tblGrid>
      <w:tr w14:paraId="229B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2" w:type="dxa"/>
            <w:tcBorders>
              <w:top w:val="single" w:color="auto" w:sz="12" w:space="0"/>
              <w:left w:val="nil"/>
            </w:tcBorders>
            <w:noWrap w:val="0"/>
            <w:vAlign w:val="center"/>
          </w:tcPr>
          <w:p w14:paraId="021468D4">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分类</w:t>
            </w:r>
          </w:p>
        </w:tc>
        <w:tc>
          <w:tcPr>
            <w:tcW w:w="1985" w:type="dxa"/>
            <w:tcBorders>
              <w:top w:val="single" w:color="auto" w:sz="12" w:space="0"/>
            </w:tcBorders>
            <w:noWrap w:val="0"/>
            <w:vAlign w:val="center"/>
          </w:tcPr>
          <w:p w14:paraId="0B5CA5D0">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项目</w:t>
            </w:r>
          </w:p>
        </w:tc>
        <w:tc>
          <w:tcPr>
            <w:tcW w:w="3827" w:type="dxa"/>
            <w:tcBorders>
              <w:top w:val="single" w:color="auto" w:sz="12" w:space="0"/>
            </w:tcBorders>
            <w:noWrap w:val="0"/>
            <w:vAlign w:val="center"/>
          </w:tcPr>
          <w:p w14:paraId="4DFC6E14">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监测方法名称和标号</w:t>
            </w:r>
          </w:p>
        </w:tc>
        <w:tc>
          <w:tcPr>
            <w:tcW w:w="1950" w:type="dxa"/>
            <w:tcBorders>
              <w:top w:val="single" w:color="auto" w:sz="12" w:space="0"/>
              <w:right w:val="nil"/>
            </w:tcBorders>
            <w:noWrap w:val="0"/>
            <w:vAlign w:val="center"/>
          </w:tcPr>
          <w:p w14:paraId="4A6B8B5C">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方法检出限</w:t>
            </w:r>
          </w:p>
        </w:tc>
      </w:tr>
      <w:tr w14:paraId="66BE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2" w:type="dxa"/>
            <w:vMerge w:val="restart"/>
            <w:tcBorders>
              <w:left w:val="nil"/>
            </w:tcBorders>
            <w:noWrap w:val="0"/>
            <w:vAlign w:val="center"/>
          </w:tcPr>
          <w:p w14:paraId="24EE3AA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地表水</w:t>
            </w:r>
          </w:p>
        </w:tc>
        <w:tc>
          <w:tcPr>
            <w:tcW w:w="1985" w:type="dxa"/>
            <w:noWrap w:val="0"/>
            <w:vAlign w:val="center"/>
          </w:tcPr>
          <w:p w14:paraId="1901F56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pH</w:t>
            </w:r>
          </w:p>
        </w:tc>
        <w:tc>
          <w:tcPr>
            <w:tcW w:w="3827" w:type="dxa"/>
            <w:noWrap w:val="0"/>
            <w:vAlign w:val="center"/>
          </w:tcPr>
          <w:p w14:paraId="5B53BA2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便携式pH计法</w:t>
            </w:r>
          </w:p>
          <w:p w14:paraId="44C074C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《水和废水监测分析方法》</w:t>
            </w:r>
            <w:r>
              <w:rPr>
                <w:rFonts w:hint="eastAsia" w:cs="Times New Roman"/>
                <w:color w:val="auto"/>
                <w:lang w:eastAsia="zh-CN"/>
              </w:rPr>
              <w:t>（</w:t>
            </w:r>
            <w:r>
              <w:rPr>
                <w:rFonts w:hint="default" w:ascii="Times New Roman" w:hAnsi="Times New Roman" w:cs="Times New Roman"/>
                <w:color w:val="auto"/>
              </w:rPr>
              <w:t>第四版)</w:t>
            </w:r>
          </w:p>
          <w:p w14:paraId="4B5E04A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国家环保总局</w:t>
            </w:r>
            <w:r>
              <w:rPr>
                <w:rFonts w:hint="eastAsia" w:cs="Times New Roman"/>
                <w:color w:val="auto"/>
                <w:lang w:eastAsia="zh-CN"/>
              </w:rPr>
              <w:t>（</w:t>
            </w:r>
            <w:r>
              <w:rPr>
                <w:rFonts w:hint="default" w:ascii="Times New Roman" w:hAnsi="Times New Roman" w:cs="Times New Roman"/>
                <w:color w:val="auto"/>
              </w:rPr>
              <w:t>2002年)</w:t>
            </w:r>
          </w:p>
        </w:tc>
        <w:tc>
          <w:tcPr>
            <w:tcW w:w="1950" w:type="dxa"/>
            <w:tcBorders>
              <w:right w:val="nil"/>
            </w:tcBorders>
            <w:noWrap w:val="0"/>
            <w:vAlign w:val="center"/>
          </w:tcPr>
          <w:p w14:paraId="24F7382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_</w:t>
            </w:r>
          </w:p>
        </w:tc>
      </w:tr>
      <w:tr w14:paraId="7963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2" w:type="dxa"/>
            <w:vMerge w:val="continue"/>
            <w:tcBorders>
              <w:left w:val="nil"/>
            </w:tcBorders>
            <w:noWrap w:val="0"/>
            <w:vAlign w:val="center"/>
          </w:tcPr>
          <w:p w14:paraId="01C649D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985" w:type="dxa"/>
            <w:noWrap w:val="0"/>
            <w:vAlign w:val="center"/>
          </w:tcPr>
          <w:p w14:paraId="677294A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化学需氧量</w:t>
            </w:r>
          </w:p>
        </w:tc>
        <w:tc>
          <w:tcPr>
            <w:tcW w:w="3827" w:type="dxa"/>
            <w:noWrap w:val="0"/>
            <w:vAlign w:val="center"/>
          </w:tcPr>
          <w:p w14:paraId="51A7D75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水质化学需氧量的测定</w:t>
            </w:r>
          </w:p>
          <w:p w14:paraId="7EBC108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快速消解分光光度法HJ/T399-2007</w:t>
            </w:r>
          </w:p>
        </w:tc>
        <w:tc>
          <w:tcPr>
            <w:tcW w:w="1950" w:type="dxa"/>
            <w:tcBorders>
              <w:right w:val="nil"/>
            </w:tcBorders>
            <w:noWrap w:val="0"/>
            <w:vAlign w:val="center"/>
          </w:tcPr>
          <w:p w14:paraId="098CEBB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3mg/L</w:t>
            </w:r>
          </w:p>
        </w:tc>
      </w:tr>
      <w:tr w14:paraId="6958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2" w:type="dxa"/>
            <w:vMerge w:val="continue"/>
            <w:tcBorders>
              <w:left w:val="nil"/>
            </w:tcBorders>
            <w:noWrap w:val="0"/>
            <w:vAlign w:val="center"/>
          </w:tcPr>
          <w:p w14:paraId="6D5FB70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985" w:type="dxa"/>
            <w:noWrap w:val="0"/>
            <w:vAlign w:val="center"/>
          </w:tcPr>
          <w:p w14:paraId="7856EDB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五日生化需氧量</w:t>
            </w:r>
          </w:p>
        </w:tc>
        <w:tc>
          <w:tcPr>
            <w:tcW w:w="3827" w:type="dxa"/>
            <w:noWrap w:val="0"/>
            <w:vAlign w:val="center"/>
          </w:tcPr>
          <w:p w14:paraId="011C04D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水质 五日生化需氧量</w:t>
            </w:r>
            <w:r>
              <w:rPr>
                <w:rFonts w:hint="eastAsia" w:cs="Times New Roman"/>
                <w:color w:val="auto"/>
                <w:lang w:eastAsia="zh-CN"/>
              </w:rPr>
              <w:t>（</w:t>
            </w:r>
            <w:r>
              <w:rPr>
                <w:rFonts w:hint="default" w:ascii="Times New Roman" w:hAnsi="Times New Roman" w:cs="Times New Roman"/>
                <w:color w:val="auto"/>
              </w:rPr>
              <w:t>BOD</w:t>
            </w:r>
            <w:r>
              <w:rPr>
                <w:rFonts w:hint="default" w:ascii="Times New Roman" w:hAnsi="Times New Roman" w:cs="Times New Roman"/>
                <w:color w:val="auto"/>
                <w:vertAlign w:val="subscript"/>
              </w:rPr>
              <w:t>5</w:t>
            </w:r>
            <w:r>
              <w:rPr>
                <w:rFonts w:hint="default" w:ascii="Times New Roman" w:hAnsi="Times New Roman" w:cs="Times New Roman"/>
                <w:color w:val="auto"/>
              </w:rPr>
              <w:t>)的测定</w:t>
            </w:r>
          </w:p>
          <w:p w14:paraId="3433F17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稀释与接种法HJ 505-2009</w:t>
            </w:r>
          </w:p>
        </w:tc>
        <w:tc>
          <w:tcPr>
            <w:tcW w:w="1950" w:type="dxa"/>
            <w:tcBorders>
              <w:right w:val="nil"/>
            </w:tcBorders>
            <w:noWrap w:val="0"/>
            <w:vAlign w:val="center"/>
          </w:tcPr>
          <w:p w14:paraId="79D8998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0.5mg/L</w:t>
            </w:r>
          </w:p>
        </w:tc>
      </w:tr>
      <w:tr w14:paraId="7A75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2" w:type="dxa"/>
            <w:vMerge w:val="continue"/>
            <w:tcBorders>
              <w:left w:val="nil"/>
            </w:tcBorders>
            <w:noWrap w:val="0"/>
            <w:vAlign w:val="center"/>
          </w:tcPr>
          <w:p w14:paraId="521C151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985" w:type="dxa"/>
            <w:noWrap w:val="0"/>
            <w:vAlign w:val="center"/>
          </w:tcPr>
          <w:p w14:paraId="63DFF1C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氨氮</w:t>
            </w:r>
          </w:p>
        </w:tc>
        <w:tc>
          <w:tcPr>
            <w:tcW w:w="3827" w:type="dxa"/>
            <w:noWrap w:val="0"/>
            <w:vAlign w:val="center"/>
          </w:tcPr>
          <w:p w14:paraId="522BF00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水质 氨氮的测定纳氏试剂分光光度法</w:t>
            </w:r>
          </w:p>
          <w:p w14:paraId="250E7E0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HJ 535-2009</w:t>
            </w:r>
          </w:p>
        </w:tc>
        <w:tc>
          <w:tcPr>
            <w:tcW w:w="1950" w:type="dxa"/>
            <w:tcBorders>
              <w:right w:val="nil"/>
            </w:tcBorders>
            <w:noWrap w:val="0"/>
            <w:vAlign w:val="center"/>
          </w:tcPr>
          <w:p w14:paraId="1362759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0.025mg/L</w:t>
            </w:r>
          </w:p>
        </w:tc>
      </w:tr>
      <w:tr w14:paraId="123B3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2" w:type="dxa"/>
            <w:vMerge w:val="continue"/>
            <w:tcBorders>
              <w:left w:val="nil"/>
            </w:tcBorders>
            <w:noWrap w:val="0"/>
            <w:vAlign w:val="center"/>
          </w:tcPr>
          <w:p w14:paraId="4D7B0DE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985" w:type="dxa"/>
            <w:noWrap w:val="0"/>
            <w:vAlign w:val="center"/>
          </w:tcPr>
          <w:p w14:paraId="126CB32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总磷</w:t>
            </w:r>
          </w:p>
        </w:tc>
        <w:tc>
          <w:tcPr>
            <w:tcW w:w="3827" w:type="dxa"/>
            <w:noWrap w:val="0"/>
            <w:vAlign w:val="center"/>
          </w:tcPr>
          <w:p w14:paraId="15395C4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水质 总磷的测定钼酸铵分光光度法</w:t>
            </w:r>
          </w:p>
          <w:p w14:paraId="00AD8D0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cs="Times New Roman"/>
                <w:color w:val="auto"/>
                <w:lang w:eastAsia="zh-CN"/>
              </w:rPr>
              <w:t>GB/T 11893-1989</w:t>
            </w:r>
            <w:r>
              <w:rPr>
                <w:rFonts w:hint="default" w:ascii="Times New Roman" w:hAnsi="Times New Roman" w:cs="Times New Roman"/>
                <w:color w:val="auto"/>
              </w:rPr>
              <w:t xml:space="preserve"> </w:t>
            </w:r>
          </w:p>
        </w:tc>
        <w:tc>
          <w:tcPr>
            <w:tcW w:w="1950" w:type="dxa"/>
            <w:tcBorders>
              <w:right w:val="nil"/>
            </w:tcBorders>
            <w:noWrap w:val="0"/>
            <w:vAlign w:val="center"/>
          </w:tcPr>
          <w:p w14:paraId="153D7F3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0.01mg/L</w:t>
            </w:r>
          </w:p>
        </w:tc>
      </w:tr>
      <w:tr w14:paraId="0EAFE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42" w:type="dxa"/>
            <w:vMerge w:val="continue"/>
            <w:tcBorders>
              <w:left w:val="nil"/>
              <w:bottom w:val="single" w:color="auto" w:sz="12" w:space="0"/>
            </w:tcBorders>
            <w:noWrap w:val="0"/>
            <w:vAlign w:val="center"/>
          </w:tcPr>
          <w:p w14:paraId="1368E68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985" w:type="dxa"/>
            <w:tcBorders>
              <w:bottom w:val="single" w:color="auto" w:sz="12" w:space="0"/>
            </w:tcBorders>
            <w:noWrap w:val="0"/>
            <w:vAlign w:val="center"/>
          </w:tcPr>
          <w:p w14:paraId="7ADAA88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石油类</w:t>
            </w:r>
          </w:p>
        </w:tc>
        <w:tc>
          <w:tcPr>
            <w:tcW w:w="3827" w:type="dxa"/>
            <w:tcBorders>
              <w:bottom w:val="single" w:color="auto" w:sz="12" w:space="0"/>
            </w:tcBorders>
            <w:noWrap w:val="0"/>
            <w:vAlign w:val="center"/>
          </w:tcPr>
          <w:p w14:paraId="4AB53F7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水质石油类和动植物油类的测定</w:t>
            </w:r>
          </w:p>
          <w:p w14:paraId="0C34C94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红外分光光度法</w:t>
            </w:r>
            <w:r>
              <w:rPr>
                <w:rFonts w:hint="eastAsia" w:cs="Times New Roman"/>
                <w:color w:val="auto"/>
                <w:lang w:eastAsia="zh-CN"/>
              </w:rPr>
              <w:t>HJ 637-2018</w:t>
            </w:r>
          </w:p>
        </w:tc>
        <w:tc>
          <w:tcPr>
            <w:tcW w:w="1950" w:type="dxa"/>
            <w:tcBorders>
              <w:bottom w:val="single" w:color="auto" w:sz="12" w:space="0"/>
              <w:right w:val="nil"/>
            </w:tcBorders>
            <w:noWrap w:val="0"/>
            <w:vAlign w:val="center"/>
          </w:tcPr>
          <w:p w14:paraId="08B6198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0.01 mg/L</w:t>
            </w:r>
          </w:p>
        </w:tc>
      </w:tr>
    </w:tbl>
    <w:p w14:paraId="490FD327">
      <w:pPr>
        <w:pStyle w:val="5"/>
        <w:numPr>
          <w:ilvl w:val="3"/>
          <w:numId w:val="0"/>
        </w:numPr>
        <w:rPr>
          <w:color w:val="auto"/>
        </w:rPr>
      </w:pPr>
      <w:r>
        <w:rPr>
          <w:rFonts w:hint="eastAsia"/>
          <w:color w:val="auto"/>
        </w:rPr>
        <w:t>4.2.3.5</w:t>
      </w:r>
      <w:r>
        <w:rPr>
          <w:color w:val="auto"/>
        </w:rPr>
        <w:t>监测结果</w:t>
      </w:r>
    </w:p>
    <w:p w14:paraId="73151425">
      <w:pPr>
        <w:spacing w:line="360" w:lineRule="auto"/>
        <w:ind w:firstLine="480" w:firstLineChars="200"/>
        <w:rPr>
          <w:color w:val="auto"/>
          <w:sz w:val="24"/>
        </w:rPr>
      </w:pPr>
      <w:r>
        <w:rPr>
          <w:color w:val="auto"/>
          <w:sz w:val="24"/>
        </w:rPr>
        <w:t>地表水环境质量监测结果见下表4.2-</w:t>
      </w:r>
      <w:r>
        <w:rPr>
          <w:rFonts w:hint="eastAsia"/>
          <w:color w:val="auto"/>
          <w:sz w:val="24"/>
        </w:rPr>
        <w:t>1</w:t>
      </w:r>
      <w:r>
        <w:rPr>
          <w:rFonts w:hint="eastAsia"/>
          <w:color w:val="auto"/>
          <w:sz w:val="24"/>
          <w:lang w:val="en-US" w:eastAsia="zh-CN"/>
        </w:rPr>
        <w:t>2</w:t>
      </w:r>
      <w:r>
        <w:rPr>
          <w:color w:val="auto"/>
          <w:sz w:val="24"/>
        </w:rPr>
        <w:t>。</w:t>
      </w:r>
    </w:p>
    <w:p w14:paraId="48FB9EF2">
      <w:pPr>
        <w:spacing w:line="400" w:lineRule="exact"/>
        <w:jc w:val="center"/>
        <w:rPr>
          <w:rFonts w:eastAsia="黑体"/>
          <w:color w:val="auto"/>
          <w:sz w:val="24"/>
        </w:rPr>
        <w:sectPr>
          <w:footerReference r:id="rId14" w:type="default"/>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765A9B90">
      <w:pPr>
        <w:spacing w:line="400" w:lineRule="exact"/>
        <w:jc w:val="center"/>
        <w:rPr>
          <w:rFonts w:eastAsia="黑体"/>
          <w:color w:val="auto"/>
          <w:sz w:val="24"/>
        </w:rPr>
      </w:pPr>
      <w:r>
        <w:rPr>
          <w:rFonts w:eastAsia="黑体"/>
          <w:color w:val="auto"/>
          <w:sz w:val="24"/>
        </w:rPr>
        <w:t>表4.2-1</w:t>
      </w:r>
      <w:r>
        <w:rPr>
          <w:rFonts w:hint="eastAsia" w:eastAsia="黑体"/>
          <w:color w:val="auto"/>
          <w:sz w:val="24"/>
          <w:lang w:val="en-US" w:eastAsia="zh-CN"/>
        </w:rPr>
        <w:t>2</w:t>
      </w:r>
      <w:r>
        <w:rPr>
          <w:rFonts w:eastAsia="黑体"/>
          <w:color w:val="auto"/>
          <w:sz w:val="24"/>
        </w:rPr>
        <w:t xml:space="preserve">  地表水环境监测结果一览表</w:t>
      </w:r>
      <w:r>
        <w:rPr>
          <w:rFonts w:hint="eastAsia" w:eastAsia="黑体"/>
          <w:color w:val="auto"/>
          <w:sz w:val="24"/>
        </w:rPr>
        <w:t xml:space="preserve"> </w:t>
      </w:r>
      <w:r>
        <w:rPr>
          <w:rFonts w:eastAsia="黑体"/>
          <w:color w:val="auto"/>
          <w:sz w:val="24"/>
        </w:rPr>
        <w:t xml:space="preserve"> 单位：mg/L</w:t>
      </w:r>
      <w:r>
        <w:rPr>
          <w:rFonts w:hint="eastAsia" w:eastAsia="黑体"/>
          <w:color w:val="auto"/>
          <w:sz w:val="24"/>
        </w:rPr>
        <w:t>，</w:t>
      </w:r>
      <w:r>
        <w:rPr>
          <w:rFonts w:eastAsia="黑体"/>
          <w:color w:val="auto"/>
          <w:sz w:val="24"/>
        </w:rPr>
        <w:t>pH无量纲</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993"/>
        <w:gridCol w:w="1843"/>
        <w:gridCol w:w="1701"/>
        <w:gridCol w:w="1275"/>
        <w:gridCol w:w="1276"/>
        <w:gridCol w:w="1276"/>
        <w:gridCol w:w="1246"/>
        <w:gridCol w:w="1242"/>
      </w:tblGrid>
      <w:tr w14:paraId="159755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68" w:type="dxa"/>
            <w:noWrap w:val="0"/>
            <w:vAlign w:val="center"/>
          </w:tcPr>
          <w:p w14:paraId="4286B2EC">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rPr>
            </w:pPr>
            <w:r>
              <w:rPr>
                <w:rFonts w:hint="default" w:ascii="Times New Roman" w:hAnsi="Times New Roman" w:cs="Times New Roman"/>
                <w:b/>
                <w:bCs/>
                <w:color w:val="auto"/>
                <w:kern w:val="0"/>
              </w:rPr>
              <w:t>采样日期</w:t>
            </w:r>
          </w:p>
        </w:tc>
        <w:tc>
          <w:tcPr>
            <w:tcW w:w="2993" w:type="dxa"/>
            <w:noWrap/>
            <w:vAlign w:val="center"/>
          </w:tcPr>
          <w:p w14:paraId="5FE989F7">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rPr>
            </w:pPr>
            <w:r>
              <w:rPr>
                <w:rFonts w:hint="default" w:ascii="Times New Roman" w:hAnsi="Times New Roman" w:cs="Times New Roman"/>
                <w:b/>
                <w:bCs/>
                <w:color w:val="auto"/>
                <w:kern w:val="0"/>
              </w:rPr>
              <w:t>检测点位</w:t>
            </w:r>
          </w:p>
        </w:tc>
        <w:tc>
          <w:tcPr>
            <w:tcW w:w="1843" w:type="dxa"/>
            <w:noWrap w:val="0"/>
            <w:vAlign w:val="center"/>
          </w:tcPr>
          <w:p w14:paraId="56077470">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rPr>
            </w:pPr>
            <w:r>
              <w:rPr>
                <w:rFonts w:hint="default" w:ascii="Times New Roman" w:hAnsi="Times New Roman" w:cs="Times New Roman"/>
                <w:b/>
                <w:bCs/>
                <w:color w:val="auto"/>
                <w:kern w:val="0"/>
              </w:rPr>
              <w:t>样品性状</w:t>
            </w:r>
          </w:p>
        </w:tc>
        <w:tc>
          <w:tcPr>
            <w:tcW w:w="1701" w:type="dxa"/>
            <w:noWrap w:val="0"/>
            <w:vAlign w:val="center"/>
          </w:tcPr>
          <w:p w14:paraId="6BF507D2">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rPr>
            </w:pPr>
            <w:r>
              <w:rPr>
                <w:rFonts w:hint="default" w:ascii="Times New Roman" w:hAnsi="Times New Roman" w:cs="Times New Roman"/>
                <w:b/>
                <w:bCs/>
                <w:color w:val="auto"/>
                <w:kern w:val="0"/>
              </w:rPr>
              <w:t>pH</w:t>
            </w:r>
          </w:p>
        </w:tc>
        <w:tc>
          <w:tcPr>
            <w:tcW w:w="1275" w:type="dxa"/>
            <w:noWrap w:val="0"/>
            <w:vAlign w:val="center"/>
          </w:tcPr>
          <w:p w14:paraId="20F9F96C">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rPr>
            </w:pPr>
            <w:r>
              <w:rPr>
                <w:rFonts w:hint="default" w:ascii="Times New Roman" w:hAnsi="Times New Roman" w:cs="Times New Roman"/>
                <w:b/>
                <w:bCs/>
                <w:color w:val="auto"/>
              </w:rPr>
              <w:t>COD</w:t>
            </w:r>
          </w:p>
        </w:tc>
        <w:tc>
          <w:tcPr>
            <w:tcW w:w="1276" w:type="dxa"/>
            <w:noWrap w:val="0"/>
            <w:vAlign w:val="center"/>
          </w:tcPr>
          <w:p w14:paraId="11970035">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rPr>
            </w:pPr>
            <w:r>
              <w:rPr>
                <w:rFonts w:hint="default" w:ascii="Times New Roman" w:hAnsi="Times New Roman" w:cs="Times New Roman"/>
                <w:b/>
                <w:bCs/>
                <w:color w:val="auto"/>
                <w:kern w:val="0"/>
              </w:rPr>
              <w:t>BOD</w:t>
            </w:r>
            <w:r>
              <w:rPr>
                <w:rFonts w:hint="default" w:ascii="Times New Roman" w:hAnsi="Times New Roman" w:cs="Times New Roman"/>
                <w:b/>
                <w:bCs/>
                <w:color w:val="auto"/>
                <w:kern w:val="0"/>
                <w:vertAlign w:val="subscript"/>
              </w:rPr>
              <w:t>5</w:t>
            </w:r>
          </w:p>
        </w:tc>
        <w:tc>
          <w:tcPr>
            <w:tcW w:w="1276" w:type="dxa"/>
            <w:noWrap w:val="0"/>
            <w:vAlign w:val="center"/>
          </w:tcPr>
          <w:p w14:paraId="12E44582">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rPr>
            </w:pPr>
            <w:r>
              <w:rPr>
                <w:rFonts w:hint="default" w:ascii="Times New Roman" w:hAnsi="Times New Roman" w:cs="Times New Roman"/>
                <w:b/>
                <w:bCs/>
                <w:color w:val="auto"/>
              </w:rPr>
              <w:t>氨氮</w:t>
            </w:r>
          </w:p>
        </w:tc>
        <w:tc>
          <w:tcPr>
            <w:tcW w:w="1246" w:type="dxa"/>
            <w:noWrap w:val="0"/>
            <w:vAlign w:val="center"/>
          </w:tcPr>
          <w:p w14:paraId="588C257A">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rPr>
            </w:pPr>
            <w:r>
              <w:rPr>
                <w:rFonts w:hint="default" w:ascii="Times New Roman" w:hAnsi="Times New Roman" w:cs="Times New Roman"/>
                <w:b/>
                <w:bCs/>
                <w:color w:val="auto"/>
                <w:kern w:val="0"/>
              </w:rPr>
              <w:t>总磷</w:t>
            </w:r>
          </w:p>
        </w:tc>
        <w:tc>
          <w:tcPr>
            <w:tcW w:w="1242" w:type="dxa"/>
            <w:noWrap w:val="0"/>
            <w:vAlign w:val="center"/>
          </w:tcPr>
          <w:p w14:paraId="517A8C04">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kern w:val="0"/>
              </w:rPr>
            </w:pPr>
            <w:r>
              <w:rPr>
                <w:rFonts w:hint="default" w:ascii="Times New Roman" w:hAnsi="Times New Roman" w:cs="Times New Roman"/>
                <w:b/>
                <w:bCs/>
                <w:color w:val="auto"/>
                <w:kern w:val="0"/>
              </w:rPr>
              <w:t>石油类</w:t>
            </w:r>
          </w:p>
        </w:tc>
      </w:tr>
      <w:tr w14:paraId="6056B4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68" w:type="dxa"/>
            <w:vMerge w:val="restart"/>
            <w:noWrap w:val="0"/>
            <w:vAlign w:val="center"/>
          </w:tcPr>
          <w:p w14:paraId="14CBE18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2023.10.23</w:t>
            </w:r>
          </w:p>
        </w:tc>
        <w:tc>
          <w:tcPr>
            <w:tcW w:w="2993" w:type="dxa"/>
            <w:noWrap/>
            <w:vAlign w:val="center"/>
          </w:tcPr>
          <w:p w14:paraId="6ECA0A4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W</w:t>
            </w:r>
            <w:r>
              <w:rPr>
                <w:rFonts w:hint="default" w:ascii="Times New Roman" w:hAnsi="Times New Roman" w:cs="Times New Roman"/>
                <w:color w:val="auto"/>
              </w:rPr>
              <w:t>1淮河-项目区上游500m</w:t>
            </w:r>
          </w:p>
        </w:tc>
        <w:tc>
          <w:tcPr>
            <w:tcW w:w="1843" w:type="dxa"/>
            <w:noWrap w:val="0"/>
            <w:vAlign w:val="center"/>
          </w:tcPr>
          <w:p w14:paraId="17F9C35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无色、无味、微浊</w:t>
            </w:r>
          </w:p>
        </w:tc>
        <w:tc>
          <w:tcPr>
            <w:tcW w:w="1701" w:type="dxa"/>
            <w:noWrap w:val="0"/>
            <w:vAlign w:val="center"/>
          </w:tcPr>
          <w:p w14:paraId="43FE4B2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rPr>
              <w:t>6.7（20.6℃）</w:t>
            </w:r>
          </w:p>
        </w:tc>
        <w:tc>
          <w:tcPr>
            <w:tcW w:w="1275" w:type="dxa"/>
            <w:noWrap/>
            <w:vAlign w:val="center"/>
          </w:tcPr>
          <w:p w14:paraId="1054C12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rPr>
              <w:t>7</w:t>
            </w:r>
          </w:p>
        </w:tc>
        <w:tc>
          <w:tcPr>
            <w:tcW w:w="1276" w:type="dxa"/>
            <w:noWrap w:val="0"/>
            <w:vAlign w:val="center"/>
          </w:tcPr>
          <w:p w14:paraId="1CC2B04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0.9</w:t>
            </w:r>
          </w:p>
        </w:tc>
        <w:tc>
          <w:tcPr>
            <w:tcW w:w="1276" w:type="dxa"/>
            <w:noWrap w:val="0"/>
            <w:vAlign w:val="center"/>
          </w:tcPr>
          <w:p w14:paraId="5CB2F93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0.230</w:t>
            </w:r>
          </w:p>
        </w:tc>
        <w:tc>
          <w:tcPr>
            <w:tcW w:w="1246" w:type="dxa"/>
            <w:noWrap w:val="0"/>
            <w:vAlign w:val="center"/>
          </w:tcPr>
          <w:p w14:paraId="64A71C2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0.09</w:t>
            </w:r>
          </w:p>
        </w:tc>
        <w:tc>
          <w:tcPr>
            <w:tcW w:w="1242" w:type="dxa"/>
            <w:noWrap w:val="0"/>
            <w:vAlign w:val="center"/>
          </w:tcPr>
          <w:p w14:paraId="6A2CF1C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0.01L</w:t>
            </w:r>
          </w:p>
        </w:tc>
      </w:tr>
      <w:tr w14:paraId="682EFA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68" w:type="dxa"/>
            <w:vMerge w:val="continue"/>
            <w:noWrap w:val="0"/>
            <w:vAlign w:val="center"/>
          </w:tcPr>
          <w:p w14:paraId="17A2F5BE">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kern w:val="0"/>
              </w:rPr>
            </w:pPr>
          </w:p>
        </w:tc>
        <w:tc>
          <w:tcPr>
            <w:tcW w:w="2993" w:type="dxa"/>
            <w:noWrap/>
            <w:vAlign w:val="center"/>
          </w:tcPr>
          <w:p w14:paraId="12B9A51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W</w:t>
            </w:r>
            <w:r>
              <w:rPr>
                <w:rFonts w:hint="default" w:ascii="Times New Roman" w:hAnsi="Times New Roman" w:cs="Times New Roman"/>
                <w:color w:val="auto"/>
              </w:rPr>
              <w:t>2淮河-项目区</w:t>
            </w:r>
          </w:p>
        </w:tc>
        <w:tc>
          <w:tcPr>
            <w:tcW w:w="1843" w:type="dxa"/>
            <w:noWrap w:val="0"/>
            <w:vAlign w:val="center"/>
          </w:tcPr>
          <w:p w14:paraId="321E6BB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无色、无味、微浊</w:t>
            </w:r>
          </w:p>
        </w:tc>
        <w:tc>
          <w:tcPr>
            <w:tcW w:w="1701" w:type="dxa"/>
            <w:noWrap w:val="0"/>
            <w:vAlign w:val="center"/>
          </w:tcPr>
          <w:p w14:paraId="11C93A4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6.9（20.4℃）</w:t>
            </w:r>
          </w:p>
        </w:tc>
        <w:tc>
          <w:tcPr>
            <w:tcW w:w="1275" w:type="dxa"/>
            <w:noWrap/>
            <w:vAlign w:val="center"/>
          </w:tcPr>
          <w:p w14:paraId="759231B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15</w:t>
            </w:r>
          </w:p>
        </w:tc>
        <w:tc>
          <w:tcPr>
            <w:tcW w:w="1276" w:type="dxa"/>
            <w:noWrap w:val="0"/>
            <w:vAlign w:val="center"/>
          </w:tcPr>
          <w:p w14:paraId="1C09BBA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1.6</w:t>
            </w:r>
          </w:p>
        </w:tc>
        <w:tc>
          <w:tcPr>
            <w:tcW w:w="1276" w:type="dxa"/>
            <w:noWrap w:val="0"/>
            <w:vAlign w:val="center"/>
          </w:tcPr>
          <w:p w14:paraId="6016F98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0.292</w:t>
            </w:r>
          </w:p>
        </w:tc>
        <w:tc>
          <w:tcPr>
            <w:tcW w:w="1246" w:type="dxa"/>
            <w:noWrap w:val="0"/>
            <w:vAlign w:val="center"/>
          </w:tcPr>
          <w:p w14:paraId="460E3F2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0.10</w:t>
            </w:r>
          </w:p>
        </w:tc>
        <w:tc>
          <w:tcPr>
            <w:tcW w:w="1242" w:type="dxa"/>
            <w:noWrap w:val="0"/>
            <w:vAlign w:val="center"/>
          </w:tcPr>
          <w:p w14:paraId="71BE4BD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0.01L</w:t>
            </w:r>
          </w:p>
        </w:tc>
      </w:tr>
      <w:tr w14:paraId="355004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69" w:hRule="atLeast"/>
          <w:jc w:val="center"/>
        </w:trPr>
        <w:tc>
          <w:tcPr>
            <w:tcW w:w="1368" w:type="dxa"/>
            <w:vMerge w:val="continue"/>
            <w:noWrap w:val="0"/>
            <w:vAlign w:val="center"/>
          </w:tcPr>
          <w:p w14:paraId="2F560784">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kern w:val="0"/>
              </w:rPr>
            </w:pPr>
          </w:p>
        </w:tc>
        <w:tc>
          <w:tcPr>
            <w:tcW w:w="2993" w:type="dxa"/>
            <w:noWrap/>
            <w:vAlign w:val="center"/>
          </w:tcPr>
          <w:p w14:paraId="4A0F70B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W</w:t>
            </w:r>
            <w:r>
              <w:rPr>
                <w:rFonts w:hint="default" w:ascii="Times New Roman" w:hAnsi="Times New Roman" w:cs="Times New Roman"/>
                <w:color w:val="auto"/>
              </w:rPr>
              <w:t>3淮河-项目区下游1000m</w:t>
            </w:r>
          </w:p>
        </w:tc>
        <w:tc>
          <w:tcPr>
            <w:tcW w:w="1843" w:type="dxa"/>
            <w:noWrap w:val="0"/>
            <w:vAlign w:val="center"/>
          </w:tcPr>
          <w:p w14:paraId="0707F80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无色、无味、微浊</w:t>
            </w:r>
          </w:p>
        </w:tc>
        <w:tc>
          <w:tcPr>
            <w:tcW w:w="1701" w:type="dxa"/>
            <w:noWrap w:val="0"/>
            <w:vAlign w:val="center"/>
          </w:tcPr>
          <w:p w14:paraId="4DBBE81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rPr>
              <w:t>7.1（20.3℃）</w:t>
            </w:r>
          </w:p>
        </w:tc>
        <w:tc>
          <w:tcPr>
            <w:tcW w:w="1275" w:type="dxa"/>
            <w:noWrap/>
            <w:vAlign w:val="center"/>
          </w:tcPr>
          <w:p w14:paraId="5FED782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10</w:t>
            </w:r>
          </w:p>
        </w:tc>
        <w:tc>
          <w:tcPr>
            <w:tcW w:w="1276" w:type="dxa"/>
            <w:noWrap w:val="0"/>
            <w:vAlign w:val="center"/>
          </w:tcPr>
          <w:p w14:paraId="7BF1962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1.1</w:t>
            </w:r>
          </w:p>
        </w:tc>
        <w:tc>
          <w:tcPr>
            <w:tcW w:w="1276" w:type="dxa"/>
            <w:noWrap w:val="0"/>
            <w:vAlign w:val="center"/>
          </w:tcPr>
          <w:p w14:paraId="51788BB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0.188</w:t>
            </w:r>
          </w:p>
        </w:tc>
        <w:tc>
          <w:tcPr>
            <w:tcW w:w="1246" w:type="dxa"/>
            <w:noWrap w:val="0"/>
            <w:vAlign w:val="center"/>
          </w:tcPr>
          <w:p w14:paraId="04FFF20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0.09</w:t>
            </w:r>
          </w:p>
        </w:tc>
        <w:tc>
          <w:tcPr>
            <w:tcW w:w="1242" w:type="dxa"/>
            <w:noWrap w:val="0"/>
            <w:vAlign w:val="center"/>
          </w:tcPr>
          <w:p w14:paraId="5678B79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rPr>
              <w:t>0.01L</w:t>
            </w:r>
          </w:p>
        </w:tc>
      </w:tr>
      <w:tr w14:paraId="563B55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68" w:type="dxa"/>
            <w:vMerge w:val="continue"/>
            <w:noWrap w:val="0"/>
            <w:vAlign w:val="center"/>
          </w:tcPr>
          <w:p w14:paraId="3620BCED">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kern w:val="0"/>
              </w:rPr>
            </w:pPr>
          </w:p>
        </w:tc>
        <w:tc>
          <w:tcPr>
            <w:tcW w:w="2993" w:type="dxa"/>
            <w:noWrap/>
            <w:vAlign w:val="center"/>
          </w:tcPr>
          <w:p w14:paraId="2137213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W</w:t>
            </w:r>
            <w:r>
              <w:rPr>
                <w:rFonts w:hint="default" w:ascii="Times New Roman" w:hAnsi="Times New Roman" w:cs="Times New Roman"/>
                <w:color w:val="auto"/>
              </w:rPr>
              <w:t>4淮河-项目区下游2000m</w:t>
            </w:r>
          </w:p>
        </w:tc>
        <w:tc>
          <w:tcPr>
            <w:tcW w:w="1843" w:type="dxa"/>
            <w:noWrap w:val="0"/>
            <w:vAlign w:val="center"/>
          </w:tcPr>
          <w:p w14:paraId="0BD238A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无色、无味、微浊</w:t>
            </w:r>
          </w:p>
        </w:tc>
        <w:tc>
          <w:tcPr>
            <w:tcW w:w="1701" w:type="dxa"/>
            <w:noWrap w:val="0"/>
            <w:vAlign w:val="center"/>
          </w:tcPr>
          <w:p w14:paraId="585AAA7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rPr>
              <w:t>6.9（20.4℃）</w:t>
            </w:r>
          </w:p>
        </w:tc>
        <w:tc>
          <w:tcPr>
            <w:tcW w:w="1275" w:type="dxa"/>
            <w:noWrap/>
            <w:vAlign w:val="center"/>
          </w:tcPr>
          <w:p w14:paraId="5BEF71F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12</w:t>
            </w:r>
          </w:p>
        </w:tc>
        <w:tc>
          <w:tcPr>
            <w:tcW w:w="1276" w:type="dxa"/>
            <w:noWrap w:val="0"/>
            <w:vAlign w:val="center"/>
          </w:tcPr>
          <w:p w14:paraId="24E52AC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1.5</w:t>
            </w:r>
          </w:p>
        </w:tc>
        <w:tc>
          <w:tcPr>
            <w:tcW w:w="1276" w:type="dxa"/>
            <w:noWrap w:val="0"/>
            <w:vAlign w:val="center"/>
          </w:tcPr>
          <w:p w14:paraId="1046B72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0.211</w:t>
            </w:r>
          </w:p>
        </w:tc>
        <w:tc>
          <w:tcPr>
            <w:tcW w:w="1246" w:type="dxa"/>
            <w:noWrap w:val="0"/>
            <w:vAlign w:val="center"/>
          </w:tcPr>
          <w:p w14:paraId="5E8F50F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0.11</w:t>
            </w:r>
          </w:p>
        </w:tc>
        <w:tc>
          <w:tcPr>
            <w:tcW w:w="1242" w:type="dxa"/>
            <w:noWrap w:val="0"/>
            <w:vAlign w:val="center"/>
          </w:tcPr>
          <w:p w14:paraId="5E2D52A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rPr>
              <w:t>0.01L</w:t>
            </w:r>
          </w:p>
        </w:tc>
      </w:tr>
      <w:tr w14:paraId="65F700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68" w:type="dxa"/>
            <w:vMerge w:val="restart"/>
            <w:noWrap w:val="0"/>
            <w:vAlign w:val="center"/>
          </w:tcPr>
          <w:p w14:paraId="56329E0A">
            <w:pPr>
              <w:pStyle w:val="114"/>
              <w:keepNext w:val="0"/>
              <w:keepLines w:val="0"/>
              <w:suppressLineNumbers w:val="0"/>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2023.10.24</w:t>
            </w:r>
          </w:p>
        </w:tc>
        <w:tc>
          <w:tcPr>
            <w:tcW w:w="2993" w:type="dxa"/>
            <w:noWrap/>
            <w:vAlign w:val="center"/>
          </w:tcPr>
          <w:p w14:paraId="712EFD0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W</w:t>
            </w:r>
            <w:r>
              <w:rPr>
                <w:rFonts w:hint="default" w:ascii="Times New Roman" w:hAnsi="Times New Roman" w:cs="Times New Roman"/>
                <w:color w:val="auto"/>
              </w:rPr>
              <w:t>1淮河-项目区上游500m</w:t>
            </w:r>
          </w:p>
        </w:tc>
        <w:tc>
          <w:tcPr>
            <w:tcW w:w="1843" w:type="dxa"/>
            <w:noWrap w:val="0"/>
            <w:vAlign w:val="center"/>
          </w:tcPr>
          <w:p w14:paraId="3CF9E67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无色、无味、微浊</w:t>
            </w:r>
          </w:p>
        </w:tc>
        <w:tc>
          <w:tcPr>
            <w:tcW w:w="1701" w:type="dxa"/>
            <w:noWrap w:val="0"/>
            <w:vAlign w:val="center"/>
          </w:tcPr>
          <w:p w14:paraId="42AFDA0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rPr>
              <w:t>7.0（20.9℃）</w:t>
            </w:r>
          </w:p>
        </w:tc>
        <w:tc>
          <w:tcPr>
            <w:tcW w:w="1275" w:type="dxa"/>
            <w:noWrap/>
            <w:vAlign w:val="center"/>
          </w:tcPr>
          <w:p w14:paraId="402F099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11</w:t>
            </w:r>
          </w:p>
        </w:tc>
        <w:tc>
          <w:tcPr>
            <w:tcW w:w="1276" w:type="dxa"/>
            <w:noWrap w:val="0"/>
            <w:vAlign w:val="center"/>
          </w:tcPr>
          <w:p w14:paraId="208D9B8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1.3</w:t>
            </w:r>
          </w:p>
        </w:tc>
        <w:tc>
          <w:tcPr>
            <w:tcW w:w="1276" w:type="dxa"/>
            <w:noWrap w:val="0"/>
            <w:vAlign w:val="center"/>
          </w:tcPr>
          <w:p w14:paraId="510FFAA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0.270</w:t>
            </w:r>
          </w:p>
        </w:tc>
        <w:tc>
          <w:tcPr>
            <w:tcW w:w="1246" w:type="dxa"/>
            <w:noWrap w:val="0"/>
            <w:vAlign w:val="center"/>
          </w:tcPr>
          <w:p w14:paraId="06F022E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0.11</w:t>
            </w:r>
          </w:p>
        </w:tc>
        <w:tc>
          <w:tcPr>
            <w:tcW w:w="1242" w:type="dxa"/>
            <w:noWrap w:val="0"/>
            <w:vAlign w:val="center"/>
          </w:tcPr>
          <w:p w14:paraId="6D3B6FD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rPr>
              <w:t>0.01L</w:t>
            </w:r>
          </w:p>
        </w:tc>
      </w:tr>
      <w:tr w14:paraId="6AB1CF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69" w:hRule="atLeast"/>
          <w:jc w:val="center"/>
        </w:trPr>
        <w:tc>
          <w:tcPr>
            <w:tcW w:w="1368" w:type="dxa"/>
            <w:vMerge w:val="continue"/>
            <w:noWrap w:val="0"/>
            <w:vAlign w:val="center"/>
          </w:tcPr>
          <w:p w14:paraId="37C33291">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rPr>
            </w:pPr>
          </w:p>
        </w:tc>
        <w:tc>
          <w:tcPr>
            <w:tcW w:w="2993" w:type="dxa"/>
            <w:noWrap/>
            <w:vAlign w:val="center"/>
          </w:tcPr>
          <w:p w14:paraId="546B7EEF">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rPr>
            </w:pPr>
            <w:r>
              <w:rPr>
                <w:rFonts w:hint="eastAsia" w:ascii="Times New Roman" w:hAnsi="Times New Roman" w:cs="Times New Roman"/>
                <w:color w:val="auto"/>
              </w:rPr>
              <w:t>W</w:t>
            </w:r>
            <w:r>
              <w:rPr>
                <w:rFonts w:hint="default" w:ascii="Times New Roman" w:hAnsi="Times New Roman" w:cs="Times New Roman"/>
                <w:color w:val="auto"/>
              </w:rPr>
              <w:t>2淮河-项目区</w:t>
            </w:r>
          </w:p>
        </w:tc>
        <w:tc>
          <w:tcPr>
            <w:tcW w:w="1843" w:type="dxa"/>
            <w:noWrap w:val="0"/>
            <w:vAlign w:val="center"/>
          </w:tcPr>
          <w:p w14:paraId="3636A3E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无色、无味、微浊</w:t>
            </w:r>
          </w:p>
        </w:tc>
        <w:tc>
          <w:tcPr>
            <w:tcW w:w="1701" w:type="dxa"/>
            <w:noWrap w:val="0"/>
            <w:vAlign w:val="center"/>
          </w:tcPr>
          <w:p w14:paraId="2E14C99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6.8（20.7℃）</w:t>
            </w:r>
          </w:p>
        </w:tc>
        <w:tc>
          <w:tcPr>
            <w:tcW w:w="1275" w:type="dxa"/>
            <w:noWrap/>
            <w:vAlign w:val="center"/>
          </w:tcPr>
          <w:p w14:paraId="2F40051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13</w:t>
            </w:r>
          </w:p>
        </w:tc>
        <w:tc>
          <w:tcPr>
            <w:tcW w:w="1276" w:type="dxa"/>
            <w:noWrap w:val="0"/>
            <w:vAlign w:val="center"/>
          </w:tcPr>
          <w:p w14:paraId="3FE4627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1.4</w:t>
            </w:r>
          </w:p>
        </w:tc>
        <w:tc>
          <w:tcPr>
            <w:tcW w:w="1276" w:type="dxa"/>
            <w:noWrap w:val="0"/>
            <w:vAlign w:val="center"/>
          </w:tcPr>
          <w:p w14:paraId="28BF63A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0.252</w:t>
            </w:r>
          </w:p>
        </w:tc>
        <w:tc>
          <w:tcPr>
            <w:tcW w:w="1246" w:type="dxa"/>
            <w:noWrap w:val="0"/>
            <w:vAlign w:val="center"/>
          </w:tcPr>
          <w:p w14:paraId="4B9849F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0.11</w:t>
            </w:r>
          </w:p>
        </w:tc>
        <w:tc>
          <w:tcPr>
            <w:tcW w:w="1242" w:type="dxa"/>
            <w:noWrap w:val="0"/>
            <w:vAlign w:val="center"/>
          </w:tcPr>
          <w:p w14:paraId="0E1D82B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0.01L</w:t>
            </w:r>
          </w:p>
        </w:tc>
      </w:tr>
      <w:tr w14:paraId="202868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68" w:type="dxa"/>
            <w:vMerge w:val="continue"/>
            <w:noWrap w:val="0"/>
            <w:vAlign w:val="center"/>
          </w:tcPr>
          <w:p w14:paraId="1684BC6A">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rPr>
            </w:pPr>
          </w:p>
        </w:tc>
        <w:tc>
          <w:tcPr>
            <w:tcW w:w="2993" w:type="dxa"/>
            <w:noWrap/>
            <w:vAlign w:val="center"/>
          </w:tcPr>
          <w:p w14:paraId="2E6983C1">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rPr>
            </w:pPr>
            <w:r>
              <w:rPr>
                <w:rFonts w:hint="eastAsia" w:ascii="Times New Roman" w:hAnsi="Times New Roman" w:cs="Times New Roman"/>
                <w:color w:val="auto"/>
              </w:rPr>
              <w:t>W</w:t>
            </w:r>
            <w:r>
              <w:rPr>
                <w:rFonts w:hint="default" w:ascii="Times New Roman" w:hAnsi="Times New Roman" w:cs="Times New Roman"/>
                <w:color w:val="auto"/>
              </w:rPr>
              <w:t>3淮河-项目区下游1000m</w:t>
            </w:r>
          </w:p>
        </w:tc>
        <w:tc>
          <w:tcPr>
            <w:tcW w:w="1843" w:type="dxa"/>
            <w:noWrap w:val="0"/>
            <w:vAlign w:val="center"/>
          </w:tcPr>
          <w:p w14:paraId="70A3CF6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无色、无味、微浊</w:t>
            </w:r>
          </w:p>
        </w:tc>
        <w:tc>
          <w:tcPr>
            <w:tcW w:w="1701" w:type="dxa"/>
            <w:noWrap w:val="0"/>
            <w:vAlign w:val="center"/>
          </w:tcPr>
          <w:p w14:paraId="7AA7EA1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6.9（20.6℃）</w:t>
            </w:r>
          </w:p>
        </w:tc>
        <w:tc>
          <w:tcPr>
            <w:tcW w:w="1275" w:type="dxa"/>
            <w:noWrap/>
            <w:vAlign w:val="center"/>
          </w:tcPr>
          <w:p w14:paraId="05DF96D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10</w:t>
            </w:r>
          </w:p>
        </w:tc>
        <w:tc>
          <w:tcPr>
            <w:tcW w:w="1276" w:type="dxa"/>
            <w:noWrap w:val="0"/>
            <w:vAlign w:val="center"/>
          </w:tcPr>
          <w:p w14:paraId="0BE070B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1.3</w:t>
            </w:r>
          </w:p>
        </w:tc>
        <w:tc>
          <w:tcPr>
            <w:tcW w:w="1276" w:type="dxa"/>
            <w:noWrap w:val="0"/>
            <w:vAlign w:val="center"/>
          </w:tcPr>
          <w:p w14:paraId="3DF052D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0.277</w:t>
            </w:r>
          </w:p>
        </w:tc>
        <w:tc>
          <w:tcPr>
            <w:tcW w:w="1246" w:type="dxa"/>
            <w:noWrap w:val="0"/>
            <w:vAlign w:val="center"/>
          </w:tcPr>
          <w:p w14:paraId="60D096F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0.09</w:t>
            </w:r>
          </w:p>
        </w:tc>
        <w:tc>
          <w:tcPr>
            <w:tcW w:w="1242" w:type="dxa"/>
            <w:noWrap w:val="0"/>
            <w:vAlign w:val="center"/>
          </w:tcPr>
          <w:p w14:paraId="1A7FDA0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0.01L</w:t>
            </w:r>
          </w:p>
        </w:tc>
      </w:tr>
      <w:tr w14:paraId="2680A4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68" w:type="dxa"/>
            <w:vMerge w:val="continue"/>
            <w:noWrap w:val="0"/>
            <w:vAlign w:val="center"/>
          </w:tcPr>
          <w:p w14:paraId="6D7ECE4C">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rPr>
            </w:pPr>
          </w:p>
        </w:tc>
        <w:tc>
          <w:tcPr>
            <w:tcW w:w="2993" w:type="dxa"/>
            <w:noWrap/>
            <w:vAlign w:val="center"/>
          </w:tcPr>
          <w:p w14:paraId="7192C80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W</w:t>
            </w:r>
            <w:r>
              <w:rPr>
                <w:rFonts w:hint="default" w:ascii="Times New Roman" w:hAnsi="Times New Roman" w:cs="Times New Roman"/>
                <w:color w:val="auto"/>
              </w:rPr>
              <w:t>4淮河-项目区下游2000m</w:t>
            </w:r>
          </w:p>
        </w:tc>
        <w:tc>
          <w:tcPr>
            <w:tcW w:w="1843" w:type="dxa"/>
            <w:noWrap w:val="0"/>
            <w:vAlign w:val="center"/>
          </w:tcPr>
          <w:p w14:paraId="3D207D46">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color w:val="auto"/>
              </w:rPr>
              <w:t>无色、无味、微浊</w:t>
            </w:r>
          </w:p>
        </w:tc>
        <w:tc>
          <w:tcPr>
            <w:tcW w:w="1701" w:type="dxa"/>
            <w:noWrap w:val="0"/>
            <w:vAlign w:val="center"/>
          </w:tcPr>
          <w:p w14:paraId="5B9D812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rPr>
              <w:t>6.8（20.4℃）</w:t>
            </w:r>
          </w:p>
        </w:tc>
        <w:tc>
          <w:tcPr>
            <w:tcW w:w="1275" w:type="dxa"/>
            <w:noWrap/>
            <w:vAlign w:val="center"/>
          </w:tcPr>
          <w:p w14:paraId="1A068FF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15</w:t>
            </w:r>
          </w:p>
        </w:tc>
        <w:tc>
          <w:tcPr>
            <w:tcW w:w="1276" w:type="dxa"/>
            <w:noWrap w:val="0"/>
            <w:vAlign w:val="center"/>
          </w:tcPr>
          <w:p w14:paraId="629A411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1.7</w:t>
            </w:r>
          </w:p>
        </w:tc>
        <w:tc>
          <w:tcPr>
            <w:tcW w:w="1276" w:type="dxa"/>
            <w:noWrap w:val="0"/>
            <w:vAlign w:val="center"/>
          </w:tcPr>
          <w:p w14:paraId="2FDBD20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0.300</w:t>
            </w:r>
          </w:p>
        </w:tc>
        <w:tc>
          <w:tcPr>
            <w:tcW w:w="1246" w:type="dxa"/>
            <w:noWrap w:val="0"/>
            <w:vAlign w:val="center"/>
          </w:tcPr>
          <w:p w14:paraId="562E26D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0.11</w:t>
            </w:r>
          </w:p>
        </w:tc>
        <w:tc>
          <w:tcPr>
            <w:tcW w:w="1242" w:type="dxa"/>
            <w:noWrap w:val="0"/>
            <w:vAlign w:val="center"/>
          </w:tcPr>
          <w:p w14:paraId="0A8F8D3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rPr>
              <w:t>0.01L</w:t>
            </w:r>
          </w:p>
        </w:tc>
      </w:tr>
      <w:tr w14:paraId="776F4A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69" w:hRule="atLeast"/>
          <w:jc w:val="center"/>
        </w:trPr>
        <w:tc>
          <w:tcPr>
            <w:tcW w:w="1368" w:type="dxa"/>
            <w:vMerge w:val="restart"/>
            <w:noWrap w:val="0"/>
            <w:vAlign w:val="center"/>
          </w:tcPr>
          <w:p w14:paraId="37B69764">
            <w:pPr>
              <w:pStyle w:val="114"/>
              <w:keepNext w:val="0"/>
              <w:keepLines w:val="0"/>
              <w:suppressLineNumbers w:val="0"/>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2023.10.25</w:t>
            </w:r>
          </w:p>
        </w:tc>
        <w:tc>
          <w:tcPr>
            <w:tcW w:w="2993" w:type="dxa"/>
            <w:noWrap/>
            <w:vAlign w:val="center"/>
          </w:tcPr>
          <w:p w14:paraId="6D668E6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W</w:t>
            </w:r>
            <w:r>
              <w:rPr>
                <w:rFonts w:hint="default" w:ascii="Times New Roman" w:hAnsi="Times New Roman" w:cs="Times New Roman"/>
                <w:color w:val="auto"/>
              </w:rPr>
              <w:t>1淮河-项目区上游500m</w:t>
            </w:r>
          </w:p>
        </w:tc>
        <w:tc>
          <w:tcPr>
            <w:tcW w:w="1843" w:type="dxa"/>
            <w:noWrap w:val="0"/>
            <w:vAlign w:val="center"/>
          </w:tcPr>
          <w:p w14:paraId="6294F59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无色、无味、微浊</w:t>
            </w:r>
          </w:p>
        </w:tc>
        <w:tc>
          <w:tcPr>
            <w:tcW w:w="1701" w:type="dxa"/>
            <w:noWrap w:val="0"/>
            <w:vAlign w:val="center"/>
          </w:tcPr>
          <w:p w14:paraId="2265393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rPr>
              <w:t>6.8（20.4℃）</w:t>
            </w:r>
          </w:p>
        </w:tc>
        <w:tc>
          <w:tcPr>
            <w:tcW w:w="1275" w:type="dxa"/>
            <w:noWrap/>
            <w:vAlign w:val="center"/>
          </w:tcPr>
          <w:p w14:paraId="181662B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12</w:t>
            </w:r>
          </w:p>
        </w:tc>
        <w:tc>
          <w:tcPr>
            <w:tcW w:w="1276" w:type="dxa"/>
            <w:noWrap w:val="0"/>
            <w:vAlign w:val="center"/>
          </w:tcPr>
          <w:p w14:paraId="7BE694A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1.6</w:t>
            </w:r>
          </w:p>
        </w:tc>
        <w:tc>
          <w:tcPr>
            <w:tcW w:w="1276" w:type="dxa"/>
            <w:noWrap w:val="0"/>
            <w:vAlign w:val="center"/>
          </w:tcPr>
          <w:p w14:paraId="550A36D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rPr>
              <w:t>0.230</w:t>
            </w:r>
          </w:p>
        </w:tc>
        <w:tc>
          <w:tcPr>
            <w:tcW w:w="1246" w:type="dxa"/>
            <w:noWrap w:val="0"/>
            <w:vAlign w:val="center"/>
          </w:tcPr>
          <w:p w14:paraId="0CD9B19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0.09</w:t>
            </w:r>
          </w:p>
        </w:tc>
        <w:tc>
          <w:tcPr>
            <w:tcW w:w="1242" w:type="dxa"/>
            <w:noWrap w:val="0"/>
            <w:vAlign w:val="center"/>
          </w:tcPr>
          <w:p w14:paraId="2C1BB88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0.01L</w:t>
            </w:r>
          </w:p>
        </w:tc>
      </w:tr>
      <w:tr w14:paraId="2092D3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68" w:type="dxa"/>
            <w:vMerge w:val="continue"/>
            <w:noWrap w:val="0"/>
            <w:vAlign w:val="center"/>
          </w:tcPr>
          <w:p w14:paraId="3709CD36">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rPr>
            </w:pPr>
          </w:p>
        </w:tc>
        <w:tc>
          <w:tcPr>
            <w:tcW w:w="2993" w:type="dxa"/>
            <w:noWrap/>
            <w:vAlign w:val="center"/>
          </w:tcPr>
          <w:p w14:paraId="47D31B2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W</w:t>
            </w:r>
            <w:r>
              <w:rPr>
                <w:rFonts w:hint="default" w:ascii="Times New Roman" w:hAnsi="Times New Roman" w:cs="Times New Roman"/>
                <w:color w:val="auto"/>
              </w:rPr>
              <w:t>2淮河-项目区</w:t>
            </w:r>
          </w:p>
        </w:tc>
        <w:tc>
          <w:tcPr>
            <w:tcW w:w="1843" w:type="dxa"/>
            <w:noWrap w:val="0"/>
            <w:vAlign w:val="center"/>
          </w:tcPr>
          <w:p w14:paraId="52F0ECF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无色、无味、微浊</w:t>
            </w:r>
          </w:p>
        </w:tc>
        <w:tc>
          <w:tcPr>
            <w:tcW w:w="1701" w:type="dxa"/>
            <w:noWrap w:val="0"/>
            <w:vAlign w:val="center"/>
          </w:tcPr>
          <w:p w14:paraId="4EB3D19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rPr>
              <w:t>7.1（20.2℃）</w:t>
            </w:r>
          </w:p>
        </w:tc>
        <w:tc>
          <w:tcPr>
            <w:tcW w:w="1275" w:type="dxa"/>
            <w:noWrap/>
            <w:vAlign w:val="center"/>
          </w:tcPr>
          <w:p w14:paraId="124CA90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14</w:t>
            </w:r>
          </w:p>
        </w:tc>
        <w:tc>
          <w:tcPr>
            <w:tcW w:w="1276" w:type="dxa"/>
            <w:noWrap w:val="0"/>
            <w:vAlign w:val="center"/>
          </w:tcPr>
          <w:p w14:paraId="3972095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1.7</w:t>
            </w:r>
          </w:p>
        </w:tc>
        <w:tc>
          <w:tcPr>
            <w:tcW w:w="1276" w:type="dxa"/>
            <w:noWrap w:val="0"/>
            <w:vAlign w:val="center"/>
          </w:tcPr>
          <w:p w14:paraId="2ECD07D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rPr>
              <w:t>0.270</w:t>
            </w:r>
          </w:p>
        </w:tc>
        <w:tc>
          <w:tcPr>
            <w:tcW w:w="1246" w:type="dxa"/>
            <w:noWrap w:val="0"/>
            <w:vAlign w:val="center"/>
          </w:tcPr>
          <w:p w14:paraId="219AC71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0.11</w:t>
            </w:r>
          </w:p>
        </w:tc>
        <w:tc>
          <w:tcPr>
            <w:tcW w:w="1242" w:type="dxa"/>
            <w:noWrap w:val="0"/>
            <w:vAlign w:val="center"/>
          </w:tcPr>
          <w:p w14:paraId="3157FD8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0.01L</w:t>
            </w:r>
          </w:p>
        </w:tc>
      </w:tr>
      <w:tr w14:paraId="6EA626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68" w:type="dxa"/>
            <w:vMerge w:val="continue"/>
            <w:noWrap w:val="0"/>
            <w:vAlign w:val="center"/>
          </w:tcPr>
          <w:p w14:paraId="41F937C2">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rPr>
            </w:pPr>
          </w:p>
        </w:tc>
        <w:tc>
          <w:tcPr>
            <w:tcW w:w="2993" w:type="dxa"/>
            <w:noWrap/>
            <w:vAlign w:val="center"/>
          </w:tcPr>
          <w:p w14:paraId="2F5710F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W</w:t>
            </w:r>
            <w:r>
              <w:rPr>
                <w:rFonts w:hint="default" w:ascii="Times New Roman" w:hAnsi="Times New Roman" w:cs="Times New Roman"/>
                <w:color w:val="auto"/>
              </w:rPr>
              <w:t>3淮河-项目区下游1000m</w:t>
            </w:r>
          </w:p>
        </w:tc>
        <w:tc>
          <w:tcPr>
            <w:tcW w:w="1843" w:type="dxa"/>
            <w:noWrap w:val="0"/>
            <w:vAlign w:val="center"/>
          </w:tcPr>
          <w:p w14:paraId="320B65B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无色、无味、微浊</w:t>
            </w:r>
          </w:p>
        </w:tc>
        <w:tc>
          <w:tcPr>
            <w:tcW w:w="1701" w:type="dxa"/>
            <w:noWrap w:val="0"/>
            <w:vAlign w:val="center"/>
          </w:tcPr>
          <w:p w14:paraId="0FAE26B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rPr>
              <w:t>6.9（20.1℃）</w:t>
            </w:r>
          </w:p>
        </w:tc>
        <w:tc>
          <w:tcPr>
            <w:tcW w:w="1275" w:type="dxa"/>
            <w:noWrap/>
            <w:vAlign w:val="center"/>
          </w:tcPr>
          <w:p w14:paraId="2A2A0A5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14</w:t>
            </w:r>
          </w:p>
        </w:tc>
        <w:tc>
          <w:tcPr>
            <w:tcW w:w="1276" w:type="dxa"/>
            <w:noWrap w:val="0"/>
            <w:vAlign w:val="center"/>
          </w:tcPr>
          <w:p w14:paraId="743B080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1.5</w:t>
            </w:r>
          </w:p>
        </w:tc>
        <w:tc>
          <w:tcPr>
            <w:tcW w:w="1276" w:type="dxa"/>
            <w:noWrap w:val="0"/>
            <w:vAlign w:val="center"/>
          </w:tcPr>
          <w:p w14:paraId="0A5F7EB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rPr>
              <w:t>0.311</w:t>
            </w:r>
          </w:p>
        </w:tc>
        <w:tc>
          <w:tcPr>
            <w:tcW w:w="1246" w:type="dxa"/>
            <w:noWrap w:val="0"/>
            <w:vAlign w:val="center"/>
          </w:tcPr>
          <w:p w14:paraId="742562F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0.10</w:t>
            </w:r>
          </w:p>
        </w:tc>
        <w:tc>
          <w:tcPr>
            <w:tcW w:w="1242" w:type="dxa"/>
            <w:noWrap w:val="0"/>
            <w:vAlign w:val="center"/>
          </w:tcPr>
          <w:p w14:paraId="73471CF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0.01L</w:t>
            </w:r>
          </w:p>
        </w:tc>
      </w:tr>
      <w:tr w14:paraId="452976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68" w:type="dxa"/>
            <w:vMerge w:val="continue"/>
            <w:noWrap w:val="0"/>
            <w:vAlign w:val="center"/>
          </w:tcPr>
          <w:p w14:paraId="11FFBBB7">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rPr>
            </w:pPr>
          </w:p>
        </w:tc>
        <w:tc>
          <w:tcPr>
            <w:tcW w:w="2993" w:type="dxa"/>
            <w:noWrap/>
            <w:vAlign w:val="center"/>
          </w:tcPr>
          <w:p w14:paraId="55D839F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W</w:t>
            </w:r>
            <w:r>
              <w:rPr>
                <w:rFonts w:hint="default" w:ascii="Times New Roman" w:hAnsi="Times New Roman" w:cs="Times New Roman"/>
                <w:color w:val="auto"/>
              </w:rPr>
              <w:t>4淮河-项目区下游2000m</w:t>
            </w:r>
          </w:p>
        </w:tc>
        <w:tc>
          <w:tcPr>
            <w:tcW w:w="1843" w:type="dxa"/>
            <w:noWrap w:val="0"/>
            <w:vAlign w:val="center"/>
          </w:tcPr>
          <w:p w14:paraId="4C91E14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无色、无味、微浊</w:t>
            </w:r>
          </w:p>
        </w:tc>
        <w:tc>
          <w:tcPr>
            <w:tcW w:w="1701" w:type="dxa"/>
            <w:noWrap w:val="0"/>
            <w:vAlign w:val="center"/>
          </w:tcPr>
          <w:p w14:paraId="75F52DC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rPr>
              <w:t>7.0（20.3℃）</w:t>
            </w:r>
          </w:p>
        </w:tc>
        <w:tc>
          <w:tcPr>
            <w:tcW w:w="1275" w:type="dxa"/>
            <w:noWrap/>
            <w:vAlign w:val="center"/>
          </w:tcPr>
          <w:p w14:paraId="3C05E3E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rPr>
              <w:t>16</w:t>
            </w:r>
          </w:p>
        </w:tc>
        <w:tc>
          <w:tcPr>
            <w:tcW w:w="1276" w:type="dxa"/>
            <w:noWrap w:val="0"/>
            <w:vAlign w:val="center"/>
          </w:tcPr>
          <w:p w14:paraId="346ECFF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1.9</w:t>
            </w:r>
          </w:p>
        </w:tc>
        <w:tc>
          <w:tcPr>
            <w:tcW w:w="1276" w:type="dxa"/>
            <w:noWrap w:val="0"/>
            <w:vAlign w:val="center"/>
          </w:tcPr>
          <w:p w14:paraId="5BFC0BA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rPr>
              <w:t>0.277</w:t>
            </w:r>
          </w:p>
        </w:tc>
        <w:tc>
          <w:tcPr>
            <w:tcW w:w="1246" w:type="dxa"/>
            <w:noWrap w:val="0"/>
            <w:vAlign w:val="center"/>
          </w:tcPr>
          <w:p w14:paraId="3CE8A63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0.11</w:t>
            </w:r>
          </w:p>
        </w:tc>
        <w:tc>
          <w:tcPr>
            <w:tcW w:w="1242" w:type="dxa"/>
            <w:noWrap w:val="0"/>
            <w:vAlign w:val="center"/>
          </w:tcPr>
          <w:p w14:paraId="341CC80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0.01L</w:t>
            </w:r>
          </w:p>
        </w:tc>
      </w:tr>
      <w:tr w14:paraId="4E3C99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220" w:type="dxa"/>
            <w:gridSpan w:val="9"/>
            <w:noWrap w:val="0"/>
            <w:vAlign w:val="center"/>
          </w:tcPr>
          <w:p w14:paraId="29E02B07">
            <w:pPr>
              <w:keepNext w:val="0"/>
              <w:keepLines w:val="0"/>
              <w:widowControl/>
              <w:suppressLineNumbers w:val="0"/>
              <w:spacing w:before="0" w:beforeAutospacing="0" w:after="0" w:afterAutospacing="0"/>
              <w:ind w:left="0" w:right="0"/>
              <w:jc w:val="left"/>
              <w:textAlignment w:val="center"/>
              <w:rPr>
                <w:rFonts w:hint="default" w:ascii="Times New Roman" w:hAnsi="Times New Roman" w:cs="Times New Roman"/>
                <w:color w:val="auto"/>
                <w:kern w:val="0"/>
              </w:rPr>
            </w:pPr>
            <w:r>
              <w:rPr>
                <w:rFonts w:hint="default" w:ascii="Times New Roman" w:hAnsi="Times New Roman" w:cs="Times New Roman"/>
                <w:color w:val="auto"/>
                <w:kern w:val="0"/>
              </w:rPr>
              <w:t>备注：“L”表示未检出。</w:t>
            </w:r>
          </w:p>
        </w:tc>
      </w:tr>
    </w:tbl>
    <w:p w14:paraId="5AAB48DB">
      <w:pPr>
        <w:spacing w:line="400" w:lineRule="exact"/>
        <w:jc w:val="center"/>
        <w:rPr>
          <w:rFonts w:eastAsia="黑体"/>
          <w:color w:val="auto"/>
          <w:sz w:val="24"/>
        </w:rPr>
        <w:sectPr>
          <w:pgSz w:w="16840" w:h="11907" w:orient="landscape"/>
          <w:pgMar w:top="1418" w:right="1418" w:bottom="1418" w:left="1418" w:header="851" w:footer="851" w:gutter="0"/>
          <w:pgBorders>
            <w:top w:val="none" w:sz="0" w:space="0"/>
            <w:left w:val="none" w:sz="0" w:space="0"/>
            <w:bottom w:val="none" w:sz="0" w:space="0"/>
            <w:right w:val="none" w:sz="0" w:space="0"/>
          </w:pgBorders>
          <w:cols w:space="720" w:num="1"/>
          <w:docGrid w:type="lines" w:linePitch="312" w:charSpace="0"/>
        </w:sectPr>
      </w:pPr>
    </w:p>
    <w:p w14:paraId="52C3A169">
      <w:pPr>
        <w:pStyle w:val="5"/>
        <w:numPr>
          <w:ilvl w:val="3"/>
          <w:numId w:val="0"/>
        </w:numPr>
        <w:rPr>
          <w:color w:val="auto"/>
        </w:rPr>
      </w:pPr>
      <w:r>
        <w:rPr>
          <w:rFonts w:hint="eastAsia"/>
          <w:color w:val="auto"/>
        </w:rPr>
        <w:t>4.2.3.6</w:t>
      </w:r>
      <w:r>
        <w:rPr>
          <w:color w:val="auto"/>
        </w:rPr>
        <w:t>水环境质量现状评价</w:t>
      </w:r>
    </w:p>
    <w:p w14:paraId="4F7301E1">
      <w:pPr>
        <w:spacing w:line="360" w:lineRule="auto"/>
        <w:ind w:firstLine="480" w:firstLineChars="200"/>
        <w:rPr>
          <w:color w:val="auto"/>
          <w:sz w:val="24"/>
        </w:rPr>
      </w:pPr>
      <w:r>
        <w:rPr>
          <w:color w:val="auto"/>
          <w:sz w:val="24"/>
        </w:rPr>
        <w:t>（1）评价标准</w:t>
      </w:r>
    </w:p>
    <w:p w14:paraId="241CB181">
      <w:pPr>
        <w:spacing w:line="360" w:lineRule="auto"/>
        <w:ind w:firstLine="480" w:firstLineChars="200"/>
        <w:rPr>
          <w:color w:val="auto"/>
          <w:sz w:val="24"/>
        </w:rPr>
      </w:pPr>
      <w:r>
        <w:rPr>
          <w:color w:val="auto"/>
          <w:sz w:val="24"/>
        </w:rPr>
        <w:t>评价水体执行《地表水环境质量标准》(GB3838-2002)中的</w:t>
      </w:r>
      <w:r>
        <w:rPr>
          <w:color w:val="auto"/>
          <w:sz w:val="24"/>
        </w:rPr>
        <w:fldChar w:fldCharType="begin"/>
      </w:r>
      <w:r>
        <w:rPr>
          <w:color w:val="auto"/>
          <w:sz w:val="24"/>
        </w:rPr>
        <w:instrText xml:space="preserve"> = 3 \* ROMAN </w:instrText>
      </w:r>
      <w:r>
        <w:rPr>
          <w:color w:val="auto"/>
          <w:sz w:val="24"/>
        </w:rPr>
        <w:fldChar w:fldCharType="separate"/>
      </w:r>
      <w:r>
        <w:rPr>
          <w:color w:val="auto"/>
          <w:sz w:val="24"/>
        </w:rPr>
        <w:t>III</w:t>
      </w:r>
      <w:r>
        <w:rPr>
          <w:color w:val="auto"/>
          <w:sz w:val="24"/>
        </w:rPr>
        <w:fldChar w:fldCharType="end"/>
      </w:r>
      <w:r>
        <w:rPr>
          <w:color w:val="auto"/>
          <w:sz w:val="24"/>
        </w:rPr>
        <w:t>类标准，具体标准值见表</w:t>
      </w:r>
      <w:r>
        <w:rPr>
          <w:rFonts w:eastAsia="黑体"/>
          <w:color w:val="auto"/>
          <w:sz w:val="24"/>
        </w:rPr>
        <w:t>4.2-</w:t>
      </w:r>
      <w:r>
        <w:rPr>
          <w:rFonts w:hint="eastAsia" w:eastAsia="黑体"/>
          <w:color w:val="auto"/>
          <w:sz w:val="24"/>
        </w:rPr>
        <w:t>1</w:t>
      </w:r>
      <w:r>
        <w:rPr>
          <w:rFonts w:hint="eastAsia" w:eastAsia="黑体"/>
          <w:color w:val="auto"/>
          <w:sz w:val="24"/>
          <w:lang w:val="en-US" w:eastAsia="zh-CN"/>
        </w:rPr>
        <w:t>3</w:t>
      </w:r>
      <w:r>
        <w:rPr>
          <w:color w:val="auto"/>
          <w:sz w:val="24"/>
        </w:rPr>
        <w:t>。</w:t>
      </w:r>
    </w:p>
    <w:p w14:paraId="4740F400">
      <w:pPr>
        <w:spacing w:line="400" w:lineRule="exact"/>
        <w:jc w:val="center"/>
        <w:rPr>
          <w:rFonts w:eastAsia="黑体"/>
          <w:color w:val="auto"/>
          <w:sz w:val="24"/>
        </w:rPr>
      </w:pPr>
      <w:r>
        <w:rPr>
          <w:rFonts w:eastAsia="黑体"/>
          <w:color w:val="auto"/>
          <w:sz w:val="24"/>
        </w:rPr>
        <w:t>表4.2-</w:t>
      </w:r>
      <w:r>
        <w:rPr>
          <w:rFonts w:hint="eastAsia" w:eastAsia="黑体"/>
          <w:color w:val="auto"/>
          <w:sz w:val="24"/>
        </w:rPr>
        <w:t>1</w:t>
      </w:r>
      <w:r>
        <w:rPr>
          <w:rFonts w:hint="eastAsia" w:eastAsia="黑体"/>
          <w:color w:val="auto"/>
          <w:sz w:val="24"/>
          <w:lang w:val="en-US" w:eastAsia="zh-CN"/>
        </w:rPr>
        <w:t>3</w:t>
      </w:r>
      <w:r>
        <w:rPr>
          <w:rFonts w:eastAsia="黑体"/>
          <w:color w:val="auto"/>
          <w:sz w:val="24"/>
        </w:rPr>
        <w:t xml:space="preserve">  地表水环境质量标准</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925"/>
        <w:gridCol w:w="2989"/>
        <w:gridCol w:w="2373"/>
      </w:tblGrid>
      <w:tr w14:paraId="226329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5" w:type="dxa"/>
            <w:noWrap w:val="0"/>
            <w:vAlign w:val="center"/>
          </w:tcPr>
          <w:p w14:paraId="607A4C73">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项目</w:t>
            </w:r>
          </w:p>
        </w:tc>
        <w:tc>
          <w:tcPr>
            <w:tcW w:w="2989" w:type="dxa"/>
            <w:noWrap w:val="0"/>
            <w:vAlign w:val="center"/>
          </w:tcPr>
          <w:p w14:paraId="372EC6A9">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标准限值</w:t>
            </w:r>
          </w:p>
        </w:tc>
        <w:tc>
          <w:tcPr>
            <w:tcW w:w="2373" w:type="dxa"/>
            <w:noWrap w:val="0"/>
            <w:vAlign w:val="center"/>
          </w:tcPr>
          <w:p w14:paraId="0E089832">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单位</w:t>
            </w:r>
          </w:p>
        </w:tc>
      </w:tr>
      <w:tr w14:paraId="5155A6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5" w:type="dxa"/>
            <w:noWrap w:val="0"/>
            <w:vAlign w:val="center"/>
          </w:tcPr>
          <w:p w14:paraId="2DE5104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pH值（无量纲）</w:t>
            </w:r>
          </w:p>
        </w:tc>
        <w:tc>
          <w:tcPr>
            <w:tcW w:w="2989" w:type="dxa"/>
            <w:noWrap w:val="0"/>
            <w:vAlign w:val="center"/>
          </w:tcPr>
          <w:p w14:paraId="704620E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6~9</w:t>
            </w:r>
          </w:p>
        </w:tc>
        <w:tc>
          <w:tcPr>
            <w:tcW w:w="2373" w:type="dxa"/>
            <w:noWrap w:val="0"/>
            <w:vAlign w:val="center"/>
          </w:tcPr>
          <w:p w14:paraId="68FB083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无量纲</w:t>
            </w:r>
          </w:p>
        </w:tc>
      </w:tr>
      <w:tr w14:paraId="726514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5" w:type="dxa"/>
            <w:noWrap w:val="0"/>
            <w:vAlign w:val="center"/>
          </w:tcPr>
          <w:p w14:paraId="280063C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化学需氧量（COD）≤</w:t>
            </w:r>
          </w:p>
        </w:tc>
        <w:tc>
          <w:tcPr>
            <w:tcW w:w="2989" w:type="dxa"/>
            <w:noWrap w:val="0"/>
            <w:vAlign w:val="center"/>
          </w:tcPr>
          <w:p w14:paraId="4F0F0A8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20</w:t>
            </w:r>
          </w:p>
        </w:tc>
        <w:tc>
          <w:tcPr>
            <w:tcW w:w="2373" w:type="dxa"/>
            <w:vMerge w:val="restart"/>
            <w:noWrap w:val="0"/>
            <w:vAlign w:val="center"/>
          </w:tcPr>
          <w:p w14:paraId="00C16C4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mg/L</w:t>
            </w:r>
          </w:p>
        </w:tc>
      </w:tr>
      <w:tr w14:paraId="356A63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5" w:type="dxa"/>
            <w:noWrap w:val="0"/>
            <w:vAlign w:val="center"/>
          </w:tcPr>
          <w:p w14:paraId="51242F0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五日生化需氧量（BOD</w:t>
            </w:r>
            <w:r>
              <w:rPr>
                <w:rFonts w:hint="default" w:ascii="Times New Roman" w:hAnsi="Times New Roman" w:cs="Times New Roman"/>
                <w:color w:val="auto"/>
                <w:vertAlign w:val="subscript"/>
              </w:rPr>
              <w:t>5</w:t>
            </w:r>
            <w:r>
              <w:rPr>
                <w:rFonts w:hint="default" w:ascii="Times New Roman" w:hAnsi="Times New Roman" w:cs="Times New Roman"/>
                <w:color w:val="auto"/>
              </w:rPr>
              <w:t>）≤</w:t>
            </w:r>
          </w:p>
        </w:tc>
        <w:tc>
          <w:tcPr>
            <w:tcW w:w="2989" w:type="dxa"/>
            <w:noWrap w:val="0"/>
            <w:vAlign w:val="center"/>
          </w:tcPr>
          <w:p w14:paraId="7F06627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4</w:t>
            </w:r>
          </w:p>
        </w:tc>
        <w:tc>
          <w:tcPr>
            <w:tcW w:w="2373" w:type="dxa"/>
            <w:vMerge w:val="continue"/>
            <w:noWrap w:val="0"/>
            <w:vAlign w:val="center"/>
          </w:tcPr>
          <w:p w14:paraId="03D3262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35CDA1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3925" w:type="dxa"/>
            <w:noWrap w:val="0"/>
            <w:vAlign w:val="center"/>
          </w:tcPr>
          <w:p w14:paraId="538277F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氨氮（NH</w:t>
            </w:r>
            <w:r>
              <w:rPr>
                <w:rFonts w:hint="default" w:ascii="Times New Roman" w:hAnsi="Times New Roman" w:cs="Times New Roman"/>
                <w:color w:val="auto"/>
                <w:vertAlign w:val="subscript"/>
              </w:rPr>
              <w:t>3</w:t>
            </w:r>
            <w:r>
              <w:rPr>
                <w:rFonts w:hint="default" w:ascii="Times New Roman" w:hAnsi="Times New Roman" w:cs="Times New Roman"/>
                <w:color w:val="auto"/>
              </w:rPr>
              <w:t>-N）≤</w:t>
            </w:r>
          </w:p>
        </w:tc>
        <w:tc>
          <w:tcPr>
            <w:tcW w:w="2989" w:type="dxa"/>
            <w:noWrap w:val="0"/>
            <w:vAlign w:val="center"/>
          </w:tcPr>
          <w:p w14:paraId="0EBF214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1.0</w:t>
            </w:r>
          </w:p>
        </w:tc>
        <w:tc>
          <w:tcPr>
            <w:tcW w:w="2373" w:type="dxa"/>
            <w:vMerge w:val="continue"/>
            <w:noWrap w:val="0"/>
            <w:vAlign w:val="center"/>
          </w:tcPr>
          <w:p w14:paraId="559DECA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525E7A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5" w:type="dxa"/>
            <w:noWrap w:val="0"/>
            <w:vAlign w:val="center"/>
          </w:tcPr>
          <w:p w14:paraId="43FF93D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石油类≤</w:t>
            </w:r>
          </w:p>
        </w:tc>
        <w:tc>
          <w:tcPr>
            <w:tcW w:w="2989" w:type="dxa"/>
            <w:noWrap w:val="0"/>
            <w:vAlign w:val="center"/>
          </w:tcPr>
          <w:p w14:paraId="039AC58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0.05</w:t>
            </w:r>
          </w:p>
        </w:tc>
        <w:tc>
          <w:tcPr>
            <w:tcW w:w="2373" w:type="dxa"/>
            <w:vMerge w:val="continue"/>
            <w:noWrap w:val="0"/>
            <w:vAlign w:val="center"/>
          </w:tcPr>
          <w:p w14:paraId="22DBB3A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2C1977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0" w:hRule="atLeast"/>
          <w:jc w:val="center"/>
        </w:trPr>
        <w:tc>
          <w:tcPr>
            <w:tcW w:w="3925" w:type="dxa"/>
            <w:noWrap w:val="0"/>
            <w:vAlign w:val="center"/>
          </w:tcPr>
          <w:p w14:paraId="6867FFC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总磷（以P计）≤</w:t>
            </w:r>
          </w:p>
        </w:tc>
        <w:tc>
          <w:tcPr>
            <w:tcW w:w="2989" w:type="dxa"/>
            <w:noWrap w:val="0"/>
            <w:vAlign w:val="center"/>
          </w:tcPr>
          <w:p w14:paraId="3908CE4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0.2</w:t>
            </w:r>
          </w:p>
        </w:tc>
        <w:tc>
          <w:tcPr>
            <w:tcW w:w="2373" w:type="dxa"/>
            <w:vMerge w:val="continue"/>
            <w:noWrap w:val="0"/>
            <w:vAlign w:val="center"/>
          </w:tcPr>
          <w:p w14:paraId="3FF2993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bl>
    <w:p w14:paraId="5D305A9F">
      <w:pPr>
        <w:spacing w:line="360" w:lineRule="auto"/>
        <w:ind w:firstLine="480" w:firstLineChars="200"/>
        <w:rPr>
          <w:color w:val="auto"/>
          <w:sz w:val="24"/>
        </w:rPr>
      </w:pPr>
      <w:r>
        <w:rPr>
          <w:color w:val="auto"/>
          <w:sz w:val="24"/>
        </w:rPr>
        <w:t>（2）评价方法</w:t>
      </w:r>
    </w:p>
    <w:p w14:paraId="7EA3E313">
      <w:pPr>
        <w:spacing w:line="360" w:lineRule="auto"/>
        <w:ind w:firstLine="480" w:firstLineChars="200"/>
        <w:rPr>
          <w:color w:val="auto"/>
          <w:sz w:val="24"/>
        </w:rPr>
      </w:pPr>
      <w:r>
        <w:rPr>
          <w:color w:val="auto"/>
          <w:sz w:val="24"/>
        </w:rPr>
        <w:fldChar w:fldCharType="begin"/>
      </w:r>
      <w:r>
        <w:rPr>
          <w:color w:val="auto"/>
          <w:sz w:val="24"/>
        </w:rPr>
        <w:instrText xml:space="preserve"> = 1 \* GB3 </w:instrText>
      </w:r>
      <w:r>
        <w:rPr>
          <w:color w:val="auto"/>
          <w:sz w:val="24"/>
        </w:rPr>
        <w:fldChar w:fldCharType="separate"/>
      </w:r>
      <w:r>
        <w:rPr>
          <w:color w:val="auto"/>
          <w:sz w:val="24"/>
        </w:rPr>
        <w:t>①</w:t>
      </w:r>
      <w:r>
        <w:rPr>
          <w:color w:val="auto"/>
          <w:sz w:val="24"/>
        </w:rPr>
        <w:fldChar w:fldCharType="end"/>
      </w:r>
      <w:r>
        <w:rPr>
          <w:color w:val="auto"/>
          <w:sz w:val="24"/>
        </w:rPr>
        <w:t>本次地表水环境质量现状评价采用单项污染指数法，其计算公式为：</w:t>
      </w:r>
    </w:p>
    <w:p w14:paraId="79E4341F">
      <w:pPr>
        <w:spacing w:line="360" w:lineRule="auto"/>
        <w:jc w:val="center"/>
        <w:rPr>
          <w:color w:val="auto"/>
          <w:sz w:val="24"/>
        </w:rPr>
      </w:pPr>
      <w:r>
        <w:rPr>
          <w:color w:val="auto"/>
          <w:position w:val="-30"/>
          <w:sz w:val="24"/>
        </w:rPr>
        <w:object>
          <v:shape id="_x0000_i1035" o:spt="75" type="#_x0000_t75" style="height:36pt;width:49.95pt;" o:ole="t" filled="f" o:preferrelative="t" stroked="f" coordsize="21600,21600">
            <v:path/>
            <v:fill on="f" alignshape="1" focussize="0,0"/>
            <v:stroke on="f"/>
            <v:imagedata r:id="rId87" o:title=""/>
            <o:lock v:ext="edit" aspectratio="t"/>
            <w10:wrap type="none"/>
            <w10:anchorlock/>
          </v:shape>
          <o:OLEObject Type="Embed" ProgID="Equation.3" ShapeID="_x0000_i1035" DrawAspect="Content" ObjectID="_1468075735" r:id="rId86">
            <o:LockedField>false</o:LockedField>
          </o:OLEObject>
        </w:object>
      </w:r>
    </w:p>
    <w:p w14:paraId="0E3E85D7">
      <w:pPr>
        <w:spacing w:line="360" w:lineRule="auto"/>
        <w:ind w:firstLine="480" w:firstLineChars="200"/>
        <w:rPr>
          <w:color w:val="auto"/>
          <w:sz w:val="24"/>
        </w:rPr>
      </w:pPr>
      <w:r>
        <w:rPr>
          <w:color w:val="auto"/>
          <w:sz w:val="24"/>
        </w:rPr>
        <w:t>式中：S</w:t>
      </w:r>
      <w:r>
        <w:rPr>
          <w:color w:val="auto"/>
          <w:sz w:val="24"/>
          <w:vertAlign w:val="subscript"/>
        </w:rPr>
        <w:t>i</w:t>
      </w:r>
      <w:r>
        <w:rPr>
          <w:color w:val="auto"/>
          <w:sz w:val="24"/>
        </w:rPr>
        <w:t>—i种污染物分指数；</w:t>
      </w:r>
    </w:p>
    <w:p w14:paraId="24B833FB">
      <w:pPr>
        <w:spacing w:line="360" w:lineRule="auto"/>
        <w:ind w:firstLine="1200" w:firstLineChars="500"/>
        <w:rPr>
          <w:color w:val="auto"/>
          <w:sz w:val="24"/>
        </w:rPr>
      </w:pPr>
      <w:r>
        <w:rPr>
          <w:color w:val="auto"/>
          <w:sz w:val="24"/>
        </w:rPr>
        <w:t>C</w:t>
      </w:r>
      <w:r>
        <w:rPr>
          <w:color w:val="auto"/>
          <w:sz w:val="24"/>
          <w:vertAlign w:val="subscript"/>
        </w:rPr>
        <w:t>i</w:t>
      </w:r>
      <w:r>
        <w:rPr>
          <w:color w:val="auto"/>
          <w:sz w:val="24"/>
        </w:rPr>
        <w:t>—i种污染物实测值，mg/L；</w:t>
      </w:r>
    </w:p>
    <w:p w14:paraId="7FD61236">
      <w:pPr>
        <w:spacing w:line="360" w:lineRule="auto"/>
        <w:ind w:firstLine="1200" w:firstLineChars="500"/>
        <w:rPr>
          <w:color w:val="auto"/>
          <w:sz w:val="24"/>
        </w:rPr>
      </w:pPr>
      <w:r>
        <w:rPr>
          <w:color w:val="auto"/>
          <w:sz w:val="24"/>
        </w:rPr>
        <w:t>C</w:t>
      </w:r>
      <w:r>
        <w:rPr>
          <w:color w:val="auto"/>
          <w:sz w:val="24"/>
          <w:vertAlign w:val="subscript"/>
        </w:rPr>
        <w:t>si</w:t>
      </w:r>
      <w:r>
        <w:rPr>
          <w:color w:val="auto"/>
          <w:sz w:val="24"/>
        </w:rPr>
        <w:t>—i种污染物评价标准值，mg/L。</w:t>
      </w:r>
    </w:p>
    <w:p w14:paraId="2C018034">
      <w:pPr>
        <w:spacing w:line="360" w:lineRule="auto"/>
        <w:ind w:firstLine="480" w:firstLineChars="200"/>
        <w:rPr>
          <w:color w:val="auto"/>
          <w:sz w:val="24"/>
        </w:rPr>
      </w:pPr>
      <w:r>
        <w:rPr>
          <w:color w:val="auto"/>
          <w:sz w:val="24"/>
        </w:rPr>
        <w:fldChar w:fldCharType="begin"/>
      </w:r>
      <w:r>
        <w:rPr>
          <w:color w:val="auto"/>
          <w:sz w:val="24"/>
        </w:rPr>
        <w:instrText xml:space="preserve"> = 2 \* GB3 </w:instrText>
      </w:r>
      <w:r>
        <w:rPr>
          <w:color w:val="auto"/>
          <w:sz w:val="24"/>
        </w:rPr>
        <w:fldChar w:fldCharType="separate"/>
      </w:r>
      <w:r>
        <w:rPr>
          <w:color w:val="auto"/>
          <w:sz w:val="24"/>
        </w:rPr>
        <w:t>②</w:t>
      </w:r>
      <w:r>
        <w:rPr>
          <w:color w:val="auto"/>
          <w:sz w:val="24"/>
        </w:rPr>
        <w:fldChar w:fldCharType="end"/>
      </w:r>
      <w:r>
        <w:rPr>
          <w:color w:val="auto"/>
          <w:sz w:val="24"/>
        </w:rPr>
        <w:t>pH的污染指数</w:t>
      </w:r>
    </w:p>
    <w:p w14:paraId="1CA0AE62">
      <w:pPr>
        <w:spacing w:line="360" w:lineRule="auto"/>
        <w:ind w:firstLine="480" w:firstLineChars="200"/>
        <w:rPr>
          <w:color w:val="auto"/>
          <w:sz w:val="24"/>
        </w:rPr>
      </w:pPr>
      <w:r>
        <w:rPr>
          <w:color w:val="auto"/>
          <w:sz w:val="24"/>
        </w:rPr>
        <w:t>计算公式为：</w:t>
      </w:r>
    </w:p>
    <w:p w14:paraId="47D97D4A">
      <w:pPr>
        <w:spacing w:line="360" w:lineRule="auto"/>
        <w:jc w:val="center"/>
        <w:rPr>
          <w:rFonts w:hint="eastAsia"/>
          <w:color w:val="auto"/>
          <w:sz w:val="24"/>
        </w:rPr>
      </w:pPr>
      <w:r>
        <w:rPr>
          <w:color w:val="auto"/>
        </w:rPr>
        <w:drawing>
          <wp:inline distT="0" distB="0" distL="114300" distR="114300">
            <wp:extent cx="2954655" cy="955675"/>
            <wp:effectExtent l="0" t="0" r="17145" b="15875"/>
            <wp:docPr id="1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
                    <pic:cNvPicPr>
                      <a:picLocks noChangeAspect="1"/>
                    </pic:cNvPicPr>
                  </pic:nvPicPr>
                  <pic:blipFill>
                    <a:blip r:embed="rId88"/>
                    <a:stretch>
                      <a:fillRect/>
                    </a:stretch>
                  </pic:blipFill>
                  <pic:spPr>
                    <a:xfrm>
                      <a:off x="0" y="0"/>
                      <a:ext cx="2954655" cy="955675"/>
                    </a:xfrm>
                    <a:prstGeom prst="rect">
                      <a:avLst/>
                    </a:prstGeom>
                    <a:noFill/>
                    <a:ln>
                      <a:noFill/>
                    </a:ln>
                  </pic:spPr>
                </pic:pic>
              </a:graphicData>
            </a:graphic>
          </wp:inline>
        </w:drawing>
      </w:r>
    </w:p>
    <w:p w14:paraId="529C84BF">
      <w:pPr>
        <w:spacing w:line="360" w:lineRule="auto"/>
        <w:ind w:firstLine="480" w:firstLineChars="200"/>
        <w:rPr>
          <w:color w:val="auto"/>
          <w:sz w:val="24"/>
        </w:rPr>
      </w:pPr>
      <w:r>
        <w:rPr>
          <w:color w:val="auto"/>
          <w:sz w:val="24"/>
        </w:rPr>
        <w:t>式中：S</w:t>
      </w:r>
      <w:r>
        <w:rPr>
          <w:color w:val="auto"/>
          <w:sz w:val="24"/>
          <w:vertAlign w:val="subscript"/>
        </w:rPr>
        <w:t>pH</w:t>
      </w:r>
      <w:r>
        <w:rPr>
          <w:color w:val="auto"/>
          <w:sz w:val="24"/>
        </w:rPr>
        <w:t>—pH值的分指数；</w:t>
      </w:r>
    </w:p>
    <w:p w14:paraId="6FB32BC5">
      <w:pPr>
        <w:spacing w:line="360" w:lineRule="auto"/>
        <w:ind w:firstLine="1200" w:firstLineChars="500"/>
        <w:rPr>
          <w:color w:val="auto"/>
          <w:sz w:val="24"/>
        </w:rPr>
      </w:pPr>
      <w:r>
        <w:rPr>
          <w:color w:val="auto"/>
          <w:sz w:val="24"/>
        </w:rPr>
        <w:t>pH</w:t>
      </w:r>
      <w:r>
        <w:rPr>
          <w:color w:val="auto"/>
          <w:sz w:val="24"/>
          <w:vertAlign w:val="subscript"/>
        </w:rPr>
        <w:t>j</w:t>
      </w:r>
      <w:r>
        <w:rPr>
          <w:color w:val="auto"/>
          <w:sz w:val="24"/>
        </w:rPr>
        <w:t>一j取样点pH实测值；</w:t>
      </w:r>
    </w:p>
    <w:p w14:paraId="6335B639">
      <w:pPr>
        <w:spacing w:line="360" w:lineRule="auto"/>
        <w:ind w:firstLine="1200" w:firstLineChars="500"/>
        <w:rPr>
          <w:color w:val="auto"/>
          <w:sz w:val="24"/>
        </w:rPr>
      </w:pPr>
      <w:r>
        <w:rPr>
          <w:color w:val="auto"/>
          <w:sz w:val="24"/>
        </w:rPr>
        <w:t>pH</w:t>
      </w:r>
      <w:r>
        <w:rPr>
          <w:color w:val="auto"/>
          <w:sz w:val="24"/>
          <w:vertAlign w:val="subscript"/>
        </w:rPr>
        <w:t>sd</w:t>
      </w:r>
      <w:r>
        <w:rPr>
          <w:color w:val="auto"/>
          <w:sz w:val="24"/>
        </w:rPr>
        <w:t>一pH值评价标准规定的下限值；</w:t>
      </w:r>
    </w:p>
    <w:p w14:paraId="7843AA64">
      <w:pPr>
        <w:spacing w:line="360" w:lineRule="auto"/>
        <w:ind w:firstLine="1200" w:firstLineChars="500"/>
        <w:rPr>
          <w:color w:val="auto"/>
          <w:sz w:val="24"/>
        </w:rPr>
      </w:pPr>
      <w:r>
        <w:rPr>
          <w:color w:val="auto"/>
          <w:sz w:val="24"/>
        </w:rPr>
        <w:t>pH</w:t>
      </w:r>
      <w:r>
        <w:rPr>
          <w:color w:val="auto"/>
          <w:sz w:val="24"/>
          <w:vertAlign w:val="subscript"/>
        </w:rPr>
        <w:t>su</w:t>
      </w:r>
      <w:r>
        <w:rPr>
          <w:color w:val="auto"/>
          <w:sz w:val="24"/>
        </w:rPr>
        <w:t>一pH值评价标准规定的上限值。</w:t>
      </w:r>
    </w:p>
    <w:p w14:paraId="72AE645D">
      <w:pPr>
        <w:spacing w:line="360" w:lineRule="auto"/>
        <w:ind w:firstLine="480" w:firstLineChars="200"/>
        <w:rPr>
          <w:color w:val="auto"/>
          <w:sz w:val="24"/>
        </w:rPr>
      </w:pPr>
      <w:r>
        <w:rPr>
          <w:color w:val="auto"/>
          <w:sz w:val="24"/>
        </w:rPr>
        <w:t>当S</w:t>
      </w:r>
      <w:r>
        <w:rPr>
          <w:color w:val="auto"/>
          <w:sz w:val="24"/>
          <w:vertAlign w:val="subscript"/>
        </w:rPr>
        <w:t>pHj</w:t>
      </w:r>
      <w:r>
        <w:rPr>
          <w:color w:val="auto"/>
          <w:sz w:val="24"/>
        </w:rPr>
        <w:t>≥1时，即水质参数的标准指数&gt;1，表明该评价因子的水质超过了规定的水质标准，已经不能满足相应的水域功能要求。</w:t>
      </w:r>
    </w:p>
    <w:p w14:paraId="237F0EB4">
      <w:pPr>
        <w:spacing w:line="360" w:lineRule="auto"/>
        <w:ind w:firstLine="480" w:firstLineChars="200"/>
        <w:rPr>
          <w:color w:val="auto"/>
          <w:sz w:val="24"/>
        </w:rPr>
      </w:pPr>
      <w:r>
        <w:rPr>
          <w:color w:val="auto"/>
          <w:sz w:val="24"/>
        </w:rPr>
        <w:t>（3）评价结果</w:t>
      </w:r>
    </w:p>
    <w:p w14:paraId="06D4AE45">
      <w:pPr>
        <w:spacing w:line="360" w:lineRule="auto"/>
        <w:ind w:firstLine="480" w:firstLineChars="200"/>
        <w:rPr>
          <w:color w:val="auto"/>
          <w:sz w:val="24"/>
        </w:rPr>
      </w:pPr>
      <w:r>
        <w:rPr>
          <w:color w:val="auto"/>
          <w:sz w:val="24"/>
        </w:rPr>
        <w:t>地表水环境质量评价结果见表</w:t>
      </w:r>
      <w:r>
        <w:rPr>
          <w:rFonts w:eastAsia="黑体"/>
          <w:color w:val="auto"/>
          <w:sz w:val="24"/>
        </w:rPr>
        <w:t>4.2-</w:t>
      </w:r>
      <w:r>
        <w:rPr>
          <w:rFonts w:hint="eastAsia" w:eastAsia="黑体"/>
          <w:color w:val="auto"/>
          <w:sz w:val="24"/>
        </w:rPr>
        <w:t>1</w:t>
      </w:r>
      <w:r>
        <w:rPr>
          <w:rFonts w:hint="eastAsia" w:eastAsia="黑体"/>
          <w:color w:val="auto"/>
          <w:sz w:val="24"/>
          <w:lang w:val="en-US" w:eastAsia="zh-CN"/>
        </w:rPr>
        <w:t>4</w:t>
      </w:r>
      <w:r>
        <w:rPr>
          <w:color w:val="auto"/>
          <w:sz w:val="24"/>
        </w:rPr>
        <w:t>。</w:t>
      </w:r>
    </w:p>
    <w:p w14:paraId="5C0C52FA">
      <w:pPr>
        <w:spacing w:line="400" w:lineRule="exact"/>
        <w:jc w:val="center"/>
        <w:rPr>
          <w:rFonts w:eastAsia="黑体"/>
          <w:color w:val="auto"/>
          <w:sz w:val="24"/>
        </w:rPr>
      </w:pPr>
      <w:r>
        <w:rPr>
          <w:rFonts w:eastAsia="黑体"/>
          <w:color w:val="auto"/>
          <w:sz w:val="24"/>
        </w:rPr>
        <w:t>表4.2-</w:t>
      </w:r>
      <w:r>
        <w:rPr>
          <w:rFonts w:hint="eastAsia" w:eastAsia="黑体"/>
          <w:color w:val="auto"/>
          <w:sz w:val="24"/>
        </w:rPr>
        <w:t>1</w:t>
      </w:r>
      <w:r>
        <w:rPr>
          <w:rFonts w:hint="eastAsia" w:eastAsia="黑体"/>
          <w:color w:val="auto"/>
          <w:sz w:val="24"/>
          <w:lang w:val="en-US" w:eastAsia="zh-CN"/>
        </w:rPr>
        <w:t>4</w:t>
      </w:r>
      <w:r>
        <w:rPr>
          <w:rFonts w:eastAsia="黑体"/>
          <w:color w:val="auto"/>
          <w:sz w:val="24"/>
        </w:rPr>
        <w:t xml:space="preserve">  地表水水质监测因子标准指数评价结果</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1276"/>
        <w:gridCol w:w="851"/>
        <w:gridCol w:w="850"/>
        <w:gridCol w:w="851"/>
        <w:gridCol w:w="794"/>
        <w:gridCol w:w="831"/>
        <w:gridCol w:w="891"/>
      </w:tblGrid>
      <w:tr w14:paraId="389BF4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43" w:type="dxa"/>
            <w:noWrap w:val="0"/>
            <w:vAlign w:val="center"/>
          </w:tcPr>
          <w:p w14:paraId="35259698">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监测点位</w:t>
            </w:r>
          </w:p>
        </w:tc>
        <w:tc>
          <w:tcPr>
            <w:tcW w:w="1276" w:type="dxa"/>
            <w:noWrap w:val="0"/>
            <w:vAlign w:val="center"/>
          </w:tcPr>
          <w:p w14:paraId="0941A868">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采样日期</w:t>
            </w:r>
          </w:p>
        </w:tc>
        <w:tc>
          <w:tcPr>
            <w:tcW w:w="851" w:type="dxa"/>
            <w:noWrap w:val="0"/>
            <w:vAlign w:val="center"/>
          </w:tcPr>
          <w:p w14:paraId="3C0B6F9D">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pH</w:t>
            </w:r>
          </w:p>
        </w:tc>
        <w:tc>
          <w:tcPr>
            <w:tcW w:w="850" w:type="dxa"/>
            <w:noWrap w:val="0"/>
            <w:vAlign w:val="center"/>
          </w:tcPr>
          <w:p w14:paraId="0E399358">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eastAsia" w:ascii="Times New Roman" w:hAnsi="Times New Roman" w:cs="Times New Roman"/>
                <w:b/>
                <w:color w:val="auto"/>
              </w:rPr>
              <w:t>COD</w:t>
            </w:r>
          </w:p>
        </w:tc>
        <w:tc>
          <w:tcPr>
            <w:tcW w:w="851" w:type="dxa"/>
            <w:noWrap w:val="0"/>
            <w:vAlign w:val="center"/>
          </w:tcPr>
          <w:p w14:paraId="04064AA7">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eastAsia" w:ascii="Times New Roman" w:hAnsi="Times New Roman" w:cs="Times New Roman"/>
                <w:b/>
                <w:color w:val="auto"/>
              </w:rPr>
              <w:t>BOD</w:t>
            </w:r>
            <w:r>
              <w:rPr>
                <w:rFonts w:hint="eastAsia" w:ascii="Times New Roman" w:hAnsi="Times New Roman" w:cs="Times New Roman"/>
                <w:b/>
                <w:color w:val="auto"/>
                <w:vertAlign w:val="subscript"/>
              </w:rPr>
              <w:t>5</w:t>
            </w:r>
          </w:p>
        </w:tc>
        <w:tc>
          <w:tcPr>
            <w:tcW w:w="794" w:type="dxa"/>
            <w:noWrap w:val="0"/>
            <w:vAlign w:val="center"/>
          </w:tcPr>
          <w:p w14:paraId="68388B64">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氨氮</w:t>
            </w:r>
          </w:p>
        </w:tc>
        <w:tc>
          <w:tcPr>
            <w:tcW w:w="831" w:type="dxa"/>
            <w:noWrap w:val="0"/>
            <w:vAlign w:val="center"/>
          </w:tcPr>
          <w:p w14:paraId="07A6B27A">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总磷</w:t>
            </w:r>
          </w:p>
        </w:tc>
        <w:tc>
          <w:tcPr>
            <w:tcW w:w="891" w:type="dxa"/>
            <w:noWrap w:val="0"/>
            <w:vAlign w:val="center"/>
          </w:tcPr>
          <w:p w14:paraId="41782A87">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石油类</w:t>
            </w:r>
          </w:p>
        </w:tc>
      </w:tr>
      <w:tr w14:paraId="7D1DD5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43" w:type="dxa"/>
            <w:noWrap w:val="0"/>
            <w:vAlign w:val="center"/>
          </w:tcPr>
          <w:p w14:paraId="0F866B5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W1淮河-项目区上游500m</w:t>
            </w:r>
          </w:p>
        </w:tc>
        <w:tc>
          <w:tcPr>
            <w:tcW w:w="1276" w:type="dxa"/>
            <w:vMerge w:val="restart"/>
            <w:noWrap w:val="0"/>
            <w:vAlign w:val="center"/>
          </w:tcPr>
          <w:p w14:paraId="1663DA5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023.10.23</w:t>
            </w:r>
          </w:p>
        </w:tc>
        <w:tc>
          <w:tcPr>
            <w:tcW w:w="851" w:type="dxa"/>
            <w:noWrap w:val="0"/>
            <w:vAlign w:val="center"/>
          </w:tcPr>
          <w:p w14:paraId="1DD1329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0.300</w:t>
            </w:r>
          </w:p>
        </w:tc>
        <w:tc>
          <w:tcPr>
            <w:tcW w:w="850" w:type="dxa"/>
            <w:noWrap w:val="0"/>
            <w:vAlign w:val="center"/>
          </w:tcPr>
          <w:p w14:paraId="51F538F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eastAsia="等线" w:cs="Times New Roman"/>
                <w:color w:val="auto"/>
              </w:rPr>
              <w:t>0.350</w:t>
            </w:r>
          </w:p>
        </w:tc>
        <w:tc>
          <w:tcPr>
            <w:tcW w:w="851" w:type="dxa"/>
            <w:noWrap w:val="0"/>
            <w:vAlign w:val="center"/>
          </w:tcPr>
          <w:p w14:paraId="55EDB4A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eastAsia="等线" w:cs="Times New Roman"/>
                <w:color w:val="auto"/>
              </w:rPr>
              <w:t>0.225</w:t>
            </w:r>
          </w:p>
        </w:tc>
        <w:tc>
          <w:tcPr>
            <w:tcW w:w="794" w:type="dxa"/>
            <w:noWrap w:val="0"/>
            <w:vAlign w:val="center"/>
          </w:tcPr>
          <w:p w14:paraId="63229ED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eastAsia" w:ascii="Times New Roman" w:hAnsi="Times New Roman" w:cs="Times New Roman"/>
                <w:color w:val="auto"/>
                <w:kern w:val="0"/>
              </w:rPr>
              <w:t>0</w:t>
            </w:r>
            <w:r>
              <w:rPr>
                <w:rFonts w:hint="default" w:ascii="Times New Roman" w:hAnsi="Times New Roman" w:cs="Times New Roman"/>
                <w:color w:val="auto"/>
                <w:kern w:val="0"/>
              </w:rPr>
              <w:t>.189</w:t>
            </w:r>
          </w:p>
        </w:tc>
        <w:tc>
          <w:tcPr>
            <w:tcW w:w="831" w:type="dxa"/>
            <w:noWrap w:val="0"/>
            <w:vAlign w:val="center"/>
          </w:tcPr>
          <w:p w14:paraId="0EFEE1E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eastAsia="等线" w:cs="Times New Roman"/>
                <w:color w:val="auto"/>
              </w:rPr>
              <w:t>0.450</w:t>
            </w:r>
          </w:p>
        </w:tc>
        <w:tc>
          <w:tcPr>
            <w:tcW w:w="891" w:type="dxa"/>
            <w:noWrap w:val="0"/>
            <w:vAlign w:val="center"/>
          </w:tcPr>
          <w:p w14:paraId="4B3B1F5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eastAsia="等线" w:cs="Times New Roman"/>
                <w:color w:val="auto"/>
              </w:rPr>
              <w:t>0.600</w:t>
            </w:r>
          </w:p>
        </w:tc>
      </w:tr>
      <w:tr w14:paraId="0F9E87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43" w:type="dxa"/>
            <w:noWrap w:val="0"/>
            <w:vAlign w:val="center"/>
          </w:tcPr>
          <w:p w14:paraId="39F4F96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W</w:t>
            </w:r>
            <w:r>
              <w:rPr>
                <w:rFonts w:hint="default" w:ascii="Times New Roman" w:hAnsi="Times New Roman" w:cs="Times New Roman"/>
                <w:color w:val="auto"/>
              </w:rPr>
              <w:t>2</w:t>
            </w:r>
            <w:r>
              <w:rPr>
                <w:rFonts w:hint="eastAsia" w:ascii="Times New Roman" w:hAnsi="Times New Roman" w:cs="Times New Roman"/>
                <w:color w:val="auto"/>
              </w:rPr>
              <w:t>淮河-项目区</w:t>
            </w:r>
          </w:p>
        </w:tc>
        <w:tc>
          <w:tcPr>
            <w:tcW w:w="1276" w:type="dxa"/>
            <w:vMerge w:val="continue"/>
            <w:noWrap w:val="0"/>
            <w:vAlign w:val="center"/>
          </w:tcPr>
          <w:p w14:paraId="7D2C5AB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1" w:type="dxa"/>
            <w:noWrap w:val="0"/>
            <w:vAlign w:val="center"/>
          </w:tcPr>
          <w:p w14:paraId="647105F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eastAsia="等线" w:cs="Times New Roman"/>
                <w:color w:val="auto"/>
              </w:rPr>
              <w:t>0.100</w:t>
            </w:r>
          </w:p>
        </w:tc>
        <w:tc>
          <w:tcPr>
            <w:tcW w:w="850" w:type="dxa"/>
            <w:noWrap w:val="0"/>
            <w:vAlign w:val="center"/>
          </w:tcPr>
          <w:p w14:paraId="263EA205">
            <w:pPr>
              <w:keepNext w:val="0"/>
              <w:keepLines w:val="0"/>
              <w:widowControl/>
              <w:suppressLineNumbers w:val="0"/>
              <w:spacing w:before="0" w:beforeAutospacing="0" w:after="0" w:afterAutospacing="0"/>
              <w:ind w:left="0" w:right="0"/>
              <w:jc w:val="center"/>
              <w:rPr>
                <w:rFonts w:hint="eastAsia" w:ascii="Times New Roman" w:hAnsi="Times New Roman" w:cs="Times New Roman"/>
                <w:color w:val="auto"/>
                <w:kern w:val="0"/>
              </w:rPr>
            </w:pPr>
            <w:r>
              <w:rPr>
                <w:rFonts w:hint="default" w:ascii="Times New Roman" w:hAnsi="Times New Roman" w:eastAsia="等线" w:cs="Times New Roman"/>
                <w:color w:val="auto"/>
              </w:rPr>
              <w:t>0.750</w:t>
            </w:r>
          </w:p>
        </w:tc>
        <w:tc>
          <w:tcPr>
            <w:tcW w:w="851" w:type="dxa"/>
            <w:noWrap w:val="0"/>
            <w:vAlign w:val="center"/>
          </w:tcPr>
          <w:p w14:paraId="012F0D98">
            <w:pPr>
              <w:keepNext w:val="0"/>
              <w:keepLines w:val="0"/>
              <w:widowControl/>
              <w:suppressLineNumbers w:val="0"/>
              <w:spacing w:before="0" w:beforeAutospacing="0" w:after="0" w:afterAutospacing="0"/>
              <w:ind w:left="0" w:right="0"/>
              <w:jc w:val="center"/>
              <w:rPr>
                <w:rFonts w:hint="eastAsia" w:ascii="Times New Roman" w:hAnsi="Times New Roman" w:cs="Times New Roman"/>
                <w:color w:val="auto"/>
                <w:kern w:val="0"/>
              </w:rPr>
            </w:pPr>
            <w:r>
              <w:rPr>
                <w:rFonts w:hint="default" w:ascii="Times New Roman" w:hAnsi="Times New Roman" w:eastAsia="等线" w:cs="Times New Roman"/>
                <w:color w:val="auto"/>
              </w:rPr>
              <w:t>0.400</w:t>
            </w:r>
          </w:p>
        </w:tc>
        <w:tc>
          <w:tcPr>
            <w:tcW w:w="794" w:type="dxa"/>
            <w:noWrap w:val="0"/>
            <w:vAlign w:val="center"/>
          </w:tcPr>
          <w:p w14:paraId="513A69E8">
            <w:pPr>
              <w:keepNext w:val="0"/>
              <w:keepLines w:val="0"/>
              <w:widowControl/>
              <w:suppressLineNumbers w:val="0"/>
              <w:spacing w:before="0" w:beforeAutospacing="0" w:after="0" w:afterAutospacing="0"/>
              <w:ind w:left="0" w:right="0"/>
              <w:jc w:val="center"/>
              <w:rPr>
                <w:rFonts w:hint="eastAsia" w:ascii="Times New Roman" w:hAnsi="Times New Roman" w:cs="Times New Roman"/>
                <w:color w:val="auto"/>
                <w:kern w:val="0"/>
              </w:rPr>
            </w:pPr>
            <w:r>
              <w:rPr>
                <w:rFonts w:hint="eastAsia" w:ascii="Times New Roman" w:hAnsi="Times New Roman" w:cs="Times New Roman"/>
                <w:color w:val="auto"/>
                <w:kern w:val="0"/>
              </w:rPr>
              <w:t>0</w:t>
            </w:r>
            <w:r>
              <w:rPr>
                <w:rFonts w:hint="default" w:ascii="Times New Roman" w:hAnsi="Times New Roman" w:cs="Times New Roman"/>
                <w:color w:val="auto"/>
                <w:kern w:val="0"/>
              </w:rPr>
              <w:t>.740</w:t>
            </w:r>
          </w:p>
        </w:tc>
        <w:tc>
          <w:tcPr>
            <w:tcW w:w="831" w:type="dxa"/>
            <w:noWrap w:val="0"/>
            <w:vAlign w:val="center"/>
          </w:tcPr>
          <w:p w14:paraId="17E5903F">
            <w:pPr>
              <w:keepNext w:val="0"/>
              <w:keepLines w:val="0"/>
              <w:widowControl/>
              <w:suppressLineNumbers w:val="0"/>
              <w:spacing w:before="0" w:beforeAutospacing="0" w:after="0" w:afterAutospacing="0"/>
              <w:ind w:left="0" w:right="0"/>
              <w:jc w:val="center"/>
              <w:rPr>
                <w:rFonts w:hint="eastAsia" w:ascii="Times New Roman" w:hAnsi="Times New Roman" w:cs="Times New Roman"/>
                <w:color w:val="auto"/>
                <w:kern w:val="0"/>
              </w:rPr>
            </w:pPr>
            <w:r>
              <w:rPr>
                <w:rFonts w:hint="default" w:ascii="Times New Roman" w:hAnsi="Times New Roman" w:eastAsia="等线" w:cs="Times New Roman"/>
                <w:color w:val="auto"/>
              </w:rPr>
              <w:t>0.500</w:t>
            </w:r>
          </w:p>
        </w:tc>
        <w:tc>
          <w:tcPr>
            <w:tcW w:w="891" w:type="dxa"/>
            <w:noWrap w:val="0"/>
            <w:vAlign w:val="center"/>
          </w:tcPr>
          <w:p w14:paraId="76CAB6D0">
            <w:pPr>
              <w:keepNext w:val="0"/>
              <w:keepLines w:val="0"/>
              <w:widowControl/>
              <w:suppressLineNumbers w:val="0"/>
              <w:spacing w:before="0" w:beforeAutospacing="0" w:after="0" w:afterAutospacing="0"/>
              <w:ind w:left="0" w:right="0"/>
              <w:jc w:val="center"/>
              <w:rPr>
                <w:rFonts w:hint="eastAsia" w:ascii="Times New Roman" w:hAnsi="Times New Roman" w:cs="Times New Roman"/>
                <w:color w:val="auto"/>
                <w:kern w:val="0"/>
              </w:rPr>
            </w:pPr>
            <w:r>
              <w:rPr>
                <w:rFonts w:hint="default" w:ascii="Times New Roman" w:hAnsi="Times New Roman" w:eastAsia="等线" w:cs="Times New Roman"/>
                <w:color w:val="auto"/>
              </w:rPr>
              <w:t>0.600</w:t>
            </w:r>
          </w:p>
        </w:tc>
      </w:tr>
      <w:tr w14:paraId="3808E4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43" w:type="dxa"/>
            <w:noWrap w:val="0"/>
            <w:vAlign w:val="center"/>
          </w:tcPr>
          <w:p w14:paraId="0D315BE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W3淮河-项目区下游1000m</w:t>
            </w:r>
          </w:p>
        </w:tc>
        <w:tc>
          <w:tcPr>
            <w:tcW w:w="1276" w:type="dxa"/>
            <w:vMerge w:val="continue"/>
            <w:noWrap w:val="0"/>
            <w:vAlign w:val="center"/>
          </w:tcPr>
          <w:p w14:paraId="250123C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1" w:type="dxa"/>
            <w:noWrap w:val="0"/>
            <w:vAlign w:val="center"/>
          </w:tcPr>
          <w:p w14:paraId="6A5BFC9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0.050</w:t>
            </w:r>
          </w:p>
        </w:tc>
        <w:tc>
          <w:tcPr>
            <w:tcW w:w="850" w:type="dxa"/>
            <w:noWrap w:val="0"/>
            <w:vAlign w:val="center"/>
          </w:tcPr>
          <w:p w14:paraId="7468F25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0.500</w:t>
            </w:r>
          </w:p>
        </w:tc>
        <w:tc>
          <w:tcPr>
            <w:tcW w:w="851" w:type="dxa"/>
            <w:noWrap w:val="0"/>
            <w:vAlign w:val="center"/>
          </w:tcPr>
          <w:p w14:paraId="4ACB4AB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0.275</w:t>
            </w:r>
          </w:p>
        </w:tc>
        <w:tc>
          <w:tcPr>
            <w:tcW w:w="794" w:type="dxa"/>
            <w:noWrap w:val="0"/>
            <w:vAlign w:val="center"/>
          </w:tcPr>
          <w:p w14:paraId="700644C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.840</w:t>
            </w:r>
          </w:p>
        </w:tc>
        <w:tc>
          <w:tcPr>
            <w:tcW w:w="831" w:type="dxa"/>
            <w:noWrap w:val="0"/>
            <w:vAlign w:val="center"/>
          </w:tcPr>
          <w:p w14:paraId="4355C83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0.450</w:t>
            </w:r>
          </w:p>
        </w:tc>
        <w:tc>
          <w:tcPr>
            <w:tcW w:w="891" w:type="dxa"/>
            <w:noWrap w:val="0"/>
            <w:vAlign w:val="center"/>
          </w:tcPr>
          <w:p w14:paraId="5CAF0AC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0.600</w:t>
            </w:r>
          </w:p>
        </w:tc>
      </w:tr>
      <w:tr w14:paraId="46B79A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43" w:type="dxa"/>
            <w:noWrap w:val="0"/>
            <w:vAlign w:val="center"/>
          </w:tcPr>
          <w:p w14:paraId="36EEEBC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W4淮河-项目区下游2000m</w:t>
            </w:r>
          </w:p>
        </w:tc>
        <w:tc>
          <w:tcPr>
            <w:tcW w:w="1276" w:type="dxa"/>
            <w:vMerge w:val="continue"/>
            <w:noWrap w:val="0"/>
            <w:vAlign w:val="center"/>
          </w:tcPr>
          <w:p w14:paraId="6B094A8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1" w:type="dxa"/>
            <w:noWrap w:val="0"/>
            <w:vAlign w:val="center"/>
          </w:tcPr>
          <w:p w14:paraId="0DA69CB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0.100</w:t>
            </w:r>
          </w:p>
        </w:tc>
        <w:tc>
          <w:tcPr>
            <w:tcW w:w="850" w:type="dxa"/>
            <w:noWrap w:val="0"/>
            <w:vAlign w:val="center"/>
          </w:tcPr>
          <w:p w14:paraId="4A9BFDD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0.600</w:t>
            </w:r>
          </w:p>
        </w:tc>
        <w:tc>
          <w:tcPr>
            <w:tcW w:w="851" w:type="dxa"/>
            <w:noWrap w:val="0"/>
            <w:vAlign w:val="center"/>
          </w:tcPr>
          <w:p w14:paraId="64F037D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0.375</w:t>
            </w:r>
          </w:p>
        </w:tc>
        <w:tc>
          <w:tcPr>
            <w:tcW w:w="794" w:type="dxa"/>
            <w:noWrap w:val="0"/>
            <w:vAlign w:val="center"/>
          </w:tcPr>
          <w:p w14:paraId="2B34DFF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.240</w:t>
            </w:r>
          </w:p>
        </w:tc>
        <w:tc>
          <w:tcPr>
            <w:tcW w:w="831" w:type="dxa"/>
            <w:noWrap w:val="0"/>
            <w:vAlign w:val="center"/>
          </w:tcPr>
          <w:p w14:paraId="441B732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0.550</w:t>
            </w:r>
          </w:p>
        </w:tc>
        <w:tc>
          <w:tcPr>
            <w:tcW w:w="891" w:type="dxa"/>
            <w:noWrap w:val="0"/>
            <w:vAlign w:val="center"/>
          </w:tcPr>
          <w:p w14:paraId="30D914F0">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eastAsia="等线" w:cs="Times New Roman"/>
                <w:color w:val="auto"/>
              </w:rPr>
              <w:t>0.600</w:t>
            </w:r>
          </w:p>
        </w:tc>
      </w:tr>
      <w:tr w14:paraId="606CDE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43" w:type="dxa"/>
            <w:noWrap w:val="0"/>
            <w:vAlign w:val="center"/>
          </w:tcPr>
          <w:p w14:paraId="79C9B4A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W1淮河-项目区上游500m</w:t>
            </w:r>
          </w:p>
        </w:tc>
        <w:tc>
          <w:tcPr>
            <w:tcW w:w="1276" w:type="dxa"/>
            <w:vMerge w:val="restart"/>
            <w:noWrap w:val="0"/>
            <w:vAlign w:val="center"/>
          </w:tcPr>
          <w:p w14:paraId="47BB274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023.10.24</w:t>
            </w:r>
          </w:p>
        </w:tc>
        <w:tc>
          <w:tcPr>
            <w:tcW w:w="851" w:type="dxa"/>
            <w:noWrap w:val="0"/>
            <w:vAlign w:val="center"/>
          </w:tcPr>
          <w:p w14:paraId="54BF700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0.000</w:t>
            </w:r>
          </w:p>
        </w:tc>
        <w:tc>
          <w:tcPr>
            <w:tcW w:w="850" w:type="dxa"/>
            <w:noWrap w:val="0"/>
            <w:vAlign w:val="center"/>
          </w:tcPr>
          <w:p w14:paraId="57C965E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eastAsia="等线" w:cs="Times New Roman"/>
                <w:color w:val="auto"/>
              </w:rPr>
              <w:t>0.550</w:t>
            </w:r>
          </w:p>
        </w:tc>
        <w:tc>
          <w:tcPr>
            <w:tcW w:w="851" w:type="dxa"/>
            <w:noWrap w:val="0"/>
            <w:vAlign w:val="center"/>
          </w:tcPr>
          <w:p w14:paraId="6677D7B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eastAsia="等线" w:cs="Times New Roman"/>
                <w:color w:val="auto"/>
              </w:rPr>
              <w:t>0.325</w:t>
            </w:r>
          </w:p>
        </w:tc>
        <w:tc>
          <w:tcPr>
            <w:tcW w:w="794" w:type="dxa"/>
            <w:noWrap w:val="0"/>
            <w:vAlign w:val="center"/>
          </w:tcPr>
          <w:p w14:paraId="75DE825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eastAsia" w:ascii="Times New Roman" w:hAnsi="Times New Roman" w:cs="Times New Roman"/>
                <w:color w:val="auto"/>
                <w:kern w:val="0"/>
              </w:rPr>
              <w:t>0</w:t>
            </w:r>
            <w:r>
              <w:rPr>
                <w:rFonts w:hint="default" w:ascii="Times New Roman" w:hAnsi="Times New Roman" w:cs="Times New Roman"/>
                <w:color w:val="auto"/>
                <w:kern w:val="0"/>
              </w:rPr>
              <w:t>.205</w:t>
            </w:r>
          </w:p>
        </w:tc>
        <w:tc>
          <w:tcPr>
            <w:tcW w:w="831" w:type="dxa"/>
            <w:noWrap w:val="0"/>
            <w:vAlign w:val="center"/>
          </w:tcPr>
          <w:p w14:paraId="16D52FF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eastAsia="等线" w:cs="Times New Roman"/>
                <w:color w:val="auto"/>
              </w:rPr>
              <w:t>0.550</w:t>
            </w:r>
          </w:p>
        </w:tc>
        <w:tc>
          <w:tcPr>
            <w:tcW w:w="891" w:type="dxa"/>
            <w:noWrap w:val="0"/>
            <w:vAlign w:val="center"/>
          </w:tcPr>
          <w:p w14:paraId="6802435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eastAsia="等线" w:cs="Times New Roman"/>
                <w:color w:val="auto"/>
              </w:rPr>
              <w:t>0.600</w:t>
            </w:r>
          </w:p>
        </w:tc>
      </w:tr>
      <w:tr w14:paraId="052735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43" w:type="dxa"/>
            <w:noWrap w:val="0"/>
            <w:vAlign w:val="center"/>
          </w:tcPr>
          <w:p w14:paraId="37F00A3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W</w:t>
            </w:r>
            <w:r>
              <w:rPr>
                <w:rFonts w:hint="default" w:ascii="Times New Roman" w:hAnsi="Times New Roman" w:cs="Times New Roman"/>
                <w:color w:val="auto"/>
              </w:rPr>
              <w:t>2</w:t>
            </w:r>
            <w:r>
              <w:rPr>
                <w:rFonts w:hint="eastAsia" w:ascii="Times New Roman" w:hAnsi="Times New Roman" w:cs="Times New Roman"/>
                <w:color w:val="auto"/>
              </w:rPr>
              <w:t>淮河-项目区</w:t>
            </w:r>
          </w:p>
        </w:tc>
        <w:tc>
          <w:tcPr>
            <w:tcW w:w="1276" w:type="dxa"/>
            <w:vMerge w:val="continue"/>
            <w:noWrap w:val="0"/>
            <w:vAlign w:val="center"/>
          </w:tcPr>
          <w:p w14:paraId="13B3B32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851" w:type="dxa"/>
            <w:noWrap w:val="0"/>
            <w:vAlign w:val="center"/>
          </w:tcPr>
          <w:p w14:paraId="2B7A759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0.200</w:t>
            </w:r>
          </w:p>
        </w:tc>
        <w:tc>
          <w:tcPr>
            <w:tcW w:w="850" w:type="dxa"/>
            <w:noWrap w:val="0"/>
            <w:vAlign w:val="center"/>
          </w:tcPr>
          <w:p w14:paraId="0BDDE91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eastAsia="等线" w:cs="Times New Roman"/>
                <w:color w:val="auto"/>
              </w:rPr>
              <w:t>0.650</w:t>
            </w:r>
          </w:p>
        </w:tc>
        <w:tc>
          <w:tcPr>
            <w:tcW w:w="851" w:type="dxa"/>
            <w:noWrap w:val="0"/>
            <w:vAlign w:val="center"/>
          </w:tcPr>
          <w:p w14:paraId="5F1E460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eastAsia="等线" w:cs="Times New Roman"/>
                <w:color w:val="auto"/>
              </w:rPr>
              <w:t>0.350</w:t>
            </w:r>
          </w:p>
        </w:tc>
        <w:tc>
          <w:tcPr>
            <w:tcW w:w="794" w:type="dxa"/>
            <w:noWrap w:val="0"/>
            <w:vAlign w:val="center"/>
          </w:tcPr>
          <w:p w14:paraId="13CD513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eastAsia" w:ascii="Times New Roman" w:hAnsi="Times New Roman" w:cs="Times New Roman"/>
                <w:color w:val="auto"/>
                <w:kern w:val="0"/>
              </w:rPr>
              <w:t>0</w:t>
            </w:r>
            <w:r>
              <w:rPr>
                <w:rFonts w:hint="default" w:ascii="Times New Roman" w:hAnsi="Times New Roman" w:cs="Times New Roman"/>
                <w:color w:val="auto"/>
                <w:kern w:val="0"/>
              </w:rPr>
              <w:t>.625</w:t>
            </w:r>
          </w:p>
        </w:tc>
        <w:tc>
          <w:tcPr>
            <w:tcW w:w="831" w:type="dxa"/>
            <w:noWrap w:val="0"/>
            <w:vAlign w:val="center"/>
          </w:tcPr>
          <w:p w14:paraId="714F2A8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eastAsia="等线" w:cs="Times New Roman"/>
                <w:color w:val="auto"/>
              </w:rPr>
              <w:t>0.550</w:t>
            </w:r>
          </w:p>
        </w:tc>
        <w:tc>
          <w:tcPr>
            <w:tcW w:w="891" w:type="dxa"/>
            <w:noWrap w:val="0"/>
            <w:vAlign w:val="center"/>
          </w:tcPr>
          <w:p w14:paraId="4B53B7CB">
            <w:pPr>
              <w:keepNext w:val="0"/>
              <w:keepLines w:val="0"/>
              <w:widowControl/>
              <w:suppressLineNumbers w:val="0"/>
              <w:spacing w:before="0" w:beforeAutospacing="0" w:after="0" w:afterAutospacing="0"/>
              <w:ind w:left="0" w:right="0"/>
              <w:jc w:val="center"/>
              <w:rPr>
                <w:rFonts w:hint="eastAsia" w:ascii="Times New Roman" w:hAnsi="Times New Roman" w:cs="Times New Roman"/>
                <w:color w:val="auto"/>
                <w:kern w:val="0"/>
              </w:rPr>
            </w:pPr>
            <w:r>
              <w:rPr>
                <w:rFonts w:hint="default" w:ascii="Times New Roman" w:hAnsi="Times New Roman" w:eastAsia="等线" w:cs="Times New Roman"/>
                <w:color w:val="auto"/>
              </w:rPr>
              <w:t>0.600</w:t>
            </w:r>
          </w:p>
        </w:tc>
      </w:tr>
      <w:tr w14:paraId="0E42D8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43" w:type="dxa"/>
            <w:noWrap w:val="0"/>
            <w:vAlign w:val="center"/>
          </w:tcPr>
          <w:p w14:paraId="6D16C48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W3淮河-项目区下游1000m</w:t>
            </w:r>
          </w:p>
        </w:tc>
        <w:tc>
          <w:tcPr>
            <w:tcW w:w="1276" w:type="dxa"/>
            <w:vMerge w:val="continue"/>
            <w:noWrap w:val="0"/>
            <w:vAlign w:val="center"/>
          </w:tcPr>
          <w:p w14:paraId="23CC9C3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1" w:type="dxa"/>
            <w:noWrap w:val="0"/>
            <w:vAlign w:val="center"/>
          </w:tcPr>
          <w:p w14:paraId="0106C6C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0.100</w:t>
            </w:r>
          </w:p>
        </w:tc>
        <w:tc>
          <w:tcPr>
            <w:tcW w:w="850" w:type="dxa"/>
            <w:noWrap w:val="0"/>
            <w:vAlign w:val="center"/>
          </w:tcPr>
          <w:p w14:paraId="0E8F6EC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0.500</w:t>
            </w:r>
          </w:p>
        </w:tc>
        <w:tc>
          <w:tcPr>
            <w:tcW w:w="851" w:type="dxa"/>
            <w:noWrap w:val="0"/>
            <w:vAlign w:val="center"/>
          </w:tcPr>
          <w:p w14:paraId="2DC48A8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0.325</w:t>
            </w:r>
          </w:p>
        </w:tc>
        <w:tc>
          <w:tcPr>
            <w:tcW w:w="794" w:type="dxa"/>
            <w:noWrap w:val="0"/>
            <w:vAlign w:val="center"/>
          </w:tcPr>
          <w:p w14:paraId="61C9566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.736</w:t>
            </w:r>
          </w:p>
        </w:tc>
        <w:tc>
          <w:tcPr>
            <w:tcW w:w="831" w:type="dxa"/>
            <w:noWrap w:val="0"/>
            <w:vAlign w:val="center"/>
          </w:tcPr>
          <w:p w14:paraId="2C075FB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0.450</w:t>
            </w:r>
          </w:p>
        </w:tc>
        <w:tc>
          <w:tcPr>
            <w:tcW w:w="891" w:type="dxa"/>
            <w:noWrap w:val="0"/>
            <w:vAlign w:val="center"/>
          </w:tcPr>
          <w:p w14:paraId="02C3A9E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0.600</w:t>
            </w:r>
          </w:p>
        </w:tc>
      </w:tr>
      <w:tr w14:paraId="4BD221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43" w:type="dxa"/>
            <w:noWrap w:val="0"/>
            <w:vAlign w:val="center"/>
          </w:tcPr>
          <w:p w14:paraId="43E3128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W4淮河-项目区下游2000m</w:t>
            </w:r>
          </w:p>
        </w:tc>
        <w:tc>
          <w:tcPr>
            <w:tcW w:w="1276" w:type="dxa"/>
            <w:vMerge w:val="continue"/>
            <w:noWrap w:val="0"/>
            <w:vAlign w:val="center"/>
          </w:tcPr>
          <w:p w14:paraId="0AACBEC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1" w:type="dxa"/>
            <w:noWrap w:val="0"/>
            <w:vAlign w:val="center"/>
          </w:tcPr>
          <w:p w14:paraId="7FE1F88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0.200</w:t>
            </w:r>
          </w:p>
        </w:tc>
        <w:tc>
          <w:tcPr>
            <w:tcW w:w="850" w:type="dxa"/>
            <w:noWrap w:val="0"/>
            <w:vAlign w:val="center"/>
          </w:tcPr>
          <w:p w14:paraId="03DDFCE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0.750</w:t>
            </w:r>
          </w:p>
        </w:tc>
        <w:tc>
          <w:tcPr>
            <w:tcW w:w="851" w:type="dxa"/>
            <w:noWrap w:val="0"/>
            <w:vAlign w:val="center"/>
          </w:tcPr>
          <w:p w14:paraId="60B6509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0.425</w:t>
            </w:r>
          </w:p>
        </w:tc>
        <w:tc>
          <w:tcPr>
            <w:tcW w:w="794" w:type="dxa"/>
            <w:noWrap w:val="0"/>
            <w:vAlign w:val="center"/>
          </w:tcPr>
          <w:p w14:paraId="7186582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.240</w:t>
            </w:r>
          </w:p>
        </w:tc>
        <w:tc>
          <w:tcPr>
            <w:tcW w:w="831" w:type="dxa"/>
            <w:noWrap w:val="0"/>
            <w:vAlign w:val="center"/>
          </w:tcPr>
          <w:p w14:paraId="7FF07AE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0.550</w:t>
            </w:r>
          </w:p>
        </w:tc>
        <w:tc>
          <w:tcPr>
            <w:tcW w:w="891" w:type="dxa"/>
            <w:noWrap w:val="0"/>
            <w:vAlign w:val="center"/>
          </w:tcPr>
          <w:p w14:paraId="04E5C9F9">
            <w:pPr>
              <w:keepNext w:val="0"/>
              <w:keepLines w:val="0"/>
              <w:suppressLineNumbers w:val="0"/>
              <w:spacing w:before="0" w:beforeAutospacing="0" w:after="0" w:afterAutospacing="0"/>
              <w:ind w:left="0" w:right="0"/>
              <w:jc w:val="center"/>
              <w:rPr>
                <w:rFonts w:hint="eastAsia" w:ascii="Times New Roman" w:hAnsi="Times New Roman" w:cs="Times New Roman"/>
                <w:b/>
                <w:bCs/>
                <w:color w:val="auto"/>
              </w:rPr>
            </w:pPr>
            <w:r>
              <w:rPr>
                <w:rFonts w:hint="default" w:ascii="Times New Roman" w:hAnsi="Times New Roman" w:eastAsia="等线" w:cs="Times New Roman"/>
                <w:color w:val="auto"/>
              </w:rPr>
              <w:t>0.600</w:t>
            </w:r>
          </w:p>
        </w:tc>
      </w:tr>
      <w:tr w14:paraId="3D8FE1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43" w:type="dxa"/>
            <w:noWrap w:val="0"/>
            <w:vAlign w:val="center"/>
          </w:tcPr>
          <w:p w14:paraId="08A8878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W1淮河-项目区上游500m</w:t>
            </w:r>
          </w:p>
        </w:tc>
        <w:tc>
          <w:tcPr>
            <w:tcW w:w="1276" w:type="dxa"/>
            <w:vMerge w:val="restart"/>
            <w:noWrap w:val="0"/>
            <w:vAlign w:val="center"/>
          </w:tcPr>
          <w:p w14:paraId="6DDC44B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023.10.25</w:t>
            </w:r>
          </w:p>
        </w:tc>
        <w:tc>
          <w:tcPr>
            <w:tcW w:w="851" w:type="dxa"/>
            <w:noWrap w:val="0"/>
            <w:vAlign w:val="center"/>
          </w:tcPr>
          <w:p w14:paraId="4DE99AD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0.200</w:t>
            </w:r>
          </w:p>
        </w:tc>
        <w:tc>
          <w:tcPr>
            <w:tcW w:w="850" w:type="dxa"/>
            <w:noWrap w:val="0"/>
            <w:vAlign w:val="center"/>
          </w:tcPr>
          <w:p w14:paraId="67AD612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0.600</w:t>
            </w:r>
          </w:p>
        </w:tc>
        <w:tc>
          <w:tcPr>
            <w:tcW w:w="851" w:type="dxa"/>
            <w:noWrap w:val="0"/>
            <w:vAlign w:val="center"/>
          </w:tcPr>
          <w:p w14:paraId="5FA150B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0.400</w:t>
            </w:r>
          </w:p>
        </w:tc>
        <w:tc>
          <w:tcPr>
            <w:tcW w:w="794" w:type="dxa"/>
            <w:noWrap w:val="0"/>
            <w:vAlign w:val="center"/>
          </w:tcPr>
          <w:p w14:paraId="1BBA8B9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.190</w:t>
            </w:r>
          </w:p>
        </w:tc>
        <w:tc>
          <w:tcPr>
            <w:tcW w:w="831" w:type="dxa"/>
            <w:noWrap w:val="0"/>
            <w:vAlign w:val="center"/>
          </w:tcPr>
          <w:p w14:paraId="33798CC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0.450</w:t>
            </w:r>
          </w:p>
        </w:tc>
        <w:tc>
          <w:tcPr>
            <w:tcW w:w="891" w:type="dxa"/>
            <w:noWrap w:val="0"/>
            <w:vAlign w:val="center"/>
          </w:tcPr>
          <w:p w14:paraId="4B40C28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eastAsia="等线" w:cs="Times New Roman"/>
                <w:color w:val="auto"/>
              </w:rPr>
              <w:t>0.600</w:t>
            </w:r>
          </w:p>
        </w:tc>
      </w:tr>
      <w:tr w14:paraId="6DB68B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43" w:type="dxa"/>
            <w:noWrap w:val="0"/>
            <w:vAlign w:val="center"/>
          </w:tcPr>
          <w:p w14:paraId="2A2891C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W</w:t>
            </w:r>
            <w:r>
              <w:rPr>
                <w:rFonts w:hint="default" w:ascii="Times New Roman" w:hAnsi="Times New Roman" w:cs="Times New Roman"/>
                <w:color w:val="auto"/>
              </w:rPr>
              <w:t>2</w:t>
            </w:r>
            <w:r>
              <w:rPr>
                <w:rFonts w:hint="eastAsia" w:ascii="Times New Roman" w:hAnsi="Times New Roman" w:cs="Times New Roman"/>
                <w:color w:val="auto"/>
              </w:rPr>
              <w:t>淮河-项目区</w:t>
            </w:r>
          </w:p>
        </w:tc>
        <w:tc>
          <w:tcPr>
            <w:tcW w:w="1276" w:type="dxa"/>
            <w:vMerge w:val="continue"/>
            <w:noWrap w:val="0"/>
            <w:vAlign w:val="center"/>
          </w:tcPr>
          <w:p w14:paraId="0FEAF3C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851" w:type="dxa"/>
            <w:noWrap w:val="0"/>
            <w:vAlign w:val="center"/>
          </w:tcPr>
          <w:p w14:paraId="293921B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0.050</w:t>
            </w:r>
          </w:p>
        </w:tc>
        <w:tc>
          <w:tcPr>
            <w:tcW w:w="850" w:type="dxa"/>
            <w:noWrap w:val="0"/>
            <w:vAlign w:val="center"/>
          </w:tcPr>
          <w:p w14:paraId="5F19345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0.700</w:t>
            </w:r>
          </w:p>
        </w:tc>
        <w:tc>
          <w:tcPr>
            <w:tcW w:w="851" w:type="dxa"/>
            <w:noWrap w:val="0"/>
            <w:vAlign w:val="center"/>
          </w:tcPr>
          <w:p w14:paraId="298CDFC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0.425</w:t>
            </w:r>
          </w:p>
        </w:tc>
        <w:tc>
          <w:tcPr>
            <w:tcW w:w="794" w:type="dxa"/>
            <w:noWrap w:val="0"/>
            <w:vAlign w:val="center"/>
          </w:tcPr>
          <w:p w14:paraId="2972B0A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.586</w:t>
            </w:r>
          </w:p>
        </w:tc>
        <w:tc>
          <w:tcPr>
            <w:tcW w:w="831" w:type="dxa"/>
            <w:noWrap w:val="0"/>
            <w:vAlign w:val="center"/>
          </w:tcPr>
          <w:p w14:paraId="0681BBB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0.550</w:t>
            </w:r>
          </w:p>
        </w:tc>
        <w:tc>
          <w:tcPr>
            <w:tcW w:w="891" w:type="dxa"/>
            <w:noWrap w:val="0"/>
            <w:vAlign w:val="center"/>
          </w:tcPr>
          <w:p w14:paraId="5F24708D">
            <w:pPr>
              <w:keepNext w:val="0"/>
              <w:keepLines w:val="0"/>
              <w:widowControl/>
              <w:suppressLineNumbers w:val="0"/>
              <w:spacing w:before="0" w:beforeAutospacing="0" w:after="0" w:afterAutospacing="0"/>
              <w:ind w:left="0" w:right="0"/>
              <w:jc w:val="center"/>
              <w:rPr>
                <w:rFonts w:hint="eastAsia" w:ascii="Times New Roman" w:hAnsi="Times New Roman" w:cs="Times New Roman"/>
                <w:color w:val="auto"/>
                <w:kern w:val="0"/>
              </w:rPr>
            </w:pPr>
            <w:r>
              <w:rPr>
                <w:rFonts w:hint="default" w:ascii="Times New Roman" w:hAnsi="Times New Roman" w:eastAsia="等线" w:cs="Times New Roman"/>
                <w:color w:val="auto"/>
              </w:rPr>
              <w:t>0.600</w:t>
            </w:r>
          </w:p>
        </w:tc>
      </w:tr>
      <w:tr w14:paraId="526739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43" w:type="dxa"/>
            <w:noWrap w:val="0"/>
            <w:vAlign w:val="center"/>
          </w:tcPr>
          <w:p w14:paraId="07CC3DD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W3淮河-项目区下游1000m</w:t>
            </w:r>
          </w:p>
        </w:tc>
        <w:tc>
          <w:tcPr>
            <w:tcW w:w="1276" w:type="dxa"/>
            <w:vMerge w:val="continue"/>
            <w:noWrap w:val="0"/>
            <w:vAlign w:val="center"/>
          </w:tcPr>
          <w:p w14:paraId="61528DF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1" w:type="dxa"/>
            <w:noWrap w:val="0"/>
            <w:vAlign w:val="center"/>
          </w:tcPr>
          <w:p w14:paraId="1B61D19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0.100</w:t>
            </w:r>
          </w:p>
        </w:tc>
        <w:tc>
          <w:tcPr>
            <w:tcW w:w="850" w:type="dxa"/>
            <w:noWrap w:val="0"/>
            <w:vAlign w:val="center"/>
          </w:tcPr>
          <w:p w14:paraId="0937266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0.700</w:t>
            </w:r>
          </w:p>
        </w:tc>
        <w:tc>
          <w:tcPr>
            <w:tcW w:w="851" w:type="dxa"/>
            <w:noWrap w:val="0"/>
            <w:vAlign w:val="center"/>
          </w:tcPr>
          <w:p w14:paraId="58176BC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0.375</w:t>
            </w:r>
          </w:p>
        </w:tc>
        <w:tc>
          <w:tcPr>
            <w:tcW w:w="794" w:type="dxa"/>
            <w:noWrap w:val="0"/>
            <w:vAlign w:val="center"/>
          </w:tcPr>
          <w:p w14:paraId="08D79ED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.690</w:t>
            </w:r>
          </w:p>
        </w:tc>
        <w:tc>
          <w:tcPr>
            <w:tcW w:w="831" w:type="dxa"/>
            <w:noWrap w:val="0"/>
            <w:vAlign w:val="center"/>
          </w:tcPr>
          <w:p w14:paraId="686CDA5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0.500</w:t>
            </w:r>
          </w:p>
        </w:tc>
        <w:tc>
          <w:tcPr>
            <w:tcW w:w="891" w:type="dxa"/>
            <w:noWrap w:val="0"/>
            <w:vAlign w:val="center"/>
          </w:tcPr>
          <w:p w14:paraId="7487666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0.600</w:t>
            </w:r>
          </w:p>
        </w:tc>
      </w:tr>
      <w:tr w14:paraId="6BBCEF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943" w:type="dxa"/>
            <w:noWrap w:val="0"/>
            <w:vAlign w:val="center"/>
          </w:tcPr>
          <w:p w14:paraId="556B82C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W4淮河-项目区下游2000m</w:t>
            </w:r>
          </w:p>
        </w:tc>
        <w:tc>
          <w:tcPr>
            <w:tcW w:w="1276" w:type="dxa"/>
            <w:vMerge w:val="continue"/>
            <w:noWrap w:val="0"/>
            <w:vAlign w:val="center"/>
          </w:tcPr>
          <w:p w14:paraId="4183FFB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51" w:type="dxa"/>
            <w:noWrap w:val="0"/>
            <w:vAlign w:val="center"/>
          </w:tcPr>
          <w:p w14:paraId="0E39B77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eastAsia="等线" w:cs="Times New Roman"/>
                <w:color w:val="auto"/>
              </w:rPr>
              <w:t>0.000</w:t>
            </w:r>
          </w:p>
        </w:tc>
        <w:tc>
          <w:tcPr>
            <w:tcW w:w="850" w:type="dxa"/>
            <w:noWrap w:val="0"/>
            <w:vAlign w:val="center"/>
          </w:tcPr>
          <w:p w14:paraId="5AE8B91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0.800</w:t>
            </w:r>
          </w:p>
        </w:tc>
        <w:tc>
          <w:tcPr>
            <w:tcW w:w="851" w:type="dxa"/>
            <w:noWrap w:val="0"/>
            <w:vAlign w:val="center"/>
          </w:tcPr>
          <w:p w14:paraId="26B1197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0.475</w:t>
            </w:r>
          </w:p>
        </w:tc>
        <w:tc>
          <w:tcPr>
            <w:tcW w:w="794" w:type="dxa"/>
            <w:noWrap w:val="0"/>
            <w:vAlign w:val="center"/>
          </w:tcPr>
          <w:p w14:paraId="190288B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.240</w:t>
            </w:r>
          </w:p>
        </w:tc>
        <w:tc>
          <w:tcPr>
            <w:tcW w:w="831" w:type="dxa"/>
            <w:noWrap w:val="0"/>
            <w:vAlign w:val="center"/>
          </w:tcPr>
          <w:p w14:paraId="1D855E5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等线" w:cs="Times New Roman"/>
                <w:color w:val="auto"/>
              </w:rPr>
              <w:t>0.550</w:t>
            </w:r>
          </w:p>
        </w:tc>
        <w:tc>
          <w:tcPr>
            <w:tcW w:w="891" w:type="dxa"/>
            <w:noWrap w:val="0"/>
            <w:vAlign w:val="center"/>
          </w:tcPr>
          <w:p w14:paraId="2907FBF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eastAsia="等线" w:cs="Times New Roman"/>
                <w:color w:val="auto"/>
              </w:rPr>
              <w:t>0.600</w:t>
            </w:r>
          </w:p>
        </w:tc>
      </w:tr>
    </w:tbl>
    <w:p w14:paraId="6F1D29FB">
      <w:pPr>
        <w:spacing w:line="360" w:lineRule="auto"/>
        <w:ind w:firstLine="480" w:firstLineChars="200"/>
        <w:rPr>
          <w:color w:val="auto"/>
          <w:sz w:val="24"/>
        </w:rPr>
      </w:pPr>
      <w:r>
        <w:rPr>
          <w:color w:val="auto"/>
          <w:sz w:val="24"/>
        </w:rPr>
        <w:t>由监测结果可以看出：淮河</w:t>
      </w:r>
      <w:r>
        <w:rPr>
          <w:rFonts w:hint="eastAsia"/>
          <w:color w:val="auto"/>
          <w:sz w:val="24"/>
        </w:rPr>
        <w:t>各监测断面</w:t>
      </w:r>
      <w:r>
        <w:rPr>
          <w:color w:val="auto"/>
          <w:sz w:val="24"/>
        </w:rPr>
        <w:t>各项指标均满足《地表水环境质量标准》(GB3838-2002)中的</w:t>
      </w:r>
      <w:r>
        <w:rPr>
          <w:color w:val="auto"/>
          <w:sz w:val="24"/>
        </w:rPr>
        <w:fldChar w:fldCharType="begin"/>
      </w:r>
      <w:r>
        <w:rPr>
          <w:color w:val="auto"/>
          <w:sz w:val="24"/>
        </w:rPr>
        <w:instrText xml:space="preserve"> = 3 \* ROMAN </w:instrText>
      </w:r>
      <w:r>
        <w:rPr>
          <w:color w:val="auto"/>
          <w:sz w:val="24"/>
        </w:rPr>
        <w:fldChar w:fldCharType="separate"/>
      </w:r>
      <w:r>
        <w:rPr>
          <w:color w:val="auto"/>
          <w:sz w:val="24"/>
        </w:rPr>
        <w:t>III</w:t>
      </w:r>
      <w:r>
        <w:rPr>
          <w:color w:val="auto"/>
          <w:sz w:val="24"/>
        </w:rPr>
        <w:fldChar w:fldCharType="end"/>
      </w:r>
      <w:r>
        <w:rPr>
          <w:color w:val="auto"/>
          <w:sz w:val="24"/>
        </w:rPr>
        <w:t>类标准。</w:t>
      </w:r>
    </w:p>
    <w:p w14:paraId="7048E8D3">
      <w:pPr>
        <w:pStyle w:val="4"/>
        <w:numPr>
          <w:ilvl w:val="2"/>
          <w:numId w:val="0"/>
        </w:numPr>
        <w:rPr>
          <w:color w:val="auto"/>
        </w:rPr>
      </w:pPr>
      <w:r>
        <w:rPr>
          <w:rFonts w:hint="eastAsia"/>
          <w:color w:val="auto"/>
        </w:rPr>
        <w:t>4.2.4</w:t>
      </w:r>
      <w:r>
        <w:rPr>
          <w:color w:val="auto"/>
        </w:rPr>
        <w:t>底泥环境质量现状监测与评价</w:t>
      </w:r>
    </w:p>
    <w:p w14:paraId="55454DFE">
      <w:pPr>
        <w:pStyle w:val="5"/>
        <w:numPr>
          <w:ilvl w:val="3"/>
          <w:numId w:val="0"/>
        </w:numPr>
        <w:rPr>
          <w:color w:val="auto"/>
        </w:rPr>
      </w:pPr>
      <w:r>
        <w:rPr>
          <w:rFonts w:hint="eastAsia"/>
          <w:color w:val="auto"/>
        </w:rPr>
        <w:t>4.2.4.1</w:t>
      </w:r>
      <w:r>
        <w:rPr>
          <w:color w:val="auto"/>
        </w:rPr>
        <w:t>底泥现状监测</w:t>
      </w:r>
    </w:p>
    <w:p w14:paraId="457951C0">
      <w:pPr>
        <w:spacing w:line="360" w:lineRule="auto"/>
        <w:ind w:firstLine="480" w:firstLineChars="200"/>
        <w:rPr>
          <w:color w:val="auto"/>
          <w:sz w:val="24"/>
        </w:rPr>
      </w:pPr>
      <w:r>
        <w:rPr>
          <w:color w:val="auto"/>
          <w:sz w:val="24"/>
        </w:rPr>
        <w:t>（1）监测点位</w:t>
      </w:r>
    </w:p>
    <w:p w14:paraId="14746000">
      <w:pPr>
        <w:spacing w:line="360" w:lineRule="auto"/>
        <w:ind w:firstLine="480" w:firstLineChars="200"/>
        <w:rPr>
          <w:color w:val="auto"/>
          <w:sz w:val="24"/>
        </w:rPr>
      </w:pPr>
      <w:r>
        <w:rPr>
          <w:color w:val="auto"/>
          <w:sz w:val="24"/>
        </w:rPr>
        <w:t>为了解项目区域淮河底泥环境质量现状，在项目</w:t>
      </w:r>
      <w:r>
        <w:rPr>
          <w:rFonts w:hint="eastAsia"/>
          <w:color w:val="auto"/>
          <w:sz w:val="24"/>
        </w:rPr>
        <w:t>疏浚</w:t>
      </w:r>
      <w:r>
        <w:rPr>
          <w:color w:val="auto"/>
          <w:sz w:val="24"/>
        </w:rPr>
        <w:t>河段设置1处底泥环境质量现状监测点。</w:t>
      </w:r>
    </w:p>
    <w:p w14:paraId="04B0EF5D">
      <w:pPr>
        <w:spacing w:line="400" w:lineRule="exact"/>
        <w:jc w:val="center"/>
        <w:rPr>
          <w:rFonts w:eastAsia="黑体"/>
          <w:color w:val="auto"/>
          <w:sz w:val="24"/>
        </w:rPr>
      </w:pPr>
      <w:r>
        <w:rPr>
          <w:rFonts w:eastAsia="黑体"/>
          <w:color w:val="auto"/>
          <w:sz w:val="24"/>
        </w:rPr>
        <w:t>表4.2-1</w:t>
      </w:r>
      <w:r>
        <w:rPr>
          <w:rFonts w:hint="eastAsia" w:eastAsia="黑体"/>
          <w:color w:val="auto"/>
          <w:sz w:val="24"/>
          <w:lang w:val="en-US" w:eastAsia="zh-CN"/>
        </w:rPr>
        <w:t>5</w:t>
      </w:r>
      <w:r>
        <w:rPr>
          <w:rFonts w:eastAsia="黑体"/>
          <w:color w:val="auto"/>
          <w:sz w:val="24"/>
        </w:rPr>
        <w:t xml:space="preserve">  底泥环境质量现状监测点位</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3"/>
        <w:gridCol w:w="4644"/>
      </w:tblGrid>
      <w:tr w14:paraId="3BEA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43" w:type="dxa"/>
            <w:tcBorders>
              <w:top w:val="single" w:color="auto" w:sz="12" w:space="0"/>
              <w:left w:val="nil"/>
            </w:tcBorders>
            <w:noWrap w:val="0"/>
            <w:vAlign w:val="center"/>
          </w:tcPr>
          <w:p w14:paraId="5FF011D1">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监测点名称</w:t>
            </w:r>
          </w:p>
        </w:tc>
        <w:tc>
          <w:tcPr>
            <w:tcW w:w="4644" w:type="dxa"/>
            <w:tcBorders>
              <w:top w:val="single" w:color="auto" w:sz="12" w:space="0"/>
              <w:right w:val="nil"/>
            </w:tcBorders>
            <w:noWrap w:val="0"/>
            <w:vAlign w:val="center"/>
          </w:tcPr>
          <w:p w14:paraId="203C578C">
            <w:pPr>
              <w:keepNext w:val="0"/>
              <w:keepLines w:val="0"/>
              <w:suppressLineNumbers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监测点位置</w:t>
            </w:r>
          </w:p>
        </w:tc>
      </w:tr>
      <w:tr w14:paraId="2138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43" w:type="dxa"/>
            <w:tcBorders>
              <w:left w:val="nil"/>
              <w:bottom w:val="single" w:color="auto" w:sz="12" w:space="0"/>
            </w:tcBorders>
            <w:noWrap w:val="0"/>
            <w:vAlign w:val="center"/>
          </w:tcPr>
          <w:p w14:paraId="3CE43BA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淮河底泥</w:t>
            </w:r>
          </w:p>
        </w:tc>
        <w:tc>
          <w:tcPr>
            <w:tcW w:w="4644" w:type="dxa"/>
            <w:tcBorders>
              <w:bottom w:val="single" w:color="auto" w:sz="12" w:space="0"/>
              <w:right w:val="nil"/>
            </w:tcBorders>
            <w:noWrap w:val="0"/>
            <w:vAlign w:val="center"/>
          </w:tcPr>
          <w:p w14:paraId="18404C0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本项目码头处</w:t>
            </w:r>
          </w:p>
        </w:tc>
      </w:tr>
    </w:tbl>
    <w:p w14:paraId="1D5CBBF4">
      <w:pPr>
        <w:spacing w:line="360" w:lineRule="auto"/>
        <w:ind w:firstLine="480" w:firstLineChars="200"/>
        <w:rPr>
          <w:color w:val="auto"/>
          <w:sz w:val="24"/>
        </w:rPr>
      </w:pPr>
      <w:r>
        <w:rPr>
          <w:color w:val="auto"/>
          <w:sz w:val="24"/>
        </w:rPr>
        <w:t>（2）监测项目</w:t>
      </w:r>
    </w:p>
    <w:p w14:paraId="494F31B3">
      <w:pPr>
        <w:spacing w:line="360" w:lineRule="auto"/>
        <w:ind w:firstLine="480" w:firstLineChars="200"/>
        <w:rPr>
          <w:color w:val="auto"/>
          <w:sz w:val="24"/>
        </w:rPr>
      </w:pPr>
      <w:r>
        <w:rPr>
          <w:color w:val="auto"/>
          <w:sz w:val="24"/>
        </w:rPr>
        <w:t xml:space="preserve">包括《土壤环境质量 </w:t>
      </w:r>
      <w:r>
        <w:rPr>
          <w:rFonts w:hint="eastAsia"/>
          <w:color w:val="auto"/>
          <w:sz w:val="24"/>
        </w:rPr>
        <w:t>农</w:t>
      </w:r>
      <w:r>
        <w:rPr>
          <w:color w:val="auto"/>
          <w:sz w:val="24"/>
        </w:rPr>
        <w:t>用地土壤污染风险管控标准（试行）》(GB15618-2018)中9个基本项目。</w:t>
      </w:r>
    </w:p>
    <w:p w14:paraId="4A3AB908">
      <w:pPr>
        <w:spacing w:line="360" w:lineRule="auto"/>
        <w:ind w:firstLine="480" w:firstLineChars="200"/>
        <w:rPr>
          <w:color w:val="auto"/>
          <w:sz w:val="24"/>
        </w:rPr>
      </w:pPr>
      <w:r>
        <w:rPr>
          <w:color w:val="auto"/>
          <w:sz w:val="24"/>
        </w:rPr>
        <w:t>（3）监测时间和频次</w:t>
      </w:r>
    </w:p>
    <w:p w14:paraId="484AAB8F">
      <w:pPr>
        <w:spacing w:line="360" w:lineRule="auto"/>
        <w:ind w:firstLine="480" w:firstLineChars="200"/>
        <w:rPr>
          <w:color w:val="auto"/>
          <w:sz w:val="24"/>
        </w:rPr>
      </w:pPr>
      <w:r>
        <w:rPr>
          <w:color w:val="auto"/>
          <w:sz w:val="24"/>
        </w:rPr>
        <w:t>底泥环境质量现状监测为一期监测，采样频率为1天。</w:t>
      </w:r>
    </w:p>
    <w:p w14:paraId="111822C2">
      <w:pPr>
        <w:spacing w:line="360" w:lineRule="auto"/>
        <w:ind w:firstLine="480" w:firstLineChars="200"/>
        <w:rPr>
          <w:color w:val="auto"/>
          <w:sz w:val="24"/>
        </w:rPr>
      </w:pPr>
      <w:r>
        <w:rPr>
          <w:color w:val="auto"/>
          <w:sz w:val="24"/>
        </w:rPr>
        <w:t>（4）监测结果</w:t>
      </w:r>
    </w:p>
    <w:p w14:paraId="0179A177">
      <w:pPr>
        <w:spacing w:line="400" w:lineRule="exact"/>
        <w:jc w:val="center"/>
        <w:rPr>
          <w:rFonts w:eastAsia="黑体"/>
          <w:color w:val="auto"/>
          <w:sz w:val="24"/>
        </w:rPr>
      </w:pPr>
    </w:p>
    <w:p w14:paraId="17540EDF">
      <w:pPr>
        <w:spacing w:line="400" w:lineRule="exact"/>
        <w:jc w:val="center"/>
        <w:rPr>
          <w:rFonts w:eastAsia="黑体"/>
          <w:color w:val="auto"/>
          <w:sz w:val="24"/>
        </w:rPr>
      </w:pPr>
      <w:r>
        <w:rPr>
          <w:rFonts w:eastAsia="黑体"/>
          <w:color w:val="auto"/>
          <w:sz w:val="24"/>
        </w:rPr>
        <w:t>表4.2-</w:t>
      </w:r>
      <w:r>
        <w:rPr>
          <w:rFonts w:hint="eastAsia" w:eastAsia="黑体"/>
          <w:color w:val="auto"/>
          <w:sz w:val="24"/>
        </w:rPr>
        <w:t>1</w:t>
      </w:r>
      <w:r>
        <w:rPr>
          <w:rFonts w:hint="eastAsia" w:eastAsia="黑体"/>
          <w:color w:val="auto"/>
          <w:sz w:val="24"/>
          <w:lang w:val="en-US" w:eastAsia="zh-CN"/>
        </w:rPr>
        <w:t>6</w:t>
      </w:r>
      <w:r>
        <w:rPr>
          <w:rFonts w:eastAsia="黑体"/>
          <w:color w:val="auto"/>
          <w:sz w:val="24"/>
        </w:rPr>
        <w:t xml:space="preserve">  河流底泥环境质量监测结果统计表</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439"/>
        <w:gridCol w:w="3848"/>
      </w:tblGrid>
      <w:tr w14:paraId="76C92A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5439" w:type="dxa"/>
            <w:noWrap w:val="0"/>
            <w:vAlign w:val="center"/>
          </w:tcPr>
          <w:p w14:paraId="774031BC">
            <w:pPr>
              <w:keepNext w:val="0"/>
              <w:keepLines w:val="0"/>
              <w:widowControl/>
              <w:suppressLineNumbers w:val="0"/>
              <w:snapToGrid w:val="0"/>
              <w:spacing w:before="0" w:beforeAutospacing="0" w:after="0" w:afterAutospacing="0" w:line="300" w:lineRule="exact"/>
              <w:ind w:left="0" w:right="0"/>
              <w:jc w:val="center"/>
              <w:rPr>
                <w:rFonts w:hint="default" w:ascii="Times New Roman" w:hAnsi="Times New Roman" w:cs="Times New Roman"/>
                <w:b/>
                <w:bCs/>
                <w:color w:val="auto"/>
                <w:kern w:val="0"/>
              </w:rPr>
            </w:pPr>
            <w:r>
              <w:rPr>
                <w:rFonts w:hint="default" w:ascii="Times New Roman" w:hAnsi="Times New Roman" w:cs="Times New Roman"/>
                <w:b/>
                <w:bCs/>
                <w:color w:val="auto"/>
                <w:kern w:val="0"/>
              </w:rPr>
              <w:t>监测项目</w:t>
            </w:r>
          </w:p>
        </w:tc>
        <w:tc>
          <w:tcPr>
            <w:tcW w:w="3848" w:type="dxa"/>
            <w:noWrap w:val="0"/>
            <w:vAlign w:val="center"/>
          </w:tcPr>
          <w:p w14:paraId="43EB0C67">
            <w:pPr>
              <w:keepNext w:val="0"/>
              <w:keepLines w:val="0"/>
              <w:widowControl/>
              <w:suppressLineNumbers w:val="0"/>
              <w:snapToGrid w:val="0"/>
              <w:spacing w:before="0" w:beforeAutospacing="0" w:after="0" w:afterAutospacing="0" w:line="300" w:lineRule="exact"/>
              <w:ind w:left="0" w:right="0"/>
              <w:jc w:val="center"/>
              <w:rPr>
                <w:rFonts w:hint="default" w:ascii="Times New Roman" w:hAnsi="Times New Roman" w:cs="Times New Roman"/>
                <w:b/>
                <w:bCs/>
                <w:color w:val="auto"/>
                <w:kern w:val="0"/>
              </w:rPr>
            </w:pPr>
            <w:r>
              <w:rPr>
                <w:rFonts w:hint="default" w:ascii="Times New Roman" w:hAnsi="Times New Roman" w:cs="Times New Roman"/>
                <w:b/>
                <w:bCs/>
                <w:color w:val="auto"/>
              </w:rPr>
              <w:t>D1淮河底泥</w:t>
            </w:r>
          </w:p>
        </w:tc>
      </w:tr>
      <w:tr w14:paraId="3BD3B3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5439" w:type="dxa"/>
            <w:noWrap w:val="0"/>
            <w:vAlign w:val="center"/>
          </w:tcPr>
          <w:p w14:paraId="227C1C7B">
            <w:pPr>
              <w:keepNext w:val="0"/>
              <w:keepLines w:val="0"/>
              <w:widowControl/>
              <w:suppressLineNumbers w:val="0"/>
              <w:snapToGrid w:val="0"/>
              <w:spacing w:before="0" w:beforeAutospacing="0" w:after="0" w:afterAutospacing="0" w:line="300" w:lineRule="exact"/>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pH</w:t>
            </w:r>
          </w:p>
        </w:tc>
        <w:tc>
          <w:tcPr>
            <w:tcW w:w="3848" w:type="dxa"/>
            <w:noWrap w:val="0"/>
            <w:vAlign w:val="center"/>
          </w:tcPr>
          <w:p w14:paraId="293BEA2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8.62</w:t>
            </w:r>
            <w:r>
              <w:rPr>
                <w:rFonts w:hint="eastAsia" w:ascii="宋体" w:hAnsi="宋体" w:cs="Times New Roman"/>
                <w:color w:val="auto"/>
              </w:rPr>
              <w:t>（</w:t>
            </w:r>
            <w:r>
              <w:rPr>
                <w:rFonts w:hint="eastAsia" w:ascii="Times New Roman" w:hAnsi="Times New Roman" w:cs="Times New Roman"/>
                <w:color w:val="auto"/>
              </w:rPr>
              <w:t>24.9</w:t>
            </w:r>
            <w:r>
              <w:rPr>
                <w:rFonts w:hint="default" w:ascii="Times New Roman" w:hAnsi="Times New Roman" w:cs="Times New Roman"/>
                <w:color w:val="auto"/>
              </w:rPr>
              <w:t>℃</w:t>
            </w:r>
            <w:r>
              <w:rPr>
                <w:rFonts w:hint="eastAsia" w:ascii="宋体" w:hAnsi="宋体" w:cs="Times New Roman"/>
                <w:color w:val="auto"/>
              </w:rPr>
              <w:t>）</w:t>
            </w:r>
          </w:p>
        </w:tc>
      </w:tr>
      <w:tr w14:paraId="3B281B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39" w:type="dxa"/>
            <w:noWrap w:val="0"/>
            <w:vAlign w:val="center"/>
          </w:tcPr>
          <w:p w14:paraId="7E5F167A">
            <w:pPr>
              <w:keepNext w:val="0"/>
              <w:keepLines w:val="0"/>
              <w:suppressLineNumbers w:val="0"/>
              <w:overflowPunct w:val="0"/>
              <w:adjustRightInd w:val="0"/>
              <w:spacing w:before="0" w:beforeAutospacing="0" w:after="0" w:afterAutospacing="0" w:line="300" w:lineRule="exact"/>
              <w:ind w:left="0" w:right="0"/>
              <w:jc w:val="center"/>
              <w:textAlignment w:val="baseline"/>
              <w:rPr>
                <w:rFonts w:hint="default" w:ascii="Times New Roman" w:hAnsi="Times New Roman" w:cs="Times New Roman"/>
                <w:color w:val="auto"/>
                <w:kern w:val="0"/>
              </w:rPr>
            </w:pPr>
            <w:r>
              <w:rPr>
                <w:rFonts w:hint="default" w:ascii="Times New Roman" w:hAnsi="Times New Roman" w:cs="Times New Roman"/>
                <w:color w:val="auto"/>
                <w:kern w:val="0"/>
              </w:rPr>
              <w:t>镉（</w:t>
            </w:r>
            <w:r>
              <w:rPr>
                <w:rFonts w:hint="default" w:ascii="Times New Roman" w:hAnsi="Times New Roman" w:cs="Times New Roman"/>
                <w:bCs/>
                <w:color w:val="auto"/>
                <w:kern w:val="0"/>
              </w:rPr>
              <w:t>mg/kg</w:t>
            </w:r>
            <w:r>
              <w:rPr>
                <w:rFonts w:hint="default" w:ascii="Times New Roman" w:hAnsi="Times New Roman" w:cs="Times New Roman"/>
                <w:color w:val="auto"/>
                <w:kern w:val="0"/>
              </w:rPr>
              <w:t>）</w:t>
            </w:r>
          </w:p>
        </w:tc>
        <w:tc>
          <w:tcPr>
            <w:tcW w:w="3848" w:type="dxa"/>
            <w:noWrap w:val="0"/>
            <w:vAlign w:val="center"/>
          </w:tcPr>
          <w:p w14:paraId="6C2CFA8B">
            <w:pPr>
              <w:keepNext w:val="0"/>
              <w:keepLines w:val="0"/>
              <w:widowControl/>
              <w:suppressLineNumbers w:val="0"/>
              <w:snapToGrid w:val="0"/>
              <w:spacing w:before="0" w:beforeAutospacing="0" w:after="0" w:afterAutospacing="0" w:line="300" w:lineRule="exact"/>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0.19</w:t>
            </w:r>
          </w:p>
        </w:tc>
      </w:tr>
      <w:tr w14:paraId="7BBCD6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39" w:type="dxa"/>
            <w:noWrap w:val="0"/>
            <w:vAlign w:val="center"/>
          </w:tcPr>
          <w:p w14:paraId="08BDA5E6">
            <w:pPr>
              <w:keepNext w:val="0"/>
              <w:keepLines w:val="0"/>
              <w:suppressLineNumbers w:val="0"/>
              <w:overflowPunct w:val="0"/>
              <w:adjustRightInd w:val="0"/>
              <w:spacing w:before="0" w:beforeAutospacing="0" w:after="0" w:afterAutospacing="0" w:line="300" w:lineRule="exact"/>
              <w:ind w:left="0" w:right="0"/>
              <w:jc w:val="center"/>
              <w:textAlignment w:val="baseline"/>
              <w:rPr>
                <w:rFonts w:hint="default" w:ascii="Times New Roman" w:hAnsi="Times New Roman" w:cs="Times New Roman"/>
                <w:color w:val="auto"/>
                <w:kern w:val="0"/>
              </w:rPr>
            </w:pPr>
            <w:r>
              <w:rPr>
                <w:rFonts w:hint="default" w:ascii="Times New Roman" w:hAnsi="Times New Roman" w:cs="Times New Roman"/>
                <w:color w:val="auto"/>
                <w:kern w:val="0"/>
              </w:rPr>
              <w:t>汞（</w:t>
            </w:r>
            <w:r>
              <w:rPr>
                <w:rFonts w:hint="default" w:ascii="Times New Roman" w:hAnsi="Times New Roman" w:cs="Times New Roman"/>
                <w:bCs/>
                <w:color w:val="auto"/>
                <w:kern w:val="0"/>
              </w:rPr>
              <w:t>mg/kg</w:t>
            </w:r>
            <w:r>
              <w:rPr>
                <w:rFonts w:hint="default" w:ascii="Times New Roman" w:hAnsi="Times New Roman" w:cs="Times New Roman"/>
                <w:color w:val="auto"/>
                <w:kern w:val="0"/>
              </w:rPr>
              <w:t>）</w:t>
            </w:r>
          </w:p>
        </w:tc>
        <w:tc>
          <w:tcPr>
            <w:tcW w:w="3848" w:type="dxa"/>
            <w:noWrap w:val="0"/>
            <w:vAlign w:val="center"/>
          </w:tcPr>
          <w:p w14:paraId="0482928B">
            <w:pPr>
              <w:keepNext w:val="0"/>
              <w:keepLines w:val="0"/>
              <w:widowControl/>
              <w:suppressLineNumbers w:val="0"/>
              <w:snapToGrid w:val="0"/>
              <w:spacing w:before="0" w:beforeAutospacing="0" w:after="0" w:afterAutospacing="0" w:line="300" w:lineRule="exact"/>
              <w:ind w:left="0" w:right="0"/>
              <w:jc w:val="center"/>
              <w:rPr>
                <w:rFonts w:hint="default" w:ascii="Times New Roman" w:hAnsi="Times New Roman" w:cs="Times New Roman"/>
                <w:color w:val="auto"/>
                <w:kern w:val="0"/>
              </w:rPr>
            </w:pPr>
            <w:r>
              <w:rPr>
                <w:rFonts w:hint="default" w:ascii="Times New Roman" w:hAnsi="Times New Roman" w:cs="Times New Roman"/>
                <w:color w:val="auto"/>
              </w:rPr>
              <w:t>0.052</w:t>
            </w:r>
          </w:p>
        </w:tc>
      </w:tr>
      <w:tr w14:paraId="6508B7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39" w:type="dxa"/>
            <w:noWrap w:val="0"/>
            <w:vAlign w:val="center"/>
          </w:tcPr>
          <w:p w14:paraId="4327B156">
            <w:pPr>
              <w:keepNext w:val="0"/>
              <w:keepLines w:val="0"/>
              <w:suppressLineNumbers w:val="0"/>
              <w:overflowPunct w:val="0"/>
              <w:adjustRightInd w:val="0"/>
              <w:spacing w:before="0" w:beforeAutospacing="0" w:after="0" w:afterAutospacing="0" w:line="300" w:lineRule="exact"/>
              <w:ind w:left="0" w:right="0"/>
              <w:jc w:val="center"/>
              <w:textAlignment w:val="baseline"/>
              <w:rPr>
                <w:rFonts w:hint="default" w:ascii="Times New Roman" w:hAnsi="Times New Roman" w:cs="Times New Roman"/>
                <w:color w:val="auto"/>
                <w:kern w:val="0"/>
              </w:rPr>
            </w:pPr>
            <w:r>
              <w:rPr>
                <w:rFonts w:hint="default" w:ascii="Times New Roman" w:hAnsi="Times New Roman" w:cs="Times New Roman"/>
                <w:color w:val="auto"/>
                <w:kern w:val="0"/>
              </w:rPr>
              <w:t>砷（</w:t>
            </w:r>
            <w:r>
              <w:rPr>
                <w:rFonts w:hint="default" w:ascii="Times New Roman" w:hAnsi="Times New Roman" w:cs="Times New Roman"/>
                <w:bCs/>
                <w:color w:val="auto"/>
                <w:kern w:val="0"/>
              </w:rPr>
              <w:t>mg/kg</w:t>
            </w:r>
            <w:r>
              <w:rPr>
                <w:rFonts w:hint="default" w:ascii="Times New Roman" w:hAnsi="Times New Roman" w:cs="Times New Roman"/>
                <w:color w:val="auto"/>
                <w:kern w:val="0"/>
              </w:rPr>
              <w:t>）</w:t>
            </w:r>
          </w:p>
        </w:tc>
        <w:tc>
          <w:tcPr>
            <w:tcW w:w="3848" w:type="dxa"/>
            <w:noWrap w:val="0"/>
            <w:vAlign w:val="center"/>
          </w:tcPr>
          <w:p w14:paraId="1A924AC9">
            <w:pPr>
              <w:keepNext w:val="0"/>
              <w:keepLines w:val="0"/>
              <w:widowControl/>
              <w:suppressLineNumbers w:val="0"/>
              <w:snapToGrid w:val="0"/>
              <w:spacing w:before="0" w:beforeAutospacing="0" w:after="0" w:afterAutospacing="0" w:line="300" w:lineRule="exact"/>
              <w:ind w:left="0" w:right="0"/>
              <w:jc w:val="center"/>
              <w:rPr>
                <w:rFonts w:hint="eastAsia" w:ascii="Times New Roman" w:hAnsi="Times New Roman" w:cs="Times New Roman"/>
                <w:color w:val="auto"/>
                <w:kern w:val="0"/>
              </w:rPr>
            </w:pPr>
            <w:r>
              <w:rPr>
                <w:rFonts w:hint="default" w:ascii="Times New Roman" w:hAnsi="Times New Roman" w:cs="Times New Roman"/>
                <w:color w:val="auto"/>
              </w:rPr>
              <w:t>6.42</w:t>
            </w:r>
          </w:p>
        </w:tc>
      </w:tr>
      <w:tr w14:paraId="346829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39" w:type="dxa"/>
            <w:noWrap w:val="0"/>
            <w:vAlign w:val="center"/>
          </w:tcPr>
          <w:p w14:paraId="1A9C343F">
            <w:pPr>
              <w:keepNext w:val="0"/>
              <w:keepLines w:val="0"/>
              <w:suppressLineNumbers w:val="0"/>
              <w:overflowPunct w:val="0"/>
              <w:adjustRightInd w:val="0"/>
              <w:spacing w:before="0" w:beforeAutospacing="0" w:after="0" w:afterAutospacing="0" w:line="300" w:lineRule="exact"/>
              <w:ind w:left="0" w:right="0"/>
              <w:jc w:val="center"/>
              <w:textAlignment w:val="baseline"/>
              <w:rPr>
                <w:rFonts w:hint="default" w:ascii="Times New Roman" w:hAnsi="Times New Roman" w:cs="Times New Roman"/>
                <w:color w:val="auto"/>
                <w:kern w:val="0"/>
              </w:rPr>
            </w:pPr>
            <w:r>
              <w:rPr>
                <w:rFonts w:hint="default" w:ascii="Times New Roman" w:hAnsi="Times New Roman" w:cs="Times New Roman"/>
                <w:color w:val="auto"/>
                <w:kern w:val="0"/>
              </w:rPr>
              <w:t>铅（</w:t>
            </w:r>
            <w:r>
              <w:rPr>
                <w:rFonts w:hint="default" w:ascii="Times New Roman" w:hAnsi="Times New Roman" w:cs="Times New Roman"/>
                <w:bCs/>
                <w:color w:val="auto"/>
                <w:kern w:val="0"/>
              </w:rPr>
              <w:t>mg/kg</w:t>
            </w:r>
            <w:r>
              <w:rPr>
                <w:rFonts w:hint="default" w:ascii="Times New Roman" w:hAnsi="Times New Roman" w:cs="Times New Roman"/>
                <w:color w:val="auto"/>
                <w:kern w:val="0"/>
              </w:rPr>
              <w:t>）</w:t>
            </w:r>
          </w:p>
        </w:tc>
        <w:tc>
          <w:tcPr>
            <w:tcW w:w="3848" w:type="dxa"/>
            <w:noWrap w:val="0"/>
            <w:vAlign w:val="center"/>
          </w:tcPr>
          <w:p w14:paraId="38FC1712">
            <w:pPr>
              <w:keepNext w:val="0"/>
              <w:keepLines w:val="0"/>
              <w:widowControl/>
              <w:suppressLineNumbers w:val="0"/>
              <w:snapToGrid w:val="0"/>
              <w:spacing w:before="0" w:beforeAutospacing="0" w:after="0" w:afterAutospacing="0" w:line="300" w:lineRule="exact"/>
              <w:ind w:left="0" w:right="0"/>
              <w:jc w:val="center"/>
              <w:rPr>
                <w:rFonts w:hint="eastAsia" w:ascii="Times New Roman" w:hAnsi="Times New Roman" w:cs="Times New Roman"/>
                <w:color w:val="auto"/>
                <w:kern w:val="0"/>
              </w:rPr>
            </w:pPr>
            <w:r>
              <w:rPr>
                <w:rFonts w:hint="default" w:ascii="Times New Roman" w:hAnsi="Times New Roman" w:cs="Times New Roman"/>
                <w:color w:val="auto"/>
                <w:kern w:val="0"/>
              </w:rPr>
              <w:t>20.5</w:t>
            </w:r>
          </w:p>
        </w:tc>
      </w:tr>
      <w:tr w14:paraId="7D462B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39" w:type="dxa"/>
            <w:noWrap w:val="0"/>
            <w:vAlign w:val="center"/>
          </w:tcPr>
          <w:p w14:paraId="1EA0B162">
            <w:pPr>
              <w:keepNext w:val="0"/>
              <w:keepLines w:val="0"/>
              <w:suppressLineNumbers w:val="0"/>
              <w:overflowPunct w:val="0"/>
              <w:adjustRightInd w:val="0"/>
              <w:spacing w:before="0" w:beforeAutospacing="0" w:after="0" w:afterAutospacing="0" w:line="300" w:lineRule="exact"/>
              <w:ind w:left="0" w:right="0"/>
              <w:jc w:val="center"/>
              <w:textAlignment w:val="baseline"/>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铬（</w:t>
            </w:r>
            <w:r>
              <w:rPr>
                <w:rFonts w:hint="default" w:ascii="Times New Roman" w:hAnsi="Times New Roman" w:cs="Times New Roman"/>
                <w:bCs/>
                <w:color w:val="auto"/>
                <w:kern w:val="0"/>
                <w:highlight w:val="none"/>
              </w:rPr>
              <w:t>mg/kg</w:t>
            </w:r>
            <w:r>
              <w:rPr>
                <w:rFonts w:hint="default" w:ascii="Times New Roman" w:hAnsi="Times New Roman" w:cs="Times New Roman"/>
                <w:color w:val="auto"/>
                <w:kern w:val="0"/>
                <w:highlight w:val="none"/>
              </w:rPr>
              <w:t>）</w:t>
            </w:r>
          </w:p>
        </w:tc>
        <w:tc>
          <w:tcPr>
            <w:tcW w:w="3848" w:type="dxa"/>
            <w:noWrap w:val="0"/>
            <w:vAlign w:val="center"/>
          </w:tcPr>
          <w:p w14:paraId="6568ADDF">
            <w:pPr>
              <w:keepNext w:val="0"/>
              <w:keepLines w:val="0"/>
              <w:widowControl/>
              <w:suppressLineNumbers w:val="0"/>
              <w:snapToGrid w:val="0"/>
              <w:spacing w:before="0" w:beforeAutospacing="0" w:after="0" w:afterAutospacing="0" w:line="300" w:lineRule="exact"/>
              <w:ind w:left="0" w:right="0"/>
              <w:jc w:val="center"/>
              <w:rPr>
                <w:rFonts w:hint="default" w:ascii="Times New Roman" w:hAnsi="Times New Roman" w:eastAsia="宋体" w:cs="Times New Roman"/>
                <w:color w:val="auto"/>
                <w:kern w:val="0"/>
                <w:highlight w:val="none"/>
                <w:lang w:val="en-US" w:eastAsia="zh-CN"/>
              </w:rPr>
            </w:pPr>
            <w:r>
              <w:rPr>
                <w:rFonts w:hint="eastAsia" w:cs="Times New Roman"/>
                <w:color w:val="auto"/>
                <w:kern w:val="0"/>
                <w:highlight w:val="none"/>
                <w:lang w:val="en-US" w:eastAsia="zh-CN"/>
              </w:rPr>
              <w:t>36</w:t>
            </w:r>
          </w:p>
        </w:tc>
      </w:tr>
      <w:tr w14:paraId="0578BF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39" w:type="dxa"/>
            <w:noWrap w:val="0"/>
            <w:vAlign w:val="center"/>
          </w:tcPr>
          <w:p w14:paraId="2E775F90">
            <w:pPr>
              <w:keepNext w:val="0"/>
              <w:keepLines w:val="0"/>
              <w:suppressLineNumbers w:val="0"/>
              <w:overflowPunct w:val="0"/>
              <w:adjustRightInd w:val="0"/>
              <w:spacing w:before="0" w:beforeAutospacing="0" w:after="0" w:afterAutospacing="0" w:line="300" w:lineRule="exact"/>
              <w:ind w:left="0" w:right="0"/>
              <w:jc w:val="center"/>
              <w:textAlignment w:val="baseline"/>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铜（</w:t>
            </w:r>
            <w:r>
              <w:rPr>
                <w:rFonts w:hint="default" w:ascii="Times New Roman" w:hAnsi="Times New Roman" w:cs="Times New Roman"/>
                <w:bCs/>
                <w:color w:val="auto"/>
                <w:kern w:val="0"/>
                <w:highlight w:val="none"/>
              </w:rPr>
              <w:t>mg/kg</w:t>
            </w:r>
            <w:r>
              <w:rPr>
                <w:rFonts w:hint="default" w:ascii="Times New Roman" w:hAnsi="Times New Roman" w:cs="Times New Roman"/>
                <w:color w:val="auto"/>
                <w:kern w:val="0"/>
                <w:highlight w:val="none"/>
              </w:rPr>
              <w:t>）</w:t>
            </w:r>
          </w:p>
        </w:tc>
        <w:tc>
          <w:tcPr>
            <w:tcW w:w="3848" w:type="dxa"/>
            <w:noWrap w:val="0"/>
            <w:vAlign w:val="center"/>
          </w:tcPr>
          <w:p w14:paraId="3ED3F45B">
            <w:pPr>
              <w:keepNext w:val="0"/>
              <w:keepLines w:val="0"/>
              <w:widowControl/>
              <w:suppressLineNumbers w:val="0"/>
              <w:snapToGrid w:val="0"/>
              <w:spacing w:before="0" w:beforeAutospacing="0" w:after="0" w:afterAutospacing="0" w:line="300" w:lineRule="exact"/>
              <w:ind w:left="0" w:right="0"/>
              <w:jc w:val="center"/>
              <w:rPr>
                <w:rFonts w:hint="default" w:ascii="Times New Roman" w:hAnsi="Times New Roman" w:cs="Times New Roman"/>
                <w:color w:val="auto"/>
                <w:kern w:val="0"/>
                <w:highlight w:val="none"/>
              </w:rPr>
            </w:pPr>
            <w:r>
              <w:rPr>
                <w:rFonts w:hint="eastAsia" w:ascii="Times New Roman" w:hAnsi="Times New Roman" w:cs="Times New Roman"/>
                <w:color w:val="auto"/>
                <w:kern w:val="0"/>
                <w:highlight w:val="none"/>
              </w:rPr>
              <w:t>1</w:t>
            </w:r>
            <w:r>
              <w:rPr>
                <w:rFonts w:hint="default" w:ascii="Times New Roman" w:hAnsi="Times New Roman" w:cs="Times New Roman"/>
                <w:color w:val="auto"/>
                <w:kern w:val="0"/>
                <w:highlight w:val="none"/>
              </w:rPr>
              <w:t>4</w:t>
            </w:r>
          </w:p>
        </w:tc>
      </w:tr>
      <w:tr w14:paraId="44855D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39" w:type="dxa"/>
            <w:noWrap w:val="0"/>
            <w:vAlign w:val="center"/>
          </w:tcPr>
          <w:p w14:paraId="577FBD97">
            <w:pPr>
              <w:keepNext w:val="0"/>
              <w:keepLines w:val="0"/>
              <w:suppressLineNumbers w:val="0"/>
              <w:overflowPunct w:val="0"/>
              <w:adjustRightInd w:val="0"/>
              <w:spacing w:before="0" w:beforeAutospacing="0" w:after="0" w:afterAutospacing="0" w:line="300" w:lineRule="exact"/>
              <w:ind w:left="0" w:right="0"/>
              <w:jc w:val="center"/>
              <w:textAlignment w:val="baseline"/>
              <w:rPr>
                <w:rFonts w:hint="default" w:ascii="Times New Roman" w:hAnsi="Times New Roman" w:cs="Times New Roman"/>
                <w:color w:val="auto"/>
                <w:kern w:val="0"/>
                <w:highlight w:val="none"/>
              </w:rPr>
            </w:pPr>
            <w:r>
              <w:rPr>
                <w:rFonts w:hint="default" w:ascii="Times New Roman" w:hAnsi="Times New Roman" w:cs="Times New Roman"/>
                <w:color w:val="auto"/>
                <w:kern w:val="0"/>
                <w:highlight w:val="none"/>
              </w:rPr>
              <w:t>镍（</w:t>
            </w:r>
            <w:r>
              <w:rPr>
                <w:rFonts w:hint="default" w:ascii="Times New Roman" w:hAnsi="Times New Roman" w:cs="Times New Roman"/>
                <w:bCs/>
                <w:color w:val="auto"/>
                <w:kern w:val="0"/>
                <w:highlight w:val="none"/>
              </w:rPr>
              <w:t>mg/kg</w:t>
            </w:r>
            <w:r>
              <w:rPr>
                <w:rFonts w:hint="default" w:ascii="Times New Roman" w:hAnsi="Times New Roman" w:cs="Times New Roman"/>
                <w:color w:val="auto"/>
                <w:kern w:val="0"/>
                <w:highlight w:val="none"/>
              </w:rPr>
              <w:t>）</w:t>
            </w:r>
          </w:p>
        </w:tc>
        <w:tc>
          <w:tcPr>
            <w:tcW w:w="3848" w:type="dxa"/>
            <w:noWrap w:val="0"/>
            <w:vAlign w:val="center"/>
          </w:tcPr>
          <w:p w14:paraId="053208DD">
            <w:pPr>
              <w:keepNext w:val="0"/>
              <w:keepLines w:val="0"/>
              <w:widowControl/>
              <w:suppressLineNumbers w:val="0"/>
              <w:snapToGrid w:val="0"/>
              <w:spacing w:before="0" w:beforeAutospacing="0" w:after="0" w:afterAutospacing="0" w:line="300" w:lineRule="exact"/>
              <w:ind w:left="0" w:right="0"/>
              <w:jc w:val="center"/>
              <w:rPr>
                <w:rFonts w:hint="default" w:ascii="Times New Roman" w:hAnsi="Times New Roman" w:cs="Times New Roman"/>
                <w:color w:val="auto"/>
                <w:highlight w:val="none"/>
              </w:rPr>
            </w:pPr>
            <w:r>
              <w:rPr>
                <w:rFonts w:hint="eastAsia" w:ascii="Times New Roman" w:hAnsi="Times New Roman" w:cs="Times New Roman"/>
                <w:color w:val="auto"/>
                <w:highlight w:val="none"/>
              </w:rPr>
              <w:t>3</w:t>
            </w:r>
            <w:r>
              <w:rPr>
                <w:rFonts w:hint="default" w:ascii="Times New Roman" w:hAnsi="Times New Roman" w:cs="Times New Roman"/>
                <w:color w:val="auto"/>
                <w:highlight w:val="none"/>
              </w:rPr>
              <w:t>0</w:t>
            </w:r>
          </w:p>
        </w:tc>
      </w:tr>
      <w:tr w14:paraId="088A4C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439" w:type="dxa"/>
            <w:noWrap w:val="0"/>
            <w:vAlign w:val="center"/>
          </w:tcPr>
          <w:p w14:paraId="12AEC699">
            <w:pPr>
              <w:keepNext w:val="0"/>
              <w:keepLines w:val="0"/>
              <w:suppressLineNumbers w:val="0"/>
              <w:overflowPunct w:val="0"/>
              <w:adjustRightInd w:val="0"/>
              <w:spacing w:before="0" w:beforeAutospacing="0" w:after="0" w:afterAutospacing="0" w:line="300" w:lineRule="exact"/>
              <w:ind w:left="0" w:right="0"/>
              <w:jc w:val="center"/>
              <w:textAlignment w:val="baseline"/>
              <w:rPr>
                <w:rFonts w:hint="default" w:ascii="Times New Roman" w:hAnsi="Times New Roman" w:cs="Times New Roman"/>
                <w:color w:val="auto"/>
                <w:kern w:val="0"/>
                <w:highlight w:val="none"/>
              </w:rPr>
            </w:pPr>
            <w:r>
              <w:rPr>
                <w:rFonts w:hint="eastAsia" w:ascii="Times New Roman" w:hAnsi="Times New Roman" w:cs="Times New Roman"/>
                <w:color w:val="auto"/>
                <w:kern w:val="0"/>
                <w:highlight w:val="none"/>
              </w:rPr>
              <w:t>锌</w:t>
            </w:r>
            <w:r>
              <w:rPr>
                <w:rFonts w:hint="default" w:ascii="Times New Roman" w:hAnsi="Times New Roman" w:cs="Times New Roman"/>
                <w:color w:val="auto"/>
                <w:kern w:val="0"/>
                <w:highlight w:val="none"/>
              </w:rPr>
              <w:t>（</w:t>
            </w:r>
            <w:r>
              <w:rPr>
                <w:rFonts w:hint="default" w:ascii="Times New Roman" w:hAnsi="Times New Roman" w:cs="Times New Roman"/>
                <w:bCs/>
                <w:color w:val="auto"/>
                <w:kern w:val="0"/>
                <w:highlight w:val="none"/>
              </w:rPr>
              <w:t>mg/kg</w:t>
            </w:r>
            <w:r>
              <w:rPr>
                <w:rFonts w:hint="default" w:ascii="Times New Roman" w:hAnsi="Times New Roman" w:cs="Times New Roman"/>
                <w:color w:val="auto"/>
                <w:kern w:val="0"/>
                <w:highlight w:val="none"/>
              </w:rPr>
              <w:t>）</w:t>
            </w:r>
          </w:p>
        </w:tc>
        <w:tc>
          <w:tcPr>
            <w:tcW w:w="3848" w:type="dxa"/>
            <w:noWrap w:val="0"/>
            <w:vAlign w:val="center"/>
          </w:tcPr>
          <w:p w14:paraId="243B5A62">
            <w:pPr>
              <w:keepNext w:val="0"/>
              <w:keepLines w:val="0"/>
              <w:widowControl/>
              <w:suppressLineNumbers w:val="0"/>
              <w:snapToGrid w:val="0"/>
              <w:spacing w:before="0" w:beforeAutospacing="0" w:after="0" w:afterAutospacing="0" w:line="300" w:lineRule="exact"/>
              <w:ind w:left="0" w:right="0"/>
              <w:jc w:val="center"/>
              <w:rPr>
                <w:rFonts w:hint="default" w:ascii="Times New Roman" w:hAnsi="Times New Roman" w:eastAsia="宋体" w:cs="Times New Roman"/>
                <w:color w:val="auto"/>
                <w:highlight w:val="none"/>
                <w:lang w:val="en-US" w:eastAsia="zh-CN"/>
              </w:rPr>
            </w:pPr>
            <w:r>
              <w:rPr>
                <w:rFonts w:hint="eastAsia" w:cs="Times New Roman"/>
                <w:color w:val="auto"/>
                <w:kern w:val="0"/>
                <w:highlight w:val="none"/>
                <w:lang w:val="en-US" w:eastAsia="zh-CN"/>
              </w:rPr>
              <w:t>70</w:t>
            </w:r>
          </w:p>
        </w:tc>
      </w:tr>
    </w:tbl>
    <w:p w14:paraId="1211DA4E">
      <w:pPr>
        <w:pStyle w:val="5"/>
        <w:numPr>
          <w:ilvl w:val="3"/>
          <w:numId w:val="0"/>
        </w:numPr>
        <w:rPr>
          <w:color w:val="auto"/>
        </w:rPr>
      </w:pPr>
      <w:r>
        <w:rPr>
          <w:rFonts w:hint="eastAsia"/>
          <w:color w:val="auto"/>
        </w:rPr>
        <w:t>4.2.4.2</w:t>
      </w:r>
      <w:r>
        <w:rPr>
          <w:color w:val="auto"/>
        </w:rPr>
        <w:t>底泥现状评价</w:t>
      </w:r>
    </w:p>
    <w:p w14:paraId="74CD5FA1">
      <w:pPr>
        <w:spacing w:line="360" w:lineRule="auto"/>
        <w:ind w:firstLine="480" w:firstLineChars="200"/>
        <w:rPr>
          <w:color w:val="auto"/>
          <w:sz w:val="24"/>
        </w:rPr>
      </w:pPr>
      <w:r>
        <w:rPr>
          <w:color w:val="auto"/>
          <w:sz w:val="24"/>
        </w:rPr>
        <w:t xml:space="preserve">从监测结果看，对比标准限值可知，本次评价底泥监测点所有监测因子均能满足《土壤环境质量 </w:t>
      </w:r>
      <w:r>
        <w:rPr>
          <w:rFonts w:hint="eastAsia"/>
          <w:color w:val="auto"/>
          <w:sz w:val="24"/>
        </w:rPr>
        <w:t>农</w:t>
      </w:r>
      <w:r>
        <w:rPr>
          <w:color w:val="auto"/>
          <w:sz w:val="24"/>
        </w:rPr>
        <w:t>用地土壤污染风险管控标准（试行）》(GB15618-2018)中风险筛选值标准要求。</w:t>
      </w:r>
    </w:p>
    <w:p w14:paraId="0FE6A07E">
      <w:pPr>
        <w:pStyle w:val="4"/>
        <w:numPr>
          <w:ilvl w:val="0"/>
          <w:numId w:val="0"/>
        </w:numPr>
        <w:rPr>
          <w:color w:val="auto"/>
        </w:rPr>
      </w:pPr>
      <w:r>
        <w:rPr>
          <w:rFonts w:hint="eastAsia"/>
          <w:color w:val="auto"/>
        </w:rPr>
        <w:t>4.2.5</w:t>
      </w:r>
      <w:r>
        <w:rPr>
          <w:color w:val="auto"/>
        </w:rPr>
        <w:t>生态环境现状调查与评价</w:t>
      </w:r>
    </w:p>
    <w:p w14:paraId="24DA5A55">
      <w:pPr>
        <w:spacing w:line="360" w:lineRule="auto"/>
        <w:ind w:firstLine="480" w:firstLineChars="200"/>
        <w:rPr>
          <w:rFonts w:hint="eastAsia"/>
          <w:color w:val="auto"/>
          <w:sz w:val="24"/>
        </w:rPr>
      </w:pPr>
      <w:r>
        <w:rPr>
          <w:rFonts w:hint="eastAsia"/>
          <w:color w:val="auto"/>
          <w:sz w:val="24"/>
        </w:rPr>
        <w:t>根据现场调查</w:t>
      </w:r>
      <w:r>
        <w:rPr>
          <w:rFonts w:hint="eastAsia"/>
          <w:color w:val="auto"/>
          <w:sz w:val="24"/>
          <w:lang w:val="en-US" w:eastAsia="zh-CN"/>
        </w:rPr>
        <w:t>及咨询当地农业部门</w:t>
      </w:r>
      <w:r>
        <w:rPr>
          <w:rFonts w:hint="eastAsia"/>
          <w:color w:val="auto"/>
          <w:sz w:val="24"/>
        </w:rPr>
        <w:t>，</w:t>
      </w:r>
      <w:r>
        <w:rPr>
          <w:rFonts w:hint="eastAsia"/>
          <w:color w:val="auto"/>
          <w:sz w:val="24"/>
          <w:lang w:val="en-US" w:eastAsia="zh-CN"/>
        </w:rPr>
        <w:t>项目所在地陆域范围不存在明显的水土流失、沙漠化、石漠化、盐渍化、生物入侵和污染危害等生态环境问题。</w:t>
      </w:r>
      <w:r>
        <w:rPr>
          <w:rFonts w:hint="eastAsia"/>
          <w:color w:val="auto"/>
          <w:sz w:val="24"/>
        </w:rPr>
        <w:t>本项目陆域评价范围内植被类型单一，</w:t>
      </w:r>
      <w:r>
        <w:rPr>
          <w:rFonts w:hint="eastAsia"/>
          <w:color w:val="auto"/>
          <w:sz w:val="24"/>
          <w:lang w:eastAsia="zh-CN"/>
        </w:rPr>
        <w:t>是常见的人工植被为主</w:t>
      </w:r>
      <w:r>
        <w:rPr>
          <w:rFonts w:hint="eastAsia"/>
          <w:color w:val="auto"/>
          <w:sz w:val="24"/>
        </w:rPr>
        <w:t>，另外还有大量的灌草丛，野生动物较少，多为鸟类、蛇类、青蛙、鼠类等常见物种，无珍稀濒危物种，未发现国家级和地方重点保护野生动植物和名木古树分布，不涉及基本农田，通过本项目选址位置与淮南市生态保护红线区域的位置关系对比，本项目不涉及生态保护红线。</w:t>
      </w:r>
    </w:p>
    <w:p w14:paraId="653C26BA">
      <w:pPr>
        <w:pStyle w:val="5"/>
        <w:numPr>
          <w:ilvl w:val="3"/>
          <w:numId w:val="0"/>
        </w:numPr>
        <w:rPr>
          <w:rFonts w:hint="eastAsia"/>
          <w:color w:val="auto"/>
        </w:rPr>
      </w:pPr>
      <w:r>
        <w:rPr>
          <w:rFonts w:hint="eastAsia"/>
          <w:color w:val="auto"/>
        </w:rPr>
        <w:t>4.2.5.1陆生生态现状调查与评价</w:t>
      </w:r>
    </w:p>
    <w:p w14:paraId="6E23B6F6">
      <w:pPr>
        <w:pStyle w:val="6"/>
        <w:rPr>
          <w:color w:val="auto"/>
        </w:rPr>
      </w:pPr>
      <w:r>
        <w:rPr>
          <w:rFonts w:hint="eastAsia"/>
          <w:color w:val="auto"/>
        </w:rPr>
        <w:t>4</w:t>
      </w:r>
      <w:r>
        <w:rPr>
          <w:color w:val="auto"/>
        </w:rPr>
        <w:t>.2.5.1.1</w:t>
      </w:r>
      <w:r>
        <w:rPr>
          <w:rFonts w:hint="eastAsia"/>
          <w:color w:val="auto"/>
        </w:rPr>
        <w:t>植被现状调查</w:t>
      </w:r>
    </w:p>
    <w:p w14:paraId="5194C508">
      <w:pPr>
        <w:spacing w:line="360" w:lineRule="auto"/>
        <w:ind w:firstLine="480" w:firstLineChars="200"/>
        <w:rPr>
          <w:color w:val="auto"/>
          <w:sz w:val="24"/>
        </w:rPr>
      </w:pPr>
      <w:r>
        <w:rPr>
          <w:rFonts w:hint="eastAsia"/>
          <w:color w:val="auto"/>
          <w:sz w:val="24"/>
        </w:rPr>
        <w:t>（1）样方设定</w:t>
      </w:r>
    </w:p>
    <w:p w14:paraId="5D5017AC">
      <w:pPr>
        <w:spacing w:line="360" w:lineRule="auto"/>
        <w:ind w:firstLine="480" w:firstLineChars="200"/>
        <w:rPr>
          <w:rFonts w:hint="eastAsia"/>
          <w:snapToGrid w:val="0"/>
          <w:color w:val="auto"/>
          <w:kern w:val="0"/>
          <w:sz w:val="24"/>
          <w:szCs w:val="22"/>
        </w:rPr>
      </w:pPr>
      <w:r>
        <w:rPr>
          <w:rFonts w:hint="eastAsia"/>
          <w:snapToGrid w:val="0"/>
          <w:color w:val="auto"/>
          <w:kern w:val="0"/>
          <w:sz w:val="24"/>
          <w:szCs w:val="22"/>
        </w:rPr>
        <w:t>参照《</w:t>
      </w:r>
      <w:r>
        <w:rPr>
          <w:rFonts w:hint="eastAsia"/>
          <w:snapToGrid w:val="0"/>
          <w:color w:val="auto"/>
          <w:kern w:val="0"/>
          <w:sz w:val="24"/>
          <w:szCs w:val="22"/>
          <w:lang w:eastAsia="zh-CN"/>
        </w:rPr>
        <w:t>生物多样性观测技术导则 陆生维管植物</w:t>
      </w:r>
      <w:r>
        <w:rPr>
          <w:rFonts w:hint="eastAsia"/>
          <w:snapToGrid w:val="0"/>
          <w:color w:val="auto"/>
          <w:kern w:val="0"/>
          <w:sz w:val="24"/>
          <w:szCs w:val="22"/>
        </w:rPr>
        <w:t>》（HJ710.1-2014）中的调查指南和《</w:t>
      </w:r>
      <w:r>
        <w:rPr>
          <w:rFonts w:hint="eastAsia"/>
          <w:snapToGrid w:val="0"/>
          <w:color w:val="auto"/>
          <w:kern w:val="0"/>
          <w:sz w:val="24"/>
          <w:szCs w:val="22"/>
          <w:lang w:eastAsia="zh-CN"/>
        </w:rPr>
        <w:t>生态环境状况评价技术规范</w:t>
      </w:r>
      <w:r>
        <w:rPr>
          <w:rFonts w:hint="eastAsia"/>
          <w:snapToGrid w:val="0"/>
          <w:color w:val="auto"/>
          <w:kern w:val="0"/>
          <w:sz w:val="24"/>
          <w:szCs w:val="22"/>
        </w:rPr>
        <w:t>》（HJ192-2015），根据监测的目的，在监测区内选择具有代表性的群落类型，对群落中的植物多样性进行监测。植物现状调查采用现场踏查和资料查询相结合的方法，调查评价范围的植物区系类型、植被区划、植被类型、结构和植物物种组成情况。</w:t>
      </w:r>
    </w:p>
    <w:p w14:paraId="20AA9107">
      <w:pPr>
        <w:spacing w:line="360" w:lineRule="auto"/>
        <w:ind w:firstLine="480" w:firstLineChars="200"/>
        <w:rPr>
          <w:rFonts w:hint="eastAsia"/>
          <w:snapToGrid w:val="0"/>
          <w:color w:val="auto"/>
          <w:kern w:val="0"/>
          <w:sz w:val="24"/>
          <w:szCs w:val="22"/>
        </w:rPr>
      </w:pPr>
      <w:r>
        <w:rPr>
          <w:rFonts w:hint="eastAsia"/>
          <w:snapToGrid w:val="0"/>
          <w:color w:val="auto"/>
          <w:kern w:val="0"/>
          <w:sz w:val="24"/>
          <w:szCs w:val="22"/>
        </w:rPr>
        <w:t>依据评价区内主要植被分布情况，确定典型群落。在项目建设和生产过程中对植被直接影响的区域内，采用典型群落抽样方法，</w:t>
      </w:r>
      <w:r>
        <w:rPr>
          <w:rFonts w:hint="eastAsia"/>
          <w:snapToGrid w:val="0"/>
          <w:color w:val="auto"/>
          <w:kern w:val="0"/>
          <w:sz w:val="24"/>
          <w:szCs w:val="22"/>
          <w:lang w:eastAsia="zh-CN"/>
        </w:rPr>
        <w:t>根据</w:t>
      </w:r>
      <w:r>
        <w:rPr>
          <w:rFonts w:hint="eastAsia"/>
          <w:snapToGrid w:val="0"/>
          <w:color w:val="auto"/>
          <w:kern w:val="0"/>
          <w:sz w:val="24"/>
          <w:szCs w:val="22"/>
        </w:rPr>
        <w:t>群落的区系组成、外貌、结构和生境等特点设置样地，开展植被样方调查。乔木群落样方面积为20×20m</w:t>
      </w:r>
      <w:r>
        <w:rPr>
          <w:rFonts w:hint="eastAsia"/>
          <w:snapToGrid w:val="0"/>
          <w:color w:val="auto"/>
          <w:kern w:val="0"/>
          <w:sz w:val="24"/>
          <w:szCs w:val="22"/>
          <w:vertAlign w:val="superscript"/>
        </w:rPr>
        <w:t>2</w:t>
      </w:r>
      <w:r>
        <w:rPr>
          <w:rFonts w:hint="eastAsia"/>
          <w:snapToGrid w:val="0"/>
          <w:color w:val="auto"/>
          <w:kern w:val="0"/>
          <w:sz w:val="24"/>
          <w:szCs w:val="22"/>
        </w:rPr>
        <w:t>，灌木样方为10×10m</w:t>
      </w:r>
      <w:r>
        <w:rPr>
          <w:rFonts w:hint="eastAsia"/>
          <w:snapToGrid w:val="0"/>
          <w:color w:val="auto"/>
          <w:kern w:val="0"/>
          <w:sz w:val="24"/>
          <w:szCs w:val="22"/>
          <w:vertAlign w:val="superscript"/>
        </w:rPr>
        <w:t>2</w:t>
      </w:r>
      <w:r>
        <w:rPr>
          <w:rFonts w:hint="eastAsia"/>
          <w:snapToGrid w:val="0"/>
          <w:color w:val="auto"/>
          <w:kern w:val="0"/>
          <w:sz w:val="24"/>
          <w:szCs w:val="22"/>
        </w:rPr>
        <w:t>，草本样方为1×1m</w:t>
      </w:r>
      <w:r>
        <w:rPr>
          <w:rFonts w:hint="eastAsia"/>
          <w:snapToGrid w:val="0"/>
          <w:color w:val="auto"/>
          <w:kern w:val="0"/>
          <w:sz w:val="24"/>
          <w:szCs w:val="22"/>
          <w:vertAlign w:val="superscript"/>
        </w:rPr>
        <w:t>2</w:t>
      </w:r>
      <w:r>
        <w:rPr>
          <w:rFonts w:hint="eastAsia"/>
          <w:snapToGrid w:val="0"/>
          <w:color w:val="auto"/>
          <w:kern w:val="0"/>
          <w:sz w:val="24"/>
          <w:szCs w:val="22"/>
        </w:rPr>
        <w:t>。群落调查时，记载生境特点，包括海拔高度、林分郁闭度等；乔木记录种名、树高、郁闭度等，对灌木和草本则记录种名、高度、盖度等内容</w:t>
      </w:r>
    </w:p>
    <w:p w14:paraId="390CEEB1">
      <w:pPr>
        <w:spacing w:line="360" w:lineRule="auto"/>
        <w:ind w:firstLine="480" w:firstLineChars="200"/>
        <w:rPr>
          <w:rFonts w:hint="eastAsia"/>
          <w:snapToGrid w:val="0"/>
          <w:color w:val="auto"/>
          <w:kern w:val="0"/>
          <w:sz w:val="24"/>
          <w:szCs w:val="22"/>
        </w:rPr>
      </w:pPr>
      <w:r>
        <w:rPr>
          <w:rFonts w:hint="eastAsia"/>
          <w:snapToGrid w:val="0"/>
          <w:color w:val="auto"/>
          <w:kern w:val="0"/>
          <w:sz w:val="24"/>
          <w:szCs w:val="22"/>
        </w:rPr>
        <w:t>①调查样方附近的环境特征（地形、坡向、坡度、坡位和土壤类型）。</w:t>
      </w:r>
    </w:p>
    <w:p w14:paraId="5965A6C6">
      <w:pPr>
        <w:spacing w:line="360" w:lineRule="auto"/>
        <w:ind w:firstLine="480" w:firstLineChars="200"/>
        <w:rPr>
          <w:rFonts w:hint="eastAsia"/>
          <w:snapToGrid w:val="0"/>
          <w:color w:val="auto"/>
          <w:kern w:val="0"/>
          <w:sz w:val="24"/>
          <w:szCs w:val="22"/>
        </w:rPr>
      </w:pPr>
      <w:r>
        <w:rPr>
          <w:rFonts w:hint="eastAsia"/>
          <w:snapToGrid w:val="0"/>
          <w:color w:val="auto"/>
          <w:kern w:val="0"/>
          <w:sz w:val="24"/>
          <w:szCs w:val="22"/>
        </w:rPr>
        <w:t>②乔木和灌丛生态系统：1）乔木样方：乔木的种类、数量、优势种、平均高度、平均胸径、盖度、生物量等；2）草本样方：草本层的种类和优势种、生物量；3）灌木样方：灌木种类、优势种、盖度、平均高度、生物量。</w:t>
      </w:r>
    </w:p>
    <w:p w14:paraId="5CD6279D">
      <w:pPr>
        <w:spacing w:line="360" w:lineRule="auto"/>
        <w:ind w:firstLine="480" w:firstLineChars="200"/>
        <w:rPr>
          <w:rFonts w:hint="eastAsia"/>
          <w:snapToGrid w:val="0"/>
          <w:color w:val="auto"/>
          <w:kern w:val="0"/>
          <w:sz w:val="24"/>
          <w:szCs w:val="22"/>
        </w:rPr>
      </w:pPr>
      <w:r>
        <w:rPr>
          <w:rFonts w:hint="eastAsia"/>
          <w:snapToGrid w:val="0"/>
          <w:color w:val="auto"/>
          <w:kern w:val="0"/>
          <w:sz w:val="24"/>
          <w:szCs w:val="22"/>
        </w:rPr>
        <w:t>③踏查样方周围珍稀濒危野生植物种类、数量。</w:t>
      </w:r>
    </w:p>
    <w:p w14:paraId="57FB81F3">
      <w:pPr>
        <w:spacing w:line="360" w:lineRule="auto"/>
        <w:ind w:firstLine="480" w:firstLineChars="200"/>
        <w:rPr>
          <w:rFonts w:hint="eastAsia"/>
          <w:snapToGrid w:val="0"/>
          <w:color w:val="auto"/>
          <w:kern w:val="0"/>
          <w:sz w:val="24"/>
          <w:szCs w:val="22"/>
        </w:rPr>
      </w:pPr>
      <w:r>
        <w:rPr>
          <w:rFonts w:hint="eastAsia"/>
          <w:snapToGrid w:val="0"/>
          <w:color w:val="auto"/>
          <w:kern w:val="0"/>
          <w:sz w:val="24"/>
          <w:szCs w:val="22"/>
        </w:rPr>
        <w:t>（2）样方调查方法</w:t>
      </w:r>
    </w:p>
    <w:p w14:paraId="5C39E272">
      <w:pPr>
        <w:spacing w:line="360" w:lineRule="auto"/>
        <w:ind w:firstLine="480" w:firstLineChars="200"/>
        <w:rPr>
          <w:rFonts w:hint="eastAsia"/>
          <w:snapToGrid w:val="0"/>
          <w:color w:val="auto"/>
          <w:kern w:val="0"/>
          <w:sz w:val="24"/>
          <w:szCs w:val="22"/>
        </w:rPr>
      </w:pPr>
      <w:r>
        <w:rPr>
          <w:rFonts w:hint="eastAsia"/>
          <w:snapToGrid w:val="0"/>
          <w:color w:val="auto"/>
          <w:kern w:val="0"/>
          <w:sz w:val="24"/>
          <w:szCs w:val="22"/>
        </w:rPr>
        <w:t>①路线踏查法</w:t>
      </w:r>
    </w:p>
    <w:p w14:paraId="4571A90D">
      <w:pPr>
        <w:spacing w:line="360" w:lineRule="auto"/>
        <w:ind w:firstLine="480" w:firstLineChars="200"/>
        <w:rPr>
          <w:rFonts w:hint="eastAsia"/>
          <w:snapToGrid w:val="0"/>
          <w:color w:val="auto"/>
          <w:kern w:val="0"/>
          <w:sz w:val="24"/>
          <w:szCs w:val="22"/>
        </w:rPr>
      </w:pPr>
      <w:r>
        <w:rPr>
          <w:rFonts w:hint="eastAsia"/>
          <w:snapToGrid w:val="0"/>
          <w:color w:val="auto"/>
          <w:kern w:val="0"/>
          <w:sz w:val="24"/>
          <w:szCs w:val="22"/>
        </w:rPr>
        <w:t>在项目区内随机选择线路，沿线两侧各1m范围内对植物种类进行踏查，记录所见的植物种类。</w:t>
      </w:r>
    </w:p>
    <w:p w14:paraId="0F7742CA">
      <w:pPr>
        <w:spacing w:line="360" w:lineRule="auto"/>
        <w:ind w:firstLine="480" w:firstLineChars="200"/>
        <w:rPr>
          <w:rFonts w:hint="eastAsia"/>
          <w:snapToGrid w:val="0"/>
          <w:color w:val="auto"/>
          <w:kern w:val="0"/>
          <w:sz w:val="24"/>
          <w:szCs w:val="22"/>
        </w:rPr>
      </w:pPr>
      <w:r>
        <w:rPr>
          <w:rFonts w:hint="eastAsia"/>
          <w:snapToGrid w:val="0"/>
          <w:color w:val="auto"/>
          <w:kern w:val="0"/>
          <w:sz w:val="24"/>
          <w:szCs w:val="22"/>
        </w:rPr>
        <w:t>②样方调查法</w:t>
      </w:r>
    </w:p>
    <w:p w14:paraId="2467A5C8">
      <w:pPr>
        <w:spacing w:line="360" w:lineRule="auto"/>
        <w:ind w:firstLine="480" w:firstLineChars="200"/>
        <w:rPr>
          <w:rFonts w:hint="eastAsia"/>
          <w:snapToGrid w:val="0"/>
          <w:color w:val="auto"/>
          <w:kern w:val="0"/>
          <w:sz w:val="24"/>
          <w:szCs w:val="22"/>
        </w:rPr>
      </w:pPr>
      <w:r>
        <w:rPr>
          <w:rFonts w:hint="eastAsia"/>
          <w:snapToGrid w:val="0"/>
          <w:color w:val="auto"/>
          <w:kern w:val="0"/>
          <w:sz w:val="24"/>
          <w:szCs w:val="22"/>
        </w:rPr>
        <w:t>1）样方布点原则</w:t>
      </w:r>
    </w:p>
    <w:p w14:paraId="2BBEC143">
      <w:pPr>
        <w:spacing w:line="360" w:lineRule="auto"/>
        <w:ind w:firstLine="480" w:firstLineChars="200"/>
        <w:rPr>
          <w:rFonts w:hint="eastAsia"/>
          <w:snapToGrid w:val="0"/>
          <w:color w:val="auto"/>
          <w:kern w:val="0"/>
          <w:sz w:val="24"/>
          <w:szCs w:val="22"/>
        </w:rPr>
      </w:pPr>
      <w:r>
        <w:rPr>
          <w:rFonts w:hint="eastAsia"/>
          <w:snapToGrid w:val="0"/>
          <w:color w:val="auto"/>
          <w:kern w:val="0"/>
          <w:sz w:val="24"/>
          <w:szCs w:val="22"/>
        </w:rPr>
        <w:t>植被调查取样的目的是要通过样方的研究准确地推测评价区植被的总体，所选取的样方具有代表性，能通过尽可能少的抽样获得较为准确的有关总体的特征。在对评价区的植被进行样方调查中：a.尽量在矿区占地和生态影响范围内设置样点，并考虑整个内布点的均匀性；b.所选取的样点植被为评价区分布比较普遍的类型；c.样点的设置避免对同一种植被进行重复设点；d.尽量避免非取样误差：两人以上进行观察记录，消除主观因素。以上原则保证了样点的布置具有代表性，调查结果中的植被中包括了绝大部分主要植被类型。</w:t>
      </w:r>
    </w:p>
    <w:p w14:paraId="7613BE23">
      <w:pPr>
        <w:spacing w:line="360" w:lineRule="auto"/>
        <w:ind w:firstLine="480" w:firstLineChars="200"/>
        <w:rPr>
          <w:rFonts w:hint="eastAsia"/>
          <w:snapToGrid w:val="0"/>
          <w:color w:val="auto"/>
          <w:kern w:val="0"/>
          <w:sz w:val="24"/>
          <w:szCs w:val="22"/>
        </w:rPr>
      </w:pPr>
      <w:r>
        <w:rPr>
          <w:rFonts w:hint="eastAsia"/>
          <w:snapToGrid w:val="0"/>
          <w:color w:val="auto"/>
          <w:kern w:val="0"/>
          <w:sz w:val="24"/>
          <w:szCs w:val="22"/>
        </w:rPr>
        <w:t>2）样方布点</w:t>
      </w:r>
    </w:p>
    <w:p w14:paraId="316426CB">
      <w:pPr>
        <w:spacing w:line="360" w:lineRule="auto"/>
        <w:ind w:firstLine="480" w:firstLineChars="200"/>
        <w:rPr>
          <w:rFonts w:hint="eastAsia"/>
          <w:snapToGrid w:val="0"/>
          <w:color w:val="auto"/>
          <w:kern w:val="0"/>
          <w:sz w:val="24"/>
          <w:szCs w:val="22"/>
        </w:rPr>
      </w:pPr>
      <w:r>
        <w:rPr>
          <w:rFonts w:hint="eastAsia"/>
          <w:snapToGrid w:val="0"/>
          <w:color w:val="auto"/>
          <w:kern w:val="0"/>
          <w:sz w:val="24"/>
          <w:szCs w:val="22"/>
        </w:rPr>
        <w:t>根据《生物多样性观测技术导则 陆生维管植物》（HJ710.1-2014），结合项目环境评价的侧重点，兼顾拟永久用地和临时用地范围及相邻周边一定区域，按照不同的植被特点采用随机取样法设置样方。共设置15个样方，其中，草本样方5个，采用1m×1m规格；灌木样方5个，采用10m×10m规格；乔木样方5个，采用20m×20m规格。</w:t>
      </w:r>
    </w:p>
    <w:p w14:paraId="159BD01C">
      <w:pPr>
        <w:spacing w:line="360" w:lineRule="auto"/>
        <w:ind w:firstLine="480" w:firstLineChars="200"/>
        <w:rPr>
          <w:rFonts w:hint="eastAsia"/>
          <w:snapToGrid w:val="0"/>
          <w:color w:val="auto"/>
          <w:kern w:val="0"/>
          <w:sz w:val="24"/>
          <w:szCs w:val="22"/>
          <w:highlight w:val="cyan"/>
        </w:rPr>
      </w:pPr>
      <w:r>
        <w:rPr>
          <w:rFonts w:hint="eastAsia"/>
          <w:snapToGrid w:val="0"/>
          <w:color w:val="auto"/>
          <w:kern w:val="0"/>
          <w:sz w:val="24"/>
          <w:szCs w:val="22"/>
        </w:rPr>
        <w:t>调查主要参考资料：《中国种子植物区系地理》、《中国植被：类型和区划—解读&lt;中华人民共和国植被图（1:1000000）》、《中国植物志》、《安徽省陆生野生动植物资源》、《安徽植被》及相关期刊论文等。</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506"/>
        <w:gridCol w:w="4536"/>
      </w:tblGrid>
      <w:tr w14:paraId="7D08C2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noWrap w:val="0"/>
            <w:vAlign w:val="top"/>
          </w:tcPr>
          <w:p w14:paraId="1FD84B2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bookmarkStart w:id="87" w:name="_Toc14281"/>
            <w:r>
              <w:rPr>
                <w:rFonts w:hint="default" w:ascii="Times New Roman" w:hAnsi="Times New Roman" w:cs="Times New Roman"/>
                <w:color w:val="auto"/>
                <w:kern w:val="0"/>
              </w:rPr>
              <w:drawing>
                <wp:inline distT="0" distB="0" distL="114300" distR="114300">
                  <wp:extent cx="2722880" cy="3630295"/>
                  <wp:effectExtent l="0" t="0" r="1270" b="8255"/>
                  <wp:docPr id="158" name="图片 18" descr="C:/Users/dell/Desktop/31、淮南码头/样方调查/草3#.JPG草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8" descr="C:/Users/dell/Desktop/31、淮南码头/样方调查/草3#.JPG草3#"/>
                          <pic:cNvPicPr>
                            <a:picLocks noChangeAspect="1"/>
                          </pic:cNvPicPr>
                        </pic:nvPicPr>
                        <pic:blipFill>
                          <a:blip r:embed="rId89"/>
                          <a:srcRect t="12" b="12"/>
                          <a:stretch>
                            <a:fillRect/>
                          </a:stretch>
                        </pic:blipFill>
                        <pic:spPr>
                          <a:xfrm>
                            <a:off x="0" y="0"/>
                            <a:ext cx="2722880" cy="3630295"/>
                          </a:xfrm>
                          <a:prstGeom prst="rect">
                            <a:avLst/>
                          </a:prstGeom>
                          <a:noFill/>
                          <a:ln>
                            <a:noFill/>
                          </a:ln>
                        </pic:spPr>
                      </pic:pic>
                    </a:graphicData>
                  </a:graphic>
                </wp:inline>
              </w:drawing>
            </w:r>
          </w:p>
        </w:tc>
        <w:tc>
          <w:tcPr>
            <w:tcW w:w="4536" w:type="dxa"/>
            <w:noWrap w:val="0"/>
            <w:vAlign w:val="center"/>
          </w:tcPr>
          <w:p w14:paraId="5DBD269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2743200" cy="3657600"/>
                  <wp:effectExtent l="0" t="0" r="0" b="0"/>
                  <wp:docPr id="159" name="图片 19" descr="C:/Users/dell/Desktop/31、淮南码头/样方调查/草2#.JPG草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9" descr="C:/Users/dell/Desktop/31、淮南码头/样方调查/草2#.JPG草2#"/>
                          <pic:cNvPicPr>
                            <a:picLocks noChangeAspect="1"/>
                          </pic:cNvPicPr>
                        </pic:nvPicPr>
                        <pic:blipFill>
                          <a:blip r:embed="rId90"/>
                          <a:stretch>
                            <a:fillRect/>
                          </a:stretch>
                        </pic:blipFill>
                        <pic:spPr>
                          <a:xfrm>
                            <a:off x="0" y="0"/>
                            <a:ext cx="2743200" cy="3657600"/>
                          </a:xfrm>
                          <a:prstGeom prst="rect">
                            <a:avLst/>
                          </a:prstGeom>
                          <a:noFill/>
                          <a:ln>
                            <a:noFill/>
                          </a:ln>
                        </pic:spPr>
                      </pic:pic>
                    </a:graphicData>
                  </a:graphic>
                </wp:inline>
              </w:drawing>
            </w:r>
          </w:p>
        </w:tc>
      </w:tr>
      <w:tr w14:paraId="076B92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noWrap w:val="0"/>
            <w:vAlign w:val="top"/>
          </w:tcPr>
          <w:p w14:paraId="62181E7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S1草本样方</w:t>
            </w:r>
          </w:p>
        </w:tc>
        <w:tc>
          <w:tcPr>
            <w:tcW w:w="4536" w:type="dxa"/>
            <w:noWrap w:val="0"/>
            <w:vAlign w:val="top"/>
          </w:tcPr>
          <w:p w14:paraId="211628F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S2草本样方</w:t>
            </w:r>
          </w:p>
        </w:tc>
      </w:tr>
      <w:tr w14:paraId="0C6179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noWrap w:val="0"/>
            <w:vAlign w:val="top"/>
          </w:tcPr>
          <w:p w14:paraId="2283F5D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drawing>
                <wp:inline distT="0" distB="0" distL="114300" distR="114300">
                  <wp:extent cx="2722880" cy="3630295"/>
                  <wp:effectExtent l="0" t="0" r="1270" b="8255"/>
                  <wp:docPr id="160" name="图片 20" descr="C:/Users/dell/Desktop/31、淮南码头/样方调查/灌木1#.JPG灌木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20" descr="C:/Users/dell/Desktop/31、淮南码头/样方调查/灌木1#.JPG灌木1#"/>
                          <pic:cNvPicPr>
                            <a:picLocks noChangeAspect="1"/>
                          </pic:cNvPicPr>
                        </pic:nvPicPr>
                        <pic:blipFill>
                          <a:blip r:embed="rId91"/>
                          <a:srcRect t="12" b="12"/>
                          <a:stretch>
                            <a:fillRect/>
                          </a:stretch>
                        </pic:blipFill>
                        <pic:spPr>
                          <a:xfrm>
                            <a:off x="0" y="0"/>
                            <a:ext cx="2722880" cy="3630295"/>
                          </a:xfrm>
                          <a:prstGeom prst="rect">
                            <a:avLst/>
                          </a:prstGeom>
                          <a:noFill/>
                          <a:ln>
                            <a:noFill/>
                          </a:ln>
                        </pic:spPr>
                      </pic:pic>
                    </a:graphicData>
                  </a:graphic>
                </wp:inline>
              </w:drawing>
            </w:r>
          </w:p>
        </w:tc>
        <w:tc>
          <w:tcPr>
            <w:tcW w:w="4536" w:type="dxa"/>
            <w:noWrap w:val="0"/>
            <w:vAlign w:val="top"/>
          </w:tcPr>
          <w:p w14:paraId="72C41F4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drawing>
                <wp:inline distT="0" distB="0" distL="114300" distR="114300">
                  <wp:extent cx="2743200" cy="3657600"/>
                  <wp:effectExtent l="0" t="0" r="0" b="0"/>
                  <wp:docPr id="161" name="图片 21" descr="C:/Users/dell/Desktop/31、淮南码头/样方调查/灌木3#.JPG灌木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21" descr="C:/Users/dell/Desktop/31、淮南码头/样方调查/灌木3#.JPG灌木3#"/>
                          <pic:cNvPicPr>
                            <a:picLocks noChangeAspect="1"/>
                          </pic:cNvPicPr>
                        </pic:nvPicPr>
                        <pic:blipFill>
                          <a:blip r:embed="rId92"/>
                          <a:stretch>
                            <a:fillRect/>
                          </a:stretch>
                        </pic:blipFill>
                        <pic:spPr>
                          <a:xfrm>
                            <a:off x="0" y="0"/>
                            <a:ext cx="2743200" cy="3657600"/>
                          </a:xfrm>
                          <a:prstGeom prst="rect">
                            <a:avLst/>
                          </a:prstGeom>
                          <a:noFill/>
                          <a:ln>
                            <a:noFill/>
                          </a:ln>
                        </pic:spPr>
                      </pic:pic>
                    </a:graphicData>
                  </a:graphic>
                </wp:inline>
              </w:drawing>
            </w:r>
          </w:p>
        </w:tc>
      </w:tr>
      <w:tr w14:paraId="0F6F73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jc w:val="center"/>
        </w:trPr>
        <w:tc>
          <w:tcPr>
            <w:tcW w:w="4506" w:type="dxa"/>
            <w:noWrap w:val="0"/>
            <w:vAlign w:val="top"/>
          </w:tcPr>
          <w:p w14:paraId="3EC4E54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S</w:t>
            </w:r>
            <w:r>
              <w:rPr>
                <w:rFonts w:hint="eastAsia" w:ascii="Times New Roman" w:hAnsi="Times New Roman" w:cs="Times New Roman"/>
                <w:color w:val="auto"/>
                <w:kern w:val="0"/>
              </w:rPr>
              <w:t>6</w:t>
            </w:r>
            <w:r>
              <w:rPr>
                <w:rFonts w:hint="default" w:ascii="Times New Roman" w:hAnsi="Times New Roman" w:cs="Times New Roman"/>
                <w:color w:val="auto"/>
                <w:kern w:val="0"/>
              </w:rPr>
              <w:t>灌木样方</w:t>
            </w:r>
          </w:p>
        </w:tc>
        <w:tc>
          <w:tcPr>
            <w:tcW w:w="4536" w:type="dxa"/>
            <w:noWrap w:val="0"/>
            <w:vAlign w:val="top"/>
          </w:tcPr>
          <w:p w14:paraId="5FCF785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S</w:t>
            </w:r>
            <w:r>
              <w:rPr>
                <w:rFonts w:hint="eastAsia" w:ascii="Times New Roman" w:hAnsi="Times New Roman" w:cs="Times New Roman"/>
                <w:color w:val="auto"/>
                <w:kern w:val="0"/>
              </w:rPr>
              <w:t>7</w:t>
            </w:r>
            <w:r>
              <w:rPr>
                <w:rFonts w:hint="default" w:ascii="Times New Roman" w:hAnsi="Times New Roman" w:cs="Times New Roman"/>
                <w:color w:val="auto"/>
                <w:kern w:val="0"/>
              </w:rPr>
              <w:t>灌木样方</w:t>
            </w:r>
          </w:p>
        </w:tc>
      </w:tr>
      <w:tr w14:paraId="094DF8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noWrap w:val="0"/>
            <w:vAlign w:val="top"/>
          </w:tcPr>
          <w:p w14:paraId="0FBDB05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drawing>
                <wp:inline distT="0" distB="0" distL="114300" distR="114300">
                  <wp:extent cx="2722880" cy="3630295"/>
                  <wp:effectExtent l="0" t="0" r="1270" b="8255"/>
                  <wp:docPr id="162" name="图片 22" descr="C:/Users/dell/Desktop/31、淮南码头/样方调查/乔1#.JPG乔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22" descr="C:/Users/dell/Desktop/31、淮南码头/样方调查/乔1#.JPG乔1#"/>
                          <pic:cNvPicPr>
                            <a:picLocks noChangeAspect="1"/>
                          </pic:cNvPicPr>
                        </pic:nvPicPr>
                        <pic:blipFill>
                          <a:blip r:embed="rId93"/>
                          <a:srcRect t="12" b="12"/>
                          <a:stretch>
                            <a:fillRect/>
                          </a:stretch>
                        </pic:blipFill>
                        <pic:spPr>
                          <a:xfrm>
                            <a:off x="0" y="0"/>
                            <a:ext cx="2722880" cy="3630295"/>
                          </a:xfrm>
                          <a:prstGeom prst="rect">
                            <a:avLst/>
                          </a:prstGeom>
                          <a:noFill/>
                          <a:ln>
                            <a:noFill/>
                          </a:ln>
                        </pic:spPr>
                      </pic:pic>
                    </a:graphicData>
                  </a:graphic>
                </wp:inline>
              </w:drawing>
            </w:r>
          </w:p>
        </w:tc>
        <w:tc>
          <w:tcPr>
            <w:tcW w:w="4536" w:type="dxa"/>
            <w:noWrap w:val="0"/>
            <w:vAlign w:val="top"/>
          </w:tcPr>
          <w:p w14:paraId="1F9AA76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drawing>
                <wp:inline distT="0" distB="0" distL="114300" distR="114300">
                  <wp:extent cx="2743200" cy="3657600"/>
                  <wp:effectExtent l="0" t="0" r="0" b="0"/>
                  <wp:docPr id="163" name="图片 16" descr="C:/Users/dell/Desktop/31、淮南码头/样方调查/乔2#.JPG乔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 descr="C:/Users/dell/Desktop/31、淮南码头/样方调查/乔2#.JPG乔2#"/>
                          <pic:cNvPicPr>
                            <a:picLocks noChangeAspect="1"/>
                          </pic:cNvPicPr>
                        </pic:nvPicPr>
                        <pic:blipFill>
                          <a:blip r:embed="rId94"/>
                          <a:stretch>
                            <a:fillRect/>
                          </a:stretch>
                        </pic:blipFill>
                        <pic:spPr>
                          <a:xfrm>
                            <a:off x="0" y="0"/>
                            <a:ext cx="2743200" cy="3657600"/>
                          </a:xfrm>
                          <a:prstGeom prst="rect">
                            <a:avLst/>
                          </a:prstGeom>
                          <a:noFill/>
                          <a:ln>
                            <a:noFill/>
                          </a:ln>
                        </pic:spPr>
                      </pic:pic>
                    </a:graphicData>
                  </a:graphic>
                </wp:inline>
              </w:drawing>
            </w:r>
          </w:p>
        </w:tc>
      </w:tr>
      <w:tr w14:paraId="357718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noWrap w:val="0"/>
            <w:vAlign w:val="top"/>
          </w:tcPr>
          <w:p w14:paraId="24BC686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S</w:t>
            </w:r>
            <w:r>
              <w:rPr>
                <w:rFonts w:hint="eastAsia" w:ascii="Times New Roman" w:hAnsi="Times New Roman" w:cs="Times New Roman"/>
                <w:color w:val="auto"/>
                <w:kern w:val="0"/>
              </w:rPr>
              <w:t>11</w:t>
            </w:r>
            <w:r>
              <w:rPr>
                <w:rFonts w:hint="default" w:ascii="Times New Roman" w:hAnsi="Times New Roman" w:cs="Times New Roman"/>
                <w:color w:val="auto"/>
                <w:kern w:val="0"/>
              </w:rPr>
              <w:t>乔木样方</w:t>
            </w:r>
          </w:p>
        </w:tc>
        <w:tc>
          <w:tcPr>
            <w:tcW w:w="4536" w:type="dxa"/>
            <w:noWrap w:val="0"/>
            <w:vAlign w:val="top"/>
          </w:tcPr>
          <w:p w14:paraId="1BB9177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S</w:t>
            </w:r>
            <w:r>
              <w:rPr>
                <w:rFonts w:hint="eastAsia" w:ascii="Times New Roman" w:hAnsi="Times New Roman" w:cs="Times New Roman"/>
                <w:color w:val="auto"/>
                <w:kern w:val="0"/>
              </w:rPr>
              <w:t>12</w:t>
            </w:r>
            <w:r>
              <w:rPr>
                <w:rFonts w:hint="default" w:ascii="Times New Roman" w:hAnsi="Times New Roman" w:cs="Times New Roman"/>
                <w:color w:val="auto"/>
                <w:kern w:val="0"/>
              </w:rPr>
              <w:t>乔木样方</w:t>
            </w:r>
          </w:p>
        </w:tc>
      </w:tr>
      <w:tr w14:paraId="182B1D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506" w:type="dxa"/>
            <w:noWrap w:val="0"/>
            <w:vAlign w:val="top"/>
          </w:tcPr>
          <w:p w14:paraId="3F6674C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drawing>
                <wp:inline distT="0" distB="0" distL="114300" distR="114300">
                  <wp:extent cx="2715895" cy="3620770"/>
                  <wp:effectExtent l="0" t="0" r="8255" b="17780"/>
                  <wp:docPr id="164" name="图片 24" descr="C:/Users/dell/Desktop/31、淮南码头/样方调查/树围1.JPG树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24" descr="C:/Users/dell/Desktop/31、淮南码头/样方调查/树围1.JPG树围1"/>
                          <pic:cNvPicPr>
                            <a:picLocks noChangeAspect="1"/>
                          </pic:cNvPicPr>
                        </pic:nvPicPr>
                        <pic:blipFill>
                          <a:blip r:embed="rId95"/>
                          <a:srcRect t="12" b="12"/>
                          <a:stretch>
                            <a:fillRect/>
                          </a:stretch>
                        </pic:blipFill>
                        <pic:spPr>
                          <a:xfrm>
                            <a:off x="0" y="0"/>
                            <a:ext cx="2715895" cy="3620770"/>
                          </a:xfrm>
                          <a:prstGeom prst="rect">
                            <a:avLst/>
                          </a:prstGeom>
                          <a:noFill/>
                          <a:ln>
                            <a:noFill/>
                          </a:ln>
                        </pic:spPr>
                      </pic:pic>
                    </a:graphicData>
                  </a:graphic>
                </wp:inline>
              </w:drawing>
            </w:r>
          </w:p>
        </w:tc>
        <w:tc>
          <w:tcPr>
            <w:tcW w:w="4536" w:type="dxa"/>
            <w:noWrap w:val="0"/>
            <w:vAlign w:val="top"/>
          </w:tcPr>
          <w:p w14:paraId="188B7FB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drawing>
                <wp:inline distT="0" distB="0" distL="114300" distR="114300">
                  <wp:extent cx="2729230" cy="3639185"/>
                  <wp:effectExtent l="0" t="0" r="13970" b="18415"/>
                  <wp:docPr id="165" name="图片 25" descr="C:/Users/dell/Desktop/31、淮南码头/样方调查/树围2.JPG树围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25" descr="C:/Users/dell/Desktop/31、淮南码头/样方调查/树围2.JPG树围2"/>
                          <pic:cNvPicPr>
                            <a:picLocks noChangeAspect="1"/>
                          </pic:cNvPicPr>
                        </pic:nvPicPr>
                        <pic:blipFill>
                          <a:blip r:embed="rId96"/>
                          <a:srcRect l="9" r="9"/>
                          <a:stretch>
                            <a:fillRect/>
                          </a:stretch>
                        </pic:blipFill>
                        <pic:spPr>
                          <a:xfrm>
                            <a:off x="0" y="0"/>
                            <a:ext cx="2729230" cy="3639185"/>
                          </a:xfrm>
                          <a:prstGeom prst="rect">
                            <a:avLst/>
                          </a:prstGeom>
                          <a:noFill/>
                          <a:ln>
                            <a:noFill/>
                          </a:ln>
                        </pic:spPr>
                      </pic:pic>
                    </a:graphicData>
                  </a:graphic>
                </wp:inline>
              </w:drawing>
            </w:r>
          </w:p>
        </w:tc>
      </w:tr>
    </w:tbl>
    <w:p w14:paraId="4ADC90D2">
      <w:pPr>
        <w:spacing w:line="400" w:lineRule="exact"/>
        <w:jc w:val="center"/>
        <w:rPr>
          <w:rFonts w:eastAsia="黑体"/>
          <w:color w:val="auto"/>
          <w:kern w:val="0"/>
          <w:sz w:val="24"/>
          <w:szCs w:val="24"/>
        </w:rPr>
      </w:pPr>
      <w:r>
        <w:rPr>
          <w:rFonts w:eastAsia="黑体"/>
          <w:color w:val="auto"/>
          <w:kern w:val="0"/>
          <w:sz w:val="24"/>
          <w:szCs w:val="24"/>
        </w:rPr>
        <w:t>图4.</w:t>
      </w:r>
      <w:r>
        <w:rPr>
          <w:rFonts w:hint="eastAsia" w:eastAsia="黑体"/>
          <w:color w:val="auto"/>
          <w:kern w:val="0"/>
          <w:sz w:val="24"/>
          <w:szCs w:val="24"/>
        </w:rPr>
        <w:t>2-3</w:t>
      </w:r>
      <w:r>
        <w:rPr>
          <w:rFonts w:eastAsia="黑体"/>
          <w:color w:val="auto"/>
          <w:kern w:val="0"/>
          <w:sz w:val="24"/>
          <w:szCs w:val="24"/>
        </w:rPr>
        <w:t xml:space="preserve">  项目生态样方现场调查图</w:t>
      </w:r>
    </w:p>
    <w:p w14:paraId="21A3909A">
      <w:pPr>
        <w:spacing w:line="500" w:lineRule="exact"/>
        <w:jc w:val="center"/>
        <w:rPr>
          <w:rFonts w:eastAsia="黑体"/>
          <w:color w:val="auto"/>
          <w:sz w:val="24"/>
        </w:rPr>
      </w:pPr>
      <w:r>
        <w:rPr>
          <w:rFonts w:eastAsia="黑体"/>
          <w:color w:val="auto"/>
          <w:sz w:val="24"/>
        </w:rPr>
        <w:t>表4.2</w:t>
      </w:r>
      <w:r>
        <w:rPr>
          <w:rFonts w:hint="eastAsia" w:eastAsia="黑体"/>
          <w:color w:val="auto"/>
          <w:sz w:val="24"/>
        </w:rPr>
        <w:t>-1</w:t>
      </w:r>
      <w:r>
        <w:rPr>
          <w:rFonts w:hint="eastAsia" w:eastAsia="黑体"/>
          <w:color w:val="auto"/>
          <w:sz w:val="24"/>
          <w:lang w:val="en-US" w:eastAsia="zh-CN"/>
        </w:rPr>
        <w:t>7</w:t>
      </w:r>
      <w:r>
        <w:rPr>
          <w:rFonts w:eastAsia="黑体"/>
          <w:color w:val="auto"/>
          <w:sz w:val="24"/>
        </w:rPr>
        <w:t xml:space="preserve"> 植物群落样方坐标表</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00"/>
        <w:gridCol w:w="3943"/>
        <w:gridCol w:w="3944"/>
      </w:tblGrid>
      <w:tr w14:paraId="443C6E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0" w:type="dxa"/>
            <w:vMerge w:val="restart"/>
            <w:noWrap w:val="0"/>
            <w:vAlign w:val="center"/>
          </w:tcPr>
          <w:p w14:paraId="11FCA9D2">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样方</w:t>
            </w:r>
          </w:p>
        </w:tc>
        <w:tc>
          <w:tcPr>
            <w:tcW w:w="3943" w:type="dxa"/>
            <w:noWrap w:val="0"/>
            <w:vAlign w:val="center"/>
          </w:tcPr>
          <w:p w14:paraId="13A26AE6">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坐标</w:t>
            </w:r>
          </w:p>
        </w:tc>
        <w:tc>
          <w:tcPr>
            <w:tcW w:w="3944" w:type="dxa"/>
            <w:vMerge w:val="restart"/>
            <w:noWrap w:val="0"/>
            <w:vAlign w:val="center"/>
          </w:tcPr>
          <w:p w14:paraId="5C7CB03E">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eastAsia" w:ascii="Times New Roman" w:hAnsi="Times New Roman" w:cs="Times New Roman"/>
                <w:b/>
                <w:bCs/>
                <w:color w:val="auto"/>
              </w:rPr>
              <w:t>备注</w:t>
            </w:r>
          </w:p>
        </w:tc>
      </w:tr>
      <w:tr w14:paraId="3B6862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0" w:type="dxa"/>
            <w:vMerge w:val="continue"/>
            <w:noWrap w:val="0"/>
            <w:vAlign w:val="center"/>
          </w:tcPr>
          <w:p w14:paraId="0C1D593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p>
        </w:tc>
        <w:tc>
          <w:tcPr>
            <w:tcW w:w="3943" w:type="dxa"/>
            <w:noWrap w:val="0"/>
            <w:vAlign w:val="center"/>
          </w:tcPr>
          <w:p w14:paraId="11F1F95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经纬度</w:t>
            </w:r>
            <w:r>
              <w:rPr>
                <w:rFonts w:hint="eastAsia" w:ascii="Times New Roman" w:hAnsi="Times New Roman" w:cs="Times New Roman"/>
                <w:b/>
                <w:bCs/>
                <w:color w:val="auto"/>
              </w:rPr>
              <w:t>（°）</w:t>
            </w:r>
          </w:p>
        </w:tc>
        <w:tc>
          <w:tcPr>
            <w:tcW w:w="3944" w:type="dxa"/>
            <w:vMerge w:val="continue"/>
            <w:noWrap w:val="0"/>
            <w:vAlign w:val="center"/>
          </w:tcPr>
          <w:p w14:paraId="14B7207F">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p>
        </w:tc>
      </w:tr>
      <w:tr w14:paraId="590052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0" w:type="dxa"/>
            <w:noWrap w:val="0"/>
            <w:vAlign w:val="center"/>
          </w:tcPr>
          <w:p w14:paraId="5FAABFF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lang w:bidi="ar"/>
              </w:rPr>
              <w:t>S1</w:t>
            </w:r>
          </w:p>
        </w:tc>
        <w:tc>
          <w:tcPr>
            <w:tcW w:w="3943" w:type="dxa"/>
            <w:noWrap w:val="0"/>
            <w:vAlign w:val="center"/>
          </w:tcPr>
          <w:p w14:paraId="172F8C8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rPr>
              <w:t>11</w:t>
            </w:r>
            <w:r>
              <w:rPr>
                <w:rFonts w:hint="eastAsia" w:ascii="Times New Roman" w:hAnsi="Times New Roman" w:cs="Times New Roman"/>
                <w:color w:val="auto"/>
                <w:kern w:val="0"/>
              </w:rPr>
              <w:t>6</w:t>
            </w:r>
            <w:r>
              <w:rPr>
                <w:rFonts w:hint="default" w:ascii="Times New Roman" w:hAnsi="Times New Roman" w:cs="Times New Roman"/>
                <w:color w:val="auto"/>
                <w:kern w:val="0"/>
              </w:rPr>
              <w:t>.</w:t>
            </w:r>
            <w:r>
              <w:rPr>
                <w:rFonts w:hint="eastAsia" w:ascii="Times New Roman" w:hAnsi="Times New Roman" w:cs="Times New Roman"/>
                <w:color w:val="auto"/>
                <w:kern w:val="0"/>
              </w:rPr>
              <w:t>907260  32.668581</w:t>
            </w:r>
          </w:p>
        </w:tc>
        <w:tc>
          <w:tcPr>
            <w:tcW w:w="3944" w:type="dxa"/>
            <w:vMerge w:val="restart"/>
            <w:noWrap w:val="0"/>
            <w:vAlign w:val="center"/>
          </w:tcPr>
          <w:p w14:paraId="4FE0AE0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eastAsia" w:ascii="Times New Roman" w:hAnsi="Times New Roman" w:cs="Times New Roman"/>
                <w:color w:val="auto"/>
                <w:kern w:val="0"/>
              </w:rPr>
              <w:t>草木样方</w:t>
            </w:r>
          </w:p>
        </w:tc>
      </w:tr>
      <w:tr w14:paraId="7C28A9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0" w:type="dxa"/>
            <w:noWrap w:val="0"/>
            <w:vAlign w:val="center"/>
          </w:tcPr>
          <w:p w14:paraId="4282BC7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lang w:bidi="ar"/>
              </w:rPr>
              <w:t>S2</w:t>
            </w:r>
          </w:p>
        </w:tc>
        <w:tc>
          <w:tcPr>
            <w:tcW w:w="3943" w:type="dxa"/>
            <w:noWrap w:val="0"/>
            <w:vAlign w:val="center"/>
          </w:tcPr>
          <w:p w14:paraId="368C536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11</w:t>
            </w:r>
            <w:r>
              <w:rPr>
                <w:rFonts w:hint="eastAsia" w:ascii="Times New Roman" w:hAnsi="Times New Roman" w:cs="Times New Roman"/>
                <w:color w:val="auto"/>
                <w:kern w:val="0"/>
              </w:rPr>
              <w:t>6</w:t>
            </w:r>
            <w:r>
              <w:rPr>
                <w:rFonts w:hint="default" w:ascii="Times New Roman" w:hAnsi="Times New Roman" w:cs="Times New Roman"/>
                <w:color w:val="auto"/>
                <w:kern w:val="0"/>
              </w:rPr>
              <w:t>.</w:t>
            </w:r>
            <w:r>
              <w:rPr>
                <w:rFonts w:hint="eastAsia" w:ascii="Times New Roman" w:hAnsi="Times New Roman" w:cs="Times New Roman"/>
                <w:color w:val="auto"/>
                <w:kern w:val="0"/>
              </w:rPr>
              <w:t>908492  32.668417</w:t>
            </w:r>
          </w:p>
        </w:tc>
        <w:tc>
          <w:tcPr>
            <w:tcW w:w="3944" w:type="dxa"/>
            <w:vMerge w:val="continue"/>
            <w:noWrap w:val="0"/>
            <w:vAlign w:val="center"/>
          </w:tcPr>
          <w:p w14:paraId="7A11F88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p>
        </w:tc>
      </w:tr>
      <w:tr w14:paraId="76EE7F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0" w:type="dxa"/>
            <w:noWrap w:val="0"/>
            <w:vAlign w:val="center"/>
          </w:tcPr>
          <w:p w14:paraId="521B8F5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lang w:bidi="ar"/>
              </w:rPr>
              <w:t>S3</w:t>
            </w:r>
          </w:p>
        </w:tc>
        <w:tc>
          <w:tcPr>
            <w:tcW w:w="3943" w:type="dxa"/>
            <w:noWrap w:val="0"/>
            <w:vAlign w:val="center"/>
          </w:tcPr>
          <w:p w14:paraId="194BABD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11</w:t>
            </w:r>
            <w:r>
              <w:rPr>
                <w:rFonts w:hint="eastAsia" w:ascii="Times New Roman" w:hAnsi="Times New Roman" w:cs="Times New Roman"/>
                <w:color w:val="auto"/>
                <w:kern w:val="0"/>
              </w:rPr>
              <w:t>6</w:t>
            </w:r>
            <w:r>
              <w:rPr>
                <w:rFonts w:hint="default" w:ascii="Times New Roman" w:hAnsi="Times New Roman" w:cs="Times New Roman"/>
                <w:color w:val="auto"/>
                <w:kern w:val="0"/>
              </w:rPr>
              <w:t>.</w:t>
            </w:r>
            <w:r>
              <w:rPr>
                <w:rFonts w:hint="eastAsia" w:ascii="Times New Roman" w:hAnsi="Times New Roman" w:cs="Times New Roman"/>
                <w:color w:val="auto"/>
                <w:kern w:val="0"/>
              </w:rPr>
              <w:t>908159  32.668467</w:t>
            </w:r>
          </w:p>
        </w:tc>
        <w:tc>
          <w:tcPr>
            <w:tcW w:w="3944" w:type="dxa"/>
            <w:vMerge w:val="continue"/>
            <w:noWrap w:val="0"/>
            <w:vAlign w:val="center"/>
          </w:tcPr>
          <w:p w14:paraId="4E7BB05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p>
        </w:tc>
      </w:tr>
      <w:tr w14:paraId="6396F8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0" w:type="dxa"/>
            <w:noWrap w:val="0"/>
            <w:vAlign w:val="center"/>
          </w:tcPr>
          <w:p w14:paraId="570A766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lang w:bidi="ar"/>
              </w:rPr>
              <w:t>S4</w:t>
            </w:r>
          </w:p>
        </w:tc>
        <w:tc>
          <w:tcPr>
            <w:tcW w:w="3943" w:type="dxa"/>
            <w:noWrap w:val="0"/>
            <w:vAlign w:val="center"/>
          </w:tcPr>
          <w:p w14:paraId="6B82B34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11</w:t>
            </w:r>
            <w:r>
              <w:rPr>
                <w:rFonts w:hint="eastAsia" w:ascii="Times New Roman" w:hAnsi="Times New Roman" w:cs="Times New Roman"/>
                <w:color w:val="auto"/>
                <w:kern w:val="0"/>
              </w:rPr>
              <w:t>6</w:t>
            </w:r>
            <w:r>
              <w:rPr>
                <w:rFonts w:hint="default" w:ascii="Times New Roman" w:hAnsi="Times New Roman" w:cs="Times New Roman"/>
                <w:color w:val="auto"/>
                <w:kern w:val="0"/>
              </w:rPr>
              <w:t>.</w:t>
            </w:r>
            <w:r>
              <w:rPr>
                <w:rFonts w:hint="eastAsia" w:ascii="Times New Roman" w:hAnsi="Times New Roman" w:cs="Times New Roman"/>
                <w:color w:val="auto"/>
                <w:kern w:val="0"/>
              </w:rPr>
              <w:t>916268  32.667504</w:t>
            </w:r>
          </w:p>
        </w:tc>
        <w:tc>
          <w:tcPr>
            <w:tcW w:w="3944" w:type="dxa"/>
            <w:vMerge w:val="continue"/>
            <w:noWrap w:val="0"/>
            <w:vAlign w:val="center"/>
          </w:tcPr>
          <w:p w14:paraId="0F56D19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p>
        </w:tc>
      </w:tr>
      <w:tr w14:paraId="422446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0" w:type="dxa"/>
            <w:noWrap w:val="0"/>
            <w:vAlign w:val="center"/>
          </w:tcPr>
          <w:p w14:paraId="62E3C3F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lang w:bidi="ar"/>
              </w:rPr>
              <w:t>S5</w:t>
            </w:r>
          </w:p>
        </w:tc>
        <w:tc>
          <w:tcPr>
            <w:tcW w:w="3943" w:type="dxa"/>
            <w:noWrap w:val="0"/>
            <w:vAlign w:val="center"/>
          </w:tcPr>
          <w:p w14:paraId="4A997FD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11</w:t>
            </w:r>
            <w:r>
              <w:rPr>
                <w:rFonts w:hint="eastAsia" w:ascii="Times New Roman" w:hAnsi="Times New Roman" w:cs="Times New Roman"/>
                <w:color w:val="auto"/>
                <w:kern w:val="0"/>
              </w:rPr>
              <w:t>6</w:t>
            </w:r>
            <w:r>
              <w:rPr>
                <w:rFonts w:hint="default" w:ascii="Times New Roman" w:hAnsi="Times New Roman" w:cs="Times New Roman"/>
                <w:color w:val="auto"/>
                <w:kern w:val="0"/>
              </w:rPr>
              <w:t>.</w:t>
            </w:r>
            <w:r>
              <w:rPr>
                <w:rFonts w:hint="eastAsia" w:ascii="Times New Roman" w:hAnsi="Times New Roman" w:cs="Times New Roman"/>
                <w:color w:val="auto"/>
                <w:kern w:val="0"/>
              </w:rPr>
              <w:t>918553  32.668470</w:t>
            </w:r>
          </w:p>
        </w:tc>
        <w:tc>
          <w:tcPr>
            <w:tcW w:w="3944" w:type="dxa"/>
            <w:vMerge w:val="continue"/>
            <w:noWrap w:val="0"/>
            <w:vAlign w:val="center"/>
          </w:tcPr>
          <w:p w14:paraId="21B8A2F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p>
        </w:tc>
      </w:tr>
      <w:tr w14:paraId="54D2B6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0" w:type="dxa"/>
            <w:noWrap w:val="0"/>
            <w:vAlign w:val="center"/>
          </w:tcPr>
          <w:p w14:paraId="288691B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lang w:bidi="ar"/>
              </w:rPr>
              <w:t>S6</w:t>
            </w:r>
          </w:p>
        </w:tc>
        <w:tc>
          <w:tcPr>
            <w:tcW w:w="3943" w:type="dxa"/>
            <w:noWrap w:val="0"/>
            <w:vAlign w:val="center"/>
          </w:tcPr>
          <w:p w14:paraId="491435C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rPr>
              <w:t>11</w:t>
            </w:r>
            <w:r>
              <w:rPr>
                <w:rFonts w:hint="eastAsia" w:ascii="Times New Roman" w:hAnsi="Times New Roman" w:cs="Times New Roman"/>
                <w:color w:val="auto"/>
                <w:kern w:val="0"/>
              </w:rPr>
              <w:t>6</w:t>
            </w:r>
            <w:r>
              <w:rPr>
                <w:rFonts w:hint="default" w:ascii="Times New Roman" w:hAnsi="Times New Roman" w:cs="Times New Roman"/>
                <w:color w:val="auto"/>
                <w:kern w:val="0"/>
              </w:rPr>
              <w:t>.</w:t>
            </w:r>
            <w:r>
              <w:rPr>
                <w:rFonts w:hint="eastAsia" w:ascii="Times New Roman" w:hAnsi="Times New Roman" w:cs="Times New Roman"/>
                <w:color w:val="auto"/>
                <w:kern w:val="0"/>
              </w:rPr>
              <w:t>908953  32.668378</w:t>
            </w:r>
          </w:p>
        </w:tc>
        <w:tc>
          <w:tcPr>
            <w:tcW w:w="3944" w:type="dxa"/>
            <w:vMerge w:val="restart"/>
            <w:noWrap w:val="0"/>
            <w:vAlign w:val="center"/>
          </w:tcPr>
          <w:p w14:paraId="4C73A8F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eastAsia" w:ascii="Times New Roman" w:hAnsi="Times New Roman" w:cs="Times New Roman"/>
                <w:color w:val="auto"/>
                <w:kern w:val="0"/>
              </w:rPr>
              <w:t>灌木样方</w:t>
            </w:r>
          </w:p>
        </w:tc>
      </w:tr>
      <w:tr w14:paraId="2D8767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0" w:type="dxa"/>
            <w:noWrap w:val="0"/>
            <w:vAlign w:val="center"/>
          </w:tcPr>
          <w:p w14:paraId="4D576C5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lang w:bidi="ar"/>
              </w:rPr>
              <w:t>S7</w:t>
            </w:r>
          </w:p>
        </w:tc>
        <w:tc>
          <w:tcPr>
            <w:tcW w:w="3943" w:type="dxa"/>
            <w:noWrap w:val="0"/>
            <w:vAlign w:val="center"/>
          </w:tcPr>
          <w:p w14:paraId="62D9C81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rPr>
              <w:t>11</w:t>
            </w:r>
            <w:r>
              <w:rPr>
                <w:rFonts w:hint="eastAsia" w:ascii="Times New Roman" w:hAnsi="Times New Roman" w:cs="Times New Roman"/>
                <w:color w:val="auto"/>
                <w:kern w:val="0"/>
              </w:rPr>
              <w:t>6</w:t>
            </w:r>
            <w:r>
              <w:rPr>
                <w:rFonts w:hint="default" w:ascii="Times New Roman" w:hAnsi="Times New Roman" w:cs="Times New Roman"/>
                <w:color w:val="auto"/>
                <w:kern w:val="0"/>
              </w:rPr>
              <w:t>.</w:t>
            </w:r>
            <w:r>
              <w:rPr>
                <w:rFonts w:hint="eastAsia" w:ascii="Times New Roman" w:hAnsi="Times New Roman" w:cs="Times New Roman"/>
                <w:color w:val="auto"/>
                <w:kern w:val="0"/>
              </w:rPr>
              <w:t>907020  32.668620</w:t>
            </w:r>
          </w:p>
        </w:tc>
        <w:tc>
          <w:tcPr>
            <w:tcW w:w="3944" w:type="dxa"/>
            <w:vMerge w:val="continue"/>
            <w:noWrap w:val="0"/>
            <w:vAlign w:val="center"/>
          </w:tcPr>
          <w:p w14:paraId="01BC159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p>
        </w:tc>
      </w:tr>
      <w:tr w14:paraId="2E68B9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0" w:type="dxa"/>
            <w:noWrap w:val="0"/>
            <w:vAlign w:val="center"/>
          </w:tcPr>
          <w:p w14:paraId="3C877C5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lang w:bidi="ar"/>
              </w:rPr>
              <w:t>S8</w:t>
            </w:r>
          </w:p>
        </w:tc>
        <w:tc>
          <w:tcPr>
            <w:tcW w:w="3943" w:type="dxa"/>
            <w:noWrap w:val="0"/>
            <w:vAlign w:val="center"/>
          </w:tcPr>
          <w:p w14:paraId="6F272B8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rPr>
              <w:t>11</w:t>
            </w:r>
            <w:r>
              <w:rPr>
                <w:rFonts w:hint="eastAsia" w:ascii="Times New Roman" w:hAnsi="Times New Roman" w:cs="Times New Roman"/>
                <w:color w:val="auto"/>
                <w:kern w:val="0"/>
              </w:rPr>
              <w:t>6</w:t>
            </w:r>
            <w:r>
              <w:rPr>
                <w:rFonts w:hint="default" w:ascii="Times New Roman" w:hAnsi="Times New Roman" w:cs="Times New Roman"/>
                <w:color w:val="auto"/>
                <w:kern w:val="0"/>
              </w:rPr>
              <w:t>.</w:t>
            </w:r>
            <w:r>
              <w:rPr>
                <w:rFonts w:hint="eastAsia" w:ascii="Times New Roman" w:hAnsi="Times New Roman" w:cs="Times New Roman"/>
                <w:color w:val="auto"/>
                <w:kern w:val="0"/>
              </w:rPr>
              <w:t>908834  32.668395</w:t>
            </w:r>
          </w:p>
        </w:tc>
        <w:tc>
          <w:tcPr>
            <w:tcW w:w="3944" w:type="dxa"/>
            <w:vMerge w:val="continue"/>
            <w:noWrap w:val="0"/>
            <w:vAlign w:val="center"/>
          </w:tcPr>
          <w:p w14:paraId="2E4FE17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p>
        </w:tc>
      </w:tr>
      <w:tr w14:paraId="7FCEBE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0" w:type="dxa"/>
            <w:noWrap w:val="0"/>
            <w:vAlign w:val="center"/>
          </w:tcPr>
          <w:p w14:paraId="7EBAA2D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lang w:bidi="ar"/>
              </w:rPr>
              <w:t>S9</w:t>
            </w:r>
          </w:p>
        </w:tc>
        <w:tc>
          <w:tcPr>
            <w:tcW w:w="3943" w:type="dxa"/>
            <w:noWrap w:val="0"/>
            <w:vAlign w:val="center"/>
          </w:tcPr>
          <w:p w14:paraId="0D87C1F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11</w:t>
            </w:r>
            <w:r>
              <w:rPr>
                <w:rFonts w:hint="eastAsia" w:ascii="Times New Roman" w:hAnsi="Times New Roman" w:cs="Times New Roman"/>
                <w:color w:val="auto"/>
                <w:kern w:val="0"/>
              </w:rPr>
              <w:t>6</w:t>
            </w:r>
            <w:r>
              <w:rPr>
                <w:rFonts w:hint="default" w:ascii="Times New Roman" w:hAnsi="Times New Roman" w:cs="Times New Roman"/>
                <w:color w:val="auto"/>
                <w:kern w:val="0"/>
              </w:rPr>
              <w:t>.</w:t>
            </w:r>
            <w:r>
              <w:rPr>
                <w:rFonts w:hint="eastAsia" w:ascii="Times New Roman" w:hAnsi="Times New Roman" w:cs="Times New Roman"/>
                <w:color w:val="auto"/>
                <w:kern w:val="0"/>
              </w:rPr>
              <w:t>915141  32.680304</w:t>
            </w:r>
          </w:p>
        </w:tc>
        <w:tc>
          <w:tcPr>
            <w:tcW w:w="3944" w:type="dxa"/>
            <w:vMerge w:val="continue"/>
            <w:noWrap w:val="0"/>
            <w:vAlign w:val="center"/>
          </w:tcPr>
          <w:p w14:paraId="34F6FBB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p>
        </w:tc>
      </w:tr>
      <w:tr w14:paraId="2AA5AB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0" w:type="dxa"/>
            <w:noWrap w:val="0"/>
            <w:vAlign w:val="center"/>
          </w:tcPr>
          <w:p w14:paraId="0C07012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lang w:bidi="ar"/>
              </w:rPr>
              <w:t>S10</w:t>
            </w:r>
          </w:p>
        </w:tc>
        <w:tc>
          <w:tcPr>
            <w:tcW w:w="3943" w:type="dxa"/>
            <w:noWrap w:val="0"/>
            <w:vAlign w:val="center"/>
          </w:tcPr>
          <w:p w14:paraId="5118732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11</w:t>
            </w:r>
            <w:r>
              <w:rPr>
                <w:rFonts w:hint="eastAsia" w:ascii="Times New Roman" w:hAnsi="Times New Roman" w:cs="Times New Roman"/>
                <w:color w:val="auto"/>
                <w:kern w:val="0"/>
              </w:rPr>
              <w:t>6</w:t>
            </w:r>
            <w:r>
              <w:rPr>
                <w:rFonts w:hint="default" w:ascii="Times New Roman" w:hAnsi="Times New Roman" w:cs="Times New Roman"/>
                <w:color w:val="auto"/>
                <w:kern w:val="0"/>
              </w:rPr>
              <w:t>.</w:t>
            </w:r>
            <w:r>
              <w:rPr>
                <w:rFonts w:hint="eastAsia" w:ascii="Times New Roman" w:hAnsi="Times New Roman" w:cs="Times New Roman"/>
                <w:color w:val="auto"/>
                <w:kern w:val="0"/>
              </w:rPr>
              <w:t>916708  32.671189</w:t>
            </w:r>
          </w:p>
        </w:tc>
        <w:tc>
          <w:tcPr>
            <w:tcW w:w="3944" w:type="dxa"/>
            <w:vMerge w:val="continue"/>
            <w:noWrap w:val="0"/>
            <w:vAlign w:val="center"/>
          </w:tcPr>
          <w:p w14:paraId="784DD39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p>
        </w:tc>
      </w:tr>
      <w:tr w14:paraId="121456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0" w:type="dxa"/>
            <w:noWrap w:val="0"/>
            <w:vAlign w:val="center"/>
          </w:tcPr>
          <w:p w14:paraId="6E067C4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lang w:bidi="ar"/>
              </w:rPr>
              <w:t>S11</w:t>
            </w:r>
          </w:p>
        </w:tc>
        <w:tc>
          <w:tcPr>
            <w:tcW w:w="3943" w:type="dxa"/>
            <w:noWrap w:val="0"/>
            <w:vAlign w:val="center"/>
          </w:tcPr>
          <w:p w14:paraId="2D0A411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11</w:t>
            </w:r>
            <w:r>
              <w:rPr>
                <w:rFonts w:hint="eastAsia" w:ascii="Times New Roman" w:hAnsi="Times New Roman" w:cs="Times New Roman"/>
                <w:color w:val="auto"/>
                <w:kern w:val="0"/>
              </w:rPr>
              <w:t>6</w:t>
            </w:r>
            <w:r>
              <w:rPr>
                <w:rFonts w:hint="default" w:ascii="Times New Roman" w:hAnsi="Times New Roman" w:cs="Times New Roman"/>
                <w:color w:val="auto"/>
                <w:kern w:val="0"/>
              </w:rPr>
              <w:t>.</w:t>
            </w:r>
            <w:r>
              <w:rPr>
                <w:rFonts w:hint="eastAsia" w:ascii="Times New Roman" w:hAnsi="Times New Roman" w:cs="Times New Roman"/>
                <w:color w:val="auto"/>
                <w:kern w:val="0"/>
              </w:rPr>
              <w:t>907450  32.669216</w:t>
            </w:r>
          </w:p>
        </w:tc>
        <w:tc>
          <w:tcPr>
            <w:tcW w:w="3944" w:type="dxa"/>
            <w:vMerge w:val="restart"/>
            <w:noWrap w:val="0"/>
            <w:vAlign w:val="center"/>
          </w:tcPr>
          <w:p w14:paraId="20C11BA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eastAsia" w:ascii="Times New Roman" w:hAnsi="Times New Roman" w:cs="Times New Roman"/>
                <w:color w:val="auto"/>
                <w:kern w:val="0"/>
              </w:rPr>
              <w:t>乔木样方</w:t>
            </w:r>
          </w:p>
        </w:tc>
      </w:tr>
      <w:tr w14:paraId="2C33B5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0" w:type="dxa"/>
            <w:noWrap w:val="0"/>
            <w:vAlign w:val="center"/>
          </w:tcPr>
          <w:p w14:paraId="10DAD40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lang w:bidi="ar"/>
              </w:rPr>
              <w:t>S12</w:t>
            </w:r>
          </w:p>
        </w:tc>
        <w:tc>
          <w:tcPr>
            <w:tcW w:w="3943" w:type="dxa"/>
            <w:noWrap w:val="0"/>
            <w:vAlign w:val="center"/>
          </w:tcPr>
          <w:p w14:paraId="73B6933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rPr>
            </w:pPr>
            <w:r>
              <w:rPr>
                <w:rFonts w:hint="default" w:ascii="Times New Roman" w:hAnsi="Times New Roman" w:cs="Times New Roman"/>
                <w:color w:val="auto"/>
                <w:kern w:val="0"/>
              </w:rPr>
              <w:t>11</w:t>
            </w:r>
            <w:r>
              <w:rPr>
                <w:rFonts w:hint="eastAsia" w:ascii="Times New Roman" w:hAnsi="Times New Roman" w:cs="Times New Roman"/>
                <w:color w:val="auto"/>
                <w:kern w:val="0"/>
              </w:rPr>
              <w:t>6</w:t>
            </w:r>
            <w:r>
              <w:rPr>
                <w:rFonts w:hint="default" w:ascii="Times New Roman" w:hAnsi="Times New Roman" w:cs="Times New Roman"/>
                <w:color w:val="auto"/>
                <w:kern w:val="0"/>
              </w:rPr>
              <w:t>.</w:t>
            </w:r>
            <w:r>
              <w:rPr>
                <w:rFonts w:hint="eastAsia" w:ascii="Times New Roman" w:hAnsi="Times New Roman" w:cs="Times New Roman"/>
                <w:color w:val="auto"/>
                <w:kern w:val="0"/>
              </w:rPr>
              <w:t>907796  32.669228</w:t>
            </w:r>
          </w:p>
        </w:tc>
        <w:tc>
          <w:tcPr>
            <w:tcW w:w="3944" w:type="dxa"/>
            <w:vMerge w:val="continue"/>
            <w:noWrap w:val="0"/>
            <w:vAlign w:val="center"/>
          </w:tcPr>
          <w:p w14:paraId="4D8A2FE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highlight w:val="cyan"/>
              </w:rPr>
            </w:pPr>
          </w:p>
        </w:tc>
      </w:tr>
      <w:tr w14:paraId="3EB64B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0" w:type="dxa"/>
            <w:noWrap w:val="0"/>
            <w:vAlign w:val="center"/>
          </w:tcPr>
          <w:p w14:paraId="4BC7839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lang w:bidi="ar"/>
              </w:rPr>
              <w:t>S13</w:t>
            </w:r>
          </w:p>
        </w:tc>
        <w:tc>
          <w:tcPr>
            <w:tcW w:w="3943" w:type="dxa"/>
            <w:noWrap w:val="0"/>
            <w:vAlign w:val="center"/>
          </w:tcPr>
          <w:p w14:paraId="1010DA13">
            <w:pPr>
              <w:pStyle w:val="277"/>
              <w:keepNext w:val="0"/>
              <w:keepLines w:val="0"/>
              <w:suppressLineNumbers w:val="0"/>
              <w:adjustRightInd/>
              <w:snapToGrid/>
              <w:spacing w:before="0" w:beforeAutospacing="0" w:after="0" w:afterAutospacing="0"/>
              <w:ind w:left="0" w:right="0"/>
              <w:rPr>
                <w:rFonts w:hint="default" w:ascii="Times New Roman" w:hAnsi="Times New Roman" w:cs="Times New Roman"/>
                <w:color w:val="auto"/>
                <w:kern w:val="0"/>
                <w:sz w:val="21"/>
                <w:szCs w:val="21"/>
                <w:highlight w:val="cyan"/>
              </w:rPr>
            </w:pPr>
            <w:r>
              <w:rPr>
                <w:rFonts w:hint="default" w:ascii="Times New Roman" w:hAnsi="Times New Roman" w:cs="Times New Roman"/>
                <w:color w:val="auto"/>
                <w:kern w:val="0"/>
                <w:sz w:val="21"/>
                <w:szCs w:val="21"/>
              </w:rPr>
              <w:t>11</w:t>
            </w:r>
            <w:r>
              <w:rPr>
                <w:rFonts w:hint="eastAsia" w:ascii="Times New Roman" w:hAnsi="Times New Roman" w:cs="Times New Roman"/>
                <w:color w:val="auto"/>
                <w:kern w:val="0"/>
                <w:sz w:val="21"/>
                <w:szCs w:val="21"/>
              </w:rPr>
              <w:t>6</w:t>
            </w:r>
            <w:r>
              <w:rPr>
                <w:rFonts w:hint="default" w:ascii="Times New Roman" w:hAnsi="Times New Roman" w:cs="Times New Roman"/>
                <w:color w:val="auto"/>
                <w:kern w:val="0"/>
                <w:sz w:val="21"/>
                <w:szCs w:val="21"/>
              </w:rPr>
              <w:t>.</w:t>
            </w:r>
            <w:r>
              <w:rPr>
                <w:rFonts w:hint="eastAsia" w:ascii="Times New Roman" w:hAnsi="Times New Roman" w:cs="Times New Roman"/>
                <w:color w:val="auto"/>
                <w:kern w:val="0"/>
                <w:sz w:val="21"/>
                <w:szCs w:val="21"/>
              </w:rPr>
              <w:t>907260  32.668581</w:t>
            </w:r>
          </w:p>
        </w:tc>
        <w:tc>
          <w:tcPr>
            <w:tcW w:w="3944" w:type="dxa"/>
            <w:vMerge w:val="continue"/>
            <w:noWrap w:val="0"/>
            <w:vAlign w:val="center"/>
          </w:tcPr>
          <w:p w14:paraId="54BF8CF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highlight w:val="cyan"/>
              </w:rPr>
            </w:pPr>
          </w:p>
        </w:tc>
      </w:tr>
      <w:tr w14:paraId="320D33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0" w:type="dxa"/>
            <w:noWrap w:val="0"/>
            <w:vAlign w:val="center"/>
          </w:tcPr>
          <w:p w14:paraId="3D4BF51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lang w:bidi="ar"/>
              </w:rPr>
              <w:t>S14</w:t>
            </w:r>
          </w:p>
        </w:tc>
        <w:tc>
          <w:tcPr>
            <w:tcW w:w="3943" w:type="dxa"/>
            <w:noWrap w:val="0"/>
            <w:vAlign w:val="center"/>
          </w:tcPr>
          <w:p w14:paraId="59735B53">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rPr>
              <w:t>11</w:t>
            </w:r>
            <w:r>
              <w:rPr>
                <w:rFonts w:hint="eastAsia" w:ascii="Times New Roman" w:hAnsi="Times New Roman" w:cs="Times New Roman"/>
                <w:color w:val="auto"/>
                <w:kern w:val="0"/>
              </w:rPr>
              <w:t>6</w:t>
            </w:r>
            <w:r>
              <w:rPr>
                <w:rFonts w:hint="default" w:ascii="Times New Roman" w:hAnsi="Times New Roman" w:cs="Times New Roman"/>
                <w:color w:val="auto"/>
                <w:kern w:val="0"/>
              </w:rPr>
              <w:t>.</w:t>
            </w:r>
            <w:r>
              <w:rPr>
                <w:rFonts w:hint="eastAsia" w:ascii="Times New Roman" w:hAnsi="Times New Roman" w:cs="Times New Roman"/>
                <w:color w:val="auto"/>
                <w:kern w:val="0"/>
              </w:rPr>
              <w:t>908492  32.668417</w:t>
            </w:r>
          </w:p>
        </w:tc>
        <w:tc>
          <w:tcPr>
            <w:tcW w:w="3944" w:type="dxa"/>
            <w:vMerge w:val="continue"/>
            <w:noWrap w:val="0"/>
            <w:vAlign w:val="center"/>
          </w:tcPr>
          <w:p w14:paraId="1AE7EBE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highlight w:val="cyan"/>
              </w:rPr>
            </w:pPr>
          </w:p>
        </w:tc>
      </w:tr>
      <w:tr w14:paraId="7C2164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00" w:type="dxa"/>
            <w:noWrap w:val="0"/>
            <w:vAlign w:val="center"/>
          </w:tcPr>
          <w:p w14:paraId="70A188F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lang w:bidi="ar"/>
              </w:rPr>
              <w:t>S15</w:t>
            </w:r>
          </w:p>
        </w:tc>
        <w:tc>
          <w:tcPr>
            <w:tcW w:w="3943" w:type="dxa"/>
            <w:noWrap w:val="0"/>
            <w:vAlign w:val="center"/>
          </w:tcPr>
          <w:p w14:paraId="045BBC1E">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highlight w:val="cyan"/>
              </w:rPr>
            </w:pPr>
            <w:r>
              <w:rPr>
                <w:rFonts w:hint="default" w:ascii="Times New Roman" w:hAnsi="Times New Roman" w:cs="Times New Roman"/>
                <w:color w:val="auto"/>
                <w:kern w:val="0"/>
              </w:rPr>
              <w:t>11</w:t>
            </w:r>
            <w:r>
              <w:rPr>
                <w:rFonts w:hint="eastAsia" w:ascii="Times New Roman" w:hAnsi="Times New Roman" w:cs="Times New Roman"/>
                <w:color w:val="auto"/>
                <w:kern w:val="0"/>
              </w:rPr>
              <w:t>6</w:t>
            </w:r>
            <w:r>
              <w:rPr>
                <w:rFonts w:hint="default" w:ascii="Times New Roman" w:hAnsi="Times New Roman" w:cs="Times New Roman"/>
                <w:color w:val="auto"/>
                <w:kern w:val="0"/>
              </w:rPr>
              <w:t>.</w:t>
            </w:r>
            <w:r>
              <w:rPr>
                <w:rFonts w:hint="eastAsia" w:ascii="Times New Roman" w:hAnsi="Times New Roman" w:cs="Times New Roman"/>
                <w:color w:val="auto"/>
                <w:kern w:val="0"/>
              </w:rPr>
              <w:t>908159  32.668467</w:t>
            </w:r>
          </w:p>
        </w:tc>
        <w:tc>
          <w:tcPr>
            <w:tcW w:w="3944" w:type="dxa"/>
            <w:vMerge w:val="continue"/>
            <w:noWrap w:val="0"/>
            <w:vAlign w:val="center"/>
          </w:tcPr>
          <w:p w14:paraId="3E82FAD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highlight w:val="cyan"/>
              </w:rPr>
            </w:pPr>
          </w:p>
        </w:tc>
      </w:tr>
    </w:tbl>
    <w:p w14:paraId="5F8402BD">
      <w:pPr>
        <w:widowControl/>
        <w:adjustRightInd w:val="0"/>
        <w:spacing w:line="360" w:lineRule="auto"/>
        <w:ind w:firstLine="480" w:firstLineChars="200"/>
        <w:rPr>
          <w:color w:val="auto"/>
          <w:kern w:val="0"/>
          <w:sz w:val="24"/>
          <w:szCs w:val="24"/>
        </w:rPr>
      </w:pPr>
      <w:r>
        <w:rPr>
          <w:rFonts w:hint="eastAsia"/>
          <w:color w:val="auto"/>
          <w:kern w:val="0"/>
          <w:sz w:val="24"/>
          <w:szCs w:val="24"/>
        </w:rPr>
        <w:t>3）野生动物</w:t>
      </w:r>
    </w:p>
    <w:p w14:paraId="6ED44A14">
      <w:pPr>
        <w:widowControl/>
        <w:adjustRightInd w:val="0"/>
        <w:spacing w:line="360" w:lineRule="auto"/>
        <w:ind w:firstLine="480" w:firstLineChars="200"/>
        <w:rPr>
          <w:rFonts w:hint="eastAsia"/>
          <w:color w:val="auto"/>
          <w:kern w:val="0"/>
          <w:sz w:val="24"/>
          <w:szCs w:val="24"/>
        </w:rPr>
      </w:pPr>
      <w:r>
        <w:rPr>
          <w:rFonts w:hint="eastAsia"/>
          <w:color w:val="auto"/>
          <w:kern w:val="0"/>
          <w:sz w:val="24"/>
          <w:szCs w:val="24"/>
        </w:rPr>
        <w:t>①样线调查</w:t>
      </w:r>
      <w:bookmarkEnd w:id="87"/>
    </w:p>
    <w:p w14:paraId="04B7F186">
      <w:pPr>
        <w:widowControl/>
        <w:adjustRightInd w:val="0"/>
        <w:spacing w:line="360" w:lineRule="auto"/>
        <w:ind w:firstLine="480" w:firstLineChars="200"/>
        <w:rPr>
          <w:rFonts w:hint="eastAsia" w:hAnsi="宋体"/>
          <w:color w:val="auto"/>
          <w:kern w:val="0"/>
          <w:sz w:val="24"/>
          <w:szCs w:val="24"/>
        </w:rPr>
      </w:pPr>
      <w:r>
        <w:rPr>
          <w:rFonts w:hint="eastAsia"/>
          <w:color w:val="auto"/>
          <w:kern w:val="0"/>
          <w:sz w:val="24"/>
          <w:szCs w:val="24"/>
        </w:rPr>
        <w:t>根据本项目工程特征，为充分了解鸟类、两栖和爬行类、哺乳类等野生动物的区系特征、物种组成的分布特征，采用样线法结合资料收集对评级区的野生动物现状进行调查。</w:t>
      </w:r>
      <w:r>
        <w:rPr>
          <w:rFonts w:hint="eastAsia" w:hAnsi="宋体"/>
          <w:color w:val="auto"/>
          <w:kern w:val="0"/>
          <w:sz w:val="24"/>
          <w:szCs w:val="24"/>
        </w:rPr>
        <w:t>依据《环境影响评价技术导则 生态影响》（HJ 19-2022），生态影响一级评价样线布设数量不少于5条。</w:t>
      </w:r>
    </w:p>
    <w:p w14:paraId="63675D20">
      <w:pPr>
        <w:widowControl/>
        <w:adjustRightInd w:val="0"/>
        <w:spacing w:line="360" w:lineRule="auto"/>
        <w:ind w:firstLine="480" w:firstLineChars="200"/>
        <w:rPr>
          <w:rFonts w:hint="eastAsia" w:hAnsi="宋体"/>
          <w:color w:val="auto"/>
          <w:kern w:val="0"/>
          <w:sz w:val="24"/>
          <w:szCs w:val="24"/>
        </w:rPr>
      </w:pPr>
      <w:r>
        <w:rPr>
          <w:rFonts w:hint="eastAsia" w:hAnsi="宋体"/>
          <w:color w:val="auto"/>
          <w:kern w:val="0"/>
          <w:sz w:val="24"/>
          <w:szCs w:val="24"/>
        </w:rPr>
        <w:t>本次调查共布设了5条野生动物调查样线，布设数量符合导则要求，并能够涵盖乔木林、灌丛、草丛等主要植被类型。</w:t>
      </w:r>
    </w:p>
    <w:p w14:paraId="46A65475">
      <w:pPr>
        <w:widowControl/>
        <w:adjustRightInd w:val="0"/>
        <w:spacing w:line="360" w:lineRule="auto"/>
        <w:ind w:firstLine="480" w:firstLineChars="200"/>
        <w:rPr>
          <w:rFonts w:hint="eastAsia" w:hAnsi="宋体"/>
          <w:color w:val="auto"/>
          <w:kern w:val="0"/>
          <w:sz w:val="24"/>
          <w:szCs w:val="24"/>
        </w:rPr>
      </w:pPr>
      <w:r>
        <w:rPr>
          <w:rFonts w:hint="eastAsia" w:hAnsi="宋体"/>
          <w:color w:val="auto"/>
          <w:kern w:val="0"/>
          <w:sz w:val="24"/>
          <w:szCs w:val="24"/>
        </w:rPr>
        <w:t>②样线布设情况</w:t>
      </w:r>
    </w:p>
    <w:p w14:paraId="1BD7E9FD">
      <w:pPr>
        <w:widowControl/>
        <w:spacing w:line="360" w:lineRule="auto"/>
        <w:ind w:firstLine="480" w:firstLineChars="200"/>
        <w:rPr>
          <w:rFonts w:hint="eastAsia"/>
          <w:color w:val="auto"/>
          <w:kern w:val="0"/>
          <w:sz w:val="24"/>
          <w:szCs w:val="24"/>
        </w:rPr>
      </w:pPr>
      <w:r>
        <w:rPr>
          <w:rFonts w:hint="eastAsia" w:hAnsi="宋体"/>
          <w:color w:val="auto"/>
          <w:kern w:val="0"/>
          <w:sz w:val="24"/>
          <w:szCs w:val="24"/>
        </w:rPr>
        <w:t>各调查</w:t>
      </w:r>
      <w:r>
        <w:rPr>
          <w:rFonts w:hint="eastAsia"/>
          <w:color w:val="auto"/>
          <w:kern w:val="0"/>
          <w:sz w:val="24"/>
          <w:szCs w:val="24"/>
        </w:rPr>
        <w:t>样线的长度不短于1000m，每条样线调查时间0.5~1h，调查时，对各样线两侧各200m范围内的野生动物种类、数量、栖息生境进行记录。</w:t>
      </w:r>
      <w:r>
        <w:rPr>
          <w:rFonts w:hint="eastAsia" w:hAnsi="宋体"/>
          <w:color w:val="auto"/>
          <w:kern w:val="0"/>
          <w:sz w:val="24"/>
          <w:szCs w:val="24"/>
        </w:rPr>
        <w:t>项目组于2023年10月对一级评价区域进行了陆生野生动物实地调查，并结合</w:t>
      </w:r>
      <w:r>
        <w:rPr>
          <w:rFonts w:hint="eastAsia"/>
          <w:color w:val="auto"/>
          <w:kern w:val="0"/>
          <w:sz w:val="24"/>
          <w:szCs w:val="24"/>
        </w:rPr>
        <w:t>本区域相关书籍、环境影响评价报告、科学考察报告、研究文献等</w:t>
      </w:r>
      <w:r>
        <w:rPr>
          <w:rFonts w:hint="eastAsia"/>
          <w:color w:val="auto"/>
          <w:kern w:val="0"/>
          <w:sz w:val="24"/>
          <w:szCs w:val="24"/>
          <w:lang w:eastAsia="zh-CN"/>
        </w:rPr>
        <w:t>。</w:t>
      </w:r>
    </w:p>
    <w:p w14:paraId="3FE47CAF">
      <w:pPr>
        <w:widowControl/>
        <w:spacing w:line="360" w:lineRule="auto"/>
        <w:ind w:firstLine="480" w:firstLineChars="200"/>
        <w:rPr>
          <w:rFonts w:hint="eastAsia" w:hAnsi="宋体"/>
          <w:color w:val="auto"/>
          <w:kern w:val="0"/>
          <w:sz w:val="24"/>
          <w:szCs w:val="24"/>
        </w:rPr>
      </w:pPr>
      <w:r>
        <w:rPr>
          <w:rFonts w:hint="eastAsia" w:hAnsi="宋体"/>
          <w:color w:val="auto"/>
          <w:kern w:val="0"/>
          <w:sz w:val="24"/>
          <w:szCs w:val="24"/>
        </w:rPr>
        <w:t>③调查方法依据</w:t>
      </w:r>
    </w:p>
    <w:p w14:paraId="13806DB8">
      <w:pPr>
        <w:widowControl/>
        <w:spacing w:line="360" w:lineRule="auto"/>
        <w:ind w:firstLine="480" w:firstLineChars="200"/>
        <w:rPr>
          <w:rFonts w:hint="eastAsia" w:hAnsi="宋体"/>
          <w:color w:val="auto"/>
          <w:kern w:val="0"/>
          <w:sz w:val="24"/>
          <w:szCs w:val="24"/>
        </w:rPr>
      </w:pPr>
      <w:r>
        <w:rPr>
          <w:rFonts w:hint="eastAsia" w:hAnsi="宋体"/>
          <w:color w:val="auto"/>
          <w:kern w:val="0"/>
          <w:sz w:val="24"/>
          <w:szCs w:val="24"/>
        </w:rPr>
        <w:t>各类野生动物的调查还分别参考《生物多样性观测技术导则 陆生哺乳动物》（HJ 710.3-2014）、《生物多样性观测技术导则 鸟类》（HJ 710.4-2014）、《生物多样性观测技术导则 两栖动物》（HJ 710.6-2014）、《生物多样性观测技术导则 爬行动物》（HJ 710.5-2014）发布的调查方法。</w:t>
      </w:r>
    </w:p>
    <w:p w14:paraId="3F612296">
      <w:pPr>
        <w:widowControl/>
        <w:spacing w:line="360" w:lineRule="auto"/>
        <w:ind w:firstLine="480" w:firstLineChars="200"/>
        <w:rPr>
          <w:rFonts w:hint="eastAsia" w:hAnsi="宋体"/>
          <w:bCs/>
          <w:color w:val="auto"/>
          <w:kern w:val="0"/>
          <w:sz w:val="24"/>
          <w:szCs w:val="24"/>
        </w:rPr>
      </w:pPr>
      <w:r>
        <w:rPr>
          <w:rFonts w:hint="eastAsia" w:hAnsi="宋体"/>
          <w:bCs/>
          <w:color w:val="auto"/>
          <w:kern w:val="0"/>
          <w:sz w:val="24"/>
          <w:szCs w:val="24"/>
        </w:rPr>
        <w:t>野生动物样线调查表见表4.2-1</w:t>
      </w:r>
      <w:r>
        <w:rPr>
          <w:rFonts w:hint="eastAsia" w:hAnsi="宋体"/>
          <w:bCs/>
          <w:color w:val="auto"/>
          <w:kern w:val="0"/>
          <w:sz w:val="24"/>
          <w:szCs w:val="24"/>
          <w:lang w:val="en-US" w:eastAsia="zh-CN"/>
        </w:rPr>
        <w:t>8</w:t>
      </w:r>
      <w:r>
        <w:rPr>
          <w:rFonts w:hint="eastAsia" w:hAnsi="宋体"/>
          <w:bCs/>
          <w:color w:val="auto"/>
          <w:kern w:val="0"/>
          <w:sz w:val="24"/>
          <w:szCs w:val="24"/>
        </w:rPr>
        <w:t>至表4.2-2</w:t>
      </w:r>
      <w:r>
        <w:rPr>
          <w:rFonts w:hint="eastAsia" w:hAnsi="宋体"/>
          <w:bCs/>
          <w:color w:val="auto"/>
          <w:kern w:val="0"/>
          <w:sz w:val="24"/>
          <w:szCs w:val="24"/>
          <w:lang w:val="en-US" w:eastAsia="zh-CN"/>
        </w:rPr>
        <w:t>2</w:t>
      </w:r>
      <w:r>
        <w:rPr>
          <w:rFonts w:hint="eastAsia" w:hAnsi="宋体"/>
          <w:bCs/>
          <w:color w:val="auto"/>
          <w:kern w:val="0"/>
          <w:sz w:val="24"/>
          <w:szCs w:val="24"/>
        </w:rPr>
        <w:t>。</w:t>
      </w:r>
    </w:p>
    <w:p w14:paraId="47941C8D">
      <w:pPr>
        <w:widowControl/>
        <w:spacing w:line="360" w:lineRule="auto"/>
        <w:ind w:firstLine="480" w:firstLineChars="200"/>
        <w:rPr>
          <w:rFonts w:hint="eastAsia" w:hAnsi="宋体"/>
          <w:b/>
          <w:color w:val="auto"/>
          <w:kern w:val="0"/>
          <w:sz w:val="24"/>
          <w:szCs w:val="24"/>
        </w:rPr>
      </w:pPr>
      <w:r>
        <w:rPr>
          <w:rFonts w:hint="eastAsia" w:hAnsi="宋体"/>
          <w:b/>
          <w:color w:val="auto"/>
          <w:kern w:val="0"/>
          <w:sz w:val="24"/>
          <w:szCs w:val="24"/>
        </w:rPr>
        <w:t>样线数量及实地调查方法均符合《环境影响评价技术导则 生态影响》（HJ 19-2022）中的相关要求。</w:t>
      </w:r>
    </w:p>
    <w:p w14:paraId="751DFF76">
      <w:pPr>
        <w:spacing w:line="400" w:lineRule="exact"/>
        <w:jc w:val="center"/>
        <w:rPr>
          <w:rFonts w:eastAsia="黑体"/>
          <w:color w:val="auto"/>
          <w:sz w:val="24"/>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139B5CC1">
      <w:pPr>
        <w:spacing w:line="400" w:lineRule="exact"/>
        <w:jc w:val="center"/>
        <w:rPr>
          <w:rFonts w:hint="eastAsia" w:eastAsia="黑体"/>
          <w:color w:val="auto"/>
          <w:sz w:val="24"/>
        </w:rPr>
      </w:pPr>
      <w:r>
        <w:rPr>
          <w:rFonts w:eastAsia="黑体"/>
          <w:color w:val="auto"/>
          <w:sz w:val="24"/>
        </w:rPr>
        <w:t>表</w:t>
      </w:r>
      <w:r>
        <w:rPr>
          <w:rFonts w:hint="eastAsia" w:eastAsia="黑体"/>
          <w:color w:val="auto"/>
          <w:sz w:val="24"/>
        </w:rPr>
        <w:t>4.2-1</w:t>
      </w:r>
      <w:r>
        <w:rPr>
          <w:rFonts w:hint="eastAsia" w:eastAsia="黑体"/>
          <w:color w:val="auto"/>
          <w:sz w:val="24"/>
          <w:lang w:val="en-US" w:eastAsia="zh-CN"/>
        </w:rPr>
        <w:t>8</w:t>
      </w:r>
      <w:r>
        <w:rPr>
          <w:rFonts w:hint="eastAsia" w:eastAsia="黑体"/>
          <w:color w:val="auto"/>
          <w:sz w:val="24"/>
        </w:rPr>
        <w:t xml:space="preserve">  野生动物样线调查表1</w:t>
      </w:r>
    </w:p>
    <w:tbl>
      <w:tblPr>
        <w:tblStyle w:val="53"/>
        <w:tblW w:w="0" w:type="auto"/>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1418"/>
        <w:gridCol w:w="1270"/>
        <w:gridCol w:w="1133"/>
        <w:gridCol w:w="36"/>
        <w:gridCol w:w="955"/>
        <w:gridCol w:w="1131"/>
        <w:gridCol w:w="1004"/>
        <w:gridCol w:w="1060"/>
        <w:gridCol w:w="955"/>
        <w:gridCol w:w="532"/>
        <w:gridCol w:w="876"/>
        <w:gridCol w:w="190"/>
        <w:gridCol w:w="1586"/>
        <w:gridCol w:w="687"/>
      </w:tblGrid>
      <w:tr w14:paraId="281EFA3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noWrap w:val="0"/>
            <w:vAlign w:val="center"/>
          </w:tcPr>
          <w:p w14:paraId="3DBCCEE8">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日期</w:t>
            </w:r>
          </w:p>
        </w:tc>
        <w:tc>
          <w:tcPr>
            <w:tcW w:w="1418" w:type="dxa"/>
            <w:noWrap w:val="0"/>
            <w:vAlign w:val="center"/>
          </w:tcPr>
          <w:p w14:paraId="17835AC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2023.10.20</w:t>
            </w:r>
          </w:p>
        </w:tc>
        <w:tc>
          <w:tcPr>
            <w:tcW w:w="1270" w:type="dxa"/>
            <w:noWrap w:val="0"/>
            <w:vAlign w:val="center"/>
          </w:tcPr>
          <w:p w14:paraId="36ED3B0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天气</w:t>
            </w:r>
          </w:p>
        </w:tc>
        <w:tc>
          <w:tcPr>
            <w:tcW w:w="1169" w:type="dxa"/>
            <w:gridSpan w:val="2"/>
            <w:noWrap w:val="0"/>
            <w:vAlign w:val="center"/>
          </w:tcPr>
          <w:p w14:paraId="08A2A22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晴</w:t>
            </w:r>
          </w:p>
        </w:tc>
        <w:tc>
          <w:tcPr>
            <w:tcW w:w="3090" w:type="dxa"/>
            <w:gridSpan w:val="3"/>
            <w:noWrap w:val="0"/>
            <w:vAlign w:val="center"/>
          </w:tcPr>
          <w:p w14:paraId="586D3857">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温度</w:t>
            </w:r>
          </w:p>
        </w:tc>
        <w:tc>
          <w:tcPr>
            <w:tcW w:w="1060" w:type="dxa"/>
            <w:noWrap w:val="0"/>
            <w:vAlign w:val="center"/>
          </w:tcPr>
          <w:p w14:paraId="67F6EAC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r>
              <w:rPr>
                <w:rFonts w:hint="eastAsia" w:ascii="Times New Roman" w:hAnsi="Times New Roman" w:cs="Times New Roman"/>
                <w:color w:val="auto"/>
              </w:rPr>
              <w:t>7</w:t>
            </w:r>
            <w:r>
              <w:rPr>
                <w:rFonts w:hint="default" w:ascii="Times New Roman" w:hAnsi="Times New Roman" w:cs="Times New Roman"/>
                <w:color w:val="auto"/>
              </w:rPr>
              <w:t>℃</w:t>
            </w:r>
          </w:p>
        </w:tc>
        <w:tc>
          <w:tcPr>
            <w:tcW w:w="1487" w:type="dxa"/>
            <w:gridSpan w:val="2"/>
            <w:noWrap w:val="0"/>
            <w:vAlign w:val="center"/>
          </w:tcPr>
          <w:p w14:paraId="79F85138">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记录人</w:t>
            </w:r>
          </w:p>
        </w:tc>
        <w:tc>
          <w:tcPr>
            <w:tcW w:w="3339" w:type="dxa"/>
            <w:gridSpan w:val="4"/>
            <w:noWrap w:val="0"/>
            <w:vAlign w:val="center"/>
          </w:tcPr>
          <w:p w14:paraId="3D515E3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陈倩倩</w:t>
            </w:r>
          </w:p>
        </w:tc>
      </w:tr>
      <w:tr w14:paraId="7F022A5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noWrap w:val="0"/>
            <w:vAlign w:val="center"/>
          </w:tcPr>
          <w:p w14:paraId="0AB3ABC8">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地点</w:t>
            </w:r>
          </w:p>
        </w:tc>
        <w:tc>
          <w:tcPr>
            <w:tcW w:w="2688" w:type="dxa"/>
            <w:gridSpan w:val="2"/>
            <w:noWrap w:val="0"/>
            <w:vAlign w:val="center"/>
          </w:tcPr>
          <w:p w14:paraId="2909601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评价范围内</w:t>
            </w:r>
          </w:p>
        </w:tc>
        <w:tc>
          <w:tcPr>
            <w:tcW w:w="4259" w:type="dxa"/>
            <w:gridSpan w:val="5"/>
            <w:noWrap w:val="0"/>
            <w:vAlign w:val="center"/>
          </w:tcPr>
          <w:p w14:paraId="2652518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样线长度</w:t>
            </w:r>
          </w:p>
        </w:tc>
        <w:tc>
          <w:tcPr>
            <w:tcW w:w="1060" w:type="dxa"/>
            <w:noWrap w:val="0"/>
            <w:vAlign w:val="center"/>
          </w:tcPr>
          <w:p w14:paraId="743EE901">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color w:val="auto"/>
              </w:rPr>
              <w:t>1.</w:t>
            </w:r>
            <w:r>
              <w:rPr>
                <w:rFonts w:hint="eastAsia" w:ascii="Times New Roman" w:hAnsi="Times New Roman" w:cs="Times New Roman"/>
                <w:color w:val="auto"/>
              </w:rPr>
              <w:t>02</w:t>
            </w:r>
            <w:r>
              <w:rPr>
                <w:rFonts w:hint="default" w:ascii="Times New Roman" w:hAnsi="Times New Roman" w:cs="Times New Roman"/>
                <w:color w:val="auto"/>
              </w:rPr>
              <w:t>km</w:t>
            </w:r>
          </w:p>
        </w:tc>
        <w:tc>
          <w:tcPr>
            <w:tcW w:w="1487" w:type="dxa"/>
            <w:gridSpan w:val="2"/>
            <w:noWrap w:val="0"/>
            <w:vAlign w:val="center"/>
          </w:tcPr>
          <w:p w14:paraId="5476BC6D">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调查开始</w:t>
            </w:r>
          </w:p>
        </w:tc>
        <w:tc>
          <w:tcPr>
            <w:tcW w:w="1066" w:type="dxa"/>
            <w:gridSpan w:val="2"/>
            <w:noWrap w:val="0"/>
            <w:vAlign w:val="center"/>
          </w:tcPr>
          <w:p w14:paraId="397768C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10：</w:t>
            </w:r>
            <w:r>
              <w:rPr>
                <w:rFonts w:hint="eastAsia" w:ascii="Times New Roman" w:hAnsi="Times New Roman" w:cs="Times New Roman"/>
                <w:color w:val="auto"/>
              </w:rPr>
              <w:t>10</w:t>
            </w:r>
          </w:p>
        </w:tc>
        <w:tc>
          <w:tcPr>
            <w:tcW w:w="1586" w:type="dxa"/>
            <w:noWrap w:val="0"/>
            <w:vAlign w:val="center"/>
          </w:tcPr>
          <w:p w14:paraId="2056AE67">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结束时间</w:t>
            </w:r>
          </w:p>
        </w:tc>
        <w:tc>
          <w:tcPr>
            <w:tcW w:w="687" w:type="dxa"/>
            <w:noWrap w:val="0"/>
            <w:vAlign w:val="center"/>
          </w:tcPr>
          <w:p w14:paraId="39C11F8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11:05</w:t>
            </w:r>
          </w:p>
        </w:tc>
      </w:tr>
      <w:tr w14:paraId="6AB60C5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noWrap w:val="0"/>
            <w:vAlign w:val="center"/>
          </w:tcPr>
          <w:p w14:paraId="3700E44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起点坐标</w:t>
            </w:r>
          </w:p>
        </w:tc>
        <w:tc>
          <w:tcPr>
            <w:tcW w:w="6947" w:type="dxa"/>
            <w:gridSpan w:val="7"/>
            <w:noWrap w:val="0"/>
            <w:vAlign w:val="center"/>
          </w:tcPr>
          <w:p w14:paraId="5BD4FE37">
            <w:pPr>
              <w:keepNext w:val="0"/>
              <w:keepLines w:val="0"/>
              <w:suppressLineNumbers w:val="0"/>
              <w:tabs>
                <w:tab w:val="left" w:pos="2070"/>
              </w:tabs>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color w:val="auto"/>
              </w:rPr>
              <w:t xml:space="preserve">E </w:t>
            </w:r>
            <w:r>
              <w:rPr>
                <w:rFonts w:hint="eastAsia" w:ascii="Times New Roman" w:hAnsi="Times New Roman" w:cs="Times New Roman"/>
                <w:color w:val="auto"/>
              </w:rPr>
              <w:t>116.904273</w:t>
            </w:r>
            <w:r>
              <w:rPr>
                <w:rFonts w:hint="default" w:ascii="Times New Roman" w:hAnsi="Times New Roman" w:cs="Times New Roman"/>
                <w:color w:val="auto"/>
              </w:rPr>
              <w:t xml:space="preserve">°N </w:t>
            </w:r>
            <w:r>
              <w:rPr>
                <w:rFonts w:hint="eastAsia" w:ascii="Times New Roman" w:hAnsi="Times New Roman" w:cs="Times New Roman"/>
                <w:color w:val="auto"/>
              </w:rPr>
              <w:t>32.671099</w:t>
            </w:r>
            <w:r>
              <w:rPr>
                <w:rFonts w:hint="default" w:ascii="Times New Roman" w:hAnsi="Times New Roman" w:cs="Times New Roman"/>
                <w:color w:val="auto"/>
              </w:rPr>
              <w:t>°</w:t>
            </w:r>
          </w:p>
        </w:tc>
        <w:tc>
          <w:tcPr>
            <w:tcW w:w="2015" w:type="dxa"/>
            <w:gridSpan w:val="2"/>
            <w:noWrap w:val="0"/>
            <w:vAlign w:val="center"/>
          </w:tcPr>
          <w:p w14:paraId="7970D07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终点坐标</w:t>
            </w:r>
          </w:p>
        </w:tc>
        <w:tc>
          <w:tcPr>
            <w:tcW w:w="3871" w:type="dxa"/>
            <w:gridSpan w:val="5"/>
            <w:noWrap w:val="0"/>
            <w:vAlign w:val="center"/>
          </w:tcPr>
          <w:p w14:paraId="22A54E31">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color w:val="auto"/>
              </w:rPr>
              <w:t xml:space="preserve">E </w:t>
            </w:r>
            <w:r>
              <w:rPr>
                <w:rFonts w:hint="eastAsia" w:ascii="Times New Roman" w:hAnsi="Times New Roman" w:cs="Times New Roman"/>
                <w:color w:val="auto"/>
              </w:rPr>
              <w:t>116.915195</w:t>
            </w:r>
            <w:r>
              <w:rPr>
                <w:rFonts w:hint="default" w:ascii="Times New Roman" w:hAnsi="Times New Roman" w:cs="Times New Roman"/>
                <w:color w:val="auto"/>
              </w:rPr>
              <w:t xml:space="preserve">°N </w:t>
            </w:r>
            <w:r>
              <w:rPr>
                <w:rFonts w:hint="eastAsia" w:ascii="Times New Roman" w:hAnsi="Times New Roman" w:cs="Times New Roman"/>
                <w:color w:val="auto"/>
              </w:rPr>
              <w:t>32.672074</w:t>
            </w:r>
            <w:r>
              <w:rPr>
                <w:rFonts w:hint="default" w:ascii="Times New Roman" w:hAnsi="Times New Roman" w:cs="Times New Roman"/>
                <w:color w:val="auto"/>
              </w:rPr>
              <w:t>°</w:t>
            </w:r>
          </w:p>
        </w:tc>
      </w:tr>
      <w:tr w14:paraId="02E37EB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81" w:type="dxa"/>
            <w:noWrap w:val="0"/>
            <w:vAlign w:val="center"/>
          </w:tcPr>
          <w:p w14:paraId="58ECE0F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海拔</w:t>
            </w:r>
          </w:p>
        </w:tc>
        <w:tc>
          <w:tcPr>
            <w:tcW w:w="1418" w:type="dxa"/>
            <w:noWrap w:val="0"/>
            <w:vAlign w:val="center"/>
          </w:tcPr>
          <w:p w14:paraId="14820D9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22.41</w:t>
            </w:r>
            <w:r>
              <w:rPr>
                <w:rFonts w:hint="default" w:ascii="Times New Roman" w:hAnsi="Times New Roman" w:cs="Times New Roman"/>
                <w:color w:val="auto"/>
              </w:rPr>
              <w:t>m</w:t>
            </w:r>
          </w:p>
        </w:tc>
        <w:tc>
          <w:tcPr>
            <w:tcW w:w="2403" w:type="dxa"/>
            <w:gridSpan w:val="2"/>
            <w:noWrap w:val="0"/>
            <w:vAlign w:val="center"/>
          </w:tcPr>
          <w:p w14:paraId="0B91DBF9">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生境类型</w:t>
            </w:r>
          </w:p>
        </w:tc>
        <w:tc>
          <w:tcPr>
            <w:tcW w:w="4186" w:type="dxa"/>
            <w:gridSpan w:val="5"/>
            <w:noWrap w:val="0"/>
            <w:vAlign w:val="center"/>
          </w:tcPr>
          <w:p w14:paraId="3843055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灌丛，</w:t>
            </w:r>
            <w:r>
              <w:rPr>
                <w:rFonts w:hint="eastAsia" w:ascii="Times New Roman" w:hAnsi="Times New Roman" w:cs="Times New Roman"/>
                <w:color w:val="auto"/>
              </w:rPr>
              <w:t>乔木，</w:t>
            </w:r>
            <w:r>
              <w:rPr>
                <w:rFonts w:hint="default" w:ascii="Times New Roman" w:hAnsi="Times New Roman" w:cs="Times New Roman"/>
                <w:color w:val="auto"/>
              </w:rPr>
              <w:t>草地</w:t>
            </w:r>
          </w:p>
        </w:tc>
        <w:tc>
          <w:tcPr>
            <w:tcW w:w="2363" w:type="dxa"/>
            <w:gridSpan w:val="3"/>
            <w:noWrap w:val="0"/>
            <w:vAlign w:val="center"/>
          </w:tcPr>
          <w:p w14:paraId="4CEA3262">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人为干扰因素</w:t>
            </w:r>
          </w:p>
        </w:tc>
        <w:tc>
          <w:tcPr>
            <w:tcW w:w="2463" w:type="dxa"/>
            <w:gridSpan w:val="3"/>
            <w:noWrap w:val="0"/>
            <w:vAlign w:val="center"/>
          </w:tcPr>
          <w:p w14:paraId="74EFC189">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color w:val="auto"/>
              </w:rPr>
              <w:t>人类活动</w:t>
            </w:r>
          </w:p>
        </w:tc>
      </w:tr>
      <w:tr w14:paraId="4761AFC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99" w:type="dxa"/>
            <w:gridSpan w:val="2"/>
            <w:noWrap w:val="0"/>
            <w:vAlign w:val="center"/>
          </w:tcPr>
          <w:p w14:paraId="3B88CAA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物种</w:t>
            </w:r>
          </w:p>
        </w:tc>
        <w:tc>
          <w:tcPr>
            <w:tcW w:w="6589" w:type="dxa"/>
            <w:gridSpan w:val="7"/>
            <w:noWrap w:val="0"/>
            <w:vAlign w:val="center"/>
          </w:tcPr>
          <w:p w14:paraId="7C682B6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单次记录个体数量</w:t>
            </w:r>
          </w:p>
        </w:tc>
        <w:tc>
          <w:tcPr>
            <w:tcW w:w="955" w:type="dxa"/>
            <w:noWrap w:val="0"/>
            <w:vAlign w:val="center"/>
          </w:tcPr>
          <w:p w14:paraId="7E362240">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总数</w:t>
            </w:r>
          </w:p>
        </w:tc>
        <w:tc>
          <w:tcPr>
            <w:tcW w:w="1408" w:type="dxa"/>
            <w:gridSpan w:val="2"/>
            <w:noWrap w:val="0"/>
            <w:vAlign w:val="center"/>
          </w:tcPr>
          <w:p w14:paraId="0E9C9367">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截距/m</w:t>
            </w:r>
          </w:p>
        </w:tc>
        <w:tc>
          <w:tcPr>
            <w:tcW w:w="1776" w:type="dxa"/>
            <w:gridSpan w:val="2"/>
            <w:noWrap w:val="0"/>
            <w:vAlign w:val="center"/>
          </w:tcPr>
          <w:p w14:paraId="5ADFF041">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雌/雄/亚成体</w:t>
            </w:r>
          </w:p>
        </w:tc>
        <w:tc>
          <w:tcPr>
            <w:tcW w:w="687" w:type="dxa"/>
            <w:noWrap w:val="0"/>
            <w:vAlign w:val="center"/>
          </w:tcPr>
          <w:p w14:paraId="32FABC8C">
            <w:pPr>
              <w:keepNext w:val="0"/>
              <w:keepLines w:val="0"/>
              <w:suppressLineNumbers w:val="0"/>
              <w:spacing w:before="0" w:beforeAutospacing="0" w:after="0" w:afterAutospacing="0"/>
              <w:ind w:left="0" w:right="0"/>
              <w:jc w:val="center"/>
              <w:rPr>
                <w:rFonts w:hint="eastAsia" w:ascii="Times New Roman" w:hAnsi="Times New Roman" w:cs="Times New Roman"/>
                <w:b/>
                <w:bCs/>
                <w:color w:val="auto"/>
              </w:rPr>
            </w:pPr>
            <w:r>
              <w:rPr>
                <w:rFonts w:hint="eastAsia" w:ascii="Times New Roman" w:hAnsi="Times New Roman" w:cs="Times New Roman"/>
                <w:b/>
                <w:bCs/>
                <w:color w:val="auto"/>
              </w:rPr>
              <w:t>备注</w:t>
            </w:r>
          </w:p>
        </w:tc>
      </w:tr>
      <w:tr w14:paraId="710BE60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99" w:type="dxa"/>
            <w:gridSpan w:val="2"/>
            <w:noWrap w:val="0"/>
            <w:vAlign w:val="center"/>
          </w:tcPr>
          <w:p w14:paraId="6092F5B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麻雀</w:t>
            </w:r>
          </w:p>
        </w:tc>
        <w:tc>
          <w:tcPr>
            <w:tcW w:w="1270" w:type="dxa"/>
            <w:noWrap w:val="0"/>
            <w:vAlign w:val="center"/>
          </w:tcPr>
          <w:p w14:paraId="4953BB5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20</w:t>
            </w:r>
          </w:p>
        </w:tc>
        <w:tc>
          <w:tcPr>
            <w:tcW w:w="1133" w:type="dxa"/>
            <w:noWrap w:val="0"/>
            <w:vAlign w:val="center"/>
          </w:tcPr>
          <w:p w14:paraId="6F7A3FB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w:t>
            </w:r>
          </w:p>
        </w:tc>
        <w:tc>
          <w:tcPr>
            <w:tcW w:w="991" w:type="dxa"/>
            <w:gridSpan w:val="2"/>
            <w:noWrap w:val="0"/>
            <w:vAlign w:val="center"/>
          </w:tcPr>
          <w:p w14:paraId="5E18592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1131" w:type="dxa"/>
            <w:noWrap w:val="0"/>
            <w:vAlign w:val="center"/>
          </w:tcPr>
          <w:p w14:paraId="661E65E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10</w:t>
            </w:r>
          </w:p>
        </w:tc>
        <w:tc>
          <w:tcPr>
            <w:tcW w:w="1004" w:type="dxa"/>
            <w:noWrap w:val="0"/>
            <w:vAlign w:val="center"/>
          </w:tcPr>
          <w:p w14:paraId="4FECF0A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60" w:type="dxa"/>
            <w:noWrap w:val="0"/>
            <w:vAlign w:val="center"/>
          </w:tcPr>
          <w:p w14:paraId="18FDA15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55" w:type="dxa"/>
            <w:noWrap w:val="0"/>
            <w:vAlign w:val="center"/>
          </w:tcPr>
          <w:p w14:paraId="7F64B73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38</w:t>
            </w:r>
          </w:p>
        </w:tc>
        <w:tc>
          <w:tcPr>
            <w:tcW w:w="1408" w:type="dxa"/>
            <w:gridSpan w:val="2"/>
            <w:noWrap w:val="0"/>
            <w:vAlign w:val="center"/>
          </w:tcPr>
          <w:p w14:paraId="5693B51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776" w:type="dxa"/>
            <w:gridSpan w:val="2"/>
            <w:noWrap w:val="0"/>
            <w:vAlign w:val="center"/>
          </w:tcPr>
          <w:p w14:paraId="4E8A2FB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687" w:type="dxa"/>
            <w:noWrap w:val="0"/>
            <w:vAlign w:val="center"/>
          </w:tcPr>
          <w:p w14:paraId="4CD11260">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r>
      <w:tr w14:paraId="5C34591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99" w:type="dxa"/>
            <w:gridSpan w:val="2"/>
            <w:noWrap w:val="0"/>
            <w:vAlign w:val="center"/>
          </w:tcPr>
          <w:p w14:paraId="2A4A73B2">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乌鸫</w:t>
            </w:r>
          </w:p>
        </w:tc>
        <w:tc>
          <w:tcPr>
            <w:tcW w:w="1270" w:type="dxa"/>
            <w:noWrap w:val="0"/>
            <w:vAlign w:val="center"/>
          </w:tcPr>
          <w:p w14:paraId="5F82ED0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1133" w:type="dxa"/>
            <w:noWrap w:val="0"/>
            <w:vAlign w:val="center"/>
          </w:tcPr>
          <w:p w14:paraId="1F598A4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w:t>
            </w:r>
          </w:p>
        </w:tc>
        <w:tc>
          <w:tcPr>
            <w:tcW w:w="991" w:type="dxa"/>
            <w:gridSpan w:val="2"/>
            <w:noWrap w:val="0"/>
            <w:vAlign w:val="center"/>
          </w:tcPr>
          <w:p w14:paraId="4E71AED2">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3</w:t>
            </w:r>
          </w:p>
        </w:tc>
        <w:tc>
          <w:tcPr>
            <w:tcW w:w="1131" w:type="dxa"/>
            <w:noWrap w:val="0"/>
            <w:vAlign w:val="center"/>
          </w:tcPr>
          <w:p w14:paraId="03EA6C1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04" w:type="dxa"/>
            <w:noWrap w:val="0"/>
            <w:vAlign w:val="center"/>
          </w:tcPr>
          <w:p w14:paraId="54B6BF0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60" w:type="dxa"/>
            <w:noWrap w:val="0"/>
            <w:vAlign w:val="center"/>
          </w:tcPr>
          <w:p w14:paraId="1442B48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955" w:type="dxa"/>
            <w:noWrap w:val="0"/>
            <w:vAlign w:val="center"/>
          </w:tcPr>
          <w:p w14:paraId="61954A40">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auto"/>
              </w:rPr>
            </w:pPr>
            <w:r>
              <w:rPr>
                <w:rFonts w:hint="default" w:ascii="Times New Roman" w:hAnsi="Times New Roman" w:cs="Times New Roman"/>
                <w:color w:val="auto"/>
                <w:kern w:val="0"/>
                <w:lang w:bidi="ar"/>
              </w:rPr>
              <w:t>6</w:t>
            </w:r>
          </w:p>
        </w:tc>
        <w:tc>
          <w:tcPr>
            <w:tcW w:w="1408" w:type="dxa"/>
            <w:gridSpan w:val="2"/>
            <w:noWrap w:val="0"/>
            <w:vAlign w:val="center"/>
          </w:tcPr>
          <w:p w14:paraId="16209B6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776" w:type="dxa"/>
            <w:gridSpan w:val="2"/>
            <w:noWrap w:val="0"/>
            <w:vAlign w:val="center"/>
          </w:tcPr>
          <w:p w14:paraId="02DA361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687" w:type="dxa"/>
            <w:noWrap w:val="0"/>
            <w:vAlign w:val="center"/>
          </w:tcPr>
          <w:p w14:paraId="649ACA9F">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r>
      <w:tr w14:paraId="500934A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99" w:type="dxa"/>
            <w:gridSpan w:val="2"/>
            <w:noWrap w:val="0"/>
            <w:vAlign w:val="center"/>
          </w:tcPr>
          <w:p w14:paraId="554212A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家燕</w:t>
            </w:r>
          </w:p>
        </w:tc>
        <w:tc>
          <w:tcPr>
            <w:tcW w:w="1270" w:type="dxa"/>
            <w:noWrap w:val="0"/>
            <w:vAlign w:val="center"/>
          </w:tcPr>
          <w:p w14:paraId="7750591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3</w:t>
            </w:r>
          </w:p>
        </w:tc>
        <w:tc>
          <w:tcPr>
            <w:tcW w:w="1133" w:type="dxa"/>
            <w:noWrap w:val="0"/>
            <w:vAlign w:val="center"/>
          </w:tcPr>
          <w:p w14:paraId="5B3B983F">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991" w:type="dxa"/>
            <w:gridSpan w:val="2"/>
            <w:noWrap w:val="0"/>
            <w:vAlign w:val="center"/>
          </w:tcPr>
          <w:p w14:paraId="2862DC9E">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131" w:type="dxa"/>
            <w:noWrap w:val="0"/>
            <w:vAlign w:val="center"/>
          </w:tcPr>
          <w:p w14:paraId="7952573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04" w:type="dxa"/>
            <w:noWrap w:val="0"/>
            <w:vAlign w:val="center"/>
          </w:tcPr>
          <w:p w14:paraId="74DB34E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60" w:type="dxa"/>
            <w:noWrap w:val="0"/>
            <w:vAlign w:val="center"/>
          </w:tcPr>
          <w:p w14:paraId="34099AD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955" w:type="dxa"/>
            <w:noWrap w:val="0"/>
            <w:vAlign w:val="center"/>
          </w:tcPr>
          <w:p w14:paraId="75B4F7DD">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auto"/>
              </w:rPr>
            </w:pPr>
            <w:r>
              <w:rPr>
                <w:rFonts w:hint="default" w:ascii="Times New Roman" w:hAnsi="Times New Roman" w:cs="Times New Roman"/>
                <w:color w:val="auto"/>
                <w:kern w:val="0"/>
                <w:lang w:bidi="ar"/>
              </w:rPr>
              <w:t>3</w:t>
            </w:r>
          </w:p>
        </w:tc>
        <w:tc>
          <w:tcPr>
            <w:tcW w:w="1408" w:type="dxa"/>
            <w:gridSpan w:val="2"/>
            <w:noWrap w:val="0"/>
            <w:vAlign w:val="center"/>
          </w:tcPr>
          <w:p w14:paraId="4118A77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776" w:type="dxa"/>
            <w:gridSpan w:val="2"/>
            <w:noWrap w:val="0"/>
            <w:vAlign w:val="center"/>
          </w:tcPr>
          <w:p w14:paraId="580053B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687" w:type="dxa"/>
            <w:noWrap w:val="0"/>
            <w:vAlign w:val="center"/>
          </w:tcPr>
          <w:p w14:paraId="7BD463B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r>
      <w:tr w14:paraId="77E69BC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99" w:type="dxa"/>
            <w:gridSpan w:val="2"/>
            <w:noWrap w:val="0"/>
            <w:vAlign w:val="center"/>
          </w:tcPr>
          <w:p w14:paraId="7027146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白头鹎</w:t>
            </w:r>
          </w:p>
        </w:tc>
        <w:tc>
          <w:tcPr>
            <w:tcW w:w="1270" w:type="dxa"/>
            <w:noWrap w:val="0"/>
            <w:vAlign w:val="center"/>
          </w:tcPr>
          <w:p w14:paraId="3ED9C9D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w:t>
            </w:r>
          </w:p>
        </w:tc>
        <w:tc>
          <w:tcPr>
            <w:tcW w:w="1133" w:type="dxa"/>
            <w:noWrap w:val="0"/>
            <w:vAlign w:val="center"/>
          </w:tcPr>
          <w:p w14:paraId="6D50630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w:t>
            </w:r>
          </w:p>
        </w:tc>
        <w:tc>
          <w:tcPr>
            <w:tcW w:w="991" w:type="dxa"/>
            <w:gridSpan w:val="2"/>
            <w:noWrap w:val="0"/>
            <w:vAlign w:val="center"/>
          </w:tcPr>
          <w:p w14:paraId="00D1F37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131" w:type="dxa"/>
            <w:noWrap w:val="0"/>
            <w:vAlign w:val="center"/>
          </w:tcPr>
          <w:p w14:paraId="1369D39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04" w:type="dxa"/>
            <w:noWrap w:val="0"/>
            <w:vAlign w:val="center"/>
          </w:tcPr>
          <w:p w14:paraId="18DBE13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60" w:type="dxa"/>
            <w:noWrap w:val="0"/>
            <w:vAlign w:val="center"/>
          </w:tcPr>
          <w:p w14:paraId="4BE7347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955" w:type="dxa"/>
            <w:noWrap w:val="0"/>
            <w:vAlign w:val="center"/>
          </w:tcPr>
          <w:p w14:paraId="26280AA5">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auto"/>
              </w:rPr>
            </w:pPr>
            <w:r>
              <w:rPr>
                <w:rFonts w:hint="default" w:ascii="Times New Roman" w:hAnsi="Times New Roman" w:cs="Times New Roman"/>
                <w:color w:val="auto"/>
                <w:kern w:val="0"/>
                <w:lang w:bidi="ar"/>
              </w:rPr>
              <w:t>4</w:t>
            </w:r>
          </w:p>
        </w:tc>
        <w:tc>
          <w:tcPr>
            <w:tcW w:w="1408" w:type="dxa"/>
            <w:gridSpan w:val="2"/>
            <w:noWrap w:val="0"/>
            <w:vAlign w:val="center"/>
          </w:tcPr>
          <w:p w14:paraId="5BF4D40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776" w:type="dxa"/>
            <w:gridSpan w:val="2"/>
            <w:noWrap w:val="0"/>
            <w:vAlign w:val="center"/>
          </w:tcPr>
          <w:p w14:paraId="287FA16A">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687" w:type="dxa"/>
            <w:noWrap w:val="0"/>
            <w:vAlign w:val="center"/>
          </w:tcPr>
          <w:p w14:paraId="55682AC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r>
      <w:tr w14:paraId="5BFE96C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99" w:type="dxa"/>
            <w:gridSpan w:val="2"/>
            <w:noWrap w:val="0"/>
            <w:vAlign w:val="center"/>
          </w:tcPr>
          <w:p w14:paraId="773A7E62">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八哥</w:t>
            </w:r>
          </w:p>
        </w:tc>
        <w:tc>
          <w:tcPr>
            <w:tcW w:w="1270" w:type="dxa"/>
            <w:noWrap w:val="0"/>
            <w:vAlign w:val="center"/>
          </w:tcPr>
          <w:p w14:paraId="45B960D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1133" w:type="dxa"/>
            <w:noWrap w:val="0"/>
            <w:vAlign w:val="center"/>
          </w:tcPr>
          <w:p w14:paraId="40B4018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w:t>
            </w:r>
          </w:p>
        </w:tc>
        <w:tc>
          <w:tcPr>
            <w:tcW w:w="991" w:type="dxa"/>
            <w:gridSpan w:val="2"/>
            <w:noWrap w:val="0"/>
            <w:vAlign w:val="center"/>
          </w:tcPr>
          <w:p w14:paraId="6AFDCFF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131" w:type="dxa"/>
            <w:noWrap w:val="0"/>
            <w:vAlign w:val="center"/>
          </w:tcPr>
          <w:p w14:paraId="26CCBCE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04" w:type="dxa"/>
            <w:noWrap w:val="0"/>
            <w:vAlign w:val="center"/>
          </w:tcPr>
          <w:p w14:paraId="77BE5D60">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60" w:type="dxa"/>
            <w:noWrap w:val="0"/>
            <w:vAlign w:val="center"/>
          </w:tcPr>
          <w:p w14:paraId="5380D9C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955" w:type="dxa"/>
            <w:noWrap w:val="0"/>
            <w:vAlign w:val="center"/>
          </w:tcPr>
          <w:p w14:paraId="234838C7">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auto"/>
              </w:rPr>
            </w:pPr>
            <w:r>
              <w:rPr>
                <w:rFonts w:hint="default" w:ascii="Times New Roman" w:hAnsi="Times New Roman" w:cs="Times New Roman"/>
                <w:color w:val="auto"/>
                <w:kern w:val="0"/>
                <w:lang w:bidi="ar"/>
              </w:rPr>
              <w:t>3</w:t>
            </w:r>
          </w:p>
        </w:tc>
        <w:tc>
          <w:tcPr>
            <w:tcW w:w="1408" w:type="dxa"/>
            <w:gridSpan w:val="2"/>
            <w:noWrap w:val="0"/>
            <w:vAlign w:val="center"/>
          </w:tcPr>
          <w:p w14:paraId="5B485B0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776" w:type="dxa"/>
            <w:gridSpan w:val="2"/>
            <w:noWrap w:val="0"/>
            <w:vAlign w:val="center"/>
          </w:tcPr>
          <w:p w14:paraId="3C6021C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687" w:type="dxa"/>
            <w:noWrap w:val="0"/>
            <w:vAlign w:val="center"/>
          </w:tcPr>
          <w:p w14:paraId="7EB2FDB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r>
      <w:tr w14:paraId="6ACB33A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99" w:type="dxa"/>
            <w:gridSpan w:val="2"/>
            <w:noWrap w:val="0"/>
            <w:vAlign w:val="center"/>
          </w:tcPr>
          <w:p w14:paraId="631A167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喜鹊</w:t>
            </w:r>
          </w:p>
        </w:tc>
        <w:tc>
          <w:tcPr>
            <w:tcW w:w="1270" w:type="dxa"/>
            <w:noWrap w:val="0"/>
            <w:vAlign w:val="center"/>
          </w:tcPr>
          <w:p w14:paraId="243D6D48">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w:t>
            </w:r>
          </w:p>
        </w:tc>
        <w:tc>
          <w:tcPr>
            <w:tcW w:w="1133" w:type="dxa"/>
            <w:noWrap w:val="0"/>
            <w:vAlign w:val="center"/>
          </w:tcPr>
          <w:p w14:paraId="6F02FC6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w:t>
            </w:r>
          </w:p>
        </w:tc>
        <w:tc>
          <w:tcPr>
            <w:tcW w:w="991" w:type="dxa"/>
            <w:gridSpan w:val="2"/>
            <w:noWrap w:val="0"/>
            <w:vAlign w:val="center"/>
          </w:tcPr>
          <w:p w14:paraId="6A6C38B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131" w:type="dxa"/>
            <w:noWrap w:val="0"/>
            <w:vAlign w:val="center"/>
          </w:tcPr>
          <w:p w14:paraId="6BD17958">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04" w:type="dxa"/>
            <w:noWrap w:val="0"/>
            <w:vAlign w:val="center"/>
          </w:tcPr>
          <w:p w14:paraId="277569E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60" w:type="dxa"/>
            <w:noWrap w:val="0"/>
            <w:vAlign w:val="center"/>
          </w:tcPr>
          <w:p w14:paraId="52E5E17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955" w:type="dxa"/>
            <w:noWrap w:val="0"/>
            <w:vAlign w:val="center"/>
          </w:tcPr>
          <w:p w14:paraId="0BDE4FCB">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auto"/>
              </w:rPr>
            </w:pPr>
            <w:r>
              <w:rPr>
                <w:rFonts w:hint="default" w:ascii="Times New Roman" w:hAnsi="Times New Roman" w:cs="Times New Roman"/>
                <w:color w:val="auto"/>
                <w:kern w:val="0"/>
                <w:lang w:bidi="ar"/>
              </w:rPr>
              <w:t>4</w:t>
            </w:r>
          </w:p>
        </w:tc>
        <w:tc>
          <w:tcPr>
            <w:tcW w:w="1408" w:type="dxa"/>
            <w:gridSpan w:val="2"/>
            <w:noWrap w:val="0"/>
            <w:vAlign w:val="center"/>
          </w:tcPr>
          <w:p w14:paraId="20FA634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776" w:type="dxa"/>
            <w:gridSpan w:val="2"/>
            <w:noWrap w:val="0"/>
            <w:vAlign w:val="center"/>
          </w:tcPr>
          <w:p w14:paraId="3F93B468">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687" w:type="dxa"/>
            <w:noWrap w:val="0"/>
            <w:vAlign w:val="center"/>
          </w:tcPr>
          <w:p w14:paraId="5FBF25C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r>
      <w:tr w14:paraId="0861150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99" w:type="dxa"/>
            <w:gridSpan w:val="2"/>
            <w:noWrap w:val="0"/>
            <w:vAlign w:val="center"/>
          </w:tcPr>
          <w:p w14:paraId="17ECB43F">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山斑鸠</w:t>
            </w:r>
          </w:p>
        </w:tc>
        <w:tc>
          <w:tcPr>
            <w:tcW w:w="1270" w:type="dxa"/>
            <w:noWrap w:val="0"/>
            <w:vAlign w:val="center"/>
          </w:tcPr>
          <w:p w14:paraId="2342EECF">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1133" w:type="dxa"/>
            <w:noWrap w:val="0"/>
            <w:vAlign w:val="center"/>
          </w:tcPr>
          <w:p w14:paraId="3F82C95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w:t>
            </w:r>
          </w:p>
        </w:tc>
        <w:tc>
          <w:tcPr>
            <w:tcW w:w="991" w:type="dxa"/>
            <w:gridSpan w:val="2"/>
            <w:noWrap w:val="0"/>
            <w:vAlign w:val="center"/>
          </w:tcPr>
          <w:p w14:paraId="6AACA9FE">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1131" w:type="dxa"/>
            <w:noWrap w:val="0"/>
            <w:vAlign w:val="center"/>
          </w:tcPr>
          <w:p w14:paraId="0DA2EB3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04" w:type="dxa"/>
            <w:noWrap w:val="0"/>
            <w:vAlign w:val="center"/>
          </w:tcPr>
          <w:p w14:paraId="60DB324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60" w:type="dxa"/>
            <w:noWrap w:val="0"/>
            <w:vAlign w:val="center"/>
          </w:tcPr>
          <w:p w14:paraId="3C6A5D9F">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955" w:type="dxa"/>
            <w:noWrap w:val="0"/>
            <w:vAlign w:val="center"/>
          </w:tcPr>
          <w:p w14:paraId="0BFD4CDE">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auto"/>
              </w:rPr>
            </w:pPr>
            <w:r>
              <w:rPr>
                <w:rFonts w:hint="default" w:ascii="Times New Roman" w:hAnsi="Times New Roman" w:cs="Times New Roman"/>
                <w:color w:val="auto"/>
                <w:kern w:val="0"/>
                <w:lang w:bidi="ar"/>
              </w:rPr>
              <w:t>4</w:t>
            </w:r>
          </w:p>
        </w:tc>
        <w:tc>
          <w:tcPr>
            <w:tcW w:w="1408" w:type="dxa"/>
            <w:gridSpan w:val="2"/>
            <w:noWrap w:val="0"/>
            <w:vAlign w:val="center"/>
          </w:tcPr>
          <w:p w14:paraId="2837666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776" w:type="dxa"/>
            <w:gridSpan w:val="2"/>
            <w:noWrap w:val="0"/>
            <w:vAlign w:val="center"/>
          </w:tcPr>
          <w:p w14:paraId="070EC47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687" w:type="dxa"/>
            <w:noWrap w:val="0"/>
            <w:vAlign w:val="center"/>
          </w:tcPr>
          <w:p w14:paraId="3D02AFC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r>
      <w:tr w14:paraId="1B1B76A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99" w:type="dxa"/>
            <w:gridSpan w:val="2"/>
            <w:noWrap w:val="0"/>
            <w:vAlign w:val="center"/>
          </w:tcPr>
          <w:p w14:paraId="378ADC3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珠颈斑鸠</w:t>
            </w:r>
          </w:p>
        </w:tc>
        <w:tc>
          <w:tcPr>
            <w:tcW w:w="1270" w:type="dxa"/>
            <w:noWrap w:val="0"/>
            <w:vAlign w:val="center"/>
          </w:tcPr>
          <w:p w14:paraId="48C687D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w:t>
            </w:r>
          </w:p>
        </w:tc>
        <w:tc>
          <w:tcPr>
            <w:tcW w:w="1133" w:type="dxa"/>
            <w:noWrap w:val="0"/>
            <w:vAlign w:val="center"/>
          </w:tcPr>
          <w:p w14:paraId="09A35F68">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3</w:t>
            </w:r>
          </w:p>
        </w:tc>
        <w:tc>
          <w:tcPr>
            <w:tcW w:w="991" w:type="dxa"/>
            <w:gridSpan w:val="2"/>
            <w:noWrap w:val="0"/>
            <w:vAlign w:val="center"/>
          </w:tcPr>
          <w:p w14:paraId="601EA8B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1131" w:type="dxa"/>
            <w:noWrap w:val="0"/>
            <w:vAlign w:val="center"/>
          </w:tcPr>
          <w:p w14:paraId="2E81074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1004" w:type="dxa"/>
            <w:noWrap w:val="0"/>
            <w:vAlign w:val="center"/>
          </w:tcPr>
          <w:p w14:paraId="0F05A17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60" w:type="dxa"/>
            <w:noWrap w:val="0"/>
            <w:vAlign w:val="center"/>
          </w:tcPr>
          <w:p w14:paraId="44DD35D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955" w:type="dxa"/>
            <w:noWrap w:val="0"/>
            <w:vAlign w:val="center"/>
          </w:tcPr>
          <w:p w14:paraId="4BAE68DA">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auto"/>
              </w:rPr>
            </w:pPr>
            <w:r>
              <w:rPr>
                <w:rFonts w:hint="default" w:ascii="Times New Roman" w:hAnsi="Times New Roman" w:cs="Times New Roman"/>
                <w:color w:val="auto"/>
                <w:kern w:val="0"/>
                <w:lang w:bidi="ar"/>
              </w:rPr>
              <w:t>7</w:t>
            </w:r>
          </w:p>
        </w:tc>
        <w:tc>
          <w:tcPr>
            <w:tcW w:w="1408" w:type="dxa"/>
            <w:gridSpan w:val="2"/>
            <w:noWrap w:val="0"/>
            <w:vAlign w:val="center"/>
          </w:tcPr>
          <w:p w14:paraId="5D0074DF">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776" w:type="dxa"/>
            <w:gridSpan w:val="2"/>
            <w:noWrap w:val="0"/>
            <w:vAlign w:val="center"/>
          </w:tcPr>
          <w:p w14:paraId="0F4DA08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687" w:type="dxa"/>
            <w:noWrap w:val="0"/>
            <w:vAlign w:val="center"/>
          </w:tcPr>
          <w:p w14:paraId="02B92D78">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r>
      <w:tr w14:paraId="7AA890C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99" w:type="dxa"/>
            <w:gridSpan w:val="2"/>
            <w:noWrap w:val="0"/>
            <w:vAlign w:val="center"/>
          </w:tcPr>
          <w:p w14:paraId="7722C478">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白鸡鸰</w:t>
            </w:r>
          </w:p>
        </w:tc>
        <w:tc>
          <w:tcPr>
            <w:tcW w:w="1270" w:type="dxa"/>
            <w:noWrap w:val="0"/>
            <w:vAlign w:val="center"/>
          </w:tcPr>
          <w:p w14:paraId="72C5AD32">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w:t>
            </w:r>
          </w:p>
        </w:tc>
        <w:tc>
          <w:tcPr>
            <w:tcW w:w="1133" w:type="dxa"/>
            <w:noWrap w:val="0"/>
            <w:vAlign w:val="center"/>
          </w:tcPr>
          <w:p w14:paraId="1F4D686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3</w:t>
            </w:r>
          </w:p>
        </w:tc>
        <w:tc>
          <w:tcPr>
            <w:tcW w:w="991" w:type="dxa"/>
            <w:gridSpan w:val="2"/>
            <w:noWrap w:val="0"/>
            <w:vAlign w:val="center"/>
          </w:tcPr>
          <w:p w14:paraId="1836A500">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w:t>
            </w:r>
          </w:p>
        </w:tc>
        <w:tc>
          <w:tcPr>
            <w:tcW w:w="1131" w:type="dxa"/>
            <w:noWrap w:val="0"/>
            <w:vAlign w:val="center"/>
          </w:tcPr>
          <w:p w14:paraId="445279CE">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04" w:type="dxa"/>
            <w:noWrap w:val="0"/>
            <w:vAlign w:val="center"/>
          </w:tcPr>
          <w:p w14:paraId="362A66E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60" w:type="dxa"/>
            <w:noWrap w:val="0"/>
            <w:vAlign w:val="center"/>
          </w:tcPr>
          <w:p w14:paraId="1CEE613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955" w:type="dxa"/>
            <w:noWrap w:val="0"/>
            <w:vAlign w:val="center"/>
          </w:tcPr>
          <w:p w14:paraId="255C38E5">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auto"/>
              </w:rPr>
            </w:pPr>
            <w:r>
              <w:rPr>
                <w:rFonts w:hint="default" w:ascii="Times New Roman" w:hAnsi="Times New Roman" w:cs="Times New Roman"/>
                <w:color w:val="auto"/>
                <w:kern w:val="0"/>
                <w:lang w:bidi="ar"/>
              </w:rPr>
              <w:t>7</w:t>
            </w:r>
          </w:p>
        </w:tc>
        <w:tc>
          <w:tcPr>
            <w:tcW w:w="1408" w:type="dxa"/>
            <w:gridSpan w:val="2"/>
            <w:noWrap w:val="0"/>
            <w:vAlign w:val="center"/>
          </w:tcPr>
          <w:p w14:paraId="52F225E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776" w:type="dxa"/>
            <w:gridSpan w:val="2"/>
            <w:noWrap w:val="0"/>
            <w:vAlign w:val="center"/>
          </w:tcPr>
          <w:p w14:paraId="2DE1035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687" w:type="dxa"/>
            <w:noWrap w:val="0"/>
            <w:vAlign w:val="center"/>
          </w:tcPr>
          <w:p w14:paraId="4990D3E8">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r>
      <w:tr w14:paraId="0232DE4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99" w:type="dxa"/>
            <w:gridSpan w:val="2"/>
            <w:noWrap w:val="0"/>
            <w:vAlign w:val="center"/>
          </w:tcPr>
          <w:p w14:paraId="5E79975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灰喜鹊</w:t>
            </w:r>
          </w:p>
        </w:tc>
        <w:tc>
          <w:tcPr>
            <w:tcW w:w="1270" w:type="dxa"/>
            <w:noWrap w:val="0"/>
            <w:vAlign w:val="center"/>
          </w:tcPr>
          <w:p w14:paraId="02CB5F6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w:t>
            </w:r>
          </w:p>
        </w:tc>
        <w:tc>
          <w:tcPr>
            <w:tcW w:w="1133" w:type="dxa"/>
            <w:noWrap w:val="0"/>
            <w:vAlign w:val="center"/>
          </w:tcPr>
          <w:p w14:paraId="569CFCD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991" w:type="dxa"/>
            <w:gridSpan w:val="2"/>
            <w:noWrap w:val="0"/>
            <w:vAlign w:val="center"/>
          </w:tcPr>
          <w:p w14:paraId="55BE394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1131" w:type="dxa"/>
            <w:noWrap w:val="0"/>
            <w:vAlign w:val="center"/>
          </w:tcPr>
          <w:p w14:paraId="0D2FFBC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1004" w:type="dxa"/>
            <w:noWrap w:val="0"/>
            <w:vAlign w:val="center"/>
          </w:tcPr>
          <w:p w14:paraId="4463705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60" w:type="dxa"/>
            <w:noWrap w:val="0"/>
            <w:vAlign w:val="center"/>
          </w:tcPr>
          <w:p w14:paraId="261E1DC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955" w:type="dxa"/>
            <w:noWrap w:val="0"/>
            <w:vAlign w:val="center"/>
          </w:tcPr>
          <w:p w14:paraId="3D0FF30C">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auto"/>
              </w:rPr>
            </w:pPr>
            <w:r>
              <w:rPr>
                <w:rFonts w:hint="eastAsia" w:ascii="Times New Roman" w:hAnsi="Times New Roman" w:cs="Times New Roman"/>
                <w:color w:val="auto"/>
                <w:kern w:val="0"/>
                <w:lang w:bidi="ar"/>
              </w:rPr>
              <w:t>5</w:t>
            </w:r>
          </w:p>
        </w:tc>
        <w:tc>
          <w:tcPr>
            <w:tcW w:w="1408" w:type="dxa"/>
            <w:gridSpan w:val="2"/>
            <w:noWrap w:val="0"/>
            <w:vAlign w:val="center"/>
          </w:tcPr>
          <w:p w14:paraId="7648A50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776" w:type="dxa"/>
            <w:gridSpan w:val="2"/>
            <w:noWrap w:val="0"/>
            <w:vAlign w:val="center"/>
          </w:tcPr>
          <w:p w14:paraId="6795E41A">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687" w:type="dxa"/>
            <w:noWrap w:val="0"/>
            <w:vAlign w:val="center"/>
          </w:tcPr>
          <w:p w14:paraId="652E1532">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r>
      <w:tr w14:paraId="7909B25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99" w:type="dxa"/>
            <w:gridSpan w:val="2"/>
            <w:noWrap w:val="0"/>
            <w:vAlign w:val="center"/>
          </w:tcPr>
          <w:p w14:paraId="6DE4FCB8">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灰椋鸟</w:t>
            </w:r>
          </w:p>
        </w:tc>
        <w:tc>
          <w:tcPr>
            <w:tcW w:w="1270" w:type="dxa"/>
            <w:noWrap w:val="0"/>
            <w:vAlign w:val="center"/>
          </w:tcPr>
          <w:p w14:paraId="3282B00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w:t>
            </w:r>
          </w:p>
        </w:tc>
        <w:tc>
          <w:tcPr>
            <w:tcW w:w="1133" w:type="dxa"/>
            <w:noWrap w:val="0"/>
            <w:vAlign w:val="center"/>
          </w:tcPr>
          <w:p w14:paraId="7677D90A">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991" w:type="dxa"/>
            <w:gridSpan w:val="2"/>
            <w:noWrap w:val="0"/>
            <w:vAlign w:val="center"/>
          </w:tcPr>
          <w:p w14:paraId="2EC94F0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131" w:type="dxa"/>
            <w:noWrap w:val="0"/>
            <w:vAlign w:val="center"/>
          </w:tcPr>
          <w:p w14:paraId="535AC0A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04" w:type="dxa"/>
            <w:noWrap w:val="0"/>
            <w:vAlign w:val="center"/>
          </w:tcPr>
          <w:p w14:paraId="02007A0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60" w:type="dxa"/>
            <w:noWrap w:val="0"/>
            <w:vAlign w:val="center"/>
          </w:tcPr>
          <w:p w14:paraId="78FEA828">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955" w:type="dxa"/>
            <w:noWrap w:val="0"/>
            <w:vAlign w:val="center"/>
          </w:tcPr>
          <w:p w14:paraId="0F9339BC">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auto"/>
              </w:rPr>
            </w:pPr>
            <w:r>
              <w:rPr>
                <w:rFonts w:hint="default" w:ascii="Times New Roman" w:hAnsi="Times New Roman" w:cs="Times New Roman"/>
                <w:color w:val="auto"/>
                <w:kern w:val="0"/>
                <w:lang w:bidi="ar"/>
              </w:rPr>
              <w:t>2</w:t>
            </w:r>
          </w:p>
        </w:tc>
        <w:tc>
          <w:tcPr>
            <w:tcW w:w="1408" w:type="dxa"/>
            <w:gridSpan w:val="2"/>
            <w:noWrap w:val="0"/>
            <w:vAlign w:val="center"/>
          </w:tcPr>
          <w:p w14:paraId="487E455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776" w:type="dxa"/>
            <w:gridSpan w:val="2"/>
            <w:noWrap w:val="0"/>
            <w:vAlign w:val="center"/>
          </w:tcPr>
          <w:p w14:paraId="2166864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687" w:type="dxa"/>
            <w:noWrap w:val="0"/>
            <w:vAlign w:val="center"/>
          </w:tcPr>
          <w:p w14:paraId="7201BB1F">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r>
      <w:tr w14:paraId="0439013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99" w:type="dxa"/>
            <w:gridSpan w:val="2"/>
            <w:noWrap w:val="0"/>
            <w:vAlign w:val="center"/>
          </w:tcPr>
          <w:p w14:paraId="68722C0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雉鸡</w:t>
            </w:r>
          </w:p>
        </w:tc>
        <w:tc>
          <w:tcPr>
            <w:tcW w:w="1270" w:type="dxa"/>
            <w:noWrap w:val="0"/>
            <w:vAlign w:val="center"/>
          </w:tcPr>
          <w:p w14:paraId="6D96A43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1133" w:type="dxa"/>
            <w:noWrap w:val="0"/>
            <w:vAlign w:val="center"/>
          </w:tcPr>
          <w:p w14:paraId="1AFB3E7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991" w:type="dxa"/>
            <w:gridSpan w:val="2"/>
            <w:noWrap w:val="0"/>
            <w:vAlign w:val="center"/>
          </w:tcPr>
          <w:p w14:paraId="63DA04B2">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131" w:type="dxa"/>
            <w:noWrap w:val="0"/>
            <w:vAlign w:val="center"/>
          </w:tcPr>
          <w:p w14:paraId="41A800D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04" w:type="dxa"/>
            <w:noWrap w:val="0"/>
            <w:vAlign w:val="center"/>
          </w:tcPr>
          <w:p w14:paraId="6CE2C598">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60" w:type="dxa"/>
            <w:noWrap w:val="0"/>
            <w:vAlign w:val="center"/>
          </w:tcPr>
          <w:p w14:paraId="7644E078">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955" w:type="dxa"/>
            <w:noWrap w:val="0"/>
            <w:vAlign w:val="center"/>
          </w:tcPr>
          <w:p w14:paraId="6EECAC4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eastAsia" w:ascii="Times New Roman" w:hAnsi="Times New Roman" w:cs="Times New Roman"/>
                <w:color w:val="auto"/>
                <w:kern w:val="0"/>
                <w:lang w:bidi="ar"/>
              </w:rPr>
              <w:t>1</w:t>
            </w:r>
          </w:p>
        </w:tc>
        <w:tc>
          <w:tcPr>
            <w:tcW w:w="1408" w:type="dxa"/>
            <w:gridSpan w:val="2"/>
            <w:noWrap w:val="0"/>
            <w:vAlign w:val="center"/>
          </w:tcPr>
          <w:p w14:paraId="1C88B15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776" w:type="dxa"/>
            <w:gridSpan w:val="2"/>
            <w:noWrap w:val="0"/>
            <w:vAlign w:val="center"/>
          </w:tcPr>
          <w:p w14:paraId="3F3DCCF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687" w:type="dxa"/>
            <w:noWrap w:val="0"/>
            <w:vAlign w:val="center"/>
          </w:tcPr>
          <w:p w14:paraId="1A7F22D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r>
      <w:tr w14:paraId="06C4B23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99" w:type="dxa"/>
            <w:gridSpan w:val="2"/>
            <w:noWrap w:val="0"/>
            <w:vAlign w:val="center"/>
          </w:tcPr>
          <w:p w14:paraId="08F2F12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大白鹭</w:t>
            </w:r>
          </w:p>
        </w:tc>
        <w:tc>
          <w:tcPr>
            <w:tcW w:w="1270" w:type="dxa"/>
            <w:noWrap w:val="0"/>
            <w:vAlign w:val="center"/>
          </w:tcPr>
          <w:p w14:paraId="6DF3EF1F">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0</w:t>
            </w:r>
          </w:p>
        </w:tc>
        <w:tc>
          <w:tcPr>
            <w:tcW w:w="1133" w:type="dxa"/>
            <w:noWrap w:val="0"/>
            <w:vAlign w:val="center"/>
          </w:tcPr>
          <w:p w14:paraId="78AD735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991" w:type="dxa"/>
            <w:gridSpan w:val="2"/>
            <w:noWrap w:val="0"/>
            <w:vAlign w:val="center"/>
          </w:tcPr>
          <w:p w14:paraId="54ABABCE">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131" w:type="dxa"/>
            <w:noWrap w:val="0"/>
            <w:vAlign w:val="center"/>
          </w:tcPr>
          <w:p w14:paraId="21C4D0A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04" w:type="dxa"/>
            <w:noWrap w:val="0"/>
            <w:vAlign w:val="center"/>
          </w:tcPr>
          <w:p w14:paraId="0017CD0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060" w:type="dxa"/>
            <w:noWrap w:val="0"/>
            <w:vAlign w:val="center"/>
          </w:tcPr>
          <w:p w14:paraId="76B42F0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955" w:type="dxa"/>
            <w:noWrap w:val="0"/>
            <w:vAlign w:val="center"/>
          </w:tcPr>
          <w:p w14:paraId="2E4923B6">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auto"/>
              </w:rPr>
            </w:pPr>
            <w:r>
              <w:rPr>
                <w:rFonts w:hint="eastAsia" w:ascii="Times New Roman" w:hAnsi="Times New Roman" w:cs="Times New Roman"/>
                <w:color w:val="auto"/>
                <w:kern w:val="0"/>
                <w:lang w:bidi="ar"/>
              </w:rPr>
              <w:t>0</w:t>
            </w:r>
          </w:p>
        </w:tc>
        <w:tc>
          <w:tcPr>
            <w:tcW w:w="1408" w:type="dxa"/>
            <w:gridSpan w:val="2"/>
            <w:noWrap w:val="0"/>
            <w:vAlign w:val="center"/>
          </w:tcPr>
          <w:p w14:paraId="5FC6B04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1776" w:type="dxa"/>
            <w:gridSpan w:val="2"/>
            <w:noWrap w:val="0"/>
            <w:vAlign w:val="center"/>
          </w:tcPr>
          <w:p w14:paraId="06E20DE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c>
          <w:tcPr>
            <w:tcW w:w="687" w:type="dxa"/>
            <w:noWrap w:val="0"/>
            <w:vAlign w:val="center"/>
          </w:tcPr>
          <w:p w14:paraId="40A3476A">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p>
        </w:tc>
      </w:tr>
    </w:tbl>
    <w:p w14:paraId="56A0C4AA">
      <w:pPr>
        <w:spacing w:line="400" w:lineRule="exact"/>
        <w:jc w:val="center"/>
        <w:rPr>
          <w:rFonts w:eastAsia="黑体"/>
          <w:color w:val="auto"/>
          <w:sz w:val="24"/>
        </w:rPr>
      </w:pPr>
    </w:p>
    <w:p w14:paraId="391C32EB">
      <w:pPr>
        <w:spacing w:line="400" w:lineRule="exact"/>
        <w:jc w:val="center"/>
        <w:rPr>
          <w:rFonts w:eastAsia="黑体"/>
          <w:color w:val="auto"/>
          <w:sz w:val="24"/>
        </w:rPr>
      </w:pPr>
    </w:p>
    <w:p w14:paraId="367FF9EB">
      <w:pPr>
        <w:spacing w:line="400" w:lineRule="exact"/>
        <w:jc w:val="center"/>
        <w:rPr>
          <w:rFonts w:eastAsia="黑体"/>
          <w:color w:val="auto"/>
          <w:sz w:val="24"/>
        </w:rPr>
      </w:pPr>
    </w:p>
    <w:p w14:paraId="7DFC1C05">
      <w:pPr>
        <w:spacing w:line="400" w:lineRule="exact"/>
        <w:jc w:val="center"/>
        <w:rPr>
          <w:rFonts w:hint="eastAsia" w:eastAsia="黑体"/>
          <w:color w:val="auto"/>
          <w:sz w:val="24"/>
        </w:rPr>
      </w:pPr>
      <w:r>
        <w:rPr>
          <w:rFonts w:eastAsia="黑体"/>
          <w:color w:val="auto"/>
          <w:sz w:val="24"/>
        </w:rPr>
        <w:t>表</w:t>
      </w:r>
      <w:r>
        <w:rPr>
          <w:rFonts w:hint="eastAsia" w:eastAsia="黑体"/>
          <w:color w:val="auto"/>
          <w:sz w:val="24"/>
        </w:rPr>
        <w:t>4.2-1</w:t>
      </w:r>
      <w:r>
        <w:rPr>
          <w:rFonts w:hint="eastAsia" w:eastAsia="黑体"/>
          <w:color w:val="auto"/>
          <w:sz w:val="24"/>
          <w:lang w:val="en-US" w:eastAsia="zh-CN"/>
        </w:rPr>
        <w:t>9</w:t>
      </w:r>
      <w:r>
        <w:rPr>
          <w:rFonts w:hint="eastAsia" w:eastAsia="黑体"/>
          <w:color w:val="auto"/>
          <w:sz w:val="24"/>
        </w:rPr>
        <w:t xml:space="preserve">  野生动物样线调查</w:t>
      </w:r>
      <w:r>
        <w:rPr>
          <w:rFonts w:eastAsia="黑体"/>
          <w:color w:val="auto"/>
          <w:sz w:val="24"/>
        </w:rPr>
        <w:t>表2</w:t>
      </w:r>
    </w:p>
    <w:tbl>
      <w:tblPr>
        <w:tblStyle w:val="53"/>
        <w:tblW w:w="0" w:type="auto"/>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1168"/>
        <w:gridCol w:w="1242"/>
        <w:gridCol w:w="1134"/>
        <w:gridCol w:w="1276"/>
        <w:gridCol w:w="992"/>
        <w:gridCol w:w="972"/>
        <w:gridCol w:w="34"/>
        <w:gridCol w:w="983"/>
        <w:gridCol w:w="1273"/>
        <w:gridCol w:w="1134"/>
        <w:gridCol w:w="1430"/>
        <w:gridCol w:w="910"/>
      </w:tblGrid>
      <w:tr w14:paraId="438DA01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3" w:type="dxa"/>
            <w:noWrap w:val="0"/>
            <w:vAlign w:val="center"/>
          </w:tcPr>
          <w:p w14:paraId="08B3769C">
            <w:pPr>
              <w:keepNext w:val="0"/>
              <w:keepLines w:val="0"/>
              <w:suppressLineNumbers w:val="0"/>
              <w:spacing w:before="0" w:beforeAutospacing="0" w:after="0" w:afterAutospacing="0"/>
              <w:ind w:left="0" w:right="0"/>
              <w:jc w:val="center"/>
              <w:rPr>
                <w:rFonts w:hint="eastAsia" w:ascii="Times New Roman" w:hAnsi="Times New Roman" w:cs="Times New Roman"/>
                <w:b/>
                <w:bCs/>
                <w:color w:val="auto"/>
              </w:rPr>
            </w:pPr>
            <w:r>
              <w:rPr>
                <w:rFonts w:hint="eastAsia" w:ascii="Times New Roman" w:hAnsi="Times New Roman" w:cs="Times New Roman"/>
                <w:b/>
                <w:bCs/>
                <w:color w:val="auto"/>
              </w:rPr>
              <w:t>日期</w:t>
            </w:r>
          </w:p>
        </w:tc>
        <w:tc>
          <w:tcPr>
            <w:tcW w:w="1168" w:type="dxa"/>
            <w:noWrap w:val="0"/>
            <w:vAlign w:val="center"/>
          </w:tcPr>
          <w:p w14:paraId="76F7187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2023.10.20</w:t>
            </w:r>
          </w:p>
        </w:tc>
        <w:tc>
          <w:tcPr>
            <w:tcW w:w="1242" w:type="dxa"/>
            <w:noWrap w:val="0"/>
            <w:vAlign w:val="center"/>
          </w:tcPr>
          <w:p w14:paraId="545E9088">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天气</w:t>
            </w:r>
          </w:p>
        </w:tc>
        <w:tc>
          <w:tcPr>
            <w:tcW w:w="1134" w:type="dxa"/>
            <w:noWrap w:val="0"/>
            <w:vAlign w:val="center"/>
          </w:tcPr>
          <w:p w14:paraId="10BF1B7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晴</w:t>
            </w:r>
          </w:p>
        </w:tc>
        <w:tc>
          <w:tcPr>
            <w:tcW w:w="3240" w:type="dxa"/>
            <w:gridSpan w:val="3"/>
            <w:noWrap w:val="0"/>
            <w:vAlign w:val="center"/>
          </w:tcPr>
          <w:p w14:paraId="030B9952">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温度</w:t>
            </w:r>
          </w:p>
        </w:tc>
        <w:tc>
          <w:tcPr>
            <w:tcW w:w="1017" w:type="dxa"/>
            <w:gridSpan w:val="2"/>
            <w:noWrap w:val="0"/>
            <w:vAlign w:val="center"/>
          </w:tcPr>
          <w:p w14:paraId="1AABD61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r>
              <w:rPr>
                <w:rFonts w:hint="eastAsia" w:ascii="Times New Roman" w:hAnsi="Times New Roman" w:cs="Times New Roman"/>
                <w:color w:val="auto"/>
              </w:rPr>
              <w:t>7</w:t>
            </w:r>
            <w:r>
              <w:rPr>
                <w:rFonts w:hint="default" w:ascii="Times New Roman" w:hAnsi="Times New Roman" w:cs="Times New Roman"/>
                <w:color w:val="auto"/>
              </w:rPr>
              <w:t>℃</w:t>
            </w:r>
          </w:p>
        </w:tc>
        <w:tc>
          <w:tcPr>
            <w:tcW w:w="1273" w:type="dxa"/>
            <w:noWrap w:val="0"/>
            <w:vAlign w:val="center"/>
          </w:tcPr>
          <w:p w14:paraId="0E4F22C8">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记录人</w:t>
            </w:r>
          </w:p>
        </w:tc>
        <w:tc>
          <w:tcPr>
            <w:tcW w:w="3474" w:type="dxa"/>
            <w:gridSpan w:val="3"/>
            <w:noWrap w:val="0"/>
            <w:vAlign w:val="center"/>
          </w:tcPr>
          <w:p w14:paraId="18B93D0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陈倩倩</w:t>
            </w:r>
          </w:p>
        </w:tc>
      </w:tr>
      <w:tr w14:paraId="3873E1B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3" w:type="dxa"/>
            <w:noWrap w:val="0"/>
            <w:vAlign w:val="center"/>
          </w:tcPr>
          <w:p w14:paraId="287A6EBE">
            <w:pPr>
              <w:keepNext w:val="0"/>
              <w:keepLines w:val="0"/>
              <w:suppressLineNumbers w:val="0"/>
              <w:spacing w:before="0" w:beforeAutospacing="0" w:after="0" w:afterAutospacing="0"/>
              <w:ind w:left="0" w:right="0"/>
              <w:jc w:val="center"/>
              <w:rPr>
                <w:rFonts w:hint="eastAsia" w:ascii="Times New Roman" w:hAnsi="Times New Roman" w:cs="Times New Roman"/>
                <w:b/>
                <w:bCs/>
                <w:color w:val="auto"/>
              </w:rPr>
            </w:pPr>
            <w:r>
              <w:rPr>
                <w:rFonts w:hint="eastAsia" w:ascii="Times New Roman" w:hAnsi="Times New Roman" w:cs="Times New Roman"/>
                <w:b/>
                <w:bCs/>
                <w:color w:val="auto"/>
              </w:rPr>
              <w:t>地点</w:t>
            </w:r>
          </w:p>
        </w:tc>
        <w:tc>
          <w:tcPr>
            <w:tcW w:w="2410" w:type="dxa"/>
            <w:gridSpan w:val="2"/>
            <w:noWrap w:val="0"/>
            <w:vAlign w:val="center"/>
          </w:tcPr>
          <w:p w14:paraId="58A973C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评价</w:t>
            </w:r>
            <w:r>
              <w:rPr>
                <w:rFonts w:hint="default" w:ascii="Times New Roman" w:hAnsi="Times New Roman" w:cs="Times New Roman"/>
                <w:color w:val="auto"/>
              </w:rPr>
              <w:t>范围内</w:t>
            </w:r>
          </w:p>
        </w:tc>
        <w:tc>
          <w:tcPr>
            <w:tcW w:w="4374" w:type="dxa"/>
            <w:gridSpan w:val="4"/>
            <w:noWrap w:val="0"/>
            <w:vAlign w:val="center"/>
          </w:tcPr>
          <w:p w14:paraId="554038C1">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样线长度</w:t>
            </w:r>
          </w:p>
        </w:tc>
        <w:tc>
          <w:tcPr>
            <w:tcW w:w="1017" w:type="dxa"/>
            <w:gridSpan w:val="2"/>
            <w:noWrap w:val="0"/>
            <w:vAlign w:val="center"/>
          </w:tcPr>
          <w:p w14:paraId="6C2037B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r>
              <w:rPr>
                <w:rFonts w:hint="eastAsia" w:ascii="Times New Roman" w:hAnsi="Times New Roman" w:cs="Times New Roman"/>
                <w:color w:val="auto"/>
              </w:rPr>
              <w:t>023</w:t>
            </w:r>
            <w:r>
              <w:rPr>
                <w:rFonts w:hint="default" w:ascii="Times New Roman" w:hAnsi="Times New Roman" w:cs="Times New Roman"/>
                <w:color w:val="auto"/>
              </w:rPr>
              <w:t>km</w:t>
            </w:r>
          </w:p>
        </w:tc>
        <w:tc>
          <w:tcPr>
            <w:tcW w:w="1273" w:type="dxa"/>
            <w:noWrap w:val="0"/>
            <w:vAlign w:val="center"/>
          </w:tcPr>
          <w:p w14:paraId="60994AAD">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调查开始</w:t>
            </w:r>
          </w:p>
        </w:tc>
        <w:tc>
          <w:tcPr>
            <w:tcW w:w="1134" w:type="dxa"/>
            <w:noWrap w:val="0"/>
            <w:vAlign w:val="center"/>
          </w:tcPr>
          <w:p w14:paraId="1C18175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13：4</w:t>
            </w:r>
            <w:r>
              <w:rPr>
                <w:rFonts w:hint="default" w:ascii="Times New Roman" w:hAnsi="Times New Roman" w:cs="Times New Roman"/>
                <w:color w:val="auto"/>
              </w:rPr>
              <w:t>0</w:t>
            </w:r>
          </w:p>
        </w:tc>
        <w:tc>
          <w:tcPr>
            <w:tcW w:w="1430" w:type="dxa"/>
            <w:noWrap w:val="0"/>
            <w:vAlign w:val="center"/>
          </w:tcPr>
          <w:p w14:paraId="0BE91F7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结束时间</w:t>
            </w:r>
          </w:p>
        </w:tc>
        <w:tc>
          <w:tcPr>
            <w:tcW w:w="910" w:type="dxa"/>
            <w:noWrap w:val="0"/>
            <w:vAlign w:val="center"/>
          </w:tcPr>
          <w:p w14:paraId="736DB77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14：45</w:t>
            </w:r>
          </w:p>
        </w:tc>
      </w:tr>
      <w:tr w14:paraId="586001F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3" w:type="dxa"/>
            <w:noWrap w:val="0"/>
            <w:vAlign w:val="center"/>
          </w:tcPr>
          <w:p w14:paraId="43579217">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起点坐标</w:t>
            </w:r>
          </w:p>
        </w:tc>
        <w:tc>
          <w:tcPr>
            <w:tcW w:w="7801" w:type="dxa"/>
            <w:gridSpan w:val="8"/>
            <w:noWrap w:val="0"/>
            <w:vAlign w:val="center"/>
          </w:tcPr>
          <w:p w14:paraId="671F9B28">
            <w:pPr>
              <w:keepNext w:val="0"/>
              <w:keepLines w:val="0"/>
              <w:suppressLineNumbers w:val="0"/>
              <w:tabs>
                <w:tab w:val="left" w:pos="2070"/>
              </w:tabs>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color w:val="auto"/>
              </w:rPr>
              <w:t xml:space="preserve">E </w:t>
            </w:r>
            <w:r>
              <w:rPr>
                <w:rFonts w:hint="eastAsia" w:ascii="Times New Roman" w:hAnsi="Times New Roman" w:cs="Times New Roman"/>
                <w:color w:val="auto"/>
              </w:rPr>
              <w:t>116.916525</w:t>
            </w:r>
            <w:r>
              <w:rPr>
                <w:rFonts w:hint="default" w:ascii="Times New Roman" w:hAnsi="Times New Roman" w:cs="Times New Roman"/>
                <w:color w:val="auto"/>
              </w:rPr>
              <w:t xml:space="preserve">°N </w:t>
            </w:r>
            <w:r>
              <w:rPr>
                <w:rFonts w:hint="eastAsia" w:ascii="Times New Roman" w:hAnsi="Times New Roman" w:cs="Times New Roman"/>
                <w:color w:val="auto"/>
              </w:rPr>
              <w:t>32.672825</w:t>
            </w:r>
            <w:r>
              <w:rPr>
                <w:rFonts w:hint="default" w:ascii="Times New Roman" w:hAnsi="Times New Roman" w:cs="Times New Roman"/>
                <w:color w:val="auto"/>
              </w:rPr>
              <w:t>°</w:t>
            </w:r>
          </w:p>
        </w:tc>
        <w:tc>
          <w:tcPr>
            <w:tcW w:w="1273" w:type="dxa"/>
            <w:noWrap w:val="0"/>
            <w:vAlign w:val="center"/>
          </w:tcPr>
          <w:p w14:paraId="1FD08171">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highlight w:val="cyan"/>
              </w:rPr>
            </w:pPr>
            <w:r>
              <w:rPr>
                <w:rFonts w:hint="default" w:ascii="Times New Roman" w:hAnsi="Times New Roman" w:cs="Times New Roman"/>
                <w:b/>
                <w:bCs/>
                <w:color w:val="auto"/>
              </w:rPr>
              <w:t>终点坐标</w:t>
            </w:r>
          </w:p>
        </w:tc>
        <w:tc>
          <w:tcPr>
            <w:tcW w:w="3474" w:type="dxa"/>
            <w:gridSpan w:val="3"/>
            <w:noWrap w:val="0"/>
            <w:vAlign w:val="center"/>
          </w:tcPr>
          <w:p w14:paraId="0F77D162">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highlight w:val="cyan"/>
              </w:rPr>
            </w:pPr>
            <w:r>
              <w:rPr>
                <w:rFonts w:hint="default" w:ascii="Times New Roman" w:hAnsi="Times New Roman" w:cs="Times New Roman"/>
                <w:color w:val="auto"/>
              </w:rPr>
              <w:t xml:space="preserve">E </w:t>
            </w:r>
            <w:r>
              <w:rPr>
                <w:rFonts w:hint="eastAsia" w:ascii="Times New Roman" w:hAnsi="Times New Roman" w:cs="Times New Roman"/>
                <w:color w:val="auto"/>
              </w:rPr>
              <w:t>116.926911</w:t>
            </w:r>
            <w:r>
              <w:rPr>
                <w:rFonts w:hint="default" w:ascii="Times New Roman" w:hAnsi="Times New Roman" w:cs="Times New Roman"/>
                <w:color w:val="auto"/>
              </w:rPr>
              <w:t xml:space="preserve">°N </w:t>
            </w:r>
            <w:r>
              <w:rPr>
                <w:rFonts w:hint="eastAsia" w:ascii="Times New Roman" w:hAnsi="Times New Roman" w:cs="Times New Roman"/>
                <w:color w:val="auto"/>
              </w:rPr>
              <w:t>32.675636</w:t>
            </w:r>
            <w:r>
              <w:rPr>
                <w:rFonts w:hint="default" w:ascii="Times New Roman" w:hAnsi="Times New Roman" w:cs="Times New Roman"/>
                <w:color w:val="auto"/>
              </w:rPr>
              <w:t>°</w:t>
            </w:r>
          </w:p>
        </w:tc>
      </w:tr>
      <w:tr w14:paraId="495E704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63" w:type="dxa"/>
            <w:noWrap w:val="0"/>
            <w:vAlign w:val="center"/>
          </w:tcPr>
          <w:p w14:paraId="08E25B07">
            <w:pPr>
              <w:keepNext w:val="0"/>
              <w:keepLines w:val="0"/>
              <w:suppressLineNumbers w:val="0"/>
              <w:spacing w:before="0" w:beforeAutospacing="0" w:after="0" w:afterAutospacing="0"/>
              <w:ind w:left="0" w:right="0"/>
              <w:jc w:val="center"/>
              <w:rPr>
                <w:rFonts w:hint="eastAsia" w:ascii="Times New Roman" w:hAnsi="Times New Roman" w:cs="Times New Roman"/>
                <w:b/>
                <w:bCs/>
                <w:color w:val="auto"/>
              </w:rPr>
            </w:pPr>
            <w:r>
              <w:rPr>
                <w:rFonts w:hint="eastAsia" w:ascii="Times New Roman" w:hAnsi="Times New Roman" w:cs="Times New Roman"/>
                <w:b/>
                <w:bCs/>
                <w:color w:val="auto"/>
              </w:rPr>
              <w:t>海拔</w:t>
            </w:r>
          </w:p>
        </w:tc>
        <w:tc>
          <w:tcPr>
            <w:tcW w:w="1168" w:type="dxa"/>
            <w:noWrap w:val="0"/>
            <w:vAlign w:val="center"/>
          </w:tcPr>
          <w:p w14:paraId="5714FBA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21.61</w:t>
            </w:r>
          </w:p>
        </w:tc>
        <w:tc>
          <w:tcPr>
            <w:tcW w:w="2376" w:type="dxa"/>
            <w:gridSpan w:val="2"/>
            <w:noWrap w:val="0"/>
            <w:vAlign w:val="center"/>
          </w:tcPr>
          <w:p w14:paraId="4D024E5F">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生境类型</w:t>
            </w:r>
          </w:p>
        </w:tc>
        <w:tc>
          <w:tcPr>
            <w:tcW w:w="4257" w:type="dxa"/>
            <w:gridSpan w:val="5"/>
            <w:noWrap w:val="0"/>
            <w:vAlign w:val="center"/>
          </w:tcPr>
          <w:p w14:paraId="26A0A9E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灌丛，</w:t>
            </w:r>
            <w:r>
              <w:rPr>
                <w:rFonts w:hint="eastAsia" w:ascii="Times New Roman" w:hAnsi="Times New Roman" w:cs="Times New Roman"/>
                <w:color w:val="auto"/>
              </w:rPr>
              <w:t>乔木，</w:t>
            </w:r>
            <w:r>
              <w:rPr>
                <w:rFonts w:hint="default" w:ascii="Times New Roman" w:hAnsi="Times New Roman" w:cs="Times New Roman"/>
                <w:color w:val="auto"/>
              </w:rPr>
              <w:t>草地</w:t>
            </w:r>
          </w:p>
        </w:tc>
        <w:tc>
          <w:tcPr>
            <w:tcW w:w="2407" w:type="dxa"/>
            <w:gridSpan w:val="2"/>
            <w:noWrap w:val="0"/>
            <w:vAlign w:val="center"/>
          </w:tcPr>
          <w:p w14:paraId="24C4A20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人为干扰因素</w:t>
            </w:r>
          </w:p>
        </w:tc>
        <w:tc>
          <w:tcPr>
            <w:tcW w:w="2340" w:type="dxa"/>
            <w:gridSpan w:val="2"/>
            <w:noWrap w:val="0"/>
            <w:vAlign w:val="center"/>
          </w:tcPr>
          <w:p w14:paraId="2E857287">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color w:val="auto"/>
              </w:rPr>
              <w:t>人类活动</w:t>
            </w:r>
          </w:p>
        </w:tc>
      </w:tr>
      <w:tr w14:paraId="5E4041E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1" w:type="dxa"/>
            <w:gridSpan w:val="2"/>
            <w:noWrap w:val="0"/>
            <w:vAlign w:val="center"/>
          </w:tcPr>
          <w:p w14:paraId="0318FA16">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物种</w:t>
            </w:r>
          </w:p>
        </w:tc>
        <w:tc>
          <w:tcPr>
            <w:tcW w:w="6633" w:type="dxa"/>
            <w:gridSpan w:val="7"/>
            <w:noWrap w:val="0"/>
            <w:vAlign w:val="center"/>
          </w:tcPr>
          <w:p w14:paraId="4E64BFCF">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单次记录个体数量</w:t>
            </w:r>
          </w:p>
        </w:tc>
        <w:tc>
          <w:tcPr>
            <w:tcW w:w="1273" w:type="dxa"/>
            <w:noWrap w:val="0"/>
            <w:vAlign w:val="center"/>
          </w:tcPr>
          <w:p w14:paraId="3DC2C66D">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总数</w:t>
            </w:r>
          </w:p>
        </w:tc>
        <w:tc>
          <w:tcPr>
            <w:tcW w:w="1134" w:type="dxa"/>
            <w:noWrap w:val="0"/>
            <w:vAlign w:val="center"/>
          </w:tcPr>
          <w:p w14:paraId="7B3C2539">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截距/m</w:t>
            </w:r>
          </w:p>
        </w:tc>
        <w:tc>
          <w:tcPr>
            <w:tcW w:w="1430" w:type="dxa"/>
            <w:noWrap w:val="0"/>
            <w:vAlign w:val="center"/>
          </w:tcPr>
          <w:p w14:paraId="0EAE5C1E">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雌/雄/亚成体</w:t>
            </w:r>
          </w:p>
        </w:tc>
        <w:tc>
          <w:tcPr>
            <w:tcW w:w="910" w:type="dxa"/>
            <w:noWrap w:val="0"/>
            <w:vAlign w:val="center"/>
          </w:tcPr>
          <w:p w14:paraId="3C1C611B">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备注</w:t>
            </w:r>
          </w:p>
        </w:tc>
      </w:tr>
      <w:tr w14:paraId="4C9C291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1" w:type="dxa"/>
            <w:gridSpan w:val="2"/>
            <w:noWrap w:val="0"/>
            <w:vAlign w:val="center"/>
          </w:tcPr>
          <w:p w14:paraId="3BF2D66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灰喜鹊</w:t>
            </w:r>
          </w:p>
        </w:tc>
        <w:tc>
          <w:tcPr>
            <w:tcW w:w="1242" w:type="dxa"/>
            <w:noWrap w:val="0"/>
            <w:vAlign w:val="center"/>
          </w:tcPr>
          <w:p w14:paraId="0BF9F71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1134" w:type="dxa"/>
            <w:noWrap w:val="0"/>
            <w:vAlign w:val="center"/>
          </w:tcPr>
          <w:p w14:paraId="0DDA9C9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1276" w:type="dxa"/>
            <w:noWrap w:val="0"/>
            <w:vAlign w:val="center"/>
          </w:tcPr>
          <w:p w14:paraId="752B400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92" w:type="dxa"/>
            <w:noWrap w:val="0"/>
            <w:vAlign w:val="center"/>
          </w:tcPr>
          <w:p w14:paraId="570CA51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6" w:type="dxa"/>
            <w:gridSpan w:val="2"/>
            <w:noWrap w:val="0"/>
            <w:vAlign w:val="center"/>
          </w:tcPr>
          <w:p w14:paraId="5D0C863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83" w:type="dxa"/>
            <w:noWrap w:val="0"/>
            <w:vAlign w:val="center"/>
          </w:tcPr>
          <w:p w14:paraId="0138F4B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62A7D4D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2</w:t>
            </w:r>
          </w:p>
        </w:tc>
        <w:tc>
          <w:tcPr>
            <w:tcW w:w="1134" w:type="dxa"/>
            <w:noWrap w:val="0"/>
            <w:vAlign w:val="center"/>
          </w:tcPr>
          <w:p w14:paraId="1D1D556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30" w:type="dxa"/>
            <w:noWrap w:val="0"/>
            <w:vAlign w:val="center"/>
          </w:tcPr>
          <w:p w14:paraId="57413B4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10" w:type="dxa"/>
            <w:noWrap w:val="0"/>
            <w:vAlign w:val="center"/>
          </w:tcPr>
          <w:p w14:paraId="0BF3B0F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2541C46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1" w:type="dxa"/>
            <w:gridSpan w:val="2"/>
            <w:noWrap w:val="0"/>
            <w:vAlign w:val="center"/>
          </w:tcPr>
          <w:p w14:paraId="50D00D9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麻雀</w:t>
            </w:r>
          </w:p>
        </w:tc>
        <w:tc>
          <w:tcPr>
            <w:tcW w:w="1242" w:type="dxa"/>
            <w:noWrap w:val="0"/>
            <w:vAlign w:val="center"/>
          </w:tcPr>
          <w:p w14:paraId="19DC041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w:t>
            </w:r>
          </w:p>
        </w:tc>
        <w:tc>
          <w:tcPr>
            <w:tcW w:w="1134" w:type="dxa"/>
            <w:noWrap w:val="0"/>
            <w:vAlign w:val="center"/>
          </w:tcPr>
          <w:p w14:paraId="30D96BA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10</w:t>
            </w:r>
          </w:p>
        </w:tc>
        <w:tc>
          <w:tcPr>
            <w:tcW w:w="1276" w:type="dxa"/>
            <w:noWrap w:val="0"/>
            <w:vAlign w:val="center"/>
          </w:tcPr>
          <w:p w14:paraId="55BB1D6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15</w:t>
            </w:r>
          </w:p>
        </w:tc>
        <w:tc>
          <w:tcPr>
            <w:tcW w:w="992" w:type="dxa"/>
            <w:noWrap w:val="0"/>
            <w:vAlign w:val="center"/>
          </w:tcPr>
          <w:p w14:paraId="1F04848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6" w:type="dxa"/>
            <w:gridSpan w:val="2"/>
            <w:noWrap w:val="0"/>
            <w:vAlign w:val="center"/>
          </w:tcPr>
          <w:p w14:paraId="474A535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83" w:type="dxa"/>
            <w:noWrap w:val="0"/>
            <w:vAlign w:val="center"/>
          </w:tcPr>
          <w:p w14:paraId="1758452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056A164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30</w:t>
            </w:r>
          </w:p>
        </w:tc>
        <w:tc>
          <w:tcPr>
            <w:tcW w:w="1134" w:type="dxa"/>
            <w:noWrap w:val="0"/>
            <w:vAlign w:val="center"/>
          </w:tcPr>
          <w:p w14:paraId="685F2DD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30" w:type="dxa"/>
            <w:noWrap w:val="0"/>
            <w:vAlign w:val="center"/>
          </w:tcPr>
          <w:p w14:paraId="77B7836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10" w:type="dxa"/>
            <w:noWrap w:val="0"/>
            <w:vAlign w:val="center"/>
          </w:tcPr>
          <w:p w14:paraId="6F4320F0">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cyan"/>
              </w:rPr>
            </w:pPr>
          </w:p>
        </w:tc>
      </w:tr>
      <w:tr w14:paraId="47D33C3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1" w:type="dxa"/>
            <w:gridSpan w:val="2"/>
            <w:noWrap w:val="0"/>
            <w:vAlign w:val="center"/>
          </w:tcPr>
          <w:p w14:paraId="1A3926E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白头鹎</w:t>
            </w:r>
          </w:p>
        </w:tc>
        <w:tc>
          <w:tcPr>
            <w:tcW w:w="1242" w:type="dxa"/>
            <w:noWrap w:val="0"/>
            <w:vAlign w:val="center"/>
          </w:tcPr>
          <w:p w14:paraId="4504936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1134" w:type="dxa"/>
            <w:noWrap w:val="0"/>
            <w:vAlign w:val="center"/>
          </w:tcPr>
          <w:p w14:paraId="7FF12D9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276" w:type="dxa"/>
            <w:noWrap w:val="0"/>
            <w:vAlign w:val="center"/>
          </w:tcPr>
          <w:p w14:paraId="64CA351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992" w:type="dxa"/>
            <w:noWrap w:val="0"/>
            <w:vAlign w:val="center"/>
          </w:tcPr>
          <w:p w14:paraId="5B5D80A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6" w:type="dxa"/>
            <w:gridSpan w:val="2"/>
            <w:noWrap w:val="0"/>
            <w:vAlign w:val="center"/>
          </w:tcPr>
          <w:p w14:paraId="65CCB4F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83" w:type="dxa"/>
            <w:noWrap w:val="0"/>
            <w:vAlign w:val="center"/>
          </w:tcPr>
          <w:p w14:paraId="5812E51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14B9589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7</w:t>
            </w:r>
          </w:p>
        </w:tc>
        <w:tc>
          <w:tcPr>
            <w:tcW w:w="1134" w:type="dxa"/>
            <w:noWrap w:val="0"/>
            <w:vAlign w:val="center"/>
          </w:tcPr>
          <w:p w14:paraId="5D3481E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30" w:type="dxa"/>
            <w:noWrap w:val="0"/>
            <w:vAlign w:val="center"/>
          </w:tcPr>
          <w:p w14:paraId="5919E2E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10" w:type="dxa"/>
            <w:noWrap w:val="0"/>
            <w:vAlign w:val="center"/>
          </w:tcPr>
          <w:p w14:paraId="64CE0BE3">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cyan"/>
              </w:rPr>
            </w:pPr>
          </w:p>
        </w:tc>
      </w:tr>
      <w:tr w14:paraId="619C978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1" w:type="dxa"/>
            <w:gridSpan w:val="2"/>
            <w:noWrap w:val="0"/>
            <w:vAlign w:val="center"/>
          </w:tcPr>
          <w:p w14:paraId="243CA54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乌鸫</w:t>
            </w:r>
          </w:p>
        </w:tc>
        <w:tc>
          <w:tcPr>
            <w:tcW w:w="1242" w:type="dxa"/>
            <w:noWrap w:val="0"/>
            <w:vAlign w:val="center"/>
          </w:tcPr>
          <w:p w14:paraId="22AD11C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34" w:type="dxa"/>
            <w:noWrap w:val="0"/>
            <w:vAlign w:val="center"/>
          </w:tcPr>
          <w:p w14:paraId="3C668A3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1276" w:type="dxa"/>
            <w:noWrap w:val="0"/>
            <w:vAlign w:val="center"/>
          </w:tcPr>
          <w:p w14:paraId="119996C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92" w:type="dxa"/>
            <w:noWrap w:val="0"/>
            <w:vAlign w:val="center"/>
          </w:tcPr>
          <w:p w14:paraId="4DA5C68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6" w:type="dxa"/>
            <w:gridSpan w:val="2"/>
            <w:noWrap w:val="0"/>
            <w:vAlign w:val="center"/>
          </w:tcPr>
          <w:p w14:paraId="1649E8B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83" w:type="dxa"/>
            <w:noWrap w:val="0"/>
            <w:vAlign w:val="center"/>
          </w:tcPr>
          <w:p w14:paraId="7477D0A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2F98827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3</w:t>
            </w:r>
          </w:p>
        </w:tc>
        <w:tc>
          <w:tcPr>
            <w:tcW w:w="1134" w:type="dxa"/>
            <w:noWrap w:val="0"/>
            <w:vAlign w:val="center"/>
          </w:tcPr>
          <w:p w14:paraId="11BDF21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30" w:type="dxa"/>
            <w:noWrap w:val="0"/>
            <w:vAlign w:val="center"/>
          </w:tcPr>
          <w:p w14:paraId="5325F2B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10" w:type="dxa"/>
            <w:noWrap w:val="0"/>
            <w:vAlign w:val="center"/>
          </w:tcPr>
          <w:p w14:paraId="4CE64C33">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cyan"/>
              </w:rPr>
            </w:pPr>
          </w:p>
        </w:tc>
      </w:tr>
      <w:tr w14:paraId="5CD5A98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1" w:type="dxa"/>
            <w:gridSpan w:val="2"/>
            <w:noWrap w:val="0"/>
            <w:vAlign w:val="center"/>
          </w:tcPr>
          <w:p w14:paraId="0CB76B4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喜鹊</w:t>
            </w:r>
          </w:p>
        </w:tc>
        <w:tc>
          <w:tcPr>
            <w:tcW w:w="1242" w:type="dxa"/>
            <w:noWrap w:val="0"/>
            <w:vAlign w:val="center"/>
          </w:tcPr>
          <w:p w14:paraId="209E390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4</w:t>
            </w:r>
          </w:p>
        </w:tc>
        <w:tc>
          <w:tcPr>
            <w:tcW w:w="1134" w:type="dxa"/>
            <w:noWrap w:val="0"/>
            <w:vAlign w:val="center"/>
          </w:tcPr>
          <w:p w14:paraId="5418E88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276" w:type="dxa"/>
            <w:noWrap w:val="0"/>
            <w:vAlign w:val="center"/>
          </w:tcPr>
          <w:p w14:paraId="2A063D1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92" w:type="dxa"/>
            <w:noWrap w:val="0"/>
            <w:vAlign w:val="center"/>
          </w:tcPr>
          <w:p w14:paraId="0C85E7F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6" w:type="dxa"/>
            <w:gridSpan w:val="2"/>
            <w:noWrap w:val="0"/>
            <w:vAlign w:val="center"/>
          </w:tcPr>
          <w:p w14:paraId="6A110E6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83" w:type="dxa"/>
            <w:noWrap w:val="0"/>
            <w:vAlign w:val="center"/>
          </w:tcPr>
          <w:p w14:paraId="070D16B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2B5C0C8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6</w:t>
            </w:r>
          </w:p>
        </w:tc>
        <w:tc>
          <w:tcPr>
            <w:tcW w:w="1134" w:type="dxa"/>
            <w:noWrap w:val="0"/>
            <w:vAlign w:val="center"/>
          </w:tcPr>
          <w:p w14:paraId="5A5E22D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30" w:type="dxa"/>
            <w:noWrap w:val="0"/>
            <w:vAlign w:val="center"/>
          </w:tcPr>
          <w:p w14:paraId="6ADD91A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10" w:type="dxa"/>
            <w:noWrap w:val="0"/>
            <w:vAlign w:val="center"/>
          </w:tcPr>
          <w:p w14:paraId="67D2169E">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cyan"/>
              </w:rPr>
            </w:pPr>
          </w:p>
        </w:tc>
      </w:tr>
      <w:tr w14:paraId="28083B1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1" w:type="dxa"/>
            <w:gridSpan w:val="2"/>
            <w:noWrap w:val="0"/>
            <w:vAlign w:val="center"/>
          </w:tcPr>
          <w:p w14:paraId="0F43514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黑卷尾</w:t>
            </w:r>
          </w:p>
        </w:tc>
        <w:tc>
          <w:tcPr>
            <w:tcW w:w="1242" w:type="dxa"/>
            <w:noWrap w:val="0"/>
            <w:vAlign w:val="center"/>
          </w:tcPr>
          <w:p w14:paraId="442F98E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w:t>
            </w:r>
          </w:p>
        </w:tc>
        <w:tc>
          <w:tcPr>
            <w:tcW w:w="1134" w:type="dxa"/>
            <w:noWrap w:val="0"/>
            <w:vAlign w:val="center"/>
          </w:tcPr>
          <w:p w14:paraId="73CEC34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6" w:type="dxa"/>
            <w:noWrap w:val="0"/>
            <w:vAlign w:val="center"/>
          </w:tcPr>
          <w:p w14:paraId="7DCC921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92" w:type="dxa"/>
            <w:noWrap w:val="0"/>
            <w:vAlign w:val="center"/>
          </w:tcPr>
          <w:p w14:paraId="5646029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6" w:type="dxa"/>
            <w:gridSpan w:val="2"/>
            <w:noWrap w:val="0"/>
            <w:vAlign w:val="center"/>
          </w:tcPr>
          <w:p w14:paraId="61A92F1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83" w:type="dxa"/>
            <w:noWrap w:val="0"/>
            <w:vAlign w:val="center"/>
          </w:tcPr>
          <w:p w14:paraId="6672B44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79A49AA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5</w:t>
            </w:r>
          </w:p>
        </w:tc>
        <w:tc>
          <w:tcPr>
            <w:tcW w:w="1134" w:type="dxa"/>
            <w:noWrap w:val="0"/>
            <w:vAlign w:val="center"/>
          </w:tcPr>
          <w:p w14:paraId="7B4F811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30" w:type="dxa"/>
            <w:noWrap w:val="0"/>
            <w:vAlign w:val="center"/>
          </w:tcPr>
          <w:p w14:paraId="536B5F4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10" w:type="dxa"/>
            <w:noWrap w:val="0"/>
            <w:vAlign w:val="center"/>
          </w:tcPr>
          <w:p w14:paraId="4D26D056">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cyan"/>
              </w:rPr>
            </w:pPr>
          </w:p>
        </w:tc>
      </w:tr>
      <w:tr w14:paraId="7F201CC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1" w:type="dxa"/>
            <w:gridSpan w:val="2"/>
            <w:noWrap w:val="0"/>
            <w:vAlign w:val="center"/>
          </w:tcPr>
          <w:p w14:paraId="61C46BB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黑脸噪鹛</w:t>
            </w:r>
          </w:p>
        </w:tc>
        <w:tc>
          <w:tcPr>
            <w:tcW w:w="1242" w:type="dxa"/>
            <w:noWrap w:val="0"/>
            <w:vAlign w:val="center"/>
          </w:tcPr>
          <w:p w14:paraId="5E56EDA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1134" w:type="dxa"/>
            <w:noWrap w:val="0"/>
            <w:vAlign w:val="center"/>
          </w:tcPr>
          <w:p w14:paraId="6DB220A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276" w:type="dxa"/>
            <w:noWrap w:val="0"/>
            <w:vAlign w:val="center"/>
          </w:tcPr>
          <w:p w14:paraId="346E76F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92" w:type="dxa"/>
            <w:noWrap w:val="0"/>
            <w:vAlign w:val="center"/>
          </w:tcPr>
          <w:p w14:paraId="2956F21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6" w:type="dxa"/>
            <w:gridSpan w:val="2"/>
            <w:noWrap w:val="0"/>
            <w:vAlign w:val="center"/>
          </w:tcPr>
          <w:p w14:paraId="6FF7166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83" w:type="dxa"/>
            <w:noWrap w:val="0"/>
            <w:vAlign w:val="center"/>
          </w:tcPr>
          <w:p w14:paraId="0600335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209598D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5</w:t>
            </w:r>
          </w:p>
        </w:tc>
        <w:tc>
          <w:tcPr>
            <w:tcW w:w="1134" w:type="dxa"/>
            <w:noWrap w:val="0"/>
            <w:vAlign w:val="center"/>
          </w:tcPr>
          <w:p w14:paraId="16EF1B9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30" w:type="dxa"/>
            <w:noWrap w:val="0"/>
            <w:vAlign w:val="center"/>
          </w:tcPr>
          <w:p w14:paraId="5A5E5FE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10" w:type="dxa"/>
            <w:noWrap w:val="0"/>
            <w:vAlign w:val="center"/>
          </w:tcPr>
          <w:p w14:paraId="66F42E50">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cyan"/>
              </w:rPr>
            </w:pPr>
          </w:p>
        </w:tc>
      </w:tr>
      <w:tr w14:paraId="3F6561C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1" w:type="dxa"/>
            <w:gridSpan w:val="2"/>
            <w:noWrap w:val="0"/>
            <w:vAlign w:val="center"/>
          </w:tcPr>
          <w:p w14:paraId="10D1090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szCs w:val="22"/>
              </w:rPr>
              <w:t>金腰燕</w:t>
            </w:r>
          </w:p>
        </w:tc>
        <w:tc>
          <w:tcPr>
            <w:tcW w:w="1242" w:type="dxa"/>
            <w:noWrap w:val="0"/>
            <w:vAlign w:val="center"/>
          </w:tcPr>
          <w:p w14:paraId="15C2E56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34" w:type="dxa"/>
            <w:noWrap w:val="0"/>
            <w:vAlign w:val="center"/>
          </w:tcPr>
          <w:p w14:paraId="03BA3FC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6" w:type="dxa"/>
            <w:noWrap w:val="0"/>
            <w:vAlign w:val="center"/>
          </w:tcPr>
          <w:p w14:paraId="1D142A4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92" w:type="dxa"/>
            <w:noWrap w:val="0"/>
            <w:vAlign w:val="center"/>
          </w:tcPr>
          <w:p w14:paraId="4BF74D1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6" w:type="dxa"/>
            <w:gridSpan w:val="2"/>
            <w:noWrap w:val="0"/>
            <w:vAlign w:val="center"/>
          </w:tcPr>
          <w:p w14:paraId="737BBE8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83" w:type="dxa"/>
            <w:noWrap w:val="0"/>
            <w:vAlign w:val="center"/>
          </w:tcPr>
          <w:p w14:paraId="38F35C4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616BA24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2</w:t>
            </w:r>
          </w:p>
        </w:tc>
        <w:tc>
          <w:tcPr>
            <w:tcW w:w="1134" w:type="dxa"/>
            <w:noWrap w:val="0"/>
            <w:vAlign w:val="center"/>
          </w:tcPr>
          <w:p w14:paraId="6265065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30" w:type="dxa"/>
            <w:noWrap w:val="0"/>
            <w:vAlign w:val="center"/>
          </w:tcPr>
          <w:p w14:paraId="2EA83D8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10" w:type="dxa"/>
            <w:noWrap w:val="0"/>
            <w:vAlign w:val="center"/>
          </w:tcPr>
          <w:p w14:paraId="2FD6A04D">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cyan"/>
              </w:rPr>
            </w:pPr>
          </w:p>
        </w:tc>
      </w:tr>
      <w:tr w14:paraId="6C39902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1" w:type="dxa"/>
            <w:gridSpan w:val="2"/>
            <w:noWrap w:val="0"/>
            <w:vAlign w:val="center"/>
          </w:tcPr>
          <w:p w14:paraId="5FD352B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山斑鸠</w:t>
            </w:r>
          </w:p>
        </w:tc>
        <w:tc>
          <w:tcPr>
            <w:tcW w:w="1242" w:type="dxa"/>
            <w:noWrap w:val="0"/>
            <w:vAlign w:val="center"/>
          </w:tcPr>
          <w:p w14:paraId="2B45509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34" w:type="dxa"/>
            <w:noWrap w:val="0"/>
            <w:vAlign w:val="center"/>
          </w:tcPr>
          <w:p w14:paraId="4F68DF4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w:t>
            </w:r>
          </w:p>
        </w:tc>
        <w:tc>
          <w:tcPr>
            <w:tcW w:w="1276" w:type="dxa"/>
            <w:noWrap w:val="0"/>
            <w:vAlign w:val="center"/>
          </w:tcPr>
          <w:p w14:paraId="0C1F9E6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992" w:type="dxa"/>
            <w:noWrap w:val="0"/>
            <w:vAlign w:val="center"/>
          </w:tcPr>
          <w:p w14:paraId="4866F8C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6" w:type="dxa"/>
            <w:gridSpan w:val="2"/>
            <w:noWrap w:val="0"/>
            <w:vAlign w:val="center"/>
          </w:tcPr>
          <w:p w14:paraId="086FD9C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83" w:type="dxa"/>
            <w:noWrap w:val="0"/>
            <w:vAlign w:val="center"/>
          </w:tcPr>
          <w:p w14:paraId="0331DA0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53FA6DA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10</w:t>
            </w:r>
          </w:p>
        </w:tc>
        <w:tc>
          <w:tcPr>
            <w:tcW w:w="1134" w:type="dxa"/>
            <w:noWrap w:val="0"/>
            <w:vAlign w:val="center"/>
          </w:tcPr>
          <w:p w14:paraId="5669D22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30" w:type="dxa"/>
            <w:noWrap w:val="0"/>
            <w:vAlign w:val="center"/>
          </w:tcPr>
          <w:p w14:paraId="7AC7078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10" w:type="dxa"/>
            <w:noWrap w:val="0"/>
            <w:vAlign w:val="center"/>
          </w:tcPr>
          <w:p w14:paraId="4306ABD4">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cyan"/>
              </w:rPr>
            </w:pPr>
          </w:p>
        </w:tc>
      </w:tr>
      <w:tr w14:paraId="571C583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1" w:type="dxa"/>
            <w:gridSpan w:val="2"/>
            <w:noWrap w:val="0"/>
            <w:vAlign w:val="center"/>
          </w:tcPr>
          <w:p w14:paraId="3020260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金翅雀</w:t>
            </w:r>
          </w:p>
        </w:tc>
        <w:tc>
          <w:tcPr>
            <w:tcW w:w="1242" w:type="dxa"/>
            <w:noWrap w:val="0"/>
            <w:vAlign w:val="center"/>
          </w:tcPr>
          <w:p w14:paraId="2D0376F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1134" w:type="dxa"/>
            <w:noWrap w:val="0"/>
            <w:vAlign w:val="center"/>
          </w:tcPr>
          <w:p w14:paraId="5CB598F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276" w:type="dxa"/>
            <w:noWrap w:val="0"/>
            <w:vAlign w:val="center"/>
          </w:tcPr>
          <w:p w14:paraId="1D53C27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92" w:type="dxa"/>
            <w:noWrap w:val="0"/>
            <w:vAlign w:val="center"/>
          </w:tcPr>
          <w:p w14:paraId="0622461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6" w:type="dxa"/>
            <w:gridSpan w:val="2"/>
            <w:noWrap w:val="0"/>
            <w:vAlign w:val="center"/>
          </w:tcPr>
          <w:p w14:paraId="3399BB8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83" w:type="dxa"/>
            <w:noWrap w:val="0"/>
            <w:vAlign w:val="center"/>
          </w:tcPr>
          <w:p w14:paraId="3A4EB19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0E9C24A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3</w:t>
            </w:r>
          </w:p>
        </w:tc>
        <w:tc>
          <w:tcPr>
            <w:tcW w:w="1134" w:type="dxa"/>
            <w:noWrap w:val="0"/>
            <w:vAlign w:val="center"/>
          </w:tcPr>
          <w:p w14:paraId="0F3AD6A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30" w:type="dxa"/>
            <w:noWrap w:val="0"/>
            <w:vAlign w:val="center"/>
          </w:tcPr>
          <w:p w14:paraId="7C5B92D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10" w:type="dxa"/>
            <w:noWrap w:val="0"/>
            <w:vAlign w:val="center"/>
          </w:tcPr>
          <w:p w14:paraId="7DE179A0">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cyan"/>
              </w:rPr>
            </w:pPr>
          </w:p>
        </w:tc>
      </w:tr>
      <w:tr w14:paraId="3BECE81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1" w:type="dxa"/>
            <w:gridSpan w:val="2"/>
            <w:noWrap w:val="0"/>
            <w:vAlign w:val="center"/>
          </w:tcPr>
          <w:p w14:paraId="4B19EBE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珠颈斑鸠</w:t>
            </w:r>
          </w:p>
        </w:tc>
        <w:tc>
          <w:tcPr>
            <w:tcW w:w="1242" w:type="dxa"/>
            <w:noWrap w:val="0"/>
            <w:vAlign w:val="center"/>
          </w:tcPr>
          <w:p w14:paraId="7A06E88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1134" w:type="dxa"/>
            <w:noWrap w:val="0"/>
            <w:vAlign w:val="center"/>
          </w:tcPr>
          <w:p w14:paraId="1DF7354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1276" w:type="dxa"/>
            <w:noWrap w:val="0"/>
            <w:vAlign w:val="center"/>
          </w:tcPr>
          <w:p w14:paraId="5CE6784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992" w:type="dxa"/>
            <w:noWrap w:val="0"/>
            <w:vAlign w:val="center"/>
          </w:tcPr>
          <w:p w14:paraId="5A6856A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006" w:type="dxa"/>
            <w:gridSpan w:val="2"/>
            <w:noWrap w:val="0"/>
            <w:vAlign w:val="center"/>
          </w:tcPr>
          <w:p w14:paraId="5F2543D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83" w:type="dxa"/>
            <w:noWrap w:val="0"/>
            <w:vAlign w:val="center"/>
          </w:tcPr>
          <w:p w14:paraId="156F14D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741B056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6</w:t>
            </w:r>
          </w:p>
        </w:tc>
        <w:tc>
          <w:tcPr>
            <w:tcW w:w="1134" w:type="dxa"/>
            <w:noWrap w:val="0"/>
            <w:vAlign w:val="center"/>
          </w:tcPr>
          <w:p w14:paraId="4309B95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30" w:type="dxa"/>
            <w:noWrap w:val="0"/>
            <w:vAlign w:val="center"/>
          </w:tcPr>
          <w:p w14:paraId="0C236A5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10" w:type="dxa"/>
            <w:noWrap w:val="0"/>
            <w:vAlign w:val="center"/>
          </w:tcPr>
          <w:p w14:paraId="4C8F70BD">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cyan"/>
              </w:rPr>
            </w:pPr>
          </w:p>
        </w:tc>
      </w:tr>
      <w:tr w14:paraId="475F5DA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31" w:type="dxa"/>
            <w:gridSpan w:val="2"/>
            <w:noWrap w:val="0"/>
            <w:vAlign w:val="center"/>
          </w:tcPr>
          <w:p w14:paraId="6832BC9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四声杜鹃</w:t>
            </w:r>
          </w:p>
        </w:tc>
        <w:tc>
          <w:tcPr>
            <w:tcW w:w="1242" w:type="dxa"/>
            <w:noWrap w:val="0"/>
            <w:vAlign w:val="center"/>
          </w:tcPr>
          <w:p w14:paraId="00F2EA56">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1134" w:type="dxa"/>
            <w:noWrap w:val="0"/>
            <w:vAlign w:val="center"/>
          </w:tcPr>
          <w:p w14:paraId="5CFEF62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6" w:type="dxa"/>
            <w:noWrap w:val="0"/>
            <w:vAlign w:val="center"/>
          </w:tcPr>
          <w:p w14:paraId="326EA47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92" w:type="dxa"/>
            <w:noWrap w:val="0"/>
            <w:vAlign w:val="center"/>
          </w:tcPr>
          <w:p w14:paraId="113DE6D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6" w:type="dxa"/>
            <w:gridSpan w:val="2"/>
            <w:noWrap w:val="0"/>
            <w:vAlign w:val="center"/>
          </w:tcPr>
          <w:p w14:paraId="106AD47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83" w:type="dxa"/>
            <w:noWrap w:val="0"/>
            <w:vAlign w:val="center"/>
          </w:tcPr>
          <w:p w14:paraId="7485B03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17DD172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lang w:bidi="ar"/>
              </w:rPr>
            </w:pPr>
            <w:r>
              <w:rPr>
                <w:rFonts w:hint="default" w:ascii="Times New Roman" w:hAnsi="Times New Roman" w:cs="Times New Roman"/>
                <w:color w:val="auto"/>
                <w:kern w:val="0"/>
                <w:lang w:bidi="ar"/>
              </w:rPr>
              <w:t>1</w:t>
            </w:r>
          </w:p>
        </w:tc>
        <w:tc>
          <w:tcPr>
            <w:tcW w:w="1134" w:type="dxa"/>
            <w:noWrap w:val="0"/>
            <w:vAlign w:val="center"/>
          </w:tcPr>
          <w:p w14:paraId="414E42A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30" w:type="dxa"/>
            <w:noWrap w:val="0"/>
            <w:vAlign w:val="center"/>
          </w:tcPr>
          <w:p w14:paraId="640A5B3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10" w:type="dxa"/>
            <w:noWrap w:val="0"/>
            <w:vAlign w:val="center"/>
          </w:tcPr>
          <w:p w14:paraId="2666E929">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cyan"/>
              </w:rPr>
            </w:pPr>
          </w:p>
        </w:tc>
      </w:tr>
    </w:tbl>
    <w:p w14:paraId="293CB3DD">
      <w:pPr>
        <w:spacing w:line="400" w:lineRule="exact"/>
        <w:jc w:val="center"/>
        <w:rPr>
          <w:rFonts w:eastAsia="黑体"/>
          <w:color w:val="auto"/>
          <w:sz w:val="24"/>
        </w:rPr>
      </w:pPr>
    </w:p>
    <w:p w14:paraId="452B119C">
      <w:pPr>
        <w:spacing w:line="400" w:lineRule="exact"/>
        <w:jc w:val="center"/>
        <w:rPr>
          <w:rFonts w:eastAsia="黑体"/>
          <w:color w:val="auto"/>
          <w:sz w:val="24"/>
        </w:rPr>
      </w:pPr>
    </w:p>
    <w:p w14:paraId="04B69700">
      <w:pPr>
        <w:spacing w:line="400" w:lineRule="exact"/>
        <w:jc w:val="center"/>
        <w:rPr>
          <w:rFonts w:eastAsia="黑体"/>
          <w:color w:val="auto"/>
          <w:sz w:val="24"/>
        </w:rPr>
      </w:pPr>
    </w:p>
    <w:p w14:paraId="1F576401">
      <w:pPr>
        <w:spacing w:line="400" w:lineRule="exact"/>
        <w:jc w:val="center"/>
        <w:rPr>
          <w:rFonts w:eastAsia="黑体"/>
          <w:color w:val="auto"/>
          <w:sz w:val="24"/>
        </w:rPr>
      </w:pPr>
    </w:p>
    <w:p w14:paraId="38616658">
      <w:pPr>
        <w:spacing w:line="400" w:lineRule="exact"/>
        <w:jc w:val="center"/>
        <w:rPr>
          <w:rFonts w:eastAsia="黑体"/>
          <w:color w:val="auto"/>
          <w:sz w:val="24"/>
        </w:rPr>
      </w:pPr>
      <w:r>
        <w:rPr>
          <w:rFonts w:eastAsia="黑体"/>
          <w:color w:val="auto"/>
          <w:sz w:val="24"/>
        </w:rPr>
        <w:t>表</w:t>
      </w:r>
      <w:r>
        <w:rPr>
          <w:rFonts w:hint="eastAsia" w:eastAsia="黑体"/>
          <w:color w:val="auto"/>
          <w:sz w:val="24"/>
        </w:rPr>
        <w:t>4.2-</w:t>
      </w:r>
      <w:r>
        <w:rPr>
          <w:rFonts w:hint="eastAsia" w:eastAsia="黑体"/>
          <w:color w:val="auto"/>
          <w:sz w:val="24"/>
          <w:lang w:val="en-US" w:eastAsia="zh-CN"/>
        </w:rPr>
        <w:t>20</w:t>
      </w:r>
      <w:r>
        <w:rPr>
          <w:rFonts w:hint="eastAsia" w:eastAsia="黑体"/>
          <w:color w:val="auto"/>
          <w:sz w:val="24"/>
        </w:rPr>
        <w:t xml:space="preserve">  </w:t>
      </w:r>
      <w:r>
        <w:rPr>
          <w:rFonts w:eastAsia="黑体"/>
          <w:color w:val="auto"/>
          <w:sz w:val="24"/>
        </w:rPr>
        <w:t>野生动物样线调查表3</w:t>
      </w:r>
    </w:p>
    <w:tbl>
      <w:tblPr>
        <w:tblStyle w:val="53"/>
        <w:tblW w:w="0" w:type="auto"/>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1214"/>
        <w:gridCol w:w="912"/>
        <w:gridCol w:w="992"/>
        <w:gridCol w:w="995"/>
        <w:gridCol w:w="992"/>
        <w:gridCol w:w="1003"/>
        <w:gridCol w:w="1140"/>
        <w:gridCol w:w="1421"/>
        <w:gridCol w:w="1415"/>
        <w:gridCol w:w="1560"/>
        <w:gridCol w:w="1044"/>
      </w:tblGrid>
      <w:tr w14:paraId="5254052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3" w:type="dxa"/>
            <w:noWrap w:val="0"/>
            <w:vAlign w:val="center"/>
          </w:tcPr>
          <w:p w14:paraId="14157ADF">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eastAsia" w:ascii="Times New Roman" w:hAnsi="Times New Roman" w:cs="Times New Roman"/>
                <w:b/>
                <w:bCs/>
                <w:color w:val="auto"/>
              </w:rPr>
              <w:t>日期</w:t>
            </w:r>
          </w:p>
        </w:tc>
        <w:tc>
          <w:tcPr>
            <w:tcW w:w="1214" w:type="dxa"/>
            <w:noWrap w:val="0"/>
            <w:vAlign w:val="center"/>
          </w:tcPr>
          <w:p w14:paraId="053752F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2023.10.20</w:t>
            </w:r>
          </w:p>
        </w:tc>
        <w:tc>
          <w:tcPr>
            <w:tcW w:w="1904" w:type="dxa"/>
            <w:gridSpan w:val="2"/>
            <w:noWrap w:val="0"/>
            <w:vAlign w:val="center"/>
          </w:tcPr>
          <w:p w14:paraId="41440133">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天气</w:t>
            </w:r>
          </w:p>
        </w:tc>
        <w:tc>
          <w:tcPr>
            <w:tcW w:w="995" w:type="dxa"/>
            <w:noWrap w:val="0"/>
            <w:vAlign w:val="center"/>
          </w:tcPr>
          <w:p w14:paraId="0DF64A4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晴</w:t>
            </w:r>
          </w:p>
        </w:tc>
        <w:tc>
          <w:tcPr>
            <w:tcW w:w="1995" w:type="dxa"/>
            <w:gridSpan w:val="2"/>
            <w:noWrap w:val="0"/>
            <w:vAlign w:val="center"/>
          </w:tcPr>
          <w:p w14:paraId="4B923298">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温度</w:t>
            </w:r>
          </w:p>
        </w:tc>
        <w:tc>
          <w:tcPr>
            <w:tcW w:w="1140" w:type="dxa"/>
            <w:noWrap w:val="0"/>
            <w:vAlign w:val="center"/>
          </w:tcPr>
          <w:p w14:paraId="7EDD18D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r>
              <w:rPr>
                <w:rFonts w:hint="eastAsia" w:ascii="Times New Roman" w:hAnsi="Times New Roman" w:cs="Times New Roman"/>
                <w:color w:val="auto"/>
              </w:rPr>
              <w:t>7</w:t>
            </w:r>
            <w:r>
              <w:rPr>
                <w:rFonts w:hint="default" w:ascii="Times New Roman" w:hAnsi="Times New Roman" w:cs="Times New Roman"/>
                <w:color w:val="auto"/>
              </w:rPr>
              <w:t>℃</w:t>
            </w:r>
          </w:p>
        </w:tc>
        <w:tc>
          <w:tcPr>
            <w:tcW w:w="1421" w:type="dxa"/>
            <w:noWrap w:val="0"/>
            <w:vAlign w:val="center"/>
          </w:tcPr>
          <w:p w14:paraId="358BE69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记录人</w:t>
            </w:r>
          </w:p>
        </w:tc>
        <w:tc>
          <w:tcPr>
            <w:tcW w:w="4019" w:type="dxa"/>
            <w:gridSpan w:val="3"/>
            <w:noWrap w:val="0"/>
            <w:vAlign w:val="center"/>
          </w:tcPr>
          <w:p w14:paraId="4763B5D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陈倩倩</w:t>
            </w:r>
          </w:p>
        </w:tc>
      </w:tr>
      <w:tr w14:paraId="02F14A3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3" w:type="dxa"/>
            <w:noWrap w:val="0"/>
            <w:vAlign w:val="center"/>
          </w:tcPr>
          <w:p w14:paraId="64531F70">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eastAsia" w:ascii="Times New Roman" w:hAnsi="Times New Roman" w:cs="Times New Roman"/>
                <w:b/>
                <w:bCs/>
                <w:color w:val="auto"/>
              </w:rPr>
              <w:t>地点</w:t>
            </w:r>
          </w:p>
        </w:tc>
        <w:tc>
          <w:tcPr>
            <w:tcW w:w="3118" w:type="dxa"/>
            <w:gridSpan w:val="3"/>
            <w:noWrap w:val="0"/>
            <w:vAlign w:val="center"/>
          </w:tcPr>
          <w:p w14:paraId="43E7918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评价</w:t>
            </w:r>
            <w:r>
              <w:rPr>
                <w:rFonts w:hint="default" w:ascii="Times New Roman" w:hAnsi="Times New Roman" w:cs="Times New Roman"/>
                <w:color w:val="auto"/>
              </w:rPr>
              <w:t>范围内</w:t>
            </w:r>
          </w:p>
        </w:tc>
        <w:tc>
          <w:tcPr>
            <w:tcW w:w="2990" w:type="dxa"/>
            <w:gridSpan w:val="3"/>
            <w:noWrap w:val="0"/>
            <w:vAlign w:val="center"/>
          </w:tcPr>
          <w:p w14:paraId="03AD4CA2">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样线长度</w:t>
            </w:r>
          </w:p>
        </w:tc>
        <w:tc>
          <w:tcPr>
            <w:tcW w:w="1140" w:type="dxa"/>
            <w:noWrap w:val="0"/>
            <w:vAlign w:val="center"/>
          </w:tcPr>
          <w:p w14:paraId="19182A3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r>
              <w:rPr>
                <w:rFonts w:hint="eastAsia" w:ascii="Times New Roman" w:hAnsi="Times New Roman" w:cs="Times New Roman"/>
                <w:color w:val="auto"/>
              </w:rPr>
              <w:t>05</w:t>
            </w:r>
            <w:r>
              <w:rPr>
                <w:rFonts w:hint="default" w:ascii="Times New Roman" w:hAnsi="Times New Roman" w:cs="Times New Roman"/>
                <w:color w:val="auto"/>
              </w:rPr>
              <w:t>km</w:t>
            </w:r>
          </w:p>
        </w:tc>
        <w:tc>
          <w:tcPr>
            <w:tcW w:w="1421" w:type="dxa"/>
            <w:noWrap w:val="0"/>
            <w:vAlign w:val="center"/>
          </w:tcPr>
          <w:p w14:paraId="75127A22">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调查开始</w:t>
            </w:r>
          </w:p>
        </w:tc>
        <w:tc>
          <w:tcPr>
            <w:tcW w:w="1415" w:type="dxa"/>
            <w:noWrap w:val="0"/>
            <w:vAlign w:val="center"/>
          </w:tcPr>
          <w:p w14:paraId="16AF902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14：1</w:t>
            </w:r>
            <w:r>
              <w:rPr>
                <w:rFonts w:hint="default" w:ascii="Times New Roman" w:hAnsi="Times New Roman" w:cs="Times New Roman"/>
                <w:color w:val="auto"/>
              </w:rPr>
              <w:t>0</w:t>
            </w:r>
          </w:p>
        </w:tc>
        <w:tc>
          <w:tcPr>
            <w:tcW w:w="1560" w:type="dxa"/>
            <w:noWrap w:val="0"/>
            <w:vAlign w:val="center"/>
          </w:tcPr>
          <w:p w14:paraId="3BD003B8">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结束时间</w:t>
            </w:r>
          </w:p>
        </w:tc>
        <w:tc>
          <w:tcPr>
            <w:tcW w:w="1044" w:type="dxa"/>
            <w:noWrap w:val="0"/>
            <w:vAlign w:val="center"/>
          </w:tcPr>
          <w:p w14:paraId="3B57015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r>
              <w:rPr>
                <w:rFonts w:hint="eastAsia" w:ascii="Times New Roman" w:hAnsi="Times New Roman" w:cs="Times New Roman"/>
                <w:color w:val="auto"/>
              </w:rPr>
              <w:t>5：15</w:t>
            </w:r>
          </w:p>
        </w:tc>
      </w:tr>
      <w:tr w14:paraId="51A4318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3" w:type="dxa"/>
            <w:noWrap w:val="0"/>
            <w:vAlign w:val="center"/>
          </w:tcPr>
          <w:p w14:paraId="3CB10926">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起点坐标</w:t>
            </w:r>
          </w:p>
        </w:tc>
        <w:tc>
          <w:tcPr>
            <w:tcW w:w="7248" w:type="dxa"/>
            <w:gridSpan w:val="7"/>
            <w:noWrap w:val="0"/>
            <w:vAlign w:val="center"/>
          </w:tcPr>
          <w:p w14:paraId="553545DB">
            <w:pPr>
              <w:keepNext w:val="0"/>
              <w:keepLines w:val="0"/>
              <w:suppressLineNumbers w:val="0"/>
              <w:tabs>
                <w:tab w:val="left" w:pos="2070"/>
              </w:tabs>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color w:val="auto"/>
              </w:rPr>
              <w:t xml:space="preserve">E </w:t>
            </w:r>
            <w:r>
              <w:rPr>
                <w:rFonts w:hint="eastAsia" w:ascii="Times New Roman" w:hAnsi="Times New Roman" w:cs="Times New Roman"/>
                <w:color w:val="auto"/>
              </w:rPr>
              <w:t>116.933370</w:t>
            </w:r>
            <w:r>
              <w:rPr>
                <w:rFonts w:hint="default" w:ascii="Times New Roman" w:hAnsi="Times New Roman" w:cs="Times New Roman"/>
                <w:color w:val="auto"/>
              </w:rPr>
              <w:t xml:space="preserve">°N </w:t>
            </w:r>
            <w:r>
              <w:rPr>
                <w:rFonts w:hint="eastAsia" w:ascii="Times New Roman" w:hAnsi="Times New Roman" w:cs="Times New Roman"/>
                <w:color w:val="auto"/>
              </w:rPr>
              <w:t>32.672889</w:t>
            </w:r>
            <w:r>
              <w:rPr>
                <w:rFonts w:hint="default" w:ascii="Times New Roman" w:hAnsi="Times New Roman" w:cs="Times New Roman"/>
                <w:color w:val="auto"/>
              </w:rPr>
              <w:t>°</w:t>
            </w:r>
          </w:p>
        </w:tc>
        <w:tc>
          <w:tcPr>
            <w:tcW w:w="1421" w:type="dxa"/>
            <w:noWrap w:val="0"/>
            <w:vAlign w:val="center"/>
          </w:tcPr>
          <w:p w14:paraId="2FAC8E33">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终点坐标</w:t>
            </w:r>
          </w:p>
        </w:tc>
        <w:tc>
          <w:tcPr>
            <w:tcW w:w="4019" w:type="dxa"/>
            <w:gridSpan w:val="3"/>
            <w:noWrap w:val="0"/>
            <w:vAlign w:val="center"/>
          </w:tcPr>
          <w:p w14:paraId="4C7EE67A">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color w:val="auto"/>
              </w:rPr>
              <w:t xml:space="preserve">E </w:t>
            </w:r>
            <w:r>
              <w:rPr>
                <w:rFonts w:hint="eastAsia" w:ascii="Times New Roman" w:hAnsi="Times New Roman" w:cs="Times New Roman"/>
                <w:color w:val="auto"/>
              </w:rPr>
              <w:t>116.923563</w:t>
            </w:r>
            <w:r>
              <w:rPr>
                <w:rFonts w:hint="default" w:ascii="Times New Roman" w:hAnsi="Times New Roman" w:cs="Times New Roman"/>
                <w:color w:val="auto"/>
              </w:rPr>
              <w:t xml:space="preserve">°N </w:t>
            </w:r>
            <w:r>
              <w:rPr>
                <w:rFonts w:hint="eastAsia" w:ascii="Times New Roman" w:hAnsi="Times New Roman" w:cs="Times New Roman"/>
                <w:color w:val="auto"/>
              </w:rPr>
              <w:t>32.668276</w:t>
            </w:r>
            <w:r>
              <w:rPr>
                <w:rFonts w:hint="default" w:ascii="Times New Roman" w:hAnsi="Times New Roman" w:cs="Times New Roman"/>
                <w:color w:val="auto"/>
              </w:rPr>
              <w:t>°</w:t>
            </w:r>
          </w:p>
        </w:tc>
      </w:tr>
      <w:tr w14:paraId="2FEAAFE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23" w:type="dxa"/>
            <w:noWrap w:val="0"/>
            <w:vAlign w:val="center"/>
          </w:tcPr>
          <w:p w14:paraId="3102B11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海拔</w:t>
            </w:r>
          </w:p>
        </w:tc>
        <w:tc>
          <w:tcPr>
            <w:tcW w:w="1214" w:type="dxa"/>
            <w:noWrap w:val="0"/>
            <w:vAlign w:val="center"/>
          </w:tcPr>
          <w:p w14:paraId="23E592A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22.02</w:t>
            </w:r>
            <w:r>
              <w:rPr>
                <w:rFonts w:hint="default" w:ascii="Times New Roman" w:hAnsi="Times New Roman" w:cs="Times New Roman"/>
                <w:color w:val="auto"/>
              </w:rPr>
              <w:t>m</w:t>
            </w:r>
          </w:p>
        </w:tc>
        <w:tc>
          <w:tcPr>
            <w:tcW w:w="1904" w:type="dxa"/>
            <w:gridSpan w:val="2"/>
            <w:noWrap w:val="0"/>
            <w:vAlign w:val="center"/>
          </w:tcPr>
          <w:p w14:paraId="08A2E40B">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生境类型</w:t>
            </w:r>
          </w:p>
        </w:tc>
        <w:tc>
          <w:tcPr>
            <w:tcW w:w="4130" w:type="dxa"/>
            <w:gridSpan w:val="4"/>
            <w:noWrap w:val="0"/>
            <w:vAlign w:val="center"/>
          </w:tcPr>
          <w:p w14:paraId="54CFF952">
            <w:pPr>
              <w:keepNext w:val="0"/>
              <w:keepLines w:val="0"/>
              <w:suppressLineNumbers w:val="0"/>
              <w:spacing w:before="0" w:beforeAutospacing="0" w:after="0" w:afterAutospacing="0"/>
              <w:ind w:left="0" w:right="0"/>
              <w:jc w:val="center"/>
              <w:rPr>
                <w:rFonts w:hint="default" w:ascii="Times New Roman" w:hAnsi="Times New Roman" w:cs="Times New Roman"/>
                <w:color w:val="auto"/>
                <w:highlight w:val="cyan"/>
              </w:rPr>
            </w:pPr>
            <w:r>
              <w:rPr>
                <w:rFonts w:hint="default" w:ascii="Times New Roman" w:hAnsi="Times New Roman" w:cs="Times New Roman"/>
                <w:color w:val="auto"/>
              </w:rPr>
              <w:t>灌丛，</w:t>
            </w:r>
            <w:r>
              <w:rPr>
                <w:rFonts w:hint="eastAsia" w:ascii="Times New Roman" w:hAnsi="Times New Roman" w:cs="Times New Roman"/>
                <w:color w:val="auto"/>
              </w:rPr>
              <w:t>乔木，</w:t>
            </w:r>
            <w:r>
              <w:rPr>
                <w:rFonts w:hint="default" w:ascii="Times New Roman" w:hAnsi="Times New Roman" w:cs="Times New Roman"/>
                <w:color w:val="auto"/>
              </w:rPr>
              <w:t>草地</w:t>
            </w:r>
          </w:p>
        </w:tc>
        <w:tc>
          <w:tcPr>
            <w:tcW w:w="2836" w:type="dxa"/>
            <w:gridSpan w:val="2"/>
            <w:noWrap w:val="0"/>
            <w:vAlign w:val="center"/>
          </w:tcPr>
          <w:p w14:paraId="249EA48E">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人为干扰因素</w:t>
            </w:r>
          </w:p>
        </w:tc>
        <w:tc>
          <w:tcPr>
            <w:tcW w:w="2604" w:type="dxa"/>
            <w:gridSpan w:val="2"/>
            <w:noWrap w:val="0"/>
            <w:vAlign w:val="center"/>
          </w:tcPr>
          <w:p w14:paraId="793AB6D9">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color w:val="auto"/>
              </w:rPr>
              <w:t>人类活动</w:t>
            </w:r>
          </w:p>
        </w:tc>
      </w:tr>
      <w:tr w14:paraId="236FBA9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7" w:type="dxa"/>
            <w:gridSpan w:val="2"/>
            <w:noWrap w:val="0"/>
            <w:vAlign w:val="center"/>
          </w:tcPr>
          <w:p w14:paraId="1C2C3500">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物种</w:t>
            </w:r>
          </w:p>
        </w:tc>
        <w:tc>
          <w:tcPr>
            <w:tcW w:w="6034" w:type="dxa"/>
            <w:gridSpan w:val="6"/>
            <w:noWrap w:val="0"/>
            <w:vAlign w:val="center"/>
          </w:tcPr>
          <w:p w14:paraId="0B0BC827">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单次记录个体数量</w:t>
            </w:r>
          </w:p>
        </w:tc>
        <w:tc>
          <w:tcPr>
            <w:tcW w:w="1421" w:type="dxa"/>
            <w:noWrap w:val="0"/>
            <w:vAlign w:val="center"/>
          </w:tcPr>
          <w:p w14:paraId="3EE7B052">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总数</w:t>
            </w:r>
          </w:p>
        </w:tc>
        <w:tc>
          <w:tcPr>
            <w:tcW w:w="1415" w:type="dxa"/>
            <w:noWrap w:val="0"/>
            <w:vAlign w:val="center"/>
          </w:tcPr>
          <w:p w14:paraId="3854780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截距/m</w:t>
            </w:r>
          </w:p>
        </w:tc>
        <w:tc>
          <w:tcPr>
            <w:tcW w:w="1560" w:type="dxa"/>
            <w:noWrap w:val="0"/>
            <w:vAlign w:val="center"/>
          </w:tcPr>
          <w:p w14:paraId="55D2D6E6">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雌/雄/亚成体</w:t>
            </w:r>
          </w:p>
        </w:tc>
        <w:tc>
          <w:tcPr>
            <w:tcW w:w="1044" w:type="dxa"/>
            <w:noWrap w:val="0"/>
            <w:vAlign w:val="center"/>
          </w:tcPr>
          <w:p w14:paraId="1E88EEAD">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备注</w:t>
            </w:r>
          </w:p>
        </w:tc>
      </w:tr>
      <w:tr w14:paraId="3041A4F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7" w:type="dxa"/>
            <w:gridSpan w:val="2"/>
            <w:noWrap w:val="0"/>
            <w:vAlign w:val="center"/>
          </w:tcPr>
          <w:p w14:paraId="5B5ABC6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山斑鸠</w:t>
            </w:r>
          </w:p>
        </w:tc>
        <w:tc>
          <w:tcPr>
            <w:tcW w:w="912" w:type="dxa"/>
            <w:noWrap w:val="0"/>
            <w:vAlign w:val="center"/>
          </w:tcPr>
          <w:p w14:paraId="09D5EA7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992" w:type="dxa"/>
            <w:noWrap w:val="0"/>
            <w:vAlign w:val="center"/>
          </w:tcPr>
          <w:p w14:paraId="54EADE9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w:t>
            </w:r>
          </w:p>
        </w:tc>
        <w:tc>
          <w:tcPr>
            <w:tcW w:w="995" w:type="dxa"/>
            <w:noWrap w:val="0"/>
            <w:vAlign w:val="center"/>
          </w:tcPr>
          <w:p w14:paraId="78829B8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992" w:type="dxa"/>
            <w:noWrap w:val="0"/>
            <w:vAlign w:val="center"/>
          </w:tcPr>
          <w:p w14:paraId="3CFEC49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3" w:type="dxa"/>
            <w:noWrap w:val="0"/>
            <w:vAlign w:val="center"/>
          </w:tcPr>
          <w:p w14:paraId="189DFB4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0" w:type="dxa"/>
            <w:noWrap w:val="0"/>
            <w:vAlign w:val="center"/>
          </w:tcPr>
          <w:p w14:paraId="3685522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21" w:type="dxa"/>
            <w:noWrap w:val="0"/>
            <w:vAlign w:val="center"/>
          </w:tcPr>
          <w:p w14:paraId="55E4605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10</w:t>
            </w:r>
          </w:p>
        </w:tc>
        <w:tc>
          <w:tcPr>
            <w:tcW w:w="1415" w:type="dxa"/>
            <w:noWrap w:val="0"/>
            <w:vAlign w:val="center"/>
          </w:tcPr>
          <w:p w14:paraId="3A87639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60" w:type="dxa"/>
            <w:noWrap w:val="0"/>
            <w:vAlign w:val="center"/>
          </w:tcPr>
          <w:p w14:paraId="17C5792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44" w:type="dxa"/>
            <w:noWrap w:val="0"/>
            <w:vAlign w:val="center"/>
          </w:tcPr>
          <w:p w14:paraId="3B45D8A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206F76F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PrEx>
        <w:trPr>
          <w:trHeight w:val="397" w:hRule="atLeast"/>
          <w:jc w:val="center"/>
        </w:trPr>
        <w:tc>
          <w:tcPr>
            <w:tcW w:w="2737" w:type="dxa"/>
            <w:gridSpan w:val="2"/>
            <w:noWrap w:val="0"/>
            <w:vAlign w:val="center"/>
          </w:tcPr>
          <w:p w14:paraId="66E11C6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喜鹊</w:t>
            </w:r>
          </w:p>
        </w:tc>
        <w:tc>
          <w:tcPr>
            <w:tcW w:w="912" w:type="dxa"/>
            <w:noWrap w:val="0"/>
            <w:vAlign w:val="center"/>
          </w:tcPr>
          <w:p w14:paraId="648F892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992" w:type="dxa"/>
            <w:noWrap w:val="0"/>
            <w:vAlign w:val="center"/>
          </w:tcPr>
          <w:p w14:paraId="7E0B088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995" w:type="dxa"/>
            <w:noWrap w:val="0"/>
            <w:vAlign w:val="center"/>
          </w:tcPr>
          <w:p w14:paraId="76D8430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992" w:type="dxa"/>
            <w:noWrap w:val="0"/>
            <w:vAlign w:val="center"/>
          </w:tcPr>
          <w:p w14:paraId="5B19C72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1003" w:type="dxa"/>
            <w:noWrap w:val="0"/>
            <w:vAlign w:val="center"/>
          </w:tcPr>
          <w:p w14:paraId="5235520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0" w:type="dxa"/>
            <w:noWrap w:val="0"/>
            <w:vAlign w:val="center"/>
          </w:tcPr>
          <w:p w14:paraId="7742259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21" w:type="dxa"/>
            <w:noWrap w:val="0"/>
            <w:vAlign w:val="center"/>
          </w:tcPr>
          <w:p w14:paraId="3F53E90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8</w:t>
            </w:r>
          </w:p>
        </w:tc>
        <w:tc>
          <w:tcPr>
            <w:tcW w:w="1415" w:type="dxa"/>
            <w:noWrap w:val="0"/>
            <w:vAlign w:val="center"/>
          </w:tcPr>
          <w:p w14:paraId="1F48EB8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60" w:type="dxa"/>
            <w:noWrap w:val="0"/>
            <w:vAlign w:val="center"/>
          </w:tcPr>
          <w:p w14:paraId="7AA7BB9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44" w:type="dxa"/>
            <w:noWrap w:val="0"/>
            <w:vAlign w:val="center"/>
          </w:tcPr>
          <w:p w14:paraId="642E71A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066C1F5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7" w:type="dxa"/>
            <w:gridSpan w:val="2"/>
            <w:noWrap w:val="0"/>
            <w:vAlign w:val="center"/>
          </w:tcPr>
          <w:p w14:paraId="674747E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金翅雀</w:t>
            </w:r>
          </w:p>
        </w:tc>
        <w:tc>
          <w:tcPr>
            <w:tcW w:w="912" w:type="dxa"/>
            <w:noWrap w:val="0"/>
            <w:vAlign w:val="center"/>
          </w:tcPr>
          <w:p w14:paraId="6EFE866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992" w:type="dxa"/>
            <w:noWrap w:val="0"/>
            <w:vAlign w:val="center"/>
          </w:tcPr>
          <w:p w14:paraId="570B961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95" w:type="dxa"/>
            <w:noWrap w:val="0"/>
            <w:vAlign w:val="center"/>
          </w:tcPr>
          <w:p w14:paraId="484AACC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92" w:type="dxa"/>
            <w:noWrap w:val="0"/>
            <w:vAlign w:val="center"/>
          </w:tcPr>
          <w:p w14:paraId="32B8F49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3" w:type="dxa"/>
            <w:noWrap w:val="0"/>
            <w:vAlign w:val="center"/>
          </w:tcPr>
          <w:p w14:paraId="7ECB222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0" w:type="dxa"/>
            <w:noWrap w:val="0"/>
            <w:vAlign w:val="center"/>
          </w:tcPr>
          <w:p w14:paraId="7B2E4A5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21" w:type="dxa"/>
            <w:noWrap w:val="0"/>
            <w:vAlign w:val="center"/>
          </w:tcPr>
          <w:p w14:paraId="3D0C14F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3</w:t>
            </w:r>
          </w:p>
        </w:tc>
        <w:tc>
          <w:tcPr>
            <w:tcW w:w="1415" w:type="dxa"/>
            <w:noWrap w:val="0"/>
            <w:vAlign w:val="center"/>
          </w:tcPr>
          <w:p w14:paraId="223B02F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60" w:type="dxa"/>
            <w:noWrap w:val="0"/>
            <w:vAlign w:val="center"/>
          </w:tcPr>
          <w:p w14:paraId="5DC6B65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44" w:type="dxa"/>
            <w:noWrap w:val="0"/>
            <w:vAlign w:val="center"/>
          </w:tcPr>
          <w:p w14:paraId="4FBAF16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7223249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7" w:type="dxa"/>
            <w:gridSpan w:val="2"/>
            <w:noWrap w:val="0"/>
            <w:vAlign w:val="center"/>
          </w:tcPr>
          <w:p w14:paraId="5BB4236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燕雀</w:t>
            </w:r>
          </w:p>
        </w:tc>
        <w:tc>
          <w:tcPr>
            <w:tcW w:w="912" w:type="dxa"/>
            <w:noWrap w:val="0"/>
            <w:vAlign w:val="center"/>
          </w:tcPr>
          <w:p w14:paraId="00A4D38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w:t>
            </w:r>
          </w:p>
        </w:tc>
        <w:tc>
          <w:tcPr>
            <w:tcW w:w="992" w:type="dxa"/>
            <w:noWrap w:val="0"/>
            <w:vAlign w:val="center"/>
          </w:tcPr>
          <w:p w14:paraId="0E49120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995" w:type="dxa"/>
            <w:noWrap w:val="0"/>
            <w:vAlign w:val="center"/>
          </w:tcPr>
          <w:p w14:paraId="48CC9E7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992" w:type="dxa"/>
            <w:noWrap w:val="0"/>
            <w:vAlign w:val="center"/>
          </w:tcPr>
          <w:p w14:paraId="4FD98E4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3" w:type="dxa"/>
            <w:noWrap w:val="0"/>
            <w:vAlign w:val="center"/>
          </w:tcPr>
          <w:p w14:paraId="376CE6D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0" w:type="dxa"/>
            <w:noWrap w:val="0"/>
            <w:vAlign w:val="center"/>
          </w:tcPr>
          <w:p w14:paraId="5B5376B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21" w:type="dxa"/>
            <w:noWrap w:val="0"/>
            <w:vAlign w:val="center"/>
          </w:tcPr>
          <w:p w14:paraId="6FC4CD2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11</w:t>
            </w:r>
          </w:p>
        </w:tc>
        <w:tc>
          <w:tcPr>
            <w:tcW w:w="1415" w:type="dxa"/>
            <w:noWrap w:val="0"/>
            <w:vAlign w:val="center"/>
          </w:tcPr>
          <w:p w14:paraId="5D7E44F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60" w:type="dxa"/>
            <w:noWrap w:val="0"/>
            <w:vAlign w:val="center"/>
          </w:tcPr>
          <w:p w14:paraId="15478F1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44" w:type="dxa"/>
            <w:noWrap w:val="0"/>
            <w:vAlign w:val="center"/>
          </w:tcPr>
          <w:p w14:paraId="5BC30E0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3F6C331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7" w:type="dxa"/>
            <w:gridSpan w:val="2"/>
            <w:noWrap w:val="0"/>
            <w:vAlign w:val="center"/>
          </w:tcPr>
          <w:p w14:paraId="129745B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黑脸噪鹛</w:t>
            </w:r>
          </w:p>
        </w:tc>
        <w:tc>
          <w:tcPr>
            <w:tcW w:w="912" w:type="dxa"/>
            <w:noWrap w:val="0"/>
            <w:vAlign w:val="center"/>
          </w:tcPr>
          <w:p w14:paraId="1785480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992" w:type="dxa"/>
            <w:noWrap w:val="0"/>
            <w:vAlign w:val="center"/>
          </w:tcPr>
          <w:p w14:paraId="0878EFD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995" w:type="dxa"/>
            <w:noWrap w:val="0"/>
            <w:vAlign w:val="center"/>
          </w:tcPr>
          <w:p w14:paraId="14FDF40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92" w:type="dxa"/>
            <w:noWrap w:val="0"/>
            <w:vAlign w:val="center"/>
          </w:tcPr>
          <w:p w14:paraId="4031D7A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3" w:type="dxa"/>
            <w:noWrap w:val="0"/>
            <w:vAlign w:val="center"/>
          </w:tcPr>
          <w:p w14:paraId="636E5E0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0" w:type="dxa"/>
            <w:noWrap w:val="0"/>
            <w:vAlign w:val="center"/>
          </w:tcPr>
          <w:p w14:paraId="645FE45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21" w:type="dxa"/>
            <w:noWrap w:val="0"/>
            <w:vAlign w:val="center"/>
          </w:tcPr>
          <w:p w14:paraId="4163904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3</w:t>
            </w:r>
          </w:p>
        </w:tc>
        <w:tc>
          <w:tcPr>
            <w:tcW w:w="1415" w:type="dxa"/>
            <w:noWrap w:val="0"/>
            <w:vAlign w:val="center"/>
          </w:tcPr>
          <w:p w14:paraId="411807B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60" w:type="dxa"/>
            <w:noWrap w:val="0"/>
            <w:vAlign w:val="center"/>
          </w:tcPr>
          <w:p w14:paraId="65A82D4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44" w:type="dxa"/>
            <w:noWrap w:val="0"/>
            <w:vAlign w:val="center"/>
          </w:tcPr>
          <w:p w14:paraId="318DC7B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079786E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7" w:type="dxa"/>
            <w:gridSpan w:val="2"/>
            <w:noWrap w:val="0"/>
            <w:vAlign w:val="center"/>
          </w:tcPr>
          <w:p w14:paraId="27F5441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珠颈斑鸠</w:t>
            </w:r>
          </w:p>
        </w:tc>
        <w:tc>
          <w:tcPr>
            <w:tcW w:w="912" w:type="dxa"/>
            <w:noWrap w:val="0"/>
            <w:vAlign w:val="center"/>
          </w:tcPr>
          <w:p w14:paraId="62FCC1F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992" w:type="dxa"/>
            <w:noWrap w:val="0"/>
            <w:vAlign w:val="center"/>
          </w:tcPr>
          <w:p w14:paraId="26F7752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995" w:type="dxa"/>
            <w:noWrap w:val="0"/>
            <w:vAlign w:val="center"/>
          </w:tcPr>
          <w:p w14:paraId="0B78CED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992" w:type="dxa"/>
            <w:noWrap w:val="0"/>
            <w:vAlign w:val="center"/>
          </w:tcPr>
          <w:p w14:paraId="6F6EAC8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3" w:type="dxa"/>
            <w:noWrap w:val="0"/>
            <w:vAlign w:val="center"/>
          </w:tcPr>
          <w:p w14:paraId="08523B9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0" w:type="dxa"/>
            <w:noWrap w:val="0"/>
            <w:vAlign w:val="center"/>
          </w:tcPr>
          <w:p w14:paraId="16EB213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21" w:type="dxa"/>
            <w:noWrap w:val="0"/>
            <w:vAlign w:val="center"/>
          </w:tcPr>
          <w:p w14:paraId="51A1342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7</w:t>
            </w:r>
          </w:p>
        </w:tc>
        <w:tc>
          <w:tcPr>
            <w:tcW w:w="1415" w:type="dxa"/>
            <w:noWrap w:val="0"/>
            <w:vAlign w:val="center"/>
          </w:tcPr>
          <w:p w14:paraId="2BED605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60" w:type="dxa"/>
            <w:noWrap w:val="0"/>
            <w:vAlign w:val="center"/>
          </w:tcPr>
          <w:p w14:paraId="699A8EF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44" w:type="dxa"/>
            <w:noWrap w:val="0"/>
            <w:vAlign w:val="center"/>
          </w:tcPr>
          <w:p w14:paraId="45DC5E1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3B12E34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7" w:type="dxa"/>
            <w:gridSpan w:val="2"/>
            <w:noWrap w:val="0"/>
            <w:vAlign w:val="center"/>
          </w:tcPr>
          <w:p w14:paraId="7972F67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白头鹎</w:t>
            </w:r>
          </w:p>
        </w:tc>
        <w:tc>
          <w:tcPr>
            <w:tcW w:w="912" w:type="dxa"/>
            <w:noWrap w:val="0"/>
            <w:vAlign w:val="center"/>
          </w:tcPr>
          <w:p w14:paraId="0463146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w:t>
            </w:r>
          </w:p>
        </w:tc>
        <w:tc>
          <w:tcPr>
            <w:tcW w:w="992" w:type="dxa"/>
            <w:noWrap w:val="0"/>
            <w:vAlign w:val="center"/>
          </w:tcPr>
          <w:p w14:paraId="603ED3E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995" w:type="dxa"/>
            <w:noWrap w:val="0"/>
            <w:vAlign w:val="center"/>
          </w:tcPr>
          <w:p w14:paraId="4F947A5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92" w:type="dxa"/>
            <w:noWrap w:val="0"/>
            <w:vAlign w:val="center"/>
          </w:tcPr>
          <w:p w14:paraId="3AAA1E4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3" w:type="dxa"/>
            <w:noWrap w:val="0"/>
            <w:vAlign w:val="center"/>
          </w:tcPr>
          <w:p w14:paraId="7C54FF6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0" w:type="dxa"/>
            <w:noWrap w:val="0"/>
            <w:vAlign w:val="center"/>
          </w:tcPr>
          <w:p w14:paraId="3F3BDE6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21" w:type="dxa"/>
            <w:noWrap w:val="0"/>
            <w:vAlign w:val="center"/>
          </w:tcPr>
          <w:p w14:paraId="73284AC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6</w:t>
            </w:r>
          </w:p>
        </w:tc>
        <w:tc>
          <w:tcPr>
            <w:tcW w:w="1415" w:type="dxa"/>
            <w:noWrap w:val="0"/>
            <w:vAlign w:val="center"/>
          </w:tcPr>
          <w:p w14:paraId="5D37F97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60" w:type="dxa"/>
            <w:noWrap w:val="0"/>
            <w:vAlign w:val="center"/>
          </w:tcPr>
          <w:p w14:paraId="44337E6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44" w:type="dxa"/>
            <w:noWrap w:val="0"/>
            <w:vAlign w:val="center"/>
          </w:tcPr>
          <w:p w14:paraId="3B0752A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0BFBD84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7" w:type="dxa"/>
            <w:gridSpan w:val="2"/>
            <w:noWrap w:val="0"/>
            <w:vAlign w:val="center"/>
          </w:tcPr>
          <w:p w14:paraId="4102532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丝光椋鸟</w:t>
            </w:r>
          </w:p>
        </w:tc>
        <w:tc>
          <w:tcPr>
            <w:tcW w:w="912" w:type="dxa"/>
            <w:noWrap w:val="0"/>
            <w:vAlign w:val="center"/>
          </w:tcPr>
          <w:p w14:paraId="0B266DA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992" w:type="dxa"/>
            <w:noWrap w:val="0"/>
            <w:vAlign w:val="center"/>
          </w:tcPr>
          <w:p w14:paraId="125A598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995" w:type="dxa"/>
            <w:noWrap w:val="0"/>
            <w:vAlign w:val="center"/>
          </w:tcPr>
          <w:p w14:paraId="4EDD126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92" w:type="dxa"/>
            <w:noWrap w:val="0"/>
            <w:vAlign w:val="center"/>
          </w:tcPr>
          <w:p w14:paraId="0A898A2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3" w:type="dxa"/>
            <w:noWrap w:val="0"/>
            <w:vAlign w:val="center"/>
          </w:tcPr>
          <w:p w14:paraId="6A8D1F0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0" w:type="dxa"/>
            <w:noWrap w:val="0"/>
            <w:vAlign w:val="center"/>
          </w:tcPr>
          <w:p w14:paraId="6C02B67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21" w:type="dxa"/>
            <w:noWrap w:val="0"/>
            <w:vAlign w:val="center"/>
          </w:tcPr>
          <w:p w14:paraId="0ADB988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5</w:t>
            </w:r>
          </w:p>
        </w:tc>
        <w:tc>
          <w:tcPr>
            <w:tcW w:w="1415" w:type="dxa"/>
            <w:noWrap w:val="0"/>
            <w:vAlign w:val="center"/>
          </w:tcPr>
          <w:p w14:paraId="119E702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60" w:type="dxa"/>
            <w:noWrap w:val="0"/>
            <w:vAlign w:val="center"/>
          </w:tcPr>
          <w:p w14:paraId="208121F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44" w:type="dxa"/>
            <w:noWrap w:val="0"/>
            <w:vAlign w:val="center"/>
          </w:tcPr>
          <w:p w14:paraId="0697D8A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277792F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7" w:type="dxa"/>
            <w:gridSpan w:val="2"/>
            <w:noWrap w:val="0"/>
            <w:vAlign w:val="center"/>
          </w:tcPr>
          <w:p w14:paraId="2A16F6C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黑卷尾</w:t>
            </w:r>
          </w:p>
        </w:tc>
        <w:tc>
          <w:tcPr>
            <w:tcW w:w="912" w:type="dxa"/>
            <w:noWrap w:val="0"/>
            <w:vAlign w:val="center"/>
          </w:tcPr>
          <w:p w14:paraId="6B24391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992" w:type="dxa"/>
            <w:noWrap w:val="0"/>
            <w:vAlign w:val="center"/>
          </w:tcPr>
          <w:p w14:paraId="0EB7DBE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995" w:type="dxa"/>
            <w:noWrap w:val="0"/>
            <w:vAlign w:val="center"/>
          </w:tcPr>
          <w:p w14:paraId="6466A70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92" w:type="dxa"/>
            <w:noWrap w:val="0"/>
            <w:vAlign w:val="center"/>
          </w:tcPr>
          <w:p w14:paraId="49EC6E8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3" w:type="dxa"/>
            <w:noWrap w:val="0"/>
            <w:vAlign w:val="center"/>
          </w:tcPr>
          <w:p w14:paraId="34D10BB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0" w:type="dxa"/>
            <w:noWrap w:val="0"/>
            <w:vAlign w:val="center"/>
          </w:tcPr>
          <w:p w14:paraId="2BE79DB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21" w:type="dxa"/>
            <w:noWrap w:val="0"/>
            <w:vAlign w:val="center"/>
          </w:tcPr>
          <w:p w14:paraId="0F7F650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4</w:t>
            </w:r>
          </w:p>
        </w:tc>
        <w:tc>
          <w:tcPr>
            <w:tcW w:w="1415" w:type="dxa"/>
            <w:noWrap w:val="0"/>
            <w:vAlign w:val="center"/>
          </w:tcPr>
          <w:p w14:paraId="111D8E1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60" w:type="dxa"/>
            <w:noWrap w:val="0"/>
            <w:vAlign w:val="center"/>
          </w:tcPr>
          <w:p w14:paraId="63E4CBA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44" w:type="dxa"/>
            <w:noWrap w:val="0"/>
            <w:vAlign w:val="center"/>
          </w:tcPr>
          <w:p w14:paraId="1050FC5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719A671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7" w:type="dxa"/>
            <w:gridSpan w:val="2"/>
            <w:noWrap w:val="0"/>
            <w:vAlign w:val="center"/>
          </w:tcPr>
          <w:p w14:paraId="428B837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家燕</w:t>
            </w:r>
          </w:p>
        </w:tc>
        <w:tc>
          <w:tcPr>
            <w:tcW w:w="912" w:type="dxa"/>
            <w:noWrap w:val="0"/>
            <w:vAlign w:val="center"/>
          </w:tcPr>
          <w:p w14:paraId="45B21BB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w:t>
            </w:r>
          </w:p>
        </w:tc>
        <w:tc>
          <w:tcPr>
            <w:tcW w:w="992" w:type="dxa"/>
            <w:noWrap w:val="0"/>
            <w:vAlign w:val="center"/>
          </w:tcPr>
          <w:p w14:paraId="44B29ED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995" w:type="dxa"/>
            <w:noWrap w:val="0"/>
            <w:vAlign w:val="center"/>
          </w:tcPr>
          <w:p w14:paraId="36D7F2B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92" w:type="dxa"/>
            <w:noWrap w:val="0"/>
            <w:vAlign w:val="center"/>
          </w:tcPr>
          <w:p w14:paraId="2103976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3" w:type="dxa"/>
            <w:noWrap w:val="0"/>
            <w:vAlign w:val="center"/>
          </w:tcPr>
          <w:p w14:paraId="75CA790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0" w:type="dxa"/>
            <w:noWrap w:val="0"/>
            <w:vAlign w:val="center"/>
          </w:tcPr>
          <w:p w14:paraId="35CB171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21" w:type="dxa"/>
            <w:noWrap w:val="0"/>
            <w:vAlign w:val="center"/>
          </w:tcPr>
          <w:p w14:paraId="5CAD6B5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7</w:t>
            </w:r>
          </w:p>
        </w:tc>
        <w:tc>
          <w:tcPr>
            <w:tcW w:w="1415" w:type="dxa"/>
            <w:noWrap w:val="0"/>
            <w:vAlign w:val="center"/>
          </w:tcPr>
          <w:p w14:paraId="00A0E70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60" w:type="dxa"/>
            <w:noWrap w:val="0"/>
            <w:vAlign w:val="center"/>
          </w:tcPr>
          <w:p w14:paraId="7E1C5DE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44" w:type="dxa"/>
            <w:noWrap w:val="0"/>
            <w:vAlign w:val="center"/>
          </w:tcPr>
          <w:p w14:paraId="18EBE65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7475A54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7" w:type="dxa"/>
            <w:gridSpan w:val="2"/>
            <w:noWrap w:val="0"/>
            <w:vAlign w:val="center"/>
          </w:tcPr>
          <w:p w14:paraId="2D2E019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鹊鸲</w:t>
            </w:r>
          </w:p>
        </w:tc>
        <w:tc>
          <w:tcPr>
            <w:tcW w:w="912" w:type="dxa"/>
            <w:noWrap w:val="0"/>
            <w:vAlign w:val="center"/>
          </w:tcPr>
          <w:p w14:paraId="0A5E067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992" w:type="dxa"/>
            <w:noWrap w:val="0"/>
            <w:vAlign w:val="center"/>
          </w:tcPr>
          <w:p w14:paraId="44B79E5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995" w:type="dxa"/>
            <w:noWrap w:val="0"/>
            <w:vAlign w:val="center"/>
          </w:tcPr>
          <w:p w14:paraId="401B609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992" w:type="dxa"/>
            <w:noWrap w:val="0"/>
            <w:vAlign w:val="center"/>
          </w:tcPr>
          <w:p w14:paraId="5D41319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03" w:type="dxa"/>
            <w:noWrap w:val="0"/>
            <w:vAlign w:val="center"/>
          </w:tcPr>
          <w:p w14:paraId="5E1A7C5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0" w:type="dxa"/>
            <w:noWrap w:val="0"/>
            <w:vAlign w:val="center"/>
          </w:tcPr>
          <w:p w14:paraId="07C9FDE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21" w:type="dxa"/>
            <w:noWrap w:val="0"/>
            <w:vAlign w:val="center"/>
          </w:tcPr>
          <w:p w14:paraId="77B5033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3</w:t>
            </w:r>
          </w:p>
        </w:tc>
        <w:tc>
          <w:tcPr>
            <w:tcW w:w="1415" w:type="dxa"/>
            <w:noWrap w:val="0"/>
            <w:vAlign w:val="center"/>
          </w:tcPr>
          <w:p w14:paraId="7A390CB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60" w:type="dxa"/>
            <w:noWrap w:val="0"/>
            <w:vAlign w:val="center"/>
          </w:tcPr>
          <w:p w14:paraId="78C8443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44" w:type="dxa"/>
            <w:noWrap w:val="0"/>
            <w:vAlign w:val="center"/>
          </w:tcPr>
          <w:p w14:paraId="1A3DBF9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660A6F8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737" w:type="dxa"/>
            <w:gridSpan w:val="2"/>
            <w:noWrap w:val="0"/>
            <w:vAlign w:val="center"/>
          </w:tcPr>
          <w:p w14:paraId="5D7D53B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麻雀</w:t>
            </w:r>
          </w:p>
        </w:tc>
        <w:tc>
          <w:tcPr>
            <w:tcW w:w="912" w:type="dxa"/>
            <w:noWrap w:val="0"/>
            <w:vAlign w:val="center"/>
          </w:tcPr>
          <w:p w14:paraId="255A87D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w:t>
            </w:r>
          </w:p>
        </w:tc>
        <w:tc>
          <w:tcPr>
            <w:tcW w:w="992" w:type="dxa"/>
            <w:noWrap w:val="0"/>
            <w:vAlign w:val="center"/>
          </w:tcPr>
          <w:p w14:paraId="36AF4D7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8</w:t>
            </w:r>
          </w:p>
        </w:tc>
        <w:tc>
          <w:tcPr>
            <w:tcW w:w="995" w:type="dxa"/>
            <w:noWrap w:val="0"/>
            <w:vAlign w:val="center"/>
          </w:tcPr>
          <w:p w14:paraId="21F097C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992" w:type="dxa"/>
            <w:noWrap w:val="0"/>
            <w:vAlign w:val="center"/>
          </w:tcPr>
          <w:p w14:paraId="445FCAF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1003" w:type="dxa"/>
            <w:noWrap w:val="0"/>
            <w:vAlign w:val="center"/>
          </w:tcPr>
          <w:p w14:paraId="7675110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0" w:type="dxa"/>
            <w:noWrap w:val="0"/>
            <w:vAlign w:val="center"/>
          </w:tcPr>
          <w:p w14:paraId="3CDAC92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21" w:type="dxa"/>
            <w:noWrap w:val="0"/>
            <w:vAlign w:val="center"/>
          </w:tcPr>
          <w:p w14:paraId="30EDCDF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18</w:t>
            </w:r>
          </w:p>
        </w:tc>
        <w:tc>
          <w:tcPr>
            <w:tcW w:w="1415" w:type="dxa"/>
            <w:noWrap w:val="0"/>
            <w:vAlign w:val="center"/>
          </w:tcPr>
          <w:p w14:paraId="6671E10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60" w:type="dxa"/>
            <w:noWrap w:val="0"/>
            <w:vAlign w:val="center"/>
          </w:tcPr>
          <w:p w14:paraId="4A7DAA5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044" w:type="dxa"/>
            <w:noWrap w:val="0"/>
            <w:vAlign w:val="center"/>
          </w:tcPr>
          <w:p w14:paraId="7BB0147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bl>
    <w:p w14:paraId="6C3D291F">
      <w:pPr>
        <w:spacing w:line="400" w:lineRule="exact"/>
        <w:jc w:val="center"/>
        <w:rPr>
          <w:rFonts w:eastAsia="黑体"/>
          <w:color w:val="auto"/>
          <w:sz w:val="24"/>
        </w:rPr>
      </w:pPr>
    </w:p>
    <w:p w14:paraId="396DFD93">
      <w:pPr>
        <w:spacing w:line="400" w:lineRule="exact"/>
        <w:jc w:val="center"/>
        <w:rPr>
          <w:rFonts w:eastAsia="黑体"/>
          <w:color w:val="auto"/>
          <w:sz w:val="24"/>
        </w:rPr>
      </w:pPr>
    </w:p>
    <w:p w14:paraId="673569E5">
      <w:pPr>
        <w:spacing w:line="400" w:lineRule="exact"/>
        <w:jc w:val="center"/>
        <w:rPr>
          <w:rFonts w:eastAsia="黑体"/>
          <w:color w:val="auto"/>
          <w:sz w:val="24"/>
        </w:rPr>
      </w:pPr>
    </w:p>
    <w:p w14:paraId="7B59E9F4">
      <w:pPr>
        <w:spacing w:line="400" w:lineRule="exact"/>
        <w:jc w:val="center"/>
        <w:rPr>
          <w:rFonts w:eastAsia="黑体"/>
          <w:color w:val="auto"/>
          <w:sz w:val="24"/>
        </w:rPr>
      </w:pPr>
    </w:p>
    <w:p w14:paraId="1C525084">
      <w:pPr>
        <w:spacing w:line="400" w:lineRule="exact"/>
        <w:jc w:val="center"/>
        <w:rPr>
          <w:rFonts w:eastAsia="黑体"/>
          <w:color w:val="auto"/>
          <w:sz w:val="24"/>
        </w:rPr>
      </w:pPr>
      <w:r>
        <w:rPr>
          <w:rFonts w:eastAsia="黑体"/>
          <w:color w:val="auto"/>
          <w:sz w:val="24"/>
        </w:rPr>
        <w:t>表</w:t>
      </w:r>
      <w:r>
        <w:rPr>
          <w:rFonts w:hint="eastAsia" w:eastAsia="黑体"/>
          <w:color w:val="auto"/>
          <w:sz w:val="24"/>
        </w:rPr>
        <w:t>4.2-2</w:t>
      </w:r>
      <w:r>
        <w:rPr>
          <w:rFonts w:hint="eastAsia" w:eastAsia="黑体"/>
          <w:color w:val="auto"/>
          <w:sz w:val="24"/>
          <w:lang w:val="en-US" w:eastAsia="zh-CN"/>
        </w:rPr>
        <w:t>1</w:t>
      </w:r>
      <w:r>
        <w:rPr>
          <w:rFonts w:hint="eastAsia" w:eastAsia="黑体"/>
          <w:color w:val="auto"/>
          <w:sz w:val="24"/>
        </w:rPr>
        <w:t xml:space="preserve">  </w:t>
      </w:r>
      <w:r>
        <w:rPr>
          <w:rFonts w:eastAsia="黑体"/>
          <w:color w:val="auto"/>
          <w:sz w:val="24"/>
        </w:rPr>
        <w:t>野生动物样线调查表</w:t>
      </w:r>
      <w:r>
        <w:rPr>
          <w:rFonts w:hint="eastAsia" w:eastAsia="黑体"/>
          <w:color w:val="auto"/>
          <w:sz w:val="24"/>
        </w:rPr>
        <w:t>4</w:t>
      </w:r>
    </w:p>
    <w:tbl>
      <w:tblPr>
        <w:tblStyle w:val="53"/>
        <w:tblW w:w="0" w:type="auto"/>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39"/>
        <w:gridCol w:w="1170"/>
        <w:gridCol w:w="1119"/>
        <w:gridCol w:w="1133"/>
        <w:gridCol w:w="1131"/>
        <w:gridCol w:w="1128"/>
        <w:gridCol w:w="1137"/>
        <w:gridCol w:w="1145"/>
        <w:gridCol w:w="1273"/>
        <w:gridCol w:w="1137"/>
        <w:gridCol w:w="1512"/>
        <w:gridCol w:w="687"/>
      </w:tblGrid>
      <w:tr w14:paraId="0118FF6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PrEx>
        <w:trPr>
          <w:trHeight w:val="397" w:hRule="atLeast"/>
          <w:jc w:val="center"/>
        </w:trPr>
        <w:tc>
          <w:tcPr>
            <w:tcW w:w="1639" w:type="dxa"/>
            <w:noWrap w:val="0"/>
            <w:vAlign w:val="center"/>
          </w:tcPr>
          <w:p w14:paraId="39674C7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eastAsia" w:ascii="Times New Roman" w:hAnsi="Times New Roman" w:cs="Times New Roman"/>
                <w:b/>
                <w:bCs/>
                <w:color w:val="auto"/>
              </w:rPr>
              <w:t>日期</w:t>
            </w:r>
          </w:p>
        </w:tc>
        <w:tc>
          <w:tcPr>
            <w:tcW w:w="1170" w:type="dxa"/>
            <w:noWrap w:val="0"/>
            <w:vAlign w:val="center"/>
          </w:tcPr>
          <w:p w14:paraId="2D3C834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2023.10.20</w:t>
            </w:r>
          </w:p>
        </w:tc>
        <w:tc>
          <w:tcPr>
            <w:tcW w:w="2252" w:type="dxa"/>
            <w:gridSpan w:val="2"/>
            <w:noWrap w:val="0"/>
            <w:vAlign w:val="center"/>
          </w:tcPr>
          <w:p w14:paraId="574DB65F">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天气</w:t>
            </w:r>
          </w:p>
        </w:tc>
        <w:tc>
          <w:tcPr>
            <w:tcW w:w="1131" w:type="dxa"/>
            <w:noWrap w:val="0"/>
            <w:vAlign w:val="center"/>
          </w:tcPr>
          <w:p w14:paraId="175E430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晴</w:t>
            </w:r>
          </w:p>
        </w:tc>
        <w:tc>
          <w:tcPr>
            <w:tcW w:w="2265" w:type="dxa"/>
            <w:gridSpan w:val="2"/>
            <w:noWrap w:val="0"/>
            <w:vAlign w:val="center"/>
          </w:tcPr>
          <w:p w14:paraId="715963FA">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温度</w:t>
            </w:r>
          </w:p>
        </w:tc>
        <w:tc>
          <w:tcPr>
            <w:tcW w:w="1145" w:type="dxa"/>
            <w:noWrap w:val="0"/>
            <w:vAlign w:val="center"/>
          </w:tcPr>
          <w:p w14:paraId="346D325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r>
              <w:rPr>
                <w:rFonts w:hint="eastAsia" w:ascii="Times New Roman" w:hAnsi="Times New Roman" w:cs="Times New Roman"/>
                <w:color w:val="auto"/>
              </w:rPr>
              <w:t>7</w:t>
            </w:r>
            <w:r>
              <w:rPr>
                <w:rFonts w:hint="default" w:ascii="Times New Roman" w:hAnsi="Times New Roman" w:cs="Times New Roman"/>
                <w:color w:val="auto"/>
              </w:rPr>
              <w:t>℃</w:t>
            </w:r>
          </w:p>
        </w:tc>
        <w:tc>
          <w:tcPr>
            <w:tcW w:w="1273" w:type="dxa"/>
            <w:noWrap w:val="0"/>
            <w:vAlign w:val="center"/>
          </w:tcPr>
          <w:p w14:paraId="28A1C78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记录人</w:t>
            </w:r>
          </w:p>
        </w:tc>
        <w:tc>
          <w:tcPr>
            <w:tcW w:w="3336" w:type="dxa"/>
            <w:gridSpan w:val="3"/>
            <w:noWrap w:val="0"/>
            <w:vAlign w:val="center"/>
          </w:tcPr>
          <w:p w14:paraId="5FA56D4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王莹</w:t>
            </w:r>
          </w:p>
        </w:tc>
      </w:tr>
      <w:tr w14:paraId="69E1DE0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9" w:type="dxa"/>
            <w:noWrap w:val="0"/>
            <w:vAlign w:val="center"/>
          </w:tcPr>
          <w:p w14:paraId="5E45F231">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eastAsia" w:ascii="Times New Roman" w:hAnsi="Times New Roman" w:cs="Times New Roman"/>
                <w:b/>
                <w:bCs/>
                <w:color w:val="auto"/>
              </w:rPr>
              <w:t>地点</w:t>
            </w:r>
          </w:p>
        </w:tc>
        <w:tc>
          <w:tcPr>
            <w:tcW w:w="3422" w:type="dxa"/>
            <w:gridSpan w:val="3"/>
            <w:noWrap w:val="0"/>
            <w:vAlign w:val="center"/>
          </w:tcPr>
          <w:p w14:paraId="687C239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评价</w:t>
            </w:r>
            <w:r>
              <w:rPr>
                <w:rFonts w:hint="default" w:ascii="Times New Roman" w:hAnsi="Times New Roman" w:cs="Times New Roman"/>
                <w:color w:val="auto"/>
              </w:rPr>
              <w:t>范围内</w:t>
            </w:r>
          </w:p>
        </w:tc>
        <w:tc>
          <w:tcPr>
            <w:tcW w:w="3396" w:type="dxa"/>
            <w:gridSpan w:val="3"/>
            <w:noWrap w:val="0"/>
            <w:vAlign w:val="center"/>
          </w:tcPr>
          <w:p w14:paraId="3E9DA137">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样线长度</w:t>
            </w:r>
          </w:p>
        </w:tc>
        <w:tc>
          <w:tcPr>
            <w:tcW w:w="1145" w:type="dxa"/>
            <w:noWrap w:val="0"/>
            <w:vAlign w:val="center"/>
          </w:tcPr>
          <w:p w14:paraId="77F1688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r>
              <w:rPr>
                <w:rFonts w:hint="eastAsia" w:ascii="Times New Roman" w:hAnsi="Times New Roman" w:cs="Times New Roman"/>
                <w:color w:val="auto"/>
              </w:rPr>
              <w:t>08</w:t>
            </w:r>
            <w:r>
              <w:rPr>
                <w:rFonts w:hint="default" w:ascii="Times New Roman" w:hAnsi="Times New Roman" w:cs="Times New Roman"/>
                <w:color w:val="auto"/>
              </w:rPr>
              <w:t>km</w:t>
            </w:r>
          </w:p>
        </w:tc>
        <w:tc>
          <w:tcPr>
            <w:tcW w:w="1273" w:type="dxa"/>
            <w:noWrap w:val="0"/>
            <w:vAlign w:val="center"/>
          </w:tcPr>
          <w:p w14:paraId="1F89B349">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调查开始</w:t>
            </w:r>
          </w:p>
        </w:tc>
        <w:tc>
          <w:tcPr>
            <w:tcW w:w="1137" w:type="dxa"/>
            <w:noWrap w:val="0"/>
            <w:vAlign w:val="center"/>
          </w:tcPr>
          <w:p w14:paraId="40CC86C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10：</w:t>
            </w:r>
            <w:r>
              <w:rPr>
                <w:rFonts w:hint="eastAsia" w:ascii="Times New Roman" w:hAnsi="Times New Roman" w:cs="Times New Roman"/>
                <w:color w:val="auto"/>
              </w:rPr>
              <w:t>30</w:t>
            </w:r>
          </w:p>
        </w:tc>
        <w:tc>
          <w:tcPr>
            <w:tcW w:w="1512" w:type="dxa"/>
            <w:noWrap w:val="0"/>
            <w:vAlign w:val="center"/>
          </w:tcPr>
          <w:p w14:paraId="4CCA9B43">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结束时间</w:t>
            </w:r>
          </w:p>
        </w:tc>
        <w:tc>
          <w:tcPr>
            <w:tcW w:w="687" w:type="dxa"/>
            <w:noWrap w:val="0"/>
            <w:vAlign w:val="center"/>
          </w:tcPr>
          <w:p w14:paraId="6ED7E61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11:36</w:t>
            </w:r>
          </w:p>
        </w:tc>
      </w:tr>
      <w:tr w14:paraId="17C55F5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9" w:type="dxa"/>
            <w:noWrap w:val="0"/>
            <w:vAlign w:val="center"/>
          </w:tcPr>
          <w:p w14:paraId="1E82E79B">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起点坐标</w:t>
            </w:r>
          </w:p>
        </w:tc>
        <w:tc>
          <w:tcPr>
            <w:tcW w:w="7963" w:type="dxa"/>
            <w:gridSpan w:val="7"/>
            <w:noWrap w:val="0"/>
            <w:vAlign w:val="center"/>
          </w:tcPr>
          <w:p w14:paraId="259D717A">
            <w:pPr>
              <w:keepNext w:val="0"/>
              <w:keepLines w:val="0"/>
              <w:suppressLineNumbers w:val="0"/>
              <w:tabs>
                <w:tab w:val="left" w:pos="2070"/>
              </w:tabs>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color w:val="auto"/>
              </w:rPr>
              <w:t xml:space="preserve">E </w:t>
            </w:r>
            <w:r>
              <w:rPr>
                <w:rFonts w:hint="eastAsia" w:ascii="Times New Roman" w:hAnsi="Times New Roman" w:cs="Times New Roman"/>
                <w:color w:val="auto"/>
              </w:rPr>
              <w:t>116.921847</w:t>
            </w:r>
            <w:r>
              <w:rPr>
                <w:rFonts w:hint="default" w:ascii="Times New Roman" w:hAnsi="Times New Roman" w:cs="Times New Roman"/>
                <w:color w:val="auto"/>
              </w:rPr>
              <w:t xml:space="preserve">°N </w:t>
            </w:r>
            <w:r>
              <w:rPr>
                <w:rFonts w:hint="eastAsia" w:ascii="Times New Roman" w:hAnsi="Times New Roman" w:cs="Times New Roman"/>
                <w:color w:val="auto"/>
              </w:rPr>
              <w:t>32.668169</w:t>
            </w:r>
            <w:r>
              <w:rPr>
                <w:rFonts w:hint="default" w:ascii="Times New Roman" w:hAnsi="Times New Roman" w:cs="Times New Roman"/>
                <w:color w:val="auto"/>
              </w:rPr>
              <w:t>°</w:t>
            </w:r>
          </w:p>
        </w:tc>
        <w:tc>
          <w:tcPr>
            <w:tcW w:w="1273" w:type="dxa"/>
            <w:noWrap w:val="0"/>
            <w:vAlign w:val="center"/>
          </w:tcPr>
          <w:p w14:paraId="37CAEAC8">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终点坐标</w:t>
            </w:r>
          </w:p>
        </w:tc>
        <w:tc>
          <w:tcPr>
            <w:tcW w:w="3336" w:type="dxa"/>
            <w:gridSpan w:val="3"/>
            <w:noWrap w:val="0"/>
            <w:vAlign w:val="center"/>
          </w:tcPr>
          <w:p w14:paraId="43CC341B">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color w:val="auto"/>
              </w:rPr>
              <w:t xml:space="preserve">E </w:t>
            </w:r>
            <w:r>
              <w:rPr>
                <w:rFonts w:hint="eastAsia" w:ascii="Times New Roman" w:hAnsi="Times New Roman" w:cs="Times New Roman"/>
                <w:color w:val="auto"/>
              </w:rPr>
              <w:t>116.912491</w:t>
            </w:r>
            <w:r>
              <w:rPr>
                <w:rFonts w:hint="default" w:ascii="Times New Roman" w:hAnsi="Times New Roman" w:cs="Times New Roman"/>
                <w:color w:val="auto"/>
              </w:rPr>
              <w:t xml:space="preserve">°N </w:t>
            </w:r>
            <w:r>
              <w:rPr>
                <w:rFonts w:hint="eastAsia" w:ascii="Times New Roman" w:hAnsi="Times New Roman" w:cs="Times New Roman"/>
                <w:color w:val="auto"/>
              </w:rPr>
              <w:t>32.662396</w:t>
            </w:r>
            <w:r>
              <w:rPr>
                <w:rFonts w:hint="default" w:ascii="Times New Roman" w:hAnsi="Times New Roman" w:cs="Times New Roman"/>
                <w:color w:val="auto"/>
              </w:rPr>
              <w:t>°</w:t>
            </w:r>
          </w:p>
        </w:tc>
      </w:tr>
      <w:tr w14:paraId="163DEE1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9" w:type="dxa"/>
            <w:noWrap w:val="0"/>
            <w:vAlign w:val="center"/>
          </w:tcPr>
          <w:p w14:paraId="30DC80DA">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海拔</w:t>
            </w:r>
          </w:p>
        </w:tc>
        <w:tc>
          <w:tcPr>
            <w:tcW w:w="1170" w:type="dxa"/>
            <w:noWrap w:val="0"/>
            <w:vAlign w:val="center"/>
          </w:tcPr>
          <w:p w14:paraId="6A21A90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21.09</w:t>
            </w:r>
            <w:r>
              <w:rPr>
                <w:rFonts w:hint="default" w:ascii="Times New Roman" w:hAnsi="Times New Roman" w:cs="Times New Roman"/>
                <w:color w:val="auto"/>
              </w:rPr>
              <w:t>m</w:t>
            </w:r>
          </w:p>
        </w:tc>
        <w:tc>
          <w:tcPr>
            <w:tcW w:w="2252" w:type="dxa"/>
            <w:gridSpan w:val="2"/>
            <w:noWrap w:val="0"/>
            <w:vAlign w:val="center"/>
          </w:tcPr>
          <w:p w14:paraId="6869FCA6">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生境类型</w:t>
            </w:r>
          </w:p>
        </w:tc>
        <w:tc>
          <w:tcPr>
            <w:tcW w:w="4541" w:type="dxa"/>
            <w:gridSpan w:val="4"/>
            <w:noWrap w:val="0"/>
            <w:vAlign w:val="center"/>
          </w:tcPr>
          <w:p w14:paraId="33BAC11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灌丛，</w:t>
            </w:r>
            <w:r>
              <w:rPr>
                <w:rFonts w:hint="eastAsia" w:ascii="Times New Roman" w:hAnsi="Times New Roman" w:cs="Times New Roman"/>
                <w:color w:val="auto"/>
              </w:rPr>
              <w:t>乔木，</w:t>
            </w:r>
            <w:r>
              <w:rPr>
                <w:rFonts w:hint="default" w:ascii="Times New Roman" w:hAnsi="Times New Roman" w:cs="Times New Roman"/>
                <w:color w:val="auto"/>
              </w:rPr>
              <w:t>草地</w:t>
            </w:r>
          </w:p>
        </w:tc>
        <w:tc>
          <w:tcPr>
            <w:tcW w:w="2410" w:type="dxa"/>
            <w:gridSpan w:val="2"/>
            <w:noWrap w:val="0"/>
            <w:vAlign w:val="center"/>
          </w:tcPr>
          <w:p w14:paraId="4503FFDB">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人为干扰因素</w:t>
            </w:r>
          </w:p>
        </w:tc>
        <w:tc>
          <w:tcPr>
            <w:tcW w:w="2199" w:type="dxa"/>
            <w:gridSpan w:val="2"/>
            <w:noWrap w:val="0"/>
            <w:vAlign w:val="center"/>
          </w:tcPr>
          <w:p w14:paraId="3CC10CFF">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color w:val="auto"/>
              </w:rPr>
              <w:t>人类活动</w:t>
            </w:r>
          </w:p>
        </w:tc>
      </w:tr>
      <w:tr w14:paraId="3ADDB28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9" w:type="dxa"/>
            <w:gridSpan w:val="2"/>
            <w:noWrap w:val="0"/>
            <w:vAlign w:val="center"/>
          </w:tcPr>
          <w:p w14:paraId="5027EB8D">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物种</w:t>
            </w:r>
          </w:p>
        </w:tc>
        <w:tc>
          <w:tcPr>
            <w:tcW w:w="6793" w:type="dxa"/>
            <w:gridSpan w:val="6"/>
            <w:noWrap w:val="0"/>
            <w:vAlign w:val="center"/>
          </w:tcPr>
          <w:p w14:paraId="5DB96BA9">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单次记录个体数量</w:t>
            </w:r>
          </w:p>
        </w:tc>
        <w:tc>
          <w:tcPr>
            <w:tcW w:w="1273" w:type="dxa"/>
            <w:noWrap w:val="0"/>
            <w:vAlign w:val="center"/>
          </w:tcPr>
          <w:p w14:paraId="3EC1CB10">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总数</w:t>
            </w:r>
          </w:p>
        </w:tc>
        <w:tc>
          <w:tcPr>
            <w:tcW w:w="1137" w:type="dxa"/>
            <w:noWrap w:val="0"/>
            <w:vAlign w:val="center"/>
          </w:tcPr>
          <w:p w14:paraId="0BED5773">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截距/m</w:t>
            </w:r>
          </w:p>
        </w:tc>
        <w:tc>
          <w:tcPr>
            <w:tcW w:w="1512" w:type="dxa"/>
            <w:noWrap w:val="0"/>
            <w:vAlign w:val="center"/>
          </w:tcPr>
          <w:p w14:paraId="5B88D7C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雌/雄/亚成体</w:t>
            </w:r>
          </w:p>
        </w:tc>
        <w:tc>
          <w:tcPr>
            <w:tcW w:w="687" w:type="dxa"/>
            <w:noWrap w:val="0"/>
            <w:vAlign w:val="center"/>
          </w:tcPr>
          <w:p w14:paraId="6E66A8D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备注</w:t>
            </w:r>
          </w:p>
        </w:tc>
      </w:tr>
      <w:tr w14:paraId="7BAA213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9" w:type="dxa"/>
            <w:gridSpan w:val="2"/>
            <w:noWrap w:val="0"/>
            <w:vAlign w:val="center"/>
          </w:tcPr>
          <w:p w14:paraId="14F8E15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山斑鸠</w:t>
            </w:r>
          </w:p>
        </w:tc>
        <w:tc>
          <w:tcPr>
            <w:tcW w:w="1119" w:type="dxa"/>
            <w:noWrap w:val="0"/>
            <w:vAlign w:val="center"/>
          </w:tcPr>
          <w:p w14:paraId="497864F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1133" w:type="dxa"/>
            <w:noWrap w:val="0"/>
            <w:vAlign w:val="center"/>
          </w:tcPr>
          <w:p w14:paraId="1344095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6</w:t>
            </w:r>
          </w:p>
        </w:tc>
        <w:tc>
          <w:tcPr>
            <w:tcW w:w="1131" w:type="dxa"/>
            <w:noWrap w:val="0"/>
            <w:vAlign w:val="center"/>
          </w:tcPr>
          <w:p w14:paraId="2987322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3</w:t>
            </w:r>
          </w:p>
        </w:tc>
        <w:tc>
          <w:tcPr>
            <w:tcW w:w="1128" w:type="dxa"/>
            <w:noWrap w:val="0"/>
            <w:vAlign w:val="center"/>
          </w:tcPr>
          <w:p w14:paraId="52B6623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37" w:type="dxa"/>
            <w:noWrap w:val="0"/>
            <w:vAlign w:val="center"/>
          </w:tcPr>
          <w:p w14:paraId="33DD2B0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5" w:type="dxa"/>
            <w:noWrap w:val="0"/>
            <w:vAlign w:val="center"/>
          </w:tcPr>
          <w:p w14:paraId="06C37B4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2A8D723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10</w:t>
            </w:r>
          </w:p>
        </w:tc>
        <w:tc>
          <w:tcPr>
            <w:tcW w:w="1137" w:type="dxa"/>
            <w:noWrap w:val="0"/>
            <w:vAlign w:val="center"/>
          </w:tcPr>
          <w:p w14:paraId="7697DF3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12" w:type="dxa"/>
            <w:noWrap w:val="0"/>
            <w:vAlign w:val="center"/>
          </w:tcPr>
          <w:p w14:paraId="2BBFA9E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687" w:type="dxa"/>
            <w:noWrap w:val="0"/>
            <w:vAlign w:val="center"/>
          </w:tcPr>
          <w:p w14:paraId="316116A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2F27079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9" w:type="dxa"/>
            <w:gridSpan w:val="2"/>
            <w:noWrap w:val="0"/>
            <w:vAlign w:val="center"/>
          </w:tcPr>
          <w:p w14:paraId="239718D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喜鹊</w:t>
            </w:r>
          </w:p>
        </w:tc>
        <w:tc>
          <w:tcPr>
            <w:tcW w:w="1119" w:type="dxa"/>
            <w:noWrap w:val="0"/>
            <w:vAlign w:val="center"/>
          </w:tcPr>
          <w:p w14:paraId="00E0BFB4">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w:t>
            </w:r>
          </w:p>
        </w:tc>
        <w:tc>
          <w:tcPr>
            <w:tcW w:w="1133" w:type="dxa"/>
            <w:noWrap w:val="0"/>
            <w:vAlign w:val="center"/>
          </w:tcPr>
          <w:p w14:paraId="1A578B8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31" w:type="dxa"/>
            <w:noWrap w:val="0"/>
            <w:vAlign w:val="center"/>
          </w:tcPr>
          <w:p w14:paraId="265800A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28" w:type="dxa"/>
            <w:noWrap w:val="0"/>
            <w:vAlign w:val="center"/>
          </w:tcPr>
          <w:p w14:paraId="282D04F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1137" w:type="dxa"/>
            <w:noWrap w:val="0"/>
            <w:vAlign w:val="center"/>
          </w:tcPr>
          <w:p w14:paraId="5F8542B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5" w:type="dxa"/>
            <w:noWrap w:val="0"/>
            <w:vAlign w:val="center"/>
          </w:tcPr>
          <w:p w14:paraId="4A98DB4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73EFB7F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eastAsia" w:ascii="Times New Roman" w:hAnsi="Times New Roman" w:cs="Times New Roman"/>
                <w:color w:val="auto"/>
                <w:kern w:val="0"/>
                <w:lang w:bidi="ar"/>
              </w:rPr>
              <w:t>7</w:t>
            </w:r>
          </w:p>
        </w:tc>
        <w:tc>
          <w:tcPr>
            <w:tcW w:w="1137" w:type="dxa"/>
            <w:noWrap w:val="0"/>
            <w:vAlign w:val="center"/>
          </w:tcPr>
          <w:p w14:paraId="1C80F46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12" w:type="dxa"/>
            <w:noWrap w:val="0"/>
            <w:vAlign w:val="center"/>
          </w:tcPr>
          <w:p w14:paraId="0AFE795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687" w:type="dxa"/>
            <w:noWrap w:val="0"/>
            <w:vAlign w:val="center"/>
          </w:tcPr>
          <w:p w14:paraId="07C21F5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14590E0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9" w:type="dxa"/>
            <w:gridSpan w:val="2"/>
            <w:noWrap w:val="0"/>
            <w:vAlign w:val="center"/>
          </w:tcPr>
          <w:p w14:paraId="77CFA5F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金翅雀</w:t>
            </w:r>
          </w:p>
        </w:tc>
        <w:tc>
          <w:tcPr>
            <w:tcW w:w="1119" w:type="dxa"/>
            <w:noWrap w:val="0"/>
            <w:vAlign w:val="center"/>
          </w:tcPr>
          <w:p w14:paraId="78EB2C5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1133" w:type="dxa"/>
            <w:noWrap w:val="0"/>
            <w:vAlign w:val="center"/>
          </w:tcPr>
          <w:p w14:paraId="23CA73E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31" w:type="dxa"/>
            <w:noWrap w:val="0"/>
            <w:vAlign w:val="center"/>
          </w:tcPr>
          <w:p w14:paraId="42708C4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8" w:type="dxa"/>
            <w:noWrap w:val="0"/>
            <w:vAlign w:val="center"/>
          </w:tcPr>
          <w:p w14:paraId="719D16E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37" w:type="dxa"/>
            <w:noWrap w:val="0"/>
            <w:vAlign w:val="center"/>
          </w:tcPr>
          <w:p w14:paraId="6357916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5" w:type="dxa"/>
            <w:noWrap w:val="0"/>
            <w:vAlign w:val="center"/>
          </w:tcPr>
          <w:p w14:paraId="7948C28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4533A9D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eastAsia" w:ascii="Times New Roman" w:hAnsi="Times New Roman" w:cs="Times New Roman"/>
                <w:color w:val="auto"/>
                <w:kern w:val="0"/>
                <w:lang w:bidi="ar"/>
              </w:rPr>
              <w:t>1</w:t>
            </w:r>
          </w:p>
        </w:tc>
        <w:tc>
          <w:tcPr>
            <w:tcW w:w="1137" w:type="dxa"/>
            <w:noWrap w:val="0"/>
            <w:vAlign w:val="center"/>
          </w:tcPr>
          <w:p w14:paraId="56488BD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12" w:type="dxa"/>
            <w:noWrap w:val="0"/>
            <w:vAlign w:val="center"/>
          </w:tcPr>
          <w:p w14:paraId="3BA8ACE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687" w:type="dxa"/>
            <w:noWrap w:val="0"/>
            <w:vAlign w:val="center"/>
          </w:tcPr>
          <w:p w14:paraId="12139DB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326ED3D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9" w:type="dxa"/>
            <w:gridSpan w:val="2"/>
            <w:noWrap w:val="0"/>
            <w:vAlign w:val="center"/>
          </w:tcPr>
          <w:p w14:paraId="396F857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燕雀</w:t>
            </w:r>
          </w:p>
        </w:tc>
        <w:tc>
          <w:tcPr>
            <w:tcW w:w="1119" w:type="dxa"/>
            <w:noWrap w:val="0"/>
            <w:vAlign w:val="center"/>
          </w:tcPr>
          <w:p w14:paraId="6F433D59">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w:t>
            </w:r>
          </w:p>
        </w:tc>
        <w:tc>
          <w:tcPr>
            <w:tcW w:w="1133" w:type="dxa"/>
            <w:noWrap w:val="0"/>
            <w:vAlign w:val="center"/>
          </w:tcPr>
          <w:p w14:paraId="6D7C5D4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1131" w:type="dxa"/>
            <w:noWrap w:val="0"/>
            <w:vAlign w:val="center"/>
          </w:tcPr>
          <w:p w14:paraId="5AE07D9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1128" w:type="dxa"/>
            <w:noWrap w:val="0"/>
            <w:vAlign w:val="center"/>
          </w:tcPr>
          <w:p w14:paraId="157D9CE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37" w:type="dxa"/>
            <w:noWrap w:val="0"/>
            <w:vAlign w:val="center"/>
          </w:tcPr>
          <w:p w14:paraId="6827FEC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5" w:type="dxa"/>
            <w:noWrap w:val="0"/>
            <w:vAlign w:val="center"/>
          </w:tcPr>
          <w:p w14:paraId="1C3BDA3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4B905B0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eastAsia" w:ascii="Times New Roman" w:hAnsi="Times New Roman" w:cs="Times New Roman"/>
                <w:color w:val="auto"/>
                <w:kern w:val="0"/>
                <w:lang w:bidi="ar"/>
              </w:rPr>
              <w:t>8</w:t>
            </w:r>
          </w:p>
        </w:tc>
        <w:tc>
          <w:tcPr>
            <w:tcW w:w="1137" w:type="dxa"/>
            <w:noWrap w:val="0"/>
            <w:vAlign w:val="center"/>
          </w:tcPr>
          <w:p w14:paraId="0854F18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12" w:type="dxa"/>
            <w:noWrap w:val="0"/>
            <w:vAlign w:val="center"/>
          </w:tcPr>
          <w:p w14:paraId="0C91B23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687" w:type="dxa"/>
            <w:noWrap w:val="0"/>
            <w:vAlign w:val="center"/>
          </w:tcPr>
          <w:p w14:paraId="7D5B6BB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45D2B6D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PrEx>
        <w:trPr>
          <w:trHeight w:val="397" w:hRule="atLeast"/>
          <w:jc w:val="center"/>
        </w:trPr>
        <w:tc>
          <w:tcPr>
            <w:tcW w:w="2809" w:type="dxa"/>
            <w:gridSpan w:val="2"/>
            <w:noWrap w:val="0"/>
            <w:vAlign w:val="center"/>
          </w:tcPr>
          <w:p w14:paraId="091C38F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黑脸噪鹛</w:t>
            </w:r>
          </w:p>
        </w:tc>
        <w:tc>
          <w:tcPr>
            <w:tcW w:w="1119" w:type="dxa"/>
            <w:noWrap w:val="0"/>
            <w:vAlign w:val="center"/>
          </w:tcPr>
          <w:p w14:paraId="6CF3114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33" w:type="dxa"/>
            <w:noWrap w:val="0"/>
            <w:vAlign w:val="center"/>
          </w:tcPr>
          <w:p w14:paraId="44BC52E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1131" w:type="dxa"/>
            <w:noWrap w:val="0"/>
            <w:vAlign w:val="center"/>
          </w:tcPr>
          <w:p w14:paraId="2EEEB29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8" w:type="dxa"/>
            <w:noWrap w:val="0"/>
            <w:vAlign w:val="center"/>
          </w:tcPr>
          <w:p w14:paraId="1DE7BCD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37" w:type="dxa"/>
            <w:noWrap w:val="0"/>
            <w:vAlign w:val="center"/>
          </w:tcPr>
          <w:p w14:paraId="28CA9D3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5" w:type="dxa"/>
            <w:noWrap w:val="0"/>
            <w:vAlign w:val="center"/>
          </w:tcPr>
          <w:p w14:paraId="632A028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17557FB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3</w:t>
            </w:r>
          </w:p>
        </w:tc>
        <w:tc>
          <w:tcPr>
            <w:tcW w:w="1137" w:type="dxa"/>
            <w:noWrap w:val="0"/>
            <w:vAlign w:val="center"/>
          </w:tcPr>
          <w:p w14:paraId="66B955B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12" w:type="dxa"/>
            <w:noWrap w:val="0"/>
            <w:vAlign w:val="center"/>
          </w:tcPr>
          <w:p w14:paraId="77D75DC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687" w:type="dxa"/>
            <w:noWrap w:val="0"/>
            <w:vAlign w:val="center"/>
          </w:tcPr>
          <w:p w14:paraId="5FB5D7E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7A9A95E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9" w:type="dxa"/>
            <w:gridSpan w:val="2"/>
            <w:noWrap w:val="0"/>
            <w:vAlign w:val="center"/>
          </w:tcPr>
          <w:p w14:paraId="01A943D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珠颈斑鸠</w:t>
            </w:r>
          </w:p>
        </w:tc>
        <w:tc>
          <w:tcPr>
            <w:tcW w:w="1119" w:type="dxa"/>
            <w:noWrap w:val="0"/>
            <w:vAlign w:val="center"/>
          </w:tcPr>
          <w:p w14:paraId="4663C51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33" w:type="dxa"/>
            <w:noWrap w:val="0"/>
            <w:vAlign w:val="center"/>
          </w:tcPr>
          <w:p w14:paraId="07E9E8B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31" w:type="dxa"/>
            <w:noWrap w:val="0"/>
            <w:vAlign w:val="center"/>
          </w:tcPr>
          <w:p w14:paraId="2E3F29B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1128" w:type="dxa"/>
            <w:noWrap w:val="0"/>
            <w:vAlign w:val="center"/>
          </w:tcPr>
          <w:p w14:paraId="78D8799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37" w:type="dxa"/>
            <w:noWrap w:val="0"/>
            <w:vAlign w:val="center"/>
          </w:tcPr>
          <w:p w14:paraId="7706F52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5" w:type="dxa"/>
            <w:noWrap w:val="0"/>
            <w:vAlign w:val="center"/>
          </w:tcPr>
          <w:p w14:paraId="34AEFB7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47EF164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7</w:t>
            </w:r>
          </w:p>
        </w:tc>
        <w:tc>
          <w:tcPr>
            <w:tcW w:w="1137" w:type="dxa"/>
            <w:noWrap w:val="0"/>
            <w:vAlign w:val="center"/>
          </w:tcPr>
          <w:p w14:paraId="63BFBA5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12" w:type="dxa"/>
            <w:noWrap w:val="0"/>
            <w:vAlign w:val="center"/>
          </w:tcPr>
          <w:p w14:paraId="5D7A61C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687" w:type="dxa"/>
            <w:noWrap w:val="0"/>
            <w:vAlign w:val="center"/>
          </w:tcPr>
          <w:p w14:paraId="3C8844B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7B81846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PrEx>
        <w:trPr>
          <w:trHeight w:val="397" w:hRule="atLeast"/>
          <w:jc w:val="center"/>
        </w:trPr>
        <w:tc>
          <w:tcPr>
            <w:tcW w:w="2809" w:type="dxa"/>
            <w:gridSpan w:val="2"/>
            <w:noWrap w:val="0"/>
            <w:vAlign w:val="center"/>
          </w:tcPr>
          <w:p w14:paraId="2424E3E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白头鹎</w:t>
            </w:r>
          </w:p>
        </w:tc>
        <w:tc>
          <w:tcPr>
            <w:tcW w:w="1119" w:type="dxa"/>
            <w:noWrap w:val="0"/>
            <w:vAlign w:val="center"/>
          </w:tcPr>
          <w:p w14:paraId="0851F23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w:t>
            </w:r>
          </w:p>
        </w:tc>
        <w:tc>
          <w:tcPr>
            <w:tcW w:w="1133" w:type="dxa"/>
            <w:noWrap w:val="0"/>
            <w:vAlign w:val="center"/>
          </w:tcPr>
          <w:p w14:paraId="6A0C3D8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1131" w:type="dxa"/>
            <w:noWrap w:val="0"/>
            <w:vAlign w:val="center"/>
          </w:tcPr>
          <w:p w14:paraId="5083C64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8" w:type="dxa"/>
            <w:noWrap w:val="0"/>
            <w:vAlign w:val="center"/>
          </w:tcPr>
          <w:p w14:paraId="757925C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37" w:type="dxa"/>
            <w:noWrap w:val="0"/>
            <w:vAlign w:val="center"/>
          </w:tcPr>
          <w:p w14:paraId="590DF2F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5" w:type="dxa"/>
            <w:noWrap w:val="0"/>
            <w:vAlign w:val="center"/>
          </w:tcPr>
          <w:p w14:paraId="005914B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09EF2B0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6</w:t>
            </w:r>
          </w:p>
        </w:tc>
        <w:tc>
          <w:tcPr>
            <w:tcW w:w="1137" w:type="dxa"/>
            <w:noWrap w:val="0"/>
            <w:vAlign w:val="center"/>
          </w:tcPr>
          <w:p w14:paraId="37BFC96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12" w:type="dxa"/>
            <w:noWrap w:val="0"/>
            <w:vAlign w:val="center"/>
          </w:tcPr>
          <w:p w14:paraId="1426100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687" w:type="dxa"/>
            <w:noWrap w:val="0"/>
            <w:vAlign w:val="center"/>
          </w:tcPr>
          <w:p w14:paraId="205EB58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086491D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PrEx>
        <w:trPr>
          <w:trHeight w:val="397" w:hRule="atLeast"/>
          <w:jc w:val="center"/>
        </w:trPr>
        <w:tc>
          <w:tcPr>
            <w:tcW w:w="2809" w:type="dxa"/>
            <w:gridSpan w:val="2"/>
            <w:noWrap w:val="0"/>
            <w:vAlign w:val="center"/>
          </w:tcPr>
          <w:p w14:paraId="54806A1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丝光椋鸟</w:t>
            </w:r>
          </w:p>
        </w:tc>
        <w:tc>
          <w:tcPr>
            <w:tcW w:w="1119" w:type="dxa"/>
            <w:noWrap w:val="0"/>
            <w:vAlign w:val="center"/>
          </w:tcPr>
          <w:p w14:paraId="239C95E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33" w:type="dxa"/>
            <w:noWrap w:val="0"/>
            <w:vAlign w:val="center"/>
          </w:tcPr>
          <w:p w14:paraId="624D988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1131" w:type="dxa"/>
            <w:noWrap w:val="0"/>
            <w:vAlign w:val="center"/>
          </w:tcPr>
          <w:p w14:paraId="39FBD4A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8" w:type="dxa"/>
            <w:noWrap w:val="0"/>
            <w:vAlign w:val="center"/>
          </w:tcPr>
          <w:p w14:paraId="173C6E8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37" w:type="dxa"/>
            <w:noWrap w:val="0"/>
            <w:vAlign w:val="center"/>
          </w:tcPr>
          <w:p w14:paraId="717F52B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5" w:type="dxa"/>
            <w:noWrap w:val="0"/>
            <w:vAlign w:val="center"/>
          </w:tcPr>
          <w:p w14:paraId="38F4182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6384DF5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5</w:t>
            </w:r>
          </w:p>
        </w:tc>
        <w:tc>
          <w:tcPr>
            <w:tcW w:w="1137" w:type="dxa"/>
            <w:noWrap w:val="0"/>
            <w:vAlign w:val="center"/>
          </w:tcPr>
          <w:p w14:paraId="41E5D1A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12" w:type="dxa"/>
            <w:noWrap w:val="0"/>
            <w:vAlign w:val="center"/>
          </w:tcPr>
          <w:p w14:paraId="532A7D4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687" w:type="dxa"/>
            <w:noWrap w:val="0"/>
            <w:vAlign w:val="center"/>
          </w:tcPr>
          <w:p w14:paraId="09955A6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452226F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9" w:type="dxa"/>
            <w:gridSpan w:val="2"/>
            <w:noWrap w:val="0"/>
            <w:vAlign w:val="center"/>
          </w:tcPr>
          <w:p w14:paraId="075B4A5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黑卷尾</w:t>
            </w:r>
          </w:p>
        </w:tc>
        <w:tc>
          <w:tcPr>
            <w:tcW w:w="1119" w:type="dxa"/>
            <w:noWrap w:val="0"/>
            <w:vAlign w:val="center"/>
          </w:tcPr>
          <w:p w14:paraId="1016FC8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33" w:type="dxa"/>
            <w:noWrap w:val="0"/>
            <w:vAlign w:val="center"/>
          </w:tcPr>
          <w:p w14:paraId="685C14F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31" w:type="dxa"/>
            <w:noWrap w:val="0"/>
            <w:vAlign w:val="center"/>
          </w:tcPr>
          <w:p w14:paraId="6D6D3BC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8" w:type="dxa"/>
            <w:noWrap w:val="0"/>
            <w:vAlign w:val="center"/>
          </w:tcPr>
          <w:p w14:paraId="06F42F6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37" w:type="dxa"/>
            <w:noWrap w:val="0"/>
            <w:vAlign w:val="center"/>
          </w:tcPr>
          <w:p w14:paraId="20440AD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5" w:type="dxa"/>
            <w:noWrap w:val="0"/>
            <w:vAlign w:val="center"/>
          </w:tcPr>
          <w:p w14:paraId="66B6C6D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3239C9D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4</w:t>
            </w:r>
          </w:p>
        </w:tc>
        <w:tc>
          <w:tcPr>
            <w:tcW w:w="1137" w:type="dxa"/>
            <w:noWrap w:val="0"/>
            <w:vAlign w:val="center"/>
          </w:tcPr>
          <w:p w14:paraId="3AE1044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12" w:type="dxa"/>
            <w:noWrap w:val="0"/>
            <w:vAlign w:val="center"/>
          </w:tcPr>
          <w:p w14:paraId="483A6AA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687" w:type="dxa"/>
            <w:noWrap w:val="0"/>
            <w:vAlign w:val="center"/>
          </w:tcPr>
          <w:p w14:paraId="11B42CA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3B27F33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9" w:type="dxa"/>
            <w:gridSpan w:val="2"/>
            <w:noWrap w:val="0"/>
            <w:vAlign w:val="center"/>
          </w:tcPr>
          <w:p w14:paraId="2B20EB5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家燕</w:t>
            </w:r>
          </w:p>
        </w:tc>
        <w:tc>
          <w:tcPr>
            <w:tcW w:w="1119" w:type="dxa"/>
            <w:noWrap w:val="0"/>
            <w:vAlign w:val="center"/>
          </w:tcPr>
          <w:p w14:paraId="1A8D968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w:t>
            </w:r>
          </w:p>
        </w:tc>
        <w:tc>
          <w:tcPr>
            <w:tcW w:w="1133" w:type="dxa"/>
            <w:noWrap w:val="0"/>
            <w:vAlign w:val="center"/>
          </w:tcPr>
          <w:p w14:paraId="327D4EC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31" w:type="dxa"/>
            <w:noWrap w:val="0"/>
            <w:vAlign w:val="center"/>
          </w:tcPr>
          <w:p w14:paraId="1ADA1AF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8" w:type="dxa"/>
            <w:noWrap w:val="0"/>
            <w:vAlign w:val="center"/>
          </w:tcPr>
          <w:p w14:paraId="0FFFA93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37" w:type="dxa"/>
            <w:noWrap w:val="0"/>
            <w:vAlign w:val="center"/>
          </w:tcPr>
          <w:p w14:paraId="4E69BB8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5" w:type="dxa"/>
            <w:noWrap w:val="0"/>
            <w:vAlign w:val="center"/>
          </w:tcPr>
          <w:p w14:paraId="51DBA1F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7D06ABA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7</w:t>
            </w:r>
          </w:p>
        </w:tc>
        <w:tc>
          <w:tcPr>
            <w:tcW w:w="1137" w:type="dxa"/>
            <w:noWrap w:val="0"/>
            <w:vAlign w:val="center"/>
          </w:tcPr>
          <w:p w14:paraId="0288911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12" w:type="dxa"/>
            <w:noWrap w:val="0"/>
            <w:vAlign w:val="center"/>
          </w:tcPr>
          <w:p w14:paraId="7E37641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687" w:type="dxa"/>
            <w:noWrap w:val="0"/>
            <w:vAlign w:val="center"/>
          </w:tcPr>
          <w:p w14:paraId="6064DF9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0DD5424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09" w:type="dxa"/>
            <w:gridSpan w:val="2"/>
            <w:noWrap w:val="0"/>
            <w:vAlign w:val="center"/>
          </w:tcPr>
          <w:p w14:paraId="53751B2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鹊鸲</w:t>
            </w:r>
          </w:p>
        </w:tc>
        <w:tc>
          <w:tcPr>
            <w:tcW w:w="1119" w:type="dxa"/>
            <w:noWrap w:val="0"/>
            <w:vAlign w:val="center"/>
          </w:tcPr>
          <w:p w14:paraId="544E73E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1133" w:type="dxa"/>
            <w:noWrap w:val="0"/>
            <w:vAlign w:val="center"/>
          </w:tcPr>
          <w:p w14:paraId="5492999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31" w:type="dxa"/>
            <w:noWrap w:val="0"/>
            <w:vAlign w:val="center"/>
          </w:tcPr>
          <w:p w14:paraId="2137161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8" w:type="dxa"/>
            <w:noWrap w:val="0"/>
            <w:vAlign w:val="center"/>
          </w:tcPr>
          <w:p w14:paraId="39672CC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37" w:type="dxa"/>
            <w:noWrap w:val="0"/>
            <w:vAlign w:val="center"/>
          </w:tcPr>
          <w:p w14:paraId="2FA6812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5" w:type="dxa"/>
            <w:noWrap w:val="0"/>
            <w:vAlign w:val="center"/>
          </w:tcPr>
          <w:p w14:paraId="72E8DA8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139D358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3</w:t>
            </w:r>
          </w:p>
        </w:tc>
        <w:tc>
          <w:tcPr>
            <w:tcW w:w="1137" w:type="dxa"/>
            <w:noWrap w:val="0"/>
            <w:vAlign w:val="center"/>
          </w:tcPr>
          <w:p w14:paraId="65FF7EE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12" w:type="dxa"/>
            <w:noWrap w:val="0"/>
            <w:vAlign w:val="center"/>
          </w:tcPr>
          <w:p w14:paraId="6CD6DEB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687" w:type="dxa"/>
            <w:noWrap w:val="0"/>
            <w:vAlign w:val="center"/>
          </w:tcPr>
          <w:p w14:paraId="1FBADFB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4B188CE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PrEx>
        <w:trPr>
          <w:trHeight w:val="397" w:hRule="atLeast"/>
          <w:jc w:val="center"/>
        </w:trPr>
        <w:tc>
          <w:tcPr>
            <w:tcW w:w="2809" w:type="dxa"/>
            <w:gridSpan w:val="2"/>
            <w:noWrap w:val="0"/>
            <w:vAlign w:val="center"/>
          </w:tcPr>
          <w:p w14:paraId="1D2E90D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麻雀</w:t>
            </w:r>
          </w:p>
        </w:tc>
        <w:tc>
          <w:tcPr>
            <w:tcW w:w="1119" w:type="dxa"/>
            <w:noWrap w:val="0"/>
            <w:vAlign w:val="center"/>
          </w:tcPr>
          <w:p w14:paraId="559BD63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w:t>
            </w:r>
          </w:p>
        </w:tc>
        <w:tc>
          <w:tcPr>
            <w:tcW w:w="1133" w:type="dxa"/>
            <w:noWrap w:val="0"/>
            <w:vAlign w:val="center"/>
          </w:tcPr>
          <w:p w14:paraId="7E0D62E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10</w:t>
            </w:r>
          </w:p>
        </w:tc>
        <w:tc>
          <w:tcPr>
            <w:tcW w:w="1131" w:type="dxa"/>
            <w:noWrap w:val="0"/>
            <w:vAlign w:val="center"/>
          </w:tcPr>
          <w:p w14:paraId="3FDDD49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28" w:type="dxa"/>
            <w:noWrap w:val="0"/>
            <w:vAlign w:val="center"/>
          </w:tcPr>
          <w:p w14:paraId="54487DD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1137" w:type="dxa"/>
            <w:noWrap w:val="0"/>
            <w:vAlign w:val="center"/>
          </w:tcPr>
          <w:p w14:paraId="7BE7CB5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45" w:type="dxa"/>
            <w:noWrap w:val="0"/>
            <w:vAlign w:val="center"/>
          </w:tcPr>
          <w:p w14:paraId="7A90148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73" w:type="dxa"/>
            <w:noWrap w:val="0"/>
            <w:vAlign w:val="center"/>
          </w:tcPr>
          <w:p w14:paraId="5FC4B85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eastAsia" w:ascii="Times New Roman" w:hAnsi="Times New Roman" w:cs="Times New Roman"/>
                <w:color w:val="auto"/>
                <w:kern w:val="0"/>
                <w:lang w:bidi="ar"/>
              </w:rPr>
              <w:t>20</w:t>
            </w:r>
          </w:p>
        </w:tc>
        <w:tc>
          <w:tcPr>
            <w:tcW w:w="1137" w:type="dxa"/>
            <w:noWrap w:val="0"/>
            <w:vAlign w:val="center"/>
          </w:tcPr>
          <w:p w14:paraId="2B88B65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12" w:type="dxa"/>
            <w:noWrap w:val="0"/>
            <w:vAlign w:val="center"/>
          </w:tcPr>
          <w:p w14:paraId="4782947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687" w:type="dxa"/>
            <w:noWrap w:val="0"/>
            <w:vAlign w:val="center"/>
          </w:tcPr>
          <w:p w14:paraId="5357C29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bl>
    <w:p w14:paraId="68511845">
      <w:pPr>
        <w:spacing w:line="400" w:lineRule="exact"/>
        <w:jc w:val="center"/>
        <w:rPr>
          <w:rFonts w:eastAsia="黑体"/>
          <w:color w:val="auto"/>
          <w:sz w:val="24"/>
        </w:rPr>
      </w:pPr>
    </w:p>
    <w:p w14:paraId="079A0DC7">
      <w:pPr>
        <w:spacing w:line="400" w:lineRule="exact"/>
        <w:jc w:val="center"/>
        <w:rPr>
          <w:rFonts w:eastAsia="黑体"/>
          <w:color w:val="auto"/>
          <w:sz w:val="24"/>
        </w:rPr>
      </w:pPr>
    </w:p>
    <w:p w14:paraId="3C26B3DB">
      <w:pPr>
        <w:spacing w:line="400" w:lineRule="exact"/>
        <w:jc w:val="center"/>
        <w:rPr>
          <w:rFonts w:eastAsia="黑体"/>
          <w:color w:val="auto"/>
          <w:sz w:val="24"/>
        </w:rPr>
      </w:pPr>
    </w:p>
    <w:p w14:paraId="6E3BB6DC">
      <w:pPr>
        <w:spacing w:line="400" w:lineRule="exact"/>
        <w:jc w:val="center"/>
        <w:rPr>
          <w:rFonts w:eastAsia="黑体"/>
          <w:color w:val="auto"/>
          <w:sz w:val="24"/>
        </w:rPr>
      </w:pPr>
    </w:p>
    <w:p w14:paraId="76CEF940">
      <w:pPr>
        <w:spacing w:line="400" w:lineRule="exact"/>
        <w:jc w:val="center"/>
        <w:rPr>
          <w:rFonts w:eastAsia="黑体"/>
          <w:color w:val="auto"/>
          <w:sz w:val="24"/>
        </w:rPr>
      </w:pPr>
      <w:r>
        <w:rPr>
          <w:rFonts w:eastAsia="黑体"/>
          <w:color w:val="auto"/>
          <w:sz w:val="24"/>
        </w:rPr>
        <w:t>表</w:t>
      </w:r>
      <w:r>
        <w:rPr>
          <w:rFonts w:hint="eastAsia" w:eastAsia="黑体"/>
          <w:color w:val="auto"/>
          <w:sz w:val="24"/>
        </w:rPr>
        <w:t>4.2-2</w:t>
      </w:r>
      <w:r>
        <w:rPr>
          <w:rFonts w:hint="eastAsia" w:eastAsia="黑体"/>
          <w:color w:val="auto"/>
          <w:sz w:val="24"/>
          <w:lang w:val="en-US" w:eastAsia="zh-CN"/>
        </w:rPr>
        <w:t>2</w:t>
      </w:r>
      <w:r>
        <w:rPr>
          <w:rFonts w:hint="eastAsia" w:eastAsia="黑体"/>
          <w:color w:val="auto"/>
          <w:sz w:val="24"/>
        </w:rPr>
        <w:t xml:space="preserve"> </w:t>
      </w:r>
      <w:r>
        <w:rPr>
          <w:rFonts w:eastAsia="黑体"/>
          <w:color w:val="auto"/>
          <w:sz w:val="24"/>
        </w:rPr>
        <w:t>野生动物样线调查表</w:t>
      </w:r>
      <w:r>
        <w:rPr>
          <w:rFonts w:hint="eastAsia" w:eastAsia="黑体"/>
          <w:color w:val="auto"/>
          <w:sz w:val="24"/>
        </w:rPr>
        <w:t>5</w:t>
      </w:r>
    </w:p>
    <w:tbl>
      <w:tblPr>
        <w:tblStyle w:val="53"/>
        <w:tblW w:w="0" w:type="auto"/>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1161"/>
        <w:gridCol w:w="1055"/>
        <w:gridCol w:w="1124"/>
        <w:gridCol w:w="1269"/>
        <w:gridCol w:w="1266"/>
        <w:gridCol w:w="1127"/>
        <w:gridCol w:w="1124"/>
        <w:gridCol w:w="1181"/>
        <w:gridCol w:w="931"/>
        <w:gridCol w:w="1408"/>
        <w:gridCol w:w="885"/>
      </w:tblGrid>
      <w:tr w14:paraId="5F1B734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0" w:type="dxa"/>
            <w:noWrap w:val="0"/>
            <w:vAlign w:val="center"/>
          </w:tcPr>
          <w:p w14:paraId="49B608B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eastAsia" w:ascii="Times New Roman" w:hAnsi="Times New Roman" w:cs="Times New Roman"/>
                <w:b/>
                <w:bCs/>
                <w:color w:val="auto"/>
              </w:rPr>
              <w:t>日期</w:t>
            </w:r>
          </w:p>
        </w:tc>
        <w:tc>
          <w:tcPr>
            <w:tcW w:w="1161" w:type="dxa"/>
            <w:noWrap w:val="0"/>
            <w:vAlign w:val="center"/>
          </w:tcPr>
          <w:p w14:paraId="1DCBC75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2023.10.20</w:t>
            </w:r>
          </w:p>
        </w:tc>
        <w:tc>
          <w:tcPr>
            <w:tcW w:w="1055" w:type="dxa"/>
            <w:noWrap w:val="0"/>
            <w:vAlign w:val="center"/>
          </w:tcPr>
          <w:p w14:paraId="5CD14198">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天气</w:t>
            </w:r>
          </w:p>
        </w:tc>
        <w:tc>
          <w:tcPr>
            <w:tcW w:w="2393" w:type="dxa"/>
            <w:gridSpan w:val="2"/>
            <w:noWrap w:val="0"/>
            <w:vAlign w:val="center"/>
          </w:tcPr>
          <w:p w14:paraId="6DCE839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晴</w:t>
            </w:r>
          </w:p>
        </w:tc>
        <w:tc>
          <w:tcPr>
            <w:tcW w:w="2393" w:type="dxa"/>
            <w:gridSpan w:val="2"/>
            <w:noWrap w:val="0"/>
            <w:vAlign w:val="center"/>
          </w:tcPr>
          <w:p w14:paraId="5253B42A">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温度</w:t>
            </w:r>
          </w:p>
        </w:tc>
        <w:tc>
          <w:tcPr>
            <w:tcW w:w="1124" w:type="dxa"/>
            <w:noWrap w:val="0"/>
            <w:vAlign w:val="center"/>
          </w:tcPr>
          <w:p w14:paraId="47D2788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r>
              <w:rPr>
                <w:rFonts w:hint="eastAsia" w:ascii="Times New Roman" w:hAnsi="Times New Roman" w:cs="Times New Roman"/>
                <w:color w:val="auto"/>
              </w:rPr>
              <w:t>7</w:t>
            </w:r>
            <w:r>
              <w:rPr>
                <w:rFonts w:hint="default" w:ascii="Times New Roman" w:hAnsi="Times New Roman" w:cs="Times New Roman"/>
                <w:color w:val="auto"/>
              </w:rPr>
              <w:t>℃</w:t>
            </w:r>
          </w:p>
        </w:tc>
        <w:tc>
          <w:tcPr>
            <w:tcW w:w="1181" w:type="dxa"/>
            <w:noWrap w:val="0"/>
            <w:vAlign w:val="center"/>
          </w:tcPr>
          <w:p w14:paraId="28195760">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记录人</w:t>
            </w:r>
          </w:p>
        </w:tc>
        <w:tc>
          <w:tcPr>
            <w:tcW w:w="3224" w:type="dxa"/>
            <w:gridSpan w:val="3"/>
            <w:noWrap w:val="0"/>
            <w:vAlign w:val="center"/>
          </w:tcPr>
          <w:p w14:paraId="7DAFA5CE">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王莹</w:t>
            </w:r>
          </w:p>
        </w:tc>
      </w:tr>
      <w:tr w14:paraId="55156A6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0" w:type="dxa"/>
            <w:noWrap w:val="0"/>
            <w:vAlign w:val="center"/>
          </w:tcPr>
          <w:p w14:paraId="00F91E5A">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eastAsia" w:ascii="Times New Roman" w:hAnsi="Times New Roman" w:cs="Times New Roman"/>
                <w:b/>
                <w:bCs/>
                <w:color w:val="auto"/>
              </w:rPr>
              <w:t>地点</w:t>
            </w:r>
          </w:p>
        </w:tc>
        <w:tc>
          <w:tcPr>
            <w:tcW w:w="2216" w:type="dxa"/>
            <w:gridSpan w:val="2"/>
            <w:noWrap w:val="0"/>
            <w:vAlign w:val="center"/>
          </w:tcPr>
          <w:p w14:paraId="65B98E6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评价</w:t>
            </w:r>
            <w:r>
              <w:rPr>
                <w:rFonts w:hint="default" w:ascii="Times New Roman" w:hAnsi="Times New Roman" w:cs="Times New Roman"/>
                <w:color w:val="auto"/>
              </w:rPr>
              <w:t>范围内</w:t>
            </w:r>
          </w:p>
        </w:tc>
        <w:tc>
          <w:tcPr>
            <w:tcW w:w="4786" w:type="dxa"/>
            <w:gridSpan w:val="4"/>
            <w:noWrap w:val="0"/>
            <w:vAlign w:val="center"/>
          </w:tcPr>
          <w:p w14:paraId="2B893902">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样线长度</w:t>
            </w:r>
          </w:p>
        </w:tc>
        <w:tc>
          <w:tcPr>
            <w:tcW w:w="1124" w:type="dxa"/>
            <w:noWrap w:val="0"/>
            <w:vAlign w:val="center"/>
          </w:tcPr>
          <w:p w14:paraId="6E1602D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r>
              <w:rPr>
                <w:rFonts w:hint="eastAsia" w:ascii="Times New Roman" w:hAnsi="Times New Roman" w:cs="Times New Roman"/>
                <w:color w:val="auto"/>
              </w:rPr>
              <w:t>03</w:t>
            </w:r>
            <w:r>
              <w:rPr>
                <w:rFonts w:hint="default" w:ascii="Times New Roman" w:hAnsi="Times New Roman" w:cs="Times New Roman"/>
                <w:color w:val="auto"/>
              </w:rPr>
              <w:t>km</w:t>
            </w:r>
          </w:p>
        </w:tc>
        <w:tc>
          <w:tcPr>
            <w:tcW w:w="1181" w:type="dxa"/>
            <w:noWrap w:val="0"/>
            <w:vAlign w:val="center"/>
          </w:tcPr>
          <w:p w14:paraId="4071AF6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调查开始</w:t>
            </w:r>
          </w:p>
        </w:tc>
        <w:tc>
          <w:tcPr>
            <w:tcW w:w="931" w:type="dxa"/>
            <w:noWrap w:val="0"/>
            <w:vAlign w:val="center"/>
          </w:tcPr>
          <w:p w14:paraId="1D3D4D9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13：45</w:t>
            </w:r>
          </w:p>
        </w:tc>
        <w:tc>
          <w:tcPr>
            <w:tcW w:w="1408" w:type="dxa"/>
            <w:noWrap w:val="0"/>
            <w:vAlign w:val="center"/>
          </w:tcPr>
          <w:p w14:paraId="293883C0">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结束时间</w:t>
            </w:r>
          </w:p>
        </w:tc>
        <w:tc>
          <w:tcPr>
            <w:tcW w:w="885" w:type="dxa"/>
            <w:noWrap w:val="0"/>
            <w:vAlign w:val="center"/>
          </w:tcPr>
          <w:p w14:paraId="77D7B65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12：50</w:t>
            </w:r>
          </w:p>
        </w:tc>
      </w:tr>
      <w:tr w14:paraId="39665D0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0" w:type="dxa"/>
            <w:noWrap w:val="0"/>
            <w:vAlign w:val="center"/>
          </w:tcPr>
          <w:p w14:paraId="4BBFC0C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起点坐标</w:t>
            </w:r>
          </w:p>
        </w:tc>
        <w:tc>
          <w:tcPr>
            <w:tcW w:w="8126" w:type="dxa"/>
            <w:gridSpan w:val="7"/>
            <w:noWrap w:val="0"/>
            <w:vAlign w:val="center"/>
          </w:tcPr>
          <w:p w14:paraId="1A9AC128">
            <w:pPr>
              <w:keepNext w:val="0"/>
              <w:keepLines w:val="0"/>
              <w:suppressLineNumbers w:val="0"/>
              <w:tabs>
                <w:tab w:val="left" w:pos="2070"/>
              </w:tabs>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color w:val="auto"/>
              </w:rPr>
              <w:t xml:space="preserve">E </w:t>
            </w:r>
            <w:r>
              <w:rPr>
                <w:rFonts w:hint="eastAsia" w:ascii="Times New Roman" w:hAnsi="Times New Roman" w:cs="Times New Roman"/>
                <w:color w:val="auto"/>
              </w:rPr>
              <w:t>116.907406</w:t>
            </w:r>
            <w:r>
              <w:rPr>
                <w:rFonts w:hint="default" w:ascii="Times New Roman" w:hAnsi="Times New Roman" w:cs="Times New Roman"/>
                <w:color w:val="auto"/>
              </w:rPr>
              <w:t xml:space="preserve">°N </w:t>
            </w:r>
            <w:r>
              <w:rPr>
                <w:rFonts w:hint="eastAsia" w:ascii="Times New Roman" w:hAnsi="Times New Roman" w:cs="Times New Roman"/>
                <w:color w:val="auto"/>
              </w:rPr>
              <w:t>32.665358</w:t>
            </w:r>
            <w:r>
              <w:rPr>
                <w:rFonts w:hint="default" w:ascii="Times New Roman" w:hAnsi="Times New Roman" w:cs="Times New Roman"/>
                <w:color w:val="auto"/>
              </w:rPr>
              <w:t>°</w:t>
            </w:r>
          </w:p>
        </w:tc>
        <w:tc>
          <w:tcPr>
            <w:tcW w:w="1181" w:type="dxa"/>
            <w:noWrap w:val="0"/>
            <w:vAlign w:val="center"/>
          </w:tcPr>
          <w:p w14:paraId="0F4632B2">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highlight w:val="cyan"/>
              </w:rPr>
            </w:pPr>
            <w:r>
              <w:rPr>
                <w:rFonts w:hint="default" w:ascii="Times New Roman" w:hAnsi="Times New Roman" w:cs="Times New Roman"/>
                <w:b/>
                <w:bCs/>
                <w:color w:val="auto"/>
              </w:rPr>
              <w:t>终点坐标</w:t>
            </w:r>
          </w:p>
        </w:tc>
        <w:tc>
          <w:tcPr>
            <w:tcW w:w="3224" w:type="dxa"/>
            <w:gridSpan w:val="3"/>
            <w:noWrap w:val="0"/>
            <w:vAlign w:val="center"/>
          </w:tcPr>
          <w:p w14:paraId="15D9F178">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highlight w:val="cyan"/>
              </w:rPr>
            </w:pPr>
            <w:r>
              <w:rPr>
                <w:rFonts w:hint="default" w:ascii="Times New Roman" w:hAnsi="Times New Roman" w:cs="Times New Roman"/>
                <w:color w:val="auto"/>
              </w:rPr>
              <w:t xml:space="preserve">E </w:t>
            </w:r>
            <w:r>
              <w:rPr>
                <w:rFonts w:hint="eastAsia" w:ascii="Times New Roman" w:hAnsi="Times New Roman" w:cs="Times New Roman"/>
                <w:color w:val="auto"/>
              </w:rPr>
              <w:t>116.897299</w:t>
            </w:r>
            <w:r>
              <w:rPr>
                <w:rFonts w:hint="default" w:ascii="Times New Roman" w:hAnsi="Times New Roman" w:cs="Times New Roman"/>
                <w:color w:val="auto"/>
              </w:rPr>
              <w:t xml:space="preserve">°N </w:t>
            </w:r>
            <w:r>
              <w:rPr>
                <w:rFonts w:hint="eastAsia" w:ascii="Times New Roman" w:hAnsi="Times New Roman" w:cs="Times New Roman"/>
                <w:color w:val="auto"/>
              </w:rPr>
              <w:t>32.669027</w:t>
            </w:r>
            <w:r>
              <w:rPr>
                <w:rFonts w:hint="default" w:ascii="Times New Roman" w:hAnsi="Times New Roman" w:cs="Times New Roman"/>
                <w:color w:val="auto"/>
              </w:rPr>
              <w:t>°</w:t>
            </w:r>
          </w:p>
        </w:tc>
      </w:tr>
      <w:tr w14:paraId="0C29BDA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80" w:type="dxa"/>
            <w:noWrap w:val="0"/>
            <w:vAlign w:val="center"/>
          </w:tcPr>
          <w:p w14:paraId="32D940E1">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海拔</w:t>
            </w:r>
          </w:p>
        </w:tc>
        <w:tc>
          <w:tcPr>
            <w:tcW w:w="1161" w:type="dxa"/>
            <w:noWrap w:val="0"/>
            <w:vAlign w:val="center"/>
          </w:tcPr>
          <w:p w14:paraId="7E8CA45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18.11</w:t>
            </w:r>
            <w:r>
              <w:rPr>
                <w:rFonts w:hint="default" w:ascii="Times New Roman" w:hAnsi="Times New Roman" w:cs="Times New Roman"/>
                <w:color w:val="auto"/>
              </w:rPr>
              <w:t>m</w:t>
            </w:r>
          </w:p>
        </w:tc>
        <w:tc>
          <w:tcPr>
            <w:tcW w:w="2179" w:type="dxa"/>
            <w:gridSpan w:val="2"/>
            <w:noWrap w:val="0"/>
            <w:vAlign w:val="center"/>
          </w:tcPr>
          <w:p w14:paraId="79479A41">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生境类型</w:t>
            </w:r>
          </w:p>
        </w:tc>
        <w:tc>
          <w:tcPr>
            <w:tcW w:w="4786" w:type="dxa"/>
            <w:gridSpan w:val="4"/>
            <w:noWrap w:val="0"/>
            <w:vAlign w:val="center"/>
          </w:tcPr>
          <w:p w14:paraId="386DE6E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灌丛，</w:t>
            </w:r>
            <w:r>
              <w:rPr>
                <w:rFonts w:hint="eastAsia" w:ascii="Times New Roman" w:hAnsi="Times New Roman" w:cs="Times New Roman"/>
                <w:color w:val="auto"/>
              </w:rPr>
              <w:t>乔木，</w:t>
            </w:r>
            <w:r>
              <w:rPr>
                <w:rFonts w:hint="default" w:ascii="Times New Roman" w:hAnsi="Times New Roman" w:cs="Times New Roman"/>
                <w:color w:val="auto"/>
              </w:rPr>
              <w:t>草地</w:t>
            </w:r>
          </w:p>
        </w:tc>
        <w:tc>
          <w:tcPr>
            <w:tcW w:w="2112" w:type="dxa"/>
            <w:gridSpan w:val="2"/>
            <w:noWrap w:val="0"/>
            <w:vAlign w:val="center"/>
          </w:tcPr>
          <w:p w14:paraId="47BBFC56">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人为干扰因素</w:t>
            </w:r>
          </w:p>
        </w:tc>
        <w:tc>
          <w:tcPr>
            <w:tcW w:w="2293" w:type="dxa"/>
            <w:gridSpan w:val="2"/>
            <w:noWrap w:val="0"/>
            <w:vAlign w:val="center"/>
          </w:tcPr>
          <w:p w14:paraId="1E415BE7">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color w:val="auto"/>
              </w:rPr>
              <w:t>人类活动</w:t>
            </w:r>
          </w:p>
        </w:tc>
      </w:tr>
      <w:tr w14:paraId="555D351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41" w:type="dxa"/>
            <w:gridSpan w:val="2"/>
            <w:noWrap w:val="0"/>
            <w:vAlign w:val="center"/>
          </w:tcPr>
          <w:p w14:paraId="22C31067">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物种</w:t>
            </w:r>
          </w:p>
        </w:tc>
        <w:tc>
          <w:tcPr>
            <w:tcW w:w="6965" w:type="dxa"/>
            <w:gridSpan w:val="6"/>
            <w:noWrap w:val="0"/>
            <w:vAlign w:val="center"/>
          </w:tcPr>
          <w:p w14:paraId="4B31F4D0">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单次记录个体数量</w:t>
            </w:r>
          </w:p>
        </w:tc>
        <w:tc>
          <w:tcPr>
            <w:tcW w:w="1181" w:type="dxa"/>
            <w:noWrap w:val="0"/>
            <w:vAlign w:val="center"/>
          </w:tcPr>
          <w:p w14:paraId="00ED2BCE">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总数</w:t>
            </w:r>
          </w:p>
        </w:tc>
        <w:tc>
          <w:tcPr>
            <w:tcW w:w="931" w:type="dxa"/>
            <w:noWrap w:val="0"/>
            <w:vAlign w:val="center"/>
          </w:tcPr>
          <w:p w14:paraId="353E087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截距/m</w:t>
            </w:r>
          </w:p>
        </w:tc>
        <w:tc>
          <w:tcPr>
            <w:tcW w:w="1408" w:type="dxa"/>
            <w:noWrap w:val="0"/>
            <w:vAlign w:val="center"/>
          </w:tcPr>
          <w:p w14:paraId="2EB1592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雌/雄/亚成体</w:t>
            </w:r>
          </w:p>
        </w:tc>
        <w:tc>
          <w:tcPr>
            <w:tcW w:w="885" w:type="dxa"/>
            <w:noWrap w:val="0"/>
            <w:vAlign w:val="center"/>
          </w:tcPr>
          <w:p w14:paraId="59BFC628">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备注</w:t>
            </w:r>
          </w:p>
        </w:tc>
      </w:tr>
      <w:tr w14:paraId="608EBDB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41" w:type="dxa"/>
            <w:gridSpan w:val="2"/>
            <w:noWrap w:val="0"/>
            <w:vAlign w:val="center"/>
          </w:tcPr>
          <w:p w14:paraId="45FD432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山斑鸠</w:t>
            </w:r>
          </w:p>
        </w:tc>
        <w:tc>
          <w:tcPr>
            <w:tcW w:w="1055" w:type="dxa"/>
            <w:noWrap w:val="0"/>
            <w:vAlign w:val="center"/>
          </w:tcPr>
          <w:p w14:paraId="439B3322">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1124" w:type="dxa"/>
            <w:noWrap w:val="0"/>
            <w:vAlign w:val="center"/>
          </w:tcPr>
          <w:p w14:paraId="4908C63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w:t>
            </w:r>
          </w:p>
        </w:tc>
        <w:tc>
          <w:tcPr>
            <w:tcW w:w="1269" w:type="dxa"/>
            <w:noWrap w:val="0"/>
            <w:vAlign w:val="center"/>
          </w:tcPr>
          <w:p w14:paraId="206A28F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266" w:type="dxa"/>
            <w:noWrap w:val="0"/>
            <w:vAlign w:val="center"/>
          </w:tcPr>
          <w:p w14:paraId="65773C5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7" w:type="dxa"/>
            <w:noWrap w:val="0"/>
            <w:vAlign w:val="center"/>
          </w:tcPr>
          <w:p w14:paraId="1A2ECFB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4" w:type="dxa"/>
            <w:noWrap w:val="0"/>
            <w:vAlign w:val="center"/>
          </w:tcPr>
          <w:p w14:paraId="1802A39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81" w:type="dxa"/>
            <w:noWrap w:val="0"/>
            <w:vAlign w:val="center"/>
          </w:tcPr>
          <w:p w14:paraId="12DED98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eastAsia" w:ascii="Times New Roman" w:hAnsi="Times New Roman" w:cs="Times New Roman"/>
                <w:color w:val="auto"/>
                <w:kern w:val="0"/>
                <w:lang w:bidi="ar"/>
              </w:rPr>
              <w:t>5</w:t>
            </w:r>
          </w:p>
        </w:tc>
        <w:tc>
          <w:tcPr>
            <w:tcW w:w="931" w:type="dxa"/>
            <w:noWrap w:val="0"/>
            <w:vAlign w:val="center"/>
          </w:tcPr>
          <w:p w14:paraId="282A682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08" w:type="dxa"/>
            <w:noWrap w:val="0"/>
            <w:vAlign w:val="center"/>
          </w:tcPr>
          <w:p w14:paraId="48C11BF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85" w:type="dxa"/>
            <w:noWrap w:val="0"/>
            <w:vAlign w:val="center"/>
          </w:tcPr>
          <w:p w14:paraId="4E389C4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340066C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41" w:type="dxa"/>
            <w:gridSpan w:val="2"/>
            <w:noWrap w:val="0"/>
            <w:vAlign w:val="center"/>
          </w:tcPr>
          <w:p w14:paraId="1EF86E0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喜鹊</w:t>
            </w:r>
          </w:p>
        </w:tc>
        <w:tc>
          <w:tcPr>
            <w:tcW w:w="1055" w:type="dxa"/>
            <w:noWrap w:val="0"/>
            <w:vAlign w:val="center"/>
          </w:tcPr>
          <w:p w14:paraId="0F0CF7C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w:t>
            </w:r>
          </w:p>
        </w:tc>
        <w:tc>
          <w:tcPr>
            <w:tcW w:w="1124" w:type="dxa"/>
            <w:noWrap w:val="0"/>
            <w:vAlign w:val="center"/>
          </w:tcPr>
          <w:p w14:paraId="0B6785E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269" w:type="dxa"/>
            <w:noWrap w:val="0"/>
            <w:vAlign w:val="center"/>
          </w:tcPr>
          <w:p w14:paraId="0F87D9E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266" w:type="dxa"/>
            <w:noWrap w:val="0"/>
            <w:vAlign w:val="center"/>
          </w:tcPr>
          <w:p w14:paraId="3888856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1127" w:type="dxa"/>
            <w:noWrap w:val="0"/>
            <w:vAlign w:val="center"/>
          </w:tcPr>
          <w:p w14:paraId="042EECC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4" w:type="dxa"/>
            <w:noWrap w:val="0"/>
            <w:vAlign w:val="center"/>
          </w:tcPr>
          <w:p w14:paraId="22DB1BB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81" w:type="dxa"/>
            <w:noWrap w:val="0"/>
            <w:vAlign w:val="center"/>
          </w:tcPr>
          <w:p w14:paraId="500500FF">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eastAsia" w:ascii="Times New Roman" w:hAnsi="Times New Roman" w:cs="Times New Roman"/>
                <w:color w:val="auto"/>
                <w:kern w:val="0"/>
                <w:lang w:bidi="ar"/>
              </w:rPr>
              <w:t>7</w:t>
            </w:r>
          </w:p>
        </w:tc>
        <w:tc>
          <w:tcPr>
            <w:tcW w:w="931" w:type="dxa"/>
            <w:noWrap w:val="0"/>
            <w:vAlign w:val="center"/>
          </w:tcPr>
          <w:p w14:paraId="23EAABD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08" w:type="dxa"/>
            <w:noWrap w:val="0"/>
            <w:vAlign w:val="center"/>
          </w:tcPr>
          <w:p w14:paraId="3545BCD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85" w:type="dxa"/>
            <w:noWrap w:val="0"/>
            <w:vAlign w:val="center"/>
          </w:tcPr>
          <w:p w14:paraId="1AFA3FE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2ABD17A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41" w:type="dxa"/>
            <w:gridSpan w:val="2"/>
            <w:noWrap w:val="0"/>
            <w:vAlign w:val="center"/>
          </w:tcPr>
          <w:p w14:paraId="27416F7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金翅雀</w:t>
            </w:r>
          </w:p>
        </w:tc>
        <w:tc>
          <w:tcPr>
            <w:tcW w:w="1055" w:type="dxa"/>
            <w:noWrap w:val="0"/>
            <w:vAlign w:val="center"/>
          </w:tcPr>
          <w:p w14:paraId="3039D73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1124" w:type="dxa"/>
            <w:noWrap w:val="0"/>
            <w:vAlign w:val="center"/>
          </w:tcPr>
          <w:p w14:paraId="5C473B8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69" w:type="dxa"/>
            <w:noWrap w:val="0"/>
            <w:vAlign w:val="center"/>
          </w:tcPr>
          <w:p w14:paraId="7880224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66" w:type="dxa"/>
            <w:noWrap w:val="0"/>
            <w:vAlign w:val="center"/>
          </w:tcPr>
          <w:p w14:paraId="200CAA9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7" w:type="dxa"/>
            <w:noWrap w:val="0"/>
            <w:vAlign w:val="center"/>
          </w:tcPr>
          <w:p w14:paraId="39DD153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4" w:type="dxa"/>
            <w:noWrap w:val="0"/>
            <w:vAlign w:val="center"/>
          </w:tcPr>
          <w:p w14:paraId="0D2145D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81" w:type="dxa"/>
            <w:noWrap w:val="0"/>
            <w:vAlign w:val="center"/>
          </w:tcPr>
          <w:p w14:paraId="43655A1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3</w:t>
            </w:r>
          </w:p>
        </w:tc>
        <w:tc>
          <w:tcPr>
            <w:tcW w:w="931" w:type="dxa"/>
            <w:noWrap w:val="0"/>
            <w:vAlign w:val="center"/>
          </w:tcPr>
          <w:p w14:paraId="75EB22F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08" w:type="dxa"/>
            <w:noWrap w:val="0"/>
            <w:vAlign w:val="center"/>
          </w:tcPr>
          <w:p w14:paraId="289438F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85" w:type="dxa"/>
            <w:noWrap w:val="0"/>
            <w:vAlign w:val="center"/>
          </w:tcPr>
          <w:p w14:paraId="5015669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0696896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41" w:type="dxa"/>
            <w:gridSpan w:val="2"/>
            <w:noWrap w:val="0"/>
            <w:vAlign w:val="center"/>
          </w:tcPr>
          <w:p w14:paraId="4CE95CA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燕雀</w:t>
            </w:r>
          </w:p>
        </w:tc>
        <w:tc>
          <w:tcPr>
            <w:tcW w:w="1055" w:type="dxa"/>
            <w:noWrap w:val="0"/>
            <w:vAlign w:val="center"/>
          </w:tcPr>
          <w:p w14:paraId="3B9D4640">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1124" w:type="dxa"/>
            <w:noWrap w:val="0"/>
            <w:vAlign w:val="center"/>
          </w:tcPr>
          <w:p w14:paraId="1B7877B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1269" w:type="dxa"/>
            <w:noWrap w:val="0"/>
            <w:vAlign w:val="center"/>
          </w:tcPr>
          <w:p w14:paraId="62D97AA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1266" w:type="dxa"/>
            <w:noWrap w:val="0"/>
            <w:vAlign w:val="center"/>
          </w:tcPr>
          <w:p w14:paraId="4B01F78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7" w:type="dxa"/>
            <w:noWrap w:val="0"/>
            <w:vAlign w:val="center"/>
          </w:tcPr>
          <w:p w14:paraId="78DFB15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4" w:type="dxa"/>
            <w:noWrap w:val="0"/>
            <w:vAlign w:val="center"/>
          </w:tcPr>
          <w:p w14:paraId="233C611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81" w:type="dxa"/>
            <w:noWrap w:val="0"/>
            <w:vAlign w:val="center"/>
          </w:tcPr>
          <w:p w14:paraId="69AC6C9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eastAsia" w:ascii="Times New Roman" w:hAnsi="Times New Roman" w:cs="Times New Roman"/>
                <w:color w:val="auto"/>
                <w:kern w:val="0"/>
                <w:lang w:bidi="ar"/>
              </w:rPr>
              <w:t>7</w:t>
            </w:r>
          </w:p>
        </w:tc>
        <w:tc>
          <w:tcPr>
            <w:tcW w:w="931" w:type="dxa"/>
            <w:noWrap w:val="0"/>
            <w:vAlign w:val="center"/>
          </w:tcPr>
          <w:p w14:paraId="168121A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08" w:type="dxa"/>
            <w:noWrap w:val="0"/>
            <w:vAlign w:val="center"/>
          </w:tcPr>
          <w:p w14:paraId="7873982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85" w:type="dxa"/>
            <w:noWrap w:val="0"/>
            <w:vAlign w:val="center"/>
          </w:tcPr>
          <w:p w14:paraId="62C06F7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7D781DD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41" w:type="dxa"/>
            <w:gridSpan w:val="2"/>
            <w:noWrap w:val="0"/>
            <w:vAlign w:val="center"/>
          </w:tcPr>
          <w:p w14:paraId="01A4B54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黑脸噪鹛</w:t>
            </w:r>
          </w:p>
        </w:tc>
        <w:tc>
          <w:tcPr>
            <w:tcW w:w="1055" w:type="dxa"/>
            <w:noWrap w:val="0"/>
            <w:vAlign w:val="center"/>
          </w:tcPr>
          <w:p w14:paraId="193A51C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24" w:type="dxa"/>
            <w:noWrap w:val="0"/>
            <w:vAlign w:val="center"/>
          </w:tcPr>
          <w:p w14:paraId="501E05C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1269" w:type="dxa"/>
            <w:noWrap w:val="0"/>
            <w:vAlign w:val="center"/>
          </w:tcPr>
          <w:p w14:paraId="24D95DA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66" w:type="dxa"/>
            <w:noWrap w:val="0"/>
            <w:vAlign w:val="center"/>
          </w:tcPr>
          <w:p w14:paraId="23C7032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7" w:type="dxa"/>
            <w:noWrap w:val="0"/>
            <w:vAlign w:val="center"/>
          </w:tcPr>
          <w:p w14:paraId="7F6E67A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4" w:type="dxa"/>
            <w:noWrap w:val="0"/>
            <w:vAlign w:val="center"/>
          </w:tcPr>
          <w:p w14:paraId="6B06D2F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81" w:type="dxa"/>
            <w:noWrap w:val="0"/>
            <w:vAlign w:val="center"/>
          </w:tcPr>
          <w:p w14:paraId="29DE367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3</w:t>
            </w:r>
          </w:p>
        </w:tc>
        <w:tc>
          <w:tcPr>
            <w:tcW w:w="931" w:type="dxa"/>
            <w:noWrap w:val="0"/>
            <w:vAlign w:val="center"/>
          </w:tcPr>
          <w:p w14:paraId="70A03A2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08" w:type="dxa"/>
            <w:noWrap w:val="0"/>
            <w:vAlign w:val="center"/>
          </w:tcPr>
          <w:p w14:paraId="3F43994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85" w:type="dxa"/>
            <w:noWrap w:val="0"/>
            <w:vAlign w:val="center"/>
          </w:tcPr>
          <w:p w14:paraId="69464A2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6B0430A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PrEx>
        <w:trPr>
          <w:trHeight w:val="397" w:hRule="atLeast"/>
          <w:jc w:val="center"/>
        </w:trPr>
        <w:tc>
          <w:tcPr>
            <w:tcW w:w="2841" w:type="dxa"/>
            <w:gridSpan w:val="2"/>
            <w:noWrap w:val="0"/>
            <w:vAlign w:val="center"/>
          </w:tcPr>
          <w:p w14:paraId="4348777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珠颈斑鸠</w:t>
            </w:r>
          </w:p>
        </w:tc>
        <w:tc>
          <w:tcPr>
            <w:tcW w:w="1055" w:type="dxa"/>
            <w:noWrap w:val="0"/>
            <w:vAlign w:val="center"/>
          </w:tcPr>
          <w:p w14:paraId="6006893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24" w:type="dxa"/>
            <w:noWrap w:val="0"/>
            <w:vAlign w:val="center"/>
          </w:tcPr>
          <w:p w14:paraId="43E8FD9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269" w:type="dxa"/>
            <w:noWrap w:val="0"/>
            <w:vAlign w:val="center"/>
          </w:tcPr>
          <w:p w14:paraId="69E2156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1266" w:type="dxa"/>
            <w:noWrap w:val="0"/>
            <w:vAlign w:val="center"/>
          </w:tcPr>
          <w:p w14:paraId="7CEA0DE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7" w:type="dxa"/>
            <w:noWrap w:val="0"/>
            <w:vAlign w:val="center"/>
          </w:tcPr>
          <w:p w14:paraId="5D17E3E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4" w:type="dxa"/>
            <w:noWrap w:val="0"/>
            <w:vAlign w:val="center"/>
          </w:tcPr>
          <w:p w14:paraId="46AA294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81" w:type="dxa"/>
            <w:noWrap w:val="0"/>
            <w:vAlign w:val="center"/>
          </w:tcPr>
          <w:p w14:paraId="06FEBBD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7</w:t>
            </w:r>
          </w:p>
        </w:tc>
        <w:tc>
          <w:tcPr>
            <w:tcW w:w="931" w:type="dxa"/>
            <w:noWrap w:val="0"/>
            <w:vAlign w:val="center"/>
          </w:tcPr>
          <w:p w14:paraId="3484B84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08" w:type="dxa"/>
            <w:noWrap w:val="0"/>
            <w:vAlign w:val="center"/>
          </w:tcPr>
          <w:p w14:paraId="16F2B7C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85" w:type="dxa"/>
            <w:noWrap w:val="0"/>
            <w:vAlign w:val="center"/>
          </w:tcPr>
          <w:p w14:paraId="6BFFC5C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32DECA7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41" w:type="dxa"/>
            <w:gridSpan w:val="2"/>
            <w:noWrap w:val="0"/>
            <w:vAlign w:val="center"/>
          </w:tcPr>
          <w:p w14:paraId="4191B79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白头鹎</w:t>
            </w:r>
          </w:p>
        </w:tc>
        <w:tc>
          <w:tcPr>
            <w:tcW w:w="1055" w:type="dxa"/>
            <w:noWrap w:val="0"/>
            <w:vAlign w:val="center"/>
          </w:tcPr>
          <w:p w14:paraId="3C2D1D6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1124" w:type="dxa"/>
            <w:noWrap w:val="0"/>
            <w:vAlign w:val="center"/>
          </w:tcPr>
          <w:p w14:paraId="237DE98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1269" w:type="dxa"/>
            <w:noWrap w:val="0"/>
            <w:vAlign w:val="center"/>
          </w:tcPr>
          <w:p w14:paraId="0530002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66" w:type="dxa"/>
            <w:noWrap w:val="0"/>
            <w:vAlign w:val="center"/>
          </w:tcPr>
          <w:p w14:paraId="2DDC27F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7" w:type="dxa"/>
            <w:noWrap w:val="0"/>
            <w:vAlign w:val="center"/>
          </w:tcPr>
          <w:p w14:paraId="255E8C4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4" w:type="dxa"/>
            <w:noWrap w:val="0"/>
            <w:vAlign w:val="center"/>
          </w:tcPr>
          <w:p w14:paraId="25659B2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81" w:type="dxa"/>
            <w:noWrap w:val="0"/>
            <w:vAlign w:val="center"/>
          </w:tcPr>
          <w:p w14:paraId="3DA28F1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eastAsia" w:ascii="Times New Roman" w:hAnsi="Times New Roman" w:cs="Times New Roman"/>
                <w:color w:val="auto"/>
                <w:kern w:val="0"/>
                <w:lang w:bidi="ar"/>
              </w:rPr>
              <w:t>2</w:t>
            </w:r>
          </w:p>
        </w:tc>
        <w:tc>
          <w:tcPr>
            <w:tcW w:w="931" w:type="dxa"/>
            <w:noWrap w:val="0"/>
            <w:vAlign w:val="center"/>
          </w:tcPr>
          <w:p w14:paraId="4B16CF1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08" w:type="dxa"/>
            <w:noWrap w:val="0"/>
            <w:vAlign w:val="center"/>
          </w:tcPr>
          <w:p w14:paraId="3F3A04E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85" w:type="dxa"/>
            <w:noWrap w:val="0"/>
            <w:vAlign w:val="center"/>
          </w:tcPr>
          <w:p w14:paraId="1B8F9F2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4D6C53A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41" w:type="dxa"/>
            <w:gridSpan w:val="2"/>
            <w:noWrap w:val="0"/>
            <w:vAlign w:val="center"/>
          </w:tcPr>
          <w:p w14:paraId="70318D1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丝光椋鸟</w:t>
            </w:r>
          </w:p>
        </w:tc>
        <w:tc>
          <w:tcPr>
            <w:tcW w:w="1055" w:type="dxa"/>
            <w:noWrap w:val="0"/>
            <w:vAlign w:val="center"/>
          </w:tcPr>
          <w:p w14:paraId="72FB68F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24" w:type="dxa"/>
            <w:noWrap w:val="0"/>
            <w:vAlign w:val="center"/>
          </w:tcPr>
          <w:p w14:paraId="6776710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w:t>
            </w:r>
          </w:p>
        </w:tc>
        <w:tc>
          <w:tcPr>
            <w:tcW w:w="1269" w:type="dxa"/>
            <w:noWrap w:val="0"/>
            <w:vAlign w:val="center"/>
          </w:tcPr>
          <w:p w14:paraId="7F6E49B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66" w:type="dxa"/>
            <w:noWrap w:val="0"/>
            <w:vAlign w:val="center"/>
          </w:tcPr>
          <w:p w14:paraId="5623592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7" w:type="dxa"/>
            <w:noWrap w:val="0"/>
            <w:vAlign w:val="center"/>
          </w:tcPr>
          <w:p w14:paraId="1F5F4EF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4" w:type="dxa"/>
            <w:noWrap w:val="0"/>
            <w:vAlign w:val="center"/>
          </w:tcPr>
          <w:p w14:paraId="60BCB6A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81" w:type="dxa"/>
            <w:noWrap w:val="0"/>
            <w:vAlign w:val="center"/>
          </w:tcPr>
          <w:p w14:paraId="1F2CCF49">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5</w:t>
            </w:r>
          </w:p>
        </w:tc>
        <w:tc>
          <w:tcPr>
            <w:tcW w:w="931" w:type="dxa"/>
            <w:noWrap w:val="0"/>
            <w:vAlign w:val="center"/>
          </w:tcPr>
          <w:p w14:paraId="5817FDE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08" w:type="dxa"/>
            <w:noWrap w:val="0"/>
            <w:vAlign w:val="center"/>
          </w:tcPr>
          <w:p w14:paraId="119D9FF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85" w:type="dxa"/>
            <w:noWrap w:val="0"/>
            <w:vAlign w:val="center"/>
          </w:tcPr>
          <w:p w14:paraId="32EB00A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657D297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41" w:type="dxa"/>
            <w:gridSpan w:val="2"/>
            <w:noWrap w:val="0"/>
            <w:vAlign w:val="center"/>
          </w:tcPr>
          <w:p w14:paraId="6E2DAA9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黑卷尾</w:t>
            </w:r>
          </w:p>
        </w:tc>
        <w:tc>
          <w:tcPr>
            <w:tcW w:w="1055" w:type="dxa"/>
            <w:noWrap w:val="0"/>
            <w:vAlign w:val="center"/>
          </w:tcPr>
          <w:p w14:paraId="235D1A7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124" w:type="dxa"/>
            <w:noWrap w:val="0"/>
            <w:vAlign w:val="center"/>
          </w:tcPr>
          <w:p w14:paraId="1196B11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269" w:type="dxa"/>
            <w:noWrap w:val="0"/>
            <w:vAlign w:val="center"/>
          </w:tcPr>
          <w:p w14:paraId="1F103CE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66" w:type="dxa"/>
            <w:noWrap w:val="0"/>
            <w:vAlign w:val="center"/>
          </w:tcPr>
          <w:p w14:paraId="0904879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7" w:type="dxa"/>
            <w:noWrap w:val="0"/>
            <w:vAlign w:val="center"/>
          </w:tcPr>
          <w:p w14:paraId="3C51740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4" w:type="dxa"/>
            <w:noWrap w:val="0"/>
            <w:vAlign w:val="center"/>
          </w:tcPr>
          <w:p w14:paraId="0043F60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81" w:type="dxa"/>
            <w:noWrap w:val="0"/>
            <w:vAlign w:val="center"/>
          </w:tcPr>
          <w:p w14:paraId="583E4954">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4</w:t>
            </w:r>
          </w:p>
        </w:tc>
        <w:tc>
          <w:tcPr>
            <w:tcW w:w="931" w:type="dxa"/>
            <w:noWrap w:val="0"/>
            <w:vAlign w:val="center"/>
          </w:tcPr>
          <w:p w14:paraId="40B19F5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08" w:type="dxa"/>
            <w:noWrap w:val="0"/>
            <w:vAlign w:val="center"/>
          </w:tcPr>
          <w:p w14:paraId="78D0781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85" w:type="dxa"/>
            <w:noWrap w:val="0"/>
            <w:vAlign w:val="center"/>
          </w:tcPr>
          <w:p w14:paraId="0467035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1BF030B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41" w:type="dxa"/>
            <w:gridSpan w:val="2"/>
            <w:noWrap w:val="0"/>
            <w:vAlign w:val="center"/>
          </w:tcPr>
          <w:p w14:paraId="4E412AF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家燕</w:t>
            </w:r>
          </w:p>
        </w:tc>
        <w:tc>
          <w:tcPr>
            <w:tcW w:w="1055" w:type="dxa"/>
            <w:noWrap w:val="0"/>
            <w:vAlign w:val="center"/>
          </w:tcPr>
          <w:p w14:paraId="1D5BB5AF">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1124" w:type="dxa"/>
            <w:noWrap w:val="0"/>
            <w:vAlign w:val="center"/>
          </w:tcPr>
          <w:p w14:paraId="3667789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269" w:type="dxa"/>
            <w:noWrap w:val="0"/>
            <w:vAlign w:val="center"/>
          </w:tcPr>
          <w:p w14:paraId="35C7336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66" w:type="dxa"/>
            <w:noWrap w:val="0"/>
            <w:vAlign w:val="center"/>
          </w:tcPr>
          <w:p w14:paraId="3DEF80C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7" w:type="dxa"/>
            <w:noWrap w:val="0"/>
            <w:vAlign w:val="center"/>
          </w:tcPr>
          <w:p w14:paraId="3738CE0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4" w:type="dxa"/>
            <w:noWrap w:val="0"/>
            <w:vAlign w:val="center"/>
          </w:tcPr>
          <w:p w14:paraId="02D4CB9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81" w:type="dxa"/>
            <w:noWrap w:val="0"/>
            <w:vAlign w:val="center"/>
          </w:tcPr>
          <w:p w14:paraId="3D3BF04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eastAsia" w:ascii="Times New Roman" w:hAnsi="Times New Roman" w:cs="Times New Roman"/>
                <w:color w:val="auto"/>
                <w:kern w:val="0"/>
                <w:lang w:bidi="ar"/>
              </w:rPr>
              <w:t>3</w:t>
            </w:r>
          </w:p>
        </w:tc>
        <w:tc>
          <w:tcPr>
            <w:tcW w:w="931" w:type="dxa"/>
            <w:noWrap w:val="0"/>
            <w:vAlign w:val="center"/>
          </w:tcPr>
          <w:p w14:paraId="4344E79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08" w:type="dxa"/>
            <w:noWrap w:val="0"/>
            <w:vAlign w:val="center"/>
          </w:tcPr>
          <w:p w14:paraId="7660E92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85" w:type="dxa"/>
            <w:noWrap w:val="0"/>
            <w:vAlign w:val="center"/>
          </w:tcPr>
          <w:p w14:paraId="6693328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73E1B0A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41" w:type="dxa"/>
            <w:gridSpan w:val="2"/>
            <w:noWrap w:val="0"/>
            <w:vAlign w:val="center"/>
          </w:tcPr>
          <w:p w14:paraId="0C0E474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鹊鸲</w:t>
            </w:r>
          </w:p>
        </w:tc>
        <w:tc>
          <w:tcPr>
            <w:tcW w:w="1055" w:type="dxa"/>
            <w:noWrap w:val="0"/>
            <w:vAlign w:val="center"/>
          </w:tcPr>
          <w:p w14:paraId="2DFF22E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1124" w:type="dxa"/>
            <w:noWrap w:val="0"/>
            <w:vAlign w:val="center"/>
          </w:tcPr>
          <w:p w14:paraId="5381F9F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269" w:type="dxa"/>
            <w:noWrap w:val="0"/>
            <w:vAlign w:val="center"/>
          </w:tcPr>
          <w:p w14:paraId="35DAAF7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266" w:type="dxa"/>
            <w:noWrap w:val="0"/>
            <w:vAlign w:val="center"/>
          </w:tcPr>
          <w:p w14:paraId="6BAE240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7" w:type="dxa"/>
            <w:noWrap w:val="0"/>
            <w:vAlign w:val="center"/>
          </w:tcPr>
          <w:p w14:paraId="487A185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4" w:type="dxa"/>
            <w:noWrap w:val="0"/>
            <w:vAlign w:val="center"/>
          </w:tcPr>
          <w:p w14:paraId="38E3434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81" w:type="dxa"/>
            <w:noWrap w:val="0"/>
            <w:vAlign w:val="center"/>
          </w:tcPr>
          <w:p w14:paraId="3482FF4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3</w:t>
            </w:r>
          </w:p>
        </w:tc>
        <w:tc>
          <w:tcPr>
            <w:tcW w:w="931" w:type="dxa"/>
            <w:noWrap w:val="0"/>
            <w:vAlign w:val="center"/>
          </w:tcPr>
          <w:p w14:paraId="7CC4EB9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08" w:type="dxa"/>
            <w:noWrap w:val="0"/>
            <w:vAlign w:val="center"/>
          </w:tcPr>
          <w:p w14:paraId="5FA1258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85" w:type="dxa"/>
            <w:noWrap w:val="0"/>
            <w:vAlign w:val="center"/>
          </w:tcPr>
          <w:p w14:paraId="4D25FB5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r w14:paraId="5BD4417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41" w:type="dxa"/>
            <w:gridSpan w:val="2"/>
            <w:noWrap w:val="0"/>
            <w:vAlign w:val="center"/>
          </w:tcPr>
          <w:p w14:paraId="6DEEBDC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麻雀</w:t>
            </w:r>
          </w:p>
        </w:tc>
        <w:tc>
          <w:tcPr>
            <w:tcW w:w="1055" w:type="dxa"/>
            <w:noWrap w:val="0"/>
            <w:vAlign w:val="center"/>
          </w:tcPr>
          <w:p w14:paraId="7DEF25F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w:t>
            </w:r>
          </w:p>
        </w:tc>
        <w:tc>
          <w:tcPr>
            <w:tcW w:w="1124" w:type="dxa"/>
            <w:noWrap w:val="0"/>
            <w:vAlign w:val="center"/>
          </w:tcPr>
          <w:p w14:paraId="50407DD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5</w:t>
            </w:r>
          </w:p>
        </w:tc>
        <w:tc>
          <w:tcPr>
            <w:tcW w:w="1269" w:type="dxa"/>
            <w:noWrap w:val="0"/>
            <w:vAlign w:val="center"/>
          </w:tcPr>
          <w:p w14:paraId="1A3A369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1266" w:type="dxa"/>
            <w:noWrap w:val="0"/>
            <w:vAlign w:val="center"/>
          </w:tcPr>
          <w:p w14:paraId="5903FF3C">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p>
        </w:tc>
        <w:tc>
          <w:tcPr>
            <w:tcW w:w="1127" w:type="dxa"/>
            <w:noWrap w:val="0"/>
            <w:vAlign w:val="center"/>
          </w:tcPr>
          <w:p w14:paraId="6D02379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24" w:type="dxa"/>
            <w:noWrap w:val="0"/>
            <w:vAlign w:val="center"/>
          </w:tcPr>
          <w:p w14:paraId="2081032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181" w:type="dxa"/>
            <w:noWrap w:val="0"/>
            <w:vAlign w:val="center"/>
          </w:tcPr>
          <w:p w14:paraId="2758D31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rPr>
            </w:pPr>
            <w:r>
              <w:rPr>
                <w:rFonts w:hint="eastAsia" w:ascii="Times New Roman" w:hAnsi="Times New Roman" w:cs="Times New Roman"/>
                <w:color w:val="auto"/>
                <w:kern w:val="0"/>
                <w:lang w:bidi="ar"/>
              </w:rPr>
              <w:t>13</w:t>
            </w:r>
          </w:p>
        </w:tc>
        <w:tc>
          <w:tcPr>
            <w:tcW w:w="931" w:type="dxa"/>
            <w:noWrap w:val="0"/>
            <w:vAlign w:val="center"/>
          </w:tcPr>
          <w:p w14:paraId="2E2E292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408" w:type="dxa"/>
            <w:noWrap w:val="0"/>
            <w:vAlign w:val="center"/>
          </w:tcPr>
          <w:p w14:paraId="6A589F0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885" w:type="dxa"/>
            <w:noWrap w:val="0"/>
            <w:vAlign w:val="center"/>
          </w:tcPr>
          <w:p w14:paraId="273968E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r>
    </w:tbl>
    <w:p w14:paraId="7F77E704">
      <w:pPr>
        <w:spacing w:line="360" w:lineRule="auto"/>
        <w:ind w:firstLine="480" w:firstLineChars="200"/>
        <w:rPr>
          <w:color w:val="auto"/>
          <w:sz w:val="24"/>
        </w:rPr>
        <w:sectPr>
          <w:pgSz w:w="16840" w:h="11907" w:orient="landscape"/>
          <w:pgMar w:top="1418" w:right="1418" w:bottom="1418" w:left="1418" w:header="851" w:footer="851" w:gutter="0"/>
          <w:pgBorders>
            <w:top w:val="none" w:sz="0" w:space="0"/>
            <w:left w:val="none" w:sz="0" w:space="0"/>
            <w:bottom w:val="none" w:sz="0" w:space="0"/>
            <w:right w:val="none" w:sz="0" w:space="0"/>
          </w:pgBorders>
          <w:cols w:space="720" w:num="1"/>
          <w:docGrid w:type="lines" w:linePitch="312" w:charSpace="0"/>
        </w:sectPr>
      </w:pPr>
    </w:p>
    <w:p w14:paraId="25D34CCD">
      <w:pPr>
        <w:spacing w:line="360" w:lineRule="auto"/>
        <w:ind w:firstLine="480" w:firstLineChars="200"/>
        <w:rPr>
          <w:color w:val="auto"/>
          <w:sz w:val="24"/>
        </w:rPr>
      </w:pPr>
      <w:r>
        <w:rPr>
          <w:rFonts w:hint="eastAsia"/>
          <w:color w:val="auto"/>
          <w:sz w:val="24"/>
        </w:rPr>
        <w:t xml:space="preserve">（2）生物量的测定 </w:t>
      </w:r>
    </w:p>
    <w:p w14:paraId="2B5833E4">
      <w:pPr>
        <w:spacing w:line="360" w:lineRule="auto"/>
        <w:ind w:firstLine="480" w:firstLineChars="200"/>
        <w:rPr>
          <w:color w:val="auto"/>
          <w:sz w:val="24"/>
        </w:rPr>
      </w:pPr>
      <w:r>
        <w:rPr>
          <w:color w:val="auto"/>
          <w:sz w:val="24"/>
        </w:rPr>
        <w:t>草本样方生物量计算是将样方内的草本植物尽数收割，带回实验室，用烘干恒重法测定样品的干物质，计算每个样方草本植物的生物量。</w:t>
      </w:r>
    </w:p>
    <w:p w14:paraId="75342BFF">
      <w:pPr>
        <w:spacing w:line="360" w:lineRule="auto"/>
        <w:ind w:firstLine="480" w:firstLineChars="200"/>
        <w:rPr>
          <w:color w:val="auto"/>
          <w:sz w:val="24"/>
        </w:rPr>
      </w:pPr>
      <w:r>
        <w:rPr>
          <w:color w:val="auto"/>
          <w:sz w:val="24"/>
        </w:rPr>
        <w:t>植被现状调查以资料调研为基础，实地调查采取路线</w:t>
      </w:r>
      <w:r>
        <w:rPr>
          <w:rFonts w:hint="eastAsia"/>
          <w:color w:val="auto"/>
          <w:sz w:val="24"/>
        </w:rPr>
        <w:t>踏勘</w:t>
      </w:r>
      <w:r>
        <w:rPr>
          <w:color w:val="auto"/>
          <w:sz w:val="24"/>
        </w:rPr>
        <w:t>和典型样地调查相结合的技术方法。路线</w:t>
      </w:r>
      <w:r>
        <w:rPr>
          <w:rFonts w:hint="eastAsia"/>
          <w:color w:val="auto"/>
          <w:sz w:val="24"/>
        </w:rPr>
        <w:t>踏勘</w:t>
      </w:r>
      <w:r>
        <w:rPr>
          <w:color w:val="auto"/>
          <w:sz w:val="24"/>
        </w:rPr>
        <w:t>主要是对评价范围进行现场踏勘，通过全程观察，记录</w:t>
      </w:r>
      <w:r>
        <w:rPr>
          <w:rFonts w:hint="eastAsia"/>
          <w:color w:val="auto"/>
          <w:sz w:val="24"/>
        </w:rPr>
        <w:t>本项目</w:t>
      </w:r>
      <w:r>
        <w:rPr>
          <w:color w:val="auto"/>
          <w:sz w:val="24"/>
        </w:rPr>
        <w:t>沿线大致的植被类型、结构和主要的物种组成情况。</w:t>
      </w:r>
    </w:p>
    <w:p w14:paraId="68D61D32">
      <w:pPr>
        <w:spacing w:line="360" w:lineRule="auto"/>
        <w:ind w:firstLine="480" w:firstLineChars="200"/>
        <w:rPr>
          <w:color w:val="auto"/>
          <w:sz w:val="24"/>
        </w:rPr>
      </w:pPr>
      <w:r>
        <w:rPr>
          <w:color w:val="auto"/>
          <w:sz w:val="24"/>
        </w:rPr>
        <w:t>植物种类调查采取路线调查与重点调查相结合的方法，在重点施工区域以及植被状况良好的区域实行重点调查；对资源植物和珍稀濒危植物调查采取野外调查和访问调查相结合的方法进行。</w:t>
      </w:r>
    </w:p>
    <w:p w14:paraId="2B22C31B">
      <w:pPr>
        <w:pStyle w:val="24"/>
        <w:jc w:val="center"/>
        <w:rPr>
          <w:color w:val="auto"/>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4D680795">
      <w:pPr>
        <w:pStyle w:val="24"/>
        <w:jc w:val="center"/>
        <w:rPr>
          <w:rFonts w:hint="eastAsia"/>
          <w:color w:val="auto"/>
          <w:kern w:val="0"/>
          <w:highlight w:val="cyan"/>
        </w:rPr>
      </w:pPr>
      <w:r>
        <w:rPr>
          <w:color w:val="auto"/>
          <w:sz w:val="21"/>
        </w:rPr>
        <mc:AlternateContent>
          <mc:Choice Requires="wps">
            <w:drawing>
              <wp:anchor distT="0" distB="0" distL="114300" distR="114300" simplePos="0" relativeHeight="251739136" behindDoc="0" locked="0" layoutInCell="1" allowOverlap="1">
                <wp:simplePos x="0" y="0"/>
                <wp:positionH relativeFrom="column">
                  <wp:posOffset>7124065</wp:posOffset>
                </wp:positionH>
                <wp:positionV relativeFrom="paragraph">
                  <wp:posOffset>4523740</wp:posOffset>
                </wp:positionV>
                <wp:extent cx="432435" cy="635"/>
                <wp:effectExtent l="0" t="12700" r="5715" b="15240"/>
                <wp:wrapNone/>
                <wp:docPr id="233" name="直接连接符 233"/>
                <wp:cNvGraphicFramePr/>
                <a:graphic xmlns:a="http://schemas.openxmlformats.org/drawingml/2006/main">
                  <a:graphicData uri="http://schemas.microsoft.com/office/word/2010/wordprocessingShape">
                    <wps:wsp>
                      <wps:cNvCnPr>
                        <a:endCxn id="114" idx="1"/>
                      </wps:cNvCnPr>
                      <wps:spPr>
                        <a:xfrm flipV="1">
                          <a:off x="8024495" y="5424170"/>
                          <a:ext cx="432435" cy="635"/>
                        </a:xfrm>
                        <a:prstGeom prst="line">
                          <a:avLst/>
                        </a:prstGeom>
                        <a:ln>
                          <a:solidFill>
                            <a:srgbClr val="FA04DA"/>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560.95pt;margin-top:356.2pt;height:0.05pt;width:34.05pt;z-index:251739136;mso-width-relative:page;mso-height-relative:page;" filled="f" stroked="t" coordsize="21600,21600" o:gfxdata="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own/Y2QAAAA0BAAAPAAAAAAAAAAEAIAAAACIAAABk&#10;cnMvZG93bnJldi54bWxQSwECFAAUAAAACACHTuJAG/AdQAUCAADfAwAADgAAAAAAAAABACAAAAAo&#10;AQAAZHJzL2Uyb0RvYy54bWxQSwUGAAAAAAYABgBZAQAAnwUAAAAA&#10;">
                <v:fill on="f" focussize="0,0"/>
                <v:stroke weight="2pt" color="#FA04DA [3204]" joinstyle="round"/>
                <v:imagedata o:title=""/>
                <o:lock v:ext="edit" aspectratio="f"/>
              </v:line>
            </w:pict>
          </mc:Fallback>
        </mc:AlternateContent>
      </w:r>
      <w:r>
        <w:rPr>
          <w:color w:val="auto"/>
          <w:sz w:val="21"/>
        </w:rPr>
        <mc:AlternateContent>
          <mc:Choice Requires="wps">
            <w:drawing>
              <wp:anchor distT="0" distB="0" distL="114300" distR="114300" simplePos="0" relativeHeight="251738112" behindDoc="0" locked="0" layoutInCell="1" allowOverlap="1">
                <wp:simplePos x="0" y="0"/>
                <wp:positionH relativeFrom="column">
                  <wp:posOffset>7240905</wp:posOffset>
                </wp:positionH>
                <wp:positionV relativeFrom="paragraph">
                  <wp:posOffset>4223385</wp:posOffset>
                </wp:positionV>
                <wp:extent cx="241300" cy="131445"/>
                <wp:effectExtent l="0" t="0" r="6350" b="1905"/>
                <wp:wrapNone/>
                <wp:docPr id="230" name="矩形 230"/>
                <wp:cNvGraphicFramePr/>
                <a:graphic xmlns:a="http://schemas.openxmlformats.org/drawingml/2006/main">
                  <a:graphicData uri="http://schemas.microsoft.com/office/word/2010/wordprocessingShape">
                    <wps:wsp>
                      <wps:cNvSpPr/>
                      <wps:spPr>
                        <a:xfrm>
                          <a:off x="8105140" y="5219065"/>
                          <a:ext cx="241300" cy="131445"/>
                        </a:xfrm>
                        <a:prstGeom prst="rect">
                          <a:avLst/>
                        </a:prstGeom>
                        <a:solidFill>
                          <a:srgbClr val="FFFF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0.15pt;margin-top:332.55pt;height:10.35pt;width:19pt;z-index:251738112;v-text-anchor:middle;mso-width-relative:page;mso-height-relative:page;" fillcolor="#FFFF00" filled="t" stroked="f" coordsize="21600,21600" o:gfxdata="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DJbLtnaAAAADQEAAA8AAAAAAAAAAQAgAAAAIgAAAGRycy9kb3ducmV2Lnht&#10;bFBLAQIUABQAAAAIAIdO4kAWcvWFaQIAAMMEAAAOAAAAAAAAAAEAIAAAACkBAABkcnMvZTJvRG9j&#10;LnhtbFBLBQYAAAAABgAGAFkBAAAEBgAAAAA=&#10;">
                <v:fill on="t" focussize="0,0"/>
                <v:stroke on="f" weight="2pt"/>
                <v:imagedata o:title=""/>
                <o:lock v:ext="edit" aspectratio="f"/>
              </v:rect>
            </w:pict>
          </mc:Fallback>
        </mc:AlternateContent>
      </w:r>
      <w:r>
        <w:rPr>
          <w:color w:val="auto"/>
          <w:sz w:val="21"/>
        </w:rPr>
        <mc:AlternateContent>
          <mc:Choice Requires="wps">
            <w:drawing>
              <wp:anchor distT="0" distB="0" distL="114300" distR="114300" simplePos="0" relativeHeight="251737088" behindDoc="0" locked="0" layoutInCell="1" allowOverlap="1">
                <wp:simplePos x="0" y="0"/>
                <wp:positionH relativeFrom="column">
                  <wp:posOffset>7556500</wp:posOffset>
                </wp:positionH>
                <wp:positionV relativeFrom="paragraph">
                  <wp:posOffset>4164330</wp:posOffset>
                </wp:positionV>
                <wp:extent cx="1560195" cy="718185"/>
                <wp:effectExtent l="0" t="0" r="0" b="0"/>
                <wp:wrapNone/>
                <wp:docPr id="114" name="文本框 114"/>
                <wp:cNvGraphicFramePr/>
                <a:graphic xmlns:a="http://schemas.openxmlformats.org/drawingml/2006/main">
                  <a:graphicData uri="http://schemas.microsoft.com/office/word/2010/wordprocessingShape">
                    <wps:wsp>
                      <wps:cNvSpPr txBox="1"/>
                      <wps:spPr>
                        <a:xfrm>
                          <a:off x="7980680" y="4888865"/>
                          <a:ext cx="1560195" cy="7181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688E1">
                            <w:pPr>
                              <w:rPr>
                                <w:rFonts w:hint="eastAsia"/>
                                <w:lang w:val="en-US" w:eastAsia="zh-CN"/>
                              </w:rPr>
                            </w:pPr>
                            <w:r>
                              <w:rPr>
                                <w:rFonts w:hint="eastAsia"/>
                                <w:lang w:val="en-US" w:eastAsia="zh-CN"/>
                              </w:rPr>
                              <w:t>样方点位</w:t>
                            </w:r>
                          </w:p>
                          <w:p w14:paraId="14F88520">
                            <w:pPr>
                              <w:rPr>
                                <w:rFonts w:hint="default"/>
                                <w:lang w:val="en-US" w:eastAsia="zh-CN"/>
                              </w:rPr>
                            </w:pPr>
                            <w:r>
                              <w:rPr>
                                <w:rFonts w:hint="eastAsia"/>
                                <w:lang w:val="en-US" w:eastAsia="zh-CN"/>
                              </w:rPr>
                              <w:t>样线点位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5pt;margin-top:327.9pt;height:56.55pt;width:122.85pt;z-index:251737088;mso-width-relative:page;mso-height-relative:page;" filled="f" stroked="f" coordsize="21600,21600" o:gfxdata="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NXo/290AAAANAQAADwAA&#10;AAAAAAABACAAAAAiAAAAZHJzL2Rvd25yZXYueG1sUEsBAhQAFAAAAAgAh07iQOuckYxKAgAAdgQA&#10;AA4AAAAAAAAAAQAgAAAALAEAAGRycy9lMm9Eb2MueG1sUEsFBgAAAAAGAAYAWQEAAOgFAAAAAA==&#10;">
                <v:fill on="f" focussize="0,0"/>
                <v:stroke on="f" weight="0.5pt"/>
                <v:imagedata o:title=""/>
                <o:lock v:ext="edit" aspectratio="f"/>
                <v:textbox>
                  <w:txbxContent>
                    <w:p w14:paraId="1EE688E1">
                      <w:pPr>
                        <w:rPr>
                          <w:rFonts w:hint="eastAsia"/>
                          <w:lang w:val="en-US" w:eastAsia="zh-CN"/>
                        </w:rPr>
                      </w:pPr>
                      <w:r>
                        <w:rPr>
                          <w:rFonts w:hint="eastAsia"/>
                          <w:lang w:val="en-US" w:eastAsia="zh-CN"/>
                        </w:rPr>
                        <w:t>样方点位</w:t>
                      </w:r>
                    </w:p>
                    <w:p w14:paraId="14F88520">
                      <w:pPr>
                        <w:rPr>
                          <w:rFonts w:hint="default"/>
                          <w:lang w:val="en-US" w:eastAsia="zh-CN"/>
                        </w:rPr>
                      </w:pPr>
                      <w:r>
                        <w:rPr>
                          <w:rFonts w:hint="eastAsia"/>
                          <w:lang w:val="en-US" w:eastAsia="zh-CN"/>
                        </w:rPr>
                        <w:t>样线点位</w:t>
                      </w:r>
                    </w:p>
                  </w:txbxContent>
                </v:textbox>
              </v:shape>
            </w:pict>
          </mc:Fallback>
        </mc:AlternateContent>
      </w:r>
      <w:r>
        <w:rPr>
          <w:color w:val="auto"/>
        </w:rPr>
        <w:drawing>
          <wp:inline distT="0" distB="0" distL="114300" distR="114300">
            <wp:extent cx="8829040" cy="4822190"/>
            <wp:effectExtent l="0" t="0" r="10160" b="16510"/>
            <wp:docPr id="166"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317"/>
                    <pic:cNvPicPr>
                      <a:picLocks noChangeAspect="1"/>
                    </pic:cNvPicPr>
                  </pic:nvPicPr>
                  <pic:blipFill>
                    <a:blip r:embed="rId97"/>
                    <a:stretch>
                      <a:fillRect/>
                    </a:stretch>
                  </pic:blipFill>
                  <pic:spPr>
                    <a:xfrm>
                      <a:off x="0" y="0"/>
                      <a:ext cx="8829040" cy="4822190"/>
                    </a:xfrm>
                    <a:prstGeom prst="rect">
                      <a:avLst/>
                    </a:prstGeom>
                    <a:noFill/>
                    <a:ln>
                      <a:noFill/>
                    </a:ln>
                  </pic:spPr>
                </pic:pic>
              </a:graphicData>
            </a:graphic>
          </wp:inline>
        </w:drawing>
      </w:r>
    </w:p>
    <w:p w14:paraId="7FEF5C74">
      <w:pPr>
        <w:spacing w:line="400" w:lineRule="exact"/>
        <w:jc w:val="center"/>
        <w:rPr>
          <w:rFonts w:hint="eastAsia" w:eastAsia="黑体"/>
          <w:color w:val="auto"/>
          <w:kern w:val="0"/>
          <w:sz w:val="24"/>
          <w:szCs w:val="24"/>
        </w:rPr>
      </w:pPr>
      <w:r>
        <w:rPr>
          <w:rFonts w:eastAsia="黑体"/>
          <w:color w:val="auto"/>
          <w:kern w:val="0"/>
          <w:sz w:val="24"/>
          <w:szCs w:val="24"/>
        </w:rPr>
        <w:t>图4.2-</w:t>
      </w:r>
      <w:r>
        <w:rPr>
          <w:rFonts w:hint="eastAsia" w:eastAsia="黑体"/>
          <w:color w:val="auto"/>
          <w:kern w:val="0"/>
          <w:sz w:val="24"/>
          <w:szCs w:val="24"/>
        </w:rPr>
        <w:t>4</w:t>
      </w:r>
      <w:r>
        <w:rPr>
          <w:rFonts w:eastAsia="黑体"/>
          <w:color w:val="auto"/>
          <w:kern w:val="0"/>
          <w:sz w:val="24"/>
          <w:szCs w:val="24"/>
        </w:rPr>
        <w:t xml:space="preserve">   本项目影响评价区样方分布图</w:t>
      </w:r>
    </w:p>
    <w:p w14:paraId="366967C5">
      <w:pPr>
        <w:pStyle w:val="6"/>
        <w:rPr>
          <w:color w:val="auto"/>
        </w:rPr>
        <w:sectPr>
          <w:pgSz w:w="16840" w:h="11907" w:orient="landscape"/>
          <w:pgMar w:top="1418" w:right="1418" w:bottom="1418" w:left="1418" w:header="851" w:footer="851" w:gutter="0"/>
          <w:pgBorders>
            <w:top w:val="none" w:sz="0" w:space="0"/>
            <w:left w:val="none" w:sz="0" w:space="0"/>
            <w:bottom w:val="none" w:sz="0" w:space="0"/>
            <w:right w:val="none" w:sz="0" w:space="0"/>
          </w:pgBorders>
          <w:cols w:space="720" w:num="1"/>
          <w:docGrid w:type="lines" w:linePitch="312" w:charSpace="0"/>
        </w:sectPr>
      </w:pPr>
    </w:p>
    <w:p w14:paraId="26146090">
      <w:pPr>
        <w:pStyle w:val="6"/>
        <w:rPr>
          <w:color w:val="auto"/>
        </w:rPr>
      </w:pPr>
      <w:r>
        <w:rPr>
          <w:rFonts w:hint="eastAsia"/>
          <w:color w:val="auto"/>
        </w:rPr>
        <w:t>4</w:t>
      </w:r>
      <w:r>
        <w:rPr>
          <w:color w:val="auto"/>
        </w:rPr>
        <w:t>.2.5.1.2</w:t>
      </w:r>
      <w:r>
        <w:rPr>
          <w:rFonts w:hint="eastAsia"/>
          <w:color w:val="auto"/>
        </w:rPr>
        <w:t>植物群落结构</w:t>
      </w:r>
    </w:p>
    <w:p w14:paraId="189791A2">
      <w:pPr>
        <w:spacing w:line="360" w:lineRule="auto"/>
        <w:ind w:firstLine="480" w:firstLineChars="200"/>
        <w:rPr>
          <w:rFonts w:hint="eastAsia"/>
          <w:color w:val="auto"/>
          <w:sz w:val="24"/>
        </w:rPr>
      </w:pPr>
      <w:r>
        <w:rPr>
          <w:rFonts w:hint="eastAsia"/>
          <w:color w:val="auto"/>
          <w:sz w:val="24"/>
        </w:rPr>
        <w:t>结合实地调查和文献资料，确定评价区内植物有35科71属85种。其中蔷薇科为优势科，有12个物种；菊科为次优势科，有10个物种；禾本科和豆科为第三优势科，有8个物种。评价区内无国家保护野生植物。林分多为针阔混交林，树种有马尾松、榆树、黑松等，林冠郁闭度为0.7左右，乔木层高度在8~14m，平均胸径为10cm左右。林下多为灌木和草本，灌木层有茅栗、胡枝子、芫花等，草本层有狗尾草、车前草、鸡矢藤等。评价区内植被主要为当地常见植被，乔木、灌木树种相对单一，草本植物较为丰富。评价区内无古树名木分布。</w:t>
      </w:r>
    </w:p>
    <w:p w14:paraId="7A1C3FA2">
      <w:pPr>
        <w:spacing w:line="360" w:lineRule="auto"/>
        <w:ind w:firstLine="480" w:firstLineChars="200"/>
        <w:rPr>
          <w:rFonts w:hint="eastAsia"/>
          <w:color w:val="auto"/>
          <w:sz w:val="24"/>
        </w:rPr>
      </w:pPr>
      <w:r>
        <w:rPr>
          <w:rFonts w:hint="eastAsia"/>
          <w:color w:val="auto"/>
          <w:sz w:val="24"/>
        </w:rPr>
        <w:t>经调查评价区内主要植物群落有马尾松纯林、马尾松栓皮栎混交林、毛白杨防护林、梨树经济林、石楠经济林、白茅蒿草群落。</w:t>
      </w:r>
    </w:p>
    <w:p w14:paraId="5EC9B46E">
      <w:pPr>
        <w:spacing w:line="360" w:lineRule="auto"/>
        <w:ind w:firstLine="480" w:firstLineChars="200"/>
        <w:rPr>
          <w:rFonts w:hint="eastAsia"/>
          <w:color w:val="auto"/>
          <w:sz w:val="24"/>
        </w:rPr>
      </w:pPr>
      <w:r>
        <w:rPr>
          <w:color w:val="auto"/>
          <w:sz w:val="24"/>
        </w:rPr>
        <w:fldChar w:fldCharType="begin"/>
      </w:r>
      <w:r>
        <w:rPr>
          <w:color w:val="auto"/>
          <w:sz w:val="24"/>
        </w:rPr>
        <w:instrText xml:space="preserve"> </w:instrText>
      </w:r>
      <w:r>
        <w:rPr>
          <w:rFonts w:hint="eastAsia"/>
          <w:color w:val="auto"/>
          <w:sz w:val="24"/>
        </w:rPr>
        <w:instrText xml:space="preserve">= 1 \* GB3</w:instrText>
      </w:r>
      <w:r>
        <w:rPr>
          <w:color w:val="auto"/>
          <w:sz w:val="24"/>
        </w:rPr>
        <w:instrText xml:space="preserve"> </w:instrText>
      </w:r>
      <w:r>
        <w:rPr>
          <w:color w:val="auto"/>
          <w:sz w:val="24"/>
        </w:rPr>
        <w:fldChar w:fldCharType="separate"/>
      </w:r>
      <w:r>
        <w:rPr>
          <w:rFonts w:hint="eastAsia"/>
          <w:color w:val="auto"/>
          <w:sz w:val="24"/>
        </w:rPr>
        <w:t>①</w:t>
      </w:r>
      <w:r>
        <w:rPr>
          <w:color w:val="auto"/>
          <w:sz w:val="24"/>
        </w:rPr>
        <w:fldChar w:fldCharType="end"/>
      </w:r>
      <w:r>
        <w:rPr>
          <w:rFonts w:hint="eastAsia"/>
          <w:color w:val="auto"/>
          <w:sz w:val="24"/>
        </w:rPr>
        <w:t>马尾松纯林</w:t>
      </w:r>
    </w:p>
    <w:p w14:paraId="7115D64F">
      <w:pPr>
        <w:spacing w:line="360" w:lineRule="auto"/>
        <w:ind w:firstLine="480" w:firstLineChars="200"/>
        <w:rPr>
          <w:rFonts w:hint="eastAsia"/>
          <w:color w:val="auto"/>
          <w:sz w:val="24"/>
        </w:rPr>
      </w:pPr>
      <w:r>
        <w:rPr>
          <w:rFonts w:hint="eastAsia"/>
          <w:color w:val="auto"/>
          <w:sz w:val="24"/>
        </w:rPr>
        <w:t>乔木层马尾松占绝对优势，高度一般10~15m，胸径随树龄有差别，树龄基本在20年以上。山槐、刺槐、栓皮栎等落叶阔叶树种散生其中，形成不显著的亚乔木层，高度在8~12m之间。马尾松纯林主要分布在评价区的东北部。</w:t>
      </w:r>
    </w:p>
    <w:p w14:paraId="303094E0">
      <w:pPr>
        <w:spacing w:line="360" w:lineRule="auto"/>
        <w:ind w:firstLine="480" w:firstLineChars="200"/>
        <w:rPr>
          <w:rFonts w:hint="eastAsia"/>
          <w:color w:val="auto"/>
          <w:sz w:val="24"/>
        </w:rPr>
      </w:pPr>
      <w:r>
        <w:rPr>
          <w:color w:val="auto"/>
          <w:sz w:val="24"/>
        </w:rPr>
        <w:fldChar w:fldCharType="begin"/>
      </w:r>
      <w:r>
        <w:rPr>
          <w:color w:val="auto"/>
          <w:sz w:val="24"/>
        </w:rPr>
        <w:instrText xml:space="preserve"> </w:instrText>
      </w:r>
      <w:r>
        <w:rPr>
          <w:rFonts w:hint="eastAsia"/>
          <w:color w:val="auto"/>
          <w:sz w:val="24"/>
        </w:rPr>
        <w:instrText xml:space="preserve">= 2 \* GB3</w:instrText>
      </w:r>
      <w:r>
        <w:rPr>
          <w:color w:val="auto"/>
          <w:sz w:val="24"/>
        </w:rPr>
        <w:instrText xml:space="preserve"> </w:instrText>
      </w:r>
      <w:r>
        <w:rPr>
          <w:color w:val="auto"/>
          <w:sz w:val="24"/>
        </w:rPr>
        <w:fldChar w:fldCharType="separate"/>
      </w:r>
      <w:r>
        <w:rPr>
          <w:rFonts w:hint="eastAsia"/>
          <w:color w:val="auto"/>
          <w:sz w:val="24"/>
        </w:rPr>
        <w:t>②</w:t>
      </w:r>
      <w:r>
        <w:rPr>
          <w:color w:val="auto"/>
          <w:sz w:val="24"/>
        </w:rPr>
        <w:fldChar w:fldCharType="end"/>
      </w:r>
      <w:r>
        <w:rPr>
          <w:rFonts w:hint="eastAsia"/>
          <w:color w:val="auto"/>
          <w:sz w:val="24"/>
        </w:rPr>
        <w:t>马尾松栓皮栎混交林</w:t>
      </w:r>
    </w:p>
    <w:p w14:paraId="191AE570">
      <w:pPr>
        <w:spacing w:line="360" w:lineRule="auto"/>
        <w:ind w:firstLine="480" w:firstLineChars="200"/>
        <w:rPr>
          <w:rFonts w:hint="eastAsia"/>
          <w:color w:val="auto"/>
          <w:sz w:val="24"/>
        </w:rPr>
      </w:pPr>
      <w:r>
        <w:rPr>
          <w:rFonts w:hint="eastAsia"/>
          <w:color w:val="auto"/>
          <w:sz w:val="24"/>
        </w:rPr>
        <w:t>乔木层马尾松与栓皮栎为优势种，数量比例接近1:1，高度一般为8~12m，胸径</w:t>
      </w:r>
      <w:r>
        <w:rPr>
          <w:rFonts w:hint="eastAsia"/>
          <w:color w:val="auto"/>
          <w:sz w:val="24"/>
          <w:lang w:eastAsia="zh-CN"/>
        </w:rPr>
        <w:t>随</w:t>
      </w:r>
      <w:r>
        <w:rPr>
          <w:rFonts w:hint="eastAsia"/>
          <w:color w:val="auto"/>
          <w:sz w:val="24"/>
        </w:rPr>
        <w:t>树龄有差别，树龄基本在20年以上。山槐、刺槐、栓皮栎等落叶阔叶树种散生其中，形成不显著的亚乔木层，高度在6~10m之间，马尾松栓皮栎混交林分布在评价区的东部的森林生态系统中。</w:t>
      </w:r>
    </w:p>
    <w:p w14:paraId="4E1944D2">
      <w:pPr>
        <w:spacing w:line="360" w:lineRule="auto"/>
        <w:ind w:firstLine="480" w:firstLineChars="200"/>
        <w:rPr>
          <w:rFonts w:hint="eastAsia"/>
          <w:color w:val="auto"/>
          <w:sz w:val="24"/>
        </w:rPr>
      </w:pPr>
      <w:r>
        <w:rPr>
          <w:color w:val="auto"/>
          <w:sz w:val="24"/>
        </w:rPr>
        <w:fldChar w:fldCharType="begin"/>
      </w:r>
      <w:r>
        <w:rPr>
          <w:color w:val="auto"/>
          <w:sz w:val="24"/>
        </w:rPr>
        <w:instrText xml:space="preserve"> </w:instrText>
      </w:r>
      <w:r>
        <w:rPr>
          <w:rFonts w:hint="eastAsia"/>
          <w:color w:val="auto"/>
          <w:sz w:val="24"/>
        </w:rPr>
        <w:instrText xml:space="preserve">= 3 \* GB3</w:instrText>
      </w:r>
      <w:r>
        <w:rPr>
          <w:color w:val="auto"/>
          <w:sz w:val="24"/>
        </w:rPr>
        <w:instrText xml:space="preserve"> </w:instrText>
      </w:r>
      <w:r>
        <w:rPr>
          <w:color w:val="auto"/>
          <w:sz w:val="24"/>
        </w:rPr>
        <w:fldChar w:fldCharType="separate"/>
      </w:r>
      <w:r>
        <w:rPr>
          <w:rFonts w:hint="eastAsia"/>
          <w:color w:val="auto"/>
          <w:sz w:val="24"/>
        </w:rPr>
        <w:t>③</w:t>
      </w:r>
      <w:r>
        <w:rPr>
          <w:color w:val="auto"/>
          <w:sz w:val="24"/>
        </w:rPr>
        <w:fldChar w:fldCharType="end"/>
      </w:r>
      <w:r>
        <w:rPr>
          <w:rFonts w:hint="eastAsia"/>
          <w:color w:val="auto"/>
          <w:sz w:val="24"/>
        </w:rPr>
        <w:t>毛白杨防护林</w:t>
      </w:r>
    </w:p>
    <w:p w14:paraId="37D7B95A">
      <w:pPr>
        <w:spacing w:line="360" w:lineRule="auto"/>
        <w:ind w:firstLine="480" w:firstLineChars="200"/>
        <w:rPr>
          <w:rFonts w:hint="eastAsia"/>
          <w:color w:val="auto"/>
          <w:sz w:val="24"/>
        </w:rPr>
      </w:pPr>
      <w:r>
        <w:rPr>
          <w:rFonts w:hint="eastAsia"/>
          <w:color w:val="auto"/>
          <w:sz w:val="24"/>
        </w:rPr>
        <w:t>乔木层毛白杨占绝对优势，高度一般为12~15m，胸径一般为20~40cm，树龄在8~12年。有人工管护，灌木层仅有少量散生构树、枫杨等。毛白杨防护林主要分布在评价区内东淝河边。</w:t>
      </w:r>
    </w:p>
    <w:p w14:paraId="44E4E404">
      <w:pPr>
        <w:spacing w:line="360" w:lineRule="auto"/>
        <w:ind w:firstLine="480" w:firstLineChars="200"/>
        <w:rPr>
          <w:rFonts w:hint="eastAsia"/>
          <w:color w:val="auto"/>
          <w:sz w:val="24"/>
        </w:rPr>
      </w:pPr>
      <w:r>
        <w:rPr>
          <w:color w:val="auto"/>
          <w:sz w:val="24"/>
        </w:rPr>
        <w:fldChar w:fldCharType="begin"/>
      </w:r>
      <w:r>
        <w:rPr>
          <w:color w:val="auto"/>
          <w:sz w:val="24"/>
        </w:rPr>
        <w:instrText xml:space="preserve"> </w:instrText>
      </w:r>
      <w:r>
        <w:rPr>
          <w:rFonts w:hint="eastAsia"/>
          <w:color w:val="auto"/>
          <w:sz w:val="24"/>
        </w:rPr>
        <w:instrText xml:space="preserve">= 4 \* GB3</w:instrText>
      </w:r>
      <w:r>
        <w:rPr>
          <w:color w:val="auto"/>
          <w:sz w:val="24"/>
        </w:rPr>
        <w:instrText xml:space="preserve"> </w:instrText>
      </w:r>
      <w:r>
        <w:rPr>
          <w:color w:val="auto"/>
          <w:sz w:val="24"/>
        </w:rPr>
        <w:fldChar w:fldCharType="separate"/>
      </w:r>
      <w:r>
        <w:rPr>
          <w:rFonts w:hint="eastAsia"/>
          <w:color w:val="auto"/>
          <w:sz w:val="24"/>
        </w:rPr>
        <w:t>④</w:t>
      </w:r>
      <w:r>
        <w:rPr>
          <w:color w:val="auto"/>
          <w:sz w:val="24"/>
        </w:rPr>
        <w:fldChar w:fldCharType="end"/>
      </w:r>
      <w:r>
        <w:rPr>
          <w:rFonts w:hint="eastAsia"/>
          <w:color w:val="auto"/>
          <w:sz w:val="24"/>
        </w:rPr>
        <w:t>梨树经济林</w:t>
      </w:r>
    </w:p>
    <w:p w14:paraId="7B0DAE9B">
      <w:pPr>
        <w:spacing w:line="360" w:lineRule="auto"/>
        <w:ind w:firstLine="480" w:firstLineChars="200"/>
        <w:rPr>
          <w:rFonts w:hint="eastAsia"/>
          <w:color w:val="auto"/>
          <w:sz w:val="24"/>
        </w:rPr>
      </w:pPr>
      <w:r>
        <w:rPr>
          <w:rFonts w:hint="eastAsia"/>
          <w:color w:val="auto"/>
          <w:sz w:val="24"/>
        </w:rPr>
        <w:t>乔木层仅有梨树，为人工栽种的林子，梨树占绝对优势，高度为3-5m，胸径为8-15cm，树龄在4-8年。人工管护较好，灌木层仅有少量野蔷薇。梨树经济林在评价区内呈斑块分布，主要分布在低山丘陵地带。</w:t>
      </w:r>
    </w:p>
    <w:p w14:paraId="3BD7C708">
      <w:pPr>
        <w:spacing w:line="360" w:lineRule="auto"/>
        <w:ind w:firstLine="480" w:firstLineChars="200"/>
        <w:rPr>
          <w:rFonts w:hint="eastAsia"/>
          <w:color w:val="auto"/>
          <w:sz w:val="24"/>
        </w:rPr>
      </w:pPr>
      <w:r>
        <w:rPr>
          <w:color w:val="auto"/>
          <w:sz w:val="24"/>
        </w:rPr>
        <w:fldChar w:fldCharType="begin"/>
      </w:r>
      <w:r>
        <w:rPr>
          <w:color w:val="auto"/>
          <w:sz w:val="24"/>
        </w:rPr>
        <w:instrText xml:space="preserve"> </w:instrText>
      </w:r>
      <w:r>
        <w:rPr>
          <w:rFonts w:hint="eastAsia"/>
          <w:color w:val="auto"/>
          <w:sz w:val="24"/>
        </w:rPr>
        <w:instrText xml:space="preserve">= 5 \* GB3</w:instrText>
      </w:r>
      <w:r>
        <w:rPr>
          <w:color w:val="auto"/>
          <w:sz w:val="24"/>
        </w:rPr>
        <w:instrText xml:space="preserve"> </w:instrText>
      </w:r>
      <w:r>
        <w:rPr>
          <w:color w:val="auto"/>
          <w:sz w:val="24"/>
        </w:rPr>
        <w:fldChar w:fldCharType="separate"/>
      </w:r>
      <w:r>
        <w:rPr>
          <w:rFonts w:hint="eastAsia"/>
          <w:color w:val="auto"/>
          <w:sz w:val="24"/>
        </w:rPr>
        <w:t>⑤</w:t>
      </w:r>
      <w:r>
        <w:rPr>
          <w:color w:val="auto"/>
          <w:sz w:val="24"/>
        </w:rPr>
        <w:fldChar w:fldCharType="end"/>
      </w:r>
      <w:r>
        <w:rPr>
          <w:rFonts w:hint="eastAsia"/>
          <w:color w:val="auto"/>
          <w:sz w:val="24"/>
        </w:rPr>
        <w:t>石楠经济林</w:t>
      </w:r>
    </w:p>
    <w:p w14:paraId="5EF5182A">
      <w:pPr>
        <w:spacing w:line="360" w:lineRule="auto"/>
        <w:ind w:firstLine="480" w:firstLineChars="200"/>
        <w:rPr>
          <w:color w:val="auto"/>
          <w:sz w:val="24"/>
        </w:rPr>
      </w:pPr>
      <w:r>
        <w:rPr>
          <w:rFonts w:hint="eastAsia"/>
          <w:color w:val="auto"/>
          <w:sz w:val="24"/>
        </w:rPr>
        <w:t>为栽培树种人工管护较好，石楠占绝对优势，高度为1~2m，冠幅1-2m，树龄在3年以内，草本层仅有少量的常见杂草。</w:t>
      </w:r>
    </w:p>
    <w:p w14:paraId="2F7064B0">
      <w:pPr>
        <w:pStyle w:val="6"/>
        <w:rPr>
          <w:color w:val="auto"/>
        </w:rPr>
      </w:pPr>
      <w:r>
        <w:rPr>
          <w:rFonts w:hint="eastAsia"/>
          <w:color w:val="auto"/>
        </w:rPr>
        <w:t>4</w:t>
      </w:r>
      <w:r>
        <w:rPr>
          <w:color w:val="auto"/>
        </w:rPr>
        <w:t>.2.5.1.3陆生动物</w:t>
      </w:r>
    </w:p>
    <w:p w14:paraId="7B1B1305">
      <w:pPr>
        <w:pStyle w:val="237"/>
        <w:ind w:firstLine="480"/>
        <w:rPr>
          <w:rFonts w:hint="default" w:eastAsia="宋体"/>
          <w:color w:val="auto"/>
          <w:lang w:val="en-US" w:eastAsia="zh-CN"/>
        </w:rPr>
      </w:pPr>
      <w:r>
        <w:rPr>
          <w:rFonts w:hint="eastAsia"/>
          <w:color w:val="auto"/>
        </w:rPr>
        <w:t>结合实地调查和文献资料，确定评价区内共有鸟类</w:t>
      </w:r>
      <w:r>
        <w:rPr>
          <w:color w:val="auto"/>
        </w:rPr>
        <w:t>4</w:t>
      </w:r>
      <w:r>
        <w:rPr>
          <w:rFonts w:hint="eastAsia"/>
          <w:color w:val="auto"/>
        </w:rPr>
        <w:t>目</w:t>
      </w:r>
      <w:r>
        <w:rPr>
          <w:color w:val="auto"/>
        </w:rPr>
        <w:t>16</w:t>
      </w:r>
      <w:r>
        <w:rPr>
          <w:rFonts w:hint="eastAsia"/>
          <w:color w:val="auto"/>
        </w:rPr>
        <w:t>科</w:t>
      </w:r>
      <w:r>
        <w:rPr>
          <w:color w:val="auto"/>
        </w:rPr>
        <w:t>43</w:t>
      </w:r>
      <w:r>
        <w:rPr>
          <w:rFonts w:hint="eastAsia"/>
          <w:color w:val="auto"/>
        </w:rPr>
        <w:t>种；兽类</w:t>
      </w:r>
      <w:r>
        <w:rPr>
          <w:color w:val="auto"/>
        </w:rPr>
        <w:t>6</w:t>
      </w:r>
      <w:r>
        <w:rPr>
          <w:rFonts w:hint="eastAsia"/>
          <w:color w:val="auto"/>
        </w:rPr>
        <w:t>目</w:t>
      </w:r>
      <w:r>
        <w:rPr>
          <w:color w:val="auto"/>
        </w:rPr>
        <w:t>8</w:t>
      </w:r>
      <w:r>
        <w:rPr>
          <w:rFonts w:hint="eastAsia"/>
          <w:color w:val="auto"/>
        </w:rPr>
        <w:t>科</w:t>
      </w:r>
      <w:r>
        <w:rPr>
          <w:color w:val="auto"/>
        </w:rPr>
        <w:t>16</w:t>
      </w:r>
      <w:r>
        <w:rPr>
          <w:rFonts w:hint="eastAsia"/>
          <w:color w:val="auto"/>
        </w:rPr>
        <w:t>种；两栖爬行类</w:t>
      </w:r>
      <w:r>
        <w:rPr>
          <w:color w:val="auto"/>
        </w:rPr>
        <w:t>3</w:t>
      </w:r>
      <w:r>
        <w:rPr>
          <w:rFonts w:hint="eastAsia"/>
          <w:color w:val="auto"/>
        </w:rPr>
        <w:t>目</w:t>
      </w:r>
      <w:r>
        <w:rPr>
          <w:color w:val="auto"/>
        </w:rPr>
        <w:t>8</w:t>
      </w:r>
      <w:r>
        <w:rPr>
          <w:rFonts w:hint="eastAsia"/>
          <w:color w:val="auto"/>
        </w:rPr>
        <w:t>科</w:t>
      </w:r>
      <w:r>
        <w:rPr>
          <w:color w:val="auto"/>
        </w:rPr>
        <w:t>13</w:t>
      </w:r>
      <w:r>
        <w:rPr>
          <w:rFonts w:hint="eastAsia"/>
          <w:color w:val="auto"/>
        </w:rPr>
        <w:t>种。无国家级重点保护野生动物。</w:t>
      </w:r>
      <w:r>
        <w:rPr>
          <w:rFonts w:hint="eastAsia"/>
          <w:color w:val="auto"/>
          <w:lang w:val="en-US" w:eastAsia="zh-CN"/>
        </w:rPr>
        <w:t>根据表4.2-18~4.2-22，</w:t>
      </w:r>
      <w:r>
        <w:rPr>
          <w:rFonts w:hint="eastAsia"/>
          <w:color w:val="auto"/>
          <w:sz w:val="24"/>
          <w:lang w:val="en-US" w:eastAsia="zh-CN"/>
        </w:rPr>
        <w:t>可求得区域陆生生物Shannon-Wiener多样性指数为2.43，Shannon-Wiener</w:t>
      </w:r>
      <w:r>
        <w:rPr>
          <w:rFonts w:hint="eastAsia"/>
          <w:color w:val="auto"/>
          <w:sz w:val="24"/>
        </w:rPr>
        <w:t>多样性指数</w:t>
      </w:r>
      <w:r>
        <w:rPr>
          <w:rFonts w:hint="eastAsia"/>
          <w:color w:val="auto"/>
          <w:sz w:val="24"/>
          <w:lang w:val="en-US" w:eastAsia="zh-CN"/>
        </w:rPr>
        <w:t>位于</w:t>
      </w:r>
      <w:r>
        <w:rPr>
          <w:rFonts w:hint="eastAsia"/>
          <w:color w:val="auto"/>
          <w:sz w:val="24"/>
        </w:rPr>
        <w:t>Magurra</w:t>
      </w:r>
      <w:r>
        <w:rPr>
          <w:rFonts w:hint="eastAsia"/>
          <w:color w:val="auto"/>
          <w:sz w:val="24"/>
          <w:lang w:val="en-US" w:eastAsia="zh-CN"/>
        </w:rPr>
        <w:t>n</w:t>
      </w:r>
      <w:r>
        <w:rPr>
          <w:rFonts w:hint="default"/>
          <w:color w:val="auto"/>
          <w:sz w:val="24"/>
        </w:rPr>
        <w:t>提出的一般范围之</w:t>
      </w:r>
      <w:r>
        <w:rPr>
          <w:rFonts w:hint="eastAsia"/>
          <w:color w:val="auto"/>
          <w:sz w:val="24"/>
          <w:lang w:val="en-US" w:eastAsia="zh-CN"/>
        </w:rPr>
        <w:t>内</w:t>
      </w:r>
      <w:r>
        <w:rPr>
          <w:rFonts w:hint="default"/>
          <w:color w:val="auto"/>
          <w:sz w:val="24"/>
        </w:rPr>
        <w:t>(1.5—3.5)</w:t>
      </w:r>
      <w:r>
        <w:rPr>
          <w:rFonts w:hint="eastAsia"/>
          <w:color w:val="auto"/>
          <w:sz w:val="24"/>
          <w:lang w:eastAsia="zh-CN"/>
        </w:rPr>
        <w:t>，</w:t>
      </w:r>
      <w:r>
        <w:rPr>
          <w:rFonts w:hint="eastAsia"/>
          <w:color w:val="auto"/>
          <w:sz w:val="24"/>
          <w:lang w:val="en-US" w:eastAsia="zh-CN"/>
        </w:rPr>
        <w:t>区域陆生动物生物多样性一般，未出现明显的物种多样性消失或物种入侵现象。</w:t>
      </w:r>
    </w:p>
    <w:p w14:paraId="43F56019">
      <w:pPr>
        <w:pStyle w:val="237"/>
        <w:ind w:firstLine="480"/>
        <w:rPr>
          <w:color w:val="auto"/>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r>
        <w:rPr>
          <w:rFonts w:hint="eastAsia"/>
          <w:color w:val="auto"/>
        </w:rPr>
        <w:t>由于评价区中有大量的居民点，受人类干扰影响野生动物种类及数量均较少。本次调查到的鸟类主要为居民区鸟类，常见的鸟类有麻雀、金翅雀、八哥、山斑鸠等；兽类主要为中小型啮齿类，如草兔、黄鼬等，未发现大型兽类；受调查季节影响，本次未发现两栖爬行类，但根据历史资料和访问调查，可确定评价区内有少量常见两栖爬行类动物，如中华大蟾蜍、黑斑侧褶蛙等。</w:t>
      </w:r>
    </w:p>
    <w:p w14:paraId="616B02D9">
      <w:pPr>
        <w:pStyle w:val="237"/>
        <w:ind w:firstLine="0" w:firstLineChars="0"/>
        <w:jc w:val="center"/>
        <w:rPr>
          <w:rFonts w:hint="eastAsia"/>
          <w:color w:val="auto"/>
        </w:rPr>
      </w:pPr>
      <w:r>
        <w:rPr>
          <w:color w:val="auto"/>
        </w:rPr>
        <mc:AlternateContent>
          <mc:Choice Requires="wps">
            <w:drawing>
              <wp:anchor distT="0" distB="0" distL="114300" distR="114300" simplePos="0" relativeHeight="251716608" behindDoc="0" locked="0" layoutInCell="1" allowOverlap="1">
                <wp:simplePos x="0" y="0"/>
                <wp:positionH relativeFrom="column">
                  <wp:posOffset>1383030</wp:posOffset>
                </wp:positionH>
                <wp:positionV relativeFrom="paragraph">
                  <wp:posOffset>855345</wp:posOffset>
                </wp:positionV>
                <wp:extent cx="1021080" cy="257175"/>
                <wp:effectExtent l="0" t="0" r="0" b="0"/>
                <wp:wrapNone/>
                <wp:docPr id="79" name="文本框 206"/>
                <wp:cNvGraphicFramePr/>
                <a:graphic xmlns:a="http://schemas.openxmlformats.org/drawingml/2006/main">
                  <a:graphicData uri="http://schemas.microsoft.com/office/word/2010/wordprocessingShape">
                    <wps:wsp>
                      <wps:cNvSpPr txBox="1"/>
                      <wps:spPr>
                        <a:xfrm>
                          <a:off x="0" y="0"/>
                          <a:ext cx="1021080" cy="257175"/>
                        </a:xfrm>
                        <a:prstGeom prst="rect">
                          <a:avLst/>
                        </a:prstGeom>
                        <a:noFill/>
                        <a:ln>
                          <a:noFill/>
                        </a:ln>
                      </wps:spPr>
                      <wps:txbx>
                        <w:txbxContent>
                          <w:p w14:paraId="0D9FF719">
                            <w:pPr>
                              <w:rPr>
                                <w:sz w:val="16"/>
                                <w:szCs w:val="16"/>
                              </w:rPr>
                            </w:pPr>
                            <w:r>
                              <w:rPr>
                                <w:rFonts w:hint="eastAsia"/>
                                <w:sz w:val="16"/>
                                <w:szCs w:val="16"/>
                              </w:rPr>
                              <w:t>0  300  600m</w:t>
                            </w:r>
                          </w:p>
                        </w:txbxContent>
                      </wps:txbx>
                      <wps:bodyPr wrap="square" upright="1"/>
                    </wps:wsp>
                  </a:graphicData>
                </a:graphic>
              </wp:anchor>
            </w:drawing>
          </mc:Choice>
          <mc:Fallback>
            <w:pict>
              <v:shape id="文本框 206" o:spid="_x0000_s1026" o:spt="202" type="#_x0000_t202" style="position:absolute;left:0pt;margin-left:108.9pt;margin-top:67.35pt;height:20.25pt;width:80.4pt;z-index:251716608;mso-width-relative:page;mso-height-relative:page;" filled="f" stroked="f" coordsize="21600,21600" o:gfxdata="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VPuhfdkAAAALAQAADwAAAAAAAAABACAAAAAiAAAAZHJzL2Rvd25yZXYueG1sUEsBAhQA&#10;FAAAAAgAh07iQClplmS4AQAAXwMAAA4AAAAAAAAAAQAgAAAAKAEAAGRycy9lMm9Eb2MueG1sUEsF&#10;BgAAAAAGAAYAWQEAAFIFAAAAAA==&#10;">
                <v:fill on="f" focussize="0,0"/>
                <v:stroke on="f"/>
                <v:imagedata o:title=""/>
                <o:lock v:ext="edit" aspectratio="f"/>
                <v:textbox>
                  <w:txbxContent>
                    <w:p w14:paraId="0D9FF719">
                      <w:pPr>
                        <w:rPr>
                          <w:sz w:val="16"/>
                          <w:szCs w:val="16"/>
                        </w:rPr>
                      </w:pPr>
                      <w:r>
                        <w:rPr>
                          <w:rFonts w:hint="eastAsia"/>
                          <w:sz w:val="16"/>
                          <w:szCs w:val="16"/>
                        </w:rPr>
                        <w:t>0  300  600m</w:t>
                      </w:r>
                    </w:p>
                  </w:txbxContent>
                </v:textbox>
              </v:shape>
            </w:pict>
          </mc:Fallback>
        </mc:AlternateContent>
      </w:r>
      <w:r>
        <w:rPr>
          <w:color w:val="auto"/>
        </w:rPr>
        <mc:AlternateContent>
          <mc:Choice Requires="wps">
            <w:drawing>
              <wp:anchor distT="0" distB="0" distL="114300" distR="114300" simplePos="0" relativeHeight="251715584" behindDoc="0" locked="0" layoutInCell="1" allowOverlap="1">
                <wp:simplePos x="0" y="0"/>
                <wp:positionH relativeFrom="column">
                  <wp:posOffset>1307465</wp:posOffset>
                </wp:positionH>
                <wp:positionV relativeFrom="paragraph">
                  <wp:posOffset>882650</wp:posOffset>
                </wp:positionV>
                <wp:extent cx="935990" cy="289560"/>
                <wp:effectExtent l="0" t="0" r="0" b="0"/>
                <wp:wrapNone/>
                <wp:docPr id="78" name="文本框 205"/>
                <wp:cNvGraphicFramePr/>
                <a:graphic xmlns:a="http://schemas.openxmlformats.org/drawingml/2006/main">
                  <a:graphicData uri="http://schemas.microsoft.com/office/word/2010/wordprocessingShape">
                    <wps:wsp>
                      <wps:cNvSpPr txBox="1"/>
                      <wps:spPr>
                        <a:xfrm>
                          <a:off x="0" y="0"/>
                          <a:ext cx="935990" cy="289560"/>
                        </a:xfrm>
                        <a:prstGeom prst="rect">
                          <a:avLst/>
                        </a:prstGeom>
                        <a:noFill/>
                        <a:ln>
                          <a:noFill/>
                        </a:ln>
                      </wps:spPr>
                      <wps:txbx>
                        <w:txbxContent>
                          <w:p w14:paraId="0747A4A3">
                            <w:pPr>
                              <w:rPr>
                                <w:rFonts w:hint="eastAsia"/>
                              </w:rPr>
                            </w:pPr>
                            <w:r>
                              <w:rPr>
                                <w:rFonts w:hint="eastAsia"/>
                              </w:rPr>
                              <w:drawing>
                                <wp:inline distT="0" distB="0" distL="114300" distR="114300">
                                  <wp:extent cx="752475" cy="161290"/>
                                  <wp:effectExtent l="0" t="0" r="9525" b="10160"/>
                                  <wp:docPr id="167" name="图片 299" descr="比例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299" descr="比例尺"/>
                                          <pic:cNvPicPr>
                                            <a:picLocks noChangeAspect="1"/>
                                          </pic:cNvPicPr>
                                        </pic:nvPicPr>
                                        <pic:blipFill>
                                          <a:blip r:embed="rId41"/>
                                          <a:stretch>
                                            <a:fillRect/>
                                          </a:stretch>
                                        </pic:blipFill>
                                        <pic:spPr>
                                          <a:xfrm rot="10800000">
                                            <a:off x="0" y="0"/>
                                            <a:ext cx="752475" cy="161290"/>
                                          </a:xfrm>
                                          <a:prstGeom prst="rect">
                                            <a:avLst/>
                                          </a:prstGeom>
                                          <a:noFill/>
                                          <a:ln>
                                            <a:noFill/>
                                          </a:ln>
                                        </pic:spPr>
                                      </pic:pic>
                                    </a:graphicData>
                                  </a:graphic>
                                </wp:inline>
                              </w:drawing>
                            </w:r>
                          </w:p>
                        </w:txbxContent>
                      </wps:txbx>
                      <wps:bodyPr wrap="none" upright="1">
                        <a:spAutoFit/>
                      </wps:bodyPr>
                    </wps:wsp>
                  </a:graphicData>
                </a:graphic>
              </wp:anchor>
            </w:drawing>
          </mc:Choice>
          <mc:Fallback>
            <w:pict>
              <v:shape id="文本框 205" o:spid="_x0000_s1026" o:spt="202" type="#_x0000_t202" style="position:absolute;left:0pt;margin-left:102.95pt;margin-top:69.5pt;height:22.8pt;width:73.7pt;mso-wrap-style:none;z-index:251715584;mso-width-relative:page;mso-height-relative:page;" filled="f" stroked="f" coordsize="21600,21600" o:gfxdata="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eYS8XNcAAAALAQAADwAAAAAAAAABACAAAAAiAAAAZHJzL2Rvd25yZXYu&#10;eG1sUEsBAhQAFAAAAAgAh07iQJYzoDXDAQAAdgMAAA4AAAAAAAAAAQAgAAAAJgEAAGRycy9lMm9E&#10;b2MueG1sUEsFBgAAAAAGAAYAWQEAAFsFAAAAAA==&#10;">
                <v:fill on="f" focussize="0,0"/>
                <v:stroke on="f"/>
                <v:imagedata o:title=""/>
                <o:lock v:ext="edit" aspectratio="f"/>
                <v:textbox style="mso-fit-shape-to-text:t;">
                  <w:txbxContent>
                    <w:p w14:paraId="0747A4A3">
                      <w:pPr>
                        <w:rPr>
                          <w:rFonts w:hint="eastAsia"/>
                        </w:rPr>
                      </w:pPr>
                      <w:r>
                        <w:rPr>
                          <w:rFonts w:hint="eastAsia"/>
                        </w:rPr>
                        <w:drawing>
                          <wp:inline distT="0" distB="0" distL="114300" distR="114300">
                            <wp:extent cx="752475" cy="161290"/>
                            <wp:effectExtent l="0" t="0" r="9525" b="10160"/>
                            <wp:docPr id="167" name="图片 299" descr="比例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299" descr="比例尺"/>
                                    <pic:cNvPicPr>
                                      <a:picLocks noChangeAspect="1"/>
                                    </pic:cNvPicPr>
                                  </pic:nvPicPr>
                                  <pic:blipFill>
                                    <a:blip r:embed="rId41"/>
                                    <a:stretch>
                                      <a:fillRect/>
                                    </a:stretch>
                                  </pic:blipFill>
                                  <pic:spPr>
                                    <a:xfrm rot="10800000">
                                      <a:off x="0" y="0"/>
                                      <a:ext cx="752475" cy="161290"/>
                                    </a:xfrm>
                                    <a:prstGeom prst="rect">
                                      <a:avLst/>
                                    </a:prstGeom>
                                    <a:noFill/>
                                    <a:ln>
                                      <a:noFill/>
                                    </a:ln>
                                  </pic:spPr>
                                </pic:pic>
                              </a:graphicData>
                            </a:graphic>
                          </wp:inline>
                        </w:drawing>
                      </w:r>
                    </w:p>
                  </w:txbxContent>
                </v:textbox>
              </v:shape>
            </w:pict>
          </mc:Fallback>
        </mc:AlternateContent>
      </w:r>
      <w:r>
        <w:rPr>
          <w:color w:val="auto"/>
        </w:rPr>
        <mc:AlternateContent>
          <mc:Choice Requires="wps">
            <w:drawing>
              <wp:anchor distT="0" distB="0" distL="114300" distR="114300" simplePos="0" relativeHeight="251713536" behindDoc="0" locked="0" layoutInCell="1" allowOverlap="1">
                <wp:simplePos x="0" y="0"/>
                <wp:positionH relativeFrom="column">
                  <wp:posOffset>1504950</wp:posOffset>
                </wp:positionH>
                <wp:positionV relativeFrom="paragraph">
                  <wp:posOffset>224155</wp:posOffset>
                </wp:positionV>
                <wp:extent cx="743585" cy="685800"/>
                <wp:effectExtent l="0" t="0" r="0" b="0"/>
                <wp:wrapNone/>
                <wp:docPr id="76" name="文本框 203"/>
                <wp:cNvGraphicFramePr/>
                <a:graphic xmlns:a="http://schemas.openxmlformats.org/drawingml/2006/main">
                  <a:graphicData uri="http://schemas.microsoft.com/office/word/2010/wordprocessingShape">
                    <wps:wsp>
                      <wps:cNvSpPr txBox="1"/>
                      <wps:spPr>
                        <a:xfrm>
                          <a:off x="0" y="0"/>
                          <a:ext cx="743585" cy="685800"/>
                        </a:xfrm>
                        <a:prstGeom prst="rect">
                          <a:avLst/>
                        </a:prstGeom>
                        <a:noFill/>
                        <a:ln>
                          <a:noFill/>
                        </a:ln>
                      </wps:spPr>
                      <wps:txbx>
                        <w:txbxContent>
                          <w:p w14:paraId="41AF5626">
                            <w:pPr>
                              <w:rPr>
                                <w:rFonts w:hint="eastAsia"/>
                              </w:rPr>
                            </w:pPr>
                            <w:r>
                              <w:rPr>
                                <w:rFonts w:hint="eastAsia"/>
                              </w:rPr>
                              <w:drawing>
                                <wp:inline distT="0" distB="0" distL="114300" distR="114300">
                                  <wp:extent cx="560070" cy="560070"/>
                                  <wp:effectExtent l="0" t="0" r="11430" b="11430"/>
                                  <wp:docPr id="168" name="图片 297"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297" descr="淮南"/>
                                          <pic:cNvPicPr>
                                            <a:picLocks noChangeAspect="1"/>
                                          </pic:cNvPicPr>
                                        </pic:nvPicPr>
                                        <pic:blipFill>
                                          <a:blip r:embed="rId40"/>
                                          <a:stretch>
                                            <a:fillRect/>
                                          </a:stretch>
                                        </pic:blipFill>
                                        <pic:spPr>
                                          <a:xfrm>
                                            <a:off x="0" y="0"/>
                                            <a:ext cx="560070" cy="560070"/>
                                          </a:xfrm>
                                          <a:prstGeom prst="rect">
                                            <a:avLst/>
                                          </a:prstGeom>
                                          <a:noFill/>
                                          <a:ln>
                                            <a:noFill/>
                                          </a:ln>
                                        </pic:spPr>
                                      </pic:pic>
                                    </a:graphicData>
                                  </a:graphic>
                                </wp:inline>
                              </w:drawing>
                            </w:r>
                          </w:p>
                        </w:txbxContent>
                      </wps:txbx>
                      <wps:bodyPr wrap="none" upright="1">
                        <a:spAutoFit/>
                      </wps:bodyPr>
                    </wps:wsp>
                  </a:graphicData>
                </a:graphic>
              </wp:anchor>
            </w:drawing>
          </mc:Choice>
          <mc:Fallback>
            <w:pict>
              <v:shape id="文本框 203" o:spid="_x0000_s1026" o:spt="202" type="#_x0000_t202" style="position:absolute;left:0pt;margin-left:118.5pt;margin-top:17.65pt;height:54pt;width:58.55pt;mso-wrap-style:none;z-index:251713536;mso-width-relative:page;mso-height-relative:page;" filled="f" stroked="f" coordsize="21600,21600" o:gfxdata="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zHBxo1wAAAAoBAAAPAAAAAAAAAAEAIAAAACIAAABkcnMvZG93bnJl&#10;di54bWxQSwECFAAUAAAACACHTuJAQy+AEsUBAAB2AwAADgAAAAAAAAABACAAAAAmAQAAZHJzL2Uy&#10;b0RvYy54bWxQSwUGAAAAAAYABgBZAQAAXQUAAAAA&#10;">
                <v:fill on="f" focussize="0,0"/>
                <v:stroke on="f"/>
                <v:imagedata o:title=""/>
                <o:lock v:ext="edit" aspectratio="f"/>
                <v:textbox style="mso-fit-shape-to-text:t;">
                  <w:txbxContent>
                    <w:p w14:paraId="41AF5626">
                      <w:pPr>
                        <w:rPr>
                          <w:rFonts w:hint="eastAsia"/>
                        </w:rPr>
                      </w:pPr>
                      <w:r>
                        <w:rPr>
                          <w:rFonts w:hint="eastAsia"/>
                        </w:rPr>
                        <w:drawing>
                          <wp:inline distT="0" distB="0" distL="114300" distR="114300">
                            <wp:extent cx="560070" cy="560070"/>
                            <wp:effectExtent l="0" t="0" r="11430" b="11430"/>
                            <wp:docPr id="168" name="图片 297"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297" descr="淮南"/>
                                    <pic:cNvPicPr>
                                      <a:picLocks noChangeAspect="1"/>
                                    </pic:cNvPicPr>
                                  </pic:nvPicPr>
                                  <pic:blipFill>
                                    <a:blip r:embed="rId40"/>
                                    <a:stretch>
                                      <a:fillRect/>
                                    </a:stretch>
                                  </pic:blipFill>
                                  <pic:spPr>
                                    <a:xfrm>
                                      <a:off x="0" y="0"/>
                                      <a:ext cx="560070" cy="560070"/>
                                    </a:xfrm>
                                    <a:prstGeom prst="rect">
                                      <a:avLst/>
                                    </a:prstGeom>
                                    <a:noFill/>
                                    <a:ln>
                                      <a:noFill/>
                                    </a:ln>
                                  </pic:spPr>
                                </pic:pic>
                              </a:graphicData>
                            </a:graphic>
                          </wp:inline>
                        </w:drawing>
                      </w:r>
                    </w:p>
                  </w:txbxContent>
                </v:textbox>
              </v:shape>
            </w:pict>
          </mc:Fallback>
        </mc:AlternateContent>
      </w:r>
      <w:r>
        <w:rPr>
          <w:rFonts w:hint="eastAsia"/>
          <w:color w:val="auto"/>
        </w:rPr>
        <w:drawing>
          <wp:inline distT="0" distB="0" distL="114300" distR="114300">
            <wp:extent cx="8856345" cy="5185410"/>
            <wp:effectExtent l="0" t="0" r="1905" b="15240"/>
            <wp:docPr id="169" name="图片 295" descr="码头土地利用现状图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295" descr="码头土地利用现状图_00"/>
                    <pic:cNvPicPr>
                      <a:picLocks noChangeAspect="1"/>
                    </pic:cNvPicPr>
                  </pic:nvPicPr>
                  <pic:blipFill>
                    <a:blip r:embed="rId98"/>
                    <a:srcRect r="1591" b="1726"/>
                    <a:stretch>
                      <a:fillRect/>
                    </a:stretch>
                  </pic:blipFill>
                  <pic:spPr>
                    <a:xfrm>
                      <a:off x="0" y="0"/>
                      <a:ext cx="8856345" cy="5185410"/>
                    </a:xfrm>
                    <a:prstGeom prst="rect">
                      <a:avLst/>
                    </a:prstGeom>
                    <a:noFill/>
                    <a:ln>
                      <a:noFill/>
                    </a:ln>
                  </pic:spPr>
                </pic:pic>
              </a:graphicData>
            </a:graphic>
          </wp:inline>
        </w:drawing>
      </w:r>
    </w:p>
    <w:p w14:paraId="5E649B06">
      <w:pPr>
        <w:pStyle w:val="237"/>
        <w:spacing w:line="400" w:lineRule="exact"/>
        <w:ind w:firstLine="0" w:firstLineChars="0"/>
        <w:jc w:val="center"/>
        <w:rPr>
          <w:rFonts w:eastAsia="黑体" w:cs="Times New Roman"/>
          <w:color w:val="auto"/>
        </w:rPr>
      </w:pPr>
      <w:r>
        <w:rPr>
          <w:rFonts w:eastAsia="黑体" w:cs="Times New Roman"/>
          <w:color w:val="auto"/>
        </w:rPr>
        <w:t>图4.2-</w:t>
      </w:r>
      <w:r>
        <w:rPr>
          <w:rFonts w:hint="eastAsia" w:eastAsia="黑体" w:cs="Times New Roman"/>
          <w:color w:val="auto"/>
        </w:rPr>
        <w:t>5</w:t>
      </w:r>
      <w:r>
        <w:rPr>
          <w:rFonts w:eastAsia="黑体" w:cs="Times New Roman"/>
          <w:color w:val="auto"/>
        </w:rPr>
        <w:t xml:space="preserve">  项目区域土地利用现状图</w:t>
      </w:r>
    </w:p>
    <w:p w14:paraId="636174AC">
      <w:pPr>
        <w:pStyle w:val="237"/>
        <w:spacing w:line="400" w:lineRule="exact"/>
        <w:ind w:firstLine="0" w:firstLineChars="0"/>
        <w:jc w:val="center"/>
        <w:rPr>
          <w:rFonts w:eastAsia="黑体" w:cs="Times New Roman"/>
          <w:color w:val="auto"/>
          <w:highlight w:val="cyan"/>
        </w:rPr>
        <w:sectPr>
          <w:pgSz w:w="16840" w:h="11907" w:orient="landscape"/>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004BD638">
      <w:pPr>
        <w:pStyle w:val="237"/>
        <w:ind w:firstLine="0" w:firstLineChars="0"/>
        <w:jc w:val="center"/>
        <w:rPr>
          <w:rFonts w:hint="eastAsia" w:eastAsia="黑体" w:cs="Times New Roman"/>
          <w:color w:val="auto"/>
        </w:rPr>
      </w:pPr>
      <w:r>
        <w:rPr>
          <w:color w:val="auto"/>
        </w:rPr>
        <mc:AlternateContent>
          <mc:Choice Requires="wps">
            <w:drawing>
              <wp:anchor distT="0" distB="0" distL="114300" distR="114300" simplePos="0" relativeHeight="251718656" behindDoc="0" locked="0" layoutInCell="1" allowOverlap="1">
                <wp:simplePos x="0" y="0"/>
                <wp:positionH relativeFrom="column">
                  <wp:posOffset>568325</wp:posOffset>
                </wp:positionH>
                <wp:positionV relativeFrom="paragraph">
                  <wp:posOffset>1057275</wp:posOffset>
                </wp:positionV>
                <wp:extent cx="1021080" cy="257175"/>
                <wp:effectExtent l="0" t="0" r="0" b="0"/>
                <wp:wrapNone/>
                <wp:docPr id="81" name="文本框 207"/>
                <wp:cNvGraphicFramePr/>
                <a:graphic xmlns:a="http://schemas.openxmlformats.org/drawingml/2006/main">
                  <a:graphicData uri="http://schemas.microsoft.com/office/word/2010/wordprocessingShape">
                    <wps:wsp>
                      <wps:cNvSpPr txBox="1"/>
                      <wps:spPr>
                        <a:xfrm>
                          <a:off x="0" y="0"/>
                          <a:ext cx="1021080" cy="257175"/>
                        </a:xfrm>
                        <a:prstGeom prst="rect">
                          <a:avLst/>
                        </a:prstGeom>
                        <a:noFill/>
                        <a:ln>
                          <a:noFill/>
                        </a:ln>
                      </wps:spPr>
                      <wps:txbx>
                        <w:txbxContent>
                          <w:p w14:paraId="6066B66E">
                            <w:pPr>
                              <w:rPr>
                                <w:sz w:val="16"/>
                                <w:szCs w:val="16"/>
                              </w:rPr>
                            </w:pPr>
                            <w:r>
                              <w:rPr>
                                <w:rFonts w:hint="eastAsia"/>
                                <w:sz w:val="16"/>
                                <w:szCs w:val="16"/>
                              </w:rPr>
                              <w:t>0  300  600m</w:t>
                            </w:r>
                          </w:p>
                        </w:txbxContent>
                      </wps:txbx>
                      <wps:bodyPr wrap="square" upright="1"/>
                    </wps:wsp>
                  </a:graphicData>
                </a:graphic>
              </wp:anchor>
            </w:drawing>
          </mc:Choice>
          <mc:Fallback>
            <w:pict>
              <v:shape id="文本框 207" o:spid="_x0000_s1026" o:spt="202" type="#_x0000_t202" style="position:absolute;left:0pt;margin-left:44.75pt;margin-top:83.25pt;height:20.25pt;width:80.4pt;z-index:251718656;mso-width-relative:page;mso-height-relative:page;" filled="f" stroked="f" coordsize="21600,21600" o:gfxdata="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ySIxK1gAAAAoBAAAPAAAAAAAAAAEAIAAAACIAAABkcnMvZG93bnJldi54bWxQSwECFAAUAAAA&#10;CACHTuJAk7uk8LcBAABfAwAADgAAAAAAAAABACAAAAAlAQAAZHJzL2Uyb0RvYy54bWxQSwUGAAAA&#10;AAYABgBZAQAATgUAAAAA&#10;">
                <v:fill on="f" focussize="0,0"/>
                <v:stroke on="f"/>
                <v:imagedata o:title=""/>
                <o:lock v:ext="edit" aspectratio="f"/>
                <v:textbox>
                  <w:txbxContent>
                    <w:p w14:paraId="6066B66E">
                      <w:pPr>
                        <w:rPr>
                          <w:sz w:val="16"/>
                          <w:szCs w:val="16"/>
                        </w:rPr>
                      </w:pPr>
                      <w:r>
                        <w:rPr>
                          <w:rFonts w:hint="eastAsia"/>
                          <w:sz w:val="16"/>
                          <w:szCs w:val="16"/>
                        </w:rPr>
                        <w:t>0  300  600m</w:t>
                      </w:r>
                    </w:p>
                  </w:txbxContent>
                </v:textbox>
              </v:shape>
            </w:pict>
          </mc:Fallback>
        </mc:AlternateContent>
      </w:r>
      <w:r>
        <w:rPr>
          <w:color w:val="auto"/>
        </w:rPr>
        <mc:AlternateContent>
          <mc:Choice Requires="wps">
            <w:drawing>
              <wp:anchor distT="0" distB="0" distL="114300" distR="114300" simplePos="0" relativeHeight="251717632" behindDoc="0" locked="0" layoutInCell="1" allowOverlap="1">
                <wp:simplePos x="0" y="0"/>
                <wp:positionH relativeFrom="column">
                  <wp:posOffset>559435</wp:posOffset>
                </wp:positionH>
                <wp:positionV relativeFrom="paragraph">
                  <wp:posOffset>1095375</wp:posOffset>
                </wp:positionV>
                <wp:extent cx="846455" cy="289560"/>
                <wp:effectExtent l="0" t="0" r="0" b="0"/>
                <wp:wrapNone/>
                <wp:docPr id="80" name="文本框 208"/>
                <wp:cNvGraphicFramePr/>
                <a:graphic xmlns:a="http://schemas.openxmlformats.org/drawingml/2006/main">
                  <a:graphicData uri="http://schemas.microsoft.com/office/word/2010/wordprocessingShape">
                    <wps:wsp>
                      <wps:cNvSpPr txBox="1"/>
                      <wps:spPr>
                        <a:xfrm>
                          <a:off x="0" y="0"/>
                          <a:ext cx="846455" cy="289560"/>
                        </a:xfrm>
                        <a:prstGeom prst="rect">
                          <a:avLst/>
                        </a:prstGeom>
                        <a:noFill/>
                        <a:ln>
                          <a:noFill/>
                        </a:ln>
                      </wps:spPr>
                      <wps:txbx>
                        <w:txbxContent>
                          <w:p w14:paraId="60473861">
                            <w:pPr>
                              <w:rPr>
                                <w:rFonts w:hint="eastAsia"/>
                              </w:rPr>
                            </w:pPr>
                            <w:r>
                              <w:rPr>
                                <w:rFonts w:hint="eastAsia"/>
                              </w:rPr>
                              <w:drawing>
                                <wp:inline distT="0" distB="0" distL="114300" distR="114300">
                                  <wp:extent cx="662940" cy="142240"/>
                                  <wp:effectExtent l="0" t="0" r="3810" b="10160"/>
                                  <wp:docPr id="170" name="图片 300" descr="比例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300" descr="比例尺"/>
                                          <pic:cNvPicPr>
                                            <a:picLocks noChangeAspect="1"/>
                                          </pic:cNvPicPr>
                                        </pic:nvPicPr>
                                        <pic:blipFill>
                                          <a:blip r:embed="rId41"/>
                                          <a:stretch>
                                            <a:fillRect/>
                                          </a:stretch>
                                        </pic:blipFill>
                                        <pic:spPr>
                                          <a:xfrm rot="10800000">
                                            <a:off x="0" y="0"/>
                                            <a:ext cx="662940" cy="142240"/>
                                          </a:xfrm>
                                          <a:prstGeom prst="rect">
                                            <a:avLst/>
                                          </a:prstGeom>
                                          <a:noFill/>
                                          <a:ln>
                                            <a:noFill/>
                                          </a:ln>
                                        </pic:spPr>
                                      </pic:pic>
                                    </a:graphicData>
                                  </a:graphic>
                                </wp:inline>
                              </w:drawing>
                            </w:r>
                          </w:p>
                        </w:txbxContent>
                      </wps:txbx>
                      <wps:bodyPr wrap="none" upright="1">
                        <a:spAutoFit/>
                      </wps:bodyPr>
                    </wps:wsp>
                  </a:graphicData>
                </a:graphic>
              </wp:anchor>
            </w:drawing>
          </mc:Choice>
          <mc:Fallback>
            <w:pict>
              <v:shape id="文本框 208" o:spid="_x0000_s1026" o:spt="202" type="#_x0000_t202" style="position:absolute;left:0pt;margin-left:44.05pt;margin-top:86.25pt;height:22.8pt;width:66.65pt;mso-wrap-style:none;z-index:251717632;mso-width-relative:page;mso-height-relative:page;" filled="f" stroked="f" coordsize="21600,21600" o:gfxdata="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BkNGDVAAAACgEAAA8AAAAAAAAAAQAgAAAAIgAAAGRycy9kb3ducmV2Lnht&#10;bFBLAQIUABQAAAAIAIdO4kCgDdHUwwEAAHYDAAAOAAAAAAAAAAEAIAAAACQBAABkcnMvZTJvRG9j&#10;LnhtbFBLBQYAAAAABgAGAFkBAABZBQAAAAA=&#10;">
                <v:fill on="f" focussize="0,0"/>
                <v:stroke on="f"/>
                <v:imagedata o:title=""/>
                <o:lock v:ext="edit" aspectratio="f"/>
                <v:textbox style="mso-fit-shape-to-text:t;">
                  <w:txbxContent>
                    <w:p w14:paraId="60473861">
                      <w:pPr>
                        <w:rPr>
                          <w:rFonts w:hint="eastAsia"/>
                        </w:rPr>
                      </w:pPr>
                      <w:r>
                        <w:rPr>
                          <w:rFonts w:hint="eastAsia"/>
                        </w:rPr>
                        <w:drawing>
                          <wp:inline distT="0" distB="0" distL="114300" distR="114300">
                            <wp:extent cx="662940" cy="142240"/>
                            <wp:effectExtent l="0" t="0" r="3810" b="10160"/>
                            <wp:docPr id="170" name="图片 300" descr="比例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300" descr="比例尺"/>
                                    <pic:cNvPicPr>
                                      <a:picLocks noChangeAspect="1"/>
                                    </pic:cNvPicPr>
                                  </pic:nvPicPr>
                                  <pic:blipFill>
                                    <a:blip r:embed="rId41"/>
                                    <a:stretch>
                                      <a:fillRect/>
                                    </a:stretch>
                                  </pic:blipFill>
                                  <pic:spPr>
                                    <a:xfrm rot="10800000">
                                      <a:off x="0" y="0"/>
                                      <a:ext cx="662940" cy="142240"/>
                                    </a:xfrm>
                                    <a:prstGeom prst="rect">
                                      <a:avLst/>
                                    </a:prstGeom>
                                    <a:noFill/>
                                    <a:ln>
                                      <a:noFill/>
                                    </a:ln>
                                  </pic:spPr>
                                </pic:pic>
                              </a:graphicData>
                            </a:graphic>
                          </wp:inline>
                        </w:drawing>
                      </w:r>
                    </w:p>
                  </w:txbxContent>
                </v:textbox>
              </v:shape>
            </w:pict>
          </mc:Fallback>
        </mc:AlternateContent>
      </w:r>
      <w:r>
        <w:rPr>
          <w:color w:val="auto"/>
        </w:rPr>
        <mc:AlternateContent>
          <mc:Choice Requires="wps">
            <w:drawing>
              <wp:anchor distT="0" distB="0" distL="114300" distR="114300" simplePos="0" relativeHeight="251714560" behindDoc="0" locked="0" layoutInCell="1" allowOverlap="1">
                <wp:simplePos x="0" y="0"/>
                <wp:positionH relativeFrom="column">
                  <wp:posOffset>715645</wp:posOffset>
                </wp:positionH>
                <wp:positionV relativeFrom="paragraph">
                  <wp:posOffset>393700</wp:posOffset>
                </wp:positionV>
                <wp:extent cx="702310" cy="685800"/>
                <wp:effectExtent l="0" t="0" r="0" b="0"/>
                <wp:wrapNone/>
                <wp:docPr id="77" name="文本框 204"/>
                <wp:cNvGraphicFramePr/>
                <a:graphic xmlns:a="http://schemas.openxmlformats.org/drawingml/2006/main">
                  <a:graphicData uri="http://schemas.microsoft.com/office/word/2010/wordprocessingShape">
                    <wps:wsp>
                      <wps:cNvSpPr txBox="1"/>
                      <wps:spPr>
                        <a:xfrm>
                          <a:off x="0" y="0"/>
                          <a:ext cx="702310" cy="685800"/>
                        </a:xfrm>
                        <a:prstGeom prst="rect">
                          <a:avLst/>
                        </a:prstGeom>
                        <a:noFill/>
                        <a:ln>
                          <a:noFill/>
                        </a:ln>
                      </wps:spPr>
                      <wps:txbx>
                        <w:txbxContent>
                          <w:p w14:paraId="6FC8AC82">
                            <w:pPr>
                              <w:rPr>
                                <w:rFonts w:hint="eastAsia"/>
                              </w:rPr>
                            </w:pPr>
                            <w:r>
                              <w:rPr>
                                <w:rFonts w:hint="eastAsia"/>
                              </w:rPr>
                              <w:drawing>
                                <wp:inline distT="0" distB="0" distL="114300" distR="114300">
                                  <wp:extent cx="518795" cy="518795"/>
                                  <wp:effectExtent l="0" t="0" r="14605" b="14605"/>
                                  <wp:docPr id="171" name="图片 298"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298" descr="淮南"/>
                                          <pic:cNvPicPr>
                                            <a:picLocks noChangeAspect="1"/>
                                          </pic:cNvPicPr>
                                        </pic:nvPicPr>
                                        <pic:blipFill>
                                          <a:blip r:embed="rId40"/>
                                          <a:stretch>
                                            <a:fillRect/>
                                          </a:stretch>
                                        </pic:blipFill>
                                        <pic:spPr>
                                          <a:xfrm>
                                            <a:off x="0" y="0"/>
                                            <a:ext cx="518795" cy="518795"/>
                                          </a:xfrm>
                                          <a:prstGeom prst="rect">
                                            <a:avLst/>
                                          </a:prstGeom>
                                          <a:noFill/>
                                          <a:ln>
                                            <a:noFill/>
                                          </a:ln>
                                        </pic:spPr>
                                      </pic:pic>
                                    </a:graphicData>
                                  </a:graphic>
                                </wp:inline>
                              </w:drawing>
                            </w:r>
                          </w:p>
                        </w:txbxContent>
                      </wps:txbx>
                      <wps:bodyPr wrap="none" upright="1">
                        <a:spAutoFit/>
                      </wps:bodyPr>
                    </wps:wsp>
                  </a:graphicData>
                </a:graphic>
              </wp:anchor>
            </w:drawing>
          </mc:Choice>
          <mc:Fallback>
            <w:pict>
              <v:shape id="文本框 204" o:spid="_x0000_s1026" o:spt="202" type="#_x0000_t202" style="position:absolute;left:0pt;margin-left:56.35pt;margin-top:31pt;height:54pt;width:55.3pt;mso-wrap-style:none;z-index:251714560;mso-width-relative:page;mso-height-relative:page;" filled="f" stroked="f" coordsize="21600,21600" o:gfxdata="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sDbqXVAAAACgEAAA8AAAAAAAAAAQAgAAAAIgAAAGRycy9kb3ducmV2Lnht&#10;bFBLAQIUABQAAAAIAIdO4kBx3cSCwwEAAHYDAAAOAAAAAAAAAAEAIAAAACQBAABkcnMvZTJvRG9j&#10;LnhtbFBLBQYAAAAABgAGAFkBAABZBQAAAAA=&#10;">
                <v:fill on="f" focussize="0,0"/>
                <v:stroke on="f"/>
                <v:imagedata o:title=""/>
                <o:lock v:ext="edit" aspectratio="f"/>
                <v:textbox style="mso-fit-shape-to-text:t;">
                  <w:txbxContent>
                    <w:p w14:paraId="6FC8AC82">
                      <w:pPr>
                        <w:rPr>
                          <w:rFonts w:hint="eastAsia"/>
                        </w:rPr>
                      </w:pPr>
                      <w:r>
                        <w:rPr>
                          <w:rFonts w:hint="eastAsia"/>
                        </w:rPr>
                        <w:drawing>
                          <wp:inline distT="0" distB="0" distL="114300" distR="114300">
                            <wp:extent cx="518795" cy="518795"/>
                            <wp:effectExtent l="0" t="0" r="14605" b="14605"/>
                            <wp:docPr id="171" name="图片 298"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298" descr="淮南"/>
                                    <pic:cNvPicPr>
                                      <a:picLocks noChangeAspect="1"/>
                                    </pic:cNvPicPr>
                                  </pic:nvPicPr>
                                  <pic:blipFill>
                                    <a:blip r:embed="rId40"/>
                                    <a:stretch>
                                      <a:fillRect/>
                                    </a:stretch>
                                  </pic:blipFill>
                                  <pic:spPr>
                                    <a:xfrm>
                                      <a:off x="0" y="0"/>
                                      <a:ext cx="518795" cy="518795"/>
                                    </a:xfrm>
                                    <a:prstGeom prst="rect">
                                      <a:avLst/>
                                    </a:prstGeom>
                                    <a:noFill/>
                                    <a:ln>
                                      <a:noFill/>
                                    </a:ln>
                                  </pic:spPr>
                                </pic:pic>
                              </a:graphicData>
                            </a:graphic>
                          </wp:inline>
                        </w:drawing>
                      </w:r>
                    </w:p>
                  </w:txbxContent>
                </v:textbox>
              </v:shape>
            </w:pict>
          </mc:Fallback>
        </mc:AlternateContent>
      </w:r>
      <w:r>
        <w:rPr>
          <w:rFonts w:hint="eastAsia" w:eastAsia="黑体" w:cs="Times New Roman"/>
          <w:color w:val="auto"/>
        </w:rPr>
        <w:drawing>
          <wp:inline distT="0" distB="0" distL="114300" distR="114300">
            <wp:extent cx="8866505" cy="4978400"/>
            <wp:effectExtent l="0" t="0" r="10795" b="12700"/>
            <wp:docPr id="172" name="图片 296" descr="码头-植被类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296" descr="码头-植被类型图"/>
                    <pic:cNvPicPr>
                      <a:picLocks noChangeAspect="1"/>
                    </pic:cNvPicPr>
                  </pic:nvPicPr>
                  <pic:blipFill>
                    <a:blip r:embed="rId99"/>
                    <a:srcRect r="2341" b="2342"/>
                    <a:stretch>
                      <a:fillRect/>
                    </a:stretch>
                  </pic:blipFill>
                  <pic:spPr>
                    <a:xfrm>
                      <a:off x="0" y="0"/>
                      <a:ext cx="8866505" cy="4978400"/>
                    </a:xfrm>
                    <a:prstGeom prst="rect">
                      <a:avLst/>
                    </a:prstGeom>
                    <a:noFill/>
                    <a:ln>
                      <a:noFill/>
                    </a:ln>
                  </pic:spPr>
                </pic:pic>
              </a:graphicData>
            </a:graphic>
          </wp:inline>
        </w:drawing>
      </w:r>
    </w:p>
    <w:p w14:paraId="6C072524">
      <w:pPr>
        <w:pStyle w:val="237"/>
        <w:spacing w:line="400" w:lineRule="exact"/>
        <w:ind w:firstLine="0" w:firstLineChars="0"/>
        <w:jc w:val="center"/>
        <w:rPr>
          <w:rFonts w:hint="eastAsia" w:eastAsia="黑体" w:cs="Times New Roman"/>
          <w:color w:val="auto"/>
        </w:rPr>
      </w:pPr>
      <w:r>
        <w:rPr>
          <w:rFonts w:eastAsia="黑体" w:cs="Times New Roman"/>
          <w:color w:val="auto"/>
        </w:rPr>
        <w:t>图4.2-</w:t>
      </w:r>
      <w:r>
        <w:rPr>
          <w:rFonts w:hint="eastAsia" w:eastAsia="黑体" w:cs="Times New Roman"/>
          <w:color w:val="auto"/>
        </w:rPr>
        <w:t>6</w:t>
      </w:r>
      <w:r>
        <w:rPr>
          <w:rFonts w:eastAsia="黑体" w:cs="Times New Roman"/>
          <w:color w:val="auto"/>
        </w:rPr>
        <w:t xml:space="preserve">  项目区域</w:t>
      </w:r>
      <w:r>
        <w:rPr>
          <w:rFonts w:hint="eastAsia" w:eastAsia="黑体" w:cs="Times New Roman"/>
          <w:color w:val="auto"/>
        </w:rPr>
        <w:t>植被</w:t>
      </w:r>
      <w:r>
        <w:rPr>
          <w:rFonts w:eastAsia="黑体" w:cs="Times New Roman"/>
          <w:color w:val="auto"/>
        </w:rPr>
        <w:t>类型图</w:t>
      </w:r>
    </w:p>
    <w:p w14:paraId="5764C00D">
      <w:pPr>
        <w:pStyle w:val="237"/>
        <w:spacing w:line="400" w:lineRule="exact"/>
        <w:ind w:firstLine="0" w:firstLineChars="0"/>
        <w:jc w:val="center"/>
        <w:rPr>
          <w:rFonts w:hint="eastAsia" w:eastAsia="黑体" w:cs="Times New Roman"/>
          <w:color w:val="auto"/>
          <w:highlight w:val="cyan"/>
        </w:rPr>
        <w:sectPr>
          <w:pgSz w:w="16840" w:h="11907" w:orient="landscape"/>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580CD702">
      <w:pPr>
        <w:pStyle w:val="5"/>
        <w:numPr>
          <w:ilvl w:val="0"/>
          <w:numId w:val="0"/>
        </w:numPr>
        <w:rPr>
          <w:color w:val="auto"/>
        </w:rPr>
      </w:pPr>
      <w:r>
        <w:rPr>
          <w:rFonts w:hint="eastAsia"/>
          <w:color w:val="auto"/>
        </w:rPr>
        <w:t>4.2.5.2水生生态现状调查与评价</w:t>
      </w:r>
    </w:p>
    <w:p w14:paraId="68404258">
      <w:pPr>
        <w:pStyle w:val="237"/>
        <w:ind w:firstLine="480"/>
        <w:rPr>
          <w:color w:val="auto"/>
        </w:rPr>
      </w:pPr>
      <w:r>
        <w:rPr>
          <w:color w:val="auto"/>
        </w:rPr>
        <w:t>（</w:t>
      </w:r>
      <w:r>
        <w:rPr>
          <w:rFonts w:hint="eastAsia"/>
          <w:color w:val="auto"/>
        </w:rPr>
        <w:t>1</w:t>
      </w:r>
      <w:r>
        <w:rPr>
          <w:color w:val="auto"/>
        </w:rPr>
        <w:t>）调查点位及内容</w:t>
      </w:r>
    </w:p>
    <w:p w14:paraId="089045B6">
      <w:pPr>
        <w:pStyle w:val="237"/>
        <w:ind w:firstLine="480"/>
        <w:rPr>
          <w:rFonts w:hint="eastAsia"/>
          <w:color w:val="auto"/>
          <w:lang w:val="en-US" w:eastAsia="zh-CN"/>
        </w:rPr>
      </w:pPr>
      <w:r>
        <w:rPr>
          <w:rFonts w:hint="eastAsia"/>
          <w:color w:val="auto"/>
        </w:rPr>
        <w:t>本项目</w:t>
      </w:r>
      <w:r>
        <w:rPr>
          <w:rFonts w:hint="eastAsia"/>
          <w:color w:val="auto"/>
          <w:lang w:val="en-US" w:eastAsia="zh-CN"/>
        </w:rPr>
        <w:t>水生生态评价范围包含</w:t>
      </w:r>
      <w:r>
        <w:rPr>
          <w:rFonts w:hint="eastAsia"/>
          <w:color w:val="auto"/>
          <w:sz w:val="24"/>
        </w:rPr>
        <w:t>淮河淮南段长吻鮠国家级水产种质资源保护区</w:t>
      </w:r>
      <w:r>
        <w:rPr>
          <w:rFonts w:hint="eastAsia"/>
          <w:color w:val="auto"/>
          <w:sz w:val="24"/>
          <w:lang w:val="en-US" w:eastAsia="zh-CN"/>
        </w:rPr>
        <w:t>的核心区和实验区。该区域均为河流生态系统，总面积为</w:t>
      </w:r>
      <w:r>
        <w:rPr>
          <w:rFonts w:hint="eastAsia"/>
          <w:color w:val="auto"/>
          <w:sz w:val="24"/>
        </w:rPr>
        <w:t>1000hm</w:t>
      </w:r>
      <w:r>
        <w:rPr>
          <w:color w:val="auto"/>
          <w:sz w:val="24"/>
          <w:vertAlign w:val="superscript"/>
        </w:rPr>
        <w:t>2</w:t>
      </w:r>
      <w:r>
        <w:rPr>
          <w:rFonts w:hint="eastAsia"/>
          <w:color w:val="auto"/>
          <w:lang w:val="en-US" w:eastAsia="zh-CN"/>
        </w:rPr>
        <w:t>，其范围图见图4.1-3，此处不再重复。</w:t>
      </w:r>
    </w:p>
    <w:p w14:paraId="1EE3477A">
      <w:pPr>
        <w:keepNext w:val="0"/>
        <w:keepLines w:val="0"/>
        <w:pageBreakBefore w:val="0"/>
        <w:kinsoku/>
        <w:wordWrap/>
        <w:overflowPunct/>
        <w:topLinePunct w:val="0"/>
        <w:bidi w:val="0"/>
        <w:spacing w:line="360" w:lineRule="auto"/>
        <w:ind w:left="0" w:right="0" w:firstLine="480" w:firstLineChars="200"/>
        <w:rPr>
          <w:color w:val="auto"/>
          <w:sz w:val="24"/>
          <w:szCs w:val="24"/>
        </w:rPr>
      </w:pPr>
      <w:r>
        <w:rPr>
          <w:rFonts w:hint="eastAsia"/>
          <w:color w:val="auto"/>
          <w:sz w:val="24"/>
          <w:szCs w:val="24"/>
          <w:lang w:val="en-US" w:eastAsia="zh-CN"/>
        </w:rPr>
        <w:t>项目</w:t>
      </w:r>
      <w:r>
        <w:rPr>
          <w:rFonts w:hint="eastAsia"/>
          <w:color w:val="auto"/>
          <w:sz w:val="24"/>
          <w:szCs w:val="24"/>
        </w:rPr>
        <w:t>水生生态</w:t>
      </w:r>
      <w:r>
        <w:rPr>
          <w:color w:val="auto"/>
          <w:sz w:val="24"/>
          <w:szCs w:val="24"/>
        </w:rPr>
        <w:t>调查</w:t>
      </w:r>
      <w:r>
        <w:rPr>
          <w:rFonts w:hint="eastAsia"/>
          <w:color w:val="auto"/>
          <w:sz w:val="24"/>
          <w:szCs w:val="24"/>
        </w:rPr>
        <w:t>引用</w:t>
      </w:r>
      <w:r>
        <w:rPr>
          <w:rFonts w:hint="eastAsia"/>
          <w:color w:val="auto"/>
          <w:sz w:val="24"/>
          <w:szCs w:val="24"/>
          <w:lang w:eastAsia="zh-CN"/>
        </w:rPr>
        <w:t>《淮南市兴华园贸易发展有限公司兴华园码头工程对 淮河淮南段长吻鮠国家级水产种质资源保护区影响专题论证报告》</w:t>
      </w:r>
      <w:r>
        <w:rPr>
          <w:rFonts w:hint="eastAsia"/>
          <w:color w:val="auto"/>
          <w:sz w:val="24"/>
          <w:szCs w:val="24"/>
        </w:rPr>
        <w:t>中调查数据，引用数据调查时间为</w:t>
      </w:r>
      <w:r>
        <w:rPr>
          <w:color w:val="auto"/>
          <w:sz w:val="24"/>
          <w:szCs w:val="24"/>
        </w:rPr>
        <w:t>20</w:t>
      </w:r>
      <w:r>
        <w:rPr>
          <w:rFonts w:hint="eastAsia"/>
          <w:color w:val="auto"/>
          <w:sz w:val="24"/>
          <w:szCs w:val="24"/>
        </w:rPr>
        <w:t>2</w:t>
      </w:r>
      <w:r>
        <w:rPr>
          <w:rFonts w:hint="eastAsia"/>
          <w:color w:val="auto"/>
          <w:sz w:val="24"/>
          <w:szCs w:val="24"/>
          <w:lang w:val="en-US" w:eastAsia="zh-CN"/>
        </w:rPr>
        <w:t>3年5月~2024年5月；</w:t>
      </w:r>
      <w:r>
        <w:rPr>
          <w:color w:val="auto"/>
          <w:sz w:val="24"/>
          <w:szCs w:val="24"/>
        </w:rPr>
        <w:t>根据评价</w:t>
      </w:r>
      <w:r>
        <w:rPr>
          <w:rFonts w:hint="eastAsia"/>
          <w:color w:val="auto"/>
          <w:sz w:val="24"/>
          <w:szCs w:val="24"/>
        </w:rPr>
        <w:t>河</w:t>
      </w:r>
      <w:r>
        <w:rPr>
          <w:color w:val="auto"/>
          <w:sz w:val="24"/>
          <w:szCs w:val="24"/>
        </w:rPr>
        <w:t>段水文特征、</w:t>
      </w:r>
      <w:r>
        <w:rPr>
          <w:rFonts w:hint="eastAsia"/>
          <w:color w:val="auto"/>
          <w:sz w:val="24"/>
          <w:szCs w:val="24"/>
        </w:rPr>
        <w:t>长吻鮠</w:t>
      </w:r>
      <w:r>
        <w:rPr>
          <w:color w:val="auto"/>
          <w:sz w:val="24"/>
          <w:szCs w:val="24"/>
        </w:rPr>
        <w:t>分布和渔业捕捞环境，浮游生物调查集中在分离区、分流区和汇流区。</w:t>
      </w:r>
      <w:r>
        <w:rPr>
          <w:rFonts w:hint="eastAsia"/>
          <w:color w:val="auto"/>
          <w:sz w:val="24"/>
          <w:szCs w:val="24"/>
          <w:lang w:val="en-US" w:eastAsia="zh-CN"/>
        </w:rPr>
        <w:t>调查断面如图4.2-7所示</w:t>
      </w:r>
      <w:r>
        <w:rPr>
          <w:color w:val="auto"/>
          <w:sz w:val="24"/>
          <w:szCs w:val="24"/>
        </w:rPr>
        <w:t>。</w:t>
      </w:r>
    </w:p>
    <w:p w14:paraId="6A736C03">
      <w:pPr>
        <w:keepNext w:val="0"/>
        <w:keepLines w:val="0"/>
        <w:pageBreakBefore w:val="0"/>
        <w:kinsoku/>
        <w:wordWrap/>
        <w:overflowPunct/>
        <w:topLinePunct w:val="0"/>
        <w:bidi w:val="0"/>
        <w:spacing w:line="360" w:lineRule="auto"/>
        <w:ind w:left="0" w:right="0" w:firstLine="480" w:firstLineChars="200"/>
        <w:rPr>
          <w:rFonts w:hint="eastAsia"/>
          <w:color w:val="auto"/>
          <w:sz w:val="24"/>
          <w:szCs w:val="24"/>
          <w:lang w:val="en-US" w:eastAsia="zh-CN"/>
        </w:rPr>
      </w:pPr>
      <w:r>
        <w:rPr>
          <w:rFonts w:hint="eastAsia"/>
          <w:color w:val="auto"/>
          <w:sz w:val="24"/>
          <w:szCs w:val="24"/>
          <w:lang w:val="en-US" w:eastAsia="zh-CN"/>
        </w:rPr>
        <w:t>（2）调查时段：</w:t>
      </w:r>
    </w:p>
    <w:p w14:paraId="3B0CE3BF">
      <w:pPr>
        <w:keepNext w:val="0"/>
        <w:keepLines w:val="0"/>
        <w:pageBreakBefore w:val="0"/>
        <w:kinsoku/>
        <w:wordWrap/>
        <w:overflowPunct/>
        <w:topLinePunct w:val="0"/>
        <w:bidi w:val="0"/>
        <w:spacing w:line="360" w:lineRule="auto"/>
        <w:ind w:left="0" w:right="0"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lang w:eastAsia="zh-CN"/>
        </w:rPr>
        <w:t>）</w:t>
      </w:r>
      <w:r>
        <w:rPr>
          <w:rFonts w:ascii="Times New Roman" w:hAnsi="Times New Roman" w:eastAsia="宋体" w:cs="Times New Roman"/>
          <w:color w:val="auto"/>
          <w:sz w:val="24"/>
          <w:szCs w:val="24"/>
        </w:rPr>
        <w:t>保护区现状调查</w:t>
      </w:r>
    </w:p>
    <w:p w14:paraId="4596E54D">
      <w:pPr>
        <w:keepNext w:val="0"/>
        <w:keepLines w:val="0"/>
        <w:pageBreakBefore w:val="0"/>
        <w:kinsoku/>
        <w:wordWrap/>
        <w:overflowPunct/>
        <w:topLinePunct w:val="0"/>
        <w:bidi w:val="0"/>
        <w:spacing w:line="360" w:lineRule="auto"/>
        <w:ind w:left="0" w:right="0"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①渔业资源、浮游植物、浮游动物和底栖动物资源调查</w:t>
      </w:r>
    </w:p>
    <w:p w14:paraId="4F9B5FCC">
      <w:pPr>
        <w:keepNext w:val="0"/>
        <w:keepLines w:val="0"/>
        <w:pageBreakBefore w:val="0"/>
        <w:kinsoku/>
        <w:wordWrap/>
        <w:overflowPunct/>
        <w:topLinePunct w:val="0"/>
        <w:bidi w:val="0"/>
        <w:spacing w:line="360" w:lineRule="auto"/>
        <w:ind w:left="0" w:right="0"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索饵期：2023年5月13日</w:t>
      </w:r>
      <w:r>
        <w:rPr>
          <w:rFonts w:hint="eastAsia" w:eastAsia="宋体" w:cs="Times New Roman"/>
          <w:color w:val="auto"/>
          <w:sz w:val="24"/>
          <w:szCs w:val="24"/>
          <w:lang w:eastAsia="zh-CN"/>
        </w:rPr>
        <w:t>~</w:t>
      </w:r>
      <w:r>
        <w:rPr>
          <w:rFonts w:ascii="Times New Roman" w:hAnsi="Times New Roman" w:eastAsia="宋体" w:cs="Times New Roman"/>
          <w:color w:val="auto"/>
          <w:sz w:val="24"/>
          <w:szCs w:val="24"/>
        </w:rPr>
        <w:t>15日；</w:t>
      </w:r>
    </w:p>
    <w:p w14:paraId="6415BF31">
      <w:pPr>
        <w:keepNext w:val="0"/>
        <w:keepLines w:val="0"/>
        <w:pageBreakBefore w:val="0"/>
        <w:kinsoku/>
        <w:wordWrap/>
        <w:overflowPunct/>
        <w:topLinePunct w:val="0"/>
        <w:bidi w:val="0"/>
        <w:spacing w:line="360" w:lineRule="auto"/>
        <w:ind w:left="0" w:right="0"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繁殖期：2023年9月18日</w:t>
      </w:r>
      <w:r>
        <w:rPr>
          <w:rFonts w:hint="eastAsia" w:eastAsia="宋体" w:cs="Times New Roman"/>
          <w:color w:val="auto"/>
          <w:sz w:val="24"/>
          <w:szCs w:val="24"/>
          <w:lang w:eastAsia="zh-CN"/>
        </w:rPr>
        <w:t>~</w:t>
      </w:r>
      <w:r>
        <w:rPr>
          <w:rFonts w:ascii="Times New Roman" w:hAnsi="Times New Roman" w:eastAsia="宋体" w:cs="Times New Roman"/>
          <w:color w:val="auto"/>
          <w:sz w:val="24"/>
          <w:szCs w:val="24"/>
        </w:rPr>
        <w:t>21日。</w:t>
      </w:r>
    </w:p>
    <w:p w14:paraId="0D14B353">
      <w:pPr>
        <w:keepNext w:val="0"/>
        <w:keepLines w:val="0"/>
        <w:pageBreakBefore w:val="0"/>
        <w:kinsoku/>
        <w:wordWrap/>
        <w:overflowPunct/>
        <w:topLinePunct w:val="0"/>
        <w:bidi w:val="0"/>
        <w:spacing w:line="360" w:lineRule="auto"/>
        <w:ind w:left="0" w:right="0"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②鱼类早期资源调查</w:t>
      </w:r>
    </w:p>
    <w:p w14:paraId="751D9DEE">
      <w:pPr>
        <w:keepNext w:val="0"/>
        <w:keepLines w:val="0"/>
        <w:pageBreakBefore w:val="0"/>
        <w:kinsoku/>
        <w:wordWrap/>
        <w:overflowPunct/>
        <w:topLinePunct w:val="0"/>
        <w:bidi w:val="0"/>
        <w:spacing w:line="360" w:lineRule="auto"/>
        <w:ind w:left="0" w:right="0"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2023年5月7日</w:t>
      </w:r>
      <w:r>
        <w:rPr>
          <w:rFonts w:hint="eastAsia" w:eastAsia="宋体" w:cs="Times New Roman"/>
          <w:color w:val="auto"/>
          <w:sz w:val="24"/>
          <w:szCs w:val="24"/>
          <w:lang w:eastAsia="zh-CN"/>
        </w:rPr>
        <w:t>~</w:t>
      </w:r>
      <w:r>
        <w:rPr>
          <w:rFonts w:ascii="Times New Roman" w:hAnsi="Times New Roman" w:eastAsia="宋体" w:cs="Times New Roman"/>
          <w:color w:val="auto"/>
          <w:sz w:val="24"/>
          <w:szCs w:val="24"/>
        </w:rPr>
        <w:t>14日。</w:t>
      </w:r>
    </w:p>
    <w:p w14:paraId="4530211B">
      <w:pPr>
        <w:keepNext w:val="0"/>
        <w:keepLines w:val="0"/>
        <w:pageBreakBefore w:val="0"/>
        <w:kinsoku/>
        <w:wordWrap/>
        <w:overflowPunct/>
        <w:topLinePunct w:val="0"/>
        <w:bidi w:val="0"/>
        <w:spacing w:line="360" w:lineRule="auto"/>
        <w:ind w:left="0" w:right="0"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lang w:eastAsia="zh-CN"/>
        </w:rPr>
        <w:t>）</w:t>
      </w:r>
      <w:r>
        <w:rPr>
          <w:rFonts w:ascii="Times New Roman" w:hAnsi="Times New Roman" w:eastAsia="宋体" w:cs="Times New Roman"/>
          <w:color w:val="auto"/>
          <w:sz w:val="24"/>
          <w:szCs w:val="24"/>
        </w:rPr>
        <w:t>工程水域补充调查</w:t>
      </w:r>
    </w:p>
    <w:p w14:paraId="3602D06C">
      <w:pPr>
        <w:keepNext w:val="0"/>
        <w:keepLines w:val="0"/>
        <w:pageBreakBefore w:val="0"/>
        <w:kinsoku/>
        <w:wordWrap/>
        <w:overflowPunct/>
        <w:topLinePunct w:val="0"/>
        <w:bidi w:val="0"/>
        <w:spacing w:line="360" w:lineRule="auto"/>
        <w:ind w:left="0" w:right="0"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渔业资源与水环境调查：2024年5月26日</w:t>
      </w:r>
      <w:r>
        <w:rPr>
          <w:rFonts w:hint="eastAsia" w:eastAsia="宋体" w:cs="Times New Roman"/>
          <w:color w:val="auto"/>
          <w:sz w:val="24"/>
          <w:szCs w:val="24"/>
          <w:lang w:eastAsia="zh-CN"/>
        </w:rPr>
        <w:t>~</w:t>
      </w:r>
      <w:r>
        <w:rPr>
          <w:rFonts w:ascii="Times New Roman" w:hAnsi="Times New Roman" w:eastAsia="宋体" w:cs="Times New Roman"/>
          <w:color w:val="auto"/>
          <w:sz w:val="24"/>
          <w:szCs w:val="24"/>
        </w:rPr>
        <w:t>30日。</w:t>
      </w:r>
    </w:p>
    <w:p w14:paraId="4588DBF5">
      <w:pPr>
        <w:pStyle w:val="237"/>
        <w:numPr>
          <w:ilvl w:val="0"/>
          <w:numId w:val="0"/>
        </w:numPr>
        <w:ind w:left="0" w:leftChars="0" w:firstLine="480" w:firstLineChars="200"/>
        <w:rPr>
          <w:color w:val="auto"/>
        </w:rPr>
      </w:pPr>
      <w:r>
        <w:rPr>
          <w:rFonts w:ascii="Times New Roman" w:hAnsi="Times New Roman" w:eastAsia="宋体" w:cs="Calibri"/>
          <w:color w:val="auto"/>
          <w:kern w:val="2"/>
          <w:sz w:val="24"/>
          <w:szCs w:val="24"/>
          <w:lang w:val="en-US" w:eastAsia="zh-CN" w:bidi="ar-SA"/>
        </w:rPr>
        <w:t>（3）</w:t>
      </w:r>
      <w:r>
        <w:rPr>
          <w:color w:val="auto"/>
        </w:rPr>
        <w:t>调查方法：</w:t>
      </w:r>
    </w:p>
    <w:p w14:paraId="1B729409">
      <w:pPr>
        <w:pStyle w:val="237"/>
        <w:numPr>
          <w:ilvl w:val="0"/>
          <w:numId w:val="0"/>
        </w:numPr>
        <w:ind w:left="0" w:leftChars="0" w:firstLine="480" w:firstLineChars="200"/>
        <w:rPr>
          <w:rFonts w:hint="eastAsia"/>
          <w:color w:val="auto"/>
          <w:lang w:val="en-US" w:eastAsia="zh-CN"/>
        </w:rPr>
      </w:pPr>
      <w:r>
        <w:rPr>
          <w:color w:val="auto"/>
        </w:rPr>
        <w:t>按照《</w:t>
      </w:r>
      <w:r>
        <w:rPr>
          <w:rFonts w:hint="eastAsia"/>
          <w:color w:val="auto"/>
          <w:lang w:eastAsia="zh-CN"/>
        </w:rPr>
        <w:t>建设项目环境影响评价技术导则 总纲</w:t>
      </w:r>
      <w:r>
        <w:rPr>
          <w:color w:val="auto"/>
        </w:rPr>
        <w:t>》（HJ2.1-2016）、《环境监测技术规范》（国家环境保护总局，1986年）、《内陆水域渔业自然资源调查手册》、《淡水浮游生物研究方法》进行采样和检测。种类为流态和断面的累计值，密度为断面和流态的平均值</w:t>
      </w:r>
      <w:r>
        <w:rPr>
          <w:rFonts w:hint="eastAsia"/>
          <w:color w:val="auto"/>
          <w:lang w:eastAsia="zh-CN"/>
        </w:rPr>
        <w:t>，</w:t>
      </w:r>
      <w:r>
        <w:rPr>
          <w:rFonts w:hint="eastAsia"/>
          <w:color w:val="auto"/>
          <w:lang w:val="en-US" w:eastAsia="zh-CN"/>
        </w:rPr>
        <w:t>具体如下所示：</w:t>
      </w:r>
    </w:p>
    <w:p w14:paraId="6A686042">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水质调查</w:t>
      </w:r>
    </w:p>
    <w:p w14:paraId="7B9724F3">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水样采集：水样用采水器采集，每个采样点采水2.5L，分层采样时，可以将各层水样等量混合后取2.5L。分层采样的标准为：水深小于3m时，可只在表层取样，即在距离水表面0.3m-0.5m左右采取；水深为3-6m时，应该在表层和底层采样，水深为6-10m时，应该在表层、中层和底层采样。</w:t>
      </w:r>
    </w:p>
    <w:p w14:paraId="113C85A1">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现场水环境参数测定：在采集水样时，同步测定浊度</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Tur</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、pH、溶解氧</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DO</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、水温</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T</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和透明度</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SD</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，使用仪器分别为，HANNAHI98703型浊度计、HACHHQ11D型pH计和HACHHQ30D型溶氧仪和萨氏盘测定。</w:t>
      </w:r>
    </w:p>
    <w:p w14:paraId="1433203D">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实验室内测定指标9项：总氮</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TN</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、氨氮</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NH</w:t>
      </w:r>
      <w:r>
        <w:rPr>
          <w:rFonts w:hint="default" w:ascii="Times New Roman" w:hAnsi="Times New Roman" w:eastAsia="宋体" w:cs="Times New Roman"/>
          <w:color w:val="auto"/>
          <w:sz w:val="24"/>
          <w:szCs w:val="24"/>
          <w:vertAlign w:val="subscript"/>
          <w:lang w:eastAsia="en-US"/>
        </w:rPr>
        <w:t>4</w:t>
      </w:r>
      <w:r>
        <w:rPr>
          <w:rFonts w:hint="default" w:ascii="Times New Roman" w:hAnsi="Times New Roman" w:eastAsia="宋体" w:cs="Times New Roman"/>
          <w:color w:val="auto"/>
          <w:sz w:val="24"/>
          <w:szCs w:val="24"/>
          <w:vertAlign w:val="superscript"/>
          <w:lang w:eastAsia="en-US"/>
        </w:rPr>
        <w:t>+</w:t>
      </w:r>
      <w:r>
        <w:rPr>
          <w:rFonts w:hint="default" w:ascii="Times New Roman" w:hAnsi="Times New Roman" w:eastAsia="宋体" w:cs="Times New Roman"/>
          <w:color w:val="auto"/>
          <w:sz w:val="24"/>
          <w:szCs w:val="24"/>
          <w:lang w:eastAsia="en-US"/>
        </w:rPr>
        <w:t>-N</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、亚硝酸盐氮</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NO</w:t>
      </w:r>
      <w:r>
        <w:rPr>
          <w:rFonts w:hint="default" w:ascii="Times New Roman" w:hAnsi="Times New Roman" w:eastAsia="宋体" w:cs="Times New Roman"/>
          <w:color w:val="auto"/>
          <w:sz w:val="24"/>
          <w:szCs w:val="24"/>
          <w:vertAlign w:val="subscript"/>
          <w:lang w:eastAsia="en-US"/>
        </w:rPr>
        <w:t>2</w:t>
      </w:r>
      <w:r>
        <w:rPr>
          <w:rFonts w:hint="default" w:ascii="Times New Roman" w:hAnsi="Times New Roman" w:eastAsia="宋体" w:cs="Times New Roman"/>
          <w:color w:val="auto"/>
          <w:sz w:val="24"/>
          <w:szCs w:val="24"/>
          <w:vertAlign w:val="superscript"/>
          <w:lang w:eastAsia="en-US"/>
        </w:rPr>
        <w:t>-</w:t>
      </w:r>
      <w:r>
        <w:rPr>
          <w:rFonts w:hint="default" w:ascii="Times New Roman" w:hAnsi="Times New Roman" w:eastAsia="宋体" w:cs="Times New Roman"/>
          <w:color w:val="auto"/>
          <w:sz w:val="24"/>
          <w:szCs w:val="24"/>
          <w:lang w:eastAsia="en-US"/>
        </w:rPr>
        <w:t>-N</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、总溶解性氮</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DTN</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、总磷</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TP</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、总溶解性磷</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DTP</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、磷酸盐</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PO</w:t>
      </w:r>
      <w:r>
        <w:rPr>
          <w:rFonts w:hint="default" w:ascii="Times New Roman" w:hAnsi="Times New Roman" w:eastAsia="宋体" w:cs="Times New Roman"/>
          <w:color w:val="auto"/>
          <w:sz w:val="24"/>
          <w:szCs w:val="24"/>
          <w:vertAlign w:val="subscript"/>
          <w:lang w:eastAsia="en-US"/>
        </w:rPr>
        <w:t>4</w:t>
      </w:r>
      <w:r>
        <w:rPr>
          <w:rFonts w:hint="default" w:ascii="Times New Roman" w:hAnsi="Times New Roman" w:eastAsia="宋体" w:cs="Times New Roman"/>
          <w:color w:val="auto"/>
          <w:sz w:val="24"/>
          <w:szCs w:val="24"/>
          <w:vertAlign w:val="superscript"/>
          <w:lang w:eastAsia="en-US"/>
        </w:rPr>
        <w:t>3-</w:t>
      </w:r>
      <w:r>
        <w:rPr>
          <w:rFonts w:hint="default" w:ascii="Times New Roman" w:hAnsi="Times New Roman" w:eastAsia="宋体" w:cs="Times New Roman"/>
          <w:color w:val="auto"/>
          <w:sz w:val="24"/>
          <w:szCs w:val="24"/>
          <w:lang w:eastAsia="en-US"/>
        </w:rPr>
        <w:t>-P</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、高锰酸盐指数</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COD</w:t>
      </w:r>
      <w:r>
        <w:rPr>
          <w:rFonts w:hint="default" w:ascii="Times New Roman" w:hAnsi="Times New Roman" w:eastAsia="宋体" w:cs="Times New Roman"/>
          <w:color w:val="auto"/>
          <w:sz w:val="24"/>
          <w:szCs w:val="24"/>
          <w:vertAlign w:val="subscript"/>
          <w:lang w:eastAsia="en-US"/>
        </w:rPr>
        <w:t>Mn</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、叶绿素a</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Chl.a</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，水样各指标的测定方法参考《水和废水监测分析方法》。</w:t>
      </w:r>
    </w:p>
    <w:p w14:paraId="7F768BFD">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浮游植物调查</w:t>
      </w:r>
    </w:p>
    <w:p w14:paraId="63F3AE5A">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定量样品：定量样品在定性样品之前采集，用1L有机玻璃采水器采取水样，分层采样时，将各层水样等量混合后取1L，其中分层采样的标准为：水深不足3m，中层采水；超过3m不足10m者，应采集表层和底层水；其中表层水在离水面0.5m处，底层水在离泥面0.5m处，中层在水体中间部分。样品取完，立即加入15mL鲁哥试液固定。定性样品：用25号浮游生物网进行，采集时，在水下0.5m左右匀速画“∞”</w:t>
      </w:r>
      <w:r>
        <w:rPr>
          <w:rFonts w:hint="eastAsia" w:cs="Times New Roman"/>
          <w:color w:val="auto"/>
          <w:sz w:val="24"/>
          <w:szCs w:val="24"/>
          <w:lang w:eastAsia="zh-CN"/>
        </w:rPr>
        <w:t>字形</w:t>
      </w:r>
      <w:r>
        <w:rPr>
          <w:rFonts w:hint="default" w:ascii="Times New Roman" w:hAnsi="Times New Roman" w:eastAsia="宋体" w:cs="Times New Roman"/>
          <w:color w:val="auto"/>
          <w:sz w:val="24"/>
          <w:szCs w:val="24"/>
          <w:lang w:eastAsia="en-US"/>
        </w:rPr>
        <w:t>3-5min，收集浮游植物样品，固定方法同定量样</w:t>
      </w:r>
    </w:p>
    <w:p w14:paraId="378F3AD3">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品。水样带回实验室后，静止24-36h，充分沉淀后，用虹吸管慢慢吸取上清液，虹吸时管口始终低于水面，流速、流量不可大，吸至澄清液1/3时，控制流速，使成滴缓慢流下为宜。</w:t>
      </w:r>
    </w:p>
    <w:p w14:paraId="5989895A">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鉴定与计数：镜检前需对样品充分摇匀，并快速吸取0.1mL样液，加入0.1mL的浮游植物计数框中，每片观察100个视野。每个样品计数两片，取两者均值作为最终结果。若两片计数结果相差15%以上，则进行第三片计数，取3者中个数相近的两片均值为结果，换算为每升水样中藻类的细胞数，即ind./L；采用体积法计算浮游植物的生物量</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湿重</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，即用浮游植物的数量乘以各自平均体积，单位为mg/L。浮游植物分类鉴定参照《中国淡水藻类》和《中国淡水生物图谱》。</w:t>
      </w:r>
    </w:p>
    <w:p w14:paraId="73CFCB83">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浮游动物调查</w:t>
      </w:r>
    </w:p>
    <w:p w14:paraId="00FF9783">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定量样品：原生动物和轮虫样品使用1L有机玻璃采水器采集，加入1%鲁哥试液固定带回实验室沉淀；枝角类与桡足类样品使用5L有机玻璃采水器采集，每个样品采集水样20L，用25号浮游生物网过滤浓缩，收集的样品用4%的甲醛溶液固定，其中分层采样的标准参照浮游植物。定性样品：采用样品以25号浮游生物网在上层水体呈“∞”字形捞取3-5min，并将滤取的样品放入样品瓶中，加4%的甲醛溶液固定；样品处理：1L的鲁哥试剂固定水样样品在回到实验室后，沉降48h，浓缩为30mL的样品。</w:t>
      </w:r>
    </w:p>
    <w:p w14:paraId="49A4F82F">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鉴定与计数：物种鉴定参照《淡水浮游生物图谱》、《中国淡水轮虫志》和《原生动物学》；样品计数：分别吸取0.1mL</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计数原生动物</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和1mL</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计数轮虫</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的浓缩液注入0.1mL和1mL计数框中，在10×20的放大倍数下计数2次，取其平均值。按下式换算单位体积中原生动物或轮虫的个体数量：N=</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Vs×n</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V×Va</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，式中：N为1L水中浮游动物的个体数</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个/L</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；V为采样体积</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L</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；Vs为沉淀体积</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mL</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；Va为计算体积</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mL</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；n为计数所得的个体数；枝角类与桡足类则全部计数。</w:t>
      </w:r>
    </w:p>
    <w:p w14:paraId="78722286">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4</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底栖动物调查</w:t>
      </w:r>
    </w:p>
    <w:p w14:paraId="7CCF0085">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定量采集：使用1/40m2的彼得森采泥器分别在断面的左岸、中心和右岸三个采样点对底栖动物进行定量采集，每个样点采集三次合成一个样品。</w:t>
      </w:r>
    </w:p>
    <w:p w14:paraId="01C26D4A">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定性采集：定性采样可用定量采样方法采集定性样品，还可用抄网等在岸边及浅水区采集定性样品。采用抄网采样时，应尽可能在各种生境采样，使样品更具代表性。</w:t>
      </w:r>
    </w:p>
    <w:p w14:paraId="3DD13FD1">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后期样品的处理：采集的泥样经60目的筛网筛洗后置于解剖盘中将底栖动物逐一</w:t>
      </w:r>
      <w:r>
        <w:rPr>
          <w:rFonts w:hint="eastAsia" w:cs="Times New Roman"/>
          <w:color w:val="auto"/>
          <w:sz w:val="24"/>
          <w:szCs w:val="24"/>
          <w:lang w:eastAsia="zh-CN"/>
        </w:rPr>
        <w:t>拣出</w:t>
      </w:r>
      <w:r>
        <w:rPr>
          <w:rFonts w:hint="default" w:ascii="Times New Roman" w:hAnsi="Times New Roman" w:eastAsia="宋体" w:cs="Times New Roman"/>
          <w:color w:val="auto"/>
          <w:sz w:val="24"/>
          <w:szCs w:val="24"/>
          <w:lang w:eastAsia="en-US"/>
        </w:rPr>
        <w:t>，并记录好采集的时间、地点、编号等。如果在野外时间紧张，也可将泥样放入塑料袋中带回实验室洗涤。捡出样品用10%福尔马林固定，回到实验室后对固定的样品进行种类鉴定、计数，然后用滤纸吸干水分，并在电子天平上称量。最终结果折算成单位面积底栖动物的密度和生物量。</w:t>
      </w:r>
    </w:p>
    <w:p w14:paraId="757AF111">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5</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水生维管植物调查</w:t>
      </w:r>
    </w:p>
    <w:p w14:paraId="5C7AC378">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定性采集：记录调查区范围内遇见的所有维管植物，重点关注国家重点保护植物及外来物种分布情况。</w:t>
      </w:r>
    </w:p>
    <w:p w14:paraId="31F46DCC">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定量采集：在调查范围内典型植被类型中设置样方，调查群落组成。草本植物群落样方大小1m×1m，木本植物群落样方大小为10m×10m。统计样方内每种植物的数量、盖度，测量植株高度，称量鲜重，记录生境。</w:t>
      </w:r>
    </w:p>
    <w:p w14:paraId="783FA46F">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6</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渔业资源调查</w:t>
      </w:r>
    </w:p>
    <w:p w14:paraId="391FA12F">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①鱼类等常规渔业资源</w:t>
      </w:r>
    </w:p>
    <w:p w14:paraId="366EAB3F">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渔业资源调查依据《河流水生生物调查指南》</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科学出版社</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，在渔业资源采样点分别利用三重及以上刺网和定置</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串联</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倒须笼壶开展鱼类等常规渔业资源调查。三重及以上刺网单条网长200m，网高2m，</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长×高：50m×2m，网目2a=2.0cm</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长×高：50m×2m，网目2a=6.0cm</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长×高：50m×2m，网目2a=10.0cm</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长×高：50m×2m，网目2a=14.0cm</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，网具由4个规格网片串联拼接而成，网长可基于河宽适当调整，每个样点投放2条。定置</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串联</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倒须笼壶单条网长18m，网宽和网高均为45cm，网目2a=0.8cm，每个样点串接3条。开展项目调查任务时，每个位点于采样前一日放置网具，放置时间大于12h，次日收集所有鱼类样本并鉴定物种，测定其生物学信息。</w:t>
      </w:r>
    </w:p>
    <w:p w14:paraId="1D1F62B9">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②鱼类早期资源</w:t>
      </w:r>
    </w:p>
    <w:p w14:paraId="53CBFD83">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使用圆锥网</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网口直径80cm，网身2.4m，网目0.45mm</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进行样品采集，采样时网口装流量计，记录过网的水流量，采集的鱼类早期资源样品，现场用10%的甲醛固定；样品带回实验室后，分拣出鱼卵和仔稚鱼于30mL的样品瓶中，用4%的甲醛固定保存。并于解剖镜下对仔</w:t>
      </w:r>
      <w:r>
        <w:rPr>
          <w:rFonts w:hint="eastAsia" w:cs="Times New Roman"/>
          <w:color w:val="auto"/>
          <w:sz w:val="24"/>
          <w:szCs w:val="24"/>
          <w:lang w:eastAsia="zh-CN"/>
        </w:rPr>
        <w:t>稚鱼</w:t>
      </w:r>
      <w:r>
        <w:rPr>
          <w:rFonts w:hint="default" w:ascii="Times New Roman" w:hAnsi="Times New Roman" w:eastAsia="宋体" w:cs="Times New Roman"/>
          <w:color w:val="auto"/>
          <w:sz w:val="24"/>
          <w:szCs w:val="24"/>
          <w:lang w:eastAsia="en-US"/>
        </w:rPr>
        <w:t>进行分类鉴定和个体计数，物种鉴定参照《长江鱼类早期资源》等相关资料。</w:t>
      </w:r>
    </w:p>
    <w:p w14:paraId="7EC18E9B">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③鱼类资源密度</w:t>
      </w:r>
    </w:p>
    <w:p w14:paraId="41D5968C">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bookmarkStart w:id="88" w:name="bookmark162"/>
      <w:bookmarkEnd w:id="88"/>
      <w:r>
        <w:rPr>
          <w:rFonts w:hint="default" w:ascii="Times New Roman" w:hAnsi="Times New Roman" w:eastAsia="宋体" w:cs="Times New Roman"/>
          <w:color w:val="auto"/>
          <w:sz w:val="24"/>
          <w:szCs w:val="24"/>
          <w:lang w:eastAsia="en-US"/>
        </w:rPr>
        <w:t>声学调查使用仪器为分裂式波束科学鱼探仪</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SimradEY60，200kHz</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和GPS</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GaminGPS60CSx美国</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eastAsia="en-US"/>
        </w:rPr>
        <w:t>，利用以太网络将鱼探仪与笔记本电脑连接，使用专用软件ER60进行声学数据采集收录，GPS通过RS232接口与笔记本电脑连接，动态获得经、纬度位置信息。调查船使用渔船，将换能器悬挂在船体左舷外侧，垂直向下固定于水下1m处，采用航行断面生物回波采样方式，航速5-7节。调查航线设计采用等距平行断面方式进行走航调查。</w:t>
      </w:r>
    </w:p>
    <w:p w14:paraId="1906EB36">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auto"/>
          <w:sz w:val="24"/>
          <w:szCs w:val="24"/>
          <w:lang w:eastAsia="en-US"/>
        </w:rPr>
      </w:pPr>
      <w:r>
        <w:rPr>
          <w:rFonts w:hint="default" w:ascii="Times New Roman" w:hAnsi="Times New Roman" w:eastAsia="宋体" w:cs="Times New Roman"/>
          <w:color w:val="auto"/>
          <w:sz w:val="24"/>
          <w:szCs w:val="24"/>
          <w:lang w:eastAsia="en-US"/>
        </w:rPr>
        <w:t>声学数据分析使用渔业声学数据处理软件Echoview进行，采用回波积分法对渔业资源密度进行估算。</w:t>
      </w:r>
    </w:p>
    <w:p w14:paraId="5273C251">
      <w:pPr>
        <w:pStyle w:val="237"/>
        <w:numPr>
          <w:ilvl w:val="0"/>
          <w:numId w:val="0"/>
        </w:numPr>
        <w:ind w:left="0" w:leftChars="0" w:firstLine="480" w:firstLineChars="200"/>
        <w:rPr>
          <w:color w:val="auto"/>
        </w:rPr>
      </w:pPr>
      <w:r>
        <w:rPr>
          <w:rFonts w:ascii="Times New Roman" w:hAnsi="Times New Roman" w:eastAsia="宋体" w:cs="Calibri"/>
          <w:color w:val="auto"/>
          <w:kern w:val="2"/>
          <w:sz w:val="24"/>
          <w:szCs w:val="24"/>
          <w:lang w:val="en-US" w:eastAsia="zh-CN" w:bidi="ar-SA"/>
        </w:rPr>
        <w:t>（</w:t>
      </w:r>
      <w:r>
        <w:rPr>
          <w:rFonts w:hint="eastAsia" w:cs="Calibri"/>
          <w:color w:val="auto"/>
          <w:kern w:val="2"/>
          <w:sz w:val="24"/>
          <w:szCs w:val="24"/>
          <w:lang w:val="en-US" w:eastAsia="zh-CN" w:bidi="ar-SA"/>
        </w:rPr>
        <w:t>4</w:t>
      </w:r>
      <w:r>
        <w:rPr>
          <w:rFonts w:ascii="Times New Roman" w:hAnsi="Times New Roman" w:eastAsia="宋体" w:cs="Calibri"/>
          <w:color w:val="auto"/>
          <w:kern w:val="2"/>
          <w:sz w:val="24"/>
          <w:szCs w:val="24"/>
          <w:lang w:val="en-US" w:eastAsia="zh-CN" w:bidi="ar-SA"/>
        </w:rPr>
        <w:t>）</w:t>
      </w:r>
      <w:r>
        <w:rPr>
          <w:rFonts w:hint="eastAsia"/>
          <w:color w:val="auto"/>
          <w:lang w:val="en-US" w:eastAsia="zh-CN"/>
        </w:rPr>
        <w:t>分析</w:t>
      </w:r>
      <w:r>
        <w:rPr>
          <w:color w:val="auto"/>
        </w:rPr>
        <w:t>方法：</w:t>
      </w:r>
    </w:p>
    <w:p w14:paraId="61B00FB5">
      <w:pPr>
        <w:spacing w:line="360" w:lineRule="auto"/>
        <w:ind w:firstLine="480" w:firstLineChars="200"/>
        <w:rPr>
          <w:rFonts w:ascii="Times New Roman" w:hAnsi="Times New Roman" w:eastAsia="宋体" w:cs="Times New Roman"/>
          <w:b w:val="0"/>
          <w:bCs/>
          <w:color w:val="auto"/>
          <w:sz w:val="24"/>
          <w:szCs w:val="28"/>
        </w:rPr>
      </w:pPr>
      <w:r>
        <w:rPr>
          <w:rFonts w:ascii="Times New Roman" w:hAnsi="Times New Roman" w:eastAsia="宋体" w:cs="Times New Roman"/>
          <w:b w:val="0"/>
          <w:bCs/>
          <w:color w:val="auto"/>
          <w:sz w:val="24"/>
          <w:szCs w:val="22"/>
        </w:rPr>
        <w:t>1)</w:t>
      </w:r>
      <w:r>
        <w:rPr>
          <w:rFonts w:ascii="Times New Roman" w:hAnsi="Times New Roman" w:eastAsia="宋体" w:cs="Times New Roman"/>
          <w:b w:val="0"/>
          <w:bCs/>
          <w:color w:val="auto"/>
          <w:sz w:val="24"/>
          <w:szCs w:val="28"/>
        </w:rPr>
        <w:t>水质类别评价</w:t>
      </w:r>
    </w:p>
    <w:p w14:paraId="22EA67C0">
      <w:pPr>
        <w:spacing w:line="360" w:lineRule="auto"/>
        <w:ind w:firstLine="480" w:firstLineChars="200"/>
        <w:rPr>
          <w:rFonts w:ascii="Times New Roman" w:hAnsi="Times New Roman" w:eastAsia="宋体" w:cs="Times New Roman"/>
          <w:color w:val="auto"/>
          <w:sz w:val="24"/>
          <w:szCs w:val="28"/>
        </w:rPr>
      </w:pPr>
      <w:r>
        <w:rPr>
          <w:rFonts w:ascii="Times New Roman" w:hAnsi="Times New Roman" w:eastAsia="宋体" w:cs="Times New Roman"/>
          <w:color w:val="auto"/>
          <w:sz w:val="24"/>
          <w:szCs w:val="28"/>
        </w:rPr>
        <w:t>利用透明度、总磷、总氮、叶绿素</w:t>
      </w:r>
      <w:r>
        <w:rPr>
          <w:rFonts w:ascii="Times New Roman" w:hAnsi="Times New Roman" w:eastAsia="宋体" w:cs="Times New Roman"/>
          <w:i/>
          <w:iCs/>
          <w:color w:val="auto"/>
          <w:sz w:val="24"/>
          <w:szCs w:val="28"/>
        </w:rPr>
        <w:t>a</w:t>
      </w:r>
      <w:r>
        <w:rPr>
          <w:rFonts w:ascii="Times New Roman" w:hAnsi="Times New Roman" w:eastAsia="宋体" w:cs="Times New Roman"/>
          <w:color w:val="auto"/>
          <w:sz w:val="24"/>
          <w:szCs w:val="28"/>
        </w:rPr>
        <w:t>和高锰酸盐指数等5项水质指标加权计算卡尔森营养状态指数对调查江段水体进行综合营养状态评价。卡尔森营养状态指数利用0~100的一系列连续数字对水体营养状态进行分级，包括贫营养、中营养、轻度富营养、中度富营养和重度富营养，对应污染程度关系见表</w:t>
      </w:r>
      <w:r>
        <w:rPr>
          <w:rFonts w:hint="eastAsia" w:ascii="Times New Roman" w:hAnsi="Times New Roman" w:eastAsia="宋体" w:cs="Times New Roman"/>
          <w:color w:val="auto"/>
          <w:sz w:val="24"/>
          <w:szCs w:val="28"/>
          <w:lang w:val="en-US" w:eastAsia="zh-CN"/>
        </w:rPr>
        <w:t>4.2-23</w:t>
      </w:r>
      <w:r>
        <w:rPr>
          <w:rFonts w:ascii="Times New Roman" w:hAnsi="Times New Roman" w:eastAsia="宋体" w:cs="Times New Roman"/>
          <w:color w:val="auto"/>
          <w:sz w:val="24"/>
          <w:szCs w:val="28"/>
        </w:rPr>
        <w:t>。</w:t>
      </w:r>
    </w:p>
    <w:p w14:paraId="27D3ADC6">
      <w:pPr>
        <w:spacing w:line="400" w:lineRule="exact"/>
        <w:jc w:val="center"/>
        <w:rPr>
          <w:rFonts w:eastAsia="黑体"/>
          <w:color w:val="auto"/>
          <w:sz w:val="24"/>
        </w:rPr>
      </w:pPr>
      <w:r>
        <w:rPr>
          <w:rFonts w:eastAsia="黑体"/>
          <w:color w:val="auto"/>
          <w:sz w:val="24"/>
        </w:rPr>
        <w:t>表</w:t>
      </w:r>
      <w:r>
        <w:rPr>
          <w:rFonts w:hint="eastAsia" w:eastAsia="黑体"/>
          <w:color w:val="auto"/>
          <w:sz w:val="24"/>
          <w:lang w:val="en-US" w:eastAsia="zh-CN"/>
        </w:rPr>
        <w:t>4.2-23</w:t>
      </w:r>
      <w:r>
        <w:rPr>
          <w:rFonts w:eastAsia="黑体"/>
          <w:color w:val="auto"/>
          <w:sz w:val="24"/>
        </w:rPr>
        <w:t xml:space="preserve"> 水质类别与评分值对应表</w:t>
      </w:r>
    </w:p>
    <w:tbl>
      <w:tblPr>
        <w:tblStyle w:val="53"/>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043"/>
        <w:gridCol w:w="3551"/>
        <w:gridCol w:w="2689"/>
      </w:tblGrid>
      <w:tr w14:paraId="770F4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39" w:type="pct"/>
            <w:tcBorders>
              <w:left w:val="nil"/>
            </w:tcBorders>
            <w:noWrap w:val="0"/>
            <w:vAlign w:val="center"/>
          </w:tcPr>
          <w:p w14:paraId="2FD5CE72">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营养状态分级</w:t>
            </w:r>
          </w:p>
        </w:tc>
        <w:tc>
          <w:tcPr>
            <w:tcW w:w="1912" w:type="pct"/>
            <w:noWrap w:val="0"/>
            <w:vAlign w:val="center"/>
          </w:tcPr>
          <w:p w14:paraId="3E9E5F70">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评分值TLI(∑)</w:t>
            </w:r>
          </w:p>
        </w:tc>
        <w:tc>
          <w:tcPr>
            <w:tcW w:w="1448" w:type="pct"/>
            <w:tcBorders>
              <w:right w:val="nil"/>
            </w:tcBorders>
            <w:noWrap w:val="0"/>
            <w:vAlign w:val="center"/>
          </w:tcPr>
          <w:p w14:paraId="32109B10">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定性评价</w:t>
            </w:r>
          </w:p>
        </w:tc>
      </w:tr>
      <w:tr w14:paraId="4C64F1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39" w:type="pct"/>
            <w:tcBorders>
              <w:left w:val="nil"/>
            </w:tcBorders>
            <w:noWrap w:val="0"/>
            <w:vAlign w:val="center"/>
          </w:tcPr>
          <w:p w14:paraId="6810BE29">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贫营养</w:t>
            </w:r>
          </w:p>
        </w:tc>
        <w:tc>
          <w:tcPr>
            <w:tcW w:w="1912" w:type="pct"/>
            <w:noWrap w:val="0"/>
            <w:vAlign w:val="center"/>
          </w:tcPr>
          <w:p w14:paraId="1E57C0DD">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0＜TLI(∑)≤30</w:t>
            </w:r>
          </w:p>
        </w:tc>
        <w:tc>
          <w:tcPr>
            <w:tcW w:w="1448" w:type="pct"/>
            <w:tcBorders>
              <w:right w:val="nil"/>
            </w:tcBorders>
            <w:noWrap w:val="0"/>
            <w:vAlign w:val="center"/>
          </w:tcPr>
          <w:p w14:paraId="097271D7">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优</w:t>
            </w:r>
          </w:p>
        </w:tc>
      </w:tr>
      <w:tr w14:paraId="4D859F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39" w:type="pct"/>
            <w:tcBorders>
              <w:left w:val="nil"/>
            </w:tcBorders>
            <w:noWrap w:val="0"/>
            <w:vAlign w:val="center"/>
          </w:tcPr>
          <w:p w14:paraId="7719001E">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中营养</w:t>
            </w:r>
          </w:p>
        </w:tc>
        <w:tc>
          <w:tcPr>
            <w:tcW w:w="1912" w:type="pct"/>
            <w:noWrap w:val="0"/>
            <w:vAlign w:val="center"/>
          </w:tcPr>
          <w:p w14:paraId="2016917F">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30＜TLI(∑)≤50</w:t>
            </w:r>
          </w:p>
        </w:tc>
        <w:tc>
          <w:tcPr>
            <w:tcW w:w="1448" w:type="pct"/>
            <w:tcBorders>
              <w:right w:val="nil"/>
            </w:tcBorders>
            <w:noWrap w:val="0"/>
            <w:vAlign w:val="center"/>
          </w:tcPr>
          <w:p w14:paraId="24D594DF">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良好</w:t>
            </w:r>
          </w:p>
        </w:tc>
      </w:tr>
      <w:tr w14:paraId="4B0C4F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39" w:type="pct"/>
            <w:tcBorders>
              <w:left w:val="nil"/>
            </w:tcBorders>
            <w:noWrap w:val="0"/>
            <w:vAlign w:val="center"/>
          </w:tcPr>
          <w:p w14:paraId="52BF9EFA">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rPr>
            </w:pPr>
            <w:r>
              <w:rPr>
                <w:rFonts w:hint="eastAsia" w:cs="Times New Roman"/>
                <w:color w:val="auto"/>
                <w:sz w:val="21"/>
                <w:szCs w:val="21"/>
                <w:lang w:eastAsia="zh-CN"/>
              </w:rPr>
              <w:t>（</w:t>
            </w:r>
            <w:r>
              <w:rPr>
                <w:rFonts w:hint="default" w:ascii="Times New Roman" w:hAnsi="Times New Roman" w:eastAsia="宋体" w:cs="Times New Roman"/>
                <w:color w:val="auto"/>
                <w:sz w:val="21"/>
                <w:szCs w:val="21"/>
              </w:rPr>
              <w:t>轻度)富营养</w:t>
            </w:r>
          </w:p>
        </w:tc>
        <w:tc>
          <w:tcPr>
            <w:tcW w:w="1912" w:type="pct"/>
            <w:noWrap w:val="0"/>
            <w:vAlign w:val="center"/>
          </w:tcPr>
          <w:p w14:paraId="7248B275">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50＜TLI(∑)≤60</w:t>
            </w:r>
          </w:p>
        </w:tc>
        <w:tc>
          <w:tcPr>
            <w:tcW w:w="1448" w:type="pct"/>
            <w:tcBorders>
              <w:right w:val="nil"/>
            </w:tcBorders>
            <w:noWrap w:val="0"/>
            <w:vAlign w:val="center"/>
          </w:tcPr>
          <w:p w14:paraId="288099BD">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轻度污染</w:t>
            </w:r>
          </w:p>
        </w:tc>
      </w:tr>
      <w:tr w14:paraId="704DAA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39" w:type="pct"/>
            <w:tcBorders>
              <w:left w:val="nil"/>
            </w:tcBorders>
            <w:noWrap w:val="0"/>
            <w:vAlign w:val="center"/>
          </w:tcPr>
          <w:p w14:paraId="4C254B45">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rPr>
            </w:pPr>
            <w:r>
              <w:rPr>
                <w:rFonts w:hint="eastAsia" w:cs="Times New Roman"/>
                <w:color w:val="auto"/>
                <w:sz w:val="21"/>
                <w:szCs w:val="21"/>
                <w:lang w:eastAsia="zh-CN"/>
              </w:rPr>
              <w:t>（</w:t>
            </w:r>
            <w:r>
              <w:rPr>
                <w:rFonts w:hint="default" w:ascii="Times New Roman" w:hAnsi="Times New Roman" w:eastAsia="宋体" w:cs="Times New Roman"/>
                <w:color w:val="auto"/>
                <w:sz w:val="21"/>
                <w:szCs w:val="21"/>
              </w:rPr>
              <w:t>中度)富营养</w:t>
            </w:r>
          </w:p>
        </w:tc>
        <w:tc>
          <w:tcPr>
            <w:tcW w:w="1912" w:type="pct"/>
            <w:noWrap w:val="0"/>
            <w:vAlign w:val="center"/>
          </w:tcPr>
          <w:p w14:paraId="09015B6D">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60＜TLI(∑)≤70</w:t>
            </w:r>
          </w:p>
        </w:tc>
        <w:tc>
          <w:tcPr>
            <w:tcW w:w="1448" w:type="pct"/>
            <w:tcBorders>
              <w:right w:val="nil"/>
            </w:tcBorders>
            <w:noWrap w:val="0"/>
            <w:vAlign w:val="center"/>
          </w:tcPr>
          <w:p w14:paraId="136F95BA">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中度污染</w:t>
            </w:r>
          </w:p>
        </w:tc>
      </w:tr>
      <w:tr w14:paraId="1767A3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39" w:type="pct"/>
            <w:tcBorders>
              <w:left w:val="nil"/>
            </w:tcBorders>
            <w:noWrap w:val="0"/>
            <w:vAlign w:val="center"/>
          </w:tcPr>
          <w:p w14:paraId="364D34D2">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rPr>
            </w:pPr>
            <w:r>
              <w:rPr>
                <w:rFonts w:hint="eastAsia" w:cs="Times New Roman"/>
                <w:color w:val="auto"/>
                <w:sz w:val="21"/>
                <w:szCs w:val="21"/>
                <w:lang w:eastAsia="zh-CN"/>
              </w:rPr>
              <w:t>（</w:t>
            </w:r>
            <w:r>
              <w:rPr>
                <w:rFonts w:hint="default" w:ascii="Times New Roman" w:hAnsi="Times New Roman" w:eastAsia="宋体" w:cs="Times New Roman"/>
                <w:color w:val="auto"/>
                <w:sz w:val="21"/>
                <w:szCs w:val="21"/>
              </w:rPr>
              <w:t>重度)富营养</w:t>
            </w:r>
          </w:p>
        </w:tc>
        <w:tc>
          <w:tcPr>
            <w:tcW w:w="1912" w:type="pct"/>
            <w:noWrap w:val="0"/>
            <w:vAlign w:val="center"/>
          </w:tcPr>
          <w:p w14:paraId="537959B0">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70＜TLI(∑)≤100</w:t>
            </w:r>
          </w:p>
        </w:tc>
        <w:tc>
          <w:tcPr>
            <w:tcW w:w="1448" w:type="pct"/>
            <w:tcBorders>
              <w:right w:val="nil"/>
            </w:tcBorders>
            <w:noWrap w:val="0"/>
            <w:vAlign w:val="center"/>
          </w:tcPr>
          <w:p w14:paraId="0976966D">
            <w:pPr>
              <w:keepNext w:val="0"/>
              <w:keepLines w:val="0"/>
              <w:suppressLineNumbers w:val="0"/>
              <w:topLinePunct/>
              <w:adjustRightInd w:val="0"/>
              <w:snapToGrid w:val="0"/>
              <w:spacing w:before="0" w:beforeAutospacing="0" w:after="0" w:afterAutospacing="0" w:line="240" w:lineRule="auto"/>
              <w:ind w:left="0" w:right="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重度污染</w:t>
            </w:r>
          </w:p>
        </w:tc>
      </w:tr>
    </w:tbl>
    <w:p w14:paraId="5776FAC3">
      <w:pPr>
        <w:spacing w:line="360" w:lineRule="auto"/>
        <w:ind w:firstLine="480" w:firstLineChars="200"/>
        <w:rPr>
          <w:rFonts w:ascii="Times New Roman" w:hAnsi="Times New Roman" w:eastAsia="宋体" w:cs="Times New Roman"/>
          <w:b/>
          <w:bCs/>
          <w:color w:val="auto"/>
          <w:sz w:val="24"/>
          <w:szCs w:val="28"/>
        </w:rPr>
      </w:pPr>
      <w:r>
        <w:rPr>
          <w:rFonts w:hint="eastAsia" w:ascii="Times New Roman" w:hAnsi="Times New Roman" w:eastAsia="宋体" w:cs="Times New Roman"/>
          <w:b/>
          <w:color w:val="auto"/>
          <w:sz w:val="24"/>
          <w:szCs w:val="22"/>
          <w:lang w:val="en-US" w:eastAsia="zh-CN"/>
        </w:rPr>
        <w:t>2</w:t>
      </w:r>
      <w:r>
        <w:rPr>
          <w:rFonts w:ascii="Times New Roman" w:hAnsi="Times New Roman" w:eastAsia="宋体" w:cs="Times New Roman"/>
          <w:b/>
          <w:color w:val="auto"/>
          <w:sz w:val="24"/>
          <w:szCs w:val="22"/>
        </w:rPr>
        <w:t>)</w:t>
      </w:r>
      <w:r>
        <w:rPr>
          <w:rFonts w:ascii="Times New Roman" w:hAnsi="Times New Roman" w:eastAsia="宋体" w:cs="Times New Roman"/>
          <w:b/>
          <w:bCs/>
          <w:color w:val="auto"/>
          <w:sz w:val="24"/>
          <w:szCs w:val="28"/>
        </w:rPr>
        <w:t>生态优势度</w:t>
      </w:r>
    </w:p>
    <w:p w14:paraId="7BC5A99B">
      <w:pPr>
        <w:spacing w:line="360" w:lineRule="auto"/>
        <w:ind w:firstLine="480" w:firstLineChars="200"/>
        <w:rPr>
          <w:rFonts w:ascii="Times New Roman" w:hAnsi="Times New Roman" w:eastAsia="宋体" w:cs="Times New Roman"/>
          <w:color w:val="auto"/>
          <w:sz w:val="24"/>
          <w:szCs w:val="28"/>
        </w:rPr>
      </w:pPr>
      <w:r>
        <w:rPr>
          <w:rFonts w:ascii="Times New Roman" w:hAnsi="Times New Roman" w:eastAsia="宋体" w:cs="Times New Roman"/>
          <w:color w:val="auto"/>
          <w:sz w:val="24"/>
          <w:szCs w:val="28"/>
        </w:rPr>
        <w:t>选用相对重要性指数</w:t>
      </w:r>
      <w:r>
        <w:rPr>
          <w:rFonts w:hint="eastAsia" w:cs="Times New Roman"/>
          <w:color w:val="auto"/>
          <w:sz w:val="24"/>
          <w:szCs w:val="28"/>
          <w:lang w:eastAsia="zh-CN"/>
        </w:rPr>
        <w:t>（</w:t>
      </w:r>
      <w:r>
        <w:rPr>
          <w:rFonts w:ascii="Times New Roman" w:hAnsi="Times New Roman" w:eastAsia="宋体" w:cs="Times New Roman"/>
          <w:i/>
          <w:iCs/>
          <w:color w:val="auto"/>
          <w:sz w:val="24"/>
          <w:szCs w:val="28"/>
        </w:rPr>
        <w:t>IRI</w:t>
      </w:r>
      <w:r>
        <w:rPr>
          <w:rFonts w:ascii="Times New Roman" w:hAnsi="Times New Roman" w:eastAsia="宋体" w:cs="Times New Roman"/>
          <w:color w:val="auto"/>
          <w:sz w:val="24"/>
          <w:szCs w:val="28"/>
        </w:rPr>
        <w:t>)描述群落生态优势度，将</w:t>
      </w:r>
      <w:r>
        <w:rPr>
          <w:rFonts w:ascii="Times New Roman" w:hAnsi="Times New Roman" w:eastAsia="宋体" w:cs="Times New Roman"/>
          <w:i/>
          <w:iCs/>
          <w:color w:val="auto"/>
          <w:sz w:val="24"/>
          <w:szCs w:val="28"/>
        </w:rPr>
        <w:t>IRI</w:t>
      </w:r>
      <w:r>
        <w:rPr>
          <w:rFonts w:ascii="Times New Roman" w:hAnsi="Times New Roman" w:eastAsia="宋体" w:cs="Times New Roman"/>
          <w:color w:val="auto"/>
          <w:sz w:val="24"/>
          <w:szCs w:val="28"/>
        </w:rPr>
        <w:t>指数大于1000的定为优势种，</w:t>
      </w:r>
      <w:r>
        <w:rPr>
          <w:rFonts w:ascii="Times New Roman" w:hAnsi="Times New Roman" w:eastAsia="宋体" w:cs="Times New Roman"/>
          <w:i/>
          <w:iCs/>
          <w:color w:val="auto"/>
          <w:sz w:val="24"/>
          <w:szCs w:val="28"/>
        </w:rPr>
        <w:t>IRI</w:t>
      </w:r>
      <w:r>
        <w:rPr>
          <w:rFonts w:ascii="Times New Roman" w:hAnsi="Times New Roman" w:eastAsia="宋体" w:cs="Times New Roman"/>
          <w:color w:val="auto"/>
          <w:sz w:val="24"/>
          <w:szCs w:val="28"/>
        </w:rPr>
        <w:t>指数大于100的定为常见种。计算公式为</w:t>
      </w:r>
      <w:r>
        <w:rPr>
          <w:rFonts w:ascii="Times New Roman" w:hAnsi="Times New Roman" w:eastAsia="宋体" w:cs="Times New Roman"/>
          <w:i/>
          <w:iCs/>
          <w:color w:val="auto"/>
          <w:sz w:val="24"/>
          <w:szCs w:val="28"/>
        </w:rPr>
        <w:t>IRI=(N+W)F</w:t>
      </w:r>
      <w:r>
        <w:rPr>
          <w:rFonts w:ascii="Times New Roman" w:hAnsi="Times New Roman" w:eastAsia="宋体" w:cs="Times New Roman"/>
          <w:color w:val="auto"/>
          <w:sz w:val="24"/>
          <w:szCs w:val="28"/>
        </w:rPr>
        <w:t>；式中</w:t>
      </w:r>
      <w:r>
        <w:rPr>
          <w:rFonts w:ascii="Times New Roman" w:hAnsi="Times New Roman" w:eastAsia="宋体" w:cs="Times New Roman"/>
          <w:i/>
          <w:iCs/>
          <w:color w:val="auto"/>
          <w:sz w:val="24"/>
          <w:szCs w:val="28"/>
        </w:rPr>
        <w:t>N</w:t>
      </w:r>
      <w:r>
        <w:rPr>
          <w:rFonts w:ascii="Times New Roman" w:hAnsi="Times New Roman" w:eastAsia="宋体" w:cs="Times New Roman"/>
          <w:color w:val="auto"/>
          <w:sz w:val="24"/>
          <w:szCs w:val="28"/>
        </w:rPr>
        <w:t>为各物种尾数百分比，</w:t>
      </w:r>
      <w:r>
        <w:rPr>
          <w:rFonts w:ascii="Times New Roman" w:hAnsi="Times New Roman" w:eastAsia="宋体" w:cs="Times New Roman"/>
          <w:i/>
          <w:iCs/>
          <w:color w:val="auto"/>
          <w:sz w:val="24"/>
          <w:szCs w:val="28"/>
        </w:rPr>
        <w:t>W</w:t>
      </w:r>
      <w:r>
        <w:rPr>
          <w:rFonts w:ascii="Times New Roman" w:hAnsi="Times New Roman" w:eastAsia="宋体" w:cs="Times New Roman"/>
          <w:color w:val="auto"/>
          <w:sz w:val="24"/>
          <w:szCs w:val="28"/>
        </w:rPr>
        <w:t>为各物种重量百分比，</w:t>
      </w:r>
      <w:r>
        <w:rPr>
          <w:rFonts w:ascii="Times New Roman" w:hAnsi="Times New Roman" w:eastAsia="宋体" w:cs="Times New Roman"/>
          <w:i/>
          <w:iCs/>
          <w:color w:val="auto"/>
          <w:sz w:val="24"/>
          <w:szCs w:val="28"/>
        </w:rPr>
        <w:t>F</w:t>
      </w:r>
      <w:r>
        <w:rPr>
          <w:rFonts w:ascii="Times New Roman" w:hAnsi="Times New Roman" w:eastAsia="宋体" w:cs="Times New Roman"/>
          <w:color w:val="auto"/>
          <w:sz w:val="24"/>
          <w:szCs w:val="28"/>
        </w:rPr>
        <w:t>为各物种在所有抽样次数中的出现频率。</w:t>
      </w:r>
    </w:p>
    <w:p w14:paraId="76B8ACB7">
      <w:pPr>
        <w:spacing w:line="360" w:lineRule="auto"/>
        <w:ind w:firstLine="480" w:firstLineChars="200"/>
        <w:rPr>
          <w:rFonts w:ascii="Times New Roman" w:hAnsi="Times New Roman" w:eastAsia="宋体" w:cs="Times New Roman"/>
          <w:b/>
          <w:bCs/>
          <w:color w:val="auto"/>
          <w:sz w:val="24"/>
          <w:szCs w:val="28"/>
        </w:rPr>
      </w:pPr>
      <w:r>
        <w:rPr>
          <w:rFonts w:ascii="Times New Roman" w:hAnsi="Times New Roman" w:eastAsia="宋体" w:cs="Times New Roman"/>
          <w:b/>
          <w:color w:val="auto"/>
          <w:sz w:val="24"/>
          <w:szCs w:val="22"/>
        </w:rPr>
        <w:t>3)</w:t>
      </w:r>
      <w:r>
        <w:rPr>
          <w:rFonts w:ascii="Times New Roman" w:hAnsi="Times New Roman" w:eastAsia="宋体" w:cs="Times New Roman"/>
          <w:b/>
          <w:bCs/>
          <w:color w:val="auto"/>
          <w:sz w:val="24"/>
          <w:szCs w:val="28"/>
        </w:rPr>
        <w:t>多样性特征值</w:t>
      </w:r>
    </w:p>
    <w:p w14:paraId="142E2D8C">
      <w:pPr>
        <w:spacing w:line="360" w:lineRule="auto"/>
        <w:ind w:firstLine="480" w:firstLineChars="200"/>
        <w:rPr>
          <w:rFonts w:ascii="Times New Roman" w:hAnsi="Times New Roman" w:eastAsia="宋体" w:cs="Times New Roman"/>
          <w:color w:val="auto"/>
          <w:sz w:val="24"/>
          <w:szCs w:val="28"/>
        </w:rPr>
      </w:pPr>
      <w:r>
        <w:rPr>
          <w:rFonts w:ascii="Times New Roman" w:hAnsi="Times New Roman" w:eastAsia="宋体" w:cs="Times New Roman"/>
          <w:color w:val="auto"/>
          <w:sz w:val="24"/>
          <w:szCs w:val="28"/>
        </w:rPr>
        <w:t>选用丰富度指数</w:t>
      </w:r>
      <w:r>
        <w:rPr>
          <w:rFonts w:hint="eastAsia" w:cs="Times New Roman"/>
          <w:color w:val="auto"/>
          <w:sz w:val="24"/>
          <w:szCs w:val="28"/>
          <w:lang w:eastAsia="zh-CN"/>
        </w:rPr>
        <w:t>（</w:t>
      </w:r>
      <w:r>
        <w:rPr>
          <w:rFonts w:ascii="Times New Roman" w:hAnsi="Times New Roman" w:eastAsia="宋体" w:cs="Times New Roman"/>
          <w:i/>
          <w:color w:val="auto"/>
          <w:sz w:val="24"/>
          <w:szCs w:val="28"/>
        </w:rPr>
        <w:t>R</w:t>
      </w:r>
      <w:r>
        <w:rPr>
          <w:rFonts w:ascii="Times New Roman" w:hAnsi="Times New Roman" w:eastAsia="宋体" w:cs="Times New Roman"/>
          <w:color w:val="auto"/>
          <w:sz w:val="24"/>
          <w:szCs w:val="28"/>
        </w:rPr>
        <w:t>)、多样性指数</w:t>
      </w:r>
      <w:r>
        <w:rPr>
          <w:rFonts w:hint="eastAsia" w:cs="Times New Roman"/>
          <w:color w:val="auto"/>
          <w:sz w:val="24"/>
          <w:szCs w:val="28"/>
          <w:lang w:eastAsia="zh-CN"/>
        </w:rPr>
        <w:t>（</w:t>
      </w:r>
      <w:r>
        <w:rPr>
          <w:rFonts w:ascii="Times New Roman" w:hAnsi="Times New Roman" w:eastAsia="宋体" w:cs="Times New Roman"/>
          <w:i/>
          <w:color w:val="auto"/>
          <w:sz w:val="24"/>
          <w:szCs w:val="28"/>
        </w:rPr>
        <w:t>H’</w:t>
      </w:r>
      <w:r>
        <w:rPr>
          <w:rFonts w:ascii="Times New Roman" w:hAnsi="Times New Roman" w:eastAsia="宋体" w:cs="Times New Roman"/>
          <w:color w:val="auto"/>
          <w:sz w:val="24"/>
          <w:szCs w:val="28"/>
        </w:rPr>
        <w:t>)、优势度指数</w:t>
      </w:r>
      <w:r>
        <w:rPr>
          <w:rFonts w:hint="eastAsia" w:cs="Times New Roman"/>
          <w:color w:val="auto"/>
          <w:sz w:val="24"/>
          <w:szCs w:val="28"/>
          <w:lang w:eastAsia="zh-CN"/>
        </w:rPr>
        <w:t>（</w:t>
      </w:r>
      <w:r>
        <w:rPr>
          <w:rFonts w:ascii="Times New Roman" w:hAnsi="Times New Roman" w:eastAsia="宋体" w:cs="Times New Roman"/>
          <w:i/>
          <w:color w:val="auto"/>
          <w:sz w:val="24"/>
          <w:szCs w:val="28"/>
        </w:rPr>
        <w:t>D</w:t>
      </w:r>
      <w:r>
        <w:rPr>
          <w:rFonts w:ascii="Times New Roman" w:hAnsi="Times New Roman" w:eastAsia="宋体" w:cs="Times New Roman"/>
          <w:color w:val="auto"/>
          <w:sz w:val="24"/>
          <w:szCs w:val="28"/>
        </w:rPr>
        <w:t>)和均匀度指数</w:t>
      </w:r>
      <w:r>
        <w:rPr>
          <w:rFonts w:hint="eastAsia" w:cs="Times New Roman"/>
          <w:color w:val="auto"/>
          <w:sz w:val="24"/>
          <w:szCs w:val="28"/>
          <w:lang w:eastAsia="zh-CN"/>
        </w:rPr>
        <w:t>（</w:t>
      </w:r>
      <w:r>
        <w:rPr>
          <w:rFonts w:ascii="Times New Roman" w:hAnsi="Times New Roman" w:eastAsia="宋体" w:cs="Times New Roman"/>
          <w:i/>
          <w:color w:val="auto"/>
          <w:sz w:val="24"/>
          <w:szCs w:val="28"/>
        </w:rPr>
        <w:t>E</w:t>
      </w:r>
      <w:r>
        <w:rPr>
          <w:rFonts w:ascii="Times New Roman" w:hAnsi="Times New Roman" w:eastAsia="宋体" w:cs="Times New Roman"/>
          <w:color w:val="auto"/>
          <w:sz w:val="24"/>
          <w:szCs w:val="28"/>
        </w:rPr>
        <w:t>)对群落物种多样性进行描述。以上各指数计算公式为：</w:t>
      </w:r>
      <w:r>
        <w:rPr>
          <w:rFonts w:ascii="Times New Roman" w:hAnsi="Times New Roman" w:eastAsia="宋体" w:cs="Times New Roman"/>
          <w:i/>
          <w:color w:val="auto"/>
          <w:sz w:val="24"/>
          <w:szCs w:val="28"/>
        </w:rPr>
        <w:t>R</w:t>
      </w:r>
      <w:r>
        <w:rPr>
          <w:rFonts w:ascii="Times New Roman" w:hAnsi="Times New Roman" w:eastAsia="宋体" w:cs="Times New Roman"/>
          <w:color w:val="auto"/>
          <w:sz w:val="24"/>
          <w:szCs w:val="28"/>
        </w:rPr>
        <w:t>=(</w:t>
      </w:r>
      <w:r>
        <w:rPr>
          <w:rFonts w:ascii="Times New Roman" w:hAnsi="Times New Roman" w:eastAsia="宋体" w:cs="Times New Roman"/>
          <w:i/>
          <w:color w:val="auto"/>
          <w:sz w:val="24"/>
          <w:szCs w:val="28"/>
        </w:rPr>
        <w:t>S</w:t>
      </w:r>
      <w:r>
        <w:rPr>
          <w:rFonts w:ascii="Times New Roman" w:hAnsi="Times New Roman" w:eastAsia="宋体" w:cs="Times New Roman"/>
          <w:color w:val="auto"/>
          <w:sz w:val="24"/>
          <w:szCs w:val="28"/>
        </w:rPr>
        <w:t>-1)/ln</w:t>
      </w:r>
      <w:r>
        <w:rPr>
          <w:rFonts w:ascii="Times New Roman" w:hAnsi="Times New Roman" w:eastAsia="宋体" w:cs="Times New Roman"/>
          <w:i/>
          <w:color w:val="auto"/>
          <w:sz w:val="24"/>
          <w:szCs w:val="28"/>
        </w:rPr>
        <w:t>N</w:t>
      </w:r>
      <w:r>
        <w:rPr>
          <w:rFonts w:ascii="Times New Roman" w:hAnsi="Times New Roman" w:eastAsia="宋体" w:cs="Times New Roman"/>
          <w:color w:val="auto"/>
          <w:sz w:val="24"/>
          <w:szCs w:val="28"/>
        </w:rPr>
        <w:t>；</w:t>
      </w:r>
      <w:r>
        <w:rPr>
          <w:rFonts w:ascii="Times New Roman" w:hAnsi="Times New Roman" w:eastAsia="宋体" w:cs="Times New Roman"/>
          <w:i/>
          <w:color w:val="auto"/>
          <w:sz w:val="24"/>
          <w:szCs w:val="28"/>
        </w:rPr>
        <w:t>H’</w:t>
      </w:r>
      <w:r>
        <w:rPr>
          <w:rFonts w:ascii="Times New Roman" w:hAnsi="Times New Roman" w:eastAsia="宋体" w:cs="Times New Roman"/>
          <w:color w:val="auto"/>
          <w:sz w:val="24"/>
          <w:szCs w:val="28"/>
        </w:rPr>
        <w:t>=-Σ(</w:t>
      </w:r>
      <w:r>
        <w:rPr>
          <w:rFonts w:ascii="Times New Roman" w:hAnsi="Times New Roman" w:eastAsia="宋体" w:cs="Times New Roman"/>
          <w:i/>
          <w:color w:val="auto"/>
          <w:sz w:val="24"/>
          <w:szCs w:val="28"/>
        </w:rPr>
        <w:t>Ni</w:t>
      </w:r>
      <w:r>
        <w:rPr>
          <w:rFonts w:ascii="Times New Roman" w:hAnsi="Times New Roman" w:eastAsia="宋体" w:cs="Times New Roman"/>
          <w:color w:val="auto"/>
          <w:sz w:val="24"/>
          <w:szCs w:val="28"/>
        </w:rPr>
        <w:t>/</w:t>
      </w:r>
      <w:r>
        <w:rPr>
          <w:rFonts w:ascii="Times New Roman" w:hAnsi="Times New Roman" w:eastAsia="宋体" w:cs="Times New Roman"/>
          <w:i/>
          <w:color w:val="auto"/>
          <w:sz w:val="24"/>
          <w:szCs w:val="28"/>
        </w:rPr>
        <w:t>N</w:t>
      </w:r>
      <w:r>
        <w:rPr>
          <w:rFonts w:ascii="Times New Roman" w:hAnsi="Times New Roman" w:eastAsia="宋体" w:cs="Times New Roman"/>
          <w:color w:val="auto"/>
          <w:sz w:val="24"/>
          <w:szCs w:val="28"/>
        </w:rPr>
        <w:t>)ln(</w:t>
      </w:r>
      <w:r>
        <w:rPr>
          <w:rFonts w:ascii="Times New Roman" w:hAnsi="Times New Roman" w:eastAsia="宋体" w:cs="Times New Roman"/>
          <w:i/>
          <w:color w:val="auto"/>
          <w:sz w:val="24"/>
          <w:szCs w:val="28"/>
        </w:rPr>
        <w:t>Ni</w:t>
      </w:r>
      <w:r>
        <w:rPr>
          <w:rFonts w:ascii="Times New Roman" w:hAnsi="Times New Roman" w:eastAsia="宋体" w:cs="Times New Roman"/>
          <w:color w:val="auto"/>
          <w:sz w:val="24"/>
          <w:szCs w:val="28"/>
        </w:rPr>
        <w:t>/</w:t>
      </w:r>
      <w:r>
        <w:rPr>
          <w:rFonts w:ascii="Times New Roman" w:hAnsi="Times New Roman" w:eastAsia="宋体" w:cs="Times New Roman"/>
          <w:i/>
          <w:color w:val="auto"/>
          <w:sz w:val="24"/>
          <w:szCs w:val="28"/>
        </w:rPr>
        <w:t>N</w:t>
      </w:r>
      <w:r>
        <w:rPr>
          <w:rFonts w:ascii="Times New Roman" w:hAnsi="Times New Roman" w:eastAsia="宋体" w:cs="Times New Roman"/>
          <w:color w:val="auto"/>
          <w:sz w:val="24"/>
          <w:szCs w:val="28"/>
        </w:rPr>
        <w:t>)；</w:t>
      </w:r>
      <w:r>
        <w:rPr>
          <w:rFonts w:ascii="Times New Roman" w:hAnsi="Times New Roman" w:eastAsia="宋体" w:cs="Times New Roman"/>
          <w:i/>
          <w:color w:val="auto"/>
          <w:sz w:val="24"/>
          <w:szCs w:val="28"/>
        </w:rPr>
        <w:t>D</w:t>
      </w:r>
      <w:r>
        <w:rPr>
          <w:rFonts w:ascii="Times New Roman" w:hAnsi="Times New Roman" w:eastAsia="宋体" w:cs="Times New Roman"/>
          <w:color w:val="auto"/>
          <w:sz w:val="24"/>
          <w:szCs w:val="28"/>
        </w:rPr>
        <w:t>=Σ(</w:t>
      </w:r>
      <w:r>
        <w:rPr>
          <w:rFonts w:ascii="Times New Roman" w:hAnsi="Times New Roman" w:eastAsia="宋体" w:cs="Times New Roman"/>
          <w:i/>
          <w:color w:val="auto"/>
          <w:sz w:val="24"/>
          <w:szCs w:val="28"/>
        </w:rPr>
        <w:t>Ni</w:t>
      </w:r>
      <w:r>
        <w:rPr>
          <w:rFonts w:ascii="Times New Roman" w:hAnsi="Times New Roman" w:eastAsia="宋体" w:cs="Times New Roman"/>
          <w:color w:val="auto"/>
          <w:sz w:val="24"/>
          <w:szCs w:val="28"/>
        </w:rPr>
        <w:t>/</w:t>
      </w:r>
      <w:r>
        <w:rPr>
          <w:rFonts w:ascii="Times New Roman" w:hAnsi="Times New Roman" w:eastAsia="宋体" w:cs="Times New Roman"/>
          <w:i/>
          <w:color w:val="auto"/>
          <w:sz w:val="24"/>
          <w:szCs w:val="28"/>
        </w:rPr>
        <w:t>N</w:t>
      </w:r>
      <w:r>
        <w:rPr>
          <w:rFonts w:ascii="Times New Roman" w:hAnsi="Times New Roman" w:eastAsia="宋体" w:cs="Times New Roman"/>
          <w:color w:val="auto"/>
          <w:sz w:val="24"/>
          <w:szCs w:val="28"/>
        </w:rPr>
        <w:t>)</w:t>
      </w:r>
      <w:r>
        <w:rPr>
          <w:rFonts w:ascii="Times New Roman" w:hAnsi="Times New Roman" w:eastAsia="宋体" w:cs="Times New Roman"/>
          <w:color w:val="auto"/>
          <w:sz w:val="24"/>
          <w:szCs w:val="28"/>
          <w:vertAlign w:val="superscript"/>
        </w:rPr>
        <w:t>2</w:t>
      </w:r>
      <w:r>
        <w:rPr>
          <w:rFonts w:ascii="Times New Roman" w:hAnsi="Times New Roman" w:eastAsia="宋体" w:cs="Times New Roman"/>
          <w:color w:val="auto"/>
          <w:sz w:val="24"/>
          <w:szCs w:val="28"/>
        </w:rPr>
        <w:t>；</w:t>
      </w:r>
      <w:r>
        <w:rPr>
          <w:rFonts w:ascii="Times New Roman" w:hAnsi="Times New Roman" w:eastAsia="宋体" w:cs="Times New Roman"/>
          <w:i/>
          <w:color w:val="auto"/>
          <w:sz w:val="24"/>
          <w:szCs w:val="28"/>
        </w:rPr>
        <w:t>E</w:t>
      </w:r>
      <w:r>
        <w:rPr>
          <w:rFonts w:ascii="Times New Roman" w:hAnsi="Times New Roman" w:eastAsia="宋体" w:cs="Times New Roman"/>
          <w:color w:val="auto"/>
          <w:sz w:val="24"/>
          <w:szCs w:val="28"/>
        </w:rPr>
        <w:t>=</w:t>
      </w:r>
      <w:r>
        <w:rPr>
          <w:rFonts w:ascii="Times New Roman" w:hAnsi="Times New Roman" w:eastAsia="宋体" w:cs="Times New Roman"/>
          <w:i/>
          <w:color w:val="auto"/>
          <w:sz w:val="24"/>
          <w:szCs w:val="28"/>
        </w:rPr>
        <w:t>H’</w:t>
      </w:r>
      <w:r>
        <w:rPr>
          <w:rFonts w:ascii="Times New Roman" w:hAnsi="Times New Roman" w:eastAsia="宋体" w:cs="Times New Roman"/>
          <w:color w:val="auto"/>
          <w:sz w:val="24"/>
          <w:szCs w:val="28"/>
        </w:rPr>
        <w:t>/ln</w:t>
      </w:r>
      <w:r>
        <w:rPr>
          <w:rFonts w:ascii="Times New Roman" w:hAnsi="Times New Roman" w:eastAsia="宋体" w:cs="Times New Roman"/>
          <w:i/>
          <w:color w:val="auto"/>
          <w:sz w:val="24"/>
          <w:szCs w:val="28"/>
        </w:rPr>
        <w:t>S</w:t>
      </w:r>
      <w:r>
        <w:rPr>
          <w:rFonts w:ascii="Times New Roman" w:hAnsi="Times New Roman" w:eastAsia="宋体" w:cs="Times New Roman"/>
          <w:color w:val="auto"/>
          <w:sz w:val="24"/>
          <w:szCs w:val="28"/>
        </w:rPr>
        <w:t>。式中</w:t>
      </w:r>
      <w:r>
        <w:rPr>
          <w:rFonts w:ascii="Times New Roman" w:hAnsi="Times New Roman" w:eastAsia="宋体" w:cs="Times New Roman"/>
          <w:i/>
          <w:color w:val="auto"/>
          <w:sz w:val="24"/>
          <w:szCs w:val="28"/>
        </w:rPr>
        <w:t>S</w:t>
      </w:r>
      <w:r>
        <w:rPr>
          <w:rFonts w:ascii="Times New Roman" w:hAnsi="Times New Roman" w:eastAsia="宋体" w:cs="Times New Roman"/>
          <w:color w:val="auto"/>
          <w:sz w:val="24"/>
          <w:szCs w:val="28"/>
        </w:rPr>
        <w:t>为群落中物种数量，</w:t>
      </w:r>
      <w:r>
        <w:rPr>
          <w:rFonts w:ascii="Times New Roman" w:hAnsi="Times New Roman" w:eastAsia="宋体" w:cs="Times New Roman"/>
          <w:i/>
          <w:color w:val="auto"/>
          <w:sz w:val="24"/>
          <w:szCs w:val="28"/>
        </w:rPr>
        <w:t>N</w:t>
      </w:r>
      <w:r>
        <w:rPr>
          <w:rFonts w:ascii="Times New Roman" w:hAnsi="Times New Roman" w:eastAsia="宋体" w:cs="Times New Roman"/>
          <w:color w:val="auto"/>
          <w:sz w:val="24"/>
          <w:szCs w:val="28"/>
        </w:rPr>
        <w:t>为群落中所有物种个体数量，</w:t>
      </w:r>
      <w:r>
        <w:rPr>
          <w:rFonts w:ascii="Times New Roman" w:hAnsi="Times New Roman" w:eastAsia="宋体" w:cs="Times New Roman"/>
          <w:i/>
          <w:color w:val="auto"/>
          <w:sz w:val="24"/>
          <w:szCs w:val="28"/>
        </w:rPr>
        <w:t>Ni</w:t>
      </w:r>
      <w:r>
        <w:rPr>
          <w:rFonts w:ascii="Times New Roman" w:hAnsi="Times New Roman" w:eastAsia="宋体" w:cs="Times New Roman"/>
          <w:color w:val="auto"/>
          <w:sz w:val="24"/>
          <w:szCs w:val="28"/>
        </w:rPr>
        <w:t>为第</w:t>
      </w:r>
      <w:r>
        <w:rPr>
          <w:rFonts w:ascii="Times New Roman" w:hAnsi="Times New Roman" w:eastAsia="宋体" w:cs="Times New Roman"/>
          <w:i/>
          <w:color w:val="auto"/>
          <w:sz w:val="24"/>
          <w:szCs w:val="28"/>
        </w:rPr>
        <w:t>i</w:t>
      </w:r>
      <w:r>
        <w:rPr>
          <w:rFonts w:ascii="Times New Roman" w:hAnsi="Times New Roman" w:eastAsia="宋体" w:cs="Times New Roman"/>
          <w:color w:val="auto"/>
          <w:sz w:val="24"/>
          <w:szCs w:val="28"/>
        </w:rPr>
        <w:t>个物种个体数量。</w:t>
      </w:r>
    </w:p>
    <w:p w14:paraId="2443F50E">
      <w:pPr>
        <w:pStyle w:val="237"/>
        <w:numPr>
          <w:ilvl w:val="0"/>
          <w:numId w:val="0"/>
        </w:numPr>
        <w:ind w:left="0" w:leftChars="0" w:firstLine="480" w:firstLineChars="200"/>
        <w:rPr>
          <w:rFonts w:hint="default"/>
          <w:color w:val="auto"/>
          <w:lang w:val="en-US" w:eastAsia="zh-CN"/>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12CAA6D9">
      <w:pPr>
        <w:pStyle w:val="237"/>
        <w:ind w:firstLine="0" w:firstLineChars="0"/>
        <w:jc w:val="center"/>
        <w:rPr>
          <w:rFonts w:hint="eastAsia"/>
          <w:color w:val="auto"/>
        </w:rPr>
      </w:pPr>
      <w:r>
        <w:rPr>
          <w:color w:val="auto"/>
        </w:rPr>
        <mc:AlternateContent>
          <mc:Choice Requires="wps">
            <w:drawing>
              <wp:anchor distT="0" distB="0" distL="114300" distR="114300" simplePos="0" relativeHeight="251829248" behindDoc="0" locked="0" layoutInCell="1" allowOverlap="1">
                <wp:simplePos x="0" y="0"/>
                <wp:positionH relativeFrom="column">
                  <wp:posOffset>6841490</wp:posOffset>
                </wp:positionH>
                <wp:positionV relativeFrom="paragraph">
                  <wp:posOffset>2674620</wp:posOffset>
                </wp:positionV>
                <wp:extent cx="588645" cy="1000125"/>
                <wp:effectExtent l="0" t="205740" r="0" b="0"/>
                <wp:wrapNone/>
                <wp:docPr id="249" name="文本框 201"/>
                <wp:cNvGraphicFramePr/>
                <a:graphic xmlns:a="http://schemas.openxmlformats.org/drawingml/2006/main">
                  <a:graphicData uri="http://schemas.microsoft.com/office/word/2010/wordprocessingShape">
                    <wps:wsp>
                      <wps:cNvSpPr txBox="1"/>
                      <wps:spPr>
                        <a:xfrm rot="7020000">
                          <a:off x="0" y="0"/>
                          <a:ext cx="588645" cy="1000125"/>
                        </a:xfrm>
                        <a:prstGeom prst="rect">
                          <a:avLst/>
                        </a:prstGeom>
                        <a:noFill/>
                        <a:ln>
                          <a:noFill/>
                        </a:ln>
                      </wps:spPr>
                      <wps:txbx>
                        <w:txbxContent>
                          <w:p w14:paraId="4D3AD82C">
                            <w:pPr>
                              <w:rPr>
                                <w:b/>
                                <w:bCs/>
                                <w:color w:val="0505DD"/>
                                <w:sz w:val="24"/>
                                <w:szCs w:val="24"/>
                              </w:rPr>
                            </w:pPr>
                            <w:r>
                              <w:rPr>
                                <w:rFonts w:hint="eastAsia"/>
                                <w:b/>
                                <w:bCs/>
                                <w:color w:val="0505DD"/>
                                <w:sz w:val="24"/>
                                <w:szCs w:val="24"/>
                                <w:lang w:val="en-US" w:eastAsia="zh-CN"/>
                              </w:rPr>
                              <w:t>10</w:t>
                            </w:r>
                            <w:r>
                              <w:rPr>
                                <w:rFonts w:hint="eastAsia"/>
                                <w:b/>
                                <w:bCs/>
                                <w:color w:val="0505DD"/>
                                <w:sz w:val="24"/>
                                <w:szCs w:val="24"/>
                              </w:rPr>
                              <w:t>#断面</w:t>
                            </w:r>
                          </w:p>
                        </w:txbxContent>
                      </wps:txbx>
                      <wps:bodyPr wrap="square" upright="1"/>
                    </wps:wsp>
                  </a:graphicData>
                </a:graphic>
              </wp:anchor>
            </w:drawing>
          </mc:Choice>
          <mc:Fallback>
            <w:pict>
              <v:shape id="文本框 201" o:spid="_x0000_s1026" o:spt="202" type="#_x0000_t202" style="position:absolute;left:0pt;margin-left:538.7pt;margin-top:210.6pt;height:78.75pt;width:46.35pt;rotation:7667712f;z-index:251829248;mso-width-relative:page;mso-height-relative:page;" filled="f" stroked="f" coordsize="21600,21600" o:gfxdata="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hZ1uw2wAAAA0BAAAPAAAAAAAAAAEAIAAAACIAAABkcnMvZG93&#10;bnJldi54bWxQSwECFAAUAAAACACHTuJA0PUR4MQBAABuAwAADgAAAAAAAAABACAAAAAqAQAAZHJz&#10;L2Uyb0RvYy54bWxQSwUGAAAAAAYABgBZAQAAYAUAAAAA&#10;">
                <v:fill on="f" focussize="0,0"/>
                <v:stroke on="f"/>
                <v:imagedata o:title=""/>
                <o:lock v:ext="edit" aspectratio="f"/>
                <v:textbox>
                  <w:txbxContent>
                    <w:p w14:paraId="4D3AD82C">
                      <w:pPr>
                        <w:rPr>
                          <w:b/>
                          <w:bCs/>
                          <w:color w:val="0505DD"/>
                          <w:sz w:val="24"/>
                          <w:szCs w:val="24"/>
                        </w:rPr>
                      </w:pPr>
                      <w:r>
                        <w:rPr>
                          <w:rFonts w:hint="eastAsia"/>
                          <w:b/>
                          <w:bCs/>
                          <w:color w:val="0505DD"/>
                          <w:sz w:val="24"/>
                          <w:szCs w:val="24"/>
                          <w:lang w:val="en-US" w:eastAsia="zh-CN"/>
                        </w:rPr>
                        <w:t>10</w:t>
                      </w:r>
                      <w:r>
                        <w:rPr>
                          <w:rFonts w:hint="eastAsia"/>
                          <w:b/>
                          <w:bCs/>
                          <w:color w:val="0505DD"/>
                          <w:sz w:val="24"/>
                          <w:szCs w:val="24"/>
                        </w:rPr>
                        <w:t>#断面</w:t>
                      </w:r>
                    </w:p>
                  </w:txbxContent>
                </v:textbox>
              </v:shape>
            </w:pict>
          </mc:Fallback>
        </mc:AlternateContent>
      </w:r>
      <w:r>
        <w:rPr>
          <w:color w:val="auto"/>
        </w:rPr>
        <mc:AlternateContent>
          <mc:Choice Requires="wps">
            <w:drawing>
              <wp:anchor distT="0" distB="0" distL="114300" distR="114300" simplePos="0" relativeHeight="251828224" behindDoc="0" locked="0" layoutInCell="1" allowOverlap="1">
                <wp:simplePos x="0" y="0"/>
                <wp:positionH relativeFrom="column">
                  <wp:posOffset>5715000</wp:posOffset>
                </wp:positionH>
                <wp:positionV relativeFrom="paragraph">
                  <wp:posOffset>2383155</wp:posOffset>
                </wp:positionV>
                <wp:extent cx="588645" cy="1000125"/>
                <wp:effectExtent l="0" t="205740" r="0" b="0"/>
                <wp:wrapNone/>
                <wp:docPr id="248" name="文本框 201"/>
                <wp:cNvGraphicFramePr/>
                <a:graphic xmlns:a="http://schemas.openxmlformats.org/drawingml/2006/main">
                  <a:graphicData uri="http://schemas.microsoft.com/office/word/2010/wordprocessingShape">
                    <wps:wsp>
                      <wps:cNvSpPr txBox="1"/>
                      <wps:spPr>
                        <a:xfrm rot="5400000">
                          <a:off x="0" y="0"/>
                          <a:ext cx="588645" cy="1000125"/>
                        </a:xfrm>
                        <a:prstGeom prst="rect">
                          <a:avLst/>
                        </a:prstGeom>
                        <a:noFill/>
                        <a:ln>
                          <a:noFill/>
                        </a:ln>
                      </wps:spPr>
                      <wps:txbx>
                        <w:txbxContent>
                          <w:p w14:paraId="2414C142">
                            <w:pPr>
                              <w:rPr>
                                <w:b/>
                                <w:bCs/>
                                <w:color w:val="0505DD"/>
                                <w:sz w:val="24"/>
                                <w:szCs w:val="24"/>
                              </w:rPr>
                            </w:pPr>
                            <w:r>
                              <w:rPr>
                                <w:rFonts w:hint="eastAsia"/>
                                <w:b/>
                                <w:bCs/>
                                <w:color w:val="0505DD"/>
                                <w:sz w:val="24"/>
                                <w:szCs w:val="24"/>
                                <w:lang w:val="en-US" w:eastAsia="zh-CN"/>
                              </w:rPr>
                              <w:t>9</w:t>
                            </w:r>
                            <w:r>
                              <w:rPr>
                                <w:rFonts w:hint="eastAsia"/>
                                <w:b/>
                                <w:bCs/>
                                <w:color w:val="0505DD"/>
                                <w:sz w:val="24"/>
                                <w:szCs w:val="24"/>
                              </w:rPr>
                              <w:t>#断面</w:t>
                            </w:r>
                          </w:p>
                        </w:txbxContent>
                      </wps:txbx>
                      <wps:bodyPr wrap="square" upright="1"/>
                    </wps:wsp>
                  </a:graphicData>
                </a:graphic>
              </wp:anchor>
            </w:drawing>
          </mc:Choice>
          <mc:Fallback>
            <w:pict>
              <v:shape id="文本框 201" o:spid="_x0000_s1026" o:spt="202" type="#_x0000_t202" style="position:absolute;left:0pt;margin-left:450pt;margin-top:187.65pt;height:78.75pt;width:46.35pt;rotation:5898240f;z-index:251828224;mso-width-relative:page;mso-height-relative:page;" filled="f" stroked="f" coordsize="21600,21600" o:gfxdata="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J5hSC9sAAAALAQAADwAAAAAAAAABACAAAAAiAAAAZHJzL2Rvd25y&#10;ZXYueG1sUEsBAhQAFAAAAAgAh07iQHfM81PCAQAAbgMAAA4AAAAAAAAAAQAgAAAAKgEAAGRycy9l&#10;Mm9Eb2MueG1sUEsFBgAAAAAGAAYAWQEAAF4FAAAAAA==&#10;">
                <v:fill on="f" focussize="0,0"/>
                <v:stroke on="f"/>
                <v:imagedata o:title=""/>
                <o:lock v:ext="edit" aspectratio="f"/>
                <v:textbox>
                  <w:txbxContent>
                    <w:p w14:paraId="2414C142">
                      <w:pPr>
                        <w:rPr>
                          <w:b/>
                          <w:bCs/>
                          <w:color w:val="0505DD"/>
                          <w:sz w:val="24"/>
                          <w:szCs w:val="24"/>
                        </w:rPr>
                      </w:pPr>
                      <w:r>
                        <w:rPr>
                          <w:rFonts w:hint="eastAsia"/>
                          <w:b/>
                          <w:bCs/>
                          <w:color w:val="0505DD"/>
                          <w:sz w:val="24"/>
                          <w:szCs w:val="24"/>
                          <w:lang w:val="en-US" w:eastAsia="zh-CN"/>
                        </w:rPr>
                        <w:t>9</w:t>
                      </w:r>
                      <w:r>
                        <w:rPr>
                          <w:rFonts w:hint="eastAsia"/>
                          <w:b/>
                          <w:bCs/>
                          <w:color w:val="0505DD"/>
                          <w:sz w:val="24"/>
                          <w:szCs w:val="24"/>
                        </w:rPr>
                        <w:t>#断面</w:t>
                      </w:r>
                    </w:p>
                  </w:txbxContent>
                </v:textbox>
              </v:shape>
            </w:pict>
          </mc:Fallback>
        </mc:AlternateContent>
      </w:r>
      <w:r>
        <w:rPr>
          <w:color w:val="auto"/>
        </w:rPr>
        <mc:AlternateContent>
          <mc:Choice Requires="wps">
            <w:drawing>
              <wp:anchor distT="0" distB="0" distL="114300" distR="114300" simplePos="0" relativeHeight="251711488" behindDoc="0" locked="0" layoutInCell="1" allowOverlap="1">
                <wp:simplePos x="0" y="0"/>
                <wp:positionH relativeFrom="column">
                  <wp:posOffset>7136765</wp:posOffset>
                </wp:positionH>
                <wp:positionV relativeFrom="paragraph">
                  <wp:posOffset>2439035</wp:posOffset>
                </wp:positionV>
                <wp:extent cx="1524000" cy="523875"/>
                <wp:effectExtent l="0" t="0" r="0" b="0"/>
                <wp:wrapNone/>
                <wp:docPr id="74" name="文本框 201"/>
                <wp:cNvGraphicFramePr/>
                <a:graphic xmlns:a="http://schemas.openxmlformats.org/drawingml/2006/main">
                  <a:graphicData uri="http://schemas.microsoft.com/office/word/2010/wordprocessingShape">
                    <wps:wsp>
                      <wps:cNvSpPr txBox="1"/>
                      <wps:spPr>
                        <a:xfrm rot="540000">
                          <a:off x="0" y="0"/>
                          <a:ext cx="1524000" cy="523875"/>
                        </a:xfrm>
                        <a:prstGeom prst="rect">
                          <a:avLst/>
                        </a:prstGeom>
                        <a:noFill/>
                        <a:ln>
                          <a:noFill/>
                        </a:ln>
                      </wps:spPr>
                      <wps:txbx>
                        <w:txbxContent>
                          <w:p w14:paraId="03AF21EB">
                            <w:pPr>
                              <w:rPr>
                                <w:b/>
                                <w:bCs/>
                                <w:color w:val="FFC000"/>
                                <w:sz w:val="28"/>
                                <w:szCs w:val="28"/>
                              </w:rPr>
                            </w:pPr>
                            <w:r>
                              <w:rPr>
                                <w:rFonts w:hint="eastAsia"/>
                                <w:b/>
                                <w:bCs/>
                                <w:color w:val="FFC000"/>
                                <w:sz w:val="28"/>
                                <w:szCs w:val="28"/>
                              </w:rPr>
                              <w:t>2#断面</w:t>
                            </w:r>
                          </w:p>
                        </w:txbxContent>
                      </wps:txbx>
                      <wps:bodyPr wrap="square" upright="1"/>
                    </wps:wsp>
                  </a:graphicData>
                </a:graphic>
              </wp:anchor>
            </w:drawing>
          </mc:Choice>
          <mc:Fallback>
            <w:pict>
              <v:shape id="文本框 201" o:spid="_x0000_s1026" o:spt="202" type="#_x0000_t202" style="position:absolute;left:0pt;margin-left:561.95pt;margin-top:192.05pt;height:41.25pt;width:120pt;rotation:589824f;z-index:251711488;mso-width-relative:page;mso-height-relative:page;" filled="f" stroked="f" coordsize="21600,21600" o:gfxdata="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tDab72wAAAA0BAAAPAAAAAAAAAAEAIAAAACIAAABkcnMvZG93bnJl&#10;di54bWxQSwECFAAUAAAACACHTuJAkuCKasEBAABsAwAADgAAAAAAAAABACAAAAAqAQAAZHJzL2Uy&#10;b0RvYy54bWxQSwUGAAAAAAYABgBZAQAAXQUAAAAA&#10;">
                <v:fill on="f" focussize="0,0"/>
                <v:stroke on="f"/>
                <v:imagedata o:title=""/>
                <o:lock v:ext="edit" aspectratio="f"/>
                <v:textbox>
                  <w:txbxContent>
                    <w:p w14:paraId="03AF21EB">
                      <w:pPr>
                        <w:rPr>
                          <w:b/>
                          <w:bCs/>
                          <w:color w:val="FFC000"/>
                          <w:sz w:val="28"/>
                          <w:szCs w:val="28"/>
                        </w:rPr>
                      </w:pPr>
                      <w:r>
                        <w:rPr>
                          <w:rFonts w:hint="eastAsia"/>
                          <w:b/>
                          <w:bCs/>
                          <w:color w:val="FFC000"/>
                          <w:sz w:val="28"/>
                          <w:szCs w:val="28"/>
                        </w:rPr>
                        <w:t>2#断面</w:t>
                      </w:r>
                    </w:p>
                  </w:txbxContent>
                </v:textbox>
              </v:shape>
            </w:pict>
          </mc:Fallback>
        </mc:AlternateContent>
      </w:r>
      <w:r>
        <w:rPr>
          <w:color w:val="auto"/>
        </w:rPr>
        <mc:AlternateContent>
          <mc:Choice Requires="wps">
            <w:drawing>
              <wp:anchor distT="0" distB="0" distL="114300" distR="114300" simplePos="0" relativeHeight="251709440" behindDoc="0" locked="0" layoutInCell="1" allowOverlap="1">
                <wp:simplePos x="0" y="0"/>
                <wp:positionH relativeFrom="column">
                  <wp:posOffset>6863715</wp:posOffset>
                </wp:positionH>
                <wp:positionV relativeFrom="paragraph">
                  <wp:posOffset>2574290</wp:posOffset>
                </wp:positionV>
                <wp:extent cx="400050" cy="76200"/>
                <wp:effectExtent l="51435" t="35560" r="62865" b="40640"/>
                <wp:wrapNone/>
                <wp:docPr id="72" name="自选图形 199"/>
                <wp:cNvGraphicFramePr/>
                <a:graphic xmlns:a="http://schemas.openxmlformats.org/drawingml/2006/main">
                  <a:graphicData uri="http://schemas.microsoft.com/office/word/2010/wordprocessingShape">
                    <wps:wsp>
                      <wps:cNvSpPr/>
                      <wps:spPr>
                        <a:xfrm rot="4440000">
                          <a:off x="0" y="0"/>
                          <a:ext cx="400050" cy="76200"/>
                        </a:xfrm>
                        <a:prstGeom prst="upDownArrow">
                          <a:avLst>
                            <a:gd name="adj1" fmla="val 50000"/>
                            <a:gd name="adj2" fmla="val 20000"/>
                          </a:avLst>
                        </a:prstGeom>
                        <a:solidFill>
                          <a:srgbClr val="00B0F0"/>
                        </a:solidFill>
                        <a:ln w="9525"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199" o:spid="_x0000_s1026" o:spt="70" type="#_x0000_t70" style="position:absolute;left:0pt;margin-left:540.45pt;margin-top:202.7pt;height:6pt;width:31.5pt;rotation:4849664f;z-index:251709440;mso-width-relative:page;mso-height-relative:page;" fillcolor="#00B0F0" filled="t" stroked="t" coordsize="21600,21600" o:gfxdata="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gOK81NsAAAANAQAADwAAAAAAAAABACAA&#10;AAAiAAAAZHJzL2Rvd25yZXYueG1sUEsBAhQAFAAAAAgAh07iQBHWVHtDAgAAmQQAAA4AAAAAAAAA&#10;AQAgAAAAKgEAAGRycy9lMm9Eb2MueG1sUEsFBgAAAAAGAAYAWQEAAN8FAAAAAA==&#10;" adj="5400,4320">
                <v:fill on="t" focussize="0,0"/>
                <v:stroke color="#FFFF00" joinstyle="miter"/>
                <v:imagedata o:title=""/>
                <o:lock v:ext="edit" aspectratio="f"/>
              </v:shape>
            </w:pict>
          </mc:Fallback>
        </mc:AlternateContent>
      </w:r>
      <w:r>
        <w:rPr>
          <w:color w:val="auto"/>
        </w:rPr>
        <mc:AlternateContent>
          <mc:Choice Requires="wps">
            <w:drawing>
              <wp:anchor distT="0" distB="0" distL="114300" distR="114300" simplePos="0" relativeHeight="251827200" behindDoc="0" locked="0" layoutInCell="1" allowOverlap="1">
                <wp:simplePos x="0" y="0"/>
                <wp:positionH relativeFrom="column">
                  <wp:posOffset>5182235</wp:posOffset>
                </wp:positionH>
                <wp:positionV relativeFrom="paragraph">
                  <wp:posOffset>3750945</wp:posOffset>
                </wp:positionV>
                <wp:extent cx="2269490" cy="349885"/>
                <wp:effectExtent l="960120" t="0" r="0" b="0"/>
                <wp:wrapNone/>
                <wp:docPr id="247" name="文本框 201"/>
                <wp:cNvGraphicFramePr/>
                <a:graphic xmlns:a="http://schemas.openxmlformats.org/drawingml/2006/main">
                  <a:graphicData uri="http://schemas.microsoft.com/office/word/2010/wordprocessingShape">
                    <wps:wsp>
                      <wps:cNvSpPr txBox="1"/>
                      <wps:spPr>
                        <a:xfrm rot="5400000">
                          <a:off x="0" y="0"/>
                          <a:ext cx="2269490" cy="349885"/>
                        </a:xfrm>
                        <a:prstGeom prst="rect">
                          <a:avLst/>
                        </a:prstGeom>
                        <a:noFill/>
                        <a:ln>
                          <a:noFill/>
                        </a:ln>
                      </wps:spPr>
                      <wps:txbx>
                        <w:txbxContent>
                          <w:p w14:paraId="0470F307">
                            <w:pPr>
                              <w:rPr>
                                <w:b/>
                                <w:bCs/>
                                <w:color w:val="0505DD"/>
                                <w:sz w:val="24"/>
                                <w:szCs w:val="24"/>
                              </w:rPr>
                            </w:pPr>
                            <w:r>
                              <w:rPr>
                                <w:rFonts w:hint="eastAsia"/>
                                <w:b/>
                                <w:bCs/>
                                <w:color w:val="0505DD"/>
                                <w:sz w:val="24"/>
                                <w:szCs w:val="24"/>
                                <w:lang w:val="en-US" w:eastAsia="zh-CN"/>
                              </w:rPr>
                              <w:t>8</w:t>
                            </w:r>
                            <w:r>
                              <w:rPr>
                                <w:rFonts w:hint="eastAsia"/>
                                <w:b/>
                                <w:bCs/>
                                <w:color w:val="0505DD"/>
                                <w:sz w:val="24"/>
                                <w:szCs w:val="24"/>
                              </w:rPr>
                              <w:t>#断面</w:t>
                            </w:r>
                          </w:p>
                        </w:txbxContent>
                      </wps:txbx>
                      <wps:bodyPr wrap="square" upright="1"/>
                    </wps:wsp>
                  </a:graphicData>
                </a:graphic>
              </wp:anchor>
            </w:drawing>
          </mc:Choice>
          <mc:Fallback>
            <w:pict>
              <v:shape id="文本框 201" o:spid="_x0000_s1026" o:spt="202" type="#_x0000_t202" style="position:absolute;left:0pt;margin-left:408.05pt;margin-top:295.35pt;height:27.55pt;width:178.7pt;rotation:5898240f;z-index:251827200;mso-width-relative:page;mso-height-relative:page;" filled="f" stroked="f" coordsize="21600,21600" o:gfxdata="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AsChmHbAAAADAEAAA8AAAAAAAAAAQAgAAAAIgAAAGRycy9kb3du&#10;cmV2LnhtbFBLAQIUABQAAAAIAIdO4kA1fjiNwwEAAG4DAAAOAAAAAAAAAAEAIAAAACoBAABkcnMv&#10;ZTJvRG9jLnhtbFBLBQYAAAAABgAGAFkBAABfBQAAAAA=&#10;">
                <v:fill on="f" focussize="0,0"/>
                <v:stroke on="f"/>
                <v:imagedata o:title=""/>
                <o:lock v:ext="edit" aspectratio="f"/>
                <v:textbox>
                  <w:txbxContent>
                    <w:p w14:paraId="0470F307">
                      <w:pPr>
                        <w:rPr>
                          <w:b/>
                          <w:bCs/>
                          <w:color w:val="0505DD"/>
                          <w:sz w:val="24"/>
                          <w:szCs w:val="24"/>
                        </w:rPr>
                      </w:pPr>
                      <w:r>
                        <w:rPr>
                          <w:rFonts w:hint="eastAsia"/>
                          <w:b/>
                          <w:bCs/>
                          <w:color w:val="0505DD"/>
                          <w:sz w:val="24"/>
                          <w:szCs w:val="24"/>
                          <w:lang w:val="en-US" w:eastAsia="zh-CN"/>
                        </w:rPr>
                        <w:t>8</w:t>
                      </w:r>
                      <w:r>
                        <w:rPr>
                          <w:rFonts w:hint="eastAsia"/>
                          <w:b/>
                          <w:bCs/>
                          <w:color w:val="0505DD"/>
                          <w:sz w:val="24"/>
                          <w:szCs w:val="24"/>
                        </w:rPr>
                        <w:t>#断面</w:t>
                      </w:r>
                    </w:p>
                  </w:txbxContent>
                </v:textbox>
              </v:shape>
            </w:pict>
          </mc:Fallback>
        </mc:AlternateContent>
      </w:r>
      <w:r>
        <w:rPr>
          <w:color w:val="auto"/>
          <w:sz w:val="24"/>
        </w:rPr>
        <mc:AlternateContent>
          <mc:Choice Requires="wps">
            <w:drawing>
              <wp:anchor distT="0" distB="0" distL="114300" distR="114300" simplePos="0" relativeHeight="251824128" behindDoc="0" locked="0" layoutInCell="1" allowOverlap="1">
                <wp:simplePos x="0" y="0"/>
                <wp:positionH relativeFrom="column">
                  <wp:posOffset>6247130</wp:posOffset>
                </wp:positionH>
                <wp:positionV relativeFrom="paragraph">
                  <wp:posOffset>2628265</wp:posOffset>
                </wp:positionV>
                <wp:extent cx="152400" cy="247650"/>
                <wp:effectExtent l="56515" t="26035" r="57785" b="31115"/>
                <wp:wrapNone/>
                <wp:docPr id="244" name="流程图: 对照 244"/>
                <wp:cNvGraphicFramePr/>
                <a:graphic xmlns:a="http://schemas.openxmlformats.org/drawingml/2006/main">
                  <a:graphicData uri="http://schemas.microsoft.com/office/word/2010/wordprocessingShape">
                    <wps:wsp>
                      <wps:cNvSpPr/>
                      <wps:spPr>
                        <a:xfrm rot="1800000">
                          <a:off x="0" y="0"/>
                          <a:ext cx="152400" cy="247650"/>
                        </a:xfrm>
                        <a:prstGeom prst="flowChartCollate">
                          <a:avLst/>
                        </a:prstGeom>
                        <a:solidFill>
                          <a:srgbClr val="0505DD"/>
                        </a:solidFill>
                        <a:ln w="3175">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5" type="#_x0000_t125" style="position:absolute;left:0pt;margin-left:491.9pt;margin-top:206.95pt;height:19.5pt;width:12pt;rotation:1966080f;z-index:251824128;v-text-anchor:middle;mso-width-relative:page;mso-height-relative:page;" fillcolor="#0505DD" filled="t" stroked="t" coordsize="21600,21600" o:gfxdata="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pnFyQ2gAAAAwB&#10;AAAPAAAAAAAAAAEAIAAAACIAAABkcnMvZG93bnJldi54bWxQSwECFAAUAAAACACHTuJA6CK1QIsC&#10;AAAEBQAADgAAAAAAAAABACAAAAApAQAAZHJzL2Uyb0RvYy54bWxQSwUGAAAAAAYABgBZAQAAJgYA&#10;AAAA&#10;">
                <v:fill on="t" focussize="0,0"/>
                <v:stroke weight="0.25pt" color="#FFFFFF [3212]" joinstyle="round"/>
                <v:imagedata o:title=""/>
                <o:lock v:ext="edit" aspectratio="f"/>
              </v:shape>
            </w:pict>
          </mc:Fallback>
        </mc:AlternateContent>
      </w:r>
      <w:r>
        <w:rPr>
          <w:color w:val="auto"/>
        </w:rPr>
        <mc:AlternateContent>
          <mc:Choice Requires="wps">
            <w:drawing>
              <wp:anchor distT="0" distB="0" distL="114300" distR="114300" simplePos="0" relativeHeight="251708416" behindDoc="0" locked="0" layoutInCell="1" allowOverlap="1">
                <wp:simplePos x="0" y="0"/>
                <wp:positionH relativeFrom="column">
                  <wp:posOffset>5989320</wp:posOffset>
                </wp:positionH>
                <wp:positionV relativeFrom="paragraph">
                  <wp:posOffset>2100580</wp:posOffset>
                </wp:positionV>
                <wp:extent cx="1524000" cy="523875"/>
                <wp:effectExtent l="0" t="0" r="0" b="0"/>
                <wp:wrapNone/>
                <wp:docPr id="71" name="文本框 198"/>
                <wp:cNvGraphicFramePr/>
                <a:graphic xmlns:a="http://schemas.openxmlformats.org/drawingml/2006/main">
                  <a:graphicData uri="http://schemas.microsoft.com/office/word/2010/wordprocessingShape">
                    <wps:wsp>
                      <wps:cNvSpPr txBox="1"/>
                      <wps:spPr>
                        <a:xfrm rot="540000">
                          <a:off x="0" y="0"/>
                          <a:ext cx="1524000" cy="523875"/>
                        </a:xfrm>
                        <a:prstGeom prst="rect">
                          <a:avLst/>
                        </a:prstGeom>
                        <a:noFill/>
                        <a:ln>
                          <a:noFill/>
                        </a:ln>
                      </wps:spPr>
                      <wps:txbx>
                        <w:txbxContent>
                          <w:p w14:paraId="7C9FC5A9">
                            <w:pPr>
                              <w:rPr>
                                <w:b/>
                                <w:bCs/>
                                <w:color w:val="FF0000"/>
                                <w:sz w:val="24"/>
                                <w:szCs w:val="24"/>
                              </w:rPr>
                            </w:pPr>
                            <w:r>
                              <w:rPr>
                                <w:rFonts w:hint="eastAsia"/>
                                <w:b/>
                                <w:bCs/>
                                <w:color w:val="FF0000"/>
                                <w:sz w:val="24"/>
                                <w:szCs w:val="24"/>
                              </w:rPr>
                              <w:t>本项目所在地</w:t>
                            </w:r>
                          </w:p>
                        </w:txbxContent>
                      </wps:txbx>
                      <wps:bodyPr wrap="square" upright="1"/>
                    </wps:wsp>
                  </a:graphicData>
                </a:graphic>
              </wp:anchor>
            </w:drawing>
          </mc:Choice>
          <mc:Fallback>
            <w:pict>
              <v:shape id="文本框 198" o:spid="_x0000_s1026" o:spt="202" type="#_x0000_t202" style="position:absolute;left:0pt;margin-left:471.6pt;margin-top:165.4pt;height:41.25pt;width:120pt;rotation:589824f;z-index:251708416;mso-width-relative:page;mso-height-relative:page;" filled="f" stroked="f" coordsize="21600,21600" o:gfxdata="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fB+5EdsAAAAMAQAADwAAAAAAAAABACAAAAAiAAAAZHJzL2Rvd25y&#10;ZXYueG1sUEsBAhQAFAAAAAgAh07iQGAAoJzCAQAAbAMAAA4AAAAAAAAAAQAgAAAAKgEAAGRycy9l&#10;Mm9Eb2MueG1sUEsFBgAAAAAGAAYAWQEAAF4FAAAAAA==&#10;">
                <v:fill on="f" focussize="0,0"/>
                <v:stroke on="f"/>
                <v:imagedata o:title=""/>
                <o:lock v:ext="edit" aspectratio="f"/>
                <v:textbox>
                  <w:txbxContent>
                    <w:p w14:paraId="7C9FC5A9">
                      <w:pPr>
                        <w:rPr>
                          <w:b/>
                          <w:bCs/>
                          <w:color w:val="FF0000"/>
                          <w:sz w:val="24"/>
                          <w:szCs w:val="24"/>
                        </w:rPr>
                      </w:pPr>
                      <w:r>
                        <w:rPr>
                          <w:rFonts w:hint="eastAsia"/>
                          <w:b/>
                          <w:bCs/>
                          <w:color w:val="FF0000"/>
                          <w:sz w:val="24"/>
                          <w:szCs w:val="24"/>
                        </w:rPr>
                        <w:t>本项目所在地</w:t>
                      </w:r>
                    </w:p>
                  </w:txbxContent>
                </v:textbox>
              </v:shape>
            </w:pict>
          </mc:Fallback>
        </mc:AlternateContent>
      </w:r>
      <w:r>
        <w:rPr>
          <w:color w:val="auto"/>
          <w:sz w:val="24"/>
        </w:rPr>
        <mc:AlternateContent>
          <mc:Choice Requires="wps">
            <w:drawing>
              <wp:anchor distT="0" distB="0" distL="114300" distR="114300" simplePos="0" relativeHeight="251825152" behindDoc="0" locked="0" layoutInCell="1" allowOverlap="1">
                <wp:simplePos x="0" y="0"/>
                <wp:positionH relativeFrom="column">
                  <wp:posOffset>6718935</wp:posOffset>
                </wp:positionH>
                <wp:positionV relativeFrom="paragraph">
                  <wp:posOffset>2628900</wp:posOffset>
                </wp:positionV>
                <wp:extent cx="152400" cy="247650"/>
                <wp:effectExtent l="53975" t="26035" r="60325" b="31115"/>
                <wp:wrapNone/>
                <wp:docPr id="245" name="流程图: 对照 245"/>
                <wp:cNvGraphicFramePr/>
                <a:graphic xmlns:a="http://schemas.openxmlformats.org/drawingml/2006/main">
                  <a:graphicData uri="http://schemas.microsoft.com/office/word/2010/wordprocessingShape">
                    <wps:wsp>
                      <wps:cNvSpPr/>
                      <wps:spPr>
                        <a:xfrm rot="19920000">
                          <a:off x="0" y="0"/>
                          <a:ext cx="152400" cy="247650"/>
                        </a:xfrm>
                        <a:prstGeom prst="flowChartCollate">
                          <a:avLst/>
                        </a:prstGeom>
                        <a:solidFill>
                          <a:srgbClr val="0505DD"/>
                        </a:solidFill>
                        <a:ln w="3175">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5" type="#_x0000_t125" style="position:absolute;left:0pt;margin-left:529.05pt;margin-top:207pt;height:19.5pt;width:12pt;rotation:-1835008f;z-index:251825152;v-text-anchor:middle;mso-width-relative:page;mso-height-relative:page;" fillcolor="#0505DD" filled="t" stroked="t" coordsize="21600,21600" o:gfxdata="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N6Tr2TaAAAA&#10;DQEAAA8AAAAAAAAAAQAgAAAAIgAAAGRycy9kb3ducmV2LnhtbFBLAQIUABQAAAAIAIdO4kAGEI8S&#10;jQIAAAUFAAAOAAAAAAAAAAEAIAAAACkBAABkcnMvZTJvRG9jLnhtbFBLBQYAAAAABgAGAFkBAAAo&#10;BgAAAAA=&#10;">
                <v:fill on="t" focussize="0,0"/>
                <v:stroke weight="0.25pt" color="#FFFFFF [3212]" joinstyle="round"/>
                <v:imagedata o:title=""/>
                <o:lock v:ext="edit" aspectratio="f"/>
              </v:shape>
            </w:pict>
          </mc:Fallback>
        </mc:AlternateContent>
      </w:r>
      <w:r>
        <w:rPr>
          <w:color w:val="auto"/>
          <w:sz w:val="24"/>
        </w:rPr>
        <mc:AlternateContent>
          <mc:Choice Requires="wps">
            <w:drawing>
              <wp:anchor distT="0" distB="0" distL="114300" distR="114300" simplePos="0" relativeHeight="251826176" behindDoc="0" locked="0" layoutInCell="1" allowOverlap="1">
                <wp:simplePos x="0" y="0"/>
                <wp:positionH relativeFrom="column">
                  <wp:posOffset>6781800</wp:posOffset>
                </wp:positionH>
                <wp:positionV relativeFrom="paragraph">
                  <wp:posOffset>4473575</wp:posOffset>
                </wp:positionV>
                <wp:extent cx="152400" cy="247650"/>
                <wp:effectExtent l="4445" t="4445" r="14605" b="14605"/>
                <wp:wrapNone/>
                <wp:docPr id="246" name="流程图: 对照 246"/>
                <wp:cNvGraphicFramePr/>
                <a:graphic xmlns:a="http://schemas.openxmlformats.org/drawingml/2006/main">
                  <a:graphicData uri="http://schemas.microsoft.com/office/word/2010/wordprocessingShape">
                    <wps:wsp>
                      <wps:cNvSpPr/>
                      <wps:spPr>
                        <a:xfrm>
                          <a:off x="0" y="0"/>
                          <a:ext cx="152400" cy="247650"/>
                        </a:xfrm>
                        <a:prstGeom prst="flowChartCollate">
                          <a:avLst/>
                        </a:prstGeom>
                        <a:solidFill>
                          <a:srgbClr val="0505DD"/>
                        </a:solidFill>
                        <a:ln w="3175">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5" type="#_x0000_t125" style="position:absolute;left:0pt;margin-left:534pt;margin-top:352.25pt;height:19.5pt;width:12pt;z-index:251826176;v-text-anchor:middle;mso-width-relative:page;mso-height-relative:page;" fillcolor="#0505DD" filled="t" stroked="t" coordsize="21600,21600" o:gfxdata="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PWYm1jZAAAADQEAAA8AAAAAAAAA&#10;AQAgAAAAIgAAAGRycy9kb3ducmV2LnhtbFBLAQIUABQAAAAIAIdO4kBexlUcggIAAPYEAAAOAAAA&#10;AAAAAAEAIAAAACgBAABkcnMvZTJvRG9jLnhtbFBLBQYAAAAABgAGAFkBAAAcBgAAAAA=&#10;">
                <v:fill on="t" focussize="0,0"/>
                <v:stroke weight="0.25pt" color="#FFFFFF [3212]" joinstyle="round"/>
                <v:imagedata o:title=""/>
                <o:lock v:ext="edit" aspectratio="f"/>
              </v:shape>
            </w:pict>
          </mc:Fallback>
        </mc:AlternateContent>
      </w:r>
      <w:r>
        <w:rPr>
          <w:color w:val="auto"/>
          <w:sz w:val="24"/>
        </w:rPr>
        <mc:AlternateContent>
          <mc:Choice Requires="wps">
            <w:drawing>
              <wp:anchor distT="0" distB="0" distL="114300" distR="114300" simplePos="0" relativeHeight="251823104" behindDoc="0" locked="0" layoutInCell="1" allowOverlap="1">
                <wp:simplePos x="0" y="0"/>
                <wp:positionH relativeFrom="column">
                  <wp:posOffset>5876290</wp:posOffset>
                </wp:positionH>
                <wp:positionV relativeFrom="paragraph">
                  <wp:posOffset>2419350</wp:posOffset>
                </wp:positionV>
                <wp:extent cx="152400" cy="247650"/>
                <wp:effectExtent l="56515" t="26035" r="57785" b="31115"/>
                <wp:wrapNone/>
                <wp:docPr id="243" name="流程图: 对照 243"/>
                <wp:cNvGraphicFramePr/>
                <a:graphic xmlns:a="http://schemas.openxmlformats.org/drawingml/2006/main">
                  <a:graphicData uri="http://schemas.microsoft.com/office/word/2010/wordprocessingShape">
                    <wps:wsp>
                      <wps:cNvSpPr/>
                      <wps:spPr>
                        <a:xfrm rot="1800000">
                          <a:off x="6776720" y="3319780"/>
                          <a:ext cx="152400" cy="247650"/>
                        </a:xfrm>
                        <a:prstGeom prst="flowChartCollate">
                          <a:avLst/>
                        </a:prstGeom>
                        <a:solidFill>
                          <a:srgbClr val="0505DD"/>
                        </a:solidFill>
                        <a:ln w="3175">
                          <a:solidFill>
                            <a:schemeClr val="bg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25" type="#_x0000_t125" style="position:absolute;left:0pt;margin-left:462.7pt;margin-top:190.5pt;height:19.5pt;width:12pt;rotation:1966080f;z-index:251823104;v-text-anchor:middle;mso-width-relative:page;mso-height-relative:page;" fillcolor="#0505DD" filled="t" stroked="t" coordsize="21600,21600" o:gfxdata="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Gve7G2QAAAAsBAAAPAAAAAAAAAAEAIAAAACIAAABkcnMvZG93bnJldi54bWxQSwECFAAUAAAA&#10;CACHTuJAnc1G9ZgCAAAQBQAADgAAAAAAAAABACAAAAAoAQAAZHJzL2Uyb0RvYy54bWxQSwUGAAAA&#10;AAYABgBZAQAAMgYAAAAA&#10;">
                <v:fill on="t" focussize="0,0"/>
                <v:stroke weight="0.25pt" color="#FFFFFF [3212]" joinstyle="round"/>
                <v:imagedata o:title=""/>
                <o:lock v:ext="edit" aspectratio="f"/>
              </v:shape>
            </w:pict>
          </mc:Fallback>
        </mc:AlternateContent>
      </w:r>
      <w:r>
        <w:rPr>
          <w:color w:val="auto"/>
          <w:sz w:val="24"/>
        </w:rPr>
        <mc:AlternateContent>
          <mc:Choice Requires="wps">
            <w:drawing>
              <wp:anchor distT="0" distB="0" distL="114300" distR="114300" simplePos="0" relativeHeight="251811840" behindDoc="0" locked="0" layoutInCell="1" allowOverlap="1">
                <wp:simplePos x="0" y="0"/>
                <wp:positionH relativeFrom="column">
                  <wp:posOffset>1547495</wp:posOffset>
                </wp:positionH>
                <wp:positionV relativeFrom="paragraph">
                  <wp:posOffset>2806700</wp:posOffset>
                </wp:positionV>
                <wp:extent cx="474345" cy="102235"/>
                <wp:effectExtent l="0" t="95250" r="0" b="107315"/>
                <wp:wrapNone/>
                <wp:docPr id="147" name="左右箭头 147"/>
                <wp:cNvGraphicFramePr/>
                <a:graphic xmlns:a="http://schemas.openxmlformats.org/drawingml/2006/main">
                  <a:graphicData uri="http://schemas.microsoft.com/office/word/2010/wordprocessingShape">
                    <wps:wsp>
                      <wps:cNvSpPr/>
                      <wps:spPr>
                        <a:xfrm rot="19680000">
                          <a:off x="2312670" y="3773170"/>
                          <a:ext cx="474345" cy="102235"/>
                        </a:xfrm>
                        <a:prstGeom prst="leftRightArrow">
                          <a:avLst/>
                        </a:prstGeom>
                        <a:solidFill>
                          <a:srgbClr val="AE02BE"/>
                        </a:solidFill>
                        <a:ln w="6350">
                          <a:solidFill>
                            <a:schemeClr val="bg2"/>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9" type="#_x0000_t69" style="position:absolute;left:0pt;margin-left:121.85pt;margin-top:221pt;height:8.05pt;width:37.35pt;rotation:-2097152f;z-index:251811840;v-text-anchor:middle;mso-width-relative:page;mso-height-relative:page;" fillcolor="#AE02BE" filled="t" stroked="t" coordsize="21600,21600" o:gfxdata="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231Wm&#10;2QAAAAsBAAAPAAAAAAAAAAEAIAAAACIAAABkcnMvZG93bnJldi54bWxQSwECFAAUAAAACACHTuJA&#10;6QRS1ZICAAAKBQAADgAAAAAAAAABACAAAAAoAQAAZHJzL2Uyb0RvYy54bWxQSwUGAAAAAAYABgBZ&#10;AQAALAYAAAAA&#10;" adj="2327,5400">
                <v:fill on="t" focussize="0,0"/>
                <v:stroke weight="0.5pt" color="#EEECE1 [3214]" joinstyle="round"/>
                <v:imagedata o:title=""/>
                <o:lock v:ext="edit" aspectratio="f"/>
              </v:shape>
            </w:pict>
          </mc:Fallback>
        </mc:AlternateContent>
      </w:r>
      <w:r>
        <w:rPr>
          <w:color w:val="auto"/>
        </w:rPr>
        <mc:AlternateContent>
          <mc:Choice Requires="wps">
            <w:drawing>
              <wp:anchor distT="0" distB="0" distL="114300" distR="114300" simplePos="0" relativeHeight="251822080" behindDoc="0" locked="0" layoutInCell="1" allowOverlap="1">
                <wp:simplePos x="0" y="0"/>
                <wp:positionH relativeFrom="column">
                  <wp:posOffset>5234940</wp:posOffset>
                </wp:positionH>
                <wp:positionV relativeFrom="paragraph">
                  <wp:posOffset>3425825</wp:posOffset>
                </wp:positionV>
                <wp:extent cx="1524000" cy="523875"/>
                <wp:effectExtent l="0" t="0" r="0" b="0"/>
                <wp:wrapNone/>
                <wp:docPr id="242" name="文本框 202"/>
                <wp:cNvGraphicFramePr/>
                <a:graphic xmlns:a="http://schemas.openxmlformats.org/drawingml/2006/main">
                  <a:graphicData uri="http://schemas.microsoft.com/office/word/2010/wordprocessingShape">
                    <wps:wsp>
                      <wps:cNvSpPr txBox="1"/>
                      <wps:spPr>
                        <a:xfrm rot="1260000">
                          <a:off x="0" y="0"/>
                          <a:ext cx="1524000" cy="523875"/>
                        </a:xfrm>
                        <a:prstGeom prst="rect">
                          <a:avLst/>
                        </a:prstGeom>
                        <a:noFill/>
                        <a:ln>
                          <a:noFill/>
                        </a:ln>
                      </wps:spPr>
                      <wps:txbx>
                        <w:txbxContent>
                          <w:p w14:paraId="0E7F12D7">
                            <w:pPr>
                              <w:rPr>
                                <w:b/>
                                <w:bCs/>
                                <w:color w:val="AE02BE"/>
                                <w:sz w:val="28"/>
                                <w:szCs w:val="28"/>
                              </w:rPr>
                            </w:pPr>
                            <w:r>
                              <w:rPr>
                                <w:rFonts w:hint="eastAsia"/>
                                <w:b/>
                                <w:bCs/>
                                <w:color w:val="AE02BE"/>
                                <w:sz w:val="28"/>
                                <w:szCs w:val="28"/>
                                <w:lang w:val="en-US" w:eastAsia="zh-CN"/>
                              </w:rPr>
                              <w:t>7</w:t>
                            </w:r>
                            <w:r>
                              <w:rPr>
                                <w:rFonts w:hint="eastAsia"/>
                                <w:b/>
                                <w:bCs/>
                                <w:color w:val="AE02BE"/>
                                <w:sz w:val="28"/>
                                <w:szCs w:val="28"/>
                              </w:rPr>
                              <w:t>#断面</w:t>
                            </w:r>
                          </w:p>
                        </w:txbxContent>
                      </wps:txbx>
                      <wps:bodyPr wrap="square" upright="1"/>
                    </wps:wsp>
                  </a:graphicData>
                </a:graphic>
              </wp:anchor>
            </w:drawing>
          </mc:Choice>
          <mc:Fallback>
            <w:pict>
              <v:shape id="文本框 202" o:spid="_x0000_s1026" o:spt="202" type="#_x0000_t202" style="position:absolute;left:0pt;margin-left:412.2pt;margin-top:269.75pt;height:41.25pt;width:120pt;rotation:1376256f;z-index:251822080;mso-width-relative:page;mso-height-relative:page;" filled="f" stroked="f" coordsize="21600,21600" o:gfxdata="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PH0eTbAAAADAEAAA8AAAAAAAAAAQAgAAAAIgAAAGRycy9kb3du&#10;cmV2LnhtbFBLAQIUABQAAAAIAIdO4kAUUWYLwwEAAG4DAAAOAAAAAAAAAAEAIAAAACoBAABkcnMv&#10;ZTJvRG9jLnhtbFBLBQYAAAAABgAGAFkBAABfBQAAAAA=&#10;">
                <v:fill on="f" focussize="0,0"/>
                <v:stroke on="f"/>
                <v:imagedata o:title=""/>
                <o:lock v:ext="edit" aspectratio="f"/>
                <v:textbox>
                  <w:txbxContent>
                    <w:p w14:paraId="0E7F12D7">
                      <w:pPr>
                        <w:rPr>
                          <w:b/>
                          <w:bCs/>
                          <w:color w:val="AE02BE"/>
                          <w:sz w:val="28"/>
                          <w:szCs w:val="28"/>
                        </w:rPr>
                      </w:pPr>
                      <w:r>
                        <w:rPr>
                          <w:rFonts w:hint="eastAsia"/>
                          <w:b/>
                          <w:bCs/>
                          <w:color w:val="AE02BE"/>
                          <w:sz w:val="28"/>
                          <w:szCs w:val="28"/>
                          <w:lang w:val="en-US" w:eastAsia="zh-CN"/>
                        </w:rPr>
                        <w:t>7</w:t>
                      </w:r>
                      <w:r>
                        <w:rPr>
                          <w:rFonts w:hint="eastAsia"/>
                          <w:b/>
                          <w:bCs/>
                          <w:color w:val="AE02BE"/>
                          <w:sz w:val="28"/>
                          <w:szCs w:val="28"/>
                        </w:rPr>
                        <w:t>#断面</w:t>
                      </w:r>
                    </w:p>
                  </w:txbxContent>
                </v:textbox>
              </v:shape>
            </w:pict>
          </mc:Fallback>
        </mc:AlternateContent>
      </w:r>
      <w:r>
        <w:rPr>
          <w:color w:val="auto"/>
        </w:rPr>
        <mc:AlternateContent>
          <mc:Choice Requires="wps">
            <w:drawing>
              <wp:anchor distT="0" distB="0" distL="114300" distR="114300" simplePos="0" relativeHeight="251821056" behindDoc="0" locked="0" layoutInCell="1" allowOverlap="1">
                <wp:simplePos x="0" y="0"/>
                <wp:positionH relativeFrom="column">
                  <wp:posOffset>4745990</wp:posOffset>
                </wp:positionH>
                <wp:positionV relativeFrom="paragraph">
                  <wp:posOffset>1647190</wp:posOffset>
                </wp:positionV>
                <wp:extent cx="1524000" cy="523875"/>
                <wp:effectExtent l="0" t="0" r="0" b="0"/>
                <wp:wrapNone/>
                <wp:docPr id="241" name="文本框 202"/>
                <wp:cNvGraphicFramePr/>
                <a:graphic xmlns:a="http://schemas.openxmlformats.org/drawingml/2006/main">
                  <a:graphicData uri="http://schemas.microsoft.com/office/word/2010/wordprocessingShape">
                    <wps:wsp>
                      <wps:cNvSpPr txBox="1"/>
                      <wps:spPr>
                        <a:xfrm rot="1260000">
                          <a:off x="0" y="0"/>
                          <a:ext cx="1524000" cy="523875"/>
                        </a:xfrm>
                        <a:prstGeom prst="rect">
                          <a:avLst/>
                        </a:prstGeom>
                        <a:noFill/>
                        <a:ln>
                          <a:noFill/>
                        </a:ln>
                      </wps:spPr>
                      <wps:txbx>
                        <w:txbxContent>
                          <w:p w14:paraId="640A694E">
                            <w:pPr>
                              <w:rPr>
                                <w:b/>
                                <w:bCs/>
                                <w:color w:val="AE02BE"/>
                                <w:sz w:val="28"/>
                                <w:szCs w:val="28"/>
                              </w:rPr>
                            </w:pPr>
                            <w:r>
                              <w:rPr>
                                <w:rFonts w:hint="eastAsia"/>
                                <w:b/>
                                <w:bCs/>
                                <w:color w:val="AE02BE"/>
                                <w:sz w:val="28"/>
                                <w:szCs w:val="28"/>
                                <w:lang w:val="en-US" w:eastAsia="zh-CN"/>
                              </w:rPr>
                              <w:t>6</w:t>
                            </w:r>
                            <w:r>
                              <w:rPr>
                                <w:rFonts w:hint="eastAsia"/>
                                <w:b/>
                                <w:bCs/>
                                <w:color w:val="AE02BE"/>
                                <w:sz w:val="28"/>
                                <w:szCs w:val="28"/>
                              </w:rPr>
                              <w:t>#断面</w:t>
                            </w:r>
                          </w:p>
                        </w:txbxContent>
                      </wps:txbx>
                      <wps:bodyPr wrap="square" upright="1"/>
                    </wps:wsp>
                  </a:graphicData>
                </a:graphic>
              </wp:anchor>
            </w:drawing>
          </mc:Choice>
          <mc:Fallback>
            <w:pict>
              <v:shape id="文本框 202" o:spid="_x0000_s1026" o:spt="202" type="#_x0000_t202" style="position:absolute;left:0pt;margin-left:373.7pt;margin-top:129.7pt;height:41.25pt;width:120pt;rotation:1376256f;z-index:251821056;mso-width-relative:page;mso-height-relative:page;" filled="f" stroked="f" coordsize="21600,21600" o:gfxdata="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TZi3toAAAALAQAADwAAAAAAAAABACAAAAAiAAAAZHJzL2Rvd25y&#10;ZXYueG1sUEsBAhQAFAAAAAgAh07iQDoW2aLDAQAAbgMAAA4AAAAAAAAAAQAgAAAAKQEAAGRycy9l&#10;Mm9Eb2MueG1sUEsFBgAAAAAGAAYAWQEAAF4FAAAAAA==&#10;">
                <v:fill on="f" focussize="0,0"/>
                <v:stroke on="f"/>
                <v:imagedata o:title=""/>
                <o:lock v:ext="edit" aspectratio="f"/>
                <v:textbox>
                  <w:txbxContent>
                    <w:p w14:paraId="640A694E">
                      <w:pPr>
                        <w:rPr>
                          <w:b/>
                          <w:bCs/>
                          <w:color w:val="AE02BE"/>
                          <w:sz w:val="28"/>
                          <w:szCs w:val="28"/>
                        </w:rPr>
                      </w:pPr>
                      <w:r>
                        <w:rPr>
                          <w:rFonts w:hint="eastAsia"/>
                          <w:b/>
                          <w:bCs/>
                          <w:color w:val="AE02BE"/>
                          <w:sz w:val="28"/>
                          <w:szCs w:val="28"/>
                          <w:lang w:val="en-US" w:eastAsia="zh-CN"/>
                        </w:rPr>
                        <w:t>6</w:t>
                      </w:r>
                      <w:r>
                        <w:rPr>
                          <w:rFonts w:hint="eastAsia"/>
                          <w:b/>
                          <w:bCs/>
                          <w:color w:val="AE02BE"/>
                          <w:sz w:val="28"/>
                          <w:szCs w:val="28"/>
                        </w:rPr>
                        <w:t>#断面</w:t>
                      </w:r>
                    </w:p>
                  </w:txbxContent>
                </v:textbox>
              </v:shape>
            </w:pict>
          </mc:Fallback>
        </mc:AlternateContent>
      </w:r>
      <w:r>
        <w:rPr>
          <w:color w:val="auto"/>
        </w:rPr>
        <mc:AlternateContent>
          <mc:Choice Requires="wps">
            <w:drawing>
              <wp:anchor distT="0" distB="0" distL="114300" distR="114300" simplePos="0" relativeHeight="251820032" behindDoc="0" locked="0" layoutInCell="1" allowOverlap="1">
                <wp:simplePos x="0" y="0"/>
                <wp:positionH relativeFrom="column">
                  <wp:posOffset>3780790</wp:posOffset>
                </wp:positionH>
                <wp:positionV relativeFrom="paragraph">
                  <wp:posOffset>1056005</wp:posOffset>
                </wp:positionV>
                <wp:extent cx="1524000" cy="523875"/>
                <wp:effectExtent l="0" t="0" r="0" b="0"/>
                <wp:wrapNone/>
                <wp:docPr id="240" name="文本框 202"/>
                <wp:cNvGraphicFramePr/>
                <a:graphic xmlns:a="http://schemas.openxmlformats.org/drawingml/2006/main">
                  <a:graphicData uri="http://schemas.microsoft.com/office/word/2010/wordprocessingShape">
                    <wps:wsp>
                      <wps:cNvSpPr txBox="1"/>
                      <wps:spPr>
                        <a:xfrm rot="1260000">
                          <a:off x="0" y="0"/>
                          <a:ext cx="1524000" cy="523875"/>
                        </a:xfrm>
                        <a:prstGeom prst="rect">
                          <a:avLst/>
                        </a:prstGeom>
                        <a:noFill/>
                        <a:ln>
                          <a:noFill/>
                        </a:ln>
                      </wps:spPr>
                      <wps:txbx>
                        <w:txbxContent>
                          <w:p w14:paraId="3ED0855E">
                            <w:pPr>
                              <w:rPr>
                                <w:b/>
                                <w:bCs/>
                                <w:color w:val="AE02BE"/>
                                <w:sz w:val="28"/>
                                <w:szCs w:val="28"/>
                              </w:rPr>
                            </w:pPr>
                            <w:r>
                              <w:rPr>
                                <w:rFonts w:hint="eastAsia"/>
                                <w:b/>
                                <w:bCs/>
                                <w:color w:val="AE02BE"/>
                                <w:sz w:val="28"/>
                                <w:szCs w:val="28"/>
                                <w:lang w:val="en-US" w:eastAsia="zh-CN"/>
                              </w:rPr>
                              <w:t>5</w:t>
                            </w:r>
                            <w:r>
                              <w:rPr>
                                <w:rFonts w:hint="eastAsia"/>
                                <w:b/>
                                <w:bCs/>
                                <w:color w:val="AE02BE"/>
                                <w:sz w:val="28"/>
                                <w:szCs w:val="28"/>
                              </w:rPr>
                              <w:t>#断面</w:t>
                            </w:r>
                          </w:p>
                        </w:txbxContent>
                      </wps:txbx>
                      <wps:bodyPr wrap="square" upright="1"/>
                    </wps:wsp>
                  </a:graphicData>
                </a:graphic>
              </wp:anchor>
            </w:drawing>
          </mc:Choice>
          <mc:Fallback>
            <w:pict>
              <v:shape id="文本框 202" o:spid="_x0000_s1026" o:spt="202" type="#_x0000_t202" style="position:absolute;left:0pt;margin-left:297.7pt;margin-top:83.15pt;height:41.25pt;width:120pt;rotation:1376256f;z-index:251820032;mso-width-relative:page;mso-height-relative:page;" filled="f" stroked="f" coordsize="21600,21600" o:gfxdata="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X7bzU2gAAAAsBAAAPAAAAAAAAAAEAIAAAACIAAABkcnMvZG93bnJl&#10;di54bWxQSwECFAAUAAAACACHTuJAHyljc8IBAABuAwAADgAAAAAAAAABACAAAAApAQAAZHJzL2Uy&#10;b0RvYy54bWxQSwUGAAAAAAYABgBZAQAAXQUAAAAA&#10;">
                <v:fill on="f" focussize="0,0"/>
                <v:stroke on="f"/>
                <v:imagedata o:title=""/>
                <o:lock v:ext="edit" aspectratio="f"/>
                <v:textbox>
                  <w:txbxContent>
                    <w:p w14:paraId="3ED0855E">
                      <w:pPr>
                        <w:rPr>
                          <w:b/>
                          <w:bCs/>
                          <w:color w:val="AE02BE"/>
                          <w:sz w:val="28"/>
                          <w:szCs w:val="28"/>
                        </w:rPr>
                      </w:pPr>
                      <w:r>
                        <w:rPr>
                          <w:rFonts w:hint="eastAsia"/>
                          <w:b/>
                          <w:bCs/>
                          <w:color w:val="AE02BE"/>
                          <w:sz w:val="28"/>
                          <w:szCs w:val="28"/>
                          <w:lang w:val="en-US" w:eastAsia="zh-CN"/>
                        </w:rPr>
                        <w:t>5</w:t>
                      </w:r>
                      <w:r>
                        <w:rPr>
                          <w:rFonts w:hint="eastAsia"/>
                          <w:b/>
                          <w:bCs/>
                          <w:color w:val="AE02BE"/>
                          <w:sz w:val="28"/>
                          <w:szCs w:val="28"/>
                        </w:rPr>
                        <w:t>#断面</w:t>
                      </w:r>
                    </w:p>
                  </w:txbxContent>
                </v:textbox>
              </v:shape>
            </w:pict>
          </mc:Fallback>
        </mc:AlternateContent>
      </w:r>
      <w:r>
        <w:rPr>
          <w:color w:val="auto"/>
        </w:rPr>
        <mc:AlternateContent>
          <mc:Choice Requires="wps">
            <w:drawing>
              <wp:anchor distT="0" distB="0" distL="114300" distR="114300" simplePos="0" relativeHeight="251819008" behindDoc="0" locked="0" layoutInCell="1" allowOverlap="1">
                <wp:simplePos x="0" y="0"/>
                <wp:positionH relativeFrom="column">
                  <wp:posOffset>1678305</wp:posOffset>
                </wp:positionH>
                <wp:positionV relativeFrom="paragraph">
                  <wp:posOffset>1353820</wp:posOffset>
                </wp:positionV>
                <wp:extent cx="1524000" cy="523875"/>
                <wp:effectExtent l="0" t="0" r="0" b="0"/>
                <wp:wrapNone/>
                <wp:docPr id="226" name="文本框 202"/>
                <wp:cNvGraphicFramePr/>
                <a:graphic xmlns:a="http://schemas.openxmlformats.org/drawingml/2006/main">
                  <a:graphicData uri="http://schemas.microsoft.com/office/word/2010/wordprocessingShape">
                    <wps:wsp>
                      <wps:cNvSpPr txBox="1"/>
                      <wps:spPr>
                        <a:xfrm rot="540000">
                          <a:off x="0" y="0"/>
                          <a:ext cx="1524000" cy="523875"/>
                        </a:xfrm>
                        <a:prstGeom prst="rect">
                          <a:avLst/>
                        </a:prstGeom>
                        <a:noFill/>
                        <a:ln>
                          <a:noFill/>
                        </a:ln>
                      </wps:spPr>
                      <wps:txbx>
                        <w:txbxContent>
                          <w:p w14:paraId="60CF9D7B">
                            <w:pPr>
                              <w:rPr>
                                <w:b/>
                                <w:bCs/>
                                <w:color w:val="AE02BE"/>
                                <w:sz w:val="28"/>
                                <w:szCs w:val="28"/>
                              </w:rPr>
                            </w:pPr>
                            <w:r>
                              <w:rPr>
                                <w:rFonts w:hint="eastAsia"/>
                                <w:b/>
                                <w:bCs/>
                                <w:color w:val="AE02BE"/>
                                <w:sz w:val="28"/>
                                <w:szCs w:val="28"/>
                                <w:lang w:val="en-US" w:eastAsia="zh-CN"/>
                              </w:rPr>
                              <w:t>4</w:t>
                            </w:r>
                            <w:r>
                              <w:rPr>
                                <w:rFonts w:hint="eastAsia"/>
                                <w:b/>
                                <w:bCs/>
                                <w:color w:val="AE02BE"/>
                                <w:sz w:val="28"/>
                                <w:szCs w:val="28"/>
                              </w:rPr>
                              <w:t>#断面</w:t>
                            </w:r>
                          </w:p>
                        </w:txbxContent>
                      </wps:txbx>
                      <wps:bodyPr wrap="square" upright="1"/>
                    </wps:wsp>
                  </a:graphicData>
                </a:graphic>
              </wp:anchor>
            </w:drawing>
          </mc:Choice>
          <mc:Fallback>
            <w:pict>
              <v:shape id="文本框 202" o:spid="_x0000_s1026" o:spt="202" type="#_x0000_t202" style="position:absolute;left:0pt;margin-left:132.15pt;margin-top:106.6pt;height:41.25pt;width:120pt;rotation:589824f;z-index:251819008;mso-width-relative:page;mso-height-relative:page;" filled="f" stroked="f" coordsize="21600,21600" o:gfxdata="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y0vHNsAAAALAQAADwAAAAAAAAABACAAAAAiAAAAZHJzL2Rvd25y&#10;ZXYueG1sUEsBAhQAFAAAAAgAh07iQEbD7OfCAQAAbQMAAA4AAAAAAAAAAQAgAAAAKgEAAGRycy9l&#10;Mm9Eb2MueG1sUEsFBgAAAAAGAAYAWQEAAF4FAAAAAA==&#10;">
                <v:fill on="f" focussize="0,0"/>
                <v:stroke on="f"/>
                <v:imagedata o:title=""/>
                <o:lock v:ext="edit" aspectratio="f"/>
                <v:textbox>
                  <w:txbxContent>
                    <w:p w14:paraId="60CF9D7B">
                      <w:pPr>
                        <w:rPr>
                          <w:b/>
                          <w:bCs/>
                          <w:color w:val="AE02BE"/>
                          <w:sz w:val="28"/>
                          <w:szCs w:val="28"/>
                        </w:rPr>
                      </w:pPr>
                      <w:r>
                        <w:rPr>
                          <w:rFonts w:hint="eastAsia"/>
                          <w:b/>
                          <w:bCs/>
                          <w:color w:val="AE02BE"/>
                          <w:sz w:val="28"/>
                          <w:szCs w:val="28"/>
                          <w:lang w:val="en-US" w:eastAsia="zh-CN"/>
                        </w:rPr>
                        <w:t>4</w:t>
                      </w:r>
                      <w:r>
                        <w:rPr>
                          <w:rFonts w:hint="eastAsia"/>
                          <w:b/>
                          <w:bCs/>
                          <w:color w:val="AE02BE"/>
                          <w:sz w:val="28"/>
                          <w:szCs w:val="28"/>
                        </w:rPr>
                        <w:t>#断面</w:t>
                      </w:r>
                    </w:p>
                  </w:txbxContent>
                </v:textbox>
              </v:shape>
            </w:pict>
          </mc:Fallback>
        </mc:AlternateContent>
      </w:r>
      <w:r>
        <w:rPr>
          <w:color w:val="auto"/>
        </w:rPr>
        <mc:AlternateContent>
          <mc:Choice Requires="wps">
            <w:drawing>
              <wp:anchor distT="0" distB="0" distL="114300" distR="114300" simplePos="0" relativeHeight="251817984" behindDoc="0" locked="0" layoutInCell="1" allowOverlap="1">
                <wp:simplePos x="0" y="0"/>
                <wp:positionH relativeFrom="column">
                  <wp:posOffset>1976120</wp:posOffset>
                </wp:positionH>
                <wp:positionV relativeFrom="paragraph">
                  <wp:posOffset>2610485</wp:posOffset>
                </wp:positionV>
                <wp:extent cx="1524000" cy="523875"/>
                <wp:effectExtent l="0" t="0" r="0" b="0"/>
                <wp:wrapNone/>
                <wp:docPr id="225" name="文本框 202"/>
                <wp:cNvGraphicFramePr/>
                <a:graphic xmlns:a="http://schemas.openxmlformats.org/drawingml/2006/main">
                  <a:graphicData uri="http://schemas.microsoft.com/office/word/2010/wordprocessingShape">
                    <wps:wsp>
                      <wps:cNvSpPr txBox="1"/>
                      <wps:spPr>
                        <a:xfrm rot="540000">
                          <a:off x="0" y="0"/>
                          <a:ext cx="1524000" cy="523875"/>
                        </a:xfrm>
                        <a:prstGeom prst="rect">
                          <a:avLst/>
                        </a:prstGeom>
                        <a:noFill/>
                        <a:ln>
                          <a:noFill/>
                        </a:ln>
                      </wps:spPr>
                      <wps:txbx>
                        <w:txbxContent>
                          <w:p w14:paraId="10F51CF4">
                            <w:pPr>
                              <w:rPr>
                                <w:b/>
                                <w:bCs/>
                                <w:color w:val="AE02BE"/>
                                <w:sz w:val="28"/>
                                <w:szCs w:val="28"/>
                              </w:rPr>
                            </w:pPr>
                            <w:r>
                              <w:rPr>
                                <w:rFonts w:hint="eastAsia"/>
                                <w:b/>
                                <w:bCs/>
                                <w:color w:val="AE02BE"/>
                                <w:sz w:val="28"/>
                                <w:szCs w:val="28"/>
                                <w:lang w:val="en-US" w:eastAsia="zh-CN"/>
                              </w:rPr>
                              <w:t>3</w:t>
                            </w:r>
                            <w:r>
                              <w:rPr>
                                <w:rFonts w:hint="eastAsia"/>
                                <w:b/>
                                <w:bCs/>
                                <w:color w:val="AE02BE"/>
                                <w:sz w:val="28"/>
                                <w:szCs w:val="28"/>
                              </w:rPr>
                              <w:t>#断面</w:t>
                            </w:r>
                          </w:p>
                        </w:txbxContent>
                      </wps:txbx>
                      <wps:bodyPr wrap="square" upright="1"/>
                    </wps:wsp>
                  </a:graphicData>
                </a:graphic>
              </wp:anchor>
            </w:drawing>
          </mc:Choice>
          <mc:Fallback>
            <w:pict>
              <v:shape id="文本框 202" o:spid="_x0000_s1026" o:spt="202" type="#_x0000_t202" style="position:absolute;left:0pt;margin-left:155.6pt;margin-top:205.55pt;height:41.25pt;width:120pt;rotation:589824f;z-index:251817984;mso-width-relative:page;mso-height-relative:page;" filled="f" stroked="f" coordsize="21600,21600" o:gfxdata="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fyMF3aAAAACwEAAA8AAAAAAAAAAQAgAAAAIgAAAGRycy9kb3ducmV2&#10;LnhtbFBLAQIUABQAAAAIAIdO4kCqvgXkwQEAAG0DAAAOAAAAAAAAAAEAIAAAACkBAABkcnMvZTJv&#10;RG9jLnhtbFBLBQYAAAAABgAGAFkBAABcBQAAAAA=&#10;">
                <v:fill on="f" focussize="0,0"/>
                <v:stroke on="f"/>
                <v:imagedata o:title=""/>
                <o:lock v:ext="edit" aspectratio="f"/>
                <v:textbox>
                  <w:txbxContent>
                    <w:p w14:paraId="10F51CF4">
                      <w:pPr>
                        <w:rPr>
                          <w:b/>
                          <w:bCs/>
                          <w:color w:val="AE02BE"/>
                          <w:sz w:val="28"/>
                          <w:szCs w:val="28"/>
                        </w:rPr>
                      </w:pPr>
                      <w:r>
                        <w:rPr>
                          <w:rFonts w:hint="eastAsia"/>
                          <w:b/>
                          <w:bCs/>
                          <w:color w:val="AE02BE"/>
                          <w:sz w:val="28"/>
                          <w:szCs w:val="28"/>
                          <w:lang w:val="en-US" w:eastAsia="zh-CN"/>
                        </w:rPr>
                        <w:t>3</w:t>
                      </w:r>
                      <w:r>
                        <w:rPr>
                          <w:rFonts w:hint="eastAsia"/>
                          <w:b/>
                          <w:bCs/>
                          <w:color w:val="AE02BE"/>
                          <w:sz w:val="28"/>
                          <w:szCs w:val="28"/>
                        </w:rPr>
                        <w:t>#断面</w:t>
                      </w:r>
                    </w:p>
                  </w:txbxContent>
                </v:textbox>
              </v:shape>
            </w:pict>
          </mc:Fallback>
        </mc:AlternateContent>
      </w:r>
      <w:r>
        <w:rPr>
          <w:color w:val="auto"/>
          <w:sz w:val="24"/>
        </w:rPr>
        <mc:AlternateContent>
          <mc:Choice Requires="wps">
            <w:drawing>
              <wp:anchor distT="0" distB="0" distL="114300" distR="114300" simplePos="0" relativeHeight="251815936" behindDoc="0" locked="0" layoutInCell="1" allowOverlap="1">
                <wp:simplePos x="0" y="0"/>
                <wp:positionH relativeFrom="column">
                  <wp:posOffset>5452745</wp:posOffset>
                </wp:positionH>
                <wp:positionV relativeFrom="paragraph">
                  <wp:posOffset>3348355</wp:posOffset>
                </wp:positionV>
                <wp:extent cx="424815" cy="87630"/>
                <wp:effectExtent l="0" t="87630" r="0" b="91440"/>
                <wp:wrapNone/>
                <wp:docPr id="223" name="左右箭头 223"/>
                <wp:cNvGraphicFramePr/>
                <a:graphic xmlns:a="http://schemas.openxmlformats.org/drawingml/2006/main">
                  <a:graphicData uri="http://schemas.microsoft.com/office/word/2010/wordprocessingShape">
                    <wps:wsp>
                      <wps:cNvSpPr/>
                      <wps:spPr>
                        <a:xfrm rot="19680000">
                          <a:off x="0" y="0"/>
                          <a:ext cx="424815" cy="87630"/>
                        </a:xfrm>
                        <a:prstGeom prst="leftRightArrow">
                          <a:avLst/>
                        </a:prstGeom>
                        <a:solidFill>
                          <a:srgbClr val="AE02BE"/>
                        </a:solidFill>
                        <a:ln w="6350">
                          <a:solidFill>
                            <a:schemeClr val="bg2"/>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9" type="#_x0000_t69" style="position:absolute;left:0pt;margin-left:429.35pt;margin-top:263.65pt;height:6.9pt;width:33.45pt;rotation:-2097152f;z-index:251815936;v-text-anchor:middle;mso-width-relative:page;mso-height-relative:page;" fillcolor="#AE02BE" filled="t" stroked="t" coordsize="21600,21600" o:gfxdata="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AYzOCk2gAAAAsBAAAP&#10;AAAAAAAAAAEAIAAAACIAAABkcnMvZG93bnJldi54bWxQSwECFAAUAAAACACHTuJAadH0DogCAAD9&#10;BAAADgAAAAAAAAABACAAAAApAQAAZHJzL2Uyb0RvYy54bWxQSwUGAAAAAAYABgBZAQAAIwYAAAAA&#10;" adj="2227,5400">
                <v:fill on="t" focussize="0,0"/>
                <v:stroke weight="0.5pt" color="#EEECE1 [3214]" joinstyle="round"/>
                <v:imagedata o:title=""/>
                <o:lock v:ext="edit" aspectratio="f"/>
              </v:shape>
            </w:pict>
          </mc:Fallback>
        </mc:AlternateContent>
      </w:r>
      <w:r>
        <w:rPr>
          <w:color w:val="auto"/>
          <w:sz w:val="24"/>
        </w:rPr>
        <mc:AlternateContent>
          <mc:Choice Requires="wps">
            <w:drawing>
              <wp:anchor distT="0" distB="0" distL="114300" distR="114300" simplePos="0" relativeHeight="251814912" behindDoc="0" locked="0" layoutInCell="1" allowOverlap="1">
                <wp:simplePos x="0" y="0"/>
                <wp:positionH relativeFrom="column">
                  <wp:posOffset>4498340</wp:posOffset>
                </wp:positionH>
                <wp:positionV relativeFrom="paragraph">
                  <wp:posOffset>1849755</wp:posOffset>
                </wp:positionV>
                <wp:extent cx="333375" cy="80645"/>
                <wp:effectExtent l="0" t="65405" r="0" b="82550"/>
                <wp:wrapNone/>
                <wp:docPr id="222" name="左右箭头 222"/>
                <wp:cNvGraphicFramePr/>
                <a:graphic xmlns:a="http://schemas.openxmlformats.org/drawingml/2006/main">
                  <a:graphicData uri="http://schemas.microsoft.com/office/word/2010/wordprocessingShape">
                    <wps:wsp>
                      <wps:cNvSpPr/>
                      <wps:spPr>
                        <a:xfrm rot="19680000">
                          <a:off x="0" y="0"/>
                          <a:ext cx="333375" cy="80645"/>
                        </a:xfrm>
                        <a:prstGeom prst="leftRightArrow">
                          <a:avLst/>
                        </a:prstGeom>
                        <a:solidFill>
                          <a:srgbClr val="AE02BE"/>
                        </a:solidFill>
                        <a:ln w="6350">
                          <a:solidFill>
                            <a:schemeClr val="bg2"/>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9" type="#_x0000_t69" style="position:absolute;left:0pt;margin-left:354.2pt;margin-top:145.65pt;height:6.35pt;width:26.25pt;rotation:-2097152f;z-index:251814912;v-text-anchor:middle;mso-width-relative:page;mso-height-relative:page;" fillcolor="#AE02BE" filled="t" stroked="t" coordsize="21600,21600" o:gfxdata="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OxZHSLbAAAACwEAAA8AAAAA&#10;AAAAAQAgAAAAIgAAAGRycy9kb3ducmV2LnhtbFBLAQIUABQAAAAIAIdO4kBHEzBmgwIAAP0EAAAO&#10;AAAAAAAAAAEAIAAAACoBAABkcnMvZTJvRG9jLnhtbFBLBQYAAAAABgAGAFkBAAAfBgAAAAA=&#10;" adj="2612,5400">
                <v:fill on="t" focussize="0,0"/>
                <v:stroke weight="0.5pt" color="#EEECE1 [3214]" joinstyle="round"/>
                <v:imagedata o:title=""/>
                <o:lock v:ext="edit" aspectratio="f"/>
              </v:shape>
            </w:pict>
          </mc:Fallback>
        </mc:AlternateContent>
      </w:r>
      <w:r>
        <w:rPr>
          <w:color w:val="auto"/>
          <w:sz w:val="24"/>
        </w:rPr>
        <mc:AlternateContent>
          <mc:Choice Requires="wps">
            <w:drawing>
              <wp:anchor distT="0" distB="0" distL="114300" distR="114300" simplePos="0" relativeHeight="251813888" behindDoc="0" locked="0" layoutInCell="1" allowOverlap="1">
                <wp:simplePos x="0" y="0"/>
                <wp:positionH relativeFrom="column">
                  <wp:posOffset>3556000</wp:posOffset>
                </wp:positionH>
                <wp:positionV relativeFrom="paragraph">
                  <wp:posOffset>1409065</wp:posOffset>
                </wp:positionV>
                <wp:extent cx="379730" cy="113665"/>
                <wp:effectExtent l="0" t="66675" r="0" b="67310"/>
                <wp:wrapNone/>
                <wp:docPr id="149" name="左右箭头 149"/>
                <wp:cNvGraphicFramePr/>
                <a:graphic xmlns:a="http://schemas.openxmlformats.org/drawingml/2006/main">
                  <a:graphicData uri="http://schemas.microsoft.com/office/word/2010/wordprocessingShape">
                    <wps:wsp>
                      <wps:cNvSpPr/>
                      <wps:spPr>
                        <a:xfrm rot="19680000">
                          <a:off x="0" y="0"/>
                          <a:ext cx="379730" cy="113665"/>
                        </a:xfrm>
                        <a:prstGeom prst="leftRightArrow">
                          <a:avLst/>
                        </a:prstGeom>
                        <a:solidFill>
                          <a:srgbClr val="AE02BE"/>
                        </a:solidFill>
                        <a:ln w="6350">
                          <a:solidFill>
                            <a:schemeClr val="bg2"/>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9" type="#_x0000_t69" style="position:absolute;left:0pt;margin-left:280pt;margin-top:110.95pt;height:8.95pt;width:29.9pt;rotation:-2097152f;z-index:251813888;v-text-anchor:middle;mso-width-relative:page;mso-height-relative:page;" fillcolor="#AE02BE" filled="t" stroked="t" coordsize="21600,21600" o:gfxdata="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sZCAA2gAAAAsBAAAPAAAA&#10;AAAAAAEAIAAAACIAAABkcnMvZG93bnJldi54bWxQSwECFAAUAAAACACHTuJAV0c0QYUCAAD+BAAA&#10;DgAAAAAAAAABACAAAAApAQAAZHJzL2Uyb0RvYy54bWxQSwUGAAAAAAYABgBZAQAAIAYAAAAA&#10;" adj="3232,5400">
                <v:fill on="t" focussize="0,0"/>
                <v:stroke weight="0.5pt" color="#EEECE1 [3214]" joinstyle="round"/>
                <v:imagedata o:title=""/>
                <o:lock v:ext="edit" aspectratio="f"/>
              </v:shape>
            </w:pict>
          </mc:Fallback>
        </mc:AlternateContent>
      </w:r>
      <w:r>
        <w:rPr>
          <w:rFonts w:hint="eastAsia"/>
          <w:color w:val="auto"/>
        </w:rPr>
        <w:drawing>
          <wp:inline distT="0" distB="0" distL="114300" distR="114300">
            <wp:extent cx="8849360" cy="4792980"/>
            <wp:effectExtent l="0" t="0" r="8890" b="7620"/>
            <wp:docPr id="175" name="图片 291" descr="Rectangle_#1_卫图_Level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291" descr="Rectangle_#1_卫图_Level_15"/>
                    <pic:cNvPicPr>
                      <a:picLocks noChangeAspect="1"/>
                    </pic:cNvPicPr>
                  </pic:nvPicPr>
                  <pic:blipFill>
                    <a:blip r:embed="rId100"/>
                    <a:stretch>
                      <a:fillRect/>
                    </a:stretch>
                  </pic:blipFill>
                  <pic:spPr>
                    <a:xfrm>
                      <a:off x="0" y="0"/>
                      <a:ext cx="8849360" cy="4792980"/>
                    </a:xfrm>
                    <a:prstGeom prst="rect">
                      <a:avLst/>
                    </a:prstGeom>
                    <a:noFill/>
                    <a:ln>
                      <a:noFill/>
                    </a:ln>
                  </pic:spPr>
                </pic:pic>
              </a:graphicData>
            </a:graphic>
          </wp:inline>
        </w:drawing>
      </w:r>
      <w:r>
        <w:rPr>
          <w:color w:val="auto"/>
          <w:sz w:val="24"/>
        </w:rPr>
        <mc:AlternateContent>
          <mc:Choice Requires="wps">
            <w:drawing>
              <wp:anchor distT="0" distB="0" distL="114300" distR="114300" simplePos="0" relativeHeight="251812864" behindDoc="0" locked="0" layoutInCell="1" allowOverlap="1">
                <wp:simplePos x="0" y="0"/>
                <wp:positionH relativeFrom="column">
                  <wp:posOffset>1851025</wp:posOffset>
                </wp:positionH>
                <wp:positionV relativeFrom="paragraph">
                  <wp:posOffset>1389380</wp:posOffset>
                </wp:positionV>
                <wp:extent cx="436880" cy="107950"/>
                <wp:effectExtent l="4445" t="4445" r="15875" b="20955"/>
                <wp:wrapNone/>
                <wp:docPr id="148" name="左右箭头 148"/>
                <wp:cNvGraphicFramePr/>
                <a:graphic xmlns:a="http://schemas.openxmlformats.org/drawingml/2006/main">
                  <a:graphicData uri="http://schemas.microsoft.com/office/word/2010/wordprocessingShape">
                    <wps:wsp>
                      <wps:cNvSpPr/>
                      <wps:spPr>
                        <a:xfrm>
                          <a:off x="0" y="0"/>
                          <a:ext cx="436880" cy="107950"/>
                        </a:xfrm>
                        <a:prstGeom prst="leftRightArrow">
                          <a:avLst/>
                        </a:prstGeom>
                        <a:solidFill>
                          <a:srgbClr val="AE02BE"/>
                        </a:solidFill>
                        <a:ln w="6350">
                          <a:solidFill>
                            <a:schemeClr val="bg2"/>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9" type="#_x0000_t69" style="position:absolute;left:0pt;margin-left:145.75pt;margin-top:109.4pt;height:8.5pt;width:34.4pt;z-index:251812864;v-text-anchor:middle;mso-width-relative:page;mso-height-relative:page;" fillcolor="#AE02BE" filled="t" stroked="t" coordsize="21600,21600" o:gfxdata="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iyhL79oAAAALAQAADwAAAAAAAAABACAA&#10;AAAiAAAAZHJzL2Rvd25yZXYueG1sUEsBAhQAFAAAAAgAh07iQNobYZp9AgAA7wQAAA4AAAAAAAAA&#10;AQAgAAAAKQEAAGRycy9lMm9Eb2MueG1sUEsFBgAAAAAGAAYAWQEAABgGAAAAAA==&#10;" adj="2668,5400">
                <v:fill on="t" focussize="0,0"/>
                <v:stroke weight="0.5pt" color="#EEECE1 [3214]" joinstyle="round"/>
                <v:imagedata o:title=""/>
                <o:lock v:ext="edit" aspectratio="f"/>
              </v:shape>
            </w:pict>
          </mc:Fallback>
        </mc:AlternateContent>
      </w:r>
      <w:r>
        <w:rPr>
          <w:color w:val="auto"/>
          <w:sz w:val="24"/>
        </w:rPr>
        <mc:AlternateContent>
          <mc:Choice Requires="wps">
            <w:drawing>
              <wp:anchor distT="0" distB="0" distL="114300" distR="114300" simplePos="0" relativeHeight="251816960" behindDoc="0" locked="0" layoutInCell="1" allowOverlap="1">
                <wp:simplePos x="0" y="0"/>
                <wp:positionH relativeFrom="column">
                  <wp:posOffset>6556375</wp:posOffset>
                </wp:positionH>
                <wp:positionV relativeFrom="paragraph">
                  <wp:posOffset>4272280</wp:posOffset>
                </wp:positionV>
                <wp:extent cx="474345" cy="120650"/>
                <wp:effectExtent l="4445" t="13970" r="16510" b="17780"/>
                <wp:wrapNone/>
                <wp:docPr id="224" name="左右箭头 224"/>
                <wp:cNvGraphicFramePr/>
                <a:graphic xmlns:a="http://schemas.openxmlformats.org/drawingml/2006/main">
                  <a:graphicData uri="http://schemas.microsoft.com/office/word/2010/wordprocessingShape">
                    <wps:wsp>
                      <wps:cNvSpPr/>
                      <wps:spPr>
                        <a:xfrm rot="21420000">
                          <a:off x="0" y="0"/>
                          <a:ext cx="474345" cy="120650"/>
                        </a:xfrm>
                        <a:prstGeom prst="leftRightArrow">
                          <a:avLst/>
                        </a:prstGeom>
                        <a:solidFill>
                          <a:srgbClr val="AE02BE"/>
                        </a:solidFill>
                        <a:ln w="6350">
                          <a:solidFill>
                            <a:schemeClr val="bg2"/>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9" type="#_x0000_t69" style="position:absolute;left:0pt;margin-left:516.25pt;margin-top:336.4pt;height:9.5pt;width:37.35pt;rotation:-196608f;z-index:251816960;v-text-anchor:middle;mso-width-relative:page;mso-height-relative:page;" fillcolor="#AE02BE" filled="t" stroked="t" coordsize="21600,21600" o:gfxdata="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BK3ge72QAAAA0BAAAPAAAA&#10;AAAAAAEAIAAAACIAAABkcnMvZG93bnJldi54bWxQSwECFAAUAAAACACHTuJAkWn1IoYCAAD+BAAA&#10;DgAAAAAAAAABACAAAAAoAQAAZHJzL2Uyb0RvYy54bWxQSwUGAAAAAAYABgBZAQAAIAYAAAAA&#10;" adj="2746,5400">
                <v:fill on="t" focussize="0,0"/>
                <v:stroke weight="0.5pt" color="#EEECE1 [3214]" joinstyle="round"/>
                <v:imagedata o:title=""/>
                <o:lock v:ext="edit" aspectratio="f"/>
              </v:shape>
            </w:pict>
          </mc:Fallback>
        </mc:AlternateContent>
      </w:r>
      <w:r>
        <w:rPr>
          <w:color w:val="auto"/>
        </w:rPr>
        <mc:AlternateContent>
          <mc:Choice Requires="wps">
            <w:drawing>
              <wp:anchor distT="0" distB="0" distL="114300" distR="114300" simplePos="0" relativeHeight="251712512" behindDoc="0" locked="0" layoutInCell="1" allowOverlap="1">
                <wp:simplePos x="0" y="0"/>
                <wp:positionH relativeFrom="column">
                  <wp:posOffset>762635</wp:posOffset>
                </wp:positionH>
                <wp:positionV relativeFrom="paragraph">
                  <wp:posOffset>1873250</wp:posOffset>
                </wp:positionV>
                <wp:extent cx="1524000" cy="523875"/>
                <wp:effectExtent l="0" t="0" r="0" b="0"/>
                <wp:wrapNone/>
                <wp:docPr id="75" name="文本框 202"/>
                <wp:cNvGraphicFramePr/>
                <a:graphic xmlns:a="http://schemas.openxmlformats.org/drawingml/2006/main">
                  <a:graphicData uri="http://schemas.microsoft.com/office/word/2010/wordprocessingShape">
                    <wps:wsp>
                      <wps:cNvSpPr txBox="1"/>
                      <wps:spPr>
                        <a:xfrm rot="540000">
                          <a:off x="0" y="0"/>
                          <a:ext cx="1524000" cy="523875"/>
                        </a:xfrm>
                        <a:prstGeom prst="rect">
                          <a:avLst/>
                        </a:prstGeom>
                        <a:noFill/>
                        <a:ln>
                          <a:noFill/>
                        </a:ln>
                      </wps:spPr>
                      <wps:txbx>
                        <w:txbxContent>
                          <w:p w14:paraId="1A6F8A43">
                            <w:pPr>
                              <w:rPr>
                                <w:b/>
                                <w:bCs/>
                                <w:color w:val="FFC000"/>
                                <w:sz w:val="28"/>
                                <w:szCs w:val="28"/>
                              </w:rPr>
                            </w:pPr>
                            <w:r>
                              <w:rPr>
                                <w:rFonts w:hint="eastAsia"/>
                                <w:b/>
                                <w:bCs/>
                                <w:color w:val="FFC000"/>
                                <w:sz w:val="28"/>
                                <w:szCs w:val="28"/>
                              </w:rPr>
                              <w:t>1#断面</w:t>
                            </w:r>
                          </w:p>
                        </w:txbxContent>
                      </wps:txbx>
                      <wps:bodyPr wrap="square" upright="1"/>
                    </wps:wsp>
                  </a:graphicData>
                </a:graphic>
              </wp:anchor>
            </w:drawing>
          </mc:Choice>
          <mc:Fallback>
            <w:pict>
              <v:shape id="文本框 202" o:spid="_x0000_s1026" o:spt="202" type="#_x0000_t202" style="position:absolute;left:0pt;margin-left:60.05pt;margin-top:147.5pt;height:41.25pt;width:120pt;rotation:589824f;z-index:251712512;mso-width-relative:page;mso-height-relative:page;" filled="f" stroked="f" coordsize="21600,21600" o:gfxdata="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WMmf42QAAAAsBAAAPAAAAAAAAAAEAIAAAACIAAABkcnMvZG93bnJldi54&#10;bWxQSwECFAAUAAAACACHTuJAjU8NtsABAABsAwAADgAAAAAAAAABACAAAAAoAQAAZHJzL2Uyb0Rv&#10;Yy54bWxQSwUGAAAAAAYABgBZAQAAWgUAAAAA&#10;">
                <v:fill on="f" focussize="0,0"/>
                <v:stroke on="f"/>
                <v:imagedata o:title=""/>
                <o:lock v:ext="edit" aspectratio="f"/>
                <v:textbox>
                  <w:txbxContent>
                    <w:p w14:paraId="1A6F8A43">
                      <w:pPr>
                        <w:rPr>
                          <w:b/>
                          <w:bCs/>
                          <w:color w:val="FFC000"/>
                          <w:sz w:val="28"/>
                          <w:szCs w:val="28"/>
                        </w:rPr>
                      </w:pPr>
                      <w:r>
                        <w:rPr>
                          <w:rFonts w:hint="eastAsia"/>
                          <w:b/>
                          <w:bCs/>
                          <w:color w:val="FFC000"/>
                          <w:sz w:val="28"/>
                          <w:szCs w:val="28"/>
                        </w:rPr>
                        <w:t>1#断面</w:t>
                      </w:r>
                    </w:p>
                  </w:txbxContent>
                </v:textbox>
              </v:shape>
            </w:pict>
          </mc:Fallback>
        </mc:AlternateContent>
      </w:r>
      <w:r>
        <w:rPr>
          <w:color w:val="auto"/>
        </w:rPr>
        <mc:AlternateContent>
          <mc:Choice Requires="wps">
            <w:drawing>
              <wp:anchor distT="0" distB="0" distL="114300" distR="114300" simplePos="0" relativeHeight="251710464" behindDoc="0" locked="0" layoutInCell="1" allowOverlap="1">
                <wp:simplePos x="0" y="0"/>
                <wp:positionH relativeFrom="column">
                  <wp:posOffset>1026160</wp:posOffset>
                </wp:positionH>
                <wp:positionV relativeFrom="paragraph">
                  <wp:posOffset>1899285</wp:posOffset>
                </wp:positionV>
                <wp:extent cx="238125" cy="75565"/>
                <wp:effectExtent l="38100" t="5080" r="47625" b="14605"/>
                <wp:wrapNone/>
                <wp:docPr id="73" name="自选图形 200"/>
                <wp:cNvGraphicFramePr/>
                <a:graphic xmlns:a="http://schemas.openxmlformats.org/drawingml/2006/main">
                  <a:graphicData uri="http://schemas.microsoft.com/office/word/2010/wordprocessingShape">
                    <wps:wsp>
                      <wps:cNvSpPr/>
                      <wps:spPr>
                        <a:xfrm>
                          <a:off x="0" y="0"/>
                          <a:ext cx="238125" cy="75565"/>
                        </a:xfrm>
                        <a:prstGeom prst="upDownArrow">
                          <a:avLst>
                            <a:gd name="adj1" fmla="val 50000"/>
                            <a:gd name="adj2" fmla="val 20000"/>
                          </a:avLst>
                        </a:prstGeom>
                        <a:solidFill>
                          <a:srgbClr val="00B0F0"/>
                        </a:solidFill>
                        <a:ln w="9525"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200" o:spid="_x0000_s1026" o:spt="70" type="#_x0000_t70" style="position:absolute;left:0pt;margin-left:80.8pt;margin-top:149.55pt;height:5.95pt;width:18.75pt;z-index:251710464;mso-width-relative:page;mso-height-relative:page;" fillcolor="#00B0F0" filled="t" stroked="t" coordsize="21600,21600" o:gfxdata="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GzR+ubWAAAACwEAAA8AAAAAAAAAAQAgAAAAIgAAAGRycy9kb3du&#10;cmV2LnhtbFBLAQIUABQAAAAIAIdO4kDX4z+0OgIAAIsEAAAOAAAAAAAAAAEAIAAAACUBAABkcnMv&#10;ZTJvRG9jLnhtbFBLBQYAAAAABgAGAFkBAADRBQAAAAA=&#10;" adj="5400,4320">
                <v:fill on="t" focussize="0,0"/>
                <v:stroke color="#FFFF00" joinstyle="miter"/>
                <v:imagedata o:title=""/>
                <o:lock v:ext="edit" aspectratio="f"/>
              </v:shape>
            </w:pict>
          </mc:Fallback>
        </mc:AlternateContent>
      </w:r>
      <w:r>
        <w:rPr>
          <w:color w:val="auto"/>
        </w:rPr>
        <mc:AlternateContent>
          <mc:Choice Requires="wps">
            <w:drawing>
              <wp:anchor distT="0" distB="0" distL="114300" distR="114300" simplePos="0" relativeHeight="251809792" behindDoc="0" locked="0" layoutInCell="1" allowOverlap="1">
                <wp:simplePos x="0" y="0"/>
                <wp:positionH relativeFrom="column">
                  <wp:posOffset>6717665</wp:posOffset>
                </wp:positionH>
                <wp:positionV relativeFrom="paragraph">
                  <wp:posOffset>3986530</wp:posOffset>
                </wp:positionV>
                <wp:extent cx="238125" cy="75565"/>
                <wp:effectExtent l="38100" t="5080" r="47625" b="14605"/>
                <wp:wrapNone/>
                <wp:docPr id="145" name="自选图形 200"/>
                <wp:cNvGraphicFramePr/>
                <a:graphic xmlns:a="http://schemas.openxmlformats.org/drawingml/2006/main">
                  <a:graphicData uri="http://schemas.microsoft.com/office/word/2010/wordprocessingShape">
                    <wps:wsp>
                      <wps:cNvSpPr/>
                      <wps:spPr>
                        <a:xfrm>
                          <a:off x="0" y="0"/>
                          <a:ext cx="238125" cy="75565"/>
                        </a:xfrm>
                        <a:prstGeom prst="upDownArrow">
                          <a:avLst>
                            <a:gd name="adj1" fmla="val 50000"/>
                            <a:gd name="adj2" fmla="val 20000"/>
                          </a:avLst>
                        </a:prstGeom>
                        <a:solidFill>
                          <a:srgbClr val="00B0F0"/>
                        </a:solidFill>
                        <a:ln w="9525" cap="flat" cmpd="sng">
                          <a:solidFill>
                            <a:srgbClr val="FFFF00"/>
                          </a:solidFill>
                          <a:prstDash val="solid"/>
                          <a:miter/>
                          <a:headEnd type="none" w="med" len="med"/>
                          <a:tailEnd type="none" w="med" len="med"/>
                        </a:ln>
                      </wps:spPr>
                      <wps:bodyPr wrap="square" upright="1"/>
                    </wps:wsp>
                  </a:graphicData>
                </a:graphic>
              </wp:anchor>
            </w:drawing>
          </mc:Choice>
          <mc:Fallback>
            <w:pict>
              <v:shape id="自选图形 200" o:spid="_x0000_s1026" o:spt="70" type="#_x0000_t70" style="position:absolute;left:0pt;margin-left:528.95pt;margin-top:313.9pt;height:5.95pt;width:18.75pt;z-index:251809792;mso-width-relative:page;mso-height-relative:page;" fillcolor="#00B0F0" filled="t" stroked="t" coordsize="21600,21600" o:gfxdata="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PedmR2gAAAA0BAAAPAAAAAAAAAAEAIAAAACIAAABkcnMv&#10;ZG93bnJldi54bWxQSwECFAAUAAAACACHTuJAyJ5MCzoCAACMBAAADgAAAAAAAAABACAAAAApAQAA&#10;ZHJzL2Uyb0RvYy54bWxQSwUGAAAAAAYABgBZAQAA1QUAAAAA&#10;" adj="5400,4320">
                <v:fill on="t" focussize="0,0"/>
                <v:stroke color="#FFFF00" joinstyle="miter"/>
                <v:imagedata o:title=""/>
                <o:lock v:ext="edit" aspectratio="f"/>
              </v:shape>
            </w:pict>
          </mc:Fallback>
        </mc:AlternateContent>
      </w:r>
      <w:r>
        <w:rPr>
          <w:color w:val="auto"/>
          <w:sz w:val="24"/>
        </w:rPr>
        <mc:AlternateContent>
          <mc:Choice Requires="wps">
            <w:drawing>
              <wp:anchor distT="0" distB="0" distL="114300" distR="114300" simplePos="0" relativeHeight="251810816" behindDoc="0" locked="0" layoutInCell="1" allowOverlap="1">
                <wp:simplePos x="0" y="0"/>
                <wp:positionH relativeFrom="column">
                  <wp:posOffset>6978650</wp:posOffset>
                </wp:positionH>
                <wp:positionV relativeFrom="paragraph">
                  <wp:posOffset>3517265</wp:posOffset>
                </wp:positionV>
                <wp:extent cx="2113915" cy="1223010"/>
                <wp:effectExtent l="0" t="0" r="0" b="0"/>
                <wp:wrapNone/>
                <wp:docPr id="146" name="文本框 146"/>
                <wp:cNvGraphicFramePr/>
                <a:graphic xmlns:a="http://schemas.openxmlformats.org/drawingml/2006/main">
                  <a:graphicData uri="http://schemas.microsoft.com/office/word/2010/wordprocessingShape">
                    <wps:wsp>
                      <wps:cNvSpPr txBox="1"/>
                      <wps:spPr>
                        <a:xfrm>
                          <a:off x="8214995" y="4638040"/>
                          <a:ext cx="2113915" cy="12230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D6733D">
                            <w:pPr>
                              <w:spacing w:line="360" w:lineRule="auto"/>
                              <w:jc w:val="center"/>
                              <w:rPr>
                                <w:rFonts w:hint="eastAsia"/>
                                <w:b/>
                                <w:bCs/>
                                <w:color w:val="FFFFFF" w:themeColor="background1"/>
                                <w:sz w:val="24"/>
                                <w:szCs w:val="24"/>
                                <w:u w:val="single"/>
                                <w:lang w:val="en-US" w:eastAsia="zh-CN"/>
                                <w14:textFill>
                                  <w14:solidFill>
                                    <w14:schemeClr w14:val="bg1"/>
                                  </w14:solidFill>
                                </w14:textFill>
                              </w:rPr>
                            </w:pPr>
                            <w:r>
                              <w:rPr>
                                <w:rFonts w:hint="eastAsia"/>
                                <w:b/>
                                <w:bCs/>
                                <w:color w:val="FFFFFF" w:themeColor="background1"/>
                                <w:sz w:val="24"/>
                                <w:szCs w:val="24"/>
                                <w:u w:val="single"/>
                                <w:lang w:val="en-US" w:eastAsia="zh-CN"/>
                                <w14:textFill>
                                  <w14:solidFill>
                                    <w14:schemeClr w14:val="bg1"/>
                                  </w14:solidFill>
                                </w14:textFill>
                              </w:rPr>
                              <w:t>图例</w:t>
                            </w:r>
                          </w:p>
                          <w:p w14:paraId="41AB3F6B">
                            <w:pPr>
                              <w:spacing w:line="360" w:lineRule="auto"/>
                              <w:rPr>
                                <w:rFonts w:hint="eastAsia" w:ascii="宋体" w:hAnsi="宋体" w:eastAsia="宋体" w:cs="宋体"/>
                                <w:b w:val="0"/>
                                <w:bCs w:val="0"/>
                                <w:spacing w:val="-3"/>
                                <w:sz w:val="24"/>
                                <w:szCs w:val="24"/>
                                <w:lang w:val="en-US" w:eastAsia="zh-CN"/>
                                <w14:textOutline w14:w="9525">
                                  <w14:solidFill>
                                    <w14:schemeClr w14:val="bg1"/>
                                  </w14:solidFill>
                                  <w14:round/>
                                </w14:textOutline>
                              </w:rPr>
                            </w:pPr>
                            <w:r>
                              <w:rPr>
                                <w:rFonts w:ascii="宋体" w:hAnsi="宋体" w:eastAsia="宋体" w:cs="宋体"/>
                                <w:b w:val="0"/>
                                <w:bCs w:val="0"/>
                                <w:spacing w:val="-2"/>
                                <w:sz w:val="24"/>
                                <w:szCs w:val="24"/>
                                <w14:textOutline w14:w="9525">
                                  <w14:solidFill>
                                    <w14:schemeClr w14:val="bg1"/>
                                  </w14:solidFill>
                                  <w14:round/>
                                </w14:textOutline>
                              </w:rPr>
                              <w:t>水域渔业</w:t>
                            </w:r>
                            <w:r>
                              <w:rPr>
                                <w:rFonts w:ascii="宋体" w:hAnsi="宋体" w:eastAsia="宋体" w:cs="宋体"/>
                                <w:b w:val="0"/>
                                <w:bCs w:val="0"/>
                                <w:spacing w:val="-3"/>
                                <w:sz w:val="24"/>
                                <w:szCs w:val="24"/>
                                <w14:textOutline w14:w="9525">
                                  <w14:solidFill>
                                    <w14:schemeClr w14:val="bg1"/>
                                  </w14:solidFill>
                                  <w14:round/>
                                </w14:textOutline>
                              </w:rPr>
                              <w:t>资源</w:t>
                            </w:r>
                            <w:r>
                              <w:rPr>
                                <w:rFonts w:hint="eastAsia" w:ascii="宋体" w:hAnsi="宋体" w:eastAsia="宋体" w:cs="宋体"/>
                                <w:b w:val="0"/>
                                <w:bCs w:val="0"/>
                                <w:spacing w:val="-3"/>
                                <w:sz w:val="24"/>
                                <w:szCs w:val="24"/>
                                <w:lang w:val="en-US" w:eastAsia="zh-CN"/>
                                <w14:textOutline w14:w="9525">
                                  <w14:solidFill>
                                    <w14:schemeClr w14:val="bg1"/>
                                  </w14:solidFill>
                                  <w14:round/>
                                </w14:textOutline>
                              </w:rPr>
                              <w:t>调查断面图</w:t>
                            </w:r>
                          </w:p>
                          <w:p w14:paraId="65953973">
                            <w:pPr>
                              <w:spacing w:line="360" w:lineRule="auto"/>
                              <w:rPr>
                                <w:rFonts w:hint="eastAsia" w:ascii="宋体" w:hAnsi="宋体" w:eastAsia="宋体" w:cs="宋体"/>
                                <w:b w:val="0"/>
                                <w:bCs w:val="0"/>
                                <w:spacing w:val="-3"/>
                                <w:sz w:val="24"/>
                                <w:szCs w:val="24"/>
                                <w:lang w:val="en-US" w:eastAsia="zh-CN"/>
                                <w14:textOutline w14:w="9525">
                                  <w14:solidFill>
                                    <w14:schemeClr w14:val="bg1"/>
                                  </w14:solidFill>
                                  <w14:round/>
                                </w14:textOutline>
                              </w:rPr>
                            </w:pPr>
                            <w:r>
                              <w:rPr>
                                <w:rFonts w:ascii="宋体" w:hAnsi="宋体" w:eastAsia="宋体" w:cs="宋体"/>
                                <w:b w:val="0"/>
                                <w:bCs w:val="0"/>
                                <w:spacing w:val="-3"/>
                                <w:sz w:val="24"/>
                                <w:szCs w:val="24"/>
                                <w14:textOutline w14:w="9525">
                                  <w14:solidFill>
                                    <w14:schemeClr w14:val="bg1"/>
                                  </w14:solidFill>
                                  <w14:round/>
                                </w14:textOutline>
                              </w:rPr>
                              <w:t>鱼类早期资源调</w:t>
                            </w:r>
                            <w:r>
                              <w:rPr>
                                <w:rFonts w:hint="eastAsia" w:ascii="宋体" w:hAnsi="宋体" w:eastAsia="宋体" w:cs="宋体"/>
                                <w:b w:val="0"/>
                                <w:bCs w:val="0"/>
                                <w:spacing w:val="-3"/>
                                <w:sz w:val="24"/>
                                <w:szCs w:val="24"/>
                                <w:lang w:val="en-US" w:eastAsia="zh-CN"/>
                                <w14:textOutline w14:w="9525">
                                  <w14:solidFill>
                                    <w14:schemeClr w14:val="bg1"/>
                                  </w14:solidFill>
                                  <w14:round/>
                                </w14:textOutline>
                              </w:rPr>
                              <w:t>查断面</w:t>
                            </w:r>
                          </w:p>
                          <w:p w14:paraId="5CFAEA4A">
                            <w:pPr>
                              <w:spacing w:line="360" w:lineRule="auto"/>
                              <w:rPr>
                                <w:rFonts w:hint="eastAsia" w:ascii="宋体" w:hAnsi="宋体" w:eastAsia="宋体" w:cs="宋体"/>
                                <w:b w:val="0"/>
                                <w:bCs w:val="0"/>
                                <w:spacing w:val="-3"/>
                                <w:sz w:val="24"/>
                                <w:szCs w:val="24"/>
                                <w:lang w:val="en-US" w:eastAsia="zh-CN"/>
                                <w14:textOutline w14:w="9525">
                                  <w14:solidFill>
                                    <w14:schemeClr w14:val="bg1"/>
                                  </w14:solidFill>
                                  <w14:round/>
                                </w14:textOutline>
                              </w:rPr>
                            </w:pPr>
                            <w:r>
                              <w:rPr>
                                <w:rFonts w:ascii="宋体" w:hAnsi="宋体" w:eastAsia="宋体" w:cs="宋体"/>
                                <w:b w:val="0"/>
                                <w:bCs w:val="0"/>
                                <w:spacing w:val="-3"/>
                                <w:sz w:val="24"/>
                                <w:szCs w:val="24"/>
                                <w14:textOutline w14:w="9525">
                                  <w14:solidFill>
                                    <w14:schemeClr w14:val="bg1"/>
                                  </w14:solidFill>
                                  <w14:round/>
                                </w14:textOutline>
                              </w:rPr>
                              <w:t>工程水域补充调查</w:t>
                            </w:r>
                            <w:r>
                              <w:rPr>
                                <w:rFonts w:hint="eastAsia" w:ascii="宋体" w:hAnsi="宋体" w:eastAsia="宋体" w:cs="宋体"/>
                                <w:b w:val="0"/>
                                <w:bCs w:val="0"/>
                                <w:spacing w:val="-3"/>
                                <w:sz w:val="24"/>
                                <w:szCs w:val="24"/>
                                <w:lang w:val="en-US" w:eastAsia="zh-CN"/>
                                <w14:textOutline w14:w="9525">
                                  <w14:solidFill>
                                    <w14:schemeClr w14:val="bg1"/>
                                  </w14:solidFill>
                                  <w14:round/>
                                </w14:textOutline>
                              </w:rPr>
                              <w:t>断面</w:t>
                            </w:r>
                          </w:p>
                          <w:p w14:paraId="24F9F527">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5pt;margin-top:276.95pt;height:96.3pt;width:166.45pt;z-index:251810816;mso-width-relative:page;mso-height-relative:page;" filled="f" stroked="f" coordsize="21600,21600" o:gfxdata="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ERETwTeAAAADQEAAA8A&#10;AAAAAAAAAQAgAAAAIgAAAGRycy9kb3ducmV2LnhtbFBLAQIUABQAAAAIAIdO4kDwpxcUSgIAAHcE&#10;AAAOAAAAAAAAAAEAIAAAAC0BAABkcnMvZTJvRG9jLnhtbFBLBQYAAAAABgAGAFkBAADpBQAAAAA=&#10;">
                <v:fill on="f" focussize="0,0"/>
                <v:stroke on="f" weight="0.5pt"/>
                <v:imagedata o:title=""/>
                <o:lock v:ext="edit" aspectratio="f"/>
                <v:textbox>
                  <w:txbxContent>
                    <w:p w14:paraId="7CD6733D">
                      <w:pPr>
                        <w:spacing w:line="360" w:lineRule="auto"/>
                        <w:jc w:val="center"/>
                        <w:rPr>
                          <w:rFonts w:hint="eastAsia"/>
                          <w:b/>
                          <w:bCs/>
                          <w:color w:val="FFFFFF" w:themeColor="background1"/>
                          <w:sz w:val="24"/>
                          <w:szCs w:val="24"/>
                          <w:u w:val="single"/>
                          <w:lang w:val="en-US" w:eastAsia="zh-CN"/>
                          <w14:textFill>
                            <w14:solidFill>
                              <w14:schemeClr w14:val="bg1"/>
                            </w14:solidFill>
                          </w14:textFill>
                        </w:rPr>
                      </w:pPr>
                      <w:r>
                        <w:rPr>
                          <w:rFonts w:hint="eastAsia"/>
                          <w:b/>
                          <w:bCs/>
                          <w:color w:val="FFFFFF" w:themeColor="background1"/>
                          <w:sz w:val="24"/>
                          <w:szCs w:val="24"/>
                          <w:u w:val="single"/>
                          <w:lang w:val="en-US" w:eastAsia="zh-CN"/>
                          <w14:textFill>
                            <w14:solidFill>
                              <w14:schemeClr w14:val="bg1"/>
                            </w14:solidFill>
                          </w14:textFill>
                        </w:rPr>
                        <w:t>图例</w:t>
                      </w:r>
                    </w:p>
                    <w:p w14:paraId="41AB3F6B">
                      <w:pPr>
                        <w:spacing w:line="360" w:lineRule="auto"/>
                        <w:rPr>
                          <w:rFonts w:hint="eastAsia" w:ascii="宋体" w:hAnsi="宋体" w:eastAsia="宋体" w:cs="宋体"/>
                          <w:b w:val="0"/>
                          <w:bCs w:val="0"/>
                          <w:spacing w:val="-3"/>
                          <w:sz w:val="24"/>
                          <w:szCs w:val="24"/>
                          <w:lang w:val="en-US" w:eastAsia="zh-CN"/>
                          <w14:textOutline w14:w="9525">
                            <w14:solidFill>
                              <w14:schemeClr w14:val="bg1"/>
                            </w14:solidFill>
                            <w14:round/>
                          </w14:textOutline>
                        </w:rPr>
                      </w:pPr>
                      <w:r>
                        <w:rPr>
                          <w:rFonts w:ascii="宋体" w:hAnsi="宋体" w:eastAsia="宋体" w:cs="宋体"/>
                          <w:b w:val="0"/>
                          <w:bCs w:val="0"/>
                          <w:spacing w:val="-2"/>
                          <w:sz w:val="24"/>
                          <w:szCs w:val="24"/>
                          <w14:textOutline w14:w="9525">
                            <w14:solidFill>
                              <w14:schemeClr w14:val="bg1"/>
                            </w14:solidFill>
                            <w14:round/>
                          </w14:textOutline>
                        </w:rPr>
                        <w:t>水域渔业</w:t>
                      </w:r>
                      <w:r>
                        <w:rPr>
                          <w:rFonts w:ascii="宋体" w:hAnsi="宋体" w:eastAsia="宋体" w:cs="宋体"/>
                          <w:b w:val="0"/>
                          <w:bCs w:val="0"/>
                          <w:spacing w:val="-3"/>
                          <w:sz w:val="24"/>
                          <w:szCs w:val="24"/>
                          <w14:textOutline w14:w="9525">
                            <w14:solidFill>
                              <w14:schemeClr w14:val="bg1"/>
                            </w14:solidFill>
                            <w14:round/>
                          </w14:textOutline>
                        </w:rPr>
                        <w:t>资源</w:t>
                      </w:r>
                      <w:r>
                        <w:rPr>
                          <w:rFonts w:hint="eastAsia" w:ascii="宋体" w:hAnsi="宋体" w:eastAsia="宋体" w:cs="宋体"/>
                          <w:b w:val="0"/>
                          <w:bCs w:val="0"/>
                          <w:spacing w:val="-3"/>
                          <w:sz w:val="24"/>
                          <w:szCs w:val="24"/>
                          <w:lang w:val="en-US" w:eastAsia="zh-CN"/>
                          <w14:textOutline w14:w="9525">
                            <w14:solidFill>
                              <w14:schemeClr w14:val="bg1"/>
                            </w14:solidFill>
                            <w14:round/>
                          </w14:textOutline>
                        </w:rPr>
                        <w:t>调查断面图</w:t>
                      </w:r>
                    </w:p>
                    <w:p w14:paraId="65953973">
                      <w:pPr>
                        <w:spacing w:line="360" w:lineRule="auto"/>
                        <w:rPr>
                          <w:rFonts w:hint="eastAsia" w:ascii="宋体" w:hAnsi="宋体" w:eastAsia="宋体" w:cs="宋体"/>
                          <w:b w:val="0"/>
                          <w:bCs w:val="0"/>
                          <w:spacing w:val="-3"/>
                          <w:sz w:val="24"/>
                          <w:szCs w:val="24"/>
                          <w:lang w:val="en-US" w:eastAsia="zh-CN"/>
                          <w14:textOutline w14:w="9525">
                            <w14:solidFill>
                              <w14:schemeClr w14:val="bg1"/>
                            </w14:solidFill>
                            <w14:round/>
                          </w14:textOutline>
                        </w:rPr>
                      </w:pPr>
                      <w:r>
                        <w:rPr>
                          <w:rFonts w:ascii="宋体" w:hAnsi="宋体" w:eastAsia="宋体" w:cs="宋体"/>
                          <w:b w:val="0"/>
                          <w:bCs w:val="0"/>
                          <w:spacing w:val="-3"/>
                          <w:sz w:val="24"/>
                          <w:szCs w:val="24"/>
                          <w14:textOutline w14:w="9525">
                            <w14:solidFill>
                              <w14:schemeClr w14:val="bg1"/>
                            </w14:solidFill>
                            <w14:round/>
                          </w14:textOutline>
                        </w:rPr>
                        <w:t>鱼类早期资源调</w:t>
                      </w:r>
                      <w:r>
                        <w:rPr>
                          <w:rFonts w:hint="eastAsia" w:ascii="宋体" w:hAnsi="宋体" w:eastAsia="宋体" w:cs="宋体"/>
                          <w:b w:val="0"/>
                          <w:bCs w:val="0"/>
                          <w:spacing w:val="-3"/>
                          <w:sz w:val="24"/>
                          <w:szCs w:val="24"/>
                          <w:lang w:val="en-US" w:eastAsia="zh-CN"/>
                          <w14:textOutline w14:w="9525">
                            <w14:solidFill>
                              <w14:schemeClr w14:val="bg1"/>
                            </w14:solidFill>
                            <w14:round/>
                          </w14:textOutline>
                        </w:rPr>
                        <w:t>查断面</w:t>
                      </w:r>
                    </w:p>
                    <w:p w14:paraId="5CFAEA4A">
                      <w:pPr>
                        <w:spacing w:line="360" w:lineRule="auto"/>
                        <w:rPr>
                          <w:rFonts w:hint="eastAsia" w:ascii="宋体" w:hAnsi="宋体" w:eastAsia="宋体" w:cs="宋体"/>
                          <w:b w:val="0"/>
                          <w:bCs w:val="0"/>
                          <w:spacing w:val="-3"/>
                          <w:sz w:val="24"/>
                          <w:szCs w:val="24"/>
                          <w:lang w:val="en-US" w:eastAsia="zh-CN"/>
                          <w14:textOutline w14:w="9525">
                            <w14:solidFill>
                              <w14:schemeClr w14:val="bg1"/>
                            </w14:solidFill>
                            <w14:round/>
                          </w14:textOutline>
                        </w:rPr>
                      </w:pPr>
                      <w:r>
                        <w:rPr>
                          <w:rFonts w:ascii="宋体" w:hAnsi="宋体" w:eastAsia="宋体" w:cs="宋体"/>
                          <w:b w:val="0"/>
                          <w:bCs w:val="0"/>
                          <w:spacing w:val="-3"/>
                          <w:sz w:val="24"/>
                          <w:szCs w:val="24"/>
                          <w14:textOutline w14:w="9525">
                            <w14:solidFill>
                              <w14:schemeClr w14:val="bg1"/>
                            </w14:solidFill>
                            <w14:round/>
                          </w14:textOutline>
                        </w:rPr>
                        <w:t>工程水域补充调查</w:t>
                      </w:r>
                      <w:r>
                        <w:rPr>
                          <w:rFonts w:hint="eastAsia" w:ascii="宋体" w:hAnsi="宋体" w:eastAsia="宋体" w:cs="宋体"/>
                          <w:b w:val="0"/>
                          <w:bCs w:val="0"/>
                          <w:spacing w:val="-3"/>
                          <w:sz w:val="24"/>
                          <w:szCs w:val="24"/>
                          <w:lang w:val="en-US" w:eastAsia="zh-CN"/>
                          <w14:textOutline w14:w="9525">
                            <w14:solidFill>
                              <w14:schemeClr w14:val="bg1"/>
                            </w14:solidFill>
                            <w14:round/>
                          </w14:textOutline>
                        </w:rPr>
                        <w:t>断面</w:t>
                      </w:r>
                    </w:p>
                    <w:p w14:paraId="24F9F527">
                      <w:pPr>
                        <w:rPr>
                          <w:rFonts w:hint="eastAsia"/>
                          <w:lang w:val="en-US" w:eastAsia="zh-CN"/>
                        </w:rPr>
                      </w:pPr>
                    </w:p>
                  </w:txbxContent>
                </v:textbox>
              </v:shape>
            </w:pict>
          </mc:Fallback>
        </mc:AlternateContent>
      </w:r>
      <w:r>
        <w:rPr>
          <w:color w:val="auto"/>
          <w:sz w:val="24"/>
        </w:rPr>
        <mc:AlternateContent>
          <mc:Choice Requires="wps">
            <w:drawing>
              <wp:anchor distT="0" distB="0" distL="114300" distR="114300" simplePos="0" relativeHeight="251808768" behindDoc="0" locked="0" layoutInCell="1" allowOverlap="1">
                <wp:simplePos x="0" y="0"/>
                <wp:positionH relativeFrom="column">
                  <wp:posOffset>6596380</wp:posOffset>
                </wp:positionH>
                <wp:positionV relativeFrom="paragraph">
                  <wp:posOffset>3629025</wp:posOffset>
                </wp:positionV>
                <wp:extent cx="1926590" cy="1106805"/>
                <wp:effectExtent l="0" t="0" r="0" b="0"/>
                <wp:wrapNone/>
                <wp:docPr id="99" name="矩形 99"/>
                <wp:cNvGraphicFramePr/>
                <a:graphic xmlns:a="http://schemas.openxmlformats.org/drawingml/2006/main">
                  <a:graphicData uri="http://schemas.microsoft.com/office/word/2010/wordprocessingShape">
                    <wps:wsp>
                      <wps:cNvSpPr/>
                      <wps:spPr>
                        <a:xfrm>
                          <a:off x="7943850" y="4478655"/>
                          <a:ext cx="1926590" cy="110680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19.4pt;margin-top:285.75pt;height:87.15pt;width:151.7pt;z-index:251808768;v-text-anchor:middle;mso-width-relative:page;mso-height-relative:page;" filled="f" stroked="f" coordsize="21600,21600" o:gfxdata="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YawafbAAAADQEAAA8AAAAAAAAAAQAgAAAAIgAAAGRycy9kb3ducmV2LnhtbFBLAQIUABQAAAAI&#10;AIdO4kDO917SXAIAAJoEAAAOAAAAAAAAAAEAIAAAACoBAABkcnMvZTJvRG9jLnhtbFBLBQYAAAAA&#10;BgAGAFkBAAD4BQAAAAA=&#10;">
                <v:fill on="f" focussize="0,0"/>
                <v:stroke on="f" weight="2pt"/>
                <v:imagedata o:title=""/>
                <o:lock v:ext="edit" aspectratio="f"/>
              </v:rect>
            </w:pict>
          </mc:Fallback>
        </mc:AlternateContent>
      </w:r>
      <w:r>
        <w:rPr>
          <w:color w:val="auto"/>
        </w:rPr>
        <mc:AlternateContent>
          <mc:Choice Requires="wps">
            <w:drawing>
              <wp:anchor distT="0" distB="0" distL="114300" distR="114300" simplePos="0" relativeHeight="251706368" behindDoc="0" locked="0" layoutInCell="1" allowOverlap="1">
                <wp:simplePos x="0" y="0"/>
                <wp:positionH relativeFrom="column">
                  <wp:posOffset>7124700</wp:posOffset>
                </wp:positionH>
                <wp:positionV relativeFrom="paragraph">
                  <wp:posOffset>1227455</wp:posOffset>
                </wp:positionV>
                <wp:extent cx="1073785" cy="318135"/>
                <wp:effectExtent l="0" t="0" r="0" b="0"/>
                <wp:wrapNone/>
                <wp:docPr id="69" name="文本框 196"/>
                <wp:cNvGraphicFramePr/>
                <a:graphic xmlns:a="http://schemas.openxmlformats.org/drawingml/2006/main">
                  <a:graphicData uri="http://schemas.microsoft.com/office/word/2010/wordprocessingShape">
                    <wps:wsp>
                      <wps:cNvSpPr txBox="1"/>
                      <wps:spPr>
                        <a:xfrm>
                          <a:off x="0" y="0"/>
                          <a:ext cx="1073785" cy="318135"/>
                        </a:xfrm>
                        <a:prstGeom prst="rect">
                          <a:avLst/>
                        </a:prstGeom>
                        <a:noFill/>
                        <a:ln>
                          <a:noFill/>
                        </a:ln>
                      </wps:spPr>
                      <wps:txbx>
                        <w:txbxContent>
                          <w:p w14:paraId="3C9F9DEB">
                            <w:r>
                              <w:rPr>
                                <w:rFonts w:hint="eastAsia"/>
                              </w:rPr>
                              <w:t>0  0.5  1.0km</w:t>
                            </w:r>
                          </w:p>
                        </w:txbxContent>
                      </wps:txbx>
                      <wps:bodyPr wrap="square" upright="1"/>
                    </wps:wsp>
                  </a:graphicData>
                </a:graphic>
              </wp:anchor>
            </w:drawing>
          </mc:Choice>
          <mc:Fallback>
            <w:pict>
              <v:shape id="文本框 196" o:spid="_x0000_s1026" o:spt="202" type="#_x0000_t202" style="position:absolute;left:0pt;margin-left:561pt;margin-top:96.65pt;height:25.05pt;width:84.55pt;z-index:251706368;mso-width-relative:page;mso-height-relative:page;" filled="f" stroked="f" coordsize="21600,21600" o:gfxdata="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JYj7jZAAAADQEAAA8AAAAAAAAAAQAgAAAAIgAAAGRycy9kb3ducmV2LnhtbFBLAQIU&#10;ABQAAAAIAIdO4kBMPmbTuQEAAF8DAAAOAAAAAAAAAAEAIAAAACgBAABkcnMvZTJvRG9jLnhtbFBL&#10;BQYAAAAABgAGAFkBAABTBQAAAAA=&#10;">
                <v:fill on="f" focussize="0,0"/>
                <v:stroke on="f"/>
                <v:imagedata o:title=""/>
                <o:lock v:ext="edit" aspectratio="f"/>
                <v:textbox>
                  <w:txbxContent>
                    <w:p w14:paraId="3C9F9DEB">
                      <w:r>
                        <w:rPr>
                          <w:rFonts w:hint="eastAsia"/>
                        </w:rPr>
                        <w:t>0  0.5  1.0km</w:t>
                      </w:r>
                    </w:p>
                  </w:txbxContent>
                </v:textbox>
              </v:shape>
            </w:pict>
          </mc:Fallback>
        </mc:AlternateContent>
      </w:r>
      <w:r>
        <w:rPr>
          <w:color w:val="auto"/>
        </w:rPr>
        <mc:AlternateContent>
          <mc:Choice Requires="wps">
            <w:drawing>
              <wp:anchor distT="0" distB="0" distL="114300" distR="114300" simplePos="0" relativeHeight="251707392" behindDoc="0" locked="0" layoutInCell="1" allowOverlap="1">
                <wp:simplePos x="0" y="0"/>
                <wp:positionH relativeFrom="column">
                  <wp:posOffset>6274435</wp:posOffset>
                </wp:positionH>
                <wp:positionV relativeFrom="paragraph">
                  <wp:posOffset>2562225</wp:posOffset>
                </wp:positionV>
                <wp:extent cx="245110" cy="75565"/>
                <wp:effectExtent l="16510" t="19050" r="5080" b="38735"/>
                <wp:wrapNone/>
                <wp:docPr id="70" name="自选图形 197"/>
                <wp:cNvGraphicFramePr/>
                <a:graphic xmlns:a="http://schemas.openxmlformats.org/drawingml/2006/main">
                  <a:graphicData uri="http://schemas.microsoft.com/office/word/2010/wordprocessingShape">
                    <wps:wsp>
                      <wps:cNvSpPr/>
                      <wps:spPr>
                        <a:xfrm rot="-9960000">
                          <a:off x="0" y="0"/>
                          <a:ext cx="245110" cy="75565"/>
                        </a:xfrm>
                        <a:custGeom>
                          <a:avLst/>
                          <a:gdLst>
                            <a:gd name="txL" fmla="*/ 4500 w 21600"/>
                            <a:gd name="txT" fmla="*/ 4500 h 21600"/>
                            <a:gd name="txR" fmla="*/ 17100 w 21600"/>
                            <a:gd name="txB" fmla="*/ 17100 h 21600"/>
                          </a:gdLst>
                          <a:ahLst/>
                          <a:cxnLst>
                            <a:cxn ang="0">
                              <a:pos x="18900" y="10800"/>
                            </a:cxn>
                            <a:cxn ang="90">
                              <a:pos x="10800" y="21600"/>
                            </a:cxn>
                            <a:cxn ang="180">
                              <a:pos x="2700" y="10800"/>
                            </a:cxn>
                            <a:cxn ang="270">
                              <a:pos x="10800" y="0"/>
                            </a:cxn>
                          </a:cxnLst>
                          <a:rect l="txL" t="txT" r="txR" b="txB"/>
                          <a:pathLst>
                            <a:path w="21600" h="21600">
                              <a:moveTo>
                                <a:pt x="0" y="0"/>
                              </a:moveTo>
                              <a:lnTo>
                                <a:pt x="5400" y="21600"/>
                              </a:lnTo>
                              <a:lnTo>
                                <a:pt x="16200" y="21600"/>
                              </a:lnTo>
                              <a:lnTo>
                                <a:pt x="21600" y="0"/>
                              </a:lnTo>
                              <a:close/>
                            </a:path>
                          </a:pathLst>
                        </a:custGeom>
                        <a:noFill/>
                        <a:ln w="9525" cap="flat" cmpd="sng">
                          <a:solidFill>
                            <a:srgbClr val="FF0000"/>
                          </a:solidFill>
                          <a:prstDash val="solid"/>
                          <a:miter/>
                          <a:headEnd type="none" w="med" len="med"/>
                          <a:tailEnd type="none" w="med" len="med"/>
                        </a:ln>
                      </wps:spPr>
                      <wps:bodyPr wrap="square" upright="1"/>
                    </wps:wsp>
                  </a:graphicData>
                </a:graphic>
              </wp:anchor>
            </w:drawing>
          </mc:Choice>
          <mc:Fallback>
            <w:pict>
              <v:shape id="自选图形 197" o:spid="_x0000_s1026" o:spt="100" style="position:absolute;left:0pt;margin-left:494.05pt;margin-top:201.75pt;height:5.95pt;width:19.3pt;rotation:-10878976f;z-index:251707392;mso-width-relative:page;mso-height-relative:page;" filled="f" stroked="t" coordsize="21600,21600" o:gfxdata="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" path="m0,0l5400,21600,16200,21600,21600,0xe">
                <v:path o:connectlocs="18900,10800;10800,21600;2700,10800;10800,0" o:connectangles="0,0,0,0"/>
                <v:fill on="f" focussize="0,0"/>
                <v:stroke color="#FF0000" joinstyle="miter"/>
                <v:imagedata o:title=""/>
                <o:lock v:ext="edit" aspectratio="f"/>
              </v:shape>
            </w:pict>
          </mc:Fallback>
        </mc:AlternateContent>
      </w:r>
      <w:r>
        <w:rPr>
          <w:color w:val="auto"/>
        </w:rPr>
        <mc:AlternateContent>
          <mc:Choice Requires="wps">
            <w:drawing>
              <wp:anchor distT="0" distB="0" distL="114300" distR="114300" simplePos="0" relativeHeight="251705344" behindDoc="0" locked="0" layoutInCell="1" allowOverlap="1">
                <wp:simplePos x="0" y="0"/>
                <wp:positionH relativeFrom="column">
                  <wp:posOffset>7068185</wp:posOffset>
                </wp:positionH>
                <wp:positionV relativeFrom="paragraph">
                  <wp:posOffset>1205230</wp:posOffset>
                </wp:positionV>
                <wp:extent cx="1105535" cy="289560"/>
                <wp:effectExtent l="0" t="0" r="0" b="0"/>
                <wp:wrapNone/>
                <wp:docPr id="68" name="文本框 195"/>
                <wp:cNvGraphicFramePr/>
                <a:graphic xmlns:a="http://schemas.openxmlformats.org/drawingml/2006/main">
                  <a:graphicData uri="http://schemas.microsoft.com/office/word/2010/wordprocessingShape">
                    <wps:wsp>
                      <wps:cNvSpPr txBox="1"/>
                      <wps:spPr>
                        <a:xfrm>
                          <a:off x="0" y="0"/>
                          <a:ext cx="1105535" cy="289560"/>
                        </a:xfrm>
                        <a:prstGeom prst="rect">
                          <a:avLst/>
                        </a:prstGeom>
                        <a:noFill/>
                        <a:ln>
                          <a:noFill/>
                        </a:ln>
                      </wps:spPr>
                      <wps:txbx>
                        <w:txbxContent>
                          <w:p w14:paraId="08593546">
                            <w:pPr>
                              <w:rPr>
                                <w:rFonts w:hint="eastAsia"/>
                              </w:rPr>
                            </w:pPr>
                            <w:r>
                              <w:rPr>
                                <w:rFonts w:hint="eastAsia"/>
                              </w:rPr>
                              <w:drawing>
                                <wp:inline distT="0" distB="0" distL="114300" distR="114300">
                                  <wp:extent cx="922655" cy="197485"/>
                                  <wp:effectExtent l="0" t="0" r="10795" b="12065"/>
                                  <wp:docPr id="173" name="图片 293" descr="比例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293" descr="比例尺"/>
                                          <pic:cNvPicPr>
                                            <a:picLocks noChangeAspect="1"/>
                                          </pic:cNvPicPr>
                                        </pic:nvPicPr>
                                        <pic:blipFill>
                                          <a:blip r:embed="rId41"/>
                                          <a:stretch>
                                            <a:fillRect/>
                                          </a:stretch>
                                        </pic:blipFill>
                                        <pic:spPr>
                                          <a:xfrm rot="10800000">
                                            <a:off x="0" y="0"/>
                                            <a:ext cx="922655" cy="197485"/>
                                          </a:xfrm>
                                          <a:prstGeom prst="rect">
                                            <a:avLst/>
                                          </a:prstGeom>
                                          <a:noFill/>
                                          <a:ln>
                                            <a:noFill/>
                                          </a:ln>
                                        </pic:spPr>
                                      </pic:pic>
                                    </a:graphicData>
                                  </a:graphic>
                                </wp:inline>
                              </w:drawing>
                            </w:r>
                          </w:p>
                        </w:txbxContent>
                      </wps:txbx>
                      <wps:bodyPr wrap="none" upright="1">
                        <a:spAutoFit/>
                      </wps:bodyPr>
                    </wps:wsp>
                  </a:graphicData>
                </a:graphic>
              </wp:anchor>
            </w:drawing>
          </mc:Choice>
          <mc:Fallback>
            <w:pict>
              <v:shape id="文本框 195" o:spid="_x0000_s1026" o:spt="202" type="#_x0000_t202" style="position:absolute;left:0pt;margin-left:556.55pt;margin-top:94.9pt;height:22.8pt;width:87.05pt;mso-wrap-style:none;z-index:251705344;mso-width-relative:page;mso-height-relative:page;" filled="f" stroked="f" coordsize="21600,21600" o:gfxdata="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K3iHzXAAAADQEAAA8AAAAAAAAAAQAgAAAAIgAAAGRycy9kb3ducmV2&#10;LnhtbFBLAQIUABQAAAAIAIdO4kAuhzWYxAEAAHcDAAAOAAAAAAAAAAEAIAAAACYBAABkcnMvZTJv&#10;RG9jLnhtbFBLBQYAAAAABgAGAFkBAABcBQAAAAA=&#10;">
                <v:fill on="f" focussize="0,0"/>
                <v:stroke on="f"/>
                <v:imagedata o:title=""/>
                <o:lock v:ext="edit" aspectratio="f"/>
                <v:textbox style="mso-fit-shape-to-text:t;">
                  <w:txbxContent>
                    <w:p w14:paraId="08593546">
                      <w:pPr>
                        <w:rPr>
                          <w:rFonts w:hint="eastAsia"/>
                        </w:rPr>
                      </w:pPr>
                      <w:r>
                        <w:rPr>
                          <w:rFonts w:hint="eastAsia"/>
                        </w:rPr>
                        <w:drawing>
                          <wp:inline distT="0" distB="0" distL="114300" distR="114300">
                            <wp:extent cx="922655" cy="197485"/>
                            <wp:effectExtent l="0" t="0" r="10795" b="12065"/>
                            <wp:docPr id="173" name="图片 293" descr="比例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293" descr="比例尺"/>
                                    <pic:cNvPicPr>
                                      <a:picLocks noChangeAspect="1"/>
                                    </pic:cNvPicPr>
                                  </pic:nvPicPr>
                                  <pic:blipFill>
                                    <a:blip r:embed="rId41"/>
                                    <a:stretch>
                                      <a:fillRect/>
                                    </a:stretch>
                                  </pic:blipFill>
                                  <pic:spPr>
                                    <a:xfrm rot="10800000">
                                      <a:off x="0" y="0"/>
                                      <a:ext cx="922655" cy="197485"/>
                                    </a:xfrm>
                                    <a:prstGeom prst="rect">
                                      <a:avLst/>
                                    </a:prstGeom>
                                    <a:noFill/>
                                    <a:ln>
                                      <a:noFill/>
                                    </a:ln>
                                  </pic:spPr>
                                </pic:pic>
                              </a:graphicData>
                            </a:graphic>
                          </wp:inline>
                        </w:drawing>
                      </w:r>
                    </w:p>
                  </w:txbxContent>
                </v:textbox>
              </v:shape>
            </w:pict>
          </mc:Fallback>
        </mc:AlternateContent>
      </w:r>
      <w:r>
        <w:rPr>
          <w:color w:val="auto"/>
        </w:rPr>
        <mc:AlternateContent>
          <mc:Choice Requires="wps">
            <w:drawing>
              <wp:anchor distT="0" distB="0" distL="114300" distR="114300" simplePos="0" relativeHeight="251704320" behindDoc="0" locked="0" layoutInCell="1" allowOverlap="1">
                <wp:simplePos x="0" y="0"/>
                <wp:positionH relativeFrom="column">
                  <wp:posOffset>7232650</wp:posOffset>
                </wp:positionH>
                <wp:positionV relativeFrom="paragraph">
                  <wp:posOffset>382270</wp:posOffset>
                </wp:positionV>
                <wp:extent cx="847725" cy="883920"/>
                <wp:effectExtent l="0" t="0" r="0" b="0"/>
                <wp:wrapNone/>
                <wp:docPr id="67" name="文本框 194"/>
                <wp:cNvGraphicFramePr/>
                <a:graphic xmlns:a="http://schemas.openxmlformats.org/drawingml/2006/main">
                  <a:graphicData uri="http://schemas.microsoft.com/office/word/2010/wordprocessingShape">
                    <wps:wsp>
                      <wps:cNvSpPr txBox="1"/>
                      <wps:spPr>
                        <a:xfrm>
                          <a:off x="0" y="0"/>
                          <a:ext cx="847725" cy="883920"/>
                        </a:xfrm>
                        <a:prstGeom prst="rect">
                          <a:avLst/>
                        </a:prstGeom>
                        <a:noFill/>
                        <a:ln>
                          <a:noFill/>
                        </a:ln>
                      </wps:spPr>
                      <wps:txbx>
                        <w:txbxContent>
                          <w:p w14:paraId="5949AFED">
                            <w:pPr>
                              <w:rPr>
                                <w:rFonts w:hint="eastAsia"/>
                              </w:rPr>
                            </w:pPr>
                            <w:r>
                              <w:rPr>
                                <w:rFonts w:hint="eastAsia"/>
                              </w:rPr>
                              <w:drawing>
                                <wp:inline distT="0" distB="0" distL="114300" distR="114300">
                                  <wp:extent cx="664210" cy="664210"/>
                                  <wp:effectExtent l="0" t="0" r="2540" b="2540"/>
                                  <wp:docPr id="174" name="图片 292"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292" descr="淮南"/>
                                          <pic:cNvPicPr>
                                            <a:picLocks noChangeAspect="1"/>
                                          </pic:cNvPicPr>
                                        </pic:nvPicPr>
                                        <pic:blipFill>
                                          <a:blip r:embed="rId40"/>
                                          <a:stretch>
                                            <a:fillRect/>
                                          </a:stretch>
                                        </pic:blipFill>
                                        <pic:spPr>
                                          <a:xfrm>
                                            <a:off x="0" y="0"/>
                                            <a:ext cx="664210" cy="664210"/>
                                          </a:xfrm>
                                          <a:prstGeom prst="rect">
                                            <a:avLst/>
                                          </a:prstGeom>
                                          <a:noFill/>
                                          <a:ln>
                                            <a:noFill/>
                                          </a:ln>
                                        </pic:spPr>
                                      </pic:pic>
                                    </a:graphicData>
                                  </a:graphic>
                                </wp:inline>
                              </w:drawing>
                            </w:r>
                          </w:p>
                        </w:txbxContent>
                      </wps:txbx>
                      <wps:bodyPr wrap="none" upright="1">
                        <a:spAutoFit/>
                      </wps:bodyPr>
                    </wps:wsp>
                  </a:graphicData>
                </a:graphic>
              </wp:anchor>
            </w:drawing>
          </mc:Choice>
          <mc:Fallback>
            <w:pict>
              <v:shape id="文本框 194" o:spid="_x0000_s1026" o:spt="202" type="#_x0000_t202" style="position:absolute;left:0pt;margin-left:569.5pt;margin-top:30.1pt;height:69.6pt;width:66.75pt;mso-wrap-style:none;z-index:251704320;mso-width-relative:page;mso-height-relative:page;" filled="f" stroked="f" coordsize="21600,21600" o:gfxdata="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Lcv3tgAAAAMAQAADwAAAAAAAAABACAAAAAiAAAAZHJzL2Rvd25y&#10;ZXYueG1sUEsBAhQAFAAAAAgAh07iQC7z85nFAQAAdgMAAA4AAAAAAAAAAQAgAAAAJwEAAGRycy9l&#10;Mm9Eb2MueG1sUEsFBgAAAAAGAAYAWQEAAF4FAAAAAA==&#10;">
                <v:fill on="f" focussize="0,0"/>
                <v:stroke on="f"/>
                <v:imagedata o:title=""/>
                <o:lock v:ext="edit" aspectratio="f"/>
                <v:textbox style="mso-fit-shape-to-text:t;">
                  <w:txbxContent>
                    <w:p w14:paraId="5949AFED">
                      <w:pPr>
                        <w:rPr>
                          <w:rFonts w:hint="eastAsia"/>
                        </w:rPr>
                      </w:pPr>
                      <w:r>
                        <w:rPr>
                          <w:rFonts w:hint="eastAsia"/>
                        </w:rPr>
                        <w:drawing>
                          <wp:inline distT="0" distB="0" distL="114300" distR="114300">
                            <wp:extent cx="664210" cy="664210"/>
                            <wp:effectExtent l="0" t="0" r="2540" b="2540"/>
                            <wp:docPr id="174" name="图片 292"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292" descr="淮南"/>
                                    <pic:cNvPicPr>
                                      <a:picLocks noChangeAspect="1"/>
                                    </pic:cNvPicPr>
                                  </pic:nvPicPr>
                                  <pic:blipFill>
                                    <a:blip r:embed="rId40"/>
                                    <a:stretch>
                                      <a:fillRect/>
                                    </a:stretch>
                                  </pic:blipFill>
                                  <pic:spPr>
                                    <a:xfrm>
                                      <a:off x="0" y="0"/>
                                      <a:ext cx="664210" cy="664210"/>
                                    </a:xfrm>
                                    <a:prstGeom prst="rect">
                                      <a:avLst/>
                                    </a:prstGeom>
                                    <a:noFill/>
                                    <a:ln>
                                      <a:noFill/>
                                    </a:ln>
                                  </pic:spPr>
                                </pic:pic>
                              </a:graphicData>
                            </a:graphic>
                          </wp:inline>
                        </w:drawing>
                      </w:r>
                    </w:p>
                  </w:txbxContent>
                </v:textbox>
              </v:shape>
            </w:pict>
          </mc:Fallback>
        </mc:AlternateContent>
      </w:r>
    </w:p>
    <w:p w14:paraId="527518E5">
      <w:pPr>
        <w:pStyle w:val="237"/>
        <w:spacing w:line="400" w:lineRule="exact"/>
        <w:ind w:firstLine="0" w:firstLineChars="0"/>
        <w:jc w:val="center"/>
        <w:rPr>
          <w:rFonts w:eastAsia="黑体" w:cs="Times New Roman"/>
          <w:color w:val="auto"/>
        </w:rPr>
      </w:pPr>
      <w:r>
        <w:rPr>
          <w:rFonts w:eastAsia="黑体" w:cs="Times New Roman"/>
          <w:color w:val="auto"/>
        </w:rPr>
        <w:t>图4.2-</w:t>
      </w:r>
      <w:r>
        <w:rPr>
          <w:rFonts w:hint="eastAsia" w:eastAsia="黑体" w:cs="Times New Roman"/>
          <w:color w:val="auto"/>
        </w:rPr>
        <w:t xml:space="preserve">7 </w:t>
      </w:r>
      <w:r>
        <w:rPr>
          <w:rFonts w:eastAsia="黑体" w:cs="Times New Roman"/>
          <w:color w:val="auto"/>
        </w:rPr>
        <w:t xml:space="preserve"> 水生生物调查断面设置图</w:t>
      </w:r>
    </w:p>
    <w:p w14:paraId="6E26D71F">
      <w:pPr>
        <w:pStyle w:val="237"/>
        <w:ind w:firstLine="480"/>
        <w:rPr>
          <w:rFonts w:hint="eastAsia"/>
          <w:color w:val="auto"/>
        </w:rPr>
        <w:sectPr>
          <w:pgSz w:w="16840" w:h="11907" w:orient="landscape"/>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0F42AAEE">
      <w:pPr>
        <w:pStyle w:val="5"/>
        <w:numPr>
          <w:ilvl w:val="0"/>
          <w:numId w:val="0"/>
        </w:numPr>
        <w:rPr>
          <w:color w:val="auto"/>
        </w:rPr>
      </w:pPr>
      <w:r>
        <w:rPr>
          <w:rFonts w:hint="eastAsia"/>
          <w:color w:val="auto"/>
        </w:rPr>
        <w:t>4.2.5.3鱼类</w:t>
      </w:r>
      <w:r>
        <w:rPr>
          <w:color w:val="auto"/>
        </w:rPr>
        <w:t>区系、</w:t>
      </w:r>
      <w:r>
        <w:rPr>
          <w:rFonts w:hint="eastAsia"/>
          <w:color w:val="auto"/>
        </w:rPr>
        <w:t>群落</w:t>
      </w:r>
      <w:r>
        <w:rPr>
          <w:color w:val="auto"/>
        </w:rPr>
        <w:t>结构</w:t>
      </w:r>
      <w:r>
        <w:rPr>
          <w:rFonts w:hint="eastAsia"/>
          <w:color w:val="auto"/>
        </w:rPr>
        <w:t>及</w:t>
      </w:r>
      <w:r>
        <w:rPr>
          <w:color w:val="auto"/>
        </w:rPr>
        <w:t>资源量现状与评价</w:t>
      </w:r>
    </w:p>
    <w:p w14:paraId="55956627">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4.2.5.3.1 物种组成</w:t>
      </w:r>
    </w:p>
    <w:p w14:paraId="1343689F">
      <w:pPr>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2023年调查结果显示，</w:t>
      </w:r>
      <w:r>
        <w:rPr>
          <w:rFonts w:hint="eastAsia"/>
          <w:color w:val="auto"/>
          <w:sz w:val="24"/>
          <w:szCs w:val="28"/>
          <w:lang w:eastAsia="zh-CN"/>
        </w:rPr>
        <w:t>保护区</w:t>
      </w:r>
      <w:r>
        <w:rPr>
          <w:rFonts w:ascii="Times New Roman" w:hAnsi="Times New Roman" w:eastAsia="宋体"/>
          <w:color w:val="auto"/>
          <w:sz w:val="24"/>
          <w:szCs w:val="28"/>
        </w:rPr>
        <w:t>采集鉴定共采集鱼类29种，隶属于4目6科20属</w:t>
      </w:r>
      <w:r>
        <w:rPr>
          <w:rFonts w:hint="eastAsia"/>
          <w:color w:val="auto"/>
          <w:sz w:val="24"/>
          <w:szCs w:val="28"/>
          <w:lang w:eastAsia="zh-CN"/>
        </w:rPr>
        <w:t>（</w:t>
      </w:r>
      <w:r>
        <w:rPr>
          <w:rFonts w:ascii="Times New Roman" w:hAnsi="Times New Roman" w:eastAsia="宋体"/>
          <w:color w:val="auto"/>
          <w:sz w:val="24"/>
          <w:szCs w:val="28"/>
        </w:rPr>
        <w:t>表4.2</w:t>
      </w:r>
      <w:r>
        <w:rPr>
          <w:rFonts w:hint="eastAsia" w:ascii="Times New Roman" w:hAnsi="Times New Roman" w:eastAsia="宋体"/>
          <w:color w:val="auto"/>
          <w:sz w:val="24"/>
          <w:szCs w:val="28"/>
          <w:lang w:val="en-US" w:eastAsia="zh-CN"/>
        </w:rPr>
        <w:t>-23</w:t>
      </w:r>
      <w:r>
        <w:rPr>
          <w:rFonts w:ascii="Times New Roman" w:hAnsi="Times New Roman" w:eastAsia="宋体"/>
          <w:color w:val="auto"/>
          <w:sz w:val="24"/>
          <w:szCs w:val="28"/>
        </w:rPr>
        <w:t>)。</w:t>
      </w:r>
    </w:p>
    <w:p w14:paraId="5C992EB5">
      <w:pPr>
        <w:spacing w:line="400" w:lineRule="exact"/>
        <w:jc w:val="center"/>
        <w:rPr>
          <w:rFonts w:ascii="Times New Roman" w:hAnsi="Times New Roman" w:eastAsia="黑体" w:cs="Times New Roman"/>
          <w:color w:val="auto"/>
          <w:sz w:val="24"/>
          <w:szCs w:val="21"/>
          <w:lang w:val="en-US" w:eastAsia="zh-CN"/>
        </w:rPr>
      </w:pPr>
      <w:r>
        <w:rPr>
          <w:rFonts w:ascii="Times New Roman" w:hAnsi="Times New Roman" w:eastAsia="黑体" w:cs="Times New Roman"/>
          <w:color w:val="auto"/>
          <w:sz w:val="24"/>
          <w:szCs w:val="21"/>
          <w:lang w:val="en-US" w:eastAsia="zh-CN"/>
        </w:rPr>
        <w:t>表4.</w:t>
      </w:r>
      <w:r>
        <w:rPr>
          <w:rFonts w:hint="eastAsia" w:ascii="Times New Roman" w:hAnsi="Times New Roman" w:eastAsia="黑体" w:cs="Times New Roman"/>
          <w:color w:val="auto"/>
          <w:sz w:val="24"/>
          <w:szCs w:val="21"/>
          <w:lang w:val="en-US" w:eastAsia="zh-CN"/>
        </w:rPr>
        <w:t>2-23</w:t>
      </w:r>
      <w:r>
        <w:rPr>
          <w:rFonts w:ascii="Times New Roman" w:hAnsi="Times New Roman" w:eastAsia="黑体" w:cs="Times New Roman"/>
          <w:color w:val="auto"/>
          <w:sz w:val="24"/>
          <w:szCs w:val="21"/>
          <w:lang w:val="en-US" w:eastAsia="zh-CN"/>
        </w:rPr>
        <w:t xml:space="preserve">  2023年度保护区鱼类群落组成</w:t>
      </w:r>
    </w:p>
    <w:tbl>
      <w:tblPr>
        <w:tblStyle w:val="53"/>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01"/>
        <w:gridCol w:w="1391"/>
        <w:gridCol w:w="1391"/>
      </w:tblGrid>
      <w:tr w14:paraId="68B21D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501" w:type="pct"/>
            <w:tcBorders>
              <w:tl2br w:val="nil"/>
              <w:tr2bl w:val="nil"/>
            </w:tcBorders>
            <w:noWrap/>
            <w:vAlign w:val="center"/>
          </w:tcPr>
          <w:p w14:paraId="19CA4D3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物种</w:t>
            </w:r>
          </w:p>
        </w:tc>
        <w:tc>
          <w:tcPr>
            <w:tcW w:w="749" w:type="pct"/>
            <w:tcBorders>
              <w:tl2br w:val="nil"/>
              <w:tr2bl w:val="nil"/>
            </w:tcBorders>
            <w:noWrap/>
            <w:vAlign w:val="center"/>
          </w:tcPr>
          <w:p w14:paraId="0D9384A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繁殖期</w:t>
            </w:r>
          </w:p>
        </w:tc>
        <w:tc>
          <w:tcPr>
            <w:tcW w:w="749" w:type="pct"/>
            <w:tcBorders>
              <w:tl2br w:val="nil"/>
              <w:tr2bl w:val="nil"/>
            </w:tcBorders>
            <w:noWrap/>
            <w:vAlign w:val="center"/>
          </w:tcPr>
          <w:p w14:paraId="63E8CF02">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索饵期</w:t>
            </w:r>
          </w:p>
        </w:tc>
      </w:tr>
      <w:tr w14:paraId="5AC4F5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3501" w:type="pct"/>
            <w:tcBorders>
              <w:tl2br w:val="nil"/>
              <w:tr2bl w:val="nil"/>
            </w:tcBorders>
            <w:noWrap/>
            <w:vAlign w:val="center"/>
          </w:tcPr>
          <w:p w14:paraId="56711F6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鲱形目Clupeiformes</w:t>
            </w:r>
          </w:p>
        </w:tc>
        <w:tc>
          <w:tcPr>
            <w:tcW w:w="749" w:type="pct"/>
            <w:tcBorders>
              <w:tl2br w:val="nil"/>
              <w:tr2bl w:val="nil"/>
            </w:tcBorders>
            <w:noWrap/>
            <w:vAlign w:val="center"/>
          </w:tcPr>
          <w:p w14:paraId="0D429769">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4BDC09BA">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26B4F7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27407634">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鳀科Engraulidae</w:t>
            </w:r>
          </w:p>
        </w:tc>
        <w:tc>
          <w:tcPr>
            <w:tcW w:w="749" w:type="pct"/>
            <w:tcBorders>
              <w:tl2br w:val="nil"/>
              <w:tr2bl w:val="nil"/>
            </w:tcBorders>
            <w:noWrap/>
            <w:vAlign w:val="center"/>
          </w:tcPr>
          <w:p w14:paraId="2F3F2C47">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539C0E4C">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160DE8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41AF090E">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鲚属</w:t>
            </w:r>
            <w:r>
              <w:rPr>
                <w:rFonts w:hint="default" w:ascii="Times New Roman" w:hAnsi="Times New Roman" w:eastAsia="宋体"/>
                <w:i/>
                <w:iCs/>
                <w:color w:val="auto"/>
                <w:kern w:val="0"/>
                <w:sz w:val="21"/>
                <w:szCs w:val="21"/>
                <w:lang w:bidi="ar"/>
              </w:rPr>
              <w:t xml:space="preserve">Coilia </w:t>
            </w:r>
          </w:p>
        </w:tc>
        <w:tc>
          <w:tcPr>
            <w:tcW w:w="749" w:type="pct"/>
            <w:tcBorders>
              <w:tl2br w:val="nil"/>
              <w:tr2bl w:val="nil"/>
            </w:tcBorders>
            <w:noWrap/>
            <w:vAlign w:val="center"/>
          </w:tcPr>
          <w:p w14:paraId="1F96601D">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03F58E3F">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10E7FE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67420C11">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刀鲚</w:t>
            </w:r>
            <w:r>
              <w:rPr>
                <w:rFonts w:hint="default" w:ascii="Times New Roman" w:hAnsi="Times New Roman" w:eastAsia="宋体"/>
                <w:i/>
                <w:iCs/>
                <w:color w:val="auto"/>
                <w:kern w:val="0"/>
                <w:sz w:val="21"/>
                <w:szCs w:val="21"/>
                <w:lang w:bidi="ar"/>
              </w:rPr>
              <w:t>Coilia nasus</w:t>
            </w:r>
          </w:p>
        </w:tc>
        <w:tc>
          <w:tcPr>
            <w:tcW w:w="749" w:type="pct"/>
            <w:tcBorders>
              <w:tl2br w:val="nil"/>
              <w:tr2bl w:val="nil"/>
            </w:tcBorders>
            <w:noWrap/>
            <w:vAlign w:val="center"/>
          </w:tcPr>
          <w:p w14:paraId="0D12D41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0A02B8E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221562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566CCEDB">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鲤形目Cypriniformes</w:t>
            </w:r>
          </w:p>
        </w:tc>
        <w:tc>
          <w:tcPr>
            <w:tcW w:w="749" w:type="pct"/>
            <w:tcBorders>
              <w:tl2br w:val="nil"/>
              <w:tr2bl w:val="nil"/>
            </w:tcBorders>
            <w:noWrap/>
            <w:vAlign w:val="center"/>
          </w:tcPr>
          <w:p w14:paraId="25E72D91">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1B1745D2">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1AB29F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45B93B2B">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鲤科Cyprinidae</w:t>
            </w:r>
          </w:p>
        </w:tc>
        <w:tc>
          <w:tcPr>
            <w:tcW w:w="749" w:type="pct"/>
            <w:tcBorders>
              <w:tl2br w:val="nil"/>
              <w:tr2bl w:val="nil"/>
            </w:tcBorders>
            <w:noWrap/>
            <w:vAlign w:val="center"/>
          </w:tcPr>
          <w:p w14:paraId="241A41A4">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570ECAB7">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7EDAAF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37FCB8E4">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鳊属</w:t>
            </w:r>
            <w:r>
              <w:rPr>
                <w:rFonts w:hint="default" w:ascii="Times New Roman" w:hAnsi="Times New Roman" w:eastAsia="宋体"/>
                <w:b/>
                <w:bCs/>
                <w:i/>
                <w:iCs/>
                <w:color w:val="auto"/>
                <w:kern w:val="0"/>
                <w:sz w:val="21"/>
                <w:szCs w:val="21"/>
                <w:lang w:bidi="ar"/>
              </w:rPr>
              <w:t xml:space="preserve">Parabramis </w:t>
            </w:r>
          </w:p>
        </w:tc>
        <w:tc>
          <w:tcPr>
            <w:tcW w:w="749" w:type="pct"/>
            <w:tcBorders>
              <w:tl2br w:val="nil"/>
              <w:tr2bl w:val="nil"/>
            </w:tcBorders>
            <w:noWrap/>
            <w:vAlign w:val="center"/>
          </w:tcPr>
          <w:p w14:paraId="2351A2D2">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111E9272">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315F2D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29C720A3">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鳊</w:t>
            </w:r>
            <w:r>
              <w:rPr>
                <w:rFonts w:hint="default" w:ascii="Times New Roman" w:hAnsi="Times New Roman" w:eastAsia="宋体"/>
                <w:i/>
                <w:iCs/>
                <w:color w:val="auto"/>
                <w:kern w:val="0"/>
                <w:sz w:val="21"/>
                <w:szCs w:val="21"/>
                <w:lang w:bidi="ar"/>
              </w:rPr>
              <w:t xml:space="preserve">Parabramis </w:t>
            </w:r>
            <w:r>
              <w:rPr>
                <w:rFonts w:hint="eastAsia"/>
                <w:i/>
                <w:iCs/>
                <w:color w:val="auto"/>
                <w:kern w:val="0"/>
                <w:sz w:val="21"/>
                <w:szCs w:val="21"/>
                <w:lang w:eastAsia="zh-CN" w:bidi="ar"/>
              </w:rPr>
              <w:t>pekinensis</w:t>
            </w:r>
          </w:p>
        </w:tc>
        <w:tc>
          <w:tcPr>
            <w:tcW w:w="749" w:type="pct"/>
            <w:tcBorders>
              <w:tl2br w:val="nil"/>
              <w:tr2bl w:val="nil"/>
            </w:tcBorders>
            <w:noWrap/>
            <w:vAlign w:val="center"/>
          </w:tcPr>
          <w:p w14:paraId="34734BD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61F4F86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1AE72D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50F5EC8C">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鲌属</w:t>
            </w:r>
            <w:r>
              <w:rPr>
                <w:rFonts w:hint="default" w:ascii="Times New Roman" w:hAnsi="Times New Roman" w:eastAsia="宋体"/>
                <w:b/>
                <w:bCs/>
                <w:i/>
                <w:iCs/>
                <w:color w:val="auto"/>
                <w:kern w:val="0"/>
                <w:sz w:val="21"/>
                <w:szCs w:val="21"/>
                <w:lang w:bidi="ar"/>
              </w:rPr>
              <w:t>Culte</w:t>
            </w:r>
            <w:r>
              <w:rPr>
                <w:rFonts w:hint="default" w:ascii="Times New Roman" w:hAnsi="Times New Roman" w:eastAsia="宋体"/>
                <w:b/>
                <w:bCs/>
                <w:color w:val="auto"/>
                <w:kern w:val="0"/>
                <w:sz w:val="21"/>
                <w:szCs w:val="21"/>
                <w:lang w:bidi="ar"/>
              </w:rPr>
              <w:t>r</w:t>
            </w:r>
          </w:p>
        </w:tc>
        <w:tc>
          <w:tcPr>
            <w:tcW w:w="749" w:type="pct"/>
            <w:tcBorders>
              <w:tl2br w:val="nil"/>
              <w:tr2bl w:val="nil"/>
            </w:tcBorders>
            <w:noWrap/>
            <w:vAlign w:val="center"/>
          </w:tcPr>
          <w:p w14:paraId="1E6BC9D2">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5676D25E">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42D533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23EE647D">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翘嘴鲌</w:t>
            </w:r>
            <w:r>
              <w:rPr>
                <w:rFonts w:hint="default" w:ascii="Times New Roman" w:hAnsi="Times New Roman" w:eastAsia="宋体"/>
                <w:i/>
                <w:iCs/>
                <w:color w:val="auto"/>
                <w:kern w:val="0"/>
                <w:sz w:val="21"/>
                <w:szCs w:val="21"/>
                <w:lang w:bidi="ar"/>
              </w:rPr>
              <w:t>Culter alburnus</w:t>
            </w:r>
          </w:p>
        </w:tc>
        <w:tc>
          <w:tcPr>
            <w:tcW w:w="749" w:type="pct"/>
            <w:tcBorders>
              <w:tl2br w:val="nil"/>
              <w:tr2bl w:val="nil"/>
            </w:tcBorders>
            <w:noWrap/>
            <w:vAlign w:val="center"/>
          </w:tcPr>
          <w:p w14:paraId="208B175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0E10290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738D4E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0D44B84B">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达氏鲌</w:t>
            </w:r>
            <w:r>
              <w:rPr>
                <w:rFonts w:hint="default" w:ascii="Times New Roman" w:hAnsi="Times New Roman" w:eastAsia="宋体"/>
                <w:i/>
                <w:iCs/>
                <w:color w:val="auto"/>
                <w:kern w:val="0"/>
                <w:sz w:val="21"/>
                <w:szCs w:val="21"/>
                <w:lang w:bidi="ar"/>
              </w:rPr>
              <w:t>Culter dabryi</w:t>
            </w:r>
          </w:p>
        </w:tc>
        <w:tc>
          <w:tcPr>
            <w:tcW w:w="749" w:type="pct"/>
            <w:tcBorders>
              <w:tl2br w:val="nil"/>
              <w:tr2bl w:val="nil"/>
            </w:tcBorders>
            <w:noWrap/>
            <w:vAlign w:val="center"/>
          </w:tcPr>
          <w:p w14:paraId="000919D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4129067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0451E3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6895EC71">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蒙古鲌</w:t>
            </w:r>
            <w:r>
              <w:rPr>
                <w:rFonts w:hint="default" w:ascii="Times New Roman" w:hAnsi="Times New Roman" w:eastAsia="宋体"/>
                <w:i/>
                <w:iCs/>
                <w:color w:val="auto"/>
                <w:kern w:val="0"/>
                <w:sz w:val="21"/>
                <w:szCs w:val="21"/>
                <w:lang w:bidi="ar"/>
              </w:rPr>
              <w:t>Culter monggolicus</w:t>
            </w:r>
          </w:p>
        </w:tc>
        <w:tc>
          <w:tcPr>
            <w:tcW w:w="749" w:type="pct"/>
            <w:tcBorders>
              <w:tl2br w:val="nil"/>
              <w:tr2bl w:val="nil"/>
            </w:tcBorders>
            <w:noWrap/>
            <w:vAlign w:val="center"/>
          </w:tcPr>
          <w:p w14:paraId="2E82A00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53C42C8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4730DF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0BEF5293">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䱗属</w:t>
            </w:r>
            <w:r>
              <w:rPr>
                <w:rFonts w:hint="default" w:ascii="Times New Roman" w:hAnsi="Times New Roman" w:eastAsia="宋体"/>
                <w:b/>
                <w:bCs/>
                <w:i/>
                <w:iCs/>
                <w:color w:val="auto"/>
                <w:kern w:val="0"/>
                <w:sz w:val="21"/>
                <w:szCs w:val="21"/>
                <w:lang w:bidi="ar"/>
              </w:rPr>
              <w:t xml:space="preserve">Hemiculter </w:t>
            </w:r>
          </w:p>
        </w:tc>
        <w:tc>
          <w:tcPr>
            <w:tcW w:w="749" w:type="pct"/>
            <w:tcBorders>
              <w:tl2br w:val="nil"/>
              <w:tr2bl w:val="nil"/>
            </w:tcBorders>
            <w:noWrap/>
            <w:vAlign w:val="center"/>
          </w:tcPr>
          <w:p w14:paraId="67B9EC33">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5950160A">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55C784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345B1949">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贝氏䱗</w:t>
            </w:r>
            <w:r>
              <w:rPr>
                <w:rFonts w:hint="default" w:ascii="Times New Roman" w:hAnsi="Times New Roman" w:eastAsia="宋体"/>
                <w:i/>
                <w:iCs/>
                <w:color w:val="auto"/>
                <w:kern w:val="0"/>
                <w:sz w:val="21"/>
                <w:szCs w:val="21"/>
                <w:lang w:bidi="ar"/>
              </w:rPr>
              <w:t>Hemiculter bleekeri</w:t>
            </w:r>
          </w:p>
        </w:tc>
        <w:tc>
          <w:tcPr>
            <w:tcW w:w="749" w:type="pct"/>
            <w:tcBorders>
              <w:tl2br w:val="nil"/>
              <w:tr2bl w:val="nil"/>
            </w:tcBorders>
            <w:noWrap/>
            <w:vAlign w:val="center"/>
          </w:tcPr>
          <w:p w14:paraId="636A2B1E">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4CFDD5B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4547A3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26B99651">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䱗</w:t>
            </w:r>
            <w:r>
              <w:rPr>
                <w:rFonts w:hint="default" w:ascii="Times New Roman" w:hAnsi="Times New Roman" w:eastAsia="宋体"/>
                <w:i/>
                <w:iCs/>
                <w:color w:val="auto"/>
                <w:kern w:val="0"/>
                <w:sz w:val="21"/>
                <w:szCs w:val="21"/>
                <w:lang w:bidi="ar"/>
              </w:rPr>
              <w:t>Hemiculter leuciscul</w:t>
            </w:r>
          </w:p>
        </w:tc>
        <w:tc>
          <w:tcPr>
            <w:tcW w:w="749" w:type="pct"/>
            <w:tcBorders>
              <w:tl2br w:val="nil"/>
              <w:tr2bl w:val="nil"/>
            </w:tcBorders>
            <w:noWrap/>
            <w:vAlign w:val="center"/>
          </w:tcPr>
          <w:p w14:paraId="5FD5177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62EAAB9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1B53CA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61458552">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赤眼鳟属</w:t>
            </w:r>
            <w:r>
              <w:rPr>
                <w:rFonts w:hint="default" w:ascii="Times New Roman" w:hAnsi="Times New Roman" w:eastAsia="宋体"/>
                <w:b/>
                <w:bCs/>
                <w:i/>
                <w:iCs/>
                <w:color w:val="auto"/>
                <w:kern w:val="0"/>
                <w:sz w:val="21"/>
                <w:szCs w:val="21"/>
                <w:lang w:bidi="ar"/>
              </w:rPr>
              <w:t xml:space="preserve">Squaliobarbus </w:t>
            </w:r>
          </w:p>
        </w:tc>
        <w:tc>
          <w:tcPr>
            <w:tcW w:w="749" w:type="pct"/>
            <w:tcBorders>
              <w:tl2br w:val="nil"/>
              <w:tr2bl w:val="nil"/>
            </w:tcBorders>
            <w:noWrap/>
            <w:vAlign w:val="center"/>
          </w:tcPr>
          <w:p w14:paraId="57EB0AD9">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480859DA">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32D1F5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5B4A4962">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赤眼鳟</w:t>
            </w:r>
            <w:r>
              <w:rPr>
                <w:rFonts w:hint="default" w:ascii="Times New Roman" w:hAnsi="Times New Roman" w:eastAsia="宋体"/>
                <w:i/>
                <w:iCs/>
                <w:color w:val="auto"/>
                <w:kern w:val="0"/>
                <w:sz w:val="21"/>
                <w:szCs w:val="21"/>
                <w:lang w:bidi="ar"/>
              </w:rPr>
              <w:t>Squaliobarbus curriculus</w:t>
            </w:r>
          </w:p>
        </w:tc>
        <w:tc>
          <w:tcPr>
            <w:tcW w:w="749" w:type="pct"/>
            <w:tcBorders>
              <w:tl2br w:val="nil"/>
              <w:tr2bl w:val="nil"/>
            </w:tcBorders>
            <w:noWrap/>
            <w:vAlign w:val="center"/>
          </w:tcPr>
          <w:p w14:paraId="013476CF">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32CC0C8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0DBE64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28C0D77F">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鲫属</w:t>
            </w:r>
            <w:r>
              <w:rPr>
                <w:rFonts w:hint="default" w:ascii="Times New Roman" w:hAnsi="Times New Roman" w:eastAsia="宋体"/>
                <w:b/>
                <w:bCs/>
                <w:i/>
                <w:iCs/>
                <w:color w:val="auto"/>
                <w:kern w:val="0"/>
                <w:sz w:val="21"/>
                <w:szCs w:val="21"/>
                <w:lang w:bidi="ar"/>
              </w:rPr>
              <w:t>Carassius</w:t>
            </w:r>
          </w:p>
        </w:tc>
        <w:tc>
          <w:tcPr>
            <w:tcW w:w="749" w:type="pct"/>
            <w:tcBorders>
              <w:tl2br w:val="nil"/>
              <w:tr2bl w:val="nil"/>
            </w:tcBorders>
            <w:noWrap/>
            <w:vAlign w:val="center"/>
          </w:tcPr>
          <w:p w14:paraId="18E2FF7F">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637574F5">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1DCFF1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7E58AF40">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鲫</w:t>
            </w:r>
            <w:r>
              <w:rPr>
                <w:rFonts w:hint="default" w:ascii="Times New Roman" w:hAnsi="Times New Roman" w:eastAsia="宋体"/>
                <w:i/>
                <w:iCs/>
                <w:color w:val="auto"/>
                <w:kern w:val="0"/>
                <w:sz w:val="21"/>
                <w:szCs w:val="21"/>
                <w:lang w:bidi="ar"/>
              </w:rPr>
              <w:t>Carassius auratus</w:t>
            </w:r>
          </w:p>
        </w:tc>
        <w:tc>
          <w:tcPr>
            <w:tcW w:w="749" w:type="pct"/>
            <w:tcBorders>
              <w:tl2br w:val="nil"/>
              <w:tr2bl w:val="nil"/>
            </w:tcBorders>
            <w:noWrap/>
            <w:vAlign w:val="center"/>
          </w:tcPr>
          <w:p w14:paraId="48D2C9E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04AA687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3C9839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3758561B">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鲤属</w:t>
            </w:r>
            <w:r>
              <w:rPr>
                <w:rFonts w:hint="default" w:ascii="Times New Roman" w:hAnsi="Times New Roman" w:eastAsia="宋体"/>
                <w:b/>
                <w:bCs/>
                <w:i/>
                <w:iCs/>
                <w:color w:val="auto"/>
                <w:kern w:val="0"/>
                <w:sz w:val="21"/>
                <w:szCs w:val="21"/>
                <w:lang w:bidi="ar"/>
              </w:rPr>
              <w:t>Cyprinus</w:t>
            </w:r>
          </w:p>
        </w:tc>
        <w:tc>
          <w:tcPr>
            <w:tcW w:w="749" w:type="pct"/>
            <w:tcBorders>
              <w:tl2br w:val="nil"/>
              <w:tr2bl w:val="nil"/>
            </w:tcBorders>
            <w:noWrap/>
            <w:vAlign w:val="center"/>
          </w:tcPr>
          <w:p w14:paraId="1DFAB759">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6D293B07">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09909D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395DA3E6">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鲤</w:t>
            </w:r>
            <w:r>
              <w:rPr>
                <w:rFonts w:hint="default" w:ascii="Times New Roman" w:hAnsi="Times New Roman" w:eastAsia="宋体"/>
                <w:i/>
                <w:iCs/>
                <w:color w:val="auto"/>
                <w:kern w:val="0"/>
                <w:sz w:val="21"/>
                <w:szCs w:val="21"/>
                <w:lang w:bidi="ar"/>
              </w:rPr>
              <w:t>Cyprinus carpio</w:t>
            </w:r>
          </w:p>
        </w:tc>
        <w:tc>
          <w:tcPr>
            <w:tcW w:w="749" w:type="pct"/>
            <w:tcBorders>
              <w:tl2br w:val="nil"/>
              <w:tr2bl w:val="nil"/>
            </w:tcBorders>
            <w:noWrap/>
            <w:vAlign w:val="center"/>
          </w:tcPr>
          <w:p w14:paraId="7F7AAF3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400985AD">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5BBFEC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0B49E515">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鲢属</w:t>
            </w:r>
            <w:r>
              <w:rPr>
                <w:rFonts w:hint="default" w:ascii="Times New Roman" w:hAnsi="Times New Roman" w:eastAsia="宋体"/>
                <w:b/>
                <w:bCs/>
                <w:i/>
                <w:iCs/>
                <w:color w:val="auto"/>
                <w:kern w:val="0"/>
                <w:sz w:val="21"/>
                <w:szCs w:val="21"/>
                <w:lang w:bidi="ar"/>
              </w:rPr>
              <w:t>Hypophthalmichthys</w:t>
            </w:r>
          </w:p>
        </w:tc>
        <w:tc>
          <w:tcPr>
            <w:tcW w:w="749" w:type="pct"/>
            <w:tcBorders>
              <w:tl2br w:val="nil"/>
              <w:tr2bl w:val="nil"/>
            </w:tcBorders>
            <w:noWrap/>
            <w:vAlign w:val="center"/>
          </w:tcPr>
          <w:p w14:paraId="63961BA9">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42D4F780">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72A021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2420EAB7">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鲢</w:t>
            </w:r>
            <w:r>
              <w:rPr>
                <w:rFonts w:hint="default" w:ascii="Times New Roman" w:hAnsi="Times New Roman" w:eastAsia="宋体"/>
                <w:i/>
                <w:iCs/>
                <w:color w:val="auto"/>
                <w:kern w:val="0"/>
                <w:sz w:val="21"/>
                <w:szCs w:val="21"/>
                <w:lang w:bidi="ar"/>
              </w:rPr>
              <w:t>Hypophthalmichthys molitrix</w:t>
            </w:r>
          </w:p>
        </w:tc>
        <w:tc>
          <w:tcPr>
            <w:tcW w:w="749" w:type="pct"/>
            <w:tcBorders>
              <w:tl2br w:val="nil"/>
              <w:tr2bl w:val="nil"/>
            </w:tcBorders>
            <w:noWrap/>
            <w:vAlign w:val="center"/>
          </w:tcPr>
          <w:p w14:paraId="2BE9778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5EF27B9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61B56C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37D6DF2F">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蛇鮈属</w:t>
            </w:r>
            <w:r>
              <w:rPr>
                <w:rFonts w:hint="default" w:ascii="Times New Roman" w:hAnsi="Times New Roman" w:eastAsia="宋体"/>
                <w:b/>
                <w:bCs/>
                <w:i/>
                <w:iCs/>
                <w:color w:val="auto"/>
                <w:kern w:val="0"/>
                <w:sz w:val="21"/>
                <w:szCs w:val="21"/>
                <w:lang w:bidi="ar"/>
              </w:rPr>
              <w:t>Saurogobio</w:t>
            </w:r>
          </w:p>
        </w:tc>
        <w:tc>
          <w:tcPr>
            <w:tcW w:w="749" w:type="pct"/>
            <w:tcBorders>
              <w:tl2br w:val="nil"/>
              <w:tr2bl w:val="nil"/>
            </w:tcBorders>
            <w:noWrap/>
            <w:vAlign w:val="center"/>
          </w:tcPr>
          <w:p w14:paraId="6719DABB">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13F18CFB">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6BA854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69606094">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蛇鮈</w:t>
            </w:r>
            <w:r>
              <w:rPr>
                <w:rFonts w:hint="default" w:ascii="Times New Roman" w:hAnsi="Times New Roman" w:eastAsia="宋体"/>
                <w:i/>
                <w:iCs/>
                <w:color w:val="auto"/>
                <w:kern w:val="0"/>
                <w:sz w:val="21"/>
                <w:szCs w:val="21"/>
                <w:lang w:bidi="ar"/>
              </w:rPr>
              <w:t xml:space="preserve">Saurogobio dabryi </w:t>
            </w:r>
          </w:p>
        </w:tc>
        <w:tc>
          <w:tcPr>
            <w:tcW w:w="749" w:type="pct"/>
            <w:tcBorders>
              <w:tl2br w:val="nil"/>
              <w:tr2bl w:val="nil"/>
            </w:tcBorders>
            <w:noWrap/>
            <w:vAlign w:val="center"/>
          </w:tcPr>
          <w:p w14:paraId="29E86EC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4733589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18398D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7F97CAD2">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长蛇鮈</w:t>
            </w:r>
            <w:r>
              <w:rPr>
                <w:rFonts w:hint="default" w:ascii="Times New Roman" w:hAnsi="Times New Roman" w:eastAsia="宋体"/>
                <w:i/>
                <w:iCs/>
                <w:color w:val="auto"/>
                <w:kern w:val="0"/>
                <w:sz w:val="21"/>
                <w:szCs w:val="21"/>
                <w:lang w:bidi="ar"/>
              </w:rPr>
              <w:t xml:space="preserve">Saurogobio dumerili </w:t>
            </w:r>
          </w:p>
        </w:tc>
        <w:tc>
          <w:tcPr>
            <w:tcW w:w="749" w:type="pct"/>
            <w:tcBorders>
              <w:tl2br w:val="nil"/>
              <w:tr2bl w:val="nil"/>
            </w:tcBorders>
            <w:noWrap/>
            <w:vAlign w:val="center"/>
          </w:tcPr>
          <w:p w14:paraId="791D681F">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05AAF3F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6DB558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67A8906F">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似鳊属</w:t>
            </w:r>
            <w:r>
              <w:rPr>
                <w:rFonts w:hint="default" w:ascii="Times New Roman" w:hAnsi="Times New Roman" w:eastAsia="宋体"/>
                <w:b/>
                <w:bCs/>
                <w:i/>
                <w:iCs/>
                <w:color w:val="auto"/>
                <w:kern w:val="0"/>
                <w:sz w:val="21"/>
                <w:szCs w:val="21"/>
                <w:lang w:bidi="ar"/>
              </w:rPr>
              <w:t>Pseudobrama</w:t>
            </w:r>
          </w:p>
        </w:tc>
        <w:tc>
          <w:tcPr>
            <w:tcW w:w="749" w:type="pct"/>
            <w:tcBorders>
              <w:tl2br w:val="nil"/>
              <w:tr2bl w:val="nil"/>
            </w:tcBorders>
            <w:noWrap/>
            <w:vAlign w:val="center"/>
          </w:tcPr>
          <w:p w14:paraId="4C3DF208">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2B114C81">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33C4C6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21D3E3F9">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似鳊</w:t>
            </w:r>
            <w:r>
              <w:rPr>
                <w:rFonts w:hint="default" w:ascii="Times New Roman" w:hAnsi="Times New Roman" w:eastAsia="宋体"/>
                <w:i/>
                <w:iCs/>
                <w:color w:val="auto"/>
                <w:kern w:val="0"/>
                <w:sz w:val="21"/>
                <w:szCs w:val="21"/>
                <w:lang w:bidi="ar"/>
              </w:rPr>
              <w:t>Pseudobrama simoni</w:t>
            </w:r>
          </w:p>
        </w:tc>
        <w:tc>
          <w:tcPr>
            <w:tcW w:w="749" w:type="pct"/>
            <w:tcBorders>
              <w:tl2br w:val="nil"/>
              <w:tr2bl w:val="nil"/>
            </w:tcBorders>
            <w:noWrap/>
            <w:vAlign w:val="center"/>
          </w:tcPr>
          <w:p w14:paraId="661422E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3543671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4A14F7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21FC77D7">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似鱎属</w:t>
            </w:r>
            <w:r>
              <w:rPr>
                <w:rFonts w:hint="default" w:ascii="Times New Roman" w:hAnsi="Times New Roman" w:eastAsia="宋体"/>
                <w:b/>
                <w:bCs/>
                <w:i/>
                <w:iCs/>
                <w:color w:val="auto"/>
                <w:kern w:val="0"/>
                <w:sz w:val="21"/>
                <w:szCs w:val="21"/>
                <w:lang w:bidi="ar"/>
              </w:rPr>
              <w:t xml:space="preserve">Toxabramis </w:t>
            </w:r>
          </w:p>
        </w:tc>
        <w:tc>
          <w:tcPr>
            <w:tcW w:w="749" w:type="pct"/>
            <w:tcBorders>
              <w:tl2br w:val="nil"/>
              <w:tr2bl w:val="nil"/>
            </w:tcBorders>
            <w:noWrap/>
            <w:vAlign w:val="center"/>
          </w:tcPr>
          <w:p w14:paraId="7817CB65">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6B1B2561">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6C3173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7583AF65">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似鱎</w:t>
            </w:r>
            <w:r>
              <w:rPr>
                <w:rFonts w:hint="default" w:ascii="Times New Roman" w:hAnsi="Times New Roman" w:eastAsia="宋体"/>
                <w:i/>
                <w:iCs/>
                <w:color w:val="auto"/>
                <w:kern w:val="0"/>
                <w:sz w:val="21"/>
                <w:szCs w:val="21"/>
                <w:lang w:bidi="ar"/>
              </w:rPr>
              <w:t xml:space="preserve">Toxabramis swinhonis </w:t>
            </w:r>
          </w:p>
        </w:tc>
        <w:tc>
          <w:tcPr>
            <w:tcW w:w="749" w:type="pct"/>
            <w:tcBorders>
              <w:tl2br w:val="nil"/>
              <w:tr2bl w:val="nil"/>
            </w:tcBorders>
            <w:noWrap/>
            <w:vAlign w:val="center"/>
          </w:tcPr>
          <w:p w14:paraId="1721AD5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15A4D564">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77CE19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524D0B30">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银鮈属</w:t>
            </w:r>
            <w:r>
              <w:rPr>
                <w:rFonts w:hint="default" w:ascii="Times New Roman" w:hAnsi="Times New Roman" w:eastAsia="宋体"/>
                <w:b/>
                <w:bCs/>
                <w:i/>
                <w:iCs/>
                <w:color w:val="auto"/>
                <w:kern w:val="0"/>
                <w:sz w:val="21"/>
                <w:szCs w:val="21"/>
                <w:lang w:bidi="ar"/>
              </w:rPr>
              <w:t>Squalidus</w:t>
            </w:r>
            <w:r>
              <w:rPr>
                <w:rFonts w:hint="default" w:ascii="Times New Roman" w:hAnsi="Times New Roman" w:eastAsia="宋体"/>
                <w:b/>
                <w:bCs/>
                <w:color w:val="auto"/>
                <w:kern w:val="0"/>
                <w:sz w:val="21"/>
                <w:szCs w:val="21"/>
                <w:lang w:bidi="ar"/>
              </w:rPr>
              <w:t xml:space="preserve"> </w:t>
            </w:r>
          </w:p>
        </w:tc>
        <w:tc>
          <w:tcPr>
            <w:tcW w:w="749" w:type="pct"/>
            <w:tcBorders>
              <w:tl2br w:val="nil"/>
              <w:tr2bl w:val="nil"/>
            </w:tcBorders>
            <w:noWrap/>
            <w:vAlign w:val="center"/>
          </w:tcPr>
          <w:p w14:paraId="421D3C1E">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4104F25F">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42B6C5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38C2BFA5">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银鮈</w:t>
            </w:r>
            <w:r>
              <w:rPr>
                <w:rFonts w:hint="default" w:ascii="Times New Roman" w:hAnsi="Times New Roman" w:eastAsia="宋体"/>
                <w:i/>
                <w:iCs/>
                <w:color w:val="auto"/>
                <w:kern w:val="0"/>
                <w:sz w:val="21"/>
                <w:szCs w:val="21"/>
                <w:lang w:bidi="ar"/>
              </w:rPr>
              <w:t>Squalidus argentatus</w:t>
            </w:r>
          </w:p>
        </w:tc>
        <w:tc>
          <w:tcPr>
            <w:tcW w:w="749" w:type="pct"/>
            <w:tcBorders>
              <w:tl2br w:val="nil"/>
              <w:tr2bl w:val="nil"/>
            </w:tcBorders>
            <w:noWrap/>
            <w:vAlign w:val="center"/>
          </w:tcPr>
          <w:p w14:paraId="04D63E9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265B2D0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2BC617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0F5946B6">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鱊属</w:t>
            </w:r>
            <w:r>
              <w:rPr>
                <w:rFonts w:hint="default" w:ascii="Times New Roman" w:hAnsi="Times New Roman" w:eastAsia="宋体"/>
                <w:b/>
                <w:bCs/>
                <w:i/>
                <w:iCs/>
                <w:color w:val="auto"/>
                <w:kern w:val="0"/>
                <w:sz w:val="21"/>
                <w:szCs w:val="21"/>
                <w:lang w:bidi="ar"/>
              </w:rPr>
              <w:t xml:space="preserve">Acheilognathus </w:t>
            </w:r>
          </w:p>
        </w:tc>
        <w:tc>
          <w:tcPr>
            <w:tcW w:w="749" w:type="pct"/>
            <w:tcBorders>
              <w:tl2br w:val="nil"/>
              <w:tr2bl w:val="nil"/>
            </w:tcBorders>
            <w:noWrap/>
            <w:vAlign w:val="center"/>
          </w:tcPr>
          <w:p w14:paraId="6E667FEF">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16E738D3">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553549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4C30F958">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大鳍鱊</w:t>
            </w:r>
            <w:r>
              <w:rPr>
                <w:rFonts w:hint="default" w:ascii="Times New Roman" w:hAnsi="Times New Roman" w:eastAsia="宋体"/>
                <w:i/>
                <w:iCs/>
                <w:color w:val="auto"/>
                <w:kern w:val="0"/>
                <w:sz w:val="21"/>
                <w:szCs w:val="21"/>
                <w:lang w:bidi="ar"/>
              </w:rPr>
              <w:t>Acheilognathus macro</w:t>
            </w:r>
          </w:p>
        </w:tc>
        <w:tc>
          <w:tcPr>
            <w:tcW w:w="749" w:type="pct"/>
            <w:tcBorders>
              <w:tl2br w:val="nil"/>
              <w:tr2bl w:val="nil"/>
            </w:tcBorders>
            <w:noWrap/>
            <w:vAlign w:val="center"/>
          </w:tcPr>
          <w:p w14:paraId="13E34B3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51E2BBD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006F36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2C73370A">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兴凯鱊</w:t>
            </w:r>
            <w:r>
              <w:rPr>
                <w:rFonts w:hint="default" w:ascii="Times New Roman" w:hAnsi="Times New Roman" w:eastAsia="宋体"/>
                <w:i/>
                <w:iCs/>
                <w:color w:val="auto"/>
                <w:kern w:val="0"/>
                <w:sz w:val="21"/>
                <w:szCs w:val="21"/>
                <w:lang w:bidi="ar"/>
              </w:rPr>
              <w:t>Acheilognathus chankaensis</w:t>
            </w:r>
          </w:p>
        </w:tc>
        <w:tc>
          <w:tcPr>
            <w:tcW w:w="749" w:type="pct"/>
            <w:tcBorders>
              <w:tl2br w:val="nil"/>
              <w:tr2bl w:val="nil"/>
            </w:tcBorders>
            <w:noWrap/>
            <w:vAlign w:val="center"/>
          </w:tcPr>
          <w:p w14:paraId="2EDB1AF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1AD0980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73941B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426AB437">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原鲌属</w:t>
            </w:r>
            <w:r>
              <w:rPr>
                <w:rFonts w:hint="default" w:ascii="Times New Roman" w:hAnsi="Times New Roman" w:eastAsia="宋体"/>
                <w:b/>
                <w:bCs/>
                <w:i/>
                <w:iCs/>
                <w:color w:val="auto"/>
                <w:kern w:val="0"/>
                <w:sz w:val="21"/>
                <w:szCs w:val="21"/>
                <w:lang w:bidi="ar"/>
              </w:rPr>
              <w:t>Cultrichthys</w:t>
            </w:r>
          </w:p>
        </w:tc>
        <w:tc>
          <w:tcPr>
            <w:tcW w:w="749" w:type="pct"/>
            <w:tcBorders>
              <w:tl2br w:val="nil"/>
              <w:tr2bl w:val="nil"/>
            </w:tcBorders>
            <w:noWrap/>
            <w:vAlign w:val="center"/>
          </w:tcPr>
          <w:p w14:paraId="643465B2">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519730E6">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5F5765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63FBFE69">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红鳍原鲌</w:t>
            </w:r>
            <w:r>
              <w:rPr>
                <w:rFonts w:hint="default" w:ascii="Times New Roman" w:hAnsi="Times New Roman" w:eastAsia="宋体"/>
                <w:i/>
                <w:iCs/>
                <w:color w:val="auto"/>
                <w:kern w:val="0"/>
                <w:sz w:val="21"/>
                <w:szCs w:val="21"/>
                <w:lang w:bidi="ar"/>
              </w:rPr>
              <w:t>Cultrichthys erythro</w:t>
            </w:r>
          </w:p>
        </w:tc>
        <w:tc>
          <w:tcPr>
            <w:tcW w:w="749" w:type="pct"/>
            <w:tcBorders>
              <w:tl2br w:val="nil"/>
              <w:tr2bl w:val="nil"/>
            </w:tcBorders>
            <w:noWrap/>
            <w:vAlign w:val="center"/>
          </w:tcPr>
          <w:p w14:paraId="52CB415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2C8C0D3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0539F7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5F938102">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鳅科Cobitidae</w:t>
            </w:r>
          </w:p>
        </w:tc>
        <w:tc>
          <w:tcPr>
            <w:tcW w:w="749" w:type="pct"/>
            <w:tcBorders>
              <w:tl2br w:val="nil"/>
              <w:tr2bl w:val="nil"/>
            </w:tcBorders>
            <w:noWrap/>
            <w:vAlign w:val="center"/>
          </w:tcPr>
          <w:p w14:paraId="4A375FBC">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3AF02069">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1FB51F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175A66D6">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泥鳅属</w:t>
            </w:r>
            <w:r>
              <w:rPr>
                <w:rFonts w:hint="default" w:ascii="Times New Roman" w:hAnsi="Times New Roman" w:eastAsia="宋体"/>
                <w:b/>
                <w:bCs/>
                <w:i/>
                <w:iCs/>
                <w:color w:val="auto"/>
                <w:kern w:val="0"/>
                <w:sz w:val="21"/>
                <w:szCs w:val="21"/>
                <w:lang w:bidi="ar"/>
              </w:rPr>
              <w:t>Misgurnus</w:t>
            </w:r>
          </w:p>
        </w:tc>
        <w:tc>
          <w:tcPr>
            <w:tcW w:w="749" w:type="pct"/>
            <w:tcBorders>
              <w:tl2br w:val="nil"/>
              <w:tr2bl w:val="nil"/>
            </w:tcBorders>
            <w:noWrap/>
            <w:vAlign w:val="center"/>
          </w:tcPr>
          <w:p w14:paraId="320A06DF">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1EC50D38">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0E0B0E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trPr>
        <w:tc>
          <w:tcPr>
            <w:tcW w:w="3501" w:type="pct"/>
            <w:tcBorders>
              <w:tl2br w:val="nil"/>
              <w:tr2bl w:val="nil"/>
            </w:tcBorders>
            <w:noWrap/>
            <w:vAlign w:val="center"/>
          </w:tcPr>
          <w:p w14:paraId="1BFE77BB">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泥鳅</w:t>
            </w:r>
            <w:r>
              <w:rPr>
                <w:rFonts w:hint="default" w:ascii="Times New Roman" w:hAnsi="Times New Roman" w:eastAsia="宋体"/>
                <w:i/>
                <w:iCs/>
                <w:color w:val="auto"/>
                <w:kern w:val="0"/>
                <w:sz w:val="21"/>
                <w:szCs w:val="21"/>
                <w:lang w:bidi="ar"/>
              </w:rPr>
              <w:t>Misgurnus anguillicaudatus</w:t>
            </w:r>
          </w:p>
        </w:tc>
        <w:tc>
          <w:tcPr>
            <w:tcW w:w="749" w:type="pct"/>
            <w:tcBorders>
              <w:tl2br w:val="nil"/>
              <w:tr2bl w:val="nil"/>
            </w:tcBorders>
            <w:noWrap/>
            <w:vAlign w:val="center"/>
          </w:tcPr>
          <w:p w14:paraId="29EB4A1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535803E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10DF7D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3923BDCE">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鲇形目Siluriformes</w:t>
            </w:r>
          </w:p>
        </w:tc>
        <w:tc>
          <w:tcPr>
            <w:tcW w:w="749" w:type="pct"/>
            <w:tcBorders>
              <w:tl2br w:val="nil"/>
              <w:tr2bl w:val="nil"/>
            </w:tcBorders>
            <w:noWrap/>
            <w:vAlign w:val="center"/>
          </w:tcPr>
          <w:p w14:paraId="77C66706">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23685D9E">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1DD30D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3EA72057">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鲿科</w:t>
            </w:r>
            <w:r>
              <w:rPr>
                <w:rFonts w:hint="default" w:ascii="Times New Roman" w:hAnsi="Times New Roman" w:eastAsia="宋体"/>
                <w:b/>
                <w:bCs/>
                <w:i/>
                <w:iCs/>
                <w:color w:val="auto"/>
                <w:kern w:val="0"/>
                <w:sz w:val="21"/>
                <w:szCs w:val="21"/>
                <w:lang w:bidi="ar"/>
              </w:rPr>
              <w:t>Bagridae</w:t>
            </w:r>
          </w:p>
        </w:tc>
        <w:tc>
          <w:tcPr>
            <w:tcW w:w="749" w:type="pct"/>
            <w:tcBorders>
              <w:tl2br w:val="nil"/>
              <w:tr2bl w:val="nil"/>
            </w:tcBorders>
            <w:noWrap/>
            <w:vAlign w:val="center"/>
          </w:tcPr>
          <w:p w14:paraId="08C79E8C">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63F6B70F">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2B580D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68ECFAE5">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黄颡鱼属</w:t>
            </w:r>
            <w:r>
              <w:rPr>
                <w:rFonts w:hint="default" w:ascii="Times New Roman" w:hAnsi="Times New Roman" w:eastAsia="宋体"/>
                <w:b/>
                <w:bCs/>
                <w:i/>
                <w:iCs/>
                <w:color w:val="auto"/>
                <w:kern w:val="0"/>
                <w:sz w:val="21"/>
                <w:szCs w:val="21"/>
                <w:lang w:bidi="ar"/>
              </w:rPr>
              <w:t>Pelteobagrus</w:t>
            </w:r>
          </w:p>
        </w:tc>
        <w:tc>
          <w:tcPr>
            <w:tcW w:w="749" w:type="pct"/>
            <w:tcBorders>
              <w:tl2br w:val="nil"/>
              <w:tr2bl w:val="nil"/>
            </w:tcBorders>
            <w:noWrap/>
            <w:vAlign w:val="center"/>
          </w:tcPr>
          <w:p w14:paraId="4087B197">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70AB28AA">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789F19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4441A073">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黄颡鱼</w:t>
            </w:r>
            <w:r>
              <w:rPr>
                <w:rFonts w:hint="default" w:ascii="Times New Roman" w:hAnsi="Times New Roman" w:eastAsia="宋体"/>
                <w:i/>
                <w:iCs/>
                <w:color w:val="auto"/>
                <w:kern w:val="0"/>
                <w:sz w:val="21"/>
                <w:szCs w:val="21"/>
                <w:lang w:bidi="ar"/>
              </w:rPr>
              <w:t>Pseudobagrus fulvidr</w:t>
            </w:r>
          </w:p>
        </w:tc>
        <w:tc>
          <w:tcPr>
            <w:tcW w:w="749" w:type="pct"/>
            <w:tcBorders>
              <w:tl2br w:val="nil"/>
              <w:tr2bl w:val="nil"/>
            </w:tcBorders>
            <w:noWrap/>
            <w:vAlign w:val="center"/>
          </w:tcPr>
          <w:p w14:paraId="735961D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05314637">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62563B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1A8AE494">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光泽黄颡鱼</w:t>
            </w:r>
            <w:r>
              <w:rPr>
                <w:rFonts w:hint="default" w:ascii="Times New Roman" w:hAnsi="Times New Roman" w:eastAsia="宋体"/>
                <w:i/>
                <w:iCs/>
                <w:color w:val="auto"/>
                <w:kern w:val="0"/>
                <w:sz w:val="21"/>
                <w:szCs w:val="21"/>
                <w:lang w:bidi="ar"/>
              </w:rPr>
              <w:t xml:space="preserve">Pelteobagrus </w:t>
            </w:r>
            <w:r>
              <w:rPr>
                <w:rFonts w:hint="eastAsia"/>
                <w:i/>
                <w:iCs/>
                <w:color w:val="auto"/>
                <w:kern w:val="0"/>
                <w:sz w:val="21"/>
                <w:szCs w:val="21"/>
                <w:lang w:eastAsia="zh-CN" w:bidi="ar"/>
              </w:rPr>
              <w:t>nitidus</w:t>
            </w:r>
          </w:p>
        </w:tc>
        <w:tc>
          <w:tcPr>
            <w:tcW w:w="749" w:type="pct"/>
            <w:tcBorders>
              <w:tl2br w:val="nil"/>
              <w:tr2bl w:val="nil"/>
            </w:tcBorders>
            <w:noWrap/>
            <w:vAlign w:val="center"/>
          </w:tcPr>
          <w:p w14:paraId="7845B71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1278A41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56BAF7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29FCDF18">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长须黄颡鱼</w:t>
            </w:r>
            <w:r>
              <w:rPr>
                <w:rFonts w:hint="default" w:ascii="Times New Roman" w:hAnsi="Times New Roman" w:eastAsia="宋体"/>
                <w:i/>
                <w:iCs/>
                <w:color w:val="auto"/>
                <w:kern w:val="0"/>
                <w:sz w:val="21"/>
                <w:szCs w:val="21"/>
                <w:lang w:bidi="ar"/>
              </w:rPr>
              <w:t xml:space="preserve">Pelteobagrus eupogon </w:t>
            </w:r>
          </w:p>
        </w:tc>
        <w:tc>
          <w:tcPr>
            <w:tcW w:w="749" w:type="pct"/>
            <w:tcBorders>
              <w:tl2br w:val="nil"/>
              <w:tr2bl w:val="nil"/>
            </w:tcBorders>
            <w:noWrap/>
            <w:vAlign w:val="center"/>
          </w:tcPr>
          <w:p w14:paraId="04C7A5E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29E71DDF">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4EA882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41777BCF">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拟鲿属</w:t>
            </w:r>
            <w:r>
              <w:rPr>
                <w:rFonts w:hint="default" w:ascii="Times New Roman" w:hAnsi="Times New Roman" w:eastAsia="宋体"/>
                <w:b/>
                <w:bCs/>
                <w:i/>
                <w:iCs/>
                <w:color w:val="auto"/>
                <w:kern w:val="0"/>
                <w:sz w:val="21"/>
                <w:szCs w:val="21"/>
                <w:lang w:bidi="ar"/>
              </w:rPr>
              <w:t xml:space="preserve">Pseudobagrus </w:t>
            </w:r>
          </w:p>
        </w:tc>
        <w:tc>
          <w:tcPr>
            <w:tcW w:w="749" w:type="pct"/>
            <w:tcBorders>
              <w:tl2br w:val="nil"/>
              <w:tr2bl w:val="nil"/>
            </w:tcBorders>
            <w:noWrap/>
            <w:vAlign w:val="center"/>
          </w:tcPr>
          <w:p w14:paraId="3E8A3B81">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3FCF359E">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0716D4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7CE24597">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圆尾拟鲿</w:t>
            </w:r>
            <w:r>
              <w:rPr>
                <w:rFonts w:hint="default" w:ascii="Times New Roman" w:hAnsi="Times New Roman" w:eastAsia="宋体"/>
                <w:i/>
                <w:iCs/>
                <w:color w:val="auto"/>
                <w:kern w:val="0"/>
                <w:sz w:val="21"/>
                <w:szCs w:val="21"/>
                <w:lang w:bidi="ar"/>
              </w:rPr>
              <w:t>Pseudobagrus tenuis</w:t>
            </w:r>
          </w:p>
        </w:tc>
        <w:tc>
          <w:tcPr>
            <w:tcW w:w="749" w:type="pct"/>
            <w:tcBorders>
              <w:tl2br w:val="nil"/>
              <w:tr2bl w:val="nil"/>
            </w:tcBorders>
            <w:noWrap/>
            <w:vAlign w:val="center"/>
          </w:tcPr>
          <w:p w14:paraId="4789558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725848AE">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65A6EF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4B42B71A">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条纹拟鲿</w:t>
            </w:r>
            <w:r>
              <w:rPr>
                <w:rFonts w:hint="default" w:ascii="Times New Roman" w:hAnsi="Times New Roman" w:eastAsia="宋体"/>
                <w:i/>
                <w:iCs/>
                <w:color w:val="auto"/>
                <w:kern w:val="0"/>
                <w:sz w:val="21"/>
                <w:szCs w:val="21"/>
                <w:lang w:bidi="ar"/>
              </w:rPr>
              <w:t>Pseudobagrus tenuis</w:t>
            </w:r>
          </w:p>
        </w:tc>
        <w:tc>
          <w:tcPr>
            <w:tcW w:w="749" w:type="pct"/>
            <w:tcBorders>
              <w:tl2br w:val="nil"/>
              <w:tr2bl w:val="nil"/>
            </w:tcBorders>
            <w:noWrap/>
            <w:vAlign w:val="center"/>
          </w:tcPr>
          <w:p w14:paraId="4E57E6A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46B55A90">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0D3C31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79C41417">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切尾拟鲿</w:t>
            </w:r>
            <w:r>
              <w:rPr>
                <w:rFonts w:hint="default" w:ascii="Times New Roman" w:hAnsi="Times New Roman" w:eastAsia="宋体"/>
                <w:i/>
                <w:iCs/>
                <w:color w:val="auto"/>
                <w:kern w:val="0"/>
                <w:sz w:val="21"/>
                <w:szCs w:val="21"/>
                <w:lang w:bidi="ar"/>
              </w:rPr>
              <w:t>Pseudobagrus truncatus</w:t>
            </w:r>
          </w:p>
        </w:tc>
        <w:tc>
          <w:tcPr>
            <w:tcW w:w="749" w:type="pct"/>
            <w:tcBorders>
              <w:tl2br w:val="nil"/>
              <w:tr2bl w:val="nil"/>
            </w:tcBorders>
            <w:noWrap/>
            <w:vAlign w:val="center"/>
          </w:tcPr>
          <w:p w14:paraId="7E2F017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73B36325">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41B8C2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5B8E9EA3">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鮠属</w:t>
            </w:r>
            <w:r>
              <w:rPr>
                <w:rFonts w:hint="default" w:ascii="Times New Roman" w:hAnsi="Times New Roman" w:eastAsia="宋体"/>
                <w:b/>
                <w:bCs/>
                <w:i/>
                <w:iCs/>
                <w:color w:val="auto"/>
                <w:kern w:val="0"/>
                <w:sz w:val="21"/>
                <w:szCs w:val="21"/>
                <w:lang w:bidi="ar"/>
              </w:rPr>
              <w:t xml:space="preserve">Leiocassis </w:t>
            </w:r>
          </w:p>
        </w:tc>
        <w:tc>
          <w:tcPr>
            <w:tcW w:w="749" w:type="pct"/>
            <w:tcBorders>
              <w:tl2br w:val="nil"/>
              <w:tr2bl w:val="nil"/>
            </w:tcBorders>
            <w:noWrap/>
            <w:vAlign w:val="center"/>
          </w:tcPr>
          <w:p w14:paraId="380F5006">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17C70314">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36CBDD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1D0CAFE5">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长吻鮠</w:t>
            </w:r>
            <w:r>
              <w:rPr>
                <w:rFonts w:hint="default" w:ascii="Times New Roman" w:hAnsi="Times New Roman" w:eastAsia="宋体"/>
                <w:i/>
                <w:iCs/>
                <w:color w:val="auto"/>
                <w:kern w:val="0"/>
                <w:sz w:val="21"/>
                <w:szCs w:val="21"/>
                <w:lang w:bidi="ar"/>
              </w:rPr>
              <w:t>Leiocassis longirostris</w:t>
            </w:r>
          </w:p>
        </w:tc>
        <w:tc>
          <w:tcPr>
            <w:tcW w:w="749" w:type="pct"/>
            <w:tcBorders>
              <w:tl2br w:val="nil"/>
              <w:tr2bl w:val="nil"/>
            </w:tcBorders>
            <w:noWrap/>
            <w:vAlign w:val="center"/>
          </w:tcPr>
          <w:p w14:paraId="719C774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1E4ED0CD">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70E192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31B9DE32">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鲇科Siluridae</w:t>
            </w:r>
          </w:p>
        </w:tc>
        <w:tc>
          <w:tcPr>
            <w:tcW w:w="749" w:type="pct"/>
            <w:tcBorders>
              <w:tl2br w:val="nil"/>
              <w:tr2bl w:val="nil"/>
            </w:tcBorders>
            <w:noWrap/>
            <w:vAlign w:val="center"/>
          </w:tcPr>
          <w:p w14:paraId="6DF20B7D">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3322F2D5">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6F969D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20BB7A62">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鲇属</w:t>
            </w:r>
            <w:r>
              <w:rPr>
                <w:rFonts w:hint="default" w:ascii="Times New Roman" w:hAnsi="Times New Roman" w:eastAsia="宋体"/>
                <w:b/>
                <w:bCs/>
                <w:i/>
                <w:iCs/>
                <w:color w:val="auto"/>
                <w:kern w:val="0"/>
                <w:sz w:val="21"/>
                <w:szCs w:val="21"/>
                <w:lang w:bidi="ar"/>
              </w:rPr>
              <w:t>Silurus</w:t>
            </w:r>
          </w:p>
        </w:tc>
        <w:tc>
          <w:tcPr>
            <w:tcW w:w="749" w:type="pct"/>
            <w:tcBorders>
              <w:tl2br w:val="nil"/>
              <w:tr2bl w:val="nil"/>
            </w:tcBorders>
            <w:noWrap/>
            <w:vAlign w:val="center"/>
          </w:tcPr>
          <w:p w14:paraId="228023FD">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3A372419">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052297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3BABB24D">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鲇</w:t>
            </w:r>
            <w:r>
              <w:rPr>
                <w:rFonts w:hint="default" w:ascii="Times New Roman" w:hAnsi="Times New Roman" w:eastAsia="宋体"/>
                <w:i/>
                <w:iCs/>
                <w:color w:val="auto"/>
                <w:kern w:val="0"/>
                <w:sz w:val="21"/>
                <w:szCs w:val="21"/>
                <w:lang w:bidi="ar"/>
              </w:rPr>
              <w:t xml:space="preserve">Siliris asotus </w:t>
            </w:r>
          </w:p>
        </w:tc>
        <w:tc>
          <w:tcPr>
            <w:tcW w:w="749" w:type="pct"/>
            <w:tcBorders>
              <w:tl2br w:val="nil"/>
              <w:tr2bl w:val="nil"/>
            </w:tcBorders>
            <w:noWrap/>
            <w:vAlign w:val="center"/>
          </w:tcPr>
          <w:p w14:paraId="7D1AAC1B">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45113F5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025C8A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235C0F92">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虾虎鱼目Gobiiformes</w:t>
            </w:r>
          </w:p>
        </w:tc>
        <w:tc>
          <w:tcPr>
            <w:tcW w:w="749" w:type="pct"/>
            <w:tcBorders>
              <w:tl2br w:val="nil"/>
              <w:tr2bl w:val="nil"/>
            </w:tcBorders>
            <w:noWrap/>
            <w:vAlign w:val="center"/>
          </w:tcPr>
          <w:p w14:paraId="0EEE7F55">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52AE400A">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1EDFED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226B7038">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鰕虎科Gobiidae</w:t>
            </w:r>
          </w:p>
        </w:tc>
        <w:tc>
          <w:tcPr>
            <w:tcW w:w="749" w:type="pct"/>
            <w:tcBorders>
              <w:tl2br w:val="nil"/>
              <w:tr2bl w:val="nil"/>
            </w:tcBorders>
            <w:noWrap/>
            <w:vAlign w:val="center"/>
          </w:tcPr>
          <w:p w14:paraId="1F7703A6">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0E8624E7">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534AAB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501" w:type="pct"/>
            <w:tcBorders>
              <w:tl2br w:val="nil"/>
              <w:tr2bl w:val="nil"/>
            </w:tcBorders>
            <w:noWrap/>
            <w:vAlign w:val="center"/>
          </w:tcPr>
          <w:p w14:paraId="76F789E3">
            <w:pPr>
              <w:keepNext w:val="0"/>
              <w:keepLines w:val="0"/>
              <w:widowControl/>
              <w:suppressLineNumbers w:val="0"/>
              <w:spacing w:before="0" w:beforeAutospacing="0" w:after="0" w:afterAutospacing="0" w:line="240" w:lineRule="auto"/>
              <w:ind w:left="0" w:right="0" w:firstLine="420" w:firstLineChars="20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吻鰕虎属</w:t>
            </w:r>
            <w:r>
              <w:rPr>
                <w:rFonts w:hint="default" w:ascii="Times New Roman" w:hAnsi="Times New Roman" w:eastAsia="宋体"/>
                <w:b/>
                <w:bCs/>
                <w:i/>
                <w:iCs/>
                <w:color w:val="auto"/>
                <w:kern w:val="0"/>
                <w:sz w:val="21"/>
                <w:szCs w:val="21"/>
                <w:lang w:bidi="ar"/>
              </w:rPr>
              <w:t xml:space="preserve">Rhinogobius </w:t>
            </w:r>
          </w:p>
        </w:tc>
        <w:tc>
          <w:tcPr>
            <w:tcW w:w="749" w:type="pct"/>
            <w:tcBorders>
              <w:tl2br w:val="nil"/>
              <w:tr2bl w:val="nil"/>
            </w:tcBorders>
            <w:noWrap/>
            <w:vAlign w:val="center"/>
          </w:tcPr>
          <w:p w14:paraId="7AC12D08">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1AE675FF">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r w14:paraId="112C2D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3501" w:type="pct"/>
            <w:tcBorders>
              <w:tl2br w:val="nil"/>
              <w:tr2bl w:val="nil"/>
            </w:tcBorders>
            <w:noWrap/>
            <w:vAlign w:val="center"/>
          </w:tcPr>
          <w:p w14:paraId="7C13D1DA">
            <w:pPr>
              <w:keepNext w:val="0"/>
              <w:keepLines w:val="0"/>
              <w:widowControl/>
              <w:suppressLineNumbers w:val="0"/>
              <w:spacing w:before="0" w:beforeAutospacing="0" w:after="0" w:afterAutospacing="0" w:line="240" w:lineRule="auto"/>
              <w:ind w:left="0" w:right="0" w:firstLine="630" w:firstLineChars="3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子陵吻虾虎鱼</w:t>
            </w:r>
            <w:r>
              <w:rPr>
                <w:rFonts w:hint="default" w:ascii="Times New Roman" w:hAnsi="Times New Roman" w:eastAsia="宋体"/>
                <w:i/>
                <w:iCs/>
                <w:color w:val="auto"/>
                <w:kern w:val="0"/>
                <w:sz w:val="21"/>
                <w:szCs w:val="21"/>
                <w:lang w:bidi="ar"/>
              </w:rPr>
              <w:t>Rhinogobius giurinus</w:t>
            </w:r>
          </w:p>
        </w:tc>
        <w:tc>
          <w:tcPr>
            <w:tcW w:w="749" w:type="pct"/>
            <w:tcBorders>
              <w:tl2br w:val="nil"/>
              <w:tr2bl w:val="nil"/>
            </w:tcBorders>
            <w:noWrap/>
            <w:vAlign w:val="center"/>
          </w:tcPr>
          <w:p w14:paraId="5160211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749" w:type="pct"/>
            <w:tcBorders>
              <w:tl2br w:val="nil"/>
              <w:tr2bl w:val="nil"/>
            </w:tcBorders>
            <w:noWrap/>
            <w:vAlign w:val="center"/>
          </w:tcPr>
          <w:p w14:paraId="72F2063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0693CD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3501" w:type="pct"/>
            <w:tcBorders>
              <w:tl2br w:val="nil"/>
              <w:tr2bl w:val="nil"/>
            </w:tcBorders>
            <w:noWrap/>
            <w:vAlign w:val="center"/>
          </w:tcPr>
          <w:p w14:paraId="7A6FB5CE">
            <w:pPr>
              <w:keepNext w:val="0"/>
              <w:keepLines w:val="0"/>
              <w:widowControl/>
              <w:suppressLineNumbers w:val="0"/>
              <w:spacing w:before="0" w:beforeAutospacing="0" w:after="0" w:afterAutospacing="0" w:line="240" w:lineRule="auto"/>
              <w:ind w:left="0" w:right="0"/>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注：“</w:t>
            </w:r>
            <w:r>
              <w:rPr>
                <w:rFonts w:hint="default" w:ascii="Times New Roman" w:hAnsi="Times New Roman" w:eastAsia="宋体"/>
                <w:color w:val="auto"/>
                <w:kern w:val="0"/>
                <w:sz w:val="21"/>
                <w:szCs w:val="21"/>
                <w:lang w:bidi="ar"/>
              </w:rPr>
              <w:t>+</w:t>
            </w:r>
            <w:r>
              <w:rPr>
                <w:rFonts w:hint="default" w:ascii="Times New Roman" w:hAnsi="Times New Roman" w:eastAsia="宋体"/>
                <w:b/>
                <w:bCs/>
                <w:color w:val="auto"/>
                <w:kern w:val="0"/>
                <w:sz w:val="21"/>
                <w:szCs w:val="21"/>
                <w:lang w:bidi="ar"/>
              </w:rPr>
              <w:t>”代表存在该物种。</w:t>
            </w:r>
          </w:p>
        </w:tc>
        <w:tc>
          <w:tcPr>
            <w:tcW w:w="749" w:type="pct"/>
            <w:tcBorders>
              <w:tl2br w:val="nil"/>
              <w:tr2bl w:val="nil"/>
            </w:tcBorders>
            <w:noWrap/>
            <w:vAlign w:val="center"/>
          </w:tcPr>
          <w:p w14:paraId="5359398B">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749" w:type="pct"/>
            <w:tcBorders>
              <w:tl2br w:val="nil"/>
              <w:tr2bl w:val="nil"/>
            </w:tcBorders>
            <w:noWrap/>
            <w:vAlign w:val="center"/>
          </w:tcPr>
          <w:p w14:paraId="133A1432">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r>
    </w:tbl>
    <w:p w14:paraId="16DE594D">
      <w:pPr>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繁殖期：保护区共采集鉴定鱼类25种，隶属于4目5科18属。</w:t>
      </w:r>
    </w:p>
    <w:p w14:paraId="1A8FD03E">
      <w:pPr>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索饵期：保护区共采集鉴定鱼类21种，隶属于4目6科16属。</w:t>
      </w:r>
    </w:p>
    <w:p w14:paraId="02650C7C">
      <w:pPr>
        <w:spacing w:line="360" w:lineRule="auto"/>
        <w:jc w:val="center"/>
        <w:rPr>
          <w:rFonts w:ascii="Times New Roman" w:hAnsi="Times New Roman" w:eastAsia="宋体"/>
          <w:b/>
          <w:bCs/>
          <w:color w:val="auto"/>
          <w:sz w:val="28"/>
          <w:szCs w:val="28"/>
        </w:rPr>
      </w:pPr>
      <w:bookmarkStart w:id="89" w:name="_Hlk125929287"/>
      <w:r>
        <w:rPr>
          <w:rFonts w:ascii="等线" w:hAnsi="等线" w:eastAsia="等线"/>
          <w:color w:val="auto"/>
          <w:sz w:val="24"/>
          <w:szCs w:val="22"/>
        </w:rPr>
        <w:drawing>
          <wp:inline distT="0" distB="0" distL="114300" distR="114300">
            <wp:extent cx="3966845" cy="2263775"/>
            <wp:effectExtent l="0" t="0" r="14605" b="3175"/>
            <wp:docPr id="25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7"/>
                    <pic:cNvPicPr>
                      <a:picLocks noChangeAspect="1"/>
                    </pic:cNvPicPr>
                  </pic:nvPicPr>
                  <pic:blipFill>
                    <a:blip r:embed="rId101"/>
                    <a:stretch>
                      <a:fillRect/>
                    </a:stretch>
                  </pic:blipFill>
                  <pic:spPr>
                    <a:xfrm>
                      <a:off x="0" y="0"/>
                      <a:ext cx="3966845" cy="2263775"/>
                    </a:xfrm>
                    <a:prstGeom prst="rect">
                      <a:avLst/>
                    </a:prstGeom>
                    <a:noFill/>
                    <a:ln>
                      <a:noFill/>
                    </a:ln>
                  </pic:spPr>
                </pic:pic>
              </a:graphicData>
            </a:graphic>
          </wp:inline>
        </w:drawing>
      </w:r>
    </w:p>
    <w:p w14:paraId="4D37F734">
      <w:pPr>
        <w:spacing w:line="400" w:lineRule="exact"/>
        <w:jc w:val="center"/>
        <w:rPr>
          <w:rFonts w:ascii="Times New Roman" w:hAnsi="Times New Roman" w:eastAsia="黑体" w:cs="Times New Roman"/>
          <w:color w:val="auto"/>
          <w:sz w:val="24"/>
          <w:szCs w:val="21"/>
          <w:lang w:val="en-US" w:eastAsia="zh-CN"/>
        </w:rPr>
      </w:pPr>
      <w:r>
        <w:rPr>
          <w:rFonts w:ascii="Times New Roman" w:hAnsi="Times New Roman" w:eastAsia="黑体" w:cs="Times New Roman"/>
          <w:color w:val="auto"/>
          <w:sz w:val="24"/>
          <w:szCs w:val="21"/>
          <w:lang w:val="en-US" w:eastAsia="zh-CN"/>
        </w:rPr>
        <w:t>图4.2</w:t>
      </w:r>
      <w:r>
        <w:rPr>
          <w:rFonts w:hint="eastAsia" w:ascii="Times New Roman" w:hAnsi="Times New Roman" w:eastAsia="黑体" w:cs="Times New Roman"/>
          <w:color w:val="auto"/>
          <w:sz w:val="24"/>
          <w:szCs w:val="21"/>
          <w:lang w:val="en-US" w:eastAsia="zh-CN"/>
        </w:rPr>
        <w:t>-8</w:t>
      </w:r>
      <w:r>
        <w:rPr>
          <w:rFonts w:ascii="Times New Roman" w:hAnsi="Times New Roman" w:eastAsia="黑体" w:cs="Times New Roman"/>
          <w:color w:val="auto"/>
          <w:sz w:val="24"/>
          <w:szCs w:val="21"/>
          <w:lang w:val="en-US" w:eastAsia="zh-CN"/>
        </w:rPr>
        <w:t xml:space="preserve">  2023年保护区</w:t>
      </w:r>
      <w:r>
        <w:rPr>
          <w:rFonts w:hint="eastAsia" w:ascii="Times New Roman" w:hAnsi="Times New Roman" w:eastAsia="黑体" w:cs="Times New Roman"/>
          <w:color w:val="auto"/>
          <w:sz w:val="24"/>
          <w:szCs w:val="21"/>
          <w:lang w:val="en-US" w:eastAsia="zh-CN"/>
        </w:rPr>
        <w:t>调查水域</w:t>
      </w:r>
      <w:r>
        <w:rPr>
          <w:rFonts w:ascii="Times New Roman" w:hAnsi="Times New Roman" w:eastAsia="黑体" w:cs="Times New Roman"/>
          <w:color w:val="auto"/>
          <w:sz w:val="24"/>
          <w:szCs w:val="21"/>
          <w:lang w:val="en-US" w:eastAsia="zh-CN"/>
        </w:rPr>
        <w:t>鱼类物种数时间特征</w:t>
      </w:r>
      <w:bookmarkEnd w:id="89"/>
    </w:p>
    <w:p w14:paraId="6B332E32">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4.2.5.3.2 群落结构</w:t>
      </w:r>
    </w:p>
    <w:p w14:paraId="05E2D312">
      <w:pPr>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2023年</w:t>
      </w:r>
      <w:r>
        <w:rPr>
          <w:rFonts w:hint="eastAsia" w:ascii="Times New Roman" w:hAnsi="Times New Roman" w:eastAsia="宋体"/>
          <w:color w:val="auto"/>
          <w:sz w:val="24"/>
          <w:szCs w:val="28"/>
        </w:rPr>
        <w:t>调查</w:t>
      </w:r>
      <w:r>
        <w:rPr>
          <w:rFonts w:ascii="Times New Roman" w:hAnsi="Times New Roman" w:eastAsia="宋体"/>
          <w:color w:val="auto"/>
          <w:sz w:val="24"/>
          <w:szCs w:val="28"/>
        </w:rPr>
        <w:t>结果显示，保护区鲤形目的物种数和重量占优势地位，分别占监测样本总量的65.5%、51.0%和75.9%</w:t>
      </w:r>
      <w:r>
        <w:rPr>
          <w:rFonts w:hint="eastAsia"/>
          <w:color w:val="auto"/>
          <w:sz w:val="24"/>
          <w:szCs w:val="28"/>
          <w:lang w:eastAsia="zh-CN"/>
        </w:rPr>
        <w:t>（</w:t>
      </w:r>
      <w:r>
        <w:rPr>
          <w:rFonts w:ascii="Times New Roman" w:hAnsi="Times New Roman" w:eastAsia="宋体"/>
          <w:color w:val="auto"/>
          <w:sz w:val="24"/>
          <w:szCs w:val="28"/>
        </w:rPr>
        <w:t>表4.2</w:t>
      </w:r>
      <w:r>
        <w:rPr>
          <w:rFonts w:hint="eastAsia" w:ascii="Times New Roman" w:hAnsi="Times New Roman" w:eastAsia="宋体"/>
          <w:color w:val="auto"/>
          <w:sz w:val="24"/>
          <w:szCs w:val="28"/>
          <w:lang w:val="en-US" w:eastAsia="zh-CN"/>
        </w:rPr>
        <w:t>-24</w:t>
      </w:r>
      <w:r>
        <w:rPr>
          <w:rFonts w:ascii="Times New Roman" w:hAnsi="Times New Roman" w:eastAsia="宋体"/>
          <w:color w:val="auto"/>
          <w:sz w:val="24"/>
          <w:szCs w:val="28"/>
        </w:rPr>
        <w:t>)。</w:t>
      </w:r>
    </w:p>
    <w:p w14:paraId="1009423A">
      <w:pPr>
        <w:spacing w:line="400" w:lineRule="exact"/>
        <w:jc w:val="center"/>
        <w:rPr>
          <w:rFonts w:ascii="Times New Roman" w:hAnsi="Times New Roman" w:eastAsia="黑体" w:cs="Times New Roman"/>
          <w:color w:val="auto"/>
          <w:sz w:val="24"/>
          <w:szCs w:val="21"/>
          <w:lang w:val="en-US" w:eastAsia="zh-CN"/>
        </w:rPr>
      </w:pPr>
      <w:r>
        <w:rPr>
          <w:rFonts w:ascii="Times New Roman" w:hAnsi="Times New Roman" w:eastAsia="黑体" w:cs="Times New Roman"/>
          <w:color w:val="auto"/>
          <w:sz w:val="24"/>
          <w:szCs w:val="21"/>
          <w:lang w:val="en-US" w:eastAsia="zh-CN"/>
        </w:rPr>
        <w:t>表4.2</w:t>
      </w:r>
      <w:r>
        <w:rPr>
          <w:rFonts w:hint="eastAsia" w:ascii="Times New Roman" w:hAnsi="Times New Roman" w:eastAsia="黑体" w:cs="Times New Roman"/>
          <w:color w:val="auto"/>
          <w:sz w:val="24"/>
          <w:szCs w:val="21"/>
          <w:lang w:val="en-US" w:eastAsia="zh-CN"/>
        </w:rPr>
        <w:t>-24</w:t>
      </w:r>
      <w:r>
        <w:rPr>
          <w:rFonts w:ascii="Times New Roman" w:hAnsi="Times New Roman" w:eastAsia="黑体" w:cs="Times New Roman"/>
          <w:color w:val="auto"/>
          <w:sz w:val="24"/>
          <w:szCs w:val="21"/>
          <w:lang w:val="en-US" w:eastAsia="zh-CN"/>
        </w:rPr>
        <w:t xml:space="preserve"> 2023年度</w:t>
      </w:r>
      <w:r>
        <w:rPr>
          <w:rFonts w:hint="eastAsia" w:ascii="Times New Roman" w:hAnsi="Times New Roman" w:eastAsia="黑体" w:cs="Times New Roman"/>
          <w:color w:val="auto"/>
          <w:sz w:val="24"/>
          <w:szCs w:val="21"/>
          <w:lang w:val="en-US" w:eastAsia="zh-CN"/>
        </w:rPr>
        <w:t>调查水域</w:t>
      </w:r>
      <w:r>
        <w:rPr>
          <w:rFonts w:ascii="Times New Roman" w:hAnsi="Times New Roman" w:eastAsia="黑体" w:cs="Times New Roman"/>
          <w:color w:val="auto"/>
          <w:sz w:val="24"/>
          <w:szCs w:val="21"/>
          <w:lang w:val="en-US" w:eastAsia="zh-CN"/>
        </w:rPr>
        <w:t>保护区渔业群落结构</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63"/>
        <w:gridCol w:w="2384"/>
        <w:gridCol w:w="2343"/>
        <w:gridCol w:w="2397"/>
      </w:tblGrid>
      <w:tr w14:paraId="733FAE6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1164" w:type="pct"/>
            <w:tcBorders>
              <w:tl2br w:val="nil"/>
              <w:tr2bl w:val="nil"/>
            </w:tcBorders>
            <w:noWrap/>
            <w:vAlign w:val="center"/>
          </w:tcPr>
          <w:p w14:paraId="6D9BD71D">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目名</w:t>
            </w:r>
          </w:p>
        </w:tc>
        <w:tc>
          <w:tcPr>
            <w:tcW w:w="1283" w:type="pct"/>
            <w:tcBorders>
              <w:tl2br w:val="nil"/>
              <w:tr2bl w:val="nil"/>
            </w:tcBorders>
            <w:noWrap/>
            <w:vAlign w:val="center"/>
          </w:tcPr>
          <w:p w14:paraId="58523440">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物种数%</w:t>
            </w:r>
          </w:p>
        </w:tc>
        <w:tc>
          <w:tcPr>
            <w:tcW w:w="1261" w:type="pct"/>
            <w:tcBorders>
              <w:tl2br w:val="nil"/>
              <w:tr2bl w:val="nil"/>
            </w:tcBorders>
            <w:noWrap/>
            <w:vAlign w:val="center"/>
          </w:tcPr>
          <w:p w14:paraId="405B1DD3">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尾数%</w:t>
            </w:r>
          </w:p>
        </w:tc>
        <w:tc>
          <w:tcPr>
            <w:tcW w:w="1290" w:type="pct"/>
            <w:tcBorders>
              <w:tl2br w:val="nil"/>
              <w:tr2bl w:val="nil"/>
            </w:tcBorders>
            <w:noWrap/>
            <w:vAlign w:val="center"/>
          </w:tcPr>
          <w:p w14:paraId="7F7E3F1B">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重量%</w:t>
            </w:r>
          </w:p>
        </w:tc>
      </w:tr>
      <w:tr w14:paraId="502B6E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1164" w:type="pct"/>
            <w:tcBorders>
              <w:tl2br w:val="nil"/>
              <w:tr2bl w:val="nil"/>
            </w:tcBorders>
            <w:noWrap/>
            <w:vAlign w:val="center"/>
          </w:tcPr>
          <w:p w14:paraId="3941667C">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鲱形目</w:t>
            </w:r>
          </w:p>
        </w:tc>
        <w:tc>
          <w:tcPr>
            <w:tcW w:w="2188" w:type="dxa"/>
            <w:tcBorders>
              <w:tl2br w:val="nil"/>
              <w:tr2bl w:val="nil"/>
            </w:tcBorders>
            <w:noWrap/>
            <w:vAlign w:val="center"/>
          </w:tcPr>
          <w:p w14:paraId="5BE6F843">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3.45</w:t>
            </w:r>
          </w:p>
        </w:tc>
        <w:tc>
          <w:tcPr>
            <w:tcW w:w="2150" w:type="dxa"/>
            <w:tcBorders>
              <w:tl2br w:val="nil"/>
              <w:tr2bl w:val="nil"/>
            </w:tcBorders>
            <w:noWrap/>
            <w:vAlign w:val="center"/>
          </w:tcPr>
          <w:p w14:paraId="7A315194">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35.94</w:t>
            </w:r>
          </w:p>
        </w:tc>
        <w:tc>
          <w:tcPr>
            <w:tcW w:w="2199" w:type="dxa"/>
            <w:tcBorders>
              <w:tl2br w:val="nil"/>
              <w:tr2bl w:val="nil"/>
            </w:tcBorders>
            <w:noWrap/>
            <w:vAlign w:val="center"/>
          </w:tcPr>
          <w:p w14:paraId="4156A5CA">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14.98</w:t>
            </w:r>
          </w:p>
        </w:tc>
      </w:tr>
      <w:tr w14:paraId="3D9DFB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1164" w:type="pct"/>
            <w:tcBorders>
              <w:tl2br w:val="nil"/>
              <w:tr2bl w:val="nil"/>
            </w:tcBorders>
            <w:noWrap/>
            <w:vAlign w:val="center"/>
          </w:tcPr>
          <w:p w14:paraId="7A3F63A5">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鲤形目</w:t>
            </w:r>
          </w:p>
        </w:tc>
        <w:tc>
          <w:tcPr>
            <w:tcW w:w="2188" w:type="dxa"/>
            <w:tcBorders>
              <w:tl2br w:val="nil"/>
              <w:tr2bl w:val="nil"/>
            </w:tcBorders>
            <w:noWrap/>
            <w:vAlign w:val="center"/>
          </w:tcPr>
          <w:p w14:paraId="6FE9B4C0">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65.52</w:t>
            </w:r>
          </w:p>
        </w:tc>
        <w:tc>
          <w:tcPr>
            <w:tcW w:w="2150" w:type="dxa"/>
            <w:tcBorders>
              <w:tl2br w:val="nil"/>
              <w:tr2bl w:val="nil"/>
            </w:tcBorders>
            <w:noWrap/>
            <w:vAlign w:val="center"/>
          </w:tcPr>
          <w:p w14:paraId="203DD1BD">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51.02</w:t>
            </w:r>
          </w:p>
        </w:tc>
        <w:tc>
          <w:tcPr>
            <w:tcW w:w="2199" w:type="dxa"/>
            <w:tcBorders>
              <w:tl2br w:val="nil"/>
              <w:tr2bl w:val="nil"/>
            </w:tcBorders>
            <w:noWrap/>
            <w:vAlign w:val="center"/>
          </w:tcPr>
          <w:p w14:paraId="53E13192">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75.91</w:t>
            </w:r>
          </w:p>
        </w:tc>
      </w:tr>
      <w:tr w14:paraId="04B0E9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1164" w:type="pct"/>
            <w:tcBorders>
              <w:tl2br w:val="nil"/>
              <w:tr2bl w:val="nil"/>
            </w:tcBorders>
            <w:noWrap/>
            <w:vAlign w:val="center"/>
          </w:tcPr>
          <w:p w14:paraId="755B0D30">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鲇形目</w:t>
            </w:r>
          </w:p>
        </w:tc>
        <w:tc>
          <w:tcPr>
            <w:tcW w:w="2188" w:type="dxa"/>
            <w:tcBorders>
              <w:tl2br w:val="nil"/>
              <w:tr2bl w:val="nil"/>
            </w:tcBorders>
            <w:noWrap/>
            <w:vAlign w:val="center"/>
          </w:tcPr>
          <w:p w14:paraId="14C66ACD">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27.59</w:t>
            </w:r>
          </w:p>
        </w:tc>
        <w:tc>
          <w:tcPr>
            <w:tcW w:w="2150" w:type="dxa"/>
            <w:tcBorders>
              <w:tl2br w:val="nil"/>
              <w:tr2bl w:val="nil"/>
            </w:tcBorders>
            <w:noWrap/>
            <w:vAlign w:val="center"/>
          </w:tcPr>
          <w:p w14:paraId="62D2F90C">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12.66</w:t>
            </w:r>
          </w:p>
        </w:tc>
        <w:tc>
          <w:tcPr>
            <w:tcW w:w="2199" w:type="dxa"/>
            <w:tcBorders>
              <w:tl2br w:val="nil"/>
              <w:tr2bl w:val="nil"/>
            </w:tcBorders>
            <w:noWrap/>
            <w:vAlign w:val="center"/>
          </w:tcPr>
          <w:p w14:paraId="509A83A5">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9.10</w:t>
            </w:r>
          </w:p>
        </w:tc>
      </w:tr>
      <w:tr w14:paraId="205D94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1164" w:type="pct"/>
            <w:tcBorders>
              <w:tl2br w:val="nil"/>
              <w:tr2bl w:val="nil"/>
            </w:tcBorders>
            <w:noWrap/>
            <w:vAlign w:val="center"/>
          </w:tcPr>
          <w:p w14:paraId="2800EADD">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虾虎鱼目</w:t>
            </w:r>
          </w:p>
        </w:tc>
        <w:tc>
          <w:tcPr>
            <w:tcW w:w="2188" w:type="dxa"/>
            <w:tcBorders>
              <w:tl2br w:val="nil"/>
              <w:tr2bl w:val="nil"/>
            </w:tcBorders>
            <w:noWrap/>
            <w:vAlign w:val="center"/>
          </w:tcPr>
          <w:p w14:paraId="1D214189">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3.45</w:t>
            </w:r>
          </w:p>
        </w:tc>
        <w:tc>
          <w:tcPr>
            <w:tcW w:w="2150" w:type="dxa"/>
            <w:tcBorders>
              <w:tl2br w:val="nil"/>
              <w:tr2bl w:val="nil"/>
            </w:tcBorders>
            <w:noWrap/>
            <w:vAlign w:val="center"/>
          </w:tcPr>
          <w:p w14:paraId="7C0D85C9">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35.94</w:t>
            </w:r>
          </w:p>
        </w:tc>
        <w:tc>
          <w:tcPr>
            <w:tcW w:w="2199" w:type="dxa"/>
            <w:tcBorders>
              <w:tl2br w:val="nil"/>
              <w:tr2bl w:val="nil"/>
            </w:tcBorders>
            <w:noWrap/>
            <w:vAlign w:val="center"/>
          </w:tcPr>
          <w:p w14:paraId="328AB51A">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14.98</w:t>
            </w:r>
          </w:p>
        </w:tc>
      </w:tr>
    </w:tbl>
    <w:p w14:paraId="674DCD03">
      <w:pPr>
        <w:adjustRightInd w:val="0"/>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繁殖期：保护区鲤形目的物种数和重量占优势地位，分别占监测样本总量的64.0%、82.5%和88.3%</w:t>
      </w:r>
      <w:r>
        <w:rPr>
          <w:rFonts w:hint="eastAsia"/>
          <w:color w:val="auto"/>
          <w:sz w:val="24"/>
          <w:szCs w:val="28"/>
          <w:lang w:eastAsia="zh-CN"/>
        </w:rPr>
        <w:t>（</w:t>
      </w:r>
      <w:r>
        <w:rPr>
          <w:rFonts w:ascii="Times New Roman" w:hAnsi="Times New Roman" w:eastAsia="宋体"/>
          <w:color w:val="auto"/>
          <w:sz w:val="24"/>
          <w:szCs w:val="28"/>
        </w:rPr>
        <w:t>表4.2</w:t>
      </w:r>
      <w:r>
        <w:rPr>
          <w:rFonts w:hint="eastAsia" w:ascii="Times New Roman" w:hAnsi="Times New Roman" w:eastAsia="宋体"/>
          <w:color w:val="auto"/>
          <w:sz w:val="24"/>
          <w:szCs w:val="28"/>
          <w:lang w:val="en-US" w:eastAsia="zh-CN"/>
        </w:rPr>
        <w:t>-25）</w:t>
      </w:r>
      <w:r>
        <w:rPr>
          <w:rFonts w:ascii="Times New Roman" w:hAnsi="Times New Roman" w:eastAsia="宋体"/>
          <w:color w:val="auto"/>
          <w:sz w:val="24"/>
          <w:szCs w:val="28"/>
        </w:rPr>
        <w:t>。</w:t>
      </w:r>
    </w:p>
    <w:p w14:paraId="0EA71C80">
      <w:pPr>
        <w:spacing w:line="400" w:lineRule="exact"/>
        <w:jc w:val="center"/>
        <w:rPr>
          <w:rFonts w:ascii="Times New Roman" w:hAnsi="Times New Roman" w:eastAsia="黑体" w:cs="Times New Roman"/>
          <w:color w:val="auto"/>
          <w:sz w:val="24"/>
          <w:szCs w:val="21"/>
          <w:lang w:val="en-US" w:eastAsia="zh-CN"/>
        </w:rPr>
      </w:pPr>
      <w:r>
        <w:rPr>
          <w:rFonts w:ascii="Times New Roman" w:hAnsi="Times New Roman" w:eastAsia="黑体" w:cs="Times New Roman"/>
          <w:color w:val="auto"/>
          <w:sz w:val="24"/>
          <w:szCs w:val="21"/>
          <w:lang w:val="en-US" w:eastAsia="zh-CN"/>
        </w:rPr>
        <w:t>表4.2</w:t>
      </w:r>
      <w:r>
        <w:rPr>
          <w:rFonts w:hint="eastAsia" w:ascii="Times New Roman" w:hAnsi="Times New Roman" w:eastAsia="黑体" w:cs="Times New Roman"/>
          <w:color w:val="auto"/>
          <w:sz w:val="24"/>
          <w:szCs w:val="21"/>
          <w:lang w:val="en-US" w:eastAsia="zh-CN"/>
        </w:rPr>
        <w:t>-25</w:t>
      </w:r>
      <w:r>
        <w:rPr>
          <w:rFonts w:ascii="Times New Roman" w:hAnsi="Times New Roman" w:eastAsia="黑体" w:cs="Times New Roman"/>
          <w:color w:val="auto"/>
          <w:sz w:val="24"/>
          <w:szCs w:val="21"/>
          <w:lang w:val="en-US" w:eastAsia="zh-CN"/>
        </w:rPr>
        <w:t xml:space="preserve">  2023年繁殖期保护区渔业群落结构</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76"/>
        <w:gridCol w:w="2377"/>
        <w:gridCol w:w="2367"/>
        <w:gridCol w:w="2367"/>
      </w:tblGrid>
      <w:tr w14:paraId="6A0AA7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171" w:type="pct"/>
            <w:tcBorders>
              <w:tl2br w:val="nil"/>
              <w:tr2bl w:val="nil"/>
            </w:tcBorders>
            <w:noWrap/>
            <w:vAlign w:val="center"/>
          </w:tcPr>
          <w:p w14:paraId="328DA180">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目名</w:t>
            </w:r>
          </w:p>
        </w:tc>
        <w:tc>
          <w:tcPr>
            <w:tcW w:w="1279" w:type="pct"/>
            <w:tcBorders>
              <w:tl2br w:val="nil"/>
              <w:tr2bl w:val="nil"/>
            </w:tcBorders>
            <w:noWrap w:val="0"/>
            <w:vAlign w:val="center"/>
          </w:tcPr>
          <w:p w14:paraId="00E18AFB">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物种数%</w:t>
            </w:r>
          </w:p>
        </w:tc>
        <w:tc>
          <w:tcPr>
            <w:tcW w:w="1274" w:type="pct"/>
            <w:tcBorders>
              <w:tl2br w:val="nil"/>
              <w:tr2bl w:val="nil"/>
            </w:tcBorders>
            <w:noWrap w:val="0"/>
            <w:vAlign w:val="center"/>
          </w:tcPr>
          <w:p w14:paraId="3F584F11">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尾数%</w:t>
            </w:r>
          </w:p>
        </w:tc>
        <w:tc>
          <w:tcPr>
            <w:tcW w:w="1274" w:type="pct"/>
            <w:tcBorders>
              <w:tl2br w:val="nil"/>
              <w:tr2bl w:val="nil"/>
            </w:tcBorders>
            <w:noWrap w:val="0"/>
            <w:vAlign w:val="center"/>
          </w:tcPr>
          <w:p w14:paraId="1D5965DD">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重量%</w:t>
            </w:r>
          </w:p>
        </w:tc>
      </w:tr>
      <w:tr w14:paraId="41F761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1171" w:type="pct"/>
            <w:tcBorders>
              <w:tl2br w:val="nil"/>
              <w:tr2bl w:val="nil"/>
            </w:tcBorders>
            <w:noWrap/>
            <w:vAlign w:val="center"/>
          </w:tcPr>
          <w:p w14:paraId="486034C9">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鲱形目</w:t>
            </w:r>
          </w:p>
        </w:tc>
        <w:tc>
          <w:tcPr>
            <w:tcW w:w="2181" w:type="dxa"/>
            <w:tcBorders>
              <w:tl2br w:val="nil"/>
              <w:tr2bl w:val="nil"/>
            </w:tcBorders>
            <w:noWrap/>
            <w:vAlign w:val="center"/>
          </w:tcPr>
          <w:p w14:paraId="2C441339">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4.00</w:t>
            </w:r>
          </w:p>
        </w:tc>
        <w:tc>
          <w:tcPr>
            <w:tcW w:w="2172" w:type="dxa"/>
            <w:tcBorders>
              <w:tl2br w:val="nil"/>
              <w:tr2bl w:val="nil"/>
            </w:tcBorders>
            <w:noWrap/>
            <w:vAlign w:val="center"/>
          </w:tcPr>
          <w:p w14:paraId="5200BB3F">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8.76</w:t>
            </w:r>
          </w:p>
        </w:tc>
        <w:tc>
          <w:tcPr>
            <w:tcW w:w="2172" w:type="dxa"/>
            <w:tcBorders>
              <w:tl2br w:val="nil"/>
              <w:tr2bl w:val="nil"/>
            </w:tcBorders>
            <w:noWrap/>
            <w:vAlign w:val="center"/>
          </w:tcPr>
          <w:p w14:paraId="15012DF4">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2.39</w:t>
            </w:r>
          </w:p>
        </w:tc>
      </w:tr>
      <w:tr w14:paraId="1565B4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1171" w:type="pct"/>
            <w:tcBorders>
              <w:tl2br w:val="nil"/>
              <w:tr2bl w:val="nil"/>
            </w:tcBorders>
            <w:noWrap/>
            <w:vAlign w:val="center"/>
          </w:tcPr>
          <w:p w14:paraId="7EB135F3">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鲤形目</w:t>
            </w:r>
          </w:p>
        </w:tc>
        <w:tc>
          <w:tcPr>
            <w:tcW w:w="2181" w:type="dxa"/>
            <w:tcBorders>
              <w:tl2br w:val="nil"/>
              <w:tr2bl w:val="nil"/>
            </w:tcBorders>
            <w:noWrap/>
            <w:vAlign w:val="center"/>
          </w:tcPr>
          <w:p w14:paraId="35A1E9AC">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64.00</w:t>
            </w:r>
          </w:p>
        </w:tc>
        <w:tc>
          <w:tcPr>
            <w:tcW w:w="2172" w:type="dxa"/>
            <w:tcBorders>
              <w:tl2br w:val="nil"/>
              <w:tr2bl w:val="nil"/>
            </w:tcBorders>
            <w:noWrap/>
            <w:vAlign w:val="center"/>
          </w:tcPr>
          <w:p w14:paraId="78EDBFD5">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82.48</w:t>
            </w:r>
          </w:p>
        </w:tc>
        <w:tc>
          <w:tcPr>
            <w:tcW w:w="2172" w:type="dxa"/>
            <w:tcBorders>
              <w:tl2br w:val="nil"/>
              <w:tr2bl w:val="nil"/>
            </w:tcBorders>
            <w:noWrap/>
            <w:vAlign w:val="center"/>
          </w:tcPr>
          <w:p w14:paraId="02AD1646">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88.26</w:t>
            </w:r>
          </w:p>
        </w:tc>
      </w:tr>
      <w:tr w14:paraId="146566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1171" w:type="pct"/>
            <w:tcBorders>
              <w:tl2br w:val="nil"/>
              <w:tr2bl w:val="nil"/>
            </w:tcBorders>
            <w:noWrap/>
            <w:vAlign w:val="center"/>
          </w:tcPr>
          <w:p w14:paraId="49B2DAFE">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鲇形目</w:t>
            </w:r>
          </w:p>
        </w:tc>
        <w:tc>
          <w:tcPr>
            <w:tcW w:w="2181" w:type="dxa"/>
            <w:tcBorders>
              <w:tl2br w:val="nil"/>
              <w:tr2bl w:val="nil"/>
            </w:tcBorders>
            <w:noWrap/>
            <w:vAlign w:val="center"/>
          </w:tcPr>
          <w:p w14:paraId="3E4FB5C8">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28.00</w:t>
            </w:r>
          </w:p>
        </w:tc>
        <w:tc>
          <w:tcPr>
            <w:tcW w:w="2172" w:type="dxa"/>
            <w:tcBorders>
              <w:tl2br w:val="nil"/>
              <w:tr2bl w:val="nil"/>
            </w:tcBorders>
            <w:noWrap/>
            <w:vAlign w:val="center"/>
          </w:tcPr>
          <w:p w14:paraId="33DE72A9">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8.03</w:t>
            </w:r>
          </w:p>
        </w:tc>
        <w:tc>
          <w:tcPr>
            <w:tcW w:w="2172" w:type="dxa"/>
            <w:tcBorders>
              <w:tl2br w:val="nil"/>
              <w:tr2bl w:val="nil"/>
            </w:tcBorders>
            <w:noWrap/>
            <w:vAlign w:val="center"/>
          </w:tcPr>
          <w:p w14:paraId="5B923BC4">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9.35</w:t>
            </w:r>
          </w:p>
        </w:tc>
      </w:tr>
      <w:tr w14:paraId="581F96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1171" w:type="pct"/>
            <w:tcBorders>
              <w:tl2br w:val="nil"/>
              <w:tr2bl w:val="nil"/>
            </w:tcBorders>
            <w:noWrap/>
            <w:vAlign w:val="center"/>
          </w:tcPr>
          <w:p w14:paraId="14B6B0A8">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虾虎鱼目</w:t>
            </w:r>
          </w:p>
        </w:tc>
        <w:tc>
          <w:tcPr>
            <w:tcW w:w="2181" w:type="dxa"/>
            <w:tcBorders>
              <w:tl2br w:val="nil"/>
              <w:tr2bl w:val="nil"/>
            </w:tcBorders>
            <w:noWrap/>
            <w:vAlign w:val="center"/>
          </w:tcPr>
          <w:p w14:paraId="09356F48">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4.00</w:t>
            </w:r>
          </w:p>
        </w:tc>
        <w:tc>
          <w:tcPr>
            <w:tcW w:w="2172" w:type="dxa"/>
            <w:tcBorders>
              <w:tl2br w:val="nil"/>
              <w:tr2bl w:val="nil"/>
            </w:tcBorders>
            <w:noWrap/>
            <w:vAlign w:val="center"/>
          </w:tcPr>
          <w:p w14:paraId="11A2EC1C">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8.76</w:t>
            </w:r>
          </w:p>
        </w:tc>
        <w:tc>
          <w:tcPr>
            <w:tcW w:w="2172" w:type="dxa"/>
            <w:tcBorders>
              <w:tl2br w:val="nil"/>
              <w:tr2bl w:val="nil"/>
            </w:tcBorders>
            <w:noWrap/>
            <w:vAlign w:val="center"/>
          </w:tcPr>
          <w:p w14:paraId="68DB65F5">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2.39</w:t>
            </w:r>
          </w:p>
        </w:tc>
      </w:tr>
    </w:tbl>
    <w:p w14:paraId="4F90E089">
      <w:pPr>
        <w:adjustRightInd w:val="0"/>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索饵期：保护区鲤形目的物种数和重量占优势地位，分别占监测样本总量的81.0%、62.4%和45.3%</w:t>
      </w:r>
      <w:r>
        <w:rPr>
          <w:rFonts w:hint="eastAsia"/>
          <w:color w:val="auto"/>
          <w:sz w:val="24"/>
          <w:szCs w:val="28"/>
          <w:lang w:eastAsia="zh-CN"/>
        </w:rPr>
        <w:t>（</w:t>
      </w:r>
      <w:r>
        <w:rPr>
          <w:rFonts w:ascii="Times New Roman" w:hAnsi="Times New Roman" w:eastAsia="宋体"/>
          <w:color w:val="auto"/>
          <w:sz w:val="24"/>
          <w:szCs w:val="28"/>
        </w:rPr>
        <w:t>表4.2</w:t>
      </w:r>
      <w:r>
        <w:rPr>
          <w:rFonts w:hint="eastAsia" w:ascii="Times New Roman" w:hAnsi="Times New Roman" w:eastAsia="宋体"/>
          <w:color w:val="auto"/>
          <w:sz w:val="24"/>
          <w:szCs w:val="28"/>
          <w:lang w:val="en-US" w:eastAsia="zh-CN"/>
        </w:rPr>
        <w:t>-26</w:t>
      </w:r>
      <w:r>
        <w:rPr>
          <w:rFonts w:ascii="Times New Roman" w:hAnsi="Times New Roman" w:eastAsia="宋体"/>
          <w:color w:val="auto"/>
          <w:sz w:val="24"/>
          <w:szCs w:val="28"/>
        </w:rPr>
        <w:t>)。</w:t>
      </w:r>
    </w:p>
    <w:p w14:paraId="0E799FF9">
      <w:pPr>
        <w:spacing w:line="400" w:lineRule="exact"/>
        <w:jc w:val="center"/>
        <w:rPr>
          <w:rFonts w:ascii="Times New Roman" w:hAnsi="Times New Roman" w:eastAsia="黑体" w:cs="Times New Roman"/>
          <w:color w:val="auto"/>
          <w:sz w:val="24"/>
          <w:szCs w:val="21"/>
          <w:lang w:val="en-US" w:eastAsia="zh-CN"/>
        </w:rPr>
      </w:pPr>
      <w:r>
        <w:rPr>
          <w:rFonts w:ascii="Times New Roman" w:hAnsi="Times New Roman" w:eastAsia="黑体" w:cs="Times New Roman"/>
          <w:color w:val="auto"/>
          <w:sz w:val="24"/>
          <w:szCs w:val="21"/>
          <w:lang w:val="en-US" w:eastAsia="zh-CN"/>
        </w:rPr>
        <w:t>表4.2</w:t>
      </w:r>
      <w:r>
        <w:rPr>
          <w:rFonts w:hint="eastAsia" w:ascii="Times New Roman" w:hAnsi="Times New Roman" w:eastAsia="黑体" w:cs="Times New Roman"/>
          <w:color w:val="auto"/>
          <w:sz w:val="24"/>
          <w:szCs w:val="21"/>
          <w:lang w:val="en-US" w:eastAsia="zh-CN"/>
        </w:rPr>
        <w:t>-26</w:t>
      </w:r>
      <w:r>
        <w:rPr>
          <w:rFonts w:ascii="Times New Roman" w:hAnsi="Times New Roman" w:eastAsia="黑体" w:cs="Times New Roman"/>
          <w:color w:val="auto"/>
          <w:sz w:val="24"/>
          <w:szCs w:val="21"/>
          <w:lang w:val="en-US" w:eastAsia="zh-CN"/>
        </w:rPr>
        <w:t xml:space="preserve"> 2023年索饵期保护区渔业群落结构</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74"/>
        <w:gridCol w:w="2345"/>
        <w:gridCol w:w="2384"/>
        <w:gridCol w:w="2384"/>
      </w:tblGrid>
      <w:tr w14:paraId="795025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1171" w:type="pct"/>
            <w:tcBorders>
              <w:tl2br w:val="nil"/>
              <w:tr2bl w:val="nil"/>
            </w:tcBorders>
            <w:noWrap w:val="0"/>
            <w:vAlign w:val="center"/>
          </w:tcPr>
          <w:p w14:paraId="7D864835">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目名</w:t>
            </w:r>
          </w:p>
        </w:tc>
        <w:tc>
          <w:tcPr>
            <w:tcW w:w="1262" w:type="pct"/>
            <w:tcBorders>
              <w:tl2br w:val="nil"/>
              <w:tr2bl w:val="nil"/>
            </w:tcBorders>
            <w:noWrap w:val="0"/>
            <w:vAlign w:val="center"/>
          </w:tcPr>
          <w:p w14:paraId="17E2BDF7">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物种数%</w:t>
            </w:r>
          </w:p>
        </w:tc>
        <w:tc>
          <w:tcPr>
            <w:tcW w:w="1283" w:type="pct"/>
            <w:tcBorders>
              <w:tl2br w:val="nil"/>
              <w:tr2bl w:val="nil"/>
            </w:tcBorders>
            <w:noWrap w:val="0"/>
            <w:vAlign w:val="center"/>
          </w:tcPr>
          <w:p w14:paraId="249CF841">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尾数%</w:t>
            </w:r>
          </w:p>
        </w:tc>
        <w:tc>
          <w:tcPr>
            <w:tcW w:w="1283" w:type="pct"/>
            <w:tcBorders>
              <w:tl2br w:val="nil"/>
              <w:tr2bl w:val="nil"/>
            </w:tcBorders>
            <w:noWrap w:val="0"/>
            <w:vAlign w:val="center"/>
          </w:tcPr>
          <w:p w14:paraId="11401734">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重量%</w:t>
            </w:r>
          </w:p>
        </w:tc>
      </w:tr>
      <w:tr w14:paraId="734AD2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1171" w:type="pct"/>
            <w:tcBorders>
              <w:tl2br w:val="nil"/>
              <w:tr2bl w:val="nil"/>
            </w:tcBorders>
            <w:noWrap/>
            <w:vAlign w:val="center"/>
          </w:tcPr>
          <w:p w14:paraId="76A29332">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鲱形目</w:t>
            </w:r>
          </w:p>
        </w:tc>
        <w:tc>
          <w:tcPr>
            <w:tcW w:w="2151" w:type="dxa"/>
            <w:tcBorders>
              <w:tl2br w:val="nil"/>
              <w:tr2bl w:val="nil"/>
            </w:tcBorders>
            <w:noWrap/>
            <w:vAlign w:val="center"/>
          </w:tcPr>
          <w:p w14:paraId="404EEBF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4.76</w:t>
            </w:r>
          </w:p>
        </w:tc>
        <w:tc>
          <w:tcPr>
            <w:tcW w:w="2187" w:type="dxa"/>
            <w:tcBorders>
              <w:tl2br w:val="nil"/>
              <w:tr2bl w:val="nil"/>
            </w:tcBorders>
            <w:noWrap/>
            <w:vAlign w:val="center"/>
          </w:tcPr>
          <w:p w14:paraId="5DA637F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45.25</w:t>
            </w:r>
          </w:p>
        </w:tc>
        <w:tc>
          <w:tcPr>
            <w:tcW w:w="2188" w:type="dxa"/>
            <w:tcBorders>
              <w:tl2br w:val="nil"/>
              <w:tr2bl w:val="nil"/>
            </w:tcBorders>
            <w:noWrap/>
            <w:vAlign w:val="center"/>
          </w:tcPr>
          <w:p w14:paraId="48CB94B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28.77</w:t>
            </w:r>
          </w:p>
        </w:tc>
      </w:tr>
      <w:tr w14:paraId="2F6653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1171" w:type="pct"/>
            <w:tcBorders>
              <w:tl2br w:val="nil"/>
              <w:tr2bl w:val="nil"/>
            </w:tcBorders>
            <w:noWrap/>
            <w:vAlign w:val="center"/>
          </w:tcPr>
          <w:p w14:paraId="4977E3D2">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鲤形目</w:t>
            </w:r>
          </w:p>
        </w:tc>
        <w:tc>
          <w:tcPr>
            <w:tcW w:w="2151" w:type="dxa"/>
            <w:tcBorders>
              <w:tl2br w:val="nil"/>
              <w:tr2bl w:val="nil"/>
            </w:tcBorders>
            <w:noWrap/>
            <w:vAlign w:val="center"/>
          </w:tcPr>
          <w:p w14:paraId="09CB31A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80.95</w:t>
            </w:r>
          </w:p>
        </w:tc>
        <w:tc>
          <w:tcPr>
            <w:tcW w:w="2187" w:type="dxa"/>
            <w:tcBorders>
              <w:tl2br w:val="nil"/>
              <w:tr2bl w:val="nil"/>
            </w:tcBorders>
            <w:noWrap/>
            <w:vAlign w:val="center"/>
          </w:tcPr>
          <w:p w14:paraId="2D07E57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40.25</w:t>
            </w:r>
          </w:p>
        </w:tc>
        <w:tc>
          <w:tcPr>
            <w:tcW w:w="2188" w:type="dxa"/>
            <w:tcBorders>
              <w:tl2br w:val="nil"/>
              <w:tr2bl w:val="nil"/>
            </w:tcBorders>
            <w:noWrap/>
            <w:vAlign w:val="center"/>
          </w:tcPr>
          <w:p w14:paraId="15C11CD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62.38</w:t>
            </w:r>
          </w:p>
        </w:tc>
      </w:tr>
      <w:tr w14:paraId="0BBC16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1171" w:type="pct"/>
            <w:tcBorders>
              <w:tl2br w:val="nil"/>
              <w:tr2bl w:val="nil"/>
            </w:tcBorders>
            <w:noWrap/>
            <w:vAlign w:val="center"/>
          </w:tcPr>
          <w:p w14:paraId="020AC250">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鲇形目</w:t>
            </w:r>
          </w:p>
        </w:tc>
        <w:tc>
          <w:tcPr>
            <w:tcW w:w="2151" w:type="dxa"/>
            <w:tcBorders>
              <w:tl2br w:val="nil"/>
              <w:tr2bl w:val="nil"/>
            </w:tcBorders>
            <w:noWrap/>
            <w:vAlign w:val="center"/>
          </w:tcPr>
          <w:p w14:paraId="1572D65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9.52</w:t>
            </w:r>
          </w:p>
        </w:tc>
        <w:tc>
          <w:tcPr>
            <w:tcW w:w="2187" w:type="dxa"/>
            <w:tcBorders>
              <w:tl2br w:val="nil"/>
              <w:tr2bl w:val="nil"/>
            </w:tcBorders>
            <w:noWrap/>
            <w:vAlign w:val="center"/>
          </w:tcPr>
          <w:p w14:paraId="3042494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14.25</w:t>
            </w:r>
          </w:p>
        </w:tc>
        <w:tc>
          <w:tcPr>
            <w:tcW w:w="2188" w:type="dxa"/>
            <w:tcBorders>
              <w:tl2br w:val="nil"/>
              <w:tr2bl w:val="nil"/>
            </w:tcBorders>
            <w:noWrap/>
            <w:vAlign w:val="center"/>
          </w:tcPr>
          <w:p w14:paraId="2716AD7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8.84</w:t>
            </w:r>
          </w:p>
        </w:tc>
      </w:tr>
      <w:tr w14:paraId="114098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1171" w:type="pct"/>
            <w:tcBorders>
              <w:tl2br w:val="nil"/>
              <w:tr2bl w:val="nil"/>
            </w:tcBorders>
            <w:noWrap/>
            <w:vAlign w:val="center"/>
          </w:tcPr>
          <w:p w14:paraId="0E33BB87">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虾虎鱼目</w:t>
            </w:r>
          </w:p>
        </w:tc>
        <w:tc>
          <w:tcPr>
            <w:tcW w:w="2151" w:type="dxa"/>
            <w:tcBorders>
              <w:tl2br w:val="nil"/>
              <w:tr2bl w:val="nil"/>
            </w:tcBorders>
            <w:noWrap/>
            <w:vAlign w:val="center"/>
          </w:tcPr>
          <w:p w14:paraId="26E08C7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4.76</w:t>
            </w:r>
          </w:p>
        </w:tc>
        <w:tc>
          <w:tcPr>
            <w:tcW w:w="2187" w:type="dxa"/>
            <w:tcBorders>
              <w:tl2br w:val="nil"/>
              <w:tr2bl w:val="nil"/>
            </w:tcBorders>
            <w:noWrap/>
            <w:vAlign w:val="center"/>
          </w:tcPr>
          <w:p w14:paraId="77A00B1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45.25</w:t>
            </w:r>
          </w:p>
        </w:tc>
        <w:tc>
          <w:tcPr>
            <w:tcW w:w="2188" w:type="dxa"/>
            <w:tcBorders>
              <w:tl2br w:val="nil"/>
              <w:tr2bl w:val="nil"/>
            </w:tcBorders>
            <w:noWrap/>
            <w:vAlign w:val="center"/>
          </w:tcPr>
          <w:p w14:paraId="3EF9D0D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28.77</w:t>
            </w:r>
          </w:p>
        </w:tc>
      </w:tr>
    </w:tbl>
    <w:p w14:paraId="6173CD12">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4.2.5.3.3群落优势种</w:t>
      </w:r>
    </w:p>
    <w:p w14:paraId="58C60375">
      <w:pPr>
        <w:adjustRightInd w:val="0"/>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2023年监测结果显示，保护区生态优势度</w:t>
      </w:r>
      <w:r>
        <w:rPr>
          <w:rFonts w:ascii="Times New Roman" w:hAnsi="Times New Roman" w:eastAsia="宋体"/>
          <w:i/>
          <w:iCs/>
          <w:color w:val="auto"/>
          <w:sz w:val="24"/>
          <w:szCs w:val="28"/>
        </w:rPr>
        <w:t>IRI</w:t>
      </w:r>
      <w:r>
        <w:rPr>
          <w:rFonts w:ascii="Times New Roman" w:hAnsi="Times New Roman" w:eastAsia="宋体"/>
          <w:color w:val="auto"/>
          <w:sz w:val="24"/>
          <w:szCs w:val="28"/>
        </w:rPr>
        <w:t>指数大于1000的优势种共计5种，依次为刀鲚、鲢、似鳊、光泽黄颡鱼、蒙古鲌；</w:t>
      </w:r>
      <w:r>
        <w:rPr>
          <w:rFonts w:ascii="Times New Roman" w:hAnsi="Times New Roman" w:eastAsia="宋体"/>
          <w:i/>
          <w:iCs/>
          <w:color w:val="auto"/>
          <w:sz w:val="24"/>
          <w:szCs w:val="28"/>
        </w:rPr>
        <w:t>IRI</w:t>
      </w:r>
      <w:r>
        <w:rPr>
          <w:rFonts w:ascii="Times New Roman" w:hAnsi="Times New Roman" w:eastAsia="宋体"/>
          <w:color w:val="auto"/>
          <w:sz w:val="24"/>
          <w:szCs w:val="28"/>
        </w:rPr>
        <w:t>指数介于100至1000之间的常见种共9种，依次为蛇鮈、达氏鲌、鲫、翘嘴鲌、银鮈等</w:t>
      </w:r>
      <w:r>
        <w:rPr>
          <w:rFonts w:hint="eastAsia"/>
          <w:color w:val="auto"/>
          <w:sz w:val="24"/>
          <w:szCs w:val="28"/>
          <w:lang w:eastAsia="zh-CN"/>
        </w:rPr>
        <w:t>（</w:t>
      </w:r>
      <w:r>
        <w:rPr>
          <w:rFonts w:ascii="Times New Roman" w:hAnsi="Times New Roman" w:eastAsia="宋体"/>
          <w:color w:val="auto"/>
          <w:sz w:val="24"/>
          <w:szCs w:val="28"/>
        </w:rPr>
        <w:t>表4.2</w:t>
      </w:r>
      <w:r>
        <w:rPr>
          <w:rFonts w:hint="eastAsia" w:ascii="Times New Roman" w:hAnsi="Times New Roman" w:eastAsia="宋体"/>
          <w:color w:val="auto"/>
          <w:sz w:val="24"/>
          <w:szCs w:val="28"/>
          <w:lang w:val="en-US" w:eastAsia="zh-CN"/>
        </w:rPr>
        <w:t>-27</w:t>
      </w:r>
      <w:r>
        <w:rPr>
          <w:rFonts w:ascii="Times New Roman" w:hAnsi="Times New Roman" w:eastAsia="宋体"/>
          <w:color w:val="auto"/>
          <w:sz w:val="24"/>
          <w:szCs w:val="28"/>
        </w:rPr>
        <w:t>)。</w:t>
      </w:r>
    </w:p>
    <w:p w14:paraId="5DD3B1DD">
      <w:pPr>
        <w:spacing w:line="400" w:lineRule="exact"/>
        <w:jc w:val="center"/>
        <w:rPr>
          <w:rFonts w:ascii="Times New Roman" w:hAnsi="Times New Roman" w:eastAsia="黑体" w:cs="Times New Roman"/>
          <w:color w:val="auto"/>
          <w:sz w:val="24"/>
          <w:szCs w:val="21"/>
          <w:lang w:val="en-US" w:eastAsia="zh-CN"/>
        </w:rPr>
      </w:pPr>
      <w:r>
        <w:rPr>
          <w:rFonts w:ascii="Times New Roman" w:hAnsi="Times New Roman" w:eastAsia="黑体" w:cs="Times New Roman"/>
          <w:color w:val="auto"/>
          <w:sz w:val="24"/>
          <w:szCs w:val="21"/>
          <w:lang w:val="en-US" w:eastAsia="zh-CN"/>
        </w:rPr>
        <w:t>表4.2</w:t>
      </w:r>
      <w:r>
        <w:rPr>
          <w:rFonts w:hint="eastAsia" w:ascii="Times New Roman" w:hAnsi="Times New Roman" w:eastAsia="黑体" w:cs="Times New Roman"/>
          <w:color w:val="auto"/>
          <w:sz w:val="24"/>
          <w:szCs w:val="21"/>
          <w:lang w:val="en-US" w:eastAsia="zh-CN"/>
        </w:rPr>
        <w:t>-27</w:t>
      </w:r>
      <w:r>
        <w:rPr>
          <w:rFonts w:ascii="Times New Roman" w:hAnsi="Times New Roman" w:eastAsia="黑体" w:cs="Times New Roman"/>
          <w:color w:val="auto"/>
          <w:sz w:val="24"/>
          <w:szCs w:val="21"/>
          <w:lang w:val="en-US" w:eastAsia="zh-CN"/>
        </w:rPr>
        <w:t xml:space="preserve">  2023年度保护区渔业资源群落优势种</w:t>
      </w:r>
    </w:p>
    <w:tbl>
      <w:tblPr>
        <w:tblStyle w:val="53"/>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95"/>
        <w:gridCol w:w="2337"/>
        <w:gridCol w:w="2371"/>
        <w:gridCol w:w="2380"/>
      </w:tblGrid>
      <w:tr w14:paraId="7B7468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1182" w:type="pct"/>
            <w:tcBorders>
              <w:tl2br w:val="nil"/>
              <w:tr2bl w:val="nil"/>
            </w:tcBorders>
            <w:noWrap/>
            <w:vAlign w:val="center"/>
          </w:tcPr>
          <w:p w14:paraId="6B5804DD">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bookmarkStart w:id="90" w:name="_Hlk121367770"/>
            <w:r>
              <w:rPr>
                <w:rFonts w:hint="default" w:ascii="Times New Roman" w:hAnsi="Times New Roman" w:eastAsia="宋体"/>
                <w:b/>
                <w:bCs/>
                <w:color w:val="auto"/>
                <w:kern w:val="0"/>
                <w:sz w:val="21"/>
                <w:szCs w:val="21"/>
                <w:lang w:bidi="ar"/>
              </w:rPr>
              <w:t>物种</w:t>
            </w:r>
          </w:p>
        </w:tc>
        <w:tc>
          <w:tcPr>
            <w:tcW w:w="1258" w:type="pct"/>
            <w:tcBorders>
              <w:tl2br w:val="nil"/>
              <w:tr2bl w:val="nil"/>
            </w:tcBorders>
            <w:noWrap/>
            <w:vAlign w:val="center"/>
          </w:tcPr>
          <w:p w14:paraId="66B496DC">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数量%</w:t>
            </w:r>
          </w:p>
        </w:tc>
        <w:tc>
          <w:tcPr>
            <w:tcW w:w="1276" w:type="pct"/>
            <w:tcBorders>
              <w:tl2br w:val="nil"/>
              <w:tr2bl w:val="nil"/>
            </w:tcBorders>
            <w:noWrap/>
            <w:vAlign w:val="center"/>
          </w:tcPr>
          <w:p w14:paraId="0DCB9014">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重量%</w:t>
            </w:r>
          </w:p>
        </w:tc>
        <w:tc>
          <w:tcPr>
            <w:tcW w:w="1281" w:type="pct"/>
            <w:tcBorders>
              <w:tl2br w:val="nil"/>
              <w:tr2bl w:val="nil"/>
            </w:tcBorders>
            <w:noWrap/>
            <w:vAlign w:val="center"/>
          </w:tcPr>
          <w:p w14:paraId="47DB8861">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i/>
                <w:iCs/>
                <w:color w:val="auto"/>
                <w:kern w:val="0"/>
                <w:sz w:val="21"/>
                <w:szCs w:val="21"/>
                <w:lang w:bidi="ar"/>
              </w:rPr>
              <w:t>IRI</w:t>
            </w:r>
          </w:p>
        </w:tc>
      </w:tr>
      <w:tr w14:paraId="0F8865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2015" w:type="dxa"/>
            <w:tcBorders>
              <w:tl2br w:val="nil"/>
              <w:tr2bl w:val="nil"/>
            </w:tcBorders>
            <w:noWrap/>
            <w:vAlign w:val="center"/>
          </w:tcPr>
          <w:p w14:paraId="5179C9B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刀鲚</w:t>
            </w:r>
          </w:p>
        </w:tc>
        <w:tc>
          <w:tcPr>
            <w:tcW w:w="2145" w:type="dxa"/>
            <w:tcBorders>
              <w:tl2br w:val="nil"/>
              <w:tr2bl w:val="nil"/>
            </w:tcBorders>
            <w:noWrap/>
            <w:vAlign w:val="bottom"/>
          </w:tcPr>
          <w:p w14:paraId="4139577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35.94</w:t>
            </w:r>
          </w:p>
        </w:tc>
        <w:tc>
          <w:tcPr>
            <w:tcW w:w="2175" w:type="dxa"/>
            <w:tcBorders>
              <w:tl2br w:val="nil"/>
              <w:tr2bl w:val="nil"/>
            </w:tcBorders>
            <w:noWrap/>
            <w:vAlign w:val="bottom"/>
          </w:tcPr>
          <w:p w14:paraId="6372F31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14.98</w:t>
            </w:r>
          </w:p>
        </w:tc>
        <w:tc>
          <w:tcPr>
            <w:tcW w:w="2184" w:type="dxa"/>
            <w:tcBorders>
              <w:tl2br w:val="nil"/>
              <w:tr2bl w:val="nil"/>
            </w:tcBorders>
            <w:noWrap/>
            <w:vAlign w:val="bottom"/>
          </w:tcPr>
          <w:p w14:paraId="1180BE7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3819</w:t>
            </w:r>
          </w:p>
        </w:tc>
      </w:tr>
      <w:tr w14:paraId="77D111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2015" w:type="dxa"/>
            <w:tcBorders>
              <w:tl2br w:val="nil"/>
              <w:tr2bl w:val="nil"/>
            </w:tcBorders>
            <w:noWrap/>
            <w:vAlign w:val="center"/>
          </w:tcPr>
          <w:p w14:paraId="481BEB9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鲢</w:t>
            </w:r>
          </w:p>
        </w:tc>
        <w:tc>
          <w:tcPr>
            <w:tcW w:w="2145" w:type="dxa"/>
            <w:tcBorders>
              <w:tl2br w:val="nil"/>
              <w:tr2bl w:val="nil"/>
            </w:tcBorders>
            <w:noWrap/>
            <w:vAlign w:val="bottom"/>
          </w:tcPr>
          <w:p w14:paraId="07B4D19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0.93</w:t>
            </w:r>
          </w:p>
        </w:tc>
        <w:tc>
          <w:tcPr>
            <w:tcW w:w="2175" w:type="dxa"/>
            <w:tcBorders>
              <w:tl2br w:val="nil"/>
              <w:tr2bl w:val="nil"/>
            </w:tcBorders>
            <w:noWrap/>
            <w:vAlign w:val="bottom"/>
          </w:tcPr>
          <w:p w14:paraId="0347B9B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40.38</w:t>
            </w:r>
          </w:p>
        </w:tc>
        <w:tc>
          <w:tcPr>
            <w:tcW w:w="2184" w:type="dxa"/>
            <w:tcBorders>
              <w:tl2br w:val="nil"/>
              <w:tr2bl w:val="nil"/>
            </w:tcBorders>
            <w:noWrap/>
            <w:vAlign w:val="bottom"/>
          </w:tcPr>
          <w:p w14:paraId="28D8D48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2066</w:t>
            </w:r>
          </w:p>
        </w:tc>
      </w:tr>
      <w:tr w14:paraId="41C95E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2015" w:type="dxa"/>
            <w:tcBorders>
              <w:tl2br w:val="nil"/>
              <w:tr2bl w:val="nil"/>
            </w:tcBorders>
            <w:noWrap/>
            <w:vAlign w:val="center"/>
          </w:tcPr>
          <w:p w14:paraId="1701858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似鳊</w:t>
            </w:r>
          </w:p>
        </w:tc>
        <w:tc>
          <w:tcPr>
            <w:tcW w:w="2145" w:type="dxa"/>
            <w:tcBorders>
              <w:tl2br w:val="nil"/>
              <w:tr2bl w:val="nil"/>
            </w:tcBorders>
            <w:noWrap/>
            <w:vAlign w:val="bottom"/>
          </w:tcPr>
          <w:p w14:paraId="131F5D0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8.75</w:t>
            </w:r>
          </w:p>
        </w:tc>
        <w:tc>
          <w:tcPr>
            <w:tcW w:w="2175" w:type="dxa"/>
            <w:tcBorders>
              <w:tl2br w:val="nil"/>
              <w:tr2bl w:val="nil"/>
            </w:tcBorders>
            <w:noWrap/>
            <w:vAlign w:val="bottom"/>
          </w:tcPr>
          <w:p w14:paraId="04CCB7C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2.24</w:t>
            </w:r>
          </w:p>
        </w:tc>
        <w:tc>
          <w:tcPr>
            <w:tcW w:w="2184" w:type="dxa"/>
            <w:tcBorders>
              <w:tl2br w:val="nil"/>
              <w:tr2bl w:val="nil"/>
            </w:tcBorders>
            <w:noWrap/>
            <w:vAlign w:val="bottom"/>
          </w:tcPr>
          <w:p w14:paraId="39433D1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1099</w:t>
            </w:r>
          </w:p>
        </w:tc>
      </w:tr>
      <w:tr w14:paraId="7F309C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2015" w:type="dxa"/>
            <w:tcBorders>
              <w:tl2br w:val="nil"/>
              <w:tr2bl w:val="nil"/>
            </w:tcBorders>
            <w:noWrap/>
            <w:vAlign w:val="center"/>
          </w:tcPr>
          <w:p w14:paraId="55E9117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光泽黄颡鱼</w:t>
            </w:r>
          </w:p>
        </w:tc>
        <w:tc>
          <w:tcPr>
            <w:tcW w:w="2145" w:type="dxa"/>
            <w:tcBorders>
              <w:tl2br w:val="nil"/>
              <w:tr2bl w:val="nil"/>
            </w:tcBorders>
            <w:noWrap/>
            <w:vAlign w:val="bottom"/>
          </w:tcPr>
          <w:p w14:paraId="7EAEF83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11.17</w:t>
            </w:r>
          </w:p>
        </w:tc>
        <w:tc>
          <w:tcPr>
            <w:tcW w:w="2175" w:type="dxa"/>
            <w:tcBorders>
              <w:tl2br w:val="nil"/>
              <w:tr2bl w:val="nil"/>
            </w:tcBorders>
            <w:noWrap/>
            <w:vAlign w:val="bottom"/>
          </w:tcPr>
          <w:p w14:paraId="65A4990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2.70</w:t>
            </w:r>
          </w:p>
        </w:tc>
        <w:tc>
          <w:tcPr>
            <w:tcW w:w="2184" w:type="dxa"/>
            <w:tcBorders>
              <w:tl2br w:val="nil"/>
              <w:tr2bl w:val="nil"/>
            </w:tcBorders>
            <w:noWrap/>
            <w:vAlign w:val="bottom"/>
          </w:tcPr>
          <w:p w14:paraId="2C64A77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1040</w:t>
            </w:r>
          </w:p>
        </w:tc>
      </w:tr>
      <w:tr w14:paraId="3DA7D7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2015" w:type="dxa"/>
            <w:tcBorders>
              <w:tl2br w:val="nil"/>
              <w:tr2bl w:val="nil"/>
            </w:tcBorders>
            <w:noWrap/>
            <w:vAlign w:val="center"/>
          </w:tcPr>
          <w:p w14:paraId="2893E35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蒙古鲌</w:t>
            </w:r>
          </w:p>
        </w:tc>
        <w:tc>
          <w:tcPr>
            <w:tcW w:w="2145" w:type="dxa"/>
            <w:tcBorders>
              <w:tl2br w:val="nil"/>
              <w:tr2bl w:val="nil"/>
            </w:tcBorders>
            <w:noWrap/>
            <w:vAlign w:val="bottom"/>
          </w:tcPr>
          <w:p w14:paraId="782734A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8.01</w:t>
            </w:r>
          </w:p>
        </w:tc>
        <w:tc>
          <w:tcPr>
            <w:tcW w:w="2175" w:type="dxa"/>
            <w:tcBorders>
              <w:tl2br w:val="nil"/>
              <w:tr2bl w:val="nil"/>
            </w:tcBorders>
            <w:noWrap/>
            <w:vAlign w:val="bottom"/>
          </w:tcPr>
          <w:p w14:paraId="5F60D21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5.35</w:t>
            </w:r>
          </w:p>
        </w:tc>
        <w:tc>
          <w:tcPr>
            <w:tcW w:w="2184" w:type="dxa"/>
            <w:tcBorders>
              <w:tl2br w:val="nil"/>
              <w:tr2bl w:val="nil"/>
            </w:tcBorders>
            <w:noWrap/>
            <w:vAlign w:val="bottom"/>
          </w:tcPr>
          <w:p w14:paraId="1F79B20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1002</w:t>
            </w:r>
          </w:p>
        </w:tc>
      </w:tr>
      <w:tr w14:paraId="559823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2015" w:type="dxa"/>
            <w:tcBorders>
              <w:tl2br w:val="nil"/>
              <w:tr2bl w:val="nil"/>
            </w:tcBorders>
            <w:noWrap/>
            <w:vAlign w:val="center"/>
          </w:tcPr>
          <w:p w14:paraId="7460A93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蛇鮈</w:t>
            </w:r>
          </w:p>
        </w:tc>
        <w:tc>
          <w:tcPr>
            <w:tcW w:w="2145" w:type="dxa"/>
            <w:tcBorders>
              <w:tl2br w:val="nil"/>
              <w:tr2bl w:val="nil"/>
            </w:tcBorders>
            <w:noWrap/>
            <w:vAlign w:val="bottom"/>
          </w:tcPr>
          <w:p w14:paraId="4CB3F79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9.68</w:t>
            </w:r>
          </w:p>
        </w:tc>
        <w:tc>
          <w:tcPr>
            <w:tcW w:w="2175" w:type="dxa"/>
            <w:tcBorders>
              <w:tl2br w:val="nil"/>
              <w:tr2bl w:val="nil"/>
            </w:tcBorders>
            <w:noWrap/>
            <w:vAlign w:val="bottom"/>
          </w:tcPr>
          <w:p w14:paraId="7F8A4C2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2.66</w:t>
            </w:r>
          </w:p>
        </w:tc>
        <w:tc>
          <w:tcPr>
            <w:tcW w:w="2184" w:type="dxa"/>
            <w:tcBorders>
              <w:tl2br w:val="nil"/>
              <w:tr2bl w:val="nil"/>
            </w:tcBorders>
            <w:noWrap/>
            <w:vAlign w:val="bottom"/>
          </w:tcPr>
          <w:p w14:paraId="15A0DAE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925</w:t>
            </w:r>
          </w:p>
        </w:tc>
      </w:tr>
      <w:tr w14:paraId="5F536A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2015" w:type="dxa"/>
            <w:tcBorders>
              <w:tl2br w:val="nil"/>
              <w:tr2bl w:val="nil"/>
            </w:tcBorders>
            <w:noWrap/>
            <w:vAlign w:val="center"/>
          </w:tcPr>
          <w:p w14:paraId="26A44E2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达氏鲌</w:t>
            </w:r>
          </w:p>
        </w:tc>
        <w:tc>
          <w:tcPr>
            <w:tcW w:w="2145" w:type="dxa"/>
            <w:tcBorders>
              <w:tl2br w:val="nil"/>
              <w:tr2bl w:val="nil"/>
            </w:tcBorders>
            <w:noWrap/>
            <w:vAlign w:val="bottom"/>
          </w:tcPr>
          <w:p w14:paraId="0B9D9C9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6.15</w:t>
            </w:r>
          </w:p>
        </w:tc>
        <w:tc>
          <w:tcPr>
            <w:tcW w:w="2175" w:type="dxa"/>
            <w:tcBorders>
              <w:tl2br w:val="nil"/>
              <w:tr2bl w:val="nil"/>
            </w:tcBorders>
            <w:noWrap/>
            <w:vAlign w:val="bottom"/>
          </w:tcPr>
          <w:p w14:paraId="017BE80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5.90</w:t>
            </w:r>
          </w:p>
        </w:tc>
        <w:tc>
          <w:tcPr>
            <w:tcW w:w="2184" w:type="dxa"/>
            <w:tcBorders>
              <w:tl2br w:val="nil"/>
              <w:tr2bl w:val="nil"/>
            </w:tcBorders>
            <w:noWrap/>
            <w:vAlign w:val="bottom"/>
          </w:tcPr>
          <w:p w14:paraId="26B04AB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904</w:t>
            </w:r>
          </w:p>
        </w:tc>
      </w:tr>
      <w:tr w14:paraId="1C3678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2015" w:type="dxa"/>
            <w:tcBorders>
              <w:tl2br w:val="nil"/>
              <w:tr2bl w:val="nil"/>
            </w:tcBorders>
            <w:noWrap/>
            <w:vAlign w:val="center"/>
          </w:tcPr>
          <w:p w14:paraId="6C1B365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鲫</w:t>
            </w:r>
          </w:p>
        </w:tc>
        <w:tc>
          <w:tcPr>
            <w:tcW w:w="2145" w:type="dxa"/>
            <w:tcBorders>
              <w:tl2br w:val="nil"/>
              <w:tr2bl w:val="nil"/>
            </w:tcBorders>
            <w:noWrap/>
            <w:vAlign w:val="bottom"/>
          </w:tcPr>
          <w:p w14:paraId="520BA86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1.49</w:t>
            </w:r>
          </w:p>
        </w:tc>
        <w:tc>
          <w:tcPr>
            <w:tcW w:w="2175" w:type="dxa"/>
            <w:tcBorders>
              <w:tl2br w:val="nil"/>
              <w:tr2bl w:val="nil"/>
            </w:tcBorders>
            <w:noWrap/>
            <w:vAlign w:val="bottom"/>
          </w:tcPr>
          <w:p w14:paraId="53541B1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6.36</w:t>
            </w:r>
          </w:p>
        </w:tc>
        <w:tc>
          <w:tcPr>
            <w:tcW w:w="2184" w:type="dxa"/>
            <w:tcBorders>
              <w:tl2br w:val="nil"/>
              <w:tr2bl w:val="nil"/>
            </w:tcBorders>
            <w:noWrap/>
            <w:vAlign w:val="bottom"/>
          </w:tcPr>
          <w:p w14:paraId="3068235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588</w:t>
            </w:r>
          </w:p>
        </w:tc>
      </w:tr>
      <w:tr w14:paraId="433060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2015" w:type="dxa"/>
            <w:tcBorders>
              <w:tl2br w:val="nil"/>
              <w:tr2bl w:val="nil"/>
            </w:tcBorders>
            <w:noWrap/>
            <w:vAlign w:val="center"/>
          </w:tcPr>
          <w:p w14:paraId="1941AC7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翘嘴鲌</w:t>
            </w:r>
          </w:p>
        </w:tc>
        <w:tc>
          <w:tcPr>
            <w:tcW w:w="2145" w:type="dxa"/>
            <w:tcBorders>
              <w:tl2br w:val="nil"/>
              <w:tr2bl w:val="nil"/>
            </w:tcBorders>
            <w:noWrap/>
            <w:vAlign w:val="bottom"/>
          </w:tcPr>
          <w:p w14:paraId="32AB34F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2.98</w:t>
            </w:r>
          </w:p>
        </w:tc>
        <w:tc>
          <w:tcPr>
            <w:tcW w:w="2175" w:type="dxa"/>
            <w:tcBorders>
              <w:tl2br w:val="nil"/>
              <w:tr2bl w:val="nil"/>
            </w:tcBorders>
            <w:noWrap/>
            <w:vAlign w:val="bottom"/>
          </w:tcPr>
          <w:p w14:paraId="65889B5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2.62</w:t>
            </w:r>
          </w:p>
        </w:tc>
        <w:tc>
          <w:tcPr>
            <w:tcW w:w="2184" w:type="dxa"/>
            <w:tcBorders>
              <w:tl2br w:val="nil"/>
              <w:tr2bl w:val="nil"/>
            </w:tcBorders>
            <w:noWrap/>
            <w:vAlign w:val="bottom"/>
          </w:tcPr>
          <w:p w14:paraId="1E8C4EB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280</w:t>
            </w:r>
          </w:p>
        </w:tc>
      </w:tr>
      <w:tr w14:paraId="740806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2015" w:type="dxa"/>
            <w:tcBorders>
              <w:tl2br w:val="nil"/>
              <w:tr2bl w:val="nil"/>
            </w:tcBorders>
            <w:noWrap/>
            <w:vAlign w:val="center"/>
          </w:tcPr>
          <w:p w14:paraId="0BBC2BA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银鮈</w:t>
            </w:r>
          </w:p>
        </w:tc>
        <w:tc>
          <w:tcPr>
            <w:tcW w:w="2145" w:type="dxa"/>
            <w:tcBorders>
              <w:tl2br w:val="nil"/>
              <w:tr2bl w:val="nil"/>
            </w:tcBorders>
            <w:noWrap/>
            <w:vAlign w:val="bottom"/>
          </w:tcPr>
          <w:p w14:paraId="2FE7637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3.72</w:t>
            </w:r>
          </w:p>
        </w:tc>
        <w:tc>
          <w:tcPr>
            <w:tcW w:w="2175" w:type="dxa"/>
            <w:tcBorders>
              <w:tl2br w:val="nil"/>
              <w:tr2bl w:val="nil"/>
            </w:tcBorders>
            <w:noWrap/>
            <w:vAlign w:val="bottom"/>
          </w:tcPr>
          <w:p w14:paraId="64E5F9F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1.25</w:t>
            </w:r>
          </w:p>
        </w:tc>
        <w:tc>
          <w:tcPr>
            <w:tcW w:w="2184" w:type="dxa"/>
            <w:tcBorders>
              <w:tl2br w:val="nil"/>
              <w:tr2bl w:val="nil"/>
            </w:tcBorders>
            <w:noWrap/>
            <w:vAlign w:val="bottom"/>
          </w:tcPr>
          <w:p w14:paraId="05487C1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249</w:t>
            </w:r>
          </w:p>
        </w:tc>
      </w:tr>
      <w:tr w14:paraId="1EA8C7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2015" w:type="dxa"/>
            <w:tcBorders>
              <w:tl2br w:val="nil"/>
              <w:tr2bl w:val="nil"/>
            </w:tcBorders>
            <w:noWrap/>
            <w:vAlign w:val="center"/>
          </w:tcPr>
          <w:p w14:paraId="67F641C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大鳍鱊</w:t>
            </w:r>
          </w:p>
        </w:tc>
        <w:tc>
          <w:tcPr>
            <w:tcW w:w="2145" w:type="dxa"/>
            <w:tcBorders>
              <w:tl2br w:val="nil"/>
              <w:tr2bl w:val="nil"/>
            </w:tcBorders>
            <w:noWrap/>
            <w:vAlign w:val="bottom"/>
          </w:tcPr>
          <w:p w14:paraId="11868AC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3.54</w:t>
            </w:r>
          </w:p>
        </w:tc>
        <w:tc>
          <w:tcPr>
            <w:tcW w:w="2175" w:type="dxa"/>
            <w:tcBorders>
              <w:tl2br w:val="nil"/>
              <w:tr2bl w:val="nil"/>
            </w:tcBorders>
            <w:noWrap/>
            <w:vAlign w:val="bottom"/>
          </w:tcPr>
          <w:p w14:paraId="7BCD95C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0.36</w:t>
            </w:r>
          </w:p>
        </w:tc>
        <w:tc>
          <w:tcPr>
            <w:tcW w:w="2184" w:type="dxa"/>
            <w:tcBorders>
              <w:tl2br w:val="nil"/>
              <w:tr2bl w:val="nil"/>
            </w:tcBorders>
            <w:noWrap/>
            <w:vAlign w:val="bottom"/>
          </w:tcPr>
          <w:p w14:paraId="1285DB8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195</w:t>
            </w:r>
          </w:p>
        </w:tc>
      </w:tr>
      <w:tr w14:paraId="460EEC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2015" w:type="dxa"/>
            <w:tcBorders>
              <w:tl2br w:val="nil"/>
              <w:tr2bl w:val="nil"/>
            </w:tcBorders>
            <w:noWrap/>
            <w:vAlign w:val="center"/>
          </w:tcPr>
          <w:p w14:paraId="0EAA50F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䱗</w:t>
            </w:r>
          </w:p>
        </w:tc>
        <w:tc>
          <w:tcPr>
            <w:tcW w:w="2145" w:type="dxa"/>
            <w:tcBorders>
              <w:tl2br w:val="nil"/>
              <w:tr2bl w:val="nil"/>
            </w:tcBorders>
            <w:noWrap/>
            <w:vAlign w:val="bottom"/>
          </w:tcPr>
          <w:p w14:paraId="3E931B2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1.68</w:t>
            </w:r>
          </w:p>
        </w:tc>
        <w:tc>
          <w:tcPr>
            <w:tcW w:w="2175" w:type="dxa"/>
            <w:tcBorders>
              <w:tl2br w:val="nil"/>
              <w:tr2bl w:val="nil"/>
            </w:tcBorders>
            <w:noWrap/>
            <w:vAlign w:val="bottom"/>
          </w:tcPr>
          <w:p w14:paraId="0E35AAD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0.39</w:t>
            </w:r>
          </w:p>
        </w:tc>
        <w:tc>
          <w:tcPr>
            <w:tcW w:w="2184" w:type="dxa"/>
            <w:tcBorders>
              <w:tl2br w:val="nil"/>
              <w:tr2bl w:val="nil"/>
            </w:tcBorders>
            <w:noWrap/>
            <w:vAlign w:val="bottom"/>
          </w:tcPr>
          <w:p w14:paraId="7D8FBD8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155</w:t>
            </w:r>
          </w:p>
        </w:tc>
      </w:tr>
      <w:tr w14:paraId="62D3BD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2015" w:type="dxa"/>
            <w:tcBorders>
              <w:tl2br w:val="nil"/>
              <w:tr2bl w:val="nil"/>
            </w:tcBorders>
            <w:noWrap/>
            <w:vAlign w:val="center"/>
          </w:tcPr>
          <w:p w14:paraId="6D3B96D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鳊</w:t>
            </w:r>
          </w:p>
        </w:tc>
        <w:tc>
          <w:tcPr>
            <w:tcW w:w="2145" w:type="dxa"/>
            <w:tcBorders>
              <w:tl2br w:val="nil"/>
              <w:tr2bl w:val="nil"/>
            </w:tcBorders>
            <w:noWrap/>
            <w:vAlign w:val="bottom"/>
          </w:tcPr>
          <w:p w14:paraId="4EB5460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0.56</w:t>
            </w:r>
          </w:p>
        </w:tc>
        <w:tc>
          <w:tcPr>
            <w:tcW w:w="2175" w:type="dxa"/>
            <w:tcBorders>
              <w:tl2br w:val="nil"/>
              <w:tr2bl w:val="nil"/>
            </w:tcBorders>
            <w:noWrap/>
            <w:vAlign w:val="bottom"/>
          </w:tcPr>
          <w:p w14:paraId="4C26593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2.13</w:t>
            </w:r>
          </w:p>
        </w:tc>
        <w:tc>
          <w:tcPr>
            <w:tcW w:w="2184" w:type="dxa"/>
            <w:tcBorders>
              <w:tl2br w:val="nil"/>
              <w:tr2bl w:val="nil"/>
            </w:tcBorders>
            <w:noWrap/>
            <w:vAlign w:val="bottom"/>
          </w:tcPr>
          <w:p w14:paraId="6505F1D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134</w:t>
            </w:r>
          </w:p>
        </w:tc>
      </w:tr>
      <w:tr w14:paraId="58B823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2015" w:type="dxa"/>
            <w:tcBorders>
              <w:tl2br w:val="nil"/>
              <w:tr2bl w:val="nil"/>
            </w:tcBorders>
            <w:noWrap/>
            <w:vAlign w:val="center"/>
          </w:tcPr>
          <w:p w14:paraId="7D8A0E7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鲤</w:t>
            </w:r>
          </w:p>
        </w:tc>
        <w:tc>
          <w:tcPr>
            <w:tcW w:w="2145" w:type="dxa"/>
            <w:tcBorders>
              <w:tl2br w:val="nil"/>
              <w:tr2bl w:val="nil"/>
            </w:tcBorders>
            <w:noWrap/>
            <w:vAlign w:val="bottom"/>
          </w:tcPr>
          <w:p w14:paraId="0E332EB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0.19</w:t>
            </w:r>
          </w:p>
        </w:tc>
        <w:tc>
          <w:tcPr>
            <w:tcW w:w="2175" w:type="dxa"/>
            <w:tcBorders>
              <w:tl2br w:val="nil"/>
              <w:tr2bl w:val="nil"/>
            </w:tcBorders>
            <w:noWrap/>
            <w:vAlign w:val="bottom"/>
          </w:tcPr>
          <w:p w14:paraId="424EE1C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4.12</w:t>
            </w:r>
          </w:p>
        </w:tc>
        <w:tc>
          <w:tcPr>
            <w:tcW w:w="2184" w:type="dxa"/>
            <w:tcBorders>
              <w:tl2br w:val="nil"/>
              <w:tr2bl w:val="nil"/>
            </w:tcBorders>
            <w:noWrap/>
            <w:vAlign w:val="bottom"/>
          </w:tcPr>
          <w:p w14:paraId="66A9E89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108</w:t>
            </w:r>
          </w:p>
        </w:tc>
      </w:tr>
      <w:bookmarkEnd w:id="90"/>
    </w:tbl>
    <w:p w14:paraId="3CABF3C7">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rPr>
        <w:t>繁殖期：保护区生态优势度</w:t>
      </w:r>
      <w:r>
        <w:rPr>
          <w:rFonts w:ascii="Times New Roman" w:hAnsi="Times New Roman" w:eastAsia="宋体"/>
          <w:i/>
          <w:iCs/>
          <w:color w:val="auto"/>
          <w:sz w:val="24"/>
          <w:szCs w:val="28"/>
        </w:rPr>
        <w:t>IRI</w:t>
      </w:r>
      <w:r>
        <w:rPr>
          <w:rFonts w:hint="eastAsia"/>
          <w:i/>
          <w:iCs/>
          <w:color w:val="auto"/>
          <w:sz w:val="24"/>
          <w:szCs w:val="28"/>
          <w:lang w:eastAsia="zh-CN"/>
        </w:rPr>
        <w:t>指数</w:t>
      </w:r>
      <w:r>
        <w:rPr>
          <w:rFonts w:ascii="Times New Roman" w:hAnsi="Times New Roman" w:eastAsia="宋体"/>
          <w:color w:val="auto"/>
          <w:sz w:val="24"/>
          <w:szCs w:val="22"/>
        </w:rPr>
        <w:t>大于1000的优势种共计2种，依次为鲢、蛇鮈；</w:t>
      </w:r>
      <w:r>
        <w:rPr>
          <w:rFonts w:ascii="Times New Roman" w:hAnsi="Times New Roman" w:eastAsia="宋体"/>
          <w:i/>
          <w:iCs/>
          <w:color w:val="auto"/>
          <w:sz w:val="24"/>
          <w:szCs w:val="22"/>
        </w:rPr>
        <w:t>IRI</w:t>
      </w:r>
      <w:r>
        <w:rPr>
          <w:rFonts w:ascii="Times New Roman" w:hAnsi="Times New Roman" w:eastAsia="宋体"/>
          <w:color w:val="auto"/>
          <w:sz w:val="24"/>
          <w:szCs w:val="22"/>
        </w:rPr>
        <w:t>指数介于100至1000之间的常见种共15种，依次为蒙古鲌、似鳊、刀鲚、银鮈、达氏鲌等</w:t>
      </w:r>
      <w:r>
        <w:rPr>
          <w:rFonts w:hint="eastAsia"/>
          <w:color w:val="auto"/>
          <w:sz w:val="24"/>
          <w:szCs w:val="22"/>
          <w:lang w:eastAsia="zh-CN"/>
        </w:rPr>
        <w:t>（</w:t>
      </w:r>
      <w:r>
        <w:rPr>
          <w:rFonts w:ascii="Times New Roman" w:hAnsi="Times New Roman" w:eastAsia="宋体"/>
          <w:color w:val="auto"/>
          <w:sz w:val="24"/>
          <w:szCs w:val="22"/>
        </w:rPr>
        <w:t>表4.2</w:t>
      </w:r>
      <w:r>
        <w:rPr>
          <w:rFonts w:hint="eastAsia" w:ascii="Times New Roman" w:hAnsi="Times New Roman" w:eastAsia="宋体"/>
          <w:color w:val="auto"/>
          <w:sz w:val="24"/>
          <w:szCs w:val="22"/>
          <w:lang w:val="en-US" w:eastAsia="zh-CN"/>
        </w:rPr>
        <w:t>-28</w:t>
      </w:r>
      <w:r>
        <w:rPr>
          <w:rFonts w:ascii="Times New Roman" w:hAnsi="Times New Roman" w:eastAsia="宋体"/>
          <w:color w:val="auto"/>
          <w:sz w:val="24"/>
          <w:szCs w:val="22"/>
        </w:rPr>
        <w:t>)。</w:t>
      </w:r>
    </w:p>
    <w:p w14:paraId="5EE08B48">
      <w:pPr>
        <w:spacing w:line="400" w:lineRule="exact"/>
        <w:jc w:val="center"/>
        <w:rPr>
          <w:rFonts w:ascii="Times New Roman" w:hAnsi="Times New Roman" w:eastAsia="黑体" w:cs="Times New Roman"/>
          <w:color w:val="auto"/>
          <w:sz w:val="24"/>
          <w:szCs w:val="21"/>
          <w:lang w:val="en-US" w:eastAsia="zh-CN"/>
        </w:rPr>
      </w:pPr>
      <w:r>
        <w:rPr>
          <w:rFonts w:ascii="Times New Roman" w:hAnsi="Times New Roman" w:eastAsia="黑体" w:cs="Times New Roman"/>
          <w:color w:val="auto"/>
          <w:sz w:val="24"/>
          <w:szCs w:val="21"/>
          <w:lang w:val="en-US" w:eastAsia="zh-CN"/>
        </w:rPr>
        <w:t>表4.2</w:t>
      </w:r>
      <w:r>
        <w:rPr>
          <w:rFonts w:hint="eastAsia" w:ascii="Times New Roman" w:hAnsi="Times New Roman" w:eastAsia="黑体" w:cs="Times New Roman"/>
          <w:color w:val="auto"/>
          <w:sz w:val="24"/>
          <w:szCs w:val="21"/>
          <w:lang w:val="en-US" w:eastAsia="zh-CN"/>
        </w:rPr>
        <w:t>-28</w:t>
      </w:r>
      <w:r>
        <w:rPr>
          <w:rFonts w:ascii="Times New Roman" w:hAnsi="Times New Roman" w:eastAsia="黑体" w:cs="Times New Roman"/>
          <w:color w:val="auto"/>
          <w:sz w:val="24"/>
          <w:szCs w:val="21"/>
          <w:lang w:val="en-US" w:eastAsia="zh-CN"/>
        </w:rPr>
        <w:t xml:space="preserve">  2023年繁殖期保护区渔业群落优势种</w:t>
      </w:r>
    </w:p>
    <w:tbl>
      <w:tblPr>
        <w:tblStyle w:val="53"/>
        <w:tblW w:w="510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31"/>
        <w:gridCol w:w="2342"/>
        <w:gridCol w:w="2357"/>
        <w:gridCol w:w="2369"/>
      </w:tblGrid>
      <w:tr w14:paraId="7C23DC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199" w:type="pct"/>
            <w:tcBorders>
              <w:tl2br w:val="nil"/>
              <w:tr2bl w:val="nil"/>
            </w:tcBorders>
            <w:noWrap/>
            <w:tcMar>
              <w:top w:w="15" w:type="dxa"/>
              <w:left w:w="15" w:type="dxa"/>
              <w:right w:w="15" w:type="dxa"/>
            </w:tcMar>
            <w:vAlign w:val="center"/>
          </w:tcPr>
          <w:p w14:paraId="4DDD38BE">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物种</w:t>
            </w:r>
          </w:p>
        </w:tc>
        <w:tc>
          <w:tcPr>
            <w:tcW w:w="1259" w:type="pct"/>
            <w:tcBorders>
              <w:tl2br w:val="nil"/>
              <w:tr2bl w:val="nil"/>
            </w:tcBorders>
            <w:noWrap w:val="0"/>
            <w:tcMar>
              <w:top w:w="15" w:type="dxa"/>
              <w:left w:w="15" w:type="dxa"/>
              <w:right w:w="15" w:type="dxa"/>
            </w:tcMar>
            <w:vAlign w:val="center"/>
          </w:tcPr>
          <w:p w14:paraId="11F507F4">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数量%</w:t>
            </w:r>
          </w:p>
        </w:tc>
        <w:tc>
          <w:tcPr>
            <w:tcW w:w="1267" w:type="pct"/>
            <w:tcBorders>
              <w:tl2br w:val="nil"/>
              <w:tr2bl w:val="nil"/>
            </w:tcBorders>
            <w:noWrap w:val="0"/>
            <w:tcMar>
              <w:top w:w="15" w:type="dxa"/>
              <w:left w:w="15" w:type="dxa"/>
              <w:right w:w="15" w:type="dxa"/>
            </w:tcMar>
            <w:vAlign w:val="center"/>
          </w:tcPr>
          <w:p w14:paraId="108B886D">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重量%</w:t>
            </w:r>
          </w:p>
        </w:tc>
        <w:tc>
          <w:tcPr>
            <w:tcW w:w="1273" w:type="pct"/>
            <w:tcBorders>
              <w:tl2br w:val="nil"/>
              <w:tr2bl w:val="nil"/>
            </w:tcBorders>
            <w:noWrap w:val="0"/>
            <w:tcMar>
              <w:top w:w="15" w:type="dxa"/>
              <w:left w:w="15" w:type="dxa"/>
              <w:right w:w="15" w:type="dxa"/>
            </w:tcMar>
            <w:vAlign w:val="center"/>
          </w:tcPr>
          <w:p w14:paraId="2F4B4BBA">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i/>
                <w:iCs/>
                <w:color w:val="auto"/>
                <w:kern w:val="0"/>
                <w:sz w:val="21"/>
                <w:szCs w:val="21"/>
                <w:lang w:bidi="ar"/>
              </w:rPr>
              <w:t>IRI</w:t>
            </w:r>
          </w:p>
        </w:tc>
      </w:tr>
      <w:tr w14:paraId="46F4CD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199" w:type="pct"/>
            <w:tcBorders>
              <w:tl2br w:val="nil"/>
              <w:tr2bl w:val="nil"/>
            </w:tcBorders>
            <w:noWrap/>
            <w:tcMar>
              <w:top w:w="15" w:type="dxa"/>
              <w:left w:w="15" w:type="dxa"/>
              <w:right w:w="15" w:type="dxa"/>
            </w:tcMar>
            <w:vAlign w:val="center"/>
          </w:tcPr>
          <w:p w14:paraId="4626917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鲢</w:t>
            </w:r>
          </w:p>
        </w:tc>
        <w:tc>
          <w:tcPr>
            <w:tcW w:w="1259" w:type="pct"/>
            <w:tcBorders>
              <w:tl2br w:val="nil"/>
              <w:tr2bl w:val="nil"/>
            </w:tcBorders>
            <w:noWrap/>
            <w:tcMar>
              <w:top w:w="15" w:type="dxa"/>
              <w:left w:w="15" w:type="dxa"/>
              <w:right w:w="15" w:type="dxa"/>
            </w:tcMar>
            <w:vAlign w:val="bottom"/>
          </w:tcPr>
          <w:p w14:paraId="0464095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2.19</w:t>
            </w:r>
          </w:p>
        </w:tc>
        <w:tc>
          <w:tcPr>
            <w:tcW w:w="1267" w:type="pct"/>
            <w:tcBorders>
              <w:tl2br w:val="nil"/>
              <w:tr2bl w:val="nil"/>
            </w:tcBorders>
            <w:noWrap/>
            <w:tcMar>
              <w:top w:w="15" w:type="dxa"/>
              <w:left w:w="15" w:type="dxa"/>
              <w:right w:w="15" w:type="dxa"/>
            </w:tcMar>
            <w:vAlign w:val="bottom"/>
          </w:tcPr>
          <w:p w14:paraId="0118909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55.95</w:t>
            </w:r>
          </w:p>
        </w:tc>
        <w:tc>
          <w:tcPr>
            <w:tcW w:w="1273" w:type="pct"/>
            <w:tcBorders>
              <w:tl2br w:val="nil"/>
              <w:tr2bl w:val="nil"/>
            </w:tcBorders>
            <w:noWrap/>
            <w:tcMar>
              <w:top w:w="15" w:type="dxa"/>
              <w:left w:w="15" w:type="dxa"/>
              <w:right w:w="15" w:type="dxa"/>
            </w:tcMar>
            <w:vAlign w:val="bottom"/>
          </w:tcPr>
          <w:p w14:paraId="25CD1A5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2907</w:t>
            </w:r>
          </w:p>
        </w:tc>
      </w:tr>
      <w:tr w14:paraId="761338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199" w:type="pct"/>
            <w:tcBorders>
              <w:tl2br w:val="nil"/>
              <w:tr2bl w:val="nil"/>
            </w:tcBorders>
            <w:noWrap/>
            <w:tcMar>
              <w:top w:w="15" w:type="dxa"/>
              <w:left w:w="15" w:type="dxa"/>
              <w:right w:w="15" w:type="dxa"/>
            </w:tcMar>
            <w:vAlign w:val="center"/>
          </w:tcPr>
          <w:p w14:paraId="2E62C6E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蛇鮈</w:t>
            </w:r>
          </w:p>
        </w:tc>
        <w:tc>
          <w:tcPr>
            <w:tcW w:w="1259" w:type="pct"/>
            <w:tcBorders>
              <w:tl2br w:val="nil"/>
              <w:tr2bl w:val="nil"/>
            </w:tcBorders>
            <w:noWrap/>
            <w:tcMar>
              <w:top w:w="15" w:type="dxa"/>
              <w:left w:w="15" w:type="dxa"/>
              <w:right w:w="15" w:type="dxa"/>
            </w:tcMar>
            <w:vAlign w:val="bottom"/>
          </w:tcPr>
          <w:p w14:paraId="7A0DCF3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29.20</w:t>
            </w:r>
          </w:p>
        </w:tc>
        <w:tc>
          <w:tcPr>
            <w:tcW w:w="1267" w:type="pct"/>
            <w:tcBorders>
              <w:tl2br w:val="nil"/>
              <w:tr2bl w:val="nil"/>
            </w:tcBorders>
            <w:noWrap/>
            <w:tcMar>
              <w:top w:w="15" w:type="dxa"/>
              <w:left w:w="15" w:type="dxa"/>
              <w:right w:w="15" w:type="dxa"/>
            </w:tcMar>
            <w:vAlign w:val="bottom"/>
          </w:tcPr>
          <w:p w14:paraId="10241E8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3.88</w:t>
            </w:r>
          </w:p>
        </w:tc>
        <w:tc>
          <w:tcPr>
            <w:tcW w:w="1273" w:type="pct"/>
            <w:tcBorders>
              <w:tl2br w:val="nil"/>
              <w:tr2bl w:val="nil"/>
            </w:tcBorders>
            <w:noWrap/>
            <w:tcMar>
              <w:top w:w="15" w:type="dxa"/>
              <w:left w:w="15" w:type="dxa"/>
              <w:right w:w="15" w:type="dxa"/>
            </w:tcMar>
            <w:vAlign w:val="bottom"/>
          </w:tcPr>
          <w:p w14:paraId="2DADA2F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1654</w:t>
            </w:r>
          </w:p>
        </w:tc>
      </w:tr>
      <w:tr w14:paraId="4C9919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199" w:type="pct"/>
            <w:tcBorders>
              <w:tl2br w:val="nil"/>
              <w:tr2bl w:val="nil"/>
            </w:tcBorders>
            <w:noWrap/>
            <w:tcMar>
              <w:top w:w="15" w:type="dxa"/>
              <w:left w:w="15" w:type="dxa"/>
              <w:right w:w="15" w:type="dxa"/>
            </w:tcMar>
            <w:vAlign w:val="center"/>
          </w:tcPr>
          <w:p w14:paraId="228EB12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蒙古鲌</w:t>
            </w:r>
          </w:p>
        </w:tc>
        <w:tc>
          <w:tcPr>
            <w:tcW w:w="1259" w:type="pct"/>
            <w:tcBorders>
              <w:tl2br w:val="nil"/>
              <w:tr2bl w:val="nil"/>
            </w:tcBorders>
            <w:noWrap/>
            <w:tcMar>
              <w:top w:w="15" w:type="dxa"/>
              <w:left w:w="15" w:type="dxa"/>
              <w:right w:w="15" w:type="dxa"/>
            </w:tcMar>
            <w:vAlign w:val="bottom"/>
          </w:tcPr>
          <w:p w14:paraId="183CE65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16.79</w:t>
            </w:r>
          </w:p>
        </w:tc>
        <w:tc>
          <w:tcPr>
            <w:tcW w:w="1267" w:type="pct"/>
            <w:tcBorders>
              <w:tl2br w:val="nil"/>
              <w:tr2bl w:val="nil"/>
            </w:tcBorders>
            <w:noWrap/>
            <w:tcMar>
              <w:top w:w="15" w:type="dxa"/>
              <w:left w:w="15" w:type="dxa"/>
              <w:right w:w="15" w:type="dxa"/>
            </w:tcMar>
            <w:vAlign w:val="bottom"/>
          </w:tcPr>
          <w:p w14:paraId="18A90EE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2.37</w:t>
            </w:r>
          </w:p>
        </w:tc>
        <w:tc>
          <w:tcPr>
            <w:tcW w:w="1273" w:type="pct"/>
            <w:tcBorders>
              <w:tl2br w:val="nil"/>
              <w:tr2bl w:val="nil"/>
            </w:tcBorders>
            <w:noWrap/>
            <w:tcMar>
              <w:top w:w="15" w:type="dxa"/>
              <w:left w:w="15" w:type="dxa"/>
              <w:right w:w="15" w:type="dxa"/>
            </w:tcMar>
            <w:vAlign w:val="bottom"/>
          </w:tcPr>
          <w:p w14:paraId="323F9E5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958</w:t>
            </w:r>
          </w:p>
        </w:tc>
      </w:tr>
      <w:tr w14:paraId="6C8E83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199" w:type="pct"/>
            <w:tcBorders>
              <w:tl2br w:val="nil"/>
              <w:tr2bl w:val="nil"/>
            </w:tcBorders>
            <w:noWrap/>
            <w:tcMar>
              <w:top w:w="15" w:type="dxa"/>
              <w:left w:w="15" w:type="dxa"/>
              <w:right w:w="15" w:type="dxa"/>
            </w:tcMar>
            <w:vAlign w:val="center"/>
          </w:tcPr>
          <w:p w14:paraId="5713214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似鳊</w:t>
            </w:r>
          </w:p>
        </w:tc>
        <w:tc>
          <w:tcPr>
            <w:tcW w:w="1259" w:type="pct"/>
            <w:tcBorders>
              <w:tl2br w:val="nil"/>
              <w:tr2bl w:val="nil"/>
            </w:tcBorders>
            <w:noWrap/>
            <w:tcMar>
              <w:top w:w="15" w:type="dxa"/>
              <w:left w:w="15" w:type="dxa"/>
              <w:right w:w="15" w:type="dxa"/>
            </w:tcMar>
            <w:vAlign w:val="bottom"/>
          </w:tcPr>
          <w:p w14:paraId="471D54D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6.57</w:t>
            </w:r>
          </w:p>
        </w:tc>
        <w:tc>
          <w:tcPr>
            <w:tcW w:w="1267" w:type="pct"/>
            <w:tcBorders>
              <w:tl2br w:val="nil"/>
              <w:tr2bl w:val="nil"/>
            </w:tcBorders>
            <w:noWrap/>
            <w:tcMar>
              <w:top w:w="15" w:type="dxa"/>
              <w:left w:w="15" w:type="dxa"/>
              <w:right w:w="15" w:type="dxa"/>
            </w:tcMar>
            <w:vAlign w:val="bottom"/>
          </w:tcPr>
          <w:p w14:paraId="2CC9DDC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1.16</w:t>
            </w:r>
          </w:p>
        </w:tc>
        <w:tc>
          <w:tcPr>
            <w:tcW w:w="1273" w:type="pct"/>
            <w:tcBorders>
              <w:tl2br w:val="nil"/>
              <w:tr2bl w:val="nil"/>
            </w:tcBorders>
            <w:noWrap/>
            <w:tcMar>
              <w:top w:w="15" w:type="dxa"/>
              <w:left w:w="15" w:type="dxa"/>
              <w:right w:w="15" w:type="dxa"/>
            </w:tcMar>
            <w:vAlign w:val="bottom"/>
          </w:tcPr>
          <w:p w14:paraId="617808E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772</w:t>
            </w:r>
          </w:p>
        </w:tc>
      </w:tr>
      <w:tr w14:paraId="340285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199" w:type="pct"/>
            <w:tcBorders>
              <w:tl2br w:val="nil"/>
              <w:tr2bl w:val="nil"/>
            </w:tcBorders>
            <w:noWrap/>
            <w:tcMar>
              <w:top w:w="15" w:type="dxa"/>
              <w:left w:w="15" w:type="dxa"/>
              <w:right w:w="15" w:type="dxa"/>
            </w:tcMar>
            <w:vAlign w:val="center"/>
          </w:tcPr>
          <w:p w14:paraId="059BA5D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刀鲚</w:t>
            </w:r>
          </w:p>
        </w:tc>
        <w:tc>
          <w:tcPr>
            <w:tcW w:w="1259" w:type="pct"/>
            <w:tcBorders>
              <w:tl2br w:val="nil"/>
              <w:tr2bl w:val="nil"/>
            </w:tcBorders>
            <w:noWrap/>
            <w:tcMar>
              <w:top w:w="15" w:type="dxa"/>
              <w:left w:w="15" w:type="dxa"/>
              <w:right w:w="15" w:type="dxa"/>
            </w:tcMar>
            <w:vAlign w:val="bottom"/>
          </w:tcPr>
          <w:p w14:paraId="2037589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8.76</w:t>
            </w:r>
          </w:p>
        </w:tc>
        <w:tc>
          <w:tcPr>
            <w:tcW w:w="1267" w:type="pct"/>
            <w:tcBorders>
              <w:tl2br w:val="nil"/>
              <w:tr2bl w:val="nil"/>
            </w:tcBorders>
            <w:noWrap/>
            <w:tcMar>
              <w:top w:w="15" w:type="dxa"/>
              <w:left w:w="15" w:type="dxa"/>
              <w:right w:w="15" w:type="dxa"/>
            </w:tcMar>
            <w:vAlign w:val="bottom"/>
          </w:tcPr>
          <w:p w14:paraId="70C8E14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2.39</w:t>
            </w:r>
          </w:p>
        </w:tc>
        <w:tc>
          <w:tcPr>
            <w:tcW w:w="1273" w:type="pct"/>
            <w:tcBorders>
              <w:tl2br w:val="nil"/>
              <w:tr2bl w:val="nil"/>
            </w:tcBorders>
            <w:noWrap/>
            <w:tcMar>
              <w:top w:w="15" w:type="dxa"/>
              <w:left w:w="15" w:type="dxa"/>
              <w:right w:w="15" w:type="dxa"/>
            </w:tcMar>
            <w:vAlign w:val="bottom"/>
          </w:tcPr>
          <w:p w14:paraId="6A1DA50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557</w:t>
            </w:r>
          </w:p>
        </w:tc>
      </w:tr>
      <w:tr w14:paraId="490F6B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199" w:type="pct"/>
            <w:tcBorders>
              <w:tl2br w:val="nil"/>
              <w:tr2bl w:val="nil"/>
            </w:tcBorders>
            <w:noWrap/>
            <w:tcMar>
              <w:top w:w="15" w:type="dxa"/>
              <w:left w:w="15" w:type="dxa"/>
              <w:right w:w="15" w:type="dxa"/>
            </w:tcMar>
            <w:vAlign w:val="center"/>
          </w:tcPr>
          <w:p w14:paraId="54E261F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银鮈</w:t>
            </w:r>
          </w:p>
        </w:tc>
        <w:tc>
          <w:tcPr>
            <w:tcW w:w="1259" w:type="pct"/>
            <w:tcBorders>
              <w:tl2br w:val="nil"/>
              <w:tr2bl w:val="nil"/>
            </w:tcBorders>
            <w:noWrap/>
            <w:tcMar>
              <w:top w:w="15" w:type="dxa"/>
              <w:left w:w="15" w:type="dxa"/>
              <w:right w:w="15" w:type="dxa"/>
            </w:tcMar>
            <w:vAlign w:val="bottom"/>
          </w:tcPr>
          <w:p w14:paraId="4B7A8D0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8.76</w:t>
            </w:r>
          </w:p>
        </w:tc>
        <w:tc>
          <w:tcPr>
            <w:tcW w:w="1267" w:type="pct"/>
            <w:tcBorders>
              <w:tl2br w:val="nil"/>
              <w:tr2bl w:val="nil"/>
            </w:tcBorders>
            <w:noWrap/>
            <w:tcMar>
              <w:top w:w="15" w:type="dxa"/>
              <w:left w:w="15" w:type="dxa"/>
              <w:right w:w="15" w:type="dxa"/>
            </w:tcMar>
            <w:vAlign w:val="bottom"/>
          </w:tcPr>
          <w:p w14:paraId="3871CD7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2.21</w:t>
            </w:r>
          </w:p>
        </w:tc>
        <w:tc>
          <w:tcPr>
            <w:tcW w:w="1273" w:type="pct"/>
            <w:tcBorders>
              <w:tl2br w:val="nil"/>
              <w:tr2bl w:val="nil"/>
            </w:tcBorders>
            <w:noWrap/>
            <w:tcMar>
              <w:top w:w="15" w:type="dxa"/>
              <w:left w:w="15" w:type="dxa"/>
              <w:right w:w="15" w:type="dxa"/>
            </w:tcMar>
            <w:vAlign w:val="bottom"/>
          </w:tcPr>
          <w:p w14:paraId="24EA378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548</w:t>
            </w:r>
          </w:p>
        </w:tc>
      </w:tr>
      <w:tr w14:paraId="2B376F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199" w:type="pct"/>
            <w:tcBorders>
              <w:tl2br w:val="nil"/>
              <w:tr2bl w:val="nil"/>
            </w:tcBorders>
            <w:noWrap/>
            <w:tcMar>
              <w:top w:w="15" w:type="dxa"/>
              <w:left w:w="15" w:type="dxa"/>
              <w:right w:w="15" w:type="dxa"/>
            </w:tcMar>
            <w:vAlign w:val="center"/>
          </w:tcPr>
          <w:p w14:paraId="05321C5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达氏鲌</w:t>
            </w:r>
          </w:p>
        </w:tc>
        <w:tc>
          <w:tcPr>
            <w:tcW w:w="1259" w:type="pct"/>
            <w:tcBorders>
              <w:tl2br w:val="nil"/>
              <w:tr2bl w:val="nil"/>
            </w:tcBorders>
            <w:noWrap/>
            <w:tcMar>
              <w:top w:w="15" w:type="dxa"/>
              <w:left w:w="15" w:type="dxa"/>
              <w:right w:w="15" w:type="dxa"/>
            </w:tcMar>
            <w:vAlign w:val="bottom"/>
          </w:tcPr>
          <w:p w14:paraId="5DFAF9A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7.30</w:t>
            </w:r>
          </w:p>
        </w:tc>
        <w:tc>
          <w:tcPr>
            <w:tcW w:w="1267" w:type="pct"/>
            <w:tcBorders>
              <w:tl2br w:val="nil"/>
              <w:tr2bl w:val="nil"/>
            </w:tcBorders>
            <w:noWrap/>
            <w:tcMar>
              <w:top w:w="15" w:type="dxa"/>
              <w:left w:w="15" w:type="dxa"/>
              <w:right w:w="15" w:type="dxa"/>
            </w:tcMar>
            <w:vAlign w:val="bottom"/>
          </w:tcPr>
          <w:p w14:paraId="04D9661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2.46</w:t>
            </w:r>
          </w:p>
        </w:tc>
        <w:tc>
          <w:tcPr>
            <w:tcW w:w="1273" w:type="pct"/>
            <w:tcBorders>
              <w:tl2br w:val="nil"/>
              <w:tr2bl w:val="nil"/>
            </w:tcBorders>
            <w:noWrap/>
            <w:tcMar>
              <w:top w:w="15" w:type="dxa"/>
              <w:left w:w="15" w:type="dxa"/>
              <w:right w:w="15" w:type="dxa"/>
            </w:tcMar>
            <w:vAlign w:val="bottom"/>
          </w:tcPr>
          <w:p w14:paraId="1AAB4E0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488</w:t>
            </w:r>
          </w:p>
        </w:tc>
      </w:tr>
      <w:tr w14:paraId="77CD1A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199" w:type="pct"/>
            <w:tcBorders>
              <w:tl2br w:val="nil"/>
              <w:tr2bl w:val="nil"/>
            </w:tcBorders>
            <w:noWrap/>
            <w:tcMar>
              <w:top w:w="15" w:type="dxa"/>
              <w:left w:w="15" w:type="dxa"/>
              <w:right w:w="15" w:type="dxa"/>
            </w:tcMar>
            <w:vAlign w:val="center"/>
          </w:tcPr>
          <w:p w14:paraId="70CAFDD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鲤</w:t>
            </w:r>
          </w:p>
        </w:tc>
        <w:tc>
          <w:tcPr>
            <w:tcW w:w="1259" w:type="pct"/>
            <w:tcBorders>
              <w:tl2br w:val="nil"/>
              <w:tr2bl w:val="nil"/>
            </w:tcBorders>
            <w:noWrap/>
            <w:tcMar>
              <w:top w:w="15" w:type="dxa"/>
              <w:left w:w="15" w:type="dxa"/>
              <w:right w:w="15" w:type="dxa"/>
            </w:tcMar>
            <w:vAlign w:val="bottom"/>
          </w:tcPr>
          <w:p w14:paraId="3B2B23B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0.73</w:t>
            </w:r>
          </w:p>
        </w:tc>
        <w:tc>
          <w:tcPr>
            <w:tcW w:w="1267" w:type="pct"/>
            <w:tcBorders>
              <w:tl2br w:val="nil"/>
              <w:tr2bl w:val="nil"/>
            </w:tcBorders>
            <w:noWrap/>
            <w:tcMar>
              <w:top w:w="15" w:type="dxa"/>
              <w:left w:w="15" w:type="dxa"/>
              <w:right w:w="15" w:type="dxa"/>
            </w:tcMar>
            <w:vAlign w:val="bottom"/>
          </w:tcPr>
          <w:p w14:paraId="57CEB82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7.89</w:t>
            </w:r>
          </w:p>
        </w:tc>
        <w:tc>
          <w:tcPr>
            <w:tcW w:w="1273" w:type="pct"/>
            <w:tcBorders>
              <w:tl2br w:val="nil"/>
              <w:tr2bl w:val="nil"/>
            </w:tcBorders>
            <w:noWrap/>
            <w:tcMar>
              <w:top w:w="15" w:type="dxa"/>
              <w:left w:w="15" w:type="dxa"/>
              <w:right w:w="15" w:type="dxa"/>
            </w:tcMar>
            <w:vAlign w:val="bottom"/>
          </w:tcPr>
          <w:p w14:paraId="33FEB39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431</w:t>
            </w:r>
          </w:p>
        </w:tc>
      </w:tr>
      <w:tr w14:paraId="546621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199" w:type="pct"/>
            <w:tcBorders>
              <w:tl2br w:val="nil"/>
              <w:tr2bl w:val="nil"/>
            </w:tcBorders>
            <w:noWrap/>
            <w:tcMar>
              <w:top w:w="15" w:type="dxa"/>
              <w:left w:w="15" w:type="dxa"/>
              <w:right w:w="15" w:type="dxa"/>
            </w:tcMar>
            <w:vAlign w:val="center"/>
          </w:tcPr>
          <w:p w14:paraId="5DE88D0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鲫</w:t>
            </w:r>
          </w:p>
        </w:tc>
        <w:tc>
          <w:tcPr>
            <w:tcW w:w="1259" w:type="pct"/>
            <w:tcBorders>
              <w:tl2br w:val="nil"/>
              <w:tr2bl w:val="nil"/>
            </w:tcBorders>
            <w:noWrap/>
            <w:tcMar>
              <w:top w:w="15" w:type="dxa"/>
              <w:left w:w="15" w:type="dxa"/>
              <w:right w:w="15" w:type="dxa"/>
            </w:tcMar>
            <w:vAlign w:val="bottom"/>
          </w:tcPr>
          <w:p w14:paraId="2798F8A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1.46</w:t>
            </w:r>
          </w:p>
        </w:tc>
        <w:tc>
          <w:tcPr>
            <w:tcW w:w="1267" w:type="pct"/>
            <w:tcBorders>
              <w:tl2br w:val="nil"/>
              <w:tr2bl w:val="nil"/>
            </w:tcBorders>
            <w:noWrap/>
            <w:tcMar>
              <w:top w:w="15" w:type="dxa"/>
              <w:left w:w="15" w:type="dxa"/>
              <w:right w:w="15" w:type="dxa"/>
            </w:tcMar>
            <w:vAlign w:val="bottom"/>
          </w:tcPr>
          <w:p w14:paraId="6A5A1F7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6.07</w:t>
            </w:r>
          </w:p>
        </w:tc>
        <w:tc>
          <w:tcPr>
            <w:tcW w:w="1273" w:type="pct"/>
            <w:tcBorders>
              <w:tl2br w:val="nil"/>
              <w:tr2bl w:val="nil"/>
            </w:tcBorders>
            <w:noWrap/>
            <w:tcMar>
              <w:top w:w="15" w:type="dxa"/>
              <w:left w:w="15" w:type="dxa"/>
              <w:right w:w="15" w:type="dxa"/>
            </w:tcMar>
            <w:vAlign w:val="bottom"/>
          </w:tcPr>
          <w:p w14:paraId="78D4383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376</w:t>
            </w:r>
          </w:p>
        </w:tc>
      </w:tr>
      <w:tr w14:paraId="44C0AD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199" w:type="pct"/>
            <w:tcBorders>
              <w:tl2br w:val="nil"/>
              <w:tr2bl w:val="nil"/>
            </w:tcBorders>
            <w:noWrap/>
            <w:tcMar>
              <w:top w:w="15" w:type="dxa"/>
              <w:left w:w="15" w:type="dxa"/>
              <w:right w:w="15" w:type="dxa"/>
            </w:tcMar>
            <w:vAlign w:val="center"/>
          </w:tcPr>
          <w:p w14:paraId="7CCF1E0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条纹拟鲿</w:t>
            </w:r>
          </w:p>
        </w:tc>
        <w:tc>
          <w:tcPr>
            <w:tcW w:w="1259" w:type="pct"/>
            <w:tcBorders>
              <w:tl2br w:val="nil"/>
              <w:tr2bl w:val="nil"/>
            </w:tcBorders>
            <w:noWrap/>
            <w:tcMar>
              <w:top w:w="15" w:type="dxa"/>
              <w:left w:w="15" w:type="dxa"/>
              <w:right w:w="15" w:type="dxa"/>
            </w:tcMar>
            <w:vAlign w:val="bottom"/>
          </w:tcPr>
          <w:p w14:paraId="533631C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1.46</w:t>
            </w:r>
          </w:p>
        </w:tc>
        <w:tc>
          <w:tcPr>
            <w:tcW w:w="1267" w:type="pct"/>
            <w:tcBorders>
              <w:tl2br w:val="nil"/>
              <w:tr2bl w:val="nil"/>
            </w:tcBorders>
            <w:noWrap/>
            <w:tcMar>
              <w:top w:w="15" w:type="dxa"/>
              <w:left w:w="15" w:type="dxa"/>
              <w:right w:w="15" w:type="dxa"/>
            </w:tcMar>
            <w:vAlign w:val="bottom"/>
          </w:tcPr>
          <w:p w14:paraId="6FD7773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2.86</w:t>
            </w:r>
          </w:p>
        </w:tc>
        <w:tc>
          <w:tcPr>
            <w:tcW w:w="1273" w:type="pct"/>
            <w:tcBorders>
              <w:tl2br w:val="nil"/>
              <w:tr2bl w:val="nil"/>
            </w:tcBorders>
            <w:noWrap/>
            <w:tcMar>
              <w:top w:w="15" w:type="dxa"/>
              <w:left w:w="15" w:type="dxa"/>
              <w:right w:w="15" w:type="dxa"/>
            </w:tcMar>
            <w:vAlign w:val="bottom"/>
          </w:tcPr>
          <w:p w14:paraId="08F08AE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216</w:t>
            </w:r>
          </w:p>
        </w:tc>
      </w:tr>
      <w:tr w14:paraId="3ED7AA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199" w:type="pct"/>
            <w:tcBorders>
              <w:tl2br w:val="nil"/>
              <w:tr2bl w:val="nil"/>
            </w:tcBorders>
            <w:noWrap/>
            <w:tcMar>
              <w:top w:w="15" w:type="dxa"/>
              <w:left w:w="15" w:type="dxa"/>
              <w:right w:w="15" w:type="dxa"/>
            </w:tcMar>
            <w:vAlign w:val="center"/>
          </w:tcPr>
          <w:p w14:paraId="627D461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光泽黄颡鱼</w:t>
            </w:r>
          </w:p>
        </w:tc>
        <w:tc>
          <w:tcPr>
            <w:tcW w:w="1259" w:type="pct"/>
            <w:tcBorders>
              <w:tl2br w:val="nil"/>
              <w:tr2bl w:val="nil"/>
            </w:tcBorders>
            <w:noWrap/>
            <w:tcMar>
              <w:top w:w="15" w:type="dxa"/>
              <w:left w:w="15" w:type="dxa"/>
              <w:right w:w="15" w:type="dxa"/>
            </w:tcMar>
            <w:vAlign w:val="bottom"/>
          </w:tcPr>
          <w:p w14:paraId="19F8C7E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2.92</w:t>
            </w:r>
          </w:p>
        </w:tc>
        <w:tc>
          <w:tcPr>
            <w:tcW w:w="1267" w:type="pct"/>
            <w:tcBorders>
              <w:tl2br w:val="nil"/>
              <w:tr2bl w:val="nil"/>
            </w:tcBorders>
            <w:noWrap/>
            <w:tcMar>
              <w:top w:w="15" w:type="dxa"/>
              <w:left w:w="15" w:type="dxa"/>
              <w:right w:w="15" w:type="dxa"/>
            </w:tcMar>
            <w:vAlign w:val="bottom"/>
          </w:tcPr>
          <w:p w14:paraId="7FEC80C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0.85</w:t>
            </w:r>
          </w:p>
        </w:tc>
        <w:tc>
          <w:tcPr>
            <w:tcW w:w="1273" w:type="pct"/>
            <w:tcBorders>
              <w:tl2br w:val="nil"/>
              <w:tr2bl w:val="nil"/>
            </w:tcBorders>
            <w:noWrap/>
            <w:tcMar>
              <w:top w:w="15" w:type="dxa"/>
              <w:left w:w="15" w:type="dxa"/>
              <w:right w:w="15" w:type="dxa"/>
            </w:tcMar>
            <w:vAlign w:val="bottom"/>
          </w:tcPr>
          <w:p w14:paraId="4050E70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189</w:t>
            </w:r>
          </w:p>
        </w:tc>
      </w:tr>
      <w:tr w14:paraId="382190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199" w:type="pct"/>
            <w:tcBorders>
              <w:tl2br w:val="nil"/>
              <w:tr2bl w:val="nil"/>
            </w:tcBorders>
            <w:noWrap/>
            <w:tcMar>
              <w:top w:w="15" w:type="dxa"/>
              <w:left w:w="15" w:type="dxa"/>
              <w:right w:w="15" w:type="dxa"/>
            </w:tcMar>
            <w:vAlign w:val="center"/>
          </w:tcPr>
          <w:p w14:paraId="7798438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䱗</w:t>
            </w:r>
          </w:p>
        </w:tc>
        <w:tc>
          <w:tcPr>
            <w:tcW w:w="1259" w:type="pct"/>
            <w:tcBorders>
              <w:tl2br w:val="nil"/>
              <w:tr2bl w:val="nil"/>
            </w:tcBorders>
            <w:noWrap/>
            <w:tcMar>
              <w:top w:w="15" w:type="dxa"/>
              <w:left w:w="15" w:type="dxa"/>
              <w:right w:w="15" w:type="dxa"/>
            </w:tcMar>
            <w:vAlign w:val="bottom"/>
          </w:tcPr>
          <w:p w14:paraId="7DD36A3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2.92</w:t>
            </w:r>
          </w:p>
        </w:tc>
        <w:tc>
          <w:tcPr>
            <w:tcW w:w="1267" w:type="pct"/>
            <w:tcBorders>
              <w:tl2br w:val="nil"/>
              <w:tr2bl w:val="nil"/>
            </w:tcBorders>
            <w:noWrap/>
            <w:tcMar>
              <w:top w:w="15" w:type="dxa"/>
              <w:left w:w="15" w:type="dxa"/>
              <w:right w:w="15" w:type="dxa"/>
            </w:tcMar>
            <w:vAlign w:val="bottom"/>
          </w:tcPr>
          <w:p w14:paraId="182F4B2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0.40</w:t>
            </w:r>
          </w:p>
        </w:tc>
        <w:tc>
          <w:tcPr>
            <w:tcW w:w="1273" w:type="pct"/>
            <w:tcBorders>
              <w:tl2br w:val="nil"/>
              <w:tr2bl w:val="nil"/>
            </w:tcBorders>
            <w:noWrap/>
            <w:tcMar>
              <w:top w:w="15" w:type="dxa"/>
              <w:left w:w="15" w:type="dxa"/>
              <w:right w:w="15" w:type="dxa"/>
            </w:tcMar>
            <w:vAlign w:val="bottom"/>
          </w:tcPr>
          <w:p w14:paraId="565B57F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166</w:t>
            </w:r>
          </w:p>
        </w:tc>
      </w:tr>
      <w:tr w14:paraId="3AB180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199" w:type="pct"/>
            <w:tcBorders>
              <w:tl2br w:val="nil"/>
              <w:tr2bl w:val="nil"/>
            </w:tcBorders>
            <w:noWrap/>
            <w:tcMar>
              <w:top w:w="15" w:type="dxa"/>
              <w:left w:w="15" w:type="dxa"/>
              <w:right w:w="15" w:type="dxa"/>
            </w:tcMar>
            <w:vAlign w:val="center"/>
          </w:tcPr>
          <w:p w14:paraId="67832EA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鳊</w:t>
            </w:r>
          </w:p>
        </w:tc>
        <w:tc>
          <w:tcPr>
            <w:tcW w:w="1259" w:type="pct"/>
            <w:tcBorders>
              <w:tl2br w:val="nil"/>
              <w:tr2bl w:val="nil"/>
            </w:tcBorders>
            <w:noWrap/>
            <w:tcMar>
              <w:top w:w="15" w:type="dxa"/>
              <w:left w:w="15" w:type="dxa"/>
              <w:right w:w="15" w:type="dxa"/>
            </w:tcMar>
            <w:vAlign w:val="bottom"/>
          </w:tcPr>
          <w:p w14:paraId="0409339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0.73</w:t>
            </w:r>
          </w:p>
        </w:tc>
        <w:tc>
          <w:tcPr>
            <w:tcW w:w="1267" w:type="pct"/>
            <w:tcBorders>
              <w:tl2br w:val="nil"/>
              <w:tr2bl w:val="nil"/>
            </w:tcBorders>
            <w:noWrap/>
            <w:tcMar>
              <w:top w:w="15" w:type="dxa"/>
              <w:left w:w="15" w:type="dxa"/>
              <w:right w:w="15" w:type="dxa"/>
            </w:tcMar>
            <w:vAlign w:val="bottom"/>
          </w:tcPr>
          <w:p w14:paraId="62FB13A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2.37</w:t>
            </w:r>
          </w:p>
        </w:tc>
        <w:tc>
          <w:tcPr>
            <w:tcW w:w="1273" w:type="pct"/>
            <w:tcBorders>
              <w:tl2br w:val="nil"/>
              <w:tr2bl w:val="nil"/>
            </w:tcBorders>
            <w:noWrap/>
            <w:tcMar>
              <w:top w:w="15" w:type="dxa"/>
              <w:left w:w="15" w:type="dxa"/>
              <w:right w:w="15" w:type="dxa"/>
            </w:tcMar>
            <w:vAlign w:val="bottom"/>
          </w:tcPr>
          <w:p w14:paraId="7D3F4AA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155</w:t>
            </w:r>
          </w:p>
        </w:tc>
      </w:tr>
      <w:tr w14:paraId="2881FF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199" w:type="pct"/>
            <w:tcBorders>
              <w:tl2br w:val="nil"/>
              <w:tr2bl w:val="nil"/>
            </w:tcBorders>
            <w:noWrap/>
            <w:tcMar>
              <w:top w:w="15" w:type="dxa"/>
              <w:left w:w="15" w:type="dxa"/>
              <w:right w:w="15" w:type="dxa"/>
            </w:tcMar>
            <w:vAlign w:val="center"/>
          </w:tcPr>
          <w:p w14:paraId="391FE56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翘嘴鲌</w:t>
            </w:r>
          </w:p>
        </w:tc>
        <w:tc>
          <w:tcPr>
            <w:tcW w:w="1259" w:type="pct"/>
            <w:tcBorders>
              <w:tl2br w:val="nil"/>
              <w:tr2bl w:val="nil"/>
            </w:tcBorders>
            <w:noWrap/>
            <w:tcMar>
              <w:top w:w="15" w:type="dxa"/>
              <w:left w:w="15" w:type="dxa"/>
              <w:right w:w="15" w:type="dxa"/>
            </w:tcMar>
            <w:vAlign w:val="bottom"/>
          </w:tcPr>
          <w:p w14:paraId="56B1069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0.73</w:t>
            </w:r>
          </w:p>
        </w:tc>
        <w:tc>
          <w:tcPr>
            <w:tcW w:w="1267" w:type="pct"/>
            <w:tcBorders>
              <w:tl2br w:val="nil"/>
              <w:tr2bl w:val="nil"/>
            </w:tcBorders>
            <w:noWrap/>
            <w:tcMar>
              <w:top w:w="15" w:type="dxa"/>
              <w:left w:w="15" w:type="dxa"/>
              <w:right w:w="15" w:type="dxa"/>
            </w:tcMar>
            <w:vAlign w:val="bottom"/>
          </w:tcPr>
          <w:p w14:paraId="34555F8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2.00</w:t>
            </w:r>
          </w:p>
        </w:tc>
        <w:tc>
          <w:tcPr>
            <w:tcW w:w="1273" w:type="pct"/>
            <w:tcBorders>
              <w:tl2br w:val="nil"/>
              <w:tr2bl w:val="nil"/>
            </w:tcBorders>
            <w:noWrap/>
            <w:tcMar>
              <w:top w:w="15" w:type="dxa"/>
              <w:left w:w="15" w:type="dxa"/>
              <w:right w:w="15" w:type="dxa"/>
            </w:tcMar>
            <w:vAlign w:val="bottom"/>
          </w:tcPr>
          <w:p w14:paraId="56F3E1A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136</w:t>
            </w:r>
          </w:p>
        </w:tc>
      </w:tr>
      <w:tr w14:paraId="159627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199" w:type="pct"/>
            <w:tcBorders>
              <w:tl2br w:val="nil"/>
              <w:tr2bl w:val="nil"/>
            </w:tcBorders>
            <w:noWrap/>
            <w:tcMar>
              <w:top w:w="15" w:type="dxa"/>
              <w:left w:w="15" w:type="dxa"/>
              <w:right w:w="15" w:type="dxa"/>
            </w:tcMar>
            <w:vAlign w:val="center"/>
          </w:tcPr>
          <w:p w14:paraId="3559F8D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红鳍原鲌</w:t>
            </w:r>
          </w:p>
        </w:tc>
        <w:tc>
          <w:tcPr>
            <w:tcW w:w="1259" w:type="pct"/>
            <w:tcBorders>
              <w:tl2br w:val="nil"/>
              <w:tr2bl w:val="nil"/>
            </w:tcBorders>
            <w:noWrap/>
            <w:tcMar>
              <w:top w:w="15" w:type="dxa"/>
              <w:left w:w="15" w:type="dxa"/>
              <w:right w:w="15" w:type="dxa"/>
            </w:tcMar>
            <w:vAlign w:val="bottom"/>
          </w:tcPr>
          <w:p w14:paraId="36C5E80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1.46</w:t>
            </w:r>
          </w:p>
        </w:tc>
        <w:tc>
          <w:tcPr>
            <w:tcW w:w="1267" w:type="pct"/>
            <w:tcBorders>
              <w:tl2br w:val="nil"/>
              <w:tr2bl w:val="nil"/>
            </w:tcBorders>
            <w:noWrap/>
            <w:tcMar>
              <w:top w:w="15" w:type="dxa"/>
              <w:left w:w="15" w:type="dxa"/>
              <w:right w:w="15" w:type="dxa"/>
            </w:tcMar>
            <w:vAlign w:val="bottom"/>
          </w:tcPr>
          <w:p w14:paraId="0FAAF3A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1.25</w:t>
            </w:r>
          </w:p>
        </w:tc>
        <w:tc>
          <w:tcPr>
            <w:tcW w:w="1273" w:type="pct"/>
            <w:tcBorders>
              <w:tl2br w:val="nil"/>
              <w:tr2bl w:val="nil"/>
            </w:tcBorders>
            <w:noWrap/>
            <w:tcMar>
              <w:top w:w="15" w:type="dxa"/>
              <w:left w:w="15" w:type="dxa"/>
              <w:right w:w="15" w:type="dxa"/>
            </w:tcMar>
            <w:vAlign w:val="bottom"/>
          </w:tcPr>
          <w:p w14:paraId="10387F8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136</w:t>
            </w:r>
          </w:p>
        </w:tc>
      </w:tr>
      <w:tr w14:paraId="1C6A45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199" w:type="pct"/>
            <w:tcBorders>
              <w:tl2br w:val="nil"/>
              <w:tr2bl w:val="nil"/>
            </w:tcBorders>
            <w:noWrap/>
            <w:tcMar>
              <w:top w:w="15" w:type="dxa"/>
              <w:left w:w="15" w:type="dxa"/>
              <w:right w:w="15" w:type="dxa"/>
            </w:tcMar>
            <w:vAlign w:val="center"/>
          </w:tcPr>
          <w:p w14:paraId="2F6C9E3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切尾拟鲿</w:t>
            </w:r>
          </w:p>
        </w:tc>
        <w:tc>
          <w:tcPr>
            <w:tcW w:w="1259" w:type="pct"/>
            <w:tcBorders>
              <w:tl2br w:val="nil"/>
              <w:tr2bl w:val="nil"/>
            </w:tcBorders>
            <w:noWrap/>
            <w:tcMar>
              <w:top w:w="15" w:type="dxa"/>
              <w:left w:w="15" w:type="dxa"/>
              <w:right w:w="15" w:type="dxa"/>
            </w:tcMar>
            <w:vAlign w:val="bottom"/>
          </w:tcPr>
          <w:p w14:paraId="3FD8D62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0.73</w:t>
            </w:r>
          </w:p>
        </w:tc>
        <w:tc>
          <w:tcPr>
            <w:tcW w:w="1267" w:type="pct"/>
            <w:tcBorders>
              <w:tl2br w:val="nil"/>
              <w:tr2bl w:val="nil"/>
            </w:tcBorders>
            <w:noWrap/>
            <w:tcMar>
              <w:top w:w="15" w:type="dxa"/>
              <w:left w:w="15" w:type="dxa"/>
              <w:right w:w="15" w:type="dxa"/>
            </w:tcMar>
            <w:vAlign w:val="bottom"/>
          </w:tcPr>
          <w:p w14:paraId="017FA3F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1.84</w:t>
            </w:r>
          </w:p>
        </w:tc>
        <w:tc>
          <w:tcPr>
            <w:tcW w:w="1273" w:type="pct"/>
            <w:tcBorders>
              <w:tl2br w:val="nil"/>
              <w:tr2bl w:val="nil"/>
            </w:tcBorders>
            <w:noWrap/>
            <w:tcMar>
              <w:top w:w="15" w:type="dxa"/>
              <w:left w:w="15" w:type="dxa"/>
              <w:right w:w="15" w:type="dxa"/>
            </w:tcMar>
            <w:vAlign w:val="bottom"/>
          </w:tcPr>
          <w:p w14:paraId="5996504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128</w:t>
            </w:r>
          </w:p>
        </w:tc>
      </w:tr>
      <w:tr w14:paraId="6A34B5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1199" w:type="pct"/>
            <w:tcBorders>
              <w:tl2br w:val="nil"/>
              <w:tr2bl w:val="nil"/>
            </w:tcBorders>
            <w:noWrap/>
            <w:tcMar>
              <w:top w:w="15" w:type="dxa"/>
              <w:left w:w="15" w:type="dxa"/>
              <w:right w:w="15" w:type="dxa"/>
            </w:tcMar>
            <w:vAlign w:val="center"/>
          </w:tcPr>
          <w:p w14:paraId="0C6763E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黄颡鱼</w:t>
            </w:r>
          </w:p>
        </w:tc>
        <w:tc>
          <w:tcPr>
            <w:tcW w:w="1259" w:type="pct"/>
            <w:tcBorders>
              <w:tl2br w:val="nil"/>
              <w:tr2bl w:val="nil"/>
            </w:tcBorders>
            <w:noWrap/>
            <w:tcMar>
              <w:top w:w="15" w:type="dxa"/>
              <w:left w:w="15" w:type="dxa"/>
              <w:right w:w="15" w:type="dxa"/>
            </w:tcMar>
            <w:vAlign w:val="bottom"/>
          </w:tcPr>
          <w:p w14:paraId="348D697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0.73</w:t>
            </w:r>
          </w:p>
        </w:tc>
        <w:tc>
          <w:tcPr>
            <w:tcW w:w="1267" w:type="pct"/>
            <w:tcBorders>
              <w:tl2br w:val="nil"/>
              <w:tr2bl w:val="nil"/>
            </w:tcBorders>
            <w:noWrap/>
            <w:tcMar>
              <w:top w:w="15" w:type="dxa"/>
              <w:left w:w="15" w:type="dxa"/>
              <w:right w:w="15" w:type="dxa"/>
            </w:tcMar>
            <w:vAlign w:val="bottom"/>
          </w:tcPr>
          <w:p w14:paraId="0DAB268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1.64</w:t>
            </w:r>
          </w:p>
        </w:tc>
        <w:tc>
          <w:tcPr>
            <w:tcW w:w="1273" w:type="pct"/>
            <w:tcBorders>
              <w:tl2br w:val="nil"/>
              <w:tr2bl w:val="nil"/>
            </w:tcBorders>
            <w:noWrap/>
            <w:tcMar>
              <w:top w:w="15" w:type="dxa"/>
              <w:left w:w="15" w:type="dxa"/>
              <w:right w:w="15" w:type="dxa"/>
            </w:tcMar>
            <w:vAlign w:val="bottom"/>
          </w:tcPr>
          <w:p w14:paraId="108A19F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118</w:t>
            </w:r>
          </w:p>
        </w:tc>
      </w:tr>
    </w:tbl>
    <w:p w14:paraId="22AF0AB2">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rPr>
        <w:t>索饵期：保护区生态优势度</w:t>
      </w:r>
      <w:r>
        <w:rPr>
          <w:rFonts w:ascii="Times New Roman" w:hAnsi="Times New Roman" w:eastAsia="宋体"/>
          <w:i/>
          <w:iCs/>
          <w:color w:val="auto"/>
          <w:sz w:val="24"/>
          <w:szCs w:val="28"/>
        </w:rPr>
        <w:t>IRI</w:t>
      </w:r>
      <w:r>
        <w:rPr>
          <w:rFonts w:ascii="Times New Roman" w:hAnsi="Times New Roman" w:eastAsia="宋体"/>
          <w:color w:val="auto"/>
          <w:sz w:val="24"/>
          <w:szCs w:val="22"/>
        </w:rPr>
        <w:t>指数大于1000的优势种共计6种，依次为刀鲚、光泽黄颡鱼、达氏鲌、蒙古鲌、似鳊、鲢；</w:t>
      </w:r>
      <w:r>
        <w:rPr>
          <w:rFonts w:ascii="Times New Roman" w:hAnsi="Times New Roman" w:eastAsia="宋体"/>
          <w:i/>
          <w:iCs/>
          <w:color w:val="auto"/>
          <w:sz w:val="24"/>
          <w:szCs w:val="22"/>
        </w:rPr>
        <w:t>IRI</w:t>
      </w:r>
      <w:r>
        <w:rPr>
          <w:rFonts w:ascii="Times New Roman" w:hAnsi="Times New Roman" w:eastAsia="宋体"/>
          <w:color w:val="auto"/>
          <w:sz w:val="24"/>
          <w:szCs w:val="22"/>
        </w:rPr>
        <w:t>指数介于100至1000之间的常见种共9种，依次为鲫、蛇鮈、翘嘴鲌、大鳍鱊、鲇等</w:t>
      </w:r>
      <w:r>
        <w:rPr>
          <w:rFonts w:hint="eastAsia"/>
          <w:color w:val="auto"/>
          <w:sz w:val="24"/>
          <w:szCs w:val="22"/>
          <w:lang w:eastAsia="zh-CN"/>
        </w:rPr>
        <w:t>（</w:t>
      </w:r>
      <w:r>
        <w:rPr>
          <w:rFonts w:ascii="Times New Roman" w:hAnsi="Times New Roman" w:eastAsia="宋体"/>
          <w:color w:val="auto"/>
          <w:sz w:val="24"/>
          <w:szCs w:val="22"/>
        </w:rPr>
        <w:t>表4.2</w:t>
      </w:r>
      <w:r>
        <w:rPr>
          <w:rFonts w:hint="eastAsia" w:ascii="Times New Roman" w:hAnsi="Times New Roman" w:eastAsia="宋体"/>
          <w:color w:val="auto"/>
          <w:sz w:val="24"/>
          <w:szCs w:val="22"/>
          <w:lang w:val="en-US" w:eastAsia="zh-CN"/>
        </w:rPr>
        <w:t>-29</w:t>
      </w:r>
      <w:r>
        <w:rPr>
          <w:rFonts w:ascii="Times New Roman" w:hAnsi="Times New Roman" w:eastAsia="宋体"/>
          <w:color w:val="auto"/>
          <w:sz w:val="24"/>
          <w:szCs w:val="22"/>
        </w:rPr>
        <w:t>)。</w:t>
      </w:r>
    </w:p>
    <w:p w14:paraId="18E6E0CB">
      <w:pPr>
        <w:spacing w:line="400" w:lineRule="exact"/>
        <w:jc w:val="center"/>
        <w:rPr>
          <w:rFonts w:ascii="Times New Roman" w:hAnsi="Times New Roman" w:eastAsia="黑体" w:cs="Times New Roman"/>
          <w:color w:val="auto"/>
          <w:sz w:val="24"/>
          <w:szCs w:val="21"/>
          <w:lang w:val="en-US" w:eastAsia="zh-CN"/>
        </w:rPr>
      </w:pPr>
      <w:r>
        <w:rPr>
          <w:rFonts w:ascii="Times New Roman" w:hAnsi="Times New Roman" w:eastAsia="黑体" w:cs="Times New Roman"/>
          <w:color w:val="auto"/>
          <w:sz w:val="24"/>
          <w:szCs w:val="21"/>
          <w:lang w:val="en-US" w:eastAsia="zh-CN"/>
        </w:rPr>
        <w:t>表4.2</w:t>
      </w:r>
      <w:r>
        <w:rPr>
          <w:rFonts w:hint="eastAsia" w:ascii="Times New Roman" w:hAnsi="Times New Roman" w:eastAsia="黑体" w:cs="Times New Roman"/>
          <w:color w:val="auto"/>
          <w:sz w:val="24"/>
          <w:szCs w:val="21"/>
          <w:lang w:val="en-US" w:eastAsia="zh-CN"/>
        </w:rPr>
        <w:t xml:space="preserve">-29  </w:t>
      </w:r>
      <w:r>
        <w:rPr>
          <w:rFonts w:ascii="Times New Roman" w:hAnsi="Times New Roman" w:eastAsia="黑体" w:cs="Times New Roman"/>
          <w:color w:val="auto"/>
          <w:sz w:val="24"/>
          <w:szCs w:val="21"/>
          <w:lang w:val="en-US" w:eastAsia="zh-CN"/>
        </w:rPr>
        <w:t xml:space="preserve"> 2023年索饵期保护区渔业群落优势种</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742"/>
        <w:gridCol w:w="2165"/>
        <w:gridCol w:w="2159"/>
        <w:gridCol w:w="2221"/>
      </w:tblGrid>
      <w:tr w14:paraId="26A625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11" w:hRule="atLeast"/>
          <w:jc w:val="center"/>
        </w:trPr>
        <w:tc>
          <w:tcPr>
            <w:tcW w:w="1476" w:type="pct"/>
            <w:tcBorders>
              <w:tl2br w:val="nil"/>
              <w:tr2bl w:val="nil"/>
            </w:tcBorders>
            <w:noWrap/>
            <w:vAlign w:val="center"/>
          </w:tcPr>
          <w:p w14:paraId="471C4886">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物种</w:t>
            </w:r>
          </w:p>
        </w:tc>
        <w:tc>
          <w:tcPr>
            <w:tcW w:w="1165" w:type="pct"/>
            <w:tcBorders>
              <w:tl2br w:val="nil"/>
              <w:tr2bl w:val="nil"/>
            </w:tcBorders>
            <w:noWrap/>
            <w:vAlign w:val="center"/>
          </w:tcPr>
          <w:p w14:paraId="268458C9">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数量%</w:t>
            </w:r>
          </w:p>
        </w:tc>
        <w:tc>
          <w:tcPr>
            <w:tcW w:w="1162" w:type="pct"/>
            <w:tcBorders>
              <w:tl2br w:val="nil"/>
              <w:tr2bl w:val="nil"/>
            </w:tcBorders>
            <w:noWrap/>
            <w:vAlign w:val="center"/>
          </w:tcPr>
          <w:p w14:paraId="2ED8CB9E">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重量占比</w:t>
            </w:r>
          </w:p>
        </w:tc>
        <w:tc>
          <w:tcPr>
            <w:tcW w:w="1195" w:type="pct"/>
            <w:tcBorders>
              <w:tl2br w:val="nil"/>
              <w:tr2bl w:val="nil"/>
            </w:tcBorders>
            <w:noWrap/>
            <w:vAlign w:val="center"/>
          </w:tcPr>
          <w:p w14:paraId="6ADADDB9">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lang w:bidi="ar"/>
              </w:rPr>
            </w:pPr>
            <w:r>
              <w:rPr>
                <w:rFonts w:hint="default" w:ascii="Times New Roman" w:hAnsi="Times New Roman" w:eastAsia="宋体"/>
                <w:b/>
                <w:bCs/>
                <w:color w:val="auto"/>
                <w:kern w:val="0"/>
                <w:sz w:val="21"/>
                <w:szCs w:val="21"/>
                <w:lang w:bidi="ar"/>
              </w:rPr>
              <w:t>IRI</w:t>
            </w:r>
          </w:p>
        </w:tc>
      </w:tr>
      <w:tr w14:paraId="0E6CE0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476" w:type="pct"/>
            <w:tcBorders>
              <w:tl2br w:val="nil"/>
              <w:tr2bl w:val="nil"/>
            </w:tcBorders>
            <w:noWrap/>
            <w:vAlign w:val="center"/>
          </w:tcPr>
          <w:p w14:paraId="233D17C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刀鲚</w:t>
            </w:r>
          </w:p>
        </w:tc>
        <w:tc>
          <w:tcPr>
            <w:tcW w:w="1165" w:type="pct"/>
            <w:tcBorders>
              <w:tl2br w:val="nil"/>
              <w:tr2bl w:val="nil"/>
            </w:tcBorders>
            <w:noWrap/>
            <w:vAlign w:val="bottom"/>
          </w:tcPr>
          <w:p w14:paraId="4639F21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45.25</w:t>
            </w:r>
          </w:p>
        </w:tc>
        <w:tc>
          <w:tcPr>
            <w:tcW w:w="1162" w:type="pct"/>
            <w:tcBorders>
              <w:tl2br w:val="nil"/>
              <w:tr2bl w:val="nil"/>
            </w:tcBorders>
            <w:noWrap/>
            <w:vAlign w:val="bottom"/>
          </w:tcPr>
          <w:p w14:paraId="0846814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28.77</w:t>
            </w:r>
          </w:p>
        </w:tc>
        <w:tc>
          <w:tcPr>
            <w:tcW w:w="1195" w:type="pct"/>
            <w:tcBorders>
              <w:tl2br w:val="nil"/>
              <w:tr2bl w:val="nil"/>
            </w:tcBorders>
            <w:noWrap/>
            <w:vAlign w:val="bottom"/>
          </w:tcPr>
          <w:p w14:paraId="7575273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7402</w:t>
            </w:r>
          </w:p>
        </w:tc>
      </w:tr>
      <w:tr w14:paraId="2FCFE6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476" w:type="pct"/>
            <w:tcBorders>
              <w:tl2br w:val="nil"/>
              <w:tr2bl w:val="nil"/>
            </w:tcBorders>
            <w:noWrap/>
            <w:vAlign w:val="center"/>
          </w:tcPr>
          <w:p w14:paraId="7330CE9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光泽黄颡鱼</w:t>
            </w:r>
          </w:p>
        </w:tc>
        <w:tc>
          <w:tcPr>
            <w:tcW w:w="1165" w:type="pct"/>
            <w:tcBorders>
              <w:tl2br w:val="nil"/>
              <w:tr2bl w:val="nil"/>
            </w:tcBorders>
            <w:noWrap/>
            <w:vAlign w:val="bottom"/>
          </w:tcPr>
          <w:p w14:paraId="7FB9977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14.00</w:t>
            </w:r>
          </w:p>
        </w:tc>
        <w:tc>
          <w:tcPr>
            <w:tcW w:w="1162" w:type="pct"/>
            <w:tcBorders>
              <w:tl2br w:val="nil"/>
              <w:tr2bl w:val="nil"/>
            </w:tcBorders>
            <w:noWrap/>
            <w:vAlign w:val="bottom"/>
          </w:tcPr>
          <w:p w14:paraId="33BBB80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4.72</w:t>
            </w:r>
          </w:p>
        </w:tc>
        <w:tc>
          <w:tcPr>
            <w:tcW w:w="1195" w:type="pct"/>
            <w:tcBorders>
              <w:tl2br w:val="nil"/>
              <w:tr2bl w:val="nil"/>
            </w:tcBorders>
            <w:noWrap/>
            <w:vAlign w:val="bottom"/>
          </w:tcPr>
          <w:p w14:paraId="198548F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1872</w:t>
            </w:r>
          </w:p>
        </w:tc>
      </w:tr>
      <w:tr w14:paraId="596BC8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476" w:type="pct"/>
            <w:tcBorders>
              <w:tl2br w:val="nil"/>
              <w:tr2bl w:val="nil"/>
            </w:tcBorders>
            <w:noWrap/>
            <w:vAlign w:val="center"/>
          </w:tcPr>
          <w:p w14:paraId="594A2A7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达氏鲌</w:t>
            </w:r>
          </w:p>
        </w:tc>
        <w:tc>
          <w:tcPr>
            <w:tcW w:w="1165" w:type="pct"/>
            <w:tcBorders>
              <w:tl2br w:val="nil"/>
              <w:tr2bl w:val="nil"/>
            </w:tcBorders>
            <w:noWrap/>
            <w:vAlign w:val="bottom"/>
          </w:tcPr>
          <w:p w14:paraId="3130222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5.75</w:t>
            </w:r>
          </w:p>
        </w:tc>
        <w:tc>
          <w:tcPr>
            <w:tcW w:w="1162" w:type="pct"/>
            <w:tcBorders>
              <w:tl2br w:val="nil"/>
              <w:tr2bl w:val="nil"/>
            </w:tcBorders>
            <w:noWrap/>
            <w:vAlign w:val="bottom"/>
          </w:tcPr>
          <w:p w14:paraId="7276D5C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9.67</w:t>
            </w:r>
          </w:p>
        </w:tc>
        <w:tc>
          <w:tcPr>
            <w:tcW w:w="1195" w:type="pct"/>
            <w:tcBorders>
              <w:tl2br w:val="nil"/>
              <w:tr2bl w:val="nil"/>
            </w:tcBorders>
            <w:noWrap/>
            <w:vAlign w:val="bottom"/>
          </w:tcPr>
          <w:p w14:paraId="052DD0F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1542</w:t>
            </w:r>
          </w:p>
        </w:tc>
      </w:tr>
      <w:tr w14:paraId="1F6F0B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476" w:type="pct"/>
            <w:tcBorders>
              <w:tl2br w:val="nil"/>
              <w:tr2bl w:val="nil"/>
            </w:tcBorders>
            <w:noWrap/>
            <w:vAlign w:val="center"/>
          </w:tcPr>
          <w:p w14:paraId="7E95618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蒙古鲌</w:t>
            </w:r>
          </w:p>
        </w:tc>
        <w:tc>
          <w:tcPr>
            <w:tcW w:w="1165" w:type="pct"/>
            <w:tcBorders>
              <w:tl2br w:val="nil"/>
              <w:tr2bl w:val="nil"/>
            </w:tcBorders>
            <w:noWrap/>
            <w:vAlign w:val="bottom"/>
          </w:tcPr>
          <w:p w14:paraId="7DB9D0F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5.00</w:t>
            </w:r>
          </w:p>
        </w:tc>
        <w:tc>
          <w:tcPr>
            <w:tcW w:w="1162" w:type="pct"/>
            <w:tcBorders>
              <w:tl2br w:val="nil"/>
              <w:tr2bl w:val="nil"/>
            </w:tcBorders>
            <w:noWrap/>
            <w:vAlign w:val="bottom"/>
          </w:tcPr>
          <w:p w14:paraId="0477920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8.61</w:t>
            </w:r>
          </w:p>
        </w:tc>
        <w:tc>
          <w:tcPr>
            <w:tcW w:w="1195" w:type="pct"/>
            <w:tcBorders>
              <w:tl2br w:val="nil"/>
              <w:tr2bl w:val="nil"/>
            </w:tcBorders>
            <w:noWrap/>
            <w:vAlign w:val="bottom"/>
          </w:tcPr>
          <w:p w14:paraId="1AC9ACA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1361</w:t>
            </w:r>
          </w:p>
        </w:tc>
      </w:tr>
      <w:tr w14:paraId="593342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476" w:type="pct"/>
            <w:tcBorders>
              <w:tl2br w:val="nil"/>
              <w:tr2bl w:val="nil"/>
            </w:tcBorders>
            <w:noWrap/>
            <w:vAlign w:val="center"/>
          </w:tcPr>
          <w:p w14:paraId="5386100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似鳊</w:t>
            </w:r>
          </w:p>
        </w:tc>
        <w:tc>
          <w:tcPr>
            <w:tcW w:w="1165" w:type="pct"/>
            <w:tcBorders>
              <w:tl2br w:val="nil"/>
              <w:tr2bl w:val="nil"/>
            </w:tcBorders>
            <w:noWrap/>
            <w:vAlign w:val="bottom"/>
          </w:tcPr>
          <w:p w14:paraId="6F33957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9.50</w:t>
            </w:r>
          </w:p>
        </w:tc>
        <w:tc>
          <w:tcPr>
            <w:tcW w:w="1162" w:type="pct"/>
            <w:tcBorders>
              <w:tl2br w:val="nil"/>
              <w:tr2bl w:val="nil"/>
            </w:tcBorders>
            <w:noWrap/>
            <w:vAlign w:val="bottom"/>
          </w:tcPr>
          <w:p w14:paraId="0F18D3E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3.43</w:t>
            </w:r>
          </w:p>
        </w:tc>
        <w:tc>
          <w:tcPr>
            <w:tcW w:w="1195" w:type="pct"/>
            <w:tcBorders>
              <w:tl2br w:val="nil"/>
              <w:tr2bl w:val="nil"/>
            </w:tcBorders>
            <w:noWrap/>
            <w:vAlign w:val="bottom"/>
          </w:tcPr>
          <w:p w14:paraId="48AE953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1293</w:t>
            </w:r>
          </w:p>
        </w:tc>
      </w:tr>
      <w:tr w14:paraId="27298C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476" w:type="pct"/>
            <w:tcBorders>
              <w:tl2br w:val="nil"/>
              <w:tr2bl w:val="nil"/>
            </w:tcBorders>
            <w:noWrap/>
            <w:vAlign w:val="center"/>
          </w:tcPr>
          <w:p w14:paraId="39507A4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鲢</w:t>
            </w:r>
          </w:p>
        </w:tc>
        <w:tc>
          <w:tcPr>
            <w:tcW w:w="1165" w:type="pct"/>
            <w:tcBorders>
              <w:tl2br w:val="nil"/>
              <w:tr2bl w:val="nil"/>
            </w:tcBorders>
            <w:noWrap/>
            <w:vAlign w:val="bottom"/>
          </w:tcPr>
          <w:p w14:paraId="54E71EA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0.50</w:t>
            </w:r>
          </w:p>
        </w:tc>
        <w:tc>
          <w:tcPr>
            <w:tcW w:w="1162" w:type="pct"/>
            <w:tcBorders>
              <w:tl2br w:val="nil"/>
              <w:tr2bl w:val="nil"/>
            </w:tcBorders>
            <w:noWrap/>
            <w:vAlign w:val="bottom"/>
          </w:tcPr>
          <w:p w14:paraId="5C06DD5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23.32</w:t>
            </w:r>
          </w:p>
        </w:tc>
        <w:tc>
          <w:tcPr>
            <w:tcW w:w="1195" w:type="pct"/>
            <w:tcBorders>
              <w:tl2br w:val="nil"/>
              <w:tr2bl w:val="nil"/>
            </w:tcBorders>
            <w:noWrap/>
            <w:vAlign w:val="bottom"/>
          </w:tcPr>
          <w:p w14:paraId="4E016FF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1191</w:t>
            </w:r>
          </w:p>
        </w:tc>
      </w:tr>
      <w:tr w14:paraId="702FC8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476" w:type="pct"/>
            <w:tcBorders>
              <w:tl2br w:val="nil"/>
              <w:tr2bl w:val="nil"/>
            </w:tcBorders>
            <w:noWrap/>
            <w:vAlign w:val="center"/>
          </w:tcPr>
          <w:p w14:paraId="66105AF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鲫</w:t>
            </w:r>
          </w:p>
        </w:tc>
        <w:tc>
          <w:tcPr>
            <w:tcW w:w="1165" w:type="pct"/>
            <w:tcBorders>
              <w:tl2br w:val="nil"/>
              <w:tr2bl w:val="nil"/>
            </w:tcBorders>
            <w:noWrap/>
            <w:vAlign w:val="bottom"/>
          </w:tcPr>
          <w:p w14:paraId="2B0F71E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1.50</w:t>
            </w:r>
          </w:p>
        </w:tc>
        <w:tc>
          <w:tcPr>
            <w:tcW w:w="1162" w:type="pct"/>
            <w:tcBorders>
              <w:tl2br w:val="nil"/>
              <w:tr2bl w:val="nil"/>
            </w:tcBorders>
            <w:noWrap/>
            <w:vAlign w:val="bottom"/>
          </w:tcPr>
          <w:p w14:paraId="22CF61A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6.67</w:t>
            </w:r>
          </w:p>
        </w:tc>
        <w:tc>
          <w:tcPr>
            <w:tcW w:w="1195" w:type="pct"/>
            <w:tcBorders>
              <w:tl2br w:val="nil"/>
              <w:tr2bl w:val="nil"/>
            </w:tcBorders>
            <w:noWrap/>
            <w:vAlign w:val="bottom"/>
          </w:tcPr>
          <w:p w14:paraId="277750F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817</w:t>
            </w:r>
          </w:p>
        </w:tc>
      </w:tr>
      <w:tr w14:paraId="1293A8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476" w:type="pct"/>
            <w:tcBorders>
              <w:tl2br w:val="nil"/>
              <w:tr2bl w:val="nil"/>
            </w:tcBorders>
            <w:noWrap/>
            <w:vAlign w:val="center"/>
          </w:tcPr>
          <w:p w14:paraId="74EE5EB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蛇鮈</w:t>
            </w:r>
          </w:p>
        </w:tc>
        <w:tc>
          <w:tcPr>
            <w:tcW w:w="1165" w:type="pct"/>
            <w:tcBorders>
              <w:tl2br w:val="nil"/>
              <w:tr2bl w:val="nil"/>
            </w:tcBorders>
            <w:noWrap/>
            <w:vAlign w:val="bottom"/>
          </w:tcPr>
          <w:p w14:paraId="3B19BE9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3.00</w:t>
            </w:r>
          </w:p>
        </w:tc>
        <w:tc>
          <w:tcPr>
            <w:tcW w:w="1162" w:type="pct"/>
            <w:tcBorders>
              <w:tl2br w:val="nil"/>
              <w:tr2bl w:val="nil"/>
            </w:tcBorders>
            <w:noWrap/>
            <w:vAlign w:val="bottom"/>
          </w:tcPr>
          <w:p w14:paraId="4595776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1.32</w:t>
            </w:r>
          </w:p>
        </w:tc>
        <w:tc>
          <w:tcPr>
            <w:tcW w:w="1195" w:type="pct"/>
            <w:tcBorders>
              <w:tl2br w:val="nil"/>
              <w:tr2bl w:val="nil"/>
            </w:tcBorders>
            <w:noWrap/>
            <w:vAlign w:val="bottom"/>
          </w:tcPr>
          <w:p w14:paraId="727AE77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432</w:t>
            </w:r>
          </w:p>
        </w:tc>
      </w:tr>
      <w:tr w14:paraId="322FED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476" w:type="pct"/>
            <w:tcBorders>
              <w:tl2br w:val="nil"/>
              <w:tr2bl w:val="nil"/>
            </w:tcBorders>
            <w:noWrap/>
            <w:vAlign w:val="center"/>
          </w:tcPr>
          <w:p w14:paraId="74550C4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翘嘴鲌</w:t>
            </w:r>
          </w:p>
        </w:tc>
        <w:tc>
          <w:tcPr>
            <w:tcW w:w="1165" w:type="pct"/>
            <w:tcBorders>
              <w:tl2br w:val="nil"/>
              <w:tr2bl w:val="nil"/>
            </w:tcBorders>
            <w:noWrap/>
            <w:vAlign w:val="bottom"/>
          </w:tcPr>
          <w:p w14:paraId="1ABB1F1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3.75</w:t>
            </w:r>
          </w:p>
        </w:tc>
        <w:tc>
          <w:tcPr>
            <w:tcW w:w="1162" w:type="pct"/>
            <w:tcBorders>
              <w:tl2br w:val="nil"/>
              <w:tr2bl w:val="nil"/>
            </w:tcBorders>
            <w:noWrap/>
            <w:vAlign w:val="bottom"/>
          </w:tcPr>
          <w:p w14:paraId="75C0226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3.30</w:t>
            </w:r>
          </w:p>
        </w:tc>
        <w:tc>
          <w:tcPr>
            <w:tcW w:w="1195" w:type="pct"/>
            <w:tcBorders>
              <w:tl2br w:val="nil"/>
              <w:tr2bl w:val="nil"/>
            </w:tcBorders>
            <w:noWrap/>
            <w:vAlign w:val="bottom"/>
          </w:tcPr>
          <w:p w14:paraId="2D015A2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352</w:t>
            </w:r>
          </w:p>
        </w:tc>
      </w:tr>
      <w:tr w14:paraId="1018DA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476" w:type="pct"/>
            <w:tcBorders>
              <w:tl2br w:val="nil"/>
              <w:tr2bl w:val="nil"/>
            </w:tcBorders>
            <w:noWrap/>
            <w:vAlign w:val="center"/>
          </w:tcPr>
          <w:p w14:paraId="1EC1141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大鳍鱊</w:t>
            </w:r>
          </w:p>
        </w:tc>
        <w:tc>
          <w:tcPr>
            <w:tcW w:w="1165" w:type="pct"/>
            <w:tcBorders>
              <w:tl2br w:val="nil"/>
              <w:tr2bl w:val="nil"/>
            </w:tcBorders>
            <w:noWrap/>
            <w:vAlign w:val="bottom"/>
          </w:tcPr>
          <w:p w14:paraId="2203242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4.25</w:t>
            </w:r>
          </w:p>
        </w:tc>
        <w:tc>
          <w:tcPr>
            <w:tcW w:w="1162" w:type="pct"/>
            <w:tcBorders>
              <w:tl2br w:val="nil"/>
              <w:tr2bl w:val="nil"/>
            </w:tcBorders>
            <w:noWrap/>
            <w:vAlign w:val="bottom"/>
          </w:tcPr>
          <w:p w14:paraId="0D4CB22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0.67</w:t>
            </w:r>
          </w:p>
        </w:tc>
        <w:tc>
          <w:tcPr>
            <w:tcW w:w="1195" w:type="pct"/>
            <w:tcBorders>
              <w:tl2br w:val="nil"/>
              <w:tr2bl w:val="nil"/>
            </w:tcBorders>
            <w:noWrap/>
            <w:vAlign w:val="bottom"/>
          </w:tcPr>
          <w:p w14:paraId="30895E0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246</w:t>
            </w:r>
          </w:p>
        </w:tc>
      </w:tr>
      <w:tr w14:paraId="65AAB7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476" w:type="pct"/>
            <w:tcBorders>
              <w:tl2br w:val="nil"/>
              <w:tr2bl w:val="nil"/>
            </w:tcBorders>
            <w:noWrap/>
            <w:vAlign w:val="center"/>
          </w:tcPr>
          <w:p w14:paraId="43CC94B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鲇</w:t>
            </w:r>
          </w:p>
        </w:tc>
        <w:tc>
          <w:tcPr>
            <w:tcW w:w="1165" w:type="pct"/>
            <w:tcBorders>
              <w:tl2br w:val="nil"/>
              <w:tr2bl w:val="nil"/>
            </w:tcBorders>
            <w:noWrap/>
            <w:vAlign w:val="bottom"/>
          </w:tcPr>
          <w:p w14:paraId="3403AA7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0.25</w:t>
            </w:r>
          </w:p>
        </w:tc>
        <w:tc>
          <w:tcPr>
            <w:tcW w:w="1162" w:type="pct"/>
            <w:tcBorders>
              <w:tl2br w:val="nil"/>
              <w:tr2bl w:val="nil"/>
            </w:tcBorders>
            <w:noWrap/>
            <w:vAlign w:val="bottom"/>
          </w:tcPr>
          <w:p w14:paraId="1B397A2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4.12</w:t>
            </w:r>
          </w:p>
        </w:tc>
        <w:tc>
          <w:tcPr>
            <w:tcW w:w="1195" w:type="pct"/>
            <w:tcBorders>
              <w:tl2br w:val="nil"/>
              <w:tr2bl w:val="nil"/>
            </w:tcBorders>
            <w:noWrap/>
            <w:vAlign w:val="bottom"/>
          </w:tcPr>
          <w:p w14:paraId="71F8FAF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218</w:t>
            </w:r>
          </w:p>
        </w:tc>
      </w:tr>
      <w:tr w14:paraId="2D9765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476" w:type="pct"/>
            <w:tcBorders>
              <w:tl2br w:val="nil"/>
              <w:tr2bl w:val="nil"/>
            </w:tcBorders>
            <w:noWrap/>
            <w:vAlign w:val="center"/>
          </w:tcPr>
          <w:p w14:paraId="19BCAF0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䱗</w:t>
            </w:r>
          </w:p>
        </w:tc>
        <w:tc>
          <w:tcPr>
            <w:tcW w:w="1165" w:type="pct"/>
            <w:tcBorders>
              <w:tl2br w:val="nil"/>
              <w:tr2bl w:val="nil"/>
            </w:tcBorders>
            <w:noWrap/>
            <w:vAlign w:val="bottom"/>
          </w:tcPr>
          <w:p w14:paraId="2A2095A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1.25</w:t>
            </w:r>
          </w:p>
        </w:tc>
        <w:tc>
          <w:tcPr>
            <w:tcW w:w="1162" w:type="pct"/>
            <w:tcBorders>
              <w:tl2br w:val="nil"/>
              <w:tr2bl w:val="nil"/>
            </w:tcBorders>
            <w:noWrap/>
            <w:vAlign w:val="bottom"/>
          </w:tcPr>
          <w:p w14:paraId="08B005D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0.38</w:t>
            </w:r>
          </w:p>
        </w:tc>
        <w:tc>
          <w:tcPr>
            <w:tcW w:w="1195" w:type="pct"/>
            <w:tcBorders>
              <w:tl2br w:val="nil"/>
              <w:tr2bl w:val="nil"/>
            </w:tcBorders>
            <w:noWrap/>
            <w:vAlign w:val="bottom"/>
          </w:tcPr>
          <w:p w14:paraId="790CAA2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163</w:t>
            </w:r>
          </w:p>
        </w:tc>
      </w:tr>
      <w:tr w14:paraId="659A40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476" w:type="pct"/>
            <w:tcBorders>
              <w:tl2br w:val="nil"/>
              <w:tr2bl w:val="nil"/>
            </w:tcBorders>
            <w:noWrap/>
            <w:vAlign w:val="center"/>
          </w:tcPr>
          <w:p w14:paraId="4A41778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鳊</w:t>
            </w:r>
          </w:p>
        </w:tc>
        <w:tc>
          <w:tcPr>
            <w:tcW w:w="1165" w:type="pct"/>
            <w:tcBorders>
              <w:tl2br w:val="nil"/>
              <w:tr2bl w:val="nil"/>
            </w:tcBorders>
            <w:noWrap/>
            <w:vAlign w:val="bottom"/>
          </w:tcPr>
          <w:p w14:paraId="00C49DD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0.50</w:t>
            </w:r>
          </w:p>
        </w:tc>
        <w:tc>
          <w:tcPr>
            <w:tcW w:w="1162" w:type="pct"/>
            <w:tcBorders>
              <w:tl2br w:val="nil"/>
              <w:tr2bl w:val="nil"/>
            </w:tcBorders>
            <w:noWrap/>
            <w:vAlign w:val="bottom"/>
          </w:tcPr>
          <w:p w14:paraId="6B40C43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1.87</w:t>
            </w:r>
          </w:p>
        </w:tc>
        <w:tc>
          <w:tcPr>
            <w:tcW w:w="1195" w:type="pct"/>
            <w:tcBorders>
              <w:tl2br w:val="nil"/>
              <w:tr2bl w:val="nil"/>
            </w:tcBorders>
            <w:noWrap/>
            <w:vAlign w:val="bottom"/>
          </w:tcPr>
          <w:p w14:paraId="541774F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118</w:t>
            </w:r>
          </w:p>
        </w:tc>
      </w:tr>
      <w:tr w14:paraId="0977B4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476" w:type="pct"/>
            <w:tcBorders>
              <w:tl2br w:val="nil"/>
              <w:tr2bl w:val="nil"/>
            </w:tcBorders>
            <w:noWrap/>
            <w:vAlign w:val="center"/>
          </w:tcPr>
          <w:p w14:paraId="3718E92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银鮈</w:t>
            </w:r>
          </w:p>
        </w:tc>
        <w:tc>
          <w:tcPr>
            <w:tcW w:w="1165" w:type="pct"/>
            <w:tcBorders>
              <w:tl2br w:val="nil"/>
              <w:tr2bl w:val="nil"/>
            </w:tcBorders>
            <w:noWrap/>
            <w:vAlign w:val="bottom"/>
          </w:tcPr>
          <w:p w14:paraId="111C800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2.00</w:t>
            </w:r>
          </w:p>
        </w:tc>
        <w:tc>
          <w:tcPr>
            <w:tcW w:w="1162" w:type="pct"/>
            <w:tcBorders>
              <w:tl2br w:val="nil"/>
              <w:tr2bl w:val="nil"/>
            </w:tcBorders>
            <w:noWrap/>
            <w:vAlign w:val="bottom"/>
          </w:tcPr>
          <w:p w14:paraId="6C72D60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0.21</w:t>
            </w:r>
          </w:p>
        </w:tc>
        <w:tc>
          <w:tcPr>
            <w:tcW w:w="1195" w:type="pct"/>
            <w:tcBorders>
              <w:tl2br w:val="nil"/>
              <w:tr2bl w:val="nil"/>
            </w:tcBorders>
            <w:noWrap/>
            <w:vAlign w:val="bottom"/>
          </w:tcPr>
          <w:p w14:paraId="73E27DF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110</w:t>
            </w:r>
          </w:p>
        </w:tc>
      </w:tr>
      <w:tr w14:paraId="26810C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476" w:type="pct"/>
            <w:tcBorders>
              <w:tl2br w:val="nil"/>
              <w:tr2bl w:val="nil"/>
            </w:tcBorders>
            <w:noWrap/>
            <w:vAlign w:val="center"/>
          </w:tcPr>
          <w:p w14:paraId="643D454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赤眼鳟</w:t>
            </w:r>
          </w:p>
        </w:tc>
        <w:tc>
          <w:tcPr>
            <w:tcW w:w="1165" w:type="pct"/>
            <w:tcBorders>
              <w:tl2br w:val="nil"/>
              <w:tr2bl w:val="nil"/>
            </w:tcBorders>
            <w:noWrap/>
            <w:vAlign w:val="bottom"/>
          </w:tcPr>
          <w:p w14:paraId="2CA0786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0.75</w:t>
            </w:r>
          </w:p>
        </w:tc>
        <w:tc>
          <w:tcPr>
            <w:tcW w:w="1162" w:type="pct"/>
            <w:tcBorders>
              <w:tl2br w:val="nil"/>
              <w:tr2bl w:val="nil"/>
            </w:tcBorders>
            <w:noWrap/>
            <w:vAlign w:val="bottom"/>
          </w:tcPr>
          <w:p w14:paraId="79960A9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1.41</w:t>
            </w:r>
          </w:p>
        </w:tc>
        <w:tc>
          <w:tcPr>
            <w:tcW w:w="1195" w:type="pct"/>
            <w:tcBorders>
              <w:tl2br w:val="nil"/>
              <w:tr2bl w:val="nil"/>
            </w:tcBorders>
            <w:noWrap/>
            <w:vAlign w:val="bottom"/>
          </w:tcPr>
          <w:p w14:paraId="6C43F38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108</w:t>
            </w:r>
          </w:p>
        </w:tc>
      </w:tr>
    </w:tbl>
    <w:p w14:paraId="0A36B9CF">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4.2.5.3.4 群落多样性</w:t>
      </w:r>
    </w:p>
    <w:p w14:paraId="1FF23EE1">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rPr>
        <w:t>2023年</w:t>
      </w:r>
      <w:r>
        <w:rPr>
          <w:rFonts w:hint="eastAsia" w:ascii="Times New Roman" w:hAnsi="Times New Roman" w:eastAsia="宋体"/>
          <w:color w:val="auto"/>
          <w:sz w:val="24"/>
          <w:szCs w:val="22"/>
        </w:rPr>
        <w:t>调查</w:t>
      </w:r>
      <w:r>
        <w:rPr>
          <w:rFonts w:ascii="Times New Roman" w:hAnsi="Times New Roman" w:eastAsia="宋体"/>
          <w:color w:val="auto"/>
          <w:sz w:val="24"/>
          <w:szCs w:val="22"/>
        </w:rPr>
        <w:t>结果显示，基于数量统计，</w:t>
      </w:r>
      <w:r>
        <w:rPr>
          <w:rFonts w:ascii="Times New Roman" w:hAnsi="Times New Roman" w:eastAsia="宋体"/>
          <w:color w:val="auto"/>
          <w:sz w:val="24"/>
          <w:szCs w:val="22"/>
          <w:lang w:bidi="ar"/>
        </w:rPr>
        <w:t>保护区Shannon-Wiener多样性指数(</w:t>
      </w:r>
      <w:r>
        <w:rPr>
          <w:rFonts w:ascii="Times New Roman" w:hAnsi="Times New Roman" w:eastAsia="宋体"/>
          <w:i/>
          <w:iCs/>
          <w:color w:val="auto"/>
          <w:sz w:val="24"/>
          <w:szCs w:val="22"/>
          <w:lang w:bidi="ar"/>
        </w:rPr>
        <w:t>H'</w:t>
      </w:r>
      <w:r>
        <w:rPr>
          <w:rFonts w:ascii="Times New Roman" w:hAnsi="Times New Roman" w:eastAsia="宋体"/>
          <w:color w:val="auto"/>
          <w:sz w:val="24"/>
          <w:szCs w:val="22"/>
          <w:lang w:bidi="ar"/>
        </w:rPr>
        <w:t>)为2.28；Pielou均匀度指数(</w:t>
      </w:r>
      <w:r>
        <w:rPr>
          <w:rFonts w:ascii="Times New Roman" w:hAnsi="Times New Roman" w:eastAsia="宋体"/>
          <w:i/>
          <w:iCs/>
          <w:color w:val="auto"/>
          <w:sz w:val="24"/>
          <w:szCs w:val="22"/>
          <w:lang w:bidi="ar"/>
        </w:rPr>
        <w:t>E</w:t>
      </w:r>
      <w:r>
        <w:rPr>
          <w:rFonts w:ascii="Times New Roman" w:hAnsi="Times New Roman" w:eastAsia="宋体"/>
          <w:color w:val="auto"/>
          <w:sz w:val="24"/>
          <w:szCs w:val="22"/>
          <w:lang w:bidi="ar"/>
        </w:rPr>
        <w:t>)为0.68；Simpson优势度指数(</w:t>
      </w:r>
      <w:r>
        <w:rPr>
          <w:rFonts w:ascii="Times New Roman" w:hAnsi="Times New Roman" w:eastAsia="宋体"/>
          <w:i/>
          <w:iCs/>
          <w:color w:val="auto"/>
          <w:sz w:val="24"/>
          <w:szCs w:val="22"/>
          <w:lang w:bidi="ar"/>
        </w:rPr>
        <w:t>C</w:t>
      </w:r>
      <w:r>
        <w:rPr>
          <w:rFonts w:ascii="Times New Roman" w:hAnsi="Times New Roman" w:eastAsia="宋体"/>
          <w:color w:val="auto"/>
          <w:sz w:val="24"/>
          <w:szCs w:val="22"/>
          <w:lang w:bidi="ar"/>
        </w:rPr>
        <w:t>)为0.17；Margalef丰富度指数(</w:t>
      </w:r>
      <w:r>
        <w:rPr>
          <w:rFonts w:ascii="Times New Roman" w:hAnsi="Times New Roman" w:eastAsia="宋体"/>
          <w:i/>
          <w:iCs/>
          <w:color w:val="auto"/>
          <w:sz w:val="24"/>
          <w:szCs w:val="22"/>
          <w:lang w:bidi="ar"/>
        </w:rPr>
        <w:t>R</w:t>
      </w:r>
      <w:r>
        <w:rPr>
          <w:rFonts w:ascii="Times New Roman" w:hAnsi="Times New Roman" w:eastAsia="宋体"/>
          <w:color w:val="auto"/>
          <w:sz w:val="24"/>
          <w:szCs w:val="22"/>
          <w:lang w:bidi="ar"/>
        </w:rPr>
        <w:t>)为4.45(</w:t>
      </w:r>
      <w:r>
        <w:rPr>
          <w:rFonts w:ascii="Times New Roman" w:hAnsi="Times New Roman" w:eastAsia="宋体"/>
          <w:color w:val="auto"/>
          <w:sz w:val="24"/>
          <w:szCs w:val="22"/>
        </w:rPr>
        <w:t>图4.2</w:t>
      </w:r>
      <w:r>
        <w:rPr>
          <w:rFonts w:hint="eastAsia"/>
          <w:color w:val="auto"/>
          <w:sz w:val="24"/>
          <w:szCs w:val="22"/>
          <w:lang w:val="en-US" w:eastAsia="zh-CN"/>
        </w:rPr>
        <w:t>-9</w:t>
      </w:r>
      <w:r>
        <w:rPr>
          <w:rFonts w:ascii="Times New Roman" w:hAnsi="Times New Roman" w:eastAsia="宋体"/>
          <w:color w:val="auto"/>
          <w:sz w:val="24"/>
          <w:szCs w:val="22"/>
        </w:rPr>
        <w:t>)。</w:t>
      </w:r>
    </w:p>
    <w:p w14:paraId="59E972E8">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rPr>
        <w:t>繁殖期：基于数量统计，保护区</w:t>
      </w:r>
      <w:r>
        <w:rPr>
          <w:rFonts w:ascii="Times New Roman" w:hAnsi="Times New Roman" w:eastAsia="宋体"/>
          <w:color w:val="auto"/>
          <w:sz w:val="24"/>
          <w:szCs w:val="22"/>
          <w:lang w:bidi="ar"/>
        </w:rPr>
        <w:t>Shannon-Wiener多样性指数(H')为2.42；Pielou均匀度指数(</w:t>
      </w:r>
      <w:r>
        <w:rPr>
          <w:rFonts w:ascii="Times New Roman" w:hAnsi="Times New Roman" w:eastAsia="宋体"/>
          <w:i/>
          <w:iCs/>
          <w:color w:val="auto"/>
          <w:sz w:val="24"/>
          <w:szCs w:val="22"/>
          <w:lang w:bidi="ar"/>
        </w:rPr>
        <w:t>E</w:t>
      </w:r>
      <w:r>
        <w:rPr>
          <w:rFonts w:ascii="Times New Roman" w:hAnsi="Times New Roman" w:eastAsia="宋体"/>
          <w:color w:val="auto"/>
          <w:sz w:val="24"/>
          <w:szCs w:val="22"/>
          <w:lang w:bidi="ar"/>
        </w:rPr>
        <w:t>)为0.75；Simpson优势度指数(</w:t>
      </w:r>
      <w:r>
        <w:rPr>
          <w:rFonts w:ascii="Times New Roman" w:hAnsi="Times New Roman" w:eastAsia="宋体"/>
          <w:i/>
          <w:iCs/>
          <w:color w:val="auto"/>
          <w:sz w:val="24"/>
          <w:szCs w:val="22"/>
          <w:lang w:bidi="ar"/>
        </w:rPr>
        <w:t>C</w:t>
      </w:r>
      <w:r>
        <w:rPr>
          <w:rFonts w:ascii="Times New Roman" w:hAnsi="Times New Roman" w:eastAsia="宋体"/>
          <w:color w:val="auto"/>
          <w:sz w:val="24"/>
          <w:szCs w:val="22"/>
          <w:lang w:bidi="ar"/>
        </w:rPr>
        <w:t>)为0.14；Margalef丰富度指数(</w:t>
      </w:r>
      <w:r>
        <w:rPr>
          <w:rFonts w:ascii="Times New Roman" w:hAnsi="Times New Roman" w:eastAsia="宋体"/>
          <w:i/>
          <w:iCs/>
          <w:color w:val="auto"/>
          <w:sz w:val="24"/>
          <w:szCs w:val="22"/>
          <w:lang w:bidi="ar"/>
        </w:rPr>
        <w:t>R</w:t>
      </w:r>
      <w:r>
        <w:rPr>
          <w:rFonts w:ascii="Times New Roman" w:hAnsi="Times New Roman" w:eastAsia="宋体"/>
          <w:color w:val="auto"/>
          <w:sz w:val="24"/>
          <w:szCs w:val="22"/>
          <w:lang w:bidi="ar"/>
        </w:rPr>
        <w:t>)为4.88。</w:t>
      </w:r>
    </w:p>
    <w:p w14:paraId="0DFC8E21">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rPr>
        <w:t>索饵期：基于数量统计，保护区</w:t>
      </w:r>
      <w:r>
        <w:rPr>
          <w:rFonts w:ascii="Times New Roman" w:hAnsi="Times New Roman" w:eastAsia="宋体"/>
          <w:color w:val="auto"/>
          <w:sz w:val="24"/>
          <w:szCs w:val="22"/>
          <w:lang w:bidi="ar"/>
        </w:rPr>
        <w:t>Shannon-Wiener多样性指数(</w:t>
      </w:r>
      <w:r>
        <w:rPr>
          <w:rFonts w:ascii="Times New Roman" w:hAnsi="Times New Roman" w:eastAsia="宋体"/>
          <w:i/>
          <w:iCs/>
          <w:color w:val="auto"/>
          <w:sz w:val="24"/>
          <w:szCs w:val="22"/>
          <w:lang w:bidi="ar"/>
        </w:rPr>
        <w:t>H'</w:t>
      </w:r>
      <w:r>
        <w:rPr>
          <w:rFonts w:ascii="Times New Roman" w:hAnsi="Times New Roman" w:eastAsia="宋体"/>
          <w:color w:val="auto"/>
          <w:sz w:val="24"/>
          <w:szCs w:val="22"/>
          <w:lang w:bidi="ar"/>
        </w:rPr>
        <w:t>)为1.98；Pielou均匀度指数(</w:t>
      </w:r>
      <w:r>
        <w:rPr>
          <w:rFonts w:ascii="Times New Roman" w:hAnsi="Times New Roman" w:eastAsia="宋体"/>
          <w:i/>
          <w:iCs/>
          <w:color w:val="auto"/>
          <w:sz w:val="24"/>
          <w:szCs w:val="22"/>
          <w:lang w:bidi="ar"/>
        </w:rPr>
        <w:t>E</w:t>
      </w:r>
      <w:r>
        <w:rPr>
          <w:rFonts w:ascii="Times New Roman" w:hAnsi="Times New Roman" w:eastAsia="宋体"/>
          <w:color w:val="auto"/>
          <w:sz w:val="24"/>
          <w:szCs w:val="22"/>
          <w:lang w:bidi="ar"/>
        </w:rPr>
        <w:t>)为0.65；Simpson优势度指数(</w:t>
      </w:r>
      <w:r>
        <w:rPr>
          <w:rFonts w:ascii="Times New Roman" w:hAnsi="Times New Roman" w:eastAsia="宋体"/>
          <w:i/>
          <w:iCs/>
          <w:color w:val="auto"/>
          <w:sz w:val="24"/>
          <w:szCs w:val="22"/>
          <w:lang w:bidi="ar"/>
        </w:rPr>
        <w:t>C</w:t>
      </w:r>
      <w:r>
        <w:rPr>
          <w:rFonts w:ascii="Times New Roman" w:hAnsi="Times New Roman" w:eastAsia="宋体"/>
          <w:color w:val="auto"/>
          <w:sz w:val="24"/>
          <w:szCs w:val="22"/>
          <w:lang w:bidi="ar"/>
        </w:rPr>
        <w:t>)为0.24；Margalef丰富度指数(</w:t>
      </w:r>
      <w:r>
        <w:rPr>
          <w:rFonts w:ascii="Times New Roman" w:hAnsi="Times New Roman" w:eastAsia="宋体"/>
          <w:i/>
          <w:iCs/>
          <w:color w:val="auto"/>
          <w:sz w:val="24"/>
          <w:szCs w:val="22"/>
          <w:lang w:bidi="ar"/>
        </w:rPr>
        <w:t>R</w:t>
      </w:r>
      <w:r>
        <w:rPr>
          <w:rFonts w:ascii="Times New Roman" w:hAnsi="Times New Roman" w:eastAsia="宋体"/>
          <w:color w:val="auto"/>
          <w:sz w:val="24"/>
          <w:szCs w:val="22"/>
          <w:lang w:bidi="ar"/>
        </w:rPr>
        <w:t>)为3.34</w:t>
      </w:r>
      <w:r>
        <w:rPr>
          <w:rFonts w:ascii="Times New Roman" w:hAnsi="Times New Roman" w:eastAsia="宋体"/>
          <w:color w:val="auto"/>
          <w:sz w:val="24"/>
          <w:szCs w:val="22"/>
        </w:rPr>
        <w:t>。</w:t>
      </w:r>
    </w:p>
    <w:p w14:paraId="7E34C037">
      <w:pPr>
        <w:adjustRightInd w:val="0"/>
        <w:spacing w:line="360" w:lineRule="auto"/>
        <w:jc w:val="center"/>
        <w:rPr>
          <w:rFonts w:ascii="Times New Roman" w:hAnsi="Times New Roman" w:eastAsia="宋体"/>
          <w:color w:val="auto"/>
          <w:sz w:val="28"/>
          <w:szCs w:val="22"/>
        </w:rPr>
      </w:pPr>
      <w:bookmarkStart w:id="91" w:name="_Hlk125929222"/>
      <w:bookmarkStart w:id="92" w:name="_Hlk126096923"/>
      <w:r>
        <w:rPr>
          <w:rFonts w:ascii="等线" w:hAnsi="等线" w:eastAsia="等线"/>
          <w:color w:val="auto"/>
          <w:sz w:val="24"/>
          <w:szCs w:val="22"/>
        </w:rPr>
        <w:object>
          <v:shape id="_x0000_i1036" o:spt="75" type="#_x0000_t75" style="height:190.15pt;width:333.2pt;" o:ole="t" filled="f" o:preferrelative="t" stroked="f" coordsize="21600,21600">
            <v:path/>
            <v:fill on="f" focussize="0,0"/>
            <v:stroke on="f"/>
            <v:imagedata r:id="rId103" o:title=""/>
            <o:lock v:ext="edit" aspectratio="t"/>
            <w10:wrap type="none"/>
            <w10:anchorlock/>
          </v:shape>
          <o:OLEObject Type="Embed" ProgID="Excel.Chart.8" ShapeID="_x0000_i1036" DrawAspect="Content" ObjectID="_1468075736" r:id="rId102">
            <o:LockedField>false</o:LockedField>
          </o:OLEObject>
        </w:object>
      </w:r>
    </w:p>
    <w:p w14:paraId="143F616D">
      <w:pPr>
        <w:spacing w:line="400" w:lineRule="exact"/>
        <w:jc w:val="center"/>
        <w:rPr>
          <w:rFonts w:ascii="Times New Roman" w:hAnsi="Times New Roman" w:eastAsia="黑体" w:cs="Times New Roman"/>
          <w:color w:val="auto"/>
          <w:sz w:val="24"/>
          <w:szCs w:val="21"/>
          <w:lang w:val="en-US" w:eastAsia="zh-CN"/>
        </w:rPr>
      </w:pPr>
      <w:r>
        <w:rPr>
          <w:rFonts w:ascii="Times New Roman" w:hAnsi="Times New Roman" w:eastAsia="黑体" w:cs="Times New Roman"/>
          <w:color w:val="auto"/>
          <w:sz w:val="24"/>
          <w:szCs w:val="21"/>
          <w:lang w:val="en-US" w:eastAsia="zh-CN"/>
        </w:rPr>
        <w:t>图4.2</w:t>
      </w:r>
      <w:r>
        <w:rPr>
          <w:rFonts w:hint="eastAsia" w:ascii="Times New Roman" w:hAnsi="Times New Roman" w:eastAsia="黑体" w:cs="Times New Roman"/>
          <w:color w:val="auto"/>
          <w:sz w:val="24"/>
          <w:szCs w:val="21"/>
          <w:lang w:val="en-US" w:eastAsia="zh-CN"/>
        </w:rPr>
        <w:t xml:space="preserve">-9 </w:t>
      </w:r>
      <w:r>
        <w:rPr>
          <w:rFonts w:ascii="Times New Roman" w:hAnsi="Times New Roman" w:eastAsia="黑体" w:cs="Times New Roman"/>
          <w:color w:val="auto"/>
          <w:sz w:val="24"/>
          <w:szCs w:val="21"/>
          <w:lang w:val="en-US" w:eastAsia="zh-CN"/>
        </w:rPr>
        <w:t xml:space="preserve"> 2023年保护区</w:t>
      </w:r>
      <w:r>
        <w:rPr>
          <w:rFonts w:hint="eastAsia" w:ascii="Times New Roman" w:hAnsi="Times New Roman" w:eastAsia="黑体" w:cs="Times New Roman"/>
          <w:color w:val="auto"/>
          <w:sz w:val="24"/>
          <w:szCs w:val="21"/>
          <w:lang w:val="en-US" w:eastAsia="zh-CN"/>
        </w:rPr>
        <w:t>调查水域</w:t>
      </w:r>
      <w:r>
        <w:rPr>
          <w:rFonts w:ascii="Times New Roman" w:hAnsi="Times New Roman" w:eastAsia="黑体" w:cs="Times New Roman"/>
          <w:color w:val="auto"/>
          <w:sz w:val="24"/>
          <w:szCs w:val="21"/>
          <w:lang w:val="en-US" w:eastAsia="zh-CN"/>
        </w:rPr>
        <w:t>鱼类群落多样性指数时间特征</w:t>
      </w:r>
      <w:bookmarkEnd w:id="91"/>
      <w:bookmarkEnd w:id="92"/>
    </w:p>
    <w:p w14:paraId="1459C19F">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4.2.5.3.5 生物学指标</w:t>
      </w:r>
    </w:p>
    <w:p w14:paraId="35E7F9BE">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rPr>
        <w:t>2023年</w:t>
      </w:r>
      <w:r>
        <w:rPr>
          <w:rFonts w:hint="eastAsia" w:ascii="Times New Roman" w:hAnsi="Times New Roman" w:eastAsia="宋体"/>
          <w:color w:val="auto"/>
          <w:sz w:val="24"/>
          <w:szCs w:val="22"/>
        </w:rPr>
        <w:t>调查</w:t>
      </w:r>
      <w:r>
        <w:rPr>
          <w:rFonts w:ascii="Times New Roman" w:hAnsi="Times New Roman" w:eastAsia="宋体"/>
          <w:color w:val="auto"/>
          <w:sz w:val="24"/>
          <w:szCs w:val="22"/>
        </w:rPr>
        <w:t>结果显示，保护区</w:t>
      </w:r>
      <w:r>
        <w:rPr>
          <w:rFonts w:hint="eastAsia" w:ascii="Times New Roman" w:hAnsi="Times New Roman" w:eastAsia="宋体"/>
          <w:color w:val="auto"/>
          <w:sz w:val="24"/>
          <w:szCs w:val="22"/>
        </w:rPr>
        <w:t>共采集鱼类537尾，总重27281.0g，测定鱼类生物学537尾，全长变幅为37-609 mm，均值为157 mm；体长变幅为32-507 mm，均值为136 mm；体重变幅为0.6-3225 g，均值为50.8g</w:t>
      </w:r>
      <w:r>
        <w:rPr>
          <w:rFonts w:ascii="Times New Roman" w:hAnsi="Times New Roman" w:eastAsia="宋体"/>
          <w:color w:val="auto"/>
          <w:sz w:val="24"/>
          <w:szCs w:val="22"/>
        </w:rPr>
        <w:t xml:space="preserve"> (图4.2</w:t>
      </w:r>
      <w:r>
        <w:rPr>
          <w:rFonts w:hint="eastAsia"/>
          <w:color w:val="auto"/>
          <w:sz w:val="24"/>
          <w:szCs w:val="22"/>
          <w:lang w:val="en-US" w:eastAsia="zh-CN"/>
        </w:rPr>
        <w:t>-10</w:t>
      </w:r>
      <w:r>
        <w:rPr>
          <w:rFonts w:ascii="Times New Roman" w:hAnsi="Times New Roman" w:eastAsia="宋体"/>
          <w:color w:val="auto"/>
          <w:sz w:val="24"/>
          <w:szCs w:val="22"/>
        </w:rPr>
        <w:t>)。</w:t>
      </w:r>
    </w:p>
    <w:p w14:paraId="49509AE6">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rPr>
        <w:t>繁殖期：保护区共采集鱼类137尾，总重14265.6 g，测定鱼类生物学137 尾，全长变幅为48-609 mm，均值为155 mm；体长变幅为38-507 mm，均值为128 mm；体重变幅为1-3225 g，均值为104.1 g。</w:t>
      </w:r>
    </w:p>
    <w:p w14:paraId="0583A566">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rPr>
        <w:t>索饵期：保护区共采集鱼类400尾，总重13015.4 g，测定鱼类生物学400尾，全长变幅为37-555 mm，均值为158 mm；体长变幅为32-438 mm，均值为139 mm；体重变幅为0.6-1895 g，均值为32.5</w:t>
      </w:r>
      <w:r>
        <w:rPr>
          <w:rFonts w:hint="eastAsia" w:ascii="Times New Roman" w:hAnsi="Times New Roman" w:eastAsia="宋体"/>
          <w:color w:val="auto"/>
          <w:sz w:val="24"/>
          <w:szCs w:val="22"/>
        </w:rPr>
        <w:t xml:space="preserve"> </w:t>
      </w:r>
      <w:r>
        <w:rPr>
          <w:rFonts w:ascii="Times New Roman" w:hAnsi="Times New Roman" w:eastAsia="宋体"/>
          <w:color w:val="auto"/>
          <w:sz w:val="24"/>
          <w:szCs w:val="22"/>
        </w:rPr>
        <w:t>g。</w:t>
      </w:r>
    </w:p>
    <w:p w14:paraId="04275B0C">
      <w:pPr>
        <w:adjustRightInd w:val="0"/>
        <w:spacing w:line="240" w:lineRule="auto"/>
        <w:jc w:val="center"/>
        <w:rPr>
          <w:rFonts w:ascii="Times New Roman" w:hAnsi="Times New Roman" w:eastAsia="仿宋"/>
          <w:color w:val="auto"/>
          <w:sz w:val="24"/>
          <w:szCs w:val="22"/>
        </w:rPr>
      </w:pPr>
      <w:r>
        <w:rPr>
          <w:rFonts w:hint="eastAsia" w:ascii="等线" w:hAnsi="等线" w:eastAsia="等线"/>
          <w:color w:val="auto"/>
          <w:sz w:val="21"/>
          <w:szCs w:val="22"/>
          <w:lang w:bidi="ar"/>
        </w:rPr>
        <w:object>
          <v:shape id="_x0000_i1037" o:spt="75" type="#_x0000_t75" style="height:191.7pt;width:337.9pt;" o:ole="t" filled="f" o:preferrelative="t" stroked="f" coordsize="21600,21600">
            <v:path/>
            <v:fill on="f" focussize="0,0"/>
            <v:stroke on="f"/>
            <v:imagedata r:id="rId105" cropbottom="-58f" o:title=""/>
            <o:lock v:ext="edit" aspectratio="f"/>
            <w10:wrap type="none"/>
            <w10:anchorlock/>
          </v:shape>
          <o:OLEObject Type="Embed" ProgID="Excel.Chart.8" ShapeID="_x0000_i1037" DrawAspect="Content" ObjectID="_1468075737" r:id="rId104">
            <o:LockedField>false</o:LockedField>
          </o:OLEObject>
        </w:object>
      </w:r>
    </w:p>
    <w:p w14:paraId="3AFBADA4">
      <w:pPr>
        <w:spacing w:line="400" w:lineRule="exact"/>
        <w:jc w:val="center"/>
        <w:rPr>
          <w:rFonts w:ascii="Times New Roman" w:hAnsi="Times New Roman" w:eastAsia="黑体" w:cs="Times New Roman"/>
          <w:color w:val="auto"/>
          <w:sz w:val="24"/>
          <w:szCs w:val="21"/>
          <w:lang w:val="en-US" w:eastAsia="zh-CN"/>
        </w:rPr>
      </w:pPr>
      <w:r>
        <w:rPr>
          <w:rFonts w:ascii="Times New Roman" w:hAnsi="Times New Roman" w:eastAsia="黑体" w:cs="Times New Roman"/>
          <w:color w:val="auto"/>
          <w:sz w:val="24"/>
          <w:szCs w:val="21"/>
          <w:lang w:val="en-US" w:eastAsia="zh-CN"/>
        </w:rPr>
        <w:t>图</w:t>
      </w:r>
      <w:r>
        <w:rPr>
          <w:rFonts w:hint="eastAsia" w:ascii="Times New Roman" w:hAnsi="Times New Roman" w:eastAsia="黑体" w:cs="Times New Roman"/>
          <w:color w:val="auto"/>
          <w:sz w:val="24"/>
          <w:szCs w:val="21"/>
          <w:lang w:val="en-US" w:eastAsia="zh-CN"/>
        </w:rPr>
        <w:t>4.2-10</w:t>
      </w:r>
      <w:r>
        <w:rPr>
          <w:rFonts w:ascii="Times New Roman" w:hAnsi="Times New Roman" w:eastAsia="黑体" w:cs="Times New Roman"/>
          <w:color w:val="auto"/>
          <w:sz w:val="24"/>
          <w:szCs w:val="21"/>
          <w:lang w:val="en-US" w:eastAsia="zh-CN"/>
        </w:rPr>
        <w:t xml:space="preserve">  2023年保护区鱼类生物学指标特征</w:t>
      </w:r>
    </w:p>
    <w:p w14:paraId="740B304A">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4.2.5.3.6 资源密度</w:t>
      </w:r>
    </w:p>
    <w:p w14:paraId="6D44C795">
      <w:pPr>
        <w:spacing w:line="360" w:lineRule="auto"/>
        <w:ind w:firstLine="480" w:firstLineChars="200"/>
        <w:rPr>
          <w:rFonts w:ascii="Times New Roman" w:hAnsi="Times New Roman" w:eastAsia="宋体"/>
          <w:color w:val="auto"/>
          <w:sz w:val="22"/>
          <w:szCs w:val="21"/>
        </w:rPr>
      </w:pPr>
      <w:bookmarkStart w:id="93" w:name="_Hlk172880338"/>
      <w:r>
        <w:rPr>
          <w:rFonts w:ascii="Times New Roman" w:hAnsi="Times New Roman" w:eastAsia="宋体"/>
          <w:color w:val="auto"/>
          <w:sz w:val="24"/>
          <w:szCs w:val="21"/>
          <w:lang w:bidi="ar"/>
        </w:rPr>
        <w:t>根据2</w:t>
      </w:r>
      <w:r>
        <w:rPr>
          <w:rFonts w:hint="eastAsia"/>
          <w:color w:val="auto"/>
          <w:sz w:val="24"/>
          <w:szCs w:val="21"/>
          <w:lang w:val="en-US" w:eastAsia="zh-CN" w:bidi="ar"/>
        </w:rPr>
        <w:t>023</w:t>
      </w:r>
      <w:r>
        <w:rPr>
          <w:rFonts w:ascii="Times New Roman" w:hAnsi="Times New Roman" w:eastAsia="宋体"/>
          <w:color w:val="auto"/>
          <w:sz w:val="24"/>
          <w:szCs w:val="21"/>
          <w:lang w:bidi="ar"/>
        </w:rPr>
        <w:t>年度调查结果，保护区</w:t>
      </w:r>
      <w:r>
        <w:rPr>
          <w:rFonts w:hint="eastAsia" w:ascii="Times New Roman" w:hAnsi="Times New Roman" w:eastAsia="宋体"/>
          <w:color w:val="auto"/>
          <w:sz w:val="24"/>
          <w:szCs w:val="21"/>
          <w:lang w:bidi="ar"/>
        </w:rPr>
        <w:t>调查</w:t>
      </w:r>
      <w:r>
        <w:rPr>
          <w:rFonts w:ascii="Times New Roman" w:hAnsi="Times New Roman" w:eastAsia="宋体"/>
          <w:color w:val="auto"/>
          <w:sz w:val="24"/>
          <w:szCs w:val="21"/>
          <w:lang w:bidi="ar"/>
        </w:rPr>
        <w:t>河段鱼类资源密度年度均值为0.5066 ind./m</w:t>
      </w:r>
      <w:r>
        <w:rPr>
          <w:rFonts w:ascii="Times New Roman" w:hAnsi="Times New Roman" w:eastAsia="宋体"/>
          <w:color w:val="auto"/>
          <w:sz w:val="24"/>
          <w:szCs w:val="21"/>
          <w:vertAlign w:val="superscript"/>
          <w:lang w:bidi="ar"/>
        </w:rPr>
        <w:t>2</w:t>
      </w:r>
      <w:bookmarkEnd w:id="93"/>
      <w:r>
        <w:rPr>
          <w:rFonts w:ascii="Times New Roman" w:hAnsi="Times New Roman" w:eastAsia="宋体"/>
          <w:color w:val="auto"/>
          <w:sz w:val="24"/>
          <w:szCs w:val="21"/>
          <w:lang w:bidi="ar"/>
        </w:rPr>
        <w:t>，变化范围为0.00-1.6836 ind./m</w:t>
      </w:r>
      <w:r>
        <w:rPr>
          <w:rFonts w:ascii="Times New Roman" w:hAnsi="Times New Roman" w:eastAsia="宋体"/>
          <w:color w:val="auto"/>
          <w:sz w:val="24"/>
          <w:szCs w:val="21"/>
          <w:vertAlign w:val="superscript"/>
          <w:lang w:bidi="ar"/>
        </w:rPr>
        <w:t>2</w:t>
      </w:r>
      <w:r>
        <w:rPr>
          <w:rFonts w:ascii="Times New Roman" w:hAnsi="Times New Roman" w:eastAsia="宋体"/>
          <w:color w:val="auto"/>
          <w:sz w:val="24"/>
          <w:szCs w:val="21"/>
          <w:lang w:bidi="ar"/>
        </w:rPr>
        <w:t>。根据20</w:t>
      </w:r>
      <w:r>
        <w:rPr>
          <w:rFonts w:hint="eastAsia"/>
          <w:color w:val="auto"/>
          <w:sz w:val="24"/>
          <w:szCs w:val="21"/>
          <w:lang w:val="en-US" w:eastAsia="zh-CN" w:bidi="ar"/>
        </w:rPr>
        <w:t>23</w:t>
      </w:r>
      <w:r>
        <w:rPr>
          <w:rFonts w:ascii="Times New Roman" w:hAnsi="Times New Roman" w:eastAsia="宋体"/>
          <w:color w:val="auto"/>
          <w:sz w:val="24"/>
          <w:szCs w:val="21"/>
          <w:lang w:bidi="ar"/>
        </w:rPr>
        <w:t>年监测鱼类生物学特征，估算出鱼类生物量为7.9978 g/m</w:t>
      </w:r>
      <w:r>
        <w:rPr>
          <w:rFonts w:ascii="Times New Roman" w:hAnsi="Times New Roman" w:eastAsia="宋体"/>
          <w:color w:val="auto"/>
          <w:sz w:val="24"/>
          <w:szCs w:val="21"/>
          <w:vertAlign w:val="superscript"/>
          <w:lang w:bidi="ar"/>
        </w:rPr>
        <w:t>2</w:t>
      </w:r>
      <w:r>
        <w:rPr>
          <w:rFonts w:ascii="Times New Roman" w:hAnsi="Times New Roman" w:eastAsia="宋体"/>
          <w:color w:val="auto"/>
          <w:sz w:val="24"/>
          <w:szCs w:val="21"/>
          <w:lang w:bidi="ar"/>
        </w:rPr>
        <w:t>。</w:t>
      </w:r>
    </w:p>
    <w:p w14:paraId="545C90EB">
      <w:pPr>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1"/>
          <w:lang w:bidi="ar"/>
        </w:rPr>
        <w:t>①越冬期：保护区河段鱼类资源密度均值为0.3594 ind./m</w:t>
      </w:r>
      <w:r>
        <w:rPr>
          <w:rFonts w:ascii="Times New Roman" w:hAnsi="Times New Roman" w:eastAsia="宋体"/>
          <w:color w:val="auto"/>
          <w:sz w:val="24"/>
          <w:szCs w:val="21"/>
          <w:vertAlign w:val="superscript"/>
          <w:lang w:bidi="ar"/>
        </w:rPr>
        <w:t>2</w:t>
      </w:r>
      <w:r>
        <w:rPr>
          <w:rFonts w:ascii="Times New Roman" w:hAnsi="Times New Roman" w:eastAsia="宋体"/>
          <w:color w:val="auto"/>
          <w:sz w:val="24"/>
          <w:szCs w:val="21"/>
          <w:lang w:bidi="ar"/>
        </w:rPr>
        <w:t>，变化范围为0.0023-1.0589 ind./m</w:t>
      </w:r>
      <w:r>
        <w:rPr>
          <w:rFonts w:ascii="Times New Roman" w:hAnsi="Times New Roman" w:eastAsia="宋体"/>
          <w:color w:val="auto"/>
          <w:sz w:val="24"/>
          <w:szCs w:val="21"/>
          <w:vertAlign w:val="superscript"/>
          <w:lang w:bidi="ar"/>
        </w:rPr>
        <w:t>2</w:t>
      </w:r>
      <w:r>
        <w:rPr>
          <w:rFonts w:ascii="Times New Roman" w:hAnsi="Times New Roman" w:eastAsia="宋体"/>
          <w:color w:val="auto"/>
          <w:sz w:val="24"/>
          <w:szCs w:val="21"/>
          <w:lang w:bidi="ar"/>
        </w:rPr>
        <w:t>。</w:t>
      </w:r>
    </w:p>
    <w:p w14:paraId="3EB48D12">
      <w:pPr>
        <w:spacing w:line="240" w:lineRule="auto"/>
        <w:jc w:val="center"/>
        <w:rPr>
          <w:rFonts w:ascii="Times New Roman" w:hAnsi="Times New Roman" w:eastAsia="宋体"/>
          <w:color w:val="auto"/>
          <w:sz w:val="24"/>
          <w:szCs w:val="28"/>
        </w:rPr>
      </w:pPr>
      <w:r>
        <w:rPr>
          <w:rFonts w:ascii="Times New Roman" w:hAnsi="Times New Roman" w:eastAsia="宋体"/>
          <w:color w:val="auto"/>
          <w:sz w:val="28"/>
          <w:szCs w:val="28"/>
          <w:lang w:bidi="ar"/>
        </w:rPr>
        <w:drawing>
          <wp:inline distT="0" distB="0" distL="114300" distR="114300">
            <wp:extent cx="4076700" cy="2876550"/>
            <wp:effectExtent l="0" t="0" r="0" b="0"/>
            <wp:docPr id="253" name="图片 10" descr="3月鱼类资源密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10" descr="3月鱼类资源密度"/>
                    <pic:cNvPicPr>
                      <a:picLocks noChangeAspect="1"/>
                    </pic:cNvPicPr>
                  </pic:nvPicPr>
                  <pic:blipFill>
                    <a:blip r:embed="rId106"/>
                    <a:stretch>
                      <a:fillRect/>
                    </a:stretch>
                  </pic:blipFill>
                  <pic:spPr>
                    <a:xfrm>
                      <a:off x="0" y="0"/>
                      <a:ext cx="4076700" cy="2876550"/>
                    </a:xfrm>
                    <a:prstGeom prst="rect">
                      <a:avLst/>
                    </a:prstGeom>
                    <a:noFill/>
                    <a:ln>
                      <a:noFill/>
                    </a:ln>
                  </pic:spPr>
                </pic:pic>
              </a:graphicData>
            </a:graphic>
          </wp:inline>
        </w:drawing>
      </w:r>
    </w:p>
    <w:p w14:paraId="36AAFF3B">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-11</w:t>
      </w:r>
      <w:r>
        <w:rPr>
          <w:rFonts w:ascii="Times New Roman" w:hAnsi="Times New Roman" w:eastAsia="黑体" w:cs="Times New Roman"/>
          <w:color w:val="auto"/>
          <w:sz w:val="24"/>
          <w:szCs w:val="21"/>
        </w:rPr>
        <w:t xml:space="preserve">  保护区河段越冬期鱼类资源密度</w:t>
      </w:r>
    </w:p>
    <w:p w14:paraId="046E667A">
      <w:pPr>
        <w:spacing w:line="360" w:lineRule="auto"/>
        <w:ind w:firstLine="560"/>
        <w:rPr>
          <w:rFonts w:ascii="Times New Roman" w:hAnsi="Times New Roman" w:eastAsia="宋体"/>
          <w:color w:val="auto"/>
          <w:sz w:val="22"/>
          <w:szCs w:val="21"/>
        </w:rPr>
      </w:pPr>
      <w:r>
        <w:rPr>
          <w:rFonts w:ascii="Times New Roman" w:hAnsi="Times New Roman" w:eastAsia="宋体"/>
          <w:color w:val="auto"/>
          <w:sz w:val="24"/>
          <w:szCs w:val="21"/>
          <w:lang w:bidi="ar"/>
        </w:rPr>
        <w:t>②繁殖期：保护区河段鱼类资源密度年度均值为0.6663 ind./m</w:t>
      </w:r>
      <w:r>
        <w:rPr>
          <w:rFonts w:ascii="Times New Roman" w:hAnsi="Times New Roman" w:eastAsia="宋体"/>
          <w:color w:val="auto"/>
          <w:sz w:val="24"/>
          <w:szCs w:val="21"/>
          <w:vertAlign w:val="superscript"/>
          <w:lang w:bidi="ar"/>
        </w:rPr>
        <w:t>2</w:t>
      </w:r>
      <w:r>
        <w:rPr>
          <w:rFonts w:ascii="Times New Roman" w:hAnsi="Times New Roman" w:eastAsia="宋体"/>
          <w:color w:val="auto"/>
          <w:sz w:val="24"/>
          <w:szCs w:val="21"/>
          <w:lang w:bidi="ar"/>
        </w:rPr>
        <w:t>，变化范围为0.00-1.6836 ind./m</w:t>
      </w:r>
      <w:r>
        <w:rPr>
          <w:rFonts w:ascii="Times New Roman" w:hAnsi="Times New Roman" w:eastAsia="宋体"/>
          <w:color w:val="auto"/>
          <w:sz w:val="24"/>
          <w:szCs w:val="21"/>
          <w:vertAlign w:val="superscript"/>
          <w:lang w:bidi="ar"/>
        </w:rPr>
        <w:t>2</w:t>
      </w:r>
      <w:r>
        <w:rPr>
          <w:rFonts w:ascii="Times New Roman" w:hAnsi="Times New Roman" w:eastAsia="宋体"/>
          <w:color w:val="auto"/>
          <w:sz w:val="24"/>
          <w:szCs w:val="21"/>
          <w:lang w:bidi="ar"/>
        </w:rPr>
        <w:t>。</w:t>
      </w:r>
    </w:p>
    <w:p w14:paraId="2A5E63AD">
      <w:pPr>
        <w:spacing w:line="240" w:lineRule="auto"/>
        <w:jc w:val="center"/>
        <w:rPr>
          <w:rFonts w:ascii="Times New Roman" w:hAnsi="Times New Roman" w:eastAsia="宋体"/>
          <w:color w:val="auto"/>
          <w:sz w:val="24"/>
          <w:szCs w:val="28"/>
        </w:rPr>
      </w:pPr>
      <w:r>
        <w:rPr>
          <w:rFonts w:ascii="Times New Roman" w:hAnsi="Times New Roman" w:eastAsia="宋体"/>
          <w:color w:val="auto"/>
          <w:sz w:val="28"/>
          <w:szCs w:val="28"/>
          <w:lang w:bidi="ar"/>
        </w:rPr>
        <w:drawing>
          <wp:inline distT="0" distB="0" distL="114300" distR="114300">
            <wp:extent cx="4076700" cy="2876550"/>
            <wp:effectExtent l="0" t="0" r="0" b="0"/>
            <wp:docPr id="254" name="图片 11" descr="6月鱼类资源密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11" descr="6月鱼类资源密度"/>
                    <pic:cNvPicPr>
                      <a:picLocks noChangeAspect="1"/>
                    </pic:cNvPicPr>
                  </pic:nvPicPr>
                  <pic:blipFill>
                    <a:blip r:embed="rId107"/>
                    <a:stretch>
                      <a:fillRect/>
                    </a:stretch>
                  </pic:blipFill>
                  <pic:spPr>
                    <a:xfrm>
                      <a:off x="0" y="0"/>
                      <a:ext cx="4076700" cy="2876550"/>
                    </a:xfrm>
                    <a:prstGeom prst="rect">
                      <a:avLst/>
                    </a:prstGeom>
                    <a:noFill/>
                    <a:ln>
                      <a:noFill/>
                    </a:ln>
                  </pic:spPr>
                </pic:pic>
              </a:graphicData>
            </a:graphic>
          </wp:inline>
        </w:drawing>
      </w:r>
    </w:p>
    <w:p w14:paraId="73072BD1">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-12</w:t>
      </w:r>
      <w:r>
        <w:rPr>
          <w:rFonts w:ascii="Times New Roman" w:hAnsi="Times New Roman" w:eastAsia="黑体" w:cs="Times New Roman"/>
          <w:color w:val="auto"/>
          <w:sz w:val="24"/>
          <w:szCs w:val="21"/>
        </w:rPr>
        <w:t xml:space="preserve"> 保护区河段繁殖期鱼类资源密度</w:t>
      </w:r>
    </w:p>
    <w:p w14:paraId="2AA881C3">
      <w:pPr>
        <w:spacing w:line="360" w:lineRule="auto"/>
        <w:ind w:firstLine="560"/>
        <w:rPr>
          <w:rFonts w:ascii="Times New Roman" w:hAnsi="Times New Roman" w:eastAsia="宋体"/>
          <w:color w:val="auto"/>
          <w:sz w:val="22"/>
          <w:szCs w:val="21"/>
        </w:rPr>
      </w:pPr>
      <w:r>
        <w:rPr>
          <w:rFonts w:ascii="Times New Roman" w:hAnsi="Times New Roman" w:eastAsia="宋体"/>
          <w:color w:val="auto"/>
          <w:sz w:val="24"/>
          <w:szCs w:val="21"/>
          <w:lang w:bidi="ar"/>
        </w:rPr>
        <w:t>③索饵期：保护区河段鱼类资源密度年度均值为0.5774 ind./m</w:t>
      </w:r>
      <w:r>
        <w:rPr>
          <w:rFonts w:ascii="Times New Roman" w:hAnsi="Times New Roman" w:eastAsia="宋体"/>
          <w:color w:val="auto"/>
          <w:sz w:val="24"/>
          <w:szCs w:val="21"/>
          <w:vertAlign w:val="superscript"/>
          <w:lang w:bidi="ar"/>
        </w:rPr>
        <w:t>2</w:t>
      </w:r>
      <w:r>
        <w:rPr>
          <w:rFonts w:ascii="Times New Roman" w:hAnsi="Times New Roman" w:eastAsia="宋体"/>
          <w:color w:val="auto"/>
          <w:sz w:val="24"/>
          <w:szCs w:val="21"/>
          <w:lang w:bidi="ar"/>
        </w:rPr>
        <w:t>，变化范围为0.0513-1.2098 ind./m</w:t>
      </w:r>
      <w:r>
        <w:rPr>
          <w:rFonts w:ascii="Times New Roman" w:hAnsi="Times New Roman" w:eastAsia="宋体"/>
          <w:color w:val="auto"/>
          <w:sz w:val="24"/>
          <w:szCs w:val="21"/>
          <w:vertAlign w:val="superscript"/>
          <w:lang w:bidi="ar"/>
        </w:rPr>
        <w:t>2</w:t>
      </w:r>
      <w:r>
        <w:rPr>
          <w:rFonts w:ascii="Times New Roman" w:hAnsi="Times New Roman" w:eastAsia="宋体"/>
          <w:color w:val="auto"/>
          <w:sz w:val="24"/>
          <w:szCs w:val="21"/>
          <w:lang w:bidi="ar"/>
        </w:rPr>
        <w:t>。</w:t>
      </w:r>
    </w:p>
    <w:p w14:paraId="5CA26C19">
      <w:pPr>
        <w:spacing w:line="240" w:lineRule="auto"/>
        <w:jc w:val="center"/>
        <w:rPr>
          <w:rFonts w:ascii="Times New Roman" w:hAnsi="Times New Roman" w:eastAsia="宋体"/>
          <w:color w:val="auto"/>
          <w:sz w:val="24"/>
          <w:szCs w:val="28"/>
        </w:rPr>
      </w:pPr>
      <w:r>
        <w:rPr>
          <w:rFonts w:ascii="Times New Roman" w:hAnsi="Times New Roman" w:eastAsia="宋体"/>
          <w:color w:val="auto"/>
          <w:sz w:val="28"/>
          <w:szCs w:val="28"/>
          <w:lang w:bidi="ar"/>
        </w:rPr>
        <w:drawing>
          <wp:inline distT="0" distB="0" distL="114300" distR="114300">
            <wp:extent cx="4076700" cy="2876550"/>
            <wp:effectExtent l="0" t="0" r="0" b="0"/>
            <wp:docPr id="255" name="图片 12" descr="9月鱼类资源密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12" descr="9月鱼类资源密度"/>
                    <pic:cNvPicPr>
                      <a:picLocks noChangeAspect="1"/>
                    </pic:cNvPicPr>
                  </pic:nvPicPr>
                  <pic:blipFill>
                    <a:blip r:embed="rId108"/>
                    <a:stretch>
                      <a:fillRect/>
                    </a:stretch>
                  </pic:blipFill>
                  <pic:spPr>
                    <a:xfrm>
                      <a:off x="0" y="0"/>
                      <a:ext cx="4076700" cy="2876550"/>
                    </a:xfrm>
                    <a:prstGeom prst="rect">
                      <a:avLst/>
                    </a:prstGeom>
                    <a:noFill/>
                    <a:ln>
                      <a:noFill/>
                    </a:ln>
                  </pic:spPr>
                </pic:pic>
              </a:graphicData>
            </a:graphic>
          </wp:inline>
        </w:drawing>
      </w:r>
    </w:p>
    <w:p w14:paraId="22CE88BE">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-13</w:t>
      </w:r>
      <w:r>
        <w:rPr>
          <w:rFonts w:ascii="Times New Roman" w:hAnsi="Times New Roman" w:eastAsia="黑体" w:cs="Times New Roman"/>
          <w:color w:val="auto"/>
          <w:sz w:val="24"/>
          <w:szCs w:val="21"/>
        </w:rPr>
        <w:t xml:space="preserve">  保护区河段索饵期鱼类资源密度</w:t>
      </w:r>
    </w:p>
    <w:p w14:paraId="069CA118">
      <w:pPr>
        <w:keepNext w:val="0"/>
        <w:keepLines w:val="0"/>
        <w:pageBreakBefore w:val="0"/>
        <w:widowControl w:val="0"/>
        <w:kinsoku/>
        <w:wordWrap/>
        <w:overflowPunct/>
        <w:topLinePunct w:val="0"/>
        <w:autoSpaceDE/>
        <w:autoSpaceDN/>
        <w:bidi w:val="0"/>
        <w:adjustRightInd/>
        <w:snapToGrid/>
        <w:spacing w:line="360" w:lineRule="auto"/>
        <w:textAlignment w:val="auto"/>
        <w:outlineLvl w:val="3"/>
        <w:rPr>
          <w:rFonts w:hint="eastAsia" w:ascii="Times New Roman" w:hAnsi="Times New Roman" w:eastAsia="黑体" w:cs="Times New Roman"/>
          <w:bCs/>
          <w:color w:val="auto"/>
          <w:kern w:val="2"/>
          <w:sz w:val="24"/>
          <w:szCs w:val="28"/>
          <w:lang w:val="en-US" w:eastAsia="zh-CN" w:bidi="ar-SA"/>
        </w:rPr>
      </w:pPr>
      <w:bookmarkStart w:id="94" w:name="_Hlk172880254"/>
      <w:r>
        <w:rPr>
          <w:rFonts w:hint="eastAsia" w:ascii="Times New Roman" w:hAnsi="Times New Roman" w:eastAsia="黑体" w:cs="Times New Roman"/>
          <w:bCs/>
          <w:color w:val="auto"/>
          <w:kern w:val="2"/>
          <w:sz w:val="24"/>
          <w:szCs w:val="28"/>
          <w:lang w:val="en-US" w:eastAsia="zh-CN" w:bidi="ar-SA"/>
        </w:rPr>
        <w:t>4.</w:t>
      </w:r>
      <w:r>
        <w:rPr>
          <w:rFonts w:hint="eastAsia" w:eastAsia="黑体" w:cs="Times New Roman"/>
          <w:bCs/>
          <w:color w:val="auto"/>
          <w:kern w:val="2"/>
          <w:sz w:val="24"/>
          <w:szCs w:val="28"/>
          <w:lang w:val="en-US" w:eastAsia="zh-CN" w:bidi="ar-SA"/>
        </w:rPr>
        <w:t>2.5</w:t>
      </w:r>
      <w:r>
        <w:rPr>
          <w:rFonts w:hint="eastAsia" w:ascii="Times New Roman" w:hAnsi="Times New Roman" w:eastAsia="黑体" w:cs="Times New Roman"/>
          <w:bCs/>
          <w:color w:val="auto"/>
          <w:kern w:val="2"/>
          <w:sz w:val="24"/>
          <w:szCs w:val="28"/>
          <w:lang w:val="en-US" w:eastAsia="zh-CN" w:bidi="ar-SA"/>
        </w:rPr>
        <w:t>.4 鱼类早期资源现状</w:t>
      </w:r>
    </w:p>
    <w:bookmarkEnd w:id="94"/>
    <w:p w14:paraId="38C54CDC">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4.2.5.4.1 物种组成及优势种</w:t>
      </w:r>
    </w:p>
    <w:p w14:paraId="22586B8F">
      <w:pPr>
        <w:spacing w:line="360" w:lineRule="auto"/>
        <w:ind w:firstLine="480" w:firstLineChars="200"/>
        <w:rPr>
          <w:rFonts w:ascii="Times New Roman" w:hAnsi="Times New Roman" w:eastAsia="宋体"/>
          <w:color w:val="auto"/>
          <w:sz w:val="24"/>
          <w:szCs w:val="28"/>
        </w:rPr>
      </w:pPr>
      <w:r>
        <w:rPr>
          <w:rFonts w:ascii="Times New Roman" w:hAnsi="Times New Roman" w:eastAsia="宋体"/>
          <w:bCs/>
          <w:color w:val="auto"/>
          <w:sz w:val="24"/>
          <w:szCs w:val="24"/>
          <w:lang w:bidi="ar"/>
        </w:rPr>
        <w:t>根据2023年调查结果，</w:t>
      </w:r>
      <w:r>
        <w:rPr>
          <w:rFonts w:ascii="Times New Roman" w:hAnsi="Times New Roman" w:eastAsia="宋体"/>
          <w:color w:val="auto"/>
          <w:sz w:val="24"/>
          <w:szCs w:val="28"/>
        </w:rPr>
        <w:t>于调查水域共采集仔鱼4687尾，共鉴定鱼类5目5科10属11种。</w:t>
      </w:r>
    </w:p>
    <w:p w14:paraId="3FF2125C">
      <w:pPr>
        <w:widowControl w:val="0"/>
        <w:spacing w:line="360" w:lineRule="auto"/>
        <w:ind w:firstLine="480" w:firstLineChars="200"/>
        <w:jc w:val="both"/>
        <w:rPr>
          <w:rFonts w:ascii="Times New Roman" w:hAnsi="Times New Roman" w:eastAsia="宋体" w:cs="Times New Roman"/>
          <w:color w:val="auto"/>
          <w:kern w:val="2"/>
          <w:sz w:val="22"/>
          <w:szCs w:val="21"/>
          <w:lang w:val="en-US" w:eastAsia="zh-CN" w:bidi="ar-SA"/>
        </w:rPr>
      </w:pPr>
      <w:r>
        <w:rPr>
          <w:rFonts w:ascii="Times New Roman" w:hAnsi="Times New Roman" w:eastAsia="宋体" w:cs="Times New Roman"/>
          <w:color w:val="auto"/>
          <w:kern w:val="2"/>
          <w:sz w:val="24"/>
          <w:szCs w:val="28"/>
          <w:lang w:val="en-US" w:eastAsia="zh-CN" w:bidi="ar-SA"/>
        </w:rPr>
        <w:t>根据相对重要性指数</w:t>
      </w:r>
      <w:r>
        <w:rPr>
          <w:rFonts w:ascii="Times New Roman" w:hAnsi="Times New Roman" w:eastAsia="宋体" w:cs="Times New Roman"/>
          <w:i/>
          <w:color w:val="auto"/>
          <w:kern w:val="2"/>
          <w:sz w:val="24"/>
          <w:szCs w:val="28"/>
          <w:lang w:val="en-US" w:eastAsia="zh-CN" w:bidi="ar-SA"/>
        </w:rPr>
        <w:t>IRI</w:t>
      </w:r>
      <w:r>
        <w:rPr>
          <w:rFonts w:ascii="Times New Roman" w:hAnsi="Times New Roman" w:eastAsia="宋体" w:cs="Times New Roman"/>
          <w:color w:val="auto"/>
          <w:kern w:val="2"/>
          <w:sz w:val="24"/>
          <w:szCs w:val="28"/>
          <w:lang w:val="en-US" w:eastAsia="zh-CN" w:bidi="ar-SA"/>
        </w:rPr>
        <w:t>统计结果，优势种(</w:t>
      </w:r>
      <w:r>
        <w:rPr>
          <w:rFonts w:ascii="Times New Roman" w:hAnsi="Times New Roman" w:eastAsia="宋体" w:cs="Times New Roman"/>
          <w:i/>
          <w:color w:val="auto"/>
          <w:kern w:val="2"/>
          <w:sz w:val="24"/>
          <w:szCs w:val="28"/>
          <w:lang w:val="en-US" w:eastAsia="zh-CN" w:bidi="ar-SA"/>
        </w:rPr>
        <w:t>IRI</w:t>
      </w:r>
      <w:r>
        <w:rPr>
          <w:rFonts w:ascii="Times New Roman" w:hAnsi="Times New Roman" w:eastAsia="宋体" w:cs="Times New Roman"/>
          <w:color w:val="auto"/>
          <w:kern w:val="2"/>
          <w:sz w:val="24"/>
          <w:szCs w:val="28"/>
          <w:lang w:val="en-US" w:eastAsia="zh-CN" w:bidi="ar-SA"/>
        </w:rPr>
        <w:t>≥100)共计6种(贝氏䱗、䱗、飘鱼、子陵吻虾虎鱼、刀鲚、陈氏短吻银鱼)，</w:t>
      </w:r>
      <w:r>
        <w:rPr>
          <w:rFonts w:ascii="Times New Roman" w:hAnsi="Times New Roman" w:eastAsia="宋体" w:cs="Times New Roman"/>
          <w:i/>
          <w:color w:val="auto"/>
          <w:kern w:val="2"/>
          <w:sz w:val="24"/>
          <w:szCs w:val="28"/>
          <w:lang w:val="en-US" w:eastAsia="zh-CN" w:bidi="ar-SA"/>
        </w:rPr>
        <w:t>IRI</w:t>
      </w:r>
      <w:r>
        <w:rPr>
          <w:rFonts w:ascii="Times New Roman" w:hAnsi="Times New Roman" w:eastAsia="宋体" w:cs="Times New Roman"/>
          <w:color w:val="auto"/>
          <w:kern w:val="2"/>
          <w:sz w:val="24"/>
          <w:szCs w:val="28"/>
          <w:lang w:val="en-US" w:eastAsia="zh-CN" w:bidi="ar-SA"/>
        </w:rPr>
        <w:t>值最大的为贝氏䱗(</w:t>
      </w:r>
      <w:r>
        <w:rPr>
          <w:rFonts w:ascii="Times New Roman" w:hAnsi="Times New Roman" w:eastAsia="宋体" w:cs="Times New Roman"/>
          <w:i/>
          <w:color w:val="auto"/>
          <w:kern w:val="2"/>
          <w:sz w:val="24"/>
          <w:szCs w:val="24"/>
          <w:lang w:val="en-US" w:eastAsia="zh-CN" w:bidi="ar-SA"/>
        </w:rPr>
        <w:t>Hemiculter bleekeri</w:t>
      </w:r>
      <w:r>
        <w:rPr>
          <w:rFonts w:ascii="Times New Roman" w:hAnsi="Times New Roman" w:eastAsia="宋体" w:cs="Times New Roman"/>
          <w:color w:val="auto"/>
          <w:kern w:val="2"/>
          <w:sz w:val="24"/>
          <w:szCs w:val="28"/>
          <w:lang w:val="en-US" w:eastAsia="zh-CN" w:bidi="ar-SA"/>
        </w:rPr>
        <w:t>)，共采集1742尾，占所有仔稚鱼数量的百分比为37.17%；其次是䱗(</w:t>
      </w:r>
      <w:r>
        <w:rPr>
          <w:rFonts w:ascii="Times New Roman" w:hAnsi="Times New Roman" w:eastAsia="宋体" w:cs="Times New Roman"/>
          <w:i/>
          <w:color w:val="auto"/>
          <w:kern w:val="2"/>
          <w:sz w:val="24"/>
          <w:szCs w:val="24"/>
          <w:lang w:val="en-US" w:eastAsia="zh-CN" w:bidi="ar-SA"/>
        </w:rPr>
        <w:t>Hemiculter leucisculus</w:t>
      </w:r>
      <w:r>
        <w:rPr>
          <w:rFonts w:ascii="Times New Roman" w:hAnsi="Times New Roman" w:eastAsia="宋体" w:cs="Times New Roman"/>
          <w:color w:val="auto"/>
          <w:kern w:val="2"/>
          <w:sz w:val="24"/>
          <w:szCs w:val="28"/>
          <w:lang w:val="en-US" w:eastAsia="zh-CN" w:bidi="ar-SA"/>
        </w:rPr>
        <w:t>)，共计采集1349尾，占比为28.78%；第三的为飘鱼(</w:t>
      </w:r>
      <w:r>
        <w:rPr>
          <w:rFonts w:ascii="Times New Roman" w:hAnsi="Times New Roman" w:eastAsia="宋体" w:cs="Times New Roman"/>
          <w:i/>
          <w:iCs/>
          <w:color w:val="auto"/>
          <w:kern w:val="2"/>
          <w:sz w:val="24"/>
          <w:szCs w:val="28"/>
          <w:lang w:val="en-US" w:eastAsia="zh-CN" w:bidi="ar-SA"/>
        </w:rPr>
        <w:t>P</w:t>
      </w:r>
      <w:r>
        <w:rPr>
          <w:rFonts w:ascii="Times New Roman" w:hAnsi="Times New Roman" w:eastAsia="宋体" w:cs="Times New Roman"/>
          <w:i/>
          <w:color w:val="auto"/>
          <w:kern w:val="2"/>
          <w:sz w:val="24"/>
          <w:szCs w:val="24"/>
          <w:lang w:val="en-US" w:eastAsia="zh-CN" w:bidi="ar-SA"/>
        </w:rPr>
        <w:t>seudolaubuca sinensis</w:t>
      </w:r>
      <w:r>
        <w:rPr>
          <w:rFonts w:ascii="Times New Roman" w:hAnsi="Times New Roman" w:eastAsia="宋体" w:cs="Times New Roman"/>
          <w:color w:val="auto"/>
          <w:kern w:val="2"/>
          <w:sz w:val="24"/>
          <w:szCs w:val="28"/>
          <w:lang w:val="en-US" w:eastAsia="zh-CN" w:bidi="ar-SA"/>
        </w:rPr>
        <w:t>)，共采集632尾，占比为13.48%</w:t>
      </w:r>
      <w:r>
        <w:rPr>
          <w:rFonts w:ascii="Times New Roman" w:hAnsi="Times New Roman" w:eastAsia="宋体" w:cs="Times New Roman"/>
          <w:bCs/>
          <w:color w:val="auto"/>
          <w:kern w:val="2"/>
          <w:sz w:val="24"/>
          <w:szCs w:val="24"/>
          <w:lang w:val="en-US" w:eastAsia="zh-CN" w:bidi="ar"/>
        </w:rPr>
        <w:t>。</w:t>
      </w:r>
    </w:p>
    <w:p w14:paraId="1E5A5897">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表4.2</w:t>
      </w:r>
      <w:r>
        <w:rPr>
          <w:rFonts w:hint="eastAsia" w:ascii="Times New Roman" w:hAnsi="Times New Roman" w:eastAsia="黑体" w:cs="Times New Roman"/>
          <w:color w:val="auto"/>
          <w:sz w:val="24"/>
          <w:szCs w:val="21"/>
          <w:lang w:val="en-US" w:eastAsia="zh-CN"/>
        </w:rPr>
        <w:t>-30</w:t>
      </w:r>
      <w:r>
        <w:rPr>
          <w:rFonts w:ascii="Times New Roman" w:hAnsi="Times New Roman" w:eastAsia="黑体" w:cs="Times New Roman"/>
          <w:color w:val="auto"/>
          <w:sz w:val="24"/>
          <w:szCs w:val="21"/>
        </w:rPr>
        <w:t xml:space="preserve">  保护区域调查水域仔鱼名录及数量密度占比</w:t>
      </w:r>
    </w:p>
    <w:tbl>
      <w:tblPr>
        <w:tblStyle w:val="53"/>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753"/>
        <w:gridCol w:w="1753"/>
        <w:gridCol w:w="2275"/>
        <w:gridCol w:w="1753"/>
        <w:gridCol w:w="1753"/>
      </w:tblGrid>
      <w:tr w14:paraId="3AA945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944" w:type="pct"/>
            <w:tcBorders>
              <w:tl2br w:val="nil"/>
              <w:tr2bl w:val="nil"/>
            </w:tcBorders>
            <w:noWrap/>
            <w:vAlign w:val="center"/>
          </w:tcPr>
          <w:p w14:paraId="01951AC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rPr>
              <w:t>目</w:t>
            </w:r>
          </w:p>
        </w:tc>
        <w:tc>
          <w:tcPr>
            <w:tcW w:w="944" w:type="pct"/>
            <w:tcBorders>
              <w:tl2br w:val="nil"/>
              <w:tr2bl w:val="nil"/>
            </w:tcBorders>
            <w:noWrap/>
            <w:vAlign w:val="center"/>
          </w:tcPr>
          <w:p w14:paraId="194367C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rPr>
              <w:t>科</w:t>
            </w:r>
          </w:p>
        </w:tc>
        <w:tc>
          <w:tcPr>
            <w:tcW w:w="1225" w:type="pct"/>
            <w:tcBorders>
              <w:tl2br w:val="nil"/>
              <w:tr2bl w:val="nil"/>
            </w:tcBorders>
            <w:noWrap/>
            <w:vAlign w:val="center"/>
          </w:tcPr>
          <w:p w14:paraId="3ED44C8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rPr>
              <w:t>物种</w:t>
            </w:r>
          </w:p>
        </w:tc>
        <w:tc>
          <w:tcPr>
            <w:tcW w:w="944" w:type="pct"/>
            <w:tcBorders>
              <w:tl2br w:val="nil"/>
              <w:tr2bl w:val="nil"/>
            </w:tcBorders>
            <w:noWrap/>
            <w:vAlign w:val="center"/>
          </w:tcPr>
          <w:p w14:paraId="6BC2B8F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rPr>
              <w:t>数量占比</w:t>
            </w:r>
          </w:p>
        </w:tc>
        <w:tc>
          <w:tcPr>
            <w:tcW w:w="943" w:type="pct"/>
            <w:tcBorders>
              <w:tl2br w:val="nil"/>
              <w:tr2bl w:val="nil"/>
            </w:tcBorders>
            <w:noWrap/>
            <w:vAlign w:val="center"/>
          </w:tcPr>
          <w:p w14:paraId="2E1C3AE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rPr>
              <w:t>密度占比</w:t>
            </w:r>
          </w:p>
        </w:tc>
      </w:tr>
      <w:tr w14:paraId="7CBD9E6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944" w:type="pct"/>
            <w:tcBorders>
              <w:tl2br w:val="nil"/>
              <w:tr2bl w:val="nil"/>
            </w:tcBorders>
            <w:noWrap/>
            <w:vAlign w:val="top"/>
          </w:tcPr>
          <w:p w14:paraId="7374D25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鲤形目</w:t>
            </w:r>
          </w:p>
        </w:tc>
        <w:tc>
          <w:tcPr>
            <w:tcW w:w="944" w:type="pct"/>
            <w:tcBorders>
              <w:tl2br w:val="nil"/>
              <w:tr2bl w:val="nil"/>
            </w:tcBorders>
            <w:noWrap/>
            <w:vAlign w:val="top"/>
          </w:tcPr>
          <w:p w14:paraId="4ED14B2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鲤科</w:t>
            </w:r>
          </w:p>
        </w:tc>
        <w:tc>
          <w:tcPr>
            <w:tcW w:w="1225" w:type="pct"/>
            <w:tcBorders>
              <w:tl2br w:val="nil"/>
              <w:tr2bl w:val="nil"/>
            </w:tcBorders>
            <w:noWrap/>
            <w:vAlign w:val="top"/>
          </w:tcPr>
          <w:p w14:paraId="751E9F9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贝氏䱗</w:t>
            </w:r>
          </w:p>
        </w:tc>
        <w:tc>
          <w:tcPr>
            <w:tcW w:w="944" w:type="pct"/>
            <w:tcBorders>
              <w:tl2br w:val="nil"/>
              <w:tr2bl w:val="nil"/>
            </w:tcBorders>
            <w:noWrap/>
            <w:vAlign w:val="top"/>
          </w:tcPr>
          <w:p w14:paraId="30DC371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37.17%</w:t>
            </w:r>
          </w:p>
        </w:tc>
        <w:tc>
          <w:tcPr>
            <w:tcW w:w="943" w:type="pct"/>
            <w:tcBorders>
              <w:tl2br w:val="nil"/>
              <w:tr2bl w:val="nil"/>
            </w:tcBorders>
            <w:noWrap/>
            <w:vAlign w:val="top"/>
          </w:tcPr>
          <w:p w14:paraId="66B8547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36.00%</w:t>
            </w:r>
          </w:p>
        </w:tc>
      </w:tr>
      <w:tr w14:paraId="6FB53E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944" w:type="pct"/>
            <w:tcBorders>
              <w:tl2br w:val="nil"/>
              <w:tr2bl w:val="nil"/>
            </w:tcBorders>
            <w:noWrap/>
            <w:vAlign w:val="top"/>
          </w:tcPr>
          <w:p w14:paraId="7E8377F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鲤形目</w:t>
            </w:r>
          </w:p>
        </w:tc>
        <w:tc>
          <w:tcPr>
            <w:tcW w:w="944" w:type="pct"/>
            <w:tcBorders>
              <w:tl2br w:val="nil"/>
              <w:tr2bl w:val="nil"/>
            </w:tcBorders>
            <w:noWrap/>
            <w:vAlign w:val="top"/>
          </w:tcPr>
          <w:p w14:paraId="2D2E0D2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鲤科</w:t>
            </w:r>
          </w:p>
        </w:tc>
        <w:tc>
          <w:tcPr>
            <w:tcW w:w="1225" w:type="pct"/>
            <w:tcBorders>
              <w:tl2br w:val="nil"/>
              <w:tr2bl w:val="nil"/>
            </w:tcBorders>
            <w:noWrap/>
            <w:vAlign w:val="top"/>
          </w:tcPr>
          <w:p w14:paraId="1C2E153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鳊</w:t>
            </w:r>
          </w:p>
        </w:tc>
        <w:tc>
          <w:tcPr>
            <w:tcW w:w="944" w:type="pct"/>
            <w:tcBorders>
              <w:tl2br w:val="nil"/>
              <w:tr2bl w:val="nil"/>
            </w:tcBorders>
            <w:noWrap/>
            <w:vAlign w:val="top"/>
          </w:tcPr>
          <w:p w14:paraId="5CB82E1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1.41%</w:t>
            </w:r>
          </w:p>
        </w:tc>
        <w:tc>
          <w:tcPr>
            <w:tcW w:w="943" w:type="pct"/>
            <w:tcBorders>
              <w:tl2br w:val="nil"/>
              <w:tr2bl w:val="nil"/>
            </w:tcBorders>
            <w:noWrap/>
            <w:vAlign w:val="top"/>
          </w:tcPr>
          <w:p w14:paraId="53CAFE5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0.68%</w:t>
            </w:r>
          </w:p>
        </w:tc>
      </w:tr>
      <w:tr w14:paraId="2C2A6F6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944" w:type="pct"/>
            <w:tcBorders>
              <w:tl2br w:val="nil"/>
              <w:tr2bl w:val="nil"/>
            </w:tcBorders>
            <w:noWrap/>
            <w:vAlign w:val="top"/>
          </w:tcPr>
          <w:p w14:paraId="13276D0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鲤形目</w:t>
            </w:r>
          </w:p>
        </w:tc>
        <w:tc>
          <w:tcPr>
            <w:tcW w:w="944" w:type="pct"/>
            <w:tcBorders>
              <w:tl2br w:val="nil"/>
              <w:tr2bl w:val="nil"/>
            </w:tcBorders>
            <w:noWrap/>
            <w:vAlign w:val="top"/>
          </w:tcPr>
          <w:p w14:paraId="0A7A2D4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鲤科</w:t>
            </w:r>
          </w:p>
        </w:tc>
        <w:tc>
          <w:tcPr>
            <w:tcW w:w="1225" w:type="pct"/>
            <w:tcBorders>
              <w:tl2br w:val="nil"/>
              <w:tr2bl w:val="nil"/>
            </w:tcBorders>
            <w:noWrap/>
            <w:vAlign w:val="top"/>
          </w:tcPr>
          <w:p w14:paraId="44D12C2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䱗</w:t>
            </w:r>
          </w:p>
        </w:tc>
        <w:tc>
          <w:tcPr>
            <w:tcW w:w="944" w:type="pct"/>
            <w:tcBorders>
              <w:tl2br w:val="nil"/>
              <w:tr2bl w:val="nil"/>
            </w:tcBorders>
            <w:noWrap/>
            <w:vAlign w:val="top"/>
          </w:tcPr>
          <w:p w14:paraId="04D92B1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28.78%</w:t>
            </w:r>
          </w:p>
        </w:tc>
        <w:tc>
          <w:tcPr>
            <w:tcW w:w="943" w:type="pct"/>
            <w:tcBorders>
              <w:tl2br w:val="nil"/>
              <w:tr2bl w:val="nil"/>
            </w:tcBorders>
            <w:noWrap/>
            <w:vAlign w:val="top"/>
          </w:tcPr>
          <w:p w14:paraId="79E3FE4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29.24%</w:t>
            </w:r>
          </w:p>
        </w:tc>
      </w:tr>
      <w:tr w14:paraId="03DB936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944" w:type="pct"/>
            <w:tcBorders>
              <w:tl2br w:val="nil"/>
              <w:tr2bl w:val="nil"/>
            </w:tcBorders>
            <w:noWrap/>
            <w:vAlign w:val="top"/>
          </w:tcPr>
          <w:p w14:paraId="0573D80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胡瓜鱼目</w:t>
            </w:r>
          </w:p>
        </w:tc>
        <w:tc>
          <w:tcPr>
            <w:tcW w:w="944" w:type="pct"/>
            <w:tcBorders>
              <w:tl2br w:val="nil"/>
              <w:tr2bl w:val="nil"/>
            </w:tcBorders>
            <w:noWrap/>
            <w:vAlign w:val="top"/>
          </w:tcPr>
          <w:p w14:paraId="0707D2C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银鱼科</w:t>
            </w:r>
          </w:p>
        </w:tc>
        <w:tc>
          <w:tcPr>
            <w:tcW w:w="1225" w:type="pct"/>
            <w:tcBorders>
              <w:tl2br w:val="nil"/>
              <w:tr2bl w:val="nil"/>
            </w:tcBorders>
            <w:noWrap/>
            <w:vAlign w:val="top"/>
          </w:tcPr>
          <w:p w14:paraId="4C47604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陈氏短吻银鱼</w:t>
            </w:r>
          </w:p>
        </w:tc>
        <w:tc>
          <w:tcPr>
            <w:tcW w:w="944" w:type="pct"/>
            <w:tcBorders>
              <w:tl2br w:val="nil"/>
              <w:tr2bl w:val="nil"/>
            </w:tcBorders>
            <w:noWrap/>
            <w:vAlign w:val="top"/>
          </w:tcPr>
          <w:p w14:paraId="19613C2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2.71%</w:t>
            </w:r>
          </w:p>
        </w:tc>
        <w:tc>
          <w:tcPr>
            <w:tcW w:w="943" w:type="pct"/>
            <w:tcBorders>
              <w:tl2br w:val="nil"/>
              <w:tr2bl w:val="nil"/>
            </w:tcBorders>
            <w:noWrap/>
            <w:vAlign w:val="top"/>
          </w:tcPr>
          <w:p w14:paraId="03217DA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2.84%</w:t>
            </w:r>
          </w:p>
        </w:tc>
      </w:tr>
      <w:tr w14:paraId="098FD92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944" w:type="pct"/>
            <w:tcBorders>
              <w:tl2br w:val="nil"/>
              <w:tr2bl w:val="nil"/>
            </w:tcBorders>
            <w:noWrap/>
            <w:vAlign w:val="top"/>
          </w:tcPr>
          <w:p w14:paraId="73794AF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鲤形目</w:t>
            </w:r>
          </w:p>
        </w:tc>
        <w:tc>
          <w:tcPr>
            <w:tcW w:w="944" w:type="pct"/>
            <w:tcBorders>
              <w:tl2br w:val="nil"/>
              <w:tr2bl w:val="nil"/>
            </w:tcBorders>
            <w:noWrap/>
            <w:vAlign w:val="top"/>
          </w:tcPr>
          <w:p w14:paraId="099BC50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鲤科</w:t>
            </w:r>
          </w:p>
        </w:tc>
        <w:tc>
          <w:tcPr>
            <w:tcW w:w="1225" w:type="pct"/>
            <w:tcBorders>
              <w:tl2br w:val="nil"/>
              <w:tr2bl w:val="nil"/>
            </w:tcBorders>
            <w:noWrap/>
            <w:vAlign w:val="top"/>
          </w:tcPr>
          <w:p w14:paraId="3B09E94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赤眼鳟</w:t>
            </w:r>
          </w:p>
        </w:tc>
        <w:tc>
          <w:tcPr>
            <w:tcW w:w="944" w:type="pct"/>
            <w:tcBorders>
              <w:tl2br w:val="nil"/>
              <w:tr2bl w:val="nil"/>
            </w:tcBorders>
            <w:noWrap/>
            <w:vAlign w:val="top"/>
          </w:tcPr>
          <w:p w14:paraId="4E99CEC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0.09%</w:t>
            </w:r>
          </w:p>
        </w:tc>
        <w:tc>
          <w:tcPr>
            <w:tcW w:w="943" w:type="pct"/>
            <w:tcBorders>
              <w:tl2br w:val="nil"/>
              <w:tr2bl w:val="nil"/>
            </w:tcBorders>
            <w:noWrap/>
            <w:vAlign w:val="top"/>
          </w:tcPr>
          <w:p w14:paraId="3D4811B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0.04%</w:t>
            </w:r>
          </w:p>
        </w:tc>
      </w:tr>
      <w:tr w14:paraId="7370CDC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944" w:type="pct"/>
            <w:tcBorders>
              <w:tl2br w:val="nil"/>
              <w:tr2bl w:val="nil"/>
            </w:tcBorders>
            <w:noWrap/>
            <w:vAlign w:val="top"/>
          </w:tcPr>
          <w:p w14:paraId="0C56FF7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鲱形目</w:t>
            </w:r>
          </w:p>
        </w:tc>
        <w:tc>
          <w:tcPr>
            <w:tcW w:w="944" w:type="pct"/>
            <w:tcBorders>
              <w:tl2br w:val="nil"/>
              <w:tr2bl w:val="nil"/>
            </w:tcBorders>
            <w:noWrap/>
            <w:vAlign w:val="top"/>
          </w:tcPr>
          <w:p w14:paraId="31F1E62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鳀科</w:t>
            </w:r>
          </w:p>
        </w:tc>
        <w:tc>
          <w:tcPr>
            <w:tcW w:w="1225" w:type="pct"/>
            <w:tcBorders>
              <w:tl2br w:val="nil"/>
              <w:tr2bl w:val="nil"/>
            </w:tcBorders>
            <w:noWrap/>
            <w:vAlign w:val="top"/>
          </w:tcPr>
          <w:p w14:paraId="491A695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刀鲚</w:t>
            </w:r>
          </w:p>
        </w:tc>
        <w:tc>
          <w:tcPr>
            <w:tcW w:w="944" w:type="pct"/>
            <w:tcBorders>
              <w:tl2br w:val="nil"/>
              <w:tr2bl w:val="nil"/>
            </w:tcBorders>
            <w:noWrap/>
            <w:vAlign w:val="top"/>
          </w:tcPr>
          <w:p w14:paraId="22786BA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4.44%</w:t>
            </w:r>
          </w:p>
        </w:tc>
        <w:tc>
          <w:tcPr>
            <w:tcW w:w="943" w:type="pct"/>
            <w:tcBorders>
              <w:tl2br w:val="nil"/>
              <w:tr2bl w:val="nil"/>
            </w:tcBorders>
            <w:noWrap/>
            <w:vAlign w:val="top"/>
          </w:tcPr>
          <w:p w14:paraId="39718E4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4.51%</w:t>
            </w:r>
          </w:p>
        </w:tc>
      </w:tr>
      <w:tr w14:paraId="58A493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944" w:type="pct"/>
            <w:tcBorders>
              <w:tl2br w:val="nil"/>
              <w:tr2bl w:val="nil"/>
            </w:tcBorders>
            <w:noWrap/>
            <w:vAlign w:val="top"/>
          </w:tcPr>
          <w:p w14:paraId="6D33B42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鲤形目</w:t>
            </w:r>
          </w:p>
        </w:tc>
        <w:tc>
          <w:tcPr>
            <w:tcW w:w="944" w:type="pct"/>
            <w:tcBorders>
              <w:tl2br w:val="nil"/>
              <w:tr2bl w:val="nil"/>
            </w:tcBorders>
            <w:noWrap/>
            <w:vAlign w:val="top"/>
          </w:tcPr>
          <w:p w14:paraId="0E2443D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鲤科</w:t>
            </w:r>
          </w:p>
        </w:tc>
        <w:tc>
          <w:tcPr>
            <w:tcW w:w="1225" w:type="pct"/>
            <w:tcBorders>
              <w:tl2br w:val="nil"/>
              <w:tr2bl w:val="nil"/>
            </w:tcBorders>
            <w:noWrap/>
            <w:vAlign w:val="top"/>
          </w:tcPr>
          <w:p w14:paraId="33D6463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华鳈</w:t>
            </w:r>
          </w:p>
        </w:tc>
        <w:tc>
          <w:tcPr>
            <w:tcW w:w="944" w:type="pct"/>
            <w:tcBorders>
              <w:tl2br w:val="nil"/>
              <w:tr2bl w:val="nil"/>
            </w:tcBorders>
            <w:noWrap/>
            <w:vAlign w:val="top"/>
          </w:tcPr>
          <w:p w14:paraId="6DD1D76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0.17%</w:t>
            </w:r>
          </w:p>
        </w:tc>
        <w:tc>
          <w:tcPr>
            <w:tcW w:w="943" w:type="pct"/>
            <w:tcBorders>
              <w:tl2br w:val="nil"/>
              <w:tr2bl w:val="nil"/>
            </w:tcBorders>
            <w:noWrap/>
            <w:vAlign w:val="top"/>
          </w:tcPr>
          <w:p w14:paraId="6333247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0.10%</w:t>
            </w:r>
          </w:p>
        </w:tc>
      </w:tr>
      <w:tr w14:paraId="356633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944" w:type="pct"/>
            <w:tcBorders>
              <w:tl2br w:val="nil"/>
              <w:tr2bl w:val="nil"/>
            </w:tcBorders>
            <w:noWrap/>
            <w:vAlign w:val="top"/>
          </w:tcPr>
          <w:p w14:paraId="51E2447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颌针鱼目</w:t>
            </w:r>
          </w:p>
        </w:tc>
        <w:tc>
          <w:tcPr>
            <w:tcW w:w="944" w:type="pct"/>
            <w:tcBorders>
              <w:tl2br w:val="nil"/>
              <w:tr2bl w:val="nil"/>
            </w:tcBorders>
            <w:noWrap/>
            <w:vAlign w:val="top"/>
          </w:tcPr>
          <w:p w14:paraId="1C0ECFA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鱵科</w:t>
            </w:r>
          </w:p>
        </w:tc>
        <w:tc>
          <w:tcPr>
            <w:tcW w:w="1225" w:type="pct"/>
            <w:tcBorders>
              <w:tl2br w:val="nil"/>
              <w:tr2bl w:val="nil"/>
            </w:tcBorders>
            <w:noWrap/>
            <w:vAlign w:val="top"/>
          </w:tcPr>
          <w:p w14:paraId="6775D81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间下鱵</w:t>
            </w:r>
          </w:p>
        </w:tc>
        <w:tc>
          <w:tcPr>
            <w:tcW w:w="944" w:type="pct"/>
            <w:tcBorders>
              <w:tl2br w:val="nil"/>
              <w:tr2bl w:val="nil"/>
            </w:tcBorders>
            <w:noWrap/>
            <w:vAlign w:val="top"/>
          </w:tcPr>
          <w:p w14:paraId="4021EBF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0.19%</w:t>
            </w:r>
          </w:p>
        </w:tc>
        <w:tc>
          <w:tcPr>
            <w:tcW w:w="943" w:type="pct"/>
            <w:tcBorders>
              <w:tl2br w:val="nil"/>
              <w:tr2bl w:val="nil"/>
            </w:tcBorders>
            <w:noWrap/>
            <w:vAlign w:val="top"/>
          </w:tcPr>
          <w:p w14:paraId="161F133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0.21%</w:t>
            </w:r>
          </w:p>
        </w:tc>
      </w:tr>
      <w:tr w14:paraId="28870A2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944" w:type="pct"/>
            <w:tcBorders>
              <w:tl2br w:val="nil"/>
              <w:tr2bl w:val="nil"/>
            </w:tcBorders>
            <w:noWrap/>
            <w:vAlign w:val="top"/>
          </w:tcPr>
          <w:p w14:paraId="607AF9D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鲤形目</w:t>
            </w:r>
          </w:p>
        </w:tc>
        <w:tc>
          <w:tcPr>
            <w:tcW w:w="944" w:type="pct"/>
            <w:tcBorders>
              <w:tl2br w:val="nil"/>
              <w:tr2bl w:val="nil"/>
            </w:tcBorders>
            <w:noWrap/>
            <w:vAlign w:val="top"/>
          </w:tcPr>
          <w:p w14:paraId="306631A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鲤科</w:t>
            </w:r>
          </w:p>
        </w:tc>
        <w:tc>
          <w:tcPr>
            <w:tcW w:w="1225" w:type="pct"/>
            <w:tcBorders>
              <w:tl2br w:val="nil"/>
              <w:tr2bl w:val="nil"/>
            </w:tcBorders>
            <w:noWrap/>
            <w:vAlign w:val="top"/>
          </w:tcPr>
          <w:p w14:paraId="4B0EDF6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飘鱼</w:t>
            </w:r>
          </w:p>
        </w:tc>
        <w:tc>
          <w:tcPr>
            <w:tcW w:w="944" w:type="pct"/>
            <w:tcBorders>
              <w:tl2br w:val="nil"/>
              <w:tr2bl w:val="nil"/>
            </w:tcBorders>
            <w:noWrap/>
            <w:vAlign w:val="top"/>
          </w:tcPr>
          <w:p w14:paraId="594DC18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13.48%</w:t>
            </w:r>
          </w:p>
        </w:tc>
        <w:tc>
          <w:tcPr>
            <w:tcW w:w="943" w:type="pct"/>
            <w:tcBorders>
              <w:tl2br w:val="nil"/>
              <w:tr2bl w:val="nil"/>
            </w:tcBorders>
            <w:noWrap/>
            <w:vAlign w:val="top"/>
          </w:tcPr>
          <w:p w14:paraId="1047EB7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17.10%</w:t>
            </w:r>
          </w:p>
        </w:tc>
      </w:tr>
      <w:tr w14:paraId="23F4C14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944" w:type="pct"/>
            <w:tcBorders>
              <w:tl2br w:val="nil"/>
              <w:tr2bl w:val="nil"/>
            </w:tcBorders>
            <w:noWrap/>
            <w:vAlign w:val="top"/>
          </w:tcPr>
          <w:p w14:paraId="2F696FA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鲤形目</w:t>
            </w:r>
          </w:p>
        </w:tc>
        <w:tc>
          <w:tcPr>
            <w:tcW w:w="944" w:type="pct"/>
            <w:tcBorders>
              <w:tl2br w:val="nil"/>
              <w:tr2bl w:val="nil"/>
            </w:tcBorders>
            <w:noWrap/>
            <w:vAlign w:val="top"/>
          </w:tcPr>
          <w:p w14:paraId="3774E5F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鲤科</w:t>
            </w:r>
          </w:p>
        </w:tc>
        <w:tc>
          <w:tcPr>
            <w:tcW w:w="1225" w:type="pct"/>
            <w:tcBorders>
              <w:tl2br w:val="nil"/>
              <w:tr2bl w:val="nil"/>
            </w:tcBorders>
            <w:noWrap/>
            <w:vAlign w:val="top"/>
          </w:tcPr>
          <w:p w14:paraId="0F37FCF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翘嘴鲌</w:t>
            </w:r>
          </w:p>
        </w:tc>
        <w:tc>
          <w:tcPr>
            <w:tcW w:w="944" w:type="pct"/>
            <w:tcBorders>
              <w:tl2br w:val="nil"/>
              <w:tr2bl w:val="nil"/>
            </w:tcBorders>
            <w:noWrap/>
            <w:vAlign w:val="top"/>
          </w:tcPr>
          <w:p w14:paraId="5572916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0.26%</w:t>
            </w:r>
          </w:p>
        </w:tc>
        <w:tc>
          <w:tcPr>
            <w:tcW w:w="943" w:type="pct"/>
            <w:tcBorders>
              <w:tl2br w:val="nil"/>
              <w:tr2bl w:val="nil"/>
            </w:tcBorders>
            <w:noWrap/>
            <w:vAlign w:val="top"/>
          </w:tcPr>
          <w:p w14:paraId="703424A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0.12%</w:t>
            </w:r>
          </w:p>
        </w:tc>
      </w:tr>
      <w:tr w14:paraId="7A35B1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944" w:type="pct"/>
            <w:tcBorders>
              <w:tl2br w:val="nil"/>
              <w:tr2bl w:val="nil"/>
            </w:tcBorders>
            <w:noWrap/>
            <w:vAlign w:val="top"/>
          </w:tcPr>
          <w:p w14:paraId="2F1A2CD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虾虎鱼目</w:t>
            </w:r>
          </w:p>
        </w:tc>
        <w:tc>
          <w:tcPr>
            <w:tcW w:w="944" w:type="pct"/>
            <w:tcBorders>
              <w:tl2br w:val="nil"/>
              <w:tr2bl w:val="nil"/>
            </w:tcBorders>
            <w:noWrap/>
            <w:vAlign w:val="top"/>
          </w:tcPr>
          <w:p w14:paraId="1ACF048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虾虎鱼科</w:t>
            </w:r>
          </w:p>
        </w:tc>
        <w:tc>
          <w:tcPr>
            <w:tcW w:w="1225" w:type="pct"/>
            <w:tcBorders>
              <w:tl2br w:val="nil"/>
              <w:tr2bl w:val="nil"/>
            </w:tcBorders>
            <w:noWrap/>
            <w:vAlign w:val="top"/>
          </w:tcPr>
          <w:p w14:paraId="213814E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子陵吻虾虎鱼</w:t>
            </w:r>
          </w:p>
        </w:tc>
        <w:tc>
          <w:tcPr>
            <w:tcW w:w="944" w:type="pct"/>
            <w:tcBorders>
              <w:tl2br w:val="nil"/>
              <w:tr2bl w:val="nil"/>
            </w:tcBorders>
            <w:noWrap/>
            <w:vAlign w:val="top"/>
          </w:tcPr>
          <w:p w14:paraId="15C9CBC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11.31%</w:t>
            </w:r>
          </w:p>
        </w:tc>
        <w:tc>
          <w:tcPr>
            <w:tcW w:w="943" w:type="pct"/>
            <w:tcBorders>
              <w:tl2br w:val="nil"/>
              <w:tr2bl w:val="nil"/>
            </w:tcBorders>
            <w:noWrap/>
            <w:vAlign w:val="top"/>
          </w:tcPr>
          <w:p w14:paraId="74B75DC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rPr>
              <w:t>9.19%</w:t>
            </w:r>
          </w:p>
        </w:tc>
      </w:tr>
    </w:tbl>
    <w:p w14:paraId="441DC5DB">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4.2.5.4.2 资源密度</w:t>
      </w:r>
    </w:p>
    <w:p w14:paraId="33964F48">
      <w:pPr>
        <w:spacing w:line="360" w:lineRule="auto"/>
        <w:ind w:firstLine="480" w:firstLineChars="200"/>
        <w:rPr>
          <w:rFonts w:ascii="Times New Roman" w:hAnsi="Times New Roman" w:eastAsia="宋体"/>
          <w:color w:val="auto"/>
          <w:sz w:val="24"/>
          <w:szCs w:val="28"/>
        </w:rPr>
      </w:pPr>
      <w:bookmarkStart w:id="95" w:name="_Hlk172880216"/>
      <w:r>
        <w:rPr>
          <w:rFonts w:ascii="Times New Roman" w:hAnsi="Times New Roman" w:eastAsia="宋体"/>
          <w:bCs/>
          <w:color w:val="auto"/>
          <w:sz w:val="24"/>
          <w:szCs w:val="24"/>
          <w:lang w:bidi="ar"/>
        </w:rPr>
        <w:t>保护区调查</w:t>
      </w:r>
      <w:r>
        <w:rPr>
          <w:rFonts w:ascii="Times New Roman" w:hAnsi="Times New Roman" w:eastAsia="宋体"/>
          <w:color w:val="auto"/>
          <w:sz w:val="24"/>
          <w:szCs w:val="28"/>
        </w:rPr>
        <w:t>水域仔鱼密度均值为0.2 ind./m</w:t>
      </w:r>
      <w:r>
        <w:rPr>
          <w:rFonts w:ascii="Times New Roman" w:hAnsi="Times New Roman" w:eastAsia="宋体"/>
          <w:color w:val="auto"/>
          <w:sz w:val="24"/>
          <w:szCs w:val="28"/>
          <w:vertAlign w:val="superscript"/>
        </w:rPr>
        <w:t>3</w:t>
      </w:r>
      <w:bookmarkEnd w:id="95"/>
      <w:r>
        <w:rPr>
          <w:rFonts w:ascii="Times New Roman" w:hAnsi="Times New Roman" w:eastAsia="宋体"/>
          <w:color w:val="auto"/>
          <w:sz w:val="24"/>
          <w:szCs w:val="28"/>
        </w:rPr>
        <w:t>，变幅为0.002-2.398 ind./m</w:t>
      </w:r>
      <w:r>
        <w:rPr>
          <w:rFonts w:ascii="Times New Roman" w:hAnsi="Times New Roman" w:eastAsia="宋体"/>
          <w:color w:val="auto"/>
          <w:sz w:val="24"/>
          <w:szCs w:val="28"/>
          <w:vertAlign w:val="superscript"/>
        </w:rPr>
        <w:t>3</w:t>
      </w:r>
      <w:r>
        <w:rPr>
          <w:rFonts w:ascii="Times New Roman" w:hAnsi="Times New Roman" w:eastAsia="宋体"/>
          <w:color w:val="auto"/>
          <w:sz w:val="24"/>
          <w:szCs w:val="28"/>
        </w:rPr>
        <w:t>，采集到的物种中，密度前三位分别为贝氏䱗、䱗和飘鱼，密度均值分别为1.210 ind./m</w:t>
      </w:r>
      <w:r>
        <w:rPr>
          <w:rFonts w:ascii="Times New Roman" w:hAnsi="Times New Roman" w:eastAsia="宋体"/>
          <w:color w:val="auto"/>
          <w:sz w:val="24"/>
          <w:szCs w:val="28"/>
          <w:vertAlign w:val="superscript"/>
        </w:rPr>
        <w:t>3</w:t>
      </w:r>
      <w:r>
        <w:rPr>
          <w:rFonts w:ascii="Times New Roman" w:hAnsi="Times New Roman" w:eastAsia="宋体"/>
          <w:color w:val="auto"/>
          <w:sz w:val="24"/>
          <w:szCs w:val="28"/>
        </w:rPr>
        <w:t>、0.983ind./ m</w:t>
      </w:r>
      <w:r>
        <w:rPr>
          <w:rFonts w:ascii="Times New Roman" w:hAnsi="Times New Roman" w:eastAsia="宋体"/>
          <w:color w:val="auto"/>
          <w:sz w:val="24"/>
          <w:szCs w:val="28"/>
          <w:vertAlign w:val="superscript"/>
        </w:rPr>
        <w:t>3</w:t>
      </w:r>
      <w:r>
        <w:rPr>
          <w:rFonts w:ascii="Times New Roman" w:hAnsi="Times New Roman" w:eastAsia="宋体"/>
          <w:color w:val="auto"/>
          <w:sz w:val="24"/>
          <w:szCs w:val="28"/>
        </w:rPr>
        <w:t>和0.574 ind./ m</w:t>
      </w:r>
      <w:r>
        <w:rPr>
          <w:rFonts w:ascii="Times New Roman" w:hAnsi="Times New Roman" w:eastAsia="宋体"/>
          <w:color w:val="auto"/>
          <w:sz w:val="24"/>
          <w:szCs w:val="28"/>
          <w:vertAlign w:val="superscript"/>
        </w:rPr>
        <w:t>3</w:t>
      </w:r>
      <w:r>
        <w:rPr>
          <w:rFonts w:ascii="Times New Roman" w:hAnsi="Times New Roman" w:eastAsia="宋体"/>
          <w:color w:val="auto"/>
          <w:sz w:val="24"/>
          <w:szCs w:val="28"/>
        </w:rPr>
        <w:t>。</w:t>
      </w:r>
    </w:p>
    <w:p w14:paraId="47EC02D0">
      <w:pPr>
        <w:pStyle w:val="5"/>
        <w:numPr>
          <w:ilvl w:val="0"/>
          <w:numId w:val="0"/>
        </w:numPr>
        <w:rPr>
          <w:color w:val="auto"/>
        </w:rPr>
      </w:pPr>
      <w:r>
        <w:rPr>
          <w:rFonts w:hint="eastAsia"/>
          <w:color w:val="auto"/>
        </w:rPr>
        <w:t>4.2.5.</w:t>
      </w:r>
      <w:r>
        <w:rPr>
          <w:rFonts w:hint="eastAsia"/>
          <w:color w:val="auto"/>
          <w:lang w:val="en-US" w:eastAsia="zh-CN"/>
        </w:rPr>
        <w:t>5</w:t>
      </w:r>
      <w:r>
        <w:rPr>
          <w:rFonts w:hint="eastAsia"/>
          <w:color w:val="auto"/>
        </w:rPr>
        <w:t>珍稀、特有和濒危水生生物现状与评价</w:t>
      </w:r>
    </w:p>
    <w:p w14:paraId="5E1ED179">
      <w:pPr>
        <w:spacing w:line="360" w:lineRule="auto"/>
        <w:ind w:firstLine="480" w:firstLineChars="200"/>
        <w:rPr>
          <w:rFonts w:ascii="Times New Roman" w:hAnsi="Times New Roman" w:eastAsia="宋体" w:cs="Times New Roman"/>
          <w:color w:val="auto"/>
          <w:sz w:val="24"/>
          <w:szCs w:val="21"/>
          <w:lang w:bidi="ar"/>
        </w:rPr>
      </w:pPr>
      <w:r>
        <w:rPr>
          <w:rFonts w:ascii="Times New Roman" w:hAnsi="Times New Roman" w:eastAsia="宋体" w:cs="Times New Roman"/>
          <w:color w:val="auto"/>
          <w:sz w:val="24"/>
          <w:szCs w:val="21"/>
          <w:lang w:bidi="ar"/>
        </w:rPr>
        <w:t>淮河淮南段长吻鮠国家级水产种质资源保护区主要保护对象为长吻鮠和瓦氏黄颡鱼。</w:t>
      </w:r>
      <w:r>
        <w:rPr>
          <w:rFonts w:ascii="Times New Roman" w:hAnsi="Times New Roman" w:eastAsia="宋体" w:cs="Times New Roman"/>
          <w:color w:val="auto"/>
          <w:sz w:val="24"/>
          <w:szCs w:val="28"/>
        </w:rPr>
        <w:t>《安徽省重点保护野生动物名录》(皖政秘〔2023〕4号)公布的长麦穗鱼、光倒刺鲃在保护区范围内未有调查记录。</w:t>
      </w:r>
    </w:p>
    <w:p w14:paraId="6D0F13D7">
      <w:pPr>
        <w:pStyle w:val="6"/>
        <w:rPr>
          <w:rFonts w:hint="eastAsia"/>
          <w:color w:val="auto"/>
        </w:rPr>
      </w:pPr>
      <w:r>
        <w:rPr>
          <w:rFonts w:hint="eastAsia"/>
          <w:color w:val="auto"/>
          <w:lang w:val="en-US" w:eastAsia="zh-CN"/>
        </w:rPr>
        <w:t>4.2.5.5.1</w:t>
      </w:r>
      <w:r>
        <w:rPr>
          <w:rFonts w:hint="eastAsia"/>
          <w:color w:val="auto"/>
        </w:rPr>
        <w:t>长吻鮠</w:t>
      </w:r>
    </w:p>
    <w:p w14:paraId="3831E378">
      <w:pPr>
        <w:widowControl w:val="0"/>
        <w:spacing w:line="360" w:lineRule="auto"/>
        <w:ind w:firstLine="480" w:firstLineChars="200"/>
        <w:jc w:val="both"/>
        <w:rPr>
          <w:rFonts w:ascii="Times New Roman" w:hAnsi="Times New Roman" w:eastAsia="宋体" w:cs="Times New Roman"/>
          <w:color w:val="auto"/>
          <w:kern w:val="2"/>
          <w:sz w:val="24"/>
          <w:szCs w:val="22"/>
          <w:lang w:val="en-US" w:eastAsia="zh-CN" w:bidi="ar-SA"/>
        </w:rPr>
      </w:pPr>
      <w:r>
        <w:rPr>
          <w:rFonts w:ascii="Times New Roman" w:hAnsi="Times New Roman" w:eastAsia="宋体" w:cs="Times New Roman"/>
          <w:color w:val="auto"/>
          <w:kern w:val="2"/>
          <w:sz w:val="24"/>
          <w:szCs w:val="22"/>
          <w:lang w:val="en-US" w:eastAsia="zh-CN" w:bidi="ar-SA"/>
        </w:rPr>
        <w:t>2023年繁殖期和索饵期，保护区水域内仅索饵期采集到1尾长吻鮠，全长259.23 mm，体长220.36 mm，体重134.3 g。</w:t>
      </w:r>
    </w:p>
    <w:p w14:paraId="582A5228">
      <w:pPr>
        <w:widowControl w:val="0"/>
        <w:spacing w:line="360" w:lineRule="auto"/>
        <w:ind w:firstLine="480" w:firstLineChars="200"/>
        <w:jc w:val="both"/>
        <w:rPr>
          <w:rFonts w:ascii="Times New Roman" w:hAnsi="Times New Roman" w:eastAsia="宋体" w:cs="Times New Roman"/>
          <w:color w:val="auto"/>
          <w:kern w:val="2"/>
          <w:sz w:val="24"/>
          <w:szCs w:val="22"/>
          <w:lang w:val="en-US" w:eastAsia="zh-CN" w:bidi="ar-SA"/>
        </w:rPr>
      </w:pPr>
      <w:r>
        <w:rPr>
          <w:rFonts w:ascii="Times New Roman" w:hAnsi="Times New Roman" w:eastAsia="宋体" w:cs="Times New Roman"/>
          <w:color w:val="auto"/>
          <w:kern w:val="2"/>
          <w:sz w:val="24"/>
          <w:szCs w:val="22"/>
          <w:lang w:val="en-US" w:eastAsia="zh-CN" w:bidi="ar-SA"/>
        </w:rPr>
        <w:t>2021-2022年4个季度，保护区水域内共采集到3尾长吻鮠，体重合计1.22 kg。</w:t>
      </w:r>
    </w:p>
    <w:p w14:paraId="521054B6">
      <w:pPr>
        <w:widowControl w:val="0"/>
        <w:spacing w:line="360" w:lineRule="auto"/>
        <w:ind w:firstLine="480" w:firstLineChars="200"/>
        <w:jc w:val="both"/>
        <w:rPr>
          <w:rFonts w:ascii="Times New Roman" w:hAnsi="Times New Roman" w:eastAsia="宋体" w:cs="Times New Roman"/>
          <w:color w:val="auto"/>
          <w:kern w:val="2"/>
          <w:sz w:val="24"/>
          <w:szCs w:val="22"/>
          <w:lang w:val="en-US" w:eastAsia="zh-CN" w:bidi="ar-SA"/>
        </w:rPr>
      </w:pPr>
      <w:r>
        <w:rPr>
          <w:rFonts w:ascii="Times New Roman" w:hAnsi="Times New Roman" w:eastAsia="宋体" w:cs="Times New Roman"/>
          <w:color w:val="auto"/>
          <w:kern w:val="2"/>
          <w:sz w:val="24"/>
          <w:szCs w:val="22"/>
          <w:lang w:val="en-US" w:eastAsia="zh-CN" w:bidi="ar-SA"/>
        </w:rPr>
        <w:t>根据捕捞记录，2015年12月25日自渔民处收购1尾长吻鮠，体长95 cm，体重11斤；2016年1月4日放流于淮南黑龙潭。2016年5月于淮南洛河湾捕获1尾长吻鮠，体长90 cm，体重12斤。</w:t>
      </w:r>
    </w:p>
    <w:p w14:paraId="21D43C25">
      <w:pPr>
        <w:widowControl w:val="0"/>
        <w:spacing w:line="360" w:lineRule="auto"/>
        <w:ind w:firstLine="480" w:firstLineChars="200"/>
        <w:jc w:val="both"/>
        <w:rPr>
          <w:rFonts w:ascii="Times New Roman" w:hAnsi="Times New Roman" w:eastAsia="宋体" w:cs="Times New Roman"/>
          <w:color w:val="auto"/>
          <w:kern w:val="2"/>
          <w:sz w:val="24"/>
          <w:szCs w:val="22"/>
          <w:lang w:val="en-US" w:eastAsia="zh-CN" w:bidi="ar-SA"/>
        </w:rPr>
      </w:pPr>
      <w:r>
        <w:rPr>
          <w:rFonts w:ascii="Times New Roman" w:hAnsi="Times New Roman" w:eastAsia="宋体" w:cs="Times New Roman"/>
          <w:color w:val="auto"/>
          <w:kern w:val="2"/>
          <w:sz w:val="24"/>
          <w:szCs w:val="22"/>
          <w:lang w:val="en-US" w:eastAsia="zh-CN" w:bidi="ar-SA"/>
        </w:rPr>
        <w:t>根据保护区管理部门的监测结果，2019年共捕获鲿科鱼类及长吻鮠共113尾、重15.53 kg，其中长吻鮠26尾。其中11月6日捕获1尾长吻鮠，其体长为65 cm、重4.83 kg，属2019年捕获的最大长吻鮠。</w:t>
      </w:r>
    </w:p>
    <w:p w14:paraId="35C21EF7">
      <w:pPr>
        <w:pStyle w:val="6"/>
        <w:rPr>
          <w:rFonts w:hint="eastAsia"/>
          <w:color w:val="auto"/>
        </w:rPr>
      </w:pPr>
      <w:r>
        <w:rPr>
          <w:rFonts w:hint="eastAsia"/>
          <w:color w:val="auto"/>
          <w:lang w:val="en-US" w:eastAsia="zh-CN"/>
        </w:rPr>
        <w:t>4.2.5.5</w:t>
      </w:r>
      <w:r>
        <w:rPr>
          <w:rFonts w:hint="eastAsia"/>
          <w:color w:val="auto"/>
        </w:rPr>
        <w:t>.2 瓦氏黄颡鱼</w:t>
      </w:r>
    </w:p>
    <w:p w14:paraId="2D606B01">
      <w:pPr>
        <w:widowControl w:val="0"/>
        <w:spacing w:line="360" w:lineRule="auto"/>
        <w:ind w:firstLine="480" w:firstLineChars="200"/>
        <w:jc w:val="both"/>
        <w:rPr>
          <w:rFonts w:ascii="Times New Roman" w:hAnsi="Times New Roman" w:eastAsia="宋体" w:cs="Times New Roman"/>
          <w:color w:val="auto"/>
          <w:kern w:val="2"/>
          <w:sz w:val="24"/>
          <w:szCs w:val="22"/>
          <w:lang w:val="en-US" w:eastAsia="zh-CN" w:bidi="ar-SA"/>
        </w:rPr>
      </w:pPr>
      <w:r>
        <w:rPr>
          <w:rFonts w:ascii="Times New Roman" w:hAnsi="Times New Roman" w:eastAsia="宋体" w:cs="Times New Roman"/>
          <w:color w:val="auto"/>
          <w:kern w:val="2"/>
          <w:sz w:val="24"/>
          <w:szCs w:val="22"/>
          <w:lang w:val="en-US" w:eastAsia="zh-CN" w:bidi="ar-SA"/>
        </w:rPr>
        <w:t>2023年繁殖期和索饵期，在保护区水域未采集到瓦氏黄颡鱼。</w:t>
      </w:r>
    </w:p>
    <w:p w14:paraId="72BCE627">
      <w:pPr>
        <w:widowControl w:val="0"/>
        <w:spacing w:line="360" w:lineRule="auto"/>
        <w:ind w:firstLine="480" w:firstLineChars="200"/>
        <w:jc w:val="both"/>
        <w:rPr>
          <w:rFonts w:ascii="Times New Roman" w:hAnsi="Times New Roman" w:eastAsia="宋体" w:cs="Times New Roman"/>
          <w:color w:val="auto"/>
          <w:kern w:val="2"/>
          <w:sz w:val="24"/>
          <w:szCs w:val="22"/>
          <w:lang w:val="en-US" w:eastAsia="zh-CN" w:bidi="ar-SA"/>
        </w:rPr>
      </w:pPr>
      <w:r>
        <w:rPr>
          <w:rFonts w:ascii="Times New Roman" w:hAnsi="Times New Roman" w:eastAsia="宋体" w:cs="Times New Roman"/>
          <w:color w:val="auto"/>
          <w:kern w:val="2"/>
          <w:sz w:val="24"/>
          <w:szCs w:val="22"/>
          <w:lang w:val="en-US" w:eastAsia="zh-CN" w:bidi="ar-SA"/>
        </w:rPr>
        <w:t>根据2021-2022年4个季度调查结果，仅索饵期及越冬期采集到4尾瓦氏黄颡鱼。其全长变幅为155.46-470 mm，均值为247.81 mm；体长变幅为131.69-380 mm，均值为198.25 mm；体重变幅为17.6-530 g，均值为325.14 g。</w:t>
      </w:r>
    </w:p>
    <w:p w14:paraId="55E42791">
      <w:pPr>
        <w:pStyle w:val="6"/>
        <w:rPr>
          <w:rFonts w:hint="eastAsia"/>
          <w:color w:val="auto"/>
        </w:rPr>
      </w:pPr>
      <w:r>
        <w:rPr>
          <w:rFonts w:hint="eastAsia"/>
          <w:color w:val="auto"/>
          <w:lang w:val="en-US" w:eastAsia="zh-CN"/>
        </w:rPr>
        <w:t>4.2.5.5</w:t>
      </w:r>
      <w:r>
        <w:rPr>
          <w:rFonts w:hint="eastAsia"/>
          <w:color w:val="auto"/>
        </w:rPr>
        <w:t>.3 长麦穗鱼</w:t>
      </w:r>
    </w:p>
    <w:p w14:paraId="554D54EB">
      <w:pPr>
        <w:widowControl w:val="0"/>
        <w:spacing w:line="360" w:lineRule="auto"/>
        <w:ind w:firstLine="480" w:firstLineChars="200"/>
        <w:jc w:val="both"/>
        <w:rPr>
          <w:rFonts w:ascii="Times New Roman" w:hAnsi="Times New Roman" w:eastAsia="宋体" w:cs="Times New Roman"/>
          <w:color w:val="auto"/>
          <w:kern w:val="2"/>
          <w:sz w:val="24"/>
          <w:szCs w:val="22"/>
          <w:lang w:val="en-US" w:eastAsia="zh-CN" w:bidi="ar-SA"/>
        </w:rPr>
      </w:pPr>
      <w:r>
        <w:rPr>
          <w:rFonts w:ascii="Times New Roman" w:hAnsi="Times New Roman" w:eastAsia="宋体" w:cs="Times New Roman"/>
          <w:color w:val="auto"/>
          <w:kern w:val="2"/>
          <w:sz w:val="24"/>
          <w:szCs w:val="22"/>
          <w:lang w:val="en-US" w:eastAsia="zh-CN" w:bidi="ar-SA"/>
        </w:rPr>
        <w:t>根据调查记录并参考相关资料，保护区水域未发现长麦穗鱼自然分布记录。</w:t>
      </w:r>
    </w:p>
    <w:p w14:paraId="0006378B">
      <w:pPr>
        <w:pStyle w:val="6"/>
        <w:rPr>
          <w:rFonts w:hint="eastAsia"/>
          <w:color w:val="auto"/>
        </w:rPr>
      </w:pPr>
      <w:r>
        <w:rPr>
          <w:rFonts w:hint="eastAsia"/>
          <w:color w:val="auto"/>
          <w:lang w:val="en-US" w:eastAsia="zh-CN"/>
        </w:rPr>
        <w:t>4.2.5.5</w:t>
      </w:r>
      <w:r>
        <w:rPr>
          <w:rFonts w:hint="eastAsia"/>
          <w:color w:val="auto"/>
        </w:rPr>
        <w:t>.4 光倒刺鲃</w:t>
      </w:r>
    </w:p>
    <w:p w14:paraId="32843261">
      <w:pPr>
        <w:spacing w:line="360" w:lineRule="auto"/>
        <w:ind w:firstLine="480" w:firstLineChars="200"/>
        <w:rPr>
          <w:rFonts w:hint="eastAsia"/>
          <w:color w:val="auto"/>
          <w:sz w:val="24"/>
        </w:rPr>
      </w:pPr>
      <w:r>
        <w:rPr>
          <w:rFonts w:ascii="Times New Roman" w:hAnsi="Times New Roman" w:eastAsia="宋体" w:cs="Times New Roman"/>
          <w:color w:val="auto"/>
          <w:kern w:val="2"/>
          <w:sz w:val="24"/>
          <w:szCs w:val="22"/>
          <w:lang w:val="en-US" w:eastAsia="zh-CN" w:bidi="ar-SA"/>
        </w:rPr>
        <w:t>根据调查记录并参考相关资料，保护区水域未发现光倒刺鲃自然分布记录。</w:t>
      </w:r>
    </w:p>
    <w:p w14:paraId="3CEA4634">
      <w:pPr>
        <w:pStyle w:val="5"/>
        <w:numPr>
          <w:ilvl w:val="0"/>
          <w:numId w:val="0"/>
        </w:numPr>
        <w:rPr>
          <w:color w:val="auto"/>
        </w:rPr>
      </w:pPr>
      <w:r>
        <w:rPr>
          <w:rFonts w:hint="eastAsia"/>
          <w:color w:val="auto"/>
        </w:rPr>
        <w:t>4.2.5.</w:t>
      </w:r>
      <w:r>
        <w:rPr>
          <w:rFonts w:hint="eastAsia"/>
          <w:color w:val="auto"/>
          <w:lang w:val="en-US" w:eastAsia="zh-CN"/>
        </w:rPr>
        <w:t>6</w:t>
      </w:r>
      <w:r>
        <w:rPr>
          <w:rFonts w:hint="eastAsia"/>
          <w:color w:val="auto"/>
        </w:rPr>
        <w:t>鱼类等水生生物生态功能区调查与评价</w:t>
      </w:r>
    </w:p>
    <w:p w14:paraId="4F95444E">
      <w:pPr>
        <w:spacing w:line="360" w:lineRule="auto"/>
        <w:ind w:firstLine="480" w:firstLineChars="200"/>
        <w:rPr>
          <w:rFonts w:ascii="Times New Roman" w:hAnsi="Times New Roman" w:eastAsia="宋体" w:cs="Times New Roman"/>
          <w:b w:val="0"/>
          <w:bCs w:val="0"/>
          <w:color w:val="auto"/>
          <w:sz w:val="24"/>
          <w:szCs w:val="21"/>
          <w:lang w:bidi="ar"/>
        </w:rPr>
      </w:pPr>
      <w:r>
        <w:rPr>
          <w:rFonts w:ascii="Times New Roman" w:hAnsi="Times New Roman" w:eastAsia="宋体" w:cs="Times New Roman"/>
          <w:color w:val="auto"/>
          <w:sz w:val="24"/>
          <w:szCs w:val="21"/>
          <w:lang w:bidi="ar"/>
        </w:rPr>
        <w:t>淮河淮南段长吻鮠水产种质资源保护区核心区从茅仙洞至凤台淮河大桥，左岸海拔是200-400 m的八公山北簏延伸断裂带，山上绿树繁茂，植被覆盖完整；右面是广袤的淮北平原，集雨面积大，并且左右两面分别有瓦埠湖、焦岗湖两个大型湖泊及花家湖、姬沟</w:t>
      </w:r>
      <w:r>
        <w:rPr>
          <w:rFonts w:ascii="Times New Roman" w:hAnsi="Times New Roman" w:eastAsia="宋体" w:cs="Times New Roman"/>
          <w:b w:val="0"/>
          <w:bCs w:val="0"/>
          <w:color w:val="auto"/>
          <w:sz w:val="24"/>
          <w:szCs w:val="21"/>
          <w:lang w:bidi="ar"/>
        </w:rPr>
        <w:t>湖、城北湖等中型湖泊。各湖泊中生物资源成为淮河中生物资源的</w:t>
      </w:r>
      <w:r>
        <w:rPr>
          <w:rFonts w:hint="eastAsia" w:cs="Times New Roman"/>
          <w:b w:val="0"/>
          <w:bCs w:val="0"/>
          <w:color w:val="auto"/>
          <w:sz w:val="24"/>
          <w:szCs w:val="21"/>
          <w:lang w:eastAsia="zh-CN" w:bidi="ar"/>
        </w:rPr>
        <w:t>有力</w:t>
      </w:r>
      <w:r>
        <w:rPr>
          <w:rFonts w:ascii="Times New Roman" w:hAnsi="Times New Roman" w:eastAsia="宋体" w:cs="Times New Roman"/>
          <w:b w:val="0"/>
          <w:bCs w:val="0"/>
          <w:color w:val="auto"/>
          <w:sz w:val="24"/>
          <w:szCs w:val="21"/>
          <w:lang w:bidi="ar"/>
        </w:rPr>
        <w:t>补充。同时有西淝河、永幸河等河流直接汇入，流量稳定，主河道在冲破八公山脉后，形成峡山口、绵羊石、黑龙潭等几个回漩区</w:t>
      </w:r>
      <w:r>
        <w:rPr>
          <w:rFonts w:hint="eastAsia" w:cs="Times New Roman"/>
          <w:b w:val="0"/>
          <w:bCs w:val="0"/>
          <w:color w:val="auto"/>
          <w:sz w:val="24"/>
          <w:szCs w:val="21"/>
          <w:lang w:eastAsia="zh-CN" w:bidi="ar"/>
        </w:rPr>
        <w:t>（</w:t>
      </w:r>
      <w:r>
        <w:rPr>
          <w:rFonts w:ascii="Times New Roman" w:hAnsi="Times New Roman" w:eastAsia="宋体" w:cs="Times New Roman"/>
          <w:b w:val="0"/>
          <w:bCs w:val="0"/>
          <w:color w:val="auto"/>
          <w:sz w:val="24"/>
          <w:szCs w:val="21"/>
          <w:lang w:bidi="ar"/>
        </w:rPr>
        <w:t>即深潭)，水体最深处</w:t>
      </w:r>
      <w:r>
        <w:rPr>
          <w:rFonts w:hint="eastAsia" w:cs="Times New Roman"/>
          <w:b w:val="0"/>
          <w:bCs w:val="0"/>
          <w:color w:val="auto"/>
          <w:sz w:val="24"/>
          <w:szCs w:val="21"/>
          <w:lang w:eastAsia="zh-CN" w:bidi="ar"/>
        </w:rPr>
        <w:t>常年</w:t>
      </w:r>
      <w:r>
        <w:rPr>
          <w:rFonts w:ascii="Times New Roman" w:hAnsi="Times New Roman" w:eastAsia="宋体" w:cs="Times New Roman"/>
          <w:b w:val="0"/>
          <w:bCs w:val="0"/>
          <w:color w:val="auto"/>
          <w:sz w:val="24"/>
          <w:szCs w:val="21"/>
          <w:lang w:bidi="ar"/>
        </w:rPr>
        <w:t>保持20-30 m，无淤泥，沙石底质，河流运动也为此段水域带来丰富的饵料资源，是淮河中长吻鮠、瓦氏黄颡鱼等物种繁殖、越冬场所。</w:t>
      </w:r>
    </w:p>
    <w:p w14:paraId="380396AA">
      <w:pPr>
        <w:spacing w:line="360" w:lineRule="auto"/>
        <w:ind w:firstLine="480" w:firstLineChars="200"/>
        <w:rPr>
          <w:rFonts w:ascii="Times New Roman" w:hAnsi="Times New Roman" w:eastAsia="宋体" w:cs="Times New Roman"/>
          <w:b w:val="0"/>
          <w:bCs w:val="0"/>
          <w:color w:val="auto"/>
          <w:sz w:val="24"/>
          <w:szCs w:val="21"/>
          <w:lang w:bidi="ar"/>
        </w:rPr>
      </w:pPr>
      <w:r>
        <w:rPr>
          <w:rFonts w:ascii="Times New Roman" w:hAnsi="Times New Roman" w:eastAsia="宋体" w:cs="Times New Roman"/>
          <w:b w:val="0"/>
          <w:bCs w:val="0"/>
          <w:color w:val="auto"/>
          <w:sz w:val="24"/>
          <w:szCs w:val="21"/>
          <w:lang w:bidi="ar"/>
        </w:rPr>
        <w:t>淮河淮南段长吻鮠国家级水产种质资源保护区实验区从凤台淮河大桥至平圩淮河大桥，此段水面渐宽，河道在城北乡三里湾处一分为二。其中北道沿九里湾分流北上，主要流经潘集区的架河、祁集两乡，在祁集曹嘴处与中间处道汇合。此段水体稍浅，宽窄平缓，中间支叉较多，水流平稳，呈弧形环绕上六坊，在枯水期沿河两岸有大量水生维管束植物，以沮草、马来眼子菜、聚草为主，在一些静水河湾中野生菱角、水葫芦、水花生生长茂盛，此段河道是底栖生物资源最为丰富的区域。南道在流经八公山孔集段</w:t>
      </w:r>
      <w:r>
        <w:rPr>
          <w:rFonts w:hint="eastAsia" w:cs="Times New Roman"/>
          <w:b w:val="0"/>
          <w:bCs w:val="0"/>
          <w:color w:val="auto"/>
          <w:sz w:val="24"/>
          <w:szCs w:val="21"/>
          <w:lang w:eastAsia="zh-CN" w:bidi="ar"/>
        </w:rPr>
        <w:t>岔路</w:t>
      </w:r>
      <w:r>
        <w:rPr>
          <w:rFonts w:ascii="Times New Roman" w:hAnsi="Times New Roman" w:eastAsia="宋体" w:cs="Times New Roman"/>
          <w:b w:val="0"/>
          <w:bCs w:val="0"/>
          <w:color w:val="auto"/>
          <w:sz w:val="24"/>
          <w:szCs w:val="21"/>
          <w:lang w:bidi="ar"/>
        </w:rPr>
        <w:t>处再次一分为二，分别绕道下六坊，中间一道</w:t>
      </w:r>
      <w:r>
        <w:rPr>
          <w:rFonts w:hint="eastAsia" w:cs="Times New Roman"/>
          <w:b w:val="0"/>
          <w:bCs w:val="0"/>
          <w:color w:val="auto"/>
          <w:sz w:val="24"/>
          <w:szCs w:val="21"/>
          <w:lang w:eastAsia="zh-CN" w:bidi="ar"/>
        </w:rPr>
        <w:t>（</w:t>
      </w:r>
      <w:r>
        <w:rPr>
          <w:rFonts w:ascii="Times New Roman" w:hAnsi="Times New Roman" w:eastAsia="宋体" w:cs="Times New Roman"/>
          <w:b w:val="0"/>
          <w:bCs w:val="0"/>
          <w:color w:val="auto"/>
          <w:sz w:val="24"/>
          <w:szCs w:val="21"/>
          <w:lang w:bidi="ar"/>
        </w:rPr>
        <w:t>即中间河道)从上下六坊堤中间穿过，将上下六坊一分为二，此段河道距离最短，河道较窄，水深浅不一，水流较急，在祁集曹嘴与北路河道汇合；另一道一路南下，流经谢家集区望峰岗镇和田家庵的石头埠，水面宽阔，呈弧形绕下六坊，在平圩镇邓家岗处与北道汇合，多河湾，水体较深，水流适中，进入汛期以后水生维管束植物较少。实验区水域主要在行蓄洪区内，人类活动很少，除了架河外没有大的支流流入；远离城市生活区，基本上没有工业污水、生活污水流入，是长吻鮠、瓦氏黄颡鱼等物种的天然育肥场所，也是淮河常规鱼类的产卵场、育肥场。</w:t>
      </w:r>
    </w:p>
    <w:p w14:paraId="52C2AFF1">
      <w:pPr>
        <w:spacing w:line="360" w:lineRule="auto"/>
        <w:ind w:firstLine="480" w:firstLineChars="200"/>
        <w:rPr>
          <w:rFonts w:hint="eastAsia"/>
          <w:color w:val="auto"/>
          <w:sz w:val="24"/>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r>
        <w:rPr>
          <w:rFonts w:hint="eastAsia"/>
          <w:color w:val="auto"/>
          <w:sz w:val="24"/>
        </w:rPr>
        <w:t>综上所述，保护区内水域生态环境条件优良，主要保护对象以及其他渔业生物的索饵场、越冬场、产卵场等“三场”及其洄游通道均具备，水生生物生态功能完整。</w:t>
      </w:r>
    </w:p>
    <w:p w14:paraId="176B1B01">
      <w:pPr>
        <w:spacing w:line="360" w:lineRule="auto"/>
        <w:jc w:val="center"/>
        <w:rPr>
          <w:rFonts w:hint="eastAsia"/>
          <w:color w:val="auto"/>
          <w:sz w:val="24"/>
        </w:rPr>
      </w:pPr>
      <w:r>
        <w:rPr>
          <w:color w:val="auto"/>
          <w:sz w:val="21"/>
        </w:rPr>
        <mc:AlternateContent>
          <mc:Choice Requires="wps">
            <w:drawing>
              <wp:anchor distT="0" distB="0" distL="114300" distR="114300" simplePos="0" relativeHeight="251741184" behindDoc="0" locked="0" layoutInCell="1" allowOverlap="1">
                <wp:simplePos x="0" y="0"/>
                <wp:positionH relativeFrom="column">
                  <wp:posOffset>6172200</wp:posOffset>
                </wp:positionH>
                <wp:positionV relativeFrom="paragraph">
                  <wp:posOffset>2143125</wp:posOffset>
                </wp:positionV>
                <wp:extent cx="1109345" cy="339725"/>
                <wp:effectExtent l="12700" t="12700" r="20955" b="409575"/>
                <wp:wrapNone/>
                <wp:docPr id="235" name="矩形标注 235"/>
                <wp:cNvGraphicFramePr/>
                <a:graphic xmlns:a="http://schemas.openxmlformats.org/drawingml/2006/main">
                  <a:graphicData uri="http://schemas.microsoft.com/office/word/2010/wordprocessingShape">
                    <wps:wsp>
                      <wps:cNvSpPr/>
                      <wps:spPr>
                        <a:xfrm>
                          <a:off x="7072630" y="3043555"/>
                          <a:ext cx="1109345" cy="339725"/>
                        </a:xfrm>
                        <a:prstGeom prst="wedgeRectCallout">
                          <a:avLst>
                            <a:gd name="adj1" fmla="val -18095"/>
                            <a:gd name="adj2" fmla="val 162710"/>
                          </a:avLst>
                        </a:prstGeom>
                        <a:noFill/>
                        <a:ln>
                          <a:solidFill>
                            <a:srgbClr val="00B0F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3451227">
                            <w:pPr>
                              <w:jc w:val="center"/>
                              <w:rPr>
                                <w:rFonts w:hint="default" w:eastAsia="宋体"/>
                                <w:color w:val="FF0000"/>
                                <w:lang w:val="en-US" w:eastAsia="zh-CN"/>
                              </w:rPr>
                            </w:pPr>
                            <w:r>
                              <w:rPr>
                                <w:rFonts w:hint="eastAsia"/>
                                <w:color w:val="FF0000"/>
                                <w:lang w:val="en-US" w:eastAsia="zh-CN"/>
                              </w:rPr>
                              <w:t>本项目所在地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86pt;margin-top:168.75pt;height:26.75pt;width:87.35pt;z-index:251741184;v-text-anchor:middle;mso-width-relative:page;mso-height-relative:page;" filled="f" stroked="t" coordsize="21600,21600" o:gfxdata="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" adj="6891,45945">
                <v:fill on="f" focussize="0,0"/>
                <v:stroke weight="2pt" color="#00B0F0 [2404]" joinstyle="round"/>
                <v:imagedata o:title=""/>
                <o:lock v:ext="edit" aspectratio="f"/>
                <v:textbox>
                  <w:txbxContent>
                    <w:p w14:paraId="13451227">
                      <w:pPr>
                        <w:jc w:val="center"/>
                        <w:rPr>
                          <w:rFonts w:hint="default" w:eastAsia="宋体"/>
                          <w:color w:val="FF0000"/>
                          <w:lang w:val="en-US" w:eastAsia="zh-CN"/>
                        </w:rPr>
                      </w:pPr>
                      <w:r>
                        <w:rPr>
                          <w:rFonts w:hint="eastAsia"/>
                          <w:color w:val="FF0000"/>
                          <w:lang w:val="en-US" w:eastAsia="zh-CN"/>
                        </w:rPr>
                        <w:t>本项目所在地</w:t>
                      </w:r>
                    </w:p>
                  </w:txbxContent>
                </v:textbox>
              </v:shape>
            </w:pict>
          </mc:Fallback>
        </mc:AlternateContent>
      </w:r>
      <w:r>
        <w:rPr>
          <w:color w:val="auto"/>
          <w:sz w:val="21"/>
        </w:rPr>
        <mc:AlternateContent>
          <mc:Choice Requires="wps">
            <w:drawing>
              <wp:anchor distT="0" distB="0" distL="114300" distR="114300" simplePos="0" relativeHeight="251740160" behindDoc="0" locked="0" layoutInCell="1" allowOverlap="1">
                <wp:simplePos x="0" y="0"/>
                <wp:positionH relativeFrom="column">
                  <wp:posOffset>6457950</wp:posOffset>
                </wp:positionH>
                <wp:positionV relativeFrom="paragraph">
                  <wp:posOffset>2863850</wp:posOffset>
                </wp:positionV>
                <wp:extent cx="75565" cy="95250"/>
                <wp:effectExtent l="12700" t="12700" r="26035" b="25400"/>
                <wp:wrapNone/>
                <wp:docPr id="234" name="矩形 234"/>
                <wp:cNvGraphicFramePr/>
                <a:graphic xmlns:a="http://schemas.openxmlformats.org/drawingml/2006/main">
                  <a:graphicData uri="http://schemas.microsoft.com/office/word/2010/wordprocessingShape">
                    <wps:wsp>
                      <wps:cNvSpPr/>
                      <wps:spPr>
                        <a:xfrm>
                          <a:off x="7358380" y="3764280"/>
                          <a:ext cx="75565" cy="95250"/>
                        </a:xfrm>
                        <a:prstGeom prst="rect">
                          <a:avLst/>
                        </a:prstGeom>
                        <a:noFill/>
                        <a:ln>
                          <a:solidFill>
                            <a:srgbClr val="C602BA"/>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08.5pt;margin-top:225.5pt;height:7.5pt;width:5.95pt;z-index:251740160;v-text-anchor:middle;mso-width-relative:page;mso-height-relative:page;" filled="f" stroked="t" coordsize="21600,21600" o:gfxdata="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gLgPp2AAAAA0BAAAPAAAAAAAAAAEAIAAAACIAAABkcnMvZG93bnJldi54&#10;bWxQSwECFAAUAAAACACHTuJA84ZwEmwCAADBBAAADgAAAAAAAAABACAAAAAnAQAAZHJzL2Uyb0Rv&#10;Yy54bWxQSwUGAAAAAAYABgBZAQAABQYAAAAA&#10;">
                <v:fill on="f" focussize="0,0"/>
                <v:stroke weight="2pt" color="#C602BA [2404]" joinstyle="round"/>
                <v:imagedata o:title=""/>
                <o:lock v:ext="edit" aspectratio="f"/>
              </v:rect>
            </w:pict>
          </mc:Fallback>
        </mc:AlternateContent>
      </w:r>
      <w:r>
        <w:rPr>
          <w:color w:val="auto"/>
        </w:rPr>
        <w:drawing>
          <wp:inline distT="0" distB="0" distL="114300" distR="114300">
            <wp:extent cx="6948805" cy="5004435"/>
            <wp:effectExtent l="0" t="0" r="4445" b="5715"/>
            <wp:docPr id="17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22"/>
                    <pic:cNvPicPr>
                      <a:picLocks noChangeAspect="1"/>
                    </pic:cNvPicPr>
                  </pic:nvPicPr>
                  <pic:blipFill>
                    <a:blip r:embed="rId109"/>
                    <a:stretch>
                      <a:fillRect/>
                    </a:stretch>
                  </pic:blipFill>
                  <pic:spPr>
                    <a:xfrm>
                      <a:off x="0" y="0"/>
                      <a:ext cx="6948805" cy="5004435"/>
                    </a:xfrm>
                    <a:prstGeom prst="rect">
                      <a:avLst/>
                    </a:prstGeom>
                    <a:noFill/>
                    <a:ln>
                      <a:noFill/>
                    </a:ln>
                  </pic:spPr>
                </pic:pic>
              </a:graphicData>
            </a:graphic>
          </wp:inline>
        </w:drawing>
      </w:r>
    </w:p>
    <w:p w14:paraId="09D74FB8">
      <w:pPr>
        <w:spacing w:line="400" w:lineRule="exact"/>
        <w:jc w:val="center"/>
        <w:rPr>
          <w:color w:val="auto"/>
        </w:rPr>
        <w:sectPr>
          <w:pgSz w:w="16840" w:h="11907" w:orient="landscape"/>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r>
        <w:rPr>
          <w:rFonts w:eastAsia="黑体"/>
          <w:color w:val="auto"/>
          <w:sz w:val="24"/>
        </w:rPr>
        <w:t>图4.2-</w:t>
      </w:r>
      <w:r>
        <w:rPr>
          <w:rFonts w:hint="eastAsia" w:eastAsia="黑体"/>
          <w:color w:val="auto"/>
          <w:sz w:val="24"/>
          <w:lang w:val="en-US" w:eastAsia="zh-CN"/>
        </w:rPr>
        <w:t>14</w:t>
      </w:r>
      <w:r>
        <w:rPr>
          <w:rFonts w:eastAsia="黑体"/>
          <w:color w:val="auto"/>
          <w:sz w:val="24"/>
        </w:rPr>
        <w:t xml:space="preserve">  保护区适宜产卵场、越冬场分布图</w:t>
      </w:r>
    </w:p>
    <w:p w14:paraId="7A642932">
      <w:pPr>
        <w:pStyle w:val="5"/>
        <w:numPr>
          <w:ilvl w:val="0"/>
          <w:numId w:val="0"/>
        </w:numPr>
        <w:rPr>
          <w:color w:val="auto"/>
        </w:rPr>
      </w:pPr>
      <w:r>
        <w:rPr>
          <w:rFonts w:hint="eastAsia"/>
          <w:color w:val="auto"/>
        </w:rPr>
        <w:t>4.2.5.</w:t>
      </w:r>
      <w:r>
        <w:rPr>
          <w:rFonts w:hint="eastAsia"/>
          <w:color w:val="auto"/>
          <w:lang w:val="en-US" w:eastAsia="zh-CN"/>
        </w:rPr>
        <w:t>7</w:t>
      </w:r>
      <w:r>
        <w:rPr>
          <w:rFonts w:hint="eastAsia"/>
          <w:color w:val="auto"/>
        </w:rPr>
        <w:t>鱼类等水生生物繁殖现状与评价</w:t>
      </w:r>
    </w:p>
    <w:p w14:paraId="153E42E6">
      <w:pPr>
        <w:widowControl/>
        <w:spacing w:line="360" w:lineRule="auto"/>
        <w:ind w:firstLine="480" w:firstLineChars="200"/>
        <w:rPr>
          <w:rFonts w:ascii="Times New Roman" w:hAnsi="Times New Roman" w:eastAsia="宋体" w:cs="Times New Roman"/>
          <w:color w:val="auto"/>
          <w:sz w:val="24"/>
          <w:szCs w:val="21"/>
          <w:lang w:bidi="ar"/>
        </w:rPr>
      </w:pPr>
      <w:r>
        <w:rPr>
          <w:rFonts w:ascii="Times New Roman" w:hAnsi="Times New Roman" w:eastAsia="宋体" w:cs="Times New Roman"/>
          <w:color w:val="auto"/>
          <w:sz w:val="24"/>
          <w:szCs w:val="21"/>
          <w:lang w:bidi="ar"/>
        </w:rPr>
        <w:t>淮河中长吻鮠、瓦氏黄颡鱼主要分布在淮河中、上游，</w:t>
      </w:r>
      <w:r>
        <w:rPr>
          <w:rFonts w:hint="eastAsia" w:cs="Times New Roman"/>
          <w:color w:val="auto"/>
          <w:sz w:val="24"/>
          <w:szCs w:val="21"/>
          <w:lang w:eastAsia="zh-CN" w:bidi="ar"/>
        </w:rPr>
        <w:t>主要</w:t>
      </w:r>
      <w:r>
        <w:rPr>
          <w:rFonts w:ascii="Times New Roman" w:hAnsi="Times New Roman" w:eastAsia="宋体" w:cs="Times New Roman"/>
          <w:color w:val="auto"/>
          <w:sz w:val="24"/>
          <w:szCs w:val="21"/>
          <w:lang w:bidi="ar"/>
        </w:rPr>
        <w:t>产于淮南市凤台县境内峡山口至黑龙潭水域；其次为寿县正阳关至沫河口水域，在下游蚌埠段水域也有少量产出。直到二十世纪</w:t>
      </w:r>
      <w:r>
        <w:rPr>
          <w:rFonts w:hint="eastAsia" w:cs="Times New Roman"/>
          <w:color w:val="auto"/>
          <w:sz w:val="24"/>
          <w:szCs w:val="21"/>
          <w:lang w:eastAsia="zh-CN" w:bidi="ar"/>
        </w:rPr>
        <w:t>70年代</w:t>
      </w:r>
      <w:r>
        <w:rPr>
          <w:rFonts w:ascii="Times New Roman" w:hAnsi="Times New Roman" w:eastAsia="宋体" w:cs="Times New Roman"/>
          <w:color w:val="auto"/>
          <w:sz w:val="24"/>
          <w:szCs w:val="21"/>
          <w:lang w:bidi="ar"/>
        </w:rPr>
        <w:t>以前，长吻鮠、瓦氏黄颡鱼仍是凤台县境内渔民的主要捕捞物种之一。据调查单网最高产量可达6000 kg。1980年以后，长吻鮠、瓦氏黄颡鱼数量大幅减少，特别是1988年以后，长吻鮠、瓦氏黄颡鱼种群资源几近枯竭。</w:t>
      </w:r>
    </w:p>
    <w:p w14:paraId="0C7AD97E">
      <w:pPr>
        <w:widowControl/>
        <w:spacing w:line="360" w:lineRule="auto"/>
        <w:ind w:firstLine="480" w:firstLineChars="200"/>
        <w:rPr>
          <w:rFonts w:ascii="Times New Roman" w:hAnsi="Times New Roman" w:eastAsia="宋体" w:cs="Times New Roman"/>
          <w:color w:val="auto"/>
          <w:sz w:val="24"/>
          <w:szCs w:val="21"/>
          <w:lang w:bidi="ar"/>
        </w:rPr>
      </w:pPr>
      <w:r>
        <w:rPr>
          <w:rFonts w:ascii="Times New Roman" w:hAnsi="Times New Roman" w:eastAsia="宋体" w:cs="Times New Roman"/>
          <w:color w:val="auto"/>
          <w:sz w:val="24"/>
          <w:szCs w:val="21"/>
          <w:lang w:bidi="ar"/>
        </w:rPr>
        <w:t>核心区的峡山口、绵羊石、黑龙潭水流湍急河床较深，地形复杂，砂石底质，是主要保护对象的天然产卵、越冬场；上下六坊全部是行蓄洪区，以农作物为主，人类活动较少，环境安静，枯水期水生维管束植物资源丰富，行蓄洪期间浮游生物丰富，饵料资源充足，另外上下六坊堤内沟汊交错纵横，互成网状，适合大多数鱼类的生长与肥育。因此保护区内水域不仅是长吻鮠和瓦氏黄颡鱼等鲿科鱼类的天然繁殖肥育场所，也是</w:t>
      </w:r>
      <w:r>
        <w:rPr>
          <w:rFonts w:hint="eastAsia" w:cs="Times New Roman"/>
          <w:color w:val="auto"/>
          <w:sz w:val="24"/>
          <w:szCs w:val="21"/>
          <w:lang w:eastAsia="zh-CN" w:bidi="ar"/>
        </w:rPr>
        <w:t>其他</w:t>
      </w:r>
      <w:r>
        <w:rPr>
          <w:rFonts w:ascii="Times New Roman" w:hAnsi="Times New Roman" w:eastAsia="宋体" w:cs="Times New Roman"/>
          <w:color w:val="auto"/>
          <w:sz w:val="24"/>
          <w:szCs w:val="21"/>
          <w:lang w:bidi="ar"/>
        </w:rPr>
        <w:t>鱼类的主要索饵和肥育场所。</w:t>
      </w:r>
    </w:p>
    <w:p w14:paraId="43461015">
      <w:pPr>
        <w:widowControl/>
        <w:spacing w:line="360" w:lineRule="auto"/>
        <w:ind w:firstLine="480" w:firstLineChars="200"/>
        <w:rPr>
          <w:rFonts w:ascii="Times New Roman" w:hAnsi="Times New Roman" w:eastAsia="宋体" w:cs="Times New Roman"/>
          <w:color w:val="auto"/>
          <w:sz w:val="22"/>
          <w:szCs w:val="21"/>
        </w:rPr>
      </w:pPr>
      <w:r>
        <w:rPr>
          <w:rFonts w:ascii="Times New Roman" w:hAnsi="Times New Roman" w:eastAsia="宋体" w:cs="Times New Roman"/>
          <w:color w:val="auto"/>
          <w:sz w:val="24"/>
          <w:szCs w:val="21"/>
          <w:lang w:bidi="ar"/>
        </w:rPr>
        <w:t>根据2004年淮河水生经济动植物品种资源调查，淮河中有40多种鱼类都生活在本段水域，凤台的大孤堆、八公山的李嘴湾、田家庵的石头埠也是历史上淮河四大家鱼的主要产卵场。从2010年淮南市渔政渔港监督管理处与安徽农业大学对淮河的资源调查来看，瓦氏黄颡鱼已基本形成繁殖种群，长吻鮠的生长种群已初步形成，黄颡鱼的生长繁殖种群都已完全形成，细尾拟鲿的数量还比较少，亟待加强保护。总体上，这些鮠科鱼类的种群尚不够稳定。</w:t>
      </w:r>
    </w:p>
    <w:p w14:paraId="4E395DDB">
      <w:pPr>
        <w:pStyle w:val="5"/>
        <w:numPr>
          <w:ilvl w:val="0"/>
          <w:numId w:val="0"/>
        </w:numPr>
        <w:rPr>
          <w:color w:val="auto"/>
        </w:rPr>
      </w:pPr>
      <w:r>
        <w:rPr>
          <w:rFonts w:hint="eastAsia"/>
          <w:color w:val="auto"/>
        </w:rPr>
        <w:t>4.2.5.</w:t>
      </w:r>
      <w:r>
        <w:rPr>
          <w:rFonts w:hint="eastAsia"/>
          <w:color w:val="auto"/>
          <w:lang w:val="en-US" w:eastAsia="zh-CN"/>
        </w:rPr>
        <w:t>8</w:t>
      </w:r>
      <w:r>
        <w:rPr>
          <w:rFonts w:hint="eastAsia"/>
          <w:color w:val="auto"/>
        </w:rPr>
        <w:t>保护区结构和功能完整性评价</w:t>
      </w:r>
    </w:p>
    <w:p w14:paraId="2FBAC525">
      <w:pPr>
        <w:widowControl/>
        <w:spacing w:line="360" w:lineRule="auto"/>
        <w:ind w:firstLine="480" w:firstLineChars="200"/>
        <w:rPr>
          <w:rFonts w:ascii="Times New Roman" w:hAnsi="Times New Roman" w:eastAsia="宋体" w:cs="Times New Roman"/>
          <w:color w:val="auto"/>
          <w:sz w:val="24"/>
          <w:szCs w:val="24"/>
          <w:lang w:bidi="ar"/>
        </w:rPr>
      </w:pPr>
      <w:r>
        <w:rPr>
          <w:rFonts w:ascii="Times New Roman" w:hAnsi="Times New Roman" w:eastAsia="宋体" w:cs="Times New Roman"/>
          <w:color w:val="auto"/>
          <w:sz w:val="24"/>
          <w:szCs w:val="24"/>
          <w:lang w:bidi="ar"/>
        </w:rPr>
        <w:t>淮河淮南段长吻鮠国家级水产种质资源保护区是淮河干流完整生态系统中重要组成部分，渔业物种资源丰富，是一个天然的物种基因库，具有较高的科研价值。保护区位于安徽省淮南市李冲回族乡至平圩淮河大桥之间淮河段水域，因此段水域在淮河东进过程中受到八公山脉的阻挡，在峡山口处，冲破八公山脉，迂回在山脉断裂带上，水质优良，植被完整，水流湍急，地形复杂，河床较深，砂石底质，是长吻鮠、瓦氏黄颡鱼、细吻鮠等鱼类的适宜栖息地和繁殖场，也是实施保护的关键水域。实验区从凤台淮河大桥至潘集区平圩淮河大桥，区内没有常住人口，河汊较多，水流平稳，环境安静，水生生物丰富，是长吻鮠、瓦氏黄颡鱼以及其他鱼类的天然育肥场所。</w:t>
      </w:r>
    </w:p>
    <w:p w14:paraId="6D1BAA3F">
      <w:pPr>
        <w:widowControl/>
        <w:spacing w:line="360" w:lineRule="auto"/>
        <w:ind w:firstLine="480" w:firstLineChars="200"/>
        <w:rPr>
          <w:rFonts w:ascii="Times New Roman" w:hAnsi="Times New Roman" w:eastAsia="宋体" w:cs="Times New Roman"/>
          <w:b w:val="0"/>
          <w:bCs w:val="0"/>
          <w:color w:val="auto"/>
          <w:sz w:val="24"/>
          <w:szCs w:val="24"/>
        </w:rPr>
      </w:pPr>
      <w:r>
        <w:rPr>
          <w:rFonts w:ascii="Times New Roman" w:hAnsi="Times New Roman" w:eastAsia="宋体" w:cs="Times New Roman"/>
          <w:b w:val="0"/>
          <w:bCs w:val="0"/>
          <w:color w:val="auto"/>
          <w:sz w:val="24"/>
          <w:szCs w:val="24"/>
          <w:lang w:bidi="ar"/>
        </w:rPr>
        <w:t>根据现场调查结果并结合历史资料，保护区功能划分合理，主要保护对象的“三场一通道”分布于保护区内，主要保护对象在保护区内可以完成整个生活史过程，在保护区水域生态环境条件不发生重大改变、环境保护和渔政管理措施持续有效的前提下，保护区总体功能可以得到充分发挥。</w:t>
      </w:r>
    </w:p>
    <w:p w14:paraId="5454CB3A">
      <w:pPr>
        <w:pStyle w:val="5"/>
        <w:numPr>
          <w:ilvl w:val="0"/>
          <w:numId w:val="0"/>
        </w:numPr>
        <w:rPr>
          <w:rFonts w:hint="eastAsia"/>
          <w:color w:val="auto"/>
        </w:rPr>
      </w:pPr>
      <w:r>
        <w:rPr>
          <w:rFonts w:hint="eastAsia"/>
          <w:color w:val="auto"/>
        </w:rPr>
        <w:t>4.2.5.</w:t>
      </w:r>
      <w:r>
        <w:rPr>
          <w:rFonts w:hint="eastAsia"/>
          <w:color w:val="auto"/>
          <w:lang w:val="en-US" w:eastAsia="zh-CN"/>
        </w:rPr>
        <w:t>9调查区域存在的主要生态问题，</w:t>
      </w:r>
    </w:p>
    <w:p w14:paraId="200DC8E2">
      <w:pPr>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宋体" w:cs="Times New Roman"/>
          <w:b w:val="0"/>
          <w:bCs w:val="0"/>
          <w:color w:val="auto"/>
          <w:kern w:val="2"/>
          <w:sz w:val="24"/>
          <w:szCs w:val="24"/>
          <w:lang w:val="en-US" w:eastAsia="zh-CN" w:bidi="ar"/>
        </w:rPr>
      </w:pPr>
      <w:r>
        <w:rPr>
          <w:rFonts w:hint="eastAsia" w:ascii="Times New Roman" w:hAnsi="Times New Roman" w:eastAsia="宋体" w:cs="Times New Roman"/>
          <w:b w:val="0"/>
          <w:bCs w:val="0"/>
          <w:color w:val="auto"/>
          <w:kern w:val="2"/>
          <w:sz w:val="24"/>
          <w:szCs w:val="24"/>
          <w:lang w:val="en-US" w:eastAsia="zh-CN" w:bidi="ar"/>
        </w:rPr>
        <w:t>本工程不涉及跨流域项目，不会引起外来物种入侵。2022年监测发现保护区内存在德国镜鲤。德国镜鲤适应能力及建立种群能力极强，这对于保护区内分布的渔业生物及水生植物而言具有较大威胁，应加以重视。今后在保护区的管理过程中应加强宣传教育，一方面应严格控制淮河沿岸养殖场的养殖逃逸，另一方面应提升民众的资源保护意识，杜绝随意放流。</w:t>
      </w:r>
    </w:p>
    <w:p w14:paraId="214F6537">
      <w:pPr>
        <w:keepNext/>
        <w:keepLines/>
        <w:widowControl w:val="0"/>
        <w:numPr>
          <w:ilvl w:val="0"/>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4.2.5.10 水体理化指标现状</w:t>
      </w:r>
    </w:p>
    <w:p w14:paraId="0921CB4B">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4.2.5.10.1 水体理化指标</w:t>
      </w:r>
    </w:p>
    <w:p w14:paraId="0754160A">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lang w:bidi="ar"/>
        </w:rPr>
        <w:t>2023年监测结果显示，调查水域水体T变幅为23.20-29.70℃，均值为27.23℃；DO变幅为6.70-20.14 mg/L，均值为10.05 mg/L；Tur变幅为12.80-35.70 NTU，均值为20.93 NTU；SD变幅为34.00-50.00 cm，均值为43.75 cm；水深变幅为0.80-14.00 m，均值为4.90 m；pH变幅为7.88-8.99，均值为8.26。</w:t>
      </w:r>
    </w:p>
    <w:p w14:paraId="4054F632">
      <w:pPr>
        <w:widowControl/>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lang w:bidi="ar"/>
        </w:rPr>
        <w:t>TN</w:t>
      </w:r>
      <w:r>
        <w:rPr>
          <w:rFonts w:ascii="Times New Roman" w:hAnsi="Times New Roman" w:eastAsia="宋体"/>
          <w:color w:val="auto"/>
          <w:sz w:val="24"/>
          <w:szCs w:val="28"/>
          <w:lang w:bidi="ar"/>
        </w:rPr>
        <w:t>浓度</w:t>
      </w:r>
      <w:r>
        <w:rPr>
          <w:rFonts w:ascii="Times New Roman" w:hAnsi="Times New Roman" w:eastAsia="宋体"/>
          <w:color w:val="auto"/>
          <w:sz w:val="24"/>
          <w:szCs w:val="22"/>
          <w:lang w:bidi="ar"/>
        </w:rPr>
        <w:t>变幅为1.62-3.19 mg/L，均值为2.31 mg/L；TDN</w:t>
      </w:r>
      <w:r>
        <w:rPr>
          <w:rFonts w:ascii="Times New Roman" w:hAnsi="Times New Roman" w:eastAsia="宋体"/>
          <w:color w:val="auto"/>
          <w:sz w:val="24"/>
          <w:szCs w:val="28"/>
          <w:lang w:bidi="ar"/>
        </w:rPr>
        <w:t>浓度</w:t>
      </w:r>
      <w:r>
        <w:rPr>
          <w:rFonts w:ascii="Times New Roman" w:hAnsi="Times New Roman" w:eastAsia="宋体"/>
          <w:color w:val="auto"/>
          <w:sz w:val="24"/>
          <w:szCs w:val="22"/>
          <w:lang w:bidi="ar"/>
        </w:rPr>
        <w:t>变幅为1.51-2.66 mg/L，均值为1.99 mg/L；TP浓度变幅为0.05-0.19 mg/L，均值为0.11 mg/L；TDP浓度变幅为0.03-0.13 mg/L，均值为0.07 mg/L；</w:t>
      </w:r>
      <w:r>
        <w:rPr>
          <w:rFonts w:ascii="Times New Roman" w:hAnsi="Times New Roman" w:eastAsia="宋体"/>
          <w:color w:val="auto"/>
          <w:sz w:val="24"/>
          <w:szCs w:val="28"/>
          <w:lang w:bidi="ar"/>
        </w:rPr>
        <w:t>PO</w:t>
      </w:r>
      <w:r>
        <w:rPr>
          <w:rFonts w:ascii="Times New Roman" w:hAnsi="Times New Roman" w:eastAsia="宋体"/>
          <w:color w:val="auto"/>
          <w:sz w:val="24"/>
          <w:szCs w:val="28"/>
          <w:vertAlign w:val="subscript"/>
          <w:lang w:bidi="ar"/>
        </w:rPr>
        <w:t>4</w:t>
      </w:r>
      <w:r>
        <w:rPr>
          <w:rFonts w:ascii="Times New Roman" w:hAnsi="Times New Roman" w:eastAsia="宋体"/>
          <w:color w:val="auto"/>
          <w:sz w:val="24"/>
          <w:szCs w:val="28"/>
          <w:vertAlign w:val="superscript"/>
          <w:lang w:bidi="ar"/>
        </w:rPr>
        <w:t>3-</w:t>
      </w:r>
      <w:r>
        <w:rPr>
          <w:rFonts w:ascii="Times New Roman" w:hAnsi="Times New Roman" w:eastAsia="宋体"/>
          <w:color w:val="auto"/>
          <w:sz w:val="24"/>
          <w:szCs w:val="28"/>
          <w:lang w:bidi="ar"/>
        </w:rPr>
        <w:t>-P</w:t>
      </w:r>
      <w:r>
        <w:rPr>
          <w:rFonts w:ascii="Times New Roman" w:hAnsi="Times New Roman" w:eastAsia="宋体"/>
          <w:color w:val="auto"/>
          <w:sz w:val="24"/>
          <w:szCs w:val="22"/>
          <w:lang w:bidi="ar"/>
        </w:rPr>
        <w:t>浓度变幅为0.02-0.05 mg/L，均值为0.03 mg/L；</w:t>
      </w:r>
      <w:r>
        <w:rPr>
          <w:rFonts w:ascii="Times New Roman" w:hAnsi="Times New Roman" w:eastAsia="宋体"/>
          <w:color w:val="auto"/>
          <w:sz w:val="24"/>
          <w:szCs w:val="28"/>
          <w:lang w:bidi="ar"/>
        </w:rPr>
        <w:t>NH</w:t>
      </w:r>
      <w:r>
        <w:rPr>
          <w:rFonts w:ascii="Times New Roman" w:hAnsi="Times New Roman" w:eastAsia="宋体"/>
          <w:color w:val="auto"/>
          <w:sz w:val="24"/>
          <w:szCs w:val="28"/>
          <w:vertAlign w:val="subscript"/>
          <w:lang w:bidi="ar"/>
        </w:rPr>
        <w:t>4</w:t>
      </w:r>
      <w:r>
        <w:rPr>
          <w:rFonts w:ascii="Times New Roman" w:hAnsi="Times New Roman" w:eastAsia="宋体"/>
          <w:color w:val="auto"/>
          <w:sz w:val="24"/>
          <w:szCs w:val="28"/>
          <w:vertAlign w:val="superscript"/>
          <w:lang w:bidi="ar"/>
        </w:rPr>
        <w:t>+</w:t>
      </w:r>
      <w:r>
        <w:rPr>
          <w:rFonts w:ascii="Times New Roman" w:hAnsi="Times New Roman" w:eastAsia="宋体"/>
          <w:color w:val="auto"/>
          <w:sz w:val="24"/>
          <w:szCs w:val="28"/>
          <w:lang w:bidi="ar"/>
        </w:rPr>
        <w:t>-N浓度</w:t>
      </w:r>
      <w:r>
        <w:rPr>
          <w:rFonts w:ascii="Times New Roman" w:hAnsi="Times New Roman" w:eastAsia="宋体"/>
          <w:color w:val="auto"/>
          <w:sz w:val="24"/>
          <w:szCs w:val="22"/>
          <w:lang w:bidi="ar"/>
        </w:rPr>
        <w:t>变幅为0.18-1.07 mg/L，均值为0.37 mg/L；</w:t>
      </w:r>
      <w:r>
        <w:rPr>
          <w:rFonts w:ascii="Times New Roman" w:hAnsi="Times New Roman" w:eastAsia="宋体"/>
          <w:color w:val="auto"/>
          <w:sz w:val="24"/>
          <w:szCs w:val="28"/>
          <w:lang w:bidi="ar"/>
        </w:rPr>
        <w:t>Chl-</w:t>
      </w:r>
      <w:r>
        <w:rPr>
          <w:rFonts w:ascii="Times New Roman" w:hAnsi="Times New Roman" w:eastAsia="宋体"/>
          <w:i/>
          <w:color w:val="auto"/>
          <w:sz w:val="24"/>
          <w:szCs w:val="28"/>
          <w:lang w:bidi="ar"/>
        </w:rPr>
        <w:t>a</w:t>
      </w:r>
      <w:r>
        <w:rPr>
          <w:rFonts w:ascii="Times New Roman" w:hAnsi="Times New Roman" w:eastAsia="宋体"/>
          <w:color w:val="auto"/>
          <w:sz w:val="24"/>
          <w:szCs w:val="22"/>
          <w:lang w:bidi="ar"/>
        </w:rPr>
        <w:t>浓度变幅为2.00-9.24 μg/L，均值为4.96 μg/L；</w:t>
      </w:r>
      <w:r>
        <w:rPr>
          <w:rFonts w:ascii="Times New Roman" w:hAnsi="Times New Roman" w:eastAsia="宋体"/>
          <w:color w:val="auto"/>
          <w:sz w:val="24"/>
          <w:szCs w:val="28"/>
          <w:lang w:bidi="ar"/>
        </w:rPr>
        <w:t>COD</w:t>
      </w:r>
      <w:r>
        <w:rPr>
          <w:rFonts w:ascii="Times New Roman" w:hAnsi="Times New Roman" w:eastAsia="宋体"/>
          <w:color w:val="auto"/>
          <w:sz w:val="24"/>
          <w:szCs w:val="28"/>
          <w:vertAlign w:val="subscript"/>
          <w:lang w:bidi="ar"/>
        </w:rPr>
        <w:t>Mn</w:t>
      </w:r>
      <w:r>
        <w:rPr>
          <w:rFonts w:ascii="Times New Roman" w:hAnsi="Times New Roman" w:eastAsia="宋体"/>
          <w:color w:val="auto"/>
          <w:sz w:val="24"/>
          <w:szCs w:val="28"/>
          <w:lang w:bidi="ar"/>
        </w:rPr>
        <w:t>浓度</w:t>
      </w:r>
      <w:r>
        <w:rPr>
          <w:rFonts w:ascii="Times New Roman" w:hAnsi="Times New Roman" w:eastAsia="宋体"/>
          <w:color w:val="auto"/>
          <w:sz w:val="24"/>
          <w:szCs w:val="22"/>
          <w:lang w:bidi="ar"/>
        </w:rPr>
        <w:t>变幅为3.75-9.23 mg/L，均值为5.59 mg/L；</w:t>
      </w:r>
      <w:r>
        <w:rPr>
          <w:rFonts w:ascii="Times New Roman" w:hAnsi="Times New Roman" w:eastAsia="宋体"/>
          <w:color w:val="auto"/>
          <w:sz w:val="24"/>
          <w:szCs w:val="28"/>
          <w:lang w:bidi="ar"/>
        </w:rPr>
        <w:t>NO</w:t>
      </w:r>
      <w:r>
        <w:rPr>
          <w:rFonts w:ascii="Times New Roman" w:hAnsi="Times New Roman" w:eastAsia="宋体"/>
          <w:color w:val="auto"/>
          <w:sz w:val="24"/>
          <w:szCs w:val="28"/>
          <w:vertAlign w:val="subscript"/>
          <w:lang w:bidi="ar"/>
        </w:rPr>
        <w:t>2</w:t>
      </w:r>
      <w:r>
        <w:rPr>
          <w:rFonts w:ascii="Times New Roman" w:hAnsi="Times New Roman" w:eastAsia="宋体"/>
          <w:color w:val="auto"/>
          <w:sz w:val="24"/>
          <w:szCs w:val="28"/>
          <w:vertAlign w:val="superscript"/>
          <w:lang w:bidi="ar"/>
        </w:rPr>
        <w:t>-</w:t>
      </w:r>
      <w:r>
        <w:rPr>
          <w:rFonts w:ascii="Times New Roman" w:hAnsi="Times New Roman" w:eastAsia="宋体"/>
          <w:color w:val="auto"/>
          <w:sz w:val="24"/>
          <w:szCs w:val="28"/>
          <w:lang w:bidi="ar"/>
        </w:rPr>
        <w:t>-N</w:t>
      </w:r>
      <w:r>
        <w:rPr>
          <w:rFonts w:ascii="Times New Roman" w:hAnsi="Times New Roman" w:eastAsia="宋体"/>
          <w:color w:val="auto"/>
          <w:sz w:val="24"/>
          <w:szCs w:val="22"/>
          <w:lang w:bidi="ar"/>
        </w:rPr>
        <w:t>浓度变幅为0.01-0.05 mg/L，均值为0.03 mg/L。</w:t>
      </w:r>
    </w:p>
    <w:p w14:paraId="512778A0">
      <w:pPr>
        <w:spacing w:line="360" w:lineRule="auto"/>
        <w:ind w:firstLine="480" w:firstLineChars="200"/>
        <w:rPr>
          <w:rFonts w:ascii="Times New Roman" w:hAnsi="Times New Roman" w:eastAsia="宋体"/>
          <w:b/>
          <w:bCs/>
          <w:color w:val="auto"/>
          <w:sz w:val="24"/>
          <w:szCs w:val="22"/>
        </w:rPr>
      </w:pPr>
      <w:r>
        <w:rPr>
          <w:rFonts w:ascii="Times New Roman" w:hAnsi="Times New Roman" w:eastAsia="宋体"/>
          <w:b/>
          <w:bCs/>
          <w:color w:val="auto"/>
          <w:sz w:val="24"/>
          <w:szCs w:val="22"/>
        </w:rPr>
        <w:t>(1)繁殖期</w:t>
      </w:r>
    </w:p>
    <w:p w14:paraId="0636EB02">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lang w:bidi="ar"/>
        </w:rPr>
        <w:t>水温均值为25.58℃；DO均值为13.20 mg/L；Tur均值为15.98 NTU；SD均值为42.50 cm；水深均值为4.68 m；pH均值为8.62。</w:t>
      </w:r>
    </w:p>
    <w:p w14:paraId="1F6A6B2E">
      <w:pPr>
        <w:widowControl/>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lang w:bidi="ar"/>
        </w:rPr>
        <w:t>TN浓度均值为2.83 mg/L；TDN浓度均值为2.30 mg/L；TP浓度均值为0.09 mg/L；TDP浓度均值为0.06 mg/L；PO</w:t>
      </w:r>
      <w:r>
        <w:rPr>
          <w:rFonts w:ascii="Times New Roman" w:hAnsi="Times New Roman" w:eastAsia="宋体"/>
          <w:color w:val="auto"/>
          <w:sz w:val="24"/>
          <w:szCs w:val="22"/>
          <w:vertAlign w:val="subscript"/>
          <w:lang w:bidi="ar"/>
        </w:rPr>
        <w:t>4</w:t>
      </w:r>
      <w:r>
        <w:rPr>
          <w:rFonts w:ascii="Times New Roman" w:hAnsi="Times New Roman" w:eastAsia="宋体"/>
          <w:color w:val="auto"/>
          <w:sz w:val="24"/>
          <w:szCs w:val="22"/>
          <w:vertAlign w:val="superscript"/>
          <w:lang w:bidi="ar"/>
        </w:rPr>
        <w:t>3-</w:t>
      </w:r>
      <w:r>
        <w:rPr>
          <w:rFonts w:ascii="Times New Roman" w:hAnsi="Times New Roman" w:eastAsia="宋体"/>
          <w:color w:val="auto"/>
          <w:sz w:val="24"/>
          <w:szCs w:val="22"/>
          <w:lang w:bidi="ar"/>
        </w:rPr>
        <w:t>-P浓度均</w:t>
      </w:r>
      <w:r>
        <w:rPr>
          <w:rFonts w:hint="eastAsia"/>
          <w:color w:val="auto"/>
          <w:sz w:val="24"/>
          <w:szCs w:val="22"/>
          <w:lang w:eastAsia="zh-CN" w:bidi="ar"/>
        </w:rPr>
        <w:t>值为</w:t>
      </w:r>
      <w:r>
        <w:rPr>
          <w:rFonts w:ascii="Times New Roman" w:hAnsi="Times New Roman" w:eastAsia="宋体"/>
          <w:color w:val="auto"/>
          <w:sz w:val="24"/>
          <w:szCs w:val="22"/>
          <w:lang w:bidi="ar"/>
        </w:rPr>
        <w:t>0.03 g/L；NH</w:t>
      </w:r>
      <w:r>
        <w:rPr>
          <w:rFonts w:ascii="Times New Roman" w:hAnsi="Times New Roman" w:eastAsia="宋体"/>
          <w:color w:val="auto"/>
          <w:sz w:val="24"/>
          <w:szCs w:val="22"/>
          <w:vertAlign w:val="subscript"/>
          <w:lang w:bidi="ar"/>
        </w:rPr>
        <w:t>4</w:t>
      </w:r>
      <w:r>
        <w:rPr>
          <w:rFonts w:ascii="Times New Roman" w:hAnsi="Times New Roman" w:eastAsia="宋体"/>
          <w:color w:val="auto"/>
          <w:sz w:val="24"/>
          <w:szCs w:val="22"/>
          <w:vertAlign w:val="superscript"/>
          <w:lang w:bidi="ar"/>
        </w:rPr>
        <w:t>+</w:t>
      </w:r>
      <w:r>
        <w:rPr>
          <w:rFonts w:ascii="Times New Roman" w:hAnsi="Times New Roman" w:eastAsia="宋体"/>
          <w:color w:val="auto"/>
          <w:sz w:val="24"/>
          <w:szCs w:val="22"/>
          <w:lang w:bidi="ar"/>
        </w:rPr>
        <w:t>-N浓度均值为0.50 mg/L；Chl-</w:t>
      </w:r>
      <w:r>
        <w:rPr>
          <w:rFonts w:ascii="Times New Roman" w:hAnsi="Times New Roman" w:eastAsia="宋体"/>
          <w:i/>
          <w:color w:val="auto"/>
          <w:sz w:val="24"/>
          <w:szCs w:val="22"/>
          <w:lang w:bidi="ar"/>
        </w:rPr>
        <w:t>a</w:t>
      </w:r>
      <w:r>
        <w:rPr>
          <w:rFonts w:ascii="Times New Roman" w:hAnsi="Times New Roman" w:eastAsia="宋体"/>
          <w:color w:val="auto"/>
          <w:sz w:val="24"/>
          <w:szCs w:val="22"/>
          <w:lang w:bidi="ar"/>
        </w:rPr>
        <w:t>浓度均值为3.00 μg/L；COD</w:t>
      </w:r>
      <w:r>
        <w:rPr>
          <w:rFonts w:ascii="Times New Roman" w:hAnsi="Times New Roman" w:eastAsia="宋体"/>
          <w:color w:val="auto"/>
          <w:sz w:val="24"/>
          <w:szCs w:val="22"/>
          <w:vertAlign w:val="subscript"/>
          <w:lang w:bidi="ar"/>
        </w:rPr>
        <w:t>Mn</w:t>
      </w:r>
      <w:r>
        <w:rPr>
          <w:rFonts w:ascii="Times New Roman" w:hAnsi="Times New Roman" w:eastAsia="宋体"/>
          <w:color w:val="auto"/>
          <w:sz w:val="24"/>
          <w:szCs w:val="22"/>
          <w:lang w:bidi="ar"/>
        </w:rPr>
        <w:t>浓度均值为6.98 mg/L；NO</w:t>
      </w:r>
      <w:r>
        <w:rPr>
          <w:rFonts w:ascii="Times New Roman" w:hAnsi="Times New Roman" w:eastAsia="宋体"/>
          <w:color w:val="auto"/>
          <w:sz w:val="24"/>
          <w:szCs w:val="22"/>
          <w:vertAlign w:val="subscript"/>
          <w:lang w:bidi="ar"/>
        </w:rPr>
        <w:t>2</w:t>
      </w:r>
      <w:r>
        <w:rPr>
          <w:rFonts w:ascii="Times New Roman" w:hAnsi="Times New Roman" w:eastAsia="宋体"/>
          <w:color w:val="auto"/>
          <w:sz w:val="24"/>
          <w:szCs w:val="22"/>
          <w:vertAlign w:val="superscript"/>
          <w:lang w:bidi="ar"/>
        </w:rPr>
        <w:t>-</w:t>
      </w:r>
      <w:r>
        <w:rPr>
          <w:rFonts w:ascii="Times New Roman" w:hAnsi="Times New Roman" w:eastAsia="宋体"/>
          <w:color w:val="auto"/>
          <w:sz w:val="24"/>
          <w:szCs w:val="22"/>
          <w:lang w:bidi="ar"/>
        </w:rPr>
        <w:t>-N浓度均值为0.05 mg/L。</w:t>
      </w:r>
    </w:p>
    <w:p w14:paraId="76DA41F1">
      <w:pPr>
        <w:widowControl/>
        <w:spacing w:line="360" w:lineRule="auto"/>
        <w:ind w:firstLine="480" w:firstLineChars="200"/>
        <w:rPr>
          <w:rFonts w:ascii="Times New Roman" w:hAnsi="Times New Roman" w:eastAsia="宋体"/>
          <w:b/>
          <w:color w:val="auto"/>
          <w:sz w:val="24"/>
          <w:szCs w:val="22"/>
          <w:lang w:bidi="ar"/>
        </w:rPr>
      </w:pPr>
      <w:r>
        <w:rPr>
          <w:rFonts w:ascii="Times New Roman" w:hAnsi="Times New Roman" w:eastAsia="宋体"/>
          <w:b/>
          <w:bCs/>
          <w:color w:val="auto"/>
          <w:sz w:val="24"/>
          <w:szCs w:val="22"/>
        </w:rPr>
        <w:t>(2)</w:t>
      </w:r>
      <w:r>
        <w:rPr>
          <w:rFonts w:ascii="Times New Roman" w:hAnsi="Times New Roman" w:eastAsia="宋体"/>
          <w:b/>
          <w:color w:val="auto"/>
          <w:sz w:val="24"/>
          <w:szCs w:val="22"/>
          <w:lang w:bidi="ar"/>
        </w:rPr>
        <w:t>索饵期</w:t>
      </w:r>
    </w:p>
    <w:p w14:paraId="3876DC21">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lang w:bidi="ar"/>
        </w:rPr>
        <w:t>水温均值为28.87℃；DO均值为6.90 mg/L；Tur均值为25.88 NTU；SD均值为45.00 cm；水深均值为5.12 m；pH均值为7.90。</w:t>
      </w:r>
    </w:p>
    <w:p w14:paraId="499B9680">
      <w:pPr>
        <w:widowControl/>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2"/>
          <w:lang w:bidi="ar"/>
        </w:rPr>
        <w:t>TN浓度均值为1.79 mg/L；TDN浓度均值为1.67 mg/L；TP浓度均值为0.13 mg/L；TDP浓度均值为0.08 mg/L；PO</w:t>
      </w:r>
      <w:r>
        <w:rPr>
          <w:rFonts w:ascii="Times New Roman" w:hAnsi="Times New Roman" w:eastAsia="宋体"/>
          <w:color w:val="auto"/>
          <w:sz w:val="24"/>
          <w:szCs w:val="22"/>
          <w:vertAlign w:val="subscript"/>
          <w:lang w:bidi="ar"/>
        </w:rPr>
        <w:t>4</w:t>
      </w:r>
      <w:r>
        <w:rPr>
          <w:rFonts w:ascii="Times New Roman" w:hAnsi="Times New Roman" w:eastAsia="宋体"/>
          <w:color w:val="auto"/>
          <w:sz w:val="24"/>
          <w:szCs w:val="22"/>
          <w:vertAlign w:val="superscript"/>
          <w:lang w:bidi="ar"/>
        </w:rPr>
        <w:t>3-</w:t>
      </w:r>
      <w:r>
        <w:rPr>
          <w:rFonts w:ascii="Times New Roman" w:hAnsi="Times New Roman" w:eastAsia="宋体"/>
          <w:color w:val="auto"/>
          <w:sz w:val="24"/>
          <w:szCs w:val="22"/>
          <w:lang w:bidi="ar"/>
        </w:rPr>
        <w:t>-P浓度均值为0.03 mg/L；NH</w:t>
      </w:r>
      <w:r>
        <w:rPr>
          <w:rFonts w:ascii="Times New Roman" w:hAnsi="Times New Roman" w:eastAsia="宋体"/>
          <w:color w:val="auto"/>
          <w:sz w:val="24"/>
          <w:szCs w:val="22"/>
          <w:vertAlign w:val="subscript"/>
          <w:lang w:bidi="ar"/>
        </w:rPr>
        <w:t>4</w:t>
      </w:r>
      <w:r>
        <w:rPr>
          <w:rFonts w:ascii="Times New Roman" w:hAnsi="Times New Roman" w:eastAsia="宋体"/>
          <w:color w:val="auto"/>
          <w:sz w:val="24"/>
          <w:szCs w:val="22"/>
          <w:vertAlign w:val="superscript"/>
          <w:lang w:bidi="ar"/>
        </w:rPr>
        <w:t>+</w:t>
      </w:r>
      <w:r>
        <w:rPr>
          <w:rFonts w:ascii="Times New Roman" w:hAnsi="Times New Roman" w:eastAsia="宋体"/>
          <w:color w:val="auto"/>
          <w:sz w:val="24"/>
          <w:szCs w:val="22"/>
          <w:lang w:bidi="ar"/>
        </w:rPr>
        <w:t>-N浓度均值为0.23 mg/L；Chl-</w:t>
      </w:r>
      <w:r>
        <w:rPr>
          <w:rFonts w:ascii="Times New Roman" w:hAnsi="Times New Roman" w:eastAsia="宋体"/>
          <w:i/>
          <w:color w:val="auto"/>
          <w:sz w:val="24"/>
          <w:szCs w:val="22"/>
          <w:lang w:bidi="ar"/>
        </w:rPr>
        <w:t>a</w:t>
      </w:r>
      <w:r>
        <w:rPr>
          <w:rFonts w:ascii="Times New Roman" w:hAnsi="Times New Roman" w:eastAsia="宋体"/>
          <w:color w:val="auto"/>
          <w:sz w:val="24"/>
          <w:szCs w:val="22"/>
          <w:lang w:bidi="ar"/>
        </w:rPr>
        <w:t>浓度均值为6.91 μg/L；COD</w:t>
      </w:r>
      <w:r>
        <w:rPr>
          <w:rFonts w:ascii="Times New Roman" w:hAnsi="Times New Roman" w:eastAsia="宋体"/>
          <w:color w:val="auto"/>
          <w:sz w:val="24"/>
          <w:szCs w:val="22"/>
          <w:vertAlign w:val="subscript"/>
          <w:lang w:bidi="ar"/>
        </w:rPr>
        <w:t>Mn</w:t>
      </w:r>
      <w:r>
        <w:rPr>
          <w:rFonts w:ascii="Times New Roman" w:hAnsi="Times New Roman" w:eastAsia="宋体"/>
          <w:color w:val="auto"/>
          <w:sz w:val="24"/>
          <w:szCs w:val="22"/>
          <w:lang w:bidi="ar"/>
        </w:rPr>
        <w:t>浓度均值为4.20 mg/L；NO</w:t>
      </w:r>
      <w:r>
        <w:rPr>
          <w:rFonts w:ascii="Times New Roman" w:hAnsi="Times New Roman" w:eastAsia="宋体"/>
          <w:color w:val="auto"/>
          <w:sz w:val="24"/>
          <w:szCs w:val="22"/>
          <w:vertAlign w:val="subscript"/>
          <w:lang w:bidi="ar"/>
        </w:rPr>
        <w:t>2</w:t>
      </w:r>
      <w:r>
        <w:rPr>
          <w:rFonts w:ascii="Times New Roman" w:hAnsi="Times New Roman" w:eastAsia="宋体"/>
          <w:color w:val="auto"/>
          <w:sz w:val="24"/>
          <w:szCs w:val="22"/>
          <w:vertAlign w:val="superscript"/>
          <w:lang w:bidi="ar"/>
        </w:rPr>
        <w:t>-</w:t>
      </w:r>
      <w:r>
        <w:rPr>
          <w:rFonts w:ascii="Times New Roman" w:hAnsi="Times New Roman" w:eastAsia="宋体"/>
          <w:color w:val="auto"/>
          <w:sz w:val="24"/>
          <w:szCs w:val="22"/>
          <w:lang w:bidi="ar"/>
        </w:rPr>
        <w:t>-N浓度均值为0.01 mg/L。</w:t>
      </w:r>
    </w:p>
    <w:p w14:paraId="339051EC">
      <w:pPr>
        <w:spacing w:line="400" w:lineRule="exact"/>
        <w:jc w:val="center"/>
        <w:rPr>
          <w:rFonts w:ascii="Times New Roman" w:hAnsi="Times New Roman" w:eastAsia="黑体" w:cs="Times New Roman"/>
          <w:color w:val="auto"/>
          <w:sz w:val="24"/>
          <w:szCs w:val="21"/>
          <w:lang w:val="en-US" w:eastAsia="zh-CN"/>
        </w:rPr>
      </w:pPr>
      <w:r>
        <w:rPr>
          <w:rFonts w:ascii="Times New Roman" w:hAnsi="Times New Roman" w:eastAsia="黑体" w:cs="Times New Roman"/>
          <w:color w:val="auto"/>
          <w:sz w:val="24"/>
          <w:szCs w:val="21"/>
          <w:lang w:val="en-US" w:eastAsia="zh-CN"/>
        </w:rPr>
        <w:t>表4.2</w:t>
      </w:r>
      <w:r>
        <w:rPr>
          <w:rFonts w:hint="eastAsia" w:ascii="Times New Roman" w:hAnsi="Times New Roman" w:eastAsia="黑体" w:cs="Times New Roman"/>
          <w:color w:val="auto"/>
          <w:sz w:val="24"/>
          <w:szCs w:val="21"/>
          <w:lang w:val="en-US" w:eastAsia="zh-CN"/>
        </w:rPr>
        <w:t>-31</w:t>
      </w:r>
      <w:r>
        <w:rPr>
          <w:rFonts w:ascii="Times New Roman" w:hAnsi="Times New Roman" w:eastAsia="黑体" w:cs="Times New Roman"/>
          <w:color w:val="auto"/>
          <w:sz w:val="24"/>
          <w:szCs w:val="21"/>
          <w:lang w:val="en-US" w:eastAsia="zh-CN"/>
        </w:rPr>
        <w:t xml:space="preserve">  2023年度保护区调查水域水体理化指标与《渔业水质标准》、《地表水环境质量标准》比较</w:t>
      </w:r>
    </w:p>
    <w:tbl>
      <w:tblPr>
        <w:tblStyle w:val="53"/>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73"/>
        <w:gridCol w:w="847"/>
        <w:gridCol w:w="1295"/>
        <w:gridCol w:w="2301"/>
        <w:gridCol w:w="830"/>
        <w:gridCol w:w="1564"/>
        <w:gridCol w:w="1473"/>
      </w:tblGrid>
      <w:tr w14:paraId="1C9A088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698" w:hRule="atLeast"/>
        </w:trPr>
        <w:tc>
          <w:tcPr>
            <w:tcW w:w="524" w:type="pct"/>
            <w:vMerge w:val="restart"/>
            <w:tcBorders>
              <w:tl2br w:val="nil"/>
              <w:tr2bl w:val="nil"/>
            </w:tcBorders>
            <w:noWrap w:val="0"/>
            <w:vAlign w:val="center"/>
          </w:tcPr>
          <w:p w14:paraId="14753C2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rPr>
              <w:t>指标</w:t>
            </w:r>
          </w:p>
        </w:tc>
        <w:tc>
          <w:tcPr>
            <w:tcW w:w="456" w:type="pct"/>
            <w:vMerge w:val="restart"/>
            <w:tcBorders>
              <w:tl2br w:val="nil"/>
              <w:tr2bl w:val="nil"/>
            </w:tcBorders>
            <w:noWrap w:val="0"/>
            <w:vAlign w:val="center"/>
          </w:tcPr>
          <w:p w14:paraId="1147E90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rPr>
              <w:t>单位</w:t>
            </w:r>
          </w:p>
        </w:tc>
        <w:tc>
          <w:tcPr>
            <w:tcW w:w="697" w:type="pct"/>
            <w:vMerge w:val="restart"/>
            <w:tcBorders>
              <w:tl2br w:val="nil"/>
              <w:tr2bl w:val="nil"/>
            </w:tcBorders>
            <w:noWrap w:val="0"/>
            <w:vAlign w:val="center"/>
          </w:tcPr>
          <w:p w14:paraId="668211F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rPr>
              <w:t>变幅</w:t>
            </w:r>
          </w:p>
        </w:tc>
        <w:tc>
          <w:tcPr>
            <w:tcW w:w="1686" w:type="pct"/>
            <w:gridSpan w:val="2"/>
            <w:tcBorders>
              <w:tl2br w:val="nil"/>
              <w:tr2bl w:val="nil"/>
            </w:tcBorders>
            <w:noWrap w:val="0"/>
            <w:vAlign w:val="center"/>
          </w:tcPr>
          <w:p w14:paraId="24E515C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rPr>
              <w:t>《渔业水质标准》</w:t>
            </w:r>
          </w:p>
        </w:tc>
        <w:tc>
          <w:tcPr>
            <w:tcW w:w="1635" w:type="pct"/>
            <w:gridSpan w:val="2"/>
            <w:tcBorders>
              <w:tl2br w:val="nil"/>
              <w:tr2bl w:val="nil"/>
            </w:tcBorders>
            <w:noWrap w:val="0"/>
            <w:vAlign w:val="center"/>
          </w:tcPr>
          <w:p w14:paraId="3ABFD30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pacing w:val="20"/>
                <w:sz w:val="21"/>
                <w:szCs w:val="21"/>
              </w:rPr>
            </w:pPr>
            <w:r>
              <w:rPr>
                <w:rFonts w:hint="default" w:ascii="Times New Roman" w:hAnsi="Times New Roman" w:eastAsia="宋体"/>
                <w:b/>
                <w:bCs/>
                <w:color w:val="auto"/>
                <w:spacing w:val="20"/>
                <w:sz w:val="21"/>
                <w:szCs w:val="21"/>
              </w:rPr>
              <w:t>《地表水环境质量</w:t>
            </w:r>
          </w:p>
          <w:p w14:paraId="653EF6E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pacing w:val="20"/>
                <w:sz w:val="21"/>
                <w:szCs w:val="21"/>
              </w:rPr>
              <w:t>标准》(</w:t>
            </w:r>
            <w:r>
              <w:rPr>
                <w:rFonts w:hint="default" w:ascii="Times New Roman" w:hAnsi="Times New Roman" w:eastAsia="宋体"/>
                <w:b/>
                <w:bCs/>
                <w:color w:val="auto"/>
                <w:sz w:val="21"/>
                <w:szCs w:val="21"/>
              </w:rPr>
              <w:t>II类</w:t>
            </w:r>
            <w:r>
              <w:rPr>
                <w:rFonts w:hint="default" w:ascii="Times New Roman" w:hAnsi="Times New Roman" w:eastAsia="宋体"/>
                <w:b/>
                <w:bCs/>
                <w:color w:val="auto"/>
                <w:spacing w:val="20"/>
                <w:sz w:val="21"/>
                <w:szCs w:val="21"/>
              </w:rPr>
              <w:t>)</w:t>
            </w:r>
          </w:p>
        </w:tc>
      </w:tr>
      <w:tr w14:paraId="529ABB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24" w:type="pct"/>
            <w:vMerge w:val="continue"/>
            <w:tcBorders>
              <w:tl2br w:val="nil"/>
              <w:tr2bl w:val="nil"/>
            </w:tcBorders>
            <w:noWrap w:val="0"/>
            <w:vAlign w:val="center"/>
          </w:tcPr>
          <w:p w14:paraId="1712D1A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p>
        </w:tc>
        <w:tc>
          <w:tcPr>
            <w:tcW w:w="456" w:type="pct"/>
            <w:vMerge w:val="continue"/>
            <w:tcBorders>
              <w:tl2br w:val="nil"/>
              <w:tr2bl w:val="nil"/>
            </w:tcBorders>
            <w:noWrap w:val="0"/>
            <w:vAlign w:val="center"/>
          </w:tcPr>
          <w:p w14:paraId="0724A10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p>
        </w:tc>
        <w:tc>
          <w:tcPr>
            <w:tcW w:w="697" w:type="pct"/>
            <w:vMerge w:val="continue"/>
            <w:tcBorders>
              <w:tl2br w:val="nil"/>
              <w:tr2bl w:val="nil"/>
            </w:tcBorders>
            <w:noWrap w:val="0"/>
            <w:vAlign w:val="center"/>
          </w:tcPr>
          <w:p w14:paraId="7924A7F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p>
        </w:tc>
        <w:tc>
          <w:tcPr>
            <w:tcW w:w="1239" w:type="pct"/>
            <w:tcBorders>
              <w:tl2br w:val="nil"/>
              <w:tr2bl w:val="nil"/>
            </w:tcBorders>
            <w:noWrap w:val="0"/>
            <w:vAlign w:val="center"/>
          </w:tcPr>
          <w:p w14:paraId="14CBBCE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rPr>
              <w:t>标准限值</w:t>
            </w:r>
          </w:p>
        </w:tc>
        <w:tc>
          <w:tcPr>
            <w:tcW w:w="447" w:type="pct"/>
            <w:tcBorders>
              <w:tl2br w:val="nil"/>
              <w:tr2bl w:val="nil"/>
            </w:tcBorders>
            <w:noWrap w:val="0"/>
            <w:vAlign w:val="center"/>
          </w:tcPr>
          <w:p w14:paraId="5C48B33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rPr>
              <w:t>是否达标</w:t>
            </w:r>
          </w:p>
        </w:tc>
        <w:tc>
          <w:tcPr>
            <w:tcW w:w="842" w:type="pct"/>
            <w:tcBorders>
              <w:tl2br w:val="nil"/>
              <w:tr2bl w:val="nil"/>
            </w:tcBorders>
            <w:noWrap w:val="0"/>
            <w:vAlign w:val="center"/>
          </w:tcPr>
          <w:p w14:paraId="00B0CB0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rPr>
              <w:t>标准限值</w:t>
            </w:r>
          </w:p>
        </w:tc>
        <w:tc>
          <w:tcPr>
            <w:tcW w:w="792" w:type="pct"/>
            <w:tcBorders>
              <w:tl2br w:val="nil"/>
              <w:tr2bl w:val="nil"/>
            </w:tcBorders>
            <w:noWrap w:val="0"/>
            <w:vAlign w:val="center"/>
          </w:tcPr>
          <w:p w14:paraId="5C1064A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rPr>
              <w:t>是否达标</w:t>
            </w:r>
          </w:p>
        </w:tc>
      </w:tr>
      <w:tr w14:paraId="7BC550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24" w:type="pct"/>
            <w:tcBorders>
              <w:tl2br w:val="nil"/>
              <w:tr2bl w:val="nil"/>
            </w:tcBorders>
            <w:noWrap w:val="0"/>
            <w:vAlign w:val="center"/>
          </w:tcPr>
          <w:p w14:paraId="0D1AFE1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DO</w:t>
            </w:r>
          </w:p>
        </w:tc>
        <w:tc>
          <w:tcPr>
            <w:tcW w:w="456" w:type="pct"/>
            <w:tcBorders>
              <w:tl2br w:val="nil"/>
              <w:tr2bl w:val="nil"/>
            </w:tcBorders>
            <w:noWrap w:val="0"/>
            <w:vAlign w:val="center"/>
          </w:tcPr>
          <w:p w14:paraId="683C811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mg/L</w:t>
            </w:r>
          </w:p>
        </w:tc>
        <w:tc>
          <w:tcPr>
            <w:tcW w:w="697" w:type="pct"/>
            <w:tcBorders>
              <w:tl2br w:val="nil"/>
              <w:tr2bl w:val="nil"/>
            </w:tcBorders>
            <w:noWrap w:val="0"/>
            <w:vAlign w:val="center"/>
          </w:tcPr>
          <w:p w14:paraId="1AE8490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6.70-20.14</w:t>
            </w:r>
          </w:p>
        </w:tc>
        <w:tc>
          <w:tcPr>
            <w:tcW w:w="1239" w:type="pct"/>
            <w:tcBorders>
              <w:tl2br w:val="nil"/>
              <w:tr2bl w:val="nil"/>
            </w:tcBorders>
            <w:noWrap w:val="0"/>
            <w:vAlign w:val="center"/>
          </w:tcPr>
          <w:p w14:paraId="229424F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连续24 h中，16 h以上必须大于5，其余任何时候不得低于4</w:t>
            </w:r>
          </w:p>
        </w:tc>
        <w:tc>
          <w:tcPr>
            <w:tcW w:w="447" w:type="pct"/>
            <w:tcBorders>
              <w:tl2br w:val="nil"/>
              <w:tr2bl w:val="nil"/>
            </w:tcBorders>
            <w:noWrap w:val="0"/>
            <w:vAlign w:val="center"/>
          </w:tcPr>
          <w:p w14:paraId="597C3C9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是</w:t>
            </w:r>
          </w:p>
        </w:tc>
        <w:tc>
          <w:tcPr>
            <w:tcW w:w="842" w:type="pct"/>
            <w:tcBorders>
              <w:tl2br w:val="nil"/>
              <w:tr2bl w:val="nil"/>
            </w:tcBorders>
            <w:noWrap w:val="0"/>
            <w:vAlign w:val="center"/>
          </w:tcPr>
          <w:p w14:paraId="6D4B772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≥6</w:t>
            </w:r>
          </w:p>
        </w:tc>
        <w:tc>
          <w:tcPr>
            <w:tcW w:w="792" w:type="pct"/>
            <w:tcBorders>
              <w:tl2br w:val="nil"/>
              <w:tr2bl w:val="nil"/>
            </w:tcBorders>
            <w:noWrap w:val="0"/>
            <w:vAlign w:val="center"/>
          </w:tcPr>
          <w:p w14:paraId="116C6BB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是</w:t>
            </w:r>
          </w:p>
        </w:tc>
      </w:tr>
      <w:tr w14:paraId="5C4F82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24" w:type="pct"/>
            <w:tcBorders>
              <w:tl2br w:val="nil"/>
              <w:tr2bl w:val="nil"/>
            </w:tcBorders>
            <w:noWrap w:val="0"/>
            <w:vAlign w:val="center"/>
          </w:tcPr>
          <w:p w14:paraId="4DBFDAB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pH</w:t>
            </w:r>
          </w:p>
        </w:tc>
        <w:tc>
          <w:tcPr>
            <w:tcW w:w="456" w:type="pct"/>
            <w:tcBorders>
              <w:tl2br w:val="nil"/>
              <w:tr2bl w:val="nil"/>
            </w:tcBorders>
            <w:noWrap w:val="0"/>
            <w:vAlign w:val="center"/>
          </w:tcPr>
          <w:p w14:paraId="2E9B293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p>
        </w:tc>
        <w:tc>
          <w:tcPr>
            <w:tcW w:w="697" w:type="pct"/>
            <w:tcBorders>
              <w:tl2br w:val="nil"/>
              <w:tr2bl w:val="nil"/>
            </w:tcBorders>
            <w:noWrap w:val="0"/>
            <w:vAlign w:val="center"/>
          </w:tcPr>
          <w:p w14:paraId="2F12C6D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7.88-8.99</w:t>
            </w:r>
          </w:p>
        </w:tc>
        <w:tc>
          <w:tcPr>
            <w:tcW w:w="1239" w:type="pct"/>
            <w:tcBorders>
              <w:tl2br w:val="nil"/>
              <w:tr2bl w:val="nil"/>
            </w:tcBorders>
            <w:noWrap w:val="0"/>
            <w:vAlign w:val="center"/>
          </w:tcPr>
          <w:p w14:paraId="4BAEE3E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淡水6.5-8.5，海水7.0-8.5</w:t>
            </w:r>
          </w:p>
        </w:tc>
        <w:tc>
          <w:tcPr>
            <w:tcW w:w="447" w:type="pct"/>
            <w:tcBorders>
              <w:tl2br w:val="nil"/>
              <w:tr2bl w:val="nil"/>
            </w:tcBorders>
            <w:noWrap w:val="0"/>
            <w:vAlign w:val="center"/>
          </w:tcPr>
          <w:p w14:paraId="1440B00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否</w:t>
            </w:r>
          </w:p>
        </w:tc>
        <w:tc>
          <w:tcPr>
            <w:tcW w:w="842" w:type="pct"/>
            <w:tcBorders>
              <w:tl2br w:val="nil"/>
              <w:tr2bl w:val="nil"/>
            </w:tcBorders>
            <w:noWrap w:val="0"/>
            <w:vAlign w:val="center"/>
          </w:tcPr>
          <w:p w14:paraId="59045A3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6-9</w:t>
            </w:r>
          </w:p>
        </w:tc>
        <w:tc>
          <w:tcPr>
            <w:tcW w:w="792" w:type="pct"/>
            <w:tcBorders>
              <w:tl2br w:val="nil"/>
              <w:tr2bl w:val="nil"/>
            </w:tcBorders>
            <w:noWrap w:val="0"/>
            <w:vAlign w:val="center"/>
          </w:tcPr>
          <w:p w14:paraId="4245089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是</w:t>
            </w:r>
          </w:p>
        </w:tc>
      </w:tr>
      <w:tr w14:paraId="62D29E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trPr>
        <w:tc>
          <w:tcPr>
            <w:tcW w:w="524" w:type="pct"/>
            <w:tcBorders>
              <w:tl2br w:val="nil"/>
              <w:tr2bl w:val="nil"/>
            </w:tcBorders>
            <w:noWrap w:val="0"/>
            <w:vAlign w:val="center"/>
          </w:tcPr>
          <w:p w14:paraId="53098C5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bCs/>
                <w:color w:val="auto"/>
                <w:kern w:val="0"/>
                <w:sz w:val="21"/>
                <w:szCs w:val="21"/>
                <w:lang w:bidi="ar"/>
              </w:rPr>
              <w:t>TN</w:t>
            </w:r>
          </w:p>
        </w:tc>
        <w:tc>
          <w:tcPr>
            <w:tcW w:w="456" w:type="pct"/>
            <w:tcBorders>
              <w:tl2br w:val="nil"/>
              <w:tr2bl w:val="nil"/>
            </w:tcBorders>
            <w:noWrap w:val="0"/>
            <w:vAlign w:val="center"/>
          </w:tcPr>
          <w:p w14:paraId="43B26EB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mg/L</w:t>
            </w:r>
          </w:p>
        </w:tc>
        <w:tc>
          <w:tcPr>
            <w:tcW w:w="697" w:type="pct"/>
            <w:tcBorders>
              <w:tl2br w:val="nil"/>
              <w:tr2bl w:val="nil"/>
            </w:tcBorders>
            <w:noWrap w:val="0"/>
            <w:vAlign w:val="center"/>
          </w:tcPr>
          <w:p w14:paraId="727DBE1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1.62-3.19</w:t>
            </w:r>
          </w:p>
        </w:tc>
        <w:tc>
          <w:tcPr>
            <w:tcW w:w="1239" w:type="pct"/>
            <w:tcBorders>
              <w:tl2br w:val="nil"/>
              <w:tr2bl w:val="nil"/>
            </w:tcBorders>
            <w:noWrap w:val="0"/>
            <w:vAlign w:val="center"/>
          </w:tcPr>
          <w:p w14:paraId="56DBFB6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p>
        </w:tc>
        <w:tc>
          <w:tcPr>
            <w:tcW w:w="447" w:type="pct"/>
            <w:tcBorders>
              <w:tl2br w:val="nil"/>
              <w:tr2bl w:val="nil"/>
            </w:tcBorders>
            <w:noWrap w:val="0"/>
            <w:vAlign w:val="center"/>
          </w:tcPr>
          <w:p w14:paraId="78D945E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p>
        </w:tc>
        <w:tc>
          <w:tcPr>
            <w:tcW w:w="842" w:type="pct"/>
            <w:tcBorders>
              <w:tl2br w:val="nil"/>
              <w:tr2bl w:val="nil"/>
            </w:tcBorders>
            <w:noWrap w:val="0"/>
            <w:vAlign w:val="center"/>
          </w:tcPr>
          <w:p w14:paraId="2E4A9E4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≤0.5</w:t>
            </w:r>
          </w:p>
        </w:tc>
        <w:tc>
          <w:tcPr>
            <w:tcW w:w="792" w:type="pct"/>
            <w:tcBorders>
              <w:tl2br w:val="nil"/>
              <w:tr2bl w:val="nil"/>
            </w:tcBorders>
            <w:noWrap w:val="0"/>
            <w:vAlign w:val="center"/>
          </w:tcPr>
          <w:p w14:paraId="6482FDF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否</w:t>
            </w:r>
          </w:p>
        </w:tc>
      </w:tr>
      <w:tr w14:paraId="20451E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24" w:type="pct"/>
            <w:tcBorders>
              <w:tl2br w:val="nil"/>
              <w:tr2bl w:val="nil"/>
            </w:tcBorders>
            <w:noWrap w:val="0"/>
            <w:vAlign w:val="center"/>
          </w:tcPr>
          <w:p w14:paraId="3CD13C6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bCs/>
                <w:color w:val="auto"/>
                <w:kern w:val="0"/>
                <w:sz w:val="21"/>
                <w:szCs w:val="21"/>
                <w:lang w:bidi="ar"/>
              </w:rPr>
              <w:t>TP</w:t>
            </w:r>
          </w:p>
        </w:tc>
        <w:tc>
          <w:tcPr>
            <w:tcW w:w="456" w:type="pct"/>
            <w:tcBorders>
              <w:tl2br w:val="nil"/>
              <w:tr2bl w:val="nil"/>
            </w:tcBorders>
            <w:noWrap w:val="0"/>
            <w:vAlign w:val="center"/>
          </w:tcPr>
          <w:p w14:paraId="7BB307B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bCs/>
                <w:color w:val="auto"/>
                <w:kern w:val="0"/>
                <w:sz w:val="21"/>
                <w:szCs w:val="21"/>
                <w:lang w:bidi="ar"/>
              </w:rPr>
              <w:t>mg/L</w:t>
            </w:r>
          </w:p>
        </w:tc>
        <w:tc>
          <w:tcPr>
            <w:tcW w:w="697" w:type="pct"/>
            <w:tcBorders>
              <w:tl2br w:val="nil"/>
              <w:tr2bl w:val="nil"/>
            </w:tcBorders>
            <w:noWrap w:val="0"/>
            <w:vAlign w:val="center"/>
          </w:tcPr>
          <w:p w14:paraId="703CB68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0.05-0.19</w:t>
            </w:r>
          </w:p>
        </w:tc>
        <w:tc>
          <w:tcPr>
            <w:tcW w:w="1239" w:type="pct"/>
            <w:tcBorders>
              <w:tl2br w:val="nil"/>
              <w:tr2bl w:val="nil"/>
            </w:tcBorders>
            <w:noWrap w:val="0"/>
            <w:vAlign w:val="center"/>
          </w:tcPr>
          <w:p w14:paraId="4E136BE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p>
        </w:tc>
        <w:tc>
          <w:tcPr>
            <w:tcW w:w="447" w:type="pct"/>
            <w:tcBorders>
              <w:tl2br w:val="nil"/>
              <w:tr2bl w:val="nil"/>
            </w:tcBorders>
            <w:noWrap w:val="0"/>
            <w:vAlign w:val="center"/>
          </w:tcPr>
          <w:p w14:paraId="65B0D5D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p>
        </w:tc>
        <w:tc>
          <w:tcPr>
            <w:tcW w:w="842" w:type="pct"/>
            <w:tcBorders>
              <w:tl2br w:val="nil"/>
              <w:tr2bl w:val="nil"/>
            </w:tcBorders>
            <w:noWrap w:val="0"/>
            <w:vAlign w:val="center"/>
          </w:tcPr>
          <w:p w14:paraId="456B5520">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bCs/>
                <w:color w:val="auto"/>
                <w:kern w:val="0"/>
                <w:sz w:val="21"/>
                <w:szCs w:val="21"/>
                <w:lang w:bidi="ar"/>
              </w:rPr>
            </w:pPr>
            <w:r>
              <w:rPr>
                <w:rFonts w:hint="default" w:ascii="Times New Roman" w:hAnsi="Times New Roman" w:eastAsia="宋体"/>
                <w:bCs/>
                <w:color w:val="auto"/>
                <w:kern w:val="0"/>
                <w:sz w:val="21"/>
                <w:szCs w:val="21"/>
                <w:lang w:bidi="ar"/>
              </w:rPr>
              <w:t>≤0.1</w:t>
            </w:r>
          </w:p>
          <w:p w14:paraId="2D792BE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bCs/>
                <w:color w:val="auto"/>
                <w:kern w:val="0"/>
                <w:sz w:val="21"/>
                <w:szCs w:val="21"/>
                <w:lang w:bidi="ar"/>
              </w:rPr>
              <w:t>(湖、库0.025)</w:t>
            </w:r>
          </w:p>
        </w:tc>
        <w:tc>
          <w:tcPr>
            <w:tcW w:w="792" w:type="pct"/>
            <w:tcBorders>
              <w:tl2br w:val="nil"/>
              <w:tr2bl w:val="nil"/>
            </w:tcBorders>
            <w:noWrap w:val="0"/>
            <w:vAlign w:val="center"/>
          </w:tcPr>
          <w:p w14:paraId="5FEADFE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否</w:t>
            </w:r>
          </w:p>
        </w:tc>
      </w:tr>
      <w:tr w14:paraId="0ECC85B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24" w:type="pct"/>
            <w:tcBorders>
              <w:tl2br w:val="nil"/>
              <w:tr2bl w:val="nil"/>
            </w:tcBorders>
            <w:noWrap w:val="0"/>
            <w:vAlign w:val="center"/>
          </w:tcPr>
          <w:p w14:paraId="05B9FDC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bCs/>
                <w:color w:val="auto"/>
                <w:kern w:val="0"/>
                <w:sz w:val="21"/>
                <w:szCs w:val="21"/>
                <w:lang w:bidi="ar"/>
              </w:rPr>
              <w:t>COD</w:t>
            </w:r>
            <w:r>
              <w:rPr>
                <w:rFonts w:hint="default" w:ascii="Times New Roman" w:hAnsi="Times New Roman" w:eastAsia="宋体"/>
                <w:bCs/>
                <w:color w:val="auto"/>
                <w:kern w:val="0"/>
                <w:sz w:val="21"/>
                <w:szCs w:val="21"/>
                <w:vertAlign w:val="subscript"/>
                <w:lang w:bidi="ar"/>
              </w:rPr>
              <w:t>Mn</w:t>
            </w:r>
          </w:p>
        </w:tc>
        <w:tc>
          <w:tcPr>
            <w:tcW w:w="456" w:type="pct"/>
            <w:tcBorders>
              <w:tl2br w:val="nil"/>
              <w:tr2bl w:val="nil"/>
            </w:tcBorders>
            <w:noWrap w:val="0"/>
            <w:vAlign w:val="center"/>
          </w:tcPr>
          <w:p w14:paraId="7DD85DD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bCs/>
                <w:color w:val="auto"/>
                <w:kern w:val="0"/>
                <w:sz w:val="21"/>
                <w:szCs w:val="21"/>
                <w:lang w:bidi="ar"/>
              </w:rPr>
              <w:t>mg/L</w:t>
            </w:r>
          </w:p>
        </w:tc>
        <w:tc>
          <w:tcPr>
            <w:tcW w:w="697" w:type="pct"/>
            <w:tcBorders>
              <w:tl2br w:val="nil"/>
              <w:tr2bl w:val="nil"/>
            </w:tcBorders>
            <w:noWrap w:val="0"/>
            <w:vAlign w:val="center"/>
          </w:tcPr>
          <w:p w14:paraId="7B5846F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3.75-9.23</w:t>
            </w:r>
          </w:p>
        </w:tc>
        <w:tc>
          <w:tcPr>
            <w:tcW w:w="1239" w:type="pct"/>
            <w:tcBorders>
              <w:tl2br w:val="nil"/>
              <w:tr2bl w:val="nil"/>
            </w:tcBorders>
            <w:noWrap w:val="0"/>
            <w:vAlign w:val="center"/>
          </w:tcPr>
          <w:p w14:paraId="61A9069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p>
        </w:tc>
        <w:tc>
          <w:tcPr>
            <w:tcW w:w="447" w:type="pct"/>
            <w:tcBorders>
              <w:tl2br w:val="nil"/>
              <w:tr2bl w:val="nil"/>
            </w:tcBorders>
            <w:noWrap w:val="0"/>
            <w:vAlign w:val="center"/>
          </w:tcPr>
          <w:p w14:paraId="177C552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p>
        </w:tc>
        <w:tc>
          <w:tcPr>
            <w:tcW w:w="842" w:type="pct"/>
            <w:tcBorders>
              <w:tl2br w:val="nil"/>
              <w:tr2bl w:val="nil"/>
            </w:tcBorders>
            <w:noWrap w:val="0"/>
            <w:vAlign w:val="center"/>
          </w:tcPr>
          <w:p w14:paraId="2D1456C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≤4</w:t>
            </w:r>
          </w:p>
        </w:tc>
        <w:tc>
          <w:tcPr>
            <w:tcW w:w="792" w:type="pct"/>
            <w:tcBorders>
              <w:tl2br w:val="nil"/>
              <w:tr2bl w:val="nil"/>
            </w:tcBorders>
            <w:noWrap w:val="0"/>
            <w:vAlign w:val="center"/>
          </w:tcPr>
          <w:p w14:paraId="51F4A34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否</w:t>
            </w:r>
          </w:p>
        </w:tc>
      </w:tr>
      <w:tr w14:paraId="20720BE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24" w:type="pct"/>
            <w:tcBorders>
              <w:tl2br w:val="nil"/>
              <w:tr2bl w:val="nil"/>
            </w:tcBorders>
            <w:noWrap w:val="0"/>
            <w:vAlign w:val="center"/>
          </w:tcPr>
          <w:p w14:paraId="5635DF5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Cs/>
                <w:color w:val="auto"/>
                <w:kern w:val="0"/>
                <w:sz w:val="21"/>
                <w:szCs w:val="21"/>
                <w:lang w:bidi="ar"/>
              </w:rPr>
            </w:pPr>
            <w:r>
              <w:rPr>
                <w:rFonts w:hint="default" w:ascii="Times New Roman" w:hAnsi="Times New Roman" w:eastAsia="宋体"/>
                <w:color w:val="auto"/>
                <w:sz w:val="21"/>
                <w:szCs w:val="21"/>
              </w:rPr>
              <w:t>NH</w:t>
            </w:r>
            <w:r>
              <w:rPr>
                <w:rFonts w:hint="default" w:ascii="Times New Roman" w:hAnsi="Times New Roman" w:eastAsia="宋体"/>
                <w:color w:val="auto"/>
                <w:sz w:val="21"/>
                <w:szCs w:val="21"/>
                <w:vertAlign w:val="subscript"/>
              </w:rPr>
              <w:t>4</w:t>
            </w:r>
            <w:r>
              <w:rPr>
                <w:rFonts w:hint="default" w:ascii="Times New Roman" w:hAnsi="Times New Roman" w:eastAsia="宋体"/>
                <w:color w:val="auto"/>
                <w:sz w:val="21"/>
                <w:szCs w:val="21"/>
                <w:vertAlign w:val="superscript"/>
              </w:rPr>
              <w:t>+</w:t>
            </w:r>
            <w:r>
              <w:rPr>
                <w:rFonts w:hint="default" w:ascii="Times New Roman" w:hAnsi="Times New Roman" w:eastAsia="宋体"/>
                <w:color w:val="auto"/>
                <w:sz w:val="21"/>
                <w:szCs w:val="21"/>
              </w:rPr>
              <w:t>-N</w:t>
            </w:r>
          </w:p>
        </w:tc>
        <w:tc>
          <w:tcPr>
            <w:tcW w:w="456" w:type="pct"/>
            <w:tcBorders>
              <w:tl2br w:val="nil"/>
              <w:tr2bl w:val="nil"/>
            </w:tcBorders>
            <w:noWrap w:val="0"/>
            <w:vAlign w:val="center"/>
          </w:tcPr>
          <w:p w14:paraId="29DC0D5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bCs/>
                <w:color w:val="auto"/>
                <w:kern w:val="0"/>
                <w:sz w:val="21"/>
                <w:szCs w:val="21"/>
                <w:lang w:bidi="ar"/>
              </w:rPr>
              <w:t>mg/L</w:t>
            </w:r>
          </w:p>
        </w:tc>
        <w:tc>
          <w:tcPr>
            <w:tcW w:w="697" w:type="pct"/>
            <w:tcBorders>
              <w:tl2br w:val="nil"/>
              <w:tr2bl w:val="nil"/>
            </w:tcBorders>
            <w:noWrap w:val="0"/>
            <w:vAlign w:val="center"/>
          </w:tcPr>
          <w:p w14:paraId="12F4B4E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0.18-1.07</w:t>
            </w:r>
          </w:p>
        </w:tc>
        <w:tc>
          <w:tcPr>
            <w:tcW w:w="1239" w:type="pct"/>
            <w:tcBorders>
              <w:tl2br w:val="nil"/>
              <w:tr2bl w:val="nil"/>
            </w:tcBorders>
            <w:noWrap w:val="0"/>
            <w:vAlign w:val="center"/>
          </w:tcPr>
          <w:p w14:paraId="39AD4FC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p>
        </w:tc>
        <w:tc>
          <w:tcPr>
            <w:tcW w:w="447" w:type="pct"/>
            <w:tcBorders>
              <w:tl2br w:val="nil"/>
              <w:tr2bl w:val="nil"/>
            </w:tcBorders>
            <w:noWrap w:val="0"/>
            <w:vAlign w:val="center"/>
          </w:tcPr>
          <w:p w14:paraId="224574E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p>
        </w:tc>
        <w:tc>
          <w:tcPr>
            <w:tcW w:w="842" w:type="pct"/>
            <w:tcBorders>
              <w:tl2br w:val="nil"/>
              <w:tr2bl w:val="nil"/>
            </w:tcBorders>
            <w:noWrap w:val="0"/>
            <w:vAlign w:val="center"/>
          </w:tcPr>
          <w:p w14:paraId="3F7A1FE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≤0.5</w:t>
            </w:r>
          </w:p>
        </w:tc>
        <w:tc>
          <w:tcPr>
            <w:tcW w:w="792" w:type="pct"/>
            <w:tcBorders>
              <w:tl2br w:val="nil"/>
              <w:tr2bl w:val="nil"/>
            </w:tcBorders>
            <w:noWrap w:val="0"/>
            <w:vAlign w:val="center"/>
          </w:tcPr>
          <w:p w14:paraId="22D989A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rPr>
              <w:t>否</w:t>
            </w:r>
          </w:p>
        </w:tc>
      </w:tr>
    </w:tbl>
    <w:p w14:paraId="740564A4">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4.2.5.10.2 氮磷比</w:t>
      </w:r>
    </w:p>
    <w:p w14:paraId="37A143EC">
      <w:pPr>
        <w:adjustRightInd w:val="0"/>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rPr>
        <w:t>一般认为，当水体中TN、TP含量分别达到0.20、0.02 mg/L以上时，水体存在发生富营养化的风险，而调查水域各断面的水体TN、TP含量均高于限制值，表明N、P浓度条件适宜藻类生长。TN/TP对藻类的爆发性生长具有重要意义，是水中浮游植物营养结构特点的重要反映。当水体中N/P&lt;7，氮将限制藻类的生长，N/P在7-30为适合藻类生长范围，N/P&gt;30，P将成为藻类生长的限制因子。</w:t>
      </w:r>
    </w:p>
    <w:p w14:paraId="660E01AC">
      <w:pPr>
        <w:adjustRightInd w:val="0"/>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rPr>
        <w:t>2023年</w:t>
      </w:r>
      <w:r>
        <w:rPr>
          <w:rFonts w:hint="eastAsia" w:ascii="Times New Roman" w:hAnsi="Times New Roman" w:eastAsia="宋体"/>
          <w:color w:val="auto"/>
          <w:sz w:val="24"/>
          <w:szCs w:val="22"/>
        </w:rPr>
        <w:t>调查</w:t>
      </w:r>
      <w:r>
        <w:rPr>
          <w:rFonts w:ascii="Times New Roman" w:hAnsi="Times New Roman" w:eastAsia="宋体"/>
          <w:color w:val="auto"/>
          <w:sz w:val="24"/>
          <w:szCs w:val="22"/>
        </w:rPr>
        <w:t>结果显示，调查水域的TN/TP值范围为12.58-57.99，均值为26.63，41.67%采样点水体氮磷比值大于30，58.33%采样点水体氮磷比值处于7-30，表明调查水域58.33%水体适合藻类生长，41.67%的水体P为藻类生长的限制因子。</w:t>
      </w:r>
    </w:p>
    <w:p w14:paraId="00AC00B7">
      <w:pPr>
        <w:adjustRightInd w:val="0"/>
        <w:spacing w:line="360" w:lineRule="auto"/>
        <w:ind w:firstLine="480" w:firstLineChars="200"/>
        <w:rPr>
          <w:rFonts w:ascii="Times New Roman" w:hAnsi="Times New Roman" w:eastAsia="宋体"/>
          <w:b/>
          <w:bCs/>
          <w:color w:val="auto"/>
          <w:sz w:val="24"/>
          <w:szCs w:val="22"/>
        </w:rPr>
      </w:pPr>
      <w:r>
        <w:rPr>
          <w:rFonts w:ascii="Times New Roman" w:hAnsi="Times New Roman" w:eastAsia="宋体"/>
          <w:b/>
          <w:bCs/>
          <w:color w:val="auto"/>
          <w:sz w:val="24"/>
          <w:szCs w:val="22"/>
        </w:rPr>
        <w:t>(1)繁殖期</w:t>
      </w:r>
    </w:p>
    <w:p w14:paraId="4BA5095F">
      <w:pPr>
        <w:adjustRightInd w:val="0"/>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4"/>
          <w:lang w:bidi="ar"/>
        </w:rPr>
        <w:t>保护区</w:t>
      </w:r>
      <w:r>
        <w:rPr>
          <w:rFonts w:ascii="Times New Roman" w:hAnsi="Times New Roman" w:eastAsia="宋体"/>
          <w:color w:val="auto"/>
          <w:sz w:val="24"/>
          <w:szCs w:val="22"/>
          <w:lang w:bidi="ar"/>
        </w:rPr>
        <w:t>水体TN/TP值范围为16.99-57.99，16.67%采样点水体氮磷比值处于7-30，83.33%采样点水体氮磷比值大于30，表明繁殖期调查水域16.67%水体适合藻类生长，,83.33%的水体P为藻类生长的限制因子</w:t>
      </w:r>
      <w:r>
        <w:rPr>
          <w:rFonts w:ascii="Times New Roman" w:hAnsi="Times New Roman" w:eastAsia="宋体"/>
          <w:color w:val="auto"/>
          <w:sz w:val="22"/>
          <w:szCs w:val="21"/>
        </w:rPr>
        <w:t>。</w:t>
      </w:r>
    </w:p>
    <w:p w14:paraId="63370E3A">
      <w:pPr>
        <w:adjustRightInd w:val="0"/>
        <w:spacing w:line="360" w:lineRule="auto"/>
        <w:ind w:firstLine="480" w:firstLineChars="200"/>
        <w:rPr>
          <w:rFonts w:ascii="Times New Roman" w:hAnsi="Times New Roman" w:eastAsia="宋体"/>
          <w:b/>
          <w:bCs/>
          <w:color w:val="auto"/>
          <w:sz w:val="24"/>
          <w:szCs w:val="22"/>
        </w:rPr>
      </w:pPr>
      <w:r>
        <w:rPr>
          <w:rFonts w:ascii="Times New Roman" w:hAnsi="Times New Roman" w:eastAsia="宋体"/>
          <w:b/>
          <w:bCs/>
          <w:color w:val="auto"/>
          <w:sz w:val="24"/>
          <w:szCs w:val="22"/>
        </w:rPr>
        <w:t>(2)索饵期</w:t>
      </w:r>
    </w:p>
    <w:p w14:paraId="7AAEC851">
      <w:pPr>
        <w:adjustRightInd w:val="0"/>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4"/>
          <w:lang w:bidi="ar"/>
        </w:rPr>
        <w:t>保护区</w:t>
      </w:r>
      <w:r>
        <w:rPr>
          <w:rFonts w:ascii="Times New Roman" w:hAnsi="Times New Roman" w:eastAsia="宋体"/>
          <w:color w:val="auto"/>
          <w:sz w:val="24"/>
          <w:szCs w:val="22"/>
          <w:lang w:bidi="ar"/>
        </w:rPr>
        <w:t>水体TN/TP值范围为12.58-15.11，100%采样点水体氮磷比值处于7-30，表明索饵期调查水域100%水体适合藻类生长</w:t>
      </w:r>
      <w:r>
        <w:rPr>
          <w:rFonts w:ascii="Times New Roman" w:hAnsi="Times New Roman" w:eastAsia="宋体"/>
          <w:color w:val="auto"/>
          <w:sz w:val="22"/>
          <w:szCs w:val="21"/>
        </w:rPr>
        <w:t>。</w:t>
      </w:r>
    </w:p>
    <w:p w14:paraId="4D39D555">
      <w:pPr>
        <w:spacing w:line="360" w:lineRule="auto"/>
        <w:jc w:val="center"/>
        <w:rPr>
          <w:rFonts w:ascii="Times New Roman" w:hAnsi="Times New Roman" w:eastAsia="宋体"/>
          <w:color w:val="auto"/>
          <w:sz w:val="24"/>
          <w:szCs w:val="22"/>
        </w:rPr>
      </w:pPr>
      <w:r>
        <w:rPr>
          <w:rFonts w:ascii="Times New Roman" w:hAnsi="Times New Roman" w:eastAsia="宋体"/>
          <w:color w:val="auto"/>
          <w:sz w:val="24"/>
          <w:szCs w:val="22"/>
        </w:rPr>
        <w:drawing>
          <wp:inline distT="0" distB="0" distL="114300" distR="114300">
            <wp:extent cx="3726815" cy="2305050"/>
            <wp:effectExtent l="0" t="0" r="6985" b="0"/>
            <wp:docPr id="316"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43"/>
                    <pic:cNvPicPr>
                      <a:picLocks noChangeAspect="1"/>
                    </pic:cNvPicPr>
                  </pic:nvPicPr>
                  <pic:blipFill>
                    <a:blip r:embed="rId110"/>
                    <a:stretch>
                      <a:fillRect/>
                    </a:stretch>
                  </pic:blipFill>
                  <pic:spPr>
                    <a:xfrm>
                      <a:off x="0" y="0"/>
                      <a:ext cx="3726815" cy="2305050"/>
                    </a:xfrm>
                    <a:prstGeom prst="rect">
                      <a:avLst/>
                    </a:prstGeom>
                    <a:noFill/>
                    <a:ln>
                      <a:noFill/>
                    </a:ln>
                  </pic:spPr>
                </pic:pic>
              </a:graphicData>
            </a:graphic>
          </wp:inline>
        </w:drawing>
      </w:r>
    </w:p>
    <w:p w14:paraId="047D54F3">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-15</w:t>
      </w:r>
      <w:r>
        <w:rPr>
          <w:rFonts w:ascii="Times New Roman" w:hAnsi="Times New Roman" w:eastAsia="黑体" w:cs="Times New Roman"/>
          <w:color w:val="auto"/>
          <w:sz w:val="24"/>
          <w:szCs w:val="21"/>
        </w:rPr>
        <w:t xml:space="preserve">  2023年保护区调查水域TN/TP值的时空特征</w:t>
      </w:r>
    </w:p>
    <w:p w14:paraId="71741F80">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4.2.5.10.3 水质类别评价</w:t>
      </w:r>
    </w:p>
    <w:p w14:paraId="321C23FE">
      <w:pPr>
        <w:spacing w:line="360" w:lineRule="auto"/>
        <w:ind w:firstLine="480" w:firstLineChars="200"/>
        <w:rPr>
          <w:rFonts w:ascii="Times New Roman" w:hAnsi="Times New Roman" w:eastAsia="宋体"/>
          <w:color w:val="auto"/>
          <w:sz w:val="24"/>
          <w:szCs w:val="22"/>
          <w:lang w:bidi="ar"/>
        </w:rPr>
      </w:pPr>
      <w:r>
        <w:rPr>
          <w:rFonts w:ascii="Times New Roman" w:hAnsi="Times New Roman" w:eastAsia="宋体"/>
          <w:color w:val="auto"/>
          <w:sz w:val="24"/>
          <w:szCs w:val="22"/>
          <w:lang w:bidi="ar"/>
        </w:rPr>
        <w:t>TP、TN和</w:t>
      </w:r>
      <w:r>
        <w:rPr>
          <w:rFonts w:ascii="Times New Roman" w:hAnsi="Times New Roman" w:eastAsia="宋体"/>
          <w:color w:val="auto"/>
          <w:sz w:val="24"/>
          <w:szCs w:val="28"/>
          <w:lang w:bidi="ar"/>
        </w:rPr>
        <w:t>COD</w:t>
      </w:r>
      <w:r>
        <w:rPr>
          <w:rFonts w:ascii="Times New Roman" w:hAnsi="Times New Roman" w:eastAsia="宋体"/>
          <w:color w:val="auto"/>
          <w:sz w:val="24"/>
          <w:szCs w:val="28"/>
          <w:vertAlign w:val="subscript"/>
          <w:lang w:bidi="ar"/>
        </w:rPr>
        <w:t>Mn</w:t>
      </w:r>
      <w:r>
        <w:rPr>
          <w:rFonts w:ascii="Times New Roman" w:hAnsi="Times New Roman" w:eastAsia="宋体"/>
          <w:color w:val="auto"/>
          <w:sz w:val="24"/>
          <w:szCs w:val="22"/>
          <w:lang w:bidi="ar"/>
        </w:rPr>
        <w:t>等监测指标结果，运用单项污染指数评价法对水域TP、TN和</w:t>
      </w:r>
      <w:r>
        <w:rPr>
          <w:rFonts w:ascii="Times New Roman" w:hAnsi="Times New Roman" w:eastAsia="宋体"/>
          <w:color w:val="auto"/>
          <w:sz w:val="24"/>
          <w:szCs w:val="28"/>
          <w:lang w:bidi="ar"/>
        </w:rPr>
        <w:t>COD</w:t>
      </w:r>
      <w:r>
        <w:rPr>
          <w:rFonts w:ascii="Times New Roman" w:hAnsi="Times New Roman" w:eastAsia="宋体"/>
          <w:color w:val="auto"/>
          <w:sz w:val="24"/>
          <w:szCs w:val="28"/>
          <w:vertAlign w:val="subscript"/>
          <w:lang w:bidi="ar"/>
        </w:rPr>
        <w:t>Mn</w:t>
      </w:r>
      <w:r>
        <w:rPr>
          <w:rFonts w:ascii="Times New Roman" w:hAnsi="Times New Roman" w:eastAsia="宋体"/>
          <w:color w:val="auto"/>
          <w:sz w:val="24"/>
          <w:szCs w:val="22"/>
          <w:lang w:bidi="ar"/>
        </w:rPr>
        <w:t>指数进行II类水质评价。</w:t>
      </w:r>
    </w:p>
    <w:p w14:paraId="6CA46817">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lang w:bidi="ar"/>
        </w:rPr>
        <w:t>调查水域</w:t>
      </w:r>
      <w:r>
        <w:rPr>
          <w:rFonts w:ascii="Times New Roman" w:hAnsi="Times New Roman" w:eastAsia="宋体"/>
          <w:color w:val="auto"/>
          <w:sz w:val="24"/>
          <w:szCs w:val="28"/>
          <w:lang w:bidi="ar"/>
        </w:rPr>
        <w:t>COD</w:t>
      </w:r>
      <w:r>
        <w:rPr>
          <w:rFonts w:ascii="Times New Roman" w:hAnsi="Times New Roman" w:eastAsia="宋体"/>
          <w:color w:val="auto"/>
          <w:sz w:val="24"/>
          <w:szCs w:val="28"/>
          <w:vertAlign w:val="subscript"/>
          <w:lang w:bidi="ar"/>
        </w:rPr>
        <w:t>Mn</w:t>
      </w:r>
      <w:r>
        <w:rPr>
          <w:rFonts w:ascii="Times New Roman" w:hAnsi="Times New Roman" w:eastAsia="宋体"/>
          <w:color w:val="auto"/>
          <w:sz w:val="24"/>
          <w:szCs w:val="22"/>
          <w:lang w:bidi="ar"/>
        </w:rPr>
        <w:t>的单项污染指数变幅为0.94-2.31，TP的单项污染指数变幅为0.49-1.87，TN单项污染指数变幅为3.24-6.38；83.33%采样点COD</w:t>
      </w:r>
      <w:r>
        <w:rPr>
          <w:rFonts w:ascii="Times New Roman" w:hAnsi="Times New Roman" w:eastAsia="宋体"/>
          <w:color w:val="auto"/>
          <w:sz w:val="24"/>
          <w:szCs w:val="22"/>
          <w:vertAlign w:val="subscript"/>
          <w:lang w:bidi="ar"/>
        </w:rPr>
        <w:t>Mn</w:t>
      </w:r>
      <w:r>
        <w:rPr>
          <w:rFonts w:ascii="Times New Roman" w:hAnsi="Times New Roman" w:eastAsia="宋体"/>
          <w:color w:val="auto"/>
          <w:sz w:val="24"/>
          <w:szCs w:val="22"/>
          <w:lang w:bidi="ar"/>
        </w:rPr>
        <w:t>单项污染指数、100%TN单项污染指数、58.33%TP单项污染指数均大于1，超出《地表水环境质量标准》II类的水质标准；综合结果表明，调查水域水质未达到II类水质的功能标准，其中</w:t>
      </w:r>
      <w:bookmarkStart w:id="96" w:name="_Hlk159920941"/>
      <w:r>
        <w:rPr>
          <w:rFonts w:ascii="Times New Roman" w:hAnsi="Times New Roman" w:eastAsia="宋体"/>
          <w:color w:val="auto"/>
          <w:sz w:val="24"/>
          <w:szCs w:val="22"/>
          <w:lang w:bidi="ar"/>
        </w:rPr>
        <w:t>COD</w:t>
      </w:r>
      <w:r>
        <w:rPr>
          <w:rFonts w:ascii="Times New Roman" w:hAnsi="Times New Roman" w:eastAsia="宋体"/>
          <w:color w:val="auto"/>
          <w:sz w:val="24"/>
          <w:szCs w:val="22"/>
          <w:vertAlign w:val="subscript"/>
          <w:lang w:bidi="ar"/>
        </w:rPr>
        <w:t>Mn</w:t>
      </w:r>
      <w:r>
        <w:rPr>
          <w:rFonts w:ascii="Times New Roman" w:hAnsi="Times New Roman" w:eastAsia="宋体"/>
          <w:color w:val="auto"/>
          <w:sz w:val="24"/>
          <w:szCs w:val="22"/>
          <w:lang w:bidi="ar"/>
        </w:rPr>
        <w:t>、TN和TP</w:t>
      </w:r>
      <w:bookmarkEnd w:id="96"/>
      <w:r>
        <w:rPr>
          <w:rFonts w:ascii="Times New Roman" w:hAnsi="Times New Roman" w:eastAsia="宋体"/>
          <w:color w:val="auto"/>
          <w:sz w:val="24"/>
          <w:szCs w:val="22"/>
          <w:lang w:bidi="ar"/>
        </w:rPr>
        <w:t>为主要制约因素</w:t>
      </w:r>
      <w:r>
        <w:rPr>
          <w:rFonts w:ascii="Times New Roman" w:hAnsi="Times New Roman" w:eastAsia="宋体"/>
          <w:color w:val="auto"/>
          <w:sz w:val="24"/>
          <w:szCs w:val="22"/>
        </w:rPr>
        <w:t>。</w:t>
      </w:r>
    </w:p>
    <w:p w14:paraId="206576A2">
      <w:pPr>
        <w:spacing w:line="360" w:lineRule="auto"/>
        <w:ind w:firstLine="480" w:firstLineChars="200"/>
        <w:rPr>
          <w:rFonts w:ascii="Times New Roman" w:hAnsi="Times New Roman" w:eastAsia="宋体"/>
          <w:b/>
          <w:bCs/>
          <w:color w:val="auto"/>
          <w:sz w:val="24"/>
          <w:szCs w:val="22"/>
        </w:rPr>
      </w:pPr>
      <w:r>
        <w:rPr>
          <w:rFonts w:ascii="Times New Roman" w:hAnsi="Times New Roman" w:eastAsia="宋体"/>
          <w:b/>
          <w:bCs/>
          <w:color w:val="auto"/>
          <w:sz w:val="24"/>
          <w:szCs w:val="22"/>
        </w:rPr>
        <w:t>(1)繁殖期</w:t>
      </w:r>
    </w:p>
    <w:p w14:paraId="0136BAC1">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lang w:bidi="ar"/>
        </w:rPr>
        <w:t>调查水域繁殖期COD</w:t>
      </w:r>
      <w:r>
        <w:rPr>
          <w:rFonts w:ascii="Times New Roman" w:hAnsi="Times New Roman" w:eastAsia="宋体"/>
          <w:color w:val="auto"/>
          <w:sz w:val="24"/>
          <w:szCs w:val="22"/>
          <w:vertAlign w:val="subscript"/>
          <w:lang w:bidi="ar"/>
        </w:rPr>
        <w:t>Mn</w:t>
      </w:r>
      <w:r>
        <w:rPr>
          <w:rFonts w:ascii="Times New Roman" w:hAnsi="Times New Roman" w:eastAsia="宋体"/>
          <w:color w:val="auto"/>
          <w:sz w:val="24"/>
          <w:szCs w:val="22"/>
          <w:lang w:bidi="ar"/>
        </w:rPr>
        <w:t>的单项污染指数变幅为0.99-2.31，TP的单项污染指数变幅为0.49-1.87，TN单项污染指数变幅为5.16-6.38；</w:t>
      </w:r>
      <w:bookmarkStart w:id="97" w:name="_Hlk157515971"/>
      <w:r>
        <w:rPr>
          <w:rFonts w:ascii="Times New Roman" w:hAnsi="Times New Roman" w:eastAsia="宋体"/>
          <w:color w:val="auto"/>
          <w:sz w:val="24"/>
          <w:szCs w:val="22"/>
          <w:lang w:bidi="ar"/>
        </w:rPr>
        <w:t>83.33%采样点</w:t>
      </w:r>
      <w:bookmarkEnd w:id="97"/>
      <w:r>
        <w:rPr>
          <w:rFonts w:ascii="Times New Roman" w:hAnsi="Times New Roman" w:eastAsia="宋体"/>
          <w:color w:val="auto"/>
          <w:sz w:val="24"/>
          <w:szCs w:val="22"/>
          <w:lang w:bidi="ar"/>
        </w:rPr>
        <w:t>COD</w:t>
      </w:r>
      <w:r>
        <w:rPr>
          <w:rFonts w:ascii="Times New Roman" w:hAnsi="Times New Roman" w:eastAsia="宋体"/>
          <w:color w:val="auto"/>
          <w:sz w:val="24"/>
          <w:szCs w:val="22"/>
          <w:vertAlign w:val="subscript"/>
          <w:lang w:bidi="ar"/>
        </w:rPr>
        <w:t>Mn</w:t>
      </w:r>
      <w:r>
        <w:rPr>
          <w:rFonts w:ascii="Times New Roman" w:hAnsi="Times New Roman" w:eastAsia="宋体"/>
          <w:color w:val="auto"/>
          <w:sz w:val="24"/>
          <w:szCs w:val="22"/>
          <w:lang w:bidi="ar"/>
        </w:rPr>
        <w:t>、16.67%TP和100%TN单项污染指数均大于1，超出《地表水环境质量标准》II类的水质标准；综合结果表明，调查水域水质未达到II类水质的功能标准，其中COD</w:t>
      </w:r>
      <w:r>
        <w:rPr>
          <w:rFonts w:ascii="Times New Roman" w:hAnsi="Times New Roman" w:eastAsia="宋体"/>
          <w:color w:val="auto"/>
          <w:sz w:val="24"/>
          <w:szCs w:val="22"/>
          <w:vertAlign w:val="subscript"/>
          <w:lang w:bidi="ar"/>
        </w:rPr>
        <w:t>Mn</w:t>
      </w:r>
      <w:r>
        <w:rPr>
          <w:rFonts w:ascii="Times New Roman" w:hAnsi="Times New Roman" w:eastAsia="宋体"/>
          <w:color w:val="auto"/>
          <w:sz w:val="24"/>
          <w:szCs w:val="22"/>
          <w:lang w:bidi="ar"/>
        </w:rPr>
        <w:t>、TN和TP为主要制约因素</w:t>
      </w:r>
      <w:r>
        <w:rPr>
          <w:rFonts w:ascii="Times New Roman" w:hAnsi="Times New Roman" w:eastAsia="宋体"/>
          <w:color w:val="auto"/>
          <w:sz w:val="24"/>
          <w:szCs w:val="22"/>
        </w:rPr>
        <w:t>。</w:t>
      </w:r>
    </w:p>
    <w:p w14:paraId="5A209B68">
      <w:pPr>
        <w:spacing w:line="360" w:lineRule="auto"/>
        <w:ind w:firstLine="480" w:firstLineChars="200"/>
        <w:rPr>
          <w:rFonts w:ascii="Times New Roman" w:hAnsi="Times New Roman" w:eastAsia="宋体"/>
          <w:b/>
          <w:bCs/>
          <w:color w:val="auto"/>
          <w:sz w:val="24"/>
          <w:szCs w:val="22"/>
        </w:rPr>
      </w:pPr>
      <w:r>
        <w:rPr>
          <w:rFonts w:ascii="Times New Roman" w:hAnsi="Times New Roman" w:eastAsia="宋体"/>
          <w:b/>
          <w:bCs/>
          <w:color w:val="auto"/>
          <w:sz w:val="24"/>
          <w:szCs w:val="22"/>
        </w:rPr>
        <w:t>(2)索饵期</w:t>
      </w:r>
    </w:p>
    <w:p w14:paraId="06543153">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lang w:bidi="ar"/>
        </w:rPr>
        <w:t>调查水域索饵期COD</w:t>
      </w:r>
      <w:r>
        <w:rPr>
          <w:rFonts w:ascii="Times New Roman" w:hAnsi="Times New Roman" w:eastAsia="宋体"/>
          <w:color w:val="auto"/>
          <w:sz w:val="24"/>
          <w:szCs w:val="22"/>
          <w:vertAlign w:val="subscript"/>
          <w:lang w:bidi="ar"/>
        </w:rPr>
        <w:t>Mn</w:t>
      </w:r>
      <w:r>
        <w:rPr>
          <w:rFonts w:ascii="Times New Roman" w:hAnsi="Times New Roman" w:eastAsia="宋体"/>
          <w:color w:val="auto"/>
          <w:sz w:val="24"/>
          <w:szCs w:val="22"/>
          <w:lang w:bidi="ar"/>
        </w:rPr>
        <w:t>的单项污染指数变幅为0.94-1.14，TP的单项污染指数变幅为1.20-1.47，TN单项污染指数变幅为3.24-3.96；83.33%采样点COD</w:t>
      </w:r>
      <w:r>
        <w:rPr>
          <w:rFonts w:ascii="Times New Roman" w:hAnsi="Times New Roman" w:eastAsia="宋体"/>
          <w:color w:val="auto"/>
          <w:sz w:val="24"/>
          <w:szCs w:val="22"/>
          <w:vertAlign w:val="subscript"/>
          <w:lang w:bidi="ar"/>
        </w:rPr>
        <w:t>Mn</w:t>
      </w:r>
      <w:r>
        <w:rPr>
          <w:rFonts w:ascii="Times New Roman" w:hAnsi="Times New Roman" w:eastAsia="宋体"/>
          <w:color w:val="auto"/>
          <w:sz w:val="24"/>
          <w:szCs w:val="22"/>
          <w:lang w:bidi="ar"/>
        </w:rPr>
        <w:t>、100%TP和100%TN单项污染指数均大于1，超出《地表水环境质量标准》II类的水质标准；综合结果表明，调查水域水质未达到II类水质的功能标准，其中COD</w:t>
      </w:r>
      <w:r>
        <w:rPr>
          <w:rFonts w:ascii="Times New Roman" w:hAnsi="Times New Roman" w:eastAsia="宋体"/>
          <w:color w:val="auto"/>
          <w:sz w:val="24"/>
          <w:szCs w:val="22"/>
          <w:vertAlign w:val="subscript"/>
          <w:lang w:bidi="ar"/>
        </w:rPr>
        <w:t>Mn</w:t>
      </w:r>
      <w:r>
        <w:rPr>
          <w:rFonts w:ascii="Times New Roman" w:hAnsi="Times New Roman" w:eastAsia="宋体"/>
          <w:color w:val="auto"/>
          <w:sz w:val="24"/>
          <w:szCs w:val="22"/>
          <w:lang w:bidi="ar"/>
        </w:rPr>
        <w:t>、TN和TP为主要制约因素</w:t>
      </w:r>
      <w:r>
        <w:rPr>
          <w:rFonts w:ascii="Times New Roman" w:hAnsi="Times New Roman" w:eastAsia="宋体"/>
          <w:color w:val="auto"/>
          <w:sz w:val="24"/>
          <w:szCs w:val="22"/>
        </w:rPr>
        <w:t>。</w:t>
      </w:r>
    </w:p>
    <w:p w14:paraId="5638DF2D">
      <w:pPr>
        <w:spacing w:line="360" w:lineRule="auto"/>
        <w:jc w:val="center"/>
        <w:rPr>
          <w:rFonts w:ascii="Times New Roman" w:hAnsi="Times New Roman" w:eastAsia="宋体"/>
          <w:color w:val="auto"/>
          <w:sz w:val="28"/>
          <w:szCs w:val="24"/>
        </w:rPr>
      </w:pPr>
      <w:r>
        <w:rPr>
          <w:rFonts w:ascii="Times New Roman" w:hAnsi="Times New Roman" w:eastAsia="宋体"/>
          <w:color w:val="auto"/>
          <w:sz w:val="21"/>
          <w:szCs w:val="24"/>
          <w:lang w:bidi="ar"/>
        </w:rPr>
        <w:drawing>
          <wp:inline distT="0" distB="0" distL="114300" distR="114300">
            <wp:extent cx="3694430" cy="2049145"/>
            <wp:effectExtent l="0" t="0" r="1270" b="8255"/>
            <wp:docPr id="317" name="图片 44"/>
            <wp:cNvGraphicFramePr/>
            <a:graphic xmlns:a="http://schemas.openxmlformats.org/drawingml/2006/main">
              <a:graphicData uri="http://schemas.openxmlformats.org/drawingml/2006/picture">
                <pic:pic xmlns:pic="http://schemas.openxmlformats.org/drawingml/2006/picture">
                  <pic:nvPicPr>
                    <pic:cNvPr id="317" name="图片 44"/>
                    <pic:cNvPicPr/>
                  </pic:nvPicPr>
                  <pic:blipFill>
                    <a:blip r:embed="rId111"/>
                    <a:stretch>
                      <a:fillRect/>
                    </a:stretch>
                  </pic:blipFill>
                  <pic:spPr>
                    <a:xfrm>
                      <a:off x="0" y="0"/>
                      <a:ext cx="3694430" cy="2049145"/>
                    </a:xfrm>
                    <a:prstGeom prst="rect">
                      <a:avLst/>
                    </a:prstGeom>
                    <a:noFill/>
                    <a:ln>
                      <a:noFill/>
                    </a:ln>
                  </pic:spPr>
                </pic:pic>
              </a:graphicData>
            </a:graphic>
          </wp:inline>
        </w:drawing>
      </w:r>
    </w:p>
    <w:p w14:paraId="01986AFC">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-16</w:t>
      </w:r>
      <w:r>
        <w:rPr>
          <w:rFonts w:ascii="Times New Roman" w:hAnsi="Times New Roman" w:eastAsia="黑体" w:cs="Times New Roman"/>
          <w:color w:val="auto"/>
          <w:sz w:val="24"/>
          <w:szCs w:val="21"/>
        </w:rPr>
        <w:t xml:space="preserve">  2023年保护区调查水域单项污染指数的时间特征</w:t>
      </w:r>
    </w:p>
    <w:p w14:paraId="0541AA74">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4.2.5.10.4 水体营养状态评价</w:t>
      </w:r>
    </w:p>
    <w:p w14:paraId="292D264A">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rPr>
        <w:t>水生生态系统是一个复杂的多元系统，变量因素很多。营养概念又是一个多维概念，它包括营养物质负荷、营养盐浓度和初级生产力等，水质的营养化是指由于水体内氮、磷等物质含量过高，使藻类以及其他水生生物繁殖过快，藻类代谢产生大量毒素，致水质恶化，对鱼类等水生动物的繁殖有较大危害，从而使水体生态系统和水功能受到破坏，并对人的身体健康有一定的影响。因此不能通过测定一两个参数来评价水域的营养状态，为了更准确地判定水域的水资源质量，本调查利用Chl-</w:t>
      </w:r>
      <w:r>
        <w:rPr>
          <w:rFonts w:ascii="Times New Roman" w:hAnsi="Times New Roman" w:eastAsia="宋体"/>
          <w:i/>
          <w:color w:val="auto"/>
          <w:sz w:val="24"/>
          <w:szCs w:val="22"/>
        </w:rPr>
        <w:t>a</w:t>
      </w:r>
      <w:r>
        <w:rPr>
          <w:rFonts w:ascii="Times New Roman" w:hAnsi="Times New Roman" w:eastAsia="宋体"/>
          <w:color w:val="auto"/>
          <w:sz w:val="24"/>
          <w:szCs w:val="22"/>
        </w:rPr>
        <w:t>、TP、TN、SD和COD</w:t>
      </w:r>
      <w:r>
        <w:rPr>
          <w:rFonts w:ascii="Times New Roman" w:hAnsi="Times New Roman" w:eastAsia="宋体"/>
          <w:color w:val="auto"/>
          <w:sz w:val="24"/>
          <w:szCs w:val="22"/>
          <w:vertAlign w:val="subscript"/>
        </w:rPr>
        <w:t>Mn</w:t>
      </w:r>
      <w:r>
        <w:rPr>
          <w:rFonts w:ascii="Times New Roman" w:hAnsi="Times New Roman" w:eastAsia="宋体"/>
          <w:color w:val="auto"/>
          <w:sz w:val="24"/>
          <w:szCs w:val="22"/>
        </w:rPr>
        <w:t>等5项指标加权计算调查水域水体卡尔森营养状态指数，对该水域水资源进行综合营养状态评价。</w:t>
      </w:r>
    </w:p>
    <w:p w14:paraId="01B336A9">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rPr>
        <w:t>2023年监测结果显示，保护区综合营养状态指数变幅为50.79-62.36，均值为54.33。91.67%采样点综合营养状态指数大于50小于60，8.33%采样点综合营养状态指数大于60小于70，结果表明调查水域91.67%水体处于轻度营养化状态，水质评价结果为轻度污染；8.33%水体处于中度营养化状态，水质评价结果为中度污染。</w:t>
      </w:r>
    </w:p>
    <w:p w14:paraId="5FC53554">
      <w:pPr>
        <w:spacing w:line="360" w:lineRule="auto"/>
        <w:ind w:firstLine="480" w:firstLineChars="200"/>
        <w:rPr>
          <w:rFonts w:ascii="Times New Roman" w:hAnsi="Times New Roman" w:eastAsia="宋体"/>
          <w:b/>
          <w:bCs/>
          <w:color w:val="auto"/>
          <w:sz w:val="24"/>
          <w:szCs w:val="22"/>
        </w:rPr>
      </w:pPr>
      <w:r>
        <w:rPr>
          <w:rFonts w:ascii="Times New Roman" w:hAnsi="Times New Roman" w:eastAsia="宋体"/>
          <w:b/>
          <w:bCs/>
          <w:color w:val="auto"/>
          <w:sz w:val="24"/>
          <w:szCs w:val="22"/>
        </w:rPr>
        <w:t>(1)繁殖期</w:t>
      </w:r>
    </w:p>
    <w:p w14:paraId="757D67CF">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rPr>
        <w:t>综合营养状态指数变幅为50.79-62.36，均值为54.06。83.33%采样点综合营养状态指数大于50小于60，16.67%采样点综合营养状态指数大于60小于70，结果表明调查水域83.33%水体处于轻度富营养化状态，水质评价结果为轻度污染；16.67%水体处于中度营养化状态，水质评价结果为中度污染。</w:t>
      </w:r>
    </w:p>
    <w:p w14:paraId="17DC0454">
      <w:pPr>
        <w:spacing w:line="360" w:lineRule="auto"/>
        <w:ind w:firstLine="480" w:firstLineChars="200"/>
        <w:rPr>
          <w:rFonts w:ascii="Times New Roman" w:hAnsi="Times New Roman" w:eastAsia="宋体"/>
          <w:b/>
          <w:bCs/>
          <w:color w:val="auto"/>
          <w:sz w:val="24"/>
          <w:szCs w:val="22"/>
        </w:rPr>
      </w:pPr>
      <w:r>
        <w:rPr>
          <w:rFonts w:ascii="Times New Roman" w:hAnsi="Times New Roman" w:eastAsia="宋体"/>
          <w:b/>
          <w:bCs/>
          <w:color w:val="auto"/>
          <w:sz w:val="24"/>
          <w:szCs w:val="22"/>
        </w:rPr>
        <w:t>(2)索饵期</w:t>
      </w:r>
    </w:p>
    <w:p w14:paraId="794141D2">
      <w:pPr>
        <w:spacing w:line="360" w:lineRule="auto"/>
        <w:ind w:firstLine="480" w:firstLineChars="200"/>
        <w:rPr>
          <w:rFonts w:ascii="Times New Roman" w:hAnsi="Times New Roman" w:eastAsia="宋体"/>
          <w:color w:val="auto"/>
          <w:sz w:val="24"/>
          <w:szCs w:val="22"/>
        </w:rPr>
      </w:pPr>
      <w:r>
        <w:rPr>
          <w:rFonts w:ascii="Times New Roman" w:hAnsi="Times New Roman" w:eastAsia="宋体"/>
          <w:color w:val="auto"/>
          <w:sz w:val="24"/>
          <w:szCs w:val="22"/>
        </w:rPr>
        <w:t>综合营养状态指数变幅为53.51-55.92，均值为54.60。100%采样点综合营养状态指数大于50小于60，结果表明调查水域100%水体处于轻度富营养化状态，水质评价结果为轻度污染。</w:t>
      </w:r>
    </w:p>
    <w:p w14:paraId="1C77FA0C">
      <w:pPr>
        <w:adjustRightInd w:val="0"/>
        <w:spacing w:line="360" w:lineRule="auto"/>
        <w:jc w:val="center"/>
        <w:rPr>
          <w:rFonts w:ascii="Times New Roman" w:hAnsi="Times New Roman" w:eastAsia="宋体"/>
          <w:b/>
          <w:color w:val="auto"/>
          <w:sz w:val="24"/>
          <w:szCs w:val="24"/>
        </w:rPr>
      </w:pPr>
      <w:r>
        <w:rPr>
          <w:rFonts w:ascii="Times New Roman" w:hAnsi="Times New Roman" w:eastAsia="宋体"/>
          <w:color w:val="auto"/>
          <w:sz w:val="24"/>
          <w:szCs w:val="22"/>
        </w:rPr>
        <w:drawing>
          <wp:inline distT="0" distB="0" distL="114300" distR="114300">
            <wp:extent cx="3642995" cy="2224405"/>
            <wp:effectExtent l="0" t="0" r="14605" b="4445"/>
            <wp:docPr id="318"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45"/>
                    <pic:cNvPicPr>
                      <a:picLocks noChangeAspect="1"/>
                    </pic:cNvPicPr>
                  </pic:nvPicPr>
                  <pic:blipFill>
                    <a:blip r:embed="rId112"/>
                    <a:stretch>
                      <a:fillRect/>
                    </a:stretch>
                  </pic:blipFill>
                  <pic:spPr>
                    <a:xfrm>
                      <a:off x="0" y="0"/>
                      <a:ext cx="3642995" cy="2224405"/>
                    </a:xfrm>
                    <a:prstGeom prst="rect">
                      <a:avLst/>
                    </a:prstGeom>
                    <a:noFill/>
                    <a:ln>
                      <a:noFill/>
                    </a:ln>
                  </pic:spPr>
                </pic:pic>
              </a:graphicData>
            </a:graphic>
          </wp:inline>
        </w:drawing>
      </w:r>
    </w:p>
    <w:p w14:paraId="4F94EEAE">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-17</w:t>
      </w:r>
      <w:r>
        <w:rPr>
          <w:rFonts w:ascii="Times New Roman" w:hAnsi="Times New Roman" w:eastAsia="黑体" w:cs="Times New Roman"/>
          <w:color w:val="auto"/>
          <w:sz w:val="24"/>
          <w:szCs w:val="21"/>
        </w:rPr>
        <w:t xml:space="preserve">  2023年保护区调查水域综合营养状态指数的时间特征</w:t>
      </w:r>
    </w:p>
    <w:p w14:paraId="4B99CB0D">
      <w:pPr>
        <w:spacing w:line="240" w:lineRule="auto"/>
        <w:jc w:val="center"/>
        <w:rPr>
          <w:rFonts w:ascii="Times New Roman" w:hAnsi="Times New Roman" w:eastAsia="宋体"/>
          <w:b/>
          <w:color w:val="auto"/>
          <w:sz w:val="24"/>
          <w:szCs w:val="22"/>
        </w:rPr>
      </w:pPr>
    </w:p>
    <w:p w14:paraId="79BCD7D5">
      <w:pPr>
        <w:keepNext/>
        <w:keepLines/>
        <w:widowControl w:val="0"/>
        <w:numPr>
          <w:ilvl w:val="0"/>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4.2.5.11 浮游植物现状</w:t>
      </w:r>
    </w:p>
    <w:p w14:paraId="59A1D578">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4.2.5.11.1 群落结构</w:t>
      </w:r>
    </w:p>
    <w:p w14:paraId="5A477FEF">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2023年</w:t>
      </w:r>
      <w:r>
        <w:rPr>
          <w:rFonts w:hint="eastAsia" w:ascii="Times New Roman" w:hAnsi="Times New Roman" w:eastAsia="宋体"/>
          <w:color w:val="auto"/>
          <w:sz w:val="24"/>
          <w:szCs w:val="21"/>
          <w:lang w:bidi="ar"/>
        </w:rPr>
        <w:t>调查</w:t>
      </w:r>
      <w:r>
        <w:rPr>
          <w:rFonts w:ascii="Times New Roman" w:hAnsi="Times New Roman" w:eastAsia="宋体"/>
          <w:color w:val="auto"/>
          <w:sz w:val="24"/>
          <w:szCs w:val="21"/>
          <w:lang w:bidi="ar"/>
        </w:rPr>
        <w:t>结果显示，保护区共采集鉴定浮游植物7门27科81种(属)(包括变种和变型)。从物种组成上看，硅藻门物种数最多，共37种(属)，占浮游植物总物种数的45.7%；其次为绿藻门，共27种(属)，占比为33.3%；隐藻门共6种(属)，占比为7.4%；蓝藻门共4种(属)，占比为4.9%；裸藻门共4种(属)，占比为4.9%；甲藻门共2种(属)，占比为2.5%；金藻门共1种(属)，占比为1.2%。</w:t>
      </w:r>
    </w:p>
    <w:p w14:paraId="2EA6E63B">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表4.2</w:t>
      </w:r>
      <w:r>
        <w:rPr>
          <w:rFonts w:hint="eastAsia" w:ascii="Times New Roman" w:hAnsi="Times New Roman" w:eastAsia="黑体" w:cs="Times New Roman"/>
          <w:color w:val="auto"/>
          <w:sz w:val="24"/>
          <w:szCs w:val="21"/>
          <w:lang w:val="en-US" w:eastAsia="zh-CN"/>
        </w:rPr>
        <w:t>-32</w:t>
      </w:r>
      <w:r>
        <w:rPr>
          <w:rFonts w:ascii="Times New Roman" w:hAnsi="Times New Roman" w:eastAsia="黑体" w:cs="Times New Roman"/>
          <w:color w:val="auto"/>
          <w:sz w:val="24"/>
          <w:szCs w:val="21"/>
        </w:rPr>
        <w:t xml:space="preserve">  2023年度保护区调查水域浮游植物名录</w:t>
      </w:r>
    </w:p>
    <w:tbl>
      <w:tblPr>
        <w:tblStyle w:val="53"/>
        <w:tblW w:w="499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707"/>
        <w:gridCol w:w="1289"/>
        <w:gridCol w:w="1289"/>
      </w:tblGrid>
      <w:tr w14:paraId="7F1FDDD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610" w:type="pct"/>
            <w:tcBorders>
              <w:tl2br w:val="nil"/>
              <w:tr2bl w:val="nil"/>
            </w:tcBorders>
            <w:noWrap/>
            <w:vAlign w:val="center"/>
          </w:tcPr>
          <w:p w14:paraId="1F9A6735">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物种</w:t>
            </w:r>
          </w:p>
        </w:tc>
        <w:tc>
          <w:tcPr>
            <w:tcW w:w="694" w:type="pct"/>
            <w:tcBorders>
              <w:tl2br w:val="nil"/>
              <w:tr2bl w:val="nil"/>
            </w:tcBorders>
            <w:noWrap/>
            <w:vAlign w:val="center"/>
          </w:tcPr>
          <w:p w14:paraId="7F54FAC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繁殖期</w:t>
            </w:r>
          </w:p>
        </w:tc>
        <w:tc>
          <w:tcPr>
            <w:tcW w:w="694" w:type="pct"/>
            <w:tcBorders>
              <w:tl2br w:val="nil"/>
              <w:tr2bl w:val="nil"/>
            </w:tcBorders>
            <w:noWrap/>
            <w:vAlign w:val="center"/>
          </w:tcPr>
          <w:p w14:paraId="04D4E1A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索饵期</w:t>
            </w:r>
          </w:p>
        </w:tc>
      </w:tr>
      <w:tr w14:paraId="61D9912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5" w:hRule="atLeast"/>
          <w:jc w:val="center"/>
        </w:trPr>
        <w:tc>
          <w:tcPr>
            <w:tcW w:w="3610" w:type="pct"/>
            <w:tcBorders>
              <w:tl2br w:val="nil"/>
              <w:tr2bl w:val="nil"/>
            </w:tcBorders>
            <w:noWrap/>
            <w:vAlign w:val="center"/>
          </w:tcPr>
          <w:p w14:paraId="0115C35D">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硅藻门Bacillariophyta</w:t>
            </w:r>
          </w:p>
        </w:tc>
        <w:tc>
          <w:tcPr>
            <w:tcW w:w="694" w:type="pct"/>
            <w:tcBorders>
              <w:tl2br w:val="nil"/>
              <w:tr2bl w:val="nil"/>
            </w:tcBorders>
            <w:noWrap/>
            <w:vAlign w:val="center"/>
          </w:tcPr>
          <w:p w14:paraId="78371E6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0"/>
                <w:szCs w:val="20"/>
              </w:rPr>
            </w:pPr>
          </w:p>
        </w:tc>
        <w:tc>
          <w:tcPr>
            <w:tcW w:w="694" w:type="pct"/>
            <w:tcBorders>
              <w:tl2br w:val="nil"/>
              <w:tr2bl w:val="nil"/>
            </w:tcBorders>
            <w:noWrap/>
            <w:vAlign w:val="center"/>
          </w:tcPr>
          <w:p w14:paraId="3407B4F3">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0"/>
                <w:szCs w:val="20"/>
              </w:rPr>
            </w:pPr>
          </w:p>
        </w:tc>
      </w:tr>
      <w:tr w14:paraId="6C631A9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610" w:type="pct"/>
            <w:tcBorders>
              <w:tl2br w:val="nil"/>
              <w:tr2bl w:val="nil"/>
            </w:tcBorders>
            <w:noWrap/>
            <w:vAlign w:val="center"/>
          </w:tcPr>
          <w:p w14:paraId="05BB7D7C">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放射舟形藻</w:t>
            </w:r>
            <w:r>
              <w:rPr>
                <w:rFonts w:hint="default" w:ascii="Times New Roman" w:hAnsi="Times New Roman" w:eastAsia="宋体"/>
                <w:i/>
                <w:color w:val="auto"/>
                <w:kern w:val="0"/>
                <w:sz w:val="20"/>
                <w:szCs w:val="20"/>
                <w:lang w:bidi="ar"/>
              </w:rPr>
              <w:t>Navicula</w:t>
            </w:r>
            <w:r>
              <w:rPr>
                <w:rFonts w:hint="default" w:ascii="Times New Roman" w:hAnsi="Times New Roman" w:eastAsia="宋体"/>
                <w:color w:val="auto"/>
                <w:kern w:val="0"/>
                <w:sz w:val="20"/>
                <w:szCs w:val="20"/>
                <w:lang w:bidi="ar"/>
              </w:rPr>
              <w:t> </w:t>
            </w:r>
            <w:r>
              <w:rPr>
                <w:rFonts w:hint="default" w:ascii="Times New Roman" w:hAnsi="Times New Roman" w:eastAsia="宋体"/>
                <w:i/>
                <w:color w:val="auto"/>
                <w:kern w:val="0"/>
                <w:sz w:val="20"/>
                <w:szCs w:val="20"/>
                <w:lang w:bidi="ar"/>
              </w:rPr>
              <w:t>radiosa</w:t>
            </w:r>
          </w:p>
        </w:tc>
        <w:tc>
          <w:tcPr>
            <w:tcW w:w="694" w:type="pct"/>
            <w:tcBorders>
              <w:tl2br w:val="nil"/>
              <w:tr2bl w:val="nil"/>
            </w:tcBorders>
            <w:noWrap/>
            <w:vAlign w:val="center"/>
          </w:tcPr>
          <w:p w14:paraId="2C37FF36">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0"/>
                <w:szCs w:val="20"/>
              </w:rPr>
            </w:pPr>
          </w:p>
        </w:tc>
        <w:tc>
          <w:tcPr>
            <w:tcW w:w="694" w:type="pct"/>
            <w:tcBorders>
              <w:tl2br w:val="nil"/>
              <w:tr2bl w:val="nil"/>
            </w:tcBorders>
            <w:noWrap/>
            <w:vAlign w:val="center"/>
          </w:tcPr>
          <w:p w14:paraId="77980C7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26A8364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610" w:type="pct"/>
            <w:tcBorders>
              <w:tl2br w:val="nil"/>
              <w:tr2bl w:val="nil"/>
            </w:tcBorders>
            <w:noWrap/>
            <w:vAlign w:val="center"/>
          </w:tcPr>
          <w:p w14:paraId="0A95D861">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广缘小环藻</w:t>
            </w:r>
            <w:r>
              <w:rPr>
                <w:rFonts w:hint="default" w:ascii="Times New Roman" w:hAnsi="Times New Roman" w:eastAsia="宋体"/>
                <w:i/>
                <w:color w:val="auto"/>
                <w:kern w:val="0"/>
                <w:sz w:val="20"/>
                <w:szCs w:val="20"/>
                <w:lang w:bidi="ar"/>
              </w:rPr>
              <w:t>Cyclotella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bodanica</w:t>
            </w:r>
          </w:p>
        </w:tc>
        <w:tc>
          <w:tcPr>
            <w:tcW w:w="694" w:type="pct"/>
            <w:tcBorders>
              <w:tl2br w:val="nil"/>
              <w:tr2bl w:val="nil"/>
            </w:tcBorders>
            <w:noWrap/>
            <w:vAlign w:val="center"/>
          </w:tcPr>
          <w:p w14:paraId="6EEA294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4BE0AB1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4851AF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610" w:type="pct"/>
            <w:tcBorders>
              <w:tl2br w:val="nil"/>
              <w:tr2bl w:val="nil"/>
            </w:tcBorders>
            <w:noWrap/>
            <w:vAlign w:val="center"/>
          </w:tcPr>
          <w:p w14:paraId="5EF6B3E7">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颗粒直链藻</w:t>
            </w:r>
            <w:r>
              <w:rPr>
                <w:rFonts w:hint="default" w:ascii="Times New Roman" w:hAnsi="Times New Roman" w:eastAsia="宋体"/>
                <w:i/>
                <w:color w:val="auto"/>
                <w:kern w:val="0"/>
                <w:sz w:val="20"/>
                <w:szCs w:val="20"/>
                <w:lang w:bidi="ar"/>
              </w:rPr>
              <w:t>Melosira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granulata</w:t>
            </w:r>
            <w:r>
              <w:rPr>
                <w:rFonts w:hint="default" w:ascii="Times New Roman" w:hAnsi="Times New Roman" w:eastAsia="宋体"/>
                <w:color w:val="auto"/>
                <w:kern w:val="0"/>
                <w:sz w:val="20"/>
                <w:szCs w:val="20"/>
                <w:lang w:bidi="ar"/>
              </w:rPr>
              <w:t xml:space="preserve"> </w:t>
            </w:r>
          </w:p>
        </w:tc>
        <w:tc>
          <w:tcPr>
            <w:tcW w:w="694" w:type="pct"/>
            <w:tcBorders>
              <w:tl2br w:val="nil"/>
              <w:tr2bl w:val="nil"/>
            </w:tcBorders>
            <w:noWrap/>
            <w:vAlign w:val="center"/>
          </w:tcPr>
          <w:p w14:paraId="34049BBE">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0"/>
                <w:szCs w:val="20"/>
              </w:rPr>
            </w:pPr>
          </w:p>
        </w:tc>
        <w:tc>
          <w:tcPr>
            <w:tcW w:w="694" w:type="pct"/>
            <w:tcBorders>
              <w:tl2br w:val="nil"/>
              <w:tr2bl w:val="nil"/>
            </w:tcBorders>
            <w:noWrap/>
            <w:vAlign w:val="center"/>
          </w:tcPr>
          <w:p w14:paraId="33E0EDA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7CFCC46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610" w:type="pct"/>
            <w:tcBorders>
              <w:tl2br w:val="nil"/>
              <w:tr2bl w:val="nil"/>
            </w:tcBorders>
            <w:noWrap/>
            <w:vAlign w:val="center"/>
          </w:tcPr>
          <w:p w14:paraId="01DBEA22">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细小桥弯藻</w:t>
            </w:r>
            <w:r>
              <w:rPr>
                <w:rFonts w:hint="default" w:ascii="Times New Roman" w:hAnsi="Times New Roman" w:eastAsia="宋体"/>
                <w:i/>
                <w:color w:val="auto"/>
                <w:kern w:val="0"/>
                <w:sz w:val="20"/>
                <w:szCs w:val="20"/>
                <w:lang w:bidi="ar"/>
              </w:rPr>
              <w:t>Cymbella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gracilis</w:t>
            </w:r>
          </w:p>
        </w:tc>
        <w:tc>
          <w:tcPr>
            <w:tcW w:w="694" w:type="pct"/>
            <w:tcBorders>
              <w:tl2br w:val="nil"/>
              <w:tr2bl w:val="nil"/>
            </w:tcBorders>
            <w:noWrap/>
            <w:vAlign w:val="center"/>
          </w:tcPr>
          <w:p w14:paraId="44BADE64">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0"/>
                <w:szCs w:val="20"/>
              </w:rPr>
            </w:pPr>
          </w:p>
        </w:tc>
        <w:tc>
          <w:tcPr>
            <w:tcW w:w="694" w:type="pct"/>
            <w:tcBorders>
              <w:tl2br w:val="nil"/>
              <w:tr2bl w:val="nil"/>
            </w:tcBorders>
            <w:noWrap/>
            <w:vAlign w:val="center"/>
          </w:tcPr>
          <w:p w14:paraId="731A076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6E23B32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610" w:type="pct"/>
            <w:tcBorders>
              <w:tl2br w:val="nil"/>
              <w:tr2bl w:val="nil"/>
            </w:tcBorders>
            <w:noWrap/>
            <w:vAlign w:val="center"/>
          </w:tcPr>
          <w:p w14:paraId="44FB5C26">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小环藻属</w:t>
            </w:r>
            <w:r>
              <w:rPr>
                <w:rFonts w:hint="default" w:ascii="Times New Roman" w:hAnsi="Times New Roman" w:eastAsia="宋体"/>
                <w:i/>
                <w:color w:val="auto"/>
                <w:kern w:val="0"/>
                <w:sz w:val="20"/>
                <w:szCs w:val="20"/>
                <w:lang w:bidi="ar"/>
              </w:rPr>
              <w:t>Cyclotella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0D9AB94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67633FF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36AA9CF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610" w:type="pct"/>
            <w:tcBorders>
              <w:tl2br w:val="nil"/>
              <w:tr2bl w:val="nil"/>
            </w:tcBorders>
            <w:noWrap/>
            <w:vAlign w:val="center"/>
          </w:tcPr>
          <w:p w14:paraId="3E5E64D4">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针杆藻属</w:t>
            </w:r>
            <w:r>
              <w:rPr>
                <w:rFonts w:hint="default" w:ascii="Times New Roman" w:hAnsi="Times New Roman" w:eastAsia="宋体"/>
                <w:i/>
                <w:color w:val="auto"/>
                <w:kern w:val="0"/>
                <w:sz w:val="20"/>
                <w:szCs w:val="20"/>
                <w:lang w:bidi="ar"/>
              </w:rPr>
              <w:t>Synedra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138C465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76091C9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2C0398A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3610" w:type="pct"/>
            <w:tcBorders>
              <w:tl2br w:val="nil"/>
              <w:tr2bl w:val="nil"/>
            </w:tcBorders>
            <w:noWrap/>
            <w:vAlign w:val="center"/>
          </w:tcPr>
          <w:p w14:paraId="25D538B5">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尖针杆藻</w:t>
            </w:r>
            <w:r>
              <w:rPr>
                <w:rFonts w:hint="default" w:ascii="Times New Roman" w:hAnsi="Times New Roman" w:eastAsia="宋体"/>
                <w:i/>
                <w:color w:val="auto"/>
                <w:kern w:val="0"/>
                <w:sz w:val="20"/>
                <w:szCs w:val="20"/>
                <w:lang w:bidi="ar"/>
              </w:rPr>
              <w:t>Synedra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acus</w:t>
            </w:r>
          </w:p>
        </w:tc>
        <w:tc>
          <w:tcPr>
            <w:tcW w:w="694" w:type="pct"/>
            <w:tcBorders>
              <w:tl2br w:val="nil"/>
              <w:tr2bl w:val="nil"/>
            </w:tcBorders>
            <w:noWrap/>
            <w:vAlign w:val="center"/>
          </w:tcPr>
          <w:p w14:paraId="423197F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04D6F2C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117454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4C87B85D">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微小曲壳藻</w:t>
            </w:r>
            <w:r>
              <w:rPr>
                <w:rFonts w:hint="default" w:ascii="Times New Roman" w:hAnsi="Times New Roman" w:eastAsia="宋体"/>
                <w:i/>
                <w:color w:val="auto"/>
                <w:kern w:val="0"/>
                <w:sz w:val="20"/>
                <w:szCs w:val="20"/>
                <w:lang w:bidi="ar"/>
              </w:rPr>
              <w:t>Achnanthes</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exigua</w:t>
            </w:r>
          </w:p>
        </w:tc>
        <w:tc>
          <w:tcPr>
            <w:tcW w:w="694" w:type="pct"/>
            <w:tcBorders>
              <w:tl2br w:val="nil"/>
              <w:tr2bl w:val="nil"/>
            </w:tcBorders>
            <w:noWrap/>
            <w:vAlign w:val="center"/>
          </w:tcPr>
          <w:p w14:paraId="7B5ACD67">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0"/>
                <w:szCs w:val="20"/>
              </w:rPr>
            </w:pPr>
          </w:p>
        </w:tc>
        <w:tc>
          <w:tcPr>
            <w:tcW w:w="694" w:type="pct"/>
            <w:tcBorders>
              <w:tl2br w:val="nil"/>
              <w:tr2bl w:val="nil"/>
            </w:tcBorders>
            <w:noWrap/>
            <w:vAlign w:val="center"/>
          </w:tcPr>
          <w:p w14:paraId="44C40DF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182EDF9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5FC2C411">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直链藻属</w:t>
            </w:r>
            <w:r>
              <w:rPr>
                <w:rFonts w:hint="default" w:ascii="Times New Roman" w:hAnsi="Times New Roman" w:eastAsia="宋体"/>
                <w:i/>
                <w:color w:val="auto"/>
                <w:kern w:val="0"/>
                <w:sz w:val="20"/>
                <w:szCs w:val="20"/>
                <w:lang w:bidi="ar"/>
              </w:rPr>
              <w:t>Melosira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2BF5B8A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7B079C7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435ABB2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71A78ED2">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舟形藻属</w:t>
            </w:r>
            <w:r>
              <w:rPr>
                <w:rFonts w:hint="default" w:ascii="Times New Roman" w:hAnsi="Times New Roman" w:eastAsia="宋体"/>
                <w:i/>
                <w:color w:val="auto"/>
                <w:kern w:val="0"/>
                <w:sz w:val="20"/>
                <w:szCs w:val="20"/>
                <w:lang w:bidi="ar"/>
              </w:rPr>
              <w:t>Navicula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4F1BFB6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191BD03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3767DDF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3BF43575">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长菱板藻</w:t>
            </w:r>
            <w:r>
              <w:rPr>
                <w:rFonts w:hint="default" w:ascii="Times New Roman" w:hAnsi="Times New Roman" w:eastAsia="宋体"/>
                <w:i/>
                <w:color w:val="auto"/>
                <w:kern w:val="0"/>
                <w:sz w:val="20"/>
                <w:szCs w:val="20"/>
                <w:lang w:bidi="ar"/>
              </w:rPr>
              <w:t>Hantzschia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elongata</w:t>
            </w:r>
          </w:p>
        </w:tc>
        <w:tc>
          <w:tcPr>
            <w:tcW w:w="694" w:type="pct"/>
            <w:tcBorders>
              <w:tl2br w:val="nil"/>
              <w:tr2bl w:val="nil"/>
            </w:tcBorders>
            <w:noWrap/>
            <w:vAlign w:val="center"/>
          </w:tcPr>
          <w:p w14:paraId="17EDE0E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03DD44E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21BFDD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13DA9EFE">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圆筛藻属</w:t>
            </w:r>
            <w:r>
              <w:rPr>
                <w:rFonts w:hint="default" w:ascii="Times New Roman" w:hAnsi="Times New Roman" w:eastAsia="宋体"/>
                <w:i/>
                <w:color w:val="auto"/>
                <w:kern w:val="0"/>
                <w:sz w:val="20"/>
                <w:szCs w:val="20"/>
                <w:lang w:bidi="ar"/>
              </w:rPr>
              <w:t>Coscinodiscus</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6D14535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2053C8D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15F5EA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755291F1">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隐头舟形藻</w:t>
            </w:r>
            <w:r>
              <w:rPr>
                <w:rFonts w:hint="default" w:ascii="Times New Roman" w:hAnsi="Times New Roman" w:eastAsia="宋体"/>
                <w:i/>
                <w:color w:val="auto"/>
                <w:kern w:val="0"/>
                <w:sz w:val="20"/>
                <w:szCs w:val="20"/>
                <w:lang w:bidi="ar"/>
              </w:rPr>
              <w:t>Navicula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cryptocephala</w:t>
            </w:r>
          </w:p>
        </w:tc>
        <w:tc>
          <w:tcPr>
            <w:tcW w:w="694" w:type="pct"/>
            <w:tcBorders>
              <w:tl2br w:val="nil"/>
              <w:tr2bl w:val="nil"/>
            </w:tcBorders>
            <w:noWrap/>
            <w:vAlign w:val="center"/>
          </w:tcPr>
          <w:p w14:paraId="4FE8FDE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5451C06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73F3B16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43C68A63">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异极藻属</w:t>
            </w:r>
            <w:r>
              <w:rPr>
                <w:rFonts w:hint="default" w:ascii="Times New Roman" w:hAnsi="Times New Roman" w:eastAsia="宋体"/>
                <w:i/>
                <w:color w:val="auto"/>
                <w:kern w:val="0"/>
                <w:sz w:val="20"/>
                <w:szCs w:val="20"/>
                <w:lang w:bidi="ar"/>
              </w:rPr>
              <w:t>Gomphonema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3B46F29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5C40B3C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6D3824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07BBB024">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小型舟形藻</w:t>
            </w:r>
            <w:r>
              <w:rPr>
                <w:rFonts w:hint="default" w:ascii="Times New Roman" w:hAnsi="Times New Roman" w:eastAsia="宋体"/>
                <w:i/>
                <w:color w:val="auto"/>
                <w:kern w:val="0"/>
                <w:sz w:val="20"/>
                <w:szCs w:val="20"/>
                <w:lang w:bidi="ar"/>
              </w:rPr>
              <w:t>Navicula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minuscula</w:t>
            </w:r>
          </w:p>
        </w:tc>
        <w:tc>
          <w:tcPr>
            <w:tcW w:w="694" w:type="pct"/>
            <w:tcBorders>
              <w:tl2br w:val="nil"/>
              <w:tr2bl w:val="nil"/>
            </w:tcBorders>
            <w:noWrap/>
            <w:vAlign w:val="center"/>
          </w:tcPr>
          <w:p w14:paraId="719FFE9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3476E29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2B6BBBD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0AAA95FE">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箱形桥弯藻</w:t>
            </w:r>
            <w:r>
              <w:rPr>
                <w:rFonts w:hint="default" w:ascii="Times New Roman" w:hAnsi="Times New Roman" w:eastAsia="宋体"/>
                <w:i/>
                <w:color w:val="auto"/>
                <w:kern w:val="0"/>
                <w:sz w:val="20"/>
                <w:szCs w:val="20"/>
                <w:lang w:bidi="ar"/>
              </w:rPr>
              <w:t>Cymbella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cistula</w:t>
            </w:r>
          </w:p>
        </w:tc>
        <w:tc>
          <w:tcPr>
            <w:tcW w:w="694" w:type="pct"/>
            <w:tcBorders>
              <w:tl2br w:val="nil"/>
              <w:tr2bl w:val="nil"/>
            </w:tcBorders>
            <w:noWrap/>
            <w:vAlign w:val="center"/>
          </w:tcPr>
          <w:p w14:paraId="4C6E5A3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30B5C2A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04E322E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3E83AED2">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纤细异极藻</w:t>
            </w:r>
            <w:r>
              <w:rPr>
                <w:rFonts w:hint="default" w:ascii="Times New Roman" w:hAnsi="Times New Roman" w:eastAsia="宋体"/>
                <w:i/>
                <w:color w:val="auto"/>
                <w:kern w:val="0"/>
                <w:sz w:val="20"/>
                <w:szCs w:val="20"/>
                <w:lang w:bidi="ar"/>
              </w:rPr>
              <w:t>Gomphonema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gracile</w:t>
            </w:r>
          </w:p>
        </w:tc>
        <w:tc>
          <w:tcPr>
            <w:tcW w:w="694" w:type="pct"/>
            <w:tcBorders>
              <w:tl2br w:val="nil"/>
              <w:tr2bl w:val="nil"/>
            </w:tcBorders>
            <w:noWrap/>
            <w:vAlign w:val="center"/>
          </w:tcPr>
          <w:p w14:paraId="72D466F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4C34894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7B746D4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207B450A">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椭圆双壁藻</w:t>
            </w:r>
            <w:r>
              <w:rPr>
                <w:rFonts w:hint="default" w:ascii="Times New Roman" w:hAnsi="Times New Roman" w:eastAsia="宋体"/>
                <w:i/>
                <w:color w:val="auto"/>
                <w:kern w:val="0"/>
                <w:sz w:val="20"/>
                <w:szCs w:val="20"/>
                <w:lang w:bidi="ar"/>
              </w:rPr>
              <w:t>Diploneis</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elliptica</w:t>
            </w:r>
          </w:p>
        </w:tc>
        <w:tc>
          <w:tcPr>
            <w:tcW w:w="694" w:type="pct"/>
            <w:tcBorders>
              <w:tl2br w:val="nil"/>
              <w:tr2bl w:val="nil"/>
            </w:tcBorders>
            <w:noWrap/>
            <w:vAlign w:val="center"/>
          </w:tcPr>
          <w:p w14:paraId="6E507E7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0AFA487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40C09A3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3955F3EF">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曲壳藻属</w:t>
            </w:r>
            <w:r>
              <w:rPr>
                <w:rFonts w:hint="default" w:ascii="Times New Roman" w:hAnsi="Times New Roman" w:eastAsia="宋体"/>
                <w:i/>
                <w:color w:val="auto"/>
                <w:kern w:val="0"/>
                <w:sz w:val="20"/>
                <w:szCs w:val="20"/>
                <w:lang w:bidi="ar"/>
              </w:rPr>
              <w:t>Achnanthes</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5C9653A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57C252B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1B0049B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16D07C46">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桥弯藻属</w:t>
            </w:r>
            <w:r>
              <w:rPr>
                <w:rFonts w:hint="default" w:ascii="Times New Roman" w:hAnsi="Times New Roman" w:eastAsia="宋体"/>
                <w:i/>
                <w:color w:val="auto"/>
                <w:kern w:val="0"/>
                <w:sz w:val="20"/>
                <w:szCs w:val="20"/>
                <w:lang w:bidi="ar"/>
              </w:rPr>
              <w:t>Cymbella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4F9B1BF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23C2960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7ED884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7E53CB8D">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美丽星杆藻</w:t>
            </w:r>
            <w:r>
              <w:rPr>
                <w:rFonts w:hint="default" w:ascii="Times New Roman" w:hAnsi="Times New Roman" w:eastAsia="宋体"/>
                <w:i/>
                <w:color w:val="auto"/>
                <w:kern w:val="0"/>
                <w:sz w:val="20"/>
                <w:szCs w:val="20"/>
                <w:lang w:bidi="ar"/>
              </w:rPr>
              <w:t>Asterionella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formosa</w:t>
            </w:r>
          </w:p>
        </w:tc>
        <w:tc>
          <w:tcPr>
            <w:tcW w:w="694" w:type="pct"/>
            <w:tcBorders>
              <w:tl2br w:val="nil"/>
              <w:tr2bl w:val="nil"/>
            </w:tcBorders>
            <w:noWrap/>
            <w:vAlign w:val="center"/>
          </w:tcPr>
          <w:p w14:paraId="651CB4E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0266350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403E3FF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33520712">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梅尼小环藻</w:t>
            </w:r>
            <w:r>
              <w:rPr>
                <w:rFonts w:hint="default" w:ascii="Times New Roman" w:hAnsi="Times New Roman" w:eastAsia="宋体"/>
                <w:i/>
                <w:color w:val="auto"/>
                <w:kern w:val="0"/>
                <w:sz w:val="20"/>
                <w:szCs w:val="20"/>
                <w:lang w:bidi="ar"/>
              </w:rPr>
              <w:t>Cyclotella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meneghiniana</w:t>
            </w:r>
          </w:p>
        </w:tc>
        <w:tc>
          <w:tcPr>
            <w:tcW w:w="694" w:type="pct"/>
            <w:tcBorders>
              <w:tl2br w:val="nil"/>
              <w:tr2bl w:val="nil"/>
            </w:tcBorders>
            <w:noWrap/>
            <w:vAlign w:val="center"/>
          </w:tcPr>
          <w:p w14:paraId="3D3BDC9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4245904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267B939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0E90F947">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卵形藻属</w:t>
            </w:r>
            <w:r>
              <w:rPr>
                <w:rFonts w:hint="default" w:ascii="Times New Roman" w:hAnsi="Times New Roman" w:eastAsia="宋体"/>
                <w:i/>
                <w:color w:val="auto"/>
                <w:kern w:val="0"/>
                <w:sz w:val="20"/>
                <w:szCs w:val="20"/>
                <w:lang w:bidi="ar"/>
              </w:rPr>
              <w:t>Cocconeis</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64B92F8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252F6A2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54532F2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3B1B9743">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菱形藻属</w:t>
            </w:r>
            <w:r>
              <w:rPr>
                <w:rFonts w:hint="default" w:ascii="Times New Roman" w:hAnsi="Times New Roman" w:eastAsia="宋体"/>
                <w:i/>
                <w:color w:val="auto"/>
                <w:kern w:val="0"/>
                <w:sz w:val="20"/>
                <w:szCs w:val="20"/>
                <w:lang w:bidi="ar"/>
              </w:rPr>
              <w:t>Nitzschia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58A803B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0071D53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241930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63F195FD">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菱板藻属</w:t>
            </w:r>
            <w:r>
              <w:rPr>
                <w:rFonts w:hint="default" w:ascii="Times New Roman" w:hAnsi="Times New Roman" w:eastAsia="宋体"/>
                <w:i/>
                <w:color w:val="auto"/>
                <w:kern w:val="0"/>
                <w:sz w:val="20"/>
                <w:szCs w:val="20"/>
                <w:lang w:bidi="ar"/>
              </w:rPr>
              <w:t>Hantzschia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57CCC64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7C329F1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653FCB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233259DD">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颗粒直链藻极狭变种</w:t>
            </w:r>
            <w:r>
              <w:rPr>
                <w:rFonts w:hint="default" w:ascii="Times New Roman" w:hAnsi="Times New Roman" w:eastAsia="宋体"/>
                <w:i/>
                <w:color w:val="auto"/>
                <w:kern w:val="0"/>
                <w:sz w:val="20"/>
                <w:szCs w:val="20"/>
                <w:lang w:bidi="ar"/>
              </w:rPr>
              <w:t>Melosira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granulata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var</w:t>
            </w:r>
            <w:r>
              <w:rPr>
                <w:rFonts w:hint="default" w:ascii="Times New Roman" w:hAnsi="Times New Roman" w:eastAsia="宋体"/>
                <w:color w:val="auto"/>
                <w:kern w:val="0"/>
                <w:sz w:val="20"/>
                <w:szCs w:val="20"/>
                <w:lang w:bidi="ar"/>
              </w:rPr>
              <w:t>.</w:t>
            </w:r>
            <w:r>
              <w:rPr>
                <w:rFonts w:hint="default" w:ascii="Times New Roman" w:hAnsi="Times New Roman" w:eastAsia="宋体"/>
                <w:i/>
                <w:color w:val="auto"/>
                <w:kern w:val="0"/>
                <w:sz w:val="20"/>
                <w:szCs w:val="20"/>
                <w:lang w:bidi="ar"/>
              </w:rPr>
              <w:t>angustissima</w:t>
            </w:r>
          </w:p>
        </w:tc>
        <w:tc>
          <w:tcPr>
            <w:tcW w:w="694" w:type="pct"/>
            <w:tcBorders>
              <w:tl2br w:val="nil"/>
              <w:tr2bl w:val="nil"/>
            </w:tcBorders>
            <w:noWrap/>
            <w:vAlign w:val="center"/>
          </w:tcPr>
          <w:p w14:paraId="4B5B1DD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6EE1BF4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264DD57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3B6A8B22">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尖辐节藻</w:t>
            </w:r>
            <w:r>
              <w:rPr>
                <w:rFonts w:hint="default" w:ascii="Times New Roman" w:hAnsi="Times New Roman" w:eastAsia="宋体"/>
                <w:i/>
                <w:color w:val="auto"/>
                <w:kern w:val="0"/>
                <w:sz w:val="20"/>
                <w:szCs w:val="20"/>
                <w:lang w:bidi="ar"/>
              </w:rPr>
              <w:t>Stauroneis</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acuta</w:t>
            </w:r>
          </w:p>
        </w:tc>
        <w:tc>
          <w:tcPr>
            <w:tcW w:w="694" w:type="pct"/>
            <w:tcBorders>
              <w:tl2br w:val="nil"/>
              <w:tr2bl w:val="nil"/>
            </w:tcBorders>
            <w:noWrap/>
            <w:vAlign w:val="center"/>
          </w:tcPr>
          <w:p w14:paraId="4E383F9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6DD34CF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0DB858D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56AF3AAE">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尖布纹藻</w:t>
            </w:r>
            <w:r>
              <w:rPr>
                <w:rFonts w:hint="default" w:ascii="Times New Roman" w:hAnsi="Times New Roman" w:eastAsia="宋体"/>
                <w:i/>
                <w:color w:val="auto"/>
                <w:kern w:val="0"/>
                <w:sz w:val="20"/>
                <w:szCs w:val="20"/>
                <w:lang w:bidi="ar"/>
              </w:rPr>
              <w:t>Gyrosigma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acuminatum</w:t>
            </w:r>
          </w:p>
        </w:tc>
        <w:tc>
          <w:tcPr>
            <w:tcW w:w="694" w:type="pct"/>
            <w:tcBorders>
              <w:tl2br w:val="nil"/>
              <w:tr2bl w:val="nil"/>
            </w:tcBorders>
            <w:noWrap/>
            <w:vAlign w:val="center"/>
          </w:tcPr>
          <w:p w14:paraId="39D1E99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0BA9A37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6F3A65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64214500">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粗糙桥弯藻</w:t>
            </w:r>
            <w:r>
              <w:rPr>
                <w:rFonts w:hint="default" w:ascii="Times New Roman" w:hAnsi="Times New Roman" w:eastAsia="宋体"/>
                <w:i/>
                <w:color w:val="auto"/>
                <w:kern w:val="0"/>
                <w:sz w:val="20"/>
                <w:szCs w:val="20"/>
                <w:lang w:bidi="ar"/>
              </w:rPr>
              <w:t>Cymbella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aspera</w:t>
            </w:r>
            <w:r>
              <w:rPr>
                <w:rFonts w:hint="default" w:ascii="Times New Roman" w:hAnsi="Times New Roman" w:eastAsia="宋体"/>
                <w:color w:val="auto"/>
                <w:kern w:val="0"/>
                <w:sz w:val="20"/>
                <w:szCs w:val="20"/>
                <w:lang w:bidi="ar"/>
              </w:rPr>
              <w:t xml:space="preserve"> </w:t>
            </w:r>
          </w:p>
        </w:tc>
        <w:tc>
          <w:tcPr>
            <w:tcW w:w="694" w:type="pct"/>
            <w:tcBorders>
              <w:tl2br w:val="nil"/>
              <w:tr2bl w:val="nil"/>
            </w:tcBorders>
            <w:noWrap/>
            <w:vAlign w:val="center"/>
          </w:tcPr>
          <w:p w14:paraId="5A22D71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40CF5DF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166DDF8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6DD5981D">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布纹藻属</w:t>
            </w:r>
            <w:r>
              <w:rPr>
                <w:rFonts w:hint="default" w:ascii="Times New Roman" w:hAnsi="Times New Roman" w:eastAsia="宋体"/>
                <w:i/>
                <w:color w:val="auto"/>
                <w:kern w:val="0"/>
                <w:sz w:val="20"/>
                <w:szCs w:val="20"/>
                <w:lang w:bidi="ar"/>
              </w:rPr>
              <w:t>Gyrosigma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3C9E672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4598C0F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328B45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04DB334D">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波缘藻属</w:t>
            </w:r>
            <w:r>
              <w:rPr>
                <w:rFonts w:hint="default" w:ascii="Times New Roman" w:hAnsi="Times New Roman" w:eastAsia="宋体"/>
                <w:i/>
                <w:color w:val="auto"/>
                <w:kern w:val="0"/>
                <w:sz w:val="20"/>
                <w:szCs w:val="20"/>
                <w:lang w:bidi="ar"/>
              </w:rPr>
              <w:t>Cymatopleura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415C407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0B5E24D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601C87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59E73992">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扁圆卵形藻</w:t>
            </w:r>
            <w:r>
              <w:rPr>
                <w:rFonts w:hint="default" w:ascii="Times New Roman" w:hAnsi="Times New Roman" w:eastAsia="宋体"/>
                <w:i/>
                <w:color w:val="auto"/>
                <w:kern w:val="0"/>
                <w:sz w:val="20"/>
                <w:szCs w:val="20"/>
                <w:lang w:bidi="ar"/>
              </w:rPr>
              <w:t>Cocconeis</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placentula</w:t>
            </w:r>
          </w:p>
        </w:tc>
        <w:tc>
          <w:tcPr>
            <w:tcW w:w="694" w:type="pct"/>
            <w:tcBorders>
              <w:tl2br w:val="nil"/>
              <w:tr2bl w:val="nil"/>
            </w:tcBorders>
            <w:noWrap/>
            <w:vAlign w:val="center"/>
          </w:tcPr>
          <w:p w14:paraId="081D2C3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7E454CA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58EB1E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471A41F7">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小头曲壳藻</w:t>
            </w:r>
            <w:r>
              <w:rPr>
                <w:rFonts w:hint="default" w:ascii="Times New Roman" w:hAnsi="Times New Roman" w:eastAsia="宋体"/>
                <w:i/>
                <w:color w:val="auto"/>
                <w:kern w:val="0"/>
                <w:sz w:val="20"/>
                <w:szCs w:val="20"/>
                <w:lang w:bidi="ar"/>
              </w:rPr>
              <w:t>Achnanthes</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microcephala</w:t>
            </w:r>
          </w:p>
        </w:tc>
        <w:tc>
          <w:tcPr>
            <w:tcW w:w="694" w:type="pct"/>
            <w:tcBorders>
              <w:tl2br w:val="nil"/>
              <w:tr2bl w:val="nil"/>
            </w:tcBorders>
            <w:noWrap/>
            <w:vAlign w:val="center"/>
          </w:tcPr>
          <w:p w14:paraId="57BFF6A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066BB41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26AE266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199C2982">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小头菱形藻</w:t>
            </w:r>
            <w:r>
              <w:rPr>
                <w:rFonts w:hint="default" w:ascii="Times New Roman" w:hAnsi="Times New Roman" w:eastAsia="宋体"/>
                <w:i/>
                <w:color w:val="auto"/>
                <w:kern w:val="0"/>
                <w:sz w:val="20"/>
                <w:szCs w:val="20"/>
                <w:lang w:bidi="ar"/>
              </w:rPr>
              <w:t>Nitzschia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microcephala</w:t>
            </w:r>
          </w:p>
        </w:tc>
        <w:tc>
          <w:tcPr>
            <w:tcW w:w="694" w:type="pct"/>
            <w:tcBorders>
              <w:tl2br w:val="nil"/>
              <w:tr2bl w:val="nil"/>
            </w:tcBorders>
            <w:noWrap/>
            <w:vAlign w:val="center"/>
          </w:tcPr>
          <w:p w14:paraId="3A9915D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1EED649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11665E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303BE9F0">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双尖菱板藻</w:t>
            </w:r>
            <w:r>
              <w:rPr>
                <w:rFonts w:hint="default" w:ascii="Times New Roman" w:hAnsi="Times New Roman" w:eastAsia="宋体"/>
                <w:i/>
                <w:color w:val="auto"/>
                <w:kern w:val="0"/>
                <w:sz w:val="20"/>
                <w:szCs w:val="20"/>
                <w:lang w:bidi="ar"/>
              </w:rPr>
              <w:t>Hantzschia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amphioxys</w:t>
            </w:r>
          </w:p>
        </w:tc>
        <w:tc>
          <w:tcPr>
            <w:tcW w:w="694" w:type="pct"/>
            <w:tcBorders>
              <w:tl2br w:val="nil"/>
              <w:tr2bl w:val="nil"/>
            </w:tcBorders>
            <w:noWrap/>
            <w:vAlign w:val="center"/>
          </w:tcPr>
          <w:p w14:paraId="164C20C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645DC6E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74F12C2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526F4240">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尖异极藻</w:t>
            </w:r>
            <w:r>
              <w:rPr>
                <w:rFonts w:hint="default" w:ascii="Times New Roman" w:hAnsi="Times New Roman" w:eastAsia="宋体"/>
                <w:i/>
                <w:color w:val="auto"/>
                <w:kern w:val="0"/>
                <w:sz w:val="20"/>
                <w:szCs w:val="20"/>
                <w:lang w:bidi="ar"/>
              </w:rPr>
              <w:t>Gomphonema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acuminatum</w:t>
            </w:r>
          </w:p>
        </w:tc>
        <w:tc>
          <w:tcPr>
            <w:tcW w:w="694" w:type="pct"/>
            <w:tcBorders>
              <w:tl2br w:val="nil"/>
              <w:tr2bl w:val="nil"/>
            </w:tcBorders>
            <w:noWrap/>
            <w:vAlign w:val="center"/>
          </w:tcPr>
          <w:p w14:paraId="780366D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651531A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7D310FD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2724763C">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短缝藻属</w:t>
            </w:r>
            <w:r>
              <w:rPr>
                <w:rFonts w:hint="default" w:ascii="Times New Roman" w:hAnsi="Times New Roman" w:eastAsia="宋体"/>
                <w:i/>
                <w:color w:val="auto"/>
                <w:kern w:val="0"/>
                <w:sz w:val="20"/>
                <w:szCs w:val="20"/>
                <w:lang w:bidi="ar"/>
              </w:rPr>
              <w:t>Eunotia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72AB2FF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0A3692F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108B30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71522351">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甲藻门Dinophyta</w:t>
            </w:r>
          </w:p>
        </w:tc>
        <w:tc>
          <w:tcPr>
            <w:tcW w:w="694" w:type="pct"/>
            <w:tcBorders>
              <w:tl2br w:val="nil"/>
              <w:tr2bl w:val="nil"/>
            </w:tcBorders>
            <w:noWrap/>
            <w:vAlign w:val="center"/>
          </w:tcPr>
          <w:p w14:paraId="3B162E83">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0"/>
                <w:szCs w:val="20"/>
              </w:rPr>
            </w:pPr>
          </w:p>
        </w:tc>
        <w:tc>
          <w:tcPr>
            <w:tcW w:w="694" w:type="pct"/>
            <w:tcBorders>
              <w:tl2br w:val="nil"/>
              <w:tr2bl w:val="nil"/>
            </w:tcBorders>
            <w:noWrap/>
            <w:vAlign w:val="center"/>
          </w:tcPr>
          <w:p w14:paraId="34FB83A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00DDBAF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1B63BEB7">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裸甲藻属</w:t>
            </w:r>
            <w:r>
              <w:rPr>
                <w:rFonts w:hint="default" w:ascii="Times New Roman" w:hAnsi="Times New Roman" w:eastAsia="宋体"/>
                <w:i/>
                <w:color w:val="auto"/>
                <w:kern w:val="0"/>
                <w:sz w:val="20"/>
                <w:szCs w:val="20"/>
                <w:lang w:bidi="ar"/>
              </w:rPr>
              <w:t>Gymnodinium</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4EF7E85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2A31D5C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5490F2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48B82B9E">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多甲藻属</w:t>
            </w:r>
            <w:r>
              <w:rPr>
                <w:rFonts w:hint="default" w:ascii="Times New Roman" w:hAnsi="Times New Roman" w:eastAsia="宋体"/>
                <w:i/>
                <w:color w:val="auto"/>
                <w:kern w:val="0"/>
                <w:sz w:val="20"/>
                <w:szCs w:val="20"/>
                <w:lang w:bidi="ar"/>
              </w:rPr>
              <w:t>Peridinium</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12E01C8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2DEC13B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673341E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52C0ECA3">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金藻门Chrysophyta</w:t>
            </w:r>
          </w:p>
        </w:tc>
        <w:tc>
          <w:tcPr>
            <w:tcW w:w="694" w:type="pct"/>
            <w:tcBorders>
              <w:tl2br w:val="nil"/>
              <w:tr2bl w:val="nil"/>
            </w:tcBorders>
            <w:noWrap/>
            <w:vAlign w:val="center"/>
          </w:tcPr>
          <w:p w14:paraId="1AD8046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0"/>
                <w:szCs w:val="20"/>
              </w:rPr>
            </w:pPr>
          </w:p>
        </w:tc>
        <w:tc>
          <w:tcPr>
            <w:tcW w:w="694" w:type="pct"/>
            <w:tcBorders>
              <w:tl2br w:val="nil"/>
              <w:tr2bl w:val="nil"/>
            </w:tcBorders>
            <w:noWrap/>
            <w:vAlign w:val="center"/>
          </w:tcPr>
          <w:p w14:paraId="0CA4B4D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78CDD4E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712BEDD7">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金粒藻属</w:t>
            </w:r>
            <w:r>
              <w:rPr>
                <w:rFonts w:hint="default" w:ascii="Times New Roman" w:hAnsi="Times New Roman" w:eastAsia="宋体"/>
                <w:i/>
                <w:color w:val="auto"/>
                <w:kern w:val="0"/>
                <w:sz w:val="20"/>
                <w:szCs w:val="20"/>
                <w:lang w:bidi="ar"/>
              </w:rPr>
              <w:t>Chrysococcus</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4D6BB31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0"/>
                <w:szCs w:val="20"/>
              </w:rPr>
            </w:pPr>
          </w:p>
        </w:tc>
        <w:tc>
          <w:tcPr>
            <w:tcW w:w="694" w:type="pct"/>
            <w:tcBorders>
              <w:tl2br w:val="nil"/>
              <w:tr2bl w:val="nil"/>
            </w:tcBorders>
            <w:noWrap/>
            <w:vAlign w:val="center"/>
          </w:tcPr>
          <w:p w14:paraId="46DCFED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4D1A53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6AD8040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蓝藻门Cyanophyta</w:t>
            </w:r>
          </w:p>
        </w:tc>
        <w:tc>
          <w:tcPr>
            <w:tcW w:w="694" w:type="pct"/>
            <w:tcBorders>
              <w:tl2br w:val="nil"/>
              <w:tr2bl w:val="nil"/>
            </w:tcBorders>
            <w:noWrap/>
            <w:vAlign w:val="center"/>
          </w:tcPr>
          <w:p w14:paraId="39FE2040">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0"/>
                <w:szCs w:val="20"/>
              </w:rPr>
            </w:pPr>
          </w:p>
        </w:tc>
        <w:tc>
          <w:tcPr>
            <w:tcW w:w="694" w:type="pct"/>
            <w:tcBorders>
              <w:tl2br w:val="nil"/>
              <w:tr2bl w:val="nil"/>
            </w:tcBorders>
            <w:noWrap/>
            <w:vAlign w:val="center"/>
          </w:tcPr>
          <w:p w14:paraId="58DCC0A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3DD3F11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336BD8E5">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浮丝藻属</w:t>
            </w:r>
            <w:r>
              <w:rPr>
                <w:rFonts w:hint="default" w:ascii="Times New Roman" w:hAnsi="Times New Roman" w:eastAsia="宋体"/>
                <w:i/>
                <w:color w:val="auto"/>
                <w:kern w:val="0"/>
                <w:sz w:val="20"/>
                <w:szCs w:val="20"/>
                <w:lang w:bidi="ar"/>
              </w:rPr>
              <w:t>Planktothrix</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1EB899BA">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0"/>
                <w:szCs w:val="20"/>
              </w:rPr>
            </w:pPr>
          </w:p>
        </w:tc>
        <w:tc>
          <w:tcPr>
            <w:tcW w:w="694" w:type="pct"/>
            <w:tcBorders>
              <w:tl2br w:val="nil"/>
              <w:tr2bl w:val="nil"/>
            </w:tcBorders>
            <w:noWrap/>
            <w:vAlign w:val="center"/>
          </w:tcPr>
          <w:p w14:paraId="7D254A7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5F6336B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28D72F1D">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平裂藻属</w:t>
            </w:r>
            <w:r>
              <w:rPr>
                <w:rFonts w:hint="default" w:ascii="Times New Roman" w:hAnsi="Times New Roman" w:eastAsia="宋体"/>
                <w:i/>
                <w:color w:val="auto"/>
                <w:kern w:val="0"/>
                <w:sz w:val="20"/>
                <w:szCs w:val="20"/>
                <w:lang w:bidi="ar"/>
              </w:rPr>
              <w:t>Merismopedia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277EF0A0">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0"/>
                <w:szCs w:val="20"/>
              </w:rPr>
            </w:pPr>
          </w:p>
        </w:tc>
        <w:tc>
          <w:tcPr>
            <w:tcW w:w="694" w:type="pct"/>
            <w:tcBorders>
              <w:tl2br w:val="nil"/>
              <w:tr2bl w:val="nil"/>
            </w:tcBorders>
            <w:noWrap/>
            <w:vAlign w:val="center"/>
          </w:tcPr>
          <w:p w14:paraId="303D9B9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738ACC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49CD65D0">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色球藻属</w:t>
            </w:r>
            <w:r>
              <w:rPr>
                <w:rFonts w:hint="default" w:ascii="Times New Roman" w:hAnsi="Times New Roman" w:eastAsia="宋体"/>
                <w:i/>
                <w:color w:val="auto"/>
                <w:kern w:val="0"/>
                <w:sz w:val="20"/>
                <w:szCs w:val="20"/>
                <w:lang w:bidi="ar"/>
              </w:rPr>
              <w:t>Chroococcus</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0A9AF42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7EF2157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7C7851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2E44E666">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假鱼腥藻属</w:t>
            </w:r>
            <w:r>
              <w:rPr>
                <w:rFonts w:hint="default" w:ascii="Times New Roman" w:hAnsi="Times New Roman" w:eastAsia="宋体"/>
                <w:i/>
                <w:color w:val="auto"/>
                <w:kern w:val="0"/>
                <w:sz w:val="20"/>
                <w:szCs w:val="20"/>
                <w:lang w:bidi="ar"/>
              </w:rPr>
              <w:t>Pseudanabaena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2BE7800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4348100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35A1742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73B74EB1">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裸藻门Euglenophyta</w:t>
            </w:r>
          </w:p>
        </w:tc>
        <w:tc>
          <w:tcPr>
            <w:tcW w:w="694" w:type="pct"/>
            <w:tcBorders>
              <w:tl2br w:val="nil"/>
              <w:tr2bl w:val="nil"/>
            </w:tcBorders>
            <w:noWrap/>
            <w:vAlign w:val="center"/>
          </w:tcPr>
          <w:p w14:paraId="2101CE87">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0"/>
                <w:szCs w:val="20"/>
              </w:rPr>
            </w:pPr>
          </w:p>
        </w:tc>
        <w:tc>
          <w:tcPr>
            <w:tcW w:w="694" w:type="pct"/>
            <w:tcBorders>
              <w:tl2br w:val="nil"/>
              <w:tr2bl w:val="nil"/>
            </w:tcBorders>
            <w:noWrap/>
            <w:vAlign w:val="center"/>
          </w:tcPr>
          <w:p w14:paraId="22C22A7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4993AB1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0FC61E08">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扁裸藻属</w:t>
            </w:r>
            <w:r>
              <w:rPr>
                <w:rFonts w:hint="default" w:ascii="Times New Roman" w:hAnsi="Times New Roman" w:eastAsia="宋体"/>
                <w:i/>
                <w:color w:val="auto"/>
                <w:kern w:val="0"/>
                <w:sz w:val="20"/>
                <w:szCs w:val="20"/>
                <w:lang w:bidi="ar"/>
              </w:rPr>
              <w:t>Phacus</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13D72527">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0"/>
                <w:szCs w:val="20"/>
              </w:rPr>
            </w:pPr>
          </w:p>
        </w:tc>
        <w:tc>
          <w:tcPr>
            <w:tcW w:w="694" w:type="pct"/>
            <w:tcBorders>
              <w:tl2br w:val="nil"/>
              <w:tr2bl w:val="nil"/>
            </w:tcBorders>
            <w:noWrap/>
            <w:vAlign w:val="center"/>
          </w:tcPr>
          <w:p w14:paraId="454B150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5682D7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28170872">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陀螺藻属</w:t>
            </w:r>
            <w:r>
              <w:rPr>
                <w:rFonts w:hint="default" w:ascii="Times New Roman" w:hAnsi="Times New Roman" w:eastAsia="宋体"/>
                <w:i/>
                <w:color w:val="auto"/>
                <w:kern w:val="0"/>
                <w:sz w:val="20"/>
                <w:szCs w:val="20"/>
                <w:lang w:bidi="ar"/>
              </w:rPr>
              <w:t>Stombomonas</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5FA8F5C9">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0"/>
                <w:szCs w:val="20"/>
              </w:rPr>
            </w:pPr>
          </w:p>
        </w:tc>
        <w:tc>
          <w:tcPr>
            <w:tcW w:w="694" w:type="pct"/>
            <w:tcBorders>
              <w:tl2br w:val="nil"/>
              <w:tr2bl w:val="nil"/>
            </w:tcBorders>
            <w:noWrap/>
            <w:vAlign w:val="center"/>
          </w:tcPr>
          <w:p w14:paraId="4A11AA6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0C3D6E3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4AC17646">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囊裸藻属</w:t>
            </w:r>
            <w:r>
              <w:rPr>
                <w:rFonts w:hint="default" w:ascii="Times New Roman" w:hAnsi="Times New Roman" w:eastAsia="宋体"/>
                <w:i/>
                <w:color w:val="auto"/>
                <w:kern w:val="0"/>
                <w:sz w:val="20"/>
                <w:szCs w:val="20"/>
                <w:lang w:bidi="ar"/>
              </w:rPr>
              <w:t>Trachelomonas</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59CA7E2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05B3542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05B6B60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35CA06E7">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裸藻属</w:t>
            </w:r>
            <w:r>
              <w:rPr>
                <w:rFonts w:hint="default" w:ascii="Times New Roman" w:hAnsi="Times New Roman" w:eastAsia="宋体"/>
                <w:i/>
                <w:color w:val="auto"/>
                <w:kern w:val="0"/>
                <w:sz w:val="20"/>
                <w:szCs w:val="20"/>
                <w:lang w:bidi="ar"/>
              </w:rPr>
              <w:t>Euglena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7EFD7FD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2B38726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48A343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7B67F0FC">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绿藻门</w:t>
            </w:r>
            <w:r>
              <w:rPr>
                <w:rFonts w:hint="default" w:ascii="Times New Roman" w:hAnsi="Times New Roman" w:eastAsia="宋体"/>
                <w:i/>
                <w:color w:val="auto"/>
                <w:kern w:val="0"/>
                <w:sz w:val="20"/>
                <w:szCs w:val="20"/>
                <w:lang w:bidi="ar"/>
              </w:rPr>
              <w:t>Chlorophyta</w:t>
            </w:r>
          </w:p>
        </w:tc>
        <w:tc>
          <w:tcPr>
            <w:tcW w:w="694" w:type="pct"/>
            <w:tcBorders>
              <w:tl2br w:val="nil"/>
              <w:tr2bl w:val="nil"/>
            </w:tcBorders>
            <w:noWrap/>
            <w:vAlign w:val="center"/>
          </w:tcPr>
          <w:p w14:paraId="2CD83037">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0"/>
                <w:szCs w:val="20"/>
              </w:rPr>
            </w:pPr>
          </w:p>
        </w:tc>
        <w:tc>
          <w:tcPr>
            <w:tcW w:w="694" w:type="pct"/>
            <w:tcBorders>
              <w:tl2br w:val="nil"/>
              <w:tr2bl w:val="nil"/>
            </w:tcBorders>
            <w:noWrap/>
            <w:vAlign w:val="center"/>
          </w:tcPr>
          <w:p w14:paraId="27295AE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4FA285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7D27015D">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单生卵囊藻</w:t>
            </w:r>
            <w:r>
              <w:rPr>
                <w:rFonts w:hint="default" w:ascii="Times New Roman" w:hAnsi="Times New Roman" w:eastAsia="宋体"/>
                <w:i/>
                <w:color w:val="auto"/>
                <w:kern w:val="0"/>
                <w:sz w:val="20"/>
                <w:szCs w:val="20"/>
                <w:lang w:bidi="ar"/>
              </w:rPr>
              <w:t>Oocystis</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solitaria</w:t>
            </w:r>
          </w:p>
        </w:tc>
        <w:tc>
          <w:tcPr>
            <w:tcW w:w="694" w:type="pct"/>
            <w:tcBorders>
              <w:tl2br w:val="nil"/>
              <w:tr2bl w:val="nil"/>
            </w:tcBorders>
            <w:noWrap/>
            <w:vAlign w:val="center"/>
          </w:tcPr>
          <w:p w14:paraId="0186C1A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719FBA8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48018C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0D574390">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空星藻属</w:t>
            </w:r>
            <w:r>
              <w:rPr>
                <w:rFonts w:hint="default" w:ascii="Times New Roman" w:hAnsi="Times New Roman" w:eastAsia="宋体"/>
                <w:i/>
                <w:color w:val="auto"/>
                <w:kern w:val="0"/>
                <w:sz w:val="20"/>
                <w:szCs w:val="20"/>
                <w:lang w:bidi="ar"/>
              </w:rPr>
              <w:t>Coelastrum</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3DE1A3CB">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0"/>
                <w:szCs w:val="20"/>
              </w:rPr>
            </w:pPr>
          </w:p>
        </w:tc>
        <w:tc>
          <w:tcPr>
            <w:tcW w:w="694" w:type="pct"/>
            <w:tcBorders>
              <w:tl2br w:val="nil"/>
              <w:tr2bl w:val="nil"/>
            </w:tcBorders>
            <w:noWrap/>
            <w:vAlign w:val="center"/>
          </w:tcPr>
          <w:p w14:paraId="1036990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36CBE50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27E4D864">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单针藻属</w:t>
            </w:r>
            <w:r>
              <w:rPr>
                <w:rFonts w:hint="default" w:ascii="Times New Roman" w:hAnsi="Times New Roman" w:eastAsia="宋体"/>
                <w:i/>
                <w:color w:val="auto"/>
                <w:kern w:val="0"/>
                <w:sz w:val="20"/>
                <w:szCs w:val="20"/>
                <w:lang w:bidi="ar"/>
              </w:rPr>
              <w:t>Monoraphidium</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447FD6BB">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0"/>
                <w:szCs w:val="20"/>
              </w:rPr>
            </w:pPr>
          </w:p>
        </w:tc>
        <w:tc>
          <w:tcPr>
            <w:tcW w:w="694" w:type="pct"/>
            <w:tcBorders>
              <w:tl2br w:val="nil"/>
              <w:tr2bl w:val="nil"/>
            </w:tcBorders>
            <w:noWrap/>
            <w:vAlign w:val="center"/>
          </w:tcPr>
          <w:p w14:paraId="58BC10B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2829240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6AA28094">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尖带藻属</w:t>
            </w:r>
            <w:r>
              <w:rPr>
                <w:rFonts w:hint="default" w:ascii="Times New Roman" w:hAnsi="Times New Roman" w:eastAsia="宋体"/>
                <w:i/>
                <w:color w:val="auto"/>
                <w:kern w:val="0"/>
                <w:sz w:val="20"/>
                <w:szCs w:val="20"/>
                <w:lang w:bidi="ar"/>
              </w:rPr>
              <w:t>Acutodesmus</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7D7B8E2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740B8F2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08C304C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75F1A871">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卵囊藻属</w:t>
            </w:r>
            <w:r>
              <w:rPr>
                <w:rFonts w:hint="default" w:ascii="Times New Roman" w:hAnsi="Times New Roman" w:eastAsia="宋体"/>
                <w:i/>
                <w:color w:val="auto"/>
                <w:kern w:val="0"/>
                <w:sz w:val="20"/>
                <w:szCs w:val="20"/>
                <w:lang w:bidi="ar"/>
              </w:rPr>
              <w:t>Oocystis</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08C6DB6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76BEC47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525DB96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16C90D00">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四足十字藻</w:t>
            </w:r>
            <w:r>
              <w:rPr>
                <w:rFonts w:hint="default" w:ascii="Times New Roman" w:hAnsi="Times New Roman" w:eastAsia="宋体"/>
                <w:i/>
                <w:color w:val="auto"/>
                <w:kern w:val="0"/>
                <w:sz w:val="20"/>
                <w:szCs w:val="20"/>
                <w:lang w:bidi="ar"/>
              </w:rPr>
              <w:t>Crucigenia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tetrapedia</w:t>
            </w:r>
          </w:p>
        </w:tc>
        <w:tc>
          <w:tcPr>
            <w:tcW w:w="694" w:type="pct"/>
            <w:tcBorders>
              <w:tl2br w:val="nil"/>
              <w:tr2bl w:val="nil"/>
            </w:tcBorders>
            <w:noWrap/>
            <w:vAlign w:val="center"/>
          </w:tcPr>
          <w:p w14:paraId="56701D3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749E974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5F1F333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41DB6895">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整齐盘星藻</w:t>
            </w:r>
            <w:r>
              <w:rPr>
                <w:rFonts w:hint="default" w:ascii="Times New Roman" w:hAnsi="Times New Roman" w:eastAsia="宋体"/>
                <w:i/>
                <w:color w:val="auto"/>
                <w:kern w:val="0"/>
                <w:sz w:val="20"/>
                <w:szCs w:val="20"/>
                <w:lang w:bidi="ar"/>
              </w:rPr>
              <w:t>Pediastrum</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integrum</w:t>
            </w:r>
          </w:p>
        </w:tc>
        <w:tc>
          <w:tcPr>
            <w:tcW w:w="694" w:type="pct"/>
            <w:tcBorders>
              <w:tl2br w:val="nil"/>
              <w:tr2bl w:val="nil"/>
            </w:tcBorders>
            <w:noWrap/>
            <w:vAlign w:val="center"/>
          </w:tcPr>
          <w:p w14:paraId="2CA471B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2C45174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38CDF19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6F628845">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栅藻属</w:t>
            </w:r>
            <w:r>
              <w:rPr>
                <w:rFonts w:hint="default" w:ascii="Times New Roman" w:hAnsi="Times New Roman" w:eastAsia="宋体"/>
                <w:i/>
                <w:color w:val="auto"/>
                <w:kern w:val="0"/>
                <w:sz w:val="20"/>
                <w:szCs w:val="20"/>
                <w:lang w:bidi="ar"/>
              </w:rPr>
              <w:t>Scenedesmus</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0221C6F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65116CE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4B11F1A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6A18AB59">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硬弓形藻</w:t>
            </w:r>
            <w:r>
              <w:rPr>
                <w:rFonts w:hint="default" w:ascii="Times New Roman" w:hAnsi="Times New Roman" w:eastAsia="宋体"/>
                <w:i/>
                <w:color w:val="auto"/>
                <w:kern w:val="0"/>
                <w:sz w:val="20"/>
                <w:szCs w:val="20"/>
                <w:lang w:bidi="ar"/>
              </w:rPr>
              <w:t>Schroederia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robusta</w:t>
            </w:r>
          </w:p>
        </w:tc>
        <w:tc>
          <w:tcPr>
            <w:tcW w:w="694" w:type="pct"/>
            <w:tcBorders>
              <w:tl2br w:val="nil"/>
              <w:tr2bl w:val="nil"/>
            </w:tcBorders>
            <w:noWrap/>
            <w:vAlign w:val="center"/>
          </w:tcPr>
          <w:p w14:paraId="67F0FE5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1506B09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1005692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61C5C1A9">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异刺四星藻</w:t>
            </w:r>
            <w:r>
              <w:rPr>
                <w:rFonts w:hint="default" w:ascii="Times New Roman" w:hAnsi="Times New Roman" w:eastAsia="宋体"/>
                <w:i/>
                <w:color w:val="auto"/>
                <w:kern w:val="0"/>
                <w:sz w:val="20"/>
                <w:szCs w:val="20"/>
                <w:lang w:bidi="ar"/>
              </w:rPr>
              <w:t>Tetrastrum</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heterocanthum</w:t>
            </w:r>
          </w:p>
        </w:tc>
        <w:tc>
          <w:tcPr>
            <w:tcW w:w="694" w:type="pct"/>
            <w:tcBorders>
              <w:tl2br w:val="nil"/>
              <w:tr2bl w:val="nil"/>
            </w:tcBorders>
            <w:noWrap/>
            <w:vAlign w:val="center"/>
          </w:tcPr>
          <w:p w14:paraId="42D8D92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48C3155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452286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38BFC1AC">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新月藻属</w:t>
            </w:r>
            <w:r>
              <w:rPr>
                <w:rFonts w:hint="default" w:ascii="Times New Roman" w:hAnsi="Times New Roman" w:eastAsia="宋体"/>
                <w:i/>
                <w:color w:val="auto"/>
                <w:kern w:val="0"/>
                <w:sz w:val="20"/>
                <w:szCs w:val="20"/>
                <w:lang w:bidi="ar"/>
              </w:rPr>
              <w:t>Closterium</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41BDC00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41FEDBA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6D2ED24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4DB65572">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eastAsia"/>
                <w:color w:val="auto"/>
                <w:kern w:val="0"/>
                <w:sz w:val="20"/>
                <w:szCs w:val="20"/>
                <w:lang w:eastAsia="zh-CN" w:bidi="ar"/>
              </w:rPr>
              <w:t>小型</w:t>
            </w:r>
            <w:r>
              <w:rPr>
                <w:rFonts w:hint="default" w:ascii="Times New Roman" w:hAnsi="Times New Roman" w:eastAsia="宋体"/>
                <w:color w:val="auto"/>
                <w:kern w:val="0"/>
                <w:sz w:val="20"/>
                <w:szCs w:val="20"/>
                <w:lang w:bidi="ar"/>
              </w:rPr>
              <w:t>卵囊藻</w:t>
            </w:r>
            <w:r>
              <w:rPr>
                <w:rFonts w:hint="default" w:ascii="Times New Roman" w:hAnsi="Times New Roman" w:eastAsia="宋体"/>
                <w:i/>
                <w:color w:val="auto"/>
                <w:kern w:val="0"/>
                <w:sz w:val="20"/>
                <w:szCs w:val="20"/>
                <w:lang w:bidi="ar"/>
              </w:rPr>
              <w:t>Oocystis</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parva</w:t>
            </w:r>
          </w:p>
        </w:tc>
        <w:tc>
          <w:tcPr>
            <w:tcW w:w="694" w:type="pct"/>
            <w:tcBorders>
              <w:tl2br w:val="nil"/>
              <w:tr2bl w:val="nil"/>
            </w:tcBorders>
            <w:noWrap/>
            <w:vAlign w:val="center"/>
          </w:tcPr>
          <w:p w14:paraId="621EDF6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7EA5648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10DB3C9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270CF973">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纤维藻属</w:t>
            </w:r>
            <w:r>
              <w:rPr>
                <w:rFonts w:hint="default" w:ascii="Times New Roman" w:hAnsi="Times New Roman" w:eastAsia="宋体"/>
                <w:i/>
                <w:color w:val="auto"/>
                <w:kern w:val="0"/>
                <w:sz w:val="20"/>
                <w:szCs w:val="20"/>
                <w:lang w:bidi="ar"/>
              </w:rPr>
              <w:t>Ankistrodesmus</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5D23209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2D4EE6A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56DB88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26D410F2">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韦斯藻属 </w:t>
            </w:r>
            <w:r>
              <w:rPr>
                <w:rFonts w:hint="default" w:ascii="Times New Roman" w:hAnsi="Times New Roman" w:eastAsia="宋体"/>
                <w:i/>
                <w:color w:val="auto"/>
                <w:kern w:val="0"/>
                <w:sz w:val="20"/>
                <w:szCs w:val="20"/>
                <w:lang w:bidi="ar"/>
              </w:rPr>
              <w:t>Westella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1A404A7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6AAB801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73A5619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3EAC9C8B">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四角藻属</w:t>
            </w:r>
            <w:r>
              <w:rPr>
                <w:rFonts w:hint="default" w:ascii="Times New Roman" w:hAnsi="Times New Roman" w:eastAsia="宋体"/>
                <w:i/>
                <w:color w:val="auto"/>
                <w:kern w:val="0"/>
                <w:sz w:val="20"/>
                <w:szCs w:val="20"/>
                <w:lang w:bidi="ar"/>
              </w:rPr>
              <w:t>Tetraedron</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3A91A02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7F3F5D2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4E0FCFE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75301A66">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实球藻</w:t>
            </w:r>
            <w:r>
              <w:rPr>
                <w:rFonts w:hint="default" w:ascii="Times New Roman" w:hAnsi="Times New Roman" w:eastAsia="宋体"/>
                <w:i/>
                <w:color w:val="auto"/>
                <w:kern w:val="0"/>
                <w:sz w:val="20"/>
                <w:szCs w:val="20"/>
                <w:lang w:bidi="ar"/>
              </w:rPr>
              <w:t>Pandorina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morum</w:t>
            </w:r>
          </w:p>
        </w:tc>
        <w:tc>
          <w:tcPr>
            <w:tcW w:w="694" w:type="pct"/>
            <w:tcBorders>
              <w:tl2br w:val="nil"/>
              <w:tr2bl w:val="nil"/>
            </w:tcBorders>
            <w:noWrap/>
            <w:vAlign w:val="center"/>
          </w:tcPr>
          <w:p w14:paraId="66E31DB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04A02C8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246F40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6509323D">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三角四角藻</w:t>
            </w:r>
            <w:r>
              <w:rPr>
                <w:rFonts w:hint="default" w:ascii="Times New Roman" w:hAnsi="Times New Roman" w:eastAsia="宋体"/>
                <w:i/>
                <w:color w:val="auto"/>
                <w:kern w:val="0"/>
                <w:sz w:val="20"/>
                <w:szCs w:val="20"/>
                <w:lang w:bidi="ar"/>
              </w:rPr>
              <w:t>Tetraedron</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trigonum</w:t>
            </w:r>
          </w:p>
        </w:tc>
        <w:tc>
          <w:tcPr>
            <w:tcW w:w="694" w:type="pct"/>
            <w:tcBorders>
              <w:tl2br w:val="nil"/>
              <w:tr2bl w:val="nil"/>
            </w:tcBorders>
            <w:noWrap/>
            <w:vAlign w:val="center"/>
          </w:tcPr>
          <w:p w14:paraId="2D1357B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3F5AD86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3B0BC61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6F8820AD">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华丽四星藻</w:t>
            </w:r>
            <w:r>
              <w:rPr>
                <w:rFonts w:hint="default" w:ascii="Times New Roman" w:hAnsi="Times New Roman" w:eastAsia="宋体"/>
                <w:i/>
                <w:color w:val="auto"/>
                <w:kern w:val="0"/>
                <w:sz w:val="20"/>
                <w:szCs w:val="20"/>
                <w:lang w:bidi="ar"/>
              </w:rPr>
              <w:t>Tetrastrum</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elegans</w:t>
            </w:r>
          </w:p>
        </w:tc>
        <w:tc>
          <w:tcPr>
            <w:tcW w:w="694" w:type="pct"/>
            <w:tcBorders>
              <w:tl2br w:val="nil"/>
              <w:tr2bl w:val="nil"/>
            </w:tcBorders>
            <w:noWrap/>
            <w:vAlign w:val="center"/>
          </w:tcPr>
          <w:p w14:paraId="6691903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1BE67BF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1660D8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6ECF7C0C">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鼓藻属</w:t>
            </w:r>
            <w:r>
              <w:rPr>
                <w:rFonts w:hint="default" w:ascii="Times New Roman" w:hAnsi="Times New Roman" w:eastAsia="宋体"/>
                <w:i/>
                <w:color w:val="auto"/>
                <w:kern w:val="0"/>
                <w:sz w:val="20"/>
                <w:szCs w:val="20"/>
                <w:lang w:bidi="ar"/>
              </w:rPr>
              <w:t>Cosmarium</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788CE55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11301D9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204C49F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01B697C0">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多芒藻</w:t>
            </w:r>
            <w:r>
              <w:rPr>
                <w:rFonts w:hint="default" w:ascii="Times New Roman" w:hAnsi="Times New Roman" w:eastAsia="宋体"/>
                <w:i/>
                <w:color w:val="auto"/>
                <w:kern w:val="0"/>
                <w:sz w:val="20"/>
                <w:szCs w:val="20"/>
                <w:lang w:bidi="ar"/>
              </w:rPr>
              <w:t>Golenkinia</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radiata</w:t>
            </w:r>
          </w:p>
        </w:tc>
        <w:tc>
          <w:tcPr>
            <w:tcW w:w="694" w:type="pct"/>
            <w:tcBorders>
              <w:tl2br w:val="nil"/>
              <w:tr2bl w:val="nil"/>
            </w:tcBorders>
            <w:noWrap/>
            <w:vAlign w:val="center"/>
          </w:tcPr>
          <w:p w14:paraId="55B2E6A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72F0E1A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4FCC41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19398260">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短刺四星藻</w:t>
            </w:r>
            <w:r>
              <w:rPr>
                <w:rFonts w:hint="default" w:ascii="Times New Roman" w:hAnsi="Times New Roman" w:eastAsia="宋体"/>
                <w:i/>
                <w:color w:val="auto"/>
                <w:kern w:val="0"/>
                <w:sz w:val="20"/>
                <w:szCs w:val="20"/>
                <w:lang w:bidi="ar"/>
              </w:rPr>
              <w:t>Tetrastrum</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staurogeniaeforme</w:t>
            </w:r>
          </w:p>
        </w:tc>
        <w:tc>
          <w:tcPr>
            <w:tcW w:w="694" w:type="pct"/>
            <w:tcBorders>
              <w:tl2br w:val="nil"/>
              <w:tr2bl w:val="nil"/>
            </w:tcBorders>
            <w:noWrap/>
            <w:vAlign w:val="center"/>
          </w:tcPr>
          <w:p w14:paraId="35A277F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7A196A9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67E3F6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25FA62C8">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波吉卵囊藻</w:t>
            </w:r>
            <w:r>
              <w:rPr>
                <w:rFonts w:hint="default" w:ascii="Times New Roman" w:hAnsi="Times New Roman" w:eastAsia="宋体"/>
                <w:i/>
                <w:color w:val="auto"/>
                <w:kern w:val="0"/>
                <w:sz w:val="20"/>
                <w:szCs w:val="20"/>
                <w:lang w:bidi="ar"/>
              </w:rPr>
              <w:t>Oocystis</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borgei</w:t>
            </w:r>
          </w:p>
        </w:tc>
        <w:tc>
          <w:tcPr>
            <w:tcW w:w="694" w:type="pct"/>
            <w:tcBorders>
              <w:tl2br w:val="nil"/>
              <w:tr2bl w:val="nil"/>
            </w:tcBorders>
            <w:noWrap/>
            <w:vAlign w:val="center"/>
          </w:tcPr>
          <w:p w14:paraId="1543A8D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4678883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6AB2769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159F1D19">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空球藻属</w:t>
            </w:r>
            <w:r>
              <w:rPr>
                <w:rFonts w:hint="default" w:ascii="Times New Roman" w:hAnsi="Times New Roman" w:eastAsia="宋体"/>
                <w:i/>
                <w:color w:val="auto"/>
                <w:kern w:val="0"/>
                <w:sz w:val="20"/>
                <w:szCs w:val="20"/>
                <w:lang w:bidi="ar"/>
              </w:rPr>
              <w:t>Eudorina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6D8E17B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5E04DA6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17755C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39F4BB3A">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壳衣藻属</w:t>
            </w:r>
            <w:r>
              <w:rPr>
                <w:rFonts w:hint="eastAsia"/>
                <w:color w:val="auto"/>
                <w:kern w:val="0"/>
                <w:sz w:val="20"/>
                <w:szCs w:val="20"/>
                <w:lang w:eastAsia="zh-CN" w:bidi="ar"/>
              </w:rPr>
              <w:t>Phacus</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79D9C52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6FA9F1C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4B81B47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597D443D">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光滑鼓藻</w:t>
            </w:r>
            <w:r>
              <w:rPr>
                <w:rFonts w:hint="default" w:ascii="Times New Roman" w:hAnsi="Times New Roman" w:eastAsia="宋体"/>
                <w:i/>
                <w:color w:val="auto"/>
                <w:kern w:val="0"/>
                <w:sz w:val="20"/>
                <w:szCs w:val="20"/>
                <w:lang w:bidi="ar"/>
              </w:rPr>
              <w:t>Cosmarium</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laeve</w:t>
            </w:r>
          </w:p>
        </w:tc>
        <w:tc>
          <w:tcPr>
            <w:tcW w:w="694" w:type="pct"/>
            <w:tcBorders>
              <w:tl2br w:val="nil"/>
              <w:tr2bl w:val="nil"/>
            </w:tcBorders>
            <w:noWrap/>
            <w:vAlign w:val="center"/>
          </w:tcPr>
          <w:p w14:paraId="1653181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119048F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1D3334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24A7AF3E">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弓形藻属</w:t>
            </w:r>
            <w:r>
              <w:rPr>
                <w:rFonts w:hint="default" w:ascii="Times New Roman" w:hAnsi="Times New Roman" w:eastAsia="宋体"/>
                <w:i/>
                <w:color w:val="auto"/>
                <w:kern w:val="0"/>
                <w:sz w:val="20"/>
                <w:szCs w:val="20"/>
                <w:lang w:bidi="ar"/>
              </w:rPr>
              <w:t>Schroederia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2C03233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45BB2AC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596F02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5CABDEDF">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蹄形藻属</w:t>
            </w:r>
            <w:r>
              <w:rPr>
                <w:rFonts w:hint="default" w:ascii="Times New Roman" w:hAnsi="Times New Roman" w:eastAsia="宋体"/>
                <w:i/>
                <w:color w:val="auto"/>
                <w:kern w:val="0"/>
                <w:sz w:val="20"/>
                <w:szCs w:val="20"/>
                <w:lang w:bidi="ar"/>
              </w:rPr>
              <w:t>Kirchneriella</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600A8A6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43AB441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299644C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111D92B3">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隐藻门Cryptophyta</w:t>
            </w:r>
          </w:p>
        </w:tc>
        <w:tc>
          <w:tcPr>
            <w:tcW w:w="694" w:type="pct"/>
            <w:tcBorders>
              <w:tl2br w:val="nil"/>
              <w:tr2bl w:val="nil"/>
            </w:tcBorders>
            <w:noWrap/>
            <w:vAlign w:val="center"/>
          </w:tcPr>
          <w:p w14:paraId="787525CA">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0"/>
                <w:szCs w:val="20"/>
              </w:rPr>
            </w:pPr>
          </w:p>
        </w:tc>
        <w:tc>
          <w:tcPr>
            <w:tcW w:w="694" w:type="pct"/>
            <w:tcBorders>
              <w:tl2br w:val="nil"/>
              <w:tr2bl w:val="nil"/>
            </w:tcBorders>
            <w:noWrap/>
            <w:vAlign w:val="center"/>
          </w:tcPr>
          <w:p w14:paraId="11C9FC9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2810A70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24322A11">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尖尾蓝隐藻</w:t>
            </w:r>
            <w:r>
              <w:rPr>
                <w:rFonts w:hint="default" w:ascii="Times New Roman" w:hAnsi="Times New Roman" w:eastAsia="宋体"/>
                <w:i/>
                <w:color w:val="auto"/>
                <w:kern w:val="0"/>
                <w:sz w:val="20"/>
                <w:szCs w:val="20"/>
                <w:lang w:bidi="ar"/>
              </w:rPr>
              <w:t>Chroomonas</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acuta</w:t>
            </w:r>
          </w:p>
        </w:tc>
        <w:tc>
          <w:tcPr>
            <w:tcW w:w="694" w:type="pct"/>
            <w:tcBorders>
              <w:tl2br w:val="nil"/>
              <w:tr2bl w:val="nil"/>
            </w:tcBorders>
            <w:noWrap/>
            <w:vAlign w:val="center"/>
          </w:tcPr>
          <w:p w14:paraId="5B384E9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49DF94A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4D4D1BC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0CBD227B">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卵形隐藻</w:t>
            </w:r>
            <w:r>
              <w:rPr>
                <w:rFonts w:hint="default" w:ascii="Times New Roman" w:hAnsi="Times New Roman" w:eastAsia="宋体"/>
                <w:i/>
                <w:color w:val="auto"/>
                <w:kern w:val="0"/>
                <w:sz w:val="20"/>
                <w:szCs w:val="20"/>
                <w:lang w:bidi="ar"/>
              </w:rPr>
              <w:t>Cryptomonas</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ovata</w:t>
            </w:r>
          </w:p>
        </w:tc>
        <w:tc>
          <w:tcPr>
            <w:tcW w:w="694" w:type="pct"/>
            <w:tcBorders>
              <w:tl2br w:val="nil"/>
              <w:tr2bl w:val="nil"/>
            </w:tcBorders>
            <w:noWrap/>
            <w:vAlign w:val="center"/>
          </w:tcPr>
          <w:p w14:paraId="7EDE19A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7C11504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0E9000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22EBECAC">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隐藻属</w:t>
            </w:r>
            <w:r>
              <w:rPr>
                <w:rFonts w:hint="default" w:ascii="Times New Roman" w:hAnsi="Times New Roman" w:eastAsia="宋体"/>
                <w:i/>
                <w:color w:val="auto"/>
                <w:kern w:val="0"/>
                <w:sz w:val="20"/>
                <w:szCs w:val="20"/>
                <w:lang w:bidi="ar"/>
              </w:rPr>
              <w:t>Cryptomonas</w:t>
            </w:r>
            <w:r>
              <w:rPr>
                <w:rFonts w:hint="default" w:ascii="Times New Roman" w:hAnsi="Times New Roman" w:eastAsia="宋体"/>
                <w:color w:val="auto"/>
                <w:kern w:val="0"/>
                <w:sz w:val="20"/>
                <w:szCs w:val="20"/>
                <w:lang w:bidi="ar"/>
              </w:rPr>
              <w:t xml:space="preserve"> sp.</w:t>
            </w:r>
          </w:p>
        </w:tc>
        <w:tc>
          <w:tcPr>
            <w:tcW w:w="694" w:type="pct"/>
            <w:tcBorders>
              <w:tl2br w:val="nil"/>
              <w:tr2bl w:val="nil"/>
            </w:tcBorders>
            <w:noWrap/>
            <w:vAlign w:val="center"/>
          </w:tcPr>
          <w:p w14:paraId="52C6C1AC">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0"/>
                <w:szCs w:val="20"/>
              </w:rPr>
            </w:pPr>
          </w:p>
        </w:tc>
        <w:tc>
          <w:tcPr>
            <w:tcW w:w="694" w:type="pct"/>
            <w:tcBorders>
              <w:tl2br w:val="nil"/>
              <w:tr2bl w:val="nil"/>
            </w:tcBorders>
            <w:noWrap/>
            <w:vAlign w:val="center"/>
          </w:tcPr>
          <w:p w14:paraId="73611FD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r>
      <w:tr w14:paraId="4192287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548B2E68">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啮蚀隐藻</w:t>
            </w:r>
            <w:r>
              <w:rPr>
                <w:rFonts w:hint="default" w:ascii="Times New Roman" w:hAnsi="Times New Roman" w:eastAsia="宋体"/>
                <w:i/>
                <w:color w:val="auto"/>
                <w:kern w:val="0"/>
                <w:sz w:val="20"/>
                <w:szCs w:val="20"/>
                <w:lang w:bidi="ar"/>
              </w:rPr>
              <w:t>Cryptomonas</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erosa</w:t>
            </w:r>
          </w:p>
        </w:tc>
        <w:tc>
          <w:tcPr>
            <w:tcW w:w="694" w:type="pct"/>
            <w:tcBorders>
              <w:tl2br w:val="nil"/>
              <w:tr2bl w:val="nil"/>
            </w:tcBorders>
            <w:noWrap/>
            <w:vAlign w:val="center"/>
          </w:tcPr>
          <w:p w14:paraId="27F9D4E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3CE005A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23F5B7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64E91BFA">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马索隐藻</w:t>
            </w:r>
            <w:r>
              <w:rPr>
                <w:rFonts w:hint="default" w:ascii="Times New Roman" w:hAnsi="Times New Roman" w:eastAsia="宋体"/>
                <w:i/>
                <w:color w:val="auto"/>
                <w:kern w:val="0"/>
                <w:sz w:val="20"/>
                <w:szCs w:val="20"/>
                <w:lang w:bidi="ar"/>
              </w:rPr>
              <w:t>Cryptomonas</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marssonii</w:t>
            </w:r>
          </w:p>
        </w:tc>
        <w:tc>
          <w:tcPr>
            <w:tcW w:w="694" w:type="pct"/>
            <w:tcBorders>
              <w:tl2br w:val="nil"/>
              <w:tr2bl w:val="nil"/>
            </w:tcBorders>
            <w:noWrap/>
            <w:vAlign w:val="center"/>
          </w:tcPr>
          <w:p w14:paraId="584FED0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5EEFC64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p>
        </w:tc>
      </w:tr>
      <w:tr w14:paraId="51577C2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3610" w:type="pct"/>
            <w:tcBorders>
              <w:tl2br w:val="nil"/>
              <w:tr2bl w:val="nil"/>
            </w:tcBorders>
            <w:noWrap/>
            <w:vAlign w:val="center"/>
          </w:tcPr>
          <w:p w14:paraId="1ECBFF0E">
            <w:pPr>
              <w:keepNext w:val="0"/>
              <w:keepLines w:val="0"/>
              <w:widowControl/>
              <w:suppressLineNumbers w:val="0"/>
              <w:spacing w:before="0" w:beforeAutospacing="0" w:after="0" w:afterAutospacing="0" w:line="240" w:lineRule="auto"/>
              <w:ind w:left="0" w:right="0" w:firstLine="178" w:firstLineChars="89"/>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具尾蓝隐藻</w:t>
            </w:r>
            <w:r>
              <w:rPr>
                <w:rFonts w:hint="default" w:ascii="Times New Roman" w:hAnsi="Times New Roman" w:eastAsia="宋体"/>
                <w:i/>
                <w:color w:val="auto"/>
                <w:kern w:val="0"/>
                <w:sz w:val="20"/>
                <w:szCs w:val="20"/>
                <w:lang w:bidi="ar"/>
              </w:rPr>
              <w:t>Chroomonas</w:t>
            </w:r>
            <w:r>
              <w:rPr>
                <w:rFonts w:hint="default" w:ascii="Times New Roman" w:hAnsi="Times New Roman" w:eastAsia="宋体"/>
                <w:color w:val="auto"/>
                <w:kern w:val="0"/>
                <w:sz w:val="20"/>
                <w:szCs w:val="20"/>
                <w:lang w:bidi="ar"/>
              </w:rPr>
              <w:t xml:space="preserve"> </w:t>
            </w:r>
            <w:r>
              <w:rPr>
                <w:rFonts w:hint="default" w:ascii="Times New Roman" w:hAnsi="Times New Roman" w:eastAsia="宋体"/>
                <w:i/>
                <w:color w:val="auto"/>
                <w:kern w:val="0"/>
                <w:sz w:val="20"/>
                <w:szCs w:val="20"/>
                <w:lang w:bidi="ar"/>
              </w:rPr>
              <w:t>caudata</w:t>
            </w:r>
          </w:p>
        </w:tc>
        <w:tc>
          <w:tcPr>
            <w:tcW w:w="694" w:type="pct"/>
            <w:tcBorders>
              <w:tl2br w:val="nil"/>
              <w:tr2bl w:val="nil"/>
            </w:tcBorders>
            <w:noWrap/>
            <w:vAlign w:val="center"/>
          </w:tcPr>
          <w:p w14:paraId="13E6F05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w:t>
            </w:r>
          </w:p>
        </w:tc>
        <w:tc>
          <w:tcPr>
            <w:tcW w:w="694" w:type="pct"/>
            <w:tcBorders>
              <w:tl2br w:val="nil"/>
              <w:tr2bl w:val="nil"/>
            </w:tcBorders>
            <w:noWrap/>
            <w:vAlign w:val="center"/>
          </w:tcPr>
          <w:p w14:paraId="2112ADC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　</w:t>
            </w:r>
          </w:p>
        </w:tc>
      </w:tr>
    </w:tbl>
    <w:p w14:paraId="1019A1CE">
      <w:pPr>
        <w:adjustRightInd w:val="0"/>
        <w:spacing w:line="360" w:lineRule="auto"/>
        <w:jc w:val="left"/>
        <w:rPr>
          <w:rFonts w:ascii="Times New Roman" w:hAnsi="Times New Roman" w:eastAsia="宋体"/>
          <w:b/>
          <w:color w:val="auto"/>
          <w:sz w:val="22"/>
          <w:szCs w:val="22"/>
        </w:rPr>
      </w:pPr>
      <w:r>
        <w:rPr>
          <w:rFonts w:ascii="Times New Roman" w:hAnsi="Times New Roman" w:eastAsia="宋体"/>
          <w:b/>
          <w:color w:val="auto"/>
          <w:sz w:val="22"/>
          <w:szCs w:val="22"/>
          <w:lang w:bidi="ar"/>
        </w:rPr>
        <w:t>“+”代表出现该物种。</w:t>
      </w:r>
    </w:p>
    <w:p w14:paraId="633A1AEC">
      <w:pPr>
        <w:widowControl/>
        <w:spacing w:line="360" w:lineRule="auto"/>
        <w:ind w:firstLine="480" w:firstLineChars="200"/>
        <w:rPr>
          <w:rFonts w:ascii="Times New Roman" w:hAnsi="Times New Roman" w:eastAsia="宋体"/>
          <w:b/>
          <w:bCs/>
          <w:color w:val="auto"/>
          <w:sz w:val="24"/>
          <w:szCs w:val="21"/>
          <w:lang w:bidi="ar"/>
        </w:rPr>
      </w:pPr>
      <w:bookmarkStart w:id="98" w:name="_Hlk72304504"/>
      <w:bookmarkStart w:id="99" w:name="_Hlk121833960"/>
      <w:bookmarkStart w:id="100" w:name="_Toc32356805"/>
      <w:r>
        <w:rPr>
          <w:rFonts w:ascii="Times New Roman" w:hAnsi="Times New Roman" w:eastAsia="宋体"/>
          <w:b/>
          <w:bCs/>
          <w:color w:val="auto"/>
          <w:sz w:val="24"/>
          <w:szCs w:val="21"/>
          <w:lang w:bidi="ar"/>
        </w:rPr>
        <w:t>(1)繁殖期</w:t>
      </w:r>
    </w:p>
    <w:bookmarkEnd w:id="98"/>
    <w:bookmarkEnd w:id="99"/>
    <w:p w14:paraId="65187D90">
      <w:pPr>
        <w:widowControl/>
        <w:spacing w:line="360" w:lineRule="auto"/>
        <w:ind w:firstLine="480" w:firstLineChars="200"/>
        <w:rPr>
          <w:rFonts w:ascii="Times New Roman" w:hAnsi="Times New Roman" w:eastAsia="宋体"/>
          <w:color w:val="auto"/>
          <w:sz w:val="24"/>
          <w:szCs w:val="21"/>
          <w:lang w:bidi="ar"/>
        </w:rPr>
      </w:pPr>
      <w:r>
        <w:rPr>
          <w:rFonts w:hint="eastAsia" w:ascii="Times New Roman" w:hAnsi="Times New Roman" w:eastAsia="宋体"/>
          <w:color w:val="auto"/>
          <w:sz w:val="24"/>
          <w:szCs w:val="21"/>
          <w:lang w:bidi="ar"/>
        </w:rPr>
        <w:t>保护区</w:t>
      </w:r>
      <w:r>
        <w:rPr>
          <w:rFonts w:ascii="Times New Roman" w:hAnsi="Times New Roman" w:eastAsia="宋体"/>
          <w:color w:val="auto"/>
          <w:sz w:val="24"/>
          <w:szCs w:val="21"/>
          <w:lang w:bidi="ar"/>
        </w:rPr>
        <w:t>共采集鉴定浮游植物6门24科69种</w:t>
      </w:r>
      <w:r>
        <w:rPr>
          <w:rFonts w:hint="eastAsia"/>
          <w:color w:val="auto"/>
          <w:sz w:val="24"/>
          <w:szCs w:val="21"/>
          <w:lang w:eastAsia="zh-CN" w:bidi="ar"/>
        </w:rPr>
        <w:t>（</w:t>
      </w:r>
      <w:r>
        <w:rPr>
          <w:rFonts w:ascii="Times New Roman" w:hAnsi="Times New Roman" w:eastAsia="宋体"/>
          <w:color w:val="auto"/>
          <w:sz w:val="24"/>
          <w:szCs w:val="21"/>
          <w:lang w:bidi="ar"/>
        </w:rPr>
        <w:t>属)(包括变种和变型)(图4.2.9.1-1)。从物种组成上看，硅藻门物种数最多，共33种(属)，占浮游植物总物种数的47.8%；其次为绿藻门，共25种(属)，占比为36.2%；隐藻门共5种(属)，占比为7.2%；甲藻门共2种(属)，占比为2.9%；裸藻门共2种(属)，占比为2.9%；蓝藻门共2种(属)，占比为2.9% (表4.2.9.1-1)。</w:t>
      </w:r>
    </w:p>
    <w:p w14:paraId="4B9C6587">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b/>
          <w:bCs/>
          <w:color w:val="auto"/>
          <w:sz w:val="24"/>
          <w:szCs w:val="21"/>
          <w:lang w:bidi="ar"/>
        </w:rPr>
        <w:t>(2)索饵期</w:t>
      </w:r>
    </w:p>
    <w:p w14:paraId="73EF4787">
      <w:pPr>
        <w:widowControl/>
        <w:spacing w:line="360" w:lineRule="auto"/>
        <w:ind w:firstLine="480" w:firstLineChars="200"/>
        <w:rPr>
          <w:rFonts w:ascii="Times New Roman" w:hAnsi="Times New Roman" w:eastAsia="宋体"/>
          <w:color w:val="auto"/>
          <w:sz w:val="24"/>
          <w:szCs w:val="21"/>
          <w:lang w:bidi="ar"/>
        </w:rPr>
      </w:pPr>
      <w:r>
        <w:rPr>
          <w:rFonts w:hint="eastAsia" w:ascii="Times New Roman" w:hAnsi="Times New Roman" w:eastAsia="宋体"/>
          <w:color w:val="auto"/>
          <w:sz w:val="24"/>
          <w:szCs w:val="21"/>
          <w:lang w:bidi="ar"/>
        </w:rPr>
        <w:t>保护区</w:t>
      </w:r>
      <w:r>
        <w:rPr>
          <w:rFonts w:ascii="Times New Roman" w:hAnsi="Times New Roman" w:eastAsia="宋体"/>
          <w:color w:val="auto"/>
          <w:sz w:val="24"/>
          <w:szCs w:val="21"/>
          <w:lang w:bidi="ar"/>
        </w:rPr>
        <w:t>共采集鉴定浮游植物7门15科25种(属)(包括变种和变型)(图4.2.9.1-1)。从物种组成上看，硅藻门物种数最多，共10种(属)，占浮游植物总物种数的40.0%；其次为绿藻门，共6种(属)，占比为24.0%；隐藻门共3种(属)，占比为12.0%；蓝藻门共2种(属)，占比为8.0%；裸藻门共2种(属)，占比为8.0%；甲藻门共1种(属)，占比为4.0%；金藻门共1种(属)，占比为4.0% (表4.2.9.1-1)。</w:t>
      </w:r>
    </w:p>
    <w:p w14:paraId="1CA05444">
      <w:pPr>
        <w:spacing w:line="240" w:lineRule="auto"/>
        <w:jc w:val="center"/>
        <w:rPr>
          <w:rFonts w:ascii="Times New Roman" w:hAnsi="Times New Roman" w:eastAsia="宋体"/>
          <w:color w:val="auto"/>
          <w:sz w:val="24"/>
          <w:szCs w:val="22"/>
        </w:rPr>
      </w:pPr>
      <w:r>
        <w:rPr>
          <w:rFonts w:ascii="Times New Roman" w:hAnsi="Times New Roman" w:eastAsia="宋体"/>
          <w:color w:val="auto"/>
          <w:sz w:val="24"/>
          <w:szCs w:val="22"/>
        </w:rPr>
        <w:drawing>
          <wp:inline distT="0" distB="0" distL="114300" distR="114300">
            <wp:extent cx="4359275" cy="2487930"/>
            <wp:effectExtent l="0" t="0" r="3175" b="7620"/>
            <wp:docPr id="319"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46"/>
                    <pic:cNvPicPr>
                      <a:picLocks noChangeAspect="1"/>
                    </pic:cNvPicPr>
                  </pic:nvPicPr>
                  <pic:blipFill>
                    <a:blip r:embed="rId113"/>
                    <a:stretch>
                      <a:fillRect/>
                    </a:stretch>
                  </pic:blipFill>
                  <pic:spPr>
                    <a:xfrm>
                      <a:off x="0" y="0"/>
                      <a:ext cx="4359275" cy="2487930"/>
                    </a:xfrm>
                    <a:prstGeom prst="rect">
                      <a:avLst/>
                    </a:prstGeom>
                    <a:noFill/>
                    <a:ln>
                      <a:noFill/>
                    </a:ln>
                  </pic:spPr>
                </pic:pic>
              </a:graphicData>
            </a:graphic>
          </wp:inline>
        </w:drawing>
      </w:r>
    </w:p>
    <w:p w14:paraId="0A1C7981">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-18</w:t>
      </w:r>
      <w:r>
        <w:rPr>
          <w:rFonts w:ascii="Times New Roman" w:hAnsi="Times New Roman" w:eastAsia="黑体" w:cs="Times New Roman"/>
          <w:color w:val="auto"/>
          <w:sz w:val="24"/>
          <w:szCs w:val="21"/>
        </w:rPr>
        <w:t xml:space="preserve">  2023年度保护区调查水域浮游植物物种数时间特征</w:t>
      </w:r>
    </w:p>
    <w:p w14:paraId="6630DF78">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4.2.5.11.2 群落优势种</w:t>
      </w:r>
      <w:bookmarkEnd w:id="100"/>
    </w:p>
    <w:p w14:paraId="58F3697A">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以优势度指数Y&gt;0.02定为优势种。</w:t>
      </w:r>
    </w:p>
    <w:p w14:paraId="615E0620">
      <w:pPr>
        <w:widowControl/>
        <w:spacing w:line="360" w:lineRule="auto"/>
        <w:ind w:firstLine="480" w:firstLineChars="200"/>
        <w:rPr>
          <w:rFonts w:ascii="Times New Roman" w:hAnsi="Times New Roman" w:eastAsia="宋体"/>
          <w:color w:val="auto"/>
          <w:sz w:val="22"/>
          <w:szCs w:val="20"/>
          <w:lang w:bidi="ar"/>
        </w:rPr>
      </w:pPr>
      <w:r>
        <w:rPr>
          <w:rFonts w:ascii="Times New Roman" w:hAnsi="Times New Roman" w:eastAsia="宋体"/>
          <w:color w:val="auto"/>
          <w:sz w:val="24"/>
          <w:szCs w:val="24"/>
          <w:lang w:bidi="ar"/>
        </w:rPr>
        <w:t>2023年监测结果显示，保护区浮游植物优势种共5种，分别为小环藻属(</w:t>
      </w:r>
      <w:r>
        <w:rPr>
          <w:rFonts w:ascii="Times New Roman" w:hAnsi="Times New Roman" w:eastAsia="宋体"/>
          <w:i/>
          <w:iCs/>
          <w:color w:val="auto"/>
          <w:sz w:val="24"/>
          <w:szCs w:val="24"/>
          <w:lang w:bidi="ar"/>
        </w:rPr>
        <w:t>Cyclotella</w:t>
      </w:r>
      <w:r>
        <w:rPr>
          <w:rFonts w:ascii="Times New Roman" w:hAnsi="Times New Roman" w:eastAsia="宋体"/>
          <w:color w:val="auto"/>
          <w:sz w:val="24"/>
          <w:szCs w:val="24"/>
          <w:lang w:bidi="ar"/>
        </w:rPr>
        <w:t xml:space="preserve"> sp.)、啮蚀隐藻(</w:t>
      </w:r>
      <w:r>
        <w:rPr>
          <w:rFonts w:ascii="Times New Roman" w:hAnsi="Times New Roman" w:eastAsia="宋体"/>
          <w:i/>
          <w:iCs/>
          <w:color w:val="auto"/>
          <w:sz w:val="24"/>
          <w:szCs w:val="24"/>
          <w:lang w:bidi="ar"/>
        </w:rPr>
        <w:t>Cryptomonas erosa</w:t>
      </w:r>
      <w:r>
        <w:rPr>
          <w:rFonts w:ascii="Times New Roman" w:hAnsi="Times New Roman" w:eastAsia="宋体"/>
          <w:color w:val="auto"/>
          <w:sz w:val="24"/>
          <w:szCs w:val="24"/>
          <w:lang w:bidi="ar"/>
        </w:rPr>
        <w:t>)、卵形隐藻(</w:t>
      </w:r>
      <w:r>
        <w:rPr>
          <w:rFonts w:ascii="Times New Roman" w:hAnsi="Times New Roman" w:eastAsia="宋体"/>
          <w:i/>
          <w:iCs/>
          <w:color w:val="auto"/>
          <w:sz w:val="24"/>
          <w:szCs w:val="24"/>
          <w:lang w:bidi="ar"/>
        </w:rPr>
        <w:t>Cryptomonas ovata</w:t>
      </w:r>
      <w:r>
        <w:rPr>
          <w:rFonts w:ascii="Times New Roman" w:hAnsi="Times New Roman" w:eastAsia="宋体"/>
          <w:color w:val="auto"/>
          <w:sz w:val="24"/>
          <w:szCs w:val="24"/>
          <w:lang w:bidi="ar"/>
        </w:rPr>
        <w:t>)、直链藻属(</w:t>
      </w:r>
      <w:r>
        <w:rPr>
          <w:rFonts w:ascii="Times New Roman" w:hAnsi="Times New Roman" w:eastAsia="宋体"/>
          <w:i/>
          <w:iCs/>
          <w:color w:val="auto"/>
          <w:sz w:val="24"/>
          <w:szCs w:val="24"/>
          <w:lang w:bidi="ar"/>
        </w:rPr>
        <w:t>Melosira</w:t>
      </w:r>
      <w:r>
        <w:rPr>
          <w:rFonts w:ascii="Times New Roman" w:hAnsi="Times New Roman" w:eastAsia="宋体"/>
          <w:color w:val="auto"/>
          <w:sz w:val="24"/>
          <w:szCs w:val="24"/>
          <w:lang w:bidi="ar"/>
        </w:rPr>
        <w:t xml:space="preserve"> sp.)、实球藻(</w:t>
      </w:r>
      <w:r>
        <w:rPr>
          <w:rFonts w:ascii="Times New Roman" w:hAnsi="Times New Roman" w:eastAsia="宋体"/>
          <w:i/>
          <w:iCs/>
          <w:color w:val="auto"/>
          <w:sz w:val="24"/>
          <w:szCs w:val="24"/>
          <w:lang w:bidi="ar"/>
        </w:rPr>
        <w:t>Pandorina morum</w:t>
      </w:r>
      <w:r>
        <w:rPr>
          <w:rFonts w:ascii="Times New Roman" w:hAnsi="Times New Roman" w:eastAsia="宋体"/>
          <w:color w:val="auto"/>
          <w:sz w:val="24"/>
          <w:szCs w:val="24"/>
          <w:lang w:bidi="ar"/>
        </w:rPr>
        <w:t>)，其优势度分别为0.044、0.036、0.035、0.022、0.021</w:t>
      </w:r>
      <w:r>
        <w:rPr>
          <w:rFonts w:ascii="Times New Roman" w:hAnsi="Times New Roman" w:eastAsia="宋体"/>
          <w:color w:val="auto"/>
          <w:sz w:val="22"/>
          <w:szCs w:val="20"/>
          <w:lang w:bidi="ar"/>
        </w:rPr>
        <w:t>。</w:t>
      </w:r>
    </w:p>
    <w:p w14:paraId="3A78F657">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(1)繁殖期</w:t>
      </w:r>
    </w:p>
    <w:p w14:paraId="5D31F945">
      <w:pPr>
        <w:spacing w:line="360" w:lineRule="auto"/>
        <w:ind w:firstLine="480" w:firstLineChars="200"/>
        <w:rPr>
          <w:rFonts w:ascii="Times New Roman" w:hAnsi="Times New Roman" w:eastAsia="宋体"/>
          <w:color w:val="auto"/>
          <w:sz w:val="24"/>
          <w:szCs w:val="24"/>
        </w:rPr>
      </w:pPr>
      <w:r>
        <w:rPr>
          <w:rFonts w:ascii="Times New Roman" w:hAnsi="Times New Roman" w:eastAsia="宋体"/>
          <w:color w:val="auto"/>
          <w:sz w:val="24"/>
          <w:szCs w:val="24"/>
          <w:lang w:bidi="ar"/>
        </w:rPr>
        <w:t>保护区浮游植物优势种共11种，分别为波吉卵囊藻(</w:t>
      </w:r>
      <w:r>
        <w:rPr>
          <w:rFonts w:ascii="Times New Roman" w:hAnsi="Times New Roman" w:eastAsia="宋体"/>
          <w:i/>
          <w:iCs/>
          <w:color w:val="auto"/>
          <w:sz w:val="24"/>
          <w:szCs w:val="24"/>
          <w:lang w:bidi="ar"/>
        </w:rPr>
        <w:t>Oocystis borgei</w:t>
      </w:r>
      <w:r>
        <w:rPr>
          <w:rFonts w:ascii="Times New Roman" w:hAnsi="Times New Roman" w:eastAsia="宋体"/>
          <w:color w:val="auto"/>
          <w:sz w:val="24"/>
          <w:szCs w:val="24"/>
          <w:lang w:bidi="ar"/>
        </w:rPr>
        <w:t>)、短缝藻属(</w:t>
      </w:r>
      <w:r>
        <w:rPr>
          <w:rFonts w:ascii="Times New Roman" w:hAnsi="Times New Roman" w:eastAsia="宋体"/>
          <w:i/>
          <w:iCs/>
          <w:color w:val="auto"/>
          <w:sz w:val="24"/>
          <w:szCs w:val="24"/>
          <w:lang w:bidi="ar"/>
        </w:rPr>
        <w:t xml:space="preserve">Eunotia </w:t>
      </w:r>
      <w:r>
        <w:rPr>
          <w:rFonts w:ascii="Times New Roman" w:hAnsi="Times New Roman" w:eastAsia="宋体"/>
          <w:color w:val="auto"/>
          <w:sz w:val="24"/>
          <w:szCs w:val="24"/>
          <w:lang w:bidi="ar"/>
        </w:rPr>
        <w:t>sp.)、假鱼腥藻属(Pseu</w:t>
      </w:r>
      <w:r>
        <w:rPr>
          <w:rFonts w:ascii="Times New Roman" w:hAnsi="Times New Roman" w:eastAsia="宋体"/>
          <w:i/>
          <w:iCs/>
          <w:color w:val="auto"/>
          <w:sz w:val="24"/>
          <w:szCs w:val="24"/>
          <w:lang w:bidi="ar"/>
        </w:rPr>
        <w:t>danabaena</w:t>
      </w:r>
      <w:r>
        <w:rPr>
          <w:rFonts w:ascii="Times New Roman" w:hAnsi="Times New Roman" w:eastAsia="宋体"/>
          <w:color w:val="auto"/>
          <w:sz w:val="24"/>
          <w:szCs w:val="24"/>
          <w:lang w:bidi="ar"/>
        </w:rPr>
        <w:t xml:space="preserve"> sp.)、颗粒直链藻极狭变种(</w:t>
      </w:r>
      <w:r>
        <w:rPr>
          <w:rFonts w:ascii="Times New Roman" w:hAnsi="Times New Roman" w:eastAsia="宋体"/>
          <w:i/>
          <w:iCs/>
          <w:color w:val="auto"/>
          <w:sz w:val="24"/>
          <w:szCs w:val="24"/>
          <w:lang w:bidi="ar"/>
        </w:rPr>
        <w:t>Melosira granulata var. angustissima</w:t>
      </w:r>
      <w:r>
        <w:rPr>
          <w:rFonts w:ascii="Times New Roman" w:hAnsi="Times New Roman" w:eastAsia="宋体"/>
          <w:color w:val="auto"/>
          <w:sz w:val="24"/>
          <w:szCs w:val="24"/>
          <w:lang w:bidi="ar"/>
        </w:rPr>
        <w:t>)、空球藻属(</w:t>
      </w:r>
      <w:r>
        <w:rPr>
          <w:rFonts w:ascii="Times New Roman" w:hAnsi="Times New Roman" w:eastAsia="宋体"/>
          <w:i/>
          <w:iCs/>
          <w:color w:val="auto"/>
          <w:sz w:val="24"/>
          <w:szCs w:val="24"/>
          <w:lang w:bidi="ar"/>
        </w:rPr>
        <w:t>Eudorina</w:t>
      </w:r>
      <w:r>
        <w:rPr>
          <w:rFonts w:ascii="Times New Roman" w:hAnsi="Times New Roman" w:eastAsia="宋体"/>
          <w:color w:val="auto"/>
          <w:sz w:val="24"/>
          <w:szCs w:val="24"/>
          <w:lang w:bidi="ar"/>
        </w:rPr>
        <w:t xml:space="preserve"> sp.)、卵形隐藻(</w:t>
      </w:r>
      <w:r>
        <w:rPr>
          <w:rFonts w:ascii="Times New Roman" w:hAnsi="Times New Roman" w:eastAsia="宋体"/>
          <w:i/>
          <w:iCs/>
          <w:color w:val="auto"/>
          <w:sz w:val="24"/>
          <w:szCs w:val="24"/>
          <w:lang w:bidi="ar"/>
        </w:rPr>
        <w:t>Cryptomonas ovata</w:t>
      </w:r>
      <w:r>
        <w:rPr>
          <w:rFonts w:ascii="Times New Roman" w:hAnsi="Times New Roman" w:eastAsia="宋体"/>
          <w:color w:val="auto"/>
          <w:sz w:val="24"/>
          <w:szCs w:val="24"/>
          <w:lang w:bidi="ar"/>
        </w:rPr>
        <w:t>)、卵形藻属(</w:t>
      </w:r>
      <w:r>
        <w:rPr>
          <w:rFonts w:ascii="Times New Roman" w:hAnsi="Times New Roman" w:eastAsia="宋体"/>
          <w:i/>
          <w:iCs/>
          <w:color w:val="auto"/>
          <w:sz w:val="24"/>
          <w:szCs w:val="24"/>
          <w:lang w:bidi="ar"/>
        </w:rPr>
        <w:t>Cocconeis</w:t>
      </w:r>
      <w:r>
        <w:rPr>
          <w:rFonts w:ascii="Times New Roman" w:hAnsi="Times New Roman" w:eastAsia="宋体"/>
          <w:color w:val="auto"/>
          <w:sz w:val="24"/>
          <w:szCs w:val="24"/>
          <w:lang w:bidi="ar"/>
        </w:rPr>
        <w:t xml:space="preserve"> sp.)、啮蚀隐藻(</w:t>
      </w:r>
      <w:r>
        <w:rPr>
          <w:rFonts w:ascii="Times New Roman" w:hAnsi="Times New Roman" w:eastAsia="宋体"/>
          <w:i/>
          <w:iCs/>
          <w:color w:val="auto"/>
          <w:sz w:val="24"/>
          <w:szCs w:val="24"/>
          <w:lang w:bidi="ar"/>
        </w:rPr>
        <w:t>Cryptomonas erosa</w:t>
      </w:r>
      <w:r>
        <w:rPr>
          <w:rFonts w:ascii="Times New Roman" w:hAnsi="Times New Roman" w:eastAsia="宋体"/>
          <w:color w:val="auto"/>
          <w:sz w:val="24"/>
          <w:szCs w:val="24"/>
          <w:lang w:bidi="ar"/>
        </w:rPr>
        <w:t>)、实球藻(</w:t>
      </w:r>
      <w:r>
        <w:rPr>
          <w:rFonts w:ascii="Times New Roman" w:hAnsi="Times New Roman" w:eastAsia="宋体"/>
          <w:i/>
          <w:iCs/>
          <w:color w:val="auto"/>
          <w:sz w:val="24"/>
          <w:szCs w:val="24"/>
          <w:lang w:bidi="ar"/>
        </w:rPr>
        <w:t>Pandorina morum</w:t>
      </w:r>
      <w:r>
        <w:rPr>
          <w:rFonts w:ascii="Times New Roman" w:hAnsi="Times New Roman" w:eastAsia="宋体"/>
          <w:color w:val="auto"/>
          <w:sz w:val="24"/>
          <w:szCs w:val="24"/>
          <w:lang w:bidi="ar"/>
        </w:rPr>
        <w:t>)、蹄形藻属(</w:t>
      </w:r>
      <w:r>
        <w:rPr>
          <w:rFonts w:ascii="Times New Roman" w:hAnsi="Times New Roman" w:eastAsia="宋体"/>
          <w:i/>
          <w:iCs/>
          <w:color w:val="auto"/>
          <w:sz w:val="24"/>
          <w:szCs w:val="24"/>
          <w:lang w:bidi="ar"/>
        </w:rPr>
        <w:t>Kirchneriella</w:t>
      </w:r>
      <w:r>
        <w:rPr>
          <w:rFonts w:ascii="Times New Roman" w:hAnsi="Times New Roman" w:eastAsia="宋体"/>
          <w:color w:val="auto"/>
          <w:sz w:val="24"/>
          <w:szCs w:val="24"/>
          <w:lang w:bidi="ar"/>
        </w:rPr>
        <w:t xml:space="preserve"> sp.)、直链藻属(</w:t>
      </w:r>
      <w:r>
        <w:rPr>
          <w:rFonts w:ascii="Times New Roman" w:hAnsi="Times New Roman" w:eastAsia="宋体"/>
          <w:i/>
          <w:iCs/>
          <w:color w:val="auto"/>
          <w:sz w:val="24"/>
          <w:szCs w:val="24"/>
          <w:lang w:bidi="ar"/>
        </w:rPr>
        <w:t>Melosira</w:t>
      </w:r>
      <w:r>
        <w:rPr>
          <w:rFonts w:ascii="Times New Roman" w:hAnsi="Times New Roman" w:eastAsia="宋体"/>
          <w:color w:val="auto"/>
          <w:sz w:val="24"/>
          <w:szCs w:val="24"/>
          <w:lang w:bidi="ar"/>
        </w:rPr>
        <w:t xml:space="preserve"> sp.)，其优势度分别为0.022、0.021、0.022、0.022、0.023、0.052、0.024、0.100、0.058、0.022、0.044。</w:t>
      </w:r>
    </w:p>
    <w:p w14:paraId="4DED6CC8">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(2)索饵期</w:t>
      </w:r>
    </w:p>
    <w:p w14:paraId="3C4D3950">
      <w:pPr>
        <w:spacing w:line="360" w:lineRule="auto"/>
        <w:ind w:firstLine="480" w:firstLineChars="200"/>
        <w:rPr>
          <w:rFonts w:ascii="Times New Roman" w:hAnsi="Times New Roman" w:eastAsia="宋体"/>
          <w:color w:val="auto"/>
          <w:sz w:val="24"/>
          <w:szCs w:val="24"/>
        </w:rPr>
      </w:pPr>
      <w:r>
        <w:rPr>
          <w:rFonts w:ascii="Times New Roman" w:hAnsi="Times New Roman" w:eastAsia="宋体"/>
          <w:color w:val="auto"/>
          <w:sz w:val="24"/>
          <w:szCs w:val="24"/>
          <w:lang w:bidi="ar"/>
        </w:rPr>
        <w:t>保护区浮游植物优势种共5种，分别为小环藻属(</w:t>
      </w:r>
      <w:r>
        <w:rPr>
          <w:rFonts w:ascii="Times New Roman" w:hAnsi="Times New Roman" w:eastAsia="宋体"/>
          <w:i/>
          <w:iCs/>
          <w:color w:val="auto"/>
          <w:sz w:val="24"/>
          <w:szCs w:val="24"/>
          <w:lang w:bidi="ar"/>
        </w:rPr>
        <w:t>Cyclotella</w:t>
      </w:r>
      <w:r>
        <w:rPr>
          <w:rFonts w:ascii="Times New Roman" w:hAnsi="Times New Roman" w:eastAsia="宋体"/>
          <w:color w:val="auto"/>
          <w:sz w:val="24"/>
          <w:szCs w:val="24"/>
          <w:lang w:bidi="ar"/>
        </w:rPr>
        <w:t xml:space="preserve"> sp.)、空星藻属(</w:t>
      </w:r>
      <w:r>
        <w:rPr>
          <w:rFonts w:ascii="Times New Roman" w:hAnsi="Times New Roman" w:eastAsia="宋体"/>
          <w:i/>
          <w:iCs/>
          <w:color w:val="auto"/>
          <w:sz w:val="24"/>
          <w:szCs w:val="24"/>
          <w:lang w:bidi="ar"/>
        </w:rPr>
        <w:t>Coelastrum</w:t>
      </w:r>
      <w:r>
        <w:rPr>
          <w:rFonts w:ascii="Times New Roman" w:hAnsi="Times New Roman" w:eastAsia="宋体"/>
          <w:color w:val="auto"/>
          <w:sz w:val="24"/>
          <w:szCs w:val="24"/>
          <w:lang w:bidi="ar"/>
        </w:rPr>
        <w:t xml:space="preserve"> sp.)、裸甲藻属(</w:t>
      </w:r>
      <w:r>
        <w:rPr>
          <w:rFonts w:ascii="Times New Roman" w:hAnsi="Times New Roman" w:eastAsia="宋体"/>
          <w:i/>
          <w:iCs/>
          <w:color w:val="auto"/>
          <w:sz w:val="24"/>
          <w:szCs w:val="24"/>
          <w:lang w:bidi="ar"/>
        </w:rPr>
        <w:t>Gymnodinium</w:t>
      </w:r>
      <w:r>
        <w:rPr>
          <w:rFonts w:ascii="Times New Roman" w:hAnsi="Times New Roman" w:eastAsia="宋体"/>
          <w:color w:val="auto"/>
          <w:sz w:val="24"/>
          <w:szCs w:val="24"/>
          <w:lang w:bidi="ar"/>
        </w:rPr>
        <w:t xml:space="preserve"> sp.)、颗粒直链藻(</w:t>
      </w:r>
      <w:r>
        <w:rPr>
          <w:rFonts w:ascii="Times New Roman" w:hAnsi="Times New Roman" w:eastAsia="宋体"/>
          <w:i/>
          <w:iCs/>
          <w:color w:val="auto"/>
          <w:sz w:val="24"/>
          <w:szCs w:val="24"/>
          <w:lang w:bidi="ar"/>
        </w:rPr>
        <w:t>Melosira granulate</w:t>
      </w:r>
      <w:r>
        <w:rPr>
          <w:rFonts w:ascii="Times New Roman" w:hAnsi="Times New Roman" w:eastAsia="宋体"/>
          <w:color w:val="auto"/>
          <w:sz w:val="24"/>
          <w:szCs w:val="24"/>
          <w:lang w:bidi="ar"/>
        </w:rPr>
        <w:t>)、隐藻属(</w:t>
      </w:r>
      <w:r>
        <w:rPr>
          <w:rFonts w:ascii="Times New Roman" w:hAnsi="Times New Roman" w:eastAsia="宋体"/>
          <w:i/>
          <w:iCs/>
          <w:color w:val="auto"/>
          <w:sz w:val="24"/>
          <w:szCs w:val="24"/>
          <w:lang w:bidi="ar"/>
        </w:rPr>
        <w:t>Cryptomonas</w:t>
      </w:r>
      <w:r>
        <w:rPr>
          <w:rFonts w:ascii="Times New Roman" w:hAnsi="Times New Roman" w:eastAsia="宋体"/>
          <w:color w:val="auto"/>
          <w:sz w:val="24"/>
          <w:szCs w:val="24"/>
          <w:lang w:bidi="ar"/>
        </w:rPr>
        <w:t xml:space="preserve"> sp.)，其优势度分别为0.125、0.067、0.062、0.048、0.029。</w:t>
      </w:r>
    </w:p>
    <w:p w14:paraId="48E411D4">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bookmarkStart w:id="101" w:name="_Toc32356806"/>
      <w:r>
        <w:rPr>
          <w:rFonts w:hint="eastAsia" w:ascii="Times New Roman" w:hAnsi="Times New Roman" w:eastAsia="宋体" w:cs="Times New Roman"/>
          <w:bCs/>
          <w:color w:val="auto"/>
          <w:kern w:val="2"/>
          <w:sz w:val="24"/>
          <w:szCs w:val="28"/>
          <w:lang w:val="en-US" w:eastAsia="zh-CN" w:bidi="ar-SA"/>
        </w:rPr>
        <w:t>4.2.5.11.3 现存量</w:t>
      </w:r>
      <w:bookmarkEnd w:id="101"/>
    </w:p>
    <w:p w14:paraId="1C1ED7C7">
      <w:pPr>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浮游植物不仅是水域生态系统中最重要的初级生产者，而且是水中溶解氧的主要供应者，它启动了水域生态系统中的食物网，在水域生态系统的能量流动、物质循环和信息传递中起着至关重要的作用。</w:t>
      </w:r>
    </w:p>
    <w:p w14:paraId="1B671A9E">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(1)资源密度</w:t>
      </w:r>
    </w:p>
    <w:p w14:paraId="18E6B1FE">
      <w:pPr>
        <w:widowControl/>
        <w:spacing w:line="360" w:lineRule="auto"/>
        <w:ind w:firstLine="480" w:firstLineChars="200"/>
        <w:rPr>
          <w:rFonts w:ascii="Times New Roman" w:hAnsi="Times New Roman" w:eastAsia="宋体"/>
          <w:color w:val="auto"/>
          <w:sz w:val="24"/>
          <w:szCs w:val="21"/>
          <w:lang w:bidi="ar"/>
        </w:rPr>
      </w:pPr>
      <w:bookmarkStart w:id="102" w:name="_Hlk121834865"/>
      <w:r>
        <w:rPr>
          <w:rFonts w:ascii="Times New Roman" w:hAnsi="Times New Roman" w:eastAsia="宋体"/>
          <w:color w:val="auto"/>
          <w:sz w:val="24"/>
          <w:szCs w:val="24"/>
          <w:lang w:bidi="ar"/>
        </w:rPr>
        <w:t>2023年监测结果显示，保护区浮游植物资源密度变幅为0.91×10</w:t>
      </w:r>
      <w:r>
        <w:rPr>
          <w:rFonts w:ascii="Times New Roman" w:hAnsi="Times New Roman" w:eastAsia="宋体"/>
          <w:color w:val="auto"/>
          <w:sz w:val="24"/>
          <w:szCs w:val="24"/>
          <w:vertAlign w:val="superscript"/>
          <w:lang w:bidi="ar"/>
        </w:rPr>
        <w:t xml:space="preserve">6 </w:t>
      </w:r>
      <w:r>
        <w:rPr>
          <w:rFonts w:ascii="Times New Roman" w:hAnsi="Times New Roman" w:eastAsia="宋体"/>
          <w:iCs/>
          <w:color w:val="auto"/>
          <w:sz w:val="24"/>
          <w:szCs w:val="24"/>
          <w:lang w:bidi="ar"/>
        </w:rPr>
        <w:t>cells/L</w:t>
      </w:r>
      <w:r>
        <w:rPr>
          <w:rFonts w:ascii="Times New Roman" w:hAnsi="Times New Roman" w:eastAsia="宋体"/>
          <w:color w:val="auto"/>
          <w:sz w:val="24"/>
          <w:szCs w:val="24"/>
          <w:lang w:bidi="ar"/>
        </w:rPr>
        <w:t>-3.16×10</w:t>
      </w:r>
      <w:r>
        <w:rPr>
          <w:rFonts w:ascii="Times New Roman" w:hAnsi="Times New Roman" w:eastAsia="宋体"/>
          <w:color w:val="auto"/>
          <w:sz w:val="24"/>
          <w:szCs w:val="24"/>
          <w:vertAlign w:val="superscript"/>
          <w:lang w:bidi="ar"/>
        </w:rPr>
        <w:t xml:space="preserve">6 </w:t>
      </w:r>
      <w:r>
        <w:rPr>
          <w:rFonts w:ascii="Times New Roman" w:hAnsi="Times New Roman" w:eastAsia="宋体"/>
          <w:iCs/>
          <w:color w:val="auto"/>
          <w:sz w:val="24"/>
          <w:szCs w:val="24"/>
          <w:lang w:bidi="ar"/>
        </w:rPr>
        <w:t>cells/L</w:t>
      </w:r>
      <w:r>
        <w:rPr>
          <w:rFonts w:ascii="Times New Roman" w:hAnsi="Times New Roman" w:eastAsia="宋体"/>
          <w:color w:val="auto"/>
          <w:sz w:val="24"/>
          <w:szCs w:val="24"/>
          <w:lang w:bidi="ar"/>
        </w:rPr>
        <w:t>，均值为1.80×10</w:t>
      </w:r>
      <w:r>
        <w:rPr>
          <w:rFonts w:ascii="Times New Roman" w:hAnsi="Times New Roman" w:eastAsia="宋体"/>
          <w:color w:val="auto"/>
          <w:sz w:val="24"/>
          <w:szCs w:val="24"/>
          <w:vertAlign w:val="superscript"/>
          <w:lang w:bidi="ar"/>
        </w:rPr>
        <w:t xml:space="preserve">6 </w:t>
      </w:r>
      <w:r>
        <w:rPr>
          <w:rFonts w:ascii="Times New Roman" w:hAnsi="Times New Roman" w:eastAsia="宋体"/>
          <w:iCs/>
          <w:color w:val="auto"/>
          <w:sz w:val="24"/>
          <w:szCs w:val="24"/>
          <w:lang w:bidi="ar"/>
        </w:rPr>
        <w:t>cells/L</w:t>
      </w:r>
      <w:r>
        <w:rPr>
          <w:rFonts w:ascii="Times New Roman" w:hAnsi="Times New Roman" w:eastAsia="宋体"/>
          <w:color w:val="auto"/>
          <w:sz w:val="24"/>
          <w:szCs w:val="21"/>
          <w:lang w:bidi="ar"/>
        </w:rPr>
        <w:t>。</w:t>
      </w:r>
    </w:p>
    <w:p w14:paraId="25192FF2">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①繁殖期</w:t>
      </w:r>
    </w:p>
    <w:p w14:paraId="12BE8507">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保护区浮游植物资源密度变幅为2.02×10</w:t>
      </w:r>
      <w:r>
        <w:rPr>
          <w:rFonts w:ascii="Times New Roman" w:hAnsi="Times New Roman" w:eastAsia="宋体"/>
          <w:color w:val="auto"/>
          <w:sz w:val="24"/>
          <w:szCs w:val="24"/>
          <w:vertAlign w:val="superscript"/>
          <w:lang w:bidi="ar"/>
        </w:rPr>
        <w:t xml:space="preserve">6 </w:t>
      </w:r>
      <w:r>
        <w:rPr>
          <w:rFonts w:ascii="Times New Roman" w:hAnsi="Times New Roman" w:eastAsia="宋体"/>
          <w:iCs/>
          <w:color w:val="auto"/>
          <w:sz w:val="24"/>
          <w:szCs w:val="24"/>
          <w:lang w:bidi="ar"/>
        </w:rPr>
        <w:t>cells/L</w:t>
      </w:r>
      <w:r>
        <w:rPr>
          <w:rFonts w:ascii="Times New Roman" w:hAnsi="Times New Roman" w:eastAsia="宋体"/>
          <w:color w:val="auto"/>
          <w:sz w:val="24"/>
          <w:szCs w:val="24"/>
          <w:lang w:bidi="ar"/>
        </w:rPr>
        <w:t>-3.16×10</w:t>
      </w:r>
      <w:r>
        <w:rPr>
          <w:rFonts w:ascii="Times New Roman" w:hAnsi="Times New Roman" w:eastAsia="宋体"/>
          <w:color w:val="auto"/>
          <w:sz w:val="24"/>
          <w:szCs w:val="24"/>
          <w:vertAlign w:val="superscript"/>
          <w:lang w:bidi="ar"/>
        </w:rPr>
        <w:t xml:space="preserve">6 </w:t>
      </w:r>
      <w:r>
        <w:rPr>
          <w:rFonts w:ascii="Times New Roman" w:hAnsi="Times New Roman" w:eastAsia="宋体"/>
          <w:iCs/>
          <w:color w:val="auto"/>
          <w:sz w:val="24"/>
          <w:szCs w:val="24"/>
          <w:lang w:bidi="ar"/>
        </w:rPr>
        <w:t>cells/L</w:t>
      </w:r>
      <w:r>
        <w:rPr>
          <w:rFonts w:ascii="Times New Roman" w:hAnsi="Times New Roman" w:eastAsia="宋体"/>
          <w:color w:val="auto"/>
          <w:sz w:val="24"/>
          <w:szCs w:val="24"/>
          <w:lang w:bidi="ar"/>
        </w:rPr>
        <w:t>，均值为2.59×10</w:t>
      </w:r>
      <w:r>
        <w:rPr>
          <w:rFonts w:ascii="Times New Roman" w:hAnsi="Times New Roman" w:eastAsia="宋体"/>
          <w:color w:val="auto"/>
          <w:sz w:val="24"/>
          <w:szCs w:val="24"/>
          <w:vertAlign w:val="superscript"/>
          <w:lang w:bidi="ar"/>
        </w:rPr>
        <w:t xml:space="preserve">6 </w:t>
      </w:r>
      <w:r>
        <w:rPr>
          <w:rFonts w:ascii="Times New Roman" w:hAnsi="Times New Roman" w:eastAsia="宋体"/>
          <w:iCs/>
          <w:color w:val="auto"/>
          <w:sz w:val="24"/>
          <w:szCs w:val="24"/>
          <w:lang w:bidi="ar"/>
        </w:rPr>
        <w:t>cells/L</w:t>
      </w:r>
      <w:r>
        <w:rPr>
          <w:rFonts w:ascii="Times New Roman" w:hAnsi="Times New Roman" w:eastAsia="宋体"/>
          <w:color w:val="auto"/>
          <w:sz w:val="24"/>
          <w:szCs w:val="21"/>
          <w:lang w:bidi="ar"/>
        </w:rPr>
        <w:t>。</w:t>
      </w:r>
    </w:p>
    <w:bookmarkEnd w:id="102"/>
    <w:p w14:paraId="0F0DB8F6">
      <w:pPr>
        <w:spacing w:line="240" w:lineRule="auto"/>
        <w:jc w:val="center"/>
        <w:rPr>
          <w:rFonts w:ascii="Times New Roman" w:hAnsi="Times New Roman" w:eastAsia="宋体"/>
          <w:color w:val="auto"/>
          <w:sz w:val="24"/>
          <w:szCs w:val="22"/>
        </w:rPr>
      </w:pPr>
      <w:r>
        <w:rPr>
          <w:rFonts w:ascii="Times New Roman" w:hAnsi="Times New Roman" w:eastAsia="宋体"/>
          <w:color w:val="auto"/>
          <w:sz w:val="24"/>
          <w:szCs w:val="22"/>
        </w:rPr>
        <w:drawing>
          <wp:inline distT="0" distB="0" distL="114300" distR="114300">
            <wp:extent cx="4478020" cy="2555875"/>
            <wp:effectExtent l="0" t="0" r="17780" b="15875"/>
            <wp:docPr id="320"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47"/>
                    <pic:cNvPicPr>
                      <a:picLocks noChangeAspect="1"/>
                    </pic:cNvPicPr>
                  </pic:nvPicPr>
                  <pic:blipFill>
                    <a:blip r:embed="rId114"/>
                    <a:stretch>
                      <a:fillRect/>
                    </a:stretch>
                  </pic:blipFill>
                  <pic:spPr>
                    <a:xfrm>
                      <a:off x="0" y="0"/>
                      <a:ext cx="4478020" cy="2555875"/>
                    </a:xfrm>
                    <a:prstGeom prst="rect">
                      <a:avLst/>
                    </a:prstGeom>
                    <a:noFill/>
                    <a:ln>
                      <a:noFill/>
                    </a:ln>
                  </pic:spPr>
                </pic:pic>
              </a:graphicData>
            </a:graphic>
          </wp:inline>
        </w:drawing>
      </w:r>
    </w:p>
    <w:p w14:paraId="17CDCD87">
      <w:pPr>
        <w:spacing w:line="400" w:lineRule="exact"/>
        <w:jc w:val="center"/>
        <w:rPr>
          <w:rFonts w:ascii="Times New Roman" w:hAnsi="Times New Roman" w:eastAsia="黑体" w:cs="Times New Roman"/>
          <w:color w:val="auto"/>
          <w:sz w:val="24"/>
          <w:szCs w:val="21"/>
        </w:rPr>
      </w:pPr>
      <w:bookmarkStart w:id="103" w:name="_Hlk74310127"/>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-19</w:t>
      </w:r>
      <w:r>
        <w:rPr>
          <w:rFonts w:ascii="Times New Roman" w:hAnsi="Times New Roman" w:eastAsia="黑体" w:cs="Times New Roman"/>
          <w:color w:val="auto"/>
          <w:sz w:val="24"/>
          <w:szCs w:val="21"/>
        </w:rPr>
        <w:t xml:space="preserve">  2023年度保护区调查水域浮游植物资源密度时间特征</w:t>
      </w:r>
    </w:p>
    <w:p w14:paraId="560ACF12">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②索饵期</w:t>
      </w:r>
    </w:p>
    <w:p w14:paraId="737B8268">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保护区浮游植物资源密度变幅为0.91×10</w:t>
      </w:r>
      <w:r>
        <w:rPr>
          <w:rFonts w:ascii="Times New Roman" w:hAnsi="Times New Roman" w:eastAsia="宋体"/>
          <w:color w:val="auto"/>
          <w:sz w:val="24"/>
          <w:szCs w:val="24"/>
          <w:vertAlign w:val="superscript"/>
          <w:lang w:bidi="ar"/>
        </w:rPr>
        <w:t xml:space="preserve">6 </w:t>
      </w:r>
      <w:r>
        <w:rPr>
          <w:rFonts w:ascii="Times New Roman" w:hAnsi="Times New Roman" w:eastAsia="宋体"/>
          <w:iCs/>
          <w:color w:val="auto"/>
          <w:sz w:val="24"/>
          <w:szCs w:val="24"/>
          <w:lang w:bidi="ar"/>
        </w:rPr>
        <w:t>cells/L</w:t>
      </w:r>
      <w:r>
        <w:rPr>
          <w:rFonts w:ascii="Times New Roman" w:hAnsi="Times New Roman" w:eastAsia="宋体"/>
          <w:color w:val="auto"/>
          <w:sz w:val="24"/>
          <w:szCs w:val="24"/>
          <w:lang w:bidi="ar"/>
        </w:rPr>
        <w:t>-1.10×10</w:t>
      </w:r>
      <w:r>
        <w:rPr>
          <w:rFonts w:ascii="Times New Roman" w:hAnsi="Times New Roman" w:eastAsia="宋体"/>
          <w:color w:val="auto"/>
          <w:sz w:val="24"/>
          <w:szCs w:val="24"/>
          <w:vertAlign w:val="superscript"/>
          <w:lang w:bidi="ar"/>
        </w:rPr>
        <w:t xml:space="preserve">6 </w:t>
      </w:r>
      <w:r>
        <w:rPr>
          <w:rFonts w:ascii="Times New Roman" w:hAnsi="Times New Roman" w:eastAsia="宋体"/>
          <w:iCs/>
          <w:color w:val="auto"/>
          <w:sz w:val="24"/>
          <w:szCs w:val="24"/>
          <w:lang w:bidi="ar"/>
        </w:rPr>
        <w:t>cells/L</w:t>
      </w:r>
      <w:r>
        <w:rPr>
          <w:rFonts w:ascii="Times New Roman" w:hAnsi="Times New Roman" w:eastAsia="宋体"/>
          <w:color w:val="auto"/>
          <w:sz w:val="24"/>
          <w:szCs w:val="24"/>
          <w:lang w:bidi="ar"/>
        </w:rPr>
        <w:t>，均值为1.00×10</w:t>
      </w:r>
      <w:r>
        <w:rPr>
          <w:rFonts w:ascii="Times New Roman" w:hAnsi="Times New Roman" w:eastAsia="宋体"/>
          <w:color w:val="auto"/>
          <w:sz w:val="24"/>
          <w:szCs w:val="24"/>
          <w:vertAlign w:val="superscript"/>
          <w:lang w:bidi="ar"/>
        </w:rPr>
        <w:t xml:space="preserve">6 </w:t>
      </w:r>
      <w:r>
        <w:rPr>
          <w:rFonts w:ascii="Times New Roman" w:hAnsi="Times New Roman" w:eastAsia="宋体"/>
          <w:iCs/>
          <w:color w:val="auto"/>
          <w:sz w:val="24"/>
          <w:szCs w:val="24"/>
          <w:lang w:bidi="ar"/>
        </w:rPr>
        <w:t>cells/L</w:t>
      </w:r>
      <w:r>
        <w:rPr>
          <w:rFonts w:ascii="Times New Roman" w:hAnsi="Times New Roman" w:eastAsia="宋体"/>
          <w:color w:val="auto"/>
          <w:sz w:val="24"/>
          <w:szCs w:val="21"/>
          <w:lang w:bidi="ar"/>
        </w:rPr>
        <w:t>。</w:t>
      </w:r>
    </w:p>
    <w:p w14:paraId="43877FB9">
      <w:pPr>
        <w:spacing w:line="240" w:lineRule="auto"/>
        <w:jc w:val="center"/>
        <w:rPr>
          <w:rFonts w:ascii="Times New Roman" w:hAnsi="Times New Roman" w:eastAsia="宋体"/>
          <w:color w:val="auto"/>
          <w:sz w:val="28"/>
          <w:szCs w:val="22"/>
          <w:lang w:bidi="ar"/>
        </w:rPr>
      </w:pPr>
      <w:r>
        <w:rPr>
          <w:rFonts w:ascii="Times New Roman" w:hAnsi="Times New Roman" w:eastAsia="宋体"/>
          <w:color w:val="auto"/>
          <w:sz w:val="24"/>
          <w:szCs w:val="22"/>
        </w:rPr>
        <w:drawing>
          <wp:inline distT="0" distB="0" distL="114300" distR="114300">
            <wp:extent cx="4366895" cy="2492375"/>
            <wp:effectExtent l="0" t="0" r="14605" b="3175"/>
            <wp:docPr id="321"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48"/>
                    <pic:cNvPicPr>
                      <a:picLocks noChangeAspect="1"/>
                    </pic:cNvPicPr>
                  </pic:nvPicPr>
                  <pic:blipFill>
                    <a:blip r:embed="rId114"/>
                    <a:stretch>
                      <a:fillRect/>
                    </a:stretch>
                  </pic:blipFill>
                  <pic:spPr>
                    <a:xfrm>
                      <a:off x="0" y="0"/>
                      <a:ext cx="4366895" cy="2492375"/>
                    </a:xfrm>
                    <a:prstGeom prst="rect">
                      <a:avLst/>
                    </a:prstGeom>
                    <a:noFill/>
                    <a:ln>
                      <a:noFill/>
                    </a:ln>
                  </pic:spPr>
                </pic:pic>
              </a:graphicData>
            </a:graphic>
          </wp:inline>
        </w:drawing>
      </w:r>
    </w:p>
    <w:p w14:paraId="626970F5">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w:t>
      </w:r>
      <w:r>
        <w:rPr>
          <w:rFonts w:hint="eastAsia" w:ascii="Times New Roman" w:hAnsi="Times New Roman" w:eastAsia="黑体" w:cs="Times New Roman"/>
          <w:color w:val="auto"/>
          <w:sz w:val="24"/>
          <w:szCs w:val="21"/>
          <w:lang w:val="en-US" w:eastAsia="zh-CN"/>
        </w:rPr>
        <w:t>2-20</w:t>
      </w:r>
      <w:r>
        <w:rPr>
          <w:rFonts w:ascii="Times New Roman" w:hAnsi="Times New Roman" w:eastAsia="黑体" w:cs="Times New Roman"/>
          <w:color w:val="auto"/>
          <w:sz w:val="24"/>
          <w:szCs w:val="21"/>
        </w:rPr>
        <w:t xml:space="preserve">  2023年度保护区调查水域浮游植物资源密度时间特征</w:t>
      </w:r>
    </w:p>
    <w:p w14:paraId="5A7546B7">
      <w:pPr>
        <w:spacing w:line="240" w:lineRule="auto"/>
        <w:jc w:val="center"/>
        <w:rPr>
          <w:rFonts w:ascii="Times New Roman" w:hAnsi="Times New Roman" w:eastAsia="宋体"/>
          <w:b/>
          <w:color w:val="auto"/>
          <w:sz w:val="24"/>
          <w:szCs w:val="22"/>
        </w:rPr>
      </w:pPr>
    </w:p>
    <w:bookmarkEnd w:id="103"/>
    <w:p w14:paraId="6A818732">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(2)生物量</w:t>
      </w:r>
    </w:p>
    <w:p w14:paraId="2D904B2C">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2023年监测结果显示，保护区浮游植物生物量变幅为0.51 mg/L-2.62 mg/L，均值为1.40 mg/L(图4.2</w:t>
      </w:r>
      <w:r>
        <w:rPr>
          <w:rFonts w:hint="eastAsia" w:ascii="Times New Roman" w:hAnsi="Times New Roman" w:eastAsia="宋体"/>
          <w:color w:val="auto"/>
          <w:sz w:val="24"/>
          <w:szCs w:val="21"/>
          <w:lang w:val="en-US" w:eastAsia="zh-CN" w:bidi="ar"/>
        </w:rPr>
        <w:t>-21</w:t>
      </w:r>
      <w:r>
        <w:rPr>
          <w:rFonts w:ascii="Times New Roman" w:hAnsi="Times New Roman" w:eastAsia="宋体"/>
          <w:color w:val="auto"/>
          <w:sz w:val="24"/>
          <w:szCs w:val="21"/>
          <w:lang w:bidi="ar"/>
        </w:rPr>
        <w:t>)。</w:t>
      </w:r>
    </w:p>
    <w:p w14:paraId="280F6CDC">
      <w:pPr>
        <w:widowControl/>
        <w:spacing w:line="360" w:lineRule="auto"/>
        <w:ind w:firstLine="480" w:firstLineChars="200"/>
        <w:rPr>
          <w:rFonts w:ascii="Times New Roman" w:hAnsi="Times New Roman" w:eastAsia="宋体"/>
          <w:b/>
          <w:bCs/>
          <w:color w:val="auto"/>
          <w:sz w:val="24"/>
          <w:szCs w:val="21"/>
          <w:lang w:bidi="ar"/>
        </w:rPr>
      </w:pPr>
      <w:bookmarkStart w:id="104" w:name="_Hlk121835468"/>
      <w:r>
        <w:rPr>
          <w:rFonts w:ascii="Times New Roman" w:hAnsi="Times New Roman" w:eastAsia="宋体"/>
          <w:b/>
          <w:bCs/>
          <w:color w:val="auto"/>
          <w:sz w:val="24"/>
          <w:szCs w:val="21"/>
          <w:lang w:bidi="ar"/>
        </w:rPr>
        <w:t>①繁殖期</w:t>
      </w:r>
    </w:p>
    <w:bookmarkEnd w:id="104"/>
    <w:p w14:paraId="6336BA4F">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保护区浮游植物生物量变幅为1.83 mg/L-2.62 mg/L，均值为2.22 mg/L。</w:t>
      </w:r>
    </w:p>
    <w:p w14:paraId="15404716">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②索饵期</w:t>
      </w:r>
    </w:p>
    <w:p w14:paraId="2883450E">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保护区浮游植物生物量变幅为0.51 mg/L-0.64 mg/L，均值为0.57 mg/L。</w:t>
      </w:r>
    </w:p>
    <w:p w14:paraId="7DE35DB1">
      <w:pPr>
        <w:spacing w:line="240" w:lineRule="auto"/>
        <w:jc w:val="center"/>
        <w:rPr>
          <w:rFonts w:ascii="Times New Roman" w:hAnsi="Times New Roman" w:eastAsia="宋体"/>
          <w:color w:val="auto"/>
          <w:sz w:val="28"/>
          <w:szCs w:val="22"/>
          <w:lang w:bidi="ar"/>
        </w:rPr>
      </w:pPr>
      <w:r>
        <w:rPr>
          <w:rFonts w:ascii="Times New Roman" w:hAnsi="Times New Roman" w:eastAsia="宋体"/>
          <w:color w:val="auto"/>
          <w:sz w:val="24"/>
          <w:szCs w:val="22"/>
        </w:rPr>
        <w:drawing>
          <wp:inline distT="0" distB="0" distL="114300" distR="114300">
            <wp:extent cx="4612640" cy="2632710"/>
            <wp:effectExtent l="0" t="0" r="16510" b="15240"/>
            <wp:docPr id="322"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49"/>
                    <pic:cNvPicPr>
                      <a:picLocks noChangeAspect="1"/>
                    </pic:cNvPicPr>
                  </pic:nvPicPr>
                  <pic:blipFill>
                    <a:blip r:embed="rId115"/>
                    <a:stretch>
                      <a:fillRect/>
                    </a:stretch>
                  </pic:blipFill>
                  <pic:spPr>
                    <a:xfrm>
                      <a:off x="0" y="0"/>
                      <a:ext cx="4612640" cy="2632710"/>
                    </a:xfrm>
                    <a:prstGeom prst="rect">
                      <a:avLst/>
                    </a:prstGeom>
                    <a:noFill/>
                    <a:ln>
                      <a:noFill/>
                    </a:ln>
                  </pic:spPr>
                </pic:pic>
              </a:graphicData>
            </a:graphic>
          </wp:inline>
        </w:drawing>
      </w:r>
    </w:p>
    <w:p w14:paraId="4A244D6F">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-21</w:t>
      </w:r>
      <w:r>
        <w:rPr>
          <w:rFonts w:ascii="Times New Roman" w:hAnsi="Times New Roman" w:eastAsia="黑体" w:cs="Times New Roman"/>
          <w:color w:val="auto"/>
          <w:sz w:val="24"/>
          <w:szCs w:val="21"/>
        </w:rPr>
        <w:t xml:space="preserve">  2023年度保护区调查水域浮游植物生物量的时间特征</w:t>
      </w:r>
    </w:p>
    <w:p w14:paraId="05D14047">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bookmarkStart w:id="105" w:name="_Toc32356809"/>
      <w:r>
        <w:rPr>
          <w:rFonts w:hint="eastAsia" w:ascii="Times New Roman" w:hAnsi="Times New Roman" w:eastAsia="宋体" w:cs="Times New Roman"/>
          <w:bCs/>
          <w:color w:val="auto"/>
          <w:kern w:val="2"/>
          <w:sz w:val="24"/>
          <w:szCs w:val="28"/>
          <w:lang w:val="en-US" w:eastAsia="zh-CN" w:bidi="ar-SA"/>
        </w:rPr>
        <w:t>4.2.5.11.4 群落多样性</w:t>
      </w:r>
      <w:bookmarkEnd w:id="105"/>
    </w:p>
    <w:p w14:paraId="2EC08E60">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2023年度监测结果显示，源保护区浮游植物</w:t>
      </w:r>
      <w:r>
        <w:rPr>
          <w:rFonts w:ascii="Times New Roman" w:hAnsi="Times New Roman" w:eastAsia="宋体"/>
          <w:iCs/>
          <w:color w:val="auto"/>
          <w:sz w:val="24"/>
          <w:szCs w:val="22"/>
          <w:lang w:bidi="ar"/>
        </w:rPr>
        <w:t>Shannon-Wiener</w:t>
      </w:r>
      <w:r>
        <w:rPr>
          <w:rFonts w:ascii="Times New Roman" w:hAnsi="Times New Roman" w:eastAsia="宋体"/>
          <w:color w:val="auto"/>
          <w:sz w:val="24"/>
          <w:szCs w:val="22"/>
          <w:lang w:bidi="ar"/>
        </w:rPr>
        <w:t>多样性指数</w:t>
      </w:r>
      <w:r>
        <w:rPr>
          <w:rFonts w:ascii="Times New Roman" w:hAnsi="Times New Roman" w:eastAsia="宋体"/>
          <w:bCs/>
          <w:color w:val="auto"/>
          <w:sz w:val="24"/>
          <w:szCs w:val="24"/>
          <w:lang w:bidi="ar"/>
        </w:rPr>
        <w:t>(</w:t>
      </w:r>
      <w:r>
        <w:rPr>
          <w:rFonts w:ascii="Times New Roman" w:hAnsi="Times New Roman" w:eastAsia="宋体"/>
          <w:bCs/>
          <w:i/>
          <w:iCs/>
          <w:color w:val="auto"/>
          <w:sz w:val="24"/>
          <w:szCs w:val="24"/>
          <w:lang w:bidi="ar"/>
        </w:rPr>
        <w:t>H'</w:t>
      </w:r>
      <w:r>
        <w:rPr>
          <w:rFonts w:ascii="Times New Roman" w:hAnsi="Times New Roman" w:eastAsia="宋体"/>
          <w:bCs/>
          <w:color w:val="auto"/>
          <w:sz w:val="24"/>
          <w:szCs w:val="24"/>
          <w:lang w:bidi="ar"/>
        </w:rPr>
        <w:t>)</w:t>
      </w:r>
      <w:r>
        <w:rPr>
          <w:rFonts w:ascii="Times New Roman" w:hAnsi="Times New Roman" w:eastAsia="宋体"/>
          <w:color w:val="auto"/>
          <w:sz w:val="24"/>
          <w:szCs w:val="24"/>
          <w:lang w:bidi="ar"/>
        </w:rPr>
        <w:t>为3.80，</w:t>
      </w:r>
      <w:r>
        <w:rPr>
          <w:rFonts w:ascii="Times New Roman" w:hAnsi="Times New Roman" w:eastAsia="宋体"/>
          <w:iCs/>
          <w:color w:val="auto"/>
          <w:sz w:val="24"/>
          <w:szCs w:val="22"/>
          <w:lang w:bidi="ar"/>
        </w:rPr>
        <w:t>Pielou</w:t>
      </w:r>
      <w:r>
        <w:rPr>
          <w:rFonts w:ascii="Times New Roman" w:hAnsi="Times New Roman" w:eastAsia="宋体"/>
          <w:color w:val="auto"/>
          <w:sz w:val="24"/>
          <w:szCs w:val="22"/>
          <w:lang w:bidi="ar"/>
        </w:rPr>
        <w:t>均匀度指数</w:t>
      </w:r>
      <w:r>
        <w:rPr>
          <w:rFonts w:ascii="Times New Roman" w:hAnsi="Times New Roman" w:eastAsia="宋体"/>
          <w:color w:val="auto"/>
          <w:sz w:val="24"/>
          <w:szCs w:val="24"/>
          <w:lang w:bidi="ar"/>
        </w:rPr>
        <w:t>(</w:t>
      </w:r>
      <w:r>
        <w:rPr>
          <w:rFonts w:ascii="Times New Roman" w:hAnsi="Times New Roman" w:eastAsia="宋体"/>
          <w:i/>
          <w:iCs/>
          <w:color w:val="auto"/>
          <w:sz w:val="24"/>
          <w:szCs w:val="24"/>
          <w:lang w:bidi="ar"/>
        </w:rPr>
        <w:t>E</w:t>
      </w:r>
      <w:r>
        <w:rPr>
          <w:rFonts w:ascii="Times New Roman" w:hAnsi="Times New Roman" w:eastAsia="宋体"/>
          <w:color w:val="auto"/>
          <w:sz w:val="24"/>
          <w:szCs w:val="24"/>
          <w:lang w:bidi="ar"/>
        </w:rPr>
        <w:t>)为0.88，</w:t>
      </w:r>
      <w:r>
        <w:rPr>
          <w:rFonts w:ascii="Times New Roman" w:hAnsi="Times New Roman" w:eastAsia="宋体"/>
          <w:iCs/>
          <w:color w:val="auto"/>
          <w:sz w:val="24"/>
          <w:szCs w:val="22"/>
          <w:lang w:bidi="ar"/>
        </w:rPr>
        <w:t>Simpson</w:t>
      </w:r>
      <w:r>
        <w:rPr>
          <w:rFonts w:ascii="Times New Roman" w:hAnsi="Times New Roman" w:eastAsia="宋体"/>
          <w:color w:val="auto"/>
          <w:sz w:val="24"/>
          <w:szCs w:val="22"/>
          <w:lang w:bidi="ar"/>
        </w:rPr>
        <w:t>优势度指数(</w:t>
      </w:r>
      <w:r>
        <w:rPr>
          <w:rFonts w:ascii="Times New Roman" w:hAnsi="Times New Roman" w:eastAsia="宋体"/>
          <w:i/>
          <w:iCs/>
          <w:color w:val="auto"/>
          <w:sz w:val="24"/>
          <w:szCs w:val="22"/>
          <w:lang w:bidi="ar"/>
        </w:rPr>
        <w:t>D</w:t>
      </w:r>
      <w:r>
        <w:rPr>
          <w:rFonts w:ascii="Times New Roman" w:hAnsi="Times New Roman" w:eastAsia="宋体"/>
          <w:color w:val="auto"/>
          <w:sz w:val="24"/>
          <w:szCs w:val="22"/>
          <w:lang w:bidi="ar"/>
        </w:rPr>
        <w:t>)</w:t>
      </w:r>
      <w:r>
        <w:rPr>
          <w:rFonts w:ascii="Times New Roman" w:hAnsi="Times New Roman" w:eastAsia="宋体"/>
          <w:color w:val="auto"/>
          <w:sz w:val="24"/>
          <w:szCs w:val="24"/>
          <w:lang w:bidi="ar"/>
        </w:rPr>
        <w:t>为0.03，</w:t>
      </w:r>
      <w:r>
        <w:rPr>
          <w:rFonts w:ascii="Times New Roman" w:hAnsi="Times New Roman" w:eastAsia="宋体"/>
          <w:iCs/>
          <w:color w:val="auto"/>
          <w:sz w:val="24"/>
          <w:szCs w:val="22"/>
          <w:lang w:bidi="ar"/>
        </w:rPr>
        <w:t>Margalef</w:t>
      </w:r>
      <w:r>
        <w:rPr>
          <w:rFonts w:ascii="Times New Roman" w:hAnsi="Times New Roman" w:eastAsia="宋体"/>
          <w:color w:val="auto"/>
          <w:sz w:val="24"/>
          <w:szCs w:val="22"/>
          <w:lang w:bidi="ar"/>
        </w:rPr>
        <w:t>丰富度指数(</w:t>
      </w:r>
      <w:r>
        <w:rPr>
          <w:rFonts w:ascii="Times New Roman" w:hAnsi="Times New Roman" w:eastAsia="宋体"/>
          <w:i/>
          <w:iCs/>
          <w:color w:val="auto"/>
          <w:sz w:val="24"/>
          <w:szCs w:val="22"/>
          <w:lang w:bidi="ar"/>
        </w:rPr>
        <w:t>R</w:t>
      </w:r>
      <w:r>
        <w:rPr>
          <w:rFonts w:ascii="Times New Roman" w:hAnsi="Times New Roman" w:eastAsia="宋体"/>
          <w:color w:val="auto"/>
          <w:sz w:val="24"/>
          <w:szCs w:val="22"/>
          <w:lang w:bidi="ar"/>
        </w:rPr>
        <w:t>)</w:t>
      </w:r>
      <w:r>
        <w:rPr>
          <w:rFonts w:ascii="Times New Roman" w:hAnsi="Times New Roman" w:eastAsia="宋体"/>
          <w:color w:val="auto"/>
          <w:sz w:val="24"/>
          <w:szCs w:val="24"/>
          <w:lang w:bidi="ar"/>
        </w:rPr>
        <w:t>为4.50</w:t>
      </w:r>
      <w:r>
        <w:rPr>
          <w:rFonts w:ascii="Times New Roman" w:hAnsi="Times New Roman" w:eastAsia="宋体"/>
          <w:color w:val="auto"/>
          <w:sz w:val="24"/>
          <w:szCs w:val="21"/>
          <w:lang w:bidi="ar"/>
        </w:rPr>
        <w:t>(图4.2</w:t>
      </w:r>
      <w:r>
        <w:rPr>
          <w:rFonts w:hint="eastAsia" w:ascii="Times New Roman" w:hAnsi="Times New Roman" w:eastAsia="宋体"/>
          <w:color w:val="auto"/>
          <w:sz w:val="24"/>
          <w:szCs w:val="21"/>
          <w:lang w:val="en-US" w:eastAsia="zh-CN" w:bidi="ar"/>
        </w:rPr>
        <w:t>-22</w:t>
      </w:r>
      <w:r>
        <w:rPr>
          <w:rFonts w:ascii="Times New Roman" w:hAnsi="Times New Roman" w:eastAsia="宋体"/>
          <w:color w:val="auto"/>
          <w:sz w:val="24"/>
          <w:szCs w:val="21"/>
          <w:lang w:bidi="ar"/>
        </w:rPr>
        <w:t>)。</w:t>
      </w:r>
    </w:p>
    <w:p w14:paraId="3A6E17AB">
      <w:pPr>
        <w:widowControl/>
        <w:spacing w:line="360" w:lineRule="auto"/>
        <w:ind w:firstLine="480" w:firstLineChars="200"/>
        <w:rPr>
          <w:rFonts w:ascii="Times New Roman" w:hAnsi="Times New Roman" w:eastAsia="宋体"/>
          <w:b/>
          <w:bCs/>
          <w:color w:val="auto"/>
          <w:sz w:val="24"/>
          <w:szCs w:val="21"/>
          <w:lang w:bidi="ar"/>
        </w:rPr>
      </w:pPr>
      <w:bookmarkStart w:id="106" w:name="_Hlk121835805"/>
      <w:r>
        <w:rPr>
          <w:rFonts w:ascii="Times New Roman" w:hAnsi="Times New Roman" w:eastAsia="宋体"/>
          <w:b/>
          <w:bCs/>
          <w:color w:val="auto"/>
          <w:sz w:val="24"/>
          <w:szCs w:val="21"/>
          <w:lang w:bidi="ar"/>
        </w:rPr>
        <w:t>(1)繁殖期</w:t>
      </w:r>
    </w:p>
    <w:bookmarkEnd w:id="106"/>
    <w:p w14:paraId="081FCBE9">
      <w:pPr>
        <w:widowControl/>
        <w:spacing w:line="360" w:lineRule="auto"/>
        <w:ind w:firstLine="480" w:firstLineChars="200"/>
        <w:jc w:val="center"/>
        <w:rPr>
          <w:rFonts w:ascii="Times New Roman" w:hAnsi="Times New Roman" w:eastAsia="宋体"/>
          <w:bCs/>
          <w:color w:val="auto"/>
          <w:sz w:val="24"/>
          <w:szCs w:val="28"/>
        </w:rPr>
      </w:pPr>
      <w:bookmarkStart w:id="107" w:name="_Hlk30151100"/>
      <w:r>
        <w:rPr>
          <w:rFonts w:ascii="Times New Roman" w:hAnsi="Times New Roman" w:eastAsia="宋体"/>
          <w:color w:val="auto"/>
          <w:sz w:val="24"/>
          <w:szCs w:val="24"/>
          <w:lang w:bidi="ar"/>
        </w:rPr>
        <w:t>保护区浮游植物</w:t>
      </w:r>
      <w:r>
        <w:rPr>
          <w:rFonts w:ascii="Times New Roman" w:hAnsi="Times New Roman" w:eastAsia="宋体"/>
          <w:iCs/>
          <w:color w:val="auto"/>
          <w:sz w:val="24"/>
          <w:szCs w:val="22"/>
          <w:lang w:bidi="ar"/>
        </w:rPr>
        <w:t>Shannon-Wiener</w:t>
      </w:r>
      <w:r>
        <w:rPr>
          <w:rFonts w:ascii="Times New Roman" w:hAnsi="Times New Roman" w:eastAsia="宋体"/>
          <w:color w:val="auto"/>
          <w:sz w:val="24"/>
          <w:szCs w:val="22"/>
          <w:lang w:bidi="ar"/>
        </w:rPr>
        <w:t>多样性指数</w:t>
      </w:r>
      <w:r>
        <w:rPr>
          <w:rFonts w:ascii="Times New Roman" w:hAnsi="Times New Roman" w:eastAsia="宋体"/>
          <w:bCs/>
          <w:color w:val="auto"/>
          <w:sz w:val="24"/>
          <w:szCs w:val="24"/>
          <w:lang w:bidi="ar"/>
        </w:rPr>
        <w:t>(</w:t>
      </w:r>
      <w:r>
        <w:rPr>
          <w:rFonts w:ascii="Times New Roman" w:hAnsi="Times New Roman" w:eastAsia="宋体"/>
          <w:bCs/>
          <w:i/>
          <w:iCs/>
          <w:color w:val="auto"/>
          <w:sz w:val="24"/>
          <w:szCs w:val="24"/>
          <w:lang w:bidi="ar"/>
        </w:rPr>
        <w:t>H'</w:t>
      </w:r>
      <w:r>
        <w:rPr>
          <w:rFonts w:ascii="Times New Roman" w:hAnsi="Times New Roman" w:eastAsia="宋体"/>
          <w:bCs/>
          <w:color w:val="auto"/>
          <w:sz w:val="24"/>
          <w:szCs w:val="24"/>
          <w:lang w:bidi="ar"/>
        </w:rPr>
        <w:t>)</w:t>
      </w:r>
      <w:r>
        <w:rPr>
          <w:rFonts w:ascii="Times New Roman" w:hAnsi="Times New Roman" w:eastAsia="宋体"/>
          <w:color w:val="auto"/>
          <w:sz w:val="24"/>
          <w:szCs w:val="24"/>
          <w:lang w:bidi="ar"/>
        </w:rPr>
        <w:t>为3.58，</w:t>
      </w:r>
      <w:r>
        <w:rPr>
          <w:rFonts w:ascii="Times New Roman" w:hAnsi="Times New Roman" w:eastAsia="宋体"/>
          <w:iCs/>
          <w:color w:val="auto"/>
          <w:sz w:val="24"/>
          <w:szCs w:val="22"/>
          <w:lang w:bidi="ar"/>
        </w:rPr>
        <w:t>Pielou</w:t>
      </w:r>
      <w:r>
        <w:rPr>
          <w:rFonts w:ascii="Times New Roman" w:hAnsi="Times New Roman" w:eastAsia="宋体"/>
          <w:color w:val="auto"/>
          <w:sz w:val="24"/>
          <w:szCs w:val="22"/>
          <w:lang w:bidi="ar"/>
        </w:rPr>
        <w:t>均匀度指数</w:t>
      </w:r>
      <w:r>
        <w:rPr>
          <w:rFonts w:ascii="Times New Roman" w:hAnsi="Times New Roman" w:eastAsia="宋体"/>
          <w:color w:val="auto"/>
          <w:sz w:val="24"/>
          <w:szCs w:val="24"/>
          <w:lang w:bidi="ar"/>
        </w:rPr>
        <w:t>(</w:t>
      </w:r>
      <w:r>
        <w:rPr>
          <w:rFonts w:ascii="Times New Roman" w:hAnsi="Times New Roman" w:eastAsia="宋体"/>
          <w:i/>
          <w:iCs/>
          <w:color w:val="auto"/>
          <w:sz w:val="24"/>
          <w:szCs w:val="24"/>
          <w:lang w:bidi="ar"/>
        </w:rPr>
        <w:t>E</w:t>
      </w:r>
      <w:r>
        <w:rPr>
          <w:rFonts w:ascii="Times New Roman" w:hAnsi="Times New Roman" w:eastAsia="宋体"/>
          <w:color w:val="auto"/>
          <w:sz w:val="24"/>
          <w:szCs w:val="24"/>
          <w:lang w:bidi="ar"/>
        </w:rPr>
        <w:t>)为0.86，</w:t>
      </w:r>
      <w:r>
        <w:rPr>
          <w:rFonts w:ascii="Times New Roman" w:hAnsi="Times New Roman" w:eastAsia="宋体"/>
          <w:iCs/>
          <w:color w:val="auto"/>
          <w:sz w:val="24"/>
          <w:szCs w:val="22"/>
          <w:lang w:bidi="ar"/>
        </w:rPr>
        <w:t>Simpson</w:t>
      </w:r>
      <w:r>
        <w:rPr>
          <w:rFonts w:ascii="Times New Roman" w:hAnsi="Times New Roman" w:eastAsia="宋体"/>
          <w:color w:val="auto"/>
          <w:sz w:val="24"/>
          <w:szCs w:val="22"/>
          <w:lang w:bidi="ar"/>
        </w:rPr>
        <w:t>优势度指数(</w:t>
      </w:r>
      <w:r>
        <w:rPr>
          <w:rFonts w:ascii="Times New Roman" w:hAnsi="Times New Roman" w:eastAsia="宋体"/>
          <w:i/>
          <w:iCs/>
          <w:color w:val="auto"/>
          <w:sz w:val="24"/>
          <w:szCs w:val="22"/>
          <w:lang w:bidi="ar"/>
        </w:rPr>
        <w:t>D</w:t>
      </w:r>
      <w:r>
        <w:rPr>
          <w:rFonts w:ascii="Times New Roman" w:hAnsi="Times New Roman" w:eastAsia="宋体"/>
          <w:color w:val="auto"/>
          <w:sz w:val="24"/>
          <w:szCs w:val="22"/>
          <w:lang w:bidi="ar"/>
        </w:rPr>
        <w:t>)</w:t>
      </w:r>
      <w:r>
        <w:rPr>
          <w:rFonts w:ascii="Times New Roman" w:hAnsi="Times New Roman" w:eastAsia="宋体"/>
          <w:color w:val="auto"/>
          <w:sz w:val="24"/>
          <w:szCs w:val="24"/>
          <w:lang w:bidi="ar"/>
        </w:rPr>
        <w:t>为0.04，</w:t>
      </w:r>
      <w:r>
        <w:rPr>
          <w:rFonts w:ascii="Times New Roman" w:hAnsi="Times New Roman" w:eastAsia="宋体"/>
          <w:iCs/>
          <w:color w:val="auto"/>
          <w:sz w:val="24"/>
          <w:szCs w:val="22"/>
          <w:lang w:bidi="ar"/>
        </w:rPr>
        <w:t>Margalef</w:t>
      </w:r>
      <w:r>
        <w:rPr>
          <w:rFonts w:ascii="Times New Roman" w:hAnsi="Times New Roman" w:eastAsia="宋体"/>
          <w:color w:val="auto"/>
          <w:sz w:val="24"/>
          <w:szCs w:val="22"/>
          <w:lang w:bidi="ar"/>
        </w:rPr>
        <w:t>丰富度指数(</w:t>
      </w:r>
      <w:r>
        <w:rPr>
          <w:rFonts w:ascii="Times New Roman" w:hAnsi="Times New Roman" w:eastAsia="宋体"/>
          <w:i/>
          <w:iCs/>
          <w:color w:val="auto"/>
          <w:sz w:val="24"/>
          <w:szCs w:val="22"/>
          <w:lang w:bidi="ar"/>
        </w:rPr>
        <w:t>R</w:t>
      </w:r>
      <w:r>
        <w:rPr>
          <w:rFonts w:ascii="Times New Roman" w:hAnsi="Times New Roman" w:eastAsia="宋体"/>
          <w:color w:val="auto"/>
          <w:sz w:val="24"/>
          <w:szCs w:val="22"/>
          <w:lang w:bidi="ar"/>
        </w:rPr>
        <w:t>)</w:t>
      </w:r>
      <w:r>
        <w:rPr>
          <w:rFonts w:ascii="Times New Roman" w:hAnsi="Times New Roman" w:eastAsia="宋体"/>
          <w:color w:val="auto"/>
          <w:sz w:val="24"/>
          <w:szCs w:val="24"/>
          <w:lang w:bidi="ar"/>
        </w:rPr>
        <w:t>为3.86</w:t>
      </w:r>
      <w:r>
        <w:rPr>
          <w:rFonts w:ascii="Times New Roman" w:hAnsi="Times New Roman" w:eastAsia="宋体"/>
          <w:color w:val="auto"/>
          <w:sz w:val="24"/>
          <w:szCs w:val="21"/>
          <w:lang w:bidi="ar"/>
        </w:rPr>
        <w:t>。</w:t>
      </w:r>
      <w:bookmarkEnd w:id="107"/>
      <w:r>
        <w:rPr>
          <w:rFonts w:ascii="Times New Roman" w:hAnsi="Times New Roman" w:eastAsia="宋体"/>
          <w:color w:val="auto"/>
          <w:sz w:val="28"/>
          <w:szCs w:val="22"/>
          <w:lang w:bidi="ar"/>
        </w:rPr>
        <w:object>
          <v:shape id="_x0000_i1038" o:spt="75" type="#_x0000_t75" style="height:170.55pt;width:348.65pt;" o:ole="t" filled="f" o:preferrelative="t" stroked="f" coordsize="21600,21600">
            <v:path/>
            <v:fill on="f" focussize="0,0"/>
            <v:stroke on="f"/>
            <v:imagedata r:id="rId117" cropbottom="-58f" o:title=""/>
            <o:lock v:ext="edit" aspectratio="f"/>
            <w10:wrap type="none"/>
            <w10:anchorlock/>
          </v:shape>
          <o:OLEObject Type="Embed" ProgID="Excel.Chart.8" ShapeID="_x0000_i1038" DrawAspect="Content" ObjectID="_1468075738" r:id="rId116">
            <o:LockedField>false</o:LockedField>
          </o:OLEObject>
        </w:object>
      </w:r>
    </w:p>
    <w:p w14:paraId="1DCD1AC7">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-22</w:t>
      </w:r>
      <w:r>
        <w:rPr>
          <w:rFonts w:ascii="Times New Roman" w:hAnsi="Times New Roman" w:eastAsia="黑体" w:cs="Times New Roman"/>
          <w:color w:val="auto"/>
          <w:sz w:val="24"/>
          <w:szCs w:val="21"/>
        </w:rPr>
        <w:t xml:space="preserve">  2022年度保护区调查水域浮游植物多样性指数时间特征</w:t>
      </w:r>
    </w:p>
    <w:p w14:paraId="5F5F7AAC">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b/>
          <w:bCs/>
          <w:color w:val="auto"/>
          <w:sz w:val="24"/>
          <w:szCs w:val="21"/>
          <w:lang w:bidi="ar"/>
        </w:rPr>
        <w:t>(2)索饵期</w:t>
      </w:r>
    </w:p>
    <w:p w14:paraId="10E84715">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保护区浮游植物</w:t>
      </w:r>
      <w:r>
        <w:rPr>
          <w:rFonts w:ascii="Times New Roman" w:hAnsi="Times New Roman" w:eastAsia="宋体"/>
          <w:iCs/>
          <w:color w:val="auto"/>
          <w:sz w:val="24"/>
          <w:szCs w:val="22"/>
          <w:lang w:bidi="ar"/>
        </w:rPr>
        <w:t>Shannon-Wiener</w:t>
      </w:r>
      <w:r>
        <w:rPr>
          <w:rFonts w:ascii="Times New Roman" w:hAnsi="Times New Roman" w:eastAsia="宋体"/>
          <w:color w:val="auto"/>
          <w:sz w:val="24"/>
          <w:szCs w:val="22"/>
          <w:lang w:bidi="ar"/>
        </w:rPr>
        <w:t>多样性指数</w:t>
      </w:r>
      <w:r>
        <w:rPr>
          <w:rFonts w:ascii="Times New Roman" w:hAnsi="Times New Roman" w:eastAsia="宋体"/>
          <w:bCs/>
          <w:color w:val="auto"/>
          <w:sz w:val="24"/>
          <w:szCs w:val="24"/>
          <w:lang w:bidi="ar"/>
        </w:rPr>
        <w:t>(</w:t>
      </w:r>
      <w:r>
        <w:rPr>
          <w:rFonts w:ascii="Times New Roman" w:hAnsi="Times New Roman" w:eastAsia="宋体"/>
          <w:bCs/>
          <w:i/>
          <w:iCs/>
          <w:color w:val="auto"/>
          <w:sz w:val="24"/>
          <w:szCs w:val="24"/>
          <w:lang w:bidi="ar"/>
        </w:rPr>
        <w:t>H'</w:t>
      </w:r>
      <w:r>
        <w:rPr>
          <w:rFonts w:ascii="Times New Roman" w:hAnsi="Times New Roman" w:eastAsia="宋体"/>
          <w:bCs/>
          <w:color w:val="auto"/>
          <w:sz w:val="24"/>
          <w:szCs w:val="24"/>
          <w:lang w:bidi="ar"/>
        </w:rPr>
        <w:t>)</w:t>
      </w:r>
      <w:r>
        <w:rPr>
          <w:rFonts w:ascii="Times New Roman" w:hAnsi="Times New Roman" w:eastAsia="宋体"/>
          <w:color w:val="auto"/>
          <w:sz w:val="24"/>
          <w:szCs w:val="24"/>
          <w:lang w:bidi="ar"/>
        </w:rPr>
        <w:t>为2.67，</w:t>
      </w:r>
      <w:r>
        <w:rPr>
          <w:rFonts w:ascii="Times New Roman" w:hAnsi="Times New Roman" w:eastAsia="宋体"/>
          <w:iCs/>
          <w:color w:val="auto"/>
          <w:sz w:val="24"/>
          <w:szCs w:val="22"/>
          <w:lang w:bidi="ar"/>
        </w:rPr>
        <w:t>Pielou</w:t>
      </w:r>
      <w:r>
        <w:rPr>
          <w:rFonts w:ascii="Times New Roman" w:hAnsi="Times New Roman" w:eastAsia="宋体"/>
          <w:color w:val="auto"/>
          <w:sz w:val="24"/>
          <w:szCs w:val="22"/>
          <w:lang w:bidi="ar"/>
        </w:rPr>
        <w:t>均匀度指数</w:t>
      </w:r>
      <w:r>
        <w:rPr>
          <w:rFonts w:ascii="Times New Roman" w:hAnsi="Times New Roman" w:eastAsia="宋体"/>
          <w:color w:val="auto"/>
          <w:sz w:val="24"/>
          <w:szCs w:val="24"/>
          <w:lang w:bidi="ar"/>
        </w:rPr>
        <w:t>(</w:t>
      </w:r>
      <w:r>
        <w:rPr>
          <w:rFonts w:ascii="Times New Roman" w:hAnsi="Times New Roman" w:eastAsia="宋体"/>
          <w:i/>
          <w:iCs/>
          <w:color w:val="auto"/>
          <w:sz w:val="24"/>
          <w:szCs w:val="24"/>
          <w:lang w:bidi="ar"/>
        </w:rPr>
        <w:t>E</w:t>
      </w:r>
      <w:r>
        <w:rPr>
          <w:rFonts w:ascii="Times New Roman" w:hAnsi="Times New Roman" w:eastAsia="宋体"/>
          <w:color w:val="auto"/>
          <w:sz w:val="24"/>
          <w:szCs w:val="24"/>
          <w:lang w:bidi="ar"/>
        </w:rPr>
        <w:t>)为0.83，</w:t>
      </w:r>
      <w:r>
        <w:rPr>
          <w:rFonts w:ascii="Times New Roman" w:hAnsi="Times New Roman" w:eastAsia="宋体"/>
          <w:iCs/>
          <w:color w:val="auto"/>
          <w:sz w:val="24"/>
          <w:szCs w:val="22"/>
          <w:lang w:bidi="ar"/>
        </w:rPr>
        <w:t>Simpson</w:t>
      </w:r>
      <w:r>
        <w:rPr>
          <w:rFonts w:ascii="Times New Roman" w:hAnsi="Times New Roman" w:eastAsia="宋体"/>
          <w:color w:val="auto"/>
          <w:sz w:val="24"/>
          <w:szCs w:val="22"/>
          <w:lang w:bidi="ar"/>
        </w:rPr>
        <w:t>优势度指数(</w:t>
      </w:r>
      <w:r>
        <w:rPr>
          <w:rFonts w:ascii="Times New Roman" w:hAnsi="Times New Roman" w:eastAsia="宋体"/>
          <w:i/>
          <w:iCs/>
          <w:color w:val="auto"/>
          <w:sz w:val="24"/>
          <w:szCs w:val="22"/>
          <w:lang w:bidi="ar"/>
        </w:rPr>
        <w:t>D</w:t>
      </w:r>
      <w:r>
        <w:rPr>
          <w:rFonts w:ascii="Times New Roman" w:hAnsi="Times New Roman" w:eastAsia="宋体"/>
          <w:color w:val="auto"/>
          <w:sz w:val="24"/>
          <w:szCs w:val="22"/>
          <w:lang w:bidi="ar"/>
        </w:rPr>
        <w:t>)</w:t>
      </w:r>
      <w:r>
        <w:rPr>
          <w:rFonts w:ascii="Times New Roman" w:hAnsi="Times New Roman" w:eastAsia="宋体"/>
          <w:color w:val="auto"/>
          <w:sz w:val="24"/>
          <w:szCs w:val="24"/>
          <w:lang w:bidi="ar"/>
        </w:rPr>
        <w:t>为0.10，</w:t>
      </w:r>
      <w:r>
        <w:rPr>
          <w:rFonts w:ascii="Times New Roman" w:hAnsi="Times New Roman" w:eastAsia="宋体"/>
          <w:iCs/>
          <w:color w:val="auto"/>
          <w:sz w:val="24"/>
          <w:szCs w:val="22"/>
          <w:lang w:bidi="ar"/>
        </w:rPr>
        <w:t>Margalef</w:t>
      </w:r>
      <w:r>
        <w:rPr>
          <w:rFonts w:ascii="Times New Roman" w:hAnsi="Times New Roman" w:eastAsia="宋体"/>
          <w:color w:val="auto"/>
          <w:sz w:val="24"/>
          <w:szCs w:val="22"/>
          <w:lang w:bidi="ar"/>
        </w:rPr>
        <w:t>丰富度指数(</w:t>
      </w:r>
      <w:r>
        <w:rPr>
          <w:rFonts w:ascii="Times New Roman" w:hAnsi="Times New Roman" w:eastAsia="宋体"/>
          <w:i/>
          <w:iCs/>
          <w:color w:val="auto"/>
          <w:sz w:val="24"/>
          <w:szCs w:val="22"/>
          <w:lang w:bidi="ar"/>
        </w:rPr>
        <w:t>R</w:t>
      </w:r>
      <w:r>
        <w:rPr>
          <w:rFonts w:ascii="Times New Roman" w:hAnsi="Times New Roman" w:eastAsia="宋体"/>
          <w:color w:val="auto"/>
          <w:sz w:val="24"/>
          <w:szCs w:val="22"/>
          <w:lang w:bidi="ar"/>
        </w:rPr>
        <w:t>)</w:t>
      </w:r>
      <w:r>
        <w:rPr>
          <w:rFonts w:ascii="Times New Roman" w:hAnsi="Times New Roman" w:eastAsia="宋体"/>
          <w:color w:val="auto"/>
          <w:sz w:val="24"/>
          <w:szCs w:val="24"/>
          <w:lang w:bidi="ar"/>
        </w:rPr>
        <w:t>为1.54</w:t>
      </w:r>
      <w:r>
        <w:rPr>
          <w:rFonts w:ascii="Times New Roman" w:hAnsi="Times New Roman" w:eastAsia="宋体"/>
          <w:color w:val="auto"/>
          <w:sz w:val="24"/>
          <w:szCs w:val="21"/>
          <w:lang w:bidi="ar"/>
        </w:rPr>
        <w:t>。</w:t>
      </w:r>
    </w:p>
    <w:p w14:paraId="2CADD784">
      <w:pPr>
        <w:spacing w:line="240" w:lineRule="auto"/>
        <w:jc w:val="center"/>
        <w:rPr>
          <w:rFonts w:ascii="Times New Roman" w:hAnsi="Times New Roman" w:eastAsia="宋体"/>
          <w:bCs/>
          <w:color w:val="auto"/>
          <w:sz w:val="24"/>
          <w:szCs w:val="28"/>
        </w:rPr>
      </w:pPr>
      <w:r>
        <w:rPr>
          <w:rFonts w:ascii="Times New Roman" w:hAnsi="Times New Roman" w:eastAsia="宋体"/>
          <w:color w:val="auto"/>
          <w:sz w:val="24"/>
          <w:szCs w:val="22"/>
        </w:rPr>
        <w:drawing>
          <wp:inline distT="0" distB="0" distL="114300" distR="114300">
            <wp:extent cx="4182110" cy="2386965"/>
            <wp:effectExtent l="0" t="0" r="8890" b="13335"/>
            <wp:docPr id="323"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51"/>
                    <pic:cNvPicPr>
                      <a:picLocks noChangeAspect="1"/>
                    </pic:cNvPicPr>
                  </pic:nvPicPr>
                  <pic:blipFill>
                    <a:blip r:embed="rId118"/>
                    <a:stretch>
                      <a:fillRect/>
                    </a:stretch>
                  </pic:blipFill>
                  <pic:spPr>
                    <a:xfrm>
                      <a:off x="0" y="0"/>
                      <a:ext cx="4182110" cy="2386965"/>
                    </a:xfrm>
                    <a:prstGeom prst="rect">
                      <a:avLst/>
                    </a:prstGeom>
                    <a:noFill/>
                    <a:ln>
                      <a:noFill/>
                    </a:ln>
                  </pic:spPr>
                </pic:pic>
              </a:graphicData>
            </a:graphic>
          </wp:inline>
        </w:drawing>
      </w:r>
    </w:p>
    <w:p w14:paraId="0B414F0C">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-23</w:t>
      </w:r>
      <w:r>
        <w:rPr>
          <w:rFonts w:ascii="Times New Roman" w:hAnsi="Times New Roman" w:eastAsia="黑体" w:cs="Times New Roman"/>
          <w:color w:val="auto"/>
          <w:sz w:val="24"/>
          <w:szCs w:val="21"/>
        </w:rPr>
        <w:t xml:space="preserve"> 2023年度保护区调查水域浮游植物多样性指数时间特征</w:t>
      </w:r>
    </w:p>
    <w:p w14:paraId="48F73240">
      <w:pPr>
        <w:keepNext/>
        <w:keepLines/>
        <w:widowControl w:val="0"/>
        <w:numPr>
          <w:ilvl w:val="0"/>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bookmarkStart w:id="108" w:name="_Toc127538635"/>
      <w:r>
        <w:rPr>
          <w:rFonts w:hint="eastAsia" w:ascii="Times New Roman" w:hAnsi="Times New Roman" w:eastAsia="黑体" w:cs="Times New Roman"/>
          <w:bCs/>
          <w:color w:val="auto"/>
          <w:kern w:val="2"/>
          <w:sz w:val="24"/>
          <w:szCs w:val="28"/>
          <w:lang w:val="en-US" w:eastAsia="zh-CN" w:bidi="ar-SA"/>
        </w:rPr>
        <w:t>4.2.5.12 浮游动物</w:t>
      </w:r>
      <w:bookmarkEnd w:id="108"/>
      <w:r>
        <w:rPr>
          <w:rFonts w:hint="eastAsia" w:ascii="Times New Roman" w:hAnsi="Times New Roman" w:eastAsia="黑体" w:cs="Times New Roman"/>
          <w:bCs/>
          <w:color w:val="auto"/>
          <w:kern w:val="2"/>
          <w:sz w:val="24"/>
          <w:szCs w:val="28"/>
          <w:lang w:val="en-US" w:eastAsia="zh-CN" w:bidi="ar-SA"/>
        </w:rPr>
        <w:t>现状</w:t>
      </w:r>
    </w:p>
    <w:p w14:paraId="1009C9D5">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bookmarkStart w:id="109" w:name="_Toc127538636"/>
      <w:r>
        <w:rPr>
          <w:rFonts w:hint="eastAsia" w:ascii="Times New Roman" w:hAnsi="Times New Roman" w:eastAsia="宋体" w:cs="Times New Roman"/>
          <w:bCs/>
          <w:color w:val="auto"/>
          <w:kern w:val="2"/>
          <w:sz w:val="24"/>
          <w:szCs w:val="28"/>
          <w:lang w:val="en-US" w:eastAsia="zh-CN" w:bidi="ar-SA"/>
        </w:rPr>
        <w:t xml:space="preserve">4.2.5.12.1 </w:t>
      </w:r>
      <w:bookmarkEnd w:id="109"/>
      <w:r>
        <w:rPr>
          <w:rFonts w:hint="eastAsia" w:ascii="Times New Roman" w:hAnsi="Times New Roman" w:eastAsia="宋体" w:cs="Times New Roman"/>
          <w:bCs/>
          <w:color w:val="auto"/>
          <w:kern w:val="2"/>
          <w:sz w:val="24"/>
          <w:szCs w:val="28"/>
          <w:lang w:val="en-US" w:eastAsia="zh-CN" w:bidi="ar-SA"/>
        </w:rPr>
        <w:t>群落结构</w:t>
      </w:r>
    </w:p>
    <w:p w14:paraId="47C745CF">
      <w:pPr>
        <w:widowControl/>
        <w:spacing w:line="360" w:lineRule="auto"/>
        <w:ind w:firstLine="480" w:firstLineChars="200"/>
        <w:rPr>
          <w:rFonts w:hint="eastAsia" w:ascii="Times New Roman" w:hAnsi="Times New Roman" w:eastAsia="宋体"/>
          <w:color w:val="auto"/>
          <w:sz w:val="24"/>
          <w:szCs w:val="21"/>
          <w:lang w:bidi="ar"/>
        </w:rPr>
      </w:pPr>
      <w:r>
        <w:rPr>
          <w:rFonts w:ascii="Times New Roman" w:hAnsi="Times New Roman" w:eastAsia="宋体"/>
          <w:color w:val="auto"/>
          <w:sz w:val="24"/>
          <w:szCs w:val="21"/>
          <w:lang w:bidi="ar"/>
        </w:rPr>
        <w:t>2023年监测结果显示，保护区共采集鉴定浮游动物67种(属)(包括变种和变型)(图5.3.1-1)。从物种组成来看，原生动物13种(属)，占浮游动物总物种数的19.4%；轮虫类31种(属)，占比为46.3%；枝角类11种(属)，占比为16.4%；桡足类12种(属)，占比为17.9% (表4.2</w:t>
      </w:r>
      <w:r>
        <w:rPr>
          <w:rFonts w:hint="eastAsia" w:ascii="Times New Roman" w:hAnsi="Times New Roman" w:eastAsia="宋体"/>
          <w:color w:val="auto"/>
          <w:sz w:val="24"/>
          <w:szCs w:val="21"/>
          <w:lang w:val="en-US" w:eastAsia="zh-CN" w:bidi="ar"/>
        </w:rPr>
        <w:t>-33</w:t>
      </w:r>
      <w:r>
        <w:rPr>
          <w:rFonts w:ascii="Times New Roman" w:hAnsi="Times New Roman" w:eastAsia="宋体"/>
          <w:color w:val="auto"/>
          <w:sz w:val="24"/>
          <w:szCs w:val="21"/>
          <w:lang w:bidi="ar"/>
        </w:rPr>
        <w:t>)。</w:t>
      </w:r>
    </w:p>
    <w:p w14:paraId="20FCF190">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表4.2</w:t>
      </w:r>
      <w:r>
        <w:rPr>
          <w:rFonts w:hint="eastAsia" w:ascii="Times New Roman" w:hAnsi="Times New Roman" w:eastAsia="黑体" w:cs="Times New Roman"/>
          <w:color w:val="auto"/>
          <w:sz w:val="24"/>
          <w:szCs w:val="21"/>
          <w:lang w:val="en-US" w:eastAsia="zh-CN"/>
        </w:rPr>
        <w:t>-33</w:t>
      </w:r>
      <w:r>
        <w:rPr>
          <w:rFonts w:ascii="Times New Roman" w:hAnsi="Times New Roman" w:eastAsia="黑体" w:cs="Times New Roman"/>
          <w:color w:val="auto"/>
          <w:sz w:val="24"/>
          <w:szCs w:val="21"/>
        </w:rPr>
        <w:t xml:space="preserve">  2023年度保护区调查水域浮游动物名录</w:t>
      </w:r>
    </w:p>
    <w:tbl>
      <w:tblPr>
        <w:tblStyle w:val="53"/>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99"/>
        <w:gridCol w:w="6471"/>
        <w:gridCol w:w="1257"/>
        <w:gridCol w:w="1258"/>
      </w:tblGrid>
      <w:tr w14:paraId="58B746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1" w:type="pct"/>
            <w:tcBorders>
              <w:tl2br w:val="nil"/>
              <w:tr2bl w:val="nil"/>
            </w:tcBorders>
            <w:noWrap/>
            <w:vAlign w:val="center"/>
          </w:tcPr>
          <w:p w14:paraId="2627FFAA">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6291908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物种</w:t>
            </w:r>
          </w:p>
        </w:tc>
        <w:tc>
          <w:tcPr>
            <w:tcW w:w="677" w:type="pct"/>
            <w:tcBorders>
              <w:tl2br w:val="nil"/>
              <w:tr2bl w:val="nil"/>
            </w:tcBorders>
            <w:noWrap/>
            <w:vAlign w:val="center"/>
          </w:tcPr>
          <w:p w14:paraId="7F397DE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繁殖期</w:t>
            </w:r>
          </w:p>
        </w:tc>
        <w:tc>
          <w:tcPr>
            <w:tcW w:w="677" w:type="pct"/>
            <w:tcBorders>
              <w:tl2br w:val="nil"/>
              <w:tr2bl w:val="nil"/>
            </w:tcBorders>
            <w:noWrap/>
            <w:vAlign w:val="center"/>
          </w:tcPr>
          <w:p w14:paraId="2BA9018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索饵期</w:t>
            </w:r>
          </w:p>
        </w:tc>
      </w:tr>
      <w:tr w14:paraId="5C13F5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3645" w:type="pct"/>
            <w:gridSpan w:val="2"/>
            <w:tcBorders>
              <w:tl2br w:val="nil"/>
              <w:tr2bl w:val="nil"/>
            </w:tcBorders>
            <w:noWrap/>
            <w:vAlign w:val="center"/>
          </w:tcPr>
          <w:p w14:paraId="0B039E97">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轮虫Rotifera</w:t>
            </w:r>
          </w:p>
        </w:tc>
        <w:tc>
          <w:tcPr>
            <w:tcW w:w="677" w:type="pct"/>
            <w:tcBorders>
              <w:tl2br w:val="nil"/>
              <w:tr2bl w:val="nil"/>
            </w:tcBorders>
            <w:noWrap/>
            <w:vAlign w:val="center"/>
          </w:tcPr>
          <w:p w14:paraId="2B039EF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25FC925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r>
      <w:tr w14:paraId="7ECF44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78AC6E76">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30C1382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刺盖异尾轮虫</w:t>
            </w:r>
            <w:r>
              <w:rPr>
                <w:rFonts w:hint="default" w:ascii="Times New Roman" w:hAnsi="Times New Roman" w:eastAsia="宋体"/>
                <w:i/>
                <w:iCs/>
                <w:color w:val="auto"/>
                <w:kern w:val="0"/>
                <w:sz w:val="21"/>
                <w:szCs w:val="21"/>
                <w:lang w:bidi="ar"/>
              </w:rPr>
              <w:t>Trichocerca capucina</w:t>
            </w:r>
          </w:p>
        </w:tc>
        <w:tc>
          <w:tcPr>
            <w:tcW w:w="677" w:type="pct"/>
            <w:tcBorders>
              <w:tl2br w:val="nil"/>
              <w:tr2bl w:val="nil"/>
            </w:tcBorders>
            <w:noWrap/>
            <w:vAlign w:val="center"/>
          </w:tcPr>
          <w:p w14:paraId="1C135CF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27CE546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6BEA8F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51C5FFB1">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394C7CCA">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等棘异尾轮虫</w:t>
            </w:r>
            <w:r>
              <w:rPr>
                <w:rFonts w:hint="default" w:ascii="Times New Roman" w:hAnsi="Times New Roman" w:eastAsia="宋体"/>
                <w:i/>
                <w:iCs/>
                <w:color w:val="auto"/>
                <w:kern w:val="0"/>
                <w:sz w:val="21"/>
                <w:szCs w:val="21"/>
                <w:lang w:bidi="ar"/>
              </w:rPr>
              <w:t xml:space="preserve">Trichocerca </w:t>
            </w:r>
            <w:r>
              <w:rPr>
                <w:rFonts w:hint="eastAsia"/>
                <w:i/>
                <w:iCs/>
                <w:color w:val="auto"/>
                <w:kern w:val="0"/>
                <w:sz w:val="21"/>
                <w:szCs w:val="21"/>
                <w:lang w:eastAsia="zh-CN" w:bidi="ar"/>
              </w:rPr>
              <w:t>similis</w:t>
            </w:r>
          </w:p>
        </w:tc>
        <w:tc>
          <w:tcPr>
            <w:tcW w:w="677" w:type="pct"/>
            <w:tcBorders>
              <w:tl2br w:val="nil"/>
              <w:tr2bl w:val="nil"/>
            </w:tcBorders>
            <w:noWrap/>
            <w:vAlign w:val="center"/>
          </w:tcPr>
          <w:p w14:paraId="43C50C4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4EC59FD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26647B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50BE8F73">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08456D96">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方形臂尾轮虫</w:t>
            </w:r>
            <w:r>
              <w:rPr>
                <w:rFonts w:hint="default" w:ascii="Times New Roman" w:hAnsi="Times New Roman" w:eastAsia="宋体"/>
                <w:i/>
                <w:iCs/>
                <w:color w:val="auto"/>
                <w:kern w:val="0"/>
                <w:sz w:val="21"/>
                <w:szCs w:val="21"/>
                <w:lang w:bidi="ar"/>
              </w:rPr>
              <w:t>Brachionus quadridentatus</w:t>
            </w:r>
          </w:p>
        </w:tc>
        <w:tc>
          <w:tcPr>
            <w:tcW w:w="677" w:type="pct"/>
            <w:tcBorders>
              <w:tl2br w:val="nil"/>
              <w:tr2bl w:val="nil"/>
            </w:tcBorders>
            <w:noWrap/>
            <w:vAlign w:val="center"/>
          </w:tcPr>
          <w:p w14:paraId="2CB50DD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7721092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272C70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4F3BC8D5">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1C1EBFC1">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沟痕泡轮虫</w:t>
            </w:r>
            <w:r>
              <w:rPr>
                <w:rFonts w:hint="default" w:ascii="Times New Roman" w:hAnsi="Times New Roman" w:eastAsia="宋体"/>
                <w:i/>
                <w:iCs/>
                <w:color w:val="auto"/>
                <w:kern w:val="0"/>
                <w:sz w:val="21"/>
                <w:szCs w:val="21"/>
                <w:lang w:bidi="ar"/>
              </w:rPr>
              <w:t>Pompholyx sulcata</w:t>
            </w:r>
          </w:p>
        </w:tc>
        <w:tc>
          <w:tcPr>
            <w:tcW w:w="677" w:type="pct"/>
            <w:tcBorders>
              <w:tl2br w:val="nil"/>
              <w:tr2bl w:val="nil"/>
            </w:tcBorders>
            <w:noWrap/>
            <w:vAlign w:val="center"/>
          </w:tcPr>
          <w:p w14:paraId="7A597EB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20A07F8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51F63A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18AD927E">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70CC6635">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尖尾疣毛轮虫</w:t>
            </w:r>
            <w:r>
              <w:rPr>
                <w:rFonts w:hint="default" w:ascii="Times New Roman" w:hAnsi="Times New Roman" w:eastAsia="宋体"/>
                <w:i/>
                <w:iCs/>
                <w:color w:val="auto"/>
                <w:kern w:val="0"/>
                <w:sz w:val="21"/>
                <w:szCs w:val="21"/>
                <w:lang w:bidi="ar"/>
              </w:rPr>
              <w:t>Synchaeta stylata</w:t>
            </w:r>
          </w:p>
        </w:tc>
        <w:tc>
          <w:tcPr>
            <w:tcW w:w="677" w:type="pct"/>
            <w:tcBorders>
              <w:tl2br w:val="nil"/>
              <w:tr2bl w:val="nil"/>
            </w:tcBorders>
            <w:noWrap/>
            <w:vAlign w:val="center"/>
          </w:tcPr>
          <w:p w14:paraId="3C324CD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39CA378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295C208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1EC8B6B3">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31A260E5">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剪形臂尾轮虫</w:t>
            </w:r>
            <w:r>
              <w:rPr>
                <w:rFonts w:hint="default" w:ascii="Times New Roman" w:hAnsi="Times New Roman" w:eastAsia="宋体"/>
                <w:i/>
                <w:iCs/>
                <w:color w:val="auto"/>
                <w:kern w:val="0"/>
                <w:sz w:val="21"/>
                <w:szCs w:val="21"/>
                <w:lang w:bidi="ar"/>
              </w:rPr>
              <w:t xml:space="preserve">Brachionus </w:t>
            </w:r>
            <w:r>
              <w:rPr>
                <w:rFonts w:hint="eastAsia"/>
                <w:i/>
                <w:iCs/>
                <w:color w:val="auto"/>
                <w:kern w:val="0"/>
                <w:sz w:val="21"/>
                <w:szCs w:val="21"/>
                <w:lang w:eastAsia="zh-CN" w:bidi="ar"/>
              </w:rPr>
              <w:t>plicatilis</w:t>
            </w:r>
          </w:p>
        </w:tc>
        <w:tc>
          <w:tcPr>
            <w:tcW w:w="677" w:type="pct"/>
            <w:tcBorders>
              <w:tl2br w:val="nil"/>
              <w:tr2bl w:val="nil"/>
            </w:tcBorders>
            <w:noWrap/>
            <w:vAlign w:val="center"/>
          </w:tcPr>
          <w:p w14:paraId="41A09E6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76C65E2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155521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751F7503">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2D2C7FA4">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角突臂尾轮虫</w:t>
            </w:r>
            <w:r>
              <w:rPr>
                <w:rFonts w:hint="default" w:ascii="Times New Roman" w:hAnsi="Times New Roman" w:eastAsia="宋体"/>
                <w:i/>
                <w:iCs/>
                <w:color w:val="auto"/>
                <w:kern w:val="0"/>
                <w:sz w:val="21"/>
                <w:szCs w:val="21"/>
                <w:lang w:bidi="ar"/>
              </w:rPr>
              <w:t>Brachionus angularis</w:t>
            </w:r>
          </w:p>
        </w:tc>
        <w:tc>
          <w:tcPr>
            <w:tcW w:w="677" w:type="pct"/>
            <w:tcBorders>
              <w:tl2br w:val="nil"/>
              <w:tr2bl w:val="nil"/>
            </w:tcBorders>
            <w:noWrap/>
            <w:vAlign w:val="center"/>
          </w:tcPr>
          <w:p w14:paraId="06FCFAD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19FFC3D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4BB360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5EC383D1">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018D79CC">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矩形臂尾轮虫</w:t>
            </w:r>
            <w:r>
              <w:rPr>
                <w:rFonts w:hint="default" w:ascii="Times New Roman" w:hAnsi="Times New Roman" w:eastAsia="宋体"/>
                <w:i/>
                <w:iCs/>
                <w:color w:val="auto"/>
                <w:kern w:val="0"/>
                <w:sz w:val="21"/>
                <w:szCs w:val="21"/>
                <w:lang w:bidi="ar"/>
              </w:rPr>
              <w:t>Brachionus leydigi</w:t>
            </w:r>
          </w:p>
        </w:tc>
        <w:tc>
          <w:tcPr>
            <w:tcW w:w="677" w:type="pct"/>
            <w:tcBorders>
              <w:tl2br w:val="nil"/>
              <w:tr2bl w:val="nil"/>
            </w:tcBorders>
            <w:noWrap/>
            <w:vAlign w:val="center"/>
          </w:tcPr>
          <w:p w14:paraId="679BB7F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758F46A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6CD0AB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3D4B4D3B">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258284CE">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矩形龟甲轮虫</w:t>
            </w:r>
            <w:r>
              <w:rPr>
                <w:rFonts w:hint="default" w:ascii="Times New Roman" w:hAnsi="Times New Roman" w:eastAsia="宋体"/>
                <w:i/>
                <w:iCs/>
                <w:color w:val="auto"/>
                <w:kern w:val="0"/>
                <w:sz w:val="21"/>
                <w:szCs w:val="21"/>
                <w:lang w:bidi="ar"/>
              </w:rPr>
              <w:t>Keratella quadrata</w:t>
            </w:r>
          </w:p>
        </w:tc>
        <w:tc>
          <w:tcPr>
            <w:tcW w:w="677" w:type="pct"/>
            <w:tcBorders>
              <w:tl2br w:val="nil"/>
              <w:tr2bl w:val="nil"/>
            </w:tcBorders>
            <w:noWrap/>
            <w:vAlign w:val="center"/>
          </w:tcPr>
          <w:p w14:paraId="6F356D0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640F5B5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5AD198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29D60BE9">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6C851ECF">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巨头轮属</w:t>
            </w:r>
            <w:r>
              <w:rPr>
                <w:rFonts w:hint="default" w:ascii="Times New Roman" w:hAnsi="Times New Roman" w:eastAsia="宋体"/>
                <w:i/>
                <w:iCs/>
                <w:color w:val="auto"/>
                <w:kern w:val="0"/>
                <w:sz w:val="21"/>
                <w:szCs w:val="21"/>
                <w:lang w:bidi="ar"/>
              </w:rPr>
              <w:t>Cephalodella</w:t>
            </w:r>
            <w:r>
              <w:rPr>
                <w:rFonts w:hint="default" w:ascii="Times New Roman" w:hAnsi="Times New Roman" w:eastAsia="宋体"/>
                <w:color w:val="auto"/>
                <w:kern w:val="0"/>
                <w:sz w:val="21"/>
                <w:szCs w:val="21"/>
                <w:lang w:bidi="ar"/>
              </w:rPr>
              <w:t xml:space="preserve"> sp.</w:t>
            </w:r>
          </w:p>
        </w:tc>
        <w:tc>
          <w:tcPr>
            <w:tcW w:w="677" w:type="pct"/>
            <w:tcBorders>
              <w:tl2br w:val="nil"/>
              <w:tr2bl w:val="nil"/>
            </w:tcBorders>
            <w:noWrap/>
            <w:vAlign w:val="center"/>
          </w:tcPr>
          <w:p w14:paraId="1287784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5212518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4DD34F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24049B79">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71A86DC2">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镰状臂尾轮虫</w:t>
            </w:r>
            <w:r>
              <w:rPr>
                <w:rFonts w:hint="default" w:ascii="Times New Roman" w:hAnsi="Times New Roman" w:eastAsia="宋体"/>
                <w:i/>
                <w:iCs/>
                <w:color w:val="auto"/>
                <w:kern w:val="0"/>
                <w:sz w:val="21"/>
                <w:szCs w:val="21"/>
                <w:lang w:bidi="ar"/>
              </w:rPr>
              <w:t>Brachionus falcatus</w:t>
            </w:r>
          </w:p>
        </w:tc>
        <w:tc>
          <w:tcPr>
            <w:tcW w:w="677" w:type="pct"/>
            <w:tcBorders>
              <w:tl2br w:val="nil"/>
              <w:tr2bl w:val="nil"/>
            </w:tcBorders>
            <w:noWrap/>
            <w:vAlign w:val="center"/>
          </w:tcPr>
          <w:p w14:paraId="03058BF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677DAC1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6F76DC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721F9CCB">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37FBE932">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脾状三肢轮虫</w:t>
            </w:r>
            <w:r>
              <w:rPr>
                <w:rFonts w:hint="default" w:ascii="Times New Roman" w:hAnsi="Times New Roman" w:eastAsia="宋体"/>
                <w:i/>
                <w:iCs/>
                <w:color w:val="auto"/>
                <w:kern w:val="0"/>
                <w:sz w:val="21"/>
                <w:szCs w:val="21"/>
                <w:lang w:bidi="ar"/>
              </w:rPr>
              <w:t xml:space="preserve">Filinia </w:t>
            </w:r>
            <w:r>
              <w:rPr>
                <w:rFonts w:hint="eastAsia"/>
                <w:i/>
                <w:iCs/>
                <w:color w:val="auto"/>
                <w:kern w:val="0"/>
                <w:sz w:val="21"/>
                <w:szCs w:val="21"/>
                <w:lang w:eastAsia="zh-CN" w:bidi="ar"/>
              </w:rPr>
              <w:t>oligosperma</w:t>
            </w:r>
          </w:p>
        </w:tc>
        <w:tc>
          <w:tcPr>
            <w:tcW w:w="677" w:type="pct"/>
            <w:tcBorders>
              <w:tl2br w:val="nil"/>
              <w:tr2bl w:val="nil"/>
            </w:tcBorders>
            <w:noWrap/>
            <w:vAlign w:val="center"/>
          </w:tcPr>
          <w:p w14:paraId="34ABB34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726B581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609904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4C3C5B86">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2C76ADB5">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奇异六腕轮虫</w:t>
            </w:r>
            <w:r>
              <w:rPr>
                <w:rFonts w:hint="default" w:ascii="Times New Roman" w:hAnsi="Times New Roman" w:eastAsia="宋体"/>
                <w:i/>
                <w:iCs/>
                <w:color w:val="auto"/>
                <w:kern w:val="0"/>
                <w:sz w:val="21"/>
                <w:szCs w:val="21"/>
                <w:lang w:bidi="ar"/>
              </w:rPr>
              <w:t>Hexarthra mira</w:t>
            </w:r>
          </w:p>
        </w:tc>
        <w:tc>
          <w:tcPr>
            <w:tcW w:w="677" w:type="pct"/>
            <w:tcBorders>
              <w:tl2br w:val="nil"/>
              <w:tr2bl w:val="nil"/>
            </w:tcBorders>
            <w:noWrap/>
            <w:vAlign w:val="center"/>
          </w:tcPr>
          <w:p w14:paraId="5F1A462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48C85DE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38C7D4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1E5D07E7">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7D250819">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十指扁甲轮虫</w:t>
            </w:r>
            <w:r>
              <w:rPr>
                <w:rFonts w:hint="eastAsia"/>
                <w:color w:val="auto"/>
                <w:kern w:val="0"/>
                <w:sz w:val="21"/>
                <w:szCs w:val="21"/>
                <w:lang w:eastAsia="zh-CN" w:bidi="ar"/>
              </w:rPr>
              <w:t>Platynoctus</w:t>
            </w:r>
            <w:r>
              <w:rPr>
                <w:rFonts w:hint="default" w:ascii="Times New Roman" w:hAnsi="Times New Roman" w:eastAsia="宋体"/>
                <w:i/>
                <w:iCs/>
                <w:color w:val="auto"/>
                <w:kern w:val="0"/>
                <w:sz w:val="21"/>
                <w:szCs w:val="21"/>
                <w:lang w:bidi="ar"/>
              </w:rPr>
              <w:t xml:space="preserve"> patulus</w:t>
            </w:r>
          </w:p>
        </w:tc>
        <w:tc>
          <w:tcPr>
            <w:tcW w:w="677" w:type="pct"/>
            <w:tcBorders>
              <w:tl2br w:val="nil"/>
              <w:tr2bl w:val="nil"/>
            </w:tcBorders>
            <w:noWrap/>
            <w:vAlign w:val="center"/>
          </w:tcPr>
          <w:p w14:paraId="6BF210F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18F5972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461813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67E09519">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23D3092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鼠异尾轮虫</w:t>
            </w:r>
            <w:r>
              <w:rPr>
                <w:rFonts w:hint="default" w:ascii="Times New Roman" w:hAnsi="Times New Roman" w:eastAsia="宋体"/>
                <w:i/>
                <w:iCs/>
                <w:color w:val="auto"/>
                <w:kern w:val="0"/>
                <w:sz w:val="21"/>
                <w:szCs w:val="21"/>
                <w:lang w:bidi="ar"/>
              </w:rPr>
              <w:t>Trichocerca rattus</w:t>
            </w:r>
          </w:p>
        </w:tc>
        <w:tc>
          <w:tcPr>
            <w:tcW w:w="677" w:type="pct"/>
            <w:tcBorders>
              <w:tl2br w:val="nil"/>
              <w:tr2bl w:val="nil"/>
            </w:tcBorders>
            <w:noWrap/>
            <w:vAlign w:val="center"/>
          </w:tcPr>
          <w:p w14:paraId="2B6758A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4A10EE8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41280B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6F00E011">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282EDEF0">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异尾轮属</w:t>
            </w:r>
            <w:r>
              <w:rPr>
                <w:rFonts w:hint="default" w:ascii="Times New Roman" w:hAnsi="Times New Roman" w:eastAsia="宋体"/>
                <w:i/>
                <w:iCs/>
                <w:color w:val="auto"/>
                <w:kern w:val="0"/>
                <w:sz w:val="21"/>
                <w:szCs w:val="21"/>
                <w:lang w:bidi="ar"/>
              </w:rPr>
              <w:t>Trichocerca</w:t>
            </w:r>
            <w:r>
              <w:rPr>
                <w:rFonts w:hint="default" w:ascii="Times New Roman" w:hAnsi="Times New Roman" w:eastAsia="宋体"/>
                <w:color w:val="auto"/>
                <w:kern w:val="0"/>
                <w:sz w:val="21"/>
                <w:szCs w:val="21"/>
                <w:lang w:bidi="ar"/>
              </w:rPr>
              <w:t xml:space="preserve"> sp.</w:t>
            </w:r>
          </w:p>
        </w:tc>
        <w:tc>
          <w:tcPr>
            <w:tcW w:w="677" w:type="pct"/>
            <w:tcBorders>
              <w:tl2br w:val="nil"/>
              <w:tr2bl w:val="nil"/>
            </w:tcBorders>
            <w:noWrap/>
            <w:vAlign w:val="center"/>
          </w:tcPr>
          <w:p w14:paraId="5862FA1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6545BBF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021FEA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1B083D7E">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14347007">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长肢多肢轮虫</w:t>
            </w:r>
            <w:r>
              <w:rPr>
                <w:rFonts w:hint="default" w:ascii="Times New Roman" w:hAnsi="Times New Roman" w:eastAsia="宋体"/>
                <w:i/>
                <w:iCs/>
                <w:color w:val="auto"/>
                <w:kern w:val="0"/>
                <w:sz w:val="21"/>
                <w:szCs w:val="21"/>
                <w:lang w:bidi="ar"/>
              </w:rPr>
              <w:t>Polyarthra dolichoptera</w:t>
            </w:r>
          </w:p>
        </w:tc>
        <w:tc>
          <w:tcPr>
            <w:tcW w:w="677" w:type="pct"/>
            <w:tcBorders>
              <w:tl2br w:val="nil"/>
              <w:tr2bl w:val="nil"/>
            </w:tcBorders>
            <w:noWrap/>
            <w:vAlign w:val="center"/>
          </w:tcPr>
          <w:p w14:paraId="21F15FF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7221E24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32C18B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56A54404">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27FFC1A6">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暗小异尾轮虫</w:t>
            </w:r>
            <w:r>
              <w:rPr>
                <w:rFonts w:hint="default" w:ascii="Times New Roman" w:hAnsi="Times New Roman" w:eastAsia="宋体"/>
                <w:i/>
                <w:iCs/>
                <w:color w:val="auto"/>
                <w:kern w:val="0"/>
                <w:sz w:val="21"/>
                <w:szCs w:val="21"/>
                <w:lang w:bidi="ar"/>
              </w:rPr>
              <w:t>Trichocerca pusilla</w:t>
            </w:r>
          </w:p>
        </w:tc>
        <w:tc>
          <w:tcPr>
            <w:tcW w:w="677" w:type="pct"/>
            <w:tcBorders>
              <w:tl2br w:val="nil"/>
              <w:tr2bl w:val="nil"/>
            </w:tcBorders>
            <w:noWrap/>
            <w:vAlign w:val="center"/>
          </w:tcPr>
          <w:p w14:paraId="1FD0210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59FC078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19A910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343ED2AB">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00BFC990">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叉角拟聚花轮虫</w:t>
            </w:r>
            <w:r>
              <w:rPr>
                <w:rFonts w:hint="default" w:ascii="Times New Roman" w:hAnsi="Times New Roman" w:eastAsia="宋体"/>
                <w:i/>
                <w:iCs/>
                <w:color w:val="auto"/>
                <w:kern w:val="0"/>
                <w:sz w:val="21"/>
                <w:szCs w:val="21"/>
                <w:lang w:bidi="ar"/>
              </w:rPr>
              <w:t>Conochiloides dossuarius</w:t>
            </w:r>
          </w:p>
        </w:tc>
        <w:tc>
          <w:tcPr>
            <w:tcW w:w="677" w:type="pct"/>
            <w:tcBorders>
              <w:tl2br w:val="nil"/>
              <w:tr2bl w:val="nil"/>
            </w:tcBorders>
            <w:noWrap/>
            <w:vAlign w:val="center"/>
          </w:tcPr>
          <w:p w14:paraId="42AC8BF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75F6772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r>
      <w:tr w14:paraId="17FE3C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2BEB7E75">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430CA7EF">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独角聚花轮虫</w:t>
            </w:r>
            <w:r>
              <w:rPr>
                <w:rFonts w:hint="default" w:ascii="Times New Roman" w:hAnsi="Times New Roman" w:eastAsia="宋体"/>
                <w:i/>
                <w:iCs/>
                <w:color w:val="auto"/>
                <w:kern w:val="0"/>
                <w:sz w:val="21"/>
                <w:szCs w:val="21"/>
                <w:lang w:bidi="ar"/>
              </w:rPr>
              <w:t>Conochilus unicornis</w:t>
            </w:r>
          </w:p>
        </w:tc>
        <w:tc>
          <w:tcPr>
            <w:tcW w:w="677" w:type="pct"/>
            <w:tcBorders>
              <w:tl2br w:val="nil"/>
              <w:tr2bl w:val="nil"/>
            </w:tcBorders>
            <w:noWrap/>
            <w:vAlign w:val="center"/>
          </w:tcPr>
          <w:p w14:paraId="340C273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5F18E47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53F1C4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1A753241">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4C212B4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萼花臂尾轮虫</w:t>
            </w:r>
            <w:r>
              <w:rPr>
                <w:rFonts w:hint="default" w:ascii="Times New Roman" w:hAnsi="Times New Roman" w:eastAsia="宋体"/>
                <w:i/>
                <w:iCs/>
                <w:color w:val="auto"/>
                <w:kern w:val="0"/>
                <w:sz w:val="21"/>
                <w:szCs w:val="21"/>
                <w:lang w:bidi="ar"/>
              </w:rPr>
              <w:t>Brachionus calyciflorus</w:t>
            </w:r>
          </w:p>
        </w:tc>
        <w:tc>
          <w:tcPr>
            <w:tcW w:w="677" w:type="pct"/>
            <w:tcBorders>
              <w:tl2br w:val="nil"/>
              <w:tr2bl w:val="nil"/>
            </w:tcBorders>
            <w:noWrap/>
            <w:vAlign w:val="center"/>
          </w:tcPr>
          <w:p w14:paraId="685D961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708E240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46AF1D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08DC42C7">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19A238CD">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广布多肢轮虫</w:t>
            </w:r>
            <w:r>
              <w:rPr>
                <w:rFonts w:hint="default" w:ascii="Times New Roman" w:hAnsi="Times New Roman" w:eastAsia="宋体"/>
                <w:i/>
                <w:iCs/>
                <w:color w:val="auto"/>
                <w:kern w:val="0"/>
                <w:sz w:val="21"/>
                <w:szCs w:val="21"/>
                <w:lang w:bidi="ar"/>
              </w:rPr>
              <w:t>Polyarthra vulgaris</w:t>
            </w:r>
          </w:p>
        </w:tc>
        <w:tc>
          <w:tcPr>
            <w:tcW w:w="677" w:type="pct"/>
            <w:tcBorders>
              <w:tl2br w:val="nil"/>
              <w:tr2bl w:val="nil"/>
            </w:tcBorders>
            <w:noWrap/>
            <w:vAlign w:val="center"/>
          </w:tcPr>
          <w:p w14:paraId="523D671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658DEDB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3A3AE0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48175E97">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232389B2">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晶囊轮属</w:t>
            </w:r>
            <w:r>
              <w:rPr>
                <w:rFonts w:hint="default" w:ascii="Times New Roman" w:hAnsi="Times New Roman" w:eastAsia="宋体"/>
                <w:i/>
                <w:iCs/>
                <w:color w:val="auto"/>
                <w:kern w:val="0"/>
                <w:sz w:val="21"/>
                <w:szCs w:val="21"/>
                <w:lang w:bidi="ar"/>
              </w:rPr>
              <w:t xml:space="preserve">Asplachna </w:t>
            </w:r>
            <w:r>
              <w:rPr>
                <w:rFonts w:hint="default" w:ascii="Times New Roman" w:hAnsi="Times New Roman" w:eastAsia="宋体"/>
                <w:color w:val="auto"/>
                <w:kern w:val="0"/>
                <w:sz w:val="21"/>
                <w:szCs w:val="21"/>
                <w:lang w:bidi="ar"/>
              </w:rPr>
              <w:t>sp.</w:t>
            </w:r>
          </w:p>
        </w:tc>
        <w:tc>
          <w:tcPr>
            <w:tcW w:w="677" w:type="pct"/>
            <w:tcBorders>
              <w:tl2br w:val="nil"/>
              <w:tr2bl w:val="nil"/>
            </w:tcBorders>
            <w:noWrap/>
            <w:vAlign w:val="center"/>
          </w:tcPr>
          <w:p w14:paraId="5116615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4DB6595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673D9A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2701DE2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239CCB66">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裂痕龟纹轮虫</w:t>
            </w:r>
            <w:r>
              <w:rPr>
                <w:rFonts w:hint="default" w:ascii="Times New Roman" w:hAnsi="Times New Roman" w:eastAsia="宋体"/>
                <w:i/>
                <w:iCs/>
                <w:color w:val="auto"/>
                <w:kern w:val="0"/>
                <w:sz w:val="21"/>
                <w:szCs w:val="21"/>
                <w:lang w:bidi="ar"/>
              </w:rPr>
              <w:t>Anuraeopsis fissa</w:t>
            </w:r>
          </w:p>
        </w:tc>
        <w:tc>
          <w:tcPr>
            <w:tcW w:w="677" w:type="pct"/>
            <w:tcBorders>
              <w:tl2br w:val="nil"/>
              <w:tr2bl w:val="nil"/>
            </w:tcBorders>
            <w:noWrap/>
            <w:vAlign w:val="center"/>
          </w:tcPr>
          <w:p w14:paraId="064AE85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225B934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034E34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1813EEA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32D3EB34">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裂足臂尾轮虫</w:t>
            </w:r>
            <w:r>
              <w:rPr>
                <w:rFonts w:hint="default" w:ascii="Times New Roman" w:hAnsi="Times New Roman" w:eastAsia="宋体"/>
                <w:i/>
                <w:iCs/>
                <w:color w:val="auto"/>
                <w:kern w:val="0"/>
                <w:sz w:val="21"/>
                <w:szCs w:val="21"/>
                <w:lang w:bidi="ar"/>
              </w:rPr>
              <w:t>Brachionus diversicornis</w:t>
            </w:r>
          </w:p>
        </w:tc>
        <w:tc>
          <w:tcPr>
            <w:tcW w:w="677" w:type="pct"/>
            <w:tcBorders>
              <w:tl2br w:val="nil"/>
              <w:tr2bl w:val="nil"/>
            </w:tcBorders>
            <w:noWrap/>
            <w:vAlign w:val="center"/>
          </w:tcPr>
          <w:p w14:paraId="28968DB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4831DE7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21C740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16E4AE8E">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0B90C512">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螺形龟甲轮虫</w:t>
            </w:r>
            <w:r>
              <w:rPr>
                <w:rFonts w:hint="default" w:ascii="Times New Roman" w:hAnsi="Times New Roman" w:eastAsia="宋体"/>
                <w:i/>
                <w:iCs/>
                <w:color w:val="auto"/>
                <w:kern w:val="0"/>
                <w:sz w:val="21"/>
                <w:szCs w:val="21"/>
                <w:lang w:bidi="ar"/>
              </w:rPr>
              <w:t>Keratella cochlearis</w:t>
            </w:r>
          </w:p>
        </w:tc>
        <w:tc>
          <w:tcPr>
            <w:tcW w:w="677" w:type="pct"/>
            <w:tcBorders>
              <w:tl2br w:val="nil"/>
              <w:tr2bl w:val="nil"/>
            </w:tcBorders>
            <w:noWrap/>
            <w:vAlign w:val="center"/>
          </w:tcPr>
          <w:p w14:paraId="59AFDC2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1A15EB5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3B8FC3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11904902">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2A92080C">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蒲达臂尾轮虫</w:t>
            </w:r>
            <w:r>
              <w:rPr>
                <w:rFonts w:hint="default" w:ascii="Times New Roman" w:hAnsi="Times New Roman" w:eastAsia="宋体"/>
                <w:i/>
                <w:iCs/>
                <w:color w:val="auto"/>
                <w:kern w:val="0"/>
                <w:sz w:val="21"/>
                <w:szCs w:val="21"/>
                <w:lang w:bidi="ar"/>
              </w:rPr>
              <w:t>Brachionus budapestinensis</w:t>
            </w:r>
          </w:p>
        </w:tc>
        <w:tc>
          <w:tcPr>
            <w:tcW w:w="677" w:type="pct"/>
            <w:tcBorders>
              <w:tl2br w:val="nil"/>
              <w:tr2bl w:val="nil"/>
            </w:tcBorders>
            <w:noWrap/>
            <w:vAlign w:val="center"/>
          </w:tcPr>
          <w:p w14:paraId="2F500A2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7C5C84F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r>
      <w:tr w14:paraId="50860C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0A948006">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0C779A1C">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前节晶囊轮虫</w:t>
            </w:r>
            <w:r>
              <w:rPr>
                <w:rFonts w:hint="default" w:ascii="Times New Roman" w:hAnsi="Times New Roman" w:eastAsia="宋体"/>
                <w:i/>
                <w:iCs/>
                <w:color w:val="auto"/>
                <w:kern w:val="0"/>
                <w:sz w:val="21"/>
                <w:szCs w:val="21"/>
                <w:lang w:bidi="ar"/>
              </w:rPr>
              <w:t>Asplanchna priodonta</w:t>
            </w:r>
          </w:p>
        </w:tc>
        <w:tc>
          <w:tcPr>
            <w:tcW w:w="677" w:type="pct"/>
            <w:tcBorders>
              <w:tl2br w:val="nil"/>
              <w:tr2bl w:val="nil"/>
            </w:tcBorders>
            <w:noWrap/>
            <w:vAlign w:val="center"/>
          </w:tcPr>
          <w:p w14:paraId="744B755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27F31D3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r>
      <w:tr w14:paraId="632D08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0DD91D07">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0BDD7C92">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曲腿龟甲轮虫</w:t>
            </w:r>
            <w:r>
              <w:rPr>
                <w:rFonts w:hint="default" w:ascii="Times New Roman" w:hAnsi="Times New Roman" w:eastAsia="宋体"/>
                <w:i/>
                <w:iCs/>
                <w:color w:val="auto"/>
                <w:kern w:val="0"/>
                <w:sz w:val="21"/>
                <w:szCs w:val="21"/>
                <w:lang w:bidi="ar"/>
              </w:rPr>
              <w:t>Keratella valga</w:t>
            </w:r>
          </w:p>
        </w:tc>
        <w:tc>
          <w:tcPr>
            <w:tcW w:w="677" w:type="pct"/>
            <w:tcBorders>
              <w:tl2br w:val="nil"/>
              <w:tr2bl w:val="nil"/>
            </w:tcBorders>
            <w:noWrap/>
            <w:vAlign w:val="center"/>
          </w:tcPr>
          <w:p w14:paraId="5B4F81C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6AD4A4D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043919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2EDBD44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73D1505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双尖异尾轮虫</w:t>
            </w:r>
            <w:r>
              <w:rPr>
                <w:rFonts w:hint="default" w:ascii="Times New Roman" w:hAnsi="Times New Roman" w:eastAsia="宋体"/>
                <w:i/>
                <w:iCs/>
                <w:color w:val="auto"/>
                <w:kern w:val="0"/>
                <w:sz w:val="21"/>
                <w:szCs w:val="21"/>
                <w:lang w:bidi="ar"/>
              </w:rPr>
              <w:t xml:space="preserve">Trichocerca </w:t>
            </w:r>
            <w:r>
              <w:rPr>
                <w:rFonts w:hint="eastAsia"/>
                <w:i/>
                <w:iCs/>
                <w:color w:val="auto"/>
                <w:kern w:val="0"/>
                <w:sz w:val="21"/>
                <w:szCs w:val="21"/>
                <w:lang w:eastAsia="zh-CN" w:bidi="ar"/>
              </w:rPr>
              <w:t>bicuspis</w:t>
            </w:r>
          </w:p>
        </w:tc>
        <w:tc>
          <w:tcPr>
            <w:tcW w:w="677" w:type="pct"/>
            <w:tcBorders>
              <w:tl2br w:val="nil"/>
              <w:tr2bl w:val="nil"/>
            </w:tcBorders>
            <w:noWrap/>
            <w:vAlign w:val="center"/>
          </w:tcPr>
          <w:p w14:paraId="2D6A38B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54AF265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r>
      <w:tr w14:paraId="69A171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701F5A8D">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5F0C747E">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疣毛轮属</w:t>
            </w:r>
            <w:r>
              <w:rPr>
                <w:rFonts w:hint="default" w:ascii="Times New Roman" w:hAnsi="Times New Roman" w:eastAsia="宋体"/>
                <w:i/>
                <w:iCs/>
                <w:color w:val="auto"/>
                <w:kern w:val="0"/>
                <w:sz w:val="21"/>
                <w:szCs w:val="21"/>
                <w:lang w:bidi="ar"/>
              </w:rPr>
              <w:t>Synchaeta</w:t>
            </w:r>
            <w:r>
              <w:rPr>
                <w:rFonts w:hint="default" w:ascii="Times New Roman" w:hAnsi="Times New Roman" w:eastAsia="宋体"/>
                <w:color w:val="auto"/>
                <w:kern w:val="0"/>
                <w:sz w:val="21"/>
                <w:szCs w:val="21"/>
                <w:lang w:bidi="ar"/>
              </w:rPr>
              <w:t xml:space="preserve"> sp.</w:t>
            </w:r>
          </w:p>
        </w:tc>
        <w:tc>
          <w:tcPr>
            <w:tcW w:w="677" w:type="pct"/>
            <w:tcBorders>
              <w:tl2br w:val="nil"/>
              <w:tr2bl w:val="nil"/>
            </w:tcBorders>
            <w:noWrap/>
            <w:vAlign w:val="center"/>
          </w:tcPr>
          <w:p w14:paraId="5328C22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454CD34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39BE8C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3645" w:type="pct"/>
            <w:gridSpan w:val="2"/>
            <w:tcBorders>
              <w:tl2br w:val="nil"/>
              <w:tr2bl w:val="nil"/>
            </w:tcBorders>
            <w:noWrap/>
            <w:vAlign w:val="center"/>
          </w:tcPr>
          <w:p w14:paraId="4ADCFECE">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桡足类 Copepoda</w:t>
            </w:r>
          </w:p>
        </w:tc>
        <w:tc>
          <w:tcPr>
            <w:tcW w:w="677" w:type="pct"/>
            <w:tcBorders>
              <w:tl2br w:val="nil"/>
              <w:tr2bl w:val="nil"/>
            </w:tcBorders>
            <w:noWrap/>
            <w:vAlign w:val="center"/>
          </w:tcPr>
          <w:p w14:paraId="1C48BAE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3F4CDB5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r>
      <w:tr w14:paraId="5F5ADAF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2B1B606D">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5A49D9EE">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锯缘真剑水蚤</w:t>
            </w:r>
            <w:r>
              <w:rPr>
                <w:rFonts w:hint="default" w:ascii="Times New Roman" w:hAnsi="Times New Roman" w:eastAsia="宋体"/>
                <w:i/>
                <w:iCs/>
                <w:color w:val="auto"/>
                <w:kern w:val="0"/>
                <w:sz w:val="21"/>
                <w:szCs w:val="21"/>
                <w:lang w:bidi="ar"/>
              </w:rPr>
              <w:t>Eucyclops serrulatus</w:t>
            </w:r>
          </w:p>
        </w:tc>
        <w:tc>
          <w:tcPr>
            <w:tcW w:w="677" w:type="pct"/>
            <w:tcBorders>
              <w:tl2br w:val="nil"/>
              <w:tr2bl w:val="nil"/>
            </w:tcBorders>
            <w:noWrap/>
            <w:vAlign w:val="center"/>
          </w:tcPr>
          <w:p w14:paraId="3360940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0171EC3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2F3459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4D714E64">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3F5FABF7">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右突新镖水蚤</w:t>
            </w:r>
            <w:r>
              <w:rPr>
                <w:rFonts w:hint="default" w:ascii="Times New Roman" w:hAnsi="Times New Roman" w:eastAsia="宋体"/>
                <w:i/>
                <w:iCs/>
                <w:color w:val="auto"/>
                <w:kern w:val="0"/>
                <w:sz w:val="21"/>
                <w:szCs w:val="21"/>
                <w:lang w:bidi="ar"/>
              </w:rPr>
              <w:t>Neodiaptomus schmackeri</w:t>
            </w:r>
          </w:p>
        </w:tc>
        <w:tc>
          <w:tcPr>
            <w:tcW w:w="677" w:type="pct"/>
            <w:tcBorders>
              <w:tl2br w:val="nil"/>
              <w:tr2bl w:val="nil"/>
            </w:tcBorders>
            <w:noWrap/>
            <w:vAlign w:val="center"/>
          </w:tcPr>
          <w:p w14:paraId="20D696B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1895D68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5FA5BF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75EB00AB">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34018B13">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中华原镖水蚤</w:t>
            </w:r>
            <w:r>
              <w:rPr>
                <w:rFonts w:hint="default" w:ascii="Times New Roman" w:hAnsi="Times New Roman" w:eastAsia="宋体"/>
                <w:i/>
                <w:iCs/>
                <w:color w:val="auto"/>
                <w:kern w:val="0"/>
                <w:sz w:val="21"/>
                <w:szCs w:val="21"/>
                <w:lang w:bidi="ar"/>
              </w:rPr>
              <w:t>Eodiaptomus sinensis</w:t>
            </w:r>
          </w:p>
        </w:tc>
        <w:tc>
          <w:tcPr>
            <w:tcW w:w="677" w:type="pct"/>
            <w:tcBorders>
              <w:tl2br w:val="nil"/>
              <w:tr2bl w:val="nil"/>
            </w:tcBorders>
            <w:noWrap/>
            <w:vAlign w:val="center"/>
          </w:tcPr>
          <w:p w14:paraId="60AEF62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0374ED5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7BBD1A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538BB51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23F16161">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中华窄腹剑水蚤</w:t>
            </w:r>
            <w:r>
              <w:rPr>
                <w:rFonts w:hint="default" w:ascii="Times New Roman" w:hAnsi="Times New Roman" w:eastAsia="宋体"/>
                <w:i/>
                <w:iCs/>
                <w:color w:val="auto"/>
                <w:kern w:val="0"/>
                <w:sz w:val="21"/>
                <w:szCs w:val="21"/>
                <w:lang w:bidi="ar"/>
              </w:rPr>
              <w:t>Limnoithona sinensis</w:t>
            </w:r>
          </w:p>
        </w:tc>
        <w:tc>
          <w:tcPr>
            <w:tcW w:w="677" w:type="pct"/>
            <w:tcBorders>
              <w:tl2br w:val="nil"/>
              <w:tr2bl w:val="nil"/>
            </w:tcBorders>
            <w:noWrap/>
            <w:vAlign w:val="center"/>
          </w:tcPr>
          <w:p w14:paraId="09C226A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5A5D00A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6A817D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6EC1C3A1">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28BD537E">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广布中剑水蚤</w:t>
            </w:r>
            <w:r>
              <w:rPr>
                <w:rFonts w:hint="default" w:ascii="Times New Roman" w:hAnsi="Times New Roman" w:eastAsia="宋体"/>
                <w:i/>
                <w:iCs/>
                <w:color w:val="auto"/>
                <w:kern w:val="0"/>
                <w:sz w:val="21"/>
                <w:szCs w:val="21"/>
                <w:lang w:bidi="ar"/>
              </w:rPr>
              <w:t>Mesocyclops leuckarti</w:t>
            </w:r>
          </w:p>
        </w:tc>
        <w:tc>
          <w:tcPr>
            <w:tcW w:w="677" w:type="pct"/>
            <w:tcBorders>
              <w:tl2br w:val="nil"/>
              <w:tr2bl w:val="nil"/>
            </w:tcBorders>
            <w:noWrap/>
            <w:vAlign w:val="center"/>
          </w:tcPr>
          <w:p w14:paraId="14CD165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0D2673E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2503E2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422F5ACD">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69098136">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球状许水蚤</w:t>
            </w:r>
            <w:r>
              <w:rPr>
                <w:rFonts w:hint="default" w:ascii="Times New Roman" w:hAnsi="Times New Roman" w:eastAsia="宋体"/>
                <w:i/>
                <w:iCs/>
                <w:color w:val="auto"/>
                <w:kern w:val="0"/>
                <w:sz w:val="21"/>
                <w:szCs w:val="21"/>
                <w:lang w:bidi="ar"/>
              </w:rPr>
              <w:t>Schmackeria forbesi</w:t>
            </w:r>
          </w:p>
        </w:tc>
        <w:tc>
          <w:tcPr>
            <w:tcW w:w="677" w:type="pct"/>
            <w:tcBorders>
              <w:tl2br w:val="nil"/>
              <w:tr2bl w:val="nil"/>
            </w:tcBorders>
            <w:noWrap/>
            <w:vAlign w:val="center"/>
          </w:tcPr>
          <w:p w14:paraId="347929C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365448F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19B2D6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1C068954">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070F320F">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桡足幼体Copepodid larva</w:t>
            </w:r>
          </w:p>
        </w:tc>
        <w:tc>
          <w:tcPr>
            <w:tcW w:w="677" w:type="pct"/>
            <w:tcBorders>
              <w:tl2br w:val="nil"/>
              <w:tr2bl w:val="nil"/>
            </w:tcBorders>
            <w:noWrap/>
            <w:vAlign w:val="center"/>
          </w:tcPr>
          <w:p w14:paraId="3750F58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7922ED7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3102CC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3F24DA71">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7E2DB9F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台湾温剑水蚤</w:t>
            </w:r>
            <w:r>
              <w:rPr>
                <w:rFonts w:hint="default" w:ascii="Times New Roman" w:hAnsi="Times New Roman" w:eastAsia="宋体"/>
                <w:i/>
                <w:iCs/>
                <w:color w:val="auto"/>
                <w:kern w:val="0"/>
                <w:sz w:val="21"/>
                <w:szCs w:val="21"/>
                <w:lang w:bidi="ar"/>
              </w:rPr>
              <w:t>Thermocyclops taihokuensis</w:t>
            </w:r>
          </w:p>
        </w:tc>
        <w:tc>
          <w:tcPr>
            <w:tcW w:w="677" w:type="pct"/>
            <w:tcBorders>
              <w:tl2br w:val="nil"/>
              <w:tr2bl w:val="nil"/>
            </w:tcBorders>
            <w:noWrap/>
            <w:vAlign w:val="center"/>
          </w:tcPr>
          <w:p w14:paraId="53A5D66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1AC3BC4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50C55E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6B7307E6">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47BEB352">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汤匙华哲水蚤</w:t>
            </w:r>
            <w:r>
              <w:rPr>
                <w:rFonts w:hint="default" w:ascii="Times New Roman" w:hAnsi="Times New Roman" w:eastAsia="宋体"/>
                <w:i/>
                <w:iCs/>
                <w:color w:val="auto"/>
                <w:kern w:val="0"/>
                <w:sz w:val="21"/>
                <w:szCs w:val="21"/>
                <w:lang w:bidi="ar"/>
              </w:rPr>
              <w:t>Sinocalanus dorrii</w:t>
            </w:r>
          </w:p>
        </w:tc>
        <w:tc>
          <w:tcPr>
            <w:tcW w:w="677" w:type="pct"/>
            <w:tcBorders>
              <w:tl2br w:val="nil"/>
              <w:tr2bl w:val="nil"/>
            </w:tcBorders>
            <w:noWrap/>
            <w:vAlign w:val="center"/>
          </w:tcPr>
          <w:p w14:paraId="197FBA1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6D51E74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r>
      <w:tr w14:paraId="6EC36E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235251D9">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3EBFDF62">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特异荡镖水蚤</w:t>
            </w:r>
            <w:r>
              <w:rPr>
                <w:rFonts w:hint="default" w:ascii="Times New Roman" w:hAnsi="Times New Roman" w:eastAsia="宋体"/>
                <w:i/>
                <w:iCs/>
                <w:color w:val="auto"/>
                <w:kern w:val="0"/>
                <w:sz w:val="21"/>
                <w:szCs w:val="21"/>
                <w:lang w:bidi="ar"/>
              </w:rPr>
              <w:t>Neutrodiaptomus incongruens</w:t>
            </w:r>
          </w:p>
        </w:tc>
        <w:tc>
          <w:tcPr>
            <w:tcW w:w="677" w:type="pct"/>
            <w:tcBorders>
              <w:tl2br w:val="nil"/>
              <w:tr2bl w:val="nil"/>
            </w:tcBorders>
            <w:noWrap/>
            <w:vAlign w:val="center"/>
          </w:tcPr>
          <w:p w14:paraId="5C89604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2FEDDE5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r>
      <w:tr w14:paraId="268A5E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77D19A8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51507904">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透明温剑水蚤</w:t>
            </w:r>
            <w:r>
              <w:rPr>
                <w:rFonts w:hint="default" w:ascii="Times New Roman" w:hAnsi="Times New Roman" w:eastAsia="宋体"/>
                <w:i/>
                <w:iCs/>
                <w:color w:val="auto"/>
                <w:kern w:val="0"/>
                <w:sz w:val="21"/>
                <w:szCs w:val="21"/>
                <w:lang w:bidi="ar"/>
              </w:rPr>
              <w:t>Thermocyclops hyalinus</w:t>
            </w:r>
          </w:p>
        </w:tc>
        <w:tc>
          <w:tcPr>
            <w:tcW w:w="677" w:type="pct"/>
            <w:tcBorders>
              <w:tl2br w:val="nil"/>
              <w:tr2bl w:val="nil"/>
            </w:tcBorders>
            <w:noWrap/>
            <w:vAlign w:val="center"/>
          </w:tcPr>
          <w:p w14:paraId="5F1D211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6EEC0A2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60AABB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1F70874B">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79921F5B">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无节幼体Nauplius</w:t>
            </w:r>
          </w:p>
        </w:tc>
        <w:tc>
          <w:tcPr>
            <w:tcW w:w="677" w:type="pct"/>
            <w:tcBorders>
              <w:tl2br w:val="nil"/>
              <w:tr2bl w:val="nil"/>
            </w:tcBorders>
            <w:noWrap/>
            <w:vAlign w:val="center"/>
          </w:tcPr>
          <w:p w14:paraId="41ED165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5C03062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124C1D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3645" w:type="pct"/>
            <w:gridSpan w:val="2"/>
            <w:tcBorders>
              <w:tl2br w:val="nil"/>
              <w:tr2bl w:val="nil"/>
            </w:tcBorders>
            <w:noWrap/>
            <w:vAlign w:val="center"/>
          </w:tcPr>
          <w:p w14:paraId="72C4C997">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原生动物Protozoa</w:t>
            </w:r>
          </w:p>
        </w:tc>
        <w:tc>
          <w:tcPr>
            <w:tcW w:w="677" w:type="pct"/>
            <w:tcBorders>
              <w:tl2br w:val="nil"/>
              <w:tr2bl w:val="nil"/>
            </w:tcBorders>
            <w:noWrap/>
            <w:vAlign w:val="center"/>
          </w:tcPr>
          <w:p w14:paraId="40C35FAC">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4EAFCFF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r>
      <w:tr w14:paraId="2E0D68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7ED619CB">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57BAAEC0">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薄铃虫属</w:t>
            </w:r>
            <w:r>
              <w:rPr>
                <w:rFonts w:hint="default" w:ascii="Times New Roman" w:hAnsi="Times New Roman" w:eastAsia="宋体"/>
                <w:i/>
                <w:iCs/>
                <w:color w:val="auto"/>
                <w:kern w:val="0"/>
                <w:sz w:val="21"/>
                <w:szCs w:val="21"/>
                <w:lang w:bidi="ar"/>
              </w:rPr>
              <w:t>Leprotintinnus</w:t>
            </w:r>
            <w:r>
              <w:rPr>
                <w:rFonts w:hint="default" w:ascii="Times New Roman" w:hAnsi="Times New Roman" w:eastAsia="宋体"/>
                <w:color w:val="auto"/>
                <w:kern w:val="0"/>
                <w:sz w:val="21"/>
                <w:szCs w:val="21"/>
                <w:lang w:bidi="ar"/>
              </w:rPr>
              <w:t xml:space="preserve"> sp.</w:t>
            </w:r>
          </w:p>
        </w:tc>
        <w:tc>
          <w:tcPr>
            <w:tcW w:w="677" w:type="pct"/>
            <w:tcBorders>
              <w:tl2br w:val="nil"/>
              <w:tr2bl w:val="nil"/>
            </w:tcBorders>
            <w:noWrap/>
            <w:vAlign w:val="center"/>
          </w:tcPr>
          <w:p w14:paraId="6CC11B4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53332C0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12CAFC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223CA5D0">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7039CBB5">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i/>
                <w:iCs/>
                <w:color w:val="auto"/>
                <w:kern w:val="0"/>
                <w:sz w:val="21"/>
                <w:szCs w:val="21"/>
              </w:rPr>
            </w:pPr>
            <w:r>
              <w:rPr>
                <w:rFonts w:hint="default" w:ascii="Times New Roman" w:hAnsi="Times New Roman" w:eastAsia="宋体"/>
                <w:color w:val="auto"/>
                <w:kern w:val="0"/>
                <w:sz w:val="21"/>
                <w:szCs w:val="21"/>
                <w:lang w:bidi="ar"/>
              </w:rPr>
              <w:t>淡水筒壳虫</w:t>
            </w:r>
            <w:r>
              <w:rPr>
                <w:rFonts w:hint="default" w:ascii="Times New Roman" w:hAnsi="Times New Roman" w:eastAsia="宋体"/>
                <w:i/>
                <w:iCs/>
                <w:color w:val="auto"/>
                <w:kern w:val="0"/>
                <w:sz w:val="21"/>
                <w:szCs w:val="21"/>
                <w:lang w:bidi="ar"/>
              </w:rPr>
              <w:t>Tintinnidium fluviatile</w:t>
            </w:r>
          </w:p>
        </w:tc>
        <w:tc>
          <w:tcPr>
            <w:tcW w:w="677" w:type="pct"/>
            <w:tcBorders>
              <w:tl2br w:val="nil"/>
              <w:tr2bl w:val="nil"/>
            </w:tcBorders>
            <w:noWrap/>
            <w:vAlign w:val="center"/>
          </w:tcPr>
          <w:p w14:paraId="3FA8054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4A8426F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5CBFAF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0C56909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36C84BC3">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江苏拟铃虫</w:t>
            </w:r>
            <w:r>
              <w:rPr>
                <w:rFonts w:hint="default" w:ascii="Times New Roman" w:hAnsi="Times New Roman" w:eastAsia="宋体"/>
                <w:i/>
                <w:iCs/>
                <w:color w:val="auto"/>
                <w:kern w:val="0"/>
                <w:sz w:val="21"/>
                <w:szCs w:val="21"/>
                <w:lang w:bidi="ar"/>
              </w:rPr>
              <w:t>Tintinnopsis kiangsuensis</w:t>
            </w:r>
          </w:p>
        </w:tc>
        <w:tc>
          <w:tcPr>
            <w:tcW w:w="677" w:type="pct"/>
            <w:tcBorders>
              <w:tl2br w:val="nil"/>
              <w:tr2bl w:val="nil"/>
            </w:tcBorders>
            <w:noWrap/>
            <w:vAlign w:val="center"/>
          </w:tcPr>
          <w:p w14:paraId="7BB1E17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591CF72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107D8E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6AFDC595">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63873A15">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倪氏拟铃虫</w:t>
            </w:r>
            <w:r>
              <w:rPr>
                <w:rFonts w:hint="default" w:ascii="Times New Roman" w:hAnsi="Times New Roman" w:eastAsia="宋体"/>
                <w:i/>
                <w:iCs/>
                <w:color w:val="auto"/>
                <w:kern w:val="0"/>
                <w:sz w:val="21"/>
                <w:szCs w:val="21"/>
                <w:lang w:bidi="ar"/>
              </w:rPr>
              <w:t>Tintinnopsis niei</w:t>
            </w:r>
          </w:p>
        </w:tc>
        <w:tc>
          <w:tcPr>
            <w:tcW w:w="677" w:type="pct"/>
            <w:tcBorders>
              <w:tl2br w:val="nil"/>
              <w:tr2bl w:val="nil"/>
            </w:tcBorders>
            <w:noWrap/>
            <w:vAlign w:val="center"/>
          </w:tcPr>
          <w:p w14:paraId="37D1B6F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0A79632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6A0BAA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71A1D4A1">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69EBE2EC">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拟铃虫属</w:t>
            </w:r>
            <w:r>
              <w:rPr>
                <w:rFonts w:hint="default" w:ascii="Times New Roman" w:hAnsi="Times New Roman" w:eastAsia="宋体"/>
                <w:i/>
                <w:iCs/>
                <w:color w:val="auto"/>
                <w:kern w:val="0"/>
                <w:sz w:val="21"/>
                <w:szCs w:val="21"/>
                <w:lang w:bidi="ar"/>
              </w:rPr>
              <w:t xml:space="preserve">Tintinnopsis </w:t>
            </w:r>
            <w:r>
              <w:rPr>
                <w:rFonts w:hint="default" w:ascii="Times New Roman" w:hAnsi="Times New Roman" w:eastAsia="宋体"/>
                <w:color w:val="auto"/>
                <w:kern w:val="0"/>
                <w:sz w:val="21"/>
                <w:szCs w:val="21"/>
                <w:lang w:bidi="ar"/>
              </w:rPr>
              <w:t>sp.</w:t>
            </w:r>
          </w:p>
        </w:tc>
        <w:tc>
          <w:tcPr>
            <w:tcW w:w="677" w:type="pct"/>
            <w:tcBorders>
              <w:tl2br w:val="nil"/>
              <w:tr2bl w:val="nil"/>
            </w:tcBorders>
            <w:noWrap/>
            <w:vAlign w:val="center"/>
          </w:tcPr>
          <w:p w14:paraId="04953DC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09F6FFE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091AB9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369ED7AC">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12326E94">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王氏拟铃虫</w:t>
            </w:r>
            <w:r>
              <w:rPr>
                <w:rFonts w:hint="default" w:ascii="Times New Roman" w:hAnsi="Times New Roman" w:eastAsia="宋体"/>
                <w:i/>
                <w:iCs/>
                <w:color w:val="auto"/>
                <w:kern w:val="0"/>
                <w:sz w:val="21"/>
                <w:szCs w:val="21"/>
                <w:lang w:bidi="ar"/>
              </w:rPr>
              <w:t>Tintinnopsis wangi</w:t>
            </w:r>
          </w:p>
        </w:tc>
        <w:tc>
          <w:tcPr>
            <w:tcW w:w="677" w:type="pct"/>
            <w:tcBorders>
              <w:tl2br w:val="nil"/>
              <w:tr2bl w:val="nil"/>
            </w:tcBorders>
            <w:noWrap/>
            <w:vAlign w:val="center"/>
          </w:tcPr>
          <w:p w14:paraId="225654F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63C549C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0DE40D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29819967">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42075505">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长颈虫属</w:t>
            </w:r>
            <w:r>
              <w:rPr>
                <w:rFonts w:hint="default" w:ascii="Times New Roman" w:hAnsi="Times New Roman" w:eastAsia="宋体"/>
                <w:i/>
                <w:iCs/>
                <w:color w:val="auto"/>
                <w:kern w:val="0"/>
                <w:sz w:val="21"/>
                <w:szCs w:val="21"/>
                <w:lang w:bidi="ar"/>
              </w:rPr>
              <w:t xml:space="preserve">Dileptus </w:t>
            </w:r>
            <w:r>
              <w:rPr>
                <w:rFonts w:hint="default" w:ascii="Times New Roman" w:hAnsi="Times New Roman" w:eastAsia="宋体"/>
                <w:color w:val="auto"/>
                <w:kern w:val="0"/>
                <w:sz w:val="21"/>
                <w:szCs w:val="21"/>
                <w:lang w:bidi="ar"/>
              </w:rPr>
              <w:t>sp.</w:t>
            </w:r>
          </w:p>
        </w:tc>
        <w:tc>
          <w:tcPr>
            <w:tcW w:w="677" w:type="pct"/>
            <w:tcBorders>
              <w:tl2br w:val="nil"/>
              <w:tr2bl w:val="nil"/>
            </w:tcBorders>
            <w:noWrap/>
            <w:vAlign w:val="center"/>
          </w:tcPr>
          <w:p w14:paraId="08F3500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629C094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1164E8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1A62B8DF">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3BB9B2B9">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鐏形拟铃虫</w:t>
            </w:r>
            <w:r>
              <w:rPr>
                <w:rFonts w:hint="default" w:ascii="Times New Roman" w:hAnsi="Times New Roman" w:eastAsia="宋体"/>
                <w:i/>
                <w:iCs/>
                <w:color w:val="auto"/>
                <w:kern w:val="0"/>
                <w:sz w:val="21"/>
                <w:szCs w:val="21"/>
                <w:lang w:bidi="ar"/>
              </w:rPr>
              <w:t>Tintinnopsis potiformis</w:t>
            </w:r>
          </w:p>
        </w:tc>
        <w:tc>
          <w:tcPr>
            <w:tcW w:w="677" w:type="pct"/>
            <w:tcBorders>
              <w:tl2br w:val="nil"/>
              <w:tr2bl w:val="nil"/>
            </w:tcBorders>
            <w:noWrap/>
            <w:vAlign w:val="center"/>
          </w:tcPr>
          <w:p w14:paraId="1EC434E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06A388C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115556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51A8890F">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203BEC3C">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喇叭虫属</w:t>
            </w:r>
            <w:r>
              <w:rPr>
                <w:rFonts w:hint="default" w:ascii="Times New Roman" w:hAnsi="Times New Roman" w:eastAsia="宋体"/>
                <w:i/>
                <w:iCs/>
                <w:color w:val="auto"/>
                <w:kern w:val="0"/>
                <w:sz w:val="21"/>
                <w:szCs w:val="21"/>
                <w:lang w:bidi="ar"/>
              </w:rPr>
              <w:t>Stentor</w:t>
            </w:r>
            <w:r>
              <w:rPr>
                <w:rFonts w:hint="default" w:ascii="Times New Roman" w:hAnsi="Times New Roman" w:eastAsia="宋体"/>
                <w:color w:val="auto"/>
                <w:kern w:val="0"/>
                <w:sz w:val="21"/>
                <w:szCs w:val="21"/>
                <w:lang w:bidi="ar"/>
              </w:rPr>
              <w:t xml:space="preserve"> sp.</w:t>
            </w:r>
          </w:p>
        </w:tc>
        <w:tc>
          <w:tcPr>
            <w:tcW w:w="677" w:type="pct"/>
            <w:tcBorders>
              <w:tl2br w:val="nil"/>
              <w:tr2bl w:val="nil"/>
            </w:tcBorders>
            <w:noWrap/>
            <w:vAlign w:val="center"/>
          </w:tcPr>
          <w:p w14:paraId="6E3D0A7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48F6F4C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r>
      <w:tr w14:paraId="45D743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0562A50E">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748FF52D">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累枝虫属</w:t>
            </w:r>
            <w:r>
              <w:rPr>
                <w:rFonts w:hint="default" w:ascii="Times New Roman" w:hAnsi="Times New Roman" w:eastAsia="宋体"/>
                <w:i/>
                <w:iCs/>
                <w:color w:val="auto"/>
                <w:kern w:val="0"/>
                <w:sz w:val="21"/>
                <w:szCs w:val="21"/>
                <w:lang w:bidi="ar"/>
              </w:rPr>
              <w:t>Epistylis</w:t>
            </w:r>
            <w:r>
              <w:rPr>
                <w:rFonts w:hint="default" w:ascii="Times New Roman" w:hAnsi="Times New Roman" w:eastAsia="宋体"/>
                <w:color w:val="auto"/>
                <w:kern w:val="0"/>
                <w:sz w:val="21"/>
                <w:szCs w:val="21"/>
                <w:lang w:bidi="ar"/>
              </w:rPr>
              <w:t xml:space="preserve"> sp.</w:t>
            </w:r>
          </w:p>
        </w:tc>
        <w:tc>
          <w:tcPr>
            <w:tcW w:w="677" w:type="pct"/>
            <w:tcBorders>
              <w:tl2br w:val="nil"/>
              <w:tr2bl w:val="nil"/>
            </w:tcBorders>
            <w:noWrap/>
            <w:vAlign w:val="center"/>
          </w:tcPr>
          <w:p w14:paraId="142B2CB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57AF564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015B0E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3088DDFB">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7F96A3E3">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纤毛虫未定种Unidentified Ciliophora</w:t>
            </w:r>
          </w:p>
        </w:tc>
        <w:tc>
          <w:tcPr>
            <w:tcW w:w="677" w:type="pct"/>
            <w:tcBorders>
              <w:tl2br w:val="nil"/>
              <w:tr2bl w:val="nil"/>
            </w:tcBorders>
            <w:noWrap/>
            <w:vAlign w:val="center"/>
          </w:tcPr>
          <w:p w14:paraId="4CE2605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47502A8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r>
      <w:tr w14:paraId="301DC4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7EA13F69">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42926B0E">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长吻虫属</w:t>
            </w:r>
            <w:r>
              <w:rPr>
                <w:rFonts w:hint="default" w:ascii="Times New Roman" w:hAnsi="Times New Roman" w:eastAsia="宋体"/>
                <w:i/>
                <w:iCs/>
                <w:color w:val="auto"/>
                <w:kern w:val="0"/>
                <w:sz w:val="21"/>
                <w:szCs w:val="21"/>
                <w:lang w:bidi="ar"/>
              </w:rPr>
              <w:t>Lacrymaria</w:t>
            </w:r>
            <w:r>
              <w:rPr>
                <w:rFonts w:hint="default" w:ascii="Times New Roman" w:hAnsi="Times New Roman" w:eastAsia="宋体"/>
                <w:color w:val="auto"/>
                <w:kern w:val="0"/>
                <w:sz w:val="21"/>
                <w:szCs w:val="21"/>
                <w:lang w:bidi="ar"/>
              </w:rPr>
              <w:t xml:space="preserve"> sp.</w:t>
            </w:r>
          </w:p>
        </w:tc>
        <w:tc>
          <w:tcPr>
            <w:tcW w:w="677" w:type="pct"/>
            <w:tcBorders>
              <w:tl2br w:val="nil"/>
              <w:tr2bl w:val="nil"/>
            </w:tcBorders>
            <w:noWrap/>
            <w:vAlign w:val="center"/>
          </w:tcPr>
          <w:p w14:paraId="770F083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331A582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r>
      <w:tr w14:paraId="7CFD89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10CF9335">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34CFC8F9">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钟虫属</w:t>
            </w:r>
            <w:r>
              <w:rPr>
                <w:rFonts w:hint="default" w:ascii="Times New Roman" w:hAnsi="Times New Roman" w:eastAsia="宋体"/>
                <w:i/>
                <w:iCs/>
                <w:color w:val="auto"/>
                <w:kern w:val="0"/>
                <w:sz w:val="21"/>
                <w:szCs w:val="21"/>
                <w:lang w:bidi="ar"/>
              </w:rPr>
              <w:t>Vorticella</w:t>
            </w:r>
            <w:r>
              <w:rPr>
                <w:rFonts w:hint="default" w:ascii="Times New Roman" w:hAnsi="Times New Roman" w:eastAsia="宋体"/>
                <w:color w:val="auto"/>
                <w:kern w:val="0"/>
                <w:sz w:val="21"/>
                <w:szCs w:val="21"/>
                <w:lang w:bidi="ar"/>
              </w:rPr>
              <w:t xml:space="preserve"> sp.</w:t>
            </w:r>
          </w:p>
        </w:tc>
        <w:tc>
          <w:tcPr>
            <w:tcW w:w="677" w:type="pct"/>
            <w:tcBorders>
              <w:tl2br w:val="nil"/>
              <w:tr2bl w:val="nil"/>
            </w:tcBorders>
            <w:noWrap/>
            <w:vAlign w:val="center"/>
          </w:tcPr>
          <w:p w14:paraId="46E5BC8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0710748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66B019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3645" w:type="pct"/>
            <w:gridSpan w:val="2"/>
            <w:tcBorders>
              <w:tl2br w:val="nil"/>
              <w:tr2bl w:val="nil"/>
            </w:tcBorders>
            <w:noWrap/>
            <w:vAlign w:val="center"/>
          </w:tcPr>
          <w:p w14:paraId="05BA55DD">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枝角类Cladocera</w:t>
            </w:r>
          </w:p>
        </w:tc>
        <w:tc>
          <w:tcPr>
            <w:tcW w:w="677" w:type="pct"/>
            <w:tcBorders>
              <w:tl2br w:val="nil"/>
              <w:tr2bl w:val="nil"/>
            </w:tcBorders>
            <w:noWrap/>
            <w:vAlign w:val="center"/>
          </w:tcPr>
          <w:p w14:paraId="1333ED3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4AB26DA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r>
      <w:tr w14:paraId="2369B2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22D8B94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6C5003A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脆弱象鼻溞</w:t>
            </w:r>
            <w:r>
              <w:rPr>
                <w:rFonts w:hint="default" w:ascii="Times New Roman" w:hAnsi="Times New Roman" w:eastAsia="宋体"/>
                <w:i/>
                <w:iCs/>
                <w:color w:val="auto"/>
                <w:kern w:val="0"/>
                <w:sz w:val="21"/>
                <w:szCs w:val="21"/>
                <w:lang w:bidi="ar"/>
              </w:rPr>
              <w:t>Bosmina fatalis</w:t>
            </w:r>
          </w:p>
        </w:tc>
        <w:tc>
          <w:tcPr>
            <w:tcW w:w="677" w:type="pct"/>
            <w:tcBorders>
              <w:tl2br w:val="nil"/>
              <w:tr2bl w:val="nil"/>
            </w:tcBorders>
            <w:noWrap/>
            <w:vAlign w:val="center"/>
          </w:tcPr>
          <w:p w14:paraId="7E5B1CC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42B7601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216A0A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66984E93">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127AFA86">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角突网纹溞</w:t>
            </w:r>
            <w:r>
              <w:rPr>
                <w:rFonts w:hint="default" w:ascii="Times New Roman" w:hAnsi="Times New Roman" w:eastAsia="宋体"/>
                <w:i/>
                <w:iCs/>
                <w:color w:val="auto"/>
                <w:kern w:val="0"/>
                <w:sz w:val="21"/>
                <w:szCs w:val="21"/>
                <w:lang w:bidi="ar"/>
              </w:rPr>
              <w:t>Ceriodaphnia cornuta</w:t>
            </w:r>
          </w:p>
        </w:tc>
        <w:tc>
          <w:tcPr>
            <w:tcW w:w="677" w:type="pct"/>
            <w:tcBorders>
              <w:tl2br w:val="nil"/>
              <w:tr2bl w:val="nil"/>
            </w:tcBorders>
            <w:noWrap/>
            <w:vAlign w:val="center"/>
          </w:tcPr>
          <w:p w14:paraId="5A530FE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13D1E49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0855B4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5BFD7CD9">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4D8A0043">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模糊秀体溞</w:t>
            </w:r>
            <w:r>
              <w:rPr>
                <w:rFonts w:hint="default" w:ascii="Times New Roman" w:hAnsi="Times New Roman" w:eastAsia="宋体"/>
                <w:i/>
                <w:iCs/>
                <w:color w:val="auto"/>
                <w:kern w:val="0"/>
                <w:sz w:val="21"/>
                <w:szCs w:val="21"/>
                <w:lang w:bidi="ar"/>
              </w:rPr>
              <w:t>Diaphanosoma dubium</w:t>
            </w:r>
          </w:p>
        </w:tc>
        <w:tc>
          <w:tcPr>
            <w:tcW w:w="677" w:type="pct"/>
            <w:tcBorders>
              <w:tl2br w:val="nil"/>
              <w:tr2bl w:val="nil"/>
            </w:tcBorders>
            <w:noWrap/>
            <w:vAlign w:val="center"/>
          </w:tcPr>
          <w:p w14:paraId="5226F10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4A7E316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48B32D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6177EB44">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6CA4B4D2">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溞属</w:t>
            </w:r>
            <w:r>
              <w:rPr>
                <w:rFonts w:hint="default" w:ascii="Times New Roman" w:hAnsi="Times New Roman" w:eastAsia="宋体"/>
                <w:i/>
                <w:iCs/>
                <w:color w:val="auto"/>
                <w:kern w:val="0"/>
                <w:sz w:val="21"/>
                <w:szCs w:val="21"/>
                <w:lang w:bidi="ar"/>
              </w:rPr>
              <w:t>Daphnia</w:t>
            </w:r>
            <w:r>
              <w:rPr>
                <w:rFonts w:hint="default" w:ascii="Times New Roman" w:hAnsi="Times New Roman" w:eastAsia="宋体"/>
                <w:color w:val="auto"/>
                <w:kern w:val="0"/>
                <w:sz w:val="21"/>
                <w:szCs w:val="21"/>
                <w:lang w:bidi="ar"/>
              </w:rPr>
              <w:t xml:space="preserve"> sp.</w:t>
            </w:r>
          </w:p>
        </w:tc>
        <w:tc>
          <w:tcPr>
            <w:tcW w:w="677" w:type="pct"/>
            <w:tcBorders>
              <w:tl2br w:val="nil"/>
              <w:tr2bl w:val="nil"/>
            </w:tcBorders>
            <w:noWrap/>
            <w:vAlign w:val="center"/>
          </w:tcPr>
          <w:p w14:paraId="7E3E759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210941D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r>
      <w:tr w14:paraId="05F840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06A7E6B3">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04D56FF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透明薄皮溞</w:t>
            </w:r>
            <w:r>
              <w:rPr>
                <w:rFonts w:hint="default" w:ascii="Times New Roman" w:hAnsi="Times New Roman" w:eastAsia="宋体"/>
                <w:i/>
                <w:iCs/>
                <w:color w:val="auto"/>
                <w:kern w:val="0"/>
                <w:sz w:val="21"/>
                <w:szCs w:val="21"/>
                <w:lang w:bidi="ar"/>
              </w:rPr>
              <w:t>Leptodora kindti</w:t>
            </w:r>
          </w:p>
        </w:tc>
        <w:tc>
          <w:tcPr>
            <w:tcW w:w="677" w:type="pct"/>
            <w:tcBorders>
              <w:tl2br w:val="nil"/>
              <w:tr2bl w:val="nil"/>
            </w:tcBorders>
            <w:noWrap/>
            <w:vAlign w:val="center"/>
          </w:tcPr>
          <w:p w14:paraId="5524691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0A48DB13">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r>
      <w:tr w14:paraId="1193D7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719C4248">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71F59C51">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透明溞</w:t>
            </w:r>
            <w:r>
              <w:rPr>
                <w:rFonts w:hint="default" w:ascii="Times New Roman" w:hAnsi="Times New Roman" w:eastAsia="宋体"/>
                <w:i/>
                <w:iCs/>
                <w:color w:val="auto"/>
                <w:kern w:val="0"/>
                <w:sz w:val="21"/>
                <w:szCs w:val="21"/>
                <w:lang w:bidi="ar"/>
              </w:rPr>
              <w:t>Daphnia hyalina</w:t>
            </w:r>
          </w:p>
        </w:tc>
        <w:tc>
          <w:tcPr>
            <w:tcW w:w="677" w:type="pct"/>
            <w:tcBorders>
              <w:tl2br w:val="nil"/>
              <w:tr2bl w:val="nil"/>
            </w:tcBorders>
            <w:noWrap/>
            <w:vAlign w:val="center"/>
          </w:tcPr>
          <w:p w14:paraId="35F1B6E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1362A9EE">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r>
      <w:tr w14:paraId="549EBD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0DEEB99E">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6AFE4DF4">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微型裸腹溞</w:t>
            </w:r>
            <w:r>
              <w:rPr>
                <w:rFonts w:hint="default" w:ascii="Times New Roman" w:hAnsi="Times New Roman" w:eastAsia="宋体"/>
                <w:i/>
                <w:iCs/>
                <w:color w:val="auto"/>
                <w:kern w:val="0"/>
                <w:sz w:val="21"/>
                <w:szCs w:val="21"/>
                <w:lang w:bidi="ar"/>
              </w:rPr>
              <w:t>Moina micrura</w:t>
            </w:r>
          </w:p>
        </w:tc>
        <w:tc>
          <w:tcPr>
            <w:tcW w:w="677" w:type="pct"/>
            <w:tcBorders>
              <w:tl2br w:val="nil"/>
              <w:tr2bl w:val="nil"/>
            </w:tcBorders>
            <w:noWrap/>
            <w:vAlign w:val="center"/>
          </w:tcPr>
          <w:p w14:paraId="4815A3C5">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1BA59E4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2311BA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750E5044">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201CE935">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直额裸腹溞</w:t>
            </w:r>
            <w:r>
              <w:rPr>
                <w:rFonts w:hint="default" w:ascii="Times New Roman" w:hAnsi="Times New Roman" w:eastAsia="宋体"/>
                <w:i/>
                <w:iCs/>
                <w:color w:val="auto"/>
                <w:kern w:val="0"/>
                <w:sz w:val="21"/>
                <w:szCs w:val="21"/>
                <w:lang w:bidi="ar"/>
              </w:rPr>
              <w:t>Moina rectirostris</w:t>
            </w:r>
          </w:p>
        </w:tc>
        <w:tc>
          <w:tcPr>
            <w:tcW w:w="677" w:type="pct"/>
            <w:tcBorders>
              <w:tl2br w:val="nil"/>
              <w:tr2bl w:val="nil"/>
            </w:tcBorders>
            <w:noWrap/>
            <w:vAlign w:val="center"/>
          </w:tcPr>
          <w:p w14:paraId="3F092DC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c>
          <w:tcPr>
            <w:tcW w:w="677" w:type="pct"/>
            <w:tcBorders>
              <w:tl2br w:val="nil"/>
              <w:tr2bl w:val="nil"/>
            </w:tcBorders>
            <w:noWrap/>
            <w:vAlign w:val="center"/>
          </w:tcPr>
          <w:p w14:paraId="15CF83F8">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r>
      <w:tr w14:paraId="261B1A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21D16616">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35706535">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光滑平直溞</w:t>
            </w:r>
            <w:r>
              <w:rPr>
                <w:rFonts w:hint="default" w:ascii="Times New Roman" w:hAnsi="Times New Roman" w:eastAsia="宋体"/>
                <w:i/>
                <w:iCs/>
                <w:color w:val="auto"/>
                <w:kern w:val="0"/>
                <w:sz w:val="21"/>
                <w:szCs w:val="21"/>
                <w:lang w:bidi="ar"/>
              </w:rPr>
              <w:t>Pleuroxus laevis</w:t>
            </w:r>
          </w:p>
        </w:tc>
        <w:tc>
          <w:tcPr>
            <w:tcW w:w="677" w:type="pct"/>
            <w:tcBorders>
              <w:tl2br w:val="nil"/>
              <w:tr2bl w:val="nil"/>
            </w:tcBorders>
            <w:noWrap/>
            <w:vAlign w:val="center"/>
          </w:tcPr>
          <w:p w14:paraId="250F9A6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2BC4940F">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12CC53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1" w:type="pct"/>
            <w:tcBorders>
              <w:tl2br w:val="nil"/>
              <w:tr2bl w:val="nil"/>
            </w:tcBorders>
            <w:noWrap/>
            <w:vAlign w:val="center"/>
          </w:tcPr>
          <w:p w14:paraId="6A61B094">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2B297526">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颈沟基合溞</w:t>
            </w:r>
            <w:r>
              <w:rPr>
                <w:rFonts w:hint="default" w:ascii="Times New Roman" w:hAnsi="Times New Roman" w:eastAsia="宋体"/>
                <w:i/>
                <w:iCs/>
                <w:color w:val="auto"/>
                <w:kern w:val="0"/>
                <w:sz w:val="21"/>
                <w:szCs w:val="21"/>
                <w:lang w:bidi="ar"/>
              </w:rPr>
              <w:t>Bosminopsis deitersi</w:t>
            </w:r>
          </w:p>
        </w:tc>
        <w:tc>
          <w:tcPr>
            <w:tcW w:w="677" w:type="pct"/>
            <w:tcBorders>
              <w:tl2br w:val="nil"/>
              <w:tr2bl w:val="nil"/>
            </w:tcBorders>
            <w:noWrap/>
            <w:vAlign w:val="center"/>
          </w:tcPr>
          <w:p w14:paraId="656EE12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6BC3123A">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r w14:paraId="2A0307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61" w:type="pct"/>
            <w:tcBorders>
              <w:tl2br w:val="nil"/>
              <w:tr2bl w:val="nil"/>
            </w:tcBorders>
            <w:noWrap/>
            <w:vAlign w:val="center"/>
          </w:tcPr>
          <w:p w14:paraId="50CE25B3">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p>
        </w:tc>
        <w:tc>
          <w:tcPr>
            <w:tcW w:w="3483" w:type="pct"/>
            <w:tcBorders>
              <w:tl2br w:val="nil"/>
              <w:tr2bl w:val="nil"/>
            </w:tcBorders>
            <w:noWrap/>
            <w:vAlign w:val="center"/>
          </w:tcPr>
          <w:p w14:paraId="68ADFEF9">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三角平直溞</w:t>
            </w:r>
            <w:r>
              <w:rPr>
                <w:rFonts w:hint="default" w:ascii="Times New Roman" w:hAnsi="Times New Roman" w:eastAsia="宋体"/>
                <w:i/>
                <w:iCs/>
                <w:color w:val="auto"/>
                <w:kern w:val="0"/>
                <w:sz w:val="21"/>
                <w:szCs w:val="21"/>
                <w:lang w:bidi="ar"/>
              </w:rPr>
              <w:t>Pleuroxus trigonellus</w:t>
            </w:r>
          </w:p>
        </w:tc>
        <w:tc>
          <w:tcPr>
            <w:tcW w:w="677" w:type="pct"/>
            <w:tcBorders>
              <w:tl2br w:val="nil"/>
              <w:tr2bl w:val="nil"/>
            </w:tcBorders>
            <w:noWrap/>
            <w:vAlign w:val="center"/>
          </w:tcPr>
          <w:p w14:paraId="67DB8B9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p>
        </w:tc>
        <w:tc>
          <w:tcPr>
            <w:tcW w:w="677" w:type="pct"/>
            <w:tcBorders>
              <w:tl2br w:val="nil"/>
              <w:tr2bl w:val="nil"/>
            </w:tcBorders>
            <w:noWrap/>
            <w:vAlign w:val="center"/>
          </w:tcPr>
          <w:p w14:paraId="33BB26C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w:t>
            </w:r>
          </w:p>
        </w:tc>
      </w:tr>
    </w:tbl>
    <w:p w14:paraId="0075EB78">
      <w:pPr>
        <w:spacing w:line="360" w:lineRule="auto"/>
        <w:rPr>
          <w:rFonts w:ascii="Times New Roman" w:hAnsi="Times New Roman" w:eastAsia="宋体"/>
          <w:b/>
          <w:bCs/>
          <w:color w:val="auto"/>
          <w:sz w:val="18"/>
          <w:szCs w:val="18"/>
        </w:rPr>
      </w:pPr>
      <w:r>
        <w:rPr>
          <w:rFonts w:ascii="Times New Roman" w:hAnsi="Times New Roman" w:eastAsia="宋体"/>
          <w:b/>
          <w:bCs/>
          <w:color w:val="auto"/>
          <w:sz w:val="18"/>
          <w:szCs w:val="18"/>
        </w:rPr>
        <w:t>“+”代表存在该物种。</w:t>
      </w:r>
    </w:p>
    <w:p w14:paraId="2DD68B7D">
      <w:pPr>
        <w:widowControl/>
        <w:spacing w:line="360" w:lineRule="auto"/>
        <w:ind w:firstLine="480" w:firstLineChars="200"/>
        <w:rPr>
          <w:rFonts w:ascii="Times New Roman" w:hAnsi="Times New Roman" w:eastAsia="宋体"/>
          <w:b/>
          <w:bCs/>
          <w:color w:val="auto"/>
          <w:sz w:val="24"/>
          <w:szCs w:val="21"/>
          <w:lang w:bidi="ar"/>
        </w:rPr>
      </w:pPr>
      <w:bookmarkStart w:id="110" w:name="_Hlk129327872"/>
      <w:r>
        <w:rPr>
          <w:rFonts w:ascii="Times New Roman" w:hAnsi="Times New Roman" w:eastAsia="宋体"/>
          <w:b/>
          <w:bCs/>
          <w:color w:val="auto"/>
          <w:sz w:val="24"/>
          <w:szCs w:val="21"/>
          <w:lang w:bidi="ar"/>
        </w:rPr>
        <w:t>(1)繁殖期</w:t>
      </w:r>
    </w:p>
    <w:bookmarkEnd w:id="110"/>
    <w:p w14:paraId="3717F653">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共采集鉴定浮游动物35种(属)(包括变种和变型)。从物种组成来看，原生动物5种(属)，占浮游动物总物种数的14.3%；轮虫类14种(属)，占比为40%；枝角类8种(属)，占比为22.9%；桡足类8种(属)，占比为22.8%。</w:t>
      </w:r>
    </w:p>
    <w:p w14:paraId="1B61014B">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(2)索饵期</w:t>
      </w:r>
    </w:p>
    <w:p w14:paraId="4B2A47A6">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共采集鉴定浮游动物54种(属)(包括变种和变型)。从物种组成来看，原生动物10种(属)，占浮游动物总物种数的18.5%；轮虫类27种(属)，占比为50.0%；枝角类7种(属)，占比为13.0%；桡足类10种(属)，占比为18.5%。</w:t>
      </w:r>
    </w:p>
    <w:p w14:paraId="0F0F904B">
      <w:pPr>
        <w:spacing w:line="240" w:lineRule="auto"/>
        <w:jc w:val="center"/>
        <w:rPr>
          <w:rFonts w:ascii="Times New Roman" w:hAnsi="Times New Roman" w:eastAsia="宋体"/>
          <w:color w:val="auto"/>
          <w:sz w:val="28"/>
          <w:szCs w:val="28"/>
        </w:rPr>
      </w:pPr>
      <w:r>
        <w:rPr>
          <w:rFonts w:ascii="Times New Roman" w:hAnsi="Times New Roman" w:eastAsia="宋体"/>
          <w:color w:val="auto"/>
          <w:sz w:val="24"/>
          <w:szCs w:val="22"/>
        </w:rPr>
        <w:drawing>
          <wp:inline distT="0" distB="0" distL="114300" distR="114300">
            <wp:extent cx="5041265" cy="2877185"/>
            <wp:effectExtent l="0" t="0" r="6985" b="18415"/>
            <wp:docPr id="32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52"/>
                    <pic:cNvPicPr>
                      <a:picLocks noChangeAspect="1"/>
                    </pic:cNvPicPr>
                  </pic:nvPicPr>
                  <pic:blipFill>
                    <a:blip r:embed="rId119"/>
                    <a:stretch>
                      <a:fillRect/>
                    </a:stretch>
                  </pic:blipFill>
                  <pic:spPr>
                    <a:xfrm>
                      <a:off x="0" y="0"/>
                      <a:ext cx="5041265" cy="2877185"/>
                    </a:xfrm>
                    <a:prstGeom prst="rect">
                      <a:avLst/>
                    </a:prstGeom>
                    <a:noFill/>
                    <a:ln>
                      <a:noFill/>
                    </a:ln>
                  </pic:spPr>
                </pic:pic>
              </a:graphicData>
            </a:graphic>
          </wp:inline>
        </w:drawing>
      </w:r>
    </w:p>
    <w:p w14:paraId="3C637C8F">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-24</w:t>
      </w:r>
      <w:r>
        <w:rPr>
          <w:rFonts w:ascii="Times New Roman" w:hAnsi="Times New Roman" w:eastAsia="黑体" w:cs="Times New Roman"/>
          <w:color w:val="auto"/>
          <w:sz w:val="24"/>
          <w:szCs w:val="21"/>
        </w:rPr>
        <w:t xml:space="preserve">  2023年度保护区调查水域浮游动物物种数时间特征</w:t>
      </w:r>
    </w:p>
    <w:p w14:paraId="69579712">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bookmarkStart w:id="111" w:name="_Toc127538637"/>
      <w:r>
        <w:rPr>
          <w:rFonts w:hint="eastAsia" w:ascii="Times New Roman" w:hAnsi="Times New Roman" w:eastAsia="宋体" w:cs="Times New Roman"/>
          <w:bCs/>
          <w:color w:val="auto"/>
          <w:kern w:val="2"/>
          <w:sz w:val="24"/>
          <w:szCs w:val="28"/>
          <w:lang w:val="en-US" w:eastAsia="zh-CN" w:bidi="ar-SA"/>
        </w:rPr>
        <w:t>4.2.5.12.2 群落优势种</w:t>
      </w:r>
      <w:bookmarkEnd w:id="111"/>
    </w:p>
    <w:p w14:paraId="1EC5618D">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以优势度指数Y&gt;0.02定为优势种。</w:t>
      </w:r>
    </w:p>
    <w:p w14:paraId="6D0EF8C7">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2023年</w:t>
      </w:r>
      <w:r>
        <w:rPr>
          <w:rFonts w:hint="eastAsia" w:ascii="Times New Roman" w:hAnsi="Times New Roman" w:eastAsia="宋体"/>
          <w:color w:val="auto"/>
          <w:sz w:val="24"/>
          <w:szCs w:val="24"/>
          <w:lang w:bidi="ar"/>
        </w:rPr>
        <w:t>调查</w:t>
      </w:r>
      <w:r>
        <w:rPr>
          <w:rFonts w:ascii="Times New Roman" w:hAnsi="Times New Roman" w:eastAsia="宋体"/>
          <w:color w:val="auto"/>
          <w:sz w:val="24"/>
          <w:szCs w:val="24"/>
          <w:lang w:bidi="ar"/>
        </w:rPr>
        <w:t>结果显示，保护区浮游动物优势种共3种，分别为暗小异尾轮虫(</w:t>
      </w:r>
      <w:r>
        <w:rPr>
          <w:rFonts w:ascii="Times New Roman" w:hAnsi="Times New Roman" w:eastAsia="宋体"/>
          <w:i/>
          <w:iCs/>
          <w:color w:val="auto"/>
          <w:sz w:val="24"/>
          <w:szCs w:val="24"/>
          <w:lang w:bidi="ar"/>
        </w:rPr>
        <w:t>Trichocerca pusilla</w:t>
      </w:r>
      <w:r>
        <w:rPr>
          <w:rFonts w:ascii="Times New Roman" w:hAnsi="Times New Roman" w:eastAsia="宋体"/>
          <w:color w:val="auto"/>
          <w:sz w:val="24"/>
          <w:szCs w:val="24"/>
          <w:lang w:bidi="ar"/>
        </w:rPr>
        <w:t>)、广布多肢轮虫(</w:t>
      </w:r>
      <w:r>
        <w:rPr>
          <w:rFonts w:ascii="Times New Roman" w:hAnsi="Times New Roman" w:eastAsia="宋体"/>
          <w:i/>
          <w:iCs/>
          <w:color w:val="auto"/>
          <w:sz w:val="24"/>
          <w:szCs w:val="24"/>
          <w:lang w:bidi="ar"/>
        </w:rPr>
        <w:t>Polyarthra vulgaris</w:t>
      </w:r>
      <w:r>
        <w:rPr>
          <w:rFonts w:ascii="Times New Roman" w:hAnsi="Times New Roman" w:eastAsia="宋体"/>
          <w:color w:val="auto"/>
          <w:sz w:val="24"/>
          <w:szCs w:val="24"/>
          <w:lang w:bidi="ar"/>
        </w:rPr>
        <w:t>)、累枝虫属(</w:t>
      </w:r>
      <w:r>
        <w:rPr>
          <w:rFonts w:ascii="Times New Roman" w:hAnsi="Times New Roman" w:eastAsia="宋体"/>
          <w:i/>
          <w:iCs/>
          <w:color w:val="auto"/>
          <w:sz w:val="24"/>
          <w:szCs w:val="24"/>
          <w:lang w:bidi="ar"/>
        </w:rPr>
        <w:t xml:space="preserve">Epistylis </w:t>
      </w:r>
      <w:r>
        <w:rPr>
          <w:rFonts w:ascii="Times New Roman" w:hAnsi="Times New Roman" w:eastAsia="宋体"/>
          <w:iCs/>
          <w:color w:val="auto"/>
          <w:sz w:val="24"/>
          <w:szCs w:val="24"/>
          <w:lang w:bidi="ar"/>
        </w:rPr>
        <w:t>sp.</w:t>
      </w:r>
      <w:r>
        <w:rPr>
          <w:rFonts w:ascii="Times New Roman" w:hAnsi="Times New Roman" w:eastAsia="宋体"/>
          <w:color w:val="auto"/>
          <w:sz w:val="24"/>
          <w:szCs w:val="24"/>
          <w:lang w:bidi="ar"/>
        </w:rPr>
        <w:t>)，其优势度为0.026、0.428、0.079</w:t>
      </w:r>
      <w:r>
        <w:rPr>
          <w:rFonts w:ascii="Times New Roman" w:hAnsi="Times New Roman" w:eastAsia="宋体"/>
          <w:color w:val="auto"/>
          <w:sz w:val="24"/>
          <w:szCs w:val="21"/>
          <w:lang w:bidi="ar"/>
        </w:rPr>
        <w:t>。</w:t>
      </w:r>
    </w:p>
    <w:p w14:paraId="22571B25">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(1)繁殖期</w:t>
      </w:r>
    </w:p>
    <w:p w14:paraId="3DD6AB9F">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保护区浮游动物</w:t>
      </w:r>
      <w:r>
        <w:rPr>
          <w:rFonts w:ascii="Times New Roman" w:hAnsi="Times New Roman" w:eastAsia="宋体"/>
          <w:color w:val="auto"/>
          <w:sz w:val="22"/>
          <w:szCs w:val="20"/>
          <w:lang w:bidi="ar"/>
        </w:rPr>
        <w:t>优势</w:t>
      </w:r>
      <w:r>
        <w:rPr>
          <w:rFonts w:ascii="Times New Roman" w:hAnsi="Times New Roman" w:eastAsia="宋体"/>
          <w:color w:val="auto"/>
          <w:sz w:val="24"/>
          <w:szCs w:val="24"/>
          <w:lang w:bidi="ar"/>
        </w:rPr>
        <w:t>种共3种(属)，分别为广布多肢轮虫(</w:t>
      </w:r>
      <w:r>
        <w:rPr>
          <w:rFonts w:ascii="Times New Roman" w:hAnsi="Times New Roman" w:eastAsia="宋体"/>
          <w:i/>
          <w:iCs/>
          <w:color w:val="auto"/>
          <w:sz w:val="24"/>
          <w:szCs w:val="24"/>
          <w:lang w:bidi="ar"/>
        </w:rPr>
        <w:t>Polyarthra vulgaris</w:t>
      </w:r>
      <w:r>
        <w:rPr>
          <w:rFonts w:ascii="Times New Roman" w:hAnsi="Times New Roman" w:eastAsia="宋体"/>
          <w:color w:val="auto"/>
          <w:sz w:val="24"/>
          <w:szCs w:val="24"/>
          <w:lang w:bidi="ar"/>
        </w:rPr>
        <w:t>)、累枝虫属(</w:t>
      </w:r>
      <w:r>
        <w:rPr>
          <w:rFonts w:ascii="Times New Roman" w:hAnsi="Times New Roman" w:eastAsia="宋体"/>
          <w:i/>
          <w:iCs/>
          <w:color w:val="auto"/>
          <w:sz w:val="24"/>
          <w:szCs w:val="24"/>
          <w:lang w:bidi="ar"/>
        </w:rPr>
        <w:t>Epistylis</w:t>
      </w:r>
      <w:r>
        <w:rPr>
          <w:rFonts w:ascii="Times New Roman" w:hAnsi="Times New Roman" w:eastAsia="宋体"/>
          <w:color w:val="auto"/>
          <w:sz w:val="24"/>
          <w:szCs w:val="24"/>
          <w:lang w:bidi="ar"/>
        </w:rPr>
        <w:t xml:space="preserve"> sp.)、暗小异尾轮虫(</w:t>
      </w:r>
      <w:r>
        <w:rPr>
          <w:rFonts w:ascii="Times New Roman" w:hAnsi="Times New Roman" w:eastAsia="宋体"/>
          <w:i/>
          <w:iCs/>
          <w:color w:val="auto"/>
          <w:sz w:val="24"/>
          <w:szCs w:val="24"/>
          <w:lang w:bidi="ar"/>
        </w:rPr>
        <w:t>Trichocerca pusilla</w:t>
      </w:r>
      <w:r>
        <w:rPr>
          <w:rFonts w:ascii="Times New Roman" w:hAnsi="Times New Roman" w:eastAsia="宋体"/>
          <w:color w:val="auto"/>
          <w:sz w:val="24"/>
          <w:szCs w:val="24"/>
          <w:lang w:bidi="ar"/>
        </w:rPr>
        <w:t>)，其优势度为0.593、0.131、0.030</w:t>
      </w:r>
      <w:r>
        <w:rPr>
          <w:rFonts w:ascii="Times New Roman" w:hAnsi="Times New Roman" w:eastAsia="宋体"/>
          <w:color w:val="auto"/>
          <w:sz w:val="24"/>
          <w:szCs w:val="21"/>
          <w:lang w:bidi="ar"/>
        </w:rPr>
        <w:t>。</w:t>
      </w:r>
    </w:p>
    <w:p w14:paraId="65E1829A">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(2)索饵期</w:t>
      </w:r>
    </w:p>
    <w:p w14:paraId="2B4CAB8E">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保护区浮游动物优势种共5种(属)，江苏拟铃虫(</w:t>
      </w:r>
      <w:r>
        <w:rPr>
          <w:rFonts w:ascii="Times New Roman" w:hAnsi="Times New Roman" w:eastAsia="宋体"/>
          <w:i/>
          <w:iCs/>
          <w:color w:val="auto"/>
          <w:sz w:val="24"/>
          <w:szCs w:val="24"/>
          <w:lang w:bidi="ar"/>
        </w:rPr>
        <w:t>Tintinnopsis kiangsuensis</w:t>
      </w:r>
      <w:r>
        <w:rPr>
          <w:rFonts w:ascii="Times New Roman" w:hAnsi="Times New Roman" w:eastAsia="宋体"/>
          <w:color w:val="auto"/>
          <w:sz w:val="24"/>
          <w:szCs w:val="24"/>
          <w:lang w:bidi="ar"/>
        </w:rPr>
        <w:t>)、广布多肢轮虫(</w:t>
      </w:r>
      <w:r>
        <w:rPr>
          <w:rFonts w:ascii="Times New Roman" w:hAnsi="Times New Roman" w:eastAsia="宋体"/>
          <w:i/>
          <w:iCs/>
          <w:color w:val="auto"/>
          <w:sz w:val="24"/>
          <w:szCs w:val="24"/>
          <w:lang w:bidi="ar"/>
        </w:rPr>
        <w:t>Polyarthra vulgaris</w:t>
      </w:r>
      <w:r>
        <w:rPr>
          <w:rFonts w:ascii="Times New Roman" w:hAnsi="Times New Roman" w:eastAsia="宋体"/>
          <w:color w:val="auto"/>
          <w:sz w:val="24"/>
          <w:szCs w:val="24"/>
          <w:lang w:bidi="ar"/>
        </w:rPr>
        <w:t>)、鐏形拟铃虫(</w:t>
      </w:r>
      <w:r>
        <w:rPr>
          <w:rFonts w:ascii="Times New Roman" w:hAnsi="Times New Roman" w:eastAsia="宋体"/>
          <w:i/>
          <w:iCs/>
          <w:color w:val="auto"/>
          <w:sz w:val="24"/>
          <w:szCs w:val="24"/>
          <w:lang w:bidi="ar"/>
        </w:rPr>
        <w:t>Tintinnopsis potiformis</w:t>
      </w:r>
      <w:r>
        <w:rPr>
          <w:rFonts w:ascii="Times New Roman" w:hAnsi="Times New Roman" w:eastAsia="宋体"/>
          <w:color w:val="auto"/>
          <w:sz w:val="24"/>
          <w:szCs w:val="24"/>
          <w:lang w:bidi="ar"/>
        </w:rPr>
        <w:t>)、薄铃虫属(</w:t>
      </w:r>
      <w:r>
        <w:rPr>
          <w:rFonts w:ascii="Times New Roman" w:hAnsi="Times New Roman" w:eastAsia="宋体"/>
          <w:i/>
          <w:iCs/>
          <w:color w:val="auto"/>
          <w:sz w:val="24"/>
          <w:szCs w:val="24"/>
          <w:lang w:bidi="ar"/>
        </w:rPr>
        <w:t xml:space="preserve">Leprotintinnus </w:t>
      </w:r>
      <w:r>
        <w:rPr>
          <w:rFonts w:ascii="Times New Roman" w:hAnsi="Times New Roman" w:eastAsia="宋体"/>
          <w:color w:val="auto"/>
          <w:sz w:val="24"/>
          <w:szCs w:val="24"/>
          <w:lang w:bidi="ar"/>
        </w:rPr>
        <w:t>sp.)、王氏拟铃虫(</w:t>
      </w:r>
      <w:r>
        <w:rPr>
          <w:rFonts w:ascii="Times New Roman" w:hAnsi="Times New Roman" w:eastAsia="宋体"/>
          <w:i/>
          <w:iCs/>
          <w:color w:val="auto"/>
          <w:sz w:val="24"/>
          <w:szCs w:val="24"/>
          <w:lang w:bidi="ar"/>
        </w:rPr>
        <w:t>Tintinnopsis wangi</w:t>
      </w:r>
      <w:r>
        <w:rPr>
          <w:rFonts w:ascii="Times New Roman" w:hAnsi="Times New Roman" w:eastAsia="宋体"/>
          <w:color w:val="auto"/>
          <w:sz w:val="24"/>
          <w:szCs w:val="24"/>
          <w:lang w:bidi="ar"/>
        </w:rPr>
        <w:t>)，其优势度为0.176、0.154、0.053、0.048、0.024</w:t>
      </w:r>
      <w:r>
        <w:rPr>
          <w:rFonts w:ascii="Times New Roman" w:hAnsi="Times New Roman" w:eastAsia="宋体"/>
          <w:color w:val="auto"/>
          <w:sz w:val="24"/>
          <w:szCs w:val="21"/>
          <w:lang w:bidi="ar"/>
        </w:rPr>
        <w:t>。</w:t>
      </w:r>
    </w:p>
    <w:p w14:paraId="3C668F0A">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bookmarkStart w:id="112" w:name="_Toc127538638"/>
      <w:r>
        <w:rPr>
          <w:rFonts w:hint="eastAsia" w:ascii="Times New Roman" w:hAnsi="Times New Roman" w:eastAsia="宋体" w:cs="Times New Roman"/>
          <w:bCs/>
          <w:color w:val="auto"/>
          <w:kern w:val="2"/>
          <w:sz w:val="24"/>
          <w:szCs w:val="28"/>
          <w:lang w:val="en-US" w:eastAsia="zh-CN" w:bidi="ar-SA"/>
        </w:rPr>
        <w:t>4.2.5.12.3 现存量</w:t>
      </w:r>
      <w:bookmarkEnd w:id="112"/>
    </w:p>
    <w:p w14:paraId="7B172F36">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浮游动物是水域生态系统中一类极其重要的生物，既可作为许多经济鱼类的优质食物，又可调节控制藻类和细菌的发生、发展。浮游动物种类组成繁杂、数量大、分布广，有着极其重要的生态学意义。</w:t>
      </w:r>
    </w:p>
    <w:p w14:paraId="27FEEDD3">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(1)资源密度</w:t>
      </w:r>
    </w:p>
    <w:p w14:paraId="1024AC57">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2023年</w:t>
      </w:r>
      <w:r>
        <w:rPr>
          <w:rFonts w:hint="eastAsia" w:ascii="Times New Roman" w:hAnsi="Times New Roman" w:eastAsia="宋体"/>
          <w:color w:val="auto"/>
          <w:sz w:val="24"/>
          <w:szCs w:val="21"/>
          <w:lang w:bidi="ar"/>
        </w:rPr>
        <w:t>调查</w:t>
      </w:r>
      <w:r>
        <w:rPr>
          <w:rFonts w:ascii="Times New Roman" w:hAnsi="Times New Roman" w:eastAsia="宋体"/>
          <w:color w:val="auto"/>
          <w:sz w:val="24"/>
          <w:szCs w:val="21"/>
          <w:lang w:bidi="ar"/>
        </w:rPr>
        <w:t>结果显示，保护区浮游动物资源密度变幅为418-4870 ind./L，均值为1987 ind./L(图4.2</w:t>
      </w:r>
      <w:r>
        <w:rPr>
          <w:rFonts w:hint="eastAsia" w:ascii="Times New Roman" w:hAnsi="Times New Roman" w:eastAsia="宋体"/>
          <w:color w:val="auto"/>
          <w:sz w:val="24"/>
          <w:szCs w:val="21"/>
          <w:lang w:val="en-US" w:eastAsia="zh-CN" w:bidi="ar"/>
        </w:rPr>
        <w:t>-25</w:t>
      </w:r>
      <w:r>
        <w:rPr>
          <w:rFonts w:ascii="Times New Roman" w:hAnsi="Times New Roman" w:eastAsia="宋体"/>
          <w:color w:val="auto"/>
          <w:sz w:val="24"/>
          <w:szCs w:val="21"/>
          <w:lang w:bidi="ar"/>
        </w:rPr>
        <w:t>)。</w:t>
      </w:r>
    </w:p>
    <w:p w14:paraId="6E9AF9D1">
      <w:pPr>
        <w:widowControl/>
        <w:spacing w:line="360" w:lineRule="auto"/>
        <w:ind w:firstLine="480" w:firstLineChars="200"/>
        <w:rPr>
          <w:rFonts w:ascii="Times New Roman" w:hAnsi="Times New Roman" w:eastAsia="宋体"/>
          <w:b/>
          <w:bCs/>
          <w:color w:val="auto"/>
          <w:sz w:val="24"/>
          <w:szCs w:val="21"/>
          <w:lang w:bidi="ar"/>
        </w:rPr>
      </w:pPr>
      <w:bookmarkStart w:id="113" w:name="_Hlk129328885"/>
      <w:r>
        <w:rPr>
          <w:rFonts w:ascii="Times New Roman" w:hAnsi="Times New Roman" w:eastAsia="宋体"/>
          <w:b/>
          <w:bCs/>
          <w:color w:val="auto"/>
          <w:sz w:val="24"/>
          <w:szCs w:val="21"/>
          <w:lang w:bidi="ar"/>
        </w:rPr>
        <w:t>①繁殖期</w:t>
      </w:r>
    </w:p>
    <w:bookmarkEnd w:id="113"/>
    <w:p w14:paraId="1F54E7B4">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保护区浮游动物资源密度变幅为1341-4870 ind./L，均值为3105 ind./L。</w:t>
      </w:r>
    </w:p>
    <w:p w14:paraId="68F5742B">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b/>
          <w:bCs/>
          <w:color w:val="auto"/>
          <w:sz w:val="24"/>
          <w:szCs w:val="21"/>
          <w:lang w:bidi="ar"/>
        </w:rPr>
        <w:t>②索饵期</w:t>
      </w:r>
    </w:p>
    <w:p w14:paraId="0DE52582">
      <w:pPr>
        <w:widowControl/>
        <w:spacing w:line="360" w:lineRule="auto"/>
        <w:ind w:firstLine="480" w:firstLineChars="200"/>
        <w:rPr>
          <w:rFonts w:ascii="Times New Roman" w:hAnsi="Times New Roman" w:eastAsia="宋体"/>
          <w:color w:val="auto"/>
          <w:sz w:val="24"/>
          <w:szCs w:val="21"/>
          <w:lang w:bidi="ar"/>
        </w:rPr>
      </w:pPr>
      <w:bookmarkStart w:id="114" w:name="_Hlk130455796"/>
      <w:r>
        <w:rPr>
          <w:rFonts w:ascii="Times New Roman" w:hAnsi="Times New Roman" w:eastAsia="宋体"/>
          <w:color w:val="auto"/>
          <w:sz w:val="24"/>
          <w:szCs w:val="21"/>
          <w:lang w:bidi="ar"/>
        </w:rPr>
        <w:t>核心区调查水域浮游动物资源密度变幅为0.72-375.77 ind./L，均值为151.61 ind./L(图4.2</w:t>
      </w:r>
      <w:r>
        <w:rPr>
          <w:rFonts w:hint="eastAsia"/>
          <w:color w:val="auto"/>
          <w:sz w:val="24"/>
          <w:szCs w:val="21"/>
          <w:lang w:val="en-US" w:eastAsia="zh-CN" w:bidi="ar"/>
        </w:rPr>
        <w:t>-25</w:t>
      </w:r>
      <w:r>
        <w:rPr>
          <w:rFonts w:ascii="Times New Roman" w:hAnsi="Times New Roman" w:eastAsia="宋体"/>
          <w:color w:val="auto"/>
          <w:sz w:val="24"/>
          <w:szCs w:val="21"/>
          <w:lang w:bidi="ar"/>
        </w:rPr>
        <w:t>)。</w:t>
      </w:r>
    </w:p>
    <w:bookmarkEnd w:id="114"/>
    <w:p w14:paraId="74BD2A51">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保护区浮游动物资源密度变幅为418-1317 ind./L，均值为868 ind./L(图4.2.10-3)。</w:t>
      </w:r>
    </w:p>
    <w:p w14:paraId="77BC4988">
      <w:pPr>
        <w:spacing w:line="240" w:lineRule="auto"/>
        <w:jc w:val="center"/>
        <w:rPr>
          <w:rFonts w:ascii="Times New Roman" w:hAnsi="Times New Roman" w:eastAsia="宋体"/>
          <w:color w:val="auto"/>
          <w:sz w:val="24"/>
          <w:szCs w:val="22"/>
        </w:rPr>
      </w:pPr>
      <w:r>
        <w:rPr>
          <w:rFonts w:ascii="Times New Roman" w:hAnsi="Times New Roman" w:eastAsia="宋体"/>
          <w:color w:val="auto"/>
          <w:sz w:val="24"/>
          <w:szCs w:val="22"/>
        </w:rPr>
        <w:drawing>
          <wp:inline distT="0" distB="0" distL="114300" distR="114300">
            <wp:extent cx="4851400" cy="2768600"/>
            <wp:effectExtent l="0" t="0" r="6350" b="12700"/>
            <wp:docPr id="325"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53"/>
                    <pic:cNvPicPr>
                      <a:picLocks noChangeAspect="1"/>
                    </pic:cNvPicPr>
                  </pic:nvPicPr>
                  <pic:blipFill>
                    <a:blip r:embed="rId120"/>
                    <a:stretch>
                      <a:fillRect/>
                    </a:stretch>
                  </pic:blipFill>
                  <pic:spPr>
                    <a:xfrm>
                      <a:off x="0" y="0"/>
                      <a:ext cx="4851400" cy="2768600"/>
                    </a:xfrm>
                    <a:prstGeom prst="rect">
                      <a:avLst/>
                    </a:prstGeom>
                    <a:noFill/>
                    <a:ln>
                      <a:noFill/>
                    </a:ln>
                  </pic:spPr>
                </pic:pic>
              </a:graphicData>
            </a:graphic>
          </wp:inline>
        </w:drawing>
      </w:r>
    </w:p>
    <w:p w14:paraId="582370AB">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-25</w:t>
      </w:r>
      <w:r>
        <w:rPr>
          <w:rFonts w:ascii="Times New Roman" w:hAnsi="Times New Roman" w:eastAsia="黑体" w:cs="Times New Roman"/>
          <w:color w:val="auto"/>
          <w:sz w:val="24"/>
          <w:szCs w:val="21"/>
        </w:rPr>
        <w:t xml:space="preserve">  2023年度保护区水域浮游动物资源密度时间特征</w:t>
      </w:r>
    </w:p>
    <w:p w14:paraId="1E88F383">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(2)生物量</w:t>
      </w:r>
    </w:p>
    <w:p w14:paraId="1F850886">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2023年</w:t>
      </w:r>
      <w:r>
        <w:rPr>
          <w:rFonts w:hint="eastAsia" w:ascii="Times New Roman" w:hAnsi="Times New Roman" w:eastAsia="宋体"/>
          <w:color w:val="auto"/>
          <w:sz w:val="24"/>
          <w:szCs w:val="21"/>
          <w:lang w:bidi="ar"/>
        </w:rPr>
        <w:t>调查</w:t>
      </w:r>
      <w:r>
        <w:rPr>
          <w:rFonts w:ascii="Times New Roman" w:hAnsi="Times New Roman" w:eastAsia="宋体"/>
          <w:color w:val="auto"/>
          <w:sz w:val="24"/>
          <w:szCs w:val="21"/>
          <w:lang w:bidi="ar"/>
        </w:rPr>
        <w:t>结果显示，保护区浮游动物生物量变幅为0.06-4.15 mg/L，均值为1.32 mg/L(图4.2</w:t>
      </w:r>
      <w:r>
        <w:rPr>
          <w:rFonts w:hint="eastAsia"/>
          <w:color w:val="auto"/>
          <w:sz w:val="24"/>
          <w:szCs w:val="21"/>
          <w:lang w:val="en-US" w:eastAsia="zh-CN" w:bidi="ar"/>
        </w:rPr>
        <w:t>-26</w:t>
      </w:r>
      <w:r>
        <w:rPr>
          <w:rFonts w:ascii="Times New Roman" w:hAnsi="Times New Roman" w:eastAsia="宋体"/>
          <w:color w:val="auto"/>
          <w:sz w:val="24"/>
          <w:szCs w:val="21"/>
          <w:lang w:bidi="ar"/>
        </w:rPr>
        <w:t>)。</w:t>
      </w:r>
    </w:p>
    <w:p w14:paraId="594CB938">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①繁殖期</w:t>
      </w:r>
    </w:p>
    <w:p w14:paraId="66429AEB">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保护区浮游动物生物量变幅为0.87-4.15 mg/L，均值为2.51 mg/L。</w:t>
      </w:r>
    </w:p>
    <w:p w14:paraId="46F02745">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②索饵期</w:t>
      </w:r>
    </w:p>
    <w:p w14:paraId="087FA51F">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保护区浮游动物生物量变幅为0.06-0.19 mg/L，均值为0.12 mg/L。</w:t>
      </w:r>
    </w:p>
    <w:p w14:paraId="22BE6492">
      <w:pPr>
        <w:spacing w:line="240" w:lineRule="auto"/>
        <w:jc w:val="center"/>
        <w:rPr>
          <w:rFonts w:ascii="Times New Roman" w:hAnsi="Times New Roman" w:eastAsia="宋体"/>
          <w:color w:val="auto"/>
          <w:sz w:val="24"/>
          <w:szCs w:val="22"/>
        </w:rPr>
      </w:pPr>
      <w:r>
        <w:rPr>
          <w:rFonts w:ascii="Times New Roman" w:hAnsi="Times New Roman" w:eastAsia="宋体"/>
          <w:color w:val="auto"/>
          <w:sz w:val="24"/>
          <w:szCs w:val="22"/>
        </w:rPr>
        <w:drawing>
          <wp:inline distT="0" distB="0" distL="114300" distR="114300">
            <wp:extent cx="4030345" cy="2300605"/>
            <wp:effectExtent l="0" t="0" r="8255" b="4445"/>
            <wp:docPr id="32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54"/>
                    <pic:cNvPicPr>
                      <a:picLocks noChangeAspect="1"/>
                    </pic:cNvPicPr>
                  </pic:nvPicPr>
                  <pic:blipFill>
                    <a:blip r:embed="rId121"/>
                    <a:stretch>
                      <a:fillRect/>
                    </a:stretch>
                  </pic:blipFill>
                  <pic:spPr>
                    <a:xfrm>
                      <a:off x="0" y="0"/>
                      <a:ext cx="4030345" cy="2300605"/>
                    </a:xfrm>
                    <a:prstGeom prst="rect">
                      <a:avLst/>
                    </a:prstGeom>
                    <a:noFill/>
                    <a:ln>
                      <a:noFill/>
                    </a:ln>
                  </pic:spPr>
                </pic:pic>
              </a:graphicData>
            </a:graphic>
          </wp:inline>
        </w:drawing>
      </w:r>
    </w:p>
    <w:p w14:paraId="1ECDF168">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-26</w:t>
      </w:r>
      <w:r>
        <w:rPr>
          <w:rFonts w:ascii="Times New Roman" w:hAnsi="Times New Roman" w:eastAsia="黑体" w:cs="Times New Roman"/>
          <w:color w:val="auto"/>
          <w:sz w:val="24"/>
          <w:szCs w:val="21"/>
        </w:rPr>
        <w:t xml:space="preserve">  2023年度保护区调查水域浮游动物生物量时间特征</w:t>
      </w:r>
    </w:p>
    <w:p w14:paraId="417C03D3">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bookmarkStart w:id="115" w:name="_Toc127538639"/>
      <w:r>
        <w:rPr>
          <w:rFonts w:hint="eastAsia" w:ascii="Times New Roman" w:hAnsi="Times New Roman" w:eastAsia="宋体" w:cs="Times New Roman"/>
          <w:bCs/>
          <w:color w:val="auto"/>
          <w:kern w:val="2"/>
          <w:sz w:val="24"/>
          <w:szCs w:val="28"/>
          <w:lang w:val="en-US" w:eastAsia="zh-CN" w:bidi="ar-SA"/>
        </w:rPr>
        <w:t>4.2.5.12.4 群落多样性</w:t>
      </w:r>
      <w:bookmarkEnd w:id="115"/>
    </w:p>
    <w:p w14:paraId="57ED6423">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36"/>
          <w:lang w:bidi="ar"/>
        </w:rPr>
        <w:t>2023年</w:t>
      </w:r>
      <w:r>
        <w:rPr>
          <w:rFonts w:hint="eastAsia" w:ascii="Times New Roman" w:hAnsi="Times New Roman" w:eastAsia="宋体"/>
          <w:color w:val="auto"/>
          <w:sz w:val="24"/>
          <w:szCs w:val="36"/>
          <w:lang w:bidi="ar"/>
        </w:rPr>
        <w:t>调查</w:t>
      </w:r>
      <w:r>
        <w:rPr>
          <w:rFonts w:ascii="Times New Roman" w:hAnsi="Times New Roman" w:eastAsia="宋体"/>
          <w:color w:val="auto"/>
          <w:sz w:val="24"/>
          <w:szCs w:val="36"/>
          <w:lang w:bidi="ar"/>
        </w:rPr>
        <w:t>结果显示，保护区浮游动物</w:t>
      </w:r>
      <w:r>
        <w:rPr>
          <w:rFonts w:ascii="Times New Roman" w:hAnsi="Times New Roman" w:eastAsia="宋体"/>
          <w:color w:val="auto"/>
          <w:sz w:val="24"/>
          <w:szCs w:val="22"/>
          <w:lang w:bidi="ar"/>
        </w:rPr>
        <w:t>Shannon-Wiener多样性指数</w:t>
      </w:r>
      <w:r>
        <w:rPr>
          <w:rFonts w:ascii="Times New Roman" w:hAnsi="Times New Roman" w:eastAsia="宋体"/>
          <w:bCs/>
          <w:color w:val="auto"/>
          <w:sz w:val="24"/>
          <w:szCs w:val="24"/>
          <w:lang w:bidi="ar"/>
        </w:rPr>
        <w:t>(</w:t>
      </w:r>
      <w:r>
        <w:rPr>
          <w:rFonts w:ascii="Times New Roman" w:hAnsi="Times New Roman" w:eastAsia="宋体"/>
          <w:bCs/>
          <w:i/>
          <w:iCs/>
          <w:color w:val="auto"/>
          <w:sz w:val="24"/>
          <w:szCs w:val="24"/>
          <w:lang w:bidi="ar"/>
        </w:rPr>
        <w:t>H'</w:t>
      </w:r>
      <w:r>
        <w:rPr>
          <w:rFonts w:ascii="Times New Roman" w:hAnsi="Times New Roman" w:eastAsia="宋体"/>
          <w:bCs/>
          <w:color w:val="auto"/>
          <w:sz w:val="24"/>
          <w:szCs w:val="24"/>
          <w:lang w:bidi="ar"/>
        </w:rPr>
        <w:t>)</w:t>
      </w:r>
      <w:r>
        <w:rPr>
          <w:rFonts w:ascii="Times New Roman" w:hAnsi="Times New Roman" w:eastAsia="宋体"/>
          <w:color w:val="auto"/>
          <w:sz w:val="24"/>
          <w:szCs w:val="36"/>
          <w:lang w:bidi="ar"/>
        </w:rPr>
        <w:t>为1.96；</w:t>
      </w:r>
      <w:r>
        <w:rPr>
          <w:rFonts w:ascii="Times New Roman" w:hAnsi="Times New Roman" w:eastAsia="宋体"/>
          <w:color w:val="auto"/>
          <w:sz w:val="24"/>
          <w:szCs w:val="22"/>
          <w:lang w:bidi="ar"/>
        </w:rPr>
        <w:t>Pielou均匀度指数</w:t>
      </w:r>
      <w:r>
        <w:rPr>
          <w:rFonts w:ascii="Times New Roman" w:hAnsi="Times New Roman" w:eastAsia="宋体"/>
          <w:color w:val="auto"/>
          <w:sz w:val="24"/>
          <w:szCs w:val="24"/>
          <w:lang w:bidi="ar"/>
        </w:rPr>
        <w:t>(</w:t>
      </w:r>
      <w:r>
        <w:rPr>
          <w:rFonts w:ascii="Times New Roman" w:hAnsi="Times New Roman" w:eastAsia="宋体"/>
          <w:i/>
          <w:iCs/>
          <w:color w:val="auto"/>
          <w:sz w:val="24"/>
          <w:szCs w:val="24"/>
          <w:lang w:bidi="ar"/>
        </w:rPr>
        <w:t>E</w:t>
      </w:r>
      <w:r>
        <w:rPr>
          <w:rFonts w:ascii="Times New Roman" w:hAnsi="Times New Roman" w:eastAsia="宋体"/>
          <w:color w:val="auto"/>
          <w:sz w:val="24"/>
          <w:szCs w:val="24"/>
          <w:lang w:bidi="ar"/>
        </w:rPr>
        <w:t>)</w:t>
      </w:r>
      <w:r>
        <w:rPr>
          <w:rFonts w:ascii="Times New Roman" w:hAnsi="Times New Roman" w:eastAsia="宋体"/>
          <w:color w:val="auto"/>
          <w:sz w:val="24"/>
          <w:szCs w:val="36"/>
          <w:lang w:bidi="ar"/>
        </w:rPr>
        <w:t>为0.52；</w:t>
      </w:r>
      <w:r>
        <w:rPr>
          <w:rFonts w:ascii="Times New Roman" w:hAnsi="Times New Roman" w:eastAsia="宋体"/>
          <w:color w:val="auto"/>
          <w:sz w:val="24"/>
          <w:szCs w:val="22"/>
          <w:lang w:bidi="ar"/>
        </w:rPr>
        <w:t>Simpson优势度指数(</w:t>
      </w:r>
      <w:r>
        <w:rPr>
          <w:rFonts w:ascii="Times New Roman" w:hAnsi="Times New Roman" w:eastAsia="宋体"/>
          <w:i/>
          <w:iCs/>
          <w:color w:val="auto"/>
          <w:sz w:val="24"/>
          <w:szCs w:val="22"/>
          <w:lang w:bidi="ar"/>
        </w:rPr>
        <w:t>D</w:t>
      </w:r>
      <w:r>
        <w:rPr>
          <w:rFonts w:ascii="Times New Roman" w:hAnsi="Times New Roman" w:eastAsia="宋体"/>
          <w:color w:val="auto"/>
          <w:sz w:val="24"/>
          <w:szCs w:val="22"/>
          <w:lang w:bidi="ar"/>
        </w:rPr>
        <w:t>)</w:t>
      </w:r>
      <w:r>
        <w:rPr>
          <w:rFonts w:ascii="Times New Roman" w:hAnsi="Times New Roman" w:eastAsia="宋体"/>
          <w:color w:val="auto"/>
          <w:sz w:val="24"/>
          <w:szCs w:val="36"/>
          <w:lang w:bidi="ar"/>
        </w:rPr>
        <w:t>为0.30；</w:t>
      </w:r>
      <w:r>
        <w:rPr>
          <w:rFonts w:ascii="Times New Roman" w:hAnsi="Times New Roman" w:eastAsia="宋体"/>
          <w:color w:val="auto"/>
          <w:sz w:val="24"/>
          <w:szCs w:val="22"/>
          <w:lang w:bidi="ar"/>
        </w:rPr>
        <w:t>Margalef丰富度指数(</w:t>
      </w:r>
      <w:r>
        <w:rPr>
          <w:rFonts w:ascii="Times New Roman" w:hAnsi="Times New Roman" w:eastAsia="宋体"/>
          <w:i/>
          <w:iCs/>
          <w:color w:val="auto"/>
          <w:sz w:val="24"/>
          <w:szCs w:val="22"/>
          <w:lang w:bidi="ar"/>
        </w:rPr>
        <w:t>R</w:t>
      </w:r>
      <w:r>
        <w:rPr>
          <w:rFonts w:ascii="Times New Roman" w:hAnsi="Times New Roman" w:eastAsia="宋体"/>
          <w:color w:val="auto"/>
          <w:sz w:val="24"/>
          <w:szCs w:val="22"/>
          <w:lang w:bidi="ar"/>
        </w:rPr>
        <w:t>)</w:t>
      </w:r>
      <w:r>
        <w:rPr>
          <w:rFonts w:ascii="Times New Roman" w:hAnsi="Times New Roman" w:eastAsia="宋体"/>
          <w:color w:val="auto"/>
          <w:sz w:val="24"/>
          <w:szCs w:val="36"/>
          <w:lang w:bidi="ar"/>
        </w:rPr>
        <w:t>为4.27</w:t>
      </w:r>
      <w:r>
        <w:rPr>
          <w:rFonts w:ascii="Times New Roman" w:hAnsi="Times New Roman" w:eastAsia="宋体"/>
          <w:color w:val="auto"/>
          <w:sz w:val="24"/>
          <w:szCs w:val="21"/>
          <w:lang w:bidi="ar"/>
        </w:rPr>
        <w:t>(图4.2</w:t>
      </w:r>
      <w:r>
        <w:rPr>
          <w:rFonts w:hint="eastAsia" w:ascii="Times New Roman" w:hAnsi="Times New Roman" w:eastAsia="宋体"/>
          <w:color w:val="auto"/>
          <w:sz w:val="24"/>
          <w:szCs w:val="21"/>
          <w:lang w:val="en-US" w:eastAsia="zh-CN" w:bidi="ar"/>
        </w:rPr>
        <w:t>-27</w:t>
      </w:r>
      <w:r>
        <w:rPr>
          <w:rFonts w:ascii="Times New Roman" w:hAnsi="Times New Roman" w:eastAsia="宋体"/>
          <w:color w:val="auto"/>
          <w:sz w:val="24"/>
          <w:szCs w:val="21"/>
          <w:lang w:bidi="ar"/>
        </w:rPr>
        <w:t>)。</w:t>
      </w:r>
    </w:p>
    <w:p w14:paraId="37EA3F34">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b/>
          <w:bCs/>
          <w:color w:val="auto"/>
          <w:sz w:val="24"/>
          <w:szCs w:val="21"/>
          <w:lang w:bidi="ar"/>
        </w:rPr>
        <w:t>(1)繁殖期</w:t>
      </w:r>
    </w:p>
    <w:p w14:paraId="1F209260">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36"/>
          <w:lang w:bidi="ar"/>
        </w:rPr>
        <w:t>保护区浮游动物</w:t>
      </w:r>
      <w:r>
        <w:rPr>
          <w:rFonts w:ascii="Times New Roman" w:hAnsi="Times New Roman" w:eastAsia="宋体"/>
          <w:color w:val="auto"/>
          <w:sz w:val="24"/>
          <w:szCs w:val="22"/>
          <w:lang w:bidi="ar"/>
        </w:rPr>
        <w:t>Shannon-Wiener多样性指数</w:t>
      </w:r>
      <w:r>
        <w:rPr>
          <w:rFonts w:ascii="Times New Roman" w:hAnsi="Times New Roman" w:eastAsia="宋体"/>
          <w:bCs/>
          <w:color w:val="auto"/>
          <w:sz w:val="24"/>
          <w:szCs w:val="24"/>
          <w:lang w:bidi="ar"/>
        </w:rPr>
        <w:t>(</w:t>
      </w:r>
      <w:r>
        <w:rPr>
          <w:rFonts w:ascii="Times New Roman" w:hAnsi="Times New Roman" w:eastAsia="宋体"/>
          <w:bCs/>
          <w:i/>
          <w:iCs/>
          <w:color w:val="auto"/>
          <w:sz w:val="24"/>
          <w:szCs w:val="24"/>
          <w:lang w:bidi="ar"/>
        </w:rPr>
        <w:t>H'</w:t>
      </w:r>
      <w:r>
        <w:rPr>
          <w:rFonts w:ascii="Times New Roman" w:hAnsi="Times New Roman" w:eastAsia="宋体"/>
          <w:bCs/>
          <w:color w:val="auto"/>
          <w:sz w:val="24"/>
          <w:szCs w:val="24"/>
          <w:lang w:bidi="ar"/>
        </w:rPr>
        <w:t>)</w:t>
      </w:r>
      <w:r>
        <w:rPr>
          <w:rFonts w:ascii="Times New Roman" w:hAnsi="Times New Roman" w:eastAsia="宋体"/>
          <w:color w:val="auto"/>
          <w:sz w:val="24"/>
          <w:szCs w:val="36"/>
          <w:lang w:bidi="ar"/>
        </w:rPr>
        <w:t>为1.45；</w:t>
      </w:r>
      <w:r>
        <w:rPr>
          <w:rFonts w:ascii="Times New Roman" w:hAnsi="Times New Roman" w:eastAsia="宋体"/>
          <w:color w:val="auto"/>
          <w:sz w:val="24"/>
          <w:szCs w:val="22"/>
          <w:lang w:bidi="ar"/>
        </w:rPr>
        <w:t>Pielou均匀度指数</w:t>
      </w:r>
      <w:r>
        <w:rPr>
          <w:rFonts w:ascii="Times New Roman" w:hAnsi="Times New Roman" w:eastAsia="宋体"/>
          <w:color w:val="auto"/>
          <w:sz w:val="24"/>
          <w:szCs w:val="24"/>
          <w:lang w:bidi="ar"/>
        </w:rPr>
        <w:t>(</w:t>
      </w:r>
      <w:r>
        <w:rPr>
          <w:rFonts w:ascii="Times New Roman" w:hAnsi="Times New Roman" w:eastAsia="宋体"/>
          <w:i/>
          <w:iCs/>
          <w:color w:val="auto"/>
          <w:sz w:val="24"/>
          <w:szCs w:val="24"/>
          <w:lang w:bidi="ar"/>
        </w:rPr>
        <w:t>E</w:t>
      </w:r>
      <w:r>
        <w:rPr>
          <w:rFonts w:ascii="Times New Roman" w:hAnsi="Times New Roman" w:eastAsia="宋体"/>
          <w:color w:val="auto"/>
          <w:sz w:val="24"/>
          <w:szCs w:val="24"/>
          <w:lang w:bidi="ar"/>
        </w:rPr>
        <w:t>)</w:t>
      </w:r>
      <w:r>
        <w:rPr>
          <w:rFonts w:ascii="Times New Roman" w:hAnsi="Times New Roman" w:eastAsia="宋体"/>
          <w:color w:val="auto"/>
          <w:sz w:val="24"/>
          <w:szCs w:val="36"/>
          <w:lang w:bidi="ar"/>
        </w:rPr>
        <w:t>为0.45；</w:t>
      </w:r>
      <w:r>
        <w:rPr>
          <w:rFonts w:ascii="Times New Roman" w:hAnsi="Times New Roman" w:eastAsia="宋体"/>
          <w:color w:val="auto"/>
          <w:sz w:val="24"/>
          <w:szCs w:val="22"/>
          <w:lang w:bidi="ar"/>
        </w:rPr>
        <w:t>Simpson优势度指数(</w:t>
      </w:r>
      <w:r>
        <w:rPr>
          <w:rFonts w:ascii="Times New Roman" w:hAnsi="Times New Roman" w:eastAsia="宋体"/>
          <w:i/>
          <w:iCs/>
          <w:color w:val="auto"/>
          <w:sz w:val="24"/>
          <w:szCs w:val="22"/>
          <w:lang w:bidi="ar"/>
        </w:rPr>
        <w:t>D</w:t>
      </w:r>
      <w:r>
        <w:rPr>
          <w:rFonts w:ascii="Times New Roman" w:hAnsi="Times New Roman" w:eastAsia="宋体"/>
          <w:color w:val="auto"/>
          <w:sz w:val="24"/>
          <w:szCs w:val="22"/>
          <w:lang w:bidi="ar"/>
        </w:rPr>
        <w:t>)</w:t>
      </w:r>
      <w:r>
        <w:rPr>
          <w:rFonts w:ascii="Times New Roman" w:hAnsi="Times New Roman" w:eastAsia="宋体"/>
          <w:color w:val="auto"/>
          <w:sz w:val="24"/>
          <w:szCs w:val="36"/>
          <w:lang w:bidi="ar"/>
        </w:rPr>
        <w:t>为0.40；</w:t>
      </w:r>
      <w:r>
        <w:rPr>
          <w:rFonts w:ascii="Times New Roman" w:hAnsi="Times New Roman" w:eastAsia="宋体"/>
          <w:color w:val="auto"/>
          <w:sz w:val="24"/>
          <w:szCs w:val="22"/>
          <w:lang w:bidi="ar"/>
        </w:rPr>
        <w:t>Margalef丰富度指数(</w:t>
      </w:r>
      <w:r>
        <w:rPr>
          <w:rFonts w:ascii="Times New Roman" w:hAnsi="Times New Roman" w:eastAsia="宋体"/>
          <w:i/>
          <w:iCs/>
          <w:color w:val="auto"/>
          <w:sz w:val="24"/>
          <w:szCs w:val="22"/>
          <w:lang w:bidi="ar"/>
        </w:rPr>
        <w:t>R</w:t>
      </w:r>
      <w:r>
        <w:rPr>
          <w:rFonts w:ascii="Times New Roman" w:hAnsi="Times New Roman" w:eastAsia="宋体"/>
          <w:color w:val="auto"/>
          <w:sz w:val="24"/>
          <w:szCs w:val="22"/>
          <w:lang w:bidi="ar"/>
        </w:rPr>
        <w:t>)</w:t>
      </w:r>
      <w:r>
        <w:rPr>
          <w:rFonts w:ascii="Times New Roman" w:hAnsi="Times New Roman" w:eastAsia="宋体"/>
          <w:color w:val="auto"/>
          <w:sz w:val="24"/>
          <w:szCs w:val="36"/>
          <w:lang w:bidi="ar"/>
        </w:rPr>
        <w:t>为2.44</w:t>
      </w:r>
      <w:r>
        <w:rPr>
          <w:rFonts w:ascii="Times New Roman" w:hAnsi="Times New Roman" w:eastAsia="宋体"/>
          <w:color w:val="auto"/>
          <w:sz w:val="24"/>
          <w:szCs w:val="21"/>
          <w:lang w:bidi="ar"/>
        </w:rPr>
        <w:t>。</w:t>
      </w:r>
    </w:p>
    <w:p w14:paraId="5D0E275A">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(2)索饵期</w:t>
      </w:r>
    </w:p>
    <w:p w14:paraId="1E140960">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36"/>
          <w:lang w:bidi="ar"/>
        </w:rPr>
        <w:t>保护区浮游动物</w:t>
      </w:r>
      <w:r>
        <w:rPr>
          <w:rFonts w:ascii="Times New Roman" w:hAnsi="Times New Roman" w:eastAsia="宋体"/>
          <w:color w:val="auto"/>
          <w:sz w:val="24"/>
          <w:szCs w:val="22"/>
          <w:lang w:bidi="ar"/>
        </w:rPr>
        <w:t>Shannon-Wiener多样性指数</w:t>
      </w:r>
      <w:r>
        <w:rPr>
          <w:rFonts w:ascii="Times New Roman" w:hAnsi="Times New Roman" w:eastAsia="宋体"/>
          <w:bCs/>
          <w:color w:val="auto"/>
          <w:sz w:val="24"/>
          <w:szCs w:val="24"/>
          <w:lang w:bidi="ar"/>
        </w:rPr>
        <w:t>(</w:t>
      </w:r>
      <w:r>
        <w:rPr>
          <w:rFonts w:ascii="Times New Roman" w:hAnsi="Times New Roman" w:eastAsia="宋体"/>
          <w:bCs/>
          <w:i/>
          <w:iCs/>
          <w:color w:val="auto"/>
          <w:sz w:val="24"/>
          <w:szCs w:val="24"/>
          <w:lang w:bidi="ar"/>
        </w:rPr>
        <w:t>H'</w:t>
      </w:r>
      <w:r>
        <w:rPr>
          <w:rFonts w:ascii="Times New Roman" w:hAnsi="Times New Roman" w:eastAsia="宋体"/>
          <w:bCs/>
          <w:color w:val="auto"/>
          <w:sz w:val="24"/>
          <w:szCs w:val="24"/>
          <w:lang w:bidi="ar"/>
        </w:rPr>
        <w:t>)</w:t>
      </w:r>
      <w:r>
        <w:rPr>
          <w:rFonts w:ascii="Times New Roman" w:hAnsi="Times New Roman" w:eastAsia="宋体"/>
          <w:color w:val="auto"/>
          <w:sz w:val="24"/>
          <w:szCs w:val="36"/>
          <w:lang w:bidi="ar"/>
        </w:rPr>
        <w:t>为2.41；</w:t>
      </w:r>
      <w:r>
        <w:rPr>
          <w:rFonts w:ascii="Times New Roman" w:hAnsi="Times New Roman" w:eastAsia="宋体"/>
          <w:color w:val="auto"/>
          <w:sz w:val="24"/>
          <w:szCs w:val="22"/>
          <w:lang w:bidi="ar"/>
        </w:rPr>
        <w:t>Pielou均匀度指数</w:t>
      </w:r>
      <w:r>
        <w:rPr>
          <w:rFonts w:ascii="Times New Roman" w:hAnsi="Times New Roman" w:eastAsia="宋体"/>
          <w:color w:val="auto"/>
          <w:sz w:val="24"/>
          <w:szCs w:val="24"/>
          <w:lang w:bidi="ar"/>
        </w:rPr>
        <w:t>(</w:t>
      </w:r>
      <w:r>
        <w:rPr>
          <w:rFonts w:ascii="Times New Roman" w:hAnsi="Times New Roman" w:eastAsia="宋体"/>
          <w:i/>
          <w:iCs/>
          <w:color w:val="auto"/>
          <w:sz w:val="24"/>
          <w:szCs w:val="24"/>
          <w:lang w:bidi="ar"/>
        </w:rPr>
        <w:t>E</w:t>
      </w:r>
      <w:r>
        <w:rPr>
          <w:rFonts w:ascii="Times New Roman" w:hAnsi="Times New Roman" w:eastAsia="宋体"/>
          <w:color w:val="auto"/>
          <w:sz w:val="24"/>
          <w:szCs w:val="24"/>
          <w:lang w:bidi="ar"/>
        </w:rPr>
        <w:t>)</w:t>
      </w:r>
      <w:r>
        <w:rPr>
          <w:rFonts w:ascii="Times New Roman" w:hAnsi="Times New Roman" w:eastAsia="宋体"/>
          <w:color w:val="auto"/>
          <w:sz w:val="24"/>
          <w:szCs w:val="36"/>
          <w:lang w:bidi="ar"/>
        </w:rPr>
        <w:t>为0.75；</w:t>
      </w:r>
      <w:r>
        <w:rPr>
          <w:rFonts w:ascii="Times New Roman" w:hAnsi="Times New Roman" w:eastAsia="宋体"/>
          <w:color w:val="auto"/>
          <w:sz w:val="24"/>
          <w:szCs w:val="22"/>
          <w:lang w:bidi="ar"/>
        </w:rPr>
        <w:t>Simpson优势度指数(</w:t>
      </w:r>
      <w:r>
        <w:rPr>
          <w:rFonts w:ascii="Times New Roman" w:hAnsi="Times New Roman" w:eastAsia="宋体"/>
          <w:i/>
          <w:iCs/>
          <w:color w:val="auto"/>
          <w:sz w:val="24"/>
          <w:szCs w:val="22"/>
          <w:lang w:bidi="ar"/>
        </w:rPr>
        <w:t>D</w:t>
      </w:r>
      <w:r>
        <w:rPr>
          <w:rFonts w:ascii="Times New Roman" w:hAnsi="Times New Roman" w:eastAsia="宋体"/>
          <w:color w:val="auto"/>
          <w:sz w:val="24"/>
          <w:szCs w:val="22"/>
          <w:lang w:bidi="ar"/>
        </w:rPr>
        <w:t>)</w:t>
      </w:r>
      <w:r>
        <w:rPr>
          <w:rFonts w:ascii="Times New Roman" w:hAnsi="Times New Roman" w:eastAsia="宋体"/>
          <w:color w:val="auto"/>
          <w:sz w:val="24"/>
          <w:szCs w:val="36"/>
          <w:lang w:bidi="ar"/>
        </w:rPr>
        <w:t>为0.14；</w:t>
      </w:r>
      <w:r>
        <w:rPr>
          <w:rFonts w:ascii="Times New Roman" w:hAnsi="Times New Roman" w:eastAsia="宋体"/>
          <w:color w:val="auto"/>
          <w:sz w:val="24"/>
          <w:szCs w:val="22"/>
          <w:lang w:bidi="ar"/>
        </w:rPr>
        <w:t>Margalef丰富度指数(</w:t>
      </w:r>
      <w:r>
        <w:rPr>
          <w:rFonts w:ascii="Times New Roman" w:hAnsi="Times New Roman" w:eastAsia="宋体"/>
          <w:i/>
          <w:iCs/>
          <w:color w:val="auto"/>
          <w:sz w:val="24"/>
          <w:szCs w:val="22"/>
          <w:lang w:bidi="ar"/>
        </w:rPr>
        <w:t>R</w:t>
      </w:r>
      <w:r>
        <w:rPr>
          <w:rFonts w:ascii="Times New Roman" w:hAnsi="Times New Roman" w:eastAsia="宋体"/>
          <w:color w:val="auto"/>
          <w:sz w:val="24"/>
          <w:szCs w:val="22"/>
          <w:lang w:bidi="ar"/>
        </w:rPr>
        <w:t>)</w:t>
      </w:r>
      <w:r>
        <w:rPr>
          <w:rFonts w:ascii="Times New Roman" w:hAnsi="Times New Roman" w:eastAsia="宋体"/>
          <w:color w:val="auto"/>
          <w:sz w:val="24"/>
          <w:szCs w:val="36"/>
          <w:lang w:bidi="ar"/>
        </w:rPr>
        <w:t>为2.80</w:t>
      </w:r>
      <w:r>
        <w:rPr>
          <w:rFonts w:ascii="Times New Roman" w:hAnsi="Times New Roman" w:eastAsia="宋体"/>
          <w:color w:val="auto"/>
          <w:sz w:val="24"/>
          <w:szCs w:val="21"/>
          <w:lang w:bidi="ar"/>
        </w:rPr>
        <w:t>(图4.2.10-7)。</w:t>
      </w:r>
    </w:p>
    <w:p w14:paraId="7EDB853F">
      <w:pPr>
        <w:spacing w:line="240" w:lineRule="auto"/>
        <w:jc w:val="center"/>
        <w:rPr>
          <w:rFonts w:ascii="Times New Roman" w:hAnsi="Times New Roman" w:eastAsia="宋体"/>
          <w:color w:val="auto"/>
          <w:sz w:val="24"/>
          <w:szCs w:val="22"/>
        </w:rPr>
      </w:pPr>
      <w:r>
        <w:rPr>
          <w:rFonts w:ascii="Times New Roman" w:hAnsi="Times New Roman" w:eastAsia="宋体"/>
          <w:color w:val="auto"/>
          <w:sz w:val="24"/>
          <w:szCs w:val="22"/>
        </w:rPr>
        <w:drawing>
          <wp:inline distT="0" distB="0" distL="114300" distR="114300">
            <wp:extent cx="4440555" cy="2534285"/>
            <wp:effectExtent l="0" t="0" r="17145" b="18415"/>
            <wp:docPr id="327"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55"/>
                    <pic:cNvPicPr>
                      <a:picLocks noChangeAspect="1"/>
                    </pic:cNvPicPr>
                  </pic:nvPicPr>
                  <pic:blipFill>
                    <a:blip r:embed="rId122"/>
                    <a:stretch>
                      <a:fillRect/>
                    </a:stretch>
                  </pic:blipFill>
                  <pic:spPr>
                    <a:xfrm>
                      <a:off x="0" y="0"/>
                      <a:ext cx="4440555" cy="2534285"/>
                    </a:xfrm>
                    <a:prstGeom prst="rect">
                      <a:avLst/>
                    </a:prstGeom>
                    <a:noFill/>
                    <a:ln>
                      <a:noFill/>
                    </a:ln>
                  </pic:spPr>
                </pic:pic>
              </a:graphicData>
            </a:graphic>
          </wp:inline>
        </w:drawing>
      </w:r>
    </w:p>
    <w:p w14:paraId="4B4EF317">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 xml:space="preserve">-27 </w:t>
      </w:r>
      <w:r>
        <w:rPr>
          <w:rFonts w:ascii="Times New Roman" w:hAnsi="Times New Roman" w:eastAsia="黑体" w:cs="Times New Roman"/>
          <w:color w:val="auto"/>
          <w:sz w:val="24"/>
          <w:szCs w:val="21"/>
        </w:rPr>
        <w:t xml:space="preserve"> 2023年度保护区调查水域浮游动物多样性指数时间特征</w:t>
      </w:r>
    </w:p>
    <w:p w14:paraId="4E4DF671">
      <w:pPr>
        <w:keepNext/>
        <w:keepLines/>
        <w:widowControl w:val="0"/>
        <w:numPr>
          <w:ilvl w:val="0"/>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4.2.5.13 底栖动物现状</w:t>
      </w:r>
    </w:p>
    <w:p w14:paraId="2F81857C">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4.2.5.13 .1 群落结构</w:t>
      </w:r>
    </w:p>
    <w:p w14:paraId="7AC637F3">
      <w:pPr>
        <w:widowControl/>
        <w:spacing w:line="360" w:lineRule="auto"/>
        <w:ind w:firstLine="480" w:firstLineChars="200"/>
        <w:rPr>
          <w:rFonts w:ascii="Times New Roman" w:hAnsi="Times New Roman" w:eastAsia="宋体"/>
          <w:color w:val="auto"/>
          <w:sz w:val="24"/>
          <w:szCs w:val="21"/>
          <w:lang w:bidi="ar"/>
        </w:rPr>
      </w:pPr>
      <w:bookmarkStart w:id="116" w:name="_Hlk36292270"/>
      <w:r>
        <w:rPr>
          <w:rFonts w:ascii="Times New Roman" w:hAnsi="Times New Roman" w:eastAsia="宋体"/>
          <w:color w:val="auto"/>
          <w:sz w:val="24"/>
          <w:szCs w:val="24"/>
          <w:lang w:bidi="ar"/>
        </w:rPr>
        <w:t>2023年</w:t>
      </w:r>
      <w:r>
        <w:rPr>
          <w:rFonts w:hint="eastAsia" w:ascii="Times New Roman" w:hAnsi="Times New Roman" w:eastAsia="宋体"/>
          <w:color w:val="auto"/>
          <w:sz w:val="24"/>
          <w:szCs w:val="24"/>
          <w:lang w:bidi="ar"/>
        </w:rPr>
        <w:t>调查</w:t>
      </w:r>
      <w:r>
        <w:rPr>
          <w:rFonts w:ascii="Times New Roman" w:hAnsi="Times New Roman" w:eastAsia="宋体"/>
          <w:color w:val="auto"/>
          <w:sz w:val="24"/>
          <w:szCs w:val="24"/>
          <w:lang w:bidi="ar"/>
        </w:rPr>
        <w:t>结果显示，保护区共鉴定底栖动物3门5纲5目9科21种(属)。从物种组成来看，环节动物门共2纲2目3科9种(属)，占底栖动物总物种数的42.9%；软体动物门共2纲2目4科4种(属)，占比为19.0%；节肢动物门1纲1目2科8种(属)，占比为38.1%(</w:t>
      </w:r>
      <w:r>
        <w:rPr>
          <w:rFonts w:ascii="Times New Roman" w:hAnsi="Times New Roman" w:eastAsia="宋体"/>
          <w:color w:val="auto"/>
          <w:sz w:val="24"/>
          <w:szCs w:val="21"/>
          <w:lang w:bidi="ar"/>
        </w:rPr>
        <w:t>表4.2</w:t>
      </w:r>
      <w:r>
        <w:rPr>
          <w:rFonts w:hint="eastAsia" w:ascii="Times New Roman" w:hAnsi="Times New Roman" w:eastAsia="宋体"/>
          <w:color w:val="auto"/>
          <w:sz w:val="24"/>
          <w:szCs w:val="21"/>
          <w:lang w:val="en-US" w:eastAsia="zh-CN" w:bidi="ar"/>
        </w:rPr>
        <w:t>-34</w:t>
      </w:r>
      <w:r>
        <w:rPr>
          <w:rFonts w:ascii="Times New Roman" w:hAnsi="Times New Roman" w:eastAsia="宋体"/>
          <w:color w:val="auto"/>
          <w:sz w:val="24"/>
          <w:szCs w:val="21"/>
          <w:lang w:bidi="ar"/>
        </w:rPr>
        <w:t>)。</w:t>
      </w:r>
    </w:p>
    <w:p w14:paraId="3A4CE332">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表4.2</w:t>
      </w:r>
      <w:r>
        <w:rPr>
          <w:rFonts w:hint="eastAsia" w:ascii="Times New Roman" w:hAnsi="Times New Roman" w:eastAsia="黑体" w:cs="Times New Roman"/>
          <w:color w:val="auto"/>
          <w:sz w:val="24"/>
          <w:szCs w:val="21"/>
          <w:lang w:val="en-US" w:eastAsia="zh-CN"/>
        </w:rPr>
        <w:t>-34</w:t>
      </w:r>
      <w:r>
        <w:rPr>
          <w:rFonts w:ascii="Times New Roman" w:hAnsi="Times New Roman" w:eastAsia="黑体" w:cs="Times New Roman"/>
          <w:color w:val="auto"/>
          <w:sz w:val="24"/>
          <w:szCs w:val="21"/>
        </w:rPr>
        <w:t xml:space="preserve">  2023年度保护区水域底栖动物名录</w:t>
      </w:r>
    </w:p>
    <w:tbl>
      <w:tblPr>
        <w:tblStyle w:val="53"/>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119"/>
        <w:gridCol w:w="1083"/>
        <w:gridCol w:w="1083"/>
      </w:tblGrid>
      <w:tr w14:paraId="49731F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832" w:type="pct"/>
            <w:tcBorders>
              <w:tl2br w:val="nil"/>
              <w:tr2bl w:val="nil"/>
            </w:tcBorders>
            <w:noWrap/>
            <w:vAlign w:val="center"/>
          </w:tcPr>
          <w:p w14:paraId="157119E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0"/>
                <w:szCs w:val="20"/>
              </w:rPr>
            </w:pPr>
            <w:r>
              <w:rPr>
                <w:rFonts w:hint="default" w:ascii="Times New Roman" w:hAnsi="Times New Roman" w:eastAsia="宋体"/>
                <w:b/>
                <w:bCs/>
                <w:color w:val="auto"/>
                <w:sz w:val="20"/>
                <w:szCs w:val="20"/>
                <w:lang w:bidi="ar"/>
              </w:rPr>
              <w:t>物种</w:t>
            </w:r>
          </w:p>
        </w:tc>
        <w:tc>
          <w:tcPr>
            <w:tcW w:w="583" w:type="pct"/>
            <w:tcBorders>
              <w:tl2br w:val="nil"/>
              <w:tr2bl w:val="nil"/>
            </w:tcBorders>
            <w:noWrap/>
            <w:vAlign w:val="center"/>
          </w:tcPr>
          <w:p w14:paraId="3815F628">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繁殖期</w:t>
            </w:r>
          </w:p>
        </w:tc>
        <w:tc>
          <w:tcPr>
            <w:tcW w:w="583" w:type="pct"/>
            <w:tcBorders>
              <w:tl2br w:val="nil"/>
              <w:tr2bl w:val="nil"/>
            </w:tcBorders>
            <w:noWrap/>
            <w:vAlign w:val="center"/>
          </w:tcPr>
          <w:p w14:paraId="31089D4C">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索饵期</w:t>
            </w:r>
          </w:p>
        </w:tc>
      </w:tr>
      <w:tr w14:paraId="6EE77B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3832" w:type="pct"/>
            <w:tcBorders>
              <w:tl2br w:val="nil"/>
              <w:tr2bl w:val="nil"/>
            </w:tcBorders>
            <w:noWrap/>
            <w:vAlign w:val="center"/>
          </w:tcPr>
          <w:p w14:paraId="3D3F5C4A">
            <w:pPr>
              <w:keepNext w:val="0"/>
              <w:keepLines w:val="0"/>
              <w:suppressLineNumbers w:val="0"/>
              <w:spacing w:before="0" w:beforeAutospacing="0" w:after="0" w:afterAutospacing="0" w:line="240" w:lineRule="auto"/>
              <w:ind w:left="0" w:right="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环节动物门Annelida</w:t>
            </w:r>
          </w:p>
        </w:tc>
        <w:tc>
          <w:tcPr>
            <w:tcW w:w="583" w:type="pct"/>
            <w:tcBorders>
              <w:tl2br w:val="nil"/>
              <w:tr2bl w:val="nil"/>
            </w:tcBorders>
            <w:noWrap/>
            <w:vAlign w:val="center"/>
          </w:tcPr>
          <w:p w14:paraId="608DA03C">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25D69434">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648189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606CACE9">
            <w:pPr>
              <w:keepNext w:val="0"/>
              <w:keepLines w:val="0"/>
              <w:suppressLineNumbers w:val="0"/>
              <w:spacing w:before="0" w:beforeAutospacing="0" w:after="0" w:afterAutospacing="0" w:line="240" w:lineRule="auto"/>
              <w:ind w:left="0" w:right="0" w:firstLine="200" w:firstLineChars="1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多毛纲Polychaeta</w:t>
            </w:r>
          </w:p>
        </w:tc>
        <w:tc>
          <w:tcPr>
            <w:tcW w:w="583" w:type="pct"/>
            <w:tcBorders>
              <w:tl2br w:val="nil"/>
              <w:tr2bl w:val="nil"/>
            </w:tcBorders>
            <w:noWrap/>
            <w:vAlign w:val="center"/>
          </w:tcPr>
          <w:p w14:paraId="7CC5EB15">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1AFFDCFD">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42A329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4CD60773">
            <w:pPr>
              <w:keepNext w:val="0"/>
              <w:keepLines w:val="0"/>
              <w:suppressLineNumbers w:val="0"/>
              <w:spacing w:before="0" w:beforeAutospacing="0" w:after="0" w:afterAutospacing="0" w:line="240" w:lineRule="auto"/>
              <w:ind w:left="0" w:right="0" w:firstLine="400" w:firstLineChars="2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沙蚕目Nereidida</w:t>
            </w:r>
          </w:p>
        </w:tc>
        <w:tc>
          <w:tcPr>
            <w:tcW w:w="583" w:type="pct"/>
            <w:tcBorders>
              <w:tl2br w:val="nil"/>
              <w:tr2bl w:val="nil"/>
            </w:tcBorders>
            <w:noWrap/>
            <w:vAlign w:val="center"/>
          </w:tcPr>
          <w:p w14:paraId="14F419A9">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4DAFFB53">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3934DD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6A504D57">
            <w:pPr>
              <w:keepNext w:val="0"/>
              <w:keepLines w:val="0"/>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齿吻沙蚕科Nephtyidae</w:t>
            </w:r>
          </w:p>
        </w:tc>
        <w:tc>
          <w:tcPr>
            <w:tcW w:w="583" w:type="pct"/>
            <w:tcBorders>
              <w:tl2br w:val="nil"/>
              <w:tr2bl w:val="nil"/>
            </w:tcBorders>
            <w:noWrap/>
            <w:vAlign w:val="center"/>
          </w:tcPr>
          <w:p w14:paraId="63EF57BE">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24A30B71">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7C1F56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191D8D13">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齿吻沙蚕属一种Nephtys sp.</w:t>
            </w:r>
          </w:p>
        </w:tc>
        <w:tc>
          <w:tcPr>
            <w:tcW w:w="583" w:type="pct"/>
            <w:tcBorders>
              <w:tl2br w:val="nil"/>
              <w:tr2bl w:val="nil"/>
            </w:tcBorders>
            <w:noWrap/>
            <w:vAlign w:val="center"/>
          </w:tcPr>
          <w:p w14:paraId="636E3B56">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340AE036">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r>
      <w:tr w14:paraId="5F0285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5279EE0A">
            <w:pPr>
              <w:keepNext w:val="0"/>
              <w:keepLines w:val="0"/>
              <w:suppressLineNumbers w:val="0"/>
              <w:spacing w:before="0" w:beforeAutospacing="0" w:after="0" w:afterAutospacing="0" w:line="240" w:lineRule="auto"/>
              <w:ind w:left="0" w:right="0" w:firstLine="200" w:firstLineChars="1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寡毛纲Oligochaeta</w:t>
            </w:r>
          </w:p>
        </w:tc>
        <w:tc>
          <w:tcPr>
            <w:tcW w:w="583" w:type="pct"/>
            <w:tcBorders>
              <w:tl2br w:val="nil"/>
              <w:tr2bl w:val="nil"/>
            </w:tcBorders>
            <w:noWrap/>
            <w:vAlign w:val="center"/>
          </w:tcPr>
          <w:p w14:paraId="660E9489">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25E022E8">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1770C2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586B1F2F">
            <w:pPr>
              <w:keepNext w:val="0"/>
              <w:keepLines w:val="0"/>
              <w:suppressLineNumbers w:val="0"/>
              <w:spacing w:before="0" w:beforeAutospacing="0" w:after="0" w:afterAutospacing="0" w:line="240" w:lineRule="auto"/>
              <w:ind w:left="0" w:right="0" w:firstLine="400" w:firstLineChars="2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颤蚓目Tubificida</w:t>
            </w:r>
          </w:p>
        </w:tc>
        <w:tc>
          <w:tcPr>
            <w:tcW w:w="583" w:type="pct"/>
            <w:tcBorders>
              <w:tl2br w:val="nil"/>
              <w:tr2bl w:val="nil"/>
            </w:tcBorders>
            <w:noWrap/>
            <w:vAlign w:val="center"/>
          </w:tcPr>
          <w:p w14:paraId="381AB7C3">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60143C78">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4ADA3A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7FFBF6A4">
            <w:pPr>
              <w:keepNext w:val="0"/>
              <w:keepLines w:val="0"/>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仙女虫科Naididae</w:t>
            </w:r>
          </w:p>
        </w:tc>
        <w:tc>
          <w:tcPr>
            <w:tcW w:w="583" w:type="pct"/>
            <w:tcBorders>
              <w:tl2br w:val="nil"/>
              <w:tr2bl w:val="nil"/>
            </w:tcBorders>
            <w:noWrap/>
            <w:vAlign w:val="center"/>
          </w:tcPr>
          <w:p w14:paraId="54BBEB8F">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1532258F">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16A29B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314E054A">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仙女虫属一种</w:t>
            </w:r>
            <w:r>
              <w:rPr>
                <w:rFonts w:hint="default" w:ascii="Times New Roman" w:hAnsi="Times New Roman" w:eastAsia="宋体"/>
                <w:i/>
                <w:iCs/>
                <w:color w:val="auto"/>
                <w:sz w:val="20"/>
                <w:szCs w:val="20"/>
                <w:lang w:bidi="ar"/>
              </w:rPr>
              <w:t>Nais</w:t>
            </w:r>
            <w:r>
              <w:rPr>
                <w:rFonts w:hint="default" w:ascii="Times New Roman" w:hAnsi="Times New Roman" w:eastAsia="宋体"/>
                <w:color w:val="auto"/>
                <w:sz w:val="20"/>
                <w:szCs w:val="20"/>
                <w:lang w:bidi="ar"/>
              </w:rPr>
              <w:t xml:space="preserve"> sp.</w:t>
            </w:r>
          </w:p>
        </w:tc>
        <w:tc>
          <w:tcPr>
            <w:tcW w:w="583" w:type="pct"/>
            <w:tcBorders>
              <w:tl2br w:val="nil"/>
              <w:tr2bl w:val="nil"/>
            </w:tcBorders>
            <w:noWrap/>
            <w:vAlign w:val="center"/>
          </w:tcPr>
          <w:p w14:paraId="668496D0">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0304E08E">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55B5B5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51536CC3">
            <w:pPr>
              <w:keepNext w:val="0"/>
              <w:keepLines w:val="0"/>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颤蚓科Tubificidae</w:t>
            </w:r>
          </w:p>
        </w:tc>
        <w:tc>
          <w:tcPr>
            <w:tcW w:w="583" w:type="pct"/>
            <w:tcBorders>
              <w:tl2br w:val="nil"/>
              <w:tr2bl w:val="nil"/>
            </w:tcBorders>
            <w:noWrap/>
            <w:vAlign w:val="center"/>
          </w:tcPr>
          <w:p w14:paraId="097E0589">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6FE1394E">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5594E1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1244E712">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霍甫水丝蚓</w:t>
            </w:r>
            <w:r>
              <w:rPr>
                <w:rFonts w:hint="default" w:ascii="Times New Roman" w:hAnsi="Times New Roman" w:eastAsia="宋体"/>
                <w:i/>
                <w:iCs/>
                <w:color w:val="auto"/>
                <w:sz w:val="20"/>
                <w:szCs w:val="20"/>
                <w:lang w:bidi="ar"/>
              </w:rPr>
              <w:t>Limnodrilus hoffmeisteri</w:t>
            </w:r>
          </w:p>
        </w:tc>
        <w:tc>
          <w:tcPr>
            <w:tcW w:w="583" w:type="pct"/>
            <w:tcBorders>
              <w:tl2br w:val="nil"/>
              <w:tr2bl w:val="nil"/>
            </w:tcBorders>
            <w:noWrap/>
            <w:vAlign w:val="center"/>
          </w:tcPr>
          <w:p w14:paraId="698CAE97">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42DACFD9">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135D75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6A54E0DF">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巨毛水丝蚓</w:t>
            </w:r>
            <w:r>
              <w:rPr>
                <w:rFonts w:hint="default" w:ascii="Times New Roman" w:hAnsi="Times New Roman" w:eastAsia="宋体"/>
                <w:i/>
                <w:iCs/>
                <w:color w:val="auto"/>
                <w:sz w:val="20"/>
                <w:szCs w:val="20"/>
                <w:lang w:bidi="ar"/>
              </w:rPr>
              <w:t>Limnodrilus grandisetosus</w:t>
            </w:r>
          </w:p>
        </w:tc>
        <w:tc>
          <w:tcPr>
            <w:tcW w:w="583" w:type="pct"/>
            <w:tcBorders>
              <w:tl2br w:val="nil"/>
              <w:tr2bl w:val="nil"/>
            </w:tcBorders>
            <w:noWrap/>
            <w:vAlign w:val="center"/>
          </w:tcPr>
          <w:p w14:paraId="1B1B68AB">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3BC3CF1E">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r>
      <w:tr w14:paraId="6EDDBC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0CC934D1">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克拉泊水丝蚓</w:t>
            </w:r>
            <w:r>
              <w:rPr>
                <w:rFonts w:hint="default" w:ascii="Times New Roman" w:hAnsi="Times New Roman" w:eastAsia="宋体"/>
                <w:i/>
                <w:iCs/>
                <w:color w:val="auto"/>
                <w:sz w:val="20"/>
                <w:szCs w:val="20"/>
                <w:lang w:bidi="ar"/>
              </w:rPr>
              <w:t>Limnodrilus claparedeianus</w:t>
            </w:r>
          </w:p>
        </w:tc>
        <w:tc>
          <w:tcPr>
            <w:tcW w:w="583" w:type="pct"/>
            <w:tcBorders>
              <w:tl2br w:val="nil"/>
              <w:tr2bl w:val="nil"/>
            </w:tcBorders>
            <w:noWrap/>
            <w:vAlign w:val="center"/>
          </w:tcPr>
          <w:p w14:paraId="5AA92F65">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4970F737">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r>
      <w:tr w14:paraId="763AD9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5FB7AF51">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嫩丝蚓属一种</w:t>
            </w:r>
            <w:r>
              <w:rPr>
                <w:rFonts w:hint="default" w:ascii="Times New Roman" w:hAnsi="Times New Roman" w:eastAsia="宋体"/>
                <w:i/>
                <w:iCs/>
                <w:color w:val="auto"/>
                <w:sz w:val="20"/>
                <w:szCs w:val="20"/>
                <w:lang w:bidi="ar"/>
              </w:rPr>
              <w:t>Teneridrilus</w:t>
            </w:r>
            <w:r>
              <w:rPr>
                <w:rFonts w:hint="default" w:ascii="Times New Roman" w:hAnsi="Times New Roman" w:eastAsia="宋体"/>
                <w:color w:val="auto"/>
                <w:sz w:val="20"/>
                <w:szCs w:val="20"/>
                <w:lang w:bidi="ar"/>
              </w:rPr>
              <w:t xml:space="preserve"> sp.</w:t>
            </w:r>
          </w:p>
        </w:tc>
        <w:tc>
          <w:tcPr>
            <w:tcW w:w="583" w:type="pct"/>
            <w:tcBorders>
              <w:tl2br w:val="nil"/>
              <w:tr2bl w:val="nil"/>
            </w:tcBorders>
            <w:noWrap/>
            <w:vAlign w:val="center"/>
          </w:tcPr>
          <w:p w14:paraId="6601C107">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7CEA4D78">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r>
      <w:tr w14:paraId="2B118D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0D3022E7">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水丝蚓属一种</w:t>
            </w:r>
            <w:r>
              <w:rPr>
                <w:rFonts w:hint="default" w:ascii="Times New Roman" w:hAnsi="Times New Roman" w:eastAsia="宋体"/>
                <w:i/>
                <w:iCs/>
                <w:color w:val="auto"/>
                <w:sz w:val="20"/>
                <w:szCs w:val="20"/>
                <w:lang w:bidi="ar"/>
              </w:rPr>
              <w:t>Limnodrilus</w:t>
            </w:r>
            <w:r>
              <w:rPr>
                <w:rFonts w:hint="default" w:ascii="Times New Roman" w:hAnsi="Times New Roman" w:eastAsia="宋体"/>
                <w:color w:val="auto"/>
                <w:sz w:val="20"/>
                <w:szCs w:val="20"/>
                <w:lang w:bidi="ar"/>
              </w:rPr>
              <w:t xml:space="preserve"> sp.</w:t>
            </w:r>
          </w:p>
        </w:tc>
        <w:tc>
          <w:tcPr>
            <w:tcW w:w="583" w:type="pct"/>
            <w:tcBorders>
              <w:tl2br w:val="nil"/>
              <w:tr2bl w:val="nil"/>
            </w:tcBorders>
            <w:noWrap/>
            <w:vAlign w:val="center"/>
          </w:tcPr>
          <w:p w14:paraId="578D895D">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0283A927">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r>
      <w:tr w14:paraId="3E39C9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11F15B70">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苏氏尾鳃蚓</w:t>
            </w:r>
            <w:r>
              <w:rPr>
                <w:rFonts w:hint="default" w:ascii="Times New Roman" w:hAnsi="Times New Roman" w:eastAsia="宋体"/>
                <w:i/>
                <w:iCs/>
                <w:color w:val="auto"/>
                <w:sz w:val="20"/>
                <w:szCs w:val="20"/>
                <w:lang w:bidi="ar"/>
              </w:rPr>
              <w:t>Branchiura sowerbyi</w:t>
            </w:r>
          </w:p>
        </w:tc>
        <w:tc>
          <w:tcPr>
            <w:tcW w:w="583" w:type="pct"/>
            <w:tcBorders>
              <w:tl2br w:val="nil"/>
              <w:tr2bl w:val="nil"/>
            </w:tcBorders>
            <w:noWrap/>
            <w:vAlign w:val="center"/>
          </w:tcPr>
          <w:p w14:paraId="5920C33D">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00E86AFF">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r>
      <w:tr w14:paraId="40F1A0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0D085024">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正颤蚓</w:t>
            </w:r>
            <w:r>
              <w:rPr>
                <w:rFonts w:hint="default" w:ascii="Times New Roman" w:hAnsi="Times New Roman" w:eastAsia="宋体"/>
                <w:i/>
                <w:iCs/>
                <w:color w:val="auto"/>
                <w:sz w:val="20"/>
                <w:szCs w:val="20"/>
                <w:lang w:bidi="ar"/>
              </w:rPr>
              <w:t>Tubifex tubifex</w:t>
            </w:r>
          </w:p>
        </w:tc>
        <w:tc>
          <w:tcPr>
            <w:tcW w:w="583" w:type="pct"/>
            <w:tcBorders>
              <w:tl2br w:val="nil"/>
              <w:tr2bl w:val="nil"/>
            </w:tcBorders>
            <w:noWrap/>
            <w:vAlign w:val="center"/>
          </w:tcPr>
          <w:p w14:paraId="7A8A3E31">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04336D3D">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39F3B8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0A558474">
            <w:pPr>
              <w:keepNext w:val="0"/>
              <w:keepLines w:val="0"/>
              <w:suppressLineNumbers w:val="0"/>
              <w:spacing w:before="0" w:beforeAutospacing="0" w:after="0" w:afterAutospacing="0" w:line="240" w:lineRule="auto"/>
              <w:ind w:left="0" w:right="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节肢动物门Arthropoda</w:t>
            </w:r>
          </w:p>
        </w:tc>
        <w:tc>
          <w:tcPr>
            <w:tcW w:w="583" w:type="pct"/>
            <w:tcBorders>
              <w:tl2br w:val="nil"/>
              <w:tr2bl w:val="nil"/>
            </w:tcBorders>
            <w:noWrap/>
            <w:vAlign w:val="center"/>
          </w:tcPr>
          <w:p w14:paraId="70BAD707">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05F65AE0">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3AAC10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2B3B2F6A">
            <w:pPr>
              <w:keepNext w:val="0"/>
              <w:keepLines w:val="0"/>
              <w:suppressLineNumbers w:val="0"/>
              <w:spacing w:before="0" w:beforeAutospacing="0" w:after="0" w:afterAutospacing="0" w:line="240" w:lineRule="auto"/>
              <w:ind w:left="0" w:right="0" w:firstLine="200" w:firstLineChars="1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昆虫纲Insecta</w:t>
            </w:r>
          </w:p>
        </w:tc>
        <w:tc>
          <w:tcPr>
            <w:tcW w:w="583" w:type="pct"/>
            <w:tcBorders>
              <w:tl2br w:val="nil"/>
              <w:tr2bl w:val="nil"/>
            </w:tcBorders>
            <w:noWrap/>
            <w:vAlign w:val="center"/>
          </w:tcPr>
          <w:p w14:paraId="4E6AE560">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179F1B0B">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4DA565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081282BD">
            <w:pPr>
              <w:keepNext w:val="0"/>
              <w:keepLines w:val="0"/>
              <w:suppressLineNumbers w:val="0"/>
              <w:spacing w:before="0" w:beforeAutospacing="0" w:after="0" w:afterAutospacing="0" w:line="240" w:lineRule="auto"/>
              <w:ind w:left="0" w:right="0" w:firstLine="400" w:firstLineChars="2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双翅目Diptera</w:t>
            </w:r>
          </w:p>
        </w:tc>
        <w:tc>
          <w:tcPr>
            <w:tcW w:w="583" w:type="pct"/>
            <w:tcBorders>
              <w:tl2br w:val="nil"/>
              <w:tr2bl w:val="nil"/>
            </w:tcBorders>
            <w:noWrap/>
            <w:vAlign w:val="center"/>
          </w:tcPr>
          <w:p w14:paraId="0B0B5BCD">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0EB1C602">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7BEFF0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6AD3FA05">
            <w:pPr>
              <w:keepNext w:val="0"/>
              <w:keepLines w:val="0"/>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蠓科Ceratopogonidae</w:t>
            </w:r>
          </w:p>
        </w:tc>
        <w:tc>
          <w:tcPr>
            <w:tcW w:w="583" w:type="pct"/>
            <w:tcBorders>
              <w:tl2br w:val="nil"/>
              <w:tr2bl w:val="nil"/>
            </w:tcBorders>
            <w:noWrap/>
            <w:vAlign w:val="center"/>
          </w:tcPr>
          <w:p w14:paraId="726F3216">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37A7C916">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74F743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5EF4DD0F">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蠓科一种</w:t>
            </w:r>
            <w:r>
              <w:rPr>
                <w:rFonts w:hint="default" w:ascii="Times New Roman" w:hAnsi="Times New Roman" w:eastAsia="宋体"/>
                <w:i/>
                <w:iCs/>
                <w:color w:val="auto"/>
                <w:sz w:val="20"/>
                <w:szCs w:val="20"/>
                <w:lang w:bidi="ar"/>
              </w:rPr>
              <w:t>Ceratopogonidae</w:t>
            </w:r>
            <w:r>
              <w:rPr>
                <w:rFonts w:hint="default" w:ascii="Times New Roman" w:hAnsi="Times New Roman" w:eastAsia="宋体"/>
                <w:color w:val="auto"/>
                <w:sz w:val="20"/>
                <w:szCs w:val="20"/>
                <w:lang w:bidi="ar"/>
              </w:rPr>
              <w:t xml:space="preserve"> spp.</w:t>
            </w:r>
          </w:p>
        </w:tc>
        <w:tc>
          <w:tcPr>
            <w:tcW w:w="583" w:type="pct"/>
            <w:tcBorders>
              <w:tl2br w:val="nil"/>
              <w:tr2bl w:val="nil"/>
            </w:tcBorders>
            <w:noWrap/>
            <w:vAlign w:val="center"/>
          </w:tcPr>
          <w:p w14:paraId="6A109082">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37DDE65F">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r>
      <w:tr w14:paraId="598338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748DDCD4">
            <w:pPr>
              <w:keepNext w:val="0"/>
              <w:keepLines w:val="0"/>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摇蚊科Chironomidae</w:t>
            </w:r>
          </w:p>
        </w:tc>
        <w:tc>
          <w:tcPr>
            <w:tcW w:w="583" w:type="pct"/>
            <w:tcBorders>
              <w:tl2br w:val="nil"/>
              <w:tr2bl w:val="nil"/>
            </w:tcBorders>
            <w:noWrap/>
            <w:vAlign w:val="center"/>
          </w:tcPr>
          <w:p w14:paraId="335D533D">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792CA937">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787869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321CFE40">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斑摇蚊属一种</w:t>
            </w:r>
            <w:r>
              <w:rPr>
                <w:rFonts w:hint="default" w:ascii="Times New Roman" w:hAnsi="Times New Roman" w:eastAsia="宋体"/>
                <w:i/>
                <w:iCs/>
                <w:color w:val="auto"/>
                <w:sz w:val="20"/>
                <w:szCs w:val="20"/>
                <w:lang w:bidi="ar"/>
              </w:rPr>
              <w:t>Stictochironomus</w:t>
            </w:r>
            <w:r>
              <w:rPr>
                <w:rFonts w:hint="default" w:ascii="Times New Roman" w:hAnsi="Times New Roman" w:eastAsia="宋体"/>
                <w:color w:val="auto"/>
                <w:sz w:val="20"/>
                <w:szCs w:val="20"/>
                <w:lang w:bidi="ar"/>
              </w:rPr>
              <w:t xml:space="preserve"> sp.</w:t>
            </w:r>
          </w:p>
        </w:tc>
        <w:tc>
          <w:tcPr>
            <w:tcW w:w="583" w:type="pct"/>
            <w:tcBorders>
              <w:tl2br w:val="nil"/>
              <w:tr2bl w:val="nil"/>
            </w:tcBorders>
            <w:noWrap/>
            <w:vAlign w:val="center"/>
          </w:tcPr>
          <w:p w14:paraId="2A9EC8FB">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0C08291E">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r>
      <w:tr w14:paraId="7845DB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08577320">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多足摇蚊属一种</w:t>
            </w:r>
            <w:r>
              <w:rPr>
                <w:rFonts w:hint="default" w:ascii="Times New Roman" w:hAnsi="Times New Roman" w:eastAsia="宋体"/>
                <w:i/>
                <w:iCs/>
                <w:color w:val="auto"/>
                <w:sz w:val="20"/>
                <w:szCs w:val="20"/>
                <w:lang w:bidi="ar"/>
              </w:rPr>
              <w:t xml:space="preserve">Polypedilum </w:t>
            </w:r>
            <w:r>
              <w:rPr>
                <w:rFonts w:hint="default" w:ascii="Times New Roman" w:hAnsi="Times New Roman" w:eastAsia="宋体"/>
                <w:color w:val="auto"/>
                <w:sz w:val="20"/>
                <w:szCs w:val="20"/>
                <w:lang w:bidi="ar"/>
              </w:rPr>
              <w:t>sp.</w:t>
            </w:r>
          </w:p>
        </w:tc>
        <w:tc>
          <w:tcPr>
            <w:tcW w:w="583" w:type="pct"/>
            <w:tcBorders>
              <w:tl2br w:val="nil"/>
              <w:tr2bl w:val="nil"/>
            </w:tcBorders>
            <w:noWrap/>
            <w:vAlign w:val="center"/>
          </w:tcPr>
          <w:p w14:paraId="490EB833">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63DAB174">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r>
      <w:tr w14:paraId="6844EA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0845F78C">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哈摇蚊属一种</w:t>
            </w:r>
            <w:r>
              <w:rPr>
                <w:rFonts w:hint="default" w:ascii="Times New Roman" w:hAnsi="Times New Roman" w:eastAsia="宋体"/>
                <w:i/>
                <w:iCs/>
                <w:color w:val="auto"/>
                <w:sz w:val="20"/>
                <w:szCs w:val="20"/>
                <w:lang w:bidi="ar"/>
              </w:rPr>
              <w:t>Harnischia</w:t>
            </w:r>
            <w:r>
              <w:rPr>
                <w:rFonts w:hint="default" w:ascii="Times New Roman" w:hAnsi="Times New Roman" w:eastAsia="宋体"/>
                <w:color w:val="auto"/>
                <w:sz w:val="20"/>
                <w:szCs w:val="20"/>
                <w:lang w:bidi="ar"/>
              </w:rPr>
              <w:t xml:space="preserve"> sp.</w:t>
            </w:r>
          </w:p>
        </w:tc>
        <w:tc>
          <w:tcPr>
            <w:tcW w:w="583" w:type="pct"/>
            <w:tcBorders>
              <w:tl2br w:val="nil"/>
              <w:tr2bl w:val="nil"/>
            </w:tcBorders>
            <w:noWrap/>
            <w:vAlign w:val="center"/>
          </w:tcPr>
          <w:p w14:paraId="6A9725DA">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164423C8">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10E8CA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0DC4B031">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弯铗摇蚊属一种</w:t>
            </w:r>
            <w:r>
              <w:rPr>
                <w:rFonts w:hint="eastAsia"/>
                <w:color w:val="auto"/>
                <w:sz w:val="20"/>
                <w:szCs w:val="20"/>
                <w:lang w:eastAsia="zh-CN" w:bidi="ar"/>
              </w:rPr>
              <w:t>Cryptotendipes</w:t>
            </w:r>
            <w:r>
              <w:rPr>
                <w:rFonts w:hint="default" w:ascii="Times New Roman" w:hAnsi="Times New Roman" w:eastAsia="宋体"/>
                <w:color w:val="auto"/>
                <w:sz w:val="20"/>
                <w:szCs w:val="20"/>
                <w:lang w:bidi="ar"/>
              </w:rPr>
              <w:t xml:space="preserve"> sp.</w:t>
            </w:r>
          </w:p>
        </w:tc>
        <w:tc>
          <w:tcPr>
            <w:tcW w:w="583" w:type="pct"/>
            <w:tcBorders>
              <w:tl2br w:val="nil"/>
              <w:tr2bl w:val="nil"/>
            </w:tcBorders>
            <w:noWrap/>
            <w:vAlign w:val="center"/>
          </w:tcPr>
          <w:p w14:paraId="62ECA09C">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31B17E52">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715145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010B3BF6">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小摇蚊属一种</w:t>
            </w:r>
            <w:r>
              <w:rPr>
                <w:rFonts w:hint="default" w:ascii="Times New Roman" w:hAnsi="Times New Roman" w:eastAsia="宋体"/>
                <w:i/>
                <w:iCs/>
                <w:color w:val="auto"/>
                <w:sz w:val="20"/>
                <w:szCs w:val="20"/>
                <w:lang w:bidi="ar"/>
              </w:rPr>
              <w:t>Microchironomus</w:t>
            </w:r>
            <w:r>
              <w:rPr>
                <w:rFonts w:hint="default" w:ascii="Times New Roman" w:hAnsi="Times New Roman" w:eastAsia="宋体"/>
                <w:color w:val="auto"/>
                <w:sz w:val="20"/>
                <w:szCs w:val="20"/>
                <w:lang w:bidi="ar"/>
              </w:rPr>
              <w:t xml:space="preserve"> sp.</w:t>
            </w:r>
          </w:p>
        </w:tc>
        <w:tc>
          <w:tcPr>
            <w:tcW w:w="583" w:type="pct"/>
            <w:tcBorders>
              <w:tl2br w:val="nil"/>
              <w:tr2bl w:val="nil"/>
            </w:tcBorders>
            <w:noWrap/>
            <w:vAlign w:val="center"/>
          </w:tcPr>
          <w:p w14:paraId="11AFDE4F">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2C7C7B24">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r>
      <w:tr w14:paraId="04DE92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2A48056A">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摇蚊属一种</w:t>
            </w:r>
            <w:r>
              <w:rPr>
                <w:rFonts w:hint="default" w:ascii="Times New Roman" w:hAnsi="Times New Roman" w:eastAsia="宋体"/>
                <w:i/>
                <w:iCs/>
                <w:color w:val="auto"/>
                <w:sz w:val="20"/>
                <w:szCs w:val="20"/>
                <w:lang w:bidi="ar"/>
              </w:rPr>
              <w:t>Chironomus</w:t>
            </w:r>
            <w:r>
              <w:rPr>
                <w:rFonts w:hint="default" w:ascii="Times New Roman" w:hAnsi="Times New Roman" w:eastAsia="宋体"/>
                <w:color w:val="auto"/>
                <w:sz w:val="20"/>
                <w:szCs w:val="20"/>
                <w:lang w:bidi="ar"/>
              </w:rPr>
              <w:t xml:space="preserve"> sp.</w:t>
            </w:r>
          </w:p>
        </w:tc>
        <w:tc>
          <w:tcPr>
            <w:tcW w:w="583" w:type="pct"/>
            <w:tcBorders>
              <w:tl2br w:val="nil"/>
              <w:tr2bl w:val="nil"/>
            </w:tcBorders>
            <w:noWrap/>
            <w:vAlign w:val="center"/>
          </w:tcPr>
          <w:p w14:paraId="05E4FC22">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42FC6B03">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35C25F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176C0C1F">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隐摇蚊属一种</w:t>
            </w:r>
            <w:r>
              <w:rPr>
                <w:rFonts w:hint="default" w:ascii="Times New Roman" w:hAnsi="Times New Roman" w:eastAsia="宋体"/>
                <w:i/>
                <w:iCs/>
                <w:color w:val="auto"/>
                <w:sz w:val="20"/>
                <w:szCs w:val="20"/>
                <w:lang w:bidi="ar"/>
              </w:rPr>
              <w:t>Cryptochironomus</w:t>
            </w:r>
            <w:r>
              <w:rPr>
                <w:rFonts w:hint="default" w:ascii="Times New Roman" w:hAnsi="Times New Roman" w:eastAsia="宋体"/>
                <w:color w:val="auto"/>
                <w:sz w:val="20"/>
                <w:szCs w:val="20"/>
                <w:lang w:bidi="ar"/>
              </w:rPr>
              <w:t xml:space="preserve"> sp.</w:t>
            </w:r>
          </w:p>
        </w:tc>
        <w:tc>
          <w:tcPr>
            <w:tcW w:w="583" w:type="pct"/>
            <w:tcBorders>
              <w:tl2br w:val="nil"/>
              <w:tr2bl w:val="nil"/>
            </w:tcBorders>
            <w:noWrap/>
            <w:vAlign w:val="center"/>
          </w:tcPr>
          <w:p w14:paraId="638BB975">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155E1786">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r>
      <w:tr w14:paraId="6A9F52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1918E2D3">
            <w:pPr>
              <w:keepNext w:val="0"/>
              <w:keepLines w:val="0"/>
              <w:suppressLineNumbers w:val="0"/>
              <w:spacing w:before="0" w:beforeAutospacing="0" w:after="0" w:afterAutospacing="0" w:line="240" w:lineRule="auto"/>
              <w:ind w:left="0" w:right="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软体动物门Mollusca</w:t>
            </w:r>
          </w:p>
        </w:tc>
        <w:tc>
          <w:tcPr>
            <w:tcW w:w="583" w:type="pct"/>
            <w:tcBorders>
              <w:tl2br w:val="nil"/>
              <w:tr2bl w:val="nil"/>
            </w:tcBorders>
            <w:noWrap/>
            <w:vAlign w:val="center"/>
          </w:tcPr>
          <w:p w14:paraId="388D01A7">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050FB256">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3F2C6C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2246E744">
            <w:pPr>
              <w:keepNext w:val="0"/>
              <w:keepLines w:val="0"/>
              <w:suppressLineNumbers w:val="0"/>
              <w:spacing w:before="0" w:beforeAutospacing="0" w:after="0" w:afterAutospacing="0" w:line="240" w:lineRule="auto"/>
              <w:ind w:left="0" w:right="0" w:firstLine="200" w:firstLineChars="1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瓣鳃纲Lamellibranchia</w:t>
            </w:r>
          </w:p>
        </w:tc>
        <w:tc>
          <w:tcPr>
            <w:tcW w:w="583" w:type="pct"/>
            <w:tcBorders>
              <w:tl2br w:val="nil"/>
              <w:tr2bl w:val="nil"/>
            </w:tcBorders>
            <w:noWrap/>
            <w:vAlign w:val="center"/>
          </w:tcPr>
          <w:p w14:paraId="25E555D2">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00348B0F">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083844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68E9E323">
            <w:pPr>
              <w:keepNext w:val="0"/>
              <w:keepLines w:val="0"/>
              <w:suppressLineNumbers w:val="0"/>
              <w:spacing w:before="0" w:beforeAutospacing="0" w:after="0" w:afterAutospacing="0" w:line="240" w:lineRule="auto"/>
              <w:ind w:left="0" w:right="0" w:firstLine="400" w:firstLineChars="2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真瓣鳃目Eulamellibranchia</w:t>
            </w:r>
          </w:p>
        </w:tc>
        <w:tc>
          <w:tcPr>
            <w:tcW w:w="583" w:type="pct"/>
            <w:tcBorders>
              <w:tl2br w:val="nil"/>
              <w:tr2bl w:val="nil"/>
            </w:tcBorders>
            <w:noWrap/>
            <w:vAlign w:val="center"/>
          </w:tcPr>
          <w:p w14:paraId="226779B4">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5CA13170">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2A6C2A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6B7E995A">
            <w:pPr>
              <w:keepNext w:val="0"/>
              <w:keepLines w:val="0"/>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蚬科Corbiculidae</w:t>
            </w:r>
          </w:p>
        </w:tc>
        <w:tc>
          <w:tcPr>
            <w:tcW w:w="583" w:type="pct"/>
            <w:tcBorders>
              <w:tl2br w:val="nil"/>
              <w:tr2bl w:val="nil"/>
            </w:tcBorders>
            <w:noWrap/>
            <w:vAlign w:val="center"/>
          </w:tcPr>
          <w:p w14:paraId="5EDF69E1">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0B7E80CD">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7C7B52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49C7968B">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蚬属一种</w:t>
            </w:r>
            <w:r>
              <w:rPr>
                <w:rFonts w:hint="default" w:ascii="Times New Roman" w:hAnsi="Times New Roman" w:eastAsia="宋体"/>
                <w:i/>
                <w:iCs/>
                <w:color w:val="auto"/>
                <w:sz w:val="20"/>
                <w:szCs w:val="20"/>
                <w:lang w:bidi="ar"/>
              </w:rPr>
              <w:t>Corbicula</w:t>
            </w:r>
            <w:r>
              <w:rPr>
                <w:rFonts w:hint="default" w:ascii="Times New Roman" w:hAnsi="Times New Roman" w:eastAsia="宋体"/>
                <w:color w:val="auto"/>
                <w:sz w:val="20"/>
                <w:szCs w:val="20"/>
                <w:lang w:bidi="ar"/>
              </w:rPr>
              <w:t xml:space="preserve"> sp.</w:t>
            </w:r>
          </w:p>
        </w:tc>
        <w:tc>
          <w:tcPr>
            <w:tcW w:w="583" w:type="pct"/>
            <w:tcBorders>
              <w:tl2br w:val="nil"/>
              <w:tr2bl w:val="nil"/>
            </w:tcBorders>
            <w:noWrap/>
            <w:vAlign w:val="center"/>
          </w:tcPr>
          <w:p w14:paraId="4B89BD9D">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6843A5B2">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r>
      <w:tr w14:paraId="4F4EC4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741F9850">
            <w:pPr>
              <w:keepNext w:val="0"/>
              <w:keepLines w:val="0"/>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截蛏科Solecuridae</w:t>
            </w:r>
          </w:p>
        </w:tc>
        <w:tc>
          <w:tcPr>
            <w:tcW w:w="583" w:type="pct"/>
            <w:tcBorders>
              <w:tl2br w:val="nil"/>
              <w:tr2bl w:val="nil"/>
            </w:tcBorders>
            <w:noWrap/>
            <w:vAlign w:val="center"/>
          </w:tcPr>
          <w:p w14:paraId="16A0F24B">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5B80AB26">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427CDB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1D485709">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中国淡水蛏</w:t>
            </w:r>
            <w:r>
              <w:rPr>
                <w:rFonts w:hint="default" w:ascii="Times New Roman" w:hAnsi="Times New Roman" w:eastAsia="宋体"/>
                <w:i/>
                <w:iCs/>
                <w:color w:val="auto"/>
                <w:sz w:val="20"/>
                <w:szCs w:val="20"/>
                <w:lang w:bidi="ar"/>
              </w:rPr>
              <w:t>Novaculina chinensis</w:t>
            </w:r>
          </w:p>
        </w:tc>
        <w:tc>
          <w:tcPr>
            <w:tcW w:w="583" w:type="pct"/>
            <w:tcBorders>
              <w:tl2br w:val="nil"/>
              <w:tr2bl w:val="nil"/>
            </w:tcBorders>
            <w:noWrap/>
            <w:vAlign w:val="center"/>
          </w:tcPr>
          <w:p w14:paraId="0B8EA9DD">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688CE025">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041B53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6326468B">
            <w:pPr>
              <w:keepNext w:val="0"/>
              <w:keepLines w:val="0"/>
              <w:suppressLineNumbers w:val="0"/>
              <w:spacing w:before="0" w:beforeAutospacing="0" w:after="0" w:afterAutospacing="0" w:line="240" w:lineRule="auto"/>
              <w:ind w:left="0" w:right="0" w:firstLine="200" w:firstLineChars="1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腹足纲Gastropoda</w:t>
            </w:r>
          </w:p>
        </w:tc>
        <w:tc>
          <w:tcPr>
            <w:tcW w:w="583" w:type="pct"/>
            <w:tcBorders>
              <w:tl2br w:val="nil"/>
              <w:tr2bl w:val="nil"/>
            </w:tcBorders>
            <w:noWrap/>
            <w:vAlign w:val="center"/>
          </w:tcPr>
          <w:p w14:paraId="34D6068A">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06CE7EDC">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5402E5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69793458">
            <w:pPr>
              <w:keepNext w:val="0"/>
              <w:keepLines w:val="0"/>
              <w:suppressLineNumbers w:val="0"/>
              <w:spacing w:before="0" w:beforeAutospacing="0" w:after="0" w:afterAutospacing="0" w:line="240" w:lineRule="auto"/>
              <w:ind w:left="0" w:right="0" w:firstLine="400" w:firstLineChars="2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中腹足目Mesogastropoda</w:t>
            </w:r>
          </w:p>
        </w:tc>
        <w:tc>
          <w:tcPr>
            <w:tcW w:w="583" w:type="pct"/>
            <w:tcBorders>
              <w:tl2br w:val="nil"/>
              <w:tr2bl w:val="nil"/>
            </w:tcBorders>
            <w:noWrap/>
            <w:vAlign w:val="center"/>
          </w:tcPr>
          <w:p w14:paraId="3342600E">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56C36544">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43B0F4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3AC8D62D">
            <w:pPr>
              <w:keepNext w:val="0"/>
              <w:keepLines w:val="0"/>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豆螺科Bithyniidae</w:t>
            </w:r>
          </w:p>
        </w:tc>
        <w:tc>
          <w:tcPr>
            <w:tcW w:w="583" w:type="pct"/>
            <w:tcBorders>
              <w:tl2br w:val="nil"/>
              <w:tr2bl w:val="nil"/>
            </w:tcBorders>
            <w:noWrap/>
            <w:vAlign w:val="center"/>
          </w:tcPr>
          <w:p w14:paraId="3A5F35D3">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04F093EE">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4145D3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184C7D7B">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大沼螺</w:t>
            </w:r>
            <w:r>
              <w:rPr>
                <w:rFonts w:hint="default" w:ascii="Times New Roman" w:hAnsi="Times New Roman" w:eastAsia="宋体"/>
                <w:i/>
                <w:iCs/>
                <w:color w:val="auto"/>
                <w:sz w:val="20"/>
                <w:szCs w:val="20"/>
                <w:lang w:bidi="ar"/>
              </w:rPr>
              <w:t>Parafossarulus eximius</w:t>
            </w:r>
          </w:p>
        </w:tc>
        <w:tc>
          <w:tcPr>
            <w:tcW w:w="583" w:type="pct"/>
            <w:tcBorders>
              <w:tl2br w:val="nil"/>
              <w:tr2bl w:val="nil"/>
            </w:tcBorders>
            <w:noWrap/>
            <w:vAlign w:val="center"/>
          </w:tcPr>
          <w:p w14:paraId="1C177269">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495BBFC2">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28D60B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832" w:type="pct"/>
            <w:tcBorders>
              <w:tl2br w:val="nil"/>
              <w:tr2bl w:val="nil"/>
            </w:tcBorders>
            <w:noWrap/>
            <w:vAlign w:val="center"/>
          </w:tcPr>
          <w:p w14:paraId="1CA03000">
            <w:pPr>
              <w:keepNext w:val="0"/>
              <w:keepLines w:val="0"/>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田螺科Viviparidae</w:t>
            </w:r>
          </w:p>
        </w:tc>
        <w:tc>
          <w:tcPr>
            <w:tcW w:w="583" w:type="pct"/>
            <w:tcBorders>
              <w:tl2br w:val="nil"/>
              <w:tr2bl w:val="nil"/>
            </w:tcBorders>
            <w:noWrap/>
            <w:vAlign w:val="center"/>
          </w:tcPr>
          <w:p w14:paraId="4384A50C">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c>
          <w:tcPr>
            <w:tcW w:w="583" w:type="pct"/>
            <w:tcBorders>
              <w:tl2br w:val="nil"/>
              <w:tr2bl w:val="nil"/>
            </w:tcBorders>
            <w:noWrap/>
            <w:vAlign w:val="center"/>
          </w:tcPr>
          <w:p w14:paraId="4A74A0D6">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0"/>
                <w:szCs w:val="20"/>
              </w:rPr>
            </w:pPr>
          </w:p>
        </w:tc>
      </w:tr>
      <w:tr w14:paraId="06F871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3832" w:type="pct"/>
            <w:tcBorders>
              <w:tl2br w:val="nil"/>
              <w:tr2bl w:val="nil"/>
            </w:tcBorders>
            <w:noWrap/>
            <w:vAlign w:val="center"/>
          </w:tcPr>
          <w:p w14:paraId="0E00DB54">
            <w:pPr>
              <w:keepNext w:val="0"/>
              <w:keepLines w:val="0"/>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sz w:val="20"/>
                <w:szCs w:val="20"/>
              </w:rPr>
            </w:pPr>
            <w:r>
              <w:rPr>
                <w:rFonts w:hint="default" w:ascii="Times New Roman" w:hAnsi="Times New Roman" w:eastAsia="宋体"/>
                <w:color w:val="auto"/>
                <w:sz w:val="20"/>
                <w:szCs w:val="20"/>
                <w:lang w:bidi="ar"/>
              </w:rPr>
              <w:t>石田螺属一种</w:t>
            </w:r>
            <w:r>
              <w:rPr>
                <w:rFonts w:hint="default" w:ascii="Times New Roman" w:hAnsi="Times New Roman" w:eastAsia="宋体"/>
                <w:i/>
                <w:iCs/>
                <w:color w:val="auto"/>
                <w:sz w:val="20"/>
                <w:szCs w:val="20"/>
                <w:lang w:bidi="ar"/>
              </w:rPr>
              <w:t>Sinotaia</w:t>
            </w:r>
            <w:r>
              <w:rPr>
                <w:rFonts w:hint="default" w:ascii="Times New Roman" w:hAnsi="Times New Roman" w:eastAsia="宋体"/>
                <w:color w:val="auto"/>
                <w:sz w:val="20"/>
                <w:szCs w:val="20"/>
                <w:lang w:bidi="ar"/>
              </w:rPr>
              <w:t xml:space="preserve"> sp.</w:t>
            </w:r>
          </w:p>
        </w:tc>
        <w:tc>
          <w:tcPr>
            <w:tcW w:w="583" w:type="pct"/>
            <w:tcBorders>
              <w:tl2br w:val="nil"/>
              <w:tr2bl w:val="nil"/>
            </w:tcBorders>
            <w:noWrap/>
            <w:vAlign w:val="center"/>
          </w:tcPr>
          <w:p w14:paraId="1391CDCA">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c>
          <w:tcPr>
            <w:tcW w:w="583" w:type="pct"/>
            <w:tcBorders>
              <w:tl2br w:val="nil"/>
              <w:tr2bl w:val="nil"/>
            </w:tcBorders>
            <w:noWrap/>
            <w:vAlign w:val="center"/>
          </w:tcPr>
          <w:p w14:paraId="473B3560">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0"/>
                <w:szCs w:val="20"/>
              </w:rPr>
            </w:pPr>
            <w:r>
              <w:rPr>
                <w:rFonts w:hint="default" w:ascii="Times New Roman" w:hAnsi="Times New Roman" w:eastAsia="宋体"/>
                <w:b/>
                <w:bCs/>
                <w:color w:val="auto"/>
                <w:sz w:val="20"/>
                <w:szCs w:val="20"/>
                <w:lang w:bidi="ar"/>
              </w:rPr>
              <w:t>+</w:t>
            </w:r>
          </w:p>
        </w:tc>
      </w:tr>
      <w:bookmarkEnd w:id="116"/>
    </w:tbl>
    <w:p w14:paraId="7642DA73">
      <w:pPr>
        <w:spacing w:line="360" w:lineRule="auto"/>
        <w:rPr>
          <w:rFonts w:ascii="Times New Roman" w:hAnsi="Times New Roman" w:eastAsia="宋体"/>
          <w:b/>
          <w:bCs/>
          <w:color w:val="auto"/>
          <w:sz w:val="21"/>
          <w:szCs w:val="18"/>
        </w:rPr>
      </w:pPr>
      <w:r>
        <w:rPr>
          <w:rFonts w:ascii="Times New Roman" w:hAnsi="Times New Roman" w:eastAsia="宋体"/>
          <w:b/>
          <w:bCs/>
          <w:color w:val="auto"/>
          <w:sz w:val="21"/>
          <w:szCs w:val="18"/>
        </w:rPr>
        <w:t>注：“+”代表存在该物种。</w:t>
      </w:r>
    </w:p>
    <w:p w14:paraId="22400CB0">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(1)繁殖期</w:t>
      </w:r>
    </w:p>
    <w:p w14:paraId="43A1A1A6">
      <w:pPr>
        <w:widowControl/>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1"/>
          <w:lang w:bidi="ar"/>
        </w:rPr>
        <w:t>保护区共鉴定底栖动物3门5纲5目8科20种(属)。从物种组成来看，环节动物门共2纲2目3科9种(属)，占底栖动物总物种数的45.0%；软体动物门共2纲2目4科4种(属)，占比为20.0%；节肢动物门1纲1目1科7种(属)，占比为35.0%。</w:t>
      </w:r>
    </w:p>
    <w:p w14:paraId="7FB19723">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(2)索饵期</w:t>
      </w:r>
    </w:p>
    <w:p w14:paraId="36990DB3">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保护区共鉴定底栖动物3门4纲4目5科12种(属)。从物种组成来看，环节动物门共1纲1目1科5种(属)，占底栖动物总物种数的41.7%；软体动物门共2纲2目2科2种(属)，占比为16.6%；节肢动物门1纲1目2科5种(属)，占比为41.7%。</w:t>
      </w:r>
    </w:p>
    <w:p w14:paraId="4B00CFC9">
      <w:pPr>
        <w:spacing w:line="240" w:lineRule="auto"/>
        <w:jc w:val="center"/>
        <w:rPr>
          <w:rFonts w:ascii="Times New Roman" w:hAnsi="Times New Roman" w:eastAsia="宋体"/>
          <w:color w:val="auto"/>
          <w:sz w:val="24"/>
          <w:szCs w:val="28"/>
        </w:rPr>
      </w:pPr>
      <w:r>
        <w:rPr>
          <w:rFonts w:ascii="Times New Roman" w:hAnsi="Times New Roman" w:eastAsia="宋体"/>
          <w:color w:val="auto"/>
          <w:sz w:val="24"/>
          <w:szCs w:val="22"/>
        </w:rPr>
        <w:drawing>
          <wp:inline distT="0" distB="0" distL="114300" distR="114300">
            <wp:extent cx="4843780" cy="2770505"/>
            <wp:effectExtent l="0" t="0" r="13970" b="10795"/>
            <wp:docPr id="32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56"/>
                    <pic:cNvPicPr>
                      <a:picLocks noChangeAspect="1"/>
                    </pic:cNvPicPr>
                  </pic:nvPicPr>
                  <pic:blipFill>
                    <a:blip r:embed="rId123"/>
                    <a:stretch>
                      <a:fillRect/>
                    </a:stretch>
                  </pic:blipFill>
                  <pic:spPr>
                    <a:xfrm>
                      <a:off x="0" y="0"/>
                      <a:ext cx="4843780" cy="2770505"/>
                    </a:xfrm>
                    <a:prstGeom prst="rect">
                      <a:avLst/>
                    </a:prstGeom>
                    <a:noFill/>
                    <a:ln>
                      <a:noFill/>
                    </a:ln>
                  </pic:spPr>
                </pic:pic>
              </a:graphicData>
            </a:graphic>
          </wp:inline>
        </w:drawing>
      </w:r>
    </w:p>
    <w:p w14:paraId="33F33CEC">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-28</w:t>
      </w:r>
      <w:r>
        <w:rPr>
          <w:rFonts w:ascii="Times New Roman" w:hAnsi="Times New Roman" w:eastAsia="黑体" w:cs="Times New Roman"/>
          <w:color w:val="auto"/>
          <w:sz w:val="24"/>
          <w:szCs w:val="21"/>
        </w:rPr>
        <w:t xml:space="preserve">  2023年度保护区调查水域底栖动物物种时间特征</w:t>
      </w:r>
    </w:p>
    <w:p w14:paraId="1EC7CD94">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4.2.5.13 .2 群落优势种</w:t>
      </w:r>
    </w:p>
    <w:p w14:paraId="0AFCFFBC">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优势度指数Y&gt;0.02即定为优势种。</w:t>
      </w:r>
    </w:p>
    <w:p w14:paraId="4D71688A">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2023年</w:t>
      </w:r>
      <w:r>
        <w:rPr>
          <w:rFonts w:hint="eastAsia" w:ascii="Times New Roman" w:hAnsi="Times New Roman" w:eastAsia="宋体"/>
          <w:color w:val="auto"/>
          <w:sz w:val="24"/>
          <w:szCs w:val="24"/>
          <w:lang w:bidi="ar"/>
        </w:rPr>
        <w:t>调查</w:t>
      </w:r>
      <w:r>
        <w:rPr>
          <w:rFonts w:ascii="Times New Roman" w:hAnsi="Times New Roman" w:eastAsia="宋体"/>
          <w:color w:val="auto"/>
          <w:sz w:val="24"/>
          <w:szCs w:val="24"/>
          <w:lang w:bidi="ar"/>
        </w:rPr>
        <w:t>结果显示，保护区底栖动物优势种共6种(属)，分别为石田螺属一种(</w:t>
      </w:r>
      <w:r>
        <w:rPr>
          <w:rFonts w:ascii="Times New Roman" w:hAnsi="Times New Roman" w:eastAsia="宋体"/>
          <w:i/>
          <w:iCs/>
          <w:color w:val="auto"/>
          <w:sz w:val="24"/>
          <w:szCs w:val="24"/>
          <w:lang w:bidi="ar"/>
        </w:rPr>
        <w:t xml:space="preserve">Sinotaia </w:t>
      </w:r>
      <w:r>
        <w:rPr>
          <w:rFonts w:ascii="Times New Roman" w:hAnsi="Times New Roman" w:eastAsia="宋体"/>
          <w:color w:val="auto"/>
          <w:sz w:val="24"/>
          <w:szCs w:val="24"/>
          <w:lang w:bidi="ar"/>
        </w:rPr>
        <w:t>sp.)、水丝蚓属一种(</w:t>
      </w:r>
      <w:r>
        <w:rPr>
          <w:rFonts w:ascii="Times New Roman" w:hAnsi="Times New Roman" w:eastAsia="宋体"/>
          <w:i/>
          <w:iCs/>
          <w:color w:val="auto"/>
          <w:sz w:val="24"/>
          <w:szCs w:val="24"/>
          <w:lang w:bidi="ar"/>
        </w:rPr>
        <w:t>Limnodrilus</w:t>
      </w:r>
      <w:r>
        <w:rPr>
          <w:rFonts w:ascii="Times New Roman" w:hAnsi="Times New Roman" w:eastAsia="宋体"/>
          <w:color w:val="auto"/>
          <w:sz w:val="24"/>
          <w:szCs w:val="24"/>
          <w:lang w:bidi="ar"/>
        </w:rPr>
        <w:t xml:space="preserve"> sp.)、克拉泊水丝蚓(</w:t>
      </w:r>
      <w:r>
        <w:rPr>
          <w:rFonts w:ascii="Times New Roman" w:hAnsi="Times New Roman" w:eastAsia="宋体"/>
          <w:i/>
          <w:iCs/>
          <w:color w:val="auto"/>
          <w:sz w:val="24"/>
          <w:szCs w:val="24"/>
          <w:lang w:bidi="ar"/>
        </w:rPr>
        <w:t>Limnodrilus claparedeianus</w:t>
      </w:r>
      <w:r>
        <w:rPr>
          <w:rFonts w:ascii="Times New Roman" w:hAnsi="Times New Roman" w:eastAsia="宋体"/>
          <w:color w:val="auto"/>
          <w:sz w:val="24"/>
          <w:szCs w:val="24"/>
          <w:lang w:bidi="ar"/>
        </w:rPr>
        <w:t>)、苏氏尾鳃蚓(</w:t>
      </w:r>
      <w:r>
        <w:rPr>
          <w:rFonts w:ascii="Times New Roman" w:hAnsi="Times New Roman" w:eastAsia="宋体"/>
          <w:i/>
          <w:iCs/>
          <w:color w:val="auto"/>
          <w:sz w:val="24"/>
          <w:szCs w:val="24"/>
          <w:lang w:bidi="ar"/>
        </w:rPr>
        <w:t>Branchiura sowerbyi</w:t>
      </w:r>
      <w:r>
        <w:rPr>
          <w:rFonts w:ascii="Times New Roman" w:hAnsi="Times New Roman" w:eastAsia="宋体"/>
          <w:color w:val="auto"/>
          <w:sz w:val="24"/>
          <w:szCs w:val="24"/>
          <w:lang w:bidi="ar"/>
        </w:rPr>
        <w:t>)、蚬属一种(</w:t>
      </w:r>
      <w:r>
        <w:rPr>
          <w:rFonts w:ascii="Times New Roman" w:hAnsi="Times New Roman" w:eastAsia="宋体"/>
          <w:i/>
          <w:iCs/>
          <w:color w:val="auto"/>
          <w:sz w:val="24"/>
          <w:szCs w:val="24"/>
          <w:lang w:bidi="ar"/>
        </w:rPr>
        <w:t>Corbicula</w:t>
      </w:r>
      <w:r>
        <w:rPr>
          <w:rFonts w:ascii="Times New Roman" w:hAnsi="Times New Roman" w:eastAsia="宋体"/>
          <w:color w:val="auto"/>
          <w:sz w:val="24"/>
          <w:szCs w:val="24"/>
          <w:lang w:bidi="ar"/>
        </w:rPr>
        <w:t xml:space="preserve"> sp.)、巨毛水丝蚓(</w:t>
      </w:r>
      <w:r>
        <w:rPr>
          <w:rFonts w:ascii="Times New Roman" w:hAnsi="Times New Roman" w:eastAsia="宋体"/>
          <w:i/>
          <w:iCs/>
          <w:color w:val="auto"/>
          <w:sz w:val="24"/>
          <w:szCs w:val="24"/>
          <w:lang w:bidi="ar"/>
        </w:rPr>
        <w:t>Limnodrilus grandisetosus</w:t>
      </w:r>
      <w:r>
        <w:rPr>
          <w:rFonts w:ascii="Times New Roman" w:hAnsi="Times New Roman" w:eastAsia="宋体"/>
          <w:color w:val="auto"/>
          <w:sz w:val="24"/>
          <w:szCs w:val="24"/>
          <w:lang w:bidi="ar"/>
        </w:rPr>
        <w:t>)，其优势度分别为0.0890、0.0877、0.0636、0.0583、0.0368、0.0329</w:t>
      </w:r>
      <w:r>
        <w:rPr>
          <w:rFonts w:ascii="Times New Roman" w:hAnsi="Times New Roman" w:eastAsia="宋体"/>
          <w:color w:val="auto"/>
          <w:sz w:val="24"/>
          <w:szCs w:val="21"/>
          <w:lang w:bidi="ar"/>
        </w:rPr>
        <w:t>。</w:t>
      </w:r>
    </w:p>
    <w:p w14:paraId="5B247597">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(1)繁殖期</w:t>
      </w:r>
    </w:p>
    <w:p w14:paraId="5EFDA54C">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保护区底栖动物优势种共7种(属)，分别为克拉泊水丝蚓(</w:t>
      </w:r>
      <w:r>
        <w:rPr>
          <w:rFonts w:ascii="Times New Roman" w:hAnsi="Times New Roman" w:eastAsia="宋体"/>
          <w:i/>
          <w:iCs/>
          <w:color w:val="auto"/>
          <w:sz w:val="24"/>
          <w:szCs w:val="24"/>
          <w:lang w:bidi="ar"/>
        </w:rPr>
        <w:t>Limnodrilus claparedeianus</w:t>
      </w:r>
      <w:r>
        <w:rPr>
          <w:rFonts w:ascii="Times New Roman" w:hAnsi="Times New Roman" w:eastAsia="宋体"/>
          <w:color w:val="auto"/>
          <w:sz w:val="24"/>
          <w:szCs w:val="24"/>
          <w:lang w:bidi="ar"/>
        </w:rPr>
        <w:t>)、巨毛水丝蚓(</w:t>
      </w:r>
      <w:r>
        <w:rPr>
          <w:rFonts w:ascii="Times New Roman" w:hAnsi="Times New Roman" w:eastAsia="宋体"/>
          <w:i/>
          <w:iCs/>
          <w:color w:val="auto"/>
          <w:sz w:val="24"/>
          <w:szCs w:val="24"/>
          <w:lang w:bidi="ar"/>
        </w:rPr>
        <w:t>Limnodrilus grandisetosus</w:t>
      </w:r>
      <w:r>
        <w:rPr>
          <w:rFonts w:ascii="Times New Roman" w:hAnsi="Times New Roman" w:eastAsia="宋体"/>
          <w:color w:val="auto"/>
          <w:sz w:val="24"/>
          <w:szCs w:val="24"/>
          <w:lang w:bidi="ar"/>
        </w:rPr>
        <w:t>)、水丝蚓属一种(</w:t>
      </w:r>
      <w:r>
        <w:rPr>
          <w:rFonts w:ascii="Times New Roman" w:hAnsi="Times New Roman" w:eastAsia="宋体"/>
          <w:i/>
          <w:iCs/>
          <w:color w:val="auto"/>
          <w:sz w:val="24"/>
          <w:szCs w:val="24"/>
          <w:lang w:bidi="ar"/>
        </w:rPr>
        <w:t>Limnodrilus</w:t>
      </w:r>
      <w:r>
        <w:rPr>
          <w:rFonts w:ascii="Times New Roman" w:hAnsi="Times New Roman" w:eastAsia="宋体"/>
          <w:color w:val="auto"/>
          <w:sz w:val="24"/>
          <w:szCs w:val="24"/>
          <w:lang w:bidi="ar"/>
        </w:rPr>
        <w:t xml:space="preserve"> sp.)、石田螺属一种(</w:t>
      </w:r>
      <w:r>
        <w:rPr>
          <w:rFonts w:ascii="Times New Roman" w:hAnsi="Times New Roman" w:eastAsia="宋体"/>
          <w:i/>
          <w:iCs/>
          <w:color w:val="auto"/>
          <w:sz w:val="24"/>
          <w:szCs w:val="24"/>
          <w:lang w:bidi="ar"/>
        </w:rPr>
        <w:t>Sinotaia</w:t>
      </w:r>
      <w:r>
        <w:rPr>
          <w:rFonts w:ascii="Times New Roman" w:hAnsi="Times New Roman" w:eastAsia="宋体"/>
          <w:color w:val="auto"/>
          <w:sz w:val="24"/>
          <w:szCs w:val="24"/>
          <w:lang w:bidi="ar"/>
        </w:rPr>
        <w:t xml:space="preserve"> sp.)、蚬属一种(</w:t>
      </w:r>
      <w:r>
        <w:rPr>
          <w:rFonts w:ascii="Times New Roman" w:hAnsi="Times New Roman" w:eastAsia="宋体"/>
          <w:i/>
          <w:iCs/>
          <w:color w:val="auto"/>
          <w:sz w:val="24"/>
          <w:szCs w:val="24"/>
          <w:lang w:bidi="ar"/>
        </w:rPr>
        <w:t>Corbicula</w:t>
      </w:r>
      <w:r>
        <w:rPr>
          <w:rFonts w:ascii="Times New Roman" w:hAnsi="Times New Roman" w:eastAsia="宋体"/>
          <w:color w:val="auto"/>
          <w:sz w:val="24"/>
          <w:szCs w:val="24"/>
          <w:lang w:bidi="ar"/>
        </w:rPr>
        <w:t xml:space="preserve"> sp.)、苏氏尾鳃蚓(</w:t>
      </w:r>
      <w:r>
        <w:rPr>
          <w:rFonts w:ascii="Times New Roman" w:hAnsi="Times New Roman" w:eastAsia="宋体"/>
          <w:i/>
          <w:iCs/>
          <w:color w:val="auto"/>
          <w:sz w:val="24"/>
          <w:szCs w:val="24"/>
          <w:lang w:bidi="ar"/>
        </w:rPr>
        <w:t>Branchiura sowerbyi</w:t>
      </w:r>
      <w:r>
        <w:rPr>
          <w:rFonts w:ascii="Times New Roman" w:hAnsi="Times New Roman" w:eastAsia="宋体"/>
          <w:color w:val="auto"/>
          <w:sz w:val="24"/>
          <w:szCs w:val="24"/>
          <w:lang w:bidi="ar"/>
        </w:rPr>
        <w:t>)、霍甫水丝蚓(</w:t>
      </w:r>
      <w:r>
        <w:rPr>
          <w:rFonts w:ascii="Times New Roman" w:hAnsi="Times New Roman" w:eastAsia="宋体"/>
          <w:i/>
          <w:iCs/>
          <w:color w:val="auto"/>
          <w:sz w:val="24"/>
          <w:szCs w:val="24"/>
          <w:lang w:bidi="ar"/>
        </w:rPr>
        <w:t>Limnodrilus hoffmeisteri</w:t>
      </w:r>
      <w:r>
        <w:rPr>
          <w:rFonts w:ascii="Times New Roman" w:hAnsi="Times New Roman" w:eastAsia="宋体"/>
          <w:color w:val="auto"/>
          <w:sz w:val="24"/>
          <w:szCs w:val="24"/>
          <w:lang w:bidi="ar"/>
        </w:rPr>
        <w:t>)，其优势度分别为0.144、0.0747、0.0667、0.0640、0.0587、0.0520、0.0213</w:t>
      </w:r>
      <w:r>
        <w:rPr>
          <w:rFonts w:ascii="Times New Roman" w:hAnsi="Times New Roman" w:eastAsia="宋体"/>
          <w:color w:val="auto"/>
          <w:sz w:val="24"/>
          <w:szCs w:val="21"/>
          <w:lang w:bidi="ar"/>
        </w:rPr>
        <w:t>。</w:t>
      </w:r>
    </w:p>
    <w:p w14:paraId="4BC827CC">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(2)索饵期</w:t>
      </w:r>
    </w:p>
    <w:p w14:paraId="57DD5480">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保护区底栖动物优势种共6种(属)，分别为石田螺属一种(</w:t>
      </w:r>
      <w:r>
        <w:rPr>
          <w:rFonts w:ascii="Times New Roman" w:hAnsi="Times New Roman" w:eastAsia="宋体"/>
          <w:i/>
          <w:iCs/>
          <w:color w:val="auto"/>
          <w:sz w:val="24"/>
          <w:szCs w:val="24"/>
          <w:lang w:bidi="ar"/>
        </w:rPr>
        <w:t>Sinotaia</w:t>
      </w:r>
      <w:r>
        <w:rPr>
          <w:rFonts w:ascii="Times New Roman" w:hAnsi="Times New Roman" w:eastAsia="宋体"/>
          <w:color w:val="auto"/>
          <w:sz w:val="24"/>
          <w:szCs w:val="24"/>
          <w:lang w:bidi="ar"/>
        </w:rPr>
        <w:t xml:space="preserve"> sp.)、水丝蚓属一种(</w:t>
      </w:r>
      <w:r>
        <w:rPr>
          <w:rFonts w:ascii="Times New Roman" w:hAnsi="Times New Roman" w:eastAsia="宋体"/>
          <w:i/>
          <w:iCs/>
          <w:color w:val="auto"/>
          <w:sz w:val="24"/>
          <w:szCs w:val="24"/>
          <w:lang w:bidi="ar"/>
        </w:rPr>
        <w:t>Limnodrilus</w:t>
      </w:r>
      <w:r>
        <w:rPr>
          <w:rFonts w:ascii="Times New Roman" w:hAnsi="Times New Roman" w:eastAsia="宋体"/>
          <w:color w:val="auto"/>
          <w:sz w:val="24"/>
          <w:szCs w:val="24"/>
          <w:lang w:bidi="ar"/>
        </w:rPr>
        <w:t xml:space="preserve"> sp.)、苏氏尾鳃蚓(</w:t>
      </w:r>
      <w:r>
        <w:rPr>
          <w:rFonts w:ascii="Times New Roman" w:hAnsi="Times New Roman" w:eastAsia="宋体"/>
          <w:i/>
          <w:iCs/>
          <w:color w:val="auto"/>
          <w:sz w:val="24"/>
          <w:szCs w:val="24"/>
          <w:lang w:bidi="ar"/>
        </w:rPr>
        <w:t>Branchiura sowerbyi</w:t>
      </w:r>
      <w:r>
        <w:rPr>
          <w:rFonts w:ascii="Times New Roman" w:hAnsi="Times New Roman" w:eastAsia="宋体"/>
          <w:color w:val="auto"/>
          <w:sz w:val="24"/>
          <w:szCs w:val="24"/>
          <w:lang w:bidi="ar"/>
        </w:rPr>
        <w:t>)、斑摇蚊属一种(</w:t>
      </w:r>
      <w:r>
        <w:rPr>
          <w:rFonts w:ascii="Times New Roman" w:hAnsi="Times New Roman" w:eastAsia="宋体"/>
          <w:i/>
          <w:iCs/>
          <w:color w:val="auto"/>
          <w:sz w:val="24"/>
          <w:szCs w:val="24"/>
          <w:lang w:bidi="ar"/>
        </w:rPr>
        <w:t>Stictochironomus</w:t>
      </w:r>
      <w:r>
        <w:rPr>
          <w:rFonts w:ascii="Times New Roman" w:hAnsi="Times New Roman" w:eastAsia="宋体"/>
          <w:color w:val="auto"/>
          <w:sz w:val="24"/>
          <w:szCs w:val="24"/>
          <w:lang w:bidi="ar"/>
        </w:rPr>
        <w:t xml:space="preserve"> sp.)、多足摇蚊属一种(</w:t>
      </w:r>
      <w:r>
        <w:rPr>
          <w:rFonts w:ascii="Times New Roman" w:hAnsi="Times New Roman" w:eastAsia="宋体"/>
          <w:i/>
          <w:iCs/>
          <w:color w:val="auto"/>
          <w:sz w:val="24"/>
          <w:szCs w:val="24"/>
          <w:lang w:bidi="ar"/>
        </w:rPr>
        <w:t>Polypedilum</w:t>
      </w:r>
      <w:r>
        <w:rPr>
          <w:rFonts w:ascii="Times New Roman" w:hAnsi="Times New Roman" w:eastAsia="宋体"/>
          <w:color w:val="auto"/>
          <w:sz w:val="24"/>
          <w:szCs w:val="24"/>
          <w:lang w:bidi="ar"/>
        </w:rPr>
        <w:t xml:space="preserve"> sp.)、嫩丝蚓属一种(</w:t>
      </w:r>
      <w:r>
        <w:rPr>
          <w:rFonts w:ascii="Times New Roman" w:hAnsi="Times New Roman" w:eastAsia="宋体"/>
          <w:i/>
          <w:iCs/>
          <w:color w:val="auto"/>
          <w:sz w:val="24"/>
          <w:szCs w:val="24"/>
          <w:lang w:bidi="ar"/>
        </w:rPr>
        <w:t>Teneridrilus</w:t>
      </w:r>
      <w:r>
        <w:rPr>
          <w:rFonts w:ascii="Times New Roman" w:hAnsi="Times New Roman" w:eastAsia="宋体"/>
          <w:color w:val="auto"/>
          <w:sz w:val="24"/>
          <w:szCs w:val="24"/>
          <w:lang w:bidi="ar"/>
        </w:rPr>
        <w:t xml:space="preserve"> sp.)，其优势度分别为0.133、0.115、0.0615、0.0410、0.0359、0.0308</w:t>
      </w:r>
      <w:r>
        <w:rPr>
          <w:rFonts w:ascii="Times New Roman" w:hAnsi="Times New Roman" w:eastAsia="宋体"/>
          <w:color w:val="auto"/>
          <w:sz w:val="24"/>
          <w:szCs w:val="21"/>
          <w:lang w:bidi="ar"/>
        </w:rPr>
        <w:t>。</w:t>
      </w:r>
    </w:p>
    <w:p w14:paraId="1975F961">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4.2.5.13 .3 现存量</w:t>
      </w:r>
    </w:p>
    <w:p w14:paraId="414FE7B8">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(1)资源密度</w:t>
      </w:r>
    </w:p>
    <w:p w14:paraId="0F975C96">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2023年</w:t>
      </w:r>
      <w:r>
        <w:rPr>
          <w:rFonts w:hint="eastAsia" w:ascii="Times New Roman" w:hAnsi="Times New Roman" w:eastAsia="宋体"/>
          <w:color w:val="auto"/>
          <w:sz w:val="24"/>
          <w:szCs w:val="24"/>
          <w:lang w:bidi="ar"/>
        </w:rPr>
        <w:t>调查</w:t>
      </w:r>
      <w:r>
        <w:rPr>
          <w:rFonts w:ascii="Times New Roman" w:hAnsi="Times New Roman" w:eastAsia="宋体"/>
          <w:color w:val="auto"/>
          <w:sz w:val="24"/>
          <w:szCs w:val="24"/>
          <w:lang w:bidi="ar"/>
        </w:rPr>
        <w:t>结果显示，保护区底栖动物资源密度变幅为93-413 ind./m</w:t>
      </w:r>
      <w:r>
        <w:rPr>
          <w:rFonts w:ascii="Times New Roman" w:hAnsi="Times New Roman" w:eastAsia="宋体"/>
          <w:color w:val="auto"/>
          <w:sz w:val="24"/>
          <w:szCs w:val="24"/>
          <w:vertAlign w:val="superscript"/>
          <w:lang w:bidi="ar"/>
        </w:rPr>
        <w:t>2</w:t>
      </w:r>
      <w:r>
        <w:rPr>
          <w:rFonts w:ascii="Times New Roman" w:hAnsi="Times New Roman" w:eastAsia="宋体"/>
          <w:color w:val="auto"/>
          <w:sz w:val="24"/>
          <w:szCs w:val="24"/>
          <w:lang w:bidi="ar"/>
        </w:rPr>
        <w:t>，均值为211 ind./m</w:t>
      </w:r>
      <w:r>
        <w:rPr>
          <w:rFonts w:ascii="Times New Roman" w:hAnsi="Times New Roman" w:eastAsia="宋体"/>
          <w:color w:val="auto"/>
          <w:sz w:val="24"/>
          <w:szCs w:val="24"/>
          <w:vertAlign w:val="superscript"/>
          <w:lang w:bidi="ar"/>
        </w:rPr>
        <w:t>2</w:t>
      </w:r>
      <w:r>
        <w:rPr>
          <w:rFonts w:ascii="Times New Roman" w:hAnsi="Times New Roman" w:eastAsia="宋体"/>
          <w:color w:val="auto"/>
          <w:sz w:val="24"/>
          <w:szCs w:val="21"/>
          <w:lang w:bidi="ar"/>
        </w:rPr>
        <w:t>。</w:t>
      </w:r>
    </w:p>
    <w:p w14:paraId="791013C7">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①繁殖期</w:t>
      </w:r>
    </w:p>
    <w:p w14:paraId="1B1FBBEF">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保护区底栖动物资源密度变幅为142-413 ind./m</w:t>
      </w:r>
      <w:r>
        <w:rPr>
          <w:rFonts w:ascii="Times New Roman" w:hAnsi="Times New Roman" w:eastAsia="宋体"/>
          <w:color w:val="auto"/>
          <w:sz w:val="24"/>
          <w:szCs w:val="24"/>
          <w:vertAlign w:val="superscript"/>
          <w:lang w:bidi="ar"/>
        </w:rPr>
        <w:t>2</w:t>
      </w:r>
      <w:r>
        <w:rPr>
          <w:rFonts w:ascii="Times New Roman" w:hAnsi="Times New Roman" w:eastAsia="宋体"/>
          <w:color w:val="auto"/>
          <w:sz w:val="24"/>
          <w:szCs w:val="24"/>
          <w:lang w:bidi="ar"/>
        </w:rPr>
        <w:t>，均值为278 ind./m</w:t>
      </w:r>
      <w:r>
        <w:rPr>
          <w:rFonts w:ascii="Times New Roman" w:hAnsi="Times New Roman" w:eastAsia="宋体"/>
          <w:color w:val="auto"/>
          <w:sz w:val="24"/>
          <w:szCs w:val="24"/>
          <w:vertAlign w:val="superscript"/>
          <w:lang w:bidi="ar"/>
        </w:rPr>
        <w:t>2</w:t>
      </w:r>
      <w:r>
        <w:rPr>
          <w:rFonts w:ascii="Times New Roman" w:hAnsi="Times New Roman" w:eastAsia="宋体"/>
          <w:color w:val="auto"/>
          <w:sz w:val="24"/>
          <w:szCs w:val="21"/>
          <w:lang w:bidi="ar"/>
        </w:rPr>
        <w:t>。</w:t>
      </w:r>
    </w:p>
    <w:p w14:paraId="1E984BFB">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②索饵期</w:t>
      </w:r>
    </w:p>
    <w:p w14:paraId="20855335">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保护区底栖动物资源密度变幅为93-196 ind./m</w:t>
      </w:r>
      <w:r>
        <w:rPr>
          <w:rFonts w:ascii="Times New Roman" w:hAnsi="Times New Roman" w:eastAsia="宋体"/>
          <w:color w:val="auto"/>
          <w:sz w:val="24"/>
          <w:szCs w:val="24"/>
          <w:vertAlign w:val="superscript"/>
          <w:lang w:bidi="ar"/>
        </w:rPr>
        <w:t>2</w:t>
      </w:r>
      <w:r>
        <w:rPr>
          <w:rFonts w:ascii="Times New Roman" w:hAnsi="Times New Roman" w:eastAsia="宋体"/>
          <w:color w:val="auto"/>
          <w:sz w:val="24"/>
          <w:szCs w:val="24"/>
          <w:lang w:bidi="ar"/>
        </w:rPr>
        <w:t>，均值为144 ind./m</w:t>
      </w:r>
      <w:r>
        <w:rPr>
          <w:rFonts w:ascii="Times New Roman" w:hAnsi="Times New Roman" w:eastAsia="宋体"/>
          <w:color w:val="auto"/>
          <w:sz w:val="24"/>
          <w:szCs w:val="24"/>
          <w:vertAlign w:val="superscript"/>
          <w:lang w:bidi="ar"/>
        </w:rPr>
        <w:t>2</w:t>
      </w:r>
      <w:r>
        <w:rPr>
          <w:rFonts w:ascii="Times New Roman" w:hAnsi="Times New Roman" w:eastAsia="宋体"/>
          <w:color w:val="auto"/>
          <w:sz w:val="24"/>
          <w:szCs w:val="21"/>
          <w:lang w:bidi="ar"/>
        </w:rPr>
        <w:t>。</w:t>
      </w:r>
    </w:p>
    <w:p w14:paraId="3481CA66">
      <w:pPr>
        <w:spacing w:line="240" w:lineRule="auto"/>
        <w:jc w:val="center"/>
        <w:rPr>
          <w:rFonts w:ascii="Times New Roman" w:hAnsi="Times New Roman" w:eastAsia="宋体"/>
          <w:color w:val="auto"/>
          <w:sz w:val="24"/>
          <w:szCs w:val="28"/>
        </w:rPr>
      </w:pPr>
      <w:r>
        <w:rPr>
          <w:rFonts w:ascii="Times New Roman" w:hAnsi="Times New Roman" w:eastAsia="宋体"/>
          <w:color w:val="auto"/>
          <w:sz w:val="24"/>
          <w:szCs w:val="22"/>
        </w:rPr>
        <w:drawing>
          <wp:inline distT="0" distB="0" distL="114300" distR="114300">
            <wp:extent cx="5041265" cy="2877185"/>
            <wp:effectExtent l="0" t="0" r="6985" b="18415"/>
            <wp:docPr id="329"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57"/>
                    <pic:cNvPicPr>
                      <a:picLocks noChangeAspect="1"/>
                    </pic:cNvPicPr>
                  </pic:nvPicPr>
                  <pic:blipFill>
                    <a:blip r:embed="rId124"/>
                    <a:stretch>
                      <a:fillRect/>
                    </a:stretch>
                  </pic:blipFill>
                  <pic:spPr>
                    <a:xfrm>
                      <a:off x="0" y="0"/>
                      <a:ext cx="5041265" cy="2877185"/>
                    </a:xfrm>
                    <a:prstGeom prst="rect">
                      <a:avLst/>
                    </a:prstGeom>
                    <a:noFill/>
                    <a:ln>
                      <a:noFill/>
                    </a:ln>
                  </pic:spPr>
                </pic:pic>
              </a:graphicData>
            </a:graphic>
          </wp:inline>
        </w:drawing>
      </w:r>
    </w:p>
    <w:p w14:paraId="69DAA273">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-29</w:t>
      </w:r>
      <w:r>
        <w:rPr>
          <w:rFonts w:ascii="Times New Roman" w:hAnsi="Times New Roman" w:eastAsia="黑体" w:cs="Times New Roman"/>
          <w:color w:val="auto"/>
          <w:sz w:val="24"/>
          <w:szCs w:val="21"/>
        </w:rPr>
        <w:t xml:space="preserve">  2023年度保护区调查水域底栖动物资源密度时间特征</w:t>
      </w:r>
    </w:p>
    <w:p w14:paraId="32C7306D">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(2)生物量</w:t>
      </w:r>
    </w:p>
    <w:p w14:paraId="167B5B7B">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2023年</w:t>
      </w:r>
      <w:r>
        <w:rPr>
          <w:rFonts w:hint="eastAsia" w:ascii="Times New Roman" w:hAnsi="Times New Roman" w:eastAsia="宋体"/>
          <w:color w:val="auto"/>
          <w:sz w:val="24"/>
          <w:szCs w:val="24"/>
          <w:lang w:bidi="ar"/>
        </w:rPr>
        <w:t>调查</w:t>
      </w:r>
      <w:r>
        <w:rPr>
          <w:rFonts w:ascii="Times New Roman" w:hAnsi="Times New Roman" w:eastAsia="宋体"/>
          <w:color w:val="auto"/>
          <w:sz w:val="24"/>
          <w:szCs w:val="24"/>
          <w:lang w:bidi="ar"/>
        </w:rPr>
        <w:t>结果显示，保护区底栖动物生物量变幅为50.88-152.12 g/m</w:t>
      </w:r>
      <w:r>
        <w:rPr>
          <w:rFonts w:ascii="Times New Roman" w:hAnsi="Times New Roman" w:eastAsia="宋体"/>
          <w:color w:val="auto"/>
          <w:sz w:val="24"/>
          <w:szCs w:val="24"/>
          <w:vertAlign w:val="superscript"/>
          <w:lang w:bidi="ar"/>
        </w:rPr>
        <w:t>2</w:t>
      </w:r>
      <w:r>
        <w:rPr>
          <w:rFonts w:ascii="Times New Roman" w:hAnsi="Times New Roman" w:eastAsia="宋体"/>
          <w:color w:val="auto"/>
          <w:sz w:val="24"/>
          <w:szCs w:val="24"/>
          <w:lang w:bidi="ar"/>
        </w:rPr>
        <w:t>，均值为93.79 g/m</w:t>
      </w:r>
      <w:r>
        <w:rPr>
          <w:rFonts w:ascii="Times New Roman" w:hAnsi="Times New Roman" w:eastAsia="宋体"/>
          <w:color w:val="auto"/>
          <w:sz w:val="24"/>
          <w:szCs w:val="24"/>
          <w:vertAlign w:val="superscript"/>
          <w:lang w:bidi="ar"/>
        </w:rPr>
        <w:t>2</w:t>
      </w:r>
      <w:r>
        <w:rPr>
          <w:rFonts w:ascii="Times New Roman" w:hAnsi="Times New Roman" w:eastAsia="宋体"/>
          <w:color w:val="auto"/>
          <w:sz w:val="24"/>
          <w:szCs w:val="21"/>
          <w:lang w:bidi="ar"/>
        </w:rPr>
        <w:t>。</w:t>
      </w:r>
    </w:p>
    <w:p w14:paraId="1FFB4670">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①繁殖期</w:t>
      </w:r>
    </w:p>
    <w:p w14:paraId="579DBABD">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保护区底栖动物生物量变幅为54.90-152.12 g/m</w:t>
      </w:r>
      <w:r>
        <w:rPr>
          <w:rFonts w:ascii="Times New Roman" w:hAnsi="Times New Roman" w:eastAsia="宋体"/>
          <w:color w:val="auto"/>
          <w:sz w:val="24"/>
          <w:szCs w:val="24"/>
          <w:vertAlign w:val="superscript"/>
          <w:lang w:bidi="ar"/>
        </w:rPr>
        <w:t>2</w:t>
      </w:r>
      <w:r>
        <w:rPr>
          <w:rFonts w:ascii="Times New Roman" w:hAnsi="Times New Roman" w:eastAsia="宋体"/>
          <w:color w:val="auto"/>
          <w:sz w:val="24"/>
          <w:szCs w:val="24"/>
          <w:lang w:bidi="ar"/>
        </w:rPr>
        <w:t>，均值为103.51 g/m</w:t>
      </w:r>
      <w:r>
        <w:rPr>
          <w:rFonts w:ascii="Times New Roman" w:hAnsi="Times New Roman" w:eastAsia="宋体"/>
          <w:color w:val="auto"/>
          <w:sz w:val="24"/>
          <w:szCs w:val="24"/>
          <w:vertAlign w:val="superscript"/>
          <w:lang w:bidi="ar"/>
        </w:rPr>
        <w:t>2</w:t>
      </w:r>
      <w:r>
        <w:rPr>
          <w:rFonts w:ascii="Times New Roman" w:hAnsi="Times New Roman" w:eastAsia="宋体"/>
          <w:color w:val="auto"/>
          <w:sz w:val="24"/>
          <w:szCs w:val="21"/>
          <w:lang w:bidi="ar"/>
        </w:rPr>
        <w:t>。</w:t>
      </w:r>
    </w:p>
    <w:p w14:paraId="2B3ED4FA">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②索饵期</w:t>
      </w:r>
    </w:p>
    <w:p w14:paraId="7CC1AE77">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保护区底栖动物生物量变幅为50.88-117.26 g/m</w:t>
      </w:r>
      <w:r>
        <w:rPr>
          <w:rFonts w:ascii="Times New Roman" w:hAnsi="Times New Roman" w:eastAsia="宋体"/>
          <w:color w:val="auto"/>
          <w:sz w:val="24"/>
          <w:szCs w:val="24"/>
          <w:vertAlign w:val="superscript"/>
          <w:lang w:bidi="ar"/>
        </w:rPr>
        <w:t>2</w:t>
      </w:r>
      <w:r>
        <w:rPr>
          <w:rFonts w:ascii="Times New Roman" w:hAnsi="Times New Roman" w:eastAsia="宋体"/>
          <w:color w:val="auto"/>
          <w:sz w:val="24"/>
          <w:szCs w:val="24"/>
          <w:lang w:bidi="ar"/>
        </w:rPr>
        <w:t>，均值为84.07 g/m</w:t>
      </w:r>
      <w:r>
        <w:rPr>
          <w:rFonts w:ascii="Times New Roman" w:hAnsi="Times New Roman" w:eastAsia="宋体"/>
          <w:color w:val="auto"/>
          <w:sz w:val="24"/>
          <w:szCs w:val="24"/>
          <w:vertAlign w:val="superscript"/>
          <w:lang w:bidi="ar"/>
        </w:rPr>
        <w:t>2</w:t>
      </w:r>
      <w:r>
        <w:rPr>
          <w:rFonts w:ascii="Times New Roman" w:hAnsi="Times New Roman" w:eastAsia="宋体"/>
          <w:color w:val="auto"/>
          <w:sz w:val="24"/>
          <w:szCs w:val="21"/>
          <w:lang w:bidi="ar"/>
        </w:rPr>
        <w:t>。</w:t>
      </w:r>
    </w:p>
    <w:p w14:paraId="5D3F716D">
      <w:pPr>
        <w:spacing w:line="240" w:lineRule="auto"/>
        <w:jc w:val="center"/>
        <w:rPr>
          <w:rFonts w:ascii="Times New Roman" w:hAnsi="Times New Roman" w:eastAsia="宋体"/>
          <w:color w:val="auto"/>
          <w:sz w:val="24"/>
          <w:szCs w:val="28"/>
        </w:rPr>
      </w:pPr>
      <w:r>
        <w:rPr>
          <w:rFonts w:ascii="Times New Roman" w:hAnsi="Times New Roman" w:eastAsia="宋体"/>
          <w:color w:val="auto"/>
          <w:sz w:val="24"/>
          <w:szCs w:val="22"/>
        </w:rPr>
        <w:drawing>
          <wp:inline distT="0" distB="0" distL="114300" distR="114300">
            <wp:extent cx="5041265" cy="2877185"/>
            <wp:effectExtent l="0" t="0" r="6985" b="18415"/>
            <wp:docPr id="330"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58"/>
                    <pic:cNvPicPr>
                      <a:picLocks noChangeAspect="1"/>
                    </pic:cNvPicPr>
                  </pic:nvPicPr>
                  <pic:blipFill>
                    <a:blip r:embed="rId125"/>
                    <a:stretch>
                      <a:fillRect/>
                    </a:stretch>
                  </pic:blipFill>
                  <pic:spPr>
                    <a:xfrm>
                      <a:off x="0" y="0"/>
                      <a:ext cx="5041265" cy="2877185"/>
                    </a:xfrm>
                    <a:prstGeom prst="rect">
                      <a:avLst/>
                    </a:prstGeom>
                    <a:noFill/>
                    <a:ln>
                      <a:noFill/>
                    </a:ln>
                  </pic:spPr>
                </pic:pic>
              </a:graphicData>
            </a:graphic>
          </wp:inline>
        </w:drawing>
      </w:r>
    </w:p>
    <w:p w14:paraId="29205083">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-30</w:t>
      </w:r>
      <w:r>
        <w:rPr>
          <w:rFonts w:ascii="Times New Roman" w:hAnsi="Times New Roman" w:eastAsia="黑体" w:cs="Times New Roman"/>
          <w:color w:val="auto"/>
          <w:sz w:val="24"/>
          <w:szCs w:val="21"/>
        </w:rPr>
        <w:t xml:space="preserve">  2023年度保护区调查水域底栖动物生物量时间特征</w:t>
      </w:r>
    </w:p>
    <w:p w14:paraId="07F820DA">
      <w:pPr>
        <w:spacing w:line="240" w:lineRule="auto"/>
        <w:jc w:val="center"/>
        <w:rPr>
          <w:rFonts w:ascii="Times New Roman" w:hAnsi="Times New Roman" w:eastAsia="宋体"/>
          <w:b/>
          <w:color w:val="auto"/>
          <w:sz w:val="24"/>
          <w:szCs w:val="22"/>
        </w:rPr>
      </w:pPr>
    </w:p>
    <w:p w14:paraId="0D3CE544">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4.2.5.13 .4 群落多样性</w:t>
      </w:r>
    </w:p>
    <w:p w14:paraId="308A730A">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2023年</w:t>
      </w:r>
      <w:r>
        <w:rPr>
          <w:rFonts w:hint="eastAsia" w:ascii="Times New Roman" w:hAnsi="Times New Roman" w:eastAsia="宋体"/>
          <w:color w:val="auto"/>
          <w:sz w:val="24"/>
          <w:szCs w:val="24"/>
          <w:lang w:bidi="ar"/>
        </w:rPr>
        <w:t>调查</w:t>
      </w:r>
      <w:r>
        <w:rPr>
          <w:rFonts w:ascii="Times New Roman" w:hAnsi="Times New Roman" w:eastAsia="宋体"/>
          <w:color w:val="auto"/>
          <w:sz w:val="24"/>
          <w:szCs w:val="24"/>
          <w:lang w:bidi="ar"/>
        </w:rPr>
        <w:t>结果显示，保护区底栖动物</w:t>
      </w:r>
      <w:r>
        <w:rPr>
          <w:rFonts w:ascii="Times New Roman" w:hAnsi="Times New Roman" w:eastAsia="宋体"/>
          <w:color w:val="auto"/>
          <w:sz w:val="24"/>
          <w:szCs w:val="22"/>
          <w:lang w:bidi="ar"/>
        </w:rPr>
        <w:t>Shannon-Wiener多样性指数</w:t>
      </w:r>
      <w:r>
        <w:rPr>
          <w:rFonts w:ascii="Times New Roman" w:hAnsi="Times New Roman" w:eastAsia="宋体"/>
          <w:bCs/>
          <w:color w:val="auto"/>
          <w:sz w:val="24"/>
          <w:szCs w:val="24"/>
          <w:lang w:bidi="ar"/>
        </w:rPr>
        <w:t>(</w:t>
      </w:r>
      <w:r>
        <w:rPr>
          <w:rFonts w:ascii="Times New Roman" w:hAnsi="Times New Roman" w:eastAsia="宋体"/>
          <w:bCs/>
          <w:i/>
          <w:iCs/>
          <w:color w:val="auto"/>
          <w:sz w:val="24"/>
          <w:szCs w:val="24"/>
          <w:lang w:bidi="ar"/>
        </w:rPr>
        <w:t>H'</w:t>
      </w:r>
      <w:r>
        <w:rPr>
          <w:rFonts w:ascii="Times New Roman" w:hAnsi="Times New Roman" w:eastAsia="宋体"/>
          <w:bCs/>
          <w:color w:val="auto"/>
          <w:sz w:val="24"/>
          <w:szCs w:val="24"/>
          <w:lang w:bidi="ar"/>
        </w:rPr>
        <w:t>)</w:t>
      </w:r>
      <w:r>
        <w:rPr>
          <w:rFonts w:ascii="Times New Roman" w:hAnsi="Times New Roman" w:eastAsia="宋体"/>
          <w:color w:val="auto"/>
          <w:sz w:val="24"/>
          <w:szCs w:val="24"/>
          <w:lang w:bidi="ar"/>
        </w:rPr>
        <w:t>为2.58</w:t>
      </w:r>
      <w:r>
        <w:rPr>
          <w:rFonts w:ascii="Times New Roman" w:hAnsi="Times New Roman" w:eastAsia="宋体"/>
          <w:bCs/>
          <w:color w:val="auto"/>
          <w:sz w:val="24"/>
          <w:szCs w:val="24"/>
          <w:lang w:bidi="ar"/>
        </w:rPr>
        <w:t>，</w:t>
      </w:r>
      <w:r>
        <w:rPr>
          <w:rFonts w:ascii="Times New Roman" w:hAnsi="Times New Roman" w:eastAsia="宋体"/>
          <w:color w:val="auto"/>
          <w:sz w:val="24"/>
          <w:szCs w:val="22"/>
          <w:lang w:bidi="ar"/>
        </w:rPr>
        <w:t>Pielou均匀度指数</w:t>
      </w:r>
      <w:r>
        <w:rPr>
          <w:rFonts w:ascii="Times New Roman" w:hAnsi="Times New Roman" w:eastAsia="宋体"/>
          <w:color w:val="auto"/>
          <w:sz w:val="24"/>
          <w:szCs w:val="24"/>
          <w:lang w:bidi="ar"/>
        </w:rPr>
        <w:t>(</w:t>
      </w:r>
      <w:r>
        <w:rPr>
          <w:rFonts w:ascii="Times New Roman" w:hAnsi="Times New Roman" w:eastAsia="宋体"/>
          <w:i/>
          <w:iCs/>
          <w:color w:val="auto"/>
          <w:sz w:val="24"/>
          <w:szCs w:val="24"/>
          <w:lang w:bidi="ar"/>
        </w:rPr>
        <w:t>E</w:t>
      </w:r>
      <w:r>
        <w:rPr>
          <w:rFonts w:ascii="Times New Roman" w:hAnsi="Times New Roman" w:eastAsia="宋体"/>
          <w:color w:val="auto"/>
          <w:sz w:val="24"/>
          <w:szCs w:val="24"/>
          <w:lang w:bidi="ar"/>
        </w:rPr>
        <w:t>)</w:t>
      </w:r>
      <w:r>
        <w:rPr>
          <w:rFonts w:ascii="Times New Roman" w:hAnsi="Times New Roman" w:eastAsia="宋体"/>
          <w:bCs/>
          <w:color w:val="auto"/>
          <w:sz w:val="24"/>
          <w:szCs w:val="24"/>
          <w:lang w:bidi="ar"/>
        </w:rPr>
        <w:t>为0.86，</w:t>
      </w:r>
      <w:r>
        <w:rPr>
          <w:rFonts w:ascii="Times New Roman" w:hAnsi="Times New Roman" w:eastAsia="宋体"/>
          <w:color w:val="auto"/>
          <w:sz w:val="24"/>
          <w:szCs w:val="22"/>
          <w:lang w:bidi="ar"/>
        </w:rPr>
        <w:t>Simpson优势度指数(</w:t>
      </w:r>
      <w:r>
        <w:rPr>
          <w:rFonts w:ascii="Times New Roman" w:hAnsi="Times New Roman" w:eastAsia="宋体"/>
          <w:i/>
          <w:iCs/>
          <w:color w:val="auto"/>
          <w:sz w:val="24"/>
          <w:szCs w:val="22"/>
          <w:lang w:bidi="ar"/>
        </w:rPr>
        <w:t>D</w:t>
      </w:r>
      <w:r>
        <w:rPr>
          <w:rFonts w:ascii="Times New Roman" w:hAnsi="Times New Roman" w:eastAsia="宋体"/>
          <w:color w:val="auto"/>
          <w:sz w:val="24"/>
          <w:szCs w:val="22"/>
          <w:lang w:bidi="ar"/>
        </w:rPr>
        <w:t>)</w:t>
      </w:r>
      <w:r>
        <w:rPr>
          <w:rFonts w:ascii="Times New Roman" w:hAnsi="Times New Roman" w:eastAsia="宋体"/>
          <w:bCs/>
          <w:color w:val="auto"/>
          <w:sz w:val="24"/>
          <w:szCs w:val="24"/>
          <w:lang w:bidi="ar"/>
        </w:rPr>
        <w:t>为0.10，</w:t>
      </w:r>
      <w:r>
        <w:rPr>
          <w:rFonts w:ascii="Times New Roman" w:hAnsi="Times New Roman" w:eastAsia="宋体"/>
          <w:color w:val="auto"/>
          <w:sz w:val="24"/>
          <w:szCs w:val="22"/>
          <w:lang w:bidi="ar"/>
        </w:rPr>
        <w:t>Margalef丰富度指数(</w:t>
      </w:r>
      <w:r>
        <w:rPr>
          <w:rFonts w:ascii="Times New Roman" w:hAnsi="Times New Roman" w:eastAsia="宋体"/>
          <w:i/>
          <w:iCs/>
          <w:color w:val="auto"/>
          <w:sz w:val="24"/>
          <w:szCs w:val="22"/>
          <w:lang w:bidi="ar"/>
        </w:rPr>
        <w:t>R</w:t>
      </w:r>
      <w:r>
        <w:rPr>
          <w:rFonts w:ascii="Times New Roman" w:hAnsi="Times New Roman" w:eastAsia="宋体"/>
          <w:color w:val="auto"/>
          <w:sz w:val="24"/>
          <w:szCs w:val="22"/>
          <w:lang w:bidi="ar"/>
        </w:rPr>
        <w:t>)</w:t>
      </w:r>
      <w:r>
        <w:rPr>
          <w:rFonts w:ascii="Times New Roman" w:hAnsi="Times New Roman" w:eastAsia="宋体"/>
          <w:bCs/>
          <w:color w:val="auto"/>
          <w:sz w:val="24"/>
          <w:szCs w:val="24"/>
          <w:lang w:bidi="ar"/>
        </w:rPr>
        <w:t>为2.43</w:t>
      </w:r>
      <w:r>
        <w:rPr>
          <w:rFonts w:ascii="Times New Roman" w:hAnsi="Times New Roman" w:eastAsia="宋体"/>
          <w:color w:val="auto"/>
          <w:sz w:val="24"/>
          <w:szCs w:val="21"/>
          <w:lang w:bidi="ar"/>
        </w:rPr>
        <w:t>(图4.2</w:t>
      </w:r>
      <w:r>
        <w:rPr>
          <w:rFonts w:hint="eastAsia" w:ascii="Times New Roman" w:hAnsi="Times New Roman" w:eastAsia="宋体"/>
          <w:color w:val="auto"/>
          <w:sz w:val="24"/>
          <w:szCs w:val="21"/>
          <w:lang w:val="en-US" w:eastAsia="zh-CN" w:bidi="ar"/>
        </w:rPr>
        <w:t>-31</w:t>
      </w:r>
      <w:r>
        <w:rPr>
          <w:rFonts w:ascii="Times New Roman" w:hAnsi="Times New Roman" w:eastAsia="宋体"/>
          <w:color w:val="auto"/>
          <w:sz w:val="24"/>
          <w:szCs w:val="21"/>
          <w:lang w:bidi="ar"/>
        </w:rPr>
        <w:t>)。</w:t>
      </w:r>
    </w:p>
    <w:p w14:paraId="3F4EC555">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(1)繁殖期</w:t>
      </w:r>
    </w:p>
    <w:p w14:paraId="52F86341">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保护区底栖动物</w:t>
      </w:r>
      <w:r>
        <w:rPr>
          <w:rFonts w:ascii="Times New Roman" w:hAnsi="Times New Roman" w:eastAsia="宋体"/>
          <w:color w:val="auto"/>
          <w:sz w:val="24"/>
          <w:szCs w:val="22"/>
          <w:lang w:bidi="ar"/>
        </w:rPr>
        <w:t>Shannon-Wiener多样性指数</w:t>
      </w:r>
      <w:r>
        <w:rPr>
          <w:rFonts w:ascii="Times New Roman" w:hAnsi="Times New Roman" w:eastAsia="宋体"/>
          <w:bCs/>
          <w:color w:val="auto"/>
          <w:sz w:val="24"/>
          <w:szCs w:val="24"/>
          <w:lang w:bidi="ar"/>
        </w:rPr>
        <w:t>(</w:t>
      </w:r>
      <w:r>
        <w:rPr>
          <w:rFonts w:ascii="Times New Roman" w:hAnsi="Times New Roman" w:eastAsia="宋体"/>
          <w:bCs/>
          <w:i/>
          <w:iCs/>
          <w:color w:val="auto"/>
          <w:sz w:val="24"/>
          <w:szCs w:val="24"/>
          <w:lang w:bidi="ar"/>
        </w:rPr>
        <w:t>H'</w:t>
      </w:r>
      <w:r>
        <w:rPr>
          <w:rFonts w:ascii="Times New Roman" w:hAnsi="Times New Roman" w:eastAsia="宋体"/>
          <w:bCs/>
          <w:color w:val="auto"/>
          <w:sz w:val="24"/>
          <w:szCs w:val="24"/>
          <w:lang w:bidi="ar"/>
        </w:rPr>
        <w:t>)</w:t>
      </w:r>
      <w:r>
        <w:rPr>
          <w:rFonts w:ascii="Times New Roman" w:hAnsi="Times New Roman" w:eastAsia="宋体"/>
          <w:color w:val="auto"/>
          <w:sz w:val="24"/>
          <w:szCs w:val="24"/>
          <w:lang w:bidi="ar"/>
        </w:rPr>
        <w:t>为2.49</w:t>
      </w:r>
      <w:r>
        <w:rPr>
          <w:rFonts w:ascii="Times New Roman" w:hAnsi="Times New Roman" w:eastAsia="宋体"/>
          <w:bCs/>
          <w:color w:val="auto"/>
          <w:sz w:val="24"/>
          <w:szCs w:val="24"/>
          <w:lang w:bidi="ar"/>
        </w:rPr>
        <w:t>，</w:t>
      </w:r>
      <w:r>
        <w:rPr>
          <w:rFonts w:ascii="Times New Roman" w:hAnsi="Times New Roman" w:eastAsia="宋体"/>
          <w:color w:val="auto"/>
          <w:sz w:val="24"/>
          <w:szCs w:val="22"/>
          <w:lang w:bidi="ar"/>
        </w:rPr>
        <w:t>Pielou均匀度指数</w:t>
      </w:r>
      <w:r>
        <w:rPr>
          <w:rFonts w:ascii="Times New Roman" w:hAnsi="Times New Roman" w:eastAsia="宋体"/>
          <w:color w:val="auto"/>
          <w:sz w:val="24"/>
          <w:szCs w:val="24"/>
          <w:lang w:bidi="ar"/>
        </w:rPr>
        <w:t>(</w:t>
      </w:r>
      <w:r>
        <w:rPr>
          <w:rFonts w:ascii="Times New Roman" w:hAnsi="Times New Roman" w:eastAsia="宋体"/>
          <w:i/>
          <w:iCs/>
          <w:color w:val="auto"/>
          <w:sz w:val="24"/>
          <w:szCs w:val="24"/>
          <w:lang w:bidi="ar"/>
        </w:rPr>
        <w:t>E</w:t>
      </w:r>
      <w:r>
        <w:rPr>
          <w:rFonts w:ascii="Times New Roman" w:hAnsi="Times New Roman" w:eastAsia="宋体"/>
          <w:color w:val="auto"/>
          <w:sz w:val="24"/>
          <w:szCs w:val="24"/>
          <w:lang w:bidi="ar"/>
        </w:rPr>
        <w:t>)</w:t>
      </w:r>
      <w:r>
        <w:rPr>
          <w:rFonts w:ascii="Times New Roman" w:hAnsi="Times New Roman" w:eastAsia="宋体"/>
          <w:bCs/>
          <w:color w:val="auto"/>
          <w:sz w:val="24"/>
          <w:szCs w:val="24"/>
          <w:lang w:bidi="ar"/>
        </w:rPr>
        <w:t>为0.84，</w:t>
      </w:r>
      <w:r>
        <w:rPr>
          <w:rFonts w:ascii="Times New Roman" w:hAnsi="Times New Roman" w:eastAsia="宋体"/>
          <w:color w:val="auto"/>
          <w:sz w:val="24"/>
          <w:szCs w:val="22"/>
          <w:lang w:bidi="ar"/>
        </w:rPr>
        <w:t>Simpson优势度指数(</w:t>
      </w:r>
      <w:r>
        <w:rPr>
          <w:rFonts w:ascii="Times New Roman" w:hAnsi="Times New Roman" w:eastAsia="宋体"/>
          <w:i/>
          <w:iCs/>
          <w:color w:val="auto"/>
          <w:sz w:val="24"/>
          <w:szCs w:val="22"/>
          <w:lang w:bidi="ar"/>
        </w:rPr>
        <w:t>D</w:t>
      </w:r>
      <w:r>
        <w:rPr>
          <w:rFonts w:ascii="Times New Roman" w:hAnsi="Times New Roman" w:eastAsia="宋体"/>
          <w:color w:val="auto"/>
          <w:sz w:val="24"/>
          <w:szCs w:val="22"/>
          <w:lang w:bidi="ar"/>
        </w:rPr>
        <w:t>)</w:t>
      </w:r>
      <w:r>
        <w:rPr>
          <w:rFonts w:ascii="Times New Roman" w:hAnsi="Times New Roman" w:eastAsia="宋体"/>
          <w:bCs/>
          <w:color w:val="auto"/>
          <w:sz w:val="24"/>
          <w:szCs w:val="24"/>
          <w:lang w:bidi="ar"/>
        </w:rPr>
        <w:t>为0.11，</w:t>
      </w:r>
      <w:r>
        <w:rPr>
          <w:rFonts w:ascii="Times New Roman" w:hAnsi="Times New Roman" w:eastAsia="宋体"/>
          <w:color w:val="auto"/>
          <w:sz w:val="24"/>
          <w:szCs w:val="22"/>
          <w:lang w:bidi="ar"/>
        </w:rPr>
        <w:t>Margalef丰富度指数(</w:t>
      </w:r>
      <w:r>
        <w:rPr>
          <w:rFonts w:ascii="Times New Roman" w:hAnsi="Times New Roman" w:eastAsia="宋体"/>
          <w:i/>
          <w:iCs/>
          <w:color w:val="auto"/>
          <w:sz w:val="24"/>
          <w:szCs w:val="22"/>
          <w:lang w:bidi="ar"/>
        </w:rPr>
        <w:t>R</w:t>
      </w:r>
      <w:r>
        <w:rPr>
          <w:rFonts w:ascii="Times New Roman" w:hAnsi="Times New Roman" w:eastAsia="宋体"/>
          <w:color w:val="auto"/>
          <w:sz w:val="24"/>
          <w:szCs w:val="22"/>
          <w:lang w:bidi="ar"/>
        </w:rPr>
        <w:t>)</w:t>
      </w:r>
      <w:r>
        <w:rPr>
          <w:rFonts w:ascii="Times New Roman" w:hAnsi="Times New Roman" w:eastAsia="宋体"/>
          <w:bCs/>
          <w:color w:val="auto"/>
          <w:sz w:val="24"/>
          <w:szCs w:val="24"/>
          <w:lang w:bidi="ar"/>
        </w:rPr>
        <w:t>为2.56</w:t>
      </w:r>
      <w:r>
        <w:rPr>
          <w:rFonts w:ascii="Times New Roman" w:hAnsi="Times New Roman" w:eastAsia="宋体"/>
          <w:color w:val="auto"/>
          <w:sz w:val="24"/>
          <w:szCs w:val="21"/>
          <w:lang w:bidi="ar"/>
        </w:rPr>
        <w:t>。</w:t>
      </w:r>
    </w:p>
    <w:p w14:paraId="7C2C85A3">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(2)索饵期</w:t>
      </w:r>
    </w:p>
    <w:p w14:paraId="3DCDBD14">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保护区底栖动物</w:t>
      </w:r>
      <w:r>
        <w:rPr>
          <w:rFonts w:ascii="Times New Roman" w:hAnsi="Times New Roman" w:eastAsia="宋体"/>
          <w:color w:val="auto"/>
          <w:sz w:val="24"/>
          <w:szCs w:val="22"/>
          <w:lang w:bidi="ar"/>
        </w:rPr>
        <w:t>Shannon-Wiener多样性指数</w:t>
      </w:r>
      <w:r>
        <w:rPr>
          <w:rFonts w:ascii="Times New Roman" w:hAnsi="Times New Roman" w:eastAsia="宋体"/>
          <w:bCs/>
          <w:color w:val="auto"/>
          <w:sz w:val="24"/>
          <w:szCs w:val="24"/>
          <w:lang w:bidi="ar"/>
        </w:rPr>
        <w:t>(</w:t>
      </w:r>
      <w:r>
        <w:rPr>
          <w:rFonts w:ascii="Times New Roman" w:hAnsi="Times New Roman" w:eastAsia="宋体"/>
          <w:bCs/>
          <w:i/>
          <w:iCs/>
          <w:color w:val="auto"/>
          <w:sz w:val="24"/>
          <w:szCs w:val="24"/>
          <w:lang w:bidi="ar"/>
        </w:rPr>
        <w:t>H'</w:t>
      </w:r>
      <w:r>
        <w:rPr>
          <w:rFonts w:ascii="Times New Roman" w:hAnsi="Times New Roman" w:eastAsia="宋体"/>
          <w:bCs/>
          <w:color w:val="auto"/>
          <w:sz w:val="24"/>
          <w:szCs w:val="24"/>
          <w:lang w:bidi="ar"/>
        </w:rPr>
        <w:t>)</w:t>
      </w:r>
      <w:r>
        <w:rPr>
          <w:rFonts w:ascii="Times New Roman" w:hAnsi="Times New Roman" w:eastAsia="宋体"/>
          <w:color w:val="auto"/>
          <w:sz w:val="24"/>
          <w:szCs w:val="24"/>
          <w:lang w:bidi="ar"/>
        </w:rPr>
        <w:t>为2.18</w:t>
      </w:r>
      <w:r>
        <w:rPr>
          <w:rFonts w:ascii="Times New Roman" w:hAnsi="Times New Roman" w:eastAsia="宋体"/>
          <w:bCs/>
          <w:color w:val="auto"/>
          <w:sz w:val="24"/>
          <w:szCs w:val="24"/>
          <w:lang w:bidi="ar"/>
        </w:rPr>
        <w:t>，</w:t>
      </w:r>
      <w:r>
        <w:rPr>
          <w:rFonts w:ascii="Times New Roman" w:hAnsi="Times New Roman" w:eastAsia="宋体"/>
          <w:color w:val="auto"/>
          <w:sz w:val="24"/>
          <w:szCs w:val="22"/>
          <w:lang w:bidi="ar"/>
        </w:rPr>
        <w:t>Pielou均匀度指数</w:t>
      </w:r>
      <w:r>
        <w:rPr>
          <w:rFonts w:ascii="Times New Roman" w:hAnsi="Times New Roman" w:eastAsia="宋体"/>
          <w:color w:val="auto"/>
          <w:sz w:val="24"/>
          <w:szCs w:val="24"/>
          <w:lang w:bidi="ar"/>
        </w:rPr>
        <w:t>(</w:t>
      </w:r>
      <w:r>
        <w:rPr>
          <w:rFonts w:ascii="Times New Roman" w:hAnsi="Times New Roman" w:eastAsia="宋体"/>
          <w:i/>
          <w:iCs/>
          <w:color w:val="auto"/>
          <w:sz w:val="24"/>
          <w:szCs w:val="24"/>
          <w:lang w:bidi="ar"/>
        </w:rPr>
        <w:t>E</w:t>
      </w:r>
      <w:r>
        <w:rPr>
          <w:rFonts w:ascii="Times New Roman" w:hAnsi="Times New Roman" w:eastAsia="宋体"/>
          <w:color w:val="auto"/>
          <w:sz w:val="24"/>
          <w:szCs w:val="24"/>
          <w:lang w:bidi="ar"/>
        </w:rPr>
        <w:t>)</w:t>
      </w:r>
      <w:r>
        <w:rPr>
          <w:rFonts w:ascii="Times New Roman" w:hAnsi="Times New Roman" w:eastAsia="宋体"/>
          <w:bCs/>
          <w:color w:val="auto"/>
          <w:sz w:val="24"/>
          <w:szCs w:val="24"/>
          <w:lang w:bidi="ar"/>
        </w:rPr>
        <w:t>为0.88，</w:t>
      </w:r>
      <w:r>
        <w:rPr>
          <w:rFonts w:ascii="Times New Roman" w:hAnsi="Times New Roman" w:eastAsia="宋体"/>
          <w:color w:val="auto"/>
          <w:sz w:val="24"/>
          <w:szCs w:val="22"/>
          <w:lang w:bidi="ar"/>
        </w:rPr>
        <w:t>Simpson优势度指数(</w:t>
      </w:r>
      <w:r>
        <w:rPr>
          <w:rFonts w:ascii="Times New Roman" w:hAnsi="Times New Roman" w:eastAsia="宋体"/>
          <w:i/>
          <w:iCs/>
          <w:color w:val="auto"/>
          <w:sz w:val="24"/>
          <w:szCs w:val="22"/>
          <w:lang w:bidi="ar"/>
        </w:rPr>
        <w:t>D</w:t>
      </w:r>
      <w:r>
        <w:rPr>
          <w:rFonts w:ascii="Times New Roman" w:hAnsi="Times New Roman" w:eastAsia="宋体"/>
          <w:color w:val="auto"/>
          <w:sz w:val="24"/>
          <w:szCs w:val="22"/>
          <w:lang w:bidi="ar"/>
        </w:rPr>
        <w:t>)</w:t>
      </w:r>
      <w:r>
        <w:rPr>
          <w:rFonts w:ascii="Times New Roman" w:hAnsi="Times New Roman" w:eastAsia="宋体"/>
          <w:bCs/>
          <w:color w:val="auto"/>
          <w:sz w:val="24"/>
          <w:szCs w:val="24"/>
          <w:lang w:bidi="ar"/>
        </w:rPr>
        <w:t>为0.14，</w:t>
      </w:r>
      <w:r>
        <w:rPr>
          <w:rFonts w:ascii="Times New Roman" w:hAnsi="Times New Roman" w:eastAsia="宋体"/>
          <w:color w:val="auto"/>
          <w:sz w:val="24"/>
          <w:szCs w:val="22"/>
          <w:lang w:bidi="ar"/>
        </w:rPr>
        <w:t>Margalef丰富度指数(</w:t>
      </w:r>
      <w:r>
        <w:rPr>
          <w:rFonts w:ascii="Times New Roman" w:hAnsi="Times New Roman" w:eastAsia="宋体"/>
          <w:i/>
          <w:iCs/>
          <w:color w:val="auto"/>
          <w:sz w:val="24"/>
          <w:szCs w:val="22"/>
          <w:lang w:bidi="ar"/>
        </w:rPr>
        <w:t>R</w:t>
      </w:r>
      <w:r>
        <w:rPr>
          <w:rFonts w:ascii="Times New Roman" w:hAnsi="Times New Roman" w:eastAsia="宋体"/>
          <w:color w:val="auto"/>
          <w:sz w:val="24"/>
          <w:szCs w:val="22"/>
          <w:lang w:bidi="ar"/>
        </w:rPr>
        <w:t>)</w:t>
      </w:r>
      <w:r>
        <w:rPr>
          <w:rFonts w:ascii="Times New Roman" w:hAnsi="Times New Roman" w:eastAsia="宋体"/>
          <w:bCs/>
          <w:color w:val="auto"/>
          <w:sz w:val="24"/>
          <w:szCs w:val="24"/>
          <w:lang w:bidi="ar"/>
        </w:rPr>
        <w:t>为1.63</w:t>
      </w:r>
      <w:r>
        <w:rPr>
          <w:rFonts w:ascii="Times New Roman" w:hAnsi="Times New Roman" w:eastAsia="宋体"/>
          <w:color w:val="auto"/>
          <w:sz w:val="24"/>
          <w:szCs w:val="21"/>
          <w:lang w:bidi="ar"/>
        </w:rPr>
        <w:t>。</w:t>
      </w:r>
    </w:p>
    <w:p w14:paraId="15C32C74">
      <w:pPr>
        <w:spacing w:line="240" w:lineRule="auto"/>
        <w:jc w:val="center"/>
        <w:rPr>
          <w:rFonts w:ascii="Times New Roman" w:hAnsi="Times New Roman" w:eastAsia="宋体"/>
          <w:b/>
          <w:color w:val="auto"/>
          <w:sz w:val="24"/>
          <w:szCs w:val="24"/>
        </w:rPr>
      </w:pPr>
      <w:r>
        <w:rPr>
          <w:rFonts w:ascii="Times New Roman" w:hAnsi="Times New Roman" w:eastAsia="宋体"/>
          <w:color w:val="auto"/>
          <w:sz w:val="24"/>
          <w:szCs w:val="22"/>
        </w:rPr>
        <w:drawing>
          <wp:inline distT="0" distB="0" distL="114300" distR="114300">
            <wp:extent cx="5041265" cy="2877185"/>
            <wp:effectExtent l="0" t="0" r="6985" b="18415"/>
            <wp:docPr id="33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59"/>
                    <pic:cNvPicPr>
                      <a:picLocks noChangeAspect="1"/>
                    </pic:cNvPicPr>
                  </pic:nvPicPr>
                  <pic:blipFill>
                    <a:blip r:embed="rId126"/>
                    <a:stretch>
                      <a:fillRect/>
                    </a:stretch>
                  </pic:blipFill>
                  <pic:spPr>
                    <a:xfrm>
                      <a:off x="0" y="0"/>
                      <a:ext cx="5041265" cy="2877185"/>
                    </a:xfrm>
                    <a:prstGeom prst="rect">
                      <a:avLst/>
                    </a:prstGeom>
                    <a:noFill/>
                    <a:ln>
                      <a:noFill/>
                    </a:ln>
                  </pic:spPr>
                </pic:pic>
              </a:graphicData>
            </a:graphic>
          </wp:inline>
        </w:drawing>
      </w:r>
    </w:p>
    <w:p w14:paraId="6FE55237">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-31</w:t>
      </w:r>
      <w:r>
        <w:rPr>
          <w:rFonts w:ascii="Times New Roman" w:hAnsi="Times New Roman" w:eastAsia="黑体" w:cs="Times New Roman"/>
          <w:color w:val="auto"/>
          <w:sz w:val="24"/>
          <w:szCs w:val="21"/>
        </w:rPr>
        <w:t xml:space="preserve">  2023年度保护区调查水域底栖动物多样性指数时间特征</w:t>
      </w:r>
    </w:p>
    <w:p w14:paraId="1FCA22D4">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4.2.5.13 .5 Goodnight生物指数</w:t>
      </w:r>
    </w:p>
    <w:p w14:paraId="76B54FA8">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颤蚓类底栖动物作为水域环境的指示生物，其多寡反映水体的污染程度。底栖动物Goodnight生物指数(</w:t>
      </w:r>
      <w:r>
        <w:rPr>
          <w:rFonts w:ascii="Times New Roman" w:hAnsi="Times New Roman" w:eastAsia="宋体"/>
          <w:i/>
          <w:iCs/>
          <w:color w:val="auto"/>
          <w:sz w:val="24"/>
          <w:szCs w:val="21"/>
          <w:lang w:bidi="ar"/>
        </w:rPr>
        <w:t>GBI</w:t>
      </w:r>
      <w:r>
        <w:rPr>
          <w:rFonts w:ascii="Times New Roman" w:hAnsi="Times New Roman" w:eastAsia="宋体"/>
          <w:color w:val="auto"/>
          <w:sz w:val="24"/>
          <w:szCs w:val="21"/>
          <w:lang w:bidi="ar"/>
        </w:rPr>
        <w:t>)，Goodnight修正指数计算公式：</w:t>
      </w:r>
      <w:r>
        <w:rPr>
          <w:rFonts w:ascii="Times New Roman" w:hAnsi="Times New Roman" w:eastAsia="宋体"/>
          <w:i/>
          <w:iCs/>
          <w:color w:val="auto"/>
          <w:sz w:val="24"/>
          <w:szCs w:val="21"/>
          <w:lang w:bidi="ar"/>
        </w:rPr>
        <w:t>GBI=(N-N</w:t>
      </w:r>
      <w:r>
        <w:rPr>
          <w:rFonts w:ascii="Times New Roman" w:hAnsi="Times New Roman" w:eastAsia="宋体"/>
          <w:i/>
          <w:iCs/>
          <w:color w:val="auto"/>
          <w:sz w:val="24"/>
          <w:szCs w:val="21"/>
          <w:vertAlign w:val="subscript"/>
          <w:lang w:bidi="ar"/>
        </w:rPr>
        <w:t>oil</w:t>
      </w:r>
      <w:r>
        <w:rPr>
          <w:rFonts w:ascii="Times New Roman" w:hAnsi="Times New Roman" w:eastAsia="宋体"/>
          <w:i/>
          <w:iCs/>
          <w:color w:val="auto"/>
          <w:sz w:val="24"/>
          <w:szCs w:val="21"/>
          <w:lang w:bidi="ar"/>
        </w:rPr>
        <w:t>)/N</w:t>
      </w:r>
      <w:r>
        <w:rPr>
          <w:rFonts w:ascii="Times New Roman" w:hAnsi="Times New Roman" w:eastAsia="宋体"/>
          <w:color w:val="auto"/>
          <w:sz w:val="24"/>
          <w:szCs w:val="21"/>
          <w:lang w:bidi="ar"/>
        </w:rPr>
        <w:t>，其中</w:t>
      </w:r>
      <w:r>
        <w:rPr>
          <w:rFonts w:ascii="Times New Roman" w:hAnsi="Times New Roman" w:eastAsia="宋体"/>
          <w:i/>
          <w:iCs/>
          <w:color w:val="auto"/>
          <w:sz w:val="24"/>
          <w:szCs w:val="21"/>
          <w:lang w:bidi="ar"/>
        </w:rPr>
        <w:t>GBI</w:t>
      </w:r>
      <w:r>
        <w:rPr>
          <w:rFonts w:ascii="Times New Roman" w:hAnsi="Times New Roman" w:eastAsia="宋体"/>
          <w:color w:val="auto"/>
          <w:sz w:val="24"/>
          <w:szCs w:val="21"/>
          <w:lang w:bidi="ar"/>
        </w:rPr>
        <w:t>为Goodnight修正指数值，</w:t>
      </w:r>
      <w:r>
        <w:rPr>
          <w:rFonts w:ascii="Times New Roman" w:hAnsi="Times New Roman" w:eastAsia="宋体"/>
          <w:i/>
          <w:iCs/>
          <w:color w:val="auto"/>
          <w:sz w:val="24"/>
          <w:szCs w:val="21"/>
          <w:lang w:bidi="ar"/>
        </w:rPr>
        <w:t>N</w:t>
      </w:r>
      <w:r>
        <w:rPr>
          <w:rFonts w:ascii="Times New Roman" w:hAnsi="Times New Roman" w:eastAsia="宋体"/>
          <w:color w:val="auto"/>
          <w:sz w:val="24"/>
          <w:szCs w:val="21"/>
          <w:lang w:bidi="ar"/>
        </w:rPr>
        <w:t>为样品中底栖动物个体总数，</w:t>
      </w:r>
      <w:r>
        <w:rPr>
          <w:rFonts w:ascii="Times New Roman" w:hAnsi="Times New Roman" w:eastAsia="宋体"/>
          <w:i/>
          <w:iCs/>
          <w:color w:val="auto"/>
          <w:sz w:val="24"/>
          <w:szCs w:val="21"/>
          <w:lang w:bidi="ar"/>
        </w:rPr>
        <w:t>N</w:t>
      </w:r>
      <w:r>
        <w:rPr>
          <w:rFonts w:ascii="Times New Roman" w:hAnsi="Times New Roman" w:eastAsia="宋体"/>
          <w:i/>
          <w:iCs/>
          <w:color w:val="auto"/>
          <w:sz w:val="24"/>
          <w:szCs w:val="21"/>
          <w:vertAlign w:val="subscript"/>
          <w:lang w:bidi="ar"/>
        </w:rPr>
        <w:t>oil</w:t>
      </w:r>
      <w:r>
        <w:rPr>
          <w:rFonts w:ascii="Times New Roman" w:hAnsi="Times New Roman" w:eastAsia="宋体"/>
          <w:color w:val="auto"/>
          <w:sz w:val="24"/>
          <w:szCs w:val="21"/>
          <w:lang w:bidi="ar"/>
        </w:rPr>
        <w:t>为样品中寡毛类个体总数。评价标准：1～0.4为无污染或轻污染；0.4～0.2为中污染；0～0.2为重污染；0为严重污染。</w:t>
      </w:r>
    </w:p>
    <w:p w14:paraId="6FB27C47">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2023年调查结果显示，保护区底栖动物</w:t>
      </w:r>
      <w:r>
        <w:rPr>
          <w:rFonts w:ascii="Times New Roman" w:hAnsi="Times New Roman" w:eastAsia="宋体"/>
          <w:i/>
          <w:color w:val="auto"/>
          <w:sz w:val="24"/>
          <w:szCs w:val="24"/>
          <w:lang w:bidi="ar"/>
        </w:rPr>
        <w:t>GBI</w:t>
      </w:r>
      <w:r>
        <w:rPr>
          <w:rFonts w:ascii="Times New Roman" w:hAnsi="Times New Roman" w:eastAsia="宋体"/>
          <w:color w:val="auto"/>
          <w:sz w:val="24"/>
          <w:szCs w:val="24"/>
          <w:lang w:bidi="ar"/>
        </w:rPr>
        <w:t>指数变幅为0.34-0.82，均值为0.55，表明保护区处于无污染或者轻污染状态</w:t>
      </w:r>
      <w:r>
        <w:rPr>
          <w:rFonts w:ascii="Times New Roman" w:hAnsi="Times New Roman" w:eastAsia="宋体"/>
          <w:color w:val="auto"/>
          <w:sz w:val="24"/>
          <w:szCs w:val="21"/>
          <w:lang w:bidi="ar"/>
        </w:rPr>
        <w:t>。</w:t>
      </w:r>
    </w:p>
    <w:p w14:paraId="258DF7D8">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(1)繁殖期</w:t>
      </w:r>
    </w:p>
    <w:p w14:paraId="0E39489B">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保护区底栖动物</w:t>
      </w:r>
      <w:r>
        <w:rPr>
          <w:rFonts w:ascii="Times New Roman" w:hAnsi="Times New Roman" w:eastAsia="宋体"/>
          <w:i/>
          <w:color w:val="auto"/>
          <w:sz w:val="24"/>
          <w:szCs w:val="24"/>
          <w:lang w:bidi="ar"/>
        </w:rPr>
        <w:t>GBI</w:t>
      </w:r>
      <w:r>
        <w:rPr>
          <w:rFonts w:ascii="Times New Roman" w:hAnsi="Times New Roman" w:eastAsia="宋体"/>
          <w:color w:val="auto"/>
          <w:sz w:val="24"/>
          <w:szCs w:val="24"/>
          <w:lang w:bidi="ar"/>
        </w:rPr>
        <w:t>指数变幅为0.34-0.63，均值为0.48，表明保护区繁殖期</w:t>
      </w:r>
      <w:bookmarkStart w:id="117" w:name="_Hlk152597488"/>
      <w:r>
        <w:rPr>
          <w:rFonts w:ascii="Times New Roman" w:hAnsi="Times New Roman" w:eastAsia="宋体"/>
          <w:color w:val="auto"/>
          <w:sz w:val="24"/>
          <w:szCs w:val="24"/>
          <w:lang w:bidi="ar"/>
        </w:rPr>
        <w:t>处于无污染或者轻污染状态</w:t>
      </w:r>
      <w:bookmarkEnd w:id="117"/>
      <w:r>
        <w:rPr>
          <w:rFonts w:ascii="Times New Roman" w:hAnsi="Times New Roman" w:eastAsia="宋体"/>
          <w:color w:val="auto"/>
          <w:sz w:val="24"/>
          <w:szCs w:val="21"/>
          <w:lang w:bidi="ar"/>
        </w:rPr>
        <w:t>。</w:t>
      </w:r>
    </w:p>
    <w:p w14:paraId="081789DC">
      <w:pPr>
        <w:widowControl/>
        <w:spacing w:line="360" w:lineRule="auto"/>
        <w:ind w:firstLine="480" w:firstLineChars="200"/>
        <w:rPr>
          <w:rFonts w:ascii="Times New Roman" w:hAnsi="Times New Roman" w:eastAsia="宋体"/>
          <w:b/>
          <w:bCs/>
          <w:color w:val="auto"/>
          <w:sz w:val="24"/>
          <w:szCs w:val="21"/>
          <w:lang w:bidi="ar"/>
        </w:rPr>
      </w:pPr>
      <w:r>
        <w:rPr>
          <w:rFonts w:ascii="Times New Roman" w:hAnsi="Times New Roman" w:eastAsia="宋体"/>
          <w:b/>
          <w:bCs/>
          <w:color w:val="auto"/>
          <w:sz w:val="24"/>
          <w:szCs w:val="21"/>
          <w:lang w:bidi="ar"/>
        </w:rPr>
        <w:t>(2)索饵期</w:t>
      </w:r>
    </w:p>
    <w:p w14:paraId="24C1AAD9">
      <w:pPr>
        <w:widowControl/>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4"/>
          <w:lang w:bidi="ar"/>
        </w:rPr>
        <w:t>保护区底栖动物</w:t>
      </w:r>
      <w:r>
        <w:rPr>
          <w:rFonts w:ascii="Times New Roman" w:hAnsi="Times New Roman" w:eastAsia="宋体"/>
          <w:i/>
          <w:color w:val="auto"/>
          <w:sz w:val="24"/>
          <w:szCs w:val="24"/>
          <w:lang w:bidi="ar"/>
        </w:rPr>
        <w:t>GBI</w:t>
      </w:r>
      <w:r>
        <w:rPr>
          <w:rFonts w:ascii="Times New Roman" w:hAnsi="Times New Roman" w:eastAsia="宋体"/>
          <w:color w:val="auto"/>
          <w:sz w:val="24"/>
          <w:szCs w:val="24"/>
          <w:lang w:bidi="ar"/>
        </w:rPr>
        <w:t>指数变幅为0.42-0.82，均值为0.62，表明索饵期保护区处于无污染或者轻污染状态</w:t>
      </w:r>
      <w:r>
        <w:rPr>
          <w:rFonts w:ascii="Times New Roman" w:hAnsi="Times New Roman" w:eastAsia="宋体"/>
          <w:color w:val="auto"/>
          <w:sz w:val="24"/>
          <w:szCs w:val="21"/>
          <w:lang w:bidi="ar"/>
        </w:rPr>
        <w:t>。</w:t>
      </w:r>
    </w:p>
    <w:p w14:paraId="5E69F5D7">
      <w:pPr>
        <w:spacing w:line="240" w:lineRule="auto"/>
        <w:jc w:val="center"/>
        <w:rPr>
          <w:rFonts w:ascii="Times New Roman" w:hAnsi="Times New Roman" w:eastAsia="宋体"/>
          <w:color w:val="auto"/>
          <w:sz w:val="24"/>
          <w:szCs w:val="28"/>
        </w:rPr>
      </w:pPr>
      <w:r>
        <w:rPr>
          <w:rFonts w:ascii="Times New Roman" w:hAnsi="Times New Roman" w:eastAsia="宋体"/>
          <w:color w:val="auto"/>
          <w:sz w:val="24"/>
          <w:szCs w:val="22"/>
        </w:rPr>
        <w:drawing>
          <wp:inline distT="0" distB="0" distL="114300" distR="114300">
            <wp:extent cx="5041265" cy="2877185"/>
            <wp:effectExtent l="0" t="0" r="6985" b="18415"/>
            <wp:docPr id="33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60"/>
                    <pic:cNvPicPr>
                      <a:picLocks noChangeAspect="1"/>
                    </pic:cNvPicPr>
                  </pic:nvPicPr>
                  <pic:blipFill>
                    <a:blip r:embed="rId127"/>
                    <a:stretch>
                      <a:fillRect/>
                    </a:stretch>
                  </pic:blipFill>
                  <pic:spPr>
                    <a:xfrm>
                      <a:off x="0" y="0"/>
                      <a:ext cx="5041265" cy="2877185"/>
                    </a:xfrm>
                    <a:prstGeom prst="rect">
                      <a:avLst/>
                    </a:prstGeom>
                    <a:noFill/>
                    <a:ln>
                      <a:noFill/>
                    </a:ln>
                  </pic:spPr>
                </pic:pic>
              </a:graphicData>
            </a:graphic>
          </wp:inline>
        </w:drawing>
      </w:r>
    </w:p>
    <w:p w14:paraId="2FDFF80B">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-32</w:t>
      </w:r>
      <w:r>
        <w:rPr>
          <w:rFonts w:ascii="Times New Roman" w:hAnsi="Times New Roman" w:eastAsia="黑体" w:cs="Times New Roman"/>
          <w:color w:val="auto"/>
          <w:sz w:val="24"/>
          <w:szCs w:val="21"/>
        </w:rPr>
        <w:t xml:space="preserve">  2023年度保护区调查水域底栖动物GBI指数时间特征</w:t>
      </w:r>
    </w:p>
    <w:p w14:paraId="7BE04641">
      <w:pPr>
        <w:keepNext/>
        <w:keepLines/>
        <w:widowControl w:val="0"/>
        <w:numPr>
          <w:ilvl w:val="0"/>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4.2.5.14 水生维管植物调查</w:t>
      </w:r>
    </w:p>
    <w:p w14:paraId="701F6A02">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4.2.5.14.1 群落组成</w:t>
      </w:r>
    </w:p>
    <w:p w14:paraId="326CA3C4">
      <w:pPr>
        <w:spacing w:line="360" w:lineRule="auto"/>
        <w:ind w:firstLine="560"/>
        <w:rPr>
          <w:rFonts w:ascii="Times New Roman" w:hAnsi="Times New Roman" w:eastAsia="宋体"/>
          <w:color w:val="auto"/>
          <w:sz w:val="22"/>
          <w:szCs w:val="24"/>
        </w:rPr>
      </w:pPr>
      <w:r>
        <w:rPr>
          <w:rFonts w:ascii="Times New Roman" w:hAnsi="Times New Roman" w:eastAsia="宋体"/>
          <w:color w:val="auto"/>
          <w:sz w:val="24"/>
          <w:szCs w:val="24"/>
          <w:lang w:bidi="ar"/>
        </w:rPr>
        <w:t>根据2019年调查结果，保护区河段共统计鉴定出维管植物30科65属78种，其中薹草属因缺乏必要形态特征，仅鉴定到属，其余物种均鉴定到种。单子叶植物2科14属18种，双子叶植物28科51属60种，双子叶植物占据明显优势。</w:t>
      </w:r>
    </w:p>
    <w:p w14:paraId="08F609B7">
      <w:pPr>
        <w:spacing w:line="360" w:lineRule="auto"/>
        <w:ind w:firstLine="560"/>
        <w:rPr>
          <w:rFonts w:ascii="Times New Roman" w:hAnsi="Times New Roman" w:eastAsia="宋体"/>
          <w:color w:val="auto"/>
          <w:sz w:val="24"/>
          <w:szCs w:val="28"/>
        </w:rPr>
      </w:pPr>
      <w:r>
        <w:rPr>
          <w:rFonts w:ascii="Times New Roman" w:hAnsi="Times New Roman" w:eastAsia="宋体"/>
          <w:color w:val="auto"/>
          <w:sz w:val="24"/>
          <w:szCs w:val="24"/>
          <w:lang w:bidi="ar"/>
        </w:rPr>
        <w:t>调查结果显示，保护区河段发现了国家重点保护野生植物——野大豆(</w:t>
      </w:r>
      <w:r>
        <w:rPr>
          <w:rFonts w:ascii="Times New Roman" w:hAnsi="Times New Roman" w:eastAsia="宋体"/>
          <w:i/>
          <w:iCs/>
          <w:color w:val="auto"/>
          <w:sz w:val="24"/>
          <w:szCs w:val="24"/>
          <w:lang w:bidi="ar"/>
        </w:rPr>
        <w:t>Glycine soja</w:t>
      </w:r>
      <w:r>
        <w:rPr>
          <w:rFonts w:ascii="Times New Roman" w:hAnsi="Times New Roman" w:eastAsia="宋体"/>
          <w:color w:val="auto"/>
          <w:sz w:val="24"/>
          <w:szCs w:val="24"/>
          <w:lang w:bidi="ar"/>
        </w:rPr>
        <w:t>)，保护级别为国家</w:t>
      </w:r>
      <w:r>
        <w:rPr>
          <w:rFonts w:hint="eastAsia"/>
          <w:color w:val="auto"/>
          <w:sz w:val="24"/>
          <w:szCs w:val="24"/>
          <w:lang w:eastAsia="zh-CN" w:bidi="ar"/>
        </w:rPr>
        <w:t>Ⅱ级</w:t>
      </w:r>
      <w:r>
        <w:rPr>
          <w:rFonts w:ascii="Times New Roman" w:hAnsi="Times New Roman" w:eastAsia="宋体"/>
          <w:color w:val="auto"/>
          <w:sz w:val="24"/>
          <w:szCs w:val="28"/>
        </w:rPr>
        <w:t>(表4.2</w:t>
      </w:r>
      <w:r>
        <w:rPr>
          <w:rFonts w:hint="eastAsia" w:ascii="Times New Roman" w:hAnsi="Times New Roman" w:eastAsia="宋体"/>
          <w:color w:val="auto"/>
          <w:sz w:val="24"/>
          <w:szCs w:val="28"/>
          <w:lang w:val="en-US" w:eastAsia="zh-CN"/>
        </w:rPr>
        <w:t>-35</w:t>
      </w:r>
      <w:r>
        <w:rPr>
          <w:rFonts w:ascii="Times New Roman" w:hAnsi="Times New Roman" w:eastAsia="宋体"/>
          <w:color w:val="auto"/>
          <w:sz w:val="24"/>
          <w:szCs w:val="28"/>
        </w:rPr>
        <w:t>)。</w:t>
      </w:r>
    </w:p>
    <w:p w14:paraId="03F2B7BC">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表4.2</w:t>
      </w:r>
      <w:r>
        <w:rPr>
          <w:rFonts w:hint="eastAsia" w:ascii="Times New Roman" w:hAnsi="Times New Roman" w:eastAsia="黑体" w:cs="Times New Roman"/>
          <w:color w:val="auto"/>
          <w:sz w:val="24"/>
          <w:szCs w:val="21"/>
          <w:lang w:val="en-US" w:eastAsia="zh-CN"/>
        </w:rPr>
        <w:t>-35</w:t>
      </w:r>
      <w:r>
        <w:rPr>
          <w:rFonts w:ascii="Times New Roman" w:hAnsi="Times New Roman" w:eastAsia="黑体" w:cs="Times New Roman"/>
          <w:color w:val="auto"/>
          <w:sz w:val="24"/>
          <w:szCs w:val="21"/>
        </w:rPr>
        <w:t xml:space="preserve">  保护区调查区维管植物名录</w:t>
      </w:r>
    </w:p>
    <w:tbl>
      <w:tblPr>
        <w:tblStyle w:val="53"/>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87"/>
        <w:gridCol w:w="2284"/>
        <w:gridCol w:w="5512"/>
      </w:tblGrid>
      <w:tr w14:paraId="28658A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07407EF0">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lang w:bidi="ar"/>
              </w:rPr>
              <w:t>科名</w:t>
            </w:r>
          </w:p>
        </w:tc>
        <w:tc>
          <w:tcPr>
            <w:tcW w:w="1230" w:type="pct"/>
            <w:tcBorders>
              <w:tl2br w:val="nil"/>
              <w:tr2bl w:val="nil"/>
            </w:tcBorders>
            <w:noWrap/>
            <w:vAlign w:val="center"/>
          </w:tcPr>
          <w:p w14:paraId="7B2CB231">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lang w:bidi="ar"/>
              </w:rPr>
              <w:t>属名</w:t>
            </w:r>
          </w:p>
        </w:tc>
        <w:tc>
          <w:tcPr>
            <w:tcW w:w="2965" w:type="pct"/>
            <w:tcBorders>
              <w:tl2br w:val="nil"/>
              <w:tr2bl w:val="nil"/>
            </w:tcBorders>
            <w:noWrap/>
            <w:vAlign w:val="center"/>
          </w:tcPr>
          <w:p w14:paraId="22DF31D6">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lang w:bidi="ar"/>
              </w:rPr>
              <w:t>种名及拉丁名</w:t>
            </w:r>
          </w:p>
        </w:tc>
      </w:tr>
      <w:tr w14:paraId="179460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5000" w:type="pct"/>
            <w:gridSpan w:val="3"/>
            <w:tcBorders>
              <w:tl2br w:val="nil"/>
              <w:tr2bl w:val="nil"/>
            </w:tcBorders>
            <w:noWrap w:val="0"/>
            <w:vAlign w:val="center"/>
          </w:tcPr>
          <w:p w14:paraId="716F638C">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b/>
                <w:color w:val="auto"/>
                <w:sz w:val="21"/>
                <w:szCs w:val="21"/>
                <w:lang w:bidi="ar"/>
              </w:rPr>
              <w:t>双子叶植物</w:t>
            </w:r>
          </w:p>
        </w:tc>
      </w:tr>
      <w:tr w14:paraId="440EB2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2D587D4B">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桑科</w:t>
            </w:r>
          </w:p>
        </w:tc>
        <w:tc>
          <w:tcPr>
            <w:tcW w:w="1230" w:type="pct"/>
            <w:tcBorders>
              <w:tl2br w:val="nil"/>
              <w:tr2bl w:val="nil"/>
            </w:tcBorders>
            <w:noWrap/>
            <w:vAlign w:val="center"/>
          </w:tcPr>
          <w:p w14:paraId="61ADEE1E">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葎草属</w:t>
            </w:r>
          </w:p>
        </w:tc>
        <w:tc>
          <w:tcPr>
            <w:tcW w:w="2965" w:type="pct"/>
            <w:tcBorders>
              <w:tl2br w:val="nil"/>
              <w:tr2bl w:val="nil"/>
            </w:tcBorders>
            <w:noWrap/>
            <w:vAlign w:val="bottom"/>
          </w:tcPr>
          <w:p w14:paraId="03B9E8E9">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1、葎草</w:t>
            </w:r>
            <w:r>
              <w:rPr>
                <w:rFonts w:hint="default" w:ascii="Times New Roman" w:hAnsi="Times New Roman" w:eastAsia="宋体"/>
                <w:bCs/>
                <w:i/>
                <w:color w:val="auto"/>
                <w:sz w:val="21"/>
                <w:szCs w:val="21"/>
                <w:lang w:bidi="ar"/>
              </w:rPr>
              <w:t>Humulus scandens</w:t>
            </w:r>
          </w:p>
        </w:tc>
      </w:tr>
      <w:tr w14:paraId="59C43C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7A810452">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杨柳科</w:t>
            </w:r>
          </w:p>
        </w:tc>
        <w:tc>
          <w:tcPr>
            <w:tcW w:w="1230" w:type="pct"/>
            <w:tcBorders>
              <w:tl2br w:val="nil"/>
              <w:tr2bl w:val="nil"/>
            </w:tcBorders>
            <w:noWrap/>
            <w:vAlign w:val="center"/>
          </w:tcPr>
          <w:p w14:paraId="31BC65DD">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bottom"/>
          </w:tcPr>
          <w:p w14:paraId="148C639C">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2、旱柳</w:t>
            </w:r>
            <w:r>
              <w:rPr>
                <w:rFonts w:hint="default" w:ascii="Times New Roman" w:hAnsi="Times New Roman" w:eastAsia="宋体"/>
                <w:i/>
                <w:iCs/>
                <w:color w:val="auto"/>
                <w:kern w:val="0"/>
                <w:sz w:val="21"/>
                <w:szCs w:val="21"/>
                <w:lang w:bidi="ar"/>
              </w:rPr>
              <w:t>Salix matsudana</w:t>
            </w:r>
          </w:p>
        </w:tc>
      </w:tr>
      <w:tr w14:paraId="585D81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33334A6B">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38C30EA2">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杨属</w:t>
            </w:r>
          </w:p>
        </w:tc>
        <w:tc>
          <w:tcPr>
            <w:tcW w:w="2965" w:type="pct"/>
            <w:tcBorders>
              <w:tl2br w:val="nil"/>
              <w:tr2bl w:val="nil"/>
            </w:tcBorders>
            <w:noWrap/>
            <w:vAlign w:val="bottom"/>
          </w:tcPr>
          <w:p w14:paraId="021DC599">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3、意杨</w:t>
            </w:r>
            <w:r>
              <w:rPr>
                <w:rFonts w:hint="default" w:ascii="Times New Roman" w:hAnsi="Times New Roman" w:eastAsia="宋体"/>
                <w:bCs/>
                <w:i/>
                <w:color w:val="auto"/>
                <w:sz w:val="21"/>
                <w:szCs w:val="21"/>
                <w:lang w:bidi="ar"/>
              </w:rPr>
              <w:t>Populus canadensis</w:t>
            </w:r>
          </w:p>
        </w:tc>
      </w:tr>
      <w:tr w14:paraId="14535E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top"/>
          </w:tcPr>
          <w:p w14:paraId="0290EA62">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蔷薇科</w:t>
            </w:r>
          </w:p>
        </w:tc>
        <w:tc>
          <w:tcPr>
            <w:tcW w:w="1230" w:type="pct"/>
            <w:tcBorders>
              <w:tl2br w:val="nil"/>
              <w:tr2bl w:val="nil"/>
            </w:tcBorders>
            <w:noWrap/>
            <w:vAlign w:val="center"/>
          </w:tcPr>
          <w:p w14:paraId="4B64D14C">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bottom"/>
          </w:tcPr>
          <w:p w14:paraId="30C80941">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4、委陵菜</w:t>
            </w:r>
            <w:r>
              <w:rPr>
                <w:rFonts w:hint="default" w:ascii="Times New Roman" w:hAnsi="Times New Roman" w:eastAsia="宋体"/>
                <w:bCs/>
                <w:i/>
                <w:color w:val="auto"/>
                <w:sz w:val="21"/>
                <w:szCs w:val="21"/>
                <w:lang w:bidi="ar"/>
              </w:rPr>
              <w:t>Potentilla</w:t>
            </w:r>
            <w:r>
              <w:rPr>
                <w:rFonts w:hint="default" w:ascii="Times New Roman" w:hAnsi="Times New Roman" w:eastAsia="宋体"/>
                <w:i/>
                <w:iCs/>
                <w:color w:val="auto"/>
                <w:kern w:val="0"/>
                <w:sz w:val="21"/>
                <w:szCs w:val="21"/>
                <w:lang w:bidi="ar"/>
              </w:rPr>
              <w:t xml:space="preserve"> chinensis</w:t>
            </w:r>
          </w:p>
        </w:tc>
      </w:tr>
      <w:tr w14:paraId="6E450C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top"/>
          </w:tcPr>
          <w:p w14:paraId="6289EE0B">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70A44EA0">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悬钩子属</w:t>
            </w:r>
          </w:p>
        </w:tc>
        <w:tc>
          <w:tcPr>
            <w:tcW w:w="2965" w:type="pct"/>
            <w:tcBorders>
              <w:tl2br w:val="nil"/>
              <w:tr2bl w:val="nil"/>
            </w:tcBorders>
            <w:noWrap/>
            <w:vAlign w:val="bottom"/>
          </w:tcPr>
          <w:p w14:paraId="03F048E7">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5、茅莓</w:t>
            </w:r>
            <w:r>
              <w:rPr>
                <w:rFonts w:hint="default" w:ascii="Times New Roman" w:hAnsi="Times New Roman" w:eastAsia="宋体"/>
                <w:i/>
                <w:iCs/>
                <w:color w:val="auto"/>
                <w:kern w:val="0"/>
                <w:sz w:val="21"/>
                <w:szCs w:val="21"/>
                <w:lang w:bidi="ar"/>
              </w:rPr>
              <w:t>Rubus parvifolius</w:t>
            </w:r>
          </w:p>
        </w:tc>
      </w:tr>
      <w:tr w14:paraId="2372A0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58061667">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豆科</w:t>
            </w:r>
          </w:p>
        </w:tc>
        <w:tc>
          <w:tcPr>
            <w:tcW w:w="1230" w:type="pct"/>
            <w:tcBorders>
              <w:tl2br w:val="nil"/>
              <w:tr2bl w:val="nil"/>
            </w:tcBorders>
            <w:noWrap/>
            <w:vAlign w:val="center"/>
          </w:tcPr>
          <w:p w14:paraId="1AB332C8">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大豆属</w:t>
            </w:r>
          </w:p>
        </w:tc>
        <w:tc>
          <w:tcPr>
            <w:tcW w:w="2965" w:type="pct"/>
            <w:tcBorders>
              <w:tl2br w:val="nil"/>
              <w:tr2bl w:val="nil"/>
            </w:tcBorders>
            <w:noWrap/>
            <w:vAlign w:val="bottom"/>
          </w:tcPr>
          <w:p w14:paraId="5A514A8D">
            <w:pPr>
              <w:keepNext w:val="0"/>
              <w:keepLines w:val="0"/>
              <w:suppressLineNumbers w:val="0"/>
              <w:spacing w:before="0" w:beforeAutospacing="0" w:after="0" w:afterAutospacing="0" w:line="240" w:lineRule="auto"/>
              <w:ind w:left="0" w:right="0"/>
              <w:jc w:val="left"/>
              <w:rPr>
                <w:rFonts w:hint="default" w:ascii="Times New Roman" w:hAnsi="Times New Roman" w:eastAsia="宋体"/>
                <w:bCs/>
                <w:i/>
                <w:color w:val="auto"/>
                <w:sz w:val="21"/>
                <w:szCs w:val="21"/>
              </w:rPr>
            </w:pPr>
            <w:r>
              <w:rPr>
                <w:rFonts w:hint="default" w:ascii="Times New Roman" w:hAnsi="Times New Roman" w:eastAsia="宋体"/>
                <w:color w:val="auto"/>
                <w:sz w:val="21"/>
                <w:szCs w:val="21"/>
                <w:lang w:bidi="ar"/>
              </w:rPr>
              <w:t>6、野大豆</w:t>
            </w:r>
            <w:r>
              <w:rPr>
                <w:rFonts w:hint="default" w:ascii="Times New Roman" w:hAnsi="Times New Roman" w:eastAsia="宋体"/>
                <w:bCs/>
                <w:i/>
                <w:color w:val="auto"/>
                <w:sz w:val="21"/>
                <w:szCs w:val="21"/>
                <w:lang w:bidi="ar"/>
              </w:rPr>
              <w:t>Glycine soja</w:t>
            </w:r>
          </w:p>
        </w:tc>
      </w:tr>
      <w:tr w14:paraId="674701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2425D22E">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509DAC03">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苜蓿属</w:t>
            </w:r>
          </w:p>
        </w:tc>
        <w:tc>
          <w:tcPr>
            <w:tcW w:w="2965" w:type="pct"/>
            <w:tcBorders>
              <w:tl2br w:val="nil"/>
              <w:tr2bl w:val="nil"/>
            </w:tcBorders>
            <w:noWrap/>
            <w:vAlign w:val="bottom"/>
          </w:tcPr>
          <w:p w14:paraId="0BF0E70E">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 xml:space="preserve">7、天蓝苜蓿 </w:t>
            </w:r>
            <w:r>
              <w:rPr>
                <w:rFonts w:hint="default" w:ascii="Times New Roman" w:hAnsi="Times New Roman" w:eastAsia="宋体"/>
                <w:bCs/>
                <w:i/>
                <w:color w:val="auto"/>
                <w:sz w:val="21"/>
                <w:szCs w:val="21"/>
                <w:lang w:bidi="ar"/>
              </w:rPr>
              <w:t>Medicago lupulina</w:t>
            </w:r>
          </w:p>
        </w:tc>
      </w:tr>
      <w:tr w14:paraId="3999ED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32F48A0D">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4A8D8487">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合萌属</w:t>
            </w:r>
          </w:p>
        </w:tc>
        <w:tc>
          <w:tcPr>
            <w:tcW w:w="2965" w:type="pct"/>
            <w:tcBorders>
              <w:tl2br w:val="nil"/>
              <w:tr2bl w:val="nil"/>
            </w:tcBorders>
            <w:noWrap/>
            <w:vAlign w:val="bottom"/>
          </w:tcPr>
          <w:p w14:paraId="4DB458BB">
            <w:pPr>
              <w:keepNext w:val="0"/>
              <w:keepLines w:val="0"/>
              <w:suppressLineNumbers w:val="0"/>
              <w:spacing w:before="0" w:beforeAutospacing="0" w:after="0" w:afterAutospacing="0" w:line="240" w:lineRule="auto"/>
              <w:ind w:left="0" w:right="0"/>
              <w:jc w:val="left"/>
              <w:rPr>
                <w:rFonts w:hint="default" w:ascii="Times New Roman" w:hAnsi="Times New Roman" w:eastAsia="宋体"/>
                <w:bCs/>
                <w:i/>
                <w:color w:val="auto"/>
                <w:sz w:val="21"/>
                <w:szCs w:val="21"/>
              </w:rPr>
            </w:pPr>
            <w:r>
              <w:rPr>
                <w:rFonts w:hint="default" w:ascii="Times New Roman" w:hAnsi="Times New Roman" w:eastAsia="宋体"/>
                <w:color w:val="auto"/>
                <w:sz w:val="21"/>
                <w:szCs w:val="21"/>
                <w:lang w:bidi="ar"/>
              </w:rPr>
              <w:t>8、合萌</w:t>
            </w:r>
            <w:r>
              <w:rPr>
                <w:rFonts w:hint="default" w:ascii="Times New Roman" w:hAnsi="Times New Roman" w:eastAsia="宋体"/>
                <w:bCs/>
                <w:i/>
                <w:color w:val="auto"/>
                <w:sz w:val="21"/>
                <w:szCs w:val="21"/>
                <w:lang w:bidi="ar"/>
              </w:rPr>
              <w:t>Aeschynomene indica</w:t>
            </w:r>
          </w:p>
        </w:tc>
      </w:tr>
      <w:tr w14:paraId="7E29BA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1DD8677D">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7FA55A4F">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决明属</w:t>
            </w:r>
          </w:p>
        </w:tc>
        <w:tc>
          <w:tcPr>
            <w:tcW w:w="2965" w:type="pct"/>
            <w:tcBorders>
              <w:tl2br w:val="nil"/>
              <w:tr2bl w:val="nil"/>
            </w:tcBorders>
            <w:noWrap/>
            <w:vAlign w:val="bottom"/>
          </w:tcPr>
          <w:p w14:paraId="1986D1D2">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9、决明</w:t>
            </w:r>
            <w:r>
              <w:rPr>
                <w:rFonts w:hint="default" w:ascii="Times New Roman" w:hAnsi="Times New Roman" w:eastAsia="宋体"/>
                <w:i/>
                <w:iCs/>
                <w:color w:val="auto"/>
                <w:kern w:val="0"/>
                <w:sz w:val="21"/>
                <w:szCs w:val="21"/>
                <w:lang w:bidi="ar"/>
              </w:rPr>
              <w:t>Senna tora</w:t>
            </w:r>
          </w:p>
        </w:tc>
      </w:tr>
      <w:tr w14:paraId="2DC316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6689FB83">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20090F73">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鸡眼草属</w:t>
            </w:r>
          </w:p>
        </w:tc>
        <w:tc>
          <w:tcPr>
            <w:tcW w:w="2965" w:type="pct"/>
            <w:tcBorders>
              <w:tl2br w:val="nil"/>
              <w:tr2bl w:val="nil"/>
            </w:tcBorders>
            <w:noWrap/>
            <w:vAlign w:val="bottom"/>
          </w:tcPr>
          <w:p w14:paraId="6160369F">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10、鸡眼草</w:t>
            </w:r>
            <w:r>
              <w:rPr>
                <w:rFonts w:hint="default" w:ascii="Times New Roman" w:hAnsi="Times New Roman" w:eastAsia="宋体"/>
                <w:i/>
                <w:iCs/>
                <w:color w:val="auto"/>
                <w:kern w:val="0"/>
                <w:sz w:val="21"/>
                <w:szCs w:val="21"/>
                <w:lang w:bidi="ar"/>
              </w:rPr>
              <w:t>Kummerowia striata</w:t>
            </w:r>
          </w:p>
        </w:tc>
      </w:tr>
      <w:tr w14:paraId="5C8F08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62ABCB44">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72079B1F">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米口袋属</w:t>
            </w:r>
          </w:p>
        </w:tc>
        <w:tc>
          <w:tcPr>
            <w:tcW w:w="2965" w:type="pct"/>
            <w:tcBorders>
              <w:tl2br w:val="nil"/>
              <w:tr2bl w:val="nil"/>
            </w:tcBorders>
            <w:noWrap/>
            <w:vAlign w:val="bottom"/>
          </w:tcPr>
          <w:p w14:paraId="5E363650">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11、少花米口袋</w:t>
            </w:r>
            <w:r>
              <w:rPr>
                <w:rFonts w:hint="default" w:ascii="Times New Roman" w:hAnsi="Times New Roman" w:eastAsia="宋体"/>
                <w:i/>
                <w:iCs/>
                <w:color w:val="auto"/>
                <w:kern w:val="0"/>
                <w:sz w:val="21"/>
                <w:szCs w:val="21"/>
                <w:lang w:bidi="ar"/>
              </w:rPr>
              <w:t>Gueldenstaedtia verna</w:t>
            </w:r>
          </w:p>
        </w:tc>
      </w:tr>
      <w:tr w14:paraId="198CA1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top"/>
          </w:tcPr>
          <w:p w14:paraId="5D904872">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大戟科</w:t>
            </w:r>
          </w:p>
        </w:tc>
        <w:tc>
          <w:tcPr>
            <w:tcW w:w="1230" w:type="pct"/>
            <w:tcBorders>
              <w:tl2br w:val="nil"/>
              <w:tr2bl w:val="nil"/>
            </w:tcBorders>
            <w:noWrap/>
            <w:vAlign w:val="center"/>
          </w:tcPr>
          <w:p w14:paraId="0E2A4D1B">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bottom"/>
          </w:tcPr>
          <w:p w14:paraId="2ECF371E">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12、斑地锦</w:t>
            </w:r>
            <w:r>
              <w:rPr>
                <w:rFonts w:hint="default" w:ascii="Times New Roman" w:hAnsi="Times New Roman" w:eastAsia="宋体"/>
                <w:bCs/>
                <w:i/>
                <w:color w:val="auto"/>
                <w:sz w:val="21"/>
                <w:szCs w:val="21"/>
                <w:lang w:bidi="ar"/>
              </w:rPr>
              <w:t>Euphorbia maculata</w:t>
            </w:r>
          </w:p>
        </w:tc>
      </w:tr>
      <w:tr w14:paraId="7ADD22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top"/>
          </w:tcPr>
          <w:p w14:paraId="274C282C">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54A07156">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bottom"/>
          </w:tcPr>
          <w:p w14:paraId="1C33AFFC">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13、千根草</w:t>
            </w:r>
            <w:r>
              <w:rPr>
                <w:rFonts w:hint="default" w:ascii="Times New Roman" w:hAnsi="Times New Roman" w:eastAsia="宋体"/>
                <w:i/>
                <w:iCs/>
                <w:color w:val="auto"/>
                <w:kern w:val="0"/>
                <w:sz w:val="21"/>
                <w:szCs w:val="21"/>
                <w:lang w:bidi="ar"/>
              </w:rPr>
              <w:t>Euphorbia thymifolia</w:t>
            </w:r>
          </w:p>
        </w:tc>
      </w:tr>
      <w:tr w14:paraId="4A3568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top"/>
          </w:tcPr>
          <w:p w14:paraId="31913C42">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1CC568FF">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bottom"/>
          </w:tcPr>
          <w:p w14:paraId="2CAF9C37">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14、通奶草</w:t>
            </w:r>
            <w:r>
              <w:rPr>
                <w:rFonts w:hint="default" w:ascii="Times New Roman" w:hAnsi="Times New Roman" w:eastAsia="宋体"/>
                <w:i/>
                <w:iCs/>
                <w:color w:val="auto"/>
                <w:kern w:val="0"/>
                <w:sz w:val="21"/>
                <w:szCs w:val="21"/>
                <w:lang w:bidi="ar"/>
              </w:rPr>
              <w:t>Euphorbia hypericifolia</w:t>
            </w:r>
          </w:p>
        </w:tc>
      </w:tr>
      <w:tr w14:paraId="29F881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top"/>
          </w:tcPr>
          <w:p w14:paraId="2681059D">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5161A0A3">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铁苋菜属</w:t>
            </w:r>
          </w:p>
        </w:tc>
        <w:tc>
          <w:tcPr>
            <w:tcW w:w="2965" w:type="pct"/>
            <w:tcBorders>
              <w:tl2br w:val="nil"/>
              <w:tr2bl w:val="nil"/>
            </w:tcBorders>
            <w:noWrap/>
            <w:vAlign w:val="bottom"/>
          </w:tcPr>
          <w:p w14:paraId="2F8BB4ED">
            <w:pPr>
              <w:keepNext w:val="0"/>
              <w:keepLines w:val="0"/>
              <w:suppressLineNumbers w:val="0"/>
              <w:spacing w:before="0" w:beforeAutospacing="0" w:after="0" w:afterAutospacing="0" w:line="240" w:lineRule="auto"/>
              <w:ind w:left="0" w:right="0"/>
              <w:jc w:val="left"/>
              <w:rPr>
                <w:rFonts w:hint="default" w:ascii="Times New Roman" w:hAnsi="Times New Roman" w:eastAsia="宋体"/>
                <w:bCs/>
                <w:i/>
                <w:color w:val="auto"/>
                <w:sz w:val="21"/>
                <w:szCs w:val="21"/>
              </w:rPr>
            </w:pPr>
            <w:r>
              <w:rPr>
                <w:rFonts w:hint="default" w:ascii="Times New Roman" w:hAnsi="Times New Roman" w:eastAsia="宋体"/>
                <w:color w:val="auto"/>
                <w:sz w:val="21"/>
                <w:szCs w:val="21"/>
                <w:lang w:bidi="ar"/>
              </w:rPr>
              <w:t>15、铁苋菜</w:t>
            </w:r>
            <w:r>
              <w:rPr>
                <w:rFonts w:hint="default" w:ascii="Times New Roman" w:hAnsi="Times New Roman" w:eastAsia="宋体"/>
                <w:bCs/>
                <w:i/>
                <w:color w:val="auto"/>
                <w:sz w:val="21"/>
                <w:szCs w:val="21"/>
                <w:lang w:bidi="ar"/>
              </w:rPr>
              <w:t>Acalypha australis</w:t>
            </w:r>
          </w:p>
        </w:tc>
      </w:tr>
      <w:tr w14:paraId="2B84D4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top"/>
          </w:tcPr>
          <w:p w14:paraId="63763D34">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玄参科</w:t>
            </w:r>
          </w:p>
        </w:tc>
        <w:tc>
          <w:tcPr>
            <w:tcW w:w="1230" w:type="pct"/>
            <w:tcBorders>
              <w:tl2br w:val="nil"/>
              <w:tr2bl w:val="nil"/>
            </w:tcBorders>
            <w:noWrap/>
            <w:vAlign w:val="center"/>
          </w:tcPr>
          <w:p w14:paraId="6837990A">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婆婆纳属</w:t>
            </w:r>
          </w:p>
        </w:tc>
        <w:tc>
          <w:tcPr>
            <w:tcW w:w="2965" w:type="pct"/>
            <w:tcBorders>
              <w:tl2br w:val="nil"/>
              <w:tr2bl w:val="nil"/>
            </w:tcBorders>
            <w:noWrap/>
            <w:vAlign w:val="bottom"/>
          </w:tcPr>
          <w:p w14:paraId="625C8D2F">
            <w:pPr>
              <w:keepNext w:val="0"/>
              <w:keepLines w:val="0"/>
              <w:suppressLineNumbers w:val="0"/>
              <w:spacing w:before="0" w:beforeAutospacing="0" w:after="0" w:afterAutospacing="0" w:line="240" w:lineRule="auto"/>
              <w:ind w:left="0" w:right="0"/>
              <w:jc w:val="left"/>
              <w:rPr>
                <w:rFonts w:hint="default" w:ascii="Times New Roman" w:hAnsi="Times New Roman" w:eastAsia="宋体"/>
                <w:bCs/>
                <w:i/>
                <w:color w:val="auto"/>
                <w:sz w:val="21"/>
                <w:szCs w:val="21"/>
              </w:rPr>
            </w:pPr>
            <w:r>
              <w:rPr>
                <w:rFonts w:hint="default" w:ascii="Times New Roman" w:hAnsi="Times New Roman" w:eastAsia="宋体"/>
                <w:color w:val="auto"/>
                <w:sz w:val="21"/>
                <w:szCs w:val="21"/>
                <w:lang w:bidi="ar"/>
              </w:rPr>
              <w:t>16、阿拉伯婆婆纳</w:t>
            </w:r>
            <w:r>
              <w:rPr>
                <w:rFonts w:hint="default" w:ascii="Times New Roman" w:hAnsi="Times New Roman" w:eastAsia="宋体"/>
                <w:bCs/>
                <w:i/>
                <w:color w:val="auto"/>
                <w:sz w:val="21"/>
                <w:szCs w:val="21"/>
                <w:lang w:bidi="ar"/>
              </w:rPr>
              <w:t>Veronica persica</w:t>
            </w:r>
          </w:p>
        </w:tc>
      </w:tr>
      <w:tr w14:paraId="6EB52D1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727D69D7">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081AF98A">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蔊菜属</w:t>
            </w:r>
          </w:p>
        </w:tc>
        <w:tc>
          <w:tcPr>
            <w:tcW w:w="2965" w:type="pct"/>
            <w:tcBorders>
              <w:tl2br w:val="nil"/>
              <w:tr2bl w:val="nil"/>
            </w:tcBorders>
            <w:noWrap/>
            <w:vAlign w:val="bottom"/>
          </w:tcPr>
          <w:p w14:paraId="58A0C1DA">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 xml:space="preserve">17、风花菜 </w:t>
            </w:r>
            <w:r>
              <w:rPr>
                <w:rFonts w:hint="default" w:ascii="Times New Roman" w:hAnsi="Times New Roman" w:eastAsia="宋体"/>
                <w:bCs/>
                <w:i/>
                <w:color w:val="auto"/>
                <w:sz w:val="21"/>
                <w:szCs w:val="21"/>
                <w:lang w:bidi="ar"/>
              </w:rPr>
              <w:t>Rorippa globosa</w:t>
            </w:r>
          </w:p>
        </w:tc>
      </w:tr>
      <w:tr w14:paraId="3021C9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349C6ABC">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菊科</w:t>
            </w:r>
          </w:p>
        </w:tc>
        <w:tc>
          <w:tcPr>
            <w:tcW w:w="1230" w:type="pct"/>
            <w:tcBorders>
              <w:tl2br w:val="nil"/>
              <w:tr2bl w:val="nil"/>
            </w:tcBorders>
            <w:noWrap/>
            <w:vAlign w:val="center"/>
          </w:tcPr>
          <w:p w14:paraId="71FA4637">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蒿属</w:t>
            </w:r>
          </w:p>
        </w:tc>
        <w:tc>
          <w:tcPr>
            <w:tcW w:w="2965" w:type="pct"/>
            <w:tcBorders>
              <w:tl2br w:val="nil"/>
              <w:tr2bl w:val="nil"/>
            </w:tcBorders>
            <w:noWrap/>
            <w:vAlign w:val="bottom"/>
          </w:tcPr>
          <w:p w14:paraId="2EE301EC">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18、野艾蒿</w:t>
            </w:r>
            <w:r>
              <w:rPr>
                <w:rFonts w:hint="default" w:ascii="Times New Roman" w:hAnsi="Times New Roman" w:eastAsia="宋体"/>
                <w:bCs/>
                <w:i/>
                <w:color w:val="auto"/>
                <w:sz w:val="21"/>
                <w:szCs w:val="21"/>
                <w:lang w:bidi="ar"/>
              </w:rPr>
              <w:t>Artemisia lavandulaefolia</w:t>
            </w:r>
          </w:p>
        </w:tc>
      </w:tr>
      <w:tr w14:paraId="1716BD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68C360B2">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0707EC31">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bottom"/>
          </w:tcPr>
          <w:p w14:paraId="5B2A7F12">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19、茵陈蒿</w:t>
            </w:r>
            <w:r>
              <w:rPr>
                <w:rFonts w:hint="default" w:ascii="Times New Roman" w:hAnsi="Times New Roman" w:eastAsia="宋体"/>
                <w:i/>
                <w:iCs/>
                <w:color w:val="auto"/>
                <w:kern w:val="0"/>
                <w:sz w:val="21"/>
                <w:szCs w:val="21"/>
                <w:lang w:bidi="ar"/>
              </w:rPr>
              <w:t>Artemisia capillaris</w:t>
            </w:r>
          </w:p>
        </w:tc>
      </w:tr>
      <w:tr w14:paraId="7C44E6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25F7EF92">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06F3321F">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bottom"/>
          </w:tcPr>
          <w:p w14:paraId="4FF21FCE">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20、蒌蒿</w:t>
            </w:r>
            <w:r>
              <w:rPr>
                <w:rFonts w:hint="default" w:ascii="Times New Roman" w:hAnsi="Times New Roman" w:eastAsia="宋体"/>
                <w:i/>
                <w:iCs/>
                <w:color w:val="auto"/>
                <w:kern w:val="0"/>
                <w:sz w:val="21"/>
                <w:szCs w:val="21"/>
                <w:lang w:bidi="ar"/>
              </w:rPr>
              <w:t>Artemisia selengensis</w:t>
            </w:r>
          </w:p>
        </w:tc>
      </w:tr>
      <w:tr w14:paraId="240F91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6D41A574">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60A51492">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飞蓬属</w:t>
            </w:r>
          </w:p>
        </w:tc>
        <w:tc>
          <w:tcPr>
            <w:tcW w:w="2965" w:type="pct"/>
            <w:tcBorders>
              <w:tl2br w:val="nil"/>
              <w:tr2bl w:val="nil"/>
            </w:tcBorders>
            <w:noWrap/>
            <w:vAlign w:val="bottom"/>
          </w:tcPr>
          <w:p w14:paraId="07D71EFE">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21、一年蓬</w:t>
            </w:r>
            <w:r>
              <w:rPr>
                <w:rFonts w:hint="default" w:ascii="Times New Roman" w:hAnsi="Times New Roman" w:eastAsia="宋体"/>
                <w:bCs/>
                <w:i/>
                <w:color w:val="auto"/>
                <w:sz w:val="21"/>
                <w:szCs w:val="21"/>
                <w:lang w:bidi="ar"/>
              </w:rPr>
              <w:t>Erigeron annus</w:t>
            </w:r>
          </w:p>
        </w:tc>
      </w:tr>
      <w:tr w14:paraId="61BEB7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24BD0AA4">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2A158B43">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center"/>
          </w:tcPr>
          <w:p w14:paraId="16802EF2">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22、香丝草</w:t>
            </w:r>
            <w:r>
              <w:rPr>
                <w:rFonts w:hint="default" w:ascii="Times New Roman" w:hAnsi="Times New Roman" w:eastAsia="宋体"/>
                <w:i/>
                <w:iCs/>
                <w:color w:val="auto"/>
                <w:kern w:val="0"/>
                <w:sz w:val="21"/>
                <w:szCs w:val="21"/>
                <w:lang w:bidi="ar"/>
              </w:rPr>
              <w:t>Erigeron bonariensis</w:t>
            </w:r>
          </w:p>
        </w:tc>
      </w:tr>
      <w:tr w14:paraId="5615E1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74577DC8">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30FEE684">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center"/>
          </w:tcPr>
          <w:p w14:paraId="2B8C2185">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23小蓬草</w:t>
            </w:r>
            <w:r>
              <w:rPr>
                <w:rFonts w:hint="default" w:ascii="Times New Roman" w:hAnsi="Times New Roman" w:eastAsia="宋体"/>
                <w:i/>
                <w:iCs/>
                <w:color w:val="auto"/>
                <w:kern w:val="0"/>
                <w:sz w:val="21"/>
                <w:szCs w:val="21"/>
                <w:lang w:bidi="ar"/>
              </w:rPr>
              <w:t>Erigeron canadensis</w:t>
            </w:r>
          </w:p>
        </w:tc>
      </w:tr>
      <w:tr w14:paraId="6E946A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1DEE5B58">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3CD45AE9">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bCs/>
                <w:color w:val="auto"/>
                <w:sz w:val="21"/>
                <w:szCs w:val="21"/>
                <w:lang w:bidi="ar"/>
              </w:rPr>
              <w:t>鳢肠</w:t>
            </w:r>
            <w:r>
              <w:rPr>
                <w:rFonts w:hint="default" w:ascii="Times New Roman" w:hAnsi="Times New Roman" w:eastAsia="宋体"/>
                <w:color w:val="auto"/>
                <w:sz w:val="21"/>
                <w:szCs w:val="21"/>
                <w:lang w:bidi="ar"/>
              </w:rPr>
              <w:t>属</w:t>
            </w:r>
          </w:p>
        </w:tc>
        <w:tc>
          <w:tcPr>
            <w:tcW w:w="2965" w:type="pct"/>
            <w:tcBorders>
              <w:tl2br w:val="nil"/>
              <w:tr2bl w:val="nil"/>
            </w:tcBorders>
            <w:noWrap/>
            <w:vAlign w:val="bottom"/>
          </w:tcPr>
          <w:p w14:paraId="03BB017A">
            <w:pPr>
              <w:keepNext w:val="0"/>
              <w:keepLines w:val="0"/>
              <w:suppressLineNumbers w:val="0"/>
              <w:spacing w:before="0" w:beforeAutospacing="0" w:after="0" w:afterAutospacing="0" w:line="240" w:lineRule="auto"/>
              <w:ind w:left="0" w:right="0"/>
              <w:jc w:val="left"/>
              <w:rPr>
                <w:rFonts w:hint="default" w:ascii="Times New Roman" w:hAnsi="Times New Roman" w:eastAsia="宋体"/>
                <w:bCs/>
                <w:i/>
                <w:color w:val="auto"/>
                <w:sz w:val="21"/>
                <w:szCs w:val="21"/>
              </w:rPr>
            </w:pPr>
            <w:r>
              <w:rPr>
                <w:rFonts w:hint="default" w:ascii="Times New Roman" w:hAnsi="Times New Roman" w:eastAsia="宋体"/>
                <w:color w:val="auto"/>
                <w:sz w:val="21"/>
                <w:szCs w:val="21"/>
                <w:lang w:bidi="ar"/>
              </w:rPr>
              <w:t>24、鳢肠</w:t>
            </w:r>
            <w:r>
              <w:rPr>
                <w:rFonts w:hint="default" w:ascii="Times New Roman" w:hAnsi="Times New Roman" w:eastAsia="宋体"/>
                <w:bCs/>
                <w:i/>
                <w:color w:val="auto"/>
                <w:sz w:val="21"/>
                <w:szCs w:val="21"/>
                <w:lang w:bidi="ar"/>
              </w:rPr>
              <w:t xml:space="preserve"> Eclipta prostrata</w:t>
            </w:r>
          </w:p>
        </w:tc>
      </w:tr>
      <w:tr w14:paraId="7B24F8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6A680591">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79FB0FD0">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紫菀属</w:t>
            </w:r>
          </w:p>
        </w:tc>
        <w:tc>
          <w:tcPr>
            <w:tcW w:w="2965" w:type="pct"/>
            <w:tcBorders>
              <w:tl2br w:val="nil"/>
              <w:tr2bl w:val="nil"/>
            </w:tcBorders>
            <w:noWrap/>
            <w:vAlign w:val="bottom"/>
          </w:tcPr>
          <w:p w14:paraId="19DACFF1">
            <w:pPr>
              <w:keepNext w:val="0"/>
              <w:keepLines w:val="0"/>
              <w:suppressLineNumbers w:val="0"/>
              <w:spacing w:before="0" w:beforeAutospacing="0" w:after="0" w:afterAutospacing="0" w:line="240" w:lineRule="auto"/>
              <w:ind w:left="0" w:right="0"/>
              <w:jc w:val="left"/>
              <w:rPr>
                <w:rFonts w:hint="default" w:ascii="Times New Roman" w:hAnsi="Times New Roman" w:eastAsia="宋体"/>
                <w:bCs/>
                <w:i/>
                <w:color w:val="auto"/>
                <w:sz w:val="21"/>
                <w:szCs w:val="21"/>
              </w:rPr>
            </w:pPr>
            <w:r>
              <w:rPr>
                <w:rFonts w:hint="default" w:ascii="Times New Roman" w:hAnsi="Times New Roman" w:eastAsia="宋体"/>
                <w:color w:val="auto"/>
                <w:sz w:val="21"/>
                <w:szCs w:val="21"/>
                <w:lang w:bidi="ar"/>
              </w:rPr>
              <w:t>25、钻叶紫菀</w:t>
            </w:r>
            <w:r>
              <w:rPr>
                <w:rFonts w:hint="default" w:ascii="Times New Roman" w:hAnsi="Times New Roman" w:eastAsia="宋体"/>
                <w:bCs/>
                <w:i/>
                <w:color w:val="auto"/>
                <w:sz w:val="21"/>
                <w:szCs w:val="21"/>
                <w:lang w:bidi="ar"/>
              </w:rPr>
              <w:t>Aster subulatus</w:t>
            </w:r>
          </w:p>
        </w:tc>
      </w:tr>
      <w:tr w14:paraId="42760B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189F96B1">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0C67CA81">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苍耳属</w:t>
            </w:r>
          </w:p>
        </w:tc>
        <w:tc>
          <w:tcPr>
            <w:tcW w:w="2965" w:type="pct"/>
            <w:tcBorders>
              <w:tl2br w:val="nil"/>
              <w:tr2bl w:val="nil"/>
            </w:tcBorders>
            <w:noWrap/>
            <w:vAlign w:val="center"/>
          </w:tcPr>
          <w:p w14:paraId="34CD4DB3">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26、苍耳</w:t>
            </w:r>
            <w:r>
              <w:rPr>
                <w:rFonts w:hint="default" w:ascii="Times New Roman" w:hAnsi="Times New Roman" w:eastAsia="宋体"/>
                <w:bCs/>
                <w:i/>
                <w:color w:val="auto"/>
                <w:sz w:val="21"/>
                <w:szCs w:val="21"/>
                <w:lang w:bidi="ar"/>
              </w:rPr>
              <w:t>Xanthium sibiricum</w:t>
            </w:r>
          </w:p>
        </w:tc>
      </w:tr>
      <w:tr w14:paraId="5D729D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47003399">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2C689C21">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虾须草属</w:t>
            </w:r>
          </w:p>
        </w:tc>
        <w:tc>
          <w:tcPr>
            <w:tcW w:w="2965" w:type="pct"/>
            <w:tcBorders>
              <w:tl2br w:val="nil"/>
              <w:tr2bl w:val="nil"/>
            </w:tcBorders>
            <w:noWrap/>
            <w:vAlign w:val="center"/>
          </w:tcPr>
          <w:p w14:paraId="3C91EF9C">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 xml:space="preserve">27、虾须草 </w:t>
            </w:r>
            <w:r>
              <w:rPr>
                <w:rFonts w:hint="default" w:ascii="Times New Roman" w:hAnsi="Times New Roman" w:eastAsia="宋体"/>
                <w:bCs/>
                <w:i/>
                <w:color w:val="auto"/>
                <w:sz w:val="21"/>
                <w:szCs w:val="21"/>
                <w:lang w:bidi="ar"/>
              </w:rPr>
              <w:t>Sheareria nana</w:t>
            </w:r>
          </w:p>
        </w:tc>
      </w:tr>
      <w:tr w14:paraId="3F9272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37CE3AED">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279934CC">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飞廉属</w:t>
            </w:r>
          </w:p>
        </w:tc>
        <w:tc>
          <w:tcPr>
            <w:tcW w:w="2965" w:type="pct"/>
            <w:tcBorders>
              <w:tl2br w:val="nil"/>
              <w:tr2bl w:val="nil"/>
            </w:tcBorders>
            <w:noWrap/>
            <w:vAlign w:val="bottom"/>
          </w:tcPr>
          <w:p w14:paraId="76D6F086">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28、飞廉</w:t>
            </w:r>
            <w:r>
              <w:rPr>
                <w:rFonts w:hint="default" w:ascii="Times New Roman" w:hAnsi="Times New Roman" w:eastAsia="宋体"/>
                <w:i/>
                <w:iCs/>
                <w:color w:val="auto"/>
                <w:kern w:val="0"/>
                <w:sz w:val="21"/>
                <w:szCs w:val="21"/>
                <w:lang w:bidi="ar"/>
              </w:rPr>
              <w:t>Carduus nutans</w:t>
            </w:r>
          </w:p>
        </w:tc>
      </w:tr>
      <w:tr w14:paraId="7E1892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3EF20B0D">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63DA9D68">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苦苣菜属花叶滇苦菜</w:t>
            </w:r>
          </w:p>
        </w:tc>
        <w:tc>
          <w:tcPr>
            <w:tcW w:w="2965" w:type="pct"/>
            <w:tcBorders>
              <w:tl2br w:val="nil"/>
              <w:tr2bl w:val="nil"/>
            </w:tcBorders>
            <w:noWrap/>
            <w:vAlign w:val="bottom"/>
          </w:tcPr>
          <w:p w14:paraId="12962631">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29、花叶滇苦菜</w:t>
            </w:r>
            <w:r>
              <w:rPr>
                <w:rFonts w:hint="default" w:ascii="Times New Roman" w:hAnsi="Times New Roman" w:eastAsia="宋体"/>
                <w:i/>
                <w:iCs/>
                <w:color w:val="auto"/>
                <w:kern w:val="0"/>
                <w:sz w:val="21"/>
                <w:szCs w:val="21"/>
                <w:lang w:bidi="ar"/>
              </w:rPr>
              <w:t>Sonchus asper</w:t>
            </w:r>
          </w:p>
        </w:tc>
      </w:tr>
      <w:tr w14:paraId="6EF5DA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4D3597B3">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唇形科</w:t>
            </w:r>
          </w:p>
        </w:tc>
        <w:tc>
          <w:tcPr>
            <w:tcW w:w="1230" w:type="pct"/>
            <w:tcBorders>
              <w:tl2br w:val="nil"/>
              <w:tr2bl w:val="nil"/>
            </w:tcBorders>
            <w:noWrap/>
            <w:vAlign w:val="center"/>
          </w:tcPr>
          <w:p w14:paraId="12D82494">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紫苏属</w:t>
            </w:r>
          </w:p>
        </w:tc>
        <w:tc>
          <w:tcPr>
            <w:tcW w:w="2965" w:type="pct"/>
            <w:tcBorders>
              <w:tl2br w:val="nil"/>
              <w:tr2bl w:val="nil"/>
            </w:tcBorders>
            <w:noWrap/>
            <w:vAlign w:val="center"/>
          </w:tcPr>
          <w:p w14:paraId="4BA564E0">
            <w:pPr>
              <w:keepNext w:val="0"/>
              <w:keepLines w:val="0"/>
              <w:suppressLineNumbers w:val="0"/>
              <w:spacing w:before="0" w:beforeAutospacing="0" w:after="0" w:afterAutospacing="0" w:line="240" w:lineRule="auto"/>
              <w:ind w:left="0" w:right="0"/>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30、紫苏</w:t>
            </w:r>
            <w:r>
              <w:rPr>
                <w:rFonts w:hint="default" w:ascii="Times New Roman" w:hAnsi="Times New Roman" w:eastAsia="宋体"/>
                <w:i/>
                <w:iCs/>
                <w:color w:val="auto"/>
                <w:kern w:val="0"/>
                <w:sz w:val="21"/>
                <w:szCs w:val="21"/>
                <w:lang w:bidi="ar"/>
              </w:rPr>
              <w:t>Perilla frutescens</w:t>
            </w:r>
          </w:p>
        </w:tc>
      </w:tr>
      <w:tr w14:paraId="56E996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6CFB254E">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2EA035D7">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鼠尾草属</w:t>
            </w:r>
          </w:p>
        </w:tc>
        <w:tc>
          <w:tcPr>
            <w:tcW w:w="2965" w:type="pct"/>
            <w:tcBorders>
              <w:tl2br w:val="nil"/>
              <w:tr2bl w:val="nil"/>
            </w:tcBorders>
            <w:noWrap/>
            <w:vAlign w:val="bottom"/>
          </w:tcPr>
          <w:p w14:paraId="6595752E">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 xml:space="preserve">31、荔枝草 </w:t>
            </w:r>
            <w:r>
              <w:rPr>
                <w:rFonts w:hint="default" w:ascii="Times New Roman" w:hAnsi="Times New Roman" w:eastAsia="宋体"/>
                <w:bCs/>
                <w:i/>
                <w:color w:val="auto"/>
                <w:sz w:val="21"/>
                <w:szCs w:val="21"/>
                <w:lang w:bidi="ar"/>
              </w:rPr>
              <w:t>Salvia plebeia</w:t>
            </w:r>
          </w:p>
        </w:tc>
      </w:tr>
      <w:tr w14:paraId="38868E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60731FD4">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215B1ED3">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风轮菜属</w:t>
            </w:r>
          </w:p>
        </w:tc>
        <w:tc>
          <w:tcPr>
            <w:tcW w:w="2965" w:type="pct"/>
            <w:tcBorders>
              <w:tl2br w:val="nil"/>
              <w:tr2bl w:val="nil"/>
            </w:tcBorders>
            <w:noWrap/>
            <w:vAlign w:val="bottom"/>
          </w:tcPr>
          <w:p w14:paraId="53457F8D">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32、风轮菜</w:t>
            </w:r>
            <w:r>
              <w:rPr>
                <w:rFonts w:hint="default" w:ascii="Times New Roman" w:hAnsi="Times New Roman" w:eastAsia="宋体"/>
                <w:i/>
                <w:iCs/>
                <w:color w:val="auto"/>
                <w:kern w:val="0"/>
                <w:sz w:val="21"/>
                <w:szCs w:val="21"/>
                <w:lang w:bidi="ar"/>
              </w:rPr>
              <w:t>Clinopodium chinense</w:t>
            </w:r>
          </w:p>
        </w:tc>
      </w:tr>
      <w:tr w14:paraId="68E134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6F218078">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葫芦科</w:t>
            </w:r>
          </w:p>
        </w:tc>
        <w:tc>
          <w:tcPr>
            <w:tcW w:w="1230" w:type="pct"/>
            <w:tcBorders>
              <w:tl2br w:val="nil"/>
              <w:tr2bl w:val="nil"/>
            </w:tcBorders>
            <w:noWrap/>
            <w:vAlign w:val="center"/>
          </w:tcPr>
          <w:p w14:paraId="4BDE6521">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盒子草属</w:t>
            </w:r>
          </w:p>
        </w:tc>
        <w:tc>
          <w:tcPr>
            <w:tcW w:w="2965" w:type="pct"/>
            <w:tcBorders>
              <w:tl2br w:val="nil"/>
              <w:tr2bl w:val="nil"/>
            </w:tcBorders>
            <w:noWrap/>
            <w:vAlign w:val="bottom"/>
          </w:tcPr>
          <w:p w14:paraId="3D91EB04">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33、盒子草</w:t>
            </w:r>
            <w:r>
              <w:rPr>
                <w:rFonts w:hint="default" w:ascii="Times New Roman" w:hAnsi="Times New Roman" w:eastAsia="宋体"/>
                <w:bCs/>
                <w:i/>
                <w:color w:val="auto"/>
                <w:sz w:val="21"/>
                <w:szCs w:val="21"/>
                <w:lang w:bidi="ar"/>
              </w:rPr>
              <w:t>Actinostemma tenerum</w:t>
            </w:r>
          </w:p>
        </w:tc>
      </w:tr>
      <w:tr w14:paraId="5D5699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3AFB0328">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爵床科</w:t>
            </w:r>
          </w:p>
        </w:tc>
        <w:tc>
          <w:tcPr>
            <w:tcW w:w="1230" w:type="pct"/>
            <w:tcBorders>
              <w:tl2br w:val="nil"/>
              <w:tr2bl w:val="nil"/>
            </w:tcBorders>
            <w:noWrap/>
            <w:vAlign w:val="center"/>
          </w:tcPr>
          <w:p w14:paraId="32A6AFFE">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爵床属</w:t>
            </w:r>
          </w:p>
        </w:tc>
        <w:tc>
          <w:tcPr>
            <w:tcW w:w="2965" w:type="pct"/>
            <w:tcBorders>
              <w:tl2br w:val="nil"/>
              <w:tr2bl w:val="nil"/>
            </w:tcBorders>
            <w:noWrap/>
            <w:vAlign w:val="bottom"/>
          </w:tcPr>
          <w:p w14:paraId="18DDC331">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34、爵床</w:t>
            </w:r>
            <w:r>
              <w:rPr>
                <w:rFonts w:hint="default" w:ascii="Times New Roman" w:hAnsi="Times New Roman" w:eastAsia="宋体"/>
                <w:bCs/>
                <w:i/>
                <w:color w:val="auto"/>
                <w:sz w:val="21"/>
                <w:szCs w:val="21"/>
                <w:lang w:bidi="ar"/>
              </w:rPr>
              <w:t>Rostellularia procumbens</w:t>
            </w:r>
          </w:p>
        </w:tc>
      </w:tr>
      <w:tr w14:paraId="26CD1B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5A84265F">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茄科</w:t>
            </w:r>
          </w:p>
        </w:tc>
        <w:tc>
          <w:tcPr>
            <w:tcW w:w="1230" w:type="pct"/>
            <w:tcBorders>
              <w:tl2br w:val="nil"/>
              <w:tr2bl w:val="nil"/>
            </w:tcBorders>
            <w:noWrap/>
            <w:vAlign w:val="center"/>
          </w:tcPr>
          <w:p w14:paraId="3A17C15C">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茄属</w:t>
            </w:r>
          </w:p>
        </w:tc>
        <w:tc>
          <w:tcPr>
            <w:tcW w:w="2965" w:type="pct"/>
            <w:tcBorders>
              <w:tl2br w:val="nil"/>
              <w:tr2bl w:val="nil"/>
            </w:tcBorders>
            <w:noWrap/>
            <w:vAlign w:val="bottom"/>
          </w:tcPr>
          <w:p w14:paraId="1A18E3F9">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35、龙葵</w:t>
            </w:r>
            <w:r>
              <w:rPr>
                <w:rFonts w:hint="default" w:ascii="Times New Roman" w:hAnsi="Times New Roman" w:eastAsia="宋体"/>
                <w:bCs/>
                <w:i/>
                <w:color w:val="auto"/>
                <w:sz w:val="21"/>
                <w:szCs w:val="21"/>
                <w:lang w:bidi="ar"/>
              </w:rPr>
              <w:t>Solanum nigrum</w:t>
            </w:r>
          </w:p>
        </w:tc>
      </w:tr>
      <w:tr w14:paraId="4A7866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5A1B0D40">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蓼科</w:t>
            </w:r>
          </w:p>
        </w:tc>
        <w:tc>
          <w:tcPr>
            <w:tcW w:w="1230" w:type="pct"/>
            <w:tcBorders>
              <w:tl2br w:val="nil"/>
              <w:tr2bl w:val="nil"/>
            </w:tcBorders>
            <w:noWrap/>
            <w:vAlign w:val="center"/>
          </w:tcPr>
          <w:p w14:paraId="5236931D">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center"/>
          </w:tcPr>
          <w:p w14:paraId="6ADE6B4D">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36、蓼子草</w:t>
            </w:r>
            <w:r>
              <w:rPr>
                <w:rFonts w:hint="default" w:ascii="Times New Roman" w:hAnsi="Times New Roman" w:eastAsia="宋体"/>
                <w:i/>
                <w:iCs/>
                <w:color w:val="auto"/>
                <w:kern w:val="0"/>
                <w:sz w:val="21"/>
                <w:szCs w:val="21"/>
                <w:lang w:bidi="ar"/>
              </w:rPr>
              <w:t>Polygonum criopolitanum</w:t>
            </w:r>
          </w:p>
        </w:tc>
      </w:tr>
      <w:tr w14:paraId="1A350F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1C3F5D67">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1EB9623B">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center"/>
          </w:tcPr>
          <w:p w14:paraId="1BEA3DCB">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37、酸模叶蓼</w:t>
            </w:r>
            <w:r>
              <w:rPr>
                <w:rFonts w:hint="default" w:ascii="Times New Roman" w:hAnsi="Times New Roman" w:eastAsia="宋体"/>
                <w:i/>
                <w:iCs/>
                <w:color w:val="auto"/>
                <w:kern w:val="0"/>
                <w:sz w:val="21"/>
                <w:szCs w:val="21"/>
                <w:lang w:bidi="ar"/>
              </w:rPr>
              <w:t>Polygonum lapathifolium</w:t>
            </w:r>
          </w:p>
        </w:tc>
      </w:tr>
      <w:tr w14:paraId="65ACFF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7F902289">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46FB9902">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center"/>
          </w:tcPr>
          <w:p w14:paraId="7E938C49">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38、圆基长鬃蓼</w:t>
            </w:r>
            <w:r>
              <w:rPr>
                <w:rFonts w:hint="default" w:ascii="Times New Roman" w:hAnsi="Times New Roman" w:eastAsia="宋体"/>
                <w:i/>
                <w:iCs/>
                <w:color w:val="auto"/>
                <w:kern w:val="0"/>
                <w:sz w:val="21"/>
                <w:szCs w:val="21"/>
                <w:lang w:bidi="ar"/>
              </w:rPr>
              <w:t xml:space="preserve">Polygonum longisetum </w:t>
            </w:r>
            <w:r>
              <w:rPr>
                <w:rFonts w:hint="default" w:ascii="Times New Roman" w:hAnsi="Times New Roman" w:eastAsia="宋体"/>
                <w:color w:val="auto"/>
                <w:kern w:val="0"/>
                <w:sz w:val="21"/>
                <w:szCs w:val="21"/>
                <w:lang w:bidi="ar"/>
              </w:rPr>
              <w:t xml:space="preserve">var. </w:t>
            </w:r>
            <w:r>
              <w:rPr>
                <w:rFonts w:hint="default" w:ascii="Times New Roman" w:hAnsi="Times New Roman" w:eastAsia="宋体"/>
                <w:i/>
                <w:iCs/>
                <w:color w:val="auto"/>
                <w:kern w:val="0"/>
                <w:sz w:val="21"/>
                <w:szCs w:val="21"/>
                <w:lang w:bidi="ar"/>
              </w:rPr>
              <w:t>rotundatum</w:t>
            </w:r>
          </w:p>
        </w:tc>
      </w:tr>
      <w:tr w14:paraId="61B03D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7F58433B">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7B531F5E">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center"/>
          </w:tcPr>
          <w:p w14:paraId="094ADE5E">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39、长鬃蓼</w:t>
            </w:r>
            <w:r>
              <w:rPr>
                <w:rFonts w:hint="default" w:ascii="Times New Roman" w:hAnsi="Times New Roman" w:eastAsia="宋体"/>
                <w:i/>
                <w:iCs/>
                <w:color w:val="auto"/>
                <w:kern w:val="0"/>
                <w:sz w:val="21"/>
                <w:szCs w:val="21"/>
                <w:lang w:bidi="ar"/>
              </w:rPr>
              <w:t>Polygonum longisetum</w:t>
            </w:r>
          </w:p>
        </w:tc>
      </w:tr>
      <w:tr w14:paraId="239A10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4EDD5A92">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金鱼藻科</w:t>
            </w:r>
          </w:p>
        </w:tc>
        <w:tc>
          <w:tcPr>
            <w:tcW w:w="1230" w:type="pct"/>
            <w:tcBorders>
              <w:tl2br w:val="nil"/>
              <w:tr2bl w:val="nil"/>
            </w:tcBorders>
            <w:noWrap/>
            <w:vAlign w:val="center"/>
          </w:tcPr>
          <w:p w14:paraId="22938904">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金鱼藻属</w:t>
            </w:r>
          </w:p>
        </w:tc>
        <w:tc>
          <w:tcPr>
            <w:tcW w:w="2965" w:type="pct"/>
            <w:tcBorders>
              <w:tl2br w:val="nil"/>
              <w:tr2bl w:val="nil"/>
            </w:tcBorders>
            <w:noWrap/>
            <w:vAlign w:val="bottom"/>
          </w:tcPr>
          <w:p w14:paraId="68455E9F">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40、金鱼藻</w:t>
            </w:r>
            <w:r>
              <w:rPr>
                <w:rFonts w:hint="default" w:ascii="Times New Roman" w:hAnsi="Times New Roman" w:eastAsia="宋体"/>
                <w:bCs/>
                <w:i/>
                <w:color w:val="auto"/>
                <w:sz w:val="21"/>
                <w:szCs w:val="21"/>
                <w:lang w:bidi="ar"/>
              </w:rPr>
              <w:t>Ceratophyllum demersum</w:t>
            </w:r>
          </w:p>
        </w:tc>
      </w:tr>
      <w:tr w14:paraId="321CA0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29D4B088">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伞形科</w:t>
            </w:r>
          </w:p>
        </w:tc>
        <w:tc>
          <w:tcPr>
            <w:tcW w:w="1230" w:type="pct"/>
            <w:tcBorders>
              <w:tl2br w:val="nil"/>
              <w:tr2bl w:val="nil"/>
            </w:tcBorders>
            <w:noWrap/>
            <w:vAlign w:val="center"/>
          </w:tcPr>
          <w:p w14:paraId="368A3DA6">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水芹属</w:t>
            </w:r>
          </w:p>
        </w:tc>
        <w:tc>
          <w:tcPr>
            <w:tcW w:w="2965" w:type="pct"/>
            <w:tcBorders>
              <w:tl2br w:val="nil"/>
              <w:tr2bl w:val="nil"/>
            </w:tcBorders>
            <w:noWrap/>
            <w:vAlign w:val="bottom"/>
          </w:tcPr>
          <w:p w14:paraId="5AD6257C">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41、水芹</w:t>
            </w:r>
            <w:r>
              <w:rPr>
                <w:rFonts w:hint="default" w:ascii="Times New Roman" w:hAnsi="Times New Roman" w:eastAsia="宋体"/>
                <w:bCs/>
                <w:i/>
                <w:color w:val="auto"/>
                <w:sz w:val="21"/>
                <w:szCs w:val="21"/>
                <w:lang w:bidi="ar"/>
              </w:rPr>
              <w:t>Oenanthe javanica</w:t>
            </w:r>
          </w:p>
        </w:tc>
      </w:tr>
      <w:tr w14:paraId="43F966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21E65874">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79C7BD5E">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蛇床属</w:t>
            </w:r>
          </w:p>
        </w:tc>
        <w:tc>
          <w:tcPr>
            <w:tcW w:w="2965" w:type="pct"/>
            <w:tcBorders>
              <w:tl2br w:val="nil"/>
              <w:tr2bl w:val="nil"/>
            </w:tcBorders>
            <w:noWrap/>
            <w:vAlign w:val="bottom"/>
          </w:tcPr>
          <w:p w14:paraId="398BDFD7">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42、蛇床</w:t>
            </w:r>
            <w:r>
              <w:rPr>
                <w:rFonts w:hint="default" w:ascii="Times New Roman" w:hAnsi="Times New Roman" w:eastAsia="宋体"/>
                <w:i/>
                <w:iCs/>
                <w:color w:val="auto"/>
                <w:kern w:val="0"/>
                <w:sz w:val="21"/>
                <w:szCs w:val="21"/>
                <w:lang w:bidi="ar"/>
              </w:rPr>
              <w:t>Cnidium monnieri</w:t>
            </w:r>
          </w:p>
        </w:tc>
      </w:tr>
      <w:tr w14:paraId="6416ED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0BFA3A72">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4EDF9416">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莲子草属</w:t>
            </w:r>
          </w:p>
        </w:tc>
        <w:tc>
          <w:tcPr>
            <w:tcW w:w="2965" w:type="pct"/>
            <w:tcBorders>
              <w:tl2br w:val="nil"/>
              <w:tr2bl w:val="nil"/>
            </w:tcBorders>
            <w:noWrap/>
            <w:vAlign w:val="bottom"/>
          </w:tcPr>
          <w:p w14:paraId="3C22173C">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43、喜旱莲子草</w:t>
            </w:r>
          </w:p>
          <w:p w14:paraId="618FCD51">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Alternanthera philoxeroides</w:t>
            </w:r>
          </w:p>
        </w:tc>
      </w:tr>
      <w:tr w14:paraId="3225A3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0FBA4E76">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49918C16">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牛膝属</w:t>
            </w:r>
          </w:p>
        </w:tc>
        <w:tc>
          <w:tcPr>
            <w:tcW w:w="2965" w:type="pct"/>
            <w:tcBorders>
              <w:tl2br w:val="nil"/>
              <w:tr2bl w:val="nil"/>
            </w:tcBorders>
            <w:noWrap/>
            <w:vAlign w:val="bottom"/>
          </w:tcPr>
          <w:p w14:paraId="7C04DFBE">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44、牛膝</w:t>
            </w:r>
            <w:r>
              <w:rPr>
                <w:rFonts w:hint="default" w:ascii="Times New Roman" w:hAnsi="Times New Roman" w:eastAsia="宋体"/>
                <w:bCs/>
                <w:i/>
                <w:color w:val="auto"/>
                <w:sz w:val="21"/>
                <w:szCs w:val="21"/>
                <w:lang w:bidi="ar"/>
              </w:rPr>
              <w:t>Achyranthes bidentata</w:t>
            </w:r>
          </w:p>
        </w:tc>
      </w:tr>
      <w:tr w14:paraId="4A117C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6F6E3A65">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5FFB3F3D">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藜属</w:t>
            </w:r>
          </w:p>
        </w:tc>
        <w:tc>
          <w:tcPr>
            <w:tcW w:w="2965" w:type="pct"/>
            <w:tcBorders>
              <w:tl2br w:val="nil"/>
              <w:tr2bl w:val="nil"/>
            </w:tcBorders>
            <w:noWrap/>
            <w:vAlign w:val="bottom"/>
          </w:tcPr>
          <w:p w14:paraId="007818D0">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45、小藜</w:t>
            </w:r>
            <w:r>
              <w:rPr>
                <w:rFonts w:hint="default" w:ascii="Times New Roman" w:hAnsi="Times New Roman" w:eastAsia="宋体"/>
                <w:i/>
                <w:iCs/>
                <w:color w:val="auto"/>
                <w:kern w:val="0"/>
                <w:sz w:val="21"/>
                <w:szCs w:val="21"/>
                <w:lang w:bidi="ar"/>
              </w:rPr>
              <w:t>Chenopodium ficifolium</w:t>
            </w:r>
          </w:p>
        </w:tc>
      </w:tr>
      <w:tr w14:paraId="39EA2E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131BB2EE">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茜草科</w:t>
            </w:r>
          </w:p>
        </w:tc>
        <w:tc>
          <w:tcPr>
            <w:tcW w:w="1230" w:type="pct"/>
            <w:tcBorders>
              <w:tl2br w:val="nil"/>
              <w:tr2bl w:val="nil"/>
            </w:tcBorders>
            <w:noWrap/>
            <w:vAlign w:val="center"/>
          </w:tcPr>
          <w:p w14:paraId="3127A49E">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茜草属</w:t>
            </w:r>
          </w:p>
        </w:tc>
        <w:tc>
          <w:tcPr>
            <w:tcW w:w="2965" w:type="pct"/>
            <w:tcBorders>
              <w:tl2br w:val="nil"/>
              <w:tr2bl w:val="nil"/>
            </w:tcBorders>
            <w:noWrap/>
            <w:vAlign w:val="bottom"/>
          </w:tcPr>
          <w:p w14:paraId="5CAB9CA1">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 xml:space="preserve">46、茜草 </w:t>
            </w:r>
            <w:r>
              <w:rPr>
                <w:rFonts w:hint="default" w:ascii="Times New Roman" w:hAnsi="Times New Roman" w:eastAsia="宋体"/>
                <w:bCs/>
                <w:i/>
                <w:color w:val="auto"/>
                <w:sz w:val="21"/>
                <w:szCs w:val="21"/>
                <w:lang w:bidi="ar"/>
              </w:rPr>
              <w:t>Rubia cordifolia</w:t>
            </w:r>
          </w:p>
        </w:tc>
      </w:tr>
      <w:tr w14:paraId="53574E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0C2E0B21">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2468E008">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鸡矢藤属</w:t>
            </w:r>
          </w:p>
        </w:tc>
        <w:tc>
          <w:tcPr>
            <w:tcW w:w="2965" w:type="pct"/>
            <w:tcBorders>
              <w:tl2br w:val="nil"/>
              <w:tr2bl w:val="nil"/>
            </w:tcBorders>
            <w:noWrap/>
            <w:vAlign w:val="bottom"/>
          </w:tcPr>
          <w:p w14:paraId="00832C1F">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47、鸡矢藤</w:t>
            </w:r>
            <w:r>
              <w:rPr>
                <w:rFonts w:hint="default" w:ascii="Times New Roman" w:hAnsi="Times New Roman" w:eastAsia="宋体"/>
                <w:i/>
                <w:iCs/>
                <w:color w:val="auto"/>
                <w:kern w:val="0"/>
                <w:sz w:val="21"/>
                <w:szCs w:val="21"/>
                <w:lang w:bidi="ar"/>
              </w:rPr>
              <w:t>Paederia scandens</w:t>
            </w:r>
          </w:p>
        </w:tc>
      </w:tr>
      <w:tr w14:paraId="754EFF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718A1A43">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葡萄科</w:t>
            </w:r>
          </w:p>
        </w:tc>
        <w:tc>
          <w:tcPr>
            <w:tcW w:w="1230" w:type="pct"/>
            <w:tcBorders>
              <w:tl2br w:val="nil"/>
              <w:tr2bl w:val="nil"/>
            </w:tcBorders>
            <w:noWrap/>
            <w:vAlign w:val="center"/>
          </w:tcPr>
          <w:p w14:paraId="146C8698">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乌蔹莓属</w:t>
            </w:r>
          </w:p>
        </w:tc>
        <w:tc>
          <w:tcPr>
            <w:tcW w:w="2965" w:type="pct"/>
            <w:tcBorders>
              <w:tl2br w:val="nil"/>
              <w:tr2bl w:val="nil"/>
            </w:tcBorders>
            <w:noWrap/>
            <w:vAlign w:val="bottom"/>
          </w:tcPr>
          <w:p w14:paraId="64492EC1">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48、乌蔹莓</w:t>
            </w:r>
            <w:r>
              <w:rPr>
                <w:rFonts w:hint="default" w:ascii="Times New Roman" w:hAnsi="Times New Roman" w:eastAsia="宋体"/>
                <w:bCs/>
                <w:i/>
                <w:color w:val="auto"/>
                <w:sz w:val="21"/>
                <w:szCs w:val="21"/>
                <w:lang w:bidi="ar"/>
              </w:rPr>
              <w:t>Cayratia japonica</w:t>
            </w:r>
          </w:p>
        </w:tc>
      </w:tr>
      <w:tr w14:paraId="315D21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22BA0626">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30EA14CC">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bottom"/>
          </w:tcPr>
          <w:p w14:paraId="22720D01">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49、白杜</w:t>
            </w:r>
            <w:r>
              <w:rPr>
                <w:rFonts w:hint="default" w:ascii="Times New Roman" w:hAnsi="Times New Roman" w:eastAsia="宋体"/>
                <w:i/>
                <w:iCs/>
                <w:color w:val="auto"/>
                <w:kern w:val="0"/>
                <w:sz w:val="21"/>
                <w:szCs w:val="21"/>
                <w:lang w:bidi="ar"/>
              </w:rPr>
              <w:t>Euonymus maackii</w:t>
            </w:r>
          </w:p>
        </w:tc>
      </w:tr>
      <w:tr w14:paraId="0038C1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2D58258F">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楝科</w:t>
            </w:r>
          </w:p>
        </w:tc>
        <w:tc>
          <w:tcPr>
            <w:tcW w:w="1230" w:type="pct"/>
            <w:tcBorders>
              <w:tl2br w:val="nil"/>
              <w:tr2bl w:val="nil"/>
            </w:tcBorders>
            <w:noWrap/>
            <w:vAlign w:val="center"/>
          </w:tcPr>
          <w:p w14:paraId="503A8A2F">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楝属</w:t>
            </w:r>
          </w:p>
        </w:tc>
        <w:tc>
          <w:tcPr>
            <w:tcW w:w="2965" w:type="pct"/>
            <w:tcBorders>
              <w:tl2br w:val="nil"/>
              <w:tr2bl w:val="nil"/>
            </w:tcBorders>
            <w:noWrap/>
            <w:vAlign w:val="bottom"/>
          </w:tcPr>
          <w:p w14:paraId="0003A529">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50、楝</w:t>
            </w:r>
            <w:r>
              <w:rPr>
                <w:rFonts w:hint="default" w:ascii="Times New Roman" w:hAnsi="Times New Roman" w:eastAsia="宋体"/>
                <w:bCs/>
                <w:i/>
                <w:color w:val="auto"/>
                <w:sz w:val="21"/>
                <w:szCs w:val="21"/>
                <w:lang w:bidi="ar"/>
              </w:rPr>
              <w:t>Melia azedarach</w:t>
            </w:r>
          </w:p>
        </w:tc>
      </w:tr>
      <w:tr w14:paraId="5EDA3B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801" w:type="pct"/>
            <w:tcBorders>
              <w:tl2br w:val="nil"/>
              <w:tr2bl w:val="nil"/>
            </w:tcBorders>
            <w:noWrap/>
            <w:vAlign w:val="center"/>
          </w:tcPr>
          <w:p w14:paraId="76EFDF47">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马齿苋科</w:t>
            </w:r>
          </w:p>
        </w:tc>
        <w:tc>
          <w:tcPr>
            <w:tcW w:w="1230" w:type="pct"/>
            <w:tcBorders>
              <w:tl2br w:val="nil"/>
              <w:tr2bl w:val="nil"/>
            </w:tcBorders>
            <w:noWrap/>
            <w:vAlign w:val="center"/>
          </w:tcPr>
          <w:p w14:paraId="16E3FCDF">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马齿苋属</w:t>
            </w:r>
          </w:p>
        </w:tc>
        <w:tc>
          <w:tcPr>
            <w:tcW w:w="2965" w:type="pct"/>
            <w:tcBorders>
              <w:tl2br w:val="nil"/>
              <w:tr2bl w:val="nil"/>
            </w:tcBorders>
            <w:noWrap/>
            <w:vAlign w:val="bottom"/>
          </w:tcPr>
          <w:p w14:paraId="68CB6D97">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51、马齿苋</w:t>
            </w:r>
            <w:r>
              <w:rPr>
                <w:rFonts w:hint="default" w:ascii="Times New Roman" w:hAnsi="Times New Roman" w:eastAsia="宋体"/>
                <w:bCs/>
                <w:i/>
                <w:color w:val="auto"/>
                <w:sz w:val="21"/>
                <w:szCs w:val="21"/>
                <w:lang w:bidi="ar"/>
              </w:rPr>
              <w:t>Portulaca oleracea</w:t>
            </w:r>
          </w:p>
        </w:tc>
      </w:tr>
      <w:tr w14:paraId="692B3D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01" w:type="pct"/>
            <w:tcBorders>
              <w:tl2br w:val="nil"/>
              <w:tr2bl w:val="nil"/>
            </w:tcBorders>
            <w:noWrap/>
            <w:vAlign w:val="center"/>
          </w:tcPr>
          <w:p w14:paraId="1431D3F9">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木犀科</w:t>
            </w:r>
          </w:p>
        </w:tc>
        <w:tc>
          <w:tcPr>
            <w:tcW w:w="1230" w:type="pct"/>
            <w:tcBorders>
              <w:tl2br w:val="nil"/>
              <w:tr2bl w:val="nil"/>
            </w:tcBorders>
            <w:noWrap/>
            <w:vAlign w:val="center"/>
          </w:tcPr>
          <w:p w14:paraId="5DB0853B">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女贞属</w:t>
            </w:r>
          </w:p>
        </w:tc>
        <w:tc>
          <w:tcPr>
            <w:tcW w:w="2965" w:type="pct"/>
            <w:tcBorders>
              <w:tl2br w:val="nil"/>
              <w:tr2bl w:val="nil"/>
            </w:tcBorders>
            <w:noWrap/>
            <w:vAlign w:val="bottom"/>
          </w:tcPr>
          <w:p w14:paraId="4C4AAEA0">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52、女贞</w:t>
            </w:r>
            <w:r>
              <w:rPr>
                <w:rFonts w:hint="default" w:ascii="Times New Roman" w:hAnsi="Times New Roman" w:eastAsia="宋体"/>
                <w:bCs/>
                <w:i/>
                <w:color w:val="auto"/>
                <w:sz w:val="21"/>
                <w:szCs w:val="21"/>
                <w:lang w:bidi="ar"/>
              </w:rPr>
              <w:t xml:space="preserve"> Ligustrum lucidum</w:t>
            </w:r>
          </w:p>
        </w:tc>
      </w:tr>
      <w:tr w14:paraId="3B60E4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01" w:type="pct"/>
            <w:tcBorders>
              <w:tl2br w:val="nil"/>
              <w:tr2bl w:val="nil"/>
            </w:tcBorders>
            <w:noWrap/>
            <w:vAlign w:val="center"/>
          </w:tcPr>
          <w:p w14:paraId="2077C5F3">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kern w:val="0"/>
                <w:sz w:val="21"/>
                <w:szCs w:val="21"/>
                <w:lang w:bidi="ar"/>
              </w:rPr>
              <w:t>石竹科</w:t>
            </w:r>
          </w:p>
        </w:tc>
        <w:tc>
          <w:tcPr>
            <w:tcW w:w="1230" w:type="pct"/>
            <w:tcBorders>
              <w:tl2br w:val="nil"/>
              <w:tr2bl w:val="nil"/>
            </w:tcBorders>
            <w:noWrap/>
            <w:vAlign w:val="center"/>
          </w:tcPr>
          <w:p w14:paraId="4B512F69">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鹅肠菜属</w:t>
            </w:r>
          </w:p>
        </w:tc>
        <w:tc>
          <w:tcPr>
            <w:tcW w:w="2965" w:type="pct"/>
            <w:tcBorders>
              <w:tl2br w:val="nil"/>
              <w:tr2bl w:val="nil"/>
            </w:tcBorders>
            <w:noWrap/>
            <w:vAlign w:val="bottom"/>
          </w:tcPr>
          <w:p w14:paraId="6BA913C4">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53、鹅肠菜</w:t>
            </w:r>
            <w:r>
              <w:rPr>
                <w:rFonts w:hint="default" w:ascii="Times New Roman" w:hAnsi="Times New Roman" w:eastAsia="宋体"/>
                <w:i/>
                <w:iCs/>
                <w:color w:val="auto"/>
                <w:kern w:val="0"/>
                <w:sz w:val="21"/>
                <w:szCs w:val="21"/>
                <w:lang w:bidi="ar"/>
              </w:rPr>
              <w:t>Myosoton aquaticum</w:t>
            </w:r>
          </w:p>
        </w:tc>
      </w:tr>
      <w:tr w14:paraId="0F9EDA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01" w:type="pct"/>
            <w:tcBorders>
              <w:tl2br w:val="nil"/>
              <w:tr2bl w:val="nil"/>
            </w:tcBorders>
            <w:noWrap/>
            <w:vAlign w:val="center"/>
          </w:tcPr>
          <w:p w14:paraId="65CF12AA">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76B02BFA">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卷耳属</w:t>
            </w:r>
          </w:p>
        </w:tc>
        <w:tc>
          <w:tcPr>
            <w:tcW w:w="2965" w:type="pct"/>
            <w:tcBorders>
              <w:tl2br w:val="nil"/>
              <w:tr2bl w:val="nil"/>
            </w:tcBorders>
            <w:noWrap/>
            <w:vAlign w:val="bottom"/>
          </w:tcPr>
          <w:p w14:paraId="061737DA">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54、球序卷耳</w:t>
            </w:r>
            <w:r>
              <w:rPr>
                <w:rFonts w:hint="default" w:ascii="Times New Roman" w:hAnsi="Times New Roman" w:eastAsia="宋体"/>
                <w:i/>
                <w:iCs/>
                <w:color w:val="auto"/>
                <w:kern w:val="0"/>
                <w:sz w:val="21"/>
                <w:szCs w:val="21"/>
                <w:lang w:bidi="ar"/>
              </w:rPr>
              <w:t>Cerastium glomeratum</w:t>
            </w:r>
          </w:p>
        </w:tc>
      </w:tr>
      <w:tr w14:paraId="79D4DF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01" w:type="pct"/>
            <w:tcBorders>
              <w:tl2br w:val="nil"/>
              <w:tr2bl w:val="nil"/>
            </w:tcBorders>
            <w:noWrap/>
            <w:vAlign w:val="center"/>
          </w:tcPr>
          <w:p w14:paraId="024A9E96">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kern w:val="0"/>
                <w:sz w:val="21"/>
                <w:szCs w:val="21"/>
                <w:lang w:bidi="ar"/>
              </w:rPr>
              <w:t>毛茛科</w:t>
            </w:r>
          </w:p>
        </w:tc>
        <w:tc>
          <w:tcPr>
            <w:tcW w:w="1230" w:type="pct"/>
            <w:tcBorders>
              <w:tl2br w:val="nil"/>
              <w:tr2bl w:val="nil"/>
            </w:tcBorders>
            <w:noWrap/>
            <w:vAlign w:val="center"/>
          </w:tcPr>
          <w:p w14:paraId="458449F4">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毛茛属</w:t>
            </w:r>
          </w:p>
        </w:tc>
        <w:tc>
          <w:tcPr>
            <w:tcW w:w="2965" w:type="pct"/>
            <w:tcBorders>
              <w:tl2br w:val="nil"/>
              <w:tr2bl w:val="nil"/>
            </w:tcBorders>
            <w:noWrap/>
            <w:vAlign w:val="bottom"/>
          </w:tcPr>
          <w:p w14:paraId="4074C185">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55、扬子毛茛</w:t>
            </w:r>
            <w:r>
              <w:rPr>
                <w:rFonts w:hint="default" w:ascii="Times New Roman" w:hAnsi="Times New Roman" w:eastAsia="宋体"/>
                <w:i/>
                <w:iCs/>
                <w:color w:val="auto"/>
                <w:kern w:val="0"/>
                <w:sz w:val="21"/>
                <w:szCs w:val="21"/>
                <w:lang w:bidi="ar"/>
              </w:rPr>
              <w:t>Ranunculus sieboldii</w:t>
            </w:r>
          </w:p>
        </w:tc>
      </w:tr>
      <w:tr w14:paraId="6D09CB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01" w:type="pct"/>
            <w:tcBorders>
              <w:tl2br w:val="nil"/>
              <w:tr2bl w:val="nil"/>
            </w:tcBorders>
            <w:noWrap/>
            <w:vAlign w:val="center"/>
          </w:tcPr>
          <w:p w14:paraId="44A9D2F9">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酢浆草科</w:t>
            </w:r>
          </w:p>
        </w:tc>
        <w:tc>
          <w:tcPr>
            <w:tcW w:w="1230" w:type="pct"/>
            <w:tcBorders>
              <w:tl2br w:val="nil"/>
              <w:tr2bl w:val="nil"/>
            </w:tcBorders>
            <w:noWrap/>
            <w:vAlign w:val="center"/>
          </w:tcPr>
          <w:p w14:paraId="5CB9F88B">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酢浆草属</w:t>
            </w:r>
          </w:p>
        </w:tc>
        <w:tc>
          <w:tcPr>
            <w:tcW w:w="2965" w:type="pct"/>
            <w:tcBorders>
              <w:tl2br w:val="nil"/>
              <w:tr2bl w:val="nil"/>
            </w:tcBorders>
            <w:noWrap/>
            <w:vAlign w:val="bottom"/>
          </w:tcPr>
          <w:p w14:paraId="7973B76F">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56、酢浆草</w:t>
            </w:r>
            <w:r>
              <w:rPr>
                <w:rFonts w:hint="default" w:ascii="Times New Roman" w:hAnsi="Times New Roman" w:eastAsia="宋体"/>
                <w:i/>
                <w:iCs/>
                <w:color w:val="auto"/>
                <w:kern w:val="0"/>
                <w:sz w:val="21"/>
                <w:szCs w:val="21"/>
                <w:lang w:bidi="ar"/>
              </w:rPr>
              <w:t>Oxalis corniculata</w:t>
            </w:r>
          </w:p>
        </w:tc>
      </w:tr>
      <w:tr w14:paraId="384D7C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01" w:type="pct"/>
            <w:tcBorders>
              <w:tl2br w:val="nil"/>
              <w:tr2bl w:val="nil"/>
            </w:tcBorders>
            <w:noWrap/>
            <w:vAlign w:val="center"/>
          </w:tcPr>
          <w:p w14:paraId="72F4DCEF">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叶下珠科</w:t>
            </w:r>
          </w:p>
        </w:tc>
        <w:tc>
          <w:tcPr>
            <w:tcW w:w="1230" w:type="pct"/>
            <w:tcBorders>
              <w:tl2br w:val="nil"/>
              <w:tr2bl w:val="nil"/>
            </w:tcBorders>
            <w:noWrap/>
            <w:vAlign w:val="center"/>
          </w:tcPr>
          <w:p w14:paraId="71B61CAC">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叶下珠属</w:t>
            </w:r>
          </w:p>
        </w:tc>
        <w:tc>
          <w:tcPr>
            <w:tcW w:w="2965" w:type="pct"/>
            <w:tcBorders>
              <w:tl2br w:val="nil"/>
              <w:tr2bl w:val="nil"/>
            </w:tcBorders>
            <w:noWrap/>
            <w:vAlign w:val="bottom"/>
          </w:tcPr>
          <w:p w14:paraId="7231EDF7">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57、叶下珠</w:t>
            </w:r>
            <w:r>
              <w:rPr>
                <w:rFonts w:hint="default" w:ascii="Times New Roman" w:hAnsi="Times New Roman" w:eastAsia="宋体"/>
                <w:i/>
                <w:iCs/>
                <w:color w:val="auto"/>
                <w:kern w:val="0"/>
                <w:sz w:val="21"/>
                <w:szCs w:val="21"/>
                <w:lang w:bidi="ar"/>
              </w:rPr>
              <w:t>Phyllanthus urinaria</w:t>
            </w:r>
          </w:p>
        </w:tc>
      </w:tr>
      <w:tr w14:paraId="4D3CDB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01" w:type="pct"/>
            <w:tcBorders>
              <w:tl2br w:val="nil"/>
              <w:tr2bl w:val="nil"/>
            </w:tcBorders>
            <w:noWrap/>
            <w:vAlign w:val="center"/>
          </w:tcPr>
          <w:p w14:paraId="72BF827F">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夹竹桃科</w:t>
            </w:r>
          </w:p>
        </w:tc>
        <w:tc>
          <w:tcPr>
            <w:tcW w:w="1230" w:type="pct"/>
            <w:tcBorders>
              <w:tl2br w:val="nil"/>
              <w:tr2bl w:val="nil"/>
            </w:tcBorders>
            <w:noWrap/>
            <w:vAlign w:val="center"/>
          </w:tcPr>
          <w:p w14:paraId="6A8466B5">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萝藦属</w:t>
            </w:r>
          </w:p>
        </w:tc>
        <w:tc>
          <w:tcPr>
            <w:tcW w:w="2965" w:type="pct"/>
            <w:tcBorders>
              <w:tl2br w:val="nil"/>
              <w:tr2bl w:val="nil"/>
            </w:tcBorders>
            <w:noWrap/>
            <w:vAlign w:val="bottom"/>
          </w:tcPr>
          <w:p w14:paraId="43A27A2C">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58、萝藦</w:t>
            </w:r>
            <w:r>
              <w:rPr>
                <w:rFonts w:hint="default" w:ascii="Times New Roman" w:hAnsi="Times New Roman" w:eastAsia="宋体"/>
                <w:i/>
                <w:iCs/>
                <w:color w:val="auto"/>
                <w:kern w:val="0"/>
                <w:sz w:val="21"/>
                <w:szCs w:val="21"/>
                <w:lang w:bidi="ar"/>
              </w:rPr>
              <w:t>Metaplexis japonica</w:t>
            </w:r>
          </w:p>
        </w:tc>
      </w:tr>
      <w:tr w14:paraId="41FB0E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01" w:type="pct"/>
            <w:tcBorders>
              <w:tl2br w:val="nil"/>
              <w:tr2bl w:val="nil"/>
            </w:tcBorders>
            <w:noWrap/>
            <w:vAlign w:val="center"/>
          </w:tcPr>
          <w:p w14:paraId="0A9A7F86">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kern w:val="0"/>
                <w:sz w:val="21"/>
                <w:szCs w:val="21"/>
              </w:rPr>
            </w:pPr>
          </w:p>
        </w:tc>
        <w:tc>
          <w:tcPr>
            <w:tcW w:w="1230" w:type="pct"/>
            <w:tcBorders>
              <w:tl2br w:val="nil"/>
              <w:tr2bl w:val="nil"/>
            </w:tcBorders>
            <w:noWrap/>
            <w:vAlign w:val="center"/>
          </w:tcPr>
          <w:p w14:paraId="777B9C09">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鹅绒藤属</w:t>
            </w:r>
          </w:p>
        </w:tc>
        <w:tc>
          <w:tcPr>
            <w:tcW w:w="2965" w:type="pct"/>
            <w:tcBorders>
              <w:tl2br w:val="nil"/>
              <w:tr2bl w:val="nil"/>
            </w:tcBorders>
            <w:noWrap/>
            <w:vAlign w:val="center"/>
          </w:tcPr>
          <w:p w14:paraId="75DDE6A6">
            <w:pPr>
              <w:keepNext w:val="0"/>
              <w:keepLines w:val="0"/>
              <w:suppressLineNumbers w:val="0"/>
              <w:spacing w:before="0" w:beforeAutospacing="0" w:after="0" w:afterAutospacing="0" w:line="240" w:lineRule="auto"/>
              <w:ind w:left="0" w:right="0"/>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59、雀瓢</w:t>
            </w:r>
            <w:r>
              <w:rPr>
                <w:rFonts w:hint="default" w:ascii="Times New Roman" w:hAnsi="Times New Roman" w:eastAsia="宋体"/>
                <w:i/>
                <w:iCs/>
                <w:color w:val="auto"/>
                <w:kern w:val="0"/>
                <w:sz w:val="21"/>
                <w:szCs w:val="21"/>
                <w:lang w:bidi="ar"/>
              </w:rPr>
              <w:t xml:space="preserve">Cynanchum thesioides </w:t>
            </w:r>
            <w:r>
              <w:rPr>
                <w:rFonts w:hint="default" w:ascii="Times New Roman" w:hAnsi="Times New Roman" w:eastAsia="宋体"/>
                <w:color w:val="auto"/>
                <w:kern w:val="0"/>
                <w:sz w:val="21"/>
                <w:szCs w:val="21"/>
                <w:lang w:bidi="ar"/>
              </w:rPr>
              <w:t xml:space="preserve">var. </w:t>
            </w:r>
            <w:r>
              <w:rPr>
                <w:rFonts w:hint="default" w:ascii="Times New Roman" w:hAnsi="Times New Roman" w:eastAsia="宋体"/>
                <w:i/>
                <w:iCs/>
                <w:color w:val="auto"/>
                <w:kern w:val="0"/>
                <w:sz w:val="21"/>
                <w:szCs w:val="21"/>
                <w:lang w:bidi="ar"/>
              </w:rPr>
              <w:t>australe</w:t>
            </w:r>
          </w:p>
        </w:tc>
      </w:tr>
      <w:tr w14:paraId="4FBF15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01" w:type="pct"/>
            <w:tcBorders>
              <w:tl2br w:val="nil"/>
              <w:tr2bl w:val="nil"/>
            </w:tcBorders>
            <w:noWrap/>
            <w:vAlign w:val="center"/>
          </w:tcPr>
          <w:p w14:paraId="0333AAE2">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狐尾藻科</w:t>
            </w:r>
          </w:p>
        </w:tc>
        <w:tc>
          <w:tcPr>
            <w:tcW w:w="1230" w:type="pct"/>
            <w:tcBorders>
              <w:tl2br w:val="nil"/>
              <w:tr2bl w:val="nil"/>
            </w:tcBorders>
            <w:noWrap/>
            <w:vAlign w:val="center"/>
          </w:tcPr>
          <w:p w14:paraId="4A8C3CAF">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狐尾藻属</w:t>
            </w:r>
          </w:p>
        </w:tc>
        <w:tc>
          <w:tcPr>
            <w:tcW w:w="2965" w:type="pct"/>
            <w:tcBorders>
              <w:tl2br w:val="nil"/>
              <w:tr2bl w:val="nil"/>
            </w:tcBorders>
            <w:noWrap/>
            <w:vAlign w:val="center"/>
          </w:tcPr>
          <w:p w14:paraId="0B10B9FF">
            <w:pPr>
              <w:keepNext w:val="0"/>
              <w:keepLines w:val="0"/>
              <w:suppressLineNumbers w:val="0"/>
              <w:spacing w:before="0" w:beforeAutospacing="0" w:after="0" w:afterAutospacing="0" w:line="240" w:lineRule="auto"/>
              <w:ind w:left="0" w:right="0"/>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60、穗状狐尾藻</w:t>
            </w:r>
            <w:r>
              <w:rPr>
                <w:rFonts w:hint="default" w:ascii="Times New Roman" w:hAnsi="Times New Roman" w:eastAsia="宋体"/>
                <w:i/>
                <w:iCs/>
                <w:color w:val="auto"/>
                <w:kern w:val="0"/>
                <w:sz w:val="21"/>
                <w:szCs w:val="21"/>
                <w:lang w:bidi="ar"/>
              </w:rPr>
              <w:t>Myriophyllum spicatum</w:t>
            </w:r>
          </w:p>
        </w:tc>
      </w:tr>
      <w:tr w14:paraId="0E3223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01" w:type="pct"/>
            <w:tcBorders>
              <w:tl2br w:val="nil"/>
              <w:tr2bl w:val="nil"/>
            </w:tcBorders>
            <w:noWrap/>
            <w:vAlign w:val="center"/>
          </w:tcPr>
          <w:p w14:paraId="2ED758A0">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龙胆科</w:t>
            </w:r>
          </w:p>
        </w:tc>
        <w:tc>
          <w:tcPr>
            <w:tcW w:w="1230" w:type="pct"/>
            <w:tcBorders>
              <w:tl2br w:val="nil"/>
              <w:tr2bl w:val="nil"/>
            </w:tcBorders>
            <w:noWrap/>
            <w:vAlign w:val="center"/>
          </w:tcPr>
          <w:p w14:paraId="5EF54653">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莕菜属</w:t>
            </w:r>
          </w:p>
        </w:tc>
        <w:tc>
          <w:tcPr>
            <w:tcW w:w="2965" w:type="pct"/>
            <w:tcBorders>
              <w:tl2br w:val="nil"/>
              <w:tr2bl w:val="nil"/>
            </w:tcBorders>
            <w:noWrap/>
            <w:vAlign w:val="center"/>
          </w:tcPr>
          <w:p w14:paraId="6BA89644">
            <w:pPr>
              <w:keepNext w:val="0"/>
              <w:keepLines w:val="0"/>
              <w:suppressLineNumbers w:val="0"/>
              <w:spacing w:before="0" w:beforeAutospacing="0" w:after="0" w:afterAutospacing="0" w:line="240" w:lineRule="auto"/>
              <w:ind w:left="0" w:right="0"/>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61、</w:t>
            </w:r>
            <w:r>
              <w:rPr>
                <w:rFonts w:hint="eastAsia"/>
                <w:color w:val="auto"/>
                <w:kern w:val="0"/>
                <w:sz w:val="21"/>
                <w:szCs w:val="21"/>
                <w:lang w:eastAsia="zh-CN" w:bidi="ar"/>
              </w:rPr>
              <w:t>荇</w:t>
            </w:r>
            <w:r>
              <w:rPr>
                <w:rFonts w:hint="default" w:ascii="Times New Roman" w:hAnsi="Times New Roman" w:eastAsia="宋体"/>
                <w:color w:val="auto"/>
                <w:kern w:val="0"/>
                <w:sz w:val="21"/>
                <w:szCs w:val="21"/>
                <w:lang w:bidi="ar"/>
              </w:rPr>
              <w:t>菜</w:t>
            </w:r>
            <w:r>
              <w:rPr>
                <w:rFonts w:hint="default" w:ascii="Times New Roman" w:hAnsi="Times New Roman" w:eastAsia="宋体"/>
                <w:i/>
                <w:color w:val="auto"/>
                <w:kern w:val="0"/>
                <w:sz w:val="21"/>
                <w:szCs w:val="21"/>
                <w:lang w:bidi="ar"/>
              </w:rPr>
              <w:t>Nymphoides peltata</w:t>
            </w:r>
          </w:p>
        </w:tc>
      </w:tr>
      <w:tr w14:paraId="6F0841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000" w:type="pct"/>
            <w:gridSpan w:val="3"/>
            <w:tcBorders>
              <w:tl2br w:val="nil"/>
              <w:tr2bl w:val="nil"/>
            </w:tcBorders>
            <w:noWrap w:val="0"/>
            <w:vAlign w:val="center"/>
          </w:tcPr>
          <w:p w14:paraId="133B3600">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b/>
                <w:color w:val="auto"/>
                <w:sz w:val="21"/>
                <w:szCs w:val="21"/>
                <w:lang w:bidi="ar"/>
              </w:rPr>
              <w:t>单子叶植物</w:t>
            </w:r>
          </w:p>
        </w:tc>
      </w:tr>
      <w:tr w14:paraId="4CECEF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01" w:type="pct"/>
            <w:tcBorders>
              <w:tl2br w:val="nil"/>
              <w:tr2bl w:val="nil"/>
            </w:tcBorders>
            <w:noWrap/>
            <w:vAlign w:val="center"/>
          </w:tcPr>
          <w:p w14:paraId="74E78ED9">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莎草科</w:t>
            </w:r>
          </w:p>
        </w:tc>
        <w:tc>
          <w:tcPr>
            <w:tcW w:w="1230" w:type="pct"/>
            <w:tcBorders>
              <w:tl2br w:val="nil"/>
              <w:tr2bl w:val="nil"/>
            </w:tcBorders>
            <w:noWrap/>
            <w:vAlign w:val="center"/>
          </w:tcPr>
          <w:p w14:paraId="1DEA3F82">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莎草属</w:t>
            </w:r>
          </w:p>
        </w:tc>
        <w:tc>
          <w:tcPr>
            <w:tcW w:w="2965" w:type="pct"/>
            <w:tcBorders>
              <w:tl2br w:val="nil"/>
              <w:tr2bl w:val="nil"/>
            </w:tcBorders>
            <w:noWrap/>
            <w:vAlign w:val="bottom"/>
          </w:tcPr>
          <w:p w14:paraId="36450127">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62、香附子</w:t>
            </w:r>
            <w:r>
              <w:rPr>
                <w:rFonts w:hint="default" w:ascii="Times New Roman" w:hAnsi="Times New Roman" w:eastAsia="宋体"/>
                <w:bCs/>
                <w:i/>
                <w:color w:val="auto"/>
                <w:sz w:val="21"/>
                <w:szCs w:val="21"/>
                <w:lang w:bidi="ar"/>
              </w:rPr>
              <w:t>Cyperus rotundus</w:t>
            </w:r>
          </w:p>
        </w:tc>
      </w:tr>
      <w:tr w14:paraId="2CA824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01" w:type="pct"/>
            <w:tcBorders>
              <w:tl2br w:val="nil"/>
              <w:tr2bl w:val="nil"/>
            </w:tcBorders>
            <w:noWrap/>
            <w:vAlign w:val="center"/>
          </w:tcPr>
          <w:p w14:paraId="007EDE5B">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213721CF">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bottom"/>
          </w:tcPr>
          <w:p w14:paraId="46A54071">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 xml:space="preserve">63、具芒碎米莎草 </w:t>
            </w:r>
            <w:r>
              <w:rPr>
                <w:rFonts w:hint="default" w:ascii="Times New Roman" w:hAnsi="Times New Roman" w:eastAsia="宋体"/>
                <w:bCs/>
                <w:i/>
                <w:color w:val="auto"/>
                <w:sz w:val="21"/>
                <w:szCs w:val="21"/>
                <w:lang w:bidi="ar"/>
              </w:rPr>
              <w:t>Cyperus microiria</w:t>
            </w:r>
          </w:p>
        </w:tc>
      </w:tr>
      <w:tr w14:paraId="0C63EB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01" w:type="pct"/>
            <w:tcBorders>
              <w:tl2br w:val="nil"/>
              <w:tr2bl w:val="nil"/>
            </w:tcBorders>
            <w:noWrap/>
            <w:vAlign w:val="center"/>
          </w:tcPr>
          <w:p w14:paraId="084F682E">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5E73B745">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bottom"/>
          </w:tcPr>
          <w:p w14:paraId="38E6D7EF">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64、旋鳞莎草</w:t>
            </w:r>
            <w:r>
              <w:rPr>
                <w:rFonts w:hint="default" w:ascii="Times New Roman" w:hAnsi="Times New Roman" w:eastAsia="宋体"/>
                <w:i/>
                <w:iCs/>
                <w:color w:val="auto"/>
                <w:kern w:val="0"/>
                <w:sz w:val="21"/>
                <w:szCs w:val="21"/>
                <w:lang w:bidi="ar"/>
              </w:rPr>
              <w:t>Cyperus michelianus</w:t>
            </w:r>
          </w:p>
        </w:tc>
      </w:tr>
      <w:tr w14:paraId="444891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01" w:type="pct"/>
            <w:tcBorders>
              <w:tl2br w:val="nil"/>
              <w:tr2bl w:val="nil"/>
            </w:tcBorders>
            <w:noWrap/>
            <w:vAlign w:val="center"/>
          </w:tcPr>
          <w:p w14:paraId="5386AB10">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0F3CE44A">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bottom"/>
          </w:tcPr>
          <w:p w14:paraId="6891348D">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65、薹草</w:t>
            </w:r>
            <w:r>
              <w:rPr>
                <w:rFonts w:hint="default" w:ascii="Times New Roman" w:hAnsi="Times New Roman" w:eastAsia="宋体"/>
                <w:i/>
                <w:iCs/>
                <w:color w:val="auto"/>
                <w:kern w:val="0"/>
                <w:sz w:val="21"/>
                <w:szCs w:val="21"/>
                <w:lang w:bidi="ar"/>
              </w:rPr>
              <w:t>Carex spp.</w:t>
            </w:r>
          </w:p>
        </w:tc>
      </w:tr>
      <w:tr w14:paraId="779B91D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01" w:type="pct"/>
            <w:tcBorders>
              <w:tl2br w:val="nil"/>
              <w:tr2bl w:val="nil"/>
            </w:tcBorders>
            <w:noWrap/>
            <w:vAlign w:val="center"/>
          </w:tcPr>
          <w:p w14:paraId="34714364">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禾本科</w:t>
            </w:r>
          </w:p>
        </w:tc>
        <w:tc>
          <w:tcPr>
            <w:tcW w:w="1230" w:type="pct"/>
            <w:tcBorders>
              <w:tl2br w:val="nil"/>
              <w:tr2bl w:val="nil"/>
            </w:tcBorders>
            <w:noWrap/>
            <w:vAlign w:val="center"/>
          </w:tcPr>
          <w:p w14:paraId="29F93D44">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bottom"/>
          </w:tcPr>
          <w:p w14:paraId="3FD95F64">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66、疏花雀麦</w:t>
            </w:r>
            <w:r>
              <w:rPr>
                <w:rFonts w:hint="default" w:ascii="Times New Roman" w:hAnsi="Times New Roman" w:eastAsia="宋体"/>
                <w:i/>
                <w:iCs/>
                <w:color w:val="auto"/>
                <w:kern w:val="0"/>
                <w:sz w:val="21"/>
                <w:szCs w:val="21"/>
                <w:lang w:bidi="ar"/>
              </w:rPr>
              <w:t>Bromus remotiflorus</w:t>
            </w:r>
          </w:p>
        </w:tc>
      </w:tr>
      <w:tr w14:paraId="1EC97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01" w:type="pct"/>
            <w:tcBorders>
              <w:tl2br w:val="nil"/>
              <w:tr2bl w:val="nil"/>
            </w:tcBorders>
            <w:noWrap/>
            <w:vAlign w:val="center"/>
          </w:tcPr>
          <w:p w14:paraId="08655EF0">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4AC049B0">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bottom"/>
          </w:tcPr>
          <w:p w14:paraId="2CCA8D49">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67、无芒雀麦</w:t>
            </w:r>
            <w:r>
              <w:rPr>
                <w:rFonts w:hint="default" w:ascii="Times New Roman" w:hAnsi="Times New Roman" w:eastAsia="宋体"/>
                <w:i/>
                <w:iCs/>
                <w:color w:val="auto"/>
                <w:kern w:val="0"/>
                <w:sz w:val="21"/>
                <w:szCs w:val="21"/>
                <w:lang w:bidi="ar"/>
              </w:rPr>
              <w:t>Bromus inermis</w:t>
            </w:r>
          </w:p>
        </w:tc>
      </w:tr>
      <w:tr w14:paraId="53D14B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01" w:type="pct"/>
            <w:tcBorders>
              <w:tl2br w:val="nil"/>
              <w:tr2bl w:val="nil"/>
            </w:tcBorders>
            <w:noWrap/>
            <w:vAlign w:val="center"/>
          </w:tcPr>
          <w:p w14:paraId="03CD0841">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66FF5C55">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狗尾草属</w:t>
            </w:r>
          </w:p>
        </w:tc>
        <w:tc>
          <w:tcPr>
            <w:tcW w:w="2965" w:type="pct"/>
            <w:tcBorders>
              <w:tl2br w:val="nil"/>
              <w:tr2bl w:val="nil"/>
            </w:tcBorders>
            <w:noWrap/>
            <w:vAlign w:val="bottom"/>
          </w:tcPr>
          <w:p w14:paraId="2340A22B">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68、狗尾草</w:t>
            </w:r>
            <w:r>
              <w:rPr>
                <w:rFonts w:hint="default" w:ascii="Times New Roman" w:hAnsi="Times New Roman" w:eastAsia="宋体"/>
                <w:bCs/>
                <w:i/>
                <w:color w:val="auto"/>
                <w:sz w:val="21"/>
                <w:szCs w:val="21"/>
                <w:lang w:bidi="ar"/>
              </w:rPr>
              <w:t>Setaria viridis</w:t>
            </w:r>
          </w:p>
        </w:tc>
      </w:tr>
      <w:tr w14:paraId="0F802A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01" w:type="pct"/>
            <w:tcBorders>
              <w:tl2br w:val="nil"/>
              <w:tr2bl w:val="nil"/>
            </w:tcBorders>
            <w:noWrap/>
            <w:vAlign w:val="center"/>
          </w:tcPr>
          <w:p w14:paraId="6397BB77">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73BF57C5">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2965" w:type="pct"/>
            <w:tcBorders>
              <w:tl2br w:val="nil"/>
              <w:tr2bl w:val="nil"/>
            </w:tcBorders>
            <w:noWrap/>
            <w:vAlign w:val="bottom"/>
          </w:tcPr>
          <w:p w14:paraId="46A942B6">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69、大狗尾草</w:t>
            </w:r>
            <w:r>
              <w:rPr>
                <w:rFonts w:hint="default" w:ascii="Times New Roman" w:hAnsi="Times New Roman" w:eastAsia="宋体"/>
                <w:i/>
                <w:iCs/>
                <w:color w:val="auto"/>
                <w:kern w:val="0"/>
                <w:sz w:val="21"/>
                <w:szCs w:val="21"/>
                <w:lang w:bidi="ar"/>
              </w:rPr>
              <w:t>Setaria faberii</w:t>
            </w:r>
          </w:p>
        </w:tc>
      </w:tr>
      <w:tr w14:paraId="2FB42D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01" w:type="pct"/>
            <w:tcBorders>
              <w:tl2br w:val="nil"/>
              <w:tr2bl w:val="nil"/>
            </w:tcBorders>
            <w:noWrap/>
            <w:vAlign w:val="center"/>
          </w:tcPr>
          <w:p w14:paraId="2883D972">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1610C490">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雀稗属</w:t>
            </w:r>
          </w:p>
        </w:tc>
        <w:tc>
          <w:tcPr>
            <w:tcW w:w="2965" w:type="pct"/>
            <w:tcBorders>
              <w:tl2br w:val="nil"/>
              <w:tr2bl w:val="nil"/>
            </w:tcBorders>
            <w:noWrap/>
            <w:vAlign w:val="bottom"/>
          </w:tcPr>
          <w:p w14:paraId="709AF324">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70、双穗雀稗</w:t>
            </w:r>
            <w:r>
              <w:rPr>
                <w:rFonts w:hint="default" w:ascii="Times New Roman" w:hAnsi="Times New Roman" w:eastAsia="宋体"/>
                <w:bCs/>
                <w:i/>
                <w:color w:val="auto"/>
                <w:sz w:val="21"/>
                <w:szCs w:val="21"/>
                <w:lang w:bidi="ar"/>
              </w:rPr>
              <w:t>Paspalum paspaloides</w:t>
            </w:r>
          </w:p>
        </w:tc>
      </w:tr>
      <w:tr w14:paraId="0CE6F2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01" w:type="pct"/>
            <w:tcBorders>
              <w:tl2br w:val="nil"/>
              <w:tr2bl w:val="nil"/>
            </w:tcBorders>
            <w:noWrap/>
            <w:vAlign w:val="center"/>
          </w:tcPr>
          <w:p w14:paraId="0D634A36">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7EC23970">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狗牙根属</w:t>
            </w:r>
          </w:p>
        </w:tc>
        <w:tc>
          <w:tcPr>
            <w:tcW w:w="2965" w:type="pct"/>
            <w:tcBorders>
              <w:tl2br w:val="nil"/>
              <w:tr2bl w:val="nil"/>
            </w:tcBorders>
            <w:noWrap/>
            <w:vAlign w:val="bottom"/>
          </w:tcPr>
          <w:p w14:paraId="3FD7858E">
            <w:pPr>
              <w:keepNext w:val="0"/>
              <w:keepLines w:val="0"/>
              <w:suppressLineNumbers w:val="0"/>
              <w:spacing w:before="0" w:beforeAutospacing="0" w:after="0" w:afterAutospacing="0" w:line="240" w:lineRule="auto"/>
              <w:ind w:left="0" w:right="0"/>
              <w:jc w:val="left"/>
              <w:rPr>
                <w:rFonts w:hint="default" w:ascii="Times New Roman" w:hAnsi="Times New Roman" w:eastAsia="宋体"/>
                <w:bCs/>
                <w:i/>
                <w:color w:val="auto"/>
                <w:sz w:val="21"/>
                <w:szCs w:val="21"/>
              </w:rPr>
            </w:pPr>
            <w:r>
              <w:rPr>
                <w:rFonts w:hint="default" w:ascii="Times New Roman" w:hAnsi="Times New Roman" w:eastAsia="宋体"/>
                <w:color w:val="auto"/>
                <w:sz w:val="21"/>
                <w:szCs w:val="21"/>
                <w:lang w:bidi="ar"/>
              </w:rPr>
              <w:t>71、狗牙根</w:t>
            </w:r>
            <w:r>
              <w:rPr>
                <w:rFonts w:hint="default" w:ascii="Times New Roman" w:hAnsi="Times New Roman" w:eastAsia="宋体"/>
                <w:bCs/>
                <w:i/>
                <w:color w:val="auto"/>
                <w:sz w:val="21"/>
                <w:szCs w:val="21"/>
                <w:lang w:bidi="ar"/>
              </w:rPr>
              <w:t>Cynodon dactylon</w:t>
            </w:r>
          </w:p>
        </w:tc>
      </w:tr>
      <w:tr w14:paraId="0C6F77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01" w:type="pct"/>
            <w:tcBorders>
              <w:tl2br w:val="nil"/>
              <w:tr2bl w:val="nil"/>
            </w:tcBorders>
            <w:noWrap/>
            <w:vAlign w:val="center"/>
          </w:tcPr>
          <w:p w14:paraId="013CE4DE">
            <w:pPr>
              <w:keepNext w:val="0"/>
              <w:keepLines w:val="0"/>
              <w:suppressLineNumbers w:val="0"/>
              <w:spacing w:before="0" w:beforeAutospacing="0" w:after="0" w:afterAutospacing="0" w:line="240" w:lineRule="auto"/>
              <w:ind w:left="0" w:right="0"/>
              <w:jc w:val="left"/>
              <w:rPr>
                <w:rFonts w:hint="default" w:ascii="Times New Roman" w:hAnsi="Times New Roman" w:eastAsia="宋体"/>
                <w:b/>
                <w:color w:val="auto"/>
                <w:sz w:val="21"/>
                <w:szCs w:val="21"/>
              </w:rPr>
            </w:pPr>
          </w:p>
        </w:tc>
        <w:tc>
          <w:tcPr>
            <w:tcW w:w="1230" w:type="pct"/>
            <w:tcBorders>
              <w:tl2br w:val="nil"/>
              <w:tr2bl w:val="nil"/>
            </w:tcBorders>
            <w:noWrap/>
            <w:vAlign w:val="center"/>
          </w:tcPr>
          <w:p w14:paraId="3573E061">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芦苇属</w:t>
            </w:r>
          </w:p>
        </w:tc>
        <w:tc>
          <w:tcPr>
            <w:tcW w:w="2965" w:type="pct"/>
            <w:tcBorders>
              <w:tl2br w:val="nil"/>
              <w:tr2bl w:val="nil"/>
            </w:tcBorders>
            <w:noWrap/>
            <w:vAlign w:val="bottom"/>
          </w:tcPr>
          <w:p w14:paraId="36A61C63">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72、芦苇</w:t>
            </w:r>
            <w:r>
              <w:rPr>
                <w:rFonts w:hint="default" w:ascii="Times New Roman" w:hAnsi="Times New Roman" w:eastAsia="宋体"/>
                <w:bCs/>
                <w:i/>
                <w:color w:val="auto"/>
                <w:sz w:val="21"/>
                <w:szCs w:val="21"/>
                <w:lang w:bidi="ar"/>
              </w:rPr>
              <w:t>Phragmites australis</w:t>
            </w:r>
          </w:p>
        </w:tc>
      </w:tr>
      <w:tr w14:paraId="284997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01" w:type="pct"/>
            <w:tcBorders>
              <w:tl2br w:val="nil"/>
              <w:tr2bl w:val="nil"/>
            </w:tcBorders>
            <w:noWrap/>
            <w:vAlign w:val="center"/>
          </w:tcPr>
          <w:p w14:paraId="38220F4E">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1230" w:type="pct"/>
            <w:tcBorders>
              <w:tl2br w:val="nil"/>
              <w:tr2bl w:val="nil"/>
            </w:tcBorders>
            <w:noWrap/>
            <w:vAlign w:val="center"/>
          </w:tcPr>
          <w:p w14:paraId="682F051C">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芒属</w:t>
            </w:r>
          </w:p>
        </w:tc>
        <w:tc>
          <w:tcPr>
            <w:tcW w:w="2965" w:type="pct"/>
            <w:tcBorders>
              <w:tl2br w:val="nil"/>
              <w:tr2bl w:val="nil"/>
            </w:tcBorders>
            <w:noWrap/>
            <w:vAlign w:val="bottom"/>
          </w:tcPr>
          <w:p w14:paraId="0D83E0EF">
            <w:pPr>
              <w:keepNext w:val="0"/>
              <w:keepLines w:val="0"/>
              <w:suppressLineNumbers w:val="0"/>
              <w:spacing w:before="0" w:beforeAutospacing="0" w:after="0" w:afterAutospacing="0" w:line="240" w:lineRule="auto"/>
              <w:ind w:left="0" w:right="0"/>
              <w:jc w:val="left"/>
              <w:rPr>
                <w:rFonts w:hint="default" w:ascii="Times New Roman" w:hAnsi="Times New Roman" w:eastAsia="宋体"/>
                <w:bCs/>
                <w:i/>
                <w:color w:val="auto"/>
                <w:sz w:val="21"/>
                <w:szCs w:val="21"/>
              </w:rPr>
            </w:pPr>
            <w:r>
              <w:rPr>
                <w:rFonts w:hint="default" w:ascii="Times New Roman" w:hAnsi="Times New Roman" w:eastAsia="宋体"/>
                <w:color w:val="auto"/>
                <w:sz w:val="21"/>
                <w:szCs w:val="21"/>
                <w:lang w:bidi="ar"/>
              </w:rPr>
              <w:t>73、荻</w:t>
            </w:r>
            <w:r>
              <w:rPr>
                <w:rFonts w:hint="default" w:ascii="Times New Roman" w:hAnsi="Times New Roman" w:eastAsia="宋体"/>
                <w:bCs/>
                <w:i/>
                <w:color w:val="auto"/>
                <w:sz w:val="21"/>
                <w:szCs w:val="21"/>
                <w:lang w:bidi="ar"/>
              </w:rPr>
              <w:t>Triarrhena sacchariflora</w:t>
            </w:r>
          </w:p>
        </w:tc>
      </w:tr>
      <w:tr w14:paraId="3F1B58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01" w:type="pct"/>
            <w:tcBorders>
              <w:tl2br w:val="nil"/>
              <w:tr2bl w:val="nil"/>
            </w:tcBorders>
            <w:noWrap/>
            <w:vAlign w:val="center"/>
          </w:tcPr>
          <w:p w14:paraId="69CB90B5">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1230" w:type="pct"/>
            <w:tcBorders>
              <w:tl2br w:val="nil"/>
              <w:tr2bl w:val="nil"/>
            </w:tcBorders>
            <w:noWrap/>
            <w:vAlign w:val="center"/>
          </w:tcPr>
          <w:p w14:paraId="04768335">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菰属</w:t>
            </w:r>
          </w:p>
        </w:tc>
        <w:tc>
          <w:tcPr>
            <w:tcW w:w="2965" w:type="pct"/>
            <w:tcBorders>
              <w:tl2br w:val="nil"/>
              <w:tr2bl w:val="nil"/>
            </w:tcBorders>
            <w:noWrap/>
            <w:vAlign w:val="bottom"/>
          </w:tcPr>
          <w:p w14:paraId="48E10833">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74、菰</w:t>
            </w:r>
            <w:r>
              <w:rPr>
                <w:rFonts w:hint="default" w:ascii="Times New Roman" w:hAnsi="Times New Roman" w:eastAsia="宋体"/>
                <w:bCs/>
                <w:i/>
                <w:color w:val="auto"/>
                <w:sz w:val="21"/>
                <w:szCs w:val="21"/>
                <w:lang w:bidi="ar"/>
              </w:rPr>
              <w:t>Zizania latifolia</w:t>
            </w:r>
          </w:p>
        </w:tc>
      </w:tr>
      <w:tr w14:paraId="7BEC50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01" w:type="pct"/>
            <w:tcBorders>
              <w:tl2br w:val="nil"/>
              <w:tr2bl w:val="nil"/>
            </w:tcBorders>
            <w:noWrap/>
            <w:vAlign w:val="center"/>
          </w:tcPr>
          <w:p w14:paraId="32E31C73">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p>
        </w:tc>
        <w:tc>
          <w:tcPr>
            <w:tcW w:w="1230" w:type="pct"/>
            <w:tcBorders>
              <w:tl2br w:val="nil"/>
              <w:tr2bl w:val="nil"/>
            </w:tcBorders>
            <w:noWrap/>
            <w:vAlign w:val="center"/>
          </w:tcPr>
          <w:p w14:paraId="7484142D">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燕麦属</w:t>
            </w:r>
          </w:p>
        </w:tc>
        <w:tc>
          <w:tcPr>
            <w:tcW w:w="2965" w:type="pct"/>
            <w:tcBorders>
              <w:tl2br w:val="nil"/>
              <w:tr2bl w:val="nil"/>
            </w:tcBorders>
            <w:noWrap/>
            <w:vAlign w:val="bottom"/>
          </w:tcPr>
          <w:p w14:paraId="3F271E77">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75、野燕麦</w:t>
            </w:r>
            <w:r>
              <w:rPr>
                <w:rFonts w:hint="default" w:ascii="Times New Roman" w:hAnsi="Times New Roman" w:eastAsia="宋体"/>
                <w:bCs/>
                <w:i/>
                <w:color w:val="auto"/>
                <w:sz w:val="21"/>
                <w:szCs w:val="21"/>
                <w:lang w:bidi="ar"/>
              </w:rPr>
              <w:t>Avena fatua</w:t>
            </w:r>
          </w:p>
        </w:tc>
      </w:tr>
      <w:tr w14:paraId="0C8E34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01" w:type="pct"/>
            <w:tcBorders>
              <w:tl2br w:val="nil"/>
              <w:tr2bl w:val="nil"/>
            </w:tcBorders>
            <w:noWrap/>
            <w:vAlign w:val="center"/>
          </w:tcPr>
          <w:p w14:paraId="772C7C12">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highlight w:val="yellow"/>
              </w:rPr>
            </w:pPr>
          </w:p>
        </w:tc>
        <w:tc>
          <w:tcPr>
            <w:tcW w:w="1230" w:type="pct"/>
            <w:tcBorders>
              <w:tl2br w:val="nil"/>
              <w:tr2bl w:val="nil"/>
            </w:tcBorders>
            <w:noWrap/>
            <w:vAlign w:val="center"/>
          </w:tcPr>
          <w:p w14:paraId="3813CDA6">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棒头草属</w:t>
            </w:r>
          </w:p>
        </w:tc>
        <w:tc>
          <w:tcPr>
            <w:tcW w:w="2965" w:type="pct"/>
            <w:tcBorders>
              <w:tl2br w:val="nil"/>
              <w:tr2bl w:val="nil"/>
            </w:tcBorders>
            <w:noWrap/>
            <w:vAlign w:val="bottom"/>
          </w:tcPr>
          <w:p w14:paraId="5119936C">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76、棒头草</w:t>
            </w:r>
            <w:r>
              <w:rPr>
                <w:rFonts w:hint="default" w:ascii="Times New Roman" w:hAnsi="Times New Roman" w:eastAsia="宋体"/>
                <w:i/>
                <w:iCs/>
                <w:color w:val="auto"/>
                <w:kern w:val="0"/>
                <w:sz w:val="21"/>
                <w:szCs w:val="21"/>
                <w:lang w:bidi="ar"/>
              </w:rPr>
              <w:t>Polypogon fugax</w:t>
            </w:r>
          </w:p>
        </w:tc>
      </w:tr>
      <w:tr w14:paraId="70E83A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01" w:type="pct"/>
            <w:tcBorders>
              <w:tl2br w:val="nil"/>
              <w:tr2bl w:val="nil"/>
            </w:tcBorders>
            <w:noWrap/>
            <w:vAlign w:val="center"/>
          </w:tcPr>
          <w:p w14:paraId="55B0572F">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highlight w:val="yellow"/>
              </w:rPr>
            </w:pPr>
          </w:p>
        </w:tc>
        <w:tc>
          <w:tcPr>
            <w:tcW w:w="1230" w:type="pct"/>
            <w:tcBorders>
              <w:tl2br w:val="nil"/>
              <w:tr2bl w:val="nil"/>
            </w:tcBorders>
            <w:noWrap/>
            <w:vAlign w:val="center"/>
          </w:tcPr>
          <w:p w14:paraId="6315F889">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牛鞭草属</w:t>
            </w:r>
          </w:p>
        </w:tc>
        <w:tc>
          <w:tcPr>
            <w:tcW w:w="2965" w:type="pct"/>
            <w:tcBorders>
              <w:tl2br w:val="nil"/>
              <w:tr2bl w:val="nil"/>
            </w:tcBorders>
            <w:noWrap/>
            <w:vAlign w:val="bottom"/>
          </w:tcPr>
          <w:p w14:paraId="17F6D759">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77、牛鞭草</w:t>
            </w:r>
            <w:r>
              <w:rPr>
                <w:rFonts w:hint="default" w:ascii="Times New Roman" w:hAnsi="Times New Roman" w:eastAsia="宋体"/>
                <w:i/>
                <w:iCs/>
                <w:color w:val="auto"/>
                <w:kern w:val="0"/>
                <w:sz w:val="21"/>
                <w:szCs w:val="21"/>
                <w:lang w:bidi="ar"/>
              </w:rPr>
              <w:t>Hemarthria sibirica</w:t>
            </w:r>
          </w:p>
        </w:tc>
      </w:tr>
      <w:tr w14:paraId="7EDF0F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801" w:type="pct"/>
            <w:tcBorders>
              <w:tl2br w:val="nil"/>
              <w:tr2bl w:val="nil"/>
            </w:tcBorders>
            <w:noWrap/>
            <w:vAlign w:val="center"/>
          </w:tcPr>
          <w:p w14:paraId="2391BAC7">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highlight w:val="yellow"/>
              </w:rPr>
            </w:pPr>
          </w:p>
        </w:tc>
        <w:tc>
          <w:tcPr>
            <w:tcW w:w="1230" w:type="pct"/>
            <w:tcBorders>
              <w:tl2br w:val="nil"/>
              <w:tr2bl w:val="nil"/>
            </w:tcBorders>
            <w:noWrap/>
            <w:vAlign w:val="center"/>
          </w:tcPr>
          <w:p w14:paraId="76ACD3BC">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菵草属</w:t>
            </w:r>
          </w:p>
        </w:tc>
        <w:tc>
          <w:tcPr>
            <w:tcW w:w="2965" w:type="pct"/>
            <w:tcBorders>
              <w:tl2br w:val="nil"/>
              <w:tr2bl w:val="nil"/>
            </w:tcBorders>
            <w:noWrap/>
            <w:vAlign w:val="bottom"/>
          </w:tcPr>
          <w:p w14:paraId="5B679409">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78、菵草</w:t>
            </w:r>
            <w:r>
              <w:rPr>
                <w:rFonts w:hint="default" w:ascii="Times New Roman" w:hAnsi="Times New Roman" w:eastAsia="宋体"/>
                <w:i/>
                <w:iCs/>
                <w:color w:val="auto"/>
                <w:kern w:val="0"/>
                <w:sz w:val="21"/>
                <w:szCs w:val="21"/>
                <w:lang w:bidi="ar"/>
              </w:rPr>
              <w:t>Beckmannia syzigachne</w:t>
            </w:r>
          </w:p>
        </w:tc>
      </w:tr>
      <w:tr w14:paraId="566C38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801" w:type="pct"/>
            <w:tcBorders>
              <w:tl2br w:val="nil"/>
              <w:tr2bl w:val="nil"/>
            </w:tcBorders>
            <w:noWrap/>
            <w:vAlign w:val="center"/>
          </w:tcPr>
          <w:p w14:paraId="66DF929A">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sz w:val="21"/>
                <w:szCs w:val="21"/>
                <w:highlight w:val="yellow"/>
              </w:rPr>
            </w:pPr>
          </w:p>
        </w:tc>
        <w:tc>
          <w:tcPr>
            <w:tcW w:w="1230" w:type="pct"/>
            <w:tcBorders>
              <w:tl2br w:val="nil"/>
              <w:tr2bl w:val="nil"/>
            </w:tcBorders>
            <w:noWrap/>
            <w:vAlign w:val="center"/>
          </w:tcPr>
          <w:p w14:paraId="0B95A6F9">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虉草属</w:t>
            </w:r>
          </w:p>
        </w:tc>
        <w:tc>
          <w:tcPr>
            <w:tcW w:w="2965" w:type="pct"/>
            <w:tcBorders>
              <w:tl2br w:val="nil"/>
              <w:tr2bl w:val="nil"/>
            </w:tcBorders>
            <w:noWrap/>
            <w:vAlign w:val="bottom"/>
          </w:tcPr>
          <w:p w14:paraId="2A95D750">
            <w:pPr>
              <w:keepNext w:val="0"/>
              <w:keepLines w:val="0"/>
              <w:suppressLineNumbers w:val="0"/>
              <w:spacing w:before="0" w:beforeAutospacing="0" w:after="0" w:afterAutospacing="0" w:line="240" w:lineRule="auto"/>
              <w:ind w:left="0" w:right="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79、虉草</w:t>
            </w:r>
            <w:r>
              <w:rPr>
                <w:rFonts w:hint="default" w:ascii="Times New Roman" w:hAnsi="Times New Roman" w:eastAsia="宋体"/>
                <w:i/>
                <w:iCs/>
                <w:color w:val="auto"/>
                <w:kern w:val="0"/>
                <w:sz w:val="21"/>
                <w:szCs w:val="21"/>
                <w:lang w:bidi="ar"/>
              </w:rPr>
              <w:t>Phalaris arundinacea</w:t>
            </w:r>
          </w:p>
        </w:tc>
      </w:tr>
    </w:tbl>
    <w:p w14:paraId="456B1FA0">
      <w:pPr>
        <w:spacing w:line="360" w:lineRule="auto"/>
        <w:rPr>
          <w:rFonts w:ascii="Times New Roman" w:hAnsi="Times New Roman" w:eastAsia="宋体"/>
          <w:b/>
          <w:color w:val="auto"/>
          <w:sz w:val="24"/>
          <w:szCs w:val="22"/>
        </w:rPr>
      </w:pPr>
      <w:r>
        <w:rPr>
          <w:rFonts w:ascii="Times New Roman" w:hAnsi="Times New Roman" w:eastAsia="宋体"/>
          <w:b/>
          <w:color w:val="auto"/>
          <w:sz w:val="24"/>
          <w:szCs w:val="22"/>
        </w:rPr>
        <w:t>注：名录中带有下划线的为本次现场调查中出现的物种。</w:t>
      </w:r>
    </w:p>
    <w:p w14:paraId="24BA2480">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4.2.5.14.2 科的组成</w:t>
      </w:r>
    </w:p>
    <w:p w14:paraId="4B69B279">
      <w:pPr>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1"/>
          <w:lang w:bidi="ar"/>
        </w:rPr>
        <w:t>保护区范围内未见蕨类植物，双子叶植物占明显优势。仅含1种的单种科有大麻科、马齿苋科、毛茛科、十字花科等16个，占总科属的53.33%；含2-4种的科有莎草科、杨柳科、廖科、苋科等11个，占总科数的36.67%；含5-9种的科有豆科1个，占总科数的3.33%；含10种及以上的科有禾本科(14种)、菊科(12种)2个，占总科数的6.67%。</w:t>
      </w:r>
    </w:p>
    <w:p w14:paraId="47AD4271">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4.2.5.14.3 生态类型</w:t>
      </w:r>
    </w:p>
    <w:p w14:paraId="08034985">
      <w:pPr>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1"/>
          <w:lang w:bidi="ar"/>
        </w:rPr>
        <w:t>按照植物分布的空间特征及需水和耐水性特点，可分为中生植物、湿生植物和水生植物。中生植物是指分布于陆生环境中，不能忍受严重干旱或长期水涝，只能在水分条件适中的环境中生活的物种；湿生植物是指主要分布于陆生环境中，但具有较强的耐涝性，可分布在土壤过湿的环境中，部分湿生植物甚至可以凭借较强的耐涝性而分布于水生环境中，但并不能在水域范围内完成整个生活史过程；水生植物是指分布于水生环境中，并能在水生环境中完成整个生活史的物种，又可根据其生态位的不同，进一步划分为挺水植物、漂浮植物、浮叶植物和沉水植物4种类型。</w:t>
      </w:r>
    </w:p>
    <w:p w14:paraId="3095BE5C">
      <w:pPr>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1"/>
          <w:lang w:bidi="ar"/>
        </w:rPr>
        <w:t>从生态型组成来看，保护区范围内中生植物有59种，占总物种数75.64%；湿生植物14种，占总物种数17.95%；挺水植物有3种，占总物种数3.85%；沉水植物1种，占总物种数1.28%；漂浮植物1种，占总物种数1.28%。总体而言，中生植物占据绝对优势，水生植物则相对较少。</w:t>
      </w:r>
    </w:p>
    <w:p w14:paraId="0677C184">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表4.2</w:t>
      </w:r>
      <w:r>
        <w:rPr>
          <w:rFonts w:hint="eastAsia" w:ascii="Times New Roman" w:hAnsi="Times New Roman" w:eastAsia="黑体" w:cs="Times New Roman"/>
          <w:color w:val="auto"/>
          <w:sz w:val="24"/>
          <w:szCs w:val="21"/>
          <w:lang w:val="en-US" w:eastAsia="zh-CN"/>
        </w:rPr>
        <w:t>-36</w:t>
      </w:r>
      <w:r>
        <w:rPr>
          <w:rFonts w:ascii="Times New Roman" w:hAnsi="Times New Roman" w:eastAsia="黑体" w:cs="Times New Roman"/>
          <w:color w:val="auto"/>
          <w:sz w:val="24"/>
          <w:szCs w:val="21"/>
        </w:rPr>
        <w:t xml:space="preserve">  保护区河段植被生态类型</w:t>
      </w:r>
    </w:p>
    <w:tbl>
      <w:tblPr>
        <w:tblStyle w:val="5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433"/>
        <w:gridCol w:w="2165"/>
        <w:gridCol w:w="2470"/>
        <w:gridCol w:w="2219"/>
      </w:tblGrid>
      <w:tr w14:paraId="770835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475" w:type="pct"/>
            <w:gridSpan w:val="2"/>
            <w:tcBorders>
              <w:tl2br w:val="nil"/>
              <w:tr2bl w:val="nil"/>
            </w:tcBorders>
            <w:noWrap/>
            <w:vAlign w:val="center"/>
          </w:tcPr>
          <w:p w14:paraId="1FD24C62">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kern w:val="2"/>
                <w:sz w:val="21"/>
                <w:szCs w:val="21"/>
                <w:lang w:val="en-US" w:eastAsia="zh-CN" w:bidi="ar"/>
              </w:rPr>
            </w:pPr>
            <w:r>
              <w:rPr>
                <w:rFonts w:hint="default" w:ascii="Times New Roman" w:hAnsi="Times New Roman" w:eastAsia="宋体" w:cs="Times New Roman"/>
                <w:b/>
                <w:color w:val="auto"/>
                <w:kern w:val="2"/>
                <w:sz w:val="21"/>
                <w:szCs w:val="21"/>
                <w:lang w:val="en-US" w:eastAsia="zh-CN" w:bidi="ar"/>
              </w:rPr>
              <w:t>生态型</w:t>
            </w:r>
          </w:p>
        </w:tc>
        <w:tc>
          <w:tcPr>
            <w:tcW w:w="1329" w:type="pct"/>
            <w:tcBorders>
              <w:tl2br w:val="nil"/>
              <w:tr2bl w:val="nil"/>
            </w:tcBorders>
            <w:noWrap/>
            <w:vAlign w:val="center"/>
          </w:tcPr>
          <w:p w14:paraId="1DB2C944">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kern w:val="2"/>
                <w:sz w:val="21"/>
                <w:szCs w:val="21"/>
                <w:lang w:val="en-US" w:eastAsia="zh-CN" w:bidi="ar"/>
              </w:rPr>
            </w:pPr>
            <w:r>
              <w:rPr>
                <w:rFonts w:hint="default" w:ascii="Times New Roman" w:hAnsi="Times New Roman" w:eastAsia="宋体" w:cs="Times New Roman"/>
                <w:b/>
                <w:color w:val="auto"/>
                <w:kern w:val="2"/>
                <w:sz w:val="21"/>
                <w:szCs w:val="21"/>
                <w:lang w:val="en-US" w:eastAsia="zh-CN" w:bidi="ar"/>
              </w:rPr>
              <w:t>物种数</w:t>
            </w:r>
          </w:p>
        </w:tc>
        <w:tc>
          <w:tcPr>
            <w:tcW w:w="1194" w:type="pct"/>
            <w:tcBorders>
              <w:tl2br w:val="nil"/>
              <w:tr2bl w:val="nil"/>
            </w:tcBorders>
            <w:noWrap/>
            <w:vAlign w:val="center"/>
          </w:tcPr>
          <w:p w14:paraId="73041B66">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kern w:val="2"/>
                <w:sz w:val="21"/>
                <w:szCs w:val="21"/>
                <w:lang w:val="en-US" w:eastAsia="zh-CN" w:bidi="ar"/>
              </w:rPr>
            </w:pPr>
            <w:r>
              <w:rPr>
                <w:rFonts w:hint="default" w:ascii="Times New Roman" w:hAnsi="Times New Roman" w:eastAsia="宋体" w:cs="Times New Roman"/>
                <w:b/>
                <w:color w:val="auto"/>
                <w:kern w:val="2"/>
                <w:sz w:val="21"/>
                <w:szCs w:val="21"/>
                <w:lang w:val="en-US" w:eastAsia="zh-CN" w:bidi="ar"/>
              </w:rPr>
              <w:t>占比</w:t>
            </w:r>
          </w:p>
        </w:tc>
      </w:tr>
      <w:tr w14:paraId="39F7B02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475" w:type="pct"/>
            <w:gridSpan w:val="2"/>
            <w:tcBorders>
              <w:tl2br w:val="nil"/>
              <w:tr2bl w:val="nil"/>
            </w:tcBorders>
            <w:noWrap/>
            <w:vAlign w:val="center"/>
          </w:tcPr>
          <w:p w14:paraId="3D62EDD5">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中生植物</w:t>
            </w:r>
          </w:p>
        </w:tc>
        <w:tc>
          <w:tcPr>
            <w:tcW w:w="1329" w:type="pct"/>
            <w:tcBorders>
              <w:tl2br w:val="nil"/>
              <w:tr2bl w:val="nil"/>
            </w:tcBorders>
            <w:noWrap/>
            <w:vAlign w:val="center"/>
          </w:tcPr>
          <w:p w14:paraId="247E170F">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59</w:t>
            </w:r>
          </w:p>
        </w:tc>
        <w:tc>
          <w:tcPr>
            <w:tcW w:w="1194" w:type="pct"/>
            <w:tcBorders>
              <w:tl2br w:val="nil"/>
              <w:tr2bl w:val="nil"/>
            </w:tcBorders>
            <w:noWrap/>
            <w:vAlign w:val="center"/>
          </w:tcPr>
          <w:p w14:paraId="17194F26">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75.65%</w:t>
            </w:r>
          </w:p>
        </w:tc>
      </w:tr>
      <w:tr w14:paraId="1EE7B0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475" w:type="pct"/>
            <w:gridSpan w:val="2"/>
            <w:tcBorders>
              <w:tl2br w:val="nil"/>
              <w:tr2bl w:val="nil"/>
            </w:tcBorders>
            <w:shd w:val="clear" w:color="auto" w:fill="FFFFFF"/>
            <w:noWrap/>
            <w:vAlign w:val="center"/>
          </w:tcPr>
          <w:p w14:paraId="6CB04575">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湿生植物</w:t>
            </w:r>
          </w:p>
        </w:tc>
        <w:tc>
          <w:tcPr>
            <w:tcW w:w="1329" w:type="pct"/>
            <w:tcBorders>
              <w:tl2br w:val="nil"/>
              <w:tr2bl w:val="nil"/>
            </w:tcBorders>
            <w:noWrap/>
            <w:vAlign w:val="center"/>
          </w:tcPr>
          <w:p w14:paraId="2EE63803">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14</w:t>
            </w:r>
          </w:p>
        </w:tc>
        <w:tc>
          <w:tcPr>
            <w:tcW w:w="1194" w:type="pct"/>
            <w:tcBorders>
              <w:tl2br w:val="nil"/>
              <w:tr2bl w:val="nil"/>
            </w:tcBorders>
            <w:noWrap/>
            <w:vAlign w:val="center"/>
          </w:tcPr>
          <w:p w14:paraId="296ED088">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17.95%</w:t>
            </w:r>
          </w:p>
        </w:tc>
      </w:tr>
      <w:tr w14:paraId="2FD296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310" w:type="pct"/>
            <w:vMerge w:val="restart"/>
            <w:tcBorders>
              <w:tl2br w:val="nil"/>
              <w:tr2bl w:val="nil"/>
            </w:tcBorders>
            <w:shd w:val="clear" w:color="auto" w:fill="auto"/>
            <w:noWrap w:val="0"/>
            <w:vAlign w:val="center"/>
          </w:tcPr>
          <w:p w14:paraId="25D1C7A6">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水生植物(8种，占总物种数5.19%)</w:t>
            </w:r>
          </w:p>
        </w:tc>
        <w:tc>
          <w:tcPr>
            <w:tcW w:w="1164" w:type="pct"/>
            <w:tcBorders>
              <w:tl2br w:val="nil"/>
              <w:tr2bl w:val="nil"/>
            </w:tcBorders>
            <w:shd w:val="clear" w:color="auto" w:fill="FFFFFF"/>
            <w:noWrap/>
            <w:vAlign w:val="center"/>
          </w:tcPr>
          <w:p w14:paraId="498E2565">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挺水植物</w:t>
            </w:r>
          </w:p>
        </w:tc>
        <w:tc>
          <w:tcPr>
            <w:tcW w:w="1329" w:type="pct"/>
            <w:tcBorders>
              <w:tl2br w:val="nil"/>
              <w:tr2bl w:val="nil"/>
            </w:tcBorders>
            <w:noWrap/>
            <w:vAlign w:val="center"/>
          </w:tcPr>
          <w:p w14:paraId="792B82F2">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3</w:t>
            </w:r>
          </w:p>
        </w:tc>
        <w:tc>
          <w:tcPr>
            <w:tcW w:w="1194" w:type="pct"/>
            <w:tcBorders>
              <w:tl2br w:val="nil"/>
              <w:tr2bl w:val="nil"/>
            </w:tcBorders>
            <w:noWrap/>
            <w:vAlign w:val="center"/>
          </w:tcPr>
          <w:p w14:paraId="2AA18E0A">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3.85%</w:t>
            </w:r>
          </w:p>
        </w:tc>
      </w:tr>
      <w:tr w14:paraId="5DBAA7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310" w:type="pct"/>
            <w:vMerge w:val="continue"/>
            <w:tcBorders>
              <w:tl2br w:val="nil"/>
              <w:tr2bl w:val="nil"/>
            </w:tcBorders>
            <w:shd w:val="clear" w:color="auto" w:fill="auto"/>
            <w:noWrap w:val="0"/>
            <w:vAlign w:val="center"/>
          </w:tcPr>
          <w:p w14:paraId="4FBF9891">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1164" w:type="pct"/>
            <w:tcBorders>
              <w:tl2br w:val="nil"/>
              <w:tr2bl w:val="nil"/>
            </w:tcBorders>
            <w:shd w:val="clear" w:color="auto" w:fill="FFFFFF"/>
            <w:noWrap/>
            <w:vAlign w:val="center"/>
          </w:tcPr>
          <w:p w14:paraId="446AED79">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漂浮植物</w:t>
            </w:r>
          </w:p>
        </w:tc>
        <w:tc>
          <w:tcPr>
            <w:tcW w:w="1329" w:type="pct"/>
            <w:tcBorders>
              <w:tl2br w:val="nil"/>
              <w:tr2bl w:val="nil"/>
            </w:tcBorders>
            <w:noWrap/>
            <w:vAlign w:val="center"/>
          </w:tcPr>
          <w:p w14:paraId="39A0F656">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w:t>
            </w:r>
          </w:p>
        </w:tc>
        <w:tc>
          <w:tcPr>
            <w:tcW w:w="1194" w:type="pct"/>
            <w:tcBorders>
              <w:tl2br w:val="nil"/>
              <w:tr2bl w:val="nil"/>
            </w:tcBorders>
            <w:noWrap/>
            <w:vAlign w:val="center"/>
          </w:tcPr>
          <w:p w14:paraId="4B471E22">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1.28%</w:t>
            </w:r>
          </w:p>
        </w:tc>
      </w:tr>
      <w:tr w14:paraId="47C4F0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310" w:type="pct"/>
            <w:vMerge w:val="continue"/>
            <w:tcBorders>
              <w:tl2br w:val="nil"/>
              <w:tr2bl w:val="nil"/>
            </w:tcBorders>
            <w:shd w:val="clear" w:color="auto" w:fill="auto"/>
            <w:noWrap w:val="0"/>
            <w:vAlign w:val="center"/>
          </w:tcPr>
          <w:p w14:paraId="66FC063A">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1164" w:type="pct"/>
            <w:tcBorders>
              <w:tl2br w:val="nil"/>
              <w:tr2bl w:val="nil"/>
            </w:tcBorders>
            <w:shd w:val="clear" w:color="auto" w:fill="FFFFFF"/>
            <w:noWrap/>
            <w:vAlign w:val="center"/>
          </w:tcPr>
          <w:p w14:paraId="43D234C3">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浮叶植物</w:t>
            </w:r>
          </w:p>
        </w:tc>
        <w:tc>
          <w:tcPr>
            <w:tcW w:w="1329" w:type="pct"/>
            <w:tcBorders>
              <w:tl2br w:val="nil"/>
              <w:tr2bl w:val="nil"/>
            </w:tcBorders>
            <w:noWrap/>
            <w:vAlign w:val="center"/>
          </w:tcPr>
          <w:p w14:paraId="205F0364">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0</w:t>
            </w:r>
          </w:p>
        </w:tc>
        <w:tc>
          <w:tcPr>
            <w:tcW w:w="1194" w:type="pct"/>
            <w:tcBorders>
              <w:tl2br w:val="nil"/>
              <w:tr2bl w:val="nil"/>
            </w:tcBorders>
            <w:noWrap/>
            <w:vAlign w:val="center"/>
          </w:tcPr>
          <w:p w14:paraId="12AF9CDC">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0%</w:t>
            </w:r>
          </w:p>
        </w:tc>
      </w:tr>
      <w:tr w14:paraId="04940A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310" w:type="pct"/>
            <w:vMerge w:val="continue"/>
            <w:tcBorders>
              <w:tl2br w:val="nil"/>
              <w:tr2bl w:val="nil"/>
            </w:tcBorders>
            <w:shd w:val="clear" w:color="auto" w:fill="auto"/>
            <w:noWrap w:val="0"/>
            <w:vAlign w:val="center"/>
          </w:tcPr>
          <w:p w14:paraId="036226AF">
            <w:pPr>
              <w:keepNext w:val="0"/>
              <w:keepLines w:val="0"/>
              <w:widowControl/>
              <w:suppressLineNumbers w:val="0"/>
              <w:spacing w:before="0" w:beforeAutospacing="0" w:after="0" w:afterAutospacing="0" w:line="240" w:lineRule="auto"/>
              <w:ind w:left="0" w:right="0"/>
              <w:rPr>
                <w:rFonts w:hint="default" w:ascii="Times New Roman" w:hAnsi="Times New Roman" w:eastAsia="宋体"/>
                <w:color w:val="auto"/>
                <w:sz w:val="21"/>
                <w:szCs w:val="21"/>
              </w:rPr>
            </w:pPr>
          </w:p>
        </w:tc>
        <w:tc>
          <w:tcPr>
            <w:tcW w:w="1164" w:type="pct"/>
            <w:tcBorders>
              <w:tl2br w:val="nil"/>
              <w:tr2bl w:val="nil"/>
            </w:tcBorders>
            <w:shd w:val="clear" w:color="auto" w:fill="FFFFFF"/>
            <w:noWrap/>
            <w:vAlign w:val="center"/>
          </w:tcPr>
          <w:p w14:paraId="18894EC2">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沉水植物</w:t>
            </w:r>
          </w:p>
        </w:tc>
        <w:tc>
          <w:tcPr>
            <w:tcW w:w="1329" w:type="pct"/>
            <w:tcBorders>
              <w:tl2br w:val="nil"/>
              <w:tr2bl w:val="nil"/>
            </w:tcBorders>
            <w:noWrap/>
            <w:vAlign w:val="center"/>
          </w:tcPr>
          <w:p w14:paraId="188F4A01">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w:t>
            </w:r>
          </w:p>
        </w:tc>
        <w:tc>
          <w:tcPr>
            <w:tcW w:w="1194" w:type="pct"/>
            <w:tcBorders>
              <w:tl2br w:val="nil"/>
              <w:tr2bl w:val="nil"/>
            </w:tcBorders>
            <w:noWrap/>
            <w:vAlign w:val="center"/>
          </w:tcPr>
          <w:p w14:paraId="34513E54">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1.28%</w:t>
            </w:r>
          </w:p>
        </w:tc>
      </w:tr>
      <w:tr w14:paraId="3270BB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475" w:type="pct"/>
            <w:gridSpan w:val="2"/>
            <w:tcBorders>
              <w:tl2br w:val="nil"/>
              <w:tr2bl w:val="nil"/>
            </w:tcBorders>
            <w:noWrap/>
            <w:vAlign w:val="center"/>
          </w:tcPr>
          <w:p w14:paraId="42B7AD45">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合计</w:t>
            </w:r>
          </w:p>
        </w:tc>
        <w:tc>
          <w:tcPr>
            <w:tcW w:w="1329" w:type="pct"/>
            <w:tcBorders>
              <w:tl2br w:val="nil"/>
              <w:tr2bl w:val="nil"/>
            </w:tcBorders>
            <w:noWrap/>
            <w:vAlign w:val="center"/>
          </w:tcPr>
          <w:p w14:paraId="3D55CF9B">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77</w:t>
            </w:r>
          </w:p>
        </w:tc>
        <w:tc>
          <w:tcPr>
            <w:tcW w:w="1194" w:type="pct"/>
            <w:tcBorders>
              <w:tl2br w:val="nil"/>
              <w:tr2bl w:val="nil"/>
            </w:tcBorders>
            <w:noWrap/>
            <w:vAlign w:val="center"/>
          </w:tcPr>
          <w:p w14:paraId="047CCCA6">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100.00%</w:t>
            </w:r>
          </w:p>
        </w:tc>
      </w:tr>
    </w:tbl>
    <w:p w14:paraId="1D88C80A">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4.2.5.14.4 外来入侵物种分布情况</w:t>
      </w:r>
    </w:p>
    <w:p w14:paraId="5E503C43">
      <w:pPr>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1"/>
          <w:lang w:bidi="ar"/>
        </w:rPr>
        <w:t>根据2019年调查结果，保护区河段共发现7个外来入侵种，占总物种数的8.97%(表4.2</w:t>
      </w:r>
      <w:r>
        <w:rPr>
          <w:rFonts w:hint="eastAsia" w:ascii="Times New Roman" w:hAnsi="Times New Roman" w:eastAsia="宋体"/>
          <w:color w:val="auto"/>
          <w:sz w:val="24"/>
          <w:szCs w:val="21"/>
          <w:lang w:val="en-US" w:eastAsia="zh-CN" w:bidi="ar"/>
        </w:rPr>
        <w:t>-37</w:t>
      </w:r>
      <w:r>
        <w:rPr>
          <w:rFonts w:ascii="Times New Roman" w:hAnsi="Times New Roman" w:eastAsia="宋体"/>
          <w:color w:val="auto"/>
          <w:sz w:val="24"/>
          <w:szCs w:val="21"/>
          <w:lang w:bidi="ar"/>
        </w:rPr>
        <w:t>)。从分布情况来看，喜旱莲子草、小蓬草、一年蓬、香丝草和斑地锦均较为常见，尤其喜旱莲子草和小蓬草频度超过或接近50%。考虑到这几个物种入侵中国的时间均较长，已经成为当地植物区系的组成成分。它们分</w:t>
      </w:r>
      <w:r>
        <w:rPr>
          <w:rFonts w:hint="eastAsia"/>
          <w:color w:val="auto"/>
          <w:sz w:val="24"/>
          <w:szCs w:val="21"/>
          <w:lang w:eastAsia="zh-CN" w:bidi="ar"/>
        </w:rPr>
        <w:t>布较</w:t>
      </w:r>
      <w:r>
        <w:rPr>
          <w:rFonts w:ascii="Times New Roman" w:hAnsi="Times New Roman" w:eastAsia="宋体"/>
          <w:color w:val="auto"/>
          <w:sz w:val="24"/>
          <w:szCs w:val="21"/>
          <w:lang w:bidi="ar"/>
        </w:rPr>
        <w:t>多的原因是淮河滩地受季节性淹水和开垦等</w:t>
      </w:r>
      <w:r>
        <w:rPr>
          <w:rFonts w:hint="eastAsia"/>
          <w:color w:val="auto"/>
          <w:sz w:val="24"/>
          <w:szCs w:val="21"/>
          <w:lang w:eastAsia="zh-CN" w:bidi="ar"/>
        </w:rPr>
        <w:t>人为</w:t>
      </w:r>
      <w:r>
        <w:rPr>
          <w:rFonts w:ascii="Times New Roman" w:hAnsi="Times New Roman" w:eastAsia="宋体"/>
          <w:color w:val="auto"/>
          <w:sz w:val="24"/>
          <w:szCs w:val="21"/>
          <w:lang w:bidi="ar"/>
        </w:rPr>
        <w:t>活动的影响，形成大量次生裸地，这些物种本身为强阳性物种且繁殖能力强，作为先锋物种快速占领次生裸地。</w:t>
      </w:r>
    </w:p>
    <w:p w14:paraId="76A08F5E">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表4.2</w:t>
      </w:r>
      <w:r>
        <w:rPr>
          <w:rFonts w:hint="eastAsia" w:ascii="Times New Roman" w:hAnsi="Times New Roman" w:eastAsia="黑体" w:cs="Times New Roman"/>
          <w:color w:val="auto"/>
          <w:sz w:val="24"/>
          <w:szCs w:val="21"/>
          <w:lang w:val="en-US" w:eastAsia="zh-CN"/>
        </w:rPr>
        <w:t>-37</w:t>
      </w:r>
      <w:r>
        <w:rPr>
          <w:rFonts w:ascii="Times New Roman" w:hAnsi="Times New Roman" w:eastAsia="黑体" w:cs="Times New Roman"/>
          <w:color w:val="auto"/>
          <w:sz w:val="24"/>
          <w:szCs w:val="21"/>
        </w:rPr>
        <w:t xml:space="preserve">  保护区河段外来入侵物种分布情况</w:t>
      </w:r>
    </w:p>
    <w:tbl>
      <w:tblPr>
        <w:tblStyle w:val="53"/>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57" w:type="dxa"/>
          <w:bottom w:w="0" w:type="dxa"/>
          <w:right w:w="57" w:type="dxa"/>
        </w:tblCellMar>
      </w:tblPr>
      <w:tblGrid>
        <w:gridCol w:w="580"/>
        <w:gridCol w:w="2100"/>
        <w:gridCol w:w="3242"/>
        <w:gridCol w:w="1532"/>
        <w:gridCol w:w="1731"/>
      </w:tblGrid>
      <w:tr w14:paraId="33EE6C3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2" w:hRule="atLeast"/>
        </w:trPr>
        <w:tc>
          <w:tcPr>
            <w:tcW w:w="316" w:type="pct"/>
            <w:tcBorders>
              <w:tl2br w:val="nil"/>
              <w:tr2bl w:val="nil"/>
            </w:tcBorders>
            <w:noWrap/>
            <w:vAlign w:val="center"/>
          </w:tcPr>
          <w:p w14:paraId="1A1A7DD0">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序号</w:t>
            </w:r>
          </w:p>
        </w:tc>
        <w:tc>
          <w:tcPr>
            <w:tcW w:w="1143" w:type="pct"/>
            <w:tcBorders>
              <w:tl2br w:val="nil"/>
              <w:tr2bl w:val="nil"/>
            </w:tcBorders>
            <w:noWrap/>
            <w:vAlign w:val="center"/>
          </w:tcPr>
          <w:p w14:paraId="5FE41C5D">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种名</w:t>
            </w:r>
          </w:p>
        </w:tc>
        <w:tc>
          <w:tcPr>
            <w:tcW w:w="1765" w:type="pct"/>
            <w:tcBorders>
              <w:tl2br w:val="nil"/>
              <w:tr2bl w:val="nil"/>
            </w:tcBorders>
            <w:noWrap/>
            <w:vAlign w:val="center"/>
          </w:tcPr>
          <w:p w14:paraId="4D70EDA9">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学名</w:t>
            </w:r>
          </w:p>
        </w:tc>
        <w:tc>
          <w:tcPr>
            <w:tcW w:w="834" w:type="pct"/>
            <w:tcBorders>
              <w:tl2br w:val="nil"/>
              <w:tr2bl w:val="nil"/>
            </w:tcBorders>
            <w:noWrap/>
            <w:vAlign w:val="center"/>
          </w:tcPr>
          <w:p w14:paraId="59CF4059">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原产地</w:t>
            </w:r>
          </w:p>
        </w:tc>
        <w:tc>
          <w:tcPr>
            <w:tcW w:w="942" w:type="pct"/>
            <w:tcBorders>
              <w:tl2br w:val="nil"/>
              <w:tr2bl w:val="nil"/>
            </w:tcBorders>
            <w:noWrap/>
            <w:vAlign w:val="center"/>
          </w:tcPr>
          <w:p w14:paraId="76F8994A">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入侵时间</w:t>
            </w:r>
            <w:r>
              <w:rPr>
                <w:rFonts w:hint="eastAsia" w:cs="Times New Roman"/>
                <w:b w:val="0"/>
                <w:bCs/>
                <w:color w:val="auto"/>
                <w:kern w:val="2"/>
                <w:sz w:val="21"/>
                <w:szCs w:val="21"/>
                <w:lang w:val="en-US" w:eastAsia="zh-CN" w:bidi="ar"/>
              </w:rPr>
              <w:t>（</w:t>
            </w:r>
            <w:r>
              <w:rPr>
                <w:rFonts w:hint="default" w:ascii="Times New Roman" w:hAnsi="Times New Roman" w:eastAsia="宋体" w:cs="Times New Roman"/>
                <w:b w:val="0"/>
                <w:bCs/>
                <w:color w:val="auto"/>
                <w:kern w:val="2"/>
                <w:sz w:val="21"/>
                <w:szCs w:val="21"/>
                <w:lang w:val="en-US" w:eastAsia="zh-CN" w:bidi="ar"/>
              </w:rPr>
              <w:t>年)</w:t>
            </w:r>
          </w:p>
        </w:tc>
      </w:tr>
      <w:tr w14:paraId="14A5BA8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2" w:hRule="atLeast"/>
        </w:trPr>
        <w:tc>
          <w:tcPr>
            <w:tcW w:w="316" w:type="pct"/>
            <w:tcBorders>
              <w:tl2br w:val="nil"/>
              <w:tr2bl w:val="nil"/>
            </w:tcBorders>
            <w:noWrap/>
            <w:vAlign w:val="center"/>
          </w:tcPr>
          <w:p w14:paraId="2CBF6B16">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w:t>
            </w:r>
          </w:p>
        </w:tc>
        <w:tc>
          <w:tcPr>
            <w:tcW w:w="1143" w:type="pct"/>
            <w:tcBorders>
              <w:tl2br w:val="nil"/>
              <w:tr2bl w:val="nil"/>
            </w:tcBorders>
            <w:noWrap/>
            <w:vAlign w:val="center"/>
          </w:tcPr>
          <w:p w14:paraId="797E33C8">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喜旱莲子草</w:t>
            </w:r>
          </w:p>
        </w:tc>
        <w:tc>
          <w:tcPr>
            <w:tcW w:w="1765" w:type="pct"/>
            <w:tcBorders>
              <w:tl2br w:val="nil"/>
              <w:tr2bl w:val="nil"/>
            </w:tcBorders>
            <w:noWrap/>
            <w:vAlign w:val="center"/>
          </w:tcPr>
          <w:p w14:paraId="68AAC0CF">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i/>
                <w:iCs/>
                <w:color w:val="auto"/>
                <w:kern w:val="2"/>
                <w:sz w:val="21"/>
                <w:szCs w:val="21"/>
                <w:lang w:val="en-US" w:eastAsia="zh-CN" w:bidi="ar"/>
              </w:rPr>
            </w:pPr>
            <w:r>
              <w:rPr>
                <w:rFonts w:hint="default" w:ascii="Times New Roman" w:hAnsi="Times New Roman" w:eastAsia="宋体" w:cs="Times New Roman"/>
                <w:b w:val="0"/>
                <w:bCs/>
                <w:i/>
                <w:iCs/>
                <w:color w:val="auto"/>
                <w:kern w:val="2"/>
                <w:sz w:val="21"/>
                <w:szCs w:val="21"/>
                <w:lang w:val="en-US" w:eastAsia="zh-CN" w:bidi="ar"/>
              </w:rPr>
              <w:t>Alternanthera philoxeroides</w:t>
            </w:r>
          </w:p>
        </w:tc>
        <w:tc>
          <w:tcPr>
            <w:tcW w:w="834" w:type="pct"/>
            <w:tcBorders>
              <w:tl2br w:val="nil"/>
              <w:tr2bl w:val="nil"/>
            </w:tcBorders>
            <w:noWrap/>
            <w:vAlign w:val="center"/>
          </w:tcPr>
          <w:p w14:paraId="1B8C7A64">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南美</w:t>
            </w:r>
          </w:p>
        </w:tc>
        <w:tc>
          <w:tcPr>
            <w:tcW w:w="942" w:type="pct"/>
            <w:tcBorders>
              <w:tl2br w:val="nil"/>
              <w:tr2bl w:val="nil"/>
            </w:tcBorders>
            <w:noWrap/>
            <w:vAlign w:val="center"/>
          </w:tcPr>
          <w:p w14:paraId="036FE81D">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1890s</w:t>
            </w:r>
          </w:p>
        </w:tc>
      </w:tr>
      <w:tr w14:paraId="28683A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2" w:hRule="atLeast"/>
        </w:trPr>
        <w:tc>
          <w:tcPr>
            <w:tcW w:w="316" w:type="pct"/>
            <w:tcBorders>
              <w:tl2br w:val="nil"/>
              <w:tr2bl w:val="nil"/>
            </w:tcBorders>
            <w:noWrap/>
            <w:vAlign w:val="center"/>
          </w:tcPr>
          <w:p w14:paraId="67A6828C">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2</w:t>
            </w:r>
          </w:p>
        </w:tc>
        <w:tc>
          <w:tcPr>
            <w:tcW w:w="1143" w:type="pct"/>
            <w:tcBorders>
              <w:tl2br w:val="nil"/>
              <w:tr2bl w:val="nil"/>
            </w:tcBorders>
            <w:noWrap/>
            <w:vAlign w:val="center"/>
          </w:tcPr>
          <w:p w14:paraId="351CE9C1">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决明</w:t>
            </w:r>
          </w:p>
        </w:tc>
        <w:tc>
          <w:tcPr>
            <w:tcW w:w="1765" w:type="pct"/>
            <w:tcBorders>
              <w:tl2br w:val="nil"/>
              <w:tr2bl w:val="nil"/>
            </w:tcBorders>
            <w:noWrap/>
            <w:vAlign w:val="center"/>
          </w:tcPr>
          <w:p w14:paraId="16C044F0">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i/>
                <w:iCs/>
                <w:color w:val="auto"/>
                <w:kern w:val="2"/>
                <w:sz w:val="21"/>
                <w:szCs w:val="21"/>
                <w:lang w:val="en-US" w:eastAsia="zh-CN" w:bidi="ar"/>
              </w:rPr>
            </w:pPr>
            <w:r>
              <w:rPr>
                <w:rFonts w:hint="default" w:ascii="Times New Roman" w:hAnsi="Times New Roman" w:eastAsia="宋体" w:cs="Times New Roman"/>
                <w:b w:val="0"/>
                <w:bCs/>
                <w:i/>
                <w:iCs/>
                <w:color w:val="auto"/>
                <w:kern w:val="2"/>
                <w:sz w:val="21"/>
                <w:szCs w:val="21"/>
                <w:lang w:val="en-US" w:eastAsia="zh-CN" w:bidi="ar"/>
              </w:rPr>
              <w:t>Senna tora</w:t>
            </w:r>
          </w:p>
        </w:tc>
        <w:tc>
          <w:tcPr>
            <w:tcW w:w="834" w:type="pct"/>
            <w:tcBorders>
              <w:tl2br w:val="nil"/>
              <w:tr2bl w:val="nil"/>
            </w:tcBorders>
            <w:noWrap/>
            <w:vAlign w:val="center"/>
          </w:tcPr>
          <w:p w14:paraId="33232AB7">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美洲热带</w:t>
            </w:r>
          </w:p>
        </w:tc>
        <w:tc>
          <w:tcPr>
            <w:tcW w:w="942" w:type="pct"/>
            <w:tcBorders>
              <w:tl2br w:val="nil"/>
              <w:tr2bl w:val="nil"/>
            </w:tcBorders>
            <w:noWrap/>
            <w:vAlign w:val="center"/>
          </w:tcPr>
          <w:p w14:paraId="4B7710B2">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&gt;100</w:t>
            </w:r>
          </w:p>
        </w:tc>
      </w:tr>
      <w:tr w14:paraId="42D034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2" w:hRule="atLeast"/>
        </w:trPr>
        <w:tc>
          <w:tcPr>
            <w:tcW w:w="316" w:type="pct"/>
            <w:tcBorders>
              <w:tl2br w:val="nil"/>
              <w:tr2bl w:val="nil"/>
            </w:tcBorders>
            <w:noWrap/>
            <w:vAlign w:val="center"/>
          </w:tcPr>
          <w:p w14:paraId="1E52990E">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3</w:t>
            </w:r>
          </w:p>
        </w:tc>
        <w:tc>
          <w:tcPr>
            <w:tcW w:w="1143" w:type="pct"/>
            <w:tcBorders>
              <w:tl2br w:val="nil"/>
              <w:tr2bl w:val="nil"/>
            </w:tcBorders>
            <w:noWrap/>
            <w:vAlign w:val="center"/>
          </w:tcPr>
          <w:p w14:paraId="5FC0264A">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斑地锦</w:t>
            </w:r>
          </w:p>
        </w:tc>
        <w:tc>
          <w:tcPr>
            <w:tcW w:w="1765" w:type="pct"/>
            <w:tcBorders>
              <w:tl2br w:val="nil"/>
              <w:tr2bl w:val="nil"/>
            </w:tcBorders>
            <w:noWrap/>
            <w:vAlign w:val="center"/>
          </w:tcPr>
          <w:p w14:paraId="419BAE5A">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i/>
                <w:iCs/>
                <w:color w:val="auto"/>
                <w:kern w:val="2"/>
                <w:sz w:val="21"/>
                <w:szCs w:val="21"/>
                <w:lang w:val="en-US" w:eastAsia="zh-CN" w:bidi="ar"/>
              </w:rPr>
            </w:pPr>
            <w:r>
              <w:rPr>
                <w:rFonts w:hint="default" w:ascii="Times New Roman" w:hAnsi="Times New Roman" w:eastAsia="宋体" w:cs="Times New Roman"/>
                <w:b w:val="0"/>
                <w:bCs/>
                <w:i/>
                <w:iCs/>
                <w:color w:val="auto"/>
                <w:kern w:val="2"/>
                <w:sz w:val="21"/>
                <w:szCs w:val="21"/>
                <w:lang w:val="en-US" w:eastAsia="zh-CN" w:bidi="ar"/>
              </w:rPr>
              <w:t>Euphorbia maculata</w:t>
            </w:r>
          </w:p>
        </w:tc>
        <w:tc>
          <w:tcPr>
            <w:tcW w:w="834" w:type="pct"/>
            <w:tcBorders>
              <w:tl2br w:val="nil"/>
              <w:tr2bl w:val="nil"/>
            </w:tcBorders>
            <w:noWrap/>
            <w:vAlign w:val="center"/>
          </w:tcPr>
          <w:p w14:paraId="161CD5A4">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北美</w:t>
            </w:r>
          </w:p>
        </w:tc>
        <w:tc>
          <w:tcPr>
            <w:tcW w:w="942" w:type="pct"/>
            <w:tcBorders>
              <w:tl2br w:val="nil"/>
              <w:tr2bl w:val="nil"/>
            </w:tcBorders>
            <w:noWrap/>
            <w:vAlign w:val="center"/>
          </w:tcPr>
          <w:p w14:paraId="3D376F48">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&gt;100</w:t>
            </w:r>
          </w:p>
        </w:tc>
      </w:tr>
      <w:tr w14:paraId="6736898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2" w:hRule="atLeast"/>
        </w:trPr>
        <w:tc>
          <w:tcPr>
            <w:tcW w:w="316" w:type="pct"/>
            <w:tcBorders>
              <w:tl2br w:val="nil"/>
              <w:tr2bl w:val="nil"/>
            </w:tcBorders>
            <w:noWrap/>
            <w:vAlign w:val="center"/>
          </w:tcPr>
          <w:p w14:paraId="44793454">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4</w:t>
            </w:r>
          </w:p>
        </w:tc>
        <w:tc>
          <w:tcPr>
            <w:tcW w:w="1143" w:type="pct"/>
            <w:tcBorders>
              <w:tl2br w:val="nil"/>
              <w:tr2bl w:val="nil"/>
            </w:tcBorders>
            <w:noWrap/>
            <w:vAlign w:val="center"/>
          </w:tcPr>
          <w:p w14:paraId="2574573D">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阿拉伯婆婆纳</w:t>
            </w:r>
          </w:p>
        </w:tc>
        <w:tc>
          <w:tcPr>
            <w:tcW w:w="1765" w:type="pct"/>
            <w:tcBorders>
              <w:tl2br w:val="nil"/>
              <w:tr2bl w:val="nil"/>
            </w:tcBorders>
            <w:noWrap/>
            <w:vAlign w:val="center"/>
          </w:tcPr>
          <w:p w14:paraId="26EE9641">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i/>
                <w:iCs/>
                <w:color w:val="auto"/>
                <w:kern w:val="2"/>
                <w:sz w:val="21"/>
                <w:szCs w:val="21"/>
                <w:lang w:val="en-US" w:eastAsia="zh-CN" w:bidi="ar"/>
              </w:rPr>
            </w:pPr>
            <w:r>
              <w:rPr>
                <w:rFonts w:hint="default" w:ascii="Times New Roman" w:hAnsi="Times New Roman" w:eastAsia="宋体" w:cs="Times New Roman"/>
                <w:b w:val="0"/>
                <w:bCs/>
                <w:i/>
                <w:iCs/>
                <w:color w:val="auto"/>
                <w:kern w:val="2"/>
                <w:sz w:val="21"/>
                <w:szCs w:val="21"/>
                <w:lang w:val="en-US" w:eastAsia="zh-CN" w:bidi="ar"/>
              </w:rPr>
              <w:t>Veronica persica</w:t>
            </w:r>
          </w:p>
        </w:tc>
        <w:tc>
          <w:tcPr>
            <w:tcW w:w="834" w:type="pct"/>
            <w:tcBorders>
              <w:tl2br w:val="nil"/>
              <w:tr2bl w:val="nil"/>
            </w:tcBorders>
            <w:noWrap/>
            <w:vAlign w:val="center"/>
          </w:tcPr>
          <w:p w14:paraId="571F51B5">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西亚及欧洲</w:t>
            </w:r>
          </w:p>
        </w:tc>
        <w:tc>
          <w:tcPr>
            <w:tcW w:w="942" w:type="pct"/>
            <w:tcBorders>
              <w:tl2br w:val="nil"/>
              <w:tr2bl w:val="nil"/>
            </w:tcBorders>
            <w:noWrap/>
            <w:vAlign w:val="center"/>
          </w:tcPr>
          <w:p w14:paraId="00B5F05B">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1933</w:t>
            </w:r>
          </w:p>
        </w:tc>
      </w:tr>
      <w:tr w14:paraId="5183C4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2" w:hRule="atLeast"/>
        </w:trPr>
        <w:tc>
          <w:tcPr>
            <w:tcW w:w="316" w:type="pct"/>
            <w:tcBorders>
              <w:tl2br w:val="nil"/>
              <w:tr2bl w:val="nil"/>
            </w:tcBorders>
            <w:noWrap/>
            <w:vAlign w:val="center"/>
          </w:tcPr>
          <w:p w14:paraId="4FC0FAED">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5</w:t>
            </w:r>
          </w:p>
        </w:tc>
        <w:tc>
          <w:tcPr>
            <w:tcW w:w="1143" w:type="pct"/>
            <w:tcBorders>
              <w:tl2br w:val="nil"/>
              <w:tr2bl w:val="nil"/>
            </w:tcBorders>
            <w:noWrap/>
            <w:vAlign w:val="center"/>
          </w:tcPr>
          <w:p w14:paraId="0233BFD2">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香丝草</w:t>
            </w:r>
          </w:p>
        </w:tc>
        <w:tc>
          <w:tcPr>
            <w:tcW w:w="1765" w:type="pct"/>
            <w:tcBorders>
              <w:tl2br w:val="nil"/>
              <w:tr2bl w:val="nil"/>
            </w:tcBorders>
            <w:noWrap/>
            <w:vAlign w:val="center"/>
          </w:tcPr>
          <w:p w14:paraId="77A0BAF1">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i/>
                <w:iCs/>
                <w:color w:val="auto"/>
                <w:kern w:val="2"/>
                <w:sz w:val="21"/>
                <w:szCs w:val="21"/>
                <w:lang w:val="en-US" w:eastAsia="zh-CN" w:bidi="ar"/>
              </w:rPr>
            </w:pPr>
            <w:r>
              <w:rPr>
                <w:rFonts w:hint="default" w:ascii="Times New Roman" w:hAnsi="Times New Roman" w:eastAsia="宋体" w:cs="Times New Roman"/>
                <w:b w:val="0"/>
                <w:bCs/>
                <w:i/>
                <w:iCs/>
                <w:color w:val="auto"/>
                <w:kern w:val="2"/>
                <w:sz w:val="21"/>
                <w:szCs w:val="21"/>
                <w:lang w:val="en-US" w:eastAsia="zh-CN" w:bidi="ar"/>
              </w:rPr>
              <w:t>Erigeron bonariensis</w:t>
            </w:r>
          </w:p>
        </w:tc>
        <w:tc>
          <w:tcPr>
            <w:tcW w:w="834" w:type="pct"/>
            <w:tcBorders>
              <w:tl2br w:val="nil"/>
              <w:tr2bl w:val="nil"/>
            </w:tcBorders>
            <w:noWrap/>
            <w:vAlign w:val="center"/>
          </w:tcPr>
          <w:p w14:paraId="4F9DE1FF">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南美洲</w:t>
            </w:r>
          </w:p>
        </w:tc>
        <w:tc>
          <w:tcPr>
            <w:tcW w:w="942" w:type="pct"/>
            <w:tcBorders>
              <w:tl2br w:val="nil"/>
              <w:tr2bl w:val="nil"/>
            </w:tcBorders>
            <w:noWrap/>
            <w:vAlign w:val="center"/>
          </w:tcPr>
          <w:p w14:paraId="3F5DDD7D">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&gt;100</w:t>
            </w:r>
          </w:p>
        </w:tc>
      </w:tr>
      <w:tr w14:paraId="1C81DA2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2" w:hRule="atLeast"/>
        </w:trPr>
        <w:tc>
          <w:tcPr>
            <w:tcW w:w="316" w:type="pct"/>
            <w:tcBorders>
              <w:tl2br w:val="nil"/>
              <w:tr2bl w:val="nil"/>
            </w:tcBorders>
            <w:noWrap/>
            <w:vAlign w:val="center"/>
          </w:tcPr>
          <w:p w14:paraId="01818A17">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6</w:t>
            </w:r>
          </w:p>
        </w:tc>
        <w:tc>
          <w:tcPr>
            <w:tcW w:w="1143" w:type="pct"/>
            <w:tcBorders>
              <w:tl2br w:val="nil"/>
              <w:tr2bl w:val="nil"/>
            </w:tcBorders>
            <w:noWrap/>
            <w:vAlign w:val="center"/>
          </w:tcPr>
          <w:p w14:paraId="7F41442B">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小蓬草</w:t>
            </w:r>
          </w:p>
        </w:tc>
        <w:tc>
          <w:tcPr>
            <w:tcW w:w="1765" w:type="pct"/>
            <w:tcBorders>
              <w:tl2br w:val="nil"/>
              <w:tr2bl w:val="nil"/>
            </w:tcBorders>
            <w:noWrap/>
            <w:vAlign w:val="center"/>
          </w:tcPr>
          <w:p w14:paraId="64043C0B">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i/>
                <w:iCs/>
                <w:color w:val="auto"/>
                <w:kern w:val="2"/>
                <w:sz w:val="21"/>
                <w:szCs w:val="21"/>
                <w:lang w:val="en-US" w:eastAsia="zh-CN" w:bidi="ar"/>
              </w:rPr>
            </w:pPr>
            <w:r>
              <w:rPr>
                <w:rFonts w:hint="default" w:ascii="Times New Roman" w:hAnsi="Times New Roman" w:eastAsia="宋体" w:cs="Times New Roman"/>
                <w:b w:val="0"/>
                <w:bCs/>
                <w:i/>
                <w:iCs/>
                <w:color w:val="auto"/>
                <w:kern w:val="2"/>
                <w:sz w:val="21"/>
                <w:szCs w:val="21"/>
                <w:lang w:val="en-US" w:eastAsia="zh-CN" w:bidi="ar"/>
              </w:rPr>
              <w:t>Erigeron canadensis</w:t>
            </w:r>
          </w:p>
        </w:tc>
        <w:tc>
          <w:tcPr>
            <w:tcW w:w="834" w:type="pct"/>
            <w:tcBorders>
              <w:tl2br w:val="nil"/>
              <w:tr2bl w:val="nil"/>
            </w:tcBorders>
            <w:noWrap/>
            <w:vAlign w:val="center"/>
          </w:tcPr>
          <w:p w14:paraId="63DAF5AD">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北美洲</w:t>
            </w:r>
          </w:p>
        </w:tc>
        <w:tc>
          <w:tcPr>
            <w:tcW w:w="942" w:type="pct"/>
            <w:tcBorders>
              <w:tl2br w:val="nil"/>
              <w:tr2bl w:val="nil"/>
            </w:tcBorders>
            <w:noWrap/>
            <w:vAlign w:val="center"/>
          </w:tcPr>
          <w:p w14:paraId="45112E8E">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&gt;100</w:t>
            </w:r>
          </w:p>
        </w:tc>
      </w:tr>
      <w:tr w14:paraId="331E79A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282" w:hRule="atLeast"/>
        </w:trPr>
        <w:tc>
          <w:tcPr>
            <w:tcW w:w="316" w:type="pct"/>
            <w:tcBorders>
              <w:tl2br w:val="nil"/>
              <w:tr2bl w:val="nil"/>
            </w:tcBorders>
            <w:noWrap/>
            <w:vAlign w:val="center"/>
          </w:tcPr>
          <w:p w14:paraId="4B20151A">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7</w:t>
            </w:r>
          </w:p>
        </w:tc>
        <w:tc>
          <w:tcPr>
            <w:tcW w:w="1143" w:type="pct"/>
            <w:tcBorders>
              <w:tl2br w:val="nil"/>
              <w:tr2bl w:val="nil"/>
            </w:tcBorders>
            <w:noWrap/>
            <w:vAlign w:val="center"/>
          </w:tcPr>
          <w:p w14:paraId="18586A15">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一年蓬</w:t>
            </w:r>
          </w:p>
        </w:tc>
        <w:tc>
          <w:tcPr>
            <w:tcW w:w="1765" w:type="pct"/>
            <w:tcBorders>
              <w:tl2br w:val="nil"/>
              <w:tr2bl w:val="nil"/>
            </w:tcBorders>
            <w:noWrap/>
            <w:vAlign w:val="center"/>
          </w:tcPr>
          <w:p w14:paraId="6559E93C">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i/>
                <w:iCs/>
                <w:color w:val="auto"/>
                <w:kern w:val="2"/>
                <w:sz w:val="21"/>
                <w:szCs w:val="21"/>
                <w:lang w:val="en-US" w:eastAsia="zh-CN" w:bidi="ar"/>
              </w:rPr>
            </w:pPr>
            <w:r>
              <w:rPr>
                <w:rFonts w:hint="default" w:ascii="Times New Roman" w:hAnsi="Times New Roman" w:eastAsia="宋体" w:cs="Times New Roman"/>
                <w:b w:val="0"/>
                <w:bCs/>
                <w:i/>
                <w:iCs/>
                <w:color w:val="auto"/>
                <w:kern w:val="2"/>
                <w:sz w:val="21"/>
                <w:szCs w:val="21"/>
                <w:lang w:val="en-US" w:eastAsia="zh-CN" w:bidi="ar"/>
              </w:rPr>
              <w:t>Erigeron annuus</w:t>
            </w:r>
          </w:p>
        </w:tc>
        <w:tc>
          <w:tcPr>
            <w:tcW w:w="834" w:type="pct"/>
            <w:tcBorders>
              <w:tl2br w:val="nil"/>
              <w:tr2bl w:val="nil"/>
            </w:tcBorders>
            <w:noWrap/>
            <w:vAlign w:val="center"/>
          </w:tcPr>
          <w:p w14:paraId="1F440E63">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北美洲</w:t>
            </w:r>
          </w:p>
        </w:tc>
        <w:tc>
          <w:tcPr>
            <w:tcW w:w="942" w:type="pct"/>
            <w:tcBorders>
              <w:tl2br w:val="nil"/>
              <w:tr2bl w:val="nil"/>
            </w:tcBorders>
            <w:noWrap/>
            <w:vAlign w:val="center"/>
          </w:tcPr>
          <w:p w14:paraId="5D4AFE3C">
            <w:pPr>
              <w:keepNext w:val="0"/>
              <w:keepLines w:val="0"/>
              <w:widowControl/>
              <w:suppressLineNumbers w:val="0"/>
              <w:adjustRightInd w:val="0"/>
              <w:spacing w:before="0" w:beforeAutospacing="0" w:after="0" w:afterAutospacing="0" w:line="240" w:lineRule="auto"/>
              <w:ind w:left="0" w:right="0"/>
              <w:jc w:val="left"/>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&gt;100</w:t>
            </w:r>
          </w:p>
        </w:tc>
      </w:tr>
    </w:tbl>
    <w:p w14:paraId="0BCC291B">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4.2.5.14.5 群落类型</w:t>
      </w:r>
    </w:p>
    <w:p w14:paraId="1D761ADA">
      <w:pPr>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1"/>
          <w:lang w:bidi="ar"/>
        </w:rPr>
        <w:t>保护区河段共记录3种群落类型，分别为落叶阔叶林、草丛和湿生植被。落叶阔叶林包括2种群落，优势种分别为旱柳和意杨。草丛包括5种群落，主要优势种包括合萌、鸡眼草、小蓬草、钻叶紫菀、野艾。湿生植被包括5种群落，主要优势种包括荻、菰、芦苇、双穗雀稗、虉草。</w:t>
      </w:r>
    </w:p>
    <w:p w14:paraId="4466E1B9">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表4.2</w:t>
      </w:r>
      <w:r>
        <w:rPr>
          <w:rFonts w:hint="eastAsia" w:ascii="Times New Roman" w:hAnsi="Times New Roman" w:eastAsia="黑体" w:cs="Times New Roman"/>
          <w:color w:val="auto"/>
          <w:sz w:val="24"/>
          <w:szCs w:val="21"/>
          <w:lang w:val="en-US" w:eastAsia="zh-CN"/>
        </w:rPr>
        <w:t>-38</w:t>
      </w:r>
      <w:r>
        <w:rPr>
          <w:rFonts w:ascii="Times New Roman" w:hAnsi="Times New Roman" w:eastAsia="黑体" w:cs="Times New Roman"/>
          <w:color w:val="auto"/>
          <w:sz w:val="24"/>
          <w:szCs w:val="21"/>
        </w:rPr>
        <w:t xml:space="preserve">  保护区河段植被类型分布特征</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930"/>
        <w:gridCol w:w="1698"/>
        <w:gridCol w:w="1860"/>
        <w:gridCol w:w="929"/>
        <w:gridCol w:w="929"/>
        <w:gridCol w:w="929"/>
        <w:gridCol w:w="1083"/>
        <w:gridCol w:w="711"/>
      </w:tblGrid>
      <w:tr w14:paraId="56F992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30" w:hRule="atLeast"/>
          <w:tblHeader/>
          <w:jc w:val="center"/>
        </w:trPr>
        <w:tc>
          <w:tcPr>
            <w:tcW w:w="512" w:type="pct"/>
            <w:tcBorders>
              <w:tl2br w:val="nil"/>
              <w:tr2bl w:val="nil"/>
            </w:tcBorders>
            <w:noWrap/>
            <w:vAlign w:val="center"/>
          </w:tcPr>
          <w:p w14:paraId="71016C55">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kern w:val="2"/>
                <w:sz w:val="21"/>
                <w:szCs w:val="21"/>
                <w:lang w:val="en-US" w:eastAsia="zh-CN" w:bidi="ar"/>
              </w:rPr>
            </w:pPr>
            <w:r>
              <w:rPr>
                <w:rFonts w:hint="default" w:ascii="Times New Roman" w:hAnsi="Times New Roman" w:eastAsia="宋体" w:cs="Times New Roman"/>
                <w:b/>
                <w:color w:val="auto"/>
                <w:kern w:val="2"/>
                <w:sz w:val="21"/>
                <w:szCs w:val="21"/>
                <w:lang w:val="en-US" w:eastAsia="zh-CN" w:bidi="ar"/>
              </w:rPr>
              <w:t>植被类型</w:t>
            </w:r>
          </w:p>
        </w:tc>
        <w:tc>
          <w:tcPr>
            <w:tcW w:w="936" w:type="pct"/>
            <w:tcBorders>
              <w:tl2br w:val="nil"/>
              <w:tr2bl w:val="nil"/>
            </w:tcBorders>
            <w:noWrap/>
            <w:vAlign w:val="center"/>
          </w:tcPr>
          <w:p w14:paraId="2FE27DA4">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kern w:val="2"/>
                <w:sz w:val="21"/>
                <w:szCs w:val="21"/>
                <w:lang w:val="en-US" w:eastAsia="zh-CN" w:bidi="ar"/>
              </w:rPr>
            </w:pPr>
            <w:r>
              <w:rPr>
                <w:rFonts w:hint="default" w:ascii="Times New Roman" w:hAnsi="Times New Roman" w:eastAsia="宋体" w:cs="Times New Roman"/>
                <w:b/>
                <w:color w:val="auto"/>
                <w:kern w:val="2"/>
                <w:sz w:val="21"/>
                <w:szCs w:val="21"/>
                <w:lang w:val="en-US" w:eastAsia="zh-CN" w:bidi="ar"/>
              </w:rPr>
              <w:t>群落名称</w:t>
            </w:r>
          </w:p>
        </w:tc>
        <w:tc>
          <w:tcPr>
            <w:tcW w:w="1025" w:type="pct"/>
            <w:tcBorders>
              <w:tl2br w:val="nil"/>
              <w:tr2bl w:val="nil"/>
            </w:tcBorders>
            <w:noWrap/>
            <w:vAlign w:val="center"/>
          </w:tcPr>
          <w:p w14:paraId="4069BA98">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kern w:val="2"/>
                <w:sz w:val="21"/>
                <w:szCs w:val="21"/>
                <w:lang w:val="en-US" w:eastAsia="zh-CN" w:bidi="ar"/>
              </w:rPr>
            </w:pPr>
            <w:r>
              <w:rPr>
                <w:rFonts w:hint="default" w:ascii="Times New Roman" w:hAnsi="Times New Roman" w:eastAsia="宋体" w:cs="Times New Roman"/>
                <w:b/>
                <w:color w:val="auto"/>
                <w:kern w:val="2"/>
                <w:sz w:val="21"/>
                <w:szCs w:val="21"/>
                <w:lang w:val="en-US" w:eastAsia="zh-CN" w:bidi="ar"/>
              </w:rPr>
              <w:t>分布地点</w:t>
            </w:r>
          </w:p>
        </w:tc>
        <w:tc>
          <w:tcPr>
            <w:tcW w:w="512" w:type="pct"/>
            <w:tcBorders>
              <w:tl2br w:val="nil"/>
              <w:tr2bl w:val="nil"/>
            </w:tcBorders>
            <w:noWrap w:val="0"/>
            <w:vAlign w:val="center"/>
          </w:tcPr>
          <w:p w14:paraId="5CF27394">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kern w:val="2"/>
                <w:sz w:val="21"/>
                <w:szCs w:val="21"/>
                <w:lang w:val="en-US" w:eastAsia="zh-CN" w:bidi="ar"/>
              </w:rPr>
            </w:pPr>
            <w:r>
              <w:rPr>
                <w:rFonts w:hint="default" w:ascii="Times New Roman" w:hAnsi="Times New Roman" w:eastAsia="宋体" w:cs="Times New Roman"/>
                <w:b/>
                <w:color w:val="auto"/>
                <w:kern w:val="2"/>
                <w:sz w:val="21"/>
                <w:szCs w:val="21"/>
                <w:lang w:val="en-US" w:eastAsia="zh-CN" w:bidi="ar"/>
              </w:rPr>
              <w:t>分布地点数量</w:t>
            </w:r>
          </w:p>
        </w:tc>
        <w:tc>
          <w:tcPr>
            <w:tcW w:w="512" w:type="pct"/>
            <w:tcBorders>
              <w:tl2br w:val="nil"/>
              <w:tr2bl w:val="nil"/>
            </w:tcBorders>
            <w:noWrap/>
            <w:vAlign w:val="center"/>
          </w:tcPr>
          <w:p w14:paraId="198A4FEE">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kern w:val="2"/>
                <w:sz w:val="21"/>
                <w:szCs w:val="21"/>
                <w:lang w:val="en-US" w:eastAsia="zh-CN" w:bidi="ar"/>
              </w:rPr>
            </w:pPr>
            <w:r>
              <w:rPr>
                <w:rFonts w:hint="default" w:ascii="Times New Roman" w:hAnsi="Times New Roman" w:eastAsia="宋体" w:cs="Times New Roman"/>
                <w:b/>
                <w:color w:val="auto"/>
                <w:kern w:val="2"/>
                <w:sz w:val="21"/>
                <w:szCs w:val="21"/>
                <w:lang w:val="en-US" w:eastAsia="zh-CN" w:bidi="ar"/>
              </w:rPr>
              <w:t>群落高</w:t>
            </w:r>
          </w:p>
          <w:p w14:paraId="4895434D">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kern w:val="2"/>
                <w:sz w:val="21"/>
                <w:szCs w:val="21"/>
                <w:lang w:val="en-US" w:eastAsia="zh-CN" w:bidi="ar"/>
              </w:rPr>
            </w:pPr>
            <w:r>
              <w:rPr>
                <w:rFonts w:hint="default" w:ascii="Times New Roman" w:hAnsi="Times New Roman" w:eastAsia="宋体" w:cs="Times New Roman"/>
                <w:b/>
                <w:color w:val="auto"/>
                <w:kern w:val="2"/>
                <w:sz w:val="21"/>
                <w:szCs w:val="21"/>
                <w:lang w:val="en-US" w:eastAsia="zh-CN" w:bidi="ar"/>
              </w:rPr>
              <w:t>度(cm)</w:t>
            </w:r>
          </w:p>
        </w:tc>
        <w:tc>
          <w:tcPr>
            <w:tcW w:w="512" w:type="pct"/>
            <w:tcBorders>
              <w:tl2br w:val="nil"/>
              <w:tr2bl w:val="nil"/>
            </w:tcBorders>
            <w:noWrap/>
            <w:vAlign w:val="center"/>
          </w:tcPr>
          <w:p w14:paraId="7FEDC6E8">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kern w:val="2"/>
                <w:sz w:val="21"/>
                <w:szCs w:val="21"/>
                <w:lang w:val="en-US" w:eastAsia="zh-CN" w:bidi="ar"/>
              </w:rPr>
            </w:pPr>
            <w:r>
              <w:rPr>
                <w:rFonts w:hint="default" w:ascii="Times New Roman" w:hAnsi="Times New Roman" w:eastAsia="宋体" w:cs="Times New Roman"/>
                <w:b/>
                <w:color w:val="auto"/>
                <w:kern w:val="2"/>
                <w:sz w:val="21"/>
                <w:szCs w:val="21"/>
                <w:lang w:val="en-US" w:eastAsia="zh-CN" w:bidi="ar"/>
              </w:rPr>
              <w:t>盖度</w:t>
            </w:r>
          </w:p>
        </w:tc>
        <w:tc>
          <w:tcPr>
            <w:tcW w:w="597" w:type="pct"/>
            <w:tcBorders>
              <w:tl2br w:val="nil"/>
              <w:tr2bl w:val="nil"/>
            </w:tcBorders>
            <w:noWrap/>
            <w:vAlign w:val="center"/>
          </w:tcPr>
          <w:p w14:paraId="5F6A007B">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kern w:val="2"/>
                <w:sz w:val="21"/>
                <w:szCs w:val="21"/>
                <w:lang w:val="en-US" w:eastAsia="zh-CN" w:bidi="ar"/>
              </w:rPr>
            </w:pPr>
            <w:r>
              <w:rPr>
                <w:rFonts w:hint="default" w:ascii="Times New Roman" w:hAnsi="Times New Roman" w:eastAsia="宋体" w:cs="Times New Roman"/>
                <w:b/>
                <w:color w:val="auto"/>
                <w:kern w:val="2"/>
                <w:sz w:val="21"/>
                <w:szCs w:val="21"/>
                <w:lang w:val="en-US" w:eastAsia="zh-CN" w:bidi="ar"/>
              </w:rPr>
              <w:t>生物量(kg/m</w:t>
            </w:r>
            <w:r>
              <w:rPr>
                <w:rFonts w:hint="default" w:ascii="Times New Roman" w:hAnsi="Times New Roman" w:eastAsia="宋体" w:cs="Times New Roman"/>
                <w:b/>
                <w:color w:val="auto"/>
                <w:kern w:val="2"/>
                <w:sz w:val="21"/>
                <w:szCs w:val="21"/>
                <w:vertAlign w:val="superscript"/>
                <w:lang w:val="en-US" w:eastAsia="zh-CN" w:bidi="ar"/>
              </w:rPr>
              <w:t>2</w:t>
            </w:r>
            <w:r>
              <w:rPr>
                <w:rFonts w:hint="default" w:ascii="Times New Roman" w:hAnsi="Times New Roman" w:eastAsia="宋体" w:cs="Times New Roman"/>
                <w:b/>
                <w:color w:val="auto"/>
                <w:kern w:val="2"/>
                <w:sz w:val="21"/>
                <w:szCs w:val="21"/>
                <w:lang w:val="en-US" w:eastAsia="zh-CN" w:bidi="ar"/>
              </w:rPr>
              <w:t>)</w:t>
            </w:r>
          </w:p>
        </w:tc>
        <w:tc>
          <w:tcPr>
            <w:tcW w:w="392" w:type="pct"/>
            <w:tcBorders>
              <w:tl2br w:val="nil"/>
              <w:tr2bl w:val="nil"/>
            </w:tcBorders>
            <w:noWrap/>
            <w:vAlign w:val="center"/>
          </w:tcPr>
          <w:p w14:paraId="66AEE75F">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color w:val="auto"/>
                <w:kern w:val="2"/>
                <w:sz w:val="21"/>
                <w:szCs w:val="21"/>
                <w:lang w:val="en-US" w:eastAsia="zh-CN" w:bidi="ar"/>
              </w:rPr>
            </w:pPr>
            <w:r>
              <w:rPr>
                <w:rFonts w:hint="default" w:ascii="Times New Roman" w:hAnsi="Times New Roman" w:eastAsia="宋体" w:cs="Times New Roman"/>
                <w:b/>
                <w:color w:val="auto"/>
                <w:kern w:val="2"/>
                <w:sz w:val="21"/>
                <w:szCs w:val="21"/>
                <w:lang w:val="en-US" w:eastAsia="zh-CN" w:bidi="ar"/>
              </w:rPr>
              <w:t>物种数</w:t>
            </w:r>
          </w:p>
        </w:tc>
      </w:tr>
      <w:tr w14:paraId="202794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5" w:hRule="atLeast"/>
          <w:jc w:val="center"/>
        </w:trPr>
        <w:tc>
          <w:tcPr>
            <w:tcW w:w="512" w:type="pct"/>
            <w:vMerge w:val="restart"/>
            <w:tcBorders>
              <w:tl2br w:val="nil"/>
              <w:tr2bl w:val="nil"/>
            </w:tcBorders>
            <w:noWrap/>
            <w:vAlign w:val="center"/>
          </w:tcPr>
          <w:p w14:paraId="7C49B6B4">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落叶阔叶林</w:t>
            </w:r>
          </w:p>
        </w:tc>
        <w:tc>
          <w:tcPr>
            <w:tcW w:w="936" w:type="pct"/>
            <w:tcBorders>
              <w:tl2br w:val="nil"/>
              <w:tr2bl w:val="nil"/>
            </w:tcBorders>
            <w:noWrap/>
            <w:vAlign w:val="center"/>
          </w:tcPr>
          <w:p w14:paraId="1D6A1397">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旱柳林</w:t>
            </w:r>
          </w:p>
        </w:tc>
        <w:tc>
          <w:tcPr>
            <w:tcW w:w="1025" w:type="pct"/>
            <w:tcBorders>
              <w:tl2br w:val="nil"/>
              <w:tr2bl w:val="nil"/>
            </w:tcBorders>
            <w:noWrap/>
            <w:vAlign w:val="center"/>
          </w:tcPr>
          <w:p w14:paraId="5ABAE58A">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pt-BR" w:eastAsia="zh-CN" w:bidi="ar"/>
              </w:rPr>
            </w:pPr>
            <w:r>
              <w:rPr>
                <w:rFonts w:hint="default" w:ascii="Times New Roman" w:hAnsi="Times New Roman" w:eastAsia="宋体" w:cs="Times New Roman"/>
                <w:b w:val="0"/>
                <w:bCs/>
                <w:color w:val="auto"/>
                <w:kern w:val="2"/>
                <w:sz w:val="21"/>
                <w:szCs w:val="21"/>
                <w:lang w:val="pt-BR" w:eastAsia="zh-CN" w:bidi="ar"/>
              </w:rPr>
              <w:t>7、8、10</w:t>
            </w:r>
          </w:p>
        </w:tc>
        <w:tc>
          <w:tcPr>
            <w:tcW w:w="512" w:type="pct"/>
            <w:tcBorders>
              <w:tl2br w:val="nil"/>
              <w:tr2bl w:val="nil"/>
            </w:tcBorders>
            <w:noWrap w:val="0"/>
            <w:vAlign w:val="center"/>
          </w:tcPr>
          <w:p w14:paraId="6CF272E9">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3</w:t>
            </w:r>
          </w:p>
        </w:tc>
        <w:tc>
          <w:tcPr>
            <w:tcW w:w="512" w:type="pct"/>
            <w:tcBorders>
              <w:tl2br w:val="nil"/>
              <w:tr2bl w:val="nil"/>
            </w:tcBorders>
            <w:noWrap/>
            <w:vAlign w:val="center"/>
          </w:tcPr>
          <w:p w14:paraId="14A54592">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1333</w:t>
            </w:r>
          </w:p>
        </w:tc>
        <w:tc>
          <w:tcPr>
            <w:tcW w:w="512" w:type="pct"/>
            <w:tcBorders>
              <w:tl2br w:val="nil"/>
              <w:tr2bl w:val="nil"/>
            </w:tcBorders>
            <w:noWrap/>
            <w:vAlign w:val="center"/>
          </w:tcPr>
          <w:p w14:paraId="3A803743">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65%</w:t>
            </w:r>
          </w:p>
        </w:tc>
        <w:tc>
          <w:tcPr>
            <w:tcW w:w="597" w:type="pct"/>
            <w:tcBorders>
              <w:tl2br w:val="nil"/>
              <w:tr2bl w:val="nil"/>
            </w:tcBorders>
            <w:noWrap/>
            <w:vAlign w:val="center"/>
          </w:tcPr>
          <w:p w14:paraId="3DBDAF23">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w:t>
            </w:r>
          </w:p>
        </w:tc>
        <w:tc>
          <w:tcPr>
            <w:tcW w:w="392" w:type="pct"/>
            <w:tcBorders>
              <w:tl2br w:val="nil"/>
              <w:tr2bl w:val="nil"/>
            </w:tcBorders>
            <w:noWrap/>
            <w:vAlign w:val="center"/>
          </w:tcPr>
          <w:p w14:paraId="39038599">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22</w:t>
            </w:r>
          </w:p>
        </w:tc>
      </w:tr>
      <w:tr w14:paraId="78F54D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5" w:hRule="atLeast"/>
          <w:jc w:val="center"/>
        </w:trPr>
        <w:tc>
          <w:tcPr>
            <w:tcW w:w="512" w:type="pct"/>
            <w:vMerge w:val="continue"/>
            <w:tcBorders>
              <w:tl2br w:val="nil"/>
              <w:tr2bl w:val="nil"/>
            </w:tcBorders>
            <w:noWrap/>
            <w:vAlign w:val="center"/>
          </w:tcPr>
          <w:p w14:paraId="56CE1D20">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sz w:val="20"/>
                <w:szCs w:val="20"/>
              </w:rPr>
            </w:pPr>
          </w:p>
        </w:tc>
        <w:tc>
          <w:tcPr>
            <w:tcW w:w="936" w:type="pct"/>
            <w:tcBorders>
              <w:tl2br w:val="nil"/>
              <w:tr2bl w:val="nil"/>
            </w:tcBorders>
            <w:noWrap/>
            <w:vAlign w:val="center"/>
          </w:tcPr>
          <w:p w14:paraId="020EC870">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意大利214杨林</w:t>
            </w:r>
          </w:p>
        </w:tc>
        <w:tc>
          <w:tcPr>
            <w:tcW w:w="1025" w:type="pct"/>
            <w:tcBorders>
              <w:tl2br w:val="nil"/>
              <w:tr2bl w:val="nil"/>
            </w:tcBorders>
            <w:noWrap/>
            <w:vAlign w:val="center"/>
          </w:tcPr>
          <w:p w14:paraId="1E78FE35">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pt-BR" w:eastAsia="zh-CN" w:bidi="ar"/>
              </w:rPr>
            </w:pPr>
            <w:r>
              <w:rPr>
                <w:rFonts w:hint="default" w:ascii="Times New Roman" w:hAnsi="Times New Roman" w:eastAsia="宋体" w:cs="Times New Roman"/>
                <w:b w:val="0"/>
                <w:bCs/>
                <w:color w:val="auto"/>
                <w:kern w:val="2"/>
                <w:sz w:val="21"/>
                <w:szCs w:val="21"/>
                <w:lang w:val="pt-BR" w:eastAsia="zh-CN" w:bidi="ar"/>
              </w:rPr>
              <w:t>3、4</w:t>
            </w:r>
          </w:p>
        </w:tc>
        <w:tc>
          <w:tcPr>
            <w:tcW w:w="512" w:type="pct"/>
            <w:tcBorders>
              <w:tl2br w:val="nil"/>
              <w:tr2bl w:val="nil"/>
            </w:tcBorders>
            <w:noWrap w:val="0"/>
            <w:vAlign w:val="center"/>
          </w:tcPr>
          <w:p w14:paraId="7C67ECC0">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2</w:t>
            </w:r>
          </w:p>
        </w:tc>
        <w:tc>
          <w:tcPr>
            <w:tcW w:w="512" w:type="pct"/>
            <w:tcBorders>
              <w:tl2br w:val="nil"/>
              <w:tr2bl w:val="nil"/>
            </w:tcBorders>
            <w:noWrap/>
            <w:vAlign w:val="center"/>
          </w:tcPr>
          <w:p w14:paraId="2E83290C">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1950</w:t>
            </w:r>
          </w:p>
        </w:tc>
        <w:tc>
          <w:tcPr>
            <w:tcW w:w="512" w:type="pct"/>
            <w:tcBorders>
              <w:tl2br w:val="nil"/>
              <w:tr2bl w:val="nil"/>
            </w:tcBorders>
            <w:noWrap/>
            <w:vAlign w:val="center"/>
          </w:tcPr>
          <w:p w14:paraId="1F2EB930">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82.5%</w:t>
            </w:r>
          </w:p>
        </w:tc>
        <w:tc>
          <w:tcPr>
            <w:tcW w:w="597" w:type="pct"/>
            <w:tcBorders>
              <w:tl2br w:val="nil"/>
              <w:tr2bl w:val="nil"/>
            </w:tcBorders>
            <w:noWrap/>
            <w:vAlign w:val="center"/>
          </w:tcPr>
          <w:p w14:paraId="12157A63">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w:t>
            </w:r>
          </w:p>
        </w:tc>
        <w:tc>
          <w:tcPr>
            <w:tcW w:w="392" w:type="pct"/>
            <w:tcBorders>
              <w:tl2br w:val="nil"/>
              <w:tr2bl w:val="nil"/>
            </w:tcBorders>
            <w:noWrap/>
            <w:vAlign w:val="center"/>
          </w:tcPr>
          <w:p w14:paraId="1C9AFEBF">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10</w:t>
            </w:r>
          </w:p>
        </w:tc>
      </w:tr>
      <w:tr w14:paraId="417AB4D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5" w:hRule="atLeast"/>
          <w:jc w:val="center"/>
        </w:trPr>
        <w:tc>
          <w:tcPr>
            <w:tcW w:w="512" w:type="pct"/>
            <w:vMerge w:val="restart"/>
            <w:tcBorders>
              <w:tl2br w:val="nil"/>
              <w:tr2bl w:val="nil"/>
            </w:tcBorders>
            <w:noWrap/>
            <w:vAlign w:val="center"/>
          </w:tcPr>
          <w:p w14:paraId="05B5A8F7">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草丛</w:t>
            </w:r>
          </w:p>
        </w:tc>
        <w:tc>
          <w:tcPr>
            <w:tcW w:w="936" w:type="pct"/>
            <w:tcBorders>
              <w:tl2br w:val="nil"/>
              <w:tr2bl w:val="nil"/>
            </w:tcBorders>
            <w:noWrap/>
            <w:vAlign w:val="center"/>
          </w:tcPr>
          <w:p w14:paraId="732D2B00">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合萌群落</w:t>
            </w:r>
          </w:p>
        </w:tc>
        <w:tc>
          <w:tcPr>
            <w:tcW w:w="1025" w:type="pct"/>
            <w:tcBorders>
              <w:tl2br w:val="nil"/>
              <w:tr2bl w:val="nil"/>
            </w:tcBorders>
            <w:noWrap/>
            <w:vAlign w:val="center"/>
          </w:tcPr>
          <w:p w14:paraId="382D38F6">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11</w:t>
            </w:r>
          </w:p>
        </w:tc>
        <w:tc>
          <w:tcPr>
            <w:tcW w:w="512" w:type="pct"/>
            <w:tcBorders>
              <w:tl2br w:val="nil"/>
              <w:tr2bl w:val="nil"/>
            </w:tcBorders>
            <w:noWrap w:val="0"/>
            <w:vAlign w:val="center"/>
          </w:tcPr>
          <w:p w14:paraId="6D02382A">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w:t>
            </w:r>
          </w:p>
        </w:tc>
        <w:tc>
          <w:tcPr>
            <w:tcW w:w="512" w:type="pct"/>
            <w:tcBorders>
              <w:tl2br w:val="nil"/>
              <w:tr2bl w:val="nil"/>
            </w:tcBorders>
            <w:noWrap/>
            <w:vAlign w:val="center"/>
          </w:tcPr>
          <w:p w14:paraId="70293910">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150</w:t>
            </w:r>
          </w:p>
        </w:tc>
        <w:tc>
          <w:tcPr>
            <w:tcW w:w="512" w:type="pct"/>
            <w:tcBorders>
              <w:tl2br w:val="nil"/>
              <w:tr2bl w:val="nil"/>
            </w:tcBorders>
            <w:noWrap/>
            <w:vAlign w:val="center"/>
          </w:tcPr>
          <w:p w14:paraId="30045C51">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50%</w:t>
            </w:r>
          </w:p>
        </w:tc>
        <w:tc>
          <w:tcPr>
            <w:tcW w:w="597" w:type="pct"/>
            <w:tcBorders>
              <w:tl2br w:val="nil"/>
              <w:tr2bl w:val="nil"/>
            </w:tcBorders>
            <w:noWrap/>
            <w:vAlign w:val="center"/>
          </w:tcPr>
          <w:p w14:paraId="5F92DD36">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2.79</w:t>
            </w:r>
          </w:p>
        </w:tc>
        <w:tc>
          <w:tcPr>
            <w:tcW w:w="392" w:type="pct"/>
            <w:tcBorders>
              <w:tl2br w:val="nil"/>
              <w:tr2bl w:val="nil"/>
            </w:tcBorders>
            <w:noWrap/>
            <w:vAlign w:val="center"/>
          </w:tcPr>
          <w:p w14:paraId="73D457C7">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8</w:t>
            </w:r>
          </w:p>
        </w:tc>
      </w:tr>
      <w:tr w14:paraId="2D533B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5" w:hRule="atLeast"/>
          <w:jc w:val="center"/>
        </w:trPr>
        <w:tc>
          <w:tcPr>
            <w:tcW w:w="512" w:type="pct"/>
            <w:vMerge w:val="continue"/>
            <w:tcBorders>
              <w:tl2br w:val="nil"/>
              <w:tr2bl w:val="nil"/>
            </w:tcBorders>
            <w:noWrap/>
            <w:vAlign w:val="center"/>
          </w:tcPr>
          <w:p w14:paraId="3DC0456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sz w:val="20"/>
                <w:szCs w:val="20"/>
              </w:rPr>
            </w:pPr>
          </w:p>
        </w:tc>
        <w:tc>
          <w:tcPr>
            <w:tcW w:w="936" w:type="pct"/>
            <w:tcBorders>
              <w:tl2br w:val="nil"/>
              <w:tr2bl w:val="nil"/>
            </w:tcBorders>
            <w:noWrap/>
            <w:vAlign w:val="center"/>
          </w:tcPr>
          <w:p w14:paraId="13C7E1C9">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鸡眼草群落</w:t>
            </w:r>
          </w:p>
        </w:tc>
        <w:tc>
          <w:tcPr>
            <w:tcW w:w="1025" w:type="pct"/>
            <w:tcBorders>
              <w:tl2br w:val="nil"/>
              <w:tr2bl w:val="nil"/>
            </w:tcBorders>
            <w:noWrap/>
            <w:vAlign w:val="center"/>
          </w:tcPr>
          <w:p w14:paraId="0C687783">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5</w:t>
            </w:r>
          </w:p>
        </w:tc>
        <w:tc>
          <w:tcPr>
            <w:tcW w:w="512" w:type="pct"/>
            <w:tcBorders>
              <w:tl2br w:val="nil"/>
              <w:tr2bl w:val="nil"/>
            </w:tcBorders>
            <w:noWrap w:val="0"/>
            <w:vAlign w:val="center"/>
          </w:tcPr>
          <w:p w14:paraId="6AADAEDF">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w:t>
            </w:r>
          </w:p>
        </w:tc>
        <w:tc>
          <w:tcPr>
            <w:tcW w:w="512" w:type="pct"/>
            <w:tcBorders>
              <w:tl2br w:val="nil"/>
              <w:tr2bl w:val="nil"/>
            </w:tcBorders>
            <w:noWrap/>
            <w:vAlign w:val="center"/>
          </w:tcPr>
          <w:p w14:paraId="764C6EA4">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15</w:t>
            </w:r>
          </w:p>
        </w:tc>
        <w:tc>
          <w:tcPr>
            <w:tcW w:w="512" w:type="pct"/>
            <w:tcBorders>
              <w:tl2br w:val="nil"/>
              <w:tr2bl w:val="nil"/>
            </w:tcBorders>
            <w:noWrap/>
            <w:vAlign w:val="center"/>
          </w:tcPr>
          <w:p w14:paraId="1B5AC3C1">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30%</w:t>
            </w:r>
          </w:p>
        </w:tc>
        <w:tc>
          <w:tcPr>
            <w:tcW w:w="597" w:type="pct"/>
            <w:tcBorders>
              <w:tl2br w:val="nil"/>
              <w:tr2bl w:val="nil"/>
            </w:tcBorders>
            <w:noWrap/>
            <w:vAlign w:val="center"/>
          </w:tcPr>
          <w:p w14:paraId="0AA4679F">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0.52</w:t>
            </w:r>
          </w:p>
        </w:tc>
        <w:tc>
          <w:tcPr>
            <w:tcW w:w="392" w:type="pct"/>
            <w:tcBorders>
              <w:tl2br w:val="nil"/>
              <w:tr2bl w:val="nil"/>
            </w:tcBorders>
            <w:noWrap/>
            <w:vAlign w:val="center"/>
          </w:tcPr>
          <w:p w14:paraId="2B3495A8">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6</w:t>
            </w:r>
          </w:p>
        </w:tc>
      </w:tr>
      <w:tr w14:paraId="664A7B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5" w:hRule="atLeast"/>
          <w:jc w:val="center"/>
        </w:trPr>
        <w:tc>
          <w:tcPr>
            <w:tcW w:w="512" w:type="pct"/>
            <w:vMerge w:val="continue"/>
            <w:tcBorders>
              <w:tl2br w:val="nil"/>
              <w:tr2bl w:val="nil"/>
            </w:tcBorders>
            <w:noWrap/>
            <w:vAlign w:val="center"/>
          </w:tcPr>
          <w:p w14:paraId="797EEA19">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sz w:val="20"/>
                <w:szCs w:val="20"/>
              </w:rPr>
            </w:pPr>
          </w:p>
        </w:tc>
        <w:tc>
          <w:tcPr>
            <w:tcW w:w="936" w:type="pct"/>
            <w:tcBorders>
              <w:tl2br w:val="nil"/>
              <w:tr2bl w:val="nil"/>
            </w:tcBorders>
            <w:noWrap/>
            <w:vAlign w:val="center"/>
          </w:tcPr>
          <w:p w14:paraId="56C9642E">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小蓬草群落</w:t>
            </w:r>
          </w:p>
        </w:tc>
        <w:tc>
          <w:tcPr>
            <w:tcW w:w="1025" w:type="pct"/>
            <w:tcBorders>
              <w:tl2br w:val="nil"/>
              <w:tr2bl w:val="nil"/>
            </w:tcBorders>
            <w:noWrap/>
            <w:vAlign w:val="center"/>
          </w:tcPr>
          <w:p w14:paraId="778C0CD9">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pt-BR" w:eastAsia="zh-CN" w:bidi="ar"/>
              </w:rPr>
            </w:pPr>
            <w:r>
              <w:rPr>
                <w:rFonts w:hint="default" w:ascii="Times New Roman" w:hAnsi="Times New Roman" w:eastAsia="宋体" w:cs="Times New Roman"/>
                <w:b w:val="0"/>
                <w:bCs/>
                <w:color w:val="auto"/>
                <w:kern w:val="2"/>
                <w:sz w:val="21"/>
                <w:szCs w:val="21"/>
                <w:lang w:val="pt-BR" w:eastAsia="zh-CN" w:bidi="ar"/>
              </w:rPr>
              <w:t>3、6、7、10、12</w:t>
            </w:r>
          </w:p>
        </w:tc>
        <w:tc>
          <w:tcPr>
            <w:tcW w:w="512" w:type="pct"/>
            <w:tcBorders>
              <w:tl2br w:val="nil"/>
              <w:tr2bl w:val="nil"/>
            </w:tcBorders>
            <w:noWrap w:val="0"/>
            <w:vAlign w:val="center"/>
          </w:tcPr>
          <w:p w14:paraId="5474DA8C">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5</w:t>
            </w:r>
          </w:p>
        </w:tc>
        <w:tc>
          <w:tcPr>
            <w:tcW w:w="512" w:type="pct"/>
            <w:tcBorders>
              <w:tl2br w:val="nil"/>
              <w:tr2bl w:val="nil"/>
            </w:tcBorders>
            <w:noWrap/>
            <w:vAlign w:val="center"/>
          </w:tcPr>
          <w:p w14:paraId="3FD1EDBF">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99</w:t>
            </w:r>
          </w:p>
        </w:tc>
        <w:tc>
          <w:tcPr>
            <w:tcW w:w="512" w:type="pct"/>
            <w:tcBorders>
              <w:tl2br w:val="nil"/>
              <w:tr2bl w:val="nil"/>
            </w:tcBorders>
            <w:noWrap/>
            <w:vAlign w:val="center"/>
          </w:tcPr>
          <w:p w14:paraId="289CA2D7">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58%</w:t>
            </w:r>
          </w:p>
        </w:tc>
        <w:tc>
          <w:tcPr>
            <w:tcW w:w="597" w:type="pct"/>
            <w:tcBorders>
              <w:tl2br w:val="nil"/>
              <w:tr2bl w:val="nil"/>
            </w:tcBorders>
            <w:noWrap/>
            <w:vAlign w:val="center"/>
          </w:tcPr>
          <w:p w14:paraId="6EF6FA89">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1.83</w:t>
            </w:r>
          </w:p>
        </w:tc>
        <w:tc>
          <w:tcPr>
            <w:tcW w:w="392" w:type="pct"/>
            <w:tcBorders>
              <w:tl2br w:val="nil"/>
              <w:tr2bl w:val="nil"/>
            </w:tcBorders>
            <w:noWrap/>
            <w:vAlign w:val="center"/>
          </w:tcPr>
          <w:p w14:paraId="61B4FFE3">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17</w:t>
            </w:r>
          </w:p>
        </w:tc>
      </w:tr>
      <w:tr w14:paraId="50140A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5" w:hRule="atLeast"/>
          <w:jc w:val="center"/>
        </w:trPr>
        <w:tc>
          <w:tcPr>
            <w:tcW w:w="512" w:type="pct"/>
            <w:vMerge w:val="continue"/>
            <w:tcBorders>
              <w:tl2br w:val="nil"/>
              <w:tr2bl w:val="nil"/>
            </w:tcBorders>
            <w:noWrap/>
            <w:vAlign w:val="center"/>
          </w:tcPr>
          <w:p w14:paraId="44E02D24">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sz w:val="20"/>
                <w:szCs w:val="20"/>
              </w:rPr>
            </w:pPr>
          </w:p>
        </w:tc>
        <w:tc>
          <w:tcPr>
            <w:tcW w:w="936" w:type="pct"/>
            <w:tcBorders>
              <w:tl2br w:val="nil"/>
              <w:tr2bl w:val="nil"/>
            </w:tcBorders>
            <w:noWrap/>
            <w:vAlign w:val="center"/>
          </w:tcPr>
          <w:p w14:paraId="52971417">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钻叶紫菀群落</w:t>
            </w:r>
          </w:p>
        </w:tc>
        <w:tc>
          <w:tcPr>
            <w:tcW w:w="1025" w:type="pct"/>
            <w:tcBorders>
              <w:tl2br w:val="nil"/>
              <w:tr2bl w:val="nil"/>
            </w:tcBorders>
            <w:noWrap/>
            <w:vAlign w:val="center"/>
          </w:tcPr>
          <w:p w14:paraId="56165670">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9</w:t>
            </w:r>
          </w:p>
        </w:tc>
        <w:tc>
          <w:tcPr>
            <w:tcW w:w="512" w:type="pct"/>
            <w:tcBorders>
              <w:tl2br w:val="nil"/>
              <w:tr2bl w:val="nil"/>
            </w:tcBorders>
            <w:noWrap w:val="0"/>
            <w:vAlign w:val="center"/>
          </w:tcPr>
          <w:p w14:paraId="2A6F0C7A">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w:t>
            </w:r>
          </w:p>
        </w:tc>
        <w:tc>
          <w:tcPr>
            <w:tcW w:w="512" w:type="pct"/>
            <w:tcBorders>
              <w:tl2br w:val="nil"/>
              <w:tr2bl w:val="nil"/>
            </w:tcBorders>
            <w:noWrap/>
            <w:vAlign w:val="center"/>
          </w:tcPr>
          <w:p w14:paraId="2A81DC8F">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57</w:t>
            </w:r>
          </w:p>
        </w:tc>
        <w:tc>
          <w:tcPr>
            <w:tcW w:w="512" w:type="pct"/>
            <w:tcBorders>
              <w:tl2br w:val="nil"/>
              <w:tr2bl w:val="nil"/>
            </w:tcBorders>
            <w:noWrap/>
            <w:vAlign w:val="center"/>
          </w:tcPr>
          <w:p w14:paraId="0FB38180">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50%</w:t>
            </w:r>
          </w:p>
        </w:tc>
        <w:tc>
          <w:tcPr>
            <w:tcW w:w="597" w:type="pct"/>
            <w:tcBorders>
              <w:tl2br w:val="nil"/>
              <w:tr2bl w:val="nil"/>
            </w:tcBorders>
            <w:noWrap/>
            <w:vAlign w:val="center"/>
          </w:tcPr>
          <w:p w14:paraId="749F91B6">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1.47</w:t>
            </w:r>
          </w:p>
        </w:tc>
        <w:tc>
          <w:tcPr>
            <w:tcW w:w="392" w:type="pct"/>
            <w:tcBorders>
              <w:tl2br w:val="nil"/>
              <w:tr2bl w:val="nil"/>
            </w:tcBorders>
            <w:noWrap/>
            <w:vAlign w:val="center"/>
          </w:tcPr>
          <w:p w14:paraId="4FCBC713">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9</w:t>
            </w:r>
          </w:p>
        </w:tc>
      </w:tr>
      <w:tr w14:paraId="0198389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30" w:hRule="atLeast"/>
          <w:jc w:val="center"/>
        </w:trPr>
        <w:tc>
          <w:tcPr>
            <w:tcW w:w="512" w:type="pct"/>
            <w:vMerge w:val="continue"/>
            <w:tcBorders>
              <w:tl2br w:val="nil"/>
              <w:tr2bl w:val="nil"/>
            </w:tcBorders>
            <w:noWrap/>
            <w:vAlign w:val="center"/>
          </w:tcPr>
          <w:p w14:paraId="4F19DD6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sz w:val="20"/>
                <w:szCs w:val="20"/>
              </w:rPr>
            </w:pPr>
          </w:p>
        </w:tc>
        <w:tc>
          <w:tcPr>
            <w:tcW w:w="936" w:type="pct"/>
            <w:tcBorders>
              <w:tl2br w:val="nil"/>
              <w:tr2bl w:val="nil"/>
            </w:tcBorders>
            <w:noWrap/>
            <w:vAlign w:val="center"/>
          </w:tcPr>
          <w:p w14:paraId="6BA44DA6">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野艾群落</w:t>
            </w:r>
          </w:p>
        </w:tc>
        <w:tc>
          <w:tcPr>
            <w:tcW w:w="1025" w:type="pct"/>
            <w:tcBorders>
              <w:tl2br w:val="nil"/>
              <w:tr2bl w:val="nil"/>
            </w:tcBorders>
            <w:noWrap/>
            <w:vAlign w:val="center"/>
          </w:tcPr>
          <w:p w14:paraId="62A234B7">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5</w:t>
            </w:r>
          </w:p>
        </w:tc>
        <w:tc>
          <w:tcPr>
            <w:tcW w:w="512" w:type="pct"/>
            <w:tcBorders>
              <w:tl2br w:val="nil"/>
              <w:tr2bl w:val="nil"/>
            </w:tcBorders>
            <w:noWrap w:val="0"/>
            <w:vAlign w:val="center"/>
          </w:tcPr>
          <w:p w14:paraId="35C90F38">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w:t>
            </w:r>
          </w:p>
        </w:tc>
        <w:tc>
          <w:tcPr>
            <w:tcW w:w="512" w:type="pct"/>
            <w:tcBorders>
              <w:tl2br w:val="nil"/>
              <w:tr2bl w:val="nil"/>
            </w:tcBorders>
            <w:noWrap/>
            <w:vAlign w:val="center"/>
          </w:tcPr>
          <w:p w14:paraId="30BE6760">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43</w:t>
            </w:r>
          </w:p>
        </w:tc>
        <w:tc>
          <w:tcPr>
            <w:tcW w:w="512" w:type="pct"/>
            <w:tcBorders>
              <w:tl2br w:val="nil"/>
              <w:tr2bl w:val="nil"/>
            </w:tcBorders>
            <w:noWrap/>
            <w:vAlign w:val="center"/>
          </w:tcPr>
          <w:p w14:paraId="638CE337">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35%</w:t>
            </w:r>
          </w:p>
        </w:tc>
        <w:tc>
          <w:tcPr>
            <w:tcW w:w="597" w:type="pct"/>
            <w:tcBorders>
              <w:tl2br w:val="nil"/>
              <w:tr2bl w:val="nil"/>
            </w:tcBorders>
            <w:noWrap/>
            <w:vAlign w:val="center"/>
          </w:tcPr>
          <w:p w14:paraId="5696B012">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0.36</w:t>
            </w:r>
          </w:p>
        </w:tc>
        <w:tc>
          <w:tcPr>
            <w:tcW w:w="392" w:type="pct"/>
            <w:tcBorders>
              <w:tl2br w:val="nil"/>
              <w:tr2bl w:val="nil"/>
            </w:tcBorders>
            <w:noWrap/>
            <w:vAlign w:val="center"/>
          </w:tcPr>
          <w:p w14:paraId="6BB24D29">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5</w:t>
            </w:r>
          </w:p>
        </w:tc>
      </w:tr>
      <w:tr w14:paraId="23D3CF9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30" w:hRule="atLeast"/>
          <w:jc w:val="center"/>
        </w:trPr>
        <w:tc>
          <w:tcPr>
            <w:tcW w:w="512" w:type="pct"/>
            <w:vMerge w:val="restart"/>
            <w:tcBorders>
              <w:tl2br w:val="nil"/>
              <w:tr2bl w:val="nil"/>
            </w:tcBorders>
            <w:noWrap/>
            <w:vAlign w:val="center"/>
          </w:tcPr>
          <w:p w14:paraId="241880D3">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湿生植被</w:t>
            </w:r>
          </w:p>
        </w:tc>
        <w:tc>
          <w:tcPr>
            <w:tcW w:w="936" w:type="pct"/>
            <w:tcBorders>
              <w:tl2br w:val="nil"/>
              <w:tr2bl w:val="nil"/>
            </w:tcBorders>
            <w:noWrap/>
            <w:vAlign w:val="center"/>
          </w:tcPr>
          <w:p w14:paraId="1F284860">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荻群落</w:t>
            </w:r>
          </w:p>
        </w:tc>
        <w:tc>
          <w:tcPr>
            <w:tcW w:w="1025" w:type="pct"/>
            <w:tcBorders>
              <w:tl2br w:val="nil"/>
              <w:tr2bl w:val="nil"/>
            </w:tcBorders>
            <w:noWrap/>
            <w:vAlign w:val="center"/>
          </w:tcPr>
          <w:p w14:paraId="13B724B0">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pt-BR" w:eastAsia="zh-CN" w:bidi="ar"/>
              </w:rPr>
            </w:pPr>
            <w:r>
              <w:rPr>
                <w:rFonts w:hint="default" w:ascii="Times New Roman" w:hAnsi="Times New Roman" w:eastAsia="宋体" w:cs="Times New Roman"/>
                <w:b w:val="0"/>
                <w:bCs/>
                <w:color w:val="auto"/>
                <w:kern w:val="2"/>
                <w:sz w:val="21"/>
                <w:szCs w:val="21"/>
                <w:lang w:val="pt-BR" w:eastAsia="zh-CN" w:bidi="ar"/>
              </w:rPr>
              <w:t>3、9</w:t>
            </w:r>
          </w:p>
        </w:tc>
        <w:tc>
          <w:tcPr>
            <w:tcW w:w="512" w:type="pct"/>
            <w:tcBorders>
              <w:tl2br w:val="nil"/>
              <w:tr2bl w:val="nil"/>
            </w:tcBorders>
            <w:noWrap w:val="0"/>
            <w:vAlign w:val="center"/>
          </w:tcPr>
          <w:p w14:paraId="37809CCB">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2</w:t>
            </w:r>
          </w:p>
        </w:tc>
        <w:tc>
          <w:tcPr>
            <w:tcW w:w="512" w:type="pct"/>
            <w:tcBorders>
              <w:tl2br w:val="nil"/>
              <w:tr2bl w:val="nil"/>
            </w:tcBorders>
            <w:noWrap/>
            <w:vAlign w:val="center"/>
          </w:tcPr>
          <w:p w14:paraId="35E6F831">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277</w:t>
            </w:r>
          </w:p>
        </w:tc>
        <w:tc>
          <w:tcPr>
            <w:tcW w:w="512" w:type="pct"/>
            <w:tcBorders>
              <w:tl2br w:val="nil"/>
              <w:tr2bl w:val="nil"/>
            </w:tcBorders>
            <w:noWrap/>
            <w:vAlign w:val="center"/>
          </w:tcPr>
          <w:p w14:paraId="6ECD4ADE">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95%</w:t>
            </w:r>
          </w:p>
        </w:tc>
        <w:tc>
          <w:tcPr>
            <w:tcW w:w="597" w:type="pct"/>
            <w:tcBorders>
              <w:tl2br w:val="nil"/>
              <w:tr2bl w:val="nil"/>
            </w:tcBorders>
            <w:noWrap/>
            <w:vAlign w:val="center"/>
          </w:tcPr>
          <w:p w14:paraId="361AE83E">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5.86</w:t>
            </w:r>
          </w:p>
        </w:tc>
        <w:tc>
          <w:tcPr>
            <w:tcW w:w="392" w:type="pct"/>
            <w:tcBorders>
              <w:tl2br w:val="nil"/>
              <w:tr2bl w:val="nil"/>
            </w:tcBorders>
            <w:noWrap/>
            <w:vAlign w:val="center"/>
          </w:tcPr>
          <w:p w14:paraId="78F4B7D8">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10</w:t>
            </w:r>
          </w:p>
        </w:tc>
      </w:tr>
      <w:tr w14:paraId="1D4B863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5" w:hRule="atLeast"/>
          <w:jc w:val="center"/>
        </w:trPr>
        <w:tc>
          <w:tcPr>
            <w:tcW w:w="512" w:type="pct"/>
            <w:vMerge w:val="continue"/>
            <w:tcBorders>
              <w:tl2br w:val="nil"/>
              <w:tr2bl w:val="nil"/>
            </w:tcBorders>
            <w:noWrap/>
            <w:vAlign w:val="center"/>
          </w:tcPr>
          <w:p w14:paraId="339C2102">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sz w:val="20"/>
                <w:szCs w:val="20"/>
              </w:rPr>
            </w:pPr>
          </w:p>
        </w:tc>
        <w:tc>
          <w:tcPr>
            <w:tcW w:w="936" w:type="pct"/>
            <w:tcBorders>
              <w:tl2br w:val="nil"/>
              <w:tr2bl w:val="nil"/>
            </w:tcBorders>
            <w:noWrap/>
            <w:vAlign w:val="center"/>
          </w:tcPr>
          <w:p w14:paraId="04B4815D">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菰群落</w:t>
            </w:r>
          </w:p>
        </w:tc>
        <w:tc>
          <w:tcPr>
            <w:tcW w:w="1025" w:type="pct"/>
            <w:tcBorders>
              <w:tl2br w:val="nil"/>
              <w:tr2bl w:val="nil"/>
            </w:tcBorders>
            <w:noWrap/>
            <w:vAlign w:val="center"/>
          </w:tcPr>
          <w:p w14:paraId="36FEC8F3">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pt-BR" w:eastAsia="zh-CN" w:bidi="ar"/>
              </w:rPr>
            </w:pPr>
            <w:r>
              <w:rPr>
                <w:rFonts w:hint="default" w:ascii="Times New Roman" w:hAnsi="Times New Roman" w:eastAsia="宋体" w:cs="Times New Roman"/>
                <w:b w:val="0"/>
                <w:bCs/>
                <w:color w:val="auto"/>
                <w:kern w:val="2"/>
                <w:sz w:val="21"/>
                <w:szCs w:val="21"/>
                <w:lang w:val="pt-BR" w:eastAsia="zh-CN" w:bidi="ar"/>
              </w:rPr>
              <w:t>2</w:t>
            </w:r>
          </w:p>
        </w:tc>
        <w:tc>
          <w:tcPr>
            <w:tcW w:w="512" w:type="pct"/>
            <w:tcBorders>
              <w:tl2br w:val="nil"/>
              <w:tr2bl w:val="nil"/>
            </w:tcBorders>
            <w:noWrap w:val="0"/>
            <w:vAlign w:val="center"/>
          </w:tcPr>
          <w:p w14:paraId="40AC359B">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w:t>
            </w:r>
          </w:p>
        </w:tc>
        <w:tc>
          <w:tcPr>
            <w:tcW w:w="512" w:type="pct"/>
            <w:tcBorders>
              <w:tl2br w:val="nil"/>
              <w:tr2bl w:val="nil"/>
            </w:tcBorders>
            <w:noWrap/>
            <w:vAlign w:val="center"/>
          </w:tcPr>
          <w:p w14:paraId="6A29D018">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202</w:t>
            </w:r>
          </w:p>
        </w:tc>
        <w:tc>
          <w:tcPr>
            <w:tcW w:w="512" w:type="pct"/>
            <w:tcBorders>
              <w:tl2br w:val="nil"/>
              <w:tr2bl w:val="nil"/>
            </w:tcBorders>
            <w:noWrap/>
            <w:vAlign w:val="center"/>
          </w:tcPr>
          <w:p w14:paraId="6FF943FA">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100%</w:t>
            </w:r>
          </w:p>
        </w:tc>
        <w:tc>
          <w:tcPr>
            <w:tcW w:w="597" w:type="pct"/>
            <w:tcBorders>
              <w:tl2br w:val="nil"/>
              <w:tr2bl w:val="nil"/>
            </w:tcBorders>
            <w:noWrap/>
            <w:vAlign w:val="center"/>
          </w:tcPr>
          <w:p w14:paraId="298B40B2">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9.8</w:t>
            </w:r>
          </w:p>
        </w:tc>
        <w:tc>
          <w:tcPr>
            <w:tcW w:w="392" w:type="pct"/>
            <w:tcBorders>
              <w:tl2br w:val="nil"/>
              <w:tr2bl w:val="nil"/>
            </w:tcBorders>
            <w:noWrap/>
            <w:vAlign w:val="center"/>
          </w:tcPr>
          <w:p w14:paraId="3C29B238">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2</w:t>
            </w:r>
          </w:p>
        </w:tc>
      </w:tr>
      <w:tr w14:paraId="7115E56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30" w:hRule="atLeast"/>
          <w:jc w:val="center"/>
        </w:trPr>
        <w:tc>
          <w:tcPr>
            <w:tcW w:w="512" w:type="pct"/>
            <w:vMerge w:val="continue"/>
            <w:tcBorders>
              <w:tl2br w:val="nil"/>
              <w:tr2bl w:val="nil"/>
            </w:tcBorders>
            <w:noWrap/>
            <w:vAlign w:val="center"/>
          </w:tcPr>
          <w:p w14:paraId="1E8113B1">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sz w:val="20"/>
                <w:szCs w:val="20"/>
              </w:rPr>
            </w:pPr>
          </w:p>
        </w:tc>
        <w:tc>
          <w:tcPr>
            <w:tcW w:w="936" w:type="pct"/>
            <w:tcBorders>
              <w:tl2br w:val="nil"/>
              <w:tr2bl w:val="nil"/>
            </w:tcBorders>
            <w:noWrap/>
            <w:vAlign w:val="center"/>
          </w:tcPr>
          <w:p w14:paraId="6DBA970F">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芦苇群落</w:t>
            </w:r>
          </w:p>
        </w:tc>
        <w:tc>
          <w:tcPr>
            <w:tcW w:w="1025" w:type="pct"/>
            <w:tcBorders>
              <w:tl2br w:val="nil"/>
              <w:tr2bl w:val="nil"/>
            </w:tcBorders>
            <w:noWrap/>
            <w:vAlign w:val="center"/>
          </w:tcPr>
          <w:p w14:paraId="29F2D3BC">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pt-BR" w:eastAsia="zh-CN" w:bidi="ar"/>
              </w:rPr>
            </w:pPr>
            <w:r>
              <w:rPr>
                <w:rFonts w:hint="default" w:ascii="Times New Roman" w:hAnsi="Times New Roman" w:eastAsia="宋体" w:cs="Times New Roman"/>
                <w:b w:val="0"/>
                <w:bCs/>
                <w:color w:val="auto"/>
                <w:kern w:val="2"/>
                <w:sz w:val="21"/>
                <w:szCs w:val="21"/>
                <w:lang w:val="pt-BR" w:eastAsia="zh-CN" w:bidi="ar"/>
              </w:rPr>
              <w:t>1、2、8</w:t>
            </w:r>
          </w:p>
        </w:tc>
        <w:tc>
          <w:tcPr>
            <w:tcW w:w="512" w:type="pct"/>
            <w:tcBorders>
              <w:tl2br w:val="nil"/>
              <w:tr2bl w:val="nil"/>
            </w:tcBorders>
            <w:noWrap w:val="0"/>
            <w:vAlign w:val="center"/>
          </w:tcPr>
          <w:p w14:paraId="2EECBA65">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3</w:t>
            </w:r>
          </w:p>
        </w:tc>
        <w:tc>
          <w:tcPr>
            <w:tcW w:w="512" w:type="pct"/>
            <w:tcBorders>
              <w:tl2br w:val="nil"/>
              <w:tr2bl w:val="nil"/>
            </w:tcBorders>
            <w:noWrap/>
            <w:vAlign w:val="center"/>
          </w:tcPr>
          <w:p w14:paraId="146AD290">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288</w:t>
            </w:r>
          </w:p>
        </w:tc>
        <w:tc>
          <w:tcPr>
            <w:tcW w:w="512" w:type="pct"/>
            <w:tcBorders>
              <w:tl2br w:val="nil"/>
              <w:tr2bl w:val="nil"/>
            </w:tcBorders>
            <w:noWrap/>
            <w:vAlign w:val="center"/>
          </w:tcPr>
          <w:p w14:paraId="603A85C7">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98.3%</w:t>
            </w:r>
          </w:p>
        </w:tc>
        <w:tc>
          <w:tcPr>
            <w:tcW w:w="597" w:type="pct"/>
            <w:tcBorders>
              <w:tl2br w:val="nil"/>
              <w:tr2bl w:val="nil"/>
            </w:tcBorders>
            <w:noWrap/>
            <w:vAlign w:val="center"/>
          </w:tcPr>
          <w:p w14:paraId="5735BBCC">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5.70</w:t>
            </w:r>
          </w:p>
        </w:tc>
        <w:tc>
          <w:tcPr>
            <w:tcW w:w="392" w:type="pct"/>
            <w:tcBorders>
              <w:tl2br w:val="nil"/>
              <w:tr2bl w:val="nil"/>
            </w:tcBorders>
            <w:noWrap/>
            <w:vAlign w:val="center"/>
          </w:tcPr>
          <w:p w14:paraId="1E066609">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12</w:t>
            </w:r>
          </w:p>
        </w:tc>
      </w:tr>
      <w:tr w14:paraId="19B2B7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5" w:hRule="atLeast"/>
          <w:jc w:val="center"/>
        </w:trPr>
        <w:tc>
          <w:tcPr>
            <w:tcW w:w="512" w:type="pct"/>
            <w:vMerge w:val="continue"/>
            <w:tcBorders>
              <w:tl2br w:val="nil"/>
              <w:tr2bl w:val="nil"/>
            </w:tcBorders>
            <w:noWrap/>
            <w:vAlign w:val="center"/>
          </w:tcPr>
          <w:p w14:paraId="0AF56737">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sz w:val="20"/>
                <w:szCs w:val="20"/>
              </w:rPr>
            </w:pPr>
          </w:p>
        </w:tc>
        <w:tc>
          <w:tcPr>
            <w:tcW w:w="936" w:type="pct"/>
            <w:tcBorders>
              <w:tl2br w:val="nil"/>
              <w:tr2bl w:val="nil"/>
            </w:tcBorders>
            <w:noWrap/>
            <w:vAlign w:val="center"/>
          </w:tcPr>
          <w:p w14:paraId="245C1CEE">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双穗雀稗群落</w:t>
            </w:r>
          </w:p>
        </w:tc>
        <w:tc>
          <w:tcPr>
            <w:tcW w:w="1025" w:type="pct"/>
            <w:tcBorders>
              <w:tl2br w:val="nil"/>
              <w:tr2bl w:val="nil"/>
            </w:tcBorders>
            <w:noWrap/>
            <w:vAlign w:val="center"/>
          </w:tcPr>
          <w:p w14:paraId="2F0748C8">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w:t>
            </w:r>
          </w:p>
        </w:tc>
        <w:tc>
          <w:tcPr>
            <w:tcW w:w="512" w:type="pct"/>
            <w:tcBorders>
              <w:tl2br w:val="nil"/>
              <w:tr2bl w:val="nil"/>
            </w:tcBorders>
            <w:noWrap w:val="0"/>
            <w:vAlign w:val="center"/>
          </w:tcPr>
          <w:p w14:paraId="57842E3E">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w:t>
            </w:r>
          </w:p>
        </w:tc>
        <w:tc>
          <w:tcPr>
            <w:tcW w:w="512" w:type="pct"/>
            <w:tcBorders>
              <w:tl2br w:val="nil"/>
              <w:tr2bl w:val="nil"/>
            </w:tcBorders>
            <w:noWrap/>
            <w:vAlign w:val="center"/>
          </w:tcPr>
          <w:p w14:paraId="52533E93">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30</w:t>
            </w:r>
          </w:p>
        </w:tc>
        <w:tc>
          <w:tcPr>
            <w:tcW w:w="512" w:type="pct"/>
            <w:tcBorders>
              <w:tl2br w:val="nil"/>
              <w:tr2bl w:val="nil"/>
            </w:tcBorders>
            <w:noWrap/>
            <w:vAlign w:val="center"/>
          </w:tcPr>
          <w:p w14:paraId="2A238F20">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100%</w:t>
            </w:r>
          </w:p>
        </w:tc>
        <w:tc>
          <w:tcPr>
            <w:tcW w:w="597" w:type="pct"/>
            <w:tcBorders>
              <w:tl2br w:val="nil"/>
              <w:tr2bl w:val="nil"/>
            </w:tcBorders>
            <w:noWrap/>
            <w:vAlign w:val="center"/>
          </w:tcPr>
          <w:p w14:paraId="335A3A61">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1.33</w:t>
            </w:r>
          </w:p>
        </w:tc>
        <w:tc>
          <w:tcPr>
            <w:tcW w:w="392" w:type="pct"/>
            <w:tcBorders>
              <w:tl2br w:val="nil"/>
              <w:tr2bl w:val="nil"/>
            </w:tcBorders>
            <w:noWrap/>
            <w:vAlign w:val="center"/>
          </w:tcPr>
          <w:p w14:paraId="31FA1228">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7</w:t>
            </w:r>
          </w:p>
        </w:tc>
      </w:tr>
      <w:tr w14:paraId="29EF62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285" w:hRule="atLeast"/>
          <w:jc w:val="center"/>
        </w:trPr>
        <w:tc>
          <w:tcPr>
            <w:tcW w:w="512" w:type="pct"/>
            <w:vMerge w:val="continue"/>
            <w:tcBorders>
              <w:tl2br w:val="nil"/>
              <w:tr2bl w:val="nil"/>
            </w:tcBorders>
            <w:noWrap/>
            <w:vAlign w:val="center"/>
          </w:tcPr>
          <w:p w14:paraId="1C19E48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olor w:val="auto"/>
                <w:sz w:val="20"/>
                <w:szCs w:val="20"/>
              </w:rPr>
            </w:pPr>
          </w:p>
        </w:tc>
        <w:tc>
          <w:tcPr>
            <w:tcW w:w="936" w:type="pct"/>
            <w:tcBorders>
              <w:tl2br w:val="nil"/>
              <w:tr2bl w:val="nil"/>
            </w:tcBorders>
            <w:noWrap/>
            <w:vAlign w:val="center"/>
          </w:tcPr>
          <w:p w14:paraId="56AFA855">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虉草群落</w:t>
            </w:r>
          </w:p>
        </w:tc>
        <w:tc>
          <w:tcPr>
            <w:tcW w:w="1025" w:type="pct"/>
            <w:tcBorders>
              <w:tl2br w:val="nil"/>
              <w:tr2bl w:val="nil"/>
            </w:tcBorders>
            <w:noWrap/>
            <w:vAlign w:val="center"/>
          </w:tcPr>
          <w:p w14:paraId="6EC1F14A">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w:t>
            </w:r>
          </w:p>
        </w:tc>
        <w:tc>
          <w:tcPr>
            <w:tcW w:w="512" w:type="pct"/>
            <w:tcBorders>
              <w:tl2br w:val="nil"/>
              <w:tr2bl w:val="nil"/>
            </w:tcBorders>
            <w:noWrap w:val="0"/>
            <w:vAlign w:val="center"/>
          </w:tcPr>
          <w:p w14:paraId="6465578F">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w:t>
            </w:r>
          </w:p>
        </w:tc>
        <w:tc>
          <w:tcPr>
            <w:tcW w:w="512" w:type="pct"/>
            <w:tcBorders>
              <w:tl2br w:val="nil"/>
              <w:tr2bl w:val="nil"/>
            </w:tcBorders>
            <w:noWrap/>
            <w:vAlign w:val="center"/>
          </w:tcPr>
          <w:p w14:paraId="40266DF7">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89.5</w:t>
            </w:r>
          </w:p>
        </w:tc>
        <w:tc>
          <w:tcPr>
            <w:tcW w:w="512" w:type="pct"/>
            <w:tcBorders>
              <w:tl2br w:val="nil"/>
              <w:tr2bl w:val="nil"/>
            </w:tcBorders>
            <w:noWrap/>
            <w:vAlign w:val="center"/>
          </w:tcPr>
          <w:p w14:paraId="2518261E">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100%</w:t>
            </w:r>
          </w:p>
        </w:tc>
        <w:tc>
          <w:tcPr>
            <w:tcW w:w="597" w:type="pct"/>
            <w:tcBorders>
              <w:tl2br w:val="nil"/>
              <w:tr2bl w:val="nil"/>
            </w:tcBorders>
            <w:noWrap/>
            <w:vAlign w:val="center"/>
          </w:tcPr>
          <w:p w14:paraId="4EF16AAC">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3.76</w:t>
            </w:r>
          </w:p>
        </w:tc>
        <w:tc>
          <w:tcPr>
            <w:tcW w:w="392" w:type="pct"/>
            <w:tcBorders>
              <w:tl2br w:val="nil"/>
              <w:tr2bl w:val="nil"/>
            </w:tcBorders>
            <w:noWrap/>
            <w:vAlign w:val="center"/>
          </w:tcPr>
          <w:p w14:paraId="69744ADB">
            <w:pPr>
              <w:keepNext w:val="0"/>
              <w:keepLines w:val="0"/>
              <w:widowControl/>
              <w:suppressLineNumbers w:val="0"/>
              <w:adjustRightInd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
              </w:rPr>
            </w:pPr>
            <w:r>
              <w:rPr>
                <w:rFonts w:hint="default" w:ascii="Times New Roman" w:hAnsi="Times New Roman" w:eastAsia="宋体" w:cs="Times New Roman"/>
                <w:b w:val="0"/>
                <w:bCs/>
                <w:color w:val="auto"/>
                <w:kern w:val="2"/>
                <w:sz w:val="21"/>
                <w:szCs w:val="21"/>
                <w:lang w:val="en-US" w:eastAsia="zh-CN" w:bidi="ar"/>
              </w:rPr>
              <w:t>8</w:t>
            </w:r>
          </w:p>
        </w:tc>
      </w:tr>
    </w:tbl>
    <w:p w14:paraId="53126990">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4.2.5.14.6 群落特征</w:t>
      </w:r>
    </w:p>
    <w:p w14:paraId="3F148677">
      <w:pPr>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1"/>
          <w:lang w:bidi="ar"/>
        </w:rPr>
        <w:t>①落叶阔叶林</w:t>
      </w:r>
    </w:p>
    <w:p w14:paraId="73B57639">
      <w:pPr>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1"/>
          <w:lang w:bidi="ar"/>
        </w:rPr>
        <w:t>落叶阔叶林包括意杨林和旱柳林两种群落类型，从分布情况来看，旱柳林分布得更为广泛，在12个调查地点中，3个调查地点均有分布；意杨林在2个地点有分布。但从生物多样性指数来看，旱柳林生物多样性指数更高，包含的总物种数22种大于意杨林的10种。</w:t>
      </w:r>
    </w:p>
    <w:tbl>
      <w:tblPr>
        <w:tblStyle w:val="53"/>
        <w:tblW w:w="5000" w:type="pct"/>
        <w:jc w:val="center"/>
        <w:tblLayout w:type="autofit"/>
        <w:tblCellMar>
          <w:top w:w="0" w:type="dxa"/>
          <w:left w:w="108" w:type="dxa"/>
          <w:bottom w:w="0" w:type="dxa"/>
          <w:right w:w="108" w:type="dxa"/>
        </w:tblCellMar>
      </w:tblPr>
      <w:tblGrid>
        <w:gridCol w:w="4643"/>
        <w:gridCol w:w="4644"/>
      </w:tblGrid>
      <w:tr w14:paraId="7F2AAA43">
        <w:tblPrEx>
          <w:tblCellMar>
            <w:top w:w="0" w:type="dxa"/>
            <w:left w:w="108" w:type="dxa"/>
            <w:bottom w:w="0" w:type="dxa"/>
            <w:right w:w="108" w:type="dxa"/>
          </w:tblCellMar>
        </w:tblPrEx>
        <w:trPr>
          <w:jc w:val="center"/>
        </w:trPr>
        <w:tc>
          <w:tcPr>
            <w:tcW w:w="2500" w:type="pct"/>
            <w:noWrap w:val="0"/>
            <w:vAlign w:val="top"/>
          </w:tcPr>
          <w:p w14:paraId="13D30D81">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2"/>
              </w:rPr>
            </w:pPr>
            <w:r>
              <w:rPr>
                <w:rFonts w:hint="default" w:ascii="Times New Roman" w:hAnsi="Times New Roman" w:eastAsia="宋体"/>
                <w:color w:val="auto"/>
                <w:sz w:val="28"/>
                <w:szCs w:val="22"/>
                <w:lang w:bidi="ar"/>
              </w:rPr>
              <w:drawing>
                <wp:inline distT="0" distB="0" distL="114300" distR="114300">
                  <wp:extent cx="2524125" cy="1885950"/>
                  <wp:effectExtent l="0" t="0" r="9525" b="0"/>
                  <wp:docPr id="359" name="图片 61" descr="IMG_20190714_123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61" descr="IMG_20190714_123524"/>
                          <pic:cNvPicPr>
                            <a:picLocks noChangeAspect="1"/>
                          </pic:cNvPicPr>
                        </pic:nvPicPr>
                        <pic:blipFill>
                          <a:blip r:embed="rId128"/>
                          <a:stretch>
                            <a:fillRect/>
                          </a:stretch>
                        </pic:blipFill>
                        <pic:spPr>
                          <a:xfrm>
                            <a:off x="0" y="0"/>
                            <a:ext cx="2524125" cy="1885950"/>
                          </a:xfrm>
                          <a:prstGeom prst="rect">
                            <a:avLst/>
                          </a:prstGeom>
                          <a:noFill/>
                          <a:ln>
                            <a:noFill/>
                          </a:ln>
                        </pic:spPr>
                      </pic:pic>
                    </a:graphicData>
                  </a:graphic>
                </wp:inline>
              </w:drawing>
            </w:r>
          </w:p>
        </w:tc>
        <w:tc>
          <w:tcPr>
            <w:tcW w:w="2500" w:type="pct"/>
            <w:noWrap w:val="0"/>
            <w:vAlign w:val="center"/>
          </w:tcPr>
          <w:p w14:paraId="6D92C926">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2"/>
              </w:rPr>
            </w:pPr>
            <w:r>
              <w:rPr>
                <w:rFonts w:hint="default" w:ascii="Times New Roman" w:hAnsi="Times New Roman" w:eastAsia="宋体"/>
                <w:color w:val="auto"/>
                <w:sz w:val="28"/>
                <w:szCs w:val="22"/>
                <w:lang w:bidi="ar"/>
              </w:rPr>
              <w:drawing>
                <wp:inline distT="0" distB="0" distL="114300" distR="114300">
                  <wp:extent cx="2524125" cy="1885950"/>
                  <wp:effectExtent l="0" t="0" r="9525" b="0"/>
                  <wp:docPr id="360" name="图片 62" descr="IMG_20190712_10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62" descr="IMG_20190712_102819"/>
                          <pic:cNvPicPr>
                            <a:picLocks noChangeAspect="1"/>
                          </pic:cNvPicPr>
                        </pic:nvPicPr>
                        <pic:blipFill>
                          <a:blip r:embed="rId129"/>
                          <a:stretch>
                            <a:fillRect/>
                          </a:stretch>
                        </pic:blipFill>
                        <pic:spPr>
                          <a:xfrm>
                            <a:off x="0" y="0"/>
                            <a:ext cx="2524125" cy="1885950"/>
                          </a:xfrm>
                          <a:prstGeom prst="rect">
                            <a:avLst/>
                          </a:prstGeom>
                          <a:noFill/>
                          <a:ln>
                            <a:noFill/>
                          </a:ln>
                        </pic:spPr>
                      </pic:pic>
                    </a:graphicData>
                  </a:graphic>
                </wp:inline>
              </w:drawing>
            </w:r>
          </w:p>
        </w:tc>
      </w:tr>
      <w:tr w14:paraId="5D392B3E">
        <w:tblPrEx>
          <w:tblCellMar>
            <w:top w:w="0" w:type="dxa"/>
            <w:left w:w="108" w:type="dxa"/>
            <w:bottom w:w="0" w:type="dxa"/>
            <w:right w:w="108" w:type="dxa"/>
          </w:tblCellMar>
        </w:tblPrEx>
        <w:trPr>
          <w:jc w:val="center"/>
        </w:trPr>
        <w:tc>
          <w:tcPr>
            <w:tcW w:w="2500" w:type="pct"/>
            <w:noWrap w:val="0"/>
            <w:vAlign w:val="center"/>
          </w:tcPr>
          <w:p w14:paraId="6E66483D">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1"/>
              </w:rPr>
            </w:pPr>
            <w:r>
              <w:rPr>
                <w:rFonts w:hint="default" w:ascii="Times New Roman" w:hAnsi="Times New Roman" w:eastAsia="宋体"/>
                <w:color w:val="auto"/>
                <w:sz w:val="24"/>
                <w:szCs w:val="21"/>
                <w:lang w:bidi="ar"/>
              </w:rPr>
              <w:t>旱柳林群落</w:t>
            </w:r>
          </w:p>
        </w:tc>
        <w:tc>
          <w:tcPr>
            <w:tcW w:w="2500" w:type="pct"/>
            <w:noWrap w:val="0"/>
            <w:vAlign w:val="center"/>
          </w:tcPr>
          <w:p w14:paraId="0114B8E6">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1"/>
              </w:rPr>
            </w:pPr>
            <w:r>
              <w:rPr>
                <w:rFonts w:hint="default" w:ascii="Times New Roman" w:hAnsi="Times New Roman" w:eastAsia="宋体"/>
                <w:color w:val="auto"/>
                <w:sz w:val="24"/>
                <w:szCs w:val="21"/>
                <w:lang w:bidi="ar"/>
              </w:rPr>
              <w:t>意杨林群落</w:t>
            </w:r>
          </w:p>
        </w:tc>
      </w:tr>
    </w:tbl>
    <w:p w14:paraId="06BE1F99">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-33</w:t>
      </w:r>
      <w:r>
        <w:rPr>
          <w:rFonts w:ascii="Times New Roman" w:hAnsi="Times New Roman" w:eastAsia="黑体" w:cs="Times New Roman"/>
          <w:color w:val="auto"/>
          <w:sz w:val="24"/>
          <w:szCs w:val="21"/>
        </w:rPr>
        <w:t xml:space="preserve"> 落叶阔叶林群落特征</w:t>
      </w:r>
    </w:p>
    <w:p w14:paraId="45C99FC2">
      <w:pPr>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1"/>
          <w:lang w:bidi="ar"/>
        </w:rPr>
        <w:t>②草丛</w:t>
      </w:r>
    </w:p>
    <w:p w14:paraId="73A164EA">
      <w:pPr>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1"/>
          <w:lang w:bidi="ar"/>
        </w:rPr>
        <w:t>草丛的群落类型组成非常复杂，保护区河段内共记录5种群落类型，其中小蓬草群落分布最为广泛，在12个调查地点中有5个调查地点有分布。其余群落类型仅分布于1个调查样点。</w:t>
      </w:r>
    </w:p>
    <w:tbl>
      <w:tblPr>
        <w:tblStyle w:val="53"/>
        <w:tblW w:w="0" w:type="auto"/>
        <w:jc w:val="center"/>
        <w:tblLayout w:type="autofit"/>
        <w:tblCellMar>
          <w:top w:w="0" w:type="dxa"/>
          <w:left w:w="108" w:type="dxa"/>
          <w:bottom w:w="0" w:type="dxa"/>
          <w:right w:w="108" w:type="dxa"/>
        </w:tblCellMar>
      </w:tblPr>
      <w:tblGrid>
        <w:gridCol w:w="4261"/>
        <w:gridCol w:w="4261"/>
      </w:tblGrid>
      <w:tr w14:paraId="471B111F">
        <w:tblPrEx>
          <w:tblCellMar>
            <w:top w:w="0" w:type="dxa"/>
            <w:left w:w="108" w:type="dxa"/>
            <w:bottom w:w="0" w:type="dxa"/>
            <w:right w:w="108" w:type="dxa"/>
          </w:tblCellMar>
        </w:tblPrEx>
        <w:trPr>
          <w:jc w:val="center"/>
        </w:trPr>
        <w:tc>
          <w:tcPr>
            <w:tcW w:w="4261" w:type="dxa"/>
            <w:noWrap w:val="0"/>
            <w:vAlign w:val="center"/>
          </w:tcPr>
          <w:p w14:paraId="59F2DB2C">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2"/>
              </w:rPr>
            </w:pPr>
            <w:r>
              <w:rPr>
                <w:rFonts w:hint="default" w:ascii="Times New Roman" w:hAnsi="Times New Roman" w:eastAsia="宋体"/>
                <w:color w:val="auto"/>
                <w:sz w:val="28"/>
                <w:szCs w:val="22"/>
                <w:lang w:bidi="ar"/>
              </w:rPr>
              <w:drawing>
                <wp:inline distT="0" distB="0" distL="114300" distR="114300">
                  <wp:extent cx="2524125" cy="1885950"/>
                  <wp:effectExtent l="0" t="0" r="9525" b="0"/>
                  <wp:docPr id="361" name="图片 63" descr="IMG_20190714_142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63" descr="IMG_20190714_142438"/>
                          <pic:cNvPicPr>
                            <a:picLocks noChangeAspect="1"/>
                          </pic:cNvPicPr>
                        </pic:nvPicPr>
                        <pic:blipFill>
                          <a:blip r:embed="rId130"/>
                          <a:stretch>
                            <a:fillRect/>
                          </a:stretch>
                        </pic:blipFill>
                        <pic:spPr>
                          <a:xfrm>
                            <a:off x="0" y="0"/>
                            <a:ext cx="2524125" cy="1885950"/>
                          </a:xfrm>
                          <a:prstGeom prst="rect">
                            <a:avLst/>
                          </a:prstGeom>
                          <a:noFill/>
                          <a:ln>
                            <a:noFill/>
                          </a:ln>
                        </pic:spPr>
                      </pic:pic>
                    </a:graphicData>
                  </a:graphic>
                </wp:inline>
              </w:drawing>
            </w:r>
          </w:p>
        </w:tc>
        <w:tc>
          <w:tcPr>
            <w:tcW w:w="4261" w:type="dxa"/>
            <w:noWrap w:val="0"/>
            <w:vAlign w:val="center"/>
          </w:tcPr>
          <w:p w14:paraId="0186F90A">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2"/>
              </w:rPr>
            </w:pPr>
            <w:r>
              <w:rPr>
                <w:rFonts w:hint="default" w:ascii="Times New Roman" w:hAnsi="Times New Roman" w:eastAsia="宋体"/>
                <w:color w:val="auto"/>
                <w:sz w:val="28"/>
                <w:szCs w:val="22"/>
                <w:lang w:bidi="ar"/>
              </w:rPr>
              <w:drawing>
                <wp:inline distT="0" distB="0" distL="114300" distR="114300">
                  <wp:extent cx="2524125" cy="1885950"/>
                  <wp:effectExtent l="0" t="0" r="9525" b="0"/>
                  <wp:docPr id="362" name="图片 64" descr="IMG_20190712_12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64" descr="IMG_20190712_120145"/>
                          <pic:cNvPicPr>
                            <a:picLocks noChangeAspect="1"/>
                          </pic:cNvPicPr>
                        </pic:nvPicPr>
                        <pic:blipFill>
                          <a:blip r:embed="rId131"/>
                          <a:stretch>
                            <a:fillRect/>
                          </a:stretch>
                        </pic:blipFill>
                        <pic:spPr>
                          <a:xfrm>
                            <a:off x="0" y="0"/>
                            <a:ext cx="2524125" cy="1885950"/>
                          </a:xfrm>
                          <a:prstGeom prst="rect">
                            <a:avLst/>
                          </a:prstGeom>
                          <a:noFill/>
                          <a:ln>
                            <a:noFill/>
                          </a:ln>
                        </pic:spPr>
                      </pic:pic>
                    </a:graphicData>
                  </a:graphic>
                </wp:inline>
              </w:drawing>
            </w:r>
          </w:p>
        </w:tc>
      </w:tr>
      <w:tr w14:paraId="2045BBF1">
        <w:tblPrEx>
          <w:tblCellMar>
            <w:top w:w="0" w:type="dxa"/>
            <w:left w:w="108" w:type="dxa"/>
            <w:bottom w:w="0" w:type="dxa"/>
            <w:right w:w="108" w:type="dxa"/>
          </w:tblCellMar>
        </w:tblPrEx>
        <w:trPr>
          <w:jc w:val="center"/>
        </w:trPr>
        <w:tc>
          <w:tcPr>
            <w:tcW w:w="4261" w:type="dxa"/>
            <w:noWrap w:val="0"/>
            <w:vAlign w:val="center"/>
          </w:tcPr>
          <w:p w14:paraId="42287904">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1"/>
              </w:rPr>
            </w:pPr>
            <w:r>
              <w:rPr>
                <w:rFonts w:hint="default" w:ascii="Times New Roman" w:hAnsi="Times New Roman" w:eastAsia="宋体"/>
                <w:color w:val="auto"/>
                <w:sz w:val="24"/>
                <w:szCs w:val="21"/>
                <w:lang w:bidi="ar"/>
              </w:rPr>
              <w:t>合萌群落</w:t>
            </w:r>
          </w:p>
        </w:tc>
        <w:tc>
          <w:tcPr>
            <w:tcW w:w="4261" w:type="dxa"/>
            <w:noWrap w:val="0"/>
            <w:vAlign w:val="center"/>
          </w:tcPr>
          <w:p w14:paraId="25767631">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1"/>
              </w:rPr>
            </w:pPr>
            <w:r>
              <w:rPr>
                <w:rFonts w:hint="default" w:ascii="Times New Roman" w:hAnsi="Times New Roman" w:eastAsia="宋体"/>
                <w:color w:val="auto"/>
                <w:sz w:val="24"/>
                <w:szCs w:val="21"/>
                <w:lang w:bidi="ar"/>
              </w:rPr>
              <w:t>鸡眼草群落</w:t>
            </w:r>
          </w:p>
        </w:tc>
      </w:tr>
      <w:tr w14:paraId="7A8864E1">
        <w:tblPrEx>
          <w:tblCellMar>
            <w:top w:w="0" w:type="dxa"/>
            <w:left w:w="108" w:type="dxa"/>
            <w:bottom w:w="0" w:type="dxa"/>
            <w:right w:w="108" w:type="dxa"/>
          </w:tblCellMar>
        </w:tblPrEx>
        <w:trPr>
          <w:jc w:val="center"/>
        </w:trPr>
        <w:tc>
          <w:tcPr>
            <w:tcW w:w="4261" w:type="dxa"/>
            <w:noWrap w:val="0"/>
            <w:vAlign w:val="center"/>
          </w:tcPr>
          <w:p w14:paraId="1D8BB763">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2"/>
              </w:rPr>
            </w:pPr>
            <w:r>
              <w:rPr>
                <w:rFonts w:hint="default" w:ascii="Times New Roman" w:hAnsi="Times New Roman" w:eastAsia="宋体"/>
                <w:color w:val="auto"/>
                <w:sz w:val="28"/>
                <w:szCs w:val="22"/>
                <w:lang w:bidi="ar"/>
              </w:rPr>
              <w:drawing>
                <wp:inline distT="0" distB="0" distL="114300" distR="114300">
                  <wp:extent cx="2524125" cy="1885950"/>
                  <wp:effectExtent l="0" t="0" r="9525" b="0"/>
                  <wp:docPr id="363" name="图片 65" descr="IMG_20190712_13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65" descr="IMG_20190712_133325"/>
                          <pic:cNvPicPr>
                            <a:picLocks noChangeAspect="1"/>
                          </pic:cNvPicPr>
                        </pic:nvPicPr>
                        <pic:blipFill>
                          <a:blip r:embed="rId132"/>
                          <a:stretch>
                            <a:fillRect/>
                          </a:stretch>
                        </pic:blipFill>
                        <pic:spPr>
                          <a:xfrm>
                            <a:off x="0" y="0"/>
                            <a:ext cx="2524125" cy="1885950"/>
                          </a:xfrm>
                          <a:prstGeom prst="rect">
                            <a:avLst/>
                          </a:prstGeom>
                          <a:noFill/>
                          <a:ln>
                            <a:noFill/>
                          </a:ln>
                        </pic:spPr>
                      </pic:pic>
                    </a:graphicData>
                  </a:graphic>
                </wp:inline>
              </w:drawing>
            </w:r>
          </w:p>
        </w:tc>
        <w:tc>
          <w:tcPr>
            <w:tcW w:w="4261" w:type="dxa"/>
            <w:noWrap w:val="0"/>
            <w:vAlign w:val="center"/>
          </w:tcPr>
          <w:p w14:paraId="6F2815E1">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2"/>
              </w:rPr>
            </w:pPr>
            <w:r>
              <w:rPr>
                <w:rFonts w:hint="default" w:ascii="Times New Roman" w:hAnsi="Times New Roman" w:eastAsia="宋体"/>
                <w:color w:val="auto"/>
                <w:sz w:val="28"/>
                <w:szCs w:val="22"/>
                <w:lang w:bidi="ar"/>
              </w:rPr>
              <w:drawing>
                <wp:inline distT="0" distB="0" distL="114300" distR="114300">
                  <wp:extent cx="2524125" cy="1885950"/>
                  <wp:effectExtent l="0" t="0" r="9525" b="0"/>
                  <wp:docPr id="364" name="图片 66" descr="IMG_20190714_125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图片 66" descr="IMG_20190714_125550"/>
                          <pic:cNvPicPr>
                            <a:picLocks noChangeAspect="1"/>
                          </pic:cNvPicPr>
                        </pic:nvPicPr>
                        <pic:blipFill>
                          <a:blip r:embed="rId133"/>
                          <a:stretch>
                            <a:fillRect/>
                          </a:stretch>
                        </pic:blipFill>
                        <pic:spPr>
                          <a:xfrm>
                            <a:off x="0" y="0"/>
                            <a:ext cx="2524125" cy="1885950"/>
                          </a:xfrm>
                          <a:prstGeom prst="rect">
                            <a:avLst/>
                          </a:prstGeom>
                          <a:noFill/>
                          <a:ln>
                            <a:noFill/>
                          </a:ln>
                        </pic:spPr>
                      </pic:pic>
                    </a:graphicData>
                  </a:graphic>
                </wp:inline>
              </w:drawing>
            </w:r>
          </w:p>
        </w:tc>
      </w:tr>
      <w:tr w14:paraId="0672F360">
        <w:tblPrEx>
          <w:tblCellMar>
            <w:top w:w="0" w:type="dxa"/>
            <w:left w:w="108" w:type="dxa"/>
            <w:bottom w:w="0" w:type="dxa"/>
            <w:right w:w="108" w:type="dxa"/>
          </w:tblCellMar>
        </w:tblPrEx>
        <w:trPr>
          <w:jc w:val="center"/>
        </w:trPr>
        <w:tc>
          <w:tcPr>
            <w:tcW w:w="4261" w:type="dxa"/>
            <w:noWrap w:val="0"/>
            <w:vAlign w:val="center"/>
          </w:tcPr>
          <w:p w14:paraId="5AFC779F">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1"/>
              </w:rPr>
            </w:pPr>
            <w:r>
              <w:rPr>
                <w:rFonts w:hint="default" w:ascii="Times New Roman" w:hAnsi="Times New Roman" w:eastAsia="宋体"/>
                <w:color w:val="auto"/>
                <w:sz w:val="24"/>
                <w:szCs w:val="21"/>
                <w:lang w:bidi="ar"/>
              </w:rPr>
              <w:t>小蓬草群落</w:t>
            </w:r>
          </w:p>
        </w:tc>
        <w:tc>
          <w:tcPr>
            <w:tcW w:w="4261" w:type="dxa"/>
            <w:noWrap w:val="0"/>
            <w:vAlign w:val="center"/>
          </w:tcPr>
          <w:p w14:paraId="598CB5EE">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1"/>
              </w:rPr>
            </w:pPr>
            <w:r>
              <w:rPr>
                <w:rFonts w:hint="default" w:ascii="Times New Roman" w:hAnsi="Times New Roman" w:eastAsia="宋体"/>
                <w:color w:val="auto"/>
                <w:sz w:val="24"/>
                <w:szCs w:val="21"/>
                <w:lang w:bidi="ar"/>
              </w:rPr>
              <w:t>钻叶紫菀</w:t>
            </w:r>
          </w:p>
        </w:tc>
      </w:tr>
      <w:tr w14:paraId="54B6662B">
        <w:tblPrEx>
          <w:tblCellMar>
            <w:top w:w="0" w:type="dxa"/>
            <w:left w:w="108" w:type="dxa"/>
            <w:bottom w:w="0" w:type="dxa"/>
            <w:right w:w="108" w:type="dxa"/>
          </w:tblCellMar>
        </w:tblPrEx>
        <w:trPr>
          <w:jc w:val="center"/>
        </w:trPr>
        <w:tc>
          <w:tcPr>
            <w:tcW w:w="4261" w:type="dxa"/>
            <w:noWrap w:val="0"/>
            <w:vAlign w:val="center"/>
          </w:tcPr>
          <w:p w14:paraId="5967D3B8">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2"/>
              </w:rPr>
            </w:pPr>
            <w:r>
              <w:rPr>
                <w:rFonts w:hint="default" w:ascii="Times New Roman" w:hAnsi="Times New Roman" w:eastAsia="宋体"/>
                <w:color w:val="auto"/>
                <w:sz w:val="28"/>
                <w:szCs w:val="22"/>
                <w:lang w:bidi="ar"/>
              </w:rPr>
              <w:drawing>
                <wp:inline distT="0" distB="0" distL="114300" distR="114300">
                  <wp:extent cx="2524125" cy="1885950"/>
                  <wp:effectExtent l="0" t="0" r="9525" b="0"/>
                  <wp:docPr id="365" name="图片 67" descr="IMG_20190712_12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67" descr="IMG_20190712_120359"/>
                          <pic:cNvPicPr>
                            <a:picLocks noChangeAspect="1"/>
                          </pic:cNvPicPr>
                        </pic:nvPicPr>
                        <pic:blipFill>
                          <a:blip r:embed="rId134"/>
                          <a:stretch>
                            <a:fillRect/>
                          </a:stretch>
                        </pic:blipFill>
                        <pic:spPr>
                          <a:xfrm>
                            <a:off x="0" y="0"/>
                            <a:ext cx="2524125" cy="1885950"/>
                          </a:xfrm>
                          <a:prstGeom prst="rect">
                            <a:avLst/>
                          </a:prstGeom>
                          <a:noFill/>
                          <a:ln>
                            <a:noFill/>
                          </a:ln>
                        </pic:spPr>
                      </pic:pic>
                    </a:graphicData>
                  </a:graphic>
                </wp:inline>
              </w:drawing>
            </w:r>
          </w:p>
        </w:tc>
        <w:tc>
          <w:tcPr>
            <w:tcW w:w="4261" w:type="dxa"/>
            <w:noWrap w:val="0"/>
            <w:vAlign w:val="center"/>
          </w:tcPr>
          <w:p w14:paraId="2980643E">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2"/>
              </w:rPr>
            </w:pPr>
          </w:p>
        </w:tc>
      </w:tr>
      <w:tr w14:paraId="4270E58F">
        <w:tblPrEx>
          <w:tblCellMar>
            <w:top w:w="0" w:type="dxa"/>
            <w:left w:w="108" w:type="dxa"/>
            <w:bottom w:w="0" w:type="dxa"/>
            <w:right w:w="108" w:type="dxa"/>
          </w:tblCellMar>
        </w:tblPrEx>
        <w:trPr>
          <w:jc w:val="center"/>
        </w:trPr>
        <w:tc>
          <w:tcPr>
            <w:tcW w:w="4261" w:type="dxa"/>
            <w:noWrap w:val="0"/>
            <w:vAlign w:val="center"/>
          </w:tcPr>
          <w:p w14:paraId="21897154">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1"/>
              </w:rPr>
            </w:pPr>
            <w:r>
              <w:rPr>
                <w:rFonts w:hint="default" w:ascii="Times New Roman" w:hAnsi="Times New Roman" w:eastAsia="宋体"/>
                <w:color w:val="auto"/>
                <w:sz w:val="24"/>
                <w:szCs w:val="21"/>
                <w:lang w:bidi="ar"/>
              </w:rPr>
              <w:t>野艾群落</w:t>
            </w:r>
          </w:p>
        </w:tc>
        <w:tc>
          <w:tcPr>
            <w:tcW w:w="4261" w:type="dxa"/>
            <w:noWrap w:val="0"/>
            <w:vAlign w:val="center"/>
          </w:tcPr>
          <w:p w14:paraId="18E16B28">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1"/>
              </w:rPr>
            </w:pPr>
          </w:p>
        </w:tc>
      </w:tr>
    </w:tbl>
    <w:p w14:paraId="081BA52F">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-34</w:t>
      </w:r>
      <w:r>
        <w:rPr>
          <w:rFonts w:ascii="Times New Roman" w:hAnsi="Times New Roman" w:eastAsia="黑体" w:cs="Times New Roman"/>
          <w:color w:val="auto"/>
          <w:sz w:val="24"/>
          <w:szCs w:val="21"/>
        </w:rPr>
        <w:t xml:space="preserve">  草丛群落特征</w:t>
      </w:r>
    </w:p>
    <w:p w14:paraId="16E65219">
      <w:pPr>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1"/>
          <w:lang w:bidi="ar"/>
        </w:rPr>
        <w:t>③湿生植被</w:t>
      </w:r>
    </w:p>
    <w:p w14:paraId="056B85CA">
      <w:pPr>
        <w:spacing w:line="360" w:lineRule="auto"/>
        <w:ind w:firstLine="480" w:firstLineChars="200"/>
        <w:rPr>
          <w:rFonts w:ascii="Times New Roman" w:hAnsi="Times New Roman" w:eastAsia="宋体"/>
          <w:b/>
          <w:color w:val="auto"/>
          <w:sz w:val="22"/>
          <w:szCs w:val="21"/>
        </w:rPr>
      </w:pPr>
      <w:r>
        <w:rPr>
          <w:rFonts w:ascii="Times New Roman" w:hAnsi="Times New Roman" w:eastAsia="宋体"/>
          <w:color w:val="auto"/>
          <w:sz w:val="24"/>
          <w:szCs w:val="21"/>
          <w:lang w:bidi="ar"/>
        </w:rPr>
        <w:t>保护区河段内共记录5种湿生植物群落，其中芦苇在3个调查地点有分布；荻在2个调查地点有分布，这两种群落在河滩近水处分布非常广泛。其余群落类型仅分布于1个调查样点。</w:t>
      </w:r>
    </w:p>
    <w:tbl>
      <w:tblPr>
        <w:tblStyle w:val="53"/>
        <w:tblW w:w="0" w:type="auto"/>
        <w:jc w:val="center"/>
        <w:tblLayout w:type="autofit"/>
        <w:tblCellMar>
          <w:top w:w="0" w:type="dxa"/>
          <w:left w:w="108" w:type="dxa"/>
          <w:bottom w:w="0" w:type="dxa"/>
          <w:right w:w="108" w:type="dxa"/>
        </w:tblCellMar>
      </w:tblPr>
      <w:tblGrid>
        <w:gridCol w:w="4261"/>
        <w:gridCol w:w="4261"/>
      </w:tblGrid>
      <w:tr w14:paraId="25C00491">
        <w:trPr>
          <w:jc w:val="center"/>
        </w:trPr>
        <w:tc>
          <w:tcPr>
            <w:tcW w:w="4261" w:type="dxa"/>
            <w:noWrap w:val="0"/>
            <w:vAlign w:val="center"/>
          </w:tcPr>
          <w:p w14:paraId="0614B89E">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2"/>
              </w:rPr>
            </w:pPr>
            <w:r>
              <w:rPr>
                <w:rFonts w:hint="default" w:ascii="Times New Roman" w:hAnsi="Times New Roman" w:eastAsia="宋体"/>
                <w:color w:val="auto"/>
                <w:sz w:val="28"/>
                <w:szCs w:val="22"/>
                <w:lang w:bidi="ar"/>
              </w:rPr>
              <w:drawing>
                <wp:inline distT="0" distB="0" distL="114300" distR="114300">
                  <wp:extent cx="2524125" cy="1885950"/>
                  <wp:effectExtent l="0" t="0" r="9525" b="0"/>
                  <wp:docPr id="366" name="图片 68" descr="IMG_20190712_094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图片 68" descr="IMG_20190712_094419"/>
                          <pic:cNvPicPr>
                            <a:picLocks noChangeAspect="1"/>
                          </pic:cNvPicPr>
                        </pic:nvPicPr>
                        <pic:blipFill>
                          <a:blip r:embed="rId135"/>
                          <a:stretch>
                            <a:fillRect/>
                          </a:stretch>
                        </pic:blipFill>
                        <pic:spPr>
                          <a:xfrm>
                            <a:off x="0" y="0"/>
                            <a:ext cx="2524125" cy="1885950"/>
                          </a:xfrm>
                          <a:prstGeom prst="rect">
                            <a:avLst/>
                          </a:prstGeom>
                          <a:noFill/>
                          <a:ln>
                            <a:noFill/>
                          </a:ln>
                        </pic:spPr>
                      </pic:pic>
                    </a:graphicData>
                  </a:graphic>
                </wp:inline>
              </w:drawing>
            </w:r>
          </w:p>
        </w:tc>
        <w:tc>
          <w:tcPr>
            <w:tcW w:w="4261" w:type="dxa"/>
            <w:noWrap w:val="0"/>
            <w:vAlign w:val="center"/>
          </w:tcPr>
          <w:p w14:paraId="3571E57A">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2"/>
              </w:rPr>
            </w:pPr>
            <w:r>
              <w:rPr>
                <w:rFonts w:hint="default" w:ascii="Times New Roman" w:hAnsi="Times New Roman" w:eastAsia="宋体"/>
                <w:color w:val="auto"/>
                <w:sz w:val="28"/>
                <w:szCs w:val="22"/>
                <w:lang w:bidi="ar"/>
              </w:rPr>
              <w:drawing>
                <wp:inline distT="0" distB="0" distL="114300" distR="114300">
                  <wp:extent cx="2524125" cy="1885950"/>
                  <wp:effectExtent l="0" t="0" r="9525" b="0"/>
                  <wp:docPr id="367" name="图片 69" descr="IMG_20190712_090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图片 69" descr="IMG_20190712_090601"/>
                          <pic:cNvPicPr>
                            <a:picLocks noChangeAspect="1"/>
                          </pic:cNvPicPr>
                        </pic:nvPicPr>
                        <pic:blipFill>
                          <a:blip r:embed="rId136"/>
                          <a:stretch>
                            <a:fillRect/>
                          </a:stretch>
                        </pic:blipFill>
                        <pic:spPr>
                          <a:xfrm>
                            <a:off x="0" y="0"/>
                            <a:ext cx="2524125" cy="1885950"/>
                          </a:xfrm>
                          <a:prstGeom prst="rect">
                            <a:avLst/>
                          </a:prstGeom>
                          <a:noFill/>
                          <a:ln>
                            <a:noFill/>
                          </a:ln>
                        </pic:spPr>
                      </pic:pic>
                    </a:graphicData>
                  </a:graphic>
                </wp:inline>
              </w:drawing>
            </w:r>
          </w:p>
        </w:tc>
      </w:tr>
      <w:tr w14:paraId="1C29474D">
        <w:tblPrEx>
          <w:tblCellMar>
            <w:top w:w="0" w:type="dxa"/>
            <w:left w:w="108" w:type="dxa"/>
            <w:bottom w:w="0" w:type="dxa"/>
            <w:right w:w="108" w:type="dxa"/>
          </w:tblCellMar>
        </w:tblPrEx>
        <w:trPr>
          <w:jc w:val="center"/>
        </w:trPr>
        <w:tc>
          <w:tcPr>
            <w:tcW w:w="4261" w:type="dxa"/>
            <w:noWrap w:val="0"/>
            <w:vAlign w:val="center"/>
          </w:tcPr>
          <w:p w14:paraId="7FABA425">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1"/>
              </w:rPr>
            </w:pPr>
            <w:r>
              <w:rPr>
                <w:rFonts w:hint="default" w:ascii="Times New Roman" w:hAnsi="Times New Roman" w:eastAsia="宋体"/>
                <w:color w:val="auto"/>
                <w:sz w:val="24"/>
                <w:szCs w:val="21"/>
                <w:lang w:bidi="ar"/>
              </w:rPr>
              <w:t>荻群落</w:t>
            </w:r>
          </w:p>
        </w:tc>
        <w:tc>
          <w:tcPr>
            <w:tcW w:w="4261" w:type="dxa"/>
            <w:noWrap w:val="0"/>
            <w:vAlign w:val="center"/>
          </w:tcPr>
          <w:p w14:paraId="258E361D">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1"/>
              </w:rPr>
            </w:pPr>
            <w:r>
              <w:rPr>
                <w:rFonts w:hint="default" w:ascii="Times New Roman" w:hAnsi="Times New Roman" w:eastAsia="宋体"/>
                <w:color w:val="auto"/>
                <w:sz w:val="24"/>
                <w:szCs w:val="21"/>
                <w:lang w:bidi="ar"/>
              </w:rPr>
              <w:t>菰群落</w:t>
            </w:r>
          </w:p>
        </w:tc>
      </w:tr>
      <w:tr w14:paraId="2EDE9A10">
        <w:tblPrEx>
          <w:tblCellMar>
            <w:top w:w="0" w:type="dxa"/>
            <w:left w:w="108" w:type="dxa"/>
            <w:bottom w:w="0" w:type="dxa"/>
            <w:right w:w="108" w:type="dxa"/>
          </w:tblCellMar>
        </w:tblPrEx>
        <w:trPr>
          <w:jc w:val="center"/>
        </w:trPr>
        <w:tc>
          <w:tcPr>
            <w:tcW w:w="4261" w:type="dxa"/>
            <w:noWrap w:val="0"/>
            <w:vAlign w:val="center"/>
          </w:tcPr>
          <w:p w14:paraId="71E45438">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2"/>
              </w:rPr>
            </w:pPr>
            <w:r>
              <w:rPr>
                <w:rFonts w:hint="default" w:ascii="Times New Roman" w:hAnsi="Times New Roman" w:eastAsia="宋体"/>
                <w:color w:val="auto"/>
                <w:sz w:val="28"/>
                <w:szCs w:val="22"/>
                <w:lang w:bidi="ar"/>
              </w:rPr>
              <w:drawing>
                <wp:inline distT="0" distB="0" distL="114300" distR="114300">
                  <wp:extent cx="2524125" cy="1885950"/>
                  <wp:effectExtent l="0" t="0" r="9525" b="0"/>
                  <wp:docPr id="368" name="图片 70" descr="IMG_20190712_09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70" descr="IMG_20190712_090603"/>
                          <pic:cNvPicPr>
                            <a:picLocks noChangeAspect="1"/>
                          </pic:cNvPicPr>
                        </pic:nvPicPr>
                        <pic:blipFill>
                          <a:blip r:embed="rId137"/>
                          <a:stretch>
                            <a:fillRect/>
                          </a:stretch>
                        </pic:blipFill>
                        <pic:spPr>
                          <a:xfrm>
                            <a:off x="0" y="0"/>
                            <a:ext cx="2524125" cy="1885950"/>
                          </a:xfrm>
                          <a:prstGeom prst="rect">
                            <a:avLst/>
                          </a:prstGeom>
                          <a:noFill/>
                          <a:ln>
                            <a:noFill/>
                          </a:ln>
                        </pic:spPr>
                      </pic:pic>
                    </a:graphicData>
                  </a:graphic>
                </wp:inline>
              </w:drawing>
            </w:r>
          </w:p>
        </w:tc>
        <w:tc>
          <w:tcPr>
            <w:tcW w:w="4261" w:type="dxa"/>
            <w:noWrap w:val="0"/>
            <w:vAlign w:val="center"/>
          </w:tcPr>
          <w:p w14:paraId="57EC952D">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2"/>
              </w:rPr>
            </w:pPr>
            <w:r>
              <w:rPr>
                <w:rFonts w:hint="default" w:ascii="Times New Roman" w:hAnsi="Times New Roman" w:eastAsia="宋体"/>
                <w:color w:val="auto"/>
                <w:sz w:val="28"/>
                <w:szCs w:val="22"/>
                <w:lang w:bidi="ar"/>
              </w:rPr>
              <w:drawing>
                <wp:inline distT="0" distB="0" distL="114300" distR="114300">
                  <wp:extent cx="2524125" cy="1885950"/>
                  <wp:effectExtent l="0" t="0" r="9525" b="0"/>
                  <wp:docPr id="369" name="图片 71" descr="IMG_20190712_08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图片 71" descr="IMG_20190712_081618"/>
                          <pic:cNvPicPr>
                            <a:picLocks noChangeAspect="1"/>
                          </pic:cNvPicPr>
                        </pic:nvPicPr>
                        <pic:blipFill>
                          <a:blip r:embed="rId138"/>
                          <a:stretch>
                            <a:fillRect/>
                          </a:stretch>
                        </pic:blipFill>
                        <pic:spPr>
                          <a:xfrm>
                            <a:off x="0" y="0"/>
                            <a:ext cx="2524125" cy="1885950"/>
                          </a:xfrm>
                          <a:prstGeom prst="rect">
                            <a:avLst/>
                          </a:prstGeom>
                          <a:noFill/>
                          <a:ln>
                            <a:noFill/>
                          </a:ln>
                        </pic:spPr>
                      </pic:pic>
                    </a:graphicData>
                  </a:graphic>
                </wp:inline>
              </w:drawing>
            </w:r>
          </w:p>
        </w:tc>
      </w:tr>
      <w:tr w14:paraId="4E76DE53">
        <w:tblPrEx>
          <w:tblCellMar>
            <w:top w:w="0" w:type="dxa"/>
            <w:left w:w="108" w:type="dxa"/>
            <w:bottom w:w="0" w:type="dxa"/>
            <w:right w:w="108" w:type="dxa"/>
          </w:tblCellMar>
        </w:tblPrEx>
        <w:trPr>
          <w:jc w:val="center"/>
        </w:trPr>
        <w:tc>
          <w:tcPr>
            <w:tcW w:w="4261" w:type="dxa"/>
            <w:noWrap w:val="0"/>
            <w:vAlign w:val="center"/>
          </w:tcPr>
          <w:p w14:paraId="44982A85">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1"/>
              </w:rPr>
            </w:pPr>
            <w:r>
              <w:rPr>
                <w:rFonts w:hint="default" w:ascii="Times New Roman" w:hAnsi="Times New Roman" w:eastAsia="宋体"/>
                <w:color w:val="auto"/>
                <w:sz w:val="24"/>
                <w:szCs w:val="21"/>
                <w:lang w:bidi="ar"/>
              </w:rPr>
              <w:t>薹草群落</w:t>
            </w:r>
          </w:p>
        </w:tc>
        <w:tc>
          <w:tcPr>
            <w:tcW w:w="4261" w:type="dxa"/>
            <w:noWrap w:val="0"/>
            <w:vAlign w:val="center"/>
          </w:tcPr>
          <w:p w14:paraId="5C9E307F">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1"/>
              </w:rPr>
            </w:pPr>
            <w:r>
              <w:rPr>
                <w:rFonts w:hint="default" w:ascii="Times New Roman" w:hAnsi="Times New Roman" w:eastAsia="宋体"/>
                <w:color w:val="auto"/>
                <w:sz w:val="24"/>
                <w:szCs w:val="21"/>
                <w:lang w:bidi="ar"/>
              </w:rPr>
              <w:t>虉草群落</w:t>
            </w:r>
          </w:p>
        </w:tc>
      </w:tr>
      <w:tr w14:paraId="4DA0C81E">
        <w:tblPrEx>
          <w:tblCellMar>
            <w:top w:w="0" w:type="dxa"/>
            <w:left w:w="108" w:type="dxa"/>
            <w:bottom w:w="0" w:type="dxa"/>
            <w:right w:w="108" w:type="dxa"/>
          </w:tblCellMar>
        </w:tblPrEx>
        <w:trPr>
          <w:jc w:val="center"/>
        </w:trPr>
        <w:tc>
          <w:tcPr>
            <w:tcW w:w="4261" w:type="dxa"/>
            <w:noWrap w:val="0"/>
            <w:vAlign w:val="center"/>
          </w:tcPr>
          <w:p w14:paraId="1EA61301">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2"/>
              </w:rPr>
            </w:pPr>
            <w:r>
              <w:rPr>
                <w:rFonts w:hint="default" w:ascii="Times New Roman" w:hAnsi="Times New Roman" w:eastAsia="宋体"/>
                <w:color w:val="auto"/>
                <w:sz w:val="28"/>
                <w:szCs w:val="22"/>
                <w:lang w:bidi="ar"/>
              </w:rPr>
              <w:drawing>
                <wp:inline distT="0" distB="0" distL="114300" distR="114300">
                  <wp:extent cx="2524125" cy="1885950"/>
                  <wp:effectExtent l="0" t="0" r="9525" b="0"/>
                  <wp:docPr id="370" name="图片 72" descr="IMG_20190712_08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72" descr="IMG_20190712_082041"/>
                          <pic:cNvPicPr>
                            <a:picLocks noChangeAspect="1"/>
                          </pic:cNvPicPr>
                        </pic:nvPicPr>
                        <pic:blipFill>
                          <a:blip r:embed="rId139"/>
                          <a:stretch>
                            <a:fillRect/>
                          </a:stretch>
                        </pic:blipFill>
                        <pic:spPr>
                          <a:xfrm>
                            <a:off x="0" y="0"/>
                            <a:ext cx="2524125" cy="1885950"/>
                          </a:xfrm>
                          <a:prstGeom prst="rect">
                            <a:avLst/>
                          </a:prstGeom>
                          <a:noFill/>
                          <a:ln>
                            <a:noFill/>
                          </a:ln>
                        </pic:spPr>
                      </pic:pic>
                    </a:graphicData>
                  </a:graphic>
                </wp:inline>
              </w:drawing>
            </w:r>
          </w:p>
        </w:tc>
        <w:tc>
          <w:tcPr>
            <w:tcW w:w="4261" w:type="dxa"/>
            <w:noWrap w:val="0"/>
            <w:vAlign w:val="center"/>
          </w:tcPr>
          <w:p w14:paraId="33C74102">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2"/>
              </w:rPr>
            </w:pPr>
          </w:p>
        </w:tc>
      </w:tr>
      <w:tr w14:paraId="0726AA44">
        <w:tblPrEx>
          <w:tblCellMar>
            <w:top w:w="0" w:type="dxa"/>
            <w:left w:w="108" w:type="dxa"/>
            <w:bottom w:w="0" w:type="dxa"/>
            <w:right w:w="108" w:type="dxa"/>
          </w:tblCellMar>
        </w:tblPrEx>
        <w:trPr>
          <w:jc w:val="center"/>
        </w:trPr>
        <w:tc>
          <w:tcPr>
            <w:tcW w:w="4261" w:type="dxa"/>
            <w:noWrap w:val="0"/>
            <w:vAlign w:val="center"/>
          </w:tcPr>
          <w:p w14:paraId="4B3A5291">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1"/>
              </w:rPr>
            </w:pPr>
            <w:r>
              <w:rPr>
                <w:rFonts w:hint="default" w:ascii="Times New Roman" w:hAnsi="Times New Roman" w:eastAsia="宋体"/>
                <w:color w:val="auto"/>
                <w:sz w:val="24"/>
                <w:szCs w:val="21"/>
                <w:lang w:bidi="ar"/>
              </w:rPr>
              <w:t>双穗雀稗群落</w:t>
            </w:r>
          </w:p>
        </w:tc>
        <w:tc>
          <w:tcPr>
            <w:tcW w:w="4261" w:type="dxa"/>
            <w:noWrap w:val="0"/>
            <w:vAlign w:val="center"/>
          </w:tcPr>
          <w:p w14:paraId="67917115">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4"/>
                <w:szCs w:val="21"/>
              </w:rPr>
            </w:pPr>
          </w:p>
        </w:tc>
      </w:tr>
    </w:tbl>
    <w:p w14:paraId="42DD4CC1">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图4.2</w:t>
      </w:r>
      <w:r>
        <w:rPr>
          <w:rFonts w:hint="eastAsia" w:ascii="Times New Roman" w:hAnsi="Times New Roman" w:eastAsia="黑体" w:cs="Times New Roman"/>
          <w:color w:val="auto"/>
          <w:sz w:val="24"/>
          <w:szCs w:val="21"/>
          <w:lang w:val="en-US" w:eastAsia="zh-CN"/>
        </w:rPr>
        <w:t>-35</w:t>
      </w:r>
      <w:r>
        <w:rPr>
          <w:rFonts w:ascii="Times New Roman" w:hAnsi="Times New Roman" w:eastAsia="黑体" w:cs="Times New Roman"/>
          <w:color w:val="auto"/>
          <w:sz w:val="24"/>
          <w:szCs w:val="21"/>
        </w:rPr>
        <w:t xml:space="preserve">  湿生植被群落特征</w:t>
      </w:r>
    </w:p>
    <w:p w14:paraId="1D3118DB">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4.2.5.14.7 水生植物多样性现状评价</w:t>
      </w:r>
    </w:p>
    <w:p w14:paraId="72365EC1">
      <w:pPr>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1"/>
          <w:lang w:bidi="ar"/>
        </w:rPr>
        <w:t>根据</w:t>
      </w:r>
      <w:r>
        <w:rPr>
          <w:rFonts w:hint="eastAsia" w:ascii="Times New Roman" w:hAnsi="Times New Roman" w:eastAsia="宋体"/>
          <w:color w:val="auto"/>
          <w:sz w:val="24"/>
          <w:szCs w:val="21"/>
          <w:lang w:bidi="ar"/>
        </w:rPr>
        <w:t>2019年</w:t>
      </w:r>
      <w:r>
        <w:rPr>
          <w:rFonts w:ascii="Times New Roman" w:hAnsi="Times New Roman" w:eastAsia="宋体"/>
          <w:color w:val="auto"/>
          <w:sz w:val="24"/>
          <w:szCs w:val="21"/>
          <w:lang w:bidi="ar"/>
        </w:rPr>
        <w:t>调查结果，保护区河段维管植物种类较为丰富，但植被面积小，分布稀疏。沿河两岸多为草本，木本植物较少。保护区内河道两岸浅水区稀疏分布有芦苇、四角菱、水鳖、荻、虉草等群丛；浅滩静水区域水生植物的种类及物种丰富度均大于河道流水区域；保护区两旁河岸多以喜旱莲子草、双穗雀稗、青葙、碎米莎草、虉草为主；河堤多生长有狗尾草、苍耳、小蓬草等小群落。</w:t>
      </w:r>
    </w:p>
    <w:p w14:paraId="6BA40BF0">
      <w:pPr>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1"/>
          <w:lang w:bidi="ar"/>
        </w:rPr>
        <w:t>就保护区而言，保护区水生植物以芦苇为优势种，但分布面积也不大，均呈零星状分布，其间常散生有荻、虉草、菰、双穗雀稗等水生植物。</w:t>
      </w:r>
    </w:p>
    <w:p w14:paraId="6587B7EA">
      <w:pPr>
        <w:spacing w:line="360" w:lineRule="auto"/>
        <w:ind w:firstLine="480" w:firstLineChars="200"/>
        <w:rPr>
          <w:rFonts w:ascii="Times New Roman" w:hAnsi="Times New Roman" w:eastAsia="宋体"/>
          <w:color w:val="auto"/>
          <w:sz w:val="24"/>
          <w:szCs w:val="21"/>
          <w:lang w:bidi="ar"/>
        </w:rPr>
      </w:pPr>
      <w:r>
        <w:rPr>
          <w:rFonts w:ascii="Times New Roman" w:hAnsi="Times New Roman" w:eastAsia="宋体"/>
          <w:color w:val="auto"/>
          <w:sz w:val="24"/>
          <w:szCs w:val="21"/>
          <w:lang w:bidi="ar"/>
        </w:rPr>
        <w:t>综上分析，沿保护区河道两岸及周围浅滩静水区的芦苇为优势种，由于河道两岸浅水区域水流速度相对于河道中央有所减缓，有利于水生植物的生长，可为鱼类栖息及繁衍后代提供了良好场所，应予以保护；同时，河道两旁一些浅滩静水区域的湿地，较流动区域更适合各种水生植物的生长，植物种类及丰富度均显著提高，可为鱼类觅食与产卵等提供</w:t>
      </w:r>
      <w:r>
        <w:rPr>
          <w:rFonts w:hint="eastAsia"/>
          <w:color w:val="auto"/>
          <w:sz w:val="24"/>
          <w:szCs w:val="21"/>
          <w:lang w:eastAsia="zh-CN" w:bidi="ar"/>
        </w:rPr>
        <w:t>了</w:t>
      </w:r>
      <w:r>
        <w:rPr>
          <w:rFonts w:ascii="Times New Roman" w:hAnsi="Times New Roman" w:eastAsia="宋体"/>
          <w:color w:val="auto"/>
          <w:sz w:val="24"/>
          <w:szCs w:val="21"/>
          <w:lang w:bidi="ar"/>
        </w:rPr>
        <w:t>良好环境，应予以保护。</w:t>
      </w:r>
    </w:p>
    <w:p w14:paraId="21EFA63C">
      <w:pPr>
        <w:keepNext/>
        <w:keepLines/>
        <w:widowControl w:val="0"/>
        <w:numPr>
          <w:ilvl w:val="0"/>
          <w:numId w:val="0"/>
        </w:numPr>
        <w:spacing w:line="360" w:lineRule="auto"/>
        <w:jc w:val="both"/>
        <w:outlineLvl w:val="2"/>
        <w:rPr>
          <w:rFonts w:hint="eastAsia" w:ascii="Times New Roman" w:hAnsi="Times New Roman" w:eastAsia="黑体" w:cs="Times New Roman"/>
          <w:bCs/>
          <w:color w:val="auto"/>
          <w:kern w:val="2"/>
          <w:sz w:val="28"/>
          <w:szCs w:val="32"/>
          <w:lang w:val="en-US" w:eastAsia="zh-CN" w:bidi="ar-SA"/>
        </w:rPr>
      </w:pPr>
      <w:bookmarkStart w:id="118" w:name="_Toc8378"/>
      <w:bookmarkStart w:id="119" w:name="_Toc227002336"/>
      <w:bookmarkStart w:id="120" w:name="_Toc212574720"/>
      <w:bookmarkStart w:id="121" w:name="_Toc170726845"/>
      <w:r>
        <w:rPr>
          <w:rFonts w:hint="eastAsia" w:ascii="Times New Roman" w:hAnsi="Times New Roman" w:eastAsia="黑体" w:cs="Times New Roman"/>
          <w:bCs/>
          <w:color w:val="auto"/>
          <w:kern w:val="2"/>
          <w:sz w:val="28"/>
          <w:szCs w:val="32"/>
          <w:lang w:val="en-US" w:eastAsia="zh-CN" w:bidi="ar-SA"/>
        </w:rPr>
        <w:t>4.2.6工程区水生生物资源和水生态环境现状与评价</w:t>
      </w:r>
      <w:bookmarkEnd w:id="118"/>
    </w:p>
    <w:p w14:paraId="5BED1EE8">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4.2.6.1 鱼类区系、群落结构及资源量现状与评价</w:t>
      </w:r>
    </w:p>
    <w:p w14:paraId="636856FD">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等线" w:cs="Times New Roman"/>
          <w:bCs/>
          <w:color w:val="auto"/>
          <w:kern w:val="2"/>
          <w:sz w:val="24"/>
          <w:szCs w:val="28"/>
          <w:lang w:val="en-US" w:eastAsia="zh-CN" w:bidi="ar-SA"/>
        </w:rPr>
        <w:t>4.2.6.1</w:t>
      </w:r>
      <w:r>
        <w:rPr>
          <w:rFonts w:hint="eastAsia" w:ascii="Times New Roman" w:hAnsi="Times New Roman" w:eastAsia="宋体" w:cs="Times New Roman"/>
          <w:bCs/>
          <w:color w:val="auto"/>
          <w:kern w:val="2"/>
          <w:sz w:val="24"/>
          <w:szCs w:val="28"/>
          <w:lang w:val="en-US" w:eastAsia="zh-CN" w:bidi="ar-SA"/>
        </w:rPr>
        <w:t>.1 区系组成</w:t>
      </w:r>
    </w:p>
    <w:p w14:paraId="5118CEBB">
      <w:pPr>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2024年调查结果显示，</w:t>
      </w:r>
      <w:r>
        <w:rPr>
          <w:rFonts w:hint="eastAsia" w:ascii="Times New Roman" w:hAnsi="Times New Roman" w:eastAsia="宋体"/>
          <w:color w:val="auto"/>
          <w:sz w:val="24"/>
          <w:szCs w:val="28"/>
        </w:rPr>
        <w:t>工程区</w:t>
      </w:r>
      <w:r>
        <w:rPr>
          <w:rFonts w:ascii="Times New Roman" w:hAnsi="Times New Roman" w:eastAsia="宋体"/>
          <w:color w:val="auto"/>
          <w:sz w:val="24"/>
          <w:szCs w:val="28"/>
        </w:rPr>
        <w:t>调查水域鱼类区系类群主要包括以下4类。</w:t>
      </w:r>
    </w:p>
    <w:p w14:paraId="4C58B83D">
      <w:pPr>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(1)江河平原区系复合体类群</w:t>
      </w:r>
    </w:p>
    <w:p w14:paraId="6658977A">
      <w:pPr>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为适应江河宽阔的水面和一定流速的种类，这一类群广泛分</w:t>
      </w:r>
      <w:r>
        <w:rPr>
          <w:rFonts w:hint="eastAsia"/>
          <w:color w:val="auto"/>
          <w:sz w:val="24"/>
          <w:szCs w:val="28"/>
          <w:lang w:eastAsia="zh-CN"/>
        </w:rPr>
        <w:t>布在</w:t>
      </w:r>
      <w:r>
        <w:rPr>
          <w:rFonts w:ascii="Times New Roman" w:hAnsi="Times New Roman" w:eastAsia="宋体"/>
          <w:color w:val="auto"/>
          <w:sz w:val="24"/>
          <w:szCs w:val="28"/>
        </w:rPr>
        <w:t>我国江湖平原温带水域，鱼类绝对数量较大，在调查水域水域代表种有鲢、达氏鲌、蒙古鲌、翘嘴鲌、鳜、兴凯鱊等。</w:t>
      </w:r>
    </w:p>
    <w:p w14:paraId="6CFA2F0A">
      <w:pPr>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(2)南方热带平原区系类群</w:t>
      </w:r>
    </w:p>
    <w:p w14:paraId="25B66A58">
      <w:pPr>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主要分布在南方的热带、亚热带平原水域，河床逐渐加宽，比降减小，水流减缓。此类大多是体形较小、不善游泳，具有适高温、耐低氧的特点，在调查水域水域的代表种有黄颡鱼、圆尾拟鲿、鲇等。</w:t>
      </w:r>
    </w:p>
    <w:p w14:paraId="3955DC1E">
      <w:pPr>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(3)晚第三纪早期区系类群</w:t>
      </w:r>
    </w:p>
    <w:p w14:paraId="6F66CCE2">
      <w:pPr>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此类群鱼类适应性强，分布广泛，适应静水或缓流水环境，产粘性卵于水草或石砾上，部分种类产卵于软体动物外套膜中，该类水域河床底质复杂，流量和水深增大，河谷开敞，水体的营养物质和饵料丰富，促使该类鱼形成优势种群，水域内的代表种有鲤、鲫、泥鳅等。</w:t>
      </w:r>
    </w:p>
    <w:p w14:paraId="3F7EEAD0">
      <w:pPr>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(4)南黄海、东海近海分区类群</w:t>
      </w:r>
    </w:p>
    <w:p w14:paraId="491C4EAD">
      <w:pPr>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主要为海、淡水洄游性物种，部分适应能力较强的种类在长江中定居，此类鱼在长江中产量甚高，包括刀鲚等。</w:t>
      </w:r>
    </w:p>
    <w:p w14:paraId="0D06F163">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等线" w:cs="Times New Roman"/>
          <w:bCs/>
          <w:color w:val="auto"/>
          <w:kern w:val="2"/>
          <w:sz w:val="24"/>
          <w:szCs w:val="28"/>
          <w:lang w:val="en-US" w:eastAsia="zh-CN" w:bidi="ar-SA"/>
        </w:rPr>
        <w:t>4.2.6.1</w:t>
      </w:r>
      <w:r>
        <w:rPr>
          <w:rFonts w:hint="eastAsia" w:ascii="Times New Roman" w:hAnsi="Times New Roman" w:eastAsia="宋体" w:cs="Times New Roman"/>
          <w:bCs/>
          <w:color w:val="auto"/>
          <w:kern w:val="2"/>
          <w:sz w:val="24"/>
          <w:szCs w:val="28"/>
          <w:lang w:val="en-US" w:eastAsia="zh-CN" w:bidi="ar-SA"/>
        </w:rPr>
        <w:t>.2 物种组成</w:t>
      </w:r>
    </w:p>
    <w:p w14:paraId="2D025DCE">
      <w:pPr>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202</w:t>
      </w:r>
      <w:r>
        <w:rPr>
          <w:rFonts w:hint="eastAsia" w:ascii="Times New Roman" w:hAnsi="Times New Roman" w:eastAsia="宋体"/>
          <w:color w:val="auto"/>
          <w:sz w:val="24"/>
          <w:szCs w:val="28"/>
        </w:rPr>
        <w:t>4</w:t>
      </w:r>
      <w:r>
        <w:rPr>
          <w:rFonts w:ascii="Times New Roman" w:hAnsi="Times New Roman" w:eastAsia="宋体"/>
          <w:color w:val="auto"/>
          <w:sz w:val="24"/>
          <w:szCs w:val="28"/>
        </w:rPr>
        <w:t>年</w:t>
      </w:r>
      <w:r>
        <w:rPr>
          <w:rFonts w:hint="eastAsia" w:ascii="Times New Roman" w:hAnsi="Times New Roman" w:eastAsia="宋体"/>
          <w:color w:val="auto"/>
          <w:sz w:val="24"/>
          <w:szCs w:val="28"/>
        </w:rPr>
        <w:t>工程水域</w:t>
      </w:r>
      <w:r>
        <w:rPr>
          <w:rFonts w:ascii="Times New Roman" w:hAnsi="Times New Roman" w:eastAsia="宋体"/>
          <w:color w:val="auto"/>
          <w:sz w:val="24"/>
          <w:szCs w:val="28"/>
        </w:rPr>
        <w:t>调查结果显示，</w:t>
      </w:r>
      <w:r>
        <w:rPr>
          <w:rFonts w:hint="eastAsia" w:ascii="Times New Roman" w:hAnsi="Times New Roman" w:eastAsia="宋体"/>
          <w:color w:val="auto"/>
          <w:sz w:val="24"/>
          <w:szCs w:val="28"/>
        </w:rPr>
        <w:t>调查水域</w:t>
      </w:r>
      <w:r>
        <w:rPr>
          <w:rFonts w:ascii="Times New Roman" w:hAnsi="Times New Roman" w:eastAsia="宋体"/>
          <w:color w:val="auto"/>
          <w:sz w:val="24"/>
          <w:szCs w:val="28"/>
        </w:rPr>
        <w:t>共采集鉴定鱼类32种，隶属于6目9科25属。鲤形目鱼类物种数最多，为19种，占物种总数的59.4%；其次是鲇形目、虾虎鱼目，均为5种，占比15.6%；鲈形目、鲱形目和合鳃鱼目各1种，分别占比3.1%(表4.</w:t>
      </w:r>
      <w:r>
        <w:rPr>
          <w:rFonts w:hint="eastAsia" w:ascii="Times New Roman" w:hAnsi="Times New Roman" w:eastAsia="宋体"/>
          <w:color w:val="auto"/>
          <w:sz w:val="24"/>
          <w:szCs w:val="28"/>
          <w:lang w:val="en-US" w:eastAsia="zh-CN"/>
        </w:rPr>
        <w:t>2-39</w:t>
      </w:r>
      <w:r>
        <w:rPr>
          <w:rFonts w:ascii="Times New Roman" w:hAnsi="Times New Roman" w:eastAsia="宋体"/>
          <w:color w:val="auto"/>
          <w:sz w:val="24"/>
          <w:szCs w:val="28"/>
        </w:rPr>
        <w:t>)。</w:t>
      </w:r>
    </w:p>
    <w:p w14:paraId="6414DB10">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表4.</w:t>
      </w:r>
      <w:r>
        <w:rPr>
          <w:rFonts w:hint="eastAsia" w:ascii="Times New Roman" w:hAnsi="Times New Roman" w:eastAsia="黑体" w:cs="Times New Roman"/>
          <w:color w:val="auto"/>
          <w:sz w:val="24"/>
          <w:szCs w:val="21"/>
          <w:lang w:val="en-US" w:eastAsia="zh-CN"/>
        </w:rPr>
        <w:t>2-39</w:t>
      </w:r>
      <w:r>
        <w:rPr>
          <w:rFonts w:ascii="Times New Roman" w:hAnsi="Times New Roman" w:eastAsia="黑体" w:cs="Times New Roman"/>
          <w:color w:val="auto"/>
          <w:sz w:val="24"/>
          <w:szCs w:val="21"/>
        </w:rPr>
        <w:t xml:space="preserve">  202</w:t>
      </w:r>
      <w:r>
        <w:rPr>
          <w:rFonts w:hint="eastAsia" w:ascii="Times New Roman" w:hAnsi="Times New Roman" w:eastAsia="黑体" w:cs="Times New Roman"/>
          <w:color w:val="auto"/>
          <w:sz w:val="24"/>
          <w:szCs w:val="21"/>
        </w:rPr>
        <w:t>4</w:t>
      </w:r>
      <w:r>
        <w:rPr>
          <w:rFonts w:ascii="Times New Roman" w:hAnsi="Times New Roman" w:eastAsia="黑体" w:cs="Times New Roman"/>
          <w:color w:val="auto"/>
          <w:sz w:val="24"/>
          <w:szCs w:val="21"/>
        </w:rPr>
        <w:t>年</w:t>
      </w:r>
      <w:r>
        <w:rPr>
          <w:rFonts w:hint="eastAsia" w:ascii="Times New Roman" w:hAnsi="Times New Roman" w:eastAsia="黑体" w:cs="Times New Roman"/>
          <w:color w:val="auto"/>
          <w:sz w:val="24"/>
          <w:szCs w:val="21"/>
        </w:rPr>
        <w:t>工程</w:t>
      </w:r>
      <w:r>
        <w:rPr>
          <w:rFonts w:ascii="Times New Roman" w:hAnsi="Times New Roman" w:eastAsia="黑体" w:cs="Times New Roman"/>
          <w:color w:val="auto"/>
          <w:sz w:val="24"/>
          <w:szCs w:val="21"/>
        </w:rPr>
        <w:t>区</w:t>
      </w:r>
      <w:r>
        <w:rPr>
          <w:rFonts w:hint="eastAsia" w:ascii="Times New Roman" w:hAnsi="Times New Roman" w:eastAsia="黑体" w:cs="Times New Roman"/>
          <w:color w:val="auto"/>
          <w:sz w:val="24"/>
          <w:szCs w:val="21"/>
        </w:rPr>
        <w:t>调查水域</w:t>
      </w:r>
      <w:r>
        <w:rPr>
          <w:rFonts w:ascii="Times New Roman" w:hAnsi="Times New Roman" w:eastAsia="黑体" w:cs="Times New Roman"/>
          <w:color w:val="auto"/>
          <w:sz w:val="24"/>
          <w:szCs w:val="21"/>
        </w:rPr>
        <w:t>鱼类</w:t>
      </w:r>
      <w:r>
        <w:rPr>
          <w:rFonts w:hint="eastAsia" w:ascii="Times New Roman" w:hAnsi="Times New Roman" w:eastAsia="黑体" w:cs="Times New Roman"/>
          <w:color w:val="auto"/>
          <w:sz w:val="24"/>
          <w:szCs w:val="21"/>
        </w:rPr>
        <w:t>物种</w:t>
      </w:r>
      <w:r>
        <w:rPr>
          <w:rFonts w:ascii="Times New Roman" w:hAnsi="Times New Roman" w:eastAsia="黑体" w:cs="Times New Roman"/>
          <w:color w:val="auto"/>
          <w:sz w:val="24"/>
          <w:szCs w:val="21"/>
        </w:rPr>
        <w:t>组成</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4871"/>
        <w:gridCol w:w="4416"/>
      </w:tblGrid>
      <w:tr w14:paraId="3D902D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58B6229F">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物种</w:t>
            </w:r>
          </w:p>
        </w:tc>
        <w:tc>
          <w:tcPr>
            <w:tcW w:w="2377" w:type="pct"/>
            <w:tcBorders>
              <w:tl2br w:val="nil"/>
              <w:tr2bl w:val="nil"/>
            </w:tcBorders>
            <w:noWrap w:val="0"/>
            <w:vAlign w:val="center"/>
          </w:tcPr>
          <w:p w14:paraId="790EBC6C">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物种</w:t>
            </w:r>
          </w:p>
        </w:tc>
      </w:tr>
      <w:tr w14:paraId="0693628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top"/>
          </w:tcPr>
          <w:p w14:paraId="2A47D530">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Ⅰ鲱形目Clupeiformes</w:t>
            </w:r>
          </w:p>
        </w:tc>
        <w:tc>
          <w:tcPr>
            <w:tcW w:w="2377" w:type="pct"/>
            <w:tcBorders>
              <w:tl2br w:val="nil"/>
              <w:tr2bl w:val="nil"/>
            </w:tcBorders>
            <w:noWrap w:val="0"/>
            <w:vAlign w:val="center"/>
          </w:tcPr>
          <w:p w14:paraId="573CDFD9">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b/>
                <w:color w:val="auto"/>
                <w:kern w:val="0"/>
                <w:sz w:val="21"/>
                <w:szCs w:val="21"/>
                <w:lang w:bidi="ar"/>
              </w:rPr>
              <w:t>14鳙属</w:t>
            </w:r>
            <w:r>
              <w:rPr>
                <w:rFonts w:hint="default" w:ascii="Times New Roman" w:hAnsi="Times New Roman" w:eastAsia="宋体"/>
                <w:b/>
                <w:i/>
                <w:iCs/>
                <w:color w:val="auto"/>
                <w:kern w:val="0"/>
                <w:sz w:val="21"/>
                <w:szCs w:val="21"/>
                <w:lang w:bidi="ar"/>
              </w:rPr>
              <w:t>Aristichthys</w:t>
            </w:r>
          </w:p>
        </w:tc>
      </w:tr>
      <w:tr w14:paraId="7A8CDD9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top"/>
          </w:tcPr>
          <w:p w14:paraId="6F7EE414">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一、鳀科Engraulidae</w:t>
            </w:r>
          </w:p>
        </w:tc>
        <w:tc>
          <w:tcPr>
            <w:tcW w:w="2377" w:type="pct"/>
            <w:tcBorders>
              <w:tl2br w:val="nil"/>
              <w:tr2bl w:val="nil"/>
            </w:tcBorders>
            <w:noWrap w:val="0"/>
            <w:vAlign w:val="center"/>
          </w:tcPr>
          <w:p w14:paraId="1DAF80F0">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(17)鳙</w:t>
            </w:r>
            <w:r>
              <w:rPr>
                <w:rFonts w:hint="default" w:ascii="Times New Roman" w:hAnsi="Times New Roman" w:eastAsia="宋体"/>
                <w:i/>
                <w:iCs/>
                <w:color w:val="auto"/>
                <w:kern w:val="0"/>
                <w:sz w:val="21"/>
                <w:szCs w:val="21"/>
                <w:lang w:bidi="ar"/>
              </w:rPr>
              <w:t>Aristichthys nobilis</w:t>
            </w:r>
          </w:p>
        </w:tc>
      </w:tr>
      <w:tr w14:paraId="7A6D3B6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top"/>
          </w:tcPr>
          <w:p w14:paraId="73D6AA6B">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1鲚属</w:t>
            </w:r>
            <w:r>
              <w:rPr>
                <w:rFonts w:hint="default" w:ascii="Times New Roman" w:hAnsi="Times New Roman" w:eastAsia="宋体"/>
                <w:b/>
                <w:bCs/>
                <w:i/>
                <w:iCs/>
                <w:color w:val="auto"/>
                <w:kern w:val="0"/>
                <w:sz w:val="21"/>
                <w:szCs w:val="21"/>
                <w:lang w:bidi="ar"/>
              </w:rPr>
              <w:t>Coilia</w:t>
            </w:r>
          </w:p>
        </w:tc>
        <w:tc>
          <w:tcPr>
            <w:tcW w:w="2377" w:type="pct"/>
            <w:tcBorders>
              <w:tl2br w:val="nil"/>
              <w:tr2bl w:val="nil"/>
            </w:tcBorders>
            <w:noWrap w:val="0"/>
            <w:vAlign w:val="center"/>
          </w:tcPr>
          <w:p w14:paraId="685301F9">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15鱊属</w:t>
            </w:r>
            <w:r>
              <w:rPr>
                <w:rFonts w:hint="default" w:ascii="Times New Roman" w:hAnsi="Times New Roman" w:eastAsia="宋体"/>
                <w:b/>
                <w:i/>
                <w:iCs/>
                <w:color w:val="auto"/>
                <w:kern w:val="0"/>
                <w:sz w:val="21"/>
                <w:szCs w:val="21"/>
                <w:lang w:bidi="ar"/>
              </w:rPr>
              <w:t>Acheilognathus</w:t>
            </w:r>
          </w:p>
        </w:tc>
      </w:tr>
      <w:tr w14:paraId="6B10EC8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7A86BE8F">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(1)刀鲚</w:t>
            </w:r>
            <w:r>
              <w:rPr>
                <w:rFonts w:hint="default" w:ascii="Times New Roman" w:hAnsi="Times New Roman" w:eastAsia="宋体"/>
                <w:i/>
                <w:iCs/>
                <w:color w:val="auto"/>
                <w:kern w:val="0"/>
                <w:sz w:val="21"/>
                <w:szCs w:val="21"/>
                <w:lang w:bidi="ar"/>
              </w:rPr>
              <w:t>Coilia nasus</w:t>
            </w:r>
          </w:p>
        </w:tc>
        <w:tc>
          <w:tcPr>
            <w:tcW w:w="2377" w:type="pct"/>
            <w:tcBorders>
              <w:tl2br w:val="nil"/>
              <w:tr2bl w:val="nil"/>
            </w:tcBorders>
            <w:noWrap w:val="0"/>
            <w:vAlign w:val="center"/>
          </w:tcPr>
          <w:p w14:paraId="331D2FD6">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color w:val="auto"/>
                <w:kern w:val="0"/>
                <w:sz w:val="21"/>
                <w:szCs w:val="21"/>
                <w:lang w:bidi="ar"/>
              </w:rPr>
              <w:t>(18)大鳍鱊</w:t>
            </w:r>
            <w:r>
              <w:rPr>
                <w:rFonts w:hint="default" w:ascii="Times New Roman" w:hAnsi="Times New Roman" w:eastAsia="宋体"/>
                <w:i/>
                <w:iCs/>
                <w:color w:val="auto"/>
                <w:kern w:val="0"/>
                <w:sz w:val="21"/>
                <w:szCs w:val="21"/>
                <w:lang w:bidi="ar"/>
              </w:rPr>
              <w:t>Acheilognathus macropterus</w:t>
            </w:r>
          </w:p>
        </w:tc>
      </w:tr>
      <w:tr w14:paraId="6707EC3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6F5D663A">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Ⅱ合鳃鱼目</w:t>
            </w:r>
            <w:r>
              <w:rPr>
                <w:rFonts w:hint="default" w:ascii="Times New Roman" w:hAnsi="Times New Roman" w:eastAsia="宋体"/>
                <w:b/>
                <w:i/>
                <w:iCs/>
                <w:color w:val="auto"/>
                <w:kern w:val="0"/>
                <w:sz w:val="21"/>
                <w:szCs w:val="21"/>
                <w:lang w:bidi="ar"/>
              </w:rPr>
              <w:t>Symbranchiformes</w:t>
            </w:r>
          </w:p>
        </w:tc>
        <w:tc>
          <w:tcPr>
            <w:tcW w:w="2377" w:type="pct"/>
            <w:tcBorders>
              <w:tl2br w:val="nil"/>
              <w:tr2bl w:val="nil"/>
            </w:tcBorders>
            <w:noWrap w:val="0"/>
            <w:vAlign w:val="center"/>
          </w:tcPr>
          <w:p w14:paraId="014E1762">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Cs/>
                <w:color w:val="auto"/>
                <w:kern w:val="0"/>
                <w:sz w:val="21"/>
                <w:szCs w:val="21"/>
                <w:lang w:bidi="ar"/>
              </w:rPr>
              <w:t>(19)兴凯鱊</w:t>
            </w:r>
            <w:r>
              <w:rPr>
                <w:rFonts w:hint="default" w:ascii="Times New Roman" w:hAnsi="Times New Roman" w:eastAsia="宋体"/>
                <w:bCs/>
                <w:i/>
                <w:iCs/>
                <w:color w:val="auto"/>
                <w:kern w:val="0"/>
                <w:sz w:val="21"/>
                <w:szCs w:val="21"/>
                <w:lang w:bidi="ar"/>
              </w:rPr>
              <w:t>Acheilognathus chankaensis</w:t>
            </w:r>
          </w:p>
        </w:tc>
      </w:tr>
      <w:tr w14:paraId="4A21ED3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1456C14B">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二、刺鳅科Mastacembelidae</w:t>
            </w:r>
          </w:p>
        </w:tc>
        <w:tc>
          <w:tcPr>
            <w:tcW w:w="2377" w:type="pct"/>
            <w:tcBorders>
              <w:tl2br w:val="nil"/>
              <w:tr2bl w:val="nil"/>
            </w:tcBorders>
            <w:noWrap w:val="0"/>
            <w:vAlign w:val="center"/>
          </w:tcPr>
          <w:p w14:paraId="39CD8F2C">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四、鳅科Cobitidae</w:t>
            </w:r>
          </w:p>
        </w:tc>
      </w:tr>
      <w:tr w14:paraId="19BA7C4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77AC26AA">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2中华刺鳅属</w:t>
            </w:r>
            <w:r>
              <w:rPr>
                <w:rFonts w:hint="default" w:ascii="Times New Roman" w:hAnsi="Times New Roman" w:eastAsia="宋体"/>
                <w:b/>
                <w:i/>
                <w:iCs/>
                <w:color w:val="auto"/>
                <w:kern w:val="0"/>
                <w:sz w:val="21"/>
                <w:szCs w:val="21"/>
                <w:lang w:bidi="ar"/>
              </w:rPr>
              <w:t>Sinobdella</w:t>
            </w:r>
          </w:p>
        </w:tc>
        <w:tc>
          <w:tcPr>
            <w:tcW w:w="2377" w:type="pct"/>
            <w:tcBorders>
              <w:tl2br w:val="nil"/>
              <w:tr2bl w:val="nil"/>
            </w:tcBorders>
            <w:noWrap w:val="0"/>
            <w:vAlign w:val="center"/>
          </w:tcPr>
          <w:p w14:paraId="645C3930">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b/>
                <w:color w:val="auto"/>
                <w:kern w:val="0"/>
                <w:sz w:val="21"/>
                <w:szCs w:val="21"/>
                <w:lang w:bidi="ar"/>
              </w:rPr>
              <w:t>16泥鳅属</w:t>
            </w:r>
            <w:r>
              <w:rPr>
                <w:rFonts w:hint="default" w:ascii="Times New Roman" w:hAnsi="Times New Roman" w:eastAsia="宋体"/>
                <w:b/>
                <w:i/>
                <w:iCs/>
                <w:color w:val="auto"/>
                <w:kern w:val="0"/>
                <w:sz w:val="21"/>
                <w:szCs w:val="21"/>
                <w:lang w:bidi="ar"/>
              </w:rPr>
              <w:t>Misgurnus</w:t>
            </w:r>
          </w:p>
        </w:tc>
      </w:tr>
      <w:tr w14:paraId="06ACAC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08B05A85">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color w:val="auto"/>
                <w:kern w:val="0"/>
                <w:sz w:val="21"/>
                <w:szCs w:val="21"/>
                <w:lang w:bidi="ar"/>
              </w:rPr>
              <w:t>(2)中华刺鳅</w:t>
            </w:r>
            <w:r>
              <w:rPr>
                <w:rFonts w:hint="default" w:ascii="Times New Roman" w:hAnsi="Times New Roman" w:eastAsia="宋体"/>
                <w:i/>
                <w:iCs/>
                <w:color w:val="auto"/>
                <w:kern w:val="0"/>
                <w:sz w:val="21"/>
                <w:szCs w:val="21"/>
                <w:lang w:bidi="ar"/>
              </w:rPr>
              <w:t>Sinobdella sinensis</w:t>
            </w:r>
          </w:p>
        </w:tc>
        <w:tc>
          <w:tcPr>
            <w:tcW w:w="2377" w:type="pct"/>
            <w:tcBorders>
              <w:tl2br w:val="nil"/>
              <w:tr2bl w:val="nil"/>
            </w:tcBorders>
            <w:noWrap w:val="0"/>
            <w:vAlign w:val="center"/>
          </w:tcPr>
          <w:p w14:paraId="26B208C7">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color w:val="auto"/>
                <w:kern w:val="0"/>
                <w:sz w:val="21"/>
                <w:szCs w:val="21"/>
                <w:lang w:bidi="ar"/>
              </w:rPr>
              <w:t>(20)泥鳅</w:t>
            </w:r>
            <w:r>
              <w:rPr>
                <w:rFonts w:hint="default" w:ascii="Times New Roman" w:hAnsi="Times New Roman" w:eastAsia="宋体"/>
                <w:i/>
                <w:iCs/>
                <w:color w:val="auto"/>
                <w:kern w:val="0"/>
                <w:sz w:val="21"/>
                <w:szCs w:val="21"/>
                <w:lang w:bidi="ar"/>
              </w:rPr>
              <w:t>Misgurnus</w:t>
            </w:r>
            <w:r>
              <w:rPr>
                <w:rFonts w:hint="default" w:ascii="Times New Roman" w:hAnsi="Times New Roman" w:eastAsia="宋体"/>
                <w:color w:val="auto"/>
                <w:kern w:val="0"/>
                <w:sz w:val="21"/>
                <w:szCs w:val="21"/>
                <w:lang w:bidi="ar"/>
              </w:rPr>
              <w:t xml:space="preserve"> </w:t>
            </w:r>
            <w:r>
              <w:rPr>
                <w:rFonts w:hint="default" w:ascii="Times New Roman" w:hAnsi="Times New Roman" w:eastAsia="宋体"/>
                <w:i/>
                <w:iCs/>
                <w:color w:val="auto"/>
                <w:kern w:val="0"/>
                <w:sz w:val="21"/>
                <w:szCs w:val="21"/>
                <w:lang w:bidi="ar"/>
              </w:rPr>
              <w:t>anguillicaudatus</w:t>
            </w:r>
          </w:p>
        </w:tc>
      </w:tr>
      <w:tr w14:paraId="698C75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7E281AE0">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Ⅲ鲤形目</w:t>
            </w:r>
            <w:r>
              <w:rPr>
                <w:rFonts w:hint="default" w:ascii="Times New Roman" w:hAnsi="Times New Roman" w:eastAsia="宋体"/>
                <w:b/>
                <w:i/>
                <w:iCs/>
                <w:color w:val="auto"/>
                <w:kern w:val="0"/>
                <w:sz w:val="21"/>
                <w:szCs w:val="21"/>
                <w:lang w:bidi="ar"/>
              </w:rPr>
              <w:t>Cypriniformes</w:t>
            </w:r>
          </w:p>
        </w:tc>
        <w:tc>
          <w:tcPr>
            <w:tcW w:w="2377" w:type="pct"/>
            <w:tcBorders>
              <w:tl2br w:val="nil"/>
              <w:tr2bl w:val="nil"/>
            </w:tcBorders>
            <w:noWrap w:val="0"/>
            <w:vAlign w:val="center"/>
          </w:tcPr>
          <w:p w14:paraId="27CE8E40">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b/>
                <w:bCs/>
                <w:color w:val="auto"/>
                <w:kern w:val="0"/>
                <w:sz w:val="21"/>
                <w:szCs w:val="21"/>
                <w:lang w:bidi="ar"/>
              </w:rPr>
              <w:t xml:space="preserve">17副泥鳅属 </w:t>
            </w:r>
            <w:r>
              <w:rPr>
                <w:rFonts w:hint="default" w:ascii="Times New Roman" w:hAnsi="Times New Roman" w:eastAsia="宋体"/>
                <w:b/>
                <w:bCs/>
                <w:i/>
                <w:iCs/>
                <w:color w:val="auto"/>
                <w:kern w:val="0"/>
                <w:sz w:val="21"/>
                <w:szCs w:val="21"/>
                <w:lang w:bidi="ar"/>
              </w:rPr>
              <w:t>Paramisgurnus</w:t>
            </w:r>
          </w:p>
        </w:tc>
      </w:tr>
      <w:tr w14:paraId="65011C3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6703B479">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三、鲤科Cyprinidae</w:t>
            </w:r>
          </w:p>
        </w:tc>
        <w:tc>
          <w:tcPr>
            <w:tcW w:w="2377" w:type="pct"/>
            <w:tcBorders>
              <w:tl2br w:val="nil"/>
              <w:tr2bl w:val="nil"/>
            </w:tcBorders>
            <w:noWrap w:val="0"/>
            <w:vAlign w:val="center"/>
          </w:tcPr>
          <w:p w14:paraId="0B12B72D">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(21)大鳞副泥鳅</w:t>
            </w:r>
            <w:r>
              <w:rPr>
                <w:rFonts w:hint="default" w:ascii="Times New Roman" w:hAnsi="Times New Roman" w:eastAsia="宋体"/>
                <w:i/>
                <w:iCs/>
                <w:color w:val="auto"/>
                <w:kern w:val="0"/>
                <w:sz w:val="21"/>
                <w:szCs w:val="21"/>
                <w:lang w:bidi="ar"/>
              </w:rPr>
              <w:t xml:space="preserve"> Paramisgurnus dabryanus</w:t>
            </w:r>
          </w:p>
        </w:tc>
      </w:tr>
      <w:tr w14:paraId="4A93FB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708989AC">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3鲌属</w:t>
            </w:r>
            <w:r>
              <w:rPr>
                <w:rFonts w:hint="default" w:ascii="Times New Roman" w:hAnsi="Times New Roman" w:eastAsia="宋体"/>
                <w:b/>
                <w:i/>
                <w:iCs/>
                <w:color w:val="auto"/>
                <w:kern w:val="0"/>
                <w:sz w:val="21"/>
                <w:szCs w:val="21"/>
                <w:lang w:bidi="ar"/>
              </w:rPr>
              <w:t>Culter</w:t>
            </w:r>
          </w:p>
        </w:tc>
        <w:tc>
          <w:tcPr>
            <w:tcW w:w="2377" w:type="pct"/>
            <w:tcBorders>
              <w:tl2br w:val="nil"/>
              <w:tr2bl w:val="nil"/>
            </w:tcBorders>
            <w:noWrap w:val="0"/>
            <w:vAlign w:val="top"/>
          </w:tcPr>
          <w:p w14:paraId="6B817DDB">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bCs/>
                <w:color w:val="auto"/>
                <w:kern w:val="0"/>
                <w:sz w:val="21"/>
                <w:szCs w:val="21"/>
                <w:lang w:bidi="ar"/>
              </w:rPr>
              <w:t>Ⅳ鲈形目Perciformes</w:t>
            </w:r>
          </w:p>
        </w:tc>
      </w:tr>
      <w:tr w14:paraId="1660D60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23CC70C8">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(3)达氏鲌</w:t>
            </w:r>
            <w:r>
              <w:rPr>
                <w:rFonts w:hint="default" w:ascii="Times New Roman" w:hAnsi="Times New Roman" w:eastAsia="宋体"/>
                <w:i/>
                <w:iCs/>
                <w:color w:val="auto"/>
                <w:kern w:val="0"/>
                <w:sz w:val="21"/>
                <w:szCs w:val="21"/>
                <w:lang w:bidi="ar"/>
              </w:rPr>
              <w:t>Culter dabryi</w:t>
            </w:r>
          </w:p>
        </w:tc>
        <w:tc>
          <w:tcPr>
            <w:tcW w:w="2377" w:type="pct"/>
            <w:tcBorders>
              <w:tl2br w:val="nil"/>
              <w:tr2bl w:val="nil"/>
            </w:tcBorders>
            <w:noWrap w:val="0"/>
            <w:vAlign w:val="top"/>
          </w:tcPr>
          <w:p w14:paraId="73644B61">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五、鮨科Serranidae</w:t>
            </w:r>
          </w:p>
        </w:tc>
      </w:tr>
      <w:tr w14:paraId="2E0099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58C83D91">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(4)蒙古鲌</w:t>
            </w:r>
            <w:r>
              <w:rPr>
                <w:rFonts w:hint="default" w:ascii="Times New Roman" w:hAnsi="Times New Roman" w:eastAsia="宋体"/>
                <w:i/>
                <w:iCs/>
                <w:color w:val="auto"/>
                <w:kern w:val="0"/>
                <w:sz w:val="21"/>
                <w:szCs w:val="21"/>
                <w:lang w:bidi="ar"/>
              </w:rPr>
              <w:t>Culter monggolicus</w:t>
            </w:r>
          </w:p>
        </w:tc>
        <w:tc>
          <w:tcPr>
            <w:tcW w:w="2377" w:type="pct"/>
            <w:tcBorders>
              <w:tl2br w:val="nil"/>
              <w:tr2bl w:val="nil"/>
            </w:tcBorders>
            <w:noWrap w:val="0"/>
            <w:vAlign w:val="top"/>
          </w:tcPr>
          <w:p w14:paraId="28B36702">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bCs/>
                <w:color w:val="auto"/>
                <w:kern w:val="0"/>
                <w:sz w:val="21"/>
                <w:szCs w:val="21"/>
              </w:rPr>
            </w:pPr>
            <w:r>
              <w:rPr>
                <w:rFonts w:hint="default" w:ascii="Times New Roman" w:hAnsi="Times New Roman" w:eastAsia="宋体"/>
                <w:b/>
                <w:color w:val="auto"/>
                <w:kern w:val="0"/>
                <w:sz w:val="21"/>
                <w:szCs w:val="21"/>
                <w:lang w:bidi="ar"/>
              </w:rPr>
              <w:t>18鳜属</w:t>
            </w:r>
            <w:r>
              <w:rPr>
                <w:rFonts w:hint="default" w:ascii="Times New Roman" w:hAnsi="Times New Roman" w:eastAsia="宋体"/>
                <w:b/>
                <w:i/>
                <w:iCs/>
                <w:color w:val="auto"/>
                <w:kern w:val="0"/>
                <w:sz w:val="21"/>
                <w:szCs w:val="21"/>
                <w:lang w:bidi="ar"/>
              </w:rPr>
              <w:t>Siniperca</w:t>
            </w:r>
          </w:p>
        </w:tc>
      </w:tr>
      <w:tr w14:paraId="5E436E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03406CF6">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(5)翘嘴鲌</w:t>
            </w:r>
            <w:r>
              <w:rPr>
                <w:rFonts w:hint="default" w:ascii="Times New Roman" w:hAnsi="Times New Roman" w:eastAsia="宋体"/>
                <w:i/>
                <w:iCs/>
                <w:color w:val="auto"/>
                <w:kern w:val="0"/>
                <w:sz w:val="21"/>
                <w:szCs w:val="21"/>
                <w:lang w:bidi="ar"/>
              </w:rPr>
              <w:t>Culter alburnus</w:t>
            </w:r>
          </w:p>
        </w:tc>
        <w:tc>
          <w:tcPr>
            <w:tcW w:w="2377" w:type="pct"/>
            <w:tcBorders>
              <w:tl2br w:val="nil"/>
              <w:tr2bl w:val="nil"/>
            </w:tcBorders>
            <w:noWrap w:val="0"/>
            <w:vAlign w:val="center"/>
          </w:tcPr>
          <w:p w14:paraId="26953D56">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bCs/>
                <w:color w:val="auto"/>
                <w:kern w:val="0"/>
                <w:sz w:val="21"/>
                <w:szCs w:val="21"/>
                <w:lang w:bidi="ar"/>
              </w:rPr>
              <w:t>(22)鳜</w:t>
            </w:r>
            <w:r>
              <w:rPr>
                <w:rFonts w:hint="default" w:ascii="Times New Roman" w:hAnsi="Times New Roman" w:eastAsia="宋体"/>
                <w:bCs/>
                <w:i/>
                <w:iCs/>
                <w:color w:val="auto"/>
                <w:kern w:val="0"/>
                <w:sz w:val="21"/>
                <w:szCs w:val="21"/>
                <w:lang w:bidi="ar"/>
              </w:rPr>
              <w:t>Siniperca chuatsi</w:t>
            </w:r>
          </w:p>
        </w:tc>
      </w:tr>
      <w:tr w14:paraId="3E9EB0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0CB957D5">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b/>
                <w:bCs/>
                <w:color w:val="auto"/>
                <w:kern w:val="0"/>
                <w:sz w:val="21"/>
                <w:szCs w:val="21"/>
                <w:lang w:bidi="ar"/>
              </w:rPr>
              <w:t>4 䱗属</w:t>
            </w:r>
            <w:r>
              <w:rPr>
                <w:rFonts w:hint="default" w:ascii="Times New Roman" w:hAnsi="Times New Roman" w:eastAsia="宋体"/>
                <w:b/>
                <w:bCs/>
                <w:i/>
                <w:iCs/>
                <w:color w:val="auto"/>
                <w:kern w:val="0"/>
                <w:sz w:val="21"/>
                <w:szCs w:val="21"/>
                <w:lang w:bidi="ar"/>
              </w:rPr>
              <w:t>Hemiculter</w:t>
            </w:r>
          </w:p>
        </w:tc>
        <w:tc>
          <w:tcPr>
            <w:tcW w:w="2377" w:type="pct"/>
            <w:tcBorders>
              <w:tl2br w:val="nil"/>
              <w:tr2bl w:val="nil"/>
            </w:tcBorders>
            <w:noWrap w:val="0"/>
            <w:vAlign w:val="top"/>
          </w:tcPr>
          <w:p w14:paraId="3B4290AA">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Ⅴ鲇形目Siluriformes</w:t>
            </w:r>
          </w:p>
        </w:tc>
      </w:tr>
      <w:tr w14:paraId="73EA89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top"/>
          </w:tcPr>
          <w:p w14:paraId="64E24BE6">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bCs/>
                <w:color w:val="auto"/>
                <w:kern w:val="0"/>
                <w:sz w:val="21"/>
                <w:szCs w:val="21"/>
              </w:rPr>
            </w:pPr>
            <w:r>
              <w:rPr>
                <w:rFonts w:hint="default" w:ascii="Times New Roman" w:hAnsi="Times New Roman" w:eastAsia="宋体"/>
                <w:color w:val="auto"/>
                <w:kern w:val="0"/>
                <w:sz w:val="21"/>
                <w:szCs w:val="21"/>
                <w:lang w:bidi="ar"/>
              </w:rPr>
              <w:t>(6)贝氏䱗</w:t>
            </w:r>
            <w:r>
              <w:rPr>
                <w:rFonts w:hint="default" w:ascii="Times New Roman" w:hAnsi="Times New Roman" w:eastAsia="宋体"/>
                <w:i/>
                <w:iCs/>
                <w:color w:val="auto"/>
                <w:kern w:val="0"/>
                <w:sz w:val="21"/>
                <w:szCs w:val="21"/>
                <w:lang w:bidi="ar"/>
              </w:rPr>
              <w:t>Hemiculter bleekeri</w:t>
            </w:r>
          </w:p>
        </w:tc>
        <w:tc>
          <w:tcPr>
            <w:tcW w:w="2377" w:type="pct"/>
            <w:tcBorders>
              <w:tl2br w:val="nil"/>
              <w:tr2bl w:val="nil"/>
            </w:tcBorders>
            <w:noWrap w:val="0"/>
            <w:vAlign w:val="top"/>
          </w:tcPr>
          <w:p w14:paraId="74BF5A25">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六、鲿科Bagridae</w:t>
            </w:r>
          </w:p>
        </w:tc>
      </w:tr>
      <w:tr w14:paraId="658A120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top"/>
          </w:tcPr>
          <w:p w14:paraId="5E714382">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(7)䱗</w:t>
            </w:r>
            <w:r>
              <w:rPr>
                <w:rFonts w:hint="default" w:ascii="Times New Roman" w:hAnsi="Times New Roman" w:eastAsia="宋体"/>
                <w:i/>
                <w:iCs/>
                <w:color w:val="auto"/>
                <w:kern w:val="0"/>
                <w:sz w:val="21"/>
                <w:szCs w:val="21"/>
                <w:lang w:bidi="ar"/>
              </w:rPr>
              <w:t>Hemiculter leucisculus</w:t>
            </w:r>
          </w:p>
        </w:tc>
        <w:tc>
          <w:tcPr>
            <w:tcW w:w="2377" w:type="pct"/>
            <w:tcBorders>
              <w:tl2br w:val="nil"/>
              <w:tr2bl w:val="nil"/>
            </w:tcBorders>
            <w:noWrap w:val="0"/>
            <w:vAlign w:val="center"/>
          </w:tcPr>
          <w:p w14:paraId="70EE56CF">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19黄颡鱼属</w:t>
            </w:r>
            <w:r>
              <w:rPr>
                <w:rFonts w:hint="default" w:ascii="Times New Roman" w:hAnsi="Times New Roman" w:eastAsia="宋体"/>
                <w:b/>
                <w:i/>
                <w:iCs/>
                <w:color w:val="auto"/>
                <w:kern w:val="0"/>
                <w:sz w:val="21"/>
                <w:szCs w:val="21"/>
                <w:lang w:bidi="ar"/>
              </w:rPr>
              <w:t>Pelteobagrus</w:t>
            </w:r>
          </w:p>
        </w:tc>
      </w:tr>
      <w:tr w14:paraId="06C8B7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0D4D30F9">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5 䱻属</w:t>
            </w:r>
            <w:r>
              <w:rPr>
                <w:rFonts w:hint="default" w:ascii="Times New Roman" w:hAnsi="Times New Roman" w:eastAsia="宋体"/>
                <w:b/>
                <w:bCs/>
                <w:i/>
                <w:iCs/>
                <w:color w:val="auto"/>
                <w:kern w:val="0"/>
                <w:sz w:val="21"/>
                <w:szCs w:val="21"/>
                <w:lang w:bidi="ar"/>
              </w:rPr>
              <w:t>Hemibarbus</w:t>
            </w:r>
          </w:p>
        </w:tc>
        <w:tc>
          <w:tcPr>
            <w:tcW w:w="2377" w:type="pct"/>
            <w:tcBorders>
              <w:tl2br w:val="nil"/>
              <w:tr2bl w:val="nil"/>
            </w:tcBorders>
            <w:noWrap w:val="0"/>
            <w:vAlign w:val="center"/>
          </w:tcPr>
          <w:p w14:paraId="7A4932DF">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Cs/>
                <w:color w:val="auto"/>
                <w:kern w:val="0"/>
                <w:sz w:val="21"/>
                <w:szCs w:val="21"/>
              </w:rPr>
            </w:pPr>
            <w:r>
              <w:rPr>
                <w:rFonts w:hint="default" w:ascii="Times New Roman" w:hAnsi="Times New Roman" w:eastAsia="宋体"/>
                <w:color w:val="auto"/>
                <w:kern w:val="0"/>
                <w:sz w:val="21"/>
                <w:szCs w:val="21"/>
                <w:lang w:bidi="ar"/>
              </w:rPr>
              <w:t>(23)黄颡鱼</w:t>
            </w:r>
            <w:r>
              <w:rPr>
                <w:rFonts w:hint="default" w:ascii="Times New Roman" w:hAnsi="Times New Roman" w:eastAsia="宋体"/>
                <w:bCs/>
                <w:i/>
                <w:iCs/>
                <w:color w:val="auto"/>
                <w:kern w:val="0"/>
                <w:sz w:val="21"/>
                <w:szCs w:val="21"/>
                <w:lang w:bidi="ar"/>
              </w:rPr>
              <w:t>Pelteobagrus fulvidraco</w:t>
            </w:r>
          </w:p>
        </w:tc>
      </w:tr>
      <w:tr w14:paraId="2AE190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3C65BCAA">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(8)花䱻</w:t>
            </w:r>
            <w:r>
              <w:rPr>
                <w:rFonts w:hint="default" w:ascii="Times New Roman" w:hAnsi="Times New Roman" w:eastAsia="宋体"/>
                <w:i/>
                <w:iCs/>
                <w:color w:val="auto"/>
                <w:kern w:val="0"/>
                <w:sz w:val="21"/>
                <w:szCs w:val="21"/>
                <w:lang w:bidi="ar"/>
              </w:rPr>
              <w:t>Hemibarbus</w:t>
            </w:r>
            <w:r>
              <w:rPr>
                <w:rFonts w:hint="default" w:ascii="Times New Roman" w:hAnsi="Times New Roman" w:eastAsia="宋体"/>
                <w:i/>
                <w:color w:val="auto"/>
                <w:kern w:val="0"/>
                <w:sz w:val="21"/>
                <w:szCs w:val="21"/>
                <w:lang w:bidi="ar"/>
              </w:rPr>
              <w:t xml:space="preserve"> </w:t>
            </w:r>
            <w:r>
              <w:rPr>
                <w:rFonts w:hint="default" w:ascii="Times New Roman" w:hAnsi="Times New Roman" w:eastAsia="宋体"/>
                <w:i/>
                <w:iCs/>
                <w:color w:val="auto"/>
                <w:kern w:val="0"/>
                <w:sz w:val="21"/>
                <w:szCs w:val="21"/>
                <w:lang w:bidi="ar"/>
              </w:rPr>
              <w:t>maculatus</w:t>
            </w:r>
          </w:p>
        </w:tc>
        <w:tc>
          <w:tcPr>
            <w:tcW w:w="2377" w:type="pct"/>
            <w:tcBorders>
              <w:tl2br w:val="nil"/>
              <w:tr2bl w:val="nil"/>
            </w:tcBorders>
            <w:noWrap w:val="0"/>
            <w:vAlign w:val="center"/>
          </w:tcPr>
          <w:p w14:paraId="5B2D99DE">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bCs/>
                <w:color w:val="auto"/>
                <w:kern w:val="0"/>
                <w:sz w:val="21"/>
                <w:szCs w:val="21"/>
              </w:rPr>
            </w:pPr>
            <w:r>
              <w:rPr>
                <w:rFonts w:hint="default" w:ascii="Times New Roman" w:hAnsi="Times New Roman" w:eastAsia="宋体"/>
                <w:color w:val="auto"/>
                <w:kern w:val="0"/>
                <w:sz w:val="21"/>
                <w:szCs w:val="21"/>
                <w:lang w:bidi="ar"/>
              </w:rPr>
              <w:t>(24)光泽黄颡鱼</w:t>
            </w:r>
            <w:r>
              <w:rPr>
                <w:rFonts w:hint="default" w:ascii="Times New Roman" w:hAnsi="Times New Roman" w:eastAsia="宋体"/>
                <w:i/>
                <w:iCs/>
                <w:color w:val="auto"/>
                <w:kern w:val="0"/>
                <w:sz w:val="21"/>
                <w:szCs w:val="21"/>
                <w:lang w:bidi="ar"/>
              </w:rPr>
              <w:t>Pelteobagrus nitidus</w:t>
            </w:r>
          </w:p>
        </w:tc>
      </w:tr>
      <w:tr w14:paraId="38A9D9D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7A6BB34D">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6鲫属</w:t>
            </w:r>
            <w:r>
              <w:rPr>
                <w:rFonts w:hint="default" w:ascii="Times New Roman" w:hAnsi="Times New Roman" w:eastAsia="宋体"/>
                <w:b/>
                <w:i/>
                <w:iCs/>
                <w:color w:val="auto"/>
                <w:kern w:val="0"/>
                <w:sz w:val="21"/>
                <w:szCs w:val="21"/>
                <w:lang w:bidi="ar"/>
              </w:rPr>
              <w:t>Carassius</w:t>
            </w:r>
          </w:p>
          <w:p w14:paraId="34470449">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(16)</w:t>
            </w:r>
          </w:p>
          <w:p w14:paraId="603C7AED">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p>
        </w:tc>
        <w:tc>
          <w:tcPr>
            <w:tcW w:w="2377" w:type="pct"/>
            <w:tcBorders>
              <w:tl2br w:val="nil"/>
              <w:tr2bl w:val="nil"/>
            </w:tcBorders>
            <w:noWrap w:val="0"/>
            <w:vAlign w:val="center"/>
          </w:tcPr>
          <w:p w14:paraId="79ADEFF2">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color w:val="auto"/>
                <w:kern w:val="0"/>
                <w:sz w:val="21"/>
                <w:szCs w:val="21"/>
                <w:lang w:bidi="ar"/>
              </w:rPr>
              <w:t>(25)瓦氏黄颡鱼</w:t>
            </w:r>
            <w:r>
              <w:rPr>
                <w:rFonts w:hint="default" w:ascii="Times New Roman" w:hAnsi="Times New Roman" w:eastAsia="宋体"/>
                <w:i/>
                <w:iCs/>
                <w:color w:val="auto"/>
                <w:kern w:val="0"/>
                <w:sz w:val="21"/>
                <w:szCs w:val="21"/>
                <w:lang w:bidi="ar"/>
              </w:rPr>
              <w:t>Pelteobagrus vachelli</w:t>
            </w:r>
          </w:p>
        </w:tc>
      </w:tr>
      <w:tr w14:paraId="73703E0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328B16E9">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color w:val="auto"/>
                <w:kern w:val="0"/>
                <w:sz w:val="21"/>
                <w:szCs w:val="21"/>
                <w:lang w:bidi="ar"/>
              </w:rPr>
              <w:t>(9)鲫</w:t>
            </w:r>
            <w:r>
              <w:rPr>
                <w:rFonts w:hint="default" w:ascii="Times New Roman" w:hAnsi="Times New Roman" w:eastAsia="宋体"/>
                <w:i/>
                <w:iCs/>
                <w:color w:val="auto"/>
                <w:kern w:val="0"/>
                <w:sz w:val="21"/>
                <w:szCs w:val="21"/>
                <w:lang w:bidi="ar"/>
              </w:rPr>
              <w:t>Carassius</w:t>
            </w:r>
            <w:r>
              <w:rPr>
                <w:rFonts w:hint="default" w:ascii="Times New Roman" w:hAnsi="Times New Roman" w:eastAsia="宋体"/>
                <w:i/>
                <w:color w:val="auto"/>
                <w:kern w:val="0"/>
                <w:sz w:val="21"/>
                <w:szCs w:val="21"/>
                <w:lang w:bidi="ar"/>
              </w:rPr>
              <w:t xml:space="preserve"> </w:t>
            </w:r>
            <w:r>
              <w:rPr>
                <w:rFonts w:hint="default" w:ascii="Times New Roman" w:hAnsi="Times New Roman" w:eastAsia="宋体"/>
                <w:i/>
                <w:iCs/>
                <w:color w:val="auto"/>
                <w:kern w:val="0"/>
                <w:sz w:val="21"/>
                <w:szCs w:val="21"/>
                <w:lang w:bidi="ar"/>
              </w:rPr>
              <w:t>auratus</w:t>
            </w:r>
          </w:p>
        </w:tc>
        <w:tc>
          <w:tcPr>
            <w:tcW w:w="2377" w:type="pct"/>
            <w:tcBorders>
              <w:tl2br w:val="nil"/>
              <w:tr2bl w:val="nil"/>
            </w:tcBorders>
            <w:noWrap w:val="0"/>
            <w:vAlign w:val="center"/>
          </w:tcPr>
          <w:p w14:paraId="6C11385C">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20拟鲿属</w:t>
            </w:r>
            <w:r>
              <w:rPr>
                <w:rFonts w:hint="default" w:ascii="Times New Roman" w:hAnsi="Times New Roman" w:eastAsia="宋体"/>
                <w:b/>
                <w:i/>
                <w:iCs/>
                <w:color w:val="auto"/>
                <w:kern w:val="0"/>
                <w:sz w:val="21"/>
                <w:szCs w:val="21"/>
                <w:lang w:bidi="ar"/>
              </w:rPr>
              <w:t>Pseudobagrus</w:t>
            </w:r>
          </w:p>
        </w:tc>
      </w:tr>
      <w:tr w14:paraId="79F19B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24E7D4AD">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7鲤属</w:t>
            </w:r>
            <w:r>
              <w:rPr>
                <w:rFonts w:hint="default" w:ascii="Times New Roman" w:hAnsi="Times New Roman" w:eastAsia="宋体"/>
                <w:b/>
                <w:i/>
                <w:iCs/>
                <w:color w:val="auto"/>
                <w:kern w:val="0"/>
                <w:sz w:val="21"/>
                <w:szCs w:val="21"/>
                <w:lang w:bidi="ar"/>
              </w:rPr>
              <w:t>Cyprinus</w:t>
            </w:r>
          </w:p>
        </w:tc>
        <w:tc>
          <w:tcPr>
            <w:tcW w:w="2377" w:type="pct"/>
            <w:tcBorders>
              <w:tl2br w:val="nil"/>
              <w:tr2bl w:val="nil"/>
            </w:tcBorders>
            <w:noWrap w:val="0"/>
            <w:vAlign w:val="center"/>
          </w:tcPr>
          <w:p w14:paraId="7B887103">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(26) 圆尾拟鲿</w:t>
            </w:r>
            <w:r>
              <w:rPr>
                <w:rFonts w:hint="default" w:ascii="Times New Roman" w:hAnsi="Times New Roman" w:eastAsia="宋体"/>
                <w:i/>
                <w:iCs/>
                <w:color w:val="auto"/>
                <w:kern w:val="0"/>
                <w:sz w:val="21"/>
                <w:szCs w:val="21"/>
                <w:lang w:bidi="ar"/>
              </w:rPr>
              <w:t>Pseudobagrus tenuis</w:t>
            </w:r>
          </w:p>
        </w:tc>
      </w:tr>
      <w:tr w14:paraId="0C85183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38C7B7E7">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color w:val="auto"/>
                <w:kern w:val="0"/>
                <w:sz w:val="21"/>
                <w:szCs w:val="21"/>
                <w:lang w:bidi="ar"/>
              </w:rPr>
              <w:t>(10)鲤</w:t>
            </w:r>
            <w:r>
              <w:rPr>
                <w:rFonts w:hint="default" w:ascii="Times New Roman" w:hAnsi="Times New Roman" w:eastAsia="宋体"/>
                <w:i/>
                <w:iCs/>
                <w:color w:val="auto"/>
                <w:kern w:val="0"/>
                <w:sz w:val="21"/>
                <w:szCs w:val="21"/>
                <w:lang w:bidi="ar"/>
              </w:rPr>
              <w:t>Cyprinus</w:t>
            </w:r>
            <w:r>
              <w:rPr>
                <w:rFonts w:hint="default" w:ascii="Times New Roman" w:hAnsi="Times New Roman" w:eastAsia="宋体"/>
                <w:i/>
                <w:color w:val="auto"/>
                <w:kern w:val="0"/>
                <w:sz w:val="21"/>
                <w:szCs w:val="21"/>
                <w:lang w:bidi="ar"/>
              </w:rPr>
              <w:t xml:space="preserve"> </w:t>
            </w:r>
            <w:r>
              <w:rPr>
                <w:rFonts w:hint="default" w:ascii="Times New Roman" w:hAnsi="Times New Roman" w:eastAsia="宋体"/>
                <w:i/>
                <w:iCs/>
                <w:color w:val="auto"/>
                <w:kern w:val="0"/>
                <w:sz w:val="21"/>
                <w:szCs w:val="21"/>
                <w:lang w:bidi="ar"/>
              </w:rPr>
              <w:t>carpio</w:t>
            </w:r>
          </w:p>
        </w:tc>
        <w:tc>
          <w:tcPr>
            <w:tcW w:w="2377" w:type="pct"/>
            <w:tcBorders>
              <w:tl2br w:val="nil"/>
              <w:tr2bl w:val="nil"/>
            </w:tcBorders>
            <w:noWrap w:val="0"/>
            <w:vAlign w:val="top"/>
          </w:tcPr>
          <w:p w14:paraId="1BF5E573">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21鲇属</w:t>
            </w:r>
            <w:r>
              <w:rPr>
                <w:rFonts w:hint="default" w:ascii="Times New Roman" w:hAnsi="Times New Roman" w:eastAsia="宋体"/>
                <w:b/>
                <w:i/>
                <w:iCs/>
                <w:color w:val="auto"/>
                <w:kern w:val="0"/>
                <w:sz w:val="21"/>
                <w:szCs w:val="21"/>
                <w:lang w:bidi="ar"/>
              </w:rPr>
              <w:t>Silurus</w:t>
            </w:r>
          </w:p>
        </w:tc>
      </w:tr>
      <w:tr w14:paraId="7D79FB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1CEE03B8">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8鲢属</w:t>
            </w:r>
            <w:r>
              <w:rPr>
                <w:rFonts w:hint="default" w:ascii="Times New Roman" w:hAnsi="Times New Roman" w:eastAsia="宋体"/>
                <w:b/>
                <w:i/>
                <w:iCs/>
                <w:color w:val="auto"/>
                <w:kern w:val="0"/>
                <w:sz w:val="21"/>
                <w:szCs w:val="21"/>
                <w:lang w:bidi="ar"/>
              </w:rPr>
              <w:t>Hypophthalmichthys</w:t>
            </w:r>
          </w:p>
        </w:tc>
        <w:tc>
          <w:tcPr>
            <w:tcW w:w="2377" w:type="pct"/>
            <w:tcBorders>
              <w:tl2br w:val="nil"/>
              <w:tr2bl w:val="nil"/>
            </w:tcBorders>
            <w:noWrap w:val="0"/>
            <w:vAlign w:val="top"/>
          </w:tcPr>
          <w:p w14:paraId="412E0E06">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Cs/>
                <w:color w:val="auto"/>
                <w:kern w:val="0"/>
                <w:sz w:val="21"/>
                <w:szCs w:val="21"/>
                <w:lang w:bidi="ar"/>
              </w:rPr>
              <w:t>(27)</w:t>
            </w:r>
            <w:r>
              <w:rPr>
                <w:rFonts w:hint="default" w:ascii="Times New Roman" w:hAnsi="Times New Roman" w:eastAsia="宋体"/>
                <w:color w:val="auto"/>
                <w:kern w:val="0"/>
                <w:sz w:val="21"/>
                <w:szCs w:val="21"/>
                <w:lang w:bidi="ar"/>
              </w:rPr>
              <w:t xml:space="preserve"> </w:t>
            </w:r>
            <w:r>
              <w:rPr>
                <w:rFonts w:hint="default" w:ascii="Times New Roman" w:hAnsi="Times New Roman" w:eastAsia="宋体"/>
                <w:bCs/>
                <w:color w:val="auto"/>
                <w:kern w:val="0"/>
                <w:sz w:val="21"/>
                <w:szCs w:val="21"/>
                <w:lang w:bidi="ar"/>
              </w:rPr>
              <w:t>鲇</w:t>
            </w:r>
            <w:r>
              <w:rPr>
                <w:rFonts w:hint="default" w:ascii="Times New Roman" w:hAnsi="Times New Roman" w:eastAsia="宋体"/>
                <w:bCs/>
                <w:i/>
                <w:iCs/>
                <w:color w:val="auto"/>
                <w:kern w:val="0"/>
                <w:sz w:val="21"/>
                <w:szCs w:val="21"/>
                <w:lang w:bidi="ar"/>
              </w:rPr>
              <w:t>Silurus asotus</w:t>
            </w:r>
          </w:p>
        </w:tc>
      </w:tr>
      <w:tr w14:paraId="5D9F5E8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5ED20206">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color w:val="auto"/>
                <w:kern w:val="0"/>
                <w:sz w:val="21"/>
                <w:szCs w:val="21"/>
                <w:lang w:bidi="ar"/>
              </w:rPr>
              <w:t>(11)鲢</w:t>
            </w:r>
            <w:r>
              <w:rPr>
                <w:rFonts w:hint="default" w:ascii="Times New Roman" w:hAnsi="Times New Roman" w:eastAsia="宋体"/>
                <w:i/>
                <w:iCs/>
                <w:color w:val="auto"/>
                <w:kern w:val="0"/>
                <w:sz w:val="21"/>
                <w:szCs w:val="21"/>
                <w:lang w:bidi="ar"/>
              </w:rPr>
              <w:t>Hypophthalmichthys molitrix</w:t>
            </w:r>
          </w:p>
        </w:tc>
        <w:tc>
          <w:tcPr>
            <w:tcW w:w="2377" w:type="pct"/>
            <w:tcBorders>
              <w:tl2br w:val="nil"/>
              <w:tr2bl w:val="nil"/>
            </w:tcBorders>
            <w:noWrap w:val="0"/>
            <w:vAlign w:val="center"/>
          </w:tcPr>
          <w:p w14:paraId="2FBF7432">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Ⅵ虾虎鱼目</w:t>
            </w:r>
            <w:r>
              <w:rPr>
                <w:rFonts w:hint="default" w:ascii="Times New Roman" w:hAnsi="Times New Roman" w:eastAsia="宋体"/>
                <w:b/>
                <w:i/>
                <w:iCs/>
                <w:color w:val="auto"/>
                <w:kern w:val="0"/>
                <w:sz w:val="21"/>
                <w:szCs w:val="21"/>
                <w:lang w:bidi="ar"/>
              </w:rPr>
              <w:t>Gobiiformes</w:t>
            </w:r>
          </w:p>
        </w:tc>
      </w:tr>
      <w:tr w14:paraId="3B47A58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69CBB71B">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9鳈属</w:t>
            </w:r>
            <w:r>
              <w:rPr>
                <w:rFonts w:hint="default" w:ascii="Times New Roman" w:hAnsi="Times New Roman" w:eastAsia="宋体"/>
                <w:b/>
                <w:i/>
                <w:iCs/>
                <w:color w:val="auto"/>
                <w:kern w:val="0"/>
                <w:sz w:val="21"/>
                <w:szCs w:val="21"/>
                <w:lang w:bidi="ar"/>
              </w:rPr>
              <w:t>Sarcocheilichthys</w:t>
            </w:r>
          </w:p>
        </w:tc>
        <w:tc>
          <w:tcPr>
            <w:tcW w:w="2377" w:type="pct"/>
            <w:tcBorders>
              <w:tl2br w:val="nil"/>
              <w:tr2bl w:val="nil"/>
            </w:tcBorders>
            <w:noWrap w:val="0"/>
            <w:vAlign w:val="center"/>
          </w:tcPr>
          <w:p w14:paraId="07979B9B">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七、虾虎鱼科Gobiidae</w:t>
            </w:r>
          </w:p>
        </w:tc>
      </w:tr>
      <w:tr w14:paraId="2E770FB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760E1C59">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color w:val="auto"/>
                <w:kern w:val="0"/>
                <w:sz w:val="21"/>
                <w:szCs w:val="21"/>
                <w:lang w:bidi="ar"/>
              </w:rPr>
              <w:t>(12)黑鳍鳈</w:t>
            </w:r>
            <w:r>
              <w:rPr>
                <w:rFonts w:hint="default" w:ascii="Times New Roman" w:hAnsi="Times New Roman" w:eastAsia="宋体"/>
                <w:i/>
                <w:iCs/>
                <w:color w:val="auto"/>
                <w:kern w:val="0"/>
                <w:sz w:val="21"/>
                <w:szCs w:val="21"/>
                <w:lang w:bidi="ar"/>
              </w:rPr>
              <w:t>Sarcocheilichthys</w:t>
            </w:r>
            <w:r>
              <w:rPr>
                <w:rFonts w:hint="default" w:ascii="Times New Roman" w:hAnsi="Times New Roman" w:eastAsia="宋体"/>
                <w:i/>
                <w:color w:val="auto"/>
                <w:kern w:val="0"/>
                <w:sz w:val="21"/>
                <w:szCs w:val="21"/>
                <w:lang w:bidi="ar"/>
              </w:rPr>
              <w:t xml:space="preserve"> </w:t>
            </w:r>
            <w:r>
              <w:rPr>
                <w:rFonts w:hint="default" w:ascii="Times New Roman" w:hAnsi="Times New Roman" w:eastAsia="宋体"/>
                <w:i/>
                <w:iCs/>
                <w:color w:val="auto"/>
                <w:kern w:val="0"/>
                <w:sz w:val="21"/>
                <w:szCs w:val="21"/>
                <w:lang w:bidi="ar"/>
              </w:rPr>
              <w:t>nigripinnis</w:t>
            </w:r>
          </w:p>
        </w:tc>
        <w:tc>
          <w:tcPr>
            <w:tcW w:w="2377" w:type="pct"/>
            <w:tcBorders>
              <w:tl2br w:val="nil"/>
              <w:tr2bl w:val="nil"/>
            </w:tcBorders>
            <w:noWrap w:val="0"/>
            <w:vAlign w:val="top"/>
          </w:tcPr>
          <w:p w14:paraId="3DB576F0">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bCs/>
                <w:color w:val="auto"/>
                <w:kern w:val="0"/>
                <w:sz w:val="21"/>
                <w:szCs w:val="21"/>
                <w:lang w:bidi="ar"/>
              </w:rPr>
              <w:t>22吻虾虎鱼属</w:t>
            </w:r>
            <w:r>
              <w:rPr>
                <w:rFonts w:hint="default" w:ascii="Times New Roman" w:hAnsi="Times New Roman" w:eastAsia="宋体"/>
                <w:b/>
                <w:bCs/>
                <w:i/>
                <w:iCs/>
                <w:color w:val="auto"/>
                <w:kern w:val="0"/>
                <w:sz w:val="21"/>
                <w:szCs w:val="21"/>
                <w:lang w:bidi="ar"/>
              </w:rPr>
              <w:t>Rhinogobius</w:t>
            </w:r>
          </w:p>
        </w:tc>
      </w:tr>
      <w:tr w14:paraId="6FF1F39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630B9B9A">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b/>
                <w:color w:val="auto"/>
                <w:kern w:val="0"/>
                <w:sz w:val="21"/>
                <w:szCs w:val="21"/>
                <w:lang w:bidi="ar"/>
              </w:rPr>
              <w:t>10蛇鮈属</w:t>
            </w:r>
            <w:r>
              <w:rPr>
                <w:rFonts w:hint="default" w:ascii="Times New Roman" w:hAnsi="Times New Roman" w:eastAsia="宋体"/>
                <w:b/>
                <w:i/>
                <w:iCs/>
                <w:color w:val="auto"/>
                <w:kern w:val="0"/>
                <w:sz w:val="21"/>
                <w:szCs w:val="21"/>
                <w:lang w:bidi="ar"/>
              </w:rPr>
              <w:t>Saurogobio</w:t>
            </w:r>
            <w:r>
              <w:rPr>
                <w:rFonts w:hint="default" w:ascii="Times New Roman" w:hAnsi="Times New Roman" w:eastAsia="宋体"/>
                <w:b/>
                <w:color w:val="auto"/>
                <w:kern w:val="0"/>
                <w:sz w:val="21"/>
                <w:szCs w:val="21"/>
                <w:lang w:bidi="ar"/>
              </w:rPr>
              <w:t> </w:t>
            </w:r>
          </w:p>
        </w:tc>
        <w:tc>
          <w:tcPr>
            <w:tcW w:w="2377" w:type="pct"/>
            <w:tcBorders>
              <w:tl2br w:val="nil"/>
              <w:tr2bl w:val="nil"/>
            </w:tcBorders>
            <w:noWrap w:val="0"/>
            <w:vAlign w:val="top"/>
          </w:tcPr>
          <w:p w14:paraId="10F9716A">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color w:val="auto"/>
                <w:kern w:val="0"/>
                <w:sz w:val="21"/>
                <w:szCs w:val="21"/>
                <w:lang w:bidi="ar"/>
              </w:rPr>
              <w:t>(28)子陵吻虾虎鱼</w:t>
            </w:r>
            <w:r>
              <w:rPr>
                <w:rFonts w:hint="default" w:ascii="Times New Roman" w:hAnsi="Times New Roman" w:eastAsia="宋体"/>
                <w:i/>
                <w:iCs/>
                <w:color w:val="auto"/>
                <w:kern w:val="0"/>
                <w:sz w:val="21"/>
                <w:szCs w:val="21"/>
                <w:lang w:bidi="ar"/>
              </w:rPr>
              <w:t>Rhinogobius giurinus</w:t>
            </w:r>
          </w:p>
        </w:tc>
      </w:tr>
      <w:tr w14:paraId="795D41F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14A95293">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(13)蛇鮈</w:t>
            </w:r>
            <w:r>
              <w:rPr>
                <w:rFonts w:hint="default" w:ascii="Times New Roman" w:hAnsi="Times New Roman" w:eastAsia="宋体"/>
                <w:i/>
                <w:iCs/>
                <w:color w:val="auto"/>
                <w:kern w:val="0"/>
                <w:sz w:val="21"/>
                <w:szCs w:val="21"/>
                <w:lang w:bidi="ar"/>
              </w:rPr>
              <w:t>Saurogobio</w:t>
            </w:r>
            <w:r>
              <w:rPr>
                <w:rFonts w:hint="default" w:ascii="Times New Roman" w:hAnsi="Times New Roman" w:eastAsia="宋体"/>
                <w:color w:val="auto"/>
                <w:kern w:val="0"/>
                <w:sz w:val="21"/>
                <w:szCs w:val="21"/>
                <w:lang w:bidi="ar"/>
              </w:rPr>
              <w:t xml:space="preserve"> </w:t>
            </w:r>
            <w:r>
              <w:rPr>
                <w:rFonts w:hint="default" w:ascii="Times New Roman" w:hAnsi="Times New Roman" w:eastAsia="宋体"/>
                <w:i/>
                <w:iCs/>
                <w:color w:val="auto"/>
                <w:kern w:val="0"/>
                <w:sz w:val="21"/>
                <w:szCs w:val="21"/>
                <w:lang w:bidi="ar"/>
              </w:rPr>
              <w:t>dabryi</w:t>
            </w:r>
          </w:p>
        </w:tc>
        <w:tc>
          <w:tcPr>
            <w:tcW w:w="2377" w:type="pct"/>
            <w:tcBorders>
              <w:tl2br w:val="nil"/>
              <w:tr2bl w:val="nil"/>
            </w:tcBorders>
            <w:noWrap w:val="0"/>
            <w:vAlign w:val="top"/>
          </w:tcPr>
          <w:p w14:paraId="2D1771AD">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bCs/>
                <w:color w:val="auto"/>
                <w:kern w:val="0"/>
                <w:sz w:val="21"/>
                <w:szCs w:val="21"/>
                <w:lang w:bidi="ar"/>
              </w:rPr>
              <w:t>(29)波氏吻虾虎鱼</w:t>
            </w:r>
            <w:r>
              <w:rPr>
                <w:rFonts w:hint="default" w:ascii="Times New Roman" w:hAnsi="Times New Roman" w:eastAsia="宋体"/>
                <w:bCs/>
                <w:i/>
                <w:iCs/>
                <w:color w:val="auto"/>
                <w:kern w:val="0"/>
                <w:sz w:val="21"/>
                <w:szCs w:val="21"/>
                <w:lang w:bidi="ar"/>
              </w:rPr>
              <w:t>Rhinogobius cliffordpopei</w:t>
            </w:r>
          </w:p>
        </w:tc>
      </w:tr>
      <w:tr w14:paraId="16742B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502D4435">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b/>
                <w:color w:val="auto"/>
                <w:kern w:val="0"/>
                <w:sz w:val="21"/>
                <w:szCs w:val="21"/>
                <w:lang w:bidi="ar"/>
              </w:rPr>
              <w:t>11似鳊属</w:t>
            </w:r>
            <w:r>
              <w:rPr>
                <w:rFonts w:hint="default" w:ascii="Times New Roman" w:hAnsi="Times New Roman" w:eastAsia="宋体"/>
                <w:b/>
                <w:i/>
                <w:iCs/>
                <w:color w:val="auto"/>
                <w:kern w:val="0"/>
                <w:sz w:val="21"/>
                <w:szCs w:val="21"/>
                <w:lang w:bidi="ar"/>
              </w:rPr>
              <w:t>Pseudobrama</w:t>
            </w:r>
          </w:p>
        </w:tc>
        <w:tc>
          <w:tcPr>
            <w:tcW w:w="2377" w:type="pct"/>
            <w:tcBorders>
              <w:tl2br w:val="nil"/>
              <w:tr2bl w:val="nil"/>
            </w:tcBorders>
            <w:noWrap w:val="0"/>
            <w:vAlign w:val="center"/>
          </w:tcPr>
          <w:p w14:paraId="2603A8AC">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23舌虾虎鱼属</w:t>
            </w:r>
            <w:r>
              <w:rPr>
                <w:rFonts w:hint="eastAsia"/>
                <w:b/>
                <w:color w:val="auto"/>
                <w:kern w:val="0"/>
                <w:sz w:val="21"/>
                <w:szCs w:val="21"/>
                <w:lang w:eastAsia="zh-CN" w:bidi="ar"/>
              </w:rPr>
              <w:t>Glossogobius</w:t>
            </w:r>
          </w:p>
        </w:tc>
      </w:tr>
      <w:tr w14:paraId="45C7AE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3C82AC60">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Cs/>
                <w:color w:val="auto"/>
                <w:kern w:val="0"/>
                <w:sz w:val="21"/>
                <w:szCs w:val="21"/>
                <w:lang w:bidi="ar"/>
              </w:rPr>
              <w:t>(14)似鳊</w:t>
            </w:r>
            <w:r>
              <w:rPr>
                <w:rFonts w:hint="default" w:ascii="Times New Roman" w:hAnsi="Times New Roman" w:eastAsia="宋体"/>
                <w:bCs/>
                <w:i/>
                <w:iCs/>
                <w:color w:val="auto"/>
                <w:kern w:val="0"/>
                <w:sz w:val="21"/>
                <w:szCs w:val="21"/>
                <w:lang w:bidi="ar"/>
              </w:rPr>
              <w:t>Pseudobrama simoni</w:t>
            </w:r>
          </w:p>
        </w:tc>
        <w:tc>
          <w:tcPr>
            <w:tcW w:w="2377" w:type="pct"/>
            <w:tcBorders>
              <w:tl2br w:val="nil"/>
              <w:tr2bl w:val="nil"/>
            </w:tcBorders>
            <w:noWrap w:val="0"/>
            <w:vAlign w:val="center"/>
          </w:tcPr>
          <w:p w14:paraId="257F9CE1">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Cs/>
                <w:color w:val="auto"/>
                <w:kern w:val="0"/>
                <w:sz w:val="21"/>
                <w:szCs w:val="21"/>
                <w:lang w:bidi="ar"/>
              </w:rPr>
              <w:t>(30)舌虾虎鱼</w:t>
            </w:r>
            <w:r>
              <w:rPr>
                <w:rFonts w:hint="default" w:ascii="Times New Roman" w:hAnsi="Times New Roman" w:eastAsia="宋体"/>
                <w:bCs/>
                <w:i/>
                <w:iCs/>
                <w:color w:val="auto"/>
                <w:kern w:val="0"/>
                <w:sz w:val="21"/>
                <w:szCs w:val="21"/>
                <w:lang w:bidi="ar"/>
              </w:rPr>
              <w:t>Glossogobius giuris</w:t>
            </w:r>
          </w:p>
        </w:tc>
      </w:tr>
      <w:tr w14:paraId="247CB8E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1DBE9622">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Cs/>
                <w:color w:val="auto"/>
                <w:kern w:val="0"/>
                <w:sz w:val="21"/>
                <w:szCs w:val="21"/>
              </w:rPr>
            </w:pPr>
            <w:r>
              <w:rPr>
                <w:rFonts w:hint="default" w:ascii="Times New Roman" w:hAnsi="Times New Roman" w:eastAsia="宋体"/>
                <w:b/>
                <w:color w:val="auto"/>
                <w:kern w:val="0"/>
                <w:sz w:val="21"/>
                <w:szCs w:val="21"/>
                <w:lang w:bidi="ar"/>
              </w:rPr>
              <w:t>12鳊属</w:t>
            </w:r>
            <w:r>
              <w:rPr>
                <w:rFonts w:hint="default" w:ascii="Times New Roman" w:hAnsi="Times New Roman" w:eastAsia="宋体"/>
                <w:b/>
                <w:i/>
                <w:iCs/>
                <w:color w:val="auto"/>
                <w:kern w:val="0"/>
                <w:sz w:val="21"/>
                <w:szCs w:val="21"/>
                <w:lang w:bidi="ar"/>
              </w:rPr>
              <w:t>Parabramis</w:t>
            </w:r>
          </w:p>
        </w:tc>
        <w:tc>
          <w:tcPr>
            <w:tcW w:w="2377" w:type="pct"/>
            <w:tcBorders>
              <w:tl2br w:val="nil"/>
              <w:tr2bl w:val="nil"/>
            </w:tcBorders>
            <w:noWrap w:val="0"/>
            <w:vAlign w:val="center"/>
          </w:tcPr>
          <w:p w14:paraId="641917DD">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bCs/>
                <w:color w:val="auto"/>
                <w:kern w:val="0"/>
                <w:sz w:val="21"/>
                <w:szCs w:val="21"/>
              </w:rPr>
            </w:pPr>
            <w:r>
              <w:rPr>
                <w:rFonts w:hint="default" w:ascii="Times New Roman" w:hAnsi="Times New Roman" w:eastAsia="宋体"/>
                <w:b/>
                <w:color w:val="auto"/>
                <w:kern w:val="0"/>
                <w:sz w:val="21"/>
                <w:szCs w:val="21"/>
                <w:lang w:bidi="ar"/>
              </w:rPr>
              <w:t>24缟虾虎鱼属</w:t>
            </w:r>
            <w:r>
              <w:rPr>
                <w:rFonts w:hint="default" w:ascii="Times New Roman" w:hAnsi="Times New Roman" w:eastAsia="宋体"/>
                <w:b/>
                <w:i/>
                <w:iCs/>
                <w:color w:val="auto"/>
                <w:kern w:val="0"/>
                <w:sz w:val="21"/>
                <w:szCs w:val="21"/>
                <w:lang w:bidi="ar"/>
              </w:rPr>
              <w:t>Tridentiger</w:t>
            </w:r>
          </w:p>
        </w:tc>
      </w:tr>
      <w:tr w14:paraId="4C22488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4D1ECC50">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color w:val="auto"/>
                <w:kern w:val="0"/>
                <w:sz w:val="21"/>
                <w:szCs w:val="21"/>
                <w:lang w:bidi="ar"/>
              </w:rPr>
              <w:t>(15)鳊</w:t>
            </w:r>
            <w:r>
              <w:rPr>
                <w:rFonts w:hint="default" w:ascii="Times New Roman" w:hAnsi="Times New Roman" w:eastAsia="宋体"/>
                <w:i/>
                <w:iCs/>
                <w:color w:val="auto"/>
                <w:kern w:val="0"/>
                <w:sz w:val="21"/>
                <w:szCs w:val="21"/>
                <w:lang w:bidi="ar"/>
              </w:rPr>
              <w:t>Parabramis pekinensis</w:t>
            </w:r>
          </w:p>
        </w:tc>
        <w:tc>
          <w:tcPr>
            <w:tcW w:w="2377" w:type="pct"/>
            <w:tcBorders>
              <w:tl2br w:val="nil"/>
              <w:tr2bl w:val="nil"/>
            </w:tcBorders>
            <w:noWrap w:val="0"/>
            <w:vAlign w:val="center"/>
          </w:tcPr>
          <w:p w14:paraId="36F12D6A">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Cs/>
                <w:color w:val="auto"/>
                <w:kern w:val="0"/>
                <w:sz w:val="21"/>
                <w:szCs w:val="21"/>
              </w:rPr>
            </w:pPr>
            <w:r>
              <w:rPr>
                <w:rFonts w:hint="default" w:ascii="Times New Roman" w:hAnsi="Times New Roman" w:eastAsia="宋体"/>
                <w:bCs/>
                <w:color w:val="auto"/>
                <w:kern w:val="0"/>
                <w:sz w:val="21"/>
                <w:szCs w:val="21"/>
                <w:lang w:bidi="ar"/>
              </w:rPr>
              <w:t>(31)纹缟虾虎鱼</w:t>
            </w:r>
            <w:r>
              <w:rPr>
                <w:rFonts w:hint="default" w:ascii="Times New Roman" w:hAnsi="Times New Roman" w:eastAsia="宋体"/>
                <w:bCs/>
                <w:i/>
                <w:iCs/>
                <w:color w:val="auto"/>
                <w:kern w:val="0"/>
                <w:sz w:val="21"/>
                <w:szCs w:val="21"/>
                <w:lang w:bidi="ar"/>
              </w:rPr>
              <w:t>Tridentiger trigonocephalus</w:t>
            </w:r>
          </w:p>
        </w:tc>
      </w:tr>
      <w:tr w14:paraId="277E09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0AC599A8">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b/>
                <w:color w:val="auto"/>
                <w:kern w:val="0"/>
                <w:sz w:val="21"/>
                <w:szCs w:val="21"/>
                <w:lang w:bidi="ar"/>
              </w:rPr>
              <w:t>13银鮈属</w:t>
            </w:r>
            <w:r>
              <w:rPr>
                <w:rFonts w:hint="default" w:ascii="Times New Roman" w:hAnsi="Times New Roman" w:eastAsia="宋体"/>
                <w:b/>
                <w:i/>
                <w:iCs/>
                <w:color w:val="auto"/>
                <w:kern w:val="0"/>
                <w:sz w:val="21"/>
                <w:szCs w:val="21"/>
                <w:lang w:bidi="ar"/>
              </w:rPr>
              <w:t>Squalidus</w:t>
            </w:r>
          </w:p>
        </w:tc>
        <w:tc>
          <w:tcPr>
            <w:tcW w:w="2377" w:type="pct"/>
            <w:tcBorders>
              <w:tl2br w:val="nil"/>
              <w:tr2bl w:val="nil"/>
            </w:tcBorders>
            <w:noWrap w:val="0"/>
            <w:vAlign w:val="center"/>
          </w:tcPr>
          <w:p w14:paraId="7880B112">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25鳗虾虎鱼属</w:t>
            </w:r>
            <w:r>
              <w:rPr>
                <w:rFonts w:hint="default" w:ascii="Times New Roman" w:hAnsi="Times New Roman" w:eastAsia="宋体"/>
                <w:b/>
                <w:i/>
                <w:iCs/>
                <w:color w:val="auto"/>
                <w:kern w:val="0"/>
                <w:sz w:val="21"/>
                <w:szCs w:val="21"/>
                <w:lang w:bidi="ar"/>
              </w:rPr>
              <w:t>Taenioides</w:t>
            </w:r>
          </w:p>
        </w:tc>
      </w:tr>
      <w:tr w14:paraId="52EF3F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622" w:type="pct"/>
            <w:tcBorders>
              <w:tl2br w:val="nil"/>
              <w:tr2bl w:val="nil"/>
            </w:tcBorders>
            <w:noWrap w:val="0"/>
            <w:vAlign w:val="center"/>
          </w:tcPr>
          <w:p w14:paraId="1AD10CEB">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(16)银鮈</w:t>
            </w:r>
            <w:r>
              <w:rPr>
                <w:rFonts w:hint="default" w:ascii="Times New Roman" w:hAnsi="Times New Roman" w:eastAsia="宋体"/>
                <w:i/>
                <w:iCs/>
                <w:color w:val="auto"/>
                <w:kern w:val="0"/>
                <w:sz w:val="21"/>
                <w:szCs w:val="21"/>
                <w:lang w:bidi="ar"/>
              </w:rPr>
              <w:t>Squalidus</w:t>
            </w:r>
            <w:r>
              <w:rPr>
                <w:rFonts w:hint="default" w:ascii="Times New Roman" w:hAnsi="Times New Roman" w:eastAsia="宋体"/>
                <w:color w:val="auto"/>
                <w:kern w:val="0"/>
                <w:sz w:val="21"/>
                <w:szCs w:val="21"/>
                <w:lang w:bidi="ar"/>
              </w:rPr>
              <w:t xml:space="preserve"> </w:t>
            </w:r>
            <w:r>
              <w:rPr>
                <w:rFonts w:hint="default" w:ascii="Times New Roman" w:hAnsi="Times New Roman" w:eastAsia="宋体"/>
                <w:i/>
                <w:iCs/>
                <w:color w:val="auto"/>
                <w:kern w:val="0"/>
                <w:sz w:val="21"/>
                <w:szCs w:val="21"/>
                <w:lang w:bidi="ar"/>
              </w:rPr>
              <w:t>argentatus</w:t>
            </w:r>
          </w:p>
        </w:tc>
        <w:tc>
          <w:tcPr>
            <w:tcW w:w="2377" w:type="pct"/>
            <w:tcBorders>
              <w:tl2br w:val="nil"/>
              <w:tr2bl w:val="nil"/>
            </w:tcBorders>
            <w:noWrap w:val="0"/>
            <w:vAlign w:val="center"/>
          </w:tcPr>
          <w:p w14:paraId="653A6FCE">
            <w:pPr>
              <w:keepNext w:val="0"/>
              <w:keepLines w:val="0"/>
              <w:widowControl/>
              <w:suppressLineNumbers w:val="0"/>
              <w:adjustRightInd w:val="0"/>
              <w:snapToGrid w:val="0"/>
              <w:spacing w:before="0" w:beforeAutospacing="0" w:after="0" w:afterAutospacing="0" w:line="300" w:lineRule="exact"/>
              <w:ind w:left="0" w:right="0"/>
              <w:rPr>
                <w:rFonts w:hint="default" w:ascii="Times New Roman" w:hAnsi="Times New Roman" w:eastAsia="宋体"/>
                <w:bCs/>
                <w:color w:val="auto"/>
                <w:kern w:val="0"/>
                <w:sz w:val="21"/>
                <w:szCs w:val="21"/>
              </w:rPr>
            </w:pPr>
            <w:r>
              <w:rPr>
                <w:rFonts w:hint="default" w:ascii="Times New Roman" w:hAnsi="Times New Roman" w:eastAsia="宋体"/>
                <w:bCs/>
                <w:color w:val="auto"/>
                <w:kern w:val="0"/>
                <w:sz w:val="21"/>
                <w:szCs w:val="21"/>
                <w:lang w:bidi="ar"/>
              </w:rPr>
              <w:t>(32)须鳗虾虎鱼</w:t>
            </w:r>
            <w:r>
              <w:rPr>
                <w:rFonts w:hint="default" w:ascii="Times New Roman" w:hAnsi="Times New Roman" w:eastAsia="宋体"/>
                <w:bCs/>
                <w:i/>
                <w:iCs/>
                <w:color w:val="auto"/>
                <w:kern w:val="0"/>
                <w:sz w:val="21"/>
                <w:szCs w:val="21"/>
                <w:lang w:bidi="ar"/>
              </w:rPr>
              <w:t>Taenioides cirratus</w:t>
            </w:r>
          </w:p>
        </w:tc>
      </w:tr>
    </w:tbl>
    <w:p w14:paraId="5786837E">
      <w:pPr>
        <w:adjustRightInd w:val="0"/>
        <w:spacing w:line="360" w:lineRule="auto"/>
        <w:jc w:val="center"/>
        <w:rPr>
          <w:rFonts w:ascii="Times New Roman" w:hAnsi="Times New Roman" w:eastAsia="仿宋"/>
          <w:color w:val="auto"/>
          <w:sz w:val="28"/>
          <w:szCs w:val="22"/>
        </w:rPr>
      </w:pPr>
      <w:r>
        <w:rPr>
          <w:rFonts w:hint="eastAsia" w:ascii="等线" w:hAnsi="等线" w:eastAsia="等线"/>
          <w:color w:val="auto"/>
          <w:sz w:val="21"/>
          <w:szCs w:val="22"/>
          <w:lang w:bidi="ar"/>
        </w:rPr>
        <w:object>
          <v:shape id="_x0000_i1039" o:spt="75" type="#_x0000_t75" style="height:192.35pt;width:367.65pt;" o:ole="t" filled="f" o:preferrelative="t" stroked="f" coordsize="21600,21600">
            <v:path/>
            <v:fill on="f" focussize="0,0"/>
            <v:stroke on="f"/>
            <v:imagedata r:id="rId141" cropbottom="-58f" o:title=""/>
            <o:lock v:ext="edit" aspectratio="f"/>
            <w10:wrap type="none"/>
            <w10:anchorlock/>
          </v:shape>
          <o:OLEObject Type="Embed" ProgID="Excel.Chart.8" ShapeID="_x0000_i1039" DrawAspect="Content" ObjectID="_1468075739" r:id="rId140">
            <o:LockedField>false</o:LockedField>
          </o:OLEObject>
        </w:object>
      </w:r>
    </w:p>
    <w:p w14:paraId="3804D99B">
      <w:pPr>
        <w:spacing w:line="400" w:lineRule="exact"/>
        <w:jc w:val="center"/>
        <w:rPr>
          <w:rFonts w:ascii="Times New Roman" w:hAnsi="Times New Roman" w:eastAsia="黑体" w:cs="Times New Roman"/>
          <w:color w:val="auto"/>
          <w:sz w:val="24"/>
          <w:szCs w:val="21"/>
        </w:rPr>
      </w:pPr>
      <w:r>
        <w:rPr>
          <w:rFonts w:hint="eastAsia" w:ascii="Times New Roman" w:hAnsi="Times New Roman" w:eastAsia="黑体" w:cs="Times New Roman"/>
          <w:color w:val="auto"/>
          <w:sz w:val="24"/>
          <w:szCs w:val="21"/>
        </w:rPr>
        <w:t>图</w:t>
      </w:r>
      <w:r>
        <w:rPr>
          <w:rFonts w:ascii="Times New Roman" w:hAnsi="Times New Roman" w:eastAsia="黑体" w:cs="Times New Roman"/>
          <w:color w:val="auto"/>
          <w:sz w:val="24"/>
          <w:szCs w:val="21"/>
        </w:rPr>
        <w:t>4.</w:t>
      </w:r>
      <w:r>
        <w:rPr>
          <w:rFonts w:hint="eastAsia" w:ascii="Times New Roman" w:hAnsi="Times New Roman" w:eastAsia="黑体" w:cs="Times New Roman"/>
          <w:color w:val="auto"/>
          <w:sz w:val="24"/>
          <w:szCs w:val="21"/>
          <w:lang w:val="en-US" w:eastAsia="zh-CN"/>
        </w:rPr>
        <w:t>2-35</w:t>
      </w:r>
      <w:r>
        <w:rPr>
          <w:rFonts w:ascii="Times New Roman" w:hAnsi="Times New Roman" w:eastAsia="黑体" w:cs="Times New Roman"/>
          <w:color w:val="auto"/>
          <w:sz w:val="24"/>
          <w:szCs w:val="21"/>
        </w:rPr>
        <w:t xml:space="preserve">  2024</w:t>
      </w:r>
      <w:r>
        <w:rPr>
          <w:rFonts w:hint="eastAsia" w:ascii="Times New Roman" w:hAnsi="Times New Roman" w:eastAsia="黑体" w:cs="Times New Roman"/>
          <w:color w:val="auto"/>
          <w:sz w:val="24"/>
          <w:szCs w:val="21"/>
        </w:rPr>
        <w:t>年工程区调查水域鱼类物种数空间特征</w:t>
      </w:r>
    </w:p>
    <w:p w14:paraId="7CE7BE36">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等线" w:cs="Times New Roman"/>
          <w:bCs/>
          <w:color w:val="auto"/>
          <w:kern w:val="2"/>
          <w:sz w:val="24"/>
          <w:szCs w:val="28"/>
          <w:lang w:val="en-US" w:eastAsia="zh-CN" w:bidi="ar-SA"/>
        </w:rPr>
        <w:t>4.2.6.1</w:t>
      </w:r>
      <w:r>
        <w:rPr>
          <w:rFonts w:hint="eastAsia" w:ascii="Times New Roman" w:hAnsi="Times New Roman" w:eastAsia="宋体" w:cs="Times New Roman"/>
          <w:bCs/>
          <w:color w:val="auto"/>
          <w:kern w:val="2"/>
          <w:sz w:val="24"/>
          <w:szCs w:val="28"/>
          <w:lang w:val="en-US" w:eastAsia="zh-CN" w:bidi="ar-SA"/>
        </w:rPr>
        <w:t>.3 群落结构</w:t>
      </w:r>
    </w:p>
    <w:p w14:paraId="27446AFF">
      <w:pPr>
        <w:spacing w:line="360" w:lineRule="auto"/>
        <w:ind w:firstLine="480" w:firstLineChars="200"/>
        <w:rPr>
          <w:rFonts w:ascii="Times New Roman" w:hAnsi="Times New Roman" w:eastAsia="宋体"/>
          <w:color w:val="auto"/>
          <w:sz w:val="24"/>
          <w:szCs w:val="28"/>
        </w:rPr>
      </w:pPr>
      <w:r>
        <w:rPr>
          <w:rFonts w:hint="eastAsia" w:ascii="Times New Roman" w:hAnsi="Times New Roman" w:eastAsia="宋体"/>
          <w:color w:val="auto"/>
          <w:sz w:val="24"/>
          <w:szCs w:val="28"/>
        </w:rPr>
        <w:t>调查共采集鱼类</w:t>
      </w:r>
      <w:r>
        <w:rPr>
          <w:rFonts w:ascii="Times New Roman" w:hAnsi="Times New Roman" w:eastAsia="宋体"/>
          <w:color w:val="auto"/>
          <w:sz w:val="24"/>
          <w:szCs w:val="28"/>
        </w:rPr>
        <w:t>651</w:t>
      </w:r>
      <w:r>
        <w:rPr>
          <w:rFonts w:hint="eastAsia" w:ascii="Times New Roman" w:hAnsi="Times New Roman" w:eastAsia="宋体"/>
          <w:color w:val="auto"/>
          <w:sz w:val="24"/>
          <w:szCs w:val="28"/>
        </w:rPr>
        <w:t>尾，总重</w:t>
      </w:r>
      <w:r>
        <w:rPr>
          <w:rFonts w:ascii="Times New Roman" w:hAnsi="Times New Roman" w:eastAsia="宋体"/>
          <w:color w:val="auto"/>
          <w:sz w:val="24"/>
          <w:szCs w:val="28"/>
        </w:rPr>
        <w:t>43.464 kg</w:t>
      </w:r>
      <w:r>
        <w:rPr>
          <w:rFonts w:hint="eastAsia" w:ascii="Times New Roman" w:hAnsi="Times New Roman" w:eastAsia="宋体"/>
          <w:color w:val="auto"/>
          <w:sz w:val="24"/>
          <w:szCs w:val="28"/>
        </w:rPr>
        <w:t>。就数量而言，鲤形目鱼类采集的数量最多，占总数量的</w:t>
      </w:r>
      <w:r>
        <w:rPr>
          <w:rFonts w:ascii="Times New Roman" w:hAnsi="Times New Roman" w:eastAsia="宋体"/>
          <w:color w:val="auto"/>
          <w:sz w:val="24"/>
          <w:szCs w:val="28"/>
        </w:rPr>
        <w:t>82.3%</w:t>
      </w:r>
      <w:r>
        <w:rPr>
          <w:rFonts w:hint="eastAsia" w:ascii="Times New Roman" w:hAnsi="Times New Roman" w:eastAsia="宋体"/>
          <w:color w:val="auto"/>
          <w:sz w:val="24"/>
          <w:szCs w:val="28"/>
        </w:rPr>
        <w:t>，其次是鲇形目，占比为</w:t>
      </w:r>
      <w:r>
        <w:rPr>
          <w:rFonts w:ascii="Times New Roman" w:hAnsi="Times New Roman" w:eastAsia="宋体"/>
          <w:color w:val="auto"/>
          <w:sz w:val="24"/>
          <w:szCs w:val="28"/>
        </w:rPr>
        <w:t>10.1%</w:t>
      </w:r>
      <w:r>
        <w:rPr>
          <w:rFonts w:hint="eastAsia" w:ascii="Times New Roman" w:hAnsi="Times New Roman" w:eastAsia="宋体"/>
          <w:color w:val="auto"/>
          <w:sz w:val="24"/>
          <w:szCs w:val="28"/>
        </w:rPr>
        <w:t>；重量占比表现为鲤形目鱼类采集的重量最大，占总重量的</w:t>
      </w:r>
      <w:r>
        <w:rPr>
          <w:rFonts w:ascii="Times New Roman" w:hAnsi="Times New Roman" w:eastAsia="宋体"/>
          <w:color w:val="auto"/>
          <w:sz w:val="24"/>
          <w:szCs w:val="28"/>
        </w:rPr>
        <w:t>87.0%</w:t>
      </w:r>
      <w:r>
        <w:rPr>
          <w:rFonts w:hint="eastAsia" w:ascii="Times New Roman" w:hAnsi="Times New Roman" w:eastAsia="宋体"/>
          <w:color w:val="auto"/>
          <w:sz w:val="24"/>
          <w:szCs w:val="28"/>
        </w:rPr>
        <w:t>，鲇形目其次，占比为</w:t>
      </w:r>
      <w:r>
        <w:rPr>
          <w:rFonts w:ascii="Times New Roman" w:hAnsi="Times New Roman" w:eastAsia="宋体"/>
          <w:color w:val="auto"/>
          <w:sz w:val="24"/>
          <w:szCs w:val="28"/>
        </w:rPr>
        <w:t>10.9%(</w:t>
      </w:r>
      <w:r>
        <w:rPr>
          <w:rFonts w:hint="eastAsia" w:ascii="Times New Roman" w:hAnsi="Times New Roman" w:eastAsia="宋体"/>
          <w:color w:val="auto"/>
          <w:sz w:val="24"/>
          <w:szCs w:val="28"/>
        </w:rPr>
        <w:t>表</w:t>
      </w:r>
      <w:r>
        <w:rPr>
          <w:rFonts w:ascii="Times New Roman" w:hAnsi="Times New Roman" w:eastAsia="宋体"/>
          <w:color w:val="auto"/>
          <w:sz w:val="24"/>
          <w:szCs w:val="28"/>
        </w:rPr>
        <w:t>4.</w:t>
      </w:r>
      <w:r>
        <w:rPr>
          <w:rFonts w:hint="eastAsia" w:ascii="Times New Roman" w:hAnsi="Times New Roman" w:eastAsia="宋体"/>
          <w:color w:val="auto"/>
          <w:sz w:val="24"/>
          <w:szCs w:val="28"/>
          <w:lang w:val="en-US" w:eastAsia="zh-CN"/>
        </w:rPr>
        <w:t>2-40</w:t>
      </w:r>
      <w:r>
        <w:rPr>
          <w:rFonts w:ascii="Times New Roman" w:hAnsi="Times New Roman" w:eastAsia="宋体"/>
          <w:color w:val="auto"/>
          <w:sz w:val="24"/>
          <w:szCs w:val="28"/>
        </w:rPr>
        <w:t>)</w:t>
      </w:r>
      <w:r>
        <w:rPr>
          <w:rFonts w:hint="eastAsia" w:ascii="Times New Roman" w:hAnsi="Times New Roman" w:eastAsia="宋体"/>
          <w:color w:val="auto"/>
          <w:sz w:val="24"/>
          <w:szCs w:val="28"/>
        </w:rPr>
        <w:t>。</w:t>
      </w:r>
    </w:p>
    <w:p w14:paraId="40C726F0">
      <w:pPr>
        <w:spacing w:line="400" w:lineRule="exact"/>
        <w:jc w:val="center"/>
        <w:rPr>
          <w:rFonts w:ascii="Times New Roman" w:hAnsi="Times New Roman" w:eastAsia="黑体" w:cs="Times New Roman"/>
          <w:color w:val="auto"/>
          <w:sz w:val="24"/>
          <w:szCs w:val="21"/>
        </w:rPr>
      </w:pPr>
      <w:r>
        <w:rPr>
          <w:rFonts w:hint="eastAsia" w:ascii="Times New Roman" w:hAnsi="Times New Roman" w:eastAsia="黑体" w:cs="Times New Roman"/>
          <w:color w:val="auto"/>
          <w:sz w:val="24"/>
          <w:szCs w:val="21"/>
        </w:rPr>
        <w:t>表</w:t>
      </w:r>
      <w:r>
        <w:rPr>
          <w:rFonts w:ascii="Times New Roman" w:hAnsi="Times New Roman" w:eastAsia="黑体" w:cs="Times New Roman"/>
          <w:color w:val="auto"/>
          <w:sz w:val="24"/>
          <w:szCs w:val="21"/>
        </w:rPr>
        <w:t>4.</w:t>
      </w:r>
      <w:r>
        <w:rPr>
          <w:rFonts w:hint="eastAsia" w:ascii="Times New Roman" w:hAnsi="Times New Roman" w:eastAsia="黑体" w:cs="Times New Roman"/>
          <w:color w:val="auto"/>
          <w:sz w:val="24"/>
          <w:szCs w:val="21"/>
          <w:lang w:val="en-US" w:eastAsia="zh-CN"/>
        </w:rPr>
        <w:t>2-40</w:t>
      </w:r>
      <w:r>
        <w:rPr>
          <w:rFonts w:ascii="Times New Roman" w:hAnsi="Times New Roman" w:eastAsia="黑体" w:cs="Times New Roman"/>
          <w:color w:val="auto"/>
          <w:sz w:val="24"/>
          <w:szCs w:val="21"/>
        </w:rPr>
        <w:t xml:space="preserve">  2024</w:t>
      </w:r>
      <w:r>
        <w:rPr>
          <w:rFonts w:hint="eastAsia" w:ascii="Times New Roman" w:hAnsi="Times New Roman" w:eastAsia="黑体" w:cs="Times New Roman"/>
          <w:color w:val="auto"/>
          <w:sz w:val="24"/>
          <w:szCs w:val="21"/>
        </w:rPr>
        <w:t>年工程区调查水域鱼类群落结构特征</w:t>
      </w:r>
    </w:p>
    <w:tbl>
      <w:tblPr>
        <w:tblStyle w:val="53"/>
        <w:tblW w:w="5000" w:type="pct"/>
        <w:jc w:val="center"/>
        <w:tblBorders>
          <w:top w:val="single" w:color="auto" w:sz="4" w:space="0"/>
          <w:left w:val="none" w:color="auto" w:sz="4" w:space="0"/>
          <w:bottom w:val="singl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2898"/>
        <w:gridCol w:w="2151"/>
        <w:gridCol w:w="2151"/>
        <w:gridCol w:w="2087"/>
      </w:tblGrid>
      <w:tr w14:paraId="5B0BA7A6">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12" w:hRule="atLeast"/>
          <w:jc w:val="center"/>
        </w:trPr>
        <w:tc>
          <w:tcPr>
            <w:tcW w:w="1560" w:type="pct"/>
            <w:vMerge w:val="restart"/>
            <w:tcBorders>
              <w:top w:val="single" w:color="auto" w:sz="12" w:space="0"/>
              <w:left w:val="nil"/>
              <w:bottom w:val="single" w:color="auto" w:sz="4" w:space="0"/>
              <w:right w:val="nil"/>
            </w:tcBorders>
            <w:noWrap w:val="0"/>
            <w:vAlign w:val="center"/>
          </w:tcPr>
          <w:p w14:paraId="712132A8">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目名</w:t>
            </w:r>
          </w:p>
        </w:tc>
        <w:tc>
          <w:tcPr>
            <w:tcW w:w="3439" w:type="pct"/>
            <w:gridSpan w:val="3"/>
            <w:tcBorders>
              <w:top w:val="single" w:color="auto" w:sz="12" w:space="0"/>
              <w:left w:val="nil"/>
              <w:bottom w:val="single" w:color="auto" w:sz="4" w:space="0"/>
              <w:right w:val="nil"/>
            </w:tcBorders>
            <w:noWrap w:val="0"/>
            <w:vAlign w:val="top"/>
          </w:tcPr>
          <w:p w14:paraId="392C0B1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lang w:bidi="ar"/>
              </w:rPr>
              <w:t>2024年</w:t>
            </w:r>
          </w:p>
        </w:tc>
      </w:tr>
      <w:tr w14:paraId="646F52CD">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12" w:hRule="atLeast"/>
          <w:jc w:val="center"/>
        </w:trPr>
        <w:tc>
          <w:tcPr>
            <w:tcW w:w="1560" w:type="pct"/>
            <w:vMerge w:val="continue"/>
            <w:tcBorders>
              <w:top w:val="single" w:color="auto" w:sz="12" w:space="0"/>
              <w:left w:val="nil"/>
              <w:bottom w:val="single" w:color="auto" w:sz="4" w:space="0"/>
              <w:right w:val="nil"/>
            </w:tcBorders>
            <w:noWrap w:val="0"/>
            <w:vAlign w:val="center"/>
          </w:tcPr>
          <w:p w14:paraId="2AE88034">
            <w:pPr>
              <w:keepNext w:val="0"/>
              <w:keepLines w:val="0"/>
              <w:suppressLineNumbers w:val="0"/>
              <w:spacing w:before="0" w:beforeAutospacing="0" w:after="0" w:afterAutospacing="0" w:line="240" w:lineRule="auto"/>
              <w:ind w:left="0" w:right="0"/>
              <w:jc w:val="center"/>
              <w:rPr>
                <w:rFonts w:hint="default" w:ascii="Times New Roman" w:hAnsi="Times New Roman" w:eastAsia="宋体"/>
                <w:color w:val="auto"/>
                <w:sz w:val="21"/>
                <w:szCs w:val="21"/>
              </w:rPr>
            </w:pPr>
          </w:p>
        </w:tc>
        <w:tc>
          <w:tcPr>
            <w:tcW w:w="1158" w:type="pct"/>
            <w:tcBorders>
              <w:top w:val="single" w:color="auto" w:sz="4" w:space="0"/>
              <w:left w:val="nil"/>
              <w:bottom w:val="single" w:color="auto" w:sz="4" w:space="0"/>
              <w:right w:val="nil"/>
            </w:tcBorders>
            <w:noWrap w:val="0"/>
            <w:vAlign w:val="center"/>
          </w:tcPr>
          <w:p w14:paraId="786C5EBD">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color w:val="auto"/>
                <w:kern w:val="0"/>
                <w:sz w:val="21"/>
                <w:szCs w:val="21"/>
              </w:rPr>
            </w:pPr>
            <w:r>
              <w:rPr>
                <w:rFonts w:hint="default" w:ascii="Times New Roman" w:hAnsi="Times New Roman" w:eastAsia="宋体"/>
                <w:b/>
                <w:color w:val="auto"/>
                <w:kern w:val="0"/>
                <w:sz w:val="21"/>
                <w:szCs w:val="21"/>
                <w:lang w:bidi="ar"/>
              </w:rPr>
              <w:t>物种数</w:t>
            </w:r>
          </w:p>
        </w:tc>
        <w:tc>
          <w:tcPr>
            <w:tcW w:w="1158" w:type="pct"/>
            <w:tcBorders>
              <w:top w:val="single" w:color="auto" w:sz="4" w:space="0"/>
              <w:left w:val="nil"/>
              <w:bottom w:val="single" w:color="auto" w:sz="4" w:space="0"/>
              <w:right w:val="nil"/>
            </w:tcBorders>
            <w:noWrap w:val="0"/>
            <w:vAlign w:val="center"/>
          </w:tcPr>
          <w:p w14:paraId="18B2812F">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数量占比</w:t>
            </w:r>
          </w:p>
        </w:tc>
        <w:tc>
          <w:tcPr>
            <w:tcW w:w="1123" w:type="pct"/>
            <w:tcBorders>
              <w:top w:val="single" w:color="auto" w:sz="4" w:space="0"/>
              <w:left w:val="nil"/>
              <w:bottom w:val="single" w:color="auto" w:sz="4" w:space="0"/>
              <w:right w:val="nil"/>
            </w:tcBorders>
            <w:noWrap w:val="0"/>
            <w:vAlign w:val="center"/>
          </w:tcPr>
          <w:p w14:paraId="1304F5C0">
            <w:pPr>
              <w:keepNext w:val="0"/>
              <w:keepLines w:val="0"/>
              <w:widowControl/>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重量占比</w:t>
            </w:r>
          </w:p>
        </w:tc>
      </w:tr>
      <w:tr w14:paraId="728978FF">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12" w:hRule="atLeast"/>
          <w:jc w:val="center"/>
        </w:trPr>
        <w:tc>
          <w:tcPr>
            <w:tcW w:w="1560" w:type="pct"/>
            <w:tcBorders>
              <w:top w:val="nil"/>
              <w:left w:val="nil"/>
              <w:bottom w:val="nil"/>
              <w:right w:val="nil"/>
            </w:tcBorders>
            <w:noWrap w:val="0"/>
            <w:vAlign w:val="top"/>
          </w:tcPr>
          <w:p w14:paraId="06216A25">
            <w:pPr>
              <w:keepNext w:val="0"/>
              <w:keepLines w:val="0"/>
              <w:suppressLineNumbers w:val="0"/>
              <w:spacing w:before="0" w:beforeAutospacing="0" w:after="0" w:afterAutospacing="0" w:line="240" w:lineRule="auto"/>
              <w:ind w:left="0" w:right="0"/>
              <w:jc w:val="center"/>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鲱形目</w:t>
            </w:r>
          </w:p>
        </w:tc>
        <w:tc>
          <w:tcPr>
            <w:tcW w:w="1158" w:type="pct"/>
            <w:tcBorders>
              <w:top w:val="nil"/>
              <w:left w:val="nil"/>
              <w:bottom w:val="nil"/>
              <w:right w:val="nil"/>
            </w:tcBorders>
            <w:noWrap w:val="0"/>
            <w:vAlign w:val="top"/>
          </w:tcPr>
          <w:p w14:paraId="1C6BC10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1</w:t>
            </w:r>
          </w:p>
        </w:tc>
        <w:tc>
          <w:tcPr>
            <w:tcW w:w="1158" w:type="pct"/>
            <w:tcBorders>
              <w:top w:val="nil"/>
              <w:left w:val="nil"/>
              <w:bottom w:val="nil"/>
              <w:right w:val="nil"/>
            </w:tcBorders>
            <w:noWrap w:val="0"/>
            <w:vAlign w:val="top"/>
          </w:tcPr>
          <w:p w14:paraId="6764E2B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1.5%</w:t>
            </w:r>
          </w:p>
        </w:tc>
        <w:tc>
          <w:tcPr>
            <w:tcW w:w="1123" w:type="pct"/>
            <w:tcBorders>
              <w:top w:val="nil"/>
              <w:left w:val="nil"/>
              <w:bottom w:val="nil"/>
              <w:right w:val="nil"/>
            </w:tcBorders>
            <w:noWrap w:val="0"/>
            <w:vAlign w:val="top"/>
          </w:tcPr>
          <w:p w14:paraId="70EEFCB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0.5%</w:t>
            </w:r>
          </w:p>
        </w:tc>
      </w:tr>
      <w:tr w14:paraId="131AADB2">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12" w:hRule="atLeast"/>
          <w:jc w:val="center"/>
        </w:trPr>
        <w:tc>
          <w:tcPr>
            <w:tcW w:w="1560" w:type="pct"/>
            <w:tcBorders>
              <w:top w:val="nil"/>
              <w:left w:val="nil"/>
              <w:bottom w:val="nil"/>
              <w:right w:val="nil"/>
            </w:tcBorders>
            <w:noWrap w:val="0"/>
            <w:vAlign w:val="top"/>
          </w:tcPr>
          <w:p w14:paraId="32A7D690">
            <w:pPr>
              <w:keepNext w:val="0"/>
              <w:keepLines w:val="0"/>
              <w:suppressLineNumbers w:val="0"/>
              <w:spacing w:before="0" w:beforeAutospacing="0" w:after="0" w:afterAutospacing="0" w:line="240" w:lineRule="auto"/>
              <w:ind w:left="0" w:right="0"/>
              <w:jc w:val="center"/>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合鳃鱼目</w:t>
            </w:r>
          </w:p>
        </w:tc>
        <w:tc>
          <w:tcPr>
            <w:tcW w:w="1158" w:type="pct"/>
            <w:tcBorders>
              <w:top w:val="nil"/>
              <w:left w:val="nil"/>
              <w:bottom w:val="nil"/>
              <w:right w:val="nil"/>
            </w:tcBorders>
            <w:noWrap w:val="0"/>
            <w:vAlign w:val="top"/>
          </w:tcPr>
          <w:p w14:paraId="0140C37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1</w:t>
            </w:r>
          </w:p>
        </w:tc>
        <w:tc>
          <w:tcPr>
            <w:tcW w:w="1158" w:type="pct"/>
            <w:tcBorders>
              <w:top w:val="nil"/>
              <w:left w:val="nil"/>
              <w:bottom w:val="nil"/>
              <w:right w:val="nil"/>
            </w:tcBorders>
            <w:noWrap w:val="0"/>
            <w:vAlign w:val="top"/>
          </w:tcPr>
          <w:p w14:paraId="1C826D9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0.2%</w:t>
            </w:r>
          </w:p>
        </w:tc>
        <w:tc>
          <w:tcPr>
            <w:tcW w:w="1123" w:type="pct"/>
            <w:tcBorders>
              <w:top w:val="nil"/>
              <w:left w:val="nil"/>
              <w:bottom w:val="nil"/>
              <w:right w:val="nil"/>
            </w:tcBorders>
            <w:noWrap w:val="0"/>
            <w:vAlign w:val="top"/>
          </w:tcPr>
          <w:p w14:paraId="551734F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0.0%</w:t>
            </w:r>
          </w:p>
        </w:tc>
      </w:tr>
      <w:tr w14:paraId="4BBAE8AE">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12" w:hRule="atLeast"/>
          <w:jc w:val="center"/>
        </w:trPr>
        <w:tc>
          <w:tcPr>
            <w:tcW w:w="1560" w:type="pct"/>
            <w:tcBorders>
              <w:top w:val="nil"/>
              <w:left w:val="nil"/>
              <w:bottom w:val="nil"/>
              <w:right w:val="nil"/>
            </w:tcBorders>
            <w:noWrap w:val="0"/>
            <w:vAlign w:val="top"/>
          </w:tcPr>
          <w:p w14:paraId="31867FF1">
            <w:pPr>
              <w:keepNext w:val="0"/>
              <w:keepLines w:val="0"/>
              <w:suppressLineNumbers w:val="0"/>
              <w:spacing w:before="0" w:beforeAutospacing="0" w:after="0" w:afterAutospacing="0" w:line="240" w:lineRule="auto"/>
              <w:ind w:left="0" w:right="0"/>
              <w:jc w:val="center"/>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鲤形目</w:t>
            </w:r>
          </w:p>
        </w:tc>
        <w:tc>
          <w:tcPr>
            <w:tcW w:w="1158" w:type="pct"/>
            <w:tcBorders>
              <w:top w:val="nil"/>
              <w:left w:val="nil"/>
              <w:bottom w:val="nil"/>
              <w:right w:val="nil"/>
            </w:tcBorders>
            <w:noWrap w:val="0"/>
            <w:vAlign w:val="top"/>
          </w:tcPr>
          <w:p w14:paraId="52644FC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19</w:t>
            </w:r>
          </w:p>
        </w:tc>
        <w:tc>
          <w:tcPr>
            <w:tcW w:w="1158" w:type="pct"/>
            <w:tcBorders>
              <w:top w:val="nil"/>
              <w:left w:val="nil"/>
              <w:bottom w:val="nil"/>
              <w:right w:val="nil"/>
            </w:tcBorders>
            <w:noWrap w:val="0"/>
            <w:vAlign w:val="top"/>
          </w:tcPr>
          <w:p w14:paraId="47D1CEB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82.3%</w:t>
            </w:r>
          </w:p>
        </w:tc>
        <w:tc>
          <w:tcPr>
            <w:tcW w:w="1123" w:type="pct"/>
            <w:tcBorders>
              <w:top w:val="nil"/>
              <w:left w:val="nil"/>
              <w:bottom w:val="nil"/>
              <w:right w:val="nil"/>
            </w:tcBorders>
            <w:noWrap w:val="0"/>
            <w:vAlign w:val="top"/>
          </w:tcPr>
          <w:p w14:paraId="539C0B3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87.0%</w:t>
            </w:r>
          </w:p>
        </w:tc>
      </w:tr>
      <w:tr w14:paraId="3CBEBA7F">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12" w:hRule="atLeast"/>
          <w:jc w:val="center"/>
        </w:trPr>
        <w:tc>
          <w:tcPr>
            <w:tcW w:w="1560" w:type="pct"/>
            <w:tcBorders>
              <w:top w:val="nil"/>
              <w:left w:val="nil"/>
              <w:bottom w:val="nil"/>
              <w:right w:val="nil"/>
            </w:tcBorders>
            <w:noWrap w:val="0"/>
            <w:vAlign w:val="top"/>
          </w:tcPr>
          <w:p w14:paraId="36EE0257">
            <w:pPr>
              <w:keepNext w:val="0"/>
              <w:keepLines w:val="0"/>
              <w:suppressLineNumbers w:val="0"/>
              <w:spacing w:before="0" w:beforeAutospacing="0" w:after="0" w:afterAutospacing="0" w:line="240" w:lineRule="auto"/>
              <w:ind w:left="0" w:right="0"/>
              <w:jc w:val="center"/>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鲈形目</w:t>
            </w:r>
          </w:p>
        </w:tc>
        <w:tc>
          <w:tcPr>
            <w:tcW w:w="1158" w:type="pct"/>
            <w:tcBorders>
              <w:top w:val="nil"/>
              <w:left w:val="nil"/>
              <w:bottom w:val="nil"/>
              <w:right w:val="nil"/>
            </w:tcBorders>
            <w:noWrap w:val="0"/>
            <w:vAlign w:val="top"/>
          </w:tcPr>
          <w:p w14:paraId="637F768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1</w:t>
            </w:r>
          </w:p>
        </w:tc>
        <w:tc>
          <w:tcPr>
            <w:tcW w:w="1158" w:type="pct"/>
            <w:tcBorders>
              <w:top w:val="nil"/>
              <w:left w:val="nil"/>
              <w:bottom w:val="nil"/>
              <w:right w:val="nil"/>
            </w:tcBorders>
            <w:noWrap w:val="0"/>
            <w:vAlign w:val="top"/>
          </w:tcPr>
          <w:p w14:paraId="599140C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0.2%</w:t>
            </w:r>
          </w:p>
        </w:tc>
        <w:tc>
          <w:tcPr>
            <w:tcW w:w="1123" w:type="pct"/>
            <w:tcBorders>
              <w:top w:val="nil"/>
              <w:left w:val="nil"/>
              <w:bottom w:val="nil"/>
              <w:right w:val="nil"/>
            </w:tcBorders>
            <w:noWrap w:val="0"/>
            <w:vAlign w:val="top"/>
          </w:tcPr>
          <w:p w14:paraId="2FD6E99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1.4%</w:t>
            </w:r>
          </w:p>
        </w:tc>
      </w:tr>
      <w:tr w14:paraId="7FF3134D">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12" w:hRule="atLeast"/>
          <w:jc w:val="center"/>
        </w:trPr>
        <w:tc>
          <w:tcPr>
            <w:tcW w:w="1560" w:type="pct"/>
            <w:tcBorders>
              <w:top w:val="nil"/>
              <w:left w:val="nil"/>
              <w:bottom w:val="nil"/>
              <w:right w:val="nil"/>
            </w:tcBorders>
            <w:noWrap w:val="0"/>
            <w:vAlign w:val="top"/>
          </w:tcPr>
          <w:p w14:paraId="223787FD">
            <w:pPr>
              <w:keepNext w:val="0"/>
              <w:keepLines w:val="0"/>
              <w:suppressLineNumbers w:val="0"/>
              <w:spacing w:before="0" w:beforeAutospacing="0" w:after="0" w:afterAutospacing="0" w:line="240" w:lineRule="auto"/>
              <w:ind w:left="0" w:right="0"/>
              <w:jc w:val="center"/>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鲇形目</w:t>
            </w:r>
          </w:p>
        </w:tc>
        <w:tc>
          <w:tcPr>
            <w:tcW w:w="1158" w:type="pct"/>
            <w:tcBorders>
              <w:top w:val="nil"/>
              <w:left w:val="nil"/>
              <w:bottom w:val="nil"/>
              <w:right w:val="nil"/>
            </w:tcBorders>
            <w:noWrap w:val="0"/>
            <w:vAlign w:val="top"/>
          </w:tcPr>
          <w:p w14:paraId="3EA4E48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5</w:t>
            </w:r>
          </w:p>
        </w:tc>
        <w:tc>
          <w:tcPr>
            <w:tcW w:w="1158" w:type="pct"/>
            <w:tcBorders>
              <w:top w:val="nil"/>
              <w:left w:val="nil"/>
              <w:bottom w:val="nil"/>
              <w:right w:val="nil"/>
            </w:tcBorders>
            <w:noWrap w:val="0"/>
            <w:vAlign w:val="top"/>
          </w:tcPr>
          <w:p w14:paraId="0E6FCF6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10.1%</w:t>
            </w:r>
          </w:p>
        </w:tc>
        <w:tc>
          <w:tcPr>
            <w:tcW w:w="1123" w:type="pct"/>
            <w:tcBorders>
              <w:top w:val="nil"/>
              <w:left w:val="nil"/>
              <w:bottom w:val="nil"/>
              <w:right w:val="nil"/>
            </w:tcBorders>
            <w:noWrap w:val="0"/>
            <w:vAlign w:val="top"/>
          </w:tcPr>
          <w:p w14:paraId="5FA333E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10.9%</w:t>
            </w:r>
          </w:p>
        </w:tc>
      </w:tr>
      <w:tr w14:paraId="4F8F1987">
        <w:tblPrEx>
          <w:tblBorders>
            <w:top w:val="singl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312" w:hRule="atLeast"/>
          <w:jc w:val="center"/>
        </w:trPr>
        <w:tc>
          <w:tcPr>
            <w:tcW w:w="1560" w:type="pct"/>
            <w:tcBorders>
              <w:top w:val="nil"/>
              <w:left w:val="nil"/>
              <w:bottom w:val="single" w:color="auto" w:sz="8" w:space="0"/>
              <w:right w:val="nil"/>
            </w:tcBorders>
            <w:noWrap w:val="0"/>
            <w:vAlign w:val="top"/>
          </w:tcPr>
          <w:p w14:paraId="0F706C46">
            <w:pPr>
              <w:keepNext w:val="0"/>
              <w:keepLines w:val="0"/>
              <w:suppressLineNumbers w:val="0"/>
              <w:spacing w:before="0" w:beforeAutospacing="0" w:after="0" w:afterAutospacing="0" w:line="240" w:lineRule="auto"/>
              <w:ind w:left="0" w:right="0"/>
              <w:jc w:val="center"/>
              <w:rPr>
                <w:rFonts w:hint="default" w:ascii="Times New Roman" w:hAnsi="Times New Roman" w:eastAsia="宋体"/>
                <w:b/>
                <w:color w:val="auto"/>
                <w:sz w:val="21"/>
                <w:szCs w:val="21"/>
              </w:rPr>
            </w:pPr>
            <w:r>
              <w:rPr>
                <w:rFonts w:hint="default" w:ascii="Times New Roman" w:hAnsi="Times New Roman" w:eastAsia="宋体"/>
                <w:b/>
                <w:color w:val="auto"/>
                <w:sz w:val="21"/>
                <w:szCs w:val="21"/>
                <w:lang w:bidi="ar"/>
              </w:rPr>
              <w:t>虾虎鱼目</w:t>
            </w:r>
          </w:p>
        </w:tc>
        <w:tc>
          <w:tcPr>
            <w:tcW w:w="1158" w:type="pct"/>
            <w:tcBorders>
              <w:top w:val="nil"/>
              <w:left w:val="nil"/>
              <w:bottom w:val="single" w:color="auto" w:sz="8" w:space="0"/>
              <w:right w:val="nil"/>
            </w:tcBorders>
            <w:noWrap w:val="0"/>
            <w:vAlign w:val="top"/>
          </w:tcPr>
          <w:p w14:paraId="01638A2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5</w:t>
            </w:r>
          </w:p>
        </w:tc>
        <w:tc>
          <w:tcPr>
            <w:tcW w:w="1158" w:type="pct"/>
            <w:tcBorders>
              <w:top w:val="nil"/>
              <w:left w:val="nil"/>
              <w:bottom w:val="single" w:color="auto" w:sz="8" w:space="0"/>
              <w:right w:val="nil"/>
            </w:tcBorders>
            <w:noWrap w:val="0"/>
            <w:vAlign w:val="top"/>
          </w:tcPr>
          <w:p w14:paraId="3426DEC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5.7%</w:t>
            </w:r>
          </w:p>
        </w:tc>
        <w:tc>
          <w:tcPr>
            <w:tcW w:w="1123" w:type="pct"/>
            <w:tcBorders>
              <w:top w:val="nil"/>
              <w:left w:val="nil"/>
              <w:bottom w:val="single" w:color="auto" w:sz="8" w:space="0"/>
              <w:right w:val="nil"/>
            </w:tcBorders>
            <w:noWrap w:val="0"/>
            <w:vAlign w:val="top"/>
          </w:tcPr>
          <w:p w14:paraId="3B305D0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0.1%</w:t>
            </w:r>
          </w:p>
        </w:tc>
      </w:tr>
    </w:tbl>
    <w:p w14:paraId="084446E5">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等线" w:cs="Times New Roman"/>
          <w:bCs/>
          <w:color w:val="auto"/>
          <w:kern w:val="2"/>
          <w:sz w:val="24"/>
          <w:szCs w:val="28"/>
          <w:lang w:val="en-US" w:eastAsia="zh-CN" w:bidi="ar-SA"/>
        </w:rPr>
        <w:t>4.2.6.1</w:t>
      </w:r>
      <w:r>
        <w:rPr>
          <w:rFonts w:hint="eastAsia" w:ascii="Times New Roman" w:hAnsi="Times New Roman" w:eastAsia="宋体" w:cs="Times New Roman"/>
          <w:bCs/>
          <w:color w:val="auto"/>
          <w:kern w:val="2"/>
          <w:sz w:val="24"/>
          <w:szCs w:val="28"/>
          <w:lang w:val="en-US" w:eastAsia="zh-CN" w:bidi="ar-SA"/>
        </w:rPr>
        <w:t>.4 群落优势种</w:t>
      </w:r>
    </w:p>
    <w:p w14:paraId="6FB0A54F">
      <w:pPr>
        <w:spacing w:line="360" w:lineRule="auto"/>
        <w:ind w:firstLine="480" w:firstLineChars="200"/>
        <w:rPr>
          <w:rFonts w:ascii="Times New Roman" w:hAnsi="Times New Roman" w:eastAsia="宋体"/>
          <w:color w:val="auto"/>
          <w:sz w:val="24"/>
          <w:szCs w:val="28"/>
        </w:rPr>
      </w:pPr>
      <w:r>
        <w:rPr>
          <w:rFonts w:hint="eastAsia" w:ascii="Times New Roman" w:hAnsi="Times New Roman" w:eastAsia="宋体"/>
          <w:color w:val="auto"/>
          <w:sz w:val="24"/>
          <w:szCs w:val="28"/>
        </w:rPr>
        <w:t>2024年工程区调查结果显示，调查水域</w:t>
      </w:r>
      <w:r>
        <w:rPr>
          <w:rFonts w:ascii="Times New Roman" w:hAnsi="Times New Roman" w:eastAsia="宋体"/>
          <w:i/>
          <w:iCs/>
          <w:color w:val="auto"/>
          <w:sz w:val="24"/>
          <w:szCs w:val="28"/>
        </w:rPr>
        <w:t>IRI</w:t>
      </w:r>
      <w:r>
        <w:rPr>
          <w:rFonts w:hint="eastAsia" w:ascii="Times New Roman" w:hAnsi="Times New Roman" w:eastAsia="宋体"/>
          <w:color w:val="auto"/>
          <w:sz w:val="24"/>
          <w:szCs w:val="28"/>
        </w:rPr>
        <w:t>指数大于</w:t>
      </w:r>
      <w:r>
        <w:rPr>
          <w:rFonts w:ascii="Times New Roman" w:hAnsi="Times New Roman" w:eastAsia="宋体"/>
          <w:color w:val="auto"/>
          <w:sz w:val="24"/>
          <w:szCs w:val="28"/>
        </w:rPr>
        <w:t>1000</w:t>
      </w:r>
      <w:r>
        <w:rPr>
          <w:rFonts w:hint="eastAsia" w:ascii="Times New Roman" w:hAnsi="Times New Roman" w:eastAsia="宋体"/>
          <w:color w:val="auto"/>
          <w:sz w:val="24"/>
          <w:szCs w:val="28"/>
        </w:rPr>
        <w:t>的优势种为</w:t>
      </w:r>
      <w:r>
        <w:rPr>
          <w:rFonts w:ascii="Times New Roman" w:hAnsi="Times New Roman" w:eastAsia="宋体"/>
          <w:color w:val="auto"/>
          <w:sz w:val="24"/>
          <w:szCs w:val="28"/>
        </w:rPr>
        <w:t>2</w:t>
      </w:r>
      <w:r>
        <w:rPr>
          <w:rFonts w:hint="eastAsia" w:ascii="Times New Roman" w:hAnsi="Times New Roman" w:eastAsia="宋体"/>
          <w:color w:val="auto"/>
          <w:sz w:val="24"/>
          <w:szCs w:val="28"/>
        </w:rPr>
        <w:t>种，分别为鲇、光泽黄颡鱼，其</w:t>
      </w:r>
      <w:r>
        <w:rPr>
          <w:rFonts w:ascii="Times New Roman" w:hAnsi="Times New Roman" w:eastAsia="宋体"/>
          <w:i/>
          <w:iCs/>
          <w:color w:val="auto"/>
          <w:sz w:val="24"/>
          <w:szCs w:val="28"/>
        </w:rPr>
        <w:t>IRI</w:t>
      </w:r>
      <w:r>
        <w:rPr>
          <w:rFonts w:hint="eastAsia" w:ascii="Times New Roman" w:hAnsi="Times New Roman" w:eastAsia="宋体"/>
          <w:color w:val="auto"/>
          <w:sz w:val="24"/>
          <w:szCs w:val="28"/>
        </w:rPr>
        <w:t>值分别为</w:t>
      </w:r>
      <w:r>
        <w:rPr>
          <w:rFonts w:ascii="Times New Roman" w:hAnsi="Times New Roman" w:eastAsia="宋体"/>
          <w:color w:val="auto"/>
          <w:sz w:val="24"/>
          <w:szCs w:val="28"/>
        </w:rPr>
        <w:t>5413</w:t>
      </w:r>
      <w:r>
        <w:rPr>
          <w:rFonts w:hint="eastAsia" w:ascii="Times New Roman" w:hAnsi="Times New Roman" w:eastAsia="宋体"/>
          <w:color w:val="auto"/>
          <w:sz w:val="24"/>
          <w:szCs w:val="28"/>
        </w:rPr>
        <w:t>、</w:t>
      </w:r>
      <w:r>
        <w:rPr>
          <w:rFonts w:ascii="Times New Roman" w:hAnsi="Times New Roman" w:eastAsia="宋体"/>
          <w:color w:val="auto"/>
          <w:sz w:val="24"/>
          <w:szCs w:val="28"/>
        </w:rPr>
        <w:t>1389</w:t>
      </w:r>
      <w:r>
        <w:rPr>
          <w:rFonts w:hint="eastAsia" w:ascii="Times New Roman" w:hAnsi="Times New Roman" w:eastAsia="宋体"/>
          <w:color w:val="auto"/>
          <w:sz w:val="24"/>
          <w:szCs w:val="28"/>
        </w:rPr>
        <w:t>，</w:t>
      </w:r>
      <w:r>
        <w:rPr>
          <w:rFonts w:ascii="Times New Roman" w:hAnsi="Times New Roman" w:eastAsia="宋体"/>
          <w:color w:val="auto"/>
          <w:sz w:val="24"/>
          <w:szCs w:val="28"/>
        </w:rPr>
        <w:t>100≦IRI&lt;1000</w:t>
      </w:r>
      <w:r>
        <w:rPr>
          <w:rFonts w:hint="eastAsia" w:ascii="Times New Roman" w:hAnsi="Times New Roman" w:eastAsia="宋体"/>
          <w:color w:val="auto"/>
          <w:sz w:val="24"/>
          <w:szCs w:val="28"/>
        </w:rPr>
        <w:t>的常见种共</w:t>
      </w:r>
      <w:r>
        <w:rPr>
          <w:rFonts w:ascii="Times New Roman" w:hAnsi="Times New Roman" w:eastAsia="宋体"/>
          <w:color w:val="auto"/>
          <w:sz w:val="24"/>
          <w:szCs w:val="28"/>
        </w:rPr>
        <w:t>14</w:t>
      </w:r>
      <w:r>
        <w:rPr>
          <w:rFonts w:hint="eastAsia" w:ascii="Times New Roman" w:hAnsi="Times New Roman" w:eastAsia="宋体"/>
          <w:color w:val="auto"/>
          <w:sz w:val="24"/>
          <w:szCs w:val="28"/>
        </w:rPr>
        <w:t>种；分别为银鮈、鲢、鳙、子陵吻虾虎鱼、黄颡鱼、达氏鲌、鳊、须鳗虾虎鱼、刀鲚、兴凯鱊、蒙古鲌、鳜、瓦氏黄颡鱼、翘嘴鲌</w:t>
      </w:r>
      <w:r>
        <w:rPr>
          <w:rFonts w:ascii="Times New Roman" w:hAnsi="Times New Roman" w:eastAsia="宋体"/>
          <w:color w:val="auto"/>
          <w:sz w:val="24"/>
          <w:szCs w:val="28"/>
        </w:rPr>
        <w:t>(</w:t>
      </w:r>
      <w:r>
        <w:rPr>
          <w:rFonts w:hint="eastAsia" w:ascii="Times New Roman" w:hAnsi="Times New Roman" w:eastAsia="宋体"/>
          <w:color w:val="auto"/>
          <w:sz w:val="24"/>
          <w:szCs w:val="28"/>
        </w:rPr>
        <w:t>表</w:t>
      </w:r>
      <w:r>
        <w:rPr>
          <w:rFonts w:ascii="Times New Roman" w:hAnsi="Times New Roman" w:eastAsia="宋体"/>
          <w:color w:val="auto"/>
          <w:sz w:val="24"/>
          <w:szCs w:val="28"/>
        </w:rPr>
        <w:t>4.</w:t>
      </w:r>
      <w:r>
        <w:rPr>
          <w:rFonts w:hint="eastAsia" w:ascii="Times New Roman" w:hAnsi="Times New Roman" w:eastAsia="宋体"/>
          <w:color w:val="auto"/>
          <w:sz w:val="24"/>
          <w:szCs w:val="28"/>
          <w:lang w:val="en-US" w:eastAsia="zh-CN"/>
        </w:rPr>
        <w:t>2-41</w:t>
      </w:r>
      <w:r>
        <w:rPr>
          <w:rFonts w:ascii="Times New Roman" w:hAnsi="Times New Roman" w:eastAsia="宋体"/>
          <w:color w:val="auto"/>
          <w:sz w:val="24"/>
          <w:szCs w:val="28"/>
        </w:rPr>
        <w:t>)</w:t>
      </w:r>
      <w:r>
        <w:rPr>
          <w:rFonts w:hint="eastAsia" w:ascii="Times New Roman" w:hAnsi="Times New Roman" w:eastAsia="宋体"/>
          <w:color w:val="auto"/>
          <w:sz w:val="24"/>
          <w:szCs w:val="28"/>
        </w:rPr>
        <w:t>。</w:t>
      </w:r>
    </w:p>
    <w:p w14:paraId="30C4DC4A">
      <w:pPr>
        <w:spacing w:line="400" w:lineRule="exact"/>
        <w:jc w:val="center"/>
        <w:rPr>
          <w:rFonts w:ascii="Times New Roman" w:hAnsi="Times New Roman" w:eastAsia="黑体" w:cs="Times New Roman"/>
          <w:color w:val="auto"/>
          <w:sz w:val="24"/>
          <w:szCs w:val="21"/>
        </w:rPr>
      </w:pPr>
      <w:r>
        <w:rPr>
          <w:rFonts w:hint="eastAsia" w:ascii="Times New Roman" w:hAnsi="Times New Roman" w:eastAsia="黑体" w:cs="Times New Roman"/>
          <w:color w:val="auto"/>
          <w:sz w:val="24"/>
          <w:szCs w:val="21"/>
        </w:rPr>
        <w:t>表</w:t>
      </w:r>
      <w:r>
        <w:rPr>
          <w:rFonts w:ascii="Times New Roman" w:hAnsi="Times New Roman" w:eastAsia="黑体" w:cs="Times New Roman"/>
          <w:color w:val="auto"/>
          <w:sz w:val="24"/>
          <w:szCs w:val="21"/>
        </w:rPr>
        <w:t>4.</w:t>
      </w:r>
      <w:r>
        <w:rPr>
          <w:rFonts w:hint="eastAsia" w:ascii="Times New Roman" w:hAnsi="Times New Roman" w:eastAsia="黑体" w:cs="Times New Roman"/>
          <w:color w:val="auto"/>
          <w:sz w:val="24"/>
          <w:szCs w:val="21"/>
          <w:lang w:val="en-US" w:eastAsia="zh-CN"/>
        </w:rPr>
        <w:t>2-41</w:t>
      </w:r>
      <w:r>
        <w:rPr>
          <w:rFonts w:ascii="Times New Roman" w:hAnsi="Times New Roman" w:eastAsia="黑体" w:cs="Times New Roman"/>
          <w:color w:val="auto"/>
          <w:sz w:val="24"/>
          <w:szCs w:val="21"/>
        </w:rPr>
        <w:t xml:space="preserve">  2024</w:t>
      </w:r>
      <w:r>
        <w:rPr>
          <w:rFonts w:hint="eastAsia" w:ascii="Times New Roman" w:hAnsi="Times New Roman" w:eastAsia="黑体" w:cs="Times New Roman"/>
          <w:color w:val="auto"/>
          <w:sz w:val="24"/>
          <w:szCs w:val="21"/>
        </w:rPr>
        <w:t>年工程区调查水域鱼类</w:t>
      </w:r>
      <w:r>
        <w:rPr>
          <w:rFonts w:ascii="Times New Roman" w:hAnsi="Times New Roman" w:eastAsia="黑体" w:cs="Times New Roman"/>
          <w:color w:val="auto"/>
          <w:sz w:val="24"/>
          <w:szCs w:val="21"/>
        </w:rPr>
        <w:t>IRI</w:t>
      </w:r>
      <w:r>
        <w:rPr>
          <w:rFonts w:hint="eastAsia" w:ascii="Times New Roman" w:hAnsi="Times New Roman" w:eastAsia="黑体" w:cs="Times New Roman"/>
          <w:color w:val="auto"/>
          <w:sz w:val="24"/>
          <w:szCs w:val="21"/>
        </w:rPr>
        <w:t>指数</w:t>
      </w:r>
    </w:p>
    <w:tbl>
      <w:tblPr>
        <w:tblStyle w:val="53"/>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5318"/>
        <w:gridCol w:w="3965"/>
      </w:tblGrid>
      <w:tr w14:paraId="67D652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64" w:type="pct"/>
            <w:tcBorders>
              <w:tl2br w:val="nil"/>
              <w:tr2bl w:val="nil"/>
            </w:tcBorders>
            <w:noWrap w:val="0"/>
            <w:vAlign w:val="top"/>
          </w:tcPr>
          <w:p w14:paraId="1DA65DEC">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lang w:bidi="ar"/>
              </w:rPr>
              <w:t>物种</w:t>
            </w:r>
          </w:p>
        </w:tc>
        <w:tc>
          <w:tcPr>
            <w:tcW w:w="2135" w:type="pct"/>
            <w:tcBorders>
              <w:tl2br w:val="nil"/>
              <w:tr2bl w:val="nil"/>
            </w:tcBorders>
            <w:noWrap w:val="0"/>
            <w:vAlign w:val="center"/>
          </w:tcPr>
          <w:p w14:paraId="1459D2C2">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
                <w:bCs/>
                <w:color w:val="auto"/>
                <w:sz w:val="21"/>
                <w:szCs w:val="21"/>
              </w:rPr>
            </w:pPr>
            <w:r>
              <w:rPr>
                <w:rFonts w:hint="default" w:ascii="Times New Roman" w:hAnsi="Times New Roman" w:eastAsia="宋体"/>
                <w:b/>
                <w:bCs/>
                <w:i/>
                <w:iCs/>
                <w:color w:val="auto"/>
                <w:sz w:val="21"/>
                <w:szCs w:val="21"/>
                <w:lang w:bidi="ar"/>
              </w:rPr>
              <w:t>IRI</w:t>
            </w:r>
            <w:r>
              <w:rPr>
                <w:rFonts w:hint="default" w:ascii="Times New Roman" w:hAnsi="Times New Roman" w:eastAsia="宋体"/>
                <w:b/>
                <w:bCs/>
                <w:color w:val="auto"/>
                <w:sz w:val="21"/>
                <w:szCs w:val="21"/>
                <w:lang w:bidi="ar"/>
              </w:rPr>
              <w:t>值</w:t>
            </w:r>
          </w:p>
        </w:tc>
      </w:tr>
      <w:tr w14:paraId="4869D5C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64" w:type="pct"/>
            <w:tcBorders>
              <w:tl2br w:val="nil"/>
              <w:tr2bl w:val="nil"/>
            </w:tcBorders>
            <w:noWrap w:val="0"/>
            <w:vAlign w:val="top"/>
          </w:tcPr>
          <w:p w14:paraId="3D8B73C6">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鲇</w:t>
            </w:r>
          </w:p>
        </w:tc>
        <w:tc>
          <w:tcPr>
            <w:tcW w:w="2135" w:type="pct"/>
            <w:tcBorders>
              <w:tl2br w:val="nil"/>
              <w:tr2bl w:val="nil"/>
            </w:tcBorders>
            <w:noWrap w:val="0"/>
            <w:vAlign w:val="center"/>
          </w:tcPr>
          <w:p w14:paraId="30F7BCD7">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5413</w:t>
            </w:r>
          </w:p>
        </w:tc>
      </w:tr>
      <w:tr w14:paraId="7F26C5C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64" w:type="pct"/>
            <w:tcBorders>
              <w:tl2br w:val="nil"/>
              <w:tr2bl w:val="nil"/>
            </w:tcBorders>
            <w:noWrap w:val="0"/>
            <w:vAlign w:val="top"/>
          </w:tcPr>
          <w:p w14:paraId="533FF438">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光泽黄颡鱼</w:t>
            </w:r>
          </w:p>
        </w:tc>
        <w:tc>
          <w:tcPr>
            <w:tcW w:w="2135" w:type="pct"/>
            <w:tcBorders>
              <w:tl2br w:val="nil"/>
              <w:tr2bl w:val="nil"/>
            </w:tcBorders>
            <w:noWrap w:val="0"/>
            <w:vAlign w:val="center"/>
          </w:tcPr>
          <w:p w14:paraId="3FC3A2D5">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1389</w:t>
            </w:r>
          </w:p>
        </w:tc>
      </w:tr>
      <w:tr w14:paraId="2B5B454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64" w:type="pct"/>
            <w:tcBorders>
              <w:tl2br w:val="nil"/>
              <w:tr2bl w:val="nil"/>
            </w:tcBorders>
            <w:noWrap w:val="0"/>
            <w:vAlign w:val="top"/>
          </w:tcPr>
          <w:p w14:paraId="03915E52">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银鮈</w:t>
            </w:r>
          </w:p>
        </w:tc>
        <w:tc>
          <w:tcPr>
            <w:tcW w:w="2135" w:type="pct"/>
            <w:tcBorders>
              <w:tl2br w:val="nil"/>
              <w:tr2bl w:val="nil"/>
            </w:tcBorders>
            <w:noWrap w:val="0"/>
            <w:vAlign w:val="center"/>
          </w:tcPr>
          <w:p w14:paraId="63A24168">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778</w:t>
            </w:r>
          </w:p>
        </w:tc>
      </w:tr>
      <w:tr w14:paraId="63EDF9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64" w:type="pct"/>
            <w:tcBorders>
              <w:tl2br w:val="nil"/>
              <w:tr2bl w:val="nil"/>
            </w:tcBorders>
            <w:noWrap w:val="0"/>
            <w:vAlign w:val="top"/>
          </w:tcPr>
          <w:p w14:paraId="001B45E3">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鲢</w:t>
            </w:r>
          </w:p>
        </w:tc>
        <w:tc>
          <w:tcPr>
            <w:tcW w:w="2135" w:type="pct"/>
            <w:tcBorders>
              <w:tl2br w:val="nil"/>
              <w:tr2bl w:val="nil"/>
            </w:tcBorders>
            <w:noWrap w:val="0"/>
            <w:vAlign w:val="center"/>
          </w:tcPr>
          <w:p w14:paraId="251D1C4A">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747</w:t>
            </w:r>
          </w:p>
        </w:tc>
      </w:tr>
      <w:tr w14:paraId="1D0FFF2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64" w:type="pct"/>
            <w:tcBorders>
              <w:tl2br w:val="nil"/>
              <w:tr2bl w:val="nil"/>
            </w:tcBorders>
            <w:noWrap w:val="0"/>
            <w:vAlign w:val="top"/>
          </w:tcPr>
          <w:p w14:paraId="6762E5B5">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鳙</w:t>
            </w:r>
          </w:p>
        </w:tc>
        <w:tc>
          <w:tcPr>
            <w:tcW w:w="2135" w:type="pct"/>
            <w:tcBorders>
              <w:tl2br w:val="nil"/>
              <w:tr2bl w:val="nil"/>
            </w:tcBorders>
            <w:noWrap w:val="0"/>
            <w:vAlign w:val="center"/>
          </w:tcPr>
          <w:p w14:paraId="07962345">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586</w:t>
            </w:r>
          </w:p>
        </w:tc>
      </w:tr>
      <w:tr w14:paraId="4A1AA7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64" w:type="pct"/>
            <w:tcBorders>
              <w:tl2br w:val="nil"/>
              <w:tr2bl w:val="nil"/>
            </w:tcBorders>
            <w:noWrap w:val="0"/>
            <w:vAlign w:val="top"/>
          </w:tcPr>
          <w:p w14:paraId="29FE6344">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子陵吻虾虎鱼</w:t>
            </w:r>
          </w:p>
        </w:tc>
        <w:tc>
          <w:tcPr>
            <w:tcW w:w="2135" w:type="pct"/>
            <w:tcBorders>
              <w:tl2br w:val="nil"/>
              <w:tr2bl w:val="nil"/>
            </w:tcBorders>
            <w:noWrap w:val="0"/>
            <w:vAlign w:val="center"/>
          </w:tcPr>
          <w:p w14:paraId="73DD94A9">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502</w:t>
            </w:r>
          </w:p>
        </w:tc>
      </w:tr>
      <w:tr w14:paraId="35F6388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64" w:type="pct"/>
            <w:tcBorders>
              <w:tl2br w:val="nil"/>
              <w:tr2bl w:val="nil"/>
            </w:tcBorders>
            <w:noWrap w:val="0"/>
            <w:vAlign w:val="top"/>
          </w:tcPr>
          <w:p w14:paraId="2AE59A50">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黄颡鱼</w:t>
            </w:r>
          </w:p>
        </w:tc>
        <w:tc>
          <w:tcPr>
            <w:tcW w:w="2135" w:type="pct"/>
            <w:tcBorders>
              <w:tl2br w:val="nil"/>
              <w:tr2bl w:val="nil"/>
            </w:tcBorders>
            <w:noWrap w:val="0"/>
            <w:vAlign w:val="center"/>
          </w:tcPr>
          <w:p w14:paraId="760EA9B7">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384</w:t>
            </w:r>
          </w:p>
        </w:tc>
      </w:tr>
      <w:tr w14:paraId="1E4B7E1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64" w:type="pct"/>
            <w:tcBorders>
              <w:tl2br w:val="nil"/>
              <w:tr2bl w:val="nil"/>
            </w:tcBorders>
            <w:noWrap w:val="0"/>
            <w:vAlign w:val="top"/>
          </w:tcPr>
          <w:p w14:paraId="3F75F924">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达氏鲌</w:t>
            </w:r>
          </w:p>
        </w:tc>
        <w:tc>
          <w:tcPr>
            <w:tcW w:w="2135" w:type="pct"/>
            <w:tcBorders>
              <w:tl2br w:val="nil"/>
              <w:tr2bl w:val="nil"/>
            </w:tcBorders>
            <w:noWrap w:val="0"/>
            <w:vAlign w:val="center"/>
          </w:tcPr>
          <w:p w14:paraId="09038AA2">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368</w:t>
            </w:r>
          </w:p>
        </w:tc>
      </w:tr>
      <w:tr w14:paraId="0E71016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64" w:type="pct"/>
            <w:tcBorders>
              <w:tl2br w:val="nil"/>
              <w:tr2bl w:val="nil"/>
            </w:tcBorders>
            <w:noWrap w:val="0"/>
            <w:vAlign w:val="top"/>
          </w:tcPr>
          <w:p w14:paraId="62D3308D">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鳊</w:t>
            </w:r>
          </w:p>
        </w:tc>
        <w:tc>
          <w:tcPr>
            <w:tcW w:w="2135" w:type="pct"/>
            <w:tcBorders>
              <w:tl2br w:val="nil"/>
              <w:tr2bl w:val="nil"/>
            </w:tcBorders>
            <w:noWrap w:val="0"/>
            <w:vAlign w:val="center"/>
          </w:tcPr>
          <w:p w14:paraId="329772A9">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350</w:t>
            </w:r>
          </w:p>
        </w:tc>
      </w:tr>
      <w:tr w14:paraId="216681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64" w:type="pct"/>
            <w:tcBorders>
              <w:tl2br w:val="nil"/>
              <w:tr2bl w:val="nil"/>
            </w:tcBorders>
            <w:noWrap w:val="0"/>
            <w:vAlign w:val="top"/>
          </w:tcPr>
          <w:p w14:paraId="67319A8D">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须鳗虾虎鱼</w:t>
            </w:r>
          </w:p>
        </w:tc>
        <w:tc>
          <w:tcPr>
            <w:tcW w:w="2135" w:type="pct"/>
            <w:tcBorders>
              <w:tl2br w:val="nil"/>
              <w:tr2bl w:val="nil"/>
            </w:tcBorders>
            <w:noWrap w:val="0"/>
            <w:vAlign w:val="center"/>
          </w:tcPr>
          <w:p w14:paraId="06877009">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276</w:t>
            </w:r>
          </w:p>
        </w:tc>
      </w:tr>
      <w:tr w14:paraId="2582413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64" w:type="pct"/>
            <w:tcBorders>
              <w:tl2br w:val="nil"/>
              <w:tr2bl w:val="nil"/>
            </w:tcBorders>
            <w:noWrap w:val="0"/>
            <w:vAlign w:val="top"/>
          </w:tcPr>
          <w:p w14:paraId="602BFBC5">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刀鲚</w:t>
            </w:r>
          </w:p>
        </w:tc>
        <w:tc>
          <w:tcPr>
            <w:tcW w:w="2135" w:type="pct"/>
            <w:tcBorders>
              <w:tl2br w:val="nil"/>
              <w:tr2bl w:val="nil"/>
            </w:tcBorders>
            <w:noWrap w:val="0"/>
            <w:vAlign w:val="center"/>
          </w:tcPr>
          <w:p w14:paraId="676D3081">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262</w:t>
            </w:r>
          </w:p>
        </w:tc>
      </w:tr>
      <w:tr w14:paraId="4326FC5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64" w:type="pct"/>
            <w:tcBorders>
              <w:tl2br w:val="nil"/>
              <w:tr2bl w:val="nil"/>
            </w:tcBorders>
            <w:noWrap w:val="0"/>
            <w:vAlign w:val="top"/>
          </w:tcPr>
          <w:p w14:paraId="2C04FAE0">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兴凯鱊</w:t>
            </w:r>
          </w:p>
        </w:tc>
        <w:tc>
          <w:tcPr>
            <w:tcW w:w="2135" w:type="pct"/>
            <w:tcBorders>
              <w:tl2br w:val="nil"/>
              <w:tr2bl w:val="nil"/>
            </w:tcBorders>
            <w:noWrap w:val="0"/>
            <w:vAlign w:val="center"/>
          </w:tcPr>
          <w:p w14:paraId="72C152EC">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206</w:t>
            </w:r>
          </w:p>
        </w:tc>
      </w:tr>
      <w:tr w14:paraId="1AB96B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64" w:type="pct"/>
            <w:tcBorders>
              <w:tl2br w:val="nil"/>
              <w:tr2bl w:val="nil"/>
            </w:tcBorders>
            <w:noWrap w:val="0"/>
            <w:vAlign w:val="top"/>
          </w:tcPr>
          <w:p w14:paraId="27C3B72C">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蒙古鲌</w:t>
            </w:r>
          </w:p>
        </w:tc>
        <w:tc>
          <w:tcPr>
            <w:tcW w:w="2135" w:type="pct"/>
            <w:tcBorders>
              <w:tl2br w:val="nil"/>
              <w:tr2bl w:val="nil"/>
            </w:tcBorders>
            <w:noWrap w:val="0"/>
            <w:vAlign w:val="center"/>
          </w:tcPr>
          <w:p w14:paraId="71A59AFB">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145</w:t>
            </w:r>
          </w:p>
        </w:tc>
      </w:tr>
      <w:tr w14:paraId="5575117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64" w:type="pct"/>
            <w:tcBorders>
              <w:tl2br w:val="nil"/>
              <w:tr2bl w:val="nil"/>
            </w:tcBorders>
            <w:noWrap w:val="0"/>
            <w:vAlign w:val="top"/>
          </w:tcPr>
          <w:p w14:paraId="7DD8661F">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鳜</w:t>
            </w:r>
          </w:p>
        </w:tc>
        <w:tc>
          <w:tcPr>
            <w:tcW w:w="2135" w:type="pct"/>
            <w:tcBorders>
              <w:tl2br w:val="nil"/>
              <w:tr2bl w:val="nil"/>
            </w:tcBorders>
            <w:noWrap w:val="0"/>
            <w:vAlign w:val="center"/>
          </w:tcPr>
          <w:p w14:paraId="1170BD7D">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143</w:t>
            </w:r>
          </w:p>
        </w:tc>
      </w:tr>
      <w:tr w14:paraId="50EBF30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64" w:type="pct"/>
            <w:tcBorders>
              <w:tl2br w:val="nil"/>
              <w:tr2bl w:val="nil"/>
            </w:tcBorders>
            <w:noWrap w:val="0"/>
            <w:vAlign w:val="top"/>
          </w:tcPr>
          <w:p w14:paraId="61442E96">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瓦氏黄颡鱼</w:t>
            </w:r>
          </w:p>
        </w:tc>
        <w:tc>
          <w:tcPr>
            <w:tcW w:w="2135" w:type="pct"/>
            <w:tcBorders>
              <w:tl2br w:val="nil"/>
              <w:tr2bl w:val="nil"/>
            </w:tcBorders>
            <w:noWrap w:val="0"/>
            <w:vAlign w:val="center"/>
          </w:tcPr>
          <w:p w14:paraId="5383786C">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134</w:t>
            </w:r>
          </w:p>
        </w:tc>
      </w:tr>
      <w:tr w14:paraId="678E5B1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64" w:type="pct"/>
            <w:tcBorders>
              <w:tl2br w:val="nil"/>
              <w:tr2bl w:val="nil"/>
            </w:tcBorders>
            <w:noWrap w:val="0"/>
            <w:vAlign w:val="top"/>
          </w:tcPr>
          <w:p w14:paraId="7E6FB42A">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bCs/>
                <w:color w:val="auto"/>
                <w:kern w:val="0"/>
                <w:sz w:val="21"/>
                <w:szCs w:val="21"/>
              </w:rPr>
            </w:pPr>
            <w:r>
              <w:rPr>
                <w:rFonts w:hint="default" w:ascii="Times New Roman" w:hAnsi="Times New Roman" w:eastAsia="宋体"/>
                <w:color w:val="auto"/>
                <w:sz w:val="21"/>
                <w:szCs w:val="21"/>
                <w:lang w:bidi="ar"/>
              </w:rPr>
              <w:t>翘嘴鲌</w:t>
            </w:r>
          </w:p>
        </w:tc>
        <w:tc>
          <w:tcPr>
            <w:tcW w:w="2135" w:type="pct"/>
            <w:tcBorders>
              <w:tl2br w:val="nil"/>
              <w:tr2bl w:val="nil"/>
            </w:tcBorders>
            <w:noWrap w:val="0"/>
            <w:vAlign w:val="center"/>
          </w:tcPr>
          <w:p w14:paraId="416991D5">
            <w:pPr>
              <w:keepNext w:val="0"/>
              <w:keepLines w:val="0"/>
              <w:widowControl/>
              <w:suppressLineNumbers w:val="0"/>
              <w:adjustRightInd w:val="0"/>
              <w:snapToGrid w:val="0"/>
              <w:spacing w:before="0" w:beforeAutospacing="0" w:after="0" w:afterAutospacing="0" w:line="300" w:lineRule="exact"/>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114</w:t>
            </w:r>
          </w:p>
        </w:tc>
      </w:tr>
    </w:tbl>
    <w:p w14:paraId="15BCE7BD">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等线" w:cs="Times New Roman"/>
          <w:bCs/>
          <w:color w:val="auto"/>
          <w:kern w:val="2"/>
          <w:sz w:val="24"/>
          <w:szCs w:val="28"/>
          <w:lang w:val="en-US" w:eastAsia="zh-CN" w:bidi="ar-SA"/>
        </w:rPr>
        <w:t>4.2.6.1</w:t>
      </w:r>
      <w:r>
        <w:rPr>
          <w:rFonts w:hint="eastAsia" w:ascii="Times New Roman" w:hAnsi="Times New Roman" w:eastAsia="宋体" w:cs="Times New Roman"/>
          <w:bCs/>
          <w:color w:val="auto"/>
          <w:kern w:val="2"/>
          <w:sz w:val="24"/>
          <w:szCs w:val="28"/>
          <w:lang w:val="en-US" w:eastAsia="zh-CN" w:bidi="ar-SA"/>
        </w:rPr>
        <w:t>.5 群落多样性特征</w:t>
      </w:r>
      <w:bookmarkStart w:id="122" w:name="_Hlk153358211"/>
    </w:p>
    <w:p w14:paraId="7A2DB526">
      <w:pPr>
        <w:spacing w:line="360" w:lineRule="auto"/>
        <w:ind w:firstLine="480" w:firstLineChars="200"/>
        <w:rPr>
          <w:rFonts w:ascii="Times New Roman" w:hAnsi="Times New Roman" w:eastAsia="宋体"/>
          <w:color w:val="auto"/>
          <w:sz w:val="24"/>
          <w:szCs w:val="28"/>
        </w:rPr>
      </w:pPr>
      <w:r>
        <w:rPr>
          <w:rFonts w:hint="eastAsia" w:ascii="Times New Roman" w:hAnsi="Times New Roman" w:eastAsia="宋体"/>
          <w:color w:val="auto"/>
          <w:sz w:val="24"/>
          <w:szCs w:val="28"/>
        </w:rPr>
        <w:t>2024年工程区调查水域显示，基于数量统计</w:t>
      </w:r>
      <w:bookmarkEnd w:id="122"/>
      <w:r>
        <w:rPr>
          <w:rFonts w:hint="eastAsia" w:ascii="Times New Roman" w:hAnsi="Times New Roman" w:eastAsia="宋体"/>
          <w:color w:val="auto"/>
          <w:sz w:val="24"/>
          <w:szCs w:val="28"/>
        </w:rPr>
        <w:t>，鱼类群落多样性特征值</w:t>
      </w:r>
      <w:bookmarkStart w:id="123" w:name="_Hlk153358240"/>
      <w:r>
        <w:rPr>
          <w:rFonts w:hint="eastAsia" w:ascii="Times New Roman" w:hAnsi="Times New Roman" w:eastAsia="宋体"/>
          <w:color w:val="auto"/>
          <w:sz w:val="24"/>
          <w:szCs w:val="28"/>
        </w:rPr>
        <w:t>中</w:t>
      </w:r>
      <w:r>
        <w:rPr>
          <w:rFonts w:ascii="Times New Roman" w:hAnsi="Times New Roman" w:eastAsia="宋体"/>
          <w:color w:val="auto"/>
          <w:sz w:val="24"/>
          <w:szCs w:val="28"/>
        </w:rPr>
        <w:t>Margalef</w:t>
      </w:r>
      <w:r>
        <w:rPr>
          <w:rFonts w:hint="eastAsia" w:ascii="Times New Roman" w:hAnsi="Times New Roman" w:eastAsia="宋体"/>
          <w:color w:val="auto"/>
          <w:sz w:val="24"/>
          <w:szCs w:val="28"/>
        </w:rPr>
        <w:t>丰富度指数</w:t>
      </w:r>
      <w:r>
        <w:rPr>
          <w:rFonts w:ascii="Times New Roman" w:hAnsi="Times New Roman" w:eastAsia="宋体"/>
          <w:color w:val="auto"/>
          <w:sz w:val="24"/>
          <w:szCs w:val="28"/>
        </w:rPr>
        <w:t>(</w:t>
      </w:r>
      <w:r>
        <w:rPr>
          <w:rFonts w:ascii="Times New Roman" w:hAnsi="Times New Roman" w:eastAsia="宋体"/>
          <w:i/>
          <w:iCs/>
          <w:color w:val="auto"/>
          <w:sz w:val="24"/>
          <w:szCs w:val="28"/>
        </w:rPr>
        <w:t>D</w:t>
      </w:r>
      <w:r>
        <w:rPr>
          <w:rFonts w:ascii="Times New Roman" w:hAnsi="Times New Roman" w:eastAsia="宋体"/>
          <w:i/>
          <w:iCs/>
          <w:color w:val="auto"/>
          <w:sz w:val="24"/>
          <w:szCs w:val="28"/>
          <w:vertAlign w:val="subscript"/>
        </w:rPr>
        <w:t>MG</w:t>
      </w:r>
      <w:r>
        <w:rPr>
          <w:rFonts w:ascii="Times New Roman" w:hAnsi="Times New Roman" w:eastAsia="宋体"/>
          <w:color w:val="auto"/>
          <w:sz w:val="24"/>
          <w:szCs w:val="28"/>
        </w:rPr>
        <w:t>)</w:t>
      </w:r>
      <w:r>
        <w:rPr>
          <w:rFonts w:hint="eastAsia" w:ascii="Times New Roman" w:hAnsi="Times New Roman" w:eastAsia="宋体"/>
          <w:color w:val="auto"/>
          <w:sz w:val="24"/>
          <w:szCs w:val="28"/>
        </w:rPr>
        <w:t>为</w:t>
      </w:r>
      <w:r>
        <w:rPr>
          <w:rFonts w:ascii="Times New Roman" w:hAnsi="Times New Roman" w:eastAsia="宋体"/>
          <w:color w:val="auto"/>
          <w:sz w:val="24"/>
          <w:szCs w:val="28"/>
        </w:rPr>
        <w:t>4.785</w:t>
      </w:r>
      <w:r>
        <w:rPr>
          <w:rFonts w:hint="eastAsia" w:ascii="Times New Roman" w:hAnsi="Times New Roman" w:eastAsia="宋体"/>
          <w:color w:val="auto"/>
          <w:sz w:val="24"/>
          <w:szCs w:val="28"/>
        </w:rPr>
        <w:t>，</w:t>
      </w:r>
      <w:r>
        <w:rPr>
          <w:rFonts w:ascii="Times New Roman" w:hAnsi="Times New Roman" w:eastAsia="宋体"/>
          <w:color w:val="auto"/>
          <w:sz w:val="24"/>
          <w:szCs w:val="28"/>
        </w:rPr>
        <w:t>Shannon</w:t>
      </w:r>
      <w:r>
        <w:rPr>
          <w:rFonts w:hint="eastAsia" w:ascii="Times New Roman" w:hAnsi="Times New Roman" w:eastAsia="宋体"/>
          <w:color w:val="auto"/>
          <w:sz w:val="24"/>
          <w:szCs w:val="28"/>
        </w:rPr>
        <w:t>多样性指数</w:t>
      </w:r>
      <w:r>
        <w:rPr>
          <w:rFonts w:ascii="Times New Roman" w:hAnsi="Times New Roman" w:eastAsia="宋体"/>
          <w:color w:val="auto"/>
          <w:sz w:val="24"/>
          <w:szCs w:val="28"/>
        </w:rPr>
        <w:t>(</w:t>
      </w:r>
      <w:r>
        <w:rPr>
          <w:rFonts w:ascii="Times New Roman" w:hAnsi="Times New Roman" w:eastAsia="宋体"/>
          <w:i/>
          <w:iCs/>
          <w:color w:val="auto"/>
          <w:sz w:val="24"/>
          <w:szCs w:val="28"/>
        </w:rPr>
        <w:t>H'</w:t>
      </w:r>
      <w:r>
        <w:rPr>
          <w:rFonts w:ascii="Times New Roman" w:hAnsi="Times New Roman" w:eastAsia="宋体"/>
          <w:color w:val="auto"/>
          <w:sz w:val="24"/>
          <w:szCs w:val="28"/>
        </w:rPr>
        <w:t>)</w:t>
      </w:r>
      <w:r>
        <w:rPr>
          <w:rFonts w:hint="eastAsia" w:ascii="Times New Roman" w:hAnsi="Times New Roman" w:eastAsia="宋体"/>
          <w:color w:val="auto"/>
          <w:sz w:val="24"/>
          <w:szCs w:val="28"/>
        </w:rPr>
        <w:t>为</w:t>
      </w:r>
      <w:r>
        <w:rPr>
          <w:rFonts w:ascii="Times New Roman" w:hAnsi="Times New Roman" w:eastAsia="宋体"/>
          <w:color w:val="auto"/>
          <w:sz w:val="24"/>
          <w:szCs w:val="28"/>
        </w:rPr>
        <w:t>2.175</w:t>
      </w:r>
      <w:r>
        <w:rPr>
          <w:rFonts w:hint="eastAsia" w:ascii="Times New Roman" w:hAnsi="Times New Roman" w:eastAsia="宋体"/>
          <w:color w:val="auto"/>
          <w:sz w:val="24"/>
          <w:szCs w:val="28"/>
        </w:rPr>
        <w:t>，</w:t>
      </w:r>
      <w:r>
        <w:rPr>
          <w:rFonts w:ascii="Times New Roman" w:hAnsi="Times New Roman" w:eastAsia="宋体"/>
          <w:color w:val="auto"/>
          <w:sz w:val="24"/>
          <w:szCs w:val="28"/>
        </w:rPr>
        <w:t>Simpson</w:t>
      </w:r>
      <w:r>
        <w:rPr>
          <w:rFonts w:hint="eastAsia" w:ascii="Times New Roman" w:hAnsi="Times New Roman" w:eastAsia="宋体"/>
          <w:color w:val="auto"/>
          <w:sz w:val="24"/>
          <w:szCs w:val="28"/>
        </w:rPr>
        <w:t>优势度指数</w:t>
      </w:r>
      <w:r>
        <w:rPr>
          <w:rFonts w:ascii="Times New Roman" w:hAnsi="Times New Roman" w:eastAsia="宋体"/>
          <w:color w:val="auto"/>
          <w:sz w:val="24"/>
          <w:szCs w:val="28"/>
        </w:rPr>
        <w:t>(</w:t>
      </w:r>
      <w:r>
        <w:rPr>
          <w:rFonts w:ascii="Times New Roman" w:hAnsi="Times New Roman" w:eastAsia="宋体"/>
          <w:i/>
          <w:iCs/>
          <w:color w:val="auto"/>
          <w:sz w:val="24"/>
          <w:szCs w:val="28"/>
        </w:rPr>
        <w:t>D</w:t>
      </w:r>
      <w:r>
        <w:rPr>
          <w:rFonts w:ascii="Times New Roman" w:hAnsi="Times New Roman" w:eastAsia="宋体"/>
          <w:color w:val="auto"/>
          <w:sz w:val="24"/>
          <w:szCs w:val="28"/>
        </w:rPr>
        <w:t>)</w:t>
      </w:r>
      <w:r>
        <w:rPr>
          <w:rFonts w:hint="eastAsia" w:ascii="Times New Roman" w:hAnsi="Times New Roman" w:eastAsia="宋体"/>
          <w:color w:val="auto"/>
          <w:sz w:val="24"/>
          <w:szCs w:val="28"/>
        </w:rPr>
        <w:t>为</w:t>
      </w:r>
      <w:r>
        <w:rPr>
          <w:rFonts w:ascii="Times New Roman" w:hAnsi="Times New Roman" w:eastAsia="宋体"/>
          <w:color w:val="auto"/>
          <w:sz w:val="24"/>
          <w:szCs w:val="28"/>
        </w:rPr>
        <w:t>0.221</w:t>
      </w:r>
      <w:r>
        <w:rPr>
          <w:rFonts w:hint="eastAsia" w:ascii="Times New Roman" w:hAnsi="Times New Roman" w:eastAsia="宋体"/>
          <w:color w:val="auto"/>
          <w:sz w:val="24"/>
          <w:szCs w:val="28"/>
        </w:rPr>
        <w:t>，</w:t>
      </w:r>
      <w:r>
        <w:rPr>
          <w:rFonts w:ascii="Times New Roman" w:hAnsi="Times New Roman" w:eastAsia="宋体"/>
          <w:color w:val="auto"/>
          <w:sz w:val="24"/>
          <w:szCs w:val="28"/>
        </w:rPr>
        <w:t>Pielou</w:t>
      </w:r>
      <w:r>
        <w:rPr>
          <w:rFonts w:hint="eastAsia" w:ascii="Times New Roman" w:hAnsi="Times New Roman" w:eastAsia="宋体"/>
          <w:color w:val="auto"/>
          <w:sz w:val="24"/>
          <w:szCs w:val="28"/>
        </w:rPr>
        <w:t>均匀度指数</w:t>
      </w:r>
      <w:r>
        <w:rPr>
          <w:rFonts w:ascii="Times New Roman" w:hAnsi="Times New Roman" w:eastAsia="宋体"/>
          <w:color w:val="auto"/>
          <w:sz w:val="24"/>
          <w:szCs w:val="28"/>
        </w:rPr>
        <w:t>(</w:t>
      </w:r>
      <w:r>
        <w:rPr>
          <w:rFonts w:ascii="Times New Roman" w:hAnsi="Times New Roman" w:eastAsia="宋体"/>
          <w:i/>
          <w:iCs/>
          <w:color w:val="auto"/>
          <w:sz w:val="24"/>
          <w:szCs w:val="28"/>
        </w:rPr>
        <w:t>E</w:t>
      </w:r>
      <w:r>
        <w:rPr>
          <w:rFonts w:ascii="Times New Roman" w:hAnsi="Times New Roman" w:eastAsia="宋体"/>
          <w:color w:val="auto"/>
          <w:sz w:val="24"/>
          <w:szCs w:val="28"/>
        </w:rPr>
        <w:t>)</w:t>
      </w:r>
      <w:r>
        <w:rPr>
          <w:rFonts w:hint="eastAsia" w:ascii="Times New Roman" w:hAnsi="Times New Roman" w:eastAsia="宋体"/>
          <w:color w:val="auto"/>
          <w:sz w:val="24"/>
          <w:szCs w:val="28"/>
        </w:rPr>
        <w:t>为</w:t>
      </w:r>
      <w:r>
        <w:rPr>
          <w:rFonts w:ascii="Times New Roman" w:hAnsi="Times New Roman" w:eastAsia="宋体"/>
          <w:color w:val="auto"/>
          <w:sz w:val="24"/>
          <w:szCs w:val="28"/>
        </w:rPr>
        <w:t>0.</w:t>
      </w:r>
      <w:bookmarkEnd w:id="123"/>
      <w:r>
        <w:rPr>
          <w:rFonts w:ascii="Times New Roman" w:hAnsi="Times New Roman" w:eastAsia="宋体"/>
          <w:color w:val="auto"/>
          <w:sz w:val="24"/>
          <w:szCs w:val="28"/>
        </w:rPr>
        <w:t>627 (</w:t>
      </w:r>
      <w:r>
        <w:rPr>
          <w:rFonts w:hint="eastAsia" w:ascii="Times New Roman" w:hAnsi="Times New Roman" w:eastAsia="宋体"/>
          <w:color w:val="auto"/>
          <w:sz w:val="24"/>
          <w:szCs w:val="28"/>
        </w:rPr>
        <w:t>图</w:t>
      </w:r>
      <w:r>
        <w:rPr>
          <w:rFonts w:ascii="Times New Roman" w:hAnsi="Times New Roman" w:eastAsia="宋体"/>
          <w:color w:val="auto"/>
          <w:sz w:val="24"/>
          <w:szCs w:val="28"/>
        </w:rPr>
        <w:t>4.</w:t>
      </w:r>
      <w:r>
        <w:rPr>
          <w:rFonts w:hint="eastAsia" w:ascii="Times New Roman" w:hAnsi="Times New Roman" w:eastAsia="宋体"/>
          <w:color w:val="auto"/>
          <w:sz w:val="24"/>
          <w:szCs w:val="28"/>
          <w:lang w:val="en-US" w:eastAsia="zh-CN"/>
        </w:rPr>
        <w:t>2-36</w:t>
      </w:r>
      <w:r>
        <w:rPr>
          <w:rFonts w:ascii="Times New Roman" w:hAnsi="Times New Roman" w:eastAsia="宋体"/>
          <w:color w:val="auto"/>
          <w:sz w:val="24"/>
          <w:szCs w:val="28"/>
        </w:rPr>
        <w:t>)</w:t>
      </w:r>
      <w:r>
        <w:rPr>
          <w:rFonts w:hint="eastAsia" w:ascii="Times New Roman" w:hAnsi="Times New Roman" w:eastAsia="宋体"/>
          <w:color w:val="auto"/>
          <w:sz w:val="24"/>
          <w:szCs w:val="28"/>
        </w:rPr>
        <w:t>。</w:t>
      </w:r>
    </w:p>
    <w:p w14:paraId="2A1CD82A">
      <w:pPr>
        <w:adjustRightInd w:val="0"/>
        <w:spacing w:line="360" w:lineRule="auto"/>
        <w:jc w:val="center"/>
        <w:rPr>
          <w:rFonts w:ascii="Times New Roman" w:hAnsi="Times New Roman" w:eastAsia="仿宋"/>
          <w:b/>
          <w:color w:val="auto"/>
          <w:sz w:val="24"/>
          <w:szCs w:val="24"/>
        </w:rPr>
      </w:pPr>
      <w:r>
        <w:rPr>
          <w:rFonts w:hint="eastAsia" w:ascii="等线" w:hAnsi="等线" w:eastAsia="等线"/>
          <w:color w:val="auto"/>
          <w:sz w:val="21"/>
          <w:szCs w:val="22"/>
          <w:lang w:bidi="ar"/>
        </w:rPr>
        <w:object>
          <v:shape id="_x0000_i1040" o:spt="75" type="#_x0000_t75" style="height:226.5pt;width:396.75pt;" o:ole="t" filled="f" o:preferrelative="t" stroked="f" coordsize="21600,21600">
            <v:path/>
            <v:fill on="f" focussize="0,0"/>
            <v:stroke on="f"/>
            <v:imagedata r:id="rId143" cropbottom="-58f" o:title=""/>
            <o:lock v:ext="edit" aspectratio="f"/>
            <w10:wrap type="none"/>
            <w10:anchorlock/>
          </v:shape>
          <o:OLEObject Type="Embed" ProgID="Excel.Chart.8" ShapeID="_x0000_i1040" DrawAspect="Content" ObjectID="_1468075740" r:id="rId142">
            <o:LockedField>false</o:LockedField>
          </o:OLEObject>
        </w:object>
      </w:r>
    </w:p>
    <w:p w14:paraId="368628F3">
      <w:pPr>
        <w:spacing w:line="400" w:lineRule="exact"/>
        <w:jc w:val="center"/>
        <w:rPr>
          <w:rFonts w:ascii="Times New Roman" w:hAnsi="Times New Roman" w:eastAsia="黑体" w:cs="Times New Roman"/>
          <w:color w:val="auto"/>
          <w:sz w:val="24"/>
          <w:szCs w:val="21"/>
        </w:rPr>
      </w:pPr>
      <w:r>
        <w:rPr>
          <w:rFonts w:hint="eastAsia" w:ascii="Times New Roman" w:hAnsi="Times New Roman" w:eastAsia="黑体" w:cs="Times New Roman"/>
          <w:color w:val="auto"/>
          <w:sz w:val="24"/>
          <w:szCs w:val="21"/>
        </w:rPr>
        <w:t>图</w:t>
      </w:r>
      <w:r>
        <w:rPr>
          <w:rFonts w:ascii="Times New Roman" w:hAnsi="Times New Roman" w:eastAsia="黑体" w:cs="Times New Roman"/>
          <w:color w:val="auto"/>
          <w:sz w:val="24"/>
          <w:szCs w:val="21"/>
        </w:rPr>
        <w:t>4.</w:t>
      </w:r>
      <w:r>
        <w:rPr>
          <w:rFonts w:hint="eastAsia" w:ascii="Times New Roman" w:hAnsi="Times New Roman" w:eastAsia="黑体" w:cs="Times New Roman"/>
          <w:color w:val="auto"/>
          <w:sz w:val="24"/>
          <w:szCs w:val="21"/>
          <w:lang w:val="en-US" w:eastAsia="zh-CN"/>
        </w:rPr>
        <w:t>2-36</w:t>
      </w:r>
      <w:r>
        <w:rPr>
          <w:rFonts w:ascii="Times New Roman" w:hAnsi="Times New Roman" w:eastAsia="黑体" w:cs="Times New Roman"/>
          <w:color w:val="auto"/>
          <w:sz w:val="24"/>
          <w:szCs w:val="21"/>
        </w:rPr>
        <w:t xml:space="preserve">  2024</w:t>
      </w:r>
      <w:r>
        <w:rPr>
          <w:rFonts w:hint="eastAsia" w:ascii="Times New Roman" w:hAnsi="Times New Roman" w:eastAsia="黑体" w:cs="Times New Roman"/>
          <w:color w:val="auto"/>
          <w:sz w:val="24"/>
          <w:szCs w:val="21"/>
        </w:rPr>
        <w:t>年工程区调查水域鱼类群落多样性特征</w:t>
      </w:r>
    </w:p>
    <w:p w14:paraId="208C931B">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等线" w:cs="Times New Roman"/>
          <w:bCs/>
          <w:color w:val="auto"/>
          <w:kern w:val="2"/>
          <w:sz w:val="24"/>
          <w:szCs w:val="28"/>
          <w:lang w:val="en-US" w:eastAsia="zh-CN" w:bidi="ar-SA"/>
        </w:rPr>
        <w:t>4.2.6.1</w:t>
      </w:r>
      <w:r>
        <w:rPr>
          <w:rFonts w:hint="eastAsia" w:ascii="Times New Roman" w:hAnsi="Times New Roman" w:eastAsia="宋体" w:cs="Times New Roman"/>
          <w:bCs/>
          <w:color w:val="auto"/>
          <w:kern w:val="2"/>
          <w:sz w:val="24"/>
          <w:szCs w:val="28"/>
          <w:lang w:val="en-US" w:eastAsia="zh-CN" w:bidi="ar-SA"/>
        </w:rPr>
        <w:t>.6 鱼类生物学</w:t>
      </w:r>
    </w:p>
    <w:p w14:paraId="2D6287E1">
      <w:pPr>
        <w:spacing w:line="360" w:lineRule="auto"/>
        <w:ind w:firstLine="480" w:firstLineChars="200"/>
        <w:rPr>
          <w:rFonts w:ascii="Times New Roman" w:hAnsi="Times New Roman" w:eastAsia="宋体"/>
          <w:color w:val="auto"/>
          <w:sz w:val="24"/>
          <w:szCs w:val="28"/>
        </w:rPr>
      </w:pPr>
      <w:r>
        <w:rPr>
          <w:rFonts w:hint="eastAsia" w:ascii="Times New Roman" w:hAnsi="Times New Roman" w:eastAsia="宋体"/>
          <w:color w:val="auto"/>
          <w:sz w:val="24"/>
          <w:szCs w:val="28"/>
        </w:rPr>
        <w:t>2024年工程区调查水域共采集抽样测量鱼类</w:t>
      </w:r>
      <w:r>
        <w:rPr>
          <w:rFonts w:ascii="Times New Roman" w:hAnsi="Times New Roman" w:eastAsia="宋体"/>
          <w:color w:val="auto"/>
          <w:sz w:val="24"/>
          <w:szCs w:val="28"/>
        </w:rPr>
        <w:t>651</w:t>
      </w:r>
      <w:r>
        <w:rPr>
          <w:rFonts w:hint="eastAsia" w:ascii="Times New Roman" w:hAnsi="Times New Roman" w:eastAsia="宋体"/>
          <w:color w:val="auto"/>
          <w:sz w:val="24"/>
          <w:szCs w:val="28"/>
        </w:rPr>
        <w:t>尾，重</w:t>
      </w:r>
      <w:r>
        <w:rPr>
          <w:rFonts w:ascii="Times New Roman" w:hAnsi="Times New Roman" w:eastAsia="宋体"/>
          <w:color w:val="auto"/>
          <w:sz w:val="24"/>
          <w:szCs w:val="28"/>
        </w:rPr>
        <w:t>43464.4 g</w:t>
      </w:r>
      <w:r>
        <w:rPr>
          <w:rFonts w:hint="eastAsia" w:ascii="Times New Roman" w:hAnsi="Times New Roman" w:eastAsia="宋体"/>
          <w:color w:val="auto"/>
          <w:sz w:val="24"/>
          <w:szCs w:val="28"/>
        </w:rPr>
        <w:t>，鱼类全长、体长和体重均值分别为</w:t>
      </w:r>
      <w:r>
        <w:rPr>
          <w:rFonts w:ascii="Times New Roman" w:hAnsi="Times New Roman" w:eastAsia="宋体"/>
          <w:color w:val="auto"/>
          <w:sz w:val="24"/>
          <w:szCs w:val="28"/>
        </w:rPr>
        <w:t>132 mm</w:t>
      </w:r>
      <w:r>
        <w:rPr>
          <w:rFonts w:hint="eastAsia" w:ascii="Times New Roman" w:hAnsi="Times New Roman" w:eastAsia="宋体"/>
          <w:color w:val="auto"/>
          <w:sz w:val="24"/>
          <w:szCs w:val="28"/>
        </w:rPr>
        <w:t>、</w:t>
      </w:r>
      <w:r>
        <w:rPr>
          <w:rFonts w:ascii="Times New Roman" w:hAnsi="Times New Roman" w:eastAsia="宋体"/>
          <w:color w:val="auto"/>
          <w:sz w:val="24"/>
          <w:szCs w:val="28"/>
        </w:rPr>
        <w:t>108 mm</w:t>
      </w:r>
      <w:r>
        <w:rPr>
          <w:rFonts w:hint="eastAsia" w:ascii="Times New Roman" w:hAnsi="Times New Roman" w:eastAsia="宋体"/>
          <w:color w:val="auto"/>
          <w:sz w:val="24"/>
          <w:szCs w:val="28"/>
        </w:rPr>
        <w:t>和</w:t>
      </w:r>
      <w:r>
        <w:rPr>
          <w:rFonts w:ascii="Times New Roman" w:hAnsi="Times New Roman" w:eastAsia="宋体"/>
          <w:color w:val="auto"/>
          <w:sz w:val="24"/>
          <w:szCs w:val="28"/>
        </w:rPr>
        <w:t>66.8 g</w:t>
      </w:r>
      <w:r>
        <w:rPr>
          <w:rFonts w:hint="eastAsia" w:ascii="Times New Roman" w:hAnsi="Times New Roman" w:eastAsia="宋体"/>
          <w:color w:val="auto"/>
          <w:sz w:val="24"/>
          <w:szCs w:val="28"/>
        </w:rPr>
        <w:t>(图</w:t>
      </w:r>
      <w:r>
        <w:rPr>
          <w:rFonts w:ascii="Times New Roman" w:hAnsi="Times New Roman" w:eastAsia="宋体"/>
          <w:color w:val="auto"/>
          <w:sz w:val="24"/>
          <w:szCs w:val="28"/>
        </w:rPr>
        <w:t>4.2</w:t>
      </w:r>
      <w:r>
        <w:rPr>
          <w:rFonts w:hint="eastAsia" w:ascii="Times New Roman" w:hAnsi="Times New Roman" w:eastAsia="宋体"/>
          <w:color w:val="auto"/>
          <w:sz w:val="24"/>
          <w:szCs w:val="28"/>
          <w:lang w:val="en-US" w:eastAsia="zh-CN"/>
        </w:rPr>
        <w:t>-37</w:t>
      </w:r>
      <w:r>
        <w:rPr>
          <w:rFonts w:hint="eastAsia" w:ascii="Times New Roman" w:hAnsi="Times New Roman" w:eastAsia="宋体"/>
          <w:color w:val="auto"/>
          <w:sz w:val="24"/>
          <w:szCs w:val="28"/>
        </w:rPr>
        <w:t>，图</w:t>
      </w:r>
      <w:r>
        <w:rPr>
          <w:rFonts w:ascii="Times New Roman" w:hAnsi="Times New Roman" w:eastAsia="宋体"/>
          <w:color w:val="auto"/>
          <w:sz w:val="24"/>
          <w:szCs w:val="28"/>
        </w:rPr>
        <w:t>4.</w:t>
      </w:r>
      <w:r>
        <w:rPr>
          <w:rFonts w:hint="eastAsia" w:ascii="Times New Roman" w:hAnsi="Times New Roman" w:eastAsia="宋体"/>
          <w:color w:val="auto"/>
          <w:sz w:val="24"/>
          <w:szCs w:val="28"/>
          <w:lang w:val="en-US" w:eastAsia="zh-CN"/>
        </w:rPr>
        <w:t>2-38</w:t>
      </w:r>
      <w:r>
        <w:rPr>
          <w:rFonts w:hint="eastAsia" w:ascii="Times New Roman" w:hAnsi="Times New Roman" w:eastAsia="宋体"/>
          <w:color w:val="auto"/>
          <w:sz w:val="24"/>
          <w:szCs w:val="28"/>
        </w:rPr>
        <w:t>)。</w:t>
      </w:r>
    </w:p>
    <w:p w14:paraId="1585730A">
      <w:pPr>
        <w:adjustRightInd w:val="0"/>
        <w:spacing w:line="360" w:lineRule="auto"/>
        <w:jc w:val="center"/>
        <w:rPr>
          <w:rFonts w:ascii="Times New Roman" w:hAnsi="Times New Roman" w:eastAsia="仿宋"/>
          <w:color w:val="auto"/>
          <w:sz w:val="28"/>
          <w:szCs w:val="22"/>
        </w:rPr>
      </w:pPr>
      <w:r>
        <w:rPr>
          <w:rFonts w:hint="eastAsia" w:ascii="等线" w:hAnsi="等线" w:eastAsia="等线"/>
          <w:color w:val="auto"/>
          <w:sz w:val="21"/>
          <w:szCs w:val="22"/>
          <w:lang w:bidi="ar"/>
        </w:rPr>
        <w:object>
          <v:shape id="_x0000_i1041" o:spt="75" type="#_x0000_t75" style="height:226.5pt;width:396.75pt;" o:ole="t" filled="f" o:preferrelative="t" stroked="f" coordsize="21600,21600">
            <v:path/>
            <v:fill on="f" focussize="0,0"/>
            <v:stroke on="f"/>
            <v:imagedata r:id="rId145" cropbottom="-58f" o:title=""/>
            <o:lock v:ext="edit" aspectratio="f"/>
            <w10:wrap type="none"/>
            <w10:anchorlock/>
          </v:shape>
          <o:OLEObject Type="Embed" ProgID="Excel.Chart.8" ShapeID="_x0000_i1041" DrawAspect="Content" ObjectID="_1468075741" r:id="rId144">
            <o:LockedField>false</o:LockedField>
          </o:OLEObject>
        </w:object>
      </w:r>
    </w:p>
    <w:p w14:paraId="3F1D2B8D">
      <w:pPr>
        <w:spacing w:line="400" w:lineRule="exact"/>
        <w:jc w:val="center"/>
        <w:rPr>
          <w:rFonts w:ascii="Times New Roman" w:hAnsi="Times New Roman" w:eastAsia="黑体" w:cs="Times New Roman"/>
          <w:color w:val="auto"/>
          <w:sz w:val="24"/>
          <w:szCs w:val="21"/>
        </w:rPr>
      </w:pPr>
      <w:r>
        <w:rPr>
          <w:rFonts w:hint="eastAsia" w:ascii="Times New Roman" w:hAnsi="Times New Roman" w:eastAsia="黑体" w:cs="Times New Roman"/>
          <w:color w:val="auto"/>
          <w:sz w:val="24"/>
          <w:szCs w:val="21"/>
        </w:rPr>
        <w:t>图</w:t>
      </w:r>
      <w:r>
        <w:rPr>
          <w:rFonts w:ascii="Times New Roman" w:hAnsi="Times New Roman" w:eastAsia="黑体" w:cs="Times New Roman"/>
          <w:color w:val="auto"/>
          <w:sz w:val="24"/>
          <w:szCs w:val="21"/>
        </w:rPr>
        <w:t>4.</w:t>
      </w:r>
      <w:r>
        <w:rPr>
          <w:rFonts w:hint="eastAsia" w:ascii="Times New Roman" w:hAnsi="Times New Roman" w:eastAsia="黑体" w:cs="Times New Roman"/>
          <w:color w:val="auto"/>
          <w:sz w:val="24"/>
          <w:szCs w:val="21"/>
          <w:lang w:val="en-US" w:eastAsia="zh-CN"/>
        </w:rPr>
        <w:t>2-37</w:t>
      </w:r>
      <w:r>
        <w:rPr>
          <w:rFonts w:ascii="Times New Roman" w:hAnsi="Times New Roman" w:eastAsia="黑体" w:cs="Times New Roman"/>
          <w:color w:val="auto"/>
          <w:sz w:val="24"/>
          <w:szCs w:val="21"/>
        </w:rPr>
        <w:t xml:space="preserve">  2024</w:t>
      </w:r>
      <w:r>
        <w:rPr>
          <w:rFonts w:hint="eastAsia" w:ascii="Times New Roman" w:hAnsi="Times New Roman" w:eastAsia="黑体" w:cs="Times New Roman"/>
          <w:color w:val="auto"/>
          <w:sz w:val="24"/>
          <w:szCs w:val="21"/>
        </w:rPr>
        <w:t>年工程区调查水域鱼类数量、重量空间特征</w:t>
      </w:r>
    </w:p>
    <w:p w14:paraId="5DDF0487">
      <w:pPr>
        <w:adjustRightInd w:val="0"/>
        <w:spacing w:line="360" w:lineRule="auto"/>
        <w:jc w:val="center"/>
        <w:rPr>
          <w:rFonts w:ascii="Times New Roman" w:hAnsi="Times New Roman" w:eastAsia="仿宋"/>
          <w:color w:val="auto"/>
          <w:sz w:val="28"/>
          <w:szCs w:val="22"/>
        </w:rPr>
      </w:pPr>
      <w:r>
        <w:rPr>
          <w:rFonts w:hint="eastAsia" w:ascii="等线" w:hAnsi="等线" w:eastAsia="等线"/>
          <w:color w:val="auto"/>
          <w:sz w:val="21"/>
          <w:szCs w:val="22"/>
          <w:lang w:bidi="ar"/>
        </w:rPr>
        <w:object>
          <v:shape id="_x0000_i1042" o:spt="75" type="#_x0000_t75" style="height:226.5pt;width:396.75pt;" o:ole="t" filled="f" o:preferrelative="t" stroked="f" coordsize="21600,21600">
            <v:path/>
            <v:fill on="f" focussize="0,0"/>
            <v:stroke on="f"/>
            <v:imagedata r:id="rId147" cropbottom="-58f" o:title=""/>
            <o:lock v:ext="edit" aspectratio="f"/>
            <w10:wrap type="none"/>
            <w10:anchorlock/>
          </v:shape>
          <o:OLEObject Type="Embed" ProgID="Excel.Chart.8" ShapeID="_x0000_i1042" DrawAspect="Content" ObjectID="_1468075742" r:id="rId146">
            <o:LockedField>false</o:LockedField>
          </o:OLEObject>
        </w:object>
      </w:r>
    </w:p>
    <w:p w14:paraId="19B854C8">
      <w:pPr>
        <w:spacing w:line="400" w:lineRule="exact"/>
        <w:jc w:val="center"/>
        <w:rPr>
          <w:rFonts w:ascii="Times New Roman" w:hAnsi="Times New Roman" w:eastAsia="黑体" w:cs="Times New Roman"/>
          <w:color w:val="auto"/>
          <w:sz w:val="24"/>
          <w:szCs w:val="21"/>
        </w:rPr>
      </w:pPr>
      <w:r>
        <w:rPr>
          <w:rFonts w:hint="eastAsia" w:ascii="Times New Roman" w:hAnsi="Times New Roman" w:eastAsia="黑体" w:cs="Times New Roman"/>
          <w:color w:val="auto"/>
          <w:sz w:val="24"/>
          <w:szCs w:val="21"/>
        </w:rPr>
        <w:t>图</w:t>
      </w:r>
      <w:r>
        <w:rPr>
          <w:rFonts w:ascii="Times New Roman" w:hAnsi="Times New Roman" w:eastAsia="黑体" w:cs="Times New Roman"/>
          <w:color w:val="auto"/>
          <w:sz w:val="24"/>
          <w:szCs w:val="21"/>
        </w:rPr>
        <w:t>4.</w:t>
      </w:r>
      <w:r>
        <w:rPr>
          <w:rFonts w:hint="eastAsia" w:ascii="Times New Roman" w:hAnsi="Times New Roman" w:eastAsia="黑体" w:cs="Times New Roman"/>
          <w:color w:val="auto"/>
          <w:sz w:val="24"/>
          <w:szCs w:val="21"/>
          <w:lang w:val="en-US" w:eastAsia="zh-CN"/>
        </w:rPr>
        <w:t>2-38</w:t>
      </w:r>
      <w:r>
        <w:rPr>
          <w:rFonts w:ascii="Times New Roman" w:hAnsi="Times New Roman" w:eastAsia="黑体" w:cs="Times New Roman"/>
          <w:color w:val="auto"/>
          <w:sz w:val="24"/>
          <w:szCs w:val="21"/>
        </w:rPr>
        <w:t xml:space="preserve">   2024</w:t>
      </w:r>
      <w:r>
        <w:rPr>
          <w:rFonts w:hint="eastAsia" w:ascii="Times New Roman" w:hAnsi="Times New Roman" w:eastAsia="黑体" w:cs="Times New Roman"/>
          <w:color w:val="auto"/>
          <w:sz w:val="24"/>
          <w:szCs w:val="21"/>
        </w:rPr>
        <w:t>年工程区调查水域鱼类生物学空间特征</w:t>
      </w:r>
    </w:p>
    <w:p w14:paraId="2B159802">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4.2.6.2 鱼类早期资源现状</w:t>
      </w:r>
    </w:p>
    <w:p w14:paraId="1A5FCBB3">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等线" w:cs="Times New Roman"/>
          <w:bCs/>
          <w:color w:val="auto"/>
          <w:kern w:val="2"/>
          <w:sz w:val="24"/>
          <w:szCs w:val="28"/>
          <w:lang w:val="en-US" w:eastAsia="zh-CN" w:bidi="ar-SA"/>
        </w:rPr>
        <w:t xml:space="preserve">4.2.6.2 </w:t>
      </w:r>
      <w:r>
        <w:rPr>
          <w:rFonts w:hint="eastAsia" w:ascii="Times New Roman" w:hAnsi="Times New Roman" w:eastAsia="宋体" w:cs="Times New Roman"/>
          <w:bCs/>
          <w:color w:val="auto"/>
          <w:kern w:val="2"/>
          <w:sz w:val="24"/>
          <w:szCs w:val="28"/>
          <w:lang w:val="en-US" w:eastAsia="zh-CN" w:bidi="ar-SA"/>
        </w:rPr>
        <w:t>.1 物种组成</w:t>
      </w:r>
    </w:p>
    <w:p w14:paraId="4708CA76">
      <w:pPr>
        <w:spacing w:line="360" w:lineRule="auto"/>
        <w:ind w:firstLine="480" w:firstLineChars="200"/>
        <w:rPr>
          <w:rFonts w:ascii="Times New Roman" w:hAnsi="Times New Roman" w:eastAsia="宋体"/>
          <w:color w:val="auto"/>
          <w:sz w:val="24"/>
          <w:szCs w:val="28"/>
        </w:rPr>
      </w:pPr>
      <w:r>
        <w:rPr>
          <w:rFonts w:ascii="Times New Roman" w:hAnsi="Times New Roman" w:eastAsia="宋体"/>
          <w:color w:val="auto"/>
          <w:sz w:val="24"/>
          <w:szCs w:val="28"/>
        </w:rPr>
        <w:t>202</w:t>
      </w:r>
      <w:r>
        <w:rPr>
          <w:rFonts w:hint="eastAsia" w:ascii="Times New Roman" w:hAnsi="Times New Roman" w:eastAsia="宋体"/>
          <w:color w:val="auto"/>
          <w:sz w:val="24"/>
          <w:szCs w:val="28"/>
        </w:rPr>
        <w:t>4</w:t>
      </w:r>
      <w:r>
        <w:rPr>
          <w:rFonts w:ascii="Times New Roman" w:hAnsi="Times New Roman" w:eastAsia="宋体"/>
          <w:color w:val="auto"/>
          <w:sz w:val="24"/>
          <w:szCs w:val="28"/>
        </w:rPr>
        <w:t>年</w:t>
      </w:r>
      <w:r>
        <w:rPr>
          <w:rFonts w:hint="eastAsia" w:ascii="Times New Roman" w:hAnsi="Times New Roman" w:eastAsia="宋体"/>
          <w:color w:val="auto"/>
          <w:sz w:val="24"/>
          <w:szCs w:val="28"/>
        </w:rPr>
        <w:t>工程水域</w:t>
      </w:r>
      <w:r>
        <w:rPr>
          <w:rFonts w:ascii="Times New Roman" w:hAnsi="Times New Roman" w:eastAsia="宋体"/>
          <w:color w:val="auto"/>
          <w:sz w:val="24"/>
          <w:szCs w:val="28"/>
        </w:rPr>
        <w:t>调查结果显示，</w:t>
      </w:r>
      <w:r>
        <w:rPr>
          <w:rFonts w:hint="eastAsia" w:ascii="Times New Roman" w:hAnsi="Times New Roman" w:eastAsia="宋体"/>
          <w:color w:val="auto"/>
          <w:sz w:val="24"/>
          <w:szCs w:val="28"/>
        </w:rPr>
        <w:t>调查水域</w:t>
      </w:r>
      <w:r>
        <w:rPr>
          <w:rFonts w:ascii="Times New Roman" w:hAnsi="Times New Roman" w:eastAsia="宋体"/>
          <w:color w:val="auto"/>
          <w:sz w:val="24"/>
          <w:szCs w:val="28"/>
        </w:rPr>
        <w:t>共采集仔稚鱼93尾，共鉴定仔稚鱼4目4科7种，采集最多的为子陵吻虾虎鱼，为43尾，数量占比46.23%(表4.</w:t>
      </w:r>
      <w:r>
        <w:rPr>
          <w:rFonts w:hint="eastAsia" w:ascii="Times New Roman" w:hAnsi="Times New Roman" w:eastAsia="宋体"/>
          <w:color w:val="auto"/>
          <w:sz w:val="24"/>
          <w:szCs w:val="28"/>
          <w:lang w:val="en-US" w:eastAsia="zh-CN"/>
        </w:rPr>
        <w:t>2-42）</w:t>
      </w:r>
      <w:r>
        <w:rPr>
          <w:rFonts w:ascii="Times New Roman" w:hAnsi="Times New Roman" w:eastAsia="宋体"/>
          <w:color w:val="auto"/>
          <w:sz w:val="24"/>
          <w:szCs w:val="28"/>
        </w:rPr>
        <w:t>。</w:t>
      </w:r>
    </w:p>
    <w:p w14:paraId="001E6DE0">
      <w:pPr>
        <w:widowControl/>
        <w:spacing w:line="240" w:lineRule="auto"/>
        <w:jc w:val="center"/>
        <w:rPr>
          <w:rFonts w:ascii="Times New Roman" w:hAnsi="Times New Roman" w:eastAsia="宋体"/>
          <w:b/>
          <w:bCs/>
          <w:color w:val="auto"/>
          <w:sz w:val="24"/>
          <w:szCs w:val="22"/>
        </w:rPr>
      </w:pPr>
      <w:r>
        <w:rPr>
          <w:rFonts w:ascii="Times New Roman" w:hAnsi="Times New Roman" w:eastAsia="黑体" w:cs="Times New Roman"/>
          <w:color w:val="auto"/>
          <w:sz w:val="24"/>
          <w:szCs w:val="21"/>
        </w:rPr>
        <w:t>表</w:t>
      </w:r>
      <w:r>
        <w:rPr>
          <w:rFonts w:hint="eastAsia" w:ascii="Times New Roman" w:hAnsi="Times New Roman" w:eastAsia="黑体" w:cs="Times New Roman"/>
          <w:color w:val="auto"/>
          <w:sz w:val="24"/>
          <w:szCs w:val="21"/>
        </w:rPr>
        <w:t>4.</w:t>
      </w:r>
      <w:r>
        <w:rPr>
          <w:rFonts w:hint="eastAsia" w:ascii="Times New Roman" w:hAnsi="Times New Roman" w:eastAsia="黑体" w:cs="Times New Roman"/>
          <w:color w:val="auto"/>
          <w:sz w:val="24"/>
          <w:szCs w:val="21"/>
          <w:lang w:val="en-US" w:eastAsia="zh-CN"/>
        </w:rPr>
        <w:t xml:space="preserve">2-42  </w:t>
      </w:r>
      <w:r>
        <w:rPr>
          <w:rFonts w:ascii="Times New Roman" w:hAnsi="Times New Roman" w:eastAsia="黑体" w:cs="Times New Roman"/>
          <w:color w:val="auto"/>
          <w:sz w:val="24"/>
          <w:szCs w:val="21"/>
        </w:rPr>
        <w:t xml:space="preserve"> 202</w:t>
      </w:r>
      <w:r>
        <w:rPr>
          <w:rFonts w:hint="eastAsia" w:ascii="Times New Roman" w:hAnsi="Times New Roman" w:eastAsia="黑体" w:cs="Times New Roman"/>
          <w:color w:val="auto"/>
          <w:sz w:val="24"/>
          <w:szCs w:val="21"/>
        </w:rPr>
        <w:t>4年工程区调查水域</w:t>
      </w:r>
      <w:r>
        <w:rPr>
          <w:rFonts w:ascii="Times New Roman" w:hAnsi="Times New Roman" w:eastAsia="黑体" w:cs="Times New Roman"/>
          <w:color w:val="auto"/>
          <w:sz w:val="24"/>
          <w:szCs w:val="21"/>
        </w:rPr>
        <w:t>仔稚鱼名录</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93"/>
        <w:gridCol w:w="2506"/>
        <w:gridCol w:w="2040"/>
        <w:gridCol w:w="4048"/>
      </w:tblGrid>
      <w:tr w14:paraId="5793F1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3" w:type="pct"/>
            <w:tcBorders>
              <w:tl2br w:val="nil"/>
              <w:tr2bl w:val="nil"/>
            </w:tcBorders>
            <w:noWrap w:val="0"/>
            <w:vAlign w:val="center"/>
          </w:tcPr>
          <w:p w14:paraId="4093E421">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lang w:bidi="ar"/>
              </w:rPr>
              <w:t>序号</w:t>
            </w:r>
          </w:p>
        </w:tc>
        <w:tc>
          <w:tcPr>
            <w:tcW w:w="1349" w:type="pct"/>
            <w:tcBorders>
              <w:tl2br w:val="nil"/>
              <w:tr2bl w:val="nil"/>
            </w:tcBorders>
            <w:noWrap w:val="0"/>
            <w:vAlign w:val="center"/>
          </w:tcPr>
          <w:p w14:paraId="25F18ECD">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lang w:bidi="ar"/>
              </w:rPr>
              <w:t>目Order</w:t>
            </w:r>
          </w:p>
        </w:tc>
        <w:tc>
          <w:tcPr>
            <w:tcW w:w="1098" w:type="pct"/>
            <w:tcBorders>
              <w:tl2br w:val="nil"/>
              <w:tr2bl w:val="nil"/>
            </w:tcBorders>
            <w:noWrap w:val="0"/>
            <w:vAlign w:val="center"/>
          </w:tcPr>
          <w:p w14:paraId="5FF35939">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lang w:bidi="ar"/>
              </w:rPr>
              <w:t>科Family</w:t>
            </w:r>
          </w:p>
        </w:tc>
        <w:tc>
          <w:tcPr>
            <w:tcW w:w="2179" w:type="pct"/>
            <w:tcBorders>
              <w:tl2br w:val="nil"/>
              <w:tr2bl w:val="nil"/>
            </w:tcBorders>
            <w:noWrap w:val="0"/>
            <w:vAlign w:val="center"/>
          </w:tcPr>
          <w:p w14:paraId="0260CFBA">
            <w:pPr>
              <w:keepNext w:val="0"/>
              <w:keepLines w:val="0"/>
              <w:suppressLineNumbers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lang w:bidi="ar"/>
              </w:rPr>
              <w:t>种名Species</w:t>
            </w:r>
          </w:p>
        </w:tc>
      </w:tr>
      <w:tr w14:paraId="057BAF4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3" w:type="pct"/>
            <w:tcBorders>
              <w:tl2br w:val="nil"/>
              <w:tr2bl w:val="nil"/>
            </w:tcBorders>
            <w:noWrap w:val="0"/>
            <w:vAlign w:val="center"/>
          </w:tcPr>
          <w:p w14:paraId="0E560D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1</w:t>
            </w:r>
          </w:p>
        </w:tc>
        <w:tc>
          <w:tcPr>
            <w:tcW w:w="1349" w:type="pct"/>
            <w:tcBorders>
              <w:tl2br w:val="nil"/>
              <w:tr2bl w:val="nil"/>
            </w:tcBorders>
            <w:noWrap w:val="0"/>
            <w:vAlign w:val="center"/>
          </w:tcPr>
          <w:p w14:paraId="16CE61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鲱形目Clupeiformes</w:t>
            </w:r>
          </w:p>
        </w:tc>
        <w:tc>
          <w:tcPr>
            <w:tcW w:w="1098" w:type="pct"/>
            <w:tcBorders>
              <w:tl2br w:val="nil"/>
              <w:tr2bl w:val="nil"/>
            </w:tcBorders>
            <w:noWrap w:val="0"/>
            <w:vAlign w:val="center"/>
          </w:tcPr>
          <w:p w14:paraId="624843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鳀科Engraulidae</w:t>
            </w:r>
          </w:p>
        </w:tc>
        <w:tc>
          <w:tcPr>
            <w:tcW w:w="2179" w:type="pct"/>
            <w:tcBorders>
              <w:tl2br w:val="nil"/>
              <w:tr2bl w:val="nil"/>
            </w:tcBorders>
            <w:noWrap w:val="0"/>
            <w:vAlign w:val="center"/>
          </w:tcPr>
          <w:p w14:paraId="7F5B16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刀鲚</w:t>
            </w:r>
            <w:r>
              <w:rPr>
                <w:rFonts w:hint="default" w:ascii="Times New Roman" w:hAnsi="Times New Roman" w:eastAsia="宋体"/>
                <w:i/>
                <w:iCs/>
                <w:color w:val="auto"/>
                <w:kern w:val="0"/>
                <w:sz w:val="21"/>
                <w:szCs w:val="21"/>
                <w:lang w:bidi="ar"/>
              </w:rPr>
              <w:t>Coilia nasus</w:t>
            </w:r>
          </w:p>
        </w:tc>
      </w:tr>
      <w:tr w14:paraId="74D3C96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3" w:type="pct"/>
            <w:tcBorders>
              <w:tl2br w:val="nil"/>
              <w:tr2bl w:val="nil"/>
            </w:tcBorders>
            <w:noWrap w:val="0"/>
            <w:vAlign w:val="center"/>
          </w:tcPr>
          <w:p w14:paraId="65825C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2</w:t>
            </w:r>
          </w:p>
        </w:tc>
        <w:tc>
          <w:tcPr>
            <w:tcW w:w="1349" w:type="pct"/>
            <w:tcBorders>
              <w:tl2br w:val="nil"/>
              <w:tr2bl w:val="nil"/>
            </w:tcBorders>
            <w:noWrap w:val="0"/>
            <w:vAlign w:val="center"/>
          </w:tcPr>
          <w:p w14:paraId="16EADB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胡瓜鱼目Osmeriformes</w:t>
            </w:r>
          </w:p>
        </w:tc>
        <w:tc>
          <w:tcPr>
            <w:tcW w:w="1098" w:type="pct"/>
            <w:tcBorders>
              <w:tl2br w:val="nil"/>
              <w:tr2bl w:val="nil"/>
            </w:tcBorders>
            <w:noWrap w:val="0"/>
            <w:vAlign w:val="center"/>
          </w:tcPr>
          <w:p w14:paraId="46564C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银鱼科Salangidae</w:t>
            </w:r>
          </w:p>
        </w:tc>
        <w:tc>
          <w:tcPr>
            <w:tcW w:w="2179" w:type="pct"/>
            <w:tcBorders>
              <w:tl2br w:val="nil"/>
              <w:tr2bl w:val="nil"/>
            </w:tcBorders>
            <w:noWrap w:val="0"/>
            <w:vAlign w:val="center"/>
          </w:tcPr>
          <w:p w14:paraId="09E877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陈氏短吻银鱼</w:t>
            </w:r>
            <w:r>
              <w:rPr>
                <w:rFonts w:hint="default" w:ascii="Times New Roman" w:hAnsi="Times New Roman" w:eastAsia="宋体"/>
                <w:i/>
                <w:iCs/>
                <w:color w:val="auto"/>
                <w:kern w:val="0"/>
                <w:sz w:val="21"/>
                <w:szCs w:val="21"/>
                <w:lang w:bidi="ar"/>
              </w:rPr>
              <w:t>Salangichthys tangkahkeii</w:t>
            </w:r>
          </w:p>
        </w:tc>
      </w:tr>
      <w:tr w14:paraId="6856146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3" w:type="pct"/>
            <w:tcBorders>
              <w:tl2br w:val="nil"/>
              <w:tr2bl w:val="nil"/>
            </w:tcBorders>
            <w:noWrap w:val="0"/>
            <w:vAlign w:val="center"/>
          </w:tcPr>
          <w:p w14:paraId="3373B9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3</w:t>
            </w:r>
          </w:p>
        </w:tc>
        <w:tc>
          <w:tcPr>
            <w:tcW w:w="1349" w:type="pct"/>
            <w:tcBorders>
              <w:tl2br w:val="nil"/>
              <w:tr2bl w:val="nil"/>
            </w:tcBorders>
            <w:noWrap w:val="0"/>
            <w:vAlign w:val="center"/>
          </w:tcPr>
          <w:p w14:paraId="5AAA1E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鲤形目Cypriniformes</w:t>
            </w:r>
          </w:p>
        </w:tc>
        <w:tc>
          <w:tcPr>
            <w:tcW w:w="1098" w:type="pct"/>
            <w:tcBorders>
              <w:tl2br w:val="nil"/>
              <w:tr2bl w:val="nil"/>
            </w:tcBorders>
            <w:noWrap w:val="0"/>
            <w:vAlign w:val="center"/>
          </w:tcPr>
          <w:p w14:paraId="4BB1CF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鲤科Cyprinidae</w:t>
            </w:r>
          </w:p>
        </w:tc>
        <w:tc>
          <w:tcPr>
            <w:tcW w:w="2179" w:type="pct"/>
            <w:tcBorders>
              <w:tl2br w:val="nil"/>
              <w:tr2bl w:val="nil"/>
            </w:tcBorders>
            <w:noWrap w:val="0"/>
            <w:vAlign w:val="center"/>
          </w:tcPr>
          <w:p w14:paraId="2AE4FB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䱗</w:t>
            </w:r>
            <w:r>
              <w:rPr>
                <w:rFonts w:hint="default" w:ascii="Times New Roman" w:hAnsi="Times New Roman" w:eastAsia="宋体"/>
                <w:i/>
                <w:iCs/>
                <w:color w:val="auto"/>
                <w:kern w:val="0"/>
                <w:sz w:val="21"/>
                <w:szCs w:val="21"/>
                <w:lang w:bidi="ar"/>
              </w:rPr>
              <w:t>Hemiculter leucisculus</w:t>
            </w:r>
          </w:p>
        </w:tc>
      </w:tr>
      <w:tr w14:paraId="0522C31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3" w:type="pct"/>
            <w:tcBorders>
              <w:tl2br w:val="nil"/>
              <w:tr2bl w:val="nil"/>
            </w:tcBorders>
            <w:noWrap w:val="0"/>
            <w:vAlign w:val="center"/>
          </w:tcPr>
          <w:p w14:paraId="20A526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4</w:t>
            </w:r>
          </w:p>
        </w:tc>
        <w:tc>
          <w:tcPr>
            <w:tcW w:w="1349" w:type="pct"/>
            <w:tcBorders>
              <w:tl2br w:val="nil"/>
              <w:tr2bl w:val="nil"/>
            </w:tcBorders>
            <w:noWrap w:val="0"/>
            <w:vAlign w:val="center"/>
          </w:tcPr>
          <w:p w14:paraId="2BC59F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鲤形目Cypriniformes</w:t>
            </w:r>
          </w:p>
        </w:tc>
        <w:tc>
          <w:tcPr>
            <w:tcW w:w="1098" w:type="pct"/>
            <w:tcBorders>
              <w:tl2br w:val="nil"/>
              <w:tr2bl w:val="nil"/>
            </w:tcBorders>
            <w:noWrap w:val="0"/>
            <w:vAlign w:val="center"/>
          </w:tcPr>
          <w:p w14:paraId="30ADF0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鲤科Cyprinidae</w:t>
            </w:r>
          </w:p>
        </w:tc>
        <w:tc>
          <w:tcPr>
            <w:tcW w:w="2179" w:type="pct"/>
            <w:tcBorders>
              <w:tl2br w:val="nil"/>
              <w:tr2bl w:val="nil"/>
            </w:tcBorders>
            <w:noWrap w:val="0"/>
            <w:vAlign w:val="center"/>
          </w:tcPr>
          <w:p w14:paraId="53C4FB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鳡</w:t>
            </w:r>
            <w:r>
              <w:rPr>
                <w:rFonts w:hint="default" w:ascii="Times New Roman" w:hAnsi="Times New Roman" w:eastAsia="宋体"/>
                <w:i/>
                <w:iCs/>
                <w:color w:val="auto"/>
                <w:kern w:val="0"/>
                <w:sz w:val="21"/>
                <w:szCs w:val="21"/>
                <w:lang w:bidi="ar"/>
              </w:rPr>
              <w:t>Elopichthys bambusa</w:t>
            </w:r>
          </w:p>
        </w:tc>
      </w:tr>
      <w:tr w14:paraId="16D97D9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3" w:type="pct"/>
            <w:tcBorders>
              <w:tl2br w:val="nil"/>
              <w:tr2bl w:val="nil"/>
            </w:tcBorders>
            <w:noWrap w:val="0"/>
            <w:vAlign w:val="center"/>
          </w:tcPr>
          <w:p w14:paraId="26962E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5</w:t>
            </w:r>
          </w:p>
        </w:tc>
        <w:tc>
          <w:tcPr>
            <w:tcW w:w="1349" w:type="pct"/>
            <w:tcBorders>
              <w:tl2br w:val="nil"/>
              <w:tr2bl w:val="nil"/>
            </w:tcBorders>
            <w:noWrap w:val="0"/>
            <w:vAlign w:val="center"/>
          </w:tcPr>
          <w:p w14:paraId="403454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鲤形目Cypriniformes</w:t>
            </w:r>
          </w:p>
        </w:tc>
        <w:tc>
          <w:tcPr>
            <w:tcW w:w="1098" w:type="pct"/>
            <w:tcBorders>
              <w:tl2br w:val="nil"/>
              <w:tr2bl w:val="nil"/>
            </w:tcBorders>
            <w:noWrap w:val="0"/>
            <w:vAlign w:val="center"/>
          </w:tcPr>
          <w:p w14:paraId="2C6761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鲤科Cyprinidae</w:t>
            </w:r>
          </w:p>
        </w:tc>
        <w:tc>
          <w:tcPr>
            <w:tcW w:w="2179" w:type="pct"/>
            <w:tcBorders>
              <w:tl2br w:val="nil"/>
              <w:tr2bl w:val="nil"/>
            </w:tcBorders>
            <w:noWrap w:val="0"/>
            <w:vAlign w:val="center"/>
          </w:tcPr>
          <w:p w14:paraId="370488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飘鱼</w:t>
            </w:r>
            <w:r>
              <w:rPr>
                <w:rFonts w:hint="default" w:ascii="Times New Roman" w:hAnsi="Times New Roman" w:eastAsia="宋体"/>
                <w:i/>
                <w:iCs/>
                <w:color w:val="auto"/>
                <w:kern w:val="0"/>
                <w:sz w:val="21"/>
                <w:szCs w:val="21"/>
                <w:lang w:bidi="ar"/>
              </w:rPr>
              <w:t>Pseudolaubuca sinensis</w:t>
            </w:r>
          </w:p>
        </w:tc>
      </w:tr>
      <w:tr w14:paraId="192EA4F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3" w:type="pct"/>
            <w:tcBorders>
              <w:tl2br w:val="nil"/>
              <w:tr2bl w:val="nil"/>
            </w:tcBorders>
            <w:noWrap w:val="0"/>
            <w:vAlign w:val="center"/>
          </w:tcPr>
          <w:p w14:paraId="33B57E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6</w:t>
            </w:r>
          </w:p>
        </w:tc>
        <w:tc>
          <w:tcPr>
            <w:tcW w:w="1349" w:type="pct"/>
            <w:tcBorders>
              <w:tl2br w:val="nil"/>
              <w:tr2bl w:val="nil"/>
            </w:tcBorders>
            <w:noWrap w:val="0"/>
            <w:vAlign w:val="center"/>
          </w:tcPr>
          <w:p w14:paraId="3D3329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鲤形目Cypriniformes</w:t>
            </w:r>
          </w:p>
        </w:tc>
        <w:tc>
          <w:tcPr>
            <w:tcW w:w="1098" w:type="pct"/>
            <w:tcBorders>
              <w:tl2br w:val="nil"/>
              <w:tr2bl w:val="nil"/>
            </w:tcBorders>
            <w:noWrap w:val="0"/>
            <w:vAlign w:val="center"/>
          </w:tcPr>
          <w:p w14:paraId="4B335C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鲤科Cyprinidae</w:t>
            </w:r>
          </w:p>
        </w:tc>
        <w:tc>
          <w:tcPr>
            <w:tcW w:w="2179" w:type="pct"/>
            <w:tcBorders>
              <w:tl2br w:val="nil"/>
              <w:tr2bl w:val="nil"/>
            </w:tcBorders>
            <w:noWrap w:val="0"/>
            <w:vAlign w:val="center"/>
          </w:tcPr>
          <w:p w14:paraId="090147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sz w:val="21"/>
                <w:szCs w:val="21"/>
                <w:lang w:bidi="ar"/>
              </w:rPr>
              <w:t>银鮈S</w:t>
            </w:r>
            <w:r>
              <w:rPr>
                <w:rFonts w:hint="default" w:ascii="Times New Roman" w:hAnsi="Times New Roman" w:eastAsia="宋体"/>
                <w:i/>
                <w:color w:val="auto"/>
                <w:sz w:val="21"/>
                <w:szCs w:val="21"/>
                <w:lang w:bidi="ar"/>
              </w:rPr>
              <w:t>qualidus argentatus</w:t>
            </w:r>
          </w:p>
        </w:tc>
      </w:tr>
      <w:tr w14:paraId="3B60E1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73" w:type="pct"/>
            <w:tcBorders>
              <w:tl2br w:val="nil"/>
              <w:tr2bl w:val="nil"/>
            </w:tcBorders>
            <w:noWrap w:val="0"/>
            <w:vAlign w:val="center"/>
          </w:tcPr>
          <w:p w14:paraId="1AB528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7</w:t>
            </w:r>
          </w:p>
        </w:tc>
        <w:tc>
          <w:tcPr>
            <w:tcW w:w="1349" w:type="pct"/>
            <w:tcBorders>
              <w:tl2br w:val="nil"/>
              <w:tr2bl w:val="nil"/>
            </w:tcBorders>
            <w:noWrap w:val="0"/>
            <w:vAlign w:val="center"/>
          </w:tcPr>
          <w:p w14:paraId="5BDD27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鲈形目Perciformes</w:t>
            </w:r>
          </w:p>
        </w:tc>
        <w:tc>
          <w:tcPr>
            <w:tcW w:w="1098" w:type="pct"/>
            <w:tcBorders>
              <w:tl2br w:val="nil"/>
              <w:tr2bl w:val="nil"/>
            </w:tcBorders>
            <w:noWrap w:val="0"/>
            <w:vAlign w:val="center"/>
          </w:tcPr>
          <w:p w14:paraId="1435AE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虾虎鱼科Gobiidae</w:t>
            </w:r>
          </w:p>
        </w:tc>
        <w:tc>
          <w:tcPr>
            <w:tcW w:w="2179" w:type="pct"/>
            <w:tcBorders>
              <w:tl2br w:val="nil"/>
              <w:tr2bl w:val="nil"/>
            </w:tcBorders>
            <w:noWrap w:val="0"/>
            <w:vAlign w:val="center"/>
          </w:tcPr>
          <w:p w14:paraId="7C25F6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olor w:val="auto"/>
                <w:kern w:val="0"/>
                <w:sz w:val="21"/>
                <w:szCs w:val="21"/>
                <w:lang w:bidi="ar"/>
              </w:rPr>
            </w:pPr>
            <w:r>
              <w:rPr>
                <w:rFonts w:hint="default" w:ascii="Times New Roman" w:hAnsi="Times New Roman" w:eastAsia="宋体"/>
                <w:color w:val="auto"/>
                <w:kern w:val="0"/>
                <w:sz w:val="21"/>
                <w:szCs w:val="21"/>
                <w:lang w:bidi="ar"/>
              </w:rPr>
              <w:t>子陵吻虾虎鱼</w:t>
            </w:r>
            <w:r>
              <w:rPr>
                <w:rFonts w:hint="default" w:ascii="Times New Roman" w:hAnsi="Times New Roman" w:eastAsia="宋体"/>
                <w:i/>
                <w:iCs/>
                <w:color w:val="auto"/>
                <w:kern w:val="0"/>
                <w:sz w:val="21"/>
                <w:szCs w:val="21"/>
                <w:lang w:bidi="ar"/>
              </w:rPr>
              <w:t>Rhinogobius giurinus</w:t>
            </w:r>
          </w:p>
        </w:tc>
      </w:tr>
    </w:tbl>
    <w:p w14:paraId="2E1352BB">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等线" w:cs="Times New Roman"/>
          <w:bCs/>
          <w:color w:val="auto"/>
          <w:kern w:val="2"/>
          <w:sz w:val="24"/>
          <w:szCs w:val="28"/>
          <w:lang w:val="en-US" w:eastAsia="zh-CN" w:bidi="ar-SA"/>
        </w:rPr>
        <w:t xml:space="preserve">4.2.6.2 </w:t>
      </w:r>
      <w:r>
        <w:rPr>
          <w:rFonts w:hint="eastAsia" w:ascii="Times New Roman" w:hAnsi="Times New Roman" w:eastAsia="宋体" w:cs="Times New Roman"/>
          <w:bCs/>
          <w:color w:val="auto"/>
          <w:kern w:val="2"/>
          <w:sz w:val="24"/>
          <w:szCs w:val="28"/>
          <w:lang w:val="en-US" w:eastAsia="zh-CN" w:bidi="ar-SA"/>
        </w:rPr>
        <w:t>.2 资源密度</w:t>
      </w:r>
    </w:p>
    <w:p w14:paraId="0DF69F42">
      <w:pPr>
        <w:widowControl/>
        <w:spacing w:line="360" w:lineRule="auto"/>
        <w:ind w:firstLine="480" w:firstLineChars="200"/>
        <w:rPr>
          <w:rFonts w:ascii="Times New Roman" w:hAnsi="Times New Roman" w:eastAsia="宋体"/>
          <w:color w:val="auto"/>
          <w:sz w:val="24"/>
          <w:szCs w:val="28"/>
        </w:rPr>
      </w:pPr>
      <w:r>
        <w:rPr>
          <w:rFonts w:hint="eastAsia" w:ascii="Times New Roman" w:hAnsi="Times New Roman" w:eastAsia="宋体"/>
          <w:color w:val="auto"/>
          <w:sz w:val="24"/>
          <w:szCs w:val="28"/>
          <w:lang w:bidi="ar"/>
        </w:rPr>
        <w:t>根据</w:t>
      </w:r>
      <w:r>
        <w:rPr>
          <w:rFonts w:ascii="Times New Roman" w:hAnsi="Times New Roman" w:eastAsia="宋体"/>
          <w:color w:val="auto"/>
          <w:sz w:val="24"/>
          <w:szCs w:val="28"/>
          <w:lang w:bidi="ar"/>
        </w:rPr>
        <w:t>202</w:t>
      </w:r>
      <w:r>
        <w:rPr>
          <w:rFonts w:hint="eastAsia" w:ascii="Times New Roman" w:hAnsi="Times New Roman" w:eastAsia="宋体"/>
          <w:color w:val="auto"/>
          <w:sz w:val="24"/>
          <w:szCs w:val="28"/>
          <w:lang w:bidi="ar"/>
        </w:rPr>
        <w:t>4</w:t>
      </w:r>
      <w:r>
        <w:rPr>
          <w:rFonts w:ascii="Times New Roman" w:hAnsi="Times New Roman" w:eastAsia="宋体"/>
          <w:color w:val="auto"/>
          <w:sz w:val="24"/>
          <w:szCs w:val="28"/>
          <w:lang w:bidi="ar"/>
        </w:rPr>
        <w:t>年</w:t>
      </w:r>
      <w:r>
        <w:rPr>
          <w:rFonts w:hint="eastAsia" w:ascii="Times New Roman" w:hAnsi="Times New Roman" w:eastAsia="宋体"/>
          <w:color w:val="auto"/>
          <w:sz w:val="24"/>
          <w:szCs w:val="28"/>
          <w:lang w:bidi="ar"/>
        </w:rPr>
        <w:t>工程区调查结果</w:t>
      </w:r>
      <w:r>
        <w:rPr>
          <w:rFonts w:ascii="Times New Roman" w:hAnsi="Times New Roman" w:eastAsia="宋体"/>
          <w:color w:val="auto"/>
          <w:sz w:val="24"/>
          <w:szCs w:val="28"/>
          <w:lang w:bidi="ar"/>
        </w:rPr>
        <w:t>，仔稚鱼密度变幅为6.52-11.35 ind./100 m</w:t>
      </w:r>
      <w:r>
        <w:rPr>
          <w:rFonts w:ascii="Times New Roman" w:hAnsi="Times New Roman" w:eastAsia="宋体"/>
          <w:color w:val="auto"/>
          <w:sz w:val="24"/>
          <w:szCs w:val="28"/>
          <w:vertAlign w:val="superscript"/>
          <w:lang w:bidi="ar"/>
        </w:rPr>
        <w:t>3</w:t>
      </w:r>
      <w:r>
        <w:rPr>
          <w:rFonts w:ascii="Times New Roman" w:hAnsi="Times New Roman" w:eastAsia="宋体"/>
          <w:color w:val="auto"/>
          <w:sz w:val="24"/>
          <w:szCs w:val="28"/>
          <w:lang w:bidi="ar"/>
        </w:rPr>
        <w:t>，密度均值为9.32 ind./100 m</w:t>
      </w:r>
      <w:r>
        <w:rPr>
          <w:rFonts w:ascii="Times New Roman" w:hAnsi="Times New Roman" w:eastAsia="宋体"/>
          <w:color w:val="auto"/>
          <w:sz w:val="24"/>
          <w:szCs w:val="28"/>
          <w:vertAlign w:val="superscript"/>
          <w:lang w:bidi="ar"/>
        </w:rPr>
        <w:t>3</w:t>
      </w:r>
      <w:r>
        <w:rPr>
          <w:rFonts w:ascii="Times New Roman" w:hAnsi="Times New Roman" w:eastAsia="宋体"/>
          <w:color w:val="auto"/>
          <w:sz w:val="24"/>
          <w:szCs w:val="28"/>
          <w:lang w:bidi="ar"/>
        </w:rPr>
        <w:t>，其中2号断面密度最高，为11.35 ind./100m</w:t>
      </w:r>
      <w:r>
        <w:rPr>
          <w:rFonts w:ascii="Times New Roman" w:hAnsi="Times New Roman" w:eastAsia="宋体"/>
          <w:color w:val="auto"/>
          <w:sz w:val="24"/>
          <w:szCs w:val="28"/>
          <w:vertAlign w:val="superscript"/>
          <w:lang w:bidi="ar"/>
        </w:rPr>
        <w:t>3</w:t>
      </w:r>
      <w:r>
        <w:rPr>
          <w:rFonts w:ascii="Times New Roman" w:hAnsi="Times New Roman" w:eastAsia="宋体"/>
          <w:color w:val="auto"/>
          <w:sz w:val="24"/>
          <w:szCs w:val="28"/>
          <w:lang w:bidi="ar"/>
        </w:rPr>
        <w:t>(图</w:t>
      </w:r>
      <w:r>
        <w:rPr>
          <w:rFonts w:hint="eastAsia" w:ascii="Times New Roman" w:hAnsi="Times New Roman" w:eastAsia="宋体"/>
          <w:color w:val="auto"/>
          <w:sz w:val="24"/>
          <w:szCs w:val="28"/>
          <w:lang w:bidi="ar"/>
        </w:rPr>
        <w:t>4.</w:t>
      </w:r>
      <w:r>
        <w:rPr>
          <w:rFonts w:hint="eastAsia" w:ascii="Times New Roman" w:hAnsi="Times New Roman" w:eastAsia="宋体"/>
          <w:color w:val="auto"/>
          <w:sz w:val="24"/>
          <w:szCs w:val="28"/>
          <w:lang w:val="en-US" w:eastAsia="zh-CN" w:bidi="ar"/>
        </w:rPr>
        <w:t>2-39</w:t>
      </w:r>
      <w:r>
        <w:rPr>
          <w:rFonts w:ascii="Times New Roman" w:hAnsi="Times New Roman" w:eastAsia="宋体"/>
          <w:color w:val="auto"/>
          <w:sz w:val="24"/>
          <w:szCs w:val="28"/>
          <w:lang w:bidi="ar"/>
        </w:rPr>
        <w:t>)。</w:t>
      </w:r>
    </w:p>
    <w:p w14:paraId="50D2ECA1">
      <w:pPr>
        <w:spacing w:line="360" w:lineRule="auto"/>
        <w:jc w:val="center"/>
        <w:rPr>
          <w:rFonts w:ascii="等线" w:hAnsi="等线" w:eastAsia="仿宋"/>
          <w:color w:val="auto"/>
          <w:sz w:val="24"/>
          <w:szCs w:val="22"/>
        </w:rPr>
      </w:pPr>
      <w:r>
        <w:rPr>
          <w:rFonts w:ascii="Times New Roman" w:hAnsi="Times New Roman" w:eastAsia="宋体"/>
          <w:color w:val="auto"/>
          <w:sz w:val="24"/>
          <w:szCs w:val="22"/>
          <w:lang w:bidi="ar"/>
        </w:rPr>
        <w:object>
          <v:shape id="_x0000_i1043" o:spt="75" type="#_x0000_t75" style="height:164.6pt;width:321.7pt;" o:ole="t" filled="f" o:preferrelative="t" stroked="f" coordsize="21600,21600">
            <v:path/>
            <v:fill on="f" focussize="0,0"/>
            <v:stroke on="f"/>
            <v:imagedata r:id="rId149" o:title=""/>
            <o:lock v:ext="edit" aspectratio="f"/>
            <w10:wrap type="none"/>
            <w10:anchorlock/>
          </v:shape>
          <o:OLEObject Type="Embed" ProgID="Excel.Chart.8" ShapeID="_x0000_i1043" DrawAspect="Content" ObjectID="_1468075743" r:id="rId148">
            <o:LockedField>false</o:LockedField>
          </o:OLEObject>
        </w:object>
      </w:r>
    </w:p>
    <w:p w14:paraId="2CEE77C8">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w:t>
      </w:r>
      <w:r>
        <w:rPr>
          <w:rFonts w:hint="eastAsia" w:ascii="Times New Roman" w:hAnsi="Times New Roman" w:eastAsia="黑体" w:cs="Times New Roman"/>
          <w:color w:val="auto"/>
          <w:sz w:val="24"/>
          <w:szCs w:val="21"/>
        </w:rPr>
        <w:t>4.</w:t>
      </w:r>
      <w:r>
        <w:rPr>
          <w:rFonts w:hint="eastAsia" w:ascii="Times New Roman" w:hAnsi="Times New Roman" w:eastAsia="黑体" w:cs="Times New Roman"/>
          <w:color w:val="auto"/>
          <w:sz w:val="24"/>
          <w:szCs w:val="21"/>
          <w:lang w:val="en-US" w:eastAsia="zh-CN"/>
        </w:rPr>
        <w:t>2-39</w:t>
      </w:r>
      <w:r>
        <w:rPr>
          <w:rFonts w:hint="eastAsia" w:ascii="Times New Roman" w:hAnsi="Times New Roman" w:eastAsia="黑体" w:cs="Times New Roman"/>
          <w:color w:val="auto"/>
          <w:sz w:val="24"/>
          <w:szCs w:val="21"/>
        </w:rPr>
        <w:t xml:space="preserve"> </w:t>
      </w:r>
      <w:r>
        <w:rPr>
          <w:rFonts w:ascii="Times New Roman" w:hAnsi="Times New Roman" w:eastAsia="黑体" w:cs="Times New Roman"/>
          <w:color w:val="auto"/>
          <w:sz w:val="24"/>
          <w:szCs w:val="21"/>
        </w:rPr>
        <w:t xml:space="preserve"> 2024年</w:t>
      </w:r>
      <w:r>
        <w:rPr>
          <w:rFonts w:hint="eastAsia" w:ascii="Times New Roman" w:hAnsi="Times New Roman" w:eastAsia="黑体" w:cs="Times New Roman"/>
          <w:color w:val="auto"/>
          <w:sz w:val="24"/>
          <w:szCs w:val="21"/>
        </w:rPr>
        <w:t>工程区调查</w:t>
      </w:r>
      <w:r>
        <w:rPr>
          <w:rFonts w:ascii="Times New Roman" w:hAnsi="Times New Roman" w:eastAsia="黑体" w:cs="Times New Roman"/>
          <w:color w:val="auto"/>
          <w:sz w:val="24"/>
          <w:szCs w:val="21"/>
        </w:rPr>
        <w:t>水域仔稚鱼资源密度</w:t>
      </w:r>
    </w:p>
    <w:p w14:paraId="3E086B75">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
          <w:bCs w:val="0"/>
          <w:color w:val="auto"/>
          <w:kern w:val="2"/>
          <w:sz w:val="24"/>
          <w:szCs w:val="28"/>
          <w:lang w:val="en-US" w:eastAsia="zh-CN" w:bidi="ar-SA"/>
        </w:rPr>
        <w:t>4.2.6.3</w:t>
      </w:r>
      <w:r>
        <w:rPr>
          <w:rFonts w:hint="eastAsia" w:ascii="Times New Roman" w:hAnsi="Times New Roman" w:eastAsia="黑体" w:cs="Times New Roman"/>
          <w:bCs/>
          <w:color w:val="auto"/>
          <w:kern w:val="2"/>
          <w:sz w:val="24"/>
          <w:szCs w:val="28"/>
          <w:lang w:val="en-US" w:eastAsia="zh-CN" w:bidi="ar-SA"/>
        </w:rPr>
        <w:t xml:space="preserve"> 水体理化指标现状</w:t>
      </w:r>
    </w:p>
    <w:p w14:paraId="2561406A">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4.2.6.3.1 水体理化指标</w:t>
      </w:r>
    </w:p>
    <w:p w14:paraId="51DD6950">
      <w:pPr>
        <w:spacing w:line="360" w:lineRule="auto"/>
        <w:ind w:firstLine="480" w:firstLineChars="200"/>
        <w:rPr>
          <w:rFonts w:ascii="Times New Roman" w:hAnsi="Times New Roman" w:eastAsia="宋体"/>
          <w:color w:val="auto"/>
          <w:sz w:val="24"/>
          <w:szCs w:val="24"/>
        </w:rPr>
      </w:pPr>
      <w:r>
        <w:rPr>
          <w:rFonts w:ascii="Times New Roman" w:hAnsi="Times New Roman" w:eastAsia="宋体"/>
          <w:color w:val="auto"/>
          <w:sz w:val="24"/>
          <w:szCs w:val="24"/>
          <w:lang w:bidi="ar"/>
        </w:rPr>
        <w:t>2024年工程水域调查结果显示，调查水域水温变幅为26.50-28.53℃，均值为27.51℃；溶解氧变幅为6.71-7.13 mg/L，均值为6.98 mg/L；浊度变幅为29.25-42.40 NTU，均值为33.93 NTU；透明度变幅为29-34 cm，均值为32 cm；水深变幅为1.1-6.7 m，均值为3.7 m；pH变幅为7.47-7.62，均值为7.56。</w:t>
      </w:r>
    </w:p>
    <w:p w14:paraId="2F3C1F17">
      <w:pPr>
        <w:spacing w:line="360" w:lineRule="auto"/>
        <w:ind w:firstLine="480" w:firstLineChars="200"/>
        <w:rPr>
          <w:rFonts w:ascii="Times New Roman" w:hAnsi="Times New Roman" w:eastAsia="宋体"/>
          <w:color w:val="auto"/>
          <w:sz w:val="24"/>
          <w:szCs w:val="22"/>
          <w:lang w:bidi="ar"/>
        </w:rPr>
      </w:pPr>
      <w:r>
        <w:rPr>
          <w:rFonts w:ascii="Times New Roman" w:hAnsi="Times New Roman" w:eastAsia="宋体"/>
          <w:color w:val="auto"/>
          <w:sz w:val="24"/>
          <w:szCs w:val="24"/>
          <w:lang w:bidi="ar"/>
        </w:rPr>
        <w:t>总氮浓度变幅为2.25-2.30 mg/L，均值为2.28 mg/L；溶解性总氮浓度变幅为2.10-2.18 mg/L，均值为2.13 mg/L；总磷浓度变幅为0.089-0.094 mg/L，均值为0.09 mg/L；溶解性总磷浓度变幅为0.055-0.062 mg/L，均值为0.06 mg/L；磷酸盐浓度变幅为0.047-0.055 mg/L，均值为0.05 mg/L；铵态氮浓度变幅为0.158-0.227 mg/L，均值为0.</w:t>
      </w:r>
      <w:r>
        <w:rPr>
          <w:rFonts w:hint="eastAsia" w:ascii="Times New Roman" w:hAnsi="Times New Roman" w:eastAsia="宋体"/>
          <w:color w:val="auto"/>
          <w:sz w:val="24"/>
          <w:szCs w:val="24"/>
          <w:lang w:bidi="ar"/>
        </w:rPr>
        <w:t>121</w:t>
      </w:r>
      <w:r>
        <w:rPr>
          <w:rFonts w:ascii="Times New Roman" w:hAnsi="Times New Roman" w:eastAsia="宋体"/>
          <w:color w:val="auto"/>
          <w:sz w:val="24"/>
          <w:szCs w:val="24"/>
          <w:lang w:bidi="ar"/>
        </w:rPr>
        <w:t xml:space="preserve"> mg/L；叶绿素</w:t>
      </w:r>
      <w:r>
        <w:rPr>
          <w:rFonts w:ascii="Times New Roman" w:hAnsi="Times New Roman" w:eastAsia="宋体"/>
          <w:i/>
          <w:color w:val="auto"/>
          <w:sz w:val="24"/>
          <w:szCs w:val="24"/>
          <w:lang w:bidi="ar"/>
        </w:rPr>
        <w:t>a</w:t>
      </w:r>
      <w:r>
        <w:rPr>
          <w:rFonts w:ascii="Times New Roman" w:hAnsi="Times New Roman" w:eastAsia="宋体"/>
          <w:color w:val="auto"/>
          <w:sz w:val="24"/>
          <w:szCs w:val="24"/>
          <w:lang w:bidi="ar"/>
        </w:rPr>
        <w:t>浓度变幅为3.51-3.59 μg/L，均值为4 μg/L；高锰酸盐指数浓度变幅为3.38-3.49 mg/L，均值为3.45 mg/L；亚硝酸盐氮浓度变幅为0.071-0.078 mg/L，均值为0.075 mg/L</w:t>
      </w:r>
      <w:r>
        <w:rPr>
          <w:rFonts w:ascii="Times New Roman" w:hAnsi="Times New Roman" w:eastAsia="宋体"/>
          <w:color w:val="auto"/>
          <w:sz w:val="24"/>
          <w:szCs w:val="22"/>
          <w:lang w:bidi="ar"/>
        </w:rPr>
        <w:t>。</w:t>
      </w:r>
    </w:p>
    <w:p w14:paraId="1002B4EE">
      <w:pPr>
        <w:spacing w:line="400" w:lineRule="exact"/>
        <w:jc w:val="center"/>
        <w:rPr>
          <w:rFonts w:ascii="Times New Roman" w:hAnsi="Times New Roman" w:eastAsia="黑体" w:cs="Times New Roman"/>
          <w:color w:val="auto"/>
          <w:sz w:val="24"/>
          <w:szCs w:val="21"/>
        </w:rPr>
      </w:pPr>
    </w:p>
    <w:p w14:paraId="7BD1A620">
      <w:pPr>
        <w:spacing w:line="400" w:lineRule="exact"/>
        <w:jc w:val="center"/>
        <w:rPr>
          <w:rFonts w:ascii="Times New Roman" w:hAnsi="Times New Roman" w:eastAsia="黑体" w:cs="Times New Roman"/>
          <w:color w:val="auto"/>
          <w:sz w:val="24"/>
          <w:szCs w:val="21"/>
        </w:rPr>
      </w:pPr>
    </w:p>
    <w:p w14:paraId="21ED5A3C">
      <w:pPr>
        <w:spacing w:line="400" w:lineRule="exact"/>
        <w:jc w:val="center"/>
        <w:rPr>
          <w:rFonts w:ascii="Times New Roman" w:hAnsi="Times New Roman" w:eastAsia="黑体" w:cs="Times New Roman"/>
          <w:color w:val="auto"/>
          <w:sz w:val="24"/>
          <w:szCs w:val="21"/>
        </w:rPr>
      </w:pPr>
    </w:p>
    <w:p w14:paraId="107922DF">
      <w:pPr>
        <w:spacing w:line="400" w:lineRule="exact"/>
        <w:jc w:val="center"/>
        <w:rPr>
          <w:rFonts w:ascii="Times New Roman" w:hAnsi="Times New Roman" w:eastAsia="黑体" w:cs="Times New Roman"/>
          <w:color w:val="auto"/>
          <w:sz w:val="24"/>
          <w:szCs w:val="21"/>
        </w:rPr>
      </w:pPr>
    </w:p>
    <w:p w14:paraId="61182365">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表4.</w:t>
      </w:r>
      <w:r>
        <w:rPr>
          <w:rFonts w:hint="eastAsia" w:ascii="Times New Roman" w:hAnsi="Times New Roman" w:eastAsia="黑体" w:cs="Times New Roman"/>
          <w:color w:val="auto"/>
          <w:sz w:val="24"/>
          <w:szCs w:val="21"/>
          <w:lang w:val="en-US" w:eastAsia="zh-CN"/>
        </w:rPr>
        <w:t>2-43</w:t>
      </w:r>
      <w:r>
        <w:rPr>
          <w:rFonts w:ascii="Times New Roman" w:hAnsi="Times New Roman" w:eastAsia="黑体" w:cs="Times New Roman"/>
          <w:color w:val="auto"/>
          <w:sz w:val="24"/>
          <w:szCs w:val="21"/>
        </w:rPr>
        <w:t xml:space="preserve">  2024年</w:t>
      </w:r>
      <w:r>
        <w:rPr>
          <w:rFonts w:hint="eastAsia" w:ascii="Times New Roman" w:hAnsi="Times New Roman" w:eastAsia="黑体" w:cs="Times New Roman"/>
          <w:color w:val="auto"/>
          <w:sz w:val="24"/>
          <w:szCs w:val="21"/>
        </w:rPr>
        <w:t>工程</w:t>
      </w:r>
      <w:r>
        <w:rPr>
          <w:rFonts w:ascii="Times New Roman" w:hAnsi="Times New Roman" w:eastAsia="黑体" w:cs="Times New Roman"/>
          <w:color w:val="auto"/>
          <w:sz w:val="24"/>
          <w:szCs w:val="21"/>
        </w:rPr>
        <w:t>调查水域水体理化指标与《渔业水质标准》、《地表水环境质量标准》比较</w:t>
      </w:r>
    </w:p>
    <w:tbl>
      <w:tblPr>
        <w:tblStyle w:val="53"/>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73"/>
        <w:gridCol w:w="847"/>
        <w:gridCol w:w="1295"/>
        <w:gridCol w:w="2301"/>
        <w:gridCol w:w="830"/>
        <w:gridCol w:w="1564"/>
        <w:gridCol w:w="1473"/>
      </w:tblGrid>
      <w:tr w14:paraId="2FDD914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698" w:hRule="atLeast"/>
        </w:trPr>
        <w:tc>
          <w:tcPr>
            <w:tcW w:w="524" w:type="pct"/>
            <w:vMerge w:val="restart"/>
            <w:tcBorders>
              <w:tl2br w:val="nil"/>
              <w:tr2bl w:val="nil"/>
            </w:tcBorders>
            <w:noWrap w:val="0"/>
            <w:vAlign w:val="center"/>
          </w:tcPr>
          <w:p w14:paraId="48E2092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lang w:bidi="ar"/>
              </w:rPr>
              <w:t>指标</w:t>
            </w:r>
          </w:p>
        </w:tc>
        <w:tc>
          <w:tcPr>
            <w:tcW w:w="456" w:type="pct"/>
            <w:vMerge w:val="restart"/>
            <w:tcBorders>
              <w:tl2br w:val="nil"/>
              <w:tr2bl w:val="nil"/>
            </w:tcBorders>
            <w:noWrap w:val="0"/>
            <w:vAlign w:val="center"/>
          </w:tcPr>
          <w:p w14:paraId="20CF665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lang w:bidi="ar"/>
              </w:rPr>
              <w:t>单位</w:t>
            </w:r>
          </w:p>
        </w:tc>
        <w:tc>
          <w:tcPr>
            <w:tcW w:w="697" w:type="pct"/>
            <w:vMerge w:val="restart"/>
            <w:tcBorders>
              <w:tl2br w:val="nil"/>
              <w:tr2bl w:val="nil"/>
            </w:tcBorders>
            <w:noWrap w:val="0"/>
            <w:vAlign w:val="center"/>
          </w:tcPr>
          <w:p w14:paraId="2A42ADB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lang w:bidi="ar"/>
              </w:rPr>
              <w:t>变幅</w:t>
            </w:r>
          </w:p>
        </w:tc>
        <w:tc>
          <w:tcPr>
            <w:tcW w:w="1686" w:type="pct"/>
            <w:gridSpan w:val="2"/>
            <w:tcBorders>
              <w:tl2br w:val="nil"/>
              <w:tr2bl w:val="nil"/>
            </w:tcBorders>
            <w:noWrap w:val="0"/>
            <w:vAlign w:val="center"/>
          </w:tcPr>
          <w:p w14:paraId="1A696A9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lang w:bidi="ar"/>
              </w:rPr>
              <w:t>《渔业水质标准》</w:t>
            </w:r>
          </w:p>
        </w:tc>
        <w:tc>
          <w:tcPr>
            <w:tcW w:w="1635" w:type="pct"/>
            <w:gridSpan w:val="2"/>
            <w:tcBorders>
              <w:tl2br w:val="nil"/>
              <w:tr2bl w:val="nil"/>
            </w:tcBorders>
            <w:noWrap w:val="0"/>
            <w:vAlign w:val="center"/>
          </w:tcPr>
          <w:p w14:paraId="52D77F4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pacing w:val="20"/>
                <w:sz w:val="21"/>
                <w:szCs w:val="21"/>
              </w:rPr>
            </w:pPr>
            <w:r>
              <w:rPr>
                <w:rFonts w:hint="default" w:ascii="Times New Roman" w:hAnsi="Times New Roman" w:eastAsia="宋体"/>
                <w:b/>
                <w:bCs/>
                <w:color w:val="auto"/>
                <w:spacing w:val="20"/>
                <w:sz w:val="21"/>
                <w:szCs w:val="21"/>
                <w:lang w:bidi="ar"/>
              </w:rPr>
              <w:t>《地表水环境质量</w:t>
            </w:r>
          </w:p>
          <w:p w14:paraId="7AD790E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pacing w:val="20"/>
                <w:sz w:val="21"/>
                <w:szCs w:val="21"/>
                <w:lang w:bidi="ar"/>
              </w:rPr>
              <w:t>标准》(</w:t>
            </w:r>
            <w:r>
              <w:rPr>
                <w:rFonts w:hint="default" w:ascii="Times New Roman" w:hAnsi="Times New Roman" w:eastAsia="宋体"/>
                <w:b/>
                <w:bCs/>
                <w:color w:val="auto"/>
                <w:sz w:val="21"/>
                <w:szCs w:val="21"/>
                <w:lang w:bidi="ar"/>
              </w:rPr>
              <w:t>II类</w:t>
            </w:r>
            <w:r>
              <w:rPr>
                <w:rFonts w:hint="default" w:ascii="Times New Roman" w:hAnsi="Times New Roman" w:eastAsia="宋体"/>
                <w:b/>
                <w:bCs/>
                <w:color w:val="auto"/>
                <w:spacing w:val="20"/>
                <w:sz w:val="21"/>
                <w:szCs w:val="21"/>
                <w:lang w:bidi="ar"/>
              </w:rPr>
              <w:t>)</w:t>
            </w:r>
          </w:p>
        </w:tc>
      </w:tr>
      <w:tr w14:paraId="73CF951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24" w:type="pct"/>
            <w:vMerge w:val="continue"/>
            <w:tcBorders>
              <w:tl2br w:val="nil"/>
              <w:tr2bl w:val="nil"/>
            </w:tcBorders>
            <w:noWrap w:val="0"/>
            <w:vAlign w:val="center"/>
          </w:tcPr>
          <w:p w14:paraId="16B535E0">
            <w:pPr>
              <w:keepNext w:val="0"/>
              <w:keepLines w:val="0"/>
              <w:suppressLineNumbers w:val="0"/>
              <w:spacing w:before="0" w:beforeAutospacing="0" w:after="0" w:afterAutospacing="0" w:line="360" w:lineRule="auto"/>
              <w:ind w:left="0" w:right="0"/>
              <w:rPr>
                <w:rFonts w:hint="default" w:ascii="Times New Roman" w:hAnsi="Times New Roman" w:eastAsia="宋体"/>
                <w:color w:val="auto"/>
                <w:sz w:val="21"/>
                <w:szCs w:val="21"/>
              </w:rPr>
            </w:pPr>
          </w:p>
        </w:tc>
        <w:tc>
          <w:tcPr>
            <w:tcW w:w="456" w:type="pct"/>
            <w:vMerge w:val="continue"/>
            <w:tcBorders>
              <w:tl2br w:val="nil"/>
              <w:tr2bl w:val="nil"/>
            </w:tcBorders>
            <w:noWrap w:val="0"/>
            <w:vAlign w:val="center"/>
          </w:tcPr>
          <w:p w14:paraId="49B6ABE2">
            <w:pPr>
              <w:keepNext w:val="0"/>
              <w:keepLines w:val="0"/>
              <w:suppressLineNumbers w:val="0"/>
              <w:spacing w:before="0" w:beforeAutospacing="0" w:after="0" w:afterAutospacing="0" w:line="360" w:lineRule="auto"/>
              <w:ind w:left="0" w:right="0"/>
              <w:rPr>
                <w:rFonts w:hint="default" w:ascii="Times New Roman" w:hAnsi="Times New Roman" w:eastAsia="宋体"/>
                <w:color w:val="auto"/>
                <w:sz w:val="21"/>
                <w:szCs w:val="21"/>
              </w:rPr>
            </w:pPr>
          </w:p>
        </w:tc>
        <w:tc>
          <w:tcPr>
            <w:tcW w:w="697" w:type="pct"/>
            <w:vMerge w:val="continue"/>
            <w:tcBorders>
              <w:tl2br w:val="nil"/>
              <w:tr2bl w:val="nil"/>
            </w:tcBorders>
            <w:noWrap w:val="0"/>
            <w:vAlign w:val="center"/>
          </w:tcPr>
          <w:p w14:paraId="0D586F90">
            <w:pPr>
              <w:keepNext w:val="0"/>
              <w:keepLines w:val="0"/>
              <w:suppressLineNumbers w:val="0"/>
              <w:spacing w:before="0" w:beforeAutospacing="0" w:after="0" w:afterAutospacing="0" w:line="360" w:lineRule="auto"/>
              <w:ind w:left="0" w:right="0"/>
              <w:rPr>
                <w:rFonts w:hint="default" w:ascii="Times New Roman" w:hAnsi="Times New Roman" w:eastAsia="宋体"/>
                <w:color w:val="auto"/>
                <w:sz w:val="21"/>
                <w:szCs w:val="21"/>
              </w:rPr>
            </w:pPr>
          </w:p>
        </w:tc>
        <w:tc>
          <w:tcPr>
            <w:tcW w:w="1239" w:type="pct"/>
            <w:tcBorders>
              <w:tl2br w:val="nil"/>
              <w:tr2bl w:val="nil"/>
            </w:tcBorders>
            <w:noWrap w:val="0"/>
            <w:vAlign w:val="center"/>
          </w:tcPr>
          <w:p w14:paraId="1501B78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lang w:bidi="ar"/>
              </w:rPr>
              <w:t>标准限值</w:t>
            </w:r>
          </w:p>
        </w:tc>
        <w:tc>
          <w:tcPr>
            <w:tcW w:w="447" w:type="pct"/>
            <w:tcBorders>
              <w:tl2br w:val="nil"/>
              <w:tr2bl w:val="nil"/>
            </w:tcBorders>
            <w:noWrap w:val="0"/>
            <w:vAlign w:val="center"/>
          </w:tcPr>
          <w:p w14:paraId="4F51114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lang w:bidi="ar"/>
              </w:rPr>
              <w:t>是否达标</w:t>
            </w:r>
          </w:p>
        </w:tc>
        <w:tc>
          <w:tcPr>
            <w:tcW w:w="842" w:type="pct"/>
            <w:tcBorders>
              <w:tl2br w:val="nil"/>
              <w:tr2bl w:val="nil"/>
            </w:tcBorders>
            <w:noWrap w:val="0"/>
            <w:vAlign w:val="center"/>
          </w:tcPr>
          <w:p w14:paraId="43FC5B0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lang w:bidi="ar"/>
              </w:rPr>
              <w:t>标准限值</w:t>
            </w:r>
          </w:p>
        </w:tc>
        <w:tc>
          <w:tcPr>
            <w:tcW w:w="792" w:type="pct"/>
            <w:tcBorders>
              <w:tl2br w:val="nil"/>
              <w:tr2bl w:val="nil"/>
            </w:tcBorders>
            <w:noWrap w:val="0"/>
            <w:vAlign w:val="center"/>
          </w:tcPr>
          <w:p w14:paraId="2D3A0BB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b/>
                <w:bCs/>
                <w:color w:val="auto"/>
                <w:sz w:val="21"/>
                <w:szCs w:val="21"/>
              </w:rPr>
            </w:pPr>
            <w:r>
              <w:rPr>
                <w:rFonts w:hint="default" w:ascii="Times New Roman" w:hAnsi="Times New Roman" w:eastAsia="宋体"/>
                <w:b/>
                <w:bCs/>
                <w:color w:val="auto"/>
                <w:sz w:val="21"/>
                <w:szCs w:val="21"/>
                <w:lang w:bidi="ar"/>
              </w:rPr>
              <w:t>是否达标</w:t>
            </w:r>
          </w:p>
        </w:tc>
      </w:tr>
      <w:tr w14:paraId="7810AB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24" w:type="pct"/>
            <w:tcBorders>
              <w:tl2br w:val="nil"/>
              <w:tr2bl w:val="nil"/>
            </w:tcBorders>
            <w:noWrap w:val="0"/>
            <w:vAlign w:val="center"/>
          </w:tcPr>
          <w:p w14:paraId="3F2859B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DO</w:t>
            </w:r>
          </w:p>
        </w:tc>
        <w:tc>
          <w:tcPr>
            <w:tcW w:w="456" w:type="pct"/>
            <w:tcBorders>
              <w:tl2br w:val="nil"/>
              <w:tr2bl w:val="nil"/>
            </w:tcBorders>
            <w:noWrap w:val="0"/>
            <w:vAlign w:val="center"/>
          </w:tcPr>
          <w:p w14:paraId="33876BE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mg/L</w:t>
            </w:r>
          </w:p>
        </w:tc>
        <w:tc>
          <w:tcPr>
            <w:tcW w:w="697" w:type="pct"/>
            <w:tcBorders>
              <w:tl2br w:val="nil"/>
              <w:tr2bl w:val="nil"/>
            </w:tcBorders>
            <w:noWrap w:val="0"/>
            <w:vAlign w:val="center"/>
          </w:tcPr>
          <w:p w14:paraId="1EA6D40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6.71-7.13</w:t>
            </w:r>
          </w:p>
        </w:tc>
        <w:tc>
          <w:tcPr>
            <w:tcW w:w="1239" w:type="pct"/>
            <w:tcBorders>
              <w:tl2br w:val="nil"/>
              <w:tr2bl w:val="nil"/>
            </w:tcBorders>
            <w:noWrap w:val="0"/>
            <w:vAlign w:val="center"/>
          </w:tcPr>
          <w:p w14:paraId="55B002C2">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连续24 h中，16 h以上必须大于5，其余任何时候不得低于4</w:t>
            </w:r>
          </w:p>
        </w:tc>
        <w:tc>
          <w:tcPr>
            <w:tcW w:w="447" w:type="pct"/>
            <w:tcBorders>
              <w:tl2br w:val="nil"/>
              <w:tr2bl w:val="nil"/>
            </w:tcBorders>
            <w:noWrap w:val="0"/>
            <w:vAlign w:val="center"/>
          </w:tcPr>
          <w:p w14:paraId="210FCB6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是</w:t>
            </w:r>
          </w:p>
        </w:tc>
        <w:tc>
          <w:tcPr>
            <w:tcW w:w="842" w:type="pct"/>
            <w:tcBorders>
              <w:tl2br w:val="nil"/>
              <w:tr2bl w:val="nil"/>
            </w:tcBorders>
            <w:noWrap w:val="0"/>
            <w:vAlign w:val="center"/>
          </w:tcPr>
          <w:p w14:paraId="4541E61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≥6</w:t>
            </w:r>
          </w:p>
        </w:tc>
        <w:tc>
          <w:tcPr>
            <w:tcW w:w="792" w:type="pct"/>
            <w:tcBorders>
              <w:tl2br w:val="nil"/>
              <w:tr2bl w:val="nil"/>
            </w:tcBorders>
            <w:noWrap w:val="0"/>
            <w:vAlign w:val="center"/>
          </w:tcPr>
          <w:p w14:paraId="75C19E3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是</w:t>
            </w:r>
          </w:p>
        </w:tc>
      </w:tr>
      <w:tr w14:paraId="13646A0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24" w:type="pct"/>
            <w:tcBorders>
              <w:tl2br w:val="nil"/>
              <w:tr2bl w:val="nil"/>
            </w:tcBorders>
            <w:noWrap w:val="0"/>
            <w:vAlign w:val="center"/>
          </w:tcPr>
          <w:p w14:paraId="54F51BF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pH</w:t>
            </w:r>
          </w:p>
        </w:tc>
        <w:tc>
          <w:tcPr>
            <w:tcW w:w="456" w:type="pct"/>
            <w:tcBorders>
              <w:tl2br w:val="nil"/>
              <w:tr2bl w:val="nil"/>
            </w:tcBorders>
            <w:noWrap w:val="0"/>
            <w:vAlign w:val="center"/>
          </w:tcPr>
          <w:p w14:paraId="3D58091D">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p>
        </w:tc>
        <w:tc>
          <w:tcPr>
            <w:tcW w:w="697" w:type="pct"/>
            <w:tcBorders>
              <w:tl2br w:val="nil"/>
              <w:tr2bl w:val="nil"/>
            </w:tcBorders>
            <w:noWrap w:val="0"/>
            <w:vAlign w:val="center"/>
          </w:tcPr>
          <w:p w14:paraId="3093270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7.47-7.62</w:t>
            </w:r>
          </w:p>
        </w:tc>
        <w:tc>
          <w:tcPr>
            <w:tcW w:w="1239" w:type="pct"/>
            <w:tcBorders>
              <w:tl2br w:val="nil"/>
              <w:tr2bl w:val="nil"/>
            </w:tcBorders>
            <w:noWrap w:val="0"/>
            <w:vAlign w:val="center"/>
          </w:tcPr>
          <w:p w14:paraId="50CAC84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淡水6.5-8.5，海水7.0-8.5</w:t>
            </w:r>
          </w:p>
        </w:tc>
        <w:tc>
          <w:tcPr>
            <w:tcW w:w="447" w:type="pct"/>
            <w:tcBorders>
              <w:tl2br w:val="nil"/>
              <w:tr2bl w:val="nil"/>
            </w:tcBorders>
            <w:noWrap w:val="0"/>
            <w:vAlign w:val="center"/>
          </w:tcPr>
          <w:p w14:paraId="5346C8F5">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是</w:t>
            </w:r>
          </w:p>
        </w:tc>
        <w:tc>
          <w:tcPr>
            <w:tcW w:w="842" w:type="pct"/>
            <w:tcBorders>
              <w:tl2br w:val="nil"/>
              <w:tr2bl w:val="nil"/>
            </w:tcBorders>
            <w:noWrap w:val="0"/>
            <w:vAlign w:val="center"/>
          </w:tcPr>
          <w:p w14:paraId="37C9428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6-9</w:t>
            </w:r>
          </w:p>
        </w:tc>
        <w:tc>
          <w:tcPr>
            <w:tcW w:w="792" w:type="pct"/>
            <w:tcBorders>
              <w:tl2br w:val="nil"/>
              <w:tr2bl w:val="nil"/>
            </w:tcBorders>
            <w:noWrap w:val="0"/>
            <w:vAlign w:val="center"/>
          </w:tcPr>
          <w:p w14:paraId="56C710A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是</w:t>
            </w:r>
          </w:p>
        </w:tc>
      </w:tr>
      <w:tr w14:paraId="672D85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4" w:hRule="atLeast"/>
        </w:trPr>
        <w:tc>
          <w:tcPr>
            <w:tcW w:w="524" w:type="pct"/>
            <w:tcBorders>
              <w:tl2br w:val="nil"/>
              <w:tr2bl w:val="nil"/>
            </w:tcBorders>
            <w:noWrap w:val="0"/>
            <w:vAlign w:val="center"/>
          </w:tcPr>
          <w:p w14:paraId="5FDEA1CB">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bCs/>
                <w:color w:val="auto"/>
                <w:kern w:val="0"/>
                <w:sz w:val="21"/>
                <w:szCs w:val="21"/>
                <w:lang w:bidi="ar"/>
              </w:rPr>
              <w:t>TN</w:t>
            </w:r>
          </w:p>
        </w:tc>
        <w:tc>
          <w:tcPr>
            <w:tcW w:w="456" w:type="pct"/>
            <w:tcBorders>
              <w:tl2br w:val="nil"/>
              <w:tr2bl w:val="nil"/>
            </w:tcBorders>
            <w:noWrap w:val="0"/>
            <w:vAlign w:val="center"/>
          </w:tcPr>
          <w:p w14:paraId="087B048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mg/L</w:t>
            </w:r>
          </w:p>
        </w:tc>
        <w:tc>
          <w:tcPr>
            <w:tcW w:w="697" w:type="pct"/>
            <w:tcBorders>
              <w:tl2br w:val="nil"/>
              <w:tr2bl w:val="nil"/>
            </w:tcBorders>
            <w:noWrap w:val="0"/>
            <w:vAlign w:val="center"/>
          </w:tcPr>
          <w:p w14:paraId="790FF298">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2.25-2.30</w:t>
            </w:r>
          </w:p>
        </w:tc>
        <w:tc>
          <w:tcPr>
            <w:tcW w:w="1239" w:type="pct"/>
            <w:tcBorders>
              <w:tl2br w:val="nil"/>
              <w:tr2bl w:val="nil"/>
            </w:tcBorders>
            <w:noWrap w:val="0"/>
            <w:vAlign w:val="center"/>
          </w:tcPr>
          <w:p w14:paraId="7B517A4B">
            <w:pPr>
              <w:keepNext w:val="0"/>
              <w:keepLines w:val="0"/>
              <w:suppressLineNumbers w:val="0"/>
              <w:adjustRightInd w:val="0"/>
              <w:snapToGrid w:val="0"/>
              <w:spacing w:before="0" w:beforeAutospacing="0" w:after="0" w:afterAutospacing="0" w:line="240" w:lineRule="auto"/>
              <w:ind w:left="0" w:right="0"/>
              <w:jc w:val="center"/>
              <w:rPr>
                <w:rFonts w:hint="eastAsia" w:ascii="Times New Roman" w:hAnsi="Times New Roman" w:eastAsia="宋体"/>
                <w:color w:val="auto"/>
                <w:sz w:val="21"/>
                <w:szCs w:val="21"/>
              </w:rPr>
            </w:pPr>
            <w:r>
              <w:rPr>
                <w:rFonts w:hint="eastAsia" w:ascii="Times New Roman" w:hAnsi="Times New Roman" w:eastAsia="宋体"/>
                <w:color w:val="auto"/>
                <w:sz w:val="21"/>
                <w:szCs w:val="21"/>
              </w:rPr>
              <w:t>/</w:t>
            </w:r>
          </w:p>
        </w:tc>
        <w:tc>
          <w:tcPr>
            <w:tcW w:w="447" w:type="pct"/>
            <w:tcBorders>
              <w:tl2br w:val="nil"/>
              <w:tr2bl w:val="nil"/>
            </w:tcBorders>
            <w:noWrap w:val="0"/>
            <w:vAlign w:val="center"/>
          </w:tcPr>
          <w:p w14:paraId="2D3ED64A">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eastAsia" w:ascii="Times New Roman" w:hAnsi="Times New Roman" w:eastAsia="宋体"/>
                <w:color w:val="auto"/>
                <w:sz w:val="21"/>
                <w:szCs w:val="21"/>
              </w:rPr>
              <w:t>/</w:t>
            </w:r>
          </w:p>
        </w:tc>
        <w:tc>
          <w:tcPr>
            <w:tcW w:w="842" w:type="pct"/>
            <w:tcBorders>
              <w:tl2br w:val="nil"/>
              <w:tr2bl w:val="nil"/>
            </w:tcBorders>
            <w:noWrap w:val="0"/>
            <w:vAlign w:val="center"/>
          </w:tcPr>
          <w:p w14:paraId="42BE7897">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≤0.5</w:t>
            </w:r>
          </w:p>
        </w:tc>
        <w:tc>
          <w:tcPr>
            <w:tcW w:w="792" w:type="pct"/>
            <w:tcBorders>
              <w:tl2br w:val="nil"/>
              <w:tr2bl w:val="nil"/>
            </w:tcBorders>
            <w:noWrap w:val="0"/>
            <w:vAlign w:val="center"/>
          </w:tcPr>
          <w:p w14:paraId="4A84136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否</w:t>
            </w:r>
          </w:p>
        </w:tc>
      </w:tr>
      <w:tr w14:paraId="5EF2DD6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24" w:type="pct"/>
            <w:tcBorders>
              <w:tl2br w:val="nil"/>
              <w:tr2bl w:val="nil"/>
            </w:tcBorders>
            <w:noWrap w:val="0"/>
            <w:vAlign w:val="center"/>
          </w:tcPr>
          <w:p w14:paraId="2790609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bCs/>
                <w:color w:val="auto"/>
                <w:kern w:val="0"/>
                <w:sz w:val="21"/>
                <w:szCs w:val="21"/>
                <w:lang w:bidi="ar"/>
              </w:rPr>
              <w:t>TP</w:t>
            </w:r>
          </w:p>
        </w:tc>
        <w:tc>
          <w:tcPr>
            <w:tcW w:w="456" w:type="pct"/>
            <w:tcBorders>
              <w:tl2br w:val="nil"/>
              <w:tr2bl w:val="nil"/>
            </w:tcBorders>
            <w:noWrap w:val="0"/>
            <w:vAlign w:val="center"/>
          </w:tcPr>
          <w:p w14:paraId="3F7A23D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bCs/>
                <w:color w:val="auto"/>
                <w:kern w:val="0"/>
                <w:sz w:val="21"/>
                <w:szCs w:val="21"/>
                <w:lang w:bidi="ar"/>
              </w:rPr>
              <w:t>mg/L</w:t>
            </w:r>
          </w:p>
        </w:tc>
        <w:tc>
          <w:tcPr>
            <w:tcW w:w="697" w:type="pct"/>
            <w:tcBorders>
              <w:tl2br w:val="nil"/>
              <w:tr2bl w:val="nil"/>
            </w:tcBorders>
            <w:noWrap w:val="0"/>
            <w:vAlign w:val="center"/>
          </w:tcPr>
          <w:p w14:paraId="51C23E6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0.089-0.094</w:t>
            </w:r>
          </w:p>
        </w:tc>
        <w:tc>
          <w:tcPr>
            <w:tcW w:w="1239" w:type="pct"/>
            <w:tcBorders>
              <w:tl2br w:val="nil"/>
              <w:tr2bl w:val="nil"/>
            </w:tcBorders>
            <w:noWrap w:val="0"/>
            <w:vAlign w:val="center"/>
          </w:tcPr>
          <w:p w14:paraId="027FD74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eastAsia" w:ascii="Times New Roman" w:hAnsi="Times New Roman" w:eastAsia="宋体"/>
                <w:color w:val="auto"/>
                <w:sz w:val="21"/>
                <w:szCs w:val="21"/>
              </w:rPr>
              <w:t>/</w:t>
            </w:r>
          </w:p>
        </w:tc>
        <w:tc>
          <w:tcPr>
            <w:tcW w:w="447" w:type="pct"/>
            <w:tcBorders>
              <w:tl2br w:val="nil"/>
              <w:tr2bl w:val="nil"/>
            </w:tcBorders>
            <w:noWrap w:val="0"/>
            <w:vAlign w:val="center"/>
          </w:tcPr>
          <w:p w14:paraId="26FDF1DF">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eastAsia" w:ascii="Times New Roman" w:hAnsi="Times New Roman" w:eastAsia="宋体"/>
                <w:color w:val="auto"/>
                <w:sz w:val="21"/>
                <w:szCs w:val="21"/>
              </w:rPr>
              <w:t>/</w:t>
            </w:r>
          </w:p>
        </w:tc>
        <w:tc>
          <w:tcPr>
            <w:tcW w:w="842" w:type="pct"/>
            <w:tcBorders>
              <w:tl2br w:val="nil"/>
              <w:tr2bl w:val="nil"/>
            </w:tcBorders>
            <w:noWrap w:val="0"/>
            <w:vAlign w:val="center"/>
          </w:tcPr>
          <w:p w14:paraId="3E8C1C01">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bCs/>
                <w:color w:val="auto"/>
                <w:kern w:val="0"/>
                <w:sz w:val="21"/>
                <w:szCs w:val="21"/>
                <w:lang w:bidi="ar"/>
              </w:rPr>
            </w:pPr>
            <w:r>
              <w:rPr>
                <w:rFonts w:hint="default" w:ascii="Times New Roman" w:hAnsi="Times New Roman" w:eastAsia="宋体"/>
                <w:bCs/>
                <w:color w:val="auto"/>
                <w:kern w:val="0"/>
                <w:sz w:val="21"/>
                <w:szCs w:val="21"/>
                <w:lang w:bidi="ar"/>
              </w:rPr>
              <w:t>≤0.1</w:t>
            </w:r>
          </w:p>
          <w:p w14:paraId="10CD6FB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bCs/>
                <w:color w:val="auto"/>
                <w:kern w:val="0"/>
                <w:sz w:val="21"/>
                <w:szCs w:val="21"/>
                <w:lang w:bidi="ar"/>
              </w:rPr>
              <w:t>(湖、库0.025)</w:t>
            </w:r>
          </w:p>
        </w:tc>
        <w:tc>
          <w:tcPr>
            <w:tcW w:w="792" w:type="pct"/>
            <w:tcBorders>
              <w:tl2br w:val="nil"/>
              <w:tr2bl w:val="nil"/>
            </w:tcBorders>
            <w:noWrap w:val="0"/>
            <w:vAlign w:val="center"/>
          </w:tcPr>
          <w:p w14:paraId="2775B8F0">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是</w:t>
            </w:r>
          </w:p>
        </w:tc>
      </w:tr>
      <w:tr w14:paraId="6B4355D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23" w:hRule="atLeast"/>
        </w:trPr>
        <w:tc>
          <w:tcPr>
            <w:tcW w:w="524" w:type="pct"/>
            <w:tcBorders>
              <w:tl2br w:val="nil"/>
              <w:tr2bl w:val="nil"/>
            </w:tcBorders>
            <w:noWrap w:val="0"/>
            <w:vAlign w:val="center"/>
          </w:tcPr>
          <w:p w14:paraId="4901986C">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bCs/>
                <w:color w:val="auto"/>
                <w:kern w:val="0"/>
                <w:sz w:val="21"/>
                <w:szCs w:val="21"/>
                <w:lang w:bidi="ar"/>
              </w:rPr>
              <w:t>COD</w:t>
            </w:r>
            <w:r>
              <w:rPr>
                <w:rFonts w:hint="default" w:ascii="Times New Roman" w:hAnsi="Times New Roman" w:eastAsia="宋体"/>
                <w:bCs/>
                <w:color w:val="auto"/>
                <w:kern w:val="0"/>
                <w:sz w:val="21"/>
                <w:szCs w:val="21"/>
                <w:vertAlign w:val="subscript"/>
                <w:lang w:bidi="ar"/>
              </w:rPr>
              <w:t>Mn</w:t>
            </w:r>
          </w:p>
        </w:tc>
        <w:tc>
          <w:tcPr>
            <w:tcW w:w="456" w:type="pct"/>
            <w:tcBorders>
              <w:tl2br w:val="nil"/>
              <w:tr2bl w:val="nil"/>
            </w:tcBorders>
            <w:noWrap w:val="0"/>
            <w:vAlign w:val="center"/>
          </w:tcPr>
          <w:p w14:paraId="52BF2203">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bCs/>
                <w:color w:val="auto"/>
                <w:kern w:val="0"/>
                <w:sz w:val="21"/>
                <w:szCs w:val="21"/>
                <w:lang w:bidi="ar"/>
              </w:rPr>
              <w:t>mg/L</w:t>
            </w:r>
          </w:p>
        </w:tc>
        <w:tc>
          <w:tcPr>
            <w:tcW w:w="697" w:type="pct"/>
            <w:tcBorders>
              <w:tl2br w:val="nil"/>
              <w:tr2bl w:val="nil"/>
            </w:tcBorders>
            <w:noWrap w:val="0"/>
            <w:vAlign w:val="center"/>
          </w:tcPr>
          <w:p w14:paraId="1CCC3464">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3.38-3.49</w:t>
            </w:r>
          </w:p>
        </w:tc>
        <w:tc>
          <w:tcPr>
            <w:tcW w:w="1239" w:type="pct"/>
            <w:tcBorders>
              <w:tl2br w:val="nil"/>
              <w:tr2bl w:val="nil"/>
            </w:tcBorders>
            <w:noWrap w:val="0"/>
            <w:vAlign w:val="center"/>
          </w:tcPr>
          <w:p w14:paraId="4EFF0329">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eastAsia" w:ascii="Times New Roman" w:hAnsi="Times New Roman" w:eastAsia="宋体"/>
                <w:color w:val="auto"/>
                <w:sz w:val="21"/>
                <w:szCs w:val="21"/>
              </w:rPr>
              <w:t>/</w:t>
            </w:r>
          </w:p>
        </w:tc>
        <w:tc>
          <w:tcPr>
            <w:tcW w:w="447" w:type="pct"/>
            <w:tcBorders>
              <w:tl2br w:val="nil"/>
              <w:tr2bl w:val="nil"/>
            </w:tcBorders>
            <w:noWrap w:val="0"/>
            <w:vAlign w:val="center"/>
          </w:tcPr>
          <w:p w14:paraId="7EFCF446">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eastAsia" w:ascii="Times New Roman" w:hAnsi="Times New Roman" w:eastAsia="宋体"/>
                <w:color w:val="auto"/>
                <w:sz w:val="21"/>
                <w:szCs w:val="21"/>
              </w:rPr>
              <w:t>/</w:t>
            </w:r>
          </w:p>
        </w:tc>
        <w:tc>
          <w:tcPr>
            <w:tcW w:w="842" w:type="pct"/>
            <w:tcBorders>
              <w:tl2br w:val="nil"/>
              <w:tr2bl w:val="nil"/>
            </w:tcBorders>
            <w:noWrap w:val="0"/>
            <w:vAlign w:val="center"/>
          </w:tcPr>
          <w:p w14:paraId="640561FE">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≤4</w:t>
            </w:r>
          </w:p>
        </w:tc>
        <w:tc>
          <w:tcPr>
            <w:tcW w:w="792" w:type="pct"/>
            <w:tcBorders>
              <w:tl2br w:val="nil"/>
              <w:tr2bl w:val="nil"/>
            </w:tcBorders>
            <w:noWrap w:val="0"/>
            <w:vAlign w:val="center"/>
          </w:tcPr>
          <w:p w14:paraId="23838CD1">
            <w:pPr>
              <w:keepNext w:val="0"/>
              <w:keepLines w:val="0"/>
              <w:suppressLineNumbers w:val="0"/>
              <w:adjustRightInd w:val="0"/>
              <w:snapToGrid w:val="0"/>
              <w:spacing w:before="0" w:beforeAutospacing="0" w:after="0" w:afterAutospacing="0" w:line="240" w:lineRule="auto"/>
              <w:ind w:left="0" w:right="0"/>
              <w:jc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是</w:t>
            </w:r>
          </w:p>
        </w:tc>
      </w:tr>
    </w:tbl>
    <w:p w14:paraId="4AC7C98C">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4.2.6.3.2 水质类别评价</w:t>
      </w:r>
    </w:p>
    <w:p w14:paraId="657EBCCF">
      <w:pPr>
        <w:spacing w:line="360" w:lineRule="auto"/>
        <w:ind w:firstLine="480" w:firstLineChars="200"/>
        <w:rPr>
          <w:rFonts w:ascii="Times New Roman" w:hAnsi="Times New Roman" w:eastAsia="宋体"/>
          <w:color w:val="auto"/>
          <w:sz w:val="24"/>
          <w:szCs w:val="24"/>
          <w:lang w:bidi="ar"/>
        </w:rPr>
      </w:pPr>
      <w:r>
        <w:rPr>
          <w:rFonts w:ascii="Times New Roman" w:hAnsi="Times New Roman" w:eastAsia="宋体"/>
          <w:color w:val="auto"/>
          <w:sz w:val="24"/>
          <w:szCs w:val="24"/>
          <w:lang w:bidi="ar"/>
        </w:rPr>
        <w:t>根据调查指标结果，运用单项污染指数评价法对水域进行地表水环境质量标准Ⅱ类水质评价。</w:t>
      </w:r>
    </w:p>
    <w:p w14:paraId="5227207E">
      <w:pPr>
        <w:spacing w:line="360" w:lineRule="auto"/>
        <w:ind w:firstLine="480" w:firstLineChars="200"/>
        <w:rPr>
          <w:rFonts w:ascii="Times New Roman" w:hAnsi="Times New Roman" w:eastAsia="宋体"/>
          <w:color w:val="auto"/>
          <w:sz w:val="24"/>
          <w:szCs w:val="24"/>
        </w:rPr>
      </w:pPr>
      <w:r>
        <w:rPr>
          <w:rFonts w:ascii="Times New Roman" w:hAnsi="Times New Roman" w:eastAsia="宋体"/>
          <w:color w:val="auto"/>
          <w:sz w:val="24"/>
          <w:szCs w:val="24"/>
          <w:lang w:bidi="ar"/>
        </w:rPr>
        <w:t>参照《地表水环境质量标准》(GB3838-2002)Ⅱ类值，对高锰酸盐指数、总磷和总氮单项污染指数均值进行评价。高锰酸盐指数、总磷和总氮单项污染指数均值分别为0.86、0.91和4.57。由此可知，高锰酸盐指数、总磷均值符合地表水环境质量标准Ⅱ类值，总氮均值超标。</w:t>
      </w:r>
    </w:p>
    <w:p w14:paraId="25D37B08">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4.2.6.3.3 水体营养状态评价</w:t>
      </w:r>
    </w:p>
    <w:p w14:paraId="288170B3">
      <w:pPr>
        <w:spacing w:line="360" w:lineRule="auto"/>
        <w:ind w:firstLine="480" w:firstLineChars="200"/>
        <w:rPr>
          <w:rFonts w:ascii="Times New Roman" w:hAnsi="Times New Roman" w:eastAsia="宋体"/>
          <w:color w:val="auto"/>
          <w:sz w:val="24"/>
          <w:szCs w:val="24"/>
        </w:rPr>
      </w:pPr>
      <w:bookmarkStart w:id="124" w:name="_Hlk123410019"/>
      <w:r>
        <w:rPr>
          <w:rFonts w:ascii="Times New Roman" w:hAnsi="Times New Roman" w:eastAsia="宋体"/>
          <w:color w:val="auto"/>
          <w:sz w:val="24"/>
          <w:szCs w:val="24"/>
          <w:lang w:bidi="ar"/>
        </w:rPr>
        <w:t>2024年工程水域调查结果显示，调查水域综合营养状态指数变幅</w:t>
      </w:r>
      <w:bookmarkEnd w:id="124"/>
      <w:r>
        <w:rPr>
          <w:rFonts w:ascii="Times New Roman" w:hAnsi="Times New Roman" w:eastAsia="宋体"/>
          <w:color w:val="auto"/>
          <w:sz w:val="24"/>
          <w:szCs w:val="24"/>
          <w:lang w:bidi="ar"/>
        </w:rPr>
        <w:t>为52.72-53.22，均值为52.75(图</w:t>
      </w:r>
      <w:r>
        <w:rPr>
          <w:rFonts w:hint="eastAsia" w:ascii="Times New Roman" w:hAnsi="Times New Roman" w:eastAsia="宋体"/>
          <w:color w:val="auto"/>
          <w:sz w:val="24"/>
          <w:szCs w:val="24"/>
          <w:lang w:bidi="ar"/>
        </w:rPr>
        <w:t>4.</w:t>
      </w:r>
      <w:r>
        <w:rPr>
          <w:rFonts w:hint="eastAsia" w:ascii="Times New Roman" w:hAnsi="Times New Roman" w:eastAsia="宋体"/>
          <w:color w:val="auto"/>
          <w:sz w:val="24"/>
          <w:szCs w:val="24"/>
          <w:lang w:val="en-US" w:eastAsia="zh-CN" w:bidi="ar"/>
        </w:rPr>
        <w:t>2-40</w:t>
      </w:r>
      <w:r>
        <w:rPr>
          <w:rFonts w:ascii="Times New Roman" w:hAnsi="Times New Roman" w:eastAsia="宋体"/>
          <w:color w:val="auto"/>
          <w:sz w:val="24"/>
          <w:szCs w:val="24"/>
          <w:lang w:bidi="ar"/>
        </w:rPr>
        <w:t>)。结果表明，100.0%的断面综合营养状态指数大于50小于60，水体处于轻度富营养化状态，水质评价结果为轻度污染。</w:t>
      </w:r>
    </w:p>
    <w:p w14:paraId="4376B038">
      <w:pPr>
        <w:spacing w:line="240" w:lineRule="auto"/>
        <w:jc w:val="center"/>
        <w:rPr>
          <w:rFonts w:ascii="Times New Roman" w:hAnsi="Times New Roman" w:eastAsia="宋体"/>
          <w:color w:val="auto"/>
          <w:sz w:val="24"/>
          <w:szCs w:val="24"/>
        </w:rPr>
      </w:pPr>
      <w:r>
        <w:rPr>
          <w:rFonts w:ascii="Times New Roman" w:hAnsi="Times New Roman" w:eastAsia="宋体"/>
          <w:color w:val="auto"/>
          <w:sz w:val="24"/>
          <w:szCs w:val="24"/>
          <w:lang w:bidi="ar"/>
        </w:rPr>
        <w:object>
          <v:shape id="_x0000_i1044" o:spt="75" type="#_x0000_t75" style="height:171.9pt;width:353.9pt;" o:ole="t" filled="f" o:preferrelative="t" stroked="f" coordsize="21600,21600">
            <v:path/>
            <v:fill on="f" focussize="0,0"/>
            <v:stroke on="f"/>
            <v:imagedata r:id="rId151" cropleft="-643f" croptop="-1293f" cropright="-58f" cropbottom="-1353f" o:title=""/>
            <o:lock v:ext="edit" aspectratio="f"/>
            <w10:wrap type="none"/>
            <w10:anchorlock/>
          </v:shape>
          <o:OLEObject Type="Embed" ProgID="Excel.Chart.8" ShapeID="_x0000_i1044" DrawAspect="Content" ObjectID="_1468075744" r:id="rId150">
            <o:LockedField>false</o:LockedField>
          </o:OLEObject>
        </w:object>
      </w:r>
    </w:p>
    <w:p w14:paraId="544481C2">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w:t>
      </w:r>
      <w:r>
        <w:rPr>
          <w:rFonts w:hint="eastAsia" w:ascii="Times New Roman" w:hAnsi="Times New Roman" w:eastAsia="黑体" w:cs="Times New Roman"/>
          <w:color w:val="auto"/>
          <w:sz w:val="24"/>
          <w:szCs w:val="21"/>
          <w:lang w:val="en-US" w:eastAsia="zh-CN"/>
        </w:rPr>
        <w:t>2-40</w:t>
      </w:r>
      <w:r>
        <w:rPr>
          <w:rFonts w:ascii="Times New Roman" w:hAnsi="Times New Roman" w:eastAsia="黑体" w:cs="Times New Roman"/>
          <w:color w:val="auto"/>
          <w:sz w:val="24"/>
          <w:szCs w:val="21"/>
        </w:rPr>
        <w:t xml:space="preserve">  2024年工程调查水域综合营养状态指数空间特征</w:t>
      </w:r>
    </w:p>
    <w:p w14:paraId="17B7F705">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bookmarkStart w:id="125" w:name="_Toc121439778"/>
      <w:bookmarkStart w:id="126" w:name="_Toc120990868"/>
      <w:bookmarkStart w:id="127" w:name="_Toc121407883"/>
      <w:bookmarkStart w:id="128" w:name="_Toc121407772"/>
      <w:bookmarkStart w:id="129" w:name="_Toc126591328"/>
      <w:bookmarkStart w:id="130" w:name="_Toc121407725"/>
      <w:bookmarkStart w:id="131" w:name="_Toc121405873"/>
      <w:bookmarkStart w:id="132" w:name="_Toc121407836"/>
      <w:r>
        <w:rPr>
          <w:rFonts w:hint="eastAsia" w:ascii="Times New Roman" w:hAnsi="Times New Roman" w:eastAsia="宋体" w:cs="Times New Roman"/>
          <w:bCs/>
          <w:color w:val="auto"/>
          <w:kern w:val="2"/>
          <w:sz w:val="24"/>
          <w:szCs w:val="28"/>
          <w:lang w:val="en-US" w:eastAsia="zh-CN" w:bidi="ar-SA"/>
        </w:rPr>
        <w:t>4.2.6.3.4 渔业水质总结</w:t>
      </w:r>
      <w:bookmarkEnd w:id="125"/>
      <w:bookmarkEnd w:id="126"/>
      <w:bookmarkEnd w:id="127"/>
      <w:bookmarkEnd w:id="128"/>
      <w:bookmarkEnd w:id="129"/>
      <w:bookmarkEnd w:id="130"/>
      <w:bookmarkEnd w:id="131"/>
      <w:bookmarkEnd w:id="132"/>
    </w:p>
    <w:p w14:paraId="048CFA8B">
      <w:pPr>
        <w:spacing w:line="360" w:lineRule="auto"/>
        <w:ind w:firstLine="480" w:firstLineChars="200"/>
        <w:rPr>
          <w:rFonts w:ascii="Times New Roman" w:hAnsi="Times New Roman" w:eastAsia="宋体"/>
          <w:color w:val="auto"/>
          <w:sz w:val="24"/>
          <w:szCs w:val="24"/>
        </w:rPr>
      </w:pPr>
      <w:r>
        <w:rPr>
          <w:rFonts w:ascii="Times New Roman" w:hAnsi="Times New Roman" w:eastAsia="宋体"/>
          <w:color w:val="auto"/>
          <w:sz w:val="24"/>
          <w:szCs w:val="24"/>
          <w:lang w:bidi="ar"/>
        </w:rPr>
        <w:t>参照《渔业水质标准》(GB11607-89)及《地表水环境质量标准》(GB3838-2002)，结果显示，2024年工程调查</w:t>
      </w:r>
      <w:r>
        <w:rPr>
          <w:rFonts w:hint="eastAsia" w:ascii="Times New Roman" w:hAnsi="Times New Roman" w:eastAsia="宋体"/>
          <w:color w:val="auto"/>
          <w:sz w:val="24"/>
          <w:szCs w:val="24"/>
          <w:lang w:bidi="ar"/>
        </w:rPr>
        <w:t>水域</w:t>
      </w:r>
      <w:r>
        <w:rPr>
          <w:rFonts w:ascii="Times New Roman" w:hAnsi="Times New Roman" w:eastAsia="宋体"/>
          <w:color w:val="auto"/>
          <w:sz w:val="24"/>
          <w:szCs w:val="24"/>
          <w:lang w:bidi="ar"/>
        </w:rPr>
        <w:t>pH、溶解氧均值符合渔业水质标准；高锰酸盐指数、总磷均值符合地表水环境质量标准Ⅱ类值，总氮均值超标，为标准值457.0%，超标率100.0%。</w:t>
      </w:r>
    </w:p>
    <w:p w14:paraId="1252A330">
      <w:pPr>
        <w:keepNext/>
        <w:keepLines/>
        <w:widowControl w:val="0"/>
        <w:numPr>
          <w:ilvl w:val="3"/>
          <w:numId w:val="0"/>
        </w:numPr>
        <w:spacing w:line="360" w:lineRule="auto"/>
        <w:jc w:val="both"/>
        <w:outlineLvl w:val="3"/>
        <w:rPr>
          <w:rFonts w:hint="eastAsia" w:ascii="Times New Roman" w:hAnsi="Times New Roman" w:eastAsia="黑体" w:cs="Times New Roman"/>
          <w:b/>
          <w:bCs w:val="0"/>
          <w:color w:val="auto"/>
          <w:kern w:val="2"/>
          <w:sz w:val="24"/>
          <w:szCs w:val="28"/>
          <w:lang w:val="en-US" w:eastAsia="zh-CN" w:bidi="ar-SA"/>
        </w:rPr>
      </w:pPr>
      <w:r>
        <w:rPr>
          <w:rFonts w:hint="eastAsia" w:ascii="Times New Roman" w:hAnsi="Times New Roman" w:eastAsia="黑体" w:cs="Times New Roman"/>
          <w:b/>
          <w:bCs w:val="0"/>
          <w:color w:val="auto"/>
          <w:kern w:val="2"/>
          <w:sz w:val="24"/>
          <w:szCs w:val="28"/>
          <w:lang w:val="en-US" w:eastAsia="zh-CN" w:bidi="ar-SA"/>
        </w:rPr>
        <w:t>4.2.6.4 浮游植物现状</w:t>
      </w:r>
    </w:p>
    <w:p w14:paraId="7D20175D">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4.2.6.4.1 群落结构</w:t>
      </w:r>
    </w:p>
    <w:p w14:paraId="731BD5FD">
      <w:pPr>
        <w:spacing w:line="360" w:lineRule="auto"/>
        <w:ind w:firstLine="480" w:firstLineChars="200"/>
        <w:rPr>
          <w:rFonts w:ascii="Times New Roman" w:hAnsi="Times New Roman" w:eastAsia="宋体"/>
          <w:color w:val="auto"/>
          <w:sz w:val="24"/>
          <w:szCs w:val="24"/>
          <w:lang w:bidi="ar"/>
        </w:rPr>
      </w:pPr>
      <w:r>
        <w:rPr>
          <w:rFonts w:ascii="Times New Roman" w:hAnsi="Times New Roman" w:eastAsia="宋体"/>
          <w:color w:val="auto"/>
          <w:sz w:val="24"/>
          <w:szCs w:val="24"/>
          <w:lang w:bidi="ar"/>
        </w:rPr>
        <w:t>2024年工程水域</w:t>
      </w:r>
      <w:r>
        <w:rPr>
          <w:rFonts w:hint="eastAsia" w:ascii="Times New Roman" w:hAnsi="Times New Roman" w:eastAsia="宋体"/>
          <w:color w:val="auto"/>
          <w:sz w:val="24"/>
          <w:szCs w:val="24"/>
          <w:lang w:bidi="ar"/>
        </w:rPr>
        <w:t>调查</w:t>
      </w:r>
      <w:r>
        <w:rPr>
          <w:rFonts w:ascii="Times New Roman" w:hAnsi="Times New Roman" w:eastAsia="宋体"/>
          <w:color w:val="auto"/>
          <w:sz w:val="24"/>
          <w:szCs w:val="24"/>
          <w:lang w:bidi="ar"/>
        </w:rPr>
        <w:t>结果显示，调查水域共采集鉴定浮游植物5门17种(属)。从物种组成来看，硅藻门6种(属)，占浮游植物总物种数的35.3%；金藻门2种(属)，占比为11.8%；蓝藻门7种(属)，占比为41.2%；绿藻门1种，占比为5.9%；隐藻门1种，占比为5.9%。</w:t>
      </w:r>
    </w:p>
    <w:p w14:paraId="7A974477">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表4.</w:t>
      </w:r>
      <w:r>
        <w:rPr>
          <w:rFonts w:hint="eastAsia" w:ascii="Times New Roman" w:hAnsi="Times New Roman" w:eastAsia="黑体" w:cs="Times New Roman"/>
          <w:color w:val="auto"/>
          <w:sz w:val="24"/>
          <w:szCs w:val="21"/>
          <w:lang w:val="en-US" w:eastAsia="zh-CN"/>
        </w:rPr>
        <w:t>2-44</w:t>
      </w:r>
      <w:r>
        <w:rPr>
          <w:rFonts w:ascii="Times New Roman" w:hAnsi="Times New Roman" w:eastAsia="黑体" w:cs="Times New Roman"/>
          <w:color w:val="auto"/>
          <w:sz w:val="24"/>
          <w:szCs w:val="21"/>
        </w:rPr>
        <w:t xml:space="preserve">  2024年工程区调查水域浮游植物名录</w:t>
      </w:r>
    </w:p>
    <w:tbl>
      <w:tblPr>
        <w:tblStyle w:val="53"/>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138"/>
        <w:gridCol w:w="4149"/>
      </w:tblGrid>
      <w:tr w14:paraId="54A502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78" w:hRule="atLeast"/>
        </w:trPr>
        <w:tc>
          <w:tcPr>
            <w:tcW w:w="2766" w:type="pct"/>
            <w:tcBorders>
              <w:tl2br w:val="nil"/>
              <w:tr2bl w:val="nil"/>
            </w:tcBorders>
            <w:noWrap/>
            <w:vAlign w:val="center"/>
          </w:tcPr>
          <w:p w14:paraId="59A2A7E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物种</w:t>
            </w:r>
          </w:p>
        </w:tc>
        <w:tc>
          <w:tcPr>
            <w:tcW w:w="2234" w:type="pct"/>
            <w:tcBorders>
              <w:tl2br w:val="nil"/>
              <w:tr2bl w:val="nil"/>
            </w:tcBorders>
            <w:noWrap/>
            <w:vAlign w:val="center"/>
          </w:tcPr>
          <w:p w14:paraId="201123C6">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物种</w:t>
            </w:r>
          </w:p>
        </w:tc>
      </w:tr>
      <w:tr w14:paraId="2EBA9B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766" w:type="pct"/>
            <w:tcBorders>
              <w:tl2br w:val="nil"/>
              <w:tr2bl w:val="nil"/>
            </w:tcBorders>
            <w:noWrap/>
            <w:vAlign w:val="center"/>
          </w:tcPr>
          <w:p w14:paraId="75D837EB">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硅藻门</w:t>
            </w:r>
            <w:r>
              <w:rPr>
                <w:rFonts w:hint="default" w:ascii="Times New Roman" w:hAnsi="Times New Roman" w:eastAsia="宋体"/>
                <w:b/>
                <w:bCs/>
                <w:iCs/>
                <w:color w:val="auto"/>
                <w:kern w:val="0"/>
                <w:sz w:val="21"/>
                <w:szCs w:val="21"/>
                <w:lang w:bidi="ar"/>
              </w:rPr>
              <w:t>Bacillariophyta</w:t>
            </w:r>
          </w:p>
        </w:tc>
        <w:tc>
          <w:tcPr>
            <w:tcW w:w="2234" w:type="pct"/>
            <w:tcBorders>
              <w:tl2br w:val="nil"/>
              <w:tr2bl w:val="nil"/>
            </w:tcBorders>
            <w:noWrap/>
            <w:vAlign w:val="center"/>
          </w:tcPr>
          <w:p w14:paraId="4592F967">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蓝藻门</w:t>
            </w:r>
            <w:r>
              <w:rPr>
                <w:rFonts w:hint="default" w:ascii="Times New Roman" w:hAnsi="Times New Roman" w:eastAsia="宋体"/>
                <w:b/>
                <w:bCs/>
                <w:iCs/>
                <w:color w:val="auto"/>
                <w:kern w:val="0"/>
                <w:sz w:val="21"/>
                <w:szCs w:val="21"/>
                <w:lang w:bidi="ar"/>
              </w:rPr>
              <w:t>Cyanophyta</w:t>
            </w:r>
          </w:p>
        </w:tc>
      </w:tr>
      <w:tr w14:paraId="1A9ABB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766" w:type="pct"/>
            <w:tcBorders>
              <w:tl2br w:val="nil"/>
              <w:tr2bl w:val="nil"/>
            </w:tcBorders>
            <w:noWrap/>
            <w:vAlign w:val="center"/>
          </w:tcPr>
          <w:p w14:paraId="2B3C7E20">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谷皮菱形藻</w:t>
            </w:r>
            <w:r>
              <w:rPr>
                <w:rFonts w:hint="default" w:ascii="Times New Roman" w:hAnsi="Times New Roman" w:eastAsia="宋体"/>
                <w:i/>
                <w:iCs/>
                <w:color w:val="auto"/>
                <w:kern w:val="0"/>
                <w:sz w:val="21"/>
                <w:szCs w:val="21"/>
                <w:lang w:bidi="ar"/>
              </w:rPr>
              <w:t>Nitzschia palea</w:t>
            </w:r>
          </w:p>
        </w:tc>
        <w:tc>
          <w:tcPr>
            <w:tcW w:w="2234" w:type="pct"/>
            <w:tcBorders>
              <w:tl2br w:val="nil"/>
              <w:tr2bl w:val="nil"/>
            </w:tcBorders>
            <w:noWrap/>
            <w:vAlign w:val="center"/>
          </w:tcPr>
          <w:p w14:paraId="214B29B2">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拟短形颤藻</w:t>
            </w:r>
            <w:r>
              <w:rPr>
                <w:rFonts w:hint="default" w:ascii="Times New Roman" w:hAnsi="Times New Roman" w:eastAsia="宋体"/>
                <w:i/>
                <w:iCs/>
                <w:color w:val="auto"/>
                <w:kern w:val="0"/>
                <w:sz w:val="21"/>
                <w:szCs w:val="21"/>
                <w:lang w:bidi="ar"/>
              </w:rPr>
              <w:t>Oscillatoria subbrevis</w:t>
            </w:r>
          </w:p>
        </w:tc>
      </w:tr>
      <w:tr w14:paraId="5D4430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766" w:type="pct"/>
            <w:tcBorders>
              <w:tl2br w:val="nil"/>
              <w:tr2bl w:val="nil"/>
            </w:tcBorders>
            <w:noWrap/>
            <w:vAlign w:val="center"/>
          </w:tcPr>
          <w:p w14:paraId="6C9C4A28">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梅尼小环藻</w:t>
            </w:r>
            <w:r>
              <w:rPr>
                <w:rFonts w:hint="default" w:ascii="Times New Roman" w:hAnsi="Times New Roman" w:eastAsia="宋体"/>
                <w:i/>
                <w:iCs/>
                <w:color w:val="auto"/>
                <w:kern w:val="0"/>
                <w:sz w:val="21"/>
                <w:szCs w:val="21"/>
                <w:lang w:bidi="ar"/>
              </w:rPr>
              <w:t>Cyclotella meneghiniana</w:t>
            </w:r>
          </w:p>
        </w:tc>
        <w:tc>
          <w:tcPr>
            <w:tcW w:w="2234" w:type="pct"/>
            <w:tcBorders>
              <w:tl2br w:val="nil"/>
              <w:tr2bl w:val="nil"/>
            </w:tcBorders>
            <w:noWrap/>
            <w:vAlign w:val="center"/>
          </w:tcPr>
          <w:p w14:paraId="5FEEE54A">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螺旋藻属</w:t>
            </w:r>
            <w:r>
              <w:rPr>
                <w:rFonts w:hint="default" w:ascii="Times New Roman" w:hAnsi="Times New Roman" w:eastAsia="宋体"/>
                <w:i/>
                <w:iCs/>
                <w:color w:val="auto"/>
                <w:kern w:val="0"/>
                <w:sz w:val="21"/>
                <w:szCs w:val="21"/>
                <w:lang w:bidi="ar"/>
              </w:rPr>
              <w:t>Spirulina</w:t>
            </w:r>
            <w:r>
              <w:rPr>
                <w:rFonts w:hint="default" w:ascii="Times New Roman" w:hAnsi="Times New Roman" w:eastAsia="宋体"/>
                <w:color w:val="auto"/>
                <w:kern w:val="0"/>
                <w:sz w:val="21"/>
                <w:szCs w:val="21"/>
                <w:lang w:bidi="ar"/>
              </w:rPr>
              <w:t xml:space="preserve"> sp.</w:t>
            </w:r>
          </w:p>
        </w:tc>
      </w:tr>
      <w:tr w14:paraId="4E7A6B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766" w:type="pct"/>
            <w:tcBorders>
              <w:tl2br w:val="nil"/>
              <w:tr2bl w:val="nil"/>
            </w:tcBorders>
            <w:noWrap/>
            <w:vAlign w:val="center"/>
          </w:tcPr>
          <w:p w14:paraId="1D61F1B4">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肘状针杆藻</w:t>
            </w:r>
            <w:r>
              <w:rPr>
                <w:rFonts w:hint="default" w:ascii="Times New Roman" w:hAnsi="Times New Roman" w:eastAsia="宋体"/>
                <w:i/>
                <w:iCs/>
                <w:color w:val="auto"/>
                <w:kern w:val="0"/>
                <w:sz w:val="21"/>
                <w:szCs w:val="21"/>
                <w:lang w:bidi="ar"/>
              </w:rPr>
              <w:t>Synedra ulna</w:t>
            </w:r>
          </w:p>
        </w:tc>
        <w:tc>
          <w:tcPr>
            <w:tcW w:w="2234" w:type="pct"/>
            <w:tcBorders>
              <w:tl2br w:val="nil"/>
              <w:tr2bl w:val="nil"/>
            </w:tcBorders>
            <w:noWrap/>
            <w:vAlign w:val="center"/>
          </w:tcPr>
          <w:p w14:paraId="5CC0190A">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细小平裂藻</w:t>
            </w:r>
            <w:r>
              <w:rPr>
                <w:rFonts w:hint="default" w:ascii="Times New Roman" w:hAnsi="Times New Roman" w:eastAsia="宋体"/>
                <w:i/>
                <w:iCs/>
                <w:color w:val="auto"/>
                <w:kern w:val="0"/>
                <w:sz w:val="21"/>
                <w:szCs w:val="21"/>
                <w:lang w:bidi="ar"/>
              </w:rPr>
              <w:t>Merismopedia minima</w:t>
            </w:r>
          </w:p>
        </w:tc>
      </w:tr>
      <w:tr w14:paraId="7BF94D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766" w:type="pct"/>
            <w:tcBorders>
              <w:tl2br w:val="nil"/>
              <w:tr2bl w:val="nil"/>
            </w:tcBorders>
            <w:noWrap/>
            <w:vAlign w:val="center"/>
          </w:tcPr>
          <w:p w14:paraId="46487D7E">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变异直链藻</w:t>
            </w:r>
            <w:r>
              <w:rPr>
                <w:rFonts w:hint="default" w:ascii="Times New Roman" w:hAnsi="Times New Roman" w:eastAsia="宋体"/>
                <w:i/>
                <w:iCs/>
                <w:color w:val="auto"/>
                <w:kern w:val="0"/>
                <w:sz w:val="21"/>
                <w:szCs w:val="21"/>
                <w:lang w:bidi="ar"/>
              </w:rPr>
              <w:t>Melosira varians</w:t>
            </w:r>
          </w:p>
        </w:tc>
        <w:tc>
          <w:tcPr>
            <w:tcW w:w="2234" w:type="pct"/>
            <w:tcBorders>
              <w:tl2br w:val="nil"/>
              <w:tr2bl w:val="nil"/>
            </w:tcBorders>
            <w:noWrap/>
            <w:vAlign w:val="center"/>
          </w:tcPr>
          <w:p w14:paraId="1C9ADBF2">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kern w:val="0"/>
                <w:sz w:val="21"/>
                <w:szCs w:val="21"/>
              </w:rPr>
            </w:pPr>
            <w:r>
              <w:rPr>
                <w:rFonts w:hint="eastAsia"/>
                <w:color w:val="auto"/>
                <w:kern w:val="0"/>
                <w:sz w:val="21"/>
                <w:szCs w:val="21"/>
                <w:lang w:eastAsia="zh-CN" w:bidi="ar"/>
              </w:rPr>
              <w:t>立体色</w:t>
            </w:r>
            <w:r>
              <w:rPr>
                <w:rFonts w:hint="default" w:ascii="Times New Roman" w:hAnsi="Times New Roman" w:eastAsia="宋体"/>
                <w:color w:val="auto"/>
                <w:kern w:val="0"/>
                <w:sz w:val="21"/>
                <w:szCs w:val="21"/>
                <w:lang w:bidi="ar"/>
              </w:rPr>
              <w:t>球藻</w:t>
            </w:r>
            <w:r>
              <w:rPr>
                <w:rFonts w:hint="default" w:ascii="Times New Roman" w:hAnsi="Times New Roman" w:eastAsia="宋体"/>
                <w:i/>
                <w:iCs/>
                <w:color w:val="auto"/>
                <w:kern w:val="0"/>
                <w:sz w:val="21"/>
                <w:szCs w:val="21"/>
                <w:lang w:bidi="ar"/>
              </w:rPr>
              <w:t>Chroococcus turgidus</w:t>
            </w:r>
          </w:p>
        </w:tc>
      </w:tr>
      <w:tr w14:paraId="14A35A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766" w:type="pct"/>
            <w:tcBorders>
              <w:tl2br w:val="nil"/>
              <w:tr2bl w:val="nil"/>
            </w:tcBorders>
            <w:noWrap/>
            <w:vAlign w:val="center"/>
          </w:tcPr>
          <w:p w14:paraId="21559B0B">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颗粒直链藻</w:t>
            </w:r>
            <w:r>
              <w:rPr>
                <w:rFonts w:hint="default" w:ascii="Times New Roman" w:hAnsi="Times New Roman" w:eastAsia="宋体"/>
                <w:i/>
                <w:iCs/>
                <w:color w:val="auto"/>
                <w:kern w:val="0"/>
                <w:sz w:val="21"/>
                <w:szCs w:val="21"/>
                <w:lang w:bidi="ar"/>
              </w:rPr>
              <w:t>Melosira granulata</w:t>
            </w:r>
          </w:p>
        </w:tc>
        <w:tc>
          <w:tcPr>
            <w:tcW w:w="2234" w:type="pct"/>
            <w:tcBorders>
              <w:tl2br w:val="nil"/>
              <w:tr2bl w:val="nil"/>
            </w:tcBorders>
            <w:noWrap/>
            <w:vAlign w:val="center"/>
          </w:tcPr>
          <w:p w14:paraId="344C5005">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束丝藻属</w:t>
            </w:r>
            <w:r>
              <w:rPr>
                <w:rFonts w:hint="default" w:ascii="Times New Roman" w:hAnsi="Times New Roman" w:eastAsia="宋体"/>
                <w:i/>
                <w:iCs/>
                <w:color w:val="auto"/>
                <w:kern w:val="0"/>
                <w:sz w:val="21"/>
                <w:szCs w:val="21"/>
                <w:lang w:bidi="ar"/>
              </w:rPr>
              <w:t>Aphanizomenon</w:t>
            </w:r>
            <w:r>
              <w:rPr>
                <w:rFonts w:hint="default" w:ascii="Times New Roman" w:hAnsi="Times New Roman" w:eastAsia="宋体"/>
                <w:color w:val="auto"/>
                <w:kern w:val="0"/>
                <w:sz w:val="21"/>
                <w:szCs w:val="21"/>
                <w:lang w:bidi="ar"/>
              </w:rPr>
              <w:t xml:space="preserve"> sp.</w:t>
            </w:r>
          </w:p>
        </w:tc>
      </w:tr>
      <w:tr w14:paraId="69189D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766" w:type="pct"/>
            <w:tcBorders>
              <w:tl2br w:val="nil"/>
              <w:tr2bl w:val="nil"/>
            </w:tcBorders>
            <w:noWrap/>
            <w:vAlign w:val="center"/>
          </w:tcPr>
          <w:p w14:paraId="6DBA31BF">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舟形藻属</w:t>
            </w:r>
            <w:r>
              <w:rPr>
                <w:rFonts w:hint="default" w:ascii="Times New Roman" w:hAnsi="Times New Roman" w:eastAsia="宋体"/>
                <w:i/>
                <w:iCs/>
                <w:color w:val="auto"/>
                <w:kern w:val="0"/>
                <w:sz w:val="21"/>
                <w:szCs w:val="21"/>
                <w:lang w:bidi="ar"/>
              </w:rPr>
              <w:t>Navicula</w:t>
            </w:r>
            <w:r>
              <w:rPr>
                <w:rFonts w:hint="default" w:ascii="Times New Roman" w:hAnsi="Times New Roman" w:eastAsia="宋体"/>
                <w:color w:val="auto"/>
                <w:kern w:val="0"/>
                <w:sz w:val="21"/>
                <w:szCs w:val="21"/>
                <w:lang w:bidi="ar"/>
              </w:rPr>
              <w:t xml:space="preserve"> sp.</w:t>
            </w:r>
          </w:p>
        </w:tc>
        <w:tc>
          <w:tcPr>
            <w:tcW w:w="2234" w:type="pct"/>
            <w:tcBorders>
              <w:tl2br w:val="nil"/>
              <w:tr2bl w:val="nil"/>
            </w:tcBorders>
            <w:noWrap/>
            <w:vAlign w:val="center"/>
          </w:tcPr>
          <w:p w14:paraId="7451EB8F">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卷曲鱼腥藻</w:t>
            </w:r>
            <w:r>
              <w:rPr>
                <w:rFonts w:hint="default" w:ascii="Times New Roman" w:hAnsi="Times New Roman" w:eastAsia="宋体"/>
                <w:i/>
                <w:iCs/>
                <w:color w:val="auto"/>
                <w:kern w:val="0"/>
                <w:sz w:val="21"/>
                <w:szCs w:val="21"/>
                <w:lang w:bidi="ar"/>
              </w:rPr>
              <w:t>Anabaena circinalis</w:t>
            </w:r>
          </w:p>
        </w:tc>
      </w:tr>
      <w:tr w14:paraId="0A8535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766" w:type="pct"/>
            <w:tcBorders>
              <w:tl2br w:val="nil"/>
              <w:tr2bl w:val="nil"/>
            </w:tcBorders>
            <w:noWrap/>
            <w:vAlign w:val="center"/>
          </w:tcPr>
          <w:p w14:paraId="7DD8CE6A">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绿藻门</w:t>
            </w:r>
            <w:r>
              <w:rPr>
                <w:rFonts w:hint="default" w:ascii="Times New Roman" w:hAnsi="Times New Roman" w:eastAsia="宋体"/>
                <w:b/>
                <w:bCs/>
                <w:iCs/>
                <w:color w:val="auto"/>
                <w:kern w:val="0"/>
                <w:sz w:val="21"/>
                <w:szCs w:val="21"/>
                <w:lang w:bidi="ar"/>
              </w:rPr>
              <w:t>Chlorophyta</w:t>
            </w:r>
          </w:p>
        </w:tc>
        <w:tc>
          <w:tcPr>
            <w:tcW w:w="2234" w:type="pct"/>
            <w:tcBorders>
              <w:tl2br w:val="nil"/>
              <w:tr2bl w:val="nil"/>
            </w:tcBorders>
            <w:noWrap/>
            <w:vAlign w:val="center"/>
          </w:tcPr>
          <w:p w14:paraId="4FC0764F">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维盖拉鱼腥藻</w:t>
            </w:r>
            <w:r>
              <w:rPr>
                <w:rFonts w:hint="default" w:ascii="Times New Roman" w:hAnsi="Times New Roman" w:eastAsia="宋体"/>
                <w:i/>
                <w:iCs/>
                <w:color w:val="auto"/>
                <w:kern w:val="0"/>
                <w:sz w:val="21"/>
                <w:szCs w:val="21"/>
                <w:lang w:bidi="ar"/>
              </w:rPr>
              <w:t>Anabaena viguieri</w:t>
            </w:r>
          </w:p>
        </w:tc>
      </w:tr>
      <w:tr w14:paraId="08057E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766" w:type="pct"/>
            <w:tcBorders>
              <w:tl2br w:val="nil"/>
              <w:tr2bl w:val="nil"/>
            </w:tcBorders>
            <w:noWrap/>
            <w:vAlign w:val="center"/>
          </w:tcPr>
          <w:p w14:paraId="73E44344">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双对栅藻</w:t>
            </w:r>
            <w:r>
              <w:rPr>
                <w:rFonts w:hint="default" w:ascii="Times New Roman" w:hAnsi="Times New Roman" w:eastAsia="宋体"/>
                <w:i/>
                <w:iCs/>
                <w:color w:val="auto"/>
                <w:kern w:val="0"/>
                <w:sz w:val="21"/>
                <w:szCs w:val="21"/>
                <w:lang w:bidi="ar"/>
              </w:rPr>
              <w:t>Scenedesmus bijuga</w:t>
            </w:r>
          </w:p>
        </w:tc>
        <w:tc>
          <w:tcPr>
            <w:tcW w:w="2234" w:type="pct"/>
            <w:tcBorders>
              <w:tl2br w:val="nil"/>
              <w:tr2bl w:val="nil"/>
            </w:tcBorders>
            <w:noWrap/>
            <w:vAlign w:val="center"/>
          </w:tcPr>
          <w:p w14:paraId="5EF9C381">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金藻门</w:t>
            </w:r>
            <w:r>
              <w:rPr>
                <w:rFonts w:hint="default" w:ascii="Times New Roman" w:hAnsi="Times New Roman" w:eastAsia="宋体"/>
                <w:b/>
                <w:bCs/>
                <w:iCs/>
                <w:color w:val="auto"/>
                <w:kern w:val="0"/>
                <w:sz w:val="21"/>
                <w:szCs w:val="21"/>
                <w:lang w:bidi="ar"/>
              </w:rPr>
              <w:t>Chrysophyta</w:t>
            </w:r>
          </w:p>
        </w:tc>
      </w:tr>
      <w:tr w14:paraId="6D52BB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766" w:type="pct"/>
            <w:tcBorders>
              <w:tl2br w:val="nil"/>
              <w:tr2bl w:val="nil"/>
            </w:tcBorders>
            <w:noWrap/>
            <w:vAlign w:val="center"/>
          </w:tcPr>
          <w:p w14:paraId="74E606FB">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隐藻门</w:t>
            </w:r>
            <w:r>
              <w:rPr>
                <w:rFonts w:hint="default" w:ascii="Times New Roman" w:hAnsi="Times New Roman" w:eastAsia="宋体"/>
                <w:b/>
                <w:bCs/>
                <w:iCs/>
                <w:color w:val="auto"/>
                <w:kern w:val="0"/>
                <w:sz w:val="21"/>
                <w:szCs w:val="21"/>
                <w:lang w:bidi="ar"/>
              </w:rPr>
              <w:t>Cryptophyta</w:t>
            </w:r>
          </w:p>
        </w:tc>
        <w:tc>
          <w:tcPr>
            <w:tcW w:w="2234" w:type="pct"/>
            <w:tcBorders>
              <w:tl2br w:val="nil"/>
              <w:tr2bl w:val="nil"/>
            </w:tcBorders>
            <w:noWrap/>
            <w:vAlign w:val="center"/>
          </w:tcPr>
          <w:p w14:paraId="1586647B">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单鞭金藻属</w:t>
            </w:r>
            <w:r>
              <w:rPr>
                <w:rFonts w:hint="default" w:ascii="Times New Roman" w:hAnsi="Times New Roman" w:eastAsia="宋体"/>
                <w:i/>
                <w:iCs/>
                <w:color w:val="auto"/>
                <w:kern w:val="0"/>
                <w:sz w:val="21"/>
                <w:szCs w:val="21"/>
                <w:lang w:bidi="ar"/>
              </w:rPr>
              <w:t>Chromulina</w:t>
            </w:r>
            <w:r>
              <w:rPr>
                <w:rFonts w:hint="default" w:ascii="Times New Roman" w:hAnsi="Times New Roman" w:eastAsia="宋体"/>
                <w:color w:val="auto"/>
                <w:kern w:val="0"/>
                <w:sz w:val="21"/>
                <w:szCs w:val="21"/>
                <w:lang w:bidi="ar"/>
              </w:rPr>
              <w:t xml:space="preserve"> sp.</w:t>
            </w:r>
          </w:p>
        </w:tc>
      </w:tr>
      <w:tr w14:paraId="387BD5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766" w:type="pct"/>
            <w:tcBorders>
              <w:tl2br w:val="nil"/>
              <w:tr2bl w:val="nil"/>
            </w:tcBorders>
            <w:noWrap/>
            <w:vAlign w:val="center"/>
          </w:tcPr>
          <w:p w14:paraId="0E8E5BAF">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啮蚀隐藻</w:t>
            </w:r>
            <w:r>
              <w:rPr>
                <w:rFonts w:hint="default" w:ascii="Times New Roman" w:hAnsi="Times New Roman" w:eastAsia="宋体"/>
                <w:i/>
                <w:iCs/>
                <w:color w:val="auto"/>
                <w:kern w:val="0"/>
                <w:sz w:val="21"/>
                <w:szCs w:val="21"/>
                <w:lang w:bidi="ar"/>
              </w:rPr>
              <w:t>Cryptomonas erosa</w:t>
            </w:r>
          </w:p>
        </w:tc>
        <w:tc>
          <w:tcPr>
            <w:tcW w:w="2234" w:type="pct"/>
            <w:tcBorders>
              <w:tl2br w:val="nil"/>
              <w:tr2bl w:val="nil"/>
            </w:tcBorders>
            <w:noWrap/>
            <w:vAlign w:val="center"/>
          </w:tcPr>
          <w:p w14:paraId="509990E9">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黄群藻属</w:t>
            </w:r>
            <w:r>
              <w:rPr>
                <w:rFonts w:hint="default" w:ascii="Times New Roman" w:hAnsi="Times New Roman" w:eastAsia="宋体"/>
                <w:i/>
                <w:iCs/>
                <w:color w:val="auto"/>
                <w:kern w:val="0"/>
                <w:sz w:val="21"/>
                <w:szCs w:val="21"/>
                <w:lang w:bidi="ar"/>
              </w:rPr>
              <w:t>Synura</w:t>
            </w:r>
            <w:r>
              <w:rPr>
                <w:rFonts w:hint="default" w:ascii="Times New Roman" w:hAnsi="Times New Roman" w:eastAsia="宋体"/>
                <w:color w:val="auto"/>
                <w:kern w:val="0"/>
                <w:sz w:val="21"/>
                <w:szCs w:val="21"/>
                <w:lang w:bidi="ar"/>
              </w:rPr>
              <w:t xml:space="preserve"> sp.</w:t>
            </w:r>
          </w:p>
        </w:tc>
      </w:tr>
    </w:tbl>
    <w:p w14:paraId="75B23F0A">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4.2.6.4.2 群落优势种</w:t>
      </w:r>
    </w:p>
    <w:p w14:paraId="021377E0">
      <w:pPr>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1"/>
          <w:lang w:bidi="ar"/>
        </w:rPr>
        <w:t>2024年工程水域调查结果显示，调查水域浮游植物的优势种共</w:t>
      </w:r>
      <w:r>
        <w:rPr>
          <w:rFonts w:ascii="Times New Roman" w:hAnsi="Times New Roman" w:eastAsia="宋体"/>
          <w:color w:val="auto"/>
          <w:sz w:val="24"/>
          <w:szCs w:val="24"/>
          <w:lang w:bidi="ar"/>
        </w:rPr>
        <w:t>4种，分别为变异直链藻</w:t>
      </w:r>
      <w:r>
        <w:rPr>
          <w:rFonts w:hint="eastAsia"/>
          <w:color w:val="auto"/>
          <w:sz w:val="24"/>
          <w:szCs w:val="24"/>
          <w:lang w:eastAsia="zh-CN" w:bidi="ar"/>
        </w:rPr>
        <w:t>（</w:t>
      </w:r>
      <w:r>
        <w:rPr>
          <w:rFonts w:ascii="Times New Roman" w:hAnsi="Times New Roman" w:eastAsia="宋体"/>
          <w:i/>
          <w:iCs/>
          <w:color w:val="auto"/>
          <w:sz w:val="24"/>
          <w:szCs w:val="24"/>
          <w:lang w:bidi="ar"/>
        </w:rPr>
        <w:t>Melosira varians</w:t>
      </w:r>
      <w:r>
        <w:rPr>
          <w:rFonts w:ascii="Times New Roman" w:hAnsi="Times New Roman" w:eastAsia="宋体"/>
          <w:color w:val="auto"/>
          <w:sz w:val="24"/>
          <w:szCs w:val="24"/>
          <w:lang w:bidi="ar"/>
        </w:rPr>
        <w:t>)、梅尼小环藻</w:t>
      </w:r>
      <w:r>
        <w:rPr>
          <w:rFonts w:hint="eastAsia"/>
          <w:color w:val="auto"/>
          <w:sz w:val="24"/>
          <w:szCs w:val="24"/>
          <w:lang w:eastAsia="zh-CN" w:bidi="ar"/>
        </w:rPr>
        <w:t>（</w:t>
      </w:r>
      <w:r>
        <w:rPr>
          <w:rFonts w:ascii="Times New Roman" w:hAnsi="Times New Roman" w:eastAsia="宋体"/>
          <w:i/>
          <w:iCs/>
          <w:color w:val="auto"/>
          <w:sz w:val="24"/>
          <w:szCs w:val="24"/>
          <w:lang w:bidi="ar"/>
        </w:rPr>
        <w:t>Cyclotella meneghiniana</w:t>
      </w:r>
      <w:r>
        <w:rPr>
          <w:rFonts w:ascii="Times New Roman" w:hAnsi="Times New Roman" w:eastAsia="宋体"/>
          <w:color w:val="auto"/>
          <w:sz w:val="24"/>
          <w:szCs w:val="24"/>
          <w:lang w:bidi="ar"/>
        </w:rPr>
        <w:t>)、拟短形颤藻</w:t>
      </w:r>
      <w:r>
        <w:rPr>
          <w:rFonts w:hint="eastAsia"/>
          <w:color w:val="auto"/>
          <w:sz w:val="24"/>
          <w:szCs w:val="24"/>
          <w:lang w:eastAsia="zh-CN" w:bidi="ar"/>
        </w:rPr>
        <w:t>（</w:t>
      </w:r>
      <w:r>
        <w:rPr>
          <w:rFonts w:ascii="Times New Roman" w:hAnsi="Times New Roman" w:eastAsia="宋体"/>
          <w:i/>
          <w:iCs/>
          <w:color w:val="auto"/>
          <w:sz w:val="24"/>
          <w:szCs w:val="24"/>
          <w:lang w:bidi="ar"/>
        </w:rPr>
        <w:t>Oscillatoria subbrevis</w:t>
      </w:r>
      <w:r>
        <w:rPr>
          <w:rFonts w:ascii="Times New Roman" w:hAnsi="Times New Roman" w:eastAsia="宋体"/>
          <w:color w:val="auto"/>
          <w:sz w:val="24"/>
          <w:szCs w:val="24"/>
          <w:lang w:bidi="ar"/>
        </w:rPr>
        <w:t>)、啮蚀隐藻</w:t>
      </w:r>
      <w:r>
        <w:rPr>
          <w:rFonts w:hint="eastAsia"/>
          <w:color w:val="auto"/>
          <w:sz w:val="24"/>
          <w:szCs w:val="24"/>
          <w:lang w:eastAsia="zh-CN" w:bidi="ar"/>
        </w:rPr>
        <w:t>（</w:t>
      </w:r>
      <w:r>
        <w:rPr>
          <w:rFonts w:ascii="Times New Roman" w:hAnsi="Times New Roman" w:eastAsia="宋体"/>
          <w:i/>
          <w:iCs/>
          <w:color w:val="auto"/>
          <w:sz w:val="24"/>
          <w:szCs w:val="24"/>
          <w:lang w:bidi="ar"/>
        </w:rPr>
        <w:t>Cryptomonas erosa</w:t>
      </w:r>
      <w:r>
        <w:rPr>
          <w:rFonts w:ascii="Times New Roman" w:hAnsi="Times New Roman" w:eastAsia="宋体"/>
          <w:color w:val="auto"/>
          <w:sz w:val="24"/>
          <w:szCs w:val="24"/>
          <w:lang w:bidi="ar"/>
        </w:rPr>
        <w:t>)，其优势度为0.682、0.088、0.026、0.020。</w:t>
      </w:r>
    </w:p>
    <w:p w14:paraId="358E1409">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4.2.6.4.3 现存量</w:t>
      </w:r>
    </w:p>
    <w:p w14:paraId="20A4F8E7">
      <w:pPr>
        <w:spacing w:line="360" w:lineRule="auto"/>
        <w:ind w:firstLine="480" w:firstLineChars="200"/>
        <w:rPr>
          <w:rFonts w:ascii="Times New Roman" w:hAnsi="Times New Roman" w:eastAsia="宋体"/>
          <w:b/>
          <w:bCs/>
          <w:color w:val="auto"/>
          <w:sz w:val="24"/>
          <w:szCs w:val="24"/>
        </w:rPr>
      </w:pPr>
      <w:r>
        <w:rPr>
          <w:rFonts w:ascii="Times New Roman" w:hAnsi="Times New Roman" w:eastAsia="宋体"/>
          <w:b/>
          <w:bCs/>
          <w:color w:val="auto"/>
          <w:sz w:val="24"/>
          <w:szCs w:val="24"/>
          <w:lang w:bidi="ar"/>
        </w:rPr>
        <w:t>(1)资源密度</w:t>
      </w:r>
    </w:p>
    <w:p w14:paraId="0C766A05">
      <w:pPr>
        <w:spacing w:line="360" w:lineRule="auto"/>
        <w:ind w:firstLine="480" w:firstLineChars="200"/>
        <w:rPr>
          <w:rFonts w:ascii="Times New Roman" w:hAnsi="Times New Roman" w:eastAsia="宋体"/>
          <w:color w:val="auto"/>
          <w:sz w:val="24"/>
          <w:szCs w:val="24"/>
        </w:rPr>
      </w:pPr>
      <w:r>
        <w:rPr>
          <w:rFonts w:ascii="Times New Roman" w:hAnsi="Times New Roman" w:eastAsia="宋体"/>
          <w:color w:val="auto"/>
          <w:sz w:val="24"/>
          <w:szCs w:val="24"/>
          <w:lang w:bidi="ar"/>
        </w:rPr>
        <w:t>2024年工程水域调查结果显示，调查水域浮游植物资源密度变幅为2.41×10</w:t>
      </w:r>
      <w:r>
        <w:rPr>
          <w:rFonts w:ascii="Times New Roman" w:hAnsi="Times New Roman" w:eastAsia="宋体"/>
          <w:color w:val="auto"/>
          <w:sz w:val="24"/>
          <w:szCs w:val="24"/>
          <w:vertAlign w:val="superscript"/>
          <w:lang w:bidi="ar"/>
        </w:rPr>
        <w:t>6</w:t>
      </w:r>
      <w:r>
        <w:rPr>
          <w:rFonts w:ascii="Times New Roman" w:hAnsi="Times New Roman" w:eastAsia="宋体"/>
          <w:color w:val="auto"/>
          <w:sz w:val="24"/>
          <w:szCs w:val="24"/>
          <w:lang w:bidi="ar"/>
        </w:rPr>
        <w:t xml:space="preserve"> cells/L -2.91×10</w:t>
      </w:r>
      <w:r>
        <w:rPr>
          <w:rFonts w:ascii="Times New Roman" w:hAnsi="Times New Roman" w:eastAsia="宋体"/>
          <w:color w:val="auto"/>
          <w:sz w:val="24"/>
          <w:szCs w:val="24"/>
          <w:vertAlign w:val="superscript"/>
          <w:lang w:bidi="ar"/>
        </w:rPr>
        <w:t>6</w:t>
      </w:r>
      <w:r>
        <w:rPr>
          <w:rFonts w:ascii="Times New Roman" w:hAnsi="Times New Roman" w:eastAsia="宋体"/>
          <w:color w:val="auto"/>
          <w:sz w:val="24"/>
          <w:szCs w:val="24"/>
          <w:lang w:bidi="ar"/>
        </w:rPr>
        <w:t xml:space="preserve"> cells/L，均值为2.71×10</w:t>
      </w:r>
      <w:r>
        <w:rPr>
          <w:rFonts w:ascii="Times New Roman" w:hAnsi="Times New Roman" w:eastAsia="宋体"/>
          <w:color w:val="auto"/>
          <w:sz w:val="24"/>
          <w:szCs w:val="24"/>
          <w:vertAlign w:val="superscript"/>
          <w:lang w:bidi="ar"/>
        </w:rPr>
        <w:t>6</w:t>
      </w:r>
      <w:r>
        <w:rPr>
          <w:rFonts w:ascii="Times New Roman" w:hAnsi="Times New Roman" w:eastAsia="宋体"/>
          <w:color w:val="auto"/>
          <w:sz w:val="24"/>
          <w:szCs w:val="24"/>
          <w:lang w:bidi="ar"/>
        </w:rPr>
        <w:t xml:space="preserve"> cells/L</w:t>
      </w:r>
      <w:r>
        <w:rPr>
          <w:rFonts w:hint="eastAsia"/>
          <w:color w:val="auto"/>
          <w:sz w:val="24"/>
          <w:szCs w:val="24"/>
          <w:lang w:eastAsia="zh-CN" w:bidi="ar"/>
        </w:rPr>
        <w:t>（</w:t>
      </w:r>
      <w:r>
        <w:rPr>
          <w:rFonts w:ascii="Times New Roman" w:hAnsi="Times New Roman" w:eastAsia="宋体"/>
          <w:color w:val="auto"/>
          <w:sz w:val="24"/>
          <w:szCs w:val="24"/>
          <w:lang w:bidi="ar"/>
        </w:rPr>
        <w:t>图4.</w:t>
      </w:r>
      <w:r>
        <w:rPr>
          <w:rFonts w:hint="eastAsia" w:ascii="Times New Roman" w:hAnsi="Times New Roman" w:eastAsia="宋体"/>
          <w:color w:val="auto"/>
          <w:sz w:val="24"/>
          <w:szCs w:val="24"/>
          <w:lang w:val="en-US" w:eastAsia="zh-CN" w:bidi="ar"/>
        </w:rPr>
        <w:t>2-41</w:t>
      </w:r>
      <w:r>
        <w:rPr>
          <w:rFonts w:ascii="Times New Roman" w:hAnsi="Times New Roman" w:eastAsia="宋体"/>
          <w:color w:val="auto"/>
          <w:sz w:val="24"/>
          <w:szCs w:val="24"/>
          <w:lang w:bidi="ar"/>
        </w:rPr>
        <w:t>)。</w:t>
      </w:r>
    </w:p>
    <w:p w14:paraId="5425289C">
      <w:pPr>
        <w:spacing w:line="360" w:lineRule="auto"/>
        <w:jc w:val="center"/>
        <w:rPr>
          <w:rFonts w:ascii="Times New Roman" w:hAnsi="Times New Roman" w:eastAsia="宋体"/>
          <w:color w:val="auto"/>
          <w:sz w:val="24"/>
          <w:szCs w:val="28"/>
        </w:rPr>
      </w:pPr>
      <w:r>
        <w:rPr>
          <w:rFonts w:ascii="Times New Roman" w:hAnsi="Times New Roman" w:eastAsia="宋体"/>
          <w:color w:val="auto"/>
          <w:sz w:val="24"/>
          <w:szCs w:val="22"/>
        </w:rPr>
        <w:drawing>
          <wp:inline distT="0" distB="0" distL="114300" distR="114300">
            <wp:extent cx="3959860" cy="2259965"/>
            <wp:effectExtent l="0" t="0" r="2540" b="6985"/>
            <wp:docPr id="37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20"/>
                    <pic:cNvPicPr>
                      <a:picLocks noChangeAspect="1"/>
                    </pic:cNvPicPr>
                  </pic:nvPicPr>
                  <pic:blipFill>
                    <a:blip r:embed="rId152"/>
                    <a:stretch>
                      <a:fillRect/>
                    </a:stretch>
                  </pic:blipFill>
                  <pic:spPr>
                    <a:xfrm>
                      <a:off x="0" y="0"/>
                      <a:ext cx="3959860" cy="2259965"/>
                    </a:xfrm>
                    <a:prstGeom prst="rect">
                      <a:avLst/>
                    </a:prstGeom>
                    <a:noFill/>
                    <a:ln>
                      <a:noFill/>
                    </a:ln>
                  </pic:spPr>
                </pic:pic>
              </a:graphicData>
            </a:graphic>
          </wp:inline>
        </w:drawing>
      </w:r>
    </w:p>
    <w:p w14:paraId="243B013D">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w:t>
      </w:r>
      <w:r>
        <w:rPr>
          <w:rFonts w:hint="eastAsia" w:ascii="Times New Roman" w:hAnsi="Times New Roman" w:eastAsia="黑体" w:cs="Times New Roman"/>
          <w:color w:val="auto"/>
          <w:sz w:val="24"/>
          <w:szCs w:val="21"/>
          <w:lang w:val="en-US" w:eastAsia="zh-CN"/>
        </w:rPr>
        <w:t>2-41</w:t>
      </w:r>
      <w:r>
        <w:rPr>
          <w:rFonts w:ascii="Times New Roman" w:hAnsi="Times New Roman" w:eastAsia="黑体" w:cs="Times New Roman"/>
          <w:color w:val="auto"/>
          <w:sz w:val="24"/>
          <w:szCs w:val="21"/>
        </w:rPr>
        <w:t xml:space="preserve">  2024年工程区调查水域浮游植物资源密度空间特征</w:t>
      </w:r>
    </w:p>
    <w:p w14:paraId="1053654E">
      <w:pPr>
        <w:spacing w:line="360" w:lineRule="auto"/>
        <w:ind w:firstLine="480" w:firstLineChars="200"/>
        <w:rPr>
          <w:rFonts w:ascii="Times New Roman" w:hAnsi="Times New Roman" w:eastAsia="宋体"/>
          <w:b/>
          <w:bCs/>
          <w:color w:val="auto"/>
          <w:sz w:val="24"/>
          <w:szCs w:val="24"/>
          <w:lang w:bidi="ar"/>
        </w:rPr>
      </w:pPr>
      <w:r>
        <w:rPr>
          <w:rFonts w:ascii="Times New Roman" w:hAnsi="Times New Roman" w:eastAsia="宋体"/>
          <w:b/>
          <w:bCs/>
          <w:color w:val="auto"/>
          <w:sz w:val="24"/>
          <w:szCs w:val="24"/>
          <w:lang w:bidi="ar"/>
        </w:rPr>
        <w:t>(2)生物量</w:t>
      </w:r>
    </w:p>
    <w:p w14:paraId="638EFC7C">
      <w:pPr>
        <w:spacing w:line="360" w:lineRule="auto"/>
        <w:ind w:firstLine="480" w:firstLineChars="200"/>
        <w:rPr>
          <w:rFonts w:ascii="Times New Roman" w:hAnsi="Times New Roman" w:eastAsia="宋体"/>
          <w:color w:val="auto"/>
          <w:sz w:val="24"/>
          <w:szCs w:val="24"/>
          <w:lang w:bidi="ar"/>
        </w:rPr>
      </w:pPr>
      <w:r>
        <w:rPr>
          <w:rFonts w:ascii="Times New Roman" w:hAnsi="Times New Roman" w:eastAsia="宋体"/>
          <w:color w:val="auto"/>
          <w:sz w:val="24"/>
          <w:szCs w:val="24"/>
          <w:lang w:bidi="ar"/>
        </w:rPr>
        <w:t>2024年工程区调查结果显示，调查水域浮游植物生物量变幅为10.21 mg/L-12.69 mg/L，均值为11.73 mg/L</w:t>
      </w:r>
      <w:r>
        <w:rPr>
          <w:rFonts w:hint="eastAsia"/>
          <w:color w:val="auto"/>
          <w:sz w:val="24"/>
          <w:szCs w:val="24"/>
          <w:lang w:eastAsia="zh-CN" w:bidi="ar"/>
        </w:rPr>
        <w:t>（</w:t>
      </w:r>
      <w:r>
        <w:rPr>
          <w:rFonts w:ascii="Times New Roman" w:hAnsi="Times New Roman" w:eastAsia="宋体"/>
          <w:color w:val="auto"/>
          <w:sz w:val="24"/>
          <w:szCs w:val="24"/>
          <w:lang w:bidi="ar"/>
        </w:rPr>
        <w:t>图4.</w:t>
      </w:r>
      <w:r>
        <w:rPr>
          <w:rFonts w:hint="eastAsia" w:ascii="Times New Roman" w:hAnsi="Times New Roman" w:eastAsia="宋体"/>
          <w:color w:val="auto"/>
          <w:sz w:val="24"/>
          <w:szCs w:val="24"/>
          <w:lang w:val="en-US" w:eastAsia="zh-CN" w:bidi="ar"/>
        </w:rPr>
        <w:t>2-42</w:t>
      </w:r>
      <w:r>
        <w:rPr>
          <w:rFonts w:ascii="Times New Roman" w:hAnsi="Times New Roman" w:eastAsia="宋体"/>
          <w:color w:val="auto"/>
          <w:sz w:val="24"/>
          <w:szCs w:val="24"/>
          <w:lang w:bidi="ar"/>
        </w:rPr>
        <w:t>)。</w:t>
      </w:r>
    </w:p>
    <w:p w14:paraId="13A52162">
      <w:pPr>
        <w:spacing w:line="360" w:lineRule="auto"/>
        <w:jc w:val="center"/>
        <w:rPr>
          <w:rFonts w:ascii="Times New Roman" w:hAnsi="Times New Roman" w:eastAsia="宋体"/>
          <w:color w:val="auto"/>
          <w:sz w:val="24"/>
          <w:szCs w:val="28"/>
        </w:rPr>
      </w:pPr>
      <w:r>
        <w:rPr>
          <w:rFonts w:ascii="Times New Roman" w:hAnsi="Times New Roman" w:eastAsia="宋体"/>
          <w:color w:val="auto"/>
          <w:sz w:val="24"/>
          <w:szCs w:val="22"/>
        </w:rPr>
        <w:drawing>
          <wp:inline distT="0" distB="0" distL="114300" distR="114300">
            <wp:extent cx="3966210" cy="2263775"/>
            <wp:effectExtent l="0" t="0" r="15240" b="3175"/>
            <wp:docPr id="37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21"/>
                    <pic:cNvPicPr>
                      <a:picLocks noChangeAspect="1"/>
                    </pic:cNvPicPr>
                  </pic:nvPicPr>
                  <pic:blipFill>
                    <a:blip r:embed="rId153"/>
                    <a:stretch>
                      <a:fillRect/>
                    </a:stretch>
                  </pic:blipFill>
                  <pic:spPr>
                    <a:xfrm>
                      <a:off x="0" y="0"/>
                      <a:ext cx="3966210" cy="2263775"/>
                    </a:xfrm>
                    <a:prstGeom prst="rect">
                      <a:avLst/>
                    </a:prstGeom>
                    <a:noFill/>
                    <a:ln>
                      <a:noFill/>
                    </a:ln>
                  </pic:spPr>
                </pic:pic>
              </a:graphicData>
            </a:graphic>
          </wp:inline>
        </w:drawing>
      </w:r>
    </w:p>
    <w:p w14:paraId="00935E08">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w:t>
      </w:r>
      <w:r>
        <w:rPr>
          <w:rFonts w:hint="eastAsia" w:ascii="Times New Roman" w:hAnsi="Times New Roman" w:eastAsia="黑体" w:cs="Times New Roman"/>
          <w:color w:val="auto"/>
          <w:sz w:val="24"/>
          <w:szCs w:val="21"/>
          <w:lang w:val="en-US" w:eastAsia="zh-CN"/>
        </w:rPr>
        <w:t>2-42</w:t>
      </w:r>
      <w:r>
        <w:rPr>
          <w:rFonts w:ascii="Times New Roman" w:hAnsi="Times New Roman" w:eastAsia="黑体" w:cs="Times New Roman"/>
          <w:color w:val="auto"/>
          <w:sz w:val="24"/>
          <w:szCs w:val="21"/>
        </w:rPr>
        <w:t xml:space="preserve">  2024年工程区调查水域浮游植物生物量空间特征</w:t>
      </w:r>
    </w:p>
    <w:p w14:paraId="32A51D3E">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4.3.4.4 群落多样性</w:t>
      </w:r>
    </w:p>
    <w:p w14:paraId="1E5783F4">
      <w:pPr>
        <w:spacing w:line="360" w:lineRule="auto"/>
        <w:ind w:firstLine="480" w:firstLineChars="200"/>
        <w:rPr>
          <w:rFonts w:ascii="Times New Roman" w:hAnsi="Times New Roman" w:eastAsia="宋体"/>
          <w:color w:val="auto"/>
          <w:sz w:val="24"/>
          <w:szCs w:val="24"/>
          <w:lang w:bidi="ar"/>
        </w:rPr>
      </w:pPr>
      <w:bookmarkStart w:id="133" w:name="_Hlk123410332"/>
      <w:r>
        <w:rPr>
          <w:rFonts w:ascii="Times New Roman" w:hAnsi="Times New Roman" w:eastAsia="宋体"/>
          <w:color w:val="auto"/>
          <w:sz w:val="24"/>
          <w:szCs w:val="24"/>
          <w:lang w:bidi="ar"/>
        </w:rPr>
        <w:t>2024年工程区调查结果显示，调查水域浮游植物香农多样性指数为1.34，均匀度指数为0.47，优势度指数为0.48，丰富度指数为0.94。</w:t>
      </w:r>
      <w:bookmarkEnd w:id="133"/>
    </w:p>
    <w:p w14:paraId="3ADA3515">
      <w:pPr>
        <w:keepNext/>
        <w:keepLines/>
        <w:widowControl w:val="0"/>
        <w:numPr>
          <w:ilvl w:val="3"/>
          <w:numId w:val="0"/>
        </w:numPr>
        <w:spacing w:line="360" w:lineRule="auto"/>
        <w:jc w:val="both"/>
        <w:outlineLvl w:val="3"/>
        <w:rPr>
          <w:rFonts w:hint="eastAsia" w:ascii="Times New Roman" w:hAnsi="Times New Roman" w:eastAsia="黑体" w:cs="Times New Roman"/>
          <w:b/>
          <w:bCs w:val="0"/>
          <w:color w:val="auto"/>
          <w:kern w:val="2"/>
          <w:sz w:val="24"/>
          <w:szCs w:val="28"/>
          <w:lang w:val="en-US" w:eastAsia="zh-CN" w:bidi="ar-SA"/>
        </w:rPr>
      </w:pPr>
      <w:r>
        <w:rPr>
          <w:rFonts w:hint="eastAsia" w:ascii="Times New Roman" w:hAnsi="Times New Roman" w:eastAsia="黑体" w:cs="Times New Roman"/>
          <w:b/>
          <w:bCs w:val="0"/>
          <w:color w:val="auto"/>
          <w:kern w:val="2"/>
          <w:sz w:val="24"/>
          <w:szCs w:val="28"/>
          <w:lang w:val="en-US" w:eastAsia="zh-CN" w:bidi="ar-SA"/>
        </w:rPr>
        <w:t>4.2.6.5 浮游动物现状</w:t>
      </w:r>
    </w:p>
    <w:p w14:paraId="621CC92E">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等线" w:cs="Times New Roman"/>
          <w:bCs/>
          <w:color w:val="auto"/>
          <w:kern w:val="2"/>
          <w:sz w:val="24"/>
          <w:szCs w:val="28"/>
          <w:lang w:val="en-US" w:eastAsia="zh-CN" w:bidi="ar-SA"/>
        </w:rPr>
        <w:t>4.2.6.5</w:t>
      </w:r>
      <w:r>
        <w:rPr>
          <w:rFonts w:hint="eastAsia" w:ascii="Times New Roman" w:hAnsi="Times New Roman" w:eastAsia="宋体" w:cs="Times New Roman"/>
          <w:bCs/>
          <w:color w:val="auto"/>
          <w:kern w:val="2"/>
          <w:sz w:val="24"/>
          <w:szCs w:val="28"/>
          <w:lang w:val="en-US" w:eastAsia="zh-CN" w:bidi="ar-SA"/>
        </w:rPr>
        <w:t>.1 群落结构</w:t>
      </w:r>
    </w:p>
    <w:p w14:paraId="56F985AD">
      <w:pPr>
        <w:spacing w:line="360" w:lineRule="auto"/>
        <w:ind w:firstLine="480" w:firstLineChars="200"/>
        <w:rPr>
          <w:rFonts w:ascii="Times New Roman" w:hAnsi="Times New Roman" w:eastAsia="宋体"/>
          <w:color w:val="auto"/>
          <w:sz w:val="24"/>
          <w:szCs w:val="24"/>
          <w:lang w:bidi="ar"/>
        </w:rPr>
      </w:pPr>
      <w:r>
        <w:rPr>
          <w:rFonts w:ascii="Times New Roman" w:hAnsi="Times New Roman" w:eastAsia="宋体"/>
          <w:color w:val="auto"/>
          <w:sz w:val="24"/>
          <w:szCs w:val="24"/>
          <w:lang w:bidi="ar"/>
        </w:rPr>
        <w:t>2024年工程水域</w:t>
      </w:r>
      <w:r>
        <w:rPr>
          <w:rFonts w:hint="eastAsia" w:ascii="Times New Roman" w:hAnsi="Times New Roman" w:eastAsia="宋体"/>
          <w:color w:val="auto"/>
          <w:sz w:val="24"/>
          <w:szCs w:val="24"/>
          <w:lang w:bidi="ar"/>
        </w:rPr>
        <w:t>调查</w:t>
      </w:r>
      <w:r>
        <w:rPr>
          <w:rFonts w:ascii="Times New Roman" w:hAnsi="Times New Roman" w:eastAsia="宋体"/>
          <w:color w:val="auto"/>
          <w:sz w:val="24"/>
          <w:szCs w:val="24"/>
          <w:lang w:bidi="ar"/>
        </w:rPr>
        <w:t>结果显示，调查水域共采集鉴定浮游动物32种</w:t>
      </w:r>
      <w:r>
        <w:rPr>
          <w:rFonts w:hint="eastAsia"/>
          <w:color w:val="auto"/>
          <w:sz w:val="24"/>
          <w:szCs w:val="24"/>
          <w:lang w:eastAsia="zh-CN" w:bidi="ar"/>
        </w:rPr>
        <w:t>（</w:t>
      </w:r>
      <w:r>
        <w:rPr>
          <w:rFonts w:ascii="Times New Roman" w:hAnsi="Times New Roman" w:eastAsia="宋体"/>
          <w:color w:val="auto"/>
          <w:sz w:val="24"/>
          <w:szCs w:val="24"/>
          <w:lang w:bidi="ar"/>
        </w:rPr>
        <w:t>属)。其中，原生动物共8种</w:t>
      </w:r>
      <w:r>
        <w:rPr>
          <w:rFonts w:hint="eastAsia"/>
          <w:color w:val="auto"/>
          <w:sz w:val="24"/>
          <w:szCs w:val="24"/>
          <w:lang w:eastAsia="zh-CN" w:bidi="ar"/>
        </w:rPr>
        <w:t>（</w:t>
      </w:r>
      <w:r>
        <w:rPr>
          <w:rFonts w:ascii="Times New Roman" w:hAnsi="Times New Roman" w:eastAsia="宋体"/>
          <w:color w:val="auto"/>
          <w:sz w:val="24"/>
          <w:szCs w:val="24"/>
          <w:lang w:bidi="ar"/>
        </w:rPr>
        <w:t>属)，占浮游动物物种总数的25%；轮虫类2种，占比为6.2%；枝角类11种(属)，占比为34.4%；桡足类11种(属)，占比为34.4%。</w:t>
      </w:r>
    </w:p>
    <w:p w14:paraId="7909D538">
      <w:pPr>
        <w:spacing w:line="400" w:lineRule="exact"/>
        <w:jc w:val="center"/>
        <w:rPr>
          <w:rFonts w:ascii="Times New Roman" w:hAnsi="Times New Roman" w:eastAsia="黑体" w:cs="Times New Roman"/>
          <w:color w:val="auto"/>
          <w:sz w:val="24"/>
          <w:szCs w:val="21"/>
        </w:rPr>
      </w:pPr>
    </w:p>
    <w:p w14:paraId="63713027">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表4.</w:t>
      </w:r>
      <w:r>
        <w:rPr>
          <w:rFonts w:hint="eastAsia" w:ascii="Times New Roman" w:hAnsi="Times New Roman" w:eastAsia="黑体" w:cs="Times New Roman"/>
          <w:color w:val="auto"/>
          <w:sz w:val="24"/>
          <w:szCs w:val="21"/>
          <w:lang w:val="en-US" w:eastAsia="zh-CN"/>
        </w:rPr>
        <w:t xml:space="preserve">2-45  </w:t>
      </w:r>
      <w:r>
        <w:rPr>
          <w:rFonts w:ascii="Times New Roman" w:hAnsi="Times New Roman" w:eastAsia="黑体" w:cs="Times New Roman"/>
          <w:color w:val="auto"/>
          <w:sz w:val="24"/>
          <w:szCs w:val="21"/>
        </w:rPr>
        <w:t xml:space="preserve"> 2024年工程区调查水域浮游动物名录</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4538"/>
        <w:gridCol w:w="4749"/>
      </w:tblGrid>
      <w:tr w14:paraId="0FC82FD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1377C3DB">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物种</w:t>
            </w:r>
          </w:p>
        </w:tc>
        <w:tc>
          <w:tcPr>
            <w:tcW w:w="2556" w:type="pct"/>
            <w:tcBorders>
              <w:tl2br w:val="nil"/>
              <w:tr2bl w:val="nil"/>
            </w:tcBorders>
            <w:noWrap/>
            <w:vAlign w:val="center"/>
          </w:tcPr>
          <w:p w14:paraId="1B2A5C0D">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b/>
                <w:bCs/>
                <w:color w:val="auto"/>
                <w:kern w:val="0"/>
                <w:sz w:val="21"/>
                <w:szCs w:val="21"/>
              </w:rPr>
            </w:pPr>
            <w:r>
              <w:rPr>
                <w:rFonts w:hint="default" w:ascii="Times New Roman" w:hAnsi="Times New Roman" w:eastAsia="宋体"/>
                <w:b/>
                <w:bCs/>
                <w:color w:val="auto"/>
                <w:kern w:val="0"/>
                <w:sz w:val="21"/>
                <w:szCs w:val="21"/>
                <w:lang w:bidi="ar"/>
              </w:rPr>
              <w:t>物种</w:t>
            </w:r>
          </w:p>
        </w:tc>
      </w:tr>
      <w:tr w14:paraId="2C9CD5CA">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412A4EAC">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b/>
                <w:bCs/>
                <w:color w:val="auto"/>
                <w:sz w:val="21"/>
                <w:szCs w:val="21"/>
                <w:lang w:bidi="ar"/>
              </w:rPr>
              <w:t>原生动物</w:t>
            </w:r>
            <w:r>
              <w:rPr>
                <w:rFonts w:hint="default" w:ascii="Times New Roman" w:hAnsi="Times New Roman" w:eastAsia="宋体"/>
                <w:b/>
                <w:bCs/>
                <w:iCs/>
                <w:color w:val="auto"/>
                <w:sz w:val="21"/>
                <w:szCs w:val="21"/>
                <w:lang w:bidi="ar"/>
              </w:rPr>
              <w:t>Protozoa</w:t>
            </w:r>
          </w:p>
        </w:tc>
        <w:tc>
          <w:tcPr>
            <w:tcW w:w="2556" w:type="pct"/>
            <w:tcBorders>
              <w:tl2br w:val="nil"/>
              <w:tr2bl w:val="nil"/>
            </w:tcBorders>
            <w:noWrap/>
            <w:vAlign w:val="center"/>
          </w:tcPr>
          <w:p w14:paraId="1E217688">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小栉溞</w:t>
            </w:r>
            <w:r>
              <w:rPr>
                <w:rFonts w:hint="default" w:ascii="Times New Roman" w:hAnsi="Times New Roman" w:eastAsia="宋体"/>
                <w:i/>
                <w:iCs/>
                <w:color w:val="auto"/>
                <w:kern w:val="0"/>
                <w:sz w:val="21"/>
                <w:szCs w:val="21"/>
                <w:lang w:bidi="ar"/>
              </w:rPr>
              <w:t>Daphnia cristata</w:t>
            </w:r>
          </w:p>
        </w:tc>
      </w:tr>
      <w:tr w14:paraId="2286A46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60ED5974">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绿急游虫</w:t>
            </w:r>
            <w:r>
              <w:rPr>
                <w:rFonts w:hint="default" w:ascii="Times New Roman" w:hAnsi="Times New Roman" w:eastAsia="宋体"/>
                <w:i/>
                <w:iCs/>
                <w:color w:val="auto"/>
                <w:kern w:val="0"/>
                <w:sz w:val="21"/>
                <w:szCs w:val="21"/>
                <w:lang w:bidi="ar"/>
              </w:rPr>
              <w:t>Strombidium viride</w:t>
            </w:r>
          </w:p>
        </w:tc>
        <w:tc>
          <w:tcPr>
            <w:tcW w:w="2556" w:type="pct"/>
            <w:tcBorders>
              <w:tl2br w:val="nil"/>
              <w:tr2bl w:val="nil"/>
            </w:tcBorders>
            <w:noWrap/>
            <w:vAlign w:val="center"/>
          </w:tcPr>
          <w:p w14:paraId="4E06E3D5">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透明薄皮溞</w:t>
            </w:r>
            <w:r>
              <w:rPr>
                <w:rFonts w:hint="default" w:ascii="Times New Roman" w:hAnsi="Times New Roman" w:eastAsia="宋体"/>
                <w:i/>
                <w:iCs/>
                <w:color w:val="auto"/>
                <w:kern w:val="0"/>
                <w:sz w:val="21"/>
                <w:szCs w:val="21"/>
                <w:lang w:bidi="ar"/>
              </w:rPr>
              <w:t>Leptodora kindti</w:t>
            </w:r>
          </w:p>
        </w:tc>
      </w:tr>
      <w:tr w14:paraId="4358A166">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6C2D684E">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侠盗虫属</w:t>
            </w:r>
            <w:r>
              <w:rPr>
                <w:rFonts w:hint="default" w:ascii="Times New Roman" w:hAnsi="Times New Roman" w:eastAsia="宋体"/>
                <w:i/>
                <w:iCs/>
                <w:color w:val="auto"/>
                <w:kern w:val="0"/>
                <w:sz w:val="21"/>
                <w:szCs w:val="21"/>
                <w:lang w:bidi="ar"/>
              </w:rPr>
              <w:t xml:space="preserve">Stribilidium </w:t>
            </w:r>
            <w:r>
              <w:rPr>
                <w:rFonts w:hint="default" w:ascii="Times New Roman" w:hAnsi="Times New Roman" w:eastAsia="宋体"/>
                <w:color w:val="auto"/>
                <w:sz w:val="21"/>
                <w:szCs w:val="21"/>
                <w:lang w:bidi="ar"/>
              </w:rPr>
              <w:t>sp.</w:t>
            </w:r>
          </w:p>
        </w:tc>
        <w:tc>
          <w:tcPr>
            <w:tcW w:w="2556" w:type="pct"/>
            <w:tcBorders>
              <w:tl2br w:val="nil"/>
              <w:tr2bl w:val="nil"/>
            </w:tcBorders>
            <w:noWrap/>
            <w:vAlign w:val="center"/>
          </w:tcPr>
          <w:p w14:paraId="0BDB5811">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裸腹溞属</w:t>
            </w:r>
            <w:r>
              <w:rPr>
                <w:rFonts w:hint="default" w:ascii="Times New Roman" w:hAnsi="Times New Roman" w:eastAsia="宋体"/>
                <w:i/>
                <w:iCs/>
                <w:color w:val="auto"/>
                <w:kern w:val="0"/>
                <w:sz w:val="21"/>
                <w:szCs w:val="21"/>
                <w:lang w:bidi="ar"/>
              </w:rPr>
              <w:t xml:space="preserve">Moina </w:t>
            </w:r>
            <w:r>
              <w:rPr>
                <w:rFonts w:hint="default" w:ascii="Times New Roman" w:hAnsi="Times New Roman" w:eastAsia="宋体"/>
                <w:color w:val="auto"/>
                <w:kern w:val="0"/>
                <w:sz w:val="21"/>
                <w:szCs w:val="21"/>
                <w:lang w:bidi="ar"/>
              </w:rPr>
              <w:t>sp.</w:t>
            </w:r>
          </w:p>
        </w:tc>
      </w:tr>
      <w:tr w14:paraId="2E7BC83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615997D1">
            <w:pPr>
              <w:keepNext w:val="0"/>
              <w:keepLines w:val="0"/>
              <w:widowControl/>
              <w:suppressLineNumbers w:val="0"/>
              <w:spacing w:before="0" w:beforeAutospacing="0" w:after="0" w:afterAutospacing="0" w:line="240" w:lineRule="auto"/>
              <w:ind w:left="0" w:right="0" w:firstLine="210" w:firstLineChars="100"/>
              <w:textAlignment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累枝虫属</w:t>
            </w:r>
            <w:r>
              <w:rPr>
                <w:rFonts w:hint="default" w:ascii="Times New Roman" w:hAnsi="Times New Roman" w:eastAsia="宋体"/>
                <w:i/>
                <w:iCs/>
                <w:color w:val="auto"/>
                <w:sz w:val="21"/>
                <w:szCs w:val="21"/>
                <w:lang w:bidi="ar"/>
              </w:rPr>
              <w:t>Epistylis</w:t>
            </w:r>
            <w:r>
              <w:rPr>
                <w:rFonts w:hint="default" w:ascii="Times New Roman" w:hAnsi="Times New Roman" w:eastAsia="宋体"/>
                <w:color w:val="auto"/>
                <w:sz w:val="21"/>
                <w:szCs w:val="21"/>
                <w:lang w:bidi="ar"/>
              </w:rPr>
              <w:t xml:space="preserve"> sp.</w:t>
            </w:r>
          </w:p>
        </w:tc>
        <w:tc>
          <w:tcPr>
            <w:tcW w:w="2556" w:type="pct"/>
            <w:tcBorders>
              <w:tl2br w:val="nil"/>
              <w:tr2bl w:val="nil"/>
            </w:tcBorders>
            <w:noWrap/>
            <w:vAlign w:val="center"/>
          </w:tcPr>
          <w:p w14:paraId="2E8ECFED">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微型裸腹溞</w:t>
            </w:r>
            <w:r>
              <w:rPr>
                <w:rFonts w:hint="default" w:ascii="Times New Roman" w:hAnsi="Times New Roman" w:eastAsia="宋体"/>
                <w:i/>
                <w:iCs/>
                <w:color w:val="auto"/>
                <w:kern w:val="0"/>
                <w:sz w:val="21"/>
                <w:szCs w:val="21"/>
                <w:lang w:bidi="ar"/>
              </w:rPr>
              <w:t>Moina micrura</w:t>
            </w:r>
          </w:p>
        </w:tc>
      </w:tr>
      <w:tr w14:paraId="676D4AE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174BA5A2">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长吻虫属</w:t>
            </w:r>
            <w:r>
              <w:rPr>
                <w:rFonts w:hint="default" w:ascii="Times New Roman" w:hAnsi="Times New Roman" w:eastAsia="宋体"/>
                <w:i/>
                <w:iCs/>
                <w:color w:val="auto"/>
                <w:sz w:val="21"/>
                <w:szCs w:val="21"/>
                <w:lang w:bidi="ar"/>
              </w:rPr>
              <w:t xml:space="preserve">Lacrymaria </w:t>
            </w:r>
            <w:r>
              <w:rPr>
                <w:rFonts w:hint="default" w:ascii="Times New Roman" w:hAnsi="Times New Roman" w:eastAsia="宋体"/>
                <w:color w:val="auto"/>
                <w:sz w:val="21"/>
                <w:szCs w:val="21"/>
                <w:lang w:bidi="ar"/>
              </w:rPr>
              <w:t>sp.</w:t>
            </w:r>
          </w:p>
        </w:tc>
        <w:tc>
          <w:tcPr>
            <w:tcW w:w="2556" w:type="pct"/>
            <w:tcBorders>
              <w:tl2br w:val="nil"/>
              <w:tr2bl w:val="nil"/>
            </w:tcBorders>
            <w:noWrap/>
            <w:vAlign w:val="center"/>
          </w:tcPr>
          <w:p w14:paraId="1BE5DB91">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发头裸腹溞</w:t>
            </w:r>
            <w:r>
              <w:rPr>
                <w:rFonts w:hint="default" w:ascii="Times New Roman" w:hAnsi="Times New Roman" w:eastAsia="宋体"/>
                <w:i/>
                <w:iCs/>
                <w:color w:val="auto"/>
                <w:kern w:val="0"/>
                <w:sz w:val="21"/>
                <w:szCs w:val="21"/>
                <w:lang w:bidi="ar"/>
              </w:rPr>
              <w:t>Moina irrasa</w:t>
            </w:r>
          </w:p>
        </w:tc>
      </w:tr>
      <w:tr w14:paraId="1FB122F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18B2A24D">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曲颈虫属</w:t>
            </w:r>
            <w:r>
              <w:rPr>
                <w:rFonts w:hint="default" w:ascii="Times New Roman" w:hAnsi="Times New Roman" w:eastAsia="宋体"/>
                <w:i/>
                <w:iCs/>
                <w:color w:val="auto"/>
                <w:kern w:val="0"/>
                <w:sz w:val="21"/>
                <w:szCs w:val="21"/>
                <w:lang w:bidi="ar"/>
              </w:rPr>
              <w:t xml:space="preserve">Cyphoderia </w:t>
            </w:r>
            <w:r>
              <w:rPr>
                <w:rFonts w:hint="default" w:ascii="Times New Roman" w:hAnsi="Times New Roman" w:eastAsia="宋体"/>
                <w:color w:val="auto"/>
                <w:sz w:val="21"/>
                <w:szCs w:val="21"/>
                <w:lang w:bidi="ar"/>
              </w:rPr>
              <w:t>sp.</w:t>
            </w:r>
          </w:p>
        </w:tc>
        <w:tc>
          <w:tcPr>
            <w:tcW w:w="2556" w:type="pct"/>
            <w:tcBorders>
              <w:tl2br w:val="nil"/>
              <w:tr2bl w:val="nil"/>
            </w:tcBorders>
            <w:noWrap/>
            <w:vAlign w:val="center"/>
          </w:tcPr>
          <w:p w14:paraId="4E8B4D4C">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直额裸腹溞</w:t>
            </w:r>
            <w:r>
              <w:rPr>
                <w:rFonts w:hint="default" w:ascii="Times New Roman" w:hAnsi="Times New Roman" w:eastAsia="宋体"/>
                <w:i/>
                <w:iCs/>
                <w:color w:val="auto"/>
                <w:kern w:val="0"/>
                <w:sz w:val="21"/>
                <w:szCs w:val="21"/>
                <w:lang w:bidi="ar"/>
              </w:rPr>
              <w:t>Moina rectirostris</w:t>
            </w:r>
          </w:p>
        </w:tc>
      </w:tr>
      <w:tr w14:paraId="0DCF4B3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48AAD6AA">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淡水薄铃虫</w:t>
            </w:r>
            <w:r>
              <w:rPr>
                <w:rFonts w:hint="default" w:ascii="Times New Roman" w:hAnsi="Times New Roman" w:eastAsia="宋体"/>
                <w:i/>
                <w:iCs/>
                <w:color w:val="auto"/>
                <w:kern w:val="0"/>
                <w:sz w:val="21"/>
                <w:szCs w:val="21"/>
                <w:lang w:bidi="ar"/>
              </w:rPr>
              <w:t>Leprotintinnus fluviatile</w:t>
            </w:r>
          </w:p>
        </w:tc>
        <w:tc>
          <w:tcPr>
            <w:tcW w:w="2556" w:type="pct"/>
            <w:tcBorders>
              <w:tl2br w:val="nil"/>
              <w:tr2bl w:val="nil"/>
            </w:tcBorders>
            <w:noWrap/>
            <w:vAlign w:val="center"/>
          </w:tcPr>
          <w:p w14:paraId="2855984E">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b/>
                <w:bCs/>
                <w:color w:val="auto"/>
                <w:sz w:val="21"/>
                <w:szCs w:val="21"/>
                <w:lang w:bidi="ar"/>
              </w:rPr>
              <w:t>桡足类</w:t>
            </w:r>
            <w:r>
              <w:rPr>
                <w:rFonts w:hint="default" w:ascii="Times New Roman" w:hAnsi="Times New Roman" w:eastAsia="宋体"/>
                <w:b/>
                <w:bCs/>
                <w:iCs/>
                <w:color w:val="auto"/>
                <w:sz w:val="21"/>
                <w:szCs w:val="21"/>
                <w:lang w:bidi="ar"/>
              </w:rPr>
              <w:t>Copepoda</w:t>
            </w:r>
          </w:p>
        </w:tc>
      </w:tr>
      <w:tr w14:paraId="042C393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59A39A4F">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江苏拟铃虫</w:t>
            </w:r>
            <w:r>
              <w:rPr>
                <w:rFonts w:hint="default" w:ascii="Times New Roman" w:hAnsi="Times New Roman" w:eastAsia="宋体"/>
                <w:i/>
                <w:iCs/>
                <w:color w:val="auto"/>
                <w:kern w:val="0"/>
                <w:sz w:val="21"/>
                <w:szCs w:val="21"/>
                <w:lang w:bidi="ar"/>
              </w:rPr>
              <w:t>Tintinnopsis kiangsuensis</w:t>
            </w:r>
          </w:p>
        </w:tc>
        <w:tc>
          <w:tcPr>
            <w:tcW w:w="2556" w:type="pct"/>
            <w:tcBorders>
              <w:tl2br w:val="nil"/>
              <w:tr2bl w:val="nil"/>
            </w:tcBorders>
            <w:noWrap/>
            <w:vAlign w:val="center"/>
          </w:tcPr>
          <w:p w14:paraId="73075033">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无节幼体</w:t>
            </w:r>
            <w:r>
              <w:rPr>
                <w:rFonts w:hint="default" w:ascii="Times New Roman" w:hAnsi="Times New Roman" w:eastAsia="宋体"/>
                <w:i/>
                <w:color w:val="auto"/>
                <w:sz w:val="21"/>
                <w:szCs w:val="21"/>
                <w:lang w:bidi="ar"/>
              </w:rPr>
              <w:t>Nauplii</w:t>
            </w:r>
            <w:r>
              <w:rPr>
                <w:rFonts w:hint="default" w:ascii="Times New Roman" w:hAnsi="Times New Roman" w:eastAsia="宋体"/>
                <w:color w:val="auto"/>
                <w:sz w:val="21"/>
                <w:szCs w:val="21"/>
                <w:lang w:bidi="ar"/>
              </w:rPr>
              <w:t xml:space="preserve"> </w:t>
            </w:r>
          </w:p>
        </w:tc>
      </w:tr>
      <w:tr w14:paraId="3966DCF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7D35B929">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球砂壳虫</w:t>
            </w:r>
            <w:r>
              <w:rPr>
                <w:rFonts w:hint="default" w:ascii="Times New Roman" w:hAnsi="Times New Roman" w:eastAsia="宋体"/>
                <w:i/>
                <w:iCs/>
                <w:color w:val="auto"/>
                <w:kern w:val="0"/>
                <w:sz w:val="21"/>
                <w:szCs w:val="21"/>
                <w:lang w:bidi="ar"/>
              </w:rPr>
              <w:t>Difflugia globulosa</w:t>
            </w:r>
          </w:p>
        </w:tc>
        <w:tc>
          <w:tcPr>
            <w:tcW w:w="2556" w:type="pct"/>
            <w:tcBorders>
              <w:tl2br w:val="nil"/>
              <w:tr2bl w:val="nil"/>
            </w:tcBorders>
            <w:noWrap/>
            <w:vAlign w:val="center"/>
          </w:tcPr>
          <w:p w14:paraId="7ADFA0B0">
            <w:pPr>
              <w:keepNext w:val="0"/>
              <w:keepLines w:val="0"/>
              <w:widowControl/>
              <w:suppressLineNumbers w:val="0"/>
              <w:spacing w:before="0" w:beforeAutospacing="0" w:after="0" w:afterAutospacing="0" w:line="240" w:lineRule="auto"/>
              <w:ind w:left="0" w:right="0" w:firstLine="210" w:firstLineChars="100"/>
              <w:jc w:val="left"/>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桡足幼体</w:t>
            </w:r>
            <w:r>
              <w:rPr>
                <w:rFonts w:hint="default" w:ascii="Times New Roman" w:hAnsi="Times New Roman" w:eastAsia="宋体"/>
                <w:i/>
                <w:color w:val="auto"/>
                <w:sz w:val="21"/>
                <w:szCs w:val="21"/>
                <w:lang w:bidi="ar"/>
              </w:rPr>
              <w:t>Copepodid</w:t>
            </w:r>
          </w:p>
        </w:tc>
      </w:tr>
      <w:tr w14:paraId="20225C5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68908F35">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b/>
                <w:bCs/>
                <w:color w:val="auto"/>
                <w:sz w:val="21"/>
                <w:szCs w:val="21"/>
                <w:lang w:bidi="ar"/>
              </w:rPr>
              <w:t>轮虫</w:t>
            </w:r>
            <w:r>
              <w:rPr>
                <w:rFonts w:hint="default" w:ascii="Times New Roman" w:hAnsi="Times New Roman" w:eastAsia="宋体"/>
                <w:b/>
                <w:bCs/>
                <w:iCs/>
                <w:color w:val="auto"/>
                <w:sz w:val="21"/>
                <w:szCs w:val="21"/>
                <w:lang w:bidi="ar"/>
              </w:rPr>
              <w:t>Rotifera</w:t>
            </w:r>
          </w:p>
        </w:tc>
        <w:tc>
          <w:tcPr>
            <w:tcW w:w="2556" w:type="pct"/>
            <w:tcBorders>
              <w:tl2br w:val="nil"/>
              <w:tr2bl w:val="nil"/>
            </w:tcBorders>
            <w:noWrap/>
            <w:vAlign w:val="center"/>
          </w:tcPr>
          <w:p w14:paraId="689BAD5D">
            <w:pPr>
              <w:keepNext w:val="0"/>
              <w:keepLines w:val="0"/>
              <w:widowControl/>
              <w:suppressLineNumbers w:val="0"/>
              <w:spacing w:before="0" w:beforeAutospacing="0" w:after="0" w:afterAutospacing="0" w:line="240" w:lineRule="auto"/>
              <w:ind w:left="0" w:right="0" w:firstLine="210" w:firstLineChars="100"/>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汤匙华哲水蚤S</w:t>
            </w:r>
            <w:r>
              <w:rPr>
                <w:rFonts w:hint="default" w:ascii="Times New Roman" w:hAnsi="Times New Roman" w:eastAsia="宋体"/>
                <w:i/>
                <w:iCs/>
                <w:color w:val="auto"/>
                <w:kern w:val="0"/>
                <w:sz w:val="21"/>
                <w:szCs w:val="21"/>
                <w:lang w:bidi="ar"/>
              </w:rPr>
              <w:t>inocalanus dorrii</w:t>
            </w:r>
          </w:p>
        </w:tc>
      </w:tr>
      <w:tr w14:paraId="29160E1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243D19E2">
            <w:pPr>
              <w:keepNext w:val="0"/>
              <w:keepLines w:val="0"/>
              <w:widowControl/>
              <w:suppressLineNumbers w:val="0"/>
              <w:spacing w:before="0" w:beforeAutospacing="0" w:after="0" w:afterAutospacing="0" w:line="240" w:lineRule="auto"/>
              <w:ind w:left="0" w:right="0" w:firstLine="210" w:firstLineChars="100"/>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角突臂尾轮虫</w:t>
            </w:r>
            <w:r>
              <w:rPr>
                <w:rFonts w:hint="default" w:ascii="Times New Roman" w:hAnsi="Times New Roman" w:eastAsia="宋体"/>
                <w:i/>
                <w:iCs/>
                <w:color w:val="auto"/>
                <w:kern w:val="0"/>
                <w:sz w:val="21"/>
                <w:szCs w:val="21"/>
                <w:lang w:bidi="ar"/>
              </w:rPr>
              <w:t>Brachionus angularis</w:t>
            </w:r>
          </w:p>
        </w:tc>
        <w:tc>
          <w:tcPr>
            <w:tcW w:w="2556" w:type="pct"/>
            <w:tcBorders>
              <w:tl2br w:val="nil"/>
              <w:tr2bl w:val="nil"/>
            </w:tcBorders>
            <w:noWrap/>
            <w:vAlign w:val="center"/>
          </w:tcPr>
          <w:p w14:paraId="777625C8">
            <w:pPr>
              <w:keepNext w:val="0"/>
              <w:keepLines w:val="0"/>
              <w:widowControl/>
              <w:suppressLineNumbers w:val="0"/>
              <w:spacing w:before="0" w:beforeAutospacing="0" w:after="0" w:afterAutospacing="0" w:line="240" w:lineRule="auto"/>
              <w:ind w:left="0" w:right="0" w:firstLine="210" w:firstLineChars="100"/>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广布中剑水蚤</w:t>
            </w:r>
            <w:r>
              <w:rPr>
                <w:rFonts w:hint="default" w:ascii="Times New Roman" w:hAnsi="Times New Roman" w:eastAsia="宋体"/>
                <w:i/>
                <w:iCs/>
                <w:color w:val="auto"/>
                <w:kern w:val="0"/>
                <w:sz w:val="21"/>
                <w:szCs w:val="21"/>
                <w:lang w:bidi="ar"/>
              </w:rPr>
              <w:t>Mesocyclops leuckarti</w:t>
            </w:r>
          </w:p>
        </w:tc>
      </w:tr>
      <w:tr w14:paraId="5A1BEA7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155070E0">
            <w:pPr>
              <w:keepNext w:val="0"/>
              <w:keepLines w:val="0"/>
              <w:widowControl/>
              <w:suppressLineNumbers w:val="0"/>
              <w:spacing w:before="0" w:beforeAutospacing="0" w:after="0" w:afterAutospacing="0" w:line="240" w:lineRule="auto"/>
              <w:ind w:left="0" w:right="0" w:firstLine="210" w:firstLineChars="100"/>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广布多肢轮虫</w:t>
            </w:r>
            <w:r>
              <w:rPr>
                <w:rFonts w:hint="default" w:ascii="Times New Roman" w:hAnsi="Times New Roman" w:eastAsia="宋体"/>
                <w:i/>
                <w:iCs/>
                <w:color w:val="auto"/>
                <w:kern w:val="0"/>
                <w:sz w:val="21"/>
                <w:szCs w:val="21"/>
                <w:lang w:bidi="ar"/>
              </w:rPr>
              <w:t>Polyarthra vulgaris</w:t>
            </w:r>
          </w:p>
        </w:tc>
        <w:tc>
          <w:tcPr>
            <w:tcW w:w="2556" w:type="pct"/>
            <w:tcBorders>
              <w:tl2br w:val="nil"/>
              <w:tr2bl w:val="nil"/>
            </w:tcBorders>
            <w:noWrap/>
            <w:vAlign w:val="center"/>
          </w:tcPr>
          <w:p w14:paraId="471DADA8">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指状许水蚤</w:t>
            </w:r>
            <w:r>
              <w:rPr>
                <w:rFonts w:hint="default" w:ascii="Times New Roman" w:hAnsi="Times New Roman" w:eastAsia="宋体"/>
                <w:i/>
                <w:iCs/>
                <w:color w:val="auto"/>
                <w:kern w:val="0"/>
                <w:sz w:val="21"/>
                <w:szCs w:val="21"/>
                <w:lang w:bidi="ar"/>
              </w:rPr>
              <w:t>Schmackeria inopinus</w:t>
            </w:r>
          </w:p>
        </w:tc>
      </w:tr>
      <w:tr w14:paraId="63392B11">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72A8A8A9">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color w:val="auto"/>
                <w:sz w:val="21"/>
                <w:szCs w:val="21"/>
              </w:rPr>
            </w:pPr>
            <w:r>
              <w:rPr>
                <w:rFonts w:hint="default" w:ascii="Times New Roman" w:hAnsi="Times New Roman" w:eastAsia="宋体"/>
                <w:b/>
                <w:bCs/>
                <w:color w:val="auto"/>
                <w:sz w:val="21"/>
                <w:szCs w:val="21"/>
                <w:lang w:bidi="ar"/>
              </w:rPr>
              <w:t>枝角类</w:t>
            </w:r>
            <w:r>
              <w:rPr>
                <w:rFonts w:hint="default" w:ascii="Times New Roman" w:hAnsi="Times New Roman" w:eastAsia="宋体"/>
                <w:b/>
                <w:bCs/>
                <w:iCs/>
                <w:color w:val="auto"/>
                <w:sz w:val="21"/>
                <w:szCs w:val="21"/>
                <w:lang w:bidi="ar"/>
              </w:rPr>
              <w:t>Cladocera</w:t>
            </w:r>
          </w:p>
        </w:tc>
        <w:tc>
          <w:tcPr>
            <w:tcW w:w="2556" w:type="pct"/>
            <w:tcBorders>
              <w:tl2br w:val="nil"/>
              <w:tr2bl w:val="nil"/>
            </w:tcBorders>
            <w:noWrap/>
            <w:vAlign w:val="center"/>
          </w:tcPr>
          <w:p w14:paraId="1E02D427">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球状许水蚤</w:t>
            </w:r>
            <w:r>
              <w:rPr>
                <w:rFonts w:hint="default" w:ascii="Times New Roman" w:hAnsi="Times New Roman" w:eastAsia="宋体"/>
                <w:i/>
                <w:iCs/>
                <w:color w:val="auto"/>
                <w:kern w:val="0"/>
                <w:sz w:val="21"/>
                <w:szCs w:val="21"/>
                <w:lang w:bidi="ar"/>
              </w:rPr>
              <w:t>Schmackeria forbesi</w:t>
            </w:r>
          </w:p>
        </w:tc>
      </w:tr>
      <w:tr w14:paraId="76860026">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4F53E129">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长额象鼻溞</w:t>
            </w:r>
            <w:r>
              <w:rPr>
                <w:rFonts w:hint="default" w:ascii="Times New Roman" w:hAnsi="Times New Roman" w:eastAsia="宋体"/>
                <w:i/>
                <w:iCs/>
                <w:color w:val="auto"/>
                <w:kern w:val="0"/>
                <w:sz w:val="21"/>
                <w:szCs w:val="21"/>
                <w:lang w:bidi="ar"/>
              </w:rPr>
              <w:t>Bosmina longirostris</w:t>
            </w:r>
          </w:p>
        </w:tc>
        <w:tc>
          <w:tcPr>
            <w:tcW w:w="2556" w:type="pct"/>
            <w:tcBorders>
              <w:tl2br w:val="nil"/>
              <w:tr2bl w:val="nil"/>
            </w:tcBorders>
            <w:noWrap/>
            <w:vAlign w:val="center"/>
          </w:tcPr>
          <w:p w14:paraId="4B80BBF7">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kern w:val="0"/>
                <w:sz w:val="21"/>
                <w:szCs w:val="21"/>
              </w:rPr>
            </w:pPr>
            <w:r>
              <w:rPr>
                <w:rFonts w:hint="default" w:ascii="Times New Roman" w:hAnsi="Times New Roman" w:eastAsia="宋体"/>
                <w:color w:val="auto"/>
                <w:kern w:val="0"/>
                <w:sz w:val="21"/>
                <w:szCs w:val="21"/>
                <w:lang w:bidi="ar"/>
              </w:rPr>
              <w:t>特异荡镖水蚤</w:t>
            </w:r>
            <w:r>
              <w:rPr>
                <w:rFonts w:hint="default" w:ascii="Times New Roman" w:hAnsi="Times New Roman" w:eastAsia="宋体"/>
                <w:i/>
                <w:iCs/>
                <w:color w:val="auto"/>
                <w:kern w:val="0"/>
                <w:sz w:val="21"/>
                <w:szCs w:val="21"/>
                <w:lang w:bidi="ar"/>
              </w:rPr>
              <w:t>Neutrodiaptomus incongruens</w:t>
            </w:r>
          </w:p>
        </w:tc>
      </w:tr>
      <w:tr w14:paraId="64AC064C">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07412399">
            <w:pPr>
              <w:keepNext w:val="0"/>
              <w:keepLines w:val="0"/>
              <w:widowControl/>
              <w:suppressLineNumbers w:val="0"/>
              <w:spacing w:before="0" w:beforeAutospacing="0" w:after="0" w:afterAutospacing="0" w:line="240" w:lineRule="auto"/>
              <w:ind w:left="0" w:right="0" w:firstLine="210" w:firstLineChars="100"/>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脆弱象鼻溞</w:t>
            </w:r>
            <w:r>
              <w:rPr>
                <w:rFonts w:hint="default" w:ascii="Times New Roman" w:hAnsi="Times New Roman" w:eastAsia="宋体"/>
                <w:i/>
                <w:iCs/>
                <w:color w:val="auto"/>
                <w:kern w:val="0"/>
                <w:sz w:val="21"/>
                <w:szCs w:val="21"/>
                <w:lang w:bidi="ar"/>
              </w:rPr>
              <w:t>Bosmina fatalis</w:t>
            </w:r>
          </w:p>
        </w:tc>
        <w:tc>
          <w:tcPr>
            <w:tcW w:w="2556" w:type="pct"/>
            <w:tcBorders>
              <w:tl2br w:val="nil"/>
              <w:tr2bl w:val="nil"/>
            </w:tcBorders>
            <w:noWrap/>
            <w:vAlign w:val="center"/>
          </w:tcPr>
          <w:p w14:paraId="1FC7A859">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锥肢蒙镖水蚤</w:t>
            </w:r>
            <w:r>
              <w:rPr>
                <w:rFonts w:hint="default" w:ascii="Times New Roman" w:hAnsi="Times New Roman" w:eastAsia="宋体"/>
                <w:i/>
                <w:iCs/>
                <w:color w:val="auto"/>
                <w:kern w:val="0"/>
                <w:sz w:val="21"/>
                <w:szCs w:val="21"/>
                <w:lang w:bidi="ar"/>
              </w:rPr>
              <w:t>Mongolodiaptomus birulai</w:t>
            </w:r>
          </w:p>
        </w:tc>
      </w:tr>
      <w:tr w14:paraId="1CF09F7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5E02EE89">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僧帽溞</w:t>
            </w:r>
            <w:r>
              <w:rPr>
                <w:rFonts w:hint="default" w:ascii="Times New Roman" w:hAnsi="Times New Roman" w:eastAsia="宋体"/>
                <w:i/>
                <w:iCs/>
                <w:color w:val="auto"/>
                <w:kern w:val="0"/>
                <w:sz w:val="21"/>
                <w:szCs w:val="21"/>
                <w:lang w:bidi="ar"/>
              </w:rPr>
              <w:t>Daphnia cucullata</w:t>
            </w:r>
          </w:p>
        </w:tc>
        <w:tc>
          <w:tcPr>
            <w:tcW w:w="2556" w:type="pct"/>
            <w:tcBorders>
              <w:tl2br w:val="nil"/>
              <w:tr2bl w:val="nil"/>
            </w:tcBorders>
            <w:noWrap/>
            <w:vAlign w:val="center"/>
          </w:tcPr>
          <w:p w14:paraId="79610075">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温剑水蚤属</w:t>
            </w:r>
            <w:r>
              <w:rPr>
                <w:rFonts w:hint="default" w:ascii="Times New Roman" w:hAnsi="Times New Roman" w:eastAsia="宋体"/>
                <w:i/>
                <w:iCs/>
                <w:color w:val="auto"/>
                <w:kern w:val="0"/>
                <w:sz w:val="21"/>
                <w:szCs w:val="21"/>
                <w:lang w:bidi="ar"/>
              </w:rPr>
              <w:t>Thermocyclops</w:t>
            </w:r>
            <w:r>
              <w:rPr>
                <w:rFonts w:hint="default" w:ascii="Times New Roman" w:hAnsi="Times New Roman" w:eastAsia="宋体"/>
                <w:color w:val="auto"/>
                <w:kern w:val="0"/>
                <w:sz w:val="21"/>
                <w:szCs w:val="21"/>
                <w:lang w:bidi="ar"/>
              </w:rPr>
              <w:t xml:space="preserve"> sp.</w:t>
            </w:r>
          </w:p>
        </w:tc>
      </w:tr>
      <w:tr w14:paraId="1E4C9CA8">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04E7C94D">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透明溞</w:t>
            </w:r>
            <w:r>
              <w:rPr>
                <w:rFonts w:hint="default" w:ascii="Times New Roman" w:hAnsi="Times New Roman" w:eastAsia="宋体"/>
                <w:i/>
                <w:iCs/>
                <w:color w:val="auto"/>
                <w:sz w:val="21"/>
                <w:szCs w:val="21"/>
                <w:lang w:bidi="ar"/>
              </w:rPr>
              <w:t>Daphnia hyalina</w:t>
            </w:r>
          </w:p>
        </w:tc>
        <w:tc>
          <w:tcPr>
            <w:tcW w:w="2556" w:type="pct"/>
            <w:tcBorders>
              <w:tl2br w:val="nil"/>
              <w:tr2bl w:val="nil"/>
            </w:tcBorders>
            <w:noWrap/>
            <w:vAlign w:val="center"/>
          </w:tcPr>
          <w:p w14:paraId="05815676">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爪哇小剑水蚤</w:t>
            </w:r>
            <w:r>
              <w:rPr>
                <w:rFonts w:hint="default" w:ascii="Times New Roman" w:hAnsi="Times New Roman" w:eastAsia="宋体"/>
                <w:i/>
                <w:iCs/>
                <w:color w:val="auto"/>
                <w:kern w:val="0"/>
                <w:sz w:val="21"/>
                <w:szCs w:val="21"/>
                <w:lang w:bidi="ar"/>
              </w:rPr>
              <w:t>Microcyclops javanus</w:t>
            </w:r>
          </w:p>
        </w:tc>
      </w:tr>
      <w:tr w14:paraId="7FD9D23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85" w:hRule="atLeast"/>
          <w:jc w:val="center"/>
        </w:trPr>
        <w:tc>
          <w:tcPr>
            <w:tcW w:w="2443" w:type="pct"/>
            <w:tcBorders>
              <w:tl2br w:val="nil"/>
              <w:tr2bl w:val="nil"/>
            </w:tcBorders>
            <w:noWrap/>
            <w:vAlign w:val="center"/>
          </w:tcPr>
          <w:p w14:paraId="16DD3681">
            <w:pPr>
              <w:keepNext w:val="0"/>
              <w:keepLines w:val="0"/>
              <w:widowControl/>
              <w:suppressLineNumbers w:val="0"/>
              <w:spacing w:before="0" w:beforeAutospacing="0" w:after="0" w:afterAutospacing="0" w:line="240" w:lineRule="auto"/>
              <w:ind w:left="0" w:right="0" w:firstLine="210" w:firstLineChars="100"/>
              <w:jc w:val="left"/>
              <w:textAlignment w:val="center"/>
              <w:rPr>
                <w:rFonts w:hint="default" w:ascii="Times New Roman" w:hAnsi="Times New Roman" w:eastAsia="宋体"/>
                <w:color w:val="auto"/>
                <w:sz w:val="21"/>
                <w:szCs w:val="21"/>
              </w:rPr>
            </w:pPr>
            <w:r>
              <w:rPr>
                <w:rFonts w:hint="default" w:ascii="Times New Roman" w:hAnsi="Times New Roman" w:eastAsia="宋体"/>
                <w:color w:val="auto"/>
                <w:sz w:val="21"/>
                <w:szCs w:val="21"/>
                <w:lang w:bidi="ar"/>
              </w:rPr>
              <w:t>蚤状溞</w:t>
            </w:r>
            <w:r>
              <w:rPr>
                <w:rFonts w:hint="default" w:ascii="Times New Roman" w:hAnsi="Times New Roman" w:eastAsia="宋体"/>
                <w:i/>
                <w:iCs/>
                <w:color w:val="auto"/>
                <w:kern w:val="0"/>
                <w:sz w:val="21"/>
                <w:szCs w:val="21"/>
                <w:lang w:bidi="ar"/>
              </w:rPr>
              <w:t>Daphnia pulex</w:t>
            </w:r>
          </w:p>
        </w:tc>
        <w:tc>
          <w:tcPr>
            <w:tcW w:w="2556" w:type="pct"/>
            <w:tcBorders>
              <w:tl2br w:val="nil"/>
              <w:tr2bl w:val="nil"/>
            </w:tcBorders>
            <w:noWrap/>
            <w:vAlign w:val="center"/>
          </w:tcPr>
          <w:p w14:paraId="60730010">
            <w:pPr>
              <w:keepNext w:val="0"/>
              <w:keepLines w:val="0"/>
              <w:widowControl/>
              <w:suppressLineNumbers w:val="0"/>
              <w:spacing w:before="0" w:beforeAutospacing="0" w:after="0" w:afterAutospacing="0" w:line="240" w:lineRule="auto"/>
              <w:ind w:left="0" w:right="0" w:firstLine="210" w:firstLineChars="100"/>
              <w:textAlignment w:val="center"/>
              <w:rPr>
                <w:rFonts w:hint="default" w:ascii="Times New Roman" w:hAnsi="Times New Roman" w:eastAsia="宋体"/>
                <w:color w:val="auto"/>
                <w:sz w:val="21"/>
                <w:szCs w:val="21"/>
              </w:rPr>
            </w:pPr>
            <w:r>
              <w:rPr>
                <w:rFonts w:hint="default" w:ascii="Times New Roman" w:hAnsi="Times New Roman" w:eastAsia="宋体"/>
                <w:color w:val="auto"/>
                <w:kern w:val="0"/>
                <w:sz w:val="21"/>
                <w:szCs w:val="21"/>
                <w:lang w:bidi="ar"/>
              </w:rPr>
              <w:t>猛水蚤目</w:t>
            </w:r>
            <w:r>
              <w:rPr>
                <w:rFonts w:hint="default" w:ascii="Times New Roman" w:hAnsi="Times New Roman" w:eastAsia="宋体"/>
                <w:i/>
                <w:iCs/>
                <w:color w:val="auto"/>
                <w:kern w:val="0"/>
                <w:sz w:val="21"/>
                <w:szCs w:val="21"/>
                <w:lang w:bidi="ar"/>
              </w:rPr>
              <w:t>Harpacticoida</w:t>
            </w:r>
            <w:r>
              <w:rPr>
                <w:rFonts w:hint="default" w:ascii="Times New Roman" w:hAnsi="Times New Roman" w:eastAsia="宋体"/>
                <w:color w:val="auto"/>
                <w:kern w:val="0"/>
                <w:sz w:val="21"/>
                <w:szCs w:val="21"/>
                <w:lang w:bidi="ar"/>
              </w:rPr>
              <w:t xml:space="preserve"> spp.</w:t>
            </w:r>
          </w:p>
        </w:tc>
      </w:tr>
    </w:tbl>
    <w:p w14:paraId="5D971F10">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等线" w:cs="Times New Roman"/>
          <w:bCs/>
          <w:color w:val="auto"/>
          <w:kern w:val="2"/>
          <w:sz w:val="24"/>
          <w:szCs w:val="28"/>
          <w:lang w:val="en-US" w:eastAsia="zh-CN" w:bidi="ar-SA"/>
        </w:rPr>
        <w:t>4.2.6.5.</w:t>
      </w:r>
      <w:r>
        <w:rPr>
          <w:rFonts w:hint="eastAsia" w:ascii="Times New Roman" w:hAnsi="Times New Roman" w:eastAsia="宋体" w:cs="Times New Roman"/>
          <w:bCs/>
          <w:color w:val="auto"/>
          <w:kern w:val="2"/>
          <w:sz w:val="24"/>
          <w:szCs w:val="28"/>
          <w:lang w:val="en-US" w:eastAsia="zh-CN" w:bidi="ar-SA"/>
        </w:rPr>
        <w:t>2 群落优势种</w:t>
      </w:r>
    </w:p>
    <w:p w14:paraId="6D3F752E">
      <w:pPr>
        <w:spacing w:line="360" w:lineRule="auto"/>
        <w:ind w:firstLine="480" w:firstLineChars="200"/>
        <w:rPr>
          <w:rFonts w:ascii="Times New Roman" w:hAnsi="Times New Roman" w:eastAsia="宋体"/>
          <w:color w:val="auto"/>
          <w:sz w:val="22"/>
          <w:szCs w:val="21"/>
        </w:rPr>
      </w:pPr>
      <w:r>
        <w:rPr>
          <w:rFonts w:ascii="Times New Roman" w:hAnsi="Times New Roman" w:eastAsia="宋体"/>
          <w:color w:val="auto"/>
          <w:sz w:val="24"/>
          <w:szCs w:val="21"/>
          <w:lang w:bidi="ar"/>
        </w:rPr>
        <w:t>2024年工程水域调查结果显示，调查水域浮游动物的优势种共6种</w:t>
      </w:r>
      <w:r>
        <w:rPr>
          <w:rFonts w:ascii="Times New Roman" w:hAnsi="Times New Roman" w:eastAsia="宋体"/>
          <w:color w:val="auto"/>
          <w:sz w:val="24"/>
          <w:szCs w:val="24"/>
          <w:lang w:bidi="ar"/>
        </w:rPr>
        <w:t>(属)</w:t>
      </w:r>
      <w:r>
        <w:rPr>
          <w:rFonts w:ascii="Times New Roman" w:hAnsi="Times New Roman" w:eastAsia="宋体"/>
          <w:color w:val="auto"/>
          <w:sz w:val="24"/>
          <w:szCs w:val="21"/>
          <w:lang w:bidi="ar"/>
        </w:rPr>
        <w:t>，分别为侠盗虫属(</w:t>
      </w:r>
      <w:r>
        <w:rPr>
          <w:rFonts w:ascii="Times New Roman" w:hAnsi="Times New Roman" w:eastAsia="宋体"/>
          <w:i/>
          <w:iCs/>
          <w:color w:val="auto"/>
          <w:sz w:val="24"/>
          <w:szCs w:val="21"/>
          <w:lang w:bidi="ar"/>
        </w:rPr>
        <w:t>Stribilidium</w:t>
      </w:r>
      <w:r>
        <w:rPr>
          <w:rFonts w:ascii="Times New Roman" w:hAnsi="Times New Roman" w:eastAsia="宋体"/>
          <w:color w:val="auto"/>
          <w:sz w:val="24"/>
          <w:szCs w:val="21"/>
          <w:lang w:bidi="ar"/>
        </w:rPr>
        <w:t xml:space="preserve"> sp.)、累枝虫属(</w:t>
      </w:r>
      <w:r>
        <w:rPr>
          <w:rFonts w:ascii="Times New Roman" w:hAnsi="Times New Roman" w:eastAsia="宋体"/>
          <w:i/>
          <w:iCs/>
          <w:color w:val="auto"/>
          <w:sz w:val="24"/>
          <w:szCs w:val="21"/>
          <w:lang w:bidi="ar"/>
        </w:rPr>
        <w:t>Epistylis</w:t>
      </w:r>
      <w:r>
        <w:rPr>
          <w:rFonts w:ascii="Times New Roman" w:hAnsi="Times New Roman" w:eastAsia="宋体"/>
          <w:color w:val="auto"/>
          <w:sz w:val="24"/>
          <w:szCs w:val="21"/>
          <w:lang w:bidi="ar"/>
        </w:rPr>
        <w:t xml:space="preserve"> sp.)、淡水薄铃虫(</w:t>
      </w:r>
      <w:r>
        <w:rPr>
          <w:rFonts w:ascii="Times New Roman" w:hAnsi="Times New Roman" w:eastAsia="宋体"/>
          <w:i/>
          <w:iCs/>
          <w:color w:val="auto"/>
          <w:sz w:val="24"/>
          <w:szCs w:val="21"/>
          <w:lang w:bidi="ar"/>
        </w:rPr>
        <w:t>Leprotintinnus fluviatile</w:t>
      </w:r>
      <w:r>
        <w:rPr>
          <w:rFonts w:ascii="Times New Roman" w:hAnsi="Times New Roman" w:eastAsia="宋体"/>
          <w:color w:val="auto"/>
          <w:sz w:val="24"/>
          <w:szCs w:val="21"/>
          <w:lang w:bidi="ar"/>
        </w:rPr>
        <w:t>)、江苏拟铃虫(T</w:t>
      </w:r>
      <w:r>
        <w:rPr>
          <w:rFonts w:ascii="Times New Roman" w:hAnsi="Times New Roman" w:eastAsia="宋体"/>
          <w:i/>
          <w:iCs/>
          <w:color w:val="auto"/>
          <w:sz w:val="24"/>
          <w:szCs w:val="21"/>
          <w:lang w:bidi="ar"/>
        </w:rPr>
        <w:t>intinnopsis kiangsuensis</w:t>
      </w:r>
      <w:r>
        <w:rPr>
          <w:rFonts w:ascii="Times New Roman" w:hAnsi="Times New Roman" w:eastAsia="宋体"/>
          <w:color w:val="auto"/>
          <w:sz w:val="24"/>
          <w:szCs w:val="21"/>
          <w:lang w:bidi="ar"/>
        </w:rPr>
        <w:t>)、广布多肢轮虫(</w:t>
      </w:r>
      <w:r>
        <w:rPr>
          <w:rFonts w:ascii="Times New Roman" w:hAnsi="Times New Roman" w:eastAsia="宋体"/>
          <w:i/>
          <w:color w:val="auto"/>
          <w:sz w:val="24"/>
          <w:szCs w:val="21"/>
          <w:lang w:bidi="ar"/>
        </w:rPr>
        <w:t>Polyarthra</w:t>
      </w:r>
      <w:r>
        <w:rPr>
          <w:rFonts w:ascii="Times New Roman" w:hAnsi="Times New Roman" w:eastAsia="宋体"/>
          <w:color w:val="auto"/>
          <w:sz w:val="24"/>
          <w:szCs w:val="21"/>
          <w:lang w:bidi="ar"/>
        </w:rPr>
        <w:t xml:space="preserve"> </w:t>
      </w:r>
      <w:r>
        <w:rPr>
          <w:rFonts w:ascii="Times New Roman" w:hAnsi="Times New Roman" w:eastAsia="宋体"/>
          <w:i/>
          <w:color w:val="auto"/>
          <w:sz w:val="24"/>
          <w:szCs w:val="21"/>
          <w:lang w:bidi="ar"/>
        </w:rPr>
        <w:t>vulgaris</w:t>
      </w:r>
      <w:r>
        <w:rPr>
          <w:rFonts w:ascii="Times New Roman" w:hAnsi="Times New Roman" w:eastAsia="宋体"/>
          <w:color w:val="auto"/>
          <w:sz w:val="24"/>
          <w:szCs w:val="21"/>
          <w:lang w:bidi="ar"/>
        </w:rPr>
        <w:t>)和球状许水蚤(</w:t>
      </w:r>
      <w:r>
        <w:rPr>
          <w:rFonts w:ascii="Times New Roman" w:hAnsi="Times New Roman" w:eastAsia="宋体"/>
          <w:i/>
          <w:iCs/>
          <w:color w:val="auto"/>
          <w:sz w:val="24"/>
          <w:szCs w:val="21"/>
          <w:lang w:bidi="ar"/>
        </w:rPr>
        <w:t>Schmackeria forbesi</w:t>
      </w:r>
      <w:r>
        <w:rPr>
          <w:rFonts w:ascii="Times New Roman" w:hAnsi="Times New Roman" w:eastAsia="宋体"/>
          <w:color w:val="auto"/>
          <w:sz w:val="24"/>
          <w:szCs w:val="21"/>
          <w:lang w:bidi="ar"/>
        </w:rPr>
        <w:t>)，其优势度为0.124、0.022、0.131、0.062、0.047和0.034</w:t>
      </w:r>
      <w:r>
        <w:rPr>
          <w:rFonts w:ascii="Times New Roman" w:hAnsi="Times New Roman" w:eastAsia="宋体"/>
          <w:color w:val="auto"/>
          <w:sz w:val="24"/>
          <w:szCs w:val="24"/>
          <w:lang w:bidi="ar"/>
        </w:rPr>
        <w:t>。</w:t>
      </w:r>
    </w:p>
    <w:p w14:paraId="4BA5F89D">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等线" w:cs="Times New Roman"/>
          <w:bCs/>
          <w:color w:val="auto"/>
          <w:kern w:val="2"/>
          <w:sz w:val="24"/>
          <w:szCs w:val="28"/>
          <w:lang w:val="en-US" w:eastAsia="zh-CN" w:bidi="ar-SA"/>
        </w:rPr>
        <w:t>4.2.6.5</w:t>
      </w:r>
      <w:r>
        <w:rPr>
          <w:rFonts w:hint="eastAsia" w:ascii="Times New Roman" w:hAnsi="Times New Roman" w:eastAsia="宋体" w:cs="Times New Roman"/>
          <w:bCs/>
          <w:color w:val="auto"/>
          <w:kern w:val="2"/>
          <w:sz w:val="24"/>
          <w:szCs w:val="28"/>
          <w:lang w:val="en-US" w:eastAsia="zh-CN" w:bidi="ar-SA"/>
        </w:rPr>
        <w:t>.3 现存量</w:t>
      </w:r>
    </w:p>
    <w:p w14:paraId="7E98A21C">
      <w:pPr>
        <w:spacing w:line="360" w:lineRule="auto"/>
        <w:ind w:firstLine="480" w:firstLineChars="200"/>
        <w:rPr>
          <w:rFonts w:ascii="Times New Roman" w:hAnsi="Times New Roman" w:eastAsia="宋体"/>
          <w:b/>
          <w:bCs/>
          <w:color w:val="auto"/>
          <w:sz w:val="24"/>
          <w:szCs w:val="24"/>
        </w:rPr>
      </w:pPr>
      <w:r>
        <w:rPr>
          <w:rFonts w:ascii="Times New Roman" w:hAnsi="Times New Roman" w:eastAsia="宋体"/>
          <w:b/>
          <w:bCs/>
          <w:color w:val="auto"/>
          <w:sz w:val="24"/>
          <w:szCs w:val="24"/>
          <w:lang w:bidi="ar"/>
        </w:rPr>
        <w:t>(1)资源密度</w:t>
      </w:r>
    </w:p>
    <w:p w14:paraId="48508BFB">
      <w:pPr>
        <w:spacing w:line="360" w:lineRule="auto"/>
        <w:ind w:firstLine="480" w:firstLineChars="200"/>
        <w:rPr>
          <w:rFonts w:ascii="Times New Roman" w:hAnsi="Times New Roman" w:eastAsia="宋体"/>
          <w:color w:val="auto"/>
          <w:sz w:val="24"/>
          <w:szCs w:val="24"/>
        </w:rPr>
      </w:pPr>
      <w:r>
        <w:rPr>
          <w:rFonts w:ascii="Times New Roman" w:hAnsi="Times New Roman" w:eastAsia="宋体"/>
          <w:color w:val="auto"/>
          <w:sz w:val="24"/>
          <w:szCs w:val="24"/>
          <w:lang w:bidi="ar"/>
        </w:rPr>
        <w:t>2024年工程水域调查结果显示，调查水域浮游动物资源密度变幅为166-779 ind./L，均值为397 ind./L(图4.</w:t>
      </w:r>
      <w:r>
        <w:rPr>
          <w:rFonts w:hint="eastAsia" w:ascii="Times New Roman" w:hAnsi="Times New Roman" w:eastAsia="宋体"/>
          <w:color w:val="auto"/>
          <w:sz w:val="24"/>
          <w:szCs w:val="24"/>
          <w:lang w:val="en-US" w:eastAsia="zh-CN" w:bidi="ar"/>
        </w:rPr>
        <w:t>2-43</w:t>
      </w:r>
      <w:r>
        <w:rPr>
          <w:rFonts w:ascii="Times New Roman" w:hAnsi="Times New Roman" w:eastAsia="宋体"/>
          <w:color w:val="auto"/>
          <w:sz w:val="24"/>
          <w:szCs w:val="24"/>
          <w:lang w:bidi="ar"/>
        </w:rPr>
        <w:t>)。</w:t>
      </w:r>
    </w:p>
    <w:p w14:paraId="57FC1489">
      <w:pPr>
        <w:spacing w:line="360" w:lineRule="auto"/>
        <w:jc w:val="center"/>
        <w:rPr>
          <w:rFonts w:ascii="Times New Roman" w:hAnsi="Times New Roman" w:eastAsia="宋体"/>
          <w:color w:val="auto"/>
          <w:sz w:val="24"/>
          <w:szCs w:val="28"/>
        </w:rPr>
      </w:pPr>
      <w:r>
        <w:rPr>
          <w:rFonts w:ascii="Times New Roman" w:hAnsi="Times New Roman" w:eastAsia="宋体"/>
          <w:color w:val="auto"/>
          <w:sz w:val="28"/>
          <w:szCs w:val="22"/>
          <w:lang w:bidi="ar"/>
        </w:rPr>
        <w:object>
          <v:shape id="_x0000_i1045" o:spt="75" type="#_x0000_t75" style="height:169.2pt;width:343.2pt;" o:ole="t" filled="f" o:preferrelative="t" stroked="f" coordsize="21600,21600">
            <v:path/>
            <v:fill on="f" focussize="0,0"/>
            <v:stroke on="f"/>
            <v:imagedata r:id="rId155" cropbottom="-58f" o:title=""/>
            <o:lock v:ext="edit" aspectratio="f"/>
            <w10:wrap type="none"/>
            <w10:anchorlock/>
          </v:shape>
          <o:OLEObject Type="Embed" ProgID="Excel.Chart.8" ShapeID="_x0000_i1045" DrawAspect="Content" ObjectID="_1468075745" r:id="rId154">
            <o:LockedField>false</o:LockedField>
          </o:OLEObject>
        </w:object>
      </w:r>
    </w:p>
    <w:p w14:paraId="37C4102F">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w:t>
      </w:r>
      <w:r>
        <w:rPr>
          <w:rFonts w:hint="eastAsia" w:ascii="Times New Roman" w:hAnsi="Times New Roman" w:eastAsia="黑体" w:cs="Times New Roman"/>
          <w:color w:val="auto"/>
          <w:sz w:val="24"/>
          <w:szCs w:val="21"/>
          <w:lang w:val="en-US" w:eastAsia="zh-CN"/>
        </w:rPr>
        <w:t>2-43</w:t>
      </w:r>
      <w:r>
        <w:rPr>
          <w:rFonts w:ascii="Times New Roman" w:hAnsi="Times New Roman" w:eastAsia="黑体" w:cs="Times New Roman"/>
          <w:color w:val="auto"/>
          <w:sz w:val="24"/>
          <w:szCs w:val="21"/>
        </w:rPr>
        <w:t xml:space="preserve">  2024年工程区调查水域浮游动物资源密度空间特征</w:t>
      </w:r>
    </w:p>
    <w:p w14:paraId="6D8E5E60">
      <w:pPr>
        <w:spacing w:line="360" w:lineRule="auto"/>
        <w:ind w:firstLine="480" w:firstLineChars="200"/>
        <w:rPr>
          <w:rFonts w:ascii="Times New Roman" w:hAnsi="Times New Roman" w:eastAsia="宋体"/>
          <w:b/>
          <w:bCs/>
          <w:color w:val="auto"/>
          <w:sz w:val="24"/>
          <w:szCs w:val="24"/>
          <w:lang w:bidi="ar"/>
        </w:rPr>
      </w:pPr>
      <w:r>
        <w:rPr>
          <w:rFonts w:ascii="Times New Roman" w:hAnsi="Times New Roman" w:eastAsia="宋体"/>
          <w:b/>
          <w:bCs/>
          <w:color w:val="auto"/>
          <w:sz w:val="24"/>
          <w:szCs w:val="24"/>
          <w:lang w:bidi="ar"/>
        </w:rPr>
        <w:t>(2)生物量</w:t>
      </w:r>
    </w:p>
    <w:p w14:paraId="2C99C164">
      <w:pPr>
        <w:spacing w:line="360" w:lineRule="auto"/>
        <w:ind w:firstLine="480" w:firstLineChars="200"/>
        <w:rPr>
          <w:rFonts w:ascii="Times New Roman" w:hAnsi="Times New Roman" w:eastAsia="宋体"/>
          <w:color w:val="auto"/>
          <w:sz w:val="24"/>
          <w:szCs w:val="24"/>
          <w:lang w:bidi="ar"/>
        </w:rPr>
      </w:pPr>
      <w:r>
        <w:rPr>
          <w:rFonts w:ascii="Times New Roman" w:hAnsi="Times New Roman" w:eastAsia="宋体"/>
          <w:color w:val="auto"/>
          <w:sz w:val="24"/>
          <w:szCs w:val="24"/>
          <w:lang w:bidi="ar"/>
        </w:rPr>
        <w:t>2024年工程区调查结果显示，调查水域浮游动物生物量变幅为0.26-0.42 mg/L，均值为0.35 mg/L(图4.</w:t>
      </w:r>
      <w:r>
        <w:rPr>
          <w:rFonts w:hint="eastAsia" w:ascii="Times New Roman" w:hAnsi="Times New Roman" w:eastAsia="宋体"/>
          <w:color w:val="auto"/>
          <w:sz w:val="24"/>
          <w:szCs w:val="24"/>
          <w:lang w:val="en-US" w:eastAsia="zh-CN" w:bidi="ar"/>
        </w:rPr>
        <w:t>2-44</w:t>
      </w:r>
      <w:r>
        <w:rPr>
          <w:rFonts w:ascii="Times New Roman" w:hAnsi="Times New Roman" w:eastAsia="宋体"/>
          <w:color w:val="auto"/>
          <w:sz w:val="24"/>
          <w:szCs w:val="24"/>
          <w:lang w:bidi="ar"/>
        </w:rPr>
        <w:t>)。</w:t>
      </w:r>
    </w:p>
    <w:p w14:paraId="5388B6DB">
      <w:pPr>
        <w:spacing w:line="360" w:lineRule="auto"/>
        <w:jc w:val="center"/>
        <w:rPr>
          <w:rFonts w:ascii="Times New Roman" w:hAnsi="Times New Roman" w:eastAsia="宋体"/>
          <w:color w:val="auto"/>
          <w:sz w:val="24"/>
          <w:szCs w:val="28"/>
        </w:rPr>
      </w:pPr>
      <w:r>
        <w:rPr>
          <w:rFonts w:ascii="Times New Roman" w:hAnsi="Times New Roman" w:eastAsia="宋体"/>
          <w:color w:val="auto"/>
          <w:sz w:val="28"/>
          <w:szCs w:val="22"/>
          <w:lang w:bidi="ar"/>
        </w:rPr>
        <w:object>
          <v:shape id="_x0000_i1046" o:spt="75" type="#_x0000_t75" style="height:185.75pt;width:368.9pt;" o:ole="t" filled="f" o:preferrelative="t" stroked="f" coordsize="21600,21600">
            <v:path/>
            <v:fill on="f" focussize="0,0"/>
            <v:stroke on="f"/>
            <v:imagedata r:id="rId157" cropbottom="-58f" o:title=""/>
            <o:lock v:ext="edit" aspectratio="f"/>
            <w10:wrap type="none"/>
            <w10:anchorlock/>
          </v:shape>
          <o:OLEObject Type="Embed" ProgID="Excel.Chart.8" ShapeID="_x0000_i1046" DrawAspect="Content" ObjectID="_1468075746" r:id="rId156">
            <o:LockedField>false</o:LockedField>
          </o:OLEObject>
        </w:object>
      </w:r>
    </w:p>
    <w:p w14:paraId="4A6F7E33">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w:t>
      </w:r>
      <w:r>
        <w:rPr>
          <w:rFonts w:hint="eastAsia" w:ascii="Times New Roman" w:hAnsi="Times New Roman" w:eastAsia="黑体" w:cs="Times New Roman"/>
          <w:color w:val="auto"/>
          <w:sz w:val="24"/>
          <w:szCs w:val="21"/>
          <w:lang w:val="en-US" w:eastAsia="zh-CN"/>
        </w:rPr>
        <w:t>2-44</w:t>
      </w:r>
      <w:r>
        <w:rPr>
          <w:rFonts w:ascii="Times New Roman" w:hAnsi="Times New Roman" w:eastAsia="黑体" w:cs="Times New Roman"/>
          <w:color w:val="auto"/>
          <w:sz w:val="24"/>
          <w:szCs w:val="21"/>
        </w:rPr>
        <w:t xml:space="preserve">  2024年工程区调查水域浮游动物生物量空间特征</w:t>
      </w:r>
    </w:p>
    <w:p w14:paraId="1FB8989A">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等线" w:cs="Times New Roman"/>
          <w:bCs/>
          <w:color w:val="auto"/>
          <w:kern w:val="2"/>
          <w:sz w:val="24"/>
          <w:szCs w:val="28"/>
          <w:lang w:val="en-US" w:eastAsia="zh-CN" w:bidi="ar-SA"/>
        </w:rPr>
        <w:t>4.2.6.5</w:t>
      </w:r>
      <w:r>
        <w:rPr>
          <w:rFonts w:hint="eastAsia" w:ascii="Times New Roman" w:hAnsi="Times New Roman" w:eastAsia="宋体" w:cs="Times New Roman"/>
          <w:bCs/>
          <w:color w:val="auto"/>
          <w:kern w:val="2"/>
          <w:sz w:val="24"/>
          <w:szCs w:val="28"/>
          <w:lang w:val="en-US" w:eastAsia="zh-CN" w:bidi="ar-SA"/>
        </w:rPr>
        <w:t>.4 群落多样性</w:t>
      </w:r>
    </w:p>
    <w:p w14:paraId="5FF96A42">
      <w:pPr>
        <w:spacing w:line="360" w:lineRule="auto"/>
        <w:ind w:firstLine="480" w:firstLineChars="200"/>
        <w:rPr>
          <w:rFonts w:ascii="Times New Roman" w:hAnsi="Times New Roman" w:eastAsia="宋体"/>
          <w:color w:val="auto"/>
          <w:sz w:val="24"/>
          <w:szCs w:val="24"/>
          <w:lang w:bidi="ar"/>
        </w:rPr>
      </w:pPr>
      <w:r>
        <w:rPr>
          <w:rFonts w:ascii="Times New Roman" w:hAnsi="Times New Roman" w:eastAsia="宋体"/>
          <w:color w:val="auto"/>
          <w:sz w:val="24"/>
          <w:szCs w:val="24"/>
          <w:lang w:bidi="ar"/>
        </w:rPr>
        <w:t>2024年工程水域调查结果显示，调查水域浮游动物香农多样性指数为2.17，均匀度指数为0.72，优势度指数为0.14，丰富度指数为2.32。</w:t>
      </w:r>
    </w:p>
    <w:p w14:paraId="05FF2308">
      <w:pPr>
        <w:keepNext/>
        <w:keepLines/>
        <w:widowControl w:val="0"/>
        <w:numPr>
          <w:ilvl w:val="3"/>
          <w:numId w:val="0"/>
        </w:numPr>
        <w:spacing w:line="360" w:lineRule="auto"/>
        <w:jc w:val="both"/>
        <w:outlineLvl w:val="3"/>
        <w:rPr>
          <w:rFonts w:hint="eastAsia" w:ascii="Times New Roman" w:hAnsi="Times New Roman" w:eastAsia="黑体" w:cs="Times New Roman"/>
          <w:b/>
          <w:bCs w:val="0"/>
          <w:color w:val="auto"/>
          <w:kern w:val="2"/>
          <w:sz w:val="24"/>
          <w:szCs w:val="28"/>
          <w:lang w:val="en-US" w:eastAsia="zh-CN" w:bidi="ar-SA"/>
        </w:rPr>
      </w:pPr>
      <w:r>
        <w:rPr>
          <w:rFonts w:hint="eastAsia" w:ascii="Times New Roman" w:hAnsi="Times New Roman" w:eastAsia="黑体" w:cs="Times New Roman"/>
          <w:b/>
          <w:bCs w:val="0"/>
          <w:color w:val="auto"/>
          <w:kern w:val="2"/>
          <w:sz w:val="24"/>
          <w:szCs w:val="28"/>
          <w:lang w:val="en-US" w:eastAsia="zh-CN" w:bidi="ar-SA"/>
        </w:rPr>
        <w:t>4.2.6.6 底栖动物现状</w:t>
      </w:r>
    </w:p>
    <w:p w14:paraId="2BE21038">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等线" w:cs="Times New Roman"/>
          <w:bCs/>
          <w:color w:val="auto"/>
          <w:kern w:val="2"/>
          <w:sz w:val="24"/>
          <w:szCs w:val="28"/>
          <w:lang w:val="en-US" w:eastAsia="zh-CN" w:bidi="ar-SA"/>
        </w:rPr>
        <w:t>4.2.6.6</w:t>
      </w:r>
      <w:r>
        <w:rPr>
          <w:rFonts w:hint="eastAsia" w:ascii="Times New Roman" w:hAnsi="Times New Roman" w:eastAsia="宋体" w:cs="Times New Roman"/>
          <w:bCs/>
          <w:color w:val="auto"/>
          <w:kern w:val="2"/>
          <w:sz w:val="24"/>
          <w:szCs w:val="28"/>
          <w:lang w:val="en-US" w:eastAsia="zh-CN" w:bidi="ar-SA"/>
        </w:rPr>
        <w:t>.1 群落结构</w:t>
      </w:r>
    </w:p>
    <w:p w14:paraId="2083BCC1">
      <w:pPr>
        <w:spacing w:line="360" w:lineRule="auto"/>
        <w:ind w:firstLine="480" w:firstLineChars="200"/>
        <w:rPr>
          <w:rFonts w:ascii="Times New Roman" w:hAnsi="Times New Roman" w:eastAsia="宋体"/>
          <w:color w:val="auto"/>
          <w:sz w:val="24"/>
          <w:szCs w:val="24"/>
          <w:lang w:bidi="ar"/>
        </w:rPr>
      </w:pPr>
      <w:r>
        <w:rPr>
          <w:rFonts w:ascii="Times New Roman" w:hAnsi="Times New Roman" w:eastAsia="宋体"/>
          <w:color w:val="auto"/>
          <w:sz w:val="24"/>
          <w:szCs w:val="24"/>
          <w:lang w:bidi="ar"/>
        </w:rPr>
        <w:t>2024年工程水域</w:t>
      </w:r>
      <w:r>
        <w:rPr>
          <w:rFonts w:hint="eastAsia" w:ascii="Times New Roman" w:hAnsi="Times New Roman" w:eastAsia="宋体"/>
          <w:color w:val="auto"/>
          <w:sz w:val="24"/>
          <w:szCs w:val="24"/>
          <w:lang w:bidi="ar"/>
        </w:rPr>
        <w:t>调查</w:t>
      </w:r>
      <w:r>
        <w:rPr>
          <w:rFonts w:ascii="Times New Roman" w:hAnsi="Times New Roman" w:eastAsia="宋体"/>
          <w:color w:val="auto"/>
          <w:sz w:val="24"/>
          <w:szCs w:val="24"/>
          <w:lang w:bidi="ar"/>
        </w:rPr>
        <w:t>结果显示，调查水域共鉴定出环节动物门(Annelida)、软体动物门(Mollusca)和节肢动物门(Arthropoda)3门6纲7目10科18种(属)。从物种组成来看，环节动物门共2纲2目2科3种，占底栖动物总物种数的16.7%；节肢动物门共2纲2目2科5种(属)，占比为27.8%；软体动物门2纲3目6科10种，占比为55.6%(表4.</w:t>
      </w:r>
      <w:r>
        <w:rPr>
          <w:rFonts w:hint="eastAsia" w:ascii="Times New Roman" w:hAnsi="Times New Roman" w:eastAsia="宋体"/>
          <w:color w:val="auto"/>
          <w:sz w:val="24"/>
          <w:szCs w:val="24"/>
          <w:lang w:val="en-US" w:eastAsia="zh-CN" w:bidi="ar"/>
        </w:rPr>
        <w:t>2-46</w:t>
      </w:r>
      <w:r>
        <w:rPr>
          <w:rFonts w:ascii="Times New Roman" w:hAnsi="Times New Roman" w:eastAsia="宋体"/>
          <w:color w:val="auto"/>
          <w:sz w:val="24"/>
          <w:szCs w:val="24"/>
          <w:lang w:bidi="ar"/>
        </w:rPr>
        <w:t>)。</w:t>
      </w:r>
    </w:p>
    <w:p w14:paraId="4C718992">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表4.</w:t>
      </w:r>
      <w:r>
        <w:rPr>
          <w:rFonts w:hint="eastAsia" w:ascii="Times New Roman" w:hAnsi="Times New Roman" w:eastAsia="黑体" w:cs="Times New Roman"/>
          <w:color w:val="auto"/>
          <w:sz w:val="24"/>
          <w:szCs w:val="21"/>
          <w:lang w:val="en-US" w:eastAsia="zh-CN"/>
        </w:rPr>
        <w:t>2-46</w:t>
      </w:r>
      <w:r>
        <w:rPr>
          <w:rFonts w:ascii="Times New Roman" w:hAnsi="Times New Roman" w:eastAsia="黑体" w:cs="Times New Roman"/>
          <w:color w:val="auto"/>
          <w:sz w:val="24"/>
          <w:szCs w:val="21"/>
        </w:rPr>
        <w:t xml:space="preserve">  2024年工程区调查水域底栖动物名录</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4643"/>
        <w:gridCol w:w="4644"/>
      </w:tblGrid>
      <w:tr w14:paraId="51BD7E1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center"/>
          </w:tcPr>
          <w:p w14:paraId="0A4FFAF4">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物种</w:t>
            </w:r>
          </w:p>
        </w:tc>
        <w:tc>
          <w:tcPr>
            <w:tcW w:w="2500" w:type="pct"/>
            <w:tcBorders>
              <w:tl2br w:val="nil"/>
              <w:tr2bl w:val="nil"/>
            </w:tcBorders>
            <w:noWrap w:val="0"/>
            <w:vAlign w:val="center"/>
          </w:tcPr>
          <w:p w14:paraId="63B11B77">
            <w:pPr>
              <w:keepNext w:val="0"/>
              <w:keepLines w:val="0"/>
              <w:suppressLineNumbers w:val="0"/>
              <w:snapToGrid w:val="0"/>
              <w:spacing w:before="0" w:beforeAutospacing="0" w:after="0" w:afterAutospacing="0" w:line="240" w:lineRule="auto"/>
              <w:ind w:left="0" w:right="0"/>
              <w:jc w:val="center"/>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物种</w:t>
            </w:r>
          </w:p>
        </w:tc>
      </w:tr>
      <w:tr w14:paraId="7904666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7EB10E8D">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环节动物门Annelida</w:t>
            </w:r>
          </w:p>
        </w:tc>
        <w:tc>
          <w:tcPr>
            <w:tcW w:w="2500" w:type="pct"/>
            <w:tcBorders>
              <w:tl2br w:val="nil"/>
              <w:tr2bl w:val="nil"/>
            </w:tcBorders>
            <w:noWrap w:val="0"/>
            <w:vAlign w:val="bottom"/>
          </w:tcPr>
          <w:p w14:paraId="74C2ECF0">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软体动物门Mollusca</w:t>
            </w:r>
          </w:p>
        </w:tc>
      </w:tr>
      <w:tr w14:paraId="4D0DCB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14C4CE85">
            <w:pPr>
              <w:keepNext w:val="0"/>
              <w:keepLines w:val="0"/>
              <w:widowControl/>
              <w:suppressLineNumbers w:val="0"/>
              <w:spacing w:before="0" w:beforeAutospacing="0" w:after="0" w:afterAutospacing="0" w:line="240" w:lineRule="auto"/>
              <w:ind w:left="0" w:right="0" w:firstLine="200" w:firstLineChars="1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多毛纲Polychaeta</w:t>
            </w:r>
          </w:p>
        </w:tc>
        <w:tc>
          <w:tcPr>
            <w:tcW w:w="2500" w:type="pct"/>
            <w:tcBorders>
              <w:tl2br w:val="nil"/>
              <w:tr2bl w:val="nil"/>
            </w:tcBorders>
            <w:noWrap w:val="0"/>
            <w:vAlign w:val="bottom"/>
          </w:tcPr>
          <w:p w14:paraId="659600FA">
            <w:pPr>
              <w:keepNext w:val="0"/>
              <w:keepLines w:val="0"/>
              <w:widowControl/>
              <w:suppressLineNumbers w:val="0"/>
              <w:spacing w:before="0" w:beforeAutospacing="0" w:after="0" w:afterAutospacing="0" w:line="240" w:lineRule="auto"/>
              <w:ind w:left="0" w:right="0" w:firstLine="200" w:firstLineChars="1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瓣鳃纲Lamellibranchia</w:t>
            </w:r>
          </w:p>
        </w:tc>
      </w:tr>
      <w:tr w14:paraId="2F0714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66F101CB">
            <w:pPr>
              <w:keepNext w:val="0"/>
              <w:keepLines w:val="0"/>
              <w:widowControl/>
              <w:suppressLineNumbers w:val="0"/>
              <w:spacing w:before="0" w:beforeAutospacing="0" w:after="0" w:afterAutospacing="0" w:line="240" w:lineRule="auto"/>
              <w:ind w:left="0" w:right="0" w:firstLine="400" w:firstLineChars="2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沙蚕目Nereidida</w:t>
            </w:r>
          </w:p>
        </w:tc>
        <w:tc>
          <w:tcPr>
            <w:tcW w:w="2500" w:type="pct"/>
            <w:tcBorders>
              <w:tl2br w:val="nil"/>
              <w:tr2bl w:val="nil"/>
            </w:tcBorders>
            <w:noWrap w:val="0"/>
            <w:vAlign w:val="bottom"/>
          </w:tcPr>
          <w:p w14:paraId="702ADB6B">
            <w:pPr>
              <w:keepNext w:val="0"/>
              <w:keepLines w:val="0"/>
              <w:widowControl/>
              <w:suppressLineNumbers w:val="0"/>
              <w:spacing w:before="0" w:beforeAutospacing="0" w:after="0" w:afterAutospacing="0" w:line="240" w:lineRule="auto"/>
              <w:ind w:left="0" w:right="0" w:firstLine="400" w:firstLineChars="2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真瓣鳃目Eulamellibranchia</w:t>
            </w:r>
          </w:p>
        </w:tc>
      </w:tr>
      <w:tr w14:paraId="266A594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1394E4F5">
            <w:pPr>
              <w:keepNext w:val="0"/>
              <w:keepLines w:val="0"/>
              <w:widowControl/>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沙蚕科Nereididae</w:t>
            </w:r>
          </w:p>
        </w:tc>
        <w:tc>
          <w:tcPr>
            <w:tcW w:w="2500" w:type="pct"/>
            <w:tcBorders>
              <w:tl2br w:val="nil"/>
              <w:tr2bl w:val="nil"/>
            </w:tcBorders>
            <w:noWrap w:val="0"/>
            <w:vAlign w:val="bottom"/>
          </w:tcPr>
          <w:p w14:paraId="3C941793">
            <w:pPr>
              <w:keepNext w:val="0"/>
              <w:keepLines w:val="0"/>
              <w:widowControl/>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截蛏科Solecurtidae</w:t>
            </w:r>
          </w:p>
        </w:tc>
      </w:tr>
      <w:tr w14:paraId="15086B6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08F4A970">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多齿围沙蚕</w:t>
            </w:r>
            <w:r>
              <w:rPr>
                <w:rFonts w:hint="default" w:ascii="Times New Roman" w:hAnsi="Times New Roman" w:eastAsia="宋体"/>
                <w:i/>
                <w:iCs/>
                <w:color w:val="auto"/>
                <w:kern w:val="0"/>
                <w:sz w:val="20"/>
                <w:szCs w:val="20"/>
                <w:lang w:bidi="ar"/>
              </w:rPr>
              <w:t>Perinereis nuntia</w:t>
            </w:r>
          </w:p>
        </w:tc>
        <w:tc>
          <w:tcPr>
            <w:tcW w:w="2500" w:type="pct"/>
            <w:tcBorders>
              <w:tl2br w:val="nil"/>
              <w:tr2bl w:val="nil"/>
            </w:tcBorders>
            <w:noWrap w:val="0"/>
            <w:vAlign w:val="bottom"/>
          </w:tcPr>
          <w:p w14:paraId="6CF37F4F">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中国淡水蛏</w:t>
            </w:r>
            <w:r>
              <w:rPr>
                <w:rFonts w:hint="default" w:ascii="Times New Roman" w:hAnsi="Times New Roman" w:eastAsia="宋体"/>
                <w:i/>
                <w:iCs/>
                <w:color w:val="auto"/>
                <w:kern w:val="0"/>
                <w:sz w:val="20"/>
                <w:szCs w:val="20"/>
                <w:lang w:bidi="ar"/>
              </w:rPr>
              <w:t>Novaculina chinensis</w:t>
            </w:r>
          </w:p>
        </w:tc>
      </w:tr>
      <w:tr w14:paraId="51051AC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7213EF78">
            <w:pPr>
              <w:keepNext w:val="0"/>
              <w:keepLines w:val="0"/>
              <w:widowControl/>
              <w:suppressLineNumbers w:val="0"/>
              <w:spacing w:before="0" w:beforeAutospacing="0" w:after="0" w:afterAutospacing="0" w:line="240" w:lineRule="auto"/>
              <w:ind w:left="0" w:right="0" w:firstLine="200" w:firstLineChars="1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寡毛纲Oligochaeta</w:t>
            </w:r>
          </w:p>
        </w:tc>
        <w:tc>
          <w:tcPr>
            <w:tcW w:w="2500" w:type="pct"/>
            <w:tcBorders>
              <w:tl2br w:val="nil"/>
              <w:tr2bl w:val="nil"/>
            </w:tcBorders>
            <w:noWrap w:val="0"/>
            <w:vAlign w:val="bottom"/>
          </w:tcPr>
          <w:p w14:paraId="140B04ED">
            <w:pPr>
              <w:keepNext w:val="0"/>
              <w:keepLines w:val="0"/>
              <w:widowControl/>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蚌科Unionidae</w:t>
            </w:r>
          </w:p>
        </w:tc>
      </w:tr>
      <w:tr w14:paraId="120476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3111AF38">
            <w:pPr>
              <w:keepNext w:val="0"/>
              <w:keepLines w:val="0"/>
              <w:widowControl/>
              <w:suppressLineNumbers w:val="0"/>
              <w:spacing w:before="0" w:beforeAutospacing="0" w:after="0" w:afterAutospacing="0" w:line="240" w:lineRule="auto"/>
              <w:ind w:left="0" w:right="0" w:firstLine="400" w:firstLineChars="2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颤蚓目Tubificida</w:t>
            </w:r>
          </w:p>
        </w:tc>
        <w:tc>
          <w:tcPr>
            <w:tcW w:w="2500" w:type="pct"/>
            <w:tcBorders>
              <w:tl2br w:val="nil"/>
              <w:tr2bl w:val="nil"/>
            </w:tcBorders>
            <w:noWrap w:val="0"/>
            <w:vAlign w:val="bottom"/>
          </w:tcPr>
          <w:p w14:paraId="58715D23">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背瘤丽蚌</w:t>
            </w:r>
            <w:r>
              <w:rPr>
                <w:rFonts w:hint="default" w:ascii="Times New Roman" w:hAnsi="Times New Roman" w:eastAsia="宋体"/>
                <w:i/>
                <w:iCs/>
                <w:color w:val="auto"/>
                <w:kern w:val="0"/>
                <w:sz w:val="20"/>
                <w:szCs w:val="20"/>
                <w:lang w:bidi="ar"/>
              </w:rPr>
              <w:t>Lamprotula leai</w:t>
            </w:r>
          </w:p>
        </w:tc>
      </w:tr>
      <w:tr w14:paraId="6E6CBA7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24516ECD">
            <w:pPr>
              <w:keepNext w:val="0"/>
              <w:keepLines w:val="0"/>
              <w:widowControl/>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颤蚓科Tubificidae</w:t>
            </w:r>
          </w:p>
        </w:tc>
        <w:tc>
          <w:tcPr>
            <w:tcW w:w="2500" w:type="pct"/>
            <w:tcBorders>
              <w:tl2br w:val="nil"/>
              <w:tr2bl w:val="nil"/>
            </w:tcBorders>
            <w:noWrap w:val="0"/>
            <w:vAlign w:val="bottom"/>
          </w:tcPr>
          <w:p w14:paraId="0F5AF4DD">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剑状矛蚌</w:t>
            </w:r>
            <w:r>
              <w:rPr>
                <w:rFonts w:hint="default" w:ascii="Times New Roman" w:hAnsi="Times New Roman" w:eastAsia="宋体"/>
                <w:i/>
                <w:iCs/>
                <w:color w:val="auto"/>
                <w:kern w:val="0"/>
                <w:sz w:val="20"/>
                <w:szCs w:val="20"/>
                <w:lang w:bidi="ar"/>
              </w:rPr>
              <w:t>Lanceolaria gladiola</w:t>
            </w:r>
          </w:p>
        </w:tc>
      </w:tr>
      <w:tr w14:paraId="29805E1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39257248">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巨毛水丝蚓</w:t>
            </w:r>
            <w:r>
              <w:rPr>
                <w:rFonts w:hint="default" w:ascii="Times New Roman" w:hAnsi="Times New Roman" w:eastAsia="宋体"/>
                <w:i/>
                <w:iCs/>
                <w:color w:val="auto"/>
                <w:kern w:val="0"/>
                <w:sz w:val="20"/>
                <w:szCs w:val="20"/>
                <w:lang w:bidi="ar"/>
              </w:rPr>
              <w:t>Limnodrilus grandisetosus</w:t>
            </w:r>
          </w:p>
        </w:tc>
        <w:tc>
          <w:tcPr>
            <w:tcW w:w="2500" w:type="pct"/>
            <w:tcBorders>
              <w:tl2br w:val="nil"/>
              <w:tr2bl w:val="nil"/>
            </w:tcBorders>
            <w:noWrap w:val="0"/>
            <w:vAlign w:val="bottom"/>
          </w:tcPr>
          <w:p w14:paraId="504F442A">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射线裂脊蚌</w:t>
            </w:r>
            <w:r>
              <w:rPr>
                <w:rFonts w:hint="default" w:ascii="Times New Roman" w:hAnsi="Times New Roman" w:eastAsia="宋体"/>
                <w:i/>
                <w:iCs/>
                <w:color w:val="auto"/>
                <w:kern w:val="0"/>
                <w:sz w:val="20"/>
                <w:szCs w:val="20"/>
                <w:lang w:bidi="ar"/>
              </w:rPr>
              <w:t>Schistodesmus lampreyanus</w:t>
            </w:r>
          </w:p>
        </w:tc>
      </w:tr>
      <w:tr w14:paraId="5EFB6C7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036449ED">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克拉泊水丝蚓</w:t>
            </w:r>
            <w:r>
              <w:rPr>
                <w:rFonts w:hint="default" w:ascii="Times New Roman" w:hAnsi="Times New Roman" w:eastAsia="宋体"/>
                <w:i/>
                <w:iCs/>
                <w:color w:val="auto"/>
                <w:kern w:val="0"/>
                <w:sz w:val="20"/>
                <w:szCs w:val="20"/>
                <w:lang w:bidi="ar"/>
              </w:rPr>
              <w:t>Limnodrilus claparedeianus</w:t>
            </w:r>
          </w:p>
        </w:tc>
        <w:tc>
          <w:tcPr>
            <w:tcW w:w="2500" w:type="pct"/>
            <w:tcBorders>
              <w:tl2br w:val="nil"/>
              <w:tr2bl w:val="nil"/>
            </w:tcBorders>
            <w:noWrap w:val="0"/>
            <w:vAlign w:val="bottom"/>
          </w:tcPr>
          <w:p w14:paraId="31D2BBCF">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圆头楔蚌</w:t>
            </w:r>
            <w:r>
              <w:rPr>
                <w:rFonts w:hint="default" w:ascii="Times New Roman" w:hAnsi="Times New Roman" w:eastAsia="宋体"/>
                <w:i/>
                <w:iCs/>
                <w:color w:val="auto"/>
                <w:kern w:val="0"/>
                <w:sz w:val="20"/>
                <w:szCs w:val="20"/>
                <w:lang w:bidi="ar"/>
              </w:rPr>
              <w:t>Cuneopsis heudei</w:t>
            </w:r>
          </w:p>
        </w:tc>
      </w:tr>
      <w:tr w14:paraId="3EAAB0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1C80A1DF">
            <w:pPr>
              <w:keepNext w:val="0"/>
              <w:keepLines w:val="0"/>
              <w:widowControl/>
              <w:suppressLineNumbers w:val="0"/>
              <w:spacing w:before="0" w:beforeAutospacing="0" w:after="0" w:afterAutospacing="0" w:line="240" w:lineRule="auto"/>
              <w:ind w:left="0" w:right="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节肢动物门Arthropoda</w:t>
            </w:r>
          </w:p>
        </w:tc>
        <w:tc>
          <w:tcPr>
            <w:tcW w:w="2500" w:type="pct"/>
            <w:tcBorders>
              <w:tl2br w:val="nil"/>
              <w:tr2bl w:val="nil"/>
            </w:tcBorders>
            <w:noWrap w:val="0"/>
            <w:vAlign w:val="bottom"/>
          </w:tcPr>
          <w:p w14:paraId="05C5B940">
            <w:pPr>
              <w:keepNext w:val="0"/>
              <w:keepLines w:val="0"/>
              <w:widowControl/>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蚬科Corbiculidae</w:t>
            </w:r>
          </w:p>
        </w:tc>
      </w:tr>
      <w:tr w14:paraId="7742D95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7EB7360D">
            <w:pPr>
              <w:keepNext w:val="0"/>
              <w:keepLines w:val="0"/>
              <w:widowControl/>
              <w:suppressLineNumbers w:val="0"/>
              <w:spacing w:before="0" w:beforeAutospacing="0" w:after="0" w:afterAutospacing="0" w:line="240" w:lineRule="auto"/>
              <w:ind w:left="0" w:right="0" w:firstLine="200" w:firstLineChars="1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甲壳纲Crustacea</w:t>
            </w:r>
          </w:p>
        </w:tc>
        <w:tc>
          <w:tcPr>
            <w:tcW w:w="2500" w:type="pct"/>
            <w:tcBorders>
              <w:tl2br w:val="nil"/>
              <w:tr2bl w:val="nil"/>
            </w:tcBorders>
            <w:noWrap w:val="0"/>
            <w:vAlign w:val="bottom"/>
          </w:tcPr>
          <w:p w14:paraId="2FEA07CC">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河蚬</w:t>
            </w:r>
            <w:r>
              <w:rPr>
                <w:rFonts w:hint="default" w:ascii="Times New Roman" w:hAnsi="Times New Roman" w:eastAsia="宋体"/>
                <w:i/>
                <w:iCs/>
                <w:color w:val="auto"/>
                <w:kern w:val="0"/>
                <w:sz w:val="20"/>
                <w:szCs w:val="20"/>
                <w:lang w:bidi="ar"/>
              </w:rPr>
              <w:t>Corbicula fluminea</w:t>
            </w:r>
          </w:p>
        </w:tc>
      </w:tr>
      <w:tr w14:paraId="14F858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702BFC6A">
            <w:pPr>
              <w:keepNext w:val="0"/>
              <w:keepLines w:val="0"/>
              <w:widowControl/>
              <w:suppressLineNumbers w:val="0"/>
              <w:spacing w:before="0" w:beforeAutospacing="0" w:after="0" w:afterAutospacing="0" w:line="240" w:lineRule="auto"/>
              <w:ind w:left="0" w:right="0" w:firstLine="400" w:firstLineChars="2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端足目Amphipoda</w:t>
            </w:r>
          </w:p>
        </w:tc>
        <w:tc>
          <w:tcPr>
            <w:tcW w:w="2500" w:type="pct"/>
            <w:tcBorders>
              <w:tl2br w:val="nil"/>
              <w:tr2bl w:val="nil"/>
            </w:tcBorders>
            <w:noWrap w:val="0"/>
            <w:vAlign w:val="bottom"/>
          </w:tcPr>
          <w:p w14:paraId="6FF26C5F">
            <w:pPr>
              <w:keepNext w:val="0"/>
              <w:keepLines w:val="0"/>
              <w:widowControl/>
              <w:suppressLineNumbers w:val="0"/>
              <w:spacing w:before="0" w:beforeAutospacing="0" w:after="0" w:afterAutospacing="0" w:line="240" w:lineRule="auto"/>
              <w:ind w:left="0" w:right="0" w:firstLine="400" w:firstLineChars="2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贻贝目Mytioida</w:t>
            </w:r>
          </w:p>
        </w:tc>
      </w:tr>
      <w:tr w14:paraId="131080C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6BFC0E50">
            <w:pPr>
              <w:keepNext w:val="0"/>
              <w:keepLines w:val="0"/>
              <w:widowControl/>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蜾蠃蜚科Corophiidae</w:t>
            </w:r>
          </w:p>
        </w:tc>
        <w:tc>
          <w:tcPr>
            <w:tcW w:w="2500" w:type="pct"/>
            <w:tcBorders>
              <w:tl2br w:val="nil"/>
              <w:tr2bl w:val="nil"/>
            </w:tcBorders>
            <w:noWrap w:val="0"/>
            <w:vAlign w:val="bottom"/>
          </w:tcPr>
          <w:p w14:paraId="42643C9D">
            <w:pPr>
              <w:keepNext w:val="0"/>
              <w:keepLines w:val="0"/>
              <w:widowControl/>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贻贝科Mytilidae</w:t>
            </w:r>
          </w:p>
        </w:tc>
      </w:tr>
      <w:tr w14:paraId="1767054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3C3EFC6A">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日本大螯蜚</w:t>
            </w:r>
            <w:r>
              <w:rPr>
                <w:rFonts w:hint="default" w:ascii="Times New Roman" w:hAnsi="Times New Roman" w:eastAsia="宋体"/>
                <w:i/>
                <w:iCs/>
                <w:color w:val="auto"/>
                <w:kern w:val="0"/>
                <w:sz w:val="20"/>
                <w:szCs w:val="20"/>
                <w:lang w:bidi="ar"/>
              </w:rPr>
              <w:t>Grandidierella japonica</w:t>
            </w:r>
          </w:p>
        </w:tc>
        <w:tc>
          <w:tcPr>
            <w:tcW w:w="2500" w:type="pct"/>
            <w:tcBorders>
              <w:tl2br w:val="nil"/>
              <w:tr2bl w:val="nil"/>
            </w:tcBorders>
            <w:noWrap w:val="0"/>
            <w:vAlign w:val="bottom"/>
          </w:tcPr>
          <w:p w14:paraId="35BC01AA">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湖沼股蛤</w:t>
            </w:r>
            <w:r>
              <w:rPr>
                <w:rFonts w:hint="default" w:ascii="Times New Roman" w:hAnsi="Times New Roman" w:eastAsia="宋体"/>
                <w:i/>
                <w:iCs/>
                <w:color w:val="auto"/>
                <w:kern w:val="0"/>
                <w:sz w:val="20"/>
                <w:szCs w:val="20"/>
                <w:lang w:bidi="ar"/>
              </w:rPr>
              <w:t>Limnoperna fortunei</w:t>
            </w:r>
          </w:p>
        </w:tc>
      </w:tr>
      <w:tr w14:paraId="4BBBC2E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5979704A">
            <w:pPr>
              <w:keepNext w:val="0"/>
              <w:keepLines w:val="0"/>
              <w:widowControl/>
              <w:suppressLineNumbers w:val="0"/>
              <w:spacing w:before="0" w:beforeAutospacing="0" w:after="0" w:afterAutospacing="0" w:line="240" w:lineRule="auto"/>
              <w:ind w:left="0" w:right="0" w:firstLine="200" w:firstLineChars="1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昆虫纲Insecta</w:t>
            </w:r>
          </w:p>
        </w:tc>
        <w:tc>
          <w:tcPr>
            <w:tcW w:w="2500" w:type="pct"/>
            <w:tcBorders>
              <w:tl2br w:val="nil"/>
              <w:tr2bl w:val="nil"/>
            </w:tcBorders>
            <w:noWrap w:val="0"/>
            <w:vAlign w:val="bottom"/>
          </w:tcPr>
          <w:p w14:paraId="5406B655">
            <w:pPr>
              <w:keepNext w:val="0"/>
              <w:keepLines w:val="0"/>
              <w:widowControl/>
              <w:suppressLineNumbers w:val="0"/>
              <w:spacing w:before="0" w:beforeAutospacing="0" w:after="0" w:afterAutospacing="0" w:line="240" w:lineRule="auto"/>
              <w:ind w:left="0" w:right="0" w:firstLine="200" w:firstLineChars="1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腹足纲Gastropoda</w:t>
            </w:r>
          </w:p>
        </w:tc>
      </w:tr>
      <w:tr w14:paraId="325DFCD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4895FF89">
            <w:pPr>
              <w:keepNext w:val="0"/>
              <w:keepLines w:val="0"/>
              <w:widowControl/>
              <w:suppressLineNumbers w:val="0"/>
              <w:spacing w:before="0" w:beforeAutospacing="0" w:after="0" w:afterAutospacing="0" w:line="240" w:lineRule="auto"/>
              <w:ind w:left="0" w:right="0" w:firstLine="400" w:firstLineChars="2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双翅目Diptera</w:t>
            </w:r>
          </w:p>
        </w:tc>
        <w:tc>
          <w:tcPr>
            <w:tcW w:w="2500" w:type="pct"/>
            <w:tcBorders>
              <w:tl2br w:val="nil"/>
              <w:tr2bl w:val="nil"/>
            </w:tcBorders>
            <w:noWrap w:val="0"/>
            <w:vAlign w:val="bottom"/>
          </w:tcPr>
          <w:p w14:paraId="37FDBBD5">
            <w:pPr>
              <w:keepNext w:val="0"/>
              <w:keepLines w:val="0"/>
              <w:widowControl/>
              <w:suppressLineNumbers w:val="0"/>
              <w:spacing w:before="0" w:beforeAutospacing="0" w:after="0" w:afterAutospacing="0" w:line="240" w:lineRule="auto"/>
              <w:ind w:left="0" w:right="0" w:firstLine="400" w:firstLineChars="2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中腹足目Mesogastropoda</w:t>
            </w:r>
          </w:p>
        </w:tc>
      </w:tr>
      <w:tr w14:paraId="76AD4D9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3A1B47CE">
            <w:pPr>
              <w:keepNext w:val="0"/>
              <w:keepLines w:val="0"/>
              <w:widowControl/>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摇蚊科Chironomidae</w:t>
            </w:r>
          </w:p>
        </w:tc>
        <w:tc>
          <w:tcPr>
            <w:tcW w:w="2500" w:type="pct"/>
            <w:tcBorders>
              <w:tl2br w:val="nil"/>
              <w:tr2bl w:val="nil"/>
            </w:tcBorders>
            <w:noWrap w:val="0"/>
            <w:vAlign w:val="center"/>
          </w:tcPr>
          <w:p w14:paraId="411B12C8">
            <w:pPr>
              <w:keepNext w:val="0"/>
              <w:keepLines w:val="0"/>
              <w:widowControl/>
              <w:suppressLineNumbers w:val="0"/>
              <w:spacing w:before="0" w:beforeAutospacing="0" w:after="0" w:afterAutospacing="0" w:line="240" w:lineRule="auto"/>
              <w:ind w:left="0" w:right="0" w:firstLine="600" w:firstLineChars="300"/>
              <w:jc w:val="left"/>
              <w:textAlignment w:val="center"/>
              <w:rPr>
                <w:rFonts w:hint="default" w:ascii="Times New Roman" w:hAnsi="Times New Roman" w:eastAsia="宋体"/>
                <w:color w:val="auto"/>
                <w:sz w:val="20"/>
                <w:szCs w:val="20"/>
              </w:rPr>
            </w:pPr>
            <w:r>
              <w:rPr>
                <w:rFonts w:hint="default" w:ascii="Times New Roman" w:hAnsi="Times New Roman" w:eastAsia="宋体"/>
                <w:b/>
                <w:bCs/>
                <w:color w:val="auto"/>
                <w:kern w:val="0"/>
                <w:sz w:val="20"/>
                <w:szCs w:val="20"/>
                <w:lang w:bidi="ar"/>
              </w:rPr>
              <w:t>肋蜷科Pleuroceridae</w:t>
            </w:r>
          </w:p>
        </w:tc>
      </w:tr>
      <w:tr w14:paraId="14273E5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72BD65D2">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斑摇蚊属一种</w:t>
            </w:r>
            <w:r>
              <w:rPr>
                <w:rFonts w:hint="default" w:ascii="Times New Roman" w:hAnsi="Times New Roman" w:eastAsia="宋体"/>
                <w:i/>
                <w:iCs/>
                <w:color w:val="auto"/>
                <w:kern w:val="0"/>
                <w:sz w:val="20"/>
                <w:szCs w:val="20"/>
                <w:lang w:bidi="ar"/>
              </w:rPr>
              <w:t>Stictochironomus</w:t>
            </w:r>
            <w:r>
              <w:rPr>
                <w:rFonts w:hint="default" w:ascii="Times New Roman" w:hAnsi="Times New Roman" w:eastAsia="宋体"/>
                <w:color w:val="auto"/>
                <w:kern w:val="0"/>
                <w:sz w:val="20"/>
                <w:szCs w:val="20"/>
                <w:lang w:bidi="ar"/>
              </w:rPr>
              <w:t xml:space="preserve"> sp.</w:t>
            </w:r>
          </w:p>
        </w:tc>
        <w:tc>
          <w:tcPr>
            <w:tcW w:w="2500" w:type="pct"/>
            <w:tcBorders>
              <w:tl2br w:val="nil"/>
              <w:tr2bl w:val="nil"/>
            </w:tcBorders>
            <w:noWrap w:val="0"/>
            <w:vAlign w:val="bottom"/>
          </w:tcPr>
          <w:p w14:paraId="583E7148">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方格短沟蜷</w:t>
            </w:r>
            <w:r>
              <w:rPr>
                <w:rFonts w:hint="default" w:ascii="Times New Roman" w:hAnsi="Times New Roman" w:eastAsia="宋体"/>
                <w:i/>
                <w:iCs/>
                <w:color w:val="auto"/>
                <w:kern w:val="0"/>
                <w:sz w:val="20"/>
                <w:szCs w:val="20"/>
                <w:lang w:bidi="ar"/>
              </w:rPr>
              <w:t>Semisulcospira cancellata</w:t>
            </w:r>
          </w:p>
        </w:tc>
      </w:tr>
      <w:tr w14:paraId="0A9CEB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3212FF6E">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淡绿二叉摇蚊</w:t>
            </w:r>
            <w:r>
              <w:rPr>
                <w:rFonts w:hint="default" w:ascii="Times New Roman" w:hAnsi="Times New Roman" w:eastAsia="宋体"/>
                <w:i/>
                <w:iCs/>
                <w:color w:val="auto"/>
                <w:kern w:val="0"/>
                <w:sz w:val="20"/>
                <w:szCs w:val="20"/>
                <w:lang w:bidi="ar"/>
              </w:rPr>
              <w:t>Dicrotendipes pelochloris</w:t>
            </w:r>
          </w:p>
        </w:tc>
        <w:tc>
          <w:tcPr>
            <w:tcW w:w="2500" w:type="pct"/>
            <w:tcBorders>
              <w:tl2br w:val="nil"/>
              <w:tr2bl w:val="nil"/>
            </w:tcBorders>
            <w:noWrap w:val="0"/>
            <w:vAlign w:val="bottom"/>
          </w:tcPr>
          <w:p w14:paraId="67EE3722">
            <w:pPr>
              <w:keepNext w:val="0"/>
              <w:keepLines w:val="0"/>
              <w:widowControl/>
              <w:suppressLineNumbers w:val="0"/>
              <w:spacing w:before="0" w:beforeAutospacing="0" w:after="0" w:afterAutospacing="0" w:line="240" w:lineRule="auto"/>
              <w:ind w:left="0" w:right="0" w:firstLine="600" w:firstLineChars="300"/>
              <w:jc w:val="left"/>
              <w:rPr>
                <w:rFonts w:hint="default" w:ascii="Times New Roman" w:hAnsi="Times New Roman" w:eastAsia="宋体"/>
                <w:b/>
                <w:bCs/>
                <w:color w:val="auto"/>
                <w:kern w:val="0"/>
                <w:sz w:val="20"/>
                <w:szCs w:val="20"/>
              </w:rPr>
            </w:pPr>
            <w:r>
              <w:rPr>
                <w:rFonts w:hint="default" w:ascii="Times New Roman" w:hAnsi="Times New Roman" w:eastAsia="宋体"/>
                <w:b/>
                <w:bCs/>
                <w:color w:val="auto"/>
                <w:kern w:val="0"/>
                <w:sz w:val="20"/>
                <w:szCs w:val="20"/>
                <w:lang w:bidi="ar"/>
              </w:rPr>
              <w:t>田螺科Viviparidae</w:t>
            </w:r>
          </w:p>
        </w:tc>
      </w:tr>
      <w:tr w14:paraId="02829EC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0EBB811C">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多足摇蚊属一种</w:t>
            </w:r>
            <w:r>
              <w:rPr>
                <w:rFonts w:hint="default" w:ascii="Times New Roman" w:hAnsi="Times New Roman" w:eastAsia="宋体"/>
                <w:i/>
                <w:iCs/>
                <w:color w:val="auto"/>
                <w:kern w:val="0"/>
                <w:sz w:val="20"/>
                <w:szCs w:val="20"/>
                <w:lang w:bidi="ar"/>
              </w:rPr>
              <w:t>Polypedilum</w:t>
            </w:r>
            <w:r>
              <w:rPr>
                <w:rFonts w:hint="default" w:ascii="Times New Roman" w:hAnsi="Times New Roman" w:eastAsia="宋体"/>
                <w:color w:val="auto"/>
                <w:kern w:val="0"/>
                <w:sz w:val="20"/>
                <w:szCs w:val="20"/>
                <w:lang w:bidi="ar"/>
              </w:rPr>
              <w:t xml:space="preserve"> sp.</w:t>
            </w:r>
          </w:p>
        </w:tc>
        <w:tc>
          <w:tcPr>
            <w:tcW w:w="2500" w:type="pct"/>
            <w:tcBorders>
              <w:tl2br w:val="nil"/>
              <w:tr2bl w:val="nil"/>
            </w:tcBorders>
            <w:noWrap w:val="0"/>
            <w:vAlign w:val="bottom"/>
          </w:tcPr>
          <w:p w14:paraId="7E814984">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方形石田螺</w:t>
            </w:r>
            <w:r>
              <w:rPr>
                <w:rFonts w:hint="default" w:ascii="Times New Roman" w:hAnsi="Times New Roman" w:eastAsia="宋体"/>
                <w:i/>
                <w:iCs/>
                <w:color w:val="auto"/>
                <w:kern w:val="0"/>
                <w:sz w:val="20"/>
                <w:szCs w:val="20"/>
                <w:lang w:bidi="ar"/>
              </w:rPr>
              <w:t>Sinotaia quadrata</w:t>
            </w:r>
          </w:p>
        </w:tc>
      </w:tr>
      <w:tr w14:paraId="400A50F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2500" w:type="pct"/>
            <w:tcBorders>
              <w:tl2br w:val="nil"/>
              <w:tr2bl w:val="nil"/>
            </w:tcBorders>
            <w:noWrap w:val="0"/>
            <w:vAlign w:val="bottom"/>
          </w:tcPr>
          <w:p w14:paraId="0E39487C">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异端齿斑摇蚊</w:t>
            </w:r>
            <w:r>
              <w:rPr>
                <w:rFonts w:hint="default" w:ascii="Times New Roman" w:hAnsi="Times New Roman" w:eastAsia="宋体"/>
                <w:i/>
                <w:iCs/>
                <w:color w:val="auto"/>
                <w:kern w:val="0"/>
                <w:sz w:val="20"/>
                <w:szCs w:val="20"/>
                <w:lang w:bidi="ar"/>
              </w:rPr>
              <w:t>Stictochironomus caffrarius</w:t>
            </w:r>
          </w:p>
        </w:tc>
        <w:tc>
          <w:tcPr>
            <w:tcW w:w="2500" w:type="pct"/>
            <w:tcBorders>
              <w:tl2br w:val="nil"/>
              <w:tr2bl w:val="nil"/>
            </w:tcBorders>
            <w:noWrap w:val="0"/>
            <w:vAlign w:val="bottom"/>
          </w:tcPr>
          <w:p w14:paraId="7F77E74C">
            <w:pPr>
              <w:keepNext w:val="0"/>
              <w:keepLines w:val="0"/>
              <w:widowControl/>
              <w:suppressLineNumbers w:val="0"/>
              <w:spacing w:before="0" w:beforeAutospacing="0" w:after="0" w:afterAutospacing="0" w:line="240" w:lineRule="auto"/>
              <w:ind w:left="0" w:right="0" w:firstLine="800" w:firstLineChars="400"/>
              <w:jc w:val="left"/>
              <w:rPr>
                <w:rFonts w:hint="default" w:ascii="Times New Roman" w:hAnsi="Times New Roman" w:eastAsia="宋体"/>
                <w:color w:val="auto"/>
                <w:kern w:val="0"/>
                <w:sz w:val="20"/>
                <w:szCs w:val="20"/>
              </w:rPr>
            </w:pPr>
            <w:r>
              <w:rPr>
                <w:rFonts w:hint="default" w:ascii="Times New Roman" w:hAnsi="Times New Roman" w:eastAsia="宋体"/>
                <w:color w:val="auto"/>
                <w:kern w:val="0"/>
                <w:sz w:val="20"/>
                <w:szCs w:val="20"/>
                <w:lang w:bidi="ar"/>
              </w:rPr>
              <w:t>中国圆田螺</w:t>
            </w:r>
            <w:r>
              <w:rPr>
                <w:rFonts w:hint="default" w:ascii="Times New Roman" w:hAnsi="Times New Roman" w:eastAsia="宋体"/>
                <w:i/>
                <w:iCs/>
                <w:color w:val="auto"/>
                <w:kern w:val="0"/>
                <w:sz w:val="20"/>
                <w:szCs w:val="20"/>
                <w:lang w:bidi="ar"/>
              </w:rPr>
              <w:t>Cipangopaludina chinensis</w:t>
            </w:r>
          </w:p>
        </w:tc>
      </w:tr>
    </w:tbl>
    <w:p w14:paraId="01503F57">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等线" w:cs="Times New Roman"/>
          <w:bCs/>
          <w:color w:val="auto"/>
          <w:kern w:val="2"/>
          <w:sz w:val="24"/>
          <w:szCs w:val="28"/>
          <w:lang w:val="en-US" w:eastAsia="zh-CN" w:bidi="ar-SA"/>
        </w:rPr>
        <w:t>4.2.6.6</w:t>
      </w:r>
      <w:r>
        <w:rPr>
          <w:rFonts w:hint="eastAsia" w:ascii="Times New Roman" w:hAnsi="Times New Roman" w:eastAsia="宋体" w:cs="Times New Roman"/>
          <w:bCs/>
          <w:color w:val="auto"/>
          <w:kern w:val="2"/>
          <w:sz w:val="24"/>
          <w:szCs w:val="28"/>
          <w:lang w:val="en-US" w:eastAsia="zh-CN" w:bidi="ar-SA"/>
        </w:rPr>
        <w:t>.2 群落优势种</w:t>
      </w:r>
    </w:p>
    <w:p w14:paraId="5CC27933">
      <w:pPr>
        <w:spacing w:line="360" w:lineRule="auto"/>
        <w:ind w:firstLine="480" w:firstLineChars="200"/>
        <w:rPr>
          <w:rFonts w:ascii="Times New Roman" w:hAnsi="Times New Roman" w:eastAsia="宋体"/>
          <w:color w:val="auto"/>
          <w:sz w:val="24"/>
          <w:szCs w:val="24"/>
        </w:rPr>
      </w:pPr>
      <w:r>
        <w:rPr>
          <w:rFonts w:ascii="Times New Roman" w:hAnsi="Times New Roman" w:eastAsia="宋体"/>
          <w:color w:val="auto"/>
          <w:sz w:val="24"/>
          <w:szCs w:val="24"/>
          <w:lang w:bidi="ar"/>
        </w:rPr>
        <w:t>2024年</w:t>
      </w:r>
      <w:r>
        <w:rPr>
          <w:rFonts w:hint="eastAsia" w:ascii="Times New Roman" w:hAnsi="Times New Roman" w:eastAsia="宋体"/>
          <w:color w:val="auto"/>
          <w:sz w:val="24"/>
          <w:szCs w:val="24"/>
          <w:lang w:bidi="ar"/>
        </w:rPr>
        <w:t>调查</w:t>
      </w:r>
      <w:r>
        <w:rPr>
          <w:rFonts w:ascii="Times New Roman" w:hAnsi="Times New Roman" w:eastAsia="宋体"/>
          <w:color w:val="auto"/>
          <w:sz w:val="24"/>
          <w:szCs w:val="24"/>
          <w:lang w:bidi="ar"/>
        </w:rPr>
        <w:t>结果显示，</w:t>
      </w:r>
      <w:r>
        <w:rPr>
          <w:rFonts w:hint="eastAsia" w:ascii="Times New Roman" w:hAnsi="Times New Roman" w:eastAsia="宋体"/>
          <w:color w:val="auto"/>
          <w:sz w:val="24"/>
          <w:szCs w:val="24"/>
          <w:lang w:bidi="ar"/>
        </w:rPr>
        <w:t>调查</w:t>
      </w:r>
      <w:r>
        <w:rPr>
          <w:rFonts w:ascii="Times New Roman" w:hAnsi="Times New Roman" w:eastAsia="宋体"/>
          <w:color w:val="auto"/>
          <w:sz w:val="24"/>
          <w:szCs w:val="24"/>
          <w:lang w:bidi="ar"/>
        </w:rPr>
        <w:t>水域底栖动物优势种共5种(属)，分别为斑摇蚊属(</w:t>
      </w:r>
      <w:r>
        <w:rPr>
          <w:rFonts w:ascii="Times New Roman" w:hAnsi="Times New Roman" w:eastAsia="宋体"/>
          <w:i/>
          <w:iCs/>
          <w:color w:val="auto"/>
          <w:sz w:val="24"/>
          <w:szCs w:val="24"/>
          <w:lang w:bidi="ar"/>
        </w:rPr>
        <w:t>Stictochironomus</w:t>
      </w:r>
      <w:r>
        <w:rPr>
          <w:rFonts w:ascii="Times New Roman" w:hAnsi="Times New Roman" w:eastAsia="宋体"/>
          <w:color w:val="auto"/>
          <w:sz w:val="24"/>
          <w:szCs w:val="24"/>
          <w:lang w:bidi="ar"/>
        </w:rPr>
        <w:t xml:space="preserve"> sp.)、方形石田螺(</w:t>
      </w:r>
      <w:r>
        <w:rPr>
          <w:rFonts w:ascii="Times New Roman" w:hAnsi="Times New Roman" w:eastAsia="宋体"/>
          <w:i/>
          <w:iCs/>
          <w:color w:val="auto"/>
          <w:sz w:val="24"/>
          <w:szCs w:val="24"/>
          <w:lang w:bidi="ar"/>
        </w:rPr>
        <w:t>Sinotaia quadrata</w:t>
      </w:r>
      <w:r>
        <w:rPr>
          <w:rFonts w:ascii="Times New Roman" w:hAnsi="Times New Roman" w:eastAsia="宋体"/>
          <w:color w:val="auto"/>
          <w:sz w:val="24"/>
          <w:szCs w:val="24"/>
          <w:lang w:bidi="ar"/>
        </w:rPr>
        <w:t>)、河蚬(</w:t>
      </w:r>
      <w:r>
        <w:rPr>
          <w:rFonts w:ascii="Times New Roman" w:hAnsi="Times New Roman" w:eastAsia="宋体"/>
          <w:i/>
          <w:iCs/>
          <w:color w:val="auto"/>
          <w:sz w:val="24"/>
          <w:szCs w:val="24"/>
          <w:lang w:bidi="ar"/>
        </w:rPr>
        <w:t>Corbicula fluminea</w:t>
      </w:r>
      <w:r>
        <w:rPr>
          <w:rFonts w:ascii="Times New Roman" w:hAnsi="Times New Roman" w:eastAsia="宋体"/>
          <w:color w:val="auto"/>
          <w:sz w:val="24"/>
          <w:szCs w:val="24"/>
          <w:lang w:bidi="ar"/>
        </w:rPr>
        <w:t>)、克拉泊水丝蚓(</w:t>
      </w:r>
      <w:r>
        <w:rPr>
          <w:rFonts w:ascii="Times New Roman" w:hAnsi="Times New Roman" w:eastAsia="宋体"/>
          <w:i/>
          <w:iCs/>
          <w:color w:val="auto"/>
          <w:sz w:val="24"/>
          <w:szCs w:val="24"/>
          <w:lang w:bidi="ar"/>
        </w:rPr>
        <w:t>Limnodrilus claparedeianus</w:t>
      </w:r>
      <w:r>
        <w:rPr>
          <w:rFonts w:ascii="Times New Roman" w:hAnsi="Times New Roman" w:eastAsia="宋体"/>
          <w:color w:val="auto"/>
          <w:sz w:val="24"/>
          <w:szCs w:val="24"/>
          <w:lang w:bidi="ar"/>
        </w:rPr>
        <w:t>)、中国淡水蛏(</w:t>
      </w:r>
      <w:r>
        <w:rPr>
          <w:rFonts w:ascii="Times New Roman" w:hAnsi="Times New Roman" w:eastAsia="宋体"/>
          <w:i/>
          <w:iCs/>
          <w:color w:val="auto"/>
          <w:sz w:val="24"/>
          <w:szCs w:val="24"/>
          <w:lang w:bidi="ar"/>
        </w:rPr>
        <w:t>Novaculina chinensis</w:t>
      </w:r>
      <w:r>
        <w:rPr>
          <w:rFonts w:ascii="Times New Roman" w:hAnsi="Times New Roman" w:eastAsia="宋体"/>
          <w:color w:val="auto"/>
          <w:sz w:val="24"/>
          <w:szCs w:val="24"/>
          <w:lang w:bidi="ar"/>
        </w:rPr>
        <w:t>)，其优势度分别为0.102、0.059、0.182、0.041和0.025。</w:t>
      </w:r>
    </w:p>
    <w:p w14:paraId="78BF55E3">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4.3.6.3 现存量</w:t>
      </w:r>
    </w:p>
    <w:p w14:paraId="410A8EA0">
      <w:pPr>
        <w:spacing w:line="360" w:lineRule="auto"/>
        <w:ind w:firstLine="560" w:firstLineChars="200"/>
        <w:rPr>
          <w:rFonts w:ascii="Times New Roman" w:hAnsi="Times New Roman" w:eastAsia="宋体"/>
          <w:b/>
          <w:color w:val="auto"/>
          <w:sz w:val="28"/>
          <w:szCs w:val="28"/>
        </w:rPr>
      </w:pPr>
      <w:r>
        <w:rPr>
          <w:rFonts w:ascii="Times New Roman" w:hAnsi="Times New Roman" w:eastAsia="宋体"/>
          <w:b/>
          <w:color w:val="auto"/>
          <w:sz w:val="28"/>
          <w:szCs w:val="28"/>
          <w:lang w:bidi="ar"/>
        </w:rPr>
        <w:t>(1)资源密度</w:t>
      </w:r>
    </w:p>
    <w:p w14:paraId="7CD5EB8D">
      <w:pPr>
        <w:spacing w:line="360" w:lineRule="auto"/>
        <w:ind w:firstLine="480" w:firstLineChars="200"/>
        <w:rPr>
          <w:rFonts w:ascii="Times New Roman" w:hAnsi="Times New Roman" w:eastAsia="宋体"/>
          <w:b/>
          <w:bCs/>
          <w:color w:val="auto"/>
          <w:sz w:val="24"/>
          <w:szCs w:val="24"/>
        </w:rPr>
      </w:pPr>
      <w:r>
        <w:rPr>
          <w:rFonts w:ascii="Times New Roman" w:hAnsi="Times New Roman" w:eastAsia="宋体"/>
          <w:color w:val="auto"/>
          <w:sz w:val="24"/>
          <w:szCs w:val="24"/>
          <w:lang w:bidi="ar"/>
        </w:rPr>
        <w:t>2024年</w:t>
      </w:r>
      <w:r>
        <w:rPr>
          <w:rFonts w:hint="eastAsia" w:ascii="Times New Roman" w:hAnsi="Times New Roman" w:eastAsia="宋体"/>
          <w:color w:val="auto"/>
          <w:sz w:val="24"/>
          <w:szCs w:val="24"/>
          <w:lang w:bidi="ar"/>
        </w:rPr>
        <w:t>调查</w:t>
      </w:r>
      <w:r>
        <w:rPr>
          <w:rFonts w:ascii="Times New Roman" w:hAnsi="Times New Roman" w:eastAsia="宋体"/>
          <w:color w:val="auto"/>
          <w:sz w:val="24"/>
          <w:szCs w:val="24"/>
          <w:lang w:bidi="ar"/>
        </w:rPr>
        <w:t>结果显示，</w:t>
      </w:r>
      <w:r>
        <w:rPr>
          <w:rFonts w:hint="eastAsia" w:ascii="Times New Roman" w:hAnsi="Times New Roman" w:eastAsia="宋体"/>
          <w:color w:val="auto"/>
          <w:sz w:val="24"/>
          <w:szCs w:val="24"/>
          <w:lang w:bidi="ar"/>
        </w:rPr>
        <w:t>调查</w:t>
      </w:r>
      <w:r>
        <w:rPr>
          <w:rFonts w:ascii="Times New Roman" w:hAnsi="Times New Roman" w:eastAsia="宋体"/>
          <w:color w:val="auto"/>
          <w:sz w:val="24"/>
          <w:szCs w:val="24"/>
          <w:lang w:bidi="ar"/>
        </w:rPr>
        <w:t>水域底栖动物资源密度变幅为47-168 ind./m</w:t>
      </w:r>
      <w:r>
        <w:rPr>
          <w:rFonts w:ascii="Times New Roman" w:hAnsi="Times New Roman" w:eastAsia="宋体"/>
          <w:color w:val="auto"/>
          <w:sz w:val="24"/>
          <w:szCs w:val="24"/>
          <w:vertAlign w:val="superscript"/>
          <w:lang w:bidi="ar"/>
        </w:rPr>
        <w:t>2</w:t>
      </w:r>
      <w:r>
        <w:rPr>
          <w:rFonts w:ascii="Times New Roman" w:hAnsi="Times New Roman" w:eastAsia="宋体"/>
          <w:color w:val="auto"/>
          <w:sz w:val="24"/>
          <w:szCs w:val="24"/>
          <w:lang w:bidi="ar"/>
        </w:rPr>
        <w:t>，均值为96 ind./m</w:t>
      </w:r>
      <w:r>
        <w:rPr>
          <w:rFonts w:ascii="Times New Roman" w:hAnsi="Times New Roman" w:eastAsia="宋体"/>
          <w:color w:val="auto"/>
          <w:sz w:val="24"/>
          <w:szCs w:val="24"/>
          <w:vertAlign w:val="superscript"/>
          <w:lang w:bidi="ar"/>
        </w:rPr>
        <w:t>2</w:t>
      </w:r>
      <w:r>
        <w:rPr>
          <w:rFonts w:ascii="Times New Roman" w:hAnsi="Times New Roman" w:eastAsia="宋体"/>
          <w:color w:val="auto"/>
          <w:sz w:val="24"/>
          <w:szCs w:val="24"/>
          <w:lang w:bidi="ar"/>
        </w:rPr>
        <w:t>(图4.</w:t>
      </w:r>
      <w:r>
        <w:rPr>
          <w:rFonts w:hint="eastAsia" w:ascii="Times New Roman" w:hAnsi="Times New Roman" w:eastAsia="宋体"/>
          <w:color w:val="auto"/>
          <w:sz w:val="24"/>
          <w:szCs w:val="24"/>
          <w:lang w:val="en-US" w:eastAsia="zh-CN" w:bidi="ar"/>
        </w:rPr>
        <w:t>2-45）</w:t>
      </w:r>
      <w:r>
        <w:rPr>
          <w:rFonts w:ascii="Times New Roman" w:hAnsi="Times New Roman" w:eastAsia="宋体"/>
          <w:color w:val="auto"/>
          <w:sz w:val="24"/>
          <w:szCs w:val="24"/>
          <w:lang w:bidi="ar"/>
        </w:rPr>
        <w:t>。</w:t>
      </w:r>
    </w:p>
    <w:p w14:paraId="661F7089">
      <w:pPr>
        <w:spacing w:line="360" w:lineRule="auto"/>
        <w:jc w:val="center"/>
        <w:rPr>
          <w:rFonts w:ascii="Times New Roman" w:hAnsi="Times New Roman" w:eastAsia="宋体"/>
          <w:color w:val="auto"/>
          <w:sz w:val="24"/>
          <w:szCs w:val="28"/>
        </w:rPr>
      </w:pPr>
      <w:r>
        <w:rPr>
          <w:rFonts w:ascii="Times New Roman" w:hAnsi="Times New Roman" w:eastAsia="宋体"/>
          <w:color w:val="auto"/>
          <w:sz w:val="28"/>
          <w:szCs w:val="22"/>
          <w:lang w:bidi="ar"/>
        </w:rPr>
        <w:object>
          <v:shape id="_x0000_i1047" o:spt="75" type="#_x0000_t75" style="height:187.45pt;width:351.75pt;" o:ole="t" filled="f" o:preferrelative="t" stroked="f" coordsize="21600,21600">
            <v:path/>
            <v:fill on="f" focussize="0,0"/>
            <v:stroke on="f"/>
            <v:imagedata r:id="rId159" cropbottom="-58f" o:title=""/>
            <o:lock v:ext="edit" aspectratio="f"/>
            <w10:wrap type="none"/>
            <w10:anchorlock/>
          </v:shape>
          <o:OLEObject Type="Embed" ProgID="Excel.Chart.8" ShapeID="_x0000_i1047" DrawAspect="Content" ObjectID="_1468075747" r:id="rId158">
            <o:LockedField>false</o:LockedField>
          </o:OLEObject>
        </w:object>
      </w:r>
    </w:p>
    <w:p w14:paraId="3C512CEC">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w:t>
      </w:r>
      <w:r>
        <w:rPr>
          <w:rFonts w:hint="eastAsia" w:ascii="Times New Roman" w:hAnsi="Times New Roman" w:eastAsia="黑体" w:cs="Times New Roman"/>
          <w:color w:val="auto"/>
          <w:sz w:val="24"/>
          <w:szCs w:val="21"/>
          <w:lang w:val="en-US" w:eastAsia="zh-CN"/>
        </w:rPr>
        <w:t>2-45</w:t>
      </w:r>
      <w:r>
        <w:rPr>
          <w:rFonts w:ascii="Times New Roman" w:hAnsi="Times New Roman" w:eastAsia="黑体" w:cs="Times New Roman"/>
          <w:color w:val="auto"/>
          <w:sz w:val="24"/>
          <w:szCs w:val="21"/>
        </w:rPr>
        <w:t xml:space="preserve">  2024年工程区调查水域底栖动物资源密度</w:t>
      </w:r>
      <w:r>
        <w:rPr>
          <w:rFonts w:hint="eastAsia" w:ascii="Times New Roman" w:hAnsi="Times New Roman" w:eastAsia="黑体" w:cs="Times New Roman"/>
          <w:color w:val="auto"/>
          <w:sz w:val="24"/>
          <w:szCs w:val="21"/>
        </w:rPr>
        <w:t>空间</w:t>
      </w:r>
      <w:r>
        <w:rPr>
          <w:rFonts w:ascii="Times New Roman" w:hAnsi="Times New Roman" w:eastAsia="黑体" w:cs="Times New Roman"/>
          <w:color w:val="auto"/>
          <w:sz w:val="24"/>
          <w:szCs w:val="21"/>
        </w:rPr>
        <w:t>特征</w:t>
      </w:r>
    </w:p>
    <w:p w14:paraId="4A2A972C">
      <w:pPr>
        <w:spacing w:line="360" w:lineRule="auto"/>
        <w:ind w:firstLine="480" w:firstLineChars="200"/>
        <w:rPr>
          <w:rFonts w:ascii="Times New Roman" w:hAnsi="Times New Roman" w:eastAsia="宋体"/>
          <w:b/>
          <w:color w:val="auto"/>
          <w:sz w:val="24"/>
          <w:szCs w:val="24"/>
        </w:rPr>
      </w:pPr>
      <w:r>
        <w:rPr>
          <w:rFonts w:hint="eastAsia" w:ascii="Times New Roman" w:hAnsi="Times New Roman" w:eastAsia="宋体"/>
          <w:b/>
          <w:color w:val="auto"/>
          <w:sz w:val="24"/>
          <w:szCs w:val="24"/>
          <w:lang w:eastAsia="zh-CN" w:bidi="ar"/>
        </w:rPr>
        <w:t>（</w:t>
      </w:r>
      <w:r>
        <w:rPr>
          <w:rFonts w:hint="eastAsia" w:ascii="Times New Roman" w:hAnsi="Times New Roman" w:eastAsia="宋体"/>
          <w:b/>
          <w:color w:val="auto"/>
          <w:sz w:val="24"/>
          <w:szCs w:val="24"/>
          <w:lang w:val="en-US" w:eastAsia="zh-CN" w:bidi="ar"/>
        </w:rPr>
        <w:t>2</w:t>
      </w:r>
      <w:r>
        <w:rPr>
          <w:rFonts w:hint="eastAsia" w:ascii="Times New Roman" w:hAnsi="Times New Roman" w:eastAsia="宋体"/>
          <w:b/>
          <w:color w:val="auto"/>
          <w:sz w:val="24"/>
          <w:szCs w:val="24"/>
          <w:lang w:eastAsia="zh-CN" w:bidi="ar"/>
        </w:rPr>
        <w:t>）</w:t>
      </w:r>
      <w:r>
        <w:rPr>
          <w:rFonts w:ascii="Times New Roman" w:hAnsi="Times New Roman" w:eastAsia="宋体"/>
          <w:b/>
          <w:color w:val="auto"/>
          <w:sz w:val="24"/>
          <w:szCs w:val="24"/>
        </w:rPr>
        <w:t>生物量</w:t>
      </w:r>
    </w:p>
    <w:p w14:paraId="4EEC8654">
      <w:pPr>
        <w:spacing w:line="360" w:lineRule="auto"/>
        <w:ind w:firstLine="480" w:firstLineChars="200"/>
        <w:rPr>
          <w:rFonts w:ascii="Times New Roman" w:hAnsi="Times New Roman" w:eastAsia="宋体"/>
          <w:color w:val="auto"/>
          <w:sz w:val="24"/>
          <w:szCs w:val="24"/>
        </w:rPr>
      </w:pPr>
      <w:r>
        <w:rPr>
          <w:rFonts w:ascii="Times New Roman" w:hAnsi="Times New Roman" w:eastAsia="宋体"/>
          <w:color w:val="auto"/>
          <w:sz w:val="24"/>
          <w:szCs w:val="24"/>
          <w:lang w:bidi="ar"/>
        </w:rPr>
        <w:t>2024年工程水域调查结果显示，调查水域底栖动物生物量变幅为15.73-172.74 g/m</w:t>
      </w:r>
      <w:r>
        <w:rPr>
          <w:rFonts w:ascii="Times New Roman" w:hAnsi="Times New Roman" w:eastAsia="宋体"/>
          <w:color w:val="auto"/>
          <w:sz w:val="24"/>
          <w:szCs w:val="24"/>
          <w:vertAlign w:val="superscript"/>
          <w:lang w:bidi="ar"/>
        </w:rPr>
        <w:t>2</w:t>
      </w:r>
      <w:r>
        <w:rPr>
          <w:rFonts w:ascii="Times New Roman" w:hAnsi="Times New Roman" w:eastAsia="宋体"/>
          <w:color w:val="auto"/>
          <w:sz w:val="24"/>
          <w:szCs w:val="24"/>
          <w:lang w:bidi="ar"/>
        </w:rPr>
        <w:t>，均值为108.07 g/m</w:t>
      </w:r>
      <w:r>
        <w:rPr>
          <w:rFonts w:ascii="Times New Roman" w:hAnsi="Times New Roman" w:eastAsia="宋体"/>
          <w:color w:val="auto"/>
          <w:sz w:val="24"/>
          <w:szCs w:val="24"/>
          <w:vertAlign w:val="superscript"/>
          <w:lang w:bidi="ar"/>
        </w:rPr>
        <w:t>2</w:t>
      </w:r>
      <w:r>
        <w:rPr>
          <w:rFonts w:ascii="Times New Roman" w:hAnsi="Times New Roman" w:eastAsia="宋体"/>
          <w:color w:val="auto"/>
          <w:sz w:val="24"/>
          <w:szCs w:val="24"/>
          <w:lang w:bidi="ar"/>
        </w:rPr>
        <w:t>(图4.</w:t>
      </w:r>
      <w:r>
        <w:rPr>
          <w:rFonts w:hint="eastAsia" w:ascii="Times New Roman" w:hAnsi="Times New Roman" w:eastAsia="宋体"/>
          <w:color w:val="auto"/>
          <w:sz w:val="24"/>
          <w:szCs w:val="24"/>
          <w:lang w:val="en-US" w:eastAsia="zh-CN" w:bidi="ar"/>
        </w:rPr>
        <w:t>2-46</w:t>
      </w:r>
      <w:r>
        <w:rPr>
          <w:rFonts w:ascii="Times New Roman" w:hAnsi="Times New Roman" w:eastAsia="宋体"/>
          <w:color w:val="auto"/>
          <w:sz w:val="24"/>
          <w:szCs w:val="24"/>
          <w:lang w:bidi="ar"/>
        </w:rPr>
        <w:t>)。</w:t>
      </w:r>
    </w:p>
    <w:p w14:paraId="48A3F9BC">
      <w:pPr>
        <w:spacing w:line="240" w:lineRule="auto"/>
        <w:jc w:val="center"/>
        <w:rPr>
          <w:rFonts w:ascii="Times New Roman" w:hAnsi="Times New Roman" w:eastAsia="宋体"/>
          <w:color w:val="auto"/>
          <w:sz w:val="24"/>
          <w:szCs w:val="28"/>
        </w:rPr>
      </w:pPr>
      <w:r>
        <w:rPr>
          <w:rFonts w:ascii="Times New Roman" w:hAnsi="Times New Roman" w:eastAsia="宋体"/>
          <w:color w:val="auto"/>
          <w:sz w:val="28"/>
          <w:szCs w:val="22"/>
          <w:lang w:bidi="ar"/>
        </w:rPr>
        <w:object>
          <v:shape id="_x0000_i1048" o:spt="75" type="#_x0000_t75" style="height:183.65pt;width:350.3pt;" o:ole="t" filled="f" o:preferrelative="t" stroked="f" coordsize="21600,21600">
            <v:path/>
            <v:fill on="f" focussize="0,0"/>
            <v:stroke on="f"/>
            <v:imagedata r:id="rId161" cropbottom="-58f" o:title=""/>
            <o:lock v:ext="edit" aspectratio="f"/>
            <w10:wrap type="none"/>
            <w10:anchorlock/>
          </v:shape>
          <o:OLEObject Type="Embed" ProgID="Excel.Chart.8" ShapeID="_x0000_i1048" DrawAspect="Content" ObjectID="_1468075748" r:id="rId160">
            <o:LockedField>false</o:LockedField>
          </o:OLEObject>
        </w:object>
      </w:r>
    </w:p>
    <w:p w14:paraId="7DD55221">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w:t>
      </w:r>
      <w:r>
        <w:rPr>
          <w:rFonts w:hint="eastAsia" w:ascii="Times New Roman" w:hAnsi="Times New Roman" w:eastAsia="黑体" w:cs="Times New Roman"/>
          <w:color w:val="auto"/>
          <w:sz w:val="24"/>
          <w:szCs w:val="21"/>
          <w:lang w:val="en-US" w:eastAsia="zh-CN"/>
        </w:rPr>
        <w:t>2-46</w:t>
      </w:r>
      <w:r>
        <w:rPr>
          <w:rFonts w:ascii="Times New Roman" w:hAnsi="Times New Roman" w:eastAsia="黑体" w:cs="Times New Roman"/>
          <w:color w:val="auto"/>
          <w:sz w:val="24"/>
          <w:szCs w:val="21"/>
        </w:rPr>
        <w:t xml:space="preserve">  2024年工程区调查水域底栖动物生物量</w:t>
      </w:r>
      <w:r>
        <w:rPr>
          <w:rFonts w:hint="eastAsia" w:ascii="Times New Roman" w:hAnsi="Times New Roman" w:eastAsia="黑体" w:cs="Times New Roman"/>
          <w:color w:val="auto"/>
          <w:sz w:val="24"/>
          <w:szCs w:val="21"/>
        </w:rPr>
        <w:t>空间</w:t>
      </w:r>
      <w:r>
        <w:rPr>
          <w:rFonts w:ascii="Times New Roman" w:hAnsi="Times New Roman" w:eastAsia="黑体" w:cs="Times New Roman"/>
          <w:color w:val="auto"/>
          <w:sz w:val="24"/>
          <w:szCs w:val="21"/>
        </w:rPr>
        <w:t>特征</w:t>
      </w:r>
    </w:p>
    <w:p w14:paraId="212CAE21">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4.3.6.4 群落多样性</w:t>
      </w:r>
    </w:p>
    <w:p w14:paraId="4C797638">
      <w:pPr>
        <w:spacing w:line="360" w:lineRule="auto"/>
        <w:ind w:firstLine="480" w:firstLineChars="200"/>
        <w:rPr>
          <w:rFonts w:ascii="Times New Roman" w:hAnsi="Times New Roman" w:eastAsia="宋体"/>
          <w:color w:val="auto"/>
          <w:sz w:val="24"/>
          <w:szCs w:val="24"/>
          <w:lang w:bidi="ar"/>
        </w:rPr>
      </w:pPr>
      <w:r>
        <w:rPr>
          <w:rFonts w:ascii="Times New Roman" w:hAnsi="Times New Roman" w:eastAsia="宋体"/>
          <w:color w:val="auto"/>
          <w:sz w:val="24"/>
          <w:szCs w:val="24"/>
          <w:lang w:bidi="ar"/>
        </w:rPr>
        <w:t>2024年工程水域调查结果显示，调查水域底栖动物香农多样性指数为2.23，均匀度指数为0.77，优势度指数为0.16，丰富度指数为2.52。</w:t>
      </w:r>
    </w:p>
    <w:p w14:paraId="6417F94F">
      <w:pPr>
        <w:keepNext/>
        <w:keepLines/>
        <w:widowControl w:val="0"/>
        <w:spacing w:line="360" w:lineRule="auto"/>
        <w:jc w:val="left"/>
        <w:outlineLvl w:val="4"/>
        <w:rPr>
          <w:rFonts w:hint="eastAsia" w:ascii="Times New Roman" w:hAnsi="Times New Roman" w:eastAsia="宋体" w:cs="Times New Roman"/>
          <w:bCs/>
          <w:color w:val="auto"/>
          <w:kern w:val="2"/>
          <w:sz w:val="24"/>
          <w:szCs w:val="28"/>
          <w:lang w:val="en-US" w:eastAsia="zh-CN" w:bidi="ar-SA"/>
        </w:rPr>
      </w:pPr>
      <w:r>
        <w:rPr>
          <w:rFonts w:hint="eastAsia" w:ascii="Times New Roman" w:hAnsi="Times New Roman" w:eastAsia="宋体" w:cs="Times New Roman"/>
          <w:bCs/>
          <w:color w:val="auto"/>
          <w:kern w:val="2"/>
          <w:sz w:val="24"/>
          <w:szCs w:val="28"/>
          <w:lang w:val="en-US" w:eastAsia="zh-CN" w:bidi="ar-SA"/>
        </w:rPr>
        <w:t>4.3.6.5 Goodnight生物指数</w:t>
      </w:r>
    </w:p>
    <w:p w14:paraId="589AEAA6">
      <w:pPr>
        <w:spacing w:line="360" w:lineRule="auto"/>
        <w:ind w:firstLine="480" w:firstLineChars="200"/>
        <w:rPr>
          <w:rFonts w:ascii="Times New Roman" w:hAnsi="Times New Roman" w:eastAsia="宋体"/>
          <w:color w:val="auto"/>
          <w:sz w:val="24"/>
          <w:szCs w:val="24"/>
          <w:lang w:bidi="ar"/>
        </w:rPr>
      </w:pPr>
      <w:r>
        <w:rPr>
          <w:rFonts w:ascii="Times New Roman" w:hAnsi="Times New Roman" w:eastAsia="宋体"/>
          <w:color w:val="auto"/>
          <w:sz w:val="24"/>
          <w:szCs w:val="24"/>
          <w:lang w:bidi="ar"/>
        </w:rPr>
        <w:t>2024年工程水域调查结果显示，调查水域底栖动物</w:t>
      </w:r>
      <w:bookmarkStart w:id="134" w:name="_Hlk123410376"/>
      <w:r>
        <w:rPr>
          <w:rFonts w:ascii="Times New Roman" w:hAnsi="Times New Roman" w:eastAsia="宋体"/>
          <w:i/>
          <w:iCs/>
          <w:color w:val="auto"/>
          <w:sz w:val="24"/>
          <w:szCs w:val="24"/>
          <w:lang w:bidi="ar"/>
        </w:rPr>
        <w:t>GBI</w:t>
      </w:r>
      <w:r>
        <w:rPr>
          <w:rFonts w:ascii="Times New Roman" w:hAnsi="Times New Roman" w:eastAsia="宋体"/>
          <w:color w:val="auto"/>
          <w:sz w:val="24"/>
          <w:szCs w:val="24"/>
          <w:lang w:bidi="ar"/>
        </w:rPr>
        <w:t>指数</w:t>
      </w:r>
      <w:bookmarkEnd w:id="134"/>
      <w:r>
        <w:rPr>
          <w:rFonts w:ascii="Times New Roman" w:hAnsi="Times New Roman" w:eastAsia="宋体"/>
          <w:color w:val="auto"/>
          <w:sz w:val="24"/>
          <w:szCs w:val="24"/>
          <w:lang w:bidi="ar"/>
        </w:rPr>
        <w:t>变幅为0.75-1，均值为0.90(图4.</w:t>
      </w:r>
      <w:r>
        <w:rPr>
          <w:rFonts w:hint="eastAsia" w:ascii="Times New Roman" w:hAnsi="Times New Roman" w:eastAsia="宋体"/>
          <w:color w:val="auto"/>
          <w:sz w:val="24"/>
          <w:szCs w:val="24"/>
          <w:lang w:val="en-US" w:eastAsia="zh-CN" w:bidi="ar"/>
        </w:rPr>
        <w:t>2-47</w:t>
      </w:r>
      <w:r>
        <w:rPr>
          <w:rFonts w:ascii="Times New Roman" w:hAnsi="Times New Roman" w:eastAsia="宋体"/>
          <w:color w:val="auto"/>
          <w:sz w:val="24"/>
          <w:szCs w:val="24"/>
          <w:lang w:bidi="ar"/>
        </w:rPr>
        <w:t>)。</w:t>
      </w:r>
    </w:p>
    <w:p w14:paraId="551C49D5">
      <w:pPr>
        <w:spacing w:line="360" w:lineRule="auto"/>
        <w:jc w:val="center"/>
        <w:rPr>
          <w:rFonts w:ascii="Times New Roman" w:hAnsi="Times New Roman" w:eastAsia="宋体"/>
          <w:color w:val="auto"/>
          <w:sz w:val="24"/>
          <w:szCs w:val="28"/>
        </w:rPr>
      </w:pPr>
      <w:r>
        <w:rPr>
          <w:rFonts w:ascii="Times New Roman" w:hAnsi="Times New Roman" w:eastAsia="宋体"/>
          <w:color w:val="auto"/>
          <w:sz w:val="28"/>
          <w:szCs w:val="22"/>
          <w:lang w:bidi="ar"/>
        </w:rPr>
        <w:object>
          <v:shape id="_x0000_i1049" o:spt="75" type="#_x0000_t75" style="height:185.4pt;width:340.25pt;" o:ole="t" filled="f" o:preferrelative="t" stroked="f" coordsize="21600,21600">
            <v:path/>
            <v:fill on="f" focussize="0,0"/>
            <v:stroke on="f"/>
            <v:imagedata r:id="rId163" cropbottom="-58f" o:title=""/>
            <o:lock v:ext="edit" aspectratio="f"/>
            <w10:wrap type="none"/>
            <w10:anchorlock/>
          </v:shape>
          <o:OLEObject Type="Embed" ProgID="Excel.Chart.8" ShapeID="_x0000_i1049" DrawAspect="Content" ObjectID="_1468075749" r:id="rId162">
            <o:LockedField>false</o:LockedField>
          </o:OLEObject>
        </w:object>
      </w:r>
    </w:p>
    <w:p w14:paraId="163E7804">
      <w:pPr>
        <w:spacing w:line="400" w:lineRule="exact"/>
        <w:jc w:val="center"/>
        <w:rPr>
          <w:rFonts w:ascii="Times New Roman" w:hAnsi="Times New Roman" w:eastAsia="黑体" w:cs="Times New Roman"/>
          <w:color w:val="auto"/>
          <w:sz w:val="24"/>
          <w:szCs w:val="21"/>
        </w:rPr>
      </w:pPr>
      <w:r>
        <w:rPr>
          <w:rFonts w:ascii="Times New Roman" w:hAnsi="Times New Roman" w:eastAsia="黑体" w:cs="Times New Roman"/>
          <w:color w:val="auto"/>
          <w:sz w:val="24"/>
          <w:szCs w:val="21"/>
        </w:rPr>
        <w:t>图4.</w:t>
      </w:r>
      <w:r>
        <w:rPr>
          <w:rFonts w:hint="eastAsia" w:ascii="Times New Roman" w:hAnsi="Times New Roman" w:eastAsia="黑体" w:cs="Times New Roman"/>
          <w:color w:val="auto"/>
          <w:sz w:val="24"/>
          <w:szCs w:val="21"/>
          <w:lang w:val="en-US" w:eastAsia="zh-CN"/>
        </w:rPr>
        <w:t>2-47</w:t>
      </w:r>
      <w:r>
        <w:rPr>
          <w:rFonts w:ascii="Times New Roman" w:hAnsi="Times New Roman" w:eastAsia="黑体" w:cs="Times New Roman"/>
          <w:color w:val="auto"/>
          <w:sz w:val="24"/>
          <w:szCs w:val="21"/>
        </w:rPr>
        <w:t xml:space="preserve">  2024年工程区调查水域底栖动物GBI指数空间特征</w:t>
      </w:r>
    </w:p>
    <w:p w14:paraId="4AA714EA">
      <w:pPr>
        <w:spacing w:line="360" w:lineRule="auto"/>
        <w:rPr>
          <w:color w:val="auto"/>
        </w:rPr>
      </w:pPr>
    </w:p>
    <w:p w14:paraId="05BF9DCB">
      <w:pPr>
        <w:spacing w:line="360" w:lineRule="auto"/>
        <w:rPr>
          <w:color w:val="auto"/>
        </w:rPr>
        <w:sectPr>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40A9CDE1">
      <w:pPr>
        <w:pStyle w:val="2"/>
        <w:numPr>
          <w:ilvl w:val="0"/>
          <w:numId w:val="0"/>
        </w:numPr>
        <w:rPr>
          <w:color w:val="auto"/>
        </w:rPr>
      </w:pPr>
      <w:bookmarkStart w:id="135" w:name="_Toc24723"/>
      <w:r>
        <w:rPr>
          <w:rFonts w:hint="eastAsia"/>
          <w:color w:val="auto"/>
        </w:rPr>
        <w:t>5</w:t>
      </w:r>
      <w:r>
        <w:rPr>
          <w:color w:val="auto"/>
        </w:rPr>
        <w:t>环境影响预测与评价</w:t>
      </w:r>
      <w:bookmarkEnd w:id="135"/>
    </w:p>
    <w:p w14:paraId="646655CF">
      <w:pPr>
        <w:pStyle w:val="3"/>
        <w:numPr>
          <w:ilvl w:val="1"/>
          <w:numId w:val="0"/>
        </w:numPr>
        <w:rPr>
          <w:color w:val="auto"/>
        </w:rPr>
      </w:pPr>
      <w:bookmarkStart w:id="136" w:name="_Toc8591"/>
      <w:r>
        <w:rPr>
          <w:rFonts w:hint="eastAsia"/>
          <w:color w:val="auto"/>
        </w:rPr>
        <w:t>5.1</w:t>
      </w:r>
      <w:r>
        <w:rPr>
          <w:color w:val="auto"/>
        </w:rPr>
        <w:t>施工期环境影响分析</w:t>
      </w:r>
      <w:bookmarkEnd w:id="136"/>
    </w:p>
    <w:p w14:paraId="163B8E80">
      <w:pPr>
        <w:pStyle w:val="4"/>
        <w:numPr>
          <w:ilvl w:val="2"/>
          <w:numId w:val="0"/>
        </w:numPr>
        <w:rPr>
          <w:color w:val="auto"/>
        </w:rPr>
      </w:pPr>
      <w:r>
        <w:rPr>
          <w:rFonts w:hint="eastAsia"/>
          <w:color w:val="auto"/>
        </w:rPr>
        <w:t>5.1.1</w:t>
      </w:r>
      <w:r>
        <w:rPr>
          <w:color w:val="auto"/>
        </w:rPr>
        <w:t>施工期环境空气影响</w:t>
      </w:r>
    </w:p>
    <w:p w14:paraId="2E225339">
      <w:pPr>
        <w:spacing w:line="360" w:lineRule="auto"/>
        <w:ind w:firstLine="480" w:firstLineChars="200"/>
        <w:rPr>
          <w:rFonts w:hint="eastAsia"/>
          <w:color w:val="auto"/>
          <w:sz w:val="24"/>
        </w:rPr>
      </w:pPr>
      <w:r>
        <w:rPr>
          <w:rFonts w:hint="eastAsia"/>
          <w:color w:val="auto"/>
          <w:sz w:val="24"/>
          <w:szCs w:val="24"/>
        </w:rPr>
        <w:t>拟建</w:t>
      </w:r>
      <w:r>
        <w:rPr>
          <w:color w:val="auto"/>
          <w:sz w:val="24"/>
          <w:szCs w:val="24"/>
        </w:rPr>
        <w:t>项目施工时间为12个月，</w:t>
      </w:r>
      <w:r>
        <w:rPr>
          <w:color w:val="auto"/>
          <w:sz w:val="24"/>
          <w:szCs w:val="24"/>
          <w:lang w:bidi="en-US"/>
        </w:rPr>
        <w:t>项目施工期废气主要</w:t>
      </w:r>
      <w:r>
        <w:rPr>
          <w:rFonts w:hint="eastAsia"/>
          <w:color w:val="auto"/>
          <w:sz w:val="24"/>
          <w:szCs w:val="24"/>
          <w:lang w:eastAsia="zh-CN" w:bidi="en-US"/>
        </w:rPr>
        <w:t>来自</w:t>
      </w:r>
      <w:r>
        <w:rPr>
          <w:color w:val="auto"/>
          <w:sz w:val="24"/>
          <w:szCs w:val="24"/>
          <w:lang w:bidi="en-US"/>
        </w:rPr>
        <w:t>各种建筑材料在运输、装卸等环节产生的扬尘；</w:t>
      </w:r>
      <w:r>
        <w:rPr>
          <w:rFonts w:hint="eastAsia"/>
          <w:color w:val="auto"/>
          <w:sz w:val="24"/>
        </w:rPr>
        <w:t>工程建设将会增加项目区及运输线路TSP浓度，TSP主要来自施工作业扬尘、车辆运输扬尘、物料堆放风蚀扬尘以及机械废气等。</w:t>
      </w:r>
    </w:p>
    <w:p w14:paraId="64FEA60D">
      <w:pPr>
        <w:spacing w:line="360" w:lineRule="auto"/>
        <w:ind w:firstLine="480" w:firstLineChars="200"/>
        <w:rPr>
          <w:rFonts w:hint="eastAsia"/>
          <w:color w:val="auto"/>
          <w:sz w:val="24"/>
        </w:rPr>
      </w:pPr>
      <w:r>
        <w:rPr>
          <w:rFonts w:hint="eastAsia"/>
          <w:color w:val="auto"/>
          <w:sz w:val="24"/>
        </w:rPr>
        <w:t>（1）扬尘的影响分析</w:t>
      </w:r>
    </w:p>
    <w:p w14:paraId="5F3C6980">
      <w:pPr>
        <w:spacing w:line="360" w:lineRule="auto"/>
        <w:ind w:firstLine="480" w:firstLineChars="200"/>
        <w:rPr>
          <w:rFonts w:hint="eastAsia"/>
          <w:color w:val="auto"/>
          <w:sz w:val="24"/>
        </w:rPr>
      </w:pPr>
      <w:r>
        <w:rPr>
          <w:rFonts w:hint="eastAsia"/>
          <w:color w:val="auto"/>
          <w:sz w:val="24"/>
        </w:rPr>
        <w:t>1）施工作业扬尘</w:t>
      </w:r>
    </w:p>
    <w:p w14:paraId="00F101C9">
      <w:pPr>
        <w:spacing w:line="360" w:lineRule="auto"/>
        <w:ind w:firstLine="480" w:firstLineChars="200"/>
        <w:rPr>
          <w:rFonts w:hint="eastAsia"/>
          <w:color w:val="auto"/>
          <w:sz w:val="24"/>
        </w:rPr>
      </w:pPr>
      <w:r>
        <w:rPr>
          <w:rFonts w:hint="eastAsia"/>
          <w:color w:val="auto"/>
          <w:sz w:val="24"/>
        </w:rPr>
        <w:t>土石方开挖阶段等施工过</w:t>
      </w:r>
      <w:r>
        <w:rPr>
          <w:rFonts w:hint="eastAsia"/>
          <w:color w:val="auto"/>
          <w:sz w:val="24"/>
          <w:lang w:eastAsia="zh-CN"/>
        </w:rPr>
        <w:t>程中</w:t>
      </w:r>
      <w:r>
        <w:rPr>
          <w:rFonts w:hint="eastAsia"/>
          <w:color w:val="auto"/>
          <w:sz w:val="24"/>
        </w:rPr>
        <w:t>产生的扬尘强弱与施工现场条件、施工方式、施工设备及施工季节、气象条件以及建设地区土质等诸多因素有关，而采取适当的施工防护措施是控制扬尘污染的重要途径。由于影响因素众多，故扬尘强弱难以确定，本次评价采用类比的方法，根据监测数据类比分析本项目施工过程中的扬尘影响情况。有关研究单位对多个施工工地的扬尘进行现场监测的结果见下表。</w:t>
      </w:r>
    </w:p>
    <w:p w14:paraId="6A387EEB">
      <w:pPr>
        <w:spacing w:line="400" w:lineRule="exact"/>
        <w:jc w:val="center"/>
        <w:rPr>
          <w:rFonts w:eastAsia="黑体"/>
          <w:color w:val="auto"/>
          <w:sz w:val="24"/>
        </w:rPr>
      </w:pPr>
      <w:r>
        <w:rPr>
          <w:rFonts w:eastAsia="黑体"/>
          <w:color w:val="auto"/>
          <w:sz w:val="24"/>
        </w:rPr>
        <w:t>表5.1-1  建筑施工工地扬尘污染监测结果   单位：μg/m</w:t>
      </w:r>
      <w:r>
        <w:rPr>
          <w:rFonts w:eastAsia="黑体"/>
          <w:color w:val="auto"/>
          <w:sz w:val="24"/>
          <w:vertAlign w:val="superscript"/>
        </w:rPr>
        <w:t>3</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1720"/>
        <w:gridCol w:w="1029"/>
        <w:gridCol w:w="1159"/>
        <w:gridCol w:w="1159"/>
        <w:gridCol w:w="1029"/>
        <w:gridCol w:w="1030"/>
        <w:gridCol w:w="1029"/>
      </w:tblGrid>
      <w:tr w14:paraId="756DE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131" w:type="dxa"/>
            <w:vMerge w:val="restart"/>
            <w:tcBorders>
              <w:top w:val="single" w:color="auto" w:sz="12" w:space="0"/>
              <w:left w:val="nil"/>
            </w:tcBorders>
            <w:noWrap w:val="0"/>
            <w:vAlign w:val="center"/>
          </w:tcPr>
          <w:p w14:paraId="26C34DC9">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工程名称</w:t>
            </w:r>
          </w:p>
        </w:tc>
        <w:tc>
          <w:tcPr>
            <w:tcW w:w="1720" w:type="dxa"/>
            <w:vMerge w:val="restart"/>
            <w:tcBorders>
              <w:top w:val="single" w:color="auto" w:sz="12" w:space="0"/>
            </w:tcBorders>
            <w:noWrap w:val="0"/>
            <w:vAlign w:val="center"/>
          </w:tcPr>
          <w:p w14:paraId="16A94EEE">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防治措施</w:t>
            </w:r>
          </w:p>
        </w:tc>
        <w:tc>
          <w:tcPr>
            <w:tcW w:w="5406" w:type="dxa"/>
            <w:gridSpan w:val="5"/>
            <w:tcBorders>
              <w:top w:val="single" w:color="auto" w:sz="12" w:space="0"/>
            </w:tcBorders>
            <w:noWrap w:val="0"/>
            <w:vAlign w:val="center"/>
          </w:tcPr>
          <w:p w14:paraId="1E54A1E2">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TSP浓度（μg/m</w:t>
            </w:r>
            <w:r>
              <w:rPr>
                <w:rFonts w:hint="default" w:ascii="Times New Roman" w:hAnsi="Times New Roman" w:cs="Times New Roman"/>
                <w:b/>
                <w:bCs/>
                <w:color w:val="auto"/>
                <w:vertAlign w:val="superscript"/>
              </w:rPr>
              <w:t>3</w:t>
            </w:r>
            <w:r>
              <w:rPr>
                <w:rFonts w:hint="default" w:ascii="Times New Roman" w:hAnsi="Times New Roman" w:cs="Times New Roman"/>
                <w:b/>
                <w:bCs/>
                <w:color w:val="auto"/>
              </w:rPr>
              <w:t>）</w:t>
            </w:r>
          </w:p>
        </w:tc>
        <w:tc>
          <w:tcPr>
            <w:tcW w:w="1029" w:type="dxa"/>
            <w:vMerge w:val="restart"/>
            <w:tcBorders>
              <w:top w:val="single" w:color="auto" w:sz="12" w:space="0"/>
              <w:right w:val="nil"/>
            </w:tcBorders>
            <w:noWrap w:val="0"/>
            <w:vAlign w:val="center"/>
          </w:tcPr>
          <w:p w14:paraId="0D0527B9">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上风向对照点</w:t>
            </w:r>
          </w:p>
        </w:tc>
      </w:tr>
      <w:tr w14:paraId="325F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131" w:type="dxa"/>
            <w:vMerge w:val="continue"/>
            <w:tcBorders>
              <w:left w:val="nil"/>
            </w:tcBorders>
            <w:noWrap w:val="0"/>
            <w:vAlign w:val="center"/>
          </w:tcPr>
          <w:p w14:paraId="304813A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720" w:type="dxa"/>
            <w:vMerge w:val="continue"/>
            <w:noWrap w:val="0"/>
            <w:vAlign w:val="center"/>
          </w:tcPr>
          <w:p w14:paraId="5BA7DB5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5406" w:type="dxa"/>
            <w:gridSpan w:val="5"/>
            <w:noWrap w:val="0"/>
            <w:vAlign w:val="center"/>
          </w:tcPr>
          <w:p w14:paraId="61B69EC0">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工地下风向距离</w:t>
            </w:r>
          </w:p>
        </w:tc>
        <w:tc>
          <w:tcPr>
            <w:tcW w:w="1029" w:type="dxa"/>
            <w:vMerge w:val="continue"/>
            <w:tcBorders>
              <w:right w:val="nil"/>
            </w:tcBorders>
            <w:noWrap w:val="0"/>
            <w:vAlign w:val="center"/>
          </w:tcPr>
          <w:p w14:paraId="05118FF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r>
      <w:tr w14:paraId="6B852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1131" w:type="dxa"/>
            <w:vMerge w:val="continue"/>
            <w:tcBorders>
              <w:left w:val="nil"/>
            </w:tcBorders>
            <w:noWrap w:val="0"/>
            <w:vAlign w:val="center"/>
          </w:tcPr>
          <w:p w14:paraId="54939D7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720" w:type="dxa"/>
            <w:vMerge w:val="continue"/>
            <w:noWrap w:val="0"/>
            <w:vAlign w:val="center"/>
          </w:tcPr>
          <w:p w14:paraId="3D119E0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029" w:type="dxa"/>
            <w:noWrap w:val="0"/>
            <w:vAlign w:val="center"/>
          </w:tcPr>
          <w:p w14:paraId="4F5A47E7">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20m</w:t>
            </w:r>
          </w:p>
        </w:tc>
        <w:tc>
          <w:tcPr>
            <w:tcW w:w="1159" w:type="dxa"/>
            <w:noWrap w:val="0"/>
            <w:vAlign w:val="center"/>
          </w:tcPr>
          <w:p w14:paraId="19F1DBAE">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50m</w:t>
            </w:r>
          </w:p>
        </w:tc>
        <w:tc>
          <w:tcPr>
            <w:tcW w:w="1159" w:type="dxa"/>
            <w:noWrap w:val="0"/>
            <w:vAlign w:val="center"/>
          </w:tcPr>
          <w:p w14:paraId="784F4C41">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100m</w:t>
            </w:r>
          </w:p>
        </w:tc>
        <w:tc>
          <w:tcPr>
            <w:tcW w:w="1029" w:type="dxa"/>
            <w:noWrap w:val="0"/>
            <w:vAlign w:val="center"/>
          </w:tcPr>
          <w:p w14:paraId="01CEF3A6">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150m</w:t>
            </w:r>
          </w:p>
        </w:tc>
        <w:tc>
          <w:tcPr>
            <w:tcW w:w="1030" w:type="dxa"/>
            <w:noWrap w:val="0"/>
            <w:vAlign w:val="center"/>
          </w:tcPr>
          <w:p w14:paraId="2FE8D52D">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200m</w:t>
            </w:r>
          </w:p>
        </w:tc>
        <w:tc>
          <w:tcPr>
            <w:tcW w:w="1029" w:type="dxa"/>
            <w:vMerge w:val="continue"/>
            <w:tcBorders>
              <w:right w:val="nil"/>
            </w:tcBorders>
            <w:noWrap w:val="0"/>
            <w:vAlign w:val="center"/>
          </w:tcPr>
          <w:p w14:paraId="345C3CE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r>
      <w:tr w14:paraId="2601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131" w:type="dxa"/>
            <w:vMerge w:val="restart"/>
            <w:tcBorders>
              <w:left w:val="nil"/>
            </w:tcBorders>
            <w:noWrap w:val="0"/>
            <w:vAlign w:val="center"/>
          </w:tcPr>
          <w:p w14:paraId="68F67D5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现场</w:t>
            </w:r>
          </w:p>
        </w:tc>
        <w:tc>
          <w:tcPr>
            <w:tcW w:w="1720" w:type="dxa"/>
            <w:noWrap w:val="0"/>
            <w:vAlign w:val="center"/>
          </w:tcPr>
          <w:p w14:paraId="5652240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无</w:t>
            </w:r>
          </w:p>
        </w:tc>
        <w:tc>
          <w:tcPr>
            <w:tcW w:w="1029" w:type="dxa"/>
            <w:noWrap w:val="0"/>
            <w:vAlign w:val="center"/>
          </w:tcPr>
          <w:p w14:paraId="6C7D788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1540</w:t>
            </w:r>
          </w:p>
        </w:tc>
        <w:tc>
          <w:tcPr>
            <w:tcW w:w="1159" w:type="dxa"/>
            <w:noWrap w:val="0"/>
            <w:vAlign w:val="center"/>
          </w:tcPr>
          <w:p w14:paraId="5D63DA9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891</w:t>
            </w:r>
          </w:p>
        </w:tc>
        <w:tc>
          <w:tcPr>
            <w:tcW w:w="1159" w:type="dxa"/>
            <w:noWrap w:val="0"/>
            <w:vAlign w:val="center"/>
          </w:tcPr>
          <w:p w14:paraId="4838658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535</w:t>
            </w:r>
          </w:p>
        </w:tc>
        <w:tc>
          <w:tcPr>
            <w:tcW w:w="1029" w:type="dxa"/>
            <w:noWrap w:val="0"/>
            <w:vAlign w:val="center"/>
          </w:tcPr>
          <w:p w14:paraId="3F181A9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354</w:t>
            </w:r>
          </w:p>
        </w:tc>
        <w:tc>
          <w:tcPr>
            <w:tcW w:w="1030" w:type="dxa"/>
            <w:noWrap w:val="0"/>
            <w:vAlign w:val="center"/>
          </w:tcPr>
          <w:p w14:paraId="27927AB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265</w:t>
            </w:r>
          </w:p>
        </w:tc>
        <w:tc>
          <w:tcPr>
            <w:tcW w:w="1029" w:type="dxa"/>
            <w:tcBorders>
              <w:right w:val="nil"/>
            </w:tcBorders>
            <w:noWrap w:val="0"/>
            <w:vAlign w:val="center"/>
          </w:tcPr>
          <w:p w14:paraId="74A91B8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259</w:t>
            </w:r>
          </w:p>
        </w:tc>
      </w:tr>
      <w:tr w14:paraId="09BD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131" w:type="dxa"/>
            <w:vMerge w:val="continue"/>
            <w:tcBorders>
              <w:left w:val="nil"/>
              <w:bottom w:val="single" w:color="auto" w:sz="12" w:space="0"/>
            </w:tcBorders>
            <w:noWrap w:val="0"/>
            <w:vAlign w:val="center"/>
          </w:tcPr>
          <w:p w14:paraId="0871430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720" w:type="dxa"/>
            <w:tcBorders>
              <w:bottom w:val="single" w:color="auto" w:sz="12" w:space="0"/>
            </w:tcBorders>
            <w:noWrap w:val="0"/>
            <w:vAlign w:val="center"/>
          </w:tcPr>
          <w:p w14:paraId="3046202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作业面洒水</w:t>
            </w:r>
          </w:p>
        </w:tc>
        <w:tc>
          <w:tcPr>
            <w:tcW w:w="1029" w:type="dxa"/>
            <w:tcBorders>
              <w:bottom w:val="single" w:color="auto" w:sz="12" w:space="0"/>
            </w:tcBorders>
            <w:noWrap w:val="0"/>
            <w:vAlign w:val="center"/>
          </w:tcPr>
          <w:p w14:paraId="1D0EA52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554</w:t>
            </w:r>
          </w:p>
        </w:tc>
        <w:tc>
          <w:tcPr>
            <w:tcW w:w="1159" w:type="dxa"/>
            <w:tcBorders>
              <w:bottom w:val="single" w:color="auto" w:sz="12" w:space="0"/>
            </w:tcBorders>
            <w:noWrap w:val="0"/>
            <w:vAlign w:val="center"/>
          </w:tcPr>
          <w:p w14:paraId="05703E9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410</w:t>
            </w:r>
          </w:p>
        </w:tc>
        <w:tc>
          <w:tcPr>
            <w:tcW w:w="1159" w:type="dxa"/>
            <w:tcBorders>
              <w:bottom w:val="single" w:color="auto" w:sz="12" w:space="0"/>
            </w:tcBorders>
            <w:noWrap w:val="0"/>
            <w:vAlign w:val="center"/>
          </w:tcPr>
          <w:p w14:paraId="1F7F7A1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275</w:t>
            </w:r>
          </w:p>
        </w:tc>
        <w:tc>
          <w:tcPr>
            <w:tcW w:w="1029" w:type="dxa"/>
            <w:tcBorders>
              <w:bottom w:val="single" w:color="auto" w:sz="12" w:space="0"/>
            </w:tcBorders>
            <w:noWrap w:val="0"/>
            <w:vAlign w:val="center"/>
          </w:tcPr>
          <w:p w14:paraId="5A1E4AC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270</w:t>
            </w:r>
          </w:p>
        </w:tc>
        <w:tc>
          <w:tcPr>
            <w:tcW w:w="1030" w:type="dxa"/>
            <w:tcBorders>
              <w:bottom w:val="single" w:color="auto" w:sz="12" w:space="0"/>
            </w:tcBorders>
            <w:noWrap w:val="0"/>
            <w:vAlign w:val="center"/>
          </w:tcPr>
          <w:p w14:paraId="5605BF9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258</w:t>
            </w:r>
          </w:p>
        </w:tc>
        <w:tc>
          <w:tcPr>
            <w:tcW w:w="1029" w:type="dxa"/>
            <w:tcBorders>
              <w:bottom w:val="single" w:color="auto" w:sz="12" w:space="0"/>
              <w:right w:val="nil"/>
            </w:tcBorders>
            <w:noWrap w:val="0"/>
            <w:vAlign w:val="center"/>
          </w:tcPr>
          <w:p w14:paraId="47178D4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270</w:t>
            </w:r>
          </w:p>
        </w:tc>
      </w:tr>
    </w:tbl>
    <w:p w14:paraId="3C4F408B">
      <w:pPr>
        <w:spacing w:line="360" w:lineRule="auto"/>
        <w:ind w:firstLine="480" w:firstLineChars="200"/>
        <w:rPr>
          <w:rFonts w:hint="eastAsia"/>
          <w:color w:val="auto"/>
          <w:sz w:val="24"/>
        </w:rPr>
      </w:pPr>
      <w:r>
        <w:rPr>
          <w:rFonts w:hint="eastAsia"/>
          <w:color w:val="auto"/>
          <w:sz w:val="24"/>
        </w:rPr>
        <w:t>由上表可以看出：在洒水作业时，工地下风向距离20～150m范围内，大气中TSP为265～1540</w:t>
      </w:r>
      <w:r>
        <w:rPr>
          <w:color w:val="auto"/>
          <w:sz w:val="24"/>
        </w:rPr>
        <w:t>μ</w:t>
      </w:r>
      <w:r>
        <w:rPr>
          <w:rFonts w:hint="eastAsia"/>
          <w:color w:val="auto"/>
          <w:sz w:val="24"/>
        </w:rPr>
        <w:t>g/m</w:t>
      </w:r>
      <w:r>
        <w:rPr>
          <w:rFonts w:hint="eastAsia"/>
          <w:color w:val="auto"/>
          <w:sz w:val="24"/>
          <w:vertAlign w:val="superscript"/>
        </w:rPr>
        <w:t>3</w:t>
      </w:r>
      <w:r>
        <w:rPr>
          <w:rFonts w:hint="eastAsia"/>
          <w:color w:val="auto"/>
          <w:sz w:val="24"/>
        </w:rPr>
        <w:t>，是对照点1.37～5.95倍；工地下风向距离大于200m距离后，大气中TSP为265</w:t>
      </w:r>
      <w:r>
        <w:rPr>
          <w:color w:val="auto"/>
          <w:sz w:val="24"/>
        </w:rPr>
        <w:t>μg/m</w:t>
      </w:r>
      <w:r>
        <w:rPr>
          <w:color w:val="auto"/>
          <w:sz w:val="24"/>
          <w:vertAlign w:val="superscript"/>
        </w:rPr>
        <w:t>3</w:t>
      </w:r>
      <w:r>
        <w:rPr>
          <w:rFonts w:hint="eastAsia"/>
          <w:color w:val="auto"/>
          <w:sz w:val="24"/>
        </w:rPr>
        <w:t>接近对照点；在作业面洒水时，工地下风向距离20～50m时，大气中TSP为554～410</w:t>
      </w:r>
      <w:r>
        <w:rPr>
          <w:color w:val="auto"/>
          <w:sz w:val="24"/>
        </w:rPr>
        <w:t>μg/m</w:t>
      </w:r>
      <w:r>
        <w:rPr>
          <w:color w:val="auto"/>
          <w:sz w:val="24"/>
          <w:vertAlign w:val="superscript"/>
        </w:rPr>
        <w:t>3</w:t>
      </w:r>
      <w:r>
        <w:rPr>
          <w:rFonts w:hint="eastAsia"/>
          <w:color w:val="auto"/>
          <w:sz w:val="24"/>
        </w:rPr>
        <w:t>，是对照点的1.52～2.05倍；工地下风向距离100～150m时，大气中TSP为270～275</w:t>
      </w:r>
      <w:r>
        <w:rPr>
          <w:color w:val="auto"/>
          <w:sz w:val="24"/>
        </w:rPr>
        <w:t>μg/m</w:t>
      </w:r>
      <w:r>
        <w:rPr>
          <w:color w:val="auto"/>
          <w:sz w:val="24"/>
          <w:vertAlign w:val="superscript"/>
        </w:rPr>
        <w:t>3</w:t>
      </w:r>
      <w:r>
        <w:rPr>
          <w:rFonts w:hint="eastAsia"/>
          <w:color w:val="auto"/>
          <w:sz w:val="24"/>
        </w:rPr>
        <w:t>，接近对照点。</w:t>
      </w:r>
    </w:p>
    <w:p w14:paraId="788E4D16">
      <w:pPr>
        <w:spacing w:line="360" w:lineRule="auto"/>
        <w:ind w:firstLine="480" w:firstLineChars="200"/>
        <w:rPr>
          <w:rFonts w:hint="eastAsia"/>
          <w:color w:val="auto"/>
          <w:sz w:val="24"/>
        </w:rPr>
      </w:pPr>
      <w:r>
        <w:rPr>
          <w:rFonts w:hint="eastAsia"/>
          <w:color w:val="auto"/>
          <w:sz w:val="24"/>
        </w:rPr>
        <w:t>从总体上看，无洒水作业时扬尘影响距离约为下风向200m，施工作业面洒水时，其扬尘影响范围可缩短至下风向100m左右。拟建项目要求在土石方开挖时作业面洒水抑尘，可大大减少施工扬尘对其影响。</w:t>
      </w:r>
    </w:p>
    <w:p w14:paraId="70599F41">
      <w:pPr>
        <w:spacing w:line="360" w:lineRule="auto"/>
        <w:ind w:firstLine="480" w:firstLineChars="200"/>
        <w:rPr>
          <w:rFonts w:hint="eastAsia"/>
          <w:color w:val="auto"/>
          <w:sz w:val="24"/>
        </w:rPr>
      </w:pPr>
      <w:r>
        <w:rPr>
          <w:rFonts w:hint="eastAsia"/>
          <w:color w:val="auto"/>
          <w:sz w:val="24"/>
        </w:rPr>
        <w:t>2）车辆行驶扬尘</w:t>
      </w:r>
    </w:p>
    <w:p w14:paraId="7E735DB8">
      <w:pPr>
        <w:spacing w:line="360" w:lineRule="auto"/>
        <w:ind w:firstLine="480" w:firstLineChars="200"/>
        <w:rPr>
          <w:rFonts w:hint="eastAsia"/>
          <w:color w:val="auto"/>
          <w:sz w:val="24"/>
        </w:rPr>
      </w:pPr>
      <w:r>
        <w:rPr>
          <w:rFonts w:hint="eastAsia"/>
          <w:color w:val="auto"/>
          <w:sz w:val="24"/>
        </w:rPr>
        <w:t>在施工过程中，车辆行驶产生的扬尘量占扬尘总量的60%以上。车辆在行驶过程中产生的扬尘，在完全干燥的情况下，车速越快，扬尘量越大；在同样的车速情况下，硬化程度越差、越干燥，扬尘量越大。因此，限制车辆行驶速度以及保持路面的硬化和湿度是减少汽车扬尘的有效手段。</w:t>
      </w:r>
    </w:p>
    <w:p w14:paraId="610B300E">
      <w:pPr>
        <w:spacing w:line="360" w:lineRule="auto"/>
        <w:ind w:firstLine="480" w:firstLineChars="200"/>
        <w:rPr>
          <w:rFonts w:hint="eastAsia"/>
          <w:color w:val="auto"/>
          <w:sz w:val="24"/>
        </w:rPr>
      </w:pPr>
      <w:r>
        <w:rPr>
          <w:rFonts w:hint="eastAsia"/>
          <w:color w:val="auto"/>
          <w:sz w:val="24"/>
        </w:rPr>
        <w:t>如果施工阶段对汽车行驶路面勤洒水（每天4～5次），可以使空气中粉尘量减少70%左右，可以收到很好的降尘效果。扬尘造成的粉尘污染距离可缩小到20～50m范围内，扬尘量可降低30%～80%。因此，限制车辆行驶速度及保持路面清洁是减少汽车行驶道路扬尘的有效手段。</w:t>
      </w:r>
    </w:p>
    <w:p w14:paraId="2144A762">
      <w:pPr>
        <w:spacing w:line="360" w:lineRule="auto"/>
        <w:ind w:firstLine="480" w:firstLineChars="200"/>
        <w:rPr>
          <w:rFonts w:hint="eastAsia"/>
          <w:color w:val="auto"/>
          <w:sz w:val="24"/>
        </w:rPr>
      </w:pPr>
      <w:r>
        <w:rPr>
          <w:rFonts w:hint="eastAsia"/>
          <w:color w:val="auto"/>
          <w:sz w:val="24"/>
        </w:rPr>
        <w:t>3）施工场地物料堆放扬尘</w:t>
      </w:r>
    </w:p>
    <w:p w14:paraId="028FDA98">
      <w:pPr>
        <w:spacing w:line="360" w:lineRule="auto"/>
        <w:ind w:firstLine="480" w:firstLineChars="200"/>
        <w:rPr>
          <w:rFonts w:hint="eastAsia"/>
          <w:color w:val="auto"/>
          <w:sz w:val="24"/>
        </w:rPr>
      </w:pPr>
      <w:r>
        <w:rPr>
          <w:rFonts w:hint="eastAsia"/>
          <w:color w:val="auto"/>
          <w:sz w:val="24"/>
        </w:rPr>
        <w:t>拟建项目施工所需物料直接堆放于施工布置区内，在风力作用下，会产生风力扬尘。一些建筑材料需要露天堆放，一些施工作业点的表层土壤在经过人工开挖后，临时堆放于临时堆土区内，在气候干燥且有风的情况下，会产生大量的扬尘。</w:t>
      </w:r>
    </w:p>
    <w:p w14:paraId="15D4224B">
      <w:pPr>
        <w:spacing w:line="360" w:lineRule="auto"/>
        <w:ind w:firstLine="480" w:firstLineChars="200"/>
        <w:rPr>
          <w:rFonts w:hint="eastAsia"/>
          <w:color w:val="auto"/>
          <w:sz w:val="24"/>
        </w:rPr>
      </w:pPr>
      <w:r>
        <w:rPr>
          <w:rFonts w:hint="eastAsia"/>
          <w:color w:val="auto"/>
          <w:sz w:val="24"/>
        </w:rPr>
        <w:t>起尘量与物料湿度、风速、堆土面积和空气相对湿度等参数均有关，因此，在无法改变空气湿度的情况下应通过设置围挡和遮盖措施降低扬尘，尽量减少施工场地物料大面积散开堆放和缩短堆放时间，对堆放物料或土方表层洒水，通过以上措施可有效降低扬尘的产生。</w:t>
      </w:r>
    </w:p>
    <w:p w14:paraId="75EA5E68">
      <w:pPr>
        <w:spacing w:line="360" w:lineRule="auto"/>
        <w:ind w:firstLine="480" w:firstLineChars="200"/>
        <w:rPr>
          <w:rFonts w:hint="eastAsia"/>
          <w:color w:val="auto"/>
          <w:sz w:val="24"/>
        </w:rPr>
      </w:pPr>
      <w:r>
        <w:rPr>
          <w:rFonts w:hint="eastAsia"/>
          <w:color w:val="auto"/>
          <w:sz w:val="24"/>
        </w:rPr>
        <w:t>根据《安徽省大气污染防治条例》、《关于印发&lt;安徽省建筑工程施工和预拌混凝土生产扬尘污染防治标准（试行）&gt;的通知》、《安徽省大气污染防治条例》（2018修订）、《淮南市扬尘污染防治管理办法》等要求，拟建项目建设单位应采取以下污染防治措施降低施工扬尘污染：</w:t>
      </w:r>
    </w:p>
    <w:p w14:paraId="669351C8">
      <w:pPr>
        <w:spacing w:line="360" w:lineRule="auto"/>
        <w:ind w:firstLine="480" w:firstLineChars="200"/>
        <w:rPr>
          <w:rFonts w:hint="eastAsia"/>
          <w:color w:val="auto"/>
          <w:sz w:val="24"/>
        </w:rPr>
      </w:pPr>
      <w:r>
        <w:rPr>
          <w:rFonts w:hint="eastAsia"/>
          <w:color w:val="auto"/>
          <w:sz w:val="24"/>
        </w:rPr>
        <w:t>①施工现场扬尘污染防治应做到“六个百分之百”：施工工地周边100%围挡、物料堆放100%覆盖、施工现场地面100%硬化、土方开挖100%湿法作业、出入车辆100%清洗、渣土车辆100%密闭运输。</w:t>
      </w:r>
    </w:p>
    <w:p w14:paraId="3E28D3A1">
      <w:pPr>
        <w:spacing w:line="360" w:lineRule="auto"/>
        <w:ind w:firstLine="480" w:firstLineChars="200"/>
        <w:rPr>
          <w:rFonts w:hint="eastAsia"/>
          <w:color w:val="auto"/>
          <w:sz w:val="24"/>
        </w:rPr>
      </w:pPr>
      <w:r>
        <w:rPr>
          <w:rFonts w:hint="eastAsia"/>
          <w:color w:val="auto"/>
          <w:sz w:val="24"/>
        </w:rPr>
        <w:t>②施工场地施工时设置高度不得低于2.5m的围挡，在施工时，路面应随时洒水，减少扬尘污染，水域应设置渣土收集围栏，并保证渣土在施工完成后三日内清运完毕。</w:t>
      </w:r>
    </w:p>
    <w:p w14:paraId="5C92D022">
      <w:pPr>
        <w:spacing w:line="360" w:lineRule="auto"/>
        <w:ind w:firstLine="480" w:firstLineChars="200"/>
        <w:rPr>
          <w:rFonts w:hint="eastAsia"/>
          <w:color w:val="auto"/>
          <w:sz w:val="24"/>
        </w:rPr>
      </w:pPr>
      <w:r>
        <w:rPr>
          <w:rFonts w:hint="eastAsia"/>
          <w:color w:val="auto"/>
          <w:sz w:val="24"/>
        </w:rPr>
        <w:t>③安装渣土运输车辆GPS定位系统，土方运输必须使用密闭式车辆，施工现场出入口处需混凝土硬化，并设置冲洗车辆的设施，出场时必须将车辆清洗干净，不得将泥、沙带出现场，同时建立值班保洁制度，落实专人24h值班，负责车辆出门前的清除冲洗工作。</w:t>
      </w:r>
    </w:p>
    <w:p w14:paraId="0A0A6CCA">
      <w:pPr>
        <w:spacing w:line="360" w:lineRule="auto"/>
        <w:ind w:firstLine="480" w:firstLineChars="200"/>
        <w:rPr>
          <w:rFonts w:hint="eastAsia"/>
          <w:color w:val="auto"/>
          <w:sz w:val="24"/>
        </w:rPr>
      </w:pPr>
      <w:r>
        <w:rPr>
          <w:rFonts w:hint="eastAsia"/>
          <w:color w:val="auto"/>
          <w:sz w:val="24"/>
        </w:rPr>
        <w:t>④安排专门洒水车在运输路线定时来回洒水抑尘。</w:t>
      </w:r>
    </w:p>
    <w:p w14:paraId="7071564F">
      <w:pPr>
        <w:spacing w:line="360" w:lineRule="auto"/>
        <w:ind w:firstLine="480" w:firstLineChars="200"/>
        <w:rPr>
          <w:rFonts w:hint="eastAsia"/>
          <w:color w:val="auto"/>
          <w:sz w:val="24"/>
        </w:rPr>
      </w:pPr>
      <w:r>
        <w:rPr>
          <w:rFonts w:hint="eastAsia"/>
          <w:color w:val="auto"/>
          <w:sz w:val="24"/>
        </w:rPr>
        <w:t>⑤施工现场土方开挖后尽快完成回填，不能及时回填的场地，采取覆盖等防尘措施，物料临时堆场物料（砂、石灰、水泥等）要集中</w:t>
      </w:r>
      <w:r>
        <w:rPr>
          <w:rFonts w:hint="eastAsia"/>
          <w:color w:val="auto"/>
          <w:sz w:val="24"/>
          <w:lang w:eastAsia="zh-CN"/>
        </w:rPr>
        <w:t>堆放</w:t>
      </w:r>
      <w:r>
        <w:rPr>
          <w:rFonts w:hint="eastAsia"/>
          <w:color w:val="auto"/>
          <w:sz w:val="24"/>
        </w:rPr>
        <w:t>，采取覆盖等措施。</w:t>
      </w:r>
    </w:p>
    <w:p w14:paraId="78BA1888">
      <w:pPr>
        <w:spacing w:line="360" w:lineRule="auto"/>
        <w:ind w:firstLine="480" w:firstLineChars="200"/>
        <w:rPr>
          <w:rFonts w:hint="eastAsia"/>
          <w:color w:val="auto"/>
          <w:sz w:val="24"/>
        </w:rPr>
      </w:pPr>
      <w:r>
        <w:rPr>
          <w:rFonts w:hint="eastAsia"/>
          <w:color w:val="auto"/>
          <w:sz w:val="24"/>
        </w:rPr>
        <w:t>⑥施工过</w:t>
      </w:r>
      <w:r>
        <w:rPr>
          <w:rFonts w:hint="eastAsia"/>
          <w:color w:val="auto"/>
          <w:sz w:val="24"/>
          <w:lang w:eastAsia="zh-CN"/>
        </w:rPr>
        <w:t>程中</w:t>
      </w:r>
      <w:r>
        <w:rPr>
          <w:rFonts w:hint="eastAsia"/>
          <w:color w:val="auto"/>
          <w:sz w:val="24"/>
        </w:rPr>
        <w:t>产生的建筑垃圾与开挖土方及时运往弃土场；弃土场及抛泥区进行定期洒水，防止风吹扬尘，或者使用薄膜覆盖防风和降雨。</w:t>
      </w:r>
    </w:p>
    <w:p w14:paraId="78C994DF">
      <w:pPr>
        <w:spacing w:line="360" w:lineRule="auto"/>
        <w:ind w:firstLine="480" w:firstLineChars="200"/>
        <w:rPr>
          <w:rFonts w:hint="eastAsia"/>
          <w:color w:val="auto"/>
          <w:sz w:val="24"/>
        </w:rPr>
      </w:pPr>
      <w:r>
        <w:rPr>
          <w:rFonts w:hint="eastAsia"/>
          <w:color w:val="auto"/>
          <w:sz w:val="24"/>
        </w:rPr>
        <w:t>⑦土方和砂石等材料在运输过程中要用挡板和</w:t>
      </w:r>
      <w:r>
        <w:rPr>
          <w:rFonts w:hint="eastAsia"/>
          <w:color w:val="auto"/>
          <w:sz w:val="24"/>
          <w:lang w:eastAsia="zh-CN"/>
        </w:rPr>
        <w:t>篷布</w:t>
      </w:r>
      <w:r>
        <w:rPr>
          <w:rFonts w:hint="eastAsia"/>
          <w:color w:val="auto"/>
          <w:sz w:val="24"/>
        </w:rPr>
        <w:t>封闭，车辆不应装载过满，以免在运输途中震动洒落。</w:t>
      </w:r>
    </w:p>
    <w:p w14:paraId="52BFEF33">
      <w:pPr>
        <w:spacing w:line="360" w:lineRule="auto"/>
        <w:ind w:firstLine="480" w:firstLineChars="200"/>
        <w:rPr>
          <w:rFonts w:hint="eastAsia"/>
          <w:color w:val="auto"/>
          <w:sz w:val="24"/>
        </w:rPr>
      </w:pPr>
      <w:r>
        <w:rPr>
          <w:rFonts w:hint="eastAsia"/>
          <w:color w:val="auto"/>
          <w:sz w:val="24"/>
        </w:rPr>
        <w:t>⑧遇有四级风以上天气不得进行土方开挖、回填、转运等其他可能产生扬尘污染的施工。</w:t>
      </w:r>
    </w:p>
    <w:p w14:paraId="03CB96C8">
      <w:pPr>
        <w:spacing w:line="360" w:lineRule="auto"/>
        <w:ind w:firstLine="480" w:firstLineChars="200"/>
        <w:rPr>
          <w:rFonts w:hint="eastAsia"/>
          <w:color w:val="auto"/>
          <w:sz w:val="24"/>
        </w:rPr>
      </w:pPr>
      <w:r>
        <w:rPr>
          <w:rFonts w:hint="eastAsia"/>
          <w:color w:val="auto"/>
          <w:sz w:val="24"/>
        </w:rPr>
        <w:t>⑨弃土场及抛泥区等临时性用地使用完毕后应尽快恢复植被。</w:t>
      </w:r>
    </w:p>
    <w:p w14:paraId="69D4156D">
      <w:pPr>
        <w:spacing w:line="360" w:lineRule="auto"/>
        <w:ind w:firstLine="480" w:firstLineChars="200"/>
        <w:rPr>
          <w:rFonts w:hint="eastAsia"/>
          <w:color w:val="auto"/>
          <w:sz w:val="24"/>
        </w:rPr>
      </w:pPr>
      <w:r>
        <w:rPr>
          <w:rFonts w:hint="eastAsia"/>
          <w:color w:val="auto"/>
          <w:sz w:val="24"/>
        </w:rPr>
        <w:t>（2）施工机械燃油废气对环境空气的影响</w:t>
      </w:r>
    </w:p>
    <w:p w14:paraId="4B81BE0A">
      <w:pPr>
        <w:spacing w:line="360" w:lineRule="auto"/>
        <w:ind w:firstLine="480" w:firstLineChars="200"/>
        <w:rPr>
          <w:rFonts w:hint="eastAsia"/>
          <w:color w:val="auto"/>
          <w:sz w:val="24"/>
        </w:rPr>
      </w:pPr>
      <w:r>
        <w:rPr>
          <w:rFonts w:hint="eastAsia"/>
          <w:color w:val="auto"/>
          <w:sz w:val="24"/>
        </w:rPr>
        <w:t>由于运输及一些施工设备运行燃油排放的污染物量较小，这些污染物排放具有流动、扩散的特点，且施工区大气污染物扩散稀释条件较好，不会对</w:t>
      </w:r>
      <w:r>
        <w:rPr>
          <w:rFonts w:hint="eastAsia"/>
          <w:color w:val="auto"/>
          <w:sz w:val="24"/>
          <w:lang w:eastAsia="zh-CN"/>
        </w:rPr>
        <w:t>环境空气质量</w:t>
      </w:r>
      <w:r>
        <w:rPr>
          <w:rFonts w:hint="eastAsia"/>
          <w:color w:val="auto"/>
          <w:sz w:val="24"/>
        </w:rPr>
        <w:t>及功能造成严重的影响。根据同类项目施工现场监测数据，在距离现场50m处CO、NO</w:t>
      </w:r>
      <w:r>
        <w:rPr>
          <w:rFonts w:hint="eastAsia"/>
          <w:color w:val="auto"/>
          <w:sz w:val="24"/>
          <w:vertAlign w:val="subscript"/>
        </w:rPr>
        <w:t>2</w:t>
      </w:r>
      <w:r>
        <w:rPr>
          <w:rFonts w:hint="eastAsia"/>
          <w:color w:val="auto"/>
          <w:sz w:val="24"/>
        </w:rPr>
        <w:t>小时浓度分别为0.20mg/m</w:t>
      </w:r>
      <w:r>
        <w:rPr>
          <w:rFonts w:hint="eastAsia"/>
          <w:color w:val="auto"/>
          <w:sz w:val="24"/>
          <w:vertAlign w:val="superscript"/>
        </w:rPr>
        <w:t>3</w:t>
      </w:r>
      <w:r>
        <w:rPr>
          <w:rFonts w:hint="eastAsia"/>
          <w:color w:val="auto"/>
          <w:sz w:val="24"/>
        </w:rPr>
        <w:t>、0.62mg/m</w:t>
      </w:r>
      <w:r>
        <w:rPr>
          <w:rFonts w:hint="eastAsia"/>
          <w:color w:val="auto"/>
          <w:sz w:val="24"/>
          <w:vertAlign w:val="superscript"/>
        </w:rPr>
        <w:t>3</w:t>
      </w:r>
      <w:r>
        <w:rPr>
          <w:rFonts w:hint="eastAsia"/>
          <w:color w:val="auto"/>
          <w:sz w:val="24"/>
        </w:rPr>
        <w:t>，可以满足大气二级标准要求。</w:t>
      </w:r>
    </w:p>
    <w:p w14:paraId="6D31619B">
      <w:pPr>
        <w:spacing w:line="360" w:lineRule="auto"/>
        <w:ind w:firstLine="480" w:firstLineChars="200"/>
        <w:rPr>
          <w:rFonts w:hint="eastAsia"/>
          <w:color w:val="auto"/>
          <w:sz w:val="24"/>
        </w:rPr>
      </w:pPr>
      <w:r>
        <w:rPr>
          <w:rFonts w:hint="eastAsia"/>
          <w:color w:val="auto"/>
          <w:sz w:val="24"/>
        </w:rPr>
        <w:t>（3）抛泥区恶臭影响</w:t>
      </w:r>
    </w:p>
    <w:p w14:paraId="1593B959">
      <w:pPr>
        <w:spacing w:line="360" w:lineRule="auto"/>
        <w:ind w:firstLine="480" w:firstLineChars="200"/>
        <w:rPr>
          <w:rFonts w:hint="eastAsia"/>
          <w:color w:val="auto"/>
          <w:sz w:val="24"/>
        </w:rPr>
      </w:pPr>
      <w:r>
        <w:rPr>
          <w:rFonts w:hint="eastAsia"/>
          <w:color w:val="auto"/>
          <w:sz w:val="24"/>
        </w:rPr>
        <w:t>码头工程水下疏浚土方回填至抛泥区中沉淀干化，抛泥区位于项目区西北侧，抛泥区（需设置围堰）占地面积约为</w:t>
      </w:r>
      <w:r>
        <w:rPr>
          <w:color w:val="auto"/>
          <w:sz w:val="24"/>
        </w:rPr>
        <w:t>1000</w:t>
      </w:r>
      <w:r>
        <w:rPr>
          <w:rFonts w:hint="eastAsia"/>
          <w:color w:val="auto"/>
          <w:sz w:val="24"/>
        </w:rPr>
        <w:t>m</w:t>
      </w:r>
      <w:r>
        <w:rPr>
          <w:rFonts w:hint="eastAsia"/>
          <w:color w:val="auto"/>
          <w:sz w:val="24"/>
          <w:vertAlign w:val="superscript"/>
        </w:rPr>
        <w:t>2</w:t>
      </w:r>
      <w:r>
        <w:rPr>
          <w:rFonts w:hint="eastAsia"/>
          <w:color w:val="auto"/>
          <w:sz w:val="24"/>
        </w:rPr>
        <w:t>，容积为</w:t>
      </w:r>
      <w:r>
        <w:rPr>
          <w:color w:val="auto"/>
          <w:sz w:val="24"/>
        </w:rPr>
        <w:t>2562</w:t>
      </w:r>
      <w:r>
        <w:rPr>
          <w:rFonts w:hint="eastAsia"/>
          <w:color w:val="auto"/>
          <w:sz w:val="24"/>
        </w:rPr>
        <w:t>m</w:t>
      </w:r>
      <w:r>
        <w:rPr>
          <w:rFonts w:hint="eastAsia"/>
          <w:color w:val="auto"/>
          <w:sz w:val="24"/>
          <w:vertAlign w:val="superscript"/>
        </w:rPr>
        <w:t>3</w:t>
      </w:r>
      <w:r>
        <w:rPr>
          <w:rFonts w:hint="eastAsia"/>
          <w:color w:val="auto"/>
          <w:sz w:val="24"/>
        </w:rPr>
        <w:t>。本项目水下疏浚直接采取挖泥船通过管道输送至抛泥区，抛泥区设置余水收集沉淀池</w:t>
      </w:r>
      <w:r>
        <w:rPr>
          <w:color w:val="auto"/>
          <w:sz w:val="24"/>
        </w:rPr>
        <w:t>3</w:t>
      </w:r>
      <w:r>
        <w:rPr>
          <w:rFonts w:hint="eastAsia"/>
          <w:color w:val="auto"/>
          <w:sz w:val="24"/>
        </w:rPr>
        <w:t>00m</w:t>
      </w:r>
      <w:r>
        <w:rPr>
          <w:rFonts w:hint="eastAsia"/>
          <w:color w:val="auto"/>
          <w:sz w:val="24"/>
          <w:vertAlign w:val="superscript"/>
        </w:rPr>
        <w:t>3</w:t>
      </w:r>
      <w:r>
        <w:rPr>
          <w:rFonts w:hint="eastAsia"/>
          <w:color w:val="auto"/>
          <w:sz w:val="24"/>
        </w:rPr>
        <w:t>，对抛泥余水进行处理，施工结束后抛泥区进行复垦。疏浚底泥在抛泥区堆存时会对周边环境产生恶臭影响，主要的影响分析如下：</w:t>
      </w:r>
    </w:p>
    <w:p w14:paraId="101F6D26">
      <w:pPr>
        <w:spacing w:line="360" w:lineRule="auto"/>
        <w:ind w:firstLine="480" w:firstLineChars="200"/>
        <w:rPr>
          <w:rFonts w:hint="eastAsia"/>
          <w:color w:val="auto"/>
          <w:sz w:val="24"/>
        </w:rPr>
      </w:pPr>
      <w:r>
        <w:rPr>
          <w:rFonts w:hint="eastAsia"/>
          <w:color w:val="auto"/>
          <w:sz w:val="24"/>
        </w:rPr>
        <w:t>1）根据底泥检测，淮河的底泥污染较轻。项目所在地淮河段水质达到《地表水环境质量标准》（GB3838-2002）</w:t>
      </w:r>
      <w:r>
        <w:rPr>
          <w:color w:val="auto"/>
          <w:sz w:val="24"/>
        </w:rPr>
        <w:fldChar w:fldCharType="begin"/>
      </w:r>
      <w:r>
        <w:rPr>
          <w:color w:val="auto"/>
          <w:sz w:val="24"/>
        </w:rPr>
        <w:instrText xml:space="preserve"> </w:instrText>
      </w:r>
      <w:r>
        <w:rPr>
          <w:rFonts w:hint="eastAsia"/>
          <w:color w:val="auto"/>
          <w:sz w:val="24"/>
        </w:rPr>
        <w:instrText xml:space="preserve">= 3 \* ROMAN</w:instrText>
      </w:r>
      <w:r>
        <w:rPr>
          <w:color w:val="auto"/>
          <w:sz w:val="24"/>
        </w:rPr>
        <w:instrText xml:space="preserve"> </w:instrText>
      </w:r>
      <w:r>
        <w:rPr>
          <w:color w:val="auto"/>
          <w:sz w:val="24"/>
        </w:rPr>
        <w:fldChar w:fldCharType="separate"/>
      </w:r>
      <w:r>
        <w:rPr>
          <w:color w:val="auto"/>
          <w:sz w:val="24"/>
        </w:rPr>
        <w:t>III</w:t>
      </w:r>
      <w:r>
        <w:rPr>
          <w:color w:val="auto"/>
          <w:sz w:val="24"/>
        </w:rPr>
        <w:fldChar w:fldCharType="end"/>
      </w:r>
      <w:r>
        <w:rPr>
          <w:rFonts w:hint="eastAsia"/>
          <w:color w:val="auto"/>
          <w:sz w:val="24"/>
        </w:rPr>
        <w:t>类标准要求，施工季选在冬季低温时段，淤泥生物活动强度减缓，恶臭气体较少。</w:t>
      </w:r>
    </w:p>
    <w:p w14:paraId="25E6BF49">
      <w:pPr>
        <w:spacing w:line="360" w:lineRule="auto"/>
        <w:ind w:firstLine="480" w:firstLineChars="200"/>
        <w:rPr>
          <w:color w:val="auto"/>
        </w:rPr>
      </w:pPr>
      <w:r>
        <w:rPr>
          <w:rFonts w:hint="eastAsia"/>
          <w:color w:val="auto"/>
          <w:sz w:val="24"/>
        </w:rPr>
        <w:t>2）由于淮河航道近几年刚完成疏浚工作，淮河底泥的腐殖质含量较低，类比国内航道疏浚底泥恶臭数据，底泥恶臭强度约为1～2级，影响范围一般在30m以内，有风时，下风向影响范围稍大一些。50m范围外底泥几乎感觉不到恶臭气味。本项目抛泥区周边</w:t>
      </w:r>
      <w:r>
        <w:rPr>
          <w:color w:val="auto"/>
          <w:sz w:val="24"/>
        </w:rPr>
        <w:t>50</w:t>
      </w:r>
      <w:r>
        <w:rPr>
          <w:rFonts w:hint="eastAsia"/>
          <w:color w:val="auto"/>
          <w:sz w:val="24"/>
        </w:rPr>
        <w:t>m范围内不存在居民区、学校等环境敏感目标；底泥恶臭对外环境影响很小。</w:t>
      </w:r>
    </w:p>
    <w:p w14:paraId="332403AD">
      <w:pPr>
        <w:pStyle w:val="256"/>
        <w:spacing w:line="360" w:lineRule="auto"/>
        <w:ind w:firstLine="0" w:firstLineChars="0"/>
        <w:jc w:val="center"/>
        <w:rPr>
          <w:color w:val="auto"/>
        </w:rPr>
        <w:sectPr>
          <w:footerReference r:id="rId15" w:type="default"/>
          <w:pgSz w:w="11906" w:h="16838"/>
          <w:pgMar w:top="1418" w:right="1418" w:bottom="1418" w:left="1418" w:header="851" w:footer="850" w:gutter="0"/>
          <w:pgBorders>
            <w:top w:val="none" w:sz="0" w:space="0"/>
            <w:left w:val="none" w:sz="0" w:space="0"/>
            <w:bottom w:val="none" w:sz="0" w:space="0"/>
            <w:right w:val="none" w:sz="0" w:space="0"/>
          </w:pgBorders>
          <w:cols w:space="720" w:num="1"/>
          <w:docGrid w:type="lines" w:linePitch="314" w:charSpace="0"/>
        </w:sectPr>
      </w:pPr>
    </w:p>
    <w:p w14:paraId="37FB3F54">
      <w:pPr>
        <w:pStyle w:val="4"/>
        <w:numPr>
          <w:ilvl w:val="2"/>
          <w:numId w:val="0"/>
        </w:numPr>
        <w:rPr>
          <w:color w:val="auto"/>
        </w:rPr>
      </w:pPr>
      <w:r>
        <w:rPr>
          <w:rFonts w:hint="eastAsia"/>
          <w:color w:val="auto"/>
        </w:rPr>
        <w:t>5.1.2施工</w:t>
      </w:r>
      <w:r>
        <w:rPr>
          <w:color w:val="auto"/>
        </w:rPr>
        <w:t>期水环境影响分析</w:t>
      </w:r>
    </w:p>
    <w:p w14:paraId="1E13B91C">
      <w:pPr>
        <w:spacing w:line="360" w:lineRule="auto"/>
        <w:ind w:firstLine="480" w:firstLineChars="200"/>
        <w:rPr>
          <w:rFonts w:hint="eastAsia"/>
          <w:color w:val="auto"/>
          <w:sz w:val="24"/>
        </w:rPr>
      </w:pPr>
      <w:r>
        <w:rPr>
          <w:rFonts w:hint="eastAsia"/>
          <w:color w:val="auto"/>
          <w:sz w:val="24"/>
        </w:rPr>
        <w:t>项目施工期对水域环境造成的污染主要为施工疏浚开挖过程中引起水域悬浮物含量增加，水下疏浚土方回填至抛泥区后干化脱水而产生的余水、码头桩基施工引起水域悬浮物含量增加，施工机械冲洗水、施工生产废水等。</w:t>
      </w:r>
    </w:p>
    <w:p w14:paraId="37D115B2">
      <w:pPr>
        <w:spacing w:line="360" w:lineRule="auto"/>
        <w:ind w:firstLine="480" w:firstLineChars="200"/>
        <w:rPr>
          <w:rFonts w:hint="eastAsia"/>
          <w:color w:val="auto"/>
          <w:sz w:val="24"/>
        </w:rPr>
      </w:pPr>
      <w:r>
        <w:rPr>
          <w:rFonts w:hint="eastAsia"/>
          <w:color w:val="auto"/>
          <w:sz w:val="24"/>
        </w:rPr>
        <w:t>（1）水下疏浚作业对水体扰动的影响</w:t>
      </w:r>
    </w:p>
    <w:p w14:paraId="3D1B100B">
      <w:pPr>
        <w:spacing w:line="360" w:lineRule="auto"/>
        <w:ind w:firstLine="480" w:firstLineChars="200"/>
        <w:rPr>
          <w:rFonts w:hint="eastAsia"/>
          <w:color w:val="auto"/>
          <w:sz w:val="24"/>
        </w:rPr>
      </w:pPr>
      <w:r>
        <w:rPr>
          <w:rFonts w:hint="eastAsia"/>
          <w:color w:val="auto"/>
          <w:sz w:val="24"/>
        </w:rPr>
        <w:t>根据工程设计资料，本项目码头区需要通过切滩开挖，码头前沿停泊水域局部水深不满足要求，需进行疏浚，水下疏浚淤泥量约为</w:t>
      </w:r>
      <w:r>
        <w:rPr>
          <w:color w:val="auto"/>
          <w:sz w:val="24"/>
        </w:rPr>
        <w:t>49060</w:t>
      </w:r>
      <w:r>
        <w:rPr>
          <w:rFonts w:hint="eastAsia"/>
          <w:color w:val="auto"/>
          <w:sz w:val="24"/>
        </w:rPr>
        <w:t>m</w:t>
      </w:r>
      <w:r>
        <w:rPr>
          <w:rFonts w:hint="eastAsia"/>
          <w:color w:val="auto"/>
          <w:sz w:val="24"/>
          <w:vertAlign w:val="superscript"/>
        </w:rPr>
        <w:t>3</w:t>
      </w:r>
      <w:r>
        <w:rPr>
          <w:rFonts w:hint="eastAsia"/>
          <w:color w:val="auto"/>
          <w:sz w:val="24"/>
        </w:rPr>
        <w:t>。由于</w:t>
      </w:r>
      <w:r>
        <w:rPr>
          <w:color w:val="auto"/>
          <w:sz w:val="24"/>
        </w:rPr>
        <w:t>挖泥</w:t>
      </w:r>
      <w:r>
        <w:rPr>
          <w:rFonts w:hint="eastAsia"/>
          <w:color w:val="auto"/>
          <w:sz w:val="24"/>
        </w:rPr>
        <w:t>可引起局部水域污染底泥的再悬浮与扩散，类比淮河干流航道（三河尖至蚌埠闸段）整治工程（二期）项目水下疏浚等疏挖作业的实例，以挖泥船为中心约15m范围内的水域SS浓度明显增高，N、P污染物的释放速率较静止状态提高了1～2倍，而100m范围以外的区域水环境影响不明显。施工悬浮物沉降速度较快，一般在施工作业停止2h后下游水质基本可以恢复到原有水平。</w:t>
      </w:r>
    </w:p>
    <w:p w14:paraId="120586D6">
      <w:pPr>
        <w:spacing w:line="360" w:lineRule="auto"/>
        <w:ind w:firstLine="480" w:firstLineChars="200"/>
        <w:rPr>
          <w:rFonts w:hint="eastAsia"/>
          <w:color w:val="auto"/>
          <w:sz w:val="24"/>
        </w:rPr>
      </w:pPr>
      <w:r>
        <w:rPr>
          <w:rFonts w:hint="eastAsia"/>
          <w:color w:val="auto"/>
          <w:sz w:val="24"/>
        </w:rPr>
        <w:t>综上所述，疏浚作业将造成淮河局部水域悬浮物浓度增加，对局部水环境、生态环境有一定的污染影响，但是影响范围和影响程度不大，且本项目直接的河道疏浚施工土方量较小，施工持续时间较短，对淮河的水质影响较为有限，在疏浚施工结束后即可消除施工影响。项目疏浚作业不会造成饮用水源的水质影响，对淮河水生生态影响也很小。</w:t>
      </w:r>
    </w:p>
    <w:p w14:paraId="74F6B951">
      <w:pPr>
        <w:spacing w:line="360" w:lineRule="auto"/>
        <w:ind w:firstLine="480" w:firstLineChars="200"/>
        <w:rPr>
          <w:rFonts w:hint="eastAsia"/>
          <w:color w:val="auto"/>
          <w:sz w:val="24"/>
        </w:rPr>
      </w:pPr>
      <w:r>
        <w:rPr>
          <w:rFonts w:hint="eastAsia"/>
          <w:color w:val="auto"/>
          <w:sz w:val="24"/>
        </w:rPr>
        <w:t>（2）抛泥区底泥余水对水环境的影响</w:t>
      </w:r>
    </w:p>
    <w:p w14:paraId="0766D74A">
      <w:pPr>
        <w:spacing w:line="360" w:lineRule="auto"/>
        <w:ind w:firstLine="480" w:firstLineChars="200"/>
        <w:rPr>
          <w:rFonts w:hint="eastAsia"/>
          <w:color w:val="auto"/>
          <w:sz w:val="24"/>
        </w:rPr>
      </w:pPr>
      <w:r>
        <w:rPr>
          <w:rFonts w:hint="eastAsia"/>
          <w:color w:val="auto"/>
          <w:sz w:val="24"/>
        </w:rPr>
        <w:t>疏浚底泥的抛泥区余水中污染物主要来源于淮河水体中所含污染物和底泥颗粒中所富集的N、P污染物，因此施工中只要控制余水中悬浮物排放浓度，就能有效</w:t>
      </w:r>
      <w:r>
        <w:rPr>
          <w:rFonts w:hint="eastAsia"/>
          <w:color w:val="auto"/>
          <w:sz w:val="24"/>
          <w:lang w:eastAsia="zh-CN"/>
        </w:rPr>
        <w:t>控制其他</w:t>
      </w:r>
      <w:r>
        <w:rPr>
          <w:rFonts w:hint="eastAsia"/>
          <w:color w:val="auto"/>
          <w:sz w:val="24"/>
        </w:rPr>
        <w:t>污染物排放浓度。</w:t>
      </w:r>
      <w:r>
        <w:rPr>
          <w:rFonts w:hint="eastAsia"/>
          <w:color w:val="auto"/>
          <w:sz w:val="24"/>
          <w:lang w:eastAsia="zh-CN"/>
        </w:rPr>
        <w:t>根据本次评价淮河底泥环境现状监测评价</w:t>
      </w:r>
      <w:r>
        <w:rPr>
          <w:rFonts w:hint="eastAsia"/>
          <w:color w:val="auto"/>
          <w:sz w:val="24"/>
        </w:rPr>
        <w:t>，淮河底泥中各污染物浓度均能够达到</w:t>
      </w:r>
      <w:r>
        <w:rPr>
          <w:color w:val="auto"/>
          <w:sz w:val="24"/>
        </w:rPr>
        <w:t xml:space="preserve">《土壤环境质量 </w:t>
      </w:r>
      <w:r>
        <w:rPr>
          <w:rFonts w:hint="eastAsia"/>
          <w:color w:val="auto"/>
          <w:sz w:val="24"/>
        </w:rPr>
        <w:t>农</w:t>
      </w:r>
      <w:r>
        <w:rPr>
          <w:color w:val="auto"/>
          <w:sz w:val="24"/>
        </w:rPr>
        <w:t>用地土壤污染风险管控标准（试行）》(GB15618-2018)</w:t>
      </w:r>
      <w:r>
        <w:rPr>
          <w:rFonts w:hint="eastAsia"/>
          <w:color w:val="auto"/>
          <w:sz w:val="24"/>
        </w:rPr>
        <w:t>风险筛选值要求，抛泥区底泥的各类污染物不会对土壤和地下水造成明显不利影响。</w:t>
      </w:r>
    </w:p>
    <w:p w14:paraId="6769AE85">
      <w:pPr>
        <w:spacing w:line="360" w:lineRule="auto"/>
        <w:ind w:firstLine="480" w:firstLineChars="200"/>
        <w:rPr>
          <w:rFonts w:hint="eastAsia"/>
          <w:color w:val="auto"/>
          <w:sz w:val="24"/>
        </w:rPr>
      </w:pPr>
      <w:r>
        <w:rPr>
          <w:rFonts w:hint="eastAsia"/>
          <w:color w:val="auto"/>
          <w:sz w:val="24"/>
        </w:rPr>
        <w:t>抛泥区余水中主要污染因子是悬浮物、N和P（N和P主要附着在悬浮物上）。本项目疏浚施工天数约为</w:t>
      </w:r>
      <w:r>
        <w:rPr>
          <w:color w:val="auto"/>
          <w:sz w:val="24"/>
        </w:rPr>
        <w:t>90</w:t>
      </w:r>
      <w:r>
        <w:rPr>
          <w:rFonts w:hint="eastAsia"/>
          <w:color w:val="auto"/>
          <w:sz w:val="24"/>
        </w:rPr>
        <w:t>天，每天工作8小时，平均疏浚量约为</w:t>
      </w:r>
      <w:r>
        <w:rPr>
          <w:color w:val="auto"/>
          <w:sz w:val="24"/>
        </w:rPr>
        <w:t>69</w:t>
      </w:r>
      <w:r>
        <w:rPr>
          <w:rFonts w:hint="eastAsia"/>
          <w:color w:val="auto"/>
          <w:sz w:val="24"/>
        </w:rPr>
        <w:t>m</w:t>
      </w:r>
      <w:r>
        <w:rPr>
          <w:rFonts w:hint="eastAsia"/>
          <w:color w:val="auto"/>
          <w:sz w:val="24"/>
          <w:vertAlign w:val="superscript"/>
        </w:rPr>
        <w:t>3</w:t>
      </w:r>
      <w:r>
        <w:rPr>
          <w:rFonts w:hint="eastAsia"/>
          <w:color w:val="auto"/>
          <w:sz w:val="24"/>
        </w:rPr>
        <w:t>/h，淤泥中会有一定余水产生，会使淤泥成为泥浆水，抛泥区外围设置的沉淀池容积约为</w:t>
      </w:r>
      <w:r>
        <w:rPr>
          <w:color w:val="auto"/>
          <w:sz w:val="24"/>
        </w:rPr>
        <w:t>3</w:t>
      </w:r>
      <w:r>
        <w:rPr>
          <w:rFonts w:hint="eastAsia"/>
          <w:color w:val="auto"/>
          <w:sz w:val="24"/>
        </w:rPr>
        <w:t>00m</w:t>
      </w:r>
      <w:r>
        <w:rPr>
          <w:rFonts w:hint="eastAsia"/>
          <w:color w:val="auto"/>
          <w:sz w:val="24"/>
          <w:vertAlign w:val="superscript"/>
        </w:rPr>
        <w:t>3</w:t>
      </w:r>
      <w:r>
        <w:rPr>
          <w:rFonts w:hint="eastAsia"/>
          <w:color w:val="auto"/>
          <w:sz w:val="24"/>
        </w:rPr>
        <w:t>，淤泥水在沉淀池水力停留时间可以达到12h，完全能够满足淤泥沉淀需要。回填初期90%的余水经过自然沉淀后可去除</w:t>
      </w:r>
      <w:r>
        <w:rPr>
          <w:rFonts w:hint="eastAsia"/>
          <w:color w:val="auto"/>
          <w:sz w:val="24"/>
          <w:lang w:eastAsia="zh-CN"/>
        </w:rPr>
        <w:t>大部分</w:t>
      </w:r>
      <w:r>
        <w:rPr>
          <w:rFonts w:hint="eastAsia"/>
          <w:color w:val="auto"/>
          <w:sz w:val="24"/>
        </w:rPr>
        <w:t>悬浮物从而将N和P也一并去除，抛泥区初期余水经自然沉淀，后期10%余水可采取加药混凝处理后排放可满足《污水综合排放标准》中的一级排放标准要求（余水中SS排放浓度按70mg/L计），抛泥区余水经自然沉淀达标后利用PVC管道排入淮河，对排入口下游100m范围内水体中悬浮物有少量增加，排入口处增加约13.6mg/L，排入口下游悬浮物随着距离的增加而降低，在约100m以外基本上恢复为本底水平，随着本项目疏浚工程的完成，抛泥区余水对淮河水质的影响将消失，总体来说抛泥区余水对淮河水质影响较小。</w:t>
      </w:r>
    </w:p>
    <w:p w14:paraId="5C3F2365">
      <w:pPr>
        <w:spacing w:line="360" w:lineRule="auto"/>
        <w:ind w:firstLine="480" w:firstLineChars="200"/>
        <w:rPr>
          <w:rFonts w:hint="eastAsia"/>
          <w:color w:val="auto"/>
          <w:sz w:val="24"/>
        </w:rPr>
      </w:pPr>
      <w:r>
        <w:rPr>
          <w:rFonts w:hint="eastAsia"/>
          <w:color w:val="auto"/>
          <w:sz w:val="24"/>
        </w:rPr>
        <w:t>（3）码头涉水施工的水环境影响分析</w:t>
      </w:r>
    </w:p>
    <w:p w14:paraId="1A750BDB">
      <w:pPr>
        <w:spacing w:line="360" w:lineRule="auto"/>
        <w:ind w:firstLine="480" w:firstLineChars="200"/>
        <w:rPr>
          <w:color w:val="auto"/>
          <w:sz w:val="24"/>
        </w:rPr>
      </w:pPr>
      <w:r>
        <w:rPr>
          <w:rFonts w:hint="eastAsia"/>
          <w:color w:val="auto"/>
          <w:sz w:val="24"/>
        </w:rPr>
        <w:t>拟建</w:t>
      </w:r>
      <w:r>
        <w:rPr>
          <w:rFonts w:hint="eastAsia"/>
          <w:color w:val="auto"/>
          <w:sz w:val="24"/>
          <w:lang w:eastAsia="zh-CN"/>
        </w:rPr>
        <w:t>项目</w:t>
      </w:r>
      <w:r>
        <w:rPr>
          <w:rFonts w:hint="eastAsia"/>
          <w:color w:val="auto"/>
          <w:sz w:val="24"/>
        </w:rPr>
        <w:t>港池对淮河进行了退让并通过开挖完成；码头水下结构有桩基施工，码头工程钻孔灌注桩施工过程中，利用泥浆胶体的粘结力使悬浮泥渣随泥浆的循环流动被带出桩孔，进入泥浆船进行沉淀处理，沉淀后上清液水质达到《污水综合排放标准》（</w:t>
      </w:r>
      <w:r>
        <w:rPr>
          <w:color w:val="auto"/>
          <w:sz w:val="24"/>
        </w:rPr>
        <w:t>GB8978-1996</w:t>
      </w:r>
      <w:r>
        <w:rPr>
          <w:rFonts w:hint="eastAsia"/>
          <w:color w:val="auto"/>
          <w:sz w:val="24"/>
        </w:rPr>
        <w:t>）中一级排放标准后排入淮河，对淮河水体环境影响很小。</w:t>
      </w:r>
    </w:p>
    <w:p w14:paraId="4CDE019A">
      <w:pPr>
        <w:spacing w:line="360" w:lineRule="auto"/>
        <w:ind w:firstLine="480" w:firstLineChars="200"/>
        <w:rPr>
          <w:rFonts w:hint="eastAsia"/>
          <w:color w:val="auto"/>
          <w:sz w:val="24"/>
        </w:rPr>
      </w:pPr>
      <w:r>
        <w:rPr>
          <w:rFonts w:hint="eastAsia"/>
          <w:color w:val="auto"/>
          <w:sz w:val="24"/>
        </w:rPr>
        <w:t>本项目码头区布置在现状淮河河堤背水面；码头平台施工时保留现状大堤，起到施工围堰的作用，减轻码头平台施工对淮河水体的扰动及水质的影响；待码头平台构筑物施工完成后，</w:t>
      </w:r>
      <w:r>
        <w:rPr>
          <w:rFonts w:hint="eastAsia"/>
          <w:color w:val="auto"/>
          <w:sz w:val="24"/>
          <w:lang w:eastAsia="zh-CN"/>
        </w:rPr>
        <w:t>再</w:t>
      </w:r>
      <w:r>
        <w:rPr>
          <w:rFonts w:hint="eastAsia"/>
          <w:color w:val="auto"/>
          <w:sz w:val="24"/>
        </w:rPr>
        <w:t>开展港池的开挖及疏浚；港池开挖及疏浚安排在枯水期进行施工，并在本项目疏浚区的上下游设置围堰；减轻和避免疏浚区扰动对淮河上下游水质及水生生态的影响。</w:t>
      </w:r>
    </w:p>
    <w:p w14:paraId="34E200CF">
      <w:pPr>
        <w:spacing w:line="360" w:lineRule="auto"/>
        <w:ind w:firstLine="480" w:firstLineChars="200"/>
        <w:rPr>
          <w:rFonts w:hint="eastAsia"/>
          <w:color w:val="auto"/>
          <w:sz w:val="24"/>
        </w:rPr>
      </w:pPr>
      <w:r>
        <w:rPr>
          <w:rFonts w:hint="eastAsia"/>
          <w:color w:val="auto"/>
          <w:sz w:val="24"/>
        </w:rPr>
        <w:t>码头施工水下施工会造成水体中悬浮物浓度增加，其影响范围呈半椭圆形，根据淮河的水文资料，拟建码头前沿水流流速较小。涉水施工造成悬浮物浓度增加值超过10mg/L的范围沿水流方向长约200m，本项目悬浮物影响长度约为200~300m，垂直岸边宽约20~50m，涉水施工引起的SS短期对淮河水质会有一定影响，但由于产生的悬浮物成分比较单一，以泥沙为主，还可能含有少量底栖生物，不含高浓度有机物、重金属等污染重的成分，对淮河水质总体影响较小，且随着施工结束，水质可恢复到施工前的水平。根据调查，项目所在河段距离下游淮南第四自来水厂取水口距离为5.5km</w:t>
      </w:r>
      <w:r>
        <w:rPr>
          <w:rFonts w:hint="eastAsia"/>
          <w:color w:val="auto"/>
          <w:sz w:val="24"/>
          <w:lang w:eastAsia="zh-CN"/>
        </w:rPr>
        <w:t>，</w:t>
      </w:r>
      <w:r>
        <w:rPr>
          <w:rFonts w:hint="eastAsia"/>
          <w:color w:val="auto"/>
          <w:sz w:val="24"/>
          <w:lang w:val="en-US" w:eastAsia="zh-CN"/>
        </w:rPr>
        <w:t>距其二级保护区约3.5km，一级保护区约4.5km</w:t>
      </w:r>
      <w:r>
        <w:rPr>
          <w:rFonts w:hint="eastAsia"/>
          <w:color w:val="auto"/>
          <w:sz w:val="24"/>
        </w:rPr>
        <w:t>，涉水施工作业不会造成饮用水源的水质影响。</w:t>
      </w:r>
    </w:p>
    <w:p w14:paraId="559FABBB">
      <w:pPr>
        <w:spacing w:line="360" w:lineRule="auto"/>
        <w:ind w:firstLine="480" w:firstLineChars="200"/>
        <w:rPr>
          <w:rFonts w:hint="eastAsia"/>
          <w:color w:val="auto"/>
          <w:sz w:val="24"/>
        </w:rPr>
      </w:pPr>
      <w:r>
        <w:rPr>
          <w:rFonts w:hint="eastAsia"/>
          <w:color w:val="auto"/>
          <w:sz w:val="24"/>
        </w:rPr>
        <w:t>（4）施工生产废水对地表水环境影响</w:t>
      </w:r>
    </w:p>
    <w:p w14:paraId="5771366E">
      <w:pPr>
        <w:spacing w:line="360" w:lineRule="auto"/>
        <w:ind w:firstLine="480" w:firstLineChars="200"/>
        <w:rPr>
          <w:rFonts w:hint="eastAsia"/>
          <w:color w:val="auto"/>
          <w:sz w:val="24"/>
        </w:rPr>
      </w:pPr>
      <w:r>
        <w:rPr>
          <w:rFonts w:hint="eastAsia"/>
          <w:color w:val="auto"/>
          <w:sz w:val="24"/>
        </w:rPr>
        <w:t>砂石水泥物料运输车辆、各类施工机械驶出施工场地后，需对车轮及车体进行冲洗，冲洗废水产生量约为10m</w:t>
      </w:r>
      <w:r>
        <w:rPr>
          <w:rFonts w:hint="eastAsia"/>
          <w:color w:val="auto"/>
          <w:sz w:val="24"/>
          <w:vertAlign w:val="superscript"/>
        </w:rPr>
        <w:t>3</w:t>
      </w:r>
      <w:r>
        <w:rPr>
          <w:rFonts w:hint="eastAsia"/>
          <w:color w:val="auto"/>
          <w:sz w:val="24"/>
        </w:rPr>
        <w:t>/d，SS达1000mg/L，同时含有少量石油类，施工机械和运输车辆冲洗废水经排水沟收集后进入隔油沉淀池处理达到《</w:t>
      </w:r>
      <w:r>
        <w:rPr>
          <w:rFonts w:hint="eastAsia"/>
          <w:color w:val="auto"/>
          <w:sz w:val="24"/>
          <w:lang w:eastAsia="zh-CN"/>
        </w:rPr>
        <w:t>城市污水再生利用 城市杂用水水质</w:t>
      </w:r>
      <w:r>
        <w:rPr>
          <w:rFonts w:hint="eastAsia"/>
          <w:color w:val="auto"/>
          <w:sz w:val="24"/>
        </w:rPr>
        <w:t>》（GB/T 18920-20</w:t>
      </w:r>
      <w:r>
        <w:rPr>
          <w:color w:val="auto"/>
          <w:sz w:val="24"/>
        </w:rPr>
        <w:t>20</w:t>
      </w:r>
      <w:r>
        <w:rPr>
          <w:rFonts w:hint="eastAsia"/>
          <w:color w:val="auto"/>
          <w:sz w:val="24"/>
        </w:rPr>
        <w:t>）中建筑施工用水水质标准后回用于生产或洒水抑尘，不外排。</w:t>
      </w:r>
    </w:p>
    <w:p w14:paraId="4C4594AE">
      <w:pPr>
        <w:spacing w:line="360" w:lineRule="auto"/>
        <w:ind w:firstLine="480" w:firstLineChars="200"/>
        <w:rPr>
          <w:rFonts w:hint="eastAsia"/>
          <w:color w:val="auto"/>
          <w:sz w:val="24"/>
        </w:rPr>
      </w:pPr>
      <w:r>
        <w:rPr>
          <w:rFonts w:hint="eastAsia"/>
          <w:color w:val="auto"/>
          <w:sz w:val="24"/>
        </w:rPr>
        <w:t>针对上述施工场地内产生的废水，需在施工场地内布置1座隔油沉淀池（30m</w:t>
      </w:r>
      <w:r>
        <w:rPr>
          <w:rFonts w:hint="eastAsia"/>
          <w:color w:val="auto"/>
          <w:sz w:val="24"/>
          <w:vertAlign w:val="superscript"/>
        </w:rPr>
        <w:t>3</w:t>
      </w:r>
      <w:r>
        <w:rPr>
          <w:rFonts w:hint="eastAsia"/>
          <w:color w:val="auto"/>
          <w:sz w:val="24"/>
        </w:rPr>
        <w:t>），池体及进出水口采用砖衬砌。废水经隔油沉淀处理后，回用于生产或用于施工道路洒水抑尘，不外排，对淮河水体环境影响很小。</w:t>
      </w:r>
    </w:p>
    <w:p w14:paraId="5B107107">
      <w:pPr>
        <w:spacing w:line="360" w:lineRule="auto"/>
        <w:ind w:firstLine="480" w:firstLineChars="200"/>
        <w:rPr>
          <w:rFonts w:hint="eastAsia"/>
          <w:color w:val="auto"/>
          <w:sz w:val="24"/>
        </w:rPr>
      </w:pPr>
      <w:r>
        <w:rPr>
          <w:rFonts w:hint="eastAsia"/>
          <w:color w:val="auto"/>
          <w:sz w:val="24"/>
        </w:rPr>
        <w:t>（5）施工船舶污水对地表水环境的影响</w:t>
      </w:r>
    </w:p>
    <w:p w14:paraId="27A8D411">
      <w:pPr>
        <w:spacing w:line="360" w:lineRule="auto"/>
        <w:ind w:firstLine="480" w:firstLineChars="200"/>
        <w:rPr>
          <w:rFonts w:hint="eastAsia"/>
          <w:color w:val="auto"/>
          <w:sz w:val="24"/>
        </w:rPr>
      </w:pPr>
      <w:r>
        <w:rPr>
          <w:rFonts w:hint="eastAsia"/>
          <w:color w:val="auto"/>
          <w:sz w:val="24"/>
        </w:rPr>
        <w:t>施工船舶污水包括船舶舱底油污水及船舶施工人员生活污水。</w:t>
      </w:r>
    </w:p>
    <w:p w14:paraId="0BEAF171">
      <w:pPr>
        <w:spacing w:line="360" w:lineRule="auto"/>
        <w:ind w:firstLine="480" w:firstLineChars="200"/>
        <w:rPr>
          <w:rFonts w:hint="eastAsia"/>
          <w:color w:val="auto"/>
          <w:sz w:val="24"/>
        </w:rPr>
      </w:pPr>
      <w:r>
        <w:rPr>
          <w:rFonts w:hint="eastAsia"/>
          <w:color w:val="auto"/>
          <w:sz w:val="24"/>
        </w:rPr>
        <w:t>1）船舶舱底油污水</w:t>
      </w:r>
    </w:p>
    <w:p w14:paraId="5F44EDE5">
      <w:pPr>
        <w:spacing w:line="360" w:lineRule="auto"/>
        <w:ind w:firstLine="480" w:firstLineChars="200"/>
        <w:rPr>
          <w:rFonts w:hint="eastAsia"/>
          <w:color w:val="auto"/>
          <w:sz w:val="24"/>
        </w:rPr>
      </w:pPr>
      <w:r>
        <w:rPr>
          <w:rFonts w:hint="eastAsia"/>
          <w:color w:val="auto"/>
          <w:sz w:val="24"/>
        </w:rPr>
        <w:t>根据本项目施工安排，施工船舶均为500t左右船舶。施工期船舶舱底油污水产生量约180t。根据《中华人民共和国防治船舶污染内河水域环境管理规定》，船舶舱底油污水需经自带的油水分离器处理，石油类的浓度不大于15mg/L。拟建项目施工船舶舱底油污水由船舶自备的油水分离器隔油处理后由船舶统一收集后送海事部门指定的船舶含油污水接收点进行处理。</w:t>
      </w:r>
    </w:p>
    <w:p w14:paraId="36379F54">
      <w:pPr>
        <w:spacing w:line="360" w:lineRule="auto"/>
        <w:ind w:firstLine="480" w:firstLineChars="200"/>
        <w:rPr>
          <w:rFonts w:hint="eastAsia"/>
          <w:color w:val="auto"/>
          <w:sz w:val="24"/>
        </w:rPr>
      </w:pPr>
      <w:r>
        <w:rPr>
          <w:rFonts w:hint="eastAsia"/>
          <w:color w:val="auto"/>
          <w:sz w:val="24"/>
        </w:rPr>
        <w:t>2）船舶施工人员生活污水</w:t>
      </w:r>
    </w:p>
    <w:p w14:paraId="15699A57">
      <w:pPr>
        <w:spacing w:line="360" w:lineRule="auto"/>
        <w:ind w:firstLine="480" w:firstLineChars="200"/>
        <w:rPr>
          <w:rFonts w:hint="eastAsia"/>
          <w:color w:val="auto"/>
          <w:sz w:val="24"/>
        </w:rPr>
      </w:pPr>
      <w:r>
        <w:rPr>
          <w:rFonts w:hint="eastAsia"/>
          <w:color w:val="auto"/>
          <w:sz w:val="24"/>
        </w:rPr>
        <w:t>建设期在船舶上施工人员约</w:t>
      </w:r>
      <w:r>
        <w:rPr>
          <w:color w:val="auto"/>
          <w:sz w:val="24"/>
        </w:rPr>
        <w:t>4</w:t>
      </w:r>
      <w:r>
        <w:rPr>
          <w:rFonts w:hint="eastAsia"/>
          <w:color w:val="auto"/>
          <w:sz w:val="24"/>
        </w:rPr>
        <w:t>人，施工人员生活污水的产生量约</w:t>
      </w:r>
      <w:r>
        <w:rPr>
          <w:color w:val="auto"/>
          <w:sz w:val="24"/>
        </w:rPr>
        <w:t>0.32</w:t>
      </w:r>
      <w:r>
        <w:rPr>
          <w:rFonts w:hint="eastAsia"/>
          <w:color w:val="auto"/>
          <w:sz w:val="24"/>
        </w:rPr>
        <w:t>t/d。拟建项目施工船舶生活污水收集后由船舶统一收集后定期送至海事部门指定的船舶生活污水接收点进行处理。</w:t>
      </w:r>
    </w:p>
    <w:p w14:paraId="7619F021">
      <w:pPr>
        <w:spacing w:line="360" w:lineRule="auto"/>
        <w:ind w:firstLine="480" w:firstLineChars="200"/>
        <w:rPr>
          <w:rFonts w:hint="eastAsia"/>
          <w:color w:val="auto"/>
          <w:sz w:val="24"/>
        </w:rPr>
      </w:pPr>
      <w:r>
        <w:rPr>
          <w:rFonts w:hint="eastAsia"/>
          <w:color w:val="auto"/>
          <w:sz w:val="24"/>
        </w:rPr>
        <w:t>综上所述，施工船舶污水对地表水环境的影响较小。</w:t>
      </w:r>
    </w:p>
    <w:p w14:paraId="2FC89C3C">
      <w:pPr>
        <w:spacing w:line="360" w:lineRule="auto"/>
        <w:ind w:firstLine="480" w:firstLineChars="200"/>
        <w:rPr>
          <w:rFonts w:hint="eastAsia"/>
          <w:color w:val="auto"/>
          <w:sz w:val="24"/>
        </w:rPr>
      </w:pPr>
      <w:r>
        <w:rPr>
          <w:rFonts w:hint="eastAsia"/>
          <w:color w:val="auto"/>
          <w:sz w:val="24"/>
        </w:rPr>
        <w:t>（6）施工人员生活污水对地表水环境的影响</w:t>
      </w:r>
    </w:p>
    <w:p w14:paraId="6BA33DBC">
      <w:pPr>
        <w:pStyle w:val="288"/>
        <w:spacing w:line="360" w:lineRule="auto"/>
        <w:ind w:firstLine="480"/>
        <w:rPr>
          <w:rFonts w:hint="eastAsia" w:ascii="宋体" w:hAnsi="宋体"/>
          <w:color w:val="auto"/>
        </w:rPr>
      </w:pPr>
      <w:r>
        <w:rPr>
          <w:rFonts w:hint="eastAsia"/>
          <w:color w:val="auto"/>
        </w:rPr>
        <w:t>施工人员生活污水主要来自施工人员餐饮废水、生活污水等，本项目陆域施工人员约</w:t>
      </w:r>
      <w:r>
        <w:rPr>
          <w:color w:val="auto"/>
        </w:rPr>
        <w:t>18</w:t>
      </w:r>
      <w:r>
        <w:rPr>
          <w:rFonts w:hint="eastAsia"/>
          <w:color w:val="auto"/>
        </w:rPr>
        <w:t>人，本项目工程施工总计约</w:t>
      </w:r>
      <w:r>
        <w:rPr>
          <w:color w:val="auto"/>
        </w:rPr>
        <w:t>300</w:t>
      </w:r>
      <w:r>
        <w:rPr>
          <w:rFonts w:hint="eastAsia"/>
          <w:color w:val="auto"/>
        </w:rPr>
        <w:t>d，</w:t>
      </w:r>
      <w:r>
        <w:rPr>
          <w:rFonts w:hint="eastAsia" w:ascii="宋体" w:hAnsi="宋体"/>
          <w:color w:val="auto"/>
        </w:rPr>
        <w:t>施工</w:t>
      </w:r>
      <w:r>
        <w:rPr>
          <w:rFonts w:hint="eastAsia" w:ascii="宋体" w:hAnsi="宋体"/>
          <w:color w:val="auto"/>
          <w:lang w:eastAsia="zh-CN"/>
        </w:rPr>
        <w:t>期间</w:t>
      </w:r>
      <w:r>
        <w:rPr>
          <w:rFonts w:hint="eastAsia" w:ascii="宋体" w:hAnsi="宋体"/>
          <w:color w:val="auto"/>
        </w:rPr>
        <w:t>工人在周边租赁村民民房，施工场地基本不产生生活污水。施工期人员生活污水利用周边已有旱厕，收集后用于当地农田或林地肥料，</w:t>
      </w:r>
      <w:r>
        <w:rPr>
          <w:rFonts w:hint="eastAsia"/>
          <w:color w:val="auto"/>
        </w:rPr>
        <w:t>对淮河水体水质不会构成影响。</w:t>
      </w:r>
    </w:p>
    <w:p w14:paraId="1CFAF5C5">
      <w:pPr>
        <w:pStyle w:val="4"/>
        <w:numPr>
          <w:ilvl w:val="2"/>
          <w:numId w:val="0"/>
        </w:numPr>
        <w:rPr>
          <w:color w:val="auto"/>
        </w:rPr>
      </w:pPr>
      <w:r>
        <w:rPr>
          <w:rFonts w:hint="eastAsia"/>
          <w:color w:val="auto"/>
        </w:rPr>
        <w:t>5.1.3施工</w:t>
      </w:r>
      <w:r>
        <w:rPr>
          <w:color w:val="auto"/>
        </w:rPr>
        <w:t>期</w:t>
      </w:r>
      <w:r>
        <w:rPr>
          <w:rFonts w:hint="eastAsia"/>
          <w:color w:val="auto"/>
        </w:rPr>
        <w:t>声</w:t>
      </w:r>
      <w:r>
        <w:rPr>
          <w:color w:val="auto"/>
        </w:rPr>
        <w:t>环境影响分析</w:t>
      </w:r>
    </w:p>
    <w:p w14:paraId="06B87708">
      <w:pPr>
        <w:spacing w:line="360" w:lineRule="auto"/>
        <w:ind w:firstLine="480" w:firstLineChars="200"/>
        <w:rPr>
          <w:rFonts w:hint="eastAsia"/>
          <w:color w:val="auto"/>
          <w:sz w:val="24"/>
        </w:rPr>
      </w:pPr>
      <w:bookmarkStart w:id="137" w:name="_Toc22226"/>
      <w:r>
        <w:rPr>
          <w:rFonts w:hint="eastAsia"/>
          <w:color w:val="auto"/>
          <w:sz w:val="24"/>
        </w:rPr>
        <w:t>（1）噪声源</w:t>
      </w:r>
    </w:p>
    <w:p w14:paraId="692BE7BC">
      <w:pPr>
        <w:spacing w:line="360" w:lineRule="auto"/>
        <w:ind w:firstLine="480" w:firstLineChars="200"/>
        <w:rPr>
          <w:rFonts w:hint="eastAsia"/>
          <w:color w:val="auto"/>
          <w:sz w:val="24"/>
        </w:rPr>
      </w:pPr>
      <w:r>
        <w:rPr>
          <w:rFonts w:hint="eastAsia"/>
          <w:color w:val="auto"/>
          <w:sz w:val="24"/>
        </w:rPr>
        <w:t>工程施工的噪声源主要有施工机械固定噪声源和运输车辆流动噪声源，参照《</w:t>
      </w:r>
      <w:r>
        <w:rPr>
          <w:rFonts w:hint="eastAsia"/>
          <w:color w:val="auto"/>
          <w:sz w:val="24"/>
          <w:lang w:eastAsia="zh-CN"/>
        </w:rPr>
        <w:t>水运工程建设项目环境影响评价指南</w:t>
      </w:r>
      <w:r>
        <w:rPr>
          <w:rFonts w:hint="eastAsia"/>
          <w:color w:val="auto"/>
          <w:sz w:val="24"/>
        </w:rPr>
        <w:t>》</w:t>
      </w:r>
      <w:r>
        <w:rPr>
          <w:rFonts w:hint="eastAsia"/>
          <w:color w:val="auto"/>
          <w:sz w:val="24"/>
          <w:lang w:eastAsia="zh-CN"/>
        </w:rPr>
        <w:t>（JTS/T 105-2021</w:t>
      </w:r>
      <w:r>
        <w:rPr>
          <w:rFonts w:hint="eastAsia"/>
          <w:color w:val="auto"/>
          <w:sz w:val="24"/>
        </w:rPr>
        <w:t>)、《</w:t>
      </w:r>
      <w:r>
        <w:rPr>
          <w:rFonts w:hint="eastAsia"/>
          <w:color w:val="auto"/>
          <w:sz w:val="24"/>
          <w:lang w:eastAsia="zh-CN"/>
        </w:rPr>
        <w:t>水电工程施工机械选择设计规范</w:t>
      </w:r>
      <w:r>
        <w:rPr>
          <w:rFonts w:hint="eastAsia"/>
          <w:color w:val="auto"/>
          <w:sz w:val="24"/>
        </w:rPr>
        <w:t>》</w:t>
      </w:r>
      <w:r>
        <w:rPr>
          <w:rFonts w:hint="eastAsia"/>
          <w:color w:val="auto"/>
          <w:sz w:val="24"/>
          <w:lang w:eastAsia="zh-CN"/>
        </w:rPr>
        <w:t>NB/T 10237-2019</w:t>
      </w:r>
      <w:r>
        <w:rPr>
          <w:rFonts w:hint="eastAsia"/>
          <w:color w:val="auto"/>
          <w:sz w:val="24"/>
        </w:rPr>
        <w:t>工程所用机械及其产生的噪声污染源强见表3.</w:t>
      </w:r>
      <w:r>
        <w:rPr>
          <w:color w:val="auto"/>
          <w:sz w:val="24"/>
        </w:rPr>
        <w:t>3</w:t>
      </w:r>
      <w:r>
        <w:rPr>
          <w:rFonts w:hint="eastAsia"/>
          <w:color w:val="auto"/>
          <w:sz w:val="24"/>
        </w:rPr>
        <w:t>-4。</w:t>
      </w:r>
    </w:p>
    <w:p w14:paraId="67A8BAA1">
      <w:pPr>
        <w:spacing w:line="360" w:lineRule="auto"/>
        <w:ind w:firstLine="480" w:firstLineChars="200"/>
        <w:rPr>
          <w:rFonts w:hint="eastAsia"/>
          <w:color w:val="auto"/>
          <w:sz w:val="24"/>
        </w:rPr>
      </w:pPr>
      <w:r>
        <w:rPr>
          <w:rFonts w:hint="eastAsia"/>
          <w:color w:val="auto"/>
          <w:sz w:val="24"/>
        </w:rPr>
        <w:t>（2）影响分析</w:t>
      </w:r>
    </w:p>
    <w:p w14:paraId="02F1C371">
      <w:pPr>
        <w:spacing w:line="360" w:lineRule="auto"/>
        <w:ind w:firstLine="480" w:firstLineChars="200"/>
        <w:rPr>
          <w:rFonts w:hint="eastAsia"/>
          <w:color w:val="auto"/>
          <w:sz w:val="24"/>
        </w:rPr>
      </w:pPr>
      <w:r>
        <w:rPr>
          <w:rFonts w:hint="eastAsia"/>
          <w:color w:val="auto"/>
          <w:sz w:val="24"/>
        </w:rPr>
        <w:t>1）施工机械噪声</w:t>
      </w:r>
    </w:p>
    <w:p w14:paraId="60F71880">
      <w:pPr>
        <w:spacing w:line="360" w:lineRule="auto"/>
        <w:ind w:firstLine="480" w:firstLineChars="200"/>
        <w:rPr>
          <w:rFonts w:hint="eastAsia"/>
          <w:color w:val="auto"/>
          <w:sz w:val="24"/>
        </w:rPr>
      </w:pPr>
      <w:r>
        <w:rPr>
          <w:rFonts w:hint="eastAsia"/>
          <w:color w:val="auto"/>
          <w:sz w:val="24"/>
        </w:rPr>
        <w:t>在施工过程中，挖掘机、钻桩机、钢筋加工常规设备等为固定噪声源，推土机等施工机械由于活动范围较小，且车速慢，也可按固定源考虑。根据点源噪声衰减模式，估算出离声源不同距离处的噪声值，预测模式如下：</w:t>
      </w:r>
    </w:p>
    <w:p w14:paraId="04B9E7C3">
      <w:pPr>
        <w:jc w:val="center"/>
        <w:rPr>
          <w:color w:val="auto"/>
          <w:szCs w:val="24"/>
          <w:shd w:val="clear" w:color="auto" w:fill="FFFFFF"/>
        </w:rPr>
      </w:pPr>
      <w:r>
        <w:rPr>
          <w:color w:val="auto"/>
          <w:kern w:val="24"/>
          <w:position w:val="-30"/>
          <w:szCs w:val="24"/>
          <w:shd w:val="clear" w:color="auto" w:fill="FFFFFF"/>
        </w:rPr>
        <w:object>
          <v:shape id="_x0000_i1050" o:spt="75" type="#_x0000_t75" style="height:42.45pt;width:113.4pt;" o:ole="t" filled="f" o:preferrelative="f" stroked="f" coordsize="21600,21600">
            <v:path/>
            <v:fill on="f" focussize="0,0"/>
            <v:stroke on="f"/>
            <v:imagedata r:id="rId165" o:title=""/>
            <o:lock v:ext="edit" aspectratio="f"/>
            <w10:wrap type="none"/>
            <w10:anchorlock/>
          </v:shape>
          <o:OLEObject Type="Embed" ProgID="Equation.3" ShapeID="_x0000_i1050" DrawAspect="Content" ObjectID="_1468075750" r:id="rId164">
            <o:LockedField>false</o:LockedField>
          </o:OLEObject>
        </w:object>
      </w:r>
    </w:p>
    <w:p w14:paraId="16A44021">
      <w:pPr>
        <w:spacing w:line="360" w:lineRule="auto"/>
        <w:ind w:firstLine="480" w:firstLineChars="200"/>
        <w:rPr>
          <w:rFonts w:hint="eastAsia"/>
          <w:color w:val="auto"/>
          <w:sz w:val="24"/>
        </w:rPr>
      </w:pPr>
      <w:r>
        <w:rPr>
          <w:rFonts w:hint="eastAsia"/>
          <w:color w:val="auto"/>
          <w:sz w:val="24"/>
        </w:rPr>
        <w:t>式中：L1—距声源Ri米处的施工噪声预测值，dB；</w:t>
      </w:r>
    </w:p>
    <w:p w14:paraId="025B3FF2">
      <w:pPr>
        <w:spacing w:line="360" w:lineRule="auto"/>
        <w:ind w:firstLine="960" w:firstLineChars="400"/>
        <w:rPr>
          <w:rFonts w:hint="eastAsia"/>
          <w:color w:val="auto"/>
          <w:sz w:val="24"/>
        </w:rPr>
      </w:pPr>
      <w:r>
        <w:rPr>
          <w:rFonts w:hint="eastAsia"/>
          <w:color w:val="auto"/>
          <w:sz w:val="24"/>
        </w:rPr>
        <w:t>L0—距声源R0米的施工噪声级，dB；</w:t>
      </w:r>
    </w:p>
    <w:p w14:paraId="4558B5AF">
      <w:pPr>
        <w:spacing w:line="360" w:lineRule="auto"/>
        <w:ind w:firstLine="960" w:firstLineChars="400"/>
        <w:rPr>
          <w:rFonts w:hint="eastAsia"/>
          <w:color w:val="auto"/>
          <w:sz w:val="24"/>
        </w:rPr>
      </w:pPr>
      <w:r>
        <w:rPr>
          <w:rFonts w:hint="eastAsia"/>
          <w:color w:val="auto"/>
          <w:sz w:val="24"/>
        </w:rPr>
        <w:drawing>
          <wp:inline distT="0" distB="0" distL="114300" distR="114300">
            <wp:extent cx="233680" cy="170180"/>
            <wp:effectExtent l="0" t="0" r="13970" b="1270"/>
            <wp:docPr id="19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260"/>
                    <pic:cNvPicPr>
                      <a:picLocks noChangeAspect="1"/>
                    </pic:cNvPicPr>
                  </pic:nvPicPr>
                  <pic:blipFill>
                    <a:blip r:embed="rId166"/>
                    <a:stretch>
                      <a:fillRect/>
                    </a:stretch>
                  </pic:blipFill>
                  <pic:spPr>
                    <a:xfrm>
                      <a:off x="0" y="0"/>
                      <a:ext cx="233680" cy="170180"/>
                    </a:xfrm>
                    <a:prstGeom prst="rect">
                      <a:avLst/>
                    </a:prstGeom>
                    <a:noFill/>
                    <a:ln>
                      <a:noFill/>
                    </a:ln>
                  </pic:spPr>
                </pic:pic>
              </a:graphicData>
            </a:graphic>
          </wp:inline>
        </w:drawing>
      </w:r>
      <w:r>
        <w:rPr>
          <w:rFonts w:hint="eastAsia"/>
          <w:color w:val="auto"/>
          <w:sz w:val="24"/>
        </w:rPr>
        <w:t>—障碍物、植被、空气等产生的附加衰减量。</w:t>
      </w:r>
    </w:p>
    <w:p w14:paraId="68C97C97">
      <w:pPr>
        <w:spacing w:line="360" w:lineRule="auto"/>
        <w:ind w:firstLine="480" w:firstLineChars="200"/>
        <w:rPr>
          <w:rFonts w:hint="eastAsia"/>
          <w:color w:val="auto"/>
          <w:sz w:val="24"/>
        </w:rPr>
      </w:pPr>
      <w:r>
        <w:rPr>
          <w:rFonts w:hint="eastAsia"/>
          <w:color w:val="auto"/>
          <w:sz w:val="24"/>
        </w:rPr>
        <w:t>对于多台施工机械同时作业时对某个预测点的影响，应按下式进行声级迭加：</w:t>
      </w:r>
    </w:p>
    <w:p w14:paraId="10D0298B">
      <w:pPr>
        <w:ind w:firstLine="480"/>
        <w:jc w:val="center"/>
        <w:rPr>
          <w:snapToGrid w:val="0"/>
          <w:color w:val="auto"/>
          <w:spacing w:val="6"/>
          <w:kern w:val="28"/>
          <w:szCs w:val="20"/>
          <w:shd w:val="clear" w:color="auto" w:fill="FFFFFF"/>
        </w:rPr>
      </w:pPr>
      <w:r>
        <w:rPr>
          <w:snapToGrid w:val="0"/>
          <w:color w:val="auto"/>
          <w:spacing w:val="6"/>
          <w:kern w:val="28"/>
          <w:szCs w:val="20"/>
          <w:shd w:val="clear" w:color="auto" w:fill="FFFFFF"/>
        </w:rPr>
        <w:drawing>
          <wp:inline distT="0" distB="0" distL="114300" distR="114300">
            <wp:extent cx="1439545" cy="539750"/>
            <wp:effectExtent l="0" t="0" r="0" b="13335"/>
            <wp:docPr id="191" name="图片 261"/>
            <wp:cNvGraphicFramePr/>
            <a:graphic xmlns:a="http://schemas.openxmlformats.org/drawingml/2006/main">
              <a:graphicData uri="http://schemas.openxmlformats.org/drawingml/2006/picture">
                <pic:pic xmlns:pic="http://schemas.openxmlformats.org/drawingml/2006/picture">
                  <pic:nvPicPr>
                    <pic:cNvPr id="191" name="图片 261"/>
                    <pic:cNvPicPr preferRelativeResize="0"/>
                  </pic:nvPicPr>
                  <pic:blipFill>
                    <a:blip r:embed="rId167"/>
                    <a:stretch>
                      <a:fillRect/>
                    </a:stretch>
                  </pic:blipFill>
                  <pic:spPr>
                    <a:xfrm>
                      <a:off x="0" y="0"/>
                      <a:ext cx="1439545" cy="539750"/>
                    </a:xfrm>
                    <a:prstGeom prst="rect">
                      <a:avLst/>
                    </a:prstGeom>
                    <a:noFill/>
                    <a:ln>
                      <a:noFill/>
                    </a:ln>
                  </pic:spPr>
                </pic:pic>
              </a:graphicData>
            </a:graphic>
          </wp:inline>
        </w:drawing>
      </w:r>
    </w:p>
    <w:p w14:paraId="743D2C7D">
      <w:pPr>
        <w:spacing w:line="360" w:lineRule="auto"/>
        <w:ind w:firstLine="480" w:firstLineChars="200"/>
        <w:rPr>
          <w:rFonts w:hint="eastAsia"/>
          <w:color w:val="auto"/>
          <w:sz w:val="24"/>
        </w:rPr>
      </w:pPr>
      <w:r>
        <w:rPr>
          <w:rFonts w:hint="eastAsia"/>
          <w:color w:val="auto"/>
          <w:sz w:val="24"/>
        </w:rPr>
        <w:t>根据前述的公式，对施工过程中设备噪声影响范围进行计算，不同施工阶段机械施工场界噪声预测结果见下表。</w:t>
      </w:r>
    </w:p>
    <w:p w14:paraId="7EB40F04">
      <w:pPr>
        <w:spacing w:line="400" w:lineRule="exact"/>
        <w:jc w:val="center"/>
        <w:rPr>
          <w:rFonts w:eastAsia="黑体"/>
          <w:color w:val="auto"/>
          <w:sz w:val="24"/>
        </w:rPr>
      </w:pPr>
      <w:r>
        <w:rPr>
          <w:rFonts w:eastAsia="黑体"/>
          <w:color w:val="auto"/>
          <w:sz w:val="24"/>
        </w:rPr>
        <w:t>表5.1-</w:t>
      </w:r>
      <w:r>
        <w:rPr>
          <w:rFonts w:hint="eastAsia" w:eastAsia="黑体"/>
          <w:color w:val="auto"/>
          <w:sz w:val="24"/>
        </w:rPr>
        <w:t>2</w:t>
      </w:r>
      <w:r>
        <w:rPr>
          <w:rFonts w:eastAsia="黑体"/>
          <w:color w:val="auto"/>
          <w:sz w:val="24"/>
        </w:rPr>
        <w:t xml:space="preserve">  施工期噪声源组合在不同距离的噪声预测值   单位：dB(A)</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30"/>
        <w:gridCol w:w="1183"/>
        <w:gridCol w:w="1016"/>
        <w:gridCol w:w="1163"/>
        <w:gridCol w:w="1161"/>
        <w:gridCol w:w="1090"/>
        <w:gridCol w:w="1081"/>
      </w:tblGrid>
      <w:tr w14:paraId="35DE29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30" w:type="dxa"/>
            <w:vMerge w:val="restart"/>
            <w:noWrap w:val="0"/>
            <w:vAlign w:val="center"/>
          </w:tcPr>
          <w:p w14:paraId="603056B1">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b/>
                <w:color w:val="auto"/>
                <w:kern w:val="0"/>
                <w:shd w:val="clear" w:color="auto" w:fill="FFFFFF"/>
              </w:rPr>
            </w:pPr>
            <w:r>
              <w:rPr>
                <w:rFonts w:hint="default" w:ascii="Times New Roman" w:hAnsi="Times New Roman" w:cs="Times New Roman"/>
                <w:b/>
                <w:color w:val="auto"/>
                <w:kern w:val="0"/>
                <w:shd w:val="clear" w:color="auto" w:fill="FFFFFF"/>
              </w:rPr>
              <w:t>施工阶段</w:t>
            </w:r>
          </w:p>
        </w:tc>
        <w:tc>
          <w:tcPr>
            <w:tcW w:w="1183" w:type="dxa"/>
            <w:vMerge w:val="restart"/>
            <w:noWrap w:val="0"/>
            <w:vAlign w:val="center"/>
          </w:tcPr>
          <w:p w14:paraId="7D84CCDB">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b/>
                <w:color w:val="auto"/>
                <w:kern w:val="0"/>
                <w:shd w:val="clear" w:color="auto" w:fill="FFFFFF"/>
              </w:rPr>
            </w:pPr>
            <w:r>
              <w:rPr>
                <w:rFonts w:hint="default" w:ascii="Times New Roman" w:hAnsi="Times New Roman" w:cs="Times New Roman"/>
                <w:b/>
                <w:bCs/>
                <w:color w:val="auto"/>
                <w:kern w:val="0"/>
                <w:shd w:val="clear" w:color="auto" w:fill="FFFFFF"/>
              </w:rPr>
              <w:t>20m</w:t>
            </w:r>
          </w:p>
        </w:tc>
        <w:tc>
          <w:tcPr>
            <w:tcW w:w="1016" w:type="dxa"/>
            <w:vMerge w:val="restart"/>
            <w:noWrap w:val="0"/>
            <w:vAlign w:val="center"/>
          </w:tcPr>
          <w:p w14:paraId="6AC3D8E8">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b/>
                <w:color w:val="auto"/>
                <w:kern w:val="0"/>
                <w:shd w:val="clear" w:color="auto" w:fill="FFFFFF"/>
              </w:rPr>
            </w:pPr>
            <w:r>
              <w:rPr>
                <w:rFonts w:hint="default" w:ascii="Times New Roman" w:hAnsi="Times New Roman" w:cs="Times New Roman"/>
                <w:b/>
                <w:bCs/>
                <w:color w:val="auto"/>
                <w:kern w:val="0"/>
                <w:shd w:val="clear" w:color="auto" w:fill="FFFFFF"/>
              </w:rPr>
              <w:t>40m</w:t>
            </w:r>
          </w:p>
        </w:tc>
        <w:tc>
          <w:tcPr>
            <w:tcW w:w="1163" w:type="dxa"/>
            <w:vMerge w:val="restart"/>
            <w:noWrap w:val="0"/>
            <w:vAlign w:val="center"/>
          </w:tcPr>
          <w:p w14:paraId="4CDD3E6E">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b/>
                <w:color w:val="auto"/>
                <w:kern w:val="0"/>
                <w:shd w:val="clear" w:color="auto" w:fill="FFFFFF"/>
              </w:rPr>
            </w:pPr>
            <w:r>
              <w:rPr>
                <w:rFonts w:hint="default" w:ascii="Times New Roman" w:hAnsi="Times New Roman" w:cs="Times New Roman"/>
                <w:b/>
                <w:bCs/>
                <w:color w:val="auto"/>
                <w:kern w:val="0"/>
                <w:shd w:val="clear" w:color="auto" w:fill="FFFFFF"/>
              </w:rPr>
              <w:t>80m</w:t>
            </w:r>
          </w:p>
        </w:tc>
        <w:tc>
          <w:tcPr>
            <w:tcW w:w="1161" w:type="dxa"/>
            <w:vMerge w:val="restart"/>
            <w:noWrap w:val="0"/>
            <w:vAlign w:val="center"/>
          </w:tcPr>
          <w:p w14:paraId="6F9C0C63">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b/>
                <w:color w:val="auto"/>
                <w:kern w:val="0"/>
                <w:shd w:val="clear" w:color="auto" w:fill="FFFFFF"/>
              </w:rPr>
            </w:pPr>
            <w:r>
              <w:rPr>
                <w:rFonts w:hint="default" w:ascii="Times New Roman" w:hAnsi="Times New Roman" w:cs="Times New Roman"/>
                <w:b/>
                <w:bCs/>
                <w:color w:val="auto"/>
                <w:kern w:val="0"/>
                <w:shd w:val="clear" w:color="auto" w:fill="FFFFFF"/>
              </w:rPr>
              <w:t>160m</w:t>
            </w:r>
          </w:p>
        </w:tc>
        <w:tc>
          <w:tcPr>
            <w:tcW w:w="1090" w:type="dxa"/>
            <w:vMerge w:val="restart"/>
            <w:noWrap w:val="0"/>
            <w:vAlign w:val="center"/>
          </w:tcPr>
          <w:p w14:paraId="3811201E">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b/>
                <w:color w:val="auto"/>
                <w:kern w:val="0"/>
                <w:shd w:val="clear" w:color="auto" w:fill="FFFFFF"/>
              </w:rPr>
            </w:pPr>
            <w:r>
              <w:rPr>
                <w:rFonts w:hint="default" w:ascii="Times New Roman" w:hAnsi="Times New Roman" w:cs="Times New Roman"/>
                <w:b/>
                <w:bCs/>
                <w:color w:val="auto"/>
                <w:kern w:val="0"/>
                <w:shd w:val="clear" w:color="auto" w:fill="FFFFFF"/>
              </w:rPr>
              <w:t>320m</w:t>
            </w:r>
          </w:p>
        </w:tc>
        <w:tc>
          <w:tcPr>
            <w:tcW w:w="1081" w:type="dxa"/>
            <w:noWrap w:val="0"/>
            <w:vAlign w:val="center"/>
          </w:tcPr>
          <w:p w14:paraId="07AD0427">
            <w:pPr>
              <w:keepNext w:val="0"/>
              <w:keepLines w:val="0"/>
              <w:suppressLineNumbers w:val="0"/>
              <w:spacing w:before="0" w:beforeAutospacing="0" w:after="0" w:afterAutospacing="0"/>
              <w:ind w:left="0" w:right="0"/>
              <w:contextualSpacing/>
              <w:jc w:val="center"/>
              <w:rPr>
                <w:rFonts w:hint="default" w:ascii="Times New Roman" w:hAnsi="Times New Roman" w:cs="Times New Roman"/>
                <w:b/>
                <w:color w:val="auto"/>
                <w:kern w:val="0"/>
                <w:shd w:val="clear" w:color="auto" w:fill="FFFFFF"/>
              </w:rPr>
            </w:pPr>
            <w:r>
              <w:rPr>
                <w:rFonts w:hint="default" w:ascii="Times New Roman" w:hAnsi="Times New Roman" w:cs="Times New Roman"/>
                <w:b/>
                <w:color w:val="auto"/>
                <w:kern w:val="0"/>
                <w:shd w:val="clear" w:color="auto" w:fill="FFFFFF"/>
              </w:rPr>
              <w:t>达标距离</w:t>
            </w:r>
          </w:p>
        </w:tc>
      </w:tr>
      <w:tr w14:paraId="037E34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30" w:type="dxa"/>
            <w:vMerge w:val="continue"/>
            <w:noWrap w:val="0"/>
            <w:vAlign w:val="center"/>
          </w:tcPr>
          <w:p w14:paraId="6F1CDA73">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b/>
                <w:color w:val="auto"/>
                <w:kern w:val="0"/>
                <w:shd w:val="clear" w:color="auto" w:fill="FFFFFF"/>
              </w:rPr>
            </w:pPr>
          </w:p>
        </w:tc>
        <w:tc>
          <w:tcPr>
            <w:tcW w:w="1183" w:type="dxa"/>
            <w:vMerge w:val="continue"/>
            <w:noWrap w:val="0"/>
            <w:vAlign w:val="center"/>
          </w:tcPr>
          <w:p w14:paraId="187762C6">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b/>
                <w:color w:val="auto"/>
                <w:kern w:val="0"/>
                <w:shd w:val="clear" w:color="auto" w:fill="FFFFFF"/>
              </w:rPr>
            </w:pPr>
          </w:p>
        </w:tc>
        <w:tc>
          <w:tcPr>
            <w:tcW w:w="1016" w:type="dxa"/>
            <w:vMerge w:val="continue"/>
            <w:noWrap w:val="0"/>
            <w:vAlign w:val="center"/>
          </w:tcPr>
          <w:p w14:paraId="603DD825">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b/>
                <w:color w:val="auto"/>
                <w:kern w:val="0"/>
                <w:shd w:val="clear" w:color="auto" w:fill="FFFFFF"/>
              </w:rPr>
            </w:pPr>
          </w:p>
        </w:tc>
        <w:tc>
          <w:tcPr>
            <w:tcW w:w="1163" w:type="dxa"/>
            <w:vMerge w:val="continue"/>
            <w:noWrap w:val="0"/>
            <w:vAlign w:val="center"/>
          </w:tcPr>
          <w:p w14:paraId="31F27DF0">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b/>
                <w:color w:val="auto"/>
                <w:kern w:val="0"/>
                <w:shd w:val="clear" w:color="auto" w:fill="FFFFFF"/>
              </w:rPr>
            </w:pPr>
          </w:p>
        </w:tc>
        <w:tc>
          <w:tcPr>
            <w:tcW w:w="1161" w:type="dxa"/>
            <w:vMerge w:val="continue"/>
            <w:noWrap w:val="0"/>
            <w:vAlign w:val="center"/>
          </w:tcPr>
          <w:p w14:paraId="6452F4E7">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b/>
                <w:color w:val="auto"/>
                <w:kern w:val="0"/>
                <w:shd w:val="clear" w:color="auto" w:fill="FFFFFF"/>
              </w:rPr>
            </w:pPr>
          </w:p>
        </w:tc>
        <w:tc>
          <w:tcPr>
            <w:tcW w:w="1090" w:type="dxa"/>
            <w:vMerge w:val="continue"/>
            <w:noWrap w:val="0"/>
            <w:vAlign w:val="center"/>
          </w:tcPr>
          <w:p w14:paraId="44A6CC31">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b/>
                <w:color w:val="auto"/>
                <w:kern w:val="0"/>
                <w:shd w:val="clear" w:color="auto" w:fill="FFFFFF"/>
              </w:rPr>
            </w:pPr>
          </w:p>
        </w:tc>
        <w:tc>
          <w:tcPr>
            <w:tcW w:w="1081" w:type="dxa"/>
            <w:noWrap w:val="0"/>
            <w:vAlign w:val="center"/>
          </w:tcPr>
          <w:p w14:paraId="1873EF3C">
            <w:pPr>
              <w:keepNext w:val="0"/>
              <w:keepLines w:val="0"/>
              <w:suppressLineNumbers w:val="0"/>
              <w:spacing w:before="0" w:beforeAutospacing="0" w:after="0" w:afterAutospacing="0"/>
              <w:ind w:left="0" w:right="0"/>
              <w:contextualSpacing/>
              <w:jc w:val="center"/>
              <w:rPr>
                <w:rFonts w:hint="default" w:ascii="Times New Roman" w:hAnsi="Times New Roman" w:cs="Times New Roman"/>
                <w:b/>
                <w:color w:val="auto"/>
                <w:kern w:val="0"/>
                <w:shd w:val="clear" w:color="auto" w:fill="FFFFFF"/>
              </w:rPr>
            </w:pPr>
            <w:r>
              <w:rPr>
                <w:rFonts w:hint="default" w:ascii="Times New Roman" w:hAnsi="Times New Roman" w:cs="Times New Roman"/>
                <w:b/>
                <w:color w:val="auto"/>
                <w:kern w:val="0"/>
                <w:shd w:val="clear" w:color="auto" w:fill="FFFFFF"/>
              </w:rPr>
              <w:t>昼间</w:t>
            </w:r>
          </w:p>
        </w:tc>
      </w:tr>
      <w:tr w14:paraId="75BA06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30" w:type="dxa"/>
            <w:noWrap w:val="0"/>
            <w:vAlign w:val="center"/>
          </w:tcPr>
          <w:p w14:paraId="449F8635">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土石方开挖</w:t>
            </w:r>
          </w:p>
        </w:tc>
        <w:tc>
          <w:tcPr>
            <w:tcW w:w="1183" w:type="dxa"/>
            <w:noWrap w:val="0"/>
            <w:vAlign w:val="center"/>
          </w:tcPr>
          <w:p w14:paraId="3FE4BAF6">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80.5</w:t>
            </w:r>
          </w:p>
        </w:tc>
        <w:tc>
          <w:tcPr>
            <w:tcW w:w="1016" w:type="dxa"/>
            <w:noWrap w:val="0"/>
            <w:vAlign w:val="center"/>
          </w:tcPr>
          <w:p w14:paraId="2391B9F8">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74.5</w:t>
            </w:r>
          </w:p>
        </w:tc>
        <w:tc>
          <w:tcPr>
            <w:tcW w:w="1163" w:type="dxa"/>
            <w:noWrap w:val="0"/>
            <w:vAlign w:val="center"/>
          </w:tcPr>
          <w:p w14:paraId="155B6AAB">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68.5</w:t>
            </w:r>
          </w:p>
        </w:tc>
        <w:tc>
          <w:tcPr>
            <w:tcW w:w="1161" w:type="dxa"/>
            <w:noWrap w:val="0"/>
            <w:vAlign w:val="center"/>
          </w:tcPr>
          <w:p w14:paraId="7725BA62">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62.5</w:t>
            </w:r>
          </w:p>
        </w:tc>
        <w:tc>
          <w:tcPr>
            <w:tcW w:w="1090" w:type="dxa"/>
            <w:noWrap w:val="0"/>
            <w:vAlign w:val="center"/>
          </w:tcPr>
          <w:p w14:paraId="7B0EA576">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56.5</w:t>
            </w:r>
          </w:p>
        </w:tc>
        <w:tc>
          <w:tcPr>
            <w:tcW w:w="1081" w:type="dxa"/>
            <w:noWrap w:val="0"/>
            <w:vAlign w:val="center"/>
          </w:tcPr>
          <w:p w14:paraId="1CAC6F64">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67</w:t>
            </w:r>
          </w:p>
        </w:tc>
      </w:tr>
      <w:tr w14:paraId="45103A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30" w:type="dxa"/>
            <w:noWrap w:val="0"/>
            <w:vAlign w:val="center"/>
          </w:tcPr>
          <w:p w14:paraId="2CC859DF">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码头工程</w:t>
            </w:r>
          </w:p>
        </w:tc>
        <w:tc>
          <w:tcPr>
            <w:tcW w:w="1183" w:type="dxa"/>
            <w:noWrap w:val="0"/>
            <w:vAlign w:val="center"/>
          </w:tcPr>
          <w:p w14:paraId="487D140B">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74.8</w:t>
            </w:r>
          </w:p>
        </w:tc>
        <w:tc>
          <w:tcPr>
            <w:tcW w:w="1016" w:type="dxa"/>
            <w:noWrap w:val="0"/>
            <w:vAlign w:val="center"/>
          </w:tcPr>
          <w:p w14:paraId="675BCEE6">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68.8</w:t>
            </w:r>
          </w:p>
        </w:tc>
        <w:tc>
          <w:tcPr>
            <w:tcW w:w="1163" w:type="dxa"/>
            <w:noWrap w:val="0"/>
            <w:vAlign w:val="center"/>
          </w:tcPr>
          <w:p w14:paraId="3DCD8D32">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62.8</w:t>
            </w:r>
          </w:p>
        </w:tc>
        <w:tc>
          <w:tcPr>
            <w:tcW w:w="1161" w:type="dxa"/>
            <w:noWrap w:val="0"/>
            <w:vAlign w:val="center"/>
          </w:tcPr>
          <w:p w14:paraId="155ABC36">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56.8</w:t>
            </w:r>
          </w:p>
        </w:tc>
        <w:tc>
          <w:tcPr>
            <w:tcW w:w="1090" w:type="dxa"/>
            <w:noWrap w:val="0"/>
            <w:vAlign w:val="center"/>
          </w:tcPr>
          <w:p w14:paraId="268D4E45">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50.8</w:t>
            </w:r>
          </w:p>
        </w:tc>
        <w:tc>
          <w:tcPr>
            <w:tcW w:w="1081" w:type="dxa"/>
            <w:noWrap w:val="0"/>
            <w:vAlign w:val="center"/>
          </w:tcPr>
          <w:p w14:paraId="18CDF701">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35</w:t>
            </w:r>
          </w:p>
        </w:tc>
      </w:tr>
      <w:tr w14:paraId="09806F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30" w:type="dxa"/>
            <w:noWrap w:val="0"/>
            <w:vAlign w:val="center"/>
          </w:tcPr>
          <w:p w14:paraId="3A7CB783">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木工、钢筋加工</w:t>
            </w:r>
          </w:p>
        </w:tc>
        <w:tc>
          <w:tcPr>
            <w:tcW w:w="1183" w:type="dxa"/>
            <w:noWrap w:val="0"/>
            <w:vAlign w:val="center"/>
          </w:tcPr>
          <w:p w14:paraId="3DD405C0">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71.0</w:t>
            </w:r>
          </w:p>
        </w:tc>
        <w:tc>
          <w:tcPr>
            <w:tcW w:w="1016" w:type="dxa"/>
            <w:noWrap w:val="0"/>
            <w:vAlign w:val="center"/>
          </w:tcPr>
          <w:p w14:paraId="7EDE43E6">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65.0</w:t>
            </w:r>
          </w:p>
        </w:tc>
        <w:tc>
          <w:tcPr>
            <w:tcW w:w="1163" w:type="dxa"/>
            <w:noWrap w:val="0"/>
            <w:vAlign w:val="center"/>
          </w:tcPr>
          <w:p w14:paraId="2B78E205">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59.0</w:t>
            </w:r>
          </w:p>
        </w:tc>
        <w:tc>
          <w:tcPr>
            <w:tcW w:w="1161" w:type="dxa"/>
            <w:noWrap w:val="0"/>
            <w:vAlign w:val="center"/>
          </w:tcPr>
          <w:p w14:paraId="28CC4325">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53.0</w:t>
            </w:r>
          </w:p>
        </w:tc>
        <w:tc>
          <w:tcPr>
            <w:tcW w:w="1090" w:type="dxa"/>
            <w:noWrap w:val="0"/>
            <w:vAlign w:val="center"/>
          </w:tcPr>
          <w:p w14:paraId="6B3EAB9B">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47.0</w:t>
            </w:r>
          </w:p>
        </w:tc>
        <w:tc>
          <w:tcPr>
            <w:tcW w:w="1081" w:type="dxa"/>
            <w:noWrap w:val="0"/>
            <w:vAlign w:val="center"/>
          </w:tcPr>
          <w:p w14:paraId="50C0A00D">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22</w:t>
            </w:r>
          </w:p>
        </w:tc>
      </w:tr>
      <w:tr w14:paraId="27F0CC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30" w:type="dxa"/>
            <w:noWrap w:val="0"/>
            <w:vAlign w:val="center"/>
          </w:tcPr>
          <w:p w14:paraId="328AF69B">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混凝土浇筑</w:t>
            </w:r>
          </w:p>
        </w:tc>
        <w:tc>
          <w:tcPr>
            <w:tcW w:w="1183" w:type="dxa"/>
            <w:noWrap w:val="0"/>
            <w:vAlign w:val="center"/>
          </w:tcPr>
          <w:p w14:paraId="637DF5C7">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76.5</w:t>
            </w:r>
          </w:p>
        </w:tc>
        <w:tc>
          <w:tcPr>
            <w:tcW w:w="1016" w:type="dxa"/>
            <w:noWrap w:val="0"/>
            <w:vAlign w:val="center"/>
          </w:tcPr>
          <w:p w14:paraId="3EAFAC64">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70.5</w:t>
            </w:r>
          </w:p>
        </w:tc>
        <w:tc>
          <w:tcPr>
            <w:tcW w:w="1163" w:type="dxa"/>
            <w:noWrap w:val="0"/>
            <w:vAlign w:val="center"/>
          </w:tcPr>
          <w:p w14:paraId="0B96C8B4">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64.5</w:t>
            </w:r>
          </w:p>
        </w:tc>
        <w:tc>
          <w:tcPr>
            <w:tcW w:w="1161" w:type="dxa"/>
            <w:noWrap w:val="0"/>
            <w:vAlign w:val="center"/>
          </w:tcPr>
          <w:p w14:paraId="0FB70FAC">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58.5</w:t>
            </w:r>
          </w:p>
        </w:tc>
        <w:tc>
          <w:tcPr>
            <w:tcW w:w="1090" w:type="dxa"/>
            <w:noWrap w:val="0"/>
            <w:vAlign w:val="center"/>
          </w:tcPr>
          <w:p w14:paraId="6486F2B5">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52.5</w:t>
            </w:r>
          </w:p>
        </w:tc>
        <w:tc>
          <w:tcPr>
            <w:tcW w:w="1081" w:type="dxa"/>
            <w:noWrap w:val="0"/>
            <w:vAlign w:val="center"/>
          </w:tcPr>
          <w:p w14:paraId="4A8E6B3A">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42</w:t>
            </w:r>
          </w:p>
        </w:tc>
      </w:tr>
      <w:tr w14:paraId="51DC33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430" w:type="dxa"/>
            <w:noWrap w:val="0"/>
            <w:vAlign w:val="center"/>
          </w:tcPr>
          <w:p w14:paraId="67EF11C1">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疏浚工程</w:t>
            </w:r>
          </w:p>
        </w:tc>
        <w:tc>
          <w:tcPr>
            <w:tcW w:w="1183" w:type="dxa"/>
            <w:noWrap w:val="0"/>
            <w:vAlign w:val="center"/>
          </w:tcPr>
          <w:p w14:paraId="25E448F6">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68.3</w:t>
            </w:r>
          </w:p>
        </w:tc>
        <w:tc>
          <w:tcPr>
            <w:tcW w:w="1016" w:type="dxa"/>
            <w:noWrap w:val="0"/>
            <w:vAlign w:val="center"/>
          </w:tcPr>
          <w:p w14:paraId="1CA17B1E">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62.3</w:t>
            </w:r>
          </w:p>
        </w:tc>
        <w:tc>
          <w:tcPr>
            <w:tcW w:w="1163" w:type="dxa"/>
            <w:noWrap w:val="0"/>
            <w:vAlign w:val="center"/>
          </w:tcPr>
          <w:p w14:paraId="7FE80650">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56.3</w:t>
            </w:r>
          </w:p>
        </w:tc>
        <w:tc>
          <w:tcPr>
            <w:tcW w:w="1161" w:type="dxa"/>
            <w:noWrap w:val="0"/>
            <w:vAlign w:val="center"/>
          </w:tcPr>
          <w:p w14:paraId="75AC237D">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50.3</w:t>
            </w:r>
          </w:p>
        </w:tc>
        <w:tc>
          <w:tcPr>
            <w:tcW w:w="1090" w:type="dxa"/>
            <w:noWrap w:val="0"/>
            <w:vAlign w:val="center"/>
          </w:tcPr>
          <w:p w14:paraId="19E52809">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44.3</w:t>
            </w:r>
          </w:p>
        </w:tc>
        <w:tc>
          <w:tcPr>
            <w:tcW w:w="1081" w:type="dxa"/>
            <w:noWrap w:val="0"/>
            <w:vAlign w:val="center"/>
          </w:tcPr>
          <w:p w14:paraId="4B7A7F75">
            <w:pPr>
              <w:keepNext w:val="0"/>
              <w:keepLines w:val="0"/>
              <w:widowControl/>
              <w:suppressLineNumbers w:val="0"/>
              <w:spacing w:before="0" w:beforeAutospacing="0" w:after="0" w:afterAutospacing="0"/>
              <w:ind w:left="0" w:right="0"/>
              <w:contextualSpacing/>
              <w:jc w:val="center"/>
              <w:rPr>
                <w:rFonts w:hint="default" w:ascii="Times New Roman" w:hAnsi="Times New Roman" w:cs="Times New Roman"/>
                <w:color w:val="auto"/>
                <w:kern w:val="0"/>
                <w:shd w:val="clear" w:color="auto" w:fill="FFFFFF"/>
              </w:rPr>
            </w:pPr>
            <w:r>
              <w:rPr>
                <w:rFonts w:hint="default" w:ascii="Times New Roman" w:hAnsi="Times New Roman" w:cs="Times New Roman"/>
                <w:color w:val="auto"/>
                <w:kern w:val="0"/>
                <w:shd w:val="clear" w:color="auto" w:fill="FFFFFF"/>
              </w:rPr>
              <w:t>16</w:t>
            </w:r>
          </w:p>
        </w:tc>
      </w:tr>
    </w:tbl>
    <w:p w14:paraId="446ECA6F">
      <w:pPr>
        <w:jc w:val="left"/>
        <w:rPr>
          <w:rFonts w:hint="eastAsia" w:ascii="黑体" w:hAnsi="黑体" w:eastAsia="黑体" w:cs="黑体"/>
          <w:color w:val="auto"/>
        </w:rPr>
      </w:pPr>
      <w:r>
        <w:rPr>
          <w:rFonts w:hint="eastAsia" w:ascii="黑体" w:hAnsi="黑体" w:eastAsia="黑体" w:cs="黑体"/>
          <w:color w:val="auto"/>
        </w:rPr>
        <w:t>注：按照最大环境影响考虑，将各施工阶段所有设备组合预测源强。</w:t>
      </w:r>
    </w:p>
    <w:p w14:paraId="2A8F1896">
      <w:pPr>
        <w:spacing w:line="360" w:lineRule="auto"/>
        <w:ind w:firstLine="480" w:firstLineChars="200"/>
        <w:rPr>
          <w:rFonts w:hint="eastAsia"/>
          <w:color w:val="auto"/>
          <w:sz w:val="24"/>
        </w:rPr>
      </w:pPr>
      <w:r>
        <w:rPr>
          <w:rFonts w:hint="eastAsia"/>
          <w:color w:val="auto"/>
          <w:sz w:val="24"/>
        </w:rPr>
        <w:t>将预测结果对照《</w:t>
      </w:r>
      <w:r>
        <w:rPr>
          <w:rFonts w:hint="eastAsia"/>
          <w:color w:val="auto"/>
          <w:sz w:val="24"/>
          <w:lang w:eastAsia="zh-CN"/>
        </w:rPr>
        <w:t>建筑施工噪声排放标准</w:t>
      </w:r>
      <w:r>
        <w:rPr>
          <w:rFonts w:hint="eastAsia"/>
          <w:color w:val="auto"/>
          <w:sz w:val="24"/>
        </w:rPr>
        <w:t>》（</w:t>
      </w:r>
      <w:r>
        <w:rPr>
          <w:rFonts w:hint="eastAsia"/>
          <w:color w:val="auto"/>
          <w:sz w:val="24"/>
          <w:lang w:eastAsia="zh-CN"/>
        </w:rPr>
        <w:t>GB 12523-2025</w:t>
      </w:r>
      <w:r>
        <w:rPr>
          <w:rFonts w:hint="eastAsia"/>
          <w:color w:val="auto"/>
          <w:sz w:val="24"/>
        </w:rPr>
        <w:t>），可知多台施工机械同时施工时，昼间在67m处可满足标准要求，正常情况下夜间禁止施工。</w:t>
      </w:r>
    </w:p>
    <w:p w14:paraId="142A797E">
      <w:pPr>
        <w:spacing w:line="360" w:lineRule="auto"/>
        <w:ind w:firstLine="480" w:firstLineChars="200"/>
        <w:rPr>
          <w:rFonts w:hint="eastAsia"/>
          <w:color w:val="auto"/>
          <w:sz w:val="24"/>
        </w:rPr>
      </w:pPr>
      <w:r>
        <w:rPr>
          <w:rFonts w:hint="eastAsia"/>
          <w:color w:val="auto"/>
          <w:sz w:val="24"/>
        </w:rPr>
        <w:t>拟建项目周边</w:t>
      </w:r>
      <w:r>
        <w:rPr>
          <w:color w:val="auto"/>
          <w:sz w:val="24"/>
        </w:rPr>
        <w:t>200</w:t>
      </w:r>
      <w:r>
        <w:rPr>
          <w:rFonts w:hint="eastAsia"/>
          <w:color w:val="auto"/>
          <w:sz w:val="24"/>
        </w:rPr>
        <w:t>m范围内现状有噪声敏感点（小孙家岗及陶郢孜），为进一步降低施工噪声对外环境的影响，</w:t>
      </w:r>
      <w:r>
        <w:rPr>
          <w:rFonts w:hint="eastAsia"/>
          <w:color w:val="auto"/>
          <w:sz w:val="24"/>
          <w:lang w:val="en-US" w:eastAsia="zh-CN"/>
        </w:rPr>
        <w:t>优选要采用优化平面布置远离敏感点施工，</w:t>
      </w:r>
      <w:r>
        <w:rPr>
          <w:rFonts w:hint="eastAsia"/>
          <w:color w:val="auto"/>
          <w:sz w:val="24"/>
        </w:rPr>
        <w:t>项目施工拟采用低噪声设备，对机械设备采取减振降噪措施，在场界处及进出港道路设置临时隔声屏障</w:t>
      </w:r>
      <w:r>
        <w:rPr>
          <w:rFonts w:hint="eastAsia"/>
          <w:color w:val="auto"/>
          <w:sz w:val="24"/>
          <w:lang w:eastAsia="zh-CN"/>
        </w:rPr>
        <w:t>，</w:t>
      </w:r>
      <w:r>
        <w:rPr>
          <w:rFonts w:hint="eastAsia"/>
          <w:color w:val="auto"/>
          <w:sz w:val="24"/>
          <w:lang w:val="en-US" w:eastAsia="zh-CN"/>
        </w:rPr>
        <w:t>采用以上措施，周边敏感点</w:t>
      </w:r>
      <w:r>
        <w:rPr>
          <w:rFonts w:hint="eastAsia" w:ascii="Times New Roman" w:eastAsia="宋体"/>
          <w:color w:val="auto"/>
          <w:sz w:val="24"/>
          <w:lang w:val="en-US" w:eastAsia="zh-CN"/>
        </w:rPr>
        <w:t>（</w:t>
      </w:r>
      <w:r>
        <w:rPr>
          <w:rFonts w:hint="eastAsia"/>
          <w:color w:val="auto"/>
          <w:sz w:val="24"/>
        </w:rPr>
        <w:t>小孙家岗</w:t>
      </w:r>
      <w:r>
        <w:rPr>
          <w:rFonts w:hint="eastAsia" w:eastAsia="宋体"/>
          <w:color w:val="auto"/>
          <w:sz w:val="24"/>
          <w:lang w:eastAsia="zh-CN"/>
        </w:rPr>
        <w:t>、</w:t>
      </w:r>
      <w:r>
        <w:rPr>
          <w:rFonts w:hint="eastAsia"/>
          <w:color w:val="auto"/>
          <w:sz w:val="24"/>
        </w:rPr>
        <w:t>陶郢孜</w:t>
      </w:r>
      <w:r>
        <w:rPr>
          <w:rFonts w:hint="eastAsia" w:ascii="Times New Roman" w:eastAsia="宋体"/>
          <w:color w:val="auto"/>
          <w:sz w:val="24"/>
          <w:lang w:val="en-US" w:eastAsia="zh-CN"/>
        </w:rPr>
        <w:t>）</w:t>
      </w:r>
      <w:r>
        <w:rPr>
          <w:rFonts w:hint="eastAsia"/>
          <w:color w:val="auto"/>
          <w:sz w:val="24"/>
          <w:lang w:val="en-US" w:eastAsia="zh-CN"/>
        </w:rPr>
        <w:t>满足</w:t>
      </w:r>
      <w:r>
        <w:rPr>
          <w:color w:val="auto"/>
          <w:sz w:val="24"/>
        </w:rPr>
        <w:t>《声环境质量标准》（</w:t>
      </w:r>
      <w:r>
        <w:rPr>
          <w:rFonts w:hint="eastAsia"/>
          <w:color w:val="auto"/>
          <w:sz w:val="24"/>
        </w:rPr>
        <w:t>G</w:t>
      </w:r>
      <w:r>
        <w:rPr>
          <w:color w:val="auto"/>
          <w:sz w:val="24"/>
        </w:rPr>
        <w:t>B3096-2008）中</w:t>
      </w:r>
      <w:r>
        <w:rPr>
          <w:rFonts w:hint="eastAsia"/>
          <w:color w:val="auto"/>
          <w:sz w:val="24"/>
        </w:rPr>
        <w:t>2类标准要求。</w:t>
      </w:r>
    </w:p>
    <w:p w14:paraId="356B022C">
      <w:pPr>
        <w:spacing w:line="360" w:lineRule="auto"/>
        <w:ind w:firstLine="480" w:firstLineChars="200"/>
        <w:rPr>
          <w:color w:val="auto"/>
          <w:sz w:val="24"/>
        </w:rPr>
      </w:pPr>
      <w:r>
        <w:rPr>
          <w:rFonts w:hint="eastAsia"/>
          <w:color w:val="auto"/>
          <w:sz w:val="24"/>
        </w:rPr>
        <w:t>2）施工交通运输噪声</w:t>
      </w:r>
    </w:p>
    <w:p w14:paraId="6652B93F">
      <w:pPr>
        <w:spacing w:line="360" w:lineRule="auto"/>
        <w:ind w:firstLine="480" w:firstLineChars="200"/>
        <w:rPr>
          <w:color w:val="auto"/>
          <w:sz w:val="24"/>
        </w:rPr>
      </w:pPr>
      <w:r>
        <w:rPr>
          <w:rFonts w:hint="eastAsia"/>
          <w:color w:val="auto"/>
          <w:sz w:val="24"/>
        </w:rPr>
        <w:t>本项目施工物料主要依托拟建码头处水面开阔，圩堤与淮河大堤之间地势平坦，目前可通过X011县道和X012县道与淮潘公路和S225省道连接，交通便利。施工期生产用水可抽取淮河水解决，生活用水用电从后方市政管网接入码头所需建材可通过公路或水路运输。</w:t>
      </w:r>
      <w:r>
        <w:rPr>
          <w:rFonts w:ascii="宋体" w:hAnsi="宋体"/>
          <w:color w:val="auto"/>
          <w:sz w:val="24"/>
          <w:szCs w:val="24"/>
        </w:rPr>
        <w:t>施工期昼间单台施工机械的噪声在距施工场地</w:t>
      </w:r>
      <w:r>
        <w:rPr>
          <w:color w:val="auto"/>
          <w:sz w:val="24"/>
          <w:szCs w:val="24"/>
        </w:rPr>
        <w:t>50</w:t>
      </w:r>
      <w:r>
        <w:rPr>
          <w:rFonts w:ascii="宋体" w:hAnsi="宋体"/>
          <w:color w:val="auto"/>
          <w:sz w:val="24"/>
          <w:szCs w:val="24"/>
        </w:rPr>
        <w:t>米外基本可达到《</w:t>
      </w:r>
      <w:r>
        <w:rPr>
          <w:rFonts w:hint="eastAsia" w:ascii="宋体" w:hAnsi="宋体"/>
          <w:color w:val="auto"/>
          <w:sz w:val="24"/>
          <w:szCs w:val="24"/>
          <w:lang w:eastAsia="zh-CN"/>
        </w:rPr>
        <w:t>建筑施工噪声排放标准</w:t>
      </w:r>
      <w:r>
        <w:rPr>
          <w:rFonts w:ascii="宋体" w:hAnsi="宋体"/>
          <w:color w:val="auto"/>
          <w:sz w:val="24"/>
          <w:szCs w:val="24"/>
        </w:rPr>
        <w:t>》（</w:t>
      </w:r>
      <w:r>
        <w:rPr>
          <w:rFonts w:hint="eastAsia" w:ascii="宋体" w:hAnsi="宋体"/>
          <w:color w:val="auto"/>
          <w:sz w:val="24"/>
          <w:szCs w:val="24"/>
          <w:lang w:eastAsia="zh-CN"/>
        </w:rPr>
        <w:t>GB 12523-2025</w:t>
      </w:r>
      <w:r>
        <w:rPr>
          <w:rFonts w:ascii="宋体" w:hAnsi="宋体"/>
          <w:color w:val="auto"/>
          <w:sz w:val="24"/>
          <w:szCs w:val="24"/>
        </w:rPr>
        <w:t>）中的相应标准限值，夜间</w:t>
      </w:r>
      <w:r>
        <w:rPr>
          <w:color w:val="auto"/>
          <w:sz w:val="24"/>
          <w:szCs w:val="24"/>
        </w:rPr>
        <w:t>446</w:t>
      </w:r>
      <w:r>
        <w:rPr>
          <w:rFonts w:ascii="宋体" w:hAnsi="宋体"/>
          <w:color w:val="auto"/>
          <w:sz w:val="24"/>
          <w:szCs w:val="24"/>
        </w:rPr>
        <w:t>米外基本可达到标准限值。但在施工现场，往往是多种施工机械共同作业，因此施工现场噪声是各种不同施工机械辐射噪声以及进出施工现场的各种车辆辐射噪声共同</w:t>
      </w:r>
      <w:r>
        <w:rPr>
          <w:rFonts w:hint="eastAsia" w:ascii="宋体" w:hAnsi="宋体"/>
          <w:color w:val="auto"/>
          <w:sz w:val="24"/>
          <w:szCs w:val="24"/>
          <w:lang w:eastAsia="zh-CN"/>
        </w:rPr>
        <w:t>作业</w:t>
      </w:r>
      <w:r>
        <w:rPr>
          <w:rFonts w:ascii="宋体" w:hAnsi="宋体"/>
          <w:color w:val="auto"/>
          <w:sz w:val="24"/>
          <w:szCs w:val="24"/>
        </w:rPr>
        <w:t>的结果，其噪声达标距离要远远超过昼间</w:t>
      </w:r>
      <w:r>
        <w:rPr>
          <w:color w:val="auto"/>
          <w:sz w:val="24"/>
          <w:szCs w:val="24"/>
        </w:rPr>
        <w:t>50</w:t>
      </w:r>
      <w:r>
        <w:rPr>
          <w:rFonts w:ascii="宋体" w:hAnsi="宋体"/>
          <w:color w:val="auto"/>
          <w:sz w:val="24"/>
          <w:szCs w:val="24"/>
        </w:rPr>
        <w:t>米、夜间</w:t>
      </w:r>
      <w:r>
        <w:rPr>
          <w:color w:val="auto"/>
          <w:sz w:val="24"/>
          <w:szCs w:val="24"/>
        </w:rPr>
        <w:t>446</w:t>
      </w:r>
      <w:r>
        <w:rPr>
          <w:rFonts w:ascii="宋体" w:hAnsi="宋体"/>
          <w:color w:val="auto"/>
          <w:sz w:val="24"/>
          <w:szCs w:val="24"/>
        </w:rPr>
        <w:t>米的范围。可见，</w:t>
      </w:r>
      <w:r>
        <w:rPr>
          <w:rFonts w:hint="eastAsia" w:ascii="宋体" w:hAnsi="宋体"/>
          <w:color w:val="auto"/>
          <w:sz w:val="24"/>
          <w:szCs w:val="24"/>
        </w:rPr>
        <w:t>项目</w:t>
      </w:r>
      <w:r>
        <w:rPr>
          <w:rFonts w:ascii="宋体" w:hAnsi="宋体"/>
          <w:color w:val="auto"/>
          <w:sz w:val="24"/>
          <w:szCs w:val="24"/>
        </w:rPr>
        <w:t>施工期间噪声影响较大。</w:t>
      </w:r>
    </w:p>
    <w:p w14:paraId="7B50F4BE">
      <w:pPr>
        <w:spacing w:line="360" w:lineRule="auto"/>
        <w:ind w:firstLine="480" w:firstLineChars="200"/>
        <w:rPr>
          <w:color w:val="auto"/>
          <w:sz w:val="24"/>
        </w:rPr>
      </w:pPr>
      <w:r>
        <w:rPr>
          <w:rFonts w:ascii="宋体" w:hAnsi="宋体"/>
          <w:color w:val="auto"/>
          <w:sz w:val="24"/>
          <w:szCs w:val="24"/>
        </w:rPr>
        <w:t>尽量采用低噪声机械设备，加强对产噪设备的维修保养，合理选择运输路线，在途经村庄时，应减速慢行；合理安排施工进度和时间，限制敏感时间段强噪声施工作业，如施工确需时，应向有关部门申请，并进行现场公告，必要时设置临时隔声屏障的方式，避免发生噪声污染事件发生；施工期严格执行《</w:t>
      </w:r>
      <w:r>
        <w:rPr>
          <w:rFonts w:hint="eastAsia" w:ascii="宋体" w:hAnsi="宋体"/>
          <w:color w:val="auto"/>
          <w:sz w:val="24"/>
          <w:szCs w:val="24"/>
          <w:lang w:eastAsia="zh-CN"/>
        </w:rPr>
        <w:t>建筑施工噪声排放标准</w:t>
      </w:r>
      <w:r>
        <w:rPr>
          <w:rFonts w:ascii="宋体" w:hAnsi="宋体"/>
          <w:color w:val="auto"/>
          <w:sz w:val="24"/>
          <w:szCs w:val="24"/>
        </w:rPr>
        <w:t>》（</w:t>
      </w:r>
      <w:r>
        <w:rPr>
          <w:rFonts w:hint="eastAsia" w:ascii="宋体" w:hAnsi="宋体"/>
          <w:color w:val="auto"/>
          <w:sz w:val="24"/>
          <w:szCs w:val="24"/>
          <w:lang w:eastAsia="zh-CN"/>
        </w:rPr>
        <w:t>GB 12523-2025</w:t>
      </w:r>
      <w:r>
        <w:rPr>
          <w:rFonts w:ascii="宋体" w:hAnsi="宋体"/>
          <w:color w:val="auto"/>
          <w:sz w:val="24"/>
          <w:szCs w:val="24"/>
        </w:rPr>
        <w:t>）；加强施工期噪声监测，及时采取有效的噪声污染防治措施。</w:t>
      </w:r>
    </w:p>
    <w:p w14:paraId="2B9BEBEA">
      <w:pPr>
        <w:spacing w:line="360" w:lineRule="auto"/>
        <w:ind w:firstLine="480" w:firstLineChars="200"/>
        <w:rPr>
          <w:color w:val="auto"/>
          <w:sz w:val="24"/>
        </w:rPr>
      </w:pPr>
      <w:r>
        <w:rPr>
          <w:rFonts w:hint="eastAsia"/>
          <w:color w:val="auto"/>
          <w:sz w:val="24"/>
        </w:rPr>
        <w:t>本评价要求运输车辆应避开午休和夜间运输，严禁鸣笛，降低车速，尽可能</w:t>
      </w:r>
      <w:r>
        <w:rPr>
          <w:rFonts w:hint="eastAsia"/>
          <w:color w:val="auto"/>
          <w:sz w:val="24"/>
          <w:lang w:eastAsia="zh-CN"/>
        </w:rPr>
        <w:t>地</w:t>
      </w:r>
      <w:r>
        <w:rPr>
          <w:rFonts w:hint="eastAsia"/>
          <w:color w:val="auto"/>
          <w:sz w:val="24"/>
        </w:rPr>
        <w:t>降低对道路运输带来的不良环境影响。</w:t>
      </w:r>
      <w:bookmarkEnd w:id="137"/>
    </w:p>
    <w:p w14:paraId="74C3D393">
      <w:pPr>
        <w:pStyle w:val="4"/>
        <w:numPr>
          <w:ilvl w:val="2"/>
          <w:numId w:val="0"/>
        </w:numPr>
        <w:rPr>
          <w:color w:val="auto"/>
        </w:rPr>
      </w:pPr>
      <w:r>
        <w:rPr>
          <w:rFonts w:hint="eastAsia"/>
          <w:color w:val="auto"/>
        </w:rPr>
        <w:t>5.1.4施工</w:t>
      </w:r>
      <w:r>
        <w:rPr>
          <w:color w:val="auto"/>
        </w:rPr>
        <w:t>期</w:t>
      </w:r>
      <w:r>
        <w:rPr>
          <w:rFonts w:hint="eastAsia"/>
          <w:color w:val="auto"/>
        </w:rPr>
        <w:t>固体废物</w:t>
      </w:r>
      <w:r>
        <w:rPr>
          <w:color w:val="auto"/>
        </w:rPr>
        <w:t>影响分析</w:t>
      </w:r>
    </w:p>
    <w:p w14:paraId="4247241E">
      <w:pPr>
        <w:spacing w:line="360" w:lineRule="auto"/>
        <w:ind w:firstLine="480" w:firstLineChars="200"/>
        <w:rPr>
          <w:rFonts w:hint="eastAsia"/>
          <w:color w:val="auto"/>
          <w:sz w:val="24"/>
        </w:rPr>
      </w:pPr>
      <w:r>
        <w:rPr>
          <w:rFonts w:hint="eastAsia"/>
          <w:color w:val="auto"/>
          <w:sz w:val="24"/>
        </w:rPr>
        <w:t>本项目施工期产生的固体废弃物主要为施工人员生活垃圾</w:t>
      </w:r>
      <w:r>
        <w:rPr>
          <w:rFonts w:hint="eastAsia"/>
          <w:color w:val="auto"/>
          <w:sz w:val="24"/>
          <w:lang w:eastAsia="zh-CN"/>
        </w:rPr>
        <w:t>、</w:t>
      </w:r>
      <w:r>
        <w:rPr>
          <w:rFonts w:hint="eastAsia"/>
          <w:color w:val="auto"/>
          <w:sz w:val="24"/>
        </w:rPr>
        <w:t>废油</w:t>
      </w:r>
      <w:r>
        <w:rPr>
          <w:rFonts w:hint="eastAsia"/>
          <w:color w:val="auto"/>
          <w:sz w:val="24"/>
          <w:lang w:val="en-US" w:eastAsia="zh-CN"/>
        </w:rPr>
        <w:t>和陆域建筑装修产生的垃圾</w:t>
      </w:r>
      <w:r>
        <w:rPr>
          <w:rFonts w:hint="eastAsia"/>
          <w:color w:val="auto"/>
          <w:sz w:val="24"/>
        </w:rPr>
        <w:t>。</w:t>
      </w:r>
    </w:p>
    <w:p w14:paraId="2E6D6AA3">
      <w:pPr>
        <w:spacing w:line="360" w:lineRule="auto"/>
        <w:ind w:firstLine="480" w:firstLineChars="200"/>
        <w:rPr>
          <w:rFonts w:hint="eastAsia"/>
          <w:color w:val="auto"/>
          <w:sz w:val="24"/>
        </w:rPr>
      </w:pPr>
      <w:r>
        <w:rPr>
          <w:rFonts w:hint="eastAsia"/>
          <w:color w:val="auto"/>
          <w:sz w:val="24"/>
        </w:rPr>
        <w:t>（</w:t>
      </w:r>
      <w:r>
        <w:rPr>
          <w:color w:val="auto"/>
          <w:sz w:val="24"/>
        </w:rPr>
        <w:t>1</w:t>
      </w:r>
      <w:r>
        <w:rPr>
          <w:rFonts w:hint="eastAsia"/>
          <w:color w:val="auto"/>
          <w:sz w:val="24"/>
        </w:rPr>
        <w:t>）生活垃圾</w:t>
      </w:r>
    </w:p>
    <w:p w14:paraId="193BC938">
      <w:pPr>
        <w:spacing w:line="360" w:lineRule="auto"/>
        <w:ind w:firstLine="480" w:firstLineChars="200"/>
        <w:rPr>
          <w:rFonts w:hint="eastAsia"/>
          <w:color w:val="auto"/>
          <w:sz w:val="24"/>
        </w:rPr>
      </w:pPr>
      <w:r>
        <w:rPr>
          <w:rFonts w:hint="eastAsia"/>
          <w:color w:val="auto"/>
          <w:sz w:val="24"/>
        </w:rPr>
        <w:t>拟建项目施工期约</w:t>
      </w:r>
      <w:r>
        <w:rPr>
          <w:color w:val="auto"/>
          <w:sz w:val="24"/>
        </w:rPr>
        <w:t>300</w:t>
      </w:r>
      <w:r>
        <w:rPr>
          <w:rFonts w:hint="eastAsia"/>
          <w:color w:val="auto"/>
          <w:sz w:val="24"/>
        </w:rPr>
        <w:t>d，施工人员共约</w:t>
      </w:r>
      <w:r>
        <w:rPr>
          <w:color w:val="auto"/>
          <w:sz w:val="24"/>
        </w:rPr>
        <w:t>22</w:t>
      </w:r>
      <w:r>
        <w:rPr>
          <w:rFonts w:hint="eastAsia"/>
          <w:color w:val="auto"/>
          <w:sz w:val="24"/>
        </w:rPr>
        <w:t>人（包括施工船舶人员），按人均每天产生活垃圾0.5kg预测，共产生</w:t>
      </w:r>
      <w:r>
        <w:rPr>
          <w:color w:val="auto"/>
          <w:sz w:val="24"/>
        </w:rPr>
        <w:t>3.3</w:t>
      </w:r>
      <w:r>
        <w:rPr>
          <w:rFonts w:hint="eastAsia"/>
          <w:color w:val="auto"/>
          <w:sz w:val="24"/>
        </w:rPr>
        <w:t>t生活垃圾。生活垃圾可集中堆放后由环卫部门及时清运处置，减轻对环境的影响。</w:t>
      </w:r>
    </w:p>
    <w:p w14:paraId="00E9547D">
      <w:pPr>
        <w:spacing w:line="360" w:lineRule="auto"/>
        <w:ind w:firstLine="480" w:firstLineChars="200"/>
        <w:rPr>
          <w:rFonts w:hint="eastAsia"/>
          <w:color w:val="auto"/>
          <w:sz w:val="24"/>
        </w:rPr>
      </w:pPr>
      <w:r>
        <w:rPr>
          <w:rFonts w:hint="eastAsia"/>
          <w:color w:val="auto"/>
          <w:sz w:val="24"/>
        </w:rPr>
        <w:t>（</w:t>
      </w:r>
      <w:r>
        <w:rPr>
          <w:color w:val="auto"/>
          <w:sz w:val="24"/>
        </w:rPr>
        <w:t>2</w:t>
      </w:r>
      <w:r>
        <w:rPr>
          <w:rFonts w:hint="eastAsia"/>
          <w:color w:val="auto"/>
          <w:sz w:val="24"/>
        </w:rPr>
        <w:t>）废油</w:t>
      </w:r>
    </w:p>
    <w:p w14:paraId="57284B98">
      <w:pPr>
        <w:spacing w:line="360" w:lineRule="auto"/>
        <w:ind w:firstLine="480" w:firstLineChars="200"/>
        <w:rPr>
          <w:rFonts w:hint="eastAsia"/>
          <w:color w:val="auto"/>
          <w:sz w:val="24"/>
          <w:szCs w:val="24"/>
        </w:rPr>
      </w:pPr>
      <w:r>
        <w:rPr>
          <w:color w:val="auto"/>
          <w:sz w:val="24"/>
          <w:szCs w:val="24"/>
        </w:rPr>
        <w:t>施工机械、车辆</w:t>
      </w:r>
      <w:r>
        <w:rPr>
          <w:rFonts w:hint="eastAsia"/>
          <w:color w:val="auto"/>
          <w:sz w:val="24"/>
          <w:szCs w:val="24"/>
        </w:rPr>
        <w:t>、</w:t>
      </w:r>
      <w:r>
        <w:rPr>
          <w:color w:val="auto"/>
          <w:sz w:val="24"/>
          <w:szCs w:val="24"/>
        </w:rPr>
        <w:t>砂石水泥物料运输车辆车轮冲洗</w:t>
      </w:r>
      <w:r>
        <w:rPr>
          <w:rFonts w:hint="eastAsia"/>
          <w:color w:val="auto"/>
          <w:sz w:val="24"/>
          <w:szCs w:val="24"/>
        </w:rPr>
        <w:t>废水</w:t>
      </w:r>
      <w:r>
        <w:rPr>
          <w:color w:val="auto"/>
          <w:sz w:val="24"/>
          <w:szCs w:val="24"/>
        </w:rPr>
        <w:t>采用</w:t>
      </w:r>
      <w:r>
        <w:rPr>
          <w:rFonts w:hint="eastAsia"/>
          <w:color w:val="auto"/>
          <w:sz w:val="24"/>
          <w:szCs w:val="24"/>
        </w:rPr>
        <w:t>隔油沉淀</w:t>
      </w:r>
      <w:r>
        <w:rPr>
          <w:color w:val="auto"/>
          <w:sz w:val="24"/>
          <w:szCs w:val="24"/>
        </w:rPr>
        <w:t>池沉降，在施工区域内设置处理规模为15m</w:t>
      </w:r>
      <w:r>
        <w:rPr>
          <w:color w:val="auto"/>
          <w:sz w:val="24"/>
          <w:szCs w:val="24"/>
          <w:vertAlign w:val="superscript"/>
        </w:rPr>
        <w:t>3</w:t>
      </w:r>
      <w:r>
        <w:rPr>
          <w:color w:val="auto"/>
          <w:sz w:val="24"/>
          <w:szCs w:val="24"/>
        </w:rPr>
        <w:t>的</w:t>
      </w:r>
      <w:r>
        <w:rPr>
          <w:rFonts w:hint="eastAsia"/>
          <w:color w:val="auto"/>
          <w:sz w:val="24"/>
          <w:szCs w:val="24"/>
        </w:rPr>
        <w:t>隔油沉淀</w:t>
      </w:r>
      <w:r>
        <w:rPr>
          <w:color w:val="auto"/>
          <w:sz w:val="24"/>
          <w:szCs w:val="24"/>
        </w:rPr>
        <w:t>池（5m×2m×1.5m），经</w:t>
      </w:r>
      <w:r>
        <w:rPr>
          <w:rFonts w:hint="eastAsia"/>
          <w:color w:val="auto"/>
          <w:sz w:val="24"/>
          <w:szCs w:val="24"/>
        </w:rPr>
        <w:t>隔油沉淀</w:t>
      </w:r>
      <w:r>
        <w:rPr>
          <w:color w:val="auto"/>
          <w:sz w:val="24"/>
          <w:szCs w:val="24"/>
        </w:rPr>
        <w:t>池处理后，回用于地面及车辆冲洗，不外排。收集的废油属危险废物，</w:t>
      </w:r>
      <w:r>
        <w:rPr>
          <w:rFonts w:hint="eastAsia"/>
          <w:color w:val="auto"/>
          <w:sz w:val="24"/>
          <w:szCs w:val="24"/>
          <w:lang w:eastAsia="zh-CN"/>
        </w:rPr>
        <w:t>交由</w:t>
      </w:r>
      <w:r>
        <w:rPr>
          <w:color w:val="auto"/>
          <w:sz w:val="24"/>
          <w:szCs w:val="24"/>
        </w:rPr>
        <w:t>相关资质单位处置</w:t>
      </w:r>
      <w:r>
        <w:rPr>
          <w:rFonts w:hint="eastAsia"/>
          <w:color w:val="auto"/>
          <w:sz w:val="24"/>
          <w:szCs w:val="24"/>
        </w:rPr>
        <w:t>。</w:t>
      </w:r>
    </w:p>
    <w:p w14:paraId="2B61EB61">
      <w:pPr>
        <w:spacing w:line="360" w:lineRule="auto"/>
        <w:ind w:firstLine="480" w:firstLineChars="200"/>
        <w:rPr>
          <w:rFonts w:hint="default" w:eastAsia="宋体"/>
          <w:color w:val="auto"/>
          <w:sz w:val="24"/>
          <w:lang w:val="en-US" w:eastAsia="zh-CN"/>
        </w:rPr>
      </w:pPr>
      <w:r>
        <w:rPr>
          <w:rFonts w:hint="eastAsia"/>
          <w:color w:val="auto"/>
          <w:sz w:val="24"/>
        </w:rPr>
        <w:t>（</w:t>
      </w:r>
      <w:r>
        <w:rPr>
          <w:rFonts w:hint="eastAsia"/>
          <w:color w:val="auto"/>
          <w:sz w:val="24"/>
          <w:lang w:val="en-US" w:eastAsia="zh-CN"/>
        </w:rPr>
        <w:t>3</w:t>
      </w:r>
      <w:r>
        <w:rPr>
          <w:rFonts w:hint="eastAsia"/>
          <w:color w:val="auto"/>
          <w:sz w:val="24"/>
        </w:rPr>
        <w:t>）</w:t>
      </w:r>
      <w:r>
        <w:rPr>
          <w:rFonts w:hint="eastAsia"/>
          <w:color w:val="auto"/>
          <w:sz w:val="24"/>
          <w:lang w:val="en-US" w:eastAsia="zh-CN"/>
        </w:rPr>
        <w:t>装修废物</w:t>
      </w:r>
    </w:p>
    <w:p w14:paraId="05F7980F">
      <w:pPr>
        <w:spacing w:line="360" w:lineRule="auto"/>
        <w:ind w:firstLine="480" w:firstLineChars="200"/>
        <w:rPr>
          <w:color w:val="auto"/>
          <w:sz w:val="24"/>
          <w:szCs w:val="24"/>
        </w:rPr>
      </w:pPr>
      <w:r>
        <w:rPr>
          <w:rFonts w:hint="eastAsia"/>
          <w:color w:val="auto"/>
          <w:sz w:val="24"/>
          <w:szCs w:val="24"/>
          <w:lang w:val="en-US" w:eastAsia="zh-CN"/>
        </w:rPr>
        <w:t>建筑垃圾及泥浆渣土应及时外运、合理处置。装饰、装修期间产生的废溶剂桶、废机油及含油废抹布等危险废物，由专人负责收集，根据相关规定，委托有资质单位处理处置。</w:t>
      </w:r>
    </w:p>
    <w:p w14:paraId="4FC7DDE7">
      <w:pPr>
        <w:spacing w:line="360" w:lineRule="auto"/>
        <w:ind w:firstLine="480" w:firstLineChars="200"/>
        <w:rPr>
          <w:rFonts w:hint="eastAsia"/>
          <w:color w:val="auto"/>
          <w:sz w:val="24"/>
        </w:rPr>
      </w:pPr>
      <w:r>
        <w:rPr>
          <w:rFonts w:hint="eastAsia"/>
          <w:color w:val="auto"/>
          <w:sz w:val="24"/>
        </w:rPr>
        <w:t>施工期严格落实相关环保措施，严禁将各类废水、废液、废渣排入淮河水体，不会对淮河及下游水生态环境产生不利影响。</w:t>
      </w:r>
    </w:p>
    <w:p w14:paraId="0CADCFDE">
      <w:pPr>
        <w:pStyle w:val="4"/>
        <w:numPr>
          <w:ilvl w:val="2"/>
          <w:numId w:val="0"/>
        </w:numPr>
        <w:rPr>
          <w:color w:val="auto"/>
        </w:rPr>
      </w:pPr>
      <w:r>
        <w:rPr>
          <w:rFonts w:hint="eastAsia"/>
          <w:color w:val="auto"/>
        </w:rPr>
        <w:t>5.1.5</w:t>
      </w:r>
      <w:r>
        <w:rPr>
          <w:color w:val="auto"/>
        </w:rPr>
        <w:t>施工期生态影响分析</w:t>
      </w:r>
    </w:p>
    <w:p w14:paraId="39655018">
      <w:pPr>
        <w:spacing w:line="360" w:lineRule="auto"/>
        <w:ind w:firstLine="480" w:firstLineChars="200"/>
        <w:rPr>
          <w:color w:val="auto"/>
          <w:sz w:val="24"/>
        </w:rPr>
      </w:pPr>
      <w:r>
        <w:rPr>
          <w:rFonts w:hint="eastAsia"/>
          <w:color w:val="auto"/>
          <w:sz w:val="24"/>
        </w:rPr>
        <w:t>码头建设对生态环境的影响主要来自由于土地利用格局的变化而引发的生态环境问题，由于码头人工建筑的出现，建设所在地土地利用类型发生改变，其土地生产能力、绿地调节控制能力以及生物种群数量、内部异质化程度等均会相应受到影响。本评价将从码头建设对该区域的土地利用、陆域生态及水生生态环境与渔业资源等几个方面的影响分别进行分析。</w:t>
      </w:r>
    </w:p>
    <w:p w14:paraId="237F75F7">
      <w:pPr>
        <w:pStyle w:val="5"/>
        <w:numPr>
          <w:ilvl w:val="3"/>
          <w:numId w:val="0"/>
        </w:numPr>
        <w:rPr>
          <w:color w:val="auto"/>
        </w:rPr>
      </w:pPr>
      <w:r>
        <w:rPr>
          <w:rFonts w:hint="eastAsia"/>
          <w:color w:val="auto"/>
        </w:rPr>
        <w:t>5.1.5.1</w:t>
      </w:r>
      <w:r>
        <w:rPr>
          <w:color w:val="auto"/>
        </w:rPr>
        <w:t>土地利用的影响</w:t>
      </w:r>
    </w:p>
    <w:p w14:paraId="57CA04F2">
      <w:pPr>
        <w:spacing w:line="360" w:lineRule="auto"/>
        <w:ind w:firstLine="480" w:firstLineChars="200"/>
        <w:rPr>
          <w:rFonts w:hint="eastAsia"/>
          <w:color w:val="auto"/>
          <w:sz w:val="24"/>
        </w:rPr>
      </w:pPr>
      <w:r>
        <w:rPr>
          <w:rFonts w:hint="eastAsia"/>
          <w:color w:val="auto"/>
          <w:sz w:val="24"/>
        </w:rPr>
        <w:t>本项目由于作业区码头的建设，项目区域的土地地貌特征将彻底改变，大部分地面将变为不可渗透和不利于植物生长的水泥混凝土地面，改变了原有的生态系统功能和结构，主要表现在：</w:t>
      </w:r>
    </w:p>
    <w:p w14:paraId="500CE0B6">
      <w:pPr>
        <w:spacing w:line="360" w:lineRule="auto"/>
        <w:ind w:firstLine="480" w:firstLineChars="200"/>
        <w:rPr>
          <w:rFonts w:hint="eastAsia"/>
          <w:color w:val="auto"/>
          <w:sz w:val="24"/>
        </w:rPr>
      </w:pPr>
      <w:r>
        <w:rPr>
          <w:rFonts w:hint="eastAsia"/>
          <w:color w:val="auto"/>
          <w:sz w:val="24"/>
        </w:rPr>
        <w:t>（1）河滩地将成为建筑用地和其他类型用地。</w:t>
      </w:r>
    </w:p>
    <w:p w14:paraId="11EC2D16">
      <w:pPr>
        <w:spacing w:line="360" w:lineRule="auto"/>
        <w:ind w:firstLine="480" w:firstLineChars="200"/>
        <w:rPr>
          <w:rFonts w:hint="eastAsia"/>
          <w:color w:val="auto"/>
          <w:sz w:val="24"/>
        </w:rPr>
      </w:pPr>
      <w:r>
        <w:rPr>
          <w:rFonts w:hint="eastAsia"/>
          <w:color w:val="auto"/>
          <w:sz w:val="24"/>
        </w:rPr>
        <w:t>（2）城市化扩大，人类活动强度加强，加大了区域生态的压力。</w:t>
      </w:r>
    </w:p>
    <w:p w14:paraId="7898A469">
      <w:pPr>
        <w:spacing w:line="360" w:lineRule="auto"/>
        <w:ind w:firstLine="480" w:firstLineChars="200"/>
        <w:rPr>
          <w:rFonts w:hint="eastAsia"/>
          <w:color w:val="auto"/>
          <w:sz w:val="24"/>
        </w:rPr>
      </w:pPr>
      <w:r>
        <w:rPr>
          <w:rFonts w:hint="eastAsia"/>
          <w:color w:val="auto"/>
          <w:sz w:val="24"/>
        </w:rPr>
        <w:t>（3）使该区域污染物种类、数量增加和污染面扩大，构成了对区域生境潜在威胁，生态恶化风险加大。</w:t>
      </w:r>
    </w:p>
    <w:p w14:paraId="5BF4E1D4">
      <w:pPr>
        <w:spacing w:line="360" w:lineRule="auto"/>
        <w:ind w:firstLine="480" w:firstLineChars="200"/>
        <w:rPr>
          <w:rFonts w:hint="eastAsia"/>
          <w:color w:val="auto"/>
          <w:sz w:val="24"/>
        </w:rPr>
      </w:pPr>
      <w:r>
        <w:rPr>
          <w:rFonts w:hint="eastAsia"/>
          <w:color w:val="auto"/>
          <w:sz w:val="24"/>
        </w:rPr>
        <w:t>（4）人工设施面积大，改变了局部地域的自然生态过程，陆生野生动植物生境改变和栖息地消失。</w:t>
      </w:r>
    </w:p>
    <w:p w14:paraId="249BD222">
      <w:pPr>
        <w:spacing w:line="360" w:lineRule="auto"/>
        <w:ind w:firstLine="480" w:firstLineChars="200"/>
        <w:rPr>
          <w:rFonts w:hint="eastAsia"/>
          <w:color w:val="auto"/>
          <w:sz w:val="24"/>
        </w:rPr>
      </w:pPr>
      <w:r>
        <w:rPr>
          <w:rFonts w:hint="eastAsia"/>
          <w:color w:val="auto"/>
          <w:sz w:val="24"/>
        </w:rPr>
        <w:t>（5）地面固化、硬化导致地表径流自然状态改变，增加区域内径流量，水土流失量增大。</w:t>
      </w:r>
    </w:p>
    <w:p w14:paraId="2524DFF6">
      <w:pPr>
        <w:spacing w:line="360" w:lineRule="auto"/>
        <w:ind w:firstLine="480" w:firstLineChars="200"/>
        <w:rPr>
          <w:color w:val="auto"/>
          <w:sz w:val="24"/>
        </w:rPr>
      </w:pPr>
      <w:r>
        <w:rPr>
          <w:rFonts w:hint="eastAsia"/>
          <w:color w:val="auto"/>
          <w:sz w:val="24"/>
        </w:rPr>
        <w:t>码头建设对项目所在区域土地类型的影响主要是土地利用类型的改变，特别是土地工业化，完全改变了原有的土地利用性质。当项目建立起来以后，区域的植物种群会发生很大变化，现有的自然植被将全部消失，人工栽培的花草树木将取而代之</w:t>
      </w:r>
      <w:r>
        <w:rPr>
          <w:color w:val="auto"/>
          <w:sz w:val="24"/>
        </w:rPr>
        <w:t>。</w:t>
      </w:r>
    </w:p>
    <w:p w14:paraId="6F55797E">
      <w:pPr>
        <w:pStyle w:val="5"/>
        <w:numPr>
          <w:ilvl w:val="3"/>
          <w:numId w:val="0"/>
        </w:numPr>
        <w:rPr>
          <w:color w:val="auto"/>
        </w:rPr>
      </w:pPr>
      <w:r>
        <w:rPr>
          <w:rFonts w:hint="eastAsia"/>
          <w:color w:val="auto"/>
        </w:rPr>
        <w:t>5.1.5.2</w:t>
      </w:r>
      <w:r>
        <w:rPr>
          <w:color w:val="auto"/>
        </w:rPr>
        <w:t>施工期对陆域生态影响</w:t>
      </w:r>
    </w:p>
    <w:p w14:paraId="11154CDA">
      <w:pPr>
        <w:pStyle w:val="2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工程施工期对陆生生态影响主要来自于占地影响、施工机械噪声及施工人员噪声等影响。对鸟类：本项目永久占地侵占了部分鸟类活动场所，鸟类被迫迁移到周边类似生境；同时，根据《道路噪声对鸟类习鸣质量的影响因子研究》（蔡超，</w:t>
      </w:r>
      <w:r>
        <w:rPr>
          <w:rFonts w:hint="default" w:ascii="Times New Roman" w:hAnsi="Times New Roman" w:eastAsia="宋体" w:cs="Times New Roman"/>
          <w:color w:val="auto"/>
          <w:kern w:val="0"/>
          <w:sz w:val="24"/>
          <w:szCs w:val="24"/>
          <w:lang w:val="en-US" w:eastAsia="zh-CN" w:bidi="ar"/>
        </w:rPr>
        <w:t>2012</w:t>
      </w:r>
      <w:r>
        <w:rPr>
          <w:rFonts w:hint="eastAsia" w:ascii="宋体" w:hAnsi="宋体" w:eastAsia="宋体" w:cs="宋体"/>
          <w:color w:val="auto"/>
          <w:kern w:val="0"/>
          <w:sz w:val="24"/>
          <w:szCs w:val="24"/>
          <w:lang w:val="en-US" w:eastAsia="zh-CN" w:bidi="ar"/>
        </w:rPr>
        <w:t>），施工噪声可以影响鸟类的取食行为、社群行为、繁殖行为和空间行为，施工产生的噪声鸟类大多会由于暂时性惊吓而远离该区域迁往别处。但工程附近仍有大片类似的生境可以供鸟类栖息觅食，施工结束后，周边的绿化进行恢复，生态环境稳定后鸟类会返回该区域。</w:t>
      </w:r>
    </w:p>
    <w:p w14:paraId="43A3D9CF">
      <w:pPr>
        <w:pStyle w:val="2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同时，本项目上下游均有码头，周边为村落分布、人类活动频繁，很少有珍稀濒危鸟类在附近活动。因此拟建项目施工期不会对滩涂珍稀濒危的鸟类产生影响。且施工期滩涂鸟类可转移到</w:t>
      </w:r>
      <w:r>
        <w:rPr>
          <w:rFonts w:hint="eastAsia" w:ascii="宋体" w:hAnsi="宋体" w:cs="宋体"/>
          <w:color w:val="auto"/>
          <w:kern w:val="0"/>
          <w:sz w:val="24"/>
          <w:szCs w:val="24"/>
          <w:lang w:val="en-US" w:eastAsia="zh-CN" w:bidi="ar"/>
        </w:rPr>
        <w:t>其他类似</w:t>
      </w:r>
      <w:r>
        <w:rPr>
          <w:rFonts w:hint="eastAsia" w:ascii="宋体" w:hAnsi="宋体" w:eastAsia="宋体" w:cs="宋体"/>
          <w:color w:val="auto"/>
          <w:kern w:val="0"/>
          <w:sz w:val="24"/>
          <w:szCs w:val="24"/>
          <w:lang w:val="en-US" w:eastAsia="zh-CN" w:bidi="ar"/>
        </w:rPr>
        <w:t>区域觅食和活动，施工结束后，生活环境稳定，鸟类会恢复新的平衡。总体，本项目施工对周边鸟类影响有限。</w:t>
      </w:r>
    </w:p>
    <w:p w14:paraId="0FF29B6B">
      <w:pPr>
        <w:pStyle w:val="2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对兽类：本项目周边鼠类为常见种，分布较广，适应性强，虽然施工开始会受到一定程度影响而先暂时离开此地，但施工结束后大部分兽类随着生境条件的恢复将逐步迁回工程附近区域。</w:t>
      </w:r>
    </w:p>
    <w:p w14:paraId="491AC023">
      <w:pPr>
        <w:pStyle w:val="2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对爬行类：施工期占地及干扰，爬行类动物大多将自然逃离，迁移到临近区域生活。工程建成后随着植被的逐步恢复，生态环境逐步改善，部分动物将返回工程区域附近，种群数量会进一步恢复。</w:t>
      </w:r>
    </w:p>
    <w:p w14:paraId="1938B235">
      <w:pPr>
        <w:pStyle w:val="2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rPr>
      </w:pPr>
      <w:r>
        <w:rPr>
          <w:rFonts w:hint="eastAsia" w:ascii="宋体" w:hAnsi="宋体" w:eastAsia="宋体" w:cs="宋体"/>
          <w:color w:val="auto"/>
          <w:kern w:val="0"/>
          <w:sz w:val="24"/>
          <w:szCs w:val="24"/>
          <w:lang w:val="en-US" w:eastAsia="zh-CN" w:bidi="ar"/>
        </w:rPr>
        <w:t>综上，本项目在采取相应生态影响防护措施后，对陆生生态影响不大。</w:t>
      </w:r>
    </w:p>
    <w:p w14:paraId="424E5607">
      <w:pPr>
        <w:pStyle w:val="5"/>
        <w:numPr>
          <w:ilvl w:val="3"/>
          <w:numId w:val="0"/>
        </w:numPr>
        <w:rPr>
          <w:color w:val="auto"/>
        </w:rPr>
      </w:pPr>
      <w:r>
        <w:rPr>
          <w:rFonts w:hint="eastAsia"/>
          <w:color w:val="auto"/>
        </w:rPr>
        <w:t>5.1.5.3</w:t>
      </w:r>
      <w:r>
        <w:rPr>
          <w:color w:val="auto"/>
        </w:rPr>
        <w:t>施工期</w:t>
      </w:r>
      <w:r>
        <w:rPr>
          <w:rFonts w:hint="eastAsia"/>
          <w:color w:val="auto"/>
        </w:rPr>
        <w:t>对水生</w:t>
      </w:r>
      <w:r>
        <w:rPr>
          <w:color w:val="auto"/>
        </w:rPr>
        <w:t>生态影响</w:t>
      </w:r>
    </w:p>
    <w:p w14:paraId="7BF5EF05">
      <w:pPr>
        <w:spacing w:line="360" w:lineRule="auto"/>
        <w:ind w:firstLine="480" w:firstLineChars="200"/>
        <w:rPr>
          <w:rFonts w:hint="eastAsia"/>
          <w:color w:val="auto"/>
          <w:sz w:val="24"/>
        </w:rPr>
      </w:pPr>
      <w:r>
        <w:rPr>
          <w:rFonts w:hint="eastAsia"/>
          <w:color w:val="auto"/>
          <w:sz w:val="24"/>
        </w:rPr>
        <w:t>（1）港区的建设对底栖生物的影响分析</w:t>
      </w:r>
    </w:p>
    <w:p w14:paraId="06ED1AD7">
      <w:pPr>
        <w:spacing w:line="360" w:lineRule="auto"/>
        <w:ind w:firstLine="480" w:firstLineChars="200"/>
        <w:rPr>
          <w:rFonts w:hint="eastAsia"/>
          <w:color w:val="auto"/>
          <w:sz w:val="24"/>
        </w:rPr>
      </w:pPr>
      <w:r>
        <w:rPr>
          <w:rFonts w:hint="eastAsia"/>
          <w:color w:val="auto"/>
          <w:sz w:val="24"/>
        </w:rPr>
        <w:t>港区的建设对底栖生物最主要的影响是毁坏了底栖生物的栖息地，使底栖生物丧失了部分栖息地，栖息空间受到了影响。</w:t>
      </w:r>
    </w:p>
    <w:p w14:paraId="76505842">
      <w:pPr>
        <w:spacing w:line="360" w:lineRule="auto"/>
        <w:ind w:firstLine="480" w:firstLineChars="200"/>
        <w:rPr>
          <w:rFonts w:hint="eastAsia"/>
          <w:color w:val="auto"/>
          <w:sz w:val="24"/>
        </w:rPr>
      </w:pPr>
      <w:r>
        <w:rPr>
          <w:color w:val="auto"/>
          <w:sz w:val="24"/>
        </w:rPr>
        <w:fldChar w:fldCharType="begin"/>
      </w:r>
      <w:r>
        <w:rPr>
          <w:color w:val="auto"/>
          <w:sz w:val="24"/>
        </w:rPr>
        <w:instrText xml:space="preserve"> </w:instrText>
      </w:r>
      <w:r>
        <w:rPr>
          <w:rFonts w:hint="eastAsia"/>
          <w:color w:val="auto"/>
          <w:sz w:val="24"/>
        </w:rPr>
        <w:instrText xml:space="preserve">= 1 \* GB3</w:instrText>
      </w:r>
      <w:r>
        <w:rPr>
          <w:color w:val="auto"/>
          <w:sz w:val="24"/>
        </w:rPr>
        <w:instrText xml:space="preserve"> </w:instrText>
      </w:r>
      <w:r>
        <w:rPr>
          <w:color w:val="auto"/>
          <w:sz w:val="24"/>
        </w:rPr>
        <w:fldChar w:fldCharType="separate"/>
      </w:r>
      <w:r>
        <w:rPr>
          <w:rFonts w:hint="eastAsia"/>
          <w:color w:val="auto"/>
          <w:sz w:val="24"/>
        </w:rPr>
        <w:t>①</w:t>
      </w:r>
      <w:r>
        <w:rPr>
          <w:color w:val="auto"/>
          <w:sz w:val="24"/>
        </w:rPr>
        <w:fldChar w:fldCharType="end"/>
      </w:r>
      <w:r>
        <w:rPr>
          <w:rFonts w:hint="eastAsia"/>
          <w:color w:val="auto"/>
          <w:sz w:val="24"/>
        </w:rPr>
        <w:t>施工机械跑、冒、滴、漏的污油及露天机械被雨水冲刷</w:t>
      </w:r>
      <w:r>
        <w:rPr>
          <w:rFonts w:hint="eastAsia"/>
          <w:color w:val="auto"/>
          <w:sz w:val="24"/>
          <w:lang w:eastAsia="zh-CN"/>
        </w:rPr>
        <w:t>产生</w:t>
      </w:r>
      <w:r>
        <w:rPr>
          <w:rFonts w:hint="eastAsia"/>
          <w:color w:val="auto"/>
          <w:sz w:val="24"/>
        </w:rPr>
        <w:t>的油污水，施工现场工作人员生活污水均可能对地表水产生一定影响。从而带来对水生生物的影响。底栖动物对水环境变化反应非常敏感，当水体受到污染时，底栖动物群落结构及多样性将会发生改变。</w:t>
      </w:r>
    </w:p>
    <w:p w14:paraId="19D847A5">
      <w:pPr>
        <w:spacing w:line="360" w:lineRule="auto"/>
        <w:ind w:firstLine="480" w:firstLineChars="200"/>
        <w:rPr>
          <w:rFonts w:hint="eastAsia"/>
          <w:color w:val="auto"/>
          <w:sz w:val="24"/>
        </w:rPr>
      </w:pPr>
      <w:r>
        <w:rPr>
          <w:color w:val="auto"/>
          <w:sz w:val="24"/>
        </w:rPr>
        <w:fldChar w:fldCharType="begin"/>
      </w:r>
      <w:r>
        <w:rPr>
          <w:color w:val="auto"/>
          <w:sz w:val="24"/>
        </w:rPr>
        <w:instrText xml:space="preserve"> </w:instrText>
      </w:r>
      <w:r>
        <w:rPr>
          <w:rFonts w:hint="eastAsia"/>
          <w:color w:val="auto"/>
          <w:sz w:val="24"/>
        </w:rPr>
        <w:instrText xml:space="preserve">= 2 \* GB3</w:instrText>
      </w:r>
      <w:r>
        <w:rPr>
          <w:color w:val="auto"/>
          <w:sz w:val="24"/>
        </w:rPr>
        <w:instrText xml:space="preserve"> </w:instrText>
      </w:r>
      <w:r>
        <w:rPr>
          <w:color w:val="auto"/>
          <w:sz w:val="24"/>
        </w:rPr>
        <w:fldChar w:fldCharType="separate"/>
      </w:r>
      <w:r>
        <w:rPr>
          <w:rFonts w:hint="eastAsia"/>
          <w:color w:val="auto"/>
          <w:sz w:val="24"/>
        </w:rPr>
        <w:t>②</w:t>
      </w:r>
      <w:r>
        <w:rPr>
          <w:color w:val="auto"/>
          <w:sz w:val="24"/>
        </w:rPr>
        <w:fldChar w:fldCharType="end"/>
      </w:r>
      <w:r>
        <w:rPr>
          <w:rFonts w:hint="eastAsia"/>
          <w:color w:val="auto"/>
          <w:sz w:val="24"/>
        </w:rPr>
        <w:t>悬浮扩散区的影响主要是挖掘、抛石引起局部水域悬浮物增加，降低水体透明度引起的，透明度降低会使底栖生物正常的生理过程受到影响，一些敏感种会受损</w:t>
      </w:r>
      <w:r>
        <w:rPr>
          <w:rFonts w:hint="eastAsia"/>
          <w:color w:val="auto"/>
          <w:sz w:val="24"/>
          <w:lang w:eastAsia="zh-CN"/>
        </w:rPr>
        <w:t>，甚至</w:t>
      </w:r>
      <w:r>
        <w:rPr>
          <w:rFonts w:hint="eastAsia"/>
          <w:color w:val="auto"/>
          <w:sz w:val="24"/>
        </w:rPr>
        <w:t>消失，但施工停止后，可以恢复到接近正常水平。</w:t>
      </w:r>
    </w:p>
    <w:p w14:paraId="36FE7A8B">
      <w:pPr>
        <w:spacing w:line="360" w:lineRule="auto"/>
        <w:ind w:firstLine="480" w:firstLineChars="200"/>
        <w:rPr>
          <w:rFonts w:hint="eastAsia"/>
          <w:color w:val="auto"/>
          <w:sz w:val="24"/>
        </w:rPr>
      </w:pPr>
      <w:r>
        <w:rPr>
          <w:rFonts w:hint="eastAsia"/>
          <w:color w:val="auto"/>
          <w:sz w:val="24"/>
        </w:rPr>
        <w:t>通过分析可以看出，作业区的建设对底栖生物的影响主要是引起了数量上的变化，但是由于作业区建设施工分步进行，每个施工阶段与本水域的总体情况相比影响面积不大，对底栖生物影响不大。另外，在本项目区已有小型码头运营，底栖生物的群落结构已受人为活动的干扰而发生变化，会与建设前和建设后</w:t>
      </w:r>
      <w:r>
        <w:rPr>
          <w:rFonts w:hint="eastAsia"/>
          <w:color w:val="auto"/>
          <w:sz w:val="24"/>
          <w:lang w:eastAsia="zh-CN"/>
        </w:rPr>
        <w:t>其他未</w:t>
      </w:r>
      <w:r>
        <w:rPr>
          <w:rFonts w:hint="eastAsia"/>
          <w:color w:val="auto"/>
          <w:sz w:val="24"/>
        </w:rPr>
        <w:t>受影响地区的群落有较大差别，但这种变化只是局部的，不会对整个水域的底栖生物群落产生影响。</w:t>
      </w:r>
    </w:p>
    <w:p w14:paraId="49A54246">
      <w:pPr>
        <w:spacing w:line="360" w:lineRule="auto"/>
        <w:ind w:firstLine="480" w:firstLineChars="200"/>
        <w:rPr>
          <w:rFonts w:hint="eastAsia"/>
          <w:color w:val="auto"/>
          <w:sz w:val="24"/>
        </w:rPr>
      </w:pPr>
      <w:r>
        <w:rPr>
          <w:rFonts w:hint="eastAsia"/>
          <w:color w:val="auto"/>
          <w:sz w:val="24"/>
        </w:rPr>
        <w:t>（2）作业区建设对浮游生物的影响分析</w:t>
      </w:r>
    </w:p>
    <w:p w14:paraId="55A83B6E">
      <w:pPr>
        <w:spacing w:line="360" w:lineRule="auto"/>
        <w:ind w:firstLine="480" w:firstLineChars="200"/>
        <w:rPr>
          <w:color w:val="auto"/>
          <w:sz w:val="24"/>
        </w:rPr>
      </w:pPr>
      <w:r>
        <w:rPr>
          <w:rFonts w:hint="eastAsia"/>
          <w:color w:val="auto"/>
          <w:sz w:val="24"/>
        </w:rPr>
        <w:t>作业区在建设过程中对浮游生物的影响主要</w:t>
      </w:r>
      <w:r>
        <w:rPr>
          <w:rFonts w:hint="eastAsia"/>
          <w:color w:val="auto"/>
          <w:sz w:val="24"/>
          <w:lang w:eastAsia="zh-CN"/>
        </w:rPr>
        <w:t>是由于施工建设</w:t>
      </w:r>
      <w:r>
        <w:rPr>
          <w:rFonts w:hint="eastAsia"/>
          <w:color w:val="auto"/>
          <w:sz w:val="24"/>
        </w:rPr>
        <w:t>了水体中悬浮物质的增加。水体中悬浮物质的增加影响了水体的透光性，进而影响了浮游植物的光合作用。同时，悬浮物质的增加，对浮游动物的生长及群落结构等方面都会产生影响。因此，在港区建设过程中要注意控制悬浮物浓度，避免造成大量水生生态的损失。</w:t>
      </w:r>
    </w:p>
    <w:p w14:paraId="0223FC0A">
      <w:pPr>
        <w:spacing w:line="360" w:lineRule="auto"/>
        <w:ind w:firstLine="480" w:firstLineChars="200"/>
        <w:rPr>
          <w:rFonts w:hint="eastAsia"/>
          <w:color w:val="auto"/>
          <w:sz w:val="24"/>
        </w:rPr>
      </w:pPr>
      <w:r>
        <w:rPr>
          <w:rFonts w:hint="eastAsia"/>
          <w:color w:val="auto"/>
          <w:sz w:val="24"/>
        </w:rPr>
        <w:t>（3）</w:t>
      </w:r>
      <w:r>
        <w:rPr>
          <w:rFonts w:hint="eastAsia"/>
          <w:color w:val="auto"/>
          <w:sz w:val="24"/>
          <w:lang w:eastAsia="zh-CN"/>
        </w:rPr>
        <w:t>港区</w:t>
      </w:r>
      <w:r>
        <w:rPr>
          <w:rFonts w:hint="eastAsia"/>
          <w:color w:val="auto"/>
          <w:sz w:val="24"/>
        </w:rPr>
        <w:t>建设过程中对渔业的影响分析</w:t>
      </w:r>
    </w:p>
    <w:p w14:paraId="650E6227">
      <w:pPr>
        <w:spacing w:line="360" w:lineRule="auto"/>
        <w:ind w:firstLine="480" w:firstLineChars="200"/>
        <w:rPr>
          <w:rFonts w:hint="eastAsia"/>
          <w:color w:val="auto"/>
          <w:sz w:val="24"/>
        </w:rPr>
      </w:pPr>
      <w:r>
        <w:rPr>
          <w:rFonts w:hint="eastAsia"/>
          <w:color w:val="auto"/>
          <w:sz w:val="24"/>
        </w:rPr>
        <w:t>经现场踏勘和查阅地方资料，拟建项目水域范围内无渔业三场（鱼、虾、蟹、贝的产卵场、索饵场、越冬场），评价范围内分布有淮河淮南段长吻鮠国家级水产种质资源保护区。</w:t>
      </w:r>
    </w:p>
    <w:p w14:paraId="7887897E">
      <w:pPr>
        <w:spacing w:line="360" w:lineRule="auto"/>
        <w:ind w:firstLine="480" w:firstLineChars="200"/>
        <w:rPr>
          <w:color w:val="auto"/>
          <w:sz w:val="24"/>
        </w:rPr>
      </w:pPr>
      <w:r>
        <w:rPr>
          <w:rFonts w:hint="eastAsia"/>
          <w:color w:val="auto"/>
          <w:sz w:val="24"/>
        </w:rPr>
        <w:t>施工期间，对鱼类的影响主要包括施工船舶机械噪声、</w:t>
      </w:r>
      <w:r>
        <w:rPr>
          <w:rFonts w:hint="eastAsia"/>
          <w:color w:val="auto"/>
          <w:sz w:val="24"/>
          <w:lang w:val="en-US" w:eastAsia="zh-CN"/>
        </w:rPr>
        <w:t>灯光、</w:t>
      </w:r>
      <w:r>
        <w:rPr>
          <w:rFonts w:hint="eastAsia"/>
          <w:color w:val="auto"/>
          <w:sz w:val="24"/>
        </w:rPr>
        <w:t>水下作业噪音和水下施工作业悬浮物。</w:t>
      </w:r>
      <w:r>
        <w:rPr>
          <w:rFonts w:hint="eastAsia"/>
          <w:color w:val="auto"/>
          <w:sz w:val="24"/>
          <w:lang w:eastAsia="zh-CN"/>
        </w:rPr>
        <w:t>噪声污染</w:t>
      </w:r>
      <w:r>
        <w:rPr>
          <w:rFonts w:hint="eastAsia"/>
          <w:color w:val="auto"/>
          <w:sz w:val="24"/>
        </w:rPr>
        <w:t>会在一定程度上影响各种鱼类在该河段的游走方向和分布。由于施工建设带来的悬浮物质增加，对水生植物和水生动物产生影响，而水生植物和动物是水生生态系统的初级和次级生产力，因此，悬浮泥沙从食物链的角度不可避免</w:t>
      </w:r>
      <w:r>
        <w:rPr>
          <w:rFonts w:hint="eastAsia"/>
          <w:color w:val="auto"/>
          <w:sz w:val="24"/>
          <w:lang w:eastAsia="zh-CN"/>
        </w:rPr>
        <w:t>地</w:t>
      </w:r>
      <w:r>
        <w:rPr>
          <w:rFonts w:hint="eastAsia"/>
          <w:color w:val="auto"/>
          <w:sz w:val="24"/>
        </w:rPr>
        <w:t>会对鱼类和虾类的存活与生长产生抑制作用，对渔业资源带来一定的不利影响。悬浮泥沙与施工噪声对渔业的影响不是永久性的，而是可逆的，会随着施工结束而逐渐恢复。施工结束运营一段时间后，浮游生物和游泳生物种群数量、群落结构会发生变化而趋于复杂，生物量也会趋于增加，使生态系统恢复生机</w:t>
      </w:r>
      <w:r>
        <w:rPr>
          <w:color w:val="auto"/>
          <w:sz w:val="24"/>
        </w:rPr>
        <w:t>。</w:t>
      </w:r>
    </w:p>
    <w:p w14:paraId="6730C781">
      <w:pPr>
        <w:keepNext/>
        <w:keepLines/>
        <w:widowControl w:val="0"/>
        <w:numPr>
          <w:ilvl w:val="3"/>
          <w:numId w:val="0"/>
        </w:numPr>
        <w:spacing w:line="360" w:lineRule="auto"/>
        <w:jc w:val="both"/>
        <w:outlineLvl w:val="3"/>
        <w:rPr>
          <w:rFonts w:hint="default" w:ascii="Times New Roman" w:hAnsi="Times New Roman" w:eastAsia="黑体" w:cs="Times New Roman"/>
          <w:bCs/>
          <w:color w:val="auto"/>
          <w:kern w:val="2"/>
          <w:sz w:val="24"/>
          <w:szCs w:val="28"/>
          <w:highlight w:val="none"/>
          <w:lang w:val="en-US" w:eastAsia="zh-CN" w:bidi="ar-SA"/>
        </w:rPr>
      </w:pPr>
      <w:r>
        <w:rPr>
          <w:rFonts w:hint="default" w:ascii="Times New Roman" w:hAnsi="Times New Roman" w:eastAsia="黑体" w:cs="Times New Roman"/>
          <w:bCs/>
          <w:color w:val="auto"/>
          <w:kern w:val="2"/>
          <w:sz w:val="24"/>
          <w:szCs w:val="28"/>
          <w:highlight w:val="none"/>
          <w:lang w:val="en-US" w:eastAsia="zh-CN" w:bidi="ar-SA"/>
        </w:rPr>
        <w:t>5.1.5.4施工期对</w:t>
      </w:r>
      <w:r>
        <w:rPr>
          <w:rFonts w:hint="default" w:ascii="Times New Roman" w:hAnsi="Times New Roman" w:eastAsia="宋体" w:cs="Times New Roman"/>
          <w:b/>
          <w:bCs/>
          <w:color w:val="auto"/>
          <w:kern w:val="0"/>
          <w:sz w:val="24"/>
          <w:szCs w:val="24"/>
          <w:highlight w:val="none"/>
          <w:lang w:val="en-US" w:eastAsia="zh-CN" w:bidi="ar"/>
        </w:rPr>
        <w:t>水土流失的影响</w:t>
      </w:r>
    </w:p>
    <w:p w14:paraId="402F30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根据调查，拟建项目位于平原地区，地势平坦，水网密布，不涉及泥石流易发区、崩塌滑坡危险区以及易引起严重水土流失和生态恶化地区，不涉及占用全国水土保持监测网络中的水土保持监测站点、重点试验区及水土保持长期定位观测站</w:t>
      </w:r>
      <w:r>
        <w:rPr>
          <w:rFonts w:hint="eastAsia" w:cs="Times New Roman"/>
          <w:color w:val="auto"/>
          <w:kern w:val="0"/>
          <w:sz w:val="24"/>
          <w:szCs w:val="24"/>
          <w:highlight w:val="none"/>
          <w:lang w:val="en-US" w:eastAsia="zh-CN" w:bidi="ar"/>
        </w:rPr>
        <w:t>等</w:t>
      </w:r>
      <w:r>
        <w:rPr>
          <w:rFonts w:hint="default" w:ascii="Times New Roman" w:hAnsi="Times New Roman" w:eastAsia="宋体" w:cs="Times New Roman"/>
          <w:color w:val="auto"/>
          <w:kern w:val="0"/>
          <w:sz w:val="24"/>
          <w:szCs w:val="24"/>
          <w:highlight w:val="none"/>
          <w:lang w:val="en-US" w:eastAsia="zh-CN" w:bidi="ar"/>
        </w:rPr>
        <w:t>。</w:t>
      </w:r>
    </w:p>
    <w:p w14:paraId="7B3CDC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本项目不设取土场和弃渣场，不存在取土、弃渣流失的影响，同时本项目陆域由于地势较低，全部为回填，无坑基开挖工序。本项目施工过程中主要为工程陆域占地对水土流失的影响，但本项目</w:t>
      </w:r>
      <w:r>
        <w:rPr>
          <w:rFonts w:hint="eastAsia" w:cs="Times New Roman"/>
          <w:color w:val="auto"/>
          <w:kern w:val="0"/>
          <w:sz w:val="24"/>
          <w:szCs w:val="24"/>
          <w:highlight w:val="none"/>
          <w:lang w:val="en-US" w:eastAsia="zh-CN" w:bidi="ar"/>
        </w:rPr>
        <w:t>陆域</w:t>
      </w:r>
      <w:r>
        <w:rPr>
          <w:rFonts w:hint="default" w:ascii="Times New Roman" w:hAnsi="Times New Roman" w:eastAsia="宋体" w:cs="Times New Roman"/>
          <w:color w:val="auto"/>
          <w:kern w:val="0"/>
          <w:sz w:val="24"/>
          <w:szCs w:val="24"/>
          <w:highlight w:val="none"/>
          <w:lang w:val="en-US" w:eastAsia="zh-CN" w:bidi="ar"/>
        </w:rPr>
        <w:t>占地面积</w:t>
      </w:r>
      <w:r>
        <w:rPr>
          <w:rFonts w:hint="eastAsia" w:cs="Times New Roman"/>
          <w:color w:val="auto"/>
          <w:kern w:val="0"/>
          <w:sz w:val="24"/>
          <w:szCs w:val="24"/>
          <w:highlight w:val="none"/>
          <w:lang w:val="en-US" w:eastAsia="zh-CN" w:bidi="ar"/>
        </w:rPr>
        <w:t>20亩（合13333.34m</w:t>
      </w:r>
      <w:r>
        <w:rPr>
          <w:rFonts w:hint="eastAsia" w:cs="Times New Roman"/>
          <w:color w:val="auto"/>
          <w:kern w:val="0"/>
          <w:sz w:val="24"/>
          <w:szCs w:val="24"/>
          <w:highlight w:val="none"/>
          <w:vertAlign w:val="superscript"/>
          <w:lang w:val="en-US" w:eastAsia="zh-CN" w:bidi="ar"/>
        </w:rPr>
        <w:t>2</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，建成后地面会进行硬化和绿化，不会引起新的水土流失。</w:t>
      </w:r>
    </w:p>
    <w:p w14:paraId="0359BA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黑体" w:cs="Times New Roman"/>
          <w:bCs/>
          <w:color w:val="auto"/>
          <w:kern w:val="2"/>
          <w:sz w:val="24"/>
          <w:szCs w:val="28"/>
          <w:highlight w:val="none"/>
          <w:lang w:val="en-US" w:eastAsia="zh-CN" w:bidi="ar-SA"/>
        </w:rPr>
      </w:pPr>
      <w:r>
        <w:rPr>
          <w:rFonts w:hint="default" w:ascii="Times New Roman" w:hAnsi="Times New Roman" w:eastAsia="黑体" w:cs="Times New Roman"/>
          <w:bCs/>
          <w:color w:val="auto"/>
          <w:kern w:val="2"/>
          <w:sz w:val="24"/>
          <w:szCs w:val="28"/>
          <w:highlight w:val="none"/>
          <w:lang w:val="en-US" w:eastAsia="zh-CN" w:bidi="ar-SA"/>
        </w:rPr>
        <w:t>5.1.5.5施工期对生态多样性的影响</w:t>
      </w:r>
    </w:p>
    <w:p w14:paraId="15A2232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本项目陆域堤占用面积</w:t>
      </w:r>
      <w:r>
        <w:rPr>
          <w:rFonts w:hint="eastAsia" w:cs="Times New Roman"/>
          <w:color w:val="auto"/>
          <w:kern w:val="0"/>
          <w:sz w:val="24"/>
          <w:szCs w:val="24"/>
          <w:highlight w:val="none"/>
          <w:lang w:val="en-US" w:eastAsia="zh-CN" w:bidi="ar"/>
        </w:rPr>
        <w:t>20亩（合13333.34m</w:t>
      </w:r>
      <w:r>
        <w:rPr>
          <w:rFonts w:hint="eastAsia" w:cs="Times New Roman"/>
          <w:color w:val="auto"/>
          <w:kern w:val="0"/>
          <w:sz w:val="24"/>
          <w:szCs w:val="24"/>
          <w:highlight w:val="none"/>
          <w:vertAlign w:val="superscript"/>
          <w:lang w:val="en-US" w:eastAsia="zh-CN" w:bidi="ar"/>
        </w:rPr>
        <w:t>2</w:t>
      </w:r>
      <w:r>
        <w:rPr>
          <w:rFonts w:hint="eastAsia"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农用地以人工植被为主，种植的主要农作物有水稻、油菜、玉米等，项目占用滩涂植被以芦苇为主，为避免对滩涂植被的践踏，有临时栈桥布设。滩涂群落生物多样性较低，以芦苇为主。滩涂高程较高处基本已经陆生化，生长有大量的一年生草本植物，例如泽泻、牛膝、喜旱莲子草、葎草等。</w:t>
      </w:r>
    </w:p>
    <w:p w14:paraId="7C77B7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占地会造成部分人工植被生物量的损失，但本项目陆域占用面积不大，不会造成植被种类的大规模变化，对陆生植物影响很小。</w:t>
      </w:r>
    </w:p>
    <w:p w14:paraId="385D0C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cyan"/>
          <w:lang w:val="en-US" w:eastAsia="zh-CN" w:bidi="ar"/>
        </w:rPr>
      </w:pPr>
    </w:p>
    <w:p w14:paraId="2F7AF66C">
      <w:pPr>
        <w:pStyle w:val="5"/>
        <w:numPr>
          <w:ilvl w:val="3"/>
          <w:numId w:val="0"/>
        </w:numPr>
        <w:rPr>
          <w:color w:val="auto"/>
        </w:rPr>
      </w:pPr>
      <w:r>
        <w:rPr>
          <w:rFonts w:hint="eastAsia"/>
          <w:color w:val="auto"/>
        </w:rPr>
        <w:t>5.1.5.</w:t>
      </w:r>
      <w:r>
        <w:rPr>
          <w:rFonts w:hint="eastAsia"/>
          <w:color w:val="auto"/>
          <w:lang w:val="en-US" w:eastAsia="zh-CN"/>
        </w:rPr>
        <w:t>5</w:t>
      </w:r>
      <w:r>
        <w:rPr>
          <w:rFonts w:hint="eastAsia"/>
          <w:color w:val="auto"/>
        </w:rPr>
        <w:t>弃土场及抛泥区设置合理性分析</w:t>
      </w:r>
    </w:p>
    <w:p w14:paraId="7AD848D8">
      <w:pPr>
        <w:spacing w:line="360" w:lineRule="auto"/>
        <w:ind w:firstLine="480" w:firstLineChars="200"/>
        <w:rPr>
          <w:color w:val="auto"/>
          <w:sz w:val="24"/>
        </w:rPr>
      </w:pPr>
      <w:r>
        <w:rPr>
          <w:rFonts w:hint="eastAsia"/>
          <w:color w:val="auto"/>
          <w:sz w:val="24"/>
        </w:rPr>
        <w:t>（1）弃土场及抛泥区</w:t>
      </w:r>
      <w:r>
        <w:rPr>
          <w:color w:val="auto"/>
          <w:sz w:val="24"/>
        </w:rPr>
        <w:t>选址合理性</w:t>
      </w:r>
      <w:r>
        <w:rPr>
          <w:rFonts w:hint="eastAsia"/>
          <w:color w:val="auto"/>
          <w:sz w:val="24"/>
        </w:rPr>
        <w:t>分析</w:t>
      </w:r>
    </w:p>
    <w:p w14:paraId="77FF1464">
      <w:pPr>
        <w:spacing w:line="360" w:lineRule="auto"/>
        <w:ind w:firstLine="480" w:firstLineChars="200"/>
        <w:rPr>
          <w:color w:val="auto"/>
          <w:sz w:val="24"/>
        </w:rPr>
      </w:pPr>
      <w:r>
        <w:rPr>
          <w:rFonts w:hint="eastAsia"/>
          <w:color w:val="auto"/>
          <w:sz w:val="24"/>
        </w:rPr>
        <w:t>本项目在码头西北侧设弃土场及抛泥区各一处，经现场勘查，弃土区及抛泥区</w:t>
      </w:r>
      <w:r>
        <w:rPr>
          <w:color w:val="auto"/>
          <w:sz w:val="24"/>
        </w:rPr>
        <w:t>占地面积共计2000</w:t>
      </w:r>
      <w:r>
        <w:rPr>
          <w:rFonts w:hint="eastAsia"/>
          <w:color w:val="auto"/>
          <w:sz w:val="24"/>
        </w:rPr>
        <w:t>m</w:t>
      </w:r>
      <w:r>
        <w:rPr>
          <w:rFonts w:hint="eastAsia"/>
          <w:color w:val="auto"/>
          <w:sz w:val="24"/>
          <w:vertAlign w:val="superscript"/>
        </w:rPr>
        <w:t>2</w:t>
      </w:r>
      <w:r>
        <w:rPr>
          <w:rFonts w:hint="eastAsia"/>
          <w:color w:val="auto"/>
          <w:sz w:val="24"/>
        </w:rPr>
        <w:t>，弃土区及抛泥区紧邻本项目施工场地，弃土区及抛泥区与最近的居民点距离约</w:t>
      </w:r>
      <w:r>
        <w:rPr>
          <w:color w:val="auto"/>
          <w:sz w:val="24"/>
        </w:rPr>
        <w:t>150</w:t>
      </w:r>
      <w:r>
        <w:rPr>
          <w:rFonts w:hint="eastAsia"/>
          <w:color w:val="auto"/>
          <w:sz w:val="24"/>
        </w:rPr>
        <w:t>m，不会影响周边公共设施安全</w:t>
      </w:r>
      <w:r>
        <w:rPr>
          <w:color w:val="auto"/>
          <w:sz w:val="24"/>
        </w:rPr>
        <w:t>。</w:t>
      </w:r>
    </w:p>
    <w:p w14:paraId="384761CB">
      <w:pPr>
        <w:spacing w:line="360" w:lineRule="auto"/>
        <w:ind w:firstLine="480" w:firstLineChars="200"/>
        <w:rPr>
          <w:color w:val="auto"/>
          <w:sz w:val="24"/>
        </w:rPr>
      </w:pPr>
      <w:r>
        <w:rPr>
          <w:rFonts w:hint="eastAsia"/>
          <w:color w:val="auto"/>
          <w:sz w:val="24"/>
        </w:rPr>
        <w:t>（2）弃土区及抛泥</w:t>
      </w:r>
      <w:r>
        <w:rPr>
          <w:color w:val="auto"/>
          <w:sz w:val="24"/>
        </w:rPr>
        <w:t>区容量合理性分析</w:t>
      </w:r>
    </w:p>
    <w:p w14:paraId="772CE34E">
      <w:pPr>
        <w:spacing w:line="360" w:lineRule="auto"/>
        <w:ind w:firstLine="480" w:firstLineChars="200"/>
        <w:rPr>
          <w:color w:val="auto"/>
          <w:sz w:val="24"/>
        </w:rPr>
      </w:pPr>
      <w:r>
        <w:rPr>
          <w:rFonts w:hint="eastAsia"/>
          <w:color w:val="auto"/>
          <w:sz w:val="24"/>
          <w:szCs w:val="24"/>
        </w:rPr>
        <w:t>经核算，挖方总量</w:t>
      </w:r>
      <w:r>
        <w:rPr>
          <w:color w:val="auto"/>
          <w:sz w:val="24"/>
          <w:szCs w:val="24"/>
        </w:rPr>
        <w:t>76570</w:t>
      </w:r>
      <w:r>
        <w:rPr>
          <w:rFonts w:hint="eastAsia"/>
          <w:color w:val="auto"/>
          <w:sz w:val="24"/>
          <w:szCs w:val="24"/>
        </w:rPr>
        <w:t>m</w:t>
      </w:r>
      <w:r>
        <w:rPr>
          <w:rFonts w:hint="eastAsia"/>
          <w:color w:val="auto"/>
          <w:sz w:val="24"/>
          <w:szCs w:val="24"/>
          <w:vertAlign w:val="superscript"/>
        </w:rPr>
        <w:t>3</w:t>
      </w:r>
      <w:r>
        <w:rPr>
          <w:rFonts w:hint="eastAsia"/>
          <w:color w:val="auto"/>
          <w:sz w:val="24"/>
          <w:szCs w:val="24"/>
        </w:rPr>
        <w:t>，填方量</w:t>
      </w:r>
      <w:r>
        <w:rPr>
          <w:color w:val="auto"/>
          <w:sz w:val="24"/>
          <w:szCs w:val="24"/>
        </w:rPr>
        <w:t>76570</w:t>
      </w:r>
      <w:r>
        <w:rPr>
          <w:rFonts w:hint="eastAsia"/>
          <w:color w:val="auto"/>
          <w:sz w:val="24"/>
          <w:szCs w:val="24"/>
        </w:rPr>
        <w:t>m</w:t>
      </w:r>
      <w:r>
        <w:rPr>
          <w:rFonts w:hint="eastAsia"/>
          <w:color w:val="auto"/>
          <w:sz w:val="24"/>
          <w:szCs w:val="24"/>
          <w:vertAlign w:val="superscript"/>
        </w:rPr>
        <w:t>3</w:t>
      </w:r>
      <w:r>
        <w:rPr>
          <w:rFonts w:hint="eastAsia"/>
          <w:color w:val="auto"/>
          <w:sz w:val="24"/>
          <w:szCs w:val="24"/>
        </w:rPr>
        <w:t>，弃土区与抛泥区仅作为本项目临时土方堆场，</w:t>
      </w:r>
      <w:r>
        <w:rPr>
          <w:rFonts w:hint="eastAsia"/>
          <w:color w:val="auto"/>
          <w:sz w:val="24"/>
        </w:rPr>
        <w:t>弃土区及抛泥区在</w:t>
      </w:r>
      <w:r>
        <w:rPr>
          <w:color w:val="auto"/>
          <w:sz w:val="24"/>
        </w:rPr>
        <w:t>满足</w:t>
      </w:r>
      <w:r>
        <w:rPr>
          <w:rFonts w:hint="eastAsia"/>
          <w:color w:val="auto"/>
          <w:sz w:val="24"/>
        </w:rPr>
        <w:t>弃土及抛泥周转</w:t>
      </w:r>
      <w:r>
        <w:rPr>
          <w:color w:val="auto"/>
          <w:sz w:val="24"/>
        </w:rPr>
        <w:t>的同时</w:t>
      </w:r>
      <w:r>
        <w:rPr>
          <w:rFonts w:hint="eastAsia"/>
          <w:color w:val="auto"/>
          <w:sz w:val="24"/>
          <w:lang w:eastAsia="zh-CN"/>
        </w:rPr>
        <w:t>尽量减少</w:t>
      </w:r>
      <w:r>
        <w:rPr>
          <w:color w:val="auto"/>
          <w:sz w:val="24"/>
        </w:rPr>
        <w:t>了弃土区占地。</w:t>
      </w:r>
    </w:p>
    <w:p w14:paraId="7E831763">
      <w:pPr>
        <w:spacing w:line="360" w:lineRule="auto"/>
        <w:ind w:firstLine="480" w:firstLineChars="200"/>
        <w:rPr>
          <w:color w:val="auto"/>
          <w:sz w:val="24"/>
        </w:rPr>
      </w:pPr>
      <w:r>
        <w:rPr>
          <w:rFonts w:hint="eastAsia"/>
          <w:color w:val="auto"/>
          <w:sz w:val="24"/>
        </w:rPr>
        <w:t>（3）</w:t>
      </w:r>
      <w:r>
        <w:rPr>
          <w:color w:val="auto"/>
          <w:sz w:val="24"/>
        </w:rPr>
        <w:t>弃土区</w:t>
      </w:r>
      <w:r>
        <w:rPr>
          <w:rFonts w:hint="eastAsia"/>
          <w:color w:val="auto"/>
          <w:sz w:val="24"/>
        </w:rPr>
        <w:t>及抛泥区</w:t>
      </w:r>
      <w:r>
        <w:rPr>
          <w:color w:val="auto"/>
          <w:sz w:val="24"/>
        </w:rPr>
        <w:t>后期规划</w:t>
      </w:r>
    </w:p>
    <w:p w14:paraId="5896B3D2">
      <w:pPr>
        <w:spacing w:line="360" w:lineRule="auto"/>
        <w:ind w:firstLine="480" w:firstLineChars="200"/>
        <w:rPr>
          <w:color w:val="auto"/>
          <w:sz w:val="24"/>
        </w:rPr>
      </w:pPr>
      <w:r>
        <w:rPr>
          <w:rFonts w:hint="eastAsia"/>
          <w:color w:val="auto"/>
          <w:sz w:val="24"/>
        </w:rPr>
        <w:t>弃土及抛泥结束后将弃土区及抛泥区整体复垦</w:t>
      </w:r>
      <w:r>
        <w:rPr>
          <w:color w:val="auto"/>
          <w:sz w:val="24"/>
        </w:rPr>
        <w:t>。待弃土</w:t>
      </w:r>
      <w:r>
        <w:rPr>
          <w:rFonts w:hint="eastAsia"/>
          <w:color w:val="auto"/>
          <w:sz w:val="24"/>
        </w:rPr>
        <w:t>及抛泥</w:t>
      </w:r>
      <w:r>
        <w:rPr>
          <w:color w:val="auto"/>
          <w:sz w:val="24"/>
        </w:rPr>
        <w:t>结束后，将</w:t>
      </w:r>
      <w:r>
        <w:rPr>
          <w:rFonts w:hint="eastAsia"/>
          <w:color w:val="auto"/>
          <w:sz w:val="24"/>
        </w:rPr>
        <w:t>陆域区剥离表土全部</w:t>
      </w:r>
      <w:r>
        <w:rPr>
          <w:color w:val="auto"/>
          <w:sz w:val="24"/>
        </w:rPr>
        <w:t>回覆至弃土区</w:t>
      </w:r>
      <w:r>
        <w:rPr>
          <w:rFonts w:hint="eastAsia"/>
          <w:color w:val="auto"/>
          <w:sz w:val="24"/>
        </w:rPr>
        <w:t>及抛泥区</w:t>
      </w:r>
      <w:r>
        <w:rPr>
          <w:color w:val="auto"/>
          <w:sz w:val="24"/>
        </w:rPr>
        <w:t>表层，进行土地整治，使其土质能够满足</w:t>
      </w:r>
      <w:r>
        <w:rPr>
          <w:rFonts w:hint="eastAsia"/>
          <w:color w:val="auto"/>
          <w:sz w:val="24"/>
        </w:rPr>
        <w:t>复垦</w:t>
      </w:r>
      <w:r>
        <w:rPr>
          <w:color w:val="auto"/>
          <w:sz w:val="24"/>
        </w:rPr>
        <w:t>的基本要求。</w:t>
      </w:r>
    </w:p>
    <w:p w14:paraId="4064337A">
      <w:pPr>
        <w:spacing w:line="360" w:lineRule="auto"/>
        <w:ind w:firstLine="480" w:firstLineChars="200"/>
        <w:rPr>
          <w:rFonts w:hint="eastAsia"/>
          <w:color w:val="auto"/>
          <w:sz w:val="24"/>
        </w:rPr>
      </w:pPr>
      <w:r>
        <w:rPr>
          <w:color w:val="auto"/>
          <w:sz w:val="24"/>
        </w:rPr>
        <w:t>综上，弃土区</w:t>
      </w:r>
      <w:r>
        <w:rPr>
          <w:rFonts w:hint="eastAsia"/>
          <w:color w:val="auto"/>
          <w:sz w:val="24"/>
        </w:rPr>
        <w:t>及抛泥区</w:t>
      </w:r>
      <w:r>
        <w:rPr>
          <w:color w:val="auto"/>
          <w:sz w:val="24"/>
        </w:rPr>
        <w:t>选址</w:t>
      </w:r>
      <w:r>
        <w:rPr>
          <w:rFonts w:hint="eastAsia"/>
          <w:color w:val="auto"/>
          <w:sz w:val="24"/>
        </w:rPr>
        <w:t>合理。</w:t>
      </w:r>
    </w:p>
    <w:p w14:paraId="1AB5A359">
      <w:pPr>
        <w:pStyle w:val="3"/>
        <w:numPr>
          <w:ilvl w:val="0"/>
          <w:numId w:val="0"/>
        </w:numPr>
        <w:rPr>
          <w:color w:val="auto"/>
        </w:rPr>
      </w:pPr>
      <w:bookmarkStart w:id="138" w:name="_Toc4774"/>
      <w:r>
        <w:rPr>
          <w:rFonts w:hint="eastAsia"/>
          <w:color w:val="auto"/>
        </w:rPr>
        <w:t>5.2</w:t>
      </w:r>
      <w:r>
        <w:rPr>
          <w:color w:val="auto"/>
        </w:rPr>
        <w:t>运营期环境影响评价</w:t>
      </w:r>
      <w:bookmarkEnd w:id="138"/>
    </w:p>
    <w:p w14:paraId="6057D6BA">
      <w:pPr>
        <w:pStyle w:val="4"/>
        <w:numPr>
          <w:ilvl w:val="0"/>
          <w:numId w:val="0"/>
        </w:numPr>
        <w:rPr>
          <w:color w:val="auto"/>
        </w:rPr>
      </w:pPr>
      <w:r>
        <w:rPr>
          <w:rFonts w:hint="eastAsia"/>
          <w:color w:val="auto"/>
        </w:rPr>
        <w:t>5.2.1</w:t>
      </w:r>
      <w:r>
        <w:rPr>
          <w:color w:val="auto"/>
        </w:rPr>
        <w:t>运营期</w:t>
      </w:r>
      <w:r>
        <w:rPr>
          <w:rFonts w:hint="eastAsia"/>
          <w:color w:val="auto"/>
        </w:rPr>
        <w:t>地表</w:t>
      </w:r>
      <w:r>
        <w:rPr>
          <w:color w:val="auto"/>
        </w:rPr>
        <w:t>水环境影响</w:t>
      </w:r>
      <w:r>
        <w:rPr>
          <w:rFonts w:hint="eastAsia"/>
          <w:color w:val="auto"/>
        </w:rPr>
        <w:t>预测与评价</w:t>
      </w:r>
    </w:p>
    <w:p w14:paraId="1C65D97E">
      <w:pPr>
        <w:pStyle w:val="5"/>
        <w:numPr>
          <w:ilvl w:val="0"/>
          <w:numId w:val="0"/>
        </w:numPr>
        <w:rPr>
          <w:color w:val="auto"/>
        </w:rPr>
      </w:pPr>
      <w:r>
        <w:rPr>
          <w:rFonts w:hint="eastAsia"/>
          <w:color w:val="auto"/>
        </w:rPr>
        <w:t>5.2.1.1地表水</w:t>
      </w:r>
      <w:r>
        <w:rPr>
          <w:color w:val="auto"/>
        </w:rPr>
        <w:t>水文</w:t>
      </w:r>
      <w:r>
        <w:rPr>
          <w:rFonts w:hint="eastAsia"/>
          <w:color w:val="auto"/>
        </w:rPr>
        <w:t>要素环境</w:t>
      </w:r>
      <w:r>
        <w:rPr>
          <w:color w:val="auto"/>
        </w:rPr>
        <w:t>影响分析</w:t>
      </w:r>
    </w:p>
    <w:p w14:paraId="1E8DA784">
      <w:pPr>
        <w:pStyle w:val="320"/>
        <w:ind w:firstLine="480"/>
        <w:rPr>
          <w:rFonts w:hint="default"/>
          <w:color w:val="auto"/>
          <w:lang w:val="en-US" w:eastAsia="zh-CN"/>
        </w:rPr>
      </w:pPr>
      <w:r>
        <w:rPr>
          <w:rFonts w:hint="eastAsia"/>
          <w:color w:val="auto"/>
          <w:lang w:val="en-US" w:eastAsia="zh-CN"/>
        </w:rPr>
        <w:t>本项目为码头建设项目，运营期不涉及取水和排水，因此不会影响所在地淮河干流的流量、水温等水文要素。项目运营期对淮河水文要素的影响主要表现在两方面：一是项目港池开挖、航道疏浚造成了项目所在地淮河干流河流横截面面积增加；二是因河流横截面面积增加导致的淮河流速的变化。</w:t>
      </w:r>
    </w:p>
    <w:p w14:paraId="10E96F83">
      <w:pPr>
        <w:pStyle w:val="320"/>
        <w:ind w:firstLine="480"/>
        <w:rPr>
          <w:rFonts w:hint="eastAsia"/>
          <w:color w:val="auto"/>
          <w:lang w:val="en-US"/>
        </w:rPr>
      </w:pPr>
      <w:r>
        <w:rPr>
          <w:rFonts w:hint="eastAsia"/>
          <w:color w:val="auto"/>
          <w:lang w:val="en-US" w:eastAsia="zh-CN"/>
        </w:rPr>
        <w:t>项目洪评报告（《淮南兴华园码头复工工程防洪评价报告》）及其批复（《</w:t>
      </w:r>
      <w:r>
        <w:rPr>
          <w:rFonts w:hint="eastAsia"/>
          <w:bCs/>
          <w:color w:val="auto"/>
          <w:kern w:val="44"/>
          <w:sz w:val="24"/>
          <w:lang w:val="en-US" w:eastAsia="zh-CN"/>
        </w:rPr>
        <w:t>水利部淮河水利委员会关于淮南市兴华园码头复工工程河道管理范围内建设方案准予行政许可决定书</w:t>
      </w:r>
      <w:r>
        <w:rPr>
          <w:rFonts w:hint="eastAsia"/>
          <w:color w:val="auto"/>
          <w:lang w:val="en-US" w:eastAsia="zh-CN"/>
        </w:rPr>
        <w:t>》（淮许可决〔2023〕97号））已定量的对项目建成后</w:t>
      </w:r>
      <w:r>
        <w:rPr>
          <w:rFonts w:hint="eastAsia"/>
          <w:color w:val="auto"/>
          <w:lang w:val="en-US"/>
        </w:rPr>
        <w:t>本项目地表水水文要素影响</w:t>
      </w:r>
      <w:r>
        <w:rPr>
          <w:rFonts w:hint="eastAsia"/>
          <w:color w:val="auto"/>
          <w:lang w:val="en-US" w:eastAsia="zh-CN"/>
        </w:rPr>
        <w:t>进行了计算和评价，本次环评中不再重复计算，直接引用其</w:t>
      </w:r>
      <w:r>
        <w:rPr>
          <w:rFonts w:hint="eastAsia"/>
          <w:color w:val="auto"/>
          <w:lang w:val="en-US"/>
        </w:rPr>
        <w:t>结论</w:t>
      </w:r>
      <w:r>
        <w:rPr>
          <w:rFonts w:hint="eastAsia"/>
          <w:color w:val="auto"/>
          <w:lang w:val="en-US" w:eastAsia="zh-CN"/>
        </w:rPr>
        <w:t>，具体内容如下</w:t>
      </w:r>
      <w:r>
        <w:rPr>
          <w:rFonts w:hint="eastAsia"/>
          <w:color w:val="auto"/>
          <w:lang w:val="en-US"/>
        </w:rPr>
        <w:t>。</w:t>
      </w:r>
    </w:p>
    <w:p w14:paraId="4F5A56E2">
      <w:pPr>
        <w:pStyle w:val="237"/>
        <w:ind w:firstLine="480"/>
        <w:rPr>
          <w:rFonts w:cs="Times New Roman"/>
          <w:color w:val="auto"/>
        </w:rPr>
      </w:pPr>
      <w:r>
        <w:rPr>
          <w:rFonts w:cs="Times New Roman"/>
          <w:color w:val="auto"/>
        </w:rPr>
        <w:t>（1）建设项目对河</w:t>
      </w:r>
      <w:r>
        <w:rPr>
          <w:rFonts w:hint="eastAsia" w:cs="Times New Roman"/>
          <w:color w:val="auto"/>
          <w:lang w:val="en-US" w:eastAsia="zh-CN"/>
        </w:rPr>
        <w:t>流横截面、流速的</w:t>
      </w:r>
      <w:r>
        <w:rPr>
          <w:rFonts w:cs="Times New Roman"/>
          <w:color w:val="auto"/>
        </w:rPr>
        <w:t>影响评价</w:t>
      </w:r>
    </w:p>
    <w:p w14:paraId="472AEFBA">
      <w:pPr>
        <w:pStyle w:val="237"/>
        <w:ind w:firstLine="480"/>
        <w:rPr>
          <w:rFonts w:cs="Times New Roman"/>
          <w:color w:val="auto"/>
          <w:kern w:val="0"/>
        </w:rPr>
      </w:pPr>
      <w:r>
        <w:rPr>
          <w:rFonts w:cs="Times New Roman"/>
          <w:color w:val="auto"/>
          <w:kern w:val="0"/>
        </w:rPr>
        <w:t>本项目码头为框架结构，</w:t>
      </w:r>
      <w:r>
        <w:rPr>
          <w:rFonts w:hint="eastAsia"/>
          <w:color w:val="auto"/>
        </w:rPr>
        <w:t>码头采用高桩梁板结构，码头平台尺度为130m×15m，共</w:t>
      </w:r>
      <w:r>
        <w:rPr>
          <w:rFonts w:hint="eastAsia"/>
          <w:color w:val="auto"/>
          <w:lang w:eastAsia="zh-CN"/>
        </w:rPr>
        <w:t>分为</w:t>
      </w:r>
      <w:r>
        <w:rPr>
          <w:rFonts w:hint="eastAsia"/>
          <w:color w:val="auto"/>
        </w:rPr>
        <w:t>61m和69m长的两个结构段，每个结构段标准排架间距为7.0m，变形缝悬臂2.5m，预留固定吊基础排架间距4.0m</w:t>
      </w:r>
      <w:r>
        <w:rPr>
          <w:rFonts w:cs="Times New Roman"/>
          <w:color w:val="auto"/>
          <w:kern w:val="0"/>
        </w:rPr>
        <w:t>。</w:t>
      </w:r>
    </w:p>
    <w:p w14:paraId="128D3633">
      <w:pPr>
        <w:pStyle w:val="237"/>
        <w:ind w:firstLine="480"/>
        <w:rPr>
          <w:rFonts w:hint="eastAsia"/>
          <w:color w:val="auto"/>
          <w:lang w:val="en-US" w:eastAsia="zh-CN"/>
        </w:rPr>
      </w:pPr>
      <w:r>
        <w:rPr>
          <w:rFonts w:hint="eastAsia"/>
          <w:color w:val="auto"/>
        </w:rPr>
        <w:t>①</w:t>
      </w:r>
      <w:r>
        <w:rPr>
          <w:rFonts w:hint="eastAsia"/>
          <w:color w:val="auto"/>
          <w:lang w:val="en-US" w:eastAsia="zh-CN"/>
        </w:rPr>
        <w:t>原河道断面</w:t>
      </w:r>
    </w:p>
    <w:p w14:paraId="3D50347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rPr>
      </w:pPr>
      <w:r>
        <w:rPr>
          <w:rFonts w:hint="eastAsia" w:ascii="Times New Roman" w:hAnsi="Times New Roman" w:eastAsia="宋体" w:cs="Calibri"/>
          <w:color w:val="auto"/>
          <w:kern w:val="2"/>
          <w:sz w:val="24"/>
          <w:szCs w:val="24"/>
          <w:lang w:val="en-US" w:eastAsia="zh-CN" w:bidi="ar-SA"/>
        </w:rPr>
        <w:t>拟建码头工程位置处淮河左堤顶高程27.19m，堤顶宽8m；左堤与下六坊行洪区之间河口宽314.2m；下六坊下段淮河左汊主河槽宽213.8m，河底高程12.27m；左滩地高程20.01～20.81m，左滩地宽84.85m。</w:t>
      </w:r>
      <w:r>
        <w:rPr>
          <w:rFonts w:hint="eastAsia" w:cs="Calibri"/>
          <w:color w:val="auto"/>
          <w:kern w:val="2"/>
          <w:sz w:val="24"/>
          <w:szCs w:val="24"/>
          <w:lang w:val="en-US" w:eastAsia="zh-CN" w:bidi="ar-SA"/>
        </w:rPr>
        <w:t>项目建设前河道横断面见图5.2-1。</w:t>
      </w:r>
      <w:r>
        <w:rPr>
          <w:rFonts w:hint="eastAsia" w:ascii="宋体" w:hAnsi="宋体" w:eastAsia="宋体" w:cs="宋体"/>
          <w:color w:val="auto"/>
          <w:kern w:val="0"/>
          <w:sz w:val="28"/>
          <w:szCs w:val="28"/>
          <w:lang w:val="en-US" w:eastAsia="zh-CN" w:bidi="ar"/>
        </w:rPr>
        <w:t xml:space="preserve"> </w:t>
      </w:r>
    </w:p>
    <w:p w14:paraId="6150AEBE">
      <w:pPr>
        <w:pStyle w:val="237"/>
        <w:ind w:left="0" w:leftChars="0" w:firstLine="0" w:firstLineChars="0"/>
        <w:rPr>
          <w:rFonts w:hint="eastAsia"/>
          <w:color w:val="auto"/>
          <w:lang w:val="en-US" w:eastAsia="zh-CN"/>
        </w:rPr>
      </w:pPr>
      <w:r>
        <w:rPr>
          <w:color w:val="auto"/>
        </w:rPr>
        <w:drawing>
          <wp:inline distT="0" distB="0" distL="114300" distR="114300">
            <wp:extent cx="5751830" cy="3099435"/>
            <wp:effectExtent l="0" t="0" r="1270" b="5715"/>
            <wp:docPr id="15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7"/>
                    <pic:cNvPicPr>
                      <a:picLocks noChangeAspect="1"/>
                    </pic:cNvPicPr>
                  </pic:nvPicPr>
                  <pic:blipFill>
                    <a:blip r:embed="rId168"/>
                    <a:stretch>
                      <a:fillRect/>
                    </a:stretch>
                  </pic:blipFill>
                  <pic:spPr>
                    <a:xfrm>
                      <a:off x="0" y="0"/>
                      <a:ext cx="5751830" cy="3099435"/>
                    </a:xfrm>
                    <a:prstGeom prst="rect">
                      <a:avLst/>
                    </a:prstGeom>
                    <a:noFill/>
                    <a:ln>
                      <a:noFill/>
                    </a:ln>
                  </pic:spPr>
                </pic:pic>
              </a:graphicData>
            </a:graphic>
          </wp:inline>
        </w:drawing>
      </w:r>
    </w:p>
    <w:p w14:paraId="4B26C374">
      <w:pPr>
        <w:pStyle w:val="159"/>
        <w:numPr>
          <w:ilvl w:val="0"/>
          <w:numId w:val="0"/>
        </w:numPr>
        <w:spacing w:line="240" w:lineRule="auto"/>
        <w:ind w:left="-360"/>
        <w:rPr>
          <w:rFonts w:hint="default"/>
          <w:bCs/>
          <w:color w:val="auto"/>
          <w:szCs w:val="24"/>
          <w:lang w:val="en-US"/>
        </w:rPr>
      </w:pPr>
      <w:r>
        <w:rPr>
          <w:rFonts w:hint="eastAsia"/>
          <w:bCs/>
          <w:color w:val="auto"/>
          <w:szCs w:val="24"/>
          <w:lang w:val="en-US" w:eastAsia="zh-CN"/>
        </w:rPr>
        <w:t>图</w:t>
      </w:r>
      <w:r>
        <w:rPr>
          <w:bCs/>
          <w:color w:val="auto"/>
          <w:szCs w:val="24"/>
          <w:lang w:val="zh-CN"/>
        </w:rPr>
        <w:t>5.</w:t>
      </w:r>
      <w:r>
        <w:rPr>
          <w:rFonts w:hint="eastAsia"/>
          <w:bCs/>
          <w:color w:val="auto"/>
          <w:szCs w:val="24"/>
        </w:rPr>
        <w:t>2</w:t>
      </w:r>
      <w:r>
        <w:rPr>
          <w:bCs/>
          <w:color w:val="auto"/>
          <w:szCs w:val="24"/>
          <w:lang w:val="zh-CN"/>
        </w:rPr>
        <w:t>-</w:t>
      </w:r>
      <w:r>
        <w:rPr>
          <w:rFonts w:hint="eastAsia"/>
          <w:bCs/>
          <w:color w:val="auto"/>
          <w:szCs w:val="24"/>
          <w:lang w:val="en-US" w:eastAsia="zh-CN"/>
        </w:rPr>
        <w:t>1</w:t>
      </w:r>
      <w:r>
        <w:rPr>
          <w:bCs/>
          <w:color w:val="auto"/>
          <w:szCs w:val="24"/>
          <w:lang w:val="zh-CN"/>
        </w:rPr>
        <w:t xml:space="preserve">  </w:t>
      </w:r>
      <w:r>
        <w:rPr>
          <w:rFonts w:hint="eastAsia"/>
          <w:bCs/>
          <w:color w:val="auto"/>
          <w:szCs w:val="24"/>
          <w:lang w:val="en-US" w:eastAsia="zh-CN"/>
        </w:rPr>
        <w:t>项目建设前所在地淮河横断面图（横比1：1000，纵比1：100）</w:t>
      </w:r>
    </w:p>
    <w:p w14:paraId="6E7FB01E">
      <w:pPr>
        <w:pStyle w:val="237"/>
        <w:ind w:firstLine="480"/>
        <w:rPr>
          <w:rFonts w:hint="eastAsia"/>
          <w:color w:val="auto"/>
          <w:lang w:val="en-US" w:eastAsia="zh-CN"/>
        </w:rPr>
      </w:pPr>
      <w:r>
        <w:rPr>
          <w:rFonts w:hint="eastAsia"/>
          <w:color w:val="auto"/>
          <w:lang w:val="en-US" w:eastAsia="zh-CN"/>
        </w:rPr>
        <w:t>②项目建成后河道断面</w:t>
      </w:r>
    </w:p>
    <w:p w14:paraId="7227A18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8"/>
          <w:szCs w:val="28"/>
          <w:lang w:val="en-US" w:eastAsia="zh-CN" w:bidi="ar"/>
        </w:rPr>
      </w:pPr>
      <w:r>
        <w:rPr>
          <w:rFonts w:hint="eastAsia" w:ascii="Times New Roman" w:hAnsi="Times New Roman" w:eastAsia="宋体" w:cs="Times New Roman"/>
          <w:color w:val="auto"/>
          <w:kern w:val="0"/>
          <w:sz w:val="24"/>
          <w:szCs w:val="24"/>
          <w:lang w:val="en-US" w:eastAsia="zh-CN" w:bidi="ar-SA"/>
        </w:rPr>
        <w:t>拟建码头工程位置处淮河左堤顶高程 27.19m，堤顶宽 8m；左堤与下六坊行洪区之间河口宽 314.2m；下六坊下段淮河左汊主河槽宽 235.1m，开挖段港池底高程 12.3m；整平后左滩地高程 20.40～21.00m，与泊位搭板衔接处地面高程 20.30m，左滩地宽3.2m</w:t>
      </w:r>
      <w:r>
        <w:rPr>
          <w:rFonts w:hint="eastAsia" w:ascii="Times New Roman" w:hAnsi="Times New Roman" w:eastAsia="宋体" w:cs="Calibri"/>
          <w:color w:val="auto"/>
          <w:kern w:val="2"/>
          <w:sz w:val="24"/>
          <w:szCs w:val="24"/>
          <w:lang w:val="en-US" w:eastAsia="zh-CN" w:bidi="ar-SA"/>
        </w:rPr>
        <w:t>。</w:t>
      </w:r>
      <w:r>
        <w:rPr>
          <w:rFonts w:hint="eastAsia" w:cs="Calibri"/>
          <w:color w:val="auto"/>
          <w:kern w:val="2"/>
          <w:sz w:val="24"/>
          <w:szCs w:val="24"/>
          <w:lang w:val="en-US" w:eastAsia="zh-CN" w:bidi="ar-SA"/>
        </w:rPr>
        <w:t>项目建成后河道横断面见图5.2-2。</w:t>
      </w:r>
      <w:r>
        <w:rPr>
          <w:rFonts w:hint="eastAsia" w:ascii="宋体" w:hAnsi="宋体" w:eastAsia="宋体" w:cs="宋体"/>
          <w:color w:val="auto"/>
          <w:kern w:val="0"/>
          <w:sz w:val="28"/>
          <w:szCs w:val="28"/>
          <w:lang w:val="en-US" w:eastAsia="zh-CN" w:bidi="ar"/>
        </w:rPr>
        <w:t xml:space="preserve"> </w:t>
      </w:r>
    </w:p>
    <w:p w14:paraId="33F5BFD5">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8"/>
          <w:szCs w:val="28"/>
          <w:lang w:val="en-US" w:eastAsia="zh-CN" w:bidi="ar"/>
        </w:rPr>
      </w:pPr>
      <w:r>
        <w:rPr>
          <w:color w:val="auto"/>
        </w:rPr>
        <w:drawing>
          <wp:inline distT="0" distB="0" distL="114300" distR="114300">
            <wp:extent cx="5749925" cy="3542030"/>
            <wp:effectExtent l="0" t="0" r="3175" b="1270"/>
            <wp:docPr id="15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8"/>
                    <pic:cNvPicPr>
                      <a:picLocks noChangeAspect="1"/>
                    </pic:cNvPicPr>
                  </pic:nvPicPr>
                  <pic:blipFill>
                    <a:blip r:embed="rId169"/>
                    <a:stretch>
                      <a:fillRect/>
                    </a:stretch>
                  </pic:blipFill>
                  <pic:spPr>
                    <a:xfrm>
                      <a:off x="0" y="0"/>
                      <a:ext cx="5749925" cy="3542030"/>
                    </a:xfrm>
                    <a:prstGeom prst="rect">
                      <a:avLst/>
                    </a:prstGeom>
                    <a:noFill/>
                    <a:ln>
                      <a:noFill/>
                    </a:ln>
                  </pic:spPr>
                </pic:pic>
              </a:graphicData>
            </a:graphic>
          </wp:inline>
        </w:drawing>
      </w:r>
    </w:p>
    <w:p w14:paraId="162703CF">
      <w:pPr>
        <w:pStyle w:val="159"/>
        <w:numPr>
          <w:ilvl w:val="0"/>
          <w:numId w:val="0"/>
        </w:numPr>
        <w:spacing w:line="240" w:lineRule="auto"/>
        <w:ind w:left="-360"/>
        <w:rPr>
          <w:rFonts w:hint="default"/>
          <w:bCs/>
          <w:color w:val="auto"/>
          <w:szCs w:val="24"/>
          <w:lang w:val="en-US"/>
        </w:rPr>
      </w:pPr>
      <w:r>
        <w:rPr>
          <w:rFonts w:hint="eastAsia"/>
          <w:bCs/>
          <w:color w:val="auto"/>
          <w:szCs w:val="24"/>
          <w:lang w:val="en-US" w:eastAsia="zh-CN"/>
        </w:rPr>
        <w:t>图</w:t>
      </w:r>
      <w:r>
        <w:rPr>
          <w:bCs/>
          <w:color w:val="auto"/>
          <w:szCs w:val="24"/>
          <w:lang w:val="zh-CN"/>
        </w:rPr>
        <w:t>5.</w:t>
      </w:r>
      <w:r>
        <w:rPr>
          <w:rFonts w:hint="eastAsia"/>
          <w:bCs/>
          <w:color w:val="auto"/>
          <w:szCs w:val="24"/>
        </w:rPr>
        <w:t>2</w:t>
      </w:r>
      <w:r>
        <w:rPr>
          <w:bCs/>
          <w:color w:val="auto"/>
          <w:szCs w:val="24"/>
          <w:lang w:val="zh-CN"/>
        </w:rPr>
        <w:t>-</w:t>
      </w:r>
      <w:r>
        <w:rPr>
          <w:rFonts w:hint="eastAsia"/>
          <w:bCs/>
          <w:color w:val="auto"/>
          <w:szCs w:val="24"/>
          <w:lang w:val="en-US" w:eastAsia="zh-CN"/>
        </w:rPr>
        <w:t>2</w:t>
      </w:r>
      <w:r>
        <w:rPr>
          <w:bCs/>
          <w:color w:val="auto"/>
          <w:szCs w:val="24"/>
          <w:lang w:val="zh-CN"/>
        </w:rPr>
        <w:t xml:space="preserve">  </w:t>
      </w:r>
      <w:r>
        <w:rPr>
          <w:rFonts w:hint="eastAsia"/>
          <w:bCs/>
          <w:color w:val="auto"/>
          <w:szCs w:val="24"/>
          <w:lang w:val="en-US" w:eastAsia="zh-CN"/>
        </w:rPr>
        <w:t>项目建成后所在地淮河横断面图（横比1：1000，纵比1：100）</w:t>
      </w:r>
    </w:p>
    <w:p w14:paraId="1D216F78">
      <w:pPr>
        <w:pStyle w:val="237"/>
        <w:ind w:firstLine="480"/>
        <w:rPr>
          <w:rFonts w:hint="eastAsia" w:cs="Times New Roman"/>
          <w:color w:val="auto"/>
          <w:kern w:val="0"/>
          <w:lang w:val="en-US" w:eastAsia="zh-CN"/>
        </w:rPr>
      </w:pPr>
      <w:r>
        <w:rPr>
          <w:rFonts w:hint="eastAsia" w:cs="Times New Roman"/>
          <w:color w:val="auto"/>
          <w:kern w:val="0"/>
          <w:lang w:val="en-US" w:eastAsia="zh-CN"/>
        </w:rPr>
        <w:t>项目建设前后疏浚及开挖部分河流横断面对比情况见图5.2-3。</w:t>
      </w:r>
    </w:p>
    <w:p w14:paraId="1605215E">
      <w:pPr>
        <w:pStyle w:val="237"/>
        <w:ind w:left="0" w:leftChars="0" w:firstLine="0" w:firstLineChars="0"/>
        <w:rPr>
          <w:rFonts w:hint="default" w:cs="Times New Roman"/>
          <w:color w:val="auto"/>
          <w:kern w:val="0"/>
          <w:lang w:val="en-US" w:eastAsia="zh-CN"/>
        </w:rPr>
      </w:pPr>
      <w:r>
        <w:rPr>
          <w:color w:val="auto"/>
        </w:rPr>
        <w:drawing>
          <wp:inline distT="0" distB="0" distL="114300" distR="114300">
            <wp:extent cx="5755640" cy="2395220"/>
            <wp:effectExtent l="0" t="0" r="16510" b="5080"/>
            <wp:docPr id="22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19"/>
                    <pic:cNvPicPr>
                      <a:picLocks noChangeAspect="1"/>
                    </pic:cNvPicPr>
                  </pic:nvPicPr>
                  <pic:blipFill>
                    <a:blip r:embed="rId170"/>
                    <a:stretch>
                      <a:fillRect/>
                    </a:stretch>
                  </pic:blipFill>
                  <pic:spPr>
                    <a:xfrm>
                      <a:off x="0" y="0"/>
                      <a:ext cx="5755640" cy="2395220"/>
                    </a:xfrm>
                    <a:prstGeom prst="rect">
                      <a:avLst/>
                    </a:prstGeom>
                    <a:noFill/>
                    <a:ln>
                      <a:noFill/>
                    </a:ln>
                  </pic:spPr>
                </pic:pic>
              </a:graphicData>
            </a:graphic>
          </wp:inline>
        </w:drawing>
      </w:r>
    </w:p>
    <w:p w14:paraId="113CBB24">
      <w:pPr>
        <w:pStyle w:val="237"/>
        <w:ind w:firstLine="480"/>
        <w:jc w:val="center"/>
        <w:rPr>
          <w:rFonts w:hint="eastAsia" w:ascii="Times New Roman" w:hAnsi="Times New Roman" w:eastAsia="黑体" w:cs="Times New Roman"/>
          <w:bCs/>
          <w:color w:val="auto"/>
          <w:kern w:val="0"/>
          <w:sz w:val="24"/>
          <w:szCs w:val="24"/>
          <w:lang w:val="en-US" w:eastAsia="zh-CN" w:bidi="ar-SA"/>
        </w:rPr>
      </w:pPr>
      <w:r>
        <w:rPr>
          <w:rFonts w:hint="eastAsia" w:ascii="Times New Roman" w:hAnsi="Times New Roman" w:eastAsia="黑体" w:cs="Times New Roman"/>
          <w:bCs/>
          <w:color w:val="auto"/>
          <w:kern w:val="0"/>
          <w:sz w:val="24"/>
          <w:szCs w:val="24"/>
          <w:lang w:val="en-US" w:eastAsia="zh-CN" w:bidi="ar-SA"/>
        </w:rPr>
        <w:t>图</w:t>
      </w:r>
      <w:r>
        <w:rPr>
          <w:rFonts w:hint="eastAsia" w:ascii="Times New Roman" w:hAnsi="Times New Roman" w:eastAsia="黑体" w:cs="Times New Roman"/>
          <w:bCs/>
          <w:color w:val="auto"/>
          <w:kern w:val="0"/>
          <w:sz w:val="24"/>
          <w:szCs w:val="24"/>
          <w:lang w:val="zh-CN" w:eastAsia="zh-CN" w:bidi="ar-SA"/>
        </w:rPr>
        <w:t>5.</w:t>
      </w:r>
      <w:r>
        <w:rPr>
          <w:rFonts w:hint="eastAsia" w:ascii="Times New Roman" w:hAnsi="Times New Roman" w:eastAsia="黑体" w:cs="Times New Roman"/>
          <w:bCs/>
          <w:color w:val="auto"/>
          <w:kern w:val="0"/>
          <w:sz w:val="24"/>
          <w:szCs w:val="24"/>
          <w:lang w:val="en-US" w:eastAsia="zh-CN" w:bidi="ar-SA"/>
        </w:rPr>
        <w:t>2</w:t>
      </w:r>
      <w:r>
        <w:rPr>
          <w:rFonts w:hint="eastAsia" w:ascii="Times New Roman" w:hAnsi="Times New Roman" w:eastAsia="黑体" w:cs="Times New Roman"/>
          <w:bCs/>
          <w:color w:val="auto"/>
          <w:kern w:val="0"/>
          <w:sz w:val="24"/>
          <w:szCs w:val="24"/>
          <w:lang w:val="zh-CN" w:eastAsia="zh-CN" w:bidi="ar-SA"/>
        </w:rPr>
        <w:t>-</w:t>
      </w:r>
      <w:r>
        <w:rPr>
          <w:rFonts w:hint="eastAsia" w:eastAsia="黑体" w:cs="Times New Roman"/>
          <w:bCs/>
          <w:color w:val="auto"/>
          <w:kern w:val="0"/>
          <w:sz w:val="24"/>
          <w:szCs w:val="24"/>
          <w:lang w:val="en-US" w:eastAsia="zh-CN" w:bidi="ar-SA"/>
        </w:rPr>
        <w:t>3</w:t>
      </w:r>
      <w:r>
        <w:rPr>
          <w:rFonts w:hint="eastAsia" w:ascii="Times New Roman" w:hAnsi="Times New Roman" w:eastAsia="黑体" w:cs="Times New Roman"/>
          <w:bCs/>
          <w:color w:val="auto"/>
          <w:kern w:val="0"/>
          <w:sz w:val="24"/>
          <w:szCs w:val="24"/>
          <w:lang w:val="zh-CN" w:eastAsia="zh-CN" w:bidi="ar-SA"/>
        </w:rPr>
        <w:t xml:space="preserve">  </w:t>
      </w:r>
      <w:r>
        <w:rPr>
          <w:rFonts w:hint="eastAsia" w:ascii="Times New Roman" w:hAnsi="Times New Roman" w:eastAsia="黑体" w:cs="Times New Roman"/>
          <w:bCs/>
          <w:color w:val="auto"/>
          <w:kern w:val="0"/>
          <w:sz w:val="24"/>
          <w:szCs w:val="24"/>
          <w:lang w:val="en-US" w:eastAsia="zh-CN" w:bidi="ar-SA"/>
        </w:rPr>
        <w:t>项目建成</w:t>
      </w:r>
      <w:r>
        <w:rPr>
          <w:rFonts w:hint="eastAsia" w:eastAsia="黑体" w:cs="Times New Roman"/>
          <w:bCs/>
          <w:color w:val="auto"/>
          <w:kern w:val="0"/>
          <w:sz w:val="24"/>
          <w:szCs w:val="24"/>
          <w:lang w:val="en-US" w:eastAsia="zh-CN" w:bidi="ar-SA"/>
        </w:rPr>
        <w:t>前</w:t>
      </w:r>
      <w:r>
        <w:rPr>
          <w:rFonts w:hint="eastAsia" w:ascii="Times New Roman" w:hAnsi="Times New Roman" w:eastAsia="黑体" w:cs="Times New Roman"/>
          <w:bCs/>
          <w:color w:val="auto"/>
          <w:kern w:val="0"/>
          <w:sz w:val="24"/>
          <w:szCs w:val="24"/>
          <w:lang w:val="en-US" w:eastAsia="zh-CN" w:bidi="ar-SA"/>
        </w:rPr>
        <w:t>后淮河横断面</w:t>
      </w:r>
      <w:r>
        <w:rPr>
          <w:rFonts w:hint="eastAsia" w:eastAsia="黑体" w:cs="Times New Roman"/>
          <w:bCs/>
          <w:color w:val="auto"/>
          <w:kern w:val="0"/>
          <w:sz w:val="24"/>
          <w:szCs w:val="24"/>
          <w:lang w:val="en-US" w:eastAsia="zh-CN" w:bidi="ar-SA"/>
        </w:rPr>
        <w:t>对比</w:t>
      </w:r>
      <w:r>
        <w:rPr>
          <w:rFonts w:hint="eastAsia" w:ascii="Times New Roman" w:hAnsi="Times New Roman" w:eastAsia="黑体" w:cs="Times New Roman"/>
          <w:bCs/>
          <w:color w:val="auto"/>
          <w:kern w:val="0"/>
          <w:sz w:val="24"/>
          <w:szCs w:val="24"/>
          <w:lang w:val="en-US" w:eastAsia="zh-CN" w:bidi="ar-SA"/>
        </w:rPr>
        <w:t>图</w:t>
      </w:r>
    </w:p>
    <w:p w14:paraId="4E0D173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Times New Roman" w:hAnsi="Times New Roman" w:eastAsia="宋体" w:cs="Times New Roman"/>
          <w:color w:val="auto"/>
          <w:kern w:val="0"/>
          <w:sz w:val="24"/>
          <w:szCs w:val="24"/>
          <w:lang w:val="en-US" w:eastAsia="zh-CN" w:bidi="ar-SA"/>
        </w:rPr>
      </w:pPr>
      <w:r>
        <w:rPr>
          <w:rFonts w:hint="eastAsia" w:ascii="Times New Roman" w:hAnsi="Times New Roman" w:eastAsia="宋体" w:cs="Times New Roman"/>
          <w:color w:val="auto"/>
          <w:kern w:val="0"/>
          <w:sz w:val="24"/>
          <w:szCs w:val="24"/>
          <w:lang w:val="en-US" w:eastAsia="zh-CN" w:bidi="ar-SA"/>
        </w:rPr>
        <w:t>根据项目洪评，拟建码头位置多年来该航段河床稳定，冲淤变化不大，水深条件良好，水面宽阔。为使码头前停泊水域及回旋水域较大，船舶进出港作业方便，码头采用切滩后退形成开挖港池，港池规划占用岸线160m，港池最上游与最下游坡顶之间占用滩槽分界线220m，港池开挖后较原状河道在河道横断面方向的开挖面积约为302.59m</w:t>
      </w:r>
      <w:r>
        <w:rPr>
          <w:rFonts w:hint="eastAsia" w:ascii="Times New Roman" w:hAnsi="Times New Roman" w:eastAsia="宋体" w:cs="Times New Roman"/>
          <w:color w:val="auto"/>
          <w:kern w:val="0"/>
          <w:sz w:val="24"/>
          <w:szCs w:val="24"/>
          <w:vertAlign w:val="superscript"/>
          <w:lang w:val="en-US" w:eastAsia="zh-CN" w:bidi="ar-SA"/>
        </w:rPr>
        <w:t>2</w:t>
      </w:r>
      <w:r>
        <w:rPr>
          <w:rFonts w:hint="eastAsia" w:ascii="Times New Roman" w:hAnsi="Times New Roman" w:eastAsia="宋体" w:cs="Times New Roman"/>
          <w:color w:val="auto"/>
          <w:kern w:val="0"/>
          <w:sz w:val="24"/>
          <w:szCs w:val="24"/>
          <w:lang w:val="en-US" w:eastAsia="zh-CN" w:bidi="ar-SA"/>
        </w:rPr>
        <w:t>。码头平台与主航道之间河底高程高于12.3m处全部开挖至港池底高程，设计港池底高程12.3m，上下游端部码头设计前沿线与护岸夹角135°，港池边坡岸坡坡度均为1:2.5，采用通过水上砌石，水下抛石护岸，厚度600mm；港池底与港池边坡交会处设置2.4m长水平抛石护砌，厚度1000mm（详见图</w:t>
      </w:r>
      <w:r>
        <w:rPr>
          <w:rFonts w:hint="eastAsia" w:cs="Times New Roman"/>
          <w:color w:val="auto"/>
          <w:kern w:val="0"/>
          <w:sz w:val="24"/>
          <w:szCs w:val="24"/>
          <w:lang w:val="en-US" w:eastAsia="zh-CN" w:bidi="ar-SA"/>
        </w:rPr>
        <w:t>5.2-3</w:t>
      </w:r>
      <w:r>
        <w:rPr>
          <w:rFonts w:hint="eastAsia" w:ascii="Times New Roman" w:hAnsi="Times New Roman" w:eastAsia="宋体" w:cs="Times New Roman"/>
          <w:color w:val="auto"/>
          <w:kern w:val="0"/>
          <w:sz w:val="24"/>
          <w:szCs w:val="24"/>
          <w:lang w:val="en-US" w:eastAsia="zh-CN" w:bidi="ar-SA"/>
        </w:rPr>
        <w:t xml:space="preserve">）。港池最上缘与淮河左堤内堤脚最小水平距离为55m。 </w:t>
      </w:r>
    </w:p>
    <w:p w14:paraId="1CF6301B">
      <w:pPr>
        <w:pStyle w:val="237"/>
        <w:ind w:firstLine="480"/>
        <w:rPr>
          <w:rFonts w:hint="default" w:eastAsia="宋体" w:cs="Times New Roman"/>
          <w:color w:val="auto"/>
          <w:kern w:val="0"/>
          <w:vertAlign w:val="baseline"/>
          <w:lang w:val="en-US" w:eastAsia="zh-CN"/>
        </w:rPr>
      </w:pPr>
      <w:r>
        <w:rPr>
          <w:rFonts w:hint="eastAsia" w:cs="Times New Roman"/>
          <w:color w:val="auto"/>
          <w:kern w:val="0"/>
          <w:sz w:val="24"/>
          <w:szCs w:val="24"/>
          <w:lang w:val="en-US" w:eastAsia="zh-CN" w:bidi="ar-SA"/>
        </w:rPr>
        <w:t>项目建成后，</w:t>
      </w:r>
      <w:r>
        <w:rPr>
          <w:rFonts w:hint="eastAsia" w:ascii="Times New Roman" w:hAnsi="Times New Roman" w:eastAsia="宋体" w:cs="Times New Roman"/>
          <w:color w:val="auto"/>
          <w:kern w:val="0"/>
          <w:sz w:val="24"/>
          <w:szCs w:val="24"/>
          <w:lang w:val="en-US" w:eastAsia="zh-CN" w:bidi="ar-SA"/>
        </w:rPr>
        <w:t>河道横断面</w:t>
      </w:r>
      <w:r>
        <w:rPr>
          <w:rFonts w:hint="eastAsia" w:cs="Times New Roman"/>
          <w:color w:val="auto"/>
          <w:kern w:val="0"/>
          <w:sz w:val="24"/>
          <w:szCs w:val="24"/>
          <w:lang w:val="en-US" w:eastAsia="zh-CN" w:bidi="ar-SA"/>
        </w:rPr>
        <w:t>面积增加了</w:t>
      </w:r>
      <w:r>
        <w:rPr>
          <w:rFonts w:hint="eastAsia" w:ascii="Times New Roman" w:hAnsi="Times New Roman" w:eastAsia="宋体" w:cs="Times New Roman"/>
          <w:color w:val="auto"/>
          <w:kern w:val="0"/>
          <w:sz w:val="24"/>
          <w:szCs w:val="24"/>
          <w:lang w:val="en-US" w:eastAsia="zh-CN" w:bidi="ar-SA"/>
        </w:rPr>
        <w:t>302.59m</w:t>
      </w:r>
      <w:r>
        <w:rPr>
          <w:rFonts w:hint="eastAsia" w:ascii="Times New Roman" w:hAnsi="Times New Roman" w:eastAsia="宋体" w:cs="Times New Roman"/>
          <w:color w:val="auto"/>
          <w:kern w:val="0"/>
          <w:sz w:val="24"/>
          <w:szCs w:val="24"/>
          <w:vertAlign w:val="superscript"/>
          <w:lang w:val="en-US" w:eastAsia="zh-CN" w:bidi="ar-SA"/>
        </w:rPr>
        <w:t>2</w:t>
      </w:r>
      <w:r>
        <w:rPr>
          <w:rFonts w:hint="eastAsia" w:cs="Times New Roman"/>
          <w:color w:val="auto"/>
          <w:kern w:val="0"/>
          <w:sz w:val="24"/>
          <w:szCs w:val="24"/>
          <w:vertAlign w:val="baseline"/>
          <w:lang w:val="en-US" w:eastAsia="zh-CN" w:bidi="ar-SA"/>
        </w:rPr>
        <w:t>，从约1000</w:t>
      </w:r>
      <w:r>
        <w:rPr>
          <w:rFonts w:hint="eastAsia" w:ascii="Times New Roman" w:hAnsi="Times New Roman" w:eastAsia="宋体" w:cs="Times New Roman"/>
          <w:color w:val="auto"/>
          <w:kern w:val="0"/>
          <w:sz w:val="24"/>
          <w:szCs w:val="24"/>
          <w:lang w:val="en-US" w:eastAsia="zh-CN" w:bidi="ar-SA"/>
        </w:rPr>
        <w:t>m</w:t>
      </w:r>
      <w:r>
        <w:rPr>
          <w:rFonts w:hint="eastAsia" w:ascii="Times New Roman" w:hAnsi="Times New Roman" w:eastAsia="宋体" w:cs="Times New Roman"/>
          <w:color w:val="auto"/>
          <w:kern w:val="0"/>
          <w:sz w:val="24"/>
          <w:szCs w:val="24"/>
          <w:vertAlign w:val="superscript"/>
          <w:lang w:val="en-US" w:eastAsia="zh-CN" w:bidi="ar-SA"/>
        </w:rPr>
        <w:t>2</w:t>
      </w:r>
      <w:r>
        <w:rPr>
          <w:rFonts w:hint="eastAsia" w:cs="Times New Roman"/>
          <w:color w:val="auto"/>
          <w:kern w:val="0"/>
          <w:sz w:val="24"/>
          <w:szCs w:val="24"/>
          <w:vertAlign w:val="baseline"/>
          <w:lang w:val="en-US" w:eastAsia="zh-CN" w:bidi="ar-SA"/>
        </w:rPr>
        <w:t>增加至约1300</w:t>
      </w:r>
      <w:r>
        <w:rPr>
          <w:rFonts w:hint="eastAsia" w:ascii="Times New Roman" w:hAnsi="Times New Roman" w:eastAsia="宋体" w:cs="Times New Roman"/>
          <w:color w:val="auto"/>
          <w:kern w:val="0"/>
          <w:sz w:val="24"/>
          <w:szCs w:val="24"/>
          <w:lang w:val="en-US" w:eastAsia="zh-CN" w:bidi="ar-SA"/>
        </w:rPr>
        <w:t>m</w:t>
      </w:r>
      <w:r>
        <w:rPr>
          <w:rFonts w:hint="eastAsia" w:ascii="Times New Roman" w:hAnsi="Times New Roman" w:eastAsia="宋体" w:cs="Times New Roman"/>
          <w:color w:val="auto"/>
          <w:kern w:val="0"/>
          <w:sz w:val="24"/>
          <w:szCs w:val="24"/>
          <w:vertAlign w:val="superscript"/>
          <w:lang w:val="en-US" w:eastAsia="zh-CN" w:bidi="ar-SA"/>
        </w:rPr>
        <w:t>2</w:t>
      </w:r>
      <w:r>
        <w:rPr>
          <w:rFonts w:hint="eastAsia" w:cs="Times New Roman"/>
          <w:color w:val="auto"/>
          <w:kern w:val="0"/>
          <w:sz w:val="24"/>
          <w:szCs w:val="24"/>
          <w:vertAlign w:val="baseline"/>
          <w:lang w:val="en-US" w:eastAsia="zh-CN" w:bidi="ar-SA"/>
        </w:rPr>
        <w:t>，根据流速计算公式v=Q/A，流量取枯水期90%保证率流量500</w:t>
      </w:r>
      <w:r>
        <w:rPr>
          <w:rFonts w:hint="eastAsia" w:ascii="Times New Roman" w:hAnsi="Times New Roman" w:eastAsia="宋体" w:cs="Times New Roman"/>
          <w:color w:val="auto"/>
          <w:kern w:val="0"/>
          <w:sz w:val="24"/>
          <w:szCs w:val="24"/>
          <w:lang w:val="en-US" w:eastAsia="zh-CN" w:bidi="ar-SA"/>
        </w:rPr>
        <w:t>m</w:t>
      </w:r>
      <w:r>
        <w:rPr>
          <w:rFonts w:hint="eastAsia" w:cs="Times New Roman"/>
          <w:color w:val="auto"/>
          <w:kern w:val="0"/>
          <w:sz w:val="24"/>
          <w:szCs w:val="24"/>
          <w:vertAlign w:val="superscript"/>
          <w:lang w:val="en-US" w:eastAsia="zh-CN" w:bidi="ar-SA"/>
        </w:rPr>
        <w:t>3</w:t>
      </w:r>
      <w:r>
        <w:rPr>
          <w:rFonts w:hint="eastAsia" w:cs="Times New Roman"/>
          <w:color w:val="auto"/>
          <w:kern w:val="0"/>
          <w:sz w:val="24"/>
          <w:szCs w:val="24"/>
          <w:vertAlign w:val="baseline"/>
          <w:lang w:val="en-US" w:eastAsia="zh-CN" w:bidi="ar-SA"/>
        </w:rPr>
        <w:t>/s，则该河段流速从项目建设前的0.5m/s减小到了项目建设后的0.38m/s。淮河流速的变化仅发生在项目所在的160m岸线处，对项目所在地上下游的流速均不会造成影响。</w:t>
      </w:r>
    </w:p>
    <w:p w14:paraId="3D977026">
      <w:pPr>
        <w:pStyle w:val="320"/>
        <w:ind w:firstLine="480"/>
        <w:rPr>
          <w:rFonts w:hint="eastAsia"/>
          <w:color w:val="auto"/>
        </w:rPr>
      </w:pPr>
      <w:r>
        <w:rPr>
          <w:color w:val="auto"/>
        </w:rPr>
        <w:t>（</w:t>
      </w:r>
      <w:r>
        <w:rPr>
          <w:rFonts w:hint="eastAsia"/>
          <w:color w:val="auto"/>
        </w:rPr>
        <w:t>2</w:t>
      </w:r>
      <w:r>
        <w:rPr>
          <w:color w:val="auto"/>
        </w:rPr>
        <w:t>）建设项目对河势稳定的影响评价</w:t>
      </w:r>
    </w:p>
    <w:p w14:paraId="35322605">
      <w:pPr>
        <w:pStyle w:val="237"/>
        <w:keepNext w:val="0"/>
        <w:keepLines w:val="0"/>
        <w:pageBreakBefore w:val="0"/>
        <w:widowControl/>
        <w:kinsoku/>
        <w:wordWrap/>
        <w:overflowPunct/>
        <w:topLinePunct w:val="0"/>
        <w:autoSpaceDE/>
        <w:autoSpaceDN/>
        <w:bidi w:val="0"/>
        <w:snapToGrid/>
        <w:ind w:firstLine="480"/>
        <w:textAlignment w:val="auto"/>
        <w:rPr>
          <w:color w:val="auto"/>
          <w:highlight w:val="lightGray"/>
        </w:rPr>
      </w:pPr>
      <w:r>
        <w:rPr>
          <w:rFonts w:hint="eastAsia"/>
          <w:color w:val="auto"/>
        </w:rPr>
        <w:t>根据河道演变分析，本项目位置处河道主槽呈微冲态势，冲刷程度逐渐加强，滩地呈微淤状态，淤积程度逐渐减弱，河道走向相对稳定。随着正峡段工程中涧沟口至峡山口段河道疏浚工程的实施，河道过流能力增加，河道主槽冲刷程度将逐渐减弱，河势将趋于稳定。本项目码头前沿停泊水域</w:t>
      </w:r>
      <w:r>
        <w:rPr>
          <w:color w:val="auto"/>
        </w:rPr>
        <w:t>2</w:t>
      </w:r>
      <w:r>
        <w:rPr>
          <w:rFonts w:hint="eastAsia"/>
          <w:color w:val="auto"/>
        </w:rPr>
        <w:t>1</w:t>
      </w:r>
      <w:r>
        <w:rPr>
          <w:color w:val="auto"/>
        </w:rPr>
        <w:t>.6m</w:t>
      </w:r>
      <w:r>
        <w:rPr>
          <w:rFonts w:hint="eastAsia"/>
          <w:color w:val="auto"/>
        </w:rPr>
        <w:t>，码头平台及停泊水域不占用主行洪通道，对主行洪通道深泓线的变化、河床扰动比较小。</w:t>
      </w:r>
    </w:p>
    <w:p w14:paraId="21FF30E5">
      <w:pPr>
        <w:pStyle w:val="237"/>
        <w:keepNext w:val="0"/>
        <w:keepLines w:val="0"/>
        <w:pageBreakBefore w:val="0"/>
        <w:widowControl/>
        <w:kinsoku/>
        <w:wordWrap/>
        <w:overflowPunct/>
        <w:topLinePunct w:val="0"/>
        <w:autoSpaceDE/>
        <w:autoSpaceDN/>
        <w:bidi w:val="0"/>
        <w:adjustRightInd w:val="0"/>
        <w:snapToGrid/>
        <w:ind w:firstLine="480" w:firstLineChars="200"/>
        <w:textAlignment w:val="auto"/>
        <w:rPr>
          <w:rFonts w:hint="eastAsia"/>
          <w:color w:val="auto"/>
        </w:rPr>
      </w:pPr>
      <w:r>
        <w:rPr>
          <w:rFonts w:hint="eastAsia"/>
          <w:color w:val="auto"/>
        </w:rPr>
        <w:t>冲刷分析计算结果表明，100年一遇设计洪水位条件下，河槽、河滩可能最大冲刷深度为3.18和1.29m，对桩基、装卸平台稳定及左滩地地面</w:t>
      </w:r>
      <w:r>
        <w:rPr>
          <w:rFonts w:hint="eastAsia"/>
          <w:color w:val="auto"/>
          <w:lang w:eastAsia="zh-CN"/>
        </w:rPr>
        <w:t>存在</w:t>
      </w:r>
      <w:r>
        <w:rPr>
          <w:rFonts w:hint="eastAsia"/>
          <w:color w:val="auto"/>
        </w:rPr>
        <w:t>一定的影响。码头栈桥泊位处已通过抛石护岸对港池岸坡进行防护，有利于防止岸坡的崩退，码头处局部河势不会有明显改变；建议沉淀池及附属设施地基周边、上堤道路坡面进行必要防护措施，进一步起到维护滩地、稳定岸线和维护堤防安全的作用。</w:t>
      </w:r>
    </w:p>
    <w:p w14:paraId="1318C94C">
      <w:pPr>
        <w:pStyle w:val="237"/>
        <w:keepNext w:val="0"/>
        <w:keepLines w:val="0"/>
        <w:pageBreakBefore w:val="0"/>
        <w:widowControl/>
        <w:kinsoku/>
        <w:wordWrap/>
        <w:overflowPunct/>
        <w:topLinePunct w:val="0"/>
        <w:autoSpaceDE/>
        <w:autoSpaceDN/>
        <w:bidi w:val="0"/>
        <w:adjustRightInd w:val="0"/>
        <w:snapToGrid/>
        <w:ind w:firstLine="480" w:firstLineChars="200"/>
        <w:textAlignment w:val="auto"/>
        <w:rPr>
          <w:rFonts w:hint="eastAsia"/>
          <w:color w:val="auto"/>
        </w:rPr>
      </w:pPr>
      <w:r>
        <w:rPr>
          <w:rFonts w:hint="eastAsia"/>
          <w:color w:val="auto"/>
        </w:rPr>
        <w:t>评价认为，采取防护措施后，本码头工程的建设对该段河道河势的影响较小，不会影响河道的原有演变趋势。</w:t>
      </w:r>
    </w:p>
    <w:p w14:paraId="0D89123C">
      <w:pPr>
        <w:pStyle w:val="320"/>
        <w:ind w:firstLine="480"/>
        <w:rPr>
          <w:rFonts w:hint="eastAsia"/>
          <w:color w:val="auto"/>
        </w:rPr>
      </w:pPr>
      <w:r>
        <w:rPr>
          <w:color w:val="auto"/>
        </w:rPr>
        <w:t>（</w:t>
      </w:r>
      <w:r>
        <w:rPr>
          <w:rFonts w:hint="eastAsia"/>
          <w:color w:val="auto"/>
          <w:lang w:val="en-US" w:eastAsia="zh-CN"/>
        </w:rPr>
        <w:t>3</w:t>
      </w:r>
      <w:r>
        <w:rPr>
          <w:color w:val="auto"/>
        </w:rPr>
        <w:t>）建设项目对</w:t>
      </w:r>
      <w:r>
        <w:rPr>
          <w:rFonts w:hint="eastAsia"/>
          <w:color w:val="auto"/>
          <w:lang w:val="en-US" w:eastAsia="zh-CN"/>
        </w:rPr>
        <w:t>淮河淮南段长吻鮠国家级水产种质资源保护区水文情势</w:t>
      </w:r>
      <w:r>
        <w:rPr>
          <w:color w:val="auto"/>
        </w:rPr>
        <w:t>的影响评价</w:t>
      </w:r>
    </w:p>
    <w:p w14:paraId="7C945A9D">
      <w:pPr>
        <w:pStyle w:val="1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工程建成后，</w:t>
      </w:r>
      <w:r>
        <w:rPr>
          <w:rFonts w:hint="eastAsia" w:ascii="Times New Roman" w:hAnsi="Times New Roman" w:eastAsia="宋体" w:cs="宋体"/>
          <w:snapToGrid w:val="0"/>
          <w:color w:val="auto"/>
          <w:kern w:val="0"/>
          <w:sz w:val="24"/>
          <w:szCs w:val="21"/>
          <w:lang w:val="en-US" w:eastAsia="zh-CN" w:bidi="ar-SA"/>
        </w:rPr>
        <w:t>河势的影响较小，不会影响河道的原有演变趋势。</w:t>
      </w:r>
      <w:r>
        <w:rPr>
          <w:rFonts w:hint="eastAsia" w:ascii="Times New Roman" w:eastAsia="宋体" w:cs="宋体"/>
          <w:snapToGrid w:val="0"/>
          <w:color w:val="auto"/>
          <w:kern w:val="0"/>
          <w:sz w:val="24"/>
          <w:szCs w:val="21"/>
          <w:lang w:val="en-US" w:eastAsia="zh-CN" w:bidi="ar-SA"/>
        </w:rPr>
        <w:t>工程不取水、排水，不造成淮河干流水量变化，项目开挖和疏浚</w:t>
      </w:r>
      <w:r>
        <w:rPr>
          <w:rFonts w:hint="eastAsia" w:ascii="Times New Roman" w:hAnsi="Times New Roman" w:eastAsia="宋体" w:cs="Calibri"/>
          <w:color w:val="auto"/>
          <w:kern w:val="2"/>
          <w:sz w:val="24"/>
          <w:szCs w:val="24"/>
          <w:lang w:val="en-US" w:eastAsia="zh-CN" w:bidi="ar-SA"/>
        </w:rPr>
        <w:t>改变了河道过流断面（拓宽、挖深），对该处的水文情势（流速）有所影响</w:t>
      </w:r>
      <w:r>
        <w:rPr>
          <w:rFonts w:hint="eastAsia" w:ascii="Times New Roman" w:eastAsia="宋体" w:cs="宋体"/>
          <w:snapToGrid w:val="0"/>
          <w:color w:val="auto"/>
          <w:kern w:val="0"/>
          <w:sz w:val="24"/>
          <w:szCs w:val="21"/>
          <w:lang w:val="en-US" w:eastAsia="zh-CN" w:bidi="ar-SA"/>
        </w:rPr>
        <w:t>。</w:t>
      </w:r>
      <w:r>
        <w:rPr>
          <w:rFonts w:hint="eastAsia" w:ascii="Times New Roman" w:hAnsi="Times New Roman" w:eastAsia="宋体" w:cs="Calibri"/>
          <w:color w:val="auto"/>
          <w:kern w:val="2"/>
          <w:sz w:val="24"/>
          <w:szCs w:val="24"/>
          <w:lang w:val="en-US" w:eastAsia="zh-CN" w:bidi="ar-SA"/>
        </w:rPr>
        <w:t>总的来说，同样来水流量条件下，</w:t>
      </w:r>
      <w:r>
        <w:rPr>
          <w:rFonts w:hint="eastAsia" w:ascii="Times New Roman" w:eastAsia="宋体" w:cs="宋体"/>
          <w:snapToGrid w:val="0"/>
          <w:color w:val="auto"/>
          <w:kern w:val="0"/>
          <w:sz w:val="24"/>
          <w:szCs w:val="21"/>
          <w:lang w:val="en-US" w:eastAsia="zh-CN" w:bidi="ar-SA"/>
        </w:rPr>
        <w:t>对项目所在的160m岸线的淮河流速有所减小，</w:t>
      </w:r>
      <w:r>
        <w:rPr>
          <w:rFonts w:hint="eastAsia" w:ascii="Times New Roman" w:hAnsi="Times New Roman" w:eastAsia="宋体" w:cs="宋体"/>
          <w:snapToGrid w:val="0"/>
          <w:color w:val="auto"/>
          <w:kern w:val="0"/>
          <w:sz w:val="24"/>
          <w:szCs w:val="21"/>
          <w:lang w:val="en-US" w:eastAsia="zh-CN" w:bidi="ar-SA"/>
        </w:rPr>
        <w:t>对项目所在地上下游的流速均不会造成影响</w:t>
      </w:r>
      <w:r>
        <w:rPr>
          <w:rFonts w:hint="eastAsia" w:ascii="Times New Roman" w:eastAsia="宋体" w:cs="宋体"/>
          <w:snapToGrid w:val="0"/>
          <w:color w:val="auto"/>
          <w:kern w:val="0"/>
          <w:sz w:val="24"/>
          <w:szCs w:val="21"/>
          <w:lang w:val="en-US" w:eastAsia="zh-CN" w:bidi="ar-SA"/>
        </w:rPr>
        <w:t>。项目距长吻鮠、瓦氏黄颡鱼的主要栖息地相距20km左右，项目地的160m岸线范围内没有其他经济鱼类的产卵场、索饵场和越冬场，但项目位于“四大家鱼”洄游通道上，项目地淮河流速的变化会略微影响“四大家鱼”洄游，但项目未阻断“四大家鱼”洄游通道，对“四大家鱼”洄游的总体影响较小。</w:t>
      </w:r>
    </w:p>
    <w:p w14:paraId="25DA8B82">
      <w:pPr>
        <w:pStyle w:val="110"/>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Calibri"/>
          <w:color w:val="auto"/>
          <w:kern w:val="2"/>
          <w:sz w:val="24"/>
          <w:szCs w:val="24"/>
          <w:lang w:val="en-US" w:eastAsia="zh-CN" w:bidi="ar-SA"/>
        </w:rPr>
      </w:pPr>
      <w:r>
        <w:rPr>
          <w:rFonts w:hint="eastAsia" w:ascii="Times New Roman" w:eastAsia="宋体" w:cs="Calibri"/>
          <w:color w:val="auto"/>
          <w:kern w:val="2"/>
          <w:sz w:val="24"/>
          <w:szCs w:val="24"/>
          <w:lang w:val="en-US" w:eastAsia="zh-CN" w:bidi="ar-SA"/>
        </w:rPr>
        <w:t>综上，</w:t>
      </w:r>
      <w:r>
        <w:rPr>
          <w:rFonts w:hint="eastAsia" w:ascii="Times New Roman" w:hAnsi="Times New Roman" w:eastAsia="宋体" w:cs="Calibri"/>
          <w:color w:val="auto"/>
          <w:kern w:val="2"/>
          <w:sz w:val="24"/>
          <w:szCs w:val="24"/>
          <w:lang w:val="en-US" w:eastAsia="zh-CN" w:bidi="ar-SA"/>
        </w:rPr>
        <w:t>工程对淮河淮南段长吻鮠国家级水产种质资源保护区水文情势影响较小。</w:t>
      </w:r>
    </w:p>
    <w:p w14:paraId="1F8937DD">
      <w:pPr>
        <w:pStyle w:val="5"/>
        <w:numPr>
          <w:ilvl w:val="0"/>
          <w:numId w:val="0"/>
        </w:numPr>
        <w:rPr>
          <w:color w:val="auto"/>
        </w:rPr>
      </w:pPr>
      <w:r>
        <w:rPr>
          <w:rFonts w:hint="eastAsia"/>
          <w:color w:val="auto"/>
        </w:rPr>
        <w:t>5.2.1.2</w:t>
      </w:r>
      <w:r>
        <w:rPr>
          <w:rFonts w:hint="eastAsia"/>
          <w:color w:val="auto"/>
          <w:lang w:val="en-US" w:eastAsia="zh-CN"/>
        </w:rPr>
        <w:t>运营期废水</w:t>
      </w:r>
      <w:r>
        <w:rPr>
          <w:rFonts w:hint="eastAsia"/>
          <w:color w:val="auto"/>
        </w:rPr>
        <w:t>环境影响分析</w:t>
      </w:r>
    </w:p>
    <w:p w14:paraId="4043E80C">
      <w:pPr>
        <w:spacing w:line="360" w:lineRule="auto"/>
        <w:ind w:firstLine="480" w:firstLineChars="200"/>
        <w:rPr>
          <w:rFonts w:hint="eastAsia"/>
          <w:color w:val="auto"/>
          <w:sz w:val="24"/>
        </w:rPr>
      </w:pPr>
      <w:r>
        <w:rPr>
          <w:color w:val="auto"/>
          <w:sz w:val="24"/>
        </w:rPr>
        <w:t>根据《港口工程环境保护设计规范》，油品和液体化工品装船港应按国家有关防治水污染的规定和《国际海事组织</w:t>
      </w:r>
      <w:r>
        <w:rPr>
          <w:rFonts w:hint="eastAsia"/>
          <w:color w:val="auto"/>
          <w:sz w:val="24"/>
        </w:rPr>
        <w:t>7</w:t>
      </w:r>
      <w:r>
        <w:rPr>
          <w:color w:val="auto"/>
          <w:sz w:val="24"/>
        </w:rPr>
        <w:t>3/78防污公约》的要求设置必要的船舶压载水、洗舱水的接收处置设施。本项目装载的货物主要为煤炭、</w:t>
      </w:r>
      <w:r>
        <w:rPr>
          <w:rFonts w:hint="eastAsia"/>
          <w:color w:val="auto"/>
          <w:sz w:val="24"/>
        </w:rPr>
        <w:t>矿建材料</w:t>
      </w:r>
      <w:r>
        <w:rPr>
          <w:color w:val="auto"/>
          <w:sz w:val="24"/>
        </w:rPr>
        <w:t>，船舶运输路线主要为沿淮河外运，因此到港船舶运输过程不产生压舱废水。</w:t>
      </w:r>
    </w:p>
    <w:p w14:paraId="369AA737">
      <w:pPr>
        <w:spacing w:line="360" w:lineRule="auto"/>
        <w:ind w:firstLine="480" w:firstLineChars="200"/>
        <w:rPr>
          <w:color w:val="auto"/>
          <w:sz w:val="24"/>
        </w:rPr>
      </w:pPr>
      <w:r>
        <w:rPr>
          <w:color w:val="auto"/>
          <w:sz w:val="24"/>
        </w:rPr>
        <w:t>本项目营运期产生的废水包括员工生活污水、初期雨水、码头地面冲洗废水、机械车辆冲洗废水、船舶生活污水和船舶含油污水。</w:t>
      </w:r>
    </w:p>
    <w:p w14:paraId="21D1EF0C">
      <w:pPr>
        <w:pStyle w:val="288"/>
        <w:spacing w:line="360" w:lineRule="auto"/>
        <w:ind w:firstLine="480"/>
        <w:rPr>
          <w:rFonts w:ascii="宋体" w:hAnsi="宋体"/>
          <w:color w:val="auto"/>
        </w:rPr>
      </w:pPr>
      <w:r>
        <w:rPr>
          <w:rFonts w:hint="eastAsia"/>
          <w:color w:val="auto"/>
        </w:rPr>
        <w:t>本项目</w:t>
      </w:r>
      <w:r>
        <w:rPr>
          <w:color w:val="auto"/>
        </w:rPr>
        <w:t>船舶产生的生活污水</w:t>
      </w:r>
      <w:r>
        <w:rPr>
          <w:rFonts w:hint="eastAsia"/>
          <w:color w:val="auto"/>
        </w:rPr>
        <w:t>经码头设置的船舶污水接收设施接收后，进入</w:t>
      </w:r>
      <w:r>
        <w:rPr>
          <w:color w:val="auto"/>
        </w:rPr>
        <w:t>船舶生活污水储存罐</w:t>
      </w:r>
      <w:r>
        <w:rPr>
          <w:rFonts w:hint="eastAsia"/>
          <w:color w:val="auto"/>
        </w:rPr>
        <w:t>，</w:t>
      </w:r>
      <w:r>
        <w:rPr>
          <w:color w:val="auto"/>
        </w:rPr>
        <w:t>船舶生活污水委托第三方单位将生活污水储存罐的污水定期转运至就近</w:t>
      </w:r>
      <w:r>
        <w:rPr>
          <w:rFonts w:hint="eastAsia"/>
          <w:color w:val="auto"/>
        </w:rPr>
        <w:t>污水处理厂处理；</w:t>
      </w:r>
      <w:r>
        <w:rPr>
          <w:color w:val="auto"/>
        </w:rPr>
        <w:t>到港船舶</w:t>
      </w:r>
      <w:r>
        <w:rPr>
          <w:rFonts w:hint="eastAsia"/>
          <w:color w:val="auto"/>
        </w:rPr>
        <w:t>含</w:t>
      </w:r>
      <w:r>
        <w:rPr>
          <w:color w:val="auto"/>
        </w:rPr>
        <w:t>油</w:t>
      </w:r>
      <w:r>
        <w:rPr>
          <w:rFonts w:hint="eastAsia"/>
          <w:color w:val="auto"/>
        </w:rPr>
        <w:t>废</w:t>
      </w:r>
      <w:r>
        <w:rPr>
          <w:color w:val="auto"/>
        </w:rPr>
        <w:t>水</w:t>
      </w:r>
      <w:r>
        <w:rPr>
          <w:rFonts w:hint="eastAsia"/>
          <w:color w:val="auto"/>
        </w:rPr>
        <w:t>码头设置的接收设施接收后，进入船舶油污水储存罐，交由有资质单位处置；</w:t>
      </w:r>
      <w:r>
        <w:rPr>
          <w:color w:val="auto"/>
        </w:rPr>
        <w:t>机械车辆冲洗水</w:t>
      </w:r>
      <w:r>
        <w:rPr>
          <w:rFonts w:hint="eastAsia"/>
          <w:color w:val="auto"/>
        </w:rPr>
        <w:t>经隔油沉淀池处理后回用于车辆冲洗，不外排；</w:t>
      </w:r>
      <w:r>
        <w:rPr>
          <w:color w:val="auto"/>
        </w:rPr>
        <w:t>初期雨水、码头</w:t>
      </w:r>
      <w:r>
        <w:rPr>
          <w:rFonts w:hint="eastAsia"/>
          <w:color w:val="auto"/>
        </w:rPr>
        <w:t>地面</w:t>
      </w:r>
      <w:r>
        <w:rPr>
          <w:color w:val="auto"/>
        </w:rPr>
        <w:t>冲洗水</w:t>
      </w:r>
      <w:r>
        <w:rPr>
          <w:rFonts w:hint="eastAsia"/>
          <w:color w:val="auto"/>
        </w:rPr>
        <w:t>收集后经泵通过管道输送</w:t>
      </w:r>
      <w:r>
        <w:rPr>
          <w:color w:val="auto"/>
        </w:rPr>
        <w:t>进入</w:t>
      </w:r>
      <w:r>
        <w:rPr>
          <w:rFonts w:hint="eastAsia"/>
          <w:color w:val="auto"/>
        </w:rPr>
        <w:t>一体化处理设施</w:t>
      </w:r>
      <w:r>
        <w:rPr>
          <w:color w:val="auto"/>
        </w:rPr>
        <w:t>处理后回用于</w:t>
      </w:r>
      <w:r>
        <w:rPr>
          <w:rFonts w:hint="eastAsia"/>
          <w:color w:val="auto"/>
        </w:rPr>
        <w:t>道路喷洒、绿化及码头地面冲洗</w:t>
      </w:r>
      <w:r>
        <w:rPr>
          <w:color w:val="auto"/>
        </w:rPr>
        <w:t>，不外排</w:t>
      </w:r>
      <w:r>
        <w:rPr>
          <w:rFonts w:hint="eastAsia"/>
          <w:color w:val="auto"/>
        </w:rPr>
        <w:t>；码头生活污水</w:t>
      </w:r>
      <w:r>
        <w:rPr>
          <w:rFonts w:hint="eastAsia" w:ascii="宋体" w:hAnsi="宋体"/>
          <w:color w:val="auto"/>
        </w:rPr>
        <w:t>利用周边已有旱厕，收集后用于当地农田或林地肥料，不外排。</w:t>
      </w:r>
    </w:p>
    <w:p w14:paraId="5A382F87">
      <w:pPr>
        <w:spacing w:line="360" w:lineRule="auto"/>
        <w:ind w:firstLine="480" w:firstLineChars="200"/>
        <w:rPr>
          <w:color w:val="auto"/>
          <w:sz w:val="24"/>
        </w:rPr>
      </w:pPr>
      <w:r>
        <w:rPr>
          <w:color w:val="auto"/>
          <w:sz w:val="24"/>
        </w:rPr>
        <w:t>废水污染物排放信息表见表5.</w:t>
      </w:r>
      <w:r>
        <w:rPr>
          <w:rFonts w:hint="eastAsia"/>
          <w:color w:val="auto"/>
          <w:sz w:val="24"/>
        </w:rPr>
        <w:t>2</w:t>
      </w:r>
      <w:r>
        <w:rPr>
          <w:color w:val="auto"/>
          <w:sz w:val="24"/>
        </w:rPr>
        <w:t>-1。</w:t>
      </w:r>
    </w:p>
    <w:p w14:paraId="508C9380">
      <w:pPr>
        <w:pStyle w:val="159"/>
        <w:numPr>
          <w:ilvl w:val="0"/>
          <w:numId w:val="0"/>
        </w:numPr>
        <w:spacing w:line="240" w:lineRule="auto"/>
        <w:ind w:left="-360"/>
        <w:rPr>
          <w:bCs/>
          <w:color w:val="auto"/>
          <w:szCs w:val="24"/>
        </w:rPr>
        <w:sectPr>
          <w:pgSz w:w="11906" w:h="16838"/>
          <w:pgMar w:top="1418" w:right="1418" w:bottom="1418" w:left="1418" w:header="851" w:footer="850" w:gutter="0"/>
          <w:pgBorders>
            <w:top w:val="none" w:sz="0" w:space="0"/>
            <w:left w:val="none" w:sz="0" w:space="0"/>
            <w:bottom w:val="none" w:sz="0" w:space="0"/>
            <w:right w:val="none" w:sz="0" w:space="0"/>
          </w:pgBorders>
          <w:cols w:space="720" w:num="1"/>
          <w:docGrid w:type="lines" w:linePitch="314" w:charSpace="0"/>
        </w:sectPr>
      </w:pPr>
    </w:p>
    <w:p w14:paraId="3DAFA6F4">
      <w:pPr>
        <w:pStyle w:val="159"/>
        <w:numPr>
          <w:ilvl w:val="0"/>
          <w:numId w:val="0"/>
        </w:numPr>
        <w:spacing w:line="240" w:lineRule="auto"/>
        <w:ind w:left="-360"/>
        <w:rPr>
          <w:bCs/>
          <w:color w:val="auto"/>
          <w:szCs w:val="24"/>
          <w:lang w:val="zh-CN"/>
        </w:rPr>
      </w:pPr>
      <w:r>
        <w:rPr>
          <w:bCs/>
          <w:color w:val="auto"/>
          <w:szCs w:val="24"/>
        </w:rPr>
        <w:t>表</w:t>
      </w:r>
      <w:r>
        <w:rPr>
          <w:bCs/>
          <w:color w:val="auto"/>
          <w:szCs w:val="24"/>
          <w:lang w:val="zh-CN"/>
        </w:rPr>
        <w:t>5.</w:t>
      </w:r>
      <w:r>
        <w:rPr>
          <w:bCs/>
          <w:color w:val="auto"/>
          <w:szCs w:val="24"/>
        </w:rPr>
        <w:t>2-</w:t>
      </w:r>
      <w:r>
        <w:rPr>
          <w:bCs/>
          <w:color w:val="auto"/>
          <w:szCs w:val="24"/>
          <w:lang w:val="zh-CN"/>
        </w:rPr>
        <w:t>1  废水类别、污染物及污染治理设施信息表</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87"/>
        <w:gridCol w:w="2262"/>
        <w:gridCol w:w="1183"/>
        <w:gridCol w:w="2533"/>
        <w:gridCol w:w="914"/>
        <w:gridCol w:w="1751"/>
        <w:gridCol w:w="1751"/>
        <w:gridCol w:w="1752"/>
        <w:gridCol w:w="1269"/>
      </w:tblGrid>
      <w:tr w14:paraId="1B7C23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87" w:type="dxa"/>
            <w:vMerge w:val="restart"/>
            <w:noWrap w:val="0"/>
            <w:vAlign w:val="center"/>
          </w:tcPr>
          <w:p w14:paraId="7AF2BACA">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序号</w:t>
            </w:r>
          </w:p>
        </w:tc>
        <w:tc>
          <w:tcPr>
            <w:tcW w:w="2262" w:type="dxa"/>
            <w:vMerge w:val="restart"/>
            <w:noWrap w:val="0"/>
            <w:vAlign w:val="center"/>
          </w:tcPr>
          <w:p w14:paraId="67833A51">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废水类别</w:t>
            </w:r>
          </w:p>
        </w:tc>
        <w:tc>
          <w:tcPr>
            <w:tcW w:w="1183" w:type="dxa"/>
            <w:vMerge w:val="restart"/>
            <w:noWrap w:val="0"/>
            <w:vAlign w:val="center"/>
          </w:tcPr>
          <w:p w14:paraId="4A5CAC58">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污染物种类</w:t>
            </w:r>
          </w:p>
        </w:tc>
        <w:tc>
          <w:tcPr>
            <w:tcW w:w="2533" w:type="dxa"/>
            <w:vMerge w:val="restart"/>
            <w:noWrap w:val="0"/>
            <w:vAlign w:val="center"/>
          </w:tcPr>
          <w:p w14:paraId="490D3177">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排放去向</w:t>
            </w:r>
          </w:p>
        </w:tc>
        <w:tc>
          <w:tcPr>
            <w:tcW w:w="914" w:type="dxa"/>
            <w:vMerge w:val="restart"/>
            <w:noWrap w:val="0"/>
            <w:vAlign w:val="center"/>
          </w:tcPr>
          <w:p w14:paraId="23A5152F">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排放</w:t>
            </w:r>
          </w:p>
          <w:p w14:paraId="69942D54">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规律</w:t>
            </w:r>
          </w:p>
        </w:tc>
        <w:tc>
          <w:tcPr>
            <w:tcW w:w="5254" w:type="dxa"/>
            <w:gridSpan w:val="3"/>
            <w:noWrap w:val="0"/>
            <w:vAlign w:val="center"/>
          </w:tcPr>
          <w:p w14:paraId="0421EE31">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治理措施</w:t>
            </w:r>
          </w:p>
        </w:tc>
        <w:tc>
          <w:tcPr>
            <w:tcW w:w="1269" w:type="dxa"/>
            <w:vMerge w:val="restart"/>
            <w:noWrap w:val="0"/>
            <w:vAlign w:val="center"/>
          </w:tcPr>
          <w:p w14:paraId="09EA117E">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排放口</w:t>
            </w:r>
          </w:p>
          <w:p w14:paraId="30BA84E0">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编号</w:t>
            </w:r>
          </w:p>
        </w:tc>
      </w:tr>
      <w:tr w14:paraId="05D4FD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87" w:type="dxa"/>
            <w:vMerge w:val="continue"/>
            <w:noWrap w:val="0"/>
            <w:vAlign w:val="center"/>
          </w:tcPr>
          <w:p w14:paraId="5B9E4E38">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p>
        </w:tc>
        <w:tc>
          <w:tcPr>
            <w:tcW w:w="2262" w:type="dxa"/>
            <w:vMerge w:val="continue"/>
            <w:noWrap w:val="0"/>
            <w:vAlign w:val="center"/>
          </w:tcPr>
          <w:p w14:paraId="2113BBF2">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p>
        </w:tc>
        <w:tc>
          <w:tcPr>
            <w:tcW w:w="1183" w:type="dxa"/>
            <w:vMerge w:val="continue"/>
            <w:noWrap w:val="0"/>
            <w:vAlign w:val="center"/>
          </w:tcPr>
          <w:p w14:paraId="0C52C8C6">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p>
        </w:tc>
        <w:tc>
          <w:tcPr>
            <w:tcW w:w="2533" w:type="dxa"/>
            <w:vMerge w:val="continue"/>
            <w:noWrap w:val="0"/>
            <w:vAlign w:val="center"/>
          </w:tcPr>
          <w:p w14:paraId="17948A76">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highlight w:val="lightGray"/>
              </w:rPr>
            </w:pPr>
          </w:p>
        </w:tc>
        <w:tc>
          <w:tcPr>
            <w:tcW w:w="914" w:type="dxa"/>
            <w:vMerge w:val="continue"/>
            <w:noWrap w:val="0"/>
            <w:vAlign w:val="center"/>
          </w:tcPr>
          <w:p w14:paraId="72AF7D34">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p>
        </w:tc>
        <w:tc>
          <w:tcPr>
            <w:tcW w:w="1751" w:type="dxa"/>
            <w:noWrap w:val="0"/>
            <w:vAlign w:val="center"/>
          </w:tcPr>
          <w:p w14:paraId="2D28AF31">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污染治理</w:t>
            </w:r>
          </w:p>
          <w:p w14:paraId="7B673A60">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设施编号</w:t>
            </w:r>
          </w:p>
        </w:tc>
        <w:tc>
          <w:tcPr>
            <w:tcW w:w="1751" w:type="dxa"/>
            <w:noWrap w:val="0"/>
            <w:vAlign w:val="center"/>
          </w:tcPr>
          <w:p w14:paraId="2DC753F8">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污染治理</w:t>
            </w:r>
          </w:p>
          <w:p w14:paraId="24C324EE">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设施名称</w:t>
            </w:r>
          </w:p>
        </w:tc>
        <w:tc>
          <w:tcPr>
            <w:tcW w:w="1752" w:type="dxa"/>
            <w:noWrap w:val="0"/>
            <w:vAlign w:val="center"/>
          </w:tcPr>
          <w:p w14:paraId="6238EC0B">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污染治理</w:t>
            </w:r>
          </w:p>
          <w:p w14:paraId="411917BE">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设施工艺</w:t>
            </w:r>
          </w:p>
        </w:tc>
        <w:tc>
          <w:tcPr>
            <w:tcW w:w="1269" w:type="dxa"/>
            <w:vMerge w:val="continue"/>
            <w:noWrap w:val="0"/>
            <w:vAlign w:val="center"/>
          </w:tcPr>
          <w:p w14:paraId="21B98503">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p>
        </w:tc>
      </w:tr>
      <w:tr w14:paraId="632200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87" w:type="dxa"/>
            <w:noWrap w:val="0"/>
            <w:vAlign w:val="center"/>
          </w:tcPr>
          <w:p w14:paraId="1FDF0DC0">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eastAsia" w:ascii="Times New Roman" w:hAnsi="Times New Roman" w:cs="Times New Roman"/>
                <w:color w:val="auto"/>
              </w:rPr>
              <w:t>1</w:t>
            </w:r>
          </w:p>
        </w:tc>
        <w:tc>
          <w:tcPr>
            <w:tcW w:w="2262" w:type="dxa"/>
            <w:noWrap w:val="0"/>
            <w:vAlign w:val="center"/>
          </w:tcPr>
          <w:p w14:paraId="0085F422">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kern w:val="0"/>
              </w:rPr>
              <w:t>船舶生活污水</w:t>
            </w:r>
          </w:p>
        </w:tc>
        <w:tc>
          <w:tcPr>
            <w:tcW w:w="1183" w:type="dxa"/>
            <w:noWrap w:val="0"/>
            <w:vAlign w:val="center"/>
          </w:tcPr>
          <w:p w14:paraId="08B72008">
            <w:pPr>
              <w:pStyle w:val="114"/>
              <w:keepNext w:val="0"/>
              <w:keepLines w:val="0"/>
              <w:suppressLineNumbers w:val="0"/>
              <w:tabs>
                <w:tab w:val="left" w:pos="995"/>
              </w:tabs>
              <w:spacing w:before="0" w:beforeAutospacing="0" w:after="0" w:afterAutospacing="0" w:line="300" w:lineRule="exact"/>
              <w:ind w:left="0" w:right="0"/>
              <w:rPr>
                <w:rFonts w:hint="eastAsia" w:ascii="Times New Roman" w:hAnsi="Times New Roman" w:eastAsia="宋体" w:cs="Times New Roman"/>
                <w:color w:val="auto"/>
                <w:szCs w:val="21"/>
                <w:lang w:eastAsia="zh-CN"/>
              </w:rPr>
            </w:pPr>
            <w:r>
              <w:rPr>
                <w:rFonts w:hint="default" w:ascii="Times New Roman" w:hAnsi="Times New Roman" w:cs="Times New Roman"/>
                <w:color w:val="auto"/>
                <w:szCs w:val="21"/>
              </w:rPr>
              <w:t>COD、SS、</w:t>
            </w:r>
            <w:r>
              <w:rPr>
                <w:rFonts w:hint="eastAsia" w:ascii="Times New Roman" w:hAnsi="Times New Roman" w:cs="Times New Roman"/>
                <w:color w:val="auto"/>
                <w:szCs w:val="21"/>
              </w:rPr>
              <w:t>氨氮</w:t>
            </w:r>
            <w:r>
              <w:rPr>
                <w:rFonts w:hint="eastAsia" w:cs="Times New Roman"/>
                <w:color w:val="auto"/>
                <w:szCs w:val="21"/>
                <w:lang w:eastAsia="zh-CN"/>
              </w:rPr>
              <w:t>、</w:t>
            </w:r>
            <w:r>
              <w:rPr>
                <w:rFonts w:hint="eastAsia" w:ascii="Times New Roman" w:hAnsi="Times New Roman" w:eastAsia="宋体" w:cs="Times New Roman"/>
                <w:color w:val="auto"/>
                <w:kern w:val="0"/>
              </w:rPr>
              <w:t>B</w:t>
            </w:r>
            <w:r>
              <w:rPr>
                <w:rFonts w:hint="default" w:ascii="Times New Roman" w:hAnsi="Times New Roman" w:eastAsia="宋体" w:cs="Times New Roman"/>
                <w:color w:val="auto"/>
                <w:kern w:val="0"/>
              </w:rPr>
              <w:t>OD</w:t>
            </w:r>
            <w:r>
              <w:rPr>
                <w:rFonts w:hint="default" w:ascii="Times New Roman" w:hAnsi="Times New Roman" w:eastAsia="宋体" w:cs="Times New Roman"/>
                <w:color w:val="auto"/>
                <w:kern w:val="0"/>
                <w:vertAlign w:val="subscript"/>
              </w:rPr>
              <w:t>5</w:t>
            </w:r>
          </w:p>
        </w:tc>
        <w:tc>
          <w:tcPr>
            <w:tcW w:w="2533" w:type="dxa"/>
            <w:noWrap w:val="0"/>
            <w:vAlign w:val="center"/>
          </w:tcPr>
          <w:p w14:paraId="2AC52CD9">
            <w:pPr>
              <w:keepNext w:val="0"/>
              <w:keepLines w:val="0"/>
              <w:widowControl/>
              <w:suppressLineNumbers w:val="0"/>
              <w:spacing w:before="0" w:beforeAutospacing="0" w:after="0" w:afterAutospacing="0" w:line="300" w:lineRule="exact"/>
              <w:ind w:left="0" w:right="0"/>
              <w:jc w:val="center"/>
              <w:rPr>
                <w:rFonts w:hint="eastAsia" w:ascii="Times New Roman" w:hAnsi="Times New Roman" w:cs="Times New Roman"/>
                <w:color w:val="auto"/>
                <w:highlight w:val="lightGray"/>
              </w:rPr>
            </w:pPr>
            <w:r>
              <w:rPr>
                <w:rFonts w:hint="eastAsia" w:ascii="Times New Roman" w:hAnsi="Times New Roman" w:cs="Times New Roman"/>
                <w:color w:val="auto"/>
                <w:kern w:val="0"/>
              </w:rPr>
              <w:t>船舶污水接收设施接收后，定期就近转运至周边污水处理厂处理</w:t>
            </w:r>
          </w:p>
        </w:tc>
        <w:tc>
          <w:tcPr>
            <w:tcW w:w="914" w:type="dxa"/>
            <w:noWrap w:val="0"/>
            <w:vAlign w:val="center"/>
          </w:tcPr>
          <w:p w14:paraId="766EAFD6">
            <w:pPr>
              <w:keepNext w:val="0"/>
              <w:keepLines w:val="0"/>
              <w:widowControl/>
              <w:suppressLineNumbers w:val="0"/>
              <w:spacing w:before="0" w:beforeAutospacing="0" w:after="0" w:afterAutospacing="0" w:line="300" w:lineRule="exact"/>
              <w:ind w:left="0" w:right="0"/>
              <w:jc w:val="center"/>
              <w:rPr>
                <w:rFonts w:hint="eastAsia" w:ascii="Times New Roman" w:hAnsi="Times New Roman" w:cs="Times New Roman"/>
                <w:color w:val="auto"/>
              </w:rPr>
            </w:pPr>
            <w:r>
              <w:rPr>
                <w:rFonts w:hint="eastAsia" w:ascii="Times New Roman" w:hAnsi="Times New Roman" w:cs="Times New Roman"/>
                <w:color w:val="auto"/>
              </w:rPr>
              <w:t>/</w:t>
            </w:r>
          </w:p>
        </w:tc>
        <w:tc>
          <w:tcPr>
            <w:tcW w:w="1751" w:type="dxa"/>
            <w:noWrap w:val="0"/>
            <w:vAlign w:val="center"/>
          </w:tcPr>
          <w:p w14:paraId="1ED692EF">
            <w:pPr>
              <w:keepNext w:val="0"/>
              <w:keepLines w:val="0"/>
              <w:widowControl/>
              <w:suppressLineNumbers w:val="0"/>
              <w:spacing w:before="0" w:beforeAutospacing="0" w:after="0" w:afterAutospacing="0" w:line="300" w:lineRule="exact"/>
              <w:ind w:left="0" w:right="0"/>
              <w:jc w:val="center"/>
              <w:rPr>
                <w:rFonts w:hint="eastAsia" w:ascii="Times New Roman" w:hAnsi="Times New Roman" w:cs="Times New Roman"/>
                <w:color w:val="auto"/>
              </w:rPr>
            </w:pPr>
            <w:r>
              <w:rPr>
                <w:rFonts w:hint="eastAsia" w:ascii="Times New Roman" w:hAnsi="Times New Roman" w:cs="Times New Roman"/>
                <w:color w:val="auto"/>
              </w:rPr>
              <w:t>/</w:t>
            </w:r>
          </w:p>
        </w:tc>
        <w:tc>
          <w:tcPr>
            <w:tcW w:w="1751" w:type="dxa"/>
            <w:noWrap w:val="0"/>
            <w:vAlign w:val="center"/>
          </w:tcPr>
          <w:p w14:paraId="7CAC500C">
            <w:pPr>
              <w:keepNext w:val="0"/>
              <w:keepLines w:val="0"/>
              <w:widowControl/>
              <w:suppressLineNumbers w:val="0"/>
              <w:spacing w:before="0" w:beforeAutospacing="0" w:after="0" w:afterAutospacing="0" w:line="300" w:lineRule="exact"/>
              <w:ind w:left="0" w:leftChars="0" w:right="0" w:rightChars="0"/>
              <w:jc w:val="center"/>
              <w:rPr>
                <w:rFonts w:hint="eastAsia" w:ascii="Times New Roman" w:hAnsi="Times New Roman" w:cs="Times New Roman"/>
                <w:color w:val="auto"/>
              </w:rPr>
            </w:pPr>
            <w:r>
              <w:rPr>
                <w:rFonts w:hint="eastAsia" w:ascii="Times New Roman" w:hAnsi="Times New Roman" w:cs="Times New Roman"/>
                <w:color w:val="auto"/>
              </w:rPr>
              <w:t>隔油沉淀+生物接触氧化法</w:t>
            </w:r>
          </w:p>
        </w:tc>
        <w:tc>
          <w:tcPr>
            <w:tcW w:w="1752" w:type="dxa"/>
            <w:noWrap w:val="0"/>
            <w:vAlign w:val="center"/>
          </w:tcPr>
          <w:p w14:paraId="3B732173">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cs="Times New Roman"/>
                <w:color w:val="auto"/>
              </w:rPr>
            </w:pPr>
            <w:r>
              <w:rPr>
                <w:rFonts w:hint="eastAsia" w:ascii="Times New Roman" w:hAnsi="Times New Roman" w:cs="Times New Roman"/>
                <w:color w:val="auto"/>
              </w:rPr>
              <w:t>隔油沉淀+生物接触氧化法</w:t>
            </w:r>
          </w:p>
        </w:tc>
        <w:tc>
          <w:tcPr>
            <w:tcW w:w="1269" w:type="dxa"/>
            <w:noWrap w:val="0"/>
            <w:vAlign w:val="center"/>
          </w:tcPr>
          <w:p w14:paraId="07212F90">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eastAsia" w:ascii="Times New Roman" w:hAnsi="Times New Roman" w:cs="Times New Roman"/>
                <w:color w:val="auto"/>
              </w:rPr>
              <w:t>/</w:t>
            </w:r>
          </w:p>
        </w:tc>
      </w:tr>
      <w:tr w14:paraId="2A0856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87" w:type="dxa"/>
            <w:noWrap w:val="0"/>
            <w:vAlign w:val="center"/>
          </w:tcPr>
          <w:p w14:paraId="35F7C4D5">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eastAsia" w:ascii="Times New Roman" w:hAnsi="Times New Roman" w:cs="Times New Roman"/>
                <w:color w:val="auto"/>
              </w:rPr>
              <w:t>2</w:t>
            </w:r>
          </w:p>
        </w:tc>
        <w:tc>
          <w:tcPr>
            <w:tcW w:w="2262" w:type="dxa"/>
            <w:noWrap w:val="0"/>
            <w:vAlign w:val="center"/>
          </w:tcPr>
          <w:p w14:paraId="36E150EB">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kern w:val="0"/>
              </w:rPr>
              <w:t>船舶含油</w:t>
            </w:r>
            <w:r>
              <w:rPr>
                <w:rFonts w:hint="eastAsia" w:ascii="Times New Roman" w:hAnsi="Times New Roman" w:cs="Times New Roman"/>
                <w:color w:val="auto"/>
                <w:kern w:val="0"/>
              </w:rPr>
              <w:t>废</w:t>
            </w:r>
            <w:r>
              <w:rPr>
                <w:rFonts w:hint="default" w:ascii="Times New Roman" w:hAnsi="Times New Roman" w:cs="Times New Roman"/>
                <w:color w:val="auto"/>
                <w:kern w:val="0"/>
              </w:rPr>
              <w:t>水</w:t>
            </w:r>
          </w:p>
        </w:tc>
        <w:tc>
          <w:tcPr>
            <w:tcW w:w="1183" w:type="dxa"/>
            <w:noWrap w:val="0"/>
            <w:vAlign w:val="center"/>
          </w:tcPr>
          <w:p w14:paraId="3060D4DE">
            <w:pPr>
              <w:pStyle w:val="114"/>
              <w:keepNext w:val="0"/>
              <w:keepLines w:val="0"/>
              <w:suppressLineNumbers w:val="0"/>
              <w:tabs>
                <w:tab w:val="left" w:pos="995"/>
              </w:tabs>
              <w:spacing w:before="0" w:beforeAutospacing="0" w:after="0" w:afterAutospacing="0" w:line="300" w:lineRule="exact"/>
              <w:ind w:left="0" w:right="0"/>
              <w:rPr>
                <w:rFonts w:hint="default" w:ascii="Times New Roman" w:hAnsi="Times New Roman" w:cs="Times New Roman"/>
                <w:color w:val="auto"/>
                <w:szCs w:val="21"/>
              </w:rPr>
            </w:pPr>
            <w:r>
              <w:rPr>
                <w:rFonts w:hint="default" w:ascii="Times New Roman" w:hAnsi="Times New Roman" w:cs="Times New Roman"/>
                <w:color w:val="auto"/>
                <w:szCs w:val="21"/>
              </w:rPr>
              <w:t>COD、石油类</w:t>
            </w:r>
          </w:p>
        </w:tc>
        <w:tc>
          <w:tcPr>
            <w:tcW w:w="2533" w:type="dxa"/>
            <w:noWrap w:val="0"/>
            <w:vAlign w:val="center"/>
          </w:tcPr>
          <w:p w14:paraId="5CC96CE0">
            <w:pPr>
              <w:keepNext w:val="0"/>
              <w:keepLines w:val="0"/>
              <w:widowControl/>
              <w:suppressLineNumbers w:val="0"/>
              <w:spacing w:before="0" w:beforeAutospacing="0" w:after="0" w:afterAutospacing="0" w:line="300" w:lineRule="exact"/>
              <w:ind w:left="0" w:right="0"/>
              <w:jc w:val="center"/>
              <w:rPr>
                <w:rFonts w:hint="eastAsia" w:ascii="Times New Roman" w:hAnsi="Times New Roman" w:cs="Times New Roman"/>
                <w:color w:val="auto"/>
                <w:highlight w:val="lightGray"/>
              </w:rPr>
            </w:pPr>
            <w:r>
              <w:rPr>
                <w:rFonts w:hint="eastAsia" w:ascii="Times New Roman" w:hAnsi="Times New Roman" w:cs="Times New Roman"/>
                <w:color w:val="auto"/>
                <w:kern w:val="0"/>
              </w:rPr>
              <w:t>码头设置的接收设施接收后，交由有资质单位处置</w:t>
            </w:r>
          </w:p>
        </w:tc>
        <w:tc>
          <w:tcPr>
            <w:tcW w:w="914" w:type="dxa"/>
            <w:noWrap w:val="0"/>
            <w:vAlign w:val="center"/>
          </w:tcPr>
          <w:p w14:paraId="6014C88F">
            <w:pPr>
              <w:keepNext w:val="0"/>
              <w:keepLines w:val="0"/>
              <w:widowControl/>
              <w:suppressLineNumbers w:val="0"/>
              <w:spacing w:before="0" w:beforeAutospacing="0" w:after="0" w:afterAutospacing="0" w:line="300" w:lineRule="exact"/>
              <w:ind w:left="0" w:right="0"/>
              <w:jc w:val="center"/>
              <w:rPr>
                <w:rFonts w:hint="eastAsia" w:ascii="Times New Roman" w:hAnsi="Times New Roman" w:cs="Times New Roman"/>
                <w:color w:val="auto"/>
              </w:rPr>
            </w:pPr>
            <w:r>
              <w:rPr>
                <w:rFonts w:hint="eastAsia" w:ascii="Times New Roman" w:hAnsi="Times New Roman" w:cs="Times New Roman"/>
                <w:color w:val="auto"/>
              </w:rPr>
              <w:t>/</w:t>
            </w:r>
          </w:p>
        </w:tc>
        <w:tc>
          <w:tcPr>
            <w:tcW w:w="1751" w:type="dxa"/>
            <w:noWrap w:val="0"/>
            <w:vAlign w:val="center"/>
          </w:tcPr>
          <w:p w14:paraId="11D3F2EC">
            <w:pPr>
              <w:keepNext w:val="0"/>
              <w:keepLines w:val="0"/>
              <w:widowControl/>
              <w:suppressLineNumbers w:val="0"/>
              <w:spacing w:before="0" w:beforeAutospacing="0" w:after="0" w:afterAutospacing="0" w:line="300" w:lineRule="exact"/>
              <w:ind w:left="0" w:right="0"/>
              <w:jc w:val="center"/>
              <w:rPr>
                <w:rFonts w:hint="eastAsia" w:ascii="Times New Roman" w:hAnsi="Times New Roman" w:cs="Times New Roman"/>
                <w:color w:val="auto"/>
              </w:rPr>
            </w:pPr>
            <w:r>
              <w:rPr>
                <w:rFonts w:hint="eastAsia" w:ascii="Times New Roman" w:hAnsi="Times New Roman" w:cs="Times New Roman"/>
                <w:color w:val="auto"/>
              </w:rPr>
              <w:t>/</w:t>
            </w:r>
          </w:p>
        </w:tc>
        <w:tc>
          <w:tcPr>
            <w:tcW w:w="1751" w:type="dxa"/>
            <w:noWrap w:val="0"/>
            <w:vAlign w:val="center"/>
          </w:tcPr>
          <w:p w14:paraId="35B1317A">
            <w:pPr>
              <w:keepNext w:val="0"/>
              <w:keepLines w:val="0"/>
              <w:widowControl/>
              <w:suppressLineNumbers w:val="0"/>
              <w:spacing w:before="0" w:beforeAutospacing="0" w:after="0" w:afterAutospacing="0" w:line="300" w:lineRule="exact"/>
              <w:ind w:left="0" w:leftChars="0" w:right="0" w:rightChars="0"/>
              <w:jc w:val="center"/>
              <w:rPr>
                <w:rFonts w:hint="eastAsia" w:ascii="Times New Roman" w:hAnsi="Times New Roman" w:cs="Times New Roman"/>
                <w:color w:val="auto"/>
              </w:rPr>
            </w:pPr>
            <w:r>
              <w:rPr>
                <w:rFonts w:hint="eastAsia" w:ascii="Times New Roman" w:hAnsi="Times New Roman" w:cs="Times New Roman"/>
                <w:color w:val="auto"/>
              </w:rPr>
              <w:t>隔油沉淀+生物接触氧化法</w:t>
            </w:r>
          </w:p>
        </w:tc>
        <w:tc>
          <w:tcPr>
            <w:tcW w:w="1752" w:type="dxa"/>
            <w:noWrap w:val="0"/>
            <w:vAlign w:val="center"/>
          </w:tcPr>
          <w:p w14:paraId="48444F20">
            <w:pPr>
              <w:keepNext w:val="0"/>
              <w:keepLines w:val="0"/>
              <w:widowControl/>
              <w:suppressLineNumbers w:val="0"/>
              <w:spacing w:before="0" w:beforeAutospacing="0" w:after="0" w:afterAutospacing="0" w:line="300" w:lineRule="exact"/>
              <w:ind w:left="0" w:leftChars="0" w:right="0" w:rightChars="0"/>
              <w:jc w:val="center"/>
              <w:rPr>
                <w:rFonts w:hint="default" w:ascii="Times New Roman" w:hAnsi="Times New Roman" w:cs="Times New Roman"/>
                <w:color w:val="auto"/>
              </w:rPr>
            </w:pPr>
            <w:r>
              <w:rPr>
                <w:rFonts w:hint="eastAsia" w:ascii="Times New Roman" w:hAnsi="Times New Roman" w:cs="Times New Roman"/>
                <w:color w:val="auto"/>
              </w:rPr>
              <w:t>隔油沉淀+生物接触氧化法</w:t>
            </w:r>
          </w:p>
        </w:tc>
        <w:tc>
          <w:tcPr>
            <w:tcW w:w="1269" w:type="dxa"/>
            <w:noWrap w:val="0"/>
            <w:vAlign w:val="center"/>
          </w:tcPr>
          <w:p w14:paraId="4302C0A3">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eastAsia" w:ascii="Times New Roman" w:hAnsi="Times New Roman" w:cs="Times New Roman"/>
                <w:color w:val="auto"/>
              </w:rPr>
              <w:t>/</w:t>
            </w:r>
          </w:p>
        </w:tc>
      </w:tr>
      <w:tr w14:paraId="479ADE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87" w:type="dxa"/>
            <w:noWrap w:val="0"/>
            <w:vAlign w:val="center"/>
          </w:tcPr>
          <w:p w14:paraId="15822E1C">
            <w:pPr>
              <w:keepNext w:val="0"/>
              <w:keepLines w:val="0"/>
              <w:widowControl/>
              <w:suppressLineNumbers w:val="0"/>
              <w:spacing w:before="0" w:beforeAutospacing="0" w:after="0" w:afterAutospacing="0" w:line="300" w:lineRule="exact"/>
              <w:ind w:left="0" w:right="0"/>
              <w:jc w:val="center"/>
              <w:rPr>
                <w:rFonts w:hint="eastAsia" w:ascii="Times New Roman" w:hAnsi="Times New Roman" w:cs="Times New Roman"/>
                <w:color w:val="auto"/>
              </w:rPr>
            </w:pPr>
            <w:r>
              <w:rPr>
                <w:rFonts w:hint="eastAsia" w:ascii="Times New Roman" w:hAnsi="Times New Roman" w:cs="Times New Roman"/>
                <w:color w:val="auto"/>
              </w:rPr>
              <w:t>3</w:t>
            </w:r>
          </w:p>
        </w:tc>
        <w:tc>
          <w:tcPr>
            <w:tcW w:w="2262" w:type="dxa"/>
            <w:noWrap w:val="0"/>
            <w:vAlign w:val="center"/>
          </w:tcPr>
          <w:p w14:paraId="68304C75">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kern w:val="0"/>
              </w:rPr>
              <w:t>初期雨水</w:t>
            </w:r>
            <w:r>
              <w:rPr>
                <w:rFonts w:hint="eastAsia" w:ascii="Times New Roman" w:hAnsi="Times New Roman" w:cs="Times New Roman"/>
                <w:color w:val="auto"/>
                <w:kern w:val="0"/>
              </w:rPr>
              <w:t>、</w:t>
            </w:r>
            <w:r>
              <w:rPr>
                <w:rFonts w:hint="default" w:ascii="Times New Roman" w:hAnsi="Times New Roman" w:cs="Times New Roman"/>
                <w:color w:val="auto"/>
                <w:kern w:val="0"/>
              </w:rPr>
              <w:t>码头</w:t>
            </w:r>
            <w:r>
              <w:rPr>
                <w:rFonts w:hint="eastAsia" w:ascii="Times New Roman" w:hAnsi="Times New Roman" w:cs="Times New Roman"/>
                <w:color w:val="auto"/>
                <w:kern w:val="0"/>
              </w:rPr>
              <w:t>地面</w:t>
            </w:r>
            <w:r>
              <w:rPr>
                <w:rFonts w:hint="default" w:ascii="Times New Roman" w:hAnsi="Times New Roman" w:cs="Times New Roman"/>
                <w:color w:val="auto"/>
                <w:kern w:val="0"/>
              </w:rPr>
              <w:t>冲洗水</w:t>
            </w:r>
          </w:p>
        </w:tc>
        <w:tc>
          <w:tcPr>
            <w:tcW w:w="1183" w:type="dxa"/>
            <w:noWrap w:val="0"/>
            <w:vAlign w:val="center"/>
          </w:tcPr>
          <w:p w14:paraId="4D25D7C9">
            <w:pPr>
              <w:pStyle w:val="114"/>
              <w:keepNext w:val="0"/>
              <w:keepLines w:val="0"/>
              <w:suppressLineNumbers w:val="0"/>
              <w:tabs>
                <w:tab w:val="left" w:pos="995"/>
              </w:tabs>
              <w:spacing w:before="0" w:beforeAutospacing="0" w:after="0" w:afterAutospacing="0" w:line="300" w:lineRule="exact"/>
              <w:ind w:left="0" w:right="0"/>
              <w:rPr>
                <w:rFonts w:hint="default" w:ascii="Times New Roman" w:hAnsi="Times New Roman" w:cs="Times New Roman"/>
                <w:color w:val="auto"/>
                <w:szCs w:val="21"/>
              </w:rPr>
            </w:pPr>
            <w:r>
              <w:rPr>
                <w:rFonts w:hint="default" w:ascii="Times New Roman" w:hAnsi="Times New Roman" w:cs="Times New Roman"/>
                <w:color w:val="auto"/>
                <w:szCs w:val="21"/>
              </w:rPr>
              <w:t>SS</w:t>
            </w:r>
          </w:p>
        </w:tc>
        <w:tc>
          <w:tcPr>
            <w:tcW w:w="2533" w:type="dxa"/>
            <w:vMerge w:val="restart"/>
            <w:noWrap w:val="0"/>
            <w:vAlign w:val="center"/>
          </w:tcPr>
          <w:p w14:paraId="282C6CB9">
            <w:pPr>
              <w:keepNext w:val="0"/>
              <w:keepLines w:val="0"/>
              <w:suppressLineNumbers w:val="0"/>
              <w:spacing w:before="0" w:beforeAutospacing="0" w:after="0" w:afterAutospacing="0" w:line="300" w:lineRule="exact"/>
              <w:ind w:left="0" w:right="0"/>
              <w:jc w:val="center"/>
              <w:rPr>
                <w:rFonts w:hint="default" w:ascii="Times New Roman" w:hAnsi="Times New Roman" w:cs="Times New Roman"/>
                <w:color w:val="auto"/>
                <w:highlight w:val="lightGray"/>
              </w:rPr>
            </w:pPr>
            <w:r>
              <w:rPr>
                <w:rFonts w:hint="eastAsia" w:ascii="Times New Roman" w:hAnsi="Times New Roman" w:cs="Times New Roman"/>
                <w:color w:val="auto"/>
                <w:kern w:val="0"/>
              </w:rPr>
              <w:t>经隔油沉淀池预处理后，进入一体化处理设备处理后，</w:t>
            </w:r>
            <w:r>
              <w:rPr>
                <w:rFonts w:hint="default" w:ascii="Times New Roman" w:hAnsi="Times New Roman" w:cs="Times New Roman"/>
                <w:color w:val="auto"/>
                <w:kern w:val="0"/>
              </w:rPr>
              <w:t>回用于码头</w:t>
            </w:r>
            <w:r>
              <w:rPr>
                <w:rFonts w:hint="eastAsia" w:ascii="Times New Roman" w:hAnsi="Times New Roman" w:cs="Times New Roman"/>
                <w:color w:val="auto"/>
                <w:kern w:val="0"/>
              </w:rPr>
              <w:t>地面</w:t>
            </w:r>
            <w:r>
              <w:rPr>
                <w:rFonts w:hint="default" w:ascii="Times New Roman" w:hAnsi="Times New Roman" w:cs="Times New Roman"/>
                <w:color w:val="auto"/>
                <w:kern w:val="0"/>
              </w:rPr>
              <w:t>冲洗</w:t>
            </w:r>
            <w:r>
              <w:rPr>
                <w:rFonts w:hint="eastAsia" w:ascii="Times New Roman" w:hAnsi="Times New Roman" w:cs="Times New Roman"/>
                <w:color w:val="auto"/>
                <w:kern w:val="0"/>
              </w:rPr>
              <w:t>、车辆冲洗、道路喷洒及</w:t>
            </w:r>
            <w:r>
              <w:rPr>
                <w:rFonts w:hint="default" w:ascii="Times New Roman" w:hAnsi="Times New Roman" w:cs="Times New Roman"/>
                <w:color w:val="auto"/>
                <w:kern w:val="0"/>
              </w:rPr>
              <w:t>绿化</w:t>
            </w:r>
          </w:p>
        </w:tc>
        <w:tc>
          <w:tcPr>
            <w:tcW w:w="914" w:type="dxa"/>
            <w:noWrap w:val="0"/>
            <w:vAlign w:val="center"/>
          </w:tcPr>
          <w:p w14:paraId="02F82FF1">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eastAsia" w:ascii="Times New Roman" w:hAnsi="Times New Roman" w:cs="Times New Roman"/>
                <w:color w:val="auto"/>
              </w:rPr>
              <w:t>/</w:t>
            </w:r>
          </w:p>
        </w:tc>
        <w:tc>
          <w:tcPr>
            <w:tcW w:w="1751" w:type="dxa"/>
            <w:vMerge w:val="restart"/>
            <w:noWrap w:val="0"/>
            <w:vAlign w:val="center"/>
          </w:tcPr>
          <w:p w14:paraId="77583A07">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eastAsia" w:ascii="Times New Roman" w:hAnsi="Times New Roman" w:cs="Times New Roman"/>
                <w:color w:val="auto"/>
              </w:rPr>
              <w:t>/</w:t>
            </w:r>
          </w:p>
        </w:tc>
        <w:tc>
          <w:tcPr>
            <w:tcW w:w="1751" w:type="dxa"/>
            <w:vMerge w:val="restart"/>
            <w:noWrap w:val="0"/>
            <w:vAlign w:val="center"/>
          </w:tcPr>
          <w:p w14:paraId="0AF9BD88">
            <w:pPr>
              <w:keepNext w:val="0"/>
              <w:keepLines w:val="0"/>
              <w:widowControl/>
              <w:suppressLineNumbers w:val="0"/>
              <w:spacing w:before="0" w:beforeAutospacing="0" w:after="0" w:afterAutospacing="0" w:line="300" w:lineRule="exact"/>
              <w:ind w:left="0" w:right="0"/>
              <w:jc w:val="center"/>
              <w:rPr>
                <w:rFonts w:hint="eastAsia" w:ascii="Times New Roman" w:hAnsi="Times New Roman" w:cs="Times New Roman"/>
                <w:color w:val="auto"/>
              </w:rPr>
            </w:pPr>
            <w:r>
              <w:rPr>
                <w:rFonts w:hint="eastAsia" w:ascii="Times New Roman" w:hAnsi="Times New Roman" w:cs="Times New Roman"/>
                <w:color w:val="auto"/>
              </w:rPr>
              <w:t>隔油沉淀+生物接触氧化法</w:t>
            </w:r>
          </w:p>
        </w:tc>
        <w:tc>
          <w:tcPr>
            <w:tcW w:w="1752" w:type="dxa"/>
            <w:vMerge w:val="restart"/>
            <w:noWrap w:val="0"/>
            <w:vAlign w:val="center"/>
          </w:tcPr>
          <w:p w14:paraId="31FEE14E">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eastAsia" w:ascii="Times New Roman" w:hAnsi="Times New Roman" w:cs="Times New Roman"/>
                <w:color w:val="auto"/>
              </w:rPr>
              <w:t>隔油沉淀+生物接触氧化法</w:t>
            </w:r>
          </w:p>
        </w:tc>
        <w:tc>
          <w:tcPr>
            <w:tcW w:w="1269" w:type="dxa"/>
            <w:noWrap w:val="0"/>
            <w:vAlign w:val="center"/>
          </w:tcPr>
          <w:p w14:paraId="70606A2B">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r>
      <w:tr w14:paraId="6D0458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87" w:type="dxa"/>
            <w:noWrap w:val="0"/>
            <w:vAlign w:val="center"/>
          </w:tcPr>
          <w:p w14:paraId="74875073">
            <w:pPr>
              <w:keepNext w:val="0"/>
              <w:keepLines w:val="0"/>
              <w:widowControl/>
              <w:suppressLineNumbers w:val="0"/>
              <w:spacing w:before="0" w:beforeAutospacing="0" w:after="0" w:afterAutospacing="0" w:line="300" w:lineRule="exact"/>
              <w:ind w:left="0" w:right="0"/>
              <w:jc w:val="center"/>
              <w:rPr>
                <w:rFonts w:hint="eastAsia" w:ascii="Times New Roman" w:hAnsi="Times New Roman" w:cs="Times New Roman"/>
                <w:color w:val="auto"/>
              </w:rPr>
            </w:pPr>
            <w:r>
              <w:rPr>
                <w:rFonts w:hint="eastAsia" w:ascii="Times New Roman" w:hAnsi="Times New Roman" w:cs="Times New Roman"/>
                <w:color w:val="auto"/>
              </w:rPr>
              <w:t>4</w:t>
            </w:r>
          </w:p>
        </w:tc>
        <w:tc>
          <w:tcPr>
            <w:tcW w:w="2262" w:type="dxa"/>
            <w:noWrap w:val="0"/>
            <w:vAlign w:val="center"/>
          </w:tcPr>
          <w:p w14:paraId="215BC4DF">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kern w:val="0"/>
              </w:rPr>
              <w:t>机械</w:t>
            </w:r>
            <w:r>
              <w:rPr>
                <w:rFonts w:hint="eastAsia" w:ascii="Times New Roman" w:hAnsi="Times New Roman" w:cs="Times New Roman"/>
                <w:color w:val="auto"/>
                <w:kern w:val="0"/>
              </w:rPr>
              <w:t>设备</w:t>
            </w:r>
            <w:r>
              <w:rPr>
                <w:rFonts w:hint="default" w:ascii="Times New Roman" w:hAnsi="Times New Roman" w:cs="Times New Roman"/>
                <w:color w:val="auto"/>
                <w:kern w:val="0"/>
              </w:rPr>
              <w:t>冲洗水</w:t>
            </w:r>
          </w:p>
        </w:tc>
        <w:tc>
          <w:tcPr>
            <w:tcW w:w="1183" w:type="dxa"/>
            <w:noWrap w:val="0"/>
            <w:vAlign w:val="center"/>
          </w:tcPr>
          <w:p w14:paraId="6EE17C2C">
            <w:pPr>
              <w:pStyle w:val="114"/>
              <w:keepNext w:val="0"/>
              <w:keepLines w:val="0"/>
              <w:suppressLineNumbers w:val="0"/>
              <w:tabs>
                <w:tab w:val="left" w:pos="995"/>
              </w:tabs>
              <w:spacing w:before="0" w:beforeAutospacing="0" w:after="0" w:afterAutospacing="0" w:line="300" w:lineRule="exact"/>
              <w:ind w:left="0" w:right="0"/>
              <w:rPr>
                <w:rFonts w:hint="default" w:ascii="Times New Roman" w:hAnsi="Times New Roman" w:cs="Times New Roman"/>
                <w:color w:val="auto"/>
                <w:szCs w:val="21"/>
              </w:rPr>
            </w:pPr>
            <w:r>
              <w:rPr>
                <w:rFonts w:hint="default" w:ascii="Times New Roman" w:hAnsi="Times New Roman" w:cs="Times New Roman"/>
                <w:color w:val="auto"/>
                <w:szCs w:val="21"/>
              </w:rPr>
              <w:t>COD、</w:t>
            </w:r>
            <w:r>
              <w:rPr>
                <w:rFonts w:hint="eastAsia" w:ascii="Times New Roman" w:hAnsi="Times New Roman" w:cs="Times New Roman"/>
                <w:color w:val="auto"/>
                <w:szCs w:val="21"/>
              </w:rPr>
              <w:t>SS、</w:t>
            </w:r>
            <w:r>
              <w:rPr>
                <w:rFonts w:hint="default" w:ascii="Times New Roman" w:hAnsi="Times New Roman" w:cs="Times New Roman"/>
                <w:color w:val="auto"/>
                <w:szCs w:val="21"/>
              </w:rPr>
              <w:t>石油类</w:t>
            </w:r>
          </w:p>
        </w:tc>
        <w:tc>
          <w:tcPr>
            <w:tcW w:w="2533" w:type="dxa"/>
            <w:vMerge w:val="continue"/>
            <w:noWrap w:val="0"/>
            <w:vAlign w:val="center"/>
          </w:tcPr>
          <w:p w14:paraId="7F3BFDFC">
            <w:pPr>
              <w:keepNext w:val="0"/>
              <w:keepLines w:val="0"/>
              <w:widowControl/>
              <w:suppressLineNumbers w:val="0"/>
              <w:spacing w:before="0" w:beforeAutospacing="0" w:after="0" w:afterAutospacing="0" w:line="300" w:lineRule="exact"/>
              <w:ind w:left="0" w:right="0"/>
              <w:jc w:val="center"/>
              <w:rPr>
                <w:rFonts w:hint="eastAsia" w:ascii="Times New Roman" w:hAnsi="Times New Roman" w:cs="Times New Roman"/>
                <w:color w:val="auto"/>
                <w:highlight w:val="lightGray"/>
              </w:rPr>
            </w:pPr>
          </w:p>
        </w:tc>
        <w:tc>
          <w:tcPr>
            <w:tcW w:w="914" w:type="dxa"/>
            <w:noWrap w:val="0"/>
            <w:vAlign w:val="center"/>
          </w:tcPr>
          <w:p w14:paraId="653FDA77">
            <w:pPr>
              <w:keepNext w:val="0"/>
              <w:keepLines w:val="0"/>
              <w:widowControl/>
              <w:suppressLineNumbers w:val="0"/>
              <w:spacing w:before="0" w:beforeAutospacing="0" w:after="0" w:afterAutospacing="0" w:line="300" w:lineRule="exact"/>
              <w:ind w:left="0" w:right="0"/>
              <w:jc w:val="center"/>
              <w:rPr>
                <w:rFonts w:hint="eastAsia" w:ascii="Times New Roman" w:hAnsi="Times New Roman" w:cs="Times New Roman"/>
                <w:color w:val="auto"/>
              </w:rPr>
            </w:pPr>
            <w:r>
              <w:rPr>
                <w:rFonts w:hint="eastAsia" w:ascii="Times New Roman" w:hAnsi="Times New Roman" w:cs="Times New Roman"/>
                <w:color w:val="auto"/>
              </w:rPr>
              <w:t>/</w:t>
            </w:r>
          </w:p>
        </w:tc>
        <w:tc>
          <w:tcPr>
            <w:tcW w:w="1751" w:type="dxa"/>
            <w:vMerge w:val="continue"/>
            <w:noWrap w:val="0"/>
            <w:vAlign w:val="center"/>
          </w:tcPr>
          <w:p w14:paraId="2E5B41B3">
            <w:pPr>
              <w:keepNext w:val="0"/>
              <w:keepLines w:val="0"/>
              <w:widowControl/>
              <w:suppressLineNumbers w:val="0"/>
              <w:spacing w:before="0" w:beforeAutospacing="0" w:after="0" w:afterAutospacing="0" w:line="300" w:lineRule="exact"/>
              <w:ind w:left="0" w:right="0"/>
              <w:jc w:val="center"/>
              <w:rPr>
                <w:rFonts w:hint="eastAsia" w:ascii="Times New Roman" w:hAnsi="Times New Roman" w:cs="Times New Roman"/>
                <w:color w:val="auto"/>
              </w:rPr>
            </w:pPr>
          </w:p>
        </w:tc>
        <w:tc>
          <w:tcPr>
            <w:tcW w:w="1751" w:type="dxa"/>
            <w:vMerge w:val="continue"/>
            <w:noWrap w:val="0"/>
            <w:vAlign w:val="center"/>
          </w:tcPr>
          <w:p w14:paraId="142A4639">
            <w:pPr>
              <w:keepNext w:val="0"/>
              <w:keepLines w:val="0"/>
              <w:widowControl/>
              <w:suppressLineNumbers w:val="0"/>
              <w:spacing w:before="0" w:beforeAutospacing="0" w:after="0" w:afterAutospacing="0" w:line="300" w:lineRule="exact"/>
              <w:ind w:left="0" w:right="0"/>
              <w:jc w:val="center"/>
              <w:rPr>
                <w:rFonts w:hint="eastAsia" w:ascii="Times New Roman" w:hAnsi="Times New Roman" w:cs="Times New Roman"/>
                <w:color w:val="auto"/>
              </w:rPr>
            </w:pPr>
          </w:p>
        </w:tc>
        <w:tc>
          <w:tcPr>
            <w:tcW w:w="1752" w:type="dxa"/>
            <w:vMerge w:val="continue"/>
            <w:noWrap w:val="0"/>
            <w:vAlign w:val="center"/>
          </w:tcPr>
          <w:p w14:paraId="09F75A04">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p>
        </w:tc>
        <w:tc>
          <w:tcPr>
            <w:tcW w:w="1269" w:type="dxa"/>
            <w:noWrap w:val="0"/>
            <w:vAlign w:val="center"/>
          </w:tcPr>
          <w:p w14:paraId="18668888">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r>
      <w:tr w14:paraId="280002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587" w:type="dxa"/>
            <w:noWrap w:val="0"/>
            <w:vAlign w:val="center"/>
          </w:tcPr>
          <w:p w14:paraId="256FB3C8">
            <w:pPr>
              <w:keepNext w:val="0"/>
              <w:keepLines w:val="0"/>
              <w:widowControl/>
              <w:suppressLineNumbers w:val="0"/>
              <w:spacing w:before="0" w:beforeAutospacing="0" w:after="0" w:afterAutospacing="0" w:line="300" w:lineRule="exact"/>
              <w:ind w:left="0" w:right="0"/>
              <w:jc w:val="center"/>
              <w:rPr>
                <w:rFonts w:hint="eastAsia" w:ascii="Times New Roman" w:hAnsi="Times New Roman" w:cs="Times New Roman"/>
                <w:color w:val="auto"/>
              </w:rPr>
            </w:pPr>
            <w:r>
              <w:rPr>
                <w:rFonts w:hint="eastAsia" w:ascii="Times New Roman" w:hAnsi="Times New Roman" w:cs="Times New Roman"/>
                <w:color w:val="auto"/>
              </w:rPr>
              <w:t>5</w:t>
            </w:r>
          </w:p>
        </w:tc>
        <w:tc>
          <w:tcPr>
            <w:tcW w:w="2262" w:type="dxa"/>
            <w:noWrap w:val="0"/>
            <w:vAlign w:val="center"/>
          </w:tcPr>
          <w:p w14:paraId="310E9246">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kern w:val="0"/>
              </w:rPr>
              <w:t>码头员工生活污水</w:t>
            </w:r>
          </w:p>
        </w:tc>
        <w:tc>
          <w:tcPr>
            <w:tcW w:w="1183" w:type="dxa"/>
            <w:noWrap w:val="0"/>
            <w:vAlign w:val="center"/>
          </w:tcPr>
          <w:p w14:paraId="6F22807A">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szCs w:val="21"/>
              </w:rPr>
              <w:t>COD、SS、</w:t>
            </w:r>
            <w:r>
              <w:rPr>
                <w:rFonts w:hint="eastAsia" w:ascii="Times New Roman" w:hAnsi="Times New Roman" w:cs="Times New Roman"/>
                <w:color w:val="auto"/>
                <w:szCs w:val="21"/>
              </w:rPr>
              <w:t>氨氮</w:t>
            </w:r>
            <w:r>
              <w:rPr>
                <w:rFonts w:hint="eastAsia" w:cs="Times New Roman"/>
                <w:color w:val="auto"/>
                <w:szCs w:val="21"/>
                <w:lang w:eastAsia="zh-CN"/>
              </w:rPr>
              <w:t>、</w:t>
            </w:r>
            <w:r>
              <w:rPr>
                <w:rFonts w:hint="eastAsia" w:ascii="Times New Roman" w:hAnsi="Times New Roman" w:eastAsia="宋体" w:cs="Times New Roman"/>
                <w:color w:val="auto"/>
                <w:kern w:val="0"/>
              </w:rPr>
              <w:t>B</w:t>
            </w:r>
            <w:r>
              <w:rPr>
                <w:rFonts w:hint="default" w:ascii="Times New Roman" w:hAnsi="Times New Roman" w:eastAsia="宋体" w:cs="Times New Roman"/>
                <w:color w:val="auto"/>
                <w:kern w:val="0"/>
              </w:rPr>
              <w:t>OD</w:t>
            </w:r>
            <w:r>
              <w:rPr>
                <w:rFonts w:hint="default" w:ascii="Times New Roman" w:hAnsi="Times New Roman" w:eastAsia="宋体" w:cs="Times New Roman"/>
                <w:color w:val="auto"/>
                <w:kern w:val="0"/>
                <w:vertAlign w:val="subscript"/>
              </w:rPr>
              <w:t>5</w:t>
            </w:r>
          </w:p>
        </w:tc>
        <w:tc>
          <w:tcPr>
            <w:tcW w:w="2533" w:type="dxa"/>
            <w:noWrap w:val="0"/>
            <w:vAlign w:val="center"/>
          </w:tcPr>
          <w:p w14:paraId="08CD00C4">
            <w:pPr>
              <w:keepNext w:val="0"/>
              <w:keepLines w:val="0"/>
              <w:suppressLineNumbers w:val="0"/>
              <w:spacing w:before="0" w:beforeAutospacing="0" w:after="0" w:afterAutospacing="0" w:line="300" w:lineRule="exact"/>
              <w:ind w:left="0" w:right="0"/>
              <w:jc w:val="center"/>
              <w:rPr>
                <w:rFonts w:hint="eastAsia" w:ascii="Times New Roman" w:hAnsi="Times New Roman" w:cs="Times New Roman"/>
                <w:color w:val="auto"/>
                <w:kern w:val="0"/>
              </w:rPr>
            </w:pPr>
            <w:r>
              <w:rPr>
                <w:rFonts w:hint="eastAsia" w:ascii="Times New Roman" w:hAnsi="Times New Roman" w:cs="Times New Roman"/>
                <w:color w:val="auto"/>
                <w:kern w:val="0"/>
              </w:rPr>
              <w:t>利用周边已有旱厕，收集后用于当地农田或林地肥料</w:t>
            </w:r>
          </w:p>
        </w:tc>
        <w:tc>
          <w:tcPr>
            <w:tcW w:w="914" w:type="dxa"/>
            <w:noWrap w:val="0"/>
            <w:vAlign w:val="center"/>
          </w:tcPr>
          <w:p w14:paraId="209AA099">
            <w:pPr>
              <w:keepNext w:val="0"/>
              <w:keepLines w:val="0"/>
              <w:widowControl/>
              <w:suppressLineNumbers w:val="0"/>
              <w:spacing w:before="0" w:beforeAutospacing="0" w:after="0" w:afterAutospacing="0" w:line="300" w:lineRule="exact"/>
              <w:ind w:left="0" w:right="0"/>
              <w:jc w:val="center"/>
              <w:rPr>
                <w:rFonts w:hint="eastAsia" w:ascii="Times New Roman" w:hAnsi="Times New Roman" w:cs="Times New Roman"/>
                <w:color w:val="auto"/>
              </w:rPr>
            </w:pPr>
            <w:r>
              <w:rPr>
                <w:rFonts w:hint="eastAsia" w:ascii="Times New Roman" w:hAnsi="Times New Roman" w:cs="Times New Roman"/>
                <w:color w:val="auto"/>
              </w:rPr>
              <w:t>/</w:t>
            </w:r>
          </w:p>
        </w:tc>
        <w:tc>
          <w:tcPr>
            <w:tcW w:w="1751" w:type="dxa"/>
            <w:noWrap w:val="0"/>
            <w:vAlign w:val="center"/>
          </w:tcPr>
          <w:p w14:paraId="13E365EB">
            <w:pPr>
              <w:keepNext w:val="0"/>
              <w:keepLines w:val="0"/>
              <w:widowControl/>
              <w:suppressLineNumbers w:val="0"/>
              <w:spacing w:before="0" w:beforeAutospacing="0" w:after="0" w:afterAutospacing="0" w:line="300" w:lineRule="exact"/>
              <w:ind w:left="0" w:right="0"/>
              <w:jc w:val="center"/>
              <w:rPr>
                <w:rFonts w:hint="eastAsia" w:ascii="Times New Roman" w:hAnsi="Times New Roman" w:cs="Times New Roman"/>
                <w:color w:val="auto"/>
              </w:rPr>
            </w:pPr>
            <w:r>
              <w:rPr>
                <w:rFonts w:hint="default" w:ascii="Times New Roman" w:hAnsi="Times New Roman" w:cs="Times New Roman"/>
                <w:color w:val="auto"/>
              </w:rPr>
              <w:t>/</w:t>
            </w:r>
          </w:p>
        </w:tc>
        <w:tc>
          <w:tcPr>
            <w:tcW w:w="1751" w:type="dxa"/>
            <w:noWrap w:val="0"/>
            <w:vAlign w:val="center"/>
          </w:tcPr>
          <w:p w14:paraId="2F5FE0BB">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eastAsia" w:ascii="Times New Roman" w:hAnsi="Times New Roman" w:cs="Times New Roman"/>
                <w:color w:val="auto"/>
              </w:rPr>
              <w:t>/</w:t>
            </w:r>
          </w:p>
        </w:tc>
        <w:tc>
          <w:tcPr>
            <w:tcW w:w="1752" w:type="dxa"/>
            <w:noWrap w:val="0"/>
            <w:vAlign w:val="center"/>
          </w:tcPr>
          <w:p w14:paraId="64F18986">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eastAsia" w:ascii="Times New Roman" w:hAnsi="Times New Roman" w:cs="Times New Roman"/>
                <w:color w:val="auto"/>
              </w:rPr>
              <w:t>/</w:t>
            </w:r>
          </w:p>
        </w:tc>
        <w:tc>
          <w:tcPr>
            <w:tcW w:w="1269" w:type="dxa"/>
            <w:noWrap w:val="0"/>
            <w:vAlign w:val="center"/>
          </w:tcPr>
          <w:p w14:paraId="62D6D582">
            <w:pPr>
              <w:keepNext w:val="0"/>
              <w:keepLines w:val="0"/>
              <w:widowControl/>
              <w:suppressLineNumbers w:val="0"/>
              <w:spacing w:before="0" w:beforeAutospacing="0" w:after="0" w:afterAutospacing="0" w:line="300" w:lineRule="exact"/>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r>
    </w:tbl>
    <w:p w14:paraId="35BD51D8">
      <w:pPr>
        <w:pStyle w:val="5"/>
        <w:numPr>
          <w:ilvl w:val="0"/>
          <w:numId w:val="0"/>
        </w:numPr>
        <w:rPr>
          <w:color w:val="auto"/>
          <w:szCs w:val="24"/>
        </w:rPr>
        <w:sectPr>
          <w:pgSz w:w="16838" w:h="11906" w:orient="landscape"/>
          <w:pgMar w:top="1418" w:right="1418" w:bottom="1418" w:left="1418" w:header="851" w:footer="851" w:gutter="0"/>
          <w:pgBorders>
            <w:top w:val="none" w:sz="0" w:space="0"/>
            <w:left w:val="none" w:sz="0" w:space="0"/>
            <w:bottom w:val="none" w:sz="0" w:space="0"/>
            <w:right w:val="none" w:sz="0" w:space="0"/>
          </w:pgBorders>
          <w:cols w:space="720" w:num="1"/>
          <w:docGrid w:type="linesAndChars" w:linePitch="314" w:charSpace="0"/>
        </w:sectPr>
      </w:pPr>
      <w:bookmarkStart w:id="139" w:name="_Toc102984378"/>
      <w:bookmarkStart w:id="140" w:name="_Toc104733409"/>
    </w:p>
    <w:p w14:paraId="3ACC0B91">
      <w:pPr>
        <w:pStyle w:val="5"/>
        <w:numPr>
          <w:ilvl w:val="0"/>
          <w:numId w:val="0"/>
        </w:numPr>
        <w:rPr>
          <w:color w:val="auto"/>
          <w:szCs w:val="24"/>
        </w:rPr>
      </w:pPr>
      <w:r>
        <w:rPr>
          <w:rFonts w:hint="eastAsia"/>
          <w:color w:val="auto"/>
          <w:szCs w:val="24"/>
        </w:rPr>
        <w:t>5.2.1.3</w:t>
      </w:r>
      <w:r>
        <w:rPr>
          <w:color w:val="auto"/>
          <w:szCs w:val="24"/>
        </w:rPr>
        <w:t>地表水环境影响评价自查表</w:t>
      </w:r>
      <w:bookmarkEnd w:id="139"/>
      <w:bookmarkEnd w:id="140"/>
    </w:p>
    <w:p w14:paraId="5EB45CC1">
      <w:pPr>
        <w:pStyle w:val="159"/>
        <w:numPr>
          <w:ilvl w:val="0"/>
          <w:numId w:val="0"/>
        </w:numPr>
        <w:spacing w:line="240" w:lineRule="auto"/>
        <w:ind w:left="-360"/>
        <w:rPr>
          <w:bCs/>
          <w:color w:val="auto"/>
          <w:szCs w:val="24"/>
          <w:lang w:val="zh-CN"/>
        </w:rPr>
      </w:pPr>
      <w:r>
        <w:rPr>
          <w:bCs/>
          <w:color w:val="auto"/>
          <w:szCs w:val="24"/>
          <w:lang w:val="zh-CN"/>
        </w:rPr>
        <w:t>表5.</w:t>
      </w:r>
      <w:r>
        <w:rPr>
          <w:rFonts w:hint="eastAsia"/>
          <w:bCs/>
          <w:color w:val="auto"/>
          <w:szCs w:val="24"/>
        </w:rPr>
        <w:t>2</w:t>
      </w:r>
      <w:r>
        <w:rPr>
          <w:bCs/>
          <w:color w:val="auto"/>
          <w:szCs w:val="24"/>
          <w:lang w:val="zh-CN"/>
        </w:rPr>
        <w:t>-2  地表水环境影响评价自查表</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74"/>
        <w:gridCol w:w="1506"/>
        <w:gridCol w:w="1630"/>
        <w:gridCol w:w="568"/>
        <w:gridCol w:w="109"/>
        <w:gridCol w:w="726"/>
        <w:gridCol w:w="880"/>
        <w:gridCol w:w="39"/>
        <w:gridCol w:w="484"/>
        <w:gridCol w:w="1285"/>
        <w:gridCol w:w="452"/>
        <w:gridCol w:w="1071"/>
      </w:tblGrid>
      <w:tr w14:paraId="3D20A4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80" w:type="dxa"/>
            <w:gridSpan w:val="2"/>
            <w:noWrap w:val="0"/>
            <w:vAlign w:val="center"/>
          </w:tcPr>
          <w:p w14:paraId="1BAF7897">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工作内容</w:t>
            </w:r>
          </w:p>
        </w:tc>
        <w:tc>
          <w:tcPr>
            <w:tcW w:w="7244" w:type="dxa"/>
            <w:gridSpan w:val="10"/>
            <w:noWrap w:val="0"/>
            <w:vAlign w:val="center"/>
          </w:tcPr>
          <w:p w14:paraId="59C0FE3A">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自查项目</w:t>
            </w:r>
          </w:p>
        </w:tc>
      </w:tr>
      <w:tr w14:paraId="051B4E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restart"/>
            <w:noWrap w:val="0"/>
            <w:vAlign w:val="center"/>
          </w:tcPr>
          <w:p w14:paraId="6D993B0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影响识别</w:t>
            </w:r>
          </w:p>
        </w:tc>
        <w:tc>
          <w:tcPr>
            <w:tcW w:w="1506" w:type="dxa"/>
            <w:noWrap w:val="0"/>
            <w:vAlign w:val="center"/>
          </w:tcPr>
          <w:p w14:paraId="31165C6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影响类型</w:t>
            </w:r>
          </w:p>
        </w:tc>
        <w:tc>
          <w:tcPr>
            <w:tcW w:w="7244" w:type="dxa"/>
            <w:gridSpan w:val="10"/>
            <w:noWrap w:val="0"/>
            <w:vAlign w:val="center"/>
          </w:tcPr>
          <w:p w14:paraId="3060F51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水污染影响型</w:t>
            </w:r>
            <w:r>
              <w:rPr>
                <w:rFonts w:hint="default" w:ascii="Times New Roman" w:hAnsi="Times New Roman" w:cs="Times New Roman"/>
                <w:color w:val="auto"/>
              </w:rPr>
              <w:sym w:font="Wingdings" w:char="00FE"/>
            </w:r>
            <w:r>
              <w:rPr>
                <w:rFonts w:hint="default" w:ascii="Times New Roman" w:hAnsi="Times New Roman" w:cs="Times New Roman"/>
                <w:color w:val="auto"/>
              </w:rPr>
              <w:t>；水文要素影响型</w:t>
            </w:r>
            <w:r>
              <w:rPr>
                <w:rFonts w:hint="default" w:ascii="Times New Roman" w:hAnsi="Times New Roman" w:cs="Times New Roman"/>
                <w:color w:val="auto"/>
              </w:rPr>
              <w:sym w:font="Wingdings" w:char="00FE"/>
            </w:r>
          </w:p>
        </w:tc>
      </w:tr>
      <w:tr w14:paraId="6A3AC2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7B658AD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noWrap w:val="0"/>
            <w:vAlign w:val="center"/>
          </w:tcPr>
          <w:p w14:paraId="69F9D84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水环境保护目标</w:t>
            </w:r>
          </w:p>
        </w:tc>
        <w:tc>
          <w:tcPr>
            <w:tcW w:w="7244" w:type="dxa"/>
            <w:gridSpan w:val="10"/>
            <w:noWrap w:val="0"/>
            <w:vAlign w:val="center"/>
          </w:tcPr>
          <w:p w14:paraId="245FC76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饮用水水源保护区</w:t>
            </w:r>
            <w:r>
              <w:rPr>
                <w:rFonts w:hint="default" w:ascii="Times New Roman" w:hAnsi="Times New Roman" w:cs="Times New Roman"/>
                <w:color w:val="auto"/>
              </w:rPr>
              <w:sym w:font="Wingdings" w:char="00A8"/>
            </w:r>
            <w:r>
              <w:rPr>
                <w:rFonts w:hint="default" w:ascii="Times New Roman" w:hAnsi="Times New Roman" w:cs="Times New Roman"/>
                <w:color w:val="auto"/>
              </w:rPr>
              <w:t>；</w:t>
            </w:r>
            <w:r>
              <w:rPr>
                <w:rFonts w:hint="eastAsia" w:cs="Times New Roman"/>
                <w:color w:val="auto"/>
                <w:lang w:val="en-US" w:eastAsia="zh-CN"/>
              </w:rPr>
              <w:t>饮用</w:t>
            </w:r>
            <w:r>
              <w:rPr>
                <w:rFonts w:hint="default" w:ascii="Times New Roman" w:hAnsi="Times New Roman" w:cs="Times New Roman"/>
                <w:color w:val="auto"/>
              </w:rPr>
              <w:t>水取水口</w:t>
            </w:r>
            <w:r>
              <w:rPr>
                <w:rFonts w:hint="default" w:ascii="Times New Roman" w:hAnsi="Times New Roman" w:cs="Times New Roman"/>
                <w:color w:val="auto"/>
              </w:rPr>
              <w:sym w:font="Wingdings" w:char="00A8"/>
            </w:r>
            <w:r>
              <w:rPr>
                <w:rFonts w:hint="default" w:ascii="Times New Roman" w:hAnsi="Times New Roman" w:cs="Times New Roman"/>
                <w:color w:val="auto"/>
              </w:rPr>
              <w:t>；涉水的自然保护区</w:t>
            </w:r>
            <w:r>
              <w:rPr>
                <w:rFonts w:hint="default" w:ascii="Times New Roman" w:hAnsi="Times New Roman" w:cs="Times New Roman"/>
                <w:color w:val="auto"/>
              </w:rPr>
              <w:sym w:font="Wingdings" w:char="00A8"/>
            </w:r>
            <w:r>
              <w:rPr>
                <w:rFonts w:hint="default" w:ascii="Times New Roman" w:hAnsi="Times New Roman" w:cs="Times New Roman"/>
                <w:color w:val="auto"/>
              </w:rPr>
              <w:t>；重要湿地</w:t>
            </w:r>
            <w:r>
              <w:rPr>
                <w:rFonts w:hint="default" w:ascii="Times New Roman" w:hAnsi="Times New Roman" w:cs="Times New Roman"/>
                <w:color w:val="auto"/>
              </w:rPr>
              <w:sym w:font="Wingdings" w:char="00A8"/>
            </w:r>
            <w:r>
              <w:rPr>
                <w:rFonts w:hint="default" w:ascii="Times New Roman" w:hAnsi="Times New Roman" w:cs="Times New Roman"/>
                <w:color w:val="auto"/>
              </w:rPr>
              <w:t>；</w:t>
            </w:r>
          </w:p>
          <w:p w14:paraId="23EF3E0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重点保护与珍</w:t>
            </w:r>
            <w:r>
              <w:rPr>
                <w:rFonts w:hint="eastAsia" w:cs="Times New Roman"/>
                <w:color w:val="auto"/>
                <w:lang w:val="en-US" w:eastAsia="zh-CN"/>
              </w:rPr>
              <w:t>稀</w:t>
            </w:r>
            <w:r>
              <w:rPr>
                <w:rFonts w:hint="default" w:ascii="Times New Roman" w:hAnsi="Times New Roman" w:cs="Times New Roman"/>
                <w:color w:val="auto"/>
              </w:rPr>
              <w:t>水生生物的栖息地</w:t>
            </w:r>
            <w:r>
              <w:rPr>
                <w:rFonts w:hint="default" w:ascii="Times New Roman" w:hAnsi="Times New Roman" w:cs="Times New Roman"/>
                <w:color w:val="auto"/>
              </w:rPr>
              <w:sym w:font="Wingdings" w:char="00FE"/>
            </w:r>
            <w:r>
              <w:rPr>
                <w:rFonts w:hint="default" w:ascii="Times New Roman" w:hAnsi="Times New Roman" w:cs="Times New Roman"/>
                <w:color w:val="auto"/>
              </w:rPr>
              <w:t>；重要水生生物的自然产卵场及索饵场、越冬场和洄游通道、天然渔场等渔业水体</w:t>
            </w:r>
            <w:r>
              <w:rPr>
                <w:rFonts w:hint="default" w:ascii="Times New Roman" w:hAnsi="Times New Roman" w:cs="Times New Roman"/>
                <w:color w:val="auto"/>
              </w:rPr>
              <w:sym w:font="Wingdings" w:char="00FE"/>
            </w:r>
            <w:r>
              <w:rPr>
                <w:rFonts w:hint="default" w:ascii="Times New Roman" w:hAnsi="Times New Roman" w:cs="Times New Roman"/>
                <w:color w:val="auto"/>
              </w:rPr>
              <w:t>；涉水的风景名胜区</w:t>
            </w:r>
            <w:r>
              <w:rPr>
                <w:rFonts w:hint="default" w:ascii="Times New Roman" w:hAnsi="Times New Roman" w:cs="Times New Roman"/>
                <w:color w:val="auto"/>
              </w:rPr>
              <w:sym w:font="Wingdings" w:char="00A8"/>
            </w:r>
            <w:r>
              <w:rPr>
                <w:rFonts w:hint="default" w:ascii="Times New Roman" w:hAnsi="Times New Roman" w:cs="Times New Roman"/>
                <w:color w:val="auto"/>
              </w:rPr>
              <w:t>；其他</w:t>
            </w:r>
            <w:r>
              <w:rPr>
                <w:rFonts w:hint="default" w:ascii="Times New Roman" w:hAnsi="Times New Roman" w:cs="Times New Roman"/>
                <w:color w:val="auto"/>
              </w:rPr>
              <w:sym w:font="Wingdings" w:char="00A8"/>
            </w:r>
          </w:p>
        </w:tc>
      </w:tr>
      <w:tr w14:paraId="75DD09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3268011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restart"/>
            <w:noWrap w:val="0"/>
            <w:vAlign w:val="center"/>
          </w:tcPr>
          <w:p w14:paraId="6949ABE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影响途径</w:t>
            </w:r>
          </w:p>
        </w:tc>
        <w:tc>
          <w:tcPr>
            <w:tcW w:w="3913" w:type="dxa"/>
            <w:gridSpan w:val="5"/>
            <w:noWrap w:val="0"/>
            <w:vAlign w:val="center"/>
          </w:tcPr>
          <w:p w14:paraId="0727C0F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水污染影响型</w:t>
            </w:r>
          </w:p>
        </w:tc>
        <w:tc>
          <w:tcPr>
            <w:tcW w:w="3331" w:type="dxa"/>
            <w:gridSpan w:val="5"/>
            <w:noWrap w:val="0"/>
            <w:vAlign w:val="center"/>
          </w:tcPr>
          <w:p w14:paraId="20A41B3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水文要素影响型</w:t>
            </w:r>
          </w:p>
        </w:tc>
      </w:tr>
      <w:tr w14:paraId="4EDF6B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6A0EAA3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continue"/>
            <w:noWrap w:val="0"/>
            <w:vAlign w:val="center"/>
          </w:tcPr>
          <w:p w14:paraId="18B6E73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3913" w:type="dxa"/>
            <w:gridSpan w:val="5"/>
            <w:noWrap w:val="0"/>
            <w:vAlign w:val="center"/>
          </w:tcPr>
          <w:p w14:paraId="7124351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直接排放</w:t>
            </w:r>
            <w:r>
              <w:rPr>
                <w:rFonts w:hint="default" w:ascii="Times New Roman" w:hAnsi="Times New Roman" w:cs="Times New Roman"/>
                <w:color w:val="auto"/>
              </w:rPr>
              <w:sym w:font="Wingdings" w:char="00A8"/>
            </w:r>
            <w:r>
              <w:rPr>
                <w:rFonts w:hint="default" w:ascii="Times New Roman" w:hAnsi="Times New Roman" w:cs="Times New Roman"/>
                <w:color w:val="auto"/>
              </w:rPr>
              <w:t>；间接排放</w:t>
            </w:r>
            <w:r>
              <w:rPr>
                <w:rFonts w:hint="default" w:ascii="Times New Roman" w:hAnsi="Times New Roman" w:cs="Times New Roman"/>
                <w:color w:val="auto"/>
              </w:rPr>
              <w:sym w:font="Wingdings" w:char="00FE"/>
            </w:r>
            <w:r>
              <w:rPr>
                <w:rFonts w:hint="default" w:ascii="Times New Roman" w:hAnsi="Times New Roman" w:cs="Times New Roman"/>
                <w:color w:val="auto"/>
              </w:rPr>
              <w:t>；其他</w:t>
            </w:r>
            <w:r>
              <w:rPr>
                <w:rFonts w:hint="default" w:ascii="Times New Roman" w:hAnsi="Times New Roman" w:cs="Times New Roman"/>
                <w:color w:val="auto"/>
              </w:rPr>
              <w:sym w:font="Wingdings" w:char="00A8"/>
            </w:r>
          </w:p>
        </w:tc>
        <w:tc>
          <w:tcPr>
            <w:tcW w:w="3331" w:type="dxa"/>
            <w:gridSpan w:val="5"/>
            <w:noWrap w:val="0"/>
            <w:vAlign w:val="center"/>
          </w:tcPr>
          <w:p w14:paraId="2944825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水温</w:t>
            </w:r>
            <w:r>
              <w:rPr>
                <w:rFonts w:hint="default" w:ascii="Times New Roman" w:hAnsi="Times New Roman" w:cs="Times New Roman"/>
                <w:color w:val="auto"/>
              </w:rPr>
              <w:sym w:font="Wingdings" w:char="00A8"/>
            </w:r>
            <w:r>
              <w:rPr>
                <w:rFonts w:hint="default" w:ascii="Times New Roman" w:hAnsi="Times New Roman" w:cs="Times New Roman"/>
                <w:color w:val="auto"/>
              </w:rPr>
              <w:t>；径流</w:t>
            </w:r>
            <w:r>
              <w:rPr>
                <w:rFonts w:hint="default" w:ascii="Times New Roman" w:hAnsi="Times New Roman" w:cs="Times New Roman"/>
                <w:color w:val="auto"/>
              </w:rPr>
              <w:sym w:font="Wingdings" w:char="00FE"/>
            </w:r>
            <w:r>
              <w:rPr>
                <w:rFonts w:hint="default" w:ascii="Times New Roman" w:hAnsi="Times New Roman" w:cs="Times New Roman"/>
                <w:color w:val="auto"/>
              </w:rPr>
              <w:t>；水域面积</w:t>
            </w:r>
            <w:r>
              <w:rPr>
                <w:rFonts w:hint="default" w:ascii="Times New Roman" w:hAnsi="Times New Roman" w:cs="Times New Roman"/>
                <w:color w:val="auto"/>
              </w:rPr>
              <w:sym w:font="Wingdings" w:char="00FE"/>
            </w:r>
          </w:p>
        </w:tc>
      </w:tr>
      <w:tr w14:paraId="37D7686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5AD70F3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noWrap w:val="0"/>
            <w:vAlign w:val="center"/>
          </w:tcPr>
          <w:p w14:paraId="2892607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影响因子</w:t>
            </w:r>
          </w:p>
        </w:tc>
        <w:tc>
          <w:tcPr>
            <w:tcW w:w="3913" w:type="dxa"/>
            <w:gridSpan w:val="5"/>
            <w:noWrap w:val="0"/>
            <w:vAlign w:val="center"/>
          </w:tcPr>
          <w:p w14:paraId="11AA905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持久性污染物</w:t>
            </w:r>
            <w:r>
              <w:rPr>
                <w:rFonts w:hint="default" w:ascii="Times New Roman" w:hAnsi="Times New Roman" w:cs="Times New Roman"/>
                <w:color w:val="auto"/>
              </w:rPr>
              <w:sym w:font="Wingdings" w:char="00A8"/>
            </w:r>
            <w:r>
              <w:rPr>
                <w:rFonts w:hint="default" w:ascii="Times New Roman" w:hAnsi="Times New Roman" w:cs="Times New Roman"/>
                <w:color w:val="auto"/>
              </w:rPr>
              <w:t>；有毒有害污染物</w:t>
            </w:r>
            <w:r>
              <w:rPr>
                <w:rFonts w:hint="default" w:ascii="Times New Roman" w:hAnsi="Times New Roman" w:cs="Times New Roman"/>
                <w:color w:val="auto"/>
              </w:rPr>
              <w:sym w:font="Wingdings" w:char="00A8"/>
            </w:r>
            <w:r>
              <w:rPr>
                <w:rFonts w:hint="default" w:ascii="Times New Roman" w:hAnsi="Times New Roman" w:cs="Times New Roman"/>
                <w:color w:val="auto"/>
              </w:rPr>
              <w:t>；非持久性污染物</w:t>
            </w:r>
            <w:r>
              <w:rPr>
                <w:rFonts w:hint="default" w:ascii="Times New Roman" w:hAnsi="Times New Roman" w:cs="Times New Roman"/>
                <w:color w:val="auto"/>
              </w:rPr>
              <w:sym w:font="Wingdings" w:char="00FE"/>
            </w:r>
            <w:r>
              <w:rPr>
                <w:rFonts w:hint="default" w:ascii="Times New Roman" w:hAnsi="Times New Roman" w:cs="Times New Roman"/>
                <w:color w:val="auto"/>
              </w:rPr>
              <w:t>；</w:t>
            </w:r>
          </w:p>
          <w:p w14:paraId="49E1305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pH值</w:t>
            </w:r>
            <w:r>
              <w:rPr>
                <w:rFonts w:hint="default" w:ascii="Times New Roman" w:hAnsi="Times New Roman" w:cs="Times New Roman"/>
                <w:color w:val="auto"/>
              </w:rPr>
              <w:sym w:font="Wingdings" w:char="00A8"/>
            </w:r>
            <w:r>
              <w:rPr>
                <w:rFonts w:hint="default" w:ascii="Times New Roman" w:hAnsi="Times New Roman" w:cs="Times New Roman"/>
                <w:color w:val="auto"/>
              </w:rPr>
              <w:t>；热污染</w:t>
            </w:r>
            <w:r>
              <w:rPr>
                <w:rFonts w:hint="default" w:ascii="Times New Roman" w:hAnsi="Times New Roman" w:cs="Times New Roman"/>
                <w:color w:val="auto"/>
              </w:rPr>
              <w:sym w:font="Wingdings" w:char="00A8"/>
            </w:r>
            <w:r>
              <w:rPr>
                <w:rFonts w:hint="default" w:ascii="Times New Roman" w:hAnsi="Times New Roman" w:cs="Times New Roman"/>
                <w:color w:val="auto"/>
              </w:rPr>
              <w:t>；富营养化</w:t>
            </w:r>
            <w:r>
              <w:rPr>
                <w:rFonts w:hint="default" w:ascii="Times New Roman" w:hAnsi="Times New Roman" w:cs="Times New Roman"/>
                <w:color w:val="auto"/>
              </w:rPr>
              <w:sym w:font="Wingdings" w:char="00A8"/>
            </w:r>
            <w:r>
              <w:rPr>
                <w:rFonts w:hint="default" w:ascii="Times New Roman" w:hAnsi="Times New Roman" w:cs="Times New Roman"/>
                <w:color w:val="auto"/>
              </w:rPr>
              <w:t>；其他</w:t>
            </w:r>
            <w:r>
              <w:rPr>
                <w:rFonts w:hint="default" w:ascii="Times New Roman" w:hAnsi="Times New Roman" w:cs="Times New Roman"/>
                <w:color w:val="auto"/>
              </w:rPr>
              <w:sym w:font="Wingdings" w:char="00A8"/>
            </w:r>
          </w:p>
        </w:tc>
        <w:tc>
          <w:tcPr>
            <w:tcW w:w="3331" w:type="dxa"/>
            <w:gridSpan w:val="5"/>
            <w:noWrap w:val="0"/>
            <w:vAlign w:val="center"/>
          </w:tcPr>
          <w:p w14:paraId="77D5301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水温</w:t>
            </w:r>
            <w:r>
              <w:rPr>
                <w:rFonts w:hint="default" w:ascii="Times New Roman" w:hAnsi="Times New Roman" w:cs="Times New Roman"/>
                <w:color w:val="auto"/>
              </w:rPr>
              <w:sym w:font="Wingdings" w:char="00A8"/>
            </w:r>
            <w:r>
              <w:rPr>
                <w:rFonts w:hint="default" w:ascii="Times New Roman" w:hAnsi="Times New Roman" w:cs="Times New Roman"/>
                <w:color w:val="auto"/>
              </w:rPr>
              <w:t>；水位（水深）</w:t>
            </w:r>
            <w:r>
              <w:rPr>
                <w:rFonts w:hint="default" w:ascii="Times New Roman" w:hAnsi="Times New Roman" w:cs="Times New Roman"/>
                <w:color w:val="auto"/>
              </w:rPr>
              <w:sym w:font="Wingdings" w:char="00FE"/>
            </w:r>
            <w:r>
              <w:rPr>
                <w:rFonts w:hint="default" w:ascii="Times New Roman" w:hAnsi="Times New Roman" w:cs="Times New Roman"/>
                <w:color w:val="auto"/>
              </w:rPr>
              <w:t>；流速</w:t>
            </w:r>
            <w:r>
              <w:rPr>
                <w:rFonts w:hint="default" w:ascii="Times New Roman" w:hAnsi="Times New Roman" w:cs="Times New Roman"/>
                <w:color w:val="auto"/>
              </w:rPr>
              <w:sym w:font="Wingdings" w:char="00FE"/>
            </w:r>
            <w:r>
              <w:rPr>
                <w:rFonts w:hint="default" w:ascii="Times New Roman" w:hAnsi="Times New Roman" w:cs="Times New Roman"/>
                <w:color w:val="auto"/>
              </w:rPr>
              <w:t>；流量</w:t>
            </w:r>
            <w:r>
              <w:rPr>
                <w:rFonts w:hint="default" w:ascii="Times New Roman" w:hAnsi="Times New Roman" w:cs="Times New Roman"/>
                <w:color w:val="auto"/>
              </w:rPr>
              <w:sym w:font="Wingdings" w:char="00FE"/>
            </w:r>
            <w:r>
              <w:rPr>
                <w:rFonts w:hint="default" w:ascii="Times New Roman" w:hAnsi="Times New Roman" w:cs="Times New Roman"/>
                <w:color w:val="auto"/>
              </w:rPr>
              <w:t>；其他</w:t>
            </w:r>
            <w:r>
              <w:rPr>
                <w:rFonts w:hint="default" w:ascii="Times New Roman" w:hAnsi="Times New Roman" w:cs="Times New Roman"/>
                <w:color w:val="auto"/>
              </w:rPr>
              <w:sym w:font="Wingdings" w:char="00A8"/>
            </w:r>
          </w:p>
        </w:tc>
      </w:tr>
      <w:tr w14:paraId="6E3E1B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gridSpan w:val="2"/>
            <w:vMerge w:val="restart"/>
            <w:noWrap w:val="0"/>
            <w:vAlign w:val="center"/>
          </w:tcPr>
          <w:p w14:paraId="0F40166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评价等级</w:t>
            </w:r>
          </w:p>
        </w:tc>
        <w:tc>
          <w:tcPr>
            <w:tcW w:w="3913" w:type="dxa"/>
            <w:gridSpan w:val="5"/>
            <w:noWrap w:val="0"/>
            <w:vAlign w:val="center"/>
          </w:tcPr>
          <w:p w14:paraId="02D4D3C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水污染影响型</w:t>
            </w:r>
          </w:p>
        </w:tc>
        <w:tc>
          <w:tcPr>
            <w:tcW w:w="3331" w:type="dxa"/>
            <w:gridSpan w:val="5"/>
            <w:noWrap w:val="0"/>
            <w:vAlign w:val="center"/>
          </w:tcPr>
          <w:p w14:paraId="58107EC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水文要素影响型</w:t>
            </w:r>
          </w:p>
        </w:tc>
      </w:tr>
      <w:tr w14:paraId="797FC21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gridSpan w:val="2"/>
            <w:vMerge w:val="continue"/>
            <w:noWrap w:val="0"/>
            <w:vAlign w:val="center"/>
          </w:tcPr>
          <w:p w14:paraId="3CF6E2F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3913" w:type="dxa"/>
            <w:gridSpan w:val="5"/>
            <w:noWrap w:val="0"/>
            <w:vAlign w:val="center"/>
          </w:tcPr>
          <w:p w14:paraId="2CF9E09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一级</w:t>
            </w:r>
            <w:r>
              <w:rPr>
                <w:rFonts w:hint="default" w:ascii="Times New Roman" w:hAnsi="Times New Roman" w:cs="Times New Roman"/>
                <w:color w:val="auto"/>
              </w:rPr>
              <w:sym w:font="Wingdings" w:char="00A8"/>
            </w:r>
            <w:r>
              <w:rPr>
                <w:rFonts w:hint="default" w:ascii="Times New Roman" w:hAnsi="Times New Roman" w:cs="Times New Roman"/>
                <w:color w:val="auto"/>
              </w:rPr>
              <w:t>；二级</w:t>
            </w:r>
            <w:r>
              <w:rPr>
                <w:rFonts w:hint="default" w:ascii="Times New Roman" w:hAnsi="Times New Roman" w:cs="Times New Roman"/>
                <w:color w:val="auto"/>
              </w:rPr>
              <w:sym w:font="Wingdings" w:char="00A8"/>
            </w:r>
            <w:r>
              <w:rPr>
                <w:rFonts w:hint="default" w:ascii="Times New Roman" w:hAnsi="Times New Roman" w:cs="Times New Roman"/>
                <w:color w:val="auto"/>
              </w:rPr>
              <w:t>；三级A</w:t>
            </w:r>
            <w:r>
              <w:rPr>
                <w:rFonts w:hint="default" w:ascii="Times New Roman" w:hAnsi="Times New Roman" w:cs="Times New Roman"/>
                <w:color w:val="auto"/>
              </w:rPr>
              <w:sym w:font="Wingdings" w:char="00A8"/>
            </w:r>
            <w:r>
              <w:rPr>
                <w:rFonts w:hint="default" w:ascii="Times New Roman" w:hAnsi="Times New Roman" w:cs="Times New Roman"/>
                <w:color w:val="auto"/>
              </w:rPr>
              <w:t>；三级B</w:t>
            </w:r>
            <w:r>
              <w:rPr>
                <w:rFonts w:hint="default" w:ascii="Times New Roman" w:hAnsi="Times New Roman" w:cs="Times New Roman"/>
                <w:color w:val="auto"/>
              </w:rPr>
              <w:sym w:font="Wingdings" w:char="00FE"/>
            </w:r>
          </w:p>
        </w:tc>
        <w:tc>
          <w:tcPr>
            <w:tcW w:w="3331" w:type="dxa"/>
            <w:gridSpan w:val="5"/>
            <w:noWrap w:val="0"/>
            <w:vAlign w:val="center"/>
          </w:tcPr>
          <w:p w14:paraId="509EB09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一级</w:t>
            </w:r>
            <w:r>
              <w:rPr>
                <w:rFonts w:hint="default" w:ascii="Times New Roman" w:hAnsi="Times New Roman" w:cs="Times New Roman"/>
                <w:color w:val="auto"/>
              </w:rPr>
              <w:sym w:font="Wingdings" w:char="00A8"/>
            </w:r>
            <w:r>
              <w:rPr>
                <w:rFonts w:hint="default" w:ascii="Times New Roman" w:hAnsi="Times New Roman" w:cs="Times New Roman"/>
                <w:color w:val="auto"/>
              </w:rPr>
              <w:t>；二级</w:t>
            </w:r>
            <w:r>
              <w:rPr>
                <w:rFonts w:hint="default" w:ascii="Times New Roman" w:hAnsi="Times New Roman" w:cs="Times New Roman"/>
                <w:color w:val="auto"/>
              </w:rPr>
              <w:sym w:font="Wingdings" w:char="00FE"/>
            </w:r>
            <w:r>
              <w:rPr>
                <w:rFonts w:hint="default" w:ascii="Times New Roman" w:hAnsi="Times New Roman" w:cs="Times New Roman"/>
                <w:color w:val="auto"/>
              </w:rPr>
              <w:t>；三级</w:t>
            </w:r>
            <w:r>
              <w:rPr>
                <w:rFonts w:hint="default" w:ascii="Times New Roman" w:hAnsi="Times New Roman" w:cs="Times New Roman"/>
                <w:color w:val="auto"/>
              </w:rPr>
              <w:sym w:font="Wingdings" w:char="00A8"/>
            </w:r>
          </w:p>
        </w:tc>
      </w:tr>
      <w:tr w14:paraId="2FC980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restart"/>
            <w:noWrap w:val="0"/>
            <w:vAlign w:val="center"/>
          </w:tcPr>
          <w:p w14:paraId="16E4829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现状调查</w:t>
            </w:r>
          </w:p>
        </w:tc>
        <w:tc>
          <w:tcPr>
            <w:tcW w:w="1506" w:type="dxa"/>
            <w:vMerge w:val="restart"/>
            <w:noWrap w:val="0"/>
            <w:vAlign w:val="center"/>
          </w:tcPr>
          <w:p w14:paraId="09F4D39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区域污染源</w:t>
            </w:r>
          </w:p>
        </w:tc>
        <w:tc>
          <w:tcPr>
            <w:tcW w:w="3913" w:type="dxa"/>
            <w:gridSpan w:val="5"/>
            <w:noWrap w:val="0"/>
            <w:vAlign w:val="center"/>
          </w:tcPr>
          <w:p w14:paraId="6C2F1D1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调查项目</w:t>
            </w:r>
          </w:p>
        </w:tc>
        <w:tc>
          <w:tcPr>
            <w:tcW w:w="3331" w:type="dxa"/>
            <w:gridSpan w:val="5"/>
            <w:noWrap w:val="0"/>
            <w:vAlign w:val="center"/>
          </w:tcPr>
          <w:p w14:paraId="35E19B9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数据来源</w:t>
            </w:r>
          </w:p>
        </w:tc>
      </w:tr>
      <w:tr w14:paraId="7A82E7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56F47B8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continue"/>
            <w:noWrap w:val="0"/>
            <w:vAlign w:val="center"/>
          </w:tcPr>
          <w:p w14:paraId="396317E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2198" w:type="dxa"/>
            <w:gridSpan w:val="2"/>
            <w:noWrap w:val="0"/>
            <w:vAlign w:val="center"/>
          </w:tcPr>
          <w:p w14:paraId="5D5A4D9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已建</w:t>
            </w:r>
            <w:r>
              <w:rPr>
                <w:rFonts w:hint="default" w:ascii="Times New Roman" w:hAnsi="Times New Roman" w:cs="Times New Roman"/>
                <w:color w:val="auto"/>
              </w:rPr>
              <w:sym w:font="Wingdings" w:char="00A8"/>
            </w:r>
            <w:r>
              <w:rPr>
                <w:rFonts w:hint="default" w:ascii="Times New Roman" w:hAnsi="Times New Roman" w:cs="Times New Roman"/>
                <w:color w:val="auto"/>
              </w:rPr>
              <w:t>；在建</w:t>
            </w:r>
            <w:r>
              <w:rPr>
                <w:rFonts w:hint="default" w:ascii="Times New Roman" w:hAnsi="Times New Roman" w:cs="Times New Roman"/>
                <w:color w:val="auto"/>
              </w:rPr>
              <w:sym w:font="Wingdings" w:char="00A8"/>
            </w:r>
            <w:r>
              <w:rPr>
                <w:rFonts w:hint="default" w:ascii="Times New Roman" w:hAnsi="Times New Roman" w:cs="Times New Roman"/>
                <w:color w:val="auto"/>
              </w:rPr>
              <w:t>；扩建</w:t>
            </w:r>
            <w:r>
              <w:rPr>
                <w:rFonts w:hint="default" w:ascii="Times New Roman" w:hAnsi="Times New Roman" w:cs="Times New Roman"/>
                <w:color w:val="auto"/>
              </w:rPr>
              <w:sym w:font="Wingdings" w:char="00A8"/>
            </w:r>
            <w:r>
              <w:rPr>
                <w:rFonts w:hint="default" w:ascii="Times New Roman" w:hAnsi="Times New Roman" w:cs="Times New Roman"/>
                <w:color w:val="auto"/>
              </w:rPr>
              <w:t>；其他</w:t>
            </w:r>
            <w:r>
              <w:rPr>
                <w:rFonts w:hint="default" w:ascii="Times New Roman" w:hAnsi="Times New Roman" w:cs="Times New Roman"/>
                <w:color w:val="auto"/>
              </w:rPr>
              <w:sym w:font="Wingdings" w:char="00A8"/>
            </w:r>
          </w:p>
        </w:tc>
        <w:tc>
          <w:tcPr>
            <w:tcW w:w="1715" w:type="dxa"/>
            <w:gridSpan w:val="3"/>
            <w:noWrap w:val="0"/>
            <w:vAlign w:val="center"/>
          </w:tcPr>
          <w:p w14:paraId="769A689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拟替代的污染源</w:t>
            </w:r>
            <w:r>
              <w:rPr>
                <w:rFonts w:hint="default" w:ascii="Times New Roman" w:hAnsi="Times New Roman" w:cs="Times New Roman"/>
                <w:color w:val="auto"/>
              </w:rPr>
              <w:sym w:font="Wingdings" w:char="00A8"/>
            </w:r>
          </w:p>
        </w:tc>
        <w:tc>
          <w:tcPr>
            <w:tcW w:w="3331" w:type="dxa"/>
            <w:gridSpan w:val="5"/>
            <w:noWrap w:val="0"/>
            <w:vAlign w:val="center"/>
          </w:tcPr>
          <w:p w14:paraId="2EAE9E5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排污许可证</w:t>
            </w:r>
            <w:r>
              <w:rPr>
                <w:rFonts w:hint="default" w:ascii="Times New Roman" w:hAnsi="Times New Roman" w:cs="Times New Roman"/>
                <w:color w:val="auto"/>
              </w:rPr>
              <w:sym w:font="Wingdings" w:char="00A8"/>
            </w:r>
            <w:r>
              <w:rPr>
                <w:rFonts w:hint="default" w:ascii="Times New Roman" w:hAnsi="Times New Roman" w:cs="Times New Roman"/>
                <w:color w:val="auto"/>
              </w:rPr>
              <w:t>；环评</w:t>
            </w:r>
            <w:r>
              <w:rPr>
                <w:rFonts w:hint="default" w:ascii="Times New Roman" w:hAnsi="Times New Roman" w:cs="Times New Roman"/>
                <w:color w:val="auto"/>
              </w:rPr>
              <w:sym w:font="Wingdings" w:char="00FE"/>
            </w:r>
            <w:r>
              <w:rPr>
                <w:rFonts w:hint="default" w:ascii="Times New Roman" w:hAnsi="Times New Roman" w:cs="Times New Roman"/>
                <w:color w:val="auto"/>
              </w:rPr>
              <w:t>；环保验收</w:t>
            </w:r>
            <w:r>
              <w:rPr>
                <w:rFonts w:hint="default" w:ascii="Times New Roman" w:hAnsi="Times New Roman" w:cs="Times New Roman"/>
                <w:color w:val="auto"/>
              </w:rPr>
              <w:sym w:font="Wingdings" w:char="00A8"/>
            </w:r>
            <w:r>
              <w:rPr>
                <w:rFonts w:hint="default" w:ascii="Times New Roman" w:hAnsi="Times New Roman" w:cs="Times New Roman"/>
                <w:color w:val="auto"/>
              </w:rPr>
              <w:t>；既有实测</w:t>
            </w:r>
            <w:r>
              <w:rPr>
                <w:rFonts w:hint="default" w:ascii="Times New Roman" w:hAnsi="Times New Roman" w:cs="Times New Roman"/>
                <w:color w:val="auto"/>
              </w:rPr>
              <w:sym w:font="Wingdings" w:char="00FE"/>
            </w:r>
            <w:r>
              <w:rPr>
                <w:rFonts w:hint="default" w:ascii="Times New Roman" w:hAnsi="Times New Roman" w:cs="Times New Roman"/>
                <w:color w:val="auto"/>
              </w:rPr>
              <w:t>；现场监测</w:t>
            </w:r>
            <w:r>
              <w:rPr>
                <w:rFonts w:hint="default" w:ascii="Times New Roman" w:hAnsi="Times New Roman" w:cs="Times New Roman"/>
                <w:color w:val="auto"/>
              </w:rPr>
              <w:sym w:font="Wingdings" w:char="00A8"/>
            </w:r>
            <w:r>
              <w:rPr>
                <w:rFonts w:hint="default" w:ascii="Times New Roman" w:hAnsi="Times New Roman" w:cs="Times New Roman"/>
                <w:color w:val="auto"/>
              </w:rPr>
              <w:t>；入河排放口数据</w:t>
            </w:r>
            <w:r>
              <w:rPr>
                <w:rFonts w:hint="default" w:ascii="Times New Roman" w:hAnsi="Times New Roman" w:cs="Times New Roman"/>
                <w:color w:val="auto"/>
              </w:rPr>
              <w:sym w:font="Wingdings" w:char="00A8"/>
            </w:r>
            <w:r>
              <w:rPr>
                <w:rFonts w:hint="default" w:ascii="Times New Roman" w:hAnsi="Times New Roman" w:cs="Times New Roman"/>
                <w:color w:val="auto"/>
              </w:rPr>
              <w:t>；其他</w:t>
            </w:r>
            <w:r>
              <w:rPr>
                <w:rFonts w:hint="default" w:ascii="Times New Roman" w:hAnsi="Times New Roman" w:cs="Times New Roman"/>
                <w:color w:val="auto"/>
              </w:rPr>
              <w:sym w:font="Wingdings" w:char="00A8"/>
            </w:r>
          </w:p>
        </w:tc>
      </w:tr>
      <w:tr w14:paraId="542E02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2FC5431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restart"/>
            <w:noWrap w:val="0"/>
            <w:vAlign w:val="center"/>
          </w:tcPr>
          <w:p w14:paraId="369E2B2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受影响水体环境质量</w:t>
            </w:r>
          </w:p>
        </w:tc>
        <w:tc>
          <w:tcPr>
            <w:tcW w:w="3913" w:type="dxa"/>
            <w:gridSpan w:val="5"/>
            <w:noWrap w:val="0"/>
            <w:vAlign w:val="center"/>
          </w:tcPr>
          <w:p w14:paraId="68851C9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调查时期</w:t>
            </w:r>
          </w:p>
        </w:tc>
        <w:tc>
          <w:tcPr>
            <w:tcW w:w="3331" w:type="dxa"/>
            <w:gridSpan w:val="5"/>
            <w:noWrap w:val="0"/>
            <w:vAlign w:val="center"/>
          </w:tcPr>
          <w:p w14:paraId="4F1CBF5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数据来源</w:t>
            </w:r>
          </w:p>
        </w:tc>
      </w:tr>
      <w:tr w14:paraId="34F68E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3F2EC13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continue"/>
            <w:noWrap w:val="0"/>
            <w:vAlign w:val="center"/>
          </w:tcPr>
          <w:p w14:paraId="4355C90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3913" w:type="dxa"/>
            <w:gridSpan w:val="5"/>
            <w:noWrap w:val="0"/>
            <w:vAlign w:val="center"/>
          </w:tcPr>
          <w:p w14:paraId="74D1FF3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丰水期</w:t>
            </w:r>
            <w:r>
              <w:rPr>
                <w:rFonts w:hint="default" w:ascii="Times New Roman" w:hAnsi="Times New Roman" w:cs="Times New Roman"/>
                <w:color w:val="auto"/>
              </w:rPr>
              <w:sym w:font="Wingdings" w:char="00A8"/>
            </w:r>
            <w:r>
              <w:rPr>
                <w:rFonts w:hint="default" w:ascii="Times New Roman" w:hAnsi="Times New Roman" w:cs="Times New Roman"/>
                <w:color w:val="auto"/>
              </w:rPr>
              <w:t>；平水期</w:t>
            </w:r>
            <w:r>
              <w:rPr>
                <w:rFonts w:hint="default" w:ascii="Times New Roman" w:hAnsi="Times New Roman" w:cs="Times New Roman"/>
                <w:color w:val="auto"/>
              </w:rPr>
              <w:sym w:font="Wingdings" w:char="00A8"/>
            </w:r>
            <w:r>
              <w:rPr>
                <w:rFonts w:hint="default" w:ascii="Times New Roman" w:hAnsi="Times New Roman" w:cs="Times New Roman"/>
                <w:color w:val="auto"/>
              </w:rPr>
              <w:t>；枯水期</w:t>
            </w:r>
            <w:r>
              <w:rPr>
                <w:rFonts w:hint="default" w:ascii="Times New Roman" w:hAnsi="Times New Roman" w:cs="Times New Roman"/>
                <w:color w:val="auto"/>
              </w:rPr>
              <w:sym w:font="Wingdings" w:char="00FE"/>
            </w:r>
            <w:r>
              <w:rPr>
                <w:rFonts w:hint="default" w:ascii="Times New Roman" w:hAnsi="Times New Roman" w:cs="Times New Roman"/>
                <w:color w:val="auto"/>
              </w:rPr>
              <w:t>；冰封期</w:t>
            </w:r>
            <w:r>
              <w:rPr>
                <w:rFonts w:hint="default" w:ascii="Times New Roman" w:hAnsi="Times New Roman" w:cs="Times New Roman"/>
                <w:color w:val="auto"/>
              </w:rPr>
              <w:sym w:font="Wingdings" w:char="00A8"/>
            </w:r>
          </w:p>
          <w:p w14:paraId="48F4274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春季</w:t>
            </w:r>
            <w:r>
              <w:rPr>
                <w:rFonts w:hint="default" w:ascii="Times New Roman" w:hAnsi="Times New Roman" w:cs="Times New Roman"/>
                <w:color w:val="auto"/>
              </w:rPr>
              <w:sym w:font="Wingdings" w:char="00A8"/>
            </w:r>
            <w:r>
              <w:rPr>
                <w:rFonts w:hint="default" w:ascii="Times New Roman" w:hAnsi="Times New Roman" w:cs="Times New Roman"/>
                <w:color w:val="auto"/>
              </w:rPr>
              <w:t>；夏季</w:t>
            </w:r>
            <w:r>
              <w:rPr>
                <w:rFonts w:hint="default" w:ascii="Times New Roman" w:hAnsi="Times New Roman" w:cs="Times New Roman"/>
                <w:color w:val="auto"/>
              </w:rPr>
              <w:sym w:font="Wingdings" w:char="00A8"/>
            </w:r>
            <w:r>
              <w:rPr>
                <w:rFonts w:hint="default" w:ascii="Times New Roman" w:hAnsi="Times New Roman" w:cs="Times New Roman"/>
                <w:color w:val="auto"/>
              </w:rPr>
              <w:t>；秋季</w:t>
            </w:r>
            <w:r>
              <w:rPr>
                <w:rFonts w:hint="default" w:ascii="Times New Roman" w:hAnsi="Times New Roman" w:cs="Times New Roman"/>
                <w:color w:val="auto"/>
              </w:rPr>
              <w:sym w:font="Wingdings" w:char="00A8"/>
            </w:r>
            <w:r>
              <w:rPr>
                <w:rFonts w:hint="default" w:ascii="Times New Roman" w:hAnsi="Times New Roman" w:cs="Times New Roman"/>
                <w:color w:val="auto"/>
              </w:rPr>
              <w:t>；冬季</w:t>
            </w:r>
            <w:r>
              <w:rPr>
                <w:rFonts w:hint="default" w:ascii="Times New Roman" w:hAnsi="Times New Roman" w:cs="Times New Roman"/>
                <w:color w:val="auto"/>
              </w:rPr>
              <w:sym w:font="Wingdings" w:char="00A8"/>
            </w:r>
          </w:p>
        </w:tc>
        <w:tc>
          <w:tcPr>
            <w:tcW w:w="3331" w:type="dxa"/>
            <w:gridSpan w:val="5"/>
            <w:noWrap w:val="0"/>
            <w:vAlign w:val="center"/>
          </w:tcPr>
          <w:p w14:paraId="3021DF6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生态环境主管部门</w:t>
            </w:r>
            <w:r>
              <w:rPr>
                <w:rFonts w:hint="default" w:ascii="Times New Roman" w:hAnsi="Times New Roman" w:cs="Times New Roman"/>
                <w:color w:val="auto"/>
              </w:rPr>
              <w:sym w:font="Wingdings" w:char="00A8"/>
            </w:r>
            <w:r>
              <w:rPr>
                <w:rFonts w:hint="default" w:ascii="Times New Roman" w:hAnsi="Times New Roman" w:cs="Times New Roman"/>
                <w:color w:val="auto"/>
              </w:rPr>
              <w:t>；补充监测</w:t>
            </w:r>
            <w:r>
              <w:rPr>
                <w:rFonts w:hint="default" w:ascii="Times New Roman" w:hAnsi="Times New Roman" w:cs="Times New Roman"/>
                <w:color w:val="auto"/>
              </w:rPr>
              <w:sym w:font="Wingdings" w:char="00FE"/>
            </w:r>
            <w:r>
              <w:rPr>
                <w:rFonts w:hint="default" w:ascii="Times New Roman" w:hAnsi="Times New Roman" w:cs="Times New Roman"/>
                <w:color w:val="auto"/>
              </w:rPr>
              <w:t>；其他</w:t>
            </w:r>
            <w:r>
              <w:rPr>
                <w:rFonts w:hint="default" w:ascii="Times New Roman" w:hAnsi="Times New Roman" w:cs="Times New Roman"/>
                <w:color w:val="auto"/>
              </w:rPr>
              <w:sym w:font="Wingdings" w:char="00A8"/>
            </w:r>
          </w:p>
        </w:tc>
      </w:tr>
      <w:tr w14:paraId="73B3E2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236AC5C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noWrap w:val="0"/>
            <w:vAlign w:val="center"/>
          </w:tcPr>
          <w:p w14:paraId="6F0D6EA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区域水资源开发利用状况</w:t>
            </w:r>
          </w:p>
        </w:tc>
        <w:tc>
          <w:tcPr>
            <w:tcW w:w="7244" w:type="dxa"/>
            <w:gridSpan w:val="10"/>
            <w:noWrap w:val="0"/>
            <w:vAlign w:val="center"/>
          </w:tcPr>
          <w:p w14:paraId="180F33B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未开发</w:t>
            </w:r>
            <w:r>
              <w:rPr>
                <w:rFonts w:hint="default" w:ascii="Times New Roman" w:hAnsi="Times New Roman" w:cs="Times New Roman"/>
                <w:color w:val="auto"/>
              </w:rPr>
              <w:sym w:font="Wingdings" w:char="00A8"/>
            </w:r>
            <w:r>
              <w:rPr>
                <w:rFonts w:hint="default" w:ascii="Times New Roman" w:hAnsi="Times New Roman" w:cs="Times New Roman"/>
                <w:color w:val="auto"/>
              </w:rPr>
              <w:t>；开发量40%以下</w:t>
            </w:r>
            <w:r>
              <w:rPr>
                <w:rFonts w:hint="default" w:ascii="Times New Roman" w:hAnsi="Times New Roman" w:cs="Times New Roman"/>
                <w:color w:val="auto"/>
              </w:rPr>
              <w:sym w:font="Wingdings" w:char="00FE"/>
            </w:r>
            <w:r>
              <w:rPr>
                <w:rFonts w:hint="default" w:ascii="Times New Roman" w:hAnsi="Times New Roman" w:cs="Times New Roman"/>
                <w:color w:val="auto"/>
              </w:rPr>
              <w:t>；开发量40%以上</w:t>
            </w:r>
            <w:r>
              <w:rPr>
                <w:rFonts w:hint="default" w:ascii="Times New Roman" w:hAnsi="Times New Roman" w:cs="Times New Roman"/>
                <w:color w:val="auto"/>
              </w:rPr>
              <w:sym w:font="Wingdings" w:char="00A8"/>
            </w:r>
          </w:p>
        </w:tc>
      </w:tr>
      <w:tr w14:paraId="122D67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55A9AD5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restart"/>
            <w:noWrap w:val="0"/>
            <w:vAlign w:val="center"/>
          </w:tcPr>
          <w:p w14:paraId="72797DA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水文情势调查</w:t>
            </w:r>
          </w:p>
        </w:tc>
        <w:tc>
          <w:tcPr>
            <w:tcW w:w="3913" w:type="dxa"/>
            <w:gridSpan w:val="5"/>
            <w:noWrap w:val="0"/>
            <w:vAlign w:val="center"/>
          </w:tcPr>
          <w:p w14:paraId="5ABF9CB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调查时期</w:t>
            </w:r>
          </w:p>
        </w:tc>
        <w:tc>
          <w:tcPr>
            <w:tcW w:w="3331" w:type="dxa"/>
            <w:gridSpan w:val="5"/>
            <w:noWrap w:val="0"/>
            <w:vAlign w:val="center"/>
          </w:tcPr>
          <w:p w14:paraId="545D8EE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数据来源</w:t>
            </w:r>
          </w:p>
        </w:tc>
      </w:tr>
      <w:tr w14:paraId="765EFA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5C78BD1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continue"/>
            <w:noWrap w:val="0"/>
            <w:vAlign w:val="center"/>
          </w:tcPr>
          <w:p w14:paraId="033E903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3913" w:type="dxa"/>
            <w:gridSpan w:val="5"/>
            <w:noWrap w:val="0"/>
            <w:vAlign w:val="center"/>
          </w:tcPr>
          <w:p w14:paraId="0792448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丰水期</w:t>
            </w:r>
            <w:r>
              <w:rPr>
                <w:rFonts w:hint="default" w:ascii="Times New Roman" w:hAnsi="Times New Roman" w:cs="Times New Roman"/>
                <w:color w:val="auto"/>
              </w:rPr>
              <w:sym w:font="Wingdings" w:char="00FE"/>
            </w:r>
            <w:r>
              <w:rPr>
                <w:rFonts w:hint="default" w:ascii="Times New Roman" w:hAnsi="Times New Roman" w:cs="Times New Roman"/>
                <w:color w:val="auto"/>
              </w:rPr>
              <w:t>；平水期</w:t>
            </w:r>
            <w:r>
              <w:rPr>
                <w:rFonts w:hint="default" w:ascii="Times New Roman" w:hAnsi="Times New Roman" w:cs="Times New Roman"/>
                <w:color w:val="auto"/>
              </w:rPr>
              <w:sym w:font="Wingdings" w:char="00FE"/>
            </w:r>
            <w:r>
              <w:rPr>
                <w:rFonts w:hint="default" w:ascii="Times New Roman" w:hAnsi="Times New Roman" w:cs="Times New Roman"/>
                <w:color w:val="auto"/>
              </w:rPr>
              <w:t>；枯水期</w:t>
            </w:r>
            <w:r>
              <w:rPr>
                <w:rFonts w:hint="default" w:ascii="Times New Roman" w:hAnsi="Times New Roman" w:cs="Times New Roman"/>
                <w:color w:val="auto"/>
              </w:rPr>
              <w:sym w:font="Wingdings" w:char="00FE"/>
            </w:r>
            <w:r>
              <w:rPr>
                <w:rFonts w:hint="default" w:ascii="Times New Roman" w:hAnsi="Times New Roman" w:cs="Times New Roman"/>
                <w:color w:val="auto"/>
              </w:rPr>
              <w:t>；冰封期</w:t>
            </w:r>
            <w:r>
              <w:rPr>
                <w:rFonts w:hint="default" w:ascii="Times New Roman" w:hAnsi="Times New Roman" w:cs="Times New Roman"/>
                <w:color w:val="auto"/>
              </w:rPr>
              <w:sym w:font="Wingdings" w:char="00A8"/>
            </w:r>
          </w:p>
          <w:p w14:paraId="6A19532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春季</w:t>
            </w:r>
            <w:r>
              <w:rPr>
                <w:rFonts w:hint="default" w:ascii="Times New Roman" w:hAnsi="Times New Roman" w:cs="Times New Roman"/>
                <w:color w:val="auto"/>
              </w:rPr>
              <w:sym w:font="Wingdings" w:char="00A8"/>
            </w:r>
            <w:r>
              <w:rPr>
                <w:rFonts w:hint="default" w:ascii="Times New Roman" w:hAnsi="Times New Roman" w:cs="Times New Roman"/>
                <w:color w:val="auto"/>
              </w:rPr>
              <w:t>；夏季</w:t>
            </w:r>
            <w:r>
              <w:rPr>
                <w:rFonts w:hint="default" w:ascii="Times New Roman" w:hAnsi="Times New Roman" w:cs="Times New Roman"/>
                <w:color w:val="auto"/>
              </w:rPr>
              <w:sym w:font="Wingdings" w:char="00A8"/>
            </w:r>
            <w:r>
              <w:rPr>
                <w:rFonts w:hint="default" w:ascii="Times New Roman" w:hAnsi="Times New Roman" w:cs="Times New Roman"/>
                <w:color w:val="auto"/>
              </w:rPr>
              <w:t>；秋季</w:t>
            </w:r>
            <w:r>
              <w:rPr>
                <w:rFonts w:hint="default" w:ascii="Times New Roman" w:hAnsi="Times New Roman" w:cs="Times New Roman"/>
                <w:color w:val="auto"/>
              </w:rPr>
              <w:sym w:font="Wingdings" w:char="00A8"/>
            </w:r>
            <w:r>
              <w:rPr>
                <w:rFonts w:hint="default" w:ascii="Times New Roman" w:hAnsi="Times New Roman" w:cs="Times New Roman"/>
                <w:color w:val="auto"/>
              </w:rPr>
              <w:t>；冬季</w:t>
            </w:r>
            <w:r>
              <w:rPr>
                <w:rFonts w:hint="default" w:ascii="Times New Roman" w:hAnsi="Times New Roman" w:cs="Times New Roman"/>
                <w:color w:val="auto"/>
              </w:rPr>
              <w:sym w:font="Wingdings" w:char="00A8"/>
            </w:r>
          </w:p>
        </w:tc>
        <w:tc>
          <w:tcPr>
            <w:tcW w:w="3331" w:type="dxa"/>
            <w:gridSpan w:val="5"/>
            <w:noWrap w:val="0"/>
            <w:vAlign w:val="center"/>
          </w:tcPr>
          <w:p w14:paraId="4270250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生态环境主管部门</w:t>
            </w:r>
            <w:r>
              <w:rPr>
                <w:rFonts w:hint="default" w:ascii="Times New Roman" w:hAnsi="Times New Roman" w:cs="Times New Roman"/>
                <w:color w:val="auto"/>
              </w:rPr>
              <w:sym w:font="Wingdings" w:char="00A8"/>
            </w:r>
            <w:r>
              <w:rPr>
                <w:rFonts w:hint="default" w:ascii="Times New Roman" w:hAnsi="Times New Roman" w:cs="Times New Roman"/>
                <w:color w:val="auto"/>
              </w:rPr>
              <w:t>；补充监测</w:t>
            </w:r>
            <w:r>
              <w:rPr>
                <w:rFonts w:hint="default" w:ascii="Times New Roman" w:hAnsi="Times New Roman" w:cs="Times New Roman"/>
                <w:color w:val="auto"/>
              </w:rPr>
              <w:sym w:font="Wingdings" w:char="00A8"/>
            </w:r>
            <w:r>
              <w:rPr>
                <w:rFonts w:hint="default" w:ascii="Times New Roman" w:hAnsi="Times New Roman" w:cs="Times New Roman"/>
                <w:color w:val="auto"/>
              </w:rPr>
              <w:t>；其他</w:t>
            </w:r>
            <w:r>
              <w:rPr>
                <w:rFonts w:hint="default" w:ascii="Times New Roman" w:hAnsi="Times New Roman" w:cs="Times New Roman"/>
                <w:color w:val="auto"/>
              </w:rPr>
              <w:sym w:font="Wingdings" w:char="00FE"/>
            </w:r>
          </w:p>
        </w:tc>
      </w:tr>
      <w:tr w14:paraId="651154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5005F34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restart"/>
            <w:noWrap w:val="0"/>
            <w:vAlign w:val="center"/>
          </w:tcPr>
          <w:p w14:paraId="044114A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补充监测</w:t>
            </w:r>
          </w:p>
        </w:tc>
        <w:tc>
          <w:tcPr>
            <w:tcW w:w="3913" w:type="dxa"/>
            <w:gridSpan w:val="5"/>
            <w:noWrap w:val="0"/>
            <w:vAlign w:val="center"/>
          </w:tcPr>
          <w:p w14:paraId="541B476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监测时期</w:t>
            </w:r>
          </w:p>
        </w:tc>
        <w:tc>
          <w:tcPr>
            <w:tcW w:w="1808" w:type="dxa"/>
            <w:gridSpan w:val="3"/>
            <w:noWrap w:val="0"/>
            <w:vAlign w:val="center"/>
          </w:tcPr>
          <w:p w14:paraId="4E11988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监测因子</w:t>
            </w:r>
          </w:p>
        </w:tc>
        <w:tc>
          <w:tcPr>
            <w:tcW w:w="1523" w:type="dxa"/>
            <w:gridSpan w:val="2"/>
            <w:noWrap w:val="0"/>
            <w:vAlign w:val="center"/>
          </w:tcPr>
          <w:p w14:paraId="7CD85EF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监测断面或点位</w:t>
            </w:r>
          </w:p>
        </w:tc>
      </w:tr>
      <w:tr w14:paraId="7CE3F0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6B0391C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continue"/>
            <w:noWrap w:val="0"/>
            <w:vAlign w:val="center"/>
          </w:tcPr>
          <w:p w14:paraId="14EDDBC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3913" w:type="dxa"/>
            <w:gridSpan w:val="5"/>
            <w:noWrap w:val="0"/>
            <w:vAlign w:val="center"/>
          </w:tcPr>
          <w:p w14:paraId="547AD0A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丰水期</w:t>
            </w:r>
            <w:r>
              <w:rPr>
                <w:rFonts w:hint="default" w:ascii="Times New Roman" w:hAnsi="Times New Roman" w:cs="Times New Roman"/>
                <w:color w:val="auto"/>
              </w:rPr>
              <w:sym w:font="Wingdings" w:char="00A8"/>
            </w:r>
            <w:r>
              <w:rPr>
                <w:rFonts w:hint="default" w:ascii="Times New Roman" w:hAnsi="Times New Roman" w:cs="Times New Roman"/>
                <w:color w:val="auto"/>
              </w:rPr>
              <w:t>；平水期</w:t>
            </w:r>
            <w:r>
              <w:rPr>
                <w:rFonts w:hint="default" w:ascii="Times New Roman" w:hAnsi="Times New Roman" w:cs="Times New Roman"/>
                <w:color w:val="auto"/>
              </w:rPr>
              <w:sym w:font="Wingdings" w:char="00A8"/>
            </w:r>
            <w:r>
              <w:rPr>
                <w:rFonts w:hint="default" w:ascii="Times New Roman" w:hAnsi="Times New Roman" w:cs="Times New Roman"/>
                <w:color w:val="auto"/>
              </w:rPr>
              <w:t>；枯水期</w:t>
            </w:r>
            <w:r>
              <w:rPr>
                <w:rFonts w:hint="default" w:ascii="Times New Roman" w:hAnsi="Times New Roman" w:cs="Times New Roman"/>
                <w:color w:val="auto"/>
              </w:rPr>
              <w:sym w:font="Wingdings" w:char="00FE"/>
            </w:r>
            <w:r>
              <w:rPr>
                <w:rFonts w:hint="default" w:ascii="Times New Roman" w:hAnsi="Times New Roman" w:cs="Times New Roman"/>
                <w:color w:val="auto"/>
              </w:rPr>
              <w:t>；冰封期</w:t>
            </w:r>
            <w:r>
              <w:rPr>
                <w:rFonts w:hint="default" w:ascii="Times New Roman" w:hAnsi="Times New Roman" w:cs="Times New Roman"/>
                <w:color w:val="auto"/>
              </w:rPr>
              <w:sym w:font="Wingdings" w:char="00A8"/>
            </w:r>
          </w:p>
          <w:p w14:paraId="2FC1F72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春季</w:t>
            </w:r>
            <w:r>
              <w:rPr>
                <w:rFonts w:hint="default" w:ascii="Times New Roman" w:hAnsi="Times New Roman" w:cs="Times New Roman"/>
                <w:color w:val="auto"/>
              </w:rPr>
              <w:sym w:font="Wingdings" w:char="00A8"/>
            </w:r>
            <w:r>
              <w:rPr>
                <w:rFonts w:hint="default" w:ascii="Times New Roman" w:hAnsi="Times New Roman" w:cs="Times New Roman"/>
                <w:color w:val="auto"/>
              </w:rPr>
              <w:t>；夏季</w:t>
            </w:r>
            <w:r>
              <w:rPr>
                <w:rFonts w:hint="default" w:ascii="Times New Roman" w:hAnsi="Times New Roman" w:cs="Times New Roman"/>
                <w:color w:val="auto"/>
              </w:rPr>
              <w:sym w:font="Wingdings" w:char="00A8"/>
            </w:r>
            <w:r>
              <w:rPr>
                <w:rFonts w:hint="default" w:ascii="Times New Roman" w:hAnsi="Times New Roman" w:cs="Times New Roman"/>
                <w:color w:val="auto"/>
              </w:rPr>
              <w:t>；秋季</w:t>
            </w:r>
            <w:r>
              <w:rPr>
                <w:rFonts w:hint="default" w:ascii="Times New Roman" w:hAnsi="Times New Roman" w:cs="Times New Roman"/>
                <w:color w:val="auto"/>
              </w:rPr>
              <w:sym w:font="Wingdings" w:char="00A8"/>
            </w:r>
            <w:r>
              <w:rPr>
                <w:rFonts w:hint="default" w:ascii="Times New Roman" w:hAnsi="Times New Roman" w:cs="Times New Roman"/>
                <w:color w:val="auto"/>
              </w:rPr>
              <w:t>；冬季</w:t>
            </w:r>
            <w:r>
              <w:rPr>
                <w:rFonts w:hint="default" w:ascii="Times New Roman" w:hAnsi="Times New Roman" w:cs="Times New Roman"/>
                <w:color w:val="auto"/>
              </w:rPr>
              <w:sym w:font="Wingdings" w:char="00A8"/>
            </w:r>
          </w:p>
        </w:tc>
        <w:tc>
          <w:tcPr>
            <w:tcW w:w="1808" w:type="dxa"/>
            <w:gridSpan w:val="3"/>
            <w:noWrap w:val="0"/>
            <w:vAlign w:val="center"/>
          </w:tcPr>
          <w:p w14:paraId="3048D79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（pH、COD、BOD</w:t>
            </w:r>
            <w:r>
              <w:rPr>
                <w:rFonts w:hint="default" w:ascii="Times New Roman" w:hAnsi="Times New Roman" w:cs="Times New Roman"/>
                <w:color w:val="auto"/>
                <w:vertAlign w:val="subscript"/>
              </w:rPr>
              <w:t>5</w:t>
            </w:r>
            <w:r>
              <w:rPr>
                <w:rFonts w:hint="default" w:ascii="Times New Roman" w:hAnsi="Times New Roman" w:cs="Times New Roman"/>
                <w:color w:val="auto"/>
              </w:rPr>
              <w:t>、NH</w:t>
            </w:r>
            <w:r>
              <w:rPr>
                <w:rFonts w:hint="default" w:ascii="Times New Roman" w:hAnsi="Times New Roman" w:cs="Times New Roman"/>
                <w:color w:val="auto"/>
                <w:vertAlign w:val="subscript"/>
              </w:rPr>
              <w:t>3</w:t>
            </w:r>
            <w:r>
              <w:rPr>
                <w:rFonts w:hint="default" w:ascii="Times New Roman" w:hAnsi="Times New Roman" w:cs="Times New Roman"/>
                <w:color w:val="auto"/>
              </w:rPr>
              <w:t>-N、TP、石油</w:t>
            </w:r>
            <w:r>
              <w:rPr>
                <w:rFonts w:hint="eastAsia" w:ascii="Times New Roman" w:hAnsi="Times New Roman" w:cs="Times New Roman"/>
                <w:color w:val="auto"/>
              </w:rPr>
              <w:t>类</w:t>
            </w:r>
            <w:r>
              <w:rPr>
                <w:rFonts w:hint="default" w:ascii="Times New Roman" w:hAnsi="Times New Roman" w:cs="Times New Roman"/>
                <w:color w:val="auto"/>
              </w:rPr>
              <w:t>）</w:t>
            </w:r>
          </w:p>
        </w:tc>
        <w:tc>
          <w:tcPr>
            <w:tcW w:w="1523" w:type="dxa"/>
            <w:gridSpan w:val="2"/>
            <w:noWrap w:val="0"/>
            <w:vAlign w:val="center"/>
          </w:tcPr>
          <w:p w14:paraId="7768EA5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监测断面或点位个数（4）个</w:t>
            </w:r>
          </w:p>
        </w:tc>
      </w:tr>
      <w:tr w14:paraId="6C126B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restart"/>
            <w:noWrap w:val="0"/>
            <w:vAlign w:val="center"/>
          </w:tcPr>
          <w:p w14:paraId="18D9FE1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现状评价</w:t>
            </w:r>
          </w:p>
        </w:tc>
        <w:tc>
          <w:tcPr>
            <w:tcW w:w="1506" w:type="dxa"/>
            <w:noWrap w:val="0"/>
            <w:vAlign w:val="center"/>
          </w:tcPr>
          <w:p w14:paraId="3C8AE06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评价范围</w:t>
            </w:r>
          </w:p>
        </w:tc>
        <w:tc>
          <w:tcPr>
            <w:tcW w:w="7244" w:type="dxa"/>
            <w:gridSpan w:val="10"/>
            <w:noWrap w:val="0"/>
            <w:vAlign w:val="center"/>
          </w:tcPr>
          <w:p w14:paraId="39A7CD4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河流：</w:t>
            </w:r>
            <w:r>
              <w:rPr>
                <w:rFonts w:hint="eastAsia" w:ascii="Times New Roman" w:hAnsi="Times New Roman" w:cs="Times New Roman"/>
                <w:color w:val="auto"/>
              </w:rPr>
              <w:t>淮</w:t>
            </w:r>
            <w:r>
              <w:rPr>
                <w:rFonts w:hint="default" w:ascii="Times New Roman" w:hAnsi="Times New Roman" w:cs="Times New Roman"/>
                <w:color w:val="auto"/>
              </w:rPr>
              <w:t>河；长度（</w:t>
            </w:r>
            <w:r>
              <w:rPr>
                <w:rFonts w:hint="eastAsia" w:ascii="Times New Roman" w:hAnsi="Times New Roman" w:cs="Times New Roman"/>
                <w:color w:val="auto"/>
              </w:rPr>
              <w:t>9.78</w:t>
            </w:r>
            <w:r>
              <w:rPr>
                <w:rFonts w:hint="default" w:ascii="Times New Roman" w:hAnsi="Times New Roman" w:cs="Times New Roman"/>
                <w:color w:val="auto"/>
              </w:rPr>
              <w:t>）km；湖库、河口及近岸海域：面积（）km</w:t>
            </w:r>
            <w:r>
              <w:rPr>
                <w:rFonts w:hint="default" w:ascii="Times New Roman" w:hAnsi="Times New Roman" w:cs="Times New Roman"/>
                <w:color w:val="auto"/>
                <w:vertAlign w:val="superscript"/>
              </w:rPr>
              <w:t>2</w:t>
            </w:r>
          </w:p>
        </w:tc>
      </w:tr>
      <w:tr w14:paraId="055541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57F28F7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noWrap w:val="0"/>
            <w:vAlign w:val="center"/>
          </w:tcPr>
          <w:p w14:paraId="3616F1C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评价因子</w:t>
            </w:r>
          </w:p>
        </w:tc>
        <w:tc>
          <w:tcPr>
            <w:tcW w:w="7244" w:type="dxa"/>
            <w:gridSpan w:val="10"/>
            <w:noWrap w:val="0"/>
            <w:vAlign w:val="center"/>
          </w:tcPr>
          <w:p w14:paraId="2C4A92C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sz w:val="21"/>
                <w:szCs w:val="21"/>
              </w:rPr>
              <w:t>（</w:t>
            </w:r>
            <w:r>
              <w:rPr>
                <w:rFonts w:hint="default"/>
                <w:color w:val="auto"/>
                <w:sz w:val="21"/>
                <w:szCs w:val="21"/>
              </w:rPr>
              <w:t>pH、COD、BOD</w:t>
            </w:r>
            <w:r>
              <w:rPr>
                <w:rFonts w:hint="default"/>
                <w:color w:val="auto"/>
                <w:sz w:val="21"/>
                <w:szCs w:val="21"/>
                <w:vertAlign w:val="subscript"/>
              </w:rPr>
              <w:t>5</w:t>
            </w:r>
            <w:r>
              <w:rPr>
                <w:rFonts w:hint="default"/>
                <w:color w:val="auto"/>
                <w:sz w:val="21"/>
                <w:szCs w:val="21"/>
              </w:rPr>
              <w:t>、NH</w:t>
            </w:r>
            <w:r>
              <w:rPr>
                <w:rFonts w:hint="default"/>
                <w:color w:val="auto"/>
                <w:sz w:val="21"/>
                <w:szCs w:val="21"/>
                <w:vertAlign w:val="subscript"/>
              </w:rPr>
              <w:t>3</w:t>
            </w:r>
            <w:r>
              <w:rPr>
                <w:rFonts w:hint="default"/>
                <w:color w:val="auto"/>
                <w:sz w:val="21"/>
                <w:szCs w:val="21"/>
              </w:rPr>
              <w:t>-N、TP、石油类</w:t>
            </w:r>
            <w:r>
              <w:rPr>
                <w:rFonts w:hint="default" w:ascii="Times New Roman" w:hAnsi="Times New Roman" w:cs="Times New Roman"/>
                <w:color w:val="auto"/>
                <w:sz w:val="21"/>
                <w:szCs w:val="21"/>
              </w:rPr>
              <w:t>）</w:t>
            </w:r>
          </w:p>
        </w:tc>
      </w:tr>
      <w:tr w14:paraId="2CD90C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64B8C77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noWrap w:val="0"/>
            <w:vAlign w:val="center"/>
          </w:tcPr>
          <w:p w14:paraId="10E5AAD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评价标准</w:t>
            </w:r>
          </w:p>
        </w:tc>
        <w:tc>
          <w:tcPr>
            <w:tcW w:w="7244" w:type="dxa"/>
            <w:gridSpan w:val="10"/>
            <w:noWrap w:val="0"/>
            <w:vAlign w:val="center"/>
          </w:tcPr>
          <w:p w14:paraId="356F3DA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河流、湖库、河口：I类</w:t>
            </w:r>
            <w:r>
              <w:rPr>
                <w:rFonts w:hint="default" w:ascii="Times New Roman" w:hAnsi="Times New Roman" w:cs="Times New Roman"/>
                <w:color w:val="auto"/>
              </w:rPr>
              <w:sym w:font="Wingdings" w:char="00A8"/>
            </w:r>
            <w:r>
              <w:rPr>
                <w:rFonts w:hint="default" w:ascii="Times New Roman" w:hAnsi="Times New Roman" w:cs="Times New Roman"/>
                <w:color w:val="auto"/>
              </w:rPr>
              <w:t>；II类</w:t>
            </w:r>
            <w:r>
              <w:rPr>
                <w:rFonts w:hint="default" w:ascii="Times New Roman" w:hAnsi="Times New Roman" w:cs="Times New Roman"/>
                <w:color w:val="auto"/>
              </w:rPr>
              <w:sym w:font="Wingdings" w:char="00A8"/>
            </w:r>
            <w:r>
              <w:rPr>
                <w:rFonts w:hint="default" w:ascii="Times New Roman" w:hAnsi="Times New Roman" w:cs="Times New Roman"/>
                <w:color w:val="auto"/>
              </w:rPr>
              <w:t>；III类</w:t>
            </w:r>
            <w:r>
              <w:rPr>
                <w:rFonts w:hint="default" w:ascii="Times New Roman" w:hAnsi="Times New Roman" w:cs="Times New Roman"/>
                <w:color w:val="auto"/>
              </w:rPr>
              <w:sym w:font="Wingdings" w:char="00FE"/>
            </w:r>
            <w:r>
              <w:rPr>
                <w:rFonts w:hint="default" w:ascii="Times New Roman" w:hAnsi="Times New Roman" w:cs="Times New Roman"/>
                <w:color w:val="auto"/>
              </w:rPr>
              <w:t>；IV类</w:t>
            </w:r>
            <w:r>
              <w:rPr>
                <w:rFonts w:hint="default" w:ascii="Times New Roman" w:hAnsi="Times New Roman" w:cs="Times New Roman"/>
                <w:color w:val="auto"/>
              </w:rPr>
              <w:sym w:font="Wingdings" w:char="00A8"/>
            </w:r>
            <w:r>
              <w:rPr>
                <w:rFonts w:hint="default" w:ascii="Times New Roman" w:hAnsi="Times New Roman" w:cs="Times New Roman"/>
                <w:color w:val="auto"/>
              </w:rPr>
              <w:t>；V类</w:t>
            </w:r>
            <w:r>
              <w:rPr>
                <w:rFonts w:hint="default" w:ascii="Times New Roman" w:hAnsi="Times New Roman" w:cs="Times New Roman"/>
                <w:color w:val="auto"/>
              </w:rPr>
              <w:sym w:font="Wingdings" w:char="00A8"/>
            </w:r>
          </w:p>
          <w:p w14:paraId="70C2C68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近岸海域：第一类</w:t>
            </w:r>
            <w:r>
              <w:rPr>
                <w:rFonts w:hint="default" w:ascii="Times New Roman" w:hAnsi="Times New Roman" w:cs="Times New Roman"/>
                <w:color w:val="auto"/>
              </w:rPr>
              <w:sym w:font="Wingdings" w:char="00A8"/>
            </w:r>
            <w:r>
              <w:rPr>
                <w:rFonts w:hint="default" w:ascii="Times New Roman" w:hAnsi="Times New Roman" w:cs="Times New Roman"/>
                <w:color w:val="auto"/>
              </w:rPr>
              <w:t>；第二类</w:t>
            </w:r>
            <w:r>
              <w:rPr>
                <w:rFonts w:hint="default" w:ascii="Times New Roman" w:hAnsi="Times New Roman" w:cs="Times New Roman"/>
                <w:color w:val="auto"/>
              </w:rPr>
              <w:sym w:font="Wingdings" w:char="00A8"/>
            </w:r>
            <w:r>
              <w:rPr>
                <w:rFonts w:hint="default" w:ascii="Times New Roman" w:hAnsi="Times New Roman" w:cs="Times New Roman"/>
                <w:color w:val="auto"/>
              </w:rPr>
              <w:t>；</w:t>
            </w:r>
            <w:r>
              <w:rPr>
                <w:rFonts w:hint="eastAsia" w:ascii="Times New Roman" w:hAnsi="Times New Roman" w:cs="Times New Roman"/>
                <w:color w:val="auto"/>
              </w:rPr>
              <w:t>凤台</w:t>
            </w:r>
            <w:r>
              <w:rPr>
                <w:rFonts w:hint="default" w:ascii="Times New Roman" w:hAnsi="Times New Roman" w:cs="Times New Roman"/>
                <w:color w:val="auto"/>
              </w:rPr>
              <w:t>类</w:t>
            </w:r>
            <w:r>
              <w:rPr>
                <w:rFonts w:hint="default" w:ascii="Times New Roman" w:hAnsi="Times New Roman" w:cs="Times New Roman"/>
                <w:color w:val="auto"/>
              </w:rPr>
              <w:sym w:font="Wingdings" w:char="00A8"/>
            </w:r>
            <w:r>
              <w:rPr>
                <w:rFonts w:hint="default" w:ascii="Times New Roman" w:hAnsi="Times New Roman" w:cs="Times New Roman"/>
                <w:color w:val="auto"/>
              </w:rPr>
              <w:t>；第四类</w:t>
            </w:r>
            <w:r>
              <w:rPr>
                <w:rFonts w:hint="default" w:ascii="Times New Roman" w:hAnsi="Times New Roman" w:cs="Times New Roman"/>
                <w:color w:val="auto"/>
              </w:rPr>
              <w:sym w:font="Wingdings" w:char="00A8"/>
            </w:r>
          </w:p>
          <w:p w14:paraId="50E967D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规划年评价标准（）</w:t>
            </w:r>
          </w:p>
        </w:tc>
      </w:tr>
      <w:tr w14:paraId="6E65B1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6DE7B4B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noWrap w:val="0"/>
            <w:vAlign w:val="center"/>
          </w:tcPr>
          <w:p w14:paraId="5B6B91B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评价时期</w:t>
            </w:r>
          </w:p>
        </w:tc>
        <w:tc>
          <w:tcPr>
            <w:tcW w:w="7244" w:type="dxa"/>
            <w:gridSpan w:val="10"/>
            <w:noWrap w:val="0"/>
            <w:vAlign w:val="center"/>
          </w:tcPr>
          <w:p w14:paraId="62F9D2F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丰水期</w:t>
            </w:r>
            <w:r>
              <w:rPr>
                <w:rFonts w:hint="default" w:ascii="Times New Roman" w:hAnsi="Times New Roman" w:cs="Times New Roman"/>
                <w:color w:val="auto"/>
              </w:rPr>
              <w:sym w:font="Wingdings" w:char="00A8"/>
            </w:r>
            <w:r>
              <w:rPr>
                <w:rFonts w:hint="default" w:ascii="Times New Roman" w:hAnsi="Times New Roman" w:cs="Times New Roman"/>
                <w:color w:val="auto"/>
              </w:rPr>
              <w:t>；平水期</w:t>
            </w:r>
            <w:r>
              <w:rPr>
                <w:rFonts w:hint="default" w:ascii="Times New Roman" w:hAnsi="Times New Roman" w:cs="Times New Roman"/>
                <w:color w:val="auto"/>
              </w:rPr>
              <w:sym w:font="Wingdings" w:char="00A8"/>
            </w:r>
            <w:r>
              <w:rPr>
                <w:rFonts w:hint="default" w:ascii="Times New Roman" w:hAnsi="Times New Roman" w:cs="Times New Roman"/>
                <w:color w:val="auto"/>
              </w:rPr>
              <w:t>；枯水期</w:t>
            </w:r>
            <w:r>
              <w:rPr>
                <w:rFonts w:hint="default" w:ascii="Times New Roman" w:hAnsi="Times New Roman" w:cs="Times New Roman"/>
                <w:color w:val="auto"/>
              </w:rPr>
              <w:sym w:font="Wingdings" w:char="00FE"/>
            </w:r>
            <w:r>
              <w:rPr>
                <w:rFonts w:hint="default" w:ascii="Times New Roman" w:hAnsi="Times New Roman" w:cs="Times New Roman"/>
                <w:color w:val="auto"/>
              </w:rPr>
              <w:t>；冰封期</w:t>
            </w:r>
            <w:r>
              <w:rPr>
                <w:rFonts w:hint="default" w:ascii="Times New Roman" w:hAnsi="Times New Roman" w:cs="Times New Roman"/>
                <w:color w:val="auto"/>
              </w:rPr>
              <w:sym w:font="Wingdings" w:char="00A8"/>
            </w:r>
          </w:p>
          <w:p w14:paraId="60C7FF6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春季</w:t>
            </w:r>
            <w:r>
              <w:rPr>
                <w:rFonts w:hint="default" w:ascii="Times New Roman" w:hAnsi="Times New Roman" w:cs="Times New Roman"/>
                <w:color w:val="auto"/>
              </w:rPr>
              <w:sym w:font="Wingdings" w:char="00A8"/>
            </w:r>
            <w:r>
              <w:rPr>
                <w:rFonts w:hint="default" w:ascii="Times New Roman" w:hAnsi="Times New Roman" w:cs="Times New Roman"/>
                <w:color w:val="auto"/>
              </w:rPr>
              <w:t>；夏季</w:t>
            </w:r>
            <w:r>
              <w:rPr>
                <w:rFonts w:hint="default" w:ascii="Times New Roman" w:hAnsi="Times New Roman" w:cs="Times New Roman"/>
                <w:color w:val="auto"/>
              </w:rPr>
              <w:sym w:font="Wingdings" w:char="00A8"/>
            </w:r>
            <w:r>
              <w:rPr>
                <w:rFonts w:hint="default" w:ascii="Times New Roman" w:hAnsi="Times New Roman" w:cs="Times New Roman"/>
                <w:color w:val="auto"/>
              </w:rPr>
              <w:t>；秋季</w:t>
            </w:r>
            <w:r>
              <w:rPr>
                <w:rFonts w:hint="default" w:ascii="Times New Roman" w:hAnsi="Times New Roman" w:cs="Times New Roman"/>
                <w:color w:val="auto"/>
              </w:rPr>
              <w:sym w:font="Wingdings" w:char="00A8"/>
            </w:r>
            <w:r>
              <w:rPr>
                <w:rFonts w:hint="default" w:ascii="Times New Roman" w:hAnsi="Times New Roman" w:cs="Times New Roman"/>
                <w:color w:val="auto"/>
              </w:rPr>
              <w:t>；冬季</w:t>
            </w:r>
            <w:r>
              <w:rPr>
                <w:rFonts w:hint="default" w:ascii="Times New Roman" w:hAnsi="Times New Roman" w:cs="Times New Roman"/>
                <w:color w:val="auto"/>
              </w:rPr>
              <w:sym w:font="Wingdings" w:char="00A8"/>
            </w:r>
          </w:p>
        </w:tc>
      </w:tr>
      <w:tr w14:paraId="33AC57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63C4AB1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noWrap w:val="0"/>
            <w:vAlign w:val="center"/>
          </w:tcPr>
          <w:p w14:paraId="6176C66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评价结论</w:t>
            </w:r>
          </w:p>
        </w:tc>
        <w:tc>
          <w:tcPr>
            <w:tcW w:w="6173" w:type="dxa"/>
            <w:gridSpan w:val="9"/>
            <w:noWrap w:val="0"/>
            <w:vAlign w:val="center"/>
          </w:tcPr>
          <w:p w14:paraId="32E8003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水环境功能区或水功能区、近岸海域环境功能区水质达标状况</w:t>
            </w:r>
            <w:r>
              <w:rPr>
                <w:rFonts w:hint="default" w:ascii="Times New Roman" w:hAnsi="Times New Roman" w:cs="Times New Roman"/>
                <w:color w:val="auto"/>
              </w:rPr>
              <w:sym w:font="Wingdings" w:char="00A8"/>
            </w:r>
            <w:r>
              <w:rPr>
                <w:rFonts w:hint="default" w:ascii="Times New Roman" w:hAnsi="Times New Roman" w:cs="Times New Roman"/>
                <w:color w:val="auto"/>
              </w:rPr>
              <w:t>：达标</w:t>
            </w:r>
            <w:r>
              <w:rPr>
                <w:rFonts w:hint="default" w:ascii="Times New Roman" w:hAnsi="Times New Roman" w:cs="Times New Roman"/>
                <w:color w:val="auto"/>
              </w:rPr>
              <w:sym w:font="Wingdings" w:char="00FE"/>
            </w:r>
            <w:r>
              <w:rPr>
                <w:rFonts w:hint="default" w:ascii="Times New Roman" w:hAnsi="Times New Roman" w:cs="Times New Roman"/>
                <w:color w:val="auto"/>
              </w:rPr>
              <w:t>；不达标</w:t>
            </w:r>
            <w:r>
              <w:rPr>
                <w:rFonts w:hint="default" w:ascii="Times New Roman" w:hAnsi="Times New Roman" w:cs="Times New Roman"/>
                <w:color w:val="auto"/>
              </w:rPr>
              <w:sym w:font="Wingdings" w:char="00A8"/>
            </w:r>
          </w:p>
          <w:p w14:paraId="044AF02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水环境控制单元或断面水质达标状况</w:t>
            </w:r>
            <w:r>
              <w:rPr>
                <w:rFonts w:hint="default" w:ascii="Times New Roman" w:hAnsi="Times New Roman" w:cs="Times New Roman"/>
                <w:color w:val="auto"/>
              </w:rPr>
              <w:sym w:font="Wingdings" w:char="00A8"/>
            </w:r>
            <w:r>
              <w:rPr>
                <w:rFonts w:hint="default" w:ascii="Times New Roman" w:hAnsi="Times New Roman" w:cs="Times New Roman"/>
                <w:color w:val="auto"/>
              </w:rPr>
              <w:t>：达标</w:t>
            </w:r>
            <w:r>
              <w:rPr>
                <w:rFonts w:hint="default" w:ascii="Times New Roman" w:hAnsi="Times New Roman" w:cs="Times New Roman"/>
                <w:color w:val="auto"/>
              </w:rPr>
              <w:sym w:font="Wingdings" w:char="00FE"/>
            </w:r>
            <w:r>
              <w:rPr>
                <w:rFonts w:hint="default" w:ascii="Times New Roman" w:hAnsi="Times New Roman" w:cs="Times New Roman"/>
                <w:color w:val="auto"/>
              </w:rPr>
              <w:t>；不达标</w:t>
            </w:r>
            <w:r>
              <w:rPr>
                <w:rFonts w:hint="default" w:ascii="Times New Roman" w:hAnsi="Times New Roman" w:cs="Times New Roman"/>
                <w:color w:val="auto"/>
              </w:rPr>
              <w:sym w:font="Wingdings" w:char="00A8"/>
            </w:r>
          </w:p>
          <w:p w14:paraId="00CE6E7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水环境保护目标质量状况</w:t>
            </w:r>
            <w:r>
              <w:rPr>
                <w:rFonts w:hint="default" w:ascii="Times New Roman" w:hAnsi="Times New Roman" w:cs="Times New Roman"/>
                <w:color w:val="auto"/>
              </w:rPr>
              <w:sym w:font="Wingdings" w:char="00A8"/>
            </w:r>
            <w:r>
              <w:rPr>
                <w:rFonts w:hint="default" w:ascii="Times New Roman" w:hAnsi="Times New Roman" w:cs="Times New Roman"/>
                <w:color w:val="auto"/>
              </w:rPr>
              <w:t>：达标</w:t>
            </w:r>
            <w:r>
              <w:rPr>
                <w:rFonts w:hint="default" w:ascii="Times New Roman" w:hAnsi="Times New Roman" w:cs="Times New Roman"/>
                <w:color w:val="auto"/>
              </w:rPr>
              <w:sym w:font="Wingdings" w:char="00FE"/>
            </w:r>
            <w:r>
              <w:rPr>
                <w:rFonts w:hint="default" w:ascii="Times New Roman" w:hAnsi="Times New Roman" w:cs="Times New Roman"/>
                <w:color w:val="auto"/>
              </w:rPr>
              <w:t>；不达标</w:t>
            </w:r>
            <w:r>
              <w:rPr>
                <w:rFonts w:hint="default" w:ascii="Times New Roman" w:hAnsi="Times New Roman" w:cs="Times New Roman"/>
                <w:color w:val="auto"/>
              </w:rPr>
              <w:sym w:font="Wingdings" w:char="00A8"/>
            </w:r>
          </w:p>
          <w:p w14:paraId="1EDDE5A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对照断面、控制断面等代表性断面的水质状况</w:t>
            </w:r>
            <w:r>
              <w:rPr>
                <w:rFonts w:hint="default" w:ascii="Times New Roman" w:hAnsi="Times New Roman" w:cs="Times New Roman"/>
                <w:color w:val="auto"/>
              </w:rPr>
              <w:sym w:font="Wingdings" w:char="00A8"/>
            </w:r>
            <w:r>
              <w:rPr>
                <w:rFonts w:hint="default" w:ascii="Times New Roman" w:hAnsi="Times New Roman" w:cs="Times New Roman"/>
                <w:color w:val="auto"/>
              </w:rPr>
              <w:t>：达标</w:t>
            </w:r>
            <w:r>
              <w:rPr>
                <w:rFonts w:hint="default" w:ascii="Times New Roman" w:hAnsi="Times New Roman" w:cs="Times New Roman"/>
                <w:color w:val="auto"/>
              </w:rPr>
              <w:sym w:font="Wingdings" w:char="00FE"/>
            </w:r>
            <w:r>
              <w:rPr>
                <w:rFonts w:hint="default" w:ascii="Times New Roman" w:hAnsi="Times New Roman" w:cs="Times New Roman"/>
                <w:color w:val="auto"/>
              </w:rPr>
              <w:t>；不达标</w:t>
            </w:r>
            <w:r>
              <w:rPr>
                <w:rFonts w:hint="default" w:ascii="Times New Roman" w:hAnsi="Times New Roman" w:cs="Times New Roman"/>
                <w:color w:val="auto"/>
              </w:rPr>
              <w:sym w:font="Wingdings" w:char="00A8"/>
            </w:r>
          </w:p>
          <w:p w14:paraId="31EC788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底泥污染评价</w:t>
            </w:r>
            <w:r>
              <w:rPr>
                <w:rFonts w:hint="default" w:ascii="Times New Roman" w:hAnsi="Times New Roman" w:cs="Times New Roman"/>
                <w:color w:val="auto"/>
              </w:rPr>
              <w:sym w:font="Wingdings" w:char="00FE"/>
            </w:r>
          </w:p>
          <w:p w14:paraId="401D18A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水资源与开发利用程度及其水文情势评价</w:t>
            </w:r>
            <w:r>
              <w:rPr>
                <w:rFonts w:hint="default" w:ascii="Times New Roman" w:hAnsi="Times New Roman" w:cs="Times New Roman"/>
                <w:color w:val="auto"/>
              </w:rPr>
              <w:sym w:font="Wingdings" w:char="00FE"/>
            </w:r>
          </w:p>
          <w:p w14:paraId="1979AE4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水环境质量回顾性评价</w:t>
            </w:r>
            <w:r>
              <w:rPr>
                <w:rFonts w:hint="default" w:ascii="Times New Roman" w:hAnsi="Times New Roman" w:cs="Times New Roman"/>
                <w:color w:val="auto"/>
              </w:rPr>
              <w:sym w:font="Wingdings" w:char="00A8"/>
            </w:r>
          </w:p>
          <w:p w14:paraId="13640D8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流域（区域）水资源（包括水能资源）与开发利用总体状况、生态流量管理要求与现状满足程度、建设项目占用水域的水流状况与河湖演变状况</w:t>
            </w:r>
            <w:r>
              <w:rPr>
                <w:rFonts w:hint="default" w:ascii="Times New Roman" w:hAnsi="Times New Roman" w:cs="Times New Roman"/>
                <w:color w:val="auto"/>
              </w:rPr>
              <w:sym w:font="Wingdings" w:char="00A8"/>
            </w:r>
          </w:p>
        </w:tc>
        <w:tc>
          <w:tcPr>
            <w:tcW w:w="1071" w:type="dxa"/>
            <w:noWrap w:val="0"/>
            <w:vAlign w:val="center"/>
          </w:tcPr>
          <w:p w14:paraId="56D6B14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达标区</w:t>
            </w:r>
            <w:r>
              <w:rPr>
                <w:rFonts w:hint="default" w:ascii="Times New Roman" w:hAnsi="Times New Roman" w:cs="Times New Roman"/>
                <w:color w:val="auto"/>
              </w:rPr>
              <w:sym w:font="Wingdings" w:char="00FE"/>
            </w:r>
            <w:r>
              <w:rPr>
                <w:rFonts w:hint="default" w:ascii="Times New Roman" w:hAnsi="Times New Roman" w:cs="Times New Roman"/>
                <w:color w:val="auto"/>
              </w:rPr>
              <w:t>不达标区</w:t>
            </w:r>
            <w:r>
              <w:rPr>
                <w:rFonts w:hint="default" w:ascii="Times New Roman" w:hAnsi="Times New Roman" w:cs="Times New Roman"/>
                <w:color w:val="auto"/>
              </w:rPr>
              <w:sym w:font="Wingdings" w:char="00A8"/>
            </w:r>
          </w:p>
        </w:tc>
      </w:tr>
      <w:tr w14:paraId="46B900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restart"/>
            <w:noWrap w:val="0"/>
            <w:vAlign w:val="center"/>
          </w:tcPr>
          <w:p w14:paraId="73173B9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影响预测</w:t>
            </w:r>
          </w:p>
        </w:tc>
        <w:tc>
          <w:tcPr>
            <w:tcW w:w="1506" w:type="dxa"/>
            <w:noWrap w:val="0"/>
            <w:vAlign w:val="center"/>
          </w:tcPr>
          <w:p w14:paraId="2AA0772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预测范围</w:t>
            </w:r>
          </w:p>
        </w:tc>
        <w:tc>
          <w:tcPr>
            <w:tcW w:w="7244" w:type="dxa"/>
            <w:gridSpan w:val="10"/>
            <w:noWrap w:val="0"/>
            <w:vAlign w:val="center"/>
          </w:tcPr>
          <w:p w14:paraId="210BD86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河流：长度（/）km；湖库、河口及近岸海域：面积（/）km</w:t>
            </w:r>
            <w:r>
              <w:rPr>
                <w:rFonts w:hint="default" w:ascii="Times New Roman" w:hAnsi="Times New Roman" w:cs="Times New Roman"/>
                <w:color w:val="auto"/>
                <w:vertAlign w:val="superscript"/>
              </w:rPr>
              <w:t>2</w:t>
            </w:r>
          </w:p>
        </w:tc>
      </w:tr>
      <w:tr w14:paraId="10FD10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7FA7725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noWrap w:val="0"/>
            <w:vAlign w:val="center"/>
          </w:tcPr>
          <w:p w14:paraId="0BDBCF8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预测因子</w:t>
            </w:r>
          </w:p>
        </w:tc>
        <w:tc>
          <w:tcPr>
            <w:tcW w:w="7244" w:type="dxa"/>
            <w:gridSpan w:val="10"/>
            <w:noWrap w:val="0"/>
            <w:vAlign w:val="center"/>
          </w:tcPr>
          <w:p w14:paraId="7FC2857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r>
      <w:tr w14:paraId="312C85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16D80EF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noWrap w:val="0"/>
            <w:vAlign w:val="center"/>
          </w:tcPr>
          <w:p w14:paraId="6C66522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预测时期</w:t>
            </w:r>
          </w:p>
        </w:tc>
        <w:tc>
          <w:tcPr>
            <w:tcW w:w="7244" w:type="dxa"/>
            <w:gridSpan w:val="10"/>
            <w:noWrap w:val="0"/>
            <w:vAlign w:val="center"/>
          </w:tcPr>
          <w:p w14:paraId="07962C9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丰水期</w:t>
            </w:r>
            <w:r>
              <w:rPr>
                <w:rFonts w:hint="default" w:ascii="Times New Roman" w:hAnsi="Times New Roman" w:cs="Times New Roman"/>
                <w:color w:val="auto"/>
              </w:rPr>
              <w:sym w:font="Wingdings" w:char="00A8"/>
            </w:r>
            <w:r>
              <w:rPr>
                <w:rFonts w:hint="default" w:ascii="Times New Roman" w:hAnsi="Times New Roman" w:cs="Times New Roman"/>
                <w:color w:val="auto"/>
              </w:rPr>
              <w:t>；平水期</w:t>
            </w:r>
            <w:r>
              <w:rPr>
                <w:rFonts w:hint="default" w:ascii="Times New Roman" w:hAnsi="Times New Roman" w:cs="Times New Roman"/>
                <w:color w:val="auto"/>
              </w:rPr>
              <w:sym w:font="Wingdings" w:char="00A8"/>
            </w:r>
            <w:r>
              <w:rPr>
                <w:rFonts w:hint="default" w:ascii="Times New Roman" w:hAnsi="Times New Roman" w:cs="Times New Roman"/>
                <w:color w:val="auto"/>
              </w:rPr>
              <w:t>；枯水期</w:t>
            </w:r>
            <w:r>
              <w:rPr>
                <w:rFonts w:hint="default" w:ascii="Times New Roman" w:hAnsi="Times New Roman" w:cs="Times New Roman"/>
                <w:color w:val="auto"/>
              </w:rPr>
              <w:sym w:font="Wingdings" w:char="00A8"/>
            </w:r>
            <w:r>
              <w:rPr>
                <w:rFonts w:hint="default" w:ascii="Times New Roman" w:hAnsi="Times New Roman" w:cs="Times New Roman"/>
                <w:color w:val="auto"/>
              </w:rPr>
              <w:t>；冰封期</w:t>
            </w:r>
            <w:r>
              <w:rPr>
                <w:rFonts w:hint="default" w:ascii="Times New Roman" w:hAnsi="Times New Roman" w:cs="Times New Roman"/>
                <w:color w:val="auto"/>
              </w:rPr>
              <w:sym w:font="Wingdings" w:char="00A8"/>
            </w:r>
          </w:p>
          <w:p w14:paraId="19DAB30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春季</w:t>
            </w:r>
            <w:r>
              <w:rPr>
                <w:rFonts w:hint="default" w:ascii="Times New Roman" w:hAnsi="Times New Roman" w:cs="Times New Roman"/>
                <w:color w:val="auto"/>
              </w:rPr>
              <w:sym w:font="Wingdings" w:char="00A8"/>
            </w:r>
            <w:r>
              <w:rPr>
                <w:rFonts w:hint="default" w:ascii="Times New Roman" w:hAnsi="Times New Roman" w:cs="Times New Roman"/>
                <w:color w:val="auto"/>
              </w:rPr>
              <w:t>；夏季</w:t>
            </w:r>
            <w:r>
              <w:rPr>
                <w:rFonts w:hint="default" w:ascii="Times New Roman" w:hAnsi="Times New Roman" w:cs="Times New Roman"/>
                <w:color w:val="auto"/>
              </w:rPr>
              <w:sym w:font="Wingdings" w:char="00A8"/>
            </w:r>
            <w:r>
              <w:rPr>
                <w:rFonts w:hint="default" w:ascii="Times New Roman" w:hAnsi="Times New Roman" w:cs="Times New Roman"/>
                <w:color w:val="auto"/>
              </w:rPr>
              <w:t>；秋季</w:t>
            </w:r>
            <w:r>
              <w:rPr>
                <w:rFonts w:hint="default" w:ascii="Times New Roman" w:hAnsi="Times New Roman" w:cs="Times New Roman"/>
                <w:color w:val="auto"/>
              </w:rPr>
              <w:sym w:font="Wingdings" w:char="00A8"/>
            </w:r>
            <w:r>
              <w:rPr>
                <w:rFonts w:hint="default" w:ascii="Times New Roman" w:hAnsi="Times New Roman" w:cs="Times New Roman"/>
                <w:color w:val="auto"/>
              </w:rPr>
              <w:t>；冬季</w:t>
            </w:r>
            <w:r>
              <w:rPr>
                <w:rFonts w:hint="default" w:ascii="Times New Roman" w:hAnsi="Times New Roman" w:cs="Times New Roman"/>
                <w:color w:val="auto"/>
              </w:rPr>
              <w:sym w:font="Wingdings" w:char="00A8"/>
            </w:r>
          </w:p>
          <w:p w14:paraId="7B9A070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设计水文条件</w:t>
            </w:r>
            <w:r>
              <w:rPr>
                <w:rFonts w:hint="default" w:ascii="Times New Roman" w:hAnsi="Times New Roman" w:cs="Times New Roman"/>
                <w:color w:val="auto"/>
              </w:rPr>
              <w:sym w:font="Wingdings" w:char="00FE"/>
            </w:r>
          </w:p>
        </w:tc>
      </w:tr>
      <w:tr w14:paraId="6107A2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5E64624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noWrap w:val="0"/>
            <w:vAlign w:val="center"/>
          </w:tcPr>
          <w:p w14:paraId="5C598F5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预测情景</w:t>
            </w:r>
          </w:p>
        </w:tc>
        <w:tc>
          <w:tcPr>
            <w:tcW w:w="7244" w:type="dxa"/>
            <w:gridSpan w:val="10"/>
            <w:noWrap w:val="0"/>
            <w:vAlign w:val="center"/>
          </w:tcPr>
          <w:p w14:paraId="1CFE598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建设期</w:t>
            </w:r>
            <w:r>
              <w:rPr>
                <w:rFonts w:hint="default" w:ascii="Times New Roman" w:hAnsi="Times New Roman" w:cs="Times New Roman"/>
                <w:color w:val="auto"/>
              </w:rPr>
              <w:sym w:font="Wingdings" w:char="00A8"/>
            </w:r>
            <w:r>
              <w:rPr>
                <w:rFonts w:hint="default" w:ascii="Times New Roman" w:hAnsi="Times New Roman" w:cs="Times New Roman"/>
                <w:color w:val="auto"/>
              </w:rPr>
              <w:t>；生产运行期</w:t>
            </w:r>
            <w:r>
              <w:rPr>
                <w:rFonts w:hint="default" w:ascii="Times New Roman" w:hAnsi="Times New Roman" w:cs="Times New Roman"/>
                <w:color w:val="auto"/>
              </w:rPr>
              <w:sym w:font="Wingdings" w:char="00FE"/>
            </w:r>
            <w:r>
              <w:rPr>
                <w:rFonts w:hint="default" w:ascii="Times New Roman" w:hAnsi="Times New Roman" w:cs="Times New Roman"/>
                <w:color w:val="auto"/>
              </w:rPr>
              <w:t>；服务期满后</w:t>
            </w:r>
            <w:r>
              <w:rPr>
                <w:rFonts w:hint="default" w:ascii="Times New Roman" w:hAnsi="Times New Roman" w:cs="Times New Roman"/>
                <w:color w:val="auto"/>
              </w:rPr>
              <w:sym w:font="Wingdings" w:char="00A8"/>
            </w:r>
          </w:p>
          <w:p w14:paraId="302258E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正常工况</w:t>
            </w:r>
            <w:r>
              <w:rPr>
                <w:rFonts w:hint="default" w:ascii="Times New Roman" w:hAnsi="Times New Roman" w:cs="Times New Roman"/>
                <w:color w:val="auto"/>
              </w:rPr>
              <w:sym w:font="Wingdings" w:char="00A8"/>
            </w:r>
            <w:r>
              <w:rPr>
                <w:rFonts w:hint="default" w:ascii="Times New Roman" w:hAnsi="Times New Roman" w:cs="Times New Roman"/>
                <w:color w:val="auto"/>
              </w:rPr>
              <w:t>；非正常工况</w:t>
            </w:r>
            <w:r>
              <w:rPr>
                <w:rFonts w:hint="default" w:ascii="Times New Roman" w:hAnsi="Times New Roman" w:cs="Times New Roman"/>
                <w:color w:val="auto"/>
              </w:rPr>
              <w:sym w:font="Wingdings" w:char="00A8"/>
            </w:r>
          </w:p>
          <w:p w14:paraId="27DFBD8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污染控制和减缓措施方案</w:t>
            </w:r>
            <w:r>
              <w:rPr>
                <w:rFonts w:hint="default" w:ascii="Times New Roman" w:hAnsi="Times New Roman" w:cs="Times New Roman"/>
                <w:color w:val="auto"/>
              </w:rPr>
              <w:sym w:font="Wingdings" w:char="00A8"/>
            </w:r>
          </w:p>
          <w:p w14:paraId="36E791D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区（流）域环境质量改善目标要求情景</w:t>
            </w:r>
            <w:r>
              <w:rPr>
                <w:rFonts w:hint="default" w:ascii="Times New Roman" w:hAnsi="Times New Roman" w:cs="Times New Roman"/>
                <w:color w:val="auto"/>
              </w:rPr>
              <w:sym w:font="Wingdings" w:char="00A8"/>
            </w:r>
          </w:p>
        </w:tc>
      </w:tr>
      <w:tr w14:paraId="67F138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638B407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noWrap w:val="0"/>
            <w:vAlign w:val="center"/>
          </w:tcPr>
          <w:p w14:paraId="39AF72D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预测方法</w:t>
            </w:r>
          </w:p>
        </w:tc>
        <w:tc>
          <w:tcPr>
            <w:tcW w:w="7244" w:type="dxa"/>
            <w:gridSpan w:val="10"/>
            <w:noWrap w:val="0"/>
            <w:vAlign w:val="center"/>
          </w:tcPr>
          <w:p w14:paraId="3ACA430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数值解</w:t>
            </w:r>
            <w:r>
              <w:rPr>
                <w:rFonts w:hint="default" w:ascii="Times New Roman" w:hAnsi="Times New Roman" w:cs="Times New Roman"/>
                <w:color w:val="auto"/>
              </w:rPr>
              <w:sym w:font="Wingdings" w:char="00A8"/>
            </w:r>
            <w:r>
              <w:rPr>
                <w:rFonts w:hint="default" w:ascii="Times New Roman" w:hAnsi="Times New Roman" w:cs="Times New Roman"/>
                <w:color w:val="auto"/>
              </w:rPr>
              <w:t>；解析解</w:t>
            </w:r>
            <w:r>
              <w:rPr>
                <w:rFonts w:hint="default" w:ascii="Times New Roman" w:hAnsi="Times New Roman" w:cs="Times New Roman"/>
                <w:color w:val="auto"/>
              </w:rPr>
              <w:sym w:font="Wingdings" w:char="00A8"/>
            </w:r>
            <w:r>
              <w:rPr>
                <w:rFonts w:hint="default" w:ascii="Times New Roman" w:hAnsi="Times New Roman" w:cs="Times New Roman"/>
                <w:color w:val="auto"/>
              </w:rPr>
              <w:t>；其他</w:t>
            </w:r>
            <w:r>
              <w:rPr>
                <w:rFonts w:hint="default" w:ascii="Times New Roman" w:hAnsi="Times New Roman" w:cs="Times New Roman"/>
                <w:color w:val="auto"/>
              </w:rPr>
              <w:sym w:font="Wingdings" w:char="00A8"/>
            </w:r>
          </w:p>
          <w:p w14:paraId="2CDE72A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导则推荐模式</w:t>
            </w:r>
            <w:r>
              <w:rPr>
                <w:rFonts w:hint="default" w:ascii="Times New Roman" w:hAnsi="Times New Roman" w:cs="Times New Roman"/>
                <w:color w:val="auto"/>
              </w:rPr>
              <w:sym w:font="Wingdings" w:char="00A8"/>
            </w:r>
            <w:r>
              <w:rPr>
                <w:rFonts w:hint="default" w:ascii="Times New Roman" w:hAnsi="Times New Roman" w:cs="Times New Roman"/>
                <w:color w:val="auto"/>
              </w:rPr>
              <w:t>；其他</w:t>
            </w:r>
            <w:r>
              <w:rPr>
                <w:rFonts w:hint="default" w:ascii="Times New Roman" w:hAnsi="Times New Roman" w:cs="Times New Roman"/>
                <w:color w:val="auto"/>
              </w:rPr>
              <w:sym w:font="Wingdings" w:char="00A8"/>
            </w:r>
          </w:p>
        </w:tc>
      </w:tr>
      <w:tr w14:paraId="704069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restart"/>
            <w:noWrap w:val="0"/>
            <w:vAlign w:val="center"/>
          </w:tcPr>
          <w:p w14:paraId="6D3B386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影响评价</w:t>
            </w:r>
          </w:p>
        </w:tc>
        <w:tc>
          <w:tcPr>
            <w:tcW w:w="1506" w:type="dxa"/>
            <w:noWrap w:val="0"/>
            <w:vAlign w:val="center"/>
          </w:tcPr>
          <w:p w14:paraId="6EA9113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水污染控制和水环境影响减缓措施有效性评价</w:t>
            </w:r>
          </w:p>
        </w:tc>
        <w:tc>
          <w:tcPr>
            <w:tcW w:w="7244" w:type="dxa"/>
            <w:gridSpan w:val="10"/>
            <w:noWrap w:val="0"/>
            <w:vAlign w:val="center"/>
          </w:tcPr>
          <w:p w14:paraId="597D972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区（流）域水环境质量改善目标</w:t>
            </w:r>
            <w:r>
              <w:rPr>
                <w:rFonts w:hint="default" w:ascii="Times New Roman" w:hAnsi="Times New Roman" w:cs="Times New Roman"/>
                <w:color w:val="auto"/>
              </w:rPr>
              <w:sym w:font="Wingdings" w:char="00A8"/>
            </w:r>
            <w:r>
              <w:rPr>
                <w:rFonts w:hint="default" w:ascii="Times New Roman" w:hAnsi="Times New Roman" w:cs="Times New Roman"/>
                <w:color w:val="auto"/>
              </w:rPr>
              <w:t>；替代削减源</w:t>
            </w:r>
            <w:r>
              <w:rPr>
                <w:rFonts w:hint="default" w:ascii="Times New Roman" w:hAnsi="Times New Roman" w:cs="Times New Roman"/>
                <w:color w:val="auto"/>
              </w:rPr>
              <w:sym w:font="Wingdings" w:char="00A8"/>
            </w:r>
          </w:p>
        </w:tc>
      </w:tr>
      <w:tr w14:paraId="1B9ACD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52CFDF7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noWrap w:val="0"/>
            <w:vAlign w:val="center"/>
          </w:tcPr>
          <w:p w14:paraId="7AD5343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水环境影响评价</w:t>
            </w:r>
          </w:p>
        </w:tc>
        <w:tc>
          <w:tcPr>
            <w:tcW w:w="7244" w:type="dxa"/>
            <w:gridSpan w:val="10"/>
            <w:noWrap w:val="0"/>
            <w:vAlign w:val="center"/>
          </w:tcPr>
          <w:p w14:paraId="171192F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排放口混合区外满足水环境管理要求</w:t>
            </w:r>
            <w:r>
              <w:rPr>
                <w:rFonts w:hint="default" w:ascii="Times New Roman" w:hAnsi="Times New Roman" w:cs="Times New Roman"/>
                <w:color w:val="auto"/>
              </w:rPr>
              <w:sym w:font="Wingdings" w:char="00A8"/>
            </w:r>
          </w:p>
          <w:p w14:paraId="48C068A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水环境功能区或水功能区、近岸海域环境功能区水质达标</w:t>
            </w:r>
            <w:r>
              <w:rPr>
                <w:rFonts w:hint="default" w:ascii="Times New Roman" w:hAnsi="Times New Roman" w:cs="Times New Roman"/>
                <w:color w:val="auto"/>
              </w:rPr>
              <w:sym w:font="Wingdings" w:char="00FE"/>
            </w:r>
          </w:p>
          <w:p w14:paraId="3087BFE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满足水环境保护目标水域水环境质量要求</w:t>
            </w:r>
            <w:r>
              <w:rPr>
                <w:rFonts w:hint="default" w:ascii="Times New Roman" w:hAnsi="Times New Roman" w:cs="Times New Roman"/>
                <w:color w:val="auto"/>
              </w:rPr>
              <w:sym w:font="Wingdings" w:char="00FE"/>
            </w:r>
          </w:p>
          <w:p w14:paraId="2C6D2A1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水环境控制单元或断面水质达标</w:t>
            </w:r>
            <w:r>
              <w:rPr>
                <w:rFonts w:hint="default" w:ascii="Times New Roman" w:hAnsi="Times New Roman" w:cs="Times New Roman"/>
                <w:color w:val="auto"/>
              </w:rPr>
              <w:sym w:font="Wingdings" w:char="00FE"/>
            </w:r>
          </w:p>
          <w:p w14:paraId="06A0C31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满足重点水污染物排放总量控制指标要求，重点行业建设项目， 主要污染物排放满足等量或减量替代要求</w:t>
            </w:r>
            <w:r>
              <w:rPr>
                <w:rFonts w:hint="default" w:ascii="Times New Roman" w:hAnsi="Times New Roman" w:cs="Times New Roman"/>
                <w:color w:val="auto"/>
              </w:rPr>
              <w:sym w:font="Wingdings" w:char="00A8"/>
            </w:r>
          </w:p>
          <w:p w14:paraId="0FD09F3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满足区（流）域水环境质量改善目标要求</w:t>
            </w:r>
            <w:r>
              <w:rPr>
                <w:rFonts w:hint="default" w:ascii="Times New Roman" w:hAnsi="Times New Roman" w:cs="Times New Roman"/>
                <w:color w:val="auto"/>
              </w:rPr>
              <w:sym w:font="Wingdings" w:char="00A8"/>
            </w:r>
          </w:p>
          <w:p w14:paraId="0498E55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水文要素影响型建设项目同时应包括水文情势变化评价、主要水文特征值影响评价、生态流量符合性评价</w:t>
            </w:r>
            <w:r>
              <w:rPr>
                <w:rFonts w:hint="default" w:ascii="Times New Roman" w:hAnsi="Times New Roman" w:cs="Times New Roman"/>
                <w:color w:val="auto"/>
              </w:rPr>
              <w:sym w:font="Wingdings" w:char="00FE"/>
            </w:r>
          </w:p>
          <w:p w14:paraId="4588961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对于新设或调整入河（湖库、近岸海域）排放口的建设项目，应包括排放口设置的环境合理性评价</w:t>
            </w:r>
            <w:r>
              <w:rPr>
                <w:rFonts w:hint="default" w:ascii="Times New Roman" w:hAnsi="Times New Roman" w:cs="Times New Roman"/>
                <w:color w:val="auto"/>
              </w:rPr>
              <w:sym w:font="Wingdings" w:char="00A8"/>
            </w:r>
          </w:p>
          <w:p w14:paraId="0E60976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满足生态保护红线、水环境质量底线、资源利用上线和环境准入清单管理要求</w:t>
            </w:r>
            <w:r>
              <w:rPr>
                <w:rFonts w:hint="default" w:ascii="Times New Roman" w:hAnsi="Times New Roman" w:cs="Times New Roman"/>
                <w:color w:val="auto"/>
              </w:rPr>
              <w:sym w:font="Wingdings" w:char="00FE"/>
            </w:r>
          </w:p>
        </w:tc>
      </w:tr>
      <w:tr w14:paraId="360D5C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131AE93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restart"/>
            <w:noWrap w:val="0"/>
            <w:vAlign w:val="center"/>
          </w:tcPr>
          <w:p w14:paraId="3F09964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污染源排放量核算</w:t>
            </w:r>
          </w:p>
        </w:tc>
        <w:tc>
          <w:tcPr>
            <w:tcW w:w="2307" w:type="dxa"/>
            <w:gridSpan w:val="3"/>
            <w:noWrap w:val="0"/>
            <w:vAlign w:val="center"/>
          </w:tcPr>
          <w:p w14:paraId="7BC3463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污染物名称</w:t>
            </w:r>
          </w:p>
        </w:tc>
        <w:tc>
          <w:tcPr>
            <w:tcW w:w="1645" w:type="dxa"/>
            <w:gridSpan w:val="3"/>
            <w:noWrap w:val="0"/>
            <w:vAlign w:val="center"/>
          </w:tcPr>
          <w:p w14:paraId="1D2FC19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排放量/（t/a）</w:t>
            </w:r>
          </w:p>
        </w:tc>
        <w:tc>
          <w:tcPr>
            <w:tcW w:w="3292" w:type="dxa"/>
            <w:gridSpan w:val="4"/>
            <w:noWrap w:val="0"/>
            <w:vAlign w:val="center"/>
          </w:tcPr>
          <w:p w14:paraId="6C551D3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排放浓度/（mg/L）</w:t>
            </w:r>
          </w:p>
        </w:tc>
      </w:tr>
      <w:tr w14:paraId="0F07AC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1CC0AB8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continue"/>
            <w:noWrap w:val="0"/>
            <w:vAlign w:val="center"/>
          </w:tcPr>
          <w:p w14:paraId="3EFDF69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2307" w:type="dxa"/>
            <w:gridSpan w:val="3"/>
            <w:noWrap w:val="0"/>
            <w:vAlign w:val="center"/>
          </w:tcPr>
          <w:p w14:paraId="5E956FF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（COD）</w:t>
            </w:r>
          </w:p>
        </w:tc>
        <w:tc>
          <w:tcPr>
            <w:tcW w:w="1645" w:type="dxa"/>
            <w:gridSpan w:val="3"/>
            <w:noWrap w:val="0"/>
            <w:vAlign w:val="center"/>
          </w:tcPr>
          <w:p w14:paraId="1AB91A4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r>
              <w:rPr>
                <w:rFonts w:hint="eastAsia" w:ascii="Times New Roman" w:hAnsi="Times New Roman" w:cs="Times New Roman"/>
                <w:color w:val="auto"/>
              </w:rPr>
              <w:t>0</w:t>
            </w:r>
            <w:r>
              <w:rPr>
                <w:rFonts w:hint="default" w:ascii="Times New Roman" w:hAnsi="Times New Roman" w:cs="Times New Roman"/>
                <w:color w:val="auto"/>
              </w:rPr>
              <w:t>）</w:t>
            </w:r>
          </w:p>
        </w:tc>
        <w:tc>
          <w:tcPr>
            <w:tcW w:w="3292" w:type="dxa"/>
            <w:gridSpan w:val="4"/>
            <w:noWrap w:val="0"/>
            <w:vAlign w:val="center"/>
          </w:tcPr>
          <w:p w14:paraId="6DFD602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r>
              <w:rPr>
                <w:rFonts w:hint="eastAsia" w:ascii="Times New Roman" w:hAnsi="Times New Roman" w:cs="Times New Roman"/>
                <w:color w:val="auto"/>
              </w:rPr>
              <w:t>0</w:t>
            </w:r>
            <w:r>
              <w:rPr>
                <w:rFonts w:hint="default" w:ascii="Times New Roman" w:hAnsi="Times New Roman" w:cs="Times New Roman"/>
                <w:color w:val="auto"/>
              </w:rPr>
              <w:t>）</w:t>
            </w:r>
          </w:p>
        </w:tc>
      </w:tr>
      <w:tr w14:paraId="43F3C5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58252A0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continue"/>
            <w:noWrap w:val="0"/>
            <w:vAlign w:val="center"/>
          </w:tcPr>
          <w:p w14:paraId="1C6059B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2307" w:type="dxa"/>
            <w:gridSpan w:val="3"/>
            <w:noWrap w:val="0"/>
            <w:vAlign w:val="center"/>
          </w:tcPr>
          <w:p w14:paraId="0B8F73E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（氨氮）</w:t>
            </w:r>
          </w:p>
        </w:tc>
        <w:tc>
          <w:tcPr>
            <w:tcW w:w="1645" w:type="dxa"/>
            <w:gridSpan w:val="3"/>
            <w:noWrap w:val="0"/>
            <w:vAlign w:val="center"/>
          </w:tcPr>
          <w:p w14:paraId="7CB8673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r>
              <w:rPr>
                <w:rFonts w:hint="eastAsia" w:ascii="Times New Roman" w:hAnsi="Times New Roman" w:cs="Times New Roman"/>
                <w:color w:val="auto"/>
              </w:rPr>
              <w:t>0</w:t>
            </w:r>
            <w:r>
              <w:rPr>
                <w:rFonts w:hint="default" w:ascii="Times New Roman" w:hAnsi="Times New Roman" w:cs="Times New Roman"/>
                <w:color w:val="auto"/>
              </w:rPr>
              <w:t>）</w:t>
            </w:r>
          </w:p>
        </w:tc>
        <w:tc>
          <w:tcPr>
            <w:tcW w:w="3292" w:type="dxa"/>
            <w:gridSpan w:val="4"/>
            <w:noWrap w:val="0"/>
            <w:vAlign w:val="center"/>
          </w:tcPr>
          <w:p w14:paraId="0C326A6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r>
              <w:rPr>
                <w:rFonts w:hint="eastAsia" w:ascii="Times New Roman" w:hAnsi="Times New Roman" w:cs="Times New Roman"/>
                <w:color w:val="auto"/>
              </w:rPr>
              <w:t>0</w:t>
            </w:r>
            <w:r>
              <w:rPr>
                <w:rFonts w:hint="default" w:ascii="Times New Roman" w:hAnsi="Times New Roman" w:cs="Times New Roman"/>
                <w:color w:val="auto"/>
              </w:rPr>
              <w:t>）</w:t>
            </w:r>
          </w:p>
        </w:tc>
      </w:tr>
      <w:tr w14:paraId="55A7F9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689FE6A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restart"/>
            <w:noWrap w:val="0"/>
            <w:vAlign w:val="center"/>
          </w:tcPr>
          <w:p w14:paraId="50ED734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替代原排放情况</w:t>
            </w:r>
          </w:p>
        </w:tc>
        <w:tc>
          <w:tcPr>
            <w:tcW w:w="1630" w:type="dxa"/>
            <w:noWrap w:val="0"/>
            <w:vAlign w:val="center"/>
          </w:tcPr>
          <w:p w14:paraId="434F82E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污染源名称</w:t>
            </w:r>
          </w:p>
        </w:tc>
        <w:tc>
          <w:tcPr>
            <w:tcW w:w="1403" w:type="dxa"/>
            <w:gridSpan w:val="3"/>
            <w:noWrap w:val="0"/>
            <w:vAlign w:val="center"/>
          </w:tcPr>
          <w:p w14:paraId="2787D0E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排污许可证编号</w:t>
            </w:r>
          </w:p>
        </w:tc>
        <w:tc>
          <w:tcPr>
            <w:tcW w:w="1403" w:type="dxa"/>
            <w:gridSpan w:val="3"/>
            <w:noWrap w:val="0"/>
            <w:vAlign w:val="center"/>
          </w:tcPr>
          <w:p w14:paraId="750AB74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污染物名称</w:t>
            </w:r>
          </w:p>
        </w:tc>
        <w:tc>
          <w:tcPr>
            <w:tcW w:w="1285" w:type="dxa"/>
            <w:noWrap w:val="0"/>
            <w:vAlign w:val="center"/>
          </w:tcPr>
          <w:p w14:paraId="54E2269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排放量/（t/a）</w:t>
            </w:r>
          </w:p>
        </w:tc>
        <w:tc>
          <w:tcPr>
            <w:tcW w:w="1523" w:type="dxa"/>
            <w:gridSpan w:val="2"/>
            <w:noWrap w:val="0"/>
            <w:vAlign w:val="center"/>
          </w:tcPr>
          <w:p w14:paraId="5AF93E6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排放浓度/（mg/L）</w:t>
            </w:r>
          </w:p>
        </w:tc>
      </w:tr>
      <w:tr w14:paraId="6B7A19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2EAE1B9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continue"/>
            <w:noWrap w:val="0"/>
            <w:vAlign w:val="center"/>
          </w:tcPr>
          <w:p w14:paraId="4795B73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630" w:type="dxa"/>
            <w:noWrap w:val="0"/>
            <w:vAlign w:val="center"/>
          </w:tcPr>
          <w:p w14:paraId="22AF72D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c>
          <w:tcPr>
            <w:tcW w:w="1403" w:type="dxa"/>
            <w:gridSpan w:val="3"/>
            <w:noWrap w:val="0"/>
            <w:vAlign w:val="center"/>
          </w:tcPr>
          <w:p w14:paraId="2BA4E53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c>
          <w:tcPr>
            <w:tcW w:w="1403" w:type="dxa"/>
            <w:gridSpan w:val="3"/>
            <w:noWrap w:val="0"/>
            <w:vAlign w:val="center"/>
          </w:tcPr>
          <w:p w14:paraId="1B8D979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c>
          <w:tcPr>
            <w:tcW w:w="1285" w:type="dxa"/>
            <w:noWrap w:val="0"/>
            <w:vAlign w:val="center"/>
          </w:tcPr>
          <w:p w14:paraId="4A41E2C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c>
          <w:tcPr>
            <w:tcW w:w="1523" w:type="dxa"/>
            <w:gridSpan w:val="2"/>
            <w:noWrap w:val="0"/>
            <w:vAlign w:val="center"/>
          </w:tcPr>
          <w:p w14:paraId="0AF6184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r>
      <w:tr w14:paraId="2D1139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0922C30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noWrap w:val="0"/>
            <w:vAlign w:val="center"/>
          </w:tcPr>
          <w:p w14:paraId="39A2A7B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生态流量确定</w:t>
            </w:r>
          </w:p>
        </w:tc>
        <w:tc>
          <w:tcPr>
            <w:tcW w:w="7244" w:type="dxa"/>
            <w:gridSpan w:val="10"/>
            <w:noWrap w:val="0"/>
            <w:vAlign w:val="center"/>
          </w:tcPr>
          <w:p w14:paraId="31C4795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生态流量：一般水期（）m</w:t>
            </w:r>
            <w:r>
              <w:rPr>
                <w:rFonts w:hint="default" w:ascii="Times New Roman" w:hAnsi="Times New Roman" w:cs="Times New Roman"/>
                <w:color w:val="auto"/>
                <w:vertAlign w:val="superscript"/>
              </w:rPr>
              <w:t>3</w:t>
            </w:r>
            <w:r>
              <w:rPr>
                <w:rFonts w:hint="default" w:ascii="Times New Roman" w:hAnsi="Times New Roman" w:cs="Times New Roman"/>
                <w:color w:val="auto"/>
              </w:rPr>
              <w:t>/s；鱼类繁殖期（）m</w:t>
            </w:r>
            <w:r>
              <w:rPr>
                <w:rFonts w:hint="default" w:ascii="Times New Roman" w:hAnsi="Times New Roman" w:cs="Times New Roman"/>
                <w:color w:val="auto"/>
                <w:vertAlign w:val="superscript"/>
              </w:rPr>
              <w:t>3</w:t>
            </w:r>
            <w:r>
              <w:rPr>
                <w:rFonts w:hint="default" w:ascii="Times New Roman" w:hAnsi="Times New Roman" w:cs="Times New Roman"/>
                <w:color w:val="auto"/>
              </w:rPr>
              <w:t>/s；其他（）m</w:t>
            </w:r>
            <w:r>
              <w:rPr>
                <w:rFonts w:hint="default" w:ascii="Times New Roman" w:hAnsi="Times New Roman" w:cs="Times New Roman"/>
                <w:color w:val="auto"/>
                <w:vertAlign w:val="superscript"/>
              </w:rPr>
              <w:t>3</w:t>
            </w:r>
            <w:r>
              <w:rPr>
                <w:rFonts w:hint="default" w:ascii="Times New Roman" w:hAnsi="Times New Roman" w:cs="Times New Roman"/>
                <w:color w:val="auto"/>
              </w:rPr>
              <w:t>/s</w:t>
            </w:r>
          </w:p>
          <w:p w14:paraId="7781B9C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生态水位：一般水期（）m；鱼类繁殖期（）m；其他（）m</w:t>
            </w:r>
          </w:p>
        </w:tc>
      </w:tr>
      <w:tr w14:paraId="590B89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restart"/>
            <w:noWrap w:val="0"/>
            <w:vAlign w:val="center"/>
          </w:tcPr>
          <w:p w14:paraId="79D373E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防治措施</w:t>
            </w:r>
          </w:p>
        </w:tc>
        <w:tc>
          <w:tcPr>
            <w:tcW w:w="1506" w:type="dxa"/>
            <w:noWrap w:val="0"/>
            <w:vAlign w:val="center"/>
          </w:tcPr>
          <w:p w14:paraId="51173E7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环保措施</w:t>
            </w:r>
          </w:p>
        </w:tc>
        <w:tc>
          <w:tcPr>
            <w:tcW w:w="7244" w:type="dxa"/>
            <w:gridSpan w:val="10"/>
            <w:noWrap w:val="0"/>
            <w:vAlign w:val="center"/>
          </w:tcPr>
          <w:p w14:paraId="603CB75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污水处理设施</w:t>
            </w:r>
            <w:r>
              <w:rPr>
                <w:rFonts w:hint="default" w:ascii="Times New Roman" w:hAnsi="Times New Roman" w:cs="Times New Roman"/>
                <w:color w:val="auto"/>
              </w:rPr>
              <w:sym w:font="Wingdings" w:char="00FE"/>
            </w:r>
            <w:r>
              <w:rPr>
                <w:rFonts w:hint="default" w:ascii="Times New Roman" w:hAnsi="Times New Roman" w:cs="Times New Roman"/>
                <w:color w:val="auto"/>
              </w:rPr>
              <w:t>；水文减缓设施</w:t>
            </w:r>
            <w:r>
              <w:rPr>
                <w:rFonts w:hint="default" w:ascii="Times New Roman" w:hAnsi="Times New Roman" w:cs="Times New Roman"/>
                <w:color w:val="auto"/>
              </w:rPr>
              <w:sym w:font="Wingdings" w:char="00A8"/>
            </w:r>
            <w:r>
              <w:rPr>
                <w:rFonts w:hint="default" w:ascii="Times New Roman" w:hAnsi="Times New Roman" w:cs="Times New Roman"/>
                <w:color w:val="auto"/>
              </w:rPr>
              <w:t>；生态流量保障设施</w:t>
            </w:r>
            <w:r>
              <w:rPr>
                <w:rFonts w:hint="default" w:ascii="Times New Roman" w:hAnsi="Times New Roman" w:cs="Times New Roman"/>
                <w:color w:val="auto"/>
              </w:rPr>
              <w:sym w:font="Wingdings" w:char="00A8"/>
            </w:r>
            <w:r>
              <w:rPr>
                <w:rFonts w:hint="default" w:ascii="Times New Roman" w:hAnsi="Times New Roman" w:cs="Times New Roman"/>
                <w:color w:val="auto"/>
              </w:rPr>
              <w:t>；区域削减</w:t>
            </w:r>
            <w:r>
              <w:rPr>
                <w:rFonts w:hint="default" w:ascii="Times New Roman" w:hAnsi="Times New Roman" w:cs="Times New Roman"/>
                <w:color w:val="auto"/>
              </w:rPr>
              <w:sym w:font="Wingdings" w:char="00A8"/>
            </w:r>
            <w:r>
              <w:rPr>
                <w:rFonts w:hint="default" w:ascii="Times New Roman" w:hAnsi="Times New Roman" w:cs="Times New Roman"/>
                <w:color w:val="auto"/>
              </w:rPr>
              <w:t>；依托其他工程措施</w:t>
            </w:r>
            <w:r>
              <w:rPr>
                <w:rFonts w:hint="default" w:ascii="Times New Roman" w:hAnsi="Times New Roman" w:cs="Times New Roman"/>
                <w:color w:val="auto"/>
              </w:rPr>
              <w:sym w:font="Wingdings" w:char="00A8"/>
            </w:r>
            <w:r>
              <w:rPr>
                <w:rFonts w:hint="default" w:ascii="Times New Roman" w:hAnsi="Times New Roman" w:cs="Times New Roman"/>
                <w:color w:val="auto"/>
              </w:rPr>
              <w:t>；其他</w:t>
            </w:r>
            <w:r>
              <w:rPr>
                <w:rFonts w:hint="default" w:ascii="Times New Roman" w:hAnsi="Times New Roman" w:cs="Times New Roman"/>
                <w:color w:val="auto"/>
              </w:rPr>
              <w:sym w:font="Wingdings" w:char="00A8"/>
            </w:r>
          </w:p>
        </w:tc>
      </w:tr>
      <w:tr w14:paraId="40DEE6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01D2CD8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restart"/>
            <w:noWrap w:val="0"/>
            <w:vAlign w:val="center"/>
          </w:tcPr>
          <w:p w14:paraId="1AD99F8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监测计划</w:t>
            </w:r>
          </w:p>
        </w:tc>
        <w:tc>
          <w:tcPr>
            <w:tcW w:w="2307" w:type="dxa"/>
            <w:gridSpan w:val="3"/>
            <w:noWrap w:val="0"/>
            <w:vAlign w:val="center"/>
          </w:tcPr>
          <w:p w14:paraId="0C19E7B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645" w:type="dxa"/>
            <w:gridSpan w:val="3"/>
            <w:noWrap w:val="0"/>
            <w:vAlign w:val="center"/>
          </w:tcPr>
          <w:p w14:paraId="2F23E53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环境质量</w:t>
            </w:r>
          </w:p>
        </w:tc>
        <w:tc>
          <w:tcPr>
            <w:tcW w:w="3292" w:type="dxa"/>
            <w:gridSpan w:val="4"/>
            <w:noWrap w:val="0"/>
            <w:vAlign w:val="center"/>
          </w:tcPr>
          <w:p w14:paraId="56479DA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污染源</w:t>
            </w:r>
          </w:p>
        </w:tc>
      </w:tr>
      <w:tr w14:paraId="6F4CD5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441E9CB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continue"/>
            <w:noWrap w:val="0"/>
            <w:vAlign w:val="center"/>
          </w:tcPr>
          <w:p w14:paraId="7D45364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2307" w:type="dxa"/>
            <w:gridSpan w:val="3"/>
            <w:noWrap w:val="0"/>
            <w:vAlign w:val="center"/>
          </w:tcPr>
          <w:p w14:paraId="651027F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监测方式</w:t>
            </w:r>
          </w:p>
        </w:tc>
        <w:tc>
          <w:tcPr>
            <w:tcW w:w="1645" w:type="dxa"/>
            <w:gridSpan w:val="3"/>
            <w:noWrap w:val="0"/>
            <w:vAlign w:val="center"/>
          </w:tcPr>
          <w:p w14:paraId="0A78B67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手动</w:t>
            </w:r>
            <w:r>
              <w:rPr>
                <w:rFonts w:hint="default" w:ascii="Times New Roman" w:hAnsi="Times New Roman" w:cs="Times New Roman"/>
                <w:color w:val="auto"/>
              </w:rPr>
              <w:sym w:font="Wingdings" w:char="00A8"/>
            </w:r>
            <w:r>
              <w:rPr>
                <w:rFonts w:hint="default" w:ascii="Times New Roman" w:hAnsi="Times New Roman" w:cs="Times New Roman"/>
                <w:color w:val="auto"/>
              </w:rPr>
              <w:t>；自动</w:t>
            </w:r>
            <w:r>
              <w:rPr>
                <w:rFonts w:hint="default" w:ascii="Times New Roman" w:hAnsi="Times New Roman" w:cs="Times New Roman"/>
                <w:color w:val="auto"/>
              </w:rPr>
              <w:sym w:font="Wingdings" w:char="00A8"/>
            </w:r>
            <w:r>
              <w:rPr>
                <w:rFonts w:hint="default" w:ascii="Times New Roman" w:hAnsi="Times New Roman" w:cs="Times New Roman"/>
                <w:color w:val="auto"/>
              </w:rPr>
              <w:t>；无监测</w:t>
            </w:r>
            <w:r>
              <w:rPr>
                <w:rFonts w:hint="default" w:ascii="Times New Roman" w:hAnsi="Times New Roman" w:cs="Times New Roman"/>
                <w:color w:val="auto"/>
              </w:rPr>
              <w:sym w:font="Wingdings" w:char="00A8"/>
            </w:r>
          </w:p>
        </w:tc>
        <w:tc>
          <w:tcPr>
            <w:tcW w:w="3292" w:type="dxa"/>
            <w:gridSpan w:val="4"/>
            <w:noWrap w:val="0"/>
            <w:vAlign w:val="center"/>
          </w:tcPr>
          <w:p w14:paraId="6447013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手动</w:t>
            </w:r>
            <w:r>
              <w:rPr>
                <w:rFonts w:hint="default" w:ascii="Times New Roman" w:hAnsi="Times New Roman" w:cs="Times New Roman"/>
                <w:color w:val="auto"/>
              </w:rPr>
              <w:sym w:font="Wingdings" w:char="00A8"/>
            </w:r>
            <w:r>
              <w:rPr>
                <w:rFonts w:hint="default" w:ascii="Times New Roman" w:hAnsi="Times New Roman" w:cs="Times New Roman"/>
                <w:color w:val="auto"/>
              </w:rPr>
              <w:t>；自动</w:t>
            </w:r>
            <w:r>
              <w:rPr>
                <w:rFonts w:hint="default" w:ascii="Times New Roman" w:hAnsi="Times New Roman" w:cs="Times New Roman"/>
                <w:color w:val="auto"/>
              </w:rPr>
              <w:sym w:font="Wingdings" w:char="00A8"/>
            </w:r>
            <w:r>
              <w:rPr>
                <w:rFonts w:hint="default" w:ascii="Times New Roman" w:hAnsi="Times New Roman" w:cs="Times New Roman"/>
                <w:color w:val="auto"/>
              </w:rPr>
              <w:t>无监测</w:t>
            </w:r>
            <w:r>
              <w:rPr>
                <w:rFonts w:hint="default" w:ascii="Times New Roman" w:hAnsi="Times New Roman" w:cs="Times New Roman"/>
                <w:color w:val="auto"/>
              </w:rPr>
              <w:sym w:font="Wingdings" w:char="00A8"/>
            </w:r>
          </w:p>
        </w:tc>
      </w:tr>
      <w:tr w14:paraId="0A4AD7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6EA4E69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continue"/>
            <w:noWrap w:val="0"/>
            <w:vAlign w:val="center"/>
          </w:tcPr>
          <w:p w14:paraId="65E4F0B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2307" w:type="dxa"/>
            <w:gridSpan w:val="3"/>
            <w:noWrap w:val="0"/>
            <w:vAlign w:val="center"/>
          </w:tcPr>
          <w:p w14:paraId="6BDF0EC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监测点位</w:t>
            </w:r>
          </w:p>
        </w:tc>
        <w:tc>
          <w:tcPr>
            <w:tcW w:w="1645" w:type="dxa"/>
            <w:gridSpan w:val="3"/>
            <w:noWrap w:val="0"/>
            <w:vAlign w:val="center"/>
          </w:tcPr>
          <w:p w14:paraId="15A370B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c>
          <w:tcPr>
            <w:tcW w:w="3292" w:type="dxa"/>
            <w:gridSpan w:val="4"/>
            <w:noWrap w:val="0"/>
            <w:vAlign w:val="center"/>
          </w:tcPr>
          <w:p w14:paraId="46FF107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r>
              <w:rPr>
                <w:rFonts w:hint="eastAsia" w:ascii="Times New Roman" w:hAnsi="Times New Roman" w:cs="Times New Roman"/>
                <w:color w:val="auto"/>
              </w:rPr>
              <w:t>/</w:t>
            </w:r>
            <w:r>
              <w:rPr>
                <w:rFonts w:hint="default" w:ascii="Times New Roman" w:hAnsi="Times New Roman" w:cs="Times New Roman"/>
                <w:color w:val="auto"/>
              </w:rPr>
              <w:t>）</w:t>
            </w:r>
          </w:p>
        </w:tc>
      </w:tr>
      <w:tr w14:paraId="654CB81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71E3E34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vMerge w:val="continue"/>
            <w:noWrap w:val="0"/>
            <w:vAlign w:val="center"/>
          </w:tcPr>
          <w:p w14:paraId="7C5D2EB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2307" w:type="dxa"/>
            <w:gridSpan w:val="3"/>
            <w:noWrap w:val="0"/>
            <w:vAlign w:val="center"/>
          </w:tcPr>
          <w:p w14:paraId="5669567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监测因子</w:t>
            </w:r>
          </w:p>
        </w:tc>
        <w:tc>
          <w:tcPr>
            <w:tcW w:w="1645" w:type="dxa"/>
            <w:gridSpan w:val="3"/>
            <w:noWrap w:val="0"/>
            <w:vAlign w:val="center"/>
          </w:tcPr>
          <w:p w14:paraId="2CBDA1B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p>
        </w:tc>
        <w:tc>
          <w:tcPr>
            <w:tcW w:w="3292" w:type="dxa"/>
            <w:gridSpan w:val="4"/>
            <w:noWrap w:val="0"/>
            <w:vAlign w:val="center"/>
          </w:tcPr>
          <w:p w14:paraId="71BB12E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w:t>
            </w:r>
            <w:r>
              <w:rPr>
                <w:rFonts w:hint="eastAsia" w:ascii="Times New Roman" w:hAnsi="Times New Roman" w:cs="Times New Roman"/>
                <w:color w:val="auto"/>
                <w:kern w:val="0"/>
              </w:rPr>
              <w:t>/</w:t>
            </w:r>
            <w:r>
              <w:rPr>
                <w:rFonts w:hint="default" w:ascii="Times New Roman" w:hAnsi="Times New Roman" w:cs="Times New Roman"/>
                <w:color w:val="auto"/>
              </w:rPr>
              <w:t>）</w:t>
            </w:r>
          </w:p>
        </w:tc>
      </w:tr>
      <w:tr w14:paraId="2F94F4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4" w:type="dxa"/>
            <w:vMerge w:val="continue"/>
            <w:noWrap w:val="0"/>
            <w:vAlign w:val="center"/>
          </w:tcPr>
          <w:p w14:paraId="7EC1086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p>
        </w:tc>
        <w:tc>
          <w:tcPr>
            <w:tcW w:w="1506" w:type="dxa"/>
            <w:noWrap w:val="0"/>
            <w:vAlign w:val="center"/>
          </w:tcPr>
          <w:p w14:paraId="6D59211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污染物排放清单</w:t>
            </w:r>
          </w:p>
        </w:tc>
        <w:tc>
          <w:tcPr>
            <w:tcW w:w="7244" w:type="dxa"/>
            <w:gridSpan w:val="10"/>
            <w:noWrap w:val="0"/>
            <w:vAlign w:val="center"/>
          </w:tcPr>
          <w:p w14:paraId="60749D4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sym w:font="Wingdings" w:char="00A8"/>
            </w:r>
          </w:p>
        </w:tc>
      </w:tr>
      <w:tr w14:paraId="4A278B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gridSpan w:val="2"/>
            <w:noWrap w:val="0"/>
            <w:vAlign w:val="center"/>
          </w:tcPr>
          <w:p w14:paraId="31066F2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评价结论</w:t>
            </w:r>
          </w:p>
        </w:tc>
        <w:tc>
          <w:tcPr>
            <w:tcW w:w="7244" w:type="dxa"/>
            <w:gridSpan w:val="10"/>
            <w:noWrap w:val="0"/>
            <w:vAlign w:val="center"/>
          </w:tcPr>
          <w:p w14:paraId="4C320F6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可以接受</w:t>
            </w:r>
            <w:r>
              <w:rPr>
                <w:rFonts w:hint="default" w:ascii="Times New Roman" w:hAnsi="Times New Roman" w:cs="Times New Roman"/>
                <w:color w:val="auto"/>
              </w:rPr>
              <w:sym w:font="Wingdings" w:char="00FE"/>
            </w:r>
            <w:r>
              <w:rPr>
                <w:rFonts w:hint="default" w:ascii="Times New Roman" w:hAnsi="Times New Roman" w:cs="Times New Roman"/>
                <w:color w:val="auto"/>
              </w:rPr>
              <w:t>；不可以接受</w:t>
            </w:r>
            <w:r>
              <w:rPr>
                <w:rFonts w:hint="default" w:ascii="Times New Roman" w:hAnsi="Times New Roman" w:cs="Times New Roman"/>
                <w:color w:val="auto"/>
              </w:rPr>
              <w:sym w:font="Wingdings" w:char="00A8"/>
            </w:r>
          </w:p>
        </w:tc>
      </w:tr>
      <w:tr w14:paraId="609CEB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124" w:type="dxa"/>
            <w:gridSpan w:val="12"/>
            <w:noWrap w:val="0"/>
            <w:vAlign w:val="center"/>
          </w:tcPr>
          <w:p w14:paraId="390D7AD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注：“</w:t>
            </w:r>
            <w:r>
              <w:rPr>
                <w:rFonts w:hint="default" w:ascii="Times New Roman" w:hAnsi="Times New Roman" w:cs="Times New Roman"/>
                <w:color w:val="auto"/>
              </w:rPr>
              <w:sym w:font="Wingdings" w:char="00A8"/>
            </w:r>
            <w:r>
              <w:rPr>
                <w:rFonts w:hint="default" w:ascii="Times New Roman" w:hAnsi="Times New Roman" w:cs="Times New Roman"/>
                <w:color w:val="auto"/>
              </w:rPr>
              <w:t>”为勾选项，可√；“（）”为内容填写项；“备注”为其他补充内容</w:t>
            </w:r>
          </w:p>
        </w:tc>
      </w:tr>
    </w:tbl>
    <w:p w14:paraId="270948BE">
      <w:pPr>
        <w:pStyle w:val="4"/>
        <w:numPr>
          <w:ilvl w:val="0"/>
          <w:numId w:val="0"/>
        </w:numPr>
        <w:rPr>
          <w:color w:val="auto"/>
        </w:rPr>
      </w:pPr>
      <w:r>
        <w:rPr>
          <w:rFonts w:hint="eastAsia"/>
          <w:color w:val="auto"/>
        </w:rPr>
        <w:t>5.2.2</w:t>
      </w:r>
      <w:r>
        <w:rPr>
          <w:color w:val="auto"/>
        </w:rPr>
        <w:t>运营期</w:t>
      </w:r>
      <w:r>
        <w:rPr>
          <w:rFonts w:hint="eastAsia"/>
          <w:color w:val="auto"/>
        </w:rPr>
        <w:t>大气</w:t>
      </w:r>
      <w:r>
        <w:rPr>
          <w:color w:val="auto"/>
        </w:rPr>
        <w:t>环境影响</w:t>
      </w:r>
      <w:r>
        <w:rPr>
          <w:rFonts w:hint="eastAsia"/>
          <w:color w:val="auto"/>
        </w:rPr>
        <w:t>分析</w:t>
      </w:r>
    </w:p>
    <w:p w14:paraId="26A5A289">
      <w:pPr>
        <w:spacing w:line="360" w:lineRule="auto"/>
        <w:ind w:firstLine="480" w:firstLineChars="200"/>
        <w:rPr>
          <w:color w:val="auto"/>
          <w:sz w:val="24"/>
          <w:highlight w:val="none"/>
        </w:rPr>
      </w:pPr>
      <w:r>
        <w:rPr>
          <w:color w:val="auto"/>
          <w:sz w:val="24"/>
          <w:highlight w:val="none"/>
        </w:rPr>
        <w:t>根据淮南市气象站近二十年（200</w:t>
      </w:r>
      <w:r>
        <w:rPr>
          <w:rFonts w:hint="eastAsia"/>
          <w:color w:val="auto"/>
          <w:sz w:val="24"/>
          <w:highlight w:val="none"/>
        </w:rPr>
        <w:t>3</w:t>
      </w:r>
      <w:r>
        <w:rPr>
          <w:color w:val="auto"/>
          <w:sz w:val="24"/>
          <w:highlight w:val="none"/>
        </w:rPr>
        <w:t>年~202</w:t>
      </w:r>
      <w:r>
        <w:rPr>
          <w:rFonts w:hint="eastAsia"/>
          <w:color w:val="auto"/>
          <w:sz w:val="24"/>
          <w:highlight w:val="none"/>
        </w:rPr>
        <w:t>2</w:t>
      </w:r>
      <w:r>
        <w:rPr>
          <w:color w:val="auto"/>
          <w:sz w:val="24"/>
          <w:highlight w:val="none"/>
        </w:rPr>
        <w:t>年）的气象资料统计，分析本地区污染气象。淮南气象台站编号为</w:t>
      </w:r>
      <w:r>
        <w:rPr>
          <w:rFonts w:hint="eastAsia"/>
          <w:color w:val="auto"/>
          <w:sz w:val="24"/>
          <w:highlight w:val="none"/>
        </w:rPr>
        <w:t>5</w:t>
      </w:r>
      <w:r>
        <w:rPr>
          <w:color w:val="auto"/>
          <w:sz w:val="24"/>
          <w:highlight w:val="none"/>
        </w:rPr>
        <w:t>8224，站点经度为E117°01′，纬度为N32°39′</w:t>
      </w:r>
      <w:r>
        <w:rPr>
          <w:rFonts w:hint="eastAsia"/>
          <w:color w:val="auto"/>
          <w:sz w:val="24"/>
          <w:highlight w:val="none"/>
          <w:lang w:eastAsia="zh-CN"/>
        </w:rPr>
        <w:t>，</w:t>
      </w:r>
      <w:r>
        <w:rPr>
          <w:color w:val="auto"/>
          <w:sz w:val="24"/>
          <w:highlight w:val="none"/>
        </w:rPr>
        <w:t>淮南气象台距</w:t>
      </w:r>
      <w:r>
        <w:rPr>
          <w:rFonts w:hint="eastAsia"/>
          <w:color w:val="auto"/>
          <w:sz w:val="24"/>
          <w:highlight w:val="none"/>
        </w:rPr>
        <w:t>本项目</w:t>
      </w:r>
      <w:r>
        <w:rPr>
          <w:rFonts w:hint="eastAsia"/>
          <w:color w:val="auto"/>
          <w:sz w:val="24"/>
          <w:highlight w:val="none"/>
          <w:lang w:val="en-US" w:eastAsia="zh-CN"/>
        </w:rPr>
        <w:t>15.7</w:t>
      </w:r>
      <w:r>
        <w:rPr>
          <w:color w:val="auto"/>
          <w:sz w:val="24"/>
          <w:highlight w:val="none"/>
        </w:rPr>
        <w:t>km，是距项目最近的国家气象站，属于基本站，拥有长期的气象观测能力和资料，距离小于50km，满足导则气象资料的使用条件。</w:t>
      </w:r>
    </w:p>
    <w:p w14:paraId="78725B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color w:val="auto"/>
        </w:rPr>
      </w:pPr>
      <w:r>
        <w:rPr>
          <w:rFonts w:hint="eastAsia" w:ascii="Times New Roman" w:hAnsi="Times New Roman" w:eastAsia="黑体" w:cs="Times New Roman"/>
          <w:bCs/>
          <w:color w:val="auto"/>
          <w:kern w:val="2"/>
          <w:sz w:val="24"/>
          <w:szCs w:val="28"/>
          <w:lang w:val="en-US" w:eastAsia="zh-CN" w:bidi="ar-SA"/>
        </w:rPr>
        <w:t>5.2.2.1气象特征</w:t>
      </w:r>
    </w:p>
    <w:p w14:paraId="230BFBE5">
      <w:pPr>
        <w:spacing w:line="360" w:lineRule="auto"/>
        <w:ind w:firstLine="480" w:firstLineChars="200"/>
        <w:rPr>
          <w:color w:val="auto"/>
          <w:sz w:val="24"/>
        </w:rPr>
      </w:pPr>
      <w:r>
        <w:rPr>
          <w:color w:val="auto"/>
          <w:sz w:val="24"/>
        </w:rPr>
        <w:t>（</w:t>
      </w:r>
      <w:r>
        <w:rPr>
          <w:rFonts w:hint="eastAsia"/>
          <w:color w:val="auto"/>
          <w:sz w:val="24"/>
        </w:rPr>
        <w:t>1</w:t>
      </w:r>
      <w:r>
        <w:rPr>
          <w:color w:val="auto"/>
          <w:sz w:val="24"/>
        </w:rPr>
        <w:t>）气候特征</w:t>
      </w:r>
    </w:p>
    <w:p w14:paraId="3DC490BE">
      <w:pPr>
        <w:spacing w:line="360" w:lineRule="auto"/>
        <w:ind w:firstLine="480" w:firstLineChars="200"/>
        <w:rPr>
          <w:color w:val="auto"/>
          <w:sz w:val="24"/>
        </w:rPr>
      </w:pPr>
      <w:r>
        <w:rPr>
          <w:color w:val="auto"/>
          <w:sz w:val="24"/>
        </w:rPr>
        <w:t>淮南市属暖温带半湿润季风气候区，四季分明，春暖秋爽，夏炎冬寒，具有明显的大陆气候。平均风速1.7m/s，最大风速为23.52m/s；年平均降雨量1028.58mm，年最大降水量1567.5mm，年最小降水量471.0mm；一月份最低气温-10.4℃，七月份最高气温40.6℃，年平均气温为16.7℃；历年平均蒸发量1600.3mm，最大年蒸发量2008.1mm，平均相对湿度69.62%；年均日照时数1902.51h，日照率43.4%，无霜期216天。</w:t>
      </w:r>
    </w:p>
    <w:p w14:paraId="23688359">
      <w:pPr>
        <w:spacing w:line="360" w:lineRule="auto"/>
        <w:ind w:firstLine="480" w:firstLineChars="200"/>
        <w:rPr>
          <w:color w:val="auto"/>
          <w:sz w:val="24"/>
        </w:rPr>
      </w:pPr>
      <w:r>
        <w:rPr>
          <w:color w:val="auto"/>
          <w:sz w:val="24"/>
        </w:rPr>
        <w:t>（</w:t>
      </w:r>
      <w:r>
        <w:rPr>
          <w:rFonts w:hint="eastAsia"/>
          <w:color w:val="auto"/>
          <w:sz w:val="24"/>
        </w:rPr>
        <w:t>2</w:t>
      </w:r>
      <w:r>
        <w:rPr>
          <w:color w:val="auto"/>
          <w:sz w:val="24"/>
        </w:rPr>
        <w:t>）温度</w:t>
      </w:r>
    </w:p>
    <w:p w14:paraId="0849511C">
      <w:pPr>
        <w:spacing w:line="360" w:lineRule="auto"/>
        <w:ind w:firstLine="480" w:firstLineChars="200"/>
        <w:rPr>
          <w:color w:val="auto"/>
          <w:sz w:val="24"/>
        </w:rPr>
      </w:pPr>
      <w:r>
        <w:rPr>
          <w:color w:val="auto"/>
          <w:sz w:val="24"/>
        </w:rPr>
        <w:t>淮南市</w:t>
      </w:r>
      <w:r>
        <w:rPr>
          <w:rFonts w:hint="eastAsia"/>
          <w:color w:val="auto"/>
          <w:sz w:val="24"/>
        </w:rPr>
        <w:t>2003~2022年</w:t>
      </w:r>
      <w:r>
        <w:rPr>
          <w:color w:val="auto"/>
          <w:sz w:val="24"/>
        </w:rPr>
        <w:t>平均温度的月变化情况见表5.2-</w:t>
      </w:r>
      <w:r>
        <w:rPr>
          <w:rFonts w:hint="eastAsia"/>
          <w:color w:val="auto"/>
          <w:sz w:val="24"/>
        </w:rPr>
        <w:t>3</w:t>
      </w:r>
      <w:r>
        <w:rPr>
          <w:color w:val="auto"/>
          <w:sz w:val="24"/>
        </w:rPr>
        <w:t>和图5.2-1。</w:t>
      </w:r>
    </w:p>
    <w:p w14:paraId="0729E2E0">
      <w:pPr>
        <w:spacing w:line="400" w:lineRule="exact"/>
        <w:jc w:val="center"/>
        <w:rPr>
          <w:rFonts w:hint="eastAsia" w:eastAsia="黑体"/>
          <w:color w:val="auto"/>
          <w:sz w:val="24"/>
        </w:rPr>
      </w:pPr>
      <w:r>
        <w:rPr>
          <w:rFonts w:eastAsia="黑体"/>
          <w:color w:val="auto"/>
          <w:sz w:val="24"/>
        </w:rPr>
        <w:t>表5.2-</w:t>
      </w:r>
      <w:r>
        <w:rPr>
          <w:rFonts w:hint="eastAsia" w:eastAsia="黑体"/>
          <w:color w:val="auto"/>
          <w:sz w:val="24"/>
        </w:rPr>
        <w:t>3</w:t>
      </w:r>
      <w:r>
        <w:rPr>
          <w:rFonts w:eastAsia="黑体"/>
          <w:color w:val="auto"/>
          <w:sz w:val="24"/>
        </w:rPr>
        <w:t xml:space="preserve">  淮南市年平均温度的月变化统计表</w:t>
      </w:r>
      <w:r>
        <w:rPr>
          <w:rFonts w:hint="eastAsia" w:eastAsia="黑体"/>
          <w:color w:val="auto"/>
          <w:sz w:val="24"/>
        </w:rPr>
        <w:t xml:space="preserve"> </w:t>
      </w:r>
      <w:r>
        <w:rPr>
          <w:rFonts w:eastAsia="黑体"/>
          <w:color w:val="auto"/>
          <w:sz w:val="24"/>
        </w:rPr>
        <w:t xml:space="preserve"> 单位：</w:t>
      </w:r>
      <w:r>
        <w:rPr>
          <w:color w:val="auto"/>
          <w:sz w:val="24"/>
        </w:rPr>
        <w:t>℃</w:t>
      </w:r>
    </w:p>
    <w:tbl>
      <w:tblPr>
        <w:tblStyle w:val="53"/>
        <w:tblW w:w="5000" w:type="pct"/>
        <w:jc w:val="center"/>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663"/>
        <w:gridCol w:w="663"/>
        <w:gridCol w:w="663"/>
        <w:gridCol w:w="663"/>
        <w:gridCol w:w="663"/>
        <w:gridCol w:w="663"/>
        <w:gridCol w:w="663"/>
        <w:gridCol w:w="663"/>
        <w:gridCol w:w="663"/>
        <w:gridCol w:w="663"/>
        <w:gridCol w:w="663"/>
        <w:gridCol w:w="663"/>
        <w:gridCol w:w="663"/>
        <w:gridCol w:w="667"/>
      </w:tblGrid>
      <w:tr w14:paraId="003B9DA3">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1" w:hRule="atLeast"/>
          <w:jc w:val="center"/>
        </w:trPr>
        <w:tc>
          <w:tcPr>
            <w:tcW w:w="663" w:type="dxa"/>
            <w:noWrap w:val="0"/>
            <w:vAlign w:val="center"/>
          </w:tcPr>
          <w:p w14:paraId="66ABD18B">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月份</w:t>
            </w:r>
          </w:p>
        </w:tc>
        <w:tc>
          <w:tcPr>
            <w:tcW w:w="663" w:type="dxa"/>
            <w:noWrap w:val="0"/>
            <w:vAlign w:val="center"/>
          </w:tcPr>
          <w:p w14:paraId="38A9BB78">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1月</w:t>
            </w:r>
          </w:p>
        </w:tc>
        <w:tc>
          <w:tcPr>
            <w:tcW w:w="663" w:type="dxa"/>
            <w:noWrap w:val="0"/>
            <w:vAlign w:val="center"/>
          </w:tcPr>
          <w:p w14:paraId="36995538">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2月</w:t>
            </w:r>
          </w:p>
        </w:tc>
        <w:tc>
          <w:tcPr>
            <w:tcW w:w="663" w:type="dxa"/>
            <w:noWrap w:val="0"/>
            <w:vAlign w:val="center"/>
          </w:tcPr>
          <w:p w14:paraId="54B163C5">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3月</w:t>
            </w:r>
          </w:p>
        </w:tc>
        <w:tc>
          <w:tcPr>
            <w:tcW w:w="663" w:type="dxa"/>
            <w:noWrap w:val="0"/>
            <w:vAlign w:val="center"/>
          </w:tcPr>
          <w:p w14:paraId="001155B3">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4月</w:t>
            </w:r>
          </w:p>
        </w:tc>
        <w:tc>
          <w:tcPr>
            <w:tcW w:w="663" w:type="dxa"/>
            <w:noWrap w:val="0"/>
            <w:vAlign w:val="center"/>
          </w:tcPr>
          <w:p w14:paraId="60A2F442">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5月</w:t>
            </w:r>
          </w:p>
        </w:tc>
        <w:tc>
          <w:tcPr>
            <w:tcW w:w="663" w:type="dxa"/>
            <w:noWrap w:val="0"/>
            <w:vAlign w:val="center"/>
          </w:tcPr>
          <w:p w14:paraId="3BFECA83">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6月</w:t>
            </w:r>
          </w:p>
        </w:tc>
        <w:tc>
          <w:tcPr>
            <w:tcW w:w="663" w:type="dxa"/>
            <w:noWrap w:val="0"/>
            <w:vAlign w:val="center"/>
          </w:tcPr>
          <w:p w14:paraId="3CABFCC3">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7月</w:t>
            </w:r>
          </w:p>
        </w:tc>
        <w:tc>
          <w:tcPr>
            <w:tcW w:w="663" w:type="dxa"/>
            <w:noWrap w:val="0"/>
            <w:vAlign w:val="center"/>
          </w:tcPr>
          <w:p w14:paraId="0C1D977C">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8月</w:t>
            </w:r>
          </w:p>
        </w:tc>
        <w:tc>
          <w:tcPr>
            <w:tcW w:w="663" w:type="dxa"/>
            <w:noWrap w:val="0"/>
            <w:vAlign w:val="center"/>
          </w:tcPr>
          <w:p w14:paraId="4D178A93">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9月</w:t>
            </w:r>
          </w:p>
        </w:tc>
        <w:tc>
          <w:tcPr>
            <w:tcW w:w="663" w:type="dxa"/>
            <w:noWrap w:val="0"/>
            <w:vAlign w:val="center"/>
          </w:tcPr>
          <w:p w14:paraId="6046EA09">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10月</w:t>
            </w:r>
          </w:p>
        </w:tc>
        <w:tc>
          <w:tcPr>
            <w:tcW w:w="663" w:type="dxa"/>
            <w:noWrap w:val="0"/>
            <w:vAlign w:val="center"/>
          </w:tcPr>
          <w:p w14:paraId="66C12C27">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11月</w:t>
            </w:r>
          </w:p>
        </w:tc>
        <w:tc>
          <w:tcPr>
            <w:tcW w:w="663" w:type="dxa"/>
            <w:noWrap w:val="0"/>
            <w:vAlign w:val="center"/>
          </w:tcPr>
          <w:p w14:paraId="31E3BE00">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12月</w:t>
            </w:r>
          </w:p>
        </w:tc>
        <w:tc>
          <w:tcPr>
            <w:tcW w:w="667" w:type="dxa"/>
            <w:noWrap w:val="0"/>
            <w:vAlign w:val="center"/>
          </w:tcPr>
          <w:p w14:paraId="19366059">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年</w:t>
            </w:r>
            <w:r>
              <w:rPr>
                <w:rFonts w:hint="eastAsia" w:ascii="Times New Roman" w:hAnsi="Times New Roman" w:cs="Times New Roman"/>
                <w:b/>
                <w:color w:val="auto"/>
                <w:sz w:val="18"/>
                <w:szCs w:val="18"/>
              </w:rPr>
              <w:t>平均</w:t>
            </w:r>
          </w:p>
        </w:tc>
      </w:tr>
      <w:tr w14:paraId="1E9D38E7">
        <w:tblPrEx>
          <w:tblBorders>
            <w:top w:val="single" w:color="auto" w:sz="12" w:space="0"/>
            <w:left w:val="none" w:color="auto" w:sz="0" w:space="0"/>
            <w:bottom w:val="single" w:color="auto"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663" w:type="dxa"/>
            <w:noWrap w:val="0"/>
            <w:vAlign w:val="center"/>
          </w:tcPr>
          <w:p w14:paraId="55419DC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温度</w:t>
            </w:r>
          </w:p>
        </w:tc>
        <w:tc>
          <w:tcPr>
            <w:tcW w:w="663" w:type="dxa"/>
            <w:noWrap w:val="0"/>
            <w:vAlign w:val="center"/>
          </w:tcPr>
          <w:p w14:paraId="37E8B84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3.16</w:t>
            </w:r>
          </w:p>
        </w:tc>
        <w:tc>
          <w:tcPr>
            <w:tcW w:w="663" w:type="dxa"/>
            <w:noWrap w:val="0"/>
            <w:vAlign w:val="center"/>
          </w:tcPr>
          <w:p w14:paraId="5AE7EA9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5.94</w:t>
            </w:r>
          </w:p>
        </w:tc>
        <w:tc>
          <w:tcPr>
            <w:tcW w:w="663" w:type="dxa"/>
            <w:noWrap w:val="0"/>
            <w:vAlign w:val="center"/>
          </w:tcPr>
          <w:p w14:paraId="2E10905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11.16</w:t>
            </w:r>
          </w:p>
        </w:tc>
        <w:tc>
          <w:tcPr>
            <w:tcW w:w="663" w:type="dxa"/>
            <w:noWrap w:val="0"/>
            <w:vAlign w:val="center"/>
          </w:tcPr>
          <w:p w14:paraId="41F340A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17.01</w:t>
            </w:r>
          </w:p>
        </w:tc>
        <w:tc>
          <w:tcPr>
            <w:tcW w:w="663" w:type="dxa"/>
            <w:noWrap w:val="0"/>
            <w:vAlign w:val="center"/>
          </w:tcPr>
          <w:p w14:paraId="362BBEF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22.32</w:t>
            </w:r>
          </w:p>
        </w:tc>
        <w:tc>
          <w:tcPr>
            <w:tcW w:w="663" w:type="dxa"/>
            <w:noWrap w:val="0"/>
            <w:vAlign w:val="center"/>
          </w:tcPr>
          <w:p w14:paraId="3C4A66D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26.2</w:t>
            </w:r>
          </w:p>
        </w:tc>
        <w:tc>
          <w:tcPr>
            <w:tcW w:w="663" w:type="dxa"/>
            <w:noWrap w:val="0"/>
            <w:vAlign w:val="center"/>
          </w:tcPr>
          <w:p w14:paraId="7517B4B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28.38</w:t>
            </w:r>
          </w:p>
        </w:tc>
        <w:tc>
          <w:tcPr>
            <w:tcW w:w="663" w:type="dxa"/>
            <w:noWrap w:val="0"/>
            <w:vAlign w:val="center"/>
          </w:tcPr>
          <w:p w14:paraId="18314B7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27.76</w:t>
            </w:r>
          </w:p>
        </w:tc>
        <w:tc>
          <w:tcPr>
            <w:tcW w:w="663" w:type="dxa"/>
            <w:noWrap w:val="0"/>
            <w:vAlign w:val="center"/>
          </w:tcPr>
          <w:p w14:paraId="06064B0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23.51</w:t>
            </w:r>
          </w:p>
        </w:tc>
        <w:tc>
          <w:tcPr>
            <w:tcW w:w="663" w:type="dxa"/>
            <w:noWrap w:val="0"/>
            <w:vAlign w:val="center"/>
          </w:tcPr>
          <w:p w14:paraId="73756E4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18.24</w:t>
            </w:r>
          </w:p>
        </w:tc>
        <w:tc>
          <w:tcPr>
            <w:tcW w:w="663" w:type="dxa"/>
            <w:noWrap w:val="0"/>
            <w:vAlign w:val="center"/>
          </w:tcPr>
          <w:p w14:paraId="2EAF303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11.66</w:t>
            </w:r>
          </w:p>
        </w:tc>
        <w:tc>
          <w:tcPr>
            <w:tcW w:w="663" w:type="dxa"/>
            <w:noWrap w:val="0"/>
            <w:vAlign w:val="center"/>
          </w:tcPr>
          <w:p w14:paraId="13A12E6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5.09</w:t>
            </w:r>
          </w:p>
        </w:tc>
        <w:tc>
          <w:tcPr>
            <w:tcW w:w="667" w:type="dxa"/>
            <w:noWrap w:val="0"/>
            <w:vAlign w:val="center"/>
          </w:tcPr>
          <w:p w14:paraId="258588E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16</w:t>
            </w:r>
            <w:r>
              <w:rPr>
                <w:rFonts w:hint="default" w:ascii="Times New Roman" w:hAnsi="Times New Roman" w:cs="Times New Roman"/>
                <w:color w:val="auto"/>
                <w:sz w:val="18"/>
                <w:szCs w:val="18"/>
              </w:rPr>
              <w:t>.7</w:t>
            </w:r>
          </w:p>
        </w:tc>
      </w:tr>
    </w:tbl>
    <w:p w14:paraId="66817606">
      <w:pPr>
        <w:jc w:val="center"/>
        <w:rPr>
          <w:color w:val="auto"/>
        </w:rPr>
      </w:pPr>
      <w:r>
        <w:rPr>
          <w:color w:val="auto"/>
        </w:rPr>
        <w:drawing>
          <wp:inline distT="0" distB="0" distL="114300" distR="114300">
            <wp:extent cx="4572000" cy="2324100"/>
            <wp:effectExtent l="4445" t="4445" r="14605" b="14605"/>
            <wp:docPr id="19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14:paraId="2A4E78C4">
      <w:pPr>
        <w:spacing w:line="400" w:lineRule="exact"/>
        <w:jc w:val="center"/>
        <w:rPr>
          <w:rFonts w:eastAsia="黑体"/>
          <w:color w:val="auto"/>
          <w:sz w:val="24"/>
        </w:rPr>
      </w:pPr>
      <w:r>
        <w:rPr>
          <w:rFonts w:eastAsia="黑体"/>
          <w:color w:val="auto"/>
          <w:sz w:val="24"/>
        </w:rPr>
        <w:t>图5.2-1  淮南市温度变化图</w:t>
      </w:r>
    </w:p>
    <w:p w14:paraId="1F4FA86D">
      <w:pPr>
        <w:spacing w:line="360" w:lineRule="auto"/>
        <w:ind w:firstLine="480" w:firstLineChars="200"/>
        <w:rPr>
          <w:color w:val="auto"/>
          <w:sz w:val="24"/>
        </w:rPr>
      </w:pPr>
      <w:r>
        <w:rPr>
          <w:color w:val="auto"/>
          <w:sz w:val="24"/>
        </w:rPr>
        <w:t>从表5.2-</w:t>
      </w:r>
      <w:r>
        <w:rPr>
          <w:rFonts w:hint="eastAsia"/>
          <w:color w:val="auto"/>
          <w:sz w:val="24"/>
        </w:rPr>
        <w:t>4</w:t>
      </w:r>
      <w:r>
        <w:rPr>
          <w:color w:val="auto"/>
          <w:sz w:val="24"/>
        </w:rPr>
        <w:t>和图5.2-1可知，全年平均气温为1</w:t>
      </w:r>
      <w:r>
        <w:rPr>
          <w:rFonts w:hint="eastAsia"/>
          <w:color w:val="auto"/>
          <w:sz w:val="24"/>
        </w:rPr>
        <w:t>6</w:t>
      </w:r>
      <w:r>
        <w:rPr>
          <w:color w:val="auto"/>
          <w:sz w:val="24"/>
        </w:rPr>
        <w:t>.7℃，其中夏季气温明显高于其余季节，其中以7月温度最高，平均为28.38℃，1月温度最低，平均为</w:t>
      </w:r>
      <w:r>
        <w:rPr>
          <w:rFonts w:hint="eastAsia"/>
          <w:color w:val="auto"/>
          <w:sz w:val="24"/>
        </w:rPr>
        <w:t>3.16</w:t>
      </w:r>
      <w:r>
        <w:rPr>
          <w:color w:val="auto"/>
          <w:sz w:val="24"/>
        </w:rPr>
        <w:t>℃。</w:t>
      </w:r>
    </w:p>
    <w:p w14:paraId="4141F44B">
      <w:pPr>
        <w:spacing w:line="360" w:lineRule="auto"/>
        <w:ind w:left="480"/>
        <w:rPr>
          <w:rFonts w:hint="eastAsia"/>
          <w:color w:val="auto"/>
          <w:sz w:val="24"/>
        </w:rPr>
      </w:pPr>
      <w:r>
        <w:rPr>
          <w:color w:val="auto"/>
          <w:sz w:val="24"/>
        </w:rPr>
        <w:t>（</w:t>
      </w:r>
      <w:r>
        <w:rPr>
          <w:rFonts w:hint="eastAsia"/>
          <w:color w:val="auto"/>
          <w:sz w:val="24"/>
        </w:rPr>
        <w:t>3</w:t>
      </w:r>
      <w:r>
        <w:rPr>
          <w:color w:val="auto"/>
          <w:sz w:val="24"/>
        </w:rPr>
        <w:t>）</w:t>
      </w:r>
      <w:r>
        <w:rPr>
          <w:rFonts w:hint="eastAsia"/>
          <w:color w:val="auto"/>
          <w:sz w:val="24"/>
        </w:rPr>
        <w:t>风速</w:t>
      </w:r>
    </w:p>
    <w:p w14:paraId="650E45CC">
      <w:pPr>
        <w:spacing w:line="360" w:lineRule="auto"/>
        <w:ind w:firstLine="480" w:firstLineChars="200"/>
        <w:rPr>
          <w:color w:val="auto"/>
          <w:sz w:val="24"/>
        </w:rPr>
      </w:pPr>
      <w:r>
        <w:rPr>
          <w:color w:val="auto"/>
          <w:sz w:val="24"/>
        </w:rPr>
        <w:t>淮南市</w:t>
      </w:r>
      <w:r>
        <w:rPr>
          <w:rFonts w:hint="eastAsia"/>
          <w:color w:val="auto"/>
          <w:sz w:val="24"/>
        </w:rPr>
        <w:t>2003~2022年</w:t>
      </w:r>
      <w:r>
        <w:rPr>
          <w:color w:val="auto"/>
          <w:sz w:val="24"/>
        </w:rPr>
        <w:t>平均风速的月份变化统计见表5.2-</w:t>
      </w:r>
      <w:r>
        <w:rPr>
          <w:rFonts w:hint="eastAsia"/>
          <w:color w:val="auto"/>
          <w:sz w:val="24"/>
        </w:rPr>
        <w:t>4</w:t>
      </w:r>
      <w:r>
        <w:rPr>
          <w:color w:val="auto"/>
          <w:sz w:val="24"/>
        </w:rPr>
        <w:t>和图5.2-</w:t>
      </w:r>
      <w:r>
        <w:rPr>
          <w:rFonts w:hint="eastAsia"/>
          <w:color w:val="auto"/>
          <w:sz w:val="24"/>
        </w:rPr>
        <w:t>2</w:t>
      </w:r>
      <w:r>
        <w:rPr>
          <w:color w:val="auto"/>
          <w:sz w:val="24"/>
        </w:rPr>
        <w:t>。</w:t>
      </w:r>
    </w:p>
    <w:p w14:paraId="3C570F7B">
      <w:pPr>
        <w:spacing w:line="400" w:lineRule="exact"/>
        <w:jc w:val="center"/>
        <w:rPr>
          <w:rFonts w:hint="eastAsia" w:eastAsia="黑体"/>
          <w:color w:val="auto"/>
          <w:sz w:val="24"/>
        </w:rPr>
      </w:pPr>
      <w:r>
        <w:rPr>
          <w:rFonts w:eastAsia="黑体"/>
          <w:color w:val="auto"/>
          <w:sz w:val="24"/>
        </w:rPr>
        <w:t>表5.2-</w:t>
      </w:r>
      <w:r>
        <w:rPr>
          <w:rFonts w:hint="eastAsia" w:eastAsia="黑体"/>
          <w:color w:val="auto"/>
          <w:sz w:val="24"/>
        </w:rPr>
        <w:t>4</w:t>
      </w:r>
      <w:r>
        <w:rPr>
          <w:rFonts w:eastAsia="黑体"/>
          <w:color w:val="auto"/>
          <w:sz w:val="24"/>
        </w:rPr>
        <w:t xml:space="preserve">  </w:t>
      </w:r>
      <w:r>
        <w:rPr>
          <w:rFonts w:hint="eastAsia" w:eastAsia="黑体"/>
          <w:color w:val="auto"/>
          <w:sz w:val="24"/>
        </w:rPr>
        <w:t>淮南市2003~2022</w:t>
      </w:r>
      <w:r>
        <w:rPr>
          <w:rFonts w:eastAsia="黑体"/>
          <w:color w:val="auto"/>
          <w:sz w:val="24"/>
        </w:rPr>
        <w:t>年平均风速的变化</w:t>
      </w:r>
      <w:r>
        <w:rPr>
          <w:rFonts w:hint="eastAsia" w:eastAsia="黑体"/>
          <w:color w:val="auto"/>
          <w:sz w:val="24"/>
        </w:rPr>
        <w:t xml:space="preserve"> </w:t>
      </w:r>
      <w:r>
        <w:rPr>
          <w:rFonts w:eastAsia="黑体"/>
          <w:color w:val="auto"/>
          <w:sz w:val="24"/>
        </w:rPr>
        <w:t xml:space="preserve"> 单位：m/s</w:t>
      </w:r>
    </w:p>
    <w:tbl>
      <w:tblPr>
        <w:tblStyle w:val="53"/>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663"/>
        <w:gridCol w:w="663"/>
        <w:gridCol w:w="663"/>
        <w:gridCol w:w="663"/>
        <w:gridCol w:w="663"/>
        <w:gridCol w:w="663"/>
        <w:gridCol w:w="663"/>
        <w:gridCol w:w="663"/>
        <w:gridCol w:w="663"/>
        <w:gridCol w:w="663"/>
        <w:gridCol w:w="663"/>
        <w:gridCol w:w="663"/>
        <w:gridCol w:w="663"/>
        <w:gridCol w:w="667"/>
      </w:tblGrid>
      <w:tr w14:paraId="74C1B0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8" w:hRule="atLeast"/>
          <w:jc w:val="center"/>
        </w:trPr>
        <w:tc>
          <w:tcPr>
            <w:tcW w:w="663" w:type="dxa"/>
            <w:noWrap w:val="0"/>
            <w:vAlign w:val="center"/>
          </w:tcPr>
          <w:p w14:paraId="16A4D0AF">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月份</w:t>
            </w:r>
          </w:p>
        </w:tc>
        <w:tc>
          <w:tcPr>
            <w:tcW w:w="663" w:type="dxa"/>
            <w:noWrap w:val="0"/>
            <w:vAlign w:val="center"/>
          </w:tcPr>
          <w:p w14:paraId="2A3B9368">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1月</w:t>
            </w:r>
          </w:p>
        </w:tc>
        <w:tc>
          <w:tcPr>
            <w:tcW w:w="663" w:type="dxa"/>
            <w:noWrap w:val="0"/>
            <w:vAlign w:val="center"/>
          </w:tcPr>
          <w:p w14:paraId="3181F648">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2月</w:t>
            </w:r>
          </w:p>
        </w:tc>
        <w:tc>
          <w:tcPr>
            <w:tcW w:w="663" w:type="dxa"/>
            <w:noWrap w:val="0"/>
            <w:vAlign w:val="center"/>
          </w:tcPr>
          <w:p w14:paraId="165E057F">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3月</w:t>
            </w:r>
          </w:p>
        </w:tc>
        <w:tc>
          <w:tcPr>
            <w:tcW w:w="663" w:type="dxa"/>
            <w:noWrap w:val="0"/>
            <w:vAlign w:val="center"/>
          </w:tcPr>
          <w:p w14:paraId="2917BD8E">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4月</w:t>
            </w:r>
          </w:p>
        </w:tc>
        <w:tc>
          <w:tcPr>
            <w:tcW w:w="663" w:type="dxa"/>
            <w:noWrap w:val="0"/>
            <w:vAlign w:val="center"/>
          </w:tcPr>
          <w:p w14:paraId="170D07ED">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5月</w:t>
            </w:r>
          </w:p>
        </w:tc>
        <w:tc>
          <w:tcPr>
            <w:tcW w:w="663" w:type="dxa"/>
            <w:noWrap w:val="0"/>
            <w:vAlign w:val="center"/>
          </w:tcPr>
          <w:p w14:paraId="2F6C8801">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6月</w:t>
            </w:r>
          </w:p>
        </w:tc>
        <w:tc>
          <w:tcPr>
            <w:tcW w:w="663" w:type="dxa"/>
            <w:noWrap w:val="0"/>
            <w:vAlign w:val="center"/>
          </w:tcPr>
          <w:p w14:paraId="27A54865">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7月</w:t>
            </w:r>
          </w:p>
        </w:tc>
        <w:tc>
          <w:tcPr>
            <w:tcW w:w="663" w:type="dxa"/>
            <w:noWrap w:val="0"/>
            <w:vAlign w:val="center"/>
          </w:tcPr>
          <w:p w14:paraId="47A1EC96">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8月</w:t>
            </w:r>
          </w:p>
        </w:tc>
        <w:tc>
          <w:tcPr>
            <w:tcW w:w="663" w:type="dxa"/>
            <w:noWrap w:val="0"/>
            <w:vAlign w:val="center"/>
          </w:tcPr>
          <w:p w14:paraId="2436A052">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9月</w:t>
            </w:r>
          </w:p>
        </w:tc>
        <w:tc>
          <w:tcPr>
            <w:tcW w:w="663" w:type="dxa"/>
            <w:noWrap w:val="0"/>
            <w:vAlign w:val="center"/>
          </w:tcPr>
          <w:p w14:paraId="0C2E5026">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10月</w:t>
            </w:r>
          </w:p>
        </w:tc>
        <w:tc>
          <w:tcPr>
            <w:tcW w:w="663" w:type="dxa"/>
            <w:noWrap w:val="0"/>
            <w:vAlign w:val="center"/>
          </w:tcPr>
          <w:p w14:paraId="0BDC9A97">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11月</w:t>
            </w:r>
          </w:p>
        </w:tc>
        <w:tc>
          <w:tcPr>
            <w:tcW w:w="663" w:type="dxa"/>
            <w:noWrap w:val="0"/>
            <w:vAlign w:val="center"/>
          </w:tcPr>
          <w:p w14:paraId="344066D6">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18"/>
                <w:szCs w:val="18"/>
              </w:rPr>
            </w:pPr>
            <w:r>
              <w:rPr>
                <w:rFonts w:hint="default" w:ascii="Times New Roman" w:hAnsi="Times New Roman" w:cs="Times New Roman"/>
                <w:b/>
                <w:color w:val="auto"/>
                <w:sz w:val="18"/>
                <w:szCs w:val="18"/>
              </w:rPr>
              <w:t>12月</w:t>
            </w:r>
          </w:p>
        </w:tc>
        <w:tc>
          <w:tcPr>
            <w:tcW w:w="667" w:type="dxa"/>
            <w:noWrap w:val="0"/>
            <w:vAlign w:val="center"/>
          </w:tcPr>
          <w:p w14:paraId="3B0E4BF1">
            <w:pPr>
              <w:keepNext w:val="0"/>
              <w:keepLines w:val="0"/>
              <w:suppressLineNumbers w:val="0"/>
              <w:spacing w:before="0" w:beforeAutospacing="0" w:after="0" w:afterAutospacing="0"/>
              <w:ind w:left="0" w:right="0"/>
              <w:jc w:val="center"/>
              <w:rPr>
                <w:rFonts w:hint="eastAsia" w:ascii="Times New Roman" w:hAnsi="Times New Roman" w:cs="Times New Roman"/>
                <w:b/>
                <w:color w:val="auto"/>
                <w:sz w:val="18"/>
                <w:szCs w:val="18"/>
              </w:rPr>
            </w:pPr>
            <w:r>
              <w:rPr>
                <w:rFonts w:hint="default" w:ascii="Times New Roman" w:hAnsi="Times New Roman" w:cs="Times New Roman"/>
                <w:b/>
                <w:color w:val="auto"/>
                <w:sz w:val="18"/>
                <w:szCs w:val="18"/>
              </w:rPr>
              <w:t>年</w:t>
            </w:r>
            <w:r>
              <w:rPr>
                <w:rFonts w:hint="eastAsia" w:ascii="Times New Roman" w:hAnsi="Times New Roman" w:cs="Times New Roman"/>
                <w:b/>
                <w:color w:val="auto"/>
                <w:sz w:val="18"/>
                <w:szCs w:val="18"/>
              </w:rPr>
              <w:t>平均</w:t>
            </w:r>
          </w:p>
        </w:tc>
      </w:tr>
      <w:tr w14:paraId="0B4898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8" w:hRule="atLeast"/>
          <w:jc w:val="center"/>
        </w:trPr>
        <w:tc>
          <w:tcPr>
            <w:tcW w:w="663" w:type="dxa"/>
            <w:noWrap w:val="0"/>
            <w:vAlign w:val="center"/>
          </w:tcPr>
          <w:p w14:paraId="56AEBF8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风速</w:t>
            </w:r>
          </w:p>
        </w:tc>
        <w:tc>
          <w:tcPr>
            <w:tcW w:w="663" w:type="dxa"/>
            <w:noWrap w:val="0"/>
            <w:vAlign w:val="center"/>
          </w:tcPr>
          <w:p w14:paraId="62BF317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1.55</w:t>
            </w:r>
          </w:p>
        </w:tc>
        <w:tc>
          <w:tcPr>
            <w:tcW w:w="663" w:type="dxa"/>
            <w:noWrap w:val="0"/>
            <w:vAlign w:val="center"/>
          </w:tcPr>
          <w:p w14:paraId="5E84484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1.72</w:t>
            </w:r>
          </w:p>
        </w:tc>
        <w:tc>
          <w:tcPr>
            <w:tcW w:w="663" w:type="dxa"/>
            <w:noWrap w:val="0"/>
            <w:vAlign w:val="center"/>
          </w:tcPr>
          <w:p w14:paraId="7E7FBD4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1.94</w:t>
            </w:r>
          </w:p>
        </w:tc>
        <w:tc>
          <w:tcPr>
            <w:tcW w:w="663" w:type="dxa"/>
            <w:noWrap w:val="0"/>
            <w:vAlign w:val="center"/>
          </w:tcPr>
          <w:p w14:paraId="5DF3641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1.94</w:t>
            </w:r>
          </w:p>
        </w:tc>
        <w:tc>
          <w:tcPr>
            <w:tcW w:w="663" w:type="dxa"/>
            <w:noWrap w:val="0"/>
            <w:vAlign w:val="center"/>
          </w:tcPr>
          <w:p w14:paraId="1B7DA90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1.9</w:t>
            </w:r>
          </w:p>
        </w:tc>
        <w:tc>
          <w:tcPr>
            <w:tcW w:w="663" w:type="dxa"/>
            <w:noWrap w:val="0"/>
            <w:vAlign w:val="center"/>
          </w:tcPr>
          <w:p w14:paraId="47B4B28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1.82</w:t>
            </w:r>
          </w:p>
        </w:tc>
        <w:tc>
          <w:tcPr>
            <w:tcW w:w="663" w:type="dxa"/>
            <w:noWrap w:val="0"/>
            <w:vAlign w:val="center"/>
          </w:tcPr>
          <w:p w14:paraId="1EE84A2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1.73</w:t>
            </w:r>
          </w:p>
        </w:tc>
        <w:tc>
          <w:tcPr>
            <w:tcW w:w="663" w:type="dxa"/>
            <w:noWrap w:val="0"/>
            <w:vAlign w:val="center"/>
          </w:tcPr>
          <w:p w14:paraId="0878D22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1.69</w:t>
            </w:r>
          </w:p>
        </w:tc>
        <w:tc>
          <w:tcPr>
            <w:tcW w:w="663" w:type="dxa"/>
            <w:noWrap w:val="0"/>
            <w:vAlign w:val="center"/>
          </w:tcPr>
          <w:p w14:paraId="18BD122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1.55</w:t>
            </w:r>
          </w:p>
        </w:tc>
        <w:tc>
          <w:tcPr>
            <w:tcW w:w="663" w:type="dxa"/>
            <w:noWrap w:val="0"/>
            <w:vAlign w:val="center"/>
          </w:tcPr>
          <w:p w14:paraId="09DECFA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1.47</w:t>
            </w:r>
          </w:p>
        </w:tc>
        <w:tc>
          <w:tcPr>
            <w:tcW w:w="663" w:type="dxa"/>
            <w:noWrap w:val="0"/>
            <w:vAlign w:val="center"/>
          </w:tcPr>
          <w:p w14:paraId="0AA9DFC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1.51</w:t>
            </w:r>
          </w:p>
        </w:tc>
        <w:tc>
          <w:tcPr>
            <w:tcW w:w="663" w:type="dxa"/>
            <w:noWrap w:val="0"/>
            <w:vAlign w:val="center"/>
          </w:tcPr>
          <w:p w14:paraId="62CF7B5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1.48</w:t>
            </w:r>
          </w:p>
        </w:tc>
        <w:tc>
          <w:tcPr>
            <w:tcW w:w="667" w:type="dxa"/>
            <w:noWrap w:val="0"/>
            <w:vAlign w:val="center"/>
          </w:tcPr>
          <w:p w14:paraId="7161586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eastAsia" w:ascii="Times New Roman" w:hAnsi="Times New Roman" w:cs="Times New Roman"/>
                <w:color w:val="auto"/>
                <w:sz w:val="18"/>
                <w:szCs w:val="18"/>
              </w:rPr>
              <w:t>1.7</w:t>
            </w:r>
          </w:p>
        </w:tc>
      </w:tr>
    </w:tbl>
    <w:p w14:paraId="4373A568">
      <w:pPr>
        <w:jc w:val="center"/>
        <w:rPr>
          <w:color w:val="auto"/>
        </w:rPr>
      </w:pPr>
      <w:r>
        <w:rPr>
          <w:color w:val="auto"/>
        </w:rPr>
        <w:drawing>
          <wp:inline distT="0" distB="0" distL="114300" distR="114300">
            <wp:extent cx="4572000" cy="2743200"/>
            <wp:effectExtent l="4445" t="4445" r="14605" b="14605"/>
            <wp:docPr id="193" name="图片 15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14:paraId="6D690460">
      <w:pPr>
        <w:spacing w:line="400" w:lineRule="exact"/>
        <w:jc w:val="center"/>
        <w:rPr>
          <w:rFonts w:eastAsia="黑体"/>
          <w:color w:val="auto"/>
          <w:sz w:val="24"/>
        </w:rPr>
      </w:pPr>
      <w:r>
        <w:rPr>
          <w:rFonts w:eastAsia="黑体"/>
          <w:color w:val="auto"/>
          <w:sz w:val="24"/>
        </w:rPr>
        <w:t>图5.2-</w:t>
      </w:r>
      <w:r>
        <w:rPr>
          <w:rFonts w:hint="eastAsia" w:eastAsia="黑体"/>
          <w:color w:val="auto"/>
          <w:sz w:val="24"/>
        </w:rPr>
        <w:t>2</w:t>
      </w:r>
      <w:r>
        <w:rPr>
          <w:rFonts w:eastAsia="黑体"/>
          <w:color w:val="auto"/>
          <w:sz w:val="24"/>
        </w:rPr>
        <w:t xml:space="preserve">  淮南市地面风速月变化图</w:t>
      </w:r>
    </w:p>
    <w:p w14:paraId="61A0D970">
      <w:pPr>
        <w:spacing w:line="360" w:lineRule="auto"/>
        <w:ind w:firstLine="480" w:firstLineChars="200"/>
        <w:rPr>
          <w:color w:val="auto"/>
          <w:sz w:val="24"/>
        </w:rPr>
      </w:pPr>
      <w:r>
        <w:rPr>
          <w:color w:val="auto"/>
          <w:sz w:val="24"/>
        </w:rPr>
        <w:t>由表5.2-</w:t>
      </w:r>
      <w:r>
        <w:rPr>
          <w:rFonts w:hint="eastAsia"/>
          <w:color w:val="auto"/>
          <w:sz w:val="24"/>
        </w:rPr>
        <w:t>5</w:t>
      </w:r>
      <w:r>
        <w:rPr>
          <w:color w:val="auto"/>
          <w:sz w:val="24"/>
        </w:rPr>
        <w:t>和图5.2-</w:t>
      </w:r>
      <w:r>
        <w:rPr>
          <w:rFonts w:hint="eastAsia"/>
          <w:color w:val="auto"/>
          <w:sz w:val="24"/>
        </w:rPr>
        <w:t>2</w:t>
      </w:r>
      <w:r>
        <w:rPr>
          <w:color w:val="auto"/>
          <w:sz w:val="24"/>
        </w:rPr>
        <w:t>可以看出，淮南市年平均风速为</w:t>
      </w:r>
      <w:r>
        <w:rPr>
          <w:rFonts w:hint="eastAsia"/>
          <w:color w:val="auto"/>
          <w:sz w:val="24"/>
        </w:rPr>
        <w:t>1.7</w:t>
      </w:r>
      <w:r>
        <w:rPr>
          <w:color w:val="auto"/>
          <w:sz w:val="24"/>
        </w:rPr>
        <w:t>m/s，该区域地面各月风速变化较为规律，春季和夏季风速最高，冬季风速最低，一年中以10月份风速最小，3、4月份风速最大。</w:t>
      </w:r>
    </w:p>
    <w:p w14:paraId="19146BE8">
      <w:pPr>
        <w:spacing w:line="360" w:lineRule="auto"/>
        <w:ind w:firstLine="480" w:firstLineChars="200"/>
        <w:rPr>
          <w:rFonts w:hint="eastAsia"/>
          <w:color w:val="auto"/>
          <w:sz w:val="24"/>
        </w:rPr>
      </w:pPr>
      <w:r>
        <w:rPr>
          <w:rFonts w:hint="eastAsia"/>
          <w:color w:val="auto"/>
          <w:sz w:val="24"/>
        </w:rPr>
        <w:t>（4）风向和风频</w:t>
      </w:r>
    </w:p>
    <w:p w14:paraId="053E8C1F">
      <w:pPr>
        <w:spacing w:line="360" w:lineRule="auto"/>
        <w:ind w:firstLine="480" w:firstLineChars="200"/>
        <w:rPr>
          <w:color w:val="auto"/>
          <w:sz w:val="24"/>
        </w:rPr>
      </w:pPr>
      <w:r>
        <w:rPr>
          <w:color w:val="auto"/>
          <w:sz w:val="24"/>
        </w:rPr>
        <w:t>淮南市年均风频月变化</w:t>
      </w:r>
      <w:r>
        <w:rPr>
          <w:rFonts w:hint="eastAsia"/>
          <w:color w:val="auto"/>
          <w:sz w:val="24"/>
        </w:rPr>
        <w:t>、季节变化及年变化</w:t>
      </w:r>
      <w:r>
        <w:rPr>
          <w:color w:val="auto"/>
          <w:sz w:val="24"/>
        </w:rPr>
        <w:t>见表5.2-</w:t>
      </w:r>
      <w:r>
        <w:rPr>
          <w:rFonts w:hint="eastAsia"/>
          <w:color w:val="auto"/>
          <w:sz w:val="24"/>
        </w:rPr>
        <w:t>6</w:t>
      </w:r>
      <w:r>
        <w:rPr>
          <w:color w:val="auto"/>
          <w:sz w:val="24"/>
        </w:rPr>
        <w:t>。由表5.2-</w:t>
      </w:r>
      <w:r>
        <w:rPr>
          <w:rFonts w:hint="eastAsia"/>
          <w:color w:val="auto"/>
          <w:sz w:val="24"/>
        </w:rPr>
        <w:t>6</w:t>
      </w:r>
      <w:r>
        <w:rPr>
          <w:color w:val="auto"/>
          <w:sz w:val="24"/>
        </w:rPr>
        <w:t>绘出年、季风向频率玫瑰图（见图5.2-</w:t>
      </w:r>
      <w:r>
        <w:rPr>
          <w:rFonts w:hint="eastAsia"/>
          <w:color w:val="auto"/>
          <w:sz w:val="24"/>
        </w:rPr>
        <w:t>3</w:t>
      </w:r>
      <w:r>
        <w:rPr>
          <w:color w:val="auto"/>
          <w:sz w:val="24"/>
        </w:rPr>
        <w:t>）。</w:t>
      </w:r>
    </w:p>
    <w:p w14:paraId="50A23CF1">
      <w:pPr>
        <w:jc w:val="center"/>
        <w:rPr>
          <w:color w:val="auto"/>
        </w:rPr>
      </w:pPr>
      <w:r>
        <w:rPr>
          <w:rFonts w:hint="eastAsia"/>
          <w:color w:val="auto"/>
        </w:rPr>
        <w:drawing>
          <wp:inline distT="0" distB="0" distL="114300" distR="114300">
            <wp:extent cx="5219700" cy="7199630"/>
            <wp:effectExtent l="0" t="0" r="0" b="1270"/>
            <wp:docPr id="194" name="图片 4" descr="风玫瑰图"/>
            <wp:cNvGraphicFramePr/>
            <a:graphic xmlns:a="http://schemas.openxmlformats.org/drawingml/2006/main">
              <a:graphicData uri="http://schemas.openxmlformats.org/drawingml/2006/picture">
                <pic:pic xmlns:pic="http://schemas.openxmlformats.org/drawingml/2006/picture">
                  <pic:nvPicPr>
                    <pic:cNvPr id="194" name="图片 4" descr="风玫瑰图"/>
                    <pic:cNvPicPr preferRelativeResize="0"/>
                  </pic:nvPicPr>
                  <pic:blipFill>
                    <a:blip r:embed="rId173"/>
                    <a:stretch>
                      <a:fillRect/>
                    </a:stretch>
                  </pic:blipFill>
                  <pic:spPr>
                    <a:xfrm>
                      <a:off x="0" y="0"/>
                      <a:ext cx="5219700" cy="7199630"/>
                    </a:xfrm>
                    <a:prstGeom prst="rect">
                      <a:avLst/>
                    </a:prstGeom>
                    <a:noFill/>
                    <a:ln>
                      <a:noFill/>
                    </a:ln>
                  </pic:spPr>
                </pic:pic>
              </a:graphicData>
            </a:graphic>
          </wp:inline>
        </w:drawing>
      </w:r>
    </w:p>
    <w:p w14:paraId="181EC478">
      <w:pPr>
        <w:spacing w:line="400" w:lineRule="exact"/>
        <w:jc w:val="center"/>
        <w:rPr>
          <w:rFonts w:eastAsia="黑体"/>
          <w:color w:val="auto"/>
          <w:sz w:val="24"/>
        </w:rPr>
      </w:pPr>
      <w:r>
        <w:rPr>
          <w:rFonts w:eastAsia="黑体"/>
          <w:color w:val="auto"/>
          <w:sz w:val="24"/>
        </w:rPr>
        <w:t>图5.2-</w:t>
      </w:r>
      <w:r>
        <w:rPr>
          <w:rFonts w:hint="eastAsia" w:eastAsia="黑体"/>
          <w:color w:val="auto"/>
          <w:sz w:val="24"/>
        </w:rPr>
        <w:t>3</w:t>
      </w:r>
      <w:r>
        <w:rPr>
          <w:rFonts w:eastAsia="黑体"/>
          <w:color w:val="auto"/>
          <w:sz w:val="24"/>
        </w:rPr>
        <w:t xml:space="preserve">  区域年、季风向频率玫瑰图</w:t>
      </w:r>
    </w:p>
    <w:p w14:paraId="4CB49495">
      <w:pPr>
        <w:spacing w:line="360" w:lineRule="auto"/>
        <w:ind w:firstLine="480" w:firstLineChars="200"/>
        <w:rPr>
          <w:color w:val="auto"/>
          <w:sz w:val="24"/>
        </w:rPr>
        <w:sectPr>
          <w:pgSz w:w="11906" w:h="16838"/>
          <w:pgMar w:top="1418" w:right="1418" w:bottom="1418" w:left="1418" w:header="851" w:footer="850" w:gutter="0"/>
          <w:pgBorders>
            <w:top w:val="none" w:sz="0" w:space="0"/>
            <w:left w:val="none" w:sz="0" w:space="0"/>
            <w:bottom w:val="none" w:sz="0" w:space="0"/>
            <w:right w:val="none" w:sz="0" w:space="0"/>
          </w:pgBorders>
          <w:cols w:space="720" w:num="1"/>
          <w:docGrid w:type="lines" w:linePitch="314" w:charSpace="0"/>
        </w:sectPr>
      </w:pPr>
      <w:r>
        <w:rPr>
          <w:color w:val="auto"/>
          <w:sz w:val="24"/>
        </w:rPr>
        <w:t>由表5.2-</w:t>
      </w:r>
      <w:r>
        <w:rPr>
          <w:rFonts w:hint="eastAsia"/>
          <w:color w:val="auto"/>
          <w:sz w:val="24"/>
        </w:rPr>
        <w:t>5</w:t>
      </w:r>
      <w:r>
        <w:rPr>
          <w:color w:val="auto"/>
          <w:sz w:val="24"/>
        </w:rPr>
        <w:t>和图5.2-</w:t>
      </w:r>
      <w:r>
        <w:rPr>
          <w:rFonts w:hint="eastAsia"/>
          <w:color w:val="auto"/>
          <w:sz w:val="24"/>
        </w:rPr>
        <w:t>3</w:t>
      </w:r>
      <w:r>
        <w:rPr>
          <w:color w:val="auto"/>
          <w:sz w:val="24"/>
        </w:rPr>
        <w:t>所示，评价区域全年风频最大的风向分别是E风（风频1</w:t>
      </w:r>
      <w:r>
        <w:rPr>
          <w:rFonts w:hint="eastAsia"/>
          <w:color w:val="auto"/>
          <w:sz w:val="24"/>
        </w:rPr>
        <w:t>6.41</w:t>
      </w:r>
      <w:r>
        <w:rPr>
          <w:color w:val="auto"/>
          <w:sz w:val="24"/>
        </w:rPr>
        <w:t>%）、ESE风（风频1</w:t>
      </w:r>
      <w:r>
        <w:rPr>
          <w:rFonts w:hint="eastAsia"/>
          <w:color w:val="auto"/>
          <w:sz w:val="24"/>
        </w:rPr>
        <w:t>1.49</w:t>
      </w:r>
      <w:r>
        <w:rPr>
          <w:color w:val="auto"/>
          <w:sz w:val="24"/>
        </w:rPr>
        <w:t>%）和</w:t>
      </w:r>
      <w:r>
        <w:rPr>
          <w:rFonts w:hint="eastAsia"/>
          <w:color w:val="auto"/>
          <w:sz w:val="24"/>
        </w:rPr>
        <w:t>ENE</w:t>
      </w:r>
      <w:r>
        <w:rPr>
          <w:color w:val="auto"/>
          <w:sz w:val="24"/>
        </w:rPr>
        <w:t>风（</w:t>
      </w:r>
      <w:r>
        <w:rPr>
          <w:rFonts w:hint="eastAsia"/>
          <w:color w:val="auto"/>
          <w:sz w:val="24"/>
        </w:rPr>
        <w:t>7</w:t>
      </w:r>
      <w:r>
        <w:rPr>
          <w:color w:val="auto"/>
          <w:sz w:val="24"/>
        </w:rPr>
        <w:t>.</w:t>
      </w:r>
      <w:r>
        <w:rPr>
          <w:rFonts w:hint="eastAsia"/>
          <w:color w:val="auto"/>
          <w:sz w:val="24"/>
        </w:rPr>
        <w:t>14%</w:t>
      </w:r>
      <w:r>
        <w:rPr>
          <w:color w:val="auto"/>
          <w:sz w:val="24"/>
        </w:rPr>
        <w:t>）、连续三个风向角的风频之和</w:t>
      </w:r>
      <w:r>
        <w:rPr>
          <w:rFonts w:hint="eastAsia"/>
          <w:color w:val="auto"/>
          <w:sz w:val="24"/>
        </w:rPr>
        <w:t>大于</w:t>
      </w:r>
      <w:r>
        <w:rPr>
          <w:color w:val="auto"/>
          <w:sz w:val="24"/>
        </w:rPr>
        <w:t>30%，因此该地区常年具有常年主导风向，为东风范围。</w:t>
      </w:r>
    </w:p>
    <w:p w14:paraId="4529BA89">
      <w:pPr>
        <w:spacing w:line="400" w:lineRule="exact"/>
        <w:jc w:val="center"/>
        <w:rPr>
          <w:rFonts w:eastAsia="黑体"/>
          <w:color w:val="auto"/>
          <w:sz w:val="24"/>
        </w:rPr>
      </w:pPr>
      <w:r>
        <w:rPr>
          <w:rFonts w:eastAsia="黑体"/>
          <w:color w:val="auto"/>
          <w:sz w:val="24"/>
        </w:rPr>
        <w:t>表5.2-</w:t>
      </w:r>
      <w:r>
        <w:rPr>
          <w:rFonts w:hint="eastAsia" w:eastAsia="黑体"/>
          <w:color w:val="auto"/>
          <w:sz w:val="24"/>
        </w:rPr>
        <w:t>5</w:t>
      </w:r>
      <w:r>
        <w:rPr>
          <w:rFonts w:eastAsia="黑体"/>
          <w:color w:val="auto"/>
          <w:sz w:val="24"/>
        </w:rPr>
        <w:t xml:space="preserve">  季度小时平均风速日变化</w:t>
      </w:r>
      <w:r>
        <w:rPr>
          <w:rFonts w:hint="eastAsia" w:eastAsia="黑体"/>
          <w:color w:val="auto"/>
          <w:sz w:val="24"/>
        </w:rPr>
        <w:t xml:space="preserve"> </w:t>
      </w:r>
      <w:r>
        <w:rPr>
          <w:rFonts w:eastAsia="黑体"/>
          <w:color w:val="auto"/>
          <w:sz w:val="24"/>
        </w:rPr>
        <w:t xml:space="preserve">  单位：%</w:t>
      </w:r>
    </w:p>
    <w:tbl>
      <w:tblPr>
        <w:tblStyle w:val="53"/>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300"/>
        <w:gridCol w:w="742"/>
        <w:gridCol w:w="743"/>
        <w:gridCol w:w="742"/>
        <w:gridCol w:w="742"/>
        <w:gridCol w:w="742"/>
        <w:gridCol w:w="743"/>
        <w:gridCol w:w="742"/>
        <w:gridCol w:w="742"/>
        <w:gridCol w:w="743"/>
        <w:gridCol w:w="742"/>
        <w:gridCol w:w="742"/>
        <w:gridCol w:w="742"/>
        <w:gridCol w:w="637"/>
        <w:gridCol w:w="848"/>
        <w:gridCol w:w="742"/>
        <w:gridCol w:w="743"/>
        <w:gridCol w:w="753"/>
      </w:tblGrid>
      <w:tr w14:paraId="66611B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3F4F81A5">
            <w:pPr>
              <w:keepNext w:val="0"/>
              <w:keepLines w:val="0"/>
              <w:suppressLineNumbers w:val="0"/>
              <w:spacing w:before="0" w:beforeAutospacing="0" w:after="0" w:afterAutospacing="0"/>
              <w:ind w:left="0" w:right="0"/>
              <w:jc w:val="right"/>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风向</w:t>
            </w:r>
          </w:p>
          <w:p w14:paraId="78C48B3B">
            <w:pPr>
              <w:keepNext w:val="0"/>
              <w:keepLines w:val="0"/>
              <w:suppressLineNumbers w:val="0"/>
              <w:spacing w:before="0" w:beforeAutospacing="0" w:after="0" w:afterAutospacing="0"/>
              <w:ind w:left="0" w:right="0"/>
              <w:jc w:val="left"/>
              <w:rPr>
                <w:rFonts w:hint="eastAsia" w:ascii="Times New Roman" w:hAnsi="Times New Roman" w:cs="Times New Roman"/>
                <w:b/>
                <w:bCs/>
                <w:color w:val="auto"/>
                <w:sz w:val="21"/>
                <w:szCs w:val="21"/>
              </w:rPr>
            </w:pPr>
            <w:r>
              <w:rPr>
                <w:rFonts w:hint="eastAsia" w:ascii="Times New Roman" w:hAnsi="Times New Roman" w:cs="Times New Roman"/>
                <w:b/>
                <w:bCs/>
                <w:color w:val="auto"/>
                <w:sz w:val="21"/>
                <w:szCs w:val="21"/>
              </w:rPr>
              <w:t>月份</w:t>
            </w:r>
          </w:p>
        </w:tc>
        <w:tc>
          <w:tcPr>
            <w:tcW w:w="742" w:type="dxa"/>
            <w:noWrap w:val="0"/>
            <w:vAlign w:val="center"/>
          </w:tcPr>
          <w:p w14:paraId="1F82D44F">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N</w:t>
            </w:r>
          </w:p>
        </w:tc>
        <w:tc>
          <w:tcPr>
            <w:tcW w:w="743" w:type="dxa"/>
            <w:noWrap w:val="0"/>
            <w:vAlign w:val="center"/>
          </w:tcPr>
          <w:p w14:paraId="003E1026">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NNE</w:t>
            </w:r>
          </w:p>
        </w:tc>
        <w:tc>
          <w:tcPr>
            <w:tcW w:w="742" w:type="dxa"/>
            <w:noWrap w:val="0"/>
            <w:vAlign w:val="center"/>
          </w:tcPr>
          <w:p w14:paraId="32613E9B">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NE</w:t>
            </w:r>
          </w:p>
        </w:tc>
        <w:tc>
          <w:tcPr>
            <w:tcW w:w="742" w:type="dxa"/>
            <w:noWrap w:val="0"/>
            <w:vAlign w:val="center"/>
          </w:tcPr>
          <w:p w14:paraId="218FEBF0">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ENE</w:t>
            </w:r>
          </w:p>
        </w:tc>
        <w:tc>
          <w:tcPr>
            <w:tcW w:w="742" w:type="dxa"/>
            <w:noWrap w:val="0"/>
            <w:vAlign w:val="center"/>
          </w:tcPr>
          <w:p w14:paraId="18B3EE6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E</w:t>
            </w:r>
          </w:p>
        </w:tc>
        <w:tc>
          <w:tcPr>
            <w:tcW w:w="743" w:type="dxa"/>
            <w:noWrap w:val="0"/>
            <w:vAlign w:val="center"/>
          </w:tcPr>
          <w:p w14:paraId="2173C768">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ESE</w:t>
            </w:r>
          </w:p>
        </w:tc>
        <w:tc>
          <w:tcPr>
            <w:tcW w:w="742" w:type="dxa"/>
            <w:noWrap w:val="0"/>
            <w:vAlign w:val="center"/>
          </w:tcPr>
          <w:p w14:paraId="0F785782">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SE</w:t>
            </w:r>
          </w:p>
        </w:tc>
        <w:tc>
          <w:tcPr>
            <w:tcW w:w="742" w:type="dxa"/>
            <w:noWrap w:val="0"/>
            <w:vAlign w:val="center"/>
          </w:tcPr>
          <w:p w14:paraId="3722742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SSE</w:t>
            </w:r>
          </w:p>
        </w:tc>
        <w:tc>
          <w:tcPr>
            <w:tcW w:w="743" w:type="dxa"/>
            <w:noWrap w:val="0"/>
            <w:vAlign w:val="center"/>
          </w:tcPr>
          <w:p w14:paraId="319E676B">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S</w:t>
            </w:r>
          </w:p>
        </w:tc>
        <w:tc>
          <w:tcPr>
            <w:tcW w:w="742" w:type="dxa"/>
            <w:noWrap w:val="0"/>
            <w:vAlign w:val="center"/>
          </w:tcPr>
          <w:p w14:paraId="58AEF58B">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SSW</w:t>
            </w:r>
          </w:p>
        </w:tc>
        <w:tc>
          <w:tcPr>
            <w:tcW w:w="742" w:type="dxa"/>
            <w:noWrap w:val="0"/>
            <w:vAlign w:val="center"/>
          </w:tcPr>
          <w:p w14:paraId="456A4BF8">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SW</w:t>
            </w:r>
          </w:p>
        </w:tc>
        <w:tc>
          <w:tcPr>
            <w:tcW w:w="742" w:type="dxa"/>
            <w:noWrap w:val="0"/>
            <w:vAlign w:val="center"/>
          </w:tcPr>
          <w:p w14:paraId="74BFA42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WSW</w:t>
            </w:r>
          </w:p>
        </w:tc>
        <w:tc>
          <w:tcPr>
            <w:tcW w:w="637" w:type="dxa"/>
            <w:noWrap w:val="0"/>
            <w:vAlign w:val="center"/>
          </w:tcPr>
          <w:p w14:paraId="3AF3E34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W</w:t>
            </w:r>
          </w:p>
        </w:tc>
        <w:tc>
          <w:tcPr>
            <w:tcW w:w="848" w:type="dxa"/>
            <w:noWrap w:val="0"/>
            <w:vAlign w:val="center"/>
          </w:tcPr>
          <w:p w14:paraId="4824182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WNW</w:t>
            </w:r>
          </w:p>
        </w:tc>
        <w:tc>
          <w:tcPr>
            <w:tcW w:w="742" w:type="dxa"/>
            <w:noWrap w:val="0"/>
            <w:vAlign w:val="center"/>
          </w:tcPr>
          <w:p w14:paraId="060F0D7D">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NW</w:t>
            </w:r>
          </w:p>
        </w:tc>
        <w:tc>
          <w:tcPr>
            <w:tcW w:w="743" w:type="dxa"/>
            <w:noWrap w:val="0"/>
            <w:vAlign w:val="center"/>
          </w:tcPr>
          <w:p w14:paraId="2D061D6B">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NNW</w:t>
            </w:r>
          </w:p>
        </w:tc>
        <w:tc>
          <w:tcPr>
            <w:tcW w:w="753" w:type="dxa"/>
            <w:noWrap w:val="0"/>
            <w:vAlign w:val="center"/>
          </w:tcPr>
          <w:p w14:paraId="0C5B07BF">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C</w:t>
            </w:r>
          </w:p>
        </w:tc>
      </w:tr>
      <w:tr w14:paraId="1E90B0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0C50DB3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1月</w:t>
            </w:r>
          </w:p>
        </w:tc>
        <w:tc>
          <w:tcPr>
            <w:tcW w:w="742" w:type="dxa"/>
            <w:noWrap w:val="0"/>
            <w:vAlign w:val="center"/>
          </w:tcPr>
          <w:p w14:paraId="4EBF6F3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6.8</w:t>
            </w:r>
          </w:p>
        </w:tc>
        <w:tc>
          <w:tcPr>
            <w:tcW w:w="743" w:type="dxa"/>
            <w:noWrap w:val="0"/>
            <w:vAlign w:val="center"/>
          </w:tcPr>
          <w:p w14:paraId="3FAD046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5.9</w:t>
            </w:r>
          </w:p>
        </w:tc>
        <w:tc>
          <w:tcPr>
            <w:tcW w:w="742" w:type="dxa"/>
            <w:noWrap w:val="0"/>
            <w:vAlign w:val="center"/>
          </w:tcPr>
          <w:p w14:paraId="7D049DA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5.85</w:t>
            </w:r>
          </w:p>
        </w:tc>
        <w:tc>
          <w:tcPr>
            <w:tcW w:w="742" w:type="dxa"/>
            <w:noWrap w:val="0"/>
            <w:vAlign w:val="center"/>
          </w:tcPr>
          <w:p w14:paraId="7E93173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4.95</w:t>
            </w:r>
          </w:p>
        </w:tc>
        <w:tc>
          <w:tcPr>
            <w:tcW w:w="742" w:type="dxa"/>
            <w:noWrap w:val="0"/>
            <w:vAlign w:val="center"/>
          </w:tcPr>
          <w:p w14:paraId="7D32F01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8.5</w:t>
            </w:r>
          </w:p>
        </w:tc>
        <w:tc>
          <w:tcPr>
            <w:tcW w:w="743" w:type="dxa"/>
            <w:noWrap w:val="0"/>
            <w:vAlign w:val="center"/>
          </w:tcPr>
          <w:p w14:paraId="6EC60DC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14.4</w:t>
            </w:r>
          </w:p>
        </w:tc>
        <w:tc>
          <w:tcPr>
            <w:tcW w:w="742" w:type="dxa"/>
            <w:noWrap w:val="0"/>
            <w:vAlign w:val="center"/>
          </w:tcPr>
          <w:p w14:paraId="2F697A1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5.85</w:t>
            </w:r>
          </w:p>
        </w:tc>
        <w:tc>
          <w:tcPr>
            <w:tcW w:w="742" w:type="dxa"/>
            <w:noWrap w:val="0"/>
            <w:vAlign w:val="center"/>
          </w:tcPr>
          <w:p w14:paraId="60047B3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2.8</w:t>
            </w:r>
          </w:p>
        </w:tc>
        <w:tc>
          <w:tcPr>
            <w:tcW w:w="743" w:type="dxa"/>
            <w:noWrap w:val="0"/>
            <w:vAlign w:val="center"/>
          </w:tcPr>
          <w:p w14:paraId="3837AF9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1.5</w:t>
            </w:r>
          </w:p>
        </w:tc>
        <w:tc>
          <w:tcPr>
            <w:tcW w:w="742" w:type="dxa"/>
            <w:noWrap w:val="0"/>
            <w:vAlign w:val="center"/>
          </w:tcPr>
          <w:p w14:paraId="387487D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1.15</w:t>
            </w:r>
          </w:p>
        </w:tc>
        <w:tc>
          <w:tcPr>
            <w:tcW w:w="742" w:type="dxa"/>
            <w:noWrap w:val="0"/>
            <w:vAlign w:val="center"/>
          </w:tcPr>
          <w:p w14:paraId="243F2AE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2.3</w:t>
            </w:r>
          </w:p>
        </w:tc>
        <w:tc>
          <w:tcPr>
            <w:tcW w:w="742" w:type="dxa"/>
            <w:noWrap w:val="0"/>
            <w:vAlign w:val="center"/>
          </w:tcPr>
          <w:p w14:paraId="10A46D3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7.15</w:t>
            </w:r>
          </w:p>
        </w:tc>
        <w:tc>
          <w:tcPr>
            <w:tcW w:w="637" w:type="dxa"/>
            <w:noWrap w:val="0"/>
            <w:vAlign w:val="center"/>
          </w:tcPr>
          <w:p w14:paraId="37E627F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4.15</w:t>
            </w:r>
          </w:p>
        </w:tc>
        <w:tc>
          <w:tcPr>
            <w:tcW w:w="848" w:type="dxa"/>
            <w:noWrap w:val="0"/>
            <w:vAlign w:val="center"/>
          </w:tcPr>
          <w:p w14:paraId="284204C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6.05</w:t>
            </w:r>
          </w:p>
        </w:tc>
        <w:tc>
          <w:tcPr>
            <w:tcW w:w="742" w:type="dxa"/>
            <w:noWrap w:val="0"/>
            <w:vAlign w:val="center"/>
          </w:tcPr>
          <w:p w14:paraId="4C8B512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7.7</w:t>
            </w:r>
          </w:p>
        </w:tc>
        <w:tc>
          <w:tcPr>
            <w:tcW w:w="743" w:type="dxa"/>
            <w:noWrap w:val="0"/>
            <w:vAlign w:val="center"/>
          </w:tcPr>
          <w:p w14:paraId="5A7E822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6.75</w:t>
            </w:r>
          </w:p>
        </w:tc>
        <w:tc>
          <w:tcPr>
            <w:tcW w:w="753" w:type="dxa"/>
            <w:noWrap w:val="0"/>
            <w:vAlign w:val="center"/>
          </w:tcPr>
          <w:p w14:paraId="2A1A4F5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8.25</w:t>
            </w:r>
          </w:p>
        </w:tc>
      </w:tr>
      <w:tr w14:paraId="0D88A3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2AF9E21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2月</w:t>
            </w:r>
          </w:p>
        </w:tc>
        <w:tc>
          <w:tcPr>
            <w:tcW w:w="742" w:type="dxa"/>
            <w:noWrap w:val="0"/>
            <w:vAlign w:val="center"/>
          </w:tcPr>
          <w:p w14:paraId="3D7CF37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5.9</w:t>
            </w:r>
          </w:p>
        </w:tc>
        <w:tc>
          <w:tcPr>
            <w:tcW w:w="743" w:type="dxa"/>
            <w:noWrap w:val="0"/>
            <w:vAlign w:val="center"/>
          </w:tcPr>
          <w:p w14:paraId="777EC78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4.75</w:t>
            </w:r>
          </w:p>
        </w:tc>
        <w:tc>
          <w:tcPr>
            <w:tcW w:w="742" w:type="dxa"/>
            <w:noWrap w:val="0"/>
            <w:vAlign w:val="center"/>
          </w:tcPr>
          <w:p w14:paraId="7A532A3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5.1</w:t>
            </w:r>
          </w:p>
        </w:tc>
        <w:tc>
          <w:tcPr>
            <w:tcW w:w="742" w:type="dxa"/>
            <w:noWrap w:val="0"/>
            <w:vAlign w:val="center"/>
          </w:tcPr>
          <w:p w14:paraId="032699D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5.2</w:t>
            </w:r>
          </w:p>
        </w:tc>
        <w:tc>
          <w:tcPr>
            <w:tcW w:w="742" w:type="dxa"/>
            <w:noWrap w:val="0"/>
            <w:vAlign w:val="center"/>
          </w:tcPr>
          <w:p w14:paraId="193E174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9.2</w:t>
            </w:r>
          </w:p>
        </w:tc>
        <w:tc>
          <w:tcPr>
            <w:tcW w:w="743" w:type="dxa"/>
            <w:noWrap w:val="0"/>
            <w:vAlign w:val="center"/>
          </w:tcPr>
          <w:p w14:paraId="0E7AC89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14.45</w:t>
            </w:r>
          </w:p>
        </w:tc>
        <w:tc>
          <w:tcPr>
            <w:tcW w:w="742" w:type="dxa"/>
            <w:noWrap w:val="0"/>
            <w:vAlign w:val="center"/>
          </w:tcPr>
          <w:p w14:paraId="7AB6501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6.65</w:t>
            </w:r>
          </w:p>
        </w:tc>
        <w:tc>
          <w:tcPr>
            <w:tcW w:w="742" w:type="dxa"/>
            <w:noWrap w:val="0"/>
            <w:vAlign w:val="center"/>
          </w:tcPr>
          <w:p w14:paraId="70E9299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3.1</w:t>
            </w:r>
          </w:p>
        </w:tc>
        <w:tc>
          <w:tcPr>
            <w:tcW w:w="743" w:type="dxa"/>
            <w:noWrap w:val="0"/>
            <w:vAlign w:val="center"/>
          </w:tcPr>
          <w:p w14:paraId="1A1BE87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1.7</w:t>
            </w:r>
          </w:p>
        </w:tc>
        <w:tc>
          <w:tcPr>
            <w:tcW w:w="742" w:type="dxa"/>
            <w:noWrap w:val="0"/>
            <w:vAlign w:val="center"/>
          </w:tcPr>
          <w:p w14:paraId="181115C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1.45</w:t>
            </w:r>
          </w:p>
        </w:tc>
        <w:tc>
          <w:tcPr>
            <w:tcW w:w="742" w:type="dxa"/>
            <w:noWrap w:val="0"/>
            <w:vAlign w:val="center"/>
          </w:tcPr>
          <w:p w14:paraId="436D354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2.15</w:t>
            </w:r>
          </w:p>
        </w:tc>
        <w:tc>
          <w:tcPr>
            <w:tcW w:w="742" w:type="dxa"/>
            <w:noWrap w:val="0"/>
            <w:vAlign w:val="center"/>
          </w:tcPr>
          <w:p w14:paraId="5E6CD13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7.4</w:t>
            </w:r>
          </w:p>
        </w:tc>
        <w:tc>
          <w:tcPr>
            <w:tcW w:w="637" w:type="dxa"/>
            <w:noWrap w:val="0"/>
            <w:vAlign w:val="center"/>
          </w:tcPr>
          <w:p w14:paraId="7B78E24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4.35</w:t>
            </w:r>
          </w:p>
        </w:tc>
        <w:tc>
          <w:tcPr>
            <w:tcW w:w="848" w:type="dxa"/>
            <w:noWrap w:val="0"/>
            <w:vAlign w:val="center"/>
          </w:tcPr>
          <w:p w14:paraId="6BADFED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5.65</w:t>
            </w:r>
          </w:p>
        </w:tc>
        <w:tc>
          <w:tcPr>
            <w:tcW w:w="742" w:type="dxa"/>
            <w:noWrap w:val="0"/>
            <w:vAlign w:val="center"/>
          </w:tcPr>
          <w:p w14:paraId="1B47DD8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7.2</w:t>
            </w:r>
          </w:p>
        </w:tc>
        <w:tc>
          <w:tcPr>
            <w:tcW w:w="743" w:type="dxa"/>
            <w:noWrap w:val="0"/>
            <w:vAlign w:val="center"/>
          </w:tcPr>
          <w:p w14:paraId="6D56633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6.65</w:t>
            </w:r>
          </w:p>
        </w:tc>
        <w:tc>
          <w:tcPr>
            <w:tcW w:w="753" w:type="dxa"/>
            <w:noWrap w:val="0"/>
            <w:vAlign w:val="center"/>
          </w:tcPr>
          <w:p w14:paraId="0FB44FB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9.05</w:t>
            </w:r>
          </w:p>
        </w:tc>
      </w:tr>
      <w:tr w14:paraId="368F30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4C48E72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3月</w:t>
            </w:r>
          </w:p>
        </w:tc>
        <w:tc>
          <w:tcPr>
            <w:tcW w:w="742" w:type="dxa"/>
            <w:noWrap w:val="0"/>
            <w:vAlign w:val="center"/>
          </w:tcPr>
          <w:p w14:paraId="509EC69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5.45</w:t>
            </w:r>
          </w:p>
        </w:tc>
        <w:tc>
          <w:tcPr>
            <w:tcW w:w="743" w:type="dxa"/>
            <w:noWrap w:val="0"/>
            <w:vAlign w:val="center"/>
          </w:tcPr>
          <w:p w14:paraId="71DBD9B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4.55</w:t>
            </w:r>
          </w:p>
        </w:tc>
        <w:tc>
          <w:tcPr>
            <w:tcW w:w="742" w:type="dxa"/>
            <w:noWrap w:val="0"/>
            <w:vAlign w:val="center"/>
          </w:tcPr>
          <w:p w14:paraId="38A95F3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5.1</w:t>
            </w:r>
          </w:p>
        </w:tc>
        <w:tc>
          <w:tcPr>
            <w:tcW w:w="742" w:type="dxa"/>
            <w:noWrap w:val="0"/>
            <w:vAlign w:val="center"/>
          </w:tcPr>
          <w:p w14:paraId="73876B6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4.25</w:t>
            </w:r>
          </w:p>
        </w:tc>
        <w:tc>
          <w:tcPr>
            <w:tcW w:w="742" w:type="dxa"/>
            <w:noWrap w:val="0"/>
            <w:vAlign w:val="center"/>
          </w:tcPr>
          <w:p w14:paraId="4D25164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9.5</w:t>
            </w:r>
          </w:p>
        </w:tc>
        <w:tc>
          <w:tcPr>
            <w:tcW w:w="743" w:type="dxa"/>
            <w:noWrap w:val="0"/>
            <w:vAlign w:val="center"/>
          </w:tcPr>
          <w:p w14:paraId="355360C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15.7</w:t>
            </w:r>
          </w:p>
        </w:tc>
        <w:tc>
          <w:tcPr>
            <w:tcW w:w="742" w:type="dxa"/>
            <w:noWrap w:val="0"/>
            <w:vAlign w:val="center"/>
          </w:tcPr>
          <w:p w14:paraId="176307E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6.9</w:t>
            </w:r>
          </w:p>
        </w:tc>
        <w:tc>
          <w:tcPr>
            <w:tcW w:w="742" w:type="dxa"/>
            <w:noWrap w:val="0"/>
            <w:vAlign w:val="center"/>
          </w:tcPr>
          <w:p w14:paraId="389C378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3.2</w:t>
            </w:r>
          </w:p>
        </w:tc>
        <w:tc>
          <w:tcPr>
            <w:tcW w:w="743" w:type="dxa"/>
            <w:noWrap w:val="0"/>
            <w:vAlign w:val="center"/>
          </w:tcPr>
          <w:p w14:paraId="5B85759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1.6</w:t>
            </w:r>
          </w:p>
        </w:tc>
        <w:tc>
          <w:tcPr>
            <w:tcW w:w="742" w:type="dxa"/>
            <w:noWrap w:val="0"/>
            <w:vAlign w:val="center"/>
          </w:tcPr>
          <w:p w14:paraId="496269E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1.45</w:t>
            </w:r>
          </w:p>
        </w:tc>
        <w:tc>
          <w:tcPr>
            <w:tcW w:w="742" w:type="dxa"/>
            <w:noWrap w:val="0"/>
            <w:vAlign w:val="center"/>
          </w:tcPr>
          <w:p w14:paraId="2F3F50A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2.55</w:t>
            </w:r>
          </w:p>
        </w:tc>
        <w:tc>
          <w:tcPr>
            <w:tcW w:w="742" w:type="dxa"/>
            <w:noWrap w:val="0"/>
            <w:vAlign w:val="center"/>
          </w:tcPr>
          <w:p w14:paraId="2046291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7.2</w:t>
            </w:r>
          </w:p>
        </w:tc>
        <w:tc>
          <w:tcPr>
            <w:tcW w:w="637" w:type="dxa"/>
            <w:noWrap w:val="0"/>
            <w:vAlign w:val="center"/>
          </w:tcPr>
          <w:p w14:paraId="79AF900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3.95</w:t>
            </w:r>
          </w:p>
        </w:tc>
        <w:tc>
          <w:tcPr>
            <w:tcW w:w="848" w:type="dxa"/>
            <w:noWrap w:val="0"/>
            <w:vAlign w:val="center"/>
          </w:tcPr>
          <w:p w14:paraId="7981F16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5.1</w:t>
            </w:r>
          </w:p>
        </w:tc>
        <w:tc>
          <w:tcPr>
            <w:tcW w:w="742" w:type="dxa"/>
            <w:noWrap w:val="0"/>
            <w:vAlign w:val="center"/>
          </w:tcPr>
          <w:p w14:paraId="57EB429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6.65</w:t>
            </w:r>
          </w:p>
        </w:tc>
        <w:tc>
          <w:tcPr>
            <w:tcW w:w="743" w:type="dxa"/>
            <w:noWrap w:val="0"/>
            <w:vAlign w:val="center"/>
          </w:tcPr>
          <w:p w14:paraId="55E7EE6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6.05</w:t>
            </w:r>
          </w:p>
        </w:tc>
        <w:tc>
          <w:tcPr>
            <w:tcW w:w="753" w:type="dxa"/>
            <w:noWrap w:val="0"/>
            <w:vAlign w:val="center"/>
          </w:tcPr>
          <w:p w14:paraId="2EF086C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10.65</w:t>
            </w:r>
          </w:p>
        </w:tc>
      </w:tr>
      <w:tr w14:paraId="6FD6C8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4CAFCB6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4月</w:t>
            </w:r>
          </w:p>
        </w:tc>
        <w:tc>
          <w:tcPr>
            <w:tcW w:w="742" w:type="dxa"/>
            <w:noWrap w:val="0"/>
            <w:vAlign w:val="center"/>
          </w:tcPr>
          <w:p w14:paraId="1981FEF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6.25</w:t>
            </w:r>
          </w:p>
        </w:tc>
        <w:tc>
          <w:tcPr>
            <w:tcW w:w="743" w:type="dxa"/>
            <w:noWrap w:val="0"/>
            <w:vAlign w:val="center"/>
          </w:tcPr>
          <w:p w14:paraId="4BE7322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4.3</w:t>
            </w:r>
          </w:p>
        </w:tc>
        <w:tc>
          <w:tcPr>
            <w:tcW w:w="742" w:type="dxa"/>
            <w:noWrap w:val="0"/>
            <w:vAlign w:val="center"/>
          </w:tcPr>
          <w:p w14:paraId="3E403ED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4.05</w:t>
            </w:r>
          </w:p>
        </w:tc>
        <w:tc>
          <w:tcPr>
            <w:tcW w:w="742" w:type="dxa"/>
            <w:noWrap w:val="0"/>
            <w:vAlign w:val="center"/>
          </w:tcPr>
          <w:p w14:paraId="5B0A0BD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4.1</w:t>
            </w:r>
          </w:p>
        </w:tc>
        <w:tc>
          <w:tcPr>
            <w:tcW w:w="742" w:type="dxa"/>
            <w:noWrap w:val="0"/>
            <w:vAlign w:val="center"/>
          </w:tcPr>
          <w:p w14:paraId="57FAD3B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8.9</w:t>
            </w:r>
          </w:p>
        </w:tc>
        <w:tc>
          <w:tcPr>
            <w:tcW w:w="743" w:type="dxa"/>
            <w:noWrap w:val="0"/>
            <w:vAlign w:val="center"/>
          </w:tcPr>
          <w:p w14:paraId="0ED80B6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16.35</w:t>
            </w:r>
          </w:p>
        </w:tc>
        <w:tc>
          <w:tcPr>
            <w:tcW w:w="742" w:type="dxa"/>
            <w:noWrap w:val="0"/>
            <w:vAlign w:val="center"/>
          </w:tcPr>
          <w:p w14:paraId="39EF020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7.3</w:t>
            </w:r>
          </w:p>
        </w:tc>
        <w:tc>
          <w:tcPr>
            <w:tcW w:w="742" w:type="dxa"/>
            <w:noWrap w:val="0"/>
            <w:vAlign w:val="center"/>
          </w:tcPr>
          <w:p w14:paraId="759568F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3.55</w:t>
            </w:r>
          </w:p>
        </w:tc>
        <w:tc>
          <w:tcPr>
            <w:tcW w:w="743" w:type="dxa"/>
            <w:noWrap w:val="0"/>
            <w:vAlign w:val="center"/>
          </w:tcPr>
          <w:p w14:paraId="2CFBD1A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2.05</w:t>
            </w:r>
          </w:p>
        </w:tc>
        <w:tc>
          <w:tcPr>
            <w:tcW w:w="742" w:type="dxa"/>
            <w:noWrap w:val="0"/>
            <w:vAlign w:val="center"/>
          </w:tcPr>
          <w:p w14:paraId="27C81DD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1.7</w:t>
            </w:r>
          </w:p>
        </w:tc>
        <w:tc>
          <w:tcPr>
            <w:tcW w:w="742" w:type="dxa"/>
            <w:noWrap w:val="0"/>
            <w:vAlign w:val="center"/>
          </w:tcPr>
          <w:p w14:paraId="458941B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2.65</w:t>
            </w:r>
          </w:p>
        </w:tc>
        <w:tc>
          <w:tcPr>
            <w:tcW w:w="742" w:type="dxa"/>
            <w:noWrap w:val="0"/>
            <w:vAlign w:val="center"/>
          </w:tcPr>
          <w:p w14:paraId="58E00BC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7.5</w:t>
            </w:r>
          </w:p>
        </w:tc>
        <w:tc>
          <w:tcPr>
            <w:tcW w:w="637" w:type="dxa"/>
            <w:noWrap w:val="0"/>
            <w:vAlign w:val="center"/>
          </w:tcPr>
          <w:p w14:paraId="46D29D0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4.5</w:t>
            </w:r>
          </w:p>
        </w:tc>
        <w:tc>
          <w:tcPr>
            <w:tcW w:w="848" w:type="dxa"/>
            <w:noWrap w:val="0"/>
            <w:vAlign w:val="center"/>
          </w:tcPr>
          <w:p w14:paraId="0EA46E2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5.15</w:t>
            </w:r>
          </w:p>
        </w:tc>
        <w:tc>
          <w:tcPr>
            <w:tcW w:w="742" w:type="dxa"/>
            <w:noWrap w:val="0"/>
            <w:vAlign w:val="center"/>
          </w:tcPr>
          <w:p w14:paraId="3C0D3FA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7.15</w:t>
            </w:r>
          </w:p>
        </w:tc>
        <w:tc>
          <w:tcPr>
            <w:tcW w:w="743" w:type="dxa"/>
            <w:noWrap w:val="0"/>
            <w:vAlign w:val="center"/>
          </w:tcPr>
          <w:p w14:paraId="7E8175C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6.35</w:t>
            </w:r>
          </w:p>
        </w:tc>
        <w:tc>
          <w:tcPr>
            <w:tcW w:w="753" w:type="dxa"/>
            <w:noWrap w:val="0"/>
            <w:vAlign w:val="center"/>
          </w:tcPr>
          <w:p w14:paraId="24DC77E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8.25</w:t>
            </w:r>
          </w:p>
        </w:tc>
      </w:tr>
      <w:tr w14:paraId="182778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32424D5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5月</w:t>
            </w:r>
          </w:p>
        </w:tc>
        <w:tc>
          <w:tcPr>
            <w:tcW w:w="742" w:type="dxa"/>
            <w:noWrap w:val="0"/>
            <w:vAlign w:val="center"/>
          </w:tcPr>
          <w:p w14:paraId="68E4936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6.35</w:t>
            </w:r>
          </w:p>
        </w:tc>
        <w:tc>
          <w:tcPr>
            <w:tcW w:w="743" w:type="dxa"/>
            <w:noWrap w:val="0"/>
            <w:vAlign w:val="center"/>
          </w:tcPr>
          <w:p w14:paraId="08224A4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3.85</w:t>
            </w:r>
          </w:p>
        </w:tc>
        <w:tc>
          <w:tcPr>
            <w:tcW w:w="742" w:type="dxa"/>
            <w:noWrap w:val="0"/>
            <w:vAlign w:val="center"/>
          </w:tcPr>
          <w:p w14:paraId="65D3A49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3.25</w:t>
            </w:r>
          </w:p>
        </w:tc>
        <w:tc>
          <w:tcPr>
            <w:tcW w:w="742" w:type="dxa"/>
            <w:noWrap w:val="0"/>
            <w:vAlign w:val="center"/>
          </w:tcPr>
          <w:p w14:paraId="685AFC1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3.9</w:t>
            </w:r>
          </w:p>
        </w:tc>
        <w:tc>
          <w:tcPr>
            <w:tcW w:w="742" w:type="dxa"/>
            <w:noWrap w:val="0"/>
            <w:vAlign w:val="center"/>
          </w:tcPr>
          <w:p w14:paraId="4B2F4FC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9.15</w:t>
            </w:r>
          </w:p>
        </w:tc>
        <w:tc>
          <w:tcPr>
            <w:tcW w:w="743" w:type="dxa"/>
            <w:noWrap w:val="0"/>
            <w:vAlign w:val="center"/>
          </w:tcPr>
          <w:p w14:paraId="3415CFD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16.65</w:t>
            </w:r>
          </w:p>
        </w:tc>
        <w:tc>
          <w:tcPr>
            <w:tcW w:w="742" w:type="dxa"/>
            <w:noWrap w:val="0"/>
            <w:vAlign w:val="center"/>
          </w:tcPr>
          <w:p w14:paraId="0F9762D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7.85</w:t>
            </w:r>
          </w:p>
        </w:tc>
        <w:tc>
          <w:tcPr>
            <w:tcW w:w="742" w:type="dxa"/>
            <w:noWrap w:val="0"/>
            <w:vAlign w:val="center"/>
          </w:tcPr>
          <w:p w14:paraId="3C7F08F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w:t>
            </w:r>
          </w:p>
        </w:tc>
        <w:tc>
          <w:tcPr>
            <w:tcW w:w="743" w:type="dxa"/>
            <w:noWrap w:val="0"/>
            <w:vAlign w:val="center"/>
          </w:tcPr>
          <w:p w14:paraId="72F4678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2.45</w:t>
            </w:r>
          </w:p>
        </w:tc>
        <w:tc>
          <w:tcPr>
            <w:tcW w:w="742" w:type="dxa"/>
            <w:noWrap w:val="0"/>
            <w:vAlign w:val="center"/>
          </w:tcPr>
          <w:p w14:paraId="0C2F33F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2.1</w:t>
            </w:r>
          </w:p>
        </w:tc>
        <w:tc>
          <w:tcPr>
            <w:tcW w:w="742" w:type="dxa"/>
            <w:noWrap w:val="0"/>
            <w:vAlign w:val="center"/>
          </w:tcPr>
          <w:p w14:paraId="48E5299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w:t>
            </w:r>
          </w:p>
        </w:tc>
        <w:tc>
          <w:tcPr>
            <w:tcW w:w="742" w:type="dxa"/>
            <w:noWrap w:val="0"/>
            <w:vAlign w:val="center"/>
          </w:tcPr>
          <w:p w14:paraId="2232629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7.55</w:t>
            </w:r>
          </w:p>
        </w:tc>
        <w:tc>
          <w:tcPr>
            <w:tcW w:w="637" w:type="dxa"/>
            <w:noWrap w:val="0"/>
            <w:vAlign w:val="center"/>
          </w:tcPr>
          <w:p w14:paraId="724A796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4.3</w:t>
            </w:r>
          </w:p>
        </w:tc>
        <w:tc>
          <w:tcPr>
            <w:tcW w:w="848" w:type="dxa"/>
            <w:noWrap w:val="0"/>
            <w:vAlign w:val="center"/>
          </w:tcPr>
          <w:p w14:paraId="3C54EF9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4.9</w:t>
            </w:r>
          </w:p>
        </w:tc>
        <w:tc>
          <w:tcPr>
            <w:tcW w:w="742" w:type="dxa"/>
            <w:noWrap w:val="0"/>
            <w:vAlign w:val="center"/>
          </w:tcPr>
          <w:p w14:paraId="376152C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6.85</w:t>
            </w:r>
          </w:p>
        </w:tc>
        <w:tc>
          <w:tcPr>
            <w:tcW w:w="743" w:type="dxa"/>
            <w:noWrap w:val="0"/>
            <w:vAlign w:val="center"/>
          </w:tcPr>
          <w:p w14:paraId="76DB41A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6.3</w:t>
            </w:r>
          </w:p>
        </w:tc>
        <w:tc>
          <w:tcPr>
            <w:tcW w:w="753" w:type="dxa"/>
            <w:noWrap w:val="0"/>
            <w:vAlign w:val="center"/>
          </w:tcPr>
          <w:p w14:paraId="5FE2ABE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7.45</w:t>
            </w:r>
          </w:p>
        </w:tc>
      </w:tr>
      <w:tr w14:paraId="630A66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6FFFF7A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6月</w:t>
            </w:r>
          </w:p>
        </w:tc>
        <w:tc>
          <w:tcPr>
            <w:tcW w:w="742" w:type="dxa"/>
            <w:noWrap w:val="0"/>
            <w:vAlign w:val="center"/>
          </w:tcPr>
          <w:p w14:paraId="32F6ED1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5.3</w:t>
            </w:r>
          </w:p>
        </w:tc>
        <w:tc>
          <w:tcPr>
            <w:tcW w:w="743" w:type="dxa"/>
            <w:noWrap w:val="0"/>
            <w:vAlign w:val="center"/>
          </w:tcPr>
          <w:p w14:paraId="08255A6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3.3</w:t>
            </w:r>
          </w:p>
        </w:tc>
        <w:tc>
          <w:tcPr>
            <w:tcW w:w="742" w:type="dxa"/>
            <w:noWrap w:val="0"/>
            <w:vAlign w:val="center"/>
          </w:tcPr>
          <w:p w14:paraId="5E9200D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3.15</w:t>
            </w:r>
          </w:p>
        </w:tc>
        <w:tc>
          <w:tcPr>
            <w:tcW w:w="742" w:type="dxa"/>
            <w:noWrap w:val="0"/>
            <w:vAlign w:val="center"/>
          </w:tcPr>
          <w:p w14:paraId="283D393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3.8</w:t>
            </w:r>
          </w:p>
        </w:tc>
        <w:tc>
          <w:tcPr>
            <w:tcW w:w="742" w:type="dxa"/>
            <w:noWrap w:val="0"/>
            <w:vAlign w:val="center"/>
          </w:tcPr>
          <w:p w14:paraId="10BA7E4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9.8</w:t>
            </w:r>
          </w:p>
        </w:tc>
        <w:tc>
          <w:tcPr>
            <w:tcW w:w="743" w:type="dxa"/>
            <w:noWrap w:val="0"/>
            <w:vAlign w:val="center"/>
          </w:tcPr>
          <w:p w14:paraId="7EB7412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17.1</w:t>
            </w:r>
          </w:p>
        </w:tc>
        <w:tc>
          <w:tcPr>
            <w:tcW w:w="742" w:type="dxa"/>
            <w:noWrap w:val="0"/>
            <w:vAlign w:val="center"/>
          </w:tcPr>
          <w:p w14:paraId="3172561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9.65</w:t>
            </w:r>
          </w:p>
        </w:tc>
        <w:tc>
          <w:tcPr>
            <w:tcW w:w="742" w:type="dxa"/>
            <w:noWrap w:val="0"/>
            <w:vAlign w:val="center"/>
          </w:tcPr>
          <w:p w14:paraId="5EF6DEF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4.8</w:t>
            </w:r>
          </w:p>
        </w:tc>
        <w:tc>
          <w:tcPr>
            <w:tcW w:w="743" w:type="dxa"/>
            <w:noWrap w:val="0"/>
            <w:vAlign w:val="center"/>
          </w:tcPr>
          <w:p w14:paraId="60D52DF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2.65</w:t>
            </w:r>
          </w:p>
        </w:tc>
        <w:tc>
          <w:tcPr>
            <w:tcW w:w="742" w:type="dxa"/>
            <w:noWrap w:val="0"/>
            <w:vAlign w:val="center"/>
          </w:tcPr>
          <w:p w14:paraId="6CD75A1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w:t>
            </w:r>
          </w:p>
        </w:tc>
        <w:tc>
          <w:tcPr>
            <w:tcW w:w="742" w:type="dxa"/>
            <w:noWrap w:val="0"/>
            <w:vAlign w:val="center"/>
          </w:tcPr>
          <w:p w14:paraId="3F63115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2.8</w:t>
            </w:r>
          </w:p>
        </w:tc>
        <w:tc>
          <w:tcPr>
            <w:tcW w:w="742" w:type="dxa"/>
            <w:noWrap w:val="0"/>
            <w:vAlign w:val="center"/>
          </w:tcPr>
          <w:p w14:paraId="27E1D28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7.6</w:t>
            </w:r>
          </w:p>
        </w:tc>
        <w:tc>
          <w:tcPr>
            <w:tcW w:w="637" w:type="dxa"/>
            <w:noWrap w:val="0"/>
            <w:vAlign w:val="center"/>
          </w:tcPr>
          <w:p w14:paraId="002BB72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w:t>
            </w:r>
          </w:p>
        </w:tc>
        <w:tc>
          <w:tcPr>
            <w:tcW w:w="848" w:type="dxa"/>
            <w:noWrap w:val="0"/>
            <w:vAlign w:val="center"/>
          </w:tcPr>
          <w:p w14:paraId="3E5839E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4.5</w:t>
            </w:r>
          </w:p>
        </w:tc>
        <w:tc>
          <w:tcPr>
            <w:tcW w:w="742" w:type="dxa"/>
            <w:noWrap w:val="0"/>
            <w:vAlign w:val="center"/>
          </w:tcPr>
          <w:p w14:paraId="6E22153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5.9</w:t>
            </w:r>
          </w:p>
        </w:tc>
        <w:tc>
          <w:tcPr>
            <w:tcW w:w="743" w:type="dxa"/>
            <w:noWrap w:val="0"/>
            <w:vAlign w:val="center"/>
          </w:tcPr>
          <w:p w14:paraId="3289997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5.65</w:t>
            </w:r>
          </w:p>
        </w:tc>
        <w:tc>
          <w:tcPr>
            <w:tcW w:w="753" w:type="dxa"/>
            <w:noWrap w:val="0"/>
            <w:vAlign w:val="center"/>
          </w:tcPr>
          <w:p w14:paraId="5EE301A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7.8</w:t>
            </w:r>
          </w:p>
        </w:tc>
      </w:tr>
      <w:tr w14:paraId="619877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3E8686F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7月</w:t>
            </w:r>
          </w:p>
        </w:tc>
        <w:tc>
          <w:tcPr>
            <w:tcW w:w="742" w:type="dxa"/>
            <w:noWrap w:val="0"/>
            <w:vAlign w:val="center"/>
          </w:tcPr>
          <w:p w14:paraId="7726C11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5.55</w:t>
            </w:r>
          </w:p>
        </w:tc>
        <w:tc>
          <w:tcPr>
            <w:tcW w:w="743" w:type="dxa"/>
            <w:noWrap w:val="0"/>
            <w:vAlign w:val="center"/>
          </w:tcPr>
          <w:p w14:paraId="633BB21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3.8</w:t>
            </w:r>
          </w:p>
        </w:tc>
        <w:tc>
          <w:tcPr>
            <w:tcW w:w="742" w:type="dxa"/>
            <w:noWrap w:val="0"/>
            <w:vAlign w:val="center"/>
          </w:tcPr>
          <w:p w14:paraId="44DE145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4.15</w:t>
            </w:r>
          </w:p>
        </w:tc>
        <w:tc>
          <w:tcPr>
            <w:tcW w:w="742" w:type="dxa"/>
            <w:noWrap w:val="0"/>
            <w:vAlign w:val="center"/>
          </w:tcPr>
          <w:p w14:paraId="488C7C3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4.35</w:t>
            </w:r>
          </w:p>
        </w:tc>
        <w:tc>
          <w:tcPr>
            <w:tcW w:w="742" w:type="dxa"/>
            <w:noWrap w:val="0"/>
            <w:vAlign w:val="center"/>
          </w:tcPr>
          <w:p w14:paraId="1B88A64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9.05</w:t>
            </w:r>
          </w:p>
        </w:tc>
        <w:tc>
          <w:tcPr>
            <w:tcW w:w="743" w:type="dxa"/>
            <w:noWrap w:val="0"/>
            <w:vAlign w:val="center"/>
          </w:tcPr>
          <w:p w14:paraId="39069BA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16.85</w:t>
            </w:r>
          </w:p>
        </w:tc>
        <w:tc>
          <w:tcPr>
            <w:tcW w:w="742" w:type="dxa"/>
            <w:noWrap w:val="0"/>
            <w:vAlign w:val="center"/>
          </w:tcPr>
          <w:p w14:paraId="3DB3661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8.15</w:t>
            </w:r>
          </w:p>
        </w:tc>
        <w:tc>
          <w:tcPr>
            <w:tcW w:w="742" w:type="dxa"/>
            <w:noWrap w:val="0"/>
            <w:vAlign w:val="center"/>
          </w:tcPr>
          <w:p w14:paraId="4DE9CCC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4.55</w:t>
            </w:r>
          </w:p>
        </w:tc>
        <w:tc>
          <w:tcPr>
            <w:tcW w:w="743" w:type="dxa"/>
            <w:noWrap w:val="0"/>
            <w:vAlign w:val="center"/>
          </w:tcPr>
          <w:p w14:paraId="3123618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3.35</w:t>
            </w:r>
          </w:p>
        </w:tc>
        <w:tc>
          <w:tcPr>
            <w:tcW w:w="742" w:type="dxa"/>
            <w:noWrap w:val="0"/>
            <w:vAlign w:val="center"/>
          </w:tcPr>
          <w:p w14:paraId="4BF54BA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2.85</w:t>
            </w:r>
          </w:p>
        </w:tc>
        <w:tc>
          <w:tcPr>
            <w:tcW w:w="742" w:type="dxa"/>
            <w:noWrap w:val="0"/>
            <w:vAlign w:val="center"/>
          </w:tcPr>
          <w:p w14:paraId="7CC12B6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2.85</w:t>
            </w:r>
          </w:p>
        </w:tc>
        <w:tc>
          <w:tcPr>
            <w:tcW w:w="742" w:type="dxa"/>
            <w:noWrap w:val="0"/>
            <w:vAlign w:val="center"/>
          </w:tcPr>
          <w:p w14:paraId="119BA11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7.4</w:t>
            </w:r>
          </w:p>
        </w:tc>
        <w:tc>
          <w:tcPr>
            <w:tcW w:w="637" w:type="dxa"/>
            <w:noWrap w:val="0"/>
            <w:vAlign w:val="center"/>
          </w:tcPr>
          <w:p w14:paraId="745265B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3.65</w:t>
            </w:r>
          </w:p>
        </w:tc>
        <w:tc>
          <w:tcPr>
            <w:tcW w:w="848" w:type="dxa"/>
            <w:noWrap w:val="0"/>
            <w:vAlign w:val="center"/>
          </w:tcPr>
          <w:p w14:paraId="7273CF8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4.35</w:t>
            </w:r>
          </w:p>
        </w:tc>
        <w:tc>
          <w:tcPr>
            <w:tcW w:w="742" w:type="dxa"/>
            <w:noWrap w:val="0"/>
            <w:vAlign w:val="center"/>
          </w:tcPr>
          <w:p w14:paraId="432256F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5.55</w:t>
            </w:r>
          </w:p>
        </w:tc>
        <w:tc>
          <w:tcPr>
            <w:tcW w:w="743" w:type="dxa"/>
            <w:noWrap w:val="0"/>
            <w:vAlign w:val="center"/>
          </w:tcPr>
          <w:p w14:paraId="6E4B897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5.65</w:t>
            </w:r>
          </w:p>
        </w:tc>
        <w:tc>
          <w:tcPr>
            <w:tcW w:w="753" w:type="dxa"/>
            <w:noWrap w:val="0"/>
            <w:vAlign w:val="center"/>
          </w:tcPr>
          <w:p w14:paraId="4B56663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7.7</w:t>
            </w:r>
          </w:p>
        </w:tc>
      </w:tr>
      <w:tr w14:paraId="3BB07C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70D6B3E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8月</w:t>
            </w:r>
          </w:p>
        </w:tc>
        <w:tc>
          <w:tcPr>
            <w:tcW w:w="742" w:type="dxa"/>
            <w:noWrap w:val="0"/>
            <w:vAlign w:val="center"/>
          </w:tcPr>
          <w:p w14:paraId="272A24E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6.5</w:t>
            </w:r>
          </w:p>
        </w:tc>
        <w:tc>
          <w:tcPr>
            <w:tcW w:w="743" w:type="dxa"/>
            <w:noWrap w:val="0"/>
            <w:vAlign w:val="center"/>
          </w:tcPr>
          <w:p w14:paraId="6A2AA71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4.9</w:t>
            </w:r>
          </w:p>
        </w:tc>
        <w:tc>
          <w:tcPr>
            <w:tcW w:w="742" w:type="dxa"/>
            <w:noWrap w:val="0"/>
            <w:vAlign w:val="center"/>
          </w:tcPr>
          <w:p w14:paraId="7C05152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4.95</w:t>
            </w:r>
          </w:p>
        </w:tc>
        <w:tc>
          <w:tcPr>
            <w:tcW w:w="742" w:type="dxa"/>
            <w:noWrap w:val="0"/>
            <w:vAlign w:val="center"/>
          </w:tcPr>
          <w:p w14:paraId="1233960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5.35</w:t>
            </w:r>
          </w:p>
        </w:tc>
        <w:tc>
          <w:tcPr>
            <w:tcW w:w="742" w:type="dxa"/>
            <w:noWrap w:val="0"/>
            <w:vAlign w:val="center"/>
          </w:tcPr>
          <w:p w14:paraId="686E37E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9.65</w:t>
            </w:r>
          </w:p>
        </w:tc>
        <w:tc>
          <w:tcPr>
            <w:tcW w:w="743" w:type="dxa"/>
            <w:noWrap w:val="0"/>
            <w:vAlign w:val="center"/>
          </w:tcPr>
          <w:p w14:paraId="67B464C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15.9</w:t>
            </w:r>
          </w:p>
        </w:tc>
        <w:tc>
          <w:tcPr>
            <w:tcW w:w="742" w:type="dxa"/>
            <w:noWrap w:val="0"/>
            <w:vAlign w:val="center"/>
          </w:tcPr>
          <w:p w14:paraId="37001D9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7.15</w:t>
            </w:r>
          </w:p>
        </w:tc>
        <w:tc>
          <w:tcPr>
            <w:tcW w:w="742" w:type="dxa"/>
            <w:noWrap w:val="0"/>
            <w:vAlign w:val="center"/>
          </w:tcPr>
          <w:p w14:paraId="2521A1A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3.65</w:t>
            </w:r>
          </w:p>
        </w:tc>
        <w:tc>
          <w:tcPr>
            <w:tcW w:w="743" w:type="dxa"/>
            <w:noWrap w:val="0"/>
            <w:vAlign w:val="center"/>
          </w:tcPr>
          <w:p w14:paraId="69FCDC6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2.15</w:t>
            </w:r>
          </w:p>
        </w:tc>
        <w:tc>
          <w:tcPr>
            <w:tcW w:w="742" w:type="dxa"/>
            <w:noWrap w:val="0"/>
            <w:vAlign w:val="center"/>
          </w:tcPr>
          <w:p w14:paraId="391A338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1.65</w:t>
            </w:r>
          </w:p>
        </w:tc>
        <w:tc>
          <w:tcPr>
            <w:tcW w:w="742" w:type="dxa"/>
            <w:noWrap w:val="0"/>
            <w:vAlign w:val="center"/>
          </w:tcPr>
          <w:p w14:paraId="142D94F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2.25</w:t>
            </w:r>
          </w:p>
        </w:tc>
        <w:tc>
          <w:tcPr>
            <w:tcW w:w="742" w:type="dxa"/>
            <w:noWrap w:val="0"/>
            <w:vAlign w:val="center"/>
          </w:tcPr>
          <w:p w14:paraId="6230605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6.8</w:t>
            </w:r>
          </w:p>
        </w:tc>
        <w:tc>
          <w:tcPr>
            <w:tcW w:w="637" w:type="dxa"/>
            <w:noWrap w:val="0"/>
            <w:vAlign w:val="center"/>
          </w:tcPr>
          <w:p w14:paraId="5861C74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3.55</w:t>
            </w:r>
          </w:p>
        </w:tc>
        <w:tc>
          <w:tcPr>
            <w:tcW w:w="848" w:type="dxa"/>
            <w:noWrap w:val="0"/>
            <w:vAlign w:val="center"/>
          </w:tcPr>
          <w:p w14:paraId="0F9A4CE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4.65</w:t>
            </w:r>
          </w:p>
        </w:tc>
        <w:tc>
          <w:tcPr>
            <w:tcW w:w="742" w:type="dxa"/>
            <w:noWrap w:val="0"/>
            <w:vAlign w:val="center"/>
          </w:tcPr>
          <w:p w14:paraId="0960981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6.55</w:t>
            </w:r>
          </w:p>
        </w:tc>
        <w:tc>
          <w:tcPr>
            <w:tcW w:w="743" w:type="dxa"/>
            <w:noWrap w:val="0"/>
            <w:vAlign w:val="center"/>
          </w:tcPr>
          <w:p w14:paraId="5724FB5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6.5</w:t>
            </w:r>
          </w:p>
        </w:tc>
        <w:tc>
          <w:tcPr>
            <w:tcW w:w="753" w:type="dxa"/>
            <w:noWrap w:val="0"/>
            <w:vAlign w:val="center"/>
          </w:tcPr>
          <w:p w14:paraId="3FBAC2E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7.7</w:t>
            </w:r>
          </w:p>
        </w:tc>
      </w:tr>
      <w:tr w14:paraId="52A1D9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1B73EB7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9月</w:t>
            </w:r>
          </w:p>
        </w:tc>
        <w:tc>
          <w:tcPr>
            <w:tcW w:w="742" w:type="dxa"/>
            <w:noWrap w:val="0"/>
            <w:vAlign w:val="center"/>
          </w:tcPr>
          <w:p w14:paraId="56F3060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6.85</w:t>
            </w:r>
          </w:p>
        </w:tc>
        <w:tc>
          <w:tcPr>
            <w:tcW w:w="743" w:type="dxa"/>
            <w:noWrap w:val="0"/>
            <w:vAlign w:val="center"/>
          </w:tcPr>
          <w:p w14:paraId="2FEF1EE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4.6</w:t>
            </w:r>
          </w:p>
        </w:tc>
        <w:tc>
          <w:tcPr>
            <w:tcW w:w="742" w:type="dxa"/>
            <w:noWrap w:val="0"/>
            <w:vAlign w:val="center"/>
          </w:tcPr>
          <w:p w14:paraId="0442E30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4.7</w:t>
            </w:r>
          </w:p>
        </w:tc>
        <w:tc>
          <w:tcPr>
            <w:tcW w:w="742" w:type="dxa"/>
            <w:noWrap w:val="0"/>
            <w:vAlign w:val="center"/>
          </w:tcPr>
          <w:p w14:paraId="2611E41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5.05</w:t>
            </w:r>
          </w:p>
        </w:tc>
        <w:tc>
          <w:tcPr>
            <w:tcW w:w="742" w:type="dxa"/>
            <w:noWrap w:val="0"/>
            <w:vAlign w:val="center"/>
          </w:tcPr>
          <w:p w14:paraId="22FA9EE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9.8</w:t>
            </w:r>
          </w:p>
        </w:tc>
        <w:tc>
          <w:tcPr>
            <w:tcW w:w="743" w:type="dxa"/>
            <w:noWrap w:val="0"/>
            <w:vAlign w:val="center"/>
          </w:tcPr>
          <w:p w14:paraId="001520C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16.6</w:t>
            </w:r>
          </w:p>
        </w:tc>
        <w:tc>
          <w:tcPr>
            <w:tcW w:w="742" w:type="dxa"/>
            <w:noWrap w:val="0"/>
            <w:vAlign w:val="center"/>
          </w:tcPr>
          <w:p w14:paraId="7F82C65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6.85</w:t>
            </w:r>
          </w:p>
        </w:tc>
        <w:tc>
          <w:tcPr>
            <w:tcW w:w="742" w:type="dxa"/>
            <w:noWrap w:val="0"/>
            <w:vAlign w:val="center"/>
          </w:tcPr>
          <w:p w14:paraId="14DD959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3.05</w:t>
            </w:r>
          </w:p>
        </w:tc>
        <w:tc>
          <w:tcPr>
            <w:tcW w:w="743" w:type="dxa"/>
            <w:noWrap w:val="0"/>
            <w:vAlign w:val="center"/>
          </w:tcPr>
          <w:p w14:paraId="7690D43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1.35</w:t>
            </w:r>
          </w:p>
        </w:tc>
        <w:tc>
          <w:tcPr>
            <w:tcW w:w="742" w:type="dxa"/>
            <w:noWrap w:val="0"/>
            <w:vAlign w:val="center"/>
          </w:tcPr>
          <w:p w14:paraId="773AC56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1.1</w:t>
            </w:r>
          </w:p>
        </w:tc>
        <w:tc>
          <w:tcPr>
            <w:tcW w:w="742" w:type="dxa"/>
            <w:noWrap w:val="0"/>
            <w:vAlign w:val="center"/>
          </w:tcPr>
          <w:p w14:paraId="7C38183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1.95</w:t>
            </w:r>
          </w:p>
        </w:tc>
        <w:tc>
          <w:tcPr>
            <w:tcW w:w="742" w:type="dxa"/>
            <w:noWrap w:val="0"/>
            <w:vAlign w:val="center"/>
          </w:tcPr>
          <w:p w14:paraId="4F1CE63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6.6</w:t>
            </w:r>
          </w:p>
        </w:tc>
        <w:tc>
          <w:tcPr>
            <w:tcW w:w="637" w:type="dxa"/>
            <w:noWrap w:val="0"/>
            <w:vAlign w:val="center"/>
          </w:tcPr>
          <w:p w14:paraId="3C8E00B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3.65</w:t>
            </w:r>
          </w:p>
        </w:tc>
        <w:tc>
          <w:tcPr>
            <w:tcW w:w="848" w:type="dxa"/>
            <w:noWrap w:val="0"/>
            <w:vAlign w:val="center"/>
          </w:tcPr>
          <w:p w14:paraId="7C8E548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4.45</w:t>
            </w:r>
          </w:p>
        </w:tc>
        <w:tc>
          <w:tcPr>
            <w:tcW w:w="742" w:type="dxa"/>
            <w:noWrap w:val="0"/>
            <w:vAlign w:val="center"/>
          </w:tcPr>
          <w:p w14:paraId="70A5D6E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7.35</w:t>
            </w:r>
          </w:p>
        </w:tc>
        <w:tc>
          <w:tcPr>
            <w:tcW w:w="743" w:type="dxa"/>
            <w:noWrap w:val="0"/>
            <w:vAlign w:val="center"/>
          </w:tcPr>
          <w:p w14:paraId="11D0423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w:t>
            </w:r>
          </w:p>
        </w:tc>
        <w:tc>
          <w:tcPr>
            <w:tcW w:w="753" w:type="dxa"/>
            <w:noWrap w:val="0"/>
            <w:vAlign w:val="center"/>
          </w:tcPr>
          <w:p w14:paraId="15AF61E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8.8</w:t>
            </w:r>
          </w:p>
        </w:tc>
      </w:tr>
      <w:tr w14:paraId="6DFE6F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0B2F01A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10月</w:t>
            </w:r>
          </w:p>
        </w:tc>
        <w:tc>
          <w:tcPr>
            <w:tcW w:w="742" w:type="dxa"/>
            <w:noWrap w:val="0"/>
            <w:vAlign w:val="center"/>
          </w:tcPr>
          <w:p w14:paraId="5082FBC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7.65</w:t>
            </w:r>
          </w:p>
        </w:tc>
        <w:tc>
          <w:tcPr>
            <w:tcW w:w="743" w:type="dxa"/>
            <w:noWrap w:val="0"/>
            <w:vAlign w:val="center"/>
          </w:tcPr>
          <w:p w14:paraId="57C70B5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5.85</w:t>
            </w:r>
          </w:p>
        </w:tc>
        <w:tc>
          <w:tcPr>
            <w:tcW w:w="742" w:type="dxa"/>
            <w:noWrap w:val="0"/>
            <w:vAlign w:val="center"/>
          </w:tcPr>
          <w:p w14:paraId="4957877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5.65</w:t>
            </w:r>
          </w:p>
        </w:tc>
        <w:tc>
          <w:tcPr>
            <w:tcW w:w="742" w:type="dxa"/>
            <w:noWrap w:val="0"/>
            <w:vAlign w:val="center"/>
          </w:tcPr>
          <w:p w14:paraId="572C81A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4.9</w:t>
            </w:r>
          </w:p>
        </w:tc>
        <w:tc>
          <w:tcPr>
            <w:tcW w:w="742" w:type="dxa"/>
            <w:noWrap w:val="0"/>
            <w:vAlign w:val="center"/>
          </w:tcPr>
          <w:p w14:paraId="0306DD5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8.9</w:t>
            </w:r>
          </w:p>
        </w:tc>
        <w:tc>
          <w:tcPr>
            <w:tcW w:w="743" w:type="dxa"/>
            <w:noWrap w:val="0"/>
            <w:vAlign w:val="center"/>
          </w:tcPr>
          <w:p w14:paraId="0EA72FA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15.6</w:t>
            </w:r>
          </w:p>
        </w:tc>
        <w:tc>
          <w:tcPr>
            <w:tcW w:w="742" w:type="dxa"/>
            <w:noWrap w:val="0"/>
            <w:vAlign w:val="center"/>
          </w:tcPr>
          <w:p w14:paraId="1DACD9F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6.6</w:t>
            </w:r>
          </w:p>
        </w:tc>
        <w:tc>
          <w:tcPr>
            <w:tcW w:w="742" w:type="dxa"/>
            <w:noWrap w:val="0"/>
            <w:vAlign w:val="center"/>
          </w:tcPr>
          <w:p w14:paraId="31DB4FF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3.05</w:t>
            </w:r>
          </w:p>
        </w:tc>
        <w:tc>
          <w:tcPr>
            <w:tcW w:w="743" w:type="dxa"/>
            <w:noWrap w:val="0"/>
            <w:vAlign w:val="center"/>
          </w:tcPr>
          <w:p w14:paraId="2EE1DA4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1.25</w:t>
            </w:r>
          </w:p>
        </w:tc>
        <w:tc>
          <w:tcPr>
            <w:tcW w:w="742" w:type="dxa"/>
            <w:noWrap w:val="0"/>
            <w:vAlign w:val="center"/>
          </w:tcPr>
          <w:p w14:paraId="46459D0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p>
        </w:tc>
        <w:tc>
          <w:tcPr>
            <w:tcW w:w="742" w:type="dxa"/>
            <w:noWrap w:val="0"/>
            <w:vAlign w:val="center"/>
          </w:tcPr>
          <w:p w14:paraId="6CF4B72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1.85</w:t>
            </w:r>
          </w:p>
        </w:tc>
        <w:tc>
          <w:tcPr>
            <w:tcW w:w="742" w:type="dxa"/>
            <w:noWrap w:val="0"/>
            <w:vAlign w:val="center"/>
          </w:tcPr>
          <w:p w14:paraId="0E47ADF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6.7</w:t>
            </w:r>
          </w:p>
        </w:tc>
        <w:tc>
          <w:tcPr>
            <w:tcW w:w="637" w:type="dxa"/>
            <w:noWrap w:val="0"/>
            <w:vAlign w:val="center"/>
          </w:tcPr>
          <w:p w14:paraId="007232D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3.45</w:t>
            </w:r>
          </w:p>
        </w:tc>
        <w:tc>
          <w:tcPr>
            <w:tcW w:w="848" w:type="dxa"/>
            <w:noWrap w:val="0"/>
            <w:vAlign w:val="center"/>
          </w:tcPr>
          <w:p w14:paraId="791831A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4.45</w:t>
            </w:r>
          </w:p>
        </w:tc>
        <w:tc>
          <w:tcPr>
            <w:tcW w:w="742" w:type="dxa"/>
            <w:noWrap w:val="0"/>
            <w:vAlign w:val="center"/>
          </w:tcPr>
          <w:p w14:paraId="1372F1A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6.9</w:t>
            </w:r>
          </w:p>
        </w:tc>
        <w:tc>
          <w:tcPr>
            <w:tcW w:w="743" w:type="dxa"/>
            <w:noWrap w:val="0"/>
            <w:vAlign w:val="center"/>
          </w:tcPr>
          <w:p w14:paraId="09FD5D2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7.4</w:t>
            </w:r>
          </w:p>
        </w:tc>
        <w:tc>
          <w:tcPr>
            <w:tcW w:w="753" w:type="dxa"/>
            <w:noWrap w:val="0"/>
            <w:vAlign w:val="center"/>
          </w:tcPr>
          <w:p w14:paraId="29E4AE2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8.55</w:t>
            </w:r>
          </w:p>
        </w:tc>
      </w:tr>
      <w:tr w14:paraId="7D628F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7935904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11月</w:t>
            </w:r>
          </w:p>
        </w:tc>
        <w:tc>
          <w:tcPr>
            <w:tcW w:w="742" w:type="dxa"/>
            <w:noWrap w:val="0"/>
            <w:vAlign w:val="center"/>
          </w:tcPr>
          <w:p w14:paraId="30D2253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6.6</w:t>
            </w:r>
          </w:p>
        </w:tc>
        <w:tc>
          <w:tcPr>
            <w:tcW w:w="743" w:type="dxa"/>
            <w:noWrap w:val="0"/>
            <w:vAlign w:val="center"/>
          </w:tcPr>
          <w:p w14:paraId="16EA611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4.95</w:t>
            </w:r>
          </w:p>
        </w:tc>
        <w:tc>
          <w:tcPr>
            <w:tcW w:w="742" w:type="dxa"/>
            <w:noWrap w:val="0"/>
            <w:vAlign w:val="center"/>
          </w:tcPr>
          <w:p w14:paraId="5F00E0F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4.65</w:t>
            </w:r>
          </w:p>
        </w:tc>
        <w:tc>
          <w:tcPr>
            <w:tcW w:w="742" w:type="dxa"/>
            <w:noWrap w:val="0"/>
            <w:vAlign w:val="center"/>
          </w:tcPr>
          <w:p w14:paraId="03248A9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4.5</w:t>
            </w:r>
          </w:p>
        </w:tc>
        <w:tc>
          <w:tcPr>
            <w:tcW w:w="742" w:type="dxa"/>
            <w:noWrap w:val="0"/>
            <w:vAlign w:val="center"/>
          </w:tcPr>
          <w:p w14:paraId="5E1704F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8.75</w:t>
            </w:r>
          </w:p>
        </w:tc>
        <w:tc>
          <w:tcPr>
            <w:tcW w:w="743" w:type="dxa"/>
            <w:noWrap w:val="0"/>
            <w:vAlign w:val="center"/>
          </w:tcPr>
          <w:p w14:paraId="075E57D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16.15</w:t>
            </w:r>
          </w:p>
        </w:tc>
        <w:tc>
          <w:tcPr>
            <w:tcW w:w="742" w:type="dxa"/>
            <w:noWrap w:val="0"/>
            <w:vAlign w:val="center"/>
          </w:tcPr>
          <w:p w14:paraId="5CEC5EB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7.15</w:t>
            </w:r>
          </w:p>
        </w:tc>
        <w:tc>
          <w:tcPr>
            <w:tcW w:w="742" w:type="dxa"/>
            <w:noWrap w:val="0"/>
            <w:vAlign w:val="center"/>
          </w:tcPr>
          <w:p w14:paraId="1C66AA8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3.3</w:t>
            </w:r>
          </w:p>
        </w:tc>
        <w:tc>
          <w:tcPr>
            <w:tcW w:w="743" w:type="dxa"/>
            <w:noWrap w:val="0"/>
            <w:vAlign w:val="center"/>
          </w:tcPr>
          <w:p w14:paraId="6097DC9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1.35</w:t>
            </w:r>
          </w:p>
        </w:tc>
        <w:tc>
          <w:tcPr>
            <w:tcW w:w="742" w:type="dxa"/>
            <w:noWrap w:val="0"/>
            <w:vAlign w:val="center"/>
          </w:tcPr>
          <w:p w14:paraId="5BAB1E2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1.3</w:t>
            </w:r>
          </w:p>
        </w:tc>
        <w:tc>
          <w:tcPr>
            <w:tcW w:w="742" w:type="dxa"/>
            <w:noWrap w:val="0"/>
            <w:vAlign w:val="center"/>
          </w:tcPr>
          <w:p w14:paraId="2E4664C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1.95</w:t>
            </w:r>
          </w:p>
        </w:tc>
        <w:tc>
          <w:tcPr>
            <w:tcW w:w="742" w:type="dxa"/>
            <w:noWrap w:val="0"/>
            <w:vAlign w:val="center"/>
          </w:tcPr>
          <w:p w14:paraId="02B7F65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6.95</w:t>
            </w:r>
          </w:p>
        </w:tc>
        <w:tc>
          <w:tcPr>
            <w:tcW w:w="637" w:type="dxa"/>
            <w:noWrap w:val="0"/>
            <w:vAlign w:val="center"/>
          </w:tcPr>
          <w:p w14:paraId="0B07493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4.15</w:t>
            </w:r>
          </w:p>
        </w:tc>
        <w:tc>
          <w:tcPr>
            <w:tcW w:w="848" w:type="dxa"/>
            <w:noWrap w:val="0"/>
            <w:vAlign w:val="center"/>
          </w:tcPr>
          <w:p w14:paraId="6FB2C28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5.35</w:t>
            </w:r>
          </w:p>
        </w:tc>
        <w:tc>
          <w:tcPr>
            <w:tcW w:w="742" w:type="dxa"/>
            <w:noWrap w:val="0"/>
            <w:vAlign w:val="center"/>
          </w:tcPr>
          <w:p w14:paraId="25BE5DA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7.15</w:t>
            </w:r>
          </w:p>
        </w:tc>
        <w:tc>
          <w:tcPr>
            <w:tcW w:w="743" w:type="dxa"/>
            <w:noWrap w:val="0"/>
            <w:vAlign w:val="center"/>
          </w:tcPr>
          <w:p w14:paraId="258C0CA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7.1</w:t>
            </w:r>
          </w:p>
        </w:tc>
        <w:tc>
          <w:tcPr>
            <w:tcW w:w="753" w:type="dxa"/>
            <w:noWrap w:val="0"/>
            <w:vAlign w:val="center"/>
          </w:tcPr>
          <w:p w14:paraId="59AF72D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8.55</w:t>
            </w:r>
          </w:p>
        </w:tc>
      </w:tr>
      <w:tr w14:paraId="210C84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7060A1C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12月</w:t>
            </w:r>
          </w:p>
        </w:tc>
        <w:tc>
          <w:tcPr>
            <w:tcW w:w="742" w:type="dxa"/>
            <w:noWrap w:val="0"/>
            <w:vAlign w:val="center"/>
          </w:tcPr>
          <w:p w14:paraId="7A01631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6.9</w:t>
            </w:r>
          </w:p>
        </w:tc>
        <w:tc>
          <w:tcPr>
            <w:tcW w:w="743" w:type="dxa"/>
            <w:noWrap w:val="0"/>
            <w:vAlign w:val="center"/>
          </w:tcPr>
          <w:p w14:paraId="61A7EE1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4.8</w:t>
            </w:r>
          </w:p>
        </w:tc>
        <w:tc>
          <w:tcPr>
            <w:tcW w:w="742" w:type="dxa"/>
            <w:noWrap w:val="0"/>
            <w:vAlign w:val="center"/>
          </w:tcPr>
          <w:p w14:paraId="1F340BC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4.65</w:t>
            </w:r>
          </w:p>
        </w:tc>
        <w:tc>
          <w:tcPr>
            <w:tcW w:w="742" w:type="dxa"/>
            <w:noWrap w:val="0"/>
            <w:vAlign w:val="center"/>
          </w:tcPr>
          <w:p w14:paraId="3A14099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4.05</w:t>
            </w:r>
          </w:p>
        </w:tc>
        <w:tc>
          <w:tcPr>
            <w:tcW w:w="742" w:type="dxa"/>
            <w:noWrap w:val="0"/>
            <w:vAlign w:val="center"/>
          </w:tcPr>
          <w:p w14:paraId="70559F5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7.95</w:t>
            </w:r>
          </w:p>
        </w:tc>
        <w:tc>
          <w:tcPr>
            <w:tcW w:w="743" w:type="dxa"/>
            <w:noWrap w:val="0"/>
            <w:vAlign w:val="center"/>
          </w:tcPr>
          <w:p w14:paraId="2A0281A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14.85</w:t>
            </w:r>
          </w:p>
        </w:tc>
        <w:tc>
          <w:tcPr>
            <w:tcW w:w="742" w:type="dxa"/>
            <w:noWrap w:val="0"/>
            <w:vAlign w:val="center"/>
          </w:tcPr>
          <w:p w14:paraId="666FB5C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6.45</w:t>
            </w:r>
          </w:p>
        </w:tc>
        <w:tc>
          <w:tcPr>
            <w:tcW w:w="742" w:type="dxa"/>
            <w:noWrap w:val="0"/>
            <w:vAlign w:val="center"/>
          </w:tcPr>
          <w:p w14:paraId="5DF5214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3.05</w:t>
            </w:r>
          </w:p>
        </w:tc>
        <w:tc>
          <w:tcPr>
            <w:tcW w:w="743" w:type="dxa"/>
            <w:noWrap w:val="0"/>
            <w:vAlign w:val="center"/>
          </w:tcPr>
          <w:p w14:paraId="2F9695A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1.6</w:t>
            </w:r>
          </w:p>
        </w:tc>
        <w:tc>
          <w:tcPr>
            <w:tcW w:w="742" w:type="dxa"/>
            <w:noWrap w:val="0"/>
            <w:vAlign w:val="center"/>
          </w:tcPr>
          <w:p w14:paraId="3D9C6C0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1.7</w:t>
            </w:r>
          </w:p>
        </w:tc>
        <w:tc>
          <w:tcPr>
            <w:tcW w:w="742" w:type="dxa"/>
            <w:noWrap w:val="0"/>
            <w:vAlign w:val="center"/>
          </w:tcPr>
          <w:p w14:paraId="6D2DA90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2.5</w:t>
            </w:r>
          </w:p>
        </w:tc>
        <w:tc>
          <w:tcPr>
            <w:tcW w:w="742" w:type="dxa"/>
            <w:noWrap w:val="0"/>
            <w:vAlign w:val="center"/>
          </w:tcPr>
          <w:p w14:paraId="1BFB469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7.65</w:t>
            </w:r>
          </w:p>
        </w:tc>
        <w:tc>
          <w:tcPr>
            <w:tcW w:w="637" w:type="dxa"/>
            <w:noWrap w:val="0"/>
            <w:vAlign w:val="center"/>
          </w:tcPr>
          <w:p w14:paraId="4F7BB1B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4.5</w:t>
            </w:r>
          </w:p>
        </w:tc>
        <w:tc>
          <w:tcPr>
            <w:tcW w:w="848" w:type="dxa"/>
            <w:noWrap w:val="0"/>
            <w:vAlign w:val="center"/>
          </w:tcPr>
          <w:p w14:paraId="30F31B3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5.15</w:t>
            </w:r>
          </w:p>
        </w:tc>
        <w:tc>
          <w:tcPr>
            <w:tcW w:w="742" w:type="dxa"/>
            <w:noWrap w:val="0"/>
            <w:vAlign w:val="center"/>
          </w:tcPr>
          <w:p w14:paraId="4B57554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7.6</w:t>
            </w:r>
          </w:p>
        </w:tc>
        <w:tc>
          <w:tcPr>
            <w:tcW w:w="743" w:type="dxa"/>
            <w:noWrap w:val="0"/>
            <w:vAlign w:val="center"/>
          </w:tcPr>
          <w:p w14:paraId="4E2A5C8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7.6</w:t>
            </w:r>
          </w:p>
        </w:tc>
        <w:tc>
          <w:tcPr>
            <w:tcW w:w="753" w:type="dxa"/>
            <w:noWrap w:val="0"/>
            <w:vAlign w:val="center"/>
          </w:tcPr>
          <w:p w14:paraId="6BFDC30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8.85</w:t>
            </w:r>
          </w:p>
        </w:tc>
      </w:tr>
      <w:tr w14:paraId="2900A3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4E58B5A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全年</w:t>
            </w:r>
          </w:p>
        </w:tc>
        <w:tc>
          <w:tcPr>
            <w:tcW w:w="742" w:type="dxa"/>
            <w:noWrap w:val="0"/>
            <w:vAlign w:val="center"/>
          </w:tcPr>
          <w:p w14:paraId="619A236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4.26</w:t>
            </w:r>
          </w:p>
        </w:tc>
        <w:tc>
          <w:tcPr>
            <w:tcW w:w="743" w:type="dxa"/>
            <w:noWrap w:val="0"/>
            <w:vAlign w:val="center"/>
          </w:tcPr>
          <w:p w14:paraId="2EC4C65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3.87</w:t>
            </w:r>
          </w:p>
        </w:tc>
        <w:tc>
          <w:tcPr>
            <w:tcW w:w="742" w:type="dxa"/>
            <w:noWrap w:val="0"/>
            <w:vAlign w:val="center"/>
          </w:tcPr>
          <w:p w14:paraId="45470F6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5.37</w:t>
            </w:r>
          </w:p>
        </w:tc>
        <w:tc>
          <w:tcPr>
            <w:tcW w:w="742" w:type="dxa"/>
            <w:noWrap w:val="0"/>
            <w:vAlign w:val="center"/>
          </w:tcPr>
          <w:p w14:paraId="02DF8FB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7.14</w:t>
            </w:r>
          </w:p>
        </w:tc>
        <w:tc>
          <w:tcPr>
            <w:tcW w:w="742" w:type="dxa"/>
            <w:noWrap w:val="0"/>
            <w:vAlign w:val="center"/>
          </w:tcPr>
          <w:p w14:paraId="79B61A2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16.41</w:t>
            </w:r>
          </w:p>
        </w:tc>
        <w:tc>
          <w:tcPr>
            <w:tcW w:w="743" w:type="dxa"/>
            <w:noWrap w:val="0"/>
            <w:vAlign w:val="center"/>
          </w:tcPr>
          <w:p w14:paraId="3091D24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11.49</w:t>
            </w:r>
          </w:p>
        </w:tc>
        <w:tc>
          <w:tcPr>
            <w:tcW w:w="742" w:type="dxa"/>
            <w:noWrap w:val="0"/>
            <w:vAlign w:val="center"/>
          </w:tcPr>
          <w:p w14:paraId="680D5F2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5.03</w:t>
            </w:r>
          </w:p>
        </w:tc>
        <w:tc>
          <w:tcPr>
            <w:tcW w:w="742" w:type="dxa"/>
            <w:noWrap w:val="0"/>
            <w:vAlign w:val="center"/>
          </w:tcPr>
          <w:p w14:paraId="504BD83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3.64</w:t>
            </w:r>
          </w:p>
        </w:tc>
        <w:tc>
          <w:tcPr>
            <w:tcW w:w="743" w:type="dxa"/>
            <w:noWrap w:val="0"/>
            <w:vAlign w:val="center"/>
          </w:tcPr>
          <w:p w14:paraId="69995D2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2.53</w:t>
            </w:r>
          </w:p>
        </w:tc>
        <w:tc>
          <w:tcPr>
            <w:tcW w:w="742" w:type="dxa"/>
            <w:noWrap w:val="0"/>
            <w:vAlign w:val="center"/>
          </w:tcPr>
          <w:p w14:paraId="5A662FA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2.31</w:t>
            </w:r>
          </w:p>
        </w:tc>
        <w:tc>
          <w:tcPr>
            <w:tcW w:w="742" w:type="dxa"/>
            <w:noWrap w:val="0"/>
            <w:vAlign w:val="center"/>
          </w:tcPr>
          <w:p w14:paraId="02FDDD3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3.93</w:t>
            </w:r>
          </w:p>
        </w:tc>
        <w:tc>
          <w:tcPr>
            <w:tcW w:w="742" w:type="dxa"/>
            <w:noWrap w:val="0"/>
            <w:vAlign w:val="center"/>
          </w:tcPr>
          <w:p w14:paraId="1EBE7A0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5.62</w:t>
            </w:r>
          </w:p>
        </w:tc>
        <w:tc>
          <w:tcPr>
            <w:tcW w:w="637" w:type="dxa"/>
            <w:noWrap w:val="0"/>
            <w:vAlign w:val="center"/>
          </w:tcPr>
          <w:p w14:paraId="41F0C41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4.38</w:t>
            </w:r>
          </w:p>
        </w:tc>
        <w:tc>
          <w:tcPr>
            <w:tcW w:w="848" w:type="dxa"/>
            <w:noWrap w:val="0"/>
            <w:vAlign w:val="center"/>
          </w:tcPr>
          <w:p w14:paraId="60AC93D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4.46</w:t>
            </w:r>
          </w:p>
        </w:tc>
        <w:tc>
          <w:tcPr>
            <w:tcW w:w="742" w:type="dxa"/>
            <w:noWrap w:val="0"/>
            <w:vAlign w:val="center"/>
          </w:tcPr>
          <w:p w14:paraId="7E9E5C3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5.39</w:t>
            </w:r>
          </w:p>
        </w:tc>
        <w:tc>
          <w:tcPr>
            <w:tcW w:w="743" w:type="dxa"/>
            <w:noWrap w:val="0"/>
            <w:vAlign w:val="center"/>
          </w:tcPr>
          <w:p w14:paraId="78F5799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4.61</w:t>
            </w:r>
          </w:p>
        </w:tc>
        <w:tc>
          <w:tcPr>
            <w:tcW w:w="753" w:type="dxa"/>
            <w:noWrap w:val="0"/>
            <w:vAlign w:val="center"/>
          </w:tcPr>
          <w:p w14:paraId="2708701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9.17</w:t>
            </w:r>
          </w:p>
        </w:tc>
      </w:tr>
      <w:tr w14:paraId="3D13EF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77CD7DC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春季</w:t>
            </w:r>
          </w:p>
        </w:tc>
        <w:tc>
          <w:tcPr>
            <w:tcW w:w="742" w:type="dxa"/>
            <w:noWrap w:val="0"/>
            <w:vAlign w:val="center"/>
          </w:tcPr>
          <w:p w14:paraId="5C8A6EA4">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6.05 </w:t>
            </w:r>
          </w:p>
        </w:tc>
        <w:tc>
          <w:tcPr>
            <w:tcW w:w="743" w:type="dxa"/>
            <w:noWrap w:val="0"/>
            <w:vAlign w:val="center"/>
          </w:tcPr>
          <w:p w14:paraId="3CA84C1F">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5.07 </w:t>
            </w:r>
          </w:p>
        </w:tc>
        <w:tc>
          <w:tcPr>
            <w:tcW w:w="742" w:type="dxa"/>
            <w:noWrap w:val="0"/>
            <w:vAlign w:val="center"/>
          </w:tcPr>
          <w:p w14:paraId="4293A70B">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5.35 </w:t>
            </w:r>
          </w:p>
        </w:tc>
        <w:tc>
          <w:tcPr>
            <w:tcW w:w="742" w:type="dxa"/>
            <w:noWrap w:val="0"/>
            <w:vAlign w:val="center"/>
          </w:tcPr>
          <w:p w14:paraId="310277AE">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4.80 </w:t>
            </w:r>
          </w:p>
        </w:tc>
        <w:tc>
          <w:tcPr>
            <w:tcW w:w="742" w:type="dxa"/>
            <w:noWrap w:val="0"/>
            <w:vAlign w:val="center"/>
          </w:tcPr>
          <w:p w14:paraId="545E54EB">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9.07 </w:t>
            </w:r>
          </w:p>
        </w:tc>
        <w:tc>
          <w:tcPr>
            <w:tcW w:w="743" w:type="dxa"/>
            <w:noWrap w:val="0"/>
            <w:vAlign w:val="center"/>
          </w:tcPr>
          <w:p w14:paraId="6E56A86F">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14.85 </w:t>
            </w:r>
          </w:p>
        </w:tc>
        <w:tc>
          <w:tcPr>
            <w:tcW w:w="742" w:type="dxa"/>
            <w:noWrap w:val="0"/>
            <w:vAlign w:val="center"/>
          </w:tcPr>
          <w:p w14:paraId="7FE59F83">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6.47 </w:t>
            </w:r>
          </w:p>
        </w:tc>
        <w:tc>
          <w:tcPr>
            <w:tcW w:w="742" w:type="dxa"/>
            <w:noWrap w:val="0"/>
            <w:vAlign w:val="center"/>
          </w:tcPr>
          <w:p w14:paraId="7A47050E">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3.03 </w:t>
            </w:r>
          </w:p>
        </w:tc>
        <w:tc>
          <w:tcPr>
            <w:tcW w:w="743" w:type="dxa"/>
            <w:noWrap w:val="0"/>
            <w:vAlign w:val="center"/>
          </w:tcPr>
          <w:p w14:paraId="21B04570">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1.60</w:t>
            </w:r>
          </w:p>
        </w:tc>
        <w:tc>
          <w:tcPr>
            <w:tcW w:w="742" w:type="dxa"/>
            <w:noWrap w:val="0"/>
            <w:vAlign w:val="center"/>
          </w:tcPr>
          <w:p w14:paraId="65A190EA">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1.35</w:t>
            </w:r>
          </w:p>
        </w:tc>
        <w:tc>
          <w:tcPr>
            <w:tcW w:w="742" w:type="dxa"/>
            <w:noWrap w:val="0"/>
            <w:vAlign w:val="center"/>
          </w:tcPr>
          <w:p w14:paraId="695500D6">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2.33</w:t>
            </w:r>
          </w:p>
        </w:tc>
        <w:tc>
          <w:tcPr>
            <w:tcW w:w="742" w:type="dxa"/>
            <w:noWrap w:val="0"/>
            <w:vAlign w:val="center"/>
          </w:tcPr>
          <w:p w14:paraId="0F718EEE">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7.25</w:t>
            </w:r>
          </w:p>
        </w:tc>
        <w:tc>
          <w:tcPr>
            <w:tcW w:w="637" w:type="dxa"/>
            <w:noWrap w:val="0"/>
            <w:vAlign w:val="center"/>
          </w:tcPr>
          <w:p w14:paraId="3037EBA2">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4.15</w:t>
            </w:r>
          </w:p>
        </w:tc>
        <w:tc>
          <w:tcPr>
            <w:tcW w:w="848" w:type="dxa"/>
            <w:noWrap w:val="0"/>
            <w:vAlign w:val="center"/>
          </w:tcPr>
          <w:p w14:paraId="7B161BF7">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5.60</w:t>
            </w:r>
          </w:p>
        </w:tc>
        <w:tc>
          <w:tcPr>
            <w:tcW w:w="742" w:type="dxa"/>
            <w:noWrap w:val="0"/>
            <w:vAlign w:val="center"/>
          </w:tcPr>
          <w:p w14:paraId="0A336AA9">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7.18</w:t>
            </w:r>
          </w:p>
        </w:tc>
        <w:tc>
          <w:tcPr>
            <w:tcW w:w="743" w:type="dxa"/>
            <w:noWrap w:val="0"/>
            <w:vAlign w:val="center"/>
          </w:tcPr>
          <w:p w14:paraId="31710CB2">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6.48</w:t>
            </w:r>
          </w:p>
        </w:tc>
        <w:tc>
          <w:tcPr>
            <w:tcW w:w="753" w:type="dxa"/>
            <w:noWrap w:val="0"/>
            <w:vAlign w:val="center"/>
          </w:tcPr>
          <w:p w14:paraId="20CEDA2E">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9.32</w:t>
            </w:r>
          </w:p>
        </w:tc>
      </w:tr>
      <w:tr w14:paraId="6D49C6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6B06755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夏季</w:t>
            </w:r>
          </w:p>
        </w:tc>
        <w:tc>
          <w:tcPr>
            <w:tcW w:w="742" w:type="dxa"/>
            <w:noWrap w:val="0"/>
            <w:vAlign w:val="center"/>
          </w:tcPr>
          <w:p w14:paraId="5EAB3AB9">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5.97 </w:t>
            </w:r>
          </w:p>
        </w:tc>
        <w:tc>
          <w:tcPr>
            <w:tcW w:w="743" w:type="dxa"/>
            <w:noWrap w:val="0"/>
            <w:vAlign w:val="center"/>
          </w:tcPr>
          <w:p w14:paraId="7917BBAC">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3.82 </w:t>
            </w:r>
          </w:p>
        </w:tc>
        <w:tc>
          <w:tcPr>
            <w:tcW w:w="742" w:type="dxa"/>
            <w:noWrap w:val="0"/>
            <w:vAlign w:val="center"/>
          </w:tcPr>
          <w:p w14:paraId="2AD24D18">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3.48 </w:t>
            </w:r>
          </w:p>
        </w:tc>
        <w:tc>
          <w:tcPr>
            <w:tcW w:w="742" w:type="dxa"/>
            <w:noWrap w:val="0"/>
            <w:vAlign w:val="center"/>
          </w:tcPr>
          <w:p w14:paraId="3CA06C36">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3.93 </w:t>
            </w:r>
          </w:p>
        </w:tc>
        <w:tc>
          <w:tcPr>
            <w:tcW w:w="742" w:type="dxa"/>
            <w:noWrap w:val="0"/>
            <w:vAlign w:val="center"/>
          </w:tcPr>
          <w:p w14:paraId="58D3BB84">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9.28 </w:t>
            </w:r>
          </w:p>
        </w:tc>
        <w:tc>
          <w:tcPr>
            <w:tcW w:w="743" w:type="dxa"/>
            <w:noWrap w:val="0"/>
            <w:vAlign w:val="center"/>
          </w:tcPr>
          <w:p w14:paraId="28AD4934">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16.70 </w:t>
            </w:r>
          </w:p>
        </w:tc>
        <w:tc>
          <w:tcPr>
            <w:tcW w:w="742" w:type="dxa"/>
            <w:noWrap w:val="0"/>
            <w:vAlign w:val="center"/>
          </w:tcPr>
          <w:p w14:paraId="4811D5F8">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8.27 </w:t>
            </w:r>
          </w:p>
        </w:tc>
        <w:tc>
          <w:tcPr>
            <w:tcW w:w="742" w:type="dxa"/>
            <w:noWrap w:val="0"/>
            <w:vAlign w:val="center"/>
          </w:tcPr>
          <w:p w14:paraId="53F2BE7B">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4.12 </w:t>
            </w:r>
          </w:p>
        </w:tc>
        <w:tc>
          <w:tcPr>
            <w:tcW w:w="743" w:type="dxa"/>
            <w:noWrap w:val="0"/>
            <w:vAlign w:val="center"/>
          </w:tcPr>
          <w:p w14:paraId="6EC11F52">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2.38</w:t>
            </w:r>
          </w:p>
        </w:tc>
        <w:tc>
          <w:tcPr>
            <w:tcW w:w="742" w:type="dxa"/>
            <w:noWrap w:val="0"/>
            <w:vAlign w:val="center"/>
          </w:tcPr>
          <w:p w14:paraId="2E5CA2CC">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1.93</w:t>
            </w:r>
          </w:p>
        </w:tc>
        <w:tc>
          <w:tcPr>
            <w:tcW w:w="742" w:type="dxa"/>
            <w:noWrap w:val="0"/>
            <w:vAlign w:val="center"/>
          </w:tcPr>
          <w:p w14:paraId="2353A9FC">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2.82</w:t>
            </w:r>
          </w:p>
        </w:tc>
        <w:tc>
          <w:tcPr>
            <w:tcW w:w="742" w:type="dxa"/>
            <w:noWrap w:val="0"/>
            <w:vAlign w:val="center"/>
          </w:tcPr>
          <w:p w14:paraId="530D03F8">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7.55</w:t>
            </w:r>
          </w:p>
        </w:tc>
        <w:tc>
          <w:tcPr>
            <w:tcW w:w="637" w:type="dxa"/>
            <w:noWrap w:val="0"/>
            <w:vAlign w:val="center"/>
          </w:tcPr>
          <w:p w14:paraId="7CAE0FB0">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4.27</w:t>
            </w:r>
          </w:p>
        </w:tc>
        <w:tc>
          <w:tcPr>
            <w:tcW w:w="848" w:type="dxa"/>
            <w:noWrap w:val="0"/>
            <w:vAlign w:val="center"/>
          </w:tcPr>
          <w:p w14:paraId="0EC57EFA">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4.85</w:t>
            </w:r>
          </w:p>
        </w:tc>
        <w:tc>
          <w:tcPr>
            <w:tcW w:w="742" w:type="dxa"/>
            <w:noWrap w:val="0"/>
            <w:vAlign w:val="center"/>
          </w:tcPr>
          <w:p w14:paraId="6749E0ED">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6.63</w:t>
            </w:r>
          </w:p>
        </w:tc>
        <w:tc>
          <w:tcPr>
            <w:tcW w:w="743" w:type="dxa"/>
            <w:noWrap w:val="0"/>
            <w:vAlign w:val="center"/>
          </w:tcPr>
          <w:p w14:paraId="1A938CB3">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6.10</w:t>
            </w:r>
          </w:p>
        </w:tc>
        <w:tc>
          <w:tcPr>
            <w:tcW w:w="753" w:type="dxa"/>
            <w:noWrap w:val="0"/>
            <w:vAlign w:val="center"/>
          </w:tcPr>
          <w:p w14:paraId="31EEBFCC">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7.83</w:t>
            </w:r>
          </w:p>
        </w:tc>
      </w:tr>
      <w:tr w14:paraId="15DCB2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343A9C4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秋季</w:t>
            </w:r>
          </w:p>
        </w:tc>
        <w:tc>
          <w:tcPr>
            <w:tcW w:w="742" w:type="dxa"/>
            <w:noWrap w:val="0"/>
            <w:vAlign w:val="center"/>
          </w:tcPr>
          <w:p w14:paraId="3BAB1D9B">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6.30 </w:t>
            </w:r>
          </w:p>
        </w:tc>
        <w:tc>
          <w:tcPr>
            <w:tcW w:w="743" w:type="dxa"/>
            <w:noWrap w:val="0"/>
            <w:vAlign w:val="center"/>
          </w:tcPr>
          <w:p w14:paraId="61B7085B">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4.43 </w:t>
            </w:r>
          </w:p>
        </w:tc>
        <w:tc>
          <w:tcPr>
            <w:tcW w:w="742" w:type="dxa"/>
            <w:noWrap w:val="0"/>
            <w:vAlign w:val="center"/>
          </w:tcPr>
          <w:p w14:paraId="018D70D3">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4.60 </w:t>
            </w:r>
          </w:p>
        </w:tc>
        <w:tc>
          <w:tcPr>
            <w:tcW w:w="742" w:type="dxa"/>
            <w:noWrap w:val="0"/>
            <w:vAlign w:val="center"/>
          </w:tcPr>
          <w:p w14:paraId="7936A610">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4.92 </w:t>
            </w:r>
          </w:p>
        </w:tc>
        <w:tc>
          <w:tcPr>
            <w:tcW w:w="742" w:type="dxa"/>
            <w:noWrap w:val="0"/>
            <w:vAlign w:val="center"/>
          </w:tcPr>
          <w:p w14:paraId="2B8438C2">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9.50 </w:t>
            </w:r>
          </w:p>
        </w:tc>
        <w:tc>
          <w:tcPr>
            <w:tcW w:w="743" w:type="dxa"/>
            <w:noWrap w:val="0"/>
            <w:vAlign w:val="center"/>
          </w:tcPr>
          <w:p w14:paraId="72BCF840">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16.45 </w:t>
            </w:r>
          </w:p>
        </w:tc>
        <w:tc>
          <w:tcPr>
            <w:tcW w:w="742" w:type="dxa"/>
            <w:noWrap w:val="0"/>
            <w:vAlign w:val="center"/>
          </w:tcPr>
          <w:p w14:paraId="14E0064A">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7.38 </w:t>
            </w:r>
          </w:p>
        </w:tc>
        <w:tc>
          <w:tcPr>
            <w:tcW w:w="742" w:type="dxa"/>
            <w:noWrap w:val="0"/>
            <w:vAlign w:val="center"/>
          </w:tcPr>
          <w:p w14:paraId="0FD0D47B">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3.75 </w:t>
            </w:r>
          </w:p>
        </w:tc>
        <w:tc>
          <w:tcPr>
            <w:tcW w:w="743" w:type="dxa"/>
            <w:noWrap w:val="0"/>
            <w:vAlign w:val="center"/>
          </w:tcPr>
          <w:p w14:paraId="3707A59C">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2.28</w:t>
            </w:r>
          </w:p>
        </w:tc>
        <w:tc>
          <w:tcPr>
            <w:tcW w:w="742" w:type="dxa"/>
            <w:noWrap w:val="0"/>
            <w:vAlign w:val="center"/>
          </w:tcPr>
          <w:p w14:paraId="0FBBE34F">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1.87</w:t>
            </w:r>
          </w:p>
        </w:tc>
        <w:tc>
          <w:tcPr>
            <w:tcW w:w="742" w:type="dxa"/>
            <w:noWrap w:val="0"/>
            <w:vAlign w:val="center"/>
          </w:tcPr>
          <w:p w14:paraId="78D3C94B">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2.35</w:t>
            </w:r>
          </w:p>
        </w:tc>
        <w:tc>
          <w:tcPr>
            <w:tcW w:w="742" w:type="dxa"/>
            <w:noWrap w:val="0"/>
            <w:vAlign w:val="center"/>
          </w:tcPr>
          <w:p w14:paraId="71436008">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6.93</w:t>
            </w:r>
          </w:p>
        </w:tc>
        <w:tc>
          <w:tcPr>
            <w:tcW w:w="637" w:type="dxa"/>
            <w:noWrap w:val="0"/>
            <w:vAlign w:val="center"/>
          </w:tcPr>
          <w:p w14:paraId="1428AADD">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3.62</w:t>
            </w:r>
          </w:p>
        </w:tc>
        <w:tc>
          <w:tcPr>
            <w:tcW w:w="848" w:type="dxa"/>
            <w:noWrap w:val="0"/>
            <w:vAlign w:val="center"/>
          </w:tcPr>
          <w:p w14:paraId="497DE63A">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4.48</w:t>
            </w:r>
          </w:p>
        </w:tc>
        <w:tc>
          <w:tcPr>
            <w:tcW w:w="742" w:type="dxa"/>
            <w:noWrap w:val="0"/>
            <w:vAlign w:val="center"/>
          </w:tcPr>
          <w:p w14:paraId="7F9FF589">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6.48</w:t>
            </w:r>
          </w:p>
        </w:tc>
        <w:tc>
          <w:tcPr>
            <w:tcW w:w="743" w:type="dxa"/>
            <w:noWrap w:val="0"/>
            <w:vAlign w:val="center"/>
          </w:tcPr>
          <w:p w14:paraId="4F95E3D6">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6.38</w:t>
            </w:r>
          </w:p>
        </w:tc>
        <w:tc>
          <w:tcPr>
            <w:tcW w:w="753" w:type="dxa"/>
            <w:noWrap w:val="0"/>
            <w:vAlign w:val="center"/>
          </w:tcPr>
          <w:p w14:paraId="3F5ED7E1">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8.07</w:t>
            </w:r>
          </w:p>
        </w:tc>
      </w:tr>
      <w:tr w14:paraId="1CE9FA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1300" w:type="dxa"/>
            <w:noWrap w:val="0"/>
            <w:vAlign w:val="center"/>
          </w:tcPr>
          <w:p w14:paraId="246F9E6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冬季</w:t>
            </w:r>
          </w:p>
        </w:tc>
        <w:tc>
          <w:tcPr>
            <w:tcW w:w="742" w:type="dxa"/>
            <w:noWrap w:val="0"/>
            <w:vAlign w:val="center"/>
          </w:tcPr>
          <w:p w14:paraId="6047AE3A">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7.05 </w:t>
            </w:r>
          </w:p>
        </w:tc>
        <w:tc>
          <w:tcPr>
            <w:tcW w:w="743" w:type="dxa"/>
            <w:noWrap w:val="0"/>
            <w:vAlign w:val="center"/>
          </w:tcPr>
          <w:p w14:paraId="241453ED">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5.20 </w:t>
            </w:r>
          </w:p>
        </w:tc>
        <w:tc>
          <w:tcPr>
            <w:tcW w:w="742" w:type="dxa"/>
            <w:noWrap w:val="0"/>
            <w:vAlign w:val="center"/>
          </w:tcPr>
          <w:p w14:paraId="3D5DF54C">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4.98 </w:t>
            </w:r>
          </w:p>
        </w:tc>
        <w:tc>
          <w:tcPr>
            <w:tcW w:w="742" w:type="dxa"/>
            <w:noWrap w:val="0"/>
            <w:vAlign w:val="center"/>
          </w:tcPr>
          <w:p w14:paraId="73AD6B7D">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4.48 </w:t>
            </w:r>
          </w:p>
        </w:tc>
        <w:tc>
          <w:tcPr>
            <w:tcW w:w="742" w:type="dxa"/>
            <w:noWrap w:val="0"/>
            <w:vAlign w:val="center"/>
          </w:tcPr>
          <w:p w14:paraId="08F5520C">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8.53 </w:t>
            </w:r>
          </w:p>
        </w:tc>
        <w:tc>
          <w:tcPr>
            <w:tcW w:w="743" w:type="dxa"/>
            <w:noWrap w:val="0"/>
            <w:vAlign w:val="center"/>
          </w:tcPr>
          <w:p w14:paraId="6E1B4A79">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15.53 </w:t>
            </w:r>
          </w:p>
        </w:tc>
        <w:tc>
          <w:tcPr>
            <w:tcW w:w="742" w:type="dxa"/>
            <w:noWrap w:val="0"/>
            <w:vAlign w:val="center"/>
          </w:tcPr>
          <w:p w14:paraId="1B4B3F7A">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6.73 </w:t>
            </w:r>
          </w:p>
        </w:tc>
        <w:tc>
          <w:tcPr>
            <w:tcW w:w="742" w:type="dxa"/>
            <w:noWrap w:val="0"/>
            <w:vAlign w:val="center"/>
          </w:tcPr>
          <w:p w14:paraId="5A9542D0">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 xml:space="preserve">3.13 </w:t>
            </w:r>
          </w:p>
        </w:tc>
        <w:tc>
          <w:tcPr>
            <w:tcW w:w="743" w:type="dxa"/>
            <w:noWrap w:val="0"/>
            <w:vAlign w:val="center"/>
          </w:tcPr>
          <w:p w14:paraId="4C74A0D0">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1.40</w:t>
            </w:r>
          </w:p>
        </w:tc>
        <w:tc>
          <w:tcPr>
            <w:tcW w:w="742" w:type="dxa"/>
            <w:noWrap w:val="0"/>
            <w:vAlign w:val="center"/>
          </w:tcPr>
          <w:p w14:paraId="0BB3573A">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1.33</w:t>
            </w:r>
          </w:p>
        </w:tc>
        <w:tc>
          <w:tcPr>
            <w:tcW w:w="742" w:type="dxa"/>
            <w:noWrap w:val="0"/>
            <w:vAlign w:val="center"/>
          </w:tcPr>
          <w:p w14:paraId="34A4B016">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2.10</w:t>
            </w:r>
          </w:p>
        </w:tc>
        <w:tc>
          <w:tcPr>
            <w:tcW w:w="742" w:type="dxa"/>
            <w:noWrap w:val="0"/>
            <w:vAlign w:val="center"/>
          </w:tcPr>
          <w:p w14:paraId="650DBD02">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7.10</w:t>
            </w:r>
          </w:p>
        </w:tc>
        <w:tc>
          <w:tcPr>
            <w:tcW w:w="637" w:type="dxa"/>
            <w:noWrap w:val="0"/>
            <w:vAlign w:val="center"/>
          </w:tcPr>
          <w:p w14:paraId="6499FCF8">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4.03</w:t>
            </w:r>
          </w:p>
        </w:tc>
        <w:tc>
          <w:tcPr>
            <w:tcW w:w="848" w:type="dxa"/>
            <w:noWrap w:val="0"/>
            <w:vAlign w:val="center"/>
          </w:tcPr>
          <w:p w14:paraId="487DF1FC">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4.98</w:t>
            </w:r>
          </w:p>
        </w:tc>
        <w:tc>
          <w:tcPr>
            <w:tcW w:w="742" w:type="dxa"/>
            <w:noWrap w:val="0"/>
            <w:vAlign w:val="center"/>
          </w:tcPr>
          <w:p w14:paraId="17BB3DAA">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7.22</w:t>
            </w:r>
          </w:p>
        </w:tc>
        <w:tc>
          <w:tcPr>
            <w:tcW w:w="743" w:type="dxa"/>
            <w:noWrap w:val="0"/>
            <w:vAlign w:val="center"/>
          </w:tcPr>
          <w:p w14:paraId="7105D040">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7.37</w:t>
            </w:r>
          </w:p>
        </w:tc>
        <w:tc>
          <w:tcPr>
            <w:tcW w:w="753" w:type="dxa"/>
            <w:noWrap w:val="0"/>
            <w:vAlign w:val="center"/>
          </w:tcPr>
          <w:p w14:paraId="0504BD2A">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8.65</w:t>
            </w:r>
          </w:p>
        </w:tc>
      </w:tr>
    </w:tbl>
    <w:p w14:paraId="73346AB5">
      <w:pPr>
        <w:spacing w:line="400" w:lineRule="exact"/>
        <w:jc w:val="center"/>
        <w:rPr>
          <w:rFonts w:eastAsia="黑体"/>
          <w:color w:val="auto"/>
          <w:sz w:val="24"/>
        </w:rPr>
      </w:pPr>
    </w:p>
    <w:p w14:paraId="6118C8E3">
      <w:pPr>
        <w:rPr>
          <w:color w:val="auto"/>
        </w:rPr>
        <w:sectPr>
          <w:footerReference r:id="rId16" w:type="default"/>
          <w:pgSz w:w="16840" w:h="11907" w:orient="landscape"/>
          <w:pgMar w:top="1440" w:right="1440" w:bottom="1440" w:left="1440" w:header="851" w:footer="850" w:gutter="0"/>
          <w:pgBorders>
            <w:top w:val="none" w:sz="0" w:space="0"/>
            <w:left w:val="none" w:sz="0" w:space="0"/>
            <w:bottom w:val="none" w:sz="0" w:space="0"/>
            <w:right w:val="none" w:sz="0" w:space="0"/>
          </w:pgBorders>
          <w:cols w:space="720" w:num="1"/>
          <w:docGrid w:type="lines" w:linePitch="326" w:charSpace="0"/>
        </w:sectPr>
      </w:pPr>
    </w:p>
    <w:p w14:paraId="343C88DA">
      <w:pPr>
        <w:pStyle w:val="5"/>
        <w:numPr>
          <w:ilvl w:val="0"/>
          <w:numId w:val="0"/>
        </w:numPr>
        <w:rPr>
          <w:color w:val="auto"/>
        </w:rPr>
      </w:pPr>
      <w:r>
        <w:rPr>
          <w:rFonts w:hint="eastAsia"/>
          <w:color w:val="auto"/>
        </w:rPr>
        <w:t>5.2.2.2评价</w:t>
      </w:r>
      <w:r>
        <w:rPr>
          <w:color w:val="auto"/>
        </w:rPr>
        <w:t>基准年</w:t>
      </w:r>
      <w:r>
        <w:rPr>
          <w:rFonts w:hint="eastAsia"/>
          <w:color w:val="auto"/>
        </w:rPr>
        <w:t>2</w:t>
      </w:r>
      <w:r>
        <w:rPr>
          <w:color w:val="auto"/>
        </w:rPr>
        <w:t>02</w:t>
      </w:r>
      <w:r>
        <w:rPr>
          <w:rFonts w:hint="eastAsia"/>
          <w:color w:val="auto"/>
        </w:rPr>
        <w:t>2</w:t>
      </w:r>
      <w:r>
        <w:rPr>
          <w:color w:val="auto"/>
        </w:rPr>
        <w:t>年气象资料统计</w:t>
      </w:r>
    </w:p>
    <w:p w14:paraId="06AEE6B9">
      <w:pPr>
        <w:spacing w:line="360" w:lineRule="auto"/>
        <w:ind w:firstLine="480" w:firstLineChars="200"/>
        <w:rPr>
          <w:color w:val="auto"/>
          <w:sz w:val="24"/>
        </w:rPr>
      </w:pPr>
      <w:r>
        <w:rPr>
          <w:rFonts w:hint="eastAsia"/>
          <w:color w:val="auto"/>
          <w:sz w:val="24"/>
        </w:rPr>
        <w:t>淮南</w:t>
      </w:r>
      <w:r>
        <w:rPr>
          <w:color w:val="auto"/>
          <w:sz w:val="24"/>
        </w:rPr>
        <w:t>市202</w:t>
      </w:r>
      <w:r>
        <w:rPr>
          <w:rFonts w:hint="eastAsia"/>
          <w:color w:val="auto"/>
          <w:sz w:val="24"/>
        </w:rPr>
        <w:t>2</w:t>
      </w:r>
      <w:r>
        <w:rPr>
          <w:color w:val="auto"/>
          <w:sz w:val="24"/>
        </w:rPr>
        <w:t>年年均温度月变化、年均风速月变化、季小时平均风速日变化和年均风频的月变化、季节变化及年变化，</w:t>
      </w:r>
      <w:r>
        <w:rPr>
          <w:rFonts w:hint="eastAsia"/>
          <w:color w:val="auto"/>
          <w:sz w:val="24"/>
        </w:rPr>
        <w:t>淮南</w:t>
      </w:r>
      <w:r>
        <w:rPr>
          <w:color w:val="auto"/>
          <w:sz w:val="24"/>
        </w:rPr>
        <w:t>市202</w:t>
      </w:r>
      <w:r>
        <w:rPr>
          <w:rFonts w:hint="eastAsia"/>
          <w:color w:val="auto"/>
          <w:sz w:val="24"/>
        </w:rPr>
        <w:t>2</w:t>
      </w:r>
      <w:r>
        <w:rPr>
          <w:color w:val="auto"/>
          <w:sz w:val="24"/>
        </w:rPr>
        <w:t>年年均温度月变化曲线图、年均风速月变化曲线图、季小时平均风速日变化曲线图和年均风频的月、季节、年风频玫瑰图。</w:t>
      </w:r>
    </w:p>
    <w:p w14:paraId="4B3986D6">
      <w:pPr>
        <w:spacing w:line="400" w:lineRule="exact"/>
        <w:jc w:val="center"/>
        <w:rPr>
          <w:rFonts w:eastAsia="黑体"/>
          <w:color w:val="auto"/>
          <w:sz w:val="24"/>
        </w:rPr>
      </w:pPr>
      <w:r>
        <w:rPr>
          <w:rFonts w:eastAsia="黑体"/>
          <w:color w:val="auto"/>
          <w:sz w:val="24"/>
          <w:lang w:val="en-GB"/>
        </w:rPr>
        <w:t>表5.2-</w:t>
      </w:r>
      <w:r>
        <w:rPr>
          <w:rFonts w:hint="eastAsia" w:eastAsia="黑体"/>
          <w:color w:val="auto"/>
          <w:sz w:val="24"/>
        </w:rPr>
        <w:t>6</w:t>
      </w:r>
      <w:r>
        <w:rPr>
          <w:rFonts w:eastAsia="黑体"/>
          <w:color w:val="auto"/>
          <w:sz w:val="24"/>
          <w:lang w:val="en-GB"/>
        </w:rPr>
        <w:t xml:space="preserve">  </w:t>
      </w:r>
      <w:r>
        <w:rPr>
          <w:rFonts w:hint="eastAsia" w:eastAsia="黑体"/>
          <w:color w:val="auto"/>
          <w:sz w:val="24"/>
        </w:rPr>
        <w:t>淮南市</w:t>
      </w:r>
      <w:r>
        <w:rPr>
          <w:rFonts w:eastAsia="黑体"/>
          <w:color w:val="auto"/>
          <w:sz w:val="24"/>
        </w:rPr>
        <w:t>202</w:t>
      </w:r>
      <w:r>
        <w:rPr>
          <w:rFonts w:hint="eastAsia" w:eastAsia="黑体"/>
          <w:color w:val="auto"/>
          <w:sz w:val="24"/>
        </w:rPr>
        <w:t>2年平均温度的月变化</w:t>
      </w:r>
    </w:p>
    <w:tbl>
      <w:tblPr>
        <w:tblStyle w:val="53"/>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727"/>
        <w:gridCol w:w="625"/>
        <w:gridCol w:w="626"/>
        <w:gridCol w:w="745"/>
        <w:gridCol w:w="720"/>
        <w:gridCol w:w="720"/>
        <w:gridCol w:w="749"/>
        <w:gridCol w:w="779"/>
        <w:gridCol w:w="720"/>
        <w:gridCol w:w="719"/>
        <w:gridCol w:w="719"/>
        <w:gridCol w:w="719"/>
        <w:gridCol w:w="719"/>
      </w:tblGrid>
      <w:tr w14:paraId="78F220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734" w:type="dxa"/>
            <w:noWrap w:val="0"/>
            <w:vAlign w:val="center"/>
          </w:tcPr>
          <w:p w14:paraId="5C7D9667">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eastAsia" w:ascii="Times New Roman" w:hAnsi="Times New Roman" w:cs="Times New Roman"/>
                <w:b/>
                <w:color w:val="auto"/>
                <w:kern w:val="0"/>
                <w:lang w:bidi="en-US"/>
              </w:rPr>
              <w:t>月份</w:t>
            </w:r>
          </w:p>
        </w:tc>
        <w:tc>
          <w:tcPr>
            <w:tcW w:w="631" w:type="dxa"/>
            <w:noWrap w:val="0"/>
            <w:vAlign w:val="center"/>
          </w:tcPr>
          <w:p w14:paraId="7410229E">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w:t>
            </w:r>
            <w:r>
              <w:rPr>
                <w:rFonts w:hint="eastAsia" w:ascii="Times New Roman" w:hAnsi="Times New Roman" w:cs="Times New Roman"/>
                <w:b/>
                <w:color w:val="auto"/>
                <w:kern w:val="0"/>
                <w:lang w:bidi="en-US"/>
              </w:rPr>
              <w:t>月</w:t>
            </w:r>
          </w:p>
        </w:tc>
        <w:tc>
          <w:tcPr>
            <w:tcW w:w="631" w:type="dxa"/>
            <w:noWrap w:val="0"/>
            <w:vAlign w:val="center"/>
          </w:tcPr>
          <w:p w14:paraId="0F7D6ADA">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2</w:t>
            </w:r>
            <w:r>
              <w:rPr>
                <w:rFonts w:hint="eastAsia" w:ascii="Times New Roman" w:hAnsi="Times New Roman" w:cs="Times New Roman"/>
                <w:b/>
                <w:color w:val="auto"/>
                <w:kern w:val="0"/>
                <w:lang w:bidi="en-US"/>
              </w:rPr>
              <w:t>月</w:t>
            </w:r>
          </w:p>
        </w:tc>
        <w:tc>
          <w:tcPr>
            <w:tcW w:w="752" w:type="dxa"/>
            <w:noWrap w:val="0"/>
            <w:vAlign w:val="center"/>
          </w:tcPr>
          <w:p w14:paraId="138F4B11">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3</w:t>
            </w:r>
            <w:r>
              <w:rPr>
                <w:rFonts w:hint="eastAsia" w:ascii="Times New Roman" w:hAnsi="Times New Roman" w:cs="Times New Roman"/>
                <w:b/>
                <w:color w:val="auto"/>
                <w:kern w:val="0"/>
                <w:lang w:bidi="en-US"/>
              </w:rPr>
              <w:t>月</w:t>
            </w:r>
          </w:p>
        </w:tc>
        <w:tc>
          <w:tcPr>
            <w:tcW w:w="726" w:type="dxa"/>
            <w:noWrap w:val="0"/>
            <w:vAlign w:val="center"/>
          </w:tcPr>
          <w:p w14:paraId="49542843">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4</w:t>
            </w:r>
            <w:r>
              <w:rPr>
                <w:rFonts w:hint="eastAsia" w:ascii="Times New Roman" w:hAnsi="Times New Roman" w:cs="Times New Roman"/>
                <w:b/>
                <w:color w:val="auto"/>
                <w:kern w:val="0"/>
                <w:lang w:bidi="en-US"/>
              </w:rPr>
              <w:t>月</w:t>
            </w:r>
          </w:p>
        </w:tc>
        <w:tc>
          <w:tcPr>
            <w:tcW w:w="726" w:type="dxa"/>
            <w:noWrap w:val="0"/>
            <w:vAlign w:val="center"/>
          </w:tcPr>
          <w:p w14:paraId="114B7787">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5</w:t>
            </w:r>
            <w:r>
              <w:rPr>
                <w:rFonts w:hint="eastAsia" w:ascii="Times New Roman" w:hAnsi="Times New Roman" w:cs="Times New Roman"/>
                <w:b/>
                <w:color w:val="auto"/>
                <w:kern w:val="0"/>
                <w:lang w:bidi="en-US"/>
              </w:rPr>
              <w:t>月</w:t>
            </w:r>
          </w:p>
        </w:tc>
        <w:tc>
          <w:tcPr>
            <w:tcW w:w="756" w:type="dxa"/>
            <w:noWrap w:val="0"/>
            <w:vAlign w:val="center"/>
          </w:tcPr>
          <w:p w14:paraId="2E4BA7EE">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6</w:t>
            </w:r>
            <w:r>
              <w:rPr>
                <w:rFonts w:hint="eastAsia" w:ascii="Times New Roman" w:hAnsi="Times New Roman" w:cs="Times New Roman"/>
                <w:b/>
                <w:color w:val="auto"/>
                <w:kern w:val="0"/>
                <w:lang w:bidi="en-US"/>
              </w:rPr>
              <w:t>月</w:t>
            </w:r>
          </w:p>
        </w:tc>
        <w:tc>
          <w:tcPr>
            <w:tcW w:w="786" w:type="dxa"/>
            <w:noWrap w:val="0"/>
            <w:vAlign w:val="center"/>
          </w:tcPr>
          <w:p w14:paraId="22B78EE0">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7</w:t>
            </w:r>
            <w:r>
              <w:rPr>
                <w:rFonts w:hint="eastAsia" w:ascii="Times New Roman" w:hAnsi="Times New Roman" w:cs="Times New Roman"/>
                <w:b/>
                <w:color w:val="auto"/>
                <w:kern w:val="0"/>
                <w:lang w:bidi="en-US"/>
              </w:rPr>
              <w:t>月</w:t>
            </w:r>
          </w:p>
        </w:tc>
        <w:tc>
          <w:tcPr>
            <w:tcW w:w="726" w:type="dxa"/>
            <w:noWrap w:val="0"/>
            <w:vAlign w:val="center"/>
          </w:tcPr>
          <w:p w14:paraId="62991B36">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8</w:t>
            </w:r>
            <w:r>
              <w:rPr>
                <w:rFonts w:hint="eastAsia" w:ascii="Times New Roman" w:hAnsi="Times New Roman" w:cs="Times New Roman"/>
                <w:b/>
                <w:color w:val="auto"/>
                <w:kern w:val="0"/>
                <w:lang w:bidi="en-US"/>
              </w:rPr>
              <w:t>月</w:t>
            </w:r>
          </w:p>
        </w:tc>
        <w:tc>
          <w:tcPr>
            <w:tcW w:w="725" w:type="dxa"/>
            <w:noWrap w:val="0"/>
            <w:vAlign w:val="center"/>
          </w:tcPr>
          <w:p w14:paraId="281B18B8">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9</w:t>
            </w:r>
            <w:r>
              <w:rPr>
                <w:rFonts w:hint="eastAsia" w:ascii="Times New Roman" w:hAnsi="Times New Roman" w:cs="Times New Roman"/>
                <w:b/>
                <w:color w:val="auto"/>
                <w:kern w:val="0"/>
                <w:lang w:bidi="en-US"/>
              </w:rPr>
              <w:t>月</w:t>
            </w:r>
          </w:p>
        </w:tc>
        <w:tc>
          <w:tcPr>
            <w:tcW w:w="725" w:type="dxa"/>
            <w:noWrap w:val="0"/>
            <w:vAlign w:val="center"/>
          </w:tcPr>
          <w:p w14:paraId="0375165E">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10</w:t>
            </w:r>
            <w:r>
              <w:rPr>
                <w:rFonts w:hint="eastAsia" w:ascii="Times New Roman" w:hAnsi="Times New Roman" w:cs="Times New Roman"/>
                <w:b/>
                <w:color w:val="auto"/>
                <w:kern w:val="0"/>
                <w:lang w:bidi="en-US"/>
              </w:rPr>
              <w:t>月</w:t>
            </w:r>
          </w:p>
        </w:tc>
        <w:tc>
          <w:tcPr>
            <w:tcW w:w="725" w:type="dxa"/>
            <w:noWrap w:val="0"/>
            <w:vAlign w:val="center"/>
          </w:tcPr>
          <w:p w14:paraId="0A22EE6A">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11</w:t>
            </w:r>
            <w:r>
              <w:rPr>
                <w:rFonts w:hint="eastAsia" w:ascii="Times New Roman" w:hAnsi="Times New Roman" w:cs="Times New Roman"/>
                <w:b/>
                <w:color w:val="auto"/>
                <w:kern w:val="0"/>
                <w:lang w:bidi="en-US"/>
              </w:rPr>
              <w:t>月</w:t>
            </w:r>
          </w:p>
        </w:tc>
        <w:tc>
          <w:tcPr>
            <w:tcW w:w="725" w:type="dxa"/>
            <w:noWrap w:val="0"/>
            <w:vAlign w:val="center"/>
          </w:tcPr>
          <w:p w14:paraId="31ED1965">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12</w:t>
            </w:r>
            <w:r>
              <w:rPr>
                <w:rFonts w:hint="eastAsia" w:ascii="Times New Roman" w:hAnsi="Times New Roman" w:cs="Times New Roman"/>
                <w:b/>
                <w:color w:val="auto"/>
                <w:kern w:val="0"/>
                <w:lang w:bidi="en-US"/>
              </w:rPr>
              <w:t>月</w:t>
            </w:r>
          </w:p>
        </w:tc>
      </w:tr>
      <w:tr w14:paraId="0CF584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734" w:type="dxa"/>
            <w:noWrap w:val="0"/>
            <w:vAlign w:val="center"/>
          </w:tcPr>
          <w:p w14:paraId="34145EA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kern w:val="0"/>
                <w:lang w:bidi="en-US"/>
              </w:rPr>
              <w:t>温度</w:t>
            </w:r>
          </w:p>
        </w:tc>
        <w:tc>
          <w:tcPr>
            <w:tcW w:w="631" w:type="dxa"/>
            <w:noWrap w:val="0"/>
            <w:vAlign w:val="center"/>
          </w:tcPr>
          <w:p w14:paraId="16469AB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3.78</w:t>
            </w:r>
          </w:p>
        </w:tc>
        <w:tc>
          <w:tcPr>
            <w:tcW w:w="631" w:type="dxa"/>
            <w:noWrap w:val="0"/>
            <w:vAlign w:val="center"/>
          </w:tcPr>
          <w:p w14:paraId="7C64DC5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9.52</w:t>
            </w:r>
          </w:p>
        </w:tc>
        <w:tc>
          <w:tcPr>
            <w:tcW w:w="752" w:type="dxa"/>
            <w:noWrap w:val="0"/>
            <w:vAlign w:val="center"/>
          </w:tcPr>
          <w:p w14:paraId="6A6888A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11.03</w:t>
            </w:r>
          </w:p>
        </w:tc>
        <w:tc>
          <w:tcPr>
            <w:tcW w:w="726" w:type="dxa"/>
            <w:noWrap w:val="0"/>
            <w:vAlign w:val="center"/>
          </w:tcPr>
          <w:p w14:paraId="7E83522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15.36</w:t>
            </w:r>
          </w:p>
        </w:tc>
        <w:tc>
          <w:tcPr>
            <w:tcW w:w="726" w:type="dxa"/>
            <w:noWrap w:val="0"/>
            <w:vAlign w:val="center"/>
          </w:tcPr>
          <w:p w14:paraId="42F7129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21.40</w:t>
            </w:r>
          </w:p>
        </w:tc>
        <w:tc>
          <w:tcPr>
            <w:tcW w:w="756" w:type="dxa"/>
            <w:noWrap w:val="0"/>
            <w:vAlign w:val="center"/>
          </w:tcPr>
          <w:p w14:paraId="28A8248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26.19</w:t>
            </w:r>
          </w:p>
        </w:tc>
        <w:tc>
          <w:tcPr>
            <w:tcW w:w="786" w:type="dxa"/>
            <w:noWrap w:val="0"/>
            <w:vAlign w:val="center"/>
          </w:tcPr>
          <w:p w14:paraId="5573CDF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27.21</w:t>
            </w:r>
          </w:p>
        </w:tc>
        <w:tc>
          <w:tcPr>
            <w:tcW w:w="726" w:type="dxa"/>
            <w:noWrap w:val="0"/>
            <w:vAlign w:val="center"/>
          </w:tcPr>
          <w:p w14:paraId="1756522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26.59</w:t>
            </w:r>
          </w:p>
        </w:tc>
        <w:tc>
          <w:tcPr>
            <w:tcW w:w="725" w:type="dxa"/>
            <w:noWrap w:val="0"/>
            <w:vAlign w:val="center"/>
          </w:tcPr>
          <w:p w14:paraId="302B53B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24.88</w:t>
            </w:r>
          </w:p>
        </w:tc>
        <w:tc>
          <w:tcPr>
            <w:tcW w:w="725" w:type="dxa"/>
            <w:noWrap w:val="0"/>
            <w:vAlign w:val="center"/>
          </w:tcPr>
          <w:p w14:paraId="1B07E0F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17.33</w:t>
            </w:r>
          </w:p>
        </w:tc>
        <w:tc>
          <w:tcPr>
            <w:tcW w:w="725" w:type="dxa"/>
            <w:noWrap w:val="0"/>
            <w:vAlign w:val="center"/>
          </w:tcPr>
          <w:p w14:paraId="2DA3362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11.76</w:t>
            </w:r>
          </w:p>
        </w:tc>
        <w:tc>
          <w:tcPr>
            <w:tcW w:w="725" w:type="dxa"/>
            <w:noWrap w:val="0"/>
            <w:vAlign w:val="center"/>
          </w:tcPr>
          <w:p w14:paraId="2F44C49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6.17</w:t>
            </w:r>
          </w:p>
        </w:tc>
      </w:tr>
    </w:tbl>
    <w:p w14:paraId="1DCA3E07">
      <w:pPr>
        <w:spacing w:line="400" w:lineRule="exact"/>
        <w:jc w:val="center"/>
        <w:rPr>
          <w:rFonts w:eastAsia="黑体"/>
          <w:color w:val="auto"/>
          <w:sz w:val="24"/>
        </w:rPr>
      </w:pPr>
      <w:r>
        <w:rPr>
          <w:rFonts w:eastAsia="黑体"/>
          <w:color w:val="auto"/>
          <w:sz w:val="24"/>
          <w:lang w:val="en-GB"/>
        </w:rPr>
        <w:t>表5.2-</w:t>
      </w:r>
      <w:r>
        <w:rPr>
          <w:rFonts w:hint="eastAsia" w:eastAsia="黑体"/>
          <w:color w:val="auto"/>
          <w:sz w:val="24"/>
        </w:rPr>
        <w:t>7</w:t>
      </w:r>
      <w:r>
        <w:rPr>
          <w:rFonts w:eastAsia="黑体"/>
          <w:color w:val="auto"/>
          <w:sz w:val="24"/>
          <w:lang w:val="en-GB"/>
        </w:rPr>
        <w:t xml:space="preserve">  </w:t>
      </w:r>
      <w:r>
        <w:rPr>
          <w:rFonts w:hint="eastAsia" w:eastAsia="黑体"/>
          <w:color w:val="auto"/>
          <w:sz w:val="24"/>
        </w:rPr>
        <w:t>淮南市</w:t>
      </w:r>
      <w:r>
        <w:rPr>
          <w:rFonts w:eastAsia="黑体"/>
          <w:color w:val="auto"/>
          <w:sz w:val="24"/>
        </w:rPr>
        <w:t>202</w:t>
      </w:r>
      <w:r>
        <w:rPr>
          <w:rFonts w:hint="eastAsia" w:eastAsia="黑体"/>
          <w:color w:val="auto"/>
          <w:sz w:val="24"/>
        </w:rPr>
        <w:t>2年平均风速的月变化</w:t>
      </w:r>
    </w:p>
    <w:tbl>
      <w:tblPr>
        <w:tblStyle w:val="53"/>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715"/>
        <w:gridCol w:w="714"/>
        <w:gridCol w:w="714"/>
        <w:gridCol w:w="714"/>
        <w:gridCol w:w="714"/>
        <w:gridCol w:w="714"/>
        <w:gridCol w:w="714"/>
        <w:gridCol w:w="714"/>
        <w:gridCol w:w="714"/>
        <w:gridCol w:w="714"/>
        <w:gridCol w:w="714"/>
        <w:gridCol w:w="714"/>
        <w:gridCol w:w="718"/>
      </w:tblGrid>
      <w:tr w14:paraId="7989EA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714" w:type="dxa"/>
            <w:noWrap w:val="0"/>
            <w:vAlign w:val="center"/>
          </w:tcPr>
          <w:p w14:paraId="64E1507B">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eastAsia" w:ascii="Times New Roman" w:hAnsi="Times New Roman" w:cs="Times New Roman"/>
                <w:b/>
                <w:color w:val="auto"/>
                <w:kern w:val="0"/>
                <w:lang w:bidi="en-US"/>
              </w:rPr>
              <w:t>月份</w:t>
            </w:r>
          </w:p>
        </w:tc>
        <w:tc>
          <w:tcPr>
            <w:tcW w:w="714" w:type="dxa"/>
            <w:noWrap w:val="0"/>
            <w:vAlign w:val="center"/>
          </w:tcPr>
          <w:p w14:paraId="350272AC">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w:t>
            </w:r>
            <w:r>
              <w:rPr>
                <w:rFonts w:hint="eastAsia" w:ascii="Times New Roman" w:hAnsi="Times New Roman" w:cs="Times New Roman"/>
                <w:b/>
                <w:color w:val="auto"/>
                <w:kern w:val="0"/>
                <w:lang w:bidi="en-US"/>
              </w:rPr>
              <w:t>月</w:t>
            </w:r>
          </w:p>
        </w:tc>
        <w:tc>
          <w:tcPr>
            <w:tcW w:w="714" w:type="dxa"/>
            <w:noWrap w:val="0"/>
            <w:vAlign w:val="center"/>
          </w:tcPr>
          <w:p w14:paraId="276E5463">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2</w:t>
            </w:r>
            <w:r>
              <w:rPr>
                <w:rFonts w:hint="eastAsia" w:ascii="Times New Roman" w:hAnsi="Times New Roman" w:cs="Times New Roman"/>
                <w:b/>
                <w:color w:val="auto"/>
                <w:kern w:val="0"/>
                <w:lang w:bidi="en-US"/>
              </w:rPr>
              <w:t>月</w:t>
            </w:r>
          </w:p>
        </w:tc>
        <w:tc>
          <w:tcPr>
            <w:tcW w:w="714" w:type="dxa"/>
            <w:noWrap w:val="0"/>
            <w:vAlign w:val="center"/>
          </w:tcPr>
          <w:p w14:paraId="3457365E">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3</w:t>
            </w:r>
            <w:r>
              <w:rPr>
                <w:rFonts w:hint="eastAsia" w:ascii="Times New Roman" w:hAnsi="Times New Roman" w:cs="Times New Roman"/>
                <w:b/>
                <w:color w:val="auto"/>
                <w:kern w:val="0"/>
                <w:lang w:bidi="en-US"/>
              </w:rPr>
              <w:t>月</w:t>
            </w:r>
          </w:p>
        </w:tc>
        <w:tc>
          <w:tcPr>
            <w:tcW w:w="714" w:type="dxa"/>
            <w:noWrap w:val="0"/>
            <w:vAlign w:val="center"/>
          </w:tcPr>
          <w:p w14:paraId="3538E9F1">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4</w:t>
            </w:r>
            <w:r>
              <w:rPr>
                <w:rFonts w:hint="eastAsia" w:ascii="Times New Roman" w:hAnsi="Times New Roman" w:cs="Times New Roman"/>
                <w:b/>
                <w:color w:val="auto"/>
                <w:kern w:val="0"/>
                <w:lang w:bidi="en-US"/>
              </w:rPr>
              <w:t>月</w:t>
            </w:r>
          </w:p>
        </w:tc>
        <w:tc>
          <w:tcPr>
            <w:tcW w:w="714" w:type="dxa"/>
            <w:noWrap w:val="0"/>
            <w:vAlign w:val="center"/>
          </w:tcPr>
          <w:p w14:paraId="5ACE6D8D">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5</w:t>
            </w:r>
            <w:r>
              <w:rPr>
                <w:rFonts w:hint="eastAsia" w:ascii="Times New Roman" w:hAnsi="Times New Roman" w:cs="Times New Roman"/>
                <w:b/>
                <w:color w:val="auto"/>
                <w:kern w:val="0"/>
                <w:lang w:bidi="en-US"/>
              </w:rPr>
              <w:t>月</w:t>
            </w:r>
          </w:p>
        </w:tc>
        <w:tc>
          <w:tcPr>
            <w:tcW w:w="714" w:type="dxa"/>
            <w:noWrap w:val="0"/>
            <w:vAlign w:val="center"/>
          </w:tcPr>
          <w:p w14:paraId="0EE093D0">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6</w:t>
            </w:r>
            <w:r>
              <w:rPr>
                <w:rFonts w:hint="eastAsia" w:ascii="Times New Roman" w:hAnsi="Times New Roman" w:cs="Times New Roman"/>
                <w:b/>
                <w:color w:val="auto"/>
                <w:kern w:val="0"/>
                <w:lang w:bidi="en-US"/>
              </w:rPr>
              <w:t>月</w:t>
            </w:r>
          </w:p>
        </w:tc>
        <w:tc>
          <w:tcPr>
            <w:tcW w:w="714" w:type="dxa"/>
            <w:noWrap w:val="0"/>
            <w:vAlign w:val="center"/>
          </w:tcPr>
          <w:p w14:paraId="07CE63DA">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7</w:t>
            </w:r>
            <w:r>
              <w:rPr>
                <w:rFonts w:hint="eastAsia" w:ascii="Times New Roman" w:hAnsi="Times New Roman" w:cs="Times New Roman"/>
                <w:b/>
                <w:color w:val="auto"/>
                <w:kern w:val="0"/>
                <w:lang w:bidi="en-US"/>
              </w:rPr>
              <w:t>月</w:t>
            </w:r>
          </w:p>
        </w:tc>
        <w:tc>
          <w:tcPr>
            <w:tcW w:w="714" w:type="dxa"/>
            <w:noWrap w:val="0"/>
            <w:vAlign w:val="center"/>
          </w:tcPr>
          <w:p w14:paraId="58C086B2">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8</w:t>
            </w:r>
            <w:r>
              <w:rPr>
                <w:rFonts w:hint="eastAsia" w:ascii="Times New Roman" w:hAnsi="Times New Roman" w:cs="Times New Roman"/>
                <w:b/>
                <w:color w:val="auto"/>
                <w:kern w:val="0"/>
                <w:lang w:bidi="en-US"/>
              </w:rPr>
              <w:t>月</w:t>
            </w:r>
          </w:p>
        </w:tc>
        <w:tc>
          <w:tcPr>
            <w:tcW w:w="714" w:type="dxa"/>
            <w:noWrap w:val="0"/>
            <w:vAlign w:val="center"/>
          </w:tcPr>
          <w:p w14:paraId="57EE95BC">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9</w:t>
            </w:r>
            <w:r>
              <w:rPr>
                <w:rFonts w:hint="eastAsia" w:ascii="Times New Roman" w:hAnsi="Times New Roman" w:cs="Times New Roman"/>
                <w:b/>
                <w:color w:val="auto"/>
                <w:kern w:val="0"/>
                <w:lang w:bidi="en-US"/>
              </w:rPr>
              <w:t>月</w:t>
            </w:r>
          </w:p>
        </w:tc>
        <w:tc>
          <w:tcPr>
            <w:tcW w:w="714" w:type="dxa"/>
            <w:noWrap w:val="0"/>
            <w:vAlign w:val="center"/>
          </w:tcPr>
          <w:p w14:paraId="3F95CF8B">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10</w:t>
            </w:r>
            <w:r>
              <w:rPr>
                <w:rFonts w:hint="eastAsia" w:ascii="Times New Roman" w:hAnsi="Times New Roman" w:cs="Times New Roman"/>
                <w:b/>
                <w:color w:val="auto"/>
                <w:kern w:val="0"/>
                <w:lang w:bidi="en-US"/>
              </w:rPr>
              <w:t>月</w:t>
            </w:r>
          </w:p>
        </w:tc>
        <w:tc>
          <w:tcPr>
            <w:tcW w:w="714" w:type="dxa"/>
            <w:noWrap w:val="0"/>
            <w:vAlign w:val="center"/>
          </w:tcPr>
          <w:p w14:paraId="6AFA3CFA">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11</w:t>
            </w:r>
            <w:r>
              <w:rPr>
                <w:rFonts w:hint="eastAsia" w:ascii="Times New Roman" w:hAnsi="Times New Roman" w:cs="Times New Roman"/>
                <w:b/>
                <w:color w:val="auto"/>
                <w:kern w:val="0"/>
                <w:lang w:bidi="en-US"/>
              </w:rPr>
              <w:t>月</w:t>
            </w:r>
          </w:p>
        </w:tc>
        <w:tc>
          <w:tcPr>
            <w:tcW w:w="718" w:type="dxa"/>
            <w:noWrap w:val="0"/>
            <w:vAlign w:val="center"/>
          </w:tcPr>
          <w:p w14:paraId="3620D217">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12</w:t>
            </w:r>
            <w:r>
              <w:rPr>
                <w:rFonts w:hint="eastAsia" w:ascii="Times New Roman" w:hAnsi="Times New Roman" w:cs="Times New Roman"/>
                <w:b/>
                <w:color w:val="auto"/>
                <w:kern w:val="0"/>
                <w:lang w:bidi="en-US"/>
              </w:rPr>
              <w:t>月</w:t>
            </w:r>
          </w:p>
        </w:tc>
      </w:tr>
      <w:tr w14:paraId="4528FF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714" w:type="dxa"/>
            <w:noWrap w:val="0"/>
            <w:vAlign w:val="center"/>
          </w:tcPr>
          <w:p w14:paraId="30AC9FF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kern w:val="0"/>
                <w:lang w:bidi="en-US"/>
              </w:rPr>
              <w:t>风速</w:t>
            </w:r>
          </w:p>
        </w:tc>
        <w:tc>
          <w:tcPr>
            <w:tcW w:w="714" w:type="dxa"/>
            <w:noWrap w:val="0"/>
            <w:vAlign w:val="bottom"/>
          </w:tcPr>
          <w:p w14:paraId="09E417B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2.51</w:t>
            </w:r>
          </w:p>
        </w:tc>
        <w:tc>
          <w:tcPr>
            <w:tcW w:w="714" w:type="dxa"/>
            <w:noWrap w:val="0"/>
            <w:vAlign w:val="bottom"/>
          </w:tcPr>
          <w:p w14:paraId="4E94ABB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2.94</w:t>
            </w:r>
          </w:p>
        </w:tc>
        <w:tc>
          <w:tcPr>
            <w:tcW w:w="714" w:type="dxa"/>
            <w:noWrap w:val="0"/>
            <w:vAlign w:val="bottom"/>
          </w:tcPr>
          <w:p w14:paraId="2987A66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2.72</w:t>
            </w:r>
          </w:p>
        </w:tc>
        <w:tc>
          <w:tcPr>
            <w:tcW w:w="714" w:type="dxa"/>
            <w:noWrap w:val="0"/>
            <w:vAlign w:val="bottom"/>
          </w:tcPr>
          <w:p w14:paraId="295434B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2.36</w:t>
            </w:r>
          </w:p>
        </w:tc>
        <w:tc>
          <w:tcPr>
            <w:tcW w:w="714" w:type="dxa"/>
            <w:noWrap w:val="0"/>
            <w:vAlign w:val="bottom"/>
          </w:tcPr>
          <w:p w14:paraId="573ADB8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2.32</w:t>
            </w:r>
          </w:p>
        </w:tc>
        <w:tc>
          <w:tcPr>
            <w:tcW w:w="714" w:type="dxa"/>
            <w:noWrap w:val="0"/>
            <w:vAlign w:val="bottom"/>
          </w:tcPr>
          <w:p w14:paraId="7A6CC49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2.16</w:t>
            </w:r>
          </w:p>
        </w:tc>
        <w:tc>
          <w:tcPr>
            <w:tcW w:w="714" w:type="dxa"/>
            <w:noWrap w:val="0"/>
            <w:vAlign w:val="bottom"/>
          </w:tcPr>
          <w:p w14:paraId="0FDFF38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2.75</w:t>
            </w:r>
          </w:p>
        </w:tc>
        <w:tc>
          <w:tcPr>
            <w:tcW w:w="714" w:type="dxa"/>
            <w:noWrap w:val="0"/>
            <w:vAlign w:val="bottom"/>
          </w:tcPr>
          <w:p w14:paraId="65FC6F7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1.87</w:t>
            </w:r>
          </w:p>
        </w:tc>
        <w:tc>
          <w:tcPr>
            <w:tcW w:w="714" w:type="dxa"/>
            <w:noWrap w:val="0"/>
            <w:vAlign w:val="bottom"/>
          </w:tcPr>
          <w:p w14:paraId="3BC939A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2.18</w:t>
            </w:r>
          </w:p>
        </w:tc>
        <w:tc>
          <w:tcPr>
            <w:tcW w:w="714" w:type="dxa"/>
            <w:noWrap w:val="0"/>
            <w:vAlign w:val="bottom"/>
          </w:tcPr>
          <w:p w14:paraId="36CBF81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2.06</w:t>
            </w:r>
          </w:p>
        </w:tc>
        <w:tc>
          <w:tcPr>
            <w:tcW w:w="714" w:type="dxa"/>
            <w:noWrap w:val="0"/>
            <w:vAlign w:val="bottom"/>
          </w:tcPr>
          <w:p w14:paraId="72BCD13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2.35</w:t>
            </w:r>
          </w:p>
        </w:tc>
        <w:tc>
          <w:tcPr>
            <w:tcW w:w="718" w:type="dxa"/>
            <w:noWrap w:val="0"/>
            <w:vAlign w:val="bottom"/>
          </w:tcPr>
          <w:p w14:paraId="7A88B60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2.12</w:t>
            </w:r>
          </w:p>
        </w:tc>
      </w:tr>
    </w:tbl>
    <w:p w14:paraId="3E8CB033">
      <w:pPr>
        <w:spacing w:line="400" w:lineRule="exact"/>
        <w:jc w:val="center"/>
        <w:rPr>
          <w:rFonts w:eastAsia="黑体"/>
          <w:color w:val="auto"/>
          <w:sz w:val="24"/>
        </w:rPr>
      </w:pPr>
      <w:r>
        <w:rPr>
          <w:rFonts w:eastAsia="黑体"/>
          <w:color w:val="auto"/>
          <w:sz w:val="24"/>
          <w:lang w:val="en-GB"/>
        </w:rPr>
        <w:t>表5.2-</w:t>
      </w:r>
      <w:r>
        <w:rPr>
          <w:rFonts w:hint="eastAsia" w:eastAsia="黑体"/>
          <w:color w:val="auto"/>
          <w:sz w:val="24"/>
        </w:rPr>
        <w:t>8</w:t>
      </w:r>
      <w:r>
        <w:rPr>
          <w:rFonts w:eastAsia="黑体"/>
          <w:color w:val="auto"/>
          <w:sz w:val="24"/>
          <w:lang w:val="en-GB"/>
        </w:rPr>
        <w:t xml:space="preserve">  </w:t>
      </w:r>
      <w:r>
        <w:rPr>
          <w:rFonts w:hint="eastAsia" w:eastAsia="黑体"/>
          <w:color w:val="auto"/>
          <w:sz w:val="24"/>
        </w:rPr>
        <w:t>淮南市</w:t>
      </w:r>
      <w:r>
        <w:rPr>
          <w:rFonts w:eastAsia="黑体"/>
          <w:color w:val="auto"/>
          <w:sz w:val="24"/>
        </w:rPr>
        <w:t>202</w:t>
      </w:r>
      <w:r>
        <w:rPr>
          <w:rFonts w:hint="eastAsia" w:eastAsia="黑体"/>
          <w:color w:val="auto"/>
          <w:sz w:val="24"/>
        </w:rPr>
        <w:t>2年季小时平均风速的日变化</w:t>
      </w:r>
    </w:p>
    <w:tbl>
      <w:tblPr>
        <w:tblStyle w:val="53"/>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389"/>
        <w:gridCol w:w="658"/>
        <w:gridCol w:w="658"/>
        <w:gridCol w:w="658"/>
        <w:gridCol w:w="658"/>
        <w:gridCol w:w="658"/>
        <w:gridCol w:w="658"/>
        <w:gridCol w:w="658"/>
        <w:gridCol w:w="658"/>
        <w:gridCol w:w="658"/>
        <w:gridCol w:w="658"/>
        <w:gridCol w:w="658"/>
        <w:gridCol w:w="660"/>
      </w:tblGrid>
      <w:tr w14:paraId="5530EB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388" w:type="dxa"/>
            <w:noWrap w:val="0"/>
            <w:vAlign w:val="center"/>
          </w:tcPr>
          <w:p w14:paraId="645CF3DB">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eastAsia" w:ascii="Times New Roman" w:hAnsi="Times New Roman" w:cs="Times New Roman"/>
                <w:b/>
                <w:color w:val="auto"/>
                <w:kern w:val="0"/>
                <w:lang w:bidi="en-US"/>
              </w:rPr>
              <w:t>小时（h）</w:t>
            </w:r>
          </w:p>
          <w:p w14:paraId="1E7E28FD">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eastAsia" w:ascii="Times New Roman" w:hAnsi="Times New Roman" w:cs="Times New Roman"/>
                <w:b/>
                <w:color w:val="auto"/>
                <w:kern w:val="0"/>
                <w:lang w:bidi="en-US"/>
              </w:rPr>
              <w:t>风速（m/s）</w:t>
            </w:r>
          </w:p>
        </w:tc>
        <w:tc>
          <w:tcPr>
            <w:tcW w:w="658" w:type="dxa"/>
            <w:noWrap w:val="0"/>
            <w:vAlign w:val="center"/>
          </w:tcPr>
          <w:p w14:paraId="3B338D5F">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w:t>
            </w:r>
          </w:p>
        </w:tc>
        <w:tc>
          <w:tcPr>
            <w:tcW w:w="658" w:type="dxa"/>
            <w:noWrap w:val="0"/>
            <w:vAlign w:val="center"/>
          </w:tcPr>
          <w:p w14:paraId="65743F7B">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2</w:t>
            </w:r>
          </w:p>
        </w:tc>
        <w:tc>
          <w:tcPr>
            <w:tcW w:w="658" w:type="dxa"/>
            <w:noWrap w:val="0"/>
            <w:vAlign w:val="center"/>
          </w:tcPr>
          <w:p w14:paraId="380DF689">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3</w:t>
            </w:r>
          </w:p>
        </w:tc>
        <w:tc>
          <w:tcPr>
            <w:tcW w:w="658" w:type="dxa"/>
            <w:noWrap w:val="0"/>
            <w:vAlign w:val="center"/>
          </w:tcPr>
          <w:p w14:paraId="20A26DAA">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4</w:t>
            </w:r>
          </w:p>
        </w:tc>
        <w:tc>
          <w:tcPr>
            <w:tcW w:w="658" w:type="dxa"/>
            <w:noWrap w:val="0"/>
            <w:vAlign w:val="center"/>
          </w:tcPr>
          <w:p w14:paraId="0D59D09A">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5</w:t>
            </w:r>
          </w:p>
        </w:tc>
        <w:tc>
          <w:tcPr>
            <w:tcW w:w="658" w:type="dxa"/>
            <w:noWrap w:val="0"/>
            <w:vAlign w:val="center"/>
          </w:tcPr>
          <w:p w14:paraId="71D405D8">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6</w:t>
            </w:r>
          </w:p>
        </w:tc>
        <w:tc>
          <w:tcPr>
            <w:tcW w:w="658" w:type="dxa"/>
            <w:noWrap w:val="0"/>
            <w:vAlign w:val="center"/>
          </w:tcPr>
          <w:p w14:paraId="04D00B3F">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7</w:t>
            </w:r>
          </w:p>
        </w:tc>
        <w:tc>
          <w:tcPr>
            <w:tcW w:w="658" w:type="dxa"/>
            <w:noWrap w:val="0"/>
            <w:vAlign w:val="center"/>
          </w:tcPr>
          <w:p w14:paraId="5D18560A">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8</w:t>
            </w:r>
          </w:p>
        </w:tc>
        <w:tc>
          <w:tcPr>
            <w:tcW w:w="658" w:type="dxa"/>
            <w:noWrap w:val="0"/>
            <w:vAlign w:val="center"/>
          </w:tcPr>
          <w:p w14:paraId="657C2CE6">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9</w:t>
            </w:r>
          </w:p>
        </w:tc>
        <w:tc>
          <w:tcPr>
            <w:tcW w:w="658" w:type="dxa"/>
            <w:noWrap w:val="0"/>
            <w:vAlign w:val="center"/>
          </w:tcPr>
          <w:p w14:paraId="03B26255">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10</w:t>
            </w:r>
          </w:p>
        </w:tc>
        <w:tc>
          <w:tcPr>
            <w:tcW w:w="658" w:type="dxa"/>
            <w:noWrap w:val="0"/>
            <w:vAlign w:val="center"/>
          </w:tcPr>
          <w:p w14:paraId="23844A72">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11</w:t>
            </w:r>
          </w:p>
        </w:tc>
        <w:tc>
          <w:tcPr>
            <w:tcW w:w="660" w:type="dxa"/>
            <w:noWrap w:val="0"/>
            <w:vAlign w:val="center"/>
          </w:tcPr>
          <w:p w14:paraId="46DBF551">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12</w:t>
            </w:r>
          </w:p>
        </w:tc>
      </w:tr>
      <w:tr w14:paraId="1869A2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388" w:type="dxa"/>
            <w:noWrap w:val="0"/>
            <w:vAlign w:val="center"/>
          </w:tcPr>
          <w:p w14:paraId="5DAB0BC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春季</w:t>
            </w:r>
          </w:p>
        </w:tc>
        <w:tc>
          <w:tcPr>
            <w:tcW w:w="658" w:type="dxa"/>
            <w:noWrap w:val="0"/>
            <w:vAlign w:val="center"/>
          </w:tcPr>
          <w:p w14:paraId="10451EF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1.85</w:t>
            </w:r>
          </w:p>
        </w:tc>
        <w:tc>
          <w:tcPr>
            <w:tcW w:w="658" w:type="dxa"/>
            <w:noWrap w:val="0"/>
            <w:vAlign w:val="center"/>
          </w:tcPr>
          <w:p w14:paraId="351AD58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1.97</w:t>
            </w:r>
          </w:p>
        </w:tc>
        <w:tc>
          <w:tcPr>
            <w:tcW w:w="658" w:type="dxa"/>
            <w:noWrap w:val="0"/>
            <w:vAlign w:val="center"/>
          </w:tcPr>
          <w:p w14:paraId="070AC0F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1.97</w:t>
            </w:r>
          </w:p>
        </w:tc>
        <w:tc>
          <w:tcPr>
            <w:tcW w:w="658" w:type="dxa"/>
            <w:noWrap w:val="0"/>
            <w:vAlign w:val="center"/>
          </w:tcPr>
          <w:p w14:paraId="632B6F6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1.90</w:t>
            </w:r>
          </w:p>
        </w:tc>
        <w:tc>
          <w:tcPr>
            <w:tcW w:w="658" w:type="dxa"/>
            <w:noWrap w:val="0"/>
            <w:vAlign w:val="center"/>
          </w:tcPr>
          <w:p w14:paraId="17568D3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1.92</w:t>
            </w:r>
          </w:p>
        </w:tc>
        <w:tc>
          <w:tcPr>
            <w:tcW w:w="658" w:type="dxa"/>
            <w:noWrap w:val="0"/>
            <w:vAlign w:val="center"/>
          </w:tcPr>
          <w:p w14:paraId="764B8E6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1.97</w:t>
            </w:r>
          </w:p>
        </w:tc>
        <w:tc>
          <w:tcPr>
            <w:tcW w:w="658" w:type="dxa"/>
            <w:noWrap w:val="0"/>
            <w:vAlign w:val="center"/>
          </w:tcPr>
          <w:p w14:paraId="2493856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2.20</w:t>
            </w:r>
          </w:p>
        </w:tc>
        <w:tc>
          <w:tcPr>
            <w:tcW w:w="658" w:type="dxa"/>
            <w:noWrap w:val="0"/>
            <w:vAlign w:val="center"/>
          </w:tcPr>
          <w:p w14:paraId="30B3912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2.52</w:t>
            </w:r>
          </w:p>
        </w:tc>
        <w:tc>
          <w:tcPr>
            <w:tcW w:w="658" w:type="dxa"/>
            <w:noWrap w:val="0"/>
            <w:vAlign w:val="center"/>
          </w:tcPr>
          <w:p w14:paraId="2FAD416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2.86</w:t>
            </w:r>
          </w:p>
        </w:tc>
        <w:tc>
          <w:tcPr>
            <w:tcW w:w="658" w:type="dxa"/>
            <w:noWrap w:val="0"/>
            <w:vAlign w:val="center"/>
          </w:tcPr>
          <w:p w14:paraId="41C35B8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3.17</w:t>
            </w:r>
          </w:p>
        </w:tc>
        <w:tc>
          <w:tcPr>
            <w:tcW w:w="658" w:type="dxa"/>
            <w:noWrap w:val="0"/>
            <w:vAlign w:val="center"/>
          </w:tcPr>
          <w:p w14:paraId="3ECCFFB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3.22</w:t>
            </w:r>
          </w:p>
        </w:tc>
        <w:tc>
          <w:tcPr>
            <w:tcW w:w="660" w:type="dxa"/>
            <w:noWrap w:val="0"/>
            <w:vAlign w:val="center"/>
          </w:tcPr>
          <w:p w14:paraId="0F75BB5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3.24</w:t>
            </w:r>
          </w:p>
        </w:tc>
      </w:tr>
      <w:tr w14:paraId="450DA9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388" w:type="dxa"/>
            <w:noWrap w:val="0"/>
            <w:vAlign w:val="center"/>
          </w:tcPr>
          <w:p w14:paraId="1993561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夏季</w:t>
            </w:r>
          </w:p>
        </w:tc>
        <w:tc>
          <w:tcPr>
            <w:tcW w:w="658" w:type="dxa"/>
            <w:noWrap w:val="0"/>
            <w:vAlign w:val="center"/>
          </w:tcPr>
          <w:p w14:paraId="13AF10B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1.88</w:t>
            </w:r>
          </w:p>
        </w:tc>
        <w:tc>
          <w:tcPr>
            <w:tcW w:w="658" w:type="dxa"/>
            <w:noWrap w:val="0"/>
            <w:vAlign w:val="center"/>
          </w:tcPr>
          <w:p w14:paraId="4FA694C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1.71</w:t>
            </w:r>
          </w:p>
        </w:tc>
        <w:tc>
          <w:tcPr>
            <w:tcW w:w="658" w:type="dxa"/>
            <w:noWrap w:val="0"/>
            <w:vAlign w:val="center"/>
          </w:tcPr>
          <w:p w14:paraId="44ED7F3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1.67</w:t>
            </w:r>
          </w:p>
        </w:tc>
        <w:tc>
          <w:tcPr>
            <w:tcW w:w="658" w:type="dxa"/>
            <w:noWrap w:val="0"/>
            <w:vAlign w:val="center"/>
          </w:tcPr>
          <w:p w14:paraId="6EE63E2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1.69</w:t>
            </w:r>
          </w:p>
        </w:tc>
        <w:tc>
          <w:tcPr>
            <w:tcW w:w="658" w:type="dxa"/>
            <w:noWrap w:val="0"/>
            <w:vAlign w:val="center"/>
          </w:tcPr>
          <w:p w14:paraId="06855BC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1.71</w:t>
            </w:r>
          </w:p>
        </w:tc>
        <w:tc>
          <w:tcPr>
            <w:tcW w:w="658" w:type="dxa"/>
            <w:noWrap w:val="0"/>
            <w:vAlign w:val="center"/>
          </w:tcPr>
          <w:p w14:paraId="58FB19E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1.83</w:t>
            </w:r>
          </w:p>
        </w:tc>
        <w:tc>
          <w:tcPr>
            <w:tcW w:w="658" w:type="dxa"/>
            <w:noWrap w:val="0"/>
            <w:vAlign w:val="center"/>
          </w:tcPr>
          <w:p w14:paraId="07E0BFC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1.99</w:t>
            </w:r>
          </w:p>
        </w:tc>
        <w:tc>
          <w:tcPr>
            <w:tcW w:w="658" w:type="dxa"/>
            <w:noWrap w:val="0"/>
            <w:vAlign w:val="center"/>
          </w:tcPr>
          <w:p w14:paraId="2FBDAA3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2.42</w:t>
            </w:r>
          </w:p>
        </w:tc>
        <w:tc>
          <w:tcPr>
            <w:tcW w:w="658" w:type="dxa"/>
            <w:noWrap w:val="0"/>
            <w:vAlign w:val="center"/>
          </w:tcPr>
          <w:p w14:paraId="6310BE7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2.47</w:t>
            </w:r>
          </w:p>
        </w:tc>
        <w:tc>
          <w:tcPr>
            <w:tcW w:w="658" w:type="dxa"/>
            <w:noWrap w:val="0"/>
            <w:vAlign w:val="center"/>
          </w:tcPr>
          <w:p w14:paraId="1CD89EC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2.66</w:t>
            </w:r>
          </w:p>
        </w:tc>
        <w:tc>
          <w:tcPr>
            <w:tcW w:w="658" w:type="dxa"/>
            <w:noWrap w:val="0"/>
            <w:vAlign w:val="center"/>
          </w:tcPr>
          <w:p w14:paraId="11B879A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2.69</w:t>
            </w:r>
          </w:p>
        </w:tc>
        <w:tc>
          <w:tcPr>
            <w:tcW w:w="660" w:type="dxa"/>
            <w:noWrap w:val="0"/>
            <w:vAlign w:val="center"/>
          </w:tcPr>
          <w:p w14:paraId="4872BAF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2.88</w:t>
            </w:r>
          </w:p>
        </w:tc>
      </w:tr>
      <w:tr w14:paraId="7E37F33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388" w:type="dxa"/>
            <w:noWrap w:val="0"/>
            <w:vAlign w:val="center"/>
          </w:tcPr>
          <w:p w14:paraId="4C741FF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秋季</w:t>
            </w:r>
          </w:p>
        </w:tc>
        <w:tc>
          <w:tcPr>
            <w:tcW w:w="658" w:type="dxa"/>
            <w:noWrap w:val="0"/>
            <w:vAlign w:val="center"/>
          </w:tcPr>
          <w:p w14:paraId="47121C1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1.76</w:t>
            </w:r>
          </w:p>
        </w:tc>
        <w:tc>
          <w:tcPr>
            <w:tcW w:w="658" w:type="dxa"/>
            <w:noWrap w:val="0"/>
            <w:vAlign w:val="center"/>
          </w:tcPr>
          <w:p w14:paraId="493D673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1.70</w:t>
            </w:r>
          </w:p>
        </w:tc>
        <w:tc>
          <w:tcPr>
            <w:tcW w:w="658" w:type="dxa"/>
            <w:noWrap w:val="0"/>
            <w:vAlign w:val="center"/>
          </w:tcPr>
          <w:p w14:paraId="27A7C29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1.71</w:t>
            </w:r>
          </w:p>
        </w:tc>
        <w:tc>
          <w:tcPr>
            <w:tcW w:w="658" w:type="dxa"/>
            <w:noWrap w:val="0"/>
            <w:vAlign w:val="center"/>
          </w:tcPr>
          <w:p w14:paraId="3CBDA5A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1.67</w:t>
            </w:r>
          </w:p>
        </w:tc>
        <w:tc>
          <w:tcPr>
            <w:tcW w:w="658" w:type="dxa"/>
            <w:noWrap w:val="0"/>
            <w:vAlign w:val="center"/>
          </w:tcPr>
          <w:p w14:paraId="6A8AB13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1.69</w:t>
            </w:r>
          </w:p>
        </w:tc>
        <w:tc>
          <w:tcPr>
            <w:tcW w:w="658" w:type="dxa"/>
            <w:noWrap w:val="0"/>
            <w:vAlign w:val="center"/>
          </w:tcPr>
          <w:p w14:paraId="6535050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1.77</w:t>
            </w:r>
          </w:p>
        </w:tc>
        <w:tc>
          <w:tcPr>
            <w:tcW w:w="658" w:type="dxa"/>
            <w:noWrap w:val="0"/>
            <w:vAlign w:val="center"/>
          </w:tcPr>
          <w:p w14:paraId="58531A7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1.84</w:t>
            </w:r>
          </w:p>
        </w:tc>
        <w:tc>
          <w:tcPr>
            <w:tcW w:w="658" w:type="dxa"/>
            <w:noWrap w:val="0"/>
            <w:vAlign w:val="center"/>
          </w:tcPr>
          <w:p w14:paraId="431B695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2.19</w:t>
            </w:r>
          </w:p>
        </w:tc>
        <w:tc>
          <w:tcPr>
            <w:tcW w:w="658" w:type="dxa"/>
            <w:noWrap w:val="0"/>
            <w:vAlign w:val="center"/>
          </w:tcPr>
          <w:p w14:paraId="4294F9B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2.64</w:t>
            </w:r>
          </w:p>
        </w:tc>
        <w:tc>
          <w:tcPr>
            <w:tcW w:w="658" w:type="dxa"/>
            <w:noWrap w:val="0"/>
            <w:vAlign w:val="center"/>
          </w:tcPr>
          <w:p w14:paraId="62B4CD0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3.03</w:t>
            </w:r>
          </w:p>
        </w:tc>
        <w:tc>
          <w:tcPr>
            <w:tcW w:w="658" w:type="dxa"/>
            <w:noWrap w:val="0"/>
            <w:vAlign w:val="center"/>
          </w:tcPr>
          <w:p w14:paraId="3CC8EAA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2.97</w:t>
            </w:r>
          </w:p>
        </w:tc>
        <w:tc>
          <w:tcPr>
            <w:tcW w:w="660" w:type="dxa"/>
            <w:noWrap w:val="0"/>
            <w:vAlign w:val="center"/>
          </w:tcPr>
          <w:p w14:paraId="3566C77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3.02</w:t>
            </w:r>
          </w:p>
        </w:tc>
      </w:tr>
      <w:tr w14:paraId="079708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388" w:type="dxa"/>
            <w:noWrap w:val="0"/>
            <w:vAlign w:val="center"/>
          </w:tcPr>
          <w:p w14:paraId="5118EF0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冬季</w:t>
            </w:r>
          </w:p>
        </w:tc>
        <w:tc>
          <w:tcPr>
            <w:tcW w:w="658" w:type="dxa"/>
            <w:noWrap w:val="0"/>
            <w:vAlign w:val="center"/>
          </w:tcPr>
          <w:p w14:paraId="4F3F975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1.96</w:t>
            </w:r>
          </w:p>
        </w:tc>
        <w:tc>
          <w:tcPr>
            <w:tcW w:w="658" w:type="dxa"/>
            <w:noWrap w:val="0"/>
            <w:vAlign w:val="center"/>
          </w:tcPr>
          <w:p w14:paraId="2436863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1.99</w:t>
            </w:r>
          </w:p>
        </w:tc>
        <w:tc>
          <w:tcPr>
            <w:tcW w:w="658" w:type="dxa"/>
            <w:noWrap w:val="0"/>
            <w:vAlign w:val="center"/>
          </w:tcPr>
          <w:p w14:paraId="36158A0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2.08</w:t>
            </w:r>
          </w:p>
        </w:tc>
        <w:tc>
          <w:tcPr>
            <w:tcW w:w="658" w:type="dxa"/>
            <w:noWrap w:val="0"/>
            <w:vAlign w:val="center"/>
          </w:tcPr>
          <w:p w14:paraId="6B63B9C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2.04</w:t>
            </w:r>
          </w:p>
        </w:tc>
        <w:tc>
          <w:tcPr>
            <w:tcW w:w="658" w:type="dxa"/>
            <w:noWrap w:val="0"/>
            <w:vAlign w:val="center"/>
          </w:tcPr>
          <w:p w14:paraId="5FE9E0B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2.02</w:t>
            </w:r>
          </w:p>
        </w:tc>
        <w:tc>
          <w:tcPr>
            <w:tcW w:w="658" w:type="dxa"/>
            <w:noWrap w:val="0"/>
            <w:vAlign w:val="center"/>
          </w:tcPr>
          <w:p w14:paraId="6D32D3B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2.03</w:t>
            </w:r>
          </w:p>
        </w:tc>
        <w:tc>
          <w:tcPr>
            <w:tcW w:w="658" w:type="dxa"/>
            <w:noWrap w:val="0"/>
            <w:vAlign w:val="center"/>
          </w:tcPr>
          <w:p w14:paraId="01098CE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1.96</w:t>
            </w:r>
          </w:p>
        </w:tc>
        <w:tc>
          <w:tcPr>
            <w:tcW w:w="658" w:type="dxa"/>
            <w:noWrap w:val="0"/>
            <w:vAlign w:val="center"/>
          </w:tcPr>
          <w:p w14:paraId="2E675C9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2.04</w:t>
            </w:r>
          </w:p>
        </w:tc>
        <w:tc>
          <w:tcPr>
            <w:tcW w:w="658" w:type="dxa"/>
            <w:noWrap w:val="0"/>
            <w:vAlign w:val="center"/>
          </w:tcPr>
          <w:p w14:paraId="6A86055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2.60</w:t>
            </w:r>
          </w:p>
        </w:tc>
        <w:tc>
          <w:tcPr>
            <w:tcW w:w="658" w:type="dxa"/>
            <w:noWrap w:val="0"/>
            <w:vAlign w:val="center"/>
          </w:tcPr>
          <w:p w14:paraId="4226D74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3.18</w:t>
            </w:r>
          </w:p>
        </w:tc>
        <w:tc>
          <w:tcPr>
            <w:tcW w:w="658" w:type="dxa"/>
            <w:noWrap w:val="0"/>
            <w:vAlign w:val="center"/>
          </w:tcPr>
          <w:p w14:paraId="0F966E5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3.47</w:t>
            </w:r>
          </w:p>
        </w:tc>
        <w:tc>
          <w:tcPr>
            <w:tcW w:w="660" w:type="dxa"/>
            <w:noWrap w:val="0"/>
            <w:vAlign w:val="center"/>
          </w:tcPr>
          <w:p w14:paraId="1421E8C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3.58</w:t>
            </w:r>
          </w:p>
        </w:tc>
      </w:tr>
      <w:tr w14:paraId="0B1DD8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388" w:type="dxa"/>
            <w:noWrap w:val="0"/>
            <w:vAlign w:val="center"/>
          </w:tcPr>
          <w:p w14:paraId="66D2BC8E">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eastAsia" w:ascii="Times New Roman" w:hAnsi="Times New Roman" w:cs="Times New Roman"/>
                <w:b/>
                <w:color w:val="auto"/>
                <w:kern w:val="0"/>
                <w:lang w:bidi="en-US"/>
              </w:rPr>
              <w:t>小时（h）</w:t>
            </w:r>
          </w:p>
          <w:p w14:paraId="78747B4A">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eastAsia" w:ascii="Times New Roman" w:hAnsi="Times New Roman" w:cs="Times New Roman"/>
                <w:b/>
                <w:color w:val="auto"/>
                <w:kern w:val="0"/>
                <w:lang w:bidi="en-US"/>
              </w:rPr>
              <w:t>风速（m/s）</w:t>
            </w:r>
          </w:p>
        </w:tc>
        <w:tc>
          <w:tcPr>
            <w:tcW w:w="658" w:type="dxa"/>
            <w:noWrap w:val="0"/>
            <w:vAlign w:val="center"/>
          </w:tcPr>
          <w:p w14:paraId="4F092462">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13</w:t>
            </w:r>
          </w:p>
        </w:tc>
        <w:tc>
          <w:tcPr>
            <w:tcW w:w="658" w:type="dxa"/>
            <w:noWrap w:val="0"/>
            <w:vAlign w:val="center"/>
          </w:tcPr>
          <w:p w14:paraId="3CB5FFFA">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14</w:t>
            </w:r>
          </w:p>
        </w:tc>
        <w:tc>
          <w:tcPr>
            <w:tcW w:w="658" w:type="dxa"/>
            <w:noWrap w:val="0"/>
            <w:vAlign w:val="center"/>
          </w:tcPr>
          <w:p w14:paraId="61C43693">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15</w:t>
            </w:r>
          </w:p>
        </w:tc>
        <w:tc>
          <w:tcPr>
            <w:tcW w:w="658" w:type="dxa"/>
            <w:noWrap w:val="0"/>
            <w:vAlign w:val="center"/>
          </w:tcPr>
          <w:p w14:paraId="77FE21EF">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16</w:t>
            </w:r>
          </w:p>
        </w:tc>
        <w:tc>
          <w:tcPr>
            <w:tcW w:w="658" w:type="dxa"/>
            <w:noWrap w:val="0"/>
            <w:vAlign w:val="center"/>
          </w:tcPr>
          <w:p w14:paraId="5B3BDC7D">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17</w:t>
            </w:r>
          </w:p>
        </w:tc>
        <w:tc>
          <w:tcPr>
            <w:tcW w:w="658" w:type="dxa"/>
            <w:noWrap w:val="0"/>
            <w:vAlign w:val="center"/>
          </w:tcPr>
          <w:p w14:paraId="3E3EDFBA">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18</w:t>
            </w:r>
          </w:p>
        </w:tc>
        <w:tc>
          <w:tcPr>
            <w:tcW w:w="658" w:type="dxa"/>
            <w:noWrap w:val="0"/>
            <w:vAlign w:val="center"/>
          </w:tcPr>
          <w:p w14:paraId="7A840102">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19</w:t>
            </w:r>
          </w:p>
        </w:tc>
        <w:tc>
          <w:tcPr>
            <w:tcW w:w="658" w:type="dxa"/>
            <w:noWrap w:val="0"/>
            <w:vAlign w:val="center"/>
          </w:tcPr>
          <w:p w14:paraId="0F327722">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20</w:t>
            </w:r>
          </w:p>
        </w:tc>
        <w:tc>
          <w:tcPr>
            <w:tcW w:w="658" w:type="dxa"/>
            <w:noWrap w:val="0"/>
            <w:vAlign w:val="center"/>
          </w:tcPr>
          <w:p w14:paraId="2C24EA62">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21</w:t>
            </w:r>
          </w:p>
        </w:tc>
        <w:tc>
          <w:tcPr>
            <w:tcW w:w="658" w:type="dxa"/>
            <w:noWrap w:val="0"/>
            <w:vAlign w:val="center"/>
          </w:tcPr>
          <w:p w14:paraId="40490FC6">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22</w:t>
            </w:r>
          </w:p>
        </w:tc>
        <w:tc>
          <w:tcPr>
            <w:tcW w:w="658" w:type="dxa"/>
            <w:noWrap w:val="0"/>
            <w:vAlign w:val="center"/>
          </w:tcPr>
          <w:p w14:paraId="5DB33019">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23</w:t>
            </w:r>
          </w:p>
        </w:tc>
        <w:tc>
          <w:tcPr>
            <w:tcW w:w="660" w:type="dxa"/>
            <w:noWrap w:val="0"/>
            <w:vAlign w:val="center"/>
          </w:tcPr>
          <w:p w14:paraId="767F1326">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24</w:t>
            </w:r>
          </w:p>
        </w:tc>
      </w:tr>
      <w:tr w14:paraId="26A516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388" w:type="dxa"/>
            <w:noWrap w:val="0"/>
            <w:vAlign w:val="center"/>
          </w:tcPr>
          <w:p w14:paraId="687C721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春季</w:t>
            </w:r>
          </w:p>
        </w:tc>
        <w:tc>
          <w:tcPr>
            <w:tcW w:w="658" w:type="dxa"/>
            <w:noWrap w:val="0"/>
            <w:vAlign w:val="center"/>
          </w:tcPr>
          <w:p w14:paraId="687CBD5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3.32</w:t>
            </w:r>
          </w:p>
        </w:tc>
        <w:tc>
          <w:tcPr>
            <w:tcW w:w="658" w:type="dxa"/>
            <w:noWrap w:val="0"/>
            <w:vAlign w:val="center"/>
          </w:tcPr>
          <w:p w14:paraId="54BB318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3.29</w:t>
            </w:r>
          </w:p>
        </w:tc>
        <w:tc>
          <w:tcPr>
            <w:tcW w:w="658" w:type="dxa"/>
            <w:noWrap w:val="0"/>
            <w:vAlign w:val="center"/>
          </w:tcPr>
          <w:p w14:paraId="379FA7C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3.26</w:t>
            </w:r>
          </w:p>
        </w:tc>
        <w:tc>
          <w:tcPr>
            <w:tcW w:w="658" w:type="dxa"/>
            <w:noWrap w:val="0"/>
            <w:vAlign w:val="center"/>
          </w:tcPr>
          <w:p w14:paraId="24761DE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3.13</w:t>
            </w:r>
          </w:p>
        </w:tc>
        <w:tc>
          <w:tcPr>
            <w:tcW w:w="658" w:type="dxa"/>
            <w:noWrap w:val="0"/>
            <w:vAlign w:val="center"/>
          </w:tcPr>
          <w:p w14:paraId="733C55F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2.95</w:t>
            </w:r>
          </w:p>
        </w:tc>
        <w:tc>
          <w:tcPr>
            <w:tcW w:w="658" w:type="dxa"/>
            <w:noWrap w:val="0"/>
            <w:vAlign w:val="center"/>
          </w:tcPr>
          <w:p w14:paraId="780C5F0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2.40</w:t>
            </w:r>
          </w:p>
        </w:tc>
        <w:tc>
          <w:tcPr>
            <w:tcW w:w="658" w:type="dxa"/>
            <w:noWrap w:val="0"/>
            <w:vAlign w:val="center"/>
          </w:tcPr>
          <w:p w14:paraId="1C96890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2.15</w:t>
            </w:r>
          </w:p>
        </w:tc>
        <w:tc>
          <w:tcPr>
            <w:tcW w:w="658" w:type="dxa"/>
            <w:noWrap w:val="0"/>
            <w:vAlign w:val="center"/>
          </w:tcPr>
          <w:p w14:paraId="6CB5FA6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2.06</w:t>
            </w:r>
          </w:p>
        </w:tc>
        <w:tc>
          <w:tcPr>
            <w:tcW w:w="658" w:type="dxa"/>
            <w:noWrap w:val="0"/>
            <w:vAlign w:val="center"/>
          </w:tcPr>
          <w:p w14:paraId="04547E3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1.94</w:t>
            </w:r>
          </w:p>
        </w:tc>
        <w:tc>
          <w:tcPr>
            <w:tcW w:w="658" w:type="dxa"/>
            <w:noWrap w:val="0"/>
            <w:vAlign w:val="center"/>
          </w:tcPr>
          <w:p w14:paraId="06A5403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2.03</w:t>
            </w:r>
          </w:p>
        </w:tc>
        <w:tc>
          <w:tcPr>
            <w:tcW w:w="658" w:type="dxa"/>
            <w:noWrap w:val="0"/>
            <w:vAlign w:val="center"/>
          </w:tcPr>
          <w:p w14:paraId="63CC4DB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1.95</w:t>
            </w:r>
          </w:p>
        </w:tc>
        <w:tc>
          <w:tcPr>
            <w:tcW w:w="660" w:type="dxa"/>
            <w:noWrap w:val="0"/>
            <w:vAlign w:val="center"/>
          </w:tcPr>
          <w:p w14:paraId="336E360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1.87</w:t>
            </w:r>
          </w:p>
        </w:tc>
      </w:tr>
      <w:tr w14:paraId="35B17A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388" w:type="dxa"/>
            <w:noWrap w:val="0"/>
            <w:vAlign w:val="center"/>
          </w:tcPr>
          <w:p w14:paraId="654EF73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夏季</w:t>
            </w:r>
          </w:p>
        </w:tc>
        <w:tc>
          <w:tcPr>
            <w:tcW w:w="658" w:type="dxa"/>
            <w:noWrap w:val="0"/>
            <w:vAlign w:val="center"/>
          </w:tcPr>
          <w:p w14:paraId="233A4CF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3.00</w:t>
            </w:r>
          </w:p>
        </w:tc>
        <w:tc>
          <w:tcPr>
            <w:tcW w:w="658" w:type="dxa"/>
            <w:noWrap w:val="0"/>
            <w:vAlign w:val="center"/>
          </w:tcPr>
          <w:p w14:paraId="168349C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3.03</w:t>
            </w:r>
          </w:p>
        </w:tc>
        <w:tc>
          <w:tcPr>
            <w:tcW w:w="658" w:type="dxa"/>
            <w:noWrap w:val="0"/>
            <w:vAlign w:val="center"/>
          </w:tcPr>
          <w:p w14:paraId="01CD6D9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3.01</w:t>
            </w:r>
          </w:p>
        </w:tc>
        <w:tc>
          <w:tcPr>
            <w:tcW w:w="658" w:type="dxa"/>
            <w:noWrap w:val="0"/>
            <w:vAlign w:val="center"/>
          </w:tcPr>
          <w:p w14:paraId="0B92FEE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2.85</w:t>
            </w:r>
          </w:p>
        </w:tc>
        <w:tc>
          <w:tcPr>
            <w:tcW w:w="658" w:type="dxa"/>
            <w:noWrap w:val="0"/>
            <w:vAlign w:val="center"/>
          </w:tcPr>
          <w:p w14:paraId="2FF7147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2.66</w:t>
            </w:r>
          </w:p>
        </w:tc>
        <w:tc>
          <w:tcPr>
            <w:tcW w:w="658" w:type="dxa"/>
            <w:noWrap w:val="0"/>
            <w:vAlign w:val="center"/>
          </w:tcPr>
          <w:p w14:paraId="210011D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2.44</w:t>
            </w:r>
          </w:p>
        </w:tc>
        <w:tc>
          <w:tcPr>
            <w:tcW w:w="658" w:type="dxa"/>
            <w:noWrap w:val="0"/>
            <w:vAlign w:val="center"/>
          </w:tcPr>
          <w:p w14:paraId="0AEB1E8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2.07</w:t>
            </w:r>
          </w:p>
        </w:tc>
        <w:tc>
          <w:tcPr>
            <w:tcW w:w="658" w:type="dxa"/>
            <w:noWrap w:val="0"/>
            <w:vAlign w:val="center"/>
          </w:tcPr>
          <w:p w14:paraId="7A44979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2.02</w:t>
            </w:r>
          </w:p>
        </w:tc>
        <w:tc>
          <w:tcPr>
            <w:tcW w:w="658" w:type="dxa"/>
            <w:noWrap w:val="0"/>
            <w:vAlign w:val="center"/>
          </w:tcPr>
          <w:p w14:paraId="4CCA164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1.98</w:t>
            </w:r>
          </w:p>
        </w:tc>
        <w:tc>
          <w:tcPr>
            <w:tcW w:w="658" w:type="dxa"/>
            <w:noWrap w:val="0"/>
            <w:vAlign w:val="center"/>
          </w:tcPr>
          <w:p w14:paraId="28F64C9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1.86</w:t>
            </w:r>
          </w:p>
        </w:tc>
        <w:tc>
          <w:tcPr>
            <w:tcW w:w="658" w:type="dxa"/>
            <w:noWrap w:val="0"/>
            <w:vAlign w:val="center"/>
          </w:tcPr>
          <w:p w14:paraId="3F581C1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1.81</w:t>
            </w:r>
          </w:p>
        </w:tc>
        <w:tc>
          <w:tcPr>
            <w:tcW w:w="660" w:type="dxa"/>
            <w:noWrap w:val="0"/>
            <w:vAlign w:val="center"/>
          </w:tcPr>
          <w:p w14:paraId="77C3F57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1.86</w:t>
            </w:r>
          </w:p>
        </w:tc>
      </w:tr>
      <w:tr w14:paraId="68CBCB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388" w:type="dxa"/>
            <w:noWrap w:val="0"/>
            <w:vAlign w:val="center"/>
          </w:tcPr>
          <w:p w14:paraId="7A349F3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秋季</w:t>
            </w:r>
          </w:p>
        </w:tc>
        <w:tc>
          <w:tcPr>
            <w:tcW w:w="658" w:type="dxa"/>
            <w:noWrap w:val="0"/>
            <w:vAlign w:val="center"/>
          </w:tcPr>
          <w:p w14:paraId="4D296FC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2.97</w:t>
            </w:r>
          </w:p>
        </w:tc>
        <w:tc>
          <w:tcPr>
            <w:tcW w:w="658" w:type="dxa"/>
            <w:noWrap w:val="0"/>
            <w:vAlign w:val="center"/>
          </w:tcPr>
          <w:p w14:paraId="63E29BE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3.06</w:t>
            </w:r>
          </w:p>
        </w:tc>
        <w:tc>
          <w:tcPr>
            <w:tcW w:w="658" w:type="dxa"/>
            <w:noWrap w:val="0"/>
            <w:vAlign w:val="center"/>
          </w:tcPr>
          <w:p w14:paraId="2F19ADD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2.93</w:t>
            </w:r>
          </w:p>
        </w:tc>
        <w:tc>
          <w:tcPr>
            <w:tcW w:w="658" w:type="dxa"/>
            <w:noWrap w:val="0"/>
            <w:vAlign w:val="center"/>
          </w:tcPr>
          <w:p w14:paraId="07DB06D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2.67</w:t>
            </w:r>
          </w:p>
        </w:tc>
        <w:tc>
          <w:tcPr>
            <w:tcW w:w="658" w:type="dxa"/>
            <w:noWrap w:val="0"/>
            <w:vAlign w:val="center"/>
          </w:tcPr>
          <w:p w14:paraId="3516D26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2.32</w:t>
            </w:r>
          </w:p>
        </w:tc>
        <w:tc>
          <w:tcPr>
            <w:tcW w:w="658" w:type="dxa"/>
            <w:noWrap w:val="0"/>
            <w:vAlign w:val="center"/>
          </w:tcPr>
          <w:p w14:paraId="224270C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1.93</w:t>
            </w:r>
          </w:p>
        </w:tc>
        <w:tc>
          <w:tcPr>
            <w:tcW w:w="658" w:type="dxa"/>
            <w:noWrap w:val="0"/>
            <w:vAlign w:val="center"/>
          </w:tcPr>
          <w:p w14:paraId="52A4C70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1.80</w:t>
            </w:r>
          </w:p>
        </w:tc>
        <w:tc>
          <w:tcPr>
            <w:tcW w:w="658" w:type="dxa"/>
            <w:noWrap w:val="0"/>
            <w:vAlign w:val="center"/>
          </w:tcPr>
          <w:p w14:paraId="115D1AE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1.91</w:t>
            </w:r>
          </w:p>
        </w:tc>
        <w:tc>
          <w:tcPr>
            <w:tcW w:w="658" w:type="dxa"/>
            <w:noWrap w:val="0"/>
            <w:vAlign w:val="center"/>
          </w:tcPr>
          <w:p w14:paraId="108B9B5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1.93</w:t>
            </w:r>
          </w:p>
        </w:tc>
        <w:tc>
          <w:tcPr>
            <w:tcW w:w="658" w:type="dxa"/>
            <w:noWrap w:val="0"/>
            <w:vAlign w:val="center"/>
          </w:tcPr>
          <w:p w14:paraId="6FED022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1.81</w:t>
            </w:r>
          </w:p>
        </w:tc>
        <w:tc>
          <w:tcPr>
            <w:tcW w:w="658" w:type="dxa"/>
            <w:noWrap w:val="0"/>
            <w:vAlign w:val="center"/>
          </w:tcPr>
          <w:p w14:paraId="30CF544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1.74</w:t>
            </w:r>
          </w:p>
        </w:tc>
        <w:tc>
          <w:tcPr>
            <w:tcW w:w="660" w:type="dxa"/>
            <w:noWrap w:val="0"/>
            <w:vAlign w:val="center"/>
          </w:tcPr>
          <w:p w14:paraId="44C919C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1.70</w:t>
            </w:r>
          </w:p>
        </w:tc>
      </w:tr>
      <w:tr w14:paraId="4E1FDB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388" w:type="dxa"/>
            <w:noWrap w:val="0"/>
            <w:vAlign w:val="center"/>
          </w:tcPr>
          <w:p w14:paraId="182FE9A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冬季</w:t>
            </w:r>
          </w:p>
        </w:tc>
        <w:tc>
          <w:tcPr>
            <w:tcW w:w="658" w:type="dxa"/>
            <w:noWrap w:val="0"/>
            <w:vAlign w:val="center"/>
          </w:tcPr>
          <w:p w14:paraId="1EDD67D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3.67</w:t>
            </w:r>
          </w:p>
        </w:tc>
        <w:tc>
          <w:tcPr>
            <w:tcW w:w="658" w:type="dxa"/>
            <w:noWrap w:val="0"/>
            <w:vAlign w:val="center"/>
          </w:tcPr>
          <w:p w14:paraId="57263F2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3.60</w:t>
            </w:r>
          </w:p>
        </w:tc>
        <w:tc>
          <w:tcPr>
            <w:tcW w:w="658" w:type="dxa"/>
            <w:noWrap w:val="0"/>
            <w:vAlign w:val="center"/>
          </w:tcPr>
          <w:p w14:paraId="0B78EB5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3.47</w:t>
            </w:r>
          </w:p>
        </w:tc>
        <w:tc>
          <w:tcPr>
            <w:tcW w:w="658" w:type="dxa"/>
            <w:noWrap w:val="0"/>
            <w:vAlign w:val="center"/>
          </w:tcPr>
          <w:p w14:paraId="73E8A3A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3.29</w:t>
            </w:r>
          </w:p>
        </w:tc>
        <w:tc>
          <w:tcPr>
            <w:tcW w:w="658" w:type="dxa"/>
            <w:noWrap w:val="0"/>
            <w:vAlign w:val="center"/>
          </w:tcPr>
          <w:p w14:paraId="134F5B2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2.68</w:t>
            </w:r>
          </w:p>
        </w:tc>
        <w:tc>
          <w:tcPr>
            <w:tcW w:w="658" w:type="dxa"/>
            <w:noWrap w:val="0"/>
            <w:vAlign w:val="center"/>
          </w:tcPr>
          <w:p w14:paraId="46EDE2D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2.28</w:t>
            </w:r>
          </w:p>
        </w:tc>
        <w:tc>
          <w:tcPr>
            <w:tcW w:w="658" w:type="dxa"/>
            <w:noWrap w:val="0"/>
            <w:vAlign w:val="center"/>
          </w:tcPr>
          <w:p w14:paraId="5FCBB94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2.11</w:t>
            </w:r>
          </w:p>
        </w:tc>
        <w:tc>
          <w:tcPr>
            <w:tcW w:w="658" w:type="dxa"/>
            <w:noWrap w:val="0"/>
            <w:vAlign w:val="center"/>
          </w:tcPr>
          <w:p w14:paraId="3CC354A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2.06</w:t>
            </w:r>
          </w:p>
        </w:tc>
        <w:tc>
          <w:tcPr>
            <w:tcW w:w="658" w:type="dxa"/>
            <w:noWrap w:val="0"/>
            <w:vAlign w:val="center"/>
          </w:tcPr>
          <w:p w14:paraId="6564D6B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2.07</w:t>
            </w:r>
          </w:p>
        </w:tc>
        <w:tc>
          <w:tcPr>
            <w:tcW w:w="658" w:type="dxa"/>
            <w:noWrap w:val="0"/>
            <w:vAlign w:val="center"/>
          </w:tcPr>
          <w:p w14:paraId="4ED76EC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1.98</w:t>
            </w:r>
          </w:p>
        </w:tc>
        <w:tc>
          <w:tcPr>
            <w:tcW w:w="658" w:type="dxa"/>
            <w:noWrap w:val="0"/>
            <w:vAlign w:val="center"/>
          </w:tcPr>
          <w:p w14:paraId="543722B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2.07</w:t>
            </w:r>
          </w:p>
        </w:tc>
        <w:tc>
          <w:tcPr>
            <w:tcW w:w="660" w:type="dxa"/>
            <w:noWrap w:val="0"/>
            <w:vAlign w:val="center"/>
          </w:tcPr>
          <w:p w14:paraId="6204313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1.97</w:t>
            </w:r>
          </w:p>
        </w:tc>
      </w:tr>
    </w:tbl>
    <w:p w14:paraId="73AF1644">
      <w:pPr>
        <w:spacing w:line="360" w:lineRule="auto"/>
        <w:ind w:firstLine="480" w:firstLineChars="200"/>
        <w:rPr>
          <w:color w:val="auto"/>
          <w:sz w:val="24"/>
        </w:rPr>
        <w:sectPr>
          <w:footerReference r:id="rId17" w:type="default"/>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2422B5E9">
      <w:pPr>
        <w:spacing w:line="400" w:lineRule="exact"/>
        <w:jc w:val="center"/>
        <w:rPr>
          <w:rFonts w:eastAsia="黑体"/>
          <w:color w:val="auto"/>
          <w:sz w:val="24"/>
        </w:rPr>
      </w:pPr>
      <w:r>
        <w:rPr>
          <w:rFonts w:eastAsia="黑体"/>
          <w:color w:val="auto"/>
          <w:sz w:val="24"/>
          <w:lang w:val="en-GB"/>
        </w:rPr>
        <w:t>表5.2-</w:t>
      </w:r>
      <w:r>
        <w:rPr>
          <w:rFonts w:hint="eastAsia" w:eastAsia="黑体"/>
          <w:color w:val="auto"/>
          <w:sz w:val="24"/>
        </w:rPr>
        <w:t>9</w:t>
      </w:r>
      <w:r>
        <w:rPr>
          <w:rFonts w:eastAsia="黑体"/>
          <w:color w:val="auto"/>
          <w:sz w:val="24"/>
          <w:lang w:val="en-GB"/>
        </w:rPr>
        <w:t xml:space="preserve">  </w:t>
      </w:r>
      <w:r>
        <w:rPr>
          <w:rFonts w:hint="eastAsia" w:eastAsia="黑体"/>
          <w:color w:val="auto"/>
          <w:sz w:val="24"/>
        </w:rPr>
        <w:t>淮南市</w:t>
      </w:r>
      <w:r>
        <w:rPr>
          <w:rFonts w:eastAsia="黑体"/>
          <w:color w:val="auto"/>
          <w:sz w:val="24"/>
        </w:rPr>
        <w:t>202</w:t>
      </w:r>
      <w:r>
        <w:rPr>
          <w:rFonts w:hint="eastAsia" w:eastAsia="黑体"/>
          <w:color w:val="auto"/>
          <w:sz w:val="24"/>
        </w:rPr>
        <w:t>2年风频的月、季、年变化</w:t>
      </w:r>
      <w:r>
        <w:rPr>
          <w:rFonts w:eastAsia="黑体"/>
          <w:color w:val="auto"/>
          <w:sz w:val="24"/>
        </w:rPr>
        <w:t xml:space="preserve">  </w:t>
      </w:r>
      <w:r>
        <w:rPr>
          <w:rFonts w:hint="eastAsia" w:eastAsia="黑体"/>
          <w:color w:val="auto"/>
          <w:sz w:val="24"/>
        </w:rPr>
        <w:t>单位：</w:t>
      </w:r>
      <w:r>
        <w:rPr>
          <w:rFonts w:eastAsia="黑体"/>
          <w:color w:val="auto"/>
          <w:sz w:val="24"/>
        </w:rPr>
        <w:t>%</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07"/>
        <w:gridCol w:w="756"/>
        <w:gridCol w:w="756"/>
        <w:gridCol w:w="756"/>
        <w:gridCol w:w="756"/>
        <w:gridCol w:w="756"/>
        <w:gridCol w:w="756"/>
        <w:gridCol w:w="756"/>
        <w:gridCol w:w="756"/>
        <w:gridCol w:w="756"/>
        <w:gridCol w:w="756"/>
        <w:gridCol w:w="756"/>
        <w:gridCol w:w="756"/>
        <w:gridCol w:w="756"/>
        <w:gridCol w:w="756"/>
        <w:gridCol w:w="756"/>
        <w:gridCol w:w="756"/>
        <w:gridCol w:w="771"/>
      </w:tblGrid>
      <w:tr w14:paraId="4DD6D1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7" w:type="dxa"/>
            <w:noWrap w:val="0"/>
            <w:vAlign w:val="center"/>
          </w:tcPr>
          <w:p w14:paraId="75A20821">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eastAsia" w:ascii="Times New Roman" w:hAnsi="Times New Roman" w:cs="Times New Roman"/>
                <w:b/>
                <w:color w:val="auto"/>
                <w:kern w:val="0"/>
                <w:lang w:bidi="en-US"/>
              </w:rPr>
              <w:t>风频</w:t>
            </w:r>
          </w:p>
          <w:p w14:paraId="75263AC4">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eastAsia" w:ascii="Times New Roman" w:hAnsi="Times New Roman" w:cs="Times New Roman"/>
                <w:b/>
                <w:color w:val="auto"/>
                <w:kern w:val="0"/>
                <w:lang w:bidi="en-US"/>
              </w:rPr>
              <w:t>风向</w:t>
            </w:r>
          </w:p>
        </w:tc>
        <w:tc>
          <w:tcPr>
            <w:tcW w:w="756" w:type="dxa"/>
            <w:noWrap w:val="0"/>
            <w:vAlign w:val="center"/>
          </w:tcPr>
          <w:p w14:paraId="410D92E1">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N</w:t>
            </w:r>
          </w:p>
        </w:tc>
        <w:tc>
          <w:tcPr>
            <w:tcW w:w="756" w:type="dxa"/>
            <w:noWrap w:val="0"/>
            <w:vAlign w:val="center"/>
          </w:tcPr>
          <w:p w14:paraId="5CB55AC9">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NNE</w:t>
            </w:r>
          </w:p>
        </w:tc>
        <w:tc>
          <w:tcPr>
            <w:tcW w:w="756" w:type="dxa"/>
            <w:noWrap w:val="0"/>
            <w:vAlign w:val="center"/>
          </w:tcPr>
          <w:p w14:paraId="59264A47">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NE</w:t>
            </w:r>
          </w:p>
        </w:tc>
        <w:tc>
          <w:tcPr>
            <w:tcW w:w="756" w:type="dxa"/>
            <w:noWrap w:val="0"/>
            <w:vAlign w:val="center"/>
          </w:tcPr>
          <w:p w14:paraId="7FEEA6CA">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ENE</w:t>
            </w:r>
          </w:p>
        </w:tc>
        <w:tc>
          <w:tcPr>
            <w:tcW w:w="756" w:type="dxa"/>
            <w:noWrap w:val="0"/>
            <w:vAlign w:val="center"/>
          </w:tcPr>
          <w:p w14:paraId="3BBB00A1">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E</w:t>
            </w:r>
          </w:p>
        </w:tc>
        <w:tc>
          <w:tcPr>
            <w:tcW w:w="756" w:type="dxa"/>
            <w:noWrap w:val="0"/>
            <w:vAlign w:val="center"/>
          </w:tcPr>
          <w:p w14:paraId="4C9799F4">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ESE</w:t>
            </w:r>
          </w:p>
        </w:tc>
        <w:tc>
          <w:tcPr>
            <w:tcW w:w="756" w:type="dxa"/>
            <w:noWrap w:val="0"/>
            <w:vAlign w:val="center"/>
          </w:tcPr>
          <w:p w14:paraId="77509C5C">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SE</w:t>
            </w:r>
          </w:p>
        </w:tc>
        <w:tc>
          <w:tcPr>
            <w:tcW w:w="756" w:type="dxa"/>
            <w:noWrap w:val="0"/>
            <w:vAlign w:val="center"/>
          </w:tcPr>
          <w:p w14:paraId="0324D64C">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SSE</w:t>
            </w:r>
          </w:p>
        </w:tc>
        <w:tc>
          <w:tcPr>
            <w:tcW w:w="756" w:type="dxa"/>
            <w:noWrap w:val="0"/>
            <w:vAlign w:val="center"/>
          </w:tcPr>
          <w:p w14:paraId="4490250C">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S</w:t>
            </w:r>
          </w:p>
        </w:tc>
        <w:tc>
          <w:tcPr>
            <w:tcW w:w="756" w:type="dxa"/>
            <w:noWrap w:val="0"/>
            <w:vAlign w:val="center"/>
          </w:tcPr>
          <w:p w14:paraId="4CB34C2A">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SSW</w:t>
            </w:r>
          </w:p>
        </w:tc>
        <w:tc>
          <w:tcPr>
            <w:tcW w:w="756" w:type="dxa"/>
            <w:noWrap w:val="0"/>
            <w:vAlign w:val="center"/>
          </w:tcPr>
          <w:p w14:paraId="58FFF43C">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SW</w:t>
            </w:r>
          </w:p>
        </w:tc>
        <w:tc>
          <w:tcPr>
            <w:tcW w:w="756" w:type="dxa"/>
            <w:noWrap w:val="0"/>
            <w:vAlign w:val="center"/>
          </w:tcPr>
          <w:p w14:paraId="217174C6">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WSW</w:t>
            </w:r>
          </w:p>
        </w:tc>
        <w:tc>
          <w:tcPr>
            <w:tcW w:w="756" w:type="dxa"/>
            <w:noWrap w:val="0"/>
            <w:vAlign w:val="center"/>
          </w:tcPr>
          <w:p w14:paraId="6085E1B1">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W</w:t>
            </w:r>
          </w:p>
        </w:tc>
        <w:tc>
          <w:tcPr>
            <w:tcW w:w="756" w:type="dxa"/>
            <w:noWrap w:val="0"/>
            <w:vAlign w:val="center"/>
          </w:tcPr>
          <w:p w14:paraId="7F5553E4">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WNW</w:t>
            </w:r>
          </w:p>
        </w:tc>
        <w:tc>
          <w:tcPr>
            <w:tcW w:w="756" w:type="dxa"/>
            <w:noWrap w:val="0"/>
            <w:vAlign w:val="center"/>
          </w:tcPr>
          <w:p w14:paraId="54E11BA9">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NW</w:t>
            </w:r>
          </w:p>
        </w:tc>
        <w:tc>
          <w:tcPr>
            <w:tcW w:w="756" w:type="dxa"/>
            <w:noWrap w:val="0"/>
            <w:vAlign w:val="center"/>
          </w:tcPr>
          <w:p w14:paraId="44F59402">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NNW</w:t>
            </w:r>
          </w:p>
        </w:tc>
        <w:tc>
          <w:tcPr>
            <w:tcW w:w="771" w:type="dxa"/>
            <w:noWrap w:val="0"/>
            <w:vAlign w:val="center"/>
          </w:tcPr>
          <w:p w14:paraId="0BB45BA5">
            <w:pPr>
              <w:keepNext w:val="0"/>
              <w:keepLines w:val="0"/>
              <w:widowControl/>
              <w:suppressLineNumbers w:val="0"/>
              <w:spacing w:before="0" w:beforeAutospacing="0" w:after="0" w:afterAutospacing="0"/>
              <w:ind w:left="0" w:right="0"/>
              <w:jc w:val="center"/>
              <w:rPr>
                <w:rFonts w:hint="default" w:ascii="Times New Roman" w:hAnsi="Times New Roman" w:cs="Times New Roman"/>
                <w:b/>
                <w:color w:val="auto"/>
                <w:kern w:val="0"/>
                <w:lang w:bidi="en-US"/>
              </w:rPr>
            </w:pPr>
            <w:r>
              <w:rPr>
                <w:rFonts w:hint="default" w:ascii="Times New Roman" w:hAnsi="Times New Roman" w:cs="Times New Roman"/>
                <w:b/>
                <w:color w:val="auto"/>
                <w:kern w:val="0"/>
                <w:lang w:bidi="en-US"/>
              </w:rPr>
              <w:t>C</w:t>
            </w:r>
          </w:p>
        </w:tc>
      </w:tr>
      <w:tr w14:paraId="797E5C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7" w:type="dxa"/>
            <w:noWrap w:val="0"/>
            <w:vAlign w:val="center"/>
          </w:tcPr>
          <w:p w14:paraId="5A66DFA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 xml:space="preserve">一月           </w:t>
            </w:r>
          </w:p>
        </w:tc>
        <w:tc>
          <w:tcPr>
            <w:tcW w:w="756" w:type="dxa"/>
            <w:noWrap w:val="0"/>
            <w:vAlign w:val="center"/>
          </w:tcPr>
          <w:p w14:paraId="0861A64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10.48</w:t>
            </w:r>
          </w:p>
        </w:tc>
        <w:tc>
          <w:tcPr>
            <w:tcW w:w="756" w:type="dxa"/>
            <w:noWrap w:val="0"/>
            <w:vAlign w:val="center"/>
          </w:tcPr>
          <w:p w14:paraId="6BCA1CA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5.38</w:t>
            </w:r>
          </w:p>
        </w:tc>
        <w:tc>
          <w:tcPr>
            <w:tcW w:w="756" w:type="dxa"/>
            <w:noWrap w:val="0"/>
            <w:vAlign w:val="center"/>
          </w:tcPr>
          <w:p w14:paraId="27E9520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8.47</w:t>
            </w:r>
          </w:p>
        </w:tc>
        <w:tc>
          <w:tcPr>
            <w:tcW w:w="756" w:type="dxa"/>
            <w:noWrap w:val="0"/>
            <w:vAlign w:val="center"/>
          </w:tcPr>
          <w:p w14:paraId="4A4FFFA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3.76</w:t>
            </w:r>
          </w:p>
        </w:tc>
        <w:tc>
          <w:tcPr>
            <w:tcW w:w="756" w:type="dxa"/>
            <w:noWrap w:val="0"/>
            <w:vAlign w:val="center"/>
          </w:tcPr>
          <w:p w14:paraId="16234B5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5.51</w:t>
            </w:r>
          </w:p>
        </w:tc>
        <w:tc>
          <w:tcPr>
            <w:tcW w:w="756" w:type="dxa"/>
            <w:noWrap w:val="0"/>
            <w:vAlign w:val="center"/>
          </w:tcPr>
          <w:p w14:paraId="1512EF8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7.93</w:t>
            </w:r>
          </w:p>
        </w:tc>
        <w:tc>
          <w:tcPr>
            <w:tcW w:w="756" w:type="dxa"/>
            <w:noWrap w:val="0"/>
            <w:vAlign w:val="center"/>
          </w:tcPr>
          <w:p w14:paraId="3BC6808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3.63</w:t>
            </w:r>
          </w:p>
        </w:tc>
        <w:tc>
          <w:tcPr>
            <w:tcW w:w="756" w:type="dxa"/>
            <w:noWrap w:val="0"/>
            <w:vAlign w:val="center"/>
          </w:tcPr>
          <w:p w14:paraId="0964C1A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2.82</w:t>
            </w:r>
          </w:p>
        </w:tc>
        <w:tc>
          <w:tcPr>
            <w:tcW w:w="756" w:type="dxa"/>
            <w:noWrap w:val="0"/>
            <w:vAlign w:val="center"/>
          </w:tcPr>
          <w:p w14:paraId="44D8D2A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7.53</w:t>
            </w:r>
          </w:p>
        </w:tc>
        <w:tc>
          <w:tcPr>
            <w:tcW w:w="756" w:type="dxa"/>
            <w:noWrap w:val="0"/>
            <w:vAlign w:val="center"/>
          </w:tcPr>
          <w:p w14:paraId="55AE49C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2.55</w:t>
            </w:r>
          </w:p>
        </w:tc>
        <w:tc>
          <w:tcPr>
            <w:tcW w:w="756" w:type="dxa"/>
            <w:noWrap w:val="0"/>
            <w:vAlign w:val="center"/>
          </w:tcPr>
          <w:p w14:paraId="296A6BE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4.70</w:t>
            </w:r>
          </w:p>
        </w:tc>
        <w:tc>
          <w:tcPr>
            <w:tcW w:w="756" w:type="dxa"/>
            <w:noWrap w:val="0"/>
            <w:vAlign w:val="center"/>
          </w:tcPr>
          <w:p w14:paraId="1F446E4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4.84</w:t>
            </w:r>
          </w:p>
        </w:tc>
        <w:tc>
          <w:tcPr>
            <w:tcW w:w="756" w:type="dxa"/>
            <w:noWrap w:val="0"/>
            <w:vAlign w:val="center"/>
          </w:tcPr>
          <w:p w14:paraId="4EB972E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8.74</w:t>
            </w:r>
          </w:p>
        </w:tc>
        <w:tc>
          <w:tcPr>
            <w:tcW w:w="756" w:type="dxa"/>
            <w:noWrap w:val="0"/>
            <w:vAlign w:val="center"/>
          </w:tcPr>
          <w:p w14:paraId="64A977B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8.33</w:t>
            </w:r>
          </w:p>
        </w:tc>
        <w:tc>
          <w:tcPr>
            <w:tcW w:w="756" w:type="dxa"/>
            <w:noWrap w:val="0"/>
            <w:vAlign w:val="center"/>
          </w:tcPr>
          <w:p w14:paraId="5F04AD4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10.35</w:t>
            </w:r>
          </w:p>
        </w:tc>
        <w:tc>
          <w:tcPr>
            <w:tcW w:w="756" w:type="dxa"/>
            <w:noWrap w:val="0"/>
            <w:vAlign w:val="center"/>
          </w:tcPr>
          <w:p w14:paraId="3BC0091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4.97</w:t>
            </w:r>
          </w:p>
        </w:tc>
        <w:tc>
          <w:tcPr>
            <w:tcW w:w="771" w:type="dxa"/>
            <w:noWrap w:val="0"/>
            <w:vAlign w:val="center"/>
          </w:tcPr>
          <w:p w14:paraId="27A84F0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0.00</w:t>
            </w:r>
          </w:p>
        </w:tc>
      </w:tr>
      <w:tr w14:paraId="6D5A6E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7" w:type="dxa"/>
            <w:noWrap w:val="0"/>
            <w:vAlign w:val="center"/>
          </w:tcPr>
          <w:p w14:paraId="72A26C8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 xml:space="preserve">二月           </w:t>
            </w:r>
          </w:p>
        </w:tc>
        <w:tc>
          <w:tcPr>
            <w:tcW w:w="756" w:type="dxa"/>
            <w:noWrap w:val="0"/>
            <w:vAlign w:val="center"/>
          </w:tcPr>
          <w:p w14:paraId="22B6F96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5.51</w:t>
            </w:r>
          </w:p>
        </w:tc>
        <w:tc>
          <w:tcPr>
            <w:tcW w:w="756" w:type="dxa"/>
            <w:noWrap w:val="0"/>
            <w:vAlign w:val="center"/>
          </w:tcPr>
          <w:p w14:paraId="6A12802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7.29</w:t>
            </w:r>
          </w:p>
        </w:tc>
        <w:tc>
          <w:tcPr>
            <w:tcW w:w="756" w:type="dxa"/>
            <w:noWrap w:val="0"/>
            <w:vAlign w:val="center"/>
          </w:tcPr>
          <w:p w14:paraId="02303A4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6.10</w:t>
            </w:r>
          </w:p>
        </w:tc>
        <w:tc>
          <w:tcPr>
            <w:tcW w:w="756" w:type="dxa"/>
            <w:noWrap w:val="0"/>
            <w:vAlign w:val="center"/>
          </w:tcPr>
          <w:p w14:paraId="0E74ECF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11.31</w:t>
            </w:r>
          </w:p>
        </w:tc>
        <w:tc>
          <w:tcPr>
            <w:tcW w:w="756" w:type="dxa"/>
            <w:noWrap w:val="0"/>
            <w:vAlign w:val="center"/>
          </w:tcPr>
          <w:p w14:paraId="2CCD6B8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14.73</w:t>
            </w:r>
          </w:p>
        </w:tc>
        <w:tc>
          <w:tcPr>
            <w:tcW w:w="756" w:type="dxa"/>
            <w:noWrap w:val="0"/>
            <w:vAlign w:val="center"/>
          </w:tcPr>
          <w:p w14:paraId="065D1D7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11.61</w:t>
            </w:r>
          </w:p>
        </w:tc>
        <w:tc>
          <w:tcPr>
            <w:tcW w:w="756" w:type="dxa"/>
            <w:noWrap w:val="0"/>
            <w:vAlign w:val="center"/>
          </w:tcPr>
          <w:p w14:paraId="64E9BBF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7.89</w:t>
            </w:r>
          </w:p>
        </w:tc>
        <w:tc>
          <w:tcPr>
            <w:tcW w:w="756" w:type="dxa"/>
            <w:noWrap w:val="0"/>
            <w:vAlign w:val="center"/>
          </w:tcPr>
          <w:p w14:paraId="76F849F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2.83</w:t>
            </w:r>
          </w:p>
        </w:tc>
        <w:tc>
          <w:tcPr>
            <w:tcW w:w="756" w:type="dxa"/>
            <w:noWrap w:val="0"/>
            <w:vAlign w:val="center"/>
          </w:tcPr>
          <w:p w14:paraId="3FAD6A5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6.99</w:t>
            </w:r>
          </w:p>
        </w:tc>
        <w:tc>
          <w:tcPr>
            <w:tcW w:w="756" w:type="dxa"/>
            <w:noWrap w:val="0"/>
            <w:vAlign w:val="center"/>
          </w:tcPr>
          <w:p w14:paraId="1072B13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3.27</w:t>
            </w:r>
          </w:p>
        </w:tc>
        <w:tc>
          <w:tcPr>
            <w:tcW w:w="756" w:type="dxa"/>
            <w:noWrap w:val="0"/>
            <w:vAlign w:val="center"/>
          </w:tcPr>
          <w:p w14:paraId="3BF3A29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4.46</w:t>
            </w:r>
          </w:p>
        </w:tc>
        <w:tc>
          <w:tcPr>
            <w:tcW w:w="756" w:type="dxa"/>
            <w:noWrap w:val="0"/>
            <w:vAlign w:val="center"/>
          </w:tcPr>
          <w:p w14:paraId="3E6B1A4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6.40</w:t>
            </w:r>
          </w:p>
        </w:tc>
        <w:tc>
          <w:tcPr>
            <w:tcW w:w="756" w:type="dxa"/>
            <w:noWrap w:val="0"/>
            <w:vAlign w:val="center"/>
          </w:tcPr>
          <w:p w14:paraId="342B164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5.51</w:t>
            </w:r>
          </w:p>
        </w:tc>
        <w:tc>
          <w:tcPr>
            <w:tcW w:w="756" w:type="dxa"/>
            <w:noWrap w:val="0"/>
            <w:vAlign w:val="center"/>
          </w:tcPr>
          <w:p w14:paraId="012A164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2.08</w:t>
            </w:r>
          </w:p>
        </w:tc>
        <w:tc>
          <w:tcPr>
            <w:tcW w:w="756" w:type="dxa"/>
            <w:noWrap w:val="0"/>
            <w:vAlign w:val="center"/>
          </w:tcPr>
          <w:p w14:paraId="4273742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1.64</w:t>
            </w:r>
          </w:p>
        </w:tc>
        <w:tc>
          <w:tcPr>
            <w:tcW w:w="756" w:type="dxa"/>
            <w:noWrap w:val="0"/>
            <w:vAlign w:val="center"/>
          </w:tcPr>
          <w:p w14:paraId="4610A06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2.38</w:t>
            </w:r>
          </w:p>
        </w:tc>
        <w:tc>
          <w:tcPr>
            <w:tcW w:w="771" w:type="dxa"/>
            <w:noWrap w:val="0"/>
            <w:vAlign w:val="center"/>
          </w:tcPr>
          <w:p w14:paraId="5303740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0.00</w:t>
            </w:r>
          </w:p>
        </w:tc>
      </w:tr>
      <w:tr w14:paraId="7FB0FD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7" w:type="dxa"/>
            <w:noWrap w:val="0"/>
            <w:vAlign w:val="center"/>
          </w:tcPr>
          <w:p w14:paraId="0FF3F7C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 xml:space="preserve">三月           </w:t>
            </w:r>
          </w:p>
        </w:tc>
        <w:tc>
          <w:tcPr>
            <w:tcW w:w="756" w:type="dxa"/>
            <w:noWrap w:val="0"/>
            <w:vAlign w:val="center"/>
          </w:tcPr>
          <w:p w14:paraId="1C77CA5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5.38</w:t>
            </w:r>
          </w:p>
        </w:tc>
        <w:tc>
          <w:tcPr>
            <w:tcW w:w="756" w:type="dxa"/>
            <w:noWrap w:val="0"/>
            <w:vAlign w:val="center"/>
          </w:tcPr>
          <w:p w14:paraId="6474D4A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5.24</w:t>
            </w:r>
          </w:p>
        </w:tc>
        <w:tc>
          <w:tcPr>
            <w:tcW w:w="756" w:type="dxa"/>
            <w:noWrap w:val="0"/>
            <w:vAlign w:val="center"/>
          </w:tcPr>
          <w:p w14:paraId="2E2CE0C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10.35</w:t>
            </w:r>
          </w:p>
        </w:tc>
        <w:tc>
          <w:tcPr>
            <w:tcW w:w="756" w:type="dxa"/>
            <w:noWrap w:val="0"/>
            <w:vAlign w:val="center"/>
          </w:tcPr>
          <w:p w14:paraId="77D54FE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8.87</w:t>
            </w:r>
          </w:p>
        </w:tc>
        <w:tc>
          <w:tcPr>
            <w:tcW w:w="756" w:type="dxa"/>
            <w:noWrap w:val="0"/>
            <w:vAlign w:val="center"/>
          </w:tcPr>
          <w:p w14:paraId="5DCF42A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14.78</w:t>
            </w:r>
          </w:p>
        </w:tc>
        <w:tc>
          <w:tcPr>
            <w:tcW w:w="756" w:type="dxa"/>
            <w:noWrap w:val="0"/>
            <w:vAlign w:val="center"/>
          </w:tcPr>
          <w:p w14:paraId="252E800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12.50</w:t>
            </w:r>
          </w:p>
        </w:tc>
        <w:tc>
          <w:tcPr>
            <w:tcW w:w="756" w:type="dxa"/>
            <w:noWrap w:val="0"/>
            <w:vAlign w:val="center"/>
          </w:tcPr>
          <w:p w14:paraId="35FE5C6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9.14</w:t>
            </w:r>
          </w:p>
        </w:tc>
        <w:tc>
          <w:tcPr>
            <w:tcW w:w="756" w:type="dxa"/>
            <w:noWrap w:val="0"/>
            <w:vAlign w:val="center"/>
          </w:tcPr>
          <w:p w14:paraId="06209F1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4.17</w:t>
            </w:r>
          </w:p>
        </w:tc>
        <w:tc>
          <w:tcPr>
            <w:tcW w:w="756" w:type="dxa"/>
            <w:noWrap w:val="0"/>
            <w:vAlign w:val="center"/>
          </w:tcPr>
          <w:p w14:paraId="146A031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3.23</w:t>
            </w:r>
          </w:p>
        </w:tc>
        <w:tc>
          <w:tcPr>
            <w:tcW w:w="756" w:type="dxa"/>
            <w:noWrap w:val="0"/>
            <w:vAlign w:val="center"/>
          </w:tcPr>
          <w:p w14:paraId="5C33443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1.34</w:t>
            </w:r>
          </w:p>
        </w:tc>
        <w:tc>
          <w:tcPr>
            <w:tcW w:w="756" w:type="dxa"/>
            <w:noWrap w:val="0"/>
            <w:vAlign w:val="center"/>
          </w:tcPr>
          <w:p w14:paraId="678FE49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2.15</w:t>
            </w:r>
          </w:p>
        </w:tc>
        <w:tc>
          <w:tcPr>
            <w:tcW w:w="756" w:type="dxa"/>
            <w:noWrap w:val="0"/>
            <w:vAlign w:val="center"/>
          </w:tcPr>
          <w:p w14:paraId="2FED62D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2.82</w:t>
            </w:r>
          </w:p>
        </w:tc>
        <w:tc>
          <w:tcPr>
            <w:tcW w:w="756" w:type="dxa"/>
            <w:noWrap w:val="0"/>
            <w:vAlign w:val="center"/>
          </w:tcPr>
          <w:p w14:paraId="148DB7A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3.23</w:t>
            </w:r>
          </w:p>
        </w:tc>
        <w:tc>
          <w:tcPr>
            <w:tcW w:w="756" w:type="dxa"/>
            <w:noWrap w:val="0"/>
            <w:vAlign w:val="center"/>
          </w:tcPr>
          <w:p w14:paraId="347F5FB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2.28</w:t>
            </w:r>
          </w:p>
        </w:tc>
        <w:tc>
          <w:tcPr>
            <w:tcW w:w="756" w:type="dxa"/>
            <w:noWrap w:val="0"/>
            <w:vAlign w:val="center"/>
          </w:tcPr>
          <w:p w14:paraId="75AAAE6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10.22</w:t>
            </w:r>
          </w:p>
        </w:tc>
        <w:tc>
          <w:tcPr>
            <w:tcW w:w="756" w:type="dxa"/>
            <w:noWrap w:val="0"/>
            <w:vAlign w:val="center"/>
          </w:tcPr>
          <w:p w14:paraId="5B29CFC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4.30</w:t>
            </w:r>
          </w:p>
        </w:tc>
        <w:tc>
          <w:tcPr>
            <w:tcW w:w="771" w:type="dxa"/>
            <w:noWrap w:val="0"/>
            <w:vAlign w:val="center"/>
          </w:tcPr>
          <w:p w14:paraId="640A649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0.00</w:t>
            </w:r>
          </w:p>
        </w:tc>
      </w:tr>
      <w:tr w14:paraId="5BDD75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7" w:type="dxa"/>
            <w:noWrap w:val="0"/>
            <w:vAlign w:val="center"/>
          </w:tcPr>
          <w:p w14:paraId="53F95D5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 xml:space="preserve">四月           </w:t>
            </w:r>
          </w:p>
        </w:tc>
        <w:tc>
          <w:tcPr>
            <w:tcW w:w="756" w:type="dxa"/>
            <w:noWrap w:val="0"/>
            <w:vAlign w:val="center"/>
          </w:tcPr>
          <w:p w14:paraId="64FE6E0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8.19</w:t>
            </w:r>
          </w:p>
        </w:tc>
        <w:tc>
          <w:tcPr>
            <w:tcW w:w="756" w:type="dxa"/>
            <w:noWrap w:val="0"/>
            <w:vAlign w:val="center"/>
          </w:tcPr>
          <w:p w14:paraId="7724C21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9.03</w:t>
            </w:r>
          </w:p>
        </w:tc>
        <w:tc>
          <w:tcPr>
            <w:tcW w:w="756" w:type="dxa"/>
            <w:noWrap w:val="0"/>
            <w:vAlign w:val="center"/>
          </w:tcPr>
          <w:p w14:paraId="4FD3E5E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9.17</w:t>
            </w:r>
          </w:p>
        </w:tc>
        <w:tc>
          <w:tcPr>
            <w:tcW w:w="756" w:type="dxa"/>
            <w:noWrap w:val="0"/>
            <w:vAlign w:val="center"/>
          </w:tcPr>
          <w:p w14:paraId="1F94C03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6.81</w:t>
            </w:r>
          </w:p>
        </w:tc>
        <w:tc>
          <w:tcPr>
            <w:tcW w:w="756" w:type="dxa"/>
            <w:noWrap w:val="0"/>
            <w:vAlign w:val="center"/>
          </w:tcPr>
          <w:p w14:paraId="754CB8A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9.17</w:t>
            </w:r>
          </w:p>
        </w:tc>
        <w:tc>
          <w:tcPr>
            <w:tcW w:w="756" w:type="dxa"/>
            <w:noWrap w:val="0"/>
            <w:vAlign w:val="center"/>
          </w:tcPr>
          <w:p w14:paraId="0B08272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10.97</w:t>
            </w:r>
          </w:p>
        </w:tc>
        <w:tc>
          <w:tcPr>
            <w:tcW w:w="756" w:type="dxa"/>
            <w:noWrap w:val="0"/>
            <w:vAlign w:val="center"/>
          </w:tcPr>
          <w:p w14:paraId="1BDBF10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6.53</w:t>
            </w:r>
          </w:p>
        </w:tc>
        <w:tc>
          <w:tcPr>
            <w:tcW w:w="756" w:type="dxa"/>
            <w:noWrap w:val="0"/>
            <w:vAlign w:val="center"/>
          </w:tcPr>
          <w:p w14:paraId="3CE6CDC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2.22</w:t>
            </w:r>
          </w:p>
        </w:tc>
        <w:tc>
          <w:tcPr>
            <w:tcW w:w="756" w:type="dxa"/>
            <w:noWrap w:val="0"/>
            <w:vAlign w:val="center"/>
          </w:tcPr>
          <w:p w14:paraId="4237AD4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1.94</w:t>
            </w:r>
          </w:p>
        </w:tc>
        <w:tc>
          <w:tcPr>
            <w:tcW w:w="756" w:type="dxa"/>
            <w:noWrap w:val="0"/>
            <w:vAlign w:val="center"/>
          </w:tcPr>
          <w:p w14:paraId="128DC07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0.56</w:t>
            </w:r>
          </w:p>
        </w:tc>
        <w:tc>
          <w:tcPr>
            <w:tcW w:w="756" w:type="dxa"/>
            <w:noWrap w:val="0"/>
            <w:vAlign w:val="center"/>
          </w:tcPr>
          <w:p w14:paraId="0C48C31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3.47</w:t>
            </w:r>
          </w:p>
        </w:tc>
        <w:tc>
          <w:tcPr>
            <w:tcW w:w="756" w:type="dxa"/>
            <w:noWrap w:val="0"/>
            <w:vAlign w:val="center"/>
          </w:tcPr>
          <w:p w14:paraId="0C5999B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1.25</w:t>
            </w:r>
          </w:p>
        </w:tc>
        <w:tc>
          <w:tcPr>
            <w:tcW w:w="756" w:type="dxa"/>
            <w:noWrap w:val="0"/>
            <w:vAlign w:val="center"/>
          </w:tcPr>
          <w:p w14:paraId="3EC0046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4.86</w:t>
            </w:r>
          </w:p>
        </w:tc>
        <w:tc>
          <w:tcPr>
            <w:tcW w:w="756" w:type="dxa"/>
            <w:noWrap w:val="0"/>
            <w:vAlign w:val="center"/>
          </w:tcPr>
          <w:p w14:paraId="652973A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6.11</w:t>
            </w:r>
          </w:p>
        </w:tc>
        <w:tc>
          <w:tcPr>
            <w:tcW w:w="756" w:type="dxa"/>
            <w:noWrap w:val="0"/>
            <w:vAlign w:val="center"/>
          </w:tcPr>
          <w:p w14:paraId="7BF67A0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10.83</w:t>
            </w:r>
          </w:p>
        </w:tc>
        <w:tc>
          <w:tcPr>
            <w:tcW w:w="756" w:type="dxa"/>
            <w:noWrap w:val="0"/>
            <w:vAlign w:val="center"/>
          </w:tcPr>
          <w:p w14:paraId="5002CA0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8.19</w:t>
            </w:r>
          </w:p>
        </w:tc>
        <w:tc>
          <w:tcPr>
            <w:tcW w:w="771" w:type="dxa"/>
            <w:noWrap w:val="0"/>
            <w:vAlign w:val="center"/>
          </w:tcPr>
          <w:p w14:paraId="4C490A2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0.69</w:t>
            </w:r>
          </w:p>
        </w:tc>
      </w:tr>
      <w:tr w14:paraId="7C4D62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7" w:type="dxa"/>
            <w:noWrap w:val="0"/>
            <w:vAlign w:val="center"/>
          </w:tcPr>
          <w:p w14:paraId="571389B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 xml:space="preserve">五月           </w:t>
            </w:r>
          </w:p>
        </w:tc>
        <w:tc>
          <w:tcPr>
            <w:tcW w:w="756" w:type="dxa"/>
            <w:noWrap w:val="0"/>
            <w:vAlign w:val="center"/>
          </w:tcPr>
          <w:p w14:paraId="21BF690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4.97</w:t>
            </w:r>
          </w:p>
        </w:tc>
        <w:tc>
          <w:tcPr>
            <w:tcW w:w="756" w:type="dxa"/>
            <w:noWrap w:val="0"/>
            <w:vAlign w:val="center"/>
          </w:tcPr>
          <w:p w14:paraId="0F5C155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3.63</w:t>
            </w:r>
          </w:p>
        </w:tc>
        <w:tc>
          <w:tcPr>
            <w:tcW w:w="756" w:type="dxa"/>
            <w:noWrap w:val="0"/>
            <w:vAlign w:val="center"/>
          </w:tcPr>
          <w:p w14:paraId="5A7D407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4.30</w:t>
            </w:r>
          </w:p>
        </w:tc>
        <w:tc>
          <w:tcPr>
            <w:tcW w:w="756" w:type="dxa"/>
            <w:noWrap w:val="0"/>
            <w:vAlign w:val="center"/>
          </w:tcPr>
          <w:p w14:paraId="33089DF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3.90</w:t>
            </w:r>
          </w:p>
        </w:tc>
        <w:tc>
          <w:tcPr>
            <w:tcW w:w="756" w:type="dxa"/>
            <w:noWrap w:val="0"/>
            <w:vAlign w:val="center"/>
          </w:tcPr>
          <w:p w14:paraId="32E0B01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8.20</w:t>
            </w:r>
          </w:p>
        </w:tc>
        <w:tc>
          <w:tcPr>
            <w:tcW w:w="756" w:type="dxa"/>
            <w:noWrap w:val="0"/>
            <w:vAlign w:val="center"/>
          </w:tcPr>
          <w:p w14:paraId="3B6C5EE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10.48</w:t>
            </w:r>
          </w:p>
        </w:tc>
        <w:tc>
          <w:tcPr>
            <w:tcW w:w="756" w:type="dxa"/>
            <w:noWrap w:val="0"/>
            <w:vAlign w:val="center"/>
          </w:tcPr>
          <w:p w14:paraId="55DA676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7.66</w:t>
            </w:r>
          </w:p>
        </w:tc>
        <w:tc>
          <w:tcPr>
            <w:tcW w:w="756" w:type="dxa"/>
            <w:noWrap w:val="0"/>
            <w:vAlign w:val="center"/>
          </w:tcPr>
          <w:p w14:paraId="4CC0600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5.78</w:t>
            </w:r>
          </w:p>
        </w:tc>
        <w:tc>
          <w:tcPr>
            <w:tcW w:w="756" w:type="dxa"/>
            <w:noWrap w:val="0"/>
            <w:vAlign w:val="center"/>
          </w:tcPr>
          <w:p w14:paraId="465D2B5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6.72</w:t>
            </w:r>
          </w:p>
        </w:tc>
        <w:tc>
          <w:tcPr>
            <w:tcW w:w="756" w:type="dxa"/>
            <w:noWrap w:val="0"/>
            <w:vAlign w:val="center"/>
          </w:tcPr>
          <w:p w14:paraId="5840301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3.63</w:t>
            </w:r>
          </w:p>
        </w:tc>
        <w:tc>
          <w:tcPr>
            <w:tcW w:w="756" w:type="dxa"/>
            <w:noWrap w:val="0"/>
            <w:vAlign w:val="center"/>
          </w:tcPr>
          <w:p w14:paraId="186D2BC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8.47</w:t>
            </w:r>
          </w:p>
        </w:tc>
        <w:tc>
          <w:tcPr>
            <w:tcW w:w="756" w:type="dxa"/>
            <w:noWrap w:val="0"/>
            <w:vAlign w:val="center"/>
          </w:tcPr>
          <w:p w14:paraId="148D173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4.17</w:t>
            </w:r>
          </w:p>
        </w:tc>
        <w:tc>
          <w:tcPr>
            <w:tcW w:w="756" w:type="dxa"/>
            <w:noWrap w:val="0"/>
            <w:vAlign w:val="center"/>
          </w:tcPr>
          <w:p w14:paraId="59621AD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6.45</w:t>
            </w:r>
          </w:p>
        </w:tc>
        <w:tc>
          <w:tcPr>
            <w:tcW w:w="756" w:type="dxa"/>
            <w:noWrap w:val="0"/>
            <w:vAlign w:val="center"/>
          </w:tcPr>
          <w:p w14:paraId="3A8A3BB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4.97</w:t>
            </w:r>
          </w:p>
        </w:tc>
        <w:tc>
          <w:tcPr>
            <w:tcW w:w="756" w:type="dxa"/>
            <w:noWrap w:val="0"/>
            <w:vAlign w:val="center"/>
          </w:tcPr>
          <w:p w14:paraId="688C5A4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10.22</w:t>
            </w:r>
          </w:p>
        </w:tc>
        <w:tc>
          <w:tcPr>
            <w:tcW w:w="756" w:type="dxa"/>
            <w:noWrap w:val="0"/>
            <w:vAlign w:val="center"/>
          </w:tcPr>
          <w:p w14:paraId="42F363D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4.84</w:t>
            </w:r>
          </w:p>
        </w:tc>
        <w:tc>
          <w:tcPr>
            <w:tcW w:w="771" w:type="dxa"/>
            <w:noWrap w:val="0"/>
            <w:vAlign w:val="center"/>
          </w:tcPr>
          <w:p w14:paraId="2D8F9C7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1.61</w:t>
            </w:r>
          </w:p>
        </w:tc>
      </w:tr>
      <w:tr w14:paraId="524B5A0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7" w:type="dxa"/>
            <w:noWrap w:val="0"/>
            <w:vAlign w:val="center"/>
          </w:tcPr>
          <w:p w14:paraId="238C8B1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 xml:space="preserve">六月           </w:t>
            </w:r>
          </w:p>
        </w:tc>
        <w:tc>
          <w:tcPr>
            <w:tcW w:w="756" w:type="dxa"/>
            <w:noWrap w:val="0"/>
            <w:vAlign w:val="center"/>
          </w:tcPr>
          <w:p w14:paraId="00F2E36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3.33</w:t>
            </w:r>
          </w:p>
        </w:tc>
        <w:tc>
          <w:tcPr>
            <w:tcW w:w="756" w:type="dxa"/>
            <w:noWrap w:val="0"/>
            <w:vAlign w:val="center"/>
          </w:tcPr>
          <w:p w14:paraId="3852384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1.94</w:t>
            </w:r>
          </w:p>
        </w:tc>
        <w:tc>
          <w:tcPr>
            <w:tcW w:w="756" w:type="dxa"/>
            <w:noWrap w:val="0"/>
            <w:vAlign w:val="center"/>
          </w:tcPr>
          <w:p w14:paraId="170B5CF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1.94</w:t>
            </w:r>
          </w:p>
        </w:tc>
        <w:tc>
          <w:tcPr>
            <w:tcW w:w="756" w:type="dxa"/>
            <w:noWrap w:val="0"/>
            <w:vAlign w:val="center"/>
          </w:tcPr>
          <w:p w14:paraId="4E8816A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3.89</w:t>
            </w:r>
          </w:p>
        </w:tc>
        <w:tc>
          <w:tcPr>
            <w:tcW w:w="756" w:type="dxa"/>
            <w:noWrap w:val="0"/>
            <w:vAlign w:val="center"/>
          </w:tcPr>
          <w:p w14:paraId="67051FF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11.67</w:t>
            </w:r>
          </w:p>
        </w:tc>
        <w:tc>
          <w:tcPr>
            <w:tcW w:w="756" w:type="dxa"/>
            <w:noWrap w:val="0"/>
            <w:vAlign w:val="center"/>
          </w:tcPr>
          <w:p w14:paraId="2037197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16.94</w:t>
            </w:r>
          </w:p>
        </w:tc>
        <w:tc>
          <w:tcPr>
            <w:tcW w:w="756" w:type="dxa"/>
            <w:noWrap w:val="0"/>
            <w:vAlign w:val="center"/>
          </w:tcPr>
          <w:p w14:paraId="3A078B7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16.81</w:t>
            </w:r>
          </w:p>
        </w:tc>
        <w:tc>
          <w:tcPr>
            <w:tcW w:w="756" w:type="dxa"/>
            <w:noWrap w:val="0"/>
            <w:vAlign w:val="center"/>
          </w:tcPr>
          <w:p w14:paraId="0678D2D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9.44</w:t>
            </w:r>
          </w:p>
        </w:tc>
        <w:tc>
          <w:tcPr>
            <w:tcW w:w="756" w:type="dxa"/>
            <w:noWrap w:val="0"/>
            <w:vAlign w:val="center"/>
          </w:tcPr>
          <w:p w14:paraId="1E833D9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9.17</w:t>
            </w:r>
          </w:p>
        </w:tc>
        <w:tc>
          <w:tcPr>
            <w:tcW w:w="756" w:type="dxa"/>
            <w:noWrap w:val="0"/>
            <w:vAlign w:val="center"/>
          </w:tcPr>
          <w:p w14:paraId="6F7B76C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2.22</w:t>
            </w:r>
          </w:p>
        </w:tc>
        <w:tc>
          <w:tcPr>
            <w:tcW w:w="756" w:type="dxa"/>
            <w:noWrap w:val="0"/>
            <w:vAlign w:val="center"/>
          </w:tcPr>
          <w:p w14:paraId="6CCFC80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4.17</w:t>
            </w:r>
          </w:p>
        </w:tc>
        <w:tc>
          <w:tcPr>
            <w:tcW w:w="756" w:type="dxa"/>
            <w:noWrap w:val="0"/>
            <w:vAlign w:val="center"/>
          </w:tcPr>
          <w:p w14:paraId="383A208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2.50</w:t>
            </w:r>
          </w:p>
        </w:tc>
        <w:tc>
          <w:tcPr>
            <w:tcW w:w="756" w:type="dxa"/>
            <w:noWrap w:val="0"/>
            <w:vAlign w:val="center"/>
          </w:tcPr>
          <w:p w14:paraId="1246FFE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3.33</w:t>
            </w:r>
          </w:p>
        </w:tc>
        <w:tc>
          <w:tcPr>
            <w:tcW w:w="756" w:type="dxa"/>
            <w:noWrap w:val="0"/>
            <w:vAlign w:val="center"/>
          </w:tcPr>
          <w:p w14:paraId="029044D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2.92</w:t>
            </w:r>
          </w:p>
        </w:tc>
        <w:tc>
          <w:tcPr>
            <w:tcW w:w="756" w:type="dxa"/>
            <w:noWrap w:val="0"/>
            <w:vAlign w:val="center"/>
          </w:tcPr>
          <w:p w14:paraId="181C9D5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5.42</w:t>
            </w:r>
          </w:p>
        </w:tc>
        <w:tc>
          <w:tcPr>
            <w:tcW w:w="756" w:type="dxa"/>
            <w:noWrap w:val="0"/>
            <w:vAlign w:val="center"/>
          </w:tcPr>
          <w:p w14:paraId="31CA6B8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2.50</w:t>
            </w:r>
          </w:p>
        </w:tc>
        <w:tc>
          <w:tcPr>
            <w:tcW w:w="771" w:type="dxa"/>
            <w:noWrap w:val="0"/>
            <w:vAlign w:val="center"/>
          </w:tcPr>
          <w:p w14:paraId="08B692C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1.81</w:t>
            </w:r>
          </w:p>
        </w:tc>
      </w:tr>
      <w:tr w14:paraId="12B940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7" w:type="dxa"/>
            <w:noWrap w:val="0"/>
            <w:vAlign w:val="center"/>
          </w:tcPr>
          <w:p w14:paraId="0BD7DB9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 xml:space="preserve">七月           </w:t>
            </w:r>
          </w:p>
        </w:tc>
        <w:tc>
          <w:tcPr>
            <w:tcW w:w="756" w:type="dxa"/>
            <w:noWrap w:val="0"/>
            <w:vAlign w:val="center"/>
          </w:tcPr>
          <w:p w14:paraId="29F1F05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9.27</w:t>
            </w:r>
          </w:p>
        </w:tc>
        <w:tc>
          <w:tcPr>
            <w:tcW w:w="756" w:type="dxa"/>
            <w:noWrap w:val="0"/>
            <w:vAlign w:val="center"/>
          </w:tcPr>
          <w:p w14:paraId="00F48DC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2.69</w:t>
            </w:r>
          </w:p>
        </w:tc>
        <w:tc>
          <w:tcPr>
            <w:tcW w:w="756" w:type="dxa"/>
            <w:noWrap w:val="0"/>
            <w:vAlign w:val="center"/>
          </w:tcPr>
          <w:p w14:paraId="1992C85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4.03</w:t>
            </w:r>
          </w:p>
        </w:tc>
        <w:tc>
          <w:tcPr>
            <w:tcW w:w="756" w:type="dxa"/>
            <w:noWrap w:val="0"/>
            <w:vAlign w:val="center"/>
          </w:tcPr>
          <w:p w14:paraId="7C0A023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6.72</w:t>
            </w:r>
          </w:p>
        </w:tc>
        <w:tc>
          <w:tcPr>
            <w:tcW w:w="756" w:type="dxa"/>
            <w:noWrap w:val="0"/>
            <w:vAlign w:val="center"/>
          </w:tcPr>
          <w:p w14:paraId="20BB357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13.58</w:t>
            </w:r>
          </w:p>
        </w:tc>
        <w:tc>
          <w:tcPr>
            <w:tcW w:w="756" w:type="dxa"/>
            <w:noWrap w:val="0"/>
            <w:vAlign w:val="center"/>
          </w:tcPr>
          <w:p w14:paraId="160B4A3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15.86</w:t>
            </w:r>
          </w:p>
        </w:tc>
        <w:tc>
          <w:tcPr>
            <w:tcW w:w="756" w:type="dxa"/>
            <w:noWrap w:val="0"/>
            <w:vAlign w:val="center"/>
          </w:tcPr>
          <w:p w14:paraId="76808A4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6.72</w:t>
            </w:r>
          </w:p>
        </w:tc>
        <w:tc>
          <w:tcPr>
            <w:tcW w:w="756" w:type="dxa"/>
            <w:noWrap w:val="0"/>
            <w:vAlign w:val="center"/>
          </w:tcPr>
          <w:p w14:paraId="176CB34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8.20</w:t>
            </w:r>
          </w:p>
        </w:tc>
        <w:tc>
          <w:tcPr>
            <w:tcW w:w="756" w:type="dxa"/>
            <w:noWrap w:val="0"/>
            <w:vAlign w:val="center"/>
          </w:tcPr>
          <w:p w14:paraId="40AF412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11.29</w:t>
            </w:r>
          </w:p>
        </w:tc>
        <w:tc>
          <w:tcPr>
            <w:tcW w:w="756" w:type="dxa"/>
            <w:noWrap w:val="0"/>
            <w:vAlign w:val="center"/>
          </w:tcPr>
          <w:p w14:paraId="56D4C85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3.63</w:t>
            </w:r>
          </w:p>
        </w:tc>
        <w:tc>
          <w:tcPr>
            <w:tcW w:w="756" w:type="dxa"/>
            <w:noWrap w:val="0"/>
            <w:vAlign w:val="center"/>
          </w:tcPr>
          <w:p w14:paraId="5CA064F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3.23</w:t>
            </w:r>
          </w:p>
        </w:tc>
        <w:tc>
          <w:tcPr>
            <w:tcW w:w="756" w:type="dxa"/>
            <w:noWrap w:val="0"/>
            <w:vAlign w:val="center"/>
          </w:tcPr>
          <w:p w14:paraId="0E3A4DC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2.82</w:t>
            </w:r>
          </w:p>
        </w:tc>
        <w:tc>
          <w:tcPr>
            <w:tcW w:w="756" w:type="dxa"/>
            <w:noWrap w:val="0"/>
            <w:vAlign w:val="center"/>
          </w:tcPr>
          <w:p w14:paraId="11D10AC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2.69</w:t>
            </w:r>
          </w:p>
        </w:tc>
        <w:tc>
          <w:tcPr>
            <w:tcW w:w="756" w:type="dxa"/>
            <w:noWrap w:val="0"/>
            <w:vAlign w:val="center"/>
          </w:tcPr>
          <w:p w14:paraId="2D21183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2.15</w:t>
            </w:r>
          </w:p>
        </w:tc>
        <w:tc>
          <w:tcPr>
            <w:tcW w:w="756" w:type="dxa"/>
            <w:noWrap w:val="0"/>
            <w:vAlign w:val="center"/>
          </w:tcPr>
          <w:p w14:paraId="1346CE0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2.96</w:t>
            </w:r>
          </w:p>
        </w:tc>
        <w:tc>
          <w:tcPr>
            <w:tcW w:w="756" w:type="dxa"/>
            <w:noWrap w:val="0"/>
            <w:vAlign w:val="center"/>
          </w:tcPr>
          <w:p w14:paraId="031C9CB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3.23</w:t>
            </w:r>
          </w:p>
        </w:tc>
        <w:tc>
          <w:tcPr>
            <w:tcW w:w="771" w:type="dxa"/>
            <w:noWrap w:val="0"/>
            <w:vAlign w:val="center"/>
          </w:tcPr>
          <w:p w14:paraId="7F46209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0.94</w:t>
            </w:r>
          </w:p>
        </w:tc>
      </w:tr>
      <w:tr w14:paraId="2866DD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7" w:type="dxa"/>
            <w:noWrap w:val="0"/>
            <w:vAlign w:val="center"/>
          </w:tcPr>
          <w:p w14:paraId="1FBFF0B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 xml:space="preserve">八月           </w:t>
            </w:r>
          </w:p>
        </w:tc>
        <w:tc>
          <w:tcPr>
            <w:tcW w:w="756" w:type="dxa"/>
            <w:noWrap w:val="0"/>
            <w:vAlign w:val="center"/>
          </w:tcPr>
          <w:p w14:paraId="0317E3D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7.66</w:t>
            </w:r>
          </w:p>
        </w:tc>
        <w:tc>
          <w:tcPr>
            <w:tcW w:w="756" w:type="dxa"/>
            <w:noWrap w:val="0"/>
            <w:vAlign w:val="center"/>
          </w:tcPr>
          <w:p w14:paraId="331537D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7.80</w:t>
            </w:r>
          </w:p>
        </w:tc>
        <w:tc>
          <w:tcPr>
            <w:tcW w:w="756" w:type="dxa"/>
            <w:noWrap w:val="0"/>
            <w:vAlign w:val="center"/>
          </w:tcPr>
          <w:p w14:paraId="0A88EF3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13.04</w:t>
            </w:r>
          </w:p>
        </w:tc>
        <w:tc>
          <w:tcPr>
            <w:tcW w:w="756" w:type="dxa"/>
            <w:noWrap w:val="0"/>
            <w:vAlign w:val="center"/>
          </w:tcPr>
          <w:p w14:paraId="18F3407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14.38</w:t>
            </w:r>
          </w:p>
        </w:tc>
        <w:tc>
          <w:tcPr>
            <w:tcW w:w="756" w:type="dxa"/>
            <w:noWrap w:val="0"/>
            <w:vAlign w:val="center"/>
          </w:tcPr>
          <w:p w14:paraId="0EF284A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16.26</w:t>
            </w:r>
          </w:p>
        </w:tc>
        <w:tc>
          <w:tcPr>
            <w:tcW w:w="756" w:type="dxa"/>
            <w:noWrap w:val="0"/>
            <w:vAlign w:val="center"/>
          </w:tcPr>
          <w:p w14:paraId="738EC40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9.81</w:t>
            </w:r>
          </w:p>
        </w:tc>
        <w:tc>
          <w:tcPr>
            <w:tcW w:w="756" w:type="dxa"/>
            <w:noWrap w:val="0"/>
            <w:vAlign w:val="center"/>
          </w:tcPr>
          <w:p w14:paraId="67DBFA5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6.59</w:t>
            </w:r>
          </w:p>
        </w:tc>
        <w:tc>
          <w:tcPr>
            <w:tcW w:w="756" w:type="dxa"/>
            <w:noWrap w:val="0"/>
            <w:vAlign w:val="center"/>
          </w:tcPr>
          <w:p w14:paraId="65F4953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2.96</w:t>
            </w:r>
          </w:p>
        </w:tc>
        <w:tc>
          <w:tcPr>
            <w:tcW w:w="756" w:type="dxa"/>
            <w:noWrap w:val="0"/>
            <w:vAlign w:val="center"/>
          </w:tcPr>
          <w:p w14:paraId="4B74F21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2.55</w:t>
            </w:r>
          </w:p>
        </w:tc>
        <w:tc>
          <w:tcPr>
            <w:tcW w:w="756" w:type="dxa"/>
            <w:noWrap w:val="0"/>
            <w:vAlign w:val="center"/>
          </w:tcPr>
          <w:p w14:paraId="4391E3A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1.61</w:t>
            </w:r>
          </w:p>
        </w:tc>
        <w:tc>
          <w:tcPr>
            <w:tcW w:w="756" w:type="dxa"/>
            <w:noWrap w:val="0"/>
            <w:vAlign w:val="center"/>
          </w:tcPr>
          <w:p w14:paraId="5862161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1.34</w:t>
            </w:r>
          </w:p>
        </w:tc>
        <w:tc>
          <w:tcPr>
            <w:tcW w:w="756" w:type="dxa"/>
            <w:noWrap w:val="0"/>
            <w:vAlign w:val="center"/>
          </w:tcPr>
          <w:p w14:paraId="5ECC34F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1.75</w:t>
            </w:r>
          </w:p>
        </w:tc>
        <w:tc>
          <w:tcPr>
            <w:tcW w:w="756" w:type="dxa"/>
            <w:noWrap w:val="0"/>
            <w:vAlign w:val="center"/>
          </w:tcPr>
          <w:p w14:paraId="51D1D7E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5.51</w:t>
            </w:r>
          </w:p>
        </w:tc>
        <w:tc>
          <w:tcPr>
            <w:tcW w:w="756" w:type="dxa"/>
            <w:noWrap w:val="0"/>
            <w:vAlign w:val="center"/>
          </w:tcPr>
          <w:p w14:paraId="5EC6799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2.15</w:t>
            </w:r>
          </w:p>
        </w:tc>
        <w:tc>
          <w:tcPr>
            <w:tcW w:w="756" w:type="dxa"/>
            <w:noWrap w:val="0"/>
            <w:vAlign w:val="center"/>
          </w:tcPr>
          <w:p w14:paraId="5FC51FA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2.96</w:t>
            </w:r>
          </w:p>
        </w:tc>
        <w:tc>
          <w:tcPr>
            <w:tcW w:w="756" w:type="dxa"/>
            <w:noWrap w:val="0"/>
            <w:vAlign w:val="center"/>
          </w:tcPr>
          <w:p w14:paraId="7764285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2.96</w:t>
            </w:r>
          </w:p>
        </w:tc>
        <w:tc>
          <w:tcPr>
            <w:tcW w:w="771" w:type="dxa"/>
            <w:noWrap w:val="0"/>
            <w:vAlign w:val="center"/>
          </w:tcPr>
          <w:p w14:paraId="34501A5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0.67</w:t>
            </w:r>
          </w:p>
        </w:tc>
      </w:tr>
      <w:tr w14:paraId="1B626B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7" w:type="dxa"/>
            <w:noWrap w:val="0"/>
            <w:vAlign w:val="center"/>
          </w:tcPr>
          <w:p w14:paraId="7DF98C9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 xml:space="preserve">九月           </w:t>
            </w:r>
          </w:p>
        </w:tc>
        <w:tc>
          <w:tcPr>
            <w:tcW w:w="756" w:type="dxa"/>
            <w:noWrap w:val="0"/>
            <w:vAlign w:val="center"/>
          </w:tcPr>
          <w:p w14:paraId="6278FFA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6.67</w:t>
            </w:r>
          </w:p>
        </w:tc>
        <w:tc>
          <w:tcPr>
            <w:tcW w:w="756" w:type="dxa"/>
            <w:noWrap w:val="0"/>
            <w:vAlign w:val="center"/>
          </w:tcPr>
          <w:p w14:paraId="4B93D6D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3.19</w:t>
            </w:r>
          </w:p>
        </w:tc>
        <w:tc>
          <w:tcPr>
            <w:tcW w:w="756" w:type="dxa"/>
            <w:noWrap w:val="0"/>
            <w:vAlign w:val="center"/>
          </w:tcPr>
          <w:p w14:paraId="5530F2E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4.31</w:t>
            </w:r>
          </w:p>
        </w:tc>
        <w:tc>
          <w:tcPr>
            <w:tcW w:w="756" w:type="dxa"/>
            <w:noWrap w:val="0"/>
            <w:vAlign w:val="center"/>
          </w:tcPr>
          <w:p w14:paraId="14E97D6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5.83</w:t>
            </w:r>
          </w:p>
        </w:tc>
        <w:tc>
          <w:tcPr>
            <w:tcW w:w="756" w:type="dxa"/>
            <w:noWrap w:val="0"/>
            <w:vAlign w:val="center"/>
          </w:tcPr>
          <w:p w14:paraId="7EB78B8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7.78</w:t>
            </w:r>
          </w:p>
        </w:tc>
        <w:tc>
          <w:tcPr>
            <w:tcW w:w="756" w:type="dxa"/>
            <w:noWrap w:val="0"/>
            <w:vAlign w:val="center"/>
          </w:tcPr>
          <w:p w14:paraId="5305365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14.17</w:t>
            </w:r>
          </w:p>
        </w:tc>
        <w:tc>
          <w:tcPr>
            <w:tcW w:w="756" w:type="dxa"/>
            <w:noWrap w:val="0"/>
            <w:vAlign w:val="center"/>
          </w:tcPr>
          <w:p w14:paraId="3AA26EA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10.14</w:t>
            </w:r>
          </w:p>
        </w:tc>
        <w:tc>
          <w:tcPr>
            <w:tcW w:w="756" w:type="dxa"/>
            <w:noWrap w:val="0"/>
            <w:vAlign w:val="center"/>
          </w:tcPr>
          <w:p w14:paraId="7BA25B5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3.19</w:t>
            </w:r>
          </w:p>
        </w:tc>
        <w:tc>
          <w:tcPr>
            <w:tcW w:w="756" w:type="dxa"/>
            <w:noWrap w:val="0"/>
            <w:vAlign w:val="center"/>
          </w:tcPr>
          <w:p w14:paraId="12B7826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2.78</w:t>
            </w:r>
          </w:p>
        </w:tc>
        <w:tc>
          <w:tcPr>
            <w:tcW w:w="756" w:type="dxa"/>
            <w:noWrap w:val="0"/>
            <w:vAlign w:val="center"/>
          </w:tcPr>
          <w:p w14:paraId="77EEB33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1.11</w:t>
            </w:r>
          </w:p>
        </w:tc>
        <w:tc>
          <w:tcPr>
            <w:tcW w:w="756" w:type="dxa"/>
            <w:noWrap w:val="0"/>
            <w:vAlign w:val="center"/>
          </w:tcPr>
          <w:p w14:paraId="535E327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1.81</w:t>
            </w:r>
          </w:p>
        </w:tc>
        <w:tc>
          <w:tcPr>
            <w:tcW w:w="756" w:type="dxa"/>
            <w:noWrap w:val="0"/>
            <w:vAlign w:val="center"/>
          </w:tcPr>
          <w:p w14:paraId="69DCDEB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2.78</w:t>
            </w:r>
          </w:p>
        </w:tc>
        <w:tc>
          <w:tcPr>
            <w:tcW w:w="756" w:type="dxa"/>
            <w:noWrap w:val="0"/>
            <w:vAlign w:val="center"/>
          </w:tcPr>
          <w:p w14:paraId="65F373F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4.72</w:t>
            </w:r>
          </w:p>
        </w:tc>
        <w:tc>
          <w:tcPr>
            <w:tcW w:w="756" w:type="dxa"/>
            <w:noWrap w:val="0"/>
            <w:vAlign w:val="center"/>
          </w:tcPr>
          <w:p w14:paraId="01BB76F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6.81</w:t>
            </w:r>
          </w:p>
        </w:tc>
        <w:tc>
          <w:tcPr>
            <w:tcW w:w="756" w:type="dxa"/>
            <w:noWrap w:val="0"/>
            <w:vAlign w:val="center"/>
          </w:tcPr>
          <w:p w14:paraId="79A4563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11.94</w:t>
            </w:r>
          </w:p>
        </w:tc>
        <w:tc>
          <w:tcPr>
            <w:tcW w:w="756" w:type="dxa"/>
            <w:noWrap w:val="0"/>
            <w:vAlign w:val="center"/>
          </w:tcPr>
          <w:p w14:paraId="0698658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7.22</w:t>
            </w:r>
          </w:p>
        </w:tc>
        <w:tc>
          <w:tcPr>
            <w:tcW w:w="771" w:type="dxa"/>
            <w:noWrap w:val="0"/>
            <w:vAlign w:val="center"/>
          </w:tcPr>
          <w:p w14:paraId="6207828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5.56</w:t>
            </w:r>
          </w:p>
        </w:tc>
      </w:tr>
      <w:tr w14:paraId="581361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7" w:type="dxa"/>
            <w:noWrap w:val="0"/>
            <w:vAlign w:val="center"/>
          </w:tcPr>
          <w:p w14:paraId="5D80D1F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 xml:space="preserve">十月           </w:t>
            </w:r>
          </w:p>
        </w:tc>
        <w:tc>
          <w:tcPr>
            <w:tcW w:w="756" w:type="dxa"/>
            <w:noWrap w:val="0"/>
            <w:vAlign w:val="center"/>
          </w:tcPr>
          <w:p w14:paraId="797CD24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19.49</w:t>
            </w:r>
          </w:p>
        </w:tc>
        <w:tc>
          <w:tcPr>
            <w:tcW w:w="756" w:type="dxa"/>
            <w:noWrap w:val="0"/>
            <w:vAlign w:val="center"/>
          </w:tcPr>
          <w:p w14:paraId="6DBD649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10.48</w:t>
            </w:r>
          </w:p>
        </w:tc>
        <w:tc>
          <w:tcPr>
            <w:tcW w:w="756" w:type="dxa"/>
            <w:noWrap w:val="0"/>
            <w:vAlign w:val="center"/>
          </w:tcPr>
          <w:p w14:paraId="448F07E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7.93</w:t>
            </w:r>
          </w:p>
        </w:tc>
        <w:tc>
          <w:tcPr>
            <w:tcW w:w="756" w:type="dxa"/>
            <w:noWrap w:val="0"/>
            <w:vAlign w:val="center"/>
          </w:tcPr>
          <w:p w14:paraId="2F909FD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5.11</w:t>
            </w:r>
          </w:p>
        </w:tc>
        <w:tc>
          <w:tcPr>
            <w:tcW w:w="756" w:type="dxa"/>
            <w:noWrap w:val="0"/>
            <w:vAlign w:val="center"/>
          </w:tcPr>
          <w:p w14:paraId="252944D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7.12</w:t>
            </w:r>
          </w:p>
        </w:tc>
        <w:tc>
          <w:tcPr>
            <w:tcW w:w="756" w:type="dxa"/>
            <w:noWrap w:val="0"/>
            <w:vAlign w:val="center"/>
          </w:tcPr>
          <w:p w14:paraId="622730C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7.26</w:t>
            </w:r>
          </w:p>
        </w:tc>
        <w:tc>
          <w:tcPr>
            <w:tcW w:w="756" w:type="dxa"/>
            <w:noWrap w:val="0"/>
            <w:vAlign w:val="center"/>
          </w:tcPr>
          <w:p w14:paraId="68E874D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5.11</w:t>
            </w:r>
          </w:p>
        </w:tc>
        <w:tc>
          <w:tcPr>
            <w:tcW w:w="756" w:type="dxa"/>
            <w:noWrap w:val="0"/>
            <w:vAlign w:val="center"/>
          </w:tcPr>
          <w:p w14:paraId="5455FBC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4.30</w:t>
            </w:r>
          </w:p>
        </w:tc>
        <w:tc>
          <w:tcPr>
            <w:tcW w:w="756" w:type="dxa"/>
            <w:noWrap w:val="0"/>
            <w:vAlign w:val="center"/>
          </w:tcPr>
          <w:p w14:paraId="7E028A4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2.55</w:t>
            </w:r>
          </w:p>
        </w:tc>
        <w:tc>
          <w:tcPr>
            <w:tcW w:w="756" w:type="dxa"/>
            <w:noWrap w:val="0"/>
            <w:vAlign w:val="center"/>
          </w:tcPr>
          <w:p w14:paraId="270D7D0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1.21</w:t>
            </w:r>
          </w:p>
        </w:tc>
        <w:tc>
          <w:tcPr>
            <w:tcW w:w="756" w:type="dxa"/>
            <w:noWrap w:val="0"/>
            <w:vAlign w:val="center"/>
          </w:tcPr>
          <w:p w14:paraId="2DE4488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0.81</w:t>
            </w:r>
          </w:p>
        </w:tc>
        <w:tc>
          <w:tcPr>
            <w:tcW w:w="756" w:type="dxa"/>
            <w:noWrap w:val="0"/>
            <w:vAlign w:val="center"/>
          </w:tcPr>
          <w:p w14:paraId="748F699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1.75</w:t>
            </w:r>
          </w:p>
        </w:tc>
        <w:tc>
          <w:tcPr>
            <w:tcW w:w="756" w:type="dxa"/>
            <w:noWrap w:val="0"/>
            <w:vAlign w:val="center"/>
          </w:tcPr>
          <w:p w14:paraId="58CF842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1.88</w:t>
            </w:r>
          </w:p>
        </w:tc>
        <w:tc>
          <w:tcPr>
            <w:tcW w:w="756" w:type="dxa"/>
            <w:noWrap w:val="0"/>
            <w:vAlign w:val="center"/>
          </w:tcPr>
          <w:p w14:paraId="6A8649A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3.23</w:t>
            </w:r>
          </w:p>
        </w:tc>
        <w:tc>
          <w:tcPr>
            <w:tcW w:w="756" w:type="dxa"/>
            <w:noWrap w:val="0"/>
            <w:vAlign w:val="center"/>
          </w:tcPr>
          <w:p w14:paraId="32E0008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9.41</w:t>
            </w:r>
          </w:p>
        </w:tc>
        <w:tc>
          <w:tcPr>
            <w:tcW w:w="756" w:type="dxa"/>
            <w:noWrap w:val="0"/>
            <w:vAlign w:val="center"/>
          </w:tcPr>
          <w:p w14:paraId="68101BB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11.56</w:t>
            </w:r>
          </w:p>
        </w:tc>
        <w:tc>
          <w:tcPr>
            <w:tcW w:w="771" w:type="dxa"/>
            <w:noWrap w:val="0"/>
            <w:vAlign w:val="center"/>
          </w:tcPr>
          <w:p w14:paraId="4F52CD7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0.81</w:t>
            </w:r>
          </w:p>
        </w:tc>
      </w:tr>
      <w:tr w14:paraId="093157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7" w:type="dxa"/>
            <w:noWrap w:val="0"/>
            <w:vAlign w:val="center"/>
          </w:tcPr>
          <w:p w14:paraId="319C02A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 xml:space="preserve">十一月         </w:t>
            </w:r>
          </w:p>
        </w:tc>
        <w:tc>
          <w:tcPr>
            <w:tcW w:w="756" w:type="dxa"/>
            <w:noWrap w:val="0"/>
            <w:vAlign w:val="center"/>
          </w:tcPr>
          <w:p w14:paraId="7168E3B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5.97</w:t>
            </w:r>
          </w:p>
        </w:tc>
        <w:tc>
          <w:tcPr>
            <w:tcW w:w="756" w:type="dxa"/>
            <w:noWrap w:val="0"/>
            <w:vAlign w:val="center"/>
          </w:tcPr>
          <w:p w14:paraId="0F437B0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2.08</w:t>
            </w:r>
          </w:p>
        </w:tc>
        <w:tc>
          <w:tcPr>
            <w:tcW w:w="756" w:type="dxa"/>
            <w:noWrap w:val="0"/>
            <w:vAlign w:val="center"/>
          </w:tcPr>
          <w:p w14:paraId="55DA068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7.50</w:t>
            </w:r>
          </w:p>
        </w:tc>
        <w:tc>
          <w:tcPr>
            <w:tcW w:w="756" w:type="dxa"/>
            <w:noWrap w:val="0"/>
            <w:vAlign w:val="center"/>
          </w:tcPr>
          <w:p w14:paraId="7F090B7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8.06</w:t>
            </w:r>
          </w:p>
        </w:tc>
        <w:tc>
          <w:tcPr>
            <w:tcW w:w="756" w:type="dxa"/>
            <w:noWrap w:val="0"/>
            <w:vAlign w:val="center"/>
          </w:tcPr>
          <w:p w14:paraId="5455310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9.86</w:t>
            </w:r>
          </w:p>
        </w:tc>
        <w:tc>
          <w:tcPr>
            <w:tcW w:w="756" w:type="dxa"/>
            <w:noWrap w:val="0"/>
            <w:vAlign w:val="center"/>
          </w:tcPr>
          <w:p w14:paraId="7035418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5.56</w:t>
            </w:r>
          </w:p>
        </w:tc>
        <w:tc>
          <w:tcPr>
            <w:tcW w:w="756" w:type="dxa"/>
            <w:noWrap w:val="0"/>
            <w:vAlign w:val="center"/>
          </w:tcPr>
          <w:p w14:paraId="33725E5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4.31</w:t>
            </w:r>
          </w:p>
        </w:tc>
        <w:tc>
          <w:tcPr>
            <w:tcW w:w="756" w:type="dxa"/>
            <w:noWrap w:val="0"/>
            <w:vAlign w:val="center"/>
          </w:tcPr>
          <w:p w14:paraId="39649E9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3.33</w:t>
            </w:r>
          </w:p>
        </w:tc>
        <w:tc>
          <w:tcPr>
            <w:tcW w:w="756" w:type="dxa"/>
            <w:noWrap w:val="0"/>
            <w:vAlign w:val="center"/>
          </w:tcPr>
          <w:p w14:paraId="57D1D23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3.47</w:t>
            </w:r>
          </w:p>
        </w:tc>
        <w:tc>
          <w:tcPr>
            <w:tcW w:w="756" w:type="dxa"/>
            <w:noWrap w:val="0"/>
            <w:vAlign w:val="center"/>
          </w:tcPr>
          <w:p w14:paraId="297F290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1.81</w:t>
            </w:r>
          </w:p>
        </w:tc>
        <w:tc>
          <w:tcPr>
            <w:tcW w:w="756" w:type="dxa"/>
            <w:noWrap w:val="0"/>
            <w:vAlign w:val="center"/>
          </w:tcPr>
          <w:p w14:paraId="678FEBE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2.92</w:t>
            </w:r>
          </w:p>
        </w:tc>
        <w:tc>
          <w:tcPr>
            <w:tcW w:w="756" w:type="dxa"/>
            <w:noWrap w:val="0"/>
            <w:vAlign w:val="center"/>
          </w:tcPr>
          <w:p w14:paraId="7D212B4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4.17</w:t>
            </w:r>
          </w:p>
        </w:tc>
        <w:tc>
          <w:tcPr>
            <w:tcW w:w="756" w:type="dxa"/>
            <w:noWrap w:val="0"/>
            <w:vAlign w:val="center"/>
          </w:tcPr>
          <w:p w14:paraId="1B2053A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10.14</w:t>
            </w:r>
          </w:p>
        </w:tc>
        <w:tc>
          <w:tcPr>
            <w:tcW w:w="756" w:type="dxa"/>
            <w:noWrap w:val="0"/>
            <w:vAlign w:val="center"/>
          </w:tcPr>
          <w:p w14:paraId="5EB97F8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10.83</w:t>
            </w:r>
          </w:p>
        </w:tc>
        <w:tc>
          <w:tcPr>
            <w:tcW w:w="756" w:type="dxa"/>
            <w:noWrap w:val="0"/>
            <w:vAlign w:val="center"/>
          </w:tcPr>
          <w:p w14:paraId="492C34A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13.47</w:t>
            </w:r>
          </w:p>
        </w:tc>
        <w:tc>
          <w:tcPr>
            <w:tcW w:w="756" w:type="dxa"/>
            <w:noWrap w:val="0"/>
            <w:vAlign w:val="center"/>
          </w:tcPr>
          <w:p w14:paraId="4FF444A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5.56</w:t>
            </w:r>
          </w:p>
        </w:tc>
        <w:tc>
          <w:tcPr>
            <w:tcW w:w="771" w:type="dxa"/>
            <w:noWrap w:val="0"/>
            <w:vAlign w:val="center"/>
          </w:tcPr>
          <w:p w14:paraId="36085B7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0.97</w:t>
            </w:r>
          </w:p>
        </w:tc>
      </w:tr>
      <w:tr w14:paraId="11DD66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7" w:type="dxa"/>
            <w:noWrap w:val="0"/>
            <w:vAlign w:val="center"/>
          </w:tcPr>
          <w:p w14:paraId="2B6DF4C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 xml:space="preserve">十二月         </w:t>
            </w:r>
          </w:p>
        </w:tc>
        <w:tc>
          <w:tcPr>
            <w:tcW w:w="756" w:type="dxa"/>
            <w:noWrap w:val="0"/>
            <w:vAlign w:val="center"/>
          </w:tcPr>
          <w:p w14:paraId="1448CB8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13.17</w:t>
            </w:r>
          </w:p>
        </w:tc>
        <w:tc>
          <w:tcPr>
            <w:tcW w:w="756" w:type="dxa"/>
            <w:noWrap w:val="0"/>
            <w:vAlign w:val="center"/>
          </w:tcPr>
          <w:p w14:paraId="551F1D5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6.45</w:t>
            </w:r>
          </w:p>
        </w:tc>
        <w:tc>
          <w:tcPr>
            <w:tcW w:w="756" w:type="dxa"/>
            <w:noWrap w:val="0"/>
            <w:vAlign w:val="center"/>
          </w:tcPr>
          <w:p w14:paraId="0FCC05E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6.18</w:t>
            </w:r>
          </w:p>
        </w:tc>
        <w:tc>
          <w:tcPr>
            <w:tcW w:w="756" w:type="dxa"/>
            <w:noWrap w:val="0"/>
            <w:vAlign w:val="center"/>
          </w:tcPr>
          <w:p w14:paraId="53345BA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6.59</w:t>
            </w:r>
          </w:p>
        </w:tc>
        <w:tc>
          <w:tcPr>
            <w:tcW w:w="756" w:type="dxa"/>
            <w:noWrap w:val="0"/>
            <w:vAlign w:val="center"/>
          </w:tcPr>
          <w:p w14:paraId="16E00E3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5.78</w:t>
            </w:r>
          </w:p>
        </w:tc>
        <w:tc>
          <w:tcPr>
            <w:tcW w:w="756" w:type="dxa"/>
            <w:noWrap w:val="0"/>
            <w:vAlign w:val="center"/>
          </w:tcPr>
          <w:p w14:paraId="08C68DD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6.32</w:t>
            </w:r>
          </w:p>
        </w:tc>
        <w:tc>
          <w:tcPr>
            <w:tcW w:w="756" w:type="dxa"/>
            <w:noWrap w:val="0"/>
            <w:vAlign w:val="center"/>
          </w:tcPr>
          <w:p w14:paraId="462BD3D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5.24</w:t>
            </w:r>
          </w:p>
        </w:tc>
        <w:tc>
          <w:tcPr>
            <w:tcW w:w="756" w:type="dxa"/>
            <w:noWrap w:val="0"/>
            <w:vAlign w:val="center"/>
          </w:tcPr>
          <w:p w14:paraId="2D9EBF4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3.09</w:t>
            </w:r>
          </w:p>
        </w:tc>
        <w:tc>
          <w:tcPr>
            <w:tcW w:w="756" w:type="dxa"/>
            <w:noWrap w:val="0"/>
            <w:vAlign w:val="center"/>
          </w:tcPr>
          <w:p w14:paraId="17364E4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6.18</w:t>
            </w:r>
          </w:p>
        </w:tc>
        <w:tc>
          <w:tcPr>
            <w:tcW w:w="756" w:type="dxa"/>
            <w:noWrap w:val="0"/>
            <w:vAlign w:val="center"/>
          </w:tcPr>
          <w:p w14:paraId="37236A7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2.82</w:t>
            </w:r>
          </w:p>
        </w:tc>
        <w:tc>
          <w:tcPr>
            <w:tcW w:w="756" w:type="dxa"/>
            <w:noWrap w:val="0"/>
            <w:vAlign w:val="center"/>
          </w:tcPr>
          <w:p w14:paraId="53A4F90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2.82</w:t>
            </w:r>
          </w:p>
        </w:tc>
        <w:tc>
          <w:tcPr>
            <w:tcW w:w="756" w:type="dxa"/>
            <w:noWrap w:val="0"/>
            <w:vAlign w:val="center"/>
          </w:tcPr>
          <w:p w14:paraId="14CE883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4.70</w:t>
            </w:r>
          </w:p>
        </w:tc>
        <w:tc>
          <w:tcPr>
            <w:tcW w:w="756" w:type="dxa"/>
            <w:noWrap w:val="0"/>
            <w:vAlign w:val="center"/>
          </w:tcPr>
          <w:p w14:paraId="13F5D80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7.66</w:t>
            </w:r>
          </w:p>
        </w:tc>
        <w:tc>
          <w:tcPr>
            <w:tcW w:w="756" w:type="dxa"/>
            <w:noWrap w:val="0"/>
            <w:vAlign w:val="center"/>
          </w:tcPr>
          <w:p w14:paraId="666647E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5.91</w:t>
            </w:r>
          </w:p>
        </w:tc>
        <w:tc>
          <w:tcPr>
            <w:tcW w:w="756" w:type="dxa"/>
            <w:noWrap w:val="0"/>
            <w:vAlign w:val="center"/>
          </w:tcPr>
          <w:p w14:paraId="1BFD665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9.01</w:t>
            </w:r>
          </w:p>
        </w:tc>
        <w:tc>
          <w:tcPr>
            <w:tcW w:w="756" w:type="dxa"/>
            <w:noWrap w:val="0"/>
            <w:vAlign w:val="center"/>
          </w:tcPr>
          <w:p w14:paraId="533F36D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7.12</w:t>
            </w:r>
          </w:p>
        </w:tc>
        <w:tc>
          <w:tcPr>
            <w:tcW w:w="771" w:type="dxa"/>
            <w:noWrap w:val="0"/>
            <w:vAlign w:val="center"/>
          </w:tcPr>
          <w:p w14:paraId="045D3B2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0.94</w:t>
            </w:r>
          </w:p>
        </w:tc>
      </w:tr>
      <w:tr w14:paraId="3428E3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7" w:type="dxa"/>
            <w:noWrap w:val="0"/>
            <w:vAlign w:val="center"/>
          </w:tcPr>
          <w:p w14:paraId="5CB47C8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 xml:space="preserve">全年           </w:t>
            </w:r>
          </w:p>
        </w:tc>
        <w:tc>
          <w:tcPr>
            <w:tcW w:w="756" w:type="dxa"/>
            <w:noWrap w:val="0"/>
            <w:vAlign w:val="center"/>
          </w:tcPr>
          <w:p w14:paraId="46E1BDA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8.39</w:t>
            </w:r>
          </w:p>
        </w:tc>
        <w:tc>
          <w:tcPr>
            <w:tcW w:w="756" w:type="dxa"/>
            <w:noWrap w:val="0"/>
            <w:vAlign w:val="center"/>
          </w:tcPr>
          <w:p w14:paraId="47FB868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5.43</w:t>
            </w:r>
          </w:p>
        </w:tc>
        <w:tc>
          <w:tcPr>
            <w:tcW w:w="756" w:type="dxa"/>
            <w:noWrap w:val="0"/>
            <w:vAlign w:val="center"/>
          </w:tcPr>
          <w:p w14:paraId="11E2D2C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6.96</w:t>
            </w:r>
          </w:p>
        </w:tc>
        <w:tc>
          <w:tcPr>
            <w:tcW w:w="756" w:type="dxa"/>
            <w:noWrap w:val="0"/>
            <w:vAlign w:val="center"/>
          </w:tcPr>
          <w:p w14:paraId="77B02BF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7.08</w:t>
            </w:r>
          </w:p>
        </w:tc>
        <w:tc>
          <w:tcPr>
            <w:tcW w:w="756" w:type="dxa"/>
            <w:noWrap w:val="0"/>
            <w:vAlign w:val="center"/>
          </w:tcPr>
          <w:p w14:paraId="5C7E46F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10.34</w:t>
            </w:r>
          </w:p>
        </w:tc>
        <w:tc>
          <w:tcPr>
            <w:tcW w:w="756" w:type="dxa"/>
            <w:noWrap w:val="0"/>
            <w:vAlign w:val="center"/>
          </w:tcPr>
          <w:p w14:paraId="1CE5BC7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10.76</w:t>
            </w:r>
          </w:p>
        </w:tc>
        <w:tc>
          <w:tcPr>
            <w:tcW w:w="756" w:type="dxa"/>
            <w:noWrap w:val="0"/>
            <w:vAlign w:val="center"/>
          </w:tcPr>
          <w:p w14:paraId="60CF238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7.45</w:t>
            </w:r>
          </w:p>
        </w:tc>
        <w:tc>
          <w:tcPr>
            <w:tcW w:w="756" w:type="dxa"/>
            <w:noWrap w:val="0"/>
            <w:vAlign w:val="center"/>
          </w:tcPr>
          <w:p w14:paraId="106377B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4.37</w:t>
            </w:r>
          </w:p>
        </w:tc>
        <w:tc>
          <w:tcPr>
            <w:tcW w:w="756" w:type="dxa"/>
            <w:noWrap w:val="0"/>
            <w:vAlign w:val="center"/>
          </w:tcPr>
          <w:p w14:paraId="31FEEC8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5.37</w:t>
            </w:r>
          </w:p>
        </w:tc>
        <w:tc>
          <w:tcPr>
            <w:tcW w:w="756" w:type="dxa"/>
            <w:noWrap w:val="0"/>
            <w:vAlign w:val="center"/>
          </w:tcPr>
          <w:p w14:paraId="5227B1B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2.15</w:t>
            </w:r>
          </w:p>
        </w:tc>
        <w:tc>
          <w:tcPr>
            <w:tcW w:w="756" w:type="dxa"/>
            <w:noWrap w:val="0"/>
            <w:vAlign w:val="center"/>
          </w:tcPr>
          <w:p w14:paraId="0E2A640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3.36</w:t>
            </w:r>
          </w:p>
        </w:tc>
        <w:tc>
          <w:tcPr>
            <w:tcW w:w="756" w:type="dxa"/>
            <w:noWrap w:val="0"/>
            <w:vAlign w:val="center"/>
          </w:tcPr>
          <w:p w14:paraId="0527C9B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3.31</w:t>
            </w:r>
          </w:p>
        </w:tc>
        <w:tc>
          <w:tcPr>
            <w:tcW w:w="756" w:type="dxa"/>
            <w:noWrap w:val="0"/>
            <w:vAlign w:val="center"/>
          </w:tcPr>
          <w:p w14:paraId="017B0B3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5.39</w:t>
            </w:r>
          </w:p>
        </w:tc>
        <w:tc>
          <w:tcPr>
            <w:tcW w:w="756" w:type="dxa"/>
            <w:noWrap w:val="0"/>
            <w:vAlign w:val="center"/>
          </w:tcPr>
          <w:p w14:paraId="1460ACB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4.82</w:t>
            </w:r>
          </w:p>
        </w:tc>
        <w:tc>
          <w:tcPr>
            <w:tcW w:w="756" w:type="dxa"/>
            <w:noWrap w:val="0"/>
            <w:vAlign w:val="center"/>
          </w:tcPr>
          <w:p w14:paraId="3F31B3E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8.23</w:t>
            </w:r>
          </w:p>
        </w:tc>
        <w:tc>
          <w:tcPr>
            <w:tcW w:w="756" w:type="dxa"/>
            <w:noWrap w:val="0"/>
            <w:vAlign w:val="center"/>
          </w:tcPr>
          <w:p w14:paraId="357A7E3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5.42</w:t>
            </w:r>
          </w:p>
        </w:tc>
        <w:tc>
          <w:tcPr>
            <w:tcW w:w="771" w:type="dxa"/>
            <w:noWrap w:val="0"/>
            <w:vAlign w:val="center"/>
          </w:tcPr>
          <w:p w14:paraId="25DBCED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1.16</w:t>
            </w:r>
          </w:p>
        </w:tc>
      </w:tr>
      <w:tr w14:paraId="5E3388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7" w:type="dxa"/>
            <w:noWrap w:val="0"/>
            <w:vAlign w:val="center"/>
          </w:tcPr>
          <w:p w14:paraId="18D69F9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 xml:space="preserve">春季           </w:t>
            </w:r>
          </w:p>
        </w:tc>
        <w:tc>
          <w:tcPr>
            <w:tcW w:w="756" w:type="dxa"/>
            <w:noWrap w:val="0"/>
            <w:vAlign w:val="center"/>
          </w:tcPr>
          <w:p w14:paraId="1B2D1C3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6.16</w:t>
            </w:r>
          </w:p>
        </w:tc>
        <w:tc>
          <w:tcPr>
            <w:tcW w:w="756" w:type="dxa"/>
            <w:noWrap w:val="0"/>
            <w:vAlign w:val="center"/>
          </w:tcPr>
          <w:p w14:paraId="7C1BC8A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5.93</w:t>
            </w:r>
          </w:p>
        </w:tc>
        <w:tc>
          <w:tcPr>
            <w:tcW w:w="756" w:type="dxa"/>
            <w:noWrap w:val="0"/>
            <w:vAlign w:val="center"/>
          </w:tcPr>
          <w:p w14:paraId="632E290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7.93</w:t>
            </w:r>
          </w:p>
        </w:tc>
        <w:tc>
          <w:tcPr>
            <w:tcW w:w="756" w:type="dxa"/>
            <w:noWrap w:val="0"/>
            <w:vAlign w:val="center"/>
          </w:tcPr>
          <w:p w14:paraId="10B8062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6.52</w:t>
            </w:r>
          </w:p>
        </w:tc>
        <w:tc>
          <w:tcPr>
            <w:tcW w:w="756" w:type="dxa"/>
            <w:noWrap w:val="0"/>
            <w:vAlign w:val="center"/>
          </w:tcPr>
          <w:p w14:paraId="13718DB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10.73</w:t>
            </w:r>
          </w:p>
        </w:tc>
        <w:tc>
          <w:tcPr>
            <w:tcW w:w="756" w:type="dxa"/>
            <w:noWrap w:val="0"/>
            <w:vAlign w:val="center"/>
          </w:tcPr>
          <w:p w14:paraId="6DD5652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11.32</w:t>
            </w:r>
          </w:p>
        </w:tc>
        <w:tc>
          <w:tcPr>
            <w:tcW w:w="756" w:type="dxa"/>
            <w:noWrap w:val="0"/>
            <w:vAlign w:val="center"/>
          </w:tcPr>
          <w:p w14:paraId="593515A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7.79</w:t>
            </w:r>
          </w:p>
        </w:tc>
        <w:tc>
          <w:tcPr>
            <w:tcW w:w="756" w:type="dxa"/>
            <w:noWrap w:val="0"/>
            <w:vAlign w:val="center"/>
          </w:tcPr>
          <w:p w14:paraId="4204AA2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4.08</w:t>
            </w:r>
          </w:p>
        </w:tc>
        <w:tc>
          <w:tcPr>
            <w:tcW w:w="756" w:type="dxa"/>
            <w:noWrap w:val="0"/>
            <w:vAlign w:val="center"/>
          </w:tcPr>
          <w:p w14:paraId="7E40DA0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3.99</w:t>
            </w:r>
          </w:p>
        </w:tc>
        <w:tc>
          <w:tcPr>
            <w:tcW w:w="756" w:type="dxa"/>
            <w:noWrap w:val="0"/>
            <w:vAlign w:val="center"/>
          </w:tcPr>
          <w:p w14:paraId="0DE3880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1.86</w:t>
            </w:r>
          </w:p>
        </w:tc>
        <w:tc>
          <w:tcPr>
            <w:tcW w:w="756" w:type="dxa"/>
            <w:noWrap w:val="0"/>
            <w:vAlign w:val="center"/>
          </w:tcPr>
          <w:p w14:paraId="149FF48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4.71</w:t>
            </w:r>
          </w:p>
        </w:tc>
        <w:tc>
          <w:tcPr>
            <w:tcW w:w="756" w:type="dxa"/>
            <w:noWrap w:val="0"/>
            <w:vAlign w:val="center"/>
          </w:tcPr>
          <w:p w14:paraId="3B6D589A">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2.76</w:t>
            </w:r>
          </w:p>
        </w:tc>
        <w:tc>
          <w:tcPr>
            <w:tcW w:w="756" w:type="dxa"/>
            <w:noWrap w:val="0"/>
            <w:vAlign w:val="center"/>
          </w:tcPr>
          <w:p w14:paraId="736CB3C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4.85</w:t>
            </w:r>
          </w:p>
        </w:tc>
        <w:tc>
          <w:tcPr>
            <w:tcW w:w="756" w:type="dxa"/>
            <w:noWrap w:val="0"/>
            <w:vAlign w:val="center"/>
          </w:tcPr>
          <w:p w14:paraId="7EABB54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4.44</w:t>
            </w:r>
          </w:p>
        </w:tc>
        <w:tc>
          <w:tcPr>
            <w:tcW w:w="756" w:type="dxa"/>
            <w:noWrap w:val="0"/>
            <w:vAlign w:val="center"/>
          </w:tcPr>
          <w:p w14:paraId="1391028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10.42</w:t>
            </w:r>
          </w:p>
        </w:tc>
        <w:tc>
          <w:tcPr>
            <w:tcW w:w="756" w:type="dxa"/>
            <w:noWrap w:val="0"/>
            <w:vAlign w:val="center"/>
          </w:tcPr>
          <w:p w14:paraId="3FC7425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5.75</w:t>
            </w:r>
          </w:p>
        </w:tc>
        <w:tc>
          <w:tcPr>
            <w:tcW w:w="771" w:type="dxa"/>
            <w:noWrap w:val="0"/>
            <w:vAlign w:val="center"/>
          </w:tcPr>
          <w:p w14:paraId="04E28BC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0.77</w:t>
            </w:r>
          </w:p>
        </w:tc>
      </w:tr>
      <w:tr w14:paraId="39D052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7" w:type="dxa"/>
            <w:noWrap w:val="0"/>
            <w:vAlign w:val="center"/>
          </w:tcPr>
          <w:p w14:paraId="06BF797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 xml:space="preserve">夏季           </w:t>
            </w:r>
          </w:p>
        </w:tc>
        <w:tc>
          <w:tcPr>
            <w:tcW w:w="756" w:type="dxa"/>
            <w:noWrap w:val="0"/>
            <w:vAlign w:val="center"/>
          </w:tcPr>
          <w:p w14:paraId="412805F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6.79</w:t>
            </w:r>
          </w:p>
        </w:tc>
        <w:tc>
          <w:tcPr>
            <w:tcW w:w="756" w:type="dxa"/>
            <w:noWrap w:val="0"/>
            <w:vAlign w:val="center"/>
          </w:tcPr>
          <w:p w14:paraId="5E17F48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4.17</w:t>
            </w:r>
          </w:p>
        </w:tc>
        <w:tc>
          <w:tcPr>
            <w:tcW w:w="756" w:type="dxa"/>
            <w:noWrap w:val="0"/>
            <w:vAlign w:val="center"/>
          </w:tcPr>
          <w:p w14:paraId="271004B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6.39</w:t>
            </w:r>
          </w:p>
        </w:tc>
        <w:tc>
          <w:tcPr>
            <w:tcW w:w="756" w:type="dxa"/>
            <w:noWrap w:val="0"/>
            <w:vAlign w:val="center"/>
          </w:tcPr>
          <w:p w14:paraId="659067A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8.38</w:t>
            </w:r>
          </w:p>
        </w:tc>
        <w:tc>
          <w:tcPr>
            <w:tcW w:w="756" w:type="dxa"/>
            <w:noWrap w:val="0"/>
            <w:vAlign w:val="center"/>
          </w:tcPr>
          <w:p w14:paraId="14B8D4A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13.86</w:t>
            </w:r>
          </w:p>
        </w:tc>
        <w:tc>
          <w:tcPr>
            <w:tcW w:w="756" w:type="dxa"/>
            <w:noWrap w:val="0"/>
            <w:vAlign w:val="center"/>
          </w:tcPr>
          <w:p w14:paraId="474D1AA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14.18</w:t>
            </w:r>
          </w:p>
        </w:tc>
        <w:tc>
          <w:tcPr>
            <w:tcW w:w="756" w:type="dxa"/>
            <w:noWrap w:val="0"/>
            <w:vAlign w:val="center"/>
          </w:tcPr>
          <w:p w14:paraId="44CD583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9.96</w:t>
            </w:r>
          </w:p>
        </w:tc>
        <w:tc>
          <w:tcPr>
            <w:tcW w:w="756" w:type="dxa"/>
            <w:noWrap w:val="0"/>
            <w:vAlign w:val="center"/>
          </w:tcPr>
          <w:p w14:paraId="6D9DE17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6.84</w:t>
            </w:r>
          </w:p>
        </w:tc>
        <w:tc>
          <w:tcPr>
            <w:tcW w:w="756" w:type="dxa"/>
            <w:noWrap w:val="0"/>
            <w:vAlign w:val="center"/>
          </w:tcPr>
          <w:p w14:paraId="2D0C970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7.65</w:t>
            </w:r>
          </w:p>
        </w:tc>
        <w:tc>
          <w:tcPr>
            <w:tcW w:w="756" w:type="dxa"/>
            <w:noWrap w:val="0"/>
            <w:vAlign w:val="center"/>
          </w:tcPr>
          <w:p w14:paraId="2FDE904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2.49</w:t>
            </w:r>
          </w:p>
        </w:tc>
        <w:tc>
          <w:tcPr>
            <w:tcW w:w="756" w:type="dxa"/>
            <w:noWrap w:val="0"/>
            <w:vAlign w:val="center"/>
          </w:tcPr>
          <w:p w14:paraId="1CE1384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2.90</w:t>
            </w:r>
          </w:p>
        </w:tc>
        <w:tc>
          <w:tcPr>
            <w:tcW w:w="756" w:type="dxa"/>
            <w:noWrap w:val="0"/>
            <w:vAlign w:val="center"/>
          </w:tcPr>
          <w:p w14:paraId="1FAB64E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2.36</w:t>
            </w:r>
          </w:p>
        </w:tc>
        <w:tc>
          <w:tcPr>
            <w:tcW w:w="756" w:type="dxa"/>
            <w:noWrap w:val="0"/>
            <w:vAlign w:val="center"/>
          </w:tcPr>
          <w:p w14:paraId="7D152571">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3.85</w:t>
            </w:r>
          </w:p>
        </w:tc>
        <w:tc>
          <w:tcPr>
            <w:tcW w:w="756" w:type="dxa"/>
            <w:noWrap w:val="0"/>
            <w:vAlign w:val="center"/>
          </w:tcPr>
          <w:p w14:paraId="457CCF0B">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2.40</w:t>
            </w:r>
          </w:p>
        </w:tc>
        <w:tc>
          <w:tcPr>
            <w:tcW w:w="756" w:type="dxa"/>
            <w:noWrap w:val="0"/>
            <w:vAlign w:val="center"/>
          </w:tcPr>
          <w:p w14:paraId="244D6C6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3.76</w:t>
            </w:r>
          </w:p>
        </w:tc>
        <w:tc>
          <w:tcPr>
            <w:tcW w:w="756" w:type="dxa"/>
            <w:noWrap w:val="0"/>
            <w:vAlign w:val="center"/>
          </w:tcPr>
          <w:p w14:paraId="3EBD1F4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2.90</w:t>
            </w:r>
          </w:p>
        </w:tc>
        <w:tc>
          <w:tcPr>
            <w:tcW w:w="771" w:type="dxa"/>
            <w:noWrap w:val="0"/>
            <w:vAlign w:val="center"/>
          </w:tcPr>
          <w:p w14:paraId="3D91FBD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1.13</w:t>
            </w:r>
          </w:p>
        </w:tc>
      </w:tr>
      <w:tr w14:paraId="22BFF9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noWrap w:val="0"/>
            <w:vAlign w:val="center"/>
          </w:tcPr>
          <w:p w14:paraId="2791824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 xml:space="preserve">秋季           </w:t>
            </w:r>
          </w:p>
        </w:tc>
        <w:tc>
          <w:tcPr>
            <w:tcW w:w="756" w:type="dxa"/>
            <w:noWrap w:val="0"/>
            <w:vAlign w:val="center"/>
          </w:tcPr>
          <w:p w14:paraId="2C0D87E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10.81</w:t>
            </w:r>
          </w:p>
        </w:tc>
        <w:tc>
          <w:tcPr>
            <w:tcW w:w="756" w:type="dxa"/>
            <w:noWrap w:val="0"/>
            <w:vAlign w:val="center"/>
          </w:tcPr>
          <w:p w14:paraId="7302B82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5.31</w:t>
            </w:r>
          </w:p>
        </w:tc>
        <w:tc>
          <w:tcPr>
            <w:tcW w:w="756" w:type="dxa"/>
            <w:noWrap w:val="0"/>
            <w:vAlign w:val="center"/>
          </w:tcPr>
          <w:p w14:paraId="59924A0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6.59</w:t>
            </w:r>
          </w:p>
        </w:tc>
        <w:tc>
          <w:tcPr>
            <w:tcW w:w="756" w:type="dxa"/>
            <w:noWrap w:val="0"/>
            <w:vAlign w:val="center"/>
          </w:tcPr>
          <w:p w14:paraId="60C0788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6.32</w:t>
            </w:r>
          </w:p>
        </w:tc>
        <w:tc>
          <w:tcPr>
            <w:tcW w:w="756" w:type="dxa"/>
            <w:noWrap w:val="0"/>
            <w:vAlign w:val="center"/>
          </w:tcPr>
          <w:p w14:paraId="42E8E7A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8.24</w:t>
            </w:r>
          </w:p>
        </w:tc>
        <w:tc>
          <w:tcPr>
            <w:tcW w:w="756" w:type="dxa"/>
            <w:noWrap w:val="0"/>
            <w:vAlign w:val="center"/>
          </w:tcPr>
          <w:p w14:paraId="1F3F06E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8.97</w:t>
            </w:r>
          </w:p>
        </w:tc>
        <w:tc>
          <w:tcPr>
            <w:tcW w:w="756" w:type="dxa"/>
            <w:noWrap w:val="0"/>
            <w:vAlign w:val="center"/>
          </w:tcPr>
          <w:p w14:paraId="6DA8F53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6.50</w:t>
            </w:r>
          </w:p>
        </w:tc>
        <w:tc>
          <w:tcPr>
            <w:tcW w:w="756" w:type="dxa"/>
            <w:noWrap w:val="0"/>
            <w:vAlign w:val="center"/>
          </w:tcPr>
          <w:p w14:paraId="404B541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3.62</w:t>
            </w:r>
          </w:p>
        </w:tc>
        <w:tc>
          <w:tcPr>
            <w:tcW w:w="756" w:type="dxa"/>
            <w:noWrap w:val="0"/>
            <w:vAlign w:val="center"/>
          </w:tcPr>
          <w:p w14:paraId="34AEE51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2.93</w:t>
            </w:r>
          </w:p>
        </w:tc>
        <w:tc>
          <w:tcPr>
            <w:tcW w:w="756" w:type="dxa"/>
            <w:noWrap w:val="0"/>
            <w:vAlign w:val="center"/>
          </w:tcPr>
          <w:p w14:paraId="2272777F">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1.37</w:t>
            </w:r>
          </w:p>
        </w:tc>
        <w:tc>
          <w:tcPr>
            <w:tcW w:w="756" w:type="dxa"/>
            <w:noWrap w:val="0"/>
            <w:vAlign w:val="center"/>
          </w:tcPr>
          <w:p w14:paraId="64176E0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1.83</w:t>
            </w:r>
          </w:p>
        </w:tc>
        <w:tc>
          <w:tcPr>
            <w:tcW w:w="756" w:type="dxa"/>
            <w:noWrap w:val="0"/>
            <w:vAlign w:val="center"/>
          </w:tcPr>
          <w:p w14:paraId="77321FA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2.88</w:t>
            </w:r>
          </w:p>
        </w:tc>
        <w:tc>
          <w:tcPr>
            <w:tcW w:w="756" w:type="dxa"/>
            <w:noWrap w:val="0"/>
            <w:vAlign w:val="center"/>
          </w:tcPr>
          <w:p w14:paraId="5EF10F9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5.54</w:t>
            </w:r>
          </w:p>
        </w:tc>
        <w:tc>
          <w:tcPr>
            <w:tcW w:w="756" w:type="dxa"/>
            <w:noWrap w:val="0"/>
            <w:vAlign w:val="center"/>
          </w:tcPr>
          <w:p w14:paraId="744B485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6.91</w:t>
            </w:r>
          </w:p>
        </w:tc>
        <w:tc>
          <w:tcPr>
            <w:tcW w:w="756" w:type="dxa"/>
            <w:noWrap w:val="0"/>
            <w:vAlign w:val="center"/>
          </w:tcPr>
          <w:p w14:paraId="62D3B2C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11.58</w:t>
            </w:r>
          </w:p>
        </w:tc>
        <w:tc>
          <w:tcPr>
            <w:tcW w:w="756" w:type="dxa"/>
            <w:noWrap w:val="0"/>
            <w:vAlign w:val="center"/>
          </w:tcPr>
          <w:p w14:paraId="116923B8">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8.15</w:t>
            </w:r>
          </w:p>
        </w:tc>
        <w:tc>
          <w:tcPr>
            <w:tcW w:w="771" w:type="dxa"/>
            <w:noWrap w:val="0"/>
            <w:vAlign w:val="center"/>
          </w:tcPr>
          <w:p w14:paraId="40CCD89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2.43</w:t>
            </w:r>
          </w:p>
        </w:tc>
      </w:tr>
      <w:tr w14:paraId="427D32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7" w:type="dxa"/>
            <w:noWrap w:val="0"/>
            <w:vAlign w:val="center"/>
          </w:tcPr>
          <w:p w14:paraId="495A62B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 xml:space="preserve">冬季           </w:t>
            </w:r>
          </w:p>
        </w:tc>
        <w:tc>
          <w:tcPr>
            <w:tcW w:w="756" w:type="dxa"/>
            <w:noWrap w:val="0"/>
            <w:vAlign w:val="center"/>
          </w:tcPr>
          <w:p w14:paraId="1574A55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9.86</w:t>
            </w:r>
          </w:p>
        </w:tc>
        <w:tc>
          <w:tcPr>
            <w:tcW w:w="756" w:type="dxa"/>
            <w:noWrap w:val="0"/>
            <w:vAlign w:val="center"/>
          </w:tcPr>
          <w:p w14:paraId="363C95B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6.34</w:t>
            </w:r>
          </w:p>
        </w:tc>
        <w:tc>
          <w:tcPr>
            <w:tcW w:w="756" w:type="dxa"/>
            <w:noWrap w:val="0"/>
            <w:vAlign w:val="center"/>
          </w:tcPr>
          <w:p w14:paraId="3735FA6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6.94</w:t>
            </w:r>
          </w:p>
        </w:tc>
        <w:tc>
          <w:tcPr>
            <w:tcW w:w="756" w:type="dxa"/>
            <w:noWrap w:val="0"/>
            <w:vAlign w:val="center"/>
          </w:tcPr>
          <w:p w14:paraId="0AA8BD83">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7.08</w:t>
            </w:r>
          </w:p>
        </w:tc>
        <w:tc>
          <w:tcPr>
            <w:tcW w:w="756" w:type="dxa"/>
            <w:noWrap w:val="0"/>
            <w:vAlign w:val="center"/>
          </w:tcPr>
          <w:p w14:paraId="3965A65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8.47</w:t>
            </w:r>
          </w:p>
        </w:tc>
        <w:tc>
          <w:tcPr>
            <w:tcW w:w="756" w:type="dxa"/>
            <w:noWrap w:val="0"/>
            <w:vAlign w:val="center"/>
          </w:tcPr>
          <w:p w14:paraId="7DB589F5">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8.52</w:t>
            </w:r>
          </w:p>
        </w:tc>
        <w:tc>
          <w:tcPr>
            <w:tcW w:w="756" w:type="dxa"/>
            <w:noWrap w:val="0"/>
            <w:vAlign w:val="center"/>
          </w:tcPr>
          <w:p w14:paraId="606562D7">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5.51</w:t>
            </w:r>
          </w:p>
        </w:tc>
        <w:tc>
          <w:tcPr>
            <w:tcW w:w="756" w:type="dxa"/>
            <w:noWrap w:val="0"/>
            <w:vAlign w:val="center"/>
          </w:tcPr>
          <w:p w14:paraId="11FAFCD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2.92</w:t>
            </w:r>
          </w:p>
        </w:tc>
        <w:tc>
          <w:tcPr>
            <w:tcW w:w="756" w:type="dxa"/>
            <w:noWrap w:val="0"/>
            <w:vAlign w:val="center"/>
          </w:tcPr>
          <w:p w14:paraId="702188B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6.90</w:t>
            </w:r>
          </w:p>
        </w:tc>
        <w:tc>
          <w:tcPr>
            <w:tcW w:w="756" w:type="dxa"/>
            <w:noWrap w:val="0"/>
            <w:vAlign w:val="center"/>
          </w:tcPr>
          <w:p w14:paraId="5AB084EE">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2.87</w:t>
            </w:r>
          </w:p>
        </w:tc>
        <w:tc>
          <w:tcPr>
            <w:tcW w:w="756" w:type="dxa"/>
            <w:noWrap w:val="0"/>
            <w:vAlign w:val="center"/>
          </w:tcPr>
          <w:p w14:paraId="01C94E90">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3.98</w:t>
            </w:r>
          </w:p>
        </w:tc>
        <w:tc>
          <w:tcPr>
            <w:tcW w:w="756" w:type="dxa"/>
            <w:noWrap w:val="0"/>
            <w:vAlign w:val="center"/>
          </w:tcPr>
          <w:p w14:paraId="74BF4BA4">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5.28</w:t>
            </w:r>
          </w:p>
        </w:tc>
        <w:tc>
          <w:tcPr>
            <w:tcW w:w="756" w:type="dxa"/>
            <w:noWrap w:val="0"/>
            <w:vAlign w:val="center"/>
          </w:tcPr>
          <w:p w14:paraId="6639B3F6">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7.36</w:t>
            </w:r>
          </w:p>
        </w:tc>
        <w:tc>
          <w:tcPr>
            <w:tcW w:w="756" w:type="dxa"/>
            <w:noWrap w:val="0"/>
            <w:vAlign w:val="center"/>
          </w:tcPr>
          <w:p w14:paraId="62C28EEC">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5.56</w:t>
            </w:r>
          </w:p>
        </w:tc>
        <w:tc>
          <w:tcPr>
            <w:tcW w:w="756" w:type="dxa"/>
            <w:noWrap w:val="0"/>
            <w:vAlign w:val="center"/>
          </w:tcPr>
          <w:p w14:paraId="125E9532">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7.18</w:t>
            </w:r>
          </w:p>
        </w:tc>
        <w:tc>
          <w:tcPr>
            <w:tcW w:w="756" w:type="dxa"/>
            <w:noWrap w:val="0"/>
            <w:vAlign w:val="center"/>
          </w:tcPr>
          <w:p w14:paraId="1295BB19">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4.91</w:t>
            </w:r>
          </w:p>
        </w:tc>
        <w:tc>
          <w:tcPr>
            <w:tcW w:w="771" w:type="dxa"/>
            <w:noWrap w:val="0"/>
            <w:vAlign w:val="center"/>
          </w:tcPr>
          <w:p w14:paraId="2E72293D">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kern w:val="0"/>
                <w:lang w:bidi="en-US"/>
              </w:rPr>
            </w:pPr>
            <w:r>
              <w:rPr>
                <w:rFonts w:hint="eastAsia" w:ascii="Times New Roman" w:hAnsi="Times New Roman" w:cs="Times New Roman"/>
                <w:color w:val="auto"/>
              </w:rPr>
              <w:t>0.32</w:t>
            </w:r>
          </w:p>
        </w:tc>
      </w:tr>
    </w:tbl>
    <w:p w14:paraId="65E8C49C">
      <w:pPr>
        <w:spacing w:line="360" w:lineRule="auto"/>
        <w:rPr>
          <w:rFonts w:hint="eastAsia"/>
          <w:color w:val="auto"/>
          <w:sz w:val="24"/>
        </w:rPr>
      </w:pPr>
    </w:p>
    <w:p w14:paraId="76CEDBA1">
      <w:pPr>
        <w:spacing w:line="360" w:lineRule="auto"/>
        <w:ind w:firstLine="480" w:firstLineChars="200"/>
        <w:rPr>
          <w:color w:val="auto"/>
          <w:sz w:val="24"/>
        </w:rPr>
        <w:sectPr>
          <w:pgSz w:w="16840" w:h="11907" w:orient="landscape"/>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09E190D5">
      <w:pPr>
        <w:spacing w:before="156" w:beforeLines="50"/>
        <w:jc w:val="center"/>
        <w:rPr>
          <w:color w:val="auto"/>
          <w:szCs w:val="24"/>
        </w:rPr>
      </w:pPr>
      <w:r>
        <w:rPr>
          <w:color w:val="auto"/>
        </w:rPr>
        <w:drawing>
          <wp:inline distT="0" distB="0" distL="114300" distR="114300">
            <wp:extent cx="4610100" cy="2533650"/>
            <wp:effectExtent l="4445" t="4445" r="14605" b="14605"/>
            <wp:docPr id="195"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14:paraId="3E77855F">
      <w:pPr>
        <w:spacing w:line="400" w:lineRule="exact"/>
        <w:jc w:val="center"/>
        <w:rPr>
          <w:rFonts w:eastAsia="黑体"/>
          <w:color w:val="auto"/>
          <w:sz w:val="24"/>
        </w:rPr>
      </w:pPr>
      <w:r>
        <w:rPr>
          <w:rFonts w:hint="eastAsia" w:eastAsia="黑体"/>
          <w:color w:val="auto"/>
          <w:sz w:val="24"/>
        </w:rPr>
        <w:t>淮南市2</w:t>
      </w:r>
      <w:r>
        <w:rPr>
          <w:rFonts w:eastAsia="黑体"/>
          <w:color w:val="auto"/>
          <w:sz w:val="24"/>
        </w:rPr>
        <w:t>02</w:t>
      </w:r>
      <w:r>
        <w:rPr>
          <w:rFonts w:hint="eastAsia" w:eastAsia="黑体"/>
          <w:color w:val="auto"/>
          <w:sz w:val="24"/>
        </w:rPr>
        <w:t>2年年平均温度的月变化图</w:t>
      </w:r>
    </w:p>
    <w:p w14:paraId="40CEBDE6">
      <w:pPr>
        <w:jc w:val="center"/>
        <w:rPr>
          <w:color w:val="auto"/>
          <w:szCs w:val="24"/>
        </w:rPr>
      </w:pPr>
      <w:r>
        <w:rPr>
          <w:color w:val="auto"/>
        </w:rPr>
        <w:drawing>
          <wp:inline distT="0" distB="0" distL="114300" distR="114300">
            <wp:extent cx="4610100" cy="2571750"/>
            <wp:effectExtent l="4445" t="4445" r="14605" b="14605"/>
            <wp:docPr id="196" name="图表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p w14:paraId="301EEF04">
      <w:pPr>
        <w:spacing w:line="400" w:lineRule="exact"/>
        <w:jc w:val="center"/>
        <w:rPr>
          <w:rFonts w:eastAsia="黑体"/>
          <w:color w:val="auto"/>
          <w:sz w:val="24"/>
        </w:rPr>
      </w:pPr>
      <w:r>
        <w:rPr>
          <w:rFonts w:hint="eastAsia" w:eastAsia="黑体"/>
          <w:color w:val="auto"/>
          <w:sz w:val="24"/>
        </w:rPr>
        <w:t>淮南市2</w:t>
      </w:r>
      <w:r>
        <w:rPr>
          <w:rFonts w:eastAsia="黑体"/>
          <w:color w:val="auto"/>
          <w:sz w:val="24"/>
        </w:rPr>
        <w:t>02</w:t>
      </w:r>
      <w:r>
        <w:rPr>
          <w:rFonts w:hint="eastAsia" w:eastAsia="黑体"/>
          <w:color w:val="auto"/>
          <w:sz w:val="24"/>
        </w:rPr>
        <w:t>2年年平均风速的月变化图</w:t>
      </w:r>
    </w:p>
    <w:p w14:paraId="71ED186F">
      <w:pPr>
        <w:spacing w:after="156" w:afterLines="50"/>
        <w:jc w:val="center"/>
        <w:rPr>
          <w:color w:val="auto"/>
        </w:rPr>
      </w:pPr>
      <w:r>
        <w:rPr>
          <w:color w:val="auto"/>
        </w:rPr>
        <w:drawing>
          <wp:inline distT="0" distB="0" distL="114300" distR="114300">
            <wp:extent cx="4686300" cy="2114550"/>
            <wp:effectExtent l="4445" t="5080" r="14605" b="13970"/>
            <wp:docPr id="197" name="图表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14:paraId="14981850">
      <w:pPr>
        <w:spacing w:line="400" w:lineRule="exact"/>
        <w:jc w:val="center"/>
        <w:rPr>
          <w:rFonts w:eastAsia="黑体"/>
          <w:color w:val="auto"/>
          <w:sz w:val="24"/>
        </w:rPr>
      </w:pPr>
      <w:r>
        <w:rPr>
          <w:rFonts w:hint="eastAsia" w:eastAsia="黑体"/>
          <w:color w:val="auto"/>
          <w:sz w:val="24"/>
        </w:rPr>
        <w:t>淮南市2</w:t>
      </w:r>
      <w:r>
        <w:rPr>
          <w:rFonts w:eastAsia="黑体"/>
          <w:color w:val="auto"/>
          <w:sz w:val="24"/>
        </w:rPr>
        <w:t>02</w:t>
      </w:r>
      <w:r>
        <w:rPr>
          <w:rFonts w:hint="eastAsia" w:eastAsia="黑体"/>
          <w:color w:val="auto"/>
          <w:sz w:val="24"/>
        </w:rPr>
        <w:t>2年季小时平均风速的日变化图</w:t>
      </w:r>
    </w:p>
    <w:p w14:paraId="64EFF1CD">
      <w:pPr>
        <w:rPr>
          <w:color w:val="auto"/>
          <w:szCs w:val="24"/>
        </w:rPr>
      </w:pPr>
    </w:p>
    <w:p w14:paraId="28AE8D0F">
      <w:pPr>
        <w:jc w:val="center"/>
        <w:rPr>
          <w:color w:val="auto"/>
          <w:szCs w:val="24"/>
        </w:rPr>
      </w:pPr>
      <w:r>
        <w:rPr>
          <w:rFonts w:hint="eastAsia"/>
          <w:color w:val="auto"/>
          <w:szCs w:val="24"/>
        </w:rPr>
        <w:drawing>
          <wp:inline distT="0" distB="0" distL="114300" distR="114300">
            <wp:extent cx="5104765" cy="7066915"/>
            <wp:effectExtent l="0" t="0" r="635" b="635"/>
            <wp:docPr id="19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1"/>
                    <pic:cNvPicPr>
                      <a:picLocks noChangeAspect="1"/>
                    </pic:cNvPicPr>
                  </pic:nvPicPr>
                  <pic:blipFill>
                    <a:blip r:embed="rId177"/>
                    <a:stretch>
                      <a:fillRect/>
                    </a:stretch>
                  </pic:blipFill>
                  <pic:spPr>
                    <a:xfrm>
                      <a:off x="0" y="0"/>
                      <a:ext cx="5104765" cy="7066915"/>
                    </a:xfrm>
                    <a:prstGeom prst="rect">
                      <a:avLst/>
                    </a:prstGeom>
                    <a:noFill/>
                    <a:ln>
                      <a:noFill/>
                    </a:ln>
                  </pic:spPr>
                </pic:pic>
              </a:graphicData>
            </a:graphic>
          </wp:inline>
        </w:drawing>
      </w:r>
    </w:p>
    <w:p w14:paraId="32631877">
      <w:pPr>
        <w:spacing w:line="400" w:lineRule="exact"/>
        <w:jc w:val="center"/>
        <w:rPr>
          <w:rFonts w:eastAsia="黑体"/>
          <w:color w:val="auto"/>
          <w:sz w:val="24"/>
        </w:rPr>
      </w:pPr>
      <w:r>
        <w:rPr>
          <w:rFonts w:eastAsia="黑体"/>
          <w:color w:val="auto"/>
          <w:sz w:val="24"/>
          <w:lang w:val="en-GB"/>
        </w:rPr>
        <w:t xml:space="preserve">图5.2-4  </w:t>
      </w:r>
      <w:r>
        <w:rPr>
          <w:rFonts w:eastAsia="黑体"/>
          <w:color w:val="auto"/>
          <w:sz w:val="24"/>
        </w:rPr>
        <w:t>202</w:t>
      </w:r>
      <w:r>
        <w:rPr>
          <w:rFonts w:hint="eastAsia" w:eastAsia="黑体"/>
          <w:color w:val="auto"/>
          <w:sz w:val="24"/>
        </w:rPr>
        <w:t>2年淮南风向频率玫瑰图</w:t>
      </w:r>
    </w:p>
    <w:p w14:paraId="538DE2DA">
      <w:pPr>
        <w:spacing w:line="360" w:lineRule="auto"/>
        <w:ind w:firstLine="480" w:firstLineChars="200"/>
        <w:rPr>
          <w:rFonts w:hint="eastAsia"/>
          <w:color w:val="auto"/>
          <w:sz w:val="24"/>
        </w:rPr>
      </w:pPr>
      <w:r>
        <w:rPr>
          <w:rFonts w:hint="eastAsia"/>
          <w:color w:val="auto"/>
          <w:sz w:val="24"/>
        </w:rPr>
        <w:t>淮南市近20年全年主导风向为E风，2022年全年主导风向为ESE-E-SE风，这与当地20年气象统计资料具有较好的一致性。因此，评价预测选用2022年的气象资料是合理的。</w:t>
      </w:r>
    </w:p>
    <w:p w14:paraId="460D140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宋体" w:cs="Times New Roman"/>
          <w:color w:val="auto"/>
          <w:sz w:val="24"/>
          <w:szCs w:val="22"/>
        </w:rPr>
        <w:t>5.2.2.3</w:t>
      </w:r>
      <w:r>
        <w:rPr>
          <w:rFonts w:hint="eastAsia" w:ascii="Times New Roman" w:hAnsi="Times New Roman" w:eastAsia="黑体" w:cs="Times New Roman"/>
          <w:bCs/>
          <w:color w:val="auto"/>
          <w:kern w:val="2"/>
          <w:sz w:val="24"/>
          <w:szCs w:val="28"/>
          <w:lang w:val="en-US" w:eastAsia="zh-CN" w:bidi="ar-SA"/>
        </w:rPr>
        <w:t>评价等级确定</w:t>
      </w:r>
    </w:p>
    <w:p w14:paraId="7996F3B2">
      <w:pPr>
        <w:adjustRightInd w:val="0"/>
        <w:snapToGrid w:val="0"/>
        <w:spacing w:line="360" w:lineRule="auto"/>
        <w:ind w:firstLine="480" w:firstLineChars="200"/>
        <w:rPr>
          <w:rFonts w:ascii="Times New Roman" w:hAnsi="Times New Roman" w:eastAsia="宋体" w:cs="Times New Roman"/>
          <w:color w:val="auto"/>
          <w:kern w:val="0"/>
          <w:sz w:val="24"/>
          <w:szCs w:val="22"/>
          <w:highlight w:val="none"/>
        </w:rPr>
      </w:pPr>
      <w:r>
        <w:rPr>
          <w:rFonts w:ascii="Times New Roman" w:hAnsi="Times New Roman" w:eastAsia="宋体" w:cs="Times New Roman"/>
          <w:color w:val="auto"/>
          <w:kern w:val="0"/>
          <w:sz w:val="24"/>
          <w:szCs w:val="22"/>
          <w:highlight w:val="none"/>
        </w:rPr>
        <w:t>本项目大气评价等级为二级，根据《环境影响评价技术导则 大气环境》(HJ2.2-2018)要求，二级评价项目不进行进一步预测与评价，只对污染物排放量进行核算。</w:t>
      </w:r>
    </w:p>
    <w:p w14:paraId="7164F3E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outlineLvl w:val="3"/>
        <w:rPr>
          <w:rFonts w:hint="eastAsia" w:ascii="Times New Roman" w:hAnsi="Times New Roman" w:eastAsia="宋体" w:cs="Times New Roman"/>
          <w:color w:val="auto"/>
          <w:sz w:val="24"/>
          <w:szCs w:val="22"/>
        </w:rPr>
      </w:pPr>
      <w:bookmarkStart w:id="141" w:name="_Toc8440"/>
      <w:bookmarkStart w:id="142" w:name="_Toc10263"/>
      <w:bookmarkStart w:id="143" w:name="_Toc21923"/>
      <w:r>
        <w:rPr>
          <w:rFonts w:hint="eastAsia" w:ascii="Times New Roman" w:hAnsi="Times New Roman" w:eastAsia="宋体" w:cs="Times New Roman"/>
          <w:color w:val="auto"/>
          <w:sz w:val="24"/>
          <w:szCs w:val="22"/>
        </w:rPr>
        <w:t>5.2.2.4</w:t>
      </w:r>
      <w:r>
        <w:rPr>
          <w:rFonts w:hint="eastAsia" w:ascii="Times New Roman" w:hAnsi="Times New Roman" w:eastAsia="黑体" w:cs="Times New Roman"/>
          <w:bCs/>
          <w:color w:val="auto"/>
          <w:kern w:val="2"/>
          <w:sz w:val="24"/>
          <w:szCs w:val="28"/>
          <w:lang w:val="en-US" w:eastAsia="zh-CN" w:bidi="ar-SA"/>
        </w:rPr>
        <w:t>大气污染物排放量核算</w:t>
      </w:r>
      <w:bookmarkEnd w:id="141"/>
      <w:bookmarkEnd w:id="142"/>
      <w:bookmarkEnd w:id="143"/>
    </w:p>
    <w:p w14:paraId="66C42585">
      <w:pPr>
        <w:adjustRightInd w:val="0"/>
        <w:snapToGrid w:val="0"/>
        <w:spacing w:before="170" w:beforeLines="50" w:line="360" w:lineRule="auto"/>
        <w:ind w:firstLine="480" w:firstLineChars="200"/>
        <w:rPr>
          <w:rFonts w:ascii="Times New Roman" w:hAnsi="Times New Roman" w:eastAsia="宋体" w:cs="Times New Roman"/>
          <w:color w:val="auto"/>
          <w:sz w:val="24"/>
          <w:szCs w:val="22"/>
          <w:highlight w:val="cyan"/>
        </w:rPr>
      </w:pPr>
      <w:r>
        <w:rPr>
          <w:rFonts w:ascii="Times New Roman" w:hAnsi="Times New Roman" w:eastAsia="宋体" w:cs="Times New Roman"/>
          <w:color w:val="auto"/>
          <w:sz w:val="24"/>
          <w:szCs w:val="22"/>
          <w:highlight w:val="none"/>
        </w:rPr>
        <w:t>（1）无组织排放量核算</w:t>
      </w:r>
    </w:p>
    <w:p w14:paraId="58B59096">
      <w:pPr>
        <w:spacing w:line="400" w:lineRule="exact"/>
        <w:jc w:val="center"/>
        <w:rPr>
          <w:rFonts w:hint="eastAsia" w:ascii="Times New Roman" w:hAnsi="Times New Roman" w:eastAsia="黑体" w:cs="Times New Roman"/>
          <w:color w:val="auto"/>
          <w:sz w:val="24"/>
          <w:lang w:val="zh-CN"/>
        </w:rPr>
      </w:pPr>
      <w:r>
        <w:rPr>
          <w:rFonts w:hint="eastAsia" w:ascii="Times New Roman" w:hAnsi="Times New Roman" w:eastAsia="黑体" w:cs="Times New Roman"/>
          <w:color w:val="auto"/>
          <w:sz w:val="24"/>
          <w:lang w:val="zh-CN"/>
        </w:rPr>
        <w:t>表5.</w:t>
      </w:r>
      <w:r>
        <w:rPr>
          <w:rFonts w:hint="eastAsia" w:ascii="Times New Roman" w:hAnsi="Times New Roman" w:eastAsia="黑体" w:cs="Times New Roman"/>
          <w:color w:val="auto"/>
          <w:sz w:val="24"/>
          <w:lang w:val="en-US" w:eastAsia="zh-CN"/>
        </w:rPr>
        <w:t>2-1</w:t>
      </w:r>
      <w:r>
        <w:rPr>
          <w:rFonts w:hint="eastAsia" w:eastAsia="黑体" w:cs="Times New Roman"/>
          <w:color w:val="auto"/>
          <w:sz w:val="24"/>
          <w:lang w:val="en-US" w:eastAsia="zh-CN"/>
        </w:rPr>
        <w:t>0</w:t>
      </w:r>
      <w:r>
        <w:rPr>
          <w:rFonts w:hint="eastAsia" w:ascii="Times New Roman" w:hAnsi="Times New Roman" w:eastAsia="黑体" w:cs="Times New Roman"/>
          <w:color w:val="auto"/>
          <w:sz w:val="24"/>
          <w:lang w:val="zh-CN"/>
        </w:rPr>
        <w:t xml:space="preserve">  大气污染物无组织排放量核算</w:t>
      </w:r>
    </w:p>
    <w:tbl>
      <w:tblPr>
        <w:tblStyle w:val="53"/>
        <w:tblW w:w="9180" w:type="dxa"/>
        <w:tblInd w:w="91"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737"/>
        <w:gridCol w:w="1305"/>
        <w:gridCol w:w="1551"/>
        <w:gridCol w:w="1104"/>
        <w:gridCol w:w="1560"/>
        <w:gridCol w:w="1281"/>
        <w:gridCol w:w="1642"/>
      </w:tblGrid>
      <w:tr w14:paraId="554312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blHeader/>
        </w:trPr>
        <w:tc>
          <w:tcPr>
            <w:tcW w:w="737" w:type="dxa"/>
            <w:noWrap w:val="0"/>
            <w:vAlign w:val="center"/>
          </w:tcPr>
          <w:p w14:paraId="2B315217">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序号</w:t>
            </w:r>
          </w:p>
        </w:tc>
        <w:tc>
          <w:tcPr>
            <w:tcW w:w="1305" w:type="dxa"/>
            <w:noWrap w:val="0"/>
            <w:vAlign w:val="center"/>
          </w:tcPr>
          <w:p w14:paraId="17F30207">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排放口编号</w:t>
            </w:r>
          </w:p>
        </w:tc>
        <w:tc>
          <w:tcPr>
            <w:tcW w:w="1551" w:type="dxa"/>
            <w:noWrap w:val="0"/>
            <w:vAlign w:val="center"/>
          </w:tcPr>
          <w:p w14:paraId="373C8B45">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产污环节</w:t>
            </w:r>
          </w:p>
        </w:tc>
        <w:tc>
          <w:tcPr>
            <w:tcW w:w="1104" w:type="dxa"/>
            <w:noWrap w:val="0"/>
            <w:vAlign w:val="center"/>
          </w:tcPr>
          <w:p w14:paraId="7C9B9F56">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污染物</w:t>
            </w:r>
          </w:p>
        </w:tc>
        <w:tc>
          <w:tcPr>
            <w:tcW w:w="1560" w:type="dxa"/>
            <w:noWrap w:val="0"/>
            <w:vAlign w:val="center"/>
          </w:tcPr>
          <w:p w14:paraId="293B74B7">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主要污染防治措施</w:t>
            </w:r>
          </w:p>
        </w:tc>
        <w:tc>
          <w:tcPr>
            <w:tcW w:w="1281" w:type="dxa"/>
            <w:noWrap w:val="0"/>
            <w:vAlign w:val="center"/>
          </w:tcPr>
          <w:p w14:paraId="3833F790">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浓度限值</w:t>
            </w:r>
            <w:r>
              <w:rPr>
                <w:rFonts w:hint="default" w:ascii="Times New Roman" w:hAnsi="Times New Roman" w:eastAsia="宋体" w:cs="Times New Roman"/>
                <w:b/>
                <w:bCs/>
                <w:color w:val="auto"/>
                <w:kern w:val="0"/>
                <w:sz w:val="21"/>
                <w:szCs w:val="21"/>
                <w:highlight w:val="none"/>
                <w:lang w:bidi="ar"/>
              </w:rPr>
              <w:t>/</w:t>
            </w:r>
            <w:r>
              <w:rPr>
                <w:rFonts w:hint="eastAsia" w:ascii="宋体" w:hAnsi="宋体" w:eastAsia="宋体" w:cs="宋体"/>
                <w:b/>
                <w:bCs/>
                <w:color w:val="auto"/>
                <w:kern w:val="0"/>
                <w:sz w:val="21"/>
                <w:szCs w:val="21"/>
                <w:highlight w:val="none"/>
                <w:lang w:bidi="ar"/>
              </w:rPr>
              <w:t>（</w:t>
            </w:r>
            <w:r>
              <w:rPr>
                <w:rFonts w:hint="default" w:ascii="Times New Roman" w:hAnsi="Times New Roman" w:eastAsia="宋体" w:cs="Times New Roman"/>
                <w:b/>
                <w:bCs/>
                <w:color w:val="auto"/>
                <w:kern w:val="0"/>
                <w:sz w:val="21"/>
                <w:szCs w:val="21"/>
                <w:highlight w:val="none"/>
                <w:lang w:bidi="ar"/>
              </w:rPr>
              <w:t>mg/m</w:t>
            </w:r>
            <w:r>
              <w:rPr>
                <w:rFonts w:hint="default" w:ascii="Times New Roman" w:hAnsi="Times New Roman" w:eastAsia="宋体" w:cs="Times New Roman"/>
                <w:b/>
                <w:bCs/>
                <w:color w:val="auto"/>
                <w:kern w:val="0"/>
                <w:sz w:val="21"/>
                <w:szCs w:val="21"/>
                <w:highlight w:val="none"/>
                <w:vertAlign w:val="superscript"/>
                <w:lang w:bidi="ar"/>
              </w:rPr>
              <w:t>3</w:t>
            </w:r>
            <w:r>
              <w:rPr>
                <w:rFonts w:hint="eastAsia" w:ascii="宋体" w:hAnsi="宋体" w:eastAsia="宋体" w:cs="宋体"/>
                <w:b/>
                <w:bCs/>
                <w:color w:val="auto"/>
                <w:kern w:val="0"/>
                <w:sz w:val="21"/>
                <w:szCs w:val="21"/>
                <w:highlight w:val="none"/>
                <w:lang w:bidi="ar"/>
              </w:rPr>
              <w:t>）</w:t>
            </w:r>
          </w:p>
        </w:tc>
        <w:tc>
          <w:tcPr>
            <w:tcW w:w="1642" w:type="dxa"/>
            <w:noWrap w:val="0"/>
            <w:vAlign w:val="center"/>
          </w:tcPr>
          <w:p w14:paraId="5057A8BD">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年排放量</w:t>
            </w:r>
            <w:r>
              <w:rPr>
                <w:rFonts w:hint="default" w:ascii="Times New Roman" w:hAnsi="Times New Roman" w:eastAsia="宋体" w:cs="Times New Roman"/>
                <w:b/>
                <w:bCs/>
                <w:color w:val="auto"/>
                <w:kern w:val="0"/>
                <w:sz w:val="21"/>
                <w:szCs w:val="21"/>
                <w:highlight w:val="none"/>
                <w:lang w:bidi="ar"/>
              </w:rPr>
              <w:t>/</w:t>
            </w:r>
            <w:r>
              <w:rPr>
                <w:rFonts w:hint="eastAsia" w:ascii="宋体" w:hAnsi="宋体" w:eastAsia="宋体" w:cs="宋体"/>
                <w:b/>
                <w:bCs/>
                <w:color w:val="auto"/>
                <w:kern w:val="0"/>
                <w:sz w:val="21"/>
                <w:szCs w:val="21"/>
                <w:highlight w:val="none"/>
                <w:lang w:bidi="ar"/>
              </w:rPr>
              <w:t>（</w:t>
            </w:r>
            <w:r>
              <w:rPr>
                <w:rFonts w:hint="default" w:ascii="Times New Roman" w:hAnsi="Times New Roman" w:eastAsia="宋体" w:cs="Times New Roman"/>
                <w:b/>
                <w:bCs/>
                <w:color w:val="auto"/>
                <w:kern w:val="0"/>
                <w:sz w:val="21"/>
                <w:szCs w:val="21"/>
                <w:highlight w:val="none"/>
                <w:lang w:bidi="ar"/>
              </w:rPr>
              <w:t>t/a</w:t>
            </w:r>
            <w:r>
              <w:rPr>
                <w:rFonts w:hint="eastAsia" w:ascii="宋体" w:hAnsi="宋体" w:eastAsia="宋体" w:cs="宋体"/>
                <w:b/>
                <w:bCs/>
                <w:color w:val="auto"/>
                <w:kern w:val="0"/>
                <w:sz w:val="21"/>
                <w:szCs w:val="21"/>
                <w:highlight w:val="none"/>
                <w:lang w:bidi="ar"/>
              </w:rPr>
              <w:t>）</w:t>
            </w:r>
          </w:p>
        </w:tc>
      </w:tr>
      <w:tr w14:paraId="0BBE4A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737" w:type="dxa"/>
            <w:noWrap w:val="0"/>
            <w:vAlign w:val="center"/>
          </w:tcPr>
          <w:p w14:paraId="051D9EEA">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lang w:bidi="ar"/>
              </w:rPr>
              <w:t>1</w:t>
            </w:r>
          </w:p>
        </w:tc>
        <w:tc>
          <w:tcPr>
            <w:tcW w:w="1305" w:type="dxa"/>
            <w:noWrap/>
            <w:vAlign w:val="center"/>
          </w:tcPr>
          <w:p w14:paraId="6134F8FE">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highlight w:val="none"/>
                <w:lang w:eastAsia="zh-CN"/>
              </w:rPr>
            </w:pPr>
            <w:r>
              <w:rPr>
                <w:rFonts w:hint="eastAsia" w:cs="Times New Roman"/>
                <w:color w:val="auto"/>
                <w:kern w:val="0"/>
                <w:sz w:val="21"/>
                <w:szCs w:val="21"/>
                <w:highlight w:val="none"/>
                <w:lang w:val="en-US" w:eastAsia="zh-CN" w:bidi="ar"/>
              </w:rPr>
              <w:t>/</w:t>
            </w:r>
          </w:p>
        </w:tc>
        <w:tc>
          <w:tcPr>
            <w:tcW w:w="1551" w:type="dxa"/>
            <w:noWrap w:val="0"/>
            <w:vAlign w:val="center"/>
          </w:tcPr>
          <w:p w14:paraId="486ECEC2">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default" w:ascii="Times New Roman" w:hAnsi="Times New Roman" w:eastAsia="宋体" w:cs="Times New Roman"/>
                <w:color w:val="auto"/>
                <w:highlight w:val="none"/>
              </w:rPr>
              <w:t>码头道路扬尘</w:t>
            </w:r>
          </w:p>
        </w:tc>
        <w:tc>
          <w:tcPr>
            <w:tcW w:w="1104" w:type="dxa"/>
            <w:noWrap w:val="0"/>
            <w:vAlign w:val="center"/>
          </w:tcPr>
          <w:p w14:paraId="62264657">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宋体" w:hAnsi="宋体" w:eastAsia="宋体" w:cs="宋体"/>
                <w:color w:val="auto"/>
                <w:sz w:val="21"/>
                <w:szCs w:val="21"/>
                <w:highlight w:val="none"/>
              </w:rPr>
            </w:pPr>
            <w:r>
              <w:rPr>
                <w:rFonts w:hint="eastAsia" w:ascii="Times New Roman" w:hAnsi="Times New Roman" w:eastAsia="宋体" w:cs="Times New Roman"/>
                <w:color w:val="auto"/>
                <w:kern w:val="0"/>
                <w:sz w:val="21"/>
                <w:szCs w:val="21"/>
                <w:highlight w:val="none"/>
                <w:lang w:bidi="ar"/>
              </w:rPr>
              <w:t>颗粒物</w:t>
            </w:r>
          </w:p>
        </w:tc>
        <w:tc>
          <w:tcPr>
            <w:tcW w:w="1560" w:type="dxa"/>
            <w:noWrap w:val="0"/>
            <w:vAlign w:val="center"/>
          </w:tcPr>
          <w:p w14:paraId="36DE86D8">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default" w:ascii="Times New Roman" w:hAnsi="Times New Roman" w:eastAsia="宋体" w:cs="Times New Roman"/>
                <w:color w:val="auto"/>
                <w:highlight w:val="none"/>
              </w:rPr>
              <w:t>洒水抑尘</w:t>
            </w:r>
          </w:p>
        </w:tc>
        <w:tc>
          <w:tcPr>
            <w:tcW w:w="1281" w:type="dxa"/>
            <w:noWrap w:val="0"/>
            <w:vAlign w:val="center"/>
          </w:tcPr>
          <w:p w14:paraId="7604136D">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1.0</w:t>
            </w:r>
          </w:p>
        </w:tc>
        <w:tc>
          <w:tcPr>
            <w:tcW w:w="1642" w:type="dxa"/>
            <w:noWrap/>
            <w:vAlign w:val="center"/>
          </w:tcPr>
          <w:p w14:paraId="790469B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highlight w:val="none"/>
              </w:rPr>
              <w:t>0.030</w:t>
            </w:r>
          </w:p>
        </w:tc>
      </w:tr>
      <w:tr w14:paraId="68D154B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737" w:type="dxa"/>
            <w:noWrap w:val="0"/>
            <w:vAlign w:val="center"/>
          </w:tcPr>
          <w:p w14:paraId="0C17AE7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2</w:t>
            </w:r>
          </w:p>
        </w:tc>
        <w:tc>
          <w:tcPr>
            <w:tcW w:w="1305" w:type="dxa"/>
            <w:noWrap/>
            <w:vAlign w:val="center"/>
          </w:tcPr>
          <w:p w14:paraId="0BABF560">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highlight w:val="none"/>
                <w:lang w:eastAsia="zh-CN"/>
              </w:rPr>
            </w:pPr>
            <w:r>
              <w:rPr>
                <w:rFonts w:hint="eastAsia" w:cs="Times New Roman"/>
                <w:color w:val="auto"/>
                <w:kern w:val="0"/>
                <w:sz w:val="21"/>
                <w:szCs w:val="21"/>
                <w:highlight w:val="none"/>
                <w:lang w:val="en-US" w:eastAsia="zh-CN" w:bidi="ar"/>
              </w:rPr>
              <w:t>/</w:t>
            </w:r>
          </w:p>
        </w:tc>
        <w:tc>
          <w:tcPr>
            <w:tcW w:w="1551" w:type="dxa"/>
            <w:noWrap w:val="0"/>
            <w:vAlign w:val="center"/>
          </w:tcPr>
          <w:p w14:paraId="0F886303">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default" w:ascii="Times New Roman" w:hAnsi="Times New Roman" w:eastAsia="宋体" w:cs="Times New Roman"/>
                <w:color w:val="auto"/>
                <w:highlight w:val="none"/>
              </w:rPr>
              <w:t>码头装卸扬尘</w:t>
            </w:r>
          </w:p>
        </w:tc>
        <w:tc>
          <w:tcPr>
            <w:tcW w:w="1104" w:type="dxa"/>
            <w:noWrap/>
            <w:vAlign w:val="center"/>
          </w:tcPr>
          <w:p w14:paraId="553EDEAE">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宋体" w:hAnsi="宋体" w:eastAsia="宋体" w:cs="宋体"/>
                <w:color w:val="auto"/>
                <w:sz w:val="21"/>
                <w:szCs w:val="21"/>
                <w:highlight w:val="none"/>
              </w:rPr>
            </w:pPr>
            <w:r>
              <w:rPr>
                <w:rFonts w:hint="eastAsia" w:ascii="Times New Roman" w:hAnsi="Times New Roman" w:eastAsia="宋体" w:cs="Times New Roman"/>
                <w:color w:val="auto"/>
                <w:kern w:val="0"/>
                <w:sz w:val="21"/>
                <w:szCs w:val="21"/>
                <w:highlight w:val="none"/>
                <w:lang w:bidi="ar"/>
              </w:rPr>
              <w:t>颗粒物</w:t>
            </w:r>
          </w:p>
        </w:tc>
        <w:tc>
          <w:tcPr>
            <w:tcW w:w="1560" w:type="dxa"/>
            <w:noWrap w:val="0"/>
            <w:vAlign w:val="center"/>
          </w:tcPr>
          <w:p w14:paraId="3D41E978">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default" w:ascii="Times New Roman" w:hAnsi="Times New Roman" w:eastAsia="宋体" w:cs="Times New Roman"/>
                <w:color w:val="auto"/>
                <w:highlight w:val="none"/>
              </w:rPr>
              <w:t>干雾抑尘</w:t>
            </w:r>
          </w:p>
        </w:tc>
        <w:tc>
          <w:tcPr>
            <w:tcW w:w="1281" w:type="dxa"/>
            <w:noWrap w:val="0"/>
            <w:vAlign w:val="center"/>
          </w:tcPr>
          <w:p w14:paraId="02CD22DF">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1.0</w:t>
            </w:r>
          </w:p>
        </w:tc>
        <w:tc>
          <w:tcPr>
            <w:tcW w:w="1642" w:type="dxa"/>
            <w:noWrap/>
            <w:vAlign w:val="center"/>
          </w:tcPr>
          <w:p w14:paraId="361703E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highlight w:val="none"/>
              </w:rPr>
              <w:t>1.588</w:t>
            </w:r>
          </w:p>
        </w:tc>
      </w:tr>
      <w:tr w14:paraId="010AE9F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9180" w:type="dxa"/>
            <w:gridSpan w:val="7"/>
            <w:noWrap w:val="0"/>
            <w:vAlign w:val="center"/>
          </w:tcPr>
          <w:p w14:paraId="1C68EDC8">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全厂无组织排放合计</w:t>
            </w:r>
          </w:p>
        </w:tc>
      </w:tr>
      <w:tr w14:paraId="4A1C09A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3593" w:type="dxa"/>
            <w:gridSpan w:val="3"/>
            <w:noWrap w:val="0"/>
            <w:vAlign w:val="center"/>
          </w:tcPr>
          <w:p w14:paraId="1B24578B">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全厂</w:t>
            </w:r>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val="en-US" w:eastAsia="zh-CN" w:bidi="ar"/>
              </w:rPr>
              <w:t>码头</w:t>
            </w:r>
            <w:r>
              <w:rPr>
                <w:rFonts w:hint="eastAsia" w:ascii="宋体" w:hAnsi="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无组织排放合计</w:t>
            </w:r>
          </w:p>
        </w:tc>
        <w:tc>
          <w:tcPr>
            <w:tcW w:w="3945" w:type="dxa"/>
            <w:gridSpan w:val="3"/>
            <w:noWrap/>
            <w:vAlign w:val="center"/>
          </w:tcPr>
          <w:p w14:paraId="70A2812D">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宋体" w:hAnsi="宋体" w:eastAsia="宋体" w:cs="宋体"/>
                <w:color w:val="auto"/>
                <w:sz w:val="21"/>
                <w:szCs w:val="21"/>
                <w:highlight w:val="none"/>
              </w:rPr>
            </w:pPr>
            <w:r>
              <w:rPr>
                <w:rFonts w:hint="eastAsia" w:ascii="Times New Roman" w:hAnsi="Times New Roman" w:eastAsia="宋体" w:cs="Times New Roman"/>
                <w:color w:val="auto"/>
                <w:kern w:val="0"/>
                <w:sz w:val="21"/>
                <w:szCs w:val="21"/>
                <w:highlight w:val="none"/>
                <w:lang w:bidi="ar"/>
              </w:rPr>
              <w:t>颗粒物</w:t>
            </w:r>
          </w:p>
        </w:tc>
        <w:tc>
          <w:tcPr>
            <w:tcW w:w="1642" w:type="dxa"/>
            <w:noWrap/>
            <w:vAlign w:val="center"/>
          </w:tcPr>
          <w:p w14:paraId="660790C2">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sz w:val="21"/>
                <w:szCs w:val="21"/>
                <w:highlight w:val="none"/>
                <w:lang w:eastAsia="zh-CN"/>
              </w:rPr>
            </w:pPr>
            <w:r>
              <w:rPr>
                <w:rFonts w:hint="eastAsia" w:cs="Times New Roman"/>
                <w:color w:val="auto"/>
                <w:kern w:val="0"/>
                <w:sz w:val="21"/>
                <w:szCs w:val="21"/>
                <w:highlight w:val="none"/>
                <w:lang w:eastAsia="zh-CN" w:bidi="ar"/>
              </w:rPr>
              <w:t>1.</w:t>
            </w:r>
            <w:r>
              <w:rPr>
                <w:rFonts w:hint="eastAsia" w:cs="Times New Roman"/>
                <w:color w:val="auto"/>
                <w:kern w:val="0"/>
                <w:sz w:val="21"/>
                <w:szCs w:val="21"/>
                <w:highlight w:val="none"/>
                <w:lang w:val="en-US" w:eastAsia="zh-CN" w:bidi="ar"/>
              </w:rPr>
              <w:t>61</w:t>
            </w:r>
            <w:r>
              <w:rPr>
                <w:rFonts w:hint="eastAsia" w:cs="Times New Roman"/>
                <w:color w:val="auto"/>
                <w:kern w:val="0"/>
                <w:sz w:val="21"/>
                <w:szCs w:val="21"/>
                <w:highlight w:val="none"/>
                <w:lang w:eastAsia="zh-CN" w:bidi="ar"/>
              </w:rPr>
              <w:t>8</w:t>
            </w:r>
          </w:p>
        </w:tc>
      </w:tr>
    </w:tbl>
    <w:p w14:paraId="5F1F076C">
      <w:pPr>
        <w:adjustRightInd w:val="0"/>
        <w:snapToGrid w:val="0"/>
        <w:spacing w:before="170" w:beforeLines="50" w:line="360" w:lineRule="auto"/>
        <w:ind w:firstLine="480" w:firstLineChars="200"/>
        <w:rPr>
          <w:rFonts w:ascii="Times New Roman" w:hAnsi="Times New Roman" w:eastAsia="宋体" w:cs="Times New Roman"/>
          <w:color w:val="auto"/>
          <w:sz w:val="24"/>
          <w:szCs w:val="22"/>
          <w:highlight w:val="none"/>
        </w:rPr>
      </w:pPr>
      <w:r>
        <w:rPr>
          <w:rFonts w:ascii="Times New Roman" w:hAnsi="Times New Roman" w:eastAsia="宋体" w:cs="Times New Roman"/>
          <w:color w:val="auto"/>
          <w:sz w:val="24"/>
          <w:szCs w:val="22"/>
          <w:highlight w:val="none"/>
        </w:rPr>
        <w:t>（</w:t>
      </w:r>
      <w:r>
        <w:rPr>
          <w:rFonts w:hint="eastAsia" w:cs="Times New Roman"/>
          <w:color w:val="auto"/>
          <w:sz w:val="24"/>
          <w:szCs w:val="22"/>
          <w:highlight w:val="none"/>
          <w:lang w:val="en-US" w:eastAsia="zh-CN"/>
        </w:rPr>
        <w:t>2</w:t>
      </w:r>
      <w:r>
        <w:rPr>
          <w:rFonts w:ascii="Times New Roman" w:hAnsi="Times New Roman" w:eastAsia="宋体" w:cs="Times New Roman"/>
          <w:color w:val="auto"/>
          <w:sz w:val="24"/>
          <w:szCs w:val="22"/>
          <w:highlight w:val="none"/>
        </w:rPr>
        <w:t>）大气污染物年排放量核算表</w:t>
      </w:r>
    </w:p>
    <w:p w14:paraId="412257D8">
      <w:pPr>
        <w:spacing w:line="400" w:lineRule="exact"/>
        <w:jc w:val="center"/>
        <w:rPr>
          <w:rFonts w:hint="eastAsia" w:ascii="Times New Roman" w:hAnsi="Times New Roman" w:eastAsia="黑体" w:cs="Times New Roman"/>
          <w:color w:val="auto"/>
          <w:sz w:val="24"/>
          <w:lang w:val="zh-CN"/>
        </w:rPr>
      </w:pPr>
      <w:r>
        <w:rPr>
          <w:rFonts w:hint="eastAsia" w:ascii="Times New Roman" w:hAnsi="Times New Roman" w:eastAsia="黑体" w:cs="Times New Roman"/>
          <w:color w:val="auto"/>
          <w:sz w:val="24"/>
          <w:lang w:val="zh-CN"/>
        </w:rPr>
        <w:t>表5.2-</w:t>
      </w:r>
      <w:r>
        <w:rPr>
          <w:rFonts w:hint="eastAsia" w:ascii="Times New Roman" w:hAnsi="Times New Roman" w:eastAsia="黑体" w:cs="Times New Roman"/>
          <w:color w:val="auto"/>
          <w:sz w:val="24"/>
          <w:lang w:val="en-US" w:eastAsia="zh-CN"/>
        </w:rPr>
        <w:t>1</w:t>
      </w:r>
      <w:r>
        <w:rPr>
          <w:rFonts w:hint="eastAsia" w:eastAsia="黑体" w:cs="Times New Roman"/>
          <w:color w:val="auto"/>
          <w:sz w:val="24"/>
          <w:lang w:val="en-US" w:eastAsia="zh-CN"/>
        </w:rPr>
        <w:t>1</w:t>
      </w:r>
      <w:r>
        <w:rPr>
          <w:rFonts w:hint="eastAsia" w:ascii="Times New Roman" w:hAnsi="Times New Roman" w:eastAsia="黑体" w:cs="Times New Roman"/>
          <w:color w:val="auto"/>
          <w:sz w:val="24"/>
          <w:lang w:val="zh-CN"/>
        </w:rPr>
        <w:t xml:space="preserve">  大气污染物年排放量核算表</w:t>
      </w:r>
    </w:p>
    <w:tbl>
      <w:tblPr>
        <w:tblStyle w:val="53"/>
        <w:tblW w:w="0" w:type="auto"/>
        <w:tblInd w:w="0" w:type="dxa"/>
        <w:tblLayout w:type="fixed"/>
        <w:tblCellMar>
          <w:top w:w="0" w:type="dxa"/>
          <w:left w:w="108" w:type="dxa"/>
          <w:bottom w:w="0" w:type="dxa"/>
          <w:right w:w="108" w:type="dxa"/>
        </w:tblCellMar>
      </w:tblPr>
      <w:tblGrid>
        <w:gridCol w:w="2081"/>
        <w:gridCol w:w="2045"/>
        <w:gridCol w:w="1374"/>
        <w:gridCol w:w="1865"/>
        <w:gridCol w:w="1874"/>
      </w:tblGrid>
      <w:tr w14:paraId="329AB21C">
        <w:tblPrEx>
          <w:tblCellMar>
            <w:top w:w="0" w:type="dxa"/>
            <w:left w:w="108" w:type="dxa"/>
            <w:bottom w:w="0" w:type="dxa"/>
            <w:right w:w="108" w:type="dxa"/>
          </w:tblCellMar>
        </w:tblPrEx>
        <w:trPr>
          <w:trHeight w:val="270" w:hRule="atLeast"/>
        </w:trPr>
        <w:tc>
          <w:tcPr>
            <w:tcW w:w="2081" w:type="dxa"/>
            <w:vMerge w:val="restart"/>
            <w:tcBorders>
              <w:top w:val="single" w:color="000000" w:sz="12" w:space="0"/>
              <w:left w:val="nil"/>
              <w:bottom w:val="single" w:color="000000" w:sz="4" w:space="0"/>
              <w:right w:val="single" w:color="000000" w:sz="4" w:space="0"/>
            </w:tcBorders>
            <w:noWrap w:val="0"/>
            <w:vAlign w:val="center"/>
          </w:tcPr>
          <w:p w14:paraId="33BEFC68">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序号</w:t>
            </w:r>
          </w:p>
        </w:tc>
        <w:tc>
          <w:tcPr>
            <w:tcW w:w="2045" w:type="dxa"/>
            <w:vMerge w:val="restart"/>
            <w:tcBorders>
              <w:top w:val="single" w:color="000000" w:sz="12" w:space="0"/>
              <w:left w:val="single" w:color="000000" w:sz="4" w:space="0"/>
              <w:bottom w:val="single" w:color="000000" w:sz="4" w:space="0"/>
              <w:right w:val="single" w:color="000000" w:sz="4" w:space="0"/>
            </w:tcBorders>
            <w:noWrap/>
            <w:vAlign w:val="center"/>
          </w:tcPr>
          <w:p w14:paraId="050829A5">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污染物</w:t>
            </w:r>
          </w:p>
        </w:tc>
        <w:tc>
          <w:tcPr>
            <w:tcW w:w="5113" w:type="dxa"/>
            <w:gridSpan w:val="3"/>
            <w:tcBorders>
              <w:top w:val="single" w:color="000000" w:sz="12" w:space="0"/>
              <w:left w:val="single" w:color="000000" w:sz="4" w:space="0"/>
              <w:bottom w:val="single" w:color="000000" w:sz="4" w:space="0"/>
              <w:right w:val="nil"/>
            </w:tcBorders>
            <w:noWrap w:val="0"/>
            <w:vAlign w:val="top"/>
          </w:tcPr>
          <w:p w14:paraId="6444ED1A">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top"/>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年排放量</w:t>
            </w:r>
            <w:r>
              <w:rPr>
                <w:rFonts w:hint="default" w:ascii="Times New Roman" w:hAnsi="Times New Roman" w:eastAsia="宋体" w:cs="Times New Roman"/>
                <w:color w:val="auto"/>
                <w:kern w:val="0"/>
                <w:sz w:val="21"/>
                <w:szCs w:val="21"/>
                <w:highlight w:val="none"/>
                <w:lang w:bidi="ar"/>
              </w:rPr>
              <w:t>(t/a)</w:t>
            </w:r>
          </w:p>
        </w:tc>
      </w:tr>
      <w:tr w14:paraId="6272F531">
        <w:tblPrEx>
          <w:tblCellMar>
            <w:top w:w="0" w:type="dxa"/>
            <w:left w:w="108" w:type="dxa"/>
            <w:bottom w:w="0" w:type="dxa"/>
            <w:right w:w="108" w:type="dxa"/>
          </w:tblCellMar>
        </w:tblPrEx>
        <w:trPr>
          <w:trHeight w:val="270" w:hRule="atLeast"/>
        </w:trPr>
        <w:tc>
          <w:tcPr>
            <w:tcW w:w="2081" w:type="dxa"/>
            <w:vMerge w:val="continue"/>
            <w:tcBorders>
              <w:top w:val="single" w:color="000000" w:sz="4" w:space="0"/>
              <w:left w:val="nil"/>
              <w:bottom w:val="single" w:color="000000" w:sz="4" w:space="0"/>
              <w:right w:val="single" w:color="000000" w:sz="4" w:space="0"/>
            </w:tcBorders>
            <w:noWrap w:val="0"/>
            <w:vAlign w:val="center"/>
          </w:tcPr>
          <w:p w14:paraId="1ACAD56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宋体" w:hAnsi="宋体" w:eastAsia="宋体" w:cs="宋体"/>
                <w:color w:val="auto"/>
                <w:sz w:val="21"/>
                <w:szCs w:val="21"/>
                <w:highlight w:val="none"/>
              </w:rPr>
            </w:pPr>
          </w:p>
        </w:tc>
        <w:tc>
          <w:tcPr>
            <w:tcW w:w="2045" w:type="dxa"/>
            <w:vMerge w:val="continue"/>
            <w:tcBorders>
              <w:top w:val="single" w:color="000000" w:sz="4" w:space="0"/>
              <w:left w:val="single" w:color="000000" w:sz="4" w:space="0"/>
              <w:bottom w:val="single" w:color="000000" w:sz="4" w:space="0"/>
              <w:right w:val="single" w:color="000000" w:sz="4" w:space="0"/>
            </w:tcBorders>
            <w:noWrap/>
            <w:vAlign w:val="center"/>
          </w:tcPr>
          <w:p w14:paraId="3B6DDEF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宋体" w:hAnsi="宋体" w:eastAsia="宋体" w:cs="宋体"/>
                <w:color w:val="auto"/>
                <w:sz w:val="21"/>
                <w:szCs w:val="21"/>
                <w:highlight w:val="none"/>
              </w:rPr>
            </w:pPr>
          </w:p>
        </w:tc>
        <w:tc>
          <w:tcPr>
            <w:tcW w:w="1374" w:type="dxa"/>
            <w:tcBorders>
              <w:top w:val="single" w:color="000000" w:sz="4" w:space="0"/>
              <w:left w:val="single" w:color="000000" w:sz="4" w:space="0"/>
              <w:bottom w:val="single" w:color="000000" w:sz="4" w:space="0"/>
              <w:right w:val="single" w:color="000000" w:sz="4" w:space="0"/>
            </w:tcBorders>
            <w:noWrap w:val="0"/>
            <w:vAlign w:val="top"/>
          </w:tcPr>
          <w:p w14:paraId="767F3A79">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top"/>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有组织</w:t>
            </w:r>
          </w:p>
        </w:tc>
        <w:tc>
          <w:tcPr>
            <w:tcW w:w="1865" w:type="dxa"/>
            <w:tcBorders>
              <w:top w:val="single" w:color="000000" w:sz="4" w:space="0"/>
              <w:left w:val="single" w:color="000000" w:sz="4" w:space="0"/>
              <w:bottom w:val="single" w:color="000000" w:sz="4" w:space="0"/>
              <w:right w:val="single" w:color="000000" w:sz="4" w:space="0"/>
            </w:tcBorders>
            <w:noWrap w:val="0"/>
            <w:vAlign w:val="top"/>
          </w:tcPr>
          <w:p w14:paraId="34686FB5">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top"/>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无组织</w:t>
            </w:r>
          </w:p>
        </w:tc>
        <w:tc>
          <w:tcPr>
            <w:tcW w:w="1874" w:type="dxa"/>
            <w:tcBorders>
              <w:top w:val="single" w:color="000000" w:sz="4" w:space="0"/>
              <w:left w:val="single" w:color="000000" w:sz="4" w:space="0"/>
              <w:bottom w:val="single" w:color="000000" w:sz="4" w:space="0"/>
              <w:right w:val="nil"/>
            </w:tcBorders>
            <w:noWrap w:val="0"/>
            <w:vAlign w:val="top"/>
          </w:tcPr>
          <w:p w14:paraId="4AB8B60C">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top"/>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bidi="ar"/>
              </w:rPr>
              <w:t>合计</w:t>
            </w:r>
          </w:p>
        </w:tc>
      </w:tr>
      <w:tr w14:paraId="2C6A19E4">
        <w:tblPrEx>
          <w:tblCellMar>
            <w:top w:w="0" w:type="dxa"/>
            <w:left w:w="108" w:type="dxa"/>
            <w:bottom w:w="0" w:type="dxa"/>
            <w:right w:w="108" w:type="dxa"/>
          </w:tblCellMar>
        </w:tblPrEx>
        <w:trPr>
          <w:trHeight w:val="270" w:hRule="atLeast"/>
        </w:trPr>
        <w:tc>
          <w:tcPr>
            <w:tcW w:w="2081" w:type="dxa"/>
            <w:tcBorders>
              <w:top w:val="single" w:color="000000" w:sz="4" w:space="0"/>
              <w:left w:val="nil"/>
              <w:bottom w:val="single" w:color="000000" w:sz="12" w:space="0"/>
              <w:right w:val="single" w:color="000000" w:sz="4" w:space="0"/>
            </w:tcBorders>
            <w:noWrap w:val="0"/>
            <w:vAlign w:val="center"/>
          </w:tcPr>
          <w:p w14:paraId="2865EE91">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kern w:val="0"/>
                <w:sz w:val="21"/>
                <w:szCs w:val="21"/>
                <w:highlight w:val="none"/>
                <w:lang w:eastAsia="zh-CN" w:bidi="ar"/>
              </w:rPr>
            </w:pPr>
            <w:r>
              <w:rPr>
                <w:rFonts w:hint="eastAsia" w:cs="Times New Roman"/>
                <w:color w:val="auto"/>
                <w:kern w:val="0"/>
                <w:sz w:val="21"/>
                <w:szCs w:val="21"/>
                <w:highlight w:val="none"/>
                <w:lang w:val="en-US" w:eastAsia="zh-CN" w:bidi="ar"/>
              </w:rPr>
              <w:t>1</w:t>
            </w:r>
          </w:p>
        </w:tc>
        <w:tc>
          <w:tcPr>
            <w:tcW w:w="2045" w:type="dxa"/>
            <w:tcBorders>
              <w:top w:val="single" w:color="000000" w:sz="4" w:space="0"/>
              <w:left w:val="single" w:color="000000" w:sz="4" w:space="0"/>
              <w:bottom w:val="single" w:color="000000" w:sz="12" w:space="0"/>
              <w:right w:val="single" w:color="000000" w:sz="4" w:space="0"/>
            </w:tcBorders>
            <w:noWrap w:val="0"/>
            <w:vAlign w:val="center"/>
          </w:tcPr>
          <w:p w14:paraId="40E196AF">
            <w:pPr>
              <w:keepNext w:val="0"/>
              <w:keepLines w:val="0"/>
              <w:widowControl/>
              <w:suppressLineNumbers w:val="0"/>
              <w:adjustRightInd/>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bidi="ar"/>
              </w:rPr>
            </w:pPr>
            <w:r>
              <w:rPr>
                <w:rFonts w:hint="eastAsia" w:ascii="Times New Roman" w:hAnsi="Times New Roman" w:eastAsia="宋体" w:cs="Times New Roman"/>
                <w:color w:val="auto"/>
                <w:kern w:val="0"/>
                <w:sz w:val="21"/>
                <w:szCs w:val="21"/>
                <w:highlight w:val="none"/>
                <w:lang w:bidi="ar"/>
              </w:rPr>
              <w:t>颗粒物</w:t>
            </w:r>
          </w:p>
        </w:tc>
        <w:tc>
          <w:tcPr>
            <w:tcW w:w="1374" w:type="dxa"/>
            <w:tcBorders>
              <w:top w:val="single" w:color="000000" w:sz="4" w:space="0"/>
              <w:left w:val="single" w:color="000000" w:sz="4" w:space="0"/>
              <w:bottom w:val="single" w:color="000000" w:sz="12" w:space="0"/>
              <w:right w:val="single" w:color="000000" w:sz="4" w:space="0"/>
            </w:tcBorders>
            <w:noWrap w:val="0"/>
            <w:vAlign w:val="center"/>
          </w:tcPr>
          <w:p w14:paraId="7EBDBEDA">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bidi="ar"/>
              </w:rPr>
            </w:pPr>
            <w:r>
              <w:rPr>
                <w:rFonts w:hint="eastAsia" w:ascii="Times New Roman" w:hAnsi="Times New Roman" w:eastAsia="宋体" w:cs="Times New Roman"/>
                <w:color w:val="auto"/>
                <w:kern w:val="0"/>
                <w:sz w:val="21"/>
                <w:szCs w:val="21"/>
                <w:highlight w:val="none"/>
                <w:lang w:bidi="ar"/>
              </w:rPr>
              <w:t>0</w:t>
            </w:r>
          </w:p>
        </w:tc>
        <w:tc>
          <w:tcPr>
            <w:tcW w:w="1865" w:type="dxa"/>
            <w:tcBorders>
              <w:top w:val="single" w:color="000000" w:sz="4" w:space="0"/>
              <w:left w:val="single" w:color="000000" w:sz="4" w:space="0"/>
              <w:bottom w:val="single" w:color="000000" w:sz="12" w:space="0"/>
              <w:right w:val="single" w:color="000000" w:sz="4" w:space="0"/>
            </w:tcBorders>
            <w:noWrap w:val="0"/>
            <w:vAlign w:val="center"/>
          </w:tcPr>
          <w:p w14:paraId="4C489AFF">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eastAsia="zh-CN" w:bidi="ar"/>
              </w:rPr>
              <w:t>1.</w:t>
            </w:r>
            <w:r>
              <w:rPr>
                <w:rFonts w:hint="eastAsia" w:cs="Times New Roman"/>
                <w:color w:val="auto"/>
                <w:kern w:val="0"/>
                <w:sz w:val="21"/>
                <w:szCs w:val="21"/>
                <w:highlight w:val="none"/>
                <w:lang w:val="en-US" w:eastAsia="zh-CN" w:bidi="ar"/>
              </w:rPr>
              <w:t>618</w:t>
            </w:r>
          </w:p>
        </w:tc>
        <w:tc>
          <w:tcPr>
            <w:tcW w:w="1874" w:type="dxa"/>
            <w:tcBorders>
              <w:top w:val="single" w:color="000000" w:sz="4" w:space="0"/>
              <w:left w:val="single" w:color="000000" w:sz="4" w:space="0"/>
              <w:bottom w:val="single" w:color="000000" w:sz="12" w:space="0"/>
              <w:right w:val="nil"/>
            </w:tcBorders>
            <w:noWrap w:val="0"/>
            <w:vAlign w:val="center"/>
          </w:tcPr>
          <w:p w14:paraId="4580B2AC">
            <w:pPr>
              <w:keepNext w:val="0"/>
              <w:keepLines w:val="0"/>
              <w:widowControl/>
              <w:suppressLineNumbers w:val="0"/>
              <w:adjustRightInd w:val="0"/>
              <w:snapToGrid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kern w:val="0"/>
                <w:sz w:val="21"/>
                <w:szCs w:val="21"/>
                <w:highlight w:val="none"/>
                <w:lang w:eastAsia="zh-CN" w:bidi="ar"/>
              </w:rPr>
            </w:pPr>
            <w:r>
              <w:rPr>
                <w:rFonts w:hint="eastAsia" w:cs="Times New Roman"/>
                <w:color w:val="auto"/>
                <w:kern w:val="0"/>
                <w:sz w:val="21"/>
                <w:szCs w:val="21"/>
                <w:highlight w:val="none"/>
                <w:lang w:eastAsia="zh-CN" w:bidi="ar"/>
              </w:rPr>
              <w:t>1.</w:t>
            </w:r>
            <w:r>
              <w:rPr>
                <w:rFonts w:hint="eastAsia" w:cs="Times New Roman"/>
                <w:color w:val="auto"/>
                <w:kern w:val="0"/>
                <w:sz w:val="21"/>
                <w:szCs w:val="21"/>
                <w:highlight w:val="none"/>
                <w:lang w:val="en-US" w:eastAsia="zh-CN" w:bidi="ar"/>
              </w:rPr>
              <w:t>618</w:t>
            </w:r>
          </w:p>
        </w:tc>
      </w:tr>
    </w:tbl>
    <w:p w14:paraId="3BF92CB2">
      <w:pPr>
        <w:adjustRightInd w:val="0"/>
        <w:snapToGrid w:val="0"/>
        <w:spacing w:line="240" w:lineRule="auto"/>
        <w:ind w:left="360" w:firstLine="0" w:firstLineChars="0"/>
        <w:jc w:val="center"/>
        <w:rPr>
          <w:rFonts w:hint="eastAsia" w:ascii="Times New Roman" w:hAnsi="Times New Roman" w:eastAsia="宋体" w:cs="Times New Roman"/>
          <w:b/>
          <w:bCs/>
          <w:color w:val="auto"/>
          <w:kern w:val="0"/>
          <w:sz w:val="21"/>
          <w:szCs w:val="21"/>
          <w:highlight w:val="cyan"/>
          <w:lang w:val="zh-CN"/>
        </w:rPr>
      </w:pPr>
    </w:p>
    <w:p w14:paraId="4B2A7990">
      <w:pPr>
        <w:spacing w:before="170" w:beforeLines="50"/>
        <w:ind w:firstLine="480"/>
        <w:rPr>
          <w:color w:val="auto"/>
          <w:highlight w:val="cyan"/>
        </w:rPr>
        <w:sectPr>
          <w:headerReference r:id="rId18" w:type="default"/>
          <w:footerReference r:id="rId19" w:type="default"/>
          <w:pgSz w:w="11905" w:h="16838"/>
          <w:pgMar w:top="1440" w:right="1440" w:bottom="1440" w:left="1440" w:header="850" w:footer="992" w:gutter="0"/>
          <w:pgBorders>
            <w:top w:val="none" w:sz="0" w:space="0"/>
            <w:left w:val="none" w:sz="0" w:space="0"/>
            <w:bottom w:val="none" w:sz="0" w:space="0"/>
            <w:right w:val="none" w:sz="0" w:space="0"/>
          </w:pgBorders>
          <w:cols w:space="720" w:num="1"/>
          <w:docGrid w:type="lines" w:linePitch="340" w:charSpace="0"/>
        </w:sectPr>
      </w:pPr>
    </w:p>
    <w:p w14:paraId="69BDFF32">
      <w:pPr>
        <w:keepNext w:val="0"/>
        <w:keepLines w:val="0"/>
        <w:pageBreakBefore w:val="0"/>
        <w:widowControl w:val="0"/>
        <w:tabs>
          <w:tab w:val="left" w:pos="1860"/>
        </w:tabs>
        <w:kinsoku/>
        <w:wordWrap/>
        <w:overflowPunct/>
        <w:topLinePunct w:val="0"/>
        <w:autoSpaceDE/>
        <w:autoSpaceDN/>
        <w:bidi w:val="0"/>
        <w:adjustRightInd w:val="0"/>
        <w:snapToGrid w:val="0"/>
        <w:spacing w:line="360" w:lineRule="auto"/>
        <w:ind w:firstLine="0" w:firstLineChars="0"/>
        <w:jc w:val="left"/>
        <w:textAlignment w:val="auto"/>
        <w:outlineLvl w:val="3"/>
        <w:rPr>
          <w:rFonts w:hint="eastAsia" w:ascii="Times New Roman" w:hAnsi="Times New Roman" w:eastAsia="宋体" w:cs="Times New Roman"/>
          <w:color w:val="auto"/>
          <w:sz w:val="24"/>
          <w:szCs w:val="22"/>
        </w:rPr>
      </w:pPr>
      <w:r>
        <w:rPr>
          <w:rFonts w:hint="eastAsia" w:ascii="Times New Roman" w:hAnsi="Times New Roman" w:eastAsia="宋体" w:cs="Times New Roman"/>
          <w:color w:val="auto"/>
          <w:sz w:val="24"/>
          <w:szCs w:val="22"/>
        </w:rPr>
        <w:t>5.2.2.</w:t>
      </w:r>
      <w:r>
        <w:rPr>
          <w:rFonts w:hint="eastAsia" w:cs="Times New Roman"/>
          <w:color w:val="auto"/>
          <w:sz w:val="24"/>
          <w:szCs w:val="22"/>
          <w:lang w:val="en-US" w:eastAsia="zh-CN"/>
        </w:rPr>
        <w:t>5</w:t>
      </w:r>
      <w:r>
        <w:rPr>
          <w:rFonts w:hint="eastAsia" w:ascii="Times New Roman" w:hAnsi="Times New Roman" w:eastAsia="黑体" w:cs="Times New Roman"/>
          <w:bCs/>
          <w:color w:val="auto"/>
          <w:kern w:val="2"/>
          <w:sz w:val="24"/>
          <w:szCs w:val="28"/>
          <w:lang w:val="en-US" w:eastAsia="zh-CN" w:bidi="ar-SA"/>
        </w:rPr>
        <w:t>大气环境影响评价小结</w:t>
      </w:r>
    </w:p>
    <w:p w14:paraId="2584D613">
      <w:pPr>
        <w:adjustRightInd w:val="0"/>
        <w:snapToGrid w:val="0"/>
        <w:spacing w:line="360" w:lineRule="auto"/>
        <w:ind w:firstLine="480" w:firstLineChars="200"/>
        <w:rPr>
          <w:rFonts w:hint="eastAsia" w:cs="Times New Roman"/>
          <w:color w:val="auto"/>
          <w:sz w:val="24"/>
          <w:szCs w:val="24"/>
          <w:highlight w:val="none"/>
          <w:lang w:val="en-US" w:eastAsia="zh-CN"/>
        </w:rPr>
      </w:pPr>
      <w:r>
        <w:rPr>
          <w:rFonts w:ascii="Times New Roman" w:hAnsi="Times New Roman" w:eastAsia="宋体" w:cs="Times New Roman"/>
          <w:color w:val="auto"/>
          <w:sz w:val="24"/>
          <w:szCs w:val="24"/>
          <w:highlight w:val="none"/>
          <w:lang w:val="zh-CN"/>
        </w:rPr>
        <w:t>（1）本项目建成后</w:t>
      </w:r>
      <w:r>
        <w:rPr>
          <w:rFonts w:hint="eastAsia" w:cs="Times New Roman"/>
          <w:color w:val="auto"/>
          <w:sz w:val="24"/>
          <w:szCs w:val="24"/>
          <w:highlight w:val="none"/>
          <w:lang w:val="en-US" w:eastAsia="zh-CN"/>
        </w:rPr>
        <w:t>码头运营期加强运行管理，避免因操作不当等原因造成扬尘；到港船舶使用岸电；加强码头区域绿化，发挥绿色植物吸尘滞尘、净化空气的作用。</w:t>
      </w:r>
    </w:p>
    <w:p w14:paraId="7BA06227">
      <w:pPr>
        <w:adjustRightInd w:val="0"/>
        <w:snapToGrid w:val="0"/>
        <w:spacing w:line="360" w:lineRule="auto"/>
        <w:ind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装卸作业使用的装船机皮带密闭，装船机、泊位处设置喷雾洒水抑尘系统。</w:t>
      </w:r>
    </w:p>
    <w:p w14:paraId="7FEBAF30">
      <w:pPr>
        <w:adjustRightInd w:val="0"/>
        <w:snapToGrid w:val="0"/>
        <w:spacing w:line="360" w:lineRule="auto"/>
        <w:ind w:firstLine="480" w:firstLineChars="200"/>
        <w:rPr>
          <w:rFonts w:hint="eastAsia" w:cs="Times New Roman"/>
          <w:color w:val="auto"/>
          <w:sz w:val="24"/>
          <w:szCs w:val="24"/>
          <w:highlight w:val="none"/>
          <w:lang w:val="en-US" w:eastAsia="zh-CN"/>
        </w:rPr>
      </w:pPr>
      <w:r>
        <w:rPr>
          <w:rFonts w:hint="eastAsia" w:cs="Times New Roman"/>
          <w:color w:val="auto"/>
          <w:sz w:val="24"/>
          <w:szCs w:val="24"/>
          <w:highlight w:val="none"/>
          <w:lang w:val="en-US" w:eastAsia="zh-CN"/>
        </w:rPr>
        <w:t>本项目煤炭、矿建材料运输均采用绿色新能源载重车辆运输，港区采用吸尘式清扫车清理作业平台及道路等区域，能保证废气达标排放。</w:t>
      </w:r>
    </w:p>
    <w:p w14:paraId="27BB7ABD">
      <w:pPr>
        <w:adjustRightInd w:val="0"/>
        <w:snapToGrid w:val="0"/>
        <w:spacing w:line="360" w:lineRule="auto"/>
        <w:ind w:firstLine="480" w:firstLineChars="200"/>
        <w:rPr>
          <w:rFonts w:ascii="Times New Roman" w:hAnsi="Times New Roman" w:eastAsia="宋体" w:cs="Times New Roman"/>
          <w:color w:val="auto"/>
          <w:sz w:val="24"/>
          <w:szCs w:val="22"/>
          <w:highlight w:val="none"/>
        </w:rPr>
      </w:pPr>
      <w:r>
        <w:rPr>
          <w:rFonts w:ascii="Times New Roman" w:hAnsi="Times New Roman" w:eastAsia="宋体" w:cs="Times New Roman"/>
          <w:color w:val="auto"/>
          <w:sz w:val="24"/>
          <w:szCs w:val="22"/>
          <w:highlight w:val="none"/>
        </w:rPr>
        <w:t>（</w:t>
      </w:r>
      <w:r>
        <w:rPr>
          <w:rFonts w:hint="eastAsia" w:cs="Times New Roman"/>
          <w:color w:val="auto"/>
          <w:sz w:val="24"/>
          <w:szCs w:val="22"/>
          <w:highlight w:val="none"/>
          <w:lang w:val="en-US" w:eastAsia="zh-CN"/>
        </w:rPr>
        <w:t>2</w:t>
      </w:r>
      <w:r>
        <w:rPr>
          <w:rFonts w:ascii="Times New Roman" w:hAnsi="Times New Roman" w:eastAsia="宋体" w:cs="Times New Roman"/>
          <w:color w:val="auto"/>
          <w:sz w:val="24"/>
          <w:szCs w:val="22"/>
          <w:highlight w:val="none"/>
        </w:rPr>
        <w:t>）大气环境影响自查表</w:t>
      </w:r>
    </w:p>
    <w:p w14:paraId="10991FDF">
      <w:pPr>
        <w:adjustRightInd w:val="0"/>
        <w:snapToGrid w:val="0"/>
        <w:spacing w:line="360" w:lineRule="auto"/>
        <w:ind w:firstLine="480" w:firstLineChars="200"/>
        <w:rPr>
          <w:rFonts w:ascii="Times New Roman" w:hAnsi="Times New Roman" w:eastAsia="宋体" w:cs="Times New Roman"/>
          <w:color w:val="auto"/>
          <w:sz w:val="24"/>
          <w:szCs w:val="22"/>
          <w:highlight w:val="none"/>
        </w:rPr>
      </w:pPr>
      <w:r>
        <w:rPr>
          <w:rFonts w:ascii="Times New Roman" w:hAnsi="Times New Roman" w:eastAsia="宋体" w:cs="Times New Roman"/>
          <w:color w:val="auto"/>
          <w:sz w:val="24"/>
          <w:szCs w:val="22"/>
          <w:highlight w:val="none"/>
        </w:rPr>
        <w:t>本次大气环境影响评价后，对大气环境影响评价主要内容与结论进行自查，详见表5.2</w:t>
      </w:r>
      <w:r>
        <w:rPr>
          <w:rFonts w:hint="eastAsia" w:ascii="Times New Roman" w:hAnsi="Times New Roman" w:eastAsia="宋体" w:cs="Times New Roman"/>
          <w:color w:val="auto"/>
          <w:sz w:val="24"/>
          <w:szCs w:val="22"/>
          <w:highlight w:val="none"/>
          <w:lang w:val="en-US" w:eastAsia="zh-CN"/>
        </w:rPr>
        <w:t>-1</w:t>
      </w:r>
      <w:r>
        <w:rPr>
          <w:rFonts w:hint="eastAsia" w:cs="Times New Roman"/>
          <w:color w:val="auto"/>
          <w:sz w:val="24"/>
          <w:szCs w:val="22"/>
          <w:highlight w:val="none"/>
          <w:lang w:val="en-US" w:eastAsia="zh-CN"/>
        </w:rPr>
        <w:t>2</w:t>
      </w:r>
      <w:r>
        <w:rPr>
          <w:rFonts w:ascii="Times New Roman" w:hAnsi="Times New Roman" w:eastAsia="宋体" w:cs="Times New Roman"/>
          <w:color w:val="auto"/>
          <w:sz w:val="24"/>
          <w:szCs w:val="22"/>
          <w:highlight w:val="none"/>
        </w:rPr>
        <w:t>。</w:t>
      </w:r>
    </w:p>
    <w:p w14:paraId="5ACBEE64">
      <w:pPr>
        <w:spacing w:line="400" w:lineRule="exact"/>
        <w:jc w:val="center"/>
        <w:rPr>
          <w:rFonts w:hint="eastAsia" w:ascii="Times New Roman" w:hAnsi="Times New Roman" w:eastAsia="黑体" w:cs="Times New Roman"/>
          <w:color w:val="auto"/>
          <w:sz w:val="24"/>
          <w:lang w:val="zh-CN"/>
        </w:rPr>
      </w:pPr>
      <w:r>
        <w:rPr>
          <w:rFonts w:hint="eastAsia" w:ascii="Times New Roman" w:hAnsi="Times New Roman" w:eastAsia="黑体" w:cs="Times New Roman"/>
          <w:color w:val="auto"/>
          <w:sz w:val="24"/>
          <w:lang w:val="zh-CN"/>
        </w:rPr>
        <w:t>表5.2</w:t>
      </w:r>
      <w:r>
        <w:rPr>
          <w:rFonts w:hint="eastAsia" w:ascii="Times New Roman" w:hAnsi="Times New Roman" w:eastAsia="黑体" w:cs="Times New Roman"/>
          <w:color w:val="auto"/>
          <w:sz w:val="24"/>
          <w:lang w:val="en-US" w:eastAsia="zh-CN"/>
        </w:rPr>
        <w:t>-1</w:t>
      </w:r>
      <w:r>
        <w:rPr>
          <w:rFonts w:hint="eastAsia" w:eastAsia="黑体" w:cs="Times New Roman"/>
          <w:color w:val="auto"/>
          <w:sz w:val="24"/>
          <w:lang w:val="en-US" w:eastAsia="zh-CN"/>
        </w:rPr>
        <w:t>2</w:t>
      </w:r>
      <w:r>
        <w:rPr>
          <w:rFonts w:hint="eastAsia" w:ascii="Times New Roman" w:hAnsi="Times New Roman" w:eastAsia="黑体" w:cs="Times New Roman"/>
          <w:color w:val="auto"/>
          <w:sz w:val="24"/>
          <w:lang w:val="zh-CN"/>
        </w:rPr>
        <w:t xml:space="preserve">  大气环境影响评价自查表</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57"/>
        <w:gridCol w:w="1734"/>
        <w:gridCol w:w="1022"/>
        <w:gridCol w:w="116"/>
        <w:gridCol w:w="292"/>
        <w:gridCol w:w="351"/>
        <w:gridCol w:w="118"/>
        <w:gridCol w:w="256"/>
        <w:gridCol w:w="256"/>
        <w:gridCol w:w="356"/>
        <w:gridCol w:w="143"/>
        <w:gridCol w:w="778"/>
        <w:gridCol w:w="450"/>
        <w:gridCol w:w="203"/>
        <w:gridCol w:w="272"/>
        <w:gridCol w:w="103"/>
        <w:gridCol w:w="472"/>
        <w:gridCol w:w="549"/>
        <w:gridCol w:w="644"/>
      </w:tblGrid>
      <w:tr w14:paraId="527AF3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691" w:type="dxa"/>
            <w:gridSpan w:val="2"/>
            <w:noWrap w:val="0"/>
            <w:vAlign w:val="center"/>
          </w:tcPr>
          <w:p w14:paraId="6E50682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工作内容</w:t>
            </w:r>
          </w:p>
        </w:tc>
        <w:tc>
          <w:tcPr>
            <w:tcW w:w="6381" w:type="dxa"/>
            <w:gridSpan w:val="17"/>
            <w:noWrap w:val="0"/>
            <w:vAlign w:val="center"/>
          </w:tcPr>
          <w:p w14:paraId="5D5C4B0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自查项目</w:t>
            </w:r>
          </w:p>
        </w:tc>
      </w:tr>
      <w:tr w14:paraId="72FC0A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restart"/>
            <w:noWrap w:val="0"/>
            <w:vAlign w:val="center"/>
          </w:tcPr>
          <w:p w14:paraId="2A0C3B0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评价等级与范围</w:t>
            </w:r>
          </w:p>
        </w:tc>
        <w:tc>
          <w:tcPr>
            <w:tcW w:w="1734" w:type="dxa"/>
            <w:noWrap w:val="0"/>
            <w:vAlign w:val="center"/>
          </w:tcPr>
          <w:p w14:paraId="5219785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评价等级</w:t>
            </w:r>
          </w:p>
        </w:tc>
        <w:tc>
          <w:tcPr>
            <w:tcW w:w="1899" w:type="dxa"/>
            <w:gridSpan w:val="5"/>
            <w:noWrap w:val="0"/>
            <w:vAlign w:val="center"/>
          </w:tcPr>
          <w:p w14:paraId="164FA1E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一级</w:t>
            </w:r>
            <w:r>
              <w:rPr>
                <w:rFonts w:hint="eastAsia" w:ascii="Times New Roman" w:hAnsi="Times New Roman" w:eastAsia="宋体" w:cs="Times New Roman"/>
                <w:color w:val="auto"/>
                <w:kern w:val="0"/>
                <w:sz w:val="21"/>
                <w:szCs w:val="21"/>
                <w:highlight w:val="none"/>
              </w:rPr>
              <w:t>□</w:t>
            </w:r>
          </w:p>
        </w:tc>
        <w:tc>
          <w:tcPr>
            <w:tcW w:w="2239" w:type="dxa"/>
            <w:gridSpan w:val="6"/>
            <w:noWrap w:val="0"/>
            <w:vAlign w:val="center"/>
          </w:tcPr>
          <w:p w14:paraId="2FD7F41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二级</w:t>
            </w:r>
            <w:r>
              <w:rPr>
                <w:rFonts w:hint="default" w:ascii="Times New Roman" w:hAnsi="Times New Roman" w:eastAsia="宋体" w:cs="Times New Roman"/>
                <w:color w:val="auto"/>
                <w:kern w:val="0"/>
                <w:sz w:val="21"/>
                <w:szCs w:val="21"/>
                <w:highlight w:val="none"/>
              </w:rPr>
              <w:sym w:font="Wingdings 2" w:char="0052"/>
            </w:r>
          </w:p>
        </w:tc>
        <w:tc>
          <w:tcPr>
            <w:tcW w:w="2243" w:type="dxa"/>
            <w:gridSpan w:val="6"/>
            <w:noWrap w:val="0"/>
            <w:vAlign w:val="center"/>
          </w:tcPr>
          <w:p w14:paraId="493D48C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三级□</w:t>
            </w:r>
          </w:p>
        </w:tc>
      </w:tr>
      <w:tr w14:paraId="76E3BB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continue"/>
            <w:noWrap w:val="0"/>
            <w:vAlign w:val="center"/>
          </w:tcPr>
          <w:p w14:paraId="628318D6">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eastAsia="宋体" w:cs="Times New Roman"/>
                <w:color w:val="auto"/>
                <w:kern w:val="0"/>
                <w:sz w:val="21"/>
                <w:szCs w:val="21"/>
                <w:highlight w:val="none"/>
              </w:rPr>
            </w:pPr>
          </w:p>
        </w:tc>
        <w:tc>
          <w:tcPr>
            <w:tcW w:w="1734" w:type="dxa"/>
            <w:noWrap w:val="0"/>
            <w:vAlign w:val="center"/>
          </w:tcPr>
          <w:p w14:paraId="078BA8B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评价范围</w:t>
            </w:r>
          </w:p>
        </w:tc>
        <w:tc>
          <w:tcPr>
            <w:tcW w:w="1899" w:type="dxa"/>
            <w:gridSpan w:val="5"/>
            <w:noWrap w:val="0"/>
            <w:vAlign w:val="center"/>
          </w:tcPr>
          <w:p w14:paraId="0A18A53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边长=50km</w:t>
            </w:r>
            <w:r>
              <w:rPr>
                <w:rFonts w:hint="eastAsia" w:ascii="Times New Roman" w:hAnsi="Times New Roman" w:eastAsia="宋体" w:cs="Times New Roman"/>
                <w:color w:val="auto"/>
                <w:kern w:val="0"/>
                <w:sz w:val="21"/>
                <w:szCs w:val="21"/>
                <w:highlight w:val="none"/>
              </w:rPr>
              <w:t>□</w:t>
            </w:r>
          </w:p>
        </w:tc>
        <w:tc>
          <w:tcPr>
            <w:tcW w:w="2239" w:type="dxa"/>
            <w:gridSpan w:val="6"/>
            <w:noWrap w:val="0"/>
            <w:vAlign w:val="center"/>
          </w:tcPr>
          <w:p w14:paraId="14F17B8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边长=5~50km□</w:t>
            </w:r>
          </w:p>
        </w:tc>
        <w:tc>
          <w:tcPr>
            <w:tcW w:w="2243" w:type="dxa"/>
            <w:gridSpan w:val="6"/>
            <w:noWrap w:val="0"/>
            <w:vAlign w:val="center"/>
          </w:tcPr>
          <w:p w14:paraId="59EC581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边长=5km</w:t>
            </w:r>
            <w:r>
              <w:rPr>
                <w:rFonts w:hint="eastAsia" w:ascii="Times New Roman" w:hAnsi="Times New Roman" w:eastAsia="宋体" w:cs="Times New Roman"/>
                <w:color w:val="auto"/>
                <w:kern w:val="0"/>
                <w:sz w:val="21"/>
                <w:szCs w:val="21"/>
                <w:highlight w:val="none"/>
              </w:rPr>
              <w:t>/</w:t>
            </w:r>
            <w:r>
              <w:rPr>
                <w:rFonts w:hint="default" w:ascii="Times New Roman" w:hAnsi="Times New Roman" w:eastAsia="宋体" w:cs="Times New Roman"/>
                <w:color w:val="auto"/>
                <w:kern w:val="0"/>
                <w:sz w:val="21"/>
                <w:szCs w:val="21"/>
                <w:highlight w:val="none"/>
              </w:rPr>
              <w:sym w:font="Wingdings 2" w:char="0052"/>
            </w:r>
          </w:p>
        </w:tc>
      </w:tr>
      <w:tr w14:paraId="20DF17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restart"/>
            <w:noWrap w:val="0"/>
            <w:vAlign w:val="center"/>
          </w:tcPr>
          <w:p w14:paraId="4D333BC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评价因子</w:t>
            </w:r>
          </w:p>
        </w:tc>
        <w:tc>
          <w:tcPr>
            <w:tcW w:w="1734" w:type="dxa"/>
            <w:noWrap w:val="0"/>
            <w:vAlign w:val="center"/>
          </w:tcPr>
          <w:p w14:paraId="2001A27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SO</w:t>
            </w:r>
            <w:r>
              <w:rPr>
                <w:rFonts w:hint="default" w:ascii="Times New Roman" w:hAnsi="Times New Roman" w:eastAsia="宋体" w:cs="Times New Roman"/>
                <w:color w:val="auto"/>
                <w:kern w:val="0"/>
                <w:sz w:val="21"/>
                <w:szCs w:val="21"/>
                <w:highlight w:val="none"/>
                <w:vertAlign w:val="subscript"/>
              </w:rPr>
              <w:t>2</w:t>
            </w:r>
            <w:r>
              <w:rPr>
                <w:rFonts w:hint="default" w:ascii="Times New Roman" w:hAnsi="Times New Roman" w:eastAsia="宋体" w:cs="Times New Roman"/>
                <w:color w:val="auto"/>
                <w:kern w:val="0"/>
                <w:sz w:val="21"/>
                <w:szCs w:val="21"/>
                <w:highlight w:val="none"/>
              </w:rPr>
              <w:t>+NOx排放量</w:t>
            </w:r>
          </w:p>
        </w:tc>
        <w:tc>
          <w:tcPr>
            <w:tcW w:w="1899" w:type="dxa"/>
            <w:gridSpan w:val="5"/>
            <w:noWrap w:val="0"/>
            <w:vAlign w:val="center"/>
          </w:tcPr>
          <w:p w14:paraId="58971E5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≥2000t/a</w:t>
            </w:r>
            <w:r>
              <w:rPr>
                <w:rFonts w:hint="eastAsia" w:ascii="Times New Roman" w:hAnsi="Times New Roman" w:eastAsia="宋体" w:cs="Times New Roman"/>
                <w:color w:val="auto"/>
                <w:kern w:val="0"/>
                <w:sz w:val="21"/>
                <w:szCs w:val="21"/>
                <w:highlight w:val="none"/>
              </w:rPr>
              <w:t>□</w:t>
            </w:r>
          </w:p>
        </w:tc>
        <w:tc>
          <w:tcPr>
            <w:tcW w:w="2239" w:type="dxa"/>
            <w:gridSpan w:val="6"/>
            <w:noWrap w:val="0"/>
            <w:vAlign w:val="center"/>
          </w:tcPr>
          <w:p w14:paraId="1546A76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500~2000t/a</w:t>
            </w:r>
            <w:r>
              <w:rPr>
                <w:rFonts w:hint="eastAsia" w:ascii="Times New Roman" w:hAnsi="Times New Roman" w:eastAsia="宋体" w:cs="Times New Roman"/>
                <w:color w:val="auto"/>
                <w:kern w:val="0"/>
                <w:sz w:val="21"/>
                <w:szCs w:val="21"/>
                <w:highlight w:val="none"/>
              </w:rPr>
              <w:t>□</w:t>
            </w:r>
          </w:p>
        </w:tc>
        <w:tc>
          <w:tcPr>
            <w:tcW w:w="2243" w:type="dxa"/>
            <w:gridSpan w:val="6"/>
            <w:noWrap w:val="0"/>
            <w:vAlign w:val="center"/>
          </w:tcPr>
          <w:p w14:paraId="6E2FF5A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&lt;500t/a</w:t>
            </w:r>
            <w:r>
              <w:rPr>
                <w:rFonts w:hint="default" w:ascii="Times New Roman" w:hAnsi="Times New Roman" w:eastAsia="MS Mincho" w:cs="Times New Roman"/>
                <w:color w:val="auto"/>
                <w:kern w:val="0"/>
                <w:sz w:val="21"/>
                <w:szCs w:val="21"/>
                <w:highlight w:val="none"/>
              </w:rPr>
              <w:t>☑</w:t>
            </w:r>
          </w:p>
        </w:tc>
      </w:tr>
      <w:tr w14:paraId="6F2EEE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continue"/>
            <w:noWrap w:val="0"/>
            <w:vAlign w:val="center"/>
          </w:tcPr>
          <w:p w14:paraId="09B65D38">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eastAsia="宋体" w:cs="Times New Roman"/>
                <w:color w:val="auto"/>
                <w:kern w:val="0"/>
                <w:sz w:val="21"/>
                <w:szCs w:val="21"/>
                <w:highlight w:val="none"/>
              </w:rPr>
            </w:pPr>
          </w:p>
        </w:tc>
        <w:tc>
          <w:tcPr>
            <w:tcW w:w="1734" w:type="dxa"/>
            <w:noWrap w:val="0"/>
            <w:vAlign w:val="center"/>
          </w:tcPr>
          <w:p w14:paraId="0330EF8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评价因子</w:t>
            </w:r>
          </w:p>
        </w:tc>
        <w:tc>
          <w:tcPr>
            <w:tcW w:w="4138" w:type="dxa"/>
            <w:gridSpan w:val="11"/>
            <w:noWrap w:val="0"/>
            <w:vAlign w:val="center"/>
          </w:tcPr>
          <w:p w14:paraId="1551375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基本污染物（SO</w:t>
            </w:r>
            <w:r>
              <w:rPr>
                <w:rFonts w:hint="default" w:ascii="Times New Roman" w:hAnsi="Times New Roman" w:eastAsia="宋体" w:cs="Times New Roman"/>
                <w:color w:val="auto"/>
                <w:kern w:val="0"/>
                <w:sz w:val="21"/>
                <w:szCs w:val="21"/>
                <w:highlight w:val="none"/>
                <w:vertAlign w:val="subscript"/>
              </w:rPr>
              <w:t>2</w:t>
            </w:r>
            <w:r>
              <w:rPr>
                <w:rFonts w:hint="default" w:ascii="Times New Roman" w:hAnsi="Times New Roman" w:eastAsia="宋体" w:cs="Times New Roman"/>
                <w:color w:val="auto"/>
                <w:kern w:val="0"/>
                <w:sz w:val="21"/>
                <w:szCs w:val="21"/>
                <w:highlight w:val="none"/>
              </w:rPr>
              <w:t>、NO</w:t>
            </w:r>
            <w:r>
              <w:rPr>
                <w:rFonts w:hint="eastAsia" w:ascii="Times New Roman" w:hAnsi="Times New Roman" w:eastAsia="宋体" w:cs="Times New Roman"/>
                <w:color w:val="auto"/>
                <w:kern w:val="0"/>
                <w:sz w:val="21"/>
                <w:szCs w:val="21"/>
                <w:highlight w:val="none"/>
                <w:vertAlign w:val="subscript"/>
              </w:rPr>
              <w:t>2</w:t>
            </w:r>
            <w:r>
              <w:rPr>
                <w:rFonts w:hint="default" w:ascii="Times New Roman" w:hAnsi="Times New Roman" w:eastAsia="宋体" w:cs="Times New Roman"/>
                <w:color w:val="auto"/>
                <w:kern w:val="0"/>
                <w:sz w:val="21"/>
                <w:szCs w:val="21"/>
                <w:highlight w:val="none"/>
              </w:rPr>
              <w:t>、PM</w:t>
            </w:r>
            <w:r>
              <w:rPr>
                <w:rFonts w:hint="default" w:ascii="Times New Roman" w:hAnsi="Times New Roman" w:eastAsia="宋体" w:cs="Times New Roman"/>
                <w:color w:val="auto"/>
                <w:kern w:val="0"/>
                <w:sz w:val="21"/>
                <w:szCs w:val="21"/>
                <w:highlight w:val="none"/>
                <w:vertAlign w:val="subscript"/>
              </w:rPr>
              <w:t>10</w:t>
            </w:r>
            <w:r>
              <w:rPr>
                <w:rFonts w:hint="eastAsia" w:ascii="Times New Roman" w:hAnsi="Times New Roman" w:eastAsia="宋体" w:cs="Times New Roman"/>
                <w:color w:val="auto"/>
                <w:sz w:val="21"/>
                <w:szCs w:val="21"/>
                <w:highlight w:val="none"/>
              </w:rPr>
              <w:t>、CO、</w:t>
            </w:r>
            <w:r>
              <w:rPr>
                <w:rFonts w:hint="default" w:ascii="Times New Roman" w:hAnsi="Times New Roman" w:eastAsia="宋体" w:cs="Times New Roman"/>
                <w:color w:val="auto"/>
                <w:kern w:val="0"/>
                <w:sz w:val="21"/>
                <w:szCs w:val="21"/>
                <w:highlight w:val="none"/>
              </w:rPr>
              <w:t>PM</w:t>
            </w:r>
            <w:r>
              <w:rPr>
                <w:rFonts w:hint="eastAsia" w:ascii="Times New Roman" w:hAnsi="Times New Roman" w:eastAsia="宋体" w:cs="Times New Roman"/>
                <w:color w:val="auto"/>
                <w:kern w:val="0"/>
                <w:sz w:val="21"/>
                <w:szCs w:val="21"/>
                <w:highlight w:val="none"/>
                <w:vertAlign w:val="subscript"/>
              </w:rPr>
              <w:t>2.5</w:t>
            </w:r>
            <w:r>
              <w:rPr>
                <w:rFonts w:hint="eastAsia" w:ascii="Times New Roman" w:hAnsi="Times New Roman" w:eastAsia="宋体" w:cs="Times New Roman"/>
                <w:color w:val="auto"/>
                <w:sz w:val="21"/>
                <w:szCs w:val="21"/>
                <w:highlight w:val="none"/>
              </w:rPr>
              <w:t>、</w:t>
            </w:r>
            <w:r>
              <w:rPr>
                <w:rFonts w:hint="eastAsia" w:ascii="Times New Roman" w:hAnsi="Times New Roman" w:eastAsia="宋体" w:cs="Times New Roman"/>
                <w:color w:val="auto"/>
                <w:kern w:val="0"/>
                <w:sz w:val="21"/>
                <w:szCs w:val="21"/>
                <w:highlight w:val="none"/>
              </w:rPr>
              <w:t>O</w:t>
            </w:r>
            <w:r>
              <w:rPr>
                <w:rFonts w:hint="eastAsia" w:ascii="Times New Roman" w:hAnsi="Times New Roman" w:eastAsia="宋体" w:cs="Times New Roman"/>
                <w:color w:val="auto"/>
                <w:kern w:val="0"/>
                <w:sz w:val="21"/>
                <w:szCs w:val="21"/>
                <w:highlight w:val="none"/>
                <w:vertAlign w:val="subscript"/>
              </w:rPr>
              <w:t>3</w:t>
            </w:r>
            <w:r>
              <w:rPr>
                <w:rFonts w:hint="default" w:ascii="Times New Roman" w:hAnsi="Times New Roman" w:eastAsia="宋体" w:cs="Times New Roman"/>
                <w:color w:val="auto"/>
                <w:kern w:val="0"/>
                <w:sz w:val="21"/>
                <w:szCs w:val="21"/>
                <w:highlight w:val="none"/>
              </w:rPr>
              <w:t>）</w:t>
            </w:r>
          </w:p>
          <w:p w14:paraId="1264B28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其他污染物（</w:t>
            </w:r>
            <w:r>
              <w:rPr>
                <w:rFonts w:hint="eastAsia" w:ascii="Times New Roman" w:hAnsi="Times New Roman" w:eastAsia="宋体" w:cs="Times New Roman"/>
                <w:color w:val="auto"/>
                <w:sz w:val="21"/>
                <w:szCs w:val="21"/>
                <w:highlight w:val="none"/>
              </w:rPr>
              <w:t>苯乙烯、二甲苯、NMHC</w:t>
            </w:r>
            <w:r>
              <w:rPr>
                <w:rFonts w:hint="default" w:ascii="Times New Roman" w:hAnsi="Times New Roman" w:eastAsia="宋体" w:cs="Times New Roman"/>
                <w:color w:val="auto"/>
                <w:kern w:val="0"/>
                <w:sz w:val="21"/>
                <w:szCs w:val="21"/>
                <w:highlight w:val="none"/>
              </w:rPr>
              <w:t>）</w:t>
            </w:r>
          </w:p>
        </w:tc>
        <w:tc>
          <w:tcPr>
            <w:tcW w:w="2243" w:type="dxa"/>
            <w:gridSpan w:val="6"/>
            <w:noWrap w:val="0"/>
            <w:vAlign w:val="center"/>
          </w:tcPr>
          <w:p w14:paraId="6A2C4DD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包括PM</w:t>
            </w:r>
            <w:r>
              <w:rPr>
                <w:rFonts w:hint="default" w:ascii="Times New Roman" w:hAnsi="Times New Roman" w:eastAsia="宋体" w:cs="Times New Roman"/>
                <w:color w:val="auto"/>
                <w:kern w:val="0"/>
                <w:sz w:val="21"/>
                <w:szCs w:val="21"/>
                <w:highlight w:val="none"/>
                <w:vertAlign w:val="subscript"/>
              </w:rPr>
              <w:t>2.5</w:t>
            </w:r>
            <w:r>
              <w:rPr>
                <w:rFonts w:hint="default" w:ascii="Times New Roman" w:hAnsi="Times New Roman" w:eastAsia="宋体" w:cs="Times New Roman"/>
                <w:color w:val="auto"/>
                <w:kern w:val="0"/>
                <w:sz w:val="21"/>
                <w:szCs w:val="21"/>
                <w:highlight w:val="none"/>
              </w:rPr>
              <w:t>□</w:t>
            </w:r>
          </w:p>
          <w:p w14:paraId="29F4D25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不包括二次PM</w:t>
            </w:r>
            <w:r>
              <w:rPr>
                <w:rFonts w:hint="default" w:ascii="Times New Roman" w:hAnsi="Times New Roman" w:eastAsia="宋体" w:cs="Times New Roman"/>
                <w:color w:val="auto"/>
                <w:kern w:val="0"/>
                <w:sz w:val="21"/>
                <w:szCs w:val="21"/>
                <w:highlight w:val="none"/>
                <w:vertAlign w:val="subscript"/>
              </w:rPr>
              <w:t>2.5</w:t>
            </w:r>
            <w:r>
              <w:rPr>
                <w:rFonts w:hint="default" w:ascii="Times New Roman" w:hAnsi="Times New Roman" w:eastAsia="MS Mincho" w:cs="Times New Roman"/>
                <w:color w:val="auto"/>
                <w:kern w:val="0"/>
                <w:sz w:val="21"/>
                <w:szCs w:val="21"/>
                <w:highlight w:val="none"/>
              </w:rPr>
              <w:t>☑</w:t>
            </w:r>
          </w:p>
        </w:tc>
      </w:tr>
      <w:tr w14:paraId="4DB063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noWrap w:val="0"/>
            <w:vAlign w:val="center"/>
          </w:tcPr>
          <w:p w14:paraId="72320DD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评价标准</w:t>
            </w:r>
          </w:p>
        </w:tc>
        <w:tc>
          <w:tcPr>
            <w:tcW w:w="1734" w:type="dxa"/>
            <w:noWrap w:val="0"/>
            <w:vAlign w:val="center"/>
          </w:tcPr>
          <w:p w14:paraId="731C085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评价标准</w:t>
            </w:r>
          </w:p>
        </w:tc>
        <w:tc>
          <w:tcPr>
            <w:tcW w:w="1899" w:type="dxa"/>
            <w:gridSpan w:val="5"/>
            <w:noWrap w:val="0"/>
            <w:vAlign w:val="center"/>
          </w:tcPr>
          <w:p w14:paraId="1D038F8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国家标准</w:t>
            </w:r>
            <w:r>
              <w:rPr>
                <w:rFonts w:hint="default" w:ascii="Times New Roman" w:hAnsi="Times New Roman" w:eastAsia="MS Mincho" w:cs="Times New Roman"/>
                <w:color w:val="auto"/>
                <w:kern w:val="0"/>
                <w:sz w:val="21"/>
                <w:szCs w:val="21"/>
                <w:highlight w:val="none"/>
              </w:rPr>
              <w:t>☑</w:t>
            </w:r>
          </w:p>
        </w:tc>
        <w:tc>
          <w:tcPr>
            <w:tcW w:w="2239" w:type="dxa"/>
            <w:gridSpan w:val="6"/>
            <w:noWrap w:val="0"/>
            <w:vAlign w:val="center"/>
          </w:tcPr>
          <w:p w14:paraId="4A09F7A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地方标准</w:t>
            </w:r>
            <w:r>
              <w:rPr>
                <w:rFonts w:hint="eastAsia" w:ascii="Times New Roman" w:hAnsi="Times New Roman" w:eastAsia="宋体" w:cs="Times New Roman"/>
                <w:color w:val="auto"/>
                <w:kern w:val="0"/>
                <w:sz w:val="21"/>
                <w:szCs w:val="21"/>
                <w:highlight w:val="none"/>
              </w:rPr>
              <w:t>□</w:t>
            </w:r>
          </w:p>
        </w:tc>
        <w:tc>
          <w:tcPr>
            <w:tcW w:w="1050" w:type="dxa"/>
            <w:gridSpan w:val="4"/>
            <w:noWrap w:val="0"/>
            <w:vAlign w:val="center"/>
          </w:tcPr>
          <w:p w14:paraId="6E3D412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附录D</w:t>
            </w:r>
            <w:r>
              <w:rPr>
                <w:rFonts w:hint="default" w:ascii="Times New Roman" w:hAnsi="Times New Roman" w:eastAsia="MS Mincho" w:cs="Times New Roman"/>
                <w:color w:val="auto"/>
                <w:kern w:val="0"/>
                <w:sz w:val="21"/>
                <w:szCs w:val="21"/>
                <w:highlight w:val="none"/>
              </w:rPr>
              <w:t>☑</w:t>
            </w:r>
          </w:p>
        </w:tc>
        <w:tc>
          <w:tcPr>
            <w:tcW w:w="1193" w:type="dxa"/>
            <w:gridSpan w:val="2"/>
            <w:noWrap w:val="0"/>
            <w:vAlign w:val="center"/>
          </w:tcPr>
          <w:p w14:paraId="33034E5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其他标准☑</w:t>
            </w:r>
          </w:p>
        </w:tc>
      </w:tr>
      <w:tr w14:paraId="459950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restart"/>
            <w:noWrap w:val="0"/>
            <w:vAlign w:val="center"/>
          </w:tcPr>
          <w:p w14:paraId="54AB597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现状评价</w:t>
            </w:r>
          </w:p>
        </w:tc>
        <w:tc>
          <w:tcPr>
            <w:tcW w:w="1734" w:type="dxa"/>
            <w:noWrap w:val="0"/>
            <w:vAlign w:val="center"/>
          </w:tcPr>
          <w:p w14:paraId="7197277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评价功能区</w:t>
            </w:r>
          </w:p>
        </w:tc>
        <w:tc>
          <w:tcPr>
            <w:tcW w:w="1899" w:type="dxa"/>
            <w:gridSpan w:val="5"/>
            <w:noWrap w:val="0"/>
            <w:vAlign w:val="center"/>
          </w:tcPr>
          <w:p w14:paraId="210F764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一类区□</w:t>
            </w:r>
          </w:p>
        </w:tc>
        <w:tc>
          <w:tcPr>
            <w:tcW w:w="2239" w:type="dxa"/>
            <w:gridSpan w:val="6"/>
            <w:noWrap w:val="0"/>
            <w:vAlign w:val="center"/>
          </w:tcPr>
          <w:p w14:paraId="42F6DA3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二类区</w:t>
            </w:r>
            <w:r>
              <w:rPr>
                <w:rFonts w:hint="default" w:ascii="Times New Roman" w:hAnsi="Times New Roman" w:eastAsia="MS Mincho" w:cs="Times New Roman"/>
                <w:color w:val="auto"/>
                <w:kern w:val="0"/>
                <w:sz w:val="21"/>
                <w:szCs w:val="21"/>
                <w:highlight w:val="none"/>
              </w:rPr>
              <w:t>☑</w:t>
            </w:r>
          </w:p>
        </w:tc>
        <w:tc>
          <w:tcPr>
            <w:tcW w:w="2243" w:type="dxa"/>
            <w:gridSpan w:val="6"/>
            <w:noWrap w:val="0"/>
            <w:vAlign w:val="center"/>
          </w:tcPr>
          <w:p w14:paraId="615A74B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一类区和二类区□</w:t>
            </w:r>
          </w:p>
        </w:tc>
      </w:tr>
      <w:tr w14:paraId="4F6E73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continue"/>
            <w:noWrap w:val="0"/>
            <w:vAlign w:val="center"/>
          </w:tcPr>
          <w:p w14:paraId="0B93C11F">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eastAsia="宋体" w:cs="Times New Roman"/>
                <w:color w:val="auto"/>
                <w:kern w:val="0"/>
                <w:sz w:val="21"/>
                <w:szCs w:val="21"/>
                <w:highlight w:val="none"/>
              </w:rPr>
            </w:pPr>
          </w:p>
        </w:tc>
        <w:tc>
          <w:tcPr>
            <w:tcW w:w="1734" w:type="dxa"/>
            <w:noWrap w:val="0"/>
            <w:vAlign w:val="center"/>
          </w:tcPr>
          <w:p w14:paraId="6F3915A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评价基准年</w:t>
            </w:r>
          </w:p>
        </w:tc>
        <w:tc>
          <w:tcPr>
            <w:tcW w:w="6381" w:type="dxa"/>
            <w:gridSpan w:val="17"/>
            <w:noWrap w:val="0"/>
            <w:vAlign w:val="center"/>
          </w:tcPr>
          <w:p w14:paraId="00E1576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（20</w:t>
            </w:r>
            <w:r>
              <w:rPr>
                <w:rFonts w:hint="eastAsia" w:ascii="Times New Roman" w:hAnsi="Times New Roman" w:eastAsia="宋体" w:cs="Times New Roman"/>
                <w:color w:val="auto"/>
                <w:kern w:val="0"/>
                <w:sz w:val="21"/>
                <w:szCs w:val="21"/>
                <w:highlight w:val="none"/>
              </w:rPr>
              <w:t>2</w:t>
            </w:r>
            <w:r>
              <w:rPr>
                <w:rFonts w:hint="eastAsia" w:ascii="Times New Roman" w:hAnsi="Times New Roman" w:eastAsia="宋体" w:cs="Times New Roman"/>
                <w:color w:val="auto"/>
                <w:kern w:val="0"/>
                <w:sz w:val="21"/>
                <w:szCs w:val="21"/>
                <w:highlight w:val="none"/>
                <w:lang w:val="en-US" w:eastAsia="zh-CN"/>
              </w:rPr>
              <w:t>2</w:t>
            </w:r>
            <w:r>
              <w:rPr>
                <w:rFonts w:hint="default" w:ascii="Times New Roman" w:hAnsi="Times New Roman" w:eastAsia="宋体" w:cs="Times New Roman"/>
                <w:color w:val="auto"/>
                <w:kern w:val="0"/>
                <w:sz w:val="21"/>
                <w:szCs w:val="21"/>
                <w:highlight w:val="none"/>
              </w:rPr>
              <w:t>）年</w:t>
            </w:r>
          </w:p>
        </w:tc>
      </w:tr>
      <w:tr w14:paraId="61B142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continue"/>
            <w:noWrap w:val="0"/>
            <w:vAlign w:val="center"/>
          </w:tcPr>
          <w:p w14:paraId="68399722">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eastAsia="宋体" w:cs="Times New Roman"/>
                <w:color w:val="auto"/>
                <w:kern w:val="0"/>
                <w:sz w:val="21"/>
                <w:szCs w:val="21"/>
                <w:highlight w:val="none"/>
              </w:rPr>
            </w:pPr>
          </w:p>
        </w:tc>
        <w:tc>
          <w:tcPr>
            <w:tcW w:w="1734" w:type="dxa"/>
            <w:noWrap w:val="0"/>
            <w:vAlign w:val="center"/>
          </w:tcPr>
          <w:p w14:paraId="0C99065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环境空气质量现状调查数据来源</w:t>
            </w:r>
          </w:p>
        </w:tc>
        <w:tc>
          <w:tcPr>
            <w:tcW w:w="1899" w:type="dxa"/>
            <w:gridSpan w:val="5"/>
            <w:noWrap w:val="0"/>
            <w:vAlign w:val="center"/>
          </w:tcPr>
          <w:p w14:paraId="4C71BB8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长期例行监测标准</w:t>
            </w:r>
            <w:r>
              <w:rPr>
                <w:rFonts w:hint="eastAsia" w:ascii="Times New Roman" w:hAnsi="Times New Roman" w:eastAsia="宋体" w:cs="Times New Roman"/>
                <w:color w:val="auto"/>
                <w:kern w:val="0"/>
                <w:sz w:val="21"/>
                <w:szCs w:val="21"/>
                <w:highlight w:val="none"/>
              </w:rPr>
              <w:t>□</w:t>
            </w:r>
          </w:p>
        </w:tc>
        <w:tc>
          <w:tcPr>
            <w:tcW w:w="2442" w:type="dxa"/>
            <w:gridSpan w:val="7"/>
            <w:noWrap w:val="0"/>
            <w:vAlign w:val="center"/>
          </w:tcPr>
          <w:p w14:paraId="09C8194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主管部门发布的数据标准</w:t>
            </w:r>
            <w:r>
              <w:rPr>
                <w:rFonts w:hint="default" w:ascii="Times New Roman" w:hAnsi="Times New Roman" w:eastAsia="MS Mincho" w:cs="Times New Roman"/>
                <w:color w:val="auto"/>
                <w:kern w:val="0"/>
                <w:sz w:val="21"/>
                <w:szCs w:val="21"/>
                <w:highlight w:val="none"/>
              </w:rPr>
              <w:t>☑</w:t>
            </w:r>
          </w:p>
        </w:tc>
        <w:tc>
          <w:tcPr>
            <w:tcW w:w="2040" w:type="dxa"/>
            <w:gridSpan w:val="5"/>
            <w:noWrap w:val="0"/>
            <w:vAlign w:val="center"/>
          </w:tcPr>
          <w:p w14:paraId="58EA455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现状补充标准</w:t>
            </w:r>
            <w:r>
              <w:rPr>
                <w:rFonts w:hint="default" w:ascii="Times New Roman" w:hAnsi="Times New Roman" w:eastAsia="MS Mincho" w:cs="Times New Roman"/>
                <w:color w:val="auto"/>
                <w:kern w:val="0"/>
                <w:sz w:val="21"/>
                <w:szCs w:val="21"/>
                <w:highlight w:val="none"/>
              </w:rPr>
              <w:t>☑</w:t>
            </w:r>
          </w:p>
        </w:tc>
      </w:tr>
      <w:tr w14:paraId="357ADA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continue"/>
            <w:noWrap w:val="0"/>
            <w:vAlign w:val="center"/>
          </w:tcPr>
          <w:p w14:paraId="282B7DD4">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eastAsia="宋体" w:cs="Times New Roman"/>
                <w:color w:val="auto"/>
                <w:kern w:val="0"/>
                <w:sz w:val="21"/>
                <w:szCs w:val="21"/>
                <w:highlight w:val="none"/>
              </w:rPr>
            </w:pPr>
          </w:p>
        </w:tc>
        <w:tc>
          <w:tcPr>
            <w:tcW w:w="1734" w:type="dxa"/>
            <w:noWrap w:val="0"/>
            <w:vAlign w:val="center"/>
          </w:tcPr>
          <w:p w14:paraId="045CCB6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现状评价</w:t>
            </w:r>
          </w:p>
        </w:tc>
        <w:tc>
          <w:tcPr>
            <w:tcW w:w="4341" w:type="dxa"/>
            <w:gridSpan w:val="12"/>
            <w:noWrap w:val="0"/>
            <w:vAlign w:val="center"/>
          </w:tcPr>
          <w:p w14:paraId="321BD51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达标区</w:t>
            </w:r>
            <w:r>
              <w:rPr>
                <w:rFonts w:hint="eastAsia" w:ascii="Times New Roman" w:hAnsi="Times New Roman" w:eastAsia="宋体" w:cs="Times New Roman"/>
                <w:color w:val="auto"/>
                <w:kern w:val="0"/>
                <w:sz w:val="21"/>
                <w:szCs w:val="21"/>
                <w:highlight w:val="none"/>
              </w:rPr>
              <w:t>□</w:t>
            </w:r>
          </w:p>
        </w:tc>
        <w:tc>
          <w:tcPr>
            <w:tcW w:w="2040" w:type="dxa"/>
            <w:gridSpan w:val="5"/>
            <w:noWrap w:val="0"/>
            <w:vAlign w:val="center"/>
          </w:tcPr>
          <w:p w14:paraId="49E95B9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不达标区</w:t>
            </w:r>
            <w:r>
              <w:rPr>
                <w:rFonts w:hint="eastAsia" w:ascii="Times New Roman" w:hAnsi="Times New Roman" w:eastAsia="宋体" w:cs="Times New Roman"/>
                <w:color w:val="auto"/>
                <w:kern w:val="0"/>
                <w:sz w:val="21"/>
                <w:szCs w:val="21"/>
                <w:highlight w:val="none"/>
              </w:rPr>
              <w:t>□</w:t>
            </w:r>
          </w:p>
        </w:tc>
      </w:tr>
      <w:tr w14:paraId="0A7D4A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noWrap w:val="0"/>
            <w:vAlign w:val="center"/>
          </w:tcPr>
          <w:p w14:paraId="007CDC7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污染源调查</w:t>
            </w:r>
          </w:p>
        </w:tc>
        <w:tc>
          <w:tcPr>
            <w:tcW w:w="1734" w:type="dxa"/>
            <w:noWrap w:val="0"/>
            <w:vAlign w:val="center"/>
          </w:tcPr>
          <w:p w14:paraId="430A993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调查内容</w:t>
            </w:r>
          </w:p>
        </w:tc>
        <w:tc>
          <w:tcPr>
            <w:tcW w:w="2155" w:type="dxa"/>
            <w:gridSpan w:val="6"/>
            <w:noWrap w:val="0"/>
            <w:vAlign w:val="center"/>
          </w:tcPr>
          <w:p w14:paraId="78C062A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本项目正常排放源</w:t>
            </w:r>
            <w:r>
              <w:rPr>
                <w:rFonts w:hint="default" w:ascii="Times New Roman" w:hAnsi="Times New Roman" w:eastAsia="MS Mincho" w:cs="Times New Roman"/>
                <w:color w:val="auto"/>
                <w:kern w:val="0"/>
                <w:sz w:val="21"/>
                <w:szCs w:val="21"/>
                <w:highlight w:val="none"/>
              </w:rPr>
              <w:t>☑</w:t>
            </w:r>
          </w:p>
          <w:p w14:paraId="1B9222F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本项目非正常排放源</w:t>
            </w:r>
            <w:r>
              <w:rPr>
                <w:rFonts w:hint="default" w:ascii="Times New Roman" w:hAnsi="Times New Roman" w:eastAsia="MS Mincho" w:cs="Times New Roman"/>
                <w:color w:val="auto"/>
                <w:kern w:val="0"/>
                <w:sz w:val="21"/>
                <w:szCs w:val="21"/>
                <w:highlight w:val="none"/>
              </w:rPr>
              <w:t>☑</w:t>
            </w:r>
          </w:p>
          <w:p w14:paraId="28E056D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现有污染源□</w:t>
            </w:r>
          </w:p>
        </w:tc>
        <w:tc>
          <w:tcPr>
            <w:tcW w:w="1533" w:type="dxa"/>
            <w:gridSpan w:val="4"/>
            <w:noWrap w:val="0"/>
            <w:vAlign w:val="center"/>
          </w:tcPr>
          <w:p w14:paraId="168F266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拟替代的污染源□</w:t>
            </w:r>
          </w:p>
        </w:tc>
        <w:tc>
          <w:tcPr>
            <w:tcW w:w="1500" w:type="dxa"/>
            <w:gridSpan w:val="5"/>
            <w:noWrap w:val="0"/>
            <w:vAlign w:val="center"/>
          </w:tcPr>
          <w:p w14:paraId="0FD6ACF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其他在建、拟建项目污染源</w:t>
            </w:r>
            <w:r>
              <w:rPr>
                <w:rFonts w:hint="eastAsia" w:ascii="Times New Roman" w:hAnsi="Times New Roman" w:eastAsia="宋体" w:cs="Times New Roman"/>
                <w:color w:val="auto"/>
                <w:kern w:val="0"/>
                <w:sz w:val="21"/>
                <w:szCs w:val="21"/>
                <w:highlight w:val="none"/>
              </w:rPr>
              <w:t>□</w:t>
            </w:r>
          </w:p>
        </w:tc>
        <w:tc>
          <w:tcPr>
            <w:tcW w:w="1193" w:type="dxa"/>
            <w:gridSpan w:val="2"/>
            <w:noWrap w:val="0"/>
            <w:vAlign w:val="center"/>
          </w:tcPr>
          <w:p w14:paraId="7BA4DDA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区域污染源</w:t>
            </w:r>
            <w:r>
              <w:rPr>
                <w:rFonts w:hint="eastAsia" w:ascii="Times New Roman" w:hAnsi="Times New Roman" w:eastAsia="宋体" w:cs="Times New Roman"/>
                <w:color w:val="auto"/>
                <w:kern w:val="0"/>
                <w:sz w:val="21"/>
                <w:szCs w:val="21"/>
                <w:highlight w:val="none"/>
              </w:rPr>
              <w:t>□</w:t>
            </w:r>
          </w:p>
        </w:tc>
      </w:tr>
      <w:tr w14:paraId="142724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restart"/>
            <w:noWrap w:val="0"/>
            <w:vAlign w:val="center"/>
          </w:tcPr>
          <w:p w14:paraId="2608F19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大气环境影响预测与评价</w:t>
            </w:r>
          </w:p>
        </w:tc>
        <w:tc>
          <w:tcPr>
            <w:tcW w:w="1734" w:type="dxa"/>
            <w:noWrap w:val="0"/>
            <w:vAlign w:val="center"/>
          </w:tcPr>
          <w:p w14:paraId="1ADAA3F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预测模型</w:t>
            </w:r>
          </w:p>
        </w:tc>
        <w:tc>
          <w:tcPr>
            <w:tcW w:w="1022" w:type="dxa"/>
            <w:noWrap w:val="0"/>
            <w:vAlign w:val="center"/>
          </w:tcPr>
          <w:p w14:paraId="4939B2DD">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AERMOD</w:t>
            </w:r>
          </w:p>
          <w:p w14:paraId="750DA75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0"/>
                <w:sz w:val="21"/>
                <w:szCs w:val="21"/>
                <w:highlight w:val="none"/>
              </w:rPr>
            </w:pPr>
            <w:r>
              <w:rPr>
                <w:rFonts w:hint="eastAsia" w:ascii="Times New Roman" w:hAnsi="Times New Roman" w:eastAsia="宋体" w:cs="Times New Roman"/>
                <w:color w:val="auto"/>
                <w:kern w:val="0"/>
                <w:sz w:val="21"/>
                <w:szCs w:val="21"/>
                <w:highlight w:val="none"/>
              </w:rPr>
              <w:t>□</w:t>
            </w:r>
          </w:p>
        </w:tc>
        <w:tc>
          <w:tcPr>
            <w:tcW w:w="759" w:type="dxa"/>
            <w:gridSpan w:val="3"/>
            <w:noWrap w:val="0"/>
            <w:vAlign w:val="center"/>
          </w:tcPr>
          <w:p w14:paraId="43EB1C3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ADMS</w:t>
            </w:r>
          </w:p>
          <w:p w14:paraId="7210EB5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w:t>
            </w:r>
          </w:p>
        </w:tc>
        <w:tc>
          <w:tcPr>
            <w:tcW w:w="986" w:type="dxa"/>
            <w:gridSpan w:val="4"/>
            <w:noWrap w:val="0"/>
            <w:vAlign w:val="center"/>
          </w:tcPr>
          <w:p w14:paraId="4882DA2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AUSTAL</w:t>
            </w:r>
          </w:p>
          <w:p w14:paraId="5E9A540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2000□</w:t>
            </w:r>
          </w:p>
        </w:tc>
        <w:tc>
          <w:tcPr>
            <w:tcW w:w="921" w:type="dxa"/>
            <w:gridSpan w:val="2"/>
            <w:noWrap w:val="0"/>
            <w:vAlign w:val="center"/>
          </w:tcPr>
          <w:p w14:paraId="3FA3647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EDMS/</w:t>
            </w:r>
          </w:p>
          <w:p w14:paraId="5592BE8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AEDT□</w:t>
            </w:r>
          </w:p>
        </w:tc>
        <w:tc>
          <w:tcPr>
            <w:tcW w:w="1028" w:type="dxa"/>
            <w:gridSpan w:val="4"/>
            <w:noWrap w:val="0"/>
            <w:vAlign w:val="center"/>
          </w:tcPr>
          <w:p w14:paraId="69EAF5F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CALPUFF□</w:t>
            </w:r>
          </w:p>
        </w:tc>
        <w:tc>
          <w:tcPr>
            <w:tcW w:w="1021" w:type="dxa"/>
            <w:gridSpan w:val="2"/>
            <w:noWrap w:val="0"/>
            <w:vAlign w:val="center"/>
          </w:tcPr>
          <w:p w14:paraId="508DA66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网格模型□</w:t>
            </w:r>
          </w:p>
        </w:tc>
        <w:tc>
          <w:tcPr>
            <w:tcW w:w="644" w:type="dxa"/>
            <w:noWrap w:val="0"/>
            <w:vAlign w:val="center"/>
          </w:tcPr>
          <w:p w14:paraId="2F7A0BD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其他□</w:t>
            </w:r>
          </w:p>
        </w:tc>
      </w:tr>
      <w:tr w14:paraId="4AE17F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continue"/>
            <w:noWrap w:val="0"/>
            <w:vAlign w:val="center"/>
          </w:tcPr>
          <w:p w14:paraId="24038075">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eastAsia="宋体" w:cs="Times New Roman"/>
                <w:color w:val="auto"/>
                <w:kern w:val="0"/>
                <w:sz w:val="21"/>
                <w:szCs w:val="21"/>
                <w:highlight w:val="none"/>
              </w:rPr>
            </w:pPr>
          </w:p>
        </w:tc>
        <w:tc>
          <w:tcPr>
            <w:tcW w:w="1734" w:type="dxa"/>
            <w:noWrap w:val="0"/>
            <w:vAlign w:val="center"/>
          </w:tcPr>
          <w:p w14:paraId="125C5EF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预测范围</w:t>
            </w:r>
          </w:p>
        </w:tc>
        <w:tc>
          <w:tcPr>
            <w:tcW w:w="1899" w:type="dxa"/>
            <w:gridSpan w:val="5"/>
            <w:noWrap w:val="0"/>
            <w:vAlign w:val="center"/>
          </w:tcPr>
          <w:p w14:paraId="70DE726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边长≥50km□</w:t>
            </w:r>
          </w:p>
        </w:tc>
        <w:tc>
          <w:tcPr>
            <w:tcW w:w="2239" w:type="dxa"/>
            <w:gridSpan w:val="6"/>
            <w:noWrap w:val="0"/>
            <w:vAlign w:val="center"/>
          </w:tcPr>
          <w:p w14:paraId="64891DB3">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边长5~50km□</w:t>
            </w:r>
          </w:p>
        </w:tc>
        <w:tc>
          <w:tcPr>
            <w:tcW w:w="2243" w:type="dxa"/>
            <w:gridSpan w:val="6"/>
            <w:noWrap w:val="0"/>
            <w:vAlign w:val="center"/>
          </w:tcPr>
          <w:p w14:paraId="069ED14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边长=5km</w:t>
            </w:r>
            <w:r>
              <w:rPr>
                <w:rFonts w:hint="eastAsia" w:ascii="Times New Roman" w:hAnsi="Times New Roman" w:eastAsia="宋体" w:cs="Times New Roman"/>
                <w:color w:val="auto"/>
                <w:kern w:val="0"/>
                <w:sz w:val="21"/>
                <w:szCs w:val="21"/>
                <w:highlight w:val="none"/>
              </w:rPr>
              <w:t>□</w:t>
            </w:r>
          </w:p>
        </w:tc>
      </w:tr>
      <w:tr w14:paraId="4D8D6F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continue"/>
            <w:noWrap w:val="0"/>
            <w:vAlign w:val="center"/>
          </w:tcPr>
          <w:p w14:paraId="08143CF3">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eastAsia="宋体" w:cs="Times New Roman"/>
                <w:color w:val="auto"/>
                <w:kern w:val="0"/>
                <w:sz w:val="21"/>
                <w:szCs w:val="21"/>
                <w:highlight w:val="none"/>
              </w:rPr>
            </w:pPr>
          </w:p>
        </w:tc>
        <w:tc>
          <w:tcPr>
            <w:tcW w:w="1734" w:type="dxa"/>
            <w:noWrap w:val="0"/>
            <w:vAlign w:val="center"/>
          </w:tcPr>
          <w:p w14:paraId="4DA4DB1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预测因子</w:t>
            </w:r>
          </w:p>
        </w:tc>
        <w:tc>
          <w:tcPr>
            <w:tcW w:w="4138" w:type="dxa"/>
            <w:gridSpan w:val="11"/>
            <w:noWrap w:val="0"/>
            <w:vAlign w:val="center"/>
          </w:tcPr>
          <w:p w14:paraId="42FF536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预测因子（</w:t>
            </w:r>
            <w:r>
              <w:rPr>
                <w:rFonts w:hint="eastAsia" w:cs="Times New Roman"/>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rPr>
              <w:t>）</w:t>
            </w:r>
          </w:p>
        </w:tc>
        <w:tc>
          <w:tcPr>
            <w:tcW w:w="2243" w:type="dxa"/>
            <w:gridSpan w:val="6"/>
            <w:noWrap w:val="0"/>
            <w:vAlign w:val="center"/>
          </w:tcPr>
          <w:p w14:paraId="297CD75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包括二次PM</w:t>
            </w:r>
            <w:r>
              <w:rPr>
                <w:rFonts w:hint="default" w:ascii="Times New Roman" w:hAnsi="Times New Roman" w:eastAsia="宋体" w:cs="Times New Roman"/>
                <w:color w:val="auto"/>
                <w:kern w:val="0"/>
                <w:sz w:val="21"/>
                <w:szCs w:val="21"/>
                <w:highlight w:val="none"/>
                <w:vertAlign w:val="subscript"/>
              </w:rPr>
              <w:t>2.5</w:t>
            </w:r>
            <w:r>
              <w:rPr>
                <w:rFonts w:hint="default" w:ascii="Times New Roman" w:hAnsi="Times New Roman" w:eastAsia="宋体" w:cs="Times New Roman"/>
                <w:color w:val="auto"/>
                <w:kern w:val="0"/>
                <w:sz w:val="21"/>
                <w:szCs w:val="21"/>
                <w:highlight w:val="none"/>
              </w:rPr>
              <w:t>□</w:t>
            </w:r>
          </w:p>
          <w:p w14:paraId="57E5697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不包括二次PM</w:t>
            </w:r>
            <w:r>
              <w:rPr>
                <w:rFonts w:hint="default" w:ascii="Times New Roman" w:hAnsi="Times New Roman" w:eastAsia="宋体" w:cs="Times New Roman"/>
                <w:color w:val="auto"/>
                <w:kern w:val="0"/>
                <w:sz w:val="21"/>
                <w:szCs w:val="21"/>
                <w:highlight w:val="none"/>
                <w:vertAlign w:val="subscript"/>
              </w:rPr>
              <w:t>2.5</w:t>
            </w:r>
            <w:r>
              <w:rPr>
                <w:rFonts w:hint="default" w:ascii="Times New Roman" w:hAnsi="Times New Roman" w:eastAsia="MS Mincho" w:cs="Times New Roman"/>
                <w:color w:val="auto"/>
                <w:kern w:val="0"/>
                <w:sz w:val="21"/>
                <w:szCs w:val="21"/>
                <w:highlight w:val="none"/>
              </w:rPr>
              <w:t>☑</w:t>
            </w:r>
          </w:p>
        </w:tc>
      </w:tr>
      <w:tr w14:paraId="60EA55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continue"/>
            <w:noWrap w:val="0"/>
            <w:vAlign w:val="center"/>
          </w:tcPr>
          <w:p w14:paraId="03533A7A">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eastAsia="宋体" w:cs="Times New Roman"/>
                <w:color w:val="auto"/>
                <w:kern w:val="0"/>
                <w:sz w:val="21"/>
                <w:szCs w:val="21"/>
                <w:highlight w:val="none"/>
              </w:rPr>
            </w:pPr>
          </w:p>
        </w:tc>
        <w:tc>
          <w:tcPr>
            <w:tcW w:w="1734" w:type="dxa"/>
            <w:noWrap w:val="0"/>
            <w:vAlign w:val="center"/>
          </w:tcPr>
          <w:p w14:paraId="325A306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正常排放短期浓度贡献值</w:t>
            </w:r>
          </w:p>
        </w:tc>
        <w:tc>
          <w:tcPr>
            <w:tcW w:w="4138" w:type="dxa"/>
            <w:gridSpan w:val="11"/>
            <w:noWrap w:val="0"/>
            <w:vAlign w:val="center"/>
          </w:tcPr>
          <w:p w14:paraId="6F7FEA6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rPr>
              <w:t>C本项目最大占标率≤100%</w:t>
            </w:r>
            <w:r>
              <w:rPr>
                <w:rFonts w:hint="eastAsia" w:ascii="Times New Roman" w:hAnsi="Times New Roman" w:eastAsia="宋体" w:cs="Times New Roman"/>
                <w:color w:val="auto"/>
                <w:kern w:val="0"/>
                <w:sz w:val="21"/>
                <w:szCs w:val="21"/>
                <w:highlight w:val="none"/>
                <w:lang w:eastAsia="zh-CN"/>
              </w:rPr>
              <w:t>□</w:t>
            </w:r>
          </w:p>
        </w:tc>
        <w:tc>
          <w:tcPr>
            <w:tcW w:w="2243" w:type="dxa"/>
            <w:gridSpan w:val="6"/>
            <w:noWrap w:val="0"/>
            <w:vAlign w:val="center"/>
          </w:tcPr>
          <w:p w14:paraId="48B9E32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C本项目最大占标率&gt;100%□</w:t>
            </w:r>
          </w:p>
        </w:tc>
      </w:tr>
      <w:tr w14:paraId="23838F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continue"/>
            <w:noWrap w:val="0"/>
            <w:vAlign w:val="center"/>
          </w:tcPr>
          <w:p w14:paraId="5880A52A">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eastAsia="宋体" w:cs="Times New Roman"/>
                <w:color w:val="auto"/>
                <w:kern w:val="0"/>
                <w:sz w:val="21"/>
                <w:szCs w:val="21"/>
                <w:highlight w:val="none"/>
              </w:rPr>
            </w:pPr>
          </w:p>
        </w:tc>
        <w:tc>
          <w:tcPr>
            <w:tcW w:w="1734" w:type="dxa"/>
            <w:vMerge w:val="restart"/>
            <w:noWrap w:val="0"/>
            <w:vAlign w:val="center"/>
          </w:tcPr>
          <w:p w14:paraId="19671A0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正常排放年均浓度贡献值</w:t>
            </w:r>
          </w:p>
        </w:tc>
        <w:tc>
          <w:tcPr>
            <w:tcW w:w="1138" w:type="dxa"/>
            <w:gridSpan w:val="2"/>
            <w:noWrap w:val="0"/>
            <w:vAlign w:val="center"/>
          </w:tcPr>
          <w:p w14:paraId="1E72F9C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一类区</w:t>
            </w:r>
          </w:p>
        </w:tc>
        <w:tc>
          <w:tcPr>
            <w:tcW w:w="3000" w:type="dxa"/>
            <w:gridSpan w:val="9"/>
            <w:noWrap w:val="0"/>
            <w:vAlign w:val="center"/>
          </w:tcPr>
          <w:p w14:paraId="4739A14B">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C</w:t>
            </w:r>
            <w:r>
              <w:rPr>
                <w:rFonts w:hint="default" w:ascii="Times New Roman" w:hAnsi="Times New Roman" w:eastAsia="宋体" w:cs="Times New Roman"/>
                <w:color w:val="auto"/>
                <w:kern w:val="0"/>
                <w:sz w:val="21"/>
                <w:szCs w:val="21"/>
                <w:highlight w:val="none"/>
                <w:vertAlign w:val="subscript"/>
              </w:rPr>
              <w:t>本项目</w:t>
            </w:r>
            <w:r>
              <w:rPr>
                <w:rFonts w:hint="default" w:ascii="Times New Roman" w:hAnsi="Times New Roman" w:eastAsia="宋体" w:cs="Times New Roman"/>
                <w:color w:val="auto"/>
                <w:kern w:val="0"/>
                <w:sz w:val="21"/>
                <w:szCs w:val="21"/>
                <w:highlight w:val="none"/>
              </w:rPr>
              <w:t>最大占标率≤10%□</w:t>
            </w:r>
          </w:p>
        </w:tc>
        <w:tc>
          <w:tcPr>
            <w:tcW w:w="2243" w:type="dxa"/>
            <w:gridSpan w:val="6"/>
            <w:noWrap w:val="0"/>
            <w:vAlign w:val="center"/>
          </w:tcPr>
          <w:p w14:paraId="68C7C0A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C</w:t>
            </w:r>
            <w:r>
              <w:rPr>
                <w:rFonts w:hint="default" w:ascii="Times New Roman" w:hAnsi="Times New Roman" w:eastAsia="宋体" w:cs="Times New Roman"/>
                <w:color w:val="auto"/>
                <w:kern w:val="0"/>
                <w:sz w:val="21"/>
                <w:szCs w:val="21"/>
                <w:highlight w:val="none"/>
                <w:vertAlign w:val="subscript"/>
              </w:rPr>
              <w:t>本项目</w:t>
            </w:r>
            <w:r>
              <w:rPr>
                <w:rFonts w:hint="default" w:ascii="Times New Roman" w:hAnsi="Times New Roman" w:eastAsia="宋体" w:cs="Times New Roman"/>
                <w:color w:val="auto"/>
                <w:kern w:val="0"/>
                <w:sz w:val="21"/>
                <w:szCs w:val="21"/>
                <w:highlight w:val="none"/>
              </w:rPr>
              <w:t>最大占标率&gt;10%□</w:t>
            </w:r>
          </w:p>
        </w:tc>
      </w:tr>
      <w:tr w14:paraId="7EFF1F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continue"/>
            <w:noWrap w:val="0"/>
            <w:vAlign w:val="center"/>
          </w:tcPr>
          <w:p w14:paraId="35D64740">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eastAsia="宋体" w:cs="Times New Roman"/>
                <w:color w:val="auto"/>
                <w:kern w:val="0"/>
                <w:sz w:val="21"/>
                <w:szCs w:val="21"/>
                <w:highlight w:val="none"/>
              </w:rPr>
            </w:pPr>
          </w:p>
        </w:tc>
        <w:tc>
          <w:tcPr>
            <w:tcW w:w="1734" w:type="dxa"/>
            <w:vMerge w:val="continue"/>
            <w:noWrap w:val="0"/>
            <w:vAlign w:val="center"/>
          </w:tcPr>
          <w:p w14:paraId="34CA9587">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eastAsia="宋体" w:cs="Times New Roman"/>
                <w:color w:val="auto"/>
                <w:kern w:val="0"/>
                <w:sz w:val="21"/>
                <w:szCs w:val="21"/>
                <w:highlight w:val="none"/>
              </w:rPr>
            </w:pPr>
          </w:p>
        </w:tc>
        <w:tc>
          <w:tcPr>
            <w:tcW w:w="1138" w:type="dxa"/>
            <w:gridSpan w:val="2"/>
            <w:noWrap w:val="0"/>
            <w:vAlign w:val="center"/>
          </w:tcPr>
          <w:p w14:paraId="1696665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二类区</w:t>
            </w:r>
          </w:p>
        </w:tc>
        <w:tc>
          <w:tcPr>
            <w:tcW w:w="3000" w:type="dxa"/>
            <w:gridSpan w:val="9"/>
            <w:noWrap w:val="0"/>
            <w:vAlign w:val="center"/>
          </w:tcPr>
          <w:p w14:paraId="206932B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rPr>
              <w:t>C</w:t>
            </w:r>
            <w:r>
              <w:rPr>
                <w:rFonts w:hint="default" w:ascii="Times New Roman" w:hAnsi="Times New Roman" w:eastAsia="宋体" w:cs="Times New Roman"/>
                <w:color w:val="auto"/>
                <w:kern w:val="0"/>
                <w:sz w:val="21"/>
                <w:szCs w:val="21"/>
                <w:highlight w:val="none"/>
                <w:vertAlign w:val="subscript"/>
              </w:rPr>
              <w:t>本项目</w:t>
            </w:r>
            <w:r>
              <w:rPr>
                <w:rFonts w:hint="default" w:ascii="Times New Roman" w:hAnsi="Times New Roman" w:eastAsia="宋体" w:cs="Times New Roman"/>
                <w:color w:val="auto"/>
                <w:kern w:val="0"/>
                <w:sz w:val="21"/>
                <w:szCs w:val="21"/>
                <w:highlight w:val="none"/>
              </w:rPr>
              <w:t>最大占标率≤30%</w:t>
            </w:r>
            <w:r>
              <w:rPr>
                <w:rFonts w:hint="eastAsia" w:ascii="Times New Roman" w:hAnsi="Times New Roman" w:eastAsia="宋体" w:cs="Times New Roman"/>
                <w:color w:val="auto"/>
                <w:kern w:val="0"/>
                <w:sz w:val="21"/>
                <w:szCs w:val="21"/>
                <w:highlight w:val="none"/>
                <w:lang w:eastAsia="zh-CN"/>
              </w:rPr>
              <w:t>□</w:t>
            </w:r>
          </w:p>
        </w:tc>
        <w:tc>
          <w:tcPr>
            <w:tcW w:w="2243" w:type="dxa"/>
            <w:gridSpan w:val="6"/>
            <w:noWrap w:val="0"/>
            <w:vAlign w:val="center"/>
          </w:tcPr>
          <w:p w14:paraId="23DCC24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C</w:t>
            </w:r>
            <w:r>
              <w:rPr>
                <w:rFonts w:hint="default" w:ascii="Times New Roman" w:hAnsi="Times New Roman" w:eastAsia="宋体" w:cs="Times New Roman"/>
                <w:color w:val="auto"/>
                <w:kern w:val="0"/>
                <w:sz w:val="21"/>
                <w:szCs w:val="21"/>
                <w:highlight w:val="none"/>
                <w:vertAlign w:val="subscript"/>
              </w:rPr>
              <w:t>本项目</w:t>
            </w:r>
            <w:r>
              <w:rPr>
                <w:rFonts w:hint="default" w:ascii="Times New Roman" w:hAnsi="Times New Roman" w:eastAsia="宋体" w:cs="Times New Roman"/>
                <w:color w:val="auto"/>
                <w:kern w:val="0"/>
                <w:sz w:val="21"/>
                <w:szCs w:val="21"/>
                <w:highlight w:val="none"/>
              </w:rPr>
              <w:t>最大占标率&gt;30%□</w:t>
            </w:r>
          </w:p>
        </w:tc>
      </w:tr>
      <w:tr w14:paraId="27474A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continue"/>
            <w:noWrap w:val="0"/>
            <w:vAlign w:val="center"/>
          </w:tcPr>
          <w:p w14:paraId="13CDF65E">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eastAsia="宋体" w:cs="Times New Roman"/>
                <w:color w:val="auto"/>
                <w:kern w:val="0"/>
                <w:sz w:val="21"/>
                <w:szCs w:val="21"/>
                <w:highlight w:val="none"/>
              </w:rPr>
            </w:pPr>
          </w:p>
        </w:tc>
        <w:tc>
          <w:tcPr>
            <w:tcW w:w="1734" w:type="dxa"/>
            <w:noWrap w:val="0"/>
            <w:vAlign w:val="center"/>
          </w:tcPr>
          <w:p w14:paraId="434A283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非正常1h浓度贡献值</w:t>
            </w:r>
          </w:p>
        </w:tc>
        <w:tc>
          <w:tcPr>
            <w:tcW w:w="1899" w:type="dxa"/>
            <w:gridSpan w:val="5"/>
            <w:noWrap w:val="0"/>
            <w:vAlign w:val="center"/>
          </w:tcPr>
          <w:p w14:paraId="012BDA3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非正常持续时长</w:t>
            </w:r>
          </w:p>
          <w:p w14:paraId="283A36A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w:t>
            </w:r>
            <w:r>
              <w:rPr>
                <w:rFonts w:hint="eastAsia" w:ascii="Times New Roman" w:hAnsi="Times New Roman" w:eastAsia="宋体" w:cs="Times New Roman"/>
                <w:color w:val="auto"/>
                <w:kern w:val="0"/>
                <w:sz w:val="21"/>
                <w:szCs w:val="21"/>
                <w:highlight w:val="none"/>
              </w:rPr>
              <w:t>1</w:t>
            </w:r>
            <w:r>
              <w:rPr>
                <w:rFonts w:hint="default" w:ascii="Times New Roman" w:hAnsi="Times New Roman" w:eastAsia="宋体" w:cs="Times New Roman"/>
                <w:color w:val="auto"/>
                <w:kern w:val="0"/>
                <w:sz w:val="21"/>
                <w:szCs w:val="21"/>
                <w:highlight w:val="none"/>
              </w:rPr>
              <w:t>）h</w:t>
            </w:r>
          </w:p>
        </w:tc>
        <w:tc>
          <w:tcPr>
            <w:tcW w:w="2239" w:type="dxa"/>
            <w:gridSpan w:val="6"/>
            <w:noWrap w:val="0"/>
            <w:vAlign w:val="center"/>
          </w:tcPr>
          <w:p w14:paraId="2912DD5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rPr>
              <w:t>C</w:t>
            </w:r>
            <w:r>
              <w:rPr>
                <w:rFonts w:hint="default" w:ascii="Times New Roman" w:hAnsi="Times New Roman" w:eastAsia="宋体" w:cs="Times New Roman"/>
                <w:color w:val="auto"/>
                <w:kern w:val="0"/>
                <w:sz w:val="21"/>
                <w:szCs w:val="21"/>
                <w:highlight w:val="none"/>
                <w:vertAlign w:val="subscript"/>
              </w:rPr>
              <w:t>非正常</w:t>
            </w:r>
            <w:r>
              <w:rPr>
                <w:rFonts w:hint="default" w:ascii="Times New Roman" w:hAnsi="Times New Roman" w:eastAsia="宋体" w:cs="Times New Roman"/>
                <w:color w:val="auto"/>
                <w:kern w:val="0"/>
                <w:sz w:val="21"/>
                <w:szCs w:val="21"/>
                <w:highlight w:val="none"/>
              </w:rPr>
              <w:t>占标率≤100%</w:t>
            </w:r>
            <w:r>
              <w:rPr>
                <w:rFonts w:hint="eastAsia" w:ascii="Times New Roman" w:hAnsi="Times New Roman" w:eastAsia="宋体" w:cs="Times New Roman"/>
                <w:color w:val="auto"/>
                <w:kern w:val="0"/>
                <w:sz w:val="21"/>
                <w:szCs w:val="21"/>
                <w:highlight w:val="none"/>
                <w:lang w:eastAsia="zh-CN"/>
              </w:rPr>
              <w:t>□</w:t>
            </w:r>
          </w:p>
        </w:tc>
        <w:tc>
          <w:tcPr>
            <w:tcW w:w="2243" w:type="dxa"/>
            <w:gridSpan w:val="6"/>
            <w:noWrap w:val="0"/>
            <w:vAlign w:val="center"/>
          </w:tcPr>
          <w:p w14:paraId="2A2BDD7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C</w:t>
            </w:r>
            <w:r>
              <w:rPr>
                <w:rFonts w:hint="default" w:ascii="Times New Roman" w:hAnsi="Times New Roman" w:eastAsia="宋体" w:cs="Times New Roman"/>
                <w:color w:val="auto"/>
                <w:kern w:val="0"/>
                <w:sz w:val="21"/>
                <w:szCs w:val="21"/>
                <w:highlight w:val="none"/>
                <w:vertAlign w:val="subscript"/>
              </w:rPr>
              <w:t>非正常</w:t>
            </w:r>
            <w:r>
              <w:rPr>
                <w:rFonts w:hint="default" w:ascii="Times New Roman" w:hAnsi="Times New Roman" w:eastAsia="宋体" w:cs="Times New Roman"/>
                <w:color w:val="auto"/>
                <w:kern w:val="0"/>
                <w:sz w:val="21"/>
                <w:szCs w:val="21"/>
                <w:highlight w:val="none"/>
              </w:rPr>
              <w:t>占标率&gt;100%□</w:t>
            </w:r>
          </w:p>
        </w:tc>
      </w:tr>
      <w:tr w14:paraId="138709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continue"/>
            <w:noWrap w:val="0"/>
            <w:vAlign w:val="center"/>
          </w:tcPr>
          <w:p w14:paraId="055844DD">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eastAsia="宋体" w:cs="Times New Roman"/>
                <w:color w:val="auto"/>
                <w:kern w:val="0"/>
                <w:sz w:val="21"/>
                <w:szCs w:val="21"/>
                <w:highlight w:val="none"/>
              </w:rPr>
            </w:pPr>
          </w:p>
        </w:tc>
        <w:tc>
          <w:tcPr>
            <w:tcW w:w="1734" w:type="dxa"/>
            <w:noWrap w:val="0"/>
            <w:vAlign w:val="center"/>
          </w:tcPr>
          <w:p w14:paraId="1C6CB5F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保证率日平均浓度和年平均浓度叠加值</w:t>
            </w:r>
          </w:p>
        </w:tc>
        <w:tc>
          <w:tcPr>
            <w:tcW w:w="4138" w:type="dxa"/>
            <w:gridSpan w:val="11"/>
            <w:noWrap w:val="0"/>
            <w:vAlign w:val="center"/>
          </w:tcPr>
          <w:p w14:paraId="252F253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C叠加达标</w:t>
            </w:r>
            <w:r>
              <w:rPr>
                <w:rFonts w:hint="default" w:ascii="Times New Roman" w:hAnsi="Times New Roman" w:eastAsia="MS Mincho" w:cs="Times New Roman"/>
                <w:color w:val="auto"/>
                <w:kern w:val="0"/>
                <w:sz w:val="21"/>
                <w:szCs w:val="21"/>
                <w:highlight w:val="none"/>
              </w:rPr>
              <w:t>☑</w:t>
            </w:r>
          </w:p>
        </w:tc>
        <w:tc>
          <w:tcPr>
            <w:tcW w:w="2243" w:type="dxa"/>
            <w:gridSpan w:val="6"/>
            <w:noWrap w:val="0"/>
            <w:vAlign w:val="center"/>
          </w:tcPr>
          <w:p w14:paraId="6D6CEC7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C叠加不达标□</w:t>
            </w:r>
          </w:p>
        </w:tc>
      </w:tr>
      <w:tr w14:paraId="538BD4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continue"/>
            <w:noWrap w:val="0"/>
            <w:vAlign w:val="center"/>
          </w:tcPr>
          <w:p w14:paraId="30155919">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eastAsia="宋体" w:cs="Times New Roman"/>
                <w:color w:val="auto"/>
                <w:kern w:val="0"/>
                <w:sz w:val="21"/>
                <w:szCs w:val="21"/>
                <w:highlight w:val="none"/>
              </w:rPr>
            </w:pPr>
          </w:p>
        </w:tc>
        <w:tc>
          <w:tcPr>
            <w:tcW w:w="1734" w:type="dxa"/>
            <w:noWrap w:val="0"/>
            <w:vAlign w:val="center"/>
          </w:tcPr>
          <w:p w14:paraId="69DD3B6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区域环境质量的整体变化情况</w:t>
            </w:r>
          </w:p>
        </w:tc>
        <w:tc>
          <w:tcPr>
            <w:tcW w:w="4138" w:type="dxa"/>
            <w:gridSpan w:val="11"/>
            <w:noWrap w:val="0"/>
            <w:vAlign w:val="center"/>
          </w:tcPr>
          <w:p w14:paraId="0BA88E3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k≤-20%</w:t>
            </w:r>
            <w:r>
              <w:rPr>
                <w:rFonts w:hint="eastAsia" w:ascii="Times New Roman" w:hAnsi="Times New Roman" w:eastAsia="宋体" w:cs="Times New Roman"/>
                <w:color w:val="auto"/>
                <w:kern w:val="0"/>
                <w:sz w:val="21"/>
                <w:szCs w:val="21"/>
                <w:highlight w:val="none"/>
              </w:rPr>
              <w:t>□</w:t>
            </w:r>
          </w:p>
        </w:tc>
        <w:tc>
          <w:tcPr>
            <w:tcW w:w="2243" w:type="dxa"/>
            <w:gridSpan w:val="6"/>
            <w:noWrap w:val="0"/>
            <w:vAlign w:val="center"/>
          </w:tcPr>
          <w:p w14:paraId="06735B1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k&gt;-20%□</w:t>
            </w:r>
          </w:p>
        </w:tc>
      </w:tr>
      <w:tr w14:paraId="2E315C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restart"/>
            <w:noWrap w:val="0"/>
            <w:vAlign w:val="center"/>
          </w:tcPr>
          <w:p w14:paraId="43ACBE1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环境监测计划</w:t>
            </w:r>
          </w:p>
        </w:tc>
        <w:tc>
          <w:tcPr>
            <w:tcW w:w="1734" w:type="dxa"/>
            <w:noWrap w:val="0"/>
            <w:vAlign w:val="center"/>
          </w:tcPr>
          <w:p w14:paraId="0CAA6C59">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污染源监测</w:t>
            </w:r>
          </w:p>
        </w:tc>
        <w:tc>
          <w:tcPr>
            <w:tcW w:w="2411" w:type="dxa"/>
            <w:gridSpan w:val="7"/>
            <w:noWrap w:val="0"/>
            <w:vAlign w:val="center"/>
          </w:tcPr>
          <w:p w14:paraId="05CA35FE">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监测因子：（TSP）</w:t>
            </w:r>
          </w:p>
        </w:tc>
        <w:tc>
          <w:tcPr>
            <w:tcW w:w="1727" w:type="dxa"/>
            <w:gridSpan w:val="4"/>
            <w:noWrap w:val="0"/>
            <w:vAlign w:val="center"/>
          </w:tcPr>
          <w:p w14:paraId="3795A21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有组织废气监测</w:t>
            </w:r>
            <w:r>
              <w:rPr>
                <w:rFonts w:hint="default" w:ascii="Times New Roman" w:hAnsi="Times New Roman" w:eastAsia="MS Mincho" w:cs="Times New Roman"/>
                <w:color w:val="auto"/>
                <w:kern w:val="0"/>
                <w:sz w:val="21"/>
                <w:szCs w:val="21"/>
                <w:highlight w:val="none"/>
              </w:rPr>
              <w:t>☑</w:t>
            </w:r>
          </w:p>
          <w:p w14:paraId="06810B74">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无组织废气监测</w:t>
            </w:r>
            <w:r>
              <w:rPr>
                <w:rFonts w:hint="default" w:ascii="Times New Roman" w:hAnsi="Times New Roman" w:eastAsia="MS Mincho" w:cs="Times New Roman"/>
                <w:color w:val="auto"/>
                <w:kern w:val="0"/>
                <w:sz w:val="21"/>
                <w:szCs w:val="21"/>
                <w:highlight w:val="none"/>
              </w:rPr>
              <w:t>☑</w:t>
            </w:r>
          </w:p>
        </w:tc>
        <w:tc>
          <w:tcPr>
            <w:tcW w:w="2243" w:type="dxa"/>
            <w:gridSpan w:val="6"/>
            <w:noWrap w:val="0"/>
            <w:vAlign w:val="center"/>
          </w:tcPr>
          <w:p w14:paraId="7BAEDC66">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无监测□</w:t>
            </w:r>
          </w:p>
        </w:tc>
      </w:tr>
      <w:tr w14:paraId="7DFEBE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continue"/>
            <w:noWrap w:val="0"/>
            <w:vAlign w:val="center"/>
          </w:tcPr>
          <w:p w14:paraId="04EAF0E4">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eastAsia="宋体" w:cs="Times New Roman"/>
                <w:color w:val="auto"/>
                <w:kern w:val="0"/>
                <w:sz w:val="21"/>
                <w:szCs w:val="21"/>
                <w:highlight w:val="none"/>
              </w:rPr>
            </w:pPr>
          </w:p>
        </w:tc>
        <w:tc>
          <w:tcPr>
            <w:tcW w:w="1734" w:type="dxa"/>
            <w:noWrap w:val="0"/>
            <w:vAlign w:val="center"/>
          </w:tcPr>
          <w:p w14:paraId="12FF1DE2">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环境质量监测</w:t>
            </w:r>
          </w:p>
        </w:tc>
        <w:tc>
          <w:tcPr>
            <w:tcW w:w="2411" w:type="dxa"/>
            <w:gridSpan w:val="7"/>
            <w:noWrap w:val="0"/>
            <w:vAlign w:val="center"/>
          </w:tcPr>
          <w:p w14:paraId="72F31E4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监测因子：（TSP）</w:t>
            </w:r>
          </w:p>
        </w:tc>
        <w:tc>
          <w:tcPr>
            <w:tcW w:w="1727" w:type="dxa"/>
            <w:gridSpan w:val="4"/>
            <w:noWrap w:val="0"/>
            <w:vAlign w:val="center"/>
          </w:tcPr>
          <w:p w14:paraId="0D7F287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监测点位数（</w:t>
            </w:r>
            <w:r>
              <w:rPr>
                <w:rFonts w:hint="eastAsia" w:cs="Times New Roman"/>
                <w:color w:val="auto"/>
                <w:kern w:val="0"/>
                <w:sz w:val="21"/>
                <w:szCs w:val="21"/>
                <w:highlight w:val="none"/>
                <w:lang w:val="en-US" w:eastAsia="zh-CN"/>
              </w:rPr>
              <w:t>2</w:t>
            </w:r>
            <w:r>
              <w:rPr>
                <w:rFonts w:hint="default" w:ascii="Times New Roman" w:hAnsi="Times New Roman" w:eastAsia="宋体" w:cs="Times New Roman"/>
                <w:color w:val="auto"/>
                <w:kern w:val="0"/>
                <w:sz w:val="21"/>
                <w:szCs w:val="21"/>
                <w:highlight w:val="none"/>
              </w:rPr>
              <w:t>）</w:t>
            </w:r>
          </w:p>
        </w:tc>
        <w:tc>
          <w:tcPr>
            <w:tcW w:w="2243" w:type="dxa"/>
            <w:gridSpan w:val="6"/>
            <w:noWrap w:val="0"/>
            <w:vAlign w:val="center"/>
          </w:tcPr>
          <w:p w14:paraId="2728626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无监测□</w:t>
            </w:r>
          </w:p>
        </w:tc>
      </w:tr>
      <w:tr w14:paraId="7B3B46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restart"/>
            <w:noWrap w:val="0"/>
            <w:vAlign w:val="center"/>
          </w:tcPr>
          <w:p w14:paraId="068F406F">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评价结论</w:t>
            </w:r>
          </w:p>
        </w:tc>
        <w:tc>
          <w:tcPr>
            <w:tcW w:w="1734" w:type="dxa"/>
            <w:noWrap w:val="0"/>
            <w:vAlign w:val="center"/>
          </w:tcPr>
          <w:p w14:paraId="7A5EE17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环境影响</w:t>
            </w:r>
          </w:p>
        </w:tc>
        <w:tc>
          <w:tcPr>
            <w:tcW w:w="6381" w:type="dxa"/>
            <w:gridSpan w:val="17"/>
            <w:noWrap w:val="0"/>
            <w:vAlign w:val="center"/>
          </w:tcPr>
          <w:p w14:paraId="2C58866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 xml:space="preserve">可以接受 </w:t>
            </w:r>
            <w:r>
              <w:rPr>
                <w:rFonts w:hint="default" w:ascii="Times New Roman" w:hAnsi="Times New Roman" w:eastAsia="MS Mincho" w:cs="Times New Roman"/>
                <w:color w:val="auto"/>
                <w:kern w:val="0"/>
                <w:sz w:val="21"/>
                <w:szCs w:val="21"/>
                <w:highlight w:val="none"/>
              </w:rPr>
              <w:t>☑</w:t>
            </w:r>
            <w:r>
              <w:rPr>
                <w:rFonts w:hint="default" w:ascii="Times New Roman" w:hAnsi="Times New Roman" w:eastAsia="宋体" w:cs="Times New Roman"/>
                <w:color w:val="auto"/>
                <w:kern w:val="0"/>
                <w:sz w:val="21"/>
                <w:szCs w:val="21"/>
                <w:highlight w:val="none"/>
              </w:rPr>
              <w:t xml:space="preserve">            不可以接受 □</w:t>
            </w:r>
          </w:p>
        </w:tc>
      </w:tr>
      <w:tr w14:paraId="2DA42F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continue"/>
            <w:noWrap w:val="0"/>
            <w:vAlign w:val="center"/>
          </w:tcPr>
          <w:p w14:paraId="10B1911B">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eastAsia="宋体" w:cs="Times New Roman"/>
                <w:color w:val="auto"/>
                <w:kern w:val="0"/>
                <w:sz w:val="21"/>
                <w:szCs w:val="21"/>
                <w:highlight w:val="none"/>
              </w:rPr>
            </w:pPr>
          </w:p>
        </w:tc>
        <w:tc>
          <w:tcPr>
            <w:tcW w:w="1734" w:type="dxa"/>
            <w:noWrap w:val="0"/>
            <w:vAlign w:val="center"/>
          </w:tcPr>
          <w:p w14:paraId="520B6201">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大气环境防护距离</w:t>
            </w:r>
          </w:p>
        </w:tc>
        <w:tc>
          <w:tcPr>
            <w:tcW w:w="6381" w:type="dxa"/>
            <w:gridSpan w:val="17"/>
            <w:noWrap w:val="0"/>
            <w:vAlign w:val="center"/>
          </w:tcPr>
          <w:p w14:paraId="3DDCA5EA">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距（</w:t>
            </w:r>
            <w:r>
              <w:rPr>
                <w:rFonts w:hint="eastAsia" w:ascii="Times New Roman" w:hAnsi="Times New Roman" w:eastAsia="宋体" w:cs="Times New Roman"/>
                <w:color w:val="auto"/>
                <w:kern w:val="0"/>
                <w:sz w:val="21"/>
                <w:szCs w:val="21"/>
                <w:highlight w:val="none"/>
              </w:rPr>
              <w:t>/</w:t>
            </w:r>
            <w:r>
              <w:rPr>
                <w:rFonts w:hint="default" w:ascii="Times New Roman" w:hAnsi="Times New Roman" w:eastAsia="宋体" w:cs="Times New Roman"/>
                <w:color w:val="auto"/>
                <w:kern w:val="0"/>
                <w:sz w:val="21"/>
                <w:szCs w:val="21"/>
                <w:highlight w:val="none"/>
              </w:rPr>
              <w:t>）厂界最远（0）m</w:t>
            </w:r>
          </w:p>
        </w:tc>
      </w:tr>
      <w:tr w14:paraId="3FF5AB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7" w:type="dxa"/>
            <w:vMerge w:val="continue"/>
            <w:noWrap w:val="0"/>
            <w:vAlign w:val="center"/>
          </w:tcPr>
          <w:p w14:paraId="65D05A31">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default" w:ascii="Times New Roman" w:hAnsi="Times New Roman" w:eastAsia="宋体" w:cs="Times New Roman"/>
                <w:color w:val="auto"/>
                <w:kern w:val="0"/>
                <w:sz w:val="21"/>
                <w:szCs w:val="21"/>
                <w:highlight w:val="none"/>
              </w:rPr>
            </w:pPr>
          </w:p>
        </w:tc>
        <w:tc>
          <w:tcPr>
            <w:tcW w:w="1734" w:type="dxa"/>
            <w:noWrap w:val="0"/>
            <w:vAlign w:val="center"/>
          </w:tcPr>
          <w:p w14:paraId="2AFC55EC">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污染源年排放量</w:t>
            </w:r>
          </w:p>
        </w:tc>
        <w:tc>
          <w:tcPr>
            <w:tcW w:w="1430" w:type="dxa"/>
            <w:gridSpan w:val="3"/>
            <w:noWrap w:val="0"/>
            <w:vAlign w:val="center"/>
          </w:tcPr>
          <w:p w14:paraId="1A686E55">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r>
              <w:rPr>
                <w:rFonts w:hint="default" w:ascii="Times New Roman" w:hAnsi="Times New Roman" w:eastAsia="宋体" w:cs="Times New Roman"/>
                <w:color w:val="auto"/>
                <w:kern w:val="0"/>
                <w:sz w:val="21"/>
                <w:szCs w:val="21"/>
                <w:highlight w:val="none"/>
              </w:rPr>
              <w:t>:(</w:t>
            </w:r>
            <w:r>
              <w:rPr>
                <w:rFonts w:hint="eastAsia" w:ascii="Times New Roman" w:hAnsi="Times New Roman" w:eastAsia="宋体" w:cs="Times New Roman"/>
                <w:color w:val="auto"/>
                <w:kern w:val="0"/>
                <w:sz w:val="21"/>
                <w:szCs w:val="21"/>
                <w:highlight w:val="none"/>
                <w:lang w:bidi="ar"/>
              </w:rPr>
              <w:t>/</w:t>
            </w:r>
            <w:r>
              <w:rPr>
                <w:rFonts w:hint="default" w:ascii="Times New Roman" w:hAnsi="Times New Roman" w:eastAsia="宋体" w:cs="Times New Roman"/>
                <w:color w:val="auto"/>
                <w:kern w:val="0"/>
                <w:sz w:val="21"/>
                <w:szCs w:val="21"/>
                <w:highlight w:val="none"/>
              </w:rPr>
              <w:t>)t/a</w:t>
            </w:r>
          </w:p>
        </w:tc>
        <w:tc>
          <w:tcPr>
            <w:tcW w:w="1480" w:type="dxa"/>
            <w:gridSpan w:val="6"/>
            <w:noWrap w:val="0"/>
            <w:vAlign w:val="center"/>
          </w:tcPr>
          <w:p w14:paraId="77802047">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NOx:(</w:t>
            </w:r>
            <w:r>
              <w:rPr>
                <w:rFonts w:hint="eastAsia" w:ascii="Times New Roman" w:hAnsi="Times New Roman" w:eastAsia="宋体" w:cs="Times New Roman"/>
                <w:color w:val="auto"/>
                <w:kern w:val="0"/>
                <w:sz w:val="21"/>
                <w:szCs w:val="21"/>
                <w:highlight w:val="none"/>
                <w:lang w:bidi="ar"/>
              </w:rPr>
              <w:t>/</w:t>
            </w:r>
            <w:r>
              <w:rPr>
                <w:rFonts w:hint="default" w:ascii="Times New Roman" w:hAnsi="Times New Roman" w:eastAsia="宋体" w:cs="Times New Roman"/>
                <w:color w:val="auto"/>
                <w:kern w:val="0"/>
                <w:sz w:val="21"/>
                <w:szCs w:val="21"/>
                <w:highlight w:val="none"/>
              </w:rPr>
              <w:t>)t/a</w:t>
            </w:r>
          </w:p>
        </w:tc>
        <w:tc>
          <w:tcPr>
            <w:tcW w:w="1703" w:type="dxa"/>
            <w:gridSpan w:val="4"/>
            <w:noWrap w:val="0"/>
            <w:vAlign w:val="center"/>
          </w:tcPr>
          <w:p w14:paraId="7CCA5270">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颗粒物: (</w:t>
            </w:r>
            <w:r>
              <w:rPr>
                <w:rFonts w:hint="eastAsia" w:cs="Times New Roman"/>
                <w:color w:val="auto"/>
                <w:kern w:val="0"/>
                <w:sz w:val="21"/>
                <w:szCs w:val="21"/>
                <w:highlight w:val="none"/>
                <w:lang w:eastAsia="zh-CN"/>
              </w:rPr>
              <w:t>1.</w:t>
            </w:r>
            <w:r>
              <w:rPr>
                <w:rFonts w:hint="eastAsia" w:cs="Times New Roman"/>
                <w:color w:val="auto"/>
                <w:kern w:val="0"/>
                <w:sz w:val="21"/>
                <w:szCs w:val="21"/>
                <w:highlight w:val="none"/>
                <w:lang w:val="en-US" w:eastAsia="zh-CN"/>
              </w:rPr>
              <w:t>618</w:t>
            </w:r>
            <w:r>
              <w:rPr>
                <w:rFonts w:hint="default" w:ascii="Times New Roman" w:hAnsi="Times New Roman" w:eastAsia="宋体" w:cs="Times New Roman"/>
                <w:color w:val="auto"/>
                <w:kern w:val="0"/>
                <w:sz w:val="21"/>
                <w:szCs w:val="21"/>
                <w:highlight w:val="none"/>
              </w:rPr>
              <w:t>)t/a</w:t>
            </w:r>
          </w:p>
        </w:tc>
        <w:tc>
          <w:tcPr>
            <w:tcW w:w="1768" w:type="dxa"/>
            <w:gridSpan w:val="4"/>
            <w:noWrap w:val="0"/>
            <w:vAlign w:val="center"/>
          </w:tcPr>
          <w:p w14:paraId="4775C5E8">
            <w:pPr>
              <w:keepNext w:val="0"/>
              <w:keepLines w:val="0"/>
              <w:widowControl/>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VOCs:(</w:t>
            </w:r>
            <w:r>
              <w:rPr>
                <w:rFonts w:hint="eastAsia" w:cs="Times New Roman"/>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rPr>
              <w:t>)t/a</w:t>
            </w:r>
          </w:p>
        </w:tc>
      </w:tr>
      <w:tr w14:paraId="09FF72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072" w:type="dxa"/>
            <w:gridSpan w:val="19"/>
            <w:noWrap w:val="0"/>
            <w:vAlign w:val="center"/>
          </w:tcPr>
          <w:p w14:paraId="231C7F4D">
            <w:pPr>
              <w:keepNext w:val="0"/>
              <w:keepLines w:val="0"/>
              <w:widowControl/>
              <w:suppressLineNumbers w:val="0"/>
              <w:adjustRightInd w:val="0"/>
              <w:snapToGrid w:val="0"/>
              <w:spacing w:before="0" w:beforeAutospacing="0" w:after="0" w:afterAutospacing="0" w:line="240" w:lineRule="auto"/>
              <w:ind w:left="0" w:right="0" w:firstLine="0" w:firstLineChars="0"/>
              <w:jc w:val="left"/>
              <w:rPr>
                <w:rFonts w:hint="eastAsia"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注：“□”，填“√”；“（  ）”为内容填写项</w:t>
            </w:r>
            <w:r>
              <w:rPr>
                <w:rFonts w:hint="eastAsia" w:ascii="Times New Roman" w:hAnsi="Times New Roman" w:eastAsia="宋体" w:cs="Times New Roman"/>
                <w:color w:val="auto"/>
                <w:kern w:val="0"/>
                <w:sz w:val="21"/>
                <w:szCs w:val="21"/>
                <w:highlight w:val="none"/>
              </w:rPr>
              <w:t>。</w:t>
            </w:r>
          </w:p>
        </w:tc>
      </w:tr>
    </w:tbl>
    <w:p w14:paraId="28C500BB">
      <w:pPr>
        <w:pStyle w:val="4"/>
        <w:numPr>
          <w:ilvl w:val="0"/>
          <w:numId w:val="0"/>
        </w:numPr>
        <w:rPr>
          <w:color w:val="auto"/>
        </w:rPr>
      </w:pPr>
      <w:r>
        <w:rPr>
          <w:rFonts w:hint="eastAsia"/>
          <w:color w:val="auto"/>
        </w:rPr>
        <w:t>5.2.3</w:t>
      </w:r>
      <w:r>
        <w:rPr>
          <w:color w:val="auto"/>
        </w:rPr>
        <w:t>运营期声环境影响</w:t>
      </w:r>
      <w:r>
        <w:rPr>
          <w:rFonts w:hint="eastAsia"/>
          <w:color w:val="auto"/>
        </w:rPr>
        <w:t>预测与评价</w:t>
      </w:r>
    </w:p>
    <w:p w14:paraId="36FFF4CF">
      <w:pPr>
        <w:pStyle w:val="5"/>
        <w:numPr>
          <w:ilvl w:val="0"/>
          <w:numId w:val="0"/>
        </w:numPr>
        <w:rPr>
          <w:color w:val="auto"/>
        </w:rPr>
      </w:pPr>
      <w:r>
        <w:rPr>
          <w:rFonts w:hint="eastAsia"/>
          <w:color w:val="auto"/>
        </w:rPr>
        <w:t>5.2.3.1项目固定声源</w:t>
      </w:r>
      <w:r>
        <w:rPr>
          <w:color w:val="auto"/>
        </w:rPr>
        <w:t>噪声</w:t>
      </w:r>
      <w:r>
        <w:rPr>
          <w:rFonts w:hint="eastAsia"/>
          <w:color w:val="auto"/>
        </w:rPr>
        <w:t>预测</w:t>
      </w:r>
    </w:p>
    <w:p w14:paraId="35A07EC5">
      <w:pPr>
        <w:spacing w:line="360" w:lineRule="auto"/>
        <w:ind w:firstLine="480" w:firstLineChars="200"/>
        <w:rPr>
          <w:color w:val="auto"/>
          <w:sz w:val="24"/>
        </w:rPr>
      </w:pPr>
      <w:r>
        <w:rPr>
          <w:rFonts w:hint="eastAsia"/>
          <w:color w:val="auto"/>
          <w:sz w:val="24"/>
        </w:rPr>
        <w:t>拟建项目设备均选用低噪声设备，并采取了相应的噪声污染防治措施，</w:t>
      </w:r>
      <w:r>
        <w:rPr>
          <w:rFonts w:cs="宋体"/>
          <w:color w:val="auto"/>
          <w:spacing w:val="-2"/>
          <w:kern w:val="0"/>
          <w:sz w:val="24"/>
          <w:szCs w:val="24"/>
        </w:rPr>
        <w:t>通过对上述机械设备和车辆等噪声值进行类比调查，同时结合《环境噪声与振动控制工程技术导则（HJ2034-2013）》</w:t>
      </w:r>
      <w:r>
        <w:rPr>
          <w:rFonts w:hint="eastAsia" w:cs="宋体"/>
          <w:color w:val="auto"/>
          <w:spacing w:val="-2"/>
          <w:kern w:val="0"/>
          <w:sz w:val="24"/>
          <w:szCs w:val="24"/>
        </w:rPr>
        <w:t>，</w:t>
      </w:r>
      <w:r>
        <w:rPr>
          <w:rFonts w:cs="宋体"/>
          <w:color w:val="auto"/>
          <w:spacing w:val="-2"/>
          <w:kern w:val="0"/>
          <w:sz w:val="24"/>
          <w:szCs w:val="24"/>
        </w:rPr>
        <w:t>上述设备噪声源强见表</w:t>
      </w:r>
      <w:r>
        <w:rPr>
          <w:rFonts w:hint="eastAsia" w:cs="宋体"/>
          <w:color w:val="auto"/>
          <w:spacing w:val="-2"/>
          <w:kern w:val="0"/>
          <w:sz w:val="24"/>
          <w:szCs w:val="24"/>
        </w:rPr>
        <w:t>5.2-</w:t>
      </w:r>
      <w:r>
        <w:rPr>
          <w:rFonts w:hint="eastAsia" w:cs="宋体"/>
          <w:color w:val="auto"/>
          <w:spacing w:val="-2"/>
          <w:kern w:val="0"/>
          <w:sz w:val="24"/>
          <w:szCs w:val="24"/>
          <w:lang w:val="en-US" w:eastAsia="zh-CN"/>
        </w:rPr>
        <w:t>14</w:t>
      </w:r>
      <w:r>
        <w:rPr>
          <w:rFonts w:hint="eastAsia"/>
          <w:color w:val="auto"/>
          <w:sz w:val="24"/>
        </w:rPr>
        <w:t>。</w:t>
      </w:r>
    </w:p>
    <w:p w14:paraId="7807C2B6">
      <w:pPr>
        <w:spacing w:line="400" w:lineRule="exact"/>
        <w:jc w:val="center"/>
        <w:rPr>
          <w:rFonts w:eastAsia="黑体"/>
          <w:color w:val="auto"/>
          <w:sz w:val="24"/>
        </w:rPr>
      </w:pPr>
      <w:r>
        <w:rPr>
          <w:rFonts w:eastAsia="黑体"/>
          <w:color w:val="auto"/>
          <w:sz w:val="24"/>
        </w:rPr>
        <w:t>表5.2-</w:t>
      </w:r>
      <w:r>
        <w:rPr>
          <w:rFonts w:hint="eastAsia" w:eastAsia="黑体"/>
          <w:color w:val="auto"/>
          <w:sz w:val="24"/>
          <w:lang w:val="en-US" w:eastAsia="zh-CN"/>
        </w:rPr>
        <w:t>14</w:t>
      </w:r>
      <w:r>
        <w:rPr>
          <w:rFonts w:eastAsia="黑体"/>
          <w:color w:val="auto"/>
          <w:sz w:val="24"/>
        </w:rPr>
        <w:t xml:space="preserve">  </w:t>
      </w:r>
      <w:r>
        <w:rPr>
          <w:rFonts w:hint="eastAsia" w:eastAsia="黑体"/>
          <w:color w:val="auto"/>
          <w:sz w:val="24"/>
        </w:rPr>
        <w:t>项目营运期主要噪声源情况一览表</w:t>
      </w:r>
      <w:r>
        <w:rPr>
          <w:rFonts w:eastAsia="黑体"/>
          <w:color w:val="auto"/>
          <w:sz w:val="24"/>
        </w:rPr>
        <w:t xml:space="preserve">    </w:t>
      </w:r>
      <w:r>
        <w:rPr>
          <w:rFonts w:hint="eastAsia" w:eastAsia="黑体"/>
          <w:color w:val="auto"/>
          <w:sz w:val="24"/>
        </w:rPr>
        <w:t>单位</w:t>
      </w:r>
      <w:r>
        <w:rPr>
          <w:rFonts w:eastAsia="黑体"/>
          <w:color w:val="auto"/>
          <w:sz w:val="24"/>
        </w:rPr>
        <w:t>：dB (A)</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229"/>
        <w:gridCol w:w="641"/>
        <w:gridCol w:w="1347"/>
        <w:gridCol w:w="1278"/>
        <w:gridCol w:w="988"/>
        <w:gridCol w:w="710"/>
        <w:gridCol w:w="708"/>
        <w:gridCol w:w="854"/>
        <w:gridCol w:w="955"/>
      </w:tblGrid>
      <w:tr w14:paraId="7A60BB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77" w:type="dxa"/>
            <w:vMerge w:val="restart"/>
            <w:noWrap/>
            <w:vAlign w:val="center"/>
          </w:tcPr>
          <w:p w14:paraId="45ADF11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序号</w:t>
            </w:r>
          </w:p>
        </w:tc>
        <w:tc>
          <w:tcPr>
            <w:tcW w:w="1229" w:type="dxa"/>
            <w:vMerge w:val="restart"/>
            <w:noWrap/>
            <w:vAlign w:val="center"/>
          </w:tcPr>
          <w:p w14:paraId="6BE6EBE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设备名称</w:t>
            </w:r>
          </w:p>
        </w:tc>
        <w:tc>
          <w:tcPr>
            <w:tcW w:w="641" w:type="dxa"/>
            <w:vMerge w:val="restart"/>
            <w:noWrap/>
            <w:vAlign w:val="center"/>
          </w:tcPr>
          <w:p w14:paraId="69BF8E8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台数</w:t>
            </w:r>
          </w:p>
        </w:tc>
        <w:tc>
          <w:tcPr>
            <w:tcW w:w="1347" w:type="dxa"/>
            <w:vMerge w:val="restart"/>
            <w:noWrap/>
            <w:vAlign w:val="center"/>
          </w:tcPr>
          <w:p w14:paraId="64094D0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声</w:t>
            </w:r>
            <w:r>
              <w:rPr>
                <w:rFonts w:hint="eastAsia" w:ascii="Times New Roman" w:hAnsi="Times New Roman" w:cs="Times New Roman"/>
                <w:b/>
                <w:bCs/>
                <w:color w:val="auto"/>
                <w:sz w:val="21"/>
                <w:szCs w:val="21"/>
              </w:rPr>
              <w:t>压</w:t>
            </w:r>
            <w:r>
              <w:rPr>
                <w:rFonts w:hint="default" w:ascii="Times New Roman" w:hAnsi="Times New Roman" w:cs="Times New Roman"/>
                <w:b/>
                <w:bCs/>
                <w:color w:val="auto"/>
                <w:sz w:val="21"/>
                <w:szCs w:val="21"/>
              </w:rPr>
              <w:t>级</w:t>
            </w:r>
          </w:p>
          <w:p w14:paraId="39CEC8F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dB（A）</w:t>
            </w:r>
          </w:p>
        </w:tc>
        <w:tc>
          <w:tcPr>
            <w:tcW w:w="1278" w:type="dxa"/>
            <w:vMerge w:val="restart"/>
            <w:noWrap/>
            <w:vAlign w:val="center"/>
          </w:tcPr>
          <w:p w14:paraId="2F77C51F">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b/>
                <w:bCs/>
                <w:color w:val="auto"/>
                <w:sz w:val="21"/>
                <w:szCs w:val="21"/>
              </w:rPr>
            </w:pPr>
            <w:r>
              <w:rPr>
                <w:rFonts w:hint="eastAsia" w:ascii="Times New Roman" w:hAnsi="Times New Roman" w:cs="Times New Roman"/>
                <w:b/>
                <w:bCs/>
                <w:color w:val="auto"/>
                <w:sz w:val="21"/>
                <w:szCs w:val="21"/>
              </w:rPr>
              <w:t>对应距离</w:t>
            </w:r>
          </w:p>
        </w:tc>
        <w:tc>
          <w:tcPr>
            <w:tcW w:w="988" w:type="dxa"/>
            <w:vMerge w:val="restart"/>
            <w:noWrap/>
            <w:vAlign w:val="center"/>
          </w:tcPr>
          <w:p w14:paraId="2FE5C2F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布置方式</w:t>
            </w:r>
          </w:p>
        </w:tc>
        <w:tc>
          <w:tcPr>
            <w:tcW w:w="2272" w:type="dxa"/>
            <w:gridSpan w:val="3"/>
            <w:noWrap/>
            <w:vAlign w:val="center"/>
          </w:tcPr>
          <w:p w14:paraId="435BBFD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坐标</w:t>
            </w:r>
          </w:p>
        </w:tc>
        <w:tc>
          <w:tcPr>
            <w:tcW w:w="955" w:type="dxa"/>
            <w:vMerge w:val="restart"/>
            <w:noWrap/>
            <w:vAlign w:val="center"/>
          </w:tcPr>
          <w:p w14:paraId="2866AF4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降噪效果dB(A)</w:t>
            </w:r>
          </w:p>
        </w:tc>
      </w:tr>
      <w:tr w14:paraId="043CB0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77" w:type="dxa"/>
            <w:vMerge w:val="continue"/>
            <w:noWrap/>
            <w:vAlign w:val="center"/>
          </w:tcPr>
          <w:p w14:paraId="0D392CB7">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1"/>
                <w:szCs w:val="21"/>
              </w:rPr>
            </w:pPr>
          </w:p>
        </w:tc>
        <w:tc>
          <w:tcPr>
            <w:tcW w:w="1229" w:type="dxa"/>
            <w:vMerge w:val="continue"/>
            <w:noWrap/>
            <w:vAlign w:val="center"/>
          </w:tcPr>
          <w:p w14:paraId="62AF1977">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1"/>
                <w:szCs w:val="21"/>
              </w:rPr>
            </w:pPr>
          </w:p>
        </w:tc>
        <w:tc>
          <w:tcPr>
            <w:tcW w:w="641" w:type="dxa"/>
            <w:vMerge w:val="continue"/>
            <w:noWrap/>
            <w:vAlign w:val="center"/>
          </w:tcPr>
          <w:p w14:paraId="620978D7">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1"/>
                <w:szCs w:val="21"/>
              </w:rPr>
            </w:pPr>
          </w:p>
        </w:tc>
        <w:tc>
          <w:tcPr>
            <w:tcW w:w="1347" w:type="dxa"/>
            <w:vMerge w:val="continue"/>
            <w:noWrap/>
            <w:vAlign w:val="center"/>
          </w:tcPr>
          <w:p w14:paraId="5E16B71A">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1"/>
                <w:szCs w:val="21"/>
              </w:rPr>
            </w:pPr>
          </w:p>
        </w:tc>
        <w:tc>
          <w:tcPr>
            <w:tcW w:w="1278" w:type="dxa"/>
            <w:vMerge w:val="continue"/>
            <w:noWrap/>
            <w:vAlign w:val="center"/>
          </w:tcPr>
          <w:p w14:paraId="0F480DEC">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1"/>
                <w:szCs w:val="21"/>
              </w:rPr>
            </w:pPr>
          </w:p>
        </w:tc>
        <w:tc>
          <w:tcPr>
            <w:tcW w:w="988" w:type="dxa"/>
            <w:vMerge w:val="continue"/>
            <w:noWrap/>
            <w:vAlign w:val="center"/>
          </w:tcPr>
          <w:p w14:paraId="5B95C265">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color w:val="auto"/>
                <w:sz w:val="21"/>
                <w:szCs w:val="21"/>
              </w:rPr>
            </w:pPr>
          </w:p>
        </w:tc>
        <w:tc>
          <w:tcPr>
            <w:tcW w:w="710" w:type="dxa"/>
            <w:noWrap/>
            <w:vAlign w:val="center"/>
          </w:tcPr>
          <w:p w14:paraId="106CF87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X</w:t>
            </w:r>
          </w:p>
        </w:tc>
        <w:tc>
          <w:tcPr>
            <w:tcW w:w="708" w:type="dxa"/>
            <w:noWrap/>
            <w:vAlign w:val="center"/>
          </w:tcPr>
          <w:p w14:paraId="1B582C1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Y</w:t>
            </w:r>
          </w:p>
        </w:tc>
        <w:tc>
          <w:tcPr>
            <w:tcW w:w="854" w:type="dxa"/>
            <w:noWrap/>
            <w:vAlign w:val="center"/>
          </w:tcPr>
          <w:p w14:paraId="3CA89DE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Z</w:t>
            </w:r>
          </w:p>
        </w:tc>
        <w:tc>
          <w:tcPr>
            <w:tcW w:w="955" w:type="dxa"/>
            <w:vMerge w:val="continue"/>
            <w:noWrap/>
            <w:vAlign w:val="center"/>
          </w:tcPr>
          <w:p w14:paraId="09B679DE">
            <w:pPr>
              <w:keepNext w:val="0"/>
              <w:keepLines w:val="0"/>
              <w:suppressLineNumbers w:val="0"/>
              <w:adjustRightInd w:val="0"/>
              <w:snapToGrid w:val="0"/>
              <w:spacing w:before="0" w:beforeAutospacing="0" w:after="0" w:afterAutospacing="0"/>
              <w:ind w:left="0" w:right="0"/>
              <w:rPr>
                <w:rFonts w:hint="default" w:ascii="Times New Roman" w:hAnsi="Times New Roman" w:cs="Times New Roman"/>
                <w:b/>
                <w:bCs/>
                <w:color w:val="auto"/>
                <w:sz w:val="21"/>
                <w:szCs w:val="21"/>
              </w:rPr>
            </w:pPr>
          </w:p>
        </w:tc>
      </w:tr>
      <w:tr w14:paraId="3D50CD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7" w:type="dxa"/>
            <w:noWrap/>
            <w:vAlign w:val="center"/>
          </w:tcPr>
          <w:p w14:paraId="74BE229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229" w:type="dxa"/>
            <w:noWrap/>
            <w:vAlign w:val="center"/>
          </w:tcPr>
          <w:p w14:paraId="4587491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流动</w:t>
            </w:r>
            <w:r>
              <w:rPr>
                <w:rFonts w:hint="default" w:ascii="Times New Roman" w:hAnsi="Times New Roman" w:cs="Times New Roman"/>
                <w:color w:val="auto"/>
                <w:sz w:val="21"/>
                <w:szCs w:val="21"/>
              </w:rPr>
              <w:t>装船机</w:t>
            </w:r>
          </w:p>
        </w:tc>
        <w:tc>
          <w:tcPr>
            <w:tcW w:w="641" w:type="dxa"/>
            <w:noWrap/>
            <w:vAlign w:val="center"/>
          </w:tcPr>
          <w:p w14:paraId="7692036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347" w:type="dxa"/>
            <w:noWrap/>
            <w:vAlign w:val="center"/>
          </w:tcPr>
          <w:p w14:paraId="59457B1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85</w:t>
            </w:r>
          </w:p>
        </w:tc>
        <w:tc>
          <w:tcPr>
            <w:tcW w:w="1278" w:type="dxa"/>
            <w:noWrap/>
            <w:vAlign w:val="center"/>
          </w:tcPr>
          <w:p w14:paraId="2B09EC2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设备外1m</w:t>
            </w:r>
          </w:p>
        </w:tc>
        <w:tc>
          <w:tcPr>
            <w:tcW w:w="988" w:type="dxa"/>
            <w:noWrap/>
            <w:vAlign w:val="center"/>
          </w:tcPr>
          <w:p w14:paraId="684D75C0">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color w:val="auto"/>
                <w:sz w:val="21"/>
                <w:szCs w:val="21"/>
              </w:rPr>
            </w:pPr>
            <w:r>
              <w:rPr>
                <w:rFonts w:hint="default" w:ascii="Times New Roman" w:hAnsi="Times New Roman" w:cs="Times New Roman"/>
                <w:color w:val="auto"/>
                <w:sz w:val="21"/>
                <w:szCs w:val="21"/>
              </w:rPr>
              <w:t>室外</w:t>
            </w:r>
          </w:p>
        </w:tc>
        <w:tc>
          <w:tcPr>
            <w:tcW w:w="710" w:type="dxa"/>
            <w:noWrap/>
            <w:vAlign w:val="center"/>
          </w:tcPr>
          <w:p w14:paraId="3C66458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60-80</w:t>
            </w:r>
          </w:p>
        </w:tc>
        <w:tc>
          <w:tcPr>
            <w:tcW w:w="708" w:type="dxa"/>
            <w:noWrap/>
            <w:vAlign w:val="center"/>
          </w:tcPr>
          <w:p w14:paraId="07D5500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w:t>
            </w:r>
          </w:p>
        </w:tc>
        <w:tc>
          <w:tcPr>
            <w:tcW w:w="854" w:type="dxa"/>
            <w:noWrap/>
            <w:vAlign w:val="center"/>
          </w:tcPr>
          <w:p w14:paraId="60F54B8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955" w:type="dxa"/>
            <w:noWrap/>
            <w:vAlign w:val="center"/>
          </w:tcPr>
          <w:p w14:paraId="2873538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w:t>
            </w:r>
          </w:p>
        </w:tc>
      </w:tr>
      <w:tr w14:paraId="74C779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7" w:type="dxa"/>
            <w:noWrap/>
            <w:vAlign w:val="center"/>
          </w:tcPr>
          <w:p w14:paraId="7C883AB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1229" w:type="dxa"/>
            <w:noWrap/>
            <w:vAlign w:val="center"/>
          </w:tcPr>
          <w:p w14:paraId="12FED95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固定吊</w:t>
            </w:r>
          </w:p>
        </w:tc>
        <w:tc>
          <w:tcPr>
            <w:tcW w:w="641" w:type="dxa"/>
            <w:noWrap/>
            <w:vAlign w:val="center"/>
          </w:tcPr>
          <w:p w14:paraId="1BBF35D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w:t>
            </w:r>
          </w:p>
        </w:tc>
        <w:tc>
          <w:tcPr>
            <w:tcW w:w="1347" w:type="dxa"/>
            <w:noWrap/>
            <w:vAlign w:val="center"/>
          </w:tcPr>
          <w:p w14:paraId="7810797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8</w:t>
            </w:r>
            <w:r>
              <w:rPr>
                <w:rFonts w:hint="default" w:ascii="Times New Roman" w:hAnsi="Times New Roman" w:cs="Times New Roman"/>
                <w:color w:val="auto"/>
                <w:sz w:val="21"/>
                <w:szCs w:val="21"/>
              </w:rPr>
              <w:t>0</w:t>
            </w:r>
          </w:p>
        </w:tc>
        <w:tc>
          <w:tcPr>
            <w:tcW w:w="1278" w:type="dxa"/>
            <w:noWrap/>
            <w:vAlign w:val="center"/>
          </w:tcPr>
          <w:p w14:paraId="543703A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设备外1m</w:t>
            </w:r>
          </w:p>
        </w:tc>
        <w:tc>
          <w:tcPr>
            <w:tcW w:w="988" w:type="dxa"/>
            <w:noWrap/>
            <w:vAlign w:val="center"/>
          </w:tcPr>
          <w:p w14:paraId="6EAB15A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室外</w:t>
            </w:r>
          </w:p>
        </w:tc>
        <w:tc>
          <w:tcPr>
            <w:tcW w:w="710" w:type="dxa"/>
            <w:noWrap/>
            <w:vAlign w:val="center"/>
          </w:tcPr>
          <w:p w14:paraId="557B548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25</w:t>
            </w:r>
          </w:p>
        </w:tc>
        <w:tc>
          <w:tcPr>
            <w:tcW w:w="708" w:type="dxa"/>
            <w:noWrap/>
            <w:vAlign w:val="center"/>
          </w:tcPr>
          <w:p w14:paraId="2ADED9C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w:t>
            </w:r>
            <w:r>
              <w:rPr>
                <w:rFonts w:hint="default" w:ascii="Times New Roman" w:hAnsi="Times New Roman" w:cs="Times New Roman"/>
                <w:color w:val="auto"/>
                <w:sz w:val="21"/>
                <w:szCs w:val="21"/>
              </w:rPr>
              <w:t>10</w:t>
            </w:r>
          </w:p>
        </w:tc>
        <w:tc>
          <w:tcPr>
            <w:tcW w:w="854" w:type="dxa"/>
            <w:noWrap/>
            <w:vAlign w:val="center"/>
          </w:tcPr>
          <w:p w14:paraId="3FC3D46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1</w:t>
            </w:r>
          </w:p>
        </w:tc>
        <w:tc>
          <w:tcPr>
            <w:tcW w:w="955" w:type="dxa"/>
            <w:noWrap/>
            <w:vAlign w:val="center"/>
          </w:tcPr>
          <w:p w14:paraId="617F5D9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w:t>
            </w:r>
            <w:r>
              <w:rPr>
                <w:rFonts w:hint="default" w:ascii="Times New Roman" w:hAnsi="Times New Roman" w:cs="Times New Roman"/>
                <w:color w:val="auto"/>
                <w:sz w:val="21"/>
                <w:szCs w:val="21"/>
              </w:rPr>
              <w:t>5</w:t>
            </w:r>
          </w:p>
        </w:tc>
      </w:tr>
      <w:tr w14:paraId="4F305E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7" w:type="dxa"/>
            <w:noWrap/>
            <w:vAlign w:val="center"/>
          </w:tcPr>
          <w:p w14:paraId="39F278F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3</w:t>
            </w:r>
          </w:p>
        </w:tc>
        <w:tc>
          <w:tcPr>
            <w:tcW w:w="1229" w:type="dxa"/>
            <w:noWrap/>
            <w:vAlign w:val="center"/>
          </w:tcPr>
          <w:p w14:paraId="1611266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液压抓机</w:t>
            </w:r>
          </w:p>
        </w:tc>
        <w:tc>
          <w:tcPr>
            <w:tcW w:w="641" w:type="dxa"/>
            <w:noWrap/>
            <w:vAlign w:val="center"/>
          </w:tcPr>
          <w:p w14:paraId="0A75B5A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1347" w:type="dxa"/>
            <w:noWrap/>
            <w:vAlign w:val="center"/>
          </w:tcPr>
          <w:p w14:paraId="59ADDCB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8</w:t>
            </w:r>
            <w:r>
              <w:rPr>
                <w:rFonts w:hint="default" w:ascii="Times New Roman" w:hAnsi="Times New Roman" w:cs="Times New Roman"/>
                <w:color w:val="auto"/>
                <w:sz w:val="21"/>
                <w:szCs w:val="21"/>
              </w:rPr>
              <w:t>0</w:t>
            </w:r>
          </w:p>
        </w:tc>
        <w:tc>
          <w:tcPr>
            <w:tcW w:w="1278" w:type="dxa"/>
            <w:noWrap/>
            <w:vAlign w:val="center"/>
          </w:tcPr>
          <w:p w14:paraId="43BE303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设备外1m</w:t>
            </w:r>
          </w:p>
        </w:tc>
        <w:tc>
          <w:tcPr>
            <w:tcW w:w="988" w:type="dxa"/>
            <w:noWrap/>
            <w:vAlign w:val="center"/>
          </w:tcPr>
          <w:p w14:paraId="23A8741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室外</w:t>
            </w:r>
          </w:p>
        </w:tc>
        <w:tc>
          <w:tcPr>
            <w:tcW w:w="710" w:type="dxa"/>
            <w:noWrap/>
            <w:vAlign w:val="center"/>
          </w:tcPr>
          <w:p w14:paraId="34DA787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150</w:t>
            </w:r>
          </w:p>
        </w:tc>
        <w:tc>
          <w:tcPr>
            <w:tcW w:w="708" w:type="dxa"/>
            <w:noWrap/>
            <w:vAlign w:val="center"/>
          </w:tcPr>
          <w:p w14:paraId="49B7C6C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854" w:type="dxa"/>
            <w:noWrap/>
            <w:vAlign w:val="center"/>
          </w:tcPr>
          <w:p w14:paraId="37525A1C">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color w:val="auto"/>
                <w:sz w:val="21"/>
                <w:szCs w:val="21"/>
              </w:rPr>
            </w:pPr>
            <w:r>
              <w:rPr>
                <w:rFonts w:hint="default" w:ascii="Times New Roman" w:hAnsi="Times New Roman" w:cs="Times New Roman"/>
                <w:color w:val="auto"/>
                <w:sz w:val="21"/>
                <w:szCs w:val="21"/>
              </w:rPr>
              <w:t>10</w:t>
            </w:r>
          </w:p>
        </w:tc>
        <w:tc>
          <w:tcPr>
            <w:tcW w:w="955" w:type="dxa"/>
            <w:noWrap/>
            <w:vAlign w:val="center"/>
          </w:tcPr>
          <w:p w14:paraId="5738F2D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w:t>
            </w:r>
          </w:p>
        </w:tc>
      </w:tr>
      <w:tr w14:paraId="56E906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7" w:type="dxa"/>
            <w:noWrap/>
            <w:vAlign w:val="center"/>
          </w:tcPr>
          <w:p w14:paraId="1078232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4</w:t>
            </w:r>
          </w:p>
        </w:tc>
        <w:tc>
          <w:tcPr>
            <w:tcW w:w="1229" w:type="dxa"/>
            <w:noWrap/>
            <w:vAlign w:val="center"/>
          </w:tcPr>
          <w:p w14:paraId="55AF30F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水泵</w:t>
            </w:r>
          </w:p>
        </w:tc>
        <w:tc>
          <w:tcPr>
            <w:tcW w:w="641" w:type="dxa"/>
            <w:noWrap/>
            <w:vAlign w:val="center"/>
          </w:tcPr>
          <w:p w14:paraId="5E3EE45F">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w:t>
            </w:r>
          </w:p>
        </w:tc>
        <w:tc>
          <w:tcPr>
            <w:tcW w:w="1347" w:type="dxa"/>
            <w:noWrap/>
            <w:vAlign w:val="center"/>
          </w:tcPr>
          <w:p w14:paraId="116F317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85</w:t>
            </w:r>
          </w:p>
        </w:tc>
        <w:tc>
          <w:tcPr>
            <w:tcW w:w="1278" w:type="dxa"/>
            <w:noWrap/>
            <w:vAlign w:val="center"/>
          </w:tcPr>
          <w:p w14:paraId="795F2E8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设备外1m</w:t>
            </w:r>
          </w:p>
        </w:tc>
        <w:tc>
          <w:tcPr>
            <w:tcW w:w="988" w:type="dxa"/>
            <w:noWrap/>
            <w:vAlign w:val="center"/>
          </w:tcPr>
          <w:p w14:paraId="50AE7F8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室外</w:t>
            </w:r>
          </w:p>
        </w:tc>
        <w:tc>
          <w:tcPr>
            <w:tcW w:w="710" w:type="dxa"/>
            <w:noWrap/>
            <w:vAlign w:val="center"/>
          </w:tcPr>
          <w:p w14:paraId="62BB590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50</w:t>
            </w:r>
          </w:p>
        </w:tc>
        <w:tc>
          <w:tcPr>
            <w:tcW w:w="708" w:type="dxa"/>
            <w:noWrap/>
            <w:vAlign w:val="center"/>
          </w:tcPr>
          <w:p w14:paraId="4F7EE68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25</w:t>
            </w:r>
          </w:p>
        </w:tc>
        <w:tc>
          <w:tcPr>
            <w:tcW w:w="854" w:type="dxa"/>
            <w:noWrap/>
            <w:vAlign w:val="center"/>
          </w:tcPr>
          <w:p w14:paraId="1D306DB0">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0</w:t>
            </w:r>
            <w:r>
              <w:rPr>
                <w:rFonts w:hint="default" w:ascii="Times New Roman" w:hAnsi="Times New Roman" w:cs="Times New Roman"/>
                <w:color w:val="auto"/>
                <w:sz w:val="21"/>
                <w:szCs w:val="21"/>
              </w:rPr>
              <w:t>.5</w:t>
            </w:r>
          </w:p>
        </w:tc>
        <w:tc>
          <w:tcPr>
            <w:tcW w:w="955" w:type="dxa"/>
            <w:noWrap/>
            <w:vAlign w:val="center"/>
          </w:tcPr>
          <w:p w14:paraId="2810989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w:t>
            </w:r>
          </w:p>
        </w:tc>
      </w:tr>
      <w:tr w14:paraId="0C1A53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77" w:type="dxa"/>
            <w:noWrap/>
            <w:vAlign w:val="center"/>
          </w:tcPr>
          <w:p w14:paraId="3883E34C">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5</w:t>
            </w:r>
          </w:p>
        </w:tc>
        <w:tc>
          <w:tcPr>
            <w:tcW w:w="1229" w:type="dxa"/>
            <w:noWrap/>
            <w:vAlign w:val="center"/>
          </w:tcPr>
          <w:p w14:paraId="715448B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船舶发动机</w:t>
            </w:r>
          </w:p>
        </w:tc>
        <w:tc>
          <w:tcPr>
            <w:tcW w:w="641" w:type="dxa"/>
            <w:noWrap/>
            <w:vAlign w:val="center"/>
          </w:tcPr>
          <w:p w14:paraId="0937D26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347" w:type="dxa"/>
            <w:noWrap/>
            <w:vAlign w:val="center"/>
          </w:tcPr>
          <w:p w14:paraId="49BE241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68（10m处）</w:t>
            </w:r>
          </w:p>
        </w:tc>
        <w:tc>
          <w:tcPr>
            <w:tcW w:w="1278" w:type="dxa"/>
            <w:noWrap/>
            <w:vAlign w:val="center"/>
          </w:tcPr>
          <w:p w14:paraId="6975562F">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color w:val="auto"/>
                <w:sz w:val="21"/>
                <w:szCs w:val="21"/>
              </w:rPr>
            </w:pPr>
            <w:r>
              <w:rPr>
                <w:rFonts w:hint="default" w:ascii="Times New Roman" w:hAnsi="Times New Roman" w:cs="Times New Roman"/>
                <w:color w:val="auto"/>
                <w:sz w:val="21"/>
                <w:szCs w:val="21"/>
              </w:rPr>
              <w:t>设备外1m</w:t>
            </w:r>
          </w:p>
        </w:tc>
        <w:tc>
          <w:tcPr>
            <w:tcW w:w="988" w:type="dxa"/>
            <w:noWrap/>
            <w:vAlign w:val="center"/>
          </w:tcPr>
          <w:p w14:paraId="2CE104D9">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color w:val="auto"/>
                <w:sz w:val="21"/>
                <w:szCs w:val="21"/>
              </w:rPr>
            </w:pPr>
            <w:r>
              <w:rPr>
                <w:rFonts w:hint="default" w:ascii="Times New Roman" w:hAnsi="Times New Roman" w:cs="Times New Roman"/>
                <w:color w:val="auto"/>
                <w:sz w:val="21"/>
                <w:szCs w:val="21"/>
              </w:rPr>
              <w:t>室外</w:t>
            </w:r>
          </w:p>
        </w:tc>
        <w:tc>
          <w:tcPr>
            <w:tcW w:w="710" w:type="dxa"/>
            <w:noWrap/>
            <w:vAlign w:val="center"/>
          </w:tcPr>
          <w:p w14:paraId="52EBD947">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color w:val="auto"/>
                <w:sz w:val="21"/>
                <w:szCs w:val="21"/>
              </w:rPr>
            </w:pPr>
            <w:r>
              <w:rPr>
                <w:rFonts w:hint="default" w:ascii="Times New Roman" w:hAnsi="Times New Roman" w:cs="Times New Roman"/>
                <w:color w:val="auto"/>
                <w:sz w:val="21"/>
                <w:szCs w:val="21"/>
              </w:rPr>
              <w:t>100</w:t>
            </w:r>
          </w:p>
        </w:tc>
        <w:tc>
          <w:tcPr>
            <w:tcW w:w="708" w:type="dxa"/>
            <w:noWrap/>
            <w:vAlign w:val="center"/>
          </w:tcPr>
          <w:p w14:paraId="308E8411">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color w:val="auto"/>
                <w:sz w:val="21"/>
                <w:szCs w:val="21"/>
              </w:rPr>
            </w:pPr>
            <w:r>
              <w:rPr>
                <w:rFonts w:hint="eastAsia" w:ascii="Times New Roman" w:hAnsi="Times New Roman" w:cs="Times New Roman"/>
                <w:color w:val="auto"/>
                <w:sz w:val="21"/>
                <w:szCs w:val="21"/>
              </w:rPr>
              <w:t>5</w:t>
            </w:r>
          </w:p>
        </w:tc>
        <w:tc>
          <w:tcPr>
            <w:tcW w:w="854" w:type="dxa"/>
            <w:noWrap/>
            <w:vAlign w:val="center"/>
          </w:tcPr>
          <w:p w14:paraId="0A978DAA">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955" w:type="dxa"/>
            <w:noWrap/>
            <w:vAlign w:val="center"/>
          </w:tcPr>
          <w:p w14:paraId="60644B5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15</w:t>
            </w:r>
          </w:p>
        </w:tc>
      </w:tr>
    </w:tbl>
    <w:p w14:paraId="31E8D435">
      <w:pPr>
        <w:pStyle w:val="5"/>
        <w:numPr>
          <w:ilvl w:val="0"/>
          <w:numId w:val="0"/>
        </w:numPr>
        <w:rPr>
          <w:color w:val="auto"/>
        </w:rPr>
      </w:pPr>
      <w:r>
        <w:rPr>
          <w:rFonts w:hint="eastAsia"/>
          <w:color w:val="auto"/>
        </w:rPr>
        <w:t>5.2.3.2</w:t>
      </w:r>
      <w:r>
        <w:rPr>
          <w:color w:val="auto"/>
        </w:rPr>
        <w:t>预测模式</w:t>
      </w:r>
    </w:p>
    <w:p w14:paraId="7A14AE80">
      <w:pPr>
        <w:spacing w:line="360" w:lineRule="auto"/>
        <w:ind w:firstLine="480" w:firstLineChars="200"/>
        <w:rPr>
          <w:rFonts w:hint="eastAsia"/>
          <w:color w:val="auto"/>
          <w:sz w:val="24"/>
        </w:rPr>
      </w:pPr>
      <w:r>
        <w:rPr>
          <w:rFonts w:hint="eastAsia"/>
          <w:color w:val="auto"/>
          <w:sz w:val="24"/>
        </w:rPr>
        <w:t>以项目区西南角预测点为原点，选择一个坐标系，确定各噪声源位置，并测量各噪声源到预测点的距离，将各噪声源视为半自由状态噪声源，按声能量在空气传播中衰减模式可计算出某噪声源在预测点的声压级。</w:t>
      </w:r>
    </w:p>
    <w:p w14:paraId="3229FCEE">
      <w:pPr>
        <w:spacing w:line="360" w:lineRule="auto"/>
        <w:ind w:firstLine="480" w:firstLineChars="200"/>
        <w:rPr>
          <w:rFonts w:hint="eastAsia"/>
          <w:color w:val="auto"/>
          <w:sz w:val="24"/>
        </w:rPr>
      </w:pPr>
      <w:r>
        <w:rPr>
          <w:rFonts w:hint="eastAsia"/>
          <w:color w:val="auto"/>
          <w:sz w:val="24"/>
        </w:rPr>
        <w:t>根据工程噪声源特点，预测采用《环境影响评价技术导则 声环境》（HJ2.4-2021）附录A.2和B.1.5中的工业噪声预测计算模式和户外声传播的衰减公式。噪声预测模式如下：</w:t>
      </w:r>
    </w:p>
    <w:p w14:paraId="03C56EEB">
      <w:pPr>
        <w:spacing w:line="360" w:lineRule="auto"/>
        <w:ind w:firstLine="480" w:firstLineChars="200"/>
        <w:rPr>
          <w:rFonts w:hint="eastAsia"/>
          <w:color w:val="auto"/>
          <w:sz w:val="24"/>
        </w:rPr>
      </w:pPr>
      <w:r>
        <w:rPr>
          <w:rFonts w:hint="eastAsia"/>
          <w:color w:val="auto"/>
          <w:sz w:val="24"/>
        </w:rPr>
        <w:t>（1）室外点声源预测模式</w:t>
      </w:r>
    </w:p>
    <w:p w14:paraId="18FAB9DE">
      <w:pPr>
        <w:spacing w:line="360" w:lineRule="auto"/>
        <w:ind w:firstLine="480" w:firstLineChars="200"/>
        <w:rPr>
          <w:rFonts w:hint="eastAsia"/>
          <w:color w:val="auto"/>
          <w:sz w:val="24"/>
        </w:rPr>
      </w:pPr>
      <w:r>
        <w:rPr>
          <w:rFonts w:hint="eastAsia"/>
          <w:color w:val="auto"/>
          <w:sz w:val="24"/>
        </w:rPr>
        <w:t>根据《环境影响评价技术导则 声环境》（HJ2.4-2021），已知点声源的A声压级设第i个室外声源在预测点产生的A声级为L</w:t>
      </w:r>
      <w:r>
        <w:rPr>
          <w:rFonts w:hint="eastAsia"/>
          <w:color w:val="auto"/>
          <w:sz w:val="24"/>
          <w:vertAlign w:val="subscript"/>
        </w:rPr>
        <w:t>Ai</w:t>
      </w:r>
      <w:r>
        <w:rPr>
          <w:rFonts w:hint="eastAsia"/>
          <w:color w:val="auto"/>
          <w:sz w:val="24"/>
        </w:rPr>
        <w:t>，在T时间内该声源工作时间为it；第j个等效室外声源在预测点产生的A声级为L</w:t>
      </w:r>
      <w:r>
        <w:rPr>
          <w:rFonts w:hint="eastAsia"/>
          <w:color w:val="auto"/>
          <w:sz w:val="24"/>
          <w:vertAlign w:val="subscript"/>
        </w:rPr>
        <w:t>Aj</w:t>
      </w:r>
      <w:r>
        <w:rPr>
          <w:rFonts w:hint="eastAsia"/>
          <w:color w:val="auto"/>
          <w:sz w:val="24"/>
        </w:rPr>
        <w:t>，在T时间内该声源工作时间为tj，则拟建工程声源对预测点产生的贡献值（Leqg）为：</w:t>
      </w:r>
    </w:p>
    <w:p w14:paraId="1D59E5C2">
      <w:pPr>
        <w:ind w:firstLine="480"/>
        <w:jc w:val="center"/>
        <w:rPr>
          <w:color w:val="auto"/>
          <w:szCs w:val="24"/>
        </w:rPr>
      </w:pPr>
      <w:r>
        <w:rPr>
          <w:color w:val="auto"/>
        </w:rPr>
        <w:drawing>
          <wp:inline distT="0" distB="0" distL="114300" distR="114300">
            <wp:extent cx="3420110" cy="720090"/>
            <wp:effectExtent l="0" t="0" r="8890" b="3810"/>
            <wp:docPr id="199" name="图片 898"/>
            <wp:cNvGraphicFramePr/>
            <a:graphic xmlns:a="http://schemas.openxmlformats.org/drawingml/2006/main">
              <a:graphicData uri="http://schemas.openxmlformats.org/drawingml/2006/picture">
                <pic:pic xmlns:pic="http://schemas.openxmlformats.org/drawingml/2006/picture">
                  <pic:nvPicPr>
                    <pic:cNvPr id="199" name="图片 898"/>
                    <pic:cNvPicPr preferRelativeResize="0"/>
                  </pic:nvPicPr>
                  <pic:blipFill>
                    <a:blip r:embed="rId178"/>
                    <a:stretch>
                      <a:fillRect/>
                    </a:stretch>
                  </pic:blipFill>
                  <pic:spPr>
                    <a:xfrm>
                      <a:off x="0" y="0"/>
                      <a:ext cx="3420110" cy="720090"/>
                    </a:xfrm>
                    <a:prstGeom prst="rect">
                      <a:avLst/>
                    </a:prstGeom>
                    <a:noFill/>
                    <a:ln>
                      <a:noFill/>
                    </a:ln>
                  </pic:spPr>
                </pic:pic>
              </a:graphicData>
            </a:graphic>
          </wp:inline>
        </w:drawing>
      </w:r>
    </w:p>
    <w:p w14:paraId="36F75891">
      <w:pPr>
        <w:spacing w:line="360" w:lineRule="auto"/>
        <w:ind w:firstLine="480" w:firstLineChars="200"/>
        <w:rPr>
          <w:rFonts w:hint="eastAsia"/>
          <w:color w:val="auto"/>
          <w:sz w:val="24"/>
        </w:rPr>
      </w:pPr>
      <w:r>
        <w:rPr>
          <w:rFonts w:hint="eastAsia"/>
          <w:color w:val="auto"/>
          <w:sz w:val="24"/>
        </w:rPr>
        <w:t>式中：Leqg——建设项目声源在预测点产生的噪声贡献值，dB；</w:t>
      </w:r>
    </w:p>
    <w:p w14:paraId="5D2AE2A7">
      <w:pPr>
        <w:spacing w:line="360" w:lineRule="auto"/>
        <w:ind w:firstLine="480" w:firstLineChars="200"/>
        <w:rPr>
          <w:rFonts w:hint="eastAsia"/>
          <w:color w:val="auto"/>
          <w:sz w:val="24"/>
        </w:rPr>
      </w:pPr>
      <w:r>
        <w:rPr>
          <w:rFonts w:hint="eastAsia"/>
          <w:color w:val="auto"/>
          <w:sz w:val="24"/>
        </w:rPr>
        <w:t>T——用于计算等效声级的时间，s；</w:t>
      </w:r>
    </w:p>
    <w:p w14:paraId="1C07144D">
      <w:pPr>
        <w:spacing w:line="360" w:lineRule="auto"/>
        <w:ind w:firstLine="480" w:firstLineChars="200"/>
        <w:rPr>
          <w:rFonts w:hint="eastAsia"/>
          <w:color w:val="auto"/>
          <w:sz w:val="24"/>
        </w:rPr>
      </w:pPr>
      <w:r>
        <w:rPr>
          <w:rFonts w:hint="eastAsia"/>
          <w:color w:val="auto"/>
          <w:sz w:val="24"/>
        </w:rPr>
        <w:t>N——室外声源个数；</w:t>
      </w:r>
    </w:p>
    <w:p w14:paraId="179D258E">
      <w:pPr>
        <w:spacing w:line="360" w:lineRule="auto"/>
        <w:ind w:firstLine="480" w:firstLineChars="200"/>
        <w:rPr>
          <w:rFonts w:hint="eastAsia"/>
          <w:color w:val="auto"/>
          <w:sz w:val="24"/>
        </w:rPr>
      </w:pPr>
      <w:r>
        <w:rPr>
          <w:rFonts w:hint="eastAsia"/>
          <w:color w:val="auto"/>
          <w:sz w:val="24"/>
        </w:rPr>
        <w:t>ti——在T时间内i声源工作时间，s；</w:t>
      </w:r>
    </w:p>
    <w:p w14:paraId="09DFDA26">
      <w:pPr>
        <w:spacing w:line="360" w:lineRule="auto"/>
        <w:ind w:firstLine="480" w:firstLineChars="200"/>
        <w:rPr>
          <w:rFonts w:hint="eastAsia"/>
          <w:color w:val="auto"/>
          <w:sz w:val="24"/>
        </w:rPr>
      </w:pPr>
      <w:r>
        <w:rPr>
          <w:rFonts w:hint="eastAsia"/>
          <w:color w:val="auto"/>
          <w:sz w:val="24"/>
        </w:rPr>
        <w:t>M——等效室外声源个数；</w:t>
      </w:r>
    </w:p>
    <w:p w14:paraId="5ECB48B0">
      <w:pPr>
        <w:spacing w:line="360" w:lineRule="auto"/>
        <w:ind w:left="478" w:leftChars="228"/>
        <w:rPr>
          <w:rFonts w:hint="eastAsia"/>
          <w:color w:val="auto"/>
          <w:sz w:val="24"/>
        </w:rPr>
      </w:pPr>
      <w:r>
        <w:rPr>
          <w:rFonts w:hint="eastAsia"/>
          <w:color w:val="auto"/>
          <w:sz w:val="24"/>
        </w:rPr>
        <w:t>tj——在T时间内j声源工作时间，s。</w:t>
      </w:r>
      <w:r>
        <w:rPr>
          <w:color w:val="auto"/>
          <w:szCs w:val="24"/>
        </w:rPr>
        <w:cr/>
      </w:r>
      <w:r>
        <w:rPr>
          <w:rFonts w:hint="eastAsia"/>
          <w:color w:val="auto"/>
          <w:sz w:val="24"/>
        </w:rPr>
        <w:t>（2）无指向性点声源几何发散衰减</w:t>
      </w:r>
    </w:p>
    <w:p w14:paraId="61DD930D">
      <w:pPr>
        <w:spacing w:line="360" w:lineRule="auto"/>
        <w:ind w:firstLine="480" w:firstLineChars="200"/>
        <w:rPr>
          <w:rFonts w:hint="eastAsia"/>
          <w:color w:val="auto"/>
          <w:sz w:val="24"/>
        </w:rPr>
      </w:pPr>
      <w:r>
        <w:rPr>
          <w:rFonts w:hint="eastAsia"/>
          <w:color w:val="auto"/>
          <w:sz w:val="24"/>
        </w:rPr>
        <w:t>无指向性点声源几何发散衰减的基本公式是：</w:t>
      </w:r>
    </w:p>
    <w:p w14:paraId="742F6F5B">
      <w:pPr>
        <w:jc w:val="center"/>
        <w:rPr>
          <w:color w:val="auto"/>
          <w:szCs w:val="24"/>
        </w:rPr>
      </w:pPr>
      <w:r>
        <w:rPr>
          <w:color w:val="auto"/>
        </w:rPr>
        <w:drawing>
          <wp:inline distT="0" distB="0" distL="114300" distR="114300">
            <wp:extent cx="2700020" cy="431800"/>
            <wp:effectExtent l="0" t="0" r="5080" b="6350"/>
            <wp:docPr id="200" name="图片 899"/>
            <wp:cNvGraphicFramePr/>
            <a:graphic xmlns:a="http://schemas.openxmlformats.org/drawingml/2006/main">
              <a:graphicData uri="http://schemas.openxmlformats.org/drawingml/2006/picture">
                <pic:pic xmlns:pic="http://schemas.openxmlformats.org/drawingml/2006/picture">
                  <pic:nvPicPr>
                    <pic:cNvPr id="200" name="图片 899"/>
                    <pic:cNvPicPr preferRelativeResize="0"/>
                  </pic:nvPicPr>
                  <pic:blipFill>
                    <a:blip r:embed="rId179"/>
                    <a:stretch>
                      <a:fillRect/>
                    </a:stretch>
                  </pic:blipFill>
                  <pic:spPr>
                    <a:xfrm>
                      <a:off x="0" y="0"/>
                      <a:ext cx="2700020" cy="431800"/>
                    </a:xfrm>
                    <a:prstGeom prst="rect">
                      <a:avLst/>
                    </a:prstGeom>
                    <a:noFill/>
                    <a:ln>
                      <a:noFill/>
                    </a:ln>
                  </pic:spPr>
                </pic:pic>
              </a:graphicData>
            </a:graphic>
          </wp:inline>
        </w:drawing>
      </w:r>
    </w:p>
    <w:p w14:paraId="208C5B17">
      <w:pPr>
        <w:spacing w:line="360" w:lineRule="auto"/>
        <w:ind w:firstLine="480" w:firstLineChars="200"/>
        <w:rPr>
          <w:rFonts w:hint="eastAsia"/>
          <w:color w:val="auto"/>
          <w:sz w:val="24"/>
        </w:rPr>
      </w:pPr>
      <w:r>
        <w:rPr>
          <w:rFonts w:hint="eastAsia"/>
          <w:color w:val="auto"/>
          <w:sz w:val="24"/>
        </w:rPr>
        <w:t>式中：Lp(r)——预测点处声压级，dB；</w:t>
      </w:r>
    </w:p>
    <w:p w14:paraId="1D229A0D">
      <w:pPr>
        <w:spacing w:line="360" w:lineRule="auto"/>
        <w:ind w:firstLine="1200" w:firstLineChars="500"/>
        <w:rPr>
          <w:rFonts w:hint="eastAsia"/>
          <w:color w:val="auto"/>
          <w:sz w:val="24"/>
        </w:rPr>
      </w:pPr>
      <w:r>
        <w:rPr>
          <w:rFonts w:hint="eastAsia"/>
          <w:color w:val="auto"/>
          <w:sz w:val="24"/>
        </w:rPr>
        <w:t>Lp(r0)——参考位置r0处的声压级，dB；</w:t>
      </w:r>
    </w:p>
    <w:p w14:paraId="07C33002">
      <w:pPr>
        <w:spacing w:line="360" w:lineRule="auto"/>
        <w:ind w:firstLine="1200" w:firstLineChars="500"/>
        <w:rPr>
          <w:rFonts w:hint="eastAsia"/>
          <w:color w:val="auto"/>
          <w:sz w:val="24"/>
        </w:rPr>
      </w:pPr>
      <w:r>
        <w:rPr>
          <w:rFonts w:hint="eastAsia"/>
          <w:color w:val="auto"/>
          <w:sz w:val="24"/>
        </w:rPr>
        <w:t>r——预测点距声源的距离；</w:t>
      </w:r>
    </w:p>
    <w:p w14:paraId="78E80541">
      <w:pPr>
        <w:spacing w:line="360" w:lineRule="auto"/>
        <w:ind w:firstLine="1200" w:firstLineChars="500"/>
        <w:rPr>
          <w:rFonts w:hint="eastAsia"/>
          <w:color w:val="auto"/>
          <w:sz w:val="24"/>
        </w:rPr>
      </w:pPr>
      <w:r>
        <w:rPr>
          <w:rFonts w:hint="eastAsia"/>
          <w:color w:val="auto"/>
          <w:sz w:val="24"/>
        </w:rPr>
        <w:t>r0——参考位置距声源的距离。</w:t>
      </w:r>
    </w:p>
    <w:p w14:paraId="086DF55C">
      <w:pPr>
        <w:spacing w:line="360" w:lineRule="auto"/>
        <w:ind w:firstLine="1200" w:firstLineChars="500"/>
        <w:rPr>
          <w:rFonts w:hint="eastAsia"/>
          <w:color w:val="auto"/>
          <w:sz w:val="24"/>
        </w:rPr>
      </w:pPr>
      <w:r>
        <w:rPr>
          <w:rFonts w:hint="eastAsia"/>
          <w:color w:val="auto"/>
          <w:sz w:val="24"/>
        </w:rPr>
        <w:t>式中第二项表示了点声源的几何发散衰减：</w:t>
      </w:r>
    </w:p>
    <w:p w14:paraId="77B1DE33">
      <w:pPr>
        <w:jc w:val="center"/>
        <w:rPr>
          <w:color w:val="auto"/>
          <w:kern w:val="0"/>
          <w:szCs w:val="24"/>
        </w:rPr>
      </w:pPr>
      <w:r>
        <w:rPr>
          <w:color w:val="auto"/>
        </w:rPr>
        <w:drawing>
          <wp:inline distT="0" distB="0" distL="114300" distR="114300">
            <wp:extent cx="1800225" cy="431800"/>
            <wp:effectExtent l="0" t="0" r="9525" b="6350"/>
            <wp:docPr id="201" name="图片 900"/>
            <wp:cNvGraphicFramePr/>
            <a:graphic xmlns:a="http://schemas.openxmlformats.org/drawingml/2006/main">
              <a:graphicData uri="http://schemas.openxmlformats.org/drawingml/2006/picture">
                <pic:pic xmlns:pic="http://schemas.openxmlformats.org/drawingml/2006/picture">
                  <pic:nvPicPr>
                    <pic:cNvPr id="201" name="图片 900"/>
                    <pic:cNvPicPr preferRelativeResize="0"/>
                  </pic:nvPicPr>
                  <pic:blipFill>
                    <a:blip r:embed="rId180"/>
                    <a:stretch>
                      <a:fillRect/>
                    </a:stretch>
                  </pic:blipFill>
                  <pic:spPr>
                    <a:xfrm>
                      <a:off x="0" y="0"/>
                      <a:ext cx="1800225" cy="431800"/>
                    </a:xfrm>
                    <a:prstGeom prst="rect">
                      <a:avLst/>
                    </a:prstGeom>
                    <a:noFill/>
                    <a:ln>
                      <a:noFill/>
                    </a:ln>
                  </pic:spPr>
                </pic:pic>
              </a:graphicData>
            </a:graphic>
          </wp:inline>
        </w:drawing>
      </w:r>
    </w:p>
    <w:p w14:paraId="3C559920">
      <w:pPr>
        <w:spacing w:line="360" w:lineRule="auto"/>
        <w:ind w:firstLine="480" w:firstLineChars="200"/>
        <w:rPr>
          <w:rFonts w:hint="eastAsia"/>
          <w:color w:val="auto"/>
          <w:sz w:val="24"/>
        </w:rPr>
      </w:pPr>
      <w:r>
        <w:rPr>
          <w:rFonts w:hint="eastAsia"/>
          <w:color w:val="auto"/>
          <w:sz w:val="24"/>
        </w:rPr>
        <w:t>式中：Adiv——几何发散引起的衰减，dB；</w:t>
      </w:r>
    </w:p>
    <w:p w14:paraId="732F2D77">
      <w:pPr>
        <w:spacing w:line="360" w:lineRule="auto"/>
        <w:ind w:firstLine="1200" w:firstLineChars="500"/>
        <w:rPr>
          <w:rFonts w:hint="eastAsia"/>
          <w:color w:val="auto"/>
          <w:sz w:val="24"/>
        </w:rPr>
      </w:pPr>
      <w:r>
        <w:rPr>
          <w:rFonts w:hint="eastAsia"/>
          <w:color w:val="auto"/>
          <w:sz w:val="24"/>
        </w:rPr>
        <w:t>r——预测点距声源的距离；</w:t>
      </w:r>
    </w:p>
    <w:p w14:paraId="1DC261A0">
      <w:pPr>
        <w:spacing w:line="360" w:lineRule="auto"/>
        <w:ind w:firstLine="1200" w:firstLineChars="500"/>
        <w:rPr>
          <w:rFonts w:hint="eastAsia"/>
          <w:color w:val="auto"/>
          <w:sz w:val="24"/>
        </w:rPr>
      </w:pPr>
      <w:r>
        <w:rPr>
          <w:rFonts w:hint="eastAsia"/>
          <w:color w:val="auto"/>
          <w:sz w:val="24"/>
        </w:rPr>
        <w:t>r0——参考位置距声源的距离。</w:t>
      </w:r>
    </w:p>
    <w:p w14:paraId="363219E8">
      <w:pPr>
        <w:spacing w:line="360" w:lineRule="auto"/>
        <w:ind w:firstLine="480" w:firstLineChars="200"/>
        <w:rPr>
          <w:rFonts w:hint="eastAsia"/>
          <w:color w:val="auto"/>
          <w:sz w:val="24"/>
        </w:rPr>
      </w:pPr>
      <w:r>
        <w:rPr>
          <w:rFonts w:hint="eastAsia"/>
          <w:color w:val="auto"/>
          <w:sz w:val="24"/>
        </w:rPr>
        <w:t>（2）室内点声源对场界噪声预测点贡献值预测模式</w:t>
      </w:r>
    </w:p>
    <w:p w14:paraId="34E2B734">
      <w:pPr>
        <w:spacing w:line="360" w:lineRule="auto"/>
        <w:ind w:firstLine="480" w:firstLineChars="200"/>
        <w:rPr>
          <w:rFonts w:hint="eastAsia"/>
          <w:color w:val="auto"/>
          <w:sz w:val="24"/>
        </w:rPr>
      </w:pPr>
      <w:r>
        <w:rPr>
          <w:rFonts w:hint="eastAsia"/>
          <w:color w:val="auto"/>
          <w:sz w:val="24"/>
        </w:rPr>
        <w:t>室内声源首先换算为等效室外声源，再按各类声源模式计算。</w:t>
      </w:r>
    </w:p>
    <w:p w14:paraId="399BDBEF">
      <w:pPr>
        <w:spacing w:line="360" w:lineRule="auto"/>
        <w:ind w:firstLine="480" w:firstLineChars="200"/>
        <w:rPr>
          <w:rFonts w:hint="eastAsia"/>
          <w:color w:val="auto"/>
          <w:sz w:val="24"/>
        </w:rPr>
      </w:pPr>
      <w:r>
        <w:rPr>
          <w:rFonts w:hint="eastAsia"/>
          <w:color w:val="auto"/>
          <w:sz w:val="24"/>
        </w:rPr>
        <w:t>①首先计算出某个室内声源靠近围护结构处的A声压级：</w:t>
      </w:r>
    </w:p>
    <w:p w14:paraId="3B0D0428">
      <w:pPr>
        <w:spacing w:line="360" w:lineRule="auto"/>
        <w:jc w:val="center"/>
        <w:rPr>
          <w:rFonts w:hint="eastAsia"/>
          <w:color w:val="auto"/>
          <w:sz w:val="24"/>
        </w:rPr>
      </w:pPr>
      <w:r>
        <w:rPr>
          <w:rFonts w:hint="eastAsia"/>
          <w:color w:val="auto"/>
          <w:sz w:val="24"/>
        </w:rPr>
        <w:drawing>
          <wp:inline distT="0" distB="0" distL="114300" distR="114300">
            <wp:extent cx="2700020" cy="647700"/>
            <wp:effectExtent l="0" t="0" r="5080" b="0"/>
            <wp:docPr id="202" name="图片 1926"/>
            <wp:cNvGraphicFramePr/>
            <a:graphic xmlns:a="http://schemas.openxmlformats.org/drawingml/2006/main">
              <a:graphicData uri="http://schemas.openxmlformats.org/drawingml/2006/picture">
                <pic:pic xmlns:pic="http://schemas.openxmlformats.org/drawingml/2006/picture">
                  <pic:nvPicPr>
                    <pic:cNvPr id="202" name="图片 1926"/>
                    <pic:cNvPicPr preferRelativeResize="0"/>
                  </pic:nvPicPr>
                  <pic:blipFill>
                    <a:blip r:embed="rId181"/>
                    <a:stretch>
                      <a:fillRect/>
                    </a:stretch>
                  </pic:blipFill>
                  <pic:spPr>
                    <a:xfrm>
                      <a:off x="0" y="0"/>
                      <a:ext cx="2700020" cy="647700"/>
                    </a:xfrm>
                    <a:prstGeom prst="rect">
                      <a:avLst/>
                    </a:prstGeom>
                    <a:noFill/>
                    <a:ln>
                      <a:noFill/>
                    </a:ln>
                  </pic:spPr>
                </pic:pic>
              </a:graphicData>
            </a:graphic>
          </wp:inline>
        </w:drawing>
      </w:r>
    </w:p>
    <w:p w14:paraId="4E7DDD0A">
      <w:pPr>
        <w:spacing w:line="360" w:lineRule="auto"/>
        <w:ind w:firstLine="480" w:firstLineChars="200"/>
        <w:rPr>
          <w:rFonts w:hint="eastAsia"/>
          <w:color w:val="auto"/>
          <w:sz w:val="24"/>
        </w:rPr>
      </w:pPr>
      <w:r>
        <w:rPr>
          <w:rFonts w:hint="eastAsia"/>
          <w:color w:val="auto"/>
          <w:sz w:val="24"/>
        </w:rPr>
        <w:t>式中：L</w:t>
      </w:r>
      <w:r>
        <w:rPr>
          <w:rFonts w:hint="eastAsia"/>
          <w:color w:val="auto"/>
          <w:sz w:val="24"/>
          <w:vertAlign w:val="subscript"/>
        </w:rPr>
        <w:t>P1</w:t>
      </w:r>
      <w:r>
        <w:rPr>
          <w:rFonts w:hint="eastAsia"/>
          <w:color w:val="auto"/>
          <w:sz w:val="24"/>
        </w:rPr>
        <w:t>为某个室内声源在靠近开口处（或窗户）室内A声级，Lw为某个声源的倍频带声功率级，r为室内某个声源与靠近围护结构处的距离，R为房间常数，Q为方向性因子。</w:t>
      </w:r>
    </w:p>
    <w:p w14:paraId="4890D971">
      <w:pPr>
        <w:spacing w:line="360" w:lineRule="auto"/>
        <w:ind w:firstLine="480" w:firstLineChars="200"/>
        <w:rPr>
          <w:rFonts w:hint="eastAsia"/>
          <w:color w:val="auto"/>
          <w:sz w:val="24"/>
        </w:rPr>
      </w:pPr>
      <w:r>
        <w:rPr>
          <w:rFonts w:hint="eastAsia"/>
          <w:color w:val="auto"/>
          <w:sz w:val="24"/>
        </w:rPr>
        <w:t>②计算出所有室内声源的靠近围护结构处产生的i倍频带叠加声压级：</w:t>
      </w:r>
    </w:p>
    <w:p w14:paraId="1929C702">
      <w:pPr>
        <w:widowControl/>
        <w:jc w:val="center"/>
        <w:rPr>
          <w:rFonts w:ascii="宋体" w:hAnsi="宋体" w:cs="宋体"/>
          <w:color w:val="auto"/>
          <w:kern w:val="0"/>
          <w:szCs w:val="24"/>
          <w:shd w:val="clear" w:color="auto" w:fill="FFFFFF"/>
          <w:lang w:bidi="ar"/>
        </w:rPr>
      </w:pPr>
      <w:r>
        <w:rPr>
          <w:color w:val="auto"/>
        </w:rPr>
        <w:drawing>
          <wp:inline distT="0" distB="0" distL="114300" distR="114300">
            <wp:extent cx="2592070" cy="791845"/>
            <wp:effectExtent l="0" t="0" r="17780" b="8255"/>
            <wp:docPr id="203" name="图片 1927"/>
            <wp:cNvGraphicFramePr/>
            <a:graphic xmlns:a="http://schemas.openxmlformats.org/drawingml/2006/main">
              <a:graphicData uri="http://schemas.openxmlformats.org/drawingml/2006/picture">
                <pic:pic xmlns:pic="http://schemas.openxmlformats.org/drawingml/2006/picture">
                  <pic:nvPicPr>
                    <pic:cNvPr id="203" name="图片 1927"/>
                    <pic:cNvPicPr preferRelativeResize="0"/>
                  </pic:nvPicPr>
                  <pic:blipFill>
                    <a:blip r:embed="rId182"/>
                    <a:stretch>
                      <a:fillRect/>
                    </a:stretch>
                  </pic:blipFill>
                  <pic:spPr>
                    <a:xfrm>
                      <a:off x="0" y="0"/>
                      <a:ext cx="2592070" cy="791845"/>
                    </a:xfrm>
                    <a:prstGeom prst="rect">
                      <a:avLst/>
                    </a:prstGeom>
                    <a:noFill/>
                    <a:ln>
                      <a:noFill/>
                    </a:ln>
                  </pic:spPr>
                </pic:pic>
              </a:graphicData>
            </a:graphic>
          </wp:inline>
        </w:drawing>
      </w:r>
    </w:p>
    <w:p w14:paraId="7C43A3CD">
      <w:pPr>
        <w:spacing w:line="360" w:lineRule="auto"/>
        <w:ind w:firstLine="480" w:firstLineChars="200"/>
        <w:rPr>
          <w:rFonts w:hint="eastAsia"/>
          <w:color w:val="auto"/>
          <w:sz w:val="24"/>
        </w:rPr>
      </w:pPr>
      <w:r>
        <w:rPr>
          <w:rFonts w:hint="eastAsia"/>
          <w:color w:val="auto"/>
          <w:sz w:val="24"/>
        </w:rPr>
        <w:t>式中：Lp1i(T)——靠近围护结构处室内N个声源i倍频带的叠加声压级，dB；</w:t>
      </w:r>
    </w:p>
    <w:p w14:paraId="367107EA">
      <w:pPr>
        <w:spacing w:line="360" w:lineRule="auto"/>
        <w:ind w:firstLine="1200" w:firstLineChars="500"/>
        <w:rPr>
          <w:rFonts w:hint="eastAsia"/>
          <w:color w:val="auto"/>
          <w:sz w:val="24"/>
        </w:rPr>
      </w:pPr>
      <w:r>
        <w:rPr>
          <w:rFonts w:hint="eastAsia"/>
          <w:color w:val="auto"/>
          <w:sz w:val="24"/>
        </w:rPr>
        <w:t>Lp1ij——室内j声源i倍频带的声压级，dB；</w:t>
      </w:r>
    </w:p>
    <w:p w14:paraId="5FAA501B">
      <w:pPr>
        <w:spacing w:line="360" w:lineRule="auto"/>
        <w:ind w:firstLine="1200" w:firstLineChars="500"/>
        <w:rPr>
          <w:rFonts w:hint="eastAsia"/>
          <w:color w:val="auto"/>
          <w:sz w:val="24"/>
        </w:rPr>
      </w:pPr>
      <w:r>
        <w:rPr>
          <w:rFonts w:hint="eastAsia"/>
          <w:color w:val="auto"/>
          <w:sz w:val="24"/>
        </w:rPr>
        <w:t>N——室内声源总数。</w:t>
      </w:r>
    </w:p>
    <w:p w14:paraId="66A8F9AA">
      <w:pPr>
        <w:spacing w:line="360" w:lineRule="auto"/>
        <w:ind w:firstLine="480" w:firstLineChars="200"/>
        <w:rPr>
          <w:rFonts w:hint="eastAsia"/>
          <w:color w:val="auto"/>
          <w:sz w:val="24"/>
        </w:rPr>
      </w:pPr>
      <w:r>
        <w:rPr>
          <w:rFonts w:hint="eastAsia"/>
          <w:color w:val="auto"/>
          <w:sz w:val="24"/>
        </w:rPr>
        <w:t>③计算出室外靠近围护结构处的声压级：</w:t>
      </w:r>
    </w:p>
    <w:p w14:paraId="673B405E">
      <w:pPr>
        <w:spacing w:line="360" w:lineRule="auto"/>
        <w:jc w:val="center"/>
        <w:rPr>
          <w:rFonts w:hint="eastAsia"/>
          <w:color w:val="auto"/>
          <w:sz w:val="24"/>
        </w:rPr>
      </w:pPr>
      <w:r>
        <w:rPr>
          <w:rFonts w:hint="eastAsia"/>
          <w:color w:val="auto"/>
          <w:sz w:val="24"/>
        </w:rPr>
        <w:t>Lp2i(T)=Lp1i(T)-(TLi+6)</w:t>
      </w:r>
    </w:p>
    <w:p w14:paraId="3EA3B1DB">
      <w:pPr>
        <w:spacing w:line="360" w:lineRule="auto"/>
        <w:ind w:firstLine="480" w:firstLineChars="200"/>
        <w:rPr>
          <w:rFonts w:hint="eastAsia"/>
          <w:color w:val="auto"/>
          <w:sz w:val="24"/>
        </w:rPr>
      </w:pPr>
      <w:r>
        <w:rPr>
          <w:rFonts w:hint="eastAsia"/>
          <w:color w:val="auto"/>
          <w:sz w:val="24"/>
        </w:rPr>
        <w:t>式中：Lp2i(T)——靠近围护结构处室外N个声源i倍频带的叠加声压级，dB；</w:t>
      </w:r>
    </w:p>
    <w:p w14:paraId="2AF7D8BF">
      <w:pPr>
        <w:spacing w:line="360" w:lineRule="auto"/>
        <w:ind w:firstLine="1200" w:firstLineChars="500"/>
        <w:rPr>
          <w:rFonts w:hint="eastAsia"/>
          <w:color w:val="auto"/>
          <w:sz w:val="24"/>
        </w:rPr>
      </w:pPr>
      <w:r>
        <w:rPr>
          <w:rFonts w:hint="eastAsia"/>
          <w:color w:val="auto"/>
          <w:sz w:val="24"/>
        </w:rPr>
        <w:t>Lp1i(T)——靠近围护结构处室内N个声源i倍频带的叠加声压级，dB；</w:t>
      </w:r>
    </w:p>
    <w:p w14:paraId="1DB247D2">
      <w:pPr>
        <w:spacing w:line="360" w:lineRule="auto"/>
        <w:ind w:firstLine="1200" w:firstLineChars="500"/>
        <w:rPr>
          <w:rFonts w:hint="eastAsia"/>
          <w:color w:val="auto"/>
          <w:sz w:val="24"/>
        </w:rPr>
      </w:pPr>
      <w:r>
        <w:rPr>
          <w:rFonts w:hint="eastAsia"/>
          <w:color w:val="auto"/>
          <w:sz w:val="24"/>
        </w:rPr>
        <w:t>TLi——围护结构i倍频带的隔声量，dB。</w:t>
      </w:r>
    </w:p>
    <w:p w14:paraId="62D39D7F">
      <w:pPr>
        <w:spacing w:line="360" w:lineRule="auto"/>
        <w:ind w:firstLine="480" w:firstLineChars="200"/>
        <w:rPr>
          <w:rFonts w:hint="eastAsia"/>
          <w:color w:val="auto"/>
          <w:sz w:val="24"/>
        </w:rPr>
      </w:pPr>
      <w:r>
        <w:rPr>
          <w:rFonts w:hint="eastAsia"/>
          <w:color w:val="auto"/>
          <w:sz w:val="24"/>
        </w:rPr>
        <w:t>④将室外声级和透声面积换算成等效的室外声源，计算出等效声源第N个倍频带的声功率级；</w:t>
      </w:r>
    </w:p>
    <w:p w14:paraId="548C4C33">
      <w:pPr>
        <w:spacing w:line="360" w:lineRule="auto"/>
        <w:jc w:val="center"/>
        <w:rPr>
          <w:rFonts w:hint="eastAsia"/>
          <w:color w:val="auto"/>
          <w:sz w:val="24"/>
        </w:rPr>
      </w:pPr>
      <w:r>
        <w:rPr>
          <w:rFonts w:hint="eastAsia"/>
          <w:color w:val="auto"/>
          <w:sz w:val="24"/>
        </w:rPr>
        <w:t>Lw = Lp2(T) +10lgS</w:t>
      </w:r>
    </w:p>
    <w:p w14:paraId="4067E034">
      <w:pPr>
        <w:spacing w:line="360" w:lineRule="auto"/>
        <w:ind w:firstLine="480" w:firstLineChars="200"/>
        <w:rPr>
          <w:rFonts w:hint="eastAsia"/>
          <w:color w:val="auto"/>
          <w:sz w:val="24"/>
        </w:rPr>
      </w:pPr>
      <w:r>
        <w:rPr>
          <w:rFonts w:hint="eastAsia"/>
          <w:color w:val="auto"/>
          <w:sz w:val="24"/>
        </w:rPr>
        <w:t>式中：Lw——中心位置位于透声面积(S)处的等效声源的倍频带声功率级，dB；</w:t>
      </w:r>
    </w:p>
    <w:p w14:paraId="0C7919A6">
      <w:pPr>
        <w:spacing w:line="360" w:lineRule="auto"/>
        <w:ind w:firstLine="1200" w:firstLineChars="500"/>
        <w:rPr>
          <w:rFonts w:hint="eastAsia"/>
          <w:color w:val="auto"/>
          <w:sz w:val="24"/>
        </w:rPr>
      </w:pPr>
      <w:r>
        <w:rPr>
          <w:rFonts w:hint="eastAsia"/>
          <w:color w:val="auto"/>
          <w:sz w:val="24"/>
        </w:rPr>
        <w:t>Lp2(T)——靠近围护结构处室外声源的声压级，dB；</w:t>
      </w:r>
    </w:p>
    <w:p w14:paraId="16E75F0F">
      <w:pPr>
        <w:spacing w:line="360" w:lineRule="auto"/>
        <w:ind w:firstLine="1680" w:firstLineChars="700"/>
        <w:rPr>
          <w:rFonts w:hint="eastAsia"/>
          <w:color w:val="auto"/>
          <w:sz w:val="24"/>
        </w:rPr>
      </w:pPr>
      <w:r>
        <w:rPr>
          <w:rFonts w:hint="eastAsia"/>
          <w:color w:val="auto"/>
          <w:sz w:val="24"/>
        </w:rPr>
        <w:t>S——透声面积，m</w:t>
      </w:r>
      <w:r>
        <w:rPr>
          <w:rFonts w:hint="eastAsia"/>
          <w:color w:val="auto"/>
          <w:sz w:val="24"/>
          <w:vertAlign w:val="superscript"/>
        </w:rPr>
        <w:t>2</w:t>
      </w:r>
      <w:r>
        <w:rPr>
          <w:rFonts w:hint="eastAsia"/>
          <w:color w:val="auto"/>
          <w:sz w:val="24"/>
        </w:rPr>
        <w:t>。</w:t>
      </w:r>
    </w:p>
    <w:p w14:paraId="20D8D7A2">
      <w:pPr>
        <w:spacing w:line="360" w:lineRule="auto"/>
        <w:ind w:firstLine="480" w:firstLineChars="200"/>
        <w:rPr>
          <w:rFonts w:hint="eastAsia"/>
          <w:color w:val="auto"/>
          <w:sz w:val="24"/>
        </w:rPr>
      </w:pPr>
      <w:r>
        <w:rPr>
          <w:rFonts w:hint="eastAsia"/>
          <w:color w:val="auto"/>
          <w:sz w:val="24"/>
        </w:rPr>
        <w:t>然后按室外声源预测方法计算预测点处的A声级。</w:t>
      </w:r>
    </w:p>
    <w:p w14:paraId="437E2196">
      <w:pPr>
        <w:pStyle w:val="5"/>
        <w:numPr>
          <w:ilvl w:val="0"/>
          <w:numId w:val="0"/>
        </w:numPr>
        <w:rPr>
          <w:color w:val="auto"/>
        </w:rPr>
      </w:pPr>
      <w:r>
        <w:rPr>
          <w:rFonts w:hint="eastAsia"/>
          <w:color w:val="auto"/>
        </w:rPr>
        <w:t>5.2.3.3</w:t>
      </w:r>
      <w:r>
        <w:rPr>
          <w:color w:val="auto"/>
        </w:rPr>
        <w:t>预测结果</w:t>
      </w:r>
    </w:p>
    <w:p w14:paraId="1EF06FFE">
      <w:pPr>
        <w:pStyle w:val="15"/>
        <w:spacing w:line="360" w:lineRule="auto"/>
        <w:ind w:firstLine="480"/>
        <w:rPr>
          <w:color w:val="auto"/>
          <w:sz w:val="24"/>
        </w:rPr>
      </w:pPr>
      <w:r>
        <w:rPr>
          <w:color w:val="auto"/>
          <w:sz w:val="24"/>
        </w:rPr>
        <w:t>在考虑各噪声源经过消声、隔声等措施</w:t>
      </w:r>
      <w:r>
        <w:rPr>
          <w:rFonts w:hint="eastAsia"/>
          <w:color w:val="auto"/>
          <w:sz w:val="24"/>
          <w:lang w:eastAsia="zh-CN"/>
        </w:rPr>
        <w:t>降噪</w:t>
      </w:r>
      <w:r>
        <w:rPr>
          <w:color w:val="auto"/>
          <w:sz w:val="24"/>
        </w:rPr>
        <w:t>后，根据噪声预测模式，将有关参数代入公式计算，预测工程噪声源对各向</w:t>
      </w:r>
      <w:r>
        <w:rPr>
          <w:rFonts w:hint="eastAsia"/>
          <w:color w:val="auto"/>
          <w:sz w:val="24"/>
        </w:rPr>
        <w:t>场</w:t>
      </w:r>
      <w:r>
        <w:rPr>
          <w:color w:val="auto"/>
          <w:sz w:val="24"/>
        </w:rPr>
        <w:t>界的影响。</w:t>
      </w:r>
    </w:p>
    <w:p w14:paraId="39D2EAAB">
      <w:pPr>
        <w:pStyle w:val="29"/>
        <w:spacing w:line="360" w:lineRule="auto"/>
        <w:ind w:firstLine="480" w:firstLineChars="200"/>
        <w:rPr>
          <w:rFonts w:ascii="Times New Roman" w:hAnsi="Times New Roman"/>
          <w:color w:val="auto"/>
          <w:sz w:val="24"/>
          <w:szCs w:val="24"/>
        </w:rPr>
      </w:pPr>
      <w:r>
        <w:rPr>
          <w:color w:val="auto"/>
          <w:sz w:val="24"/>
        </w:rPr>
        <w:t>根据计算，码头各类机泵噪声进行影响预测后，各预测点噪声预测结果见</w:t>
      </w:r>
      <w:r>
        <w:rPr>
          <w:rFonts w:ascii="Times New Roman" w:hAnsi="Times New Roman"/>
          <w:color w:val="auto"/>
          <w:sz w:val="24"/>
          <w:szCs w:val="24"/>
        </w:rPr>
        <w:t>表5.2-</w:t>
      </w:r>
      <w:r>
        <w:rPr>
          <w:rFonts w:hint="eastAsia" w:ascii="Times New Roman" w:hAnsi="Times New Roman"/>
          <w:color w:val="auto"/>
          <w:sz w:val="24"/>
          <w:szCs w:val="24"/>
          <w:lang w:val="en-US" w:eastAsia="zh-CN"/>
        </w:rPr>
        <w:t>1</w:t>
      </w:r>
      <w:r>
        <w:rPr>
          <w:rFonts w:hint="eastAsia" w:ascii="Times New Roman" w:hAnsi="Times New Roman"/>
          <w:color w:val="auto"/>
          <w:sz w:val="24"/>
          <w:szCs w:val="24"/>
        </w:rPr>
        <w:t>5</w:t>
      </w:r>
      <w:r>
        <w:rPr>
          <w:rFonts w:ascii="Times New Roman" w:hAnsi="Times New Roman"/>
          <w:color w:val="auto"/>
          <w:sz w:val="24"/>
          <w:szCs w:val="24"/>
        </w:rPr>
        <w:t>。</w:t>
      </w:r>
    </w:p>
    <w:p w14:paraId="750AD18C">
      <w:pPr>
        <w:spacing w:line="400" w:lineRule="exact"/>
        <w:jc w:val="center"/>
        <w:rPr>
          <w:rFonts w:eastAsia="黑体"/>
          <w:color w:val="auto"/>
          <w:sz w:val="24"/>
        </w:rPr>
      </w:pPr>
      <w:r>
        <w:rPr>
          <w:rFonts w:eastAsia="黑体"/>
          <w:color w:val="auto"/>
          <w:sz w:val="24"/>
        </w:rPr>
        <w:t>表5.2-</w:t>
      </w:r>
      <w:r>
        <w:rPr>
          <w:rFonts w:hint="eastAsia" w:eastAsia="黑体"/>
          <w:color w:val="auto"/>
          <w:sz w:val="24"/>
          <w:lang w:val="en-US" w:eastAsia="zh-CN"/>
        </w:rPr>
        <w:t>1</w:t>
      </w:r>
      <w:r>
        <w:rPr>
          <w:rFonts w:hint="eastAsia" w:eastAsia="黑体"/>
          <w:color w:val="auto"/>
          <w:sz w:val="24"/>
        </w:rPr>
        <w:t>5</w:t>
      </w:r>
      <w:r>
        <w:rPr>
          <w:rFonts w:eastAsia="黑体"/>
          <w:color w:val="auto"/>
          <w:sz w:val="24"/>
        </w:rPr>
        <w:t xml:space="preserve">  各</w:t>
      </w:r>
      <w:r>
        <w:rPr>
          <w:rFonts w:hint="eastAsia" w:eastAsia="黑体"/>
          <w:color w:val="auto"/>
          <w:sz w:val="24"/>
        </w:rPr>
        <w:t>边</w:t>
      </w:r>
      <w:r>
        <w:rPr>
          <w:rFonts w:eastAsia="黑体"/>
          <w:color w:val="auto"/>
          <w:sz w:val="24"/>
        </w:rPr>
        <w:t>界噪声预测结果   单位：dB(A)</w:t>
      </w:r>
    </w:p>
    <w:tbl>
      <w:tblPr>
        <w:tblStyle w:val="53"/>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39"/>
        <w:gridCol w:w="1237"/>
        <w:gridCol w:w="929"/>
        <w:gridCol w:w="927"/>
        <w:gridCol w:w="934"/>
        <w:gridCol w:w="927"/>
        <w:gridCol w:w="932"/>
        <w:gridCol w:w="927"/>
        <w:gridCol w:w="931"/>
      </w:tblGrid>
      <w:tr w14:paraId="72E870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5" w:hRule="atLeast"/>
          <w:tblHeader/>
          <w:jc w:val="center"/>
        </w:trPr>
        <w:tc>
          <w:tcPr>
            <w:tcW w:w="829" w:type="pct"/>
            <w:vMerge w:val="restart"/>
            <w:noWrap w:val="0"/>
            <w:vAlign w:val="center"/>
          </w:tcPr>
          <w:p w14:paraId="2FDE7227">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eastAsia" w:ascii="Times New Roman" w:hAnsi="Times New Roman" w:cs="Times New Roman"/>
                <w:b/>
                <w:bCs/>
                <w:color w:val="auto"/>
                <w:szCs w:val="21"/>
              </w:rPr>
              <w:t>场界</w:t>
            </w:r>
          </w:p>
        </w:tc>
        <w:tc>
          <w:tcPr>
            <w:tcW w:w="1166" w:type="pct"/>
            <w:gridSpan w:val="2"/>
            <w:noWrap w:val="0"/>
            <w:vAlign w:val="center"/>
          </w:tcPr>
          <w:p w14:paraId="5B520888">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eastAsia" w:ascii="Times New Roman" w:hAnsi="Times New Roman" w:cs="Times New Roman"/>
                <w:b/>
                <w:bCs/>
                <w:color w:val="auto"/>
                <w:szCs w:val="21"/>
              </w:rPr>
              <w:t>背景值</w:t>
            </w:r>
          </w:p>
        </w:tc>
        <w:tc>
          <w:tcPr>
            <w:tcW w:w="1002" w:type="pct"/>
            <w:gridSpan w:val="2"/>
            <w:noWrap w:val="0"/>
            <w:vAlign w:val="center"/>
          </w:tcPr>
          <w:p w14:paraId="778C64EC">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eastAsia" w:ascii="Times New Roman" w:hAnsi="Times New Roman" w:cs="Times New Roman"/>
                <w:b/>
                <w:bCs/>
                <w:color w:val="auto"/>
                <w:szCs w:val="21"/>
              </w:rPr>
              <w:t>贡献值</w:t>
            </w:r>
          </w:p>
        </w:tc>
        <w:tc>
          <w:tcPr>
            <w:tcW w:w="1001" w:type="pct"/>
            <w:gridSpan w:val="2"/>
            <w:noWrap w:val="0"/>
            <w:vAlign w:val="center"/>
          </w:tcPr>
          <w:p w14:paraId="4062B218">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eastAsia" w:ascii="Times New Roman" w:hAnsi="Times New Roman" w:cs="Times New Roman"/>
                <w:b/>
                <w:bCs/>
                <w:color w:val="auto"/>
                <w:szCs w:val="21"/>
              </w:rPr>
              <w:t>执行标准</w:t>
            </w:r>
          </w:p>
        </w:tc>
        <w:tc>
          <w:tcPr>
            <w:tcW w:w="1000" w:type="pct"/>
            <w:gridSpan w:val="2"/>
            <w:noWrap w:val="0"/>
            <w:vAlign w:val="center"/>
          </w:tcPr>
          <w:p w14:paraId="2E967221">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eastAsia" w:ascii="Times New Roman" w:hAnsi="Times New Roman" w:cs="Times New Roman"/>
                <w:b/>
                <w:bCs/>
                <w:color w:val="auto"/>
                <w:szCs w:val="21"/>
              </w:rPr>
              <w:t>是否达标</w:t>
            </w:r>
          </w:p>
        </w:tc>
      </w:tr>
      <w:tr w14:paraId="1181EC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5" w:hRule="atLeast"/>
          <w:tblHeader/>
          <w:jc w:val="center"/>
        </w:trPr>
        <w:tc>
          <w:tcPr>
            <w:tcW w:w="829" w:type="pct"/>
            <w:vMerge w:val="continue"/>
            <w:noWrap w:val="0"/>
            <w:vAlign w:val="center"/>
          </w:tcPr>
          <w:p w14:paraId="39F4AA5A">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rPr>
            </w:pPr>
          </w:p>
        </w:tc>
        <w:tc>
          <w:tcPr>
            <w:tcW w:w="666" w:type="pct"/>
            <w:noWrap w:val="0"/>
            <w:vAlign w:val="center"/>
          </w:tcPr>
          <w:p w14:paraId="5AD58168">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昼间</w:t>
            </w:r>
          </w:p>
        </w:tc>
        <w:tc>
          <w:tcPr>
            <w:tcW w:w="500" w:type="pct"/>
            <w:noWrap w:val="0"/>
            <w:vAlign w:val="center"/>
          </w:tcPr>
          <w:p w14:paraId="1FEBD2B0">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夜间</w:t>
            </w:r>
          </w:p>
        </w:tc>
        <w:tc>
          <w:tcPr>
            <w:tcW w:w="499" w:type="pct"/>
            <w:noWrap w:val="0"/>
            <w:vAlign w:val="center"/>
          </w:tcPr>
          <w:p w14:paraId="0645A6DC">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昼间</w:t>
            </w:r>
          </w:p>
        </w:tc>
        <w:tc>
          <w:tcPr>
            <w:tcW w:w="502" w:type="pct"/>
            <w:noWrap w:val="0"/>
            <w:vAlign w:val="center"/>
          </w:tcPr>
          <w:p w14:paraId="2342B199">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夜间</w:t>
            </w:r>
          </w:p>
        </w:tc>
        <w:tc>
          <w:tcPr>
            <w:tcW w:w="499" w:type="pct"/>
            <w:noWrap w:val="0"/>
            <w:vAlign w:val="center"/>
          </w:tcPr>
          <w:p w14:paraId="783B1BF1">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昼间</w:t>
            </w:r>
          </w:p>
        </w:tc>
        <w:tc>
          <w:tcPr>
            <w:tcW w:w="501" w:type="pct"/>
            <w:noWrap w:val="0"/>
            <w:vAlign w:val="center"/>
          </w:tcPr>
          <w:p w14:paraId="5540135A">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夜间</w:t>
            </w:r>
          </w:p>
        </w:tc>
        <w:tc>
          <w:tcPr>
            <w:tcW w:w="499" w:type="pct"/>
            <w:noWrap w:val="0"/>
            <w:vAlign w:val="center"/>
          </w:tcPr>
          <w:p w14:paraId="76252849">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昼间</w:t>
            </w:r>
          </w:p>
        </w:tc>
        <w:tc>
          <w:tcPr>
            <w:tcW w:w="500" w:type="pct"/>
            <w:noWrap w:val="0"/>
            <w:vAlign w:val="center"/>
          </w:tcPr>
          <w:p w14:paraId="4EB2C962">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夜间</w:t>
            </w:r>
          </w:p>
        </w:tc>
      </w:tr>
      <w:tr w14:paraId="6A6E47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9" w:type="pct"/>
            <w:noWrap w:val="0"/>
            <w:vAlign w:val="center"/>
          </w:tcPr>
          <w:p w14:paraId="3561CD67">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eastAsia" w:ascii="Times New Roman" w:hAnsi="Times New Roman" w:cs="Times New Roman"/>
                <w:color w:val="auto"/>
                <w:szCs w:val="21"/>
              </w:rPr>
              <w:t>东</w:t>
            </w:r>
          </w:p>
        </w:tc>
        <w:tc>
          <w:tcPr>
            <w:tcW w:w="666" w:type="pct"/>
            <w:noWrap w:val="0"/>
            <w:vAlign w:val="center"/>
          </w:tcPr>
          <w:p w14:paraId="19A33E4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default" w:ascii="Times New Roman" w:hAnsi="Times New Roman" w:cs="Times New Roman"/>
                <w:color w:val="auto"/>
                <w:lang w:bidi="ar"/>
              </w:rPr>
              <w:t>51.9</w:t>
            </w:r>
          </w:p>
        </w:tc>
        <w:tc>
          <w:tcPr>
            <w:tcW w:w="500" w:type="pct"/>
            <w:noWrap w:val="0"/>
            <w:vAlign w:val="center"/>
          </w:tcPr>
          <w:p w14:paraId="2D7FD5E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lang w:bidi="ar"/>
              </w:rPr>
              <w:t>36.0</w:t>
            </w:r>
          </w:p>
        </w:tc>
        <w:tc>
          <w:tcPr>
            <w:tcW w:w="499" w:type="pct"/>
            <w:noWrap w:val="0"/>
            <w:vAlign w:val="center"/>
          </w:tcPr>
          <w:p w14:paraId="2E1E6613">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eastAsia" w:ascii="Times New Roman" w:hAnsi="Times New Roman" w:cs="Times New Roman"/>
                <w:color w:val="auto"/>
                <w:szCs w:val="21"/>
              </w:rPr>
              <w:t>43.5</w:t>
            </w:r>
          </w:p>
        </w:tc>
        <w:tc>
          <w:tcPr>
            <w:tcW w:w="502" w:type="pct"/>
            <w:noWrap w:val="0"/>
            <w:vAlign w:val="center"/>
          </w:tcPr>
          <w:p w14:paraId="4823B7E4">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eastAsia" w:ascii="Times New Roman" w:hAnsi="Times New Roman" w:cs="Times New Roman"/>
                <w:color w:val="auto"/>
                <w:szCs w:val="21"/>
              </w:rPr>
              <w:t>43.5</w:t>
            </w:r>
          </w:p>
        </w:tc>
        <w:tc>
          <w:tcPr>
            <w:tcW w:w="499" w:type="pct"/>
            <w:noWrap w:val="0"/>
            <w:vAlign w:val="center"/>
          </w:tcPr>
          <w:p w14:paraId="6F5C8884">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eastAsia" w:ascii="Times New Roman" w:hAnsi="Times New Roman" w:cs="Times New Roman"/>
                <w:color w:val="auto"/>
                <w:szCs w:val="21"/>
              </w:rPr>
              <w:t>6</w:t>
            </w:r>
            <w:r>
              <w:rPr>
                <w:rFonts w:hint="default" w:ascii="Times New Roman" w:hAnsi="Times New Roman" w:cs="Times New Roman"/>
                <w:color w:val="auto"/>
                <w:szCs w:val="21"/>
              </w:rPr>
              <w:t>0</w:t>
            </w:r>
          </w:p>
        </w:tc>
        <w:tc>
          <w:tcPr>
            <w:tcW w:w="501" w:type="pct"/>
            <w:noWrap w:val="0"/>
            <w:vAlign w:val="center"/>
          </w:tcPr>
          <w:p w14:paraId="1337631F">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5</w:t>
            </w:r>
            <w:r>
              <w:rPr>
                <w:rFonts w:hint="eastAsia" w:ascii="Times New Roman" w:hAnsi="Times New Roman" w:cs="Times New Roman"/>
                <w:color w:val="auto"/>
                <w:szCs w:val="21"/>
              </w:rPr>
              <w:t>0</w:t>
            </w:r>
          </w:p>
        </w:tc>
        <w:tc>
          <w:tcPr>
            <w:tcW w:w="499" w:type="pct"/>
            <w:noWrap w:val="0"/>
            <w:vAlign w:val="center"/>
          </w:tcPr>
          <w:p w14:paraId="01037ADE">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达标</w:t>
            </w:r>
          </w:p>
        </w:tc>
        <w:tc>
          <w:tcPr>
            <w:tcW w:w="500" w:type="pct"/>
            <w:noWrap w:val="0"/>
            <w:vAlign w:val="center"/>
          </w:tcPr>
          <w:p w14:paraId="5591165F">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达标</w:t>
            </w:r>
          </w:p>
        </w:tc>
      </w:tr>
      <w:tr w14:paraId="075822A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9" w:type="pct"/>
            <w:noWrap w:val="0"/>
            <w:vAlign w:val="center"/>
          </w:tcPr>
          <w:p w14:paraId="30C3E9C3">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eastAsia" w:ascii="Times New Roman" w:hAnsi="Times New Roman" w:cs="Times New Roman"/>
                <w:color w:val="auto"/>
                <w:szCs w:val="21"/>
              </w:rPr>
              <w:t>西</w:t>
            </w:r>
          </w:p>
        </w:tc>
        <w:tc>
          <w:tcPr>
            <w:tcW w:w="666" w:type="pct"/>
            <w:noWrap w:val="0"/>
            <w:vAlign w:val="center"/>
          </w:tcPr>
          <w:p w14:paraId="2E86D88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lang w:bidi="ar"/>
              </w:rPr>
              <w:t>45.6</w:t>
            </w:r>
          </w:p>
        </w:tc>
        <w:tc>
          <w:tcPr>
            <w:tcW w:w="500" w:type="pct"/>
            <w:noWrap w:val="0"/>
            <w:vAlign w:val="center"/>
          </w:tcPr>
          <w:p w14:paraId="3D5884B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lang w:bidi="ar"/>
              </w:rPr>
              <w:t>36.0</w:t>
            </w:r>
          </w:p>
        </w:tc>
        <w:tc>
          <w:tcPr>
            <w:tcW w:w="499" w:type="pct"/>
            <w:noWrap w:val="0"/>
            <w:vAlign w:val="center"/>
          </w:tcPr>
          <w:p w14:paraId="595CBFCF">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eastAsia" w:ascii="Times New Roman" w:hAnsi="Times New Roman" w:cs="Times New Roman"/>
                <w:color w:val="auto"/>
                <w:szCs w:val="21"/>
              </w:rPr>
              <w:t>41.2</w:t>
            </w:r>
          </w:p>
        </w:tc>
        <w:tc>
          <w:tcPr>
            <w:tcW w:w="502" w:type="pct"/>
            <w:noWrap w:val="0"/>
            <w:vAlign w:val="center"/>
          </w:tcPr>
          <w:p w14:paraId="2E0EE593">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eastAsia" w:ascii="Times New Roman" w:hAnsi="Times New Roman" w:cs="Times New Roman"/>
                <w:color w:val="auto"/>
                <w:szCs w:val="21"/>
              </w:rPr>
              <w:t>41.2</w:t>
            </w:r>
          </w:p>
        </w:tc>
        <w:tc>
          <w:tcPr>
            <w:tcW w:w="499" w:type="pct"/>
            <w:noWrap w:val="0"/>
            <w:vAlign w:val="center"/>
          </w:tcPr>
          <w:p w14:paraId="533A2FCC">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eastAsia" w:ascii="Times New Roman" w:hAnsi="Times New Roman" w:cs="Times New Roman"/>
                <w:color w:val="auto"/>
                <w:szCs w:val="21"/>
              </w:rPr>
              <w:t>6</w:t>
            </w:r>
            <w:r>
              <w:rPr>
                <w:rFonts w:hint="default" w:ascii="Times New Roman" w:hAnsi="Times New Roman" w:cs="Times New Roman"/>
                <w:color w:val="auto"/>
                <w:szCs w:val="21"/>
              </w:rPr>
              <w:t>0</w:t>
            </w:r>
          </w:p>
        </w:tc>
        <w:tc>
          <w:tcPr>
            <w:tcW w:w="501" w:type="pct"/>
            <w:noWrap w:val="0"/>
            <w:vAlign w:val="center"/>
          </w:tcPr>
          <w:p w14:paraId="3FC782F2">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50</w:t>
            </w:r>
          </w:p>
        </w:tc>
        <w:tc>
          <w:tcPr>
            <w:tcW w:w="499" w:type="pct"/>
            <w:noWrap w:val="0"/>
            <w:vAlign w:val="center"/>
          </w:tcPr>
          <w:p w14:paraId="2DD6FBC8">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达标</w:t>
            </w:r>
          </w:p>
        </w:tc>
        <w:tc>
          <w:tcPr>
            <w:tcW w:w="500" w:type="pct"/>
            <w:noWrap w:val="0"/>
            <w:vAlign w:val="center"/>
          </w:tcPr>
          <w:p w14:paraId="750553A8">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达标</w:t>
            </w:r>
          </w:p>
        </w:tc>
      </w:tr>
      <w:tr w14:paraId="1EE1B4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9" w:type="pct"/>
            <w:noWrap w:val="0"/>
            <w:vAlign w:val="center"/>
          </w:tcPr>
          <w:p w14:paraId="66136E05">
            <w:pPr>
              <w:pStyle w:val="114"/>
              <w:keepNext w:val="0"/>
              <w:keepLines w:val="0"/>
              <w:widowControl w:val="0"/>
              <w:suppressLineNumbers w:val="0"/>
              <w:tabs>
                <w:tab w:val="left" w:pos="995"/>
              </w:tabs>
              <w:spacing w:before="0" w:beforeAutospacing="0" w:after="0" w:afterAutospacing="0"/>
              <w:ind w:left="0" w:right="0"/>
              <w:rPr>
                <w:rFonts w:hint="eastAsia" w:ascii="Times New Roman" w:hAnsi="Times New Roman" w:cs="Times New Roman"/>
                <w:color w:val="auto"/>
                <w:szCs w:val="21"/>
              </w:rPr>
            </w:pPr>
            <w:r>
              <w:rPr>
                <w:rFonts w:hint="eastAsia" w:ascii="Times New Roman" w:hAnsi="Times New Roman" w:cs="Times New Roman"/>
                <w:color w:val="auto"/>
                <w:szCs w:val="21"/>
              </w:rPr>
              <w:t>南</w:t>
            </w:r>
          </w:p>
        </w:tc>
        <w:tc>
          <w:tcPr>
            <w:tcW w:w="666" w:type="pct"/>
            <w:noWrap w:val="0"/>
            <w:vAlign w:val="center"/>
          </w:tcPr>
          <w:p w14:paraId="5343226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lang w:bidi="ar"/>
              </w:rPr>
              <w:t>46.9</w:t>
            </w:r>
          </w:p>
        </w:tc>
        <w:tc>
          <w:tcPr>
            <w:tcW w:w="500" w:type="pct"/>
            <w:noWrap w:val="0"/>
            <w:vAlign w:val="center"/>
          </w:tcPr>
          <w:p w14:paraId="6AD53E3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lang w:bidi="ar"/>
              </w:rPr>
              <w:t>40.3</w:t>
            </w:r>
          </w:p>
        </w:tc>
        <w:tc>
          <w:tcPr>
            <w:tcW w:w="499" w:type="pct"/>
            <w:noWrap w:val="0"/>
            <w:vAlign w:val="center"/>
          </w:tcPr>
          <w:p w14:paraId="2616C0DC">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eastAsia" w:ascii="Times New Roman" w:hAnsi="Times New Roman" w:cs="Times New Roman"/>
                <w:color w:val="auto"/>
                <w:szCs w:val="21"/>
              </w:rPr>
              <w:t>46.5</w:t>
            </w:r>
          </w:p>
        </w:tc>
        <w:tc>
          <w:tcPr>
            <w:tcW w:w="502" w:type="pct"/>
            <w:noWrap w:val="0"/>
            <w:vAlign w:val="center"/>
          </w:tcPr>
          <w:p w14:paraId="40BFD856">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eastAsia" w:ascii="Times New Roman" w:hAnsi="Times New Roman" w:cs="Times New Roman"/>
                <w:color w:val="auto"/>
                <w:szCs w:val="21"/>
              </w:rPr>
              <w:t>46.5</w:t>
            </w:r>
          </w:p>
        </w:tc>
        <w:tc>
          <w:tcPr>
            <w:tcW w:w="499" w:type="pct"/>
            <w:noWrap w:val="0"/>
            <w:vAlign w:val="center"/>
          </w:tcPr>
          <w:p w14:paraId="6A7F40AE">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70</w:t>
            </w:r>
          </w:p>
        </w:tc>
        <w:tc>
          <w:tcPr>
            <w:tcW w:w="501" w:type="pct"/>
            <w:noWrap w:val="0"/>
            <w:vAlign w:val="center"/>
          </w:tcPr>
          <w:p w14:paraId="3B3DB36F">
            <w:pPr>
              <w:pStyle w:val="114"/>
              <w:keepNext w:val="0"/>
              <w:keepLines w:val="0"/>
              <w:widowControl w:val="0"/>
              <w:suppressLineNumbers w:val="0"/>
              <w:tabs>
                <w:tab w:val="left" w:pos="995"/>
              </w:tabs>
              <w:spacing w:before="0" w:beforeAutospacing="0" w:after="0" w:afterAutospacing="0"/>
              <w:ind w:left="0" w:right="0"/>
              <w:rPr>
                <w:rFonts w:hint="eastAsia" w:ascii="Times New Roman" w:hAnsi="Times New Roman" w:cs="Times New Roman"/>
                <w:color w:val="auto"/>
                <w:szCs w:val="21"/>
              </w:rPr>
            </w:pPr>
            <w:r>
              <w:rPr>
                <w:rFonts w:hint="default" w:ascii="Times New Roman" w:hAnsi="Times New Roman" w:cs="Times New Roman"/>
                <w:color w:val="auto"/>
                <w:szCs w:val="21"/>
              </w:rPr>
              <w:t>55</w:t>
            </w:r>
          </w:p>
        </w:tc>
        <w:tc>
          <w:tcPr>
            <w:tcW w:w="499" w:type="pct"/>
            <w:noWrap w:val="0"/>
            <w:vAlign w:val="center"/>
          </w:tcPr>
          <w:p w14:paraId="61BE8517">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达标</w:t>
            </w:r>
          </w:p>
        </w:tc>
        <w:tc>
          <w:tcPr>
            <w:tcW w:w="500" w:type="pct"/>
            <w:noWrap w:val="0"/>
            <w:vAlign w:val="center"/>
          </w:tcPr>
          <w:p w14:paraId="6E17090F">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达标</w:t>
            </w:r>
          </w:p>
        </w:tc>
      </w:tr>
      <w:tr w14:paraId="619F90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29" w:type="pct"/>
            <w:noWrap w:val="0"/>
            <w:vAlign w:val="center"/>
          </w:tcPr>
          <w:p w14:paraId="50EA53D8">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eastAsia" w:ascii="Times New Roman" w:hAnsi="Times New Roman" w:cs="Times New Roman"/>
                <w:color w:val="auto"/>
                <w:szCs w:val="21"/>
              </w:rPr>
              <w:t>北</w:t>
            </w:r>
          </w:p>
        </w:tc>
        <w:tc>
          <w:tcPr>
            <w:tcW w:w="666" w:type="pct"/>
            <w:noWrap w:val="0"/>
            <w:vAlign w:val="center"/>
          </w:tcPr>
          <w:p w14:paraId="6EDEE6D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lang w:bidi="ar"/>
              </w:rPr>
              <w:t>43.7</w:t>
            </w:r>
          </w:p>
        </w:tc>
        <w:tc>
          <w:tcPr>
            <w:tcW w:w="500" w:type="pct"/>
            <w:noWrap w:val="0"/>
            <w:vAlign w:val="center"/>
          </w:tcPr>
          <w:p w14:paraId="64DF318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lang w:bidi="ar"/>
              </w:rPr>
              <w:t>37.1</w:t>
            </w:r>
          </w:p>
        </w:tc>
        <w:tc>
          <w:tcPr>
            <w:tcW w:w="499" w:type="pct"/>
            <w:noWrap w:val="0"/>
            <w:vAlign w:val="center"/>
          </w:tcPr>
          <w:p w14:paraId="63EFF660">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eastAsia" w:ascii="Times New Roman" w:hAnsi="Times New Roman" w:cs="Times New Roman"/>
                <w:color w:val="auto"/>
                <w:szCs w:val="21"/>
              </w:rPr>
              <w:t>38.5</w:t>
            </w:r>
          </w:p>
        </w:tc>
        <w:tc>
          <w:tcPr>
            <w:tcW w:w="502" w:type="pct"/>
            <w:noWrap w:val="0"/>
            <w:vAlign w:val="center"/>
          </w:tcPr>
          <w:p w14:paraId="0122608D">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eastAsia" w:ascii="Times New Roman" w:hAnsi="Times New Roman" w:cs="Times New Roman"/>
                <w:color w:val="auto"/>
                <w:szCs w:val="21"/>
              </w:rPr>
              <w:t>38.5</w:t>
            </w:r>
          </w:p>
        </w:tc>
        <w:tc>
          <w:tcPr>
            <w:tcW w:w="499" w:type="pct"/>
            <w:noWrap w:val="0"/>
            <w:vAlign w:val="center"/>
          </w:tcPr>
          <w:p w14:paraId="0ED59CF4">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60</w:t>
            </w:r>
          </w:p>
        </w:tc>
        <w:tc>
          <w:tcPr>
            <w:tcW w:w="501" w:type="pct"/>
            <w:noWrap w:val="0"/>
            <w:vAlign w:val="center"/>
          </w:tcPr>
          <w:p w14:paraId="5BDF149A">
            <w:pPr>
              <w:pStyle w:val="114"/>
              <w:keepNext w:val="0"/>
              <w:keepLines w:val="0"/>
              <w:widowControl w:val="0"/>
              <w:suppressLineNumbers w:val="0"/>
              <w:tabs>
                <w:tab w:val="left" w:pos="995"/>
              </w:tabs>
              <w:spacing w:before="0" w:beforeAutospacing="0" w:after="0" w:afterAutospacing="0"/>
              <w:ind w:left="0" w:right="0"/>
              <w:rPr>
                <w:rFonts w:hint="eastAsia" w:ascii="Times New Roman" w:hAnsi="Times New Roman" w:cs="Times New Roman"/>
                <w:color w:val="auto"/>
                <w:szCs w:val="21"/>
              </w:rPr>
            </w:pPr>
            <w:r>
              <w:rPr>
                <w:rFonts w:hint="default" w:ascii="Times New Roman" w:hAnsi="Times New Roman" w:cs="Times New Roman"/>
                <w:color w:val="auto"/>
                <w:szCs w:val="21"/>
              </w:rPr>
              <w:t>50</w:t>
            </w:r>
          </w:p>
        </w:tc>
        <w:tc>
          <w:tcPr>
            <w:tcW w:w="499" w:type="pct"/>
            <w:noWrap w:val="0"/>
            <w:vAlign w:val="center"/>
          </w:tcPr>
          <w:p w14:paraId="21C11343">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达标</w:t>
            </w:r>
          </w:p>
        </w:tc>
        <w:tc>
          <w:tcPr>
            <w:tcW w:w="500" w:type="pct"/>
            <w:noWrap w:val="0"/>
            <w:vAlign w:val="center"/>
          </w:tcPr>
          <w:p w14:paraId="7A9F83A9">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达标</w:t>
            </w:r>
          </w:p>
        </w:tc>
      </w:tr>
    </w:tbl>
    <w:p w14:paraId="44195673">
      <w:pPr>
        <w:spacing w:line="400" w:lineRule="exact"/>
        <w:jc w:val="center"/>
        <w:rPr>
          <w:rFonts w:eastAsia="黑体"/>
          <w:color w:val="auto"/>
          <w:sz w:val="24"/>
        </w:rPr>
      </w:pPr>
      <w:r>
        <w:rPr>
          <w:rFonts w:eastAsia="黑体"/>
          <w:color w:val="auto"/>
          <w:sz w:val="24"/>
        </w:rPr>
        <w:t>表5.2-</w:t>
      </w:r>
      <w:r>
        <w:rPr>
          <w:rFonts w:hint="eastAsia" w:eastAsia="黑体"/>
          <w:color w:val="auto"/>
          <w:sz w:val="24"/>
          <w:lang w:val="en-US" w:eastAsia="zh-CN"/>
        </w:rPr>
        <w:t>1</w:t>
      </w:r>
      <w:r>
        <w:rPr>
          <w:rFonts w:hint="eastAsia" w:eastAsia="黑体"/>
          <w:color w:val="auto"/>
          <w:sz w:val="24"/>
        </w:rPr>
        <w:t>5</w:t>
      </w:r>
      <w:r>
        <w:rPr>
          <w:rFonts w:eastAsia="黑体"/>
          <w:color w:val="auto"/>
          <w:sz w:val="24"/>
        </w:rPr>
        <w:t xml:space="preserve">  各</w:t>
      </w:r>
      <w:r>
        <w:rPr>
          <w:rFonts w:hint="eastAsia" w:eastAsia="黑体"/>
          <w:color w:val="auto"/>
          <w:sz w:val="24"/>
          <w:lang w:val="en-US" w:eastAsia="zh-CN"/>
        </w:rPr>
        <w:t>敏感点</w:t>
      </w:r>
      <w:r>
        <w:rPr>
          <w:rFonts w:eastAsia="黑体"/>
          <w:color w:val="auto"/>
          <w:sz w:val="24"/>
        </w:rPr>
        <w:t>噪声预测结果   单位：dB(A)</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1030"/>
        <w:gridCol w:w="774"/>
        <w:gridCol w:w="772"/>
        <w:gridCol w:w="778"/>
        <w:gridCol w:w="772"/>
        <w:gridCol w:w="778"/>
        <w:gridCol w:w="772"/>
        <w:gridCol w:w="776"/>
        <w:gridCol w:w="772"/>
        <w:gridCol w:w="774"/>
      </w:tblGrid>
      <w:tr w14:paraId="5FBE43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5" w:hRule="atLeast"/>
          <w:tblHeader/>
          <w:jc w:val="center"/>
        </w:trPr>
        <w:tc>
          <w:tcPr>
            <w:tcW w:w="1283" w:type="dxa"/>
            <w:vMerge w:val="restart"/>
            <w:noWrap w:val="0"/>
            <w:vAlign w:val="center"/>
          </w:tcPr>
          <w:p w14:paraId="2D239041">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eastAsia" w:ascii="Times New Roman" w:hAnsi="Times New Roman" w:cs="Times New Roman"/>
                <w:b/>
                <w:bCs/>
                <w:color w:val="auto"/>
                <w:szCs w:val="21"/>
              </w:rPr>
              <w:t>场界</w:t>
            </w:r>
          </w:p>
        </w:tc>
        <w:tc>
          <w:tcPr>
            <w:tcW w:w="1804" w:type="dxa"/>
            <w:gridSpan w:val="2"/>
            <w:noWrap w:val="0"/>
            <w:vAlign w:val="center"/>
          </w:tcPr>
          <w:p w14:paraId="53D5D0E8">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eastAsia" w:ascii="Times New Roman" w:hAnsi="Times New Roman" w:cs="Times New Roman"/>
                <w:b/>
                <w:bCs/>
                <w:color w:val="auto"/>
                <w:szCs w:val="21"/>
              </w:rPr>
              <w:t>背景值</w:t>
            </w:r>
          </w:p>
        </w:tc>
        <w:tc>
          <w:tcPr>
            <w:tcW w:w="1550" w:type="dxa"/>
            <w:gridSpan w:val="2"/>
            <w:noWrap w:val="0"/>
            <w:vAlign w:val="center"/>
          </w:tcPr>
          <w:p w14:paraId="5CD5AD6B">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eastAsia" w:ascii="Times New Roman" w:hAnsi="Times New Roman" w:cs="Times New Roman"/>
                <w:b/>
                <w:bCs/>
                <w:color w:val="auto"/>
                <w:szCs w:val="21"/>
              </w:rPr>
              <w:t>贡献值</w:t>
            </w:r>
          </w:p>
        </w:tc>
        <w:tc>
          <w:tcPr>
            <w:tcW w:w="1550" w:type="dxa"/>
            <w:gridSpan w:val="2"/>
            <w:noWrap w:val="0"/>
            <w:vAlign w:val="center"/>
          </w:tcPr>
          <w:p w14:paraId="1D42FF85">
            <w:pPr>
              <w:pStyle w:val="114"/>
              <w:keepNext w:val="0"/>
              <w:keepLines w:val="0"/>
              <w:widowControl w:val="0"/>
              <w:suppressLineNumbers w:val="0"/>
              <w:tabs>
                <w:tab w:val="left" w:pos="995"/>
              </w:tabs>
              <w:spacing w:before="0" w:beforeAutospacing="0" w:after="0" w:afterAutospacing="0"/>
              <w:ind w:left="0" w:right="0"/>
              <w:rPr>
                <w:rFonts w:hint="eastAsia" w:ascii="Times New Roman" w:hAnsi="Times New Roman" w:cs="Times New Roman"/>
                <w:b/>
                <w:bCs/>
                <w:color w:val="auto"/>
                <w:szCs w:val="21"/>
              </w:rPr>
            </w:pPr>
            <w:r>
              <w:rPr>
                <w:rFonts w:hint="eastAsia" w:ascii="Times New Roman" w:hAnsi="Times New Roman" w:cs="Times New Roman"/>
                <w:b/>
                <w:bCs/>
                <w:color w:val="auto"/>
                <w:szCs w:val="21"/>
              </w:rPr>
              <w:t>叠加值</w:t>
            </w:r>
          </w:p>
        </w:tc>
        <w:tc>
          <w:tcPr>
            <w:tcW w:w="1548" w:type="dxa"/>
            <w:gridSpan w:val="2"/>
            <w:noWrap w:val="0"/>
            <w:vAlign w:val="center"/>
          </w:tcPr>
          <w:p w14:paraId="0DB20024">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eastAsia" w:ascii="Times New Roman" w:hAnsi="Times New Roman" w:cs="Times New Roman"/>
                <w:b/>
                <w:bCs/>
                <w:color w:val="auto"/>
                <w:szCs w:val="21"/>
              </w:rPr>
              <w:t>执行标准</w:t>
            </w:r>
          </w:p>
        </w:tc>
        <w:tc>
          <w:tcPr>
            <w:tcW w:w="1546" w:type="dxa"/>
            <w:gridSpan w:val="2"/>
            <w:noWrap w:val="0"/>
            <w:vAlign w:val="center"/>
          </w:tcPr>
          <w:p w14:paraId="4732CD49">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eastAsia" w:ascii="Times New Roman" w:hAnsi="Times New Roman" w:cs="Times New Roman"/>
                <w:b/>
                <w:bCs/>
                <w:color w:val="auto"/>
                <w:szCs w:val="21"/>
              </w:rPr>
              <w:t>是否达标</w:t>
            </w:r>
          </w:p>
        </w:tc>
      </w:tr>
      <w:tr w14:paraId="108756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5" w:hRule="atLeast"/>
          <w:tblHeader/>
          <w:jc w:val="center"/>
        </w:trPr>
        <w:tc>
          <w:tcPr>
            <w:tcW w:w="1283" w:type="dxa"/>
            <w:vMerge w:val="continue"/>
            <w:noWrap w:val="0"/>
            <w:vAlign w:val="center"/>
          </w:tcPr>
          <w:p w14:paraId="100326F6">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rPr>
            </w:pPr>
          </w:p>
        </w:tc>
        <w:tc>
          <w:tcPr>
            <w:tcW w:w="1030" w:type="dxa"/>
            <w:noWrap w:val="0"/>
            <w:vAlign w:val="center"/>
          </w:tcPr>
          <w:p w14:paraId="20831666">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昼间</w:t>
            </w:r>
          </w:p>
        </w:tc>
        <w:tc>
          <w:tcPr>
            <w:tcW w:w="774" w:type="dxa"/>
            <w:noWrap w:val="0"/>
            <w:vAlign w:val="center"/>
          </w:tcPr>
          <w:p w14:paraId="5D9CAA50">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夜间</w:t>
            </w:r>
          </w:p>
        </w:tc>
        <w:tc>
          <w:tcPr>
            <w:tcW w:w="772" w:type="dxa"/>
            <w:noWrap w:val="0"/>
            <w:vAlign w:val="center"/>
          </w:tcPr>
          <w:p w14:paraId="4BB394DA">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昼间</w:t>
            </w:r>
          </w:p>
        </w:tc>
        <w:tc>
          <w:tcPr>
            <w:tcW w:w="778" w:type="dxa"/>
            <w:noWrap w:val="0"/>
            <w:vAlign w:val="center"/>
          </w:tcPr>
          <w:p w14:paraId="697897D8">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夜间</w:t>
            </w:r>
          </w:p>
        </w:tc>
        <w:tc>
          <w:tcPr>
            <w:tcW w:w="772" w:type="dxa"/>
            <w:noWrap w:val="0"/>
            <w:vAlign w:val="center"/>
          </w:tcPr>
          <w:p w14:paraId="26169DB8">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昼间</w:t>
            </w:r>
          </w:p>
        </w:tc>
        <w:tc>
          <w:tcPr>
            <w:tcW w:w="778" w:type="dxa"/>
            <w:noWrap w:val="0"/>
            <w:vAlign w:val="center"/>
          </w:tcPr>
          <w:p w14:paraId="2FA231C8">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夜间</w:t>
            </w:r>
          </w:p>
        </w:tc>
        <w:tc>
          <w:tcPr>
            <w:tcW w:w="772" w:type="dxa"/>
            <w:noWrap w:val="0"/>
            <w:vAlign w:val="center"/>
          </w:tcPr>
          <w:p w14:paraId="22EAA0CA">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昼间</w:t>
            </w:r>
          </w:p>
        </w:tc>
        <w:tc>
          <w:tcPr>
            <w:tcW w:w="776" w:type="dxa"/>
            <w:noWrap w:val="0"/>
            <w:vAlign w:val="center"/>
          </w:tcPr>
          <w:p w14:paraId="5FAA1575">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夜间</w:t>
            </w:r>
          </w:p>
        </w:tc>
        <w:tc>
          <w:tcPr>
            <w:tcW w:w="772" w:type="dxa"/>
            <w:noWrap w:val="0"/>
            <w:vAlign w:val="center"/>
          </w:tcPr>
          <w:p w14:paraId="0FFE6FC1">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昼间</w:t>
            </w:r>
          </w:p>
        </w:tc>
        <w:tc>
          <w:tcPr>
            <w:tcW w:w="774" w:type="dxa"/>
            <w:noWrap w:val="0"/>
            <w:vAlign w:val="center"/>
          </w:tcPr>
          <w:p w14:paraId="64F214E2">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b/>
                <w:bCs/>
                <w:color w:val="auto"/>
                <w:szCs w:val="21"/>
              </w:rPr>
            </w:pPr>
            <w:r>
              <w:rPr>
                <w:rFonts w:hint="default" w:ascii="Times New Roman" w:hAnsi="Times New Roman" w:cs="Times New Roman"/>
                <w:b/>
                <w:bCs/>
                <w:color w:val="auto"/>
                <w:szCs w:val="21"/>
              </w:rPr>
              <w:t>夜间</w:t>
            </w:r>
          </w:p>
        </w:tc>
      </w:tr>
      <w:tr w14:paraId="307AA7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83" w:type="dxa"/>
            <w:noWrap w:val="0"/>
            <w:vAlign w:val="center"/>
          </w:tcPr>
          <w:p w14:paraId="4C2C23AE">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陶郢孜</w:t>
            </w:r>
          </w:p>
        </w:tc>
        <w:tc>
          <w:tcPr>
            <w:tcW w:w="1030" w:type="dxa"/>
            <w:noWrap w:val="0"/>
            <w:vAlign w:val="center"/>
          </w:tcPr>
          <w:p w14:paraId="6880285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lang w:bidi="ar"/>
              </w:rPr>
              <w:t>53.7</w:t>
            </w:r>
          </w:p>
        </w:tc>
        <w:tc>
          <w:tcPr>
            <w:tcW w:w="774" w:type="dxa"/>
            <w:noWrap w:val="0"/>
            <w:vAlign w:val="center"/>
          </w:tcPr>
          <w:p w14:paraId="737D244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lang w:bidi="ar"/>
              </w:rPr>
              <w:t>36.4</w:t>
            </w:r>
          </w:p>
        </w:tc>
        <w:tc>
          <w:tcPr>
            <w:tcW w:w="772" w:type="dxa"/>
            <w:noWrap w:val="0"/>
            <w:vAlign w:val="center"/>
          </w:tcPr>
          <w:p w14:paraId="5D51964D">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eastAsia" w:ascii="Times New Roman" w:hAnsi="Times New Roman" w:cs="Times New Roman"/>
                <w:color w:val="auto"/>
                <w:szCs w:val="21"/>
              </w:rPr>
              <w:t>32.1</w:t>
            </w:r>
          </w:p>
        </w:tc>
        <w:tc>
          <w:tcPr>
            <w:tcW w:w="778" w:type="dxa"/>
            <w:noWrap w:val="0"/>
            <w:vAlign w:val="center"/>
          </w:tcPr>
          <w:p w14:paraId="6FFE8887">
            <w:pPr>
              <w:pStyle w:val="114"/>
              <w:keepNext w:val="0"/>
              <w:keepLines w:val="0"/>
              <w:widowControl w:val="0"/>
              <w:suppressLineNumbers w:val="0"/>
              <w:tabs>
                <w:tab w:val="left" w:pos="995"/>
              </w:tabs>
              <w:spacing w:before="0" w:beforeAutospacing="0" w:after="0" w:afterAutospacing="0"/>
              <w:ind w:left="0" w:right="0"/>
              <w:rPr>
                <w:rFonts w:hint="eastAsia" w:ascii="Times New Roman" w:hAnsi="Times New Roman" w:cs="Times New Roman"/>
                <w:color w:val="auto"/>
                <w:szCs w:val="21"/>
              </w:rPr>
            </w:pPr>
            <w:r>
              <w:rPr>
                <w:rFonts w:hint="eastAsia" w:ascii="Times New Roman" w:hAnsi="Times New Roman" w:cs="Times New Roman"/>
                <w:color w:val="auto"/>
                <w:szCs w:val="21"/>
              </w:rPr>
              <w:t>32.1</w:t>
            </w:r>
          </w:p>
        </w:tc>
        <w:tc>
          <w:tcPr>
            <w:tcW w:w="772" w:type="dxa"/>
            <w:noWrap w:val="0"/>
            <w:vAlign w:val="center"/>
          </w:tcPr>
          <w:p w14:paraId="07EDD2E9">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53.8</w:t>
            </w:r>
          </w:p>
        </w:tc>
        <w:tc>
          <w:tcPr>
            <w:tcW w:w="778" w:type="dxa"/>
            <w:noWrap w:val="0"/>
            <w:vAlign w:val="center"/>
          </w:tcPr>
          <w:p w14:paraId="615DC725">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36.5</w:t>
            </w:r>
          </w:p>
        </w:tc>
        <w:tc>
          <w:tcPr>
            <w:tcW w:w="772" w:type="dxa"/>
            <w:noWrap w:val="0"/>
            <w:vAlign w:val="center"/>
          </w:tcPr>
          <w:p w14:paraId="6F5DB3D8">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60</w:t>
            </w:r>
          </w:p>
        </w:tc>
        <w:tc>
          <w:tcPr>
            <w:tcW w:w="776" w:type="dxa"/>
            <w:noWrap w:val="0"/>
            <w:vAlign w:val="center"/>
          </w:tcPr>
          <w:p w14:paraId="7001CC8F">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50</w:t>
            </w:r>
          </w:p>
        </w:tc>
        <w:tc>
          <w:tcPr>
            <w:tcW w:w="772" w:type="dxa"/>
            <w:noWrap w:val="0"/>
            <w:vAlign w:val="center"/>
          </w:tcPr>
          <w:p w14:paraId="204E4F50">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达标</w:t>
            </w:r>
          </w:p>
        </w:tc>
        <w:tc>
          <w:tcPr>
            <w:tcW w:w="774" w:type="dxa"/>
            <w:noWrap w:val="0"/>
            <w:vAlign w:val="center"/>
          </w:tcPr>
          <w:p w14:paraId="783E51EE">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达标</w:t>
            </w:r>
          </w:p>
        </w:tc>
      </w:tr>
      <w:tr w14:paraId="26EDA6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83" w:type="dxa"/>
            <w:noWrap w:val="0"/>
            <w:vAlign w:val="center"/>
          </w:tcPr>
          <w:p w14:paraId="14771B1D">
            <w:pPr>
              <w:keepNext w:val="0"/>
              <w:keepLines w:val="0"/>
              <w:suppressLineNumbers w:val="0"/>
              <w:adjustRightInd w:val="0"/>
              <w:snapToGrid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小孙家岗</w:t>
            </w:r>
          </w:p>
        </w:tc>
        <w:tc>
          <w:tcPr>
            <w:tcW w:w="1030" w:type="dxa"/>
            <w:noWrap w:val="0"/>
            <w:vAlign w:val="center"/>
          </w:tcPr>
          <w:p w14:paraId="3CD46B0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lang w:bidi="ar"/>
              </w:rPr>
              <w:t>53.1</w:t>
            </w:r>
          </w:p>
        </w:tc>
        <w:tc>
          <w:tcPr>
            <w:tcW w:w="774" w:type="dxa"/>
            <w:noWrap w:val="0"/>
            <w:vAlign w:val="center"/>
          </w:tcPr>
          <w:p w14:paraId="271CADE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lang w:bidi="ar"/>
              </w:rPr>
              <w:t>40.5</w:t>
            </w:r>
          </w:p>
        </w:tc>
        <w:tc>
          <w:tcPr>
            <w:tcW w:w="772" w:type="dxa"/>
            <w:noWrap w:val="0"/>
            <w:vAlign w:val="center"/>
          </w:tcPr>
          <w:p w14:paraId="7C8E36BB">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eastAsia" w:ascii="Times New Roman" w:hAnsi="Times New Roman" w:cs="Times New Roman"/>
                <w:color w:val="auto"/>
                <w:szCs w:val="21"/>
              </w:rPr>
              <w:t>25.4</w:t>
            </w:r>
          </w:p>
        </w:tc>
        <w:tc>
          <w:tcPr>
            <w:tcW w:w="778" w:type="dxa"/>
            <w:noWrap w:val="0"/>
            <w:vAlign w:val="center"/>
          </w:tcPr>
          <w:p w14:paraId="6A1AC91B">
            <w:pPr>
              <w:pStyle w:val="114"/>
              <w:keepNext w:val="0"/>
              <w:keepLines w:val="0"/>
              <w:widowControl w:val="0"/>
              <w:suppressLineNumbers w:val="0"/>
              <w:tabs>
                <w:tab w:val="left" w:pos="995"/>
              </w:tabs>
              <w:spacing w:before="0" w:beforeAutospacing="0" w:after="0" w:afterAutospacing="0"/>
              <w:ind w:left="0" w:right="0"/>
              <w:rPr>
                <w:rFonts w:hint="eastAsia" w:ascii="Times New Roman" w:hAnsi="Times New Roman" w:cs="Times New Roman"/>
                <w:color w:val="auto"/>
                <w:szCs w:val="21"/>
              </w:rPr>
            </w:pPr>
            <w:r>
              <w:rPr>
                <w:rFonts w:hint="eastAsia" w:ascii="Times New Roman" w:hAnsi="Times New Roman" w:cs="Times New Roman"/>
                <w:color w:val="auto"/>
                <w:szCs w:val="21"/>
              </w:rPr>
              <w:t>25.4</w:t>
            </w:r>
          </w:p>
        </w:tc>
        <w:tc>
          <w:tcPr>
            <w:tcW w:w="772" w:type="dxa"/>
            <w:noWrap w:val="0"/>
            <w:vAlign w:val="center"/>
          </w:tcPr>
          <w:p w14:paraId="7178B8A7">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53.2</w:t>
            </w:r>
          </w:p>
        </w:tc>
        <w:tc>
          <w:tcPr>
            <w:tcW w:w="778" w:type="dxa"/>
            <w:noWrap w:val="0"/>
            <w:vAlign w:val="center"/>
          </w:tcPr>
          <w:p w14:paraId="23E787E8">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40.7</w:t>
            </w:r>
          </w:p>
        </w:tc>
        <w:tc>
          <w:tcPr>
            <w:tcW w:w="772" w:type="dxa"/>
            <w:noWrap w:val="0"/>
            <w:vAlign w:val="center"/>
          </w:tcPr>
          <w:p w14:paraId="67A81DBE">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60</w:t>
            </w:r>
          </w:p>
        </w:tc>
        <w:tc>
          <w:tcPr>
            <w:tcW w:w="776" w:type="dxa"/>
            <w:noWrap w:val="0"/>
            <w:vAlign w:val="center"/>
          </w:tcPr>
          <w:p w14:paraId="7D6CDC58">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50</w:t>
            </w:r>
          </w:p>
        </w:tc>
        <w:tc>
          <w:tcPr>
            <w:tcW w:w="772" w:type="dxa"/>
            <w:noWrap w:val="0"/>
            <w:vAlign w:val="center"/>
          </w:tcPr>
          <w:p w14:paraId="7AD1C0B8">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达标</w:t>
            </w:r>
          </w:p>
        </w:tc>
        <w:tc>
          <w:tcPr>
            <w:tcW w:w="774" w:type="dxa"/>
            <w:noWrap w:val="0"/>
            <w:vAlign w:val="center"/>
          </w:tcPr>
          <w:p w14:paraId="418C6A10">
            <w:pPr>
              <w:pStyle w:val="114"/>
              <w:keepNext w:val="0"/>
              <w:keepLines w:val="0"/>
              <w:widowControl w:val="0"/>
              <w:suppressLineNumbers w:val="0"/>
              <w:tabs>
                <w:tab w:val="left" w:pos="995"/>
              </w:tabs>
              <w:spacing w:before="0" w:beforeAutospacing="0" w:after="0" w:afterAutospacing="0"/>
              <w:ind w:left="0" w:right="0"/>
              <w:rPr>
                <w:rFonts w:hint="default" w:ascii="Times New Roman" w:hAnsi="Times New Roman" w:cs="Times New Roman"/>
                <w:color w:val="auto"/>
                <w:szCs w:val="21"/>
              </w:rPr>
            </w:pPr>
            <w:r>
              <w:rPr>
                <w:rFonts w:hint="default" w:ascii="Times New Roman" w:hAnsi="Times New Roman" w:cs="Times New Roman"/>
                <w:color w:val="auto"/>
                <w:szCs w:val="21"/>
              </w:rPr>
              <w:t>达标</w:t>
            </w:r>
          </w:p>
        </w:tc>
      </w:tr>
    </w:tbl>
    <w:p w14:paraId="57E4D7D5">
      <w:pPr>
        <w:spacing w:line="360" w:lineRule="auto"/>
        <w:ind w:firstLine="480" w:firstLineChars="200"/>
        <w:jc w:val="both"/>
        <w:rPr>
          <w:color w:val="auto"/>
          <w:sz w:val="24"/>
          <w:szCs w:val="20"/>
        </w:rPr>
      </w:pPr>
      <w:r>
        <w:rPr>
          <w:color w:val="auto"/>
          <w:sz w:val="24"/>
          <w:szCs w:val="20"/>
        </w:rPr>
        <w:t>由上表预测结果表明，项目运营后经采取本评价提出的噪声防治措施并经减振、隔声、距离衰减后</w:t>
      </w:r>
      <w:r>
        <w:rPr>
          <w:rFonts w:hint="eastAsia"/>
          <w:color w:val="auto"/>
          <w:sz w:val="24"/>
          <w:szCs w:val="20"/>
          <w:lang w:val="en-US" w:eastAsia="zh-CN"/>
        </w:rPr>
        <w:t>南侧</w:t>
      </w:r>
      <w:r>
        <w:rPr>
          <w:color w:val="auto"/>
          <w:sz w:val="24"/>
          <w:szCs w:val="20"/>
        </w:rPr>
        <w:t>边界噪声均能满足《工业企业厂界环境噪声排放标准》（GB12348-2008）中4类排放标准要求</w:t>
      </w:r>
      <w:r>
        <w:rPr>
          <w:rFonts w:hint="eastAsia"/>
          <w:color w:val="auto"/>
          <w:sz w:val="24"/>
          <w:szCs w:val="20"/>
          <w:lang w:eastAsia="zh-CN"/>
        </w:rPr>
        <w:t>；</w:t>
      </w:r>
      <w:r>
        <w:rPr>
          <w:rFonts w:hint="eastAsia"/>
          <w:color w:val="auto"/>
          <w:sz w:val="24"/>
          <w:lang w:val="en-US" w:eastAsia="zh-CN"/>
        </w:rPr>
        <w:t>东侧、西侧、北侧厂界</w:t>
      </w:r>
      <w:r>
        <w:rPr>
          <w:color w:val="auto"/>
          <w:sz w:val="24"/>
          <w:szCs w:val="20"/>
        </w:rPr>
        <w:t>噪声均能满足《工业企业厂界环境噪声排放标准》（GB12348-2008）中2类排放标准要求</w:t>
      </w:r>
      <w:r>
        <w:rPr>
          <w:rFonts w:hint="eastAsia"/>
          <w:color w:val="auto"/>
          <w:sz w:val="24"/>
          <w:szCs w:val="20"/>
          <w:lang w:eastAsia="zh-CN"/>
        </w:rPr>
        <w:t>；</w:t>
      </w:r>
      <w:r>
        <w:rPr>
          <w:rFonts w:hint="eastAsia"/>
          <w:color w:val="auto"/>
          <w:sz w:val="24"/>
          <w:szCs w:val="20"/>
        </w:rPr>
        <w:t>周边敏感点噪声满足</w:t>
      </w:r>
      <w:r>
        <w:rPr>
          <w:color w:val="auto"/>
          <w:sz w:val="24"/>
          <w:szCs w:val="20"/>
        </w:rPr>
        <w:t>《工业企业厂界环境噪声排放标准》（GB12348-2008）中2类排放标准要求。本项目运营后，不</w:t>
      </w:r>
      <w:r>
        <w:rPr>
          <w:rFonts w:hint="eastAsia"/>
          <w:color w:val="auto"/>
          <w:sz w:val="24"/>
          <w:szCs w:val="20"/>
        </w:rPr>
        <w:t>会</w:t>
      </w:r>
      <w:r>
        <w:rPr>
          <w:color w:val="auto"/>
          <w:sz w:val="24"/>
          <w:szCs w:val="20"/>
        </w:rPr>
        <w:t>改变评价区域声环境质量现状功能级别。</w:t>
      </w:r>
    </w:p>
    <w:p w14:paraId="7E391322">
      <w:pPr>
        <w:spacing w:line="360" w:lineRule="auto"/>
        <w:jc w:val="center"/>
        <w:rPr>
          <w:color w:val="auto"/>
          <w:sz w:val="24"/>
          <w:szCs w:val="20"/>
          <w:highlight w:val="cyan"/>
        </w:rPr>
      </w:pPr>
      <w:r>
        <w:rPr>
          <w:color w:val="auto"/>
        </w:rPr>
        <w:drawing>
          <wp:inline distT="0" distB="0" distL="114300" distR="114300">
            <wp:extent cx="5090795" cy="3508375"/>
            <wp:effectExtent l="0" t="0" r="14605" b="15875"/>
            <wp:docPr id="204"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88"/>
                    <pic:cNvPicPr>
                      <a:picLocks noChangeAspect="1"/>
                    </pic:cNvPicPr>
                  </pic:nvPicPr>
                  <pic:blipFill>
                    <a:blip r:embed="rId183"/>
                    <a:stretch>
                      <a:fillRect/>
                    </a:stretch>
                  </pic:blipFill>
                  <pic:spPr>
                    <a:xfrm>
                      <a:off x="0" y="0"/>
                      <a:ext cx="5090795" cy="3508375"/>
                    </a:xfrm>
                    <a:prstGeom prst="rect">
                      <a:avLst/>
                    </a:prstGeom>
                    <a:noFill/>
                    <a:ln>
                      <a:noFill/>
                    </a:ln>
                  </pic:spPr>
                </pic:pic>
              </a:graphicData>
            </a:graphic>
          </wp:inline>
        </w:drawing>
      </w:r>
    </w:p>
    <w:p w14:paraId="52029D94">
      <w:pPr>
        <w:spacing w:line="400" w:lineRule="exact"/>
        <w:jc w:val="center"/>
        <w:rPr>
          <w:color w:val="auto"/>
        </w:rPr>
      </w:pPr>
      <w:r>
        <w:rPr>
          <w:rFonts w:eastAsia="黑体"/>
          <w:color w:val="auto"/>
          <w:sz w:val="24"/>
          <w:szCs w:val="20"/>
        </w:rPr>
        <w:t>图5.2-</w:t>
      </w:r>
      <w:r>
        <w:rPr>
          <w:rFonts w:hint="eastAsia" w:eastAsia="黑体"/>
          <w:color w:val="auto"/>
          <w:sz w:val="24"/>
          <w:szCs w:val="20"/>
        </w:rPr>
        <w:t>8</w:t>
      </w:r>
      <w:r>
        <w:rPr>
          <w:rFonts w:eastAsia="黑体"/>
          <w:color w:val="auto"/>
          <w:sz w:val="24"/>
          <w:szCs w:val="20"/>
        </w:rPr>
        <w:t xml:space="preserve">  项目</w:t>
      </w:r>
      <w:r>
        <w:rPr>
          <w:rFonts w:hint="eastAsia" w:eastAsia="黑体"/>
          <w:color w:val="auto"/>
          <w:sz w:val="24"/>
          <w:szCs w:val="20"/>
          <w:lang w:val="en-US" w:eastAsia="zh-CN"/>
        </w:rPr>
        <w:t>厂界（场界）</w:t>
      </w:r>
      <w:r>
        <w:rPr>
          <w:rFonts w:eastAsia="黑体"/>
          <w:color w:val="auto"/>
          <w:sz w:val="24"/>
          <w:szCs w:val="20"/>
        </w:rPr>
        <w:t>噪声预测等值线图</w:t>
      </w:r>
    </w:p>
    <w:p w14:paraId="3BD967BE">
      <w:pPr>
        <w:spacing w:line="360" w:lineRule="auto"/>
        <w:jc w:val="center"/>
        <w:rPr>
          <w:color w:val="auto"/>
          <w:sz w:val="24"/>
          <w:szCs w:val="20"/>
          <w:highlight w:val="cyan"/>
        </w:rPr>
      </w:pPr>
      <w:r>
        <w:rPr>
          <w:color w:val="auto"/>
        </w:rPr>
        <w:drawing>
          <wp:inline distT="0" distB="0" distL="114300" distR="114300">
            <wp:extent cx="5753100" cy="3868420"/>
            <wp:effectExtent l="0" t="0" r="0" b="17780"/>
            <wp:docPr id="3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4"/>
                    <pic:cNvPicPr>
                      <a:picLocks noChangeAspect="1"/>
                    </pic:cNvPicPr>
                  </pic:nvPicPr>
                  <pic:blipFill>
                    <a:blip r:embed="rId184"/>
                    <a:stretch>
                      <a:fillRect/>
                    </a:stretch>
                  </pic:blipFill>
                  <pic:spPr>
                    <a:xfrm>
                      <a:off x="0" y="0"/>
                      <a:ext cx="5753100" cy="3868420"/>
                    </a:xfrm>
                    <a:prstGeom prst="rect">
                      <a:avLst/>
                    </a:prstGeom>
                    <a:noFill/>
                    <a:ln>
                      <a:noFill/>
                    </a:ln>
                  </pic:spPr>
                </pic:pic>
              </a:graphicData>
            </a:graphic>
          </wp:inline>
        </w:drawing>
      </w:r>
    </w:p>
    <w:p w14:paraId="4867073F">
      <w:pPr>
        <w:spacing w:line="400" w:lineRule="exact"/>
        <w:jc w:val="center"/>
        <w:rPr>
          <w:rFonts w:hint="eastAsia" w:eastAsia="黑体"/>
          <w:color w:val="auto"/>
          <w:sz w:val="24"/>
          <w:szCs w:val="20"/>
        </w:rPr>
      </w:pPr>
      <w:r>
        <w:rPr>
          <w:rFonts w:eastAsia="黑体"/>
          <w:color w:val="auto"/>
          <w:sz w:val="24"/>
          <w:szCs w:val="20"/>
        </w:rPr>
        <w:t>图5.2-</w:t>
      </w:r>
      <w:r>
        <w:rPr>
          <w:rFonts w:hint="eastAsia" w:eastAsia="黑体"/>
          <w:color w:val="auto"/>
          <w:sz w:val="24"/>
          <w:szCs w:val="20"/>
          <w:lang w:val="en-US" w:eastAsia="zh-CN"/>
        </w:rPr>
        <w:t>9</w:t>
      </w:r>
      <w:r>
        <w:rPr>
          <w:rFonts w:eastAsia="黑体"/>
          <w:color w:val="auto"/>
          <w:sz w:val="24"/>
          <w:szCs w:val="20"/>
        </w:rPr>
        <w:t xml:space="preserve">  项目</w:t>
      </w:r>
      <w:r>
        <w:rPr>
          <w:rFonts w:hint="eastAsia" w:eastAsia="黑体"/>
          <w:color w:val="auto"/>
          <w:sz w:val="24"/>
          <w:szCs w:val="20"/>
          <w:lang w:val="en-US" w:eastAsia="zh-CN"/>
        </w:rPr>
        <w:t>周边敏感点</w:t>
      </w:r>
      <w:r>
        <w:rPr>
          <w:rFonts w:eastAsia="黑体"/>
          <w:color w:val="auto"/>
          <w:sz w:val="24"/>
          <w:szCs w:val="20"/>
        </w:rPr>
        <w:t>噪声预测等值线图</w:t>
      </w:r>
    </w:p>
    <w:p w14:paraId="4499FAFF">
      <w:pPr>
        <w:pStyle w:val="5"/>
        <w:numPr>
          <w:ilvl w:val="0"/>
          <w:numId w:val="0"/>
        </w:numPr>
        <w:rPr>
          <w:color w:val="auto"/>
        </w:rPr>
      </w:pPr>
      <w:r>
        <w:rPr>
          <w:rFonts w:hint="eastAsia"/>
          <w:color w:val="auto"/>
        </w:rPr>
        <w:t>5.2.3.4交通运输噪声影响分析</w:t>
      </w:r>
    </w:p>
    <w:p w14:paraId="4CAA1240">
      <w:pPr>
        <w:spacing w:line="360" w:lineRule="auto"/>
        <w:ind w:firstLine="480" w:firstLineChars="200"/>
        <w:jc w:val="left"/>
        <w:rPr>
          <w:color w:val="auto"/>
          <w:sz w:val="24"/>
          <w:szCs w:val="20"/>
        </w:rPr>
      </w:pPr>
      <w:bookmarkStart w:id="144" w:name="_Hlk110343044"/>
      <w:r>
        <w:rPr>
          <w:color w:val="auto"/>
          <w:sz w:val="24"/>
          <w:szCs w:val="20"/>
        </w:rPr>
        <w:t>本项目</w:t>
      </w:r>
      <w:r>
        <w:rPr>
          <w:rFonts w:hint="eastAsia"/>
          <w:color w:val="auto"/>
          <w:sz w:val="24"/>
          <w:szCs w:val="20"/>
        </w:rPr>
        <w:t>预测吞吐量为80万</w:t>
      </w:r>
      <w:r>
        <w:rPr>
          <w:color w:val="auto"/>
          <w:sz w:val="24"/>
          <w:szCs w:val="20"/>
        </w:rPr>
        <w:t>t/</w:t>
      </w:r>
      <w:r>
        <w:rPr>
          <w:rFonts w:hint="eastAsia"/>
          <w:color w:val="auto"/>
          <w:sz w:val="24"/>
          <w:szCs w:val="20"/>
        </w:rPr>
        <w:t>a。出口的煤炭通过专用的汽车运输出港区；进口的矿建材料需要通过专用的汽车运输进入港区，通过卸车平台输送至货船出港；国内目前运输煤炭、矿建材料的汽车载重量约为</w:t>
      </w:r>
      <w:r>
        <w:rPr>
          <w:color w:val="auto"/>
          <w:sz w:val="24"/>
          <w:szCs w:val="20"/>
        </w:rPr>
        <w:t>55t载重，则本项目</w:t>
      </w:r>
      <w:r>
        <w:rPr>
          <w:rFonts w:hint="eastAsia"/>
          <w:color w:val="auto"/>
          <w:sz w:val="24"/>
          <w:szCs w:val="20"/>
        </w:rPr>
        <w:t>在到达2</w:t>
      </w:r>
      <w:r>
        <w:rPr>
          <w:color w:val="auto"/>
          <w:sz w:val="24"/>
          <w:szCs w:val="20"/>
        </w:rPr>
        <w:t>025</w:t>
      </w:r>
      <w:r>
        <w:rPr>
          <w:rFonts w:hint="eastAsia"/>
          <w:color w:val="auto"/>
          <w:sz w:val="24"/>
          <w:szCs w:val="20"/>
        </w:rPr>
        <w:t>年预测吞吐量为8</w:t>
      </w:r>
      <w:r>
        <w:rPr>
          <w:color w:val="auto"/>
          <w:sz w:val="24"/>
          <w:szCs w:val="20"/>
        </w:rPr>
        <w:t>0</w:t>
      </w:r>
      <w:r>
        <w:rPr>
          <w:rFonts w:hint="eastAsia"/>
          <w:color w:val="auto"/>
          <w:sz w:val="24"/>
          <w:szCs w:val="20"/>
        </w:rPr>
        <w:t>万</w:t>
      </w:r>
      <w:r>
        <w:rPr>
          <w:color w:val="auto"/>
          <w:sz w:val="24"/>
          <w:szCs w:val="20"/>
        </w:rPr>
        <w:t>t/</w:t>
      </w:r>
      <w:r>
        <w:rPr>
          <w:rFonts w:hint="eastAsia"/>
          <w:color w:val="auto"/>
          <w:sz w:val="24"/>
          <w:szCs w:val="20"/>
        </w:rPr>
        <w:t>a的情况下，</w:t>
      </w:r>
      <w:r>
        <w:rPr>
          <w:color w:val="auto"/>
          <w:sz w:val="24"/>
          <w:szCs w:val="20"/>
        </w:rPr>
        <w:t>每天</w:t>
      </w:r>
      <w:r>
        <w:rPr>
          <w:rFonts w:hint="eastAsia"/>
          <w:color w:val="auto"/>
          <w:sz w:val="24"/>
          <w:szCs w:val="20"/>
        </w:rPr>
        <w:t>进出港的运输车</w:t>
      </w:r>
      <w:r>
        <w:rPr>
          <w:color w:val="auto"/>
          <w:sz w:val="24"/>
          <w:szCs w:val="20"/>
        </w:rPr>
        <w:t>流量为60辆，则车流量平均约为</w:t>
      </w:r>
      <w:r>
        <w:rPr>
          <w:rFonts w:hint="eastAsia"/>
          <w:color w:val="auto"/>
          <w:sz w:val="24"/>
          <w:szCs w:val="20"/>
        </w:rPr>
        <w:t>3</w:t>
      </w:r>
      <w:r>
        <w:rPr>
          <w:color w:val="auto"/>
          <w:sz w:val="24"/>
          <w:szCs w:val="20"/>
        </w:rPr>
        <w:t>辆/h。</w:t>
      </w:r>
    </w:p>
    <w:p w14:paraId="6EECA878">
      <w:pPr>
        <w:pStyle w:val="354"/>
        <w:keepNext w:val="0"/>
        <w:keepLines w:val="0"/>
        <w:pageBreakBefore w:val="0"/>
        <w:widowControl/>
        <w:kinsoku/>
        <w:wordWrap/>
        <w:overflowPunct/>
        <w:topLinePunct w:val="0"/>
        <w:autoSpaceDE/>
        <w:autoSpaceDN/>
        <w:bidi w:val="0"/>
        <w:adjustRightInd/>
        <w:snapToGrid/>
        <w:textAlignment w:val="auto"/>
        <w:outlineLvl w:val="4"/>
        <w:rPr>
          <w:rFonts w:hint="default" w:ascii="Times New Roman" w:hAnsi="Times New Roman" w:eastAsia="黑体" w:cs="Times New Roman"/>
          <w:b w:val="0"/>
          <w:bCs/>
          <w:snapToGrid/>
          <w:color w:val="auto"/>
          <w:kern w:val="2"/>
          <w:sz w:val="24"/>
          <w:szCs w:val="28"/>
          <w:lang w:val="en-US" w:eastAsia="zh-CN" w:bidi="ar-SA"/>
        </w:rPr>
      </w:pPr>
      <w:bookmarkStart w:id="145" w:name="_Toc245279001"/>
      <w:bookmarkStart w:id="146" w:name="_Toc395269575"/>
      <w:bookmarkStart w:id="147" w:name="_Toc367983637"/>
      <w:bookmarkStart w:id="148" w:name="_Toc245118569"/>
      <w:bookmarkStart w:id="149" w:name="_Toc354905403"/>
      <w:bookmarkStart w:id="150" w:name="_Toc399095698"/>
      <w:bookmarkStart w:id="151" w:name="_Toc245119589"/>
      <w:bookmarkStart w:id="152" w:name="_Toc377881669"/>
      <w:bookmarkStart w:id="153" w:name="_Toc388894799"/>
      <w:bookmarkStart w:id="154" w:name="_Toc356206448"/>
      <w:bookmarkStart w:id="155" w:name="_Toc362784825"/>
      <w:bookmarkStart w:id="156" w:name="_Toc361043876"/>
      <w:r>
        <w:rPr>
          <w:rFonts w:hint="eastAsia" w:ascii="Times New Roman" w:hAnsi="Times New Roman" w:eastAsia="黑体" w:cs="Times New Roman"/>
          <w:b w:val="0"/>
          <w:bCs/>
          <w:snapToGrid/>
          <w:color w:val="auto"/>
          <w:kern w:val="2"/>
          <w:sz w:val="24"/>
          <w:szCs w:val="28"/>
          <w:lang w:val="en-US" w:eastAsia="zh-CN" w:bidi="ar-SA"/>
        </w:rPr>
        <w:t>5.2.3.4.1</w:t>
      </w:r>
      <w:r>
        <w:rPr>
          <w:rFonts w:hint="default" w:ascii="Times New Roman" w:hAnsi="Times New Roman" w:eastAsia="黑体" w:cs="Times New Roman"/>
          <w:b w:val="0"/>
          <w:bCs/>
          <w:snapToGrid/>
          <w:color w:val="auto"/>
          <w:kern w:val="2"/>
          <w:sz w:val="24"/>
          <w:szCs w:val="28"/>
          <w:lang w:val="en-US" w:eastAsia="zh-CN" w:bidi="ar-SA"/>
        </w:rPr>
        <w:t>预测模式</w:t>
      </w:r>
      <w:bookmarkEnd w:id="145"/>
      <w:bookmarkEnd w:id="146"/>
      <w:bookmarkEnd w:id="147"/>
      <w:bookmarkEnd w:id="148"/>
      <w:bookmarkEnd w:id="149"/>
      <w:bookmarkEnd w:id="150"/>
      <w:bookmarkEnd w:id="151"/>
      <w:bookmarkEnd w:id="152"/>
      <w:bookmarkEnd w:id="153"/>
      <w:bookmarkEnd w:id="154"/>
      <w:bookmarkEnd w:id="155"/>
      <w:bookmarkEnd w:id="156"/>
    </w:p>
    <w:p w14:paraId="3F446CEF">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snapToGrid w:val="0"/>
          <w:color w:val="auto"/>
          <w:kern w:val="0"/>
          <w:sz w:val="24"/>
          <w:szCs w:val="22"/>
          <w:highlight w:val="none"/>
        </w:rPr>
        <w:t>本项目交通噪声影响预测采用《环境影响评价技术导则 声环境</w:t>
      </w:r>
      <w:r>
        <w:rPr>
          <w:rFonts w:hint="default" w:ascii="Times New Roman" w:hAnsi="Times New Roman" w:cs="Times New Roman"/>
          <w:color w:val="auto"/>
          <w:sz w:val="24"/>
          <w:szCs w:val="22"/>
          <w:highlight w:val="none"/>
        </w:rPr>
        <w:t>》</w:t>
      </w:r>
      <w:r>
        <w:rPr>
          <w:rFonts w:hint="eastAsia" w:cs="Times New Roman"/>
          <w:color w:val="auto"/>
          <w:sz w:val="24"/>
          <w:szCs w:val="22"/>
          <w:highlight w:val="none"/>
          <w:lang w:eastAsia="zh-CN"/>
        </w:rPr>
        <w:t>（HJ 2.4-2021）</w:t>
      </w:r>
      <w:r>
        <w:rPr>
          <w:rFonts w:hint="default" w:ascii="Times New Roman" w:hAnsi="Times New Roman" w:cs="Times New Roman"/>
          <w:color w:val="auto"/>
          <w:sz w:val="24"/>
          <w:szCs w:val="22"/>
          <w:highlight w:val="none"/>
        </w:rPr>
        <w:t>推荐的附录B.2进行预测，预测条件为：车型为大型车；车辆行驶速度设定为</w:t>
      </w:r>
      <w:r>
        <w:rPr>
          <w:rFonts w:hint="eastAsia" w:ascii="Times New Roman" w:hAnsi="Times New Roman" w:cs="Times New Roman"/>
          <w:color w:val="auto"/>
          <w:sz w:val="24"/>
          <w:szCs w:val="22"/>
          <w:highlight w:val="none"/>
          <w:lang w:val="en-US" w:eastAsia="zh-CN"/>
        </w:rPr>
        <w:t>20</w:t>
      </w:r>
      <w:r>
        <w:rPr>
          <w:rFonts w:hint="default" w:ascii="Times New Roman" w:hAnsi="Times New Roman" w:cs="Times New Roman"/>
          <w:color w:val="auto"/>
          <w:sz w:val="24"/>
          <w:szCs w:val="22"/>
          <w:highlight w:val="none"/>
        </w:rPr>
        <w:t>km/h；水泥混凝土路面，平坡路面。</w:t>
      </w:r>
    </w:p>
    <w:p w14:paraId="0510D48B">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预测公式如下：</w:t>
      </w:r>
    </w:p>
    <w:p w14:paraId="54F3CC4E">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bookmarkStart w:id="157" w:name="_Toc362784826"/>
      <w:bookmarkStart w:id="158" w:name="_Toc300780679"/>
      <w:bookmarkStart w:id="159" w:name="_Toc300756347"/>
      <w:bookmarkStart w:id="160" w:name="_Toc388894800"/>
      <w:bookmarkStart w:id="161" w:name="_Toc356206449"/>
      <w:bookmarkStart w:id="162" w:name="_Toc377881670"/>
      <w:bookmarkStart w:id="163" w:name="_Toc361043877"/>
      <w:bookmarkStart w:id="164" w:name="_Toc367983638"/>
      <w:bookmarkStart w:id="165" w:name="_Toc395269576"/>
      <w:bookmarkStart w:id="166" w:name="_Toc354905404"/>
      <w:bookmarkStart w:id="167" w:name="_Toc399095699"/>
      <w:r>
        <w:rPr>
          <w:rFonts w:hint="default" w:ascii="Times New Roman" w:hAnsi="Times New Roman" w:cs="Times New Roman"/>
          <w:color w:val="auto"/>
          <w:sz w:val="24"/>
          <w:szCs w:val="22"/>
          <w:highlight w:val="none"/>
        </w:rPr>
        <w:t>Leq(h)i</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2"/>
          <w:highlight w:val="none"/>
        </w:rPr>
        <w:t>(L</w:t>
      </w:r>
      <w:r>
        <w:rPr>
          <w:rFonts w:hint="default" w:ascii="Times New Roman" w:hAnsi="Times New Roman" w:cs="Times New Roman"/>
          <w:color w:val="auto"/>
          <w:sz w:val="24"/>
          <w:szCs w:val="22"/>
          <w:highlight w:val="none"/>
          <w:vertAlign w:val="subscript"/>
        </w:rPr>
        <w:t>0E</w:t>
      </w:r>
      <w:r>
        <w:rPr>
          <w:rFonts w:hint="default" w:ascii="Times New Roman" w:hAnsi="Times New Roman" w:cs="Times New Roman"/>
          <w:color w:val="auto"/>
          <w:sz w:val="24"/>
          <w:szCs w:val="22"/>
          <w:highlight w:val="none"/>
        </w:rPr>
        <w:t>)</w:t>
      </w:r>
      <w:r>
        <w:rPr>
          <w:rFonts w:hint="default" w:ascii="Times New Roman" w:hAnsi="Times New Roman" w:cs="Times New Roman"/>
          <w:color w:val="auto"/>
          <w:sz w:val="24"/>
          <w:szCs w:val="22"/>
          <w:highlight w:val="none"/>
          <w:vertAlign w:val="subscript"/>
        </w:rPr>
        <w:t>i</w:t>
      </w:r>
      <w:r>
        <w:rPr>
          <w:rFonts w:hint="default" w:ascii="Times New Roman" w:hAnsi="Times New Roman" w:cs="Times New Roman"/>
          <w:color w:val="auto"/>
          <w:sz w:val="21"/>
          <w:szCs w:val="28"/>
          <w:highlight w:val="none"/>
        </w:rPr>
        <w:t>＋</w:t>
      </w:r>
      <w:r>
        <w:rPr>
          <w:rFonts w:hint="default" w:ascii="Times New Roman" w:hAnsi="Times New Roman" w:cs="Times New Roman"/>
          <w:color w:val="auto"/>
          <w:sz w:val="24"/>
          <w:szCs w:val="22"/>
          <w:highlight w:val="none"/>
        </w:rPr>
        <w:t>10lg(</w:t>
      </w:r>
      <w:r>
        <w:rPr>
          <w:rFonts w:hint="default" w:ascii="Times New Roman" w:hAnsi="Times New Roman" w:cs="Times New Roman"/>
          <w:color w:val="auto"/>
          <w:sz w:val="24"/>
          <w:szCs w:val="22"/>
          <w:highlight w:val="none"/>
        </w:rPr>
        <w:object>
          <v:shape id="_x0000_i1051" o:spt="75" type="#_x0000_t75" style="height:27.85pt;width:20.4pt;" o:ole="t" filled="f" o:preferrelative="t" stroked="f" coordsize="21600,21600">
            <v:path/>
            <v:fill on="f" focussize="0,0"/>
            <v:stroke on="f"/>
            <v:imagedata r:id="rId186" o:title=""/>
            <o:lock v:ext="edit" aspectratio="t"/>
            <w10:wrap type="none"/>
            <w10:anchorlock/>
          </v:shape>
          <o:OLEObject Type="Embed" ProgID="Equation.3" ShapeID="_x0000_i1051" DrawAspect="Content" ObjectID="_1468075751" r:id="rId185">
            <o:LockedField>false</o:LockedField>
          </o:OLEObject>
        </w:object>
      </w:r>
      <w:r>
        <w:rPr>
          <w:rFonts w:hint="default" w:ascii="Times New Roman" w:hAnsi="Times New Roman" w:cs="Times New Roman"/>
          <w:color w:val="auto"/>
          <w:sz w:val="24"/>
          <w:szCs w:val="22"/>
          <w:highlight w:val="none"/>
        </w:rPr>
        <w:t>)</w:t>
      </w:r>
      <w:r>
        <w:rPr>
          <w:rFonts w:hint="default" w:ascii="Times New Roman" w:hAnsi="Times New Roman" w:cs="Times New Roman"/>
          <w:color w:val="auto"/>
          <w:sz w:val="21"/>
          <w:szCs w:val="28"/>
          <w:highlight w:val="none"/>
        </w:rPr>
        <w:t>＋</w:t>
      </w:r>
      <w:r>
        <w:rPr>
          <w:rFonts w:hint="default" w:ascii="Times New Roman" w:hAnsi="Times New Roman" w:cs="Times New Roman"/>
          <w:color w:val="auto"/>
          <w:sz w:val="24"/>
          <w:szCs w:val="22"/>
          <w:highlight w:val="none"/>
        </w:rPr>
        <w:t>10lg(</w:t>
      </w:r>
      <w:r>
        <w:rPr>
          <w:rFonts w:hint="default" w:ascii="Times New Roman" w:hAnsi="Times New Roman" w:cs="Times New Roman"/>
          <w:color w:val="auto"/>
          <w:sz w:val="24"/>
          <w:szCs w:val="22"/>
          <w:highlight w:val="none"/>
        </w:rPr>
        <w:object>
          <v:shape id="_x0000_i1052" o:spt="75" type="#_x0000_t75" style="height:27.85pt;width:19.7pt;" o:ole="t" filled="f" o:preferrelative="t" stroked="f" coordsize="21600,21600">
            <v:path/>
            <v:fill on="f" focussize="0,0"/>
            <v:stroke on="f"/>
            <v:imagedata r:id="rId188" o:title=""/>
            <o:lock v:ext="edit" aspectratio="t"/>
            <w10:wrap type="none"/>
            <w10:anchorlock/>
          </v:shape>
          <o:OLEObject Type="Embed" ProgID="Equation.3" ShapeID="_x0000_i1052" DrawAspect="Content" ObjectID="_1468075752" r:id="rId187">
            <o:LockedField>false</o:LockedField>
          </o:OLEObject>
        </w:object>
      </w:r>
      <w:r>
        <w:rPr>
          <w:rFonts w:hint="default" w:ascii="Times New Roman" w:hAnsi="Times New Roman" w:cs="Times New Roman"/>
          <w:color w:val="auto"/>
          <w:sz w:val="24"/>
          <w:szCs w:val="22"/>
          <w:highlight w:val="none"/>
        </w:rPr>
        <w:t>)</w:t>
      </w:r>
      <w:r>
        <w:rPr>
          <w:rFonts w:hint="default" w:ascii="Times New Roman" w:hAnsi="Times New Roman" w:cs="Times New Roman"/>
          <w:color w:val="auto"/>
          <w:sz w:val="21"/>
          <w:szCs w:val="28"/>
          <w:highlight w:val="none"/>
        </w:rPr>
        <w:t>＋</w:t>
      </w:r>
      <w:r>
        <w:rPr>
          <w:rFonts w:hint="default" w:ascii="Times New Roman" w:hAnsi="Times New Roman" w:cs="Times New Roman"/>
          <w:color w:val="auto"/>
          <w:sz w:val="24"/>
          <w:szCs w:val="22"/>
          <w:highlight w:val="none"/>
        </w:rPr>
        <w:t>10lg(</w:t>
      </w:r>
      <w:r>
        <w:rPr>
          <w:rFonts w:hint="default" w:ascii="Times New Roman" w:hAnsi="Times New Roman" w:cs="Times New Roman"/>
          <w:color w:val="auto"/>
          <w:sz w:val="24"/>
          <w:szCs w:val="22"/>
          <w:highlight w:val="none"/>
        </w:rPr>
        <w:object>
          <v:shape id="_x0000_i1053" o:spt="75" type="#_x0000_t75" style="height:27.85pt;width:40.1pt;" o:ole="t" filled="f" o:preferrelative="t" stroked="f" coordsize="21600,21600">
            <v:path/>
            <v:fill on="f" focussize="0,0"/>
            <v:stroke on="f"/>
            <v:imagedata r:id="rId190" o:title=""/>
            <o:lock v:ext="edit" aspectratio="t"/>
            <w10:wrap type="none"/>
            <w10:anchorlock/>
          </v:shape>
          <o:OLEObject Type="Embed" ProgID="Equation.3" ShapeID="_x0000_i1053" DrawAspect="Content" ObjectID="_1468075753" r:id="rId189">
            <o:LockedField>false</o:LockedField>
          </o:OLEObject>
        </w:object>
      </w:r>
      <w:r>
        <w:rPr>
          <w:rFonts w:hint="default" w:ascii="Times New Roman" w:hAnsi="Times New Roman" w:cs="Times New Roman"/>
          <w:color w:val="auto"/>
          <w:sz w:val="24"/>
          <w:szCs w:val="22"/>
          <w:highlight w:val="none"/>
        </w:rPr>
        <w:t>)</w:t>
      </w:r>
      <w:r>
        <w:rPr>
          <w:rFonts w:hint="default" w:ascii="Times New Roman" w:hAnsi="Times New Roman" w:cs="Times New Roman"/>
          <w:color w:val="auto"/>
          <w:sz w:val="21"/>
          <w:szCs w:val="28"/>
          <w:highlight w:val="none"/>
        </w:rPr>
        <w:t>＋</w:t>
      </w:r>
      <w:r>
        <w:rPr>
          <w:rFonts w:hint="default" w:ascii="Times New Roman" w:hAnsi="Times New Roman" w:cs="Times New Roman"/>
          <w:color w:val="auto"/>
          <w:sz w:val="24"/>
          <w:szCs w:val="22"/>
          <w:highlight w:val="none"/>
        </w:rPr>
        <w:t>△L-16</w:t>
      </w:r>
      <w:bookmarkEnd w:id="157"/>
      <w:bookmarkEnd w:id="158"/>
      <w:bookmarkEnd w:id="159"/>
      <w:bookmarkEnd w:id="160"/>
      <w:bookmarkEnd w:id="161"/>
      <w:bookmarkEnd w:id="162"/>
      <w:bookmarkEnd w:id="163"/>
      <w:bookmarkEnd w:id="164"/>
      <w:bookmarkEnd w:id="165"/>
      <w:bookmarkEnd w:id="166"/>
      <w:bookmarkEnd w:id="167"/>
    </w:p>
    <w:p w14:paraId="377CD0AC">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式中：</w:t>
      </w:r>
      <w:bookmarkStart w:id="168" w:name="_Toc356206450"/>
      <w:bookmarkStart w:id="169" w:name="_Toc354905405"/>
      <w:bookmarkStart w:id="170" w:name="_Toc388894801"/>
      <w:bookmarkStart w:id="171" w:name="_Toc362784827"/>
      <w:bookmarkStart w:id="172" w:name="_Toc367983639"/>
      <w:bookmarkStart w:id="173" w:name="_Toc377881671"/>
      <w:bookmarkStart w:id="174" w:name="_Toc361043878"/>
      <w:r>
        <w:rPr>
          <w:rFonts w:hint="default" w:ascii="Times New Roman" w:hAnsi="Times New Roman" w:cs="Times New Roman"/>
          <w:color w:val="auto"/>
          <w:sz w:val="24"/>
          <w:szCs w:val="22"/>
          <w:highlight w:val="none"/>
        </w:rPr>
        <w:t>L</w:t>
      </w:r>
      <w:r>
        <w:rPr>
          <w:rFonts w:hint="default" w:ascii="Times New Roman" w:hAnsi="Times New Roman" w:cs="Times New Roman"/>
          <w:color w:val="auto"/>
          <w:sz w:val="24"/>
          <w:szCs w:val="22"/>
          <w:highlight w:val="none"/>
          <w:vertAlign w:val="subscript"/>
        </w:rPr>
        <w:t>eq</w:t>
      </w:r>
      <w:r>
        <w:rPr>
          <w:rFonts w:hint="default" w:ascii="Times New Roman" w:hAnsi="Times New Roman" w:cs="Times New Roman"/>
          <w:color w:val="auto"/>
          <w:sz w:val="24"/>
          <w:szCs w:val="22"/>
          <w:highlight w:val="none"/>
        </w:rPr>
        <w:t>(h)</w:t>
      </w:r>
      <w:r>
        <w:rPr>
          <w:rFonts w:hint="default" w:ascii="Times New Roman" w:hAnsi="Times New Roman" w:cs="Times New Roman"/>
          <w:color w:val="auto"/>
          <w:sz w:val="24"/>
          <w:szCs w:val="22"/>
          <w:highlight w:val="none"/>
          <w:vertAlign w:val="subscript"/>
        </w:rPr>
        <w:t>i</w:t>
      </w:r>
      <w:r>
        <w:rPr>
          <w:rFonts w:hint="default" w:ascii="Times New Roman" w:hAnsi="Times New Roman" w:cs="Times New Roman"/>
          <w:color w:val="auto"/>
          <w:sz w:val="24"/>
          <w:szCs w:val="22"/>
          <w:highlight w:val="none"/>
        </w:rPr>
        <w:t>—第i类车的小时等效声级，dB(A)；</w:t>
      </w:r>
      <w:bookmarkEnd w:id="168"/>
      <w:bookmarkEnd w:id="169"/>
      <w:bookmarkEnd w:id="170"/>
      <w:bookmarkEnd w:id="171"/>
      <w:bookmarkEnd w:id="172"/>
      <w:bookmarkEnd w:id="173"/>
      <w:bookmarkEnd w:id="174"/>
    </w:p>
    <w:p w14:paraId="3F78324C">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(L</w:t>
      </w:r>
      <w:r>
        <w:rPr>
          <w:rFonts w:hint="default" w:ascii="Times New Roman" w:hAnsi="Times New Roman" w:cs="Times New Roman"/>
          <w:color w:val="auto"/>
          <w:sz w:val="24"/>
          <w:szCs w:val="22"/>
          <w:highlight w:val="none"/>
          <w:vertAlign w:val="subscript"/>
        </w:rPr>
        <w:t>0E</w:t>
      </w:r>
      <w:r>
        <w:rPr>
          <w:rFonts w:hint="default" w:ascii="Times New Roman" w:hAnsi="Times New Roman" w:cs="Times New Roman"/>
          <w:color w:val="auto"/>
          <w:sz w:val="24"/>
          <w:szCs w:val="22"/>
          <w:highlight w:val="none"/>
        </w:rPr>
        <w:t>)</w:t>
      </w:r>
      <w:r>
        <w:rPr>
          <w:rFonts w:hint="default" w:ascii="Times New Roman" w:hAnsi="Times New Roman" w:cs="Times New Roman"/>
          <w:iCs/>
          <w:color w:val="auto"/>
          <w:sz w:val="24"/>
          <w:szCs w:val="22"/>
          <w:highlight w:val="none"/>
          <w:vertAlign w:val="subscript"/>
        </w:rPr>
        <w:t>i</w:t>
      </w:r>
      <w:r>
        <w:rPr>
          <w:rFonts w:hint="default" w:ascii="Times New Roman" w:hAnsi="Times New Roman" w:cs="Times New Roman"/>
          <w:color w:val="auto"/>
          <w:sz w:val="24"/>
          <w:szCs w:val="22"/>
          <w:highlight w:val="none"/>
        </w:rPr>
        <w:t>—第</w:t>
      </w:r>
      <w:r>
        <w:rPr>
          <w:rFonts w:hint="default" w:ascii="Times New Roman" w:hAnsi="Times New Roman" w:cs="Times New Roman"/>
          <w:iCs/>
          <w:color w:val="auto"/>
          <w:sz w:val="24"/>
          <w:szCs w:val="22"/>
          <w:highlight w:val="none"/>
        </w:rPr>
        <w:t>i</w:t>
      </w:r>
      <w:r>
        <w:rPr>
          <w:rFonts w:hint="default" w:ascii="Times New Roman" w:hAnsi="Times New Roman" w:cs="Times New Roman"/>
          <w:color w:val="auto"/>
          <w:sz w:val="24"/>
          <w:szCs w:val="22"/>
          <w:highlight w:val="none"/>
        </w:rPr>
        <w:t>类车速度为</w:t>
      </w:r>
      <w:r>
        <w:rPr>
          <w:rFonts w:hint="default" w:ascii="Times New Roman" w:hAnsi="Times New Roman" w:cs="Times New Roman"/>
          <w:i/>
          <w:iCs/>
          <w:color w:val="auto"/>
          <w:sz w:val="24"/>
          <w:szCs w:val="22"/>
          <w:highlight w:val="none"/>
        </w:rPr>
        <w:t>V</w:t>
      </w:r>
      <w:r>
        <w:rPr>
          <w:rFonts w:hint="default" w:ascii="Times New Roman" w:hAnsi="Times New Roman" w:cs="Times New Roman"/>
          <w:i/>
          <w:iCs/>
          <w:color w:val="auto"/>
          <w:sz w:val="24"/>
          <w:szCs w:val="22"/>
          <w:highlight w:val="none"/>
          <w:vertAlign w:val="subscript"/>
        </w:rPr>
        <w:t>i</w:t>
      </w:r>
      <w:r>
        <w:rPr>
          <w:rFonts w:hint="default" w:ascii="Times New Roman" w:hAnsi="Times New Roman" w:cs="Times New Roman"/>
          <w:color w:val="auto"/>
          <w:sz w:val="24"/>
          <w:szCs w:val="22"/>
          <w:highlight w:val="none"/>
        </w:rPr>
        <w:t>；水平距离为7.5m处的能量平均A声级，dB(A)；</w:t>
      </w:r>
    </w:p>
    <w:p w14:paraId="57692838">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各类车辆的行驶速度为</w:t>
      </w:r>
      <w:r>
        <w:rPr>
          <w:rFonts w:hint="default" w:ascii="Times New Roman" w:hAnsi="Times New Roman" w:cs="Times New Roman"/>
          <w:i/>
          <w:iCs/>
          <w:color w:val="auto"/>
          <w:sz w:val="24"/>
          <w:szCs w:val="22"/>
          <w:highlight w:val="none"/>
        </w:rPr>
        <w:t>V</w:t>
      </w:r>
      <w:r>
        <w:rPr>
          <w:rFonts w:hint="default" w:ascii="Times New Roman" w:hAnsi="Times New Roman" w:cs="Times New Roman"/>
          <w:i/>
          <w:iCs/>
          <w:color w:val="auto"/>
          <w:sz w:val="24"/>
          <w:szCs w:val="22"/>
          <w:highlight w:val="none"/>
          <w:vertAlign w:val="subscript"/>
        </w:rPr>
        <w:t>i</w:t>
      </w:r>
      <w:r>
        <w:rPr>
          <w:rFonts w:hint="default" w:ascii="Times New Roman" w:hAnsi="Times New Roman" w:cs="Times New Roman"/>
          <w:iCs/>
          <w:color w:val="auto"/>
          <w:sz w:val="24"/>
          <w:szCs w:val="22"/>
          <w:highlight w:val="none"/>
        </w:rPr>
        <w:t>时</w:t>
      </w:r>
      <w:r>
        <w:rPr>
          <w:rFonts w:hint="default" w:ascii="Times New Roman" w:hAnsi="Times New Roman" w:cs="Times New Roman"/>
          <w:i/>
          <w:iCs/>
          <w:color w:val="auto"/>
          <w:sz w:val="24"/>
          <w:szCs w:val="22"/>
          <w:highlight w:val="none"/>
        </w:rPr>
        <w:t>，</w:t>
      </w:r>
      <w:r>
        <w:rPr>
          <w:rFonts w:hint="default" w:ascii="Times New Roman" w:hAnsi="Times New Roman" w:cs="Times New Roman"/>
          <w:color w:val="auto"/>
          <w:sz w:val="24"/>
          <w:szCs w:val="22"/>
          <w:highlight w:val="none"/>
        </w:rPr>
        <w:t>平均A声级L</w:t>
      </w:r>
      <w:r>
        <w:rPr>
          <w:rFonts w:hint="default" w:ascii="Times New Roman" w:hAnsi="Times New Roman" w:cs="Times New Roman"/>
          <w:color w:val="auto"/>
          <w:sz w:val="24"/>
          <w:szCs w:val="22"/>
          <w:highlight w:val="none"/>
          <w:vertAlign w:val="subscript"/>
        </w:rPr>
        <w:t>i</w:t>
      </w:r>
      <w:r>
        <w:rPr>
          <w:rFonts w:hint="default" w:ascii="Times New Roman" w:hAnsi="Times New Roman" w:cs="Times New Roman"/>
          <w:color w:val="auto"/>
          <w:sz w:val="24"/>
          <w:szCs w:val="22"/>
          <w:highlight w:val="none"/>
        </w:rPr>
        <w:t>按照下式计算：</w:t>
      </w:r>
    </w:p>
    <w:p w14:paraId="024B4247">
      <w:pPr>
        <w:overflowPunct w:val="0"/>
        <w:adjustRightInd w:val="0"/>
        <w:snapToGrid w:val="0"/>
        <w:spacing w:line="360" w:lineRule="auto"/>
        <w:ind w:firstLine="480" w:firstLineChars="200"/>
        <w:textAlignment w:val="baseline"/>
        <w:rPr>
          <w:rFonts w:hint="default" w:ascii="Times New Roman" w:hAnsi="Times New Roman" w:cs="Times New Roman"/>
          <w:i/>
          <w:iCs/>
          <w:color w:val="auto"/>
          <w:sz w:val="24"/>
          <w:szCs w:val="22"/>
          <w:highlight w:val="none"/>
          <w:vertAlign w:val="subscript"/>
        </w:rPr>
      </w:pPr>
      <w:r>
        <w:rPr>
          <w:rFonts w:hint="default" w:ascii="Times New Roman" w:hAnsi="Times New Roman" w:cs="Times New Roman"/>
          <w:color w:val="auto"/>
          <w:sz w:val="24"/>
          <w:szCs w:val="22"/>
          <w:highlight w:val="none"/>
        </w:rPr>
        <w:t>大型车  L</w:t>
      </w:r>
      <w:r>
        <w:rPr>
          <w:rFonts w:hint="default" w:ascii="Times New Roman" w:hAnsi="Times New Roman" w:cs="Times New Roman"/>
          <w:color w:val="auto"/>
          <w:sz w:val="24"/>
          <w:szCs w:val="22"/>
          <w:highlight w:val="none"/>
          <w:vertAlign w:val="subscript"/>
        </w:rPr>
        <w:t>L</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2"/>
          <w:highlight w:val="none"/>
        </w:rPr>
        <w:t>77.2</w:t>
      </w:r>
      <w:r>
        <w:rPr>
          <w:rFonts w:hint="default" w:ascii="Times New Roman" w:hAnsi="Times New Roman" w:cs="Times New Roman"/>
          <w:color w:val="auto"/>
          <w:sz w:val="21"/>
          <w:szCs w:val="28"/>
          <w:highlight w:val="none"/>
        </w:rPr>
        <w:t>＋</w:t>
      </w:r>
      <w:r>
        <w:rPr>
          <w:rFonts w:hint="default" w:ascii="Times New Roman" w:hAnsi="Times New Roman" w:cs="Times New Roman"/>
          <w:color w:val="auto"/>
          <w:sz w:val="24"/>
          <w:szCs w:val="22"/>
          <w:highlight w:val="none"/>
        </w:rPr>
        <w:t>0.18</w:t>
      </w:r>
      <w:r>
        <w:rPr>
          <w:rFonts w:hint="default" w:ascii="Times New Roman" w:hAnsi="Times New Roman" w:cs="Times New Roman"/>
          <w:i/>
          <w:iCs/>
          <w:color w:val="auto"/>
          <w:sz w:val="24"/>
          <w:szCs w:val="22"/>
          <w:highlight w:val="none"/>
        </w:rPr>
        <w:t>V</w:t>
      </w:r>
      <w:r>
        <w:rPr>
          <w:rFonts w:hint="default" w:ascii="Times New Roman" w:hAnsi="Times New Roman" w:cs="Times New Roman"/>
          <w:i/>
          <w:iCs/>
          <w:color w:val="auto"/>
          <w:sz w:val="24"/>
          <w:szCs w:val="22"/>
          <w:highlight w:val="none"/>
          <w:vertAlign w:val="subscript"/>
        </w:rPr>
        <w:t>i</w:t>
      </w:r>
    </w:p>
    <w:p w14:paraId="1E0D5695">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中型车  L</w:t>
      </w:r>
      <w:r>
        <w:rPr>
          <w:rFonts w:hint="default" w:ascii="Times New Roman" w:hAnsi="Times New Roman" w:cs="Times New Roman"/>
          <w:color w:val="auto"/>
          <w:sz w:val="24"/>
          <w:szCs w:val="22"/>
          <w:highlight w:val="none"/>
          <w:vertAlign w:val="subscript"/>
        </w:rPr>
        <w:t>M</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2"/>
          <w:highlight w:val="none"/>
        </w:rPr>
        <w:t>62.6</w:t>
      </w:r>
      <w:r>
        <w:rPr>
          <w:rFonts w:hint="default" w:ascii="Times New Roman" w:hAnsi="Times New Roman" w:cs="Times New Roman"/>
          <w:color w:val="auto"/>
          <w:sz w:val="21"/>
          <w:szCs w:val="28"/>
          <w:highlight w:val="none"/>
        </w:rPr>
        <w:t>＋</w:t>
      </w:r>
      <w:r>
        <w:rPr>
          <w:rFonts w:hint="default" w:ascii="Times New Roman" w:hAnsi="Times New Roman" w:cs="Times New Roman"/>
          <w:color w:val="auto"/>
          <w:sz w:val="24"/>
          <w:szCs w:val="22"/>
          <w:highlight w:val="none"/>
        </w:rPr>
        <w:t>0.32</w:t>
      </w:r>
      <w:r>
        <w:rPr>
          <w:rFonts w:hint="default" w:ascii="Times New Roman" w:hAnsi="Times New Roman" w:cs="Times New Roman"/>
          <w:i/>
          <w:iCs/>
          <w:color w:val="auto"/>
          <w:sz w:val="24"/>
          <w:szCs w:val="22"/>
          <w:highlight w:val="none"/>
        </w:rPr>
        <w:t>V</w:t>
      </w:r>
      <w:r>
        <w:rPr>
          <w:rFonts w:hint="default" w:ascii="Times New Roman" w:hAnsi="Times New Roman" w:cs="Times New Roman"/>
          <w:i/>
          <w:iCs/>
          <w:color w:val="auto"/>
          <w:sz w:val="24"/>
          <w:szCs w:val="22"/>
          <w:highlight w:val="none"/>
          <w:vertAlign w:val="subscript"/>
        </w:rPr>
        <w:t>i</w:t>
      </w:r>
    </w:p>
    <w:p w14:paraId="12D7C337">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i/>
          <w:iCs/>
          <w:color w:val="auto"/>
          <w:sz w:val="24"/>
          <w:szCs w:val="22"/>
          <w:highlight w:val="none"/>
        </w:rPr>
        <w:t>Ni</w:t>
      </w:r>
      <w:r>
        <w:rPr>
          <w:rFonts w:hint="default" w:ascii="Times New Roman" w:hAnsi="Times New Roman" w:cs="Times New Roman"/>
          <w:color w:val="auto"/>
          <w:sz w:val="24"/>
          <w:szCs w:val="22"/>
          <w:highlight w:val="none"/>
        </w:rPr>
        <w:t>—昼间，夜间通过某预测点的第</w:t>
      </w:r>
      <w:r>
        <w:rPr>
          <w:rFonts w:hint="default" w:ascii="Times New Roman" w:hAnsi="Times New Roman" w:cs="Times New Roman"/>
          <w:i/>
          <w:iCs/>
          <w:color w:val="auto"/>
          <w:sz w:val="24"/>
          <w:szCs w:val="22"/>
          <w:highlight w:val="none"/>
        </w:rPr>
        <w:t>i</w:t>
      </w:r>
      <w:r>
        <w:rPr>
          <w:rFonts w:hint="default" w:ascii="Times New Roman" w:hAnsi="Times New Roman" w:cs="Times New Roman"/>
          <w:color w:val="auto"/>
          <w:sz w:val="24"/>
          <w:szCs w:val="22"/>
          <w:highlight w:val="none"/>
        </w:rPr>
        <w:t>类车平均小时车流量，辆/h；</w:t>
      </w:r>
    </w:p>
    <w:p w14:paraId="19580687">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i/>
          <w:iCs/>
          <w:color w:val="auto"/>
          <w:sz w:val="24"/>
          <w:szCs w:val="22"/>
          <w:highlight w:val="none"/>
        </w:rPr>
        <w:t xml:space="preserve">r </w:t>
      </w:r>
      <w:r>
        <w:rPr>
          <w:rFonts w:hint="default" w:ascii="Times New Roman" w:hAnsi="Times New Roman" w:cs="Times New Roman"/>
          <w:color w:val="auto"/>
          <w:sz w:val="24"/>
          <w:szCs w:val="22"/>
          <w:highlight w:val="none"/>
        </w:rPr>
        <w:t>—从车道中心线到预测点的距离，m；</w:t>
      </w:r>
    </w:p>
    <w:p w14:paraId="480A2484">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i/>
          <w:iCs/>
          <w:color w:val="auto"/>
          <w:sz w:val="24"/>
          <w:szCs w:val="22"/>
          <w:highlight w:val="none"/>
        </w:rPr>
        <w:t>V</w:t>
      </w:r>
      <w:r>
        <w:rPr>
          <w:rFonts w:hint="default" w:ascii="Times New Roman" w:hAnsi="Times New Roman" w:cs="Times New Roman"/>
          <w:i/>
          <w:iCs/>
          <w:color w:val="auto"/>
          <w:sz w:val="24"/>
          <w:szCs w:val="22"/>
          <w:highlight w:val="none"/>
          <w:vertAlign w:val="subscript"/>
        </w:rPr>
        <w:t>i</w:t>
      </w:r>
      <w:r>
        <w:rPr>
          <w:rFonts w:hint="default" w:ascii="Times New Roman" w:hAnsi="Times New Roman" w:cs="Times New Roman"/>
          <w:i/>
          <w:iCs/>
          <w:color w:val="auto"/>
          <w:sz w:val="24"/>
          <w:szCs w:val="22"/>
          <w:highlight w:val="none"/>
        </w:rPr>
        <w:t xml:space="preserve"> </w:t>
      </w:r>
      <w:r>
        <w:rPr>
          <w:rFonts w:hint="default" w:ascii="Times New Roman" w:hAnsi="Times New Roman" w:cs="Times New Roman"/>
          <w:color w:val="auto"/>
          <w:sz w:val="24"/>
          <w:szCs w:val="22"/>
          <w:highlight w:val="none"/>
        </w:rPr>
        <w:t>—第</w:t>
      </w:r>
      <w:r>
        <w:rPr>
          <w:rFonts w:hint="default" w:ascii="Times New Roman" w:hAnsi="Times New Roman" w:cs="Times New Roman"/>
          <w:i/>
          <w:iCs/>
          <w:color w:val="auto"/>
          <w:sz w:val="24"/>
          <w:szCs w:val="22"/>
          <w:highlight w:val="none"/>
        </w:rPr>
        <w:t xml:space="preserve">i </w:t>
      </w:r>
      <w:r>
        <w:rPr>
          <w:rFonts w:hint="default" w:ascii="Times New Roman" w:hAnsi="Times New Roman" w:cs="Times New Roman"/>
          <w:color w:val="auto"/>
          <w:sz w:val="24"/>
          <w:szCs w:val="22"/>
          <w:highlight w:val="none"/>
        </w:rPr>
        <w:t>类车的平均车速，km/h；</w:t>
      </w:r>
    </w:p>
    <w:p w14:paraId="048689BD">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i/>
          <w:iCs/>
          <w:color w:val="auto"/>
          <w:sz w:val="24"/>
          <w:szCs w:val="22"/>
          <w:highlight w:val="none"/>
        </w:rPr>
        <w:t xml:space="preserve">T </w:t>
      </w:r>
      <w:r>
        <w:rPr>
          <w:rFonts w:hint="default" w:ascii="Times New Roman" w:hAnsi="Times New Roman" w:cs="Times New Roman"/>
          <w:color w:val="auto"/>
          <w:sz w:val="24"/>
          <w:szCs w:val="22"/>
          <w:highlight w:val="none"/>
        </w:rPr>
        <w:t>—计算等效声级的时间，1h；</w:t>
      </w:r>
    </w:p>
    <w:p w14:paraId="57AF3DF8">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Ψ</w:t>
      </w:r>
      <w:r>
        <w:rPr>
          <w:rFonts w:hint="default" w:ascii="Times New Roman" w:hAnsi="Times New Roman" w:cs="Times New Roman"/>
          <w:i/>
          <w:iCs/>
          <w:color w:val="auto"/>
          <w:sz w:val="24"/>
          <w:szCs w:val="22"/>
          <w:highlight w:val="none"/>
          <w:vertAlign w:val="subscript"/>
        </w:rPr>
        <w:t>1</w:t>
      </w:r>
      <w:r>
        <w:rPr>
          <w:rFonts w:hint="default" w:ascii="Times New Roman" w:hAnsi="Times New Roman" w:cs="Times New Roman"/>
          <w:color w:val="auto"/>
          <w:sz w:val="24"/>
          <w:szCs w:val="22"/>
          <w:highlight w:val="none"/>
        </w:rPr>
        <w:t>、Ψ</w:t>
      </w:r>
      <w:r>
        <w:rPr>
          <w:rFonts w:hint="default" w:ascii="Times New Roman" w:hAnsi="Times New Roman" w:cs="Times New Roman"/>
          <w:i/>
          <w:iCs/>
          <w:color w:val="auto"/>
          <w:sz w:val="24"/>
          <w:szCs w:val="22"/>
          <w:highlight w:val="none"/>
          <w:vertAlign w:val="subscript"/>
        </w:rPr>
        <w:t>2</w:t>
      </w:r>
      <w:r>
        <w:rPr>
          <w:rFonts w:hint="default" w:ascii="Times New Roman" w:hAnsi="Times New Roman" w:cs="Times New Roman"/>
          <w:color w:val="auto"/>
          <w:sz w:val="24"/>
          <w:szCs w:val="22"/>
          <w:highlight w:val="none"/>
        </w:rPr>
        <w:t>—预测点到有限长路段两端的张角(rad 弧度)；</w:t>
      </w:r>
    </w:p>
    <w:p w14:paraId="6D08040F">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w:t>
      </w:r>
      <w:r>
        <w:rPr>
          <w:rFonts w:hint="default" w:ascii="Times New Roman" w:hAnsi="Times New Roman" w:cs="Times New Roman"/>
          <w:i/>
          <w:iCs/>
          <w:color w:val="auto"/>
          <w:sz w:val="24"/>
          <w:szCs w:val="22"/>
          <w:highlight w:val="none"/>
        </w:rPr>
        <w:t xml:space="preserve">L </w:t>
      </w:r>
      <w:r>
        <w:rPr>
          <w:rFonts w:hint="default" w:ascii="Times New Roman" w:hAnsi="Times New Roman" w:cs="Times New Roman"/>
          <w:color w:val="auto"/>
          <w:sz w:val="24"/>
          <w:szCs w:val="22"/>
          <w:highlight w:val="none"/>
        </w:rPr>
        <w:t>—由其它因素引起的修正量，dB(A)；</w:t>
      </w:r>
    </w:p>
    <w:p w14:paraId="2B93DB12">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 xml:space="preserve">ΔL </w:t>
      </w:r>
      <w:r>
        <w:rPr>
          <w:rFonts w:hint="eastAsia" w:cs="Times New Roman"/>
          <w:color w:val="auto"/>
          <w:sz w:val="24"/>
          <w:szCs w:val="22"/>
          <w:highlight w:val="none"/>
          <w:lang w:eastAsia="zh-CN"/>
        </w:rPr>
        <w:t>=</w:t>
      </w:r>
      <w:r>
        <w:rPr>
          <w:rFonts w:hint="default" w:ascii="Times New Roman" w:hAnsi="Times New Roman" w:cs="Times New Roman"/>
          <w:color w:val="auto"/>
          <w:sz w:val="24"/>
          <w:szCs w:val="22"/>
          <w:highlight w:val="none"/>
        </w:rPr>
        <w:t>ΔL</w:t>
      </w:r>
      <w:r>
        <w:rPr>
          <w:rFonts w:hint="default" w:ascii="Times New Roman" w:hAnsi="Times New Roman" w:cs="Times New Roman"/>
          <w:color w:val="auto"/>
          <w:sz w:val="24"/>
          <w:szCs w:val="22"/>
          <w:highlight w:val="none"/>
          <w:vertAlign w:val="subscript"/>
        </w:rPr>
        <w:t>1-</w:t>
      </w:r>
      <w:r>
        <w:rPr>
          <w:rFonts w:hint="default" w:ascii="Times New Roman" w:hAnsi="Times New Roman" w:cs="Times New Roman"/>
          <w:color w:val="auto"/>
          <w:sz w:val="24"/>
          <w:szCs w:val="22"/>
          <w:highlight w:val="none"/>
        </w:rPr>
        <w:t>ΔL</w:t>
      </w:r>
      <w:r>
        <w:rPr>
          <w:rFonts w:hint="default" w:ascii="Times New Roman" w:hAnsi="Times New Roman" w:cs="Times New Roman"/>
          <w:color w:val="auto"/>
          <w:sz w:val="24"/>
          <w:szCs w:val="22"/>
          <w:highlight w:val="none"/>
          <w:vertAlign w:val="subscript"/>
        </w:rPr>
        <w:t>2</w:t>
      </w:r>
    </w:p>
    <w:p w14:paraId="52503BF3">
      <w:pPr>
        <w:autoSpaceDE w:val="0"/>
        <w:autoSpaceDN w:val="0"/>
        <w:adjustRightInd w:val="0"/>
        <w:snapToGrid w:val="0"/>
        <w:spacing w:line="348" w:lineRule="auto"/>
        <w:ind w:firstLine="480" w:firstLineChars="200"/>
        <w:jc w:val="left"/>
        <w:textAlignment w:val="baseline"/>
        <w:rPr>
          <w:rFonts w:hint="default" w:ascii="Times New Roman" w:hAnsi="Times New Roman" w:cs="Times New Roman"/>
          <w:color w:val="auto"/>
          <w:kern w:val="0"/>
          <w:sz w:val="24"/>
          <w:szCs w:val="20"/>
          <w:highlight w:val="none"/>
        </w:rPr>
      </w:pPr>
      <w:r>
        <w:rPr>
          <w:rFonts w:hint="default" w:ascii="Times New Roman" w:hAnsi="Times New Roman" w:cs="Times New Roman"/>
          <w:color w:val="auto"/>
          <w:kern w:val="0"/>
          <w:sz w:val="24"/>
          <w:szCs w:val="20"/>
          <w:highlight w:val="none"/>
        </w:rPr>
        <w:t>式中：Δ</w:t>
      </w:r>
      <w:r>
        <w:rPr>
          <w:rFonts w:hint="default" w:ascii="Times New Roman" w:hAnsi="Times New Roman" w:cs="Times New Roman"/>
          <w:i/>
          <w:iCs/>
          <w:color w:val="auto"/>
          <w:kern w:val="0"/>
          <w:sz w:val="24"/>
          <w:szCs w:val="20"/>
          <w:highlight w:val="none"/>
        </w:rPr>
        <w:t>L</w:t>
      </w:r>
      <w:r>
        <w:rPr>
          <w:rFonts w:hint="default" w:ascii="Times New Roman" w:hAnsi="Times New Roman" w:cs="Times New Roman"/>
          <w:color w:val="auto"/>
          <w:kern w:val="0"/>
          <w:sz w:val="24"/>
          <w:szCs w:val="20"/>
          <w:highlight w:val="none"/>
          <w:vertAlign w:val="subscript"/>
        </w:rPr>
        <w:t>1</w:t>
      </w:r>
      <w:r>
        <w:rPr>
          <w:rFonts w:hint="default" w:ascii="Times New Roman" w:hAnsi="Times New Roman" w:cs="Times New Roman"/>
          <w:color w:val="auto"/>
          <w:kern w:val="0"/>
          <w:sz w:val="24"/>
          <w:szCs w:val="20"/>
          <w:highlight w:val="none"/>
        </w:rPr>
        <w:t>—道路因素引起的修正量；</w:t>
      </w:r>
    </w:p>
    <w:p w14:paraId="1F7DD9AB">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坡度路面Δ</w:t>
      </w:r>
      <w:r>
        <w:rPr>
          <w:rFonts w:hint="default" w:ascii="Times New Roman" w:hAnsi="Times New Roman" w:cs="Times New Roman"/>
          <w:i/>
          <w:iCs/>
          <w:color w:val="auto"/>
          <w:sz w:val="24"/>
          <w:szCs w:val="22"/>
          <w:highlight w:val="none"/>
        </w:rPr>
        <w:t>L</w:t>
      </w:r>
      <w:r>
        <w:rPr>
          <w:rFonts w:hint="default" w:ascii="Times New Roman" w:hAnsi="Times New Roman" w:cs="Times New Roman"/>
          <w:iCs/>
          <w:color w:val="auto"/>
          <w:sz w:val="24"/>
          <w:szCs w:val="22"/>
          <w:highlight w:val="none"/>
          <w:vertAlign w:val="subscript"/>
        </w:rPr>
        <w:t>1</w:t>
      </w:r>
      <w:r>
        <w:rPr>
          <w:rFonts w:hint="default" w:ascii="Times New Roman" w:hAnsi="Times New Roman" w:cs="Times New Roman"/>
          <w:i/>
          <w:iCs/>
          <w:color w:val="auto"/>
          <w:sz w:val="24"/>
          <w:szCs w:val="22"/>
          <w:highlight w:val="none"/>
        </w:rPr>
        <w:t xml:space="preserve"> </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2"/>
          <w:highlight w:val="none"/>
        </w:rPr>
        <w:t xml:space="preserve"> 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坡度</w:t>
      </w:r>
      <w:r>
        <w:rPr>
          <w:rFonts w:hint="default" w:ascii="Times New Roman" w:hAnsi="Times New Roman" w:cs="Times New Roman"/>
          <w:color w:val="auto"/>
          <w:sz w:val="21"/>
          <w:szCs w:val="28"/>
          <w:highlight w:val="none"/>
        </w:rPr>
        <w:t>＋</w:t>
      </w:r>
      <w:r>
        <w:rPr>
          <w:rFonts w:hint="default" w:ascii="Times New Roman" w:hAnsi="Times New Roman" w:cs="Times New Roman"/>
          <w:color w:val="auto"/>
          <w:sz w:val="24"/>
          <w:szCs w:val="22"/>
          <w:highlight w:val="none"/>
        </w:rPr>
        <w:t xml:space="preserve"> 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路面</w:t>
      </w:r>
    </w:p>
    <w:p w14:paraId="51E41C9B">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坡度</w:t>
      </w:r>
      <w:r>
        <w:rPr>
          <w:rFonts w:hint="default" w:ascii="Times New Roman" w:hAnsi="Times New Roman" w:cs="Times New Roman"/>
          <w:color w:val="auto"/>
          <w:sz w:val="24"/>
          <w:szCs w:val="22"/>
          <w:highlight w:val="none"/>
        </w:rPr>
        <w:t>—公路纵坡修正量；</w:t>
      </w:r>
    </w:p>
    <w:p w14:paraId="60A25F16">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公路纵坡修正量Δ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rPr>
        <w:t>坡度可按下式计算：</w:t>
      </w:r>
    </w:p>
    <w:p w14:paraId="26E1DC2F">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大型车：  Δ</w:t>
      </w:r>
      <w:r>
        <w:rPr>
          <w:rFonts w:hint="default" w:ascii="Times New Roman" w:hAnsi="Times New Roman" w:cs="Times New Roman"/>
          <w:i/>
          <w:iCs/>
          <w:color w:val="auto"/>
          <w:sz w:val="24"/>
          <w:szCs w:val="22"/>
          <w:highlight w:val="none"/>
        </w:rPr>
        <w:t xml:space="preserve">L </w:t>
      </w:r>
      <w:r>
        <w:rPr>
          <w:rFonts w:hint="default" w:ascii="Times New Roman" w:hAnsi="Times New Roman" w:cs="Times New Roman"/>
          <w:color w:val="auto"/>
          <w:sz w:val="24"/>
          <w:szCs w:val="22"/>
          <w:highlight w:val="none"/>
          <w:vertAlign w:val="subscript"/>
        </w:rPr>
        <w:t>坡度</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2"/>
          <w:highlight w:val="none"/>
        </w:rPr>
        <w:t>98×β dB</w:t>
      </w:r>
    </w:p>
    <w:p w14:paraId="189BB587">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中型车：  Δ</w:t>
      </w:r>
      <w:r>
        <w:rPr>
          <w:rFonts w:hint="default" w:ascii="Times New Roman" w:hAnsi="Times New Roman" w:cs="Times New Roman"/>
          <w:i/>
          <w:iCs/>
          <w:color w:val="auto"/>
          <w:sz w:val="24"/>
          <w:szCs w:val="22"/>
          <w:highlight w:val="none"/>
        </w:rPr>
        <w:t xml:space="preserve">L </w:t>
      </w:r>
      <w:r>
        <w:rPr>
          <w:rFonts w:hint="default" w:ascii="Times New Roman" w:hAnsi="Times New Roman" w:cs="Times New Roman"/>
          <w:color w:val="auto"/>
          <w:sz w:val="24"/>
          <w:szCs w:val="22"/>
          <w:highlight w:val="none"/>
          <w:vertAlign w:val="subscript"/>
        </w:rPr>
        <w:t>坡度</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2"/>
          <w:highlight w:val="none"/>
        </w:rPr>
        <w:t>73×β dB</w:t>
      </w:r>
    </w:p>
    <w:p w14:paraId="2C3AB860">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小型车：  Δ</w:t>
      </w:r>
      <w:r>
        <w:rPr>
          <w:rFonts w:hint="default" w:ascii="Times New Roman" w:hAnsi="Times New Roman" w:cs="Times New Roman"/>
          <w:i/>
          <w:iCs/>
          <w:color w:val="auto"/>
          <w:sz w:val="24"/>
          <w:szCs w:val="22"/>
          <w:highlight w:val="none"/>
        </w:rPr>
        <w:t xml:space="preserve">L </w:t>
      </w:r>
      <w:r>
        <w:rPr>
          <w:rFonts w:hint="default" w:ascii="Times New Roman" w:hAnsi="Times New Roman" w:cs="Times New Roman"/>
          <w:color w:val="auto"/>
          <w:sz w:val="24"/>
          <w:szCs w:val="22"/>
          <w:highlight w:val="none"/>
          <w:vertAlign w:val="subscript"/>
        </w:rPr>
        <w:t>坡度</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2"/>
          <w:highlight w:val="none"/>
        </w:rPr>
        <w:t>50×β dB</w:t>
      </w:r>
    </w:p>
    <w:p w14:paraId="5F3B9E98">
      <w:pPr>
        <w:autoSpaceDE w:val="0"/>
        <w:autoSpaceDN w:val="0"/>
        <w:adjustRightInd w:val="0"/>
        <w:snapToGrid w:val="0"/>
        <w:spacing w:line="348" w:lineRule="auto"/>
        <w:ind w:firstLine="480" w:firstLineChars="200"/>
        <w:jc w:val="left"/>
        <w:textAlignment w:val="baseline"/>
        <w:rPr>
          <w:rFonts w:hint="default" w:ascii="Times New Roman" w:hAnsi="Times New Roman" w:cs="Times New Roman"/>
          <w:color w:val="auto"/>
          <w:kern w:val="0"/>
          <w:sz w:val="24"/>
          <w:szCs w:val="20"/>
          <w:highlight w:val="none"/>
        </w:rPr>
      </w:pPr>
      <w:r>
        <w:rPr>
          <w:rFonts w:hint="default" w:ascii="Times New Roman" w:hAnsi="Times New Roman" w:cs="Times New Roman"/>
          <w:color w:val="auto"/>
          <w:kern w:val="0"/>
          <w:sz w:val="24"/>
          <w:szCs w:val="20"/>
          <w:highlight w:val="none"/>
        </w:rPr>
        <w:t>式中：β—公路纵坡坡度，%。</w:t>
      </w:r>
    </w:p>
    <w:p w14:paraId="2CF6F4E6">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路面</w:t>
      </w:r>
      <w:r>
        <w:rPr>
          <w:rFonts w:hint="default" w:ascii="Times New Roman" w:hAnsi="Times New Roman" w:cs="Times New Roman"/>
          <w:color w:val="auto"/>
          <w:sz w:val="24"/>
          <w:szCs w:val="22"/>
          <w:highlight w:val="none"/>
        </w:rPr>
        <w:t>—公路路面材料引起的修正量，水泥混凝土路面，车速15km/h，Δ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路面</w:t>
      </w:r>
      <w:r>
        <w:rPr>
          <w:rFonts w:hint="default" w:ascii="Times New Roman" w:hAnsi="Times New Roman" w:cs="Times New Roman"/>
          <w:color w:val="auto"/>
          <w:sz w:val="24"/>
          <w:szCs w:val="22"/>
          <w:highlight w:val="none"/>
        </w:rPr>
        <w:t>取1.0。</w:t>
      </w:r>
    </w:p>
    <w:p w14:paraId="75777141">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bookmarkStart w:id="175" w:name="_Toc367983640"/>
      <w:bookmarkStart w:id="176" w:name="_Toc354905406"/>
      <w:bookmarkStart w:id="177" w:name="_Toc399095700"/>
      <w:bookmarkStart w:id="178" w:name="_Toc395269577"/>
      <w:bookmarkStart w:id="179" w:name="_Toc362784828"/>
      <w:bookmarkStart w:id="180" w:name="_Toc356206451"/>
      <w:bookmarkStart w:id="181" w:name="_Toc361043879"/>
      <w:bookmarkStart w:id="182" w:name="_Toc388894802"/>
      <w:bookmarkStart w:id="183" w:name="_Toc377881672"/>
      <w:r>
        <w:rPr>
          <w:rFonts w:hint="default" w:ascii="Times New Roman" w:hAnsi="Times New Roman" w:cs="Times New Roman"/>
          <w:color w:val="auto"/>
          <w:sz w:val="24"/>
          <w:szCs w:val="22"/>
          <w:highlight w:val="none"/>
        </w:rPr>
        <w:t>ΔL</w:t>
      </w:r>
      <w:r>
        <w:rPr>
          <w:rFonts w:hint="default" w:ascii="Times New Roman" w:hAnsi="Times New Roman" w:cs="Times New Roman"/>
          <w:color w:val="auto"/>
          <w:sz w:val="24"/>
          <w:szCs w:val="22"/>
          <w:highlight w:val="none"/>
          <w:vertAlign w:val="subscript"/>
        </w:rPr>
        <w:t>2</w:t>
      </w:r>
      <w:r>
        <w:rPr>
          <w:rFonts w:hint="default" w:ascii="Times New Roman" w:hAnsi="Times New Roman" w:cs="Times New Roman"/>
          <w:color w:val="auto"/>
          <w:sz w:val="24"/>
          <w:szCs w:val="22"/>
          <w:highlight w:val="none"/>
        </w:rPr>
        <w:t>—声波传播途径中引起的衰减和修正量，计算时，ΔL</w:t>
      </w:r>
      <w:r>
        <w:rPr>
          <w:rFonts w:hint="default" w:ascii="Times New Roman" w:hAnsi="Times New Roman" w:cs="Times New Roman"/>
          <w:color w:val="auto"/>
          <w:sz w:val="24"/>
          <w:szCs w:val="22"/>
          <w:highlight w:val="none"/>
          <w:vertAlign w:val="subscript"/>
        </w:rPr>
        <w:t>2</w:t>
      </w:r>
      <w:r>
        <w:rPr>
          <w:rFonts w:hint="default" w:ascii="Times New Roman" w:hAnsi="Times New Roman" w:cs="Times New Roman"/>
          <w:color w:val="auto"/>
          <w:sz w:val="24"/>
          <w:szCs w:val="22"/>
          <w:highlight w:val="none"/>
        </w:rPr>
        <w:t>取0；</w:t>
      </w:r>
      <w:bookmarkEnd w:id="175"/>
      <w:bookmarkEnd w:id="176"/>
      <w:bookmarkEnd w:id="177"/>
      <w:bookmarkEnd w:id="178"/>
      <w:bookmarkEnd w:id="179"/>
      <w:bookmarkEnd w:id="180"/>
      <w:bookmarkEnd w:id="181"/>
      <w:bookmarkEnd w:id="182"/>
      <w:bookmarkEnd w:id="183"/>
    </w:p>
    <w:p w14:paraId="362BC713">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2</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2"/>
          <w:highlight w:val="none"/>
        </w:rPr>
        <w:t xml:space="preserve"> 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地面</w:t>
      </w:r>
      <w:r>
        <w:rPr>
          <w:rFonts w:hint="default" w:ascii="Times New Roman" w:hAnsi="Times New Roman" w:cs="Times New Roman"/>
          <w:color w:val="auto"/>
          <w:sz w:val="21"/>
          <w:szCs w:val="28"/>
          <w:highlight w:val="none"/>
        </w:rPr>
        <w:t>＋</w:t>
      </w:r>
      <w:r>
        <w:rPr>
          <w:rFonts w:hint="default" w:ascii="Times New Roman" w:hAnsi="Times New Roman" w:cs="Times New Roman"/>
          <w:color w:val="auto"/>
          <w:sz w:val="24"/>
          <w:szCs w:val="22"/>
          <w:highlight w:val="none"/>
        </w:rPr>
        <w:t xml:space="preserve"> 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遮挡物</w:t>
      </w:r>
      <w:r>
        <w:rPr>
          <w:rFonts w:hint="default" w:ascii="Times New Roman" w:hAnsi="Times New Roman" w:cs="Times New Roman"/>
          <w:color w:val="auto"/>
          <w:sz w:val="21"/>
          <w:szCs w:val="28"/>
          <w:highlight w:val="none"/>
        </w:rPr>
        <w:t>＋</w:t>
      </w:r>
      <w:r>
        <w:rPr>
          <w:rFonts w:hint="default" w:ascii="Times New Roman" w:hAnsi="Times New Roman" w:cs="Times New Roman"/>
          <w:color w:val="auto"/>
          <w:sz w:val="24"/>
          <w:szCs w:val="22"/>
          <w:highlight w:val="none"/>
        </w:rPr>
        <w:t xml:space="preserve"> 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空气</w:t>
      </w:r>
      <w:r>
        <w:rPr>
          <w:rFonts w:hint="default" w:ascii="Times New Roman" w:hAnsi="Times New Roman" w:cs="Times New Roman"/>
          <w:color w:val="auto"/>
          <w:sz w:val="21"/>
          <w:szCs w:val="28"/>
          <w:highlight w:val="none"/>
        </w:rPr>
        <w:t>＋</w:t>
      </w:r>
      <w:r>
        <w:rPr>
          <w:rFonts w:hint="default" w:ascii="Times New Roman" w:hAnsi="Times New Roman" w:cs="Times New Roman"/>
          <w:color w:val="auto"/>
          <w:sz w:val="24"/>
          <w:szCs w:val="22"/>
          <w:highlight w:val="none"/>
        </w:rPr>
        <w:t xml:space="preserve"> 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反射</w:t>
      </w:r>
      <w:r>
        <w:rPr>
          <w:rFonts w:hint="default" w:ascii="Times New Roman" w:hAnsi="Times New Roman" w:cs="Times New Roman"/>
          <w:color w:val="auto"/>
          <w:sz w:val="21"/>
          <w:szCs w:val="28"/>
          <w:highlight w:val="none"/>
        </w:rPr>
        <w:t>＋</w:t>
      </w:r>
      <w:r>
        <w:rPr>
          <w:rFonts w:hint="default" w:ascii="Times New Roman" w:hAnsi="Times New Roman" w:cs="Times New Roman"/>
          <w:color w:val="auto"/>
          <w:sz w:val="24"/>
          <w:szCs w:val="22"/>
          <w:highlight w:val="none"/>
        </w:rPr>
        <w:t xml:space="preserve"> 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林带</w:t>
      </w:r>
    </w:p>
    <w:p w14:paraId="0751C815">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地面</w:t>
      </w:r>
      <w:r>
        <w:rPr>
          <w:rFonts w:hint="default" w:ascii="Times New Roman" w:hAnsi="Times New Roman" w:cs="Times New Roman"/>
          <w:color w:val="auto"/>
          <w:sz w:val="24"/>
          <w:szCs w:val="22"/>
          <w:highlight w:val="none"/>
        </w:rPr>
        <w:t>—地面吸收衰减量；</w:t>
      </w:r>
    </w:p>
    <w:p w14:paraId="06F4DEA9">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地面</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2"/>
          <w:highlight w:val="none"/>
        </w:rPr>
        <w:t>4.8-(2</w:t>
      </w:r>
      <w:r>
        <w:rPr>
          <w:rFonts w:hint="default" w:ascii="Times New Roman" w:hAnsi="Times New Roman" w:cs="Times New Roman"/>
          <w:i/>
          <w:iCs/>
          <w:color w:val="auto"/>
          <w:sz w:val="24"/>
          <w:szCs w:val="22"/>
          <w:highlight w:val="none"/>
        </w:rPr>
        <w:t>hm</w:t>
      </w:r>
      <w:r>
        <w:rPr>
          <w:rFonts w:hint="default" w:ascii="Times New Roman" w:hAnsi="Times New Roman" w:cs="Times New Roman"/>
          <w:color w:val="auto"/>
          <w:sz w:val="24"/>
          <w:szCs w:val="22"/>
          <w:highlight w:val="none"/>
        </w:rPr>
        <w:t>/</w:t>
      </w:r>
      <w:r>
        <w:rPr>
          <w:rFonts w:hint="default" w:ascii="Times New Roman" w:hAnsi="Times New Roman" w:cs="Times New Roman"/>
          <w:i/>
          <w:iCs/>
          <w:color w:val="auto"/>
          <w:sz w:val="24"/>
          <w:szCs w:val="22"/>
          <w:highlight w:val="none"/>
        </w:rPr>
        <w:t>d</w:t>
      </w:r>
      <w:r>
        <w:rPr>
          <w:rFonts w:hint="default" w:ascii="Times New Roman" w:hAnsi="Times New Roman" w:cs="Times New Roman"/>
          <w:color w:val="auto"/>
          <w:sz w:val="24"/>
          <w:szCs w:val="22"/>
          <w:highlight w:val="none"/>
        </w:rPr>
        <w:t>)[17</w:t>
      </w:r>
      <w:r>
        <w:rPr>
          <w:rFonts w:hint="default" w:ascii="Times New Roman" w:hAnsi="Times New Roman" w:cs="Times New Roman"/>
          <w:color w:val="auto"/>
          <w:sz w:val="21"/>
          <w:szCs w:val="28"/>
          <w:highlight w:val="none"/>
        </w:rPr>
        <w:t>＋</w:t>
      </w:r>
      <w:r>
        <w:rPr>
          <w:rFonts w:hint="default" w:ascii="Times New Roman" w:hAnsi="Times New Roman" w:cs="Times New Roman"/>
          <w:color w:val="auto"/>
          <w:sz w:val="24"/>
          <w:szCs w:val="22"/>
          <w:highlight w:val="none"/>
        </w:rPr>
        <w:t>(300/</w:t>
      </w:r>
      <w:r>
        <w:rPr>
          <w:rFonts w:hint="default" w:ascii="Times New Roman" w:hAnsi="Times New Roman" w:cs="Times New Roman"/>
          <w:i/>
          <w:iCs/>
          <w:color w:val="auto"/>
          <w:sz w:val="24"/>
          <w:szCs w:val="22"/>
          <w:highlight w:val="none"/>
        </w:rPr>
        <w:t>d</w:t>
      </w:r>
      <w:r>
        <w:rPr>
          <w:rFonts w:hint="default" w:ascii="Times New Roman" w:hAnsi="Times New Roman" w:cs="Times New Roman"/>
          <w:color w:val="auto"/>
          <w:sz w:val="24"/>
          <w:szCs w:val="22"/>
          <w:highlight w:val="none"/>
        </w:rPr>
        <w:t>)] ；</w:t>
      </w:r>
    </w:p>
    <w:p w14:paraId="2F3C29BC">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式中：Δ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地面</w:t>
      </w:r>
      <w:r>
        <w:rPr>
          <w:rFonts w:hint="default" w:ascii="Times New Roman" w:hAnsi="Times New Roman" w:cs="Times New Roman"/>
          <w:color w:val="auto"/>
          <w:sz w:val="24"/>
          <w:szCs w:val="22"/>
          <w:highlight w:val="none"/>
        </w:rPr>
        <w:t>—地面效应引起的衰减值，</w:t>
      </w:r>
      <w:r>
        <w:rPr>
          <w:rFonts w:hint="default" w:ascii="Times New Roman" w:hAnsi="Times New Roman" w:cs="Times New Roman"/>
          <w:i/>
          <w:iCs/>
          <w:color w:val="auto"/>
          <w:sz w:val="24"/>
          <w:szCs w:val="22"/>
          <w:highlight w:val="none"/>
        </w:rPr>
        <w:t>dB</w:t>
      </w:r>
      <w:r>
        <w:rPr>
          <w:rFonts w:hint="default" w:ascii="Times New Roman" w:hAnsi="Times New Roman" w:cs="Times New Roman"/>
          <w:color w:val="auto"/>
          <w:sz w:val="24"/>
          <w:szCs w:val="22"/>
          <w:highlight w:val="none"/>
        </w:rPr>
        <w:t>；</w:t>
      </w:r>
    </w:p>
    <w:p w14:paraId="77525C1F">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i/>
          <w:iCs/>
          <w:color w:val="auto"/>
          <w:sz w:val="24"/>
          <w:szCs w:val="22"/>
          <w:highlight w:val="none"/>
        </w:rPr>
        <w:t>d</w:t>
      </w:r>
      <w:r>
        <w:rPr>
          <w:rFonts w:hint="default" w:ascii="Times New Roman" w:hAnsi="Times New Roman" w:cs="Times New Roman"/>
          <w:color w:val="auto"/>
          <w:sz w:val="24"/>
          <w:szCs w:val="22"/>
          <w:highlight w:val="none"/>
        </w:rPr>
        <w:t>—声源到预测点的距离，</w:t>
      </w:r>
      <w:r>
        <w:rPr>
          <w:rFonts w:hint="default" w:ascii="Times New Roman" w:hAnsi="Times New Roman" w:cs="Times New Roman"/>
          <w:i/>
          <w:iCs/>
          <w:color w:val="auto"/>
          <w:sz w:val="24"/>
          <w:szCs w:val="22"/>
          <w:highlight w:val="none"/>
        </w:rPr>
        <w:t>m</w:t>
      </w:r>
      <w:r>
        <w:rPr>
          <w:rFonts w:hint="default" w:ascii="Times New Roman" w:hAnsi="Times New Roman" w:cs="Times New Roman"/>
          <w:color w:val="auto"/>
          <w:sz w:val="24"/>
          <w:szCs w:val="22"/>
          <w:highlight w:val="none"/>
        </w:rPr>
        <w:t>；</w:t>
      </w:r>
    </w:p>
    <w:p w14:paraId="5C40E35D">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i/>
          <w:iCs/>
          <w:color w:val="auto"/>
          <w:sz w:val="24"/>
          <w:szCs w:val="22"/>
          <w:highlight w:val="none"/>
        </w:rPr>
        <w:t>hm</w:t>
      </w:r>
      <w:r>
        <w:rPr>
          <w:rFonts w:hint="default" w:ascii="Times New Roman" w:hAnsi="Times New Roman" w:cs="Times New Roman"/>
          <w:color w:val="auto"/>
          <w:sz w:val="24"/>
          <w:szCs w:val="22"/>
          <w:highlight w:val="none"/>
        </w:rPr>
        <w:t>—传播路径的平均离地高度，</w:t>
      </w:r>
      <w:r>
        <w:rPr>
          <w:rFonts w:hint="default" w:ascii="Times New Roman" w:hAnsi="Times New Roman" w:cs="Times New Roman"/>
          <w:i/>
          <w:iCs/>
          <w:color w:val="auto"/>
          <w:sz w:val="24"/>
          <w:szCs w:val="22"/>
          <w:highlight w:val="none"/>
        </w:rPr>
        <w:t>m</w:t>
      </w:r>
      <w:r>
        <w:rPr>
          <w:rFonts w:hint="default" w:ascii="Times New Roman" w:hAnsi="Times New Roman" w:cs="Times New Roman"/>
          <w:color w:val="auto"/>
          <w:sz w:val="24"/>
          <w:szCs w:val="22"/>
          <w:highlight w:val="none"/>
        </w:rPr>
        <w:t>；</w:t>
      </w:r>
    </w:p>
    <w:p w14:paraId="248E2139">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i/>
          <w:iCs/>
          <w:color w:val="auto"/>
          <w:sz w:val="24"/>
          <w:szCs w:val="22"/>
          <w:highlight w:val="none"/>
        </w:rPr>
        <w:t>hm</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2"/>
          <w:highlight w:val="none"/>
        </w:rPr>
        <w:t>面积</w:t>
      </w:r>
      <w:r>
        <w:rPr>
          <w:rFonts w:hint="default" w:ascii="Times New Roman" w:hAnsi="Times New Roman" w:cs="Times New Roman"/>
          <w:i/>
          <w:iCs/>
          <w:color w:val="auto"/>
          <w:sz w:val="24"/>
          <w:szCs w:val="22"/>
          <w:highlight w:val="none"/>
        </w:rPr>
        <w:t>F/d</w:t>
      </w:r>
      <w:r>
        <w:rPr>
          <w:rFonts w:hint="default" w:ascii="Times New Roman" w:hAnsi="Times New Roman" w:cs="Times New Roman"/>
          <w:color w:val="auto"/>
          <w:sz w:val="24"/>
          <w:szCs w:val="22"/>
          <w:highlight w:val="none"/>
        </w:rPr>
        <w:t>。</w:t>
      </w:r>
    </w:p>
    <w:p w14:paraId="7F0922F3">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若Δ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地面</w:t>
      </w:r>
      <w:r>
        <w:rPr>
          <w:rFonts w:hint="default" w:ascii="Times New Roman" w:hAnsi="Times New Roman" w:cs="Times New Roman"/>
          <w:color w:val="auto"/>
          <w:sz w:val="24"/>
          <w:szCs w:val="22"/>
          <w:highlight w:val="none"/>
        </w:rPr>
        <w:t>计算出负值，则Δ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地面</w:t>
      </w:r>
      <w:r>
        <w:rPr>
          <w:rFonts w:hint="default" w:ascii="Times New Roman" w:hAnsi="Times New Roman" w:cs="Times New Roman"/>
          <w:color w:val="auto"/>
          <w:sz w:val="24"/>
          <w:szCs w:val="22"/>
          <w:highlight w:val="none"/>
        </w:rPr>
        <w:t>可用“0”代替。</w:t>
      </w:r>
    </w:p>
    <w:p w14:paraId="7DD8BD59">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空气</w:t>
      </w:r>
      <w:r>
        <w:rPr>
          <w:rFonts w:hint="default" w:ascii="Times New Roman" w:hAnsi="Times New Roman" w:cs="Times New Roman"/>
          <w:color w:val="auto"/>
          <w:sz w:val="24"/>
          <w:szCs w:val="22"/>
          <w:highlight w:val="none"/>
        </w:rPr>
        <w:t>—空气吸收衰减量；</w:t>
      </w:r>
    </w:p>
    <w:p w14:paraId="690B44FD">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遮挡物</w:t>
      </w:r>
      <w:r>
        <w:rPr>
          <w:rFonts w:hint="default" w:ascii="Times New Roman" w:hAnsi="Times New Roman" w:cs="Times New Roman"/>
          <w:color w:val="auto"/>
          <w:sz w:val="24"/>
          <w:szCs w:val="22"/>
          <w:highlight w:val="none"/>
        </w:rPr>
        <w:t>—遮挡物引起的衰减量；</w:t>
      </w:r>
    </w:p>
    <w:p w14:paraId="0F2936D9">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反射</w:t>
      </w:r>
      <w:r>
        <w:rPr>
          <w:rFonts w:hint="default" w:ascii="Times New Roman" w:hAnsi="Times New Roman" w:cs="Times New Roman"/>
          <w:color w:val="auto"/>
          <w:sz w:val="24"/>
          <w:szCs w:val="22"/>
          <w:highlight w:val="none"/>
        </w:rPr>
        <w:t>—反射体引起的修正量；</w:t>
      </w:r>
    </w:p>
    <w:p w14:paraId="09FEA845">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Δ</w:t>
      </w:r>
      <w:r>
        <w:rPr>
          <w:rFonts w:hint="default" w:ascii="Times New Roman" w:hAnsi="Times New Roman" w:cs="Times New Roman"/>
          <w:i/>
          <w:iCs/>
          <w:color w:val="auto"/>
          <w:sz w:val="24"/>
          <w:szCs w:val="22"/>
          <w:highlight w:val="none"/>
        </w:rPr>
        <w:t>L</w:t>
      </w:r>
      <w:r>
        <w:rPr>
          <w:rFonts w:hint="default" w:ascii="Times New Roman" w:hAnsi="Times New Roman" w:cs="Times New Roman"/>
          <w:color w:val="auto"/>
          <w:sz w:val="24"/>
          <w:szCs w:val="22"/>
          <w:highlight w:val="none"/>
          <w:vertAlign w:val="subscript"/>
        </w:rPr>
        <w:t>林带</w:t>
      </w:r>
      <w:r>
        <w:rPr>
          <w:rFonts w:hint="default" w:ascii="Times New Roman" w:hAnsi="Times New Roman" w:cs="Times New Roman"/>
          <w:color w:val="auto"/>
          <w:sz w:val="24"/>
          <w:szCs w:val="22"/>
          <w:highlight w:val="none"/>
        </w:rPr>
        <w:t>—绿化林带的衰减量。</w:t>
      </w:r>
    </w:p>
    <w:p w14:paraId="090D0561">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各型车辆昼间或夜间使预测点接收到的交通噪声值：</w:t>
      </w:r>
    </w:p>
    <w:p w14:paraId="216FA916">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vertAlign w:val="subscript"/>
        </w:rPr>
      </w:pPr>
      <w:r>
        <w:rPr>
          <w:rFonts w:hint="default" w:ascii="Times New Roman" w:hAnsi="Times New Roman" w:cs="Times New Roman"/>
          <w:color w:val="auto"/>
          <w:sz w:val="24"/>
          <w:szCs w:val="22"/>
          <w:highlight w:val="none"/>
        </w:rPr>
        <w:t>(L</w:t>
      </w:r>
      <w:r>
        <w:rPr>
          <w:rFonts w:hint="default" w:ascii="Times New Roman" w:hAnsi="Times New Roman" w:cs="Times New Roman"/>
          <w:color w:val="auto"/>
          <w:sz w:val="24"/>
          <w:szCs w:val="22"/>
          <w:highlight w:val="none"/>
          <w:vertAlign w:val="subscript"/>
        </w:rPr>
        <w:t>Aeq</w:t>
      </w:r>
      <w:r>
        <w:rPr>
          <w:rFonts w:hint="default" w:ascii="Times New Roman" w:hAnsi="Times New Roman" w:cs="Times New Roman"/>
          <w:color w:val="auto"/>
          <w:sz w:val="24"/>
          <w:szCs w:val="22"/>
          <w:highlight w:val="none"/>
        </w:rPr>
        <w:t>)</w:t>
      </w:r>
      <w:r>
        <w:rPr>
          <w:rFonts w:hint="default" w:ascii="Times New Roman" w:hAnsi="Times New Roman" w:cs="Times New Roman"/>
          <w:color w:val="auto"/>
          <w:sz w:val="24"/>
          <w:szCs w:val="22"/>
          <w:highlight w:val="none"/>
          <w:vertAlign w:val="subscript"/>
        </w:rPr>
        <w:t>交</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2"/>
          <w:highlight w:val="none"/>
        </w:rPr>
        <w:t>10lg[10</w:t>
      </w:r>
      <w:r>
        <w:rPr>
          <w:rFonts w:hint="default" w:ascii="Times New Roman" w:hAnsi="Times New Roman" w:cs="Times New Roman"/>
          <w:color w:val="auto"/>
          <w:sz w:val="24"/>
          <w:szCs w:val="22"/>
          <w:highlight w:val="none"/>
          <w:vertAlign w:val="superscript"/>
        </w:rPr>
        <w:t>0.1(LAeq)L</w:t>
      </w:r>
      <w:r>
        <w:rPr>
          <w:rFonts w:hint="default" w:ascii="Times New Roman" w:hAnsi="Times New Roman" w:cs="Times New Roman"/>
          <w:color w:val="auto"/>
          <w:sz w:val="21"/>
          <w:szCs w:val="28"/>
          <w:highlight w:val="none"/>
        </w:rPr>
        <w:t>＋</w:t>
      </w:r>
      <w:r>
        <w:rPr>
          <w:rFonts w:hint="default" w:ascii="Times New Roman" w:hAnsi="Times New Roman" w:cs="Times New Roman"/>
          <w:color w:val="auto"/>
          <w:sz w:val="24"/>
          <w:szCs w:val="22"/>
          <w:highlight w:val="none"/>
        </w:rPr>
        <w:t>10</w:t>
      </w:r>
      <w:r>
        <w:rPr>
          <w:rFonts w:hint="default" w:ascii="Times New Roman" w:hAnsi="Times New Roman" w:cs="Times New Roman"/>
          <w:color w:val="auto"/>
          <w:sz w:val="24"/>
          <w:szCs w:val="22"/>
          <w:highlight w:val="none"/>
          <w:vertAlign w:val="superscript"/>
        </w:rPr>
        <w:t>0.1(LAeq)M</w:t>
      </w:r>
      <w:r>
        <w:rPr>
          <w:rFonts w:hint="default" w:ascii="Times New Roman" w:hAnsi="Times New Roman" w:cs="Times New Roman"/>
          <w:color w:val="auto"/>
          <w:sz w:val="21"/>
          <w:szCs w:val="28"/>
          <w:highlight w:val="none"/>
        </w:rPr>
        <w:t>＋</w:t>
      </w:r>
      <w:r>
        <w:rPr>
          <w:rFonts w:hint="default" w:ascii="Times New Roman" w:hAnsi="Times New Roman" w:cs="Times New Roman"/>
          <w:color w:val="auto"/>
          <w:sz w:val="24"/>
          <w:szCs w:val="22"/>
          <w:highlight w:val="none"/>
        </w:rPr>
        <w:t>10</w:t>
      </w:r>
      <w:r>
        <w:rPr>
          <w:rFonts w:hint="default" w:ascii="Times New Roman" w:hAnsi="Times New Roman" w:cs="Times New Roman"/>
          <w:color w:val="auto"/>
          <w:sz w:val="24"/>
          <w:szCs w:val="22"/>
          <w:highlight w:val="none"/>
          <w:vertAlign w:val="superscript"/>
        </w:rPr>
        <w:t>0.1(LAeq)S</w:t>
      </w:r>
      <w:r>
        <w:rPr>
          <w:rFonts w:hint="default" w:ascii="Times New Roman" w:hAnsi="Times New Roman" w:cs="Times New Roman"/>
          <w:color w:val="auto"/>
          <w:sz w:val="24"/>
          <w:szCs w:val="22"/>
          <w:highlight w:val="none"/>
        </w:rPr>
        <w:t>]</w:t>
      </w:r>
    </w:p>
    <w:p w14:paraId="23E7A0F7">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式中：(L</w:t>
      </w:r>
      <w:r>
        <w:rPr>
          <w:rFonts w:hint="default" w:ascii="Times New Roman" w:hAnsi="Times New Roman" w:cs="Times New Roman"/>
          <w:color w:val="auto"/>
          <w:sz w:val="24"/>
          <w:szCs w:val="22"/>
          <w:highlight w:val="none"/>
          <w:vertAlign w:val="subscript"/>
        </w:rPr>
        <w:t>Aeq</w:t>
      </w:r>
      <w:r>
        <w:rPr>
          <w:rFonts w:hint="default" w:ascii="Times New Roman" w:hAnsi="Times New Roman" w:cs="Times New Roman"/>
          <w:color w:val="auto"/>
          <w:sz w:val="24"/>
          <w:szCs w:val="22"/>
          <w:highlight w:val="none"/>
        </w:rPr>
        <w:t>)</w:t>
      </w:r>
      <w:r>
        <w:rPr>
          <w:rFonts w:hint="default" w:ascii="Times New Roman" w:hAnsi="Times New Roman" w:cs="Times New Roman"/>
          <w:color w:val="auto"/>
          <w:sz w:val="24"/>
          <w:szCs w:val="22"/>
          <w:highlight w:val="none"/>
          <w:vertAlign w:val="subscript"/>
        </w:rPr>
        <w:t>L</w:t>
      </w:r>
      <w:r>
        <w:rPr>
          <w:rFonts w:hint="default" w:ascii="Times New Roman" w:hAnsi="Times New Roman" w:cs="Times New Roman"/>
          <w:color w:val="auto"/>
          <w:sz w:val="24"/>
          <w:szCs w:val="22"/>
          <w:highlight w:val="none"/>
        </w:rPr>
        <w:t>、(L</w:t>
      </w:r>
      <w:r>
        <w:rPr>
          <w:rFonts w:hint="default" w:ascii="Times New Roman" w:hAnsi="Times New Roman" w:cs="Times New Roman"/>
          <w:color w:val="auto"/>
          <w:sz w:val="24"/>
          <w:szCs w:val="22"/>
          <w:highlight w:val="none"/>
          <w:vertAlign w:val="subscript"/>
        </w:rPr>
        <w:t>Aeq</w:t>
      </w:r>
      <w:r>
        <w:rPr>
          <w:rFonts w:hint="default" w:ascii="Times New Roman" w:hAnsi="Times New Roman" w:cs="Times New Roman"/>
          <w:color w:val="auto"/>
          <w:sz w:val="24"/>
          <w:szCs w:val="22"/>
          <w:highlight w:val="none"/>
        </w:rPr>
        <w:t>)</w:t>
      </w:r>
      <w:r>
        <w:rPr>
          <w:rFonts w:hint="default" w:ascii="Times New Roman" w:hAnsi="Times New Roman" w:cs="Times New Roman"/>
          <w:color w:val="auto"/>
          <w:sz w:val="24"/>
          <w:szCs w:val="22"/>
          <w:highlight w:val="none"/>
          <w:vertAlign w:val="subscript"/>
        </w:rPr>
        <w:t>M</w:t>
      </w:r>
      <w:r>
        <w:rPr>
          <w:rFonts w:hint="default" w:ascii="Times New Roman" w:hAnsi="Times New Roman" w:cs="Times New Roman"/>
          <w:color w:val="auto"/>
          <w:sz w:val="24"/>
          <w:szCs w:val="22"/>
          <w:highlight w:val="none"/>
        </w:rPr>
        <w:t>、(L</w:t>
      </w:r>
      <w:r>
        <w:rPr>
          <w:rFonts w:hint="default" w:ascii="Times New Roman" w:hAnsi="Times New Roman" w:cs="Times New Roman"/>
          <w:color w:val="auto"/>
          <w:sz w:val="24"/>
          <w:szCs w:val="22"/>
          <w:highlight w:val="none"/>
          <w:vertAlign w:val="subscript"/>
        </w:rPr>
        <w:t>Aeq</w:t>
      </w:r>
      <w:r>
        <w:rPr>
          <w:rFonts w:hint="default" w:ascii="Times New Roman" w:hAnsi="Times New Roman" w:cs="Times New Roman"/>
          <w:color w:val="auto"/>
          <w:sz w:val="24"/>
          <w:szCs w:val="22"/>
          <w:highlight w:val="none"/>
        </w:rPr>
        <w:t>)</w:t>
      </w:r>
      <w:r>
        <w:rPr>
          <w:rFonts w:hint="default" w:ascii="Times New Roman" w:hAnsi="Times New Roman" w:cs="Times New Roman"/>
          <w:color w:val="auto"/>
          <w:sz w:val="24"/>
          <w:szCs w:val="22"/>
          <w:highlight w:val="none"/>
          <w:vertAlign w:val="subscript"/>
        </w:rPr>
        <w:t>S</w:t>
      </w:r>
      <w:r>
        <w:rPr>
          <w:rFonts w:hint="default" w:ascii="Times New Roman" w:hAnsi="Times New Roman" w:cs="Times New Roman"/>
          <w:color w:val="auto"/>
          <w:sz w:val="24"/>
          <w:szCs w:val="22"/>
          <w:highlight w:val="none"/>
        </w:rPr>
        <w:t>—分别为大、中、小型车辆昼间或夜间，预测点接收到的交通噪声值，dB；</w:t>
      </w:r>
    </w:p>
    <w:p w14:paraId="1CCACA3E">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4"/>
          <w:highlight w:val="none"/>
        </w:rPr>
      </w:pPr>
      <w:r>
        <w:rPr>
          <w:rFonts w:hint="default" w:ascii="Times New Roman" w:hAnsi="Times New Roman" w:cs="Times New Roman"/>
          <w:snapToGrid w:val="0"/>
          <w:color w:val="auto"/>
          <w:sz w:val="24"/>
          <w:szCs w:val="22"/>
          <w:highlight w:val="none"/>
        </w:rPr>
        <w:t>(L</w:t>
      </w:r>
      <w:r>
        <w:rPr>
          <w:rFonts w:hint="default" w:ascii="Times New Roman" w:hAnsi="Times New Roman" w:cs="Times New Roman"/>
          <w:snapToGrid w:val="0"/>
          <w:color w:val="auto"/>
          <w:sz w:val="24"/>
          <w:szCs w:val="22"/>
          <w:highlight w:val="none"/>
          <w:vertAlign w:val="subscript"/>
        </w:rPr>
        <w:t>Aeq</w:t>
      </w:r>
      <w:r>
        <w:rPr>
          <w:rFonts w:hint="default" w:ascii="Times New Roman" w:hAnsi="Times New Roman" w:cs="Times New Roman"/>
          <w:snapToGrid w:val="0"/>
          <w:color w:val="auto"/>
          <w:sz w:val="24"/>
          <w:szCs w:val="22"/>
          <w:highlight w:val="none"/>
        </w:rPr>
        <w:t>)</w:t>
      </w:r>
      <w:r>
        <w:rPr>
          <w:rFonts w:hint="default" w:ascii="Times New Roman" w:hAnsi="Times New Roman" w:cs="Times New Roman"/>
          <w:snapToGrid w:val="0"/>
          <w:color w:val="auto"/>
          <w:sz w:val="24"/>
          <w:szCs w:val="22"/>
          <w:highlight w:val="none"/>
          <w:vertAlign w:val="subscript"/>
        </w:rPr>
        <w:t>交</w:t>
      </w:r>
      <w:r>
        <w:rPr>
          <w:rFonts w:hint="default" w:ascii="Times New Roman" w:hAnsi="Times New Roman" w:cs="Times New Roman"/>
          <w:color w:val="auto"/>
          <w:sz w:val="24"/>
          <w:szCs w:val="22"/>
          <w:highlight w:val="none"/>
        </w:rPr>
        <w:t>—</w:t>
      </w:r>
      <w:r>
        <w:rPr>
          <w:rFonts w:hint="default" w:ascii="Times New Roman" w:hAnsi="Times New Roman" w:cs="Times New Roman"/>
          <w:snapToGrid w:val="0"/>
          <w:color w:val="auto"/>
          <w:sz w:val="24"/>
          <w:szCs w:val="22"/>
          <w:highlight w:val="none"/>
        </w:rPr>
        <w:t>预测点接收到的昼间或夜间的交通噪声，dB(A)。</w:t>
      </w:r>
    </w:p>
    <w:p w14:paraId="6F4514E8">
      <w:pPr>
        <w:pStyle w:val="354"/>
        <w:keepNext w:val="0"/>
        <w:keepLines w:val="0"/>
        <w:pageBreakBefore w:val="0"/>
        <w:widowControl/>
        <w:kinsoku/>
        <w:wordWrap/>
        <w:overflowPunct/>
        <w:topLinePunct w:val="0"/>
        <w:autoSpaceDE/>
        <w:autoSpaceDN/>
        <w:bidi w:val="0"/>
        <w:adjustRightInd/>
        <w:snapToGrid/>
        <w:textAlignment w:val="auto"/>
        <w:outlineLvl w:val="4"/>
        <w:rPr>
          <w:rFonts w:hint="default" w:ascii="Times New Roman" w:hAnsi="Times New Roman" w:eastAsia="黑体" w:cs="Times New Roman"/>
          <w:b w:val="0"/>
          <w:bCs/>
          <w:snapToGrid/>
          <w:color w:val="auto"/>
          <w:kern w:val="2"/>
          <w:sz w:val="24"/>
          <w:szCs w:val="28"/>
          <w:lang w:val="en-US" w:eastAsia="zh-CN" w:bidi="ar-SA"/>
        </w:rPr>
      </w:pPr>
      <w:bookmarkStart w:id="184" w:name="_Toc245118572"/>
      <w:bookmarkStart w:id="185" w:name="_Toc356206452"/>
      <w:bookmarkStart w:id="186" w:name="_Toc367983641"/>
      <w:bookmarkStart w:id="187" w:name="_Toc354905407"/>
      <w:bookmarkStart w:id="188" w:name="_Toc245119592"/>
      <w:bookmarkStart w:id="189" w:name="_Toc362784829"/>
      <w:bookmarkStart w:id="190" w:name="_Toc245279004"/>
      <w:bookmarkStart w:id="191" w:name="_Toc361043880"/>
      <w:bookmarkStart w:id="192" w:name="_Toc395269578"/>
      <w:bookmarkStart w:id="193" w:name="_Toc388894803"/>
      <w:bookmarkStart w:id="194" w:name="_Toc399095701"/>
      <w:bookmarkStart w:id="195" w:name="_Toc377881673"/>
      <w:r>
        <w:rPr>
          <w:rFonts w:hint="default" w:ascii="Times New Roman" w:hAnsi="Times New Roman" w:eastAsia="黑体" w:cs="Times New Roman"/>
          <w:b w:val="0"/>
          <w:bCs/>
          <w:snapToGrid/>
          <w:color w:val="auto"/>
          <w:kern w:val="2"/>
          <w:sz w:val="24"/>
          <w:szCs w:val="28"/>
          <w:lang w:val="en-US" w:eastAsia="zh-CN" w:bidi="ar-SA"/>
        </w:rPr>
        <w:t>5</w:t>
      </w:r>
      <w:r>
        <w:rPr>
          <w:rFonts w:hint="eastAsia" w:eastAsia="黑体" w:cs="Times New Roman"/>
          <w:b w:val="0"/>
          <w:bCs/>
          <w:snapToGrid/>
          <w:color w:val="auto"/>
          <w:kern w:val="2"/>
          <w:sz w:val="24"/>
          <w:szCs w:val="28"/>
          <w:lang w:val="en-US" w:eastAsia="zh-CN" w:bidi="ar-SA"/>
        </w:rPr>
        <w:t>.2.3.4.2</w:t>
      </w:r>
      <w:r>
        <w:rPr>
          <w:rFonts w:hint="default" w:ascii="Times New Roman" w:hAnsi="Times New Roman" w:eastAsia="黑体" w:cs="Times New Roman"/>
          <w:b w:val="0"/>
          <w:bCs/>
          <w:snapToGrid/>
          <w:color w:val="auto"/>
          <w:kern w:val="2"/>
          <w:sz w:val="24"/>
          <w:szCs w:val="28"/>
          <w:lang w:val="en-US" w:eastAsia="zh-CN" w:bidi="ar-SA"/>
        </w:rPr>
        <w:t>预测条件</w:t>
      </w:r>
      <w:bookmarkEnd w:id="184"/>
      <w:bookmarkEnd w:id="185"/>
      <w:bookmarkEnd w:id="186"/>
      <w:bookmarkEnd w:id="187"/>
      <w:bookmarkEnd w:id="188"/>
      <w:bookmarkEnd w:id="189"/>
      <w:bookmarkEnd w:id="190"/>
      <w:bookmarkEnd w:id="191"/>
      <w:bookmarkEnd w:id="192"/>
      <w:bookmarkEnd w:id="193"/>
      <w:bookmarkEnd w:id="194"/>
      <w:bookmarkEnd w:id="195"/>
    </w:p>
    <w:p w14:paraId="483C7625">
      <w:pPr>
        <w:spacing w:line="360" w:lineRule="auto"/>
        <w:ind w:firstLine="48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圩堤与淮河大堤之间地势平坦，目前可通过X011县道和X012县道与淮潘公路和S225省道连接，交通便利。</w:t>
      </w:r>
    </w:p>
    <w:p w14:paraId="38409934">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cyan"/>
        </w:rPr>
      </w:pPr>
      <w:r>
        <w:rPr>
          <w:rFonts w:hint="eastAsia" w:ascii="Times New Roman" w:hAnsi="Times New Roman" w:eastAsia="宋体" w:cs="Times New Roman"/>
          <w:color w:val="auto"/>
          <w:sz w:val="24"/>
          <w:szCs w:val="24"/>
        </w:rPr>
        <w:t>河滩地设置道路，道路总宽度为7m，堤脚处设置上堤道路，斜坡道总长105m，坡度为6%，堤顶处与现有大堤平交，坡顶高</w:t>
      </w:r>
      <w:r>
        <w:rPr>
          <w:rFonts w:hint="eastAsia" w:ascii="Times New Roman" w:hAnsi="Times New Roman" w:eastAsia="宋体" w:cs="Times New Roman"/>
          <w:color w:val="auto"/>
          <w:sz w:val="24"/>
          <w:szCs w:val="24"/>
          <w:highlight w:val="none"/>
        </w:rPr>
        <w:t>程为27.3m；下堤道路连接至大件码头现有的道路，新建斜坡道路，长度为75m，坡度为7.1%</w:t>
      </w:r>
      <w:r>
        <w:rPr>
          <w:rFonts w:hint="default" w:ascii="Times New Roman" w:hAnsi="Times New Roman" w:cs="Times New Roman"/>
          <w:color w:val="auto"/>
          <w:sz w:val="24"/>
          <w:szCs w:val="22"/>
          <w:highlight w:val="none"/>
        </w:rPr>
        <w:t>，本评价主要考虑交通运输对两侧噪声产生的影响。预测条件为：车型为大型车，车辆行驶速度设定为</w:t>
      </w:r>
      <w:r>
        <w:rPr>
          <w:rFonts w:hint="eastAsia" w:ascii="Times New Roman" w:hAnsi="Times New Roman" w:cs="Times New Roman"/>
          <w:color w:val="auto"/>
          <w:sz w:val="24"/>
          <w:szCs w:val="22"/>
          <w:highlight w:val="none"/>
          <w:lang w:val="en-US" w:eastAsia="zh-CN"/>
        </w:rPr>
        <w:t>15</w:t>
      </w:r>
      <w:r>
        <w:rPr>
          <w:rFonts w:hint="default" w:ascii="Times New Roman" w:hAnsi="Times New Roman" w:cs="Times New Roman"/>
          <w:color w:val="auto"/>
          <w:sz w:val="24"/>
          <w:szCs w:val="22"/>
          <w:highlight w:val="none"/>
        </w:rPr>
        <w:t>km/h，水泥混凝土路面，平坡路面。</w:t>
      </w:r>
    </w:p>
    <w:p w14:paraId="39B8CA7A">
      <w:pPr>
        <w:pStyle w:val="354"/>
        <w:keepNext w:val="0"/>
        <w:keepLines w:val="0"/>
        <w:pageBreakBefore w:val="0"/>
        <w:widowControl/>
        <w:kinsoku/>
        <w:wordWrap/>
        <w:overflowPunct/>
        <w:topLinePunct w:val="0"/>
        <w:autoSpaceDE/>
        <w:autoSpaceDN/>
        <w:bidi w:val="0"/>
        <w:adjustRightInd/>
        <w:snapToGrid/>
        <w:textAlignment w:val="auto"/>
        <w:outlineLvl w:val="4"/>
        <w:rPr>
          <w:rFonts w:hint="default" w:ascii="Times New Roman" w:hAnsi="Times New Roman" w:eastAsia="黑体" w:cs="Times New Roman"/>
          <w:b w:val="0"/>
          <w:bCs/>
          <w:snapToGrid/>
          <w:color w:val="auto"/>
          <w:kern w:val="2"/>
          <w:sz w:val="24"/>
          <w:szCs w:val="28"/>
          <w:lang w:val="en-US" w:eastAsia="zh-CN" w:bidi="ar-SA"/>
        </w:rPr>
      </w:pPr>
      <w:bookmarkStart w:id="196" w:name="_Toc395269579"/>
      <w:bookmarkStart w:id="197" w:name="_Toc245118573"/>
      <w:bookmarkStart w:id="198" w:name="_Toc245279005"/>
      <w:bookmarkStart w:id="199" w:name="_Toc354905408"/>
      <w:bookmarkStart w:id="200" w:name="_Toc367983642"/>
      <w:bookmarkStart w:id="201" w:name="_Toc388894804"/>
      <w:bookmarkStart w:id="202" w:name="_Toc245119593"/>
      <w:bookmarkStart w:id="203" w:name="_Toc377881674"/>
      <w:bookmarkStart w:id="204" w:name="_Toc361043881"/>
      <w:bookmarkStart w:id="205" w:name="_Toc356206453"/>
      <w:bookmarkStart w:id="206" w:name="_Toc399095702"/>
      <w:bookmarkStart w:id="207" w:name="_Toc362784830"/>
      <w:r>
        <w:rPr>
          <w:rFonts w:hint="eastAsia" w:ascii="Times New Roman" w:hAnsi="Times New Roman" w:eastAsia="黑体" w:cs="Times New Roman"/>
          <w:b w:val="0"/>
          <w:bCs/>
          <w:snapToGrid/>
          <w:color w:val="auto"/>
          <w:kern w:val="2"/>
          <w:sz w:val="24"/>
          <w:szCs w:val="28"/>
          <w:lang w:val="en-US" w:eastAsia="zh-CN" w:bidi="ar-SA"/>
        </w:rPr>
        <w:t>5.2.3.4.3</w:t>
      </w:r>
      <w:r>
        <w:rPr>
          <w:rFonts w:hint="default" w:ascii="Times New Roman" w:hAnsi="Times New Roman" w:eastAsia="黑体" w:cs="Times New Roman"/>
          <w:b w:val="0"/>
          <w:bCs/>
          <w:snapToGrid/>
          <w:color w:val="auto"/>
          <w:kern w:val="2"/>
          <w:sz w:val="24"/>
          <w:szCs w:val="28"/>
          <w:lang w:val="en-US" w:eastAsia="zh-CN" w:bidi="ar-SA"/>
        </w:rPr>
        <w:t>预测结果及分析</w:t>
      </w:r>
      <w:bookmarkEnd w:id="196"/>
      <w:bookmarkEnd w:id="197"/>
      <w:bookmarkEnd w:id="198"/>
      <w:bookmarkEnd w:id="199"/>
      <w:bookmarkEnd w:id="200"/>
      <w:bookmarkEnd w:id="201"/>
      <w:bookmarkEnd w:id="202"/>
      <w:bookmarkEnd w:id="203"/>
      <w:bookmarkEnd w:id="204"/>
      <w:bookmarkEnd w:id="205"/>
      <w:bookmarkEnd w:id="206"/>
      <w:bookmarkEnd w:id="207"/>
    </w:p>
    <w:p w14:paraId="10919B39">
      <w:pPr>
        <w:overflowPunct w:val="0"/>
        <w:adjustRightInd w:val="0"/>
        <w:snapToGrid w:val="0"/>
        <w:spacing w:line="360" w:lineRule="auto"/>
        <w:ind w:firstLine="480" w:firstLineChars="200"/>
        <w:textAlignment w:val="baseline"/>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szCs w:val="22"/>
          <w:highlight w:val="none"/>
        </w:rPr>
        <w:t>依据上述噪声预测模式及相应预测参数，预测结果见表5.</w:t>
      </w:r>
      <w:r>
        <w:rPr>
          <w:rFonts w:hint="eastAsia" w:ascii="Times New Roman" w:hAnsi="Times New Roman" w:cs="Times New Roman"/>
          <w:color w:val="auto"/>
          <w:sz w:val="24"/>
          <w:szCs w:val="22"/>
          <w:highlight w:val="none"/>
          <w:lang w:val="en-US" w:eastAsia="zh-CN"/>
        </w:rPr>
        <w:t>2-17</w:t>
      </w:r>
      <w:r>
        <w:rPr>
          <w:rFonts w:hint="default" w:ascii="Times New Roman" w:hAnsi="Times New Roman" w:cs="Times New Roman"/>
          <w:color w:val="auto"/>
          <w:sz w:val="24"/>
          <w:szCs w:val="22"/>
          <w:highlight w:val="none"/>
        </w:rPr>
        <w:t>。</w:t>
      </w:r>
    </w:p>
    <w:p w14:paraId="44E3E437">
      <w:pPr>
        <w:widowControl/>
        <w:adjustRightInd w:val="0"/>
        <w:snapToGrid w:val="0"/>
        <w:spacing w:before="163" w:beforeLines="50" w:line="240" w:lineRule="auto"/>
        <w:ind w:firstLine="0" w:firstLineChars="0"/>
        <w:jc w:val="center"/>
        <w:textAlignment w:val="baseline"/>
        <w:rPr>
          <w:rFonts w:hint="default" w:ascii="Times New Roman" w:hAnsi="Times New Roman" w:eastAsia="黑体" w:cs="Times New Roman"/>
          <w:color w:val="auto"/>
          <w:kern w:val="2"/>
          <w:sz w:val="24"/>
          <w:szCs w:val="21"/>
          <w:lang w:val="en-US" w:eastAsia="zh-CN" w:bidi="ar-SA"/>
        </w:rPr>
      </w:pPr>
      <w:r>
        <w:rPr>
          <w:rFonts w:hint="default" w:ascii="Times New Roman" w:hAnsi="Times New Roman" w:eastAsia="黑体" w:cs="Times New Roman"/>
          <w:color w:val="auto"/>
          <w:kern w:val="2"/>
          <w:sz w:val="24"/>
          <w:szCs w:val="21"/>
          <w:lang w:val="en-US" w:eastAsia="zh-CN" w:bidi="ar-SA"/>
        </w:rPr>
        <w:t>表5.</w:t>
      </w:r>
      <w:r>
        <w:rPr>
          <w:rFonts w:hint="eastAsia" w:ascii="Times New Roman" w:hAnsi="Times New Roman" w:eastAsia="黑体" w:cs="Times New Roman"/>
          <w:color w:val="auto"/>
          <w:kern w:val="2"/>
          <w:sz w:val="24"/>
          <w:szCs w:val="21"/>
          <w:lang w:val="en-US" w:eastAsia="zh-CN" w:bidi="ar-SA"/>
        </w:rPr>
        <w:t>2-16</w:t>
      </w:r>
      <w:r>
        <w:rPr>
          <w:rFonts w:hint="default" w:ascii="Times New Roman" w:hAnsi="Times New Roman" w:eastAsia="黑体" w:cs="Times New Roman"/>
          <w:color w:val="auto"/>
          <w:kern w:val="2"/>
          <w:sz w:val="24"/>
          <w:szCs w:val="21"/>
          <w:lang w:val="en-US" w:eastAsia="zh-CN" w:bidi="ar-SA"/>
        </w:rPr>
        <w:t xml:space="preserve">  交通噪声预测结果  单位：dB(A)</w:t>
      </w:r>
    </w:p>
    <w:tbl>
      <w:tblPr>
        <w:tblStyle w:val="5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2"/>
        <w:gridCol w:w="1149"/>
        <w:gridCol w:w="1011"/>
        <w:gridCol w:w="782"/>
        <w:gridCol w:w="740"/>
        <w:gridCol w:w="844"/>
        <w:gridCol w:w="844"/>
        <w:gridCol w:w="844"/>
        <w:gridCol w:w="844"/>
        <w:gridCol w:w="844"/>
        <w:gridCol w:w="846"/>
      </w:tblGrid>
      <w:tr w14:paraId="7084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7" w:type="pct"/>
            <w:tcBorders>
              <w:top w:val="single" w:color="auto" w:sz="12" w:space="0"/>
              <w:left w:val="nil"/>
            </w:tcBorders>
            <w:noWrap w:val="0"/>
            <w:vAlign w:val="center"/>
          </w:tcPr>
          <w:p w14:paraId="32B4E668">
            <w:pPr>
              <w:keepNext w:val="0"/>
              <w:keepLines w:val="0"/>
              <w:pageBreakBefore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序号</w:t>
            </w:r>
          </w:p>
        </w:tc>
        <w:tc>
          <w:tcPr>
            <w:tcW w:w="618" w:type="pct"/>
            <w:tcBorders>
              <w:top w:val="single" w:color="auto" w:sz="12" w:space="0"/>
            </w:tcBorders>
            <w:noWrap w:val="0"/>
            <w:vAlign w:val="center"/>
          </w:tcPr>
          <w:p w14:paraId="40E64046">
            <w:pPr>
              <w:keepNext w:val="0"/>
              <w:keepLines w:val="0"/>
              <w:pageBreakBefore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color w:val="auto"/>
                <w:kern w:val="0"/>
                <w:sz w:val="21"/>
                <w:szCs w:val="21"/>
                <w:highlight w:val="none"/>
              </w:rPr>
            </w:pPr>
            <w:r>
              <w:rPr>
                <w:rFonts w:hint="eastAsia" w:ascii="Times New Roman" w:hAnsi="Times New Roman" w:eastAsia="宋体" w:cs="Times New Roman"/>
                <w:b/>
                <w:bCs/>
                <w:color w:val="auto"/>
                <w:kern w:val="0"/>
                <w:sz w:val="21"/>
                <w:szCs w:val="21"/>
                <w:highlight w:val="none"/>
                <w:lang w:val="en-US" w:eastAsia="zh-CN"/>
              </w:rPr>
              <w:t>声环境保护目标名称</w:t>
            </w:r>
          </w:p>
        </w:tc>
        <w:tc>
          <w:tcPr>
            <w:tcW w:w="544" w:type="pct"/>
            <w:tcBorders>
              <w:top w:val="single" w:color="auto" w:sz="12" w:space="0"/>
            </w:tcBorders>
            <w:noWrap w:val="0"/>
            <w:vAlign w:val="center"/>
          </w:tcPr>
          <w:p w14:paraId="08833159">
            <w:pPr>
              <w:keepNext w:val="0"/>
              <w:keepLines w:val="0"/>
              <w:pageBreakBefore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color w:val="auto"/>
                <w:kern w:val="0"/>
                <w:sz w:val="21"/>
                <w:szCs w:val="21"/>
                <w:highlight w:val="none"/>
              </w:rPr>
            </w:pPr>
            <w:r>
              <w:rPr>
                <w:rFonts w:hint="eastAsia" w:ascii="Times New Roman" w:hAnsi="Times New Roman" w:eastAsia="宋体" w:cs="Times New Roman"/>
                <w:b/>
                <w:bCs/>
                <w:color w:val="auto"/>
                <w:kern w:val="0"/>
                <w:sz w:val="21"/>
                <w:szCs w:val="21"/>
                <w:highlight w:val="none"/>
                <w:lang w:val="en-US" w:eastAsia="zh-CN"/>
              </w:rPr>
              <w:t>预测点与声源高差</w:t>
            </w:r>
            <w:r>
              <w:rPr>
                <w:rFonts w:hint="default" w:ascii="Times New Roman" w:hAnsi="Times New Roman" w:eastAsia="宋体" w:cs="Times New Roman"/>
                <w:b/>
                <w:bCs/>
                <w:color w:val="auto"/>
                <w:kern w:val="0"/>
                <w:sz w:val="21"/>
                <w:szCs w:val="21"/>
                <w:highlight w:val="none"/>
                <w:lang w:val="en-US" w:eastAsia="zh-CN"/>
              </w:rPr>
              <w:t>/m</w:t>
            </w:r>
          </w:p>
        </w:tc>
        <w:tc>
          <w:tcPr>
            <w:tcW w:w="421" w:type="pct"/>
            <w:tcBorders>
              <w:top w:val="single" w:color="auto" w:sz="12" w:space="0"/>
            </w:tcBorders>
            <w:noWrap w:val="0"/>
            <w:vAlign w:val="center"/>
          </w:tcPr>
          <w:p w14:paraId="4F441087">
            <w:pPr>
              <w:keepNext w:val="0"/>
              <w:keepLines w:val="0"/>
              <w:pageBreakBefore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功能区</w:t>
            </w:r>
          </w:p>
        </w:tc>
        <w:tc>
          <w:tcPr>
            <w:tcW w:w="398" w:type="pct"/>
            <w:tcBorders>
              <w:top w:val="single" w:color="auto" w:sz="12" w:space="0"/>
            </w:tcBorders>
            <w:noWrap w:val="0"/>
            <w:vAlign w:val="center"/>
          </w:tcPr>
          <w:p w14:paraId="03A02C70">
            <w:pPr>
              <w:keepNext w:val="0"/>
              <w:keepLines w:val="0"/>
              <w:pageBreakBefore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时段</w:t>
            </w:r>
          </w:p>
        </w:tc>
        <w:tc>
          <w:tcPr>
            <w:tcW w:w="454" w:type="pct"/>
            <w:tcBorders>
              <w:top w:val="single" w:color="auto" w:sz="12" w:space="0"/>
            </w:tcBorders>
            <w:noWrap w:val="0"/>
            <w:vAlign w:val="center"/>
          </w:tcPr>
          <w:p w14:paraId="2CA2CACE">
            <w:pPr>
              <w:keepNext w:val="0"/>
              <w:keepLines w:val="0"/>
              <w:pageBreakBefore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标准值</w:t>
            </w:r>
          </w:p>
        </w:tc>
        <w:tc>
          <w:tcPr>
            <w:tcW w:w="454" w:type="pct"/>
            <w:tcBorders>
              <w:top w:val="single" w:color="auto" w:sz="12" w:space="0"/>
            </w:tcBorders>
            <w:noWrap w:val="0"/>
            <w:vAlign w:val="center"/>
          </w:tcPr>
          <w:p w14:paraId="3085DE8A">
            <w:pPr>
              <w:keepNext w:val="0"/>
              <w:keepLines w:val="0"/>
              <w:pageBreakBefore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rPr>
              <w:t>背景值</w:t>
            </w:r>
          </w:p>
        </w:tc>
        <w:tc>
          <w:tcPr>
            <w:tcW w:w="454" w:type="pct"/>
            <w:tcBorders>
              <w:top w:val="single" w:color="auto" w:sz="12" w:space="0"/>
            </w:tcBorders>
            <w:noWrap w:val="0"/>
            <w:vAlign w:val="center"/>
          </w:tcPr>
          <w:p w14:paraId="7BD05AF9">
            <w:pPr>
              <w:keepNext w:val="0"/>
              <w:keepLines w:val="0"/>
              <w:pageBreakBefore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rPr>
              <w:t>贡献值</w:t>
            </w:r>
          </w:p>
        </w:tc>
        <w:tc>
          <w:tcPr>
            <w:tcW w:w="454" w:type="pct"/>
            <w:tcBorders>
              <w:top w:val="single" w:color="auto" w:sz="12" w:space="0"/>
            </w:tcBorders>
            <w:noWrap w:val="0"/>
            <w:vAlign w:val="center"/>
          </w:tcPr>
          <w:p w14:paraId="2EDE7D4C">
            <w:pPr>
              <w:keepNext w:val="0"/>
              <w:keepLines w:val="0"/>
              <w:pageBreakBefore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baseline"/>
              <w:rPr>
                <w:rFonts w:hint="eastAsia"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预测值</w:t>
            </w:r>
          </w:p>
        </w:tc>
        <w:tc>
          <w:tcPr>
            <w:tcW w:w="454" w:type="pct"/>
            <w:tcBorders>
              <w:top w:val="single" w:color="auto" w:sz="12" w:space="0"/>
            </w:tcBorders>
            <w:noWrap w:val="0"/>
            <w:vAlign w:val="center"/>
          </w:tcPr>
          <w:p w14:paraId="7655923D">
            <w:pPr>
              <w:keepNext w:val="0"/>
              <w:keepLines w:val="0"/>
              <w:pageBreakBefore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较现状增量</w:t>
            </w:r>
          </w:p>
        </w:tc>
        <w:tc>
          <w:tcPr>
            <w:tcW w:w="455" w:type="pct"/>
            <w:tcBorders>
              <w:top w:val="single" w:color="auto" w:sz="12" w:space="0"/>
              <w:right w:val="nil"/>
            </w:tcBorders>
            <w:noWrap w:val="0"/>
            <w:vAlign w:val="center"/>
          </w:tcPr>
          <w:p w14:paraId="54F4371F">
            <w:pPr>
              <w:keepNext w:val="0"/>
              <w:keepLines w:val="0"/>
              <w:pageBreakBefore w:val="0"/>
              <w:suppressLineNumbers w:val="0"/>
              <w:kinsoku/>
              <w:wordWrap/>
              <w:overflowPunct w:val="0"/>
              <w:topLinePunct w:val="0"/>
              <w:autoSpaceDE/>
              <w:autoSpaceDN/>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超标量</w:t>
            </w:r>
          </w:p>
        </w:tc>
      </w:tr>
      <w:tr w14:paraId="1F52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7" w:type="pct"/>
            <w:vMerge w:val="restart"/>
            <w:tcBorders>
              <w:left w:val="nil"/>
            </w:tcBorders>
            <w:noWrap w:val="0"/>
            <w:vAlign w:val="center"/>
          </w:tcPr>
          <w:p w14:paraId="324F78D0">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w:t>
            </w:r>
          </w:p>
        </w:tc>
        <w:tc>
          <w:tcPr>
            <w:tcW w:w="618" w:type="pct"/>
            <w:vMerge w:val="restart"/>
            <w:noWrap w:val="0"/>
            <w:vAlign w:val="center"/>
          </w:tcPr>
          <w:p w14:paraId="00F4F7AF">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highlight w:val="none"/>
              </w:rPr>
              <w:t>陶郢孜</w:t>
            </w:r>
          </w:p>
        </w:tc>
        <w:tc>
          <w:tcPr>
            <w:tcW w:w="544" w:type="pct"/>
            <w:vMerge w:val="restart"/>
            <w:noWrap w:val="0"/>
            <w:vAlign w:val="center"/>
          </w:tcPr>
          <w:p w14:paraId="710E8571">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1.5</w:t>
            </w:r>
          </w:p>
        </w:tc>
        <w:tc>
          <w:tcPr>
            <w:tcW w:w="421" w:type="pct"/>
            <w:noWrap w:val="0"/>
            <w:vAlign w:val="center"/>
          </w:tcPr>
          <w:p w14:paraId="542EEE28">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w:t>
            </w:r>
          </w:p>
        </w:tc>
        <w:tc>
          <w:tcPr>
            <w:tcW w:w="398" w:type="pct"/>
            <w:noWrap w:val="0"/>
            <w:vAlign w:val="center"/>
          </w:tcPr>
          <w:p w14:paraId="3900DA21">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昼间</w:t>
            </w:r>
          </w:p>
        </w:tc>
        <w:tc>
          <w:tcPr>
            <w:tcW w:w="454" w:type="pct"/>
            <w:noWrap w:val="0"/>
            <w:vAlign w:val="center"/>
          </w:tcPr>
          <w:p w14:paraId="5D6D7961">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60</w:t>
            </w:r>
          </w:p>
        </w:tc>
        <w:tc>
          <w:tcPr>
            <w:tcW w:w="454" w:type="pct"/>
            <w:noWrap w:val="0"/>
            <w:vAlign w:val="center"/>
          </w:tcPr>
          <w:p w14:paraId="3DADFE02">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51.4</w:t>
            </w:r>
          </w:p>
        </w:tc>
        <w:tc>
          <w:tcPr>
            <w:tcW w:w="454" w:type="pct"/>
            <w:noWrap w:val="0"/>
            <w:vAlign w:val="center"/>
          </w:tcPr>
          <w:p w14:paraId="485C1337">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5</w:t>
            </w:r>
            <w:r>
              <w:rPr>
                <w:rFonts w:hint="eastAsia" w:ascii="Times New Roman" w:hAnsi="Times New Roman" w:cs="Times New Roman"/>
                <w:color w:val="auto"/>
                <w:kern w:val="0"/>
                <w:sz w:val="21"/>
                <w:szCs w:val="21"/>
                <w:highlight w:val="none"/>
                <w:lang w:val="en-US" w:eastAsia="zh-CN"/>
              </w:rPr>
              <w:t>5</w:t>
            </w:r>
            <w:r>
              <w:rPr>
                <w:rFonts w:hint="eastAsia" w:ascii="Times New Roman" w:hAnsi="Times New Roman" w:eastAsia="宋体" w:cs="Times New Roman"/>
                <w:color w:val="auto"/>
                <w:kern w:val="0"/>
                <w:sz w:val="21"/>
                <w:szCs w:val="21"/>
                <w:highlight w:val="none"/>
                <w:lang w:val="en-US" w:eastAsia="zh-CN"/>
              </w:rPr>
              <w:t>.1</w:t>
            </w:r>
          </w:p>
        </w:tc>
        <w:tc>
          <w:tcPr>
            <w:tcW w:w="454" w:type="pct"/>
            <w:noWrap w:val="0"/>
            <w:vAlign w:val="center"/>
          </w:tcPr>
          <w:p w14:paraId="3AAFE548">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5</w:t>
            </w:r>
            <w:r>
              <w:rPr>
                <w:rFonts w:hint="eastAsia" w:ascii="Times New Roman" w:hAnsi="Times New Roman" w:cs="Times New Roman"/>
                <w:color w:val="auto"/>
                <w:kern w:val="0"/>
                <w:sz w:val="21"/>
                <w:szCs w:val="21"/>
                <w:highlight w:val="none"/>
                <w:lang w:val="en-US" w:eastAsia="zh-CN"/>
              </w:rPr>
              <w:t>5</w:t>
            </w:r>
            <w:r>
              <w:rPr>
                <w:rFonts w:hint="eastAsia" w:ascii="Times New Roman" w:hAnsi="Times New Roman" w:eastAsia="宋体" w:cs="Times New Roman"/>
                <w:color w:val="auto"/>
                <w:kern w:val="0"/>
                <w:sz w:val="21"/>
                <w:szCs w:val="21"/>
                <w:highlight w:val="none"/>
                <w:lang w:val="en-US" w:eastAsia="zh-CN"/>
              </w:rPr>
              <w:t>.9</w:t>
            </w:r>
          </w:p>
        </w:tc>
        <w:tc>
          <w:tcPr>
            <w:tcW w:w="454" w:type="pct"/>
            <w:noWrap w:val="0"/>
            <w:vAlign w:val="center"/>
          </w:tcPr>
          <w:p w14:paraId="5FE2C5CB">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4.5</w:t>
            </w:r>
          </w:p>
        </w:tc>
        <w:tc>
          <w:tcPr>
            <w:tcW w:w="455" w:type="pct"/>
            <w:tcBorders>
              <w:right w:val="nil"/>
            </w:tcBorders>
            <w:noWrap w:val="0"/>
            <w:vAlign w:val="center"/>
          </w:tcPr>
          <w:p w14:paraId="6430B99B">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w:t>
            </w:r>
          </w:p>
        </w:tc>
      </w:tr>
      <w:tr w14:paraId="41DE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7" w:type="pct"/>
            <w:vMerge w:val="continue"/>
            <w:tcBorders>
              <w:left w:val="nil"/>
            </w:tcBorders>
            <w:noWrap w:val="0"/>
            <w:vAlign w:val="center"/>
          </w:tcPr>
          <w:p w14:paraId="4063C515">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618" w:type="pct"/>
            <w:vMerge w:val="continue"/>
            <w:noWrap w:val="0"/>
            <w:vAlign w:val="center"/>
          </w:tcPr>
          <w:p w14:paraId="5727FEB0">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544" w:type="pct"/>
            <w:vMerge w:val="continue"/>
            <w:noWrap w:val="0"/>
            <w:vAlign w:val="center"/>
          </w:tcPr>
          <w:p w14:paraId="45A1FF1C">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421" w:type="pct"/>
            <w:noWrap w:val="0"/>
            <w:vAlign w:val="center"/>
          </w:tcPr>
          <w:p w14:paraId="60E34B56">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w:t>
            </w:r>
          </w:p>
        </w:tc>
        <w:tc>
          <w:tcPr>
            <w:tcW w:w="398" w:type="pct"/>
            <w:noWrap w:val="0"/>
            <w:vAlign w:val="center"/>
          </w:tcPr>
          <w:p w14:paraId="689E39B9">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夜间</w:t>
            </w:r>
          </w:p>
        </w:tc>
        <w:tc>
          <w:tcPr>
            <w:tcW w:w="454" w:type="pct"/>
            <w:noWrap w:val="0"/>
            <w:vAlign w:val="center"/>
          </w:tcPr>
          <w:p w14:paraId="20E20C08">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50</w:t>
            </w:r>
          </w:p>
        </w:tc>
        <w:tc>
          <w:tcPr>
            <w:tcW w:w="454" w:type="pct"/>
            <w:noWrap w:val="0"/>
            <w:vAlign w:val="center"/>
          </w:tcPr>
          <w:p w14:paraId="7C82B5BF">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kern w:val="0"/>
                <w:sz w:val="21"/>
                <w:szCs w:val="21"/>
                <w:highlight w:val="none"/>
                <w:lang w:val="en-US" w:eastAsia="zh-CN"/>
              </w:rPr>
              <w:t>41.8</w:t>
            </w:r>
          </w:p>
        </w:tc>
        <w:tc>
          <w:tcPr>
            <w:tcW w:w="454" w:type="pct"/>
            <w:noWrap w:val="0"/>
            <w:vAlign w:val="center"/>
          </w:tcPr>
          <w:p w14:paraId="150822E6">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w:t>
            </w:r>
          </w:p>
        </w:tc>
        <w:tc>
          <w:tcPr>
            <w:tcW w:w="454" w:type="pct"/>
            <w:noWrap w:val="0"/>
            <w:vAlign w:val="center"/>
          </w:tcPr>
          <w:p w14:paraId="00AB4C93">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w:t>
            </w:r>
          </w:p>
        </w:tc>
        <w:tc>
          <w:tcPr>
            <w:tcW w:w="454" w:type="pct"/>
            <w:noWrap w:val="0"/>
            <w:vAlign w:val="center"/>
          </w:tcPr>
          <w:p w14:paraId="4FD7A23A">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w:t>
            </w:r>
          </w:p>
        </w:tc>
        <w:tc>
          <w:tcPr>
            <w:tcW w:w="455" w:type="pct"/>
            <w:tcBorders>
              <w:right w:val="nil"/>
            </w:tcBorders>
            <w:noWrap w:val="0"/>
            <w:vAlign w:val="center"/>
          </w:tcPr>
          <w:p w14:paraId="7A450600">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w:t>
            </w:r>
          </w:p>
        </w:tc>
      </w:tr>
      <w:tr w14:paraId="13F8F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7" w:type="pct"/>
            <w:vMerge w:val="restart"/>
            <w:tcBorders>
              <w:left w:val="nil"/>
            </w:tcBorders>
            <w:noWrap w:val="0"/>
            <w:vAlign w:val="center"/>
          </w:tcPr>
          <w:p w14:paraId="4B293091">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w:t>
            </w:r>
          </w:p>
        </w:tc>
        <w:tc>
          <w:tcPr>
            <w:tcW w:w="618" w:type="pct"/>
            <w:vMerge w:val="restart"/>
            <w:noWrap w:val="0"/>
            <w:vAlign w:val="center"/>
          </w:tcPr>
          <w:p w14:paraId="4E4C2E7C">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cs="Times New Roman"/>
                <w:color w:val="auto"/>
                <w:highlight w:val="none"/>
              </w:rPr>
              <w:t>小孙家岗</w:t>
            </w:r>
          </w:p>
        </w:tc>
        <w:tc>
          <w:tcPr>
            <w:tcW w:w="544" w:type="pct"/>
            <w:vMerge w:val="restart"/>
            <w:noWrap w:val="0"/>
            <w:vAlign w:val="center"/>
          </w:tcPr>
          <w:p w14:paraId="21546102">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1.5</w:t>
            </w:r>
          </w:p>
        </w:tc>
        <w:tc>
          <w:tcPr>
            <w:tcW w:w="421" w:type="pct"/>
            <w:noWrap w:val="0"/>
            <w:vAlign w:val="center"/>
          </w:tcPr>
          <w:p w14:paraId="7144856B">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w:t>
            </w:r>
          </w:p>
        </w:tc>
        <w:tc>
          <w:tcPr>
            <w:tcW w:w="398" w:type="pct"/>
            <w:noWrap w:val="0"/>
            <w:vAlign w:val="center"/>
          </w:tcPr>
          <w:p w14:paraId="52D70F1D">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昼间</w:t>
            </w:r>
          </w:p>
        </w:tc>
        <w:tc>
          <w:tcPr>
            <w:tcW w:w="454" w:type="pct"/>
            <w:noWrap w:val="0"/>
            <w:vAlign w:val="center"/>
          </w:tcPr>
          <w:p w14:paraId="1946D438">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60</w:t>
            </w:r>
          </w:p>
        </w:tc>
        <w:tc>
          <w:tcPr>
            <w:tcW w:w="454" w:type="pct"/>
            <w:noWrap w:val="0"/>
            <w:vAlign w:val="center"/>
          </w:tcPr>
          <w:p w14:paraId="75CE27C3">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rPr>
              <w:t>49.8</w:t>
            </w:r>
          </w:p>
        </w:tc>
        <w:tc>
          <w:tcPr>
            <w:tcW w:w="454" w:type="pct"/>
            <w:noWrap w:val="0"/>
            <w:vAlign w:val="center"/>
          </w:tcPr>
          <w:p w14:paraId="32A07170">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54.2</w:t>
            </w:r>
          </w:p>
        </w:tc>
        <w:tc>
          <w:tcPr>
            <w:tcW w:w="454" w:type="pct"/>
            <w:noWrap w:val="0"/>
            <w:vAlign w:val="center"/>
          </w:tcPr>
          <w:p w14:paraId="02F349B3">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5</w:t>
            </w:r>
            <w:r>
              <w:rPr>
                <w:rFonts w:hint="eastAsia" w:cs="Times New Roman"/>
                <w:color w:val="auto"/>
                <w:kern w:val="0"/>
                <w:sz w:val="21"/>
                <w:szCs w:val="21"/>
                <w:highlight w:val="none"/>
                <w:lang w:val="en-US" w:eastAsia="zh-CN"/>
              </w:rPr>
              <w:t>4</w:t>
            </w:r>
            <w:r>
              <w:rPr>
                <w:rFonts w:hint="eastAsia" w:ascii="Times New Roman" w:hAnsi="Times New Roman" w:eastAsia="宋体" w:cs="Times New Roman"/>
                <w:color w:val="auto"/>
                <w:kern w:val="0"/>
                <w:sz w:val="21"/>
                <w:szCs w:val="21"/>
                <w:highlight w:val="none"/>
                <w:lang w:val="en-US" w:eastAsia="zh-CN"/>
              </w:rPr>
              <w:t>.</w:t>
            </w:r>
            <w:r>
              <w:rPr>
                <w:rFonts w:hint="eastAsia" w:cs="Times New Roman"/>
                <w:color w:val="auto"/>
                <w:kern w:val="0"/>
                <w:sz w:val="21"/>
                <w:szCs w:val="21"/>
                <w:highlight w:val="none"/>
                <w:lang w:val="en-US" w:eastAsia="zh-CN"/>
              </w:rPr>
              <w:t>6</w:t>
            </w:r>
          </w:p>
        </w:tc>
        <w:tc>
          <w:tcPr>
            <w:tcW w:w="454" w:type="pct"/>
            <w:noWrap w:val="0"/>
            <w:vAlign w:val="center"/>
          </w:tcPr>
          <w:p w14:paraId="1CE4113E">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4.8</w:t>
            </w:r>
          </w:p>
        </w:tc>
        <w:tc>
          <w:tcPr>
            <w:tcW w:w="455" w:type="pct"/>
            <w:tcBorders>
              <w:right w:val="nil"/>
            </w:tcBorders>
            <w:noWrap w:val="0"/>
            <w:vAlign w:val="center"/>
          </w:tcPr>
          <w:p w14:paraId="41DB0ECF">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w:t>
            </w:r>
          </w:p>
        </w:tc>
      </w:tr>
      <w:tr w14:paraId="4F992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7" w:type="pct"/>
            <w:vMerge w:val="continue"/>
            <w:tcBorders>
              <w:left w:val="nil"/>
            </w:tcBorders>
            <w:noWrap w:val="0"/>
            <w:vAlign w:val="center"/>
          </w:tcPr>
          <w:p w14:paraId="40153D86">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618" w:type="pct"/>
            <w:vMerge w:val="continue"/>
            <w:noWrap w:val="0"/>
            <w:vAlign w:val="center"/>
          </w:tcPr>
          <w:p w14:paraId="528B4A6E">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544" w:type="pct"/>
            <w:vMerge w:val="continue"/>
            <w:noWrap w:val="0"/>
            <w:vAlign w:val="center"/>
          </w:tcPr>
          <w:p w14:paraId="442E9E3E">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p>
        </w:tc>
        <w:tc>
          <w:tcPr>
            <w:tcW w:w="421" w:type="pct"/>
            <w:noWrap w:val="0"/>
            <w:vAlign w:val="center"/>
          </w:tcPr>
          <w:p w14:paraId="1B00C6D8">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2</w:t>
            </w:r>
          </w:p>
        </w:tc>
        <w:tc>
          <w:tcPr>
            <w:tcW w:w="398" w:type="pct"/>
            <w:noWrap w:val="0"/>
            <w:vAlign w:val="center"/>
          </w:tcPr>
          <w:p w14:paraId="515EF1F4">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夜间</w:t>
            </w:r>
          </w:p>
        </w:tc>
        <w:tc>
          <w:tcPr>
            <w:tcW w:w="454" w:type="pct"/>
            <w:noWrap w:val="0"/>
            <w:vAlign w:val="center"/>
          </w:tcPr>
          <w:p w14:paraId="41B9A533">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50</w:t>
            </w:r>
          </w:p>
        </w:tc>
        <w:tc>
          <w:tcPr>
            <w:tcW w:w="454" w:type="pct"/>
            <w:noWrap w:val="0"/>
            <w:vAlign w:val="center"/>
          </w:tcPr>
          <w:p w14:paraId="5EFE4192">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color w:val="auto"/>
                <w:kern w:val="0"/>
                <w:sz w:val="21"/>
                <w:szCs w:val="21"/>
                <w:highlight w:val="none"/>
                <w:lang w:val="en-US" w:eastAsia="zh-CN"/>
              </w:rPr>
              <w:t>41.0</w:t>
            </w:r>
          </w:p>
        </w:tc>
        <w:tc>
          <w:tcPr>
            <w:tcW w:w="454" w:type="pct"/>
            <w:noWrap w:val="0"/>
            <w:vAlign w:val="center"/>
          </w:tcPr>
          <w:p w14:paraId="65C89B46">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w:t>
            </w:r>
          </w:p>
        </w:tc>
        <w:tc>
          <w:tcPr>
            <w:tcW w:w="454" w:type="pct"/>
            <w:noWrap w:val="0"/>
            <w:vAlign w:val="center"/>
          </w:tcPr>
          <w:p w14:paraId="0F11CBF8">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w:t>
            </w:r>
          </w:p>
        </w:tc>
        <w:tc>
          <w:tcPr>
            <w:tcW w:w="454" w:type="pct"/>
            <w:noWrap w:val="0"/>
            <w:vAlign w:val="center"/>
          </w:tcPr>
          <w:p w14:paraId="6E2531EF">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w:t>
            </w:r>
          </w:p>
        </w:tc>
        <w:tc>
          <w:tcPr>
            <w:tcW w:w="455" w:type="pct"/>
            <w:tcBorders>
              <w:right w:val="nil"/>
            </w:tcBorders>
            <w:noWrap w:val="0"/>
            <w:vAlign w:val="center"/>
          </w:tcPr>
          <w:p w14:paraId="0B7D192A">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0</w:t>
            </w:r>
          </w:p>
        </w:tc>
      </w:tr>
    </w:tbl>
    <w:p w14:paraId="6B4FAC39">
      <w:pPr>
        <w:widowControl w:val="0"/>
        <w:bidi w:val="0"/>
        <w:adjustRightInd w:val="0"/>
        <w:snapToGrid w:val="0"/>
        <w:spacing w:line="360" w:lineRule="auto"/>
        <w:ind w:firstLine="480" w:firstLineChars="200"/>
        <w:jc w:val="both"/>
        <w:rPr>
          <w:rFonts w:hint="default" w:ascii="Times New Roman" w:hAnsi="Times New Roman" w:eastAsia="宋体" w:cs="Times New Roman"/>
          <w:color w:val="auto"/>
          <w:kern w:val="2"/>
          <w:sz w:val="24"/>
          <w:szCs w:val="21"/>
          <w:highlight w:val="none"/>
          <w:lang w:val="zh-CN" w:eastAsia="zh-CN" w:bidi="ar-SA"/>
        </w:rPr>
      </w:pPr>
      <w:r>
        <w:rPr>
          <w:rFonts w:hint="eastAsia" w:ascii="Times New Roman" w:hAnsi="Times New Roman" w:eastAsia="宋体" w:cs="Times New Roman"/>
          <w:color w:val="auto"/>
          <w:kern w:val="2"/>
          <w:sz w:val="24"/>
          <w:szCs w:val="24"/>
          <w:highlight w:val="none"/>
          <w:lang w:val="en-US" w:eastAsia="zh-CN" w:bidi="ar-SA"/>
        </w:rPr>
        <w:t>由上表可知，</w:t>
      </w:r>
      <w:r>
        <w:rPr>
          <w:rFonts w:hint="eastAsia" w:ascii="Times New Roman" w:hAnsi="Times New Roman" w:eastAsia="宋体" w:cs="Times New Roman"/>
          <w:color w:val="auto"/>
          <w:kern w:val="2"/>
          <w:sz w:val="24"/>
          <w:szCs w:val="21"/>
          <w:highlight w:val="none"/>
          <w:lang w:val="en-US" w:eastAsia="zh-CN" w:bidi="ar-SA"/>
        </w:rPr>
        <w:t>本项目</w:t>
      </w:r>
      <w:r>
        <w:rPr>
          <w:rFonts w:hint="default" w:ascii="Times New Roman" w:hAnsi="Times New Roman" w:eastAsia="宋体" w:cs="Times New Roman"/>
          <w:color w:val="auto"/>
          <w:kern w:val="2"/>
          <w:sz w:val="24"/>
          <w:szCs w:val="21"/>
          <w:highlight w:val="none"/>
          <w:lang w:val="en-US" w:eastAsia="zh-CN" w:bidi="ar-SA"/>
        </w:rPr>
        <w:t>夜间不运输，</w:t>
      </w:r>
      <w:r>
        <w:rPr>
          <w:rFonts w:hint="eastAsia" w:ascii="Times New Roman" w:hAnsi="Times New Roman" w:eastAsia="宋体" w:cs="Times New Roman"/>
          <w:color w:val="auto"/>
          <w:kern w:val="2"/>
          <w:sz w:val="24"/>
          <w:szCs w:val="21"/>
          <w:highlight w:val="none"/>
          <w:lang w:val="en-US" w:eastAsia="zh-CN" w:bidi="ar-SA"/>
        </w:rPr>
        <w:t>评价范围内的声环境敏感点可满足《声环境质量标准》（GB3096-2008）2类区标准</w:t>
      </w:r>
      <w:r>
        <w:rPr>
          <w:rFonts w:hint="default" w:ascii="Times New Roman" w:hAnsi="Times New Roman" w:eastAsia="宋体" w:cs="Times New Roman"/>
          <w:color w:val="auto"/>
          <w:kern w:val="2"/>
          <w:sz w:val="24"/>
          <w:szCs w:val="21"/>
          <w:highlight w:val="none"/>
          <w:lang w:val="en-US" w:eastAsia="zh-CN" w:bidi="ar-SA"/>
        </w:rPr>
        <w:t>。</w:t>
      </w:r>
    </w:p>
    <w:p w14:paraId="14DBC0FD">
      <w:pPr>
        <w:spacing w:line="360" w:lineRule="auto"/>
        <w:ind w:firstLine="480" w:firstLineChars="200"/>
        <w:jc w:val="left"/>
        <w:rPr>
          <w:color w:val="auto"/>
          <w:sz w:val="24"/>
          <w:szCs w:val="20"/>
        </w:rPr>
      </w:pPr>
      <w:r>
        <w:rPr>
          <w:color w:val="auto"/>
          <w:sz w:val="24"/>
          <w:szCs w:val="20"/>
        </w:rPr>
        <w:t>本评价要求</w:t>
      </w:r>
      <w:r>
        <w:rPr>
          <w:rFonts w:hint="eastAsia"/>
          <w:color w:val="auto"/>
          <w:sz w:val="24"/>
          <w:szCs w:val="20"/>
        </w:rPr>
        <w:t>建设单位对进出港</w:t>
      </w:r>
      <w:r>
        <w:rPr>
          <w:color w:val="auto"/>
          <w:sz w:val="24"/>
          <w:szCs w:val="20"/>
        </w:rPr>
        <w:t>运输车辆</w:t>
      </w:r>
      <w:r>
        <w:rPr>
          <w:rFonts w:hint="eastAsia"/>
          <w:color w:val="auto"/>
          <w:sz w:val="24"/>
          <w:szCs w:val="20"/>
        </w:rPr>
        <w:t>所属单位及驾驶员加强宣传教育；</w:t>
      </w:r>
      <w:r>
        <w:rPr>
          <w:color w:val="auto"/>
          <w:sz w:val="24"/>
          <w:szCs w:val="20"/>
        </w:rPr>
        <w:t>避开午休和夜间运输，</w:t>
      </w:r>
      <w:r>
        <w:rPr>
          <w:rFonts w:hint="eastAsia"/>
          <w:color w:val="auto"/>
          <w:sz w:val="24"/>
          <w:szCs w:val="20"/>
        </w:rPr>
        <w:t>按照道路限速行驶</w:t>
      </w:r>
      <w:r>
        <w:rPr>
          <w:color w:val="auto"/>
          <w:sz w:val="24"/>
          <w:szCs w:val="20"/>
        </w:rPr>
        <w:t>，尽可能</w:t>
      </w:r>
      <w:r>
        <w:rPr>
          <w:rFonts w:hint="eastAsia"/>
          <w:color w:val="auto"/>
          <w:sz w:val="24"/>
          <w:szCs w:val="20"/>
          <w:lang w:eastAsia="zh-CN"/>
        </w:rPr>
        <w:t>地</w:t>
      </w:r>
      <w:r>
        <w:rPr>
          <w:color w:val="auto"/>
          <w:sz w:val="24"/>
          <w:szCs w:val="20"/>
        </w:rPr>
        <w:t>降低对道路运输带来的不良环境影响</w:t>
      </w:r>
      <w:r>
        <w:rPr>
          <w:rFonts w:hint="eastAsia"/>
          <w:color w:val="auto"/>
          <w:sz w:val="24"/>
          <w:szCs w:val="20"/>
        </w:rPr>
        <w:t>，建设单位拟</w:t>
      </w:r>
      <w:r>
        <w:rPr>
          <w:rFonts w:ascii="宋体" w:hAnsi="宋体"/>
          <w:color w:val="auto"/>
          <w:sz w:val="24"/>
          <w:szCs w:val="24"/>
        </w:rPr>
        <w:t>加强对产噪设备的维修保养，合理选择运输路线，在途经村庄时，减速慢行</w:t>
      </w:r>
      <w:r>
        <w:rPr>
          <w:color w:val="auto"/>
          <w:sz w:val="24"/>
          <w:szCs w:val="20"/>
        </w:rPr>
        <w:t>。</w:t>
      </w:r>
      <w:bookmarkEnd w:id="144"/>
    </w:p>
    <w:p w14:paraId="30D4FFD5">
      <w:pPr>
        <w:pStyle w:val="5"/>
        <w:numPr>
          <w:ilvl w:val="0"/>
          <w:numId w:val="0"/>
        </w:numPr>
        <w:rPr>
          <w:color w:val="auto"/>
        </w:rPr>
      </w:pPr>
      <w:r>
        <w:rPr>
          <w:rFonts w:hint="eastAsia"/>
          <w:color w:val="auto"/>
        </w:rPr>
        <w:t>5.2.3.5自查表</w:t>
      </w:r>
    </w:p>
    <w:p w14:paraId="30289966">
      <w:pPr>
        <w:spacing w:line="400" w:lineRule="exact"/>
        <w:jc w:val="center"/>
        <w:rPr>
          <w:rFonts w:eastAsia="黑体"/>
          <w:color w:val="auto"/>
          <w:sz w:val="24"/>
        </w:rPr>
      </w:pPr>
      <w:r>
        <w:rPr>
          <w:rFonts w:hint="eastAsia" w:eastAsia="黑体"/>
          <w:color w:val="auto"/>
          <w:sz w:val="24"/>
        </w:rPr>
        <w:t>表5.2-</w:t>
      </w:r>
      <w:r>
        <w:rPr>
          <w:rFonts w:hint="eastAsia" w:eastAsia="黑体"/>
          <w:color w:val="auto"/>
          <w:sz w:val="24"/>
          <w:lang w:val="en-US" w:eastAsia="zh-CN"/>
        </w:rPr>
        <w:t>17</w:t>
      </w:r>
      <w:r>
        <w:rPr>
          <w:rFonts w:hint="eastAsia" w:eastAsia="黑体"/>
          <w:color w:val="auto"/>
          <w:sz w:val="24"/>
        </w:rPr>
        <w:t xml:space="preserve">  声环境影响评价自查表</w:t>
      </w:r>
    </w:p>
    <w:tbl>
      <w:tblPr>
        <w:tblStyle w:val="53"/>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010"/>
        <w:gridCol w:w="1591"/>
        <w:gridCol w:w="934"/>
        <w:gridCol w:w="555"/>
        <w:gridCol w:w="555"/>
        <w:gridCol w:w="1079"/>
        <w:gridCol w:w="686"/>
        <w:gridCol w:w="450"/>
        <w:gridCol w:w="555"/>
        <w:gridCol w:w="512"/>
        <w:gridCol w:w="1143"/>
      </w:tblGrid>
      <w:tr w14:paraId="6B0CF2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6" w:hRule="atLeast"/>
        </w:trPr>
        <w:tc>
          <w:tcPr>
            <w:tcW w:w="2601" w:type="dxa"/>
            <w:gridSpan w:val="2"/>
            <w:noWrap w:val="0"/>
            <w:vAlign w:val="center"/>
          </w:tcPr>
          <w:p w14:paraId="200C7E3D">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lang w:eastAsia="en-US"/>
              </w:rPr>
            </w:pPr>
            <w:r>
              <w:rPr>
                <w:rFonts w:hint="default" w:ascii="Times New Roman" w:hAnsi="Times New Roman" w:cs="Times New Roman"/>
                <w:b/>
                <w:bCs/>
                <w:color w:val="auto"/>
                <w:lang w:eastAsia="en-US"/>
              </w:rPr>
              <w:t>工作内容</w:t>
            </w:r>
          </w:p>
        </w:tc>
        <w:tc>
          <w:tcPr>
            <w:tcW w:w="6469" w:type="dxa"/>
            <w:gridSpan w:val="9"/>
            <w:noWrap w:val="0"/>
            <w:vAlign w:val="center"/>
          </w:tcPr>
          <w:p w14:paraId="625F9C52">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lang w:eastAsia="en-US"/>
              </w:rPr>
            </w:pPr>
            <w:r>
              <w:rPr>
                <w:rFonts w:hint="default" w:ascii="Times New Roman" w:hAnsi="Times New Roman" w:cs="Times New Roman"/>
                <w:b/>
                <w:bCs/>
                <w:color w:val="auto"/>
                <w:lang w:eastAsia="en-US"/>
              </w:rPr>
              <w:t>自查项目</w:t>
            </w:r>
          </w:p>
        </w:tc>
      </w:tr>
      <w:tr w14:paraId="384E3B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5" w:hRule="atLeast"/>
        </w:trPr>
        <w:tc>
          <w:tcPr>
            <w:tcW w:w="1010" w:type="dxa"/>
            <w:vMerge w:val="restart"/>
            <w:noWrap w:val="0"/>
            <w:vAlign w:val="center"/>
          </w:tcPr>
          <w:p w14:paraId="2848146C">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评价等级与范围</w:t>
            </w:r>
          </w:p>
        </w:tc>
        <w:tc>
          <w:tcPr>
            <w:tcW w:w="1591" w:type="dxa"/>
            <w:noWrap w:val="0"/>
            <w:vAlign w:val="center"/>
          </w:tcPr>
          <w:p w14:paraId="1461A17F">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评价等级</w:t>
            </w:r>
          </w:p>
        </w:tc>
        <w:tc>
          <w:tcPr>
            <w:tcW w:w="6469" w:type="dxa"/>
            <w:gridSpan w:val="9"/>
            <w:noWrap w:val="0"/>
            <w:vAlign w:val="center"/>
          </w:tcPr>
          <w:p w14:paraId="67D1233B">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一级□</w:t>
            </w:r>
            <w:r>
              <w:rPr>
                <w:rFonts w:hint="eastAsia" w:ascii="Times New Roman" w:hAnsi="Times New Roman" w:cs="Times New Roman"/>
                <w:color w:val="auto"/>
              </w:rPr>
              <w:t xml:space="preserve">     </w:t>
            </w:r>
            <w:r>
              <w:rPr>
                <w:rFonts w:hint="default" w:ascii="Times New Roman" w:hAnsi="Times New Roman" w:cs="Times New Roman"/>
                <w:color w:val="auto"/>
                <w:lang w:eastAsia="en-US"/>
              </w:rPr>
              <w:t>二级</w:t>
            </w:r>
            <w:r>
              <w:rPr>
                <w:rFonts w:hint="default" w:ascii="Times New Roman" w:hAnsi="Times New Roman" w:cs="Times New Roman"/>
                <w:color w:val="auto"/>
                <w:lang w:eastAsia="en-US"/>
              </w:rPr>
              <w:sym w:font="Wingdings 2" w:char="0052"/>
            </w:r>
            <w:r>
              <w:rPr>
                <w:rFonts w:hint="eastAsia" w:ascii="Times New Roman" w:hAnsi="Times New Roman" w:cs="Times New Roman"/>
                <w:color w:val="auto"/>
              </w:rPr>
              <w:t xml:space="preserve">     </w:t>
            </w:r>
            <w:r>
              <w:rPr>
                <w:rFonts w:hint="default" w:ascii="Times New Roman" w:hAnsi="Times New Roman" w:cs="Times New Roman"/>
                <w:color w:val="auto"/>
                <w:lang w:eastAsia="en-US"/>
              </w:rPr>
              <w:t>三级□</w:t>
            </w:r>
          </w:p>
        </w:tc>
      </w:tr>
      <w:tr w14:paraId="6A5F9A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91" w:hRule="atLeast"/>
        </w:trPr>
        <w:tc>
          <w:tcPr>
            <w:tcW w:w="1010" w:type="dxa"/>
            <w:vMerge w:val="continue"/>
            <w:noWrap w:val="0"/>
            <w:vAlign w:val="center"/>
          </w:tcPr>
          <w:p w14:paraId="1283D5F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91" w:type="dxa"/>
            <w:noWrap w:val="0"/>
            <w:vAlign w:val="center"/>
          </w:tcPr>
          <w:p w14:paraId="5C54666C">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评价范围</w:t>
            </w:r>
          </w:p>
        </w:tc>
        <w:tc>
          <w:tcPr>
            <w:tcW w:w="6469" w:type="dxa"/>
            <w:gridSpan w:val="9"/>
            <w:noWrap w:val="0"/>
            <w:vAlign w:val="center"/>
          </w:tcPr>
          <w:p w14:paraId="4E152189">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200 m</w:t>
            </w:r>
            <w:r>
              <w:rPr>
                <w:rFonts w:hint="default" w:ascii="Times New Roman" w:hAnsi="Times New Roman" w:cs="Times New Roman"/>
                <w:color w:val="auto"/>
                <w:lang w:eastAsia="en-US"/>
              </w:rPr>
              <w:sym w:font="Wingdings 2" w:char="0052"/>
            </w:r>
            <w:r>
              <w:rPr>
                <w:rFonts w:hint="eastAsia" w:ascii="Times New Roman" w:hAnsi="Times New Roman" w:cs="Times New Roman"/>
                <w:color w:val="auto"/>
              </w:rPr>
              <w:t xml:space="preserve">     </w:t>
            </w:r>
            <w:r>
              <w:rPr>
                <w:rFonts w:hint="default" w:ascii="Times New Roman" w:hAnsi="Times New Roman" w:cs="Times New Roman"/>
                <w:color w:val="auto"/>
                <w:lang w:eastAsia="en-US"/>
              </w:rPr>
              <w:t>大于200m□</w:t>
            </w:r>
            <w:r>
              <w:rPr>
                <w:rFonts w:hint="eastAsia" w:ascii="Times New Roman" w:hAnsi="Times New Roman" w:cs="Times New Roman"/>
                <w:color w:val="auto"/>
              </w:rPr>
              <w:t xml:space="preserve">     </w:t>
            </w:r>
            <w:r>
              <w:rPr>
                <w:rFonts w:hint="default" w:ascii="Times New Roman" w:hAnsi="Times New Roman" w:cs="Times New Roman"/>
                <w:color w:val="auto"/>
                <w:lang w:eastAsia="en-US"/>
              </w:rPr>
              <w:t>小于200m□</w:t>
            </w:r>
          </w:p>
        </w:tc>
      </w:tr>
      <w:tr w14:paraId="131064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72" w:hRule="atLeast"/>
        </w:trPr>
        <w:tc>
          <w:tcPr>
            <w:tcW w:w="1010" w:type="dxa"/>
            <w:noWrap w:val="0"/>
            <w:vAlign w:val="center"/>
          </w:tcPr>
          <w:p w14:paraId="62F61013">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评价因子</w:t>
            </w:r>
          </w:p>
        </w:tc>
        <w:tc>
          <w:tcPr>
            <w:tcW w:w="1591" w:type="dxa"/>
            <w:noWrap w:val="0"/>
            <w:vAlign w:val="center"/>
          </w:tcPr>
          <w:p w14:paraId="4978A97A">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评价因子</w:t>
            </w:r>
          </w:p>
        </w:tc>
        <w:tc>
          <w:tcPr>
            <w:tcW w:w="2044" w:type="dxa"/>
            <w:gridSpan w:val="3"/>
            <w:noWrap w:val="0"/>
            <w:vAlign w:val="center"/>
          </w:tcPr>
          <w:p w14:paraId="5A82643C">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等效连续A声级</w:t>
            </w:r>
            <w:r>
              <w:rPr>
                <w:rFonts w:hint="default" w:ascii="Times New Roman" w:hAnsi="Times New Roman" w:cs="Times New Roman"/>
                <w:color w:val="auto"/>
                <w:lang w:eastAsia="en-US"/>
              </w:rPr>
              <w:sym w:font="Wingdings 2" w:char="0052"/>
            </w:r>
          </w:p>
        </w:tc>
        <w:tc>
          <w:tcPr>
            <w:tcW w:w="1765" w:type="dxa"/>
            <w:gridSpan w:val="2"/>
            <w:noWrap w:val="0"/>
            <w:vAlign w:val="center"/>
          </w:tcPr>
          <w:p w14:paraId="089422D9">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最大A声级□</w:t>
            </w:r>
          </w:p>
        </w:tc>
        <w:tc>
          <w:tcPr>
            <w:tcW w:w="2660" w:type="dxa"/>
            <w:gridSpan w:val="4"/>
            <w:noWrap w:val="0"/>
            <w:vAlign w:val="center"/>
          </w:tcPr>
          <w:p w14:paraId="10BBD08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计权等效连续感觉噪声级□</w:t>
            </w:r>
          </w:p>
        </w:tc>
      </w:tr>
      <w:tr w14:paraId="5858A6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70" w:hRule="atLeast"/>
        </w:trPr>
        <w:tc>
          <w:tcPr>
            <w:tcW w:w="1010" w:type="dxa"/>
            <w:noWrap w:val="0"/>
            <w:vAlign w:val="center"/>
          </w:tcPr>
          <w:p w14:paraId="07B97A5F">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评价标准</w:t>
            </w:r>
          </w:p>
        </w:tc>
        <w:tc>
          <w:tcPr>
            <w:tcW w:w="1591" w:type="dxa"/>
            <w:noWrap w:val="0"/>
            <w:vAlign w:val="center"/>
          </w:tcPr>
          <w:p w14:paraId="179D57E1">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评价标准</w:t>
            </w:r>
          </w:p>
        </w:tc>
        <w:tc>
          <w:tcPr>
            <w:tcW w:w="2044" w:type="dxa"/>
            <w:gridSpan w:val="3"/>
            <w:noWrap w:val="0"/>
            <w:vAlign w:val="center"/>
          </w:tcPr>
          <w:p w14:paraId="5799340B">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国家标准</w:t>
            </w:r>
            <w:r>
              <w:rPr>
                <w:rFonts w:hint="default" w:ascii="Times New Roman" w:hAnsi="Times New Roman" w:cs="Times New Roman"/>
                <w:color w:val="auto"/>
                <w:lang w:eastAsia="en-US"/>
              </w:rPr>
              <w:sym w:font="Wingdings 2" w:char="0052"/>
            </w:r>
          </w:p>
        </w:tc>
        <w:tc>
          <w:tcPr>
            <w:tcW w:w="1765" w:type="dxa"/>
            <w:gridSpan w:val="2"/>
            <w:noWrap w:val="0"/>
            <w:vAlign w:val="center"/>
          </w:tcPr>
          <w:p w14:paraId="098FFA8E">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地方标准□</w:t>
            </w:r>
          </w:p>
        </w:tc>
        <w:tc>
          <w:tcPr>
            <w:tcW w:w="2660" w:type="dxa"/>
            <w:gridSpan w:val="4"/>
            <w:noWrap w:val="0"/>
            <w:vAlign w:val="center"/>
          </w:tcPr>
          <w:p w14:paraId="3B52194C">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国外标准□</w:t>
            </w:r>
          </w:p>
        </w:tc>
      </w:tr>
      <w:tr w14:paraId="27CEA9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7" w:hRule="atLeast"/>
        </w:trPr>
        <w:tc>
          <w:tcPr>
            <w:tcW w:w="1010" w:type="dxa"/>
            <w:vMerge w:val="restart"/>
            <w:noWrap w:val="0"/>
            <w:vAlign w:val="center"/>
          </w:tcPr>
          <w:p w14:paraId="6CE7A7EA">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现状评价</w:t>
            </w:r>
          </w:p>
        </w:tc>
        <w:tc>
          <w:tcPr>
            <w:tcW w:w="1591" w:type="dxa"/>
            <w:noWrap w:val="0"/>
            <w:vAlign w:val="center"/>
          </w:tcPr>
          <w:p w14:paraId="0250212C">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环境功能区</w:t>
            </w:r>
          </w:p>
        </w:tc>
        <w:tc>
          <w:tcPr>
            <w:tcW w:w="934" w:type="dxa"/>
            <w:noWrap w:val="0"/>
            <w:vAlign w:val="center"/>
          </w:tcPr>
          <w:p w14:paraId="30F2AB4D">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0类区□</w:t>
            </w:r>
          </w:p>
        </w:tc>
        <w:tc>
          <w:tcPr>
            <w:tcW w:w="1110" w:type="dxa"/>
            <w:gridSpan w:val="2"/>
            <w:noWrap w:val="0"/>
            <w:vAlign w:val="center"/>
          </w:tcPr>
          <w:p w14:paraId="47D5233B">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1类区□</w:t>
            </w:r>
          </w:p>
        </w:tc>
        <w:tc>
          <w:tcPr>
            <w:tcW w:w="1079" w:type="dxa"/>
            <w:noWrap w:val="0"/>
            <w:vAlign w:val="center"/>
          </w:tcPr>
          <w:p w14:paraId="7DC99F47">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2类区</w:t>
            </w:r>
            <w:r>
              <w:rPr>
                <w:rFonts w:hint="default" w:ascii="Times New Roman" w:hAnsi="Times New Roman" w:cs="Times New Roman"/>
                <w:color w:val="auto"/>
                <w:lang w:eastAsia="en-US"/>
              </w:rPr>
              <w:sym w:font="Wingdings 2" w:char="0052"/>
            </w:r>
          </w:p>
        </w:tc>
        <w:tc>
          <w:tcPr>
            <w:tcW w:w="1136" w:type="dxa"/>
            <w:gridSpan w:val="2"/>
            <w:noWrap w:val="0"/>
            <w:vAlign w:val="center"/>
          </w:tcPr>
          <w:p w14:paraId="5E7461B2">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3 类区□</w:t>
            </w:r>
          </w:p>
        </w:tc>
        <w:tc>
          <w:tcPr>
            <w:tcW w:w="1067" w:type="dxa"/>
            <w:gridSpan w:val="2"/>
            <w:noWrap w:val="0"/>
            <w:vAlign w:val="center"/>
          </w:tcPr>
          <w:p w14:paraId="509AB2B2">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4a类区</w:t>
            </w:r>
            <w:r>
              <w:rPr>
                <w:rFonts w:hint="default" w:ascii="Times New Roman" w:hAnsi="Times New Roman" w:cs="Times New Roman"/>
                <w:color w:val="auto"/>
                <w:lang w:eastAsia="en-US"/>
              </w:rPr>
              <w:sym w:font="Wingdings 2" w:char="0052"/>
            </w:r>
          </w:p>
        </w:tc>
        <w:tc>
          <w:tcPr>
            <w:tcW w:w="1143" w:type="dxa"/>
            <w:noWrap w:val="0"/>
            <w:vAlign w:val="center"/>
          </w:tcPr>
          <w:p w14:paraId="6D90F679">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4b 类区□</w:t>
            </w:r>
          </w:p>
        </w:tc>
      </w:tr>
      <w:tr w14:paraId="03D2E5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4" w:hRule="atLeast"/>
        </w:trPr>
        <w:tc>
          <w:tcPr>
            <w:tcW w:w="1010" w:type="dxa"/>
            <w:vMerge w:val="continue"/>
            <w:noWrap w:val="0"/>
            <w:vAlign w:val="center"/>
          </w:tcPr>
          <w:p w14:paraId="356279C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91" w:type="dxa"/>
            <w:noWrap w:val="0"/>
            <w:vAlign w:val="center"/>
          </w:tcPr>
          <w:p w14:paraId="1B0DBDD2">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评价年度</w:t>
            </w:r>
          </w:p>
        </w:tc>
        <w:tc>
          <w:tcPr>
            <w:tcW w:w="1489" w:type="dxa"/>
            <w:gridSpan w:val="2"/>
            <w:noWrap w:val="0"/>
            <w:vAlign w:val="center"/>
          </w:tcPr>
          <w:p w14:paraId="1D1FD027">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初期□</w:t>
            </w:r>
          </w:p>
        </w:tc>
        <w:tc>
          <w:tcPr>
            <w:tcW w:w="1634" w:type="dxa"/>
            <w:gridSpan w:val="2"/>
            <w:noWrap w:val="0"/>
            <w:vAlign w:val="center"/>
          </w:tcPr>
          <w:p w14:paraId="4BD11398">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近期</w:t>
            </w:r>
            <w:r>
              <w:rPr>
                <w:rFonts w:hint="default" w:ascii="Times New Roman" w:hAnsi="Times New Roman" w:cs="Times New Roman"/>
                <w:color w:val="auto"/>
                <w:lang w:eastAsia="en-US"/>
              </w:rPr>
              <w:sym w:font="Wingdings 2" w:char="0052"/>
            </w:r>
          </w:p>
        </w:tc>
        <w:tc>
          <w:tcPr>
            <w:tcW w:w="1691" w:type="dxa"/>
            <w:gridSpan w:val="3"/>
            <w:noWrap w:val="0"/>
            <w:vAlign w:val="center"/>
          </w:tcPr>
          <w:p w14:paraId="51E860FE">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中期□</w:t>
            </w:r>
          </w:p>
        </w:tc>
        <w:tc>
          <w:tcPr>
            <w:tcW w:w="1655" w:type="dxa"/>
            <w:gridSpan w:val="2"/>
            <w:noWrap w:val="0"/>
            <w:vAlign w:val="center"/>
          </w:tcPr>
          <w:p w14:paraId="3B9586DF">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远期□</w:t>
            </w:r>
          </w:p>
        </w:tc>
      </w:tr>
      <w:tr w14:paraId="1D0FC7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82" w:hRule="atLeast"/>
        </w:trPr>
        <w:tc>
          <w:tcPr>
            <w:tcW w:w="1010" w:type="dxa"/>
            <w:vMerge w:val="continue"/>
            <w:noWrap w:val="0"/>
            <w:vAlign w:val="center"/>
          </w:tcPr>
          <w:p w14:paraId="38A02BE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91" w:type="dxa"/>
            <w:noWrap w:val="0"/>
            <w:vAlign w:val="center"/>
          </w:tcPr>
          <w:p w14:paraId="43084850">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现状调查方法</w:t>
            </w:r>
          </w:p>
        </w:tc>
        <w:tc>
          <w:tcPr>
            <w:tcW w:w="2044" w:type="dxa"/>
            <w:gridSpan w:val="3"/>
            <w:noWrap w:val="0"/>
            <w:vAlign w:val="center"/>
          </w:tcPr>
          <w:p w14:paraId="22EE0B46">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现场实测法</w:t>
            </w:r>
            <w:r>
              <w:rPr>
                <w:rFonts w:hint="default" w:ascii="Times New Roman" w:hAnsi="Times New Roman" w:cs="Times New Roman"/>
                <w:color w:val="auto"/>
                <w:lang w:eastAsia="en-US"/>
              </w:rPr>
              <w:sym w:font="Wingdings 2" w:char="0052"/>
            </w:r>
          </w:p>
        </w:tc>
        <w:tc>
          <w:tcPr>
            <w:tcW w:w="2770" w:type="dxa"/>
            <w:gridSpan w:val="4"/>
            <w:noWrap w:val="0"/>
            <w:vAlign w:val="center"/>
          </w:tcPr>
          <w:p w14:paraId="6F8FF1F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现场实测加模型计算法□</w:t>
            </w:r>
          </w:p>
        </w:tc>
        <w:tc>
          <w:tcPr>
            <w:tcW w:w="1655" w:type="dxa"/>
            <w:gridSpan w:val="2"/>
            <w:noWrap w:val="0"/>
            <w:vAlign w:val="center"/>
          </w:tcPr>
          <w:p w14:paraId="62107079">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收集资料□</w:t>
            </w:r>
          </w:p>
        </w:tc>
      </w:tr>
      <w:tr w14:paraId="078026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4" w:hRule="atLeast"/>
        </w:trPr>
        <w:tc>
          <w:tcPr>
            <w:tcW w:w="1010" w:type="dxa"/>
            <w:vMerge w:val="continue"/>
            <w:noWrap w:val="0"/>
            <w:vAlign w:val="center"/>
          </w:tcPr>
          <w:p w14:paraId="1647192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91" w:type="dxa"/>
            <w:noWrap w:val="0"/>
            <w:vAlign w:val="center"/>
          </w:tcPr>
          <w:p w14:paraId="3C27EAA2">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现状评价</w:t>
            </w:r>
          </w:p>
        </w:tc>
        <w:tc>
          <w:tcPr>
            <w:tcW w:w="2044" w:type="dxa"/>
            <w:gridSpan w:val="3"/>
            <w:noWrap w:val="0"/>
            <w:vAlign w:val="center"/>
          </w:tcPr>
          <w:p w14:paraId="403ECCA0">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达标百分比</w:t>
            </w:r>
          </w:p>
        </w:tc>
        <w:tc>
          <w:tcPr>
            <w:tcW w:w="4425" w:type="dxa"/>
            <w:gridSpan w:val="6"/>
            <w:noWrap w:val="0"/>
            <w:vAlign w:val="center"/>
          </w:tcPr>
          <w:p w14:paraId="7C4F033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100%</w:t>
            </w:r>
          </w:p>
        </w:tc>
      </w:tr>
      <w:tr w14:paraId="5E3200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9" w:hRule="atLeast"/>
        </w:trPr>
        <w:tc>
          <w:tcPr>
            <w:tcW w:w="1010" w:type="dxa"/>
            <w:noWrap w:val="0"/>
            <w:vAlign w:val="center"/>
          </w:tcPr>
          <w:p w14:paraId="1756B447">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噪声源调查</w:t>
            </w:r>
          </w:p>
        </w:tc>
        <w:tc>
          <w:tcPr>
            <w:tcW w:w="1591" w:type="dxa"/>
            <w:noWrap w:val="0"/>
            <w:vAlign w:val="center"/>
          </w:tcPr>
          <w:p w14:paraId="3AE283D2">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噪声源调查方法</w:t>
            </w:r>
          </w:p>
        </w:tc>
        <w:tc>
          <w:tcPr>
            <w:tcW w:w="2044" w:type="dxa"/>
            <w:gridSpan w:val="3"/>
            <w:noWrap w:val="0"/>
            <w:vAlign w:val="center"/>
          </w:tcPr>
          <w:p w14:paraId="047B11C9">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现场实测□</w:t>
            </w:r>
          </w:p>
        </w:tc>
        <w:tc>
          <w:tcPr>
            <w:tcW w:w="2770" w:type="dxa"/>
            <w:gridSpan w:val="4"/>
            <w:noWrap w:val="0"/>
            <w:vAlign w:val="center"/>
          </w:tcPr>
          <w:p w14:paraId="02A62485">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已有资料</w:t>
            </w:r>
            <w:r>
              <w:rPr>
                <w:rFonts w:hint="default" w:ascii="Times New Roman" w:hAnsi="Times New Roman" w:cs="Times New Roman"/>
                <w:color w:val="auto"/>
                <w:lang w:eastAsia="en-US"/>
              </w:rPr>
              <w:sym w:font="Wingdings 2" w:char="0052"/>
            </w:r>
          </w:p>
        </w:tc>
        <w:tc>
          <w:tcPr>
            <w:tcW w:w="1655" w:type="dxa"/>
            <w:gridSpan w:val="2"/>
            <w:noWrap w:val="0"/>
            <w:vAlign w:val="center"/>
          </w:tcPr>
          <w:p w14:paraId="4A6CA9BF">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研究成果□</w:t>
            </w:r>
          </w:p>
        </w:tc>
      </w:tr>
      <w:tr w14:paraId="65CE81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0" w:hRule="atLeast"/>
        </w:trPr>
        <w:tc>
          <w:tcPr>
            <w:tcW w:w="1010" w:type="dxa"/>
            <w:vMerge w:val="restart"/>
            <w:noWrap w:val="0"/>
            <w:vAlign w:val="center"/>
          </w:tcPr>
          <w:p w14:paraId="49DA146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声环境影响预测与评价</w:t>
            </w:r>
          </w:p>
        </w:tc>
        <w:tc>
          <w:tcPr>
            <w:tcW w:w="1591" w:type="dxa"/>
            <w:noWrap w:val="0"/>
            <w:vAlign w:val="center"/>
          </w:tcPr>
          <w:p w14:paraId="61605168">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预测模型</w:t>
            </w:r>
          </w:p>
        </w:tc>
        <w:tc>
          <w:tcPr>
            <w:tcW w:w="3809" w:type="dxa"/>
            <w:gridSpan w:val="5"/>
            <w:noWrap w:val="0"/>
            <w:vAlign w:val="center"/>
          </w:tcPr>
          <w:p w14:paraId="2AF4B598">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导则推荐模型</w:t>
            </w:r>
            <w:r>
              <w:rPr>
                <w:rFonts w:hint="default" w:ascii="Times New Roman" w:hAnsi="Times New Roman" w:cs="Times New Roman"/>
                <w:color w:val="auto"/>
                <w:lang w:eastAsia="en-US"/>
              </w:rPr>
              <w:sym w:font="Wingdings 2" w:char="0052"/>
            </w:r>
          </w:p>
        </w:tc>
        <w:tc>
          <w:tcPr>
            <w:tcW w:w="2660" w:type="dxa"/>
            <w:gridSpan w:val="4"/>
            <w:noWrap w:val="0"/>
            <w:vAlign w:val="center"/>
          </w:tcPr>
          <w:p w14:paraId="6E85F9BA">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其他□</w:t>
            </w:r>
          </w:p>
        </w:tc>
      </w:tr>
      <w:tr w14:paraId="29B872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4" w:hRule="atLeast"/>
        </w:trPr>
        <w:tc>
          <w:tcPr>
            <w:tcW w:w="1010" w:type="dxa"/>
            <w:vMerge w:val="continue"/>
            <w:noWrap w:val="0"/>
            <w:vAlign w:val="center"/>
          </w:tcPr>
          <w:p w14:paraId="1CF4FCB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91" w:type="dxa"/>
            <w:noWrap w:val="0"/>
            <w:vAlign w:val="center"/>
          </w:tcPr>
          <w:p w14:paraId="6E506E41">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预测范围</w:t>
            </w:r>
          </w:p>
        </w:tc>
        <w:tc>
          <w:tcPr>
            <w:tcW w:w="2044" w:type="dxa"/>
            <w:gridSpan w:val="3"/>
            <w:noWrap w:val="0"/>
            <w:vAlign w:val="center"/>
          </w:tcPr>
          <w:p w14:paraId="109A4A2A">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200 m</w:t>
            </w:r>
            <w:r>
              <w:rPr>
                <w:rFonts w:hint="default" w:ascii="Times New Roman" w:hAnsi="Times New Roman" w:cs="Times New Roman"/>
                <w:color w:val="auto"/>
                <w:lang w:eastAsia="en-US"/>
              </w:rPr>
              <w:sym w:font="Wingdings 2" w:char="0052"/>
            </w:r>
          </w:p>
        </w:tc>
        <w:tc>
          <w:tcPr>
            <w:tcW w:w="1765" w:type="dxa"/>
            <w:gridSpan w:val="2"/>
            <w:noWrap w:val="0"/>
            <w:vAlign w:val="center"/>
          </w:tcPr>
          <w:p w14:paraId="1BCE0A48">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大于 200 m□</w:t>
            </w:r>
          </w:p>
        </w:tc>
        <w:tc>
          <w:tcPr>
            <w:tcW w:w="450" w:type="dxa"/>
            <w:noWrap w:val="0"/>
            <w:vAlign w:val="center"/>
          </w:tcPr>
          <w:p w14:paraId="5D1E1D32">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p>
        </w:tc>
        <w:tc>
          <w:tcPr>
            <w:tcW w:w="2210" w:type="dxa"/>
            <w:gridSpan w:val="3"/>
            <w:noWrap w:val="0"/>
            <w:vAlign w:val="center"/>
          </w:tcPr>
          <w:p w14:paraId="55E7FF51">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小于 200 m□</w:t>
            </w:r>
          </w:p>
        </w:tc>
      </w:tr>
      <w:tr w14:paraId="1FAE4EA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4" w:hRule="atLeast"/>
        </w:trPr>
        <w:tc>
          <w:tcPr>
            <w:tcW w:w="1010" w:type="dxa"/>
            <w:vMerge w:val="continue"/>
            <w:noWrap w:val="0"/>
            <w:vAlign w:val="center"/>
          </w:tcPr>
          <w:p w14:paraId="6FAC8E8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91" w:type="dxa"/>
            <w:noWrap w:val="0"/>
            <w:vAlign w:val="center"/>
          </w:tcPr>
          <w:p w14:paraId="4BB95966">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预测因子</w:t>
            </w:r>
          </w:p>
        </w:tc>
        <w:tc>
          <w:tcPr>
            <w:tcW w:w="2044" w:type="dxa"/>
            <w:gridSpan w:val="3"/>
            <w:noWrap w:val="0"/>
            <w:vAlign w:val="center"/>
          </w:tcPr>
          <w:p w14:paraId="0FDDA4BD">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等效连续 A 声级</w:t>
            </w:r>
            <w:r>
              <w:rPr>
                <w:rFonts w:hint="default" w:ascii="Times New Roman" w:hAnsi="Times New Roman" w:cs="Times New Roman"/>
                <w:color w:val="auto"/>
                <w:lang w:eastAsia="en-US"/>
              </w:rPr>
              <w:sym w:font="Wingdings 2" w:char="0052"/>
            </w:r>
          </w:p>
        </w:tc>
        <w:tc>
          <w:tcPr>
            <w:tcW w:w="1765" w:type="dxa"/>
            <w:gridSpan w:val="2"/>
            <w:noWrap w:val="0"/>
            <w:vAlign w:val="center"/>
          </w:tcPr>
          <w:p w14:paraId="57A5B579">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最大 A 声级□</w:t>
            </w:r>
          </w:p>
        </w:tc>
        <w:tc>
          <w:tcPr>
            <w:tcW w:w="2660" w:type="dxa"/>
            <w:gridSpan w:val="4"/>
            <w:noWrap w:val="0"/>
            <w:vAlign w:val="center"/>
          </w:tcPr>
          <w:p w14:paraId="470FD8C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计权等效连续感觉噪声级□</w:t>
            </w:r>
          </w:p>
        </w:tc>
      </w:tr>
      <w:tr w14:paraId="4ACE88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010" w:type="dxa"/>
            <w:vMerge w:val="continue"/>
            <w:noWrap w:val="0"/>
            <w:vAlign w:val="center"/>
          </w:tcPr>
          <w:p w14:paraId="52C3337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91" w:type="dxa"/>
            <w:noWrap w:val="0"/>
            <w:vAlign w:val="center"/>
          </w:tcPr>
          <w:p w14:paraId="5EEAA0EB">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厂界噪声贡献值</w:t>
            </w:r>
          </w:p>
        </w:tc>
        <w:tc>
          <w:tcPr>
            <w:tcW w:w="3809" w:type="dxa"/>
            <w:gridSpan w:val="5"/>
            <w:noWrap w:val="0"/>
            <w:vAlign w:val="center"/>
          </w:tcPr>
          <w:p w14:paraId="12E18002">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 xml:space="preserve">达标 </w:t>
            </w:r>
            <w:r>
              <w:rPr>
                <w:rFonts w:hint="default" w:ascii="Times New Roman" w:hAnsi="Times New Roman" w:cs="Times New Roman"/>
                <w:color w:val="auto"/>
                <w:lang w:eastAsia="en-US"/>
              </w:rPr>
              <w:sym w:font="Wingdings 2" w:char="0052"/>
            </w:r>
          </w:p>
        </w:tc>
        <w:tc>
          <w:tcPr>
            <w:tcW w:w="2660" w:type="dxa"/>
            <w:gridSpan w:val="4"/>
            <w:noWrap w:val="0"/>
            <w:vAlign w:val="center"/>
          </w:tcPr>
          <w:p w14:paraId="1BFD5D0B">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不达标□</w:t>
            </w:r>
          </w:p>
        </w:tc>
      </w:tr>
      <w:tr w14:paraId="429B18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27" w:hRule="atLeast"/>
        </w:trPr>
        <w:tc>
          <w:tcPr>
            <w:tcW w:w="1010" w:type="dxa"/>
            <w:vMerge w:val="continue"/>
            <w:noWrap w:val="0"/>
            <w:vAlign w:val="center"/>
          </w:tcPr>
          <w:p w14:paraId="4585A67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p>
        </w:tc>
        <w:tc>
          <w:tcPr>
            <w:tcW w:w="1591" w:type="dxa"/>
            <w:noWrap w:val="0"/>
            <w:vAlign w:val="center"/>
          </w:tcPr>
          <w:p w14:paraId="0539165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声环境保护目标处噪声值</w:t>
            </w:r>
          </w:p>
        </w:tc>
        <w:tc>
          <w:tcPr>
            <w:tcW w:w="3809" w:type="dxa"/>
            <w:gridSpan w:val="5"/>
            <w:noWrap w:val="0"/>
            <w:vAlign w:val="center"/>
          </w:tcPr>
          <w:p w14:paraId="5ED6EF91">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达标□</w:t>
            </w:r>
          </w:p>
        </w:tc>
        <w:tc>
          <w:tcPr>
            <w:tcW w:w="2660" w:type="dxa"/>
            <w:gridSpan w:val="4"/>
            <w:noWrap w:val="0"/>
            <w:vAlign w:val="center"/>
          </w:tcPr>
          <w:p w14:paraId="4592200A">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不达标□</w:t>
            </w:r>
          </w:p>
        </w:tc>
      </w:tr>
      <w:tr w14:paraId="2EA7EC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97" w:hRule="atLeast"/>
        </w:trPr>
        <w:tc>
          <w:tcPr>
            <w:tcW w:w="1010" w:type="dxa"/>
            <w:vMerge w:val="restart"/>
            <w:noWrap w:val="0"/>
            <w:vAlign w:val="center"/>
          </w:tcPr>
          <w:p w14:paraId="2A943B1C">
            <w:pPr>
              <w:keepNext w:val="0"/>
              <w:keepLines w:val="0"/>
              <w:suppressLineNumbers w:val="0"/>
              <w:spacing w:before="0" w:beforeAutospacing="0" w:after="0" w:afterAutospacing="0"/>
              <w:ind w:left="0" w:right="0"/>
              <w:jc w:val="center"/>
              <w:rPr>
                <w:rFonts w:hint="default" w:ascii="Times New Roman" w:hAnsi="Times New Roman" w:cs="Times New Roman"/>
                <w:color w:val="auto"/>
                <w:lang w:eastAsia="en-US"/>
              </w:rPr>
            </w:pPr>
            <w:r>
              <w:rPr>
                <w:rFonts w:hint="default" w:ascii="Times New Roman" w:hAnsi="Times New Roman" w:cs="Times New Roman"/>
                <w:color w:val="auto"/>
                <w:lang w:eastAsia="en-US"/>
              </w:rPr>
              <w:t>环境监测计划</w:t>
            </w:r>
          </w:p>
        </w:tc>
        <w:tc>
          <w:tcPr>
            <w:tcW w:w="1591" w:type="dxa"/>
            <w:noWrap w:val="0"/>
            <w:vAlign w:val="center"/>
          </w:tcPr>
          <w:p w14:paraId="702BBD39">
            <w:pPr>
              <w:keepNext w:val="0"/>
              <w:keepLines w:val="0"/>
              <w:suppressLineNumbers w:val="0"/>
              <w:spacing w:before="0" w:beforeAutospacing="0" w:after="0" w:afterAutospacing="0"/>
              <w:ind w:left="0" w:right="0"/>
              <w:rPr>
                <w:rFonts w:hint="default" w:ascii="Times New Roman" w:hAnsi="Times New Roman" w:cs="Times New Roman"/>
                <w:color w:val="auto"/>
                <w:lang w:eastAsia="en-US"/>
              </w:rPr>
            </w:pPr>
            <w:r>
              <w:rPr>
                <w:rFonts w:hint="default" w:ascii="Times New Roman" w:hAnsi="Times New Roman" w:cs="Times New Roman"/>
                <w:color w:val="auto"/>
                <w:lang w:eastAsia="en-US"/>
              </w:rPr>
              <w:t>排放监测</w:t>
            </w:r>
          </w:p>
        </w:tc>
        <w:tc>
          <w:tcPr>
            <w:tcW w:w="3123" w:type="dxa"/>
            <w:gridSpan w:val="4"/>
            <w:noWrap w:val="0"/>
            <w:vAlign w:val="center"/>
          </w:tcPr>
          <w:p w14:paraId="5233F57D">
            <w:pPr>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厂界监测</w:t>
            </w:r>
            <w:r>
              <w:rPr>
                <w:rFonts w:hint="default" w:ascii="Times New Roman" w:hAnsi="Times New Roman" w:cs="Times New Roman"/>
                <w:color w:val="auto"/>
                <w:lang w:eastAsia="en-US"/>
              </w:rPr>
              <w:sym w:font="Wingdings 2" w:char="0052"/>
            </w:r>
            <w:r>
              <w:rPr>
                <w:rFonts w:hint="default" w:ascii="Times New Roman" w:hAnsi="Times New Roman" w:cs="Times New Roman"/>
                <w:color w:val="auto"/>
              </w:rPr>
              <w:tab/>
            </w:r>
            <w:r>
              <w:rPr>
                <w:rFonts w:hint="default" w:ascii="Times New Roman" w:hAnsi="Times New Roman" w:cs="Times New Roman"/>
                <w:color w:val="auto"/>
              </w:rPr>
              <w:t>固定位置监测□</w:t>
            </w:r>
          </w:p>
        </w:tc>
        <w:tc>
          <w:tcPr>
            <w:tcW w:w="2203" w:type="dxa"/>
            <w:gridSpan w:val="4"/>
            <w:noWrap w:val="0"/>
            <w:vAlign w:val="center"/>
          </w:tcPr>
          <w:p w14:paraId="21D3E9A5">
            <w:pPr>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自动监测□ 手动监测□</w:t>
            </w:r>
          </w:p>
        </w:tc>
        <w:tc>
          <w:tcPr>
            <w:tcW w:w="1143" w:type="dxa"/>
            <w:noWrap w:val="0"/>
            <w:vAlign w:val="center"/>
          </w:tcPr>
          <w:p w14:paraId="560447D1">
            <w:pPr>
              <w:keepNext w:val="0"/>
              <w:keepLines w:val="0"/>
              <w:suppressLineNumbers w:val="0"/>
              <w:spacing w:before="0" w:beforeAutospacing="0" w:after="0" w:afterAutospacing="0"/>
              <w:ind w:left="0" w:right="0"/>
              <w:rPr>
                <w:rFonts w:hint="default" w:ascii="Times New Roman" w:hAnsi="Times New Roman" w:cs="Times New Roman"/>
                <w:color w:val="auto"/>
                <w:lang w:eastAsia="en-US"/>
              </w:rPr>
            </w:pPr>
            <w:r>
              <w:rPr>
                <w:rFonts w:hint="default" w:ascii="Times New Roman" w:hAnsi="Times New Roman" w:cs="Times New Roman"/>
                <w:color w:val="auto"/>
                <w:lang w:eastAsia="en-US"/>
              </w:rPr>
              <w:t>无监测□</w:t>
            </w:r>
          </w:p>
        </w:tc>
      </w:tr>
      <w:tr w14:paraId="4A3C13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28" w:hRule="atLeast"/>
        </w:trPr>
        <w:tc>
          <w:tcPr>
            <w:tcW w:w="1010" w:type="dxa"/>
            <w:vMerge w:val="continue"/>
            <w:noWrap w:val="0"/>
            <w:vAlign w:val="center"/>
          </w:tcPr>
          <w:p w14:paraId="21B404C2">
            <w:pPr>
              <w:keepNext w:val="0"/>
              <w:keepLines w:val="0"/>
              <w:suppressLineNumbers w:val="0"/>
              <w:spacing w:before="0" w:beforeAutospacing="0" w:after="0" w:afterAutospacing="0"/>
              <w:ind w:left="0" w:right="0"/>
              <w:rPr>
                <w:rFonts w:hint="default" w:ascii="Times New Roman" w:hAnsi="Times New Roman" w:cs="Times New Roman"/>
                <w:color w:val="auto"/>
              </w:rPr>
            </w:pPr>
          </w:p>
        </w:tc>
        <w:tc>
          <w:tcPr>
            <w:tcW w:w="1591" w:type="dxa"/>
            <w:noWrap w:val="0"/>
            <w:vAlign w:val="center"/>
          </w:tcPr>
          <w:p w14:paraId="529439EF">
            <w:pPr>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声环境保护目标处噪声监测</w:t>
            </w:r>
          </w:p>
        </w:tc>
        <w:tc>
          <w:tcPr>
            <w:tcW w:w="3123" w:type="dxa"/>
            <w:gridSpan w:val="4"/>
            <w:noWrap w:val="0"/>
            <w:vAlign w:val="center"/>
          </w:tcPr>
          <w:p w14:paraId="517B03D2">
            <w:pPr>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监测因子：（等效连续A声级(Leq)</w:t>
            </w:r>
          </w:p>
          <w:p w14:paraId="7B47D282">
            <w:pPr>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w:t>
            </w:r>
          </w:p>
        </w:tc>
        <w:tc>
          <w:tcPr>
            <w:tcW w:w="2203" w:type="dxa"/>
            <w:gridSpan w:val="4"/>
            <w:noWrap w:val="0"/>
            <w:vAlign w:val="center"/>
          </w:tcPr>
          <w:p w14:paraId="7A1C834D">
            <w:pPr>
              <w:keepNext w:val="0"/>
              <w:keepLines w:val="0"/>
              <w:suppressLineNumbers w:val="0"/>
              <w:spacing w:before="0" w:beforeAutospacing="0" w:after="0" w:afterAutospacing="0"/>
              <w:ind w:left="0" w:right="0"/>
              <w:rPr>
                <w:rFonts w:hint="default" w:ascii="Times New Roman" w:hAnsi="Times New Roman" w:cs="Times New Roman"/>
                <w:color w:val="auto"/>
                <w:lang w:eastAsia="en-US"/>
              </w:rPr>
            </w:pPr>
            <w:r>
              <w:rPr>
                <w:rFonts w:hint="default" w:ascii="Times New Roman" w:hAnsi="Times New Roman" w:cs="Times New Roman"/>
                <w:color w:val="auto"/>
                <w:lang w:eastAsia="en-US"/>
              </w:rPr>
              <w:t>监测点位数（</w:t>
            </w:r>
            <w:r>
              <w:rPr>
                <w:rFonts w:hint="default" w:ascii="Times New Roman" w:hAnsi="Times New Roman" w:cs="Times New Roman"/>
                <w:color w:val="auto"/>
              </w:rPr>
              <w:t>/</w:t>
            </w:r>
            <w:r>
              <w:rPr>
                <w:rFonts w:hint="default" w:ascii="Times New Roman" w:hAnsi="Times New Roman" w:cs="Times New Roman"/>
                <w:color w:val="auto"/>
                <w:lang w:eastAsia="en-US"/>
              </w:rPr>
              <w:t>）</w:t>
            </w:r>
          </w:p>
        </w:tc>
        <w:tc>
          <w:tcPr>
            <w:tcW w:w="1143" w:type="dxa"/>
            <w:noWrap w:val="0"/>
            <w:vAlign w:val="center"/>
          </w:tcPr>
          <w:p w14:paraId="7AEAEC28">
            <w:pPr>
              <w:keepNext w:val="0"/>
              <w:keepLines w:val="0"/>
              <w:suppressLineNumbers w:val="0"/>
              <w:spacing w:before="0" w:beforeAutospacing="0" w:after="0" w:afterAutospacing="0"/>
              <w:ind w:left="0" w:right="0"/>
              <w:rPr>
                <w:rFonts w:hint="default" w:ascii="Times New Roman" w:hAnsi="Times New Roman" w:cs="Times New Roman"/>
                <w:color w:val="auto"/>
                <w:lang w:eastAsia="en-US"/>
              </w:rPr>
            </w:pPr>
            <w:r>
              <w:rPr>
                <w:rFonts w:hint="default" w:ascii="Times New Roman" w:hAnsi="Times New Roman" w:cs="Times New Roman"/>
                <w:color w:val="auto"/>
                <w:lang w:eastAsia="en-US"/>
              </w:rPr>
              <w:t>无监测□</w:t>
            </w:r>
          </w:p>
        </w:tc>
      </w:tr>
      <w:tr w14:paraId="01C671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4" w:hRule="atLeast"/>
        </w:trPr>
        <w:tc>
          <w:tcPr>
            <w:tcW w:w="1010" w:type="dxa"/>
            <w:noWrap w:val="0"/>
            <w:vAlign w:val="center"/>
          </w:tcPr>
          <w:p w14:paraId="33612A17">
            <w:pPr>
              <w:keepNext w:val="0"/>
              <w:keepLines w:val="0"/>
              <w:suppressLineNumbers w:val="0"/>
              <w:spacing w:before="0" w:beforeAutospacing="0" w:after="0" w:afterAutospacing="0"/>
              <w:ind w:left="0" w:right="0"/>
              <w:rPr>
                <w:rFonts w:hint="default" w:ascii="Times New Roman" w:hAnsi="Times New Roman" w:cs="Times New Roman"/>
                <w:color w:val="auto"/>
                <w:lang w:eastAsia="en-US"/>
              </w:rPr>
            </w:pPr>
            <w:r>
              <w:rPr>
                <w:rFonts w:hint="default" w:ascii="Times New Roman" w:hAnsi="Times New Roman" w:cs="Times New Roman"/>
                <w:color w:val="auto"/>
                <w:lang w:eastAsia="en-US"/>
              </w:rPr>
              <w:t>评价结论</w:t>
            </w:r>
          </w:p>
        </w:tc>
        <w:tc>
          <w:tcPr>
            <w:tcW w:w="1591" w:type="dxa"/>
            <w:noWrap w:val="0"/>
            <w:vAlign w:val="center"/>
          </w:tcPr>
          <w:p w14:paraId="42E3DCC0">
            <w:pPr>
              <w:keepNext w:val="0"/>
              <w:keepLines w:val="0"/>
              <w:suppressLineNumbers w:val="0"/>
              <w:spacing w:before="0" w:beforeAutospacing="0" w:after="0" w:afterAutospacing="0"/>
              <w:ind w:left="0" w:right="0"/>
              <w:rPr>
                <w:rFonts w:hint="default" w:ascii="Times New Roman" w:hAnsi="Times New Roman" w:cs="Times New Roman"/>
                <w:color w:val="auto"/>
                <w:lang w:eastAsia="en-US"/>
              </w:rPr>
            </w:pPr>
            <w:r>
              <w:rPr>
                <w:rFonts w:hint="default" w:ascii="Times New Roman" w:hAnsi="Times New Roman" w:cs="Times New Roman"/>
                <w:color w:val="auto"/>
                <w:lang w:eastAsia="en-US"/>
              </w:rPr>
              <w:t>环境影响</w:t>
            </w:r>
          </w:p>
        </w:tc>
        <w:tc>
          <w:tcPr>
            <w:tcW w:w="6469" w:type="dxa"/>
            <w:gridSpan w:val="9"/>
            <w:noWrap w:val="0"/>
            <w:vAlign w:val="center"/>
          </w:tcPr>
          <w:p w14:paraId="41795B9F">
            <w:pPr>
              <w:keepNext w:val="0"/>
              <w:keepLines w:val="0"/>
              <w:suppressLineNumbers w:val="0"/>
              <w:spacing w:before="0" w:beforeAutospacing="0" w:after="0" w:afterAutospacing="0"/>
              <w:ind w:left="0" w:right="0"/>
              <w:rPr>
                <w:rFonts w:hint="default" w:ascii="Times New Roman" w:hAnsi="Times New Roman" w:cs="Times New Roman"/>
                <w:color w:val="auto"/>
                <w:lang w:eastAsia="en-US"/>
              </w:rPr>
            </w:pPr>
            <w:r>
              <w:rPr>
                <w:rFonts w:hint="default" w:ascii="Times New Roman" w:hAnsi="Times New Roman" w:cs="Times New Roman"/>
                <w:color w:val="auto"/>
                <w:lang w:eastAsia="en-US"/>
              </w:rPr>
              <w:t>可行</w:t>
            </w:r>
            <w:r>
              <w:rPr>
                <w:rFonts w:hint="default" w:ascii="Times New Roman" w:hAnsi="Times New Roman" w:cs="Times New Roman"/>
                <w:color w:val="auto"/>
                <w:lang w:eastAsia="en-US"/>
              </w:rPr>
              <w:sym w:font="Wingdings 2" w:char="0052"/>
            </w:r>
            <w:r>
              <w:rPr>
                <w:rFonts w:hint="default" w:ascii="Times New Roman" w:hAnsi="Times New Roman" w:cs="Times New Roman"/>
                <w:color w:val="auto"/>
                <w:lang w:eastAsia="en-US"/>
              </w:rPr>
              <w:tab/>
            </w:r>
            <w:r>
              <w:rPr>
                <w:rFonts w:hint="default" w:ascii="Times New Roman" w:hAnsi="Times New Roman" w:cs="Times New Roman"/>
                <w:color w:val="auto"/>
                <w:lang w:eastAsia="en-US"/>
              </w:rPr>
              <w:t>不可行□</w:t>
            </w:r>
          </w:p>
        </w:tc>
      </w:tr>
      <w:tr w14:paraId="0DAB16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96" w:hRule="atLeast"/>
        </w:trPr>
        <w:tc>
          <w:tcPr>
            <w:tcW w:w="9070" w:type="dxa"/>
            <w:gridSpan w:val="11"/>
            <w:noWrap w:val="0"/>
            <w:vAlign w:val="center"/>
          </w:tcPr>
          <w:p w14:paraId="559ED5F1">
            <w:pPr>
              <w:keepNext w:val="0"/>
              <w:keepLines w:val="0"/>
              <w:suppressLineNumbers w:val="0"/>
              <w:spacing w:before="0" w:beforeAutospacing="0" w:after="0" w:afterAutospacing="0"/>
              <w:ind w:left="0" w:right="0"/>
              <w:rPr>
                <w:rFonts w:hint="default" w:ascii="Times New Roman" w:hAnsi="Times New Roman" w:cs="Times New Roman"/>
                <w:color w:val="auto"/>
              </w:rPr>
            </w:pPr>
            <w:r>
              <w:rPr>
                <w:rFonts w:hint="default" w:ascii="Times New Roman" w:hAnsi="Times New Roman" w:cs="Times New Roman"/>
                <w:color w:val="auto"/>
              </w:rPr>
              <w:t>注：“□” 为勾选项 ，可√ ；“（</w:t>
            </w:r>
            <w:r>
              <w:rPr>
                <w:rFonts w:hint="default" w:ascii="Times New Roman" w:hAnsi="Times New Roman" w:cs="Times New Roman"/>
                <w:color w:val="auto"/>
              </w:rPr>
              <w:tab/>
            </w:r>
            <w:r>
              <w:rPr>
                <w:rFonts w:hint="default" w:ascii="Times New Roman" w:hAnsi="Times New Roman" w:cs="Times New Roman"/>
                <w:color w:val="auto"/>
              </w:rPr>
              <w:t>）” 为内容填写项。</w:t>
            </w:r>
          </w:p>
        </w:tc>
      </w:tr>
    </w:tbl>
    <w:p w14:paraId="29A011A7">
      <w:pPr>
        <w:pStyle w:val="4"/>
        <w:numPr>
          <w:ilvl w:val="0"/>
          <w:numId w:val="0"/>
        </w:numPr>
        <w:rPr>
          <w:color w:val="auto"/>
        </w:rPr>
      </w:pPr>
      <w:r>
        <w:rPr>
          <w:rFonts w:hint="eastAsia"/>
          <w:color w:val="auto"/>
        </w:rPr>
        <w:t>5.2.4</w:t>
      </w:r>
      <w:r>
        <w:rPr>
          <w:color w:val="auto"/>
        </w:rPr>
        <w:t>运营期固废环境影响</w:t>
      </w:r>
      <w:r>
        <w:rPr>
          <w:rFonts w:hint="eastAsia"/>
          <w:color w:val="auto"/>
        </w:rPr>
        <w:t>预测与评价</w:t>
      </w:r>
    </w:p>
    <w:p w14:paraId="29E5DEFF">
      <w:pPr>
        <w:pStyle w:val="5"/>
        <w:numPr>
          <w:ilvl w:val="0"/>
          <w:numId w:val="0"/>
        </w:numPr>
        <w:rPr>
          <w:color w:val="auto"/>
        </w:rPr>
      </w:pPr>
      <w:r>
        <w:rPr>
          <w:rFonts w:hint="eastAsia"/>
          <w:color w:val="auto"/>
        </w:rPr>
        <w:t>5.2.4.1</w:t>
      </w:r>
      <w:r>
        <w:rPr>
          <w:color w:val="auto"/>
        </w:rPr>
        <w:t>固体废物产生情况</w:t>
      </w:r>
    </w:p>
    <w:p w14:paraId="20CAAA31">
      <w:pPr>
        <w:pStyle w:val="29"/>
        <w:spacing w:line="360" w:lineRule="auto"/>
        <w:ind w:firstLine="480" w:firstLineChars="200"/>
        <w:rPr>
          <w:color w:val="auto"/>
          <w:sz w:val="24"/>
        </w:rPr>
      </w:pPr>
      <w:r>
        <w:rPr>
          <w:rFonts w:ascii="Times New Roman" w:hAnsi="Times New Roman"/>
          <w:color w:val="auto"/>
          <w:sz w:val="24"/>
          <w:szCs w:val="24"/>
        </w:rPr>
        <w:t>本项目固体废弃物可分为</w:t>
      </w:r>
      <w:r>
        <w:rPr>
          <w:color w:val="auto"/>
          <w:sz w:val="24"/>
        </w:rPr>
        <w:t>装卸期间产生的生活垃圾、陆域工作人员生活垃圾、含油</w:t>
      </w:r>
      <w:r>
        <w:rPr>
          <w:rFonts w:hint="eastAsia"/>
          <w:color w:val="auto"/>
          <w:sz w:val="24"/>
        </w:rPr>
        <w:t>废</w:t>
      </w:r>
      <w:r>
        <w:rPr>
          <w:color w:val="auto"/>
          <w:sz w:val="24"/>
        </w:rPr>
        <w:t>水处理设施产生的含油污泥、废机油、沉淀池泥沙等。</w:t>
      </w:r>
    </w:p>
    <w:p w14:paraId="785A24E6">
      <w:pPr>
        <w:pStyle w:val="29"/>
        <w:spacing w:line="360" w:lineRule="auto"/>
        <w:ind w:firstLine="480" w:firstLineChars="200"/>
        <w:rPr>
          <w:color w:val="auto"/>
          <w:sz w:val="24"/>
        </w:rPr>
      </w:pPr>
      <w:r>
        <w:rPr>
          <w:color w:val="auto"/>
          <w:sz w:val="24"/>
        </w:rPr>
        <w:t>各类生活垃圾经收集后定期由环卫部门清运。</w:t>
      </w:r>
      <w:r>
        <w:rPr>
          <w:rFonts w:hint="eastAsia"/>
          <w:color w:val="auto"/>
          <w:sz w:val="24"/>
        </w:rPr>
        <w:t>沉淀池泥沙</w:t>
      </w:r>
      <w:r>
        <w:rPr>
          <w:color w:val="auto"/>
          <w:sz w:val="24"/>
        </w:rPr>
        <w:t>交当地环卫部门统一收集处理。隔油</w:t>
      </w:r>
      <w:r>
        <w:rPr>
          <w:rFonts w:hint="eastAsia"/>
          <w:color w:val="auto"/>
          <w:sz w:val="24"/>
        </w:rPr>
        <w:t>沉淀池含油污泥</w:t>
      </w:r>
      <w:r>
        <w:rPr>
          <w:color w:val="auto"/>
          <w:sz w:val="24"/>
        </w:rPr>
        <w:t>采用专用桶收</w:t>
      </w:r>
      <w:r>
        <w:rPr>
          <w:rFonts w:ascii="Times New Roman" w:hAnsi="Times New Roman"/>
          <w:color w:val="auto"/>
          <w:sz w:val="24"/>
        </w:rPr>
        <w:t>集后暂存于危险废物暂存库中及时送有资质单位处理，港区设置一座危险废物暂存间，占地面积约5m</w:t>
      </w:r>
      <w:r>
        <w:rPr>
          <w:rFonts w:ascii="Times New Roman" w:hAnsi="Times New Roman"/>
          <w:color w:val="auto"/>
          <w:sz w:val="24"/>
          <w:vertAlign w:val="superscript"/>
        </w:rPr>
        <w:t>2</w:t>
      </w:r>
      <w:r>
        <w:rPr>
          <w:rFonts w:ascii="Times New Roman" w:hAnsi="Times New Roman"/>
          <w:color w:val="auto"/>
          <w:sz w:val="24"/>
        </w:rPr>
        <w:t>。</w:t>
      </w:r>
    </w:p>
    <w:p w14:paraId="409EEF65">
      <w:pPr>
        <w:pStyle w:val="5"/>
        <w:numPr>
          <w:ilvl w:val="0"/>
          <w:numId w:val="0"/>
        </w:numPr>
        <w:rPr>
          <w:color w:val="auto"/>
        </w:rPr>
      </w:pPr>
      <w:r>
        <w:rPr>
          <w:rFonts w:hint="eastAsia"/>
          <w:color w:val="auto"/>
        </w:rPr>
        <w:t>5.2.4.2</w:t>
      </w:r>
      <w:r>
        <w:rPr>
          <w:color w:val="auto"/>
        </w:rPr>
        <w:t>固体废物</w:t>
      </w:r>
      <w:r>
        <w:rPr>
          <w:rFonts w:hint="eastAsia"/>
          <w:color w:val="auto"/>
        </w:rPr>
        <w:t>贮存场所设置情况</w:t>
      </w:r>
    </w:p>
    <w:p w14:paraId="13585747">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拟建码头港区设1间危废暂存间，占地面积</w:t>
      </w:r>
      <w:r>
        <w:rPr>
          <w:rFonts w:ascii="Times New Roman" w:hAnsi="Times New Roman"/>
          <w:color w:val="auto"/>
          <w:sz w:val="24"/>
          <w:szCs w:val="24"/>
        </w:rPr>
        <w:t>5</w:t>
      </w:r>
      <w:r>
        <w:rPr>
          <w:rFonts w:hint="eastAsia" w:ascii="Times New Roman" w:hAnsi="Times New Roman"/>
          <w:color w:val="auto"/>
          <w:sz w:val="24"/>
          <w:szCs w:val="24"/>
        </w:rPr>
        <w:t>m</w:t>
      </w:r>
      <w:r>
        <w:rPr>
          <w:rFonts w:hint="eastAsia" w:ascii="Times New Roman" w:hAnsi="Times New Roman"/>
          <w:color w:val="auto"/>
          <w:sz w:val="24"/>
          <w:szCs w:val="24"/>
          <w:vertAlign w:val="superscript"/>
        </w:rPr>
        <w:t>2</w:t>
      </w:r>
      <w:r>
        <w:rPr>
          <w:rFonts w:hint="eastAsia" w:ascii="Times New Roman" w:hAnsi="Times New Roman"/>
          <w:color w:val="auto"/>
          <w:sz w:val="24"/>
          <w:szCs w:val="24"/>
        </w:rPr>
        <w:t>，危险废物暂存场所设置防渗、防漏、防腐等设施，按《危险废物贮存污染控制标准》（GB18597-2023）进行建设，贮存场所根据《</w:t>
      </w:r>
      <w:r>
        <w:rPr>
          <w:rFonts w:hint="eastAsia" w:ascii="Times New Roman" w:hAnsi="Times New Roman"/>
          <w:color w:val="auto"/>
          <w:sz w:val="24"/>
          <w:szCs w:val="24"/>
          <w:lang w:eastAsia="zh-CN"/>
        </w:rPr>
        <w:t>环境保护图形标志 固体废物贮存（处置）场</w:t>
      </w:r>
      <w:r>
        <w:rPr>
          <w:rFonts w:hint="eastAsia" w:ascii="Times New Roman" w:hAnsi="Times New Roman"/>
          <w:color w:val="auto"/>
          <w:sz w:val="24"/>
          <w:szCs w:val="24"/>
        </w:rPr>
        <w:t>》（GB15562.2-1995）及其2023年修改单设立专用标志。</w:t>
      </w:r>
    </w:p>
    <w:p w14:paraId="110D9E70">
      <w:pPr>
        <w:pStyle w:val="5"/>
        <w:numPr>
          <w:ilvl w:val="0"/>
          <w:numId w:val="0"/>
        </w:numPr>
        <w:rPr>
          <w:color w:val="auto"/>
        </w:rPr>
      </w:pPr>
      <w:r>
        <w:rPr>
          <w:rFonts w:hint="eastAsia"/>
          <w:color w:val="auto"/>
        </w:rPr>
        <w:t>5.2.4.3</w:t>
      </w:r>
      <w:r>
        <w:rPr>
          <w:color w:val="auto"/>
        </w:rPr>
        <w:t>固体废物</w:t>
      </w:r>
      <w:r>
        <w:rPr>
          <w:rFonts w:hint="eastAsia"/>
          <w:color w:val="auto"/>
        </w:rPr>
        <w:t>环境</w:t>
      </w:r>
      <w:r>
        <w:rPr>
          <w:color w:val="auto"/>
        </w:rPr>
        <w:t>影响分析</w:t>
      </w:r>
    </w:p>
    <w:p w14:paraId="371778D0">
      <w:pPr>
        <w:autoSpaceDE w:val="0"/>
        <w:autoSpaceDN w:val="0"/>
        <w:adjustRightInd w:val="0"/>
        <w:spacing w:line="360" w:lineRule="auto"/>
        <w:ind w:firstLine="480" w:firstLineChars="200"/>
        <w:rPr>
          <w:rFonts w:ascii="宋体" w:cs="宋体"/>
          <w:color w:val="auto"/>
          <w:kern w:val="0"/>
          <w:sz w:val="24"/>
          <w:szCs w:val="24"/>
        </w:rPr>
      </w:pPr>
      <w:r>
        <w:rPr>
          <w:rFonts w:hint="eastAsia" w:ascii="宋体" w:cs="宋体"/>
          <w:color w:val="auto"/>
          <w:kern w:val="0"/>
          <w:sz w:val="24"/>
          <w:szCs w:val="24"/>
        </w:rPr>
        <w:t>到港船舶废弃物若倒弃于河中，不仅影响自然景观，而且会损伤船壳及</w:t>
      </w:r>
      <w:r>
        <w:rPr>
          <w:rFonts w:hint="eastAsia" w:ascii="宋体" w:cs="宋体"/>
          <w:color w:val="auto"/>
          <w:kern w:val="0"/>
          <w:sz w:val="24"/>
          <w:szCs w:val="24"/>
          <w:lang w:eastAsia="zh-CN"/>
        </w:rPr>
        <w:t>螺旋桨</w:t>
      </w:r>
      <w:r>
        <w:rPr>
          <w:rFonts w:hint="eastAsia" w:ascii="宋体" w:cs="宋体"/>
          <w:color w:val="auto"/>
          <w:kern w:val="0"/>
          <w:sz w:val="24"/>
          <w:szCs w:val="24"/>
        </w:rPr>
        <w:t>，沉积于港口的污染物，会造成一定程度的底质污染，对水体生物也会造成影响。因此，到港船舶垃圾不得向河里倾倒，须用密封式袋或桶盛装，由码头接收设施接收运至陆域由环卫部门处理。严格执行上述措施，可使船舶固体废弃物对港区水域、生态及社会的不利影响减至最小。</w:t>
      </w:r>
    </w:p>
    <w:p w14:paraId="70E4B685">
      <w:pPr>
        <w:autoSpaceDE w:val="0"/>
        <w:autoSpaceDN w:val="0"/>
        <w:adjustRightInd w:val="0"/>
        <w:spacing w:line="360" w:lineRule="auto"/>
        <w:ind w:firstLine="480" w:firstLineChars="200"/>
        <w:rPr>
          <w:rFonts w:ascii="宋体" w:cs="宋体"/>
          <w:color w:val="auto"/>
          <w:kern w:val="0"/>
          <w:sz w:val="24"/>
          <w:szCs w:val="24"/>
        </w:rPr>
      </w:pPr>
      <w:r>
        <w:rPr>
          <w:rFonts w:hint="eastAsia" w:ascii="宋体" w:cs="宋体"/>
          <w:color w:val="auto"/>
          <w:kern w:val="0"/>
          <w:sz w:val="24"/>
          <w:szCs w:val="24"/>
        </w:rPr>
        <w:t>陆地上的固体废弃物如不及时清理，则会腐烂变质，成为细菌和鼠蝇的滋生地，并散发出恶劣气味，污染陆域环境，传播疾病，危害人群健康，影响港口景观；如果就地掩埋，则会污染地下水，而且一旦被雨水冲出还会造成二次污染。因此，对于陆域垃圾应及时由环卫部门收集处理。</w:t>
      </w:r>
    </w:p>
    <w:p w14:paraId="0FB847E4">
      <w:pPr>
        <w:autoSpaceDE w:val="0"/>
        <w:autoSpaceDN w:val="0"/>
        <w:adjustRightInd w:val="0"/>
        <w:spacing w:line="360" w:lineRule="auto"/>
        <w:ind w:firstLine="480" w:firstLineChars="200"/>
        <w:rPr>
          <w:rFonts w:ascii="宋体" w:cs="宋体"/>
          <w:color w:val="auto"/>
          <w:kern w:val="0"/>
          <w:sz w:val="24"/>
          <w:szCs w:val="24"/>
        </w:rPr>
      </w:pPr>
      <w:r>
        <w:rPr>
          <w:rFonts w:hint="eastAsia" w:ascii="宋体" w:cs="宋体"/>
          <w:color w:val="auto"/>
          <w:kern w:val="0"/>
          <w:sz w:val="24"/>
          <w:szCs w:val="24"/>
        </w:rPr>
        <w:t>本项目码头不设到港船舶危废收集措施，隔油沉淀池含油污泥妥善暂存于危废暂存间，</w:t>
      </w:r>
      <w:r>
        <w:rPr>
          <w:rFonts w:hint="eastAsia" w:ascii="宋体" w:cs="宋体"/>
          <w:color w:val="auto"/>
          <w:kern w:val="0"/>
          <w:sz w:val="24"/>
          <w:szCs w:val="24"/>
          <w:lang w:eastAsia="zh-CN"/>
        </w:rPr>
        <w:t>定期</w:t>
      </w:r>
      <w:r>
        <w:rPr>
          <w:rFonts w:hint="eastAsia" w:ascii="宋体" w:cs="宋体"/>
          <w:color w:val="auto"/>
          <w:kern w:val="0"/>
          <w:sz w:val="24"/>
          <w:szCs w:val="24"/>
        </w:rPr>
        <w:t>交由有资质的单位进行处理处置。</w:t>
      </w:r>
    </w:p>
    <w:p w14:paraId="2F238708">
      <w:pPr>
        <w:autoSpaceDE w:val="0"/>
        <w:autoSpaceDN w:val="0"/>
        <w:adjustRightInd w:val="0"/>
        <w:spacing w:line="360" w:lineRule="auto"/>
        <w:ind w:firstLine="480" w:firstLineChars="200"/>
        <w:rPr>
          <w:rFonts w:ascii="宋体" w:cs="宋体"/>
          <w:color w:val="auto"/>
          <w:kern w:val="0"/>
          <w:sz w:val="24"/>
          <w:szCs w:val="24"/>
        </w:rPr>
      </w:pPr>
      <w:r>
        <w:rPr>
          <w:rFonts w:hint="eastAsia" w:ascii="宋体" w:cs="宋体"/>
          <w:color w:val="auto"/>
          <w:kern w:val="0"/>
          <w:sz w:val="24"/>
          <w:szCs w:val="24"/>
        </w:rPr>
        <w:t>本项目产生的固体废弃物如果严格按照固体废物处理要求进行处理，对环境及人体不会造成危害。</w:t>
      </w:r>
    </w:p>
    <w:p w14:paraId="3E03BBB4">
      <w:pPr>
        <w:autoSpaceDE w:val="0"/>
        <w:autoSpaceDN w:val="0"/>
        <w:adjustRightInd w:val="0"/>
        <w:spacing w:line="360" w:lineRule="auto"/>
        <w:ind w:firstLine="480" w:firstLineChars="200"/>
        <w:rPr>
          <w:rFonts w:hint="eastAsia" w:ascii="宋体" w:cs="宋体"/>
          <w:color w:val="auto"/>
          <w:kern w:val="0"/>
          <w:sz w:val="24"/>
          <w:szCs w:val="24"/>
        </w:rPr>
      </w:pPr>
      <w:r>
        <w:rPr>
          <w:rFonts w:hint="eastAsia" w:ascii="宋体" w:cs="宋体"/>
          <w:color w:val="auto"/>
          <w:kern w:val="0"/>
          <w:sz w:val="24"/>
          <w:szCs w:val="24"/>
        </w:rPr>
        <w:t>可见，项目产生的固体废物通过以上措施处置，均能做到合理处置，不会对周围环境产生影响，但必须指出的是，固体废物综合利用、处理处置前在码头内的堆放、贮存场所应按照国家固体废物贮存有关要求设置，避免产生二次污染</w:t>
      </w:r>
      <w:r>
        <w:rPr>
          <w:color w:val="auto"/>
          <w:sz w:val="24"/>
          <w:szCs w:val="24"/>
        </w:rPr>
        <w:t>。</w:t>
      </w:r>
    </w:p>
    <w:p w14:paraId="3CFF1D78">
      <w:pPr>
        <w:pStyle w:val="4"/>
        <w:numPr>
          <w:ilvl w:val="0"/>
          <w:numId w:val="0"/>
        </w:numPr>
        <w:rPr>
          <w:color w:val="auto"/>
        </w:rPr>
      </w:pPr>
      <w:r>
        <w:rPr>
          <w:rFonts w:hint="eastAsia"/>
          <w:color w:val="auto"/>
        </w:rPr>
        <w:t>5.2.5</w:t>
      </w:r>
      <w:r>
        <w:rPr>
          <w:color w:val="auto"/>
        </w:rPr>
        <w:t>运营期生态环境影响分析</w:t>
      </w:r>
    </w:p>
    <w:p w14:paraId="2B3A9904">
      <w:pPr>
        <w:pStyle w:val="5"/>
        <w:numPr>
          <w:ilvl w:val="0"/>
          <w:numId w:val="0"/>
        </w:numPr>
        <w:rPr>
          <w:color w:val="auto"/>
        </w:rPr>
      </w:pPr>
      <w:r>
        <w:rPr>
          <w:rFonts w:hint="eastAsia"/>
          <w:color w:val="auto"/>
        </w:rPr>
        <w:t>5.2.5.1</w:t>
      </w:r>
      <w:r>
        <w:rPr>
          <w:color w:val="auto"/>
        </w:rPr>
        <w:t>陆生生态影响分析</w:t>
      </w:r>
    </w:p>
    <w:p w14:paraId="6E9CBF57">
      <w:pPr>
        <w:pStyle w:val="256"/>
        <w:spacing w:line="360" w:lineRule="auto"/>
        <w:ind w:firstLine="480"/>
        <w:rPr>
          <w:rFonts w:ascii="Times New Roman" w:hAnsi="Times New Roman"/>
          <w:color w:val="auto"/>
          <w:sz w:val="24"/>
        </w:rPr>
      </w:pPr>
      <w:r>
        <w:rPr>
          <w:rFonts w:ascii="Times New Roman" w:hAnsi="Times New Roman"/>
          <w:color w:val="auto"/>
          <w:sz w:val="24"/>
        </w:rPr>
        <w:t>（1）</w:t>
      </w:r>
      <w:r>
        <w:rPr>
          <w:rFonts w:hint="eastAsia" w:ascii="Times New Roman" w:hAnsi="Times New Roman"/>
          <w:color w:val="auto"/>
          <w:sz w:val="24"/>
        </w:rPr>
        <w:t>工程占地</w:t>
      </w:r>
      <w:r>
        <w:rPr>
          <w:rFonts w:ascii="Times New Roman" w:hAnsi="Times New Roman"/>
          <w:color w:val="auto"/>
          <w:sz w:val="24"/>
        </w:rPr>
        <w:t>陆域植被</w:t>
      </w:r>
      <w:r>
        <w:rPr>
          <w:rFonts w:hint="eastAsia" w:ascii="Times New Roman" w:hAnsi="Times New Roman"/>
          <w:color w:val="auto"/>
          <w:sz w:val="24"/>
        </w:rPr>
        <w:t>和植物多样性</w:t>
      </w:r>
      <w:r>
        <w:rPr>
          <w:rFonts w:ascii="Times New Roman" w:hAnsi="Times New Roman"/>
          <w:color w:val="auto"/>
          <w:sz w:val="24"/>
        </w:rPr>
        <w:t>影响分析</w:t>
      </w:r>
    </w:p>
    <w:p w14:paraId="355F83EA">
      <w:pPr>
        <w:pStyle w:val="256"/>
        <w:spacing w:line="360" w:lineRule="auto"/>
        <w:ind w:firstLine="480"/>
        <w:rPr>
          <w:rFonts w:hint="default" w:ascii="Times New Roman" w:hAnsi="Times New Roman"/>
          <w:color w:val="auto"/>
          <w:sz w:val="24"/>
          <w:lang w:val="en-US" w:eastAsia="zh-CN"/>
        </w:rPr>
      </w:pPr>
      <w:r>
        <w:rPr>
          <w:rFonts w:hint="eastAsia" w:ascii="Times New Roman" w:hAnsi="Times New Roman"/>
          <w:color w:val="auto"/>
          <w:sz w:val="24"/>
          <w:lang w:val="en-US" w:eastAsia="zh-CN"/>
        </w:rPr>
        <w:t>项目在2012年报告表通过审批之后，进行了场地的平整和硬化工作，但因时间久远，目前场地上长出了部分草本植物，可认为是草地。从图4.2-5可以看出项目拟建的进港道路目前为人工林地，而其他部分目前为已经硬化的场地（草地），通过图形叠置计算，林地、草地面积分别为4.7亩和15.3亩。</w:t>
      </w:r>
    </w:p>
    <w:p w14:paraId="0EA9B311">
      <w:pPr>
        <w:pStyle w:val="256"/>
        <w:spacing w:line="360" w:lineRule="auto"/>
        <w:ind w:firstLine="480"/>
        <w:rPr>
          <w:rFonts w:ascii="Times New Roman" w:hAnsi="Times New Roman"/>
          <w:color w:val="auto"/>
          <w:sz w:val="24"/>
        </w:rPr>
      </w:pPr>
      <w:r>
        <w:rPr>
          <w:rFonts w:hint="eastAsia" w:ascii="Times New Roman" w:hAnsi="Times New Roman"/>
          <w:color w:val="auto"/>
          <w:sz w:val="24"/>
        </w:rPr>
        <w:t>工程区以</w:t>
      </w:r>
      <w:r>
        <w:rPr>
          <w:rFonts w:hint="eastAsia" w:ascii="Times New Roman" w:hAnsi="Times New Roman"/>
          <w:color w:val="auto"/>
          <w:sz w:val="24"/>
          <w:lang w:val="en-US" w:eastAsia="zh-CN"/>
        </w:rPr>
        <w:t>已经硬化的场地（草地）、人工林地</w:t>
      </w:r>
      <w:r>
        <w:rPr>
          <w:rFonts w:hint="eastAsia" w:ascii="Times New Roman" w:hAnsi="Times New Roman"/>
          <w:color w:val="auto"/>
          <w:sz w:val="24"/>
        </w:rPr>
        <w:t>为主，区域林地多为村庄周边人工林，以意杨林、毛白杨林、樟树林和旱柳林为常见；灌草丛植被主要有构树灌丛、小果蔷薇灌丛、酸枣灌丛、白茅灌草丛、芦苇灌草丛、狗牙根灌草丛等；沿河还有少量芦苇沼泽、香蒲和苔草分布。工程占地涉及的植物种类基本为区域常见种类和人工种植种类，在评价区内分布广泛。因此，对评价内的植被和植物多样性的不利影响较小。</w:t>
      </w:r>
    </w:p>
    <w:p w14:paraId="73F85892">
      <w:pPr>
        <w:pStyle w:val="256"/>
        <w:spacing w:line="360" w:lineRule="auto"/>
        <w:ind w:firstLine="480"/>
        <w:rPr>
          <w:rFonts w:ascii="Times New Roman" w:hAnsi="Times New Roman"/>
          <w:color w:val="auto"/>
          <w:sz w:val="24"/>
        </w:rPr>
      </w:pPr>
      <w:r>
        <w:rPr>
          <w:rFonts w:ascii="Times New Roman" w:hAnsi="Times New Roman"/>
          <w:color w:val="auto"/>
          <w:sz w:val="24"/>
        </w:rPr>
        <w:t>项目工程设计保证了一定的绿化率，通过结合本地物种进行绿化、种植等人工绿化措施，可以</w:t>
      </w:r>
      <w:r>
        <w:rPr>
          <w:rFonts w:hint="eastAsia" w:ascii="Times New Roman" w:hAnsi="Times New Roman"/>
          <w:color w:val="auto"/>
          <w:sz w:val="24"/>
          <w:lang w:eastAsia="zh-CN"/>
        </w:rPr>
        <w:t>尽最大可能</w:t>
      </w:r>
      <w:r>
        <w:rPr>
          <w:rFonts w:ascii="Times New Roman" w:hAnsi="Times New Roman"/>
          <w:color w:val="auto"/>
          <w:sz w:val="24"/>
        </w:rPr>
        <w:t>减少对植被覆盖率的影响。</w:t>
      </w:r>
      <w:r>
        <w:rPr>
          <w:rFonts w:hint="eastAsia" w:ascii="Times New Roman" w:hAnsi="Times New Roman"/>
          <w:color w:val="auto"/>
          <w:sz w:val="24"/>
        </w:rPr>
        <w:t>且</w:t>
      </w:r>
      <w:r>
        <w:rPr>
          <w:rFonts w:ascii="Times New Roman" w:hAnsi="Times New Roman"/>
          <w:color w:val="auto"/>
          <w:sz w:val="24"/>
        </w:rPr>
        <w:t>项目</w:t>
      </w:r>
      <w:r>
        <w:rPr>
          <w:rFonts w:hint="eastAsia" w:ascii="Times New Roman" w:hAnsi="Times New Roman"/>
          <w:color w:val="auto"/>
          <w:sz w:val="24"/>
        </w:rPr>
        <w:t>部分</w:t>
      </w:r>
      <w:r>
        <w:rPr>
          <w:rFonts w:ascii="Times New Roman" w:hAnsi="Times New Roman"/>
          <w:color w:val="auto"/>
          <w:sz w:val="24"/>
        </w:rPr>
        <w:t>陆域所处用地属于</w:t>
      </w:r>
      <w:r>
        <w:rPr>
          <w:rFonts w:hint="eastAsia" w:ascii="Times New Roman" w:hAnsi="Times New Roman"/>
          <w:color w:val="auto"/>
          <w:sz w:val="24"/>
        </w:rPr>
        <w:t>淮南市潘集港区平圩作业区</w:t>
      </w:r>
      <w:r>
        <w:rPr>
          <w:rFonts w:ascii="Times New Roman" w:hAnsi="Times New Roman"/>
          <w:color w:val="auto"/>
          <w:sz w:val="24"/>
        </w:rPr>
        <w:t>规划范围，总体上对当地陆生植被影响较小。</w:t>
      </w:r>
    </w:p>
    <w:p w14:paraId="47CC1F9A">
      <w:pPr>
        <w:pStyle w:val="256"/>
        <w:spacing w:line="360" w:lineRule="auto"/>
        <w:ind w:firstLine="480"/>
        <w:rPr>
          <w:rFonts w:ascii="Times New Roman" w:hAnsi="Times New Roman"/>
          <w:color w:val="auto"/>
          <w:sz w:val="24"/>
        </w:rPr>
      </w:pPr>
      <w:r>
        <w:rPr>
          <w:rFonts w:ascii="Times New Roman" w:hAnsi="Times New Roman"/>
          <w:color w:val="auto"/>
          <w:sz w:val="24"/>
        </w:rPr>
        <w:t>（2）植物生物量损失影响</w:t>
      </w:r>
    </w:p>
    <w:p w14:paraId="30CD0D49">
      <w:pPr>
        <w:pStyle w:val="256"/>
        <w:spacing w:line="360" w:lineRule="auto"/>
        <w:ind w:firstLine="480"/>
        <w:rPr>
          <w:rFonts w:ascii="Times New Roman" w:hAnsi="Times New Roman"/>
          <w:color w:val="auto"/>
          <w:sz w:val="24"/>
          <w:highlight w:val="lightGray"/>
        </w:rPr>
      </w:pPr>
      <w:r>
        <w:rPr>
          <w:rFonts w:ascii="Times New Roman" w:hAnsi="Times New Roman"/>
          <w:color w:val="auto"/>
          <w:sz w:val="24"/>
        </w:rPr>
        <w:t>本项目用地范围永久占用土地共</w:t>
      </w:r>
      <w:r>
        <w:rPr>
          <w:rFonts w:hint="eastAsia" w:ascii="Times New Roman" w:hAnsi="Times New Roman"/>
          <w:color w:val="auto"/>
          <w:sz w:val="24"/>
        </w:rPr>
        <w:t>约3.73hm</w:t>
      </w:r>
      <w:r>
        <w:rPr>
          <w:rFonts w:ascii="Times New Roman" w:hAnsi="Times New Roman"/>
          <w:color w:val="auto"/>
          <w:sz w:val="24"/>
          <w:vertAlign w:val="superscript"/>
        </w:rPr>
        <w:t>2</w:t>
      </w:r>
      <w:r>
        <w:rPr>
          <w:rFonts w:ascii="Times New Roman" w:hAnsi="Times New Roman"/>
          <w:color w:val="auto"/>
          <w:sz w:val="24"/>
        </w:rPr>
        <w:t>。本项目建成后</w:t>
      </w:r>
      <w:r>
        <w:rPr>
          <w:rFonts w:hint="eastAsia" w:ascii="Times New Roman" w:hAnsi="Times New Roman"/>
          <w:color w:val="auto"/>
          <w:sz w:val="24"/>
        </w:rPr>
        <w:t>占地</w:t>
      </w:r>
      <w:r>
        <w:rPr>
          <w:rFonts w:ascii="Times New Roman" w:hAnsi="Times New Roman"/>
          <w:color w:val="auto"/>
          <w:sz w:val="24"/>
        </w:rPr>
        <w:t>范围的植被类型面积和</w:t>
      </w:r>
      <w:r>
        <w:rPr>
          <w:rFonts w:hint="eastAsia" w:ascii="Times New Roman" w:hAnsi="Times New Roman"/>
          <w:color w:val="auto"/>
          <w:sz w:val="24"/>
        </w:rPr>
        <w:t>净初级生产量</w:t>
      </w:r>
      <w:r>
        <w:rPr>
          <w:rFonts w:ascii="Times New Roman" w:hAnsi="Times New Roman"/>
          <w:color w:val="auto"/>
          <w:sz w:val="24"/>
        </w:rPr>
        <w:t>发生变化，具体变化情况见表5.</w:t>
      </w:r>
      <w:r>
        <w:rPr>
          <w:rFonts w:hint="eastAsia" w:ascii="Times New Roman" w:hAnsi="Times New Roman"/>
          <w:color w:val="auto"/>
          <w:sz w:val="24"/>
        </w:rPr>
        <w:t>2-</w:t>
      </w:r>
      <w:r>
        <w:rPr>
          <w:rFonts w:hint="eastAsia" w:ascii="Times New Roman" w:hAnsi="Times New Roman"/>
          <w:color w:val="auto"/>
          <w:sz w:val="24"/>
          <w:lang w:val="en-US" w:eastAsia="zh-CN"/>
        </w:rPr>
        <w:t>1</w:t>
      </w:r>
      <w:r>
        <w:rPr>
          <w:rFonts w:hint="eastAsia" w:ascii="Times New Roman" w:hAnsi="Times New Roman"/>
          <w:color w:val="auto"/>
          <w:sz w:val="24"/>
        </w:rPr>
        <w:t>7</w:t>
      </w:r>
      <w:r>
        <w:rPr>
          <w:rFonts w:ascii="Times New Roman" w:hAnsi="Times New Roman"/>
          <w:color w:val="auto"/>
          <w:sz w:val="24"/>
        </w:rPr>
        <w:t>。</w:t>
      </w:r>
    </w:p>
    <w:p w14:paraId="0AE36547">
      <w:pPr>
        <w:spacing w:line="400" w:lineRule="exact"/>
        <w:jc w:val="center"/>
        <w:rPr>
          <w:rFonts w:hint="eastAsia" w:eastAsia="黑体"/>
          <w:color w:val="auto"/>
          <w:sz w:val="24"/>
        </w:rPr>
      </w:pPr>
      <w:r>
        <w:rPr>
          <w:rFonts w:hint="eastAsia" w:eastAsia="黑体"/>
          <w:color w:val="auto"/>
          <w:sz w:val="24"/>
        </w:rPr>
        <w:t>表5.2-</w:t>
      </w:r>
      <w:r>
        <w:rPr>
          <w:rFonts w:hint="eastAsia" w:eastAsia="黑体"/>
          <w:color w:val="auto"/>
          <w:sz w:val="24"/>
          <w:lang w:val="en-US" w:eastAsia="zh-CN"/>
        </w:rPr>
        <w:t>1</w:t>
      </w:r>
      <w:r>
        <w:rPr>
          <w:rFonts w:hint="eastAsia" w:eastAsia="黑体"/>
          <w:color w:val="auto"/>
          <w:sz w:val="24"/>
        </w:rPr>
        <w:t>7  项目永久占地带来的植被生物量变化</w:t>
      </w:r>
    </w:p>
    <w:tbl>
      <w:tblPr>
        <w:tblStyle w:val="53"/>
        <w:tblW w:w="0" w:type="auto"/>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257"/>
        <w:gridCol w:w="2547"/>
        <w:gridCol w:w="1836"/>
        <w:gridCol w:w="2390"/>
      </w:tblGrid>
      <w:tr w14:paraId="7D06AE1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4804" w:type="dxa"/>
            <w:gridSpan w:val="2"/>
            <w:noWrap w:val="0"/>
            <w:vAlign w:val="center"/>
          </w:tcPr>
          <w:p w14:paraId="54A930A7">
            <w:pPr>
              <w:pStyle w:val="237"/>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土地类型变化</w:t>
            </w:r>
          </w:p>
        </w:tc>
        <w:tc>
          <w:tcPr>
            <w:tcW w:w="1836" w:type="dxa"/>
            <w:vMerge w:val="restart"/>
            <w:noWrap w:val="0"/>
            <w:vAlign w:val="center"/>
          </w:tcPr>
          <w:p w14:paraId="1F40CE9A">
            <w:pPr>
              <w:pStyle w:val="237"/>
              <w:keepNext w:val="0"/>
              <w:keepLines w:val="0"/>
              <w:widowControl/>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平均净初级生产力（t/</w:t>
            </w:r>
            <w:r>
              <w:rPr>
                <w:rFonts w:hint="default" w:ascii="Times New Roman" w:hAnsi="Times New Roman" w:cs="Times New Roman"/>
                <w:b/>
                <w:bCs/>
                <w:color w:val="auto"/>
                <w:sz w:val="21"/>
                <w:szCs w:val="21"/>
              </w:rPr>
              <w:t>hm</w:t>
            </w:r>
            <w:r>
              <w:rPr>
                <w:rFonts w:hint="default" w:ascii="Times New Roman" w:hAnsi="Times New Roman" w:cs="Times New Roman"/>
                <w:b/>
                <w:bCs/>
                <w:color w:val="auto"/>
                <w:sz w:val="21"/>
                <w:szCs w:val="21"/>
                <w:vertAlign w:val="superscript"/>
              </w:rPr>
              <w:t>2</w:t>
            </w:r>
            <w:r>
              <w:rPr>
                <w:rFonts w:hint="default" w:ascii="Times New Roman" w:hAnsi="Times New Roman" w:cs="Times New Roman"/>
                <w:b/>
                <w:bCs/>
                <w:color w:val="auto"/>
                <w:sz w:val="21"/>
                <w:szCs w:val="21"/>
              </w:rPr>
              <w:t>·a</w:t>
            </w:r>
            <w:r>
              <w:rPr>
                <w:rFonts w:hint="eastAsia" w:ascii="Times New Roman" w:hAnsi="Times New Roman" w:cs="Times New Roman"/>
                <w:b/>
                <w:bCs/>
                <w:color w:val="auto"/>
                <w:sz w:val="21"/>
                <w:szCs w:val="21"/>
              </w:rPr>
              <w:t>）</w:t>
            </w:r>
          </w:p>
        </w:tc>
        <w:tc>
          <w:tcPr>
            <w:tcW w:w="2390" w:type="dxa"/>
            <w:vMerge w:val="restart"/>
            <w:noWrap w:val="0"/>
            <w:vAlign w:val="center"/>
          </w:tcPr>
          <w:p w14:paraId="602A1C3D">
            <w:pPr>
              <w:pStyle w:val="237"/>
              <w:keepNext w:val="0"/>
              <w:keepLines w:val="0"/>
              <w:widowControl/>
              <w:suppressLineNumbers w:val="0"/>
              <w:snapToGrid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年净初级生物量变化（t）</w:t>
            </w:r>
          </w:p>
        </w:tc>
      </w:tr>
      <w:tr w14:paraId="3E52773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257" w:type="dxa"/>
            <w:noWrap w:val="0"/>
            <w:vAlign w:val="center"/>
          </w:tcPr>
          <w:p w14:paraId="2C8E184C">
            <w:pPr>
              <w:pStyle w:val="237"/>
              <w:keepNext w:val="0"/>
              <w:keepLines w:val="0"/>
              <w:widowControl/>
              <w:suppressLineNumbers w:val="0"/>
              <w:snapToGrid w:val="0"/>
              <w:spacing w:before="0" w:beforeAutospacing="0" w:after="0" w:afterAutospacing="0" w:line="240" w:lineRule="auto"/>
              <w:ind w:left="0" w:right="0" w:firstLine="422"/>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类型</w:t>
            </w:r>
          </w:p>
        </w:tc>
        <w:tc>
          <w:tcPr>
            <w:tcW w:w="2547" w:type="dxa"/>
            <w:noWrap w:val="0"/>
            <w:vAlign w:val="center"/>
          </w:tcPr>
          <w:p w14:paraId="046B17C5">
            <w:pPr>
              <w:pStyle w:val="237"/>
              <w:keepNext w:val="0"/>
              <w:keepLines w:val="0"/>
              <w:widowControl/>
              <w:suppressLineNumbers w:val="0"/>
              <w:snapToGrid w:val="0"/>
              <w:spacing w:before="0" w:beforeAutospacing="0" w:after="0" w:afterAutospacing="0" w:line="240" w:lineRule="auto"/>
              <w:ind w:left="0" w:right="0" w:firstLine="422"/>
              <w:jc w:val="center"/>
              <w:rPr>
                <w:rFonts w:hint="default" w:ascii="Times New Roman" w:hAnsi="Times New Roman" w:cs="Times New Roman"/>
                <w:b/>
                <w:bCs/>
                <w:color w:val="auto"/>
                <w:sz w:val="21"/>
                <w:szCs w:val="21"/>
              </w:rPr>
            </w:pPr>
            <w:r>
              <w:rPr>
                <w:rFonts w:hint="eastAsia" w:ascii="Times New Roman" w:hAnsi="Times New Roman" w:cs="Times New Roman"/>
                <w:b/>
                <w:bCs/>
                <w:color w:val="auto"/>
                <w:sz w:val="21"/>
                <w:szCs w:val="21"/>
              </w:rPr>
              <w:t>面积（hm</w:t>
            </w:r>
            <w:r>
              <w:rPr>
                <w:rFonts w:hint="default" w:ascii="Times New Roman" w:hAnsi="Times New Roman" w:cs="Times New Roman"/>
                <w:b/>
                <w:bCs/>
                <w:color w:val="auto"/>
                <w:sz w:val="21"/>
                <w:szCs w:val="21"/>
                <w:vertAlign w:val="superscript"/>
              </w:rPr>
              <w:t>2</w:t>
            </w:r>
            <w:r>
              <w:rPr>
                <w:rFonts w:hint="eastAsia" w:ascii="Times New Roman" w:hAnsi="Times New Roman" w:cs="Times New Roman"/>
                <w:b/>
                <w:bCs/>
                <w:color w:val="auto"/>
                <w:sz w:val="21"/>
                <w:szCs w:val="21"/>
              </w:rPr>
              <w:t>）</w:t>
            </w:r>
          </w:p>
        </w:tc>
        <w:tc>
          <w:tcPr>
            <w:tcW w:w="1836" w:type="dxa"/>
            <w:vMerge w:val="continue"/>
            <w:noWrap w:val="0"/>
            <w:vAlign w:val="center"/>
          </w:tcPr>
          <w:p w14:paraId="195E1959">
            <w:pPr>
              <w:pStyle w:val="237"/>
              <w:keepNext w:val="0"/>
              <w:keepLines w:val="0"/>
              <w:widowControl/>
              <w:suppressLineNumbers w:val="0"/>
              <w:snapToGrid w:val="0"/>
              <w:spacing w:before="0" w:beforeAutospacing="0" w:after="0" w:afterAutospacing="0" w:line="240" w:lineRule="auto"/>
              <w:ind w:left="0" w:right="0" w:firstLine="422"/>
              <w:jc w:val="center"/>
              <w:rPr>
                <w:rFonts w:hint="default" w:ascii="Times New Roman" w:hAnsi="Times New Roman" w:cs="Times New Roman"/>
                <w:b/>
                <w:bCs/>
                <w:color w:val="auto"/>
                <w:sz w:val="21"/>
                <w:szCs w:val="21"/>
              </w:rPr>
            </w:pPr>
          </w:p>
        </w:tc>
        <w:tc>
          <w:tcPr>
            <w:tcW w:w="2390" w:type="dxa"/>
            <w:vMerge w:val="continue"/>
            <w:noWrap w:val="0"/>
            <w:vAlign w:val="center"/>
          </w:tcPr>
          <w:p w14:paraId="16691BE3">
            <w:pPr>
              <w:pStyle w:val="237"/>
              <w:keepNext w:val="0"/>
              <w:keepLines w:val="0"/>
              <w:widowControl/>
              <w:suppressLineNumbers w:val="0"/>
              <w:snapToGrid w:val="0"/>
              <w:spacing w:before="0" w:beforeAutospacing="0" w:after="0" w:afterAutospacing="0" w:line="240" w:lineRule="auto"/>
              <w:ind w:left="0" w:right="0" w:firstLine="422"/>
              <w:jc w:val="center"/>
              <w:rPr>
                <w:rFonts w:hint="default" w:ascii="Times New Roman" w:hAnsi="Times New Roman" w:cs="Times New Roman"/>
                <w:b/>
                <w:bCs/>
                <w:color w:val="auto"/>
                <w:sz w:val="21"/>
                <w:szCs w:val="21"/>
              </w:rPr>
            </w:pPr>
          </w:p>
        </w:tc>
      </w:tr>
      <w:tr w14:paraId="173F924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257" w:type="dxa"/>
            <w:noWrap w:val="0"/>
            <w:vAlign w:val="center"/>
          </w:tcPr>
          <w:p w14:paraId="15778B3F">
            <w:pPr>
              <w:pStyle w:val="237"/>
              <w:keepNext w:val="0"/>
              <w:keepLines w:val="0"/>
              <w:widowControl/>
              <w:suppressLineNumbers w:val="0"/>
              <w:snapToGrid w:val="0"/>
              <w:spacing w:before="0" w:beforeAutospacing="0" w:after="0" w:afterAutospacing="0" w:line="240" w:lineRule="auto"/>
              <w:ind w:left="0" w:right="0" w:firstLine="42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滩地（灌草地）</w:t>
            </w:r>
          </w:p>
        </w:tc>
        <w:tc>
          <w:tcPr>
            <w:tcW w:w="2547" w:type="dxa"/>
            <w:noWrap w:val="0"/>
            <w:vAlign w:val="center"/>
          </w:tcPr>
          <w:p w14:paraId="2199F946">
            <w:pPr>
              <w:pStyle w:val="237"/>
              <w:keepNext w:val="0"/>
              <w:keepLines w:val="0"/>
              <w:widowControl/>
              <w:suppressLineNumbers w:val="0"/>
              <w:snapToGrid w:val="0"/>
              <w:spacing w:before="0" w:beforeAutospacing="0" w:after="0" w:afterAutospacing="0" w:line="240" w:lineRule="auto"/>
              <w:ind w:left="0" w:right="0" w:firstLine="42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-7.43</w:t>
            </w:r>
          </w:p>
        </w:tc>
        <w:tc>
          <w:tcPr>
            <w:tcW w:w="1836" w:type="dxa"/>
            <w:noWrap w:val="0"/>
            <w:vAlign w:val="center"/>
          </w:tcPr>
          <w:p w14:paraId="321E8A20">
            <w:pPr>
              <w:pStyle w:val="237"/>
              <w:keepNext w:val="0"/>
              <w:keepLines w:val="0"/>
              <w:widowControl/>
              <w:suppressLineNumbers w:val="0"/>
              <w:snapToGrid w:val="0"/>
              <w:spacing w:before="0" w:beforeAutospacing="0" w:after="0" w:afterAutospacing="0" w:line="240" w:lineRule="auto"/>
              <w:ind w:left="0" w:right="0" w:firstLine="42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1.7</w:t>
            </w:r>
          </w:p>
        </w:tc>
        <w:tc>
          <w:tcPr>
            <w:tcW w:w="2390" w:type="dxa"/>
            <w:noWrap w:val="0"/>
            <w:vAlign w:val="center"/>
          </w:tcPr>
          <w:p w14:paraId="3AFB705A">
            <w:pPr>
              <w:keepNext w:val="0"/>
              <w:keepLines w:val="0"/>
              <w:widowControl/>
              <w:suppressLineNumbers w:val="0"/>
              <w:spacing w:before="0" w:beforeAutospacing="0" w:after="0" w:afterAutospacing="0"/>
              <w:ind w:left="0" w:right="0" w:firstLine="420" w:firstLineChars="20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12.631</w:t>
            </w:r>
          </w:p>
        </w:tc>
      </w:tr>
      <w:tr w14:paraId="682B842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257" w:type="dxa"/>
            <w:noWrap w:val="0"/>
            <w:vAlign w:val="center"/>
          </w:tcPr>
          <w:p w14:paraId="01660454">
            <w:pPr>
              <w:pStyle w:val="237"/>
              <w:keepNext w:val="0"/>
              <w:keepLines w:val="0"/>
              <w:widowControl/>
              <w:suppressLineNumbers w:val="0"/>
              <w:snapToGrid w:val="0"/>
              <w:spacing w:before="0" w:beforeAutospacing="0" w:after="0" w:afterAutospacing="0" w:line="240" w:lineRule="auto"/>
              <w:ind w:left="0" w:right="0" w:firstLine="42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耕地（旱地）</w:t>
            </w:r>
          </w:p>
        </w:tc>
        <w:tc>
          <w:tcPr>
            <w:tcW w:w="2547" w:type="dxa"/>
            <w:noWrap w:val="0"/>
            <w:vAlign w:val="center"/>
          </w:tcPr>
          <w:p w14:paraId="5C28BF99">
            <w:pPr>
              <w:pStyle w:val="237"/>
              <w:keepNext w:val="0"/>
              <w:keepLines w:val="0"/>
              <w:widowControl/>
              <w:suppressLineNumbers w:val="0"/>
              <w:snapToGrid w:val="0"/>
              <w:spacing w:before="0" w:beforeAutospacing="0" w:after="0" w:afterAutospacing="0" w:line="240" w:lineRule="auto"/>
              <w:ind w:left="0" w:right="0" w:firstLine="42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-12.12</w:t>
            </w:r>
          </w:p>
        </w:tc>
        <w:tc>
          <w:tcPr>
            <w:tcW w:w="1836" w:type="dxa"/>
            <w:noWrap w:val="0"/>
            <w:vAlign w:val="center"/>
          </w:tcPr>
          <w:p w14:paraId="413EBDEC">
            <w:pPr>
              <w:pStyle w:val="237"/>
              <w:keepNext w:val="0"/>
              <w:keepLines w:val="0"/>
              <w:widowControl/>
              <w:suppressLineNumbers w:val="0"/>
              <w:snapToGrid w:val="0"/>
              <w:spacing w:before="0" w:beforeAutospacing="0" w:after="0" w:afterAutospacing="0" w:line="240" w:lineRule="auto"/>
              <w:ind w:left="0" w:right="0" w:firstLine="42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2.03</w:t>
            </w:r>
          </w:p>
        </w:tc>
        <w:tc>
          <w:tcPr>
            <w:tcW w:w="2390" w:type="dxa"/>
            <w:noWrap w:val="0"/>
            <w:vAlign w:val="center"/>
          </w:tcPr>
          <w:p w14:paraId="6E22310A">
            <w:pPr>
              <w:keepNext w:val="0"/>
              <w:keepLines w:val="0"/>
              <w:widowControl/>
              <w:suppressLineNumbers w:val="0"/>
              <w:spacing w:before="0" w:beforeAutospacing="0" w:after="0" w:afterAutospacing="0"/>
              <w:ind w:left="0" w:right="0" w:firstLine="420" w:firstLineChars="20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24.6036</w:t>
            </w:r>
          </w:p>
        </w:tc>
      </w:tr>
      <w:tr w14:paraId="12D7224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257" w:type="dxa"/>
            <w:noWrap w:val="0"/>
            <w:vAlign w:val="center"/>
          </w:tcPr>
          <w:p w14:paraId="0DF1AD26">
            <w:pPr>
              <w:pStyle w:val="237"/>
              <w:keepNext w:val="0"/>
              <w:keepLines w:val="0"/>
              <w:widowControl/>
              <w:suppressLineNumbers w:val="0"/>
              <w:snapToGrid w:val="0"/>
              <w:spacing w:before="0" w:beforeAutospacing="0" w:after="0" w:afterAutospacing="0" w:line="240" w:lineRule="auto"/>
              <w:ind w:left="0" w:right="0" w:firstLine="42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合计</w:t>
            </w:r>
          </w:p>
        </w:tc>
        <w:tc>
          <w:tcPr>
            <w:tcW w:w="2547" w:type="dxa"/>
            <w:noWrap w:val="0"/>
            <w:vAlign w:val="center"/>
          </w:tcPr>
          <w:p w14:paraId="7144F6BE">
            <w:pPr>
              <w:pStyle w:val="237"/>
              <w:keepNext w:val="0"/>
              <w:keepLines w:val="0"/>
              <w:widowControl/>
              <w:suppressLineNumbers w:val="0"/>
              <w:snapToGrid w:val="0"/>
              <w:spacing w:before="0" w:beforeAutospacing="0" w:after="0" w:afterAutospacing="0" w:line="240" w:lineRule="auto"/>
              <w:ind w:left="0" w:right="0" w:firstLine="42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w:t>
            </w:r>
            <w:r>
              <w:rPr>
                <w:rFonts w:hint="default" w:ascii="Times New Roman" w:hAnsi="Times New Roman" w:cs="Times New Roman"/>
                <w:color w:val="auto"/>
                <w:sz w:val="21"/>
                <w:szCs w:val="21"/>
              </w:rPr>
              <w:t>19.55</w:t>
            </w:r>
          </w:p>
        </w:tc>
        <w:tc>
          <w:tcPr>
            <w:tcW w:w="1836" w:type="dxa"/>
            <w:noWrap w:val="0"/>
            <w:vAlign w:val="center"/>
          </w:tcPr>
          <w:p w14:paraId="027D86D7">
            <w:pPr>
              <w:pStyle w:val="237"/>
              <w:keepNext w:val="0"/>
              <w:keepLines w:val="0"/>
              <w:widowControl/>
              <w:suppressLineNumbers w:val="0"/>
              <w:snapToGrid w:val="0"/>
              <w:spacing w:before="0" w:beforeAutospacing="0" w:after="0" w:afterAutospacing="0" w:line="240" w:lineRule="auto"/>
              <w:ind w:left="0" w:right="0" w:firstLine="42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w:t>
            </w:r>
          </w:p>
        </w:tc>
        <w:tc>
          <w:tcPr>
            <w:tcW w:w="2390" w:type="dxa"/>
            <w:noWrap w:val="0"/>
            <w:vAlign w:val="center"/>
          </w:tcPr>
          <w:p w14:paraId="5493754A">
            <w:pPr>
              <w:keepNext w:val="0"/>
              <w:keepLines w:val="0"/>
              <w:widowControl/>
              <w:suppressLineNumbers w:val="0"/>
              <w:spacing w:before="0" w:beforeAutospacing="0" w:after="0" w:afterAutospacing="0"/>
              <w:ind w:left="0" w:right="0" w:firstLine="420" w:firstLineChars="200"/>
              <w:jc w:val="center"/>
              <w:textAlignment w:val="center"/>
              <w:rPr>
                <w:rFonts w:hint="default" w:ascii="Times New Roman" w:hAnsi="Times New Roman" w:cs="Times New Roman"/>
                <w:color w:val="auto"/>
              </w:rPr>
            </w:pPr>
            <w:r>
              <w:rPr>
                <w:rFonts w:hint="default" w:ascii="Times New Roman" w:hAnsi="Times New Roman" w:cs="Times New Roman"/>
                <w:color w:val="auto"/>
                <w:kern w:val="0"/>
                <w:lang w:bidi="ar"/>
              </w:rPr>
              <w:t>37.2346</w:t>
            </w:r>
          </w:p>
        </w:tc>
      </w:tr>
    </w:tbl>
    <w:p w14:paraId="41EEF884">
      <w:pPr>
        <w:pStyle w:val="237"/>
        <w:spacing w:line="240" w:lineRule="auto"/>
        <w:ind w:firstLine="361"/>
        <w:rPr>
          <w:rFonts w:cs="Times New Roman"/>
          <w:b/>
          <w:bCs/>
          <w:color w:val="auto"/>
          <w:sz w:val="18"/>
          <w:szCs w:val="18"/>
        </w:rPr>
      </w:pPr>
      <w:r>
        <w:rPr>
          <w:rFonts w:hint="eastAsia" w:cs="Times New Roman"/>
          <w:b/>
          <w:bCs/>
          <w:color w:val="auto"/>
          <w:sz w:val="18"/>
          <w:szCs w:val="18"/>
        </w:rPr>
        <w:t>注：平均净初级生产力参考引江济淮工程淮河流域调查结果</w:t>
      </w:r>
      <w:r>
        <w:rPr>
          <w:rFonts w:hint="eastAsia" w:cs="Times New Roman"/>
          <w:b/>
          <w:bCs/>
          <w:color w:val="auto"/>
          <w:sz w:val="18"/>
          <w:szCs w:val="18"/>
          <w:lang w:eastAsia="zh-CN"/>
        </w:rPr>
        <w:t>。</w:t>
      </w:r>
    </w:p>
    <w:p w14:paraId="34590E0C">
      <w:pPr>
        <w:pStyle w:val="256"/>
        <w:spacing w:line="360" w:lineRule="auto"/>
        <w:ind w:firstLine="480"/>
        <w:rPr>
          <w:rFonts w:ascii="Times New Roman" w:hAnsi="Times New Roman"/>
          <w:color w:val="auto"/>
          <w:sz w:val="24"/>
        </w:rPr>
      </w:pPr>
      <w:r>
        <w:rPr>
          <w:rFonts w:ascii="Times New Roman" w:hAnsi="Times New Roman"/>
          <w:color w:val="auto"/>
          <w:sz w:val="24"/>
        </w:rPr>
        <w:t>在工程建设的施工后期，将进行绿化建设，根据工程设计文件，主要</w:t>
      </w:r>
      <w:r>
        <w:rPr>
          <w:rFonts w:hint="eastAsia" w:ascii="Times New Roman" w:hAnsi="Times New Roman"/>
          <w:color w:val="auto"/>
          <w:sz w:val="24"/>
          <w:lang w:eastAsia="zh-CN"/>
        </w:rPr>
        <w:t>包括</w:t>
      </w:r>
      <w:r>
        <w:rPr>
          <w:rFonts w:ascii="Times New Roman" w:hAnsi="Times New Roman"/>
          <w:color w:val="auto"/>
          <w:sz w:val="24"/>
        </w:rPr>
        <w:t>管理区周边绿化，绿化面积10000m</w:t>
      </w:r>
      <w:r>
        <w:rPr>
          <w:rFonts w:ascii="Times New Roman" w:hAnsi="Times New Roman"/>
          <w:color w:val="auto"/>
          <w:sz w:val="24"/>
          <w:vertAlign w:val="superscript"/>
        </w:rPr>
        <w:t>2</w:t>
      </w:r>
      <w:r>
        <w:rPr>
          <w:rFonts w:ascii="Times New Roman" w:hAnsi="Times New Roman"/>
          <w:color w:val="auto"/>
          <w:sz w:val="24"/>
        </w:rPr>
        <w:t>。因此本项目建设所造成的陆域生态环境损失将得到最大程度的恢复。</w:t>
      </w:r>
    </w:p>
    <w:p w14:paraId="47AF2C25">
      <w:pPr>
        <w:pStyle w:val="256"/>
        <w:spacing w:line="360" w:lineRule="auto"/>
        <w:ind w:firstLine="480"/>
        <w:rPr>
          <w:rFonts w:ascii="Times New Roman" w:hAnsi="Times New Roman"/>
          <w:color w:val="auto"/>
          <w:sz w:val="24"/>
        </w:rPr>
      </w:pPr>
      <w:r>
        <w:rPr>
          <w:rFonts w:hint="eastAsia" w:ascii="Times New Roman" w:hAnsi="Times New Roman"/>
          <w:color w:val="auto"/>
          <w:sz w:val="24"/>
        </w:rPr>
        <w:t>（</w:t>
      </w:r>
      <w:r>
        <w:rPr>
          <w:rFonts w:ascii="Times New Roman" w:hAnsi="Times New Roman"/>
          <w:color w:val="auto"/>
          <w:sz w:val="24"/>
        </w:rPr>
        <w:t>3</w:t>
      </w:r>
      <w:r>
        <w:rPr>
          <w:rFonts w:hint="eastAsia" w:ascii="Times New Roman" w:hAnsi="Times New Roman"/>
          <w:color w:val="auto"/>
          <w:sz w:val="24"/>
        </w:rPr>
        <w:t>）对动物的影响</w:t>
      </w:r>
    </w:p>
    <w:p w14:paraId="312CFC5B">
      <w:pPr>
        <w:pStyle w:val="256"/>
        <w:spacing w:line="360" w:lineRule="auto"/>
        <w:ind w:firstLine="480"/>
        <w:rPr>
          <w:rFonts w:ascii="Times New Roman" w:hAnsi="Times New Roman"/>
          <w:color w:val="auto"/>
          <w:sz w:val="24"/>
        </w:rPr>
      </w:pPr>
      <w:r>
        <w:rPr>
          <w:rFonts w:hint="eastAsia" w:ascii="Times New Roman" w:hAnsi="Times New Roman"/>
          <w:color w:val="auto"/>
          <w:sz w:val="24"/>
        </w:rPr>
        <w:t>码头工程部分陆域永久占地属淮南港潘集港区作业区范围，现状调查表明，码头所在区域受人类活动开发影响的历史较久；建设区动物主要为家禽、爬行类、小型哺乳类动物等常见种类。爬行类以及小型哺乳类的栖息地相对稳定。工程占用其栖息地，将迫使其向周边生境迁移。评价区内人为开发历史较长，生境同质性较高，爬行类和小型哺乳类动物的种类和数量均较少，大多为常见种类，工程占地对其种群大小影响十分有限。</w:t>
      </w:r>
    </w:p>
    <w:p w14:paraId="49E82D41">
      <w:pPr>
        <w:pStyle w:val="256"/>
        <w:spacing w:line="360" w:lineRule="auto"/>
        <w:ind w:firstLine="480"/>
        <w:rPr>
          <w:rFonts w:ascii="Times New Roman" w:hAnsi="Times New Roman"/>
          <w:color w:val="auto"/>
          <w:sz w:val="24"/>
        </w:rPr>
      </w:pPr>
      <w:r>
        <w:rPr>
          <w:rFonts w:ascii="Times New Roman" w:hAnsi="Times New Roman"/>
          <w:color w:val="auto"/>
          <w:sz w:val="24"/>
        </w:rPr>
        <w:t>运营期对陆生生态环境的影响主要为粉尘对陆生动植物的影响。</w:t>
      </w:r>
    </w:p>
    <w:p w14:paraId="395526AC">
      <w:pPr>
        <w:pStyle w:val="256"/>
        <w:spacing w:line="360" w:lineRule="auto"/>
        <w:ind w:firstLine="480"/>
        <w:rPr>
          <w:rFonts w:ascii="Times New Roman" w:hAnsi="Times New Roman"/>
          <w:color w:val="auto"/>
          <w:sz w:val="24"/>
        </w:rPr>
      </w:pPr>
      <w:r>
        <w:rPr>
          <w:rFonts w:ascii="Times New Roman" w:hAnsi="Times New Roman"/>
          <w:color w:val="auto"/>
          <w:sz w:val="24"/>
        </w:rPr>
        <w:t>煤炭</w:t>
      </w:r>
      <w:r>
        <w:rPr>
          <w:rFonts w:hint="eastAsia" w:ascii="Times New Roman" w:hAnsi="Times New Roman"/>
          <w:color w:val="auto"/>
          <w:sz w:val="24"/>
        </w:rPr>
        <w:t>及矿建材料</w:t>
      </w:r>
      <w:r>
        <w:rPr>
          <w:rFonts w:ascii="Times New Roman" w:hAnsi="Times New Roman"/>
          <w:color w:val="auto"/>
          <w:sz w:val="24"/>
        </w:rPr>
        <w:t>在装卸过程中产生的粉尘扩散至码头及附近区域，覆盖在项目区内绿化带及附近植物的叶片和花朵表面，严重影响植物进行光合作用和授粉，影响植物的生长繁殖。而以这些植物为食的动物，可采食的食物量减少，亦影响其生长繁殖。</w:t>
      </w:r>
    </w:p>
    <w:p w14:paraId="65830BAC">
      <w:pPr>
        <w:pStyle w:val="256"/>
        <w:spacing w:line="360" w:lineRule="auto"/>
        <w:ind w:firstLine="480"/>
        <w:rPr>
          <w:rFonts w:ascii="Times New Roman" w:hAnsi="Times New Roman"/>
          <w:color w:val="auto"/>
          <w:sz w:val="24"/>
        </w:rPr>
      </w:pPr>
      <w:r>
        <w:rPr>
          <w:rFonts w:ascii="Times New Roman" w:hAnsi="Times New Roman"/>
          <w:color w:val="auto"/>
          <w:sz w:val="24"/>
        </w:rPr>
        <w:t>考虑到项目区属于北亚热带与温暖带的过渡地带，降雨较多，植物叶片常被雨水洗净，且本项目采用洒水抑尘等</w:t>
      </w:r>
      <w:r>
        <w:rPr>
          <w:rFonts w:hint="eastAsia" w:ascii="Times New Roman" w:hAnsi="Times New Roman"/>
          <w:color w:val="auto"/>
          <w:sz w:val="24"/>
        </w:rPr>
        <w:t>抑</w:t>
      </w:r>
      <w:r>
        <w:rPr>
          <w:rFonts w:ascii="Times New Roman" w:hAnsi="Times New Roman"/>
          <w:color w:val="auto"/>
          <w:sz w:val="24"/>
        </w:rPr>
        <w:t>尘措施可有效减少粉尘量，因此本项目粉尘对陆生生物的影响较小。</w:t>
      </w:r>
    </w:p>
    <w:p w14:paraId="095A6687">
      <w:pPr>
        <w:pStyle w:val="5"/>
        <w:numPr>
          <w:ilvl w:val="0"/>
          <w:numId w:val="0"/>
        </w:numPr>
        <w:rPr>
          <w:color w:val="auto"/>
        </w:rPr>
      </w:pPr>
      <w:r>
        <w:rPr>
          <w:rFonts w:hint="eastAsia"/>
          <w:color w:val="auto"/>
        </w:rPr>
        <w:t>5.2.5.2</w:t>
      </w:r>
      <w:r>
        <w:rPr>
          <w:color w:val="auto"/>
        </w:rPr>
        <w:t>水生生态影响分析</w:t>
      </w:r>
    </w:p>
    <w:p w14:paraId="674F95A9">
      <w:pPr>
        <w:pStyle w:val="256"/>
        <w:spacing w:line="360" w:lineRule="auto"/>
        <w:ind w:firstLine="480"/>
        <w:rPr>
          <w:rFonts w:ascii="Times New Roman" w:hAnsi="Times New Roman"/>
          <w:color w:val="auto"/>
          <w:sz w:val="24"/>
        </w:rPr>
      </w:pPr>
      <w:r>
        <w:rPr>
          <w:rFonts w:ascii="Times New Roman" w:hAnsi="Times New Roman"/>
          <w:color w:val="auto"/>
          <w:sz w:val="24"/>
        </w:rPr>
        <w:t>码头运营期，在正常情况下对水生态的影响，主要体现为：</w:t>
      </w:r>
      <w:r>
        <w:rPr>
          <w:rFonts w:hint="eastAsia" w:ascii="Times New Roman" w:hAnsi="Times New Roman"/>
          <w:color w:val="auto"/>
          <w:sz w:val="24"/>
        </w:rPr>
        <w:t>依托航道</w:t>
      </w:r>
      <w:r>
        <w:rPr>
          <w:rFonts w:ascii="Times New Roman" w:hAnsi="Times New Roman"/>
          <w:color w:val="auto"/>
          <w:sz w:val="24"/>
        </w:rPr>
        <w:t>航行船舶的影响；对水生生物的影响表现为：</w:t>
      </w:r>
    </w:p>
    <w:p w14:paraId="4CE534DC">
      <w:pPr>
        <w:pStyle w:val="256"/>
        <w:spacing w:line="360" w:lineRule="auto"/>
        <w:ind w:firstLine="480"/>
        <w:rPr>
          <w:rFonts w:ascii="Times New Roman" w:hAnsi="Times New Roman"/>
          <w:color w:val="auto"/>
          <w:sz w:val="24"/>
        </w:rPr>
      </w:pPr>
      <w:r>
        <w:rPr>
          <w:rFonts w:ascii="Times New Roman" w:hAnsi="Times New Roman"/>
          <w:color w:val="auto"/>
          <w:sz w:val="24"/>
        </w:rPr>
        <w:fldChar w:fldCharType="begin"/>
      </w:r>
      <w:r>
        <w:rPr>
          <w:rFonts w:ascii="Times New Roman" w:hAnsi="Times New Roman"/>
          <w:color w:val="auto"/>
          <w:sz w:val="24"/>
        </w:rPr>
        <w:instrText xml:space="preserve"> = 1 \* GB3 </w:instrText>
      </w:r>
      <w:r>
        <w:rPr>
          <w:rFonts w:ascii="Times New Roman" w:hAnsi="Times New Roman"/>
          <w:color w:val="auto"/>
          <w:sz w:val="24"/>
        </w:rPr>
        <w:fldChar w:fldCharType="separate"/>
      </w:r>
      <w:bookmarkStart w:id="208" w:name="_Toc102984396"/>
      <w:r>
        <w:rPr>
          <w:rFonts w:hint="eastAsia" w:ascii="Times New Roman" w:hAnsi="Times New Roman"/>
          <w:color w:val="auto"/>
          <w:sz w:val="24"/>
        </w:rPr>
        <w:t>①</w:t>
      </w:r>
      <w:r>
        <w:rPr>
          <w:rFonts w:ascii="Times New Roman" w:hAnsi="Times New Roman"/>
          <w:color w:val="auto"/>
          <w:sz w:val="24"/>
        </w:rPr>
        <w:fldChar w:fldCharType="end"/>
      </w:r>
      <w:r>
        <w:rPr>
          <w:rFonts w:ascii="Times New Roman" w:hAnsi="Times New Roman"/>
          <w:color w:val="auto"/>
          <w:sz w:val="24"/>
        </w:rPr>
        <w:t>压缩水生生物的生存空间，影响水生生物的生存、繁殖。往来船舶在</w:t>
      </w:r>
      <w:r>
        <w:rPr>
          <w:rFonts w:hint="eastAsia" w:ascii="Times New Roman" w:hAnsi="Times New Roman"/>
          <w:color w:val="auto"/>
          <w:sz w:val="24"/>
        </w:rPr>
        <w:t>淮</w:t>
      </w:r>
      <w:r>
        <w:rPr>
          <w:rFonts w:ascii="Times New Roman" w:hAnsi="Times New Roman"/>
          <w:color w:val="auto"/>
          <w:sz w:val="24"/>
        </w:rPr>
        <w:t>河航线航行及在港口码头停泊过程中，这将导致水生生物生活生存空间被占用与挤压，水生生物生存空间将受到限制，繁殖行为也会发生相应变化</w:t>
      </w:r>
      <w:r>
        <w:rPr>
          <w:rFonts w:hint="eastAsia" w:ascii="Times New Roman" w:hAnsi="Times New Roman"/>
          <w:color w:val="auto"/>
          <w:sz w:val="24"/>
        </w:rPr>
        <w:t>，本项目采用挖入式港池，不直接占用淮河水域</w:t>
      </w:r>
      <w:r>
        <w:rPr>
          <w:rFonts w:ascii="Times New Roman" w:hAnsi="Times New Roman"/>
          <w:color w:val="auto"/>
          <w:sz w:val="24"/>
        </w:rPr>
        <w:t>。</w:t>
      </w:r>
      <w:bookmarkEnd w:id="208"/>
    </w:p>
    <w:p w14:paraId="78434F0C">
      <w:pPr>
        <w:pStyle w:val="256"/>
        <w:spacing w:line="360" w:lineRule="auto"/>
        <w:ind w:firstLine="480"/>
        <w:rPr>
          <w:rFonts w:ascii="Times New Roman" w:hAnsi="Times New Roman"/>
          <w:color w:val="auto"/>
          <w:sz w:val="24"/>
          <w:highlight w:val="lightGray"/>
        </w:rPr>
      </w:pPr>
      <w:r>
        <w:rPr>
          <w:rFonts w:ascii="Times New Roman" w:hAnsi="Times New Roman"/>
          <w:color w:val="auto"/>
          <w:sz w:val="24"/>
        </w:rPr>
        <w:fldChar w:fldCharType="begin"/>
      </w:r>
      <w:r>
        <w:rPr>
          <w:rFonts w:ascii="Times New Roman" w:hAnsi="Times New Roman"/>
          <w:color w:val="auto"/>
          <w:sz w:val="24"/>
        </w:rPr>
        <w:instrText xml:space="preserve"> = 2 \* GB3 </w:instrText>
      </w:r>
      <w:r>
        <w:rPr>
          <w:rFonts w:ascii="Times New Roman" w:hAnsi="Times New Roman"/>
          <w:color w:val="auto"/>
          <w:sz w:val="24"/>
        </w:rPr>
        <w:fldChar w:fldCharType="separate"/>
      </w:r>
      <w:bookmarkStart w:id="209" w:name="_Toc102984397"/>
      <w:r>
        <w:rPr>
          <w:rFonts w:hint="eastAsia" w:ascii="Times New Roman" w:hAnsi="Times New Roman"/>
          <w:color w:val="auto"/>
          <w:sz w:val="24"/>
        </w:rPr>
        <w:t>②</w:t>
      </w:r>
      <w:r>
        <w:rPr>
          <w:rFonts w:ascii="Times New Roman" w:hAnsi="Times New Roman"/>
          <w:color w:val="auto"/>
          <w:sz w:val="24"/>
        </w:rPr>
        <w:fldChar w:fldCharType="end"/>
      </w:r>
      <w:r>
        <w:rPr>
          <w:rFonts w:ascii="Times New Roman" w:hAnsi="Times New Roman"/>
          <w:color w:val="auto"/>
          <w:sz w:val="24"/>
        </w:rPr>
        <w:t>船舶航行密度的增加，将会产生船舶噪声、</w:t>
      </w:r>
      <w:r>
        <w:rPr>
          <w:rFonts w:hint="eastAsia" w:ascii="Times New Roman" w:hAnsi="Times New Roman"/>
          <w:color w:val="auto"/>
          <w:sz w:val="24"/>
        </w:rPr>
        <w:t>灯光</w:t>
      </w:r>
      <w:r>
        <w:rPr>
          <w:rFonts w:ascii="Times New Roman" w:hAnsi="Times New Roman"/>
          <w:color w:val="auto"/>
          <w:sz w:val="24"/>
        </w:rPr>
        <w:t>等，进而对区域水生生物的正常活动造成干扰。</w:t>
      </w:r>
      <w:bookmarkEnd w:id="209"/>
    </w:p>
    <w:p w14:paraId="1EAC15E2">
      <w:pPr>
        <w:pStyle w:val="256"/>
        <w:spacing w:line="360" w:lineRule="auto"/>
        <w:ind w:firstLine="480"/>
        <w:rPr>
          <w:rFonts w:ascii="Times New Roman" w:hAnsi="Times New Roman"/>
          <w:color w:val="auto"/>
          <w:sz w:val="24"/>
        </w:rPr>
      </w:pPr>
      <w:r>
        <w:rPr>
          <w:rFonts w:ascii="Times New Roman" w:hAnsi="Times New Roman"/>
          <w:color w:val="auto"/>
          <w:sz w:val="24"/>
        </w:rPr>
        <w:t>（1）船舶航行对鱼类的影响</w:t>
      </w:r>
    </w:p>
    <w:p w14:paraId="3585D5BD">
      <w:pPr>
        <w:pStyle w:val="256"/>
        <w:spacing w:line="360" w:lineRule="auto"/>
        <w:ind w:firstLine="480"/>
        <w:rPr>
          <w:rFonts w:ascii="Times New Roman" w:hAnsi="Times New Roman"/>
          <w:color w:val="auto"/>
          <w:sz w:val="24"/>
        </w:rPr>
      </w:pPr>
      <w:r>
        <w:rPr>
          <w:rFonts w:hint="eastAsia" w:ascii="Times New Roman" w:hAnsi="Times New Roman"/>
          <w:color w:val="auto"/>
          <w:sz w:val="24"/>
        </w:rPr>
        <w:t>本项目</w:t>
      </w:r>
      <w:r>
        <w:rPr>
          <w:rFonts w:ascii="Times New Roman" w:hAnsi="Times New Roman"/>
          <w:color w:val="auto"/>
          <w:sz w:val="24"/>
        </w:rPr>
        <w:t>建成运行后，</w:t>
      </w:r>
      <w:r>
        <w:rPr>
          <w:rFonts w:hint="eastAsia" w:ascii="Times New Roman" w:hAnsi="Times New Roman"/>
          <w:color w:val="auto"/>
          <w:sz w:val="24"/>
        </w:rPr>
        <w:t>依托淮河航道进出港</w:t>
      </w:r>
      <w:r>
        <w:rPr>
          <w:rFonts w:ascii="Times New Roman" w:hAnsi="Times New Roman"/>
          <w:color w:val="auto"/>
          <w:sz w:val="24"/>
        </w:rPr>
        <w:t>。</w:t>
      </w:r>
      <w:r>
        <w:rPr>
          <w:rFonts w:hint="eastAsia" w:ascii="Times New Roman" w:hAnsi="Times New Roman"/>
          <w:color w:val="auto"/>
          <w:sz w:val="24"/>
        </w:rPr>
        <w:t>船舶的航行</w:t>
      </w:r>
      <w:r>
        <w:rPr>
          <w:rFonts w:ascii="Times New Roman" w:hAnsi="Times New Roman"/>
          <w:color w:val="auto"/>
          <w:sz w:val="24"/>
        </w:rPr>
        <w:t>对</w:t>
      </w:r>
      <w:r>
        <w:rPr>
          <w:rFonts w:hint="eastAsia" w:ascii="Times New Roman" w:hAnsi="Times New Roman"/>
          <w:color w:val="auto"/>
          <w:sz w:val="24"/>
        </w:rPr>
        <w:t>淮河</w:t>
      </w:r>
      <w:r>
        <w:rPr>
          <w:rFonts w:ascii="Times New Roman" w:hAnsi="Times New Roman"/>
          <w:color w:val="auto"/>
          <w:sz w:val="24"/>
        </w:rPr>
        <w:t>鱼类</w:t>
      </w:r>
      <w:r>
        <w:rPr>
          <w:rFonts w:hint="eastAsia" w:ascii="Times New Roman" w:hAnsi="Times New Roman"/>
          <w:color w:val="auto"/>
          <w:sz w:val="24"/>
        </w:rPr>
        <w:t>会</w:t>
      </w:r>
      <w:r>
        <w:rPr>
          <w:rFonts w:ascii="Times New Roman" w:hAnsi="Times New Roman"/>
          <w:color w:val="auto"/>
          <w:sz w:val="24"/>
        </w:rPr>
        <w:t>产生一定的影响，其</w:t>
      </w:r>
      <w:r>
        <w:rPr>
          <w:rFonts w:hint="eastAsia" w:ascii="Times New Roman" w:hAnsi="Times New Roman"/>
          <w:color w:val="auto"/>
          <w:sz w:val="24"/>
          <w:lang w:eastAsia="zh-CN"/>
        </w:rPr>
        <w:t>主要</w:t>
      </w:r>
      <w:r>
        <w:rPr>
          <w:rFonts w:ascii="Times New Roman" w:hAnsi="Times New Roman"/>
          <w:color w:val="auto"/>
          <w:sz w:val="24"/>
        </w:rPr>
        <w:t>影响鱼类的分布。</w:t>
      </w:r>
      <w:r>
        <w:rPr>
          <w:rFonts w:hint="eastAsia" w:ascii="Times New Roman" w:hAnsi="Times New Roman"/>
          <w:color w:val="auto"/>
          <w:sz w:val="24"/>
          <w:lang w:eastAsia="zh-CN"/>
        </w:rPr>
        <w:t>根据调查资料</w:t>
      </w:r>
      <w:r>
        <w:rPr>
          <w:rFonts w:hint="eastAsia" w:ascii="Times New Roman" w:hAnsi="Times New Roman"/>
          <w:color w:val="auto"/>
          <w:sz w:val="24"/>
        </w:rPr>
        <w:t>，淮河流域鱼类种类</w:t>
      </w:r>
      <w:r>
        <w:rPr>
          <w:rFonts w:hint="eastAsia" w:ascii="Times New Roman" w:hAnsi="Times New Roman"/>
          <w:color w:val="auto"/>
          <w:sz w:val="24"/>
          <w:lang w:eastAsia="zh-CN"/>
        </w:rPr>
        <w:t>以鲤科鱼类为主</w:t>
      </w:r>
      <w:r>
        <w:rPr>
          <w:rFonts w:hint="eastAsia" w:ascii="Times New Roman" w:hAnsi="Times New Roman"/>
          <w:color w:val="auto"/>
          <w:sz w:val="24"/>
        </w:rPr>
        <w:t>，湖泊定居性鱼类趋于稳定，以湖鲚等小型鱼类占绝对优势。常见种类主要有四大家鱼、鲤、鲫、鲌类和湖鲚等。船舶</w:t>
      </w:r>
      <w:r>
        <w:rPr>
          <w:rFonts w:ascii="Times New Roman" w:hAnsi="Times New Roman"/>
          <w:color w:val="auto"/>
          <w:sz w:val="24"/>
        </w:rPr>
        <w:t>的</w:t>
      </w:r>
      <w:r>
        <w:rPr>
          <w:rFonts w:hint="eastAsia" w:ascii="Times New Roman" w:hAnsi="Times New Roman"/>
          <w:color w:val="auto"/>
          <w:sz w:val="24"/>
          <w:lang w:eastAsia="zh-CN"/>
        </w:rPr>
        <w:t>噪声</w:t>
      </w:r>
      <w:r>
        <w:rPr>
          <w:rFonts w:ascii="Times New Roman" w:hAnsi="Times New Roman"/>
          <w:color w:val="auto"/>
          <w:sz w:val="24"/>
        </w:rPr>
        <w:t>及螺旋桨导致鱼类分布的变化，</w:t>
      </w:r>
      <w:r>
        <w:rPr>
          <w:rFonts w:hint="eastAsia" w:ascii="Times New Roman" w:hAnsi="Times New Roman"/>
          <w:color w:val="auto"/>
          <w:sz w:val="24"/>
        </w:rPr>
        <w:t>船舶</w:t>
      </w:r>
      <w:r>
        <w:rPr>
          <w:rFonts w:ascii="Times New Roman" w:hAnsi="Times New Roman"/>
          <w:color w:val="auto"/>
          <w:sz w:val="24"/>
        </w:rPr>
        <w:t>运行的噪音和波浪造成鱼类的主动回避，主航道的鱼类将离开栖息地，其影响程度不大；船只螺旋桨可能造成躲避不及时的鱼类的死亡和伤害，误伤一定数量的鱼类，但这种影响和误伤的比例很小。</w:t>
      </w:r>
    </w:p>
    <w:p w14:paraId="68BA0DC7">
      <w:pPr>
        <w:pStyle w:val="256"/>
        <w:spacing w:line="360" w:lineRule="auto"/>
        <w:ind w:firstLine="480"/>
        <w:rPr>
          <w:rFonts w:ascii="Times New Roman" w:hAnsi="Times New Roman"/>
          <w:color w:val="auto"/>
          <w:sz w:val="24"/>
        </w:rPr>
      </w:pPr>
      <w:r>
        <w:rPr>
          <w:rFonts w:ascii="Times New Roman" w:hAnsi="Times New Roman"/>
          <w:color w:val="auto"/>
          <w:sz w:val="24"/>
        </w:rPr>
        <w:t>（2）对浮游及底栖生物影响分析</w:t>
      </w:r>
    </w:p>
    <w:p w14:paraId="42D5620E">
      <w:pPr>
        <w:pStyle w:val="256"/>
        <w:spacing w:line="360" w:lineRule="auto"/>
        <w:ind w:firstLine="480"/>
        <w:rPr>
          <w:rFonts w:ascii="Times New Roman" w:hAnsi="Times New Roman"/>
          <w:color w:val="auto"/>
          <w:sz w:val="24"/>
        </w:rPr>
      </w:pPr>
      <w:r>
        <w:rPr>
          <w:rFonts w:hint="eastAsia" w:ascii="Times New Roman" w:hAnsi="Times New Roman"/>
          <w:color w:val="auto"/>
          <w:sz w:val="24"/>
        </w:rPr>
        <w:t>本项目</w:t>
      </w:r>
      <w:r>
        <w:rPr>
          <w:rFonts w:ascii="Times New Roman" w:hAnsi="Times New Roman"/>
          <w:color w:val="auto"/>
          <w:sz w:val="24"/>
        </w:rPr>
        <w:t>建成后，船舶来往使周围水体产生扰动，这些扰动对项目区河段水域水生生物包括底栖生物的生物量、种类及栖息环境产生一定影响，但由于船舶运营对水体的影响主要集中在水体上层，水生生物除浮游生物（主要是浮游植物）在水体表层活动强度较大外，</w:t>
      </w:r>
      <w:r>
        <w:rPr>
          <w:rFonts w:hint="eastAsia" w:ascii="Times New Roman" w:hAnsi="Times New Roman"/>
          <w:color w:val="auto"/>
          <w:sz w:val="24"/>
          <w:lang w:eastAsia="zh-CN"/>
        </w:rPr>
        <w:t>其他生物</w:t>
      </w:r>
      <w:r>
        <w:rPr>
          <w:rFonts w:ascii="Times New Roman" w:hAnsi="Times New Roman"/>
          <w:color w:val="auto"/>
          <w:sz w:val="24"/>
        </w:rPr>
        <w:t>多在中层及底层活动，且水生生物的浮动性较强，船舶来往产生的水体扰动影响范围较小，故对浮游及底栖生物</w:t>
      </w:r>
      <w:r>
        <w:rPr>
          <w:rFonts w:hint="eastAsia" w:ascii="Times New Roman" w:hAnsi="Times New Roman"/>
          <w:color w:val="auto"/>
          <w:sz w:val="24"/>
          <w:lang w:eastAsia="zh-CN"/>
        </w:rPr>
        <w:t>影响</w:t>
      </w:r>
      <w:r>
        <w:rPr>
          <w:rFonts w:ascii="Times New Roman" w:hAnsi="Times New Roman"/>
          <w:color w:val="auto"/>
          <w:sz w:val="24"/>
        </w:rPr>
        <w:t>较小，不会根本改变水生生物的栖息环境，亦不会使生物、种类、数量明显减少。</w:t>
      </w:r>
    </w:p>
    <w:p w14:paraId="546AEC41">
      <w:pPr>
        <w:pStyle w:val="256"/>
        <w:spacing w:line="360" w:lineRule="auto"/>
        <w:ind w:firstLine="480"/>
        <w:rPr>
          <w:rFonts w:ascii="Times New Roman" w:hAnsi="Times New Roman"/>
          <w:color w:val="auto"/>
          <w:sz w:val="24"/>
        </w:rPr>
      </w:pPr>
      <w:bookmarkStart w:id="210" w:name="_Toc102984398"/>
      <w:r>
        <w:rPr>
          <w:rFonts w:ascii="Times New Roman" w:hAnsi="Times New Roman"/>
          <w:color w:val="auto"/>
          <w:sz w:val="24"/>
        </w:rPr>
        <w:t>在严格落实相关船舶航行环境保护措施的情况下，本项目运营期正常情况下对</w:t>
      </w:r>
      <w:r>
        <w:rPr>
          <w:rFonts w:hint="eastAsia" w:ascii="Times New Roman" w:hAnsi="Times New Roman"/>
          <w:color w:val="auto"/>
          <w:sz w:val="24"/>
        </w:rPr>
        <w:t>淮</w:t>
      </w:r>
      <w:r>
        <w:rPr>
          <w:rFonts w:ascii="Times New Roman" w:hAnsi="Times New Roman"/>
          <w:color w:val="auto"/>
          <w:sz w:val="24"/>
        </w:rPr>
        <w:t>河的水生生态环境影响较小。</w:t>
      </w:r>
      <w:bookmarkEnd w:id="210"/>
    </w:p>
    <w:p w14:paraId="37502EED">
      <w:pPr>
        <w:pStyle w:val="4"/>
        <w:numPr>
          <w:ilvl w:val="0"/>
          <w:numId w:val="0"/>
        </w:numPr>
        <w:rPr>
          <w:rFonts w:hint="eastAsia"/>
          <w:color w:val="auto"/>
        </w:rPr>
      </w:pPr>
      <w:r>
        <w:rPr>
          <w:rFonts w:hint="eastAsia"/>
          <w:color w:val="auto"/>
        </w:rPr>
        <w:t>5.2.</w:t>
      </w:r>
      <w:r>
        <w:rPr>
          <w:rFonts w:hint="eastAsia"/>
          <w:color w:val="auto"/>
          <w:lang w:val="en-US" w:eastAsia="zh-CN"/>
        </w:rPr>
        <w:t>6</w:t>
      </w:r>
      <w:r>
        <w:rPr>
          <w:rFonts w:hint="eastAsia"/>
          <w:color w:val="auto"/>
        </w:rPr>
        <w:t>对淮河淮南段长吻鮠水产种质资源保护区影响分析</w:t>
      </w:r>
    </w:p>
    <w:p w14:paraId="22D3C96B">
      <w:pPr>
        <w:keepNext/>
        <w:keepLines/>
        <w:widowControl w:val="0"/>
        <w:numPr>
          <w:ilvl w:val="0"/>
          <w:numId w:val="0"/>
        </w:numPr>
        <w:adjustRightInd/>
        <w:snapToGrid/>
        <w:spacing w:line="360" w:lineRule="auto"/>
        <w:ind w:firstLine="0" w:firstLineChars="0"/>
        <w:jc w:val="both"/>
        <w:outlineLvl w:val="3"/>
        <w:rPr>
          <w:rFonts w:hint="eastAsia" w:ascii="Times New Roman" w:hAnsi="Times New Roman" w:eastAsia="黑体" w:cs="Times New Roman"/>
          <w:bCs/>
          <w:color w:val="auto"/>
          <w:kern w:val="2"/>
          <w:sz w:val="24"/>
          <w:szCs w:val="28"/>
          <w:lang w:val="en-US" w:eastAsia="zh-CN" w:bidi="ar-SA"/>
        </w:rPr>
      </w:pPr>
      <w:bookmarkStart w:id="211" w:name="_Toc459251239"/>
      <w:bookmarkStart w:id="212" w:name="_Toc471349342"/>
      <w:bookmarkStart w:id="213" w:name="_Toc468175610"/>
      <w:bookmarkStart w:id="214" w:name="_Toc459587368"/>
      <w:bookmarkStart w:id="215" w:name="_Toc463620409"/>
      <w:bookmarkStart w:id="216" w:name="_Toc472229761"/>
      <w:bookmarkStart w:id="217" w:name="_Toc472830506"/>
      <w:r>
        <w:rPr>
          <w:rFonts w:hint="eastAsia" w:ascii="Times New Roman" w:hAnsi="Times New Roman" w:eastAsia="黑体" w:cs="Times New Roman"/>
          <w:bCs/>
          <w:color w:val="auto"/>
          <w:kern w:val="2"/>
          <w:sz w:val="24"/>
          <w:szCs w:val="28"/>
          <w:lang w:val="en-US" w:eastAsia="zh-CN" w:bidi="ar-SA"/>
        </w:rPr>
        <w:t>5.2.6.1 对鱼类等水生生物区系组成的影响</w:t>
      </w:r>
      <w:bookmarkEnd w:id="211"/>
      <w:bookmarkEnd w:id="212"/>
      <w:bookmarkEnd w:id="213"/>
      <w:bookmarkEnd w:id="214"/>
      <w:bookmarkEnd w:id="215"/>
      <w:bookmarkEnd w:id="216"/>
      <w:bookmarkEnd w:id="217"/>
    </w:p>
    <w:p w14:paraId="300762F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ascii="Times New Roman" w:hAnsi="Times New Roman" w:eastAsia="宋体"/>
          <w:b/>
          <w:bCs/>
          <w:sz w:val="24"/>
          <w:szCs w:val="24"/>
        </w:rPr>
      </w:pPr>
      <w:r>
        <w:rPr>
          <w:rFonts w:hint="eastAsia" w:ascii="Times New Roman" w:hAnsi="Times New Roman" w:eastAsia="宋体"/>
          <w:b/>
          <w:bCs/>
          <w:sz w:val="24"/>
          <w:szCs w:val="24"/>
          <w:lang w:eastAsia="zh-CN"/>
        </w:rPr>
        <w:t>5.2.6</w:t>
      </w:r>
      <w:r>
        <w:rPr>
          <w:rFonts w:ascii="Times New Roman" w:hAnsi="Times New Roman" w:eastAsia="宋体"/>
          <w:b/>
          <w:bCs/>
          <w:sz w:val="24"/>
          <w:szCs w:val="24"/>
        </w:rPr>
        <w:t>.1.1 施工期</w:t>
      </w:r>
    </w:p>
    <w:p w14:paraId="6E028EEE">
      <w:pPr>
        <w:widowControl/>
        <w:spacing w:line="360" w:lineRule="auto"/>
        <w:ind w:firstLine="480" w:firstLineChars="200"/>
        <w:jc w:val="both"/>
        <w:rPr>
          <w:rFonts w:ascii="Times New Roman" w:hAnsi="Times New Roman" w:eastAsia="宋体" w:cs="Times New Roman"/>
          <w:bCs/>
          <w:color w:val="000000"/>
          <w:kern w:val="0"/>
          <w:sz w:val="24"/>
          <w:szCs w:val="24"/>
          <w:lang w:val="en-US" w:eastAsia="zh-CN" w:bidi="ar-SA"/>
        </w:rPr>
      </w:pPr>
      <w:r>
        <w:rPr>
          <w:rFonts w:ascii="Times New Roman" w:hAnsi="Times New Roman" w:eastAsia="宋体" w:cs="Times New Roman"/>
          <w:bCs/>
          <w:color w:val="000000"/>
          <w:kern w:val="0"/>
          <w:sz w:val="24"/>
          <w:szCs w:val="24"/>
          <w:lang w:val="en-US" w:eastAsia="zh-CN" w:bidi="ar-SA"/>
        </w:rPr>
        <w:t>施工期内，港池开挖、码头基础、护坡及接岸道路等施工内容将侵占、破坏河道及近岸滩地，施工产生的悬浮物等污染物使得施工河段及邻近水域水体质量下降，主要影响水体的饵料资源，同时对鱼类等水生生物的栖息产生扰动，严重的将导致死亡；施工和运输产生的粉尘会在一定程度上影响水体透明度；打桩、抛石护坡、</w:t>
      </w:r>
      <w:r>
        <w:rPr>
          <w:rFonts w:ascii="Times New Roman" w:hAnsi="Times New Roman" w:eastAsia="宋体" w:cs="Times New Roman"/>
          <w:bCs/>
          <w:color w:val="000000"/>
          <w:kern w:val="2"/>
          <w:sz w:val="24"/>
          <w:szCs w:val="24"/>
          <w:lang w:val="en-US" w:eastAsia="zh-CN" w:bidi="ar-SA"/>
        </w:rPr>
        <w:t>施工机械及船舶作业</w:t>
      </w:r>
      <w:r>
        <w:rPr>
          <w:rFonts w:ascii="Times New Roman" w:hAnsi="Times New Roman" w:eastAsia="宋体" w:cs="Times New Roman"/>
          <w:bCs/>
          <w:color w:val="000000"/>
          <w:kern w:val="0"/>
          <w:sz w:val="24"/>
          <w:szCs w:val="24"/>
          <w:lang w:val="en-US" w:eastAsia="zh-CN" w:bidi="ar-SA"/>
        </w:rPr>
        <w:t>产生的噪声污染也使得鱼类等水生生物趋避。码头平台等水工建筑物的墩柱占用水域面积，但该河段河流生境不会发生根本性改变。保护区内的少部分耐受能力低的渔业生物可能受到损害，但不会大量死亡。因此，工程施工对保护区内鱼类等水生生物区系组成的影响不显著。</w:t>
      </w:r>
    </w:p>
    <w:p w14:paraId="24404E5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r>
        <w:rPr>
          <w:rFonts w:hint="eastAsia" w:ascii="Times New Roman" w:hAnsi="Times New Roman" w:eastAsia="宋体"/>
          <w:b/>
          <w:bCs/>
          <w:sz w:val="24"/>
          <w:szCs w:val="24"/>
          <w:lang w:eastAsia="zh-CN"/>
        </w:rPr>
        <w:t>5.2.6.1.2 运营期</w:t>
      </w:r>
    </w:p>
    <w:p w14:paraId="04C0FD90">
      <w:pPr>
        <w:adjustRightInd w:val="0"/>
        <w:snapToGrid w:val="0"/>
        <w:spacing w:line="360" w:lineRule="auto"/>
        <w:ind w:firstLine="480" w:firstLineChars="200"/>
        <w:rPr>
          <w:rFonts w:ascii="Times New Roman" w:hAnsi="Times New Roman" w:eastAsia="宋体"/>
          <w:sz w:val="24"/>
          <w:szCs w:val="28"/>
        </w:rPr>
      </w:pPr>
      <w:bookmarkStart w:id="218" w:name="_Toc463620410"/>
      <w:bookmarkStart w:id="219" w:name="_Toc468175611"/>
      <w:bookmarkStart w:id="220" w:name="_Toc471349343"/>
      <w:bookmarkStart w:id="221" w:name="_Toc459251240"/>
      <w:bookmarkStart w:id="222" w:name="_Toc472229762"/>
      <w:bookmarkStart w:id="223" w:name="_Toc459587369"/>
      <w:bookmarkStart w:id="224" w:name="_Toc472830507"/>
      <w:r>
        <w:rPr>
          <w:rFonts w:ascii="Times New Roman" w:hAnsi="Times New Roman" w:eastAsia="宋体"/>
          <w:sz w:val="24"/>
          <w:szCs w:val="28"/>
        </w:rPr>
        <w:t>运营期内，</w:t>
      </w:r>
      <w:r>
        <w:rPr>
          <w:rFonts w:hint="eastAsia" w:ascii="Times New Roman" w:hAnsi="Times New Roman" w:eastAsia="宋体"/>
          <w:sz w:val="24"/>
          <w:szCs w:val="22"/>
        </w:rPr>
        <w:t>拟建</w:t>
      </w:r>
      <w:r>
        <w:rPr>
          <w:rFonts w:ascii="Times New Roman" w:hAnsi="Times New Roman" w:eastAsia="宋体"/>
          <w:sz w:val="24"/>
          <w:szCs w:val="28"/>
        </w:rPr>
        <w:t>码头桩基、护坡、接岸道路等构筑物长期占用河道及近岸滩地，占用保护区面积为1.03 hm</w:t>
      </w:r>
      <w:r>
        <w:rPr>
          <w:rFonts w:ascii="Times New Roman" w:hAnsi="Times New Roman" w:eastAsia="宋体"/>
          <w:sz w:val="24"/>
          <w:szCs w:val="28"/>
          <w:vertAlign w:val="superscript"/>
        </w:rPr>
        <w:t>2</w:t>
      </w:r>
      <w:r>
        <w:rPr>
          <w:rFonts w:ascii="Times New Roman" w:hAnsi="Times New Roman" w:eastAsia="宋体"/>
          <w:sz w:val="24"/>
          <w:szCs w:val="28"/>
        </w:rPr>
        <w:t>，通航船舶数量增加，产生的噪声及尾流对鱼类等水生生物栖息地的扰动频次有所增加，此外，码头运营光照等将对评价水域鱼类等水生生物形成持续扰动，上述影响因子将使得工程邻近水域鱼类的栖息繁殖受到影响，亦将影响工程河段鱼类、饵料生物等水生生物资源，使得鱼类趋避该水域。码头停泊水域、回旋水区为临时占用水域。由于本工程码头结构为高桩梁板式透空结构，工程占用水域仍和临近水域水流相通，施工期结束后，悬浮物扩散、粉尘、噪声污染等不利因素将逐渐消失，辅以各种修复措施后，保护区的渔业资源会逐渐恢复，加上本工程不属于引水、调水工程，不会使保护区增加外来物种。因此，工程运营对保护区内鱼类等水生生物区系组成的影响不显著。</w:t>
      </w:r>
    </w:p>
    <w:p w14:paraId="416B98FD">
      <w:pPr>
        <w:keepNext/>
        <w:keepLines/>
        <w:widowControl w:val="0"/>
        <w:numPr>
          <w:ilvl w:val="0"/>
          <w:numId w:val="0"/>
        </w:numPr>
        <w:adjustRightInd/>
        <w:snapToGrid/>
        <w:spacing w:line="360" w:lineRule="auto"/>
        <w:ind w:firstLine="0" w:firstLineChars="0"/>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5.2.6.2 对鱼类等水生生物种群结构的影响</w:t>
      </w:r>
      <w:bookmarkEnd w:id="218"/>
      <w:bookmarkEnd w:id="219"/>
      <w:bookmarkEnd w:id="220"/>
      <w:bookmarkEnd w:id="221"/>
      <w:bookmarkEnd w:id="222"/>
      <w:bookmarkEnd w:id="223"/>
      <w:bookmarkEnd w:id="224"/>
    </w:p>
    <w:p w14:paraId="408EE6D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r>
        <w:rPr>
          <w:rFonts w:hint="eastAsia" w:ascii="Times New Roman" w:hAnsi="Times New Roman" w:eastAsia="宋体"/>
          <w:b/>
          <w:bCs/>
          <w:sz w:val="24"/>
          <w:szCs w:val="24"/>
          <w:lang w:eastAsia="zh-CN"/>
        </w:rPr>
        <w:t>5.2.6.2.1 施工期</w:t>
      </w:r>
    </w:p>
    <w:p w14:paraId="674409BF">
      <w:pPr>
        <w:adjustRightInd w:val="0"/>
        <w:snapToGrid w:val="0"/>
        <w:spacing w:line="360" w:lineRule="auto"/>
        <w:ind w:firstLine="480" w:firstLineChars="200"/>
        <w:rPr>
          <w:rFonts w:ascii="Times New Roman" w:hAnsi="Times New Roman" w:eastAsia="宋体"/>
          <w:sz w:val="24"/>
          <w:szCs w:val="22"/>
        </w:rPr>
      </w:pPr>
      <w:r>
        <w:rPr>
          <w:rFonts w:ascii="Times New Roman" w:hAnsi="Times New Roman" w:eastAsia="宋体"/>
          <w:sz w:val="24"/>
          <w:szCs w:val="28"/>
        </w:rPr>
        <w:t>同</w:t>
      </w:r>
      <w:r>
        <w:rPr>
          <w:rFonts w:hint="eastAsia" w:ascii="Times New Roman" w:hAnsi="Times New Roman" w:eastAsia="宋体"/>
          <w:sz w:val="24"/>
          <w:szCs w:val="28"/>
          <w:lang w:eastAsia="zh-CN"/>
        </w:rPr>
        <w:t>5.2.6</w:t>
      </w:r>
      <w:r>
        <w:rPr>
          <w:rFonts w:ascii="Times New Roman" w:hAnsi="Times New Roman" w:eastAsia="宋体"/>
          <w:sz w:val="24"/>
          <w:szCs w:val="28"/>
        </w:rPr>
        <w:t>.1.1节所述，施工期间港池开挖、码头基础、护坡及接岸道路等</w:t>
      </w:r>
      <w:r>
        <w:rPr>
          <w:rFonts w:ascii="Times New Roman" w:hAnsi="Times New Roman" w:eastAsia="宋体"/>
          <w:bCs/>
          <w:kern w:val="50"/>
          <w:sz w:val="24"/>
          <w:szCs w:val="28"/>
        </w:rPr>
        <w:t>施工内容</w:t>
      </w:r>
      <w:r>
        <w:rPr>
          <w:rFonts w:ascii="Times New Roman" w:hAnsi="Times New Roman" w:eastAsia="宋体"/>
          <w:kern w:val="0"/>
          <w:sz w:val="24"/>
          <w:szCs w:val="24"/>
        </w:rPr>
        <w:t>将侵占、破坏河道及近岸滩地，施工产生的悬浮物等污染物使得施工河段及邻近水域水体质量下降，</w:t>
      </w:r>
      <w:r>
        <w:rPr>
          <w:rFonts w:ascii="Times New Roman" w:hAnsi="Times New Roman" w:eastAsia="宋体"/>
          <w:sz w:val="24"/>
          <w:szCs w:val="28"/>
        </w:rPr>
        <w:t>同时，</w:t>
      </w:r>
      <w:r>
        <w:rPr>
          <w:rFonts w:ascii="Times New Roman" w:hAnsi="Times New Roman" w:eastAsia="宋体"/>
          <w:kern w:val="0"/>
          <w:sz w:val="24"/>
          <w:szCs w:val="24"/>
        </w:rPr>
        <w:t>打桩、抛石护坡、</w:t>
      </w:r>
      <w:r>
        <w:rPr>
          <w:rFonts w:ascii="Times New Roman" w:hAnsi="Times New Roman" w:eastAsia="宋体"/>
          <w:sz w:val="24"/>
          <w:szCs w:val="24"/>
        </w:rPr>
        <w:t>施工机械及船舶作业</w:t>
      </w:r>
      <w:r>
        <w:rPr>
          <w:rFonts w:ascii="Times New Roman" w:hAnsi="Times New Roman" w:eastAsia="宋体"/>
          <w:sz w:val="24"/>
          <w:szCs w:val="28"/>
        </w:rPr>
        <w:t>噪声也显著增大，这将对周边水域的鱼类等水生生物造成损害。面对外界胁迫时，</w:t>
      </w:r>
      <w:r>
        <w:rPr>
          <w:rFonts w:ascii="Times New Roman" w:hAnsi="Times New Roman" w:eastAsia="宋体"/>
          <w:sz w:val="24"/>
          <w:szCs w:val="22"/>
        </w:rPr>
        <w:t>鱼类会产生本能的回避反应，会在距离施工区域较远的水域摄食、繁殖、越冬。但不同的物种应对外界胁迫的能力不同，同一物种在不同生活史阶段应对外界胁迫的能力也存在显著差异。鱼类幼体活动能力较弱，对恶劣生境的避让能力有限，更易受到损害。加之工程占用河道滩地，将影响鱼类繁殖和索饵。</w:t>
      </w:r>
    </w:p>
    <w:p w14:paraId="4BC9EB57">
      <w:pPr>
        <w:adjustRightInd w:val="0"/>
        <w:snapToGrid w:val="0"/>
        <w:spacing w:line="360" w:lineRule="auto"/>
        <w:ind w:firstLine="480" w:firstLineChars="200"/>
        <w:rPr>
          <w:rFonts w:ascii="Times New Roman" w:hAnsi="Times New Roman" w:eastAsia="宋体"/>
          <w:b/>
          <w:sz w:val="24"/>
          <w:szCs w:val="28"/>
        </w:rPr>
      </w:pPr>
      <w:r>
        <w:rPr>
          <w:rFonts w:ascii="Times New Roman" w:hAnsi="Times New Roman" w:eastAsia="宋体"/>
          <w:b/>
          <w:sz w:val="24"/>
          <w:szCs w:val="28"/>
        </w:rPr>
        <w:t>因此，工程施工可能会导致鱼类补充群体资源受损，进而影响鱼类等水生生物种群结构。本工程施工应避开保护区鱼类</w:t>
      </w:r>
      <w:r>
        <w:rPr>
          <w:rFonts w:hint="eastAsia" w:ascii="Times New Roman" w:hAnsi="Times New Roman" w:eastAsia="宋体"/>
          <w:b/>
          <w:sz w:val="24"/>
          <w:szCs w:val="28"/>
        </w:rPr>
        <w:t>繁殖</w:t>
      </w:r>
      <w:r>
        <w:rPr>
          <w:rFonts w:ascii="Times New Roman" w:hAnsi="Times New Roman" w:eastAsia="宋体"/>
          <w:b/>
          <w:sz w:val="24"/>
          <w:szCs w:val="28"/>
        </w:rPr>
        <w:t>、索饵活动主要时期，此时鱼类补充群体以幼鱼为主，具有较强的抗逆性和活动能力，且秋末冬初多向深水区迁徙越冬。因此，在工程措施落实的前提下，工程施工对保护区鱼类等水生生物种群结构不会产生显著影响。</w:t>
      </w:r>
    </w:p>
    <w:p w14:paraId="2E1D7AA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r>
        <w:rPr>
          <w:rFonts w:hint="eastAsia" w:ascii="Times New Roman" w:hAnsi="Times New Roman" w:eastAsia="宋体"/>
          <w:b/>
          <w:bCs/>
          <w:sz w:val="24"/>
          <w:szCs w:val="24"/>
          <w:lang w:eastAsia="zh-CN"/>
        </w:rPr>
        <w:t>5.2.6.2.2 运营期</w:t>
      </w:r>
    </w:p>
    <w:p w14:paraId="1B480CBC">
      <w:pPr>
        <w:adjustRightInd w:val="0"/>
        <w:snapToGrid w:val="0"/>
        <w:spacing w:line="360" w:lineRule="auto"/>
        <w:ind w:firstLine="480" w:firstLineChars="200"/>
        <w:rPr>
          <w:rFonts w:ascii="Times New Roman" w:hAnsi="Times New Roman" w:eastAsia="宋体"/>
          <w:b/>
          <w:bCs/>
          <w:sz w:val="24"/>
          <w:szCs w:val="22"/>
        </w:rPr>
      </w:pPr>
      <w:r>
        <w:rPr>
          <w:rFonts w:ascii="Times New Roman" w:hAnsi="Times New Roman" w:eastAsia="宋体"/>
          <w:sz w:val="24"/>
          <w:szCs w:val="28"/>
        </w:rPr>
        <w:t>同</w:t>
      </w:r>
      <w:r>
        <w:rPr>
          <w:rFonts w:hint="eastAsia" w:ascii="Times New Roman" w:hAnsi="Times New Roman" w:eastAsia="宋体"/>
          <w:sz w:val="24"/>
          <w:szCs w:val="28"/>
          <w:lang w:eastAsia="zh-CN"/>
        </w:rPr>
        <w:t>5.2.6</w:t>
      </w:r>
      <w:r>
        <w:rPr>
          <w:rFonts w:ascii="Times New Roman" w:hAnsi="Times New Roman" w:eastAsia="宋体"/>
          <w:sz w:val="24"/>
          <w:szCs w:val="28"/>
        </w:rPr>
        <w:t>.1.2节所述，</w:t>
      </w:r>
      <w:r>
        <w:rPr>
          <w:rFonts w:ascii="Times New Roman" w:hAnsi="Times New Roman" w:eastAsia="宋体"/>
          <w:sz w:val="24"/>
          <w:szCs w:val="22"/>
        </w:rPr>
        <w:t>码头运营后，施工期产生的悬浮物扩散、粉尘沉降、噪声污染等不利因素将逐渐消失，辅以各种修复措施后，影响鱼类等水生生物的因素将消失。新建</w:t>
      </w:r>
      <w:r>
        <w:rPr>
          <w:rFonts w:ascii="Times New Roman" w:hAnsi="Times New Roman" w:eastAsia="宋体"/>
          <w:sz w:val="24"/>
          <w:szCs w:val="28"/>
        </w:rPr>
        <w:t>码头及引桥桩基、护坡等水工构筑物长期占用河道及近岸滩地，同时，通航船舶数量增加，船舶产生的噪声及尾流对鱼类水生生物的栖息地的扰动频次有所增加，将影响鱼类、饵料生物等水生生物资源，压缩鱼类等水生生物活动空间，使鱼类避趋该水域。</w:t>
      </w:r>
      <w:r>
        <w:rPr>
          <w:rFonts w:ascii="Times New Roman" w:hAnsi="Times New Roman" w:eastAsia="宋体"/>
          <w:sz w:val="24"/>
          <w:szCs w:val="22"/>
        </w:rPr>
        <w:t>码头为高桩梁板式透空结构，因此工程运营期对</w:t>
      </w:r>
      <w:r>
        <w:rPr>
          <w:rFonts w:ascii="Times New Roman" w:hAnsi="Times New Roman" w:eastAsia="宋体"/>
          <w:bCs/>
          <w:kern w:val="50"/>
          <w:sz w:val="24"/>
          <w:szCs w:val="28"/>
        </w:rPr>
        <w:t>河道水文情势影响较小</w:t>
      </w:r>
      <w:r>
        <w:rPr>
          <w:rFonts w:ascii="Times New Roman" w:hAnsi="Times New Roman" w:eastAsia="宋体"/>
          <w:sz w:val="24"/>
          <w:szCs w:val="22"/>
        </w:rPr>
        <w:t>，不会显著改变该江段原有的生境特征。</w:t>
      </w:r>
      <w:r>
        <w:rPr>
          <w:rFonts w:ascii="Times New Roman" w:hAnsi="Times New Roman" w:eastAsia="宋体"/>
          <w:b/>
          <w:bCs/>
          <w:sz w:val="24"/>
          <w:szCs w:val="22"/>
        </w:rPr>
        <w:t>因此，码头运营对鱼类等水生生物种群结构不会产生显著影响。</w:t>
      </w:r>
    </w:p>
    <w:p w14:paraId="53E87108">
      <w:pPr>
        <w:keepNext/>
        <w:keepLines/>
        <w:widowControl w:val="0"/>
        <w:numPr>
          <w:ilvl w:val="0"/>
          <w:numId w:val="0"/>
        </w:numPr>
        <w:adjustRightInd/>
        <w:snapToGrid/>
        <w:spacing w:line="360" w:lineRule="auto"/>
        <w:ind w:firstLine="0" w:firstLineChars="0"/>
        <w:jc w:val="both"/>
        <w:outlineLvl w:val="3"/>
        <w:rPr>
          <w:rFonts w:hint="eastAsia" w:ascii="Times New Roman" w:hAnsi="Times New Roman" w:eastAsia="黑体" w:cs="Times New Roman"/>
          <w:bCs/>
          <w:color w:val="auto"/>
          <w:kern w:val="2"/>
          <w:sz w:val="24"/>
          <w:szCs w:val="28"/>
          <w:lang w:val="en-US" w:eastAsia="zh-CN" w:bidi="ar-SA"/>
        </w:rPr>
      </w:pPr>
      <w:bookmarkStart w:id="225" w:name="_Toc471349344"/>
      <w:bookmarkStart w:id="226" w:name="_Toc459587370"/>
      <w:bookmarkStart w:id="227" w:name="_Toc463620411"/>
      <w:bookmarkStart w:id="228" w:name="_Toc468175612"/>
      <w:bookmarkStart w:id="229" w:name="_Toc472830508"/>
      <w:bookmarkStart w:id="230" w:name="_Toc472229763"/>
      <w:bookmarkStart w:id="231" w:name="_Toc459251241"/>
      <w:r>
        <w:rPr>
          <w:rFonts w:hint="eastAsia" w:ascii="Times New Roman" w:hAnsi="Times New Roman" w:eastAsia="黑体" w:cs="Times New Roman"/>
          <w:bCs/>
          <w:color w:val="auto"/>
          <w:kern w:val="2"/>
          <w:sz w:val="24"/>
          <w:szCs w:val="28"/>
          <w:lang w:val="en-US" w:eastAsia="zh-CN" w:bidi="ar-SA"/>
        </w:rPr>
        <w:t>5.2.6.3 对鱼类等水生生物资源的影响</w:t>
      </w:r>
      <w:bookmarkEnd w:id="225"/>
      <w:bookmarkEnd w:id="226"/>
      <w:bookmarkEnd w:id="227"/>
      <w:bookmarkEnd w:id="228"/>
      <w:bookmarkEnd w:id="229"/>
      <w:bookmarkEnd w:id="230"/>
      <w:bookmarkEnd w:id="231"/>
    </w:p>
    <w:p w14:paraId="6349489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r>
        <w:rPr>
          <w:rFonts w:hint="eastAsia" w:ascii="Times New Roman" w:hAnsi="Times New Roman" w:eastAsia="宋体"/>
          <w:b/>
          <w:bCs/>
          <w:sz w:val="24"/>
          <w:szCs w:val="24"/>
          <w:lang w:eastAsia="zh-CN"/>
        </w:rPr>
        <w:t>5.2.6.3.1 施工期</w:t>
      </w:r>
    </w:p>
    <w:p w14:paraId="450E96C2">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同5.2.1.1节所述，施工期间，港池开挖、护坡、码头基础及接岸道路等施工内容</w:t>
      </w:r>
      <w:r>
        <w:rPr>
          <w:rFonts w:ascii="Times New Roman" w:hAnsi="Times New Roman" w:eastAsia="宋体"/>
          <w:sz w:val="24"/>
          <w:szCs w:val="22"/>
        </w:rPr>
        <w:t>使</w:t>
      </w:r>
      <w:r>
        <w:rPr>
          <w:rFonts w:ascii="Times New Roman" w:hAnsi="Times New Roman" w:eastAsia="宋体"/>
          <w:sz w:val="24"/>
          <w:szCs w:val="28"/>
        </w:rPr>
        <w:t>施工及临近水域水体悬浮物及有害污染物浓度增加，同时施工噪声也显著增大，这将对周边水域的鱼类等水生生物造成损害。水体中悬浮物质含量增加，容易使鱼类的鳃部聚集杂质，减损鳃部的滤水呼吸功能，甚至导致鱼类窒息死亡。并且将影响浮游动植物、底栖动物、仔幼鱼的资源量。</w:t>
      </w:r>
    </w:p>
    <w:p w14:paraId="5922AF60">
      <w:pPr>
        <w:adjustRightInd/>
        <w:snapToGrid/>
        <w:spacing w:line="400" w:lineRule="exact"/>
        <w:ind w:firstLine="0" w:firstLineChars="0"/>
        <w:jc w:val="center"/>
        <w:rPr>
          <w:rFonts w:hint="eastAsia" w:eastAsia="黑体"/>
          <w:color w:val="auto"/>
          <w:sz w:val="24"/>
          <w:szCs w:val="21"/>
        </w:rPr>
      </w:pPr>
      <w:r>
        <w:rPr>
          <w:rFonts w:hint="eastAsia" w:eastAsia="黑体"/>
          <w:color w:val="auto"/>
          <w:sz w:val="24"/>
          <w:szCs w:val="21"/>
        </w:rPr>
        <w:t>表</w:t>
      </w:r>
      <w:r>
        <w:rPr>
          <w:rFonts w:hint="eastAsia" w:eastAsia="黑体"/>
          <w:color w:val="auto"/>
          <w:sz w:val="24"/>
          <w:szCs w:val="21"/>
          <w:lang w:eastAsia="zh-CN"/>
        </w:rPr>
        <w:t>5.2</w:t>
      </w:r>
      <w:r>
        <w:rPr>
          <w:rFonts w:hint="eastAsia" w:eastAsia="黑体"/>
          <w:color w:val="auto"/>
          <w:sz w:val="24"/>
          <w:szCs w:val="21"/>
          <w:lang w:val="en-US" w:eastAsia="zh-CN"/>
        </w:rPr>
        <w:t>-18</w:t>
      </w:r>
      <w:r>
        <w:rPr>
          <w:rFonts w:hint="eastAsia" w:eastAsia="黑体"/>
          <w:color w:val="auto"/>
          <w:sz w:val="24"/>
          <w:szCs w:val="21"/>
        </w:rPr>
        <w:t xml:space="preserve">  不同悬浮物浓度和耐受时间对水生生物的影响</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autofit"/>
        <w:tblCellMar>
          <w:top w:w="0" w:type="dxa"/>
          <w:left w:w="108" w:type="dxa"/>
          <w:bottom w:w="0" w:type="dxa"/>
          <w:right w:w="108" w:type="dxa"/>
        </w:tblCellMar>
      </w:tblPr>
      <w:tblGrid>
        <w:gridCol w:w="1804"/>
        <w:gridCol w:w="1280"/>
        <w:gridCol w:w="1050"/>
        <w:gridCol w:w="2345"/>
        <w:gridCol w:w="2808"/>
      </w:tblGrid>
      <w:tr w14:paraId="64A22D3D">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41D63E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b/>
                <w:kern w:val="0"/>
                <w:sz w:val="21"/>
                <w:szCs w:val="21"/>
              </w:rPr>
            </w:pPr>
            <w:r>
              <w:rPr>
                <w:rFonts w:hint="default" w:ascii="Times New Roman" w:hAnsi="Times New Roman" w:eastAsia="宋体"/>
                <w:b/>
                <w:kern w:val="0"/>
                <w:sz w:val="21"/>
                <w:szCs w:val="21"/>
              </w:rPr>
              <w:t>生物类别</w:t>
            </w:r>
          </w:p>
        </w:tc>
        <w:tc>
          <w:tcPr>
            <w:tcW w:w="689" w:type="pct"/>
            <w:tcBorders>
              <w:tl2br w:val="nil"/>
              <w:tr2bl w:val="nil"/>
            </w:tcBorders>
            <w:noWrap w:val="0"/>
            <w:vAlign w:val="center"/>
          </w:tcPr>
          <w:p w14:paraId="2BE7196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b/>
                <w:kern w:val="0"/>
                <w:sz w:val="21"/>
                <w:szCs w:val="21"/>
              </w:rPr>
            </w:pPr>
            <w:r>
              <w:rPr>
                <w:rFonts w:hint="default" w:ascii="Times New Roman" w:hAnsi="Times New Roman" w:eastAsia="宋体"/>
                <w:b/>
                <w:kern w:val="0"/>
                <w:sz w:val="21"/>
                <w:szCs w:val="21"/>
              </w:rPr>
              <w:t>不同浓度</w:t>
            </w:r>
          </w:p>
        </w:tc>
        <w:tc>
          <w:tcPr>
            <w:tcW w:w="565" w:type="pct"/>
            <w:tcBorders>
              <w:tl2br w:val="nil"/>
              <w:tr2bl w:val="nil"/>
            </w:tcBorders>
            <w:noWrap w:val="0"/>
            <w:vAlign w:val="center"/>
          </w:tcPr>
          <w:p w14:paraId="7E8048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b/>
                <w:kern w:val="0"/>
                <w:sz w:val="21"/>
                <w:szCs w:val="21"/>
              </w:rPr>
            </w:pPr>
            <w:r>
              <w:rPr>
                <w:rFonts w:hint="default" w:ascii="Times New Roman" w:hAnsi="Times New Roman" w:eastAsia="宋体"/>
                <w:b/>
                <w:kern w:val="0"/>
                <w:sz w:val="21"/>
                <w:szCs w:val="21"/>
              </w:rPr>
              <w:t>耐受时间(h)</w:t>
            </w:r>
          </w:p>
        </w:tc>
        <w:tc>
          <w:tcPr>
            <w:tcW w:w="1262" w:type="pct"/>
            <w:tcBorders>
              <w:tl2br w:val="nil"/>
              <w:tr2bl w:val="nil"/>
            </w:tcBorders>
            <w:noWrap w:val="0"/>
            <w:vAlign w:val="center"/>
          </w:tcPr>
          <w:p w14:paraId="341916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b/>
                <w:kern w:val="0"/>
                <w:sz w:val="21"/>
                <w:szCs w:val="21"/>
              </w:rPr>
            </w:pPr>
            <w:r>
              <w:rPr>
                <w:rFonts w:hint="default" w:ascii="Times New Roman" w:hAnsi="Times New Roman" w:eastAsia="宋体"/>
                <w:b/>
                <w:kern w:val="0"/>
                <w:sz w:val="21"/>
                <w:szCs w:val="21"/>
              </w:rPr>
              <w:t>影响情况</w:t>
            </w:r>
          </w:p>
        </w:tc>
        <w:tc>
          <w:tcPr>
            <w:tcW w:w="1511" w:type="pct"/>
            <w:tcBorders>
              <w:tl2br w:val="nil"/>
              <w:tr2bl w:val="nil"/>
            </w:tcBorders>
            <w:noWrap w:val="0"/>
            <w:vAlign w:val="center"/>
          </w:tcPr>
          <w:p w14:paraId="7FEFC1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b/>
                <w:kern w:val="0"/>
                <w:sz w:val="21"/>
                <w:szCs w:val="21"/>
              </w:rPr>
            </w:pPr>
            <w:r>
              <w:rPr>
                <w:rFonts w:hint="default" w:ascii="Times New Roman" w:hAnsi="Times New Roman" w:eastAsia="宋体"/>
                <w:b/>
                <w:kern w:val="0"/>
                <w:sz w:val="21"/>
                <w:szCs w:val="21"/>
              </w:rPr>
              <w:t>参考文献</w:t>
            </w:r>
          </w:p>
        </w:tc>
      </w:tr>
      <w:tr w14:paraId="4B361A8C">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33A9C2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大型植物和藻类</w:t>
            </w:r>
          </w:p>
        </w:tc>
        <w:tc>
          <w:tcPr>
            <w:tcW w:w="689" w:type="pct"/>
            <w:tcBorders>
              <w:tl2br w:val="nil"/>
              <w:tr2bl w:val="nil"/>
            </w:tcBorders>
            <w:noWrap w:val="0"/>
            <w:vAlign w:val="center"/>
          </w:tcPr>
          <w:p w14:paraId="7AB706A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8mg/L</w:t>
            </w:r>
          </w:p>
        </w:tc>
        <w:tc>
          <w:tcPr>
            <w:tcW w:w="565" w:type="pct"/>
            <w:tcBorders>
              <w:tl2br w:val="nil"/>
              <w:tr2bl w:val="nil"/>
            </w:tcBorders>
            <w:noWrap w:val="0"/>
            <w:vAlign w:val="center"/>
          </w:tcPr>
          <w:p w14:paraId="47E4D0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p>
        </w:tc>
        <w:tc>
          <w:tcPr>
            <w:tcW w:w="1262" w:type="pct"/>
            <w:tcBorders>
              <w:tl2br w:val="nil"/>
              <w:tr2bl w:val="nil"/>
            </w:tcBorders>
            <w:noWrap w:val="0"/>
            <w:vAlign w:val="center"/>
          </w:tcPr>
          <w:p w14:paraId="35F044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初级生产力下降3-13%</w:t>
            </w:r>
          </w:p>
        </w:tc>
        <w:tc>
          <w:tcPr>
            <w:tcW w:w="1511" w:type="pct"/>
            <w:tcBorders>
              <w:tl2br w:val="nil"/>
              <w:tr2bl w:val="nil"/>
            </w:tcBorders>
            <w:noWrap w:val="0"/>
            <w:vAlign w:val="center"/>
          </w:tcPr>
          <w:p w14:paraId="218859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United States Lloyd et al. (1987)</w:t>
            </w:r>
          </w:p>
        </w:tc>
      </w:tr>
      <w:tr w14:paraId="27E5C535">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712627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浮游生物</w:t>
            </w:r>
          </w:p>
        </w:tc>
        <w:tc>
          <w:tcPr>
            <w:tcW w:w="689" w:type="pct"/>
            <w:tcBorders>
              <w:tl2br w:val="nil"/>
              <w:tr2bl w:val="nil"/>
            </w:tcBorders>
            <w:noWrap w:val="0"/>
            <w:vAlign w:val="center"/>
          </w:tcPr>
          <w:p w14:paraId="2C2DAD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10mg/L</w:t>
            </w:r>
          </w:p>
        </w:tc>
        <w:tc>
          <w:tcPr>
            <w:tcW w:w="565" w:type="pct"/>
            <w:tcBorders>
              <w:tl2br w:val="nil"/>
              <w:tr2bl w:val="nil"/>
            </w:tcBorders>
            <w:noWrap w:val="0"/>
            <w:vAlign w:val="center"/>
          </w:tcPr>
          <w:p w14:paraId="5E6DBA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1344</w:t>
            </w:r>
          </w:p>
        </w:tc>
        <w:tc>
          <w:tcPr>
            <w:tcW w:w="1262" w:type="pct"/>
            <w:tcBorders>
              <w:tl2br w:val="nil"/>
              <w:tr2bl w:val="nil"/>
            </w:tcBorders>
            <w:noWrap w:val="0"/>
            <w:vAlign w:val="center"/>
          </w:tcPr>
          <w:p w14:paraId="4FB5E6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藻类生物量下降40%</w:t>
            </w:r>
          </w:p>
        </w:tc>
        <w:tc>
          <w:tcPr>
            <w:tcW w:w="1511" w:type="pct"/>
            <w:tcBorders>
              <w:tl2br w:val="nil"/>
              <w:tr2bl w:val="nil"/>
            </w:tcBorders>
            <w:noWrap w:val="0"/>
            <w:vAlign w:val="center"/>
          </w:tcPr>
          <w:p w14:paraId="250178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New Zealand Quinn et al. (1992)</w:t>
            </w:r>
          </w:p>
        </w:tc>
      </w:tr>
      <w:tr w14:paraId="79774186">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707B80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大型植物和藻类</w:t>
            </w:r>
          </w:p>
        </w:tc>
        <w:tc>
          <w:tcPr>
            <w:tcW w:w="689" w:type="pct"/>
            <w:tcBorders>
              <w:tl2br w:val="nil"/>
              <w:tr2bl w:val="nil"/>
            </w:tcBorders>
            <w:noWrap w:val="0"/>
            <w:vAlign w:val="center"/>
          </w:tcPr>
          <w:p w14:paraId="764538E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40mg/L</w:t>
            </w:r>
          </w:p>
        </w:tc>
        <w:tc>
          <w:tcPr>
            <w:tcW w:w="565" w:type="pct"/>
            <w:tcBorders>
              <w:tl2br w:val="nil"/>
              <w:tr2bl w:val="nil"/>
            </w:tcBorders>
            <w:noWrap w:val="0"/>
            <w:vAlign w:val="center"/>
          </w:tcPr>
          <w:p w14:paraId="57C3928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p>
        </w:tc>
        <w:tc>
          <w:tcPr>
            <w:tcW w:w="1262" w:type="pct"/>
            <w:tcBorders>
              <w:tl2br w:val="nil"/>
              <w:tr2bl w:val="nil"/>
            </w:tcBorders>
            <w:noWrap w:val="0"/>
            <w:vAlign w:val="center"/>
          </w:tcPr>
          <w:p w14:paraId="0DBEA21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初级生产力下降13-50%</w:t>
            </w:r>
          </w:p>
        </w:tc>
        <w:tc>
          <w:tcPr>
            <w:tcW w:w="1511" w:type="pct"/>
            <w:tcBorders>
              <w:tl2br w:val="nil"/>
              <w:tr2bl w:val="nil"/>
            </w:tcBorders>
            <w:noWrap w:val="0"/>
            <w:vAlign w:val="center"/>
          </w:tcPr>
          <w:p w14:paraId="26916C3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United States Lloyd et al. (1987)</w:t>
            </w:r>
          </w:p>
        </w:tc>
      </w:tr>
      <w:tr w14:paraId="796B9AC2">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46F6AB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水生苔藓</w:t>
            </w:r>
          </w:p>
        </w:tc>
        <w:tc>
          <w:tcPr>
            <w:tcW w:w="689" w:type="pct"/>
            <w:tcBorders>
              <w:tl2br w:val="nil"/>
              <w:tr2bl w:val="nil"/>
            </w:tcBorders>
            <w:noWrap w:val="0"/>
            <w:vAlign w:val="center"/>
          </w:tcPr>
          <w:p w14:paraId="57FEAFB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100mg/L</w:t>
            </w:r>
          </w:p>
        </w:tc>
        <w:tc>
          <w:tcPr>
            <w:tcW w:w="565" w:type="pct"/>
            <w:tcBorders>
              <w:tl2br w:val="nil"/>
              <w:tr2bl w:val="nil"/>
            </w:tcBorders>
            <w:noWrap w:val="0"/>
            <w:vAlign w:val="center"/>
          </w:tcPr>
          <w:p w14:paraId="20F158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504</w:t>
            </w:r>
          </w:p>
        </w:tc>
        <w:tc>
          <w:tcPr>
            <w:tcW w:w="1262" w:type="pct"/>
            <w:tcBorders>
              <w:tl2br w:val="nil"/>
              <w:tr2bl w:val="nil"/>
            </w:tcBorders>
            <w:noWrap w:val="0"/>
            <w:vAlign w:val="center"/>
          </w:tcPr>
          <w:p w14:paraId="316B9B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严重影响苔藓植物的叶片生长</w:t>
            </w:r>
          </w:p>
        </w:tc>
        <w:tc>
          <w:tcPr>
            <w:tcW w:w="1511" w:type="pct"/>
            <w:tcBorders>
              <w:tl2br w:val="nil"/>
              <w:tr2bl w:val="nil"/>
            </w:tcBorders>
            <w:noWrap w:val="0"/>
            <w:vAlign w:val="center"/>
          </w:tcPr>
          <w:p w14:paraId="46BE7F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Wales Lewis (1973)</w:t>
            </w:r>
          </w:p>
        </w:tc>
      </w:tr>
      <w:tr w14:paraId="4661B535">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6D71389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固着生物</w:t>
            </w:r>
          </w:p>
        </w:tc>
        <w:tc>
          <w:tcPr>
            <w:tcW w:w="689" w:type="pct"/>
            <w:tcBorders>
              <w:tl2br w:val="nil"/>
              <w:tr2bl w:val="nil"/>
            </w:tcBorders>
            <w:noWrap w:val="0"/>
            <w:vAlign w:val="center"/>
          </w:tcPr>
          <w:p w14:paraId="14B56A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100mg/L</w:t>
            </w:r>
          </w:p>
        </w:tc>
        <w:tc>
          <w:tcPr>
            <w:tcW w:w="565" w:type="pct"/>
            <w:tcBorders>
              <w:tl2br w:val="nil"/>
              <w:tr2bl w:val="nil"/>
            </w:tcBorders>
            <w:noWrap w:val="0"/>
            <w:vAlign w:val="center"/>
          </w:tcPr>
          <w:p w14:paraId="41048B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p>
        </w:tc>
        <w:tc>
          <w:tcPr>
            <w:tcW w:w="1262" w:type="pct"/>
            <w:tcBorders>
              <w:tl2br w:val="nil"/>
              <w:tr2bl w:val="nil"/>
            </w:tcBorders>
            <w:noWrap w:val="0"/>
            <w:vAlign w:val="center"/>
          </w:tcPr>
          <w:p w14:paraId="7B27A36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在低流速下促进固着生物微管的快速生长</w:t>
            </w:r>
          </w:p>
        </w:tc>
        <w:tc>
          <w:tcPr>
            <w:tcW w:w="1511" w:type="pct"/>
            <w:tcBorders>
              <w:tl2br w:val="nil"/>
              <w:tr2bl w:val="nil"/>
            </w:tcBorders>
            <w:noWrap w:val="0"/>
            <w:vAlign w:val="center"/>
          </w:tcPr>
          <w:p w14:paraId="109E25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United States Birkett et al. (2007)</w:t>
            </w:r>
          </w:p>
        </w:tc>
      </w:tr>
      <w:tr w14:paraId="28A52853">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3FB092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大型植物和藻类</w:t>
            </w:r>
          </w:p>
        </w:tc>
        <w:tc>
          <w:tcPr>
            <w:tcW w:w="689" w:type="pct"/>
            <w:tcBorders>
              <w:tl2br w:val="nil"/>
              <w:tr2bl w:val="nil"/>
            </w:tcBorders>
            <w:noWrap w:val="0"/>
            <w:vAlign w:val="center"/>
          </w:tcPr>
          <w:p w14:paraId="6FBCAE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200mg/L</w:t>
            </w:r>
          </w:p>
        </w:tc>
        <w:tc>
          <w:tcPr>
            <w:tcW w:w="565" w:type="pct"/>
            <w:tcBorders>
              <w:tl2br w:val="nil"/>
              <w:tr2bl w:val="nil"/>
            </w:tcBorders>
            <w:noWrap w:val="0"/>
            <w:vAlign w:val="center"/>
          </w:tcPr>
          <w:p w14:paraId="6BAACCF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p>
        </w:tc>
        <w:tc>
          <w:tcPr>
            <w:tcW w:w="1262" w:type="pct"/>
            <w:tcBorders>
              <w:tl2br w:val="nil"/>
              <w:tr2bl w:val="nil"/>
            </w:tcBorders>
            <w:noWrap w:val="0"/>
            <w:vAlign w:val="center"/>
          </w:tcPr>
          <w:p w14:paraId="18E4095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初级生产力下降50%左右</w:t>
            </w:r>
          </w:p>
        </w:tc>
        <w:tc>
          <w:tcPr>
            <w:tcW w:w="1511" w:type="pct"/>
            <w:tcBorders>
              <w:tl2br w:val="nil"/>
              <w:tr2bl w:val="nil"/>
            </w:tcBorders>
            <w:noWrap w:val="0"/>
            <w:vAlign w:val="center"/>
          </w:tcPr>
          <w:p w14:paraId="44630C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United States Van Nieuwenhuyse and LaPerriere (1986)</w:t>
            </w:r>
          </w:p>
        </w:tc>
      </w:tr>
      <w:tr w14:paraId="06C96C1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33892B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固着生物</w:t>
            </w:r>
          </w:p>
        </w:tc>
        <w:tc>
          <w:tcPr>
            <w:tcW w:w="689" w:type="pct"/>
            <w:tcBorders>
              <w:tl2br w:val="nil"/>
              <w:tr2bl w:val="nil"/>
            </w:tcBorders>
            <w:noWrap w:val="0"/>
            <w:vAlign w:val="center"/>
          </w:tcPr>
          <w:p w14:paraId="1FAB0D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200mg/L</w:t>
            </w:r>
          </w:p>
        </w:tc>
        <w:tc>
          <w:tcPr>
            <w:tcW w:w="565" w:type="pct"/>
            <w:tcBorders>
              <w:tl2br w:val="nil"/>
              <w:tr2bl w:val="nil"/>
            </w:tcBorders>
            <w:noWrap w:val="0"/>
            <w:vAlign w:val="center"/>
          </w:tcPr>
          <w:p w14:paraId="0539EE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p>
        </w:tc>
        <w:tc>
          <w:tcPr>
            <w:tcW w:w="1262" w:type="pct"/>
            <w:tcBorders>
              <w:tl2br w:val="nil"/>
              <w:tr2bl w:val="nil"/>
            </w:tcBorders>
            <w:noWrap w:val="0"/>
            <w:vAlign w:val="center"/>
          </w:tcPr>
          <w:p w14:paraId="680A1E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显著降低生物量和植物微管的长度</w:t>
            </w:r>
          </w:p>
        </w:tc>
        <w:tc>
          <w:tcPr>
            <w:tcW w:w="1511" w:type="pct"/>
            <w:tcBorders>
              <w:tl2br w:val="nil"/>
              <w:tr2bl w:val="nil"/>
            </w:tcBorders>
            <w:noWrap w:val="0"/>
            <w:vAlign w:val="center"/>
          </w:tcPr>
          <w:p w14:paraId="174D5E3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United States Birkett et al. (2007)</w:t>
            </w:r>
          </w:p>
        </w:tc>
      </w:tr>
      <w:tr w14:paraId="40598B7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2E512D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水生苔藓</w:t>
            </w:r>
          </w:p>
        </w:tc>
        <w:tc>
          <w:tcPr>
            <w:tcW w:w="689" w:type="pct"/>
            <w:tcBorders>
              <w:tl2br w:val="nil"/>
              <w:tr2bl w:val="nil"/>
            </w:tcBorders>
            <w:noWrap w:val="0"/>
            <w:vAlign w:val="center"/>
          </w:tcPr>
          <w:p w14:paraId="18D4B4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500mg/L</w:t>
            </w:r>
          </w:p>
        </w:tc>
        <w:tc>
          <w:tcPr>
            <w:tcW w:w="565" w:type="pct"/>
            <w:tcBorders>
              <w:tl2br w:val="nil"/>
              <w:tr2bl w:val="nil"/>
            </w:tcBorders>
            <w:noWrap w:val="0"/>
            <w:vAlign w:val="center"/>
          </w:tcPr>
          <w:p w14:paraId="5BD754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168</w:t>
            </w:r>
          </w:p>
        </w:tc>
        <w:tc>
          <w:tcPr>
            <w:tcW w:w="1262" w:type="pct"/>
            <w:tcBorders>
              <w:tl2br w:val="nil"/>
              <w:tr2bl w:val="nil"/>
            </w:tcBorders>
            <w:noWrap w:val="0"/>
            <w:vAlign w:val="center"/>
          </w:tcPr>
          <w:p w14:paraId="0EE229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严重损伤苔藓植物的叶片</w:t>
            </w:r>
          </w:p>
        </w:tc>
        <w:tc>
          <w:tcPr>
            <w:tcW w:w="1511" w:type="pct"/>
            <w:tcBorders>
              <w:tl2br w:val="nil"/>
              <w:tr2bl w:val="nil"/>
            </w:tcBorders>
            <w:noWrap w:val="0"/>
            <w:vAlign w:val="center"/>
          </w:tcPr>
          <w:p w14:paraId="4E7413B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Wales Lewis (1973)</w:t>
            </w:r>
          </w:p>
        </w:tc>
      </w:tr>
      <w:tr w14:paraId="1EECCE73">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0F33B5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大型植物和藻类</w:t>
            </w:r>
          </w:p>
        </w:tc>
        <w:tc>
          <w:tcPr>
            <w:tcW w:w="689" w:type="pct"/>
            <w:tcBorders>
              <w:tl2br w:val="nil"/>
              <w:tr2bl w:val="nil"/>
            </w:tcBorders>
            <w:noWrap w:val="0"/>
            <w:vAlign w:val="center"/>
          </w:tcPr>
          <w:p w14:paraId="660464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2100mg/L</w:t>
            </w:r>
          </w:p>
        </w:tc>
        <w:tc>
          <w:tcPr>
            <w:tcW w:w="565" w:type="pct"/>
            <w:tcBorders>
              <w:tl2br w:val="nil"/>
              <w:tr2bl w:val="nil"/>
            </w:tcBorders>
            <w:noWrap w:val="0"/>
            <w:vAlign w:val="center"/>
          </w:tcPr>
          <w:p w14:paraId="2E9B38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p>
        </w:tc>
        <w:tc>
          <w:tcPr>
            <w:tcW w:w="1262" w:type="pct"/>
            <w:tcBorders>
              <w:tl2br w:val="nil"/>
              <w:tr2bl w:val="nil"/>
            </w:tcBorders>
            <w:noWrap w:val="0"/>
            <w:vAlign w:val="center"/>
          </w:tcPr>
          <w:p w14:paraId="2DA700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导致初级生产力为零</w:t>
            </w:r>
          </w:p>
        </w:tc>
        <w:tc>
          <w:tcPr>
            <w:tcW w:w="1511" w:type="pct"/>
            <w:tcBorders>
              <w:tl2br w:val="nil"/>
              <w:tr2bl w:val="nil"/>
            </w:tcBorders>
            <w:noWrap w:val="0"/>
            <w:vAlign w:val="center"/>
          </w:tcPr>
          <w:p w14:paraId="5C52E4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United States Van Nieuwenhuyse and LaPerriere (1986)</w:t>
            </w:r>
          </w:p>
        </w:tc>
      </w:tr>
      <w:tr w14:paraId="6623E323">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797FE84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固着生物</w:t>
            </w:r>
          </w:p>
        </w:tc>
        <w:tc>
          <w:tcPr>
            <w:tcW w:w="689" w:type="pct"/>
            <w:tcBorders>
              <w:tl2br w:val="nil"/>
              <w:tr2bl w:val="nil"/>
            </w:tcBorders>
            <w:noWrap w:val="0"/>
            <w:vAlign w:val="center"/>
          </w:tcPr>
          <w:p w14:paraId="25144C7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0-6500mg/L</w:t>
            </w:r>
          </w:p>
        </w:tc>
        <w:tc>
          <w:tcPr>
            <w:tcW w:w="565" w:type="pct"/>
            <w:tcBorders>
              <w:tl2br w:val="nil"/>
              <w:tr2bl w:val="nil"/>
            </w:tcBorders>
            <w:noWrap w:val="0"/>
            <w:vAlign w:val="center"/>
          </w:tcPr>
          <w:p w14:paraId="1924BB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p>
        </w:tc>
        <w:tc>
          <w:tcPr>
            <w:tcW w:w="1262" w:type="pct"/>
            <w:tcBorders>
              <w:tl2br w:val="nil"/>
              <w:tr2bl w:val="nil"/>
            </w:tcBorders>
            <w:noWrap w:val="0"/>
            <w:vAlign w:val="center"/>
          </w:tcPr>
          <w:p w14:paraId="5FACA1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导致严重机械损伤和大大降低生物量</w:t>
            </w:r>
          </w:p>
        </w:tc>
        <w:tc>
          <w:tcPr>
            <w:tcW w:w="1511" w:type="pct"/>
            <w:tcBorders>
              <w:tl2br w:val="nil"/>
              <w:tr2bl w:val="nil"/>
            </w:tcBorders>
            <w:noWrap w:val="0"/>
            <w:vAlign w:val="center"/>
          </w:tcPr>
          <w:p w14:paraId="46B560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New Zealand Francoeur and Biggs  (2003)</w:t>
            </w:r>
          </w:p>
        </w:tc>
      </w:tr>
      <w:tr w14:paraId="296B64E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13168C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底栖无脊椎动物</w:t>
            </w:r>
          </w:p>
        </w:tc>
        <w:tc>
          <w:tcPr>
            <w:tcW w:w="689" w:type="pct"/>
            <w:tcBorders>
              <w:tl2br w:val="nil"/>
              <w:tr2bl w:val="nil"/>
            </w:tcBorders>
            <w:noWrap w:val="0"/>
            <w:vAlign w:val="center"/>
          </w:tcPr>
          <w:p w14:paraId="38C5EA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8mg/L</w:t>
            </w:r>
          </w:p>
        </w:tc>
        <w:tc>
          <w:tcPr>
            <w:tcW w:w="565" w:type="pct"/>
            <w:tcBorders>
              <w:tl2br w:val="nil"/>
              <w:tr2bl w:val="nil"/>
            </w:tcBorders>
            <w:noWrap w:val="0"/>
            <w:vAlign w:val="center"/>
          </w:tcPr>
          <w:p w14:paraId="304CDB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2.5</w:t>
            </w:r>
          </w:p>
        </w:tc>
        <w:tc>
          <w:tcPr>
            <w:tcW w:w="1262" w:type="pct"/>
            <w:tcBorders>
              <w:tl2br w:val="nil"/>
              <w:tr2bl w:val="nil"/>
            </w:tcBorders>
            <w:noWrap w:val="0"/>
            <w:vAlign w:val="center"/>
          </w:tcPr>
          <w:p w14:paraId="662B21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315" w:rightChars="-15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底栖动物漂移率增加</w:t>
            </w:r>
          </w:p>
        </w:tc>
        <w:tc>
          <w:tcPr>
            <w:tcW w:w="1511" w:type="pct"/>
            <w:tcBorders>
              <w:tl2br w:val="nil"/>
              <w:tr2bl w:val="nil"/>
            </w:tcBorders>
            <w:noWrap w:val="0"/>
            <w:vAlign w:val="center"/>
          </w:tcPr>
          <w:p w14:paraId="55F82D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Canada Rosenberg and Wiens (1978)</w:t>
            </w:r>
          </w:p>
        </w:tc>
      </w:tr>
      <w:tr w14:paraId="18BA72CB">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0EEB56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脊椎动物</w:t>
            </w:r>
          </w:p>
        </w:tc>
        <w:tc>
          <w:tcPr>
            <w:tcW w:w="689" w:type="pct"/>
            <w:tcBorders>
              <w:tl2br w:val="nil"/>
              <w:tr2bl w:val="nil"/>
            </w:tcBorders>
            <w:noWrap w:val="0"/>
            <w:vAlign w:val="center"/>
          </w:tcPr>
          <w:p w14:paraId="60664B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8-177mg/L</w:t>
            </w:r>
          </w:p>
        </w:tc>
        <w:tc>
          <w:tcPr>
            <w:tcW w:w="565" w:type="pct"/>
            <w:tcBorders>
              <w:tl2br w:val="nil"/>
              <w:tr2bl w:val="nil"/>
            </w:tcBorders>
            <w:noWrap w:val="0"/>
            <w:vAlign w:val="center"/>
          </w:tcPr>
          <w:p w14:paraId="0EE438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1344</w:t>
            </w:r>
          </w:p>
        </w:tc>
        <w:tc>
          <w:tcPr>
            <w:tcW w:w="1262" w:type="pct"/>
            <w:tcBorders>
              <w:tl2br w:val="nil"/>
              <w:tr2bl w:val="nil"/>
            </w:tcBorders>
            <w:noWrap w:val="0"/>
            <w:vAlign w:val="center"/>
          </w:tcPr>
          <w:p w14:paraId="11E32A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无脊椎动物下降到26%</w:t>
            </w:r>
          </w:p>
        </w:tc>
        <w:tc>
          <w:tcPr>
            <w:tcW w:w="1511" w:type="pct"/>
            <w:tcBorders>
              <w:tl2br w:val="nil"/>
              <w:tr2bl w:val="nil"/>
            </w:tcBorders>
            <w:noWrap w:val="0"/>
            <w:vAlign w:val="center"/>
          </w:tcPr>
          <w:p w14:paraId="3459E8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New ZealandQuinn et al. (1992)</w:t>
            </w:r>
          </w:p>
        </w:tc>
      </w:tr>
      <w:tr w14:paraId="3856518B">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2782C5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底栖无脊椎动物</w:t>
            </w:r>
          </w:p>
        </w:tc>
        <w:tc>
          <w:tcPr>
            <w:tcW w:w="689" w:type="pct"/>
            <w:tcBorders>
              <w:tl2br w:val="nil"/>
              <w:tr2bl w:val="nil"/>
            </w:tcBorders>
            <w:noWrap w:val="0"/>
            <w:vAlign w:val="center"/>
          </w:tcPr>
          <w:p w14:paraId="1F487A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62mg/L</w:t>
            </w:r>
          </w:p>
        </w:tc>
        <w:tc>
          <w:tcPr>
            <w:tcW w:w="565" w:type="pct"/>
            <w:tcBorders>
              <w:tl2br w:val="nil"/>
              <w:tr2bl w:val="nil"/>
            </w:tcBorders>
            <w:noWrap w:val="0"/>
            <w:vAlign w:val="center"/>
          </w:tcPr>
          <w:p w14:paraId="1061057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2400</w:t>
            </w:r>
          </w:p>
        </w:tc>
        <w:tc>
          <w:tcPr>
            <w:tcW w:w="1262" w:type="pct"/>
            <w:tcBorders>
              <w:tl2br w:val="nil"/>
              <w:tr2bl w:val="nil"/>
            </w:tcBorders>
            <w:noWrap w:val="0"/>
            <w:vAlign w:val="center"/>
          </w:tcPr>
          <w:p w14:paraId="6CCB38F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种群数量下降77%</w:t>
            </w:r>
          </w:p>
        </w:tc>
        <w:tc>
          <w:tcPr>
            <w:tcW w:w="1511" w:type="pct"/>
            <w:tcBorders>
              <w:tl2br w:val="nil"/>
              <w:tr2bl w:val="nil"/>
            </w:tcBorders>
            <w:noWrap w:val="0"/>
            <w:vAlign w:val="center"/>
          </w:tcPr>
          <w:p w14:paraId="1CB04E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United States Wagener and LaPerriere (1985)</w:t>
            </w:r>
          </w:p>
        </w:tc>
      </w:tr>
      <w:tr w14:paraId="1355123C">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72FB24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浮游无脊椎动物</w:t>
            </w:r>
          </w:p>
        </w:tc>
        <w:tc>
          <w:tcPr>
            <w:tcW w:w="689" w:type="pct"/>
            <w:tcBorders>
              <w:tl2br w:val="nil"/>
              <w:tr2bl w:val="nil"/>
            </w:tcBorders>
            <w:noWrap w:val="0"/>
            <w:vAlign w:val="center"/>
          </w:tcPr>
          <w:p w14:paraId="40BC8B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130mg/L</w:t>
            </w:r>
          </w:p>
        </w:tc>
        <w:tc>
          <w:tcPr>
            <w:tcW w:w="565" w:type="pct"/>
            <w:tcBorders>
              <w:tl2br w:val="nil"/>
              <w:tr2bl w:val="nil"/>
            </w:tcBorders>
            <w:noWrap w:val="0"/>
            <w:vAlign w:val="center"/>
          </w:tcPr>
          <w:p w14:paraId="1B12ED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8760</w:t>
            </w:r>
          </w:p>
        </w:tc>
        <w:tc>
          <w:tcPr>
            <w:tcW w:w="1262" w:type="pct"/>
            <w:tcBorders>
              <w:tl2br w:val="nil"/>
              <w:tr2bl w:val="nil"/>
            </w:tcBorders>
            <w:noWrap w:val="0"/>
            <w:vAlign w:val="center"/>
          </w:tcPr>
          <w:p w14:paraId="1FC3A4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种群多样性下降40%</w:t>
            </w:r>
          </w:p>
        </w:tc>
        <w:tc>
          <w:tcPr>
            <w:tcW w:w="1511" w:type="pct"/>
            <w:tcBorders>
              <w:tl2br w:val="nil"/>
              <w:tr2bl w:val="nil"/>
            </w:tcBorders>
            <w:noWrap w:val="0"/>
            <w:vAlign w:val="center"/>
          </w:tcPr>
          <w:p w14:paraId="2F3749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Australia Doeg and Milledge (1991)</w:t>
            </w:r>
          </w:p>
        </w:tc>
      </w:tr>
      <w:tr w14:paraId="378DF11D">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56E9A4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枝角类</w:t>
            </w:r>
          </w:p>
        </w:tc>
        <w:tc>
          <w:tcPr>
            <w:tcW w:w="689" w:type="pct"/>
            <w:tcBorders>
              <w:tl2br w:val="nil"/>
              <w:tr2bl w:val="nil"/>
            </w:tcBorders>
            <w:noWrap w:val="0"/>
            <w:vAlign w:val="center"/>
          </w:tcPr>
          <w:p w14:paraId="69EF7E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82-392mg/L</w:t>
            </w:r>
          </w:p>
        </w:tc>
        <w:tc>
          <w:tcPr>
            <w:tcW w:w="565" w:type="pct"/>
            <w:tcBorders>
              <w:tl2br w:val="nil"/>
              <w:tr2bl w:val="nil"/>
            </w:tcBorders>
            <w:noWrap w:val="0"/>
            <w:vAlign w:val="center"/>
          </w:tcPr>
          <w:p w14:paraId="559856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72</w:t>
            </w:r>
          </w:p>
        </w:tc>
        <w:tc>
          <w:tcPr>
            <w:tcW w:w="1262" w:type="pct"/>
            <w:tcBorders>
              <w:tl2br w:val="nil"/>
              <w:tr2bl w:val="nil"/>
            </w:tcBorders>
            <w:noWrap w:val="0"/>
            <w:vAlign w:val="center"/>
          </w:tcPr>
          <w:p w14:paraId="0283994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存活率和繁殖性能下降</w:t>
            </w:r>
          </w:p>
        </w:tc>
        <w:tc>
          <w:tcPr>
            <w:tcW w:w="1511" w:type="pct"/>
            <w:tcBorders>
              <w:tl2br w:val="nil"/>
              <w:tr2bl w:val="nil"/>
            </w:tcBorders>
            <w:noWrap w:val="0"/>
            <w:vAlign w:val="center"/>
          </w:tcPr>
          <w:p w14:paraId="331E56E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United States Robertson (1957a)</w:t>
            </w:r>
          </w:p>
        </w:tc>
      </w:tr>
      <w:tr w14:paraId="6877211B">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65CEED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其它无脊椎动物</w:t>
            </w:r>
          </w:p>
        </w:tc>
        <w:tc>
          <w:tcPr>
            <w:tcW w:w="689" w:type="pct"/>
            <w:tcBorders>
              <w:tl2br w:val="nil"/>
              <w:tr2bl w:val="nil"/>
            </w:tcBorders>
            <w:noWrap w:val="0"/>
            <w:vAlign w:val="center"/>
          </w:tcPr>
          <w:p w14:paraId="181DAF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200mg/L</w:t>
            </w:r>
          </w:p>
        </w:tc>
        <w:tc>
          <w:tcPr>
            <w:tcW w:w="565" w:type="pct"/>
            <w:tcBorders>
              <w:tl2br w:val="nil"/>
              <w:tr2bl w:val="nil"/>
            </w:tcBorders>
            <w:noWrap w:val="0"/>
            <w:vAlign w:val="center"/>
          </w:tcPr>
          <w:p w14:paraId="3CEFEC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456</w:t>
            </w:r>
          </w:p>
        </w:tc>
        <w:tc>
          <w:tcPr>
            <w:tcW w:w="1262" w:type="pct"/>
            <w:tcBorders>
              <w:tl2br w:val="nil"/>
              <w:tr2bl w:val="nil"/>
            </w:tcBorders>
            <w:noWrap w:val="0"/>
            <w:vAlign w:val="center"/>
          </w:tcPr>
          <w:p w14:paraId="565E356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显著降低无脊椎动物的丰度</w:t>
            </w:r>
          </w:p>
        </w:tc>
        <w:tc>
          <w:tcPr>
            <w:tcW w:w="1511" w:type="pct"/>
            <w:tcBorders>
              <w:tl2br w:val="nil"/>
              <w:tr2bl w:val="nil"/>
            </w:tcBorders>
            <w:noWrap w:val="0"/>
            <w:vAlign w:val="center"/>
          </w:tcPr>
          <w:p w14:paraId="6FD423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Canada Shaw and Richardson (2001)</w:t>
            </w:r>
          </w:p>
        </w:tc>
      </w:tr>
      <w:tr w14:paraId="2055753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643D416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昆虫</w:t>
            </w:r>
          </w:p>
        </w:tc>
        <w:tc>
          <w:tcPr>
            <w:tcW w:w="689" w:type="pct"/>
            <w:tcBorders>
              <w:tl2br w:val="nil"/>
              <w:tr2bl w:val="nil"/>
            </w:tcBorders>
            <w:noWrap w:val="0"/>
            <w:vAlign w:val="center"/>
          </w:tcPr>
          <w:p w14:paraId="426100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300mg/L</w:t>
            </w:r>
          </w:p>
        </w:tc>
        <w:tc>
          <w:tcPr>
            <w:tcW w:w="565" w:type="pct"/>
            <w:tcBorders>
              <w:tl2br w:val="nil"/>
              <w:tr2bl w:val="nil"/>
            </w:tcBorders>
            <w:noWrap w:val="0"/>
            <w:vAlign w:val="center"/>
          </w:tcPr>
          <w:p w14:paraId="16BBB0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2016</w:t>
            </w:r>
          </w:p>
        </w:tc>
        <w:tc>
          <w:tcPr>
            <w:tcW w:w="1262" w:type="pct"/>
            <w:tcBorders>
              <w:tl2br w:val="nil"/>
              <w:tr2bl w:val="nil"/>
            </w:tcBorders>
            <w:noWrap w:val="0"/>
            <w:vAlign w:val="center"/>
          </w:tcPr>
          <w:p w14:paraId="25129C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种群数量下降90%</w:t>
            </w:r>
          </w:p>
        </w:tc>
        <w:tc>
          <w:tcPr>
            <w:tcW w:w="1511" w:type="pct"/>
            <w:tcBorders>
              <w:tl2br w:val="nil"/>
              <w:tr2bl w:val="nil"/>
            </w:tcBorders>
            <w:noWrap w:val="0"/>
            <w:vAlign w:val="center"/>
          </w:tcPr>
          <w:p w14:paraId="5C5F5D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United States Gray and Ward (1982)</w:t>
            </w:r>
          </w:p>
        </w:tc>
      </w:tr>
      <w:tr w14:paraId="27BD4019">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3230BF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底栖无脊椎动物</w:t>
            </w:r>
          </w:p>
        </w:tc>
        <w:tc>
          <w:tcPr>
            <w:tcW w:w="689" w:type="pct"/>
            <w:tcBorders>
              <w:tl2br w:val="nil"/>
              <w:tr2bl w:val="nil"/>
            </w:tcBorders>
            <w:noWrap w:val="0"/>
            <w:vAlign w:val="center"/>
          </w:tcPr>
          <w:p w14:paraId="10A8E2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743mg/L</w:t>
            </w:r>
          </w:p>
        </w:tc>
        <w:tc>
          <w:tcPr>
            <w:tcW w:w="565" w:type="pct"/>
            <w:tcBorders>
              <w:tl2br w:val="nil"/>
              <w:tr2bl w:val="nil"/>
            </w:tcBorders>
            <w:noWrap w:val="0"/>
            <w:vAlign w:val="center"/>
          </w:tcPr>
          <w:p w14:paraId="219336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2400</w:t>
            </w:r>
          </w:p>
        </w:tc>
        <w:tc>
          <w:tcPr>
            <w:tcW w:w="1262" w:type="pct"/>
            <w:tcBorders>
              <w:tl2br w:val="nil"/>
              <w:tr2bl w:val="nil"/>
            </w:tcBorders>
            <w:noWrap w:val="0"/>
            <w:vAlign w:val="center"/>
          </w:tcPr>
          <w:p w14:paraId="5C6EB4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种群数量下降85%</w:t>
            </w:r>
          </w:p>
        </w:tc>
        <w:tc>
          <w:tcPr>
            <w:tcW w:w="1511" w:type="pct"/>
            <w:tcBorders>
              <w:tl2br w:val="nil"/>
              <w:tr2bl w:val="nil"/>
            </w:tcBorders>
            <w:noWrap w:val="0"/>
            <w:vAlign w:val="center"/>
          </w:tcPr>
          <w:p w14:paraId="532AB1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United States Wagener and LaPerriere (1985)</w:t>
            </w:r>
          </w:p>
        </w:tc>
      </w:tr>
      <w:tr w14:paraId="75C649F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71" w:type="pct"/>
            <w:tcBorders>
              <w:tl2br w:val="nil"/>
              <w:tr2bl w:val="nil"/>
            </w:tcBorders>
            <w:noWrap w:val="0"/>
            <w:vAlign w:val="center"/>
          </w:tcPr>
          <w:p w14:paraId="7F28FB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无脊椎动物</w:t>
            </w:r>
          </w:p>
        </w:tc>
        <w:tc>
          <w:tcPr>
            <w:tcW w:w="689" w:type="pct"/>
            <w:tcBorders>
              <w:tl2br w:val="nil"/>
              <w:tr2bl w:val="nil"/>
            </w:tcBorders>
            <w:noWrap w:val="0"/>
            <w:vAlign w:val="center"/>
          </w:tcPr>
          <w:p w14:paraId="24D5951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2500mg/L</w:t>
            </w:r>
          </w:p>
        </w:tc>
        <w:tc>
          <w:tcPr>
            <w:tcW w:w="565" w:type="pct"/>
            <w:tcBorders>
              <w:tl2br w:val="nil"/>
              <w:tr2bl w:val="nil"/>
            </w:tcBorders>
            <w:noWrap w:val="0"/>
            <w:vAlign w:val="center"/>
          </w:tcPr>
          <w:p w14:paraId="3FAAD0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8760</w:t>
            </w:r>
          </w:p>
        </w:tc>
        <w:tc>
          <w:tcPr>
            <w:tcW w:w="1262" w:type="pct"/>
            <w:tcBorders>
              <w:tl2br w:val="nil"/>
              <w:tr2bl w:val="nil"/>
            </w:tcBorders>
            <w:noWrap w:val="0"/>
            <w:vAlign w:val="center"/>
          </w:tcPr>
          <w:p w14:paraId="523226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种群的剧减甚至灭绝</w:t>
            </w:r>
          </w:p>
        </w:tc>
        <w:tc>
          <w:tcPr>
            <w:tcW w:w="1511" w:type="pct"/>
            <w:tcBorders>
              <w:tl2br w:val="nil"/>
              <w:tr2bl w:val="nil"/>
            </w:tcBorders>
            <w:noWrap w:val="0"/>
            <w:vAlign w:val="center"/>
          </w:tcPr>
          <w:p w14:paraId="65B7D9C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kern w:val="0"/>
                <w:sz w:val="21"/>
                <w:szCs w:val="21"/>
              </w:rPr>
            </w:pPr>
            <w:r>
              <w:rPr>
                <w:rFonts w:hint="default" w:ascii="Times New Roman" w:hAnsi="Times New Roman" w:eastAsia="宋体"/>
                <w:kern w:val="0"/>
                <w:sz w:val="21"/>
                <w:szCs w:val="21"/>
              </w:rPr>
              <w:t>England Nuttall and Bielby (1973)</w:t>
            </w:r>
          </w:p>
        </w:tc>
      </w:tr>
    </w:tbl>
    <w:p w14:paraId="2182D980">
      <w:pPr>
        <w:adjustRightInd w:val="0"/>
        <w:snapToGrid w:val="0"/>
        <w:spacing w:line="240" w:lineRule="auto"/>
        <w:ind w:firstLine="480" w:firstLineChars="200"/>
        <w:jc w:val="center"/>
        <w:rPr>
          <w:rFonts w:ascii="Times New Roman" w:hAnsi="Times New Roman" w:eastAsia="宋体"/>
          <w:b/>
          <w:sz w:val="24"/>
          <w:szCs w:val="22"/>
        </w:rPr>
      </w:pPr>
    </w:p>
    <w:p w14:paraId="53B88E6D">
      <w:pPr>
        <w:adjustRightInd/>
        <w:snapToGrid/>
        <w:spacing w:line="400" w:lineRule="exact"/>
        <w:ind w:firstLine="0" w:firstLineChars="0"/>
        <w:jc w:val="center"/>
        <w:rPr>
          <w:rFonts w:hint="eastAsia" w:eastAsia="黑体"/>
          <w:color w:val="auto"/>
          <w:sz w:val="24"/>
          <w:szCs w:val="21"/>
        </w:rPr>
      </w:pPr>
      <w:r>
        <w:rPr>
          <w:rFonts w:hint="eastAsia" w:eastAsia="黑体"/>
          <w:color w:val="auto"/>
          <w:sz w:val="24"/>
          <w:szCs w:val="21"/>
        </w:rPr>
        <w:t>表</w:t>
      </w:r>
      <w:r>
        <w:rPr>
          <w:rFonts w:hint="eastAsia" w:eastAsia="黑体"/>
          <w:color w:val="auto"/>
          <w:sz w:val="24"/>
          <w:szCs w:val="21"/>
          <w:lang w:eastAsia="zh-CN"/>
        </w:rPr>
        <w:t>5.2</w:t>
      </w:r>
      <w:r>
        <w:rPr>
          <w:rFonts w:hint="eastAsia" w:eastAsia="黑体"/>
          <w:color w:val="auto"/>
          <w:sz w:val="24"/>
          <w:szCs w:val="21"/>
          <w:lang w:val="en-US" w:eastAsia="zh-CN"/>
        </w:rPr>
        <w:t>-19</w:t>
      </w:r>
      <w:r>
        <w:rPr>
          <w:rFonts w:hint="eastAsia" w:eastAsia="黑体"/>
          <w:color w:val="auto"/>
          <w:sz w:val="24"/>
          <w:szCs w:val="21"/>
        </w:rPr>
        <w:t xml:space="preserve">  不同悬浮物浓度和耐受时间对鱼类的影响</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
      <w:tblGrid>
        <w:gridCol w:w="1356"/>
        <w:gridCol w:w="1550"/>
        <w:gridCol w:w="924"/>
        <w:gridCol w:w="2779"/>
        <w:gridCol w:w="2679"/>
      </w:tblGrid>
      <w:tr w14:paraId="49D56B1B">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tblHeader/>
          <w:jc w:val="center"/>
        </w:trPr>
        <w:tc>
          <w:tcPr>
            <w:tcW w:w="1245" w:type="dxa"/>
            <w:tcBorders>
              <w:tl2br w:val="nil"/>
              <w:tr2bl w:val="nil"/>
            </w:tcBorders>
            <w:noWrap w:val="0"/>
            <w:vAlign w:val="center"/>
          </w:tcPr>
          <w:p w14:paraId="344F740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b/>
                <w:bCs/>
                <w:sz w:val="21"/>
                <w:szCs w:val="21"/>
              </w:rPr>
            </w:pPr>
            <w:r>
              <w:rPr>
                <w:rFonts w:hint="default" w:ascii="Times New Roman" w:hAnsi="Times New Roman" w:eastAsia="宋体"/>
                <w:b/>
                <w:bCs/>
                <w:sz w:val="21"/>
                <w:szCs w:val="21"/>
              </w:rPr>
              <w:t>生物类别</w:t>
            </w:r>
          </w:p>
        </w:tc>
        <w:tc>
          <w:tcPr>
            <w:tcW w:w="1423" w:type="dxa"/>
            <w:tcBorders>
              <w:tl2br w:val="nil"/>
              <w:tr2bl w:val="nil"/>
            </w:tcBorders>
            <w:noWrap w:val="0"/>
            <w:vAlign w:val="center"/>
          </w:tcPr>
          <w:p w14:paraId="618074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b/>
                <w:bCs/>
                <w:sz w:val="21"/>
                <w:szCs w:val="21"/>
              </w:rPr>
            </w:pPr>
            <w:r>
              <w:rPr>
                <w:rFonts w:hint="default" w:ascii="Times New Roman" w:hAnsi="Times New Roman" w:eastAsia="宋体"/>
                <w:b/>
                <w:bCs/>
                <w:sz w:val="21"/>
                <w:szCs w:val="21"/>
              </w:rPr>
              <w:t>不同浓度(mg/L)</w:t>
            </w:r>
          </w:p>
        </w:tc>
        <w:tc>
          <w:tcPr>
            <w:tcW w:w="849" w:type="dxa"/>
            <w:tcBorders>
              <w:tl2br w:val="nil"/>
              <w:tr2bl w:val="nil"/>
            </w:tcBorders>
            <w:noWrap w:val="0"/>
            <w:vAlign w:val="center"/>
          </w:tcPr>
          <w:p w14:paraId="445AC85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b/>
                <w:bCs/>
                <w:sz w:val="21"/>
                <w:szCs w:val="21"/>
              </w:rPr>
            </w:pPr>
            <w:r>
              <w:rPr>
                <w:rFonts w:hint="default" w:ascii="Times New Roman" w:hAnsi="Times New Roman" w:eastAsia="宋体"/>
                <w:b/>
                <w:bCs/>
                <w:sz w:val="21"/>
                <w:szCs w:val="21"/>
              </w:rPr>
              <w:t>耐受时间(h)</w:t>
            </w:r>
          </w:p>
        </w:tc>
        <w:tc>
          <w:tcPr>
            <w:tcW w:w="2552" w:type="dxa"/>
            <w:tcBorders>
              <w:tl2br w:val="nil"/>
              <w:tr2bl w:val="nil"/>
            </w:tcBorders>
            <w:noWrap w:val="0"/>
            <w:vAlign w:val="center"/>
          </w:tcPr>
          <w:p w14:paraId="77BD995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b/>
                <w:bCs/>
                <w:sz w:val="21"/>
                <w:szCs w:val="21"/>
              </w:rPr>
            </w:pPr>
            <w:r>
              <w:rPr>
                <w:rFonts w:hint="default" w:ascii="Times New Roman" w:hAnsi="Times New Roman" w:eastAsia="宋体"/>
                <w:b/>
                <w:bCs/>
                <w:sz w:val="21"/>
                <w:szCs w:val="21"/>
              </w:rPr>
              <w:t>影响情况</w:t>
            </w:r>
          </w:p>
        </w:tc>
        <w:tc>
          <w:tcPr>
            <w:tcW w:w="2460" w:type="dxa"/>
            <w:tcBorders>
              <w:tl2br w:val="nil"/>
              <w:tr2bl w:val="nil"/>
            </w:tcBorders>
            <w:noWrap w:val="0"/>
            <w:vAlign w:val="center"/>
          </w:tcPr>
          <w:p w14:paraId="12119D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b/>
                <w:bCs/>
                <w:sz w:val="21"/>
                <w:szCs w:val="21"/>
              </w:rPr>
            </w:pPr>
            <w:r>
              <w:rPr>
                <w:rFonts w:hint="default" w:ascii="Times New Roman" w:hAnsi="Times New Roman" w:eastAsia="宋体"/>
                <w:b/>
                <w:bCs/>
                <w:sz w:val="21"/>
                <w:szCs w:val="21"/>
              </w:rPr>
              <w:t>参考文献</w:t>
            </w:r>
          </w:p>
        </w:tc>
      </w:tr>
      <w:tr w14:paraId="19F1ACE5">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245" w:type="dxa"/>
            <w:tcBorders>
              <w:tl2br w:val="nil"/>
              <w:tr2bl w:val="nil"/>
            </w:tcBorders>
            <w:noWrap w:val="0"/>
            <w:vAlign w:val="center"/>
          </w:tcPr>
          <w:p w14:paraId="0641E46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大西洋鲑鱼</w:t>
            </w:r>
          </w:p>
        </w:tc>
        <w:tc>
          <w:tcPr>
            <w:tcW w:w="1423" w:type="dxa"/>
            <w:tcBorders>
              <w:tl2br w:val="nil"/>
              <w:tr2bl w:val="nil"/>
            </w:tcBorders>
            <w:noWrap w:val="0"/>
            <w:vAlign w:val="center"/>
          </w:tcPr>
          <w:p w14:paraId="1866E5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20</w:t>
            </w:r>
          </w:p>
        </w:tc>
        <w:tc>
          <w:tcPr>
            <w:tcW w:w="849" w:type="dxa"/>
            <w:tcBorders>
              <w:tl2br w:val="nil"/>
              <w:tr2bl w:val="nil"/>
            </w:tcBorders>
            <w:noWrap w:val="0"/>
            <w:vAlign w:val="center"/>
          </w:tcPr>
          <w:p w14:paraId="3FA321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24</w:t>
            </w:r>
          </w:p>
        </w:tc>
        <w:tc>
          <w:tcPr>
            <w:tcW w:w="2552" w:type="dxa"/>
            <w:tcBorders>
              <w:tl2br w:val="nil"/>
              <w:tr2bl w:val="nil"/>
            </w:tcBorders>
            <w:noWrap w:val="0"/>
            <w:vAlign w:val="center"/>
          </w:tcPr>
          <w:p w14:paraId="526DB0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6–13%的死亡率</w:t>
            </w:r>
          </w:p>
        </w:tc>
        <w:tc>
          <w:tcPr>
            <w:tcW w:w="2460" w:type="dxa"/>
            <w:tcBorders>
              <w:tl2br w:val="nil"/>
              <w:tr2bl w:val="nil"/>
            </w:tcBorders>
            <w:noWrap w:val="0"/>
            <w:vAlign w:val="center"/>
          </w:tcPr>
          <w:p w14:paraId="55E55F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Canada，Robertson et al. (2007)</w:t>
            </w:r>
          </w:p>
        </w:tc>
      </w:tr>
      <w:tr w14:paraId="0D5BBF0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245" w:type="dxa"/>
            <w:tcBorders>
              <w:tl2br w:val="nil"/>
              <w:tr2bl w:val="nil"/>
            </w:tcBorders>
            <w:noWrap w:val="0"/>
            <w:vAlign w:val="center"/>
          </w:tcPr>
          <w:p w14:paraId="3C75F6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虹鳟</w:t>
            </w:r>
          </w:p>
        </w:tc>
        <w:tc>
          <w:tcPr>
            <w:tcW w:w="1423" w:type="dxa"/>
            <w:tcBorders>
              <w:tl2br w:val="nil"/>
              <w:tr2bl w:val="nil"/>
            </w:tcBorders>
            <w:noWrap w:val="0"/>
            <w:vAlign w:val="center"/>
          </w:tcPr>
          <w:p w14:paraId="5245BA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47</w:t>
            </w:r>
          </w:p>
        </w:tc>
        <w:tc>
          <w:tcPr>
            <w:tcW w:w="849" w:type="dxa"/>
            <w:tcBorders>
              <w:tl2br w:val="nil"/>
              <w:tr2bl w:val="nil"/>
            </w:tcBorders>
            <w:noWrap w:val="0"/>
            <w:vAlign w:val="center"/>
          </w:tcPr>
          <w:p w14:paraId="789DDC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1152</w:t>
            </w:r>
          </w:p>
        </w:tc>
        <w:tc>
          <w:tcPr>
            <w:tcW w:w="2552" w:type="dxa"/>
            <w:tcBorders>
              <w:tl2br w:val="nil"/>
              <w:tr2bl w:val="nil"/>
            </w:tcBorders>
            <w:noWrap w:val="0"/>
            <w:vAlign w:val="center"/>
          </w:tcPr>
          <w:p w14:paraId="5F5E05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受精胚胎的死亡率达到100%</w:t>
            </w:r>
          </w:p>
        </w:tc>
        <w:tc>
          <w:tcPr>
            <w:tcW w:w="2460" w:type="dxa"/>
            <w:tcBorders>
              <w:tl2br w:val="nil"/>
              <w:tr2bl w:val="nil"/>
            </w:tcBorders>
            <w:noWrap w:val="0"/>
            <w:vAlign w:val="center"/>
          </w:tcPr>
          <w:p w14:paraId="2299DA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Canada，Slaney et al. (1977)</w:t>
            </w:r>
          </w:p>
        </w:tc>
      </w:tr>
      <w:tr w14:paraId="0A261908">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245" w:type="dxa"/>
            <w:tcBorders>
              <w:tl2br w:val="nil"/>
              <w:tr2bl w:val="nil"/>
            </w:tcBorders>
            <w:noWrap w:val="0"/>
            <w:vAlign w:val="center"/>
          </w:tcPr>
          <w:p w14:paraId="640915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刀鲚等鲚属鱼类</w:t>
            </w:r>
          </w:p>
        </w:tc>
        <w:tc>
          <w:tcPr>
            <w:tcW w:w="1423" w:type="dxa"/>
            <w:tcBorders>
              <w:tl2br w:val="nil"/>
              <w:tr2bl w:val="nil"/>
            </w:tcBorders>
            <w:noWrap w:val="0"/>
            <w:vAlign w:val="center"/>
          </w:tcPr>
          <w:p w14:paraId="1260C1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185</w:t>
            </w:r>
          </w:p>
        </w:tc>
        <w:tc>
          <w:tcPr>
            <w:tcW w:w="849" w:type="dxa"/>
            <w:tcBorders>
              <w:tl2br w:val="nil"/>
              <w:tr2bl w:val="nil"/>
            </w:tcBorders>
            <w:noWrap w:val="0"/>
            <w:vAlign w:val="center"/>
          </w:tcPr>
          <w:p w14:paraId="698359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72</w:t>
            </w:r>
          </w:p>
        </w:tc>
        <w:tc>
          <w:tcPr>
            <w:tcW w:w="2552" w:type="dxa"/>
            <w:tcBorders>
              <w:tl2br w:val="nil"/>
              <w:tr2bl w:val="nil"/>
            </w:tcBorders>
            <w:noWrap w:val="0"/>
            <w:vAlign w:val="center"/>
          </w:tcPr>
          <w:p w14:paraId="4DCEA2C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洄游入江的成鱼死亡率达28%</w:t>
            </w:r>
          </w:p>
        </w:tc>
        <w:tc>
          <w:tcPr>
            <w:tcW w:w="2460" w:type="dxa"/>
            <w:tcBorders>
              <w:tl2br w:val="nil"/>
              <w:tr2bl w:val="nil"/>
            </w:tcBorders>
            <w:noWrap w:val="0"/>
            <w:vAlign w:val="center"/>
          </w:tcPr>
          <w:p w14:paraId="639A327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Canada，Reynolds et al. (1988)</w:t>
            </w:r>
          </w:p>
        </w:tc>
      </w:tr>
      <w:tr w14:paraId="3BBCD75C">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245" w:type="dxa"/>
            <w:tcBorders>
              <w:tl2br w:val="nil"/>
              <w:tr2bl w:val="nil"/>
            </w:tcBorders>
            <w:noWrap w:val="0"/>
            <w:vAlign w:val="center"/>
          </w:tcPr>
          <w:p w14:paraId="3C1828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入江产卵鱼类</w:t>
            </w:r>
          </w:p>
        </w:tc>
        <w:tc>
          <w:tcPr>
            <w:tcW w:w="1423" w:type="dxa"/>
            <w:tcBorders>
              <w:tl2br w:val="nil"/>
              <w:tr2bl w:val="nil"/>
            </w:tcBorders>
            <w:noWrap w:val="0"/>
            <w:vAlign w:val="center"/>
          </w:tcPr>
          <w:p w14:paraId="19BFA7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&gt;800以上</w:t>
            </w:r>
          </w:p>
        </w:tc>
        <w:tc>
          <w:tcPr>
            <w:tcW w:w="849" w:type="dxa"/>
            <w:tcBorders>
              <w:tl2br w:val="nil"/>
              <w:tr2bl w:val="nil"/>
            </w:tcBorders>
            <w:noWrap w:val="0"/>
            <w:vAlign w:val="center"/>
          </w:tcPr>
          <w:p w14:paraId="32C4BFA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p>
        </w:tc>
        <w:tc>
          <w:tcPr>
            <w:tcW w:w="2552" w:type="dxa"/>
            <w:tcBorders>
              <w:tl2br w:val="nil"/>
              <w:tr2bl w:val="nil"/>
            </w:tcBorders>
            <w:noWrap w:val="0"/>
            <w:vAlign w:val="center"/>
          </w:tcPr>
          <w:p w14:paraId="00B614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80%的受精异常，90%以上的受精卵不能正常发育</w:t>
            </w:r>
          </w:p>
        </w:tc>
        <w:tc>
          <w:tcPr>
            <w:tcW w:w="2460" w:type="dxa"/>
            <w:tcBorders>
              <w:tl2br w:val="nil"/>
              <w:tr2bl w:val="nil"/>
            </w:tcBorders>
            <w:noWrap w:val="0"/>
            <w:vAlign w:val="center"/>
          </w:tcPr>
          <w:p w14:paraId="07E621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Canada，Galbraith et al. (2006)</w:t>
            </w:r>
          </w:p>
        </w:tc>
      </w:tr>
      <w:tr w14:paraId="424DB199">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245" w:type="dxa"/>
            <w:tcBorders>
              <w:tl2br w:val="nil"/>
              <w:tr2bl w:val="nil"/>
            </w:tcBorders>
            <w:noWrap w:val="0"/>
            <w:vAlign w:val="center"/>
          </w:tcPr>
          <w:p w14:paraId="441C88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鲤科鱼类</w:t>
            </w:r>
          </w:p>
        </w:tc>
        <w:tc>
          <w:tcPr>
            <w:tcW w:w="1423" w:type="dxa"/>
            <w:tcBorders>
              <w:tl2br w:val="nil"/>
              <w:tr2bl w:val="nil"/>
            </w:tcBorders>
            <w:noWrap w:val="0"/>
            <w:vAlign w:val="center"/>
          </w:tcPr>
          <w:p w14:paraId="516F09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2000-3000</w:t>
            </w:r>
          </w:p>
        </w:tc>
        <w:tc>
          <w:tcPr>
            <w:tcW w:w="849" w:type="dxa"/>
            <w:tcBorders>
              <w:tl2br w:val="nil"/>
              <w:tr2bl w:val="nil"/>
            </w:tcBorders>
            <w:noWrap w:val="0"/>
            <w:vAlign w:val="center"/>
          </w:tcPr>
          <w:p w14:paraId="769DD35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192</w:t>
            </w:r>
          </w:p>
        </w:tc>
        <w:tc>
          <w:tcPr>
            <w:tcW w:w="2552" w:type="dxa"/>
            <w:tcBorders>
              <w:tl2br w:val="nil"/>
              <w:tr2bl w:val="nil"/>
            </w:tcBorders>
            <w:noWrap w:val="0"/>
            <w:vAlign w:val="center"/>
          </w:tcPr>
          <w:p w14:paraId="20544A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严重影响鱼类摄食，导致免疫力严重下降</w:t>
            </w:r>
          </w:p>
        </w:tc>
        <w:tc>
          <w:tcPr>
            <w:tcW w:w="2460" w:type="dxa"/>
            <w:tcBorders>
              <w:tl2br w:val="nil"/>
              <w:tr2bl w:val="nil"/>
            </w:tcBorders>
            <w:noWrap w:val="0"/>
            <w:vAlign w:val="center"/>
          </w:tcPr>
          <w:p w14:paraId="798BDC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Canada，Shaw and Richardson (2001)</w:t>
            </w:r>
          </w:p>
        </w:tc>
      </w:tr>
      <w:tr w14:paraId="73C977B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245" w:type="dxa"/>
            <w:tcBorders>
              <w:tl2br w:val="nil"/>
              <w:tr2bl w:val="nil"/>
            </w:tcBorders>
            <w:noWrap w:val="0"/>
            <w:vAlign w:val="center"/>
          </w:tcPr>
          <w:p w14:paraId="3775E2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虹鳟</w:t>
            </w:r>
          </w:p>
        </w:tc>
        <w:tc>
          <w:tcPr>
            <w:tcW w:w="1423" w:type="dxa"/>
            <w:tcBorders>
              <w:tl2br w:val="nil"/>
              <w:tr2bl w:val="nil"/>
            </w:tcBorders>
            <w:noWrap w:val="0"/>
            <w:vAlign w:val="center"/>
          </w:tcPr>
          <w:p w14:paraId="776819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&gt;3000以上</w:t>
            </w:r>
          </w:p>
        </w:tc>
        <w:tc>
          <w:tcPr>
            <w:tcW w:w="849" w:type="dxa"/>
            <w:tcBorders>
              <w:tl2br w:val="nil"/>
              <w:tr2bl w:val="nil"/>
            </w:tcBorders>
            <w:noWrap w:val="0"/>
            <w:vAlign w:val="center"/>
          </w:tcPr>
          <w:p w14:paraId="6477D5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1152</w:t>
            </w:r>
          </w:p>
        </w:tc>
        <w:tc>
          <w:tcPr>
            <w:tcW w:w="2552" w:type="dxa"/>
            <w:tcBorders>
              <w:tl2br w:val="nil"/>
              <w:tr2bl w:val="nil"/>
            </w:tcBorders>
            <w:noWrap w:val="0"/>
            <w:vAlign w:val="center"/>
          </w:tcPr>
          <w:p w14:paraId="2B6340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种群数量下降85%</w:t>
            </w:r>
          </w:p>
        </w:tc>
        <w:tc>
          <w:tcPr>
            <w:tcW w:w="2460" w:type="dxa"/>
            <w:tcBorders>
              <w:tl2br w:val="nil"/>
              <w:tr2bl w:val="nil"/>
            </w:tcBorders>
            <w:noWrap w:val="0"/>
            <w:vAlign w:val="center"/>
          </w:tcPr>
          <w:p w14:paraId="5DE4A2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sz w:val="21"/>
                <w:szCs w:val="21"/>
              </w:rPr>
            </w:pPr>
            <w:r>
              <w:rPr>
                <w:rFonts w:hint="default" w:ascii="Times New Roman" w:hAnsi="Times New Roman" w:eastAsia="宋体"/>
                <w:sz w:val="21"/>
                <w:szCs w:val="21"/>
              </w:rPr>
              <w:t>England，Herbert et al. (1961)</w:t>
            </w:r>
          </w:p>
        </w:tc>
      </w:tr>
    </w:tbl>
    <w:p w14:paraId="5016359D">
      <w:pPr>
        <w:adjustRightInd w:val="0"/>
        <w:snapToGrid w:val="0"/>
        <w:spacing w:line="360" w:lineRule="auto"/>
        <w:ind w:firstLine="480" w:firstLineChars="200"/>
        <w:rPr>
          <w:rFonts w:ascii="Times New Roman" w:hAnsi="Times New Roman" w:eastAsia="宋体"/>
          <w:color w:val="FF0000"/>
          <w:sz w:val="24"/>
          <w:szCs w:val="28"/>
        </w:rPr>
      </w:pPr>
      <w:r>
        <w:rPr>
          <w:rFonts w:ascii="Times New Roman" w:hAnsi="Times New Roman" w:eastAsia="宋体"/>
          <w:sz w:val="24"/>
          <w:szCs w:val="28"/>
        </w:rPr>
        <w:t>在施工区域上游0.3 km至下游1 km处，本项目对渔业生物的繁殖过程将产生一定程度的影响，综合考虑水质污染导致繁殖过程失败或孵化失败、人类活动导致的鱼类等水生生物繁殖回避等因素，参照国内外相关研究，并依据指南确定各类水生生物资源损失率如下：工程上游10 m至工程下游10 m的范围内，鱼卵、仔稚鱼、浮游动物、浮游植物的损失率为45%，底栖动物的损失率为100%，成鱼的损失率为15%；工程下游10 m至工程下游300 m的范围内，鱼卵、仔稚鱼、浮游动物、浮游植物、底栖动物的损失率为25%，成鱼的损失率为8%；工程上游300 m至工程上游10 m的范围及工程下游300 m至工程下游1000 m的范围内，鱼卵、仔稚鱼、浮游动物、浮游植物、底栖动物的损失率为5%，成鱼的损失率为0.8%。</w:t>
      </w:r>
    </w:p>
    <w:p w14:paraId="0B0CE01D">
      <w:pPr>
        <w:adjustRightInd w:val="0"/>
        <w:snapToGrid w:val="0"/>
        <w:spacing w:line="360" w:lineRule="auto"/>
        <w:ind w:firstLine="480" w:firstLineChars="200"/>
        <w:rPr>
          <w:rFonts w:ascii="Times New Roman" w:hAnsi="Times New Roman" w:eastAsia="宋体"/>
          <w:bCs/>
          <w:sz w:val="24"/>
          <w:szCs w:val="28"/>
        </w:rPr>
      </w:pPr>
      <w:r>
        <w:rPr>
          <w:rFonts w:ascii="Times New Roman" w:hAnsi="Times New Roman" w:eastAsia="宋体"/>
          <w:sz w:val="24"/>
          <w:szCs w:val="28"/>
        </w:rPr>
        <w:t>根据悬浮物增量预测结果，施工区上游0.01 km至下游0.01 km处超标4-9倍，下游0.01 km至0.3 km超标1-4倍，下游0.3-1 km及上游0.5-0.01 km处超标1倍以下。</w:t>
      </w:r>
      <w:r>
        <w:rPr>
          <w:rFonts w:ascii="Times New Roman" w:hAnsi="Times New Roman" w:eastAsia="宋体"/>
          <w:b/>
          <w:sz w:val="24"/>
          <w:szCs w:val="28"/>
        </w:rPr>
        <w:t>保护区内施工内容主要包括码头、护坡、接岸道路等构筑物以及码头前沿港池开挖等。</w:t>
      </w:r>
      <w:r>
        <w:rPr>
          <w:rFonts w:ascii="Times New Roman" w:hAnsi="Times New Roman" w:eastAsia="宋体"/>
          <w:bCs/>
          <w:sz w:val="24"/>
          <w:szCs w:val="28"/>
        </w:rPr>
        <w:t>涉水作业长度约290 m，涉水作业宽度约55 m。按保护区2023年调查平均水深5 m、横向扩散系数1.1计，护坡和疏浚作业造成的悬浮物扩散影响面积合计约9.62 hm</w:t>
      </w:r>
      <w:r>
        <w:rPr>
          <w:rFonts w:ascii="Times New Roman" w:hAnsi="Times New Roman" w:eastAsia="宋体"/>
          <w:bCs/>
          <w:sz w:val="24"/>
          <w:szCs w:val="28"/>
          <w:vertAlign w:val="superscript"/>
        </w:rPr>
        <w:t>2</w:t>
      </w:r>
      <w:r>
        <w:rPr>
          <w:rFonts w:ascii="Times New Roman" w:hAnsi="Times New Roman" w:eastAsia="宋体"/>
          <w:bCs/>
          <w:sz w:val="24"/>
          <w:szCs w:val="28"/>
        </w:rPr>
        <w:t>。</w:t>
      </w:r>
    </w:p>
    <w:p w14:paraId="46F7CFE6">
      <w:pPr>
        <w:adjustRightInd/>
        <w:snapToGrid/>
        <w:spacing w:line="400" w:lineRule="exact"/>
        <w:ind w:firstLine="0" w:firstLineChars="0"/>
        <w:jc w:val="center"/>
        <w:rPr>
          <w:rFonts w:hint="eastAsia" w:eastAsia="黑体"/>
          <w:color w:val="auto"/>
          <w:sz w:val="24"/>
          <w:szCs w:val="21"/>
        </w:rPr>
      </w:pPr>
      <w:r>
        <w:rPr>
          <w:rFonts w:hint="eastAsia" w:eastAsia="黑体"/>
          <w:color w:val="auto"/>
          <w:sz w:val="24"/>
          <w:szCs w:val="21"/>
        </w:rPr>
        <w:t>表</w:t>
      </w:r>
      <w:r>
        <w:rPr>
          <w:rFonts w:hint="eastAsia" w:eastAsia="黑体"/>
          <w:color w:val="auto"/>
          <w:sz w:val="24"/>
          <w:szCs w:val="21"/>
          <w:lang w:eastAsia="zh-CN"/>
        </w:rPr>
        <w:t>5.2</w:t>
      </w:r>
      <w:r>
        <w:rPr>
          <w:rFonts w:hint="eastAsia" w:eastAsia="黑体"/>
          <w:color w:val="auto"/>
          <w:sz w:val="24"/>
          <w:szCs w:val="21"/>
          <w:lang w:val="en-US" w:eastAsia="zh-CN"/>
        </w:rPr>
        <w:t>-20</w:t>
      </w:r>
      <w:r>
        <w:rPr>
          <w:rFonts w:hint="eastAsia" w:eastAsia="黑体"/>
          <w:color w:val="auto"/>
          <w:sz w:val="24"/>
          <w:szCs w:val="21"/>
        </w:rPr>
        <w:t xml:space="preserve">   施工期悬浮物扩散影响区域</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0" w:type="dxa"/>
          <w:bottom w:w="0" w:type="dxa"/>
          <w:right w:w="0" w:type="dxa"/>
        </w:tblCellMar>
      </w:tblPr>
      <w:tblGrid>
        <w:gridCol w:w="499"/>
        <w:gridCol w:w="524"/>
        <w:gridCol w:w="686"/>
        <w:gridCol w:w="1568"/>
        <w:gridCol w:w="843"/>
        <w:gridCol w:w="696"/>
        <w:gridCol w:w="609"/>
        <w:gridCol w:w="685"/>
        <w:gridCol w:w="1430"/>
        <w:gridCol w:w="1552"/>
      </w:tblGrid>
      <w:tr w14:paraId="512518E4">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0" w:type="dxa"/>
            <w:bottom w:w="0" w:type="dxa"/>
            <w:right w:w="0" w:type="dxa"/>
          </w:tblCellMar>
        </w:tblPrEx>
        <w:trPr>
          <w:trHeight w:val="23" w:hRule="atLeast"/>
          <w:jc w:val="center"/>
        </w:trPr>
        <w:tc>
          <w:tcPr>
            <w:tcW w:w="958" w:type="dxa"/>
            <w:gridSpan w:val="2"/>
            <w:tcBorders>
              <w:tl2br w:val="nil"/>
              <w:tr2bl w:val="nil"/>
            </w:tcBorders>
            <w:noWrap w:val="0"/>
            <w:tcMar>
              <w:top w:w="10" w:type="dxa"/>
              <w:left w:w="10" w:type="dxa"/>
              <w:right w:w="10" w:type="dxa"/>
            </w:tcMar>
            <w:vAlign w:val="center"/>
          </w:tcPr>
          <w:p w14:paraId="7348828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作业区域</w:t>
            </w:r>
          </w:p>
          <w:p w14:paraId="5B3D844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水域类型</w:t>
            </w:r>
          </w:p>
        </w:tc>
        <w:tc>
          <w:tcPr>
            <w:tcW w:w="642" w:type="dxa"/>
            <w:tcBorders>
              <w:tl2br w:val="nil"/>
              <w:tr2bl w:val="nil"/>
            </w:tcBorders>
            <w:noWrap w:val="0"/>
            <w:tcMar>
              <w:top w:w="10" w:type="dxa"/>
              <w:left w:w="10" w:type="dxa"/>
              <w:right w:w="10" w:type="dxa"/>
            </w:tcMar>
            <w:vAlign w:val="center"/>
          </w:tcPr>
          <w:p w14:paraId="2F767E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超标倍数</w:t>
            </w:r>
          </w:p>
        </w:tc>
        <w:tc>
          <w:tcPr>
            <w:tcW w:w="1470" w:type="dxa"/>
            <w:tcBorders>
              <w:tl2br w:val="nil"/>
              <w:tr2bl w:val="nil"/>
            </w:tcBorders>
            <w:noWrap w:val="0"/>
            <w:tcMar>
              <w:top w:w="10" w:type="dxa"/>
              <w:left w:w="10" w:type="dxa"/>
              <w:right w:w="10" w:type="dxa"/>
            </w:tcMar>
            <w:vAlign w:val="center"/>
          </w:tcPr>
          <w:p w14:paraId="3C8A8E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水域范围</w:t>
            </w:r>
          </w:p>
        </w:tc>
        <w:tc>
          <w:tcPr>
            <w:tcW w:w="790" w:type="dxa"/>
            <w:tcBorders>
              <w:tl2br w:val="nil"/>
              <w:tr2bl w:val="nil"/>
            </w:tcBorders>
            <w:noWrap w:val="0"/>
            <w:tcMar>
              <w:top w:w="10" w:type="dxa"/>
              <w:left w:w="10" w:type="dxa"/>
              <w:right w:w="10" w:type="dxa"/>
            </w:tcMar>
            <w:vAlign w:val="center"/>
          </w:tcPr>
          <w:p w14:paraId="1C5196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水域长度m</w:t>
            </w:r>
          </w:p>
        </w:tc>
        <w:tc>
          <w:tcPr>
            <w:tcW w:w="652" w:type="dxa"/>
            <w:tcBorders>
              <w:tl2br w:val="nil"/>
              <w:tr2bl w:val="nil"/>
            </w:tcBorders>
            <w:noWrap w:val="0"/>
            <w:tcMar>
              <w:top w:w="10" w:type="dxa"/>
              <w:left w:w="10" w:type="dxa"/>
              <w:right w:w="10" w:type="dxa"/>
            </w:tcMar>
            <w:vAlign w:val="center"/>
          </w:tcPr>
          <w:p w14:paraId="54FEE6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水域宽度m</w:t>
            </w:r>
          </w:p>
        </w:tc>
        <w:tc>
          <w:tcPr>
            <w:tcW w:w="571" w:type="dxa"/>
            <w:tcBorders>
              <w:tl2br w:val="nil"/>
              <w:tr2bl w:val="nil"/>
            </w:tcBorders>
            <w:noWrap w:val="0"/>
            <w:tcMar>
              <w:top w:w="10" w:type="dxa"/>
              <w:left w:w="10" w:type="dxa"/>
              <w:right w:w="10" w:type="dxa"/>
            </w:tcMar>
            <w:vAlign w:val="center"/>
          </w:tcPr>
          <w:p w14:paraId="4C88B1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横向系数</w:t>
            </w:r>
          </w:p>
        </w:tc>
        <w:tc>
          <w:tcPr>
            <w:tcW w:w="641" w:type="dxa"/>
            <w:tcBorders>
              <w:tl2br w:val="nil"/>
              <w:tr2bl w:val="nil"/>
            </w:tcBorders>
            <w:noWrap w:val="0"/>
            <w:tcMar>
              <w:top w:w="10" w:type="dxa"/>
              <w:left w:w="10" w:type="dxa"/>
              <w:right w:w="10" w:type="dxa"/>
            </w:tcMar>
            <w:vAlign w:val="center"/>
          </w:tcPr>
          <w:p w14:paraId="4547943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水深m</w:t>
            </w:r>
          </w:p>
        </w:tc>
        <w:tc>
          <w:tcPr>
            <w:tcW w:w="1341" w:type="dxa"/>
            <w:tcBorders>
              <w:tl2br w:val="nil"/>
              <w:tr2bl w:val="nil"/>
            </w:tcBorders>
            <w:noWrap w:val="0"/>
            <w:tcMar>
              <w:top w:w="10" w:type="dxa"/>
              <w:left w:w="10" w:type="dxa"/>
              <w:right w:w="10" w:type="dxa"/>
            </w:tcMar>
            <w:vAlign w:val="center"/>
          </w:tcPr>
          <w:p w14:paraId="0C0FDD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水域面积m</w:t>
            </w:r>
            <w:r>
              <w:rPr>
                <w:rFonts w:hint="default" w:ascii="Times New Roman" w:hAnsi="Times New Roman" w:eastAsia="宋体" w:cs="Times New Roman"/>
                <w:b/>
                <w:bCs/>
                <w:kern w:val="2"/>
                <w:sz w:val="21"/>
                <w:szCs w:val="21"/>
                <w:vertAlign w:val="superscript"/>
                <w:lang w:val="en-US" w:eastAsia="zh-CN" w:bidi="ar-SA"/>
              </w:rPr>
              <w:t>2</w:t>
            </w:r>
          </w:p>
        </w:tc>
        <w:tc>
          <w:tcPr>
            <w:tcW w:w="1453" w:type="dxa"/>
            <w:tcBorders>
              <w:tl2br w:val="nil"/>
              <w:tr2bl w:val="nil"/>
            </w:tcBorders>
            <w:noWrap w:val="0"/>
            <w:tcMar>
              <w:top w:w="10" w:type="dxa"/>
              <w:left w:w="10" w:type="dxa"/>
              <w:right w:w="10" w:type="dxa"/>
            </w:tcMar>
            <w:vAlign w:val="center"/>
          </w:tcPr>
          <w:p w14:paraId="6295C3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水域体积m</w:t>
            </w:r>
            <w:r>
              <w:rPr>
                <w:rFonts w:hint="default" w:ascii="Times New Roman" w:hAnsi="Times New Roman" w:eastAsia="宋体" w:cs="Times New Roman"/>
                <w:b/>
                <w:bCs/>
                <w:kern w:val="2"/>
                <w:sz w:val="21"/>
                <w:szCs w:val="21"/>
                <w:vertAlign w:val="superscript"/>
                <w:lang w:val="en-US" w:eastAsia="zh-CN" w:bidi="ar-SA"/>
              </w:rPr>
              <w:t>3</w:t>
            </w:r>
          </w:p>
        </w:tc>
      </w:tr>
      <w:tr w14:paraId="34054A6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0" w:type="dxa"/>
            <w:bottom w:w="0" w:type="dxa"/>
            <w:right w:w="0" w:type="dxa"/>
          </w:tblCellMar>
        </w:tblPrEx>
        <w:trPr>
          <w:trHeight w:val="23" w:hRule="atLeast"/>
          <w:jc w:val="center"/>
        </w:trPr>
        <w:tc>
          <w:tcPr>
            <w:tcW w:w="467" w:type="dxa"/>
            <w:vMerge w:val="restart"/>
            <w:tcBorders>
              <w:tl2br w:val="nil"/>
              <w:tr2bl w:val="nil"/>
            </w:tcBorders>
            <w:noWrap w:val="0"/>
            <w:tcMar>
              <w:top w:w="10" w:type="dxa"/>
              <w:left w:w="10" w:type="dxa"/>
              <w:right w:w="10" w:type="dxa"/>
            </w:tcMar>
            <w:vAlign w:val="center"/>
          </w:tcPr>
          <w:p w14:paraId="588398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涉保护区施工</w:t>
            </w:r>
          </w:p>
        </w:tc>
        <w:tc>
          <w:tcPr>
            <w:tcW w:w="491" w:type="dxa"/>
            <w:tcBorders>
              <w:tl2br w:val="nil"/>
              <w:tr2bl w:val="nil"/>
            </w:tcBorders>
            <w:noWrap w:val="0"/>
            <w:tcMar>
              <w:top w:w="10" w:type="dxa"/>
              <w:left w:w="10" w:type="dxa"/>
              <w:right w:w="10" w:type="dxa"/>
            </w:tcMar>
            <w:vAlign w:val="center"/>
          </w:tcPr>
          <w:p w14:paraId="5AE6439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施工区域</w:t>
            </w:r>
          </w:p>
        </w:tc>
        <w:tc>
          <w:tcPr>
            <w:tcW w:w="642" w:type="dxa"/>
            <w:vMerge w:val="restart"/>
            <w:tcBorders>
              <w:tl2br w:val="nil"/>
              <w:tr2bl w:val="nil"/>
            </w:tcBorders>
            <w:noWrap w:val="0"/>
            <w:tcMar>
              <w:top w:w="10" w:type="dxa"/>
              <w:left w:w="10" w:type="dxa"/>
              <w:right w:w="10" w:type="dxa"/>
            </w:tcMar>
            <w:vAlign w:val="center"/>
          </w:tcPr>
          <w:p w14:paraId="48750D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4-9倍</w:t>
            </w:r>
          </w:p>
        </w:tc>
        <w:tc>
          <w:tcPr>
            <w:tcW w:w="1470" w:type="dxa"/>
            <w:tcBorders>
              <w:tl2br w:val="nil"/>
              <w:tr2bl w:val="nil"/>
            </w:tcBorders>
            <w:noWrap w:val="0"/>
            <w:tcMar>
              <w:top w:w="10" w:type="dxa"/>
              <w:left w:w="10" w:type="dxa"/>
              <w:right w:w="10" w:type="dxa"/>
            </w:tcMar>
            <w:vAlign w:val="center"/>
          </w:tcPr>
          <w:p w14:paraId="3B5679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保护区施工区</w:t>
            </w:r>
          </w:p>
        </w:tc>
        <w:tc>
          <w:tcPr>
            <w:tcW w:w="790" w:type="dxa"/>
            <w:tcBorders>
              <w:tl2br w:val="nil"/>
              <w:tr2bl w:val="nil"/>
            </w:tcBorders>
            <w:noWrap w:val="0"/>
            <w:tcMar>
              <w:top w:w="10" w:type="dxa"/>
              <w:left w:w="10" w:type="dxa"/>
              <w:right w:w="10" w:type="dxa"/>
            </w:tcMar>
            <w:vAlign w:val="center"/>
          </w:tcPr>
          <w:p w14:paraId="3D4628B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290</w:t>
            </w:r>
          </w:p>
        </w:tc>
        <w:tc>
          <w:tcPr>
            <w:tcW w:w="652" w:type="dxa"/>
            <w:tcBorders>
              <w:tl2br w:val="nil"/>
              <w:tr2bl w:val="nil"/>
            </w:tcBorders>
            <w:noWrap w:val="0"/>
            <w:tcMar>
              <w:top w:w="10" w:type="dxa"/>
              <w:left w:w="10" w:type="dxa"/>
              <w:right w:w="10" w:type="dxa"/>
            </w:tcMar>
            <w:vAlign w:val="center"/>
          </w:tcPr>
          <w:p w14:paraId="3F213E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55</w:t>
            </w:r>
          </w:p>
        </w:tc>
        <w:tc>
          <w:tcPr>
            <w:tcW w:w="571" w:type="dxa"/>
            <w:tcBorders>
              <w:tl2br w:val="nil"/>
              <w:tr2bl w:val="nil"/>
            </w:tcBorders>
            <w:noWrap w:val="0"/>
            <w:tcMar>
              <w:top w:w="10" w:type="dxa"/>
              <w:left w:w="10" w:type="dxa"/>
              <w:right w:w="10" w:type="dxa"/>
            </w:tcMar>
            <w:vAlign w:val="center"/>
          </w:tcPr>
          <w:p w14:paraId="202460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1.1</w:t>
            </w:r>
          </w:p>
        </w:tc>
        <w:tc>
          <w:tcPr>
            <w:tcW w:w="641" w:type="dxa"/>
            <w:tcBorders>
              <w:tl2br w:val="nil"/>
              <w:tr2bl w:val="nil"/>
            </w:tcBorders>
            <w:noWrap w:val="0"/>
            <w:tcMar>
              <w:top w:w="10" w:type="dxa"/>
              <w:left w:w="10" w:type="dxa"/>
              <w:right w:w="10" w:type="dxa"/>
            </w:tcMar>
            <w:vAlign w:val="center"/>
          </w:tcPr>
          <w:p w14:paraId="034E40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11</w:t>
            </w:r>
          </w:p>
        </w:tc>
        <w:tc>
          <w:tcPr>
            <w:tcW w:w="1341" w:type="dxa"/>
            <w:tcBorders>
              <w:tl2br w:val="nil"/>
              <w:tr2bl w:val="nil"/>
            </w:tcBorders>
            <w:noWrap w:val="0"/>
            <w:tcMar>
              <w:top w:w="10" w:type="dxa"/>
              <w:left w:w="10" w:type="dxa"/>
              <w:right w:w="10" w:type="dxa"/>
            </w:tcMar>
            <w:vAlign w:val="center"/>
          </w:tcPr>
          <w:p w14:paraId="36C601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 xml:space="preserve">17545 </w:t>
            </w:r>
          </w:p>
        </w:tc>
        <w:tc>
          <w:tcPr>
            <w:tcW w:w="1453" w:type="dxa"/>
            <w:tcBorders>
              <w:tl2br w:val="nil"/>
              <w:tr2bl w:val="nil"/>
            </w:tcBorders>
            <w:noWrap w:val="0"/>
            <w:tcMar>
              <w:top w:w="10" w:type="dxa"/>
              <w:left w:w="10" w:type="dxa"/>
              <w:right w:w="10" w:type="dxa"/>
            </w:tcMar>
            <w:vAlign w:val="center"/>
          </w:tcPr>
          <w:p w14:paraId="6C98F2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 xml:space="preserve">87725 </w:t>
            </w:r>
          </w:p>
        </w:tc>
      </w:tr>
      <w:tr w14:paraId="65F267D0">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0" w:type="dxa"/>
            <w:bottom w:w="0" w:type="dxa"/>
            <w:right w:w="0" w:type="dxa"/>
          </w:tblCellMar>
        </w:tblPrEx>
        <w:trPr>
          <w:trHeight w:val="23" w:hRule="atLeast"/>
          <w:jc w:val="center"/>
        </w:trPr>
        <w:tc>
          <w:tcPr>
            <w:tcW w:w="467" w:type="dxa"/>
            <w:vMerge w:val="continue"/>
            <w:tcBorders>
              <w:tl2br w:val="nil"/>
              <w:tr2bl w:val="nil"/>
            </w:tcBorders>
            <w:noWrap w:val="0"/>
            <w:tcMar>
              <w:top w:w="10" w:type="dxa"/>
              <w:left w:w="10" w:type="dxa"/>
              <w:right w:w="10" w:type="dxa"/>
            </w:tcMar>
            <w:vAlign w:val="center"/>
          </w:tcPr>
          <w:p w14:paraId="357242A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p>
        </w:tc>
        <w:tc>
          <w:tcPr>
            <w:tcW w:w="491" w:type="dxa"/>
            <w:vMerge w:val="restart"/>
            <w:tcBorders>
              <w:tl2br w:val="nil"/>
              <w:tr2bl w:val="nil"/>
            </w:tcBorders>
            <w:noWrap w:val="0"/>
            <w:tcMar>
              <w:top w:w="10" w:type="dxa"/>
              <w:left w:w="10" w:type="dxa"/>
              <w:right w:w="10" w:type="dxa"/>
            </w:tcMar>
            <w:vAlign w:val="center"/>
          </w:tcPr>
          <w:p w14:paraId="5CFE89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扩散区域</w:t>
            </w:r>
          </w:p>
        </w:tc>
        <w:tc>
          <w:tcPr>
            <w:tcW w:w="642" w:type="dxa"/>
            <w:vMerge w:val="continue"/>
            <w:tcBorders>
              <w:tl2br w:val="nil"/>
              <w:tr2bl w:val="nil"/>
            </w:tcBorders>
            <w:noWrap w:val="0"/>
            <w:tcMar>
              <w:top w:w="10" w:type="dxa"/>
              <w:left w:w="10" w:type="dxa"/>
              <w:right w:w="10" w:type="dxa"/>
            </w:tcMar>
            <w:vAlign w:val="center"/>
          </w:tcPr>
          <w:p w14:paraId="6CC0B9B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p>
        </w:tc>
        <w:tc>
          <w:tcPr>
            <w:tcW w:w="1470" w:type="dxa"/>
            <w:tcBorders>
              <w:tl2br w:val="nil"/>
              <w:tr2bl w:val="nil"/>
            </w:tcBorders>
            <w:noWrap w:val="0"/>
            <w:tcMar>
              <w:top w:w="10" w:type="dxa"/>
              <w:left w:w="10" w:type="dxa"/>
              <w:right w:w="10" w:type="dxa"/>
            </w:tcMar>
            <w:vAlign w:val="center"/>
          </w:tcPr>
          <w:p w14:paraId="5276BE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施工区上游</w:t>
            </w:r>
          </w:p>
          <w:p w14:paraId="2CE270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0.01 km</w:t>
            </w:r>
          </w:p>
        </w:tc>
        <w:tc>
          <w:tcPr>
            <w:tcW w:w="790" w:type="dxa"/>
            <w:tcBorders>
              <w:tl2br w:val="nil"/>
              <w:tr2bl w:val="nil"/>
            </w:tcBorders>
            <w:noWrap w:val="0"/>
            <w:tcMar>
              <w:top w:w="10" w:type="dxa"/>
              <w:left w:w="10" w:type="dxa"/>
              <w:right w:w="10" w:type="dxa"/>
            </w:tcMar>
            <w:vAlign w:val="center"/>
          </w:tcPr>
          <w:p w14:paraId="259CA0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10</w:t>
            </w:r>
          </w:p>
        </w:tc>
        <w:tc>
          <w:tcPr>
            <w:tcW w:w="652" w:type="dxa"/>
            <w:tcBorders>
              <w:tl2br w:val="nil"/>
              <w:tr2bl w:val="nil"/>
            </w:tcBorders>
            <w:noWrap w:val="0"/>
            <w:tcMar>
              <w:top w:w="10" w:type="dxa"/>
              <w:left w:w="10" w:type="dxa"/>
              <w:right w:w="10" w:type="dxa"/>
            </w:tcMar>
            <w:vAlign w:val="center"/>
          </w:tcPr>
          <w:p w14:paraId="1E33DC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55</w:t>
            </w:r>
          </w:p>
        </w:tc>
        <w:tc>
          <w:tcPr>
            <w:tcW w:w="571" w:type="dxa"/>
            <w:tcBorders>
              <w:tl2br w:val="nil"/>
              <w:tr2bl w:val="nil"/>
            </w:tcBorders>
            <w:noWrap w:val="0"/>
            <w:tcMar>
              <w:top w:w="10" w:type="dxa"/>
              <w:left w:w="10" w:type="dxa"/>
              <w:right w:w="10" w:type="dxa"/>
            </w:tcMar>
            <w:vAlign w:val="center"/>
          </w:tcPr>
          <w:p w14:paraId="25B90E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1.1</w:t>
            </w:r>
          </w:p>
        </w:tc>
        <w:tc>
          <w:tcPr>
            <w:tcW w:w="641" w:type="dxa"/>
            <w:tcBorders>
              <w:tl2br w:val="nil"/>
              <w:tr2bl w:val="nil"/>
            </w:tcBorders>
            <w:noWrap w:val="0"/>
            <w:tcMar>
              <w:top w:w="10" w:type="dxa"/>
              <w:left w:w="10" w:type="dxa"/>
              <w:right w:w="10" w:type="dxa"/>
            </w:tcMar>
            <w:vAlign w:val="center"/>
          </w:tcPr>
          <w:p w14:paraId="62DFDD5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11</w:t>
            </w:r>
          </w:p>
        </w:tc>
        <w:tc>
          <w:tcPr>
            <w:tcW w:w="1341" w:type="dxa"/>
            <w:tcBorders>
              <w:tl2br w:val="nil"/>
              <w:tr2bl w:val="nil"/>
            </w:tcBorders>
            <w:noWrap w:val="0"/>
            <w:tcMar>
              <w:top w:w="10" w:type="dxa"/>
              <w:left w:w="10" w:type="dxa"/>
              <w:right w:w="10" w:type="dxa"/>
            </w:tcMar>
            <w:vAlign w:val="center"/>
          </w:tcPr>
          <w:p w14:paraId="71288A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 xml:space="preserve">605 </w:t>
            </w:r>
          </w:p>
        </w:tc>
        <w:tc>
          <w:tcPr>
            <w:tcW w:w="1453" w:type="dxa"/>
            <w:tcBorders>
              <w:tl2br w:val="nil"/>
              <w:tr2bl w:val="nil"/>
            </w:tcBorders>
            <w:noWrap w:val="0"/>
            <w:tcMar>
              <w:top w:w="10" w:type="dxa"/>
              <w:left w:w="10" w:type="dxa"/>
              <w:right w:w="10" w:type="dxa"/>
            </w:tcMar>
            <w:vAlign w:val="center"/>
          </w:tcPr>
          <w:p w14:paraId="7115FF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 xml:space="preserve">3025 </w:t>
            </w:r>
          </w:p>
        </w:tc>
      </w:tr>
      <w:tr w14:paraId="580C7AF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0" w:type="dxa"/>
            <w:bottom w:w="0" w:type="dxa"/>
            <w:right w:w="0" w:type="dxa"/>
          </w:tblCellMar>
        </w:tblPrEx>
        <w:trPr>
          <w:trHeight w:val="23" w:hRule="atLeast"/>
          <w:jc w:val="center"/>
        </w:trPr>
        <w:tc>
          <w:tcPr>
            <w:tcW w:w="467" w:type="dxa"/>
            <w:vMerge w:val="continue"/>
            <w:tcBorders>
              <w:tl2br w:val="nil"/>
              <w:tr2bl w:val="nil"/>
            </w:tcBorders>
            <w:noWrap w:val="0"/>
            <w:tcMar>
              <w:top w:w="10" w:type="dxa"/>
              <w:left w:w="10" w:type="dxa"/>
              <w:right w:w="10" w:type="dxa"/>
            </w:tcMar>
            <w:vAlign w:val="center"/>
          </w:tcPr>
          <w:p w14:paraId="43EAA8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p>
        </w:tc>
        <w:tc>
          <w:tcPr>
            <w:tcW w:w="491" w:type="dxa"/>
            <w:vMerge w:val="continue"/>
            <w:tcBorders>
              <w:tl2br w:val="nil"/>
              <w:tr2bl w:val="nil"/>
            </w:tcBorders>
            <w:noWrap w:val="0"/>
            <w:tcMar>
              <w:top w:w="10" w:type="dxa"/>
              <w:left w:w="10" w:type="dxa"/>
              <w:right w:w="10" w:type="dxa"/>
            </w:tcMar>
            <w:vAlign w:val="center"/>
          </w:tcPr>
          <w:p w14:paraId="699191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p>
        </w:tc>
        <w:tc>
          <w:tcPr>
            <w:tcW w:w="642" w:type="dxa"/>
            <w:vMerge w:val="continue"/>
            <w:tcBorders>
              <w:tl2br w:val="nil"/>
              <w:tr2bl w:val="nil"/>
            </w:tcBorders>
            <w:noWrap w:val="0"/>
            <w:tcMar>
              <w:top w:w="10" w:type="dxa"/>
              <w:left w:w="10" w:type="dxa"/>
              <w:right w:w="10" w:type="dxa"/>
            </w:tcMar>
            <w:vAlign w:val="center"/>
          </w:tcPr>
          <w:p w14:paraId="7EAC27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p>
        </w:tc>
        <w:tc>
          <w:tcPr>
            <w:tcW w:w="1470" w:type="dxa"/>
            <w:tcBorders>
              <w:tl2br w:val="nil"/>
              <w:tr2bl w:val="nil"/>
            </w:tcBorders>
            <w:noWrap w:val="0"/>
            <w:tcMar>
              <w:top w:w="10" w:type="dxa"/>
              <w:left w:w="10" w:type="dxa"/>
              <w:right w:w="10" w:type="dxa"/>
            </w:tcMar>
            <w:vAlign w:val="center"/>
          </w:tcPr>
          <w:p w14:paraId="187867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施工区下游</w:t>
            </w:r>
          </w:p>
          <w:p w14:paraId="2B4CBF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0.01 km</w:t>
            </w:r>
          </w:p>
        </w:tc>
        <w:tc>
          <w:tcPr>
            <w:tcW w:w="790" w:type="dxa"/>
            <w:tcBorders>
              <w:tl2br w:val="nil"/>
              <w:tr2bl w:val="nil"/>
            </w:tcBorders>
            <w:noWrap w:val="0"/>
            <w:tcMar>
              <w:top w:w="10" w:type="dxa"/>
              <w:left w:w="10" w:type="dxa"/>
              <w:right w:w="10" w:type="dxa"/>
            </w:tcMar>
            <w:vAlign w:val="center"/>
          </w:tcPr>
          <w:p w14:paraId="17D1B4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10</w:t>
            </w:r>
          </w:p>
        </w:tc>
        <w:tc>
          <w:tcPr>
            <w:tcW w:w="652" w:type="dxa"/>
            <w:tcBorders>
              <w:tl2br w:val="nil"/>
              <w:tr2bl w:val="nil"/>
            </w:tcBorders>
            <w:noWrap w:val="0"/>
            <w:tcMar>
              <w:top w:w="10" w:type="dxa"/>
              <w:left w:w="10" w:type="dxa"/>
              <w:right w:w="10" w:type="dxa"/>
            </w:tcMar>
            <w:vAlign w:val="center"/>
          </w:tcPr>
          <w:p w14:paraId="552854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55</w:t>
            </w:r>
          </w:p>
        </w:tc>
        <w:tc>
          <w:tcPr>
            <w:tcW w:w="571" w:type="dxa"/>
            <w:tcBorders>
              <w:tl2br w:val="nil"/>
              <w:tr2bl w:val="nil"/>
            </w:tcBorders>
            <w:noWrap w:val="0"/>
            <w:tcMar>
              <w:top w:w="10" w:type="dxa"/>
              <w:left w:w="10" w:type="dxa"/>
              <w:right w:w="10" w:type="dxa"/>
            </w:tcMar>
            <w:vAlign w:val="center"/>
          </w:tcPr>
          <w:p w14:paraId="6E0CF2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1.1</w:t>
            </w:r>
          </w:p>
        </w:tc>
        <w:tc>
          <w:tcPr>
            <w:tcW w:w="641" w:type="dxa"/>
            <w:tcBorders>
              <w:tl2br w:val="nil"/>
              <w:tr2bl w:val="nil"/>
            </w:tcBorders>
            <w:noWrap w:val="0"/>
            <w:tcMar>
              <w:top w:w="10" w:type="dxa"/>
              <w:left w:w="10" w:type="dxa"/>
              <w:right w:w="10" w:type="dxa"/>
            </w:tcMar>
            <w:vAlign w:val="center"/>
          </w:tcPr>
          <w:p w14:paraId="783588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11</w:t>
            </w:r>
          </w:p>
        </w:tc>
        <w:tc>
          <w:tcPr>
            <w:tcW w:w="1341" w:type="dxa"/>
            <w:tcBorders>
              <w:tl2br w:val="nil"/>
              <w:tr2bl w:val="nil"/>
            </w:tcBorders>
            <w:noWrap w:val="0"/>
            <w:tcMar>
              <w:top w:w="10" w:type="dxa"/>
              <w:left w:w="10" w:type="dxa"/>
              <w:right w:w="10" w:type="dxa"/>
            </w:tcMar>
            <w:vAlign w:val="center"/>
          </w:tcPr>
          <w:p w14:paraId="4FBE11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 xml:space="preserve">605 </w:t>
            </w:r>
          </w:p>
        </w:tc>
        <w:tc>
          <w:tcPr>
            <w:tcW w:w="1453" w:type="dxa"/>
            <w:tcBorders>
              <w:tl2br w:val="nil"/>
              <w:tr2bl w:val="nil"/>
            </w:tcBorders>
            <w:noWrap w:val="0"/>
            <w:tcMar>
              <w:top w:w="10" w:type="dxa"/>
              <w:left w:w="10" w:type="dxa"/>
              <w:right w:w="10" w:type="dxa"/>
            </w:tcMar>
            <w:vAlign w:val="center"/>
          </w:tcPr>
          <w:p w14:paraId="0F47B8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 xml:space="preserve">3025 </w:t>
            </w:r>
          </w:p>
        </w:tc>
      </w:tr>
      <w:tr w14:paraId="2E0B078D">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0" w:type="dxa"/>
            <w:bottom w:w="0" w:type="dxa"/>
            <w:right w:w="0" w:type="dxa"/>
          </w:tblCellMar>
        </w:tblPrEx>
        <w:trPr>
          <w:trHeight w:val="23" w:hRule="atLeast"/>
          <w:jc w:val="center"/>
        </w:trPr>
        <w:tc>
          <w:tcPr>
            <w:tcW w:w="467" w:type="dxa"/>
            <w:vMerge w:val="continue"/>
            <w:tcBorders>
              <w:tl2br w:val="nil"/>
              <w:tr2bl w:val="nil"/>
            </w:tcBorders>
            <w:noWrap w:val="0"/>
            <w:tcMar>
              <w:top w:w="10" w:type="dxa"/>
              <w:left w:w="10" w:type="dxa"/>
              <w:right w:w="10" w:type="dxa"/>
            </w:tcMar>
            <w:vAlign w:val="center"/>
          </w:tcPr>
          <w:p w14:paraId="7BB7E2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p>
        </w:tc>
        <w:tc>
          <w:tcPr>
            <w:tcW w:w="491" w:type="dxa"/>
            <w:vMerge w:val="continue"/>
            <w:tcBorders>
              <w:tl2br w:val="nil"/>
              <w:tr2bl w:val="nil"/>
            </w:tcBorders>
            <w:noWrap w:val="0"/>
            <w:tcMar>
              <w:top w:w="10" w:type="dxa"/>
              <w:left w:w="10" w:type="dxa"/>
              <w:right w:w="10" w:type="dxa"/>
            </w:tcMar>
            <w:vAlign w:val="center"/>
          </w:tcPr>
          <w:p w14:paraId="35BF57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p>
        </w:tc>
        <w:tc>
          <w:tcPr>
            <w:tcW w:w="642" w:type="dxa"/>
            <w:tcBorders>
              <w:tl2br w:val="nil"/>
              <w:tr2bl w:val="nil"/>
            </w:tcBorders>
            <w:noWrap w:val="0"/>
            <w:tcMar>
              <w:top w:w="10" w:type="dxa"/>
              <w:left w:w="10" w:type="dxa"/>
              <w:right w:w="10" w:type="dxa"/>
            </w:tcMar>
            <w:vAlign w:val="center"/>
          </w:tcPr>
          <w:p w14:paraId="69761BF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1-4倍</w:t>
            </w:r>
          </w:p>
        </w:tc>
        <w:tc>
          <w:tcPr>
            <w:tcW w:w="1470" w:type="dxa"/>
            <w:tcBorders>
              <w:tl2br w:val="nil"/>
              <w:tr2bl w:val="nil"/>
            </w:tcBorders>
            <w:noWrap w:val="0"/>
            <w:tcMar>
              <w:top w:w="10" w:type="dxa"/>
              <w:left w:w="10" w:type="dxa"/>
              <w:right w:w="10" w:type="dxa"/>
            </w:tcMar>
            <w:vAlign w:val="center"/>
          </w:tcPr>
          <w:p w14:paraId="109080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施工区下游0.01-0.3 km</w:t>
            </w:r>
          </w:p>
        </w:tc>
        <w:tc>
          <w:tcPr>
            <w:tcW w:w="790" w:type="dxa"/>
            <w:tcBorders>
              <w:tl2br w:val="nil"/>
              <w:tr2bl w:val="nil"/>
            </w:tcBorders>
            <w:noWrap w:val="0"/>
            <w:tcMar>
              <w:top w:w="10" w:type="dxa"/>
              <w:left w:w="10" w:type="dxa"/>
              <w:right w:w="10" w:type="dxa"/>
            </w:tcMar>
            <w:vAlign w:val="center"/>
          </w:tcPr>
          <w:p w14:paraId="4AEAEB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290</w:t>
            </w:r>
          </w:p>
        </w:tc>
        <w:tc>
          <w:tcPr>
            <w:tcW w:w="652" w:type="dxa"/>
            <w:tcBorders>
              <w:tl2br w:val="nil"/>
              <w:tr2bl w:val="nil"/>
            </w:tcBorders>
            <w:noWrap w:val="0"/>
            <w:tcMar>
              <w:top w:w="10" w:type="dxa"/>
              <w:left w:w="10" w:type="dxa"/>
              <w:right w:w="10" w:type="dxa"/>
            </w:tcMar>
            <w:vAlign w:val="center"/>
          </w:tcPr>
          <w:p w14:paraId="21D6BE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55</w:t>
            </w:r>
          </w:p>
        </w:tc>
        <w:tc>
          <w:tcPr>
            <w:tcW w:w="571" w:type="dxa"/>
            <w:tcBorders>
              <w:tl2br w:val="nil"/>
              <w:tr2bl w:val="nil"/>
            </w:tcBorders>
            <w:noWrap w:val="0"/>
            <w:tcMar>
              <w:top w:w="10" w:type="dxa"/>
              <w:left w:w="10" w:type="dxa"/>
              <w:right w:w="10" w:type="dxa"/>
            </w:tcMar>
            <w:vAlign w:val="center"/>
          </w:tcPr>
          <w:p w14:paraId="4A85D4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1.1</w:t>
            </w:r>
          </w:p>
        </w:tc>
        <w:tc>
          <w:tcPr>
            <w:tcW w:w="641" w:type="dxa"/>
            <w:tcBorders>
              <w:tl2br w:val="nil"/>
              <w:tr2bl w:val="nil"/>
            </w:tcBorders>
            <w:noWrap w:val="0"/>
            <w:tcMar>
              <w:top w:w="10" w:type="dxa"/>
              <w:left w:w="10" w:type="dxa"/>
              <w:right w:w="10" w:type="dxa"/>
            </w:tcMar>
            <w:vAlign w:val="center"/>
          </w:tcPr>
          <w:p w14:paraId="3924592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11</w:t>
            </w:r>
          </w:p>
        </w:tc>
        <w:tc>
          <w:tcPr>
            <w:tcW w:w="1341" w:type="dxa"/>
            <w:tcBorders>
              <w:tl2br w:val="nil"/>
              <w:tr2bl w:val="nil"/>
            </w:tcBorders>
            <w:noWrap w:val="0"/>
            <w:tcMar>
              <w:top w:w="10" w:type="dxa"/>
              <w:left w:w="10" w:type="dxa"/>
              <w:right w:w="10" w:type="dxa"/>
            </w:tcMar>
            <w:vAlign w:val="center"/>
          </w:tcPr>
          <w:p w14:paraId="31AE46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17545</w:t>
            </w:r>
          </w:p>
        </w:tc>
        <w:tc>
          <w:tcPr>
            <w:tcW w:w="1453" w:type="dxa"/>
            <w:tcBorders>
              <w:tl2br w:val="nil"/>
              <w:tr2bl w:val="nil"/>
            </w:tcBorders>
            <w:noWrap w:val="0"/>
            <w:tcMar>
              <w:top w:w="10" w:type="dxa"/>
              <w:left w:w="10" w:type="dxa"/>
              <w:right w:w="10" w:type="dxa"/>
            </w:tcMar>
            <w:vAlign w:val="center"/>
          </w:tcPr>
          <w:p w14:paraId="0CBF56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87725</w:t>
            </w:r>
          </w:p>
        </w:tc>
      </w:tr>
      <w:tr w14:paraId="55800F40">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0" w:type="dxa"/>
            <w:bottom w:w="0" w:type="dxa"/>
            <w:right w:w="0" w:type="dxa"/>
          </w:tblCellMar>
        </w:tblPrEx>
        <w:trPr>
          <w:trHeight w:val="23" w:hRule="atLeast"/>
          <w:jc w:val="center"/>
        </w:trPr>
        <w:tc>
          <w:tcPr>
            <w:tcW w:w="467" w:type="dxa"/>
            <w:vMerge w:val="continue"/>
            <w:tcBorders>
              <w:tl2br w:val="nil"/>
              <w:tr2bl w:val="nil"/>
            </w:tcBorders>
            <w:noWrap w:val="0"/>
            <w:tcMar>
              <w:top w:w="10" w:type="dxa"/>
              <w:left w:w="10" w:type="dxa"/>
              <w:right w:w="10" w:type="dxa"/>
            </w:tcMar>
            <w:vAlign w:val="center"/>
          </w:tcPr>
          <w:p w14:paraId="4E20819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p>
        </w:tc>
        <w:tc>
          <w:tcPr>
            <w:tcW w:w="491" w:type="dxa"/>
            <w:vMerge w:val="continue"/>
            <w:tcBorders>
              <w:tl2br w:val="nil"/>
              <w:tr2bl w:val="nil"/>
            </w:tcBorders>
            <w:noWrap w:val="0"/>
            <w:tcMar>
              <w:top w:w="10" w:type="dxa"/>
              <w:left w:w="10" w:type="dxa"/>
              <w:right w:w="10" w:type="dxa"/>
            </w:tcMar>
            <w:vAlign w:val="center"/>
          </w:tcPr>
          <w:p w14:paraId="762838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p>
        </w:tc>
        <w:tc>
          <w:tcPr>
            <w:tcW w:w="642" w:type="dxa"/>
            <w:vMerge w:val="restart"/>
            <w:tcBorders>
              <w:tl2br w:val="nil"/>
              <w:tr2bl w:val="nil"/>
            </w:tcBorders>
            <w:noWrap w:val="0"/>
            <w:tcMar>
              <w:top w:w="10" w:type="dxa"/>
              <w:left w:w="10" w:type="dxa"/>
              <w:right w:w="10" w:type="dxa"/>
            </w:tcMar>
            <w:vAlign w:val="center"/>
          </w:tcPr>
          <w:p w14:paraId="61C702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1倍以下</w:t>
            </w:r>
          </w:p>
        </w:tc>
        <w:tc>
          <w:tcPr>
            <w:tcW w:w="1470" w:type="dxa"/>
            <w:tcBorders>
              <w:tl2br w:val="nil"/>
              <w:tr2bl w:val="nil"/>
            </w:tcBorders>
            <w:noWrap w:val="0"/>
            <w:tcMar>
              <w:top w:w="10" w:type="dxa"/>
              <w:left w:w="10" w:type="dxa"/>
              <w:right w:w="10" w:type="dxa"/>
            </w:tcMar>
            <w:vAlign w:val="center"/>
          </w:tcPr>
          <w:p w14:paraId="123045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施工区下游0.3-1 km</w:t>
            </w:r>
          </w:p>
        </w:tc>
        <w:tc>
          <w:tcPr>
            <w:tcW w:w="790" w:type="dxa"/>
            <w:tcBorders>
              <w:tl2br w:val="nil"/>
              <w:tr2bl w:val="nil"/>
            </w:tcBorders>
            <w:noWrap w:val="0"/>
            <w:tcMar>
              <w:top w:w="10" w:type="dxa"/>
              <w:left w:w="10" w:type="dxa"/>
              <w:right w:w="10" w:type="dxa"/>
            </w:tcMar>
            <w:vAlign w:val="center"/>
          </w:tcPr>
          <w:p w14:paraId="30CFF84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700</w:t>
            </w:r>
          </w:p>
        </w:tc>
        <w:tc>
          <w:tcPr>
            <w:tcW w:w="652" w:type="dxa"/>
            <w:tcBorders>
              <w:tl2br w:val="nil"/>
              <w:tr2bl w:val="nil"/>
            </w:tcBorders>
            <w:noWrap w:val="0"/>
            <w:tcMar>
              <w:top w:w="10" w:type="dxa"/>
              <w:left w:w="10" w:type="dxa"/>
              <w:right w:w="10" w:type="dxa"/>
            </w:tcMar>
            <w:vAlign w:val="center"/>
          </w:tcPr>
          <w:p w14:paraId="4F023D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55</w:t>
            </w:r>
          </w:p>
        </w:tc>
        <w:tc>
          <w:tcPr>
            <w:tcW w:w="571" w:type="dxa"/>
            <w:tcBorders>
              <w:tl2br w:val="nil"/>
              <w:tr2bl w:val="nil"/>
            </w:tcBorders>
            <w:noWrap w:val="0"/>
            <w:tcMar>
              <w:top w:w="10" w:type="dxa"/>
              <w:left w:w="10" w:type="dxa"/>
              <w:right w:w="10" w:type="dxa"/>
            </w:tcMar>
            <w:vAlign w:val="center"/>
          </w:tcPr>
          <w:p w14:paraId="1BEDBE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1.1</w:t>
            </w:r>
          </w:p>
        </w:tc>
        <w:tc>
          <w:tcPr>
            <w:tcW w:w="641" w:type="dxa"/>
            <w:tcBorders>
              <w:tl2br w:val="nil"/>
              <w:tr2bl w:val="nil"/>
            </w:tcBorders>
            <w:noWrap w:val="0"/>
            <w:tcMar>
              <w:top w:w="10" w:type="dxa"/>
              <w:left w:w="10" w:type="dxa"/>
              <w:right w:w="10" w:type="dxa"/>
            </w:tcMar>
            <w:vAlign w:val="center"/>
          </w:tcPr>
          <w:p w14:paraId="7FCA46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11</w:t>
            </w:r>
          </w:p>
        </w:tc>
        <w:tc>
          <w:tcPr>
            <w:tcW w:w="1341" w:type="dxa"/>
            <w:tcBorders>
              <w:tl2br w:val="nil"/>
              <w:tr2bl w:val="nil"/>
            </w:tcBorders>
            <w:noWrap w:val="0"/>
            <w:tcMar>
              <w:top w:w="10" w:type="dxa"/>
              <w:left w:w="10" w:type="dxa"/>
              <w:right w:w="10" w:type="dxa"/>
            </w:tcMar>
            <w:vAlign w:val="center"/>
          </w:tcPr>
          <w:p w14:paraId="33F69AA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42350</w:t>
            </w:r>
          </w:p>
        </w:tc>
        <w:tc>
          <w:tcPr>
            <w:tcW w:w="1453" w:type="dxa"/>
            <w:tcBorders>
              <w:tl2br w:val="nil"/>
              <w:tr2bl w:val="nil"/>
            </w:tcBorders>
            <w:noWrap w:val="0"/>
            <w:tcMar>
              <w:top w:w="10" w:type="dxa"/>
              <w:left w:w="10" w:type="dxa"/>
              <w:right w:w="10" w:type="dxa"/>
            </w:tcMar>
            <w:vAlign w:val="center"/>
          </w:tcPr>
          <w:p w14:paraId="71404CE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211750</w:t>
            </w:r>
          </w:p>
        </w:tc>
      </w:tr>
      <w:tr w14:paraId="2F30FFFC">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0" w:type="dxa"/>
            <w:bottom w:w="0" w:type="dxa"/>
            <w:right w:w="0" w:type="dxa"/>
          </w:tblCellMar>
        </w:tblPrEx>
        <w:trPr>
          <w:trHeight w:val="23" w:hRule="atLeast"/>
          <w:jc w:val="center"/>
        </w:trPr>
        <w:tc>
          <w:tcPr>
            <w:tcW w:w="467" w:type="dxa"/>
            <w:vMerge w:val="continue"/>
            <w:tcBorders>
              <w:tl2br w:val="nil"/>
              <w:tr2bl w:val="nil"/>
            </w:tcBorders>
            <w:noWrap w:val="0"/>
            <w:tcMar>
              <w:top w:w="10" w:type="dxa"/>
              <w:left w:w="10" w:type="dxa"/>
              <w:right w:w="10" w:type="dxa"/>
            </w:tcMar>
            <w:vAlign w:val="center"/>
          </w:tcPr>
          <w:p w14:paraId="5784AAD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p>
        </w:tc>
        <w:tc>
          <w:tcPr>
            <w:tcW w:w="491" w:type="dxa"/>
            <w:vMerge w:val="continue"/>
            <w:tcBorders>
              <w:tl2br w:val="nil"/>
              <w:tr2bl w:val="nil"/>
            </w:tcBorders>
            <w:noWrap w:val="0"/>
            <w:tcMar>
              <w:top w:w="10" w:type="dxa"/>
              <w:left w:w="10" w:type="dxa"/>
              <w:right w:w="10" w:type="dxa"/>
            </w:tcMar>
            <w:vAlign w:val="center"/>
          </w:tcPr>
          <w:p w14:paraId="2867AC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p>
        </w:tc>
        <w:tc>
          <w:tcPr>
            <w:tcW w:w="642" w:type="dxa"/>
            <w:vMerge w:val="continue"/>
            <w:tcBorders>
              <w:tl2br w:val="nil"/>
              <w:tr2bl w:val="nil"/>
            </w:tcBorders>
            <w:noWrap w:val="0"/>
            <w:tcMar>
              <w:top w:w="10" w:type="dxa"/>
              <w:left w:w="10" w:type="dxa"/>
              <w:right w:w="10" w:type="dxa"/>
            </w:tcMar>
            <w:vAlign w:val="center"/>
          </w:tcPr>
          <w:p w14:paraId="5DFB59D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p>
        </w:tc>
        <w:tc>
          <w:tcPr>
            <w:tcW w:w="1470" w:type="dxa"/>
            <w:tcBorders>
              <w:tl2br w:val="nil"/>
              <w:tr2bl w:val="nil"/>
            </w:tcBorders>
            <w:noWrap w:val="0"/>
            <w:tcMar>
              <w:top w:w="10" w:type="dxa"/>
              <w:left w:w="10" w:type="dxa"/>
              <w:right w:w="10" w:type="dxa"/>
            </w:tcMar>
            <w:vAlign w:val="center"/>
          </w:tcPr>
          <w:p w14:paraId="551BD5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施工区上游0.01-0.3 km</w:t>
            </w:r>
          </w:p>
        </w:tc>
        <w:tc>
          <w:tcPr>
            <w:tcW w:w="790" w:type="dxa"/>
            <w:tcBorders>
              <w:tl2br w:val="nil"/>
              <w:tr2bl w:val="nil"/>
            </w:tcBorders>
            <w:noWrap w:val="0"/>
            <w:tcMar>
              <w:top w:w="10" w:type="dxa"/>
              <w:left w:w="10" w:type="dxa"/>
              <w:right w:w="10" w:type="dxa"/>
            </w:tcMar>
            <w:vAlign w:val="center"/>
          </w:tcPr>
          <w:p w14:paraId="523BD1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290</w:t>
            </w:r>
          </w:p>
        </w:tc>
        <w:tc>
          <w:tcPr>
            <w:tcW w:w="652" w:type="dxa"/>
            <w:tcBorders>
              <w:tl2br w:val="nil"/>
              <w:tr2bl w:val="nil"/>
            </w:tcBorders>
            <w:noWrap w:val="0"/>
            <w:tcMar>
              <w:top w:w="10" w:type="dxa"/>
              <w:left w:w="10" w:type="dxa"/>
              <w:right w:w="10" w:type="dxa"/>
            </w:tcMar>
            <w:vAlign w:val="center"/>
          </w:tcPr>
          <w:p w14:paraId="1790C62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55</w:t>
            </w:r>
          </w:p>
        </w:tc>
        <w:tc>
          <w:tcPr>
            <w:tcW w:w="571" w:type="dxa"/>
            <w:tcBorders>
              <w:tl2br w:val="nil"/>
              <w:tr2bl w:val="nil"/>
            </w:tcBorders>
            <w:noWrap w:val="0"/>
            <w:tcMar>
              <w:top w:w="10" w:type="dxa"/>
              <w:left w:w="10" w:type="dxa"/>
              <w:right w:w="10" w:type="dxa"/>
            </w:tcMar>
            <w:vAlign w:val="center"/>
          </w:tcPr>
          <w:p w14:paraId="5E58D4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1.1</w:t>
            </w:r>
          </w:p>
        </w:tc>
        <w:tc>
          <w:tcPr>
            <w:tcW w:w="641" w:type="dxa"/>
            <w:tcBorders>
              <w:tl2br w:val="nil"/>
              <w:tr2bl w:val="nil"/>
            </w:tcBorders>
            <w:noWrap w:val="0"/>
            <w:tcMar>
              <w:top w:w="10" w:type="dxa"/>
              <w:left w:w="10" w:type="dxa"/>
              <w:right w:w="10" w:type="dxa"/>
            </w:tcMar>
            <w:vAlign w:val="center"/>
          </w:tcPr>
          <w:p w14:paraId="42D04F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11</w:t>
            </w:r>
          </w:p>
        </w:tc>
        <w:tc>
          <w:tcPr>
            <w:tcW w:w="1341" w:type="dxa"/>
            <w:tcBorders>
              <w:tl2br w:val="nil"/>
              <w:tr2bl w:val="nil"/>
            </w:tcBorders>
            <w:noWrap w:val="0"/>
            <w:tcMar>
              <w:top w:w="10" w:type="dxa"/>
              <w:left w:w="10" w:type="dxa"/>
              <w:right w:w="10" w:type="dxa"/>
            </w:tcMar>
            <w:vAlign w:val="center"/>
          </w:tcPr>
          <w:p w14:paraId="4B04B0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17545</w:t>
            </w:r>
          </w:p>
        </w:tc>
        <w:tc>
          <w:tcPr>
            <w:tcW w:w="1453" w:type="dxa"/>
            <w:tcBorders>
              <w:tl2br w:val="nil"/>
              <w:tr2bl w:val="nil"/>
            </w:tcBorders>
            <w:noWrap w:val="0"/>
            <w:tcMar>
              <w:top w:w="10" w:type="dxa"/>
              <w:left w:w="10" w:type="dxa"/>
              <w:right w:w="10" w:type="dxa"/>
            </w:tcMar>
            <w:vAlign w:val="center"/>
          </w:tcPr>
          <w:p w14:paraId="787880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87725</w:t>
            </w:r>
          </w:p>
        </w:tc>
      </w:tr>
      <w:tr w14:paraId="1323DB9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0" w:type="dxa"/>
            <w:bottom w:w="0" w:type="dxa"/>
            <w:right w:w="0" w:type="dxa"/>
          </w:tblCellMar>
        </w:tblPrEx>
        <w:trPr>
          <w:trHeight w:val="23" w:hRule="atLeast"/>
          <w:jc w:val="center"/>
        </w:trPr>
        <w:tc>
          <w:tcPr>
            <w:tcW w:w="467" w:type="dxa"/>
            <w:vMerge w:val="continue"/>
            <w:tcBorders>
              <w:tl2br w:val="nil"/>
              <w:tr2bl w:val="nil"/>
            </w:tcBorders>
            <w:noWrap w:val="0"/>
            <w:tcMar>
              <w:top w:w="10" w:type="dxa"/>
              <w:left w:w="10" w:type="dxa"/>
              <w:right w:w="10" w:type="dxa"/>
            </w:tcMar>
            <w:vAlign w:val="center"/>
          </w:tcPr>
          <w:p w14:paraId="550AC8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p>
        </w:tc>
        <w:tc>
          <w:tcPr>
            <w:tcW w:w="5257" w:type="dxa"/>
            <w:gridSpan w:val="7"/>
            <w:tcBorders>
              <w:tl2br w:val="nil"/>
              <w:tr2bl w:val="nil"/>
            </w:tcBorders>
            <w:noWrap w:val="0"/>
            <w:tcMar>
              <w:top w:w="10" w:type="dxa"/>
              <w:left w:w="10" w:type="dxa"/>
              <w:right w:w="10" w:type="dxa"/>
            </w:tcMar>
            <w:vAlign w:val="center"/>
          </w:tcPr>
          <w:p w14:paraId="5C8C90F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sz w:val="21"/>
                <w:szCs w:val="21"/>
                <w:lang w:bidi="ar"/>
              </w:rPr>
              <w:t>合计</w:t>
            </w:r>
          </w:p>
        </w:tc>
        <w:tc>
          <w:tcPr>
            <w:tcW w:w="1341" w:type="dxa"/>
            <w:tcBorders>
              <w:tl2br w:val="nil"/>
              <w:tr2bl w:val="nil"/>
            </w:tcBorders>
            <w:noWrap w:val="0"/>
            <w:tcMar>
              <w:top w:w="10" w:type="dxa"/>
              <w:left w:w="10" w:type="dxa"/>
              <w:right w:w="10" w:type="dxa"/>
            </w:tcMar>
            <w:vAlign w:val="center"/>
          </w:tcPr>
          <w:p w14:paraId="3C94B3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96195</w:t>
            </w:r>
          </w:p>
        </w:tc>
        <w:tc>
          <w:tcPr>
            <w:tcW w:w="1453" w:type="dxa"/>
            <w:tcBorders>
              <w:tl2br w:val="nil"/>
              <w:tr2bl w:val="nil"/>
            </w:tcBorders>
            <w:noWrap w:val="0"/>
            <w:tcMar>
              <w:top w:w="10" w:type="dxa"/>
              <w:left w:w="10" w:type="dxa"/>
              <w:right w:w="10" w:type="dxa"/>
            </w:tcMar>
            <w:vAlign w:val="center"/>
          </w:tcPr>
          <w:p w14:paraId="3DCFEA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eastAsia="宋体" w:cs="Times New Roman"/>
                <w:b/>
                <w:bCs/>
                <w:kern w:val="2"/>
                <w:sz w:val="21"/>
                <w:szCs w:val="21"/>
                <w:lang w:val="en-US" w:eastAsia="zh-CN" w:bidi="ar-SA"/>
              </w:rPr>
              <w:t>480975</w:t>
            </w:r>
          </w:p>
        </w:tc>
      </w:tr>
    </w:tbl>
    <w:p w14:paraId="51CFFEE6">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根据《建设项目对国家级水产种质资源保护区(淡水)影响专题论证报告编制指南》，污染物扩散范围内的保护区水生生物资源损害按以下公式评估测算：</w:t>
      </w:r>
    </w:p>
    <w:p w14:paraId="6C3D8EB6">
      <w:pPr>
        <w:adjustRightInd w:val="0"/>
        <w:snapToGrid w:val="0"/>
        <w:spacing w:line="360" w:lineRule="auto"/>
        <w:ind w:firstLine="480" w:firstLineChars="200"/>
        <w:jc w:val="center"/>
        <w:rPr>
          <w:rFonts w:ascii="Times New Roman" w:hAnsi="Times New Roman" w:eastAsia="宋体"/>
          <w:color w:val="FF0000"/>
          <w:sz w:val="24"/>
          <w:szCs w:val="28"/>
        </w:rPr>
      </w:pPr>
      <w:r>
        <w:rPr>
          <w:rFonts w:ascii="Times New Roman" w:hAnsi="Times New Roman" w:eastAsia="宋体"/>
          <w:color w:val="FF0000"/>
          <w:sz w:val="24"/>
          <w:szCs w:val="28"/>
        </w:rPr>
        <w:object>
          <v:shape id="_x0000_i1054" o:spt="75" type="#_x0000_t75" style="height:42pt;width:129pt;" o:ole="t" filled="f" o:preferrelative="t" stroked="f" coordsize="21600,21600">
            <v:path/>
            <v:fill on="f" focussize="0,0"/>
            <v:stroke on="f"/>
            <v:imagedata r:id="rId192" o:title=""/>
            <o:lock v:ext="edit" aspectratio="t"/>
            <w10:wrap type="none"/>
            <w10:anchorlock/>
          </v:shape>
          <o:OLEObject Type="Embed" ProgID="Equation.3" ShapeID="_x0000_i1054" DrawAspect="Content" ObjectID="_1468075754" r:id="rId191">
            <o:LockedField>false</o:LockedField>
          </o:OLEObject>
        </w:object>
      </w:r>
    </w:p>
    <w:p w14:paraId="21E0108A">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式中：W</w:t>
      </w:r>
      <w:r>
        <w:rPr>
          <w:rFonts w:ascii="Times New Roman" w:hAnsi="Times New Roman" w:eastAsia="宋体"/>
          <w:sz w:val="24"/>
          <w:szCs w:val="28"/>
          <w:vertAlign w:val="subscript"/>
        </w:rPr>
        <w:t>i</w:t>
      </w:r>
      <w:r>
        <w:rPr>
          <w:rFonts w:ascii="Times New Roman" w:hAnsi="Times New Roman" w:eastAsia="宋体"/>
          <w:sz w:val="24"/>
          <w:szCs w:val="28"/>
        </w:rPr>
        <w:t>-第i种类生物资源平均损失量，单位为尾、个、千克(kg)；</w:t>
      </w:r>
    </w:p>
    <w:p w14:paraId="6E316E8E">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D</w:t>
      </w:r>
      <w:r>
        <w:rPr>
          <w:rFonts w:ascii="Times New Roman" w:hAnsi="Times New Roman" w:eastAsia="宋体"/>
          <w:sz w:val="24"/>
          <w:szCs w:val="28"/>
          <w:vertAlign w:val="subscript"/>
        </w:rPr>
        <w:t>ij</w:t>
      </w:r>
      <w:r>
        <w:rPr>
          <w:rFonts w:ascii="Times New Roman" w:hAnsi="Times New Roman" w:eastAsia="宋体"/>
          <w:sz w:val="24"/>
          <w:szCs w:val="28"/>
        </w:rPr>
        <w:t>-某一污染物第j类浓度增量区第i种类生物资源密度，单位为尾每平方千米(尾/km</w:t>
      </w:r>
      <w:r>
        <w:rPr>
          <w:rFonts w:ascii="Times New Roman" w:hAnsi="Times New Roman" w:eastAsia="宋体"/>
          <w:sz w:val="24"/>
          <w:szCs w:val="28"/>
          <w:vertAlign w:val="superscript"/>
        </w:rPr>
        <w:t>2</w:t>
      </w:r>
      <w:r>
        <w:rPr>
          <w:rFonts w:ascii="Times New Roman" w:hAnsi="Times New Roman" w:eastAsia="宋体"/>
          <w:sz w:val="24"/>
          <w:szCs w:val="28"/>
        </w:rPr>
        <w:t>)、个每平方千米(个/km</w:t>
      </w:r>
      <w:r>
        <w:rPr>
          <w:rFonts w:ascii="Times New Roman" w:hAnsi="Times New Roman" w:eastAsia="宋体"/>
          <w:sz w:val="24"/>
          <w:szCs w:val="28"/>
          <w:vertAlign w:val="superscript"/>
        </w:rPr>
        <w:t>2</w:t>
      </w:r>
      <w:r>
        <w:rPr>
          <w:rFonts w:ascii="Times New Roman" w:hAnsi="Times New Roman" w:eastAsia="宋体"/>
          <w:sz w:val="24"/>
          <w:szCs w:val="28"/>
        </w:rPr>
        <w:t>)、千克每平方千米(kg/km</w:t>
      </w:r>
      <w:r>
        <w:rPr>
          <w:rFonts w:ascii="Times New Roman" w:hAnsi="Times New Roman" w:eastAsia="宋体"/>
          <w:sz w:val="24"/>
          <w:szCs w:val="28"/>
          <w:vertAlign w:val="superscript"/>
        </w:rPr>
        <w:t>2</w:t>
      </w:r>
      <w:r>
        <w:rPr>
          <w:rFonts w:ascii="Times New Roman" w:hAnsi="Times New Roman" w:eastAsia="宋体"/>
          <w:sz w:val="24"/>
          <w:szCs w:val="28"/>
        </w:rPr>
        <w:t>)；</w:t>
      </w:r>
    </w:p>
    <w:p w14:paraId="17405543">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S</w:t>
      </w:r>
      <w:r>
        <w:rPr>
          <w:rFonts w:ascii="Times New Roman" w:hAnsi="Times New Roman" w:eastAsia="宋体"/>
          <w:sz w:val="24"/>
          <w:szCs w:val="28"/>
          <w:vertAlign w:val="subscript"/>
        </w:rPr>
        <w:t>j</w:t>
      </w:r>
      <w:r>
        <w:rPr>
          <w:rFonts w:ascii="Times New Roman" w:hAnsi="Times New Roman" w:eastAsia="宋体"/>
          <w:sz w:val="24"/>
          <w:szCs w:val="28"/>
        </w:rPr>
        <w:t>-某一污染物第j类浓度增量区面积，单位为平方千米(km</w:t>
      </w:r>
      <w:r>
        <w:rPr>
          <w:rFonts w:ascii="Times New Roman" w:hAnsi="Times New Roman" w:eastAsia="宋体"/>
          <w:sz w:val="24"/>
          <w:szCs w:val="28"/>
          <w:vertAlign w:val="superscript"/>
        </w:rPr>
        <w:t>2</w:t>
      </w:r>
      <w:r>
        <w:rPr>
          <w:rFonts w:ascii="Times New Roman" w:hAnsi="Times New Roman" w:eastAsia="宋体"/>
          <w:sz w:val="24"/>
          <w:szCs w:val="28"/>
        </w:rPr>
        <w:t>)；</w:t>
      </w:r>
    </w:p>
    <w:p w14:paraId="5784F6F3">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K</w:t>
      </w:r>
      <w:r>
        <w:rPr>
          <w:rFonts w:ascii="Times New Roman" w:hAnsi="Times New Roman" w:eastAsia="宋体"/>
          <w:sz w:val="24"/>
          <w:szCs w:val="28"/>
          <w:vertAlign w:val="subscript"/>
        </w:rPr>
        <w:t>ij</w:t>
      </w:r>
      <w:r>
        <w:rPr>
          <w:rFonts w:ascii="Times New Roman" w:hAnsi="Times New Roman" w:eastAsia="宋体"/>
          <w:sz w:val="24"/>
          <w:szCs w:val="28"/>
        </w:rPr>
        <w:t>-某一污染物第j类浓度增量区第i种类生物资源损失率，单位为百分之(%)；</w:t>
      </w:r>
    </w:p>
    <w:p w14:paraId="45B9579B">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n-某一污染物浓度增量分区总数；</w:t>
      </w:r>
    </w:p>
    <w:p w14:paraId="47F6FDBD">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N-污染物浓度增量影响的持续周期数(以年实际影响天数除以15)。</w:t>
      </w:r>
    </w:p>
    <w:p w14:paraId="004326AF">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根据上述公式，施工期造成悬浮物扩散引起</w:t>
      </w:r>
      <w:r>
        <w:rPr>
          <w:rFonts w:hint="eastAsia"/>
          <w:sz w:val="24"/>
          <w:szCs w:val="28"/>
          <w:lang w:eastAsia="zh-CN"/>
        </w:rPr>
        <w:t>的</w:t>
      </w:r>
      <w:r>
        <w:rPr>
          <w:rFonts w:ascii="Times New Roman" w:hAnsi="Times New Roman" w:eastAsia="宋体"/>
          <w:sz w:val="24"/>
          <w:szCs w:val="28"/>
        </w:rPr>
        <w:t>成鱼资源年度损失量合计为913.93 kg/a。</w:t>
      </w:r>
    </w:p>
    <w:p w14:paraId="64763CE1">
      <w:pPr>
        <w:adjustRightInd/>
        <w:snapToGrid/>
        <w:spacing w:line="400" w:lineRule="exact"/>
        <w:ind w:firstLine="0" w:firstLineChars="0"/>
        <w:jc w:val="center"/>
        <w:rPr>
          <w:rFonts w:hint="eastAsia" w:eastAsia="黑体"/>
          <w:color w:val="auto"/>
          <w:sz w:val="24"/>
          <w:szCs w:val="21"/>
        </w:rPr>
      </w:pPr>
      <w:r>
        <w:rPr>
          <w:rFonts w:hint="eastAsia" w:eastAsia="黑体"/>
          <w:color w:val="auto"/>
          <w:sz w:val="24"/>
          <w:szCs w:val="21"/>
        </w:rPr>
        <w:t>表</w:t>
      </w:r>
      <w:r>
        <w:rPr>
          <w:rFonts w:hint="eastAsia" w:eastAsia="黑体"/>
          <w:color w:val="auto"/>
          <w:sz w:val="24"/>
          <w:szCs w:val="21"/>
          <w:lang w:eastAsia="zh-CN"/>
        </w:rPr>
        <w:t>5.2</w:t>
      </w:r>
      <w:r>
        <w:rPr>
          <w:rFonts w:hint="eastAsia" w:eastAsia="黑体"/>
          <w:color w:val="auto"/>
          <w:sz w:val="24"/>
          <w:szCs w:val="21"/>
          <w:lang w:val="en-US" w:eastAsia="zh-CN"/>
        </w:rPr>
        <w:t>-21</w:t>
      </w:r>
      <w:r>
        <w:rPr>
          <w:rFonts w:hint="eastAsia" w:eastAsia="黑体"/>
          <w:color w:val="auto"/>
          <w:sz w:val="24"/>
          <w:szCs w:val="21"/>
        </w:rPr>
        <w:t xml:space="preserve">  施工期内工程悬浮物扩散影响区域鱼类资源损失量</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
      <w:tblGrid>
        <w:gridCol w:w="1045"/>
        <w:gridCol w:w="1203"/>
        <w:gridCol w:w="1197"/>
        <w:gridCol w:w="1334"/>
        <w:gridCol w:w="1029"/>
        <w:gridCol w:w="1761"/>
        <w:gridCol w:w="1719"/>
      </w:tblGrid>
      <w:tr w14:paraId="227B51A9">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59" w:type="dxa"/>
            <w:tcBorders>
              <w:tl2br w:val="nil"/>
              <w:tr2bl w:val="nil"/>
            </w:tcBorders>
            <w:noWrap/>
            <w:vAlign w:val="center"/>
          </w:tcPr>
          <w:p w14:paraId="15F36F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影响</w:t>
            </w:r>
          </w:p>
          <w:p w14:paraId="009912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类型</w:t>
            </w:r>
          </w:p>
        </w:tc>
        <w:tc>
          <w:tcPr>
            <w:tcW w:w="1104" w:type="dxa"/>
            <w:tcBorders>
              <w:tl2br w:val="nil"/>
              <w:tr2bl w:val="nil"/>
            </w:tcBorders>
            <w:noWrap/>
            <w:vAlign w:val="center"/>
          </w:tcPr>
          <w:p w14:paraId="12B383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超标倍数</w:t>
            </w:r>
          </w:p>
        </w:tc>
        <w:tc>
          <w:tcPr>
            <w:tcW w:w="1098" w:type="dxa"/>
            <w:tcBorders>
              <w:tl2br w:val="nil"/>
              <w:tr2bl w:val="nil"/>
            </w:tcBorders>
            <w:noWrap/>
            <w:vAlign w:val="center"/>
          </w:tcPr>
          <w:p w14:paraId="75DEA73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sz w:val="21"/>
                <w:szCs w:val="21"/>
              </w:rPr>
            </w:pPr>
            <w:r>
              <w:rPr>
                <w:rFonts w:hint="default" w:ascii="Times New Roman" w:hAnsi="Times New Roman" w:eastAsia="宋体"/>
                <w:b/>
                <w:sz w:val="21"/>
                <w:szCs w:val="21"/>
              </w:rPr>
              <w:t>资源密度(g/m</w:t>
            </w:r>
            <w:r>
              <w:rPr>
                <w:rFonts w:hint="default" w:ascii="Times New Roman" w:hAnsi="Times New Roman" w:eastAsia="宋体"/>
                <w:b/>
                <w:sz w:val="21"/>
                <w:szCs w:val="21"/>
                <w:vertAlign w:val="superscript"/>
              </w:rPr>
              <w:t>2</w:t>
            </w:r>
            <w:r>
              <w:rPr>
                <w:rFonts w:hint="default" w:ascii="Times New Roman" w:hAnsi="Times New Roman" w:eastAsia="宋体"/>
                <w:b/>
                <w:sz w:val="21"/>
                <w:szCs w:val="21"/>
              </w:rPr>
              <w:t>)</w:t>
            </w:r>
          </w:p>
        </w:tc>
        <w:tc>
          <w:tcPr>
            <w:tcW w:w="1224" w:type="dxa"/>
            <w:tcBorders>
              <w:tl2br w:val="nil"/>
              <w:tr2bl w:val="nil"/>
            </w:tcBorders>
            <w:noWrap/>
            <w:vAlign w:val="center"/>
          </w:tcPr>
          <w:p w14:paraId="1A01104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sz w:val="21"/>
                <w:szCs w:val="21"/>
              </w:rPr>
            </w:pPr>
            <w:r>
              <w:rPr>
                <w:rFonts w:hint="default" w:ascii="Times New Roman" w:hAnsi="Times New Roman" w:eastAsia="宋体"/>
                <w:b/>
                <w:sz w:val="21"/>
                <w:szCs w:val="21"/>
              </w:rPr>
              <w:t>体积(m</w:t>
            </w:r>
            <w:r>
              <w:rPr>
                <w:rFonts w:hint="default" w:ascii="Times New Roman" w:hAnsi="Times New Roman" w:eastAsia="宋体"/>
                <w:b/>
                <w:sz w:val="21"/>
                <w:szCs w:val="21"/>
                <w:vertAlign w:val="superscript"/>
              </w:rPr>
              <w:t>2</w:t>
            </w:r>
            <w:r>
              <w:rPr>
                <w:rFonts w:hint="default" w:ascii="Times New Roman" w:hAnsi="Times New Roman" w:eastAsia="宋体"/>
                <w:b/>
                <w:sz w:val="21"/>
                <w:szCs w:val="21"/>
              </w:rPr>
              <w:t>)</w:t>
            </w:r>
          </w:p>
        </w:tc>
        <w:tc>
          <w:tcPr>
            <w:tcW w:w="944" w:type="dxa"/>
            <w:tcBorders>
              <w:tl2br w:val="nil"/>
              <w:tr2bl w:val="nil"/>
            </w:tcBorders>
            <w:noWrap/>
            <w:vAlign w:val="center"/>
          </w:tcPr>
          <w:p w14:paraId="2808DE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损失率</w:t>
            </w:r>
            <w:r>
              <w:rPr>
                <w:rFonts w:hint="default" w:ascii="Times New Roman" w:hAnsi="Times New Roman" w:eastAsia="宋体"/>
                <w:b/>
                <w:sz w:val="21"/>
                <w:szCs w:val="21"/>
              </w:rPr>
              <w:t>%</w:t>
            </w:r>
          </w:p>
        </w:tc>
        <w:tc>
          <w:tcPr>
            <w:tcW w:w="1616" w:type="dxa"/>
            <w:tcBorders>
              <w:tl2br w:val="nil"/>
              <w:tr2bl w:val="nil"/>
            </w:tcBorders>
            <w:noWrap/>
            <w:vAlign w:val="center"/>
          </w:tcPr>
          <w:p w14:paraId="0404B1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一次性损失量(kg)</w:t>
            </w:r>
          </w:p>
        </w:tc>
        <w:tc>
          <w:tcPr>
            <w:tcW w:w="1577" w:type="dxa"/>
            <w:tcBorders>
              <w:tl2br w:val="nil"/>
              <w:tr2bl w:val="nil"/>
            </w:tcBorders>
            <w:noWrap/>
            <w:vAlign w:val="center"/>
          </w:tcPr>
          <w:p w14:paraId="1BA8CD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年度损失量(kg/a)</w:t>
            </w:r>
          </w:p>
        </w:tc>
      </w:tr>
      <w:tr w14:paraId="7DF6C7D6">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59" w:type="dxa"/>
            <w:vMerge w:val="restart"/>
            <w:tcBorders>
              <w:tl2br w:val="nil"/>
              <w:tr2bl w:val="nil"/>
            </w:tcBorders>
            <w:noWrap/>
            <w:vAlign w:val="center"/>
          </w:tcPr>
          <w:p w14:paraId="69F034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rPr>
                <w:rFonts w:hint="default" w:ascii="Times New Roman" w:hAnsi="Times New Roman" w:eastAsia="宋体"/>
                <w:sz w:val="21"/>
                <w:szCs w:val="21"/>
              </w:rPr>
            </w:pPr>
            <w:r>
              <w:rPr>
                <w:rFonts w:hint="default" w:ascii="Times New Roman" w:hAnsi="Times New Roman" w:eastAsia="宋体"/>
              </w:rPr>
              <w:t>保护区</w:t>
            </w:r>
            <w:r>
              <w:rPr>
                <w:rFonts w:hint="default" w:ascii="Times New Roman" w:hAnsi="Times New Roman" w:eastAsia="宋体"/>
                <w:sz w:val="21"/>
                <w:szCs w:val="21"/>
              </w:rPr>
              <w:t>施工</w:t>
            </w:r>
          </w:p>
        </w:tc>
        <w:tc>
          <w:tcPr>
            <w:tcW w:w="1104" w:type="dxa"/>
            <w:tcBorders>
              <w:tl2br w:val="nil"/>
              <w:tr2bl w:val="nil"/>
            </w:tcBorders>
            <w:noWrap/>
            <w:vAlign w:val="center"/>
          </w:tcPr>
          <w:p w14:paraId="5DCEA63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4-9倍</w:t>
            </w:r>
          </w:p>
        </w:tc>
        <w:tc>
          <w:tcPr>
            <w:tcW w:w="1098" w:type="dxa"/>
            <w:tcBorders>
              <w:tl2br w:val="nil"/>
              <w:tr2bl w:val="nil"/>
            </w:tcBorders>
            <w:noWrap/>
            <w:vAlign w:val="bottom"/>
          </w:tcPr>
          <w:p w14:paraId="24D86A7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 xml:space="preserve">8.00 </w:t>
            </w:r>
          </w:p>
        </w:tc>
        <w:tc>
          <w:tcPr>
            <w:tcW w:w="1224" w:type="dxa"/>
            <w:tcBorders>
              <w:tl2br w:val="nil"/>
              <w:tr2bl w:val="nil"/>
            </w:tcBorders>
            <w:noWrap/>
            <w:vAlign w:val="center"/>
          </w:tcPr>
          <w:p w14:paraId="1FA1A2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 xml:space="preserve">18755 </w:t>
            </w:r>
          </w:p>
        </w:tc>
        <w:tc>
          <w:tcPr>
            <w:tcW w:w="944" w:type="dxa"/>
            <w:tcBorders>
              <w:tl2br w:val="nil"/>
              <w:tr2bl w:val="nil"/>
            </w:tcBorders>
            <w:noWrap/>
            <w:vAlign w:val="center"/>
          </w:tcPr>
          <w:p w14:paraId="2F7C91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15</w:t>
            </w:r>
          </w:p>
        </w:tc>
        <w:tc>
          <w:tcPr>
            <w:tcW w:w="1616" w:type="dxa"/>
            <w:tcBorders>
              <w:tl2br w:val="nil"/>
              <w:tr2bl w:val="nil"/>
            </w:tcBorders>
            <w:noWrap/>
            <w:vAlign w:val="center"/>
          </w:tcPr>
          <w:p w14:paraId="34A060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 xml:space="preserve">22.50 </w:t>
            </w:r>
          </w:p>
        </w:tc>
        <w:tc>
          <w:tcPr>
            <w:tcW w:w="1577" w:type="dxa"/>
            <w:tcBorders>
              <w:tl2br w:val="nil"/>
              <w:tr2bl w:val="nil"/>
            </w:tcBorders>
            <w:noWrap/>
            <w:vAlign w:val="center"/>
          </w:tcPr>
          <w:p w14:paraId="121C502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 xml:space="preserve">547.51 </w:t>
            </w:r>
          </w:p>
        </w:tc>
      </w:tr>
      <w:tr w14:paraId="33134D8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59" w:type="dxa"/>
            <w:vMerge w:val="continue"/>
            <w:tcBorders>
              <w:tl2br w:val="nil"/>
              <w:tr2bl w:val="nil"/>
            </w:tcBorders>
            <w:noWrap/>
            <w:vAlign w:val="center"/>
          </w:tcPr>
          <w:p w14:paraId="760481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p>
        </w:tc>
        <w:tc>
          <w:tcPr>
            <w:tcW w:w="1104" w:type="dxa"/>
            <w:tcBorders>
              <w:tl2br w:val="nil"/>
              <w:tr2bl w:val="nil"/>
            </w:tcBorders>
            <w:noWrap/>
            <w:vAlign w:val="center"/>
          </w:tcPr>
          <w:p w14:paraId="7882429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1-4倍</w:t>
            </w:r>
          </w:p>
        </w:tc>
        <w:tc>
          <w:tcPr>
            <w:tcW w:w="1098" w:type="dxa"/>
            <w:tcBorders>
              <w:tl2br w:val="nil"/>
              <w:tr2bl w:val="nil"/>
            </w:tcBorders>
            <w:noWrap/>
            <w:vAlign w:val="bottom"/>
          </w:tcPr>
          <w:p w14:paraId="7C02B2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 xml:space="preserve">8.00 </w:t>
            </w:r>
          </w:p>
        </w:tc>
        <w:tc>
          <w:tcPr>
            <w:tcW w:w="1224" w:type="dxa"/>
            <w:tcBorders>
              <w:tl2br w:val="nil"/>
              <w:tr2bl w:val="nil"/>
            </w:tcBorders>
            <w:noWrap/>
            <w:vAlign w:val="center"/>
          </w:tcPr>
          <w:p w14:paraId="1009A4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 xml:space="preserve">17545 </w:t>
            </w:r>
          </w:p>
        </w:tc>
        <w:tc>
          <w:tcPr>
            <w:tcW w:w="944" w:type="dxa"/>
            <w:tcBorders>
              <w:tl2br w:val="nil"/>
              <w:tr2bl w:val="nil"/>
            </w:tcBorders>
            <w:noWrap/>
            <w:vAlign w:val="center"/>
          </w:tcPr>
          <w:p w14:paraId="38A79C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8</w:t>
            </w:r>
          </w:p>
        </w:tc>
        <w:tc>
          <w:tcPr>
            <w:tcW w:w="1616" w:type="dxa"/>
            <w:tcBorders>
              <w:tl2br w:val="nil"/>
              <w:tr2bl w:val="nil"/>
            </w:tcBorders>
            <w:noWrap/>
            <w:vAlign w:val="center"/>
          </w:tcPr>
          <w:p w14:paraId="252AF45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 xml:space="preserve">11.23 </w:t>
            </w:r>
          </w:p>
        </w:tc>
        <w:tc>
          <w:tcPr>
            <w:tcW w:w="1577" w:type="dxa"/>
            <w:tcBorders>
              <w:tl2br w:val="nil"/>
              <w:tr2bl w:val="nil"/>
            </w:tcBorders>
            <w:noWrap/>
            <w:vAlign w:val="center"/>
          </w:tcPr>
          <w:p w14:paraId="68501CC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 xml:space="preserve">273.17 </w:t>
            </w:r>
          </w:p>
        </w:tc>
      </w:tr>
      <w:tr w14:paraId="4F5FDC82">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59" w:type="dxa"/>
            <w:vMerge w:val="continue"/>
            <w:tcBorders>
              <w:tl2br w:val="nil"/>
              <w:tr2bl w:val="nil"/>
            </w:tcBorders>
            <w:noWrap/>
            <w:vAlign w:val="center"/>
          </w:tcPr>
          <w:p w14:paraId="3B37A0C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p>
        </w:tc>
        <w:tc>
          <w:tcPr>
            <w:tcW w:w="1104" w:type="dxa"/>
            <w:tcBorders>
              <w:tl2br w:val="nil"/>
              <w:tr2bl w:val="nil"/>
            </w:tcBorders>
            <w:noWrap/>
            <w:vAlign w:val="center"/>
          </w:tcPr>
          <w:p w14:paraId="57BAA4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1倍以下</w:t>
            </w:r>
          </w:p>
        </w:tc>
        <w:tc>
          <w:tcPr>
            <w:tcW w:w="1098" w:type="dxa"/>
            <w:tcBorders>
              <w:tl2br w:val="nil"/>
              <w:tr2bl w:val="nil"/>
            </w:tcBorders>
            <w:noWrap/>
            <w:vAlign w:val="bottom"/>
          </w:tcPr>
          <w:p w14:paraId="350FD90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 xml:space="preserve">8.00 </w:t>
            </w:r>
          </w:p>
        </w:tc>
        <w:tc>
          <w:tcPr>
            <w:tcW w:w="1224" w:type="dxa"/>
            <w:tcBorders>
              <w:tl2br w:val="nil"/>
              <w:tr2bl w:val="nil"/>
            </w:tcBorders>
            <w:noWrap/>
            <w:vAlign w:val="center"/>
          </w:tcPr>
          <w:p w14:paraId="35ABA5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 xml:space="preserve">59895 </w:t>
            </w:r>
          </w:p>
        </w:tc>
        <w:tc>
          <w:tcPr>
            <w:tcW w:w="944" w:type="dxa"/>
            <w:tcBorders>
              <w:tl2br w:val="nil"/>
              <w:tr2bl w:val="nil"/>
            </w:tcBorders>
            <w:noWrap/>
            <w:vAlign w:val="center"/>
          </w:tcPr>
          <w:p w14:paraId="2F6EE9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0.8</w:t>
            </w:r>
          </w:p>
        </w:tc>
        <w:tc>
          <w:tcPr>
            <w:tcW w:w="1616" w:type="dxa"/>
            <w:tcBorders>
              <w:tl2br w:val="nil"/>
              <w:tr2bl w:val="nil"/>
            </w:tcBorders>
            <w:noWrap/>
            <w:vAlign w:val="center"/>
          </w:tcPr>
          <w:p w14:paraId="4E648A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 xml:space="preserve">3.83 </w:t>
            </w:r>
          </w:p>
        </w:tc>
        <w:tc>
          <w:tcPr>
            <w:tcW w:w="1577" w:type="dxa"/>
            <w:tcBorders>
              <w:tl2br w:val="nil"/>
              <w:tr2bl w:val="nil"/>
            </w:tcBorders>
            <w:noWrap/>
            <w:vAlign w:val="center"/>
          </w:tcPr>
          <w:p w14:paraId="4A7F50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 xml:space="preserve">93.25 </w:t>
            </w:r>
          </w:p>
        </w:tc>
      </w:tr>
      <w:tr w14:paraId="60E1CCBA">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5329" w:type="dxa"/>
            <w:gridSpan w:val="5"/>
            <w:tcBorders>
              <w:tl2br w:val="nil"/>
              <w:tr2bl w:val="nil"/>
            </w:tcBorders>
            <w:noWrap/>
            <w:vAlign w:val="center"/>
          </w:tcPr>
          <w:p w14:paraId="778E0A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合计</w:t>
            </w:r>
          </w:p>
        </w:tc>
        <w:tc>
          <w:tcPr>
            <w:tcW w:w="1616" w:type="dxa"/>
            <w:tcBorders>
              <w:tl2br w:val="nil"/>
              <w:tr2bl w:val="nil"/>
            </w:tcBorders>
            <w:noWrap/>
            <w:vAlign w:val="center"/>
          </w:tcPr>
          <w:p w14:paraId="6FD3ECA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sz w:val="21"/>
                <w:szCs w:val="21"/>
              </w:rPr>
            </w:pPr>
            <w:r>
              <w:rPr>
                <w:rFonts w:hint="default" w:ascii="Times New Roman" w:hAnsi="Times New Roman" w:eastAsia="宋体"/>
                <w:b/>
                <w:bCs/>
                <w:sz w:val="21"/>
                <w:szCs w:val="21"/>
              </w:rPr>
              <w:t xml:space="preserve">37.56 </w:t>
            </w:r>
          </w:p>
        </w:tc>
        <w:tc>
          <w:tcPr>
            <w:tcW w:w="1577" w:type="dxa"/>
            <w:tcBorders>
              <w:tl2br w:val="nil"/>
              <w:tr2bl w:val="nil"/>
            </w:tcBorders>
            <w:noWrap/>
            <w:vAlign w:val="center"/>
          </w:tcPr>
          <w:p w14:paraId="39B1A2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sz w:val="21"/>
                <w:szCs w:val="21"/>
              </w:rPr>
            </w:pPr>
            <w:r>
              <w:rPr>
                <w:rFonts w:hint="default" w:ascii="Times New Roman" w:hAnsi="Times New Roman" w:eastAsia="宋体"/>
                <w:b/>
                <w:bCs/>
                <w:sz w:val="21"/>
                <w:szCs w:val="21"/>
              </w:rPr>
              <w:t xml:space="preserve">913.93 </w:t>
            </w:r>
          </w:p>
        </w:tc>
      </w:tr>
    </w:tbl>
    <w:p w14:paraId="6CE31C97">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同</w:t>
      </w:r>
      <w:r>
        <w:rPr>
          <w:rFonts w:hint="eastAsia" w:ascii="Times New Roman" w:hAnsi="Times New Roman" w:eastAsia="宋体"/>
          <w:sz w:val="24"/>
          <w:szCs w:val="28"/>
          <w:lang w:eastAsia="zh-CN"/>
        </w:rPr>
        <w:t>5.2.6</w:t>
      </w:r>
      <w:r>
        <w:rPr>
          <w:rFonts w:ascii="Times New Roman" w:hAnsi="Times New Roman" w:eastAsia="宋体"/>
          <w:sz w:val="24"/>
          <w:szCs w:val="28"/>
        </w:rPr>
        <w:t>.1.2节所述，施工期临时占用保护区，将影响鱼类、饵料生物等所有水生生物资源，因此造成的各种生物资源补偿量按以下公式评估：</w:t>
      </w:r>
    </w:p>
    <w:p w14:paraId="15CF0762">
      <w:pPr>
        <w:adjustRightInd w:val="0"/>
        <w:snapToGrid w:val="0"/>
        <w:spacing w:line="360" w:lineRule="auto"/>
        <w:ind w:firstLine="480" w:firstLineChars="200"/>
        <w:jc w:val="center"/>
        <w:rPr>
          <w:rFonts w:ascii="Times New Roman" w:hAnsi="Times New Roman" w:eastAsia="宋体"/>
          <w:sz w:val="24"/>
          <w:szCs w:val="28"/>
        </w:rPr>
      </w:pPr>
      <w:r>
        <w:rPr>
          <w:rFonts w:ascii="Times New Roman" w:hAnsi="Times New Roman" w:eastAsia="宋体"/>
          <w:sz w:val="24"/>
          <w:szCs w:val="28"/>
        </w:rPr>
        <w:object>
          <v:shape id="_x0000_i1055" o:spt="75" type="#_x0000_t75" style="height:21pt;width:70.55pt;" o:ole="t" filled="f" o:preferrelative="t" stroked="f" coordsize="21600,21600">
            <v:path/>
            <v:fill on="f" focussize="0,0"/>
            <v:stroke on="f"/>
            <v:imagedata r:id="rId194" o:title=""/>
            <o:lock v:ext="edit" aspectratio="t"/>
            <w10:wrap type="none"/>
            <w10:anchorlock/>
          </v:shape>
          <o:OLEObject Type="Embed" ProgID="Equation.3" ShapeID="_x0000_i1055" DrawAspect="Content" ObjectID="_1468075755" r:id="rId193">
            <o:LockedField>false</o:LockedField>
          </o:OLEObject>
        </w:object>
      </w:r>
    </w:p>
    <w:p w14:paraId="6781B5D0">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式中：W</w:t>
      </w:r>
      <w:r>
        <w:rPr>
          <w:rFonts w:ascii="Times New Roman" w:hAnsi="Times New Roman" w:eastAsia="宋体"/>
          <w:sz w:val="24"/>
          <w:szCs w:val="28"/>
          <w:vertAlign w:val="subscript"/>
        </w:rPr>
        <w:t>i</w:t>
      </w:r>
      <w:r>
        <w:rPr>
          <w:rFonts w:ascii="Times New Roman" w:hAnsi="Times New Roman" w:eastAsia="宋体"/>
          <w:sz w:val="24"/>
          <w:szCs w:val="28"/>
        </w:rPr>
        <w:t>-第i种类生物资源受损量，单位为尾、个、千克(kg)；</w:t>
      </w:r>
    </w:p>
    <w:p w14:paraId="24FC2317">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D</w:t>
      </w:r>
      <w:r>
        <w:rPr>
          <w:rFonts w:ascii="Times New Roman" w:hAnsi="Times New Roman" w:eastAsia="宋体"/>
          <w:sz w:val="24"/>
          <w:szCs w:val="28"/>
          <w:vertAlign w:val="subscript"/>
        </w:rPr>
        <w:t>i</w:t>
      </w:r>
      <w:r>
        <w:rPr>
          <w:rFonts w:ascii="Times New Roman" w:hAnsi="Times New Roman" w:eastAsia="宋体"/>
          <w:sz w:val="24"/>
          <w:szCs w:val="28"/>
        </w:rPr>
        <w:t>-评估区域内第i种类生物资源密度，单位为尾(个)每平方千米(尾(个)/km</w:t>
      </w:r>
      <w:r>
        <w:rPr>
          <w:rFonts w:ascii="Times New Roman" w:hAnsi="Times New Roman" w:eastAsia="宋体"/>
          <w:sz w:val="24"/>
          <w:szCs w:val="28"/>
          <w:vertAlign w:val="superscript"/>
        </w:rPr>
        <w:t>2</w:t>
      </w:r>
      <w:r>
        <w:rPr>
          <w:rFonts w:ascii="Times New Roman" w:hAnsi="Times New Roman" w:eastAsia="宋体"/>
          <w:sz w:val="24"/>
          <w:szCs w:val="28"/>
        </w:rPr>
        <w:t>)、尾(个)每立方千米(尾(个)/km</w:t>
      </w:r>
      <w:r>
        <w:rPr>
          <w:rFonts w:ascii="Times New Roman" w:hAnsi="Times New Roman" w:eastAsia="宋体"/>
          <w:sz w:val="24"/>
          <w:szCs w:val="28"/>
          <w:vertAlign w:val="superscript"/>
        </w:rPr>
        <w:t>3</w:t>
      </w:r>
      <w:r>
        <w:rPr>
          <w:rFonts w:ascii="Times New Roman" w:hAnsi="Times New Roman" w:eastAsia="宋体"/>
          <w:sz w:val="24"/>
          <w:szCs w:val="28"/>
        </w:rPr>
        <w:t>)、千克每平方千米(kg/km</w:t>
      </w:r>
      <w:r>
        <w:rPr>
          <w:rFonts w:ascii="Times New Roman" w:hAnsi="Times New Roman" w:eastAsia="宋体"/>
          <w:sz w:val="24"/>
          <w:szCs w:val="28"/>
          <w:vertAlign w:val="superscript"/>
        </w:rPr>
        <w:t>2</w:t>
      </w:r>
      <w:r>
        <w:rPr>
          <w:rFonts w:ascii="Times New Roman" w:hAnsi="Times New Roman" w:eastAsia="宋体"/>
          <w:sz w:val="24"/>
          <w:szCs w:val="28"/>
        </w:rPr>
        <w:t>)；</w:t>
      </w:r>
    </w:p>
    <w:p w14:paraId="606CF28D">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S</w:t>
      </w:r>
      <w:r>
        <w:rPr>
          <w:rFonts w:ascii="Times New Roman" w:hAnsi="Times New Roman" w:eastAsia="宋体"/>
          <w:sz w:val="24"/>
          <w:szCs w:val="28"/>
          <w:vertAlign w:val="subscript"/>
        </w:rPr>
        <w:t>i</w:t>
      </w:r>
      <w:r>
        <w:rPr>
          <w:rFonts w:ascii="Times New Roman" w:hAnsi="Times New Roman" w:eastAsia="宋体"/>
          <w:sz w:val="24"/>
          <w:szCs w:val="28"/>
        </w:rPr>
        <w:t>-第i种类生物被占用的保护区水域面积或体积，单位为平方千米(km</w:t>
      </w:r>
      <w:r>
        <w:rPr>
          <w:rFonts w:ascii="Times New Roman" w:hAnsi="Times New Roman" w:eastAsia="宋体"/>
          <w:sz w:val="24"/>
          <w:szCs w:val="28"/>
          <w:vertAlign w:val="superscript"/>
        </w:rPr>
        <w:t>2</w:t>
      </w:r>
      <w:r>
        <w:rPr>
          <w:rFonts w:ascii="Times New Roman" w:hAnsi="Times New Roman" w:eastAsia="宋体"/>
          <w:sz w:val="24"/>
          <w:szCs w:val="28"/>
        </w:rPr>
        <w:t>)或立方千米(km</w:t>
      </w:r>
      <w:r>
        <w:rPr>
          <w:rFonts w:ascii="Times New Roman" w:hAnsi="Times New Roman" w:eastAsia="宋体"/>
          <w:sz w:val="24"/>
          <w:szCs w:val="28"/>
          <w:vertAlign w:val="superscript"/>
        </w:rPr>
        <w:t>3</w:t>
      </w:r>
      <w:r>
        <w:rPr>
          <w:rFonts w:ascii="Times New Roman" w:hAnsi="Times New Roman" w:eastAsia="宋体"/>
          <w:sz w:val="24"/>
          <w:szCs w:val="28"/>
        </w:rPr>
        <w:t>)。</w:t>
      </w:r>
    </w:p>
    <w:p w14:paraId="12BEE719">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根据上述公式，施工期临时占用水域造成成鱼资源年损失量为7.84 kg/a。</w:t>
      </w:r>
    </w:p>
    <w:p w14:paraId="7510EE00">
      <w:pPr>
        <w:adjustRightInd/>
        <w:snapToGrid/>
        <w:spacing w:line="400" w:lineRule="exact"/>
        <w:ind w:firstLine="0" w:firstLineChars="0"/>
        <w:jc w:val="center"/>
        <w:rPr>
          <w:rFonts w:hint="eastAsia" w:eastAsia="黑体"/>
          <w:color w:val="auto"/>
          <w:sz w:val="24"/>
          <w:szCs w:val="21"/>
        </w:rPr>
      </w:pPr>
      <w:r>
        <w:rPr>
          <w:rFonts w:hint="eastAsia" w:eastAsia="黑体"/>
          <w:color w:val="auto"/>
          <w:sz w:val="24"/>
          <w:szCs w:val="21"/>
        </w:rPr>
        <w:t>表</w:t>
      </w:r>
      <w:r>
        <w:rPr>
          <w:rFonts w:hint="eastAsia" w:eastAsia="黑体"/>
          <w:color w:val="auto"/>
          <w:sz w:val="24"/>
          <w:szCs w:val="21"/>
          <w:lang w:eastAsia="zh-CN"/>
        </w:rPr>
        <w:t>5.2</w:t>
      </w:r>
      <w:r>
        <w:rPr>
          <w:rFonts w:hint="eastAsia" w:eastAsia="黑体"/>
          <w:color w:val="auto"/>
          <w:sz w:val="24"/>
          <w:szCs w:val="21"/>
          <w:lang w:val="en-US" w:eastAsia="zh-CN"/>
        </w:rPr>
        <w:t>-22</w:t>
      </w:r>
      <w:r>
        <w:rPr>
          <w:rFonts w:hint="eastAsia" w:eastAsia="黑体"/>
          <w:color w:val="auto"/>
          <w:sz w:val="24"/>
          <w:szCs w:val="21"/>
        </w:rPr>
        <w:t xml:space="preserve">   施工期临时占用影响区域成鱼资源年损失量</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
      <w:tblGrid>
        <w:gridCol w:w="1384"/>
        <w:gridCol w:w="2323"/>
        <w:gridCol w:w="1857"/>
        <w:gridCol w:w="1336"/>
        <w:gridCol w:w="2387"/>
      </w:tblGrid>
      <w:tr w14:paraId="0A8361DA">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270" w:type="dxa"/>
            <w:tcBorders>
              <w:tl2br w:val="nil"/>
              <w:tr2bl w:val="nil"/>
            </w:tcBorders>
            <w:noWrap/>
            <w:vAlign w:val="center"/>
          </w:tcPr>
          <w:p w14:paraId="183B37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影响类型</w:t>
            </w:r>
          </w:p>
        </w:tc>
        <w:tc>
          <w:tcPr>
            <w:tcW w:w="2132" w:type="dxa"/>
            <w:tcBorders>
              <w:tl2br w:val="nil"/>
              <w:tr2bl w:val="nil"/>
            </w:tcBorders>
            <w:noWrap/>
            <w:vAlign w:val="center"/>
          </w:tcPr>
          <w:p w14:paraId="2451966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sz w:val="21"/>
                <w:szCs w:val="21"/>
              </w:rPr>
            </w:pPr>
            <w:r>
              <w:rPr>
                <w:rFonts w:hint="default" w:ascii="Times New Roman" w:hAnsi="Times New Roman" w:eastAsia="宋体"/>
                <w:b/>
                <w:sz w:val="21"/>
                <w:szCs w:val="21"/>
              </w:rPr>
              <w:t>资源密度(g/m</w:t>
            </w:r>
            <w:r>
              <w:rPr>
                <w:rFonts w:hint="default" w:ascii="Times New Roman" w:hAnsi="Times New Roman" w:eastAsia="宋体"/>
                <w:b/>
                <w:sz w:val="21"/>
                <w:szCs w:val="21"/>
                <w:vertAlign w:val="superscript"/>
              </w:rPr>
              <w:t>2</w:t>
            </w:r>
            <w:r>
              <w:rPr>
                <w:rFonts w:hint="default" w:ascii="Times New Roman" w:hAnsi="Times New Roman" w:eastAsia="宋体"/>
                <w:b/>
                <w:sz w:val="21"/>
                <w:szCs w:val="21"/>
              </w:rPr>
              <w:t>)</w:t>
            </w:r>
          </w:p>
        </w:tc>
        <w:tc>
          <w:tcPr>
            <w:tcW w:w="1704" w:type="dxa"/>
            <w:tcBorders>
              <w:tl2br w:val="nil"/>
              <w:tr2bl w:val="nil"/>
            </w:tcBorders>
            <w:noWrap/>
            <w:vAlign w:val="center"/>
          </w:tcPr>
          <w:p w14:paraId="4183377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sz w:val="21"/>
                <w:szCs w:val="21"/>
              </w:rPr>
            </w:pPr>
            <w:r>
              <w:rPr>
                <w:rFonts w:hint="default" w:ascii="Times New Roman" w:hAnsi="Times New Roman" w:eastAsia="宋体"/>
                <w:b/>
                <w:sz w:val="21"/>
                <w:szCs w:val="21"/>
              </w:rPr>
              <w:t>面积(m</w:t>
            </w:r>
            <w:r>
              <w:rPr>
                <w:rFonts w:hint="default" w:ascii="Times New Roman" w:hAnsi="Times New Roman" w:eastAsia="宋体"/>
                <w:b/>
                <w:sz w:val="21"/>
                <w:szCs w:val="21"/>
                <w:vertAlign w:val="superscript"/>
              </w:rPr>
              <w:t>2</w:t>
            </w:r>
            <w:r>
              <w:rPr>
                <w:rFonts w:hint="default" w:ascii="Times New Roman" w:hAnsi="Times New Roman" w:eastAsia="宋体"/>
                <w:b/>
                <w:sz w:val="21"/>
                <w:szCs w:val="21"/>
              </w:rPr>
              <w:t>)</w:t>
            </w:r>
          </w:p>
        </w:tc>
        <w:tc>
          <w:tcPr>
            <w:tcW w:w="1226" w:type="dxa"/>
            <w:tcBorders>
              <w:tl2br w:val="nil"/>
              <w:tr2bl w:val="nil"/>
            </w:tcBorders>
            <w:noWrap/>
            <w:vAlign w:val="center"/>
          </w:tcPr>
          <w:p w14:paraId="011E99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损失率</w:t>
            </w:r>
            <w:r>
              <w:rPr>
                <w:rFonts w:hint="default" w:ascii="Times New Roman" w:hAnsi="Times New Roman" w:eastAsia="宋体"/>
                <w:b/>
                <w:sz w:val="21"/>
                <w:szCs w:val="21"/>
              </w:rPr>
              <w:t>%</w:t>
            </w:r>
          </w:p>
        </w:tc>
        <w:tc>
          <w:tcPr>
            <w:tcW w:w="2190" w:type="dxa"/>
            <w:tcBorders>
              <w:tl2br w:val="nil"/>
              <w:tr2bl w:val="nil"/>
            </w:tcBorders>
            <w:noWrap/>
            <w:vAlign w:val="center"/>
          </w:tcPr>
          <w:p w14:paraId="717DDE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损失量(kg/a)</w:t>
            </w:r>
          </w:p>
        </w:tc>
      </w:tr>
      <w:tr w14:paraId="05BCAE13">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270" w:type="dxa"/>
            <w:tcBorders>
              <w:tl2br w:val="nil"/>
              <w:tr2bl w:val="nil"/>
            </w:tcBorders>
            <w:noWrap/>
            <w:vAlign w:val="center"/>
          </w:tcPr>
          <w:p w14:paraId="5BF5782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临时占用</w:t>
            </w:r>
          </w:p>
        </w:tc>
        <w:tc>
          <w:tcPr>
            <w:tcW w:w="2132" w:type="dxa"/>
            <w:tcBorders>
              <w:tl2br w:val="nil"/>
              <w:tr2bl w:val="nil"/>
            </w:tcBorders>
            <w:noWrap/>
            <w:vAlign w:val="center"/>
          </w:tcPr>
          <w:p w14:paraId="5E08D6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 xml:space="preserve">8.00 </w:t>
            </w:r>
          </w:p>
        </w:tc>
        <w:tc>
          <w:tcPr>
            <w:tcW w:w="1704" w:type="dxa"/>
            <w:tcBorders>
              <w:tl2br w:val="nil"/>
              <w:tr2bl w:val="nil"/>
            </w:tcBorders>
            <w:noWrap/>
            <w:vAlign w:val="center"/>
          </w:tcPr>
          <w:p w14:paraId="662541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 xml:space="preserve">980 </w:t>
            </w:r>
          </w:p>
        </w:tc>
        <w:tc>
          <w:tcPr>
            <w:tcW w:w="1226" w:type="dxa"/>
            <w:tcBorders>
              <w:tl2br w:val="nil"/>
              <w:tr2bl w:val="nil"/>
            </w:tcBorders>
            <w:noWrap/>
            <w:vAlign w:val="center"/>
          </w:tcPr>
          <w:p w14:paraId="330CA6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100</w:t>
            </w:r>
          </w:p>
        </w:tc>
        <w:tc>
          <w:tcPr>
            <w:tcW w:w="2190" w:type="dxa"/>
            <w:tcBorders>
              <w:tl2br w:val="nil"/>
              <w:tr2bl w:val="nil"/>
            </w:tcBorders>
            <w:noWrap/>
            <w:vAlign w:val="center"/>
          </w:tcPr>
          <w:p w14:paraId="7BAF05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 xml:space="preserve">7.84 </w:t>
            </w:r>
          </w:p>
        </w:tc>
      </w:tr>
    </w:tbl>
    <w:p w14:paraId="1863B7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r>
        <w:rPr>
          <w:rFonts w:hint="eastAsia" w:ascii="Times New Roman" w:hAnsi="Times New Roman" w:eastAsia="宋体"/>
          <w:b/>
          <w:bCs/>
          <w:sz w:val="24"/>
          <w:szCs w:val="24"/>
          <w:lang w:eastAsia="zh-CN"/>
        </w:rPr>
        <w:t>5.2.6.3.2 运营期</w:t>
      </w:r>
    </w:p>
    <w:p w14:paraId="6B241B65">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运营期间，码头及引桥桩基、护坡等水工构筑物长期占用保护区，方式为水域空间长期占用。运营期长期占用保护区水域造成成鱼资源年损失量为82.31 kg/a。</w:t>
      </w:r>
    </w:p>
    <w:p w14:paraId="37C8D811">
      <w:pPr>
        <w:adjustRightInd/>
        <w:snapToGrid/>
        <w:spacing w:line="400" w:lineRule="exact"/>
        <w:ind w:firstLine="0" w:firstLineChars="0"/>
        <w:jc w:val="center"/>
        <w:rPr>
          <w:rFonts w:hint="eastAsia" w:eastAsia="黑体"/>
          <w:color w:val="auto"/>
          <w:sz w:val="24"/>
          <w:szCs w:val="21"/>
        </w:rPr>
      </w:pPr>
      <w:r>
        <w:rPr>
          <w:rFonts w:hint="eastAsia" w:eastAsia="黑体"/>
          <w:color w:val="auto"/>
          <w:sz w:val="24"/>
          <w:szCs w:val="21"/>
        </w:rPr>
        <w:t>表</w:t>
      </w:r>
      <w:r>
        <w:rPr>
          <w:rFonts w:hint="eastAsia" w:eastAsia="黑体"/>
          <w:color w:val="auto"/>
          <w:sz w:val="24"/>
          <w:szCs w:val="21"/>
          <w:lang w:eastAsia="zh-CN"/>
        </w:rPr>
        <w:t>5.2</w:t>
      </w:r>
      <w:r>
        <w:rPr>
          <w:rFonts w:hint="eastAsia" w:eastAsia="黑体"/>
          <w:color w:val="auto"/>
          <w:sz w:val="24"/>
          <w:szCs w:val="21"/>
          <w:lang w:val="en-US" w:eastAsia="zh-CN"/>
        </w:rPr>
        <w:t>-23</w:t>
      </w:r>
      <w:r>
        <w:rPr>
          <w:rFonts w:hint="eastAsia" w:eastAsia="黑体"/>
          <w:color w:val="auto"/>
          <w:sz w:val="24"/>
          <w:szCs w:val="21"/>
        </w:rPr>
        <w:t xml:space="preserve">   运营期工程影响区域成鱼资源损失量</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
      <w:tblGrid>
        <w:gridCol w:w="1385"/>
        <w:gridCol w:w="2323"/>
        <w:gridCol w:w="1857"/>
        <w:gridCol w:w="1336"/>
        <w:gridCol w:w="2386"/>
      </w:tblGrid>
      <w:tr w14:paraId="363B7E55">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271" w:type="dxa"/>
            <w:tcBorders>
              <w:tl2br w:val="nil"/>
              <w:tr2bl w:val="nil"/>
            </w:tcBorders>
            <w:noWrap/>
            <w:vAlign w:val="center"/>
          </w:tcPr>
          <w:p w14:paraId="5AA649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影响类型</w:t>
            </w:r>
          </w:p>
        </w:tc>
        <w:tc>
          <w:tcPr>
            <w:tcW w:w="2132" w:type="dxa"/>
            <w:tcBorders>
              <w:tl2br w:val="nil"/>
              <w:tr2bl w:val="nil"/>
            </w:tcBorders>
            <w:noWrap/>
            <w:vAlign w:val="center"/>
          </w:tcPr>
          <w:p w14:paraId="500FD72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sz w:val="21"/>
                <w:szCs w:val="21"/>
              </w:rPr>
            </w:pPr>
            <w:r>
              <w:rPr>
                <w:rFonts w:hint="default" w:ascii="Times New Roman" w:hAnsi="Times New Roman" w:eastAsia="宋体"/>
                <w:b/>
                <w:sz w:val="21"/>
                <w:szCs w:val="21"/>
              </w:rPr>
              <w:t>资源密度(g/m</w:t>
            </w:r>
            <w:r>
              <w:rPr>
                <w:rFonts w:hint="default" w:ascii="Times New Roman" w:hAnsi="Times New Roman" w:eastAsia="宋体"/>
                <w:b/>
                <w:sz w:val="21"/>
                <w:szCs w:val="21"/>
                <w:vertAlign w:val="superscript"/>
              </w:rPr>
              <w:t>2</w:t>
            </w:r>
            <w:r>
              <w:rPr>
                <w:rFonts w:hint="default" w:ascii="Times New Roman" w:hAnsi="Times New Roman" w:eastAsia="宋体"/>
                <w:b/>
                <w:sz w:val="21"/>
                <w:szCs w:val="21"/>
              </w:rPr>
              <w:t>)</w:t>
            </w:r>
          </w:p>
        </w:tc>
        <w:tc>
          <w:tcPr>
            <w:tcW w:w="1704" w:type="dxa"/>
            <w:tcBorders>
              <w:tl2br w:val="nil"/>
              <w:tr2bl w:val="nil"/>
            </w:tcBorders>
            <w:noWrap/>
            <w:vAlign w:val="center"/>
          </w:tcPr>
          <w:p w14:paraId="35AC60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sz w:val="21"/>
                <w:szCs w:val="21"/>
              </w:rPr>
            </w:pPr>
            <w:r>
              <w:rPr>
                <w:rFonts w:hint="default" w:ascii="Times New Roman" w:hAnsi="Times New Roman" w:eastAsia="宋体"/>
                <w:b/>
                <w:sz w:val="21"/>
                <w:szCs w:val="21"/>
              </w:rPr>
              <w:t>面积(m</w:t>
            </w:r>
            <w:r>
              <w:rPr>
                <w:rFonts w:hint="default" w:ascii="Times New Roman" w:hAnsi="Times New Roman" w:eastAsia="宋体"/>
                <w:b/>
                <w:sz w:val="21"/>
                <w:szCs w:val="21"/>
                <w:vertAlign w:val="superscript"/>
              </w:rPr>
              <w:t>2</w:t>
            </w:r>
            <w:r>
              <w:rPr>
                <w:rFonts w:hint="default" w:ascii="Times New Roman" w:hAnsi="Times New Roman" w:eastAsia="宋体"/>
                <w:b/>
                <w:sz w:val="21"/>
                <w:szCs w:val="21"/>
              </w:rPr>
              <w:t>)</w:t>
            </w:r>
          </w:p>
        </w:tc>
        <w:tc>
          <w:tcPr>
            <w:tcW w:w="1226" w:type="dxa"/>
            <w:tcBorders>
              <w:tl2br w:val="nil"/>
              <w:tr2bl w:val="nil"/>
            </w:tcBorders>
            <w:noWrap/>
            <w:vAlign w:val="center"/>
          </w:tcPr>
          <w:p w14:paraId="3CB37A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损失率</w:t>
            </w:r>
            <w:r>
              <w:rPr>
                <w:rFonts w:hint="default" w:ascii="Times New Roman" w:hAnsi="Times New Roman" w:eastAsia="宋体"/>
                <w:b/>
                <w:sz w:val="21"/>
                <w:szCs w:val="21"/>
              </w:rPr>
              <w:t>%</w:t>
            </w:r>
          </w:p>
        </w:tc>
        <w:tc>
          <w:tcPr>
            <w:tcW w:w="2189" w:type="dxa"/>
            <w:tcBorders>
              <w:tl2br w:val="nil"/>
              <w:tr2bl w:val="nil"/>
            </w:tcBorders>
            <w:noWrap/>
            <w:vAlign w:val="center"/>
          </w:tcPr>
          <w:p w14:paraId="53C60F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损失量(kg/a)</w:t>
            </w:r>
          </w:p>
        </w:tc>
      </w:tr>
      <w:tr w14:paraId="126957D2">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271" w:type="dxa"/>
            <w:tcBorders>
              <w:tl2br w:val="nil"/>
              <w:tr2bl w:val="nil"/>
            </w:tcBorders>
            <w:noWrap/>
            <w:vAlign w:val="center"/>
          </w:tcPr>
          <w:p w14:paraId="4687685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长期占用</w:t>
            </w:r>
          </w:p>
        </w:tc>
        <w:tc>
          <w:tcPr>
            <w:tcW w:w="2132" w:type="dxa"/>
            <w:tcBorders>
              <w:tl2br w:val="nil"/>
              <w:tr2bl w:val="nil"/>
            </w:tcBorders>
            <w:noWrap/>
            <w:vAlign w:val="center"/>
          </w:tcPr>
          <w:p w14:paraId="0072C3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8.00</w:t>
            </w:r>
          </w:p>
        </w:tc>
        <w:tc>
          <w:tcPr>
            <w:tcW w:w="1704" w:type="dxa"/>
            <w:tcBorders>
              <w:tl2br w:val="nil"/>
              <w:tr2bl w:val="nil"/>
            </w:tcBorders>
            <w:noWrap/>
            <w:vAlign w:val="center"/>
          </w:tcPr>
          <w:p w14:paraId="4556400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10289</w:t>
            </w:r>
          </w:p>
        </w:tc>
        <w:tc>
          <w:tcPr>
            <w:tcW w:w="1226" w:type="dxa"/>
            <w:tcBorders>
              <w:tl2br w:val="nil"/>
              <w:tr2bl w:val="nil"/>
            </w:tcBorders>
            <w:noWrap/>
            <w:vAlign w:val="center"/>
          </w:tcPr>
          <w:p w14:paraId="460366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100</w:t>
            </w:r>
          </w:p>
        </w:tc>
        <w:tc>
          <w:tcPr>
            <w:tcW w:w="2189" w:type="dxa"/>
            <w:tcBorders>
              <w:tl2br w:val="nil"/>
              <w:tr2bl w:val="nil"/>
            </w:tcBorders>
            <w:noWrap/>
            <w:vAlign w:val="center"/>
          </w:tcPr>
          <w:p w14:paraId="7F3F307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82.31</w:t>
            </w:r>
          </w:p>
        </w:tc>
      </w:tr>
    </w:tbl>
    <w:p w14:paraId="36433D78">
      <w:pPr>
        <w:keepNext/>
        <w:keepLines/>
        <w:widowControl w:val="0"/>
        <w:numPr>
          <w:ilvl w:val="0"/>
          <w:numId w:val="0"/>
        </w:numPr>
        <w:adjustRightInd/>
        <w:snapToGrid/>
        <w:spacing w:line="360" w:lineRule="auto"/>
        <w:ind w:firstLine="0" w:firstLineChars="0"/>
        <w:jc w:val="both"/>
        <w:outlineLvl w:val="3"/>
        <w:rPr>
          <w:rFonts w:hint="eastAsia" w:ascii="Times New Roman" w:hAnsi="Times New Roman" w:eastAsia="黑体" w:cs="Times New Roman"/>
          <w:bCs/>
          <w:color w:val="auto"/>
          <w:kern w:val="2"/>
          <w:sz w:val="24"/>
          <w:szCs w:val="28"/>
          <w:lang w:val="en-US" w:eastAsia="zh-CN" w:bidi="ar-SA"/>
        </w:rPr>
      </w:pPr>
      <w:bookmarkStart w:id="232" w:name="_Toc463620412"/>
      <w:bookmarkStart w:id="233" w:name="_Toc459587371"/>
      <w:bookmarkStart w:id="234" w:name="_Toc459251242"/>
      <w:bookmarkStart w:id="235" w:name="_Toc468175613"/>
      <w:bookmarkStart w:id="236" w:name="_Toc471349345"/>
      <w:bookmarkStart w:id="237" w:name="_Toc472229764"/>
      <w:bookmarkStart w:id="238" w:name="_Toc472830509"/>
      <w:r>
        <w:rPr>
          <w:rFonts w:hint="eastAsia" w:ascii="Times New Roman" w:hAnsi="Times New Roman" w:eastAsia="黑体" w:cs="Times New Roman"/>
          <w:bCs/>
          <w:color w:val="auto"/>
          <w:kern w:val="2"/>
          <w:sz w:val="24"/>
          <w:szCs w:val="28"/>
          <w:lang w:val="en-US" w:eastAsia="zh-CN" w:bidi="ar-SA"/>
        </w:rPr>
        <w:t>5.2.6.4 对鱼类等水生生物繁殖的影响</w:t>
      </w:r>
      <w:bookmarkEnd w:id="232"/>
      <w:bookmarkEnd w:id="233"/>
      <w:bookmarkEnd w:id="234"/>
      <w:bookmarkEnd w:id="235"/>
      <w:bookmarkEnd w:id="236"/>
      <w:bookmarkEnd w:id="237"/>
      <w:bookmarkEnd w:id="238"/>
    </w:p>
    <w:p w14:paraId="6289403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r>
        <w:rPr>
          <w:rFonts w:hint="eastAsia" w:ascii="Times New Roman" w:hAnsi="Times New Roman" w:eastAsia="宋体"/>
          <w:b/>
          <w:bCs/>
          <w:sz w:val="24"/>
          <w:szCs w:val="24"/>
          <w:lang w:eastAsia="zh-CN"/>
        </w:rPr>
        <w:t>5.2.6.4.1 施工期</w:t>
      </w:r>
    </w:p>
    <w:p w14:paraId="0559C15F">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鱼类对其自身栖息地的选择都是在经过长时间进化和演变中不断适应确定下来的，其中河流的水温、底质、水深、流速、泥沙、弯曲度等条件都是鱼类选择的最适合自身生存、索饵、产卵、越冬的环境因子。在鱼类的繁殖季节，悬浮物的扩散、粉尘沉降以及噪声惊扰均可能对其性腺发育、胚胎发育以及苗种发育产生不良影响，进而影响相关种类的幼鱼发生量及苗种成活率。此外，水中悬浮物增加会黏附在鱼卵的表面，妨碍鱼卵的呼吸，从而影响鱼类的胚胎发育。上述影响的程度因各水生生物种类的活动区域和耐受能力不同而不同。</w:t>
      </w:r>
    </w:p>
    <w:p w14:paraId="4891DECF">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根据</w:t>
      </w:r>
      <w:r>
        <w:rPr>
          <w:rFonts w:hint="eastAsia" w:ascii="Times New Roman" w:hAnsi="Times New Roman" w:eastAsia="宋体"/>
          <w:sz w:val="24"/>
          <w:szCs w:val="28"/>
          <w:lang w:eastAsia="zh-CN"/>
        </w:rPr>
        <w:t>5.2.6</w:t>
      </w:r>
      <w:r>
        <w:rPr>
          <w:rFonts w:ascii="Times New Roman" w:hAnsi="Times New Roman" w:eastAsia="宋体"/>
          <w:sz w:val="24"/>
          <w:szCs w:val="28"/>
        </w:rPr>
        <w:t>.3.1节所述资源损失计算公式，施工造成的悬浮物扩散引起的鱼类早期资源年度损失量合计384972 ind./a。</w:t>
      </w:r>
    </w:p>
    <w:p w14:paraId="642EAA67">
      <w:pPr>
        <w:adjustRightInd/>
        <w:snapToGrid/>
        <w:spacing w:line="400" w:lineRule="exact"/>
        <w:ind w:firstLine="0" w:firstLineChars="0"/>
        <w:jc w:val="center"/>
        <w:rPr>
          <w:rFonts w:hint="eastAsia" w:eastAsia="黑体"/>
          <w:color w:val="auto"/>
          <w:sz w:val="24"/>
          <w:szCs w:val="21"/>
        </w:rPr>
      </w:pPr>
      <w:r>
        <w:rPr>
          <w:rFonts w:hint="eastAsia" w:eastAsia="黑体"/>
          <w:color w:val="auto"/>
          <w:sz w:val="24"/>
          <w:szCs w:val="21"/>
        </w:rPr>
        <w:t>表</w:t>
      </w:r>
      <w:r>
        <w:rPr>
          <w:rFonts w:hint="eastAsia" w:eastAsia="黑体"/>
          <w:color w:val="auto"/>
          <w:sz w:val="24"/>
          <w:szCs w:val="21"/>
          <w:lang w:eastAsia="zh-CN"/>
        </w:rPr>
        <w:t>5.2</w:t>
      </w:r>
      <w:r>
        <w:rPr>
          <w:rFonts w:hint="eastAsia" w:eastAsia="黑体"/>
          <w:color w:val="auto"/>
          <w:sz w:val="24"/>
          <w:szCs w:val="21"/>
          <w:lang w:val="en-US" w:eastAsia="zh-CN"/>
        </w:rPr>
        <w:t>-24</w:t>
      </w:r>
      <w:r>
        <w:rPr>
          <w:rFonts w:hint="eastAsia" w:eastAsia="黑体"/>
          <w:color w:val="auto"/>
          <w:sz w:val="24"/>
          <w:szCs w:val="21"/>
        </w:rPr>
        <w:t xml:space="preserve">   施工期工程悬浮物扩散影响区域鱼类早期资源年损失量</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
      <w:tblGrid>
        <w:gridCol w:w="859"/>
        <w:gridCol w:w="1253"/>
        <w:gridCol w:w="1543"/>
        <w:gridCol w:w="1152"/>
        <w:gridCol w:w="830"/>
        <w:gridCol w:w="1856"/>
        <w:gridCol w:w="1794"/>
      </w:tblGrid>
      <w:tr w14:paraId="3D28BC99">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788" w:type="dxa"/>
            <w:tcBorders>
              <w:tl2br w:val="nil"/>
              <w:tr2bl w:val="nil"/>
            </w:tcBorders>
            <w:noWrap/>
            <w:vAlign w:val="center"/>
          </w:tcPr>
          <w:p w14:paraId="78E917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影响</w:t>
            </w:r>
          </w:p>
          <w:p w14:paraId="2317A72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类型</w:t>
            </w:r>
          </w:p>
        </w:tc>
        <w:tc>
          <w:tcPr>
            <w:tcW w:w="1150" w:type="dxa"/>
            <w:tcBorders>
              <w:tl2br w:val="nil"/>
              <w:tr2bl w:val="nil"/>
            </w:tcBorders>
            <w:noWrap/>
            <w:vAlign w:val="center"/>
          </w:tcPr>
          <w:p w14:paraId="766F9C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超标倍数</w:t>
            </w:r>
          </w:p>
        </w:tc>
        <w:tc>
          <w:tcPr>
            <w:tcW w:w="1416" w:type="dxa"/>
            <w:tcBorders>
              <w:tl2br w:val="nil"/>
              <w:tr2bl w:val="nil"/>
            </w:tcBorders>
            <w:noWrap/>
            <w:vAlign w:val="center"/>
          </w:tcPr>
          <w:p w14:paraId="6B4D44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sz w:val="21"/>
                <w:szCs w:val="21"/>
              </w:rPr>
            </w:pPr>
            <w:r>
              <w:rPr>
                <w:rFonts w:hint="default" w:ascii="Times New Roman" w:hAnsi="Times New Roman" w:eastAsia="宋体"/>
                <w:b/>
                <w:bCs/>
                <w:kern w:val="0"/>
                <w:sz w:val="21"/>
                <w:szCs w:val="21"/>
              </w:rPr>
              <w:t>仔幼鱼密度(ind./100m</w:t>
            </w:r>
            <w:r>
              <w:rPr>
                <w:rFonts w:hint="default" w:ascii="Times New Roman" w:hAnsi="Times New Roman" w:eastAsia="宋体"/>
                <w:b/>
                <w:bCs/>
                <w:kern w:val="0"/>
                <w:sz w:val="21"/>
                <w:szCs w:val="21"/>
                <w:vertAlign w:val="superscript"/>
              </w:rPr>
              <w:t>3</w:t>
            </w:r>
            <w:r>
              <w:rPr>
                <w:rFonts w:hint="default" w:ascii="Times New Roman" w:hAnsi="Times New Roman" w:eastAsia="宋体"/>
                <w:b/>
                <w:bCs/>
                <w:kern w:val="0"/>
                <w:sz w:val="21"/>
                <w:szCs w:val="21"/>
              </w:rPr>
              <w:t>)</w:t>
            </w:r>
          </w:p>
        </w:tc>
        <w:tc>
          <w:tcPr>
            <w:tcW w:w="1057" w:type="dxa"/>
            <w:tcBorders>
              <w:tl2br w:val="nil"/>
              <w:tr2bl w:val="nil"/>
            </w:tcBorders>
            <w:noWrap/>
            <w:vAlign w:val="center"/>
          </w:tcPr>
          <w:p w14:paraId="3A0E977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sz w:val="21"/>
                <w:szCs w:val="21"/>
              </w:rPr>
            </w:pPr>
            <w:r>
              <w:rPr>
                <w:rFonts w:hint="default" w:ascii="Times New Roman" w:hAnsi="Times New Roman" w:eastAsia="宋体"/>
                <w:b/>
                <w:bCs/>
                <w:kern w:val="0"/>
                <w:sz w:val="21"/>
                <w:szCs w:val="21"/>
              </w:rPr>
              <w:t>体积(m</w:t>
            </w:r>
            <w:r>
              <w:rPr>
                <w:rFonts w:hint="default" w:ascii="Times New Roman" w:hAnsi="Times New Roman" w:eastAsia="宋体"/>
                <w:b/>
                <w:bCs/>
                <w:kern w:val="0"/>
                <w:sz w:val="21"/>
                <w:szCs w:val="21"/>
                <w:vertAlign w:val="superscript"/>
              </w:rPr>
              <w:t>3</w:t>
            </w:r>
            <w:r>
              <w:rPr>
                <w:rFonts w:hint="default" w:ascii="Times New Roman" w:hAnsi="Times New Roman" w:eastAsia="宋体"/>
                <w:b/>
                <w:bCs/>
                <w:kern w:val="0"/>
                <w:sz w:val="21"/>
                <w:szCs w:val="21"/>
              </w:rPr>
              <w:t>)</w:t>
            </w:r>
          </w:p>
        </w:tc>
        <w:tc>
          <w:tcPr>
            <w:tcW w:w="762" w:type="dxa"/>
            <w:tcBorders>
              <w:tl2br w:val="nil"/>
              <w:tr2bl w:val="nil"/>
            </w:tcBorders>
            <w:noWrap/>
            <w:vAlign w:val="center"/>
          </w:tcPr>
          <w:p w14:paraId="570D3E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bCs/>
                <w:kern w:val="0"/>
                <w:sz w:val="21"/>
                <w:szCs w:val="21"/>
              </w:rPr>
              <w:t>损失率</w:t>
            </w:r>
            <w:r>
              <w:rPr>
                <w:rFonts w:hint="default" w:ascii="Times New Roman" w:hAnsi="Times New Roman" w:eastAsia="宋体"/>
                <w:b/>
                <w:bCs/>
                <w:sz w:val="21"/>
                <w:szCs w:val="21"/>
              </w:rPr>
              <w:t>%</w:t>
            </w:r>
          </w:p>
        </w:tc>
        <w:tc>
          <w:tcPr>
            <w:tcW w:w="1703" w:type="dxa"/>
            <w:tcBorders>
              <w:tl2br w:val="nil"/>
              <w:tr2bl w:val="nil"/>
            </w:tcBorders>
            <w:noWrap/>
            <w:vAlign w:val="center"/>
          </w:tcPr>
          <w:p w14:paraId="09BE75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bCs/>
                <w:kern w:val="0"/>
                <w:sz w:val="21"/>
                <w:szCs w:val="21"/>
              </w:rPr>
              <w:t>一次性损失量(ind.)</w:t>
            </w:r>
          </w:p>
        </w:tc>
        <w:tc>
          <w:tcPr>
            <w:tcW w:w="1646" w:type="dxa"/>
            <w:tcBorders>
              <w:tl2br w:val="nil"/>
              <w:tr2bl w:val="nil"/>
            </w:tcBorders>
            <w:noWrap/>
            <w:vAlign w:val="center"/>
          </w:tcPr>
          <w:p w14:paraId="4B19D4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bCs/>
                <w:kern w:val="0"/>
                <w:sz w:val="21"/>
                <w:szCs w:val="21"/>
              </w:rPr>
              <w:t>施工期年损失量(ind./a)</w:t>
            </w:r>
          </w:p>
        </w:tc>
      </w:tr>
      <w:tr w14:paraId="33BB3935">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788" w:type="dxa"/>
            <w:vMerge w:val="restart"/>
            <w:tcBorders>
              <w:tl2br w:val="nil"/>
              <w:tr2bl w:val="nil"/>
            </w:tcBorders>
            <w:noWrap/>
            <w:vAlign w:val="center"/>
          </w:tcPr>
          <w:p w14:paraId="553C913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rPr>
              <w:t>保护区</w:t>
            </w:r>
            <w:r>
              <w:rPr>
                <w:rFonts w:hint="default" w:ascii="Times New Roman" w:hAnsi="Times New Roman" w:eastAsia="宋体"/>
                <w:sz w:val="21"/>
                <w:szCs w:val="21"/>
              </w:rPr>
              <w:t>施工</w:t>
            </w:r>
          </w:p>
        </w:tc>
        <w:tc>
          <w:tcPr>
            <w:tcW w:w="1150" w:type="dxa"/>
            <w:tcBorders>
              <w:tl2br w:val="nil"/>
              <w:tr2bl w:val="nil"/>
            </w:tcBorders>
            <w:noWrap/>
            <w:vAlign w:val="center"/>
          </w:tcPr>
          <w:p w14:paraId="7554DA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4-9倍</w:t>
            </w:r>
          </w:p>
        </w:tc>
        <w:tc>
          <w:tcPr>
            <w:tcW w:w="1416" w:type="dxa"/>
            <w:tcBorders>
              <w:tl2br w:val="nil"/>
              <w:tr2bl w:val="nil"/>
            </w:tcBorders>
            <w:noWrap/>
            <w:vAlign w:val="bottom"/>
          </w:tcPr>
          <w:p w14:paraId="5A9366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20 </w:t>
            </w:r>
          </w:p>
        </w:tc>
        <w:tc>
          <w:tcPr>
            <w:tcW w:w="1057" w:type="dxa"/>
            <w:tcBorders>
              <w:tl2br w:val="nil"/>
              <w:tr2bl w:val="nil"/>
            </w:tcBorders>
            <w:noWrap/>
            <w:vAlign w:val="center"/>
          </w:tcPr>
          <w:p w14:paraId="028134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93775 </w:t>
            </w:r>
          </w:p>
        </w:tc>
        <w:tc>
          <w:tcPr>
            <w:tcW w:w="762" w:type="dxa"/>
            <w:tcBorders>
              <w:tl2br w:val="nil"/>
              <w:tr2bl w:val="nil"/>
            </w:tcBorders>
            <w:noWrap/>
            <w:vAlign w:val="center"/>
          </w:tcPr>
          <w:p w14:paraId="58073F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45</w:t>
            </w:r>
          </w:p>
        </w:tc>
        <w:tc>
          <w:tcPr>
            <w:tcW w:w="1703" w:type="dxa"/>
            <w:tcBorders>
              <w:tl2br w:val="nil"/>
              <w:tr2bl w:val="nil"/>
            </w:tcBorders>
            <w:noWrap/>
            <w:vAlign w:val="center"/>
          </w:tcPr>
          <w:p w14:paraId="62E849C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8440 </w:t>
            </w:r>
          </w:p>
        </w:tc>
        <w:tc>
          <w:tcPr>
            <w:tcW w:w="1646" w:type="dxa"/>
            <w:tcBorders>
              <w:tl2br w:val="nil"/>
              <w:tr2bl w:val="nil"/>
            </w:tcBorders>
            <w:noWrap/>
            <w:vAlign w:val="center"/>
          </w:tcPr>
          <w:p w14:paraId="0122F2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205367 </w:t>
            </w:r>
          </w:p>
        </w:tc>
      </w:tr>
      <w:tr w14:paraId="4D5B3DB5">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788" w:type="dxa"/>
            <w:vMerge w:val="continue"/>
            <w:tcBorders>
              <w:tl2br w:val="nil"/>
              <w:tr2bl w:val="nil"/>
            </w:tcBorders>
            <w:noWrap/>
            <w:vAlign w:val="center"/>
          </w:tcPr>
          <w:p w14:paraId="1CEED3B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p>
        </w:tc>
        <w:tc>
          <w:tcPr>
            <w:tcW w:w="1150" w:type="dxa"/>
            <w:tcBorders>
              <w:tl2br w:val="nil"/>
              <w:tr2bl w:val="nil"/>
            </w:tcBorders>
            <w:noWrap/>
            <w:vAlign w:val="center"/>
          </w:tcPr>
          <w:p w14:paraId="225943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1-4倍</w:t>
            </w:r>
          </w:p>
        </w:tc>
        <w:tc>
          <w:tcPr>
            <w:tcW w:w="1416" w:type="dxa"/>
            <w:tcBorders>
              <w:tl2br w:val="nil"/>
              <w:tr2bl w:val="nil"/>
            </w:tcBorders>
            <w:noWrap/>
            <w:vAlign w:val="bottom"/>
          </w:tcPr>
          <w:p w14:paraId="48BC0F6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20 </w:t>
            </w:r>
          </w:p>
        </w:tc>
        <w:tc>
          <w:tcPr>
            <w:tcW w:w="1057" w:type="dxa"/>
            <w:tcBorders>
              <w:tl2br w:val="nil"/>
              <w:tr2bl w:val="nil"/>
            </w:tcBorders>
            <w:noWrap/>
            <w:vAlign w:val="center"/>
          </w:tcPr>
          <w:p w14:paraId="05661E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87725 </w:t>
            </w:r>
          </w:p>
        </w:tc>
        <w:tc>
          <w:tcPr>
            <w:tcW w:w="762" w:type="dxa"/>
            <w:tcBorders>
              <w:tl2br w:val="nil"/>
              <w:tr2bl w:val="nil"/>
            </w:tcBorders>
            <w:noWrap/>
            <w:vAlign w:val="center"/>
          </w:tcPr>
          <w:p w14:paraId="132914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25</w:t>
            </w:r>
          </w:p>
        </w:tc>
        <w:tc>
          <w:tcPr>
            <w:tcW w:w="1703" w:type="dxa"/>
            <w:tcBorders>
              <w:tl2br w:val="nil"/>
              <w:tr2bl w:val="nil"/>
            </w:tcBorders>
            <w:noWrap/>
            <w:vAlign w:val="center"/>
          </w:tcPr>
          <w:p w14:paraId="71A3B9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4386 </w:t>
            </w:r>
          </w:p>
        </w:tc>
        <w:tc>
          <w:tcPr>
            <w:tcW w:w="1646" w:type="dxa"/>
            <w:tcBorders>
              <w:tl2br w:val="nil"/>
              <w:tr2bl w:val="nil"/>
            </w:tcBorders>
            <w:noWrap/>
            <w:vAlign w:val="center"/>
          </w:tcPr>
          <w:p w14:paraId="62147C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106732 </w:t>
            </w:r>
          </w:p>
        </w:tc>
      </w:tr>
      <w:tr w14:paraId="0A50F1BE">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788" w:type="dxa"/>
            <w:vMerge w:val="continue"/>
            <w:tcBorders>
              <w:tl2br w:val="nil"/>
              <w:tr2bl w:val="nil"/>
            </w:tcBorders>
            <w:noWrap/>
            <w:vAlign w:val="center"/>
          </w:tcPr>
          <w:p w14:paraId="784CF96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p>
        </w:tc>
        <w:tc>
          <w:tcPr>
            <w:tcW w:w="1150" w:type="dxa"/>
            <w:tcBorders>
              <w:tl2br w:val="nil"/>
              <w:tr2bl w:val="nil"/>
            </w:tcBorders>
            <w:noWrap/>
            <w:vAlign w:val="center"/>
          </w:tcPr>
          <w:p w14:paraId="7A8529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1倍以下</w:t>
            </w:r>
          </w:p>
        </w:tc>
        <w:tc>
          <w:tcPr>
            <w:tcW w:w="1416" w:type="dxa"/>
            <w:tcBorders>
              <w:tl2br w:val="nil"/>
              <w:tr2bl w:val="nil"/>
            </w:tcBorders>
            <w:noWrap/>
            <w:vAlign w:val="bottom"/>
          </w:tcPr>
          <w:p w14:paraId="28A9F6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20 </w:t>
            </w:r>
          </w:p>
        </w:tc>
        <w:tc>
          <w:tcPr>
            <w:tcW w:w="1057" w:type="dxa"/>
            <w:tcBorders>
              <w:tl2br w:val="nil"/>
              <w:tr2bl w:val="nil"/>
            </w:tcBorders>
            <w:noWrap/>
            <w:vAlign w:val="center"/>
          </w:tcPr>
          <w:p w14:paraId="4C1EE4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299475 </w:t>
            </w:r>
          </w:p>
        </w:tc>
        <w:tc>
          <w:tcPr>
            <w:tcW w:w="762" w:type="dxa"/>
            <w:tcBorders>
              <w:tl2br w:val="nil"/>
              <w:tr2bl w:val="nil"/>
            </w:tcBorders>
            <w:noWrap/>
            <w:vAlign w:val="center"/>
          </w:tcPr>
          <w:p w14:paraId="146B34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5</w:t>
            </w:r>
          </w:p>
        </w:tc>
        <w:tc>
          <w:tcPr>
            <w:tcW w:w="1703" w:type="dxa"/>
            <w:tcBorders>
              <w:tl2br w:val="nil"/>
              <w:tr2bl w:val="nil"/>
            </w:tcBorders>
            <w:noWrap/>
            <w:vAlign w:val="center"/>
          </w:tcPr>
          <w:p w14:paraId="405E760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2995 </w:t>
            </w:r>
          </w:p>
        </w:tc>
        <w:tc>
          <w:tcPr>
            <w:tcW w:w="1646" w:type="dxa"/>
            <w:tcBorders>
              <w:tl2br w:val="nil"/>
              <w:tr2bl w:val="nil"/>
            </w:tcBorders>
            <w:noWrap/>
            <w:vAlign w:val="center"/>
          </w:tcPr>
          <w:p w14:paraId="275059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72872 </w:t>
            </w:r>
          </w:p>
        </w:tc>
      </w:tr>
      <w:tr w14:paraId="1A83F0E2">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5173" w:type="dxa"/>
            <w:gridSpan w:val="5"/>
            <w:tcBorders>
              <w:tl2br w:val="nil"/>
              <w:tr2bl w:val="nil"/>
            </w:tcBorders>
            <w:noWrap/>
            <w:vAlign w:val="center"/>
          </w:tcPr>
          <w:p w14:paraId="3355F5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合计</w:t>
            </w:r>
          </w:p>
        </w:tc>
        <w:tc>
          <w:tcPr>
            <w:tcW w:w="1703" w:type="dxa"/>
            <w:tcBorders>
              <w:tl2br w:val="nil"/>
              <w:tr2bl w:val="nil"/>
            </w:tcBorders>
            <w:noWrap/>
            <w:vAlign w:val="center"/>
          </w:tcPr>
          <w:p w14:paraId="0F008A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
                <w:bCs/>
                <w:color w:val="000000"/>
                <w:kern w:val="0"/>
                <w:sz w:val="21"/>
                <w:szCs w:val="21"/>
                <w:lang w:bidi="ar"/>
              </w:rPr>
            </w:pPr>
            <w:r>
              <w:rPr>
                <w:rFonts w:hint="default" w:ascii="Times New Roman" w:hAnsi="Times New Roman" w:eastAsia="宋体"/>
                <w:b/>
                <w:bCs/>
                <w:color w:val="000000"/>
                <w:kern w:val="0"/>
                <w:sz w:val="21"/>
                <w:szCs w:val="21"/>
                <w:lang w:bidi="ar"/>
              </w:rPr>
              <w:t xml:space="preserve">15821 </w:t>
            </w:r>
          </w:p>
        </w:tc>
        <w:tc>
          <w:tcPr>
            <w:tcW w:w="1646" w:type="dxa"/>
            <w:tcBorders>
              <w:tl2br w:val="nil"/>
              <w:tr2bl w:val="nil"/>
            </w:tcBorders>
            <w:noWrap/>
            <w:vAlign w:val="center"/>
          </w:tcPr>
          <w:p w14:paraId="58DEA1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
                <w:bCs/>
                <w:color w:val="000000"/>
                <w:kern w:val="0"/>
                <w:sz w:val="21"/>
                <w:szCs w:val="21"/>
                <w:lang w:bidi="ar"/>
              </w:rPr>
            </w:pPr>
            <w:r>
              <w:rPr>
                <w:rFonts w:hint="default" w:ascii="Times New Roman" w:hAnsi="Times New Roman" w:eastAsia="宋体"/>
                <w:b/>
                <w:bCs/>
                <w:color w:val="000000"/>
                <w:kern w:val="0"/>
                <w:sz w:val="21"/>
                <w:szCs w:val="21"/>
                <w:lang w:bidi="ar"/>
              </w:rPr>
              <w:t xml:space="preserve">384972 </w:t>
            </w:r>
          </w:p>
        </w:tc>
      </w:tr>
    </w:tbl>
    <w:p w14:paraId="098854C2">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根据</w:t>
      </w:r>
      <w:r>
        <w:rPr>
          <w:rFonts w:hint="eastAsia" w:ascii="Times New Roman" w:hAnsi="Times New Roman" w:eastAsia="宋体"/>
          <w:sz w:val="24"/>
          <w:szCs w:val="28"/>
          <w:lang w:eastAsia="zh-CN"/>
        </w:rPr>
        <w:t>5.2.6</w:t>
      </w:r>
      <w:r>
        <w:rPr>
          <w:rFonts w:ascii="Times New Roman" w:hAnsi="Times New Roman" w:eastAsia="宋体"/>
          <w:sz w:val="24"/>
          <w:szCs w:val="28"/>
        </w:rPr>
        <w:t>.3.1节所述资源损失计算公式，施工临时占用保护区水域造成鱼类早期资源年损失量为</w:t>
      </w:r>
      <w:r>
        <w:rPr>
          <w:rFonts w:hint="eastAsia" w:ascii="Times New Roman" w:hAnsi="Times New Roman" w:eastAsia="宋体"/>
          <w:sz w:val="24"/>
          <w:szCs w:val="28"/>
        </w:rPr>
        <w:t>980 ind./a</w:t>
      </w:r>
      <w:r>
        <w:rPr>
          <w:rFonts w:ascii="Times New Roman" w:hAnsi="Times New Roman" w:eastAsia="宋体"/>
          <w:sz w:val="24"/>
          <w:szCs w:val="28"/>
        </w:rPr>
        <w:t>。</w:t>
      </w:r>
    </w:p>
    <w:p w14:paraId="5009C137">
      <w:pPr>
        <w:adjustRightInd/>
        <w:snapToGrid/>
        <w:spacing w:line="400" w:lineRule="exact"/>
        <w:ind w:firstLine="0" w:firstLineChars="0"/>
        <w:jc w:val="center"/>
        <w:rPr>
          <w:rFonts w:hint="eastAsia" w:eastAsia="黑体"/>
          <w:color w:val="auto"/>
          <w:sz w:val="24"/>
          <w:szCs w:val="21"/>
        </w:rPr>
      </w:pPr>
      <w:r>
        <w:rPr>
          <w:rFonts w:hint="eastAsia" w:eastAsia="黑体"/>
          <w:color w:val="auto"/>
          <w:sz w:val="24"/>
          <w:szCs w:val="21"/>
        </w:rPr>
        <w:t>表</w:t>
      </w:r>
      <w:r>
        <w:rPr>
          <w:rFonts w:hint="eastAsia" w:eastAsia="黑体"/>
          <w:color w:val="auto"/>
          <w:sz w:val="24"/>
          <w:szCs w:val="21"/>
          <w:lang w:eastAsia="zh-CN"/>
        </w:rPr>
        <w:t>5.2</w:t>
      </w:r>
      <w:r>
        <w:rPr>
          <w:rFonts w:hint="eastAsia" w:eastAsia="黑体"/>
          <w:color w:val="auto"/>
          <w:sz w:val="24"/>
          <w:szCs w:val="21"/>
          <w:lang w:val="en-US" w:eastAsia="zh-CN"/>
        </w:rPr>
        <w:t>-25</w:t>
      </w:r>
      <w:r>
        <w:rPr>
          <w:rFonts w:hint="eastAsia" w:eastAsia="黑体"/>
          <w:color w:val="auto"/>
          <w:sz w:val="24"/>
          <w:szCs w:val="21"/>
        </w:rPr>
        <w:t xml:space="preserve">   施工期工程影响区域鱼类早期资源年损失量</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
      <w:tblGrid>
        <w:gridCol w:w="1330"/>
        <w:gridCol w:w="2586"/>
        <w:gridCol w:w="1787"/>
        <w:gridCol w:w="1284"/>
        <w:gridCol w:w="2300"/>
      </w:tblGrid>
      <w:tr w14:paraId="76DE4EDB">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220" w:type="dxa"/>
            <w:tcBorders>
              <w:tl2br w:val="nil"/>
              <w:tr2bl w:val="nil"/>
            </w:tcBorders>
            <w:noWrap/>
            <w:vAlign w:val="center"/>
          </w:tcPr>
          <w:p w14:paraId="2BF22A1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kern w:val="0"/>
                <w:sz w:val="21"/>
                <w:szCs w:val="21"/>
              </w:rPr>
            </w:pPr>
            <w:r>
              <w:rPr>
                <w:rFonts w:hint="default" w:ascii="Times New Roman" w:hAnsi="Times New Roman" w:eastAsia="宋体"/>
                <w:b/>
                <w:bCs/>
                <w:kern w:val="0"/>
                <w:sz w:val="21"/>
                <w:szCs w:val="21"/>
              </w:rPr>
              <w:t>影响类型</w:t>
            </w:r>
          </w:p>
        </w:tc>
        <w:tc>
          <w:tcPr>
            <w:tcW w:w="2373" w:type="dxa"/>
            <w:tcBorders>
              <w:tl2br w:val="nil"/>
              <w:tr2bl w:val="nil"/>
            </w:tcBorders>
            <w:noWrap/>
            <w:vAlign w:val="center"/>
          </w:tcPr>
          <w:p w14:paraId="48D5E3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sz w:val="21"/>
                <w:szCs w:val="21"/>
              </w:rPr>
            </w:pPr>
            <w:r>
              <w:rPr>
                <w:rFonts w:hint="default" w:ascii="Times New Roman" w:hAnsi="Times New Roman" w:eastAsia="宋体"/>
                <w:b/>
                <w:bCs/>
                <w:kern w:val="0"/>
                <w:sz w:val="21"/>
                <w:szCs w:val="21"/>
              </w:rPr>
              <w:t>仔幼鱼密度(ind./100m</w:t>
            </w:r>
            <w:r>
              <w:rPr>
                <w:rFonts w:hint="default" w:ascii="Times New Roman" w:hAnsi="Times New Roman" w:eastAsia="宋体"/>
                <w:b/>
                <w:bCs/>
                <w:kern w:val="0"/>
                <w:sz w:val="21"/>
                <w:szCs w:val="21"/>
                <w:vertAlign w:val="superscript"/>
              </w:rPr>
              <w:t>3</w:t>
            </w:r>
            <w:r>
              <w:rPr>
                <w:rFonts w:hint="default" w:ascii="Times New Roman" w:hAnsi="Times New Roman" w:eastAsia="宋体"/>
                <w:b/>
                <w:bCs/>
                <w:kern w:val="0"/>
                <w:sz w:val="21"/>
                <w:szCs w:val="21"/>
              </w:rPr>
              <w:t>)</w:t>
            </w:r>
          </w:p>
        </w:tc>
        <w:tc>
          <w:tcPr>
            <w:tcW w:w="1640" w:type="dxa"/>
            <w:tcBorders>
              <w:tl2br w:val="nil"/>
              <w:tr2bl w:val="nil"/>
            </w:tcBorders>
            <w:noWrap/>
            <w:vAlign w:val="center"/>
          </w:tcPr>
          <w:p w14:paraId="4E1342F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sz w:val="21"/>
                <w:szCs w:val="21"/>
              </w:rPr>
            </w:pPr>
            <w:r>
              <w:rPr>
                <w:rFonts w:hint="default" w:ascii="Times New Roman" w:hAnsi="Times New Roman" w:eastAsia="宋体"/>
                <w:b/>
                <w:bCs/>
                <w:sz w:val="21"/>
                <w:szCs w:val="21"/>
              </w:rPr>
              <w:t>体积(m</w:t>
            </w:r>
            <w:r>
              <w:rPr>
                <w:rFonts w:hint="default" w:ascii="Times New Roman" w:hAnsi="Times New Roman" w:eastAsia="宋体"/>
                <w:b/>
                <w:bCs/>
                <w:sz w:val="21"/>
                <w:szCs w:val="21"/>
                <w:vertAlign w:val="superscript"/>
              </w:rPr>
              <w:t>3</w:t>
            </w:r>
            <w:r>
              <w:rPr>
                <w:rFonts w:hint="default" w:ascii="Times New Roman" w:hAnsi="Times New Roman" w:eastAsia="宋体"/>
                <w:b/>
                <w:bCs/>
                <w:sz w:val="21"/>
                <w:szCs w:val="21"/>
              </w:rPr>
              <w:t>)</w:t>
            </w:r>
          </w:p>
        </w:tc>
        <w:tc>
          <w:tcPr>
            <w:tcW w:w="1178" w:type="dxa"/>
            <w:tcBorders>
              <w:tl2br w:val="nil"/>
              <w:tr2bl w:val="nil"/>
            </w:tcBorders>
            <w:noWrap/>
            <w:vAlign w:val="center"/>
          </w:tcPr>
          <w:p w14:paraId="23410F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kern w:val="0"/>
                <w:sz w:val="21"/>
                <w:szCs w:val="21"/>
              </w:rPr>
            </w:pPr>
            <w:r>
              <w:rPr>
                <w:rFonts w:hint="default" w:ascii="Times New Roman" w:hAnsi="Times New Roman" w:eastAsia="宋体"/>
                <w:b/>
                <w:bCs/>
                <w:kern w:val="0"/>
                <w:sz w:val="21"/>
                <w:szCs w:val="21"/>
              </w:rPr>
              <w:t>损失率</w:t>
            </w:r>
            <w:r>
              <w:rPr>
                <w:rFonts w:hint="default" w:ascii="Times New Roman" w:hAnsi="Times New Roman" w:eastAsia="宋体"/>
                <w:b/>
                <w:bCs/>
                <w:sz w:val="21"/>
                <w:szCs w:val="21"/>
              </w:rPr>
              <w:t>%</w:t>
            </w:r>
          </w:p>
        </w:tc>
        <w:tc>
          <w:tcPr>
            <w:tcW w:w="2111" w:type="dxa"/>
            <w:tcBorders>
              <w:tl2br w:val="nil"/>
              <w:tr2bl w:val="nil"/>
            </w:tcBorders>
            <w:noWrap/>
            <w:vAlign w:val="center"/>
          </w:tcPr>
          <w:p w14:paraId="3DE9DA4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kern w:val="0"/>
                <w:sz w:val="21"/>
                <w:szCs w:val="21"/>
              </w:rPr>
            </w:pPr>
            <w:r>
              <w:rPr>
                <w:rFonts w:hint="default" w:ascii="Times New Roman" w:hAnsi="Times New Roman" w:eastAsia="宋体"/>
                <w:b/>
                <w:bCs/>
                <w:kern w:val="0"/>
                <w:sz w:val="21"/>
                <w:szCs w:val="21"/>
              </w:rPr>
              <w:t>损失量(ind./a)</w:t>
            </w:r>
          </w:p>
        </w:tc>
      </w:tr>
      <w:tr w14:paraId="5EDF7E8C">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220" w:type="dxa"/>
            <w:tcBorders>
              <w:tl2br w:val="nil"/>
              <w:tr2bl w:val="nil"/>
            </w:tcBorders>
            <w:noWrap/>
            <w:vAlign w:val="center"/>
          </w:tcPr>
          <w:p w14:paraId="19822A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临时占用</w:t>
            </w:r>
          </w:p>
        </w:tc>
        <w:tc>
          <w:tcPr>
            <w:tcW w:w="2373" w:type="dxa"/>
            <w:tcBorders>
              <w:tl2br w:val="nil"/>
              <w:tr2bl w:val="nil"/>
            </w:tcBorders>
            <w:noWrap/>
            <w:vAlign w:val="center"/>
          </w:tcPr>
          <w:p w14:paraId="355F562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20</w:t>
            </w:r>
          </w:p>
        </w:tc>
        <w:tc>
          <w:tcPr>
            <w:tcW w:w="1640" w:type="dxa"/>
            <w:tcBorders>
              <w:tl2br w:val="nil"/>
              <w:tr2bl w:val="nil"/>
            </w:tcBorders>
            <w:noWrap/>
            <w:vAlign w:val="center"/>
          </w:tcPr>
          <w:p w14:paraId="4E6643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4900</w:t>
            </w:r>
          </w:p>
        </w:tc>
        <w:tc>
          <w:tcPr>
            <w:tcW w:w="1178" w:type="dxa"/>
            <w:tcBorders>
              <w:tl2br w:val="nil"/>
              <w:tr2bl w:val="nil"/>
            </w:tcBorders>
            <w:noWrap/>
            <w:vAlign w:val="center"/>
          </w:tcPr>
          <w:p w14:paraId="565F32C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100</w:t>
            </w:r>
          </w:p>
        </w:tc>
        <w:tc>
          <w:tcPr>
            <w:tcW w:w="2111" w:type="dxa"/>
            <w:tcBorders>
              <w:tl2br w:val="nil"/>
              <w:tr2bl w:val="nil"/>
            </w:tcBorders>
            <w:noWrap/>
            <w:vAlign w:val="center"/>
          </w:tcPr>
          <w:p w14:paraId="737AF4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980</w:t>
            </w:r>
          </w:p>
        </w:tc>
      </w:tr>
    </w:tbl>
    <w:p w14:paraId="71D2254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r>
        <w:rPr>
          <w:rFonts w:hint="eastAsia" w:ascii="Times New Roman" w:hAnsi="Times New Roman" w:eastAsia="宋体"/>
          <w:b/>
          <w:bCs/>
          <w:sz w:val="24"/>
          <w:szCs w:val="24"/>
          <w:lang w:eastAsia="zh-CN"/>
        </w:rPr>
        <w:t>5.2.6.4.2 运营期</w:t>
      </w:r>
    </w:p>
    <w:p w14:paraId="1C03AC7A">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根据</w:t>
      </w:r>
      <w:r>
        <w:rPr>
          <w:rFonts w:hint="eastAsia" w:ascii="Times New Roman" w:hAnsi="Times New Roman" w:eastAsia="宋体"/>
          <w:sz w:val="24"/>
          <w:szCs w:val="28"/>
          <w:lang w:eastAsia="zh-CN"/>
        </w:rPr>
        <w:t>5.2.6</w:t>
      </w:r>
      <w:r>
        <w:rPr>
          <w:rFonts w:ascii="Times New Roman" w:hAnsi="Times New Roman" w:eastAsia="宋体"/>
          <w:sz w:val="24"/>
          <w:szCs w:val="28"/>
        </w:rPr>
        <w:t>.3.1节所述资源损失计算公式，运营期水工构筑物长期占用保护区水域造成鱼类早期资源年损失量为10289 ind./a。</w:t>
      </w:r>
    </w:p>
    <w:p w14:paraId="78C03A7F">
      <w:pPr>
        <w:adjustRightInd/>
        <w:snapToGrid/>
        <w:spacing w:line="400" w:lineRule="exact"/>
        <w:ind w:firstLine="0" w:firstLineChars="0"/>
        <w:jc w:val="center"/>
        <w:rPr>
          <w:rFonts w:hint="eastAsia" w:eastAsia="黑体"/>
          <w:color w:val="auto"/>
          <w:sz w:val="24"/>
          <w:szCs w:val="21"/>
        </w:rPr>
      </w:pPr>
      <w:r>
        <w:rPr>
          <w:rFonts w:hint="eastAsia" w:eastAsia="黑体"/>
          <w:color w:val="auto"/>
          <w:sz w:val="24"/>
          <w:szCs w:val="21"/>
        </w:rPr>
        <w:t>表</w:t>
      </w:r>
      <w:r>
        <w:rPr>
          <w:rFonts w:hint="eastAsia" w:eastAsia="黑体"/>
          <w:color w:val="auto"/>
          <w:sz w:val="24"/>
          <w:szCs w:val="21"/>
          <w:lang w:eastAsia="zh-CN"/>
        </w:rPr>
        <w:t>5.2</w:t>
      </w:r>
      <w:r>
        <w:rPr>
          <w:rFonts w:hint="eastAsia" w:eastAsia="黑体"/>
          <w:color w:val="auto"/>
          <w:sz w:val="24"/>
          <w:szCs w:val="21"/>
          <w:lang w:val="en-US" w:eastAsia="zh-CN"/>
        </w:rPr>
        <w:t>-26</w:t>
      </w:r>
      <w:r>
        <w:rPr>
          <w:rFonts w:hint="eastAsia" w:eastAsia="黑体"/>
          <w:color w:val="auto"/>
          <w:sz w:val="24"/>
          <w:szCs w:val="21"/>
        </w:rPr>
        <w:t xml:space="preserve">   运营期工程影响区域鱼类早期资源年损失量</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
      <w:tblGrid>
        <w:gridCol w:w="1289"/>
        <w:gridCol w:w="2586"/>
        <w:gridCol w:w="1801"/>
        <w:gridCol w:w="1290"/>
        <w:gridCol w:w="2320"/>
      </w:tblGrid>
      <w:tr w14:paraId="7C16C65E">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183" w:type="dxa"/>
            <w:tcBorders>
              <w:tl2br w:val="nil"/>
              <w:tr2bl w:val="nil"/>
            </w:tcBorders>
            <w:noWrap/>
            <w:vAlign w:val="center"/>
          </w:tcPr>
          <w:p w14:paraId="752BC8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kern w:val="0"/>
                <w:sz w:val="21"/>
                <w:szCs w:val="21"/>
              </w:rPr>
            </w:pPr>
            <w:r>
              <w:rPr>
                <w:rFonts w:hint="default" w:ascii="Times New Roman" w:hAnsi="Times New Roman" w:eastAsia="宋体"/>
                <w:b/>
                <w:bCs/>
                <w:kern w:val="0"/>
                <w:sz w:val="21"/>
                <w:szCs w:val="21"/>
              </w:rPr>
              <w:t>影响类型</w:t>
            </w:r>
          </w:p>
        </w:tc>
        <w:tc>
          <w:tcPr>
            <w:tcW w:w="2373" w:type="dxa"/>
            <w:tcBorders>
              <w:tl2br w:val="nil"/>
              <w:tr2bl w:val="nil"/>
            </w:tcBorders>
            <w:noWrap/>
            <w:vAlign w:val="center"/>
          </w:tcPr>
          <w:p w14:paraId="39E92A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sz w:val="21"/>
                <w:szCs w:val="21"/>
              </w:rPr>
            </w:pPr>
            <w:r>
              <w:rPr>
                <w:rFonts w:hint="default" w:ascii="Times New Roman" w:hAnsi="Times New Roman" w:eastAsia="宋体"/>
                <w:b/>
                <w:bCs/>
                <w:kern w:val="0"/>
                <w:sz w:val="21"/>
                <w:szCs w:val="21"/>
              </w:rPr>
              <w:t>仔幼鱼密度(ind./100m</w:t>
            </w:r>
            <w:r>
              <w:rPr>
                <w:rFonts w:hint="default" w:ascii="Times New Roman" w:hAnsi="Times New Roman" w:eastAsia="宋体"/>
                <w:b/>
                <w:bCs/>
                <w:kern w:val="0"/>
                <w:sz w:val="21"/>
                <w:szCs w:val="21"/>
                <w:vertAlign w:val="superscript"/>
              </w:rPr>
              <w:t>3</w:t>
            </w:r>
            <w:r>
              <w:rPr>
                <w:rFonts w:hint="default" w:ascii="Times New Roman" w:hAnsi="Times New Roman" w:eastAsia="宋体"/>
                <w:b/>
                <w:bCs/>
                <w:kern w:val="0"/>
                <w:sz w:val="21"/>
                <w:szCs w:val="21"/>
              </w:rPr>
              <w:t>)</w:t>
            </w:r>
          </w:p>
        </w:tc>
        <w:tc>
          <w:tcPr>
            <w:tcW w:w="1653" w:type="dxa"/>
            <w:tcBorders>
              <w:tl2br w:val="nil"/>
              <w:tr2bl w:val="nil"/>
            </w:tcBorders>
            <w:noWrap/>
            <w:vAlign w:val="center"/>
          </w:tcPr>
          <w:p w14:paraId="299605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sz w:val="21"/>
                <w:szCs w:val="21"/>
              </w:rPr>
            </w:pPr>
            <w:r>
              <w:rPr>
                <w:rFonts w:hint="default" w:ascii="Times New Roman" w:hAnsi="Times New Roman" w:eastAsia="宋体"/>
                <w:b/>
                <w:bCs/>
                <w:sz w:val="21"/>
                <w:szCs w:val="21"/>
              </w:rPr>
              <w:t>体积(m</w:t>
            </w:r>
            <w:r>
              <w:rPr>
                <w:rFonts w:hint="default" w:ascii="Times New Roman" w:hAnsi="Times New Roman" w:eastAsia="宋体"/>
                <w:b/>
                <w:bCs/>
                <w:sz w:val="21"/>
                <w:szCs w:val="21"/>
                <w:vertAlign w:val="superscript"/>
              </w:rPr>
              <w:t>3</w:t>
            </w:r>
            <w:r>
              <w:rPr>
                <w:rFonts w:hint="default" w:ascii="Times New Roman" w:hAnsi="Times New Roman" w:eastAsia="宋体"/>
                <w:b/>
                <w:bCs/>
                <w:sz w:val="21"/>
                <w:szCs w:val="21"/>
              </w:rPr>
              <w:t>)</w:t>
            </w:r>
          </w:p>
        </w:tc>
        <w:tc>
          <w:tcPr>
            <w:tcW w:w="1184" w:type="dxa"/>
            <w:tcBorders>
              <w:tl2br w:val="nil"/>
              <w:tr2bl w:val="nil"/>
            </w:tcBorders>
            <w:noWrap/>
            <w:vAlign w:val="center"/>
          </w:tcPr>
          <w:p w14:paraId="4960744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kern w:val="0"/>
                <w:sz w:val="21"/>
                <w:szCs w:val="21"/>
              </w:rPr>
            </w:pPr>
            <w:r>
              <w:rPr>
                <w:rFonts w:hint="default" w:ascii="Times New Roman" w:hAnsi="Times New Roman" w:eastAsia="宋体"/>
                <w:b/>
                <w:bCs/>
                <w:kern w:val="0"/>
                <w:sz w:val="21"/>
                <w:szCs w:val="21"/>
              </w:rPr>
              <w:t>损失率</w:t>
            </w:r>
            <w:r>
              <w:rPr>
                <w:rFonts w:hint="default" w:ascii="Times New Roman" w:hAnsi="Times New Roman" w:eastAsia="宋体"/>
                <w:b/>
                <w:bCs/>
                <w:sz w:val="21"/>
                <w:szCs w:val="21"/>
              </w:rPr>
              <w:t>%</w:t>
            </w:r>
          </w:p>
        </w:tc>
        <w:tc>
          <w:tcPr>
            <w:tcW w:w="2129" w:type="dxa"/>
            <w:tcBorders>
              <w:tl2br w:val="nil"/>
              <w:tr2bl w:val="nil"/>
            </w:tcBorders>
            <w:noWrap/>
            <w:vAlign w:val="center"/>
          </w:tcPr>
          <w:p w14:paraId="7C55A1E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kern w:val="0"/>
                <w:sz w:val="21"/>
                <w:szCs w:val="21"/>
              </w:rPr>
            </w:pPr>
            <w:r>
              <w:rPr>
                <w:rFonts w:hint="default" w:ascii="Times New Roman" w:hAnsi="Times New Roman" w:eastAsia="宋体"/>
                <w:b/>
                <w:bCs/>
                <w:kern w:val="0"/>
                <w:sz w:val="21"/>
                <w:szCs w:val="21"/>
              </w:rPr>
              <w:t>年损失量(ind./a)</w:t>
            </w:r>
          </w:p>
        </w:tc>
      </w:tr>
      <w:tr w14:paraId="13D0FD3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183" w:type="dxa"/>
            <w:tcBorders>
              <w:tl2br w:val="nil"/>
              <w:tr2bl w:val="nil"/>
            </w:tcBorders>
            <w:noWrap/>
            <w:vAlign w:val="center"/>
          </w:tcPr>
          <w:p w14:paraId="5DE69D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长期占用</w:t>
            </w:r>
          </w:p>
        </w:tc>
        <w:tc>
          <w:tcPr>
            <w:tcW w:w="2373" w:type="dxa"/>
            <w:tcBorders>
              <w:tl2br w:val="nil"/>
              <w:tr2bl w:val="nil"/>
            </w:tcBorders>
            <w:noWrap/>
            <w:vAlign w:val="center"/>
          </w:tcPr>
          <w:p w14:paraId="7FB8CA3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20</w:t>
            </w:r>
          </w:p>
        </w:tc>
        <w:tc>
          <w:tcPr>
            <w:tcW w:w="1653" w:type="dxa"/>
            <w:tcBorders>
              <w:tl2br w:val="nil"/>
              <w:tr2bl w:val="nil"/>
            </w:tcBorders>
            <w:noWrap/>
            <w:vAlign w:val="center"/>
          </w:tcPr>
          <w:p w14:paraId="5B0AC9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51445</w:t>
            </w:r>
          </w:p>
        </w:tc>
        <w:tc>
          <w:tcPr>
            <w:tcW w:w="1184" w:type="dxa"/>
            <w:tcBorders>
              <w:tl2br w:val="nil"/>
              <w:tr2bl w:val="nil"/>
            </w:tcBorders>
            <w:noWrap/>
            <w:vAlign w:val="center"/>
          </w:tcPr>
          <w:p w14:paraId="52829AF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100</w:t>
            </w:r>
          </w:p>
        </w:tc>
        <w:tc>
          <w:tcPr>
            <w:tcW w:w="2129" w:type="dxa"/>
            <w:tcBorders>
              <w:tl2br w:val="nil"/>
              <w:tr2bl w:val="nil"/>
            </w:tcBorders>
            <w:noWrap/>
            <w:vAlign w:val="center"/>
          </w:tcPr>
          <w:p w14:paraId="0894711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10289</w:t>
            </w:r>
          </w:p>
        </w:tc>
      </w:tr>
    </w:tbl>
    <w:p w14:paraId="5194DBC0">
      <w:pPr>
        <w:keepNext/>
        <w:keepLines/>
        <w:widowControl w:val="0"/>
        <w:numPr>
          <w:ilvl w:val="0"/>
          <w:numId w:val="0"/>
        </w:numPr>
        <w:adjustRightInd/>
        <w:snapToGrid/>
        <w:spacing w:line="360" w:lineRule="auto"/>
        <w:ind w:firstLine="0" w:firstLineChars="0"/>
        <w:jc w:val="both"/>
        <w:outlineLvl w:val="3"/>
        <w:rPr>
          <w:rFonts w:hint="eastAsia" w:ascii="Times New Roman" w:hAnsi="Times New Roman" w:eastAsia="黑体" w:cs="Times New Roman"/>
          <w:bCs/>
          <w:color w:val="auto"/>
          <w:kern w:val="2"/>
          <w:sz w:val="24"/>
          <w:szCs w:val="28"/>
          <w:lang w:val="en-US" w:eastAsia="zh-CN" w:bidi="ar-SA"/>
        </w:rPr>
      </w:pPr>
      <w:bookmarkStart w:id="239" w:name="_Toc463620413"/>
      <w:bookmarkStart w:id="240" w:name="_Toc459587372"/>
      <w:bookmarkStart w:id="241" w:name="_Toc459251243"/>
      <w:bookmarkStart w:id="242" w:name="_Toc471349346"/>
      <w:bookmarkStart w:id="243" w:name="_Toc472830510"/>
      <w:bookmarkStart w:id="244" w:name="_Toc472229765"/>
      <w:bookmarkStart w:id="245" w:name="_Toc468175614"/>
      <w:r>
        <w:rPr>
          <w:rFonts w:hint="eastAsia" w:ascii="Times New Roman" w:hAnsi="Times New Roman" w:eastAsia="黑体" w:cs="Times New Roman"/>
          <w:bCs/>
          <w:color w:val="auto"/>
          <w:kern w:val="2"/>
          <w:sz w:val="24"/>
          <w:szCs w:val="28"/>
          <w:lang w:val="en-US" w:eastAsia="zh-CN" w:bidi="ar-SA"/>
        </w:rPr>
        <w:t>5.2.6.5 对鱼类仔幼鱼庇护与生长的影响</w:t>
      </w:r>
      <w:bookmarkEnd w:id="239"/>
      <w:bookmarkEnd w:id="240"/>
      <w:bookmarkEnd w:id="241"/>
      <w:bookmarkEnd w:id="242"/>
      <w:bookmarkEnd w:id="243"/>
      <w:bookmarkEnd w:id="244"/>
      <w:bookmarkEnd w:id="245"/>
    </w:p>
    <w:p w14:paraId="1C6622C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r>
        <w:rPr>
          <w:rFonts w:hint="eastAsia" w:ascii="Times New Roman" w:hAnsi="Times New Roman" w:eastAsia="宋体"/>
          <w:b/>
          <w:bCs/>
          <w:sz w:val="24"/>
          <w:szCs w:val="24"/>
          <w:lang w:eastAsia="zh-CN"/>
        </w:rPr>
        <w:t>5.2.6.5.1 施工期</w:t>
      </w:r>
    </w:p>
    <w:p w14:paraId="41C5B623">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同</w:t>
      </w:r>
      <w:r>
        <w:rPr>
          <w:rFonts w:hint="eastAsia" w:ascii="Times New Roman" w:hAnsi="Times New Roman" w:eastAsia="宋体"/>
          <w:sz w:val="24"/>
          <w:szCs w:val="28"/>
          <w:lang w:eastAsia="zh-CN"/>
        </w:rPr>
        <w:t>5.2.6</w:t>
      </w:r>
      <w:r>
        <w:rPr>
          <w:rFonts w:ascii="Times New Roman" w:hAnsi="Times New Roman" w:eastAsia="宋体"/>
          <w:sz w:val="24"/>
          <w:szCs w:val="28"/>
        </w:rPr>
        <w:t>.1.1节所述，施工期间，港池开挖、护坡、码头基础等施工内容短时间内会造成江段水质恶化，改变施工水域水体沉积物的空间异质性，破坏鱼类原有的栖息地条件。在悬浮物扩散影响水域内，鱼类仔幼鱼的正常生长和生存将受到影响；同时，部分对悬浮物浓度耐受性低的水生维管植物将死亡，浮游植物、浮游动物等饵料生物的密度将降低，从而间接影响鱼类仔幼鱼的庇护和生长。</w:t>
      </w:r>
    </w:p>
    <w:p w14:paraId="5332C6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r>
        <w:rPr>
          <w:rFonts w:hint="eastAsia" w:ascii="Times New Roman" w:hAnsi="Times New Roman" w:eastAsia="宋体"/>
          <w:b/>
          <w:bCs/>
          <w:sz w:val="24"/>
          <w:szCs w:val="24"/>
          <w:lang w:eastAsia="zh-CN"/>
        </w:rPr>
        <w:t>5.2.6.5.2 运营期</w:t>
      </w:r>
    </w:p>
    <w:p w14:paraId="34F5D2C5">
      <w:pPr>
        <w:adjustRightInd w:val="0"/>
        <w:snapToGrid w:val="0"/>
        <w:spacing w:line="360" w:lineRule="auto"/>
        <w:ind w:firstLine="480" w:firstLineChars="200"/>
        <w:rPr>
          <w:rFonts w:ascii="Times New Roman" w:hAnsi="Times New Roman" w:eastAsia="宋体"/>
          <w:b/>
          <w:bCs/>
          <w:sz w:val="24"/>
          <w:szCs w:val="28"/>
        </w:rPr>
      </w:pPr>
      <w:r>
        <w:rPr>
          <w:rFonts w:ascii="Times New Roman" w:hAnsi="Times New Roman" w:eastAsia="宋体"/>
          <w:sz w:val="24"/>
          <w:szCs w:val="28"/>
        </w:rPr>
        <w:t>同</w:t>
      </w:r>
      <w:r>
        <w:rPr>
          <w:rFonts w:hint="eastAsia" w:ascii="Times New Roman" w:hAnsi="Times New Roman" w:eastAsia="宋体"/>
          <w:sz w:val="24"/>
          <w:szCs w:val="28"/>
          <w:lang w:eastAsia="zh-CN"/>
        </w:rPr>
        <w:t>5.2.6</w:t>
      </w:r>
      <w:r>
        <w:rPr>
          <w:rFonts w:ascii="Times New Roman" w:hAnsi="Times New Roman" w:eastAsia="宋体"/>
          <w:sz w:val="24"/>
          <w:szCs w:val="28"/>
        </w:rPr>
        <w:t>.1.2节所述，运营期内，码头、护坡及接岸道路构筑物长期占用保护区面积合计为1.03 hm</w:t>
      </w:r>
      <w:r>
        <w:rPr>
          <w:rFonts w:ascii="Times New Roman" w:hAnsi="Times New Roman" w:eastAsia="宋体"/>
          <w:sz w:val="24"/>
          <w:szCs w:val="28"/>
          <w:vertAlign w:val="superscript"/>
        </w:rPr>
        <w:t>2</w:t>
      </w:r>
      <w:r>
        <w:rPr>
          <w:rFonts w:ascii="Times New Roman" w:hAnsi="Times New Roman" w:eastAsia="宋体"/>
          <w:sz w:val="24"/>
          <w:szCs w:val="28"/>
        </w:rPr>
        <w:t>，均位于保护区实验区，约占保护区总面积的1‰。占用水域内的水生维管植物将消失，浮游动物、浮游植物、底栖动物资源将不同程度地下降，但因码头为高桩梁板式透空结构，仍存在水体交换，总体损失量有限。工程运营期鱼类仔幼鱼庇护与生长场所将减少，但因长期占用水域占保护区总面积的比例较小，</w:t>
      </w:r>
      <w:r>
        <w:rPr>
          <w:rFonts w:ascii="Times New Roman" w:hAnsi="Times New Roman" w:eastAsia="宋体"/>
          <w:b/>
          <w:bCs/>
          <w:sz w:val="24"/>
          <w:szCs w:val="28"/>
        </w:rPr>
        <w:t>工程运营对鱼类仔幼鱼庇护与生长的影响不显著。</w:t>
      </w:r>
    </w:p>
    <w:p w14:paraId="26A626C1">
      <w:pPr>
        <w:keepNext/>
        <w:keepLines/>
        <w:widowControl w:val="0"/>
        <w:numPr>
          <w:ilvl w:val="0"/>
          <w:numId w:val="0"/>
        </w:numPr>
        <w:adjustRightInd/>
        <w:snapToGrid/>
        <w:spacing w:line="360" w:lineRule="auto"/>
        <w:ind w:firstLine="0" w:firstLineChars="0"/>
        <w:jc w:val="both"/>
        <w:outlineLvl w:val="3"/>
        <w:rPr>
          <w:rFonts w:hint="eastAsia" w:ascii="Times New Roman" w:hAnsi="Times New Roman" w:eastAsia="黑体" w:cs="Times New Roman"/>
          <w:bCs/>
          <w:color w:val="auto"/>
          <w:kern w:val="2"/>
          <w:sz w:val="24"/>
          <w:szCs w:val="28"/>
          <w:lang w:val="en-US" w:eastAsia="zh-CN" w:bidi="ar-SA"/>
        </w:rPr>
      </w:pPr>
      <w:bookmarkStart w:id="246" w:name="_Toc463620414"/>
      <w:bookmarkStart w:id="247" w:name="_Toc472229766"/>
      <w:bookmarkStart w:id="248" w:name="_Toc459587373"/>
      <w:bookmarkStart w:id="249" w:name="_Toc471349347"/>
      <w:bookmarkStart w:id="250" w:name="_Toc459251244"/>
      <w:bookmarkStart w:id="251" w:name="_Toc472830511"/>
      <w:bookmarkStart w:id="252" w:name="_Toc468175615"/>
      <w:r>
        <w:rPr>
          <w:rFonts w:hint="eastAsia" w:ascii="Times New Roman" w:hAnsi="Times New Roman" w:eastAsia="黑体" w:cs="Times New Roman"/>
          <w:bCs/>
          <w:color w:val="auto"/>
          <w:kern w:val="2"/>
          <w:sz w:val="24"/>
          <w:szCs w:val="28"/>
          <w:lang w:val="en-US" w:eastAsia="zh-CN" w:bidi="ar-SA"/>
        </w:rPr>
        <w:t>5.2.6.6 对主要保护对象的影响</w:t>
      </w:r>
      <w:bookmarkEnd w:id="246"/>
      <w:bookmarkEnd w:id="247"/>
      <w:bookmarkEnd w:id="248"/>
      <w:bookmarkEnd w:id="249"/>
      <w:bookmarkEnd w:id="250"/>
      <w:bookmarkEnd w:id="251"/>
      <w:bookmarkEnd w:id="252"/>
    </w:p>
    <w:p w14:paraId="2A147DE1">
      <w:pPr>
        <w:adjustRightInd w:val="0"/>
        <w:snapToGrid w:val="0"/>
        <w:spacing w:line="360" w:lineRule="auto"/>
        <w:ind w:firstLine="480" w:firstLineChars="200"/>
        <w:rPr>
          <w:rFonts w:ascii="Times New Roman" w:hAnsi="Times New Roman" w:eastAsia="宋体"/>
          <w:sz w:val="24"/>
          <w:szCs w:val="28"/>
        </w:rPr>
      </w:pPr>
      <w:bookmarkStart w:id="253" w:name="_Toc459251245"/>
      <w:bookmarkStart w:id="254" w:name="_Toc463620415"/>
      <w:bookmarkStart w:id="255" w:name="_Toc472229767"/>
      <w:bookmarkStart w:id="256" w:name="_Toc471349348"/>
      <w:bookmarkStart w:id="257" w:name="_Toc459587374"/>
      <w:bookmarkStart w:id="258" w:name="_Toc472830512"/>
      <w:bookmarkStart w:id="259" w:name="_Toc468175616"/>
      <w:r>
        <w:rPr>
          <w:rFonts w:ascii="Times New Roman" w:hAnsi="Times New Roman" w:eastAsia="宋体"/>
          <w:sz w:val="24"/>
          <w:szCs w:val="28"/>
        </w:rPr>
        <w:t>根据资源调查及相关资料，保护区水域内未发现中国濒危动物保护红皮书收录的濒危物种或《安徽省重点保护野生动物名录》(皖政秘〔2023〕4号)中保护物种。保护区主要保护对象为长吻鮠、瓦氏黄颡鱼。</w:t>
      </w:r>
    </w:p>
    <w:p w14:paraId="695A3665">
      <w:pPr>
        <w:adjustRightInd w:val="0"/>
        <w:snapToGrid w:val="0"/>
        <w:spacing w:line="360" w:lineRule="auto"/>
        <w:ind w:firstLine="480" w:firstLineChars="200"/>
        <w:rPr>
          <w:rFonts w:ascii="Times New Roman" w:hAnsi="Times New Roman" w:eastAsia="宋体"/>
          <w:b/>
          <w:bCs/>
          <w:sz w:val="24"/>
          <w:szCs w:val="22"/>
        </w:rPr>
      </w:pPr>
      <w:r>
        <w:rPr>
          <w:rFonts w:ascii="Times New Roman" w:hAnsi="Times New Roman" w:eastAsia="宋体"/>
          <w:b/>
          <w:bCs/>
          <w:sz w:val="24"/>
          <w:szCs w:val="22"/>
        </w:rPr>
        <w:t>(1)对长吻鮠的影响分析</w:t>
      </w:r>
    </w:p>
    <w:p w14:paraId="69FF092D">
      <w:pPr>
        <w:adjustRightInd w:val="0"/>
        <w:snapToGrid w:val="0"/>
        <w:spacing w:line="360" w:lineRule="auto"/>
        <w:ind w:firstLine="480" w:firstLineChars="200"/>
        <w:rPr>
          <w:rFonts w:ascii="Times New Roman" w:hAnsi="Times New Roman" w:eastAsia="宋体"/>
          <w:sz w:val="24"/>
          <w:szCs w:val="22"/>
        </w:rPr>
      </w:pPr>
      <w:r>
        <w:rPr>
          <w:rFonts w:ascii="Times New Roman" w:hAnsi="Times New Roman" w:eastAsia="宋体"/>
          <w:sz w:val="24"/>
          <w:szCs w:val="22"/>
        </w:rPr>
        <w:t>长吻鮠为底层鱼类，常在水流较缓、水深且石块多的河湾水域里生活，冬季多在干流深水处多砾石的夹缝中越冬。长吻鮠为肉食性鱼类，主要以水生昆虫及其幼虫、甲壳类、小型软体动物和小型鱼类为主。长吻鮠产卵期为4-6月，在砾石底的河水急流处产卵。</w:t>
      </w:r>
    </w:p>
    <w:p w14:paraId="76F3C992">
      <w:pPr>
        <w:adjustRightInd w:val="0"/>
        <w:snapToGrid w:val="0"/>
        <w:spacing w:line="360" w:lineRule="auto"/>
        <w:ind w:firstLine="480" w:firstLineChars="200"/>
        <w:rPr>
          <w:rFonts w:ascii="Times New Roman" w:hAnsi="Times New Roman" w:eastAsia="宋体"/>
          <w:sz w:val="24"/>
          <w:szCs w:val="22"/>
        </w:rPr>
      </w:pPr>
      <w:r>
        <w:rPr>
          <w:rFonts w:ascii="Times New Roman" w:hAnsi="Times New Roman" w:eastAsia="宋体"/>
          <w:sz w:val="24"/>
          <w:szCs w:val="22"/>
        </w:rPr>
        <w:t>根据历史资料及资源调查，黑龙潭、峡山口、绵羊石为长吻鮠的产卵场、越冬场；工程河段为定居性鱼类适宜索饵水域。兴华园码头远离长吻鮠的产卵场和越冬场，故其施工及运营对长吻鮠的产卵及越冬的影响有限；</w:t>
      </w:r>
      <w:bookmarkStart w:id="260" w:name="_Hlk123890850"/>
      <w:r>
        <w:rPr>
          <w:rFonts w:ascii="Times New Roman" w:hAnsi="Times New Roman" w:eastAsia="宋体"/>
          <w:sz w:val="24"/>
          <w:szCs w:val="22"/>
        </w:rPr>
        <w:t>但码头施工及运营期间产生的各类影响因子，特别是港池开挖、桩基和护坡施工对底栖动物产生直接破坏性影响，降低栖息地质量，</w:t>
      </w:r>
      <w:bookmarkEnd w:id="260"/>
      <w:r>
        <w:rPr>
          <w:rFonts w:ascii="Times New Roman" w:hAnsi="Times New Roman" w:eastAsia="宋体"/>
          <w:sz w:val="24"/>
          <w:szCs w:val="22"/>
        </w:rPr>
        <w:t>导致工程河段的浮游生物、底栖动物等饵料资源量下降，进而可能对主要保护对象产生一定影响。</w:t>
      </w:r>
    </w:p>
    <w:p w14:paraId="7DD67381">
      <w:pPr>
        <w:adjustRightInd w:val="0"/>
        <w:snapToGrid w:val="0"/>
        <w:spacing w:line="360" w:lineRule="auto"/>
        <w:ind w:firstLine="480" w:firstLineChars="200"/>
        <w:rPr>
          <w:rFonts w:ascii="Times New Roman" w:hAnsi="Times New Roman" w:eastAsia="宋体"/>
          <w:b/>
          <w:bCs/>
          <w:sz w:val="24"/>
          <w:szCs w:val="22"/>
        </w:rPr>
      </w:pPr>
      <w:r>
        <w:rPr>
          <w:rFonts w:ascii="Times New Roman" w:hAnsi="Times New Roman" w:eastAsia="宋体"/>
          <w:b/>
          <w:bCs/>
          <w:sz w:val="24"/>
          <w:szCs w:val="22"/>
        </w:rPr>
        <w:t>(2)对瓦氏黄颡鱼的影响分析</w:t>
      </w:r>
    </w:p>
    <w:p w14:paraId="0007E15F">
      <w:pPr>
        <w:adjustRightInd w:val="0"/>
        <w:snapToGrid w:val="0"/>
        <w:spacing w:line="360" w:lineRule="auto"/>
        <w:ind w:firstLine="480" w:firstLineChars="200"/>
        <w:rPr>
          <w:rFonts w:ascii="Times New Roman" w:hAnsi="Times New Roman" w:eastAsia="宋体"/>
          <w:sz w:val="24"/>
          <w:szCs w:val="22"/>
        </w:rPr>
      </w:pPr>
      <w:r>
        <w:rPr>
          <w:rFonts w:ascii="Times New Roman" w:hAnsi="Times New Roman" w:eastAsia="宋体"/>
          <w:sz w:val="24"/>
          <w:szCs w:val="22"/>
        </w:rPr>
        <w:t>瓦氏黄颡鱼多在湖泊静水或江河缓流中营底栖生活。白天潜伏于水体底层，夜间浮游至水上层觅食，冬季多聚在深水处。对环境的适应能力较强。主食昆虫幼虫及小虾，也摄食禾本科植物碎片和种子等，最大个体1 kg左右，为黄颡鱼属中的最大者，繁殖期为5-7月。</w:t>
      </w:r>
    </w:p>
    <w:p w14:paraId="04099593">
      <w:pPr>
        <w:adjustRightInd w:val="0"/>
        <w:snapToGrid w:val="0"/>
        <w:spacing w:line="360" w:lineRule="auto"/>
        <w:ind w:firstLine="480" w:firstLineChars="200"/>
        <w:rPr>
          <w:rFonts w:ascii="Times New Roman" w:hAnsi="Times New Roman" w:eastAsia="宋体"/>
          <w:sz w:val="24"/>
          <w:szCs w:val="22"/>
        </w:rPr>
      </w:pPr>
      <w:r>
        <w:rPr>
          <w:rFonts w:ascii="Times New Roman" w:hAnsi="Times New Roman" w:eastAsia="宋体"/>
          <w:sz w:val="24"/>
          <w:szCs w:val="22"/>
        </w:rPr>
        <w:t>工程河段位于保护区实验区，实验区水域环境安静，是长吻鮠、瓦氏黄颡鱼等物种的天然育肥场所。</w:t>
      </w:r>
      <w:bookmarkStart w:id="261" w:name="_Hlk123890961"/>
      <w:r>
        <w:rPr>
          <w:rFonts w:ascii="Times New Roman" w:hAnsi="Times New Roman" w:eastAsia="宋体"/>
          <w:sz w:val="24"/>
          <w:szCs w:val="22"/>
        </w:rPr>
        <w:t>兴华园码头施工及运营产生的各类影响因子，特别是疏浚、桩基和护坡施工对底栖动物产生直接破坏性影响，并且降低栖息地质量，</w:t>
      </w:r>
      <w:bookmarkEnd w:id="261"/>
      <w:r>
        <w:rPr>
          <w:rFonts w:ascii="Times New Roman" w:hAnsi="Times New Roman" w:eastAsia="宋体"/>
          <w:sz w:val="24"/>
          <w:szCs w:val="22"/>
        </w:rPr>
        <w:t>导致浮游生物及鱼类的资源量下降，进而可能对瓦氏黄颡鱼的育肥等活动产生负面影响。</w:t>
      </w:r>
    </w:p>
    <w:p w14:paraId="0B6DB52D">
      <w:pPr>
        <w:keepNext/>
        <w:keepLines/>
        <w:widowControl w:val="0"/>
        <w:numPr>
          <w:ilvl w:val="0"/>
          <w:numId w:val="0"/>
        </w:numPr>
        <w:adjustRightInd/>
        <w:snapToGrid/>
        <w:spacing w:line="360" w:lineRule="auto"/>
        <w:ind w:firstLine="0" w:firstLineChars="0"/>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5.2.6.7 对水生生物多样性影响</w:t>
      </w:r>
      <w:bookmarkEnd w:id="253"/>
      <w:bookmarkEnd w:id="254"/>
      <w:bookmarkEnd w:id="255"/>
      <w:bookmarkEnd w:id="256"/>
      <w:bookmarkEnd w:id="257"/>
      <w:bookmarkEnd w:id="258"/>
      <w:bookmarkEnd w:id="259"/>
    </w:p>
    <w:p w14:paraId="26F4EB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r>
        <w:rPr>
          <w:rFonts w:hint="eastAsia" w:ascii="Times New Roman" w:hAnsi="Times New Roman" w:eastAsia="宋体"/>
          <w:b/>
          <w:bCs/>
          <w:sz w:val="24"/>
          <w:szCs w:val="24"/>
          <w:lang w:eastAsia="zh-CN"/>
        </w:rPr>
        <w:t>5.2.6.7.1 施工期</w:t>
      </w:r>
    </w:p>
    <w:p w14:paraId="5FCFB86B">
      <w:pPr>
        <w:adjustRightInd w:val="0"/>
        <w:snapToGrid w:val="0"/>
        <w:spacing w:line="360" w:lineRule="auto"/>
        <w:ind w:firstLine="480" w:firstLineChars="200"/>
        <w:rPr>
          <w:rFonts w:ascii="Times New Roman" w:hAnsi="Times New Roman" w:eastAsia="宋体"/>
          <w:b/>
          <w:sz w:val="24"/>
          <w:szCs w:val="28"/>
        </w:rPr>
      </w:pPr>
      <w:r>
        <w:rPr>
          <w:rFonts w:ascii="Times New Roman" w:hAnsi="Times New Roman" w:eastAsia="宋体"/>
          <w:sz w:val="24"/>
          <w:szCs w:val="28"/>
        </w:rPr>
        <w:t>本项目港池开挖、护坡、码头基础等施工内容将使局部河床底形和底质发生一定的变化，局部河段的流场、水质状况和饵料基础也将发生不同程度的变化，因此工程建设对水生生物多样性的影响尤其是小生境类型多样性的影响是客观存在的。工程占用河道滩地，影响鱼类补充群体资源，同时工程施工造成的悬浮物扩散会对水生生物的生存产生威胁，施工水域及临近水域内的水生生物资源量会有所降低。同时，面对外界胁迫，渔业生物通常具有自主回避行为，这同样会使施工水域内水生生物多样性下降。综上所述，工程施工对保护区核心区的水生生物多样性具有一定的负面影响，但由于工程水域占保护区比例较小，对整个保护区而言影响并不显著。</w:t>
      </w:r>
    </w:p>
    <w:p w14:paraId="4EDCE84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r>
        <w:rPr>
          <w:rFonts w:hint="eastAsia" w:ascii="Times New Roman" w:hAnsi="Times New Roman" w:eastAsia="宋体"/>
          <w:b/>
          <w:bCs/>
          <w:sz w:val="24"/>
          <w:szCs w:val="24"/>
          <w:lang w:eastAsia="zh-CN"/>
        </w:rPr>
        <w:t>5.2.6.7.2 运营期</w:t>
      </w:r>
    </w:p>
    <w:p w14:paraId="72AC55C6">
      <w:pPr>
        <w:adjustRightInd w:val="0"/>
        <w:snapToGrid w:val="0"/>
        <w:spacing w:line="360" w:lineRule="auto"/>
        <w:ind w:firstLine="480" w:firstLineChars="200"/>
        <w:rPr>
          <w:rFonts w:ascii="Times New Roman" w:hAnsi="Times New Roman" w:eastAsia="宋体"/>
          <w:sz w:val="24"/>
          <w:szCs w:val="22"/>
        </w:rPr>
      </w:pPr>
      <w:r>
        <w:rPr>
          <w:rFonts w:ascii="Times New Roman" w:hAnsi="Times New Roman" w:eastAsia="宋体"/>
          <w:sz w:val="24"/>
          <w:szCs w:val="22"/>
        </w:rPr>
        <w:t>工程运营后，施工期产生的悬浮物扩散、粉尘沉降、噪声污染等不利因素将逐渐消失，辅以各种修复措施后，影响鱼类等水生生物的因素将消失，同时工程运营不会显著改变该河段原有的生境特征。因此，工程运营对保护区水生生物多样性的影响不显著。</w:t>
      </w:r>
    </w:p>
    <w:p w14:paraId="27C63671">
      <w:pPr>
        <w:keepNext/>
        <w:keepLines/>
        <w:widowControl w:val="0"/>
        <w:numPr>
          <w:ilvl w:val="0"/>
          <w:numId w:val="0"/>
        </w:numPr>
        <w:adjustRightInd/>
        <w:snapToGrid/>
        <w:spacing w:line="360" w:lineRule="auto"/>
        <w:ind w:firstLine="0" w:firstLineChars="0"/>
        <w:jc w:val="both"/>
        <w:outlineLvl w:val="3"/>
        <w:rPr>
          <w:rFonts w:hint="eastAsia" w:ascii="Times New Roman" w:hAnsi="Times New Roman" w:eastAsia="黑体" w:cs="Times New Roman"/>
          <w:bCs/>
          <w:color w:val="auto"/>
          <w:kern w:val="2"/>
          <w:sz w:val="24"/>
          <w:szCs w:val="28"/>
          <w:lang w:val="en-US" w:eastAsia="zh-CN" w:bidi="ar-SA"/>
        </w:rPr>
      </w:pPr>
      <w:bookmarkStart w:id="262" w:name="_Toc463620417"/>
      <w:bookmarkStart w:id="263" w:name="_Toc472229768"/>
      <w:bookmarkStart w:id="264" w:name="_Toc459251247"/>
      <w:bookmarkStart w:id="265" w:name="_Toc472830513"/>
      <w:bookmarkStart w:id="266" w:name="_Toc471349349"/>
      <w:bookmarkStart w:id="267" w:name="_Toc468175618"/>
      <w:bookmarkStart w:id="268" w:name="_Toc459587376"/>
      <w:r>
        <w:rPr>
          <w:rFonts w:hint="eastAsia" w:ascii="Times New Roman" w:hAnsi="Times New Roman" w:eastAsia="黑体" w:cs="Times New Roman"/>
          <w:bCs/>
          <w:color w:val="auto"/>
          <w:kern w:val="2"/>
          <w:sz w:val="24"/>
          <w:szCs w:val="28"/>
          <w:lang w:val="en-US" w:eastAsia="zh-CN" w:bidi="ar-SA"/>
        </w:rPr>
        <w:t>5.2.6.8 对鱼类等水生生物洄游阻隔的影响</w:t>
      </w:r>
    </w:p>
    <w:p w14:paraId="092878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r>
        <w:rPr>
          <w:rFonts w:hint="eastAsia" w:ascii="Times New Roman" w:hAnsi="Times New Roman" w:eastAsia="宋体"/>
          <w:b/>
          <w:sz w:val="24"/>
          <w:szCs w:val="22"/>
          <w:lang w:eastAsia="zh-CN"/>
        </w:rPr>
        <w:t>5.2.6</w:t>
      </w:r>
      <w:r>
        <w:rPr>
          <w:rFonts w:ascii="Times New Roman" w:hAnsi="Times New Roman" w:eastAsia="宋体"/>
          <w:b/>
          <w:sz w:val="24"/>
          <w:szCs w:val="22"/>
        </w:rPr>
        <w:t>.8.1 施工期</w:t>
      </w:r>
    </w:p>
    <w:p w14:paraId="721E0D08">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保护区内渔业群落以淡水定居性物种占优，没有出现真正意义上的江海洄游性物种，该水域的渔业生物并没有长距离洄游的生态需求。</w:t>
      </w:r>
    </w:p>
    <w:p w14:paraId="7CBDA9EF">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施工期间，港池开挖、护坡抛石及码头基础等施工内容将在一定程度上阻隔、压缩水生生物的短距离迁移。由于施工所占的河段面积比例较小，上述渔业生物会避开码头的水下工程、绕道码头前沿或</w:t>
      </w:r>
      <w:r>
        <w:rPr>
          <w:rFonts w:hint="eastAsia"/>
          <w:sz w:val="24"/>
          <w:szCs w:val="28"/>
          <w:lang w:eastAsia="zh-CN"/>
        </w:rPr>
        <w:t>其他</w:t>
      </w:r>
      <w:r>
        <w:rPr>
          <w:rFonts w:ascii="Times New Roman" w:hAnsi="Times New Roman" w:eastAsia="宋体"/>
          <w:sz w:val="24"/>
          <w:szCs w:val="28"/>
        </w:rPr>
        <w:t>通道完成迁移行为。因此，工程施工对鱼类等水生生物洄游阻隔的影响较小。</w:t>
      </w:r>
    </w:p>
    <w:p w14:paraId="2D6C09A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r>
        <w:rPr>
          <w:rFonts w:hint="eastAsia" w:ascii="Times New Roman" w:hAnsi="Times New Roman" w:eastAsia="宋体"/>
          <w:b/>
          <w:bCs/>
          <w:sz w:val="24"/>
          <w:szCs w:val="24"/>
          <w:lang w:eastAsia="zh-CN"/>
        </w:rPr>
        <w:t>5.2.6.8.2 运营期</w:t>
      </w:r>
    </w:p>
    <w:p w14:paraId="487BB4AD">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码头运营后，由于护坡及码头桩基占用了水域面积，渔业生物的</w:t>
      </w:r>
      <w:r>
        <w:rPr>
          <w:rFonts w:hint="eastAsia" w:ascii="Times New Roman" w:hAnsi="Times New Roman" w:eastAsia="宋体"/>
          <w:sz w:val="24"/>
          <w:szCs w:val="28"/>
        </w:rPr>
        <w:t>繁殖</w:t>
      </w:r>
      <w:r>
        <w:rPr>
          <w:rFonts w:ascii="Times New Roman" w:hAnsi="Times New Roman" w:eastAsia="宋体"/>
          <w:sz w:val="24"/>
          <w:szCs w:val="28"/>
        </w:rPr>
        <w:t>、索饵洄游通道和索饵场将遭到一定程度的阻隔和压缩。但由于码头平台占用河道宽度有限，同时码头平台为高桩梁板式透空结构，桩基所占水域面积较小，并未阻断工程水域和临近水域的连通。施工期结束后，渔业生物经过一段适应期后，会适应新的环境，经趋避、绕道形成新的路线完成其迁移。因此，工程运营对鱼类等水生生物洄游阻隔的影响较小。</w:t>
      </w:r>
    </w:p>
    <w:p w14:paraId="696F52CF">
      <w:pPr>
        <w:keepNext/>
        <w:keepLines/>
        <w:widowControl w:val="0"/>
        <w:numPr>
          <w:ilvl w:val="0"/>
          <w:numId w:val="0"/>
        </w:numPr>
        <w:adjustRightInd/>
        <w:snapToGrid/>
        <w:spacing w:line="360" w:lineRule="auto"/>
        <w:ind w:firstLine="0" w:firstLineChars="0"/>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5.2.6.9 对饵料生物、底栖动物和水生植物的影响</w:t>
      </w:r>
      <w:bookmarkEnd w:id="262"/>
      <w:bookmarkEnd w:id="263"/>
      <w:bookmarkEnd w:id="264"/>
      <w:bookmarkEnd w:id="265"/>
      <w:bookmarkEnd w:id="266"/>
      <w:bookmarkEnd w:id="267"/>
      <w:bookmarkEnd w:id="268"/>
    </w:p>
    <w:p w14:paraId="78B2A7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bookmarkStart w:id="269" w:name="_Toc372149126"/>
      <w:bookmarkStart w:id="270" w:name="_Toc301209889"/>
      <w:r>
        <w:rPr>
          <w:rFonts w:hint="eastAsia" w:ascii="Times New Roman" w:hAnsi="Times New Roman" w:eastAsia="宋体"/>
          <w:b/>
          <w:bCs/>
          <w:sz w:val="24"/>
          <w:szCs w:val="24"/>
          <w:lang w:eastAsia="zh-CN"/>
        </w:rPr>
        <w:t>5.2.6.9.1 对浮游生物的影响</w:t>
      </w:r>
      <w:bookmarkEnd w:id="269"/>
      <w:bookmarkEnd w:id="270"/>
    </w:p>
    <w:p w14:paraId="1FDAB934">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同</w:t>
      </w:r>
      <w:r>
        <w:rPr>
          <w:rFonts w:hint="eastAsia" w:ascii="Times New Roman" w:hAnsi="Times New Roman" w:eastAsia="宋体"/>
          <w:sz w:val="24"/>
          <w:szCs w:val="28"/>
          <w:lang w:eastAsia="zh-CN"/>
        </w:rPr>
        <w:t>5.2.6</w:t>
      </w:r>
      <w:r>
        <w:rPr>
          <w:rFonts w:ascii="Times New Roman" w:hAnsi="Times New Roman" w:eastAsia="宋体"/>
          <w:sz w:val="24"/>
          <w:szCs w:val="28"/>
        </w:rPr>
        <w:t>.1.1节所述，施工期间，港池开挖、护坡、码头基础等施工内容</w:t>
      </w:r>
      <w:r>
        <w:rPr>
          <w:rFonts w:ascii="Times New Roman" w:hAnsi="Times New Roman" w:eastAsia="宋体"/>
          <w:sz w:val="24"/>
          <w:szCs w:val="22"/>
        </w:rPr>
        <w:t>使</w:t>
      </w:r>
      <w:r>
        <w:rPr>
          <w:rFonts w:ascii="Times New Roman" w:hAnsi="Times New Roman" w:eastAsia="宋体"/>
          <w:sz w:val="24"/>
          <w:szCs w:val="28"/>
        </w:rPr>
        <w:t>施工水域及临近水域水体悬浮物及有害污染物浓度增加，悬浮物在重力、波浪、风力等因素作用下扩散、运动，进而将影响保护区以及工程临近水域的浮游生物的生存环境，造成水域透明度下降，导致光合作用强度下降，水体的初级生产力阶段性降低。此外，淤泥悬浮物对浮游生物有一定的致毒作用，使水域浮游生物的生存环境恶化，同样会造成水体的初级生产力下降。</w:t>
      </w:r>
    </w:p>
    <w:p w14:paraId="0CB3DDB9">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根据</w:t>
      </w:r>
      <w:r>
        <w:rPr>
          <w:rFonts w:hint="eastAsia" w:ascii="Times New Roman" w:hAnsi="Times New Roman" w:eastAsia="宋体"/>
          <w:sz w:val="24"/>
          <w:szCs w:val="28"/>
          <w:lang w:eastAsia="zh-CN"/>
        </w:rPr>
        <w:t>5.2.6</w:t>
      </w:r>
      <w:r>
        <w:rPr>
          <w:rFonts w:ascii="Times New Roman" w:hAnsi="Times New Roman" w:eastAsia="宋体"/>
          <w:sz w:val="24"/>
          <w:szCs w:val="28"/>
        </w:rPr>
        <w:t>.3.1节所述资源损失计算公式，</w:t>
      </w:r>
      <w:r>
        <w:rPr>
          <w:rFonts w:ascii="Times New Roman" w:hAnsi="Times New Roman" w:eastAsia="宋体"/>
          <w:bCs/>
          <w:sz w:val="24"/>
          <w:szCs w:val="28"/>
        </w:rPr>
        <w:t>施工期悬浮物扩散</w:t>
      </w:r>
      <w:r>
        <w:rPr>
          <w:rFonts w:ascii="Times New Roman" w:hAnsi="Times New Roman" w:eastAsia="宋体"/>
          <w:sz w:val="24"/>
          <w:szCs w:val="28"/>
        </w:rPr>
        <w:t>导致浮游植物、浮游动物的年度损失量分别为</w:t>
      </w:r>
      <w:r>
        <w:rPr>
          <w:rFonts w:hint="eastAsia" w:ascii="Times New Roman" w:hAnsi="Times New Roman" w:eastAsia="宋体"/>
          <w:sz w:val="24"/>
          <w:szCs w:val="28"/>
        </w:rPr>
        <w:t>22578.58 kg/a</w:t>
      </w:r>
      <w:r>
        <w:rPr>
          <w:rFonts w:ascii="Times New Roman" w:hAnsi="Times New Roman" w:eastAsia="宋体"/>
          <w:sz w:val="24"/>
          <w:szCs w:val="28"/>
        </w:rPr>
        <w:t>和</w:t>
      </w:r>
      <w:r>
        <w:rPr>
          <w:rFonts w:hint="eastAsia" w:ascii="Times New Roman" w:hAnsi="Times New Roman" w:eastAsia="宋体"/>
          <w:sz w:val="24"/>
          <w:szCs w:val="28"/>
        </w:rPr>
        <w:t>673.70</w:t>
      </w:r>
      <w:r>
        <w:rPr>
          <w:rFonts w:ascii="Times New Roman" w:hAnsi="Times New Roman" w:eastAsia="宋体"/>
          <w:sz w:val="24"/>
          <w:szCs w:val="28"/>
        </w:rPr>
        <w:t xml:space="preserve"> kg/a。</w:t>
      </w:r>
    </w:p>
    <w:p w14:paraId="5728E3DA">
      <w:pPr>
        <w:adjustRightInd/>
        <w:snapToGrid/>
        <w:spacing w:line="400" w:lineRule="exact"/>
        <w:ind w:firstLine="0" w:firstLineChars="0"/>
        <w:jc w:val="center"/>
        <w:rPr>
          <w:rFonts w:hint="eastAsia" w:eastAsia="黑体"/>
          <w:color w:val="auto"/>
          <w:sz w:val="24"/>
          <w:szCs w:val="21"/>
        </w:rPr>
      </w:pPr>
      <w:r>
        <w:rPr>
          <w:rFonts w:hint="eastAsia" w:eastAsia="黑体"/>
          <w:color w:val="auto"/>
          <w:sz w:val="24"/>
          <w:szCs w:val="21"/>
        </w:rPr>
        <w:t>表</w:t>
      </w:r>
      <w:r>
        <w:rPr>
          <w:rFonts w:hint="eastAsia" w:eastAsia="黑体"/>
          <w:color w:val="auto"/>
          <w:sz w:val="24"/>
          <w:szCs w:val="21"/>
          <w:lang w:eastAsia="zh-CN"/>
        </w:rPr>
        <w:t>5.2</w:t>
      </w:r>
      <w:r>
        <w:rPr>
          <w:rFonts w:hint="eastAsia" w:eastAsia="黑体"/>
          <w:color w:val="auto"/>
          <w:sz w:val="24"/>
          <w:szCs w:val="21"/>
          <w:lang w:val="en-US" w:eastAsia="zh-CN"/>
        </w:rPr>
        <w:t>-27</w:t>
      </w:r>
      <w:r>
        <w:rPr>
          <w:rFonts w:hint="eastAsia" w:eastAsia="黑体"/>
          <w:color w:val="auto"/>
          <w:sz w:val="24"/>
          <w:szCs w:val="21"/>
        </w:rPr>
        <w:t xml:space="preserve">  施工期工程悬浮物扩散影响区域浮游植物年损失量</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
      <w:tblGrid>
        <w:gridCol w:w="1019"/>
        <w:gridCol w:w="1273"/>
        <w:gridCol w:w="1618"/>
        <w:gridCol w:w="1226"/>
        <w:gridCol w:w="1210"/>
        <w:gridCol w:w="1505"/>
        <w:gridCol w:w="1436"/>
      </w:tblGrid>
      <w:tr w14:paraId="3990AFE1">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35" w:type="dxa"/>
            <w:tcBorders>
              <w:tl2br w:val="nil"/>
              <w:tr2bl w:val="nil"/>
            </w:tcBorders>
            <w:noWrap/>
            <w:vAlign w:val="center"/>
          </w:tcPr>
          <w:p w14:paraId="088C7AB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影响</w:t>
            </w:r>
          </w:p>
          <w:p w14:paraId="4814FF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类型</w:t>
            </w:r>
          </w:p>
        </w:tc>
        <w:tc>
          <w:tcPr>
            <w:tcW w:w="1168" w:type="dxa"/>
            <w:tcBorders>
              <w:tl2br w:val="nil"/>
              <w:tr2bl w:val="nil"/>
            </w:tcBorders>
            <w:noWrap/>
            <w:vAlign w:val="center"/>
          </w:tcPr>
          <w:p w14:paraId="480311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超标倍数</w:t>
            </w:r>
          </w:p>
        </w:tc>
        <w:tc>
          <w:tcPr>
            <w:tcW w:w="1485" w:type="dxa"/>
            <w:tcBorders>
              <w:tl2br w:val="nil"/>
              <w:tr2bl w:val="nil"/>
            </w:tcBorders>
            <w:noWrap/>
            <w:vAlign w:val="center"/>
          </w:tcPr>
          <w:p w14:paraId="6A1761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sz w:val="21"/>
                <w:szCs w:val="21"/>
              </w:rPr>
            </w:pPr>
            <w:r>
              <w:rPr>
                <w:rFonts w:hint="default" w:ascii="Times New Roman" w:hAnsi="Times New Roman" w:eastAsia="宋体"/>
                <w:b/>
                <w:bCs/>
                <w:kern w:val="0"/>
                <w:sz w:val="21"/>
                <w:szCs w:val="21"/>
              </w:rPr>
              <w:t>浮游植物生物量(mg/L)</w:t>
            </w:r>
          </w:p>
        </w:tc>
        <w:tc>
          <w:tcPr>
            <w:tcW w:w="1125" w:type="dxa"/>
            <w:tcBorders>
              <w:tl2br w:val="nil"/>
              <w:tr2bl w:val="nil"/>
            </w:tcBorders>
            <w:noWrap/>
            <w:vAlign w:val="center"/>
          </w:tcPr>
          <w:p w14:paraId="4A2D4D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sz w:val="21"/>
                <w:szCs w:val="21"/>
              </w:rPr>
            </w:pPr>
            <w:r>
              <w:rPr>
                <w:rFonts w:hint="default" w:ascii="Times New Roman" w:hAnsi="Times New Roman" w:eastAsia="宋体"/>
                <w:b/>
                <w:bCs/>
                <w:kern w:val="0"/>
                <w:sz w:val="21"/>
                <w:szCs w:val="21"/>
              </w:rPr>
              <w:t>体积(m</w:t>
            </w:r>
            <w:r>
              <w:rPr>
                <w:rFonts w:hint="default" w:ascii="Times New Roman" w:hAnsi="Times New Roman" w:eastAsia="宋体"/>
                <w:b/>
                <w:bCs/>
                <w:kern w:val="0"/>
                <w:sz w:val="21"/>
                <w:szCs w:val="21"/>
                <w:vertAlign w:val="superscript"/>
              </w:rPr>
              <w:t>3</w:t>
            </w:r>
            <w:r>
              <w:rPr>
                <w:rFonts w:hint="default" w:ascii="Times New Roman" w:hAnsi="Times New Roman" w:eastAsia="宋体"/>
                <w:b/>
                <w:bCs/>
                <w:kern w:val="0"/>
                <w:sz w:val="21"/>
                <w:szCs w:val="21"/>
              </w:rPr>
              <w:t>)</w:t>
            </w:r>
          </w:p>
        </w:tc>
        <w:tc>
          <w:tcPr>
            <w:tcW w:w="1110" w:type="dxa"/>
            <w:tcBorders>
              <w:tl2br w:val="nil"/>
              <w:tr2bl w:val="nil"/>
            </w:tcBorders>
            <w:noWrap/>
            <w:vAlign w:val="center"/>
          </w:tcPr>
          <w:p w14:paraId="62DEE3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bCs/>
                <w:kern w:val="0"/>
                <w:sz w:val="21"/>
                <w:szCs w:val="21"/>
              </w:rPr>
              <w:t>损失率%</w:t>
            </w:r>
          </w:p>
        </w:tc>
        <w:tc>
          <w:tcPr>
            <w:tcW w:w="1381" w:type="dxa"/>
            <w:tcBorders>
              <w:tl2br w:val="nil"/>
              <w:tr2bl w:val="nil"/>
            </w:tcBorders>
            <w:noWrap/>
            <w:vAlign w:val="center"/>
          </w:tcPr>
          <w:p w14:paraId="78FFABD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bCs/>
                <w:sz w:val="21"/>
                <w:szCs w:val="21"/>
              </w:rPr>
              <w:t>损失量(kg)</w:t>
            </w:r>
          </w:p>
        </w:tc>
        <w:tc>
          <w:tcPr>
            <w:tcW w:w="1318" w:type="dxa"/>
            <w:tcBorders>
              <w:tl2br w:val="nil"/>
              <w:tr2bl w:val="nil"/>
            </w:tcBorders>
            <w:noWrap/>
            <w:vAlign w:val="center"/>
          </w:tcPr>
          <w:p w14:paraId="67DAAAA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bCs/>
                <w:sz w:val="21"/>
                <w:szCs w:val="21"/>
              </w:rPr>
              <w:t>施工期年度损失量(kg/a)</w:t>
            </w:r>
          </w:p>
        </w:tc>
      </w:tr>
      <w:tr w14:paraId="2E8DFF3E">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35" w:type="dxa"/>
            <w:vMerge w:val="restart"/>
            <w:tcBorders>
              <w:tl2br w:val="nil"/>
              <w:tr2bl w:val="nil"/>
            </w:tcBorders>
            <w:noWrap/>
            <w:vAlign w:val="center"/>
          </w:tcPr>
          <w:p w14:paraId="2C3253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涉水</w:t>
            </w:r>
          </w:p>
          <w:p w14:paraId="147B458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施工</w:t>
            </w:r>
          </w:p>
        </w:tc>
        <w:tc>
          <w:tcPr>
            <w:tcW w:w="1168" w:type="dxa"/>
            <w:tcBorders>
              <w:tl2br w:val="nil"/>
              <w:tr2bl w:val="nil"/>
            </w:tcBorders>
            <w:noWrap/>
            <w:vAlign w:val="center"/>
          </w:tcPr>
          <w:p w14:paraId="231D6A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4-9倍</w:t>
            </w:r>
          </w:p>
        </w:tc>
        <w:tc>
          <w:tcPr>
            <w:tcW w:w="1485" w:type="dxa"/>
            <w:tcBorders>
              <w:tl2br w:val="nil"/>
              <w:tr2bl w:val="nil"/>
            </w:tcBorders>
            <w:noWrap/>
            <w:vAlign w:val="bottom"/>
          </w:tcPr>
          <w:p w14:paraId="67453D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11.73</w:t>
            </w:r>
            <w:r>
              <w:rPr>
                <w:rFonts w:hint="default" w:ascii="Times New Roman" w:hAnsi="Times New Roman" w:eastAsia="宋体"/>
                <w:color w:val="000000"/>
                <w:kern w:val="0"/>
                <w:sz w:val="21"/>
                <w:szCs w:val="21"/>
                <w:lang w:bidi="ar"/>
              </w:rPr>
              <w:t xml:space="preserve"> </w:t>
            </w:r>
          </w:p>
        </w:tc>
        <w:tc>
          <w:tcPr>
            <w:tcW w:w="1125" w:type="dxa"/>
            <w:tcBorders>
              <w:tl2br w:val="nil"/>
              <w:tr2bl w:val="nil"/>
            </w:tcBorders>
            <w:noWrap/>
            <w:vAlign w:val="center"/>
          </w:tcPr>
          <w:p w14:paraId="0B9D2C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93775 </w:t>
            </w:r>
          </w:p>
        </w:tc>
        <w:tc>
          <w:tcPr>
            <w:tcW w:w="1110" w:type="dxa"/>
            <w:tcBorders>
              <w:tl2br w:val="nil"/>
              <w:tr2bl w:val="nil"/>
            </w:tcBorders>
            <w:noWrap/>
            <w:vAlign w:val="center"/>
          </w:tcPr>
          <w:p w14:paraId="684DF1A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45</w:t>
            </w:r>
          </w:p>
        </w:tc>
        <w:tc>
          <w:tcPr>
            <w:tcW w:w="1381" w:type="dxa"/>
            <w:tcBorders>
              <w:tl2br w:val="nil"/>
              <w:tr2bl w:val="nil"/>
            </w:tcBorders>
            <w:noWrap/>
            <w:vAlign w:val="center"/>
          </w:tcPr>
          <w:p w14:paraId="1040CC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494.99 </w:t>
            </w:r>
          </w:p>
        </w:tc>
        <w:tc>
          <w:tcPr>
            <w:tcW w:w="1318" w:type="dxa"/>
            <w:tcBorders>
              <w:tl2br w:val="nil"/>
              <w:tr2bl w:val="nil"/>
            </w:tcBorders>
            <w:noWrap/>
            <w:vAlign w:val="center"/>
          </w:tcPr>
          <w:p w14:paraId="0448677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12044.79 </w:t>
            </w:r>
          </w:p>
        </w:tc>
      </w:tr>
      <w:tr w14:paraId="149B1FAB">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35" w:type="dxa"/>
            <w:vMerge w:val="continue"/>
            <w:tcBorders>
              <w:tl2br w:val="nil"/>
              <w:tr2bl w:val="nil"/>
            </w:tcBorders>
            <w:noWrap/>
            <w:vAlign w:val="center"/>
          </w:tcPr>
          <w:p w14:paraId="0DDE5C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p>
        </w:tc>
        <w:tc>
          <w:tcPr>
            <w:tcW w:w="1168" w:type="dxa"/>
            <w:tcBorders>
              <w:tl2br w:val="nil"/>
              <w:tr2bl w:val="nil"/>
            </w:tcBorders>
            <w:noWrap/>
            <w:vAlign w:val="center"/>
          </w:tcPr>
          <w:p w14:paraId="28A3FC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1-4倍</w:t>
            </w:r>
          </w:p>
        </w:tc>
        <w:tc>
          <w:tcPr>
            <w:tcW w:w="1485" w:type="dxa"/>
            <w:tcBorders>
              <w:tl2br w:val="nil"/>
              <w:tr2bl w:val="nil"/>
            </w:tcBorders>
            <w:noWrap/>
            <w:vAlign w:val="bottom"/>
          </w:tcPr>
          <w:p w14:paraId="0D64C1E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11.73</w:t>
            </w:r>
          </w:p>
        </w:tc>
        <w:tc>
          <w:tcPr>
            <w:tcW w:w="1125" w:type="dxa"/>
            <w:tcBorders>
              <w:tl2br w:val="nil"/>
              <w:tr2bl w:val="nil"/>
            </w:tcBorders>
            <w:noWrap/>
            <w:vAlign w:val="center"/>
          </w:tcPr>
          <w:p w14:paraId="5428EE9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87725 </w:t>
            </w:r>
          </w:p>
        </w:tc>
        <w:tc>
          <w:tcPr>
            <w:tcW w:w="1110" w:type="dxa"/>
            <w:tcBorders>
              <w:tl2br w:val="nil"/>
              <w:tr2bl w:val="nil"/>
            </w:tcBorders>
            <w:noWrap/>
            <w:vAlign w:val="center"/>
          </w:tcPr>
          <w:p w14:paraId="46DAF6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25</w:t>
            </w:r>
          </w:p>
        </w:tc>
        <w:tc>
          <w:tcPr>
            <w:tcW w:w="1381" w:type="dxa"/>
            <w:tcBorders>
              <w:tl2br w:val="nil"/>
              <w:tr2bl w:val="nil"/>
            </w:tcBorders>
            <w:noWrap/>
            <w:vAlign w:val="center"/>
          </w:tcPr>
          <w:p w14:paraId="784B25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257.25 </w:t>
            </w:r>
          </w:p>
        </w:tc>
        <w:tc>
          <w:tcPr>
            <w:tcW w:w="1318" w:type="dxa"/>
            <w:tcBorders>
              <w:tl2br w:val="nil"/>
              <w:tr2bl w:val="nil"/>
            </w:tcBorders>
            <w:noWrap/>
            <w:vAlign w:val="center"/>
          </w:tcPr>
          <w:p w14:paraId="5C09DC4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6259.84 </w:t>
            </w:r>
          </w:p>
        </w:tc>
      </w:tr>
      <w:tr w14:paraId="2E909FCC">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35" w:type="dxa"/>
            <w:vMerge w:val="continue"/>
            <w:tcBorders>
              <w:tl2br w:val="nil"/>
              <w:tr2bl w:val="nil"/>
            </w:tcBorders>
            <w:noWrap/>
            <w:vAlign w:val="center"/>
          </w:tcPr>
          <w:p w14:paraId="22DAED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p>
        </w:tc>
        <w:tc>
          <w:tcPr>
            <w:tcW w:w="1168" w:type="dxa"/>
            <w:tcBorders>
              <w:tl2br w:val="nil"/>
              <w:tr2bl w:val="nil"/>
            </w:tcBorders>
            <w:noWrap/>
            <w:vAlign w:val="center"/>
          </w:tcPr>
          <w:p w14:paraId="029A35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1倍以下</w:t>
            </w:r>
          </w:p>
        </w:tc>
        <w:tc>
          <w:tcPr>
            <w:tcW w:w="1485" w:type="dxa"/>
            <w:tcBorders>
              <w:tl2br w:val="nil"/>
              <w:tr2bl w:val="nil"/>
            </w:tcBorders>
            <w:noWrap/>
            <w:vAlign w:val="bottom"/>
          </w:tcPr>
          <w:p w14:paraId="1AB6C4E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11.73</w:t>
            </w:r>
          </w:p>
        </w:tc>
        <w:tc>
          <w:tcPr>
            <w:tcW w:w="1125" w:type="dxa"/>
            <w:tcBorders>
              <w:tl2br w:val="nil"/>
              <w:tr2bl w:val="nil"/>
            </w:tcBorders>
            <w:noWrap/>
            <w:vAlign w:val="center"/>
          </w:tcPr>
          <w:p w14:paraId="3C3708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299475 </w:t>
            </w:r>
          </w:p>
        </w:tc>
        <w:tc>
          <w:tcPr>
            <w:tcW w:w="1110" w:type="dxa"/>
            <w:tcBorders>
              <w:tl2br w:val="nil"/>
              <w:tr2bl w:val="nil"/>
            </w:tcBorders>
            <w:noWrap/>
            <w:vAlign w:val="center"/>
          </w:tcPr>
          <w:p w14:paraId="6AAE47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5</w:t>
            </w:r>
          </w:p>
        </w:tc>
        <w:tc>
          <w:tcPr>
            <w:tcW w:w="1381" w:type="dxa"/>
            <w:tcBorders>
              <w:tl2br w:val="nil"/>
              <w:tr2bl w:val="nil"/>
            </w:tcBorders>
            <w:noWrap/>
            <w:vAlign w:val="center"/>
          </w:tcPr>
          <w:p w14:paraId="4EEC4D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175.64 </w:t>
            </w:r>
          </w:p>
        </w:tc>
        <w:tc>
          <w:tcPr>
            <w:tcW w:w="1318" w:type="dxa"/>
            <w:tcBorders>
              <w:tl2br w:val="nil"/>
              <w:tr2bl w:val="nil"/>
            </w:tcBorders>
            <w:noWrap/>
            <w:vAlign w:val="center"/>
          </w:tcPr>
          <w:p w14:paraId="160028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4273.96 </w:t>
            </w:r>
          </w:p>
        </w:tc>
      </w:tr>
      <w:tr w14:paraId="006ECDD4">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5823" w:type="dxa"/>
            <w:gridSpan w:val="5"/>
            <w:tcBorders>
              <w:tl2br w:val="nil"/>
              <w:tr2bl w:val="nil"/>
            </w:tcBorders>
            <w:noWrap/>
            <w:vAlign w:val="center"/>
          </w:tcPr>
          <w:p w14:paraId="69CCE02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合计</w:t>
            </w:r>
          </w:p>
        </w:tc>
        <w:tc>
          <w:tcPr>
            <w:tcW w:w="1381" w:type="dxa"/>
            <w:tcBorders>
              <w:tl2br w:val="nil"/>
              <w:tr2bl w:val="nil"/>
            </w:tcBorders>
            <w:noWrap/>
            <w:vAlign w:val="center"/>
          </w:tcPr>
          <w:p w14:paraId="1C0CE54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
                <w:bCs/>
                <w:color w:val="000000"/>
                <w:kern w:val="0"/>
                <w:sz w:val="21"/>
                <w:szCs w:val="21"/>
                <w:lang w:bidi="ar"/>
              </w:rPr>
            </w:pPr>
            <w:r>
              <w:rPr>
                <w:rFonts w:hint="default" w:ascii="Times New Roman" w:hAnsi="Times New Roman" w:eastAsia="宋体"/>
                <w:b/>
                <w:bCs/>
                <w:color w:val="000000"/>
                <w:kern w:val="0"/>
                <w:sz w:val="21"/>
                <w:szCs w:val="21"/>
                <w:lang w:bidi="ar"/>
              </w:rPr>
              <w:t xml:space="preserve">927.89 </w:t>
            </w:r>
          </w:p>
        </w:tc>
        <w:tc>
          <w:tcPr>
            <w:tcW w:w="1318" w:type="dxa"/>
            <w:tcBorders>
              <w:tl2br w:val="nil"/>
              <w:tr2bl w:val="nil"/>
            </w:tcBorders>
            <w:noWrap/>
            <w:vAlign w:val="center"/>
          </w:tcPr>
          <w:p w14:paraId="1E1B6F5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
                <w:bCs/>
                <w:color w:val="000000"/>
                <w:kern w:val="0"/>
                <w:sz w:val="21"/>
                <w:szCs w:val="21"/>
                <w:lang w:bidi="ar"/>
              </w:rPr>
            </w:pPr>
            <w:r>
              <w:rPr>
                <w:rFonts w:hint="default" w:ascii="Times New Roman" w:hAnsi="Times New Roman" w:eastAsia="宋体"/>
                <w:b/>
                <w:bCs/>
                <w:color w:val="000000"/>
                <w:kern w:val="0"/>
                <w:sz w:val="21"/>
                <w:szCs w:val="21"/>
                <w:lang w:bidi="ar"/>
              </w:rPr>
              <w:t xml:space="preserve">22578.58 </w:t>
            </w:r>
          </w:p>
        </w:tc>
      </w:tr>
    </w:tbl>
    <w:p w14:paraId="3AC46571">
      <w:pPr>
        <w:adjustRightInd/>
        <w:snapToGrid/>
        <w:spacing w:line="400" w:lineRule="exact"/>
        <w:ind w:firstLine="0" w:firstLineChars="0"/>
        <w:jc w:val="center"/>
        <w:rPr>
          <w:rFonts w:hint="eastAsia" w:eastAsia="黑体"/>
          <w:color w:val="auto"/>
          <w:sz w:val="24"/>
          <w:szCs w:val="21"/>
        </w:rPr>
      </w:pPr>
      <w:r>
        <w:rPr>
          <w:rFonts w:hint="eastAsia" w:eastAsia="黑体"/>
          <w:color w:val="auto"/>
          <w:sz w:val="24"/>
          <w:szCs w:val="21"/>
        </w:rPr>
        <w:t>表</w:t>
      </w:r>
      <w:r>
        <w:rPr>
          <w:rFonts w:hint="eastAsia" w:eastAsia="黑体"/>
          <w:color w:val="auto"/>
          <w:sz w:val="24"/>
          <w:szCs w:val="21"/>
          <w:lang w:eastAsia="zh-CN"/>
        </w:rPr>
        <w:t>5.2</w:t>
      </w:r>
      <w:r>
        <w:rPr>
          <w:rFonts w:hint="eastAsia" w:eastAsia="黑体"/>
          <w:color w:val="auto"/>
          <w:sz w:val="24"/>
          <w:szCs w:val="21"/>
          <w:lang w:val="en-US" w:eastAsia="zh-CN"/>
        </w:rPr>
        <w:t>-28</w:t>
      </w:r>
      <w:r>
        <w:rPr>
          <w:rFonts w:hint="eastAsia" w:eastAsia="黑体"/>
          <w:color w:val="auto"/>
          <w:sz w:val="24"/>
          <w:szCs w:val="21"/>
        </w:rPr>
        <w:t xml:space="preserve">  施工期内工程悬浮物扩散影响区域浮游动物年损失量</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
      <w:tblGrid>
        <w:gridCol w:w="1019"/>
        <w:gridCol w:w="1273"/>
        <w:gridCol w:w="1618"/>
        <w:gridCol w:w="1226"/>
        <w:gridCol w:w="1210"/>
        <w:gridCol w:w="1505"/>
        <w:gridCol w:w="1436"/>
      </w:tblGrid>
      <w:tr w14:paraId="3E054204">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35" w:type="dxa"/>
            <w:tcBorders>
              <w:tl2br w:val="nil"/>
              <w:tr2bl w:val="nil"/>
            </w:tcBorders>
            <w:noWrap/>
            <w:vAlign w:val="center"/>
          </w:tcPr>
          <w:p w14:paraId="4A840A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影响</w:t>
            </w:r>
          </w:p>
          <w:p w14:paraId="7DB60C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类型</w:t>
            </w:r>
          </w:p>
        </w:tc>
        <w:tc>
          <w:tcPr>
            <w:tcW w:w="1168" w:type="dxa"/>
            <w:tcBorders>
              <w:tl2br w:val="nil"/>
              <w:tr2bl w:val="nil"/>
            </w:tcBorders>
            <w:noWrap/>
            <w:vAlign w:val="center"/>
          </w:tcPr>
          <w:p w14:paraId="2063D6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超标倍数</w:t>
            </w:r>
          </w:p>
        </w:tc>
        <w:tc>
          <w:tcPr>
            <w:tcW w:w="1485" w:type="dxa"/>
            <w:tcBorders>
              <w:tl2br w:val="nil"/>
              <w:tr2bl w:val="nil"/>
            </w:tcBorders>
            <w:noWrap/>
            <w:vAlign w:val="center"/>
          </w:tcPr>
          <w:p w14:paraId="0C3178B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sz w:val="21"/>
                <w:szCs w:val="21"/>
              </w:rPr>
            </w:pPr>
            <w:r>
              <w:rPr>
                <w:rFonts w:hint="default" w:ascii="Times New Roman" w:hAnsi="Times New Roman" w:eastAsia="宋体"/>
                <w:b/>
                <w:bCs/>
                <w:kern w:val="0"/>
                <w:sz w:val="21"/>
                <w:szCs w:val="21"/>
              </w:rPr>
              <w:t>浮游动物生物量(mg/L)</w:t>
            </w:r>
          </w:p>
        </w:tc>
        <w:tc>
          <w:tcPr>
            <w:tcW w:w="1125" w:type="dxa"/>
            <w:tcBorders>
              <w:tl2br w:val="nil"/>
              <w:tr2bl w:val="nil"/>
            </w:tcBorders>
            <w:noWrap/>
            <w:vAlign w:val="center"/>
          </w:tcPr>
          <w:p w14:paraId="1F9C06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sz w:val="21"/>
                <w:szCs w:val="21"/>
              </w:rPr>
            </w:pPr>
            <w:r>
              <w:rPr>
                <w:rFonts w:hint="default" w:ascii="Times New Roman" w:hAnsi="Times New Roman" w:eastAsia="宋体"/>
                <w:b/>
                <w:bCs/>
                <w:kern w:val="0"/>
                <w:sz w:val="21"/>
                <w:szCs w:val="21"/>
              </w:rPr>
              <w:t>体积(m</w:t>
            </w:r>
            <w:r>
              <w:rPr>
                <w:rFonts w:hint="default" w:ascii="Times New Roman" w:hAnsi="Times New Roman" w:eastAsia="宋体"/>
                <w:b/>
                <w:bCs/>
                <w:kern w:val="0"/>
                <w:sz w:val="21"/>
                <w:szCs w:val="21"/>
                <w:vertAlign w:val="superscript"/>
              </w:rPr>
              <w:t>3</w:t>
            </w:r>
            <w:r>
              <w:rPr>
                <w:rFonts w:hint="default" w:ascii="Times New Roman" w:hAnsi="Times New Roman" w:eastAsia="宋体"/>
                <w:b/>
                <w:bCs/>
                <w:kern w:val="0"/>
                <w:sz w:val="21"/>
                <w:szCs w:val="21"/>
              </w:rPr>
              <w:t>)</w:t>
            </w:r>
          </w:p>
        </w:tc>
        <w:tc>
          <w:tcPr>
            <w:tcW w:w="1110" w:type="dxa"/>
            <w:tcBorders>
              <w:tl2br w:val="nil"/>
              <w:tr2bl w:val="nil"/>
            </w:tcBorders>
            <w:noWrap/>
            <w:vAlign w:val="center"/>
          </w:tcPr>
          <w:p w14:paraId="6282EDD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bCs/>
                <w:kern w:val="0"/>
                <w:sz w:val="21"/>
                <w:szCs w:val="21"/>
              </w:rPr>
              <w:t>损失率%</w:t>
            </w:r>
          </w:p>
        </w:tc>
        <w:tc>
          <w:tcPr>
            <w:tcW w:w="1381" w:type="dxa"/>
            <w:tcBorders>
              <w:tl2br w:val="nil"/>
              <w:tr2bl w:val="nil"/>
            </w:tcBorders>
            <w:noWrap/>
            <w:vAlign w:val="center"/>
          </w:tcPr>
          <w:p w14:paraId="5B873D6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bCs/>
                <w:sz w:val="21"/>
                <w:szCs w:val="21"/>
              </w:rPr>
              <w:t>损失量(kg)</w:t>
            </w:r>
          </w:p>
        </w:tc>
        <w:tc>
          <w:tcPr>
            <w:tcW w:w="1318" w:type="dxa"/>
            <w:tcBorders>
              <w:tl2br w:val="nil"/>
              <w:tr2bl w:val="nil"/>
            </w:tcBorders>
            <w:noWrap/>
            <w:vAlign w:val="center"/>
          </w:tcPr>
          <w:p w14:paraId="06F1FD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bCs/>
                <w:sz w:val="21"/>
                <w:szCs w:val="21"/>
              </w:rPr>
              <w:t>施工期年度损失量(kg/a)</w:t>
            </w:r>
          </w:p>
        </w:tc>
      </w:tr>
      <w:tr w14:paraId="41EBE939">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35" w:type="dxa"/>
            <w:vMerge w:val="restart"/>
            <w:tcBorders>
              <w:tl2br w:val="nil"/>
              <w:tr2bl w:val="nil"/>
            </w:tcBorders>
            <w:noWrap/>
            <w:vAlign w:val="center"/>
          </w:tcPr>
          <w:p w14:paraId="2B4E785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涉水</w:t>
            </w:r>
          </w:p>
          <w:p w14:paraId="4CE3C1A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施工</w:t>
            </w:r>
          </w:p>
        </w:tc>
        <w:tc>
          <w:tcPr>
            <w:tcW w:w="1168" w:type="dxa"/>
            <w:tcBorders>
              <w:tl2br w:val="nil"/>
              <w:tr2bl w:val="nil"/>
            </w:tcBorders>
            <w:noWrap/>
            <w:vAlign w:val="center"/>
          </w:tcPr>
          <w:p w14:paraId="229EB7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4-9倍</w:t>
            </w:r>
          </w:p>
        </w:tc>
        <w:tc>
          <w:tcPr>
            <w:tcW w:w="1485" w:type="dxa"/>
            <w:tcBorders>
              <w:tl2br w:val="nil"/>
              <w:tr2bl w:val="nil"/>
            </w:tcBorders>
            <w:noWrap/>
            <w:vAlign w:val="bottom"/>
          </w:tcPr>
          <w:p w14:paraId="0DA71A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0.35</w:t>
            </w:r>
            <w:r>
              <w:rPr>
                <w:rFonts w:hint="default" w:ascii="Times New Roman" w:hAnsi="Times New Roman" w:eastAsia="宋体"/>
                <w:color w:val="000000"/>
                <w:kern w:val="0"/>
                <w:sz w:val="21"/>
                <w:szCs w:val="21"/>
                <w:lang w:bidi="ar"/>
              </w:rPr>
              <w:t xml:space="preserve"> </w:t>
            </w:r>
          </w:p>
        </w:tc>
        <w:tc>
          <w:tcPr>
            <w:tcW w:w="1125" w:type="dxa"/>
            <w:tcBorders>
              <w:tl2br w:val="nil"/>
              <w:tr2bl w:val="nil"/>
            </w:tcBorders>
            <w:noWrap/>
            <w:vAlign w:val="center"/>
          </w:tcPr>
          <w:p w14:paraId="369D62D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93775 </w:t>
            </w:r>
          </w:p>
        </w:tc>
        <w:tc>
          <w:tcPr>
            <w:tcW w:w="1110" w:type="dxa"/>
            <w:tcBorders>
              <w:tl2br w:val="nil"/>
              <w:tr2bl w:val="nil"/>
            </w:tcBorders>
            <w:noWrap/>
            <w:vAlign w:val="center"/>
          </w:tcPr>
          <w:p w14:paraId="519F49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45</w:t>
            </w:r>
          </w:p>
        </w:tc>
        <w:tc>
          <w:tcPr>
            <w:tcW w:w="1381" w:type="dxa"/>
            <w:tcBorders>
              <w:tl2br w:val="nil"/>
              <w:tr2bl w:val="nil"/>
            </w:tcBorders>
            <w:noWrap/>
            <w:vAlign w:val="center"/>
          </w:tcPr>
          <w:p w14:paraId="6970207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14.77 </w:t>
            </w:r>
          </w:p>
        </w:tc>
        <w:tc>
          <w:tcPr>
            <w:tcW w:w="1318" w:type="dxa"/>
            <w:tcBorders>
              <w:tl2br w:val="nil"/>
              <w:tr2bl w:val="nil"/>
            </w:tcBorders>
            <w:noWrap/>
            <w:vAlign w:val="center"/>
          </w:tcPr>
          <w:p w14:paraId="01D83E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359.39 </w:t>
            </w:r>
          </w:p>
        </w:tc>
      </w:tr>
      <w:tr w14:paraId="79AAC064">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35" w:type="dxa"/>
            <w:vMerge w:val="continue"/>
            <w:tcBorders>
              <w:tl2br w:val="nil"/>
              <w:tr2bl w:val="nil"/>
            </w:tcBorders>
            <w:noWrap/>
            <w:vAlign w:val="center"/>
          </w:tcPr>
          <w:p w14:paraId="74DEB9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p>
        </w:tc>
        <w:tc>
          <w:tcPr>
            <w:tcW w:w="1168" w:type="dxa"/>
            <w:tcBorders>
              <w:tl2br w:val="nil"/>
              <w:tr2bl w:val="nil"/>
            </w:tcBorders>
            <w:noWrap/>
            <w:vAlign w:val="center"/>
          </w:tcPr>
          <w:p w14:paraId="019F30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1-4倍</w:t>
            </w:r>
          </w:p>
        </w:tc>
        <w:tc>
          <w:tcPr>
            <w:tcW w:w="1485" w:type="dxa"/>
            <w:tcBorders>
              <w:tl2br w:val="nil"/>
              <w:tr2bl w:val="nil"/>
            </w:tcBorders>
            <w:noWrap/>
            <w:vAlign w:val="bottom"/>
          </w:tcPr>
          <w:p w14:paraId="118A7A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0.35</w:t>
            </w:r>
          </w:p>
        </w:tc>
        <w:tc>
          <w:tcPr>
            <w:tcW w:w="1125" w:type="dxa"/>
            <w:tcBorders>
              <w:tl2br w:val="nil"/>
              <w:tr2bl w:val="nil"/>
            </w:tcBorders>
            <w:noWrap/>
            <w:vAlign w:val="center"/>
          </w:tcPr>
          <w:p w14:paraId="05A740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87725 </w:t>
            </w:r>
          </w:p>
        </w:tc>
        <w:tc>
          <w:tcPr>
            <w:tcW w:w="1110" w:type="dxa"/>
            <w:tcBorders>
              <w:tl2br w:val="nil"/>
              <w:tr2bl w:val="nil"/>
            </w:tcBorders>
            <w:noWrap/>
            <w:vAlign w:val="center"/>
          </w:tcPr>
          <w:p w14:paraId="6F57B5C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25</w:t>
            </w:r>
          </w:p>
        </w:tc>
        <w:tc>
          <w:tcPr>
            <w:tcW w:w="1381" w:type="dxa"/>
            <w:tcBorders>
              <w:tl2br w:val="nil"/>
              <w:tr2bl w:val="nil"/>
            </w:tcBorders>
            <w:noWrap/>
            <w:vAlign w:val="center"/>
          </w:tcPr>
          <w:p w14:paraId="2D275F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7.68 </w:t>
            </w:r>
          </w:p>
        </w:tc>
        <w:tc>
          <w:tcPr>
            <w:tcW w:w="1318" w:type="dxa"/>
            <w:tcBorders>
              <w:tl2br w:val="nil"/>
              <w:tr2bl w:val="nil"/>
            </w:tcBorders>
            <w:noWrap/>
            <w:vAlign w:val="center"/>
          </w:tcPr>
          <w:p w14:paraId="5D4C65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186.78 </w:t>
            </w:r>
          </w:p>
        </w:tc>
      </w:tr>
      <w:tr w14:paraId="64DF84F1">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35" w:type="dxa"/>
            <w:vMerge w:val="continue"/>
            <w:tcBorders>
              <w:tl2br w:val="nil"/>
              <w:tr2bl w:val="nil"/>
            </w:tcBorders>
            <w:noWrap/>
            <w:vAlign w:val="center"/>
          </w:tcPr>
          <w:p w14:paraId="4509E61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p>
        </w:tc>
        <w:tc>
          <w:tcPr>
            <w:tcW w:w="1168" w:type="dxa"/>
            <w:tcBorders>
              <w:tl2br w:val="nil"/>
              <w:tr2bl w:val="nil"/>
            </w:tcBorders>
            <w:noWrap/>
            <w:vAlign w:val="center"/>
          </w:tcPr>
          <w:p w14:paraId="07DFB9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1倍以下</w:t>
            </w:r>
          </w:p>
        </w:tc>
        <w:tc>
          <w:tcPr>
            <w:tcW w:w="1485" w:type="dxa"/>
            <w:tcBorders>
              <w:tl2br w:val="nil"/>
              <w:tr2bl w:val="nil"/>
            </w:tcBorders>
            <w:noWrap/>
            <w:vAlign w:val="bottom"/>
          </w:tcPr>
          <w:p w14:paraId="6FF548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eastAsia" w:ascii="Times New Roman" w:hAnsi="Times New Roman" w:eastAsia="宋体"/>
                <w:color w:val="000000"/>
                <w:kern w:val="0"/>
                <w:sz w:val="21"/>
                <w:szCs w:val="21"/>
                <w:lang w:bidi="ar"/>
              </w:rPr>
              <w:t>0.35</w:t>
            </w:r>
          </w:p>
        </w:tc>
        <w:tc>
          <w:tcPr>
            <w:tcW w:w="1125" w:type="dxa"/>
            <w:tcBorders>
              <w:tl2br w:val="nil"/>
              <w:tr2bl w:val="nil"/>
            </w:tcBorders>
            <w:noWrap/>
            <w:vAlign w:val="center"/>
          </w:tcPr>
          <w:p w14:paraId="47060C5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299475 </w:t>
            </w:r>
          </w:p>
        </w:tc>
        <w:tc>
          <w:tcPr>
            <w:tcW w:w="1110" w:type="dxa"/>
            <w:tcBorders>
              <w:tl2br w:val="nil"/>
              <w:tr2bl w:val="nil"/>
            </w:tcBorders>
            <w:noWrap/>
            <w:vAlign w:val="center"/>
          </w:tcPr>
          <w:p w14:paraId="0218EFB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5</w:t>
            </w:r>
          </w:p>
        </w:tc>
        <w:tc>
          <w:tcPr>
            <w:tcW w:w="1381" w:type="dxa"/>
            <w:tcBorders>
              <w:tl2br w:val="nil"/>
              <w:tr2bl w:val="nil"/>
            </w:tcBorders>
            <w:noWrap/>
            <w:vAlign w:val="center"/>
          </w:tcPr>
          <w:p w14:paraId="73D7F7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5.24 </w:t>
            </w:r>
          </w:p>
        </w:tc>
        <w:tc>
          <w:tcPr>
            <w:tcW w:w="1318" w:type="dxa"/>
            <w:tcBorders>
              <w:tl2br w:val="nil"/>
              <w:tr2bl w:val="nil"/>
            </w:tcBorders>
            <w:noWrap/>
            <w:vAlign w:val="center"/>
          </w:tcPr>
          <w:p w14:paraId="27E0A9C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 xml:space="preserve">127.53 </w:t>
            </w:r>
          </w:p>
        </w:tc>
      </w:tr>
      <w:tr w14:paraId="71F7AD9B">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5823" w:type="dxa"/>
            <w:gridSpan w:val="5"/>
            <w:tcBorders>
              <w:tl2br w:val="nil"/>
              <w:tr2bl w:val="nil"/>
            </w:tcBorders>
            <w:noWrap/>
            <w:vAlign w:val="center"/>
          </w:tcPr>
          <w:p w14:paraId="027C20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olor w:val="000000"/>
                <w:kern w:val="0"/>
                <w:sz w:val="21"/>
                <w:szCs w:val="21"/>
                <w:lang w:bidi="ar"/>
              </w:rPr>
            </w:pPr>
            <w:r>
              <w:rPr>
                <w:rFonts w:hint="default" w:ascii="Times New Roman" w:hAnsi="Times New Roman" w:eastAsia="宋体"/>
                <w:color w:val="000000"/>
                <w:kern w:val="0"/>
                <w:sz w:val="21"/>
                <w:szCs w:val="21"/>
                <w:lang w:bidi="ar"/>
              </w:rPr>
              <w:t>合计</w:t>
            </w:r>
          </w:p>
        </w:tc>
        <w:tc>
          <w:tcPr>
            <w:tcW w:w="1381" w:type="dxa"/>
            <w:tcBorders>
              <w:tl2br w:val="nil"/>
              <w:tr2bl w:val="nil"/>
            </w:tcBorders>
            <w:noWrap/>
            <w:vAlign w:val="center"/>
          </w:tcPr>
          <w:p w14:paraId="2DC9C6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
                <w:bCs/>
                <w:color w:val="000000"/>
                <w:kern w:val="0"/>
                <w:sz w:val="21"/>
                <w:szCs w:val="21"/>
                <w:lang w:bidi="ar"/>
              </w:rPr>
            </w:pPr>
            <w:r>
              <w:rPr>
                <w:rFonts w:hint="default" w:ascii="Times New Roman" w:hAnsi="Times New Roman" w:eastAsia="宋体"/>
                <w:b/>
                <w:bCs/>
                <w:color w:val="000000"/>
                <w:kern w:val="0"/>
                <w:sz w:val="21"/>
                <w:szCs w:val="21"/>
                <w:lang w:bidi="ar"/>
              </w:rPr>
              <w:t xml:space="preserve">27.69 </w:t>
            </w:r>
          </w:p>
        </w:tc>
        <w:tc>
          <w:tcPr>
            <w:tcW w:w="1318" w:type="dxa"/>
            <w:tcBorders>
              <w:tl2br w:val="nil"/>
              <w:tr2bl w:val="nil"/>
            </w:tcBorders>
            <w:noWrap/>
            <w:vAlign w:val="center"/>
          </w:tcPr>
          <w:p w14:paraId="2E7E1C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
                <w:bCs/>
                <w:color w:val="000000"/>
                <w:kern w:val="0"/>
                <w:sz w:val="21"/>
                <w:szCs w:val="21"/>
                <w:lang w:bidi="ar"/>
              </w:rPr>
            </w:pPr>
            <w:r>
              <w:rPr>
                <w:rFonts w:hint="default" w:ascii="Times New Roman" w:hAnsi="Times New Roman" w:eastAsia="宋体"/>
                <w:b/>
                <w:bCs/>
                <w:color w:val="000000"/>
                <w:kern w:val="0"/>
                <w:sz w:val="21"/>
                <w:szCs w:val="21"/>
                <w:lang w:bidi="ar"/>
              </w:rPr>
              <w:t xml:space="preserve">673.70 </w:t>
            </w:r>
          </w:p>
        </w:tc>
      </w:tr>
    </w:tbl>
    <w:p w14:paraId="65FF3967">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根据</w:t>
      </w:r>
      <w:r>
        <w:rPr>
          <w:rFonts w:hint="eastAsia" w:ascii="Times New Roman" w:hAnsi="Times New Roman" w:eastAsia="宋体"/>
          <w:sz w:val="24"/>
          <w:szCs w:val="28"/>
          <w:lang w:eastAsia="zh-CN"/>
        </w:rPr>
        <w:t>5.2.6</w:t>
      </w:r>
      <w:r>
        <w:rPr>
          <w:rFonts w:ascii="Times New Roman" w:hAnsi="Times New Roman" w:eastAsia="宋体"/>
          <w:sz w:val="24"/>
          <w:szCs w:val="28"/>
        </w:rPr>
        <w:t>.3.1节所述资源损失计算公式，</w:t>
      </w:r>
      <w:r>
        <w:rPr>
          <w:rFonts w:ascii="Times New Roman" w:hAnsi="Times New Roman" w:eastAsia="宋体"/>
          <w:b/>
          <w:bCs/>
          <w:sz w:val="24"/>
          <w:szCs w:val="28"/>
        </w:rPr>
        <w:t>施工期临时占用</w:t>
      </w:r>
      <w:r>
        <w:rPr>
          <w:rFonts w:ascii="Times New Roman" w:hAnsi="Times New Roman" w:eastAsia="宋体"/>
          <w:sz w:val="24"/>
          <w:szCs w:val="28"/>
        </w:rPr>
        <w:t>保护区水域造成浮游植物、浮游动物的年损失量分别为</w:t>
      </w:r>
      <w:r>
        <w:rPr>
          <w:rFonts w:hint="eastAsia" w:ascii="Times New Roman" w:hAnsi="Times New Roman" w:eastAsia="宋体"/>
          <w:sz w:val="24"/>
          <w:szCs w:val="28"/>
        </w:rPr>
        <w:t>57.48 kg/a</w:t>
      </w:r>
      <w:r>
        <w:rPr>
          <w:rFonts w:ascii="Times New Roman" w:hAnsi="Times New Roman" w:eastAsia="宋体"/>
          <w:sz w:val="24"/>
          <w:szCs w:val="28"/>
        </w:rPr>
        <w:t>和</w:t>
      </w:r>
      <w:r>
        <w:rPr>
          <w:rFonts w:hint="eastAsia" w:ascii="Times New Roman" w:hAnsi="Times New Roman" w:eastAsia="宋体"/>
          <w:sz w:val="24"/>
          <w:szCs w:val="28"/>
        </w:rPr>
        <w:t>1.72</w:t>
      </w:r>
      <w:r>
        <w:rPr>
          <w:rFonts w:ascii="Times New Roman" w:hAnsi="Times New Roman" w:eastAsia="宋体"/>
          <w:sz w:val="24"/>
          <w:szCs w:val="28"/>
        </w:rPr>
        <w:t xml:space="preserve"> kg/a。</w:t>
      </w:r>
      <w:r>
        <w:rPr>
          <w:rFonts w:ascii="Times New Roman" w:hAnsi="Times New Roman" w:eastAsia="宋体"/>
          <w:b/>
          <w:bCs/>
          <w:sz w:val="24"/>
          <w:szCs w:val="28"/>
        </w:rPr>
        <w:t>运营期长期占用</w:t>
      </w:r>
      <w:r>
        <w:rPr>
          <w:rFonts w:ascii="Times New Roman" w:hAnsi="Times New Roman" w:eastAsia="宋体"/>
          <w:sz w:val="24"/>
          <w:szCs w:val="28"/>
        </w:rPr>
        <w:t>保护区水域造成浮游植物、浮游动物的年损失量分别为</w:t>
      </w:r>
      <w:r>
        <w:rPr>
          <w:rFonts w:hint="eastAsia" w:ascii="Times New Roman" w:hAnsi="Times New Roman" w:eastAsia="宋体"/>
          <w:sz w:val="24"/>
          <w:szCs w:val="28"/>
        </w:rPr>
        <w:t>603.45</w:t>
      </w:r>
      <w:r>
        <w:rPr>
          <w:rFonts w:ascii="Times New Roman" w:hAnsi="Times New Roman" w:eastAsia="宋体"/>
          <w:sz w:val="24"/>
          <w:szCs w:val="28"/>
        </w:rPr>
        <w:t xml:space="preserve"> kg/a和</w:t>
      </w:r>
      <w:r>
        <w:rPr>
          <w:rFonts w:hint="eastAsia" w:ascii="Times New Roman" w:hAnsi="Times New Roman" w:eastAsia="宋体"/>
          <w:sz w:val="24"/>
          <w:szCs w:val="28"/>
        </w:rPr>
        <w:t>18.01</w:t>
      </w:r>
      <w:r>
        <w:rPr>
          <w:rFonts w:ascii="Times New Roman" w:hAnsi="Times New Roman" w:eastAsia="宋体"/>
          <w:sz w:val="24"/>
          <w:szCs w:val="28"/>
        </w:rPr>
        <w:t xml:space="preserve"> kg/a。</w:t>
      </w:r>
    </w:p>
    <w:p w14:paraId="32A2091E">
      <w:pPr>
        <w:adjustRightInd/>
        <w:snapToGrid/>
        <w:spacing w:line="400" w:lineRule="exact"/>
        <w:ind w:firstLine="0" w:firstLineChars="0"/>
        <w:jc w:val="center"/>
        <w:rPr>
          <w:rFonts w:hint="eastAsia" w:eastAsia="黑体"/>
          <w:color w:val="auto"/>
          <w:sz w:val="24"/>
          <w:szCs w:val="21"/>
        </w:rPr>
      </w:pPr>
      <w:r>
        <w:rPr>
          <w:rFonts w:hint="eastAsia" w:eastAsia="黑体"/>
          <w:color w:val="auto"/>
          <w:sz w:val="24"/>
          <w:szCs w:val="21"/>
        </w:rPr>
        <w:t>表</w:t>
      </w:r>
      <w:r>
        <w:rPr>
          <w:rFonts w:hint="eastAsia" w:eastAsia="黑体"/>
          <w:color w:val="auto"/>
          <w:sz w:val="24"/>
          <w:szCs w:val="21"/>
          <w:lang w:eastAsia="zh-CN"/>
        </w:rPr>
        <w:t>5.2</w:t>
      </w:r>
      <w:r>
        <w:rPr>
          <w:rFonts w:hint="eastAsia" w:eastAsia="黑体"/>
          <w:color w:val="auto"/>
          <w:sz w:val="24"/>
          <w:szCs w:val="21"/>
          <w:lang w:val="en-US" w:eastAsia="zh-CN"/>
        </w:rPr>
        <w:t>-29</w:t>
      </w:r>
      <w:r>
        <w:rPr>
          <w:rFonts w:hint="eastAsia" w:eastAsia="黑体"/>
          <w:color w:val="auto"/>
          <w:sz w:val="24"/>
          <w:szCs w:val="21"/>
        </w:rPr>
        <w:t xml:space="preserve">  施工期内工程临时占用影响区域浮游生物资源年损失量</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
      <w:tblGrid>
        <w:gridCol w:w="1236"/>
        <w:gridCol w:w="1868"/>
        <w:gridCol w:w="1869"/>
        <w:gridCol w:w="1474"/>
        <w:gridCol w:w="1235"/>
        <w:gridCol w:w="1605"/>
      </w:tblGrid>
      <w:tr w14:paraId="2006D03E">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134" w:type="dxa"/>
            <w:tcBorders>
              <w:tl2br w:val="nil"/>
              <w:tr2bl w:val="nil"/>
            </w:tcBorders>
            <w:noWrap/>
            <w:vAlign w:val="center"/>
          </w:tcPr>
          <w:p w14:paraId="7E73EE6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kern w:val="0"/>
                <w:sz w:val="21"/>
                <w:szCs w:val="21"/>
              </w:rPr>
            </w:pPr>
            <w:r>
              <w:rPr>
                <w:rFonts w:hint="default" w:ascii="Times New Roman" w:hAnsi="Times New Roman" w:eastAsia="宋体"/>
                <w:b/>
                <w:bCs/>
                <w:kern w:val="0"/>
                <w:sz w:val="21"/>
                <w:szCs w:val="21"/>
              </w:rPr>
              <w:t>影响类型</w:t>
            </w:r>
          </w:p>
        </w:tc>
        <w:tc>
          <w:tcPr>
            <w:tcW w:w="1714" w:type="dxa"/>
            <w:tcBorders>
              <w:tl2br w:val="nil"/>
              <w:tr2bl w:val="nil"/>
            </w:tcBorders>
            <w:noWrap w:val="0"/>
            <w:vAlign w:val="top"/>
          </w:tcPr>
          <w:p w14:paraId="095FBDC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sz w:val="21"/>
                <w:szCs w:val="21"/>
              </w:rPr>
            </w:pPr>
            <w:r>
              <w:rPr>
                <w:rFonts w:hint="default" w:ascii="Times New Roman" w:hAnsi="Times New Roman" w:eastAsia="宋体"/>
                <w:b/>
                <w:bCs/>
                <w:sz w:val="21"/>
                <w:szCs w:val="21"/>
              </w:rPr>
              <w:t>类群</w:t>
            </w:r>
          </w:p>
        </w:tc>
        <w:tc>
          <w:tcPr>
            <w:tcW w:w="1715" w:type="dxa"/>
            <w:tcBorders>
              <w:tl2br w:val="nil"/>
              <w:tr2bl w:val="nil"/>
            </w:tcBorders>
            <w:noWrap/>
            <w:vAlign w:val="center"/>
          </w:tcPr>
          <w:p w14:paraId="033C87B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sz w:val="21"/>
                <w:szCs w:val="21"/>
              </w:rPr>
            </w:pPr>
            <w:r>
              <w:rPr>
                <w:rFonts w:hint="default" w:ascii="Times New Roman" w:hAnsi="Times New Roman" w:eastAsia="宋体"/>
                <w:b/>
                <w:bCs/>
                <w:kern w:val="0"/>
                <w:sz w:val="21"/>
                <w:szCs w:val="21"/>
              </w:rPr>
              <w:t>生物量(mg/L)</w:t>
            </w:r>
          </w:p>
        </w:tc>
        <w:tc>
          <w:tcPr>
            <w:tcW w:w="1353" w:type="dxa"/>
            <w:tcBorders>
              <w:tl2br w:val="nil"/>
              <w:tr2bl w:val="nil"/>
            </w:tcBorders>
            <w:noWrap/>
            <w:vAlign w:val="center"/>
          </w:tcPr>
          <w:p w14:paraId="3E37340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sz w:val="21"/>
                <w:szCs w:val="21"/>
              </w:rPr>
            </w:pPr>
            <w:r>
              <w:rPr>
                <w:rFonts w:hint="default" w:ascii="Times New Roman" w:hAnsi="Times New Roman" w:eastAsia="宋体"/>
                <w:b/>
                <w:bCs/>
                <w:kern w:val="0"/>
                <w:sz w:val="21"/>
                <w:szCs w:val="21"/>
              </w:rPr>
              <w:t>体积(m</w:t>
            </w:r>
            <w:r>
              <w:rPr>
                <w:rFonts w:hint="default" w:ascii="Times New Roman" w:hAnsi="Times New Roman" w:eastAsia="宋体"/>
                <w:b/>
                <w:bCs/>
                <w:kern w:val="0"/>
                <w:sz w:val="21"/>
                <w:szCs w:val="21"/>
                <w:vertAlign w:val="superscript"/>
              </w:rPr>
              <w:t>3</w:t>
            </w:r>
            <w:r>
              <w:rPr>
                <w:rFonts w:hint="default" w:ascii="Times New Roman" w:hAnsi="Times New Roman" w:eastAsia="宋体"/>
                <w:b/>
                <w:bCs/>
                <w:kern w:val="0"/>
                <w:sz w:val="21"/>
                <w:szCs w:val="21"/>
              </w:rPr>
              <w:t>)</w:t>
            </w:r>
          </w:p>
        </w:tc>
        <w:tc>
          <w:tcPr>
            <w:tcW w:w="1133" w:type="dxa"/>
            <w:tcBorders>
              <w:tl2br w:val="nil"/>
              <w:tr2bl w:val="nil"/>
            </w:tcBorders>
            <w:noWrap/>
            <w:vAlign w:val="center"/>
          </w:tcPr>
          <w:p w14:paraId="0643BF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kern w:val="0"/>
                <w:sz w:val="21"/>
                <w:szCs w:val="21"/>
              </w:rPr>
            </w:pPr>
            <w:r>
              <w:rPr>
                <w:rFonts w:hint="default" w:ascii="Times New Roman" w:hAnsi="Times New Roman" w:eastAsia="宋体"/>
                <w:b/>
                <w:bCs/>
                <w:kern w:val="0"/>
                <w:sz w:val="21"/>
                <w:szCs w:val="21"/>
              </w:rPr>
              <w:t>损失率</w:t>
            </w:r>
            <w:r>
              <w:rPr>
                <w:rFonts w:hint="default" w:ascii="Times New Roman" w:hAnsi="Times New Roman" w:eastAsia="宋体"/>
                <w:b/>
                <w:bCs/>
                <w:sz w:val="21"/>
                <w:szCs w:val="21"/>
              </w:rPr>
              <w:t>%</w:t>
            </w:r>
          </w:p>
        </w:tc>
        <w:tc>
          <w:tcPr>
            <w:tcW w:w="1473" w:type="dxa"/>
            <w:tcBorders>
              <w:tl2br w:val="nil"/>
              <w:tr2bl w:val="nil"/>
            </w:tcBorders>
            <w:noWrap/>
            <w:vAlign w:val="center"/>
          </w:tcPr>
          <w:p w14:paraId="76DC9E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kern w:val="0"/>
                <w:sz w:val="21"/>
                <w:szCs w:val="21"/>
              </w:rPr>
            </w:pPr>
            <w:r>
              <w:rPr>
                <w:rFonts w:hint="default" w:ascii="Times New Roman" w:hAnsi="Times New Roman" w:eastAsia="宋体"/>
                <w:b/>
                <w:bCs/>
                <w:kern w:val="0"/>
                <w:sz w:val="21"/>
                <w:szCs w:val="21"/>
              </w:rPr>
              <w:t>损失量(kg/a)</w:t>
            </w:r>
          </w:p>
        </w:tc>
      </w:tr>
      <w:tr w14:paraId="06C089A1">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134" w:type="dxa"/>
            <w:vMerge w:val="restart"/>
            <w:tcBorders>
              <w:tl2br w:val="nil"/>
              <w:tr2bl w:val="nil"/>
            </w:tcBorders>
            <w:noWrap/>
            <w:vAlign w:val="center"/>
          </w:tcPr>
          <w:p w14:paraId="4B8D00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kern w:val="0"/>
                <w:sz w:val="21"/>
                <w:szCs w:val="21"/>
              </w:rPr>
            </w:pPr>
            <w:r>
              <w:rPr>
                <w:rFonts w:hint="default" w:ascii="Times New Roman" w:hAnsi="Times New Roman" w:eastAsia="宋体"/>
                <w:kern w:val="0"/>
                <w:sz w:val="21"/>
                <w:szCs w:val="21"/>
              </w:rPr>
              <w:t>临时占用</w:t>
            </w:r>
          </w:p>
        </w:tc>
        <w:tc>
          <w:tcPr>
            <w:tcW w:w="1714" w:type="dxa"/>
            <w:tcBorders>
              <w:tl2br w:val="nil"/>
              <w:tr2bl w:val="nil"/>
            </w:tcBorders>
            <w:noWrap w:val="0"/>
            <w:vAlign w:val="top"/>
          </w:tcPr>
          <w:p w14:paraId="69AB7C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kern w:val="0"/>
                <w:sz w:val="21"/>
                <w:szCs w:val="21"/>
              </w:rPr>
            </w:pPr>
            <w:r>
              <w:rPr>
                <w:rFonts w:hint="default" w:ascii="Times New Roman" w:hAnsi="Times New Roman" w:eastAsia="宋体"/>
                <w:kern w:val="0"/>
                <w:sz w:val="21"/>
                <w:szCs w:val="21"/>
              </w:rPr>
              <w:t>浮游植物</w:t>
            </w:r>
          </w:p>
        </w:tc>
        <w:tc>
          <w:tcPr>
            <w:tcW w:w="1715" w:type="dxa"/>
            <w:tcBorders>
              <w:tl2br w:val="nil"/>
              <w:tr2bl w:val="nil"/>
            </w:tcBorders>
            <w:noWrap/>
            <w:vAlign w:val="center"/>
          </w:tcPr>
          <w:p w14:paraId="15B7B34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kern w:val="0"/>
                <w:sz w:val="21"/>
                <w:szCs w:val="21"/>
              </w:rPr>
            </w:pPr>
            <w:r>
              <w:rPr>
                <w:rFonts w:hint="eastAsia" w:ascii="Times New Roman" w:hAnsi="Times New Roman" w:eastAsia="宋体"/>
                <w:color w:val="000000"/>
                <w:kern w:val="0"/>
                <w:sz w:val="21"/>
                <w:szCs w:val="21"/>
                <w:lang w:bidi="ar"/>
              </w:rPr>
              <w:t>11.73</w:t>
            </w:r>
          </w:p>
        </w:tc>
        <w:tc>
          <w:tcPr>
            <w:tcW w:w="1353" w:type="dxa"/>
            <w:tcBorders>
              <w:tl2br w:val="nil"/>
              <w:tr2bl w:val="nil"/>
            </w:tcBorders>
            <w:noWrap/>
            <w:vAlign w:val="center"/>
          </w:tcPr>
          <w:p w14:paraId="7C0F099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kern w:val="0"/>
                <w:sz w:val="21"/>
                <w:szCs w:val="21"/>
              </w:rPr>
            </w:pPr>
            <w:r>
              <w:rPr>
                <w:rFonts w:hint="eastAsia" w:ascii="Times New Roman" w:hAnsi="Times New Roman" w:eastAsia="宋体"/>
                <w:kern w:val="0"/>
                <w:sz w:val="21"/>
                <w:szCs w:val="21"/>
              </w:rPr>
              <w:t>4900</w:t>
            </w:r>
          </w:p>
        </w:tc>
        <w:tc>
          <w:tcPr>
            <w:tcW w:w="1133" w:type="dxa"/>
            <w:vMerge w:val="restart"/>
            <w:tcBorders>
              <w:tl2br w:val="nil"/>
              <w:tr2bl w:val="nil"/>
            </w:tcBorders>
            <w:noWrap/>
            <w:vAlign w:val="center"/>
          </w:tcPr>
          <w:p w14:paraId="044E4A3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kern w:val="0"/>
                <w:sz w:val="21"/>
                <w:szCs w:val="21"/>
              </w:rPr>
            </w:pPr>
            <w:r>
              <w:rPr>
                <w:rFonts w:hint="default" w:ascii="Times New Roman" w:hAnsi="Times New Roman" w:eastAsia="宋体"/>
                <w:kern w:val="0"/>
                <w:sz w:val="21"/>
                <w:szCs w:val="21"/>
              </w:rPr>
              <w:t>100</w:t>
            </w:r>
          </w:p>
        </w:tc>
        <w:tc>
          <w:tcPr>
            <w:tcW w:w="1473" w:type="dxa"/>
            <w:tcBorders>
              <w:tl2br w:val="nil"/>
              <w:tr2bl w:val="nil"/>
            </w:tcBorders>
            <w:noWrap/>
            <w:vAlign w:val="center"/>
          </w:tcPr>
          <w:p w14:paraId="1AF2B83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kern w:val="0"/>
                <w:sz w:val="21"/>
                <w:szCs w:val="21"/>
              </w:rPr>
            </w:pPr>
            <w:r>
              <w:rPr>
                <w:rFonts w:hint="eastAsia" w:ascii="Times New Roman" w:hAnsi="Times New Roman" w:eastAsia="宋体"/>
                <w:kern w:val="0"/>
                <w:sz w:val="21"/>
                <w:szCs w:val="21"/>
              </w:rPr>
              <w:t>57.85</w:t>
            </w:r>
          </w:p>
        </w:tc>
      </w:tr>
      <w:tr w14:paraId="2CDFD4FD">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134" w:type="dxa"/>
            <w:vMerge w:val="continue"/>
            <w:tcBorders>
              <w:tl2br w:val="nil"/>
              <w:tr2bl w:val="nil"/>
            </w:tcBorders>
            <w:noWrap/>
            <w:vAlign w:val="center"/>
          </w:tcPr>
          <w:p w14:paraId="388EAD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kern w:val="0"/>
                <w:sz w:val="21"/>
                <w:szCs w:val="21"/>
              </w:rPr>
            </w:pPr>
          </w:p>
        </w:tc>
        <w:tc>
          <w:tcPr>
            <w:tcW w:w="1714" w:type="dxa"/>
            <w:tcBorders>
              <w:tl2br w:val="nil"/>
              <w:tr2bl w:val="nil"/>
            </w:tcBorders>
            <w:noWrap w:val="0"/>
            <w:vAlign w:val="top"/>
          </w:tcPr>
          <w:p w14:paraId="424AC0A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kern w:val="0"/>
                <w:sz w:val="21"/>
                <w:szCs w:val="21"/>
              </w:rPr>
            </w:pPr>
            <w:r>
              <w:rPr>
                <w:rFonts w:hint="default" w:ascii="Times New Roman" w:hAnsi="Times New Roman" w:eastAsia="宋体"/>
                <w:kern w:val="0"/>
                <w:sz w:val="21"/>
                <w:szCs w:val="21"/>
              </w:rPr>
              <w:t>浮游动物</w:t>
            </w:r>
          </w:p>
        </w:tc>
        <w:tc>
          <w:tcPr>
            <w:tcW w:w="1715" w:type="dxa"/>
            <w:tcBorders>
              <w:tl2br w:val="nil"/>
              <w:tr2bl w:val="nil"/>
            </w:tcBorders>
            <w:noWrap/>
            <w:vAlign w:val="center"/>
          </w:tcPr>
          <w:p w14:paraId="569538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kern w:val="0"/>
                <w:sz w:val="21"/>
                <w:szCs w:val="21"/>
              </w:rPr>
            </w:pPr>
            <w:r>
              <w:rPr>
                <w:rFonts w:hint="eastAsia" w:ascii="Times New Roman" w:hAnsi="Times New Roman" w:eastAsia="宋体"/>
                <w:color w:val="000000"/>
                <w:kern w:val="0"/>
                <w:sz w:val="21"/>
                <w:szCs w:val="21"/>
                <w:lang w:bidi="ar"/>
              </w:rPr>
              <w:t>0.35</w:t>
            </w:r>
          </w:p>
        </w:tc>
        <w:tc>
          <w:tcPr>
            <w:tcW w:w="1353" w:type="dxa"/>
            <w:tcBorders>
              <w:tl2br w:val="nil"/>
              <w:tr2bl w:val="nil"/>
            </w:tcBorders>
            <w:noWrap/>
            <w:vAlign w:val="center"/>
          </w:tcPr>
          <w:p w14:paraId="6FDF05E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kern w:val="0"/>
                <w:sz w:val="21"/>
                <w:szCs w:val="21"/>
              </w:rPr>
            </w:pPr>
            <w:r>
              <w:rPr>
                <w:rFonts w:hint="eastAsia" w:ascii="Times New Roman" w:hAnsi="Times New Roman" w:eastAsia="宋体"/>
                <w:kern w:val="0"/>
                <w:sz w:val="21"/>
                <w:szCs w:val="21"/>
              </w:rPr>
              <w:t>4900</w:t>
            </w:r>
          </w:p>
        </w:tc>
        <w:tc>
          <w:tcPr>
            <w:tcW w:w="1133" w:type="dxa"/>
            <w:vMerge w:val="continue"/>
            <w:tcBorders>
              <w:tl2br w:val="nil"/>
              <w:tr2bl w:val="nil"/>
            </w:tcBorders>
            <w:noWrap/>
            <w:vAlign w:val="center"/>
          </w:tcPr>
          <w:p w14:paraId="61F7981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kern w:val="0"/>
                <w:sz w:val="21"/>
                <w:szCs w:val="21"/>
              </w:rPr>
            </w:pPr>
          </w:p>
        </w:tc>
        <w:tc>
          <w:tcPr>
            <w:tcW w:w="1473" w:type="dxa"/>
            <w:tcBorders>
              <w:tl2br w:val="nil"/>
              <w:tr2bl w:val="nil"/>
            </w:tcBorders>
            <w:noWrap/>
            <w:vAlign w:val="center"/>
          </w:tcPr>
          <w:p w14:paraId="0DFF8A5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kern w:val="0"/>
                <w:sz w:val="21"/>
                <w:szCs w:val="21"/>
              </w:rPr>
            </w:pPr>
            <w:r>
              <w:rPr>
                <w:rFonts w:hint="eastAsia" w:ascii="Times New Roman" w:hAnsi="Times New Roman" w:eastAsia="宋体"/>
                <w:kern w:val="0"/>
                <w:sz w:val="21"/>
                <w:szCs w:val="21"/>
              </w:rPr>
              <w:t>1.72</w:t>
            </w:r>
          </w:p>
        </w:tc>
      </w:tr>
    </w:tbl>
    <w:p w14:paraId="7C17C41F">
      <w:pPr>
        <w:adjustRightInd/>
        <w:snapToGrid/>
        <w:spacing w:line="400" w:lineRule="exact"/>
        <w:ind w:firstLine="0" w:firstLineChars="0"/>
        <w:jc w:val="center"/>
        <w:rPr>
          <w:rFonts w:hint="eastAsia" w:eastAsia="黑体"/>
          <w:color w:val="auto"/>
          <w:sz w:val="24"/>
          <w:szCs w:val="21"/>
        </w:rPr>
      </w:pPr>
      <w:r>
        <w:rPr>
          <w:rFonts w:hint="eastAsia" w:eastAsia="黑体"/>
          <w:color w:val="auto"/>
          <w:sz w:val="24"/>
          <w:szCs w:val="21"/>
        </w:rPr>
        <w:t>表</w:t>
      </w:r>
      <w:r>
        <w:rPr>
          <w:rFonts w:hint="eastAsia" w:eastAsia="黑体"/>
          <w:color w:val="auto"/>
          <w:sz w:val="24"/>
          <w:szCs w:val="21"/>
          <w:lang w:eastAsia="zh-CN"/>
        </w:rPr>
        <w:t>5.2</w:t>
      </w:r>
      <w:r>
        <w:rPr>
          <w:rFonts w:hint="eastAsia" w:eastAsia="黑体"/>
          <w:color w:val="auto"/>
          <w:sz w:val="24"/>
          <w:szCs w:val="21"/>
          <w:lang w:val="en-US" w:eastAsia="zh-CN"/>
        </w:rPr>
        <w:t>-30</w:t>
      </w:r>
      <w:r>
        <w:rPr>
          <w:rFonts w:hint="eastAsia" w:eastAsia="黑体"/>
          <w:color w:val="auto"/>
          <w:sz w:val="24"/>
          <w:szCs w:val="21"/>
        </w:rPr>
        <w:t xml:space="preserve">  运营期内工程长期占用影响区域浮游生物资源年损失量</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
      <w:tblGrid>
        <w:gridCol w:w="1236"/>
        <w:gridCol w:w="1868"/>
        <w:gridCol w:w="1869"/>
        <w:gridCol w:w="1474"/>
        <w:gridCol w:w="1235"/>
        <w:gridCol w:w="1605"/>
      </w:tblGrid>
      <w:tr w14:paraId="47604FA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134" w:type="dxa"/>
            <w:tcBorders>
              <w:tl2br w:val="nil"/>
              <w:tr2bl w:val="nil"/>
            </w:tcBorders>
            <w:noWrap/>
            <w:vAlign w:val="center"/>
          </w:tcPr>
          <w:p w14:paraId="12726B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kern w:val="0"/>
                <w:sz w:val="21"/>
                <w:szCs w:val="21"/>
              </w:rPr>
            </w:pPr>
            <w:r>
              <w:rPr>
                <w:rFonts w:hint="default" w:ascii="Times New Roman" w:hAnsi="Times New Roman" w:eastAsia="宋体"/>
                <w:b/>
                <w:bCs/>
                <w:kern w:val="0"/>
                <w:sz w:val="21"/>
                <w:szCs w:val="21"/>
              </w:rPr>
              <w:t>影响类型</w:t>
            </w:r>
          </w:p>
        </w:tc>
        <w:tc>
          <w:tcPr>
            <w:tcW w:w="1714" w:type="dxa"/>
            <w:tcBorders>
              <w:tl2br w:val="nil"/>
              <w:tr2bl w:val="nil"/>
            </w:tcBorders>
            <w:noWrap w:val="0"/>
            <w:vAlign w:val="top"/>
          </w:tcPr>
          <w:p w14:paraId="28B8898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sz w:val="21"/>
                <w:szCs w:val="21"/>
              </w:rPr>
            </w:pPr>
            <w:r>
              <w:rPr>
                <w:rFonts w:hint="default" w:ascii="Times New Roman" w:hAnsi="Times New Roman" w:eastAsia="宋体"/>
                <w:b/>
                <w:bCs/>
                <w:sz w:val="21"/>
                <w:szCs w:val="21"/>
              </w:rPr>
              <w:t>类群</w:t>
            </w:r>
          </w:p>
        </w:tc>
        <w:tc>
          <w:tcPr>
            <w:tcW w:w="1715" w:type="dxa"/>
            <w:tcBorders>
              <w:tl2br w:val="nil"/>
              <w:tr2bl w:val="nil"/>
            </w:tcBorders>
            <w:noWrap/>
            <w:vAlign w:val="center"/>
          </w:tcPr>
          <w:p w14:paraId="1D5BC32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sz w:val="21"/>
                <w:szCs w:val="21"/>
              </w:rPr>
            </w:pPr>
            <w:r>
              <w:rPr>
                <w:rFonts w:hint="default" w:ascii="Times New Roman" w:hAnsi="Times New Roman" w:eastAsia="宋体"/>
                <w:b/>
                <w:bCs/>
                <w:kern w:val="0"/>
                <w:sz w:val="21"/>
                <w:szCs w:val="21"/>
              </w:rPr>
              <w:t>生物量(mg/L)</w:t>
            </w:r>
          </w:p>
        </w:tc>
        <w:tc>
          <w:tcPr>
            <w:tcW w:w="1353" w:type="dxa"/>
            <w:tcBorders>
              <w:tl2br w:val="nil"/>
              <w:tr2bl w:val="nil"/>
            </w:tcBorders>
            <w:noWrap/>
            <w:vAlign w:val="center"/>
          </w:tcPr>
          <w:p w14:paraId="1C8BD77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sz w:val="21"/>
                <w:szCs w:val="21"/>
              </w:rPr>
            </w:pPr>
            <w:r>
              <w:rPr>
                <w:rFonts w:hint="default" w:ascii="Times New Roman" w:hAnsi="Times New Roman" w:eastAsia="宋体"/>
                <w:b/>
                <w:bCs/>
                <w:kern w:val="0"/>
                <w:sz w:val="21"/>
                <w:szCs w:val="21"/>
              </w:rPr>
              <w:t>体积(m</w:t>
            </w:r>
            <w:r>
              <w:rPr>
                <w:rFonts w:hint="default" w:ascii="Times New Roman" w:hAnsi="Times New Roman" w:eastAsia="宋体"/>
                <w:b/>
                <w:bCs/>
                <w:kern w:val="0"/>
                <w:sz w:val="21"/>
                <w:szCs w:val="21"/>
                <w:vertAlign w:val="superscript"/>
              </w:rPr>
              <w:t>3</w:t>
            </w:r>
            <w:r>
              <w:rPr>
                <w:rFonts w:hint="default" w:ascii="Times New Roman" w:hAnsi="Times New Roman" w:eastAsia="宋体"/>
                <w:b/>
                <w:bCs/>
                <w:kern w:val="0"/>
                <w:sz w:val="21"/>
                <w:szCs w:val="21"/>
              </w:rPr>
              <w:t>)</w:t>
            </w:r>
          </w:p>
        </w:tc>
        <w:tc>
          <w:tcPr>
            <w:tcW w:w="1133" w:type="dxa"/>
            <w:tcBorders>
              <w:tl2br w:val="nil"/>
              <w:tr2bl w:val="nil"/>
            </w:tcBorders>
            <w:noWrap/>
            <w:vAlign w:val="center"/>
          </w:tcPr>
          <w:p w14:paraId="24DAA2D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kern w:val="0"/>
                <w:sz w:val="21"/>
                <w:szCs w:val="21"/>
              </w:rPr>
            </w:pPr>
            <w:r>
              <w:rPr>
                <w:rFonts w:hint="default" w:ascii="Times New Roman" w:hAnsi="Times New Roman" w:eastAsia="宋体"/>
                <w:b/>
                <w:bCs/>
                <w:kern w:val="0"/>
                <w:sz w:val="21"/>
                <w:szCs w:val="21"/>
              </w:rPr>
              <w:t>损失率</w:t>
            </w:r>
            <w:r>
              <w:rPr>
                <w:rFonts w:hint="default" w:ascii="Times New Roman" w:hAnsi="Times New Roman" w:eastAsia="宋体"/>
                <w:b/>
                <w:bCs/>
                <w:sz w:val="21"/>
                <w:szCs w:val="21"/>
              </w:rPr>
              <w:t>%</w:t>
            </w:r>
          </w:p>
        </w:tc>
        <w:tc>
          <w:tcPr>
            <w:tcW w:w="1473" w:type="dxa"/>
            <w:tcBorders>
              <w:tl2br w:val="nil"/>
              <w:tr2bl w:val="nil"/>
            </w:tcBorders>
            <w:noWrap/>
            <w:vAlign w:val="center"/>
          </w:tcPr>
          <w:p w14:paraId="0610C07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kern w:val="0"/>
                <w:sz w:val="21"/>
                <w:szCs w:val="21"/>
              </w:rPr>
            </w:pPr>
            <w:r>
              <w:rPr>
                <w:rFonts w:hint="default" w:ascii="Times New Roman" w:hAnsi="Times New Roman" w:eastAsia="宋体"/>
                <w:b/>
                <w:bCs/>
                <w:kern w:val="0"/>
                <w:sz w:val="21"/>
                <w:szCs w:val="21"/>
              </w:rPr>
              <w:t>损失量(kg/a)</w:t>
            </w:r>
          </w:p>
        </w:tc>
      </w:tr>
      <w:tr w14:paraId="7C29A9AD">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134" w:type="dxa"/>
            <w:vMerge w:val="restart"/>
            <w:tcBorders>
              <w:tl2br w:val="nil"/>
              <w:tr2bl w:val="nil"/>
            </w:tcBorders>
            <w:noWrap/>
            <w:vAlign w:val="center"/>
          </w:tcPr>
          <w:p w14:paraId="4156D46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kern w:val="0"/>
                <w:sz w:val="21"/>
                <w:szCs w:val="21"/>
              </w:rPr>
            </w:pPr>
            <w:r>
              <w:rPr>
                <w:rFonts w:hint="default" w:ascii="Times New Roman" w:hAnsi="Times New Roman" w:eastAsia="宋体"/>
                <w:kern w:val="0"/>
                <w:sz w:val="21"/>
                <w:szCs w:val="21"/>
              </w:rPr>
              <w:t>长期占用</w:t>
            </w:r>
          </w:p>
        </w:tc>
        <w:tc>
          <w:tcPr>
            <w:tcW w:w="1714" w:type="dxa"/>
            <w:tcBorders>
              <w:tl2br w:val="nil"/>
              <w:tr2bl w:val="nil"/>
            </w:tcBorders>
            <w:noWrap w:val="0"/>
            <w:vAlign w:val="top"/>
          </w:tcPr>
          <w:p w14:paraId="5D8AF7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kern w:val="0"/>
                <w:sz w:val="21"/>
                <w:szCs w:val="21"/>
              </w:rPr>
            </w:pPr>
            <w:r>
              <w:rPr>
                <w:rFonts w:hint="default" w:ascii="Times New Roman" w:hAnsi="Times New Roman" w:eastAsia="宋体"/>
                <w:kern w:val="0"/>
                <w:sz w:val="21"/>
                <w:szCs w:val="21"/>
              </w:rPr>
              <w:t>浮游植物</w:t>
            </w:r>
          </w:p>
        </w:tc>
        <w:tc>
          <w:tcPr>
            <w:tcW w:w="1715" w:type="dxa"/>
            <w:tcBorders>
              <w:tl2br w:val="nil"/>
              <w:tr2bl w:val="nil"/>
            </w:tcBorders>
            <w:noWrap/>
            <w:vAlign w:val="center"/>
          </w:tcPr>
          <w:p w14:paraId="2626808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kern w:val="0"/>
                <w:sz w:val="21"/>
                <w:szCs w:val="21"/>
              </w:rPr>
            </w:pPr>
            <w:r>
              <w:rPr>
                <w:rFonts w:hint="eastAsia" w:ascii="Times New Roman" w:hAnsi="Times New Roman" w:eastAsia="宋体"/>
                <w:color w:val="000000"/>
                <w:kern w:val="0"/>
                <w:sz w:val="21"/>
                <w:szCs w:val="21"/>
                <w:lang w:bidi="ar"/>
              </w:rPr>
              <w:t>11.73</w:t>
            </w:r>
          </w:p>
        </w:tc>
        <w:tc>
          <w:tcPr>
            <w:tcW w:w="1353" w:type="dxa"/>
            <w:tcBorders>
              <w:tl2br w:val="nil"/>
              <w:tr2bl w:val="nil"/>
            </w:tcBorders>
            <w:noWrap/>
            <w:vAlign w:val="center"/>
          </w:tcPr>
          <w:p w14:paraId="1FB1899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kern w:val="0"/>
                <w:sz w:val="21"/>
                <w:szCs w:val="21"/>
              </w:rPr>
            </w:pPr>
            <w:r>
              <w:rPr>
                <w:rFonts w:hint="eastAsia" w:ascii="Times New Roman" w:hAnsi="Times New Roman" w:eastAsia="宋体"/>
                <w:kern w:val="0"/>
                <w:sz w:val="21"/>
                <w:szCs w:val="21"/>
              </w:rPr>
              <w:t>51445</w:t>
            </w:r>
          </w:p>
        </w:tc>
        <w:tc>
          <w:tcPr>
            <w:tcW w:w="1133" w:type="dxa"/>
            <w:vMerge w:val="restart"/>
            <w:tcBorders>
              <w:tl2br w:val="nil"/>
              <w:tr2bl w:val="nil"/>
            </w:tcBorders>
            <w:noWrap/>
            <w:vAlign w:val="center"/>
          </w:tcPr>
          <w:p w14:paraId="6CA710B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kern w:val="0"/>
                <w:sz w:val="21"/>
                <w:szCs w:val="21"/>
              </w:rPr>
            </w:pPr>
            <w:r>
              <w:rPr>
                <w:rFonts w:hint="default" w:ascii="Times New Roman" w:hAnsi="Times New Roman" w:eastAsia="宋体"/>
                <w:kern w:val="0"/>
                <w:sz w:val="21"/>
                <w:szCs w:val="21"/>
              </w:rPr>
              <w:t>100</w:t>
            </w:r>
          </w:p>
        </w:tc>
        <w:tc>
          <w:tcPr>
            <w:tcW w:w="1473" w:type="dxa"/>
            <w:tcBorders>
              <w:tl2br w:val="nil"/>
              <w:tr2bl w:val="nil"/>
            </w:tcBorders>
            <w:noWrap/>
            <w:vAlign w:val="center"/>
          </w:tcPr>
          <w:p w14:paraId="58D357C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kern w:val="0"/>
                <w:sz w:val="21"/>
                <w:szCs w:val="21"/>
              </w:rPr>
            </w:pPr>
            <w:r>
              <w:rPr>
                <w:rFonts w:hint="eastAsia" w:ascii="Times New Roman" w:hAnsi="Times New Roman" w:eastAsia="宋体"/>
                <w:kern w:val="0"/>
                <w:sz w:val="21"/>
                <w:szCs w:val="21"/>
              </w:rPr>
              <w:t>603.45</w:t>
            </w:r>
          </w:p>
        </w:tc>
      </w:tr>
      <w:tr w14:paraId="18E58766">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1134" w:type="dxa"/>
            <w:vMerge w:val="continue"/>
            <w:tcBorders>
              <w:tl2br w:val="nil"/>
              <w:tr2bl w:val="nil"/>
            </w:tcBorders>
            <w:noWrap/>
            <w:vAlign w:val="center"/>
          </w:tcPr>
          <w:p w14:paraId="24AF7B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kern w:val="0"/>
                <w:sz w:val="21"/>
                <w:szCs w:val="21"/>
              </w:rPr>
            </w:pPr>
          </w:p>
        </w:tc>
        <w:tc>
          <w:tcPr>
            <w:tcW w:w="1714" w:type="dxa"/>
            <w:tcBorders>
              <w:tl2br w:val="nil"/>
              <w:tr2bl w:val="nil"/>
            </w:tcBorders>
            <w:noWrap w:val="0"/>
            <w:vAlign w:val="top"/>
          </w:tcPr>
          <w:p w14:paraId="2D7C83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kern w:val="0"/>
                <w:sz w:val="21"/>
                <w:szCs w:val="21"/>
              </w:rPr>
            </w:pPr>
            <w:r>
              <w:rPr>
                <w:rFonts w:hint="default" w:ascii="Times New Roman" w:hAnsi="Times New Roman" w:eastAsia="宋体"/>
                <w:kern w:val="0"/>
                <w:sz w:val="21"/>
                <w:szCs w:val="21"/>
              </w:rPr>
              <w:t>浮游动物</w:t>
            </w:r>
          </w:p>
        </w:tc>
        <w:tc>
          <w:tcPr>
            <w:tcW w:w="1715" w:type="dxa"/>
            <w:tcBorders>
              <w:tl2br w:val="nil"/>
              <w:tr2bl w:val="nil"/>
            </w:tcBorders>
            <w:noWrap/>
            <w:vAlign w:val="center"/>
          </w:tcPr>
          <w:p w14:paraId="28F2EA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kern w:val="0"/>
                <w:sz w:val="21"/>
                <w:szCs w:val="21"/>
              </w:rPr>
            </w:pPr>
            <w:r>
              <w:rPr>
                <w:rFonts w:hint="eastAsia" w:ascii="Times New Roman" w:hAnsi="Times New Roman" w:eastAsia="宋体"/>
                <w:color w:val="000000"/>
                <w:kern w:val="0"/>
                <w:sz w:val="21"/>
                <w:szCs w:val="21"/>
                <w:lang w:bidi="ar"/>
              </w:rPr>
              <w:t>0.35</w:t>
            </w:r>
          </w:p>
        </w:tc>
        <w:tc>
          <w:tcPr>
            <w:tcW w:w="1353" w:type="dxa"/>
            <w:tcBorders>
              <w:tl2br w:val="nil"/>
              <w:tr2bl w:val="nil"/>
            </w:tcBorders>
            <w:noWrap/>
            <w:vAlign w:val="center"/>
          </w:tcPr>
          <w:p w14:paraId="50F09F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kern w:val="0"/>
                <w:sz w:val="21"/>
                <w:szCs w:val="21"/>
              </w:rPr>
            </w:pPr>
            <w:r>
              <w:rPr>
                <w:rFonts w:hint="eastAsia" w:ascii="Times New Roman" w:hAnsi="Times New Roman" w:eastAsia="宋体"/>
                <w:kern w:val="0"/>
                <w:sz w:val="21"/>
                <w:szCs w:val="21"/>
              </w:rPr>
              <w:t>51445</w:t>
            </w:r>
          </w:p>
        </w:tc>
        <w:tc>
          <w:tcPr>
            <w:tcW w:w="1133" w:type="dxa"/>
            <w:vMerge w:val="continue"/>
            <w:tcBorders>
              <w:tl2br w:val="nil"/>
              <w:tr2bl w:val="nil"/>
            </w:tcBorders>
            <w:noWrap/>
            <w:vAlign w:val="center"/>
          </w:tcPr>
          <w:p w14:paraId="30E2AA0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kern w:val="0"/>
                <w:sz w:val="21"/>
                <w:szCs w:val="21"/>
              </w:rPr>
            </w:pPr>
          </w:p>
        </w:tc>
        <w:tc>
          <w:tcPr>
            <w:tcW w:w="1473" w:type="dxa"/>
            <w:tcBorders>
              <w:tl2br w:val="nil"/>
              <w:tr2bl w:val="nil"/>
            </w:tcBorders>
            <w:noWrap/>
            <w:vAlign w:val="center"/>
          </w:tcPr>
          <w:p w14:paraId="6723173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kern w:val="0"/>
                <w:sz w:val="21"/>
                <w:szCs w:val="21"/>
              </w:rPr>
            </w:pPr>
            <w:r>
              <w:rPr>
                <w:rFonts w:hint="eastAsia" w:ascii="Times New Roman" w:hAnsi="Times New Roman" w:eastAsia="宋体"/>
                <w:kern w:val="0"/>
                <w:sz w:val="21"/>
                <w:szCs w:val="21"/>
              </w:rPr>
              <w:t>18.01</w:t>
            </w:r>
          </w:p>
        </w:tc>
      </w:tr>
    </w:tbl>
    <w:p w14:paraId="4396923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bookmarkStart w:id="271" w:name="_Toc372149127"/>
      <w:bookmarkStart w:id="272" w:name="_Toc301209890"/>
      <w:r>
        <w:rPr>
          <w:rFonts w:hint="eastAsia" w:ascii="Times New Roman" w:hAnsi="Times New Roman" w:eastAsia="宋体"/>
          <w:b/>
          <w:bCs/>
          <w:sz w:val="24"/>
          <w:szCs w:val="24"/>
          <w:lang w:eastAsia="zh-CN"/>
        </w:rPr>
        <w:t>5.2.6.9.2 对底栖动物的影响</w:t>
      </w:r>
      <w:bookmarkEnd w:id="271"/>
      <w:bookmarkEnd w:id="272"/>
    </w:p>
    <w:p w14:paraId="7F4C32E0">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多数底栖动物长期生活在底泥中，具有区域性强，迁移能力弱等特点，对于环境变化通常缺少回避能力，其群落的破坏和重建需要相对较长的时间。施工期间，港池开挖、</w:t>
      </w:r>
      <w:r>
        <w:rPr>
          <w:rFonts w:ascii="Times New Roman" w:hAnsi="Times New Roman" w:eastAsia="宋体"/>
          <w:sz w:val="24"/>
          <w:szCs w:val="22"/>
        </w:rPr>
        <w:t>护坡、码头基础等施工内容</w:t>
      </w:r>
      <w:r>
        <w:rPr>
          <w:rFonts w:ascii="Times New Roman" w:hAnsi="Times New Roman" w:eastAsia="宋体"/>
          <w:sz w:val="24"/>
          <w:szCs w:val="28"/>
        </w:rPr>
        <w:t>将直接破坏底质，对以此为栖息生境的底栖动物造成破坏。施工导致的悬浮物扩散还将导致临近水域底栖动物资源受损，降低其生物量。同时，水下施工将改变施工水域及临近水域生境，底栖动物物种组成也会发生变化，如蚬类、贝类、多毛类等种群数量将减少，但另一些附着性贝类(如淡水壳菜)及螺蛳等短期内数量将有所下降，运营期种群数量则可能增加。</w:t>
      </w:r>
    </w:p>
    <w:p w14:paraId="6BA36163">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根据5.2.3.1节所述资源损失计算公式，施工期造成底栖动物的年度损失量为</w:t>
      </w:r>
      <w:r>
        <w:rPr>
          <w:rFonts w:hint="eastAsia" w:ascii="Times New Roman" w:hAnsi="Times New Roman" w:eastAsia="宋体"/>
          <w:sz w:val="24"/>
          <w:szCs w:val="28"/>
        </w:rPr>
        <w:t>68729.93</w:t>
      </w:r>
      <w:r>
        <w:rPr>
          <w:rFonts w:ascii="Times New Roman" w:hAnsi="Times New Roman" w:eastAsia="宋体"/>
          <w:sz w:val="24"/>
          <w:szCs w:val="28"/>
        </w:rPr>
        <w:t xml:space="preserve"> kg/a。其中，施工区导致底栖动物死亡率为100%，该区域底栖动物年度损失量为49320.09 kg/a；悬浮物扩散区导致底栖动物年度损失量为</w:t>
      </w:r>
      <w:r>
        <w:rPr>
          <w:rFonts w:hint="eastAsia" w:ascii="Times New Roman" w:hAnsi="Times New Roman" w:eastAsia="宋体"/>
          <w:sz w:val="24"/>
          <w:szCs w:val="28"/>
        </w:rPr>
        <w:t>19409.84</w:t>
      </w:r>
      <w:r>
        <w:rPr>
          <w:rFonts w:ascii="Times New Roman" w:hAnsi="Times New Roman" w:eastAsia="宋体"/>
          <w:sz w:val="24"/>
          <w:szCs w:val="28"/>
        </w:rPr>
        <w:t xml:space="preserve"> kg/a。</w:t>
      </w:r>
    </w:p>
    <w:p w14:paraId="6D8D47E7">
      <w:pPr>
        <w:adjustRightInd/>
        <w:snapToGrid/>
        <w:spacing w:line="400" w:lineRule="exact"/>
        <w:ind w:firstLine="0" w:firstLineChars="0"/>
        <w:jc w:val="center"/>
        <w:rPr>
          <w:rFonts w:hint="eastAsia" w:eastAsia="黑体"/>
          <w:color w:val="auto"/>
          <w:sz w:val="24"/>
          <w:szCs w:val="21"/>
        </w:rPr>
      </w:pPr>
      <w:r>
        <w:rPr>
          <w:rFonts w:hint="eastAsia" w:eastAsia="黑体"/>
          <w:color w:val="auto"/>
          <w:sz w:val="24"/>
          <w:szCs w:val="21"/>
        </w:rPr>
        <w:t>表</w:t>
      </w:r>
      <w:r>
        <w:rPr>
          <w:rFonts w:hint="eastAsia" w:eastAsia="黑体"/>
          <w:color w:val="auto"/>
          <w:sz w:val="24"/>
          <w:szCs w:val="21"/>
          <w:lang w:eastAsia="zh-CN"/>
        </w:rPr>
        <w:t>5.2</w:t>
      </w:r>
      <w:r>
        <w:rPr>
          <w:rFonts w:hint="eastAsia" w:eastAsia="黑体"/>
          <w:color w:val="auto"/>
          <w:sz w:val="24"/>
          <w:szCs w:val="21"/>
          <w:lang w:val="en-US" w:eastAsia="zh-CN"/>
        </w:rPr>
        <w:t>-31</w:t>
      </w:r>
      <w:r>
        <w:rPr>
          <w:rFonts w:hint="eastAsia" w:eastAsia="黑体"/>
          <w:color w:val="auto"/>
          <w:sz w:val="24"/>
          <w:szCs w:val="21"/>
        </w:rPr>
        <w:t xml:space="preserve">   施工期内工程悬浮物扩散影响区域底栖动物年损失量</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
      <w:tblGrid>
        <w:gridCol w:w="1004"/>
        <w:gridCol w:w="1288"/>
        <w:gridCol w:w="1611"/>
        <w:gridCol w:w="971"/>
        <w:gridCol w:w="1010"/>
        <w:gridCol w:w="1144"/>
        <w:gridCol w:w="2259"/>
      </w:tblGrid>
      <w:tr w14:paraId="29AEC0B2">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21" w:type="dxa"/>
            <w:tcBorders>
              <w:tl2br w:val="nil"/>
              <w:tr2bl w:val="nil"/>
            </w:tcBorders>
            <w:noWrap/>
            <w:vAlign w:val="center"/>
          </w:tcPr>
          <w:p w14:paraId="7A6312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影响</w:t>
            </w:r>
          </w:p>
          <w:p w14:paraId="0787A0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类型</w:t>
            </w:r>
          </w:p>
        </w:tc>
        <w:tc>
          <w:tcPr>
            <w:tcW w:w="1182" w:type="dxa"/>
            <w:tcBorders>
              <w:tl2br w:val="nil"/>
              <w:tr2bl w:val="nil"/>
            </w:tcBorders>
            <w:noWrap/>
            <w:vAlign w:val="center"/>
          </w:tcPr>
          <w:p w14:paraId="47DC250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超标倍数</w:t>
            </w:r>
          </w:p>
        </w:tc>
        <w:tc>
          <w:tcPr>
            <w:tcW w:w="1478" w:type="dxa"/>
            <w:tcBorders>
              <w:tl2br w:val="nil"/>
              <w:tr2bl w:val="nil"/>
            </w:tcBorders>
            <w:noWrap/>
            <w:vAlign w:val="center"/>
          </w:tcPr>
          <w:p w14:paraId="35203E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sz w:val="21"/>
                <w:szCs w:val="21"/>
              </w:rPr>
            </w:pPr>
            <w:r>
              <w:rPr>
                <w:rFonts w:hint="default" w:ascii="Times New Roman" w:hAnsi="Times New Roman" w:eastAsia="宋体"/>
                <w:b/>
                <w:bCs/>
                <w:sz w:val="21"/>
                <w:szCs w:val="21"/>
              </w:rPr>
              <w:t>底栖动物密度(g/m</w:t>
            </w:r>
            <w:r>
              <w:rPr>
                <w:rFonts w:hint="default" w:ascii="Times New Roman" w:hAnsi="Times New Roman" w:eastAsia="宋体"/>
                <w:b/>
                <w:bCs/>
                <w:sz w:val="21"/>
                <w:szCs w:val="21"/>
                <w:vertAlign w:val="superscript"/>
              </w:rPr>
              <w:t>2</w:t>
            </w:r>
            <w:r>
              <w:rPr>
                <w:rFonts w:hint="default" w:ascii="Times New Roman" w:hAnsi="Times New Roman" w:eastAsia="宋体"/>
                <w:b/>
                <w:bCs/>
                <w:sz w:val="21"/>
                <w:szCs w:val="21"/>
              </w:rPr>
              <w:t>)</w:t>
            </w:r>
          </w:p>
        </w:tc>
        <w:tc>
          <w:tcPr>
            <w:tcW w:w="891" w:type="dxa"/>
            <w:tcBorders>
              <w:tl2br w:val="nil"/>
              <w:tr2bl w:val="nil"/>
            </w:tcBorders>
            <w:noWrap/>
            <w:vAlign w:val="center"/>
          </w:tcPr>
          <w:p w14:paraId="4DE0C4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sz w:val="21"/>
                <w:szCs w:val="21"/>
              </w:rPr>
            </w:pPr>
            <w:r>
              <w:rPr>
                <w:rFonts w:hint="default" w:ascii="Times New Roman" w:hAnsi="Times New Roman" w:eastAsia="宋体"/>
                <w:b/>
                <w:bCs/>
                <w:kern w:val="0"/>
                <w:sz w:val="21"/>
                <w:szCs w:val="21"/>
              </w:rPr>
              <w:t>面积(m</w:t>
            </w:r>
            <w:r>
              <w:rPr>
                <w:rFonts w:hint="default" w:ascii="Times New Roman" w:hAnsi="Times New Roman" w:eastAsia="宋体"/>
                <w:b/>
                <w:bCs/>
                <w:kern w:val="0"/>
                <w:sz w:val="21"/>
                <w:szCs w:val="21"/>
                <w:vertAlign w:val="superscript"/>
              </w:rPr>
              <w:t>2</w:t>
            </w:r>
            <w:r>
              <w:rPr>
                <w:rFonts w:hint="default" w:ascii="Times New Roman" w:hAnsi="Times New Roman" w:eastAsia="宋体"/>
                <w:b/>
                <w:bCs/>
                <w:kern w:val="0"/>
                <w:sz w:val="21"/>
                <w:szCs w:val="21"/>
              </w:rPr>
              <w:t>)</w:t>
            </w:r>
          </w:p>
        </w:tc>
        <w:tc>
          <w:tcPr>
            <w:tcW w:w="927" w:type="dxa"/>
            <w:tcBorders>
              <w:tl2br w:val="nil"/>
              <w:tr2bl w:val="nil"/>
            </w:tcBorders>
            <w:noWrap/>
            <w:vAlign w:val="center"/>
          </w:tcPr>
          <w:p w14:paraId="0802290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bCs/>
                <w:kern w:val="0"/>
                <w:sz w:val="21"/>
                <w:szCs w:val="21"/>
              </w:rPr>
              <w:t>损失率%</w:t>
            </w:r>
          </w:p>
        </w:tc>
        <w:tc>
          <w:tcPr>
            <w:tcW w:w="1050" w:type="dxa"/>
            <w:tcBorders>
              <w:tl2br w:val="nil"/>
              <w:tr2bl w:val="nil"/>
            </w:tcBorders>
            <w:noWrap/>
            <w:vAlign w:val="center"/>
          </w:tcPr>
          <w:p w14:paraId="19B97FF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bCs/>
                <w:sz w:val="21"/>
                <w:szCs w:val="21"/>
              </w:rPr>
              <w:t>损失量(kg)</w:t>
            </w:r>
          </w:p>
        </w:tc>
        <w:tc>
          <w:tcPr>
            <w:tcW w:w="2073" w:type="dxa"/>
            <w:tcBorders>
              <w:tl2br w:val="nil"/>
              <w:tr2bl w:val="nil"/>
            </w:tcBorders>
            <w:noWrap/>
            <w:vAlign w:val="center"/>
          </w:tcPr>
          <w:p w14:paraId="207FAA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bCs/>
                <w:sz w:val="21"/>
                <w:szCs w:val="21"/>
              </w:rPr>
              <w:t>施工期年度损失量(kg/a)</w:t>
            </w:r>
          </w:p>
        </w:tc>
      </w:tr>
      <w:tr w14:paraId="29218B26">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21" w:type="dxa"/>
            <w:vMerge w:val="restart"/>
            <w:tcBorders>
              <w:tl2br w:val="nil"/>
              <w:tr2bl w:val="nil"/>
            </w:tcBorders>
            <w:noWrap/>
            <w:vAlign w:val="center"/>
          </w:tcPr>
          <w:p w14:paraId="3296414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涉水施工</w:t>
            </w:r>
          </w:p>
        </w:tc>
        <w:tc>
          <w:tcPr>
            <w:tcW w:w="1182" w:type="dxa"/>
            <w:tcBorders>
              <w:tl2br w:val="nil"/>
              <w:tr2bl w:val="nil"/>
            </w:tcBorders>
            <w:noWrap/>
            <w:vAlign w:val="center"/>
          </w:tcPr>
          <w:p w14:paraId="332B1FF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4-9倍</w:t>
            </w:r>
          </w:p>
        </w:tc>
        <w:tc>
          <w:tcPr>
            <w:tcW w:w="1478" w:type="dxa"/>
            <w:tcBorders>
              <w:tl2br w:val="nil"/>
              <w:tr2bl w:val="nil"/>
            </w:tcBorders>
            <w:noWrap/>
            <w:vAlign w:val="bottom"/>
          </w:tcPr>
          <w:p w14:paraId="5263C2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Times New Roman" w:hAnsi="Times New Roman" w:eastAsia="宋体"/>
                <w:bCs/>
                <w:kern w:val="0"/>
                <w:sz w:val="21"/>
                <w:szCs w:val="21"/>
              </w:rPr>
            </w:pPr>
            <w:r>
              <w:rPr>
                <w:rFonts w:hint="eastAsia" w:ascii="Times New Roman" w:hAnsi="Times New Roman" w:eastAsia="宋体"/>
                <w:bCs/>
                <w:kern w:val="0"/>
                <w:sz w:val="21"/>
                <w:szCs w:val="21"/>
              </w:rPr>
              <w:t>108.07</w:t>
            </w:r>
          </w:p>
        </w:tc>
        <w:tc>
          <w:tcPr>
            <w:tcW w:w="891" w:type="dxa"/>
            <w:tcBorders>
              <w:tl2br w:val="nil"/>
              <w:tr2bl w:val="nil"/>
            </w:tcBorders>
            <w:noWrap/>
            <w:vAlign w:val="center"/>
          </w:tcPr>
          <w:p w14:paraId="538F04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bCs/>
                <w:kern w:val="0"/>
                <w:sz w:val="21"/>
                <w:szCs w:val="21"/>
              </w:rPr>
              <w:t xml:space="preserve">18755 </w:t>
            </w:r>
          </w:p>
        </w:tc>
        <w:tc>
          <w:tcPr>
            <w:tcW w:w="927" w:type="dxa"/>
            <w:tcBorders>
              <w:tl2br w:val="nil"/>
              <w:tr2bl w:val="nil"/>
            </w:tcBorders>
            <w:noWrap/>
            <w:vAlign w:val="center"/>
          </w:tcPr>
          <w:p w14:paraId="5EBB8A3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bCs/>
                <w:kern w:val="0"/>
                <w:sz w:val="21"/>
                <w:szCs w:val="21"/>
              </w:rPr>
              <w:t>100</w:t>
            </w:r>
          </w:p>
        </w:tc>
        <w:tc>
          <w:tcPr>
            <w:tcW w:w="1050" w:type="dxa"/>
            <w:tcBorders>
              <w:tl2br w:val="nil"/>
              <w:tr2bl w:val="nil"/>
            </w:tcBorders>
            <w:noWrap/>
            <w:vAlign w:val="center"/>
          </w:tcPr>
          <w:p w14:paraId="563EE9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color w:val="000000"/>
                <w:kern w:val="0"/>
                <w:sz w:val="24"/>
                <w:szCs w:val="24"/>
                <w:lang w:bidi="ar"/>
              </w:rPr>
              <w:t xml:space="preserve">2026.85 </w:t>
            </w:r>
          </w:p>
        </w:tc>
        <w:tc>
          <w:tcPr>
            <w:tcW w:w="2073" w:type="dxa"/>
            <w:tcBorders>
              <w:tl2br w:val="nil"/>
              <w:tr2bl w:val="nil"/>
            </w:tcBorders>
            <w:noWrap/>
            <w:vAlign w:val="center"/>
          </w:tcPr>
          <w:p w14:paraId="64F6C7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color w:val="000000"/>
                <w:kern w:val="0"/>
                <w:sz w:val="24"/>
                <w:szCs w:val="24"/>
                <w:lang w:bidi="ar"/>
              </w:rPr>
              <w:t xml:space="preserve">49320.09 </w:t>
            </w:r>
          </w:p>
        </w:tc>
      </w:tr>
      <w:tr w14:paraId="68E36DB1">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21" w:type="dxa"/>
            <w:vMerge w:val="continue"/>
            <w:tcBorders>
              <w:tl2br w:val="nil"/>
              <w:tr2bl w:val="nil"/>
            </w:tcBorders>
            <w:noWrap/>
            <w:vAlign w:val="center"/>
          </w:tcPr>
          <w:p w14:paraId="35B3E89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p>
        </w:tc>
        <w:tc>
          <w:tcPr>
            <w:tcW w:w="1182" w:type="dxa"/>
            <w:tcBorders>
              <w:tl2br w:val="nil"/>
              <w:tr2bl w:val="nil"/>
            </w:tcBorders>
            <w:noWrap/>
            <w:vAlign w:val="center"/>
          </w:tcPr>
          <w:p w14:paraId="074FE89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1-4倍</w:t>
            </w:r>
          </w:p>
        </w:tc>
        <w:tc>
          <w:tcPr>
            <w:tcW w:w="1478" w:type="dxa"/>
            <w:tcBorders>
              <w:tl2br w:val="nil"/>
              <w:tr2bl w:val="nil"/>
            </w:tcBorders>
            <w:noWrap/>
            <w:vAlign w:val="bottom"/>
          </w:tcPr>
          <w:p w14:paraId="77EF5C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Times New Roman" w:hAnsi="Times New Roman" w:eastAsia="宋体"/>
                <w:bCs/>
                <w:kern w:val="0"/>
                <w:sz w:val="21"/>
                <w:szCs w:val="21"/>
              </w:rPr>
            </w:pPr>
            <w:r>
              <w:rPr>
                <w:rFonts w:hint="eastAsia" w:ascii="Times New Roman" w:hAnsi="Times New Roman" w:eastAsia="宋体"/>
                <w:bCs/>
                <w:kern w:val="0"/>
                <w:sz w:val="21"/>
                <w:szCs w:val="21"/>
              </w:rPr>
              <w:t>108.07</w:t>
            </w:r>
          </w:p>
        </w:tc>
        <w:tc>
          <w:tcPr>
            <w:tcW w:w="891" w:type="dxa"/>
            <w:tcBorders>
              <w:tl2br w:val="nil"/>
              <w:tr2bl w:val="nil"/>
            </w:tcBorders>
            <w:noWrap/>
            <w:vAlign w:val="center"/>
          </w:tcPr>
          <w:p w14:paraId="4945A0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bCs/>
                <w:kern w:val="0"/>
                <w:sz w:val="21"/>
                <w:szCs w:val="21"/>
              </w:rPr>
              <w:t xml:space="preserve">17545 </w:t>
            </w:r>
          </w:p>
        </w:tc>
        <w:tc>
          <w:tcPr>
            <w:tcW w:w="927" w:type="dxa"/>
            <w:tcBorders>
              <w:tl2br w:val="nil"/>
              <w:tr2bl w:val="nil"/>
            </w:tcBorders>
            <w:noWrap/>
            <w:vAlign w:val="center"/>
          </w:tcPr>
          <w:p w14:paraId="785BAE2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bCs/>
                <w:kern w:val="0"/>
                <w:sz w:val="21"/>
                <w:szCs w:val="21"/>
              </w:rPr>
              <w:t>25</w:t>
            </w:r>
          </w:p>
        </w:tc>
        <w:tc>
          <w:tcPr>
            <w:tcW w:w="1050" w:type="dxa"/>
            <w:tcBorders>
              <w:tl2br w:val="nil"/>
              <w:tr2bl w:val="nil"/>
            </w:tcBorders>
            <w:noWrap/>
            <w:vAlign w:val="center"/>
          </w:tcPr>
          <w:p w14:paraId="347A34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color w:val="000000"/>
                <w:kern w:val="0"/>
                <w:sz w:val="24"/>
                <w:szCs w:val="24"/>
                <w:lang w:bidi="ar"/>
              </w:rPr>
              <w:t xml:space="preserve">474.02 </w:t>
            </w:r>
          </w:p>
        </w:tc>
        <w:tc>
          <w:tcPr>
            <w:tcW w:w="2073" w:type="dxa"/>
            <w:tcBorders>
              <w:tl2br w:val="nil"/>
              <w:tr2bl w:val="nil"/>
            </w:tcBorders>
            <w:noWrap/>
            <w:vAlign w:val="center"/>
          </w:tcPr>
          <w:p w14:paraId="4CEEA86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color w:val="000000"/>
                <w:kern w:val="0"/>
                <w:sz w:val="24"/>
                <w:szCs w:val="24"/>
                <w:lang w:bidi="ar"/>
              </w:rPr>
              <w:t xml:space="preserve">11534.54 </w:t>
            </w:r>
          </w:p>
        </w:tc>
      </w:tr>
      <w:tr w14:paraId="7D77BB2F">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921" w:type="dxa"/>
            <w:vMerge w:val="continue"/>
            <w:tcBorders>
              <w:tl2br w:val="nil"/>
              <w:tr2bl w:val="nil"/>
            </w:tcBorders>
            <w:noWrap/>
            <w:vAlign w:val="center"/>
          </w:tcPr>
          <w:p w14:paraId="005B3F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p>
        </w:tc>
        <w:tc>
          <w:tcPr>
            <w:tcW w:w="1182" w:type="dxa"/>
            <w:tcBorders>
              <w:tl2br w:val="nil"/>
              <w:tr2bl w:val="nil"/>
            </w:tcBorders>
            <w:noWrap/>
            <w:vAlign w:val="center"/>
          </w:tcPr>
          <w:p w14:paraId="61DF44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sz w:val="21"/>
                <w:szCs w:val="21"/>
              </w:rPr>
            </w:pPr>
            <w:r>
              <w:rPr>
                <w:rFonts w:hint="default" w:ascii="Times New Roman" w:hAnsi="Times New Roman" w:eastAsia="宋体"/>
                <w:sz w:val="21"/>
                <w:szCs w:val="21"/>
              </w:rPr>
              <w:t>1倍以下</w:t>
            </w:r>
          </w:p>
        </w:tc>
        <w:tc>
          <w:tcPr>
            <w:tcW w:w="1478" w:type="dxa"/>
            <w:tcBorders>
              <w:tl2br w:val="nil"/>
              <w:tr2bl w:val="nil"/>
            </w:tcBorders>
            <w:noWrap/>
            <w:vAlign w:val="bottom"/>
          </w:tcPr>
          <w:p w14:paraId="067F33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Times New Roman" w:hAnsi="Times New Roman" w:eastAsia="宋体"/>
                <w:bCs/>
                <w:kern w:val="0"/>
                <w:sz w:val="21"/>
                <w:szCs w:val="21"/>
              </w:rPr>
            </w:pPr>
            <w:r>
              <w:rPr>
                <w:rFonts w:hint="eastAsia" w:ascii="Times New Roman" w:hAnsi="Times New Roman" w:eastAsia="宋体"/>
                <w:bCs/>
                <w:kern w:val="0"/>
                <w:sz w:val="21"/>
                <w:szCs w:val="21"/>
              </w:rPr>
              <w:t>108.07</w:t>
            </w:r>
          </w:p>
        </w:tc>
        <w:tc>
          <w:tcPr>
            <w:tcW w:w="891" w:type="dxa"/>
            <w:tcBorders>
              <w:tl2br w:val="nil"/>
              <w:tr2bl w:val="nil"/>
            </w:tcBorders>
            <w:noWrap/>
            <w:vAlign w:val="center"/>
          </w:tcPr>
          <w:p w14:paraId="3C65CC8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bCs/>
                <w:kern w:val="0"/>
                <w:sz w:val="21"/>
                <w:szCs w:val="21"/>
              </w:rPr>
              <w:t xml:space="preserve">59895 </w:t>
            </w:r>
          </w:p>
        </w:tc>
        <w:tc>
          <w:tcPr>
            <w:tcW w:w="927" w:type="dxa"/>
            <w:tcBorders>
              <w:tl2br w:val="nil"/>
              <w:tr2bl w:val="nil"/>
            </w:tcBorders>
            <w:noWrap/>
            <w:vAlign w:val="center"/>
          </w:tcPr>
          <w:p w14:paraId="2E3AFAE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bCs/>
                <w:kern w:val="0"/>
                <w:sz w:val="21"/>
                <w:szCs w:val="21"/>
              </w:rPr>
              <w:t>5</w:t>
            </w:r>
          </w:p>
        </w:tc>
        <w:tc>
          <w:tcPr>
            <w:tcW w:w="1050" w:type="dxa"/>
            <w:tcBorders>
              <w:tl2br w:val="nil"/>
              <w:tr2bl w:val="nil"/>
            </w:tcBorders>
            <w:noWrap/>
            <w:vAlign w:val="center"/>
          </w:tcPr>
          <w:p w14:paraId="7AC4A9E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color w:val="000000"/>
                <w:kern w:val="0"/>
                <w:sz w:val="24"/>
                <w:szCs w:val="24"/>
                <w:lang w:bidi="ar"/>
              </w:rPr>
              <w:t xml:space="preserve">323.64 </w:t>
            </w:r>
          </w:p>
        </w:tc>
        <w:tc>
          <w:tcPr>
            <w:tcW w:w="2073" w:type="dxa"/>
            <w:tcBorders>
              <w:tl2br w:val="nil"/>
              <w:tr2bl w:val="nil"/>
            </w:tcBorders>
            <w:noWrap/>
            <w:vAlign w:val="center"/>
          </w:tcPr>
          <w:p w14:paraId="3E122E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color w:val="000000"/>
                <w:kern w:val="0"/>
                <w:sz w:val="24"/>
                <w:szCs w:val="24"/>
                <w:lang w:bidi="ar"/>
              </w:rPr>
              <w:t>787</w:t>
            </w:r>
            <w:r>
              <w:rPr>
                <w:rFonts w:hint="eastAsia" w:ascii="Times New Roman" w:hAnsi="Times New Roman" w:eastAsia="宋体"/>
                <w:color w:val="000000"/>
                <w:kern w:val="0"/>
                <w:sz w:val="24"/>
                <w:szCs w:val="24"/>
                <w:lang w:eastAsia="zh-CN" w:bidi="ar"/>
              </w:rPr>
              <w:t>5.2.6</w:t>
            </w:r>
            <w:r>
              <w:rPr>
                <w:rFonts w:hint="default" w:ascii="Times New Roman" w:hAnsi="Times New Roman" w:eastAsia="宋体"/>
                <w:color w:val="000000"/>
                <w:kern w:val="0"/>
                <w:sz w:val="24"/>
                <w:szCs w:val="24"/>
                <w:lang w:bidi="ar"/>
              </w:rPr>
              <w:t xml:space="preserve">0 </w:t>
            </w:r>
          </w:p>
        </w:tc>
      </w:tr>
      <w:tr w14:paraId="70F4C911">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5399" w:type="dxa"/>
            <w:gridSpan w:val="5"/>
            <w:tcBorders>
              <w:tl2br w:val="nil"/>
              <w:tr2bl w:val="nil"/>
            </w:tcBorders>
            <w:noWrap/>
            <w:vAlign w:val="center"/>
          </w:tcPr>
          <w:p w14:paraId="187FE5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bCs/>
                <w:kern w:val="0"/>
                <w:sz w:val="21"/>
                <w:szCs w:val="21"/>
              </w:rPr>
              <w:t>合计</w:t>
            </w:r>
          </w:p>
        </w:tc>
        <w:tc>
          <w:tcPr>
            <w:tcW w:w="1050" w:type="dxa"/>
            <w:tcBorders>
              <w:tl2br w:val="nil"/>
              <w:tr2bl w:val="nil"/>
            </w:tcBorders>
            <w:noWrap/>
            <w:vAlign w:val="center"/>
          </w:tcPr>
          <w:p w14:paraId="7FA3839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
                <w:bCs/>
                <w:color w:val="000000"/>
                <w:kern w:val="0"/>
                <w:sz w:val="24"/>
                <w:szCs w:val="24"/>
                <w:lang w:bidi="ar"/>
              </w:rPr>
            </w:pPr>
            <w:r>
              <w:rPr>
                <w:rFonts w:hint="default" w:ascii="Times New Roman" w:hAnsi="Times New Roman" w:eastAsia="宋体"/>
                <w:b/>
                <w:bCs/>
                <w:color w:val="000000"/>
                <w:kern w:val="0"/>
                <w:sz w:val="24"/>
                <w:szCs w:val="24"/>
                <w:lang w:bidi="ar"/>
              </w:rPr>
              <w:t xml:space="preserve">2824.52 </w:t>
            </w:r>
          </w:p>
        </w:tc>
        <w:tc>
          <w:tcPr>
            <w:tcW w:w="2073" w:type="dxa"/>
            <w:tcBorders>
              <w:tl2br w:val="nil"/>
              <w:tr2bl w:val="nil"/>
            </w:tcBorders>
            <w:noWrap/>
            <w:vAlign w:val="center"/>
          </w:tcPr>
          <w:p w14:paraId="1AD4A3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
                <w:bCs/>
                <w:color w:val="000000"/>
                <w:kern w:val="0"/>
                <w:sz w:val="24"/>
                <w:szCs w:val="24"/>
                <w:lang w:bidi="ar"/>
              </w:rPr>
            </w:pPr>
            <w:r>
              <w:rPr>
                <w:rFonts w:hint="default" w:ascii="Times New Roman" w:hAnsi="Times New Roman" w:eastAsia="宋体"/>
                <w:b/>
                <w:bCs/>
                <w:color w:val="000000"/>
                <w:kern w:val="0"/>
                <w:sz w:val="24"/>
                <w:szCs w:val="24"/>
                <w:lang w:bidi="ar"/>
              </w:rPr>
              <w:t>68729.93</w:t>
            </w:r>
          </w:p>
        </w:tc>
      </w:tr>
    </w:tbl>
    <w:p w14:paraId="220DA5AC">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根据5.2.3.1节所述资源损失计算公式，</w:t>
      </w:r>
      <w:r>
        <w:rPr>
          <w:rFonts w:ascii="Times New Roman" w:hAnsi="Times New Roman" w:eastAsia="宋体"/>
          <w:b/>
          <w:bCs/>
          <w:sz w:val="24"/>
          <w:szCs w:val="28"/>
        </w:rPr>
        <w:t>施工期临时占用</w:t>
      </w:r>
      <w:r>
        <w:rPr>
          <w:rFonts w:ascii="Times New Roman" w:hAnsi="Times New Roman" w:eastAsia="宋体"/>
          <w:sz w:val="24"/>
          <w:szCs w:val="28"/>
        </w:rPr>
        <w:t>保护区水域造成底栖动物的年损失量为</w:t>
      </w:r>
      <w:r>
        <w:rPr>
          <w:rFonts w:hint="eastAsia" w:ascii="Times New Roman" w:hAnsi="Times New Roman" w:eastAsia="宋体"/>
          <w:sz w:val="24"/>
          <w:szCs w:val="28"/>
        </w:rPr>
        <w:t xml:space="preserve">1059.09 </w:t>
      </w:r>
      <w:r>
        <w:rPr>
          <w:rFonts w:ascii="Times New Roman" w:hAnsi="Times New Roman" w:eastAsia="宋体"/>
          <w:sz w:val="24"/>
          <w:szCs w:val="28"/>
        </w:rPr>
        <w:t>kg/a。</w:t>
      </w:r>
      <w:r>
        <w:rPr>
          <w:rFonts w:ascii="Times New Roman" w:hAnsi="Times New Roman" w:eastAsia="宋体"/>
          <w:b/>
          <w:bCs/>
          <w:sz w:val="24"/>
          <w:szCs w:val="28"/>
        </w:rPr>
        <w:t>运营期长期占用</w:t>
      </w:r>
      <w:r>
        <w:rPr>
          <w:rFonts w:ascii="Times New Roman" w:hAnsi="Times New Roman" w:eastAsia="宋体"/>
          <w:sz w:val="24"/>
          <w:szCs w:val="28"/>
        </w:rPr>
        <w:t>保护区水域造成底栖动物年损失量为</w:t>
      </w:r>
      <w:r>
        <w:rPr>
          <w:rFonts w:hint="eastAsia" w:ascii="Times New Roman" w:hAnsi="Times New Roman" w:eastAsia="宋体"/>
          <w:sz w:val="24"/>
          <w:szCs w:val="28"/>
        </w:rPr>
        <w:t xml:space="preserve">11119.32 </w:t>
      </w:r>
      <w:r>
        <w:rPr>
          <w:rFonts w:ascii="Times New Roman" w:hAnsi="Times New Roman" w:eastAsia="宋体"/>
          <w:sz w:val="24"/>
          <w:szCs w:val="28"/>
        </w:rPr>
        <w:t>kg/a。</w:t>
      </w:r>
    </w:p>
    <w:p w14:paraId="7F29E2C5">
      <w:pPr>
        <w:adjustRightInd/>
        <w:snapToGrid/>
        <w:spacing w:line="400" w:lineRule="exact"/>
        <w:ind w:firstLine="0" w:firstLineChars="0"/>
        <w:jc w:val="center"/>
        <w:rPr>
          <w:rFonts w:hint="eastAsia" w:eastAsia="黑体"/>
          <w:color w:val="auto"/>
          <w:sz w:val="24"/>
          <w:szCs w:val="21"/>
        </w:rPr>
      </w:pPr>
      <w:r>
        <w:rPr>
          <w:rFonts w:hint="eastAsia" w:eastAsia="黑体"/>
          <w:color w:val="auto"/>
          <w:sz w:val="24"/>
          <w:szCs w:val="21"/>
        </w:rPr>
        <w:t>表</w:t>
      </w:r>
      <w:r>
        <w:rPr>
          <w:rFonts w:hint="eastAsia" w:eastAsia="黑体"/>
          <w:color w:val="auto"/>
          <w:sz w:val="24"/>
          <w:szCs w:val="21"/>
          <w:lang w:eastAsia="zh-CN"/>
        </w:rPr>
        <w:t>5.2</w:t>
      </w:r>
      <w:r>
        <w:rPr>
          <w:rFonts w:hint="eastAsia" w:eastAsia="黑体"/>
          <w:color w:val="auto"/>
          <w:sz w:val="24"/>
          <w:szCs w:val="21"/>
          <w:lang w:val="en-US" w:eastAsia="zh-CN"/>
        </w:rPr>
        <w:t>-32</w:t>
      </w:r>
      <w:r>
        <w:rPr>
          <w:rFonts w:hint="eastAsia" w:eastAsia="黑体"/>
          <w:color w:val="auto"/>
          <w:sz w:val="24"/>
          <w:szCs w:val="21"/>
        </w:rPr>
        <w:t xml:space="preserve">   施工期内工程临时占用影响区域底栖动物资源年损失量</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
      <w:tblGrid>
        <w:gridCol w:w="2241"/>
        <w:gridCol w:w="2028"/>
        <w:gridCol w:w="1577"/>
        <w:gridCol w:w="1356"/>
        <w:gridCol w:w="2086"/>
      </w:tblGrid>
      <w:tr w14:paraId="654929A9">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2056" w:type="dxa"/>
            <w:tcBorders>
              <w:tl2br w:val="nil"/>
              <w:tr2bl w:val="nil"/>
            </w:tcBorders>
            <w:noWrap/>
            <w:vAlign w:val="center"/>
          </w:tcPr>
          <w:p w14:paraId="16B241B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影响类型</w:t>
            </w:r>
          </w:p>
        </w:tc>
        <w:tc>
          <w:tcPr>
            <w:tcW w:w="1861" w:type="dxa"/>
            <w:tcBorders>
              <w:tl2br w:val="nil"/>
              <w:tr2bl w:val="nil"/>
            </w:tcBorders>
            <w:noWrap/>
            <w:vAlign w:val="center"/>
          </w:tcPr>
          <w:p w14:paraId="61BB0F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生物量(mg/L)</w:t>
            </w:r>
          </w:p>
        </w:tc>
        <w:tc>
          <w:tcPr>
            <w:tcW w:w="1447" w:type="dxa"/>
            <w:tcBorders>
              <w:tl2br w:val="nil"/>
              <w:tr2bl w:val="nil"/>
            </w:tcBorders>
            <w:noWrap/>
            <w:vAlign w:val="center"/>
          </w:tcPr>
          <w:p w14:paraId="1BE60B5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面积(m</w:t>
            </w:r>
            <w:r>
              <w:rPr>
                <w:rFonts w:hint="default" w:ascii="Times New Roman" w:hAnsi="Times New Roman" w:eastAsia="宋体"/>
                <w:b/>
                <w:kern w:val="0"/>
                <w:sz w:val="21"/>
                <w:szCs w:val="21"/>
                <w:vertAlign w:val="superscript"/>
              </w:rPr>
              <w:t>2</w:t>
            </w:r>
            <w:r>
              <w:rPr>
                <w:rFonts w:hint="default" w:ascii="Times New Roman" w:hAnsi="Times New Roman" w:eastAsia="宋体"/>
                <w:b/>
                <w:kern w:val="0"/>
                <w:sz w:val="21"/>
                <w:szCs w:val="21"/>
              </w:rPr>
              <w:t>)</w:t>
            </w:r>
          </w:p>
        </w:tc>
        <w:tc>
          <w:tcPr>
            <w:tcW w:w="1244" w:type="dxa"/>
            <w:tcBorders>
              <w:tl2br w:val="nil"/>
              <w:tr2bl w:val="nil"/>
            </w:tcBorders>
            <w:noWrap/>
            <w:vAlign w:val="center"/>
          </w:tcPr>
          <w:p w14:paraId="2DB938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损失率%</w:t>
            </w:r>
          </w:p>
        </w:tc>
        <w:tc>
          <w:tcPr>
            <w:tcW w:w="1914" w:type="dxa"/>
            <w:tcBorders>
              <w:tl2br w:val="nil"/>
              <w:tr2bl w:val="nil"/>
            </w:tcBorders>
            <w:noWrap/>
            <w:vAlign w:val="center"/>
          </w:tcPr>
          <w:p w14:paraId="1B0197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kern w:val="0"/>
                <w:sz w:val="21"/>
                <w:szCs w:val="21"/>
              </w:rPr>
            </w:pPr>
            <w:r>
              <w:rPr>
                <w:rFonts w:hint="default" w:ascii="Times New Roman" w:hAnsi="Times New Roman" w:eastAsia="宋体"/>
                <w:b/>
                <w:kern w:val="0"/>
                <w:sz w:val="21"/>
                <w:szCs w:val="21"/>
              </w:rPr>
              <w:t>损失量(kg/a)</w:t>
            </w:r>
          </w:p>
        </w:tc>
      </w:tr>
      <w:tr w14:paraId="052536AE">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2056" w:type="dxa"/>
            <w:tcBorders>
              <w:tl2br w:val="nil"/>
              <w:tr2bl w:val="nil"/>
            </w:tcBorders>
            <w:noWrap/>
            <w:vAlign w:val="center"/>
          </w:tcPr>
          <w:p w14:paraId="012612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Cs/>
                <w:kern w:val="0"/>
                <w:sz w:val="21"/>
                <w:szCs w:val="21"/>
              </w:rPr>
            </w:pPr>
            <w:r>
              <w:rPr>
                <w:rFonts w:hint="default" w:ascii="Times New Roman" w:hAnsi="Times New Roman" w:eastAsia="宋体"/>
                <w:bCs/>
                <w:kern w:val="0"/>
                <w:sz w:val="21"/>
                <w:szCs w:val="21"/>
              </w:rPr>
              <w:t>临时占用</w:t>
            </w:r>
          </w:p>
        </w:tc>
        <w:tc>
          <w:tcPr>
            <w:tcW w:w="1861" w:type="dxa"/>
            <w:tcBorders>
              <w:tl2br w:val="nil"/>
              <w:tr2bl w:val="nil"/>
            </w:tcBorders>
            <w:noWrap/>
            <w:vAlign w:val="center"/>
          </w:tcPr>
          <w:p w14:paraId="3D7C2C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Times New Roman" w:hAnsi="Times New Roman" w:eastAsia="宋体"/>
                <w:bCs/>
                <w:kern w:val="0"/>
                <w:sz w:val="21"/>
                <w:szCs w:val="21"/>
              </w:rPr>
            </w:pPr>
            <w:r>
              <w:rPr>
                <w:rFonts w:hint="eastAsia" w:ascii="Times New Roman" w:hAnsi="Times New Roman" w:eastAsia="宋体"/>
                <w:bCs/>
                <w:kern w:val="0"/>
                <w:sz w:val="21"/>
                <w:szCs w:val="21"/>
              </w:rPr>
              <w:t>108.07</w:t>
            </w:r>
          </w:p>
        </w:tc>
        <w:tc>
          <w:tcPr>
            <w:tcW w:w="1447" w:type="dxa"/>
            <w:tcBorders>
              <w:tl2br w:val="nil"/>
              <w:tr2bl w:val="nil"/>
            </w:tcBorders>
            <w:noWrap/>
            <w:vAlign w:val="center"/>
          </w:tcPr>
          <w:p w14:paraId="7DAB25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bCs/>
                <w:kern w:val="0"/>
                <w:sz w:val="21"/>
                <w:szCs w:val="21"/>
              </w:rPr>
              <w:t xml:space="preserve">980 </w:t>
            </w:r>
          </w:p>
        </w:tc>
        <w:tc>
          <w:tcPr>
            <w:tcW w:w="1244" w:type="dxa"/>
            <w:tcBorders>
              <w:tl2br w:val="nil"/>
              <w:tr2bl w:val="nil"/>
            </w:tcBorders>
            <w:noWrap/>
            <w:vAlign w:val="center"/>
          </w:tcPr>
          <w:p w14:paraId="61844A1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bCs/>
                <w:kern w:val="0"/>
                <w:sz w:val="21"/>
                <w:szCs w:val="21"/>
              </w:rPr>
              <w:t>100</w:t>
            </w:r>
          </w:p>
        </w:tc>
        <w:tc>
          <w:tcPr>
            <w:tcW w:w="1914" w:type="dxa"/>
            <w:tcBorders>
              <w:tl2br w:val="nil"/>
              <w:tr2bl w:val="nil"/>
            </w:tcBorders>
            <w:noWrap/>
            <w:vAlign w:val="center"/>
          </w:tcPr>
          <w:p w14:paraId="0F00DBB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eastAsia" w:ascii="Times New Roman" w:hAnsi="Times New Roman" w:eastAsia="宋体"/>
                <w:bCs/>
                <w:kern w:val="0"/>
                <w:sz w:val="21"/>
                <w:szCs w:val="21"/>
              </w:rPr>
              <w:t>1059.09</w:t>
            </w:r>
          </w:p>
        </w:tc>
      </w:tr>
    </w:tbl>
    <w:p w14:paraId="650D6594">
      <w:pPr>
        <w:adjustRightInd/>
        <w:snapToGrid/>
        <w:spacing w:line="400" w:lineRule="exact"/>
        <w:ind w:firstLine="0" w:firstLineChars="0"/>
        <w:jc w:val="center"/>
        <w:rPr>
          <w:rFonts w:hint="eastAsia" w:eastAsia="黑体"/>
          <w:color w:val="auto"/>
          <w:sz w:val="24"/>
          <w:szCs w:val="21"/>
        </w:rPr>
      </w:pPr>
      <w:r>
        <w:rPr>
          <w:rFonts w:hint="eastAsia" w:eastAsia="黑体"/>
          <w:color w:val="auto"/>
          <w:sz w:val="24"/>
          <w:szCs w:val="21"/>
        </w:rPr>
        <w:t>表</w:t>
      </w:r>
      <w:r>
        <w:rPr>
          <w:rFonts w:hint="eastAsia" w:eastAsia="黑体"/>
          <w:color w:val="auto"/>
          <w:sz w:val="24"/>
          <w:szCs w:val="21"/>
          <w:lang w:eastAsia="zh-CN"/>
        </w:rPr>
        <w:t>5.2</w:t>
      </w:r>
      <w:r>
        <w:rPr>
          <w:rFonts w:hint="eastAsia" w:eastAsia="黑体"/>
          <w:color w:val="auto"/>
          <w:sz w:val="24"/>
          <w:szCs w:val="21"/>
          <w:lang w:val="en-US" w:eastAsia="zh-CN"/>
        </w:rPr>
        <w:t>-33</w:t>
      </w:r>
      <w:r>
        <w:rPr>
          <w:rFonts w:hint="eastAsia" w:eastAsia="黑体"/>
          <w:color w:val="auto"/>
          <w:sz w:val="24"/>
          <w:szCs w:val="21"/>
        </w:rPr>
        <w:t xml:space="preserve">   运营期内工程长期占用影响区域底栖动物资源年损失量</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Layout w:type="fixed"/>
        <w:tblCellMar>
          <w:top w:w="0" w:type="dxa"/>
          <w:left w:w="108" w:type="dxa"/>
          <w:bottom w:w="0" w:type="dxa"/>
          <w:right w:w="108" w:type="dxa"/>
        </w:tblCellMar>
      </w:tblPr>
      <w:tblGrid>
        <w:gridCol w:w="2241"/>
        <w:gridCol w:w="2028"/>
        <w:gridCol w:w="1577"/>
        <w:gridCol w:w="1356"/>
        <w:gridCol w:w="2086"/>
      </w:tblGrid>
      <w:tr w14:paraId="64723717">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2056" w:type="dxa"/>
            <w:tcBorders>
              <w:tl2br w:val="nil"/>
              <w:tr2bl w:val="nil"/>
            </w:tcBorders>
            <w:noWrap/>
            <w:vAlign w:val="center"/>
          </w:tcPr>
          <w:p w14:paraId="1037B6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kern w:val="0"/>
                <w:sz w:val="21"/>
                <w:szCs w:val="21"/>
              </w:rPr>
            </w:pPr>
            <w:r>
              <w:rPr>
                <w:rFonts w:hint="default" w:ascii="Times New Roman" w:hAnsi="Times New Roman" w:eastAsia="宋体"/>
                <w:b/>
                <w:bCs/>
                <w:kern w:val="0"/>
                <w:sz w:val="21"/>
                <w:szCs w:val="21"/>
              </w:rPr>
              <w:t>影响类型</w:t>
            </w:r>
          </w:p>
        </w:tc>
        <w:tc>
          <w:tcPr>
            <w:tcW w:w="1861" w:type="dxa"/>
            <w:tcBorders>
              <w:tl2br w:val="nil"/>
              <w:tr2bl w:val="nil"/>
            </w:tcBorders>
            <w:noWrap/>
            <w:vAlign w:val="center"/>
          </w:tcPr>
          <w:p w14:paraId="6C39B11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kern w:val="0"/>
                <w:sz w:val="21"/>
                <w:szCs w:val="21"/>
              </w:rPr>
            </w:pPr>
            <w:r>
              <w:rPr>
                <w:rFonts w:hint="default" w:ascii="Times New Roman" w:hAnsi="Times New Roman" w:eastAsia="宋体"/>
                <w:b/>
                <w:bCs/>
                <w:kern w:val="0"/>
                <w:sz w:val="21"/>
                <w:szCs w:val="21"/>
              </w:rPr>
              <w:t>生物量(mg/L)</w:t>
            </w:r>
          </w:p>
        </w:tc>
        <w:tc>
          <w:tcPr>
            <w:tcW w:w="1447" w:type="dxa"/>
            <w:tcBorders>
              <w:tl2br w:val="nil"/>
              <w:tr2bl w:val="nil"/>
            </w:tcBorders>
            <w:noWrap/>
            <w:vAlign w:val="center"/>
          </w:tcPr>
          <w:p w14:paraId="4E44347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kern w:val="0"/>
                <w:sz w:val="21"/>
                <w:szCs w:val="21"/>
              </w:rPr>
            </w:pPr>
            <w:r>
              <w:rPr>
                <w:rFonts w:hint="default" w:ascii="Times New Roman" w:hAnsi="Times New Roman" w:eastAsia="宋体"/>
                <w:b/>
                <w:bCs/>
                <w:kern w:val="0"/>
                <w:sz w:val="21"/>
                <w:szCs w:val="21"/>
              </w:rPr>
              <w:t>面积(m</w:t>
            </w:r>
            <w:r>
              <w:rPr>
                <w:rFonts w:hint="default" w:ascii="Times New Roman" w:hAnsi="Times New Roman" w:eastAsia="宋体"/>
                <w:b/>
                <w:bCs/>
                <w:kern w:val="0"/>
                <w:sz w:val="21"/>
                <w:szCs w:val="21"/>
                <w:vertAlign w:val="superscript"/>
              </w:rPr>
              <w:t>2</w:t>
            </w:r>
            <w:r>
              <w:rPr>
                <w:rFonts w:hint="default" w:ascii="Times New Roman" w:hAnsi="Times New Roman" w:eastAsia="宋体"/>
                <w:b/>
                <w:bCs/>
                <w:kern w:val="0"/>
                <w:sz w:val="21"/>
                <w:szCs w:val="21"/>
              </w:rPr>
              <w:t>)</w:t>
            </w:r>
          </w:p>
        </w:tc>
        <w:tc>
          <w:tcPr>
            <w:tcW w:w="1244" w:type="dxa"/>
            <w:tcBorders>
              <w:tl2br w:val="nil"/>
              <w:tr2bl w:val="nil"/>
            </w:tcBorders>
            <w:noWrap/>
            <w:vAlign w:val="center"/>
          </w:tcPr>
          <w:p w14:paraId="707CFA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kern w:val="0"/>
                <w:sz w:val="21"/>
                <w:szCs w:val="21"/>
              </w:rPr>
            </w:pPr>
            <w:r>
              <w:rPr>
                <w:rFonts w:hint="default" w:ascii="Times New Roman" w:hAnsi="Times New Roman" w:eastAsia="宋体"/>
                <w:b/>
                <w:bCs/>
                <w:kern w:val="0"/>
                <w:sz w:val="21"/>
                <w:szCs w:val="21"/>
              </w:rPr>
              <w:t>损失率%</w:t>
            </w:r>
          </w:p>
        </w:tc>
        <w:tc>
          <w:tcPr>
            <w:tcW w:w="1914" w:type="dxa"/>
            <w:tcBorders>
              <w:tl2br w:val="nil"/>
              <w:tr2bl w:val="nil"/>
            </w:tcBorders>
            <w:noWrap/>
            <w:vAlign w:val="center"/>
          </w:tcPr>
          <w:p w14:paraId="79009B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b/>
                <w:bCs/>
                <w:kern w:val="0"/>
                <w:sz w:val="21"/>
                <w:szCs w:val="21"/>
              </w:rPr>
            </w:pPr>
            <w:r>
              <w:rPr>
                <w:rFonts w:hint="default" w:ascii="Times New Roman" w:hAnsi="Times New Roman" w:eastAsia="宋体"/>
                <w:b/>
                <w:bCs/>
                <w:kern w:val="0"/>
                <w:sz w:val="21"/>
                <w:szCs w:val="21"/>
              </w:rPr>
              <w:t>损失量(kg/a)</w:t>
            </w:r>
          </w:p>
        </w:tc>
      </w:tr>
      <w:tr w14:paraId="2CD28282">
        <w:tblPrEx>
          <w:tblBorders>
            <w:top w:val="single" w:color="auto" w:sz="12" w:space="0"/>
            <w:left w:val="none" w:color="auto" w:sz="0" w:space="0"/>
            <w:bottom w:val="single"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23" w:hRule="atLeast"/>
          <w:jc w:val="center"/>
        </w:trPr>
        <w:tc>
          <w:tcPr>
            <w:tcW w:w="2056" w:type="dxa"/>
            <w:tcBorders>
              <w:tl2br w:val="nil"/>
              <w:tr2bl w:val="nil"/>
            </w:tcBorders>
            <w:noWrap/>
            <w:vAlign w:val="center"/>
          </w:tcPr>
          <w:p w14:paraId="2F96A5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kern w:val="0"/>
                <w:sz w:val="21"/>
                <w:szCs w:val="21"/>
              </w:rPr>
            </w:pPr>
            <w:r>
              <w:rPr>
                <w:rFonts w:hint="default" w:ascii="Times New Roman" w:hAnsi="Times New Roman" w:eastAsia="宋体"/>
                <w:kern w:val="0"/>
                <w:sz w:val="21"/>
                <w:szCs w:val="21"/>
              </w:rPr>
              <w:t>长期占用</w:t>
            </w:r>
          </w:p>
        </w:tc>
        <w:tc>
          <w:tcPr>
            <w:tcW w:w="1861" w:type="dxa"/>
            <w:tcBorders>
              <w:tl2br w:val="nil"/>
              <w:tr2bl w:val="nil"/>
            </w:tcBorders>
            <w:noWrap/>
            <w:vAlign w:val="center"/>
          </w:tcPr>
          <w:p w14:paraId="0F7DDD5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bCs/>
                <w:kern w:val="0"/>
                <w:sz w:val="21"/>
                <w:szCs w:val="21"/>
              </w:rPr>
              <w:t>108.07</w:t>
            </w:r>
          </w:p>
        </w:tc>
        <w:tc>
          <w:tcPr>
            <w:tcW w:w="1447" w:type="dxa"/>
            <w:tcBorders>
              <w:tl2br w:val="nil"/>
              <w:tr2bl w:val="nil"/>
            </w:tcBorders>
            <w:noWrap/>
            <w:vAlign w:val="center"/>
          </w:tcPr>
          <w:p w14:paraId="658EBAC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bCs/>
                <w:kern w:val="0"/>
                <w:sz w:val="21"/>
                <w:szCs w:val="21"/>
              </w:rPr>
              <w:t xml:space="preserve">10289 </w:t>
            </w:r>
          </w:p>
        </w:tc>
        <w:tc>
          <w:tcPr>
            <w:tcW w:w="1244" w:type="dxa"/>
            <w:tcBorders>
              <w:tl2br w:val="nil"/>
              <w:tr2bl w:val="nil"/>
            </w:tcBorders>
            <w:noWrap/>
            <w:vAlign w:val="center"/>
          </w:tcPr>
          <w:p w14:paraId="68E2E0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default" w:ascii="Times New Roman" w:hAnsi="Times New Roman" w:eastAsia="宋体"/>
                <w:bCs/>
                <w:kern w:val="0"/>
                <w:sz w:val="21"/>
                <w:szCs w:val="21"/>
              </w:rPr>
              <w:t>100</w:t>
            </w:r>
          </w:p>
        </w:tc>
        <w:tc>
          <w:tcPr>
            <w:tcW w:w="1914" w:type="dxa"/>
            <w:tcBorders>
              <w:tl2br w:val="nil"/>
              <w:tr2bl w:val="nil"/>
            </w:tcBorders>
            <w:noWrap/>
            <w:vAlign w:val="center"/>
          </w:tcPr>
          <w:p w14:paraId="481D884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bCs/>
                <w:kern w:val="0"/>
                <w:sz w:val="21"/>
                <w:szCs w:val="21"/>
              </w:rPr>
            </w:pPr>
            <w:r>
              <w:rPr>
                <w:rFonts w:hint="eastAsia" w:ascii="Times New Roman" w:hAnsi="Times New Roman" w:eastAsia="宋体"/>
                <w:bCs/>
                <w:kern w:val="0"/>
                <w:sz w:val="21"/>
                <w:szCs w:val="21"/>
              </w:rPr>
              <w:t>11119.32</w:t>
            </w:r>
          </w:p>
        </w:tc>
      </w:tr>
    </w:tbl>
    <w:p w14:paraId="2772B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r>
        <w:rPr>
          <w:rFonts w:hint="eastAsia" w:ascii="Times New Roman" w:hAnsi="Times New Roman" w:eastAsia="宋体"/>
          <w:b/>
          <w:bCs/>
          <w:sz w:val="24"/>
          <w:szCs w:val="24"/>
          <w:lang w:eastAsia="zh-CN"/>
        </w:rPr>
        <w:t>5.2.6.9.3 对水生维管植物的影响</w:t>
      </w:r>
    </w:p>
    <w:p w14:paraId="36C3240F">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水生维管植物是水生生态系统的重要组成部分，它在水体生物生产力中占据极其重要的地位，其种群数量变动将对水体生态及水域环境产生重要影响。影响水生维管植物生长与分布的主要限制因素是水深、透明度和沉积物。港池开挖占用河道边滩，破坏水生维管植物，并在施工结束后无法恢复。</w:t>
      </w:r>
    </w:p>
    <w:p w14:paraId="690BA6F3">
      <w:pPr>
        <w:keepNext/>
        <w:keepLines/>
        <w:widowControl w:val="0"/>
        <w:numPr>
          <w:ilvl w:val="0"/>
          <w:numId w:val="0"/>
        </w:numPr>
        <w:adjustRightInd/>
        <w:snapToGrid/>
        <w:spacing w:line="360" w:lineRule="auto"/>
        <w:ind w:firstLine="0" w:firstLineChars="0"/>
        <w:jc w:val="both"/>
        <w:outlineLvl w:val="3"/>
        <w:rPr>
          <w:rFonts w:hint="eastAsia" w:ascii="Times New Roman" w:hAnsi="Times New Roman" w:eastAsia="黑体" w:cs="Times New Roman"/>
          <w:bCs/>
          <w:color w:val="auto"/>
          <w:kern w:val="2"/>
          <w:sz w:val="24"/>
          <w:szCs w:val="28"/>
          <w:lang w:val="en-US" w:eastAsia="zh-CN" w:bidi="ar-SA"/>
        </w:rPr>
      </w:pPr>
      <w:bookmarkStart w:id="273" w:name="_Toc463620418"/>
      <w:bookmarkStart w:id="274" w:name="_Toc472229769"/>
      <w:bookmarkStart w:id="275" w:name="_Toc468175619"/>
      <w:bookmarkStart w:id="276" w:name="_Toc459587377"/>
      <w:bookmarkStart w:id="277" w:name="_Toc459251248"/>
      <w:bookmarkStart w:id="278" w:name="_Toc471349350"/>
      <w:bookmarkStart w:id="279" w:name="_Toc472830514"/>
      <w:r>
        <w:rPr>
          <w:rFonts w:hint="eastAsia" w:ascii="Times New Roman" w:hAnsi="Times New Roman" w:eastAsia="黑体" w:cs="Times New Roman"/>
          <w:bCs/>
          <w:color w:val="auto"/>
          <w:kern w:val="2"/>
          <w:sz w:val="24"/>
          <w:szCs w:val="28"/>
          <w:lang w:val="en-US" w:eastAsia="zh-CN" w:bidi="ar-SA"/>
        </w:rPr>
        <w:t>5.2.6.10 对外来物种入侵的影响</w:t>
      </w:r>
      <w:bookmarkEnd w:id="273"/>
      <w:bookmarkEnd w:id="274"/>
      <w:bookmarkEnd w:id="275"/>
      <w:bookmarkEnd w:id="276"/>
      <w:bookmarkEnd w:id="277"/>
      <w:bookmarkEnd w:id="278"/>
      <w:bookmarkEnd w:id="279"/>
    </w:p>
    <w:p w14:paraId="463E0287">
      <w:pPr>
        <w:adjustRightInd w:val="0"/>
        <w:snapToGrid w:val="0"/>
        <w:spacing w:line="360" w:lineRule="auto"/>
        <w:ind w:firstLine="480" w:firstLineChars="200"/>
        <w:rPr>
          <w:rFonts w:ascii="Times New Roman" w:hAnsi="Times New Roman" w:eastAsia="宋体"/>
          <w:sz w:val="24"/>
          <w:szCs w:val="28"/>
        </w:rPr>
      </w:pPr>
      <w:bookmarkStart w:id="280" w:name="_Toc459587378"/>
      <w:bookmarkStart w:id="281" w:name="_Toc459251249"/>
      <w:r>
        <w:rPr>
          <w:rFonts w:ascii="Times New Roman" w:hAnsi="Times New Roman" w:eastAsia="宋体"/>
          <w:sz w:val="24"/>
          <w:szCs w:val="28"/>
        </w:rPr>
        <w:t>本工程不涉及跨流域施工，因此施工期和运营期不会造成外来物种入侵。</w:t>
      </w:r>
    </w:p>
    <w:p w14:paraId="1CBAFDA8">
      <w:pPr>
        <w:keepNext/>
        <w:keepLines/>
        <w:widowControl w:val="0"/>
        <w:numPr>
          <w:ilvl w:val="0"/>
          <w:numId w:val="0"/>
        </w:numPr>
        <w:adjustRightInd/>
        <w:snapToGrid/>
        <w:spacing w:line="360" w:lineRule="auto"/>
        <w:ind w:firstLine="0" w:firstLineChars="0"/>
        <w:jc w:val="both"/>
        <w:outlineLvl w:val="3"/>
        <w:rPr>
          <w:rFonts w:hint="eastAsia" w:ascii="Times New Roman" w:hAnsi="Times New Roman" w:eastAsia="黑体" w:cs="Times New Roman"/>
          <w:bCs/>
          <w:color w:val="auto"/>
          <w:kern w:val="2"/>
          <w:sz w:val="24"/>
          <w:szCs w:val="28"/>
          <w:lang w:val="en-US" w:eastAsia="zh-CN" w:bidi="ar-SA"/>
        </w:rPr>
      </w:pPr>
      <w:bookmarkStart w:id="282" w:name="_Toc468175620"/>
      <w:bookmarkStart w:id="283" w:name="_Toc472830515"/>
      <w:bookmarkStart w:id="284" w:name="_Toc463620419"/>
      <w:bookmarkStart w:id="285" w:name="_Toc471349351"/>
      <w:bookmarkStart w:id="286" w:name="_Toc472229770"/>
      <w:r>
        <w:rPr>
          <w:rFonts w:hint="eastAsia" w:ascii="Times New Roman" w:hAnsi="Times New Roman" w:eastAsia="黑体" w:cs="Times New Roman"/>
          <w:bCs/>
          <w:color w:val="auto"/>
          <w:kern w:val="2"/>
          <w:sz w:val="24"/>
          <w:szCs w:val="28"/>
          <w:lang w:val="en-US" w:eastAsia="zh-CN" w:bidi="ar-SA"/>
        </w:rPr>
        <w:t>5.2.6.11 对鱼类栖息地生境的影响</w:t>
      </w:r>
    </w:p>
    <w:p w14:paraId="63DEB11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r>
        <w:rPr>
          <w:rFonts w:hint="eastAsia" w:ascii="Times New Roman" w:hAnsi="Times New Roman" w:eastAsia="宋体"/>
          <w:b/>
          <w:bCs/>
          <w:sz w:val="24"/>
          <w:szCs w:val="24"/>
          <w:lang w:eastAsia="zh-CN"/>
        </w:rPr>
        <w:t>5.2.6.11.1 施工期</w:t>
      </w:r>
    </w:p>
    <w:p w14:paraId="087FD1F8">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(1)港池开挖影响分析</w:t>
      </w:r>
    </w:p>
    <w:p w14:paraId="4CB423E9">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港池开挖采用抓斗挖泥船或长臂挖机进行施工作业。施工期间，港池开挖可能对鱼类栖息地生境的影响，主要包括：①船舶等机械设备作业产生的噪声，使施工区及</w:t>
      </w:r>
      <w:r>
        <w:rPr>
          <w:rFonts w:hint="eastAsia"/>
          <w:sz w:val="24"/>
          <w:szCs w:val="28"/>
          <w:lang w:eastAsia="zh-CN"/>
        </w:rPr>
        <w:t>邻近</w:t>
      </w:r>
      <w:r>
        <w:rPr>
          <w:rFonts w:ascii="Times New Roman" w:hAnsi="Times New Roman" w:eastAsia="宋体"/>
          <w:sz w:val="24"/>
          <w:szCs w:val="28"/>
        </w:rPr>
        <w:t>区域的背景噪声增大；②</w:t>
      </w:r>
      <w:r>
        <w:rPr>
          <w:rFonts w:ascii="Times New Roman" w:hAnsi="Times New Roman" w:eastAsia="宋体"/>
          <w:sz w:val="24"/>
          <w:szCs w:val="22"/>
        </w:rPr>
        <w:t>对底栖动物产生直接破坏性影响，疏浚</w:t>
      </w:r>
      <w:r>
        <w:rPr>
          <w:rFonts w:ascii="Times New Roman" w:hAnsi="Times New Roman" w:eastAsia="宋体"/>
          <w:sz w:val="24"/>
          <w:szCs w:val="28"/>
        </w:rPr>
        <w:t>使底栖动物随着泥沙进入抛泥区，最终死亡；③搅动河床底泥、破坏底质，</w:t>
      </w:r>
      <w:r>
        <w:rPr>
          <w:rFonts w:ascii="Times New Roman" w:hAnsi="Times New Roman" w:eastAsia="宋体"/>
          <w:sz w:val="24"/>
          <w:szCs w:val="22"/>
        </w:rPr>
        <w:t>降低栖息地质量，</w:t>
      </w:r>
      <w:r>
        <w:rPr>
          <w:rFonts w:ascii="Times New Roman" w:hAnsi="Times New Roman" w:eastAsia="宋体"/>
          <w:sz w:val="24"/>
          <w:szCs w:val="28"/>
        </w:rPr>
        <w:t>使水体有害悬浮物扩散，致使水环境恶化，影响渔业资源的呼吸摄食等功能，也可能对鱼类等水生生物产生毒害作用；④水体透明度下降将导致水生植物、浮游植物的光合作用下降，导致其资源量下降，</w:t>
      </w:r>
      <w:r>
        <w:rPr>
          <w:rFonts w:ascii="Times New Roman" w:hAnsi="Times New Roman" w:eastAsia="宋体"/>
          <w:sz w:val="24"/>
          <w:szCs w:val="22"/>
        </w:rPr>
        <w:t>会对以此为食的鱼类产生间接影响；</w:t>
      </w:r>
      <w:r>
        <w:rPr>
          <w:rFonts w:ascii="Times New Roman" w:hAnsi="Times New Roman" w:eastAsia="宋体"/>
          <w:sz w:val="24"/>
          <w:szCs w:val="28"/>
        </w:rPr>
        <w:t>⑤施工期挖泥船等机械燃油、机油可能会进入保护区水域，进而导致保护区水质下降。</w:t>
      </w:r>
    </w:p>
    <w:p w14:paraId="5B327AE6">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(2)护坡及</w:t>
      </w:r>
      <w:r>
        <w:rPr>
          <w:rFonts w:ascii="Times New Roman" w:hAnsi="Times New Roman" w:eastAsia="宋体"/>
          <w:sz w:val="24"/>
          <w:szCs w:val="22"/>
        </w:rPr>
        <w:t>桩基施工影响分析</w:t>
      </w:r>
    </w:p>
    <w:p w14:paraId="5281810F">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施工期间，护坡、码头桩基等施工可能对鱼类栖息地生境的影响，主要包括以下几个方面：①施工产生的噪声，使施工区及</w:t>
      </w:r>
      <w:r>
        <w:rPr>
          <w:rFonts w:hint="eastAsia"/>
          <w:sz w:val="24"/>
          <w:szCs w:val="28"/>
          <w:lang w:eastAsia="zh-CN"/>
        </w:rPr>
        <w:t>邻近</w:t>
      </w:r>
      <w:r>
        <w:rPr>
          <w:rFonts w:ascii="Times New Roman" w:hAnsi="Times New Roman" w:eastAsia="宋体"/>
          <w:sz w:val="24"/>
          <w:szCs w:val="28"/>
        </w:rPr>
        <w:t>区域的背景噪声增大；②护坡及桩基施工可能对鱼类及其饵料生物造成直接损伤，引起悬浮物扩散，且施工侵占河道及河滩地，破坏鱼类等水生生物栖息生境；③护坡及桩基施工将破坏河滩维管植物，使河滩生境的生产力及生物多样性下降，同时影响鱼类等水生生物的索饵庇护条件；④施工过程中产生的各类污染物存在进入保护区水域的可能性，进而导致保护区水质下降。</w:t>
      </w:r>
    </w:p>
    <w:p w14:paraId="7ACB36A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4"/>
        <w:rPr>
          <w:rFonts w:hint="eastAsia" w:ascii="Times New Roman" w:hAnsi="Times New Roman" w:eastAsia="宋体"/>
          <w:b/>
          <w:bCs/>
          <w:sz w:val="24"/>
          <w:szCs w:val="24"/>
          <w:lang w:eastAsia="zh-CN"/>
        </w:rPr>
      </w:pPr>
      <w:r>
        <w:rPr>
          <w:rFonts w:hint="eastAsia" w:ascii="Times New Roman" w:hAnsi="Times New Roman" w:eastAsia="宋体"/>
          <w:b/>
          <w:bCs/>
          <w:sz w:val="24"/>
          <w:szCs w:val="24"/>
          <w:lang w:eastAsia="zh-CN"/>
        </w:rPr>
        <w:t>5.2.6.11.2 运营期</w:t>
      </w:r>
    </w:p>
    <w:p w14:paraId="68284DF9">
      <w:pPr>
        <w:adjustRightInd w:val="0"/>
        <w:snapToGrid w:val="0"/>
        <w:spacing w:line="360" w:lineRule="auto"/>
        <w:ind w:firstLine="480" w:firstLineChars="200"/>
        <w:rPr>
          <w:rFonts w:ascii="Times New Roman" w:hAnsi="Times New Roman" w:eastAsia="宋体"/>
          <w:sz w:val="24"/>
          <w:szCs w:val="28"/>
        </w:rPr>
      </w:pPr>
      <w:r>
        <w:rPr>
          <w:rFonts w:ascii="Times New Roman" w:hAnsi="Times New Roman" w:eastAsia="宋体"/>
          <w:sz w:val="24"/>
          <w:szCs w:val="28"/>
        </w:rPr>
        <w:t>运营期间，港池开挖、护坡、码头基础及接岸道路等施工内容产生的影响在运营期间逐渐消除，拟建码头对河滩生境可能产生的影响为码头桩基、护坡等水工构筑物长期占用，以及运营期间船舶通航停泊，主要包括以下几个方面：①水工构筑物占用保护区河滩及水域，改变天然河流形态，使其由自然状态转变为硬化状态，降低河岸水土交换能力及水体自净能力，改变鱼类等水生生物的栖息生境；②船舶污染物存在进入水体的可能性，使水质下降；船舶大型化产生的噪声使工程水域背景噪声增大，进而对河滩生境产生影响；③码头车辆通行及码头作业，也将产生噪声和光照污染，对河滩水生生物的栖息环境产生影响。</w:t>
      </w:r>
    </w:p>
    <w:bookmarkEnd w:id="280"/>
    <w:bookmarkEnd w:id="281"/>
    <w:bookmarkEnd w:id="282"/>
    <w:bookmarkEnd w:id="283"/>
    <w:bookmarkEnd w:id="284"/>
    <w:bookmarkEnd w:id="285"/>
    <w:bookmarkEnd w:id="286"/>
    <w:p w14:paraId="258F40F7">
      <w:pPr>
        <w:keepNext/>
        <w:keepLines/>
        <w:widowControl w:val="0"/>
        <w:numPr>
          <w:ilvl w:val="0"/>
          <w:numId w:val="0"/>
        </w:numPr>
        <w:adjustRightInd/>
        <w:snapToGrid/>
        <w:spacing w:line="360" w:lineRule="auto"/>
        <w:ind w:firstLine="0" w:firstLineChars="0"/>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5.2.6.12 对保护区结构和功能的影响</w:t>
      </w:r>
    </w:p>
    <w:p w14:paraId="23A4A3B4">
      <w:pPr>
        <w:adjustRightInd w:val="0"/>
        <w:snapToGrid w:val="0"/>
        <w:spacing w:line="240" w:lineRule="auto"/>
        <w:ind w:firstLine="480" w:firstLineChars="200"/>
        <w:jc w:val="center"/>
        <w:rPr>
          <w:rFonts w:ascii="Times New Roman" w:hAnsi="Times New Roman" w:eastAsia="宋体"/>
          <w:sz w:val="24"/>
          <w:szCs w:val="22"/>
        </w:rPr>
      </w:pPr>
      <w:r>
        <w:rPr>
          <w:rFonts w:ascii="Times New Roman" w:hAnsi="Times New Roman" w:eastAsia="宋体"/>
          <w:sz w:val="24"/>
          <w:szCs w:val="22"/>
        </w:rPr>
        <w:drawing>
          <wp:inline distT="0" distB="0" distL="114300" distR="114300">
            <wp:extent cx="4992370" cy="3504565"/>
            <wp:effectExtent l="0" t="0" r="11430" b="635"/>
            <wp:docPr id="17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6"/>
                    <pic:cNvPicPr>
                      <a:picLocks noChangeAspect="1"/>
                    </pic:cNvPicPr>
                  </pic:nvPicPr>
                  <pic:blipFill>
                    <a:blip r:embed="rId195"/>
                    <a:srcRect l="1857" t="3729" r="780" b="5148"/>
                    <a:stretch>
                      <a:fillRect/>
                    </a:stretch>
                  </pic:blipFill>
                  <pic:spPr>
                    <a:xfrm>
                      <a:off x="0" y="0"/>
                      <a:ext cx="4992370" cy="3504565"/>
                    </a:xfrm>
                    <a:prstGeom prst="rect">
                      <a:avLst/>
                    </a:prstGeom>
                    <a:noFill/>
                    <a:ln>
                      <a:noFill/>
                    </a:ln>
                  </pic:spPr>
                </pic:pic>
              </a:graphicData>
            </a:graphic>
          </wp:inline>
        </w:drawing>
      </w:r>
    </w:p>
    <w:p w14:paraId="0D00D1A1">
      <w:pPr>
        <w:widowControl w:val="0"/>
        <w:adjustRightInd w:val="0"/>
        <w:snapToGrid w:val="0"/>
        <w:spacing w:line="240" w:lineRule="auto"/>
        <w:ind w:firstLine="0" w:firstLineChars="0"/>
        <w:jc w:val="center"/>
        <w:textAlignment w:val="baseline"/>
        <w:rPr>
          <w:rFonts w:ascii="Times New Roman" w:hAnsi="Times New Roman" w:eastAsia="宋体" w:cs="Times New Roman"/>
          <w:kern w:val="0"/>
          <w:sz w:val="24"/>
          <w:szCs w:val="22"/>
          <w:lang w:val="en-US" w:eastAsia="zh-CN" w:bidi="ar-SA"/>
        </w:rPr>
      </w:pPr>
      <w:r>
        <w:rPr>
          <w:rFonts w:hint="eastAsia" w:ascii="Times New Roman" w:hAnsi="Times New Roman" w:eastAsia="黑体" w:cs="Times New Roman"/>
          <w:color w:val="auto"/>
          <w:kern w:val="2"/>
          <w:sz w:val="24"/>
          <w:szCs w:val="21"/>
          <w:lang w:val="en-US" w:eastAsia="zh-CN" w:bidi="ar-SA"/>
        </w:rPr>
        <w:t>图5.2-10 拟建兴华园码头与保护区适宜产卵场、越冬场的位置关系示意</w:t>
      </w:r>
      <w:r>
        <w:rPr>
          <w:rFonts w:ascii="Times New Roman" w:hAnsi="Times New Roman" w:eastAsia="宋体" w:cs="Times New Roman"/>
          <w:b/>
          <w:kern w:val="0"/>
          <w:sz w:val="24"/>
          <w:szCs w:val="24"/>
          <w:lang w:val="en-US" w:eastAsia="zh-CN" w:bidi="ar"/>
        </w:rPr>
        <w:t>图</w:t>
      </w:r>
    </w:p>
    <w:p w14:paraId="7A6D90D2">
      <w:pPr>
        <w:adjustRightInd w:val="0"/>
        <w:snapToGrid w:val="0"/>
        <w:spacing w:line="360" w:lineRule="auto"/>
        <w:ind w:firstLine="480" w:firstLineChars="200"/>
        <w:rPr>
          <w:rFonts w:ascii="Times New Roman" w:hAnsi="Times New Roman" w:eastAsia="宋体"/>
          <w:sz w:val="22"/>
          <w:szCs w:val="21"/>
        </w:rPr>
      </w:pPr>
      <w:r>
        <w:rPr>
          <w:rFonts w:ascii="Times New Roman" w:hAnsi="Times New Roman" w:eastAsia="宋体"/>
          <w:b/>
          <w:bCs/>
          <w:sz w:val="24"/>
          <w:szCs w:val="21"/>
          <w:lang w:bidi="ar"/>
        </w:rPr>
        <w:t>施工期间：</w:t>
      </w:r>
      <w:r>
        <w:rPr>
          <w:rFonts w:ascii="Times New Roman" w:hAnsi="Times New Roman" w:eastAsia="宋体"/>
          <w:sz w:val="24"/>
          <w:szCs w:val="21"/>
          <w:lang w:bidi="ar"/>
        </w:rPr>
        <w:t>涉水施工导致悬浮物扩散，使水环境质量下降，进而对鱼类等水生生物资源产生毒害影响；也使水体透光率下降，使浮游植物、水生生</w:t>
      </w:r>
      <w:r>
        <w:rPr>
          <w:rFonts w:hint="eastAsia"/>
          <w:sz w:val="24"/>
          <w:szCs w:val="21"/>
          <w:lang w:eastAsia="zh-CN" w:bidi="ar"/>
        </w:rPr>
        <w:t>物和</w:t>
      </w:r>
      <w:r>
        <w:rPr>
          <w:rFonts w:ascii="Times New Roman" w:hAnsi="Times New Roman" w:eastAsia="宋体"/>
          <w:sz w:val="24"/>
          <w:szCs w:val="21"/>
          <w:lang w:bidi="ar"/>
        </w:rPr>
        <w:t>植物的光合作用下降；此外，施工产生的噪声增强环境噪声背景值。上述影响可能对保护区产卵和索饵水域的栖息生境</w:t>
      </w:r>
      <w:r>
        <w:rPr>
          <w:rFonts w:hint="eastAsia"/>
          <w:sz w:val="24"/>
          <w:szCs w:val="21"/>
          <w:lang w:eastAsia="zh-CN" w:bidi="ar"/>
        </w:rPr>
        <w:t>造成</w:t>
      </w:r>
      <w:r>
        <w:rPr>
          <w:rFonts w:ascii="Times New Roman" w:hAnsi="Times New Roman" w:eastAsia="宋体"/>
          <w:sz w:val="24"/>
          <w:szCs w:val="21"/>
          <w:lang w:bidi="ar"/>
        </w:rPr>
        <w:t>不同程度的负面影响，但随着施工结束上述影响逐渐消除。</w:t>
      </w:r>
    </w:p>
    <w:p w14:paraId="749526E1">
      <w:pPr>
        <w:adjustRightInd w:val="0"/>
        <w:snapToGrid w:val="0"/>
        <w:spacing w:line="360" w:lineRule="auto"/>
        <w:ind w:firstLine="480" w:firstLineChars="200"/>
        <w:rPr>
          <w:rFonts w:ascii="Times New Roman" w:hAnsi="Times New Roman" w:eastAsia="宋体"/>
          <w:sz w:val="22"/>
          <w:szCs w:val="21"/>
        </w:rPr>
      </w:pPr>
      <w:r>
        <w:rPr>
          <w:rFonts w:ascii="Times New Roman" w:hAnsi="Times New Roman" w:eastAsia="宋体"/>
          <w:b/>
          <w:bCs/>
          <w:sz w:val="24"/>
          <w:szCs w:val="21"/>
          <w:lang w:bidi="ar"/>
        </w:rPr>
        <w:t>运营期间：</w:t>
      </w:r>
      <w:r>
        <w:rPr>
          <w:rFonts w:ascii="Times New Roman" w:hAnsi="Times New Roman" w:eastAsia="宋体"/>
          <w:sz w:val="24"/>
          <w:szCs w:val="21"/>
          <w:lang w:bidi="ar"/>
        </w:rPr>
        <w:t>桩基、护坡等水工构筑物占用保护区水域，改变了河滩沿岸的小生境；此外通航船舶数量增加，增强了原有的环境噪声背景值，船舶污染物进入保护区水域的可能性增加，进而可能对产卵、索饵水域产生影响。但河段原有连续的生态系统产生不会产生分割，保护区水域原有的生境特征不会发生显著改变保护区与上、下游河道的连通性并未显著变化，可以使保护区及其上游河段鱼类基因得到有效交流，使保护区的功能得到正常发挥。</w:t>
      </w:r>
    </w:p>
    <w:p w14:paraId="054437D4">
      <w:pPr>
        <w:adjustRightInd w:val="0"/>
        <w:snapToGrid w:val="0"/>
        <w:spacing w:line="360" w:lineRule="auto"/>
        <w:ind w:firstLine="480" w:firstLineChars="200"/>
        <w:rPr>
          <w:rFonts w:eastAsia="宋体"/>
          <w:sz w:val="24"/>
          <w:szCs w:val="22"/>
        </w:rPr>
      </w:pPr>
      <w:r>
        <w:rPr>
          <w:rFonts w:ascii="Times New Roman" w:hAnsi="Times New Roman" w:eastAsia="宋体"/>
          <w:bCs/>
          <w:sz w:val="24"/>
          <w:szCs w:val="21"/>
          <w:lang w:bidi="ar"/>
        </w:rPr>
        <w:t>根据历史资料及资源调查，黑龙潭、峡山口、绵羊石为长吻鮠及瓦氏黄颡鱼的产卵场、越冬场；工程河段为定居性鱼类适宜索饵水域。码头施工及运营期间产生的各类影响因子，特别是疏浚、围堰和护坡等施工对底栖动物产生直接破坏性影响，降低栖息地质量，导致工程河段的浮游生物、底栖动物等饵料资源量下降，进而对工程水域的定居性鱼类产生一定影响，但兴华园码头远离主要保护对象的产卵场和越冬场，故其施工及运营对主要保护对象的产卵及越冬的影响有限。</w:t>
      </w:r>
      <w:r>
        <w:rPr>
          <w:rFonts w:ascii="Times New Roman" w:hAnsi="Times New Roman" w:eastAsia="宋体"/>
          <w:sz w:val="24"/>
          <w:szCs w:val="21"/>
          <w:lang w:bidi="ar"/>
        </w:rPr>
        <w:t>因此，本项目施工期和运营期对保护区结构和功能的影响较小，在辅以适当的管理和修复措施的前提下，项目建设是可接受的。</w:t>
      </w:r>
    </w:p>
    <w:p w14:paraId="09B2F2A9">
      <w:pPr>
        <w:spacing w:line="400" w:lineRule="exact"/>
        <w:jc w:val="center"/>
        <w:rPr>
          <w:rFonts w:hint="eastAsia" w:eastAsia="黑体"/>
          <w:color w:val="auto"/>
          <w:sz w:val="24"/>
        </w:rPr>
      </w:pPr>
      <w:r>
        <w:rPr>
          <w:rFonts w:hint="eastAsia" w:eastAsia="黑体"/>
          <w:color w:val="auto"/>
          <w:sz w:val="24"/>
        </w:rPr>
        <w:t>表5.2-</w:t>
      </w:r>
      <w:r>
        <w:rPr>
          <w:rFonts w:hint="eastAsia" w:eastAsia="黑体"/>
          <w:color w:val="auto"/>
          <w:sz w:val="24"/>
          <w:lang w:val="en-US" w:eastAsia="zh-CN"/>
        </w:rPr>
        <w:t xml:space="preserve">34 </w:t>
      </w:r>
      <w:r>
        <w:rPr>
          <w:rFonts w:hint="eastAsia" w:eastAsia="黑体"/>
          <w:color w:val="auto"/>
          <w:sz w:val="24"/>
        </w:rPr>
        <w:t>生态影响评价自查表</w:t>
      </w:r>
    </w:p>
    <w:tbl>
      <w:tblPr>
        <w:tblStyle w:val="53"/>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096"/>
        <w:gridCol w:w="1165"/>
        <w:gridCol w:w="4066"/>
        <w:gridCol w:w="2738"/>
      </w:tblGrid>
      <w:tr w14:paraId="32B533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2261" w:type="dxa"/>
            <w:gridSpan w:val="2"/>
            <w:noWrap w:val="0"/>
            <w:vAlign w:val="center"/>
          </w:tcPr>
          <w:p w14:paraId="745AC700">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工作内容</w:t>
            </w:r>
          </w:p>
        </w:tc>
        <w:tc>
          <w:tcPr>
            <w:tcW w:w="6804" w:type="dxa"/>
            <w:gridSpan w:val="2"/>
            <w:noWrap w:val="0"/>
            <w:vAlign w:val="center"/>
          </w:tcPr>
          <w:p w14:paraId="635BDAC1">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自查项目</w:t>
            </w:r>
          </w:p>
        </w:tc>
      </w:tr>
      <w:tr w14:paraId="4E4E2C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096" w:type="dxa"/>
            <w:vMerge w:val="restart"/>
            <w:noWrap w:val="0"/>
            <w:vAlign w:val="center"/>
          </w:tcPr>
          <w:p w14:paraId="60D1606B">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生态影响识别</w:t>
            </w:r>
          </w:p>
        </w:tc>
        <w:tc>
          <w:tcPr>
            <w:tcW w:w="1165" w:type="dxa"/>
            <w:noWrap w:val="0"/>
            <w:vAlign w:val="center"/>
          </w:tcPr>
          <w:p w14:paraId="6237815E">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生态保护目标</w:t>
            </w:r>
          </w:p>
        </w:tc>
        <w:tc>
          <w:tcPr>
            <w:tcW w:w="6804" w:type="dxa"/>
            <w:gridSpan w:val="2"/>
            <w:noWrap w:val="0"/>
            <w:vAlign w:val="center"/>
          </w:tcPr>
          <w:p w14:paraId="152E6F66">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重要物种</w:t>
            </w:r>
            <w:r>
              <w:rPr>
                <w:rFonts w:hint="eastAsia" w:cs="Times New Roman"/>
                <w:color w:val="auto"/>
                <w:kern w:val="0"/>
                <w:sz w:val="21"/>
                <w:szCs w:val="21"/>
                <w:lang w:eastAsia="zh-CN"/>
              </w:rPr>
              <w:t>☑</w:t>
            </w:r>
            <w:r>
              <w:rPr>
                <w:rFonts w:hint="default" w:ascii="Times New Roman" w:hAnsi="Times New Roman" w:cs="Times New Roman"/>
                <w:color w:val="auto"/>
                <w:kern w:val="0"/>
                <w:sz w:val="21"/>
                <w:szCs w:val="21"/>
              </w:rPr>
              <w:t>；国家公园□；自然保护区□；自然公园□；世界自然遗产□；生态保护红线□；重要生境</w:t>
            </w:r>
            <w:r>
              <w:rPr>
                <w:rFonts w:hint="eastAsia" w:cs="Times New Roman"/>
                <w:color w:val="auto"/>
                <w:kern w:val="0"/>
                <w:sz w:val="21"/>
                <w:szCs w:val="21"/>
                <w:lang w:eastAsia="zh-CN"/>
              </w:rPr>
              <w:t>☑</w:t>
            </w:r>
            <w:r>
              <w:rPr>
                <w:rFonts w:hint="default" w:ascii="Times New Roman" w:hAnsi="Times New Roman" w:cs="Times New Roman"/>
                <w:color w:val="auto"/>
                <w:kern w:val="0"/>
                <w:sz w:val="21"/>
                <w:szCs w:val="21"/>
              </w:rPr>
              <w:t>；其他具有重要生态功能、对保护生物多样性具有重要意义的区域□；其他□；</w:t>
            </w:r>
          </w:p>
        </w:tc>
      </w:tr>
      <w:tr w14:paraId="6EE764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096" w:type="dxa"/>
            <w:vMerge w:val="continue"/>
            <w:noWrap w:val="0"/>
            <w:vAlign w:val="center"/>
          </w:tcPr>
          <w:p w14:paraId="3EF6C6B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165" w:type="dxa"/>
            <w:noWrap w:val="0"/>
            <w:vAlign w:val="center"/>
          </w:tcPr>
          <w:p w14:paraId="2626BFDA">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影响方式</w:t>
            </w:r>
          </w:p>
        </w:tc>
        <w:tc>
          <w:tcPr>
            <w:tcW w:w="6804" w:type="dxa"/>
            <w:gridSpan w:val="2"/>
            <w:noWrap w:val="0"/>
            <w:vAlign w:val="center"/>
          </w:tcPr>
          <w:p w14:paraId="5AA23BD6">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工程占用</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；施工活动干扰□；改变环境条件</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；其他□</w:t>
            </w:r>
          </w:p>
        </w:tc>
      </w:tr>
      <w:tr w14:paraId="6ACF2A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096" w:type="dxa"/>
            <w:vMerge w:val="continue"/>
            <w:noWrap w:val="0"/>
            <w:vAlign w:val="center"/>
          </w:tcPr>
          <w:p w14:paraId="39341B0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165" w:type="dxa"/>
            <w:noWrap w:val="0"/>
            <w:vAlign w:val="center"/>
          </w:tcPr>
          <w:p w14:paraId="2415BDC4">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评价因子</w:t>
            </w:r>
          </w:p>
        </w:tc>
        <w:tc>
          <w:tcPr>
            <w:tcW w:w="6804" w:type="dxa"/>
            <w:gridSpan w:val="2"/>
            <w:noWrap w:val="0"/>
            <w:vAlign w:val="center"/>
          </w:tcPr>
          <w:p w14:paraId="1BA94600">
            <w:pPr>
              <w:keepNext w:val="0"/>
              <w:keepLines w:val="0"/>
              <w:suppressLineNumbers w:val="0"/>
              <w:tabs>
                <w:tab w:val="left" w:pos="3092"/>
              </w:tabs>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物种</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lang w:eastAsia="en-US"/>
              </w:rPr>
              <w:t>（）生境</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lang w:eastAsia="en-US"/>
              </w:rPr>
              <w:t>（）生物群落□（）</w:t>
            </w:r>
          </w:p>
          <w:p w14:paraId="38C7A039">
            <w:pPr>
              <w:keepNext w:val="0"/>
              <w:keepLines w:val="0"/>
              <w:suppressLineNumbers w:val="0"/>
              <w:tabs>
                <w:tab w:val="left" w:pos="3092"/>
              </w:tabs>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生态系统</w:t>
            </w:r>
            <w:r>
              <w:rPr>
                <w:rFonts w:hint="eastAsia" w:cs="Times New Roman"/>
                <w:color w:val="auto"/>
                <w:kern w:val="0"/>
                <w:sz w:val="21"/>
                <w:szCs w:val="21"/>
                <w:lang w:eastAsia="zh-CN"/>
              </w:rPr>
              <w:t>☑</w:t>
            </w:r>
            <w:r>
              <w:rPr>
                <w:rFonts w:hint="default" w:ascii="Times New Roman" w:hAnsi="Times New Roman" w:cs="Times New Roman"/>
                <w:color w:val="auto"/>
                <w:kern w:val="0"/>
                <w:sz w:val="21"/>
                <w:szCs w:val="21"/>
              </w:rPr>
              <w:t>（）生物多样性</w:t>
            </w:r>
            <w:r>
              <w:rPr>
                <w:rFonts w:hint="eastAsia" w:cs="Times New Roman"/>
                <w:color w:val="auto"/>
                <w:kern w:val="0"/>
                <w:sz w:val="21"/>
                <w:szCs w:val="21"/>
                <w:lang w:eastAsia="zh-CN"/>
              </w:rPr>
              <w:t>☑</w:t>
            </w:r>
            <w:r>
              <w:rPr>
                <w:rFonts w:hint="default" w:ascii="Times New Roman" w:hAnsi="Times New Roman" w:cs="Times New Roman"/>
                <w:color w:val="auto"/>
                <w:kern w:val="0"/>
                <w:sz w:val="21"/>
                <w:szCs w:val="21"/>
              </w:rPr>
              <w:t>（）</w:t>
            </w:r>
          </w:p>
          <w:p w14:paraId="0BEA9AFD">
            <w:pPr>
              <w:keepNext w:val="0"/>
              <w:keepLines w:val="0"/>
              <w:suppressLineNumbers w:val="0"/>
              <w:tabs>
                <w:tab w:val="left" w:pos="3092"/>
              </w:tabs>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生态敏感区□（）自然景观□（）</w:t>
            </w:r>
          </w:p>
          <w:p w14:paraId="765998C3">
            <w:pPr>
              <w:keepNext w:val="0"/>
              <w:keepLines w:val="0"/>
              <w:suppressLineNumbers w:val="0"/>
              <w:tabs>
                <w:tab w:val="left" w:pos="3092"/>
              </w:tabs>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自然遗迹□（）其他□（）</w:t>
            </w:r>
          </w:p>
        </w:tc>
      </w:tr>
      <w:tr w14:paraId="402AED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2261" w:type="dxa"/>
            <w:gridSpan w:val="2"/>
            <w:noWrap w:val="0"/>
            <w:vAlign w:val="center"/>
          </w:tcPr>
          <w:p w14:paraId="0DF17301">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评价等级</w:t>
            </w:r>
          </w:p>
        </w:tc>
        <w:tc>
          <w:tcPr>
            <w:tcW w:w="4066" w:type="dxa"/>
            <w:noWrap w:val="0"/>
            <w:vAlign w:val="center"/>
          </w:tcPr>
          <w:p w14:paraId="7FC3FB10">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一级</w:t>
            </w:r>
            <w:r>
              <w:rPr>
                <w:rFonts w:hint="eastAsia" w:cs="Times New Roman"/>
                <w:color w:val="auto"/>
                <w:kern w:val="0"/>
                <w:sz w:val="21"/>
                <w:szCs w:val="21"/>
                <w:lang w:eastAsia="zh-CN"/>
              </w:rPr>
              <w:t>☑</w:t>
            </w:r>
            <w:r>
              <w:rPr>
                <w:rFonts w:hint="default" w:ascii="Times New Roman" w:hAnsi="Times New Roman" w:cs="Times New Roman"/>
                <w:color w:val="auto"/>
                <w:kern w:val="0"/>
                <w:sz w:val="21"/>
                <w:szCs w:val="21"/>
                <w:lang w:eastAsia="en-US"/>
              </w:rPr>
              <w:tab/>
            </w:r>
            <w:r>
              <w:rPr>
                <w:rFonts w:hint="default" w:ascii="Times New Roman" w:hAnsi="Times New Roman" w:cs="Times New Roman"/>
                <w:color w:val="auto"/>
                <w:kern w:val="0"/>
                <w:sz w:val="21"/>
                <w:szCs w:val="21"/>
                <w:lang w:eastAsia="en-US"/>
              </w:rPr>
              <w:t>二级□</w:t>
            </w:r>
            <w:r>
              <w:rPr>
                <w:rFonts w:hint="default" w:ascii="Times New Roman" w:hAnsi="Times New Roman" w:cs="Times New Roman"/>
                <w:color w:val="auto"/>
                <w:kern w:val="0"/>
                <w:sz w:val="21"/>
                <w:szCs w:val="21"/>
                <w:lang w:eastAsia="en-US"/>
              </w:rPr>
              <w:tab/>
            </w:r>
            <w:r>
              <w:rPr>
                <w:rFonts w:hint="default" w:ascii="Times New Roman" w:hAnsi="Times New Roman" w:cs="Times New Roman"/>
                <w:color w:val="auto"/>
                <w:kern w:val="0"/>
                <w:sz w:val="21"/>
                <w:szCs w:val="21"/>
                <w:lang w:eastAsia="en-US"/>
              </w:rPr>
              <w:t>三级</w:t>
            </w:r>
            <w:r>
              <w:rPr>
                <w:rFonts w:hint="eastAsia" w:cs="Times New Roman"/>
                <w:color w:val="auto"/>
                <w:kern w:val="0"/>
                <w:sz w:val="21"/>
                <w:szCs w:val="21"/>
                <w:lang w:eastAsia="zh-CN"/>
              </w:rPr>
              <w:t>☑</w:t>
            </w:r>
          </w:p>
        </w:tc>
        <w:tc>
          <w:tcPr>
            <w:tcW w:w="2738" w:type="dxa"/>
            <w:noWrap w:val="0"/>
            <w:vAlign w:val="center"/>
          </w:tcPr>
          <w:p w14:paraId="3EE284A7">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生态影响简单分析□</w:t>
            </w:r>
          </w:p>
        </w:tc>
      </w:tr>
      <w:tr w14:paraId="457104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2261" w:type="dxa"/>
            <w:gridSpan w:val="2"/>
            <w:noWrap w:val="0"/>
            <w:vAlign w:val="center"/>
          </w:tcPr>
          <w:p w14:paraId="4703A6D1">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评价范围</w:t>
            </w:r>
          </w:p>
        </w:tc>
        <w:tc>
          <w:tcPr>
            <w:tcW w:w="4066" w:type="dxa"/>
            <w:noWrap w:val="0"/>
            <w:vAlign w:val="center"/>
          </w:tcPr>
          <w:p w14:paraId="4942AD86">
            <w:pPr>
              <w:keepNext w:val="0"/>
              <w:keepLines w:val="0"/>
              <w:suppressLineNumbers w:val="0"/>
              <w:tabs>
                <w:tab w:val="left" w:pos="1560"/>
              </w:tabs>
              <w:spacing w:before="0" w:beforeAutospacing="0" w:after="0" w:afterAutospacing="0"/>
              <w:ind w:left="0" w:right="0"/>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陆域面积</w:t>
            </w:r>
            <w:r>
              <w:rPr>
                <w:rFonts w:hint="default" w:ascii="Times New Roman" w:hAnsi="Times New Roman" w:cs="Times New Roman"/>
                <w:color w:val="auto"/>
                <w:spacing w:val="-92"/>
                <w:kern w:val="0"/>
                <w:sz w:val="21"/>
                <w:szCs w:val="21"/>
              </w:rPr>
              <w:t>：</w:t>
            </w:r>
            <w:r>
              <w:rPr>
                <w:rFonts w:hint="default" w:ascii="Times New Roman" w:hAnsi="Times New Roman" w:cs="Times New Roman"/>
                <w:color w:val="auto"/>
                <w:kern w:val="0"/>
                <w:sz w:val="21"/>
                <w:szCs w:val="21"/>
              </w:rPr>
              <w:t>（</w:t>
            </w:r>
            <w:r>
              <w:rPr>
                <w:rFonts w:hint="eastAsia" w:cs="Times New Roman"/>
                <w:color w:val="auto"/>
                <w:kern w:val="0"/>
                <w:sz w:val="21"/>
                <w:szCs w:val="21"/>
                <w:lang w:val="en-US" w:eastAsia="zh-CN"/>
              </w:rPr>
              <w:t>0.16</w:t>
            </w:r>
            <w:r>
              <w:rPr>
                <w:rFonts w:hint="default" w:ascii="Times New Roman" w:hAnsi="Times New Roman" w:cs="Times New Roman"/>
                <w:color w:val="auto"/>
                <w:kern w:val="0"/>
                <w:sz w:val="21"/>
                <w:szCs w:val="21"/>
              </w:rPr>
              <w:t>）</w:t>
            </w:r>
            <w:r>
              <w:rPr>
                <w:rFonts w:hint="default" w:ascii="Times New Roman" w:hAnsi="Times New Roman" w:cs="Times New Roman"/>
                <w:color w:val="auto"/>
                <w:spacing w:val="-2"/>
                <w:kern w:val="0"/>
                <w:sz w:val="21"/>
                <w:szCs w:val="21"/>
              </w:rPr>
              <w:t>k</w:t>
            </w:r>
            <w:r>
              <w:rPr>
                <w:rFonts w:hint="default" w:ascii="Times New Roman" w:hAnsi="Times New Roman" w:cs="Times New Roman"/>
                <w:color w:val="auto"/>
                <w:spacing w:val="-4"/>
                <w:kern w:val="0"/>
                <w:sz w:val="21"/>
                <w:szCs w:val="21"/>
              </w:rPr>
              <w:t>m</w:t>
            </w:r>
            <w:r>
              <w:rPr>
                <w:rFonts w:hint="default" w:ascii="Times New Roman" w:hAnsi="Times New Roman" w:cs="Times New Roman"/>
                <w:color w:val="auto"/>
                <w:w w:val="97"/>
                <w:kern w:val="0"/>
                <w:sz w:val="21"/>
                <w:szCs w:val="21"/>
                <w:vertAlign w:val="superscript"/>
              </w:rPr>
              <w:t>2</w:t>
            </w:r>
            <w:r>
              <w:rPr>
                <w:rFonts w:hint="default" w:ascii="Times New Roman" w:hAnsi="Times New Roman" w:cs="Times New Roman"/>
                <w:color w:val="auto"/>
                <w:kern w:val="0"/>
                <w:sz w:val="21"/>
                <w:szCs w:val="21"/>
              </w:rPr>
              <w:t>；水</w:t>
            </w:r>
            <w:r>
              <w:rPr>
                <w:rFonts w:hint="default" w:ascii="Times New Roman" w:hAnsi="Times New Roman" w:cs="Times New Roman"/>
                <w:color w:val="auto"/>
                <w:spacing w:val="2"/>
                <w:kern w:val="0"/>
                <w:sz w:val="21"/>
                <w:szCs w:val="21"/>
              </w:rPr>
              <w:t>域</w:t>
            </w:r>
            <w:r>
              <w:rPr>
                <w:rFonts w:hint="default" w:ascii="Times New Roman" w:hAnsi="Times New Roman" w:cs="Times New Roman"/>
                <w:color w:val="auto"/>
                <w:kern w:val="0"/>
                <w:sz w:val="21"/>
                <w:szCs w:val="21"/>
              </w:rPr>
              <w:t>面积</w:t>
            </w:r>
            <w:r>
              <w:rPr>
                <w:rFonts w:hint="default" w:ascii="Times New Roman" w:hAnsi="Times New Roman" w:cs="Times New Roman"/>
                <w:color w:val="auto"/>
                <w:spacing w:val="-92"/>
                <w:kern w:val="0"/>
                <w:sz w:val="21"/>
                <w:szCs w:val="21"/>
              </w:rPr>
              <w:t>：</w:t>
            </w:r>
            <w:r>
              <w:rPr>
                <w:rFonts w:hint="eastAsia" w:ascii="Times New Roman" w:hAnsi="Times New Roman" w:cs="Times New Roman"/>
                <w:color w:val="auto"/>
                <w:spacing w:val="-92"/>
                <w:kern w:val="0"/>
                <w:sz w:val="21"/>
                <w:szCs w:val="21"/>
              </w:rPr>
              <w:t xml:space="preserve">  </w:t>
            </w:r>
            <w:r>
              <w:rPr>
                <w:rFonts w:hint="eastAsia" w:ascii="Times New Roman" w:hAnsi="Times New Roman" w:cs="Times New Roman"/>
                <w:color w:val="auto"/>
                <w:kern w:val="0"/>
                <w:sz w:val="21"/>
                <w:szCs w:val="21"/>
              </w:rPr>
              <w:t>（</w:t>
            </w:r>
            <w:r>
              <w:rPr>
                <w:rFonts w:hint="eastAsia" w:cs="Times New Roman"/>
                <w:color w:val="auto"/>
                <w:kern w:val="0"/>
                <w:sz w:val="21"/>
                <w:szCs w:val="21"/>
                <w:lang w:val="en-US" w:eastAsia="zh-CN"/>
              </w:rPr>
              <w:t>12</w:t>
            </w:r>
            <w:r>
              <w:rPr>
                <w:rFonts w:hint="eastAsia" w:ascii="Times New Roman" w:hAnsi="Times New Roman" w:cs="Times New Roman"/>
                <w:color w:val="auto"/>
                <w:kern w:val="0"/>
                <w:sz w:val="21"/>
                <w:szCs w:val="21"/>
              </w:rPr>
              <w:t>）</w:t>
            </w:r>
            <w:r>
              <w:rPr>
                <w:rFonts w:hint="default" w:ascii="Times New Roman" w:hAnsi="Times New Roman" w:cs="Times New Roman"/>
                <w:color w:val="auto"/>
                <w:kern w:val="0"/>
                <w:sz w:val="21"/>
                <w:szCs w:val="21"/>
              </w:rPr>
              <w:t>km</w:t>
            </w:r>
            <w:r>
              <w:rPr>
                <w:rFonts w:hint="default" w:ascii="Times New Roman" w:hAnsi="Times New Roman" w:cs="Times New Roman"/>
                <w:color w:val="auto"/>
                <w:kern w:val="0"/>
                <w:sz w:val="21"/>
                <w:szCs w:val="21"/>
                <w:vertAlign w:val="superscript"/>
              </w:rPr>
              <w:t>2</w:t>
            </w:r>
          </w:p>
        </w:tc>
        <w:tc>
          <w:tcPr>
            <w:tcW w:w="2738" w:type="dxa"/>
            <w:noWrap w:val="0"/>
            <w:vAlign w:val="center"/>
          </w:tcPr>
          <w:p w14:paraId="6293AFAE">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p>
        </w:tc>
      </w:tr>
      <w:tr w14:paraId="449168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096" w:type="dxa"/>
            <w:vMerge w:val="restart"/>
            <w:noWrap w:val="0"/>
            <w:vAlign w:val="center"/>
          </w:tcPr>
          <w:p w14:paraId="11DEB3BD">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spacing w:val="-5"/>
                <w:kern w:val="0"/>
                <w:sz w:val="21"/>
                <w:szCs w:val="21"/>
                <w:lang w:eastAsia="en-US"/>
              </w:rPr>
              <w:t>生态现状</w:t>
            </w:r>
            <w:r>
              <w:rPr>
                <w:rFonts w:hint="default" w:ascii="Times New Roman" w:hAnsi="Times New Roman" w:cs="Times New Roman"/>
                <w:color w:val="auto"/>
                <w:kern w:val="0"/>
                <w:sz w:val="21"/>
                <w:szCs w:val="21"/>
                <w:lang w:eastAsia="en-US"/>
              </w:rPr>
              <w:t>调查与评价</w:t>
            </w:r>
          </w:p>
        </w:tc>
        <w:tc>
          <w:tcPr>
            <w:tcW w:w="1165" w:type="dxa"/>
            <w:noWrap w:val="0"/>
            <w:vAlign w:val="center"/>
          </w:tcPr>
          <w:p w14:paraId="051952E5">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调查方法</w:t>
            </w:r>
          </w:p>
        </w:tc>
        <w:tc>
          <w:tcPr>
            <w:tcW w:w="6804" w:type="dxa"/>
            <w:gridSpan w:val="2"/>
            <w:noWrap w:val="0"/>
            <w:vAlign w:val="center"/>
          </w:tcPr>
          <w:p w14:paraId="5C3ED9EB">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资料收集</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；遥感调查□；调查样方、样线</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；调查点位、断面□；专家和公众咨询法□；其他□</w:t>
            </w:r>
          </w:p>
        </w:tc>
      </w:tr>
      <w:tr w14:paraId="0E56AE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096" w:type="dxa"/>
            <w:vMerge w:val="continue"/>
            <w:noWrap w:val="0"/>
            <w:vAlign w:val="center"/>
          </w:tcPr>
          <w:p w14:paraId="7F6CEFC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165" w:type="dxa"/>
            <w:noWrap w:val="0"/>
            <w:vAlign w:val="center"/>
          </w:tcPr>
          <w:p w14:paraId="04D608C8">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调查时间</w:t>
            </w:r>
          </w:p>
        </w:tc>
        <w:tc>
          <w:tcPr>
            <w:tcW w:w="6804" w:type="dxa"/>
            <w:gridSpan w:val="2"/>
            <w:noWrap w:val="0"/>
            <w:vAlign w:val="center"/>
          </w:tcPr>
          <w:p w14:paraId="6CD94D07">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春季□；夏季□；秋季□；冬季□ 丰水期</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lang w:eastAsia="en-US"/>
              </w:rPr>
              <w:t>；枯水期</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lang w:eastAsia="en-US"/>
              </w:rPr>
              <w:t>；平水期</w:t>
            </w:r>
            <w:r>
              <w:rPr>
                <w:rFonts w:hint="default" w:ascii="Times New Roman" w:hAnsi="Times New Roman" w:cs="Times New Roman"/>
                <w:color w:val="auto"/>
                <w:kern w:val="0"/>
                <w:sz w:val="21"/>
                <w:szCs w:val="21"/>
                <w:lang w:eastAsia="en-US"/>
              </w:rPr>
              <w:sym w:font="Wingdings 2" w:char="0052"/>
            </w:r>
          </w:p>
        </w:tc>
      </w:tr>
      <w:tr w14:paraId="01889A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096" w:type="dxa"/>
            <w:vMerge w:val="continue"/>
            <w:noWrap w:val="0"/>
            <w:vAlign w:val="center"/>
          </w:tcPr>
          <w:p w14:paraId="09C1CB0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165" w:type="dxa"/>
            <w:noWrap w:val="0"/>
            <w:vAlign w:val="center"/>
          </w:tcPr>
          <w:p w14:paraId="5EB6ADBF">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所在区域的生态问题</w:t>
            </w:r>
          </w:p>
        </w:tc>
        <w:tc>
          <w:tcPr>
            <w:tcW w:w="6804" w:type="dxa"/>
            <w:gridSpan w:val="2"/>
            <w:noWrap w:val="0"/>
            <w:vAlign w:val="center"/>
          </w:tcPr>
          <w:p w14:paraId="0F861C03">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p>
          <w:p w14:paraId="171909DD">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水土流失□；沙漠化□；石漠化□；盐渍化□；生物入侵□；污染危害□；其他□</w:t>
            </w:r>
          </w:p>
        </w:tc>
      </w:tr>
      <w:tr w14:paraId="4FC570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096" w:type="dxa"/>
            <w:vMerge w:val="continue"/>
            <w:noWrap w:val="0"/>
            <w:vAlign w:val="center"/>
          </w:tcPr>
          <w:p w14:paraId="7D53521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165" w:type="dxa"/>
            <w:noWrap w:val="0"/>
            <w:vAlign w:val="center"/>
          </w:tcPr>
          <w:p w14:paraId="23315C53">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评价内容</w:t>
            </w:r>
          </w:p>
        </w:tc>
        <w:tc>
          <w:tcPr>
            <w:tcW w:w="6804" w:type="dxa"/>
            <w:gridSpan w:val="2"/>
            <w:noWrap w:val="0"/>
            <w:vAlign w:val="center"/>
          </w:tcPr>
          <w:p w14:paraId="7F770DDB">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植被/植物群落□；土地利用</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；生态系统</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；生物多样性</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；重要物种</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；生态敏感区</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；其他□</w:t>
            </w:r>
          </w:p>
        </w:tc>
      </w:tr>
      <w:tr w14:paraId="1FA46D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096" w:type="dxa"/>
            <w:vMerge w:val="restart"/>
            <w:noWrap w:val="0"/>
            <w:vAlign w:val="center"/>
          </w:tcPr>
          <w:p w14:paraId="3D82FDFF">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spacing w:val="-5"/>
                <w:kern w:val="0"/>
                <w:sz w:val="21"/>
                <w:szCs w:val="21"/>
                <w:lang w:eastAsia="en-US"/>
              </w:rPr>
              <w:t>生态影响</w:t>
            </w:r>
            <w:r>
              <w:rPr>
                <w:rFonts w:hint="default" w:ascii="Times New Roman" w:hAnsi="Times New Roman" w:cs="Times New Roman"/>
                <w:color w:val="auto"/>
                <w:kern w:val="0"/>
                <w:sz w:val="21"/>
                <w:szCs w:val="21"/>
                <w:lang w:eastAsia="en-US"/>
              </w:rPr>
              <w:t>预测与评价</w:t>
            </w:r>
          </w:p>
        </w:tc>
        <w:tc>
          <w:tcPr>
            <w:tcW w:w="1165" w:type="dxa"/>
            <w:noWrap w:val="0"/>
            <w:vAlign w:val="center"/>
          </w:tcPr>
          <w:p w14:paraId="000BE6A4">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评价方法</w:t>
            </w:r>
          </w:p>
        </w:tc>
        <w:tc>
          <w:tcPr>
            <w:tcW w:w="6804" w:type="dxa"/>
            <w:gridSpan w:val="2"/>
            <w:noWrap w:val="0"/>
            <w:vAlign w:val="center"/>
          </w:tcPr>
          <w:p w14:paraId="337C8C75">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定性</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lang w:eastAsia="en-US"/>
              </w:rPr>
              <w:t>；定性和定量</w:t>
            </w:r>
            <w:r>
              <w:rPr>
                <w:rFonts w:hint="default" w:ascii="Times New Roman" w:hAnsi="Times New Roman" w:cs="Times New Roman"/>
                <w:color w:val="auto"/>
                <w:kern w:val="0"/>
                <w:sz w:val="21"/>
                <w:szCs w:val="21"/>
              </w:rPr>
              <w:t>□</w:t>
            </w:r>
          </w:p>
        </w:tc>
      </w:tr>
      <w:tr w14:paraId="66F06B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096" w:type="dxa"/>
            <w:vMerge w:val="continue"/>
            <w:noWrap w:val="0"/>
            <w:vAlign w:val="center"/>
          </w:tcPr>
          <w:p w14:paraId="052626C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165" w:type="dxa"/>
            <w:noWrap w:val="0"/>
            <w:vAlign w:val="center"/>
          </w:tcPr>
          <w:p w14:paraId="37A81672">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评价内容</w:t>
            </w:r>
          </w:p>
        </w:tc>
        <w:tc>
          <w:tcPr>
            <w:tcW w:w="6804" w:type="dxa"/>
            <w:gridSpan w:val="2"/>
            <w:noWrap w:val="0"/>
            <w:vAlign w:val="center"/>
          </w:tcPr>
          <w:p w14:paraId="47EE51D3">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植被/植物群落</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；土地利用</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；生态系统□；生物多样性□；重要物种</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；生态敏感区</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；生物入侵风险□；其他□</w:t>
            </w:r>
          </w:p>
        </w:tc>
      </w:tr>
      <w:tr w14:paraId="632C71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096" w:type="dxa"/>
            <w:vMerge w:val="restart"/>
            <w:noWrap w:val="0"/>
            <w:vAlign w:val="center"/>
          </w:tcPr>
          <w:p w14:paraId="6E71DC00">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生态保护对策措施</w:t>
            </w:r>
          </w:p>
        </w:tc>
        <w:tc>
          <w:tcPr>
            <w:tcW w:w="1165" w:type="dxa"/>
            <w:noWrap w:val="0"/>
            <w:vAlign w:val="center"/>
          </w:tcPr>
          <w:p w14:paraId="5BC9997A">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对策措施</w:t>
            </w:r>
          </w:p>
        </w:tc>
        <w:tc>
          <w:tcPr>
            <w:tcW w:w="6804" w:type="dxa"/>
            <w:gridSpan w:val="2"/>
            <w:noWrap w:val="0"/>
            <w:vAlign w:val="center"/>
          </w:tcPr>
          <w:p w14:paraId="4269C4B7">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避让□；减缓</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；生态修复</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；生态补偿</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；科研□；其他□</w:t>
            </w:r>
          </w:p>
        </w:tc>
      </w:tr>
      <w:tr w14:paraId="622DFE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096" w:type="dxa"/>
            <w:vMerge w:val="continue"/>
            <w:noWrap w:val="0"/>
            <w:vAlign w:val="center"/>
          </w:tcPr>
          <w:p w14:paraId="72FBB5D6">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165" w:type="dxa"/>
            <w:noWrap w:val="0"/>
            <w:vAlign w:val="center"/>
          </w:tcPr>
          <w:p w14:paraId="0FC997BD">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生态监测计划</w:t>
            </w:r>
          </w:p>
        </w:tc>
        <w:tc>
          <w:tcPr>
            <w:tcW w:w="6804" w:type="dxa"/>
            <w:gridSpan w:val="2"/>
            <w:noWrap w:val="0"/>
            <w:vAlign w:val="center"/>
          </w:tcPr>
          <w:p w14:paraId="519A96D6">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全生命周期□；长期跟踪</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；常规□；无□</w:t>
            </w:r>
          </w:p>
        </w:tc>
      </w:tr>
      <w:tr w14:paraId="5FF7B0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096" w:type="dxa"/>
            <w:vMerge w:val="continue"/>
            <w:noWrap w:val="0"/>
            <w:vAlign w:val="center"/>
          </w:tcPr>
          <w:p w14:paraId="6223702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165" w:type="dxa"/>
            <w:noWrap w:val="0"/>
            <w:vAlign w:val="center"/>
          </w:tcPr>
          <w:p w14:paraId="58433E52">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环境管理</w:t>
            </w:r>
          </w:p>
        </w:tc>
        <w:tc>
          <w:tcPr>
            <w:tcW w:w="6804" w:type="dxa"/>
            <w:gridSpan w:val="2"/>
            <w:noWrap w:val="0"/>
            <w:vAlign w:val="center"/>
          </w:tcPr>
          <w:p w14:paraId="0E66A188">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环境监理</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rPr>
              <w:t>；环境影响后评价□；其他□</w:t>
            </w:r>
          </w:p>
        </w:tc>
      </w:tr>
      <w:tr w14:paraId="7DF4BC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096" w:type="dxa"/>
            <w:noWrap w:val="0"/>
            <w:vAlign w:val="center"/>
          </w:tcPr>
          <w:p w14:paraId="62CF094A">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评价结论</w:t>
            </w:r>
          </w:p>
        </w:tc>
        <w:tc>
          <w:tcPr>
            <w:tcW w:w="1165" w:type="dxa"/>
            <w:noWrap w:val="0"/>
            <w:vAlign w:val="center"/>
          </w:tcPr>
          <w:p w14:paraId="7EB24C9F">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生态影响</w:t>
            </w:r>
          </w:p>
        </w:tc>
        <w:tc>
          <w:tcPr>
            <w:tcW w:w="6804" w:type="dxa"/>
            <w:gridSpan w:val="2"/>
            <w:noWrap w:val="0"/>
            <w:vAlign w:val="center"/>
          </w:tcPr>
          <w:p w14:paraId="0982EA4A">
            <w:pPr>
              <w:keepNext w:val="0"/>
              <w:keepLines w:val="0"/>
              <w:suppressLineNumbers w:val="0"/>
              <w:spacing w:before="0" w:beforeAutospacing="0" w:after="0" w:afterAutospacing="0"/>
              <w:ind w:left="0" w:right="0"/>
              <w:jc w:val="center"/>
              <w:rPr>
                <w:rFonts w:hint="default" w:ascii="Times New Roman" w:hAnsi="Times New Roman" w:cs="Times New Roman"/>
                <w:color w:val="auto"/>
                <w:kern w:val="0"/>
                <w:sz w:val="21"/>
                <w:szCs w:val="21"/>
                <w:lang w:eastAsia="en-US"/>
              </w:rPr>
            </w:pPr>
            <w:r>
              <w:rPr>
                <w:rFonts w:hint="default" w:ascii="Times New Roman" w:hAnsi="Times New Roman" w:cs="Times New Roman"/>
                <w:color w:val="auto"/>
                <w:kern w:val="0"/>
                <w:sz w:val="21"/>
                <w:szCs w:val="21"/>
                <w:lang w:eastAsia="en-US"/>
              </w:rPr>
              <w:t>可行</w:t>
            </w:r>
            <w:r>
              <w:rPr>
                <w:rFonts w:hint="default" w:ascii="Times New Roman" w:hAnsi="Times New Roman" w:cs="Times New Roman"/>
                <w:color w:val="auto"/>
                <w:kern w:val="0"/>
                <w:sz w:val="21"/>
                <w:szCs w:val="21"/>
                <w:lang w:eastAsia="en-US"/>
              </w:rPr>
              <w:sym w:font="Wingdings 2" w:char="0052"/>
            </w:r>
            <w:r>
              <w:rPr>
                <w:rFonts w:hint="default" w:ascii="Times New Roman" w:hAnsi="Times New Roman" w:cs="Times New Roman"/>
                <w:color w:val="auto"/>
                <w:kern w:val="0"/>
                <w:sz w:val="21"/>
                <w:szCs w:val="21"/>
                <w:lang w:eastAsia="en-US"/>
              </w:rPr>
              <w:t>；不可行□</w:t>
            </w:r>
          </w:p>
        </w:tc>
      </w:tr>
      <w:tr w14:paraId="17BA7F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9065" w:type="dxa"/>
            <w:gridSpan w:val="4"/>
            <w:noWrap w:val="0"/>
            <w:vAlign w:val="center"/>
          </w:tcPr>
          <w:p w14:paraId="5EE7BDD6">
            <w:pPr>
              <w:keepNext w:val="0"/>
              <w:keepLines w:val="0"/>
              <w:suppressLineNumbers w:val="0"/>
              <w:tabs>
                <w:tab w:val="left" w:pos="3259"/>
              </w:tabs>
              <w:spacing w:before="0" w:beforeAutospacing="0" w:after="0" w:afterAutospacing="0"/>
              <w:ind w:left="0" w:right="0"/>
              <w:jc w:val="left"/>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注：</w:t>
            </w:r>
            <w:r>
              <w:rPr>
                <w:rFonts w:hint="default" w:ascii="Times New Roman" w:hAnsi="Times New Roman" w:cs="Times New Roman"/>
                <w:color w:val="auto"/>
                <w:spacing w:val="1"/>
                <w:kern w:val="0"/>
                <w:sz w:val="21"/>
                <w:szCs w:val="21"/>
              </w:rPr>
              <w:t xml:space="preserve"> </w:t>
            </w:r>
            <w:r>
              <w:rPr>
                <w:rFonts w:hint="default" w:ascii="Times New Roman" w:hAnsi="Times New Roman" w:cs="Times New Roman"/>
                <w:color w:val="auto"/>
                <w:kern w:val="0"/>
                <w:sz w:val="21"/>
                <w:szCs w:val="21"/>
              </w:rPr>
              <w:t>“□”</w:t>
            </w:r>
            <w:r>
              <w:rPr>
                <w:rFonts w:hint="default" w:ascii="Times New Roman" w:hAnsi="Times New Roman" w:cs="Times New Roman"/>
                <w:color w:val="auto"/>
                <w:spacing w:val="1"/>
                <w:kern w:val="0"/>
                <w:sz w:val="21"/>
                <w:szCs w:val="21"/>
              </w:rPr>
              <w:t xml:space="preserve"> </w:t>
            </w:r>
            <w:r>
              <w:rPr>
                <w:rFonts w:hint="default" w:ascii="Times New Roman" w:hAnsi="Times New Roman" w:cs="Times New Roman"/>
                <w:color w:val="auto"/>
                <w:kern w:val="0"/>
                <w:sz w:val="21"/>
                <w:szCs w:val="21"/>
              </w:rPr>
              <w:t>为勾选项</w:t>
            </w:r>
            <w:r>
              <w:rPr>
                <w:rFonts w:hint="default" w:ascii="Times New Roman" w:hAnsi="Times New Roman" w:cs="Times New Roman"/>
                <w:color w:val="auto"/>
                <w:spacing w:val="1"/>
                <w:kern w:val="0"/>
                <w:sz w:val="21"/>
                <w:szCs w:val="21"/>
              </w:rPr>
              <w:t xml:space="preserve"> </w:t>
            </w:r>
            <w:r>
              <w:rPr>
                <w:rFonts w:hint="default" w:ascii="Times New Roman" w:hAnsi="Times New Roman" w:cs="Times New Roman"/>
                <w:color w:val="auto"/>
                <w:kern w:val="0"/>
                <w:sz w:val="21"/>
                <w:szCs w:val="21"/>
              </w:rPr>
              <w:t>，可√</w:t>
            </w:r>
            <w:r>
              <w:rPr>
                <w:rFonts w:hint="default" w:ascii="Times New Roman" w:hAnsi="Times New Roman" w:cs="Times New Roman"/>
                <w:color w:val="auto"/>
                <w:spacing w:val="-1"/>
                <w:kern w:val="0"/>
                <w:sz w:val="21"/>
                <w:szCs w:val="21"/>
              </w:rPr>
              <w:t xml:space="preserve"> </w:t>
            </w:r>
            <w:r>
              <w:rPr>
                <w:rFonts w:hint="default" w:ascii="Times New Roman" w:hAnsi="Times New Roman" w:cs="Times New Roman"/>
                <w:color w:val="auto"/>
                <w:spacing w:val="-92"/>
                <w:kern w:val="0"/>
                <w:sz w:val="21"/>
                <w:szCs w:val="21"/>
              </w:rPr>
              <w:t>；“</w:t>
            </w:r>
            <w:r>
              <w:rPr>
                <w:rFonts w:hint="default" w:ascii="Times New Roman" w:hAnsi="Times New Roman" w:cs="Times New Roman"/>
                <w:color w:val="auto"/>
                <w:kern w:val="0"/>
                <w:sz w:val="21"/>
                <w:szCs w:val="21"/>
              </w:rPr>
              <w:t>（</w:t>
            </w:r>
            <w:r>
              <w:rPr>
                <w:rFonts w:hint="default" w:ascii="Times New Roman" w:hAnsi="Times New Roman" w:cs="Times New Roman"/>
                <w:color w:val="auto"/>
                <w:kern w:val="0"/>
                <w:sz w:val="21"/>
                <w:szCs w:val="21"/>
              </w:rPr>
              <w:tab/>
            </w:r>
            <w:r>
              <w:rPr>
                <w:rFonts w:hint="default" w:ascii="Times New Roman" w:hAnsi="Times New Roman" w:cs="Times New Roman"/>
                <w:color w:val="auto"/>
                <w:spacing w:val="-92"/>
                <w:kern w:val="0"/>
                <w:sz w:val="21"/>
                <w:szCs w:val="21"/>
              </w:rPr>
              <w:t>）</w:t>
            </w:r>
            <w:r>
              <w:rPr>
                <w:rFonts w:hint="default" w:ascii="Times New Roman" w:hAnsi="Times New Roman" w:cs="Times New Roman"/>
                <w:color w:val="auto"/>
                <w:kern w:val="0"/>
                <w:sz w:val="21"/>
                <w:szCs w:val="21"/>
              </w:rPr>
              <w:t>”</w:t>
            </w:r>
            <w:r>
              <w:rPr>
                <w:rFonts w:hint="default" w:ascii="Times New Roman" w:hAnsi="Times New Roman" w:cs="Times New Roman"/>
                <w:color w:val="auto"/>
                <w:spacing w:val="1"/>
                <w:kern w:val="0"/>
                <w:sz w:val="21"/>
                <w:szCs w:val="21"/>
              </w:rPr>
              <w:t xml:space="preserve"> </w:t>
            </w:r>
            <w:r>
              <w:rPr>
                <w:rFonts w:hint="default" w:ascii="Times New Roman" w:hAnsi="Times New Roman" w:cs="Times New Roman"/>
                <w:color w:val="auto"/>
                <w:kern w:val="0"/>
                <w:sz w:val="21"/>
                <w:szCs w:val="21"/>
              </w:rPr>
              <w:t>为内容填写项。</w:t>
            </w:r>
          </w:p>
        </w:tc>
      </w:tr>
    </w:tbl>
    <w:p w14:paraId="5B90F876">
      <w:pPr>
        <w:pStyle w:val="3"/>
        <w:numPr>
          <w:ilvl w:val="0"/>
          <w:numId w:val="0"/>
        </w:numPr>
        <w:rPr>
          <w:color w:val="auto"/>
        </w:rPr>
      </w:pPr>
      <w:bookmarkStart w:id="287" w:name="_Toc1258"/>
      <w:r>
        <w:rPr>
          <w:rFonts w:hint="eastAsia"/>
          <w:color w:val="auto"/>
        </w:rPr>
        <w:t>5.3</w:t>
      </w:r>
      <w:r>
        <w:rPr>
          <w:color w:val="auto"/>
        </w:rPr>
        <w:t>环境风险评价</w:t>
      </w:r>
      <w:bookmarkEnd w:id="287"/>
    </w:p>
    <w:p w14:paraId="6D7284A8">
      <w:pPr>
        <w:pStyle w:val="4"/>
        <w:numPr>
          <w:ilvl w:val="0"/>
          <w:numId w:val="0"/>
        </w:numPr>
        <w:rPr>
          <w:color w:val="auto"/>
        </w:rPr>
      </w:pPr>
      <w:r>
        <w:rPr>
          <w:rFonts w:hint="eastAsia"/>
          <w:color w:val="auto"/>
        </w:rPr>
        <w:t>5.3.1</w:t>
      </w:r>
      <w:r>
        <w:rPr>
          <w:color w:val="auto"/>
        </w:rPr>
        <w:t>评价目的</w:t>
      </w:r>
    </w:p>
    <w:p w14:paraId="1F561555">
      <w:pPr>
        <w:pStyle w:val="29"/>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根据环保部环发</w:t>
      </w:r>
      <w:r>
        <w:rPr>
          <w:rFonts w:hint="eastAsia" w:ascii="Times New Roman" w:hAnsi="Times New Roman"/>
          <w:color w:val="auto"/>
          <w:sz w:val="24"/>
          <w:szCs w:val="24"/>
          <w:lang w:eastAsia="zh-CN"/>
        </w:rPr>
        <w:t>〔2012〕77号</w:t>
      </w:r>
      <w:r>
        <w:rPr>
          <w:rFonts w:ascii="Times New Roman" w:hAnsi="Times New Roman"/>
          <w:color w:val="auto"/>
          <w:sz w:val="24"/>
          <w:szCs w:val="24"/>
        </w:rPr>
        <w:t>《关于进一步加强环境影响评价管理防范环境风险的通知》及环发</w:t>
      </w:r>
      <w:r>
        <w:rPr>
          <w:rFonts w:hint="eastAsia" w:ascii="Times New Roman" w:hAnsi="Times New Roman"/>
          <w:color w:val="auto"/>
          <w:sz w:val="24"/>
          <w:szCs w:val="24"/>
          <w:lang w:eastAsia="zh-CN"/>
        </w:rPr>
        <w:t>〔2012〕98号</w:t>
      </w:r>
      <w:r>
        <w:rPr>
          <w:rFonts w:ascii="Times New Roman" w:hAnsi="Times New Roman"/>
          <w:color w:val="auto"/>
          <w:sz w:val="24"/>
          <w:szCs w:val="24"/>
        </w:rPr>
        <w:t>《关于切实加强风险防范严格环境影响评价管理的通知》，按照《建设项目环境风险评价技术导则》（HJ169-2018）的要求，分析和预测建设项目存在的潜在风险、有害因素，建设项目建设和运行期间可能发生的突发性事件或事故（一般不包括人为破坏及自然灾害），提出合理可行的防范与应急措施，以使建设项目事故率、损失和环境影响达到可接受水平。</w:t>
      </w:r>
    </w:p>
    <w:p w14:paraId="3838927C">
      <w:pPr>
        <w:pStyle w:val="4"/>
        <w:numPr>
          <w:ilvl w:val="0"/>
          <w:numId w:val="0"/>
        </w:numPr>
        <w:rPr>
          <w:color w:val="auto"/>
        </w:rPr>
      </w:pPr>
      <w:r>
        <w:rPr>
          <w:rFonts w:hint="eastAsia"/>
          <w:color w:val="auto"/>
        </w:rPr>
        <w:t>5.3.2</w:t>
      </w:r>
      <w:r>
        <w:rPr>
          <w:color w:val="auto"/>
        </w:rPr>
        <w:t>评价依据</w:t>
      </w:r>
    </w:p>
    <w:p w14:paraId="60B58A8F">
      <w:pPr>
        <w:pStyle w:val="5"/>
        <w:numPr>
          <w:ilvl w:val="0"/>
          <w:numId w:val="0"/>
        </w:numPr>
        <w:rPr>
          <w:color w:val="auto"/>
        </w:rPr>
      </w:pPr>
      <w:r>
        <w:rPr>
          <w:rFonts w:hint="eastAsia"/>
          <w:color w:val="auto"/>
        </w:rPr>
        <w:t>5.3.2.1</w:t>
      </w:r>
      <w:r>
        <w:rPr>
          <w:color w:val="auto"/>
        </w:rPr>
        <w:t>风险源调查</w:t>
      </w:r>
    </w:p>
    <w:p w14:paraId="72252096">
      <w:pPr>
        <w:pStyle w:val="29"/>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本项目运输货种为煤炭</w:t>
      </w:r>
      <w:r>
        <w:rPr>
          <w:rFonts w:hint="eastAsia" w:ascii="Times New Roman" w:hAnsi="Times New Roman"/>
          <w:color w:val="auto"/>
          <w:sz w:val="24"/>
          <w:szCs w:val="24"/>
        </w:rPr>
        <w:t>、矿建材料</w:t>
      </w:r>
      <w:r>
        <w:rPr>
          <w:rFonts w:ascii="Times New Roman" w:hAnsi="Times New Roman"/>
          <w:color w:val="auto"/>
          <w:sz w:val="24"/>
          <w:szCs w:val="24"/>
        </w:rPr>
        <w:t>，吞吐量为</w:t>
      </w:r>
      <w:r>
        <w:rPr>
          <w:rFonts w:hint="eastAsia" w:ascii="Times New Roman" w:hAnsi="Times New Roman"/>
          <w:color w:val="auto"/>
          <w:sz w:val="24"/>
          <w:szCs w:val="24"/>
        </w:rPr>
        <w:t>80</w:t>
      </w:r>
      <w:r>
        <w:rPr>
          <w:rFonts w:ascii="Times New Roman" w:hAnsi="Times New Roman"/>
          <w:color w:val="auto"/>
          <w:sz w:val="24"/>
          <w:szCs w:val="24"/>
        </w:rPr>
        <w:t>万吨/年，上述各物品均不属于易燃易爆、有毒有害或危险化学品。项目的风险因子主要为船舶本身动力所用的燃料油，即柴油。</w:t>
      </w:r>
    </w:p>
    <w:p w14:paraId="3A9BCF3C">
      <w:pPr>
        <w:pStyle w:val="5"/>
        <w:numPr>
          <w:ilvl w:val="0"/>
          <w:numId w:val="0"/>
        </w:numPr>
        <w:rPr>
          <w:color w:val="auto"/>
        </w:rPr>
      </w:pPr>
      <w:r>
        <w:rPr>
          <w:rFonts w:hint="eastAsia"/>
          <w:color w:val="auto"/>
        </w:rPr>
        <w:t>5.3.2.2</w:t>
      </w:r>
      <w:r>
        <w:rPr>
          <w:color w:val="auto"/>
        </w:rPr>
        <w:t>环境风险潜势初判</w:t>
      </w:r>
    </w:p>
    <w:p w14:paraId="0703E1C9">
      <w:pPr>
        <w:spacing w:line="360" w:lineRule="auto"/>
        <w:ind w:firstLine="480" w:firstLineChars="200"/>
        <w:rPr>
          <w:color w:val="auto"/>
          <w:sz w:val="24"/>
        </w:rPr>
      </w:pPr>
      <w:r>
        <w:rPr>
          <w:color w:val="auto"/>
          <w:sz w:val="24"/>
        </w:rPr>
        <w:t>项目代表船型为1</w:t>
      </w:r>
      <w:r>
        <w:rPr>
          <w:rFonts w:hint="eastAsia"/>
          <w:color w:val="auto"/>
          <w:sz w:val="24"/>
        </w:rPr>
        <w:t>0</w:t>
      </w:r>
      <w:r>
        <w:rPr>
          <w:color w:val="auto"/>
          <w:sz w:val="24"/>
        </w:rPr>
        <w:t>00吨货船，根据船舶具体运行情况，运输</w:t>
      </w:r>
      <w:r>
        <w:rPr>
          <w:rFonts w:hint="eastAsia"/>
          <w:color w:val="auto"/>
          <w:sz w:val="24"/>
        </w:rPr>
        <w:t>船舶</w:t>
      </w:r>
      <w:r>
        <w:rPr>
          <w:color w:val="auto"/>
          <w:sz w:val="24"/>
        </w:rPr>
        <w:t>单舱载储油量约51.85t。项目涉及危险物质为柴油，根据《建设项目环境风险评价技术导则》（HJ169-2018）附录B的范畴，其临界量为2500t，因此计算Q值为0.021。因为Q&lt;1，该项目环境风险潜势为</w:t>
      </w:r>
      <w:r>
        <w:rPr>
          <w:color w:val="auto"/>
          <w:sz w:val="24"/>
        </w:rPr>
        <w:fldChar w:fldCharType="begin"/>
      </w:r>
      <w:r>
        <w:rPr>
          <w:color w:val="auto"/>
          <w:sz w:val="24"/>
        </w:rPr>
        <w:instrText xml:space="preserve"> = 1 \* ROMAN </w:instrText>
      </w:r>
      <w:r>
        <w:rPr>
          <w:color w:val="auto"/>
          <w:sz w:val="24"/>
        </w:rPr>
        <w:fldChar w:fldCharType="separate"/>
      </w:r>
      <w:r>
        <w:rPr>
          <w:color w:val="auto"/>
          <w:sz w:val="24"/>
        </w:rPr>
        <w:t>I</w:t>
      </w:r>
      <w:r>
        <w:rPr>
          <w:color w:val="auto"/>
          <w:sz w:val="24"/>
        </w:rPr>
        <w:fldChar w:fldCharType="end"/>
      </w:r>
      <w:r>
        <w:rPr>
          <w:color w:val="auto"/>
          <w:sz w:val="24"/>
        </w:rPr>
        <w:t>，开展简单分析。</w:t>
      </w:r>
    </w:p>
    <w:p w14:paraId="0E1A6158">
      <w:pPr>
        <w:pStyle w:val="5"/>
        <w:numPr>
          <w:ilvl w:val="0"/>
          <w:numId w:val="0"/>
        </w:numPr>
        <w:rPr>
          <w:color w:val="auto"/>
        </w:rPr>
      </w:pPr>
      <w:r>
        <w:rPr>
          <w:rFonts w:hint="eastAsia"/>
          <w:color w:val="auto"/>
        </w:rPr>
        <w:t>5.3.2.3</w:t>
      </w:r>
      <w:r>
        <w:rPr>
          <w:color w:val="auto"/>
        </w:rPr>
        <w:t>评价等级</w:t>
      </w:r>
    </w:p>
    <w:p w14:paraId="611516FC">
      <w:pPr>
        <w:spacing w:line="360" w:lineRule="auto"/>
        <w:ind w:firstLine="480" w:firstLineChars="200"/>
        <w:rPr>
          <w:color w:val="auto"/>
          <w:sz w:val="24"/>
        </w:rPr>
      </w:pPr>
      <w:r>
        <w:rPr>
          <w:color w:val="auto"/>
          <w:sz w:val="24"/>
        </w:rPr>
        <w:t>本项目环境风险评价工作等级划分见下表。因此，本项目环境风险评价等级为简单分析。</w:t>
      </w:r>
    </w:p>
    <w:p w14:paraId="7BFF7563">
      <w:pPr>
        <w:spacing w:line="400" w:lineRule="exact"/>
        <w:jc w:val="center"/>
        <w:rPr>
          <w:rFonts w:eastAsia="黑体"/>
          <w:color w:val="auto"/>
          <w:sz w:val="24"/>
        </w:rPr>
      </w:pPr>
      <w:r>
        <w:rPr>
          <w:rFonts w:eastAsia="黑体"/>
          <w:color w:val="auto"/>
          <w:sz w:val="24"/>
        </w:rPr>
        <w:t>表5.</w:t>
      </w:r>
      <w:r>
        <w:rPr>
          <w:rFonts w:hint="eastAsia" w:eastAsia="黑体"/>
          <w:color w:val="auto"/>
          <w:sz w:val="24"/>
        </w:rPr>
        <w:t>3-1</w:t>
      </w:r>
      <w:r>
        <w:rPr>
          <w:rFonts w:eastAsia="黑体"/>
          <w:color w:val="auto"/>
          <w:sz w:val="24"/>
        </w:rPr>
        <w:t xml:space="preserve"> 评价工作等级划分</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14"/>
        <w:gridCol w:w="1815"/>
        <w:gridCol w:w="1814"/>
        <w:gridCol w:w="1815"/>
        <w:gridCol w:w="1817"/>
      </w:tblGrid>
      <w:tr w14:paraId="420067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4" w:type="dxa"/>
            <w:noWrap w:val="0"/>
            <w:vAlign w:val="center"/>
          </w:tcPr>
          <w:p w14:paraId="2D4337C7">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环境风险潜势</w:t>
            </w:r>
          </w:p>
        </w:tc>
        <w:tc>
          <w:tcPr>
            <w:tcW w:w="1815" w:type="dxa"/>
            <w:noWrap w:val="0"/>
            <w:vAlign w:val="center"/>
          </w:tcPr>
          <w:p w14:paraId="0115A4BD">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Ⅳ、Ⅳ</w:t>
            </w:r>
            <w:r>
              <w:rPr>
                <w:rFonts w:hint="default" w:ascii="Times New Roman" w:hAnsi="Times New Roman" w:cs="Times New Roman"/>
                <w:b/>
                <w:bCs/>
                <w:color w:val="auto"/>
                <w:sz w:val="18"/>
                <w:szCs w:val="18"/>
                <w:vertAlign w:val="superscript"/>
              </w:rPr>
              <w:t>+</w:t>
            </w:r>
          </w:p>
        </w:tc>
        <w:tc>
          <w:tcPr>
            <w:tcW w:w="1814" w:type="dxa"/>
            <w:noWrap w:val="0"/>
            <w:vAlign w:val="center"/>
          </w:tcPr>
          <w:p w14:paraId="2A14ED10">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Ⅲ</w:t>
            </w:r>
          </w:p>
        </w:tc>
        <w:tc>
          <w:tcPr>
            <w:tcW w:w="1815" w:type="dxa"/>
            <w:noWrap w:val="0"/>
            <w:vAlign w:val="center"/>
          </w:tcPr>
          <w:p w14:paraId="76B93B9A">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Ⅱ</w:t>
            </w:r>
          </w:p>
        </w:tc>
        <w:tc>
          <w:tcPr>
            <w:tcW w:w="1817" w:type="dxa"/>
            <w:noWrap w:val="0"/>
            <w:vAlign w:val="center"/>
          </w:tcPr>
          <w:p w14:paraId="2359A88C">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sz w:val="18"/>
                <w:szCs w:val="18"/>
              </w:rPr>
            </w:pPr>
            <w:r>
              <w:rPr>
                <w:rFonts w:hint="default" w:ascii="Times New Roman" w:hAnsi="Times New Roman" w:cs="Times New Roman"/>
                <w:b/>
                <w:bCs/>
                <w:color w:val="auto"/>
                <w:sz w:val="18"/>
                <w:szCs w:val="18"/>
              </w:rPr>
              <w:t>Ⅰ</w:t>
            </w:r>
          </w:p>
        </w:tc>
      </w:tr>
      <w:tr w14:paraId="5E47A9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14" w:type="dxa"/>
            <w:shd w:val="clear" w:color="auto" w:fill="auto"/>
            <w:noWrap w:val="0"/>
            <w:vAlign w:val="center"/>
          </w:tcPr>
          <w:p w14:paraId="3706905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评价工作等级</w:t>
            </w:r>
          </w:p>
        </w:tc>
        <w:tc>
          <w:tcPr>
            <w:tcW w:w="1815" w:type="dxa"/>
            <w:shd w:val="clear" w:color="auto" w:fill="auto"/>
            <w:noWrap w:val="0"/>
            <w:vAlign w:val="center"/>
          </w:tcPr>
          <w:p w14:paraId="168F4DE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一</w:t>
            </w:r>
          </w:p>
        </w:tc>
        <w:tc>
          <w:tcPr>
            <w:tcW w:w="1814" w:type="dxa"/>
            <w:shd w:val="clear" w:color="auto" w:fill="auto"/>
            <w:noWrap w:val="0"/>
            <w:vAlign w:val="center"/>
          </w:tcPr>
          <w:p w14:paraId="2125D03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二</w:t>
            </w:r>
          </w:p>
        </w:tc>
        <w:tc>
          <w:tcPr>
            <w:tcW w:w="1815" w:type="dxa"/>
            <w:shd w:val="clear" w:color="auto" w:fill="auto"/>
            <w:noWrap w:val="0"/>
            <w:vAlign w:val="center"/>
          </w:tcPr>
          <w:p w14:paraId="5A2C781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三</w:t>
            </w:r>
          </w:p>
        </w:tc>
        <w:tc>
          <w:tcPr>
            <w:tcW w:w="1817" w:type="dxa"/>
            <w:shd w:val="clear" w:color="auto" w:fill="AEAAAA"/>
            <w:noWrap w:val="0"/>
            <w:vAlign w:val="center"/>
          </w:tcPr>
          <w:p w14:paraId="6AC9A54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简单分析</w:t>
            </w:r>
            <w:r>
              <w:rPr>
                <w:rFonts w:hint="default" w:ascii="Times New Roman" w:hAnsi="Times New Roman" w:cs="Times New Roman"/>
                <w:color w:val="auto"/>
                <w:sz w:val="18"/>
                <w:szCs w:val="18"/>
                <w:vertAlign w:val="superscript"/>
              </w:rPr>
              <w:t>a</w:t>
            </w:r>
          </w:p>
        </w:tc>
      </w:tr>
      <w:tr w14:paraId="2CB9B7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75" w:type="dxa"/>
            <w:gridSpan w:val="5"/>
            <w:noWrap w:val="0"/>
            <w:vAlign w:val="center"/>
          </w:tcPr>
          <w:p w14:paraId="485A49D1">
            <w:pPr>
              <w:keepNext w:val="0"/>
              <w:keepLines w:val="0"/>
              <w:suppressLineNumbers w:val="0"/>
              <w:spacing w:before="0" w:beforeAutospacing="0" w:after="0" w:afterAutospacing="0"/>
              <w:ind w:left="0" w:right="0"/>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vertAlign w:val="superscript"/>
              </w:rPr>
              <w:t xml:space="preserve">a  </w:t>
            </w:r>
            <w:r>
              <w:rPr>
                <w:rFonts w:hint="default" w:ascii="Times New Roman" w:hAnsi="Times New Roman" w:cs="Times New Roman"/>
                <w:color w:val="auto"/>
                <w:sz w:val="18"/>
                <w:szCs w:val="18"/>
              </w:rPr>
              <w:t>是相对于详细评价工作内容而言，在描述危险物质、环境影响途径、环境危害后果、风险防范措施等方面给出定性的说明。</w:t>
            </w:r>
          </w:p>
        </w:tc>
      </w:tr>
    </w:tbl>
    <w:p w14:paraId="0C73A79A">
      <w:pPr>
        <w:pStyle w:val="5"/>
        <w:numPr>
          <w:ilvl w:val="0"/>
          <w:numId w:val="0"/>
        </w:numPr>
        <w:rPr>
          <w:rFonts w:hint="eastAsia"/>
          <w:color w:val="auto"/>
        </w:rPr>
      </w:pPr>
      <w:r>
        <w:rPr>
          <w:rFonts w:hint="eastAsia"/>
          <w:color w:val="auto"/>
        </w:rPr>
        <w:t>5.3.2.4评价范围</w:t>
      </w:r>
    </w:p>
    <w:p w14:paraId="49A0C214">
      <w:pPr>
        <w:pStyle w:val="29"/>
        <w:spacing w:line="360" w:lineRule="auto"/>
        <w:ind w:firstLine="480" w:firstLineChars="200"/>
        <w:rPr>
          <w:rFonts w:hint="eastAsia" w:ascii="Times New Roman" w:hAnsi="Times New Roman"/>
          <w:color w:val="auto"/>
          <w:sz w:val="24"/>
          <w:szCs w:val="24"/>
          <w:highlight w:val="lightGray"/>
        </w:rPr>
      </w:pPr>
      <w:r>
        <w:rPr>
          <w:rFonts w:hint="eastAsia" w:ascii="Times New Roman" w:hAnsi="Times New Roman"/>
          <w:color w:val="auto"/>
          <w:sz w:val="24"/>
          <w:szCs w:val="24"/>
        </w:rPr>
        <w:t>根据《建设项目环境风险评价技术导则》</w:t>
      </w:r>
      <w:r>
        <w:rPr>
          <w:rFonts w:hint="eastAsia" w:ascii="Times New Roman" w:hAnsi="Times New Roman"/>
          <w:color w:val="auto"/>
          <w:sz w:val="24"/>
          <w:szCs w:val="24"/>
          <w:lang w:eastAsia="zh-CN"/>
        </w:rPr>
        <w:t>（</w:t>
      </w:r>
      <w:r>
        <w:rPr>
          <w:rFonts w:hint="eastAsia" w:ascii="Times New Roman" w:hAnsi="Times New Roman"/>
          <w:color w:val="auto"/>
          <w:sz w:val="24"/>
          <w:szCs w:val="24"/>
        </w:rPr>
        <w:t>HJ169-2018)的规定，</w:t>
      </w:r>
      <w:r>
        <w:rPr>
          <w:rFonts w:hint="eastAsia" w:ascii="Times New Roman" w:hAnsi="Times New Roman"/>
          <w:color w:val="auto"/>
          <w:sz w:val="24"/>
          <w:szCs w:val="24"/>
          <w:lang w:val="en-US" w:eastAsia="zh-CN"/>
        </w:rPr>
        <w:t>同时</w:t>
      </w:r>
      <w:r>
        <w:rPr>
          <w:rFonts w:hint="eastAsia" w:ascii="Times New Roman" w:hAnsi="Times New Roman"/>
          <w:color w:val="auto"/>
          <w:sz w:val="24"/>
          <w:szCs w:val="24"/>
        </w:rPr>
        <w:t>考虑到本工程水域环境风险评价范围涉及环境敏感区，本次评价仍采用定量的数值方法对水域环境风险的影响性质、范围和程度进行预测</w:t>
      </w:r>
      <w:r>
        <w:rPr>
          <w:rFonts w:hint="eastAsia" w:ascii="Times New Roman" w:hAnsi="Times New Roman"/>
          <w:color w:val="auto"/>
          <w:sz w:val="24"/>
          <w:szCs w:val="24"/>
          <w:lang w:eastAsia="zh-CN"/>
        </w:rPr>
        <w:t>，</w:t>
      </w:r>
      <w:r>
        <w:rPr>
          <w:rFonts w:hint="eastAsia" w:ascii="Times New Roman" w:hAnsi="Times New Roman"/>
          <w:color w:val="auto"/>
          <w:sz w:val="24"/>
          <w:szCs w:val="24"/>
        </w:rPr>
        <w:t>地表水环境风险评价范围为码头上游端线上游500m至下游淮南第四自来水厂取水口（5.5</w:t>
      </w:r>
      <w:r>
        <w:rPr>
          <w:rFonts w:ascii="Times New Roman" w:hAnsi="Times New Roman"/>
          <w:color w:val="auto"/>
          <w:sz w:val="24"/>
          <w:szCs w:val="24"/>
        </w:rPr>
        <w:t>km</w:t>
      </w:r>
      <w:r>
        <w:rPr>
          <w:rFonts w:hint="eastAsia" w:ascii="Times New Roman" w:hAnsi="Times New Roman"/>
          <w:color w:val="auto"/>
          <w:sz w:val="24"/>
          <w:szCs w:val="24"/>
        </w:rPr>
        <w:t>）</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距其二级保护区约3.5km，一级保护区约4.5km</w:t>
      </w:r>
      <w:r>
        <w:rPr>
          <w:rFonts w:hint="eastAsia" w:ascii="Times New Roman" w:hAnsi="Times New Roman"/>
          <w:color w:val="auto"/>
          <w:sz w:val="24"/>
          <w:szCs w:val="24"/>
        </w:rPr>
        <w:t>。</w:t>
      </w:r>
    </w:p>
    <w:p w14:paraId="606365AF">
      <w:pPr>
        <w:pStyle w:val="4"/>
        <w:numPr>
          <w:ilvl w:val="0"/>
          <w:numId w:val="0"/>
        </w:numPr>
        <w:rPr>
          <w:color w:val="auto"/>
        </w:rPr>
      </w:pPr>
      <w:r>
        <w:rPr>
          <w:rFonts w:hint="eastAsia"/>
          <w:color w:val="auto"/>
        </w:rPr>
        <w:t>5.3.3</w:t>
      </w:r>
      <w:r>
        <w:rPr>
          <w:color w:val="auto"/>
        </w:rPr>
        <w:t>风险识别</w:t>
      </w:r>
    </w:p>
    <w:p w14:paraId="4F62363F">
      <w:pPr>
        <w:pStyle w:val="5"/>
        <w:numPr>
          <w:ilvl w:val="0"/>
          <w:numId w:val="0"/>
        </w:numPr>
        <w:rPr>
          <w:color w:val="auto"/>
        </w:rPr>
      </w:pPr>
      <w:r>
        <w:rPr>
          <w:rFonts w:hint="eastAsia"/>
          <w:color w:val="auto"/>
        </w:rPr>
        <w:t>5.3.3.1</w:t>
      </w:r>
      <w:r>
        <w:rPr>
          <w:color w:val="auto"/>
        </w:rPr>
        <w:t>风险物质识别</w:t>
      </w:r>
    </w:p>
    <w:p w14:paraId="54144B19">
      <w:pPr>
        <w:spacing w:line="360" w:lineRule="auto"/>
        <w:ind w:firstLine="480" w:firstLineChars="200"/>
        <w:rPr>
          <w:color w:val="auto"/>
          <w:sz w:val="24"/>
        </w:rPr>
      </w:pPr>
      <w:r>
        <w:rPr>
          <w:color w:val="auto"/>
          <w:sz w:val="24"/>
        </w:rPr>
        <w:t>（1）风险识别范围</w:t>
      </w:r>
    </w:p>
    <w:p w14:paraId="1DFC6CF1">
      <w:pPr>
        <w:spacing w:line="360" w:lineRule="auto"/>
        <w:ind w:firstLine="480" w:firstLineChars="200"/>
        <w:rPr>
          <w:bCs/>
          <w:color w:val="auto"/>
          <w:sz w:val="24"/>
        </w:rPr>
      </w:pPr>
      <w:r>
        <w:rPr>
          <w:color w:val="auto"/>
          <w:sz w:val="24"/>
        </w:rPr>
        <w:t>本项目运输货种为煤炭</w:t>
      </w:r>
      <w:r>
        <w:rPr>
          <w:rFonts w:hint="eastAsia"/>
          <w:color w:val="auto"/>
          <w:sz w:val="24"/>
        </w:rPr>
        <w:t>、矿建材料</w:t>
      </w:r>
      <w:r>
        <w:rPr>
          <w:color w:val="auto"/>
          <w:sz w:val="24"/>
        </w:rPr>
        <w:t>，吞吐量为</w:t>
      </w:r>
      <w:r>
        <w:rPr>
          <w:rFonts w:hint="eastAsia"/>
          <w:color w:val="auto"/>
          <w:sz w:val="24"/>
        </w:rPr>
        <w:t>80</w:t>
      </w:r>
      <w:r>
        <w:rPr>
          <w:color w:val="auto"/>
          <w:sz w:val="24"/>
        </w:rPr>
        <w:t>万吨/年，上述各物品均不属于易燃易爆、有毒有害或危险化学品。</w:t>
      </w:r>
    </w:p>
    <w:p w14:paraId="63E17E8C">
      <w:pPr>
        <w:spacing w:line="360" w:lineRule="auto"/>
        <w:ind w:firstLine="480" w:firstLineChars="200"/>
        <w:textAlignment w:val="baseline"/>
        <w:rPr>
          <w:color w:val="auto"/>
          <w:sz w:val="24"/>
        </w:rPr>
      </w:pPr>
      <w:r>
        <w:rPr>
          <w:color w:val="auto"/>
          <w:sz w:val="24"/>
        </w:rPr>
        <w:t>但本项目运营期间，靠离码头船舶在进行旋回作业时，将会对航道内行驶的过往船舶产生较大的影响，尤其是船舶离港下行时将占用下行通航分道，与在航道内正常航行的</w:t>
      </w:r>
      <w:r>
        <w:rPr>
          <w:rFonts w:hint="eastAsia"/>
          <w:color w:val="auto"/>
          <w:sz w:val="24"/>
          <w:lang w:eastAsia="zh-CN"/>
        </w:rPr>
        <w:t>其他</w:t>
      </w:r>
      <w:r>
        <w:rPr>
          <w:color w:val="auto"/>
          <w:sz w:val="24"/>
        </w:rPr>
        <w:t>船舶存在碰撞的风险，从而造成船舶溢油事故。</w:t>
      </w:r>
    </w:p>
    <w:p w14:paraId="4F967CF3">
      <w:pPr>
        <w:spacing w:line="360" w:lineRule="auto"/>
        <w:ind w:firstLine="480" w:firstLineChars="200"/>
        <w:textAlignment w:val="baseline"/>
        <w:rPr>
          <w:color w:val="auto"/>
          <w:sz w:val="24"/>
        </w:rPr>
      </w:pPr>
      <w:r>
        <w:rPr>
          <w:color w:val="auto"/>
          <w:sz w:val="24"/>
        </w:rPr>
        <w:t>本项目风险事故识别如下：</w:t>
      </w:r>
    </w:p>
    <w:p w14:paraId="5C49DC7C">
      <w:pPr>
        <w:spacing w:line="360" w:lineRule="auto"/>
        <w:ind w:firstLine="480" w:firstLineChars="200"/>
        <w:rPr>
          <w:color w:val="auto"/>
          <w:sz w:val="24"/>
        </w:rPr>
      </w:pPr>
      <w:r>
        <w:rPr>
          <w:color w:val="auto"/>
          <w:sz w:val="24"/>
        </w:rPr>
        <w:t>①船舶离靠岸、航行过程中因操作不当、违章航行等原因导致船舶与码头或船舶与船舶碰撞、船舶触损等事故，并引起燃油舱破裂，造成燃料油泄漏；</w:t>
      </w:r>
    </w:p>
    <w:p w14:paraId="1D6C7FE7">
      <w:pPr>
        <w:spacing w:line="360" w:lineRule="auto"/>
        <w:ind w:firstLine="480" w:firstLineChars="200"/>
        <w:rPr>
          <w:color w:val="auto"/>
          <w:sz w:val="24"/>
        </w:rPr>
      </w:pPr>
      <w:r>
        <w:rPr>
          <w:color w:val="auto"/>
          <w:sz w:val="24"/>
        </w:rPr>
        <w:t>②船舶自身由于机舱失灵、燃油管破裂等导致船舶发生火灾、爆炸及沉船事故，并导致燃料油泄漏。</w:t>
      </w:r>
    </w:p>
    <w:p w14:paraId="00F42F32">
      <w:pPr>
        <w:spacing w:line="360" w:lineRule="auto"/>
        <w:ind w:firstLine="480" w:firstLineChars="200"/>
        <w:rPr>
          <w:color w:val="auto"/>
          <w:sz w:val="24"/>
        </w:rPr>
      </w:pPr>
      <w:r>
        <w:rPr>
          <w:color w:val="auto"/>
          <w:sz w:val="24"/>
        </w:rPr>
        <w:t>（2）风险识别类型</w:t>
      </w:r>
    </w:p>
    <w:p w14:paraId="18E8319B">
      <w:pPr>
        <w:spacing w:line="360" w:lineRule="auto"/>
        <w:ind w:firstLine="480" w:firstLineChars="200"/>
        <w:rPr>
          <w:color w:val="auto"/>
          <w:sz w:val="24"/>
        </w:rPr>
      </w:pPr>
      <w:r>
        <w:rPr>
          <w:color w:val="auto"/>
          <w:sz w:val="24"/>
        </w:rPr>
        <w:t>项目运输过程中可能发生的事故有船舶溢油事故引起火灾、爆炸等。因此，本次环境风险评价和管理的主要研究对象是：</w:t>
      </w:r>
      <w:r>
        <w:rPr>
          <w:rFonts w:hint="eastAsia"/>
          <w:color w:val="auto"/>
          <w:sz w:val="24"/>
          <w:lang w:eastAsia="zh-CN"/>
        </w:rPr>
        <w:t>对</w:t>
      </w:r>
      <w:r>
        <w:rPr>
          <w:color w:val="auto"/>
          <w:sz w:val="24"/>
        </w:rPr>
        <w:t>码头区域发生溢油事故进行影响分析。</w:t>
      </w:r>
    </w:p>
    <w:p w14:paraId="671D65DC">
      <w:pPr>
        <w:spacing w:line="360" w:lineRule="auto"/>
        <w:ind w:firstLine="480" w:firstLineChars="200"/>
        <w:rPr>
          <w:color w:val="auto"/>
          <w:sz w:val="24"/>
        </w:rPr>
      </w:pPr>
      <w:r>
        <w:rPr>
          <w:color w:val="auto"/>
          <w:sz w:val="24"/>
        </w:rPr>
        <w:t>（3）风险物质识别</w:t>
      </w:r>
    </w:p>
    <w:p w14:paraId="54641413">
      <w:pPr>
        <w:pStyle w:val="15"/>
        <w:spacing w:line="360" w:lineRule="auto"/>
        <w:ind w:firstLine="480" w:firstLineChars="200"/>
        <w:rPr>
          <w:rFonts w:eastAsia="黑体"/>
          <w:color w:val="auto"/>
          <w:sz w:val="24"/>
        </w:rPr>
      </w:pPr>
      <w:r>
        <w:rPr>
          <w:rFonts w:hint="eastAsia"/>
          <w:color w:val="auto"/>
          <w:sz w:val="24"/>
          <w:szCs w:val="24"/>
        </w:rPr>
        <w:t>拟建</w:t>
      </w:r>
      <w:r>
        <w:rPr>
          <w:color w:val="auto"/>
          <w:sz w:val="24"/>
          <w:szCs w:val="24"/>
        </w:rPr>
        <w:t>项目风险类型主要为停靠船舶碰撞导致溢油扩散（石油产品污染水体）。船舶动力油以柴油为主，柴油的毒性表现，一是有特殊的刺激性气体，二是液体有毒或蒸气有毒。蒸气可引起眼及上呼吸道</w:t>
      </w:r>
      <w:r>
        <w:rPr>
          <w:rFonts w:hint="eastAsia"/>
          <w:color w:val="auto"/>
          <w:sz w:val="24"/>
          <w:szCs w:val="24"/>
          <w:lang w:eastAsia="zh-CN"/>
        </w:rPr>
        <w:t>刺激症状</w:t>
      </w:r>
      <w:r>
        <w:rPr>
          <w:color w:val="auto"/>
          <w:sz w:val="24"/>
          <w:szCs w:val="24"/>
        </w:rPr>
        <w:t>，如浓度过高，几分钟即可引起呼吸困难等缺氧症状。并可通过消化道、呼吸道、皮肤侵入机体对人产生危害。</w:t>
      </w:r>
    </w:p>
    <w:p w14:paraId="1F33A486">
      <w:pPr>
        <w:spacing w:line="400" w:lineRule="exact"/>
        <w:jc w:val="center"/>
        <w:rPr>
          <w:rFonts w:eastAsia="黑体"/>
          <w:color w:val="auto"/>
          <w:sz w:val="24"/>
        </w:rPr>
      </w:pPr>
      <w:r>
        <w:rPr>
          <w:rFonts w:eastAsia="黑体"/>
          <w:color w:val="auto"/>
          <w:sz w:val="24"/>
        </w:rPr>
        <w:t>表5.</w:t>
      </w:r>
      <w:r>
        <w:rPr>
          <w:rFonts w:hint="eastAsia" w:eastAsia="黑体"/>
          <w:color w:val="auto"/>
          <w:sz w:val="24"/>
        </w:rPr>
        <w:t>3-2</w:t>
      </w:r>
      <w:r>
        <w:rPr>
          <w:rFonts w:eastAsia="黑体"/>
          <w:color w:val="auto"/>
          <w:sz w:val="24"/>
        </w:rPr>
        <w:t xml:space="preserve">  柴油的理化和毒理性质</w:t>
      </w:r>
    </w:p>
    <w:tbl>
      <w:tblPr>
        <w:tblStyle w:val="53"/>
        <w:tblW w:w="0" w:type="auto"/>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2284"/>
        <w:gridCol w:w="5290"/>
      </w:tblGrid>
      <w:tr w14:paraId="373ED16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1" w:type="dxa"/>
            <w:noWrap w:val="0"/>
            <w:vAlign w:val="center"/>
          </w:tcPr>
          <w:p w14:paraId="4E87C233">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类别</w:t>
            </w:r>
          </w:p>
        </w:tc>
        <w:tc>
          <w:tcPr>
            <w:tcW w:w="2284" w:type="dxa"/>
            <w:noWrap w:val="0"/>
            <w:vAlign w:val="center"/>
          </w:tcPr>
          <w:p w14:paraId="1D4B1767">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项目</w:t>
            </w:r>
          </w:p>
        </w:tc>
        <w:tc>
          <w:tcPr>
            <w:tcW w:w="5290" w:type="dxa"/>
            <w:noWrap w:val="0"/>
            <w:vAlign w:val="center"/>
          </w:tcPr>
          <w:p w14:paraId="42EFF912">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default" w:ascii="Times New Roman" w:hAnsi="Times New Roman" w:cs="Times New Roman"/>
                <w:b/>
                <w:bCs/>
                <w:color w:val="auto"/>
              </w:rPr>
              <w:t>柴油</w:t>
            </w:r>
          </w:p>
        </w:tc>
      </w:tr>
      <w:tr w14:paraId="101DBA5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1" w:type="dxa"/>
            <w:vMerge w:val="restart"/>
            <w:noWrap w:val="0"/>
            <w:vAlign w:val="center"/>
          </w:tcPr>
          <w:p w14:paraId="3E3A659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理化性质</w:t>
            </w:r>
          </w:p>
        </w:tc>
        <w:tc>
          <w:tcPr>
            <w:tcW w:w="2284" w:type="dxa"/>
            <w:noWrap w:val="0"/>
            <w:vAlign w:val="center"/>
          </w:tcPr>
          <w:p w14:paraId="2F70E56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外观及性状</w:t>
            </w:r>
          </w:p>
        </w:tc>
        <w:tc>
          <w:tcPr>
            <w:tcW w:w="5290" w:type="dxa"/>
            <w:noWrap w:val="0"/>
            <w:vAlign w:val="center"/>
          </w:tcPr>
          <w:p w14:paraId="640556F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稍</w:t>
            </w:r>
            <w:r>
              <w:rPr>
                <w:rFonts w:hint="eastAsia" w:cs="Times New Roman"/>
                <w:color w:val="auto"/>
                <w:lang w:eastAsia="zh-CN"/>
              </w:rPr>
              <w:t>有黏性的</w:t>
            </w:r>
            <w:r>
              <w:rPr>
                <w:rFonts w:hint="default" w:ascii="Times New Roman" w:hAnsi="Times New Roman" w:cs="Times New Roman"/>
                <w:color w:val="auto"/>
              </w:rPr>
              <w:t>棕色液体</w:t>
            </w:r>
          </w:p>
        </w:tc>
      </w:tr>
      <w:tr w14:paraId="485E437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1" w:type="dxa"/>
            <w:vMerge w:val="continue"/>
            <w:noWrap w:val="0"/>
            <w:vAlign w:val="center"/>
          </w:tcPr>
          <w:p w14:paraId="559CA817">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rPr>
            </w:pPr>
          </w:p>
        </w:tc>
        <w:tc>
          <w:tcPr>
            <w:tcW w:w="2284" w:type="dxa"/>
            <w:noWrap w:val="0"/>
            <w:vAlign w:val="center"/>
          </w:tcPr>
          <w:p w14:paraId="6FD9147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熔点/沸点（℃）</w:t>
            </w:r>
          </w:p>
        </w:tc>
        <w:tc>
          <w:tcPr>
            <w:tcW w:w="5290" w:type="dxa"/>
            <w:noWrap w:val="0"/>
            <w:vAlign w:val="center"/>
          </w:tcPr>
          <w:p w14:paraId="53D1AC8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-18/282-338</w:t>
            </w:r>
          </w:p>
        </w:tc>
      </w:tr>
      <w:tr w14:paraId="5B1B858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1" w:type="dxa"/>
            <w:vMerge w:val="continue"/>
            <w:noWrap w:val="0"/>
            <w:vAlign w:val="center"/>
          </w:tcPr>
          <w:p w14:paraId="546D6355">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rPr>
            </w:pPr>
          </w:p>
        </w:tc>
        <w:tc>
          <w:tcPr>
            <w:tcW w:w="2284" w:type="dxa"/>
            <w:noWrap w:val="0"/>
            <w:vAlign w:val="center"/>
          </w:tcPr>
          <w:p w14:paraId="1A1477B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相对密度</w:t>
            </w:r>
          </w:p>
        </w:tc>
        <w:tc>
          <w:tcPr>
            <w:tcW w:w="5290" w:type="dxa"/>
            <w:noWrap w:val="0"/>
            <w:vAlign w:val="center"/>
          </w:tcPr>
          <w:p w14:paraId="0D8F0B8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对水0.87-0.9，对空气&gt;1</w:t>
            </w:r>
          </w:p>
        </w:tc>
      </w:tr>
      <w:tr w14:paraId="037C1F3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1" w:type="dxa"/>
            <w:vMerge w:val="continue"/>
            <w:noWrap w:val="0"/>
            <w:vAlign w:val="center"/>
          </w:tcPr>
          <w:p w14:paraId="23AF0876">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rPr>
            </w:pPr>
          </w:p>
        </w:tc>
        <w:tc>
          <w:tcPr>
            <w:tcW w:w="2284" w:type="dxa"/>
            <w:noWrap w:val="0"/>
            <w:vAlign w:val="center"/>
          </w:tcPr>
          <w:p w14:paraId="3AC3BB8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溶解性</w:t>
            </w:r>
          </w:p>
        </w:tc>
        <w:tc>
          <w:tcPr>
            <w:tcW w:w="5290" w:type="dxa"/>
            <w:noWrap w:val="0"/>
            <w:vAlign w:val="center"/>
          </w:tcPr>
          <w:p w14:paraId="28DCCB6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不溶于水，易溶于苯、二硫化碳、醇、可溶于脂肪</w:t>
            </w:r>
          </w:p>
        </w:tc>
      </w:tr>
      <w:tr w14:paraId="08CB837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1" w:type="dxa"/>
            <w:vMerge w:val="restart"/>
            <w:noWrap w:val="0"/>
            <w:vAlign w:val="center"/>
          </w:tcPr>
          <w:p w14:paraId="761C58B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燃烧爆炸性</w:t>
            </w:r>
          </w:p>
        </w:tc>
        <w:tc>
          <w:tcPr>
            <w:tcW w:w="2284" w:type="dxa"/>
            <w:noWrap w:val="0"/>
            <w:vAlign w:val="center"/>
          </w:tcPr>
          <w:p w14:paraId="20BAA1F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闪点/引燃温度（℃）</w:t>
            </w:r>
          </w:p>
        </w:tc>
        <w:tc>
          <w:tcPr>
            <w:tcW w:w="5290" w:type="dxa"/>
            <w:noWrap w:val="0"/>
            <w:vAlign w:val="center"/>
          </w:tcPr>
          <w:p w14:paraId="0BCEFE1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50/227-257</w:t>
            </w:r>
          </w:p>
        </w:tc>
      </w:tr>
      <w:tr w14:paraId="28DA671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1" w:type="dxa"/>
            <w:vMerge w:val="continue"/>
            <w:noWrap w:val="0"/>
            <w:vAlign w:val="center"/>
          </w:tcPr>
          <w:p w14:paraId="03D9D02E">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rPr>
            </w:pPr>
          </w:p>
        </w:tc>
        <w:tc>
          <w:tcPr>
            <w:tcW w:w="2284" w:type="dxa"/>
            <w:noWrap w:val="0"/>
            <w:vAlign w:val="center"/>
          </w:tcPr>
          <w:p w14:paraId="1EC3876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爆炸极限（vol%）</w:t>
            </w:r>
          </w:p>
        </w:tc>
        <w:tc>
          <w:tcPr>
            <w:tcW w:w="5290" w:type="dxa"/>
            <w:noWrap w:val="0"/>
            <w:vAlign w:val="center"/>
          </w:tcPr>
          <w:p w14:paraId="4241DED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1.4-4.5</w:t>
            </w:r>
          </w:p>
        </w:tc>
      </w:tr>
      <w:tr w14:paraId="786AEBE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1" w:type="dxa"/>
            <w:vMerge w:val="continue"/>
            <w:noWrap w:val="0"/>
            <w:vAlign w:val="center"/>
          </w:tcPr>
          <w:p w14:paraId="670C71FC">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rPr>
            </w:pPr>
          </w:p>
        </w:tc>
        <w:tc>
          <w:tcPr>
            <w:tcW w:w="2284" w:type="dxa"/>
            <w:noWrap w:val="0"/>
            <w:vAlign w:val="center"/>
          </w:tcPr>
          <w:p w14:paraId="0575930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稳定性</w:t>
            </w:r>
          </w:p>
        </w:tc>
        <w:tc>
          <w:tcPr>
            <w:tcW w:w="5290" w:type="dxa"/>
            <w:noWrap w:val="0"/>
            <w:vAlign w:val="center"/>
          </w:tcPr>
          <w:p w14:paraId="566DAD6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稳定</w:t>
            </w:r>
          </w:p>
        </w:tc>
      </w:tr>
      <w:tr w14:paraId="3909AB8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1" w:type="dxa"/>
            <w:vMerge w:val="continue"/>
            <w:noWrap w:val="0"/>
            <w:vAlign w:val="center"/>
          </w:tcPr>
          <w:p w14:paraId="36880582">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rPr>
            </w:pPr>
          </w:p>
        </w:tc>
        <w:tc>
          <w:tcPr>
            <w:tcW w:w="2284" w:type="dxa"/>
            <w:noWrap w:val="0"/>
            <w:vAlign w:val="center"/>
          </w:tcPr>
          <w:p w14:paraId="713C2F0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建规火险分级</w:t>
            </w:r>
          </w:p>
        </w:tc>
        <w:tc>
          <w:tcPr>
            <w:tcW w:w="5290" w:type="dxa"/>
            <w:noWrap w:val="0"/>
            <w:vAlign w:val="center"/>
          </w:tcPr>
          <w:p w14:paraId="45689E3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丙A类</w:t>
            </w:r>
          </w:p>
        </w:tc>
      </w:tr>
      <w:tr w14:paraId="6005C78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1" w:type="dxa"/>
            <w:vMerge w:val="continue"/>
            <w:noWrap w:val="0"/>
            <w:vAlign w:val="center"/>
          </w:tcPr>
          <w:p w14:paraId="74F47F9C">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rPr>
            </w:pPr>
          </w:p>
        </w:tc>
        <w:tc>
          <w:tcPr>
            <w:tcW w:w="2284" w:type="dxa"/>
            <w:noWrap w:val="0"/>
            <w:vAlign w:val="center"/>
          </w:tcPr>
          <w:p w14:paraId="039958E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爆炸危险组别、类别</w:t>
            </w:r>
          </w:p>
        </w:tc>
        <w:tc>
          <w:tcPr>
            <w:tcW w:w="5290" w:type="dxa"/>
            <w:noWrap w:val="0"/>
            <w:vAlign w:val="center"/>
          </w:tcPr>
          <w:p w14:paraId="0275618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T3/</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2 \* ROMAN </w:instrText>
            </w:r>
            <w:r>
              <w:rPr>
                <w:rFonts w:hint="default" w:ascii="Times New Roman" w:hAnsi="Times New Roman" w:cs="Times New Roman"/>
                <w:color w:val="auto"/>
              </w:rPr>
              <w:fldChar w:fldCharType="separate"/>
            </w:r>
            <w:r>
              <w:rPr>
                <w:rFonts w:hint="default" w:ascii="Times New Roman" w:hAnsi="Times New Roman" w:cs="Times New Roman"/>
                <w:color w:val="auto"/>
              </w:rPr>
              <w:t>II</w:t>
            </w:r>
            <w:r>
              <w:rPr>
                <w:rFonts w:hint="default" w:ascii="Times New Roman" w:hAnsi="Times New Roman" w:cs="Times New Roman"/>
                <w:color w:val="auto"/>
              </w:rPr>
              <w:fldChar w:fldCharType="end"/>
            </w:r>
            <w:r>
              <w:rPr>
                <w:rFonts w:hint="default" w:ascii="Times New Roman" w:hAnsi="Times New Roman" w:cs="Times New Roman"/>
                <w:color w:val="auto"/>
              </w:rPr>
              <w:t>A 高闪点易燃液体</w:t>
            </w:r>
          </w:p>
        </w:tc>
      </w:tr>
      <w:tr w14:paraId="3B1B3DF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1" w:type="dxa"/>
            <w:vMerge w:val="continue"/>
            <w:noWrap w:val="0"/>
            <w:vAlign w:val="center"/>
          </w:tcPr>
          <w:p w14:paraId="6E49A656">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rPr>
            </w:pPr>
          </w:p>
        </w:tc>
        <w:tc>
          <w:tcPr>
            <w:tcW w:w="2284" w:type="dxa"/>
            <w:noWrap w:val="0"/>
            <w:vAlign w:val="center"/>
          </w:tcPr>
          <w:p w14:paraId="7A4EDDA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危险特性</w:t>
            </w:r>
          </w:p>
        </w:tc>
        <w:tc>
          <w:tcPr>
            <w:tcW w:w="5290" w:type="dxa"/>
            <w:noWrap w:val="0"/>
            <w:vAlign w:val="center"/>
          </w:tcPr>
          <w:p w14:paraId="3DBD8CA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遇明火、高热或与氧化剂接触，有引起燃烧爆炸的危险，遇高热，容器内压增大，有开裂和爆炸的危险</w:t>
            </w:r>
          </w:p>
        </w:tc>
      </w:tr>
      <w:tr w14:paraId="5FBA97C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501" w:type="dxa"/>
            <w:vMerge w:val="continue"/>
            <w:noWrap w:val="0"/>
            <w:vAlign w:val="center"/>
          </w:tcPr>
          <w:p w14:paraId="3C05C453">
            <w:pPr>
              <w:keepNext w:val="0"/>
              <w:keepLines w:val="0"/>
              <w:widowControl/>
              <w:suppressLineNumbers w:val="0"/>
              <w:spacing w:before="0" w:beforeAutospacing="0" w:after="0" w:afterAutospacing="0"/>
              <w:ind w:left="0" w:right="0"/>
              <w:jc w:val="left"/>
              <w:rPr>
                <w:rFonts w:hint="default" w:ascii="Times New Roman" w:hAnsi="Times New Roman" w:cs="Times New Roman"/>
                <w:color w:val="auto"/>
              </w:rPr>
            </w:pPr>
          </w:p>
        </w:tc>
        <w:tc>
          <w:tcPr>
            <w:tcW w:w="2284" w:type="dxa"/>
            <w:noWrap w:val="0"/>
            <w:vAlign w:val="center"/>
          </w:tcPr>
          <w:p w14:paraId="0578C6B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灭火方法</w:t>
            </w:r>
          </w:p>
        </w:tc>
        <w:tc>
          <w:tcPr>
            <w:tcW w:w="5290" w:type="dxa"/>
            <w:noWrap w:val="0"/>
            <w:vAlign w:val="center"/>
          </w:tcPr>
          <w:p w14:paraId="4DD1DF0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灭火剂种类：二氧化碳、泡沫、干粉、沙土</w:t>
            </w:r>
          </w:p>
        </w:tc>
      </w:tr>
    </w:tbl>
    <w:p w14:paraId="226AF9B9">
      <w:pPr>
        <w:spacing w:line="360" w:lineRule="auto"/>
        <w:ind w:firstLine="480" w:firstLineChars="200"/>
        <w:rPr>
          <w:color w:val="auto"/>
          <w:sz w:val="24"/>
        </w:rPr>
      </w:pPr>
      <w:r>
        <w:rPr>
          <w:color w:val="auto"/>
          <w:sz w:val="24"/>
        </w:rPr>
        <w:t>（4）油品危险性分析</w:t>
      </w:r>
    </w:p>
    <w:p w14:paraId="446CC810">
      <w:pPr>
        <w:spacing w:line="360" w:lineRule="auto"/>
        <w:ind w:firstLine="480" w:firstLineChars="200"/>
        <w:rPr>
          <w:color w:val="auto"/>
          <w:sz w:val="24"/>
        </w:rPr>
      </w:pPr>
      <w:r>
        <w:rPr>
          <w:color w:val="auto"/>
          <w:sz w:val="24"/>
        </w:rPr>
        <w:t>油品的易燃性：本项目涉及的柴油是易燃液体，具有燃烧特性。</w:t>
      </w:r>
    </w:p>
    <w:p w14:paraId="5EC38DA6">
      <w:pPr>
        <w:spacing w:line="360" w:lineRule="auto"/>
        <w:ind w:firstLine="480" w:firstLineChars="200"/>
        <w:rPr>
          <w:color w:val="auto"/>
          <w:sz w:val="24"/>
        </w:rPr>
      </w:pPr>
      <w:r>
        <w:rPr>
          <w:color w:val="auto"/>
          <w:sz w:val="24"/>
        </w:rPr>
        <w:t>泄</w:t>
      </w:r>
      <w:r>
        <w:rPr>
          <w:rFonts w:hint="eastAsia"/>
          <w:color w:val="auto"/>
          <w:sz w:val="24"/>
        </w:rPr>
        <w:t>漏</w:t>
      </w:r>
      <w:r>
        <w:rPr>
          <w:color w:val="auto"/>
          <w:sz w:val="24"/>
        </w:rPr>
        <w:t>扩散性：柴油如泄</w:t>
      </w:r>
      <w:r>
        <w:rPr>
          <w:rFonts w:hint="eastAsia"/>
          <w:color w:val="auto"/>
          <w:sz w:val="24"/>
        </w:rPr>
        <w:t>漏</w:t>
      </w:r>
      <w:r>
        <w:rPr>
          <w:color w:val="auto"/>
          <w:sz w:val="24"/>
        </w:rPr>
        <w:t>到河面，并不断扩散，污染河水。</w:t>
      </w:r>
    </w:p>
    <w:p w14:paraId="7E736B69">
      <w:pPr>
        <w:pStyle w:val="5"/>
        <w:numPr>
          <w:ilvl w:val="0"/>
          <w:numId w:val="0"/>
        </w:numPr>
        <w:rPr>
          <w:color w:val="auto"/>
        </w:rPr>
      </w:pPr>
      <w:r>
        <w:rPr>
          <w:rFonts w:hint="eastAsia"/>
          <w:color w:val="auto"/>
        </w:rPr>
        <w:t>5.3.3.2</w:t>
      </w:r>
      <w:r>
        <w:rPr>
          <w:color w:val="auto"/>
        </w:rPr>
        <w:t>生产设施、生产工艺风险识别</w:t>
      </w:r>
    </w:p>
    <w:p w14:paraId="6386E80B">
      <w:pPr>
        <w:pStyle w:val="29"/>
        <w:spacing w:line="360" w:lineRule="auto"/>
        <w:ind w:firstLine="480" w:firstLineChars="200"/>
        <w:rPr>
          <w:color w:val="auto"/>
        </w:rPr>
      </w:pPr>
      <w:r>
        <w:rPr>
          <w:rFonts w:hint="eastAsia" w:ascii="Times New Roman" w:hAnsi="Times New Roman"/>
          <w:color w:val="auto"/>
          <w:sz w:val="24"/>
          <w:szCs w:val="24"/>
          <w:lang w:val="en-US" w:eastAsia="zh-CN"/>
        </w:rPr>
        <w:t>本工程主要为通用散货码头建设，设计桩基施工和疏浚作业，无直接生产、加工、运输、使用或贮存有毒物质、易燃物质、爆炸性物质。施工期环境风险主要为船舶溢油事故环境风险，或其他火灾、爆炸引起的次生、伴生污染的事故环境风险。运营期</w:t>
      </w:r>
      <w:r>
        <w:rPr>
          <w:rFonts w:ascii="Times New Roman" w:hAnsi="Times New Roman"/>
          <w:color w:val="auto"/>
          <w:sz w:val="24"/>
          <w:szCs w:val="24"/>
        </w:rPr>
        <w:t>项目生产设施主要为装船机、</w:t>
      </w:r>
      <w:r>
        <w:rPr>
          <w:rFonts w:hint="eastAsia" w:ascii="Times New Roman" w:hAnsi="Times New Roman"/>
          <w:color w:val="auto"/>
          <w:sz w:val="24"/>
          <w:szCs w:val="24"/>
        </w:rPr>
        <w:t>自卸汽车</w:t>
      </w:r>
      <w:r>
        <w:rPr>
          <w:rFonts w:ascii="Times New Roman" w:hAnsi="Times New Roman"/>
          <w:color w:val="auto"/>
          <w:sz w:val="24"/>
          <w:szCs w:val="24"/>
        </w:rPr>
        <w:t>等，</w:t>
      </w:r>
      <w:r>
        <w:rPr>
          <w:rFonts w:hint="eastAsia" w:ascii="Times New Roman" w:hAnsi="Times New Roman"/>
          <w:color w:val="auto"/>
          <w:sz w:val="24"/>
          <w:szCs w:val="24"/>
          <w:lang w:val="en-US" w:eastAsia="zh-CN"/>
        </w:rPr>
        <w:t>环境风险主要为靠泊船舶发生碰撞引发的溢油事故环境风险。本报告考虑施工期及运营期船舶发生碰撞引发的溢油事故环境风险</w:t>
      </w:r>
      <w:r>
        <w:rPr>
          <w:rFonts w:ascii="Times New Roman" w:hAnsi="Times New Roman"/>
          <w:color w:val="auto"/>
          <w:sz w:val="24"/>
          <w:szCs w:val="24"/>
        </w:rPr>
        <w:t>。</w:t>
      </w:r>
    </w:p>
    <w:p w14:paraId="5D0D51C6">
      <w:pPr>
        <w:pStyle w:val="29"/>
        <w:spacing w:line="360" w:lineRule="auto"/>
        <w:ind w:firstLine="480" w:firstLineChars="200"/>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项目施工期、运营期使用、停泊的船舶最大吨位为2000吨级，根据《水上溢油环境风险评估技术导则》（JT/T 1143-2017）附录表C6，5000吨级以下的散货船，燃油舱单仓燃油量小于61m</w:t>
      </w:r>
      <w:r>
        <w:rPr>
          <w:rFonts w:hint="eastAsia" w:ascii="Times New Roman" w:hAnsi="Times New Roman"/>
          <w:color w:val="auto"/>
          <w:sz w:val="24"/>
          <w:szCs w:val="24"/>
          <w:vertAlign w:val="superscript"/>
          <w:lang w:val="en-US" w:eastAsia="zh-CN"/>
        </w:rPr>
        <w:t>3</w:t>
      </w:r>
      <w:r>
        <w:rPr>
          <w:rFonts w:hint="eastAsia" w:ascii="Times New Roman" w:hAnsi="Times New Roman"/>
          <w:color w:val="auto"/>
          <w:sz w:val="24"/>
          <w:szCs w:val="24"/>
          <w:lang w:val="en-US" w:eastAsia="zh-CN"/>
        </w:rPr>
        <w:t>，柴油密度0.85g/cm</w:t>
      </w:r>
      <w:r>
        <w:rPr>
          <w:rFonts w:hint="eastAsia" w:ascii="Times New Roman" w:hAnsi="Times New Roman"/>
          <w:color w:val="auto"/>
          <w:sz w:val="24"/>
          <w:szCs w:val="24"/>
          <w:vertAlign w:val="superscript"/>
          <w:lang w:val="en-US" w:eastAsia="zh-CN"/>
        </w:rPr>
        <w:t>3</w:t>
      </w:r>
      <w:r>
        <w:rPr>
          <w:rFonts w:hint="eastAsia" w:ascii="Times New Roman" w:hAnsi="Times New Roman"/>
          <w:color w:val="auto"/>
          <w:sz w:val="24"/>
          <w:szCs w:val="24"/>
          <w:lang w:val="en-US" w:eastAsia="zh-CN"/>
        </w:rPr>
        <w:t>，考虑事故时燃油舱燃油完全泄漏，则事故溢油量为51.85t，本次风险评价溢油源强按照51.85吨考虑。</w:t>
      </w:r>
    </w:p>
    <w:p w14:paraId="2918D15D">
      <w:pPr>
        <w:pStyle w:val="29"/>
        <w:spacing w:line="360" w:lineRule="auto"/>
        <w:ind w:firstLine="480" w:firstLineChars="200"/>
        <w:rPr>
          <w:rFonts w:hint="default" w:ascii="Times New Roman" w:hAnsi="Times New Roman"/>
          <w:color w:val="auto"/>
          <w:sz w:val="24"/>
          <w:szCs w:val="24"/>
          <w:lang w:val="en-US" w:eastAsia="zh-CN"/>
        </w:rPr>
      </w:pPr>
      <w:r>
        <w:rPr>
          <w:rFonts w:hint="eastAsia" w:ascii="Times New Roman" w:hAnsi="Times New Roman"/>
          <w:color w:val="auto"/>
          <w:sz w:val="24"/>
          <w:szCs w:val="24"/>
          <w:lang w:val="en-US" w:eastAsia="zh-CN"/>
        </w:rPr>
        <w:t>根据调查及设计单位提供资料，对照《建设项目环境风险评价技术导则》（HJ169-2018）附录B《重点关注的危险物质及临界量》和《危险化学品重大危险源辨识》（GB18218-2018），本工程施工期和运营期涉及的风险物质为柴油。</w:t>
      </w:r>
    </w:p>
    <w:p w14:paraId="25A1223F">
      <w:pPr>
        <w:pStyle w:val="4"/>
        <w:numPr>
          <w:ilvl w:val="0"/>
          <w:numId w:val="0"/>
        </w:numPr>
        <w:rPr>
          <w:color w:val="auto"/>
        </w:rPr>
      </w:pPr>
      <w:r>
        <w:rPr>
          <w:rFonts w:hint="eastAsia"/>
          <w:color w:val="auto"/>
        </w:rPr>
        <w:t>5.3.4</w:t>
      </w:r>
      <w:r>
        <w:rPr>
          <w:color w:val="auto"/>
        </w:rPr>
        <w:t>事故源项分析</w:t>
      </w:r>
    </w:p>
    <w:p w14:paraId="58E9B65B">
      <w:pPr>
        <w:pStyle w:val="5"/>
        <w:numPr>
          <w:ilvl w:val="0"/>
          <w:numId w:val="0"/>
        </w:numPr>
        <w:rPr>
          <w:color w:val="auto"/>
        </w:rPr>
      </w:pPr>
      <w:r>
        <w:rPr>
          <w:rFonts w:hint="eastAsia"/>
          <w:color w:val="auto"/>
        </w:rPr>
        <w:t>5.3.4.1</w:t>
      </w:r>
      <w:r>
        <w:rPr>
          <w:color w:val="auto"/>
        </w:rPr>
        <w:t>船舶运输最大可信事故</w:t>
      </w:r>
    </w:p>
    <w:p w14:paraId="0CD92756">
      <w:pPr>
        <w:pStyle w:val="29"/>
        <w:spacing w:line="360" w:lineRule="auto"/>
        <w:ind w:firstLine="480" w:firstLineChars="200"/>
        <w:rPr>
          <w:rFonts w:ascii="Times New Roman" w:hAnsi="Times New Roman"/>
          <w:color w:val="auto"/>
          <w:sz w:val="24"/>
          <w:szCs w:val="24"/>
        </w:rPr>
      </w:pPr>
      <w:r>
        <w:rPr>
          <w:rFonts w:ascii="Times New Roman" w:hAnsi="Times New Roman"/>
          <w:color w:val="auto"/>
          <w:sz w:val="24"/>
          <w:szCs w:val="24"/>
        </w:rPr>
        <w:t>船舶运输最大可信事故为：航道交通事故中船舶因碰撞造成船体破损或沉没。导致船舶</w:t>
      </w:r>
      <w:r>
        <w:rPr>
          <w:rFonts w:hint="eastAsia" w:ascii="Times New Roman" w:hAnsi="Times New Roman"/>
          <w:color w:val="auto"/>
          <w:sz w:val="24"/>
          <w:szCs w:val="24"/>
        </w:rPr>
        <w:t>燃油</w:t>
      </w:r>
      <w:r>
        <w:rPr>
          <w:rFonts w:ascii="Times New Roman" w:hAnsi="Times New Roman"/>
          <w:color w:val="auto"/>
          <w:sz w:val="24"/>
          <w:szCs w:val="24"/>
        </w:rPr>
        <w:t>泄漏污染水体。</w:t>
      </w:r>
    </w:p>
    <w:p w14:paraId="3DAF107E">
      <w:pPr>
        <w:pStyle w:val="5"/>
        <w:numPr>
          <w:ilvl w:val="0"/>
          <w:numId w:val="0"/>
        </w:numPr>
        <w:rPr>
          <w:color w:val="auto"/>
        </w:rPr>
      </w:pPr>
      <w:r>
        <w:rPr>
          <w:rFonts w:hint="eastAsia"/>
          <w:color w:val="auto"/>
        </w:rPr>
        <w:t>5.3.4.2</w:t>
      </w:r>
      <w:r>
        <w:rPr>
          <w:color w:val="auto"/>
        </w:rPr>
        <w:t>船舶运输环境风险事故概率</w:t>
      </w:r>
    </w:p>
    <w:p w14:paraId="6337516F">
      <w:pPr>
        <w:pStyle w:val="29"/>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船舶在水面上航行时发生碰撞等事故的概率一般非常小，服从离散型二项概率分布。假设研究河段通过n艘次船舶发生k次事故，则事故风险概率为：</w:t>
      </w:r>
    </w:p>
    <w:p w14:paraId="096BEE44">
      <w:pPr>
        <w:pStyle w:val="29"/>
        <w:spacing w:line="360" w:lineRule="auto"/>
        <w:jc w:val="center"/>
        <w:rPr>
          <w:rFonts w:ascii="Times New Roman" w:hAnsi="Times New Roman"/>
          <w:color w:val="auto"/>
          <w:sz w:val="24"/>
          <w:szCs w:val="24"/>
        </w:rPr>
      </w:pPr>
      <w:r>
        <w:rPr>
          <w:rFonts w:ascii="Times New Roman" w:hAnsi="Times New Roman"/>
          <w:i/>
          <w:color w:val="auto"/>
          <w:sz w:val="24"/>
          <w:szCs w:val="24"/>
        </w:rPr>
        <w:t>P</w:t>
      </w:r>
      <w:r>
        <w:rPr>
          <w:rFonts w:ascii="Times New Roman" w:hAnsi="Times New Roman"/>
          <w:color w:val="auto"/>
          <w:sz w:val="24"/>
          <w:szCs w:val="24"/>
        </w:rPr>
        <w:t>(</w:t>
      </w:r>
      <w:r>
        <w:rPr>
          <w:rFonts w:ascii="Times New Roman" w:hAnsi="Times New Roman"/>
          <w:i/>
          <w:color w:val="auto"/>
          <w:sz w:val="24"/>
          <w:szCs w:val="24"/>
        </w:rPr>
        <w:t>x</w:t>
      </w:r>
      <w:r>
        <w:rPr>
          <w:rFonts w:ascii="Times New Roman" w:hAnsi="Times New Roman"/>
          <w:color w:val="auto"/>
          <w:sz w:val="24"/>
          <w:szCs w:val="24"/>
        </w:rPr>
        <w:t>=</w:t>
      </w:r>
      <w:r>
        <w:rPr>
          <w:rFonts w:ascii="Times New Roman" w:hAnsi="Times New Roman"/>
          <w:i/>
          <w:color w:val="auto"/>
          <w:sz w:val="24"/>
          <w:szCs w:val="24"/>
        </w:rPr>
        <w:t>k</w:t>
      </w:r>
      <w:r>
        <w:rPr>
          <w:rFonts w:ascii="Times New Roman" w:hAnsi="Times New Roman"/>
          <w:color w:val="auto"/>
          <w:sz w:val="24"/>
          <w:szCs w:val="24"/>
        </w:rPr>
        <w:t>)=</w:t>
      </w:r>
      <w:r>
        <w:rPr>
          <w:rFonts w:ascii="Times New Roman" w:hAnsi="Times New Roman"/>
          <w:i/>
          <w:color w:val="auto"/>
          <w:sz w:val="24"/>
          <w:szCs w:val="24"/>
        </w:rPr>
        <w:t>c</w:t>
      </w:r>
      <w:r>
        <w:rPr>
          <w:rFonts w:hint="eastAsia" w:ascii="Times New Roman" w:hAnsi="Times New Roman"/>
          <w:i/>
          <w:color w:val="auto"/>
          <w:sz w:val="24"/>
          <w:szCs w:val="24"/>
          <w:vertAlign w:val="subscript"/>
        </w:rPr>
        <w:t>n</w:t>
      </w:r>
      <w:r>
        <w:rPr>
          <w:rFonts w:hint="eastAsia" w:ascii="Times New Roman" w:hAnsi="Times New Roman"/>
          <w:i/>
          <w:color w:val="auto"/>
          <w:sz w:val="24"/>
          <w:szCs w:val="24"/>
          <w:vertAlign w:val="superscript"/>
        </w:rPr>
        <w:t>k</w:t>
      </w:r>
      <w:r>
        <w:rPr>
          <w:rFonts w:ascii="Times New Roman" w:hAnsi="Times New Roman"/>
          <w:color w:val="auto"/>
          <w:sz w:val="24"/>
          <w:szCs w:val="24"/>
        </w:rPr>
        <w:t>·</w:t>
      </w:r>
      <w:r>
        <w:rPr>
          <w:rFonts w:ascii="Times New Roman" w:hAnsi="Times New Roman"/>
          <w:i/>
          <w:color w:val="auto"/>
          <w:sz w:val="24"/>
          <w:szCs w:val="24"/>
        </w:rPr>
        <w:t>p</w:t>
      </w:r>
      <w:r>
        <w:rPr>
          <w:rFonts w:hint="eastAsia" w:ascii="Times New Roman" w:hAnsi="Times New Roman"/>
          <w:i/>
          <w:color w:val="auto"/>
          <w:sz w:val="24"/>
          <w:szCs w:val="24"/>
          <w:vertAlign w:val="superscript"/>
        </w:rPr>
        <w:t>k</w:t>
      </w:r>
      <w:r>
        <w:rPr>
          <w:rFonts w:ascii="Times New Roman" w:hAnsi="Times New Roman"/>
          <w:color w:val="auto"/>
          <w:sz w:val="24"/>
          <w:szCs w:val="24"/>
        </w:rPr>
        <w:t>.</w:t>
      </w:r>
      <w:r>
        <w:rPr>
          <w:rFonts w:ascii="Times New Roman" w:hAnsi="Times New Roman"/>
          <w:i/>
          <w:color w:val="auto"/>
          <w:sz w:val="24"/>
          <w:szCs w:val="24"/>
        </w:rPr>
        <w:t>q</w:t>
      </w:r>
      <w:r>
        <w:rPr>
          <w:rFonts w:hint="eastAsia" w:ascii="Times New Roman" w:hAnsi="Times New Roman"/>
          <w:i/>
          <w:color w:val="auto"/>
          <w:sz w:val="24"/>
          <w:szCs w:val="24"/>
          <w:vertAlign w:val="superscript"/>
        </w:rPr>
        <w:t>n</w:t>
      </w:r>
      <w:r>
        <w:rPr>
          <w:rFonts w:ascii="Times New Roman" w:hAnsi="Times New Roman"/>
          <w:i/>
          <w:color w:val="auto"/>
          <w:sz w:val="24"/>
          <w:szCs w:val="24"/>
          <w:vertAlign w:val="superscript"/>
        </w:rPr>
        <w:t>-k</w:t>
      </w:r>
    </w:p>
    <w:p w14:paraId="1F085C0F">
      <w:pPr>
        <w:pStyle w:val="29"/>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式中，p为每艘船舶发生事故的概率，是研究水域船舶碰撞概率的基础值；q=1-p为每艘</w:t>
      </w:r>
      <w:r>
        <w:rPr>
          <w:rFonts w:hint="eastAsia" w:ascii="Times New Roman" w:hAnsi="Times New Roman"/>
          <w:color w:val="auto"/>
          <w:sz w:val="24"/>
          <w:szCs w:val="24"/>
          <w:lang w:eastAsia="zh-CN"/>
        </w:rPr>
        <w:t>船舶</w:t>
      </w:r>
      <w:r>
        <w:rPr>
          <w:rFonts w:hint="eastAsia" w:ascii="Times New Roman" w:hAnsi="Times New Roman"/>
          <w:color w:val="auto"/>
          <w:sz w:val="24"/>
          <w:szCs w:val="24"/>
        </w:rPr>
        <w:t>发生事故的概率。</w:t>
      </w:r>
    </w:p>
    <w:p w14:paraId="274E73A2">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参考根据2015年江苏省内河航道交通量观测资料汇编，盐邵线航道现状共通过船舶约1.68万艘/年，一般研究河段不发生重大船舶事故的置信度为95%。则：</w:t>
      </w:r>
    </w:p>
    <w:p w14:paraId="3601EE84">
      <w:pPr>
        <w:pStyle w:val="29"/>
        <w:spacing w:line="360" w:lineRule="auto"/>
        <w:jc w:val="center"/>
        <w:rPr>
          <w:rFonts w:hint="eastAsia" w:ascii="Times New Roman" w:hAnsi="Times New Roman"/>
          <w:color w:val="auto"/>
          <w:sz w:val="24"/>
          <w:szCs w:val="24"/>
        </w:rPr>
      </w:pPr>
      <w:r>
        <w:rPr>
          <w:color w:val="auto"/>
        </w:rPr>
        <w:drawing>
          <wp:inline distT="0" distB="0" distL="114300" distR="114300">
            <wp:extent cx="2879725" cy="539750"/>
            <wp:effectExtent l="0" t="0" r="15875" b="12700"/>
            <wp:docPr id="205" name="图片 1"/>
            <wp:cNvGraphicFramePr/>
            <a:graphic xmlns:a="http://schemas.openxmlformats.org/drawingml/2006/main">
              <a:graphicData uri="http://schemas.openxmlformats.org/drawingml/2006/picture">
                <pic:pic xmlns:pic="http://schemas.openxmlformats.org/drawingml/2006/picture">
                  <pic:nvPicPr>
                    <pic:cNvPr id="205" name="图片 1"/>
                    <pic:cNvPicPr preferRelativeResize="0"/>
                  </pic:nvPicPr>
                  <pic:blipFill>
                    <a:blip r:embed="rId196"/>
                    <a:stretch>
                      <a:fillRect/>
                    </a:stretch>
                  </pic:blipFill>
                  <pic:spPr>
                    <a:xfrm>
                      <a:off x="0" y="0"/>
                      <a:ext cx="2879725" cy="539750"/>
                    </a:xfrm>
                    <a:prstGeom prst="rect">
                      <a:avLst/>
                    </a:prstGeom>
                    <a:noFill/>
                    <a:ln>
                      <a:noFill/>
                    </a:ln>
                  </pic:spPr>
                </pic:pic>
              </a:graphicData>
            </a:graphic>
          </wp:inline>
        </w:drawing>
      </w:r>
    </w:p>
    <w:p w14:paraId="22606508">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因此，p≤2.1</w:t>
      </w:r>
      <w:r>
        <w:rPr>
          <w:rFonts w:ascii="Times New Roman" w:hAnsi="Times New Roman"/>
          <w:color w:val="auto"/>
          <w:sz w:val="24"/>
          <w:szCs w:val="24"/>
        </w:rPr>
        <w:t>×</w:t>
      </w:r>
      <w:r>
        <w:rPr>
          <w:rFonts w:hint="eastAsia" w:ascii="Times New Roman" w:hAnsi="Times New Roman"/>
          <w:color w:val="auto"/>
          <w:sz w:val="24"/>
          <w:szCs w:val="24"/>
        </w:rPr>
        <w:t>10</w:t>
      </w:r>
      <w:r>
        <w:rPr>
          <w:rFonts w:hint="eastAsia" w:ascii="Times New Roman" w:hAnsi="Times New Roman"/>
          <w:color w:val="auto"/>
          <w:sz w:val="24"/>
          <w:szCs w:val="24"/>
          <w:vertAlign w:val="superscript"/>
        </w:rPr>
        <w:t>-6</w:t>
      </w:r>
      <w:r>
        <w:rPr>
          <w:rFonts w:hint="eastAsia" w:ascii="Times New Roman" w:hAnsi="Times New Roman"/>
          <w:color w:val="auto"/>
          <w:sz w:val="24"/>
          <w:szCs w:val="24"/>
        </w:rPr>
        <w:t>，根据运营期船舶预计交通量</w:t>
      </w:r>
      <w:r>
        <w:rPr>
          <w:rFonts w:ascii="Times New Roman" w:hAnsi="Times New Roman"/>
          <w:color w:val="auto"/>
          <w:sz w:val="24"/>
          <w:szCs w:val="24"/>
        </w:rPr>
        <w:t>16</w:t>
      </w:r>
      <w:r>
        <w:rPr>
          <w:rFonts w:hint="eastAsia" w:ascii="Times New Roman" w:hAnsi="Times New Roman"/>
          <w:color w:val="auto"/>
          <w:sz w:val="24"/>
          <w:szCs w:val="24"/>
        </w:rPr>
        <w:t>00艘/年，则</w:t>
      </w:r>
      <w:r>
        <w:rPr>
          <w:rFonts w:ascii="Times New Roman" w:hAnsi="Times New Roman"/>
          <w:color w:val="auto"/>
          <w:sz w:val="24"/>
          <w:szCs w:val="24"/>
        </w:rPr>
        <w:t>发生船舶事故的概率为</w:t>
      </w:r>
      <w:r>
        <w:rPr>
          <w:rFonts w:hint="eastAsia" w:ascii="Times New Roman" w:hAnsi="Times New Roman"/>
          <w:color w:val="auto"/>
          <w:sz w:val="24"/>
          <w:szCs w:val="24"/>
        </w:rPr>
        <w:t>3.36</w:t>
      </w:r>
      <w:r>
        <w:rPr>
          <w:rFonts w:ascii="Times New Roman" w:hAnsi="Times New Roman"/>
          <w:color w:val="auto"/>
          <w:sz w:val="24"/>
          <w:szCs w:val="24"/>
        </w:rPr>
        <w:t>×</w:t>
      </w:r>
      <w:r>
        <w:rPr>
          <w:rFonts w:hint="eastAsia" w:ascii="Times New Roman" w:hAnsi="Times New Roman"/>
          <w:color w:val="auto"/>
          <w:sz w:val="24"/>
          <w:szCs w:val="24"/>
        </w:rPr>
        <w:t>10</w:t>
      </w:r>
      <w:r>
        <w:rPr>
          <w:rFonts w:hint="eastAsia" w:ascii="Times New Roman" w:hAnsi="Times New Roman"/>
          <w:color w:val="auto"/>
          <w:sz w:val="24"/>
          <w:szCs w:val="24"/>
          <w:vertAlign w:val="superscript"/>
        </w:rPr>
        <w:t>-</w:t>
      </w:r>
      <w:r>
        <w:rPr>
          <w:rFonts w:ascii="Times New Roman" w:hAnsi="Times New Roman"/>
          <w:color w:val="auto"/>
          <w:sz w:val="24"/>
          <w:szCs w:val="24"/>
          <w:vertAlign w:val="superscript"/>
        </w:rPr>
        <w:t>3</w:t>
      </w:r>
      <w:r>
        <w:rPr>
          <w:rFonts w:hint="eastAsia" w:ascii="Times New Roman" w:hAnsi="Times New Roman"/>
          <w:color w:val="auto"/>
          <w:sz w:val="24"/>
          <w:szCs w:val="24"/>
        </w:rPr>
        <w:t>。应进一步强化船员的安全意识，提高船舶的安全性能，将事故发生概率降至可忽略水平。</w:t>
      </w:r>
    </w:p>
    <w:p w14:paraId="6B163060">
      <w:pPr>
        <w:pStyle w:val="4"/>
        <w:numPr>
          <w:ilvl w:val="0"/>
          <w:numId w:val="0"/>
        </w:numPr>
        <w:rPr>
          <w:color w:val="auto"/>
        </w:rPr>
      </w:pPr>
      <w:r>
        <w:rPr>
          <w:rFonts w:hint="eastAsia"/>
          <w:color w:val="auto"/>
        </w:rPr>
        <w:t>5.3.5</w:t>
      </w:r>
      <w:r>
        <w:rPr>
          <w:color w:val="auto"/>
        </w:rPr>
        <w:t>事故风险预测</w:t>
      </w:r>
    </w:p>
    <w:p w14:paraId="5E55465C">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溢油进入水体后发生扩展、漂移、扩散等油膜组分保持恒定的输移过程和蒸发、溶解、乳化等油膜组分发生变化的风化过程。本评价溢油模型采用“油粒子”模型，该模型可以很好地模拟上述物理化学过程，另外，“油粒子”模型是基于拉格朗日体系具有稳定性和高效率性特点。“油粒子”模型就是把溢油离散为大量的油粒子，每个油粒子代表一定的油量，油膜就是</w:t>
      </w:r>
      <w:r>
        <w:rPr>
          <w:rFonts w:hint="eastAsia" w:ascii="Times New Roman" w:hAnsi="Times New Roman"/>
          <w:color w:val="auto"/>
          <w:sz w:val="24"/>
          <w:szCs w:val="24"/>
          <w:lang w:eastAsia="zh-CN"/>
        </w:rPr>
        <w:t>由</w:t>
      </w:r>
      <w:r>
        <w:rPr>
          <w:rFonts w:hint="eastAsia" w:ascii="Times New Roman" w:hAnsi="Times New Roman"/>
          <w:color w:val="auto"/>
          <w:sz w:val="24"/>
          <w:szCs w:val="24"/>
        </w:rPr>
        <w:t>这些大量的油粒子所组成的“云团”</w:t>
      </w:r>
      <w:r>
        <w:rPr>
          <w:rFonts w:ascii="Times New Roman" w:hAnsi="Times New Roman"/>
          <w:color w:val="auto"/>
          <w:sz w:val="24"/>
          <w:szCs w:val="24"/>
        </w:rPr>
        <w:t>。</w:t>
      </w:r>
    </w:p>
    <w:p w14:paraId="00B137B4">
      <w:pPr>
        <w:pStyle w:val="5"/>
        <w:numPr>
          <w:ilvl w:val="0"/>
          <w:numId w:val="0"/>
        </w:numPr>
        <w:rPr>
          <w:color w:val="auto"/>
        </w:rPr>
      </w:pPr>
      <w:r>
        <w:rPr>
          <w:rFonts w:hint="eastAsia"/>
          <w:color w:val="auto"/>
        </w:rPr>
        <w:t>5.3.5.1输移过程</w:t>
      </w:r>
    </w:p>
    <w:p w14:paraId="257B5A62">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油粒子的输移包括了扩展、漂移、扩散等过程，这些</w:t>
      </w:r>
      <w:r>
        <w:rPr>
          <w:rFonts w:hint="eastAsia" w:ascii="Times New Roman" w:hAnsi="Times New Roman"/>
          <w:color w:val="auto"/>
          <w:sz w:val="24"/>
          <w:szCs w:val="24"/>
          <w:lang w:eastAsia="zh-CN"/>
        </w:rPr>
        <w:t>过程</w:t>
      </w:r>
      <w:r>
        <w:rPr>
          <w:rFonts w:hint="eastAsia" w:ascii="Times New Roman" w:hAnsi="Times New Roman"/>
          <w:color w:val="auto"/>
          <w:sz w:val="24"/>
          <w:szCs w:val="24"/>
        </w:rPr>
        <w:t>是油粒子位置发生变化的主要原因，而油粒子的组分在这些过程中不发生变化。</w:t>
      </w:r>
    </w:p>
    <w:p w14:paraId="252E91DB">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（1）扩展运动</w:t>
      </w:r>
    </w:p>
    <w:p w14:paraId="5AED367B">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溢油自身扩展过程是指溢油在扩展系油膜在重力、黏性力和表面张力综合作用下的运动。现场观测资料表明，在溢油的初期（数</w:t>
      </w:r>
      <w:r>
        <w:rPr>
          <w:rFonts w:ascii="Times New Roman" w:hAnsi="Times New Roman"/>
          <w:color w:val="auto"/>
          <w:sz w:val="24"/>
          <w:szCs w:val="24"/>
        </w:rPr>
        <w:t>10</w:t>
      </w:r>
      <w:r>
        <w:rPr>
          <w:rFonts w:hint="eastAsia" w:ascii="Times New Roman" w:hAnsi="Times New Roman"/>
          <w:color w:val="auto"/>
          <w:sz w:val="24"/>
          <w:szCs w:val="24"/>
        </w:rPr>
        <w:t>小时内）扩展过程起到支配的作用。随着油膜逐渐变薄，油膜开始破碎，扩展作用也随之减弱。</w:t>
      </w:r>
    </w:p>
    <w:p w14:paraId="7204B71D">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本文仅采用惯性力</w:t>
      </w:r>
      <w:r>
        <w:rPr>
          <w:rFonts w:ascii="Times New Roman" w:hAnsi="Times New Roman"/>
          <w:color w:val="auto"/>
          <w:sz w:val="24"/>
          <w:szCs w:val="24"/>
        </w:rPr>
        <w:t>-</w:t>
      </w:r>
      <w:r>
        <w:rPr>
          <w:rFonts w:hint="eastAsia" w:ascii="Times New Roman" w:hAnsi="Times New Roman"/>
          <w:color w:val="auto"/>
          <w:sz w:val="24"/>
          <w:szCs w:val="24"/>
        </w:rPr>
        <w:t>重力公式计算初始油膜的面积，并在该尺度内分配“油粒子”的初始位置。其计算公式可以表示为：</w:t>
      </w:r>
    </w:p>
    <w:p w14:paraId="57CD2097">
      <w:pPr>
        <w:pStyle w:val="17"/>
        <w:adjustRightInd w:val="0"/>
        <w:snapToGrid w:val="0"/>
        <w:spacing w:after="0"/>
        <w:ind w:left="0" w:leftChars="0"/>
        <w:jc w:val="center"/>
        <w:rPr>
          <w:color w:val="auto"/>
          <w:szCs w:val="24"/>
        </w:rPr>
      </w:pPr>
      <w:r>
        <w:rPr>
          <w:color w:val="auto"/>
        </w:rPr>
        <w:drawing>
          <wp:inline distT="0" distB="0" distL="114300" distR="114300">
            <wp:extent cx="1440180" cy="540385"/>
            <wp:effectExtent l="0" t="0" r="7620" b="12065"/>
            <wp:docPr id="206" name="图片 1"/>
            <wp:cNvGraphicFramePr/>
            <a:graphic xmlns:a="http://schemas.openxmlformats.org/drawingml/2006/main">
              <a:graphicData uri="http://schemas.openxmlformats.org/drawingml/2006/picture">
                <pic:pic xmlns:pic="http://schemas.openxmlformats.org/drawingml/2006/picture">
                  <pic:nvPicPr>
                    <pic:cNvPr id="206" name="图片 1"/>
                    <pic:cNvPicPr preferRelativeResize="0"/>
                  </pic:nvPicPr>
                  <pic:blipFill>
                    <a:blip r:embed="rId197"/>
                    <a:stretch>
                      <a:fillRect/>
                    </a:stretch>
                  </pic:blipFill>
                  <pic:spPr>
                    <a:xfrm>
                      <a:off x="0" y="0"/>
                      <a:ext cx="1440180" cy="540385"/>
                    </a:xfrm>
                    <a:prstGeom prst="rect">
                      <a:avLst/>
                    </a:prstGeom>
                    <a:noFill/>
                    <a:ln>
                      <a:noFill/>
                    </a:ln>
                  </pic:spPr>
                </pic:pic>
              </a:graphicData>
            </a:graphic>
          </wp:inline>
        </w:drawing>
      </w:r>
    </w:p>
    <w:p w14:paraId="7935DE5F">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式中，</w:t>
      </w:r>
      <w:r>
        <w:rPr>
          <w:rFonts w:ascii="Times New Roman" w:hAnsi="Times New Roman"/>
          <w:i/>
          <w:color w:val="auto"/>
          <w:sz w:val="24"/>
          <w:szCs w:val="24"/>
        </w:rPr>
        <w:t>A</w:t>
      </w:r>
      <w:r>
        <w:rPr>
          <w:rFonts w:ascii="Times New Roman" w:hAnsi="Times New Roman"/>
          <w:color w:val="auto"/>
          <w:sz w:val="24"/>
          <w:szCs w:val="24"/>
          <w:vertAlign w:val="subscript"/>
        </w:rPr>
        <w:t>0</w:t>
      </w:r>
      <w:r>
        <w:rPr>
          <w:rFonts w:hint="eastAsia" w:ascii="Times New Roman" w:hAnsi="Times New Roman"/>
          <w:color w:val="auto"/>
          <w:sz w:val="24"/>
          <w:szCs w:val="24"/>
        </w:rPr>
        <w:t>为初始面积；</w:t>
      </w:r>
      <w:r>
        <w:rPr>
          <w:rFonts w:ascii="Times New Roman" w:hAnsi="Times New Roman"/>
          <w:i/>
          <w:color w:val="auto"/>
          <w:sz w:val="24"/>
          <w:szCs w:val="24"/>
        </w:rPr>
        <w:t>ρ</w:t>
      </w:r>
      <w:r>
        <w:rPr>
          <w:rFonts w:hint="eastAsia" w:ascii="Times New Roman" w:hAnsi="Times New Roman"/>
          <w:color w:val="auto"/>
          <w:sz w:val="24"/>
          <w:szCs w:val="24"/>
        </w:rPr>
        <w:t>=（</w:t>
      </w:r>
      <w:r>
        <w:rPr>
          <w:rFonts w:ascii="Times New Roman" w:hAnsi="Times New Roman"/>
          <w:i/>
          <w:color w:val="auto"/>
          <w:sz w:val="24"/>
          <w:szCs w:val="24"/>
        </w:rPr>
        <w:t>ρ</w:t>
      </w:r>
      <w:r>
        <w:rPr>
          <w:rFonts w:hint="eastAsia" w:ascii="Times New Roman" w:hAnsi="Times New Roman"/>
          <w:color w:val="auto"/>
          <w:sz w:val="24"/>
          <w:szCs w:val="24"/>
          <w:vertAlign w:val="subscript"/>
        </w:rPr>
        <w:t>w</w:t>
      </w:r>
      <w:r>
        <w:rPr>
          <w:rFonts w:hint="eastAsia" w:ascii="Times New Roman" w:hAnsi="Times New Roman"/>
          <w:color w:val="auto"/>
          <w:sz w:val="24"/>
          <w:szCs w:val="24"/>
        </w:rPr>
        <w:t>-</w:t>
      </w:r>
      <w:r>
        <w:rPr>
          <w:rFonts w:ascii="Times New Roman" w:hAnsi="Times New Roman"/>
          <w:i/>
          <w:color w:val="auto"/>
          <w:sz w:val="24"/>
          <w:szCs w:val="24"/>
        </w:rPr>
        <w:t>ρ</w:t>
      </w:r>
      <w:r>
        <w:rPr>
          <w:rFonts w:hint="eastAsia" w:ascii="Times New Roman" w:hAnsi="Times New Roman"/>
          <w:color w:val="auto"/>
          <w:sz w:val="24"/>
          <w:szCs w:val="24"/>
          <w:vertAlign w:val="subscript"/>
        </w:rPr>
        <w:t>0</w:t>
      </w:r>
      <w:r>
        <w:rPr>
          <w:rFonts w:hint="eastAsia" w:ascii="Times New Roman" w:hAnsi="Times New Roman"/>
          <w:color w:val="auto"/>
          <w:sz w:val="24"/>
          <w:szCs w:val="24"/>
        </w:rPr>
        <w:t>）</w:t>
      </w:r>
      <w:r>
        <w:rPr>
          <w:rFonts w:ascii="Times New Roman" w:hAnsi="Times New Roman"/>
          <w:color w:val="auto"/>
          <w:sz w:val="24"/>
          <w:szCs w:val="24"/>
        </w:rPr>
        <w:t>/</w:t>
      </w:r>
      <w:r>
        <w:rPr>
          <w:rFonts w:ascii="Times New Roman" w:hAnsi="Times New Roman"/>
          <w:i/>
          <w:color w:val="auto"/>
          <w:sz w:val="24"/>
          <w:szCs w:val="24"/>
        </w:rPr>
        <w:t>ρ</w:t>
      </w:r>
      <w:r>
        <w:rPr>
          <w:rFonts w:ascii="Times New Roman" w:hAnsi="Times New Roman"/>
          <w:color w:val="auto"/>
          <w:sz w:val="24"/>
          <w:szCs w:val="24"/>
          <w:vertAlign w:val="subscript"/>
        </w:rPr>
        <w:t>w</w:t>
      </w:r>
      <w:r>
        <w:rPr>
          <w:rFonts w:hint="eastAsia" w:ascii="Times New Roman" w:hAnsi="Times New Roman"/>
          <w:color w:val="auto"/>
          <w:sz w:val="24"/>
          <w:szCs w:val="24"/>
        </w:rPr>
        <w:t>，</w:t>
      </w:r>
      <w:r>
        <w:rPr>
          <w:rFonts w:ascii="Times New Roman" w:hAnsi="Times New Roman"/>
          <w:i/>
          <w:color w:val="auto"/>
          <w:sz w:val="24"/>
          <w:szCs w:val="24"/>
        </w:rPr>
        <w:t>ρ</w:t>
      </w:r>
      <w:r>
        <w:rPr>
          <w:rFonts w:ascii="Times New Roman" w:hAnsi="Times New Roman"/>
          <w:color w:val="auto"/>
          <w:sz w:val="24"/>
          <w:szCs w:val="24"/>
          <w:vertAlign w:val="subscript"/>
        </w:rPr>
        <w:t>w</w:t>
      </w:r>
      <w:r>
        <w:rPr>
          <w:rFonts w:hint="eastAsia" w:ascii="Times New Roman" w:hAnsi="Times New Roman"/>
          <w:color w:val="auto"/>
          <w:sz w:val="24"/>
          <w:szCs w:val="24"/>
        </w:rPr>
        <w:t>为水的密度，</w:t>
      </w:r>
      <w:r>
        <w:rPr>
          <w:rFonts w:ascii="Times New Roman" w:hAnsi="Times New Roman"/>
          <w:i/>
          <w:color w:val="auto"/>
          <w:sz w:val="24"/>
          <w:szCs w:val="24"/>
        </w:rPr>
        <w:t>ρ</w:t>
      </w:r>
      <w:r>
        <w:rPr>
          <w:rFonts w:hint="eastAsia" w:ascii="Times New Roman" w:hAnsi="Times New Roman"/>
          <w:color w:val="auto"/>
          <w:sz w:val="24"/>
          <w:szCs w:val="24"/>
          <w:vertAlign w:val="subscript"/>
        </w:rPr>
        <w:t>0</w:t>
      </w:r>
      <w:r>
        <w:rPr>
          <w:rFonts w:hint="eastAsia" w:ascii="Times New Roman" w:hAnsi="Times New Roman"/>
          <w:color w:val="auto"/>
          <w:sz w:val="24"/>
          <w:szCs w:val="24"/>
        </w:rPr>
        <w:t>为油的密度；g为重力加速度；</w:t>
      </w:r>
      <w:r>
        <w:rPr>
          <w:rFonts w:ascii="Times New Roman" w:hAnsi="Times New Roman"/>
          <w:i/>
          <w:color w:val="auto"/>
          <w:sz w:val="24"/>
          <w:szCs w:val="24"/>
        </w:rPr>
        <w:t>V</w:t>
      </w:r>
      <w:r>
        <w:rPr>
          <w:rFonts w:ascii="Times New Roman" w:hAnsi="Times New Roman"/>
          <w:color w:val="auto"/>
          <w:sz w:val="24"/>
          <w:szCs w:val="24"/>
          <w:vertAlign w:val="subscript"/>
        </w:rPr>
        <w:t>0</w:t>
      </w:r>
      <w:r>
        <w:rPr>
          <w:rFonts w:hint="eastAsia" w:ascii="Times New Roman" w:hAnsi="Times New Roman"/>
          <w:color w:val="auto"/>
          <w:sz w:val="24"/>
          <w:szCs w:val="24"/>
        </w:rPr>
        <w:t>为溢油的初始体积，</w:t>
      </w:r>
      <w:r>
        <w:rPr>
          <w:rFonts w:ascii="Times New Roman" w:hAnsi="Times New Roman"/>
          <w:i/>
          <w:color w:val="auto"/>
          <w:sz w:val="24"/>
          <w:szCs w:val="24"/>
        </w:rPr>
        <w:t>v</w:t>
      </w:r>
      <w:r>
        <w:rPr>
          <w:rFonts w:ascii="Times New Roman" w:hAnsi="Times New Roman"/>
          <w:color w:val="auto"/>
          <w:sz w:val="24"/>
          <w:szCs w:val="24"/>
          <w:vertAlign w:val="subscript"/>
        </w:rPr>
        <w:t>w</w:t>
      </w:r>
      <w:r>
        <w:rPr>
          <w:rFonts w:hint="eastAsia" w:ascii="Times New Roman" w:hAnsi="Times New Roman"/>
          <w:color w:val="auto"/>
          <w:sz w:val="24"/>
          <w:szCs w:val="24"/>
        </w:rPr>
        <w:t>为水的运动粘度；</w:t>
      </w:r>
      <w:r>
        <w:rPr>
          <w:rFonts w:ascii="Times New Roman" w:hAnsi="Times New Roman"/>
          <w:i/>
          <w:color w:val="auto"/>
          <w:sz w:val="24"/>
          <w:szCs w:val="24"/>
        </w:rPr>
        <w:t>K</w:t>
      </w:r>
      <w:r>
        <w:rPr>
          <w:rFonts w:ascii="Times New Roman" w:hAnsi="Times New Roman"/>
          <w:color w:val="auto"/>
          <w:sz w:val="24"/>
          <w:szCs w:val="24"/>
          <w:vertAlign w:val="subscript"/>
        </w:rPr>
        <w:t>1</w:t>
      </w:r>
      <w:r>
        <w:rPr>
          <w:rFonts w:hint="eastAsia" w:ascii="Times New Roman" w:hAnsi="Times New Roman"/>
          <w:color w:val="auto"/>
          <w:sz w:val="24"/>
          <w:szCs w:val="24"/>
        </w:rPr>
        <w:t>，</w:t>
      </w:r>
      <w:r>
        <w:rPr>
          <w:rFonts w:ascii="Times New Roman" w:hAnsi="Times New Roman"/>
          <w:i/>
          <w:color w:val="auto"/>
          <w:sz w:val="24"/>
          <w:szCs w:val="24"/>
        </w:rPr>
        <w:t>K</w:t>
      </w:r>
      <w:r>
        <w:rPr>
          <w:rFonts w:ascii="Times New Roman" w:hAnsi="Times New Roman"/>
          <w:color w:val="auto"/>
          <w:sz w:val="24"/>
          <w:szCs w:val="24"/>
          <w:vertAlign w:val="subscript"/>
        </w:rPr>
        <w:t>2</w:t>
      </w:r>
      <w:r>
        <w:rPr>
          <w:rFonts w:hint="eastAsia" w:ascii="Times New Roman" w:hAnsi="Times New Roman"/>
          <w:color w:val="auto"/>
          <w:sz w:val="24"/>
          <w:szCs w:val="24"/>
        </w:rPr>
        <w:t>为经验系数，在计算中分别取为</w:t>
      </w:r>
      <w:r>
        <w:rPr>
          <w:rFonts w:ascii="Times New Roman" w:hAnsi="Times New Roman"/>
          <w:color w:val="auto"/>
          <w:sz w:val="24"/>
          <w:szCs w:val="24"/>
        </w:rPr>
        <w:t>0.57</w:t>
      </w:r>
      <w:r>
        <w:rPr>
          <w:rFonts w:hint="eastAsia" w:ascii="Times New Roman" w:hAnsi="Times New Roman"/>
          <w:color w:val="auto"/>
          <w:sz w:val="24"/>
          <w:szCs w:val="24"/>
        </w:rPr>
        <w:t>和</w:t>
      </w:r>
      <w:r>
        <w:rPr>
          <w:rFonts w:ascii="Times New Roman" w:hAnsi="Times New Roman"/>
          <w:color w:val="auto"/>
          <w:sz w:val="24"/>
          <w:szCs w:val="24"/>
        </w:rPr>
        <w:t>0.725</w:t>
      </w:r>
      <w:r>
        <w:rPr>
          <w:rFonts w:hint="eastAsia" w:ascii="Times New Roman" w:hAnsi="Times New Roman"/>
          <w:color w:val="auto"/>
          <w:sz w:val="24"/>
          <w:szCs w:val="24"/>
        </w:rPr>
        <w:t>。</w:t>
      </w:r>
    </w:p>
    <w:p w14:paraId="60297B3D">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（2）漂移运动</w:t>
      </w:r>
    </w:p>
    <w:p w14:paraId="663CC8AB">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油粒子漂移的作用力是水流和风拽力，油粒子总漂移速度为：</w:t>
      </w:r>
    </w:p>
    <w:p w14:paraId="571D4D25">
      <w:pPr>
        <w:adjustRightInd w:val="0"/>
        <w:snapToGrid w:val="0"/>
        <w:jc w:val="center"/>
        <w:rPr>
          <w:rFonts w:hAnsi="宋体"/>
          <w:color w:val="auto"/>
          <w:kern w:val="0"/>
        </w:rPr>
      </w:pPr>
      <w:r>
        <w:rPr>
          <w:rFonts w:hAnsi="宋体"/>
          <w:color w:val="auto"/>
          <w:kern w:val="0"/>
        </w:rPr>
        <w:drawing>
          <wp:inline distT="0" distB="0" distL="114300" distR="114300">
            <wp:extent cx="1799590" cy="360045"/>
            <wp:effectExtent l="0" t="0" r="10160" b="1905"/>
            <wp:docPr id="207" name="图片 973"/>
            <wp:cNvGraphicFramePr/>
            <a:graphic xmlns:a="http://schemas.openxmlformats.org/drawingml/2006/main">
              <a:graphicData uri="http://schemas.openxmlformats.org/drawingml/2006/picture">
                <pic:pic xmlns:pic="http://schemas.openxmlformats.org/drawingml/2006/picture">
                  <pic:nvPicPr>
                    <pic:cNvPr id="207" name="图片 973"/>
                    <pic:cNvPicPr preferRelativeResize="0"/>
                  </pic:nvPicPr>
                  <pic:blipFill>
                    <a:blip r:embed="rId198"/>
                    <a:stretch>
                      <a:fillRect/>
                    </a:stretch>
                  </pic:blipFill>
                  <pic:spPr>
                    <a:xfrm>
                      <a:off x="0" y="0"/>
                      <a:ext cx="1799590" cy="360045"/>
                    </a:xfrm>
                    <a:prstGeom prst="rect">
                      <a:avLst/>
                    </a:prstGeom>
                    <a:noFill/>
                    <a:ln>
                      <a:noFill/>
                    </a:ln>
                  </pic:spPr>
                </pic:pic>
              </a:graphicData>
            </a:graphic>
          </wp:inline>
        </w:drawing>
      </w:r>
    </w:p>
    <w:p w14:paraId="7198B439">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式中，</w:t>
      </w:r>
      <w:r>
        <w:rPr>
          <w:rFonts w:ascii="Times New Roman" w:hAnsi="Times New Roman"/>
          <w:color w:val="auto"/>
          <w:sz w:val="24"/>
          <w:szCs w:val="24"/>
        </w:rPr>
        <w:t>U</w:t>
      </w:r>
      <w:r>
        <w:rPr>
          <w:rFonts w:ascii="Times New Roman" w:hAnsi="Times New Roman"/>
          <w:color w:val="auto"/>
          <w:sz w:val="24"/>
          <w:szCs w:val="24"/>
          <w:vertAlign w:val="subscript"/>
        </w:rPr>
        <w:t>W</w:t>
      </w:r>
      <w:r>
        <w:rPr>
          <w:rFonts w:hint="eastAsia" w:ascii="Times New Roman" w:hAnsi="Times New Roman"/>
          <w:color w:val="auto"/>
          <w:sz w:val="24"/>
          <w:szCs w:val="24"/>
        </w:rPr>
        <w:t>为河面以上</w:t>
      </w:r>
      <w:r>
        <w:rPr>
          <w:rFonts w:ascii="Times New Roman" w:hAnsi="Times New Roman"/>
          <w:color w:val="auto"/>
          <w:sz w:val="24"/>
          <w:szCs w:val="24"/>
        </w:rPr>
        <w:t>10m</w:t>
      </w:r>
      <w:r>
        <w:rPr>
          <w:rFonts w:hint="eastAsia" w:ascii="Times New Roman" w:hAnsi="Times New Roman"/>
          <w:color w:val="auto"/>
          <w:sz w:val="24"/>
          <w:szCs w:val="24"/>
        </w:rPr>
        <w:t>处的风速；</w:t>
      </w:r>
      <w:r>
        <w:rPr>
          <w:rFonts w:ascii="Times New Roman" w:hAnsi="Times New Roman"/>
          <w:color w:val="auto"/>
          <w:sz w:val="24"/>
          <w:szCs w:val="24"/>
        </w:rPr>
        <w:t>Us</w:t>
      </w:r>
      <w:r>
        <w:rPr>
          <w:rFonts w:hint="eastAsia" w:ascii="Times New Roman" w:hAnsi="Times New Roman"/>
          <w:color w:val="auto"/>
          <w:sz w:val="24"/>
          <w:szCs w:val="24"/>
        </w:rPr>
        <w:t>为表面流速；</w:t>
      </w:r>
      <w:r>
        <w:rPr>
          <w:rFonts w:ascii="Times New Roman" w:hAnsi="Times New Roman"/>
          <w:color w:val="auto"/>
          <w:sz w:val="24"/>
          <w:szCs w:val="24"/>
        </w:rPr>
        <w:t>α</w:t>
      </w:r>
      <w:r>
        <w:rPr>
          <w:rFonts w:hint="eastAsia" w:ascii="Times New Roman" w:hAnsi="Times New Roman"/>
          <w:color w:val="auto"/>
          <w:sz w:val="24"/>
          <w:szCs w:val="24"/>
        </w:rPr>
        <w:t>为风漂移系数，一般在</w:t>
      </w:r>
      <w:r>
        <w:rPr>
          <w:rFonts w:ascii="Times New Roman" w:hAnsi="Times New Roman"/>
          <w:color w:val="auto"/>
          <w:sz w:val="24"/>
          <w:szCs w:val="24"/>
        </w:rPr>
        <w:t>0.03</w:t>
      </w:r>
      <w:r>
        <w:rPr>
          <w:rFonts w:hint="eastAsia" w:ascii="Times New Roman" w:hAnsi="Times New Roman"/>
          <w:color w:val="auto"/>
          <w:sz w:val="24"/>
          <w:szCs w:val="24"/>
        </w:rPr>
        <w:t>～</w:t>
      </w:r>
      <w:r>
        <w:rPr>
          <w:rFonts w:ascii="Times New Roman" w:hAnsi="Times New Roman"/>
          <w:color w:val="auto"/>
          <w:sz w:val="24"/>
          <w:szCs w:val="24"/>
        </w:rPr>
        <w:t>0.05</w:t>
      </w:r>
      <w:r>
        <w:rPr>
          <w:rFonts w:hint="eastAsia" w:ascii="Times New Roman" w:hAnsi="Times New Roman"/>
          <w:color w:val="auto"/>
          <w:sz w:val="24"/>
          <w:szCs w:val="24"/>
        </w:rPr>
        <w:t>之间。</w:t>
      </w:r>
    </w:p>
    <w:p w14:paraId="70FC3498">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二维水动力模型计算的流速是沿水深方向平均值，而油粒子所计算流速是表面流速，因此，本评价假设表面流速为平均流速值</w:t>
      </w:r>
      <w:r>
        <w:rPr>
          <w:rFonts w:ascii="Times New Roman" w:hAnsi="Times New Roman"/>
          <w:color w:val="auto"/>
          <w:sz w:val="24"/>
          <w:szCs w:val="24"/>
        </w:rPr>
        <w:t>1.25</w:t>
      </w:r>
      <w:r>
        <w:rPr>
          <w:rFonts w:hint="eastAsia" w:ascii="Times New Roman" w:hAnsi="Times New Roman"/>
          <w:color w:val="auto"/>
          <w:sz w:val="24"/>
          <w:szCs w:val="24"/>
        </w:rPr>
        <w:t>倍。</w:t>
      </w:r>
    </w:p>
    <w:p w14:paraId="77DD272B">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（3）紊动扩散</w:t>
      </w:r>
    </w:p>
    <w:p w14:paraId="7081621C">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假定水平扩散各向同性，一个时间步长内</w:t>
      </w:r>
      <w:r>
        <w:rPr>
          <w:rFonts w:ascii="Times New Roman" w:hAnsi="Times New Roman"/>
          <w:color w:val="auto"/>
          <w:sz w:val="24"/>
          <w:szCs w:val="24"/>
        </w:rPr>
        <w:t>α</w:t>
      </w:r>
      <w:r>
        <w:rPr>
          <w:rFonts w:hint="eastAsia" w:ascii="Times New Roman" w:hAnsi="Times New Roman"/>
          <w:color w:val="auto"/>
          <w:sz w:val="24"/>
          <w:szCs w:val="24"/>
        </w:rPr>
        <w:t>方向上的可能扩散距离</w:t>
      </w:r>
      <w:r>
        <w:rPr>
          <w:rFonts w:ascii="Times New Roman" w:hAnsi="Times New Roman"/>
          <w:color w:val="auto"/>
          <w:sz w:val="24"/>
          <w:szCs w:val="24"/>
        </w:rPr>
        <w:t>Sα</w:t>
      </w:r>
      <w:r>
        <w:rPr>
          <w:rFonts w:hint="eastAsia" w:ascii="Times New Roman" w:hAnsi="Times New Roman"/>
          <w:color w:val="auto"/>
          <w:sz w:val="24"/>
          <w:szCs w:val="24"/>
        </w:rPr>
        <w:t>可表示为：</w:t>
      </w:r>
    </w:p>
    <w:p w14:paraId="6507A2EB">
      <w:pPr>
        <w:adjustRightInd w:val="0"/>
        <w:snapToGrid w:val="0"/>
        <w:jc w:val="center"/>
        <w:rPr>
          <w:rFonts w:hAnsi="宋体"/>
          <w:color w:val="auto"/>
          <w:kern w:val="0"/>
        </w:rPr>
      </w:pPr>
      <w:r>
        <w:rPr>
          <w:rFonts w:hAnsi="宋体"/>
          <w:color w:val="auto"/>
          <w:kern w:val="0"/>
        </w:rPr>
        <w:drawing>
          <wp:inline distT="0" distB="0" distL="114300" distR="114300">
            <wp:extent cx="1440180" cy="360045"/>
            <wp:effectExtent l="0" t="0" r="7620" b="1905"/>
            <wp:docPr id="208" name="图片 980"/>
            <wp:cNvGraphicFramePr/>
            <a:graphic xmlns:a="http://schemas.openxmlformats.org/drawingml/2006/main">
              <a:graphicData uri="http://schemas.openxmlformats.org/drawingml/2006/picture">
                <pic:pic xmlns:pic="http://schemas.openxmlformats.org/drawingml/2006/picture">
                  <pic:nvPicPr>
                    <pic:cNvPr id="208" name="图片 980"/>
                    <pic:cNvPicPr preferRelativeResize="0"/>
                  </pic:nvPicPr>
                  <pic:blipFill>
                    <a:blip r:embed="rId199"/>
                    <a:stretch>
                      <a:fillRect/>
                    </a:stretch>
                  </pic:blipFill>
                  <pic:spPr>
                    <a:xfrm>
                      <a:off x="0" y="0"/>
                      <a:ext cx="1440180" cy="360045"/>
                    </a:xfrm>
                    <a:prstGeom prst="rect">
                      <a:avLst/>
                    </a:prstGeom>
                    <a:noFill/>
                    <a:ln>
                      <a:noFill/>
                    </a:ln>
                  </pic:spPr>
                </pic:pic>
              </a:graphicData>
            </a:graphic>
          </wp:inline>
        </w:drawing>
      </w:r>
    </w:p>
    <w:p w14:paraId="1994523F">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式中，</w:t>
      </w:r>
      <w:r>
        <w:rPr>
          <w:rFonts w:ascii="Times New Roman" w:hAnsi="Times New Roman"/>
          <w:color w:val="auto"/>
          <w:sz w:val="24"/>
          <w:szCs w:val="24"/>
        </w:rPr>
        <w:drawing>
          <wp:inline distT="0" distB="0" distL="114300" distR="114300">
            <wp:extent cx="361950" cy="219075"/>
            <wp:effectExtent l="0" t="0" r="0" b="9525"/>
            <wp:docPr id="209" name="图片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982"/>
                    <pic:cNvPicPr>
                      <a:picLocks noChangeAspect="1"/>
                    </pic:cNvPicPr>
                  </pic:nvPicPr>
                  <pic:blipFill>
                    <a:blip r:embed="rId200"/>
                    <a:stretch>
                      <a:fillRect/>
                    </a:stretch>
                  </pic:blipFill>
                  <pic:spPr>
                    <a:xfrm>
                      <a:off x="0" y="0"/>
                      <a:ext cx="361950" cy="219075"/>
                    </a:xfrm>
                    <a:prstGeom prst="rect">
                      <a:avLst/>
                    </a:prstGeom>
                    <a:noFill/>
                    <a:ln>
                      <a:noFill/>
                    </a:ln>
                  </pic:spPr>
                </pic:pic>
              </a:graphicData>
            </a:graphic>
          </wp:inline>
        </w:drawing>
      </w:r>
      <w:r>
        <w:rPr>
          <w:rFonts w:hint="eastAsia" w:ascii="Times New Roman" w:hAnsi="Times New Roman"/>
          <w:color w:val="auto"/>
          <w:sz w:val="24"/>
          <w:szCs w:val="24"/>
        </w:rPr>
        <w:t>为</w:t>
      </w:r>
      <w:r>
        <w:rPr>
          <w:rFonts w:ascii="Times New Roman" w:hAnsi="Times New Roman"/>
          <w:color w:val="auto"/>
          <w:sz w:val="24"/>
          <w:szCs w:val="24"/>
        </w:rPr>
        <w:t>-1</w:t>
      </w:r>
      <w:r>
        <w:rPr>
          <w:rFonts w:hint="eastAsia" w:ascii="Times New Roman" w:hAnsi="Times New Roman"/>
          <w:color w:val="auto"/>
          <w:sz w:val="24"/>
          <w:szCs w:val="24"/>
        </w:rPr>
        <w:t>～</w:t>
      </w:r>
      <w:r>
        <w:rPr>
          <w:rFonts w:ascii="Times New Roman" w:hAnsi="Times New Roman"/>
          <w:color w:val="auto"/>
          <w:sz w:val="24"/>
          <w:szCs w:val="24"/>
        </w:rPr>
        <w:t>1</w:t>
      </w:r>
      <w:r>
        <w:rPr>
          <w:rFonts w:hint="eastAsia" w:ascii="Times New Roman" w:hAnsi="Times New Roman"/>
          <w:color w:val="auto"/>
          <w:sz w:val="24"/>
          <w:szCs w:val="24"/>
        </w:rPr>
        <w:t>之间的随机数，</w:t>
      </w:r>
      <w:r>
        <w:rPr>
          <w:rFonts w:ascii="Times New Roman" w:hAnsi="Times New Roman"/>
          <w:color w:val="auto"/>
          <w:sz w:val="24"/>
          <w:szCs w:val="24"/>
        </w:rPr>
        <w:t>Dα</w:t>
      </w:r>
      <w:r>
        <w:rPr>
          <w:rFonts w:hint="eastAsia" w:ascii="Times New Roman" w:hAnsi="Times New Roman"/>
          <w:color w:val="auto"/>
          <w:sz w:val="24"/>
          <w:szCs w:val="24"/>
        </w:rPr>
        <w:t>为</w:t>
      </w:r>
      <w:r>
        <w:rPr>
          <w:rFonts w:ascii="Times New Roman" w:hAnsi="Times New Roman"/>
          <w:color w:val="auto"/>
          <w:sz w:val="24"/>
          <w:szCs w:val="24"/>
        </w:rPr>
        <w:t>α</w:t>
      </w:r>
      <w:r>
        <w:rPr>
          <w:rFonts w:hint="eastAsia" w:ascii="Times New Roman" w:hAnsi="Times New Roman"/>
          <w:color w:val="auto"/>
          <w:sz w:val="24"/>
          <w:szCs w:val="24"/>
        </w:rPr>
        <w:t>方向上的扩散系数。</w:t>
      </w:r>
    </w:p>
    <w:p w14:paraId="346BF173">
      <w:pPr>
        <w:pStyle w:val="5"/>
        <w:numPr>
          <w:ilvl w:val="0"/>
          <w:numId w:val="0"/>
        </w:numPr>
        <w:rPr>
          <w:color w:val="auto"/>
        </w:rPr>
      </w:pPr>
      <w:r>
        <w:rPr>
          <w:rFonts w:hint="eastAsia"/>
          <w:color w:val="auto"/>
        </w:rPr>
        <w:t>5.3.5.2风化过程</w:t>
      </w:r>
    </w:p>
    <w:p w14:paraId="7C5894D4">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油粒子的风化包括蒸发、溶解和乳化等各项风化过程，在这些过程中油粒子的组成发生变化，但油粒子水平位置没有变化。</w:t>
      </w:r>
    </w:p>
    <w:p w14:paraId="3A8E9D14">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（1）蒸发</w:t>
      </w:r>
    </w:p>
    <w:p w14:paraId="01931EA6">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蒸发将使溢油量减小，同时改变溢油的密度和</w:t>
      </w:r>
      <w:r>
        <w:rPr>
          <w:rFonts w:hint="eastAsia" w:ascii="Times New Roman" w:hAnsi="Times New Roman"/>
          <w:color w:val="auto"/>
          <w:sz w:val="24"/>
          <w:szCs w:val="24"/>
          <w:lang w:eastAsia="zh-CN"/>
        </w:rPr>
        <w:t>黏性等</w:t>
      </w:r>
      <w:r>
        <w:rPr>
          <w:rFonts w:hint="eastAsia" w:ascii="Times New Roman" w:hAnsi="Times New Roman"/>
          <w:color w:val="auto"/>
          <w:sz w:val="24"/>
          <w:szCs w:val="24"/>
        </w:rPr>
        <w:t>物理性质。依据</w:t>
      </w:r>
      <w:r>
        <w:rPr>
          <w:rFonts w:ascii="Times New Roman" w:hAnsi="Times New Roman"/>
          <w:color w:val="auto"/>
          <w:sz w:val="24"/>
          <w:szCs w:val="24"/>
        </w:rPr>
        <w:t>Reed(1989)</w:t>
      </w:r>
      <w:r>
        <w:rPr>
          <w:rFonts w:hint="eastAsia" w:ascii="Times New Roman" w:hAnsi="Times New Roman"/>
          <w:color w:val="auto"/>
          <w:sz w:val="24"/>
          <w:szCs w:val="24"/>
        </w:rPr>
        <w:t>提供的蒸发分数公式：</w:t>
      </w:r>
    </w:p>
    <w:p w14:paraId="4E5CE756">
      <w:pPr>
        <w:adjustRightInd w:val="0"/>
        <w:snapToGrid w:val="0"/>
        <w:jc w:val="center"/>
        <w:rPr>
          <w:rFonts w:hAnsi="宋体"/>
          <w:color w:val="auto"/>
          <w:kern w:val="0"/>
        </w:rPr>
      </w:pPr>
      <w:r>
        <w:rPr>
          <w:rFonts w:hAnsi="宋体"/>
          <w:color w:val="auto"/>
          <w:kern w:val="0"/>
        </w:rPr>
        <w:drawing>
          <wp:inline distT="0" distB="0" distL="114300" distR="114300">
            <wp:extent cx="1445895" cy="440055"/>
            <wp:effectExtent l="0" t="0" r="1905" b="17145"/>
            <wp:docPr id="210" name="图片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986"/>
                    <pic:cNvPicPr>
                      <a:picLocks noChangeAspect="1"/>
                    </pic:cNvPicPr>
                  </pic:nvPicPr>
                  <pic:blipFill>
                    <a:blip r:embed="rId201"/>
                    <a:stretch>
                      <a:fillRect/>
                    </a:stretch>
                  </pic:blipFill>
                  <pic:spPr>
                    <a:xfrm>
                      <a:off x="0" y="0"/>
                      <a:ext cx="1445895" cy="440055"/>
                    </a:xfrm>
                    <a:prstGeom prst="rect">
                      <a:avLst/>
                    </a:prstGeom>
                    <a:noFill/>
                    <a:ln>
                      <a:noFill/>
                    </a:ln>
                  </pic:spPr>
                </pic:pic>
              </a:graphicData>
            </a:graphic>
          </wp:inline>
        </w:drawing>
      </w:r>
    </w:p>
    <w:p w14:paraId="1B90781E">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式中，</w:t>
      </w:r>
      <w:r>
        <w:rPr>
          <w:rFonts w:ascii="Times New Roman" w:hAnsi="Times New Roman"/>
          <w:color w:val="auto"/>
          <w:sz w:val="24"/>
          <w:szCs w:val="24"/>
        </w:rPr>
        <w:t>Fv</w:t>
      </w:r>
      <w:r>
        <w:rPr>
          <w:rFonts w:hint="eastAsia" w:ascii="Times New Roman" w:hAnsi="Times New Roman"/>
          <w:color w:val="auto"/>
          <w:sz w:val="24"/>
          <w:szCs w:val="24"/>
        </w:rPr>
        <w:t>为蒸发量占液体总量的分数，</w:t>
      </w:r>
      <w:r>
        <w:rPr>
          <w:rFonts w:ascii="Times New Roman" w:hAnsi="Times New Roman"/>
          <w:color w:val="auto"/>
          <w:sz w:val="24"/>
          <w:szCs w:val="24"/>
        </w:rPr>
        <w:t>Fvmax</w:t>
      </w:r>
      <w:r>
        <w:rPr>
          <w:rFonts w:hint="eastAsia" w:ascii="Times New Roman" w:hAnsi="Times New Roman"/>
          <w:color w:val="auto"/>
          <w:sz w:val="24"/>
          <w:szCs w:val="24"/>
        </w:rPr>
        <w:t>为最大蒸发分数，如果</w:t>
      </w:r>
      <w:r>
        <w:rPr>
          <w:rFonts w:ascii="Times New Roman" w:hAnsi="Times New Roman"/>
          <w:color w:val="auto"/>
          <w:sz w:val="24"/>
          <w:szCs w:val="24"/>
        </w:rPr>
        <w:t>Fvmax-Fv</w:t>
      </w:r>
      <w:r>
        <w:rPr>
          <w:rFonts w:hint="eastAsia" w:ascii="Times New Roman" w:hAnsi="Times New Roman"/>
          <w:color w:val="auto"/>
          <w:sz w:val="24"/>
          <w:szCs w:val="24"/>
        </w:rPr>
        <w:t>≤</w:t>
      </w:r>
      <w:r>
        <w:rPr>
          <w:rFonts w:ascii="Times New Roman" w:hAnsi="Times New Roman"/>
          <w:color w:val="auto"/>
          <w:sz w:val="24"/>
          <w:szCs w:val="24"/>
        </w:rPr>
        <w:t>0</w:t>
      </w:r>
      <w:r>
        <w:rPr>
          <w:rFonts w:hint="eastAsia" w:ascii="Times New Roman" w:hAnsi="Times New Roman"/>
          <w:color w:val="auto"/>
          <w:sz w:val="24"/>
          <w:szCs w:val="24"/>
        </w:rPr>
        <w:t>时取值</w:t>
      </w:r>
      <w:r>
        <w:rPr>
          <w:rFonts w:ascii="Times New Roman" w:hAnsi="Times New Roman"/>
          <w:color w:val="auto"/>
          <w:sz w:val="24"/>
          <w:szCs w:val="24"/>
        </w:rPr>
        <w:t>0</w:t>
      </w:r>
      <w:r>
        <w:rPr>
          <w:rFonts w:hint="eastAsia" w:ascii="Times New Roman" w:hAnsi="Times New Roman"/>
          <w:color w:val="auto"/>
          <w:sz w:val="24"/>
          <w:szCs w:val="24"/>
        </w:rPr>
        <w:t>，</w:t>
      </w:r>
      <w:r>
        <w:rPr>
          <w:rFonts w:ascii="Times New Roman" w:hAnsi="Times New Roman"/>
          <w:color w:val="auto"/>
          <w:sz w:val="24"/>
          <w:szCs w:val="24"/>
        </w:rPr>
        <w:t>T</w:t>
      </w:r>
      <w:r>
        <w:rPr>
          <w:rFonts w:hint="eastAsia" w:ascii="Times New Roman" w:hAnsi="Times New Roman"/>
          <w:color w:val="auto"/>
          <w:sz w:val="24"/>
          <w:szCs w:val="24"/>
        </w:rPr>
        <w:t>为时间，蒸发系数θ依据</w:t>
      </w:r>
      <w:r>
        <w:rPr>
          <w:rFonts w:hint="eastAsia" w:ascii="Times New Roman" w:hAnsi="Times New Roman"/>
          <w:color w:val="auto"/>
          <w:sz w:val="24"/>
          <w:szCs w:val="24"/>
          <w:lang w:eastAsia="zh-CN"/>
        </w:rPr>
        <w:t>Stiver</w:t>
      </w:r>
      <w:r>
        <w:rPr>
          <w:rFonts w:hint="eastAsia" w:ascii="Times New Roman" w:hAnsi="Times New Roman"/>
          <w:color w:val="auto"/>
          <w:sz w:val="24"/>
          <w:szCs w:val="24"/>
        </w:rPr>
        <w:t>和</w:t>
      </w:r>
      <w:r>
        <w:rPr>
          <w:rFonts w:ascii="Times New Roman" w:hAnsi="Times New Roman"/>
          <w:color w:val="auto"/>
          <w:sz w:val="24"/>
          <w:szCs w:val="24"/>
        </w:rPr>
        <w:t>Mackay</w:t>
      </w:r>
      <w:r>
        <w:rPr>
          <w:rFonts w:hint="eastAsia" w:ascii="Times New Roman" w:hAnsi="Times New Roman"/>
          <w:color w:val="auto"/>
          <w:sz w:val="24"/>
          <w:szCs w:val="24"/>
        </w:rPr>
        <w:t>（</w:t>
      </w:r>
      <w:r>
        <w:rPr>
          <w:rFonts w:ascii="Times New Roman" w:hAnsi="Times New Roman"/>
          <w:color w:val="auto"/>
          <w:sz w:val="24"/>
          <w:szCs w:val="24"/>
        </w:rPr>
        <w:t>1985</w:t>
      </w:r>
      <w:r>
        <w:rPr>
          <w:rFonts w:hint="eastAsia" w:ascii="Times New Roman" w:hAnsi="Times New Roman"/>
          <w:color w:val="auto"/>
          <w:sz w:val="24"/>
          <w:szCs w:val="24"/>
        </w:rPr>
        <w:t>）的参数化公式：</w:t>
      </w:r>
    </w:p>
    <w:p w14:paraId="3C93D336">
      <w:pPr>
        <w:adjustRightInd w:val="0"/>
        <w:snapToGrid w:val="0"/>
        <w:jc w:val="center"/>
        <w:rPr>
          <w:rFonts w:hAnsi="宋体"/>
          <w:color w:val="auto"/>
          <w:kern w:val="0"/>
        </w:rPr>
      </w:pPr>
      <w:r>
        <w:rPr>
          <w:rFonts w:hAnsi="宋体"/>
          <w:color w:val="auto"/>
          <w:kern w:val="0"/>
        </w:rPr>
        <w:drawing>
          <wp:inline distT="0" distB="0" distL="114300" distR="114300">
            <wp:extent cx="1066165" cy="395605"/>
            <wp:effectExtent l="0" t="0" r="635" b="4445"/>
            <wp:docPr id="211" name="图片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945"/>
                    <pic:cNvPicPr>
                      <a:picLocks noChangeAspect="1"/>
                    </pic:cNvPicPr>
                  </pic:nvPicPr>
                  <pic:blipFill>
                    <a:blip r:embed="rId202"/>
                    <a:stretch>
                      <a:fillRect/>
                    </a:stretch>
                  </pic:blipFill>
                  <pic:spPr>
                    <a:xfrm>
                      <a:off x="0" y="0"/>
                      <a:ext cx="1066165" cy="395605"/>
                    </a:xfrm>
                    <a:prstGeom prst="rect">
                      <a:avLst/>
                    </a:prstGeom>
                    <a:noFill/>
                    <a:ln>
                      <a:noFill/>
                    </a:ln>
                  </pic:spPr>
                </pic:pic>
              </a:graphicData>
            </a:graphic>
          </wp:inline>
        </w:drawing>
      </w:r>
    </w:p>
    <w:p w14:paraId="56F3EC74">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式中，</w:t>
      </w:r>
      <w:r>
        <w:rPr>
          <w:rFonts w:ascii="Times New Roman" w:hAnsi="Times New Roman"/>
          <w:color w:val="auto"/>
          <w:sz w:val="24"/>
          <w:szCs w:val="24"/>
        </w:rPr>
        <w:t>K</w:t>
      </w:r>
      <w:r>
        <w:rPr>
          <w:rFonts w:hint="eastAsia" w:ascii="Times New Roman" w:hAnsi="Times New Roman"/>
          <w:color w:val="auto"/>
          <w:sz w:val="24"/>
          <w:szCs w:val="24"/>
        </w:rPr>
        <w:t>=</w:t>
      </w:r>
      <w:r>
        <w:rPr>
          <w:rFonts w:ascii="Times New Roman" w:hAnsi="Times New Roman"/>
          <w:color w:val="auto"/>
          <w:sz w:val="24"/>
          <w:szCs w:val="24"/>
        </w:rPr>
        <w:t>2.5×10</w:t>
      </w:r>
      <w:r>
        <w:rPr>
          <w:rFonts w:hint="eastAsia" w:ascii="Times New Roman" w:hAnsi="Times New Roman"/>
          <w:color w:val="auto"/>
          <w:sz w:val="24"/>
          <w:szCs w:val="24"/>
          <w:vertAlign w:val="superscript"/>
        </w:rPr>
        <w:t>-</w:t>
      </w:r>
      <w:r>
        <w:rPr>
          <w:rFonts w:ascii="Times New Roman" w:hAnsi="Times New Roman"/>
          <w:color w:val="auto"/>
          <w:sz w:val="24"/>
          <w:szCs w:val="24"/>
          <w:vertAlign w:val="superscript"/>
        </w:rPr>
        <w:t>3</w:t>
      </w:r>
      <w:r>
        <w:rPr>
          <w:rFonts w:ascii="Times New Roman" w:hAnsi="Times New Roman"/>
          <w:i/>
          <w:color w:val="auto"/>
          <w:sz w:val="24"/>
          <w:szCs w:val="24"/>
        </w:rPr>
        <w:t>U</w:t>
      </w:r>
      <w:r>
        <w:rPr>
          <w:rFonts w:ascii="Times New Roman" w:hAnsi="Times New Roman"/>
          <w:i/>
          <w:color w:val="auto"/>
          <w:sz w:val="24"/>
          <w:szCs w:val="24"/>
          <w:vertAlign w:val="subscript"/>
        </w:rPr>
        <w:t>W</w:t>
      </w:r>
      <w:r>
        <w:rPr>
          <w:rFonts w:ascii="Times New Roman" w:hAnsi="Times New Roman"/>
          <w:color w:val="auto"/>
          <w:sz w:val="24"/>
          <w:szCs w:val="24"/>
          <w:vertAlign w:val="superscript"/>
        </w:rPr>
        <w:t>0.78</w:t>
      </w:r>
      <w:r>
        <w:rPr>
          <w:rFonts w:hint="eastAsia" w:ascii="Times New Roman" w:hAnsi="Times New Roman"/>
          <w:color w:val="auto"/>
          <w:sz w:val="24"/>
          <w:szCs w:val="24"/>
        </w:rPr>
        <w:t>，</w:t>
      </w:r>
      <w:r>
        <w:rPr>
          <w:rFonts w:ascii="Times New Roman" w:hAnsi="Times New Roman"/>
          <w:i/>
          <w:color w:val="auto"/>
          <w:sz w:val="24"/>
          <w:szCs w:val="24"/>
        </w:rPr>
        <w:t>U</w:t>
      </w:r>
      <w:r>
        <w:rPr>
          <w:rFonts w:ascii="Times New Roman" w:hAnsi="Times New Roman"/>
          <w:color w:val="auto"/>
          <w:sz w:val="24"/>
          <w:szCs w:val="24"/>
          <w:vertAlign w:val="subscript"/>
        </w:rPr>
        <w:t>W</w:t>
      </w:r>
      <w:r>
        <w:rPr>
          <w:rFonts w:hint="eastAsia" w:ascii="Times New Roman" w:hAnsi="Times New Roman"/>
          <w:color w:val="auto"/>
          <w:sz w:val="24"/>
          <w:szCs w:val="24"/>
        </w:rPr>
        <w:t>为河面以上</w:t>
      </w:r>
      <w:r>
        <w:rPr>
          <w:rFonts w:ascii="Times New Roman" w:hAnsi="Times New Roman"/>
          <w:color w:val="auto"/>
          <w:sz w:val="24"/>
          <w:szCs w:val="24"/>
        </w:rPr>
        <w:t>10m</w:t>
      </w:r>
      <w:r>
        <w:rPr>
          <w:rFonts w:hint="eastAsia" w:ascii="Times New Roman" w:hAnsi="Times New Roman"/>
          <w:color w:val="auto"/>
          <w:sz w:val="24"/>
          <w:szCs w:val="24"/>
        </w:rPr>
        <w:t>处的风速，</w:t>
      </w:r>
      <w:r>
        <w:rPr>
          <w:rFonts w:ascii="Times New Roman" w:hAnsi="Times New Roman"/>
          <w:color w:val="auto"/>
          <w:sz w:val="24"/>
          <w:szCs w:val="24"/>
        </w:rPr>
        <w:t>A</w:t>
      </w:r>
      <w:r>
        <w:rPr>
          <w:rFonts w:hint="eastAsia" w:ascii="Times New Roman" w:hAnsi="Times New Roman"/>
          <w:color w:val="auto"/>
          <w:sz w:val="24"/>
          <w:szCs w:val="24"/>
        </w:rPr>
        <w:t>为油膜面积，</w:t>
      </w:r>
      <w:r>
        <w:rPr>
          <w:rFonts w:ascii="Times New Roman" w:hAnsi="Times New Roman"/>
          <w:i/>
          <w:color w:val="auto"/>
          <w:sz w:val="24"/>
          <w:szCs w:val="24"/>
        </w:rPr>
        <w:t>V</w:t>
      </w:r>
      <w:r>
        <w:rPr>
          <w:rFonts w:ascii="Times New Roman" w:hAnsi="Times New Roman"/>
          <w:color w:val="auto"/>
          <w:sz w:val="24"/>
          <w:szCs w:val="24"/>
          <w:vertAlign w:val="subscript"/>
        </w:rPr>
        <w:t>0</w:t>
      </w:r>
      <w:r>
        <w:rPr>
          <w:rFonts w:hint="eastAsia" w:ascii="Times New Roman" w:hAnsi="Times New Roman"/>
          <w:color w:val="auto"/>
          <w:sz w:val="24"/>
          <w:szCs w:val="24"/>
        </w:rPr>
        <w:t>为溢油初始体积，δ为油膜厚度，</w:t>
      </w:r>
      <w:r>
        <w:rPr>
          <w:rFonts w:ascii="Times New Roman" w:hAnsi="Times New Roman"/>
          <w:color w:val="auto"/>
          <w:sz w:val="24"/>
          <w:szCs w:val="24"/>
        </w:rPr>
        <w:t>T</w:t>
      </w:r>
      <w:r>
        <w:rPr>
          <w:rFonts w:hint="eastAsia" w:ascii="Times New Roman" w:hAnsi="Times New Roman"/>
          <w:color w:val="auto"/>
          <w:sz w:val="24"/>
          <w:szCs w:val="24"/>
        </w:rPr>
        <w:t>为时间。</w:t>
      </w:r>
    </w:p>
    <w:p w14:paraId="1ED40E1C">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（2）乳化</w:t>
      </w:r>
    </w:p>
    <w:p w14:paraId="36E7111B">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溢油的乳化过程受风速、油的厚度、环境温度、油风化程度等因素的影响，一般用含水率表示乳化程度。依据</w:t>
      </w:r>
      <w:r>
        <w:rPr>
          <w:rFonts w:ascii="Times New Roman" w:hAnsi="Times New Roman"/>
          <w:color w:val="auto"/>
          <w:sz w:val="24"/>
          <w:szCs w:val="24"/>
        </w:rPr>
        <w:t>Mackay(1980)</w:t>
      </w:r>
      <w:r>
        <w:rPr>
          <w:rFonts w:hint="eastAsia" w:ascii="Times New Roman" w:hAnsi="Times New Roman"/>
          <w:color w:val="auto"/>
          <w:sz w:val="24"/>
          <w:szCs w:val="24"/>
        </w:rPr>
        <w:t>和</w:t>
      </w:r>
      <w:r>
        <w:rPr>
          <w:rFonts w:ascii="Times New Roman" w:hAnsi="Times New Roman"/>
          <w:color w:val="auto"/>
          <w:sz w:val="24"/>
          <w:szCs w:val="24"/>
        </w:rPr>
        <w:t>Zagorski(1982)</w:t>
      </w:r>
      <w:r>
        <w:rPr>
          <w:rFonts w:hint="eastAsia" w:ascii="Times New Roman" w:hAnsi="Times New Roman"/>
          <w:color w:val="auto"/>
          <w:sz w:val="24"/>
          <w:szCs w:val="24"/>
        </w:rPr>
        <w:t>提供的含水率公式：</w:t>
      </w:r>
    </w:p>
    <w:p w14:paraId="2CA34B37">
      <w:pPr>
        <w:adjustRightInd w:val="0"/>
        <w:snapToGrid w:val="0"/>
        <w:jc w:val="center"/>
        <w:rPr>
          <w:rFonts w:hAnsi="宋体"/>
          <w:color w:val="auto"/>
          <w:kern w:val="0"/>
        </w:rPr>
      </w:pPr>
      <w:r>
        <w:rPr>
          <w:rFonts w:hAnsi="宋体"/>
          <w:color w:val="auto"/>
          <w:kern w:val="0"/>
        </w:rPr>
        <w:drawing>
          <wp:inline distT="0" distB="0" distL="114300" distR="114300">
            <wp:extent cx="1733550" cy="466725"/>
            <wp:effectExtent l="0" t="0" r="0" b="9525"/>
            <wp:docPr id="212" name="图片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938"/>
                    <pic:cNvPicPr>
                      <a:picLocks noChangeAspect="1"/>
                    </pic:cNvPicPr>
                  </pic:nvPicPr>
                  <pic:blipFill>
                    <a:blip r:embed="rId203"/>
                    <a:stretch>
                      <a:fillRect/>
                    </a:stretch>
                  </pic:blipFill>
                  <pic:spPr>
                    <a:xfrm>
                      <a:off x="0" y="0"/>
                      <a:ext cx="1733550" cy="466725"/>
                    </a:xfrm>
                    <a:prstGeom prst="rect">
                      <a:avLst/>
                    </a:prstGeom>
                    <a:noFill/>
                    <a:ln>
                      <a:noFill/>
                    </a:ln>
                  </pic:spPr>
                </pic:pic>
              </a:graphicData>
            </a:graphic>
          </wp:inline>
        </w:drawing>
      </w:r>
    </w:p>
    <w:p w14:paraId="12938A19">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式中，</w:t>
      </w:r>
      <w:r>
        <w:rPr>
          <w:rFonts w:ascii="Times New Roman" w:hAnsi="Times New Roman"/>
          <w:color w:val="auto"/>
          <w:sz w:val="24"/>
          <w:szCs w:val="24"/>
        </w:rPr>
        <w:t>Fw</w:t>
      </w:r>
      <w:r>
        <w:rPr>
          <w:rFonts w:hint="eastAsia" w:ascii="Times New Roman" w:hAnsi="Times New Roman"/>
          <w:color w:val="auto"/>
          <w:sz w:val="24"/>
          <w:szCs w:val="24"/>
        </w:rPr>
        <w:t>为乳化物的含水率，</w:t>
      </w:r>
      <w:r>
        <w:rPr>
          <w:rFonts w:ascii="Times New Roman" w:hAnsi="Times New Roman"/>
          <w:color w:val="auto"/>
          <w:sz w:val="24"/>
          <w:szCs w:val="24"/>
        </w:rPr>
        <w:t>C</w:t>
      </w:r>
      <w:r>
        <w:rPr>
          <w:rFonts w:ascii="Times New Roman" w:hAnsi="Times New Roman"/>
          <w:color w:val="auto"/>
          <w:sz w:val="24"/>
          <w:szCs w:val="24"/>
          <w:vertAlign w:val="subscript"/>
        </w:rPr>
        <w:t>1</w:t>
      </w:r>
      <w:r>
        <w:rPr>
          <w:rFonts w:hint="eastAsia" w:ascii="Times New Roman" w:hAnsi="Times New Roman"/>
          <w:color w:val="auto"/>
          <w:sz w:val="24"/>
          <w:szCs w:val="24"/>
        </w:rPr>
        <w:t>＝</w:t>
      </w:r>
      <w:r>
        <w:rPr>
          <w:rFonts w:ascii="Times New Roman" w:hAnsi="Times New Roman"/>
          <w:color w:val="auto"/>
          <w:sz w:val="24"/>
          <w:szCs w:val="24"/>
        </w:rPr>
        <w:t>2.1</w:t>
      </w:r>
      <w:r>
        <w:rPr>
          <w:rFonts w:hint="eastAsia" w:ascii="Times New Roman" w:hAnsi="Times New Roman"/>
          <w:color w:val="auto"/>
          <w:sz w:val="24"/>
          <w:szCs w:val="24"/>
        </w:rPr>
        <w:t>×</w:t>
      </w:r>
      <w:r>
        <w:rPr>
          <w:rFonts w:ascii="Times New Roman" w:hAnsi="Times New Roman"/>
          <w:color w:val="auto"/>
          <w:sz w:val="24"/>
          <w:szCs w:val="24"/>
        </w:rPr>
        <w:t>10</w:t>
      </w:r>
      <w:r>
        <w:rPr>
          <w:rFonts w:ascii="Times New Roman" w:hAnsi="Times New Roman"/>
          <w:color w:val="auto"/>
          <w:sz w:val="24"/>
          <w:szCs w:val="24"/>
          <w:vertAlign w:val="superscript"/>
        </w:rPr>
        <w:t>-6</w:t>
      </w:r>
      <w:r>
        <w:rPr>
          <w:rFonts w:hint="eastAsia" w:ascii="Times New Roman" w:hAnsi="Times New Roman"/>
          <w:color w:val="auto"/>
          <w:sz w:val="24"/>
          <w:szCs w:val="24"/>
        </w:rPr>
        <w:t>，</w:t>
      </w:r>
      <w:r>
        <w:rPr>
          <w:rFonts w:ascii="Times New Roman" w:hAnsi="Times New Roman"/>
          <w:color w:val="auto"/>
          <w:sz w:val="24"/>
          <w:szCs w:val="24"/>
        </w:rPr>
        <w:t>Uw</w:t>
      </w:r>
      <w:r>
        <w:rPr>
          <w:rFonts w:hint="eastAsia" w:ascii="Times New Roman" w:hAnsi="Times New Roman"/>
          <w:color w:val="auto"/>
          <w:sz w:val="24"/>
          <w:szCs w:val="24"/>
        </w:rPr>
        <w:t>为风速，家用燃料油</w:t>
      </w:r>
      <w:r>
        <w:rPr>
          <w:rFonts w:ascii="Times New Roman" w:hAnsi="Times New Roman"/>
          <w:color w:val="auto"/>
          <w:sz w:val="24"/>
          <w:szCs w:val="24"/>
        </w:rPr>
        <w:t>C</w:t>
      </w:r>
      <w:r>
        <w:rPr>
          <w:rFonts w:ascii="Times New Roman" w:hAnsi="Times New Roman"/>
          <w:color w:val="auto"/>
          <w:sz w:val="24"/>
          <w:szCs w:val="24"/>
          <w:vertAlign w:val="subscript"/>
        </w:rPr>
        <w:t>2</w:t>
      </w:r>
      <w:r>
        <w:rPr>
          <w:rFonts w:hint="eastAsia" w:ascii="Times New Roman" w:hAnsi="Times New Roman"/>
          <w:color w:val="auto"/>
          <w:sz w:val="24"/>
          <w:szCs w:val="24"/>
        </w:rPr>
        <w:t>＝</w:t>
      </w:r>
      <w:r>
        <w:rPr>
          <w:rFonts w:ascii="Times New Roman" w:hAnsi="Times New Roman"/>
          <w:color w:val="auto"/>
          <w:sz w:val="24"/>
          <w:szCs w:val="24"/>
        </w:rPr>
        <w:t>0.25</w:t>
      </w:r>
      <w:r>
        <w:rPr>
          <w:rFonts w:hint="eastAsia" w:ascii="Times New Roman" w:hAnsi="Times New Roman"/>
          <w:color w:val="auto"/>
          <w:sz w:val="24"/>
          <w:szCs w:val="24"/>
        </w:rPr>
        <w:t>、原油和重油</w:t>
      </w:r>
      <w:r>
        <w:rPr>
          <w:rFonts w:ascii="Times New Roman" w:hAnsi="Times New Roman"/>
          <w:color w:val="auto"/>
          <w:sz w:val="24"/>
          <w:szCs w:val="24"/>
        </w:rPr>
        <w:t>C</w:t>
      </w:r>
      <w:r>
        <w:rPr>
          <w:rFonts w:ascii="Times New Roman" w:hAnsi="Times New Roman"/>
          <w:color w:val="auto"/>
          <w:sz w:val="24"/>
          <w:szCs w:val="24"/>
          <w:vertAlign w:val="subscript"/>
        </w:rPr>
        <w:t>2</w:t>
      </w:r>
      <w:r>
        <w:rPr>
          <w:rFonts w:hint="eastAsia" w:ascii="Times New Roman" w:hAnsi="Times New Roman"/>
          <w:color w:val="auto"/>
          <w:sz w:val="24"/>
          <w:szCs w:val="24"/>
        </w:rPr>
        <w:t>＝</w:t>
      </w:r>
      <w:r>
        <w:rPr>
          <w:rFonts w:ascii="Times New Roman" w:hAnsi="Times New Roman"/>
          <w:color w:val="auto"/>
          <w:sz w:val="24"/>
          <w:szCs w:val="24"/>
        </w:rPr>
        <w:t>0.7</w:t>
      </w:r>
      <w:r>
        <w:rPr>
          <w:rFonts w:hint="eastAsia" w:ascii="Times New Roman" w:hAnsi="Times New Roman"/>
          <w:color w:val="auto"/>
          <w:sz w:val="24"/>
          <w:szCs w:val="24"/>
        </w:rPr>
        <w:t>（</w:t>
      </w:r>
      <w:r>
        <w:rPr>
          <w:rFonts w:ascii="Times New Roman" w:hAnsi="Times New Roman"/>
          <w:color w:val="auto"/>
          <w:sz w:val="24"/>
          <w:szCs w:val="24"/>
        </w:rPr>
        <w:t>Reed</w:t>
      </w:r>
      <w:r>
        <w:rPr>
          <w:rFonts w:hint="eastAsia" w:ascii="Times New Roman" w:hAnsi="Times New Roman"/>
          <w:color w:val="auto"/>
          <w:sz w:val="24"/>
          <w:szCs w:val="24"/>
        </w:rPr>
        <w:t>，</w:t>
      </w:r>
      <w:r>
        <w:rPr>
          <w:rFonts w:ascii="Times New Roman" w:hAnsi="Times New Roman"/>
          <w:color w:val="auto"/>
          <w:sz w:val="24"/>
          <w:szCs w:val="24"/>
        </w:rPr>
        <w:t>1989</w:t>
      </w:r>
      <w:r>
        <w:rPr>
          <w:rFonts w:hint="eastAsia" w:ascii="Times New Roman" w:hAnsi="Times New Roman"/>
          <w:color w:val="auto"/>
          <w:sz w:val="24"/>
          <w:szCs w:val="24"/>
        </w:rPr>
        <w:t>），</w:t>
      </w:r>
      <w:r>
        <w:rPr>
          <w:rFonts w:ascii="Times New Roman" w:hAnsi="Times New Roman"/>
          <w:color w:val="auto"/>
          <w:sz w:val="24"/>
          <w:szCs w:val="24"/>
        </w:rPr>
        <w:t>T</w:t>
      </w:r>
      <w:r>
        <w:rPr>
          <w:rFonts w:hint="eastAsia" w:ascii="Times New Roman" w:hAnsi="Times New Roman"/>
          <w:color w:val="auto"/>
          <w:sz w:val="24"/>
          <w:szCs w:val="24"/>
        </w:rPr>
        <w:t>为时间。</w:t>
      </w:r>
    </w:p>
    <w:p w14:paraId="1B6EF25B">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（3）溢油性质变化</w:t>
      </w:r>
    </w:p>
    <w:p w14:paraId="5B128F1D">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随着蒸发和乳化等变化过程的进行，残留在水体中的溢油性质也不断发生变化，主要表现为：</w:t>
      </w:r>
    </w:p>
    <w:p w14:paraId="5F9C15F1">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溢油体积的变化</w:t>
      </w:r>
    </w:p>
    <w:p w14:paraId="72B7AD57">
      <w:pPr>
        <w:adjustRightInd w:val="0"/>
        <w:snapToGrid w:val="0"/>
        <w:jc w:val="center"/>
        <w:rPr>
          <w:rFonts w:hAnsi="宋体"/>
          <w:color w:val="auto"/>
          <w:kern w:val="0"/>
        </w:rPr>
      </w:pPr>
      <w:r>
        <w:rPr>
          <w:rFonts w:hAnsi="宋体"/>
          <w:color w:val="auto"/>
          <w:kern w:val="0"/>
        </w:rPr>
        <w:drawing>
          <wp:inline distT="0" distB="0" distL="114300" distR="114300">
            <wp:extent cx="1704340" cy="247650"/>
            <wp:effectExtent l="0" t="0" r="10160" b="0"/>
            <wp:docPr id="213" name="图片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937"/>
                    <pic:cNvPicPr>
                      <a:picLocks noChangeAspect="1"/>
                    </pic:cNvPicPr>
                  </pic:nvPicPr>
                  <pic:blipFill>
                    <a:blip r:embed="rId204"/>
                    <a:stretch>
                      <a:fillRect/>
                    </a:stretch>
                  </pic:blipFill>
                  <pic:spPr>
                    <a:xfrm>
                      <a:off x="0" y="0"/>
                      <a:ext cx="1704340" cy="247650"/>
                    </a:xfrm>
                    <a:prstGeom prst="rect">
                      <a:avLst/>
                    </a:prstGeom>
                    <a:noFill/>
                    <a:ln>
                      <a:noFill/>
                    </a:ln>
                  </pic:spPr>
                </pic:pic>
              </a:graphicData>
            </a:graphic>
          </wp:inline>
        </w:drawing>
      </w:r>
    </w:p>
    <w:p w14:paraId="7FDB1DC7">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溢油密度变化</w:t>
      </w:r>
    </w:p>
    <w:p w14:paraId="5C10DFC8">
      <w:pPr>
        <w:adjustRightInd w:val="0"/>
        <w:snapToGrid w:val="0"/>
        <w:jc w:val="center"/>
        <w:rPr>
          <w:rFonts w:hAnsi="宋体"/>
          <w:color w:val="auto"/>
          <w:kern w:val="0"/>
        </w:rPr>
      </w:pPr>
      <w:r>
        <w:rPr>
          <w:rFonts w:hAnsi="宋体"/>
          <w:color w:val="auto"/>
          <w:kern w:val="0"/>
        </w:rPr>
        <w:drawing>
          <wp:inline distT="0" distB="0" distL="114300" distR="114300">
            <wp:extent cx="2615565" cy="254635"/>
            <wp:effectExtent l="0" t="0" r="13335" b="12065"/>
            <wp:docPr id="214" name="图片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933"/>
                    <pic:cNvPicPr>
                      <a:picLocks noChangeAspect="1"/>
                    </pic:cNvPicPr>
                  </pic:nvPicPr>
                  <pic:blipFill>
                    <a:blip r:embed="rId205"/>
                    <a:stretch>
                      <a:fillRect/>
                    </a:stretch>
                  </pic:blipFill>
                  <pic:spPr>
                    <a:xfrm>
                      <a:off x="0" y="0"/>
                      <a:ext cx="2615565" cy="254635"/>
                    </a:xfrm>
                    <a:prstGeom prst="rect">
                      <a:avLst/>
                    </a:prstGeom>
                    <a:noFill/>
                    <a:ln>
                      <a:noFill/>
                    </a:ln>
                  </pic:spPr>
                </pic:pic>
              </a:graphicData>
            </a:graphic>
          </wp:inline>
        </w:drawing>
      </w:r>
    </w:p>
    <w:p w14:paraId="473227A0">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式中，</w:t>
      </w:r>
      <w:r>
        <w:rPr>
          <w:rFonts w:ascii="Times New Roman" w:hAnsi="Times New Roman"/>
          <w:i/>
          <w:color w:val="auto"/>
          <w:sz w:val="24"/>
          <w:szCs w:val="24"/>
        </w:rPr>
        <w:t>ρ</w:t>
      </w:r>
      <w:r>
        <w:rPr>
          <w:rFonts w:ascii="Times New Roman" w:hAnsi="Times New Roman"/>
          <w:color w:val="auto"/>
          <w:sz w:val="24"/>
          <w:szCs w:val="24"/>
          <w:vertAlign w:val="subscript"/>
        </w:rPr>
        <w:t>0</w:t>
      </w:r>
      <w:r>
        <w:rPr>
          <w:rFonts w:hint="eastAsia" w:ascii="Times New Roman" w:hAnsi="Times New Roman"/>
          <w:color w:val="auto"/>
          <w:sz w:val="24"/>
          <w:szCs w:val="24"/>
        </w:rPr>
        <w:t>为乳化前油的初始密度，</w:t>
      </w:r>
      <w:r>
        <w:rPr>
          <w:rFonts w:ascii="Times New Roman" w:hAnsi="Times New Roman"/>
          <w:i/>
          <w:color w:val="auto"/>
          <w:sz w:val="24"/>
          <w:szCs w:val="24"/>
        </w:rPr>
        <w:t>ρ</w:t>
      </w:r>
      <w:r>
        <w:rPr>
          <w:rFonts w:ascii="Times New Roman" w:hAnsi="Times New Roman"/>
          <w:color w:val="auto"/>
          <w:sz w:val="24"/>
          <w:szCs w:val="24"/>
          <w:vertAlign w:val="subscript"/>
        </w:rPr>
        <w:t>w</w:t>
      </w:r>
      <w:r>
        <w:rPr>
          <w:rFonts w:hint="eastAsia" w:ascii="Times New Roman" w:hAnsi="Times New Roman"/>
          <w:color w:val="auto"/>
          <w:sz w:val="24"/>
          <w:szCs w:val="24"/>
        </w:rPr>
        <w:t>为水密度。</w:t>
      </w:r>
    </w:p>
    <w:p w14:paraId="3230B9D9">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（4）参数选取</w:t>
      </w:r>
    </w:p>
    <w:p w14:paraId="19BA85DB">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lang w:val="en-US" w:eastAsia="zh-CN"/>
        </w:rPr>
        <w:t>根据《水上溢油环境风险评估技术导则》（JT/T 1143-2017）附录表C6，5000吨级以下的散货船，燃油舱单仓燃油量小于61m</w:t>
      </w:r>
      <w:r>
        <w:rPr>
          <w:rFonts w:hint="eastAsia" w:ascii="Times New Roman" w:hAnsi="Times New Roman"/>
          <w:color w:val="auto"/>
          <w:sz w:val="24"/>
          <w:szCs w:val="24"/>
          <w:vertAlign w:val="superscript"/>
          <w:lang w:val="en-US" w:eastAsia="zh-CN"/>
        </w:rPr>
        <w:t>3</w:t>
      </w:r>
      <w:r>
        <w:rPr>
          <w:rFonts w:hint="eastAsia" w:ascii="Times New Roman" w:hAnsi="Times New Roman"/>
          <w:color w:val="auto"/>
          <w:sz w:val="24"/>
          <w:szCs w:val="24"/>
          <w:lang w:val="en-US" w:eastAsia="zh-CN"/>
        </w:rPr>
        <w:t>，柴油密度0.85g/cm</w:t>
      </w:r>
      <w:r>
        <w:rPr>
          <w:rFonts w:hint="eastAsia" w:ascii="Times New Roman" w:hAnsi="Times New Roman"/>
          <w:color w:val="auto"/>
          <w:sz w:val="24"/>
          <w:szCs w:val="24"/>
          <w:vertAlign w:val="superscript"/>
          <w:lang w:val="en-US" w:eastAsia="zh-CN"/>
        </w:rPr>
        <w:t>3</w:t>
      </w:r>
      <w:r>
        <w:rPr>
          <w:rFonts w:hint="eastAsia" w:ascii="Times New Roman" w:hAnsi="Times New Roman"/>
          <w:color w:val="auto"/>
          <w:sz w:val="24"/>
          <w:szCs w:val="24"/>
          <w:lang w:val="en-US" w:eastAsia="zh-CN"/>
        </w:rPr>
        <w:t>，考虑事故时燃油舱燃油完全泄漏，则事故溢油量为51.85t。</w:t>
      </w:r>
      <w:r>
        <w:rPr>
          <w:rFonts w:hint="eastAsia" w:ascii="Times New Roman" w:hAnsi="Times New Roman"/>
          <w:color w:val="auto"/>
          <w:sz w:val="24"/>
          <w:szCs w:val="24"/>
        </w:rPr>
        <w:t>根据溢油种类，确定模型输入参数，见表</w:t>
      </w:r>
      <w:r>
        <w:rPr>
          <w:rFonts w:ascii="Times New Roman" w:hAnsi="Times New Roman"/>
          <w:color w:val="auto"/>
          <w:sz w:val="24"/>
          <w:szCs w:val="24"/>
        </w:rPr>
        <w:t>5</w:t>
      </w:r>
      <w:r>
        <w:rPr>
          <w:rFonts w:hint="eastAsia" w:ascii="Times New Roman" w:hAnsi="Times New Roman"/>
          <w:color w:val="auto"/>
          <w:sz w:val="24"/>
          <w:szCs w:val="24"/>
        </w:rPr>
        <w:t>.3-3。</w:t>
      </w:r>
    </w:p>
    <w:p w14:paraId="318CADC4">
      <w:pPr>
        <w:spacing w:line="400" w:lineRule="exact"/>
        <w:jc w:val="center"/>
        <w:rPr>
          <w:rFonts w:eastAsia="黑体"/>
          <w:color w:val="auto"/>
          <w:sz w:val="24"/>
          <w:szCs w:val="24"/>
        </w:rPr>
      </w:pPr>
      <w:r>
        <w:rPr>
          <w:rFonts w:eastAsia="黑体"/>
          <w:color w:val="auto"/>
          <w:sz w:val="24"/>
          <w:szCs w:val="24"/>
        </w:rPr>
        <w:t>表5.</w:t>
      </w:r>
      <w:r>
        <w:rPr>
          <w:rFonts w:hint="eastAsia" w:eastAsia="黑体"/>
          <w:color w:val="auto"/>
          <w:sz w:val="24"/>
          <w:szCs w:val="24"/>
        </w:rPr>
        <w:t>3-3</w:t>
      </w:r>
      <w:r>
        <w:rPr>
          <w:rFonts w:eastAsia="黑体"/>
          <w:color w:val="auto"/>
          <w:sz w:val="24"/>
          <w:szCs w:val="24"/>
        </w:rPr>
        <w:t xml:space="preserve"> 溢油模型参数</w:t>
      </w:r>
    </w:p>
    <w:tbl>
      <w:tblPr>
        <w:tblStyle w:val="53"/>
        <w:tblW w:w="0" w:type="auto"/>
        <w:jc w:val="center"/>
        <w:tblBorders>
          <w:top w:val="single" w:color="000000" w:sz="12" w:space="0"/>
          <w:left w:val="none" w:color="auto" w:sz="0" w:space="0"/>
          <w:bottom w:val="single" w:color="000000"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039"/>
        <w:gridCol w:w="2626"/>
        <w:gridCol w:w="2074"/>
        <w:gridCol w:w="2271"/>
      </w:tblGrid>
      <w:tr w14:paraId="5467F31F">
        <w:tblPrEx>
          <w:tblBorders>
            <w:top w:val="single" w:color="000000" w:sz="12" w:space="0"/>
            <w:left w:val="none" w:color="auto" w:sz="0" w:space="0"/>
            <w:bottom w:val="single" w:color="000000"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2039" w:type="dxa"/>
            <w:noWrap w:val="0"/>
            <w:vAlign w:val="center"/>
          </w:tcPr>
          <w:p w14:paraId="1819F4E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rPr>
            </w:pPr>
            <w:r>
              <w:rPr>
                <w:rFonts w:hint="eastAsia" w:ascii="Times New Roman" w:hAnsi="Times New Roman" w:cs="Times New Roman"/>
                <w:b/>
                <w:bCs/>
                <w:color w:val="auto"/>
              </w:rPr>
              <w:t>溢油量</w:t>
            </w:r>
          </w:p>
        </w:tc>
        <w:tc>
          <w:tcPr>
            <w:tcW w:w="2626" w:type="dxa"/>
            <w:tcBorders>
              <w:right w:val="single" w:color="auto" w:sz="4" w:space="0"/>
            </w:tcBorders>
            <w:noWrap w:val="0"/>
            <w:vAlign w:val="center"/>
          </w:tcPr>
          <w:p w14:paraId="3A01C40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rPr>
            </w:pPr>
            <w:r>
              <w:rPr>
                <w:rFonts w:hint="eastAsia" w:ascii="Times New Roman" w:hAnsi="Times New Roman" w:cs="Times New Roman"/>
                <w:b/>
                <w:bCs/>
                <w:color w:val="auto"/>
              </w:rPr>
              <w:t>51.85t（柴油）</w:t>
            </w:r>
          </w:p>
        </w:tc>
        <w:tc>
          <w:tcPr>
            <w:tcW w:w="2074" w:type="dxa"/>
            <w:tcBorders>
              <w:left w:val="single" w:color="auto" w:sz="4" w:space="0"/>
            </w:tcBorders>
            <w:noWrap w:val="0"/>
            <w:vAlign w:val="center"/>
          </w:tcPr>
          <w:p w14:paraId="2AC1038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rPr>
            </w:pPr>
            <w:r>
              <w:rPr>
                <w:rFonts w:hint="eastAsia" w:ascii="Times New Roman" w:hAnsi="Times New Roman" w:cs="Times New Roman"/>
                <w:b/>
                <w:bCs/>
                <w:color w:val="auto"/>
              </w:rPr>
              <w:t>粒子数</w:t>
            </w:r>
          </w:p>
        </w:tc>
        <w:tc>
          <w:tcPr>
            <w:tcW w:w="2271" w:type="dxa"/>
            <w:noWrap w:val="0"/>
            <w:vAlign w:val="center"/>
          </w:tcPr>
          <w:p w14:paraId="7163E7C1">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bCs/>
                <w:color w:val="auto"/>
              </w:rPr>
            </w:pPr>
            <w:r>
              <w:rPr>
                <w:rFonts w:hint="eastAsia" w:ascii="Times New Roman" w:hAnsi="Times New Roman" w:cs="Times New Roman"/>
                <w:b/>
                <w:bCs/>
                <w:color w:val="auto"/>
              </w:rPr>
              <w:t>3</w:t>
            </w:r>
            <w:r>
              <w:rPr>
                <w:rFonts w:hint="default" w:ascii="Times New Roman" w:hAnsi="Times New Roman" w:cs="Times New Roman"/>
                <w:b/>
                <w:bCs/>
                <w:color w:val="auto"/>
              </w:rPr>
              <w:t>0000</w:t>
            </w:r>
          </w:p>
        </w:tc>
      </w:tr>
      <w:tr w14:paraId="01F0E55B">
        <w:tblPrEx>
          <w:tblBorders>
            <w:top w:val="single" w:color="000000" w:sz="12" w:space="0"/>
            <w:left w:val="none" w:color="auto" w:sz="0" w:space="0"/>
            <w:bottom w:val="single" w:color="000000"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2039" w:type="dxa"/>
            <w:noWrap w:val="0"/>
            <w:vAlign w:val="center"/>
          </w:tcPr>
          <w:p w14:paraId="01F88A4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宋体" w:hAnsi="Calibri" w:cs="宋体"/>
                <w:color w:val="auto"/>
                <w:kern w:val="0"/>
              </w:rPr>
              <w:t>油的运动粘度</w:t>
            </w:r>
          </w:p>
        </w:tc>
        <w:tc>
          <w:tcPr>
            <w:tcW w:w="2626" w:type="dxa"/>
            <w:tcBorders>
              <w:right w:val="single" w:color="auto" w:sz="4" w:space="0"/>
            </w:tcBorders>
            <w:noWrap w:val="0"/>
            <w:vAlign w:val="center"/>
          </w:tcPr>
          <w:p w14:paraId="4F03625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10cSt</w:t>
            </w:r>
            <w:r>
              <w:rPr>
                <w:rFonts w:hint="eastAsia" w:ascii="Times New Roman" w:hAnsi="Times New Roman" w:cs="Times New Roman"/>
                <w:color w:val="auto"/>
              </w:rPr>
              <w:t>（柴油）</w:t>
            </w:r>
          </w:p>
        </w:tc>
        <w:tc>
          <w:tcPr>
            <w:tcW w:w="2074" w:type="dxa"/>
            <w:tcBorders>
              <w:left w:val="single" w:color="auto" w:sz="4" w:space="0"/>
            </w:tcBorders>
            <w:noWrap w:val="0"/>
            <w:vAlign w:val="center"/>
          </w:tcPr>
          <w:p w14:paraId="565B928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宋体" w:hAnsi="Calibri" w:cs="宋体"/>
                <w:color w:val="auto"/>
                <w:kern w:val="0"/>
              </w:rPr>
              <w:t>比重</w:t>
            </w:r>
          </w:p>
        </w:tc>
        <w:tc>
          <w:tcPr>
            <w:tcW w:w="2271" w:type="dxa"/>
            <w:noWrap w:val="0"/>
            <w:vAlign w:val="center"/>
          </w:tcPr>
          <w:p w14:paraId="33F098C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0.85</w:t>
            </w:r>
            <w:r>
              <w:rPr>
                <w:rFonts w:hint="eastAsia" w:ascii="Times New Roman" w:hAnsi="Times New Roman" w:cs="Times New Roman"/>
                <w:color w:val="auto"/>
              </w:rPr>
              <w:t>×</w:t>
            </w:r>
            <w:r>
              <w:rPr>
                <w:rFonts w:hint="default" w:ascii="Times New Roman" w:hAnsi="Times New Roman" w:cs="Times New Roman"/>
                <w:color w:val="auto"/>
              </w:rPr>
              <w:t>10</w:t>
            </w:r>
            <w:r>
              <w:rPr>
                <w:rFonts w:hint="default" w:ascii="Times New Roman" w:hAnsi="Times New Roman" w:cs="Times New Roman"/>
                <w:color w:val="auto"/>
                <w:vertAlign w:val="superscript"/>
              </w:rPr>
              <w:t>3</w:t>
            </w:r>
            <w:r>
              <w:rPr>
                <w:rFonts w:hint="default" w:ascii="Times New Roman" w:hAnsi="Times New Roman" w:cs="Times New Roman"/>
                <w:color w:val="auto"/>
              </w:rPr>
              <w:t>kg/m</w:t>
            </w:r>
            <w:r>
              <w:rPr>
                <w:rFonts w:hint="default" w:ascii="Times New Roman" w:hAnsi="Times New Roman" w:cs="Times New Roman"/>
                <w:color w:val="auto"/>
                <w:vertAlign w:val="superscript"/>
              </w:rPr>
              <w:t>3</w:t>
            </w:r>
            <w:r>
              <w:rPr>
                <w:rFonts w:hint="eastAsia" w:ascii="Times New Roman" w:hAnsi="Times New Roman" w:cs="Times New Roman"/>
                <w:color w:val="auto"/>
              </w:rPr>
              <w:t>（柴油）</w:t>
            </w:r>
          </w:p>
        </w:tc>
      </w:tr>
      <w:tr w14:paraId="51A55972">
        <w:tblPrEx>
          <w:tblBorders>
            <w:top w:val="single" w:color="000000" w:sz="12" w:space="0"/>
            <w:left w:val="none" w:color="auto" w:sz="0" w:space="0"/>
            <w:bottom w:val="single" w:color="000000"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2039" w:type="dxa"/>
            <w:noWrap w:val="0"/>
            <w:vAlign w:val="center"/>
          </w:tcPr>
          <w:p w14:paraId="3535D17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宋体" w:hAnsi="Calibri" w:cs="宋体"/>
                <w:color w:val="auto"/>
                <w:kern w:val="0"/>
              </w:rPr>
              <w:t>时间步长</w:t>
            </w:r>
          </w:p>
        </w:tc>
        <w:tc>
          <w:tcPr>
            <w:tcW w:w="2626" w:type="dxa"/>
            <w:tcBorders>
              <w:right w:val="single" w:color="auto" w:sz="4" w:space="0"/>
            </w:tcBorders>
            <w:noWrap w:val="0"/>
            <w:vAlign w:val="center"/>
          </w:tcPr>
          <w:p w14:paraId="2A0ED250">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1min</w:t>
            </w:r>
          </w:p>
        </w:tc>
        <w:tc>
          <w:tcPr>
            <w:tcW w:w="2074" w:type="dxa"/>
            <w:tcBorders>
              <w:left w:val="single" w:color="auto" w:sz="4" w:space="0"/>
            </w:tcBorders>
            <w:noWrap w:val="0"/>
            <w:vAlign w:val="center"/>
          </w:tcPr>
          <w:p w14:paraId="325F66D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宋体" w:hAnsi="Calibri" w:cs="宋体"/>
                <w:color w:val="auto"/>
                <w:kern w:val="0"/>
              </w:rPr>
              <w:t>水运动粘性系数</w:t>
            </w:r>
          </w:p>
        </w:tc>
        <w:tc>
          <w:tcPr>
            <w:tcW w:w="2271" w:type="dxa"/>
            <w:noWrap w:val="0"/>
            <w:vAlign w:val="center"/>
          </w:tcPr>
          <w:p w14:paraId="00093EF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1.31</w:t>
            </w:r>
            <w:r>
              <w:rPr>
                <w:rFonts w:hint="eastAsia" w:ascii="Times New Roman" w:hAnsi="Times New Roman" w:cs="Times New Roman"/>
                <w:color w:val="auto"/>
              </w:rPr>
              <w:t>×</w:t>
            </w:r>
            <w:r>
              <w:rPr>
                <w:rFonts w:hint="default" w:ascii="Times New Roman" w:hAnsi="Times New Roman" w:cs="Times New Roman"/>
                <w:color w:val="auto"/>
              </w:rPr>
              <w:t>10</w:t>
            </w:r>
            <w:r>
              <w:rPr>
                <w:rFonts w:hint="default" w:ascii="Times New Roman" w:hAnsi="Times New Roman" w:cs="Times New Roman"/>
                <w:color w:val="auto"/>
                <w:vertAlign w:val="superscript"/>
              </w:rPr>
              <w:t>-6</w:t>
            </w:r>
            <w:r>
              <w:rPr>
                <w:rFonts w:hint="default" w:ascii="Times New Roman" w:hAnsi="Times New Roman" w:cs="Times New Roman"/>
                <w:color w:val="auto"/>
              </w:rPr>
              <w:t>m</w:t>
            </w:r>
            <w:r>
              <w:rPr>
                <w:rFonts w:hint="default" w:ascii="Times New Roman" w:hAnsi="Times New Roman" w:cs="Times New Roman"/>
                <w:color w:val="auto"/>
                <w:vertAlign w:val="superscript"/>
              </w:rPr>
              <w:t>2</w:t>
            </w:r>
            <w:r>
              <w:rPr>
                <w:rFonts w:hint="default" w:ascii="Times New Roman" w:hAnsi="Times New Roman" w:cs="Times New Roman"/>
                <w:color w:val="auto"/>
              </w:rPr>
              <w:t>/sec</w:t>
            </w:r>
          </w:p>
        </w:tc>
      </w:tr>
      <w:tr w14:paraId="255B2A63">
        <w:tblPrEx>
          <w:tblBorders>
            <w:top w:val="single" w:color="000000" w:sz="12" w:space="0"/>
            <w:left w:val="none" w:color="auto" w:sz="0" w:space="0"/>
            <w:bottom w:val="single" w:color="000000"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2039" w:type="dxa"/>
            <w:noWrap w:val="0"/>
            <w:vAlign w:val="center"/>
          </w:tcPr>
          <w:p w14:paraId="140111B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宋体" w:hAnsi="Calibri" w:cs="宋体"/>
                <w:color w:val="auto"/>
                <w:kern w:val="0"/>
              </w:rPr>
              <w:t>乳化系数</w:t>
            </w:r>
          </w:p>
        </w:tc>
        <w:tc>
          <w:tcPr>
            <w:tcW w:w="2626" w:type="dxa"/>
            <w:tcBorders>
              <w:right w:val="single" w:color="auto" w:sz="4" w:space="0"/>
            </w:tcBorders>
            <w:noWrap w:val="0"/>
            <w:vAlign w:val="center"/>
          </w:tcPr>
          <w:p w14:paraId="3EEDC892">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2.1</w:t>
            </w:r>
            <w:r>
              <w:rPr>
                <w:rFonts w:hint="eastAsia" w:ascii="Times New Roman" w:hAnsi="Times New Roman" w:cs="Times New Roman"/>
                <w:color w:val="auto"/>
              </w:rPr>
              <w:t>×</w:t>
            </w:r>
            <w:r>
              <w:rPr>
                <w:rFonts w:hint="default" w:ascii="Times New Roman" w:hAnsi="Times New Roman" w:cs="Times New Roman"/>
                <w:color w:val="auto"/>
              </w:rPr>
              <w:t>10</w:t>
            </w:r>
            <w:r>
              <w:rPr>
                <w:rFonts w:hint="default" w:ascii="Times New Roman" w:hAnsi="Times New Roman" w:cs="Times New Roman"/>
                <w:color w:val="auto"/>
                <w:vertAlign w:val="superscript"/>
              </w:rPr>
              <w:t>-6</w:t>
            </w:r>
            <w:r>
              <w:rPr>
                <w:rFonts w:hint="default" w:ascii="Times New Roman" w:hAnsi="Times New Roman" w:cs="Times New Roman"/>
                <w:color w:val="auto"/>
              </w:rPr>
              <w:t>sec</w:t>
            </w:r>
            <w:r>
              <w:rPr>
                <w:rFonts w:hint="default" w:ascii="Times New Roman" w:hAnsi="Times New Roman" w:cs="Times New Roman"/>
                <w:color w:val="auto"/>
                <w:vertAlign w:val="superscript"/>
              </w:rPr>
              <w:t>-1</w:t>
            </w:r>
          </w:p>
        </w:tc>
        <w:tc>
          <w:tcPr>
            <w:tcW w:w="2074" w:type="dxa"/>
            <w:tcBorders>
              <w:left w:val="single" w:color="auto" w:sz="4" w:space="0"/>
            </w:tcBorders>
            <w:noWrap w:val="0"/>
            <w:vAlign w:val="center"/>
          </w:tcPr>
          <w:p w14:paraId="3C748AF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宋体" w:hAnsi="Calibri" w:cs="宋体"/>
                <w:color w:val="auto"/>
                <w:kern w:val="0"/>
              </w:rPr>
              <w:t>风向</w:t>
            </w:r>
          </w:p>
        </w:tc>
        <w:tc>
          <w:tcPr>
            <w:tcW w:w="2271" w:type="dxa"/>
            <w:noWrap w:val="0"/>
            <w:vAlign w:val="center"/>
          </w:tcPr>
          <w:p w14:paraId="41FF2E96">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不利风向</w:t>
            </w:r>
            <w:r>
              <w:rPr>
                <w:rFonts w:hint="default" w:ascii="Times New Roman" w:hAnsi="Times New Roman" w:cs="Times New Roman"/>
                <w:color w:val="auto"/>
              </w:rPr>
              <w:t>S</w:t>
            </w:r>
          </w:p>
        </w:tc>
      </w:tr>
      <w:tr w14:paraId="39BBFB16">
        <w:tblPrEx>
          <w:tblBorders>
            <w:top w:val="single" w:color="000000" w:sz="12" w:space="0"/>
            <w:left w:val="none" w:color="auto" w:sz="0" w:space="0"/>
            <w:bottom w:val="single" w:color="000000"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7" w:hRule="atLeast"/>
          <w:jc w:val="center"/>
        </w:trPr>
        <w:tc>
          <w:tcPr>
            <w:tcW w:w="2039" w:type="dxa"/>
            <w:noWrap w:val="0"/>
            <w:vAlign w:val="center"/>
          </w:tcPr>
          <w:p w14:paraId="5FB48EBE">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宋体" w:hAnsi="Calibri" w:cs="宋体"/>
                <w:color w:val="auto"/>
                <w:kern w:val="0"/>
              </w:rPr>
              <w:t>蒸发系数</w:t>
            </w:r>
          </w:p>
        </w:tc>
        <w:tc>
          <w:tcPr>
            <w:tcW w:w="2626" w:type="dxa"/>
            <w:tcBorders>
              <w:right w:val="single" w:color="auto" w:sz="4" w:space="0"/>
            </w:tcBorders>
            <w:noWrap w:val="0"/>
            <w:vAlign w:val="center"/>
          </w:tcPr>
          <w:p w14:paraId="622244F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0.01day-1（柴油）</w:t>
            </w:r>
          </w:p>
        </w:tc>
        <w:tc>
          <w:tcPr>
            <w:tcW w:w="2074" w:type="dxa"/>
            <w:tcBorders>
              <w:left w:val="single" w:color="auto" w:sz="4" w:space="0"/>
            </w:tcBorders>
            <w:noWrap w:val="0"/>
            <w:vAlign w:val="center"/>
          </w:tcPr>
          <w:p w14:paraId="46D0F0CD">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宋体" w:hAnsi="Calibri" w:cs="宋体"/>
                <w:color w:val="auto"/>
                <w:kern w:val="0"/>
              </w:rPr>
              <w:t>风速</w:t>
            </w:r>
          </w:p>
        </w:tc>
        <w:tc>
          <w:tcPr>
            <w:tcW w:w="2271" w:type="dxa"/>
            <w:noWrap w:val="0"/>
            <w:vAlign w:val="center"/>
          </w:tcPr>
          <w:p w14:paraId="1F19F599">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年均风速</w:t>
            </w:r>
            <w:r>
              <w:rPr>
                <w:rFonts w:hint="default" w:ascii="Times New Roman" w:hAnsi="Times New Roman" w:cs="Times New Roman"/>
                <w:color w:val="auto"/>
              </w:rPr>
              <w:t>2.6m/s</w:t>
            </w:r>
          </w:p>
        </w:tc>
      </w:tr>
    </w:tbl>
    <w:p w14:paraId="5712288A">
      <w:pPr>
        <w:pStyle w:val="4"/>
        <w:numPr>
          <w:ilvl w:val="0"/>
          <w:numId w:val="0"/>
        </w:numPr>
        <w:rPr>
          <w:color w:val="auto"/>
        </w:rPr>
      </w:pPr>
      <w:r>
        <w:rPr>
          <w:rFonts w:hint="eastAsia"/>
          <w:color w:val="auto"/>
        </w:rPr>
        <w:t>5.3.6船舶</w:t>
      </w:r>
      <w:r>
        <w:rPr>
          <w:color w:val="auto"/>
        </w:rPr>
        <w:t>溢油事故分析</w:t>
      </w:r>
    </w:p>
    <w:p w14:paraId="2A632339">
      <w:pPr>
        <w:pStyle w:val="5"/>
        <w:numPr>
          <w:ilvl w:val="0"/>
          <w:numId w:val="0"/>
        </w:numPr>
        <w:rPr>
          <w:color w:val="auto"/>
        </w:rPr>
      </w:pPr>
      <w:r>
        <w:rPr>
          <w:rFonts w:hint="eastAsia"/>
          <w:color w:val="auto"/>
        </w:rPr>
        <w:t>5.3.6.1</w:t>
      </w:r>
      <w:r>
        <w:rPr>
          <w:color w:val="auto"/>
        </w:rPr>
        <w:t>油粒子数确定</w:t>
      </w:r>
    </w:p>
    <w:p w14:paraId="2E48E6FB">
      <w:pPr>
        <w:adjustRightInd w:val="0"/>
        <w:snapToGrid w:val="0"/>
        <w:spacing w:line="360" w:lineRule="auto"/>
        <w:ind w:firstLine="480" w:firstLineChars="200"/>
        <w:rPr>
          <w:color w:val="auto"/>
          <w:kern w:val="0"/>
          <w:sz w:val="24"/>
          <w:szCs w:val="24"/>
        </w:rPr>
      </w:pPr>
      <w:r>
        <w:rPr>
          <w:color w:val="auto"/>
          <w:kern w:val="0"/>
          <w:sz w:val="24"/>
          <w:szCs w:val="24"/>
        </w:rPr>
        <w:t>模拟的精度一般采用最小浓度（厚度）来表示，该浓度（厚度）由单个粒子在一个计算网格单元表征。最小浓度（厚度）为单个粒子的质量除以其所处的网格的体积，其计算式表示如下：</w:t>
      </w:r>
    </w:p>
    <w:p w14:paraId="23FE115F">
      <w:pPr>
        <w:pStyle w:val="17"/>
        <w:adjustRightInd w:val="0"/>
        <w:snapToGrid w:val="0"/>
        <w:spacing w:after="0" w:line="360" w:lineRule="auto"/>
        <w:ind w:left="0" w:leftChars="0"/>
        <w:jc w:val="center"/>
        <w:rPr>
          <w:color w:val="auto"/>
          <w:sz w:val="24"/>
          <w:szCs w:val="24"/>
        </w:rPr>
      </w:pPr>
      <w:r>
        <w:rPr>
          <w:color w:val="auto"/>
          <w:sz w:val="24"/>
          <w:szCs w:val="24"/>
        </w:rPr>
        <w:drawing>
          <wp:inline distT="0" distB="0" distL="114300" distR="114300">
            <wp:extent cx="2618740" cy="449580"/>
            <wp:effectExtent l="0" t="0" r="10160" b="7620"/>
            <wp:docPr id="215" name="图片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999"/>
                    <pic:cNvPicPr>
                      <a:picLocks noChangeAspect="1"/>
                    </pic:cNvPicPr>
                  </pic:nvPicPr>
                  <pic:blipFill>
                    <a:blip r:embed="rId206"/>
                    <a:stretch>
                      <a:fillRect/>
                    </a:stretch>
                  </pic:blipFill>
                  <pic:spPr>
                    <a:xfrm>
                      <a:off x="0" y="0"/>
                      <a:ext cx="2618740" cy="449580"/>
                    </a:xfrm>
                    <a:prstGeom prst="rect">
                      <a:avLst/>
                    </a:prstGeom>
                    <a:noFill/>
                    <a:ln>
                      <a:noFill/>
                    </a:ln>
                  </pic:spPr>
                </pic:pic>
              </a:graphicData>
            </a:graphic>
          </wp:inline>
        </w:drawing>
      </w:r>
    </w:p>
    <w:p w14:paraId="7701CF7B">
      <w:pPr>
        <w:spacing w:line="360" w:lineRule="auto"/>
        <w:ind w:firstLine="480" w:firstLineChars="200"/>
        <w:rPr>
          <w:iCs/>
          <w:color w:val="auto"/>
          <w:kern w:val="0"/>
          <w:sz w:val="24"/>
          <w:szCs w:val="24"/>
        </w:rPr>
      </w:pPr>
      <w:r>
        <w:rPr>
          <w:color w:val="auto"/>
          <w:kern w:val="0"/>
          <w:sz w:val="24"/>
          <w:szCs w:val="24"/>
        </w:rPr>
        <w:t>式中，C</w:t>
      </w:r>
      <w:r>
        <w:rPr>
          <w:color w:val="auto"/>
          <w:kern w:val="0"/>
          <w:sz w:val="24"/>
          <w:szCs w:val="24"/>
          <w:vertAlign w:val="subscript"/>
        </w:rPr>
        <w:t>min</w:t>
      </w:r>
      <w:r>
        <w:rPr>
          <w:color w:val="auto"/>
          <w:kern w:val="0"/>
          <w:sz w:val="24"/>
          <w:szCs w:val="24"/>
        </w:rPr>
        <w:t>为最小浓度（厚度）；</w:t>
      </w:r>
      <w:r>
        <w:rPr>
          <w:i/>
          <w:iCs/>
          <w:color w:val="auto"/>
          <w:kern w:val="0"/>
          <w:sz w:val="24"/>
          <w:szCs w:val="24"/>
        </w:rPr>
        <w:t>m</w:t>
      </w:r>
      <w:r>
        <w:rPr>
          <w:i/>
          <w:iCs/>
          <w:color w:val="auto"/>
          <w:kern w:val="0"/>
          <w:sz w:val="24"/>
          <w:szCs w:val="24"/>
          <w:vertAlign w:val="subscript"/>
        </w:rPr>
        <w:t>particle</w:t>
      </w:r>
      <w:r>
        <w:rPr>
          <w:color w:val="auto"/>
          <w:kern w:val="0"/>
          <w:sz w:val="24"/>
          <w:szCs w:val="24"/>
        </w:rPr>
        <w:t>为单个油粒子的质量；</w:t>
      </w:r>
      <w:r>
        <w:rPr>
          <w:i/>
          <w:iCs/>
          <w:color w:val="auto"/>
          <w:kern w:val="0"/>
          <w:sz w:val="24"/>
          <w:szCs w:val="24"/>
        </w:rPr>
        <w:t>A</w:t>
      </w:r>
      <w:r>
        <w:rPr>
          <w:i/>
          <w:iCs/>
          <w:color w:val="auto"/>
          <w:kern w:val="0"/>
          <w:sz w:val="24"/>
          <w:szCs w:val="24"/>
          <w:vertAlign w:val="subscript"/>
        </w:rPr>
        <w:t>cell</w:t>
      </w:r>
      <w:r>
        <w:rPr>
          <w:color w:val="auto"/>
          <w:kern w:val="0"/>
          <w:sz w:val="24"/>
          <w:szCs w:val="24"/>
        </w:rPr>
        <w:t>为网格单元的面积；h</w:t>
      </w:r>
      <w:r>
        <w:rPr>
          <w:i/>
          <w:iCs/>
          <w:color w:val="auto"/>
          <w:kern w:val="0"/>
          <w:sz w:val="24"/>
          <w:szCs w:val="24"/>
          <w:vertAlign w:val="subscript"/>
        </w:rPr>
        <w:t>layer</w:t>
      </w:r>
      <w:r>
        <w:rPr>
          <w:iCs/>
          <w:color w:val="auto"/>
          <w:kern w:val="0"/>
          <w:sz w:val="24"/>
          <w:szCs w:val="24"/>
        </w:rPr>
        <w:t>为水深。</w:t>
      </w:r>
    </w:p>
    <w:p w14:paraId="003745B9">
      <w:pPr>
        <w:pStyle w:val="5"/>
        <w:numPr>
          <w:ilvl w:val="0"/>
          <w:numId w:val="0"/>
        </w:numPr>
        <w:rPr>
          <w:color w:val="auto"/>
        </w:rPr>
      </w:pPr>
      <w:r>
        <w:rPr>
          <w:rFonts w:hint="eastAsia"/>
          <w:color w:val="auto"/>
        </w:rPr>
        <w:t>5.3.6.2</w:t>
      </w:r>
      <w:r>
        <w:rPr>
          <w:color w:val="auto"/>
        </w:rPr>
        <w:t>预测情景</w:t>
      </w:r>
    </w:p>
    <w:p w14:paraId="29D3AD07">
      <w:pPr>
        <w:adjustRightInd w:val="0"/>
        <w:snapToGrid w:val="0"/>
        <w:spacing w:line="360" w:lineRule="auto"/>
        <w:ind w:firstLine="480" w:firstLineChars="200"/>
        <w:rPr>
          <w:color w:val="auto"/>
          <w:kern w:val="0"/>
          <w:sz w:val="24"/>
          <w:szCs w:val="24"/>
        </w:rPr>
      </w:pPr>
      <w:r>
        <w:rPr>
          <w:rFonts w:hint="eastAsia" w:ascii="宋体" w:hAnsi="宋体" w:cs="宋体"/>
          <w:color w:val="auto"/>
          <w:kern w:val="0"/>
          <w:sz w:val="24"/>
          <w:szCs w:val="24"/>
        </w:rPr>
        <w:t>（</w:t>
      </w:r>
      <w:r>
        <w:rPr>
          <w:color w:val="auto"/>
          <w:kern w:val="0"/>
          <w:sz w:val="24"/>
          <w:szCs w:val="24"/>
        </w:rPr>
        <w:t>1</w:t>
      </w:r>
      <w:r>
        <w:rPr>
          <w:rFonts w:hint="eastAsia" w:ascii="宋体" w:hAnsi="宋体" w:cs="宋体"/>
          <w:color w:val="auto"/>
          <w:kern w:val="0"/>
          <w:sz w:val="24"/>
          <w:szCs w:val="24"/>
        </w:rPr>
        <w:t>）</w:t>
      </w:r>
      <w:r>
        <w:rPr>
          <w:color w:val="auto"/>
          <w:kern w:val="0"/>
          <w:sz w:val="24"/>
          <w:szCs w:val="24"/>
        </w:rPr>
        <w:t>预测点选取</w:t>
      </w:r>
    </w:p>
    <w:p w14:paraId="2F98A0DF">
      <w:pPr>
        <w:adjustRightInd w:val="0"/>
        <w:snapToGrid w:val="0"/>
        <w:spacing w:line="360" w:lineRule="auto"/>
        <w:ind w:firstLine="480" w:firstLineChars="200"/>
        <w:rPr>
          <w:color w:val="auto"/>
          <w:kern w:val="0"/>
          <w:sz w:val="24"/>
          <w:szCs w:val="24"/>
        </w:rPr>
      </w:pPr>
      <w:r>
        <w:rPr>
          <w:rFonts w:hint="eastAsia"/>
          <w:color w:val="auto"/>
          <w:kern w:val="0"/>
          <w:sz w:val="24"/>
          <w:szCs w:val="24"/>
        </w:rPr>
        <w:t>运营</w:t>
      </w:r>
      <w:r>
        <w:rPr>
          <w:color w:val="auto"/>
          <w:kern w:val="0"/>
          <w:sz w:val="24"/>
          <w:szCs w:val="24"/>
        </w:rPr>
        <w:t>期运输船舶</w:t>
      </w:r>
      <w:r>
        <w:rPr>
          <w:rFonts w:hint="eastAsia"/>
          <w:color w:val="auto"/>
          <w:kern w:val="0"/>
          <w:sz w:val="24"/>
          <w:szCs w:val="24"/>
        </w:rPr>
        <w:t>燃料</w:t>
      </w:r>
      <w:r>
        <w:rPr>
          <w:color w:val="auto"/>
          <w:kern w:val="0"/>
          <w:sz w:val="24"/>
          <w:szCs w:val="24"/>
        </w:rPr>
        <w:t>油泄漏具有很大不确定性，不同的泄漏位置对上、下游敏感点的影响时间和程度不一样，本评价</w:t>
      </w:r>
      <w:r>
        <w:rPr>
          <w:color w:val="auto"/>
          <w:sz w:val="24"/>
          <w:szCs w:val="24"/>
        </w:rPr>
        <w:t>考虑</w:t>
      </w:r>
      <w:r>
        <w:rPr>
          <w:rFonts w:hint="eastAsia"/>
          <w:color w:val="auto"/>
          <w:sz w:val="24"/>
          <w:szCs w:val="24"/>
        </w:rPr>
        <w:t>运营</w:t>
      </w:r>
      <w:r>
        <w:rPr>
          <w:color w:val="auto"/>
          <w:sz w:val="24"/>
          <w:szCs w:val="24"/>
        </w:rPr>
        <w:t>期溢油风险特征，以及环境敏感点，将溢油发生点设定于</w:t>
      </w:r>
      <w:r>
        <w:rPr>
          <w:rFonts w:hint="eastAsia"/>
          <w:color w:val="auto"/>
          <w:sz w:val="24"/>
          <w:szCs w:val="24"/>
        </w:rPr>
        <w:t>码头</w:t>
      </w:r>
      <w:r>
        <w:rPr>
          <w:color w:val="auto"/>
          <w:sz w:val="24"/>
          <w:szCs w:val="24"/>
        </w:rPr>
        <w:t>处，距离下游</w:t>
      </w:r>
      <w:r>
        <w:rPr>
          <w:rFonts w:hint="eastAsia"/>
          <w:color w:val="auto"/>
          <w:sz w:val="24"/>
        </w:rPr>
        <w:t>淮南第四自来水厂</w:t>
      </w:r>
      <w:r>
        <w:rPr>
          <w:color w:val="auto"/>
          <w:sz w:val="24"/>
          <w:szCs w:val="24"/>
        </w:rPr>
        <w:t>取水口最近距离约为</w:t>
      </w:r>
      <w:r>
        <w:rPr>
          <w:rFonts w:hint="eastAsia"/>
          <w:color w:val="auto"/>
          <w:sz w:val="24"/>
          <w:szCs w:val="24"/>
        </w:rPr>
        <w:t>5.5</w:t>
      </w:r>
      <w:r>
        <w:rPr>
          <w:color w:val="auto"/>
          <w:sz w:val="24"/>
          <w:szCs w:val="24"/>
        </w:rPr>
        <w:t>km</w:t>
      </w:r>
      <w:r>
        <w:rPr>
          <w:rFonts w:hint="eastAsia"/>
          <w:color w:val="auto"/>
          <w:sz w:val="24"/>
          <w:szCs w:val="24"/>
          <w:lang w:eastAsia="zh-CN"/>
        </w:rPr>
        <w:t>，</w:t>
      </w:r>
      <w:r>
        <w:rPr>
          <w:rFonts w:hint="eastAsia"/>
          <w:color w:val="auto"/>
          <w:sz w:val="24"/>
          <w:szCs w:val="24"/>
          <w:lang w:val="en-US" w:eastAsia="zh-CN"/>
        </w:rPr>
        <w:t>距其二级保护区约3.5km，一级保护区约4.5km</w:t>
      </w:r>
      <w:r>
        <w:rPr>
          <w:color w:val="auto"/>
          <w:sz w:val="24"/>
          <w:szCs w:val="24"/>
        </w:rPr>
        <w:t>。</w:t>
      </w:r>
    </w:p>
    <w:p w14:paraId="22066A22">
      <w:pPr>
        <w:adjustRightInd w:val="0"/>
        <w:snapToGrid w:val="0"/>
        <w:spacing w:line="360" w:lineRule="auto"/>
        <w:ind w:firstLine="480" w:firstLineChars="200"/>
        <w:rPr>
          <w:color w:val="auto"/>
          <w:kern w:val="0"/>
          <w:sz w:val="24"/>
          <w:szCs w:val="24"/>
        </w:rPr>
      </w:pPr>
      <w:r>
        <w:rPr>
          <w:rFonts w:hint="eastAsia" w:ascii="宋体" w:hAnsi="宋体" w:cs="宋体"/>
          <w:color w:val="auto"/>
          <w:kern w:val="0"/>
          <w:sz w:val="24"/>
          <w:szCs w:val="24"/>
        </w:rPr>
        <w:t>（</w:t>
      </w:r>
      <w:r>
        <w:rPr>
          <w:color w:val="auto"/>
          <w:kern w:val="0"/>
          <w:sz w:val="24"/>
          <w:szCs w:val="24"/>
        </w:rPr>
        <w:t>2</w:t>
      </w:r>
      <w:r>
        <w:rPr>
          <w:rFonts w:hint="eastAsia" w:ascii="宋体" w:hAnsi="宋体" w:cs="宋体"/>
          <w:color w:val="auto"/>
          <w:kern w:val="0"/>
          <w:sz w:val="24"/>
          <w:szCs w:val="24"/>
        </w:rPr>
        <w:t>）</w:t>
      </w:r>
      <w:r>
        <w:rPr>
          <w:color w:val="auto"/>
          <w:kern w:val="0"/>
          <w:sz w:val="24"/>
          <w:szCs w:val="24"/>
        </w:rPr>
        <w:t>计算水文条件</w:t>
      </w:r>
    </w:p>
    <w:p w14:paraId="792C90E7">
      <w:pPr>
        <w:adjustRightInd w:val="0"/>
        <w:snapToGrid w:val="0"/>
        <w:spacing w:line="360" w:lineRule="auto"/>
        <w:ind w:firstLine="480" w:firstLineChars="200"/>
        <w:rPr>
          <w:rFonts w:eastAsia="黑体"/>
          <w:color w:val="auto"/>
          <w:sz w:val="24"/>
          <w:szCs w:val="24"/>
        </w:rPr>
      </w:pPr>
      <w:r>
        <w:rPr>
          <w:color w:val="auto"/>
          <w:kern w:val="0"/>
          <w:sz w:val="24"/>
          <w:szCs w:val="24"/>
        </w:rPr>
        <w:t>考虑饮用水源取水口与</w:t>
      </w:r>
      <w:r>
        <w:rPr>
          <w:rFonts w:hint="eastAsia"/>
          <w:color w:val="auto"/>
          <w:kern w:val="0"/>
          <w:sz w:val="24"/>
          <w:szCs w:val="24"/>
        </w:rPr>
        <w:t>运输</w:t>
      </w:r>
      <w:r>
        <w:rPr>
          <w:color w:val="auto"/>
          <w:kern w:val="0"/>
          <w:sz w:val="24"/>
          <w:szCs w:val="24"/>
        </w:rPr>
        <w:t>船舶的相对位置关系，</w:t>
      </w:r>
      <w:r>
        <w:rPr>
          <w:rFonts w:hint="eastAsia"/>
          <w:color w:val="auto"/>
          <w:kern w:val="0"/>
          <w:sz w:val="24"/>
          <w:szCs w:val="24"/>
        </w:rPr>
        <w:t>运营</w:t>
      </w:r>
      <w:r>
        <w:rPr>
          <w:color w:val="auto"/>
          <w:kern w:val="0"/>
          <w:sz w:val="24"/>
          <w:szCs w:val="24"/>
        </w:rPr>
        <w:t>期选择最不利的枯水期水文条件，水文条件如表5.</w:t>
      </w:r>
      <w:r>
        <w:rPr>
          <w:rFonts w:hint="eastAsia"/>
          <w:color w:val="auto"/>
          <w:kern w:val="0"/>
          <w:sz w:val="24"/>
          <w:szCs w:val="24"/>
        </w:rPr>
        <w:t>3</w:t>
      </w:r>
      <w:r>
        <w:rPr>
          <w:color w:val="auto"/>
          <w:kern w:val="0"/>
          <w:sz w:val="24"/>
          <w:szCs w:val="24"/>
        </w:rPr>
        <w:t>-4所示。计算</w:t>
      </w:r>
      <w:r>
        <w:rPr>
          <w:rFonts w:hint="eastAsia"/>
          <w:color w:val="auto"/>
          <w:kern w:val="0"/>
          <w:sz w:val="24"/>
          <w:szCs w:val="24"/>
        </w:rPr>
        <w:t>运输</w:t>
      </w:r>
      <w:r>
        <w:rPr>
          <w:color w:val="auto"/>
          <w:kern w:val="0"/>
          <w:sz w:val="24"/>
          <w:szCs w:val="24"/>
        </w:rPr>
        <w:t>船舶发生燃油泄漏时油膜到达取水口等敏感点的最短时间、停留时间。</w:t>
      </w:r>
    </w:p>
    <w:p w14:paraId="539D79D4">
      <w:pPr>
        <w:spacing w:line="400" w:lineRule="exact"/>
        <w:jc w:val="center"/>
        <w:rPr>
          <w:rFonts w:eastAsia="黑体"/>
          <w:color w:val="auto"/>
          <w:sz w:val="24"/>
          <w:szCs w:val="24"/>
        </w:rPr>
      </w:pPr>
      <w:r>
        <w:rPr>
          <w:rFonts w:eastAsia="黑体"/>
          <w:color w:val="auto"/>
          <w:sz w:val="24"/>
          <w:szCs w:val="24"/>
        </w:rPr>
        <w:t>表5.</w:t>
      </w:r>
      <w:r>
        <w:rPr>
          <w:rFonts w:hint="eastAsia" w:eastAsia="黑体"/>
          <w:color w:val="auto"/>
          <w:sz w:val="24"/>
          <w:szCs w:val="24"/>
        </w:rPr>
        <w:t>3</w:t>
      </w:r>
      <w:r>
        <w:rPr>
          <w:rFonts w:eastAsia="黑体"/>
          <w:color w:val="auto"/>
          <w:sz w:val="24"/>
          <w:szCs w:val="24"/>
        </w:rPr>
        <w:t>-4  本项目河段计算水文条件</w:t>
      </w:r>
    </w:p>
    <w:tbl>
      <w:tblPr>
        <w:tblStyle w:val="53"/>
        <w:tblW w:w="0" w:type="auto"/>
        <w:jc w:val="center"/>
        <w:tblBorders>
          <w:top w:val="single" w:color="000000" w:sz="12" w:space="0"/>
          <w:left w:val="none" w:color="auto" w:sz="0" w:space="0"/>
          <w:bottom w:val="single" w:color="000000"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222"/>
        <w:gridCol w:w="3402"/>
        <w:gridCol w:w="2126"/>
        <w:gridCol w:w="2374"/>
      </w:tblGrid>
      <w:tr w14:paraId="5985DD14">
        <w:tblPrEx>
          <w:tblBorders>
            <w:top w:val="single" w:color="000000" w:sz="12" w:space="0"/>
            <w:left w:val="none" w:color="auto" w:sz="0" w:space="0"/>
            <w:bottom w:val="single" w:color="000000"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2" w:type="dxa"/>
            <w:noWrap w:val="0"/>
            <w:vAlign w:val="center"/>
          </w:tcPr>
          <w:p w14:paraId="54E501C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序号</w:t>
            </w:r>
          </w:p>
        </w:tc>
        <w:tc>
          <w:tcPr>
            <w:tcW w:w="3402" w:type="dxa"/>
            <w:tcBorders>
              <w:right w:val="single" w:color="auto" w:sz="4" w:space="0"/>
            </w:tcBorders>
            <w:noWrap w:val="0"/>
            <w:vAlign w:val="center"/>
          </w:tcPr>
          <w:p w14:paraId="25EE1344">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水文条件</w:t>
            </w:r>
          </w:p>
        </w:tc>
        <w:tc>
          <w:tcPr>
            <w:tcW w:w="2126" w:type="dxa"/>
            <w:tcBorders>
              <w:left w:val="single" w:color="auto" w:sz="4" w:space="0"/>
            </w:tcBorders>
            <w:noWrap w:val="0"/>
            <w:vAlign w:val="center"/>
          </w:tcPr>
          <w:p w14:paraId="6BA98907">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枯水期</w:t>
            </w:r>
          </w:p>
        </w:tc>
        <w:tc>
          <w:tcPr>
            <w:tcW w:w="2374" w:type="dxa"/>
            <w:noWrap w:val="0"/>
            <w:vAlign w:val="center"/>
          </w:tcPr>
          <w:p w14:paraId="597B837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
                <w:color w:val="auto"/>
              </w:rPr>
            </w:pPr>
            <w:r>
              <w:rPr>
                <w:rFonts w:hint="default" w:ascii="Times New Roman" w:hAnsi="Times New Roman" w:cs="Times New Roman"/>
                <w:b/>
                <w:color w:val="auto"/>
              </w:rPr>
              <w:t>丰水期</w:t>
            </w:r>
          </w:p>
        </w:tc>
      </w:tr>
      <w:tr w14:paraId="5D7623F7">
        <w:tblPrEx>
          <w:tblBorders>
            <w:top w:val="single" w:color="000000" w:sz="12" w:space="0"/>
            <w:left w:val="none" w:color="auto" w:sz="0" w:space="0"/>
            <w:bottom w:val="single" w:color="000000"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2" w:type="dxa"/>
            <w:noWrap w:val="0"/>
            <w:vAlign w:val="center"/>
          </w:tcPr>
          <w:p w14:paraId="5E5CB5F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w:t>
            </w:r>
          </w:p>
        </w:tc>
        <w:tc>
          <w:tcPr>
            <w:tcW w:w="3402" w:type="dxa"/>
            <w:tcBorders>
              <w:right w:val="single" w:color="auto" w:sz="4" w:space="0"/>
            </w:tcBorders>
            <w:noWrap w:val="0"/>
            <w:vAlign w:val="center"/>
          </w:tcPr>
          <w:p w14:paraId="064D5585">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上游进口流量</w:t>
            </w:r>
          </w:p>
        </w:tc>
        <w:tc>
          <w:tcPr>
            <w:tcW w:w="2126" w:type="dxa"/>
            <w:tcBorders>
              <w:left w:val="single" w:color="auto" w:sz="4" w:space="0"/>
            </w:tcBorders>
            <w:noWrap w:val="0"/>
            <w:vAlign w:val="center"/>
          </w:tcPr>
          <w:p w14:paraId="19B3F493">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20m</w:t>
            </w:r>
            <w:r>
              <w:rPr>
                <w:rFonts w:hint="default" w:ascii="Times New Roman" w:hAnsi="Times New Roman" w:cs="Times New Roman"/>
                <w:color w:val="auto"/>
                <w:vertAlign w:val="superscript"/>
              </w:rPr>
              <w:t>3</w:t>
            </w:r>
            <w:r>
              <w:rPr>
                <w:rFonts w:hint="default" w:ascii="Times New Roman" w:hAnsi="Times New Roman" w:cs="Times New Roman"/>
                <w:color w:val="auto"/>
              </w:rPr>
              <w:t>/s</w:t>
            </w:r>
          </w:p>
        </w:tc>
        <w:tc>
          <w:tcPr>
            <w:tcW w:w="2374" w:type="dxa"/>
            <w:noWrap w:val="0"/>
            <w:vAlign w:val="center"/>
          </w:tcPr>
          <w:p w14:paraId="48B7C15A">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300m</w:t>
            </w:r>
            <w:r>
              <w:rPr>
                <w:rFonts w:hint="default" w:ascii="Times New Roman" w:hAnsi="Times New Roman" w:cs="Times New Roman"/>
                <w:color w:val="auto"/>
                <w:vertAlign w:val="superscript"/>
              </w:rPr>
              <w:t>3</w:t>
            </w:r>
            <w:r>
              <w:rPr>
                <w:rFonts w:hint="default" w:ascii="Times New Roman" w:hAnsi="Times New Roman" w:cs="Times New Roman"/>
                <w:color w:val="auto"/>
              </w:rPr>
              <w:t>/s</w:t>
            </w:r>
          </w:p>
        </w:tc>
      </w:tr>
      <w:tr w14:paraId="3D3BD6D3">
        <w:tblPrEx>
          <w:tblBorders>
            <w:top w:val="single" w:color="000000" w:sz="12" w:space="0"/>
            <w:left w:val="none" w:color="auto" w:sz="0" w:space="0"/>
            <w:bottom w:val="single" w:color="000000"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222" w:type="dxa"/>
            <w:noWrap w:val="0"/>
            <w:vAlign w:val="center"/>
          </w:tcPr>
          <w:p w14:paraId="27140B5C">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w:t>
            </w:r>
          </w:p>
        </w:tc>
        <w:tc>
          <w:tcPr>
            <w:tcW w:w="3402" w:type="dxa"/>
            <w:tcBorders>
              <w:right w:val="single" w:color="auto" w:sz="4" w:space="0"/>
            </w:tcBorders>
            <w:noWrap w:val="0"/>
            <w:vAlign w:val="center"/>
          </w:tcPr>
          <w:p w14:paraId="3FD04768">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kern w:val="0"/>
              </w:rPr>
              <w:t>下游出口控制水位</w:t>
            </w:r>
          </w:p>
        </w:tc>
        <w:tc>
          <w:tcPr>
            <w:tcW w:w="2126" w:type="dxa"/>
            <w:tcBorders>
              <w:left w:val="single" w:color="auto" w:sz="4" w:space="0"/>
            </w:tcBorders>
            <w:noWrap w:val="0"/>
            <w:vAlign w:val="center"/>
          </w:tcPr>
          <w:p w14:paraId="10CA377F">
            <w:pPr>
              <w:keepNext w:val="0"/>
              <w:keepLines w:val="0"/>
              <w:suppressLineNumbers w:val="0"/>
              <w:adjustRightInd w:val="0"/>
              <w:snapToGrid w:val="0"/>
              <w:spacing w:before="0" w:beforeAutospacing="0" w:after="0" w:afterAutospacing="0"/>
              <w:ind w:left="0" w:right="0"/>
              <w:jc w:val="center"/>
              <w:rPr>
                <w:rFonts w:hint="eastAsia" w:ascii="Times New Roman" w:hAnsi="Times New Roman" w:eastAsia="宋体" w:cs="Times New Roman"/>
                <w:color w:val="auto"/>
                <w:lang w:val="en-US" w:eastAsia="zh-CN"/>
              </w:rPr>
            </w:pPr>
            <w:r>
              <w:rPr>
                <w:rFonts w:hint="default" w:ascii="Times New Roman" w:hAnsi="Times New Roman" w:cs="Times New Roman"/>
                <w:color w:val="auto"/>
              </w:rPr>
              <w:t>17.5</w:t>
            </w:r>
            <w:r>
              <w:rPr>
                <w:rFonts w:hint="eastAsia" w:cs="Times New Roman"/>
                <w:color w:val="auto"/>
                <w:lang w:val="en-US" w:eastAsia="zh-CN"/>
              </w:rPr>
              <w:t>m</w:t>
            </w:r>
          </w:p>
        </w:tc>
        <w:tc>
          <w:tcPr>
            <w:tcW w:w="2374" w:type="dxa"/>
            <w:noWrap w:val="0"/>
            <w:vAlign w:val="center"/>
          </w:tcPr>
          <w:p w14:paraId="3E094F7B">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18.5m</w:t>
            </w:r>
          </w:p>
        </w:tc>
      </w:tr>
    </w:tbl>
    <w:p w14:paraId="466EB372">
      <w:pPr>
        <w:adjustRightInd w:val="0"/>
        <w:snapToGrid w:val="0"/>
        <w:spacing w:line="360" w:lineRule="auto"/>
        <w:ind w:firstLine="480" w:firstLineChars="200"/>
        <w:rPr>
          <w:color w:val="auto"/>
          <w:kern w:val="0"/>
          <w:sz w:val="24"/>
          <w:szCs w:val="24"/>
        </w:rPr>
      </w:pPr>
      <w:r>
        <w:rPr>
          <w:rFonts w:hint="eastAsia" w:ascii="宋体" w:hAnsi="宋体" w:cs="宋体"/>
          <w:color w:val="auto"/>
          <w:kern w:val="0"/>
          <w:sz w:val="24"/>
          <w:szCs w:val="24"/>
        </w:rPr>
        <w:t>（</w:t>
      </w:r>
      <w:r>
        <w:rPr>
          <w:color w:val="auto"/>
          <w:kern w:val="0"/>
          <w:sz w:val="24"/>
          <w:szCs w:val="24"/>
        </w:rPr>
        <w:t>3</w:t>
      </w:r>
      <w:r>
        <w:rPr>
          <w:rFonts w:hint="eastAsia" w:ascii="宋体" w:hAnsi="宋体" w:cs="宋体"/>
          <w:color w:val="auto"/>
          <w:kern w:val="0"/>
          <w:sz w:val="24"/>
          <w:szCs w:val="24"/>
        </w:rPr>
        <w:t>）</w:t>
      </w:r>
      <w:r>
        <w:rPr>
          <w:color w:val="auto"/>
          <w:kern w:val="0"/>
          <w:sz w:val="24"/>
          <w:szCs w:val="24"/>
        </w:rPr>
        <w:t>计算气象条件的选取</w:t>
      </w:r>
    </w:p>
    <w:p w14:paraId="3998A93C">
      <w:pPr>
        <w:spacing w:line="360" w:lineRule="auto"/>
        <w:ind w:firstLine="480" w:firstLineChars="200"/>
        <w:rPr>
          <w:color w:val="auto"/>
          <w:sz w:val="24"/>
          <w:szCs w:val="24"/>
        </w:rPr>
      </w:pPr>
      <w:r>
        <w:rPr>
          <w:color w:val="auto"/>
          <w:sz w:val="24"/>
          <w:szCs w:val="24"/>
        </w:rPr>
        <w:t>燃油等不溶于水类物料的迁移扩散受风力条件影响较大，为了预测在潮流与风的共同作用下风险泄漏对保护目标（</w:t>
      </w:r>
      <w:r>
        <w:rPr>
          <w:rFonts w:hint="eastAsia"/>
          <w:color w:val="auto"/>
          <w:sz w:val="24"/>
        </w:rPr>
        <w:t>淮南第四自来水厂</w:t>
      </w:r>
      <w:r>
        <w:rPr>
          <w:color w:val="auto"/>
          <w:sz w:val="24"/>
          <w:szCs w:val="24"/>
        </w:rPr>
        <w:t>取水口）的影响，根据气象观测资料统计，确定不利风向为SW向为计算风向，取</w:t>
      </w:r>
      <w:r>
        <w:rPr>
          <w:rFonts w:hint="eastAsia"/>
          <w:color w:val="auto"/>
          <w:sz w:val="24"/>
          <w:szCs w:val="24"/>
        </w:rPr>
        <w:t>淮南</w:t>
      </w:r>
      <w:r>
        <w:rPr>
          <w:color w:val="auto"/>
          <w:sz w:val="24"/>
          <w:szCs w:val="24"/>
        </w:rPr>
        <w:t>多年平均风速</w:t>
      </w:r>
      <w:r>
        <w:rPr>
          <w:rFonts w:hint="eastAsia"/>
          <w:color w:val="auto"/>
          <w:sz w:val="24"/>
          <w:szCs w:val="24"/>
          <w:lang w:val="en-US" w:eastAsia="zh-CN"/>
        </w:rPr>
        <w:t>2.6</w:t>
      </w:r>
      <w:r>
        <w:rPr>
          <w:color w:val="auto"/>
          <w:sz w:val="24"/>
          <w:szCs w:val="24"/>
        </w:rPr>
        <w:t>m/s为设计风力条件。</w:t>
      </w:r>
    </w:p>
    <w:p w14:paraId="64B5A394">
      <w:pPr>
        <w:spacing w:line="360" w:lineRule="auto"/>
        <w:ind w:firstLine="480" w:firstLineChars="200"/>
        <w:rPr>
          <w:color w:val="auto"/>
          <w:sz w:val="24"/>
          <w:szCs w:val="24"/>
        </w:rPr>
      </w:pPr>
      <w:r>
        <w:rPr>
          <w:rFonts w:hint="eastAsia" w:ascii="宋体" w:hAnsi="宋体" w:cs="宋体"/>
          <w:color w:val="auto"/>
          <w:kern w:val="0"/>
          <w:sz w:val="24"/>
          <w:szCs w:val="24"/>
        </w:rPr>
        <w:t>（</w:t>
      </w:r>
      <w:r>
        <w:rPr>
          <w:color w:val="auto"/>
          <w:kern w:val="0"/>
          <w:sz w:val="24"/>
          <w:szCs w:val="24"/>
        </w:rPr>
        <w:t>4</w:t>
      </w:r>
      <w:r>
        <w:rPr>
          <w:rFonts w:hint="eastAsia" w:ascii="宋体" w:hAnsi="宋体" w:cs="宋体"/>
          <w:color w:val="auto"/>
          <w:kern w:val="0"/>
          <w:sz w:val="24"/>
          <w:szCs w:val="24"/>
        </w:rPr>
        <w:t>）</w:t>
      </w:r>
      <w:r>
        <w:rPr>
          <w:color w:val="auto"/>
          <w:sz w:val="24"/>
          <w:szCs w:val="24"/>
        </w:rPr>
        <w:t>溢油预测方案</w:t>
      </w:r>
    </w:p>
    <w:p w14:paraId="60918376">
      <w:pPr>
        <w:spacing w:line="360" w:lineRule="auto"/>
        <w:ind w:firstLine="480" w:firstLineChars="200"/>
        <w:rPr>
          <w:color w:val="auto"/>
          <w:sz w:val="24"/>
          <w:szCs w:val="24"/>
        </w:rPr>
      </w:pPr>
      <w:r>
        <w:rPr>
          <w:color w:val="auto"/>
          <w:sz w:val="24"/>
          <w:szCs w:val="24"/>
        </w:rPr>
        <w:t>根据工程布局、风险特征以及水文、气象条件，设置如下计算方案：</w:t>
      </w:r>
    </w:p>
    <w:p w14:paraId="4A6B6A17">
      <w:pPr>
        <w:spacing w:line="400" w:lineRule="exact"/>
        <w:jc w:val="center"/>
        <w:rPr>
          <w:rFonts w:eastAsia="黑体"/>
          <w:color w:val="auto"/>
          <w:sz w:val="24"/>
          <w:szCs w:val="24"/>
        </w:rPr>
      </w:pPr>
      <w:r>
        <w:rPr>
          <w:rFonts w:eastAsia="黑体"/>
          <w:color w:val="auto"/>
          <w:sz w:val="24"/>
          <w:szCs w:val="24"/>
        </w:rPr>
        <w:t>表5.</w:t>
      </w:r>
      <w:r>
        <w:rPr>
          <w:rFonts w:hint="eastAsia" w:eastAsia="黑体"/>
          <w:color w:val="auto"/>
          <w:sz w:val="24"/>
          <w:szCs w:val="24"/>
        </w:rPr>
        <w:t>3</w:t>
      </w:r>
      <w:r>
        <w:rPr>
          <w:rFonts w:eastAsia="黑体"/>
          <w:color w:val="auto"/>
          <w:sz w:val="24"/>
          <w:szCs w:val="24"/>
        </w:rPr>
        <w:t>-5  溢油事故预测计算方案</w:t>
      </w:r>
    </w:p>
    <w:tbl>
      <w:tblPr>
        <w:tblStyle w:val="53"/>
        <w:tblW w:w="0" w:type="auto"/>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968"/>
        <w:gridCol w:w="1276"/>
        <w:gridCol w:w="1559"/>
        <w:gridCol w:w="1276"/>
        <w:gridCol w:w="1275"/>
        <w:gridCol w:w="1682"/>
      </w:tblGrid>
      <w:tr w14:paraId="2A574FE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8" w:type="dxa"/>
            <w:noWrap w:val="0"/>
            <w:vAlign w:val="center"/>
          </w:tcPr>
          <w:p w14:paraId="2B0E0EB6">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事故情景</w:t>
            </w:r>
          </w:p>
        </w:tc>
        <w:tc>
          <w:tcPr>
            <w:tcW w:w="1276" w:type="dxa"/>
            <w:noWrap w:val="0"/>
            <w:vAlign w:val="center"/>
          </w:tcPr>
          <w:p w14:paraId="1C269C55">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事故位置</w:t>
            </w:r>
          </w:p>
        </w:tc>
        <w:tc>
          <w:tcPr>
            <w:tcW w:w="1559" w:type="dxa"/>
            <w:noWrap w:val="0"/>
            <w:vAlign w:val="center"/>
          </w:tcPr>
          <w:p w14:paraId="6F00469D">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油品种类</w:t>
            </w:r>
          </w:p>
        </w:tc>
        <w:tc>
          <w:tcPr>
            <w:tcW w:w="1276" w:type="dxa"/>
            <w:noWrap w:val="0"/>
            <w:vAlign w:val="center"/>
          </w:tcPr>
          <w:p w14:paraId="30B12F7F">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泄漏入河量</w:t>
            </w:r>
          </w:p>
        </w:tc>
        <w:tc>
          <w:tcPr>
            <w:tcW w:w="1275" w:type="dxa"/>
            <w:noWrap w:val="0"/>
            <w:vAlign w:val="center"/>
          </w:tcPr>
          <w:p w14:paraId="24D0D7C8">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水文条件</w:t>
            </w:r>
          </w:p>
        </w:tc>
        <w:tc>
          <w:tcPr>
            <w:tcW w:w="1682" w:type="dxa"/>
            <w:noWrap w:val="0"/>
            <w:vAlign w:val="center"/>
          </w:tcPr>
          <w:p w14:paraId="25E3BED1">
            <w:pPr>
              <w:keepNext w:val="0"/>
              <w:keepLines w:val="0"/>
              <w:suppressLineNumbers w:val="0"/>
              <w:spacing w:before="0" w:beforeAutospacing="0" w:after="0" w:afterAutospacing="0"/>
              <w:ind w:left="0" w:right="0"/>
              <w:jc w:val="center"/>
              <w:rPr>
                <w:rFonts w:hint="default" w:ascii="Times New Roman" w:hAnsi="Times New Roman" w:cs="Times New Roman"/>
                <w:b/>
                <w:color w:val="auto"/>
                <w:sz w:val="21"/>
                <w:szCs w:val="21"/>
              </w:rPr>
            </w:pPr>
            <w:r>
              <w:rPr>
                <w:rFonts w:hint="default" w:ascii="Times New Roman" w:hAnsi="Times New Roman" w:cs="Times New Roman"/>
                <w:b/>
                <w:color w:val="auto"/>
                <w:sz w:val="21"/>
                <w:szCs w:val="21"/>
              </w:rPr>
              <w:t>风况</w:t>
            </w:r>
          </w:p>
        </w:tc>
      </w:tr>
      <w:tr w14:paraId="7C87899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68" w:type="dxa"/>
            <w:noWrap w:val="0"/>
            <w:vAlign w:val="center"/>
          </w:tcPr>
          <w:p w14:paraId="27B2F27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运输</w:t>
            </w:r>
            <w:r>
              <w:rPr>
                <w:rFonts w:hint="default" w:ascii="Times New Roman" w:hAnsi="Times New Roman" w:cs="Times New Roman"/>
                <w:color w:val="auto"/>
                <w:sz w:val="21"/>
                <w:szCs w:val="21"/>
              </w:rPr>
              <w:t>船舶事故溢油</w:t>
            </w:r>
          </w:p>
        </w:tc>
        <w:tc>
          <w:tcPr>
            <w:tcW w:w="1276" w:type="dxa"/>
            <w:noWrap w:val="0"/>
            <w:vAlign w:val="center"/>
          </w:tcPr>
          <w:p w14:paraId="0783FA8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码头</w:t>
            </w:r>
            <w:r>
              <w:rPr>
                <w:rFonts w:hint="default" w:ascii="Times New Roman" w:hAnsi="Times New Roman" w:cs="Times New Roman"/>
                <w:color w:val="auto"/>
                <w:sz w:val="21"/>
                <w:szCs w:val="21"/>
              </w:rPr>
              <w:t>处</w:t>
            </w:r>
          </w:p>
        </w:tc>
        <w:tc>
          <w:tcPr>
            <w:tcW w:w="1559" w:type="dxa"/>
            <w:noWrap w:val="0"/>
            <w:vAlign w:val="center"/>
          </w:tcPr>
          <w:p w14:paraId="768792D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燃料油（柴油）</w:t>
            </w:r>
          </w:p>
        </w:tc>
        <w:tc>
          <w:tcPr>
            <w:tcW w:w="1276" w:type="dxa"/>
            <w:noWrap w:val="0"/>
            <w:vAlign w:val="center"/>
          </w:tcPr>
          <w:p w14:paraId="3C86565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rPr>
              <w:t>51.85</w:t>
            </w:r>
            <w:r>
              <w:rPr>
                <w:rFonts w:hint="default" w:ascii="Times New Roman" w:hAnsi="Times New Roman" w:cs="Times New Roman"/>
                <w:color w:val="auto"/>
                <w:sz w:val="21"/>
                <w:szCs w:val="21"/>
              </w:rPr>
              <w:t>t</w:t>
            </w:r>
          </w:p>
        </w:tc>
        <w:tc>
          <w:tcPr>
            <w:tcW w:w="1275" w:type="dxa"/>
            <w:noWrap w:val="0"/>
            <w:vAlign w:val="center"/>
          </w:tcPr>
          <w:p w14:paraId="4EE304C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枯</w:t>
            </w:r>
            <w:r>
              <w:rPr>
                <w:rFonts w:hint="eastAsia" w:ascii="Times New Roman" w:hAnsi="Times New Roman" w:cs="Times New Roman"/>
                <w:color w:val="auto"/>
                <w:sz w:val="21"/>
                <w:szCs w:val="21"/>
              </w:rPr>
              <w:t>水</w:t>
            </w:r>
            <w:r>
              <w:rPr>
                <w:rFonts w:hint="default" w:ascii="Times New Roman" w:hAnsi="Times New Roman" w:cs="Times New Roman"/>
                <w:color w:val="auto"/>
                <w:sz w:val="21"/>
                <w:szCs w:val="21"/>
              </w:rPr>
              <w:t>期</w:t>
            </w:r>
          </w:p>
        </w:tc>
        <w:tc>
          <w:tcPr>
            <w:tcW w:w="1682" w:type="dxa"/>
            <w:noWrap w:val="0"/>
            <w:vAlign w:val="center"/>
          </w:tcPr>
          <w:p w14:paraId="5500F8B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主导风向SW</w:t>
            </w:r>
          </w:p>
        </w:tc>
      </w:tr>
    </w:tbl>
    <w:p w14:paraId="76EABCEB">
      <w:pPr>
        <w:pStyle w:val="5"/>
        <w:numPr>
          <w:ilvl w:val="0"/>
          <w:numId w:val="0"/>
        </w:numPr>
        <w:rPr>
          <w:color w:val="auto"/>
        </w:rPr>
      </w:pPr>
      <w:r>
        <w:rPr>
          <w:rFonts w:hint="eastAsia"/>
          <w:color w:val="auto"/>
        </w:rPr>
        <w:t>5.3.6.3</w:t>
      </w:r>
      <w:r>
        <w:rPr>
          <w:color w:val="auto"/>
        </w:rPr>
        <w:t>溢油预测结果及分析</w:t>
      </w:r>
    </w:p>
    <w:p w14:paraId="4ABB87A7">
      <w:pPr>
        <w:spacing w:line="400" w:lineRule="exact"/>
        <w:jc w:val="center"/>
        <w:rPr>
          <w:rFonts w:eastAsia="黑体"/>
          <w:color w:val="auto"/>
          <w:sz w:val="24"/>
          <w:szCs w:val="24"/>
        </w:rPr>
      </w:pPr>
      <w:r>
        <w:rPr>
          <w:rFonts w:eastAsia="黑体"/>
          <w:color w:val="auto"/>
          <w:sz w:val="24"/>
          <w:szCs w:val="24"/>
        </w:rPr>
        <w:t>表5.</w:t>
      </w:r>
      <w:r>
        <w:rPr>
          <w:rFonts w:hint="eastAsia" w:eastAsia="黑体"/>
          <w:color w:val="auto"/>
          <w:sz w:val="24"/>
          <w:szCs w:val="24"/>
        </w:rPr>
        <w:t>3</w:t>
      </w:r>
      <w:r>
        <w:rPr>
          <w:rFonts w:eastAsia="黑体"/>
          <w:color w:val="auto"/>
          <w:sz w:val="24"/>
          <w:szCs w:val="24"/>
        </w:rPr>
        <w:t xml:space="preserve">-6  </w:t>
      </w:r>
      <w:r>
        <w:rPr>
          <w:rFonts w:hint="eastAsia" w:eastAsia="黑体"/>
          <w:color w:val="auto"/>
          <w:sz w:val="24"/>
          <w:szCs w:val="24"/>
        </w:rPr>
        <w:t>事故发生后油膜扩延预测结果</w:t>
      </w:r>
    </w:p>
    <w:tbl>
      <w:tblPr>
        <w:tblStyle w:val="53"/>
        <w:tblW w:w="0" w:type="auto"/>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1548"/>
        <w:gridCol w:w="1548"/>
        <w:gridCol w:w="1548"/>
        <w:gridCol w:w="1548"/>
        <w:gridCol w:w="1629"/>
      </w:tblGrid>
      <w:tr w14:paraId="101D16A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08EA82B4">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eastAsia" w:ascii="Times New Roman" w:hAnsi="Times New Roman" w:cs="Times New Roman"/>
                <w:b/>
                <w:bCs/>
                <w:color w:val="auto"/>
              </w:rPr>
              <w:t>时间（min）</w:t>
            </w:r>
          </w:p>
        </w:tc>
        <w:tc>
          <w:tcPr>
            <w:tcW w:w="1548" w:type="dxa"/>
            <w:noWrap w:val="0"/>
            <w:vAlign w:val="center"/>
          </w:tcPr>
          <w:p w14:paraId="4722D101">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eastAsia" w:ascii="Times New Roman" w:hAnsi="Times New Roman" w:cs="Times New Roman"/>
                <w:b/>
                <w:bCs/>
                <w:color w:val="auto"/>
              </w:rPr>
              <w:t>等效圆直径（m）</w:t>
            </w:r>
          </w:p>
        </w:tc>
        <w:tc>
          <w:tcPr>
            <w:tcW w:w="1548" w:type="dxa"/>
            <w:noWrap w:val="0"/>
            <w:vAlign w:val="center"/>
          </w:tcPr>
          <w:p w14:paraId="31AE1A45">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eastAsia" w:ascii="Times New Roman" w:hAnsi="Times New Roman" w:cs="Times New Roman"/>
                <w:b/>
                <w:bCs/>
                <w:color w:val="auto"/>
              </w:rPr>
              <w:t>面积（m</w:t>
            </w:r>
            <w:r>
              <w:rPr>
                <w:rFonts w:hint="default" w:ascii="Times New Roman" w:hAnsi="Times New Roman" w:cs="Times New Roman"/>
                <w:b/>
                <w:bCs/>
                <w:color w:val="auto"/>
                <w:vertAlign w:val="superscript"/>
              </w:rPr>
              <w:t>2</w:t>
            </w:r>
            <w:r>
              <w:rPr>
                <w:rFonts w:hint="eastAsia" w:ascii="Times New Roman" w:hAnsi="Times New Roman" w:cs="Times New Roman"/>
                <w:b/>
                <w:bCs/>
                <w:color w:val="auto"/>
              </w:rPr>
              <w:t>）</w:t>
            </w:r>
          </w:p>
        </w:tc>
        <w:tc>
          <w:tcPr>
            <w:tcW w:w="1548" w:type="dxa"/>
            <w:noWrap w:val="0"/>
            <w:vAlign w:val="center"/>
          </w:tcPr>
          <w:p w14:paraId="7EE359C2">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eastAsia" w:ascii="Times New Roman" w:hAnsi="Times New Roman" w:cs="Times New Roman"/>
                <w:b/>
                <w:bCs/>
                <w:color w:val="auto"/>
              </w:rPr>
              <w:t>厚度（mm）</w:t>
            </w:r>
          </w:p>
        </w:tc>
        <w:tc>
          <w:tcPr>
            <w:tcW w:w="1548" w:type="dxa"/>
            <w:noWrap w:val="0"/>
            <w:vAlign w:val="center"/>
          </w:tcPr>
          <w:p w14:paraId="347EEBFE">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eastAsia" w:ascii="Times New Roman" w:hAnsi="Times New Roman" w:cs="Times New Roman"/>
                <w:b/>
                <w:bCs/>
                <w:color w:val="auto"/>
              </w:rPr>
              <w:t>油膜中心漂移距离（m）</w:t>
            </w:r>
          </w:p>
        </w:tc>
        <w:tc>
          <w:tcPr>
            <w:tcW w:w="1629" w:type="dxa"/>
            <w:noWrap w:val="0"/>
            <w:vAlign w:val="center"/>
          </w:tcPr>
          <w:p w14:paraId="2AABFB97">
            <w:pPr>
              <w:keepNext w:val="0"/>
              <w:keepLines w:val="0"/>
              <w:suppressLineNumbers w:val="0"/>
              <w:spacing w:before="0" w:beforeAutospacing="0" w:after="0" w:afterAutospacing="0"/>
              <w:ind w:left="0" w:right="0"/>
              <w:jc w:val="center"/>
              <w:rPr>
                <w:rFonts w:hint="default" w:ascii="Times New Roman" w:hAnsi="Times New Roman" w:cs="Times New Roman"/>
                <w:b/>
                <w:bCs/>
                <w:color w:val="auto"/>
              </w:rPr>
            </w:pPr>
            <w:r>
              <w:rPr>
                <w:rFonts w:hint="eastAsia" w:ascii="Times New Roman" w:hAnsi="Times New Roman" w:cs="Times New Roman"/>
                <w:b/>
                <w:bCs/>
                <w:color w:val="auto"/>
              </w:rPr>
              <w:t>油膜前端漂移距离（m）</w:t>
            </w:r>
          </w:p>
        </w:tc>
      </w:tr>
      <w:tr w14:paraId="0A82E79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3C8F334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p>
        </w:tc>
        <w:tc>
          <w:tcPr>
            <w:tcW w:w="1548" w:type="dxa"/>
            <w:noWrap w:val="0"/>
            <w:vAlign w:val="center"/>
          </w:tcPr>
          <w:p w14:paraId="1551AAA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7.50</w:t>
            </w:r>
          </w:p>
        </w:tc>
        <w:tc>
          <w:tcPr>
            <w:tcW w:w="1548" w:type="dxa"/>
            <w:noWrap w:val="0"/>
            <w:vAlign w:val="center"/>
          </w:tcPr>
          <w:p w14:paraId="37D76BC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101.11</w:t>
            </w:r>
          </w:p>
        </w:tc>
        <w:tc>
          <w:tcPr>
            <w:tcW w:w="1548" w:type="dxa"/>
            <w:noWrap w:val="0"/>
            <w:vAlign w:val="center"/>
          </w:tcPr>
          <w:p w14:paraId="25653FD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1.32</w:t>
            </w:r>
          </w:p>
        </w:tc>
        <w:tc>
          <w:tcPr>
            <w:tcW w:w="1548" w:type="dxa"/>
            <w:noWrap w:val="0"/>
            <w:vAlign w:val="center"/>
          </w:tcPr>
          <w:p w14:paraId="0344779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w:t>
            </w:r>
            <w:r>
              <w:rPr>
                <w:rFonts w:hint="default" w:ascii="Times New Roman" w:hAnsi="Times New Roman" w:cs="Times New Roman"/>
                <w:color w:val="auto"/>
              </w:rPr>
              <w:t>7.24</w:t>
            </w:r>
          </w:p>
        </w:tc>
        <w:tc>
          <w:tcPr>
            <w:tcW w:w="1629" w:type="dxa"/>
            <w:noWrap w:val="0"/>
            <w:vAlign w:val="center"/>
          </w:tcPr>
          <w:p w14:paraId="5B2D989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7</w:t>
            </w:r>
            <w:r>
              <w:rPr>
                <w:rFonts w:hint="default" w:ascii="Times New Roman" w:hAnsi="Times New Roman" w:cs="Times New Roman"/>
                <w:color w:val="auto"/>
              </w:rPr>
              <w:t>5.99</w:t>
            </w:r>
          </w:p>
        </w:tc>
      </w:tr>
      <w:tr w14:paraId="7ECC2F4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643EEBF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p>
        </w:tc>
        <w:tc>
          <w:tcPr>
            <w:tcW w:w="1548" w:type="dxa"/>
            <w:noWrap w:val="0"/>
            <w:vAlign w:val="center"/>
          </w:tcPr>
          <w:p w14:paraId="38B751A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w:t>
            </w:r>
            <w:r>
              <w:rPr>
                <w:rFonts w:hint="default" w:ascii="Times New Roman" w:hAnsi="Times New Roman" w:cs="Times New Roman"/>
                <w:color w:val="auto"/>
              </w:rPr>
              <w:t>3.04</w:t>
            </w:r>
          </w:p>
        </w:tc>
        <w:tc>
          <w:tcPr>
            <w:tcW w:w="1548" w:type="dxa"/>
            <w:noWrap w:val="0"/>
            <w:vAlign w:val="center"/>
          </w:tcPr>
          <w:p w14:paraId="4BF4E09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208.22</w:t>
            </w:r>
          </w:p>
        </w:tc>
        <w:tc>
          <w:tcPr>
            <w:tcW w:w="1548" w:type="dxa"/>
            <w:noWrap w:val="0"/>
            <w:vAlign w:val="center"/>
          </w:tcPr>
          <w:p w14:paraId="517CC66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w:t>
            </w:r>
            <w:r>
              <w:rPr>
                <w:rFonts w:hint="default" w:ascii="Times New Roman" w:hAnsi="Times New Roman" w:cs="Times New Roman"/>
                <w:color w:val="auto"/>
              </w:rPr>
              <w:t>.66</w:t>
            </w:r>
          </w:p>
        </w:tc>
        <w:tc>
          <w:tcPr>
            <w:tcW w:w="1548" w:type="dxa"/>
            <w:noWrap w:val="0"/>
            <w:vAlign w:val="center"/>
          </w:tcPr>
          <w:p w14:paraId="0FD88F1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14.47</w:t>
            </w:r>
          </w:p>
        </w:tc>
        <w:tc>
          <w:tcPr>
            <w:tcW w:w="1629" w:type="dxa"/>
            <w:noWrap w:val="0"/>
            <w:vAlign w:val="center"/>
          </w:tcPr>
          <w:p w14:paraId="734FE9B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40.99</w:t>
            </w:r>
          </w:p>
        </w:tc>
      </w:tr>
      <w:tr w14:paraId="5036D74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PrEx>
        <w:trPr>
          <w:trHeight w:val="284" w:hRule="atLeast"/>
          <w:jc w:val="center"/>
        </w:trPr>
        <w:tc>
          <w:tcPr>
            <w:tcW w:w="1211" w:type="dxa"/>
            <w:noWrap w:val="0"/>
            <w:vAlign w:val="center"/>
          </w:tcPr>
          <w:p w14:paraId="46B8FCD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p>
        </w:tc>
        <w:tc>
          <w:tcPr>
            <w:tcW w:w="1548" w:type="dxa"/>
            <w:noWrap w:val="0"/>
            <w:vAlign w:val="center"/>
          </w:tcPr>
          <w:p w14:paraId="2436E23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6</w:t>
            </w:r>
            <w:r>
              <w:rPr>
                <w:rFonts w:hint="default" w:ascii="Times New Roman" w:hAnsi="Times New Roman" w:cs="Times New Roman"/>
                <w:color w:val="auto"/>
              </w:rPr>
              <w:t>4.96</w:t>
            </w:r>
          </w:p>
        </w:tc>
        <w:tc>
          <w:tcPr>
            <w:tcW w:w="1548" w:type="dxa"/>
            <w:noWrap w:val="0"/>
            <w:vAlign w:val="center"/>
          </w:tcPr>
          <w:p w14:paraId="515ADA6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312.33</w:t>
            </w:r>
          </w:p>
        </w:tc>
        <w:tc>
          <w:tcPr>
            <w:tcW w:w="1548" w:type="dxa"/>
            <w:noWrap w:val="0"/>
            <w:vAlign w:val="center"/>
          </w:tcPr>
          <w:p w14:paraId="752DF09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.77</w:t>
            </w:r>
          </w:p>
        </w:tc>
        <w:tc>
          <w:tcPr>
            <w:tcW w:w="1548" w:type="dxa"/>
            <w:noWrap w:val="0"/>
            <w:vAlign w:val="center"/>
          </w:tcPr>
          <w:p w14:paraId="601581E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71.71</w:t>
            </w:r>
          </w:p>
        </w:tc>
        <w:tc>
          <w:tcPr>
            <w:tcW w:w="1629" w:type="dxa"/>
            <w:noWrap w:val="0"/>
            <w:vAlign w:val="center"/>
          </w:tcPr>
          <w:p w14:paraId="6DA8F3B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04.19</w:t>
            </w:r>
          </w:p>
        </w:tc>
      </w:tr>
      <w:tr w14:paraId="77803DA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55C3779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w:t>
            </w:r>
          </w:p>
        </w:tc>
        <w:tc>
          <w:tcPr>
            <w:tcW w:w="1548" w:type="dxa"/>
            <w:noWrap w:val="0"/>
            <w:vAlign w:val="center"/>
          </w:tcPr>
          <w:p w14:paraId="5DCD2D2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7</w:t>
            </w:r>
            <w:r>
              <w:rPr>
                <w:rFonts w:hint="default" w:ascii="Times New Roman" w:hAnsi="Times New Roman" w:cs="Times New Roman"/>
                <w:color w:val="auto"/>
              </w:rPr>
              <w:t>5.01</w:t>
            </w:r>
          </w:p>
        </w:tc>
        <w:tc>
          <w:tcPr>
            <w:tcW w:w="1548" w:type="dxa"/>
            <w:noWrap w:val="0"/>
            <w:vAlign w:val="center"/>
          </w:tcPr>
          <w:p w14:paraId="261F42D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w:t>
            </w:r>
            <w:r>
              <w:rPr>
                <w:rFonts w:hint="default" w:ascii="Times New Roman" w:hAnsi="Times New Roman" w:cs="Times New Roman"/>
                <w:color w:val="auto"/>
              </w:rPr>
              <w:t>416.44</w:t>
            </w:r>
          </w:p>
        </w:tc>
        <w:tc>
          <w:tcPr>
            <w:tcW w:w="1548" w:type="dxa"/>
            <w:noWrap w:val="0"/>
            <w:vAlign w:val="center"/>
          </w:tcPr>
          <w:p w14:paraId="4D71994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.83</w:t>
            </w:r>
          </w:p>
        </w:tc>
        <w:tc>
          <w:tcPr>
            <w:tcW w:w="1548" w:type="dxa"/>
            <w:noWrap w:val="0"/>
            <w:vAlign w:val="center"/>
          </w:tcPr>
          <w:p w14:paraId="31CBA44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28.94</w:t>
            </w:r>
          </w:p>
        </w:tc>
        <w:tc>
          <w:tcPr>
            <w:tcW w:w="1629" w:type="dxa"/>
            <w:noWrap w:val="0"/>
            <w:vAlign w:val="center"/>
          </w:tcPr>
          <w:p w14:paraId="770D6F2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66.45</w:t>
            </w:r>
          </w:p>
        </w:tc>
      </w:tr>
      <w:tr w14:paraId="15CBD8E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0F19607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w:t>
            </w:r>
          </w:p>
        </w:tc>
        <w:tc>
          <w:tcPr>
            <w:tcW w:w="1548" w:type="dxa"/>
            <w:noWrap w:val="0"/>
            <w:vAlign w:val="center"/>
          </w:tcPr>
          <w:p w14:paraId="22AA8F0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8</w:t>
            </w:r>
            <w:r>
              <w:rPr>
                <w:rFonts w:hint="default" w:ascii="Times New Roman" w:hAnsi="Times New Roman" w:cs="Times New Roman"/>
                <w:color w:val="auto"/>
              </w:rPr>
              <w:t>3.86</w:t>
            </w:r>
          </w:p>
        </w:tc>
        <w:tc>
          <w:tcPr>
            <w:tcW w:w="1548" w:type="dxa"/>
            <w:noWrap w:val="0"/>
            <w:vAlign w:val="center"/>
          </w:tcPr>
          <w:p w14:paraId="460BBDC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w:t>
            </w:r>
            <w:r>
              <w:rPr>
                <w:rFonts w:hint="default" w:ascii="Times New Roman" w:hAnsi="Times New Roman" w:cs="Times New Roman"/>
                <w:color w:val="auto"/>
              </w:rPr>
              <w:t>520.55</w:t>
            </w:r>
          </w:p>
        </w:tc>
        <w:tc>
          <w:tcPr>
            <w:tcW w:w="1548" w:type="dxa"/>
            <w:noWrap w:val="0"/>
            <w:vAlign w:val="center"/>
          </w:tcPr>
          <w:p w14:paraId="758768E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.26</w:t>
            </w:r>
          </w:p>
        </w:tc>
        <w:tc>
          <w:tcPr>
            <w:tcW w:w="1548" w:type="dxa"/>
            <w:noWrap w:val="0"/>
            <w:vAlign w:val="center"/>
          </w:tcPr>
          <w:p w14:paraId="5BE4027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86.18</w:t>
            </w:r>
          </w:p>
        </w:tc>
        <w:tc>
          <w:tcPr>
            <w:tcW w:w="1629" w:type="dxa"/>
            <w:noWrap w:val="0"/>
            <w:vAlign w:val="center"/>
          </w:tcPr>
          <w:p w14:paraId="688B050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28.11</w:t>
            </w:r>
          </w:p>
        </w:tc>
      </w:tr>
      <w:tr w14:paraId="4D2861A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460EB85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6</w:t>
            </w:r>
          </w:p>
        </w:tc>
        <w:tc>
          <w:tcPr>
            <w:tcW w:w="1548" w:type="dxa"/>
            <w:noWrap w:val="0"/>
            <w:vAlign w:val="center"/>
          </w:tcPr>
          <w:p w14:paraId="4B15AA6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9</w:t>
            </w:r>
            <w:r>
              <w:rPr>
                <w:rFonts w:hint="default" w:ascii="Times New Roman" w:hAnsi="Times New Roman" w:cs="Times New Roman"/>
                <w:color w:val="auto"/>
              </w:rPr>
              <w:t>1.86</w:t>
            </w:r>
          </w:p>
        </w:tc>
        <w:tc>
          <w:tcPr>
            <w:tcW w:w="1548" w:type="dxa"/>
            <w:noWrap w:val="0"/>
            <w:vAlign w:val="center"/>
          </w:tcPr>
          <w:p w14:paraId="5ED366E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6</w:t>
            </w:r>
            <w:r>
              <w:rPr>
                <w:rFonts w:hint="default" w:ascii="Times New Roman" w:hAnsi="Times New Roman" w:cs="Times New Roman"/>
                <w:color w:val="auto"/>
              </w:rPr>
              <w:t>624.66</w:t>
            </w:r>
          </w:p>
        </w:tc>
        <w:tc>
          <w:tcPr>
            <w:tcW w:w="1548" w:type="dxa"/>
            <w:noWrap w:val="0"/>
            <w:vAlign w:val="center"/>
          </w:tcPr>
          <w:p w14:paraId="12E97E5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.89</w:t>
            </w:r>
          </w:p>
        </w:tc>
        <w:tc>
          <w:tcPr>
            <w:tcW w:w="1548" w:type="dxa"/>
            <w:noWrap w:val="0"/>
            <w:vAlign w:val="center"/>
          </w:tcPr>
          <w:p w14:paraId="295514F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43.41</w:t>
            </w:r>
          </w:p>
        </w:tc>
        <w:tc>
          <w:tcPr>
            <w:tcW w:w="1629" w:type="dxa"/>
            <w:noWrap w:val="0"/>
            <w:vAlign w:val="center"/>
          </w:tcPr>
          <w:p w14:paraId="76D410D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89.35</w:t>
            </w:r>
          </w:p>
        </w:tc>
      </w:tr>
      <w:tr w14:paraId="17CC194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1CD52ED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7</w:t>
            </w:r>
          </w:p>
        </w:tc>
        <w:tc>
          <w:tcPr>
            <w:tcW w:w="1548" w:type="dxa"/>
            <w:noWrap w:val="0"/>
            <w:vAlign w:val="center"/>
          </w:tcPr>
          <w:p w14:paraId="3BC5E3D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9</w:t>
            </w:r>
            <w:r>
              <w:rPr>
                <w:rFonts w:hint="default" w:ascii="Times New Roman" w:hAnsi="Times New Roman" w:cs="Times New Roman"/>
                <w:color w:val="auto"/>
              </w:rPr>
              <w:t>9.22</w:t>
            </w:r>
          </w:p>
        </w:tc>
        <w:tc>
          <w:tcPr>
            <w:tcW w:w="1548" w:type="dxa"/>
            <w:noWrap w:val="0"/>
            <w:vAlign w:val="center"/>
          </w:tcPr>
          <w:p w14:paraId="54CF4C2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7</w:t>
            </w:r>
            <w:r>
              <w:rPr>
                <w:rFonts w:hint="default" w:ascii="Times New Roman" w:hAnsi="Times New Roman" w:cs="Times New Roman"/>
                <w:color w:val="auto"/>
              </w:rPr>
              <w:t>728.77</w:t>
            </w:r>
          </w:p>
        </w:tc>
        <w:tc>
          <w:tcPr>
            <w:tcW w:w="1548" w:type="dxa"/>
            <w:noWrap w:val="0"/>
            <w:vAlign w:val="center"/>
          </w:tcPr>
          <w:p w14:paraId="3B67E3A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.62</w:t>
            </w:r>
          </w:p>
        </w:tc>
        <w:tc>
          <w:tcPr>
            <w:tcW w:w="1548" w:type="dxa"/>
            <w:noWrap w:val="0"/>
            <w:vAlign w:val="center"/>
          </w:tcPr>
          <w:p w14:paraId="6989D35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w:t>
            </w:r>
            <w:r>
              <w:rPr>
                <w:rFonts w:hint="default" w:ascii="Times New Roman" w:hAnsi="Times New Roman" w:cs="Times New Roman"/>
                <w:color w:val="auto"/>
              </w:rPr>
              <w:t>00.65</w:t>
            </w:r>
          </w:p>
        </w:tc>
        <w:tc>
          <w:tcPr>
            <w:tcW w:w="1629" w:type="dxa"/>
            <w:noWrap w:val="0"/>
            <w:vAlign w:val="center"/>
          </w:tcPr>
          <w:p w14:paraId="51A5924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w:t>
            </w:r>
            <w:r>
              <w:rPr>
                <w:rFonts w:hint="default" w:ascii="Times New Roman" w:hAnsi="Times New Roman" w:cs="Times New Roman"/>
                <w:color w:val="auto"/>
              </w:rPr>
              <w:t>50.26</w:t>
            </w:r>
          </w:p>
        </w:tc>
      </w:tr>
      <w:tr w14:paraId="4595BA0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7BFFA85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8</w:t>
            </w:r>
          </w:p>
        </w:tc>
        <w:tc>
          <w:tcPr>
            <w:tcW w:w="1548" w:type="dxa"/>
            <w:noWrap w:val="0"/>
            <w:vAlign w:val="center"/>
          </w:tcPr>
          <w:p w14:paraId="45EFAF1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06.08</w:t>
            </w:r>
          </w:p>
        </w:tc>
        <w:tc>
          <w:tcPr>
            <w:tcW w:w="1548" w:type="dxa"/>
            <w:noWrap w:val="0"/>
            <w:vAlign w:val="center"/>
          </w:tcPr>
          <w:p w14:paraId="771D1C3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8</w:t>
            </w:r>
            <w:r>
              <w:rPr>
                <w:rFonts w:hint="default" w:ascii="Times New Roman" w:hAnsi="Times New Roman" w:cs="Times New Roman"/>
                <w:color w:val="auto"/>
              </w:rPr>
              <w:t>832.88</w:t>
            </w:r>
          </w:p>
        </w:tc>
        <w:tc>
          <w:tcPr>
            <w:tcW w:w="1548" w:type="dxa"/>
            <w:noWrap w:val="0"/>
            <w:vAlign w:val="center"/>
          </w:tcPr>
          <w:p w14:paraId="7BE67CE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.42</w:t>
            </w:r>
          </w:p>
        </w:tc>
        <w:tc>
          <w:tcPr>
            <w:tcW w:w="1548" w:type="dxa"/>
            <w:noWrap w:val="0"/>
            <w:vAlign w:val="center"/>
          </w:tcPr>
          <w:p w14:paraId="52169B7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w:t>
            </w:r>
            <w:r>
              <w:rPr>
                <w:rFonts w:hint="default" w:ascii="Times New Roman" w:hAnsi="Times New Roman" w:cs="Times New Roman"/>
                <w:color w:val="auto"/>
              </w:rPr>
              <w:t>57.88</w:t>
            </w:r>
          </w:p>
        </w:tc>
        <w:tc>
          <w:tcPr>
            <w:tcW w:w="1629" w:type="dxa"/>
            <w:noWrap w:val="0"/>
            <w:vAlign w:val="center"/>
          </w:tcPr>
          <w:p w14:paraId="718AC6E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w:t>
            </w:r>
            <w:r>
              <w:rPr>
                <w:rFonts w:hint="default" w:ascii="Times New Roman" w:hAnsi="Times New Roman" w:cs="Times New Roman"/>
                <w:color w:val="auto"/>
              </w:rPr>
              <w:t>10.92</w:t>
            </w:r>
          </w:p>
        </w:tc>
      </w:tr>
      <w:tr w14:paraId="48942BB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358C037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9</w:t>
            </w:r>
          </w:p>
        </w:tc>
        <w:tc>
          <w:tcPr>
            <w:tcW w:w="1548" w:type="dxa"/>
            <w:noWrap w:val="0"/>
            <w:vAlign w:val="center"/>
          </w:tcPr>
          <w:p w14:paraId="06724AF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12.51</w:t>
            </w:r>
          </w:p>
        </w:tc>
        <w:tc>
          <w:tcPr>
            <w:tcW w:w="1548" w:type="dxa"/>
            <w:noWrap w:val="0"/>
            <w:vAlign w:val="center"/>
          </w:tcPr>
          <w:p w14:paraId="222422C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9</w:t>
            </w:r>
            <w:r>
              <w:rPr>
                <w:rFonts w:hint="default" w:ascii="Times New Roman" w:hAnsi="Times New Roman" w:cs="Times New Roman"/>
                <w:color w:val="auto"/>
              </w:rPr>
              <w:t>936.99</w:t>
            </w:r>
          </w:p>
        </w:tc>
        <w:tc>
          <w:tcPr>
            <w:tcW w:w="1548" w:type="dxa"/>
            <w:noWrap w:val="0"/>
            <w:vAlign w:val="center"/>
          </w:tcPr>
          <w:p w14:paraId="248BF12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.26</w:t>
            </w:r>
          </w:p>
        </w:tc>
        <w:tc>
          <w:tcPr>
            <w:tcW w:w="1548" w:type="dxa"/>
            <w:noWrap w:val="0"/>
            <w:vAlign w:val="center"/>
          </w:tcPr>
          <w:p w14:paraId="6D38630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w:t>
            </w:r>
            <w:r>
              <w:rPr>
                <w:rFonts w:hint="default" w:ascii="Times New Roman" w:hAnsi="Times New Roman" w:cs="Times New Roman"/>
                <w:color w:val="auto"/>
              </w:rPr>
              <w:t>15.12</w:t>
            </w:r>
          </w:p>
        </w:tc>
        <w:tc>
          <w:tcPr>
            <w:tcW w:w="1629" w:type="dxa"/>
            <w:noWrap w:val="0"/>
            <w:vAlign w:val="center"/>
          </w:tcPr>
          <w:p w14:paraId="24EB5DE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w:t>
            </w:r>
            <w:r>
              <w:rPr>
                <w:rFonts w:hint="default" w:ascii="Times New Roman" w:hAnsi="Times New Roman" w:cs="Times New Roman"/>
                <w:color w:val="auto"/>
              </w:rPr>
              <w:t>71.37</w:t>
            </w:r>
          </w:p>
        </w:tc>
      </w:tr>
      <w:tr w14:paraId="20C6562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05B458F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0</w:t>
            </w:r>
          </w:p>
        </w:tc>
        <w:tc>
          <w:tcPr>
            <w:tcW w:w="1548" w:type="dxa"/>
            <w:noWrap w:val="0"/>
            <w:vAlign w:val="center"/>
          </w:tcPr>
          <w:p w14:paraId="33315F8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18.6</w:t>
            </w:r>
          </w:p>
        </w:tc>
        <w:tc>
          <w:tcPr>
            <w:tcW w:w="1548" w:type="dxa"/>
            <w:noWrap w:val="0"/>
            <w:vAlign w:val="center"/>
          </w:tcPr>
          <w:p w14:paraId="43D274C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1041.11</w:t>
            </w:r>
          </w:p>
        </w:tc>
        <w:tc>
          <w:tcPr>
            <w:tcW w:w="1548" w:type="dxa"/>
            <w:noWrap w:val="0"/>
            <w:vAlign w:val="center"/>
          </w:tcPr>
          <w:p w14:paraId="5510D89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.13</w:t>
            </w:r>
          </w:p>
        </w:tc>
        <w:tc>
          <w:tcPr>
            <w:tcW w:w="1548" w:type="dxa"/>
            <w:noWrap w:val="0"/>
            <w:vAlign w:val="center"/>
          </w:tcPr>
          <w:p w14:paraId="63DB68C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w:t>
            </w:r>
            <w:r>
              <w:rPr>
                <w:rFonts w:hint="default" w:ascii="Times New Roman" w:hAnsi="Times New Roman" w:cs="Times New Roman"/>
                <w:color w:val="auto"/>
              </w:rPr>
              <w:t>72.36</w:t>
            </w:r>
          </w:p>
        </w:tc>
        <w:tc>
          <w:tcPr>
            <w:tcW w:w="1629" w:type="dxa"/>
            <w:noWrap w:val="0"/>
            <w:vAlign w:val="center"/>
          </w:tcPr>
          <w:p w14:paraId="26E5919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6</w:t>
            </w:r>
            <w:r>
              <w:rPr>
                <w:rFonts w:hint="default" w:ascii="Times New Roman" w:hAnsi="Times New Roman" w:cs="Times New Roman"/>
                <w:color w:val="auto"/>
              </w:rPr>
              <w:t>31.65</w:t>
            </w:r>
          </w:p>
        </w:tc>
      </w:tr>
      <w:tr w14:paraId="64AA407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218A97D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0</w:t>
            </w:r>
          </w:p>
        </w:tc>
        <w:tc>
          <w:tcPr>
            <w:tcW w:w="1548" w:type="dxa"/>
            <w:noWrap w:val="0"/>
            <w:vAlign w:val="center"/>
          </w:tcPr>
          <w:p w14:paraId="1F8FB89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67.72</w:t>
            </w:r>
          </w:p>
        </w:tc>
        <w:tc>
          <w:tcPr>
            <w:tcW w:w="1548" w:type="dxa"/>
            <w:noWrap w:val="0"/>
            <w:vAlign w:val="center"/>
          </w:tcPr>
          <w:p w14:paraId="181A271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2082.22</w:t>
            </w:r>
          </w:p>
        </w:tc>
        <w:tc>
          <w:tcPr>
            <w:tcW w:w="1548" w:type="dxa"/>
            <w:noWrap w:val="0"/>
            <w:vAlign w:val="center"/>
          </w:tcPr>
          <w:p w14:paraId="08CA323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.57</w:t>
            </w:r>
          </w:p>
        </w:tc>
        <w:tc>
          <w:tcPr>
            <w:tcW w:w="1548" w:type="dxa"/>
            <w:noWrap w:val="0"/>
            <w:vAlign w:val="center"/>
          </w:tcPr>
          <w:p w14:paraId="635F4FA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144.71</w:t>
            </w:r>
          </w:p>
        </w:tc>
        <w:tc>
          <w:tcPr>
            <w:tcW w:w="1629" w:type="dxa"/>
            <w:noWrap w:val="0"/>
            <w:vAlign w:val="center"/>
          </w:tcPr>
          <w:p w14:paraId="68B3FF4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228.57</w:t>
            </w:r>
          </w:p>
        </w:tc>
      </w:tr>
      <w:tr w14:paraId="142AB51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3230074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0</w:t>
            </w:r>
          </w:p>
        </w:tc>
        <w:tc>
          <w:tcPr>
            <w:tcW w:w="1548" w:type="dxa"/>
            <w:noWrap w:val="0"/>
            <w:vAlign w:val="center"/>
          </w:tcPr>
          <w:p w14:paraId="6C7FE62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05.41</w:t>
            </w:r>
          </w:p>
        </w:tc>
        <w:tc>
          <w:tcPr>
            <w:tcW w:w="1548" w:type="dxa"/>
            <w:noWrap w:val="0"/>
            <w:vAlign w:val="center"/>
          </w:tcPr>
          <w:p w14:paraId="4D0B832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3123.33</w:t>
            </w:r>
          </w:p>
        </w:tc>
        <w:tc>
          <w:tcPr>
            <w:tcW w:w="1548" w:type="dxa"/>
            <w:noWrap w:val="0"/>
            <w:vAlign w:val="center"/>
          </w:tcPr>
          <w:p w14:paraId="0F37544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.38</w:t>
            </w:r>
          </w:p>
        </w:tc>
        <w:tc>
          <w:tcPr>
            <w:tcW w:w="1548" w:type="dxa"/>
            <w:noWrap w:val="0"/>
            <w:vAlign w:val="center"/>
          </w:tcPr>
          <w:p w14:paraId="76CCF8B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717.07</w:t>
            </w:r>
          </w:p>
        </w:tc>
        <w:tc>
          <w:tcPr>
            <w:tcW w:w="1629" w:type="dxa"/>
            <w:noWrap w:val="0"/>
            <w:vAlign w:val="center"/>
          </w:tcPr>
          <w:p w14:paraId="021E9CC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819.77</w:t>
            </w:r>
          </w:p>
        </w:tc>
      </w:tr>
      <w:tr w14:paraId="4D19431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2562C881">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4</w:t>
            </w:r>
            <w:r>
              <w:rPr>
                <w:rFonts w:hint="default" w:ascii="Times New Roman" w:hAnsi="Times New Roman" w:cs="Times New Roman"/>
                <w:color w:val="auto"/>
              </w:rPr>
              <w:t>0</w:t>
            </w:r>
          </w:p>
        </w:tc>
        <w:tc>
          <w:tcPr>
            <w:tcW w:w="1548" w:type="dxa"/>
            <w:noWrap w:val="0"/>
            <w:vAlign w:val="center"/>
          </w:tcPr>
          <w:p w14:paraId="3419E3A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37.19</w:t>
            </w:r>
          </w:p>
        </w:tc>
        <w:tc>
          <w:tcPr>
            <w:tcW w:w="1548" w:type="dxa"/>
            <w:noWrap w:val="0"/>
            <w:vAlign w:val="center"/>
          </w:tcPr>
          <w:p w14:paraId="3086D31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w:t>
            </w:r>
            <w:r>
              <w:rPr>
                <w:rFonts w:hint="default" w:ascii="Times New Roman" w:hAnsi="Times New Roman" w:cs="Times New Roman"/>
                <w:color w:val="auto"/>
              </w:rPr>
              <w:t>4164.44</w:t>
            </w:r>
          </w:p>
        </w:tc>
        <w:tc>
          <w:tcPr>
            <w:tcW w:w="1548" w:type="dxa"/>
            <w:noWrap w:val="0"/>
            <w:vAlign w:val="center"/>
          </w:tcPr>
          <w:p w14:paraId="3451EE5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.28</w:t>
            </w:r>
          </w:p>
        </w:tc>
        <w:tc>
          <w:tcPr>
            <w:tcW w:w="1548" w:type="dxa"/>
            <w:noWrap w:val="0"/>
            <w:vAlign w:val="center"/>
          </w:tcPr>
          <w:p w14:paraId="0E09BF6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289.42</w:t>
            </w:r>
          </w:p>
        </w:tc>
        <w:tc>
          <w:tcPr>
            <w:tcW w:w="1629" w:type="dxa"/>
            <w:noWrap w:val="0"/>
            <w:vAlign w:val="center"/>
          </w:tcPr>
          <w:p w14:paraId="79D697A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408.02</w:t>
            </w:r>
          </w:p>
        </w:tc>
      </w:tr>
      <w:tr w14:paraId="15A4BE5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6D941E5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5</w:t>
            </w:r>
            <w:r>
              <w:rPr>
                <w:rFonts w:hint="default" w:ascii="Times New Roman" w:hAnsi="Times New Roman" w:cs="Times New Roman"/>
                <w:color w:val="auto"/>
              </w:rPr>
              <w:t>0</w:t>
            </w:r>
          </w:p>
        </w:tc>
        <w:tc>
          <w:tcPr>
            <w:tcW w:w="1548" w:type="dxa"/>
            <w:noWrap w:val="0"/>
            <w:vAlign w:val="center"/>
          </w:tcPr>
          <w:p w14:paraId="07EE7E9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65.19</w:t>
            </w:r>
          </w:p>
        </w:tc>
        <w:tc>
          <w:tcPr>
            <w:tcW w:w="1548" w:type="dxa"/>
            <w:noWrap w:val="0"/>
            <w:vAlign w:val="center"/>
          </w:tcPr>
          <w:p w14:paraId="6002D92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w:t>
            </w:r>
            <w:r>
              <w:rPr>
                <w:rFonts w:hint="default" w:ascii="Times New Roman" w:hAnsi="Times New Roman" w:cs="Times New Roman"/>
                <w:color w:val="auto"/>
              </w:rPr>
              <w:t>5205.54</w:t>
            </w:r>
          </w:p>
        </w:tc>
        <w:tc>
          <w:tcPr>
            <w:tcW w:w="1548" w:type="dxa"/>
            <w:noWrap w:val="0"/>
            <w:vAlign w:val="center"/>
          </w:tcPr>
          <w:p w14:paraId="2139077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.23</w:t>
            </w:r>
          </w:p>
        </w:tc>
        <w:tc>
          <w:tcPr>
            <w:tcW w:w="1548" w:type="dxa"/>
            <w:noWrap w:val="0"/>
            <w:vAlign w:val="center"/>
          </w:tcPr>
          <w:p w14:paraId="15049E5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861.78</w:t>
            </w:r>
          </w:p>
        </w:tc>
        <w:tc>
          <w:tcPr>
            <w:tcW w:w="1629" w:type="dxa"/>
            <w:noWrap w:val="0"/>
            <w:vAlign w:val="center"/>
          </w:tcPr>
          <w:p w14:paraId="09C14CB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994.37</w:t>
            </w:r>
          </w:p>
        </w:tc>
      </w:tr>
      <w:tr w14:paraId="2228080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09BF865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6</w:t>
            </w:r>
            <w:r>
              <w:rPr>
                <w:rFonts w:hint="default" w:ascii="Times New Roman" w:hAnsi="Times New Roman" w:cs="Times New Roman"/>
                <w:color w:val="auto"/>
              </w:rPr>
              <w:t>0</w:t>
            </w:r>
          </w:p>
        </w:tc>
        <w:tc>
          <w:tcPr>
            <w:tcW w:w="1548" w:type="dxa"/>
            <w:noWrap w:val="0"/>
            <w:vAlign w:val="center"/>
          </w:tcPr>
          <w:p w14:paraId="6118244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90.50</w:t>
            </w:r>
          </w:p>
        </w:tc>
        <w:tc>
          <w:tcPr>
            <w:tcW w:w="1548" w:type="dxa"/>
            <w:noWrap w:val="0"/>
            <w:vAlign w:val="center"/>
          </w:tcPr>
          <w:p w14:paraId="5E85B79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6</w:t>
            </w:r>
            <w:r>
              <w:rPr>
                <w:rFonts w:hint="default" w:ascii="Times New Roman" w:hAnsi="Times New Roman" w:cs="Times New Roman"/>
                <w:color w:val="auto"/>
              </w:rPr>
              <w:t>6246.65</w:t>
            </w:r>
          </w:p>
        </w:tc>
        <w:tc>
          <w:tcPr>
            <w:tcW w:w="1548" w:type="dxa"/>
            <w:noWrap w:val="0"/>
            <w:vAlign w:val="center"/>
          </w:tcPr>
          <w:p w14:paraId="6A5A722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.19</w:t>
            </w:r>
          </w:p>
        </w:tc>
        <w:tc>
          <w:tcPr>
            <w:tcW w:w="1548" w:type="dxa"/>
            <w:noWrap w:val="0"/>
            <w:vAlign w:val="center"/>
          </w:tcPr>
          <w:p w14:paraId="4FEC82A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434.13</w:t>
            </w:r>
          </w:p>
        </w:tc>
        <w:tc>
          <w:tcPr>
            <w:tcW w:w="1629" w:type="dxa"/>
            <w:noWrap w:val="0"/>
            <w:vAlign w:val="center"/>
          </w:tcPr>
          <w:p w14:paraId="330B39B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579.38</w:t>
            </w:r>
          </w:p>
        </w:tc>
      </w:tr>
      <w:tr w14:paraId="455F731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44B8F417">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7</w:t>
            </w:r>
            <w:r>
              <w:rPr>
                <w:rFonts w:hint="default" w:ascii="Times New Roman" w:hAnsi="Times New Roman" w:cs="Times New Roman"/>
                <w:color w:val="auto"/>
              </w:rPr>
              <w:t>0</w:t>
            </w:r>
          </w:p>
        </w:tc>
        <w:tc>
          <w:tcPr>
            <w:tcW w:w="1548" w:type="dxa"/>
            <w:noWrap w:val="0"/>
            <w:vAlign w:val="center"/>
          </w:tcPr>
          <w:p w14:paraId="0E606ED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13.78</w:t>
            </w:r>
          </w:p>
        </w:tc>
        <w:tc>
          <w:tcPr>
            <w:tcW w:w="1548" w:type="dxa"/>
            <w:noWrap w:val="0"/>
            <w:vAlign w:val="center"/>
          </w:tcPr>
          <w:p w14:paraId="3566B31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7</w:t>
            </w:r>
            <w:r>
              <w:rPr>
                <w:rFonts w:hint="default" w:ascii="Times New Roman" w:hAnsi="Times New Roman" w:cs="Times New Roman"/>
                <w:color w:val="auto"/>
              </w:rPr>
              <w:t>7287.76</w:t>
            </w:r>
          </w:p>
        </w:tc>
        <w:tc>
          <w:tcPr>
            <w:tcW w:w="1548" w:type="dxa"/>
            <w:noWrap w:val="0"/>
            <w:vAlign w:val="center"/>
          </w:tcPr>
          <w:p w14:paraId="21788B6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.16</w:t>
            </w:r>
          </w:p>
        </w:tc>
        <w:tc>
          <w:tcPr>
            <w:tcW w:w="1548" w:type="dxa"/>
            <w:noWrap w:val="0"/>
            <w:vAlign w:val="center"/>
          </w:tcPr>
          <w:p w14:paraId="7E8E032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w:t>
            </w:r>
            <w:r>
              <w:rPr>
                <w:rFonts w:hint="default" w:ascii="Times New Roman" w:hAnsi="Times New Roman" w:cs="Times New Roman"/>
                <w:color w:val="auto"/>
              </w:rPr>
              <w:t>006.49</w:t>
            </w:r>
          </w:p>
        </w:tc>
        <w:tc>
          <w:tcPr>
            <w:tcW w:w="1629" w:type="dxa"/>
            <w:noWrap w:val="0"/>
            <w:vAlign w:val="center"/>
          </w:tcPr>
          <w:p w14:paraId="12988BA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w:t>
            </w:r>
            <w:r>
              <w:rPr>
                <w:rFonts w:hint="default" w:ascii="Times New Roman" w:hAnsi="Times New Roman" w:cs="Times New Roman"/>
                <w:color w:val="auto"/>
              </w:rPr>
              <w:t>163.37</w:t>
            </w:r>
          </w:p>
        </w:tc>
      </w:tr>
      <w:tr w14:paraId="2987A86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21475C50">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8</w:t>
            </w:r>
            <w:r>
              <w:rPr>
                <w:rFonts w:hint="default" w:ascii="Times New Roman" w:hAnsi="Times New Roman" w:cs="Times New Roman"/>
                <w:color w:val="auto"/>
              </w:rPr>
              <w:t>0</w:t>
            </w:r>
          </w:p>
        </w:tc>
        <w:tc>
          <w:tcPr>
            <w:tcW w:w="1548" w:type="dxa"/>
            <w:noWrap w:val="0"/>
            <w:vAlign w:val="center"/>
          </w:tcPr>
          <w:p w14:paraId="5D7BCB7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35.79</w:t>
            </w:r>
          </w:p>
        </w:tc>
        <w:tc>
          <w:tcPr>
            <w:tcW w:w="1548" w:type="dxa"/>
            <w:noWrap w:val="0"/>
            <w:vAlign w:val="center"/>
          </w:tcPr>
          <w:p w14:paraId="2C9D7FA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8</w:t>
            </w:r>
            <w:r>
              <w:rPr>
                <w:rFonts w:hint="default" w:ascii="Times New Roman" w:hAnsi="Times New Roman" w:cs="Times New Roman"/>
                <w:color w:val="auto"/>
              </w:rPr>
              <w:t>8328.87</w:t>
            </w:r>
          </w:p>
        </w:tc>
        <w:tc>
          <w:tcPr>
            <w:tcW w:w="1548" w:type="dxa"/>
            <w:noWrap w:val="0"/>
            <w:vAlign w:val="center"/>
          </w:tcPr>
          <w:p w14:paraId="34B2120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.14</w:t>
            </w:r>
          </w:p>
        </w:tc>
        <w:tc>
          <w:tcPr>
            <w:tcW w:w="1548" w:type="dxa"/>
            <w:noWrap w:val="0"/>
            <w:vAlign w:val="center"/>
          </w:tcPr>
          <w:p w14:paraId="2082EA8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w:t>
            </w:r>
            <w:r>
              <w:rPr>
                <w:rFonts w:hint="default" w:ascii="Times New Roman" w:hAnsi="Times New Roman" w:cs="Times New Roman"/>
                <w:color w:val="auto"/>
              </w:rPr>
              <w:t>578.84</w:t>
            </w:r>
          </w:p>
        </w:tc>
        <w:tc>
          <w:tcPr>
            <w:tcW w:w="1629" w:type="dxa"/>
            <w:noWrap w:val="0"/>
            <w:vAlign w:val="center"/>
          </w:tcPr>
          <w:p w14:paraId="2728E08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w:t>
            </w:r>
            <w:r>
              <w:rPr>
                <w:rFonts w:hint="default" w:ascii="Times New Roman" w:hAnsi="Times New Roman" w:cs="Times New Roman"/>
                <w:color w:val="auto"/>
              </w:rPr>
              <w:t>746.56</w:t>
            </w:r>
          </w:p>
        </w:tc>
      </w:tr>
      <w:tr w14:paraId="6CFB116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3A262B6F">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9</w:t>
            </w:r>
            <w:r>
              <w:rPr>
                <w:rFonts w:hint="default" w:ascii="Times New Roman" w:hAnsi="Times New Roman" w:cs="Times New Roman"/>
                <w:color w:val="auto"/>
              </w:rPr>
              <w:t>0</w:t>
            </w:r>
          </w:p>
        </w:tc>
        <w:tc>
          <w:tcPr>
            <w:tcW w:w="1548" w:type="dxa"/>
            <w:noWrap w:val="0"/>
            <w:vAlign w:val="center"/>
          </w:tcPr>
          <w:p w14:paraId="5F96929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55.79</w:t>
            </w:r>
          </w:p>
        </w:tc>
        <w:tc>
          <w:tcPr>
            <w:tcW w:w="1548" w:type="dxa"/>
            <w:noWrap w:val="0"/>
            <w:vAlign w:val="center"/>
          </w:tcPr>
          <w:p w14:paraId="7DA7592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9</w:t>
            </w:r>
            <w:r>
              <w:rPr>
                <w:rFonts w:hint="default" w:ascii="Times New Roman" w:hAnsi="Times New Roman" w:cs="Times New Roman"/>
                <w:color w:val="auto"/>
              </w:rPr>
              <w:t>9369.98</w:t>
            </w:r>
          </w:p>
        </w:tc>
        <w:tc>
          <w:tcPr>
            <w:tcW w:w="1548" w:type="dxa"/>
            <w:noWrap w:val="0"/>
            <w:vAlign w:val="center"/>
          </w:tcPr>
          <w:p w14:paraId="04A5D40A">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.13</w:t>
            </w:r>
          </w:p>
        </w:tc>
        <w:tc>
          <w:tcPr>
            <w:tcW w:w="1548" w:type="dxa"/>
            <w:noWrap w:val="0"/>
            <w:vAlign w:val="center"/>
          </w:tcPr>
          <w:p w14:paraId="5E33E2D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w:t>
            </w:r>
            <w:r>
              <w:rPr>
                <w:rFonts w:hint="default" w:ascii="Times New Roman" w:hAnsi="Times New Roman" w:cs="Times New Roman"/>
                <w:color w:val="auto"/>
              </w:rPr>
              <w:t>151.20</w:t>
            </w:r>
          </w:p>
        </w:tc>
        <w:tc>
          <w:tcPr>
            <w:tcW w:w="1629" w:type="dxa"/>
            <w:noWrap w:val="0"/>
            <w:vAlign w:val="center"/>
          </w:tcPr>
          <w:p w14:paraId="5FBD5A3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w:t>
            </w:r>
            <w:r>
              <w:rPr>
                <w:rFonts w:hint="default" w:ascii="Times New Roman" w:hAnsi="Times New Roman" w:cs="Times New Roman"/>
                <w:color w:val="auto"/>
              </w:rPr>
              <w:t>329.09</w:t>
            </w:r>
          </w:p>
        </w:tc>
      </w:tr>
      <w:tr w14:paraId="76C37FC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72481305">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00</w:t>
            </w:r>
          </w:p>
        </w:tc>
        <w:tc>
          <w:tcPr>
            <w:tcW w:w="1548" w:type="dxa"/>
            <w:noWrap w:val="0"/>
            <w:vAlign w:val="center"/>
          </w:tcPr>
          <w:p w14:paraId="1CAFA32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75.03</w:t>
            </w:r>
          </w:p>
        </w:tc>
        <w:tc>
          <w:tcPr>
            <w:tcW w:w="1548" w:type="dxa"/>
            <w:noWrap w:val="0"/>
            <w:vAlign w:val="center"/>
          </w:tcPr>
          <w:p w14:paraId="1C2B7D3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10411.09</w:t>
            </w:r>
          </w:p>
        </w:tc>
        <w:tc>
          <w:tcPr>
            <w:tcW w:w="1548" w:type="dxa"/>
            <w:noWrap w:val="0"/>
            <w:vAlign w:val="center"/>
          </w:tcPr>
          <w:p w14:paraId="62F628B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.11</w:t>
            </w:r>
          </w:p>
        </w:tc>
        <w:tc>
          <w:tcPr>
            <w:tcW w:w="1548" w:type="dxa"/>
            <w:noWrap w:val="0"/>
            <w:vAlign w:val="center"/>
          </w:tcPr>
          <w:p w14:paraId="072B5D4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w:t>
            </w:r>
            <w:r>
              <w:rPr>
                <w:rFonts w:hint="default" w:ascii="Times New Roman" w:hAnsi="Times New Roman" w:cs="Times New Roman"/>
                <w:color w:val="auto"/>
              </w:rPr>
              <w:t>723.55</w:t>
            </w:r>
          </w:p>
        </w:tc>
        <w:tc>
          <w:tcPr>
            <w:tcW w:w="1629" w:type="dxa"/>
            <w:noWrap w:val="0"/>
            <w:vAlign w:val="center"/>
          </w:tcPr>
          <w:p w14:paraId="1DD0C32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w:t>
            </w:r>
            <w:r>
              <w:rPr>
                <w:rFonts w:hint="default" w:ascii="Times New Roman" w:hAnsi="Times New Roman" w:cs="Times New Roman"/>
                <w:color w:val="auto"/>
              </w:rPr>
              <w:t>911.07</w:t>
            </w:r>
          </w:p>
        </w:tc>
      </w:tr>
      <w:tr w14:paraId="0582641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14526110">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00</w:t>
            </w:r>
          </w:p>
        </w:tc>
        <w:tc>
          <w:tcPr>
            <w:tcW w:w="1548" w:type="dxa"/>
            <w:noWrap w:val="0"/>
            <w:vAlign w:val="center"/>
          </w:tcPr>
          <w:p w14:paraId="686E2C0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w:t>
            </w:r>
            <w:r>
              <w:rPr>
                <w:rFonts w:hint="default" w:ascii="Times New Roman" w:hAnsi="Times New Roman" w:cs="Times New Roman"/>
                <w:color w:val="auto"/>
              </w:rPr>
              <w:t>30.38</w:t>
            </w:r>
          </w:p>
        </w:tc>
        <w:tc>
          <w:tcPr>
            <w:tcW w:w="1548" w:type="dxa"/>
            <w:noWrap w:val="0"/>
            <w:vAlign w:val="center"/>
          </w:tcPr>
          <w:p w14:paraId="6EEF4F4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20822.18</w:t>
            </w:r>
          </w:p>
        </w:tc>
        <w:tc>
          <w:tcPr>
            <w:tcW w:w="1548" w:type="dxa"/>
            <w:noWrap w:val="0"/>
            <w:vAlign w:val="center"/>
          </w:tcPr>
          <w:p w14:paraId="5CCE5BC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.06</w:t>
            </w:r>
          </w:p>
        </w:tc>
        <w:tc>
          <w:tcPr>
            <w:tcW w:w="1548" w:type="dxa"/>
            <w:noWrap w:val="0"/>
            <w:vAlign w:val="center"/>
          </w:tcPr>
          <w:p w14:paraId="7C1F9A2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1447.1</w:t>
            </w:r>
          </w:p>
        </w:tc>
        <w:tc>
          <w:tcPr>
            <w:tcW w:w="1629" w:type="dxa"/>
            <w:noWrap w:val="0"/>
            <w:vAlign w:val="center"/>
          </w:tcPr>
          <w:p w14:paraId="1809DCA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1712.29</w:t>
            </w:r>
          </w:p>
        </w:tc>
      </w:tr>
      <w:tr w14:paraId="26D9550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3C48BACD">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00</w:t>
            </w:r>
          </w:p>
        </w:tc>
        <w:tc>
          <w:tcPr>
            <w:tcW w:w="1548" w:type="dxa"/>
            <w:noWrap w:val="0"/>
            <w:vAlign w:val="center"/>
          </w:tcPr>
          <w:p w14:paraId="0CC8C438">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6</w:t>
            </w:r>
            <w:r>
              <w:rPr>
                <w:rFonts w:hint="default" w:ascii="Times New Roman" w:hAnsi="Times New Roman" w:cs="Times New Roman"/>
                <w:color w:val="auto"/>
              </w:rPr>
              <w:t>49.588</w:t>
            </w:r>
          </w:p>
        </w:tc>
        <w:tc>
          <w:tcPr>
            <w:tcW w:w="1548" w:type="dxa"/>
            <w:noWrap w:val="0"/>
            <w:vAlign w:val="center"/>
          </w:tcPr>
          <w:p w14:paraId="266CA4D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31233.26</w:t>
            </w:r>
          </w:p>
        </w:tc>
        <w:tc>
          <w:tcPr>
            <w:tcW w:w="1548" w:type="dxa"/>
            <w:noWrap w:val="0"/>
            <w:vAlign w:val="center"/>
          </w:tcPr>
          <w:p w14:paraId="3909A3E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.04</w:t>
            </w:r>
          </w:p>
        </w:tc>
        <w:tc>
          <w:tcPr>
            <w:tcW w:w="1548" w:type="dxa"/>
            <w:noWrap w:val="0"/>
            <w:vAlign w:val="center"/>
          </w:tcPr>
          <w:p w14:paraId="3B8021F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7170.65</w:t>
            </w:r>
          </w:p>
        </w:tc>
        <w:tc>
          <w:tcPr>
            <w:tcW w:w="1629" w:type="dxa"/>
            <w:noWrap w:val="0"/>
            <w:vAlign w:val="center"/>
          </w:tcPr>
          <w:p w14:paraId="1FDF315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1</w:t>
            </w:r>
            <w:r>
              <w:rPr>
                <w:rFonts w:hint="default" w:ascii="Times New Roman" w:hAnsi="Times New Roman" w:cs="Times New Roman"/>
                <w:color w:val="auto"/>
              </w:rPr>
              <w:t>7495.44</w:t>
            </w:r>
          </w:p>
        </w:tc>
      </w:tr>
      <w:tr w14:paraId="69A19FA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26E5A56B">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4</w:t>
            </w:r>
            <w:r>
              <w:rPr>
                <w:rFonts w:hint="default" w:ascii="Times New Roman" w:hAnsi="Times New Roman" w:cs="Times New Roman"/>
                <w:color w:val="auto"/>
              </w:rPr>
              <w:t>00</w:t>
            </w:r>
          </w:p>
        </w:tc>
        <w:tc>
          <w:tcPr>
            <w:tcW w:w="1548" w:type="dxa"/>
            <w:noWrap w:val="0"/>
            <w:vAlign w:val="center"/>
          </w:tcPr>
          <w:p w14:paraId="1DCDF13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7</w:t>
            </w:r>
            <w:r>
              <w:rPr>
                <w:rFonts w:hint="default" w:ascii="Times New Roman" w:hAnsi="Times New Roman" w:cs="Times New Roman"/>
                <w:color w:val="auto"/>
              </w:rPr>
              <w:t>50.07</w:t>
            </w:r>
          </w:p>
        </w:tc>
        <w:tc>
          <w:tcPr>
            <w:tcW w:w="1548" w:type="dxa"/>
            <w:noWrap w:val="0"/>
            <w:vAlign w:val="center"/>
          </w:tcPr>
          <w:p w14:paraId="373361F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w:t>
            </w:r>
            <w:r>
              <w:rPr>
                <w:rFonts w:hint="default" w:ascii="Times New Roman" w:hAnsi="Times New Roman" w:cs="Times New Roman"/>
                <w:color w:val="auto"/>
              </w:rPr>
              <w:t>41644.35</w:t>
            </w:r>
          </w:p>
        </w:tc>
        <w:tc>
          <w:tcPr>
            <w:tcW w:w="1548" w:type="dxa"/>
            <w:noWrap w:val="0"/>
            <w:vAlign w:val="center"/>
          </w:tcPr>
          <w:p w14:paraId="1E6C462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.03</w:t>
            </w:r>
          </w:p>
        </w:tc>
        <w:tc>
          <w:tcPr>
            <w:tcW w:w="1548" w:type="dxa"/>
            <w:noWrap w:val="0"/>
            <w:vAlign w:val="center"/>
          </w:tcPr>
          <w:p w14:paraId="73A1A33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2894.2</w:t>
            </w:r>
          </w:p>
        </w:tc>
        <w:tc>
          <w:tcPr>
            <w:tcW w:w="1629" w:type="dxa"/>
            <w:noWrap w:val="0"/>
            <w:vAlign w:val="center"/>
          </w:tcPr>
          <w:p w14:paraId="4D93FC0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23269.23</w:t>
            </w:r>
          </w:p>
        </w:tc>
      </w:tr>
      <w:tr w14:paraId="6A48416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547B414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w:t>
            </w:r>
            <w:r>
              <w:rPr>
                <w:rFonts w:hint="default" w:ascii="Times New Roman" w:hAnsi="Times New Roman" w:cs="Times New Roman"/>
                <w:color w:val="auto"/>
              </w:rPr>
              <w:t>00</w:t>
            </w:r>
          </w:p>
        </w:tc>
        <w:tc>
          <w:tcPr>
            <w:tcW w:w="1548" w:type="dxa"/>
            <w:noWrap w:val="0"/>
            <w:vAlign w:val="center"/>
          </w:tcPr>
          <w:p w14:paraId="36CCC7C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8</w:t>
            </w:r>
            <w:r>
              <w:rPr>
                <w:rFonts w:hint="default" w:ascii="Times New Roman" w:hAnsi="Times New Roman" w:cs="Times New Roman"/>
                <w:color w:val="auto"/>
              </w:rPr>
              <w:t>38.60</w:t>
            </w:r>
          </w:p>
        </w:tc>
        <w:tc>
          <w:tcPr>
            <w:tcW w:w="1548" w:type="dxa"/>
            <w:noWrap w:val="0"/>
            <w:vAlign w:val="center"/>
          </w:tcPr>
          <w:p w14:paraId="4DF4862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5</w:t>
            </w:r>
            <w:r>
              <w:rPr>
                <w:rFonts w:hint="default" w:ascii="Times New Roman" w:hAnsi="Times New Roman" w:cs="Times New Roman"/>
                <w:color w:val="auto"/>
              </w:rPr>
              <w:t>52055.44</w:t>
            </w:r>
          </w:p>
        </w:tc>
        <w:tc>
          <w:tcPr>
            <w:tcW w:w="1548" w:type="dxa"/>
            <w:noWrap w:val="0"/>
            <w:vAlign w:val="center"/>
          </w:tcPr>
          <w:p w14:paraId="75C0F74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.02</w:t>
            </w:r>
          </w:p>
        </w:tc>
        <w:tc>
          <w:tcPr>
            <w:tcW w:w="1548" w:type="dxa"/>
            <w:noWrap w:val="0"/>
            <w:vAlign w:val="center"/>
          </w:tcPr>
          <w:p w14:paraId="1E28AF7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8617.75</w:t>
            </w:r>
          </w:p>
        </w:tc>
        <w:tc>
          <w:tcPr>
            <w:tcW w:w="1629" w:type="dxa"/>
            <w:noWrap w:val="0"/>
            <w:vAlign w:val="center"/>
          </w:tcPr>
          <w:p w14:paraId="3BFF08C2">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2</w:t>
            </w:r>
            <w:r>
              <w:rPr>
                <w:rFonts w:hint="default" w:ascii="Times New Roman" w:hAnsi="Times New Roman" w:cs="Times New Roman"/>
                <w:color w:val="auto"/>
              </w:rPr>
              <w:t>9037.05</w:t>
            </w:r>
          </w:p>
        </w:tc>
      </w:tr>
      <w:tr w14:paraId="33642D6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67E91B63">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6</w:t>
            </w:r>
            <w:r>
              <w:rPr>
                <w:rFonts w:hint="default" w:ascii="Times New Roman" w:hAnsi="Times New Roman" w:cs="Times New Roman"/>
                <w:color w:val="auto"/>
              </w:rPr>
              <w:t>00</w:t>
            </w:r>
          </w:p>
        </w:tc>
        <w:tc>
          <w:tcPr>
            <w:tcW w:w="1548" w:type="dxa"/>
            <w:noWrap w:val="0"/>
            <w:vAlign w:val="center"/>
          </w:tcPr>
          <w:p w14:paraId="3EB3287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9</w:t>
            </w:r>
            <w:r>
              <w:rPr>
                <w:rFonts w:hint="default" w:ascii="Times New Roman" w:hAnsi="Times New Roman" w:cs="Times New Roman"/>
                <w:color w:val="auto"/>
              </w:rPr>
              <w:t>18.64</w:t>
            </w:r>
          </w:p>
        </w:tc>
        <w:tc>
          <w:tcPr>
            <w:tcW w:w="1548" w:type="dxa"/>
            <w:noWrap w:val="0"/>
            <w:vAlign w:val="center"/>
          </w:tcPr>
          <w:p w14:paraId="171800EE">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6</w:t>
            </w:r>
            <w:r>
              <w:rPr>
                <w:rFonts w:hint="default" w:ascii="Times New Roman" w:hAnsi="Times New Roman" w:cs="Times New Roman"/>
                <w:color w:val="auto"/>
              </w:rPr>
              <w:t>62466.53</w:t>
            </w:r>
          </w:p>
        </w:tc>
        <w:tc>
          <w:tcPr>
            <w:tcW w:w="1548" w:type="dxa"/>
            <w:noWrap w:val="0"/>
            <w:vAlign w:val="center"/>
          </w:tcPr>
          <w:p w14:paraId="52B5C14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.02</w:t>
            </w:r>
          </w:p>
        </w:tc>
        <w:tc>
          <w:tcPr>
            <w:tcW w:w="1548" w:type="dxa"/>
            <w:noWrap w:val="0"/>
            <w:vAlign w:val="center"/>
          </w:tcPr>
          <w:p w14:paraId="08DD1BCC">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4341.3</w:t>
            </w:r>
          </w:p>
        </w:tc>
        <w:tc>
          <w:tcPr>
            <w:tcW w:w="1629" w:type="dxa"/>
            <w:noWrap w:val="0"/>
            <w:vAlign w:val="center"/>
          </w:tcPr>
          <w:p w14:paraId="0388B5B9">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4800.62</w:t>
            </w:r>
          </w:p>
        </w:tc>
      </w:tr>
      <w:tr w14:paraId="155F05D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078C21A3">
            <w:pPr>
              <w:keepNext w:val="0"/>
              <w:keepLines w:val="0"/>
              <w:suppressLineNumbers w:val="0"/>
              <w:spacing w:before="0" w:beforeAutospacing="0" w:after="0" w:afterAutospacing="0"/>
              <w:ind w:left="0" w:right="0"/>
              <w:jc w:val="center"/>
              <w:rPr>
                <w:rFonts w:hint="eastAsia" w:ascii="Times New Roman" w:hAnsi="Times New Roman" w:cs="Times New Roman"/>
                <w:color w:val="auto"/>
              </w:rPr>
            </w:pPr>
            <w:r>
              <w:rPr>
                <w:rFonts w:hint="eastAsia" w:ascii="Times New Roman" w:hAnsi="Times New Roman" w:cs="Times New Roman"/>
                <w:color w:val="auto"/>
              </w:rPr>
              <w:t>6</w:t>
            </w:r>
            <w:r>
              <w:rPr>
                <w:rFonts w:hint="default" w:ascii="Times New Roman" w:hAnsi="Times New Roman" w:cs="Times New Roman"/>
                <w:color w:val="auto"/>
              </w:rPr>
              <w:t>12</w:t>
            </w:r>
          </w:p>
        </w:tc>
        <w:tc>
          <w:tcPr>
            <w:tcW w:w="1548" w:type="dxa"/>
            <w:noWrap w:val="0"/>
            <w:vAlign w:val="center"/>
          </w:tcPr>
          <w:p w14:paraId="4E4453B0">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9</w:t>
            </w:r>
            <w:r>
              <w:rPr>
                <w:rFonts w:hint="default" w:ascii="Times New Roman" w:hAnsi="Times New Roman" w:cs="Times New Roman"/>
                <w:color w:val="auto"/>
              </w:rPr>
              <w:t>19.95</w:t>
            </w:r>
          </w:p>
        </w:tc>
        <w:tc>
          <w:tcPr>
            <w:tcW w:w="1548" w:type="dxa"/>
            <w:noWrap w:val="0"/>
            <w:vAlign w:val="center"/>
          </w:tcPr>
          <w:p w14:paraId="066FB02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6</w:t>
            </w:r>
            <w:r>
              <w:rPr>
                <w:rFonts w:hint="default" w:ascii="Times New Roman" w:hAnsi="Times New Roman" w:cs="Times New Roman"/>
                <w:color w:val="auto"/>
              </w:rPr>
              <w:t>64351.78</w:t>
            </w:r>
          </w:p>
        </w:tc>
        <w:tc>
          <w:tcPr>
            <w:tcW w:w="1548" w:type="dxa"/>
            <w:noWrap w:val="0"/>
            <w:vAlign w:val="center"/>
          </w:tcPr>
          <w:p w14:paraId="201C8E6F">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0</w:t>
            </w:r>
            <w:r>
              <w:rPr>
                <w:rFonts w:hint="default" w:ascii="Times New Roman" w:hAnsi="Times New Roman" w:cs="Times New Roman"/>
                <w:color w:val="auto"/>
              </w:rPr>
              <w:t>.02</w:t>
            </w:r>
          </w:p>
        </w:tc>
        <w:tc>
          <w:tcPr>
            <w:tcW w:w="1548" w:type="dxa"/>
            <w:noWrap w:val="0"/>
            <w:vAlign w:val="center"/>
          </w:tcPr>
          <w:p w14:paraId="179A6014">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4439.32533</w:t>
            </w:r>
          </w:p>
        </w:tc>
        <w:tc>
          <w:tcPr>
            <w:tcW w:w="1629" w:type="dxa"/>
            <w:noWrap w:val="0"/>
            <w:vAlign w:val="center"/>
          </w:tcPr>
          <w:p w14:paraId="54169BB1">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3</w:t>
            </w:r>
            <w:r>
              <w:rPr>
                <w:rFonts w:hint="default" w:ascii="Times New Roman" w:hAnsi="Times New Roman" w:cs="Times New Roman"/>
                <w:color w:val="auto"/>
              </w:rPr>
              <w:t>4899.30</w:t>
            </w:r>
          </w:p>
        </w:tc>
      </w:tr>
      <w:tr w14:paraId="538B009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211" w:type="dxa"/>
            <w:noWrap w:val="0"/>
            <w:vAlign w:val="center"/>
          </w:tcPr>
          <w:p w14:paraId="2C5FC83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7</w:t>
            </w:r>
            <w:r>
              <w:rPr>
                <w:rFonts w:hint="default" w:ascii="Times New Roman" w:hAnsi="Times New Roman" w:cs="Times New Roman"/>
                <w:color w:val="auto"/>
              </w:rPr>
              <w:t>00</w:t>
            </w:r>
          </w:p>
        </w:tc>
        <w:tc>
          <w:tcPr>
            <w:tcW w:w="1548" w:type="dxa"/>
            <w:noWrap w:val="0"/>
            <w:vAlign w:val="center"/>
          </w:tcPr>
          <w:p w14:paraId="75DE68BB">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9</w:t>
            </w:r>
            <w:r>
              <w:rPr>
                <w:rFonts w:hint="default" w:ascii="Times New Roman" w:hAnsi="Times New Roman" w:cs="Times New Roman"/>
                <w:color w:val="auto"/>
              </w:rPr>
              <w:t>92.25</w:t>
            </w:r>
          </w:p>
        </w:tc>
        <w:tc>
          <w:tcPr>
            <w:tcW w:w="1548" w:type="dxa"/>
            <w:noWrap w:val="0"/>
            <w:vAlign w:val="center"/>
          </w:tcPr>
          <w:p w14:paraId="69BED3D6">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7</w:t>
            </w:r>
            <w:r>
              <w:rPr>
                <w:rFonts w:hint="default" w:ascii="Times New Roman" w:hAnsi="Times New Roman" w:cs="Times New Roman"/>
                <w:color w:val="auto"/>
              </w:rPr>
              <w:t>72877.616</w:t>
            </w:r>
          </w:p>
        </w:tc>
        <w:tc>
          <w:tcPr>
            <w:tcW w:w="1548" w:type="dxa"/>
            <w:noWrap w:val="0"/>
            <w:vAlign w:val="center"/>
          </w:tcPr>
          <w:p w14:paraId="22B31C9D">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cs="Times New Roman"/>
                <w:color w:val="auto"/>
              </w:rPr>
              <w:t>0</w:t>
            </w:r>
            <w:r>
              <w:rPr>
                <w:rFonts w:hint="eastAsia" w:ascii="Times New Roman" w:hAnsi="Times New Roman" w:cs="Times New Roman"/>
                <w:color w:val="auto"/>
              </w:rPr>
              <w:t>.</w:t>
            </w:r>
            <w:r>
              <w:rPr>
                <w:rFonts w:hint="default" w:ascii="Times New Roman" w:hAnsi="Times New Roman" w:cs="Times New Roman"/>
                <w:color w:val="auto"/>
              </w:rPr>
              <w:t>02</w:t>
            </w:r>
          </w:p>
        </w:tc>
        <w:tc>
          <w:tcPr>
            <w:tcW w:w="1548" w:type="dxa"/>
            <w:noWrap w:val="0"/>
            <w:vAlign w:val="center"/>
          </w:tcPr>
          <w:p w14:paraId="22B4B027">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w:t>
            </w:r>
            <w:r>
              <w:rPr>
                <w:rFonts w:hint="default" w:ascii="Times New Roman" w:hAnsi="Times New Roman" w:cs="Times New Roman"/>
                <w:color w:val="auto"/>
              </w:rPr>
              <w:t>0064.85</w:t>
            </w:r>
          </w:p>
        </w:tc>
        <w:tc>
          <w:tcPr>
            <w:tcW w:w="1629" w:type="dxa"/>
            <w:noWrap w:val="0"/>
            <w:vAlign w:val="center"/>
          </w:tcPr>
          <w:p w14:paraId="6DA7B8B5">
            <w:pPr>
              <w:keepNext w:val="0"/>
              <w:keepLines w:val="0"/>
              <w:suppressLineNumbers w:val="0"/>
              <w:spacing w:before="0" w:beforeAutospacing="0" w:after="0" w:afterAutospacing="0"/>
              <w:ind w:left="0" w:right="0"/>
              <w:jc w:val="center"/>
              <w:rPr>
                <w:rFonts w:hint="default" w:ascii="Times New Roman" w:hAnsi="Times New Roman" w:cs="Times New Roman"/>
                <w:color w:val="auto"/>
              </w:rPr>
            </w:pPr>
            <w:r>
              <w:rPr>
                <w:rFonts w:hint="eastAsia" w:ascii="Times New Roman" w:hAnsi="Times New Roman" w:cs="Times New Roman"/>
                <w:color w:val="auto"/>
              </w:rPr>
              <w:t>4</w:t>
            </w:r>
            <w:r>
              <w:rPr>
                <w:rFonts w:hint="default" w:ascii="Times New Roman" w:hAnsi="Times New Roman" w:cs="Times New Roman"/>
                <w:color w:val="auto"/>
              </w:rPr>
              <w:t>0560.97</w:t>
            </w:r>
          </w:p>
        </w:tc>
      </w:tr>
    </w:tbl>
    <w:p w14:paraId="23FFB08C">
      <w:pPr>
        <w:spacing w:line="360" w:lineRule="auto"/>
        <w:ind w:firstLine="480" w:firstLineChars="200"/>
        <w:rPr>
          <w:color w:val="auto"/>
          <w:kern w:val="0"/>
          <w:sz w:val="24"/>
          <w:szCs w:val="24"/>
        </w:rPr>
      </w:pPr>
      <w:r>
        <w:rPr>
          <w:color w:val="auto"/>
          <w:kern w:val="0"/>
          <w:sz w:val="24"/>
          <w:szCs w:val="24"/>
        </w:rPr>
        <w:t>根据公式，从溢油发生到10min以前为油膜的扩展阶段，近似为圆形，10min后油膜接触河流两岸，近似为长方形，后续油膜的扩延主要为漂移阶段。丰水期时，河流径流量大，河水流速较快，根据预测结果，如不计河岸滩对油膜的粘附作用，事故发生后612min，油膜达到临界厚度0.02mm，油膜前端漂移距离为34899.30m将会被破坏呈分散状，实际扩延过程中，油膜破散发生的时间将会提前。油膜破坏后，将在水力和风力作用下继续发生分散、乳化、氧化、生物降解等，即受环境因素影响所发生的物理学变化，在一定的时间内逐步消散。</w:t>
      </w:r>
    </w:p>
    <w:p w14:paraId="68AE6FC9">
      <w:pPr>
        <w:spacing w:line="360" w:lineRule="auto"/>
        <w:ind w:firstLine="480" w:firstLineChars="200"/>
        <w:rPr>
          <w:color w:val="auto"/>
          <w:kern w:val="0"/>
          <w:sz w:val="24"/>
          <w:szCs w:val="24"/>
        </w:rPr>
      </w:pPr>
      <w:r>
        <w:rPr>
          <w:color w:val="auto"/>
          <w:kern w:val="0"/>
          <w:sz w:val="24"/>
          <w:szCs w:val="24"/>
        </w:rPr>
        <w:t>根据事故发生后油膜扩延预测结果，油膜到达下游</w:t>
      </w:r>
      <w:r>
        <w:rPr>
          <w:rFonts w:hint="eastAsia"/>
          <w:color w:val="auto"/>
          <w:kern w:val="0"/>
          <w:sz w:val="24"/>
          <w:szCs w:val="24"/>
        </w:rPr>
        <w:t>淮南第四自来水厂</w:t>
      </w:r>
      <w:r>
        <w:rPr>
          <w:color w:val="auto"/>
          <w:kern w:val="0"/>
          <w:sz w:val="24"/>
          <w:szCs w:val="24"/>
        </w:rPr>
        <w:t>饮用水源保护区</w:t>
      </w:r>
      <w:r>
        <w:rPr>
          <w:rFonts w:hint="eastAsia"/>
          <w:color w:val="auto"/>
          <w:kern w:val="0"/>
          <w:sz w:val="24"/>
          <w:szCs w:val="24"/>
          <w:lang w:eastAsia="zh-CN"/>
        </w:rPr>
        <w:t>（</w:t>
      </w:r>
      <w:r>
        <w:rPr>
          <w:rFonts w:hint="eastAsia"/>
          <w:color w:val="auto"/>
          <w:kern w:val="0"/>
          <w:sz w:val="24"/>
          <w:szCs w:val="24"/>
          <w:lang w:val="en-US" w:eastAsia="zh-CN"/>
        </w:rPr>
        <w:t>二级保护区</w:t>
      </w:r>
      <w:r>
        <w:rPr>
          <w:rFonts w:hint="eastAsia"/>
          <w:color w:val="auto"/>
          <w:kern w:val="0"/>
          <w:sz w:val="24"/>
          <w:szCs w:val="24"/>
          <w:lang w:eastAsia="zh-CN"/>
        </w:rPr>
        <w:t>）</w:t>
      </w:r>
      <w:r>
        <w:rPr>
          <w:color w:val="auto"/>
          <w:kern w:val="0"/>
          <w:sz w:val="24"/>
          <w:szCs w:val="24"/>
        </w:rPr>
        <w:t>的时间约为</w:t>
      </w:r>
      <w:r>
        <w:rPr>
          <w:rFonts w:hint="eastAsia"/>
          <w:color w:val="auto"/>
          <w:kern w:val="0"/>
          <w:sz w:val="24"/>
          <w:szCs w:val="24"/>
          <w:lang w:val="en-US" w:eastAsia="zh-CN"/>
        </w:rPr>
        <w:t>60</w:t>
      </w:r>
      <w:r>
        <w:rPr>
          <w:color w:val="auto"/>
          <w:kern w:val="0"/>
          <w:sz w:val="24"/>
          <w:szCs w:val="24"/>
        </w:rPr>
        <w:t>min，在此期间应立即启动溢油事故应急措施，清除油污，减缓油污对饮用水源环境影响。</w:t>
      </w:r>
    </w:p>
    <w:p w14:paraId="262BDD27">
      <w:pPr>
        <w:spacing w:line="360" w:lineRule="auto"/>
        <w:ind w:firstLine="480" w:firstLineChars="200"/>
        <w:rPr>
          <w:color w:val="auto"/>
          <w:kern w:val="0"/>
          <w:sz w:val="24"/>
          <w:szCs w:val="24"/>
        </w:rPr>
      </w:pPr>
      <w:r>
        <w:rPr>
          <w:color w:val="auto"/>
          <w:kern w:val="0"/>
          <w:sz w:val="24"/>
          <w:szCs w:val="24"/>
        </w:rPr>
        <w:t>（</w:t>
      </w:r>
      <w:r>
        <w:rPr>
          <w:rFonts w:hint="eastAsia"/>
          <w:color w:val="auto"/>
          <w:kern w:val="0"/>
          <w:sz w:val="24"/>
          <w:szCs w:val="24"/>
        </w:rPr>
        <w:t>1</w:t>
      </w:r>
      <w:r>
        <w:rPr>
          <w:color w:val="auto"/>
          <w:kern w:val="0"/>
          <w:sz w:val="24"/>
          <w:szCs w:val="24"/>
        </w:rPr>
        <w:t>）淮河淮南段长吻鮠水产种质资源保护区风险防范措施</w:t>
      </w:r>
    </w:p>
    <w:p w14:paraId="635EB4F1">
      <w:pPr>
        <w:spacing w:line="360" w:lineRule="auto"/>
        <w:ind w:firstLine="480" w:firstLineChars="200"/>
        <w:rPr>
          <w:rFonts w:hint="eastAsia"/>
          <w:color w:val="auto"/>
          <w:kern w:val="0"/>
          <w:sz w:val="24"/>
          <w:szCs w:val="24"/>
        </w:rPr>
      </w:pPr>
      <w:r>
        <w:rPr>
          <w:color w:val="auto"/>
          <w:kern w:val="0"/>
          <w:sz w:val="24"/>
          <w:szCs w:val="24"/>
        </w:rPr>
        <w:t>根据预测结果，作业区发生运输货船燃料油泄漏</w:t>
      </w:r>
      <w:r>
        <w:rPr>
          <w:rFonts w:hint="eastAsia"/>
          <w:color w:val="auto"/>
          <w:kern w:val="0"/>
          <w:sz w:val="24"/>
          <w:szCs w:val="24"/>
        </w:rPr>
        <w:t>1min后，油膜即可到达淮河淮南段长吻鮠水产种质资源保护区。由于应急时间短，在发生燃油泄漏事故后，港区应急救援组应当立即启动应急救援行动，在事故水域投放围油栏控制油膜扩散、投放吸油毡等回收已泄漏的油料，在种质资源保护区投放溢油分散剂尽可能消除油料对保护区鱼类及其他水生生物的影响。</w:t>
      </w:r>
    </w:p>
    <w:p w14:paraId="4C83B132">
      <w:pPr>
        <w:spacing w:line="360" w:lineRule="auto"/>
        <w:ind w:firstLine="480" w:firstLineChars="200"/>
        <w:rPr>
          <w:color w:val="auto"/>
          <w:kern w:val="0"/>
          <w:sz w:val="24"/>
          <w:szCs w:val="24"/>
        </w:rPr>
      </w:pPr>
      <w:r>
        <w:rPr>
          <w:color w:val="auto"/>
          <w:kern w:val="0"/>
          <w:sz w:val="24"/>
          <w:szCs w:val="24"/>
        </w:rPr>
        <w:t>（</w:t>
      </w:r>
      <w:r>
        <w:rPr>
          <w:rFonts w:hint="eastAsia"/>
          <w:color w:val="auto"/>
          <w:kern w:val="0"/>
          <w:sz w:val="24"/>
          <w:szCs w:val="24"/>
        </w:rPr>
        <w:t>2</w:t>
      </w:r>
      <w:r>
        <w:rPr>
          <w:color w:val="auto"/>
          <w:kern w:val="0"/>
          <w:sz w:val="24"/>
          <w:szCs w:val="24"/>
        </w:rPr>
        <w:t>）饮用水源保护区风险防范措施</w:t>
      </w:r>
    </w:p>
    <w:p w14:paraId="3CC6CA1F">
      <w:pPr>
        <w:spacing w:line="360" w:lineRule="auto"/>
        <w:ind w:firstLine="480" w:firstLineChars="200"/>
        <w:rPr>
          <w:rFonts w:hint="eastAsia"/>
          <w:color w:val="auto"/>
          <w:kern w:val="0"/>
          <w:sz w:val="24"/>
          <w:szCs w:val="24"/>
          <w:highlight w:val="lightGray"/>
        </w:rPr>
      </w:pPr>
      <w:r>
        <w:rPr>
          <w:rFonts w:hint="eastAsia"/>
          <w:color w:val="auto"/>
          <w:kern w:val="0"/>
          <w:sz w:val="24"/>
          <w:szCs w:val="24"/>
        </w:rPr>
        <w:t>根据预测结果，作业区发生运输货船燃料油泄漏</w:t>
      </w:r>
      <w:r>
        <w:rPr>
          <w:rFonts w:hint="eastAsia"/>
          <w:color w:val="auto"/>
          <w:kern w:val="0"/>
          <w:sz w:val="24"/>
          <w:szCs w:val="24"/>
          <w:lang w:val="en-US" w:eastAsia="zh-CN"/>
        </w:rPr>
        <w:t>60</w:t>
      </w:r>
      <w:r>
        <w:rPr>
          <w:color w:val="auto"/>
          <w:kern w:val="0"/>
          <w:sz w:val="24"/>
          <w:szCs w:val="24"/>
        </w:rPr>
        <w:t>min后，油膜即可到达</w:t>
      </w:r>
      <w:r>
        <w:rPr>
          <w:rFonts w:hint="eastAsia"/>
          <w:color w:val="auto"/>
          <w:sz w:val="24"/>
        </w:rPr>
        <w:t>淮南第四自来水厂</w:t>
      </w:r>
      <w:r>
        <w:rPr>
          <w:color w:val="auto"/>
          <w:kern w:val="0"/>
          <w:sz w:val="24"/>
          <w:szCs w:val="24"/>
        </w:rPr>
        <w:t>饮用水源保护区，在发生燃油泄漏事故后，</w:t>
      </w:r>
      <w:r>
        <w:rPr>
          <w:rFonts w:hint="eastAsia"/>
          <w:color w:val="auto"/>
          <w:kern w:val="0"/>
          <w:sz w:val="24"/>
          <w:szCs w:val="24"/>
        </w:rPr>
        <w:t>港区应急救援组应当立即启动应急救援行动，在事故水域投放围油栏控制油膜扩散、投放吸油毡等回收已泄漏的油料，并立即通知</w:t>
      </w:r>
      <w:r>
        <w:rPr>
          <w:rFonts w:hint="eastAsia"/>
          <w:color w:val="auto"/>
          <w:sz w:val="24"/>
        </w:rPr>
        <w:t>淮南第四自来水厂</w:t>
      </w:r>
      <w:r>
        <w:rPr>
          <w:rFonts w:hint="eastAsia"/>
          <w:color w:val="auto"/>
          <w:kern w:val="0"/>
          <w:sz w:val="24"/>
          <w:szCs w:val="24"/>
        </w:rPr>
        <w:t>上游事故情况，密切监测地表水质，在必要时，</w:t>
      </w:r>
      <w:r>
        <w:rPr>
          <w:rFonts w:hint="eastAsia"/>
          <w:color w:val="auto"/>
          <w:sz w:val="24"/>
        </w:rPr>
        <w:t>淮南第四自来水厂</w:t>
      </w:r>
      <w:r>
        <w:rPr>
          <w:rFonts w:hint="eastAsia"/>
          <w:color w:val="auto"/>
          <w:kern w:val="0"/>
          <w:sz w:val="24"/>
          <w:szCs w:val="24"/>
        </w:rPr>
        <w:t>及时调整取水时间，对饮用水源取水影响不明显。</w:t>
      </w:r>
    </w:p>
    <w:p w14:paraId="7906EBC9">
      <w:pPr>
        <w:pStyle w:val="3"/>
        <w:numPr>
          <w:ilvl w:val="0"/>
          <w:numId w:val="0"/>
        </w:numPr>
        <w:rPr>
          <w:color w:val="auto"/>
        </w:rPr>
      </w:pPr>
      <w:bookmarkStart w:id="288" w:name="_Toc30834"/>
      <w:r>
        <w:rPr>
          <w:rFonts w:hint="eastAsia"/>
          <w:color w:val="auto"/>
        </w:rPr>
        <w:t>5.4进港道路运输影响分析</w:t>
      </w:r>
      <w:bookmarkEnd w:id="288"/>
    </w:p>
    <w:p w14:paraId="18EECC17">
      <w:pPr>
        <w:spacing w:line="360" w:lineRule="auto"/>
        <w:ind w:firstLine="480" w:firstLineChars="200"/>
        <w:rPr>
          <w:color w:val="auto"/>
          <w:sz w:val="24"/>
        </w:rPr>
      </w:pPr>
      <w:r>
        <w:rPr>
          <w:color w:val="auto"/>
          <w:sz w:val="24"/>
        </w:rPr>
        <w:t>项目码头</w:t>
      </w:r>
      <w:r>
        <w:rPr>
          <w:rFonts w:hint="eastAsia"/>
          <w:color w:val="auto"/>
          <w:sz w:val="24"/>
        </w:rPr>
        <w:t>运输</w:t>
      </w:r>
      <w:r>
        <w:rPr>
          <w:color w:val="auto"/>
          <w:sz w:val="24"/>
        </w:rPr>
        <w:t>道路为进港道路和</w:t>
      </w:r>
      <w:r>
        <w:rPr>
          <w:rFonts w:hint="eastAsia"/>
          <w:color w:val="auto"/>
          <w:sz w:val="24"/>
        </w:rPr>
        <w:t>X011县道</w:t>
      </w:r>
      <w:r>
        <w:rPr>
          <w:color w:val="auto"/>
          <w:sz w:val="24"/>
        </w:rPr>
        <w:t>，进出港货物经</w:t>
      </w:r>
      <w:r>
        <w:rPr>
          <w:rFonts w:hint="eastAsia"/>
          <w:color w:val="auto"/>
          <w:sz w:val="24"/>
        </w:rPr>
        <w:t>作业区</w:t>
      </w:r>
      <w:r>
        <w:rPr>
          <w:color w:val="auto"/>
          <w:sz w:val="24"/>
        </w:rPr>
        <w:t>进港道路后进入</w:t>
      </w:r>
      <w:r>
        <w:rPr>
          <w:rFonts w:hint="eastAsia"/>
          <w:color w:val="auto"/>
          <w:sz w:val="24"/>
        </w:rPr>
        <w:t>X011县道</w:t>
      </w:r>
      <w:r>
        <w:rPr>
          <w:color w:val="auto"/>
          <w:sz w:val="24"/>
        </w:rPr>
        <w:t>，由于</w:t>
      </w:r>
      <w:r>
        <w:rPr>
          <w:rFonts w:hint="eastAsia"/>
          <w:color w:val="auto"/>
          <w:sz w:val="24"/>
        </w:rPr>
        <w:t>X011县道</w:t>
      </w:r>
      <w:r>
        <w:rPr>
          <w:color w:val="auto"/>
          <w:sz w:val="24"/>
        </w:rPr>
        <w:t>在设计时已考虑不同时期的交通量增加带来的环境影响，本次评价主要考虑</w:t>
      </w:r>
      <w:r>
        <w:rPr>
          <w:rFonts w:hint="eastAsia"/>
          <w:color w:val="auto"/>
          <w:sz w:val="24"/>
        </w:rPr>
        <w:t>进港道路运输过程对周边环境的影响，主要考虑</w:t>
      </w:r>
      <w:r>
        <w:rPr>
          <w:color w:val="auto"/>
          <w:sz w:val="24"/>
        </w:rPr>
        <w:t>以下几个方面</w:t>
      </w:r>
      <w:r>
        <w:rPr>
          <w:rFonts w:hint="eastAsia"/>
          <w:color w:val="auto"/>
          <w:sz w:val="24"/>
        </w:rPr>
        <w:t>：</w:t>
      </w:r>
    </w:p>
    <w:p w14:paraId="4439AD7C">
      <w:pPr>
        <w:spacing w:line="360" w:lineRule="auto"/>
        <w:ind w:firstLine="480" w:firstLineChars="200"/>
        <w:rPr>
          <w:color w:val="auto"/>
          <w:sz w:val="24"/>
        </w:rPr>
      </w:pPr>
      <w:r>
        <w:rPr>
          <w:rFonts w:hint="eastAsia"/>
          <w:color w:val="auto"/>
          <w:sz w:val="24"/>
        </w:rPr>
        <w:t>（1）</w:t>
      </w:r>
      <w:r>
        <w:rPr>
          <w:color w:val="auto"/>
          <w:sz w:val="24"/>
        </w:rPr>
        <w:t>由于本项目的建设，</w:t>
      </w:r>
      <w:r>
        <w:rPr>
          <w:rFonts w:hint="eastAsia"/>
          <w:color w:val="auto"/>
          <w:sz w:val="24"/>
        </w:rPr>
        <w:t>进港</w:t>
      </w:r>
      <w:r>
        <w:rPr>
          <w:color w:val="auto"/>
          <w:sz w:val="24"/>
        </w:rPr>
        <w:t>运输车辆增加，可能对沿线居民的日常出行生活、安全产生影响</w:t>
      </w:r>
      <w:r>
        <w:rPr>
          <w:rFonts w:hint="eastAsia"/>
          <w:color w:val="auto"/>
          <w:sz w:val="24"/>
        </w:rPr>
        <w:t>；</w:t>
      </w:r>
    </w:p>
    <w:p w14:paraId="625F75D9">
      <w:pPr>
        <w:spacing w:line="360" w:lineRule="auto"/>
        <w:ind w:firstLine="480" w:firstLineChars="200"/>
        <w:rPr>
          <w:color w:val="auto"/>
          <w:sz w:val="24"/>
        </w:rPr>
      </w:pPr>
      <w:r>
        <w:rPr>
          <w:rFonts w:hint="eastAsia"/>
          <w:color w:val="auto"/>
          <w:sz w:val="24"/>
        </w:rPr>
        <w:t>（2）</w:t>
      </w:r>
      <w:r>
        <w:rPr>
          <w:color w:val="auto"/>
          <w:sz w:val="24"/>
        </w:rPr>
        <w:t>由于本项目建设</w:t>
      </w:r>
      <w:r>
        <w:rPr>
          <w:rFonts w:hint="eastAsia"/>
          <w:color w:val="auto"/>
          <w:sz w:val="24"/>
        </w:rPr>
        <w:t>进港道路</w:t>
      </w:r>
      <w:r>
        <w:rPr>
          <w:color w:val="auto"/>
          <w:sz w:val="24"/>
        </w:rPr>
        <w:t>运输车辆增加，道路扬尘对沿线大气环境产生影响</w:t>
      </w:r>
      <w:r>
        <w:rPr>
          <w:rFonts w:hint="eastAsia"/>
          <w:color w:val="auto"/>
          <w:sz w:val="24"/>
        </w:rPr>
        <w:t>；</w:t>
      </w:r>
    </w:p>
    <w:p w14:paraId="5EE1760E">
      <w:pPr>
        <w:spacing w:line="360" w:lineRule="auto"/>
        <w:ind w:firstLine="480" w:firstLineChars="200"/>
        <w:rPr>
          <w:color w:val="auto"/>
          <w:sz w:val="24"/>
        </w:rPr>
      </w:pPr>
      <w:r>
        <w:rPr>
          <w:rFonts w:hint="eastAsia"/>
          <w:color w:val="auto"/>
          <w:sz w:val="24"/>
        </w:rPr>
        <w:t>（3）</w:t>
      </w:r>
      <w:r>
        <w:rPr>
          <w:color w:val="auto"/>
          <w:sz w:val="24"/>
        </w:rPr>
        <w:t>由于本项目建设</w:t>
      </w:r>
      <w:r>
        <w:rPr>
          <w:rFonts w:hint="eastAsia"/>
          <w:color w:val="auto"/>
          <w:sz w:val="24"/>
        </w:rPr>
        <w:t>进港道路</w:t>
      </w:r>
      <w:r>
        <w:rPr>
          <w:color w:val="auto"/>
          <w:sz w:val="24"/>
        </w:rPr>
        <w:t>运输车辆增加，交通噪声对沿线居民产生影响。</w:t>
      </w:r>
    </w:p>
    <w:p w14:paraId="2E498692">
      <w:pPr>
        <w:spacing w:line="360" w:lineRule="auto"/>
        <w:ind w:firstLine="480" w:firstLineChars="200"/>
        <w:rPr>
          <w:color w:val="auto"/>
          <w:sz w:val="24"/>
        </w:rPr>
      </w:pPr>
      <w:r>
        <w:rPr>
          <w:color w:val="auto"/>
          <w:sz w:val="24"/>
        </w:rPr>
        <w:t>为了减小运输过程对沿线居民的声环境影响，建设方需采取以下措施</w:t>
      </w:r>
      <w:r>
        <w:rPr>
          <w:rFonts w:hint="eastAsia"/>
          <w:color w:val="auto"/>
          <w:sz w:val="24"/>
        </w:rPr>
        <w:t>：</w:t>
      </w:r>
    </w:p>
    <w:p w14:paraId="58A4EE53">
      <w:pPr>
        <w:spacing w:line="360" w:lineRule="auto"/>
        <w:ind w:firstLine="480" w:firstLineChars="200"/>
        <w:rPr>
          <w:color w:val="auto"/>
          <w:sz w:val="24"/>
        </w:rPr>
      </w:pPr>
      <w:r>
        <w:rPr>
          <w:rFonts w:hint="eastAsia"/>
          <w:color w:val="auto"/>
          <w:sz w:val="24"/>
        </w:rPr>
        <w:t>（1）</w:t>
      </w:r>
      <w:r>
        <w:rPr>
          <w:color w:val="auto"/>
          <w:sz w:val="24"/>
        </w:rPr>
        <w:t>规划好运输车辆的运行路线，按照规划的运输路线，不得擅自改变路线，使用指定的合格车辆进行运输，路过</w:t>
      </w:r>
      <w:r>
        <w:rPr>
          <w:rFonts w:hint="eastAsia"/>
          <w:color w:val="auto"/>
          <w:sz w:val="24"/>
        </w:rPr>
        <w:t>村庄</w:t>
      </w:r>
      <w:r>
        <w:rPr>
          <w:color w:val="auto"/>
          <w:sz w:val="24"/>
        </w:rPr>
        <w:t>时，应降低车辆行驶速度。应合理安排运输时间，避免夜间和休息时段进行</w:t>
      </w:r>
      <w:r>
        <w:rPr>
          <w:rFonts w:hint="eastAsia"/>
          <w:color w:val="auto"/>
          <w:sz w:val="24"/>
        </w:rPr>
        <w:t>；</w:t>
      </w:r>
    </w:p>
    <w:p w14:paraId="1BEAE5B5">
      <w:pPr>
        <w:spacing w:line="360" w:lineRule="auto"/>
        <w:ind w:firstLine="480" w:firstLineChars="200"/>
        <w:rPr>
          <w:color w:val="auto"/>
          <w:sz w:val="24"/>
        </w:rPr>
      </w:pPr>
      <w:r>
        <w:rPr>
          <w:rFonts w:hint="eastAsia"/>
          <w:color w:val="auto"/>
          <w:sz w:val="24"/>
        </w:rPr>
        <w:t>（2）</w:t>
      </w:r>
      <w:r>
        <w:rPr>
          <w:color w:val="auto"/>
          <w:sz w:val="24"/>
        </w:rPr>
        <w:t>加强对司乘人员的管理，要求遵守交通规则，文明驾驶，不得超速行驶，经过</w:t>
      </w:r>
      <w:r>
        <w:rPr>
          <w:rFonts w:hint="eastAsia"/>
          <w:color w:val="auto"/>
          <w:sz w:val="24"/>
        </w:rPr>
        <w:t>村庄</w:t>
      </w:r>
      <w:r>
        <w:rPr>
          <w:color w:val="auto"/>
          <w:sz w:val="24"/>
        </w:rPr>
        <w:t>时不要高速行驶，禁止鸣笛，同时</w:t>
      </w:r>
      <w:r>
        <w:rPr>
          <w:rFonts w:hint="eastAsia"/>
          <w:color w:val="auto"/>
          <w:sz w:val="24"/>
        </w:rPr>
        <w:t>港区</w:t>
      </w:r>
      <w:r>
        <w:rPr>
          <w:color w:val="auto"/>
          <w:sz w:val="24"/>
        </w:rPr>
        <w:t>应对沿线道路进行定期检查，若有损坏应进行补修，以尽可能减少对运输道路</w:t>
      </w:r>
      <w:r>
        <w:rPr>
          <w:rFonts w:hint="eastAsia"/>
          <w:color w:val="auto"/>
          <w:sz w:val="24"/>
        </w:rPr>
        <w:t>附近</w:t>
      </w:r>
      <w:r>
        <w:rPr>
          <w:color w:val="auto"/>
          <w:sz w:val="24"/>
        </w:rPr>
        <w:t>居民点的影响。</w:t>
      </w:r>
    </w:p>
    <w:p w14:paraId="391FF0A8">
      <w:pPr>
        <w:spacing w:line="360" w:lineRule="auto"/>
        <w:ind w:firstLine="480" w:firstLineChars="200"/>
        <w:rPr>
          <w:color w:val="auto"/>
          <w:sz w:val="24"/>
        </w:rPr>
      </w:pPr>
      <w:r>
        <w:rPr>
          <w:color w:val="auto"/>
          <w:sz w:val="24"/>
        </w:rPr>
        <w:t>此外，为减少运输沿线的扬尘以及沿线的交通安全，建设单位尚需采取以下措施</w:t>
      </w:r>
      <w:r>
        <w:rPr>
          <w:rFonts w:hint="eastAsia"/>
          <w:color w:val="auto"/>
          <w:sz w:val="24"/>
        </w:rPr>
        <w:t>：</w:t>
      </w:r>
    </w:p>
    <w:p w14:paraId="79614951">
      <w:pPr>
        <w:spacing w:line="360" w:lineRule="auto"/>
        <w:ind w:firstLine="480" w:firstLineChars="200"/>
        <w:rPr>
          <w:color w:val="auto"/>
          <w:sz w:val="24"/>
        </w:rPr>
      </w:pPr>
      <w:r>
        <w:rPr>
          <w:rFonts w:hint="eastAsia"/>
          <w:color w:val="auto"/>
          <w:sz w:val="24"/>
        </w:rPr>
        <w:t>（1）</w:t>
      </w:r>
      <w:r>
        <w:rPr>
          <w:color w:val="auto"/>
          <w:sz w:val="24"/>
        </w:rPr>
        <w:t>定期对进港道路进行清扫及洒水，</w:t>
      </w:r>
      <w:r>
        <w:rPr>
          <w:rFonts w:hint="eastAsia"/>
          <w:color w:val="auto"/>
          <w:sz w:val="24"/>
          <w:lang w:eastAsia="zh-CN"/>
        </w:rPr>
        <w:t>尽量减少</w:t>
      </w:r>
      <w:r>
        <w:rPr>
          <w:color w:val="auto"/>
          <w:sz w:val="24"/>
        </w:rPr>
        <w:t>道路扬尘污染</w:t>
      </w:r>
      <w:r>
        <w:rPr>
          <w:rFonts w:hint="eastAsia"/>
          <w:color w:val="auto"/>
          <w:sz w:val="24"/>
        </w:rPr>
        <w:t>；</w:t>
      </w:r>
    </w:p>
    <w:p w14:paraId="6F2DF417">
      <w:pPr>
        <w:spacing w:line="360" w:lineRule="auto"/>
        <w:ind w:firstLine="480" w:firstLineChars="200"/>
        <w:rPr>
          <w:color w:val="auto"/>
          <w:sz w:val="24"/>
        </w:rPr>
      </w:pPr>
      <w:r>
        <w:rPr>
          <w:rFonts w:hint="eastAsia"/>
          <w:color w:val="auto"/>
          <w:sz w:val="24"/>
        </w:rPr>
        <w:t>（2）</w:t>
      </w:r>
      <w:r>
        <w:rPr>
          <w:color w:val="auto"/>
          <w:sz w:val="24"/>
        </w:rPr>
        <w:t>做好运输车辆的密</w:t>
      </w:r>
      <w:r>
        <w:rPr>
          <w:rFonts w:hint="eastAsia"/>
          <w:color w:val="auto"/>
          <w:sz w:val="24"/>
        </w:rPr>
        <w:t>闭</w:t>
      </w:r>
      <w:r>
        <w:rPr>
          <w:color w:val="auto"/>
          <w:sz w:val="24"/>
        </w:rPr>
        <w:t>，对车辆加盖</w:t>
      </w:r>
      <w:r>
        <w:rPr>
          <w:rFonts w:hint="eastAsia"/>
          <w:color w:val="auto"/>
          <w:sz w:val="24"/>
          <w:lang w:eastAsia="zh-CN"/>
        </w:rPr>
        <w:t>篷布</w:t>
      </w:r>
      <w:r>
        <w:rPr>
          <w:rFonts w:hint="eastAsia"/>
          <w:color w:val="auto"/>
          <w:sz w:val="24"/>
        </w:rPr>
        <w:t>，</w:t>
      </w:r>
      <w:r>
        <w:rPr>
          <w:color w:val="auto"/>
          <w:sz w:val="24"/>
        </w:rPr>
        <w:t>并不得超载超过车帮，避免物料散落造成二次扬尘，同时装载不宜过满，保证运输过程中不散落，并限制车速，防止粉尘飞扬</w:t>
      </w:r>
      <w:r>
        <w:rPr>
          <w:rFonts w:hint="eastAsia"/>
          <w:color w:val="auto"/>
          <w:sz w:val="24"/>
        </w:rPr>
        <w:t>；</w:t>
      </w:r>
    </w:p>
    <w:p w14:paraId="5ACEB943">
      <w:pPr>
        <w:spacing w:line="360" w:lineRule="auto"/>
        <w:ind w:firstLine="480" w:firstLineChars="200"/>
        <w:rPr>
          <w:color w:val="auto"/>
          <w:sz w:val="24"/>
        </w:rPr>
      </w:pPr>
      <w:r>
        <w:rPr>
          <w:color w:val="auto"/>
          <w:sz w:val="24"/>
        </w:rPr>
        <w:t>综上所述，建设项目在采取</w:t>
      </w:r>
      <w:r>
        <w:rPr>
          <w:rFonts w:hint="eastAsia"/>
          <w:color w:val="auto"/>
          <w:sz w:val="24"/>
        </w:rPr>
        <w:t>一</w:t>
      </w:r>
      <w:r>
        <w:rPr>
          <w:color w:val="auto"/>
          <w:sz w:val="24"/>
        </w:rPr>
        <w:t>定的防治措施后，此外，进港道路沿线村庄</w:t>
      </w:r>
      <w:r>
        <w:rPr>
          <w:rFonts w:hint="eastAsia"/>
          <w:color w:val="auto"/>
          <w:sz w:val="24"/>
        </w:rPr>
        <w:t>影响较小</w:t>
      </w:r>
      <w:r>
        <w:rPr>
          <w:color w:val="auto"/>
          <w:sz w:val="24"/>
        </w:rPr>
        <w:t>，因此，项目运营期进</w:t>
      </w:r>
      <w:r>
        <w:rPr>
          <w:rFonts w:hint="eastAsia"/>
          <w:color w:val="auto"/>
          <w:sz w:val="24"/>
        </w:rPr>
        <w:t>出</w:t>
      </w:r>
      <w:r>
        <w:rPr>
          <w:color w:val="auto"/>
          <w:sz w:val="24"/>
        </w:rPr>
        <w:t>港道路运输对周</w:t>
      </w:r>
      <w:r>
        <w:rPr>
          <w:rFonts w:hint="eastAsia"/>
          <w:color w:val="auto"/>
          <w:sz w:val="24"/>
          <w:lang w:eastAsia="zh-CN"/>
        </w:rPr>
        <w:t>边环</w:t>
      </w:r>
      <w:r>
        <w:rPr>
          <w:color w:val="auto"/>
          <w:sz w:val="24"/>
        </w:rPr>
        <w:t>境影响较小。</w:t>
      </w:r>
    </w:p>
    <w:p w14:paraId="5E31A92B">
      <w:pPr>
        <w:spacing w:line="360" w:lineRule="auto"/>
        <w:jc w:val="center"/>
        <w:rPr>
          <w:rFonts w:hint="eastAsia"/>
          <w:color w:val="auto"/>
          <w:sz w:val="24"/>
          <w:highlight w:val="lightGray"/>
        </w:rPr>
      </w:pPr>
      <w:r>
        <w:rPr>
          <w:color w:val="auto"/>
          <w:sz w:val="24"/>
        </w:rPr>
        <mc:AlternateContent>
          <mc:Choice Requires="wps">
            <w:drawing>
              <wp:anchor distT="0" distB="0" distL="114300" distR="114300" simplePos="0" relativeHeight="251682816" behindDoc="0" locked="0" layoutInCell="1" allowOverlap="1">
                <wp:simplePos x="0" y="0"/>
                <wp:positionH relativeFrom="column">
                  <wp:posOffset>4174490</wp:posOffset>
                </wp:positionH>
                <wp:positionV relativeFrom="paragraph">
                  <wp:posOffset>4337050</wp:posOffset>
                </wp:positionV>
                <wp:extent cx="303530" cy="635"/>
                <wp:effectExtent l="0" t="0" r="0" b="0"/>
                <wp:wrapNone/>
                <wp:docPr id="27" name="直线 61"/>
                <wp:cNvGraphicFramePr/>
                <a:graphic xmlns:a="http://schemas.openxmlformats.org/drawingml/2006/main">
                  <a:graphicData uri="http://schemas.microsoft.com/office/word/2010/wordprocessingShape">
                    <wps:wsp>
                      <wps:cNvCnPr/>
                      <wps:spPr>
                        <a:xfrm>
                          <a:off x="0" y="0"/>
                          <a:ext cx="303530" cy="635"/>
                        </a:xfrm>
                        <a:prstGeom prst="line">
                          <a:avLst/>
                        </a:prstGeom>
                        <a:ln w="9525" cap="flat" cmpd="sng">
                          <a:solidFill>
                            <a:srgbClr val="FFFF00"/>
                          </a:solidFill>
                          <a:prstDash val="solid"/>
                          <a:headEnd type="none" w="med" len="med"/>
                          <a:tailEnd type="none" w="med" len="med"/>
                        </a:ln>
                      </wps:spPr>
                      <wps:bodyPr upright="1"/>
                    </wps:wsp>
                  </a:graphicData>
                </a:graphic>
              </wp:anchor>
            </w:drawing>
          </mc:Choice>
          <mc:Fallback>
            <w:pict>
              <v:line id="直线 61" o:spid="_x0000_s1026" o:spt="20" style="position:absolute;left:0pt;margin-left:328.7pt;margin-top:341.5pt;height:0.05pt;width:23.9pt;z-index:251682816;mso-width-relative:page;mso-height-relative:page;" filled="f" stroked="t" coordsize="21600,21600" o:gfxdata="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mSXxfYAAAACwEAAA8AAAAAAAAAAQAgAAAAIgAAAGRycy9kb3ducmV2LnhtbFBLAQIUABQAAAAI&#10;AIdO4kDHRPpI7QEAAN4DAAAOAAAAAAAAAAEAIAAAACcBAABkcnMvZTJvRG9jLnhtbFBLBQYAAAAA&#10;BgAGAFkBAACGBQAAAAA=&#10;">
                <v:fill on="f" focussize="0,0"/>
                <v:stroke color="#FFFF00" joinstyle="round"/>
                <v:imagedata o:title=""/>
                <o:lock v:ext="edit" aspectratio="f"/>
              </v:line>
            </w:pict>
          </mc:Fallback>
        </mc:AlternateContent>
      </w:r>
      <w:r>
        <w:rPr>
          <w:color w:val="auto"/>
          <w:sz w:val="24"/>
        </w:rPr>
        <mc:AlternateContent>
          <mc:Choice Requires="wps">
            <w:drawing>
              <wp:anchor distT="0" distB="0" distL="114300" distR="114300" simplePos="0" relativeHeight="251681792" behindDoc="0" locked="0" layoutInCell="1" allowOverlap="1">
                <wp:simplePos x="0" y="0"/>
                <wp:positionH relativeFrom="column">
                  <wp:posOffset>4180840</wp:posOffset>
                </wp:positionH>
                <wp:positionV relativeFrom="paragraph">
                  <wp:posOffset>4124960</wp:posOffset>
                </wp:positionV>
                <wp:extent cx="247650" cy="635"/>
                <wp:effectExtent l="0" t="0" r="0" b="0"/>
                <wp:wrapNone/>
                <wp:docPr id="26" name="直线 60"/>
                <wp:cNvGraphicFramePr/>
                <a:graphic xmlns:a="http://schemas.openxmlformats.org/drawingml/2006/main">
                  <a:graphicData uri="http://schemas.microsoft.com/office/word/2010/wordprocessingShape">
                    <wps:wsp>
                      <wps:cNvCnPr/>
                      <wps:spPr>
                        <a:xfrm flipV="1">
                          <a:off x="0" y="0"/>
                          <a:ext cx="247650" cy="635"/>
                        </a:xfrm>
                        <a:prstGeom prst="line">
                          <a:avLst/>
                        </a:prstGeom>
                        <a:ln w="9525" cap="flat" cmpd="sng">
                          <a:solidFill>
                            <a:srgbClr val="7030A0"/>
                          </a:solidFill>
                          <a:prstDash val="solid"/>
                          <a:headEnd type="none" w="med" len="med"/>
                          <a:tailEnd type="none" w="med" len="med"/>
                        </a:ln>
                      </wps:spPr>
                      <wps:bodyPr upright="1"/>
                    </wps:wsp>
                  </a:graphicData>
                </a:graphic>
              </wp:anchor>
            </w:drawing>
          </mc:Choice>
          <mc:Fallback>
            <w:pict>
              <v:line id="直线 60" o:spid="_x0000_s1026" o:spt="20" style="position:absolute;left:0pt;flip:y;margin-left:329.2pt;margin-top:324.8pt;height:0.05pt;width:19.5pt;z-index:251681792;mso-width-relative:page;mso-height-relative:page;" filled="f" stroked="t" coordsize="21600,21600" o:gfxdata="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kDhhh2gAAAAsBAAAPAAAAAAAAAAEAIAAAACIAAABkcnMvZG93bnJldi54bWxQ&#10;SwECFAAUAAAACACHTuJANq21IPUBAADoAwAADgAAAAAAAAABACAAAAApAQAAZHJzL2Uyb0RvYy54&#10;bWxQSwUGAAAAAAYABgBZAQAAkAUAAAAA&#10;">
                <v:fill on="f" focussize="0,0"/>
                <v:stroke color="#7030A0" joinstyle="round"/>
                <v:imagedata o:title=""/>
                <o:lock v:ext="edit" aspectratio="f"/>
              </v:line>
            </w:pict>
          </mc:Fallback>
        </mc:AlternateContent>
      </w:r>
      <w:r>
        <w:rPr>
          <w:color w:val="auto"/>
          <w:sz w:val="24"/>
        </w:rPr>
        <mc:AlternateContent>
          <mc:Choice Requires="wps">
            <w:drawing>
              <wp:anchor distT="0" distB="0" distL="114300" distR="114300" simplePos="0" relativeHeight="251680768" behindDoc="0" locked="0" layoutInCell="1" allowOverlap="1">
                <wp:simplePos x="0" y="0"/>
                <wp:positionH relativeFrom="column">
                  <wp:posOffset>4174490</wp:posOffset>
                </wp:positionH>
                <wp:positionV relativeFrom="paragraph">
                  <wp:posOffset>3888105</wp:posOffset>
                </wp:positionV>
                <wp:extent cx="224790" cy="127635"/>
                <wp:effectExtent l="4445" t="4445" r="18415" b="20320"/>
                <wp:wrapNone/>
                <wp:docPr id="25" name="矩形 59"/>
                <wp:cNvGraphicFramePr/>
                <a:graphic xmlns:a="http://schemas.openxmlformats.org/drawingml/2006/main">
                  <a:graphicData uri="http://schemas.microsoft.com/office/word/2010/wordprocessingShape">
                    <wps:wsp>
                      <wps:cNvSpPr/>
                      <wps:spPr>
                        <a:xfrm>
                          <a:off x="0" y="0"/>
                          <a:ext cx="224790" cy="127635"/>
                        </a:xfrm>
                        <a:prstGeom prst="rect">
                          <a:avLst/>
                        </a:prstGeom>
                        <a:noFill/>
                        <a:ln w="9525" cap="flat" cmpd="sng">
                          <a:solidFill>
                            <a:srgbClr val="FFFFFF"/>
                          </a:solidFill>
                          <a:prstDash val="solid"/>
                          <a:miter/>
                          <a:headEnd type="none" w="med" len="med"/>
                          <a:tailEnd type="none" w="med" len="med"/>
                        </a:ln>
                      </wps:spPr>
                      <wps:bodyPr wrap="square" upright="1"/>
                    </wps:wsp>
                  </a:graphicData>
                </a:graphic>
              </wp:anchor>
            </w:drawing>
          </mc:Choice>
          <mc:Fallback>
            <w:pict>
              <v:rect id="矩形 59" o:spid="_x0000_s1026" o:spt="1" style="position:absolute;left:0pt;margin-left:328.7pt;margin-top:306.15pt;height:10.05pt;width:17.7pt;z-index:251680768;mso-width-relative:page;mso-height-relative:page;" filled="f" stroked="t" coordsize="21600,21600" o:gfxdata="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kn4CdsAAAALAQAADwAAAAAAAAABACAAAAAiAAAAZHJz&#10;L2Rvd25yZXYueG1sUEsBAhQAFAAAAAgAh07iQKnSttUBAgAABAQAAA4AAAAAAAAAAQAgAAAAKgEA&#10;AGRycy9lMm9Eb2MueG1sUEsFBgAAAAAGAAYAWQEAAJ0FAAAAAA==&#10;">
                <v:fill on="f" focussize="0,0"/>
                <v:stroke color="#FFFFFF" joinstyle="miter"/>
                <v:imagedata o:title=""/>
                <o:lock v:ext="edit" aspectratio="f"/>
              </v:rect>
            </w:pict>
          </mc:Fallback>
        </mc:AlternateContent>
      </w:r>
      <w:r>
        <w:rPr>
          <w:color w:val="auto"/>
          <w:sz w:val="24"/>
        </w:rPr>
        <mc:AlternateContent>
          <mc:Choice Requires="wps">
            <w:drawing>
              <wp:anchor distT="0" distB="0" distL="114300" distR="114300" simplePos="0" relativeHeight="251679744" behindDoc="0" locked="0" layoutInCell="1" allowOverlap="1">
                <wp:simplePos x="0" y="0"/>
                <wp:positionH relativeFrom="column">
                  <wp:posOffset>4107815</wp:posOffset>
                </wp:positionH>
                <wp:positionV relativeFrom="paragraph">
                  <wp:posOffset>3761105</wp:posOffset>
                </wp:positionV>
                <wp:extent cx="1316355" cy="843280"/>
                <wp:effectExtent l="5080" t="4445" r="12065" b="9525"/>
                <wp:wrapNone/>
                <wp:docPr id="24" name="文本框 58"/>
                <wp:cNvGraphicFramePr/>
                <a:graphic xmlns:a="http://schemas.openxmlformats.org/drawingml/2006/main">
                  <a:graphicData uri="http://schemas.microsoft.com/office/word/2010/wordprocessingShape">
                    <wps:wsp>
                      <wps:cNvSpPr txBox="1"/>
                      <wps:spPr>
                        <a:xfrm>
                          <a:off x="0" y="0"/>
                          <a:ext cx="1316355" cy="843280"/>
                        </a:xfrm>
                        <a:prstGeom prst="rect">
                          <a:avLst/>
                        </a:prstGeom>
                        <a:noFill/>
                        <a:ln w="9525" cap="flat" cmpd="sng">
                          <a:solidFill>
                            <a:srgbClr val="000000"/>
                          </a:solidFill>
                          <a:prstDash val="solid"/>
                          <a:miter/>
                          <a:headEnd type="none" w="med" len="med"/>
                          <a:tailEnd type="none" w="med" len="med"/>
                        </a:ln>
                      </wps:spPr>
                      <wps:txbx>
                        <w:txbxContent>
                          <w:p w14:paraId="43F72014">
                            <w:pPr>
                              <w:ind w:firstLine="420" w:firstLineChars="200"/>
                              <w:rPr>
                                <w:rFonts w:hint="eastAsia"/>
                              </w:rPr>
                            </w:pPr>
                            <w:r>
                              <w:rPr>
                                <w:rFonts w:hint="eastAsia"/>
                              </w:rPr>
                              <w:t>本项目所在地</w:t>
                            </w:r>
                          </w:p>
                          <w:p w14:paraId="4EDA16A5">
                            <w:pPr>
                              <w:pStyle w:val="15"/>
                              <w:ind w:firstLineChars="200"/>
                              <w:rPr>
                                <w:rFonts w:hint="eastAsia"/>
                              </w:rPr>
                            </w:pPr>
                            <w:r>
                              <w:rPr>
                                <w:rFonts w:hint="eastAsia"/>
                              </w:rPr>
                              <w:t>进出港道路</w:t>
                            </w:r>
                          </w:p>
                          <w:p w14:paraId="5D2FF40D">
                            <w:pPr>
                              <w:pStyle w:val="16"/>
                              <w:ind w:left="0" w:leftChars="0"/>
                            </w:pPr>
                            <w:r>
                              <w:rPr>
                                <w:rFonts w:hint="eastAsia"/>
                              </w:rPr>
                              <w:t>X011县道</w:t>
                            </w:r>
                          </w:p>
                        </w:txbxContent>
                      </wps:txbx>
                      <wps:bodyPr wrap="square" upright="1"/>
                    </wps:wsp>
                  </a:graphicData>
                </a:graphic>
              </wp:anchor>
            </w:drawing>
          </mc:Choice>
          <mc:Fallback>
            <w:pict>
              <v:shape id="文本框 58" o:spid="_x0000_s1026" o:spt="202" type="#_x0000_t202" style="position:absolute;left:0pt;margin-left:323.45pt;margin-top:296.15pt;height:66.4pt;width:103.65pt;z-index:251679744;mso-width-relative:page;mso-height-relative:page;" filled="f" stroked="t" coordsize="21600,21600" o:gfxdata="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xm0qKNkAAAALAQAADwAAAAAA&#10;AAABACAAAAAiAAAAZHJzL2Rvd25yZXYueG1sUEsBAhQAFAAAAAgAh07iQCiuWvoSAgAAHQQAAA4A&#10;AAAAAAAAAQAgAAAAKAEAAGRycy9lMm9Eb2MueG1sUEsFBgAAAAAGAAYAWQEAAKwFAAAAAA==&#10;">
                <v:fill on="f" focussize="0,0"/>
                <v:stroke color="#000000" joinstyle="miter"/>
                <v:imagedata o:title=""/>
                <o:lock v:ext="edit" aspectratio="f"/>
                <v:textbox>
                  <w:txbxContent>
                    <w:p w14:paraId="43F72014">
                      <w:pPr>
                        <w:ind w:firstLine="420" w:firstLineChars="200"/>
                        <w:rPr>
                          <w:rFonts w:hint="eastAsia"/>
                        </w:rPr>
                      </w:pPr>
                      <w:r>
                        <w:rPr>
                          <w:rFonts w:hint="eastAsia"/>
                        </w:rPr>
                        <w:t>本项目所在地</w:t>
                      </w:r>
                    </w:p>
                    <w:p w14:paraId="4EDA16A5">
                      <w:pPr>
                        <w:pStyle w:val="15"/>
                        <w:ind w:firstLineChars="200"/>
                        <w:rPr>
                          <w:rFonts w:hint="eastAsia"/>
                        </w:rPr>
                      </w:pPr>
                      <w:r>
                        <w:rPr>
                          <w:rFonts w:hint="eastAsia"/>
                        </w:rPr>
                        <w:t>进出港道路</w:t>
                      </w:r>
                    </w:p>
                    <w:p w14:paraId="5D2FF40D">
                      <w:pPr>
                        <w:pStyle w:val="16"/>
                        <w:ind w:left="0" w:leftChars="0"/>
                      </w:pPr>
                      <w:r>
                        <w:rPr>
                          <w:rFonts w:hint="eastAsia"/>
                        </w:rPr>
                        <w:t>X011县道</w:t>
                      </w:r>
                    </w:p>
                  </w:txbxContent>
                </v:textbox>
              </v:shape>
            </w:pict>
          </mc:Fallback>
        </mc:AlternateContent>
      </w:r>
      <w:r>
        <w:rPr>
          <w:color w:val="auto"/>
          <w:sz w:val="24"/>
        </w:rPr>
        <mc:AlternateContent>
          <mc:Choice Requires="wps">
            <w:drawing>
              <wp:anchor distT="0" distB="0" distL="114300" distR="114300" simplePos="0" relativeHeight="251678720" behindDoc="0" locked="0" layoutInCell="1" allowOverlap="1">
                <wp:simplePos x="0" y="0"/>
                <wp:positionH relativeFrom="column">
                  <wp:posOffset>467360</wp:posOffset>
                </wp:positionH>
                <wp:positionV relativeFrom="paragraph">
                  <wp:posOffset>1430655</wp:posOffset>
                </wp:positionV>
                <wp:extent cx="4707890" cy="930275"/>
                <wp:effectExtent l="1905" t="13970" r="14605" b="27305"/>
                <wp:wrapNone/>
                <wp:docPr id="23" name="任意多边形 57"/>
                <wp:cNvGraphicFramePr/>
                <a:graphic xmlns:a="http://schemas.openxmlformats.org/drawingml/2006/main">
                  <a:graphicData uri="http://schemas.microsoft.com/office/word/2010/wordprocessingShape">
                    <wps:wsp>
                      <wps:cNvSpPr/>
                      <wps:spPr>
                        <a:xfrm>
                          <a:off x="0" y="0"/>
                          <a:ext cx="4707890" cy="930275"/>
                        </a:xfrm>
                        <a:custGeom>
                          <a:avLst/>
                          <a:gdLst/>
                          <a:ahLst/>
                          <a:cxnLst/>
                          <a:pathLst>
                            <a:path w="7414" h="1465">
                              <a:moveTo>
                                <a:pt x="0" y="0"/>
                              </a:moveTo>
                              <a:cubicBezTo>
                                <a:pt x="216" y="31"/>
                                <a:pt x="780" y="98"/>
                                <a:pt x="1147" y="173"/>
                              </a:cubicBezTo>
                              <a:cubicBezTo>
                                <a:pt x="1514" y="248"/>
                                <a:pt x="1531" y="289"/>
                                <a:pt x="1835" y="373"/>
                              </a:cubicBezTo>
                              <a:cubicBezTo>
                                <a:pt x="2139" y="457"/>
                                <a:pt x="2332" y="503"/>
                                <a:pt x="2666" y="593"/>
                              </a:cubicBezTo>
                              <a:cubicBezTo>
                                <a:pt x="3000" y="683"/>
                                <a:pt x="3180" y="730"/>
                                <a:pt x="3507" y="822"/>
                              </a:cubicBezTo>
                              <a:cubicBezTo>
                                <a:pt x="3834" y="914"/>
                                <a:pt x="4015" y="979"/>
                                <a:pt x="4300" y="1052"/>
                              </a:cubicBezTo>
                              <a:cubicBezTo>
                                <a:pt x="4585" y="1125"/>
                                <a:pt x="4699" y="1124"/>
                                <a:pt x="4930" y="1185"/>
                              </a:cubicBezTo>
                              <a:cubicBezTo>
                                <a:pt x="5161" y="1246"/>
                                <a:pt x="5272" y="1306"/>
                                <a:pt x="5456" y="1358"/>
                              </a:cubicBezTo>
                              <a:cubicBezTo>
                                <a:pt x="5640" y="1410"/>
                                <a:pt x="5665" y="1423"/>
                                <a:pt x="5848" y="1444"/>
                              </a:cubicBezTo>
                              <a:cubicBezTo>
                                <a:pt x="6031" y="1465"/>
                                <a:pt x="6153" y="1465"/>
                                <a:pt x="6373" y="1463"/>
                              </a:cubicBezTo>
                              <a:cubicBezTo>
                                <a:pt x="6593" y="1461"/>
                                <a:pt x="6738" y="1448"/>
                                <a:pt x="6946" y="1434"/>
                              </a:cubicBezTo>
                              <a:cubicBezTo>
                                <a:pt x="7154" y="1420"/>
                                <a:pt x="7332" y="1402"/>
                                <a:pt x="7414" y="1395"/>
                              </a:cubicBezTo>
                            </a:path>
                          </a:pathLst>
                        </a:custGeom>
                        <a:noFill/>
                        <a:ln w="28575" cap="flat" cmpd="sng">
                          <a:solidFill>
                            <a:srgbClr val="FFFF00"/>
                          </a:solidFill>
                          <a:prstDash val="solid"/>
                          <a:headEnd type="none" w="med" len="med"/>
                          <a:tailEnd type="none" w="med" len="med"/>
                        </a:ln>
                      </wps:spPr>
                      <wps:bodyPr vert="horz" wrap="square" anchor="t" anchorCtr="0" upright="1"/>
                    </wps:wsp>
                  </a:graphicData>
                </a:graphic>
              </wp:anchor>
            </w:drawing>
          </mc:Choice>
          <mc:Fallback>
            <w:pict>
              <v:shape id="任意多边形 57" o:spid="_x0000_s1026" o:spt="100" style="position:absolute;left:0pt;margin-left:36.8pt;margin-top:112.65pt;height:73.25pt;width:370.7pt;z-index:251678720;mso-width-relative:page;mso-height-relative:page;" filled="f" stroked="t" coordsize="7414,1465" o:gfxdata="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" path="m0,0c216,31,780,98,1147,173c1514,248,1531,289,1835,373c2139,457,2332,503,2666,593c3000,683,3180,730,3507,822c3834,914,4015,979,4300,1052c4585,1125,4699,1124,4930,1185c5161,1246,5272,1306,5456,1358c5640,1410,5665,1423,5848,1444c6031,1465,6153,1465,6373,1463c6593,1461,6738,1448,6946,1434c7154,1420,7332,1402,7414,1395e">
                <v:fill on="f" focussize="0,0"/>
                <v:stroke weight="2.25pt" color="#FFFF00" joinstyle="round"/>
                <v:imagedata o:title=""/>
                <o:lock v:ext="edit" aspectratio="f"/>
              </v:shape>
            </w:pict>
          </mc:Fallback>
        </mc:AlternateContent>
      </w:r>
      <w:r>
        <w:rPr>
          <w:color w:val="auto"/>
          <w:sz w:val="24"/>
        </w:rPr>
        <mc:AlternateContent>
          <mc:Choice Requires="wps">
            <w:drawing>
              <wp:anchor distT="0" distB="0" distL="114300" distR="114300" simplePos="0" relativeHeight="251677696" behindDoc="0" locked="0" layoutInCell="1" allowOverlap="1">
                <wp:simplePos x="0" y="0"/>
                <wp:positionH relativeFrom="column">
                  <wp:posOffset>273685</wp:posOffset>
                </wp:positionH>
                <wp:positionV relativeFrom="paragraph">
                  <wp:posOffset>1206500</wp:posOffset>
                </wp:positionV>
                <wp:extent cx="4950460" cy="1765300"/>
                <wp:effectExtent l="0" t="0" r="0" b="0"/>
                <wp:wrapNone/>
                <wp:docPr id="22" name="文本框 53"/>
                <wp:cNvGraphicFramePr/>
                <a:graphic xmlns:a="http://schemas.openxmlformats.org/drawingml/2006/main">
                  <a:graphicData uri="http://schemas.microsoft.com/office/word/2010/wordprocessingShape">
                    <wps:wsp>
                      <wps:cNvSpPr txBox="1"/>
                      <wps:spPr>
                        <a:xfrm>
                          <a:off x="0" y="0"/>
                          <a:ext cx="4950460" cy="1765300"/>
                        </a:xfrm>
                        <a:prstGeom prst="rect">
                          <a:avLst/>
                        </a:prstGeom>
                        <a:noFill/>
                        <a:ln>
                          <a:noFill/>
                        </a:ln>
                      </wps:spPr>
                      <wps:txbx>
                        <w:txbxContent>
                          <w:p w14:paraId="44263154"/>
                        </w:txbxContent>
                      </wps:txbx>
                      <wps:bodyPr wrap="square" upright="1"/>
                    </wps:wsp>
                  </a:graphicData>
                </a:graphic>
              </wp:anchor>
            </w:drawing>
          </mc:Choice>
          <mc:Fallback>
            <w:pict>
              <v:shape id="文本框 53" o:spid="_x0000_s1026" o:spt="202" type="#_x0000_t202" style="position:absolute;left:0pt;margin-left:21.55pt;margin-top:95pt;height:139pt;width:389.8pt;z-index:251677696;mso-width-relative:page;mso-height-relative:page;" filled="f" stroked="f" coordsize="21600,21600" o:gfxdata="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fMcFONcAAAAKAQAADwAAAAAAAAABACAAAAAiAAAAZHJzL2Rvd25yZXYueG1sUEsBAhQA&#10;FAAAAAgAh07iQObSLnG6AQAAXwMAAA4AAAAAAAAAAQAgAAAAJgEAAGRycy9lMm9Eb2MueG1sUEsF&#10;BgAAAAAGAAYAWQEAAFIFAAAAAA==&#10;">
                <v:fill on="f" focussize="0,0"/>
                <v:stroke on="f"/>
                <v:imagedata o:title=""/>
                <o:lock v:ext="edit" aspectratio="f"/>
                <v:textbox>
                  <w:txbxContent>
                    <w:p w14:paraId="44263154"/>
                  </w:txbxContent>
                </v:textbox>
              </v:shape>
            </w:pict>
          </mc:Fallback>
        </mc:AlternateContent>
      </w:r>
      <w:r>
        <w:rPr>
          <w:color w:val="auto"/>
          <w:sz w:val="24"/>
        </w:rPr>
        <mc:AlternateContent>
          <mc:Choice Requires="wps">
            <w:drawing>
              <wp:anchor distT="0" distB="0" distL="114300" distR="114300" simplePos="0" relativeHeight="251676672" behindDoc="0" locked="0" layoutInCell="1" allowOverlap="1">
                <wp:simplePos x="0" y="0"/>
                <wp:positionH relativeFrom="column">
                  <wp:posOffset>4417060</wp:posOffset>
                </wp:positionH>
                <wp:positionV relativeFrom="paragraph">
                  <wp:posOffset>943610</wp:posOffset>
                </wp:positionV>
                <wp:extent cx="914400" cy="283845"/>
                <wp:effectExtent l="0" t="0" r="0" b="0"/>
                <wp:wrapNone/>
                <wp:docPr id="21" name="文本框 52"/>
                <wp:cNvGraphicFramePr/>
                <a:graphic xmlns:a="http://schemas.openxmlformats.org/drawingml/2006/main">
                  <a:graphicData uri="http://schemas.microsoft.com/office/word/2010/wordprocessingShape">
                    <wps:wsp>
                      <wps:cNvSpPr txBox="1"/>
                      <wps:spPr>
                        <a:xfrm>
                          <a:off x="0" y="0"/>
                          <a:ext cx="914400" cy="283845"/>
                        </a:xfrm>
                        <a:prstGeom prst="rect">
                          <a:avLst/>
                        </a:prstGeom>
                        <a:noFill/>
                        <a:ln>
                          <a:noFill/>
                        </a:ln>
                      </wps:spPr>
                      <wps:txbx>
                        <w:txbxContent>
                          <w:p w14:paraId="490D4187">
                            <w:pPr>
                              <w:rPr>
                                <w:sz w:val="20"/>
                                <w:szCs w:val="20"/>
                              </w:rPr>
                            </w:pPr>
                            <w:r>
                              <w:rPr>
                                <w:rFonts w:hint="eastAsia"/>
                                <w:sz w:val="20"/>
                                <w:szCs w:val="20"/>
                              </w:rPr>
                              <w:t>0  30  60m</w:t>
                            </w:r>
                          </w:p>
                        </w:txbxContent>
                      </wps:txbx>
                      <wps:bodyPr wrap="square" upright="1"/>
                    </wps:wsp>
                  </a:graphicData>
                </a:graphic>
              </wp:anchor>
            </w:drawing>
          </mc:Choice>
          <mc:Fallback>
            <w:pict>
              <v:shape id="文本框 52" o:spid="_x0000_s1026" o:spt="202" type="#_x0000_t202" style="position:absolute;left:0pt;margin-left:347.8pt;margin-top:74.3pt;height:22.35pt;width:72pt;z-index:251676672;mso-width-relative:page;mso-height-relative:page;" filled="f" stroked="f" coordsize="21600,21600" o:gfxdata="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n6tGctcAAAALAQAADwAAAAAAAAABACAAAAAiAAAAZHJzL2Rvd25yZXYueG1sUEsBAhQAFAAA&#10;AAgAh07iQJBVZtO3AQAAXQMAAA4AAAAAAAAAAQAgAAAAJgEAAGRycy9lMm9Eb2MueG1sUEsFBgAA&#10;AAAGAAYAWQEAAE8FAAAAAA==&#10;">
                <v:fill on="f" focussize="0,0"/>
                <v:stroke on="f"/>
                <v:imagedata o:title=""/>
                <o:lock v:ext="edit" aspectratio="f"/>
                <v:textbox>
                  <w:txbxContent>
                    <w:p w14:paraId="490D4187">
                      <w:pPr>
                        <w:rPr>
                          <w:sz w:val="20"/>
                          <w:szCs w:val="20"/>
                        </w:rPr>
                      </w:pPr>
                      <w:r>
                        <w:rPr>
                          <w:rFonts w:hint="eastAsia"/>
                          <w:sz w:val="20"/>
                          <w:szCs w:val="20"/>
                        </w:rPr>
                        <w:t>0  30  60m</w:t>
                      </w:r>
                    </w:p>
                  </w:txbxContent>
                </v:textbox>
              </v:shape>
            </w:pict>
          </mc:Fallback>
        </mc:AlternateContent>
      </w:r>
      <w:r>
        <w:rPr>
          <w:color w:val="auto"/>
          <w:sz w:val="24"/>
        </w:rPr>
        <mc:AlternateContent>
          <mc:Choice Requires="wps">
            <w:drawing>
              <wp:anchor distT="0" distB="0" distL="114300" distR="114300" simplePos="0" relativeHeight="251675648" behindDoc="0" locked="0" layoutInCell="1" allowOverlap="1">
                <wp:simplePos x="0" y="0"/>
                <wp:positionH relativeFrom="column">
                  <wp:posOffset>4374515</wp:posOffset>
                </wp:positionH>
                <wp:positionV relativeFrom="paragraph">
                  <wp:posOffset>991870</wp:posOffset>
                </wp:positionV>
                <wp:extent cx="898525" cy="289560"/>
                <wp:effectExtent l="0" t="0" r="0" b="0"/>
                <wp:wrapNone/>
                <wp:docPr id="20" name="文本框 51"/>
                <wp:cNvGraphicFramePr/>
                <a:graphic xmlns:a="http://schemas.openxmlformats.org/drawingml/2006/main">
                  <a:graphicData uri="http://schemas.microsoft.com/office/word/2010/wordprocessingShape">
                    <wps:wsp>
                      <wps:cNvSpPr txBox="1"/>
                      <wps:spPr>
                        <a:xfrm>
                          <a:off x="0" y="0"/>
                          <a:ext cx="898525" cy="289560"/>
                        </a:xfrm>
                        <a:prstGeom prst="rect">
                          <a:avLst/>
                        </a:prstGeom>
                        <a:noFill/>
                        <a:ln>
                          <a:noFill/>
                        </a:ln>
                      </wps:spPr>
                      <wps:txbx>
                        <w:txbxContent>
                          <w:p w14:paraId="64BBA17C">
                            <w:pPr>
                              <w:rPr>
                                <w:rFonts w:hint="eastAsia"/>
                              </w:rPr>
                            </w:pPr>
                            <w:r>
                              <w:rPr>
                                <w:rFonts w:hint="eastAsia"/>
                              </w:rPr>
                              <w:drawing>
                                <wp:inline distT="0" distB="0" distL="114300" distR="114300">
                                  <wp:extent cx="715645" cy="153670"/>
                                  <wp:effectExtent l="0" t="0" r="8255" b="17780"/>
                                  <wp:docPr id="217" name="图片 113" descr="比例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113" descr="比例尺"/>
                                          <pic:cNvPicPr>
                                            <a:picLocks noChangeAspect="1"/>
                                          </pic:cNvPicPr>
                                        </pic:nvPicPr>
                                        <pic:blipFill>
                                          <a:blip r:embed="rId41"/>
                                          <a:stretch>
                                            <a:fillRect/>
                                          </a:stretch>
                                        </pic:blipFill>
                                        <pic:spPr>
                                          <a:xfrm rot="10800000">
                                            <a:off x="0" y="0"/>
                                            <a:ext cx="715645" cy="153670"/>
                                          </a:xfrm>
                                          <a:prstGeom prst="rect">
                                            <a:avLst/>
                                          </a:prstGeom>
                                          <a:noFill/>
                                          <a:ln>
                                            <a:noFill/>
                                          </a:ln>
                                        </pic:spPr>
                                      </pic:pic>
                                    </a:graphicData>
                                  </a:graphic>
                                </wp:inline>
                              </w:drawing>
                            </w:r>
                          </w:p>
                        </w:txbxContent>
                      </wps:txbx>
                      <wps:bodyPr wrap="none" upright="1">
                        <a:spAutoFit/>
                      </wps:bodyPr>
                    </wps:wsp>
                  </a:graphicData>
                </a:graphic>
              </wp:anchor>
            </w:drawing>
          </mc:Choice>
          <mc:Fallback>
            <w:pict>
              <v:shape id="文本框 51" o:spid="_x0000_s1026" o:spt="202" type="#_x0000_t202" style="position:absolute;left:0pt;margin-left:344.45pt;margin-top:78.1pt;height:22.8pt;width:70.75pt;mso-wrap-style:none;z-index:251675648;mso-width-relative:page;mso-height-relative:page;" filled="f" stroked="f" coordsize="21600,21600" o:gfxdata="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0+rE41wAAAAsBAAAPAAAAAAAAAAEAIAAAACIAAABkcnMvZG93bnJldi54&#10;bWxQSwECFAAUAAAACACHTuJA+/k/S8IBAAB1AwAADgAAAAAAAAABACAAAAAmAQAAZHJzL2Uyb0Rv&#10;Yy54bWxQSwUGAAAAAAYABgBZAQAAWgUAAAAA&#10;">
                <v:fill on="f" focussize="0,0"/>
                <v:stroke on="f"/>
                <v:imagedata o:title=""/>
                <o:lock v:ext="edit" aspectratio="f"/>
                <v:textbox style="mso-fit-shape-to-text:t;">
                  <w:txbxContent>
                    <w:p w14:paraId="64BBA17C">
                      <w:pPr>
                        <w:rPr>
                          <w:rFonts w:hint="eastAsia"/>
                        </w:rPr>
                      </w:pPr>
                      <w:r>
                        <w:rPr>
                          <w:rFonts w:hint="eastAsia"/>
                        </w:rPr>
                        <w:drawing>
                          <wp:inline distT="0" distB="0" distL="114300" distR="114300">
                            <wp:extent cx="715645" cy="153670"/>
                            <wp:effectExtent l="0" t="0" r="8255" b="17780"/>
                            <wp:docPr id="217" name="图片 113" descr="比例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113" descr="比例尺"/>
                                    <pic:cNvPicPr>
                                      <a:picLocks noChangeAspect="1"/>
                                    </pic:cNvPicPr>
                                  </pic:nvPicPr>
                                  <pic:blipFill>
                                    <a:blip r:embed="rId41"/>
                                    <a:stretch>
                                      <a:fillRect/>
                                    </a:stretch>
                                  </pic:blipFill>
                                  <pic:spPr>
                                    <a:xfrm rot="10800000">
                                      <a:off x="0" y="0"/>
                                      <a:ext cx="715645" cy="153670"/>
                                    </a:xfrm>
                                    <a:prstGeom prst="rect">
                                      <a:avLst/>
                                    </a:prstGeom>
                                    <a:noFill/>
                                    <a:ln>
                                      <a:noFill/>
                                    </a:ln>
                                  </pic:spPr>
                                </pic:pic>
                              </a:graphicData>
                            </a:graphic>
                          </wp:inline>
                        </w:drawing>
                      </w:r>
                    </w:p>
                  </w:txbxContent>
                </v:textbox>
              </v:shape>
            </w:pict>
          </mc:Fallback>
        </mc:AlternateContent>
      </w:r>
      <w:r>
        <w:rPr>
          <w:color w:val="auto"/>
          <w:sz w:val="24"/>
        </w:rPr>
        <mc:AlternateContent>
          <mc:Choice Requires="wps">
            <w:drawing>
              <wp:anchor distT="0" distB="0" distL="114300" distR="114300" simplePos="0" relativeHeight="251674624" behindDoc="0" locked="0" layoutInCell="1" allowOverlap="1">
                <wp:simplePos x="0" y="0"/>
                <wp:positionH relativeFrom="column">
                  <wp:posOffset>4533265</wp:posOffset>
                </wp:positionH>
                <wp:positionV relativeFrom="paragraph">
                  <wp:posOffset>288290</wp:posOffset>
                </wp:positionV>
                <wp:extent cx="595630" cy="685800"/>
                <wp:effectExtent l="0" t="0" r="0" b="0"/>
                <wp:wrapNone/>
                <wp:docPr id="19" name="文本框 50"/>
                <wp:cNvGraphicFramePr/>
                <a:graphic xmlns:a="http://schemas.openxmlformats.org/drawingml/2006/main">
                  <a:graphicData uri="http://schemas.microsoft.com/office/word/2010/wordprocessingShape">
                    <wps:wsp>
                      <wps:cNvSpPr txBox="1"/>
                      <wps:spPr>
                        <a:xfrm>
                          <a:off x="0" y="0"/>
                          <a:ext cx="595630" cy="685800"/>
                        </a:xfrm>
                        <a:prstGeom prst="rect">
                          <a:avLst/>
                        </a:prstGeom>
                        <a:noFill/>
                        <a:ln>
                          <a:noFill/>
                        </a:ln>
                      </wps:spPr>
                      <wps:txbx>
                        <w:txbxContent>
                          <w:p w14:paraId="1CF4D4B8">
                            <w:pPr>
                              <w:rPr>
                                <w:rFonts w:hint="eastAsia"/>
                              </w:rPr>
                            </w:pPr>
                            <w:r>
                              <w:rPr>
                                <w:rFonts w:hint="eastAsia"/>
                              </w:rPr>
                              <w:drawing>
                                <wp:inline distT="0" distB="0" distL="114300" distR="114300">
                                  <wp:extent cx="412750" cy="412750"/>
                                  <wp:effectExtent l="0" t="0" r="6350" b="6350"/>
                                  <wp:docPr id="218" name="图片 112"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112" descr="淮南"/>
                                          <pic:cNvPicPr>
                                            <a:picLocks noChangeAspect="1"/>
                                          </pic:cNvPicPr>
                                        </pic:nvPicPr>
                                        <pic:blipFill>
                                          <a:blip r:embed="rId40"/>
                                          <a:stretch>
                                            <a:fillRect/>
                                          </a:stretch>
                                        </pic:blipFill>
                                        <pic:spPr>
                                          <a:xfrm>
                                            <a:off x="0" y="0"/>
                                            <a:ext cx="412750" cy="412750"/>
                                          </a:xfrm>
                                          <a:prstGeom prst="rect">
                                            <a:avLst/>
                                          </a:prstGeom>
                                          <a:noFill/>
                                          <a:ln>
                                            <a:noFill/>
                                          </a:ln>
                                        </pic:spPr>
                                      </pic:pic>
                                    </a:graphicData>
                                  </a:graphic>
                                </wp:inline>
                              </w:drawing>
                            </w:r>
                          </w:p>
                        </w:txbxContent>
                      </wps:txbx>
                      <wps:bodyPr wrap="none" upright="1">
                        <a:spAutoFit/>
                      </wps:bodyPr>
                    </wps:wsp>
                  </a:graphicData>
                </a:graphic>
              </wp:anchor>
            </w:drawing>
          </mc:Choice>
          <mc:Fallback>
            <w:pict>
              <v:shape id="文本框 50" o:spid="_x0000_s1026" o:spt="202" type="#_x0000_t202" style="position:absolute;left:0pt;margin-left:356.95pt;margin-top:22.7pt;height:54pt;width:46.9pt;mso-wrap-style:none;z-index:251674624;mso-width-relative:page;mso-height-relative:page;" filled="f" stroked="f" coordsize="21600,21600" o:gfxdata="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FmTnMNcAAAAKAQAADwAAAAAAAAABACAAAAAiAAAAZHJzL2Rvd25yZXYueG1s&#10;UEsBAhQAFAAAAAgAh07iQPUU6VLAAQAAdQMAAA4AAAAAAAAAAQAgAAAAJgEAAGRycy9lMm9Eb2Mu&#10;eG1sUEsFBgAAAAAGAAYAWQEAAFgFAAAAAA==&#10;">
                <v:fill on="f" focussize="0,0"/>
                <v:stroke on="f"/>
                <v:imagedata o:title=""/>
                <o:lock v:ext="edit" aspectratio="f"/>
                <v:textbox style="mso-fit-shape-to-text:t;">
                  <w:txbxContent>
                    <w:p w14:paraId="1CF4D4B8">
                      <w:pPr>
                        <w:rPr>
                          <w:rFonts w:hint="eastAsia"/>
                        </w:rPr>
                      </w:pPr>
                      <w:r>
                        <w:rPr>
                          <w:rFonts w:hint="eastAsia"/>
                        </w:rPr>
                        <w:drawing>
                          <wp:inline distT="0" distB="0" distL="114300" distR="114300">
                            <wp:extent cx="412750" cy="412750"/>
                            <wp:effectExtent l="0" t="0" r="6350" b="6350"/>
                            <wp:docPr id="218" name="图片 112" descr="淮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112" descr="淮南"/>
                                    <pic:cNvPicPr>
                                      <a:picLocks noChangeAspect="1"/>
                                    </pic:cNvPicPr>
                                  </pic:nvPicPr>
                                  <pic:blipFill>
                                    <a:blip r:embed="rId40"/>
                                    <a:stretch>
                                      <a:fillRect/>
                                    </a:stretch>
                                  </pic:blipFill>
                                  <pic:spPr>
                                    <a:xfrm>
                                      <a:off x="0" y="0"/>
                                      <a:ext cx="412750" cy="412750"/>
                                    </a:xfrm>
                                    <a:prstGeom prst="rect">
                                      <a:avLst/>
                                    </a:prstGeom>
                                    <a:noFill/>
                                    <a:ln>
                                      <a:noFill/>
                                    </a:ln>
                                  </pic:spPr>
                                </pic:pic>
                              </a:graphicData>
                            </a:graphic>
                          </wp:inline>
                        </w:drawing>
                      </w:r>
                    </w:p>
                  </w:txbxContent>
                </v:textbox>
              </v:shape>
            </w:pict>
          </mc:Fallback>
        </mc:AlternateContent>
      </w:r>
      <w:r>
        <w:rPr>
          <w:color w:val="auto"/>
          <w:sz w:val="24"/>
          <w:highlight w:val="lightGray"/>
        </w:rPr>
        <w:drawing>
          <wp:inline distT="0" distB="0" distL="114300" distR="114300">
            <wp:extent cx="5400675" cy="4628515"/>
            <wp:effectExtent l="0" t="0" r="9525" b="635"/>
            <wp:docPr id="219" name="图片 85" descr="C:/Users/dell/Desktop/1698319533191.jpg1698319533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85" descr="C:/Users/dell/Desktop/1698319533191.jpg1698319533191"/>
                    <pic:cNvPicPr>
                      <a:picLocks noChangeAspect="1"/>
                    </pic:cNvPicPr>
                  </pic:nvPicPr>
                  <pic:blipFill>
                    <a:blip r:embed="rId207"/>
                    <a:srcRect l="13191" r="13191"/>
                    <a:stretch>
                      <a:fillRect/>
                    </a:stretch>
                  </pic:blipFill>
                  <pic:spPr>
                    <a:xfrm>
                      <a:off x="0" y="0"/>
                      <a:ext cx="5400675" cy="4628515"/>
                    </a:xfrm>
                    <a:prstGeom prst="rect">
                      <a:avLst/>
                    </a:prstGeom>
                    <a:noFill/>
                    <a:ln>
                      <a:noFill/>
                    </a:ln>
                  </pic:spPr>
                </pic:pic>
              </a:graphicData>
            </a:graphic>
          </wp:inline>
        </w:drawing>
      </w:r>
    </w:p>
    <w:p w14:paraId="49FAC8B5">
      <w:pPr>
        <w:spacing w:line="400" w:lineRule="exact"/>
        <w:jc w:val="center"/>
        <w:rPr>
          <w:rFonts w:eastAsia="黑体"/>
          <w:color w:val="auto"/>
          <w:sz w:val="24"/>
        </w:rPr>
      </w:pPr>
      <w:r>
        <w:rPr>
          <w:rFonts w:eastAsia="黑体"/>
          <w:color w:val="auto"/>
          <w:sz w:val="24"/>
        </w:rPr>
        <w:t>图5.4-1  项目运营期进</w:t>
      </w:r>
      <w:r>
        <w:rPr>
          <w:rFonts w:hint="eastAsia" w:eastAsia="黑体"/>
          <w:color w:val="auto"/>
          <w:sz w:val="24"/>
        </w:rPr>
        <w:t>出</w:t>
      </w:r>
      <w:r>
        <w:rPr>
          <w:rFonts w:eastAsia="黑体"/>
          <w:color w:val="auto"/>
          <w:sz w:val="24"/>
        </w:rPr>
        <w:t>港道路运输路线</w:t>
      </w:r>
    </w:p>
    <w:p w14:paraId="31C559E5">
      <w:pPr>
        <w:spacing w:line="100" w:lineRule="atLeast"/>
        <w:ind w:firstLine="480" w:firstLineChars="200"/>
        <w:rPr>
          <w:rFonts w:hint="eastAsia"/>
          <w:color w:val="auto"/>
          <w:sz w:val="24"/>
          <w:highlight w:val="lightGray"/>
        </w:rPr>
      </w:pPr>
    </w:p>
    <w:p w14:paraId="2DB62A69">
      <w:pPr>
        <w:spacing w:line="360" w:lineRule="auto"/>
        <w:ind w:firstLine="480" w:firstLineChars="200"/>
        <w:rPr>
          <w:color w:val="auto"/>
          <w:sz w:val="24"/>
          <w:highlight w:val="lightGray"/>
        </w:rPr>
        <w:sectPr>
          <w:headerReference r:id="rId20" w:type="default"/>
          <w:footerReference r:id="rId21" w:type="default"/>
          <w:pgSz w:w="11907" w:h="16840"/>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bookmarkEnd w:id="119"/>
    <w:bookmarkEnd w:id="120"/>
    <w:bookmarkEnd w:id="121"/>
    <w:p w14:paraId="3154F060">
      <w:pPr>
        <w:keepNext/>
        <w:keepLines/>
        <w:widowControl w:val="0"/>
        <w:numPr>
          <w:ilvl w:val="0"/>
          <w:numId w:val="0"/>
        </w:numPr>
        <w:spacing w:line="360" w:lineRule="auto"/>
        <w:jc w:val="center"/>
        <w:outlineLvl w:val="0"/>
        <w:rPr>
          <w:rFonts w:ascii="Times New Roman" w:hAnsi="Times New Roman" w:eastAsia="宋体" w:cs="Times New Roman"/>
          <w:b/>
          <w:bCs/>
          <w:color w:val="auto"/>
          <w:kern w:val="44"/>
          <w:sz w:val="44"/>
          <w:szCs w:val="44"/>
          <w:lang w:val="en-US" w:eastAsia="zh-CN" w:bidi="ar-SA"/>
        </w:rPr>
      </w:pPr>
      <w:bookmarkStart w:id="289" w:name="_Toc11796"/>
      <w:r>
        <w:rPr>
          <w:rFonts w:hint="eastAsia" w:ascii="Times New Roman" w:hAnsi="Times New Roman" w:eastAsia="宋体" w:cs="Times New Roman"/>
          <w:b/>
          <w:bCs/>
          <w:color w:val="auto"/>
          <w:kern w:val="44"/>
          <w:sz w:val="44"/>
          <w:szCs w:val="44"/>
          <w:lang w:val="en-US" w:eastAsia="zh-CN" w:bidi="ar-SA"/>
        </w:rPr>
        <w:t>6</w:t>
      </w:r>
      <w:r>
        <w:rPr>
          <w:rFonts w:ascii="Times New Roman" w:hAnsi="Times New Roman" w:eastAsia="宋体" w:cs="Times New Roman"/>
          <w:b/>
          <w:bCs/>
          <w:color w:val="auto"/>
          <w:kern w:val="44"/>
          <w:sz w:val="44"/>
          <w:szCs w:val="44"/>
          <w:lang w:val="en-US" w:eastAsia="zh-CN" w:bidi="ar-SA"/>
        </w:rPr>
        <w:t>环境保护措施及其可行性论证</w:t>
      </w:r>
      <w:bookmarkEnd w:id="289"/>
    </w:p>
    <w:p w14:paraId="3B94A1D1">
      <w:pPr>
        <w:keepNext/>
        <w:keepLines/>
        <w:widowControl w:val="0"/>
        <w:numPr>
          <w:ilvl w:val="1"/>
          <w:numId w:val="0"/>
        </w:numPr>
        <w:spacing w:line="360" w:lineRule="auto"/>
        <w:ind w:left="0"/>
        <w:jc w:val="both"/>
        <w:outlineLvl w:val="1"/>
        <w:rPr>
          <w:rFonts w:hint="eastAsia" w:ascii="Times New Roman" w:hAnsi="Times New Roman" w:eastAsia="黑体" w:cs="Times New Roman"/>
          <w:bCs/>
          <w:color w:val="auto"/>
          <w:kern w:val="2"/>
          <w:sz w:val="30"/>
          <w:szCs w:val="32"/>
          <w:lang w:val="en-US" w:eastAsia="zh-CN" w:bidi="ar-SA"/>
        </w:rPr>
      </w:pPr>
      <w:bookmarkStart w:id="290" w:name="_Toc20206"/>
      <w:r>
        <w:rPr>
          <w:rFonts w:hint="eastAsia" w:ascii="Times New Roman" w:hAnsi="Times New Roman" w:eastAsia="黑体" w:cs="Times New Roman"/>
          <w:bCs/>
          <w:color w:val="auto"/>
          <w:kern w:val="2"/>
          <w:sz w:val="30"/>
          <w:szCs w:val="32"/>
          <w:lang w:val="en-US" w:eastAsia="zh-CN" w:bidi="ar-SA"/>
        </w:rPr>
        <w:t>6.1</w:t>
      </w:r>
      <w:r>
        <w:rPr>
          <w:rFonts w:ascii="Times New Roman" w:hAnsi="Times New Roman" w:eastAsia="黑体" w:cs="Times New Roman"/>
          <w:bCs/>
          <w:color w:val="auto"/>
          <w:kern w:val="2"/>
          <w:sz w:val="30"/>
          <w:szCs w:val="32"/>
          <w:lang w:val="en-US" w:eastAsia="zh-CN" w:bidi="ar-SA"/>
        </w:rPr>
        <w:t>施工期污染防治措施</w:t>
      </w:r>
      <w:bookmarkEnd w:id="290"/>
    </w:p>
    <w:p w14:paraId="5F4D3420">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6.1.1</w:t>
      </w:r>
      <w:r>
        <w:rPr>
          <w:rFonts w:ascii="Times New Roman" w:hAnsi="Times New Roman" w:eastAsia="黑体" w:cs="Times New Roman"/>
          <w:bCs/>
          <w:color w:val="auto"/>
          <w:kern w:val="2"/>
          <w:sz w:val="28"/>
          <w:szCs w:val="32"/>
          <w:lang w:val="en-US" w:eastAsia="zh-CN" w:bidi="ar-SA"/>
        </w:rPr>
        <w:t>施工期</w:t>
      </w:r>
      <w:r>
        <w:rPr>
          <w:rFonts w:hint="eastAsia" w:eastAsia="黑体" w:cs="Times New Roman"/>
          <w:bCs/>
          <w:color w:val="auto"/>
          <w:kern w:val="2"/>
          <w:sz w:val="28"/>
          <w:szCs w:val="32"/>
          <w:lang w:val="en-US" w:eastAsia="zh-CN" w:bidi="ar-SA"/>
        </w:rPr>
        <w:t>废</w:t>
      </w:r>
      <w:r>
        <w:rPr>
          <w:rFonts w:ascii="Times New Roman" w:hAnsi="Times New Roman" w:eastAsia="黑体" w:cs="Times New Roman"/>
          <w:bCs/>
          <w:color w:val="auto"/>
          <w:kern w:val="2"/>
          <w:sz w:val="28"/>
          <w:szCs w:val="32"/>
          <w:lang w:val="en-US" w:eastAsia="zh-CN" w:bidi="ar-SA"/>
        </w:rPr>
        <w:t>气污染防治措施</w:t>
      </w:r>
    </w:p>
    <w:p w14:paraId="12C09EFA">
      <w:pPr>
        <w:spacing w:line="360" w:lineRule="auto"/>
        <w:ind w:firstLine="480" w:firstLineChars="200"/>
        <w:rPr>
          <w:rFonts w:ascii="Times New Roman" w:hAnsi="Times New Roman" w:eastAsia="宋体" w:cs="宋体"/>
          <w:snapToGrid w:val="0"/>
          <w:color w:val="auto"/>
          <w:kern w:val="0"/>
          <w:sz w:val="24"/>
          <w:lang w:val="zh-CN"/>
        </w:rPr>
      </w:pPr>
      <w:r>
        <w:rPr>
          <w:rFonts w:ascii="Times New Roman" w:hAnsi="Times New Roman" w:eastAsia="宋体" w:cs="宋体"/>
          <w:snapToGrid w:val="0"/>
          <w:color w:val="auto"/>
          <w:kern w:val="0"/>
          <w:sz w:val="24"/>
          <w:lang w:val="zh-CN"/>
        </w:rPr>
        <w:t>（1）施工前先修筑场界围墙或简易围</w:t>
      </w:r>
      <w:r>
        <w:rPr>
          <w:rFonts w:hint="eastAsia" w:ascii="Times New Roman" w:hAnsi="Times New Roman" w:eastAsia="宋体" w:cs="宋体"/>
          <w:snapToGrid w:val="0"/>
          <w:color w:val="auto"/>
          <w:kern w:val="0"/>
          <w:sz w:val="24"/>
          <w:lang w:val="zh-CN"/>
        </w:rPr>
        <w:t>挡</w:t>
      </w:r>
      <w:r>
        <w:rPr>
          <w:rFonts w:ascii="Times New Roman" w:hAnsi="Times New Roman" w:eastAsia="宋体" w:cs="宋体"/>
          <w:snapToGrid w:val="0"/>
          <w:color w:val="auto"/>
          <w:kern w:val="0"/>
          <w:sz w:val="24"/>
          <w:lang w:val="zh-CN"/>
        </w:rPr>
        <w:t>，如用瓦楞板或聚丙烯布等在施工区四周建高2.5～3.0m的围挡，减少扬尘的逸散。运输车辆必须经由</w:t>
      </w:r>
      <w:r>
        <w:rPr>
          <w:rFonts w:hint="eastAsia" w:ascii="Times New Roman" w:hAnsi="Times New Roman" w:eastAsia="宋体" w:cs="宋体"/>
          <w:snapToGrid w:val="0"/>
          <w:color w:val="auto"/>
          <w:kern w:val="0"/>
          <w:sz w:val="24"/>
          <w:lang w:val="zh-CN"/>
        </w:rPr>
        <w:t>“</w:t>
      </w:r>
      <w:r>
        <w:rPr>
          <w:rFonts w:hint="eastAsia" w:ascii="Times New Roman" w:hAnsi="Times New Roman" w:eastAsia="宋体" w:cs="宋体"/>
          <w:snapToGrid w:val="0"/>
          <w:color w:val="auto"/>
          <w:kern w:val="0"/>
          <w:sz w:val="24"/>
        </w:rPr>
        <w:t>过水路段</w:t>
      </w:r>
      <w:r>
        <w:rPr>
          <w:rFonts w:hint="eastAsia" w:ascii="Times New Roman" w:hAnsi="Times New Roman" w:eastAsia="宋体" w:cs="宋体"/>
          <w:snapToGrid w:val="0"/>
          <w:color w:val="auto"/>
          <w:kern w:val="0"/>
          <w:sz w:val="24"/>
          <w:lang w:val="zh-CN"/>
        </w:rPr>
        <w:t>”</w:t>
      </w:r>
      <w:r>
        <w:rPr>
          <w:rFonts w:ascii="Times New Roman" w:hAnsi="Times New Roman" w:eastAsia="宋体" w:cs="宋体"/>
          <w:snapToGrid w:val="0"/>
          <w:color w:val="auto"/>
          <w:kern w:val="0"/>
          <w:sz w:val="24"/>
          <w:lang w:val="zh-CN"/>
        </w:rPr>
        <w:t>冲洗干净后方能离场上路。使用商品混凝土，不进行现场搅拌砂浆、混凝土。</w:t>
      </w:r>
    </w:p>
    <w:p w14:paraId="1ED254E6">
      <w:pPr>
        <w:spacing w:line="360" w:lineRule="auto"/>
        <w:ind w:firstLine="480" w:firstLineChars="200"/>
        <w:rPr>
          <w:rFonts w:ascii="Times New Roman" w:hAnsi="Times New Roman" w:eastAsia="宋体" w:cs="宋体"/>
          <w:snapToGrid w:val="0"/>
          <w:color w:val="auto"/>
          <w:kern w:val="0"/>
          <w:sz w:val="24"/>
          <w:lang w:val="zh-CN"/>
        </w:rPr>
      </w:pPr>
      <w:r>
        <w:rPr>
          <w:rFonts w:ascii="Times New Roman" w:hAnsi="Times New Roman" w:eastAsia="宋体" w:cs="宋体"/>
          <w:snapToGrid w:val="0"/>
          <w:color w:val="auto"/>
          <w:kern w:val="0"/>
          <w:sz w:val="24"/>
          <w:lang w:val="zh-CN"/>
        </w:rPr>
        <w:t>（2）建设过程中使用的建筑材料，在装卸、堆放、</w:t>
      </w:r>
      <w:r>
        <w:rPr>
          <w:rFonts w:hint="eastAsia" w:cs="宋体"/>
          <w:snapToGrid w:val="0"/>
          <w:color w:val="auto"/>
          <w:kern w:val="0"/>
          <w:sz w:val="24"/>
          <w:lang w:val="zh-CN"/>
        </w:rPr>
        <w:t>拌和</w:t>
      </w:r>
      <w:r>
        <w:rPr>
          <w:rFonts w:ascii="Times New Roman" w:hAnsi="Times New Roman" w:eastAsia="宋体" w:cs="宋体"/>
          <w:snapToGrid w:val="0"/>
          <w:color w:val="auto"/>
          <w:kern w:val="0"/>
          <w:sz w:val="24"/>
          <w:lang w:val="zh-CN"/>
        </w:rPr>
        <w:t>过程中将会产生大量的粉尘外逸，施工单位必须加强施工区的规划管理。建筑材料要采取相应的防尘抑尘措施，如在大风天气，对散料堆场采用加盖</w:t>
      </w:r>
      <w:r>
        <w:rPr>
          <w:rFonts w:hint="eastAsia" w:cs="宋体"/>
          <w:snapToGrid w:val="0"/>
          <w:color w:val="auto"/>
          <w:kern w:val="0"/>
          <w:sz w:val="24"/>
          <w:lang w:val="zh-CN"/>
        </w:rPr>
        <w:t>篷布</w:t>
      </w:r>
      <w:r>
        <w:rPr>
          <w:rFonts w:ascii="Times New Roman" w:hAnsi="Times New Roman" w:eastAsia="宋体" w:cs="宋体"/>
          <w:snapToGrid w:val="0"/>
          <w:color w:val="auto"/>
          <w:kern w:val="0"/>
          <w:sz w:val="24"/>
          <w:lang w:val="zh-CN"/>
        </w:rPr>
        <w:t>防尘。</w:t>
      </w:r>
    </w:p>
    <w:p w14:paraId="188F9EAB">
      <w:pPr>
        <w:spacing w:line="360" w:lineRule="auto"/>
        <w:ind w:firstLine="480" w:firstLineChars="200"/>
        <w:rPr>
          <w:rFonts w:ascii="Times New Roman" w:hAnsi="Times New Roman" w:eastAsia="宋体" w:cs="宋体"/>
          <w:snapToGrid w:val="0"/>
          <w:color w:val="auto"/>
          <w:kern w:val="0"/>
          <w:sz w:val="24"/>
          <w:lang w:val="zh-CN"/>
        </w:rPr>
      </w:pPr>
      <w:r>
        <w:rPr>
          <w:rFonts w:ascii="Times New Roman" w:hAnsi="Times New Roman" w:eastAsia="宋体" w:cs="宋体"/>
          <w:snapToGrid w:val="0"/>
          <w:color w:val="auto"/>
          <w:kern w:val="0"/>
          <w:sz w:val="24"/>
          <w:lang w:val="zh-CN"/>
        </w:rPr>
        <w:t>（3）施工车辆运输沙石等物料等易起尘的物料要加盖</w:t>
      </w:r>
      <w:r>
        <w:rPr>
          <w:rFonts w:hint="eastAsia" w:cs="宋体"/>
          <w:snapToGrid w:val="0"/>
          <w:color w:val="auto"/>
          <w:kern w:val="0"/>
          <w:sz w:val="24"/>
          <w:lang w:val="zh-CN"/>
        </w:rPr>
        <w:t>篷布</w:t>
      </w:r>
      <w:r>
        <w:rPr>
          <w:rFonts w:ascii="Times New Roman" w:hAnsi="Times New Roman" w:eastAsia="宋体" w:cs="宋体"/>
          <w:snapToGrid w:val="0"/>
          <w:color w:val="auto"/>
          <w:kern w:val="0"/>
          <w:sz w:val="24"/>
          <w:lang w:val="zh-CN"/>
        </w:rPr>
        <w:t>、控制车速，防止物料洒落和产生扬尘；卸车时应尽量减小落差，减少扬尘；进出施工现场车辆将导致地面扬尘，对陆域施工现场及运输道路应定期清扫洒水，保持车辆出入口路面清洁、润湿，以减少施工车辆引起的地面扬尘污染，并尽量要求运输车辆减缓行车速度，以减少运输车辆轮胎带泥上路和造成二次扬尘。</w:t>
      </w:r>
    </w:p>
    <w:p w14:paraId="580F8DB8">
      <w:pPr>
        <w:spacing w:line="360" w:lineRule="auto"/>
        <w:ind w:firstLine="480" w:firstLineChars="200"/>
        <w:rPr>
          <w:rFonts w:ascii="Times New Roman" w:hAnsi="Times New Roman" w:eastAsia="宋体" w:cs="宋体"/>
          <w:snapToGrid w:val="0"/>
          <w:color w:val="auto"/>
          <w:kern w:val="0"/>
          <w:sz w:val="24"/>
          <w:lang w:val="zh-CN"/>
        </w:rPr>
      </w:pPr>
      <w:r>
        <w:rPr>
          <w:rFonts w:ascii="Times New Roman" w:hAnsi="Times New Roman" w:eastAsia="宋体" w:cs="宋体"/>
          <w:snapToGrid w:val="0"/>
          <w:color w:val="auto"/>
          <w:kern w:val="0"/>
          <w:sz w:val="24"/>
          <w:lang w:val="zh-CN"/>
        </w:rPr>
        <w:t>（4）加强对施工机械、车辆的维修保养，禁止以柴油为燃料的施工机械超负荷工作，减少尾气排放。</w:t>
      </w:r>
    </w:p>
    <w:p w14:paraId="2905C835">
      <w:pPr>
        <w:spacing w:line="360" w:lineRule="auto"/>
        <w:ind w:firstLine="480" w:firstLineChars="200"/>
        <w:rPr>
          <w:rFonts w:ascii="Times New Roman" w:hAnsi="Times New Roman" w:eastAsia="宋体" w:cs="宋体"/>
          <w:snapToGrid w:val="0"/>
          <w:color w:val="auto"/>
          <w:kern w:val="0"/>
          <w:sz w:val="24"/>
          <w:lang w:val="zh-CN"/>
        </w:rPr>
      </w:pPr>
      <w:r>
        <w:rPr>
          <w:rFonts w:ascii="Times New Roman" w:hAnsi="Times New Roman" w:eastAsia="宋体" w:cs="宋体"/>
          <w:snapToGrid w:val="0"/>
          <w:color w:val="auto"/>
          <w:kern w:val="0"/>
          <w:sz w:val="24"/>
          <w:lang w:val="zh-CN"/>
        </w:rPr>
        <w:t>（5）对码头周边道路、</w:t>
      </w:r>
      <w:r>
        <w:rPr>
          <w:rFonts w:hint="eastAsia" w:ascii="Times New Roman" w:hAnsi="Times New Roman" w:eastAsia="宋体" w:cs="宋体"/>
          <w:snapToGrid w:val="0"/>
          <w:color w:val="auto"/>
          <w:kern w:val="0"/>
          <w:sz w:val="24"/>
        </w:rPr>
        <w:t>陆域</w:t>
      </w:r>
      <w:r>
        <w:rPr>
          <w:rFonts w:ascii="Times New Roman" w:hAnsi="Times New Roman" w:eastAsia="宋体" w:cs="宋体"/>
          <w:snapToGrid w:val="0"/>
          <w:color w:val="auto"/>
          <w:kern w:val="0"/>
          <w:sz w:val="24"/>
          <w:lang w:val="zh-CN"/>
        </w:rPr>
        <w:t>施工场地及时清扫并洒水，防止货物转运过程中的二次起尘。</w:t>
      </w:r>
    </w:p>
    <w:p w14:paraId="78DD04B9">
      <w:pPr>
        <w:spacing w:line="360" w:lineRule="auto"/>
        <w:ind w:firstLine="480" w:firstLineChars="200"/>
        <w:rPr>
          <w:rFonts w:ascii="Times New Roman" w:hAnsi="Times New Roman" w:eastAsia="宋体" w:cs="宋体"/>
          <w:snapToGrid w:val="0"/>
          <w:color w:val="auto"/>
          <w:kern w:val="0"/>
          <w:sz w:val="24"/>
          <w:lang w:val="zh-CN"/>
        </w:rPr>
      </w:pPr>
      <w:r>
        <w:rPr>
          <w:rFonts w:ascii="Times New Roman" w:hAnsi="Times New Roman" w:eastAsia="宋体" w:cs="宋体"/>
          <w:snapToGrid w:val="0"/>
          <w:color w:val="auto"/>
          <w:kern w:val="0"/>
          <w:sz w:val="24"/>
          <w:lang w:val="zh-CN"/>
        </w:rPr>
        <w:t>（6）疏导好场内交通，减少机械、车辆的怠速行驶时间，以减少污染物的排放。同时使用合格的汽、柴油。</w:t>
      </w:r>
    </w:p>
    <w:p w14:paraId="0097AE70">
      <w:pPr>
        <w:spacing w:line="360" w:lineRule="auto"/>
        <w:ind w:firstLine="480" w:firstLineChars="200"/>
        <w:rPr>
          <w:rFonts w:ascii="Times New Roman" w:hAnsi="Times New Roman" w:eastAsia="宋体" w:cs="宋体"/>
          <w:snapToGrid w:val="0"/>
          <w:color w:val="auto"/>
          <w:kern w:val="0"/>
          <w:sz w:val="24"/>
          <w:lang w:val="zh-CN"/>
        </w:rPr>
      </w:pPr>
      <w:r>
        <w:rPr>
          <w:rFonts w:ascii="Times New Roman" w:hAnsi="Times New Roman" w:eastAsia="宋体" w:cs="宋体"/>
          <w:snapToGrid w:val="0"/>
          <w:color w:val="auto"/>
          <w:kern w:val="0"/>
          <w:sz w:val="24"/>
          <w:lang w:val="zh-CN"/>
        </w:rPr>
        <w:t>（7）项目施工</w:t>
      </w:r>
      <w:r>
        <w:rPr>
          <w:rFonts w:hint="eastAsia" w:cs="宋体"/>
          <w:snapToGrid w:val="0"/>
          <w:color w:val="auto"/>
          <w:kern w:val="0"/>
          <w:sz w:val="24"/>
          <w:lang w:val="zh-CN"/>
        </w:rPr>
        <w:t>期间</w:t>
      </w:r>
      <w:r>
        <w:rPr>
          <w:rFonts w:ascii="Times New Roman" w:hAnsi="Times New Roman" w:eastAsia="宋体" w:cs="宋体"/>
          <w:snapToGrid w:val="0"/>
          <w:color w:val="auto"/>
          <w:kern w:val="0"/>
          <w:sz w:val="24"/>
          <w:lang w:val="zh-CN"/>
        </w:rPr>
        <w:t>施工单位必须加强施工区的规划管理。汽车运输砂土、水泥、碎石等要加盖</w:t>
      </w:r>
      <w:r>
        <w:rPr>
          <w:rFonts w:hint="eastAsia" w:cs="宋体"/>
          <w:snapToGrid w:val="0"/>
          <w:color w:val="auto"/>
          <w:kern w:val="0"/>
          <w:sz w:val="24"/>
          <w:lang w:val="zh-CN"/>
        </w:rPr>
        <w:t>篷布</w:t>
      </w:r>
      <w:r>
        <w:rPr>
          <w:rFonts w:ascii="Times New Roman" w:hAnsi="Times New Roman" w:eastAsia="宋体" w:cs="宋体"/>
          <w:snapToGrid w:val="0"/>
          <w:color w:val="auto"/>
          <w:kern w:val="0"/>
          <w:sz w:val="24"/>
          <w:lang w:val="zh-CN"/>
        </w:rPr>
        <w:t>、控制车速；卸车时应尽量减小落差；保持车辆出入口路面清洁、润湿，并尽量要求运输车辆减缓行车速度。</w:t>
      </w:r>
    </w:p>
    <w:p w14:paraId="17497A81">
      <w:pPr>
        <w:spacing w:line="360" w:lineRule="auto"/>
        <w:ind w:firstLine="480" w:firstLineChars="200"/>
        <w:rPr>
          <w:rFonts w:ascii="Times New Roman" w:hAnsi="Times New Roman" w:eastAsia="宋体" w:cs="宋体"/>
          <w:snapToGrid w:val="0"/>
          <w:color w:val="auto"/>
          <w:kern w:val="0"/>
          <w:sz w:val="24"/>
          <w:lang w:val="zh-CN"/>
        </w:rPr>
      </w:pPr>
      <w:r>
        <w:rPr>
          <w:rFonts w:ascii="Times New Roman" w:hAnsi="Times New Roman" w:eastAsia="宋体" w:cs="宋体"/>
          <w:snapToGrid w:val="0"/>
          <w:color w:val="auto"/>
          <w:kern w:val="0"/>
          <w:sz w:val="24"/>
          <w:lang w:val="zh-CN"/>
        </w:rPr>
        <w:t>（8）根据《安徽省大气污染防治条例》、《关于印发&lt;安徽省建筑工程施工和预拌混凝土生产扬尘污染防治标准（试行）&gt;的通知》等要求，拟建项目建设单位应采取以下污染防治措施：</w:t>
      </w:r>
    </w:p>
    <w:p w14:paraId="4A1A3EC7">
      <w:pPr>
        <w:spacing w:line="360" w:lineRule="auto"/>
        <w:ind w:firstLine="480" w:firstLineChars="200"/>
        <w:rPr>
          <w:rFonts w:ascii="Times New Roman" w:hAnsi="Times New Roman" w:eastAsia="宋体" w:cs="宋体"/>
          <w:snapToGrid w:val="0"/>
          <w:color w:val="auto"/>
          <w:kern w:val="0"/>
          <w:sz w:val="24"/>
          <w:lang w:val="zh-CN"/>
        </w:rPr>
      </w:pPr>
      <w:r>
        <w:rPr>
          <w:rFonts w:hint="eastAsia" w:ascii="Times New Roman" w:hAnsi="Times New Roman" w:eastAsia="宋体" w:cs="宋体"/>
          <w:snapToGrid w:val="0"/>
          <w:color w:val="auto"/>
          <w:kern w:val="0"/>
          <w:sz w:val="24"/>
          <w:lang w:val="zh-CN"/>
        </w:rPr>
        <w:t>①</w:t>
      </w:r>
      <w:r>
        <w:rPr>
          <w:rFonts w:ascii="Times New Roman" w:hAnsi="Times New Roman" w:eastAsia="宋体" w:cs="宋体"/>
          <w:snapToGrid w:val="0"/>
          <w:color w:val="auto"/>
          <w:kern w:val="0"/>
          <w:sz w:val="24"/>
          <w:lang w:val="zh-CN"/>
        </w:rPr>
        <w:t>施工现场扬尘污染防治应做到</w:t>
      </w:r>
      <w:r>
        <w:rPr>
          <w:rFonts w:hint="eastAsia" w:ascii="Times New Roman" w:hAnsi="Times New Roman" w:eastAsia="宋体" w:cs="宋体"/>
          <w:snapToGrid w:val="0"/>
          <w:color w:val="auto"/>
          <w:kern w:val="0"/>
          <w:sz w:val="24"/>
          <w:lang w:val="zh-CN"/>
        </w:rPr>
        <w:t>“</w:t>
      </w:r>
      <w:r>
        <w:rPr>
          <w:rFonts w:hint="eastAsia" w:ascii="Times New Roman" w:hAnsi="Times New Roman" w:eastAsia="宋体" w:cs="宋体"/>
          <w:snapToGrid w:val="0"/>
          <w:color w:val="auto"/>
          <w:kern w:val="0"/>
          <w:sz w:val="24"/>
        </w:rPr>
        <w:t>六个百分之百</w:t>
      </w:r>
      <w:r>
        <w:rPr>
          <w:rFonts w:hint="eastAsia" w:ascii="Times New Roman" w:hAnsi="Times New Roman" w:eastAsia="宋体" w:cs="宋体"/>
          <w:snapToGrid w:val="0"/>
          <w:color w:val="auto"/>
          <w:kern w:val="0"/>
          <w:sz w:val="24"/>
          <w:lang w:val="zh-CN"/>
        </w:rPr>
        <w:t>”</w:t>
      </w:r>
      <w:r>
        <w:rPr>
          <w:rFonts w:ascii="Times New Roman" w:hAnsi="Times New Roman" w:eastAsia="宋体" w:cs="宋体"/>
          <w:snapToGrid w:val="0"/>
          <w:color w:val="auto"/>
          <w:kern w:val="0"/>
          <w:sz w:val="24"/>
          <w:lang w:val="zh-CN"/>
        </w:rPr>
        <w:t>：施工工地周边100%围挡、物料堆放100%覆盖、施工现场地面100%硬化、土方开挖100%湿法作业、出入车辆100%清洗、渣土车辆100%密闭运输。</w:t>
      </w:r>
    </w:p>
    <w:p w14:paraId="0E68BD94">
      <w:pPr>
        <w:spacing w:line="360" w:lineRule="auto"/>
        <w:ind w:firstLine="480" w:firstLineChars="200"/>
        <w:rPr>
          <w:rFonts w:ascii="Times New Roman" w:hAnsi="Times New Roman" w:eastAsia="宋体" w:cs="宋体"/>
          <w:snapToGrid w:val="0"/>
          <w:color w:val="auto"/>
          <w:kern w:val="0"/>
          <w:sz w:val="24"/>
          <w:lang w:val="zh-CN"/>
        </w:rPr>
      </w:pPr>
      <w:r>
        <w:rPr>
          <w:rFonts w:hint="eastAsia" w:ascii="Times New Roman" w:hAnsi="Times New Roman" w:eastAsia="宋体" w:cs="宋体"/>
          <w:snapToGrid w:val="0"/>
          <w:color w:val="auto"/>
          <w:kern w:val="0"/>
          <w:sz w:val="24"/>
          <w:lang w:val="zh-CN"/>
        </w:rPr>
        <w:t>②</w:t>
      </w:r>
      <w:r>
        <w:rPr>
          <w:rFonts w:ascii="Times New Roman" w:hAnsi="Times New Roman" w:eastAsia="宋体" w:cs="宋体"/>
          <w:snapToGrid w:val="0"/>
          <w:color w:val="auto"/>
          <w:kern w:val="0"/>
          <w:sz w:val="24"/>
          <w:lang w:val="zh-CN"/>
        </w:rPr>
        <w:t>合理规划施工场地，适当向挖土区、填土区、储土区及作业面、地面洒水抑尘，以减少扬尘量；开挖的泥土、</w:t>
      </w:r>
      <w:r>
        <w:rPr>
          <w:rFonts w:hint="eastAsia" w:ascii="Times New Roman" w:hAnsi="Times New Roman" w:eastAsia="宋体" w:cs="宋体"/>
          <w:snapToGrid w:val="0"/>
          <w:color w:val="auto"/>
          <w:kern w:val="0"/>
          <w:sz w:val="24"/>
        </w:rPr>
        <w:t>土</w:t>
      </w:r>
      <w:r>
        <w:rPr>
          <w:rFonts w:ascii="Times New Roman" w:hAnsi="Times New Roman" w:eastAsia="宋体" w:cs="宋体"/>
          <w:snapToGrid w:val="0"/>
          <w:color w:val="auto"/>
          <w:kern w:val="0"/>
          <w:sz w:val="24"/>
          <w:lang w:val="zh-CN"/>
        </w:rPr>
        <w:t>石</w:t>
      </w:r>
      <w:r>
        <w:rPr>
          <w:rFonts w:hint="eastAsia" w:ascii="Times New Roman" w:hAnsi="Times New Roman" w:eastAsia="宋体" w:cs="宋体"/>
          <w:snapToGrid w:val="0"/>
          <w:color w:val="auto"/>
          <w:kern w:val="0"/>
          <w:sz w:val="24"/>
        </w:rPr>
        <w:t>方</w:t>
      </w:r>
      <w:r>
        <w:rPr>
          <w:rFonts w:ascii="Times New Roman" w:hAnsi="Times New Roman" w:eastAsia="宋体" w:cs="宋体"/>
          <w:snapToGrid w:val="0"/>
          <w:color w:val="auto"/>
          <w:kern w:val="0"/>
          <w:sz w:val="24"/>
          <w:lang w:val="zh-CN"/>
        </w:rPr>
        <w:t>等应及时运走，避免堆积过高</w:t>
      </w:r>
      <w:r>
        <w:rPr>
          <w:rFonts w:hint="eastAsia" w:ascii="Times New Roman" w:hAnsi="Times New Roman" w:eastAsia="宋体" w:cs="宋体"/>
          <w:snapToGrid w:val="0"/>
          <w:color w:val="auto"/>
          <w:kern w:val="0"/>
          <w:sz w:val="24"/>
        </w:rPr>
        <w:t>或</w:t>
      </w:r>
      <w:r>
        <w:rPr>
          <w:rFonts w:ascii="Times New Roman" w:hAnsi="Times New Roman" w:eastAsia="宋体" w:cs="宋体"/>
          <w:snapToGrid w:val="0"/>
          <w:color w:val="auto"/>
          <w:kern w:val="0"/>
          <w:sz w:val="24"/>
          <w:lang w:val="zh-CN"/>
        </w:rPr>
        <w:t>堆积时间过长。</w:t>
      </w:r>
    </w:p>
    <w:p w14:paraId="05734A46">
      <w:pPr>
        <w:spacing w:line="360" w:lineRule="auto"/>
        <w:ind w:firstLine="480" w:firstLineChars="200"/>
        <w:rPr>
          <w:rFonts w:ascii="Times New Roman" w:hAnsi="Times New Roman" w:eastAsia="宋体" w:cs="宋体"/>
          <w:snapToGrid w:val="0"/>
          <w:color w:val="auto"/>
          <w:kern w:val="0"/>
          <w:sz w:val="24"/>
          <w:lang w:val="zh-CN"/>
        </w:rPr>
      </w:pPr>
      <w:r>
        <w:rPr>
          <w:rFonts w:hint="eastAsia" w:ascii="Times New Roman" w:hAnsi="Times New Roman" w:eastAsia="宋体" w:cs="宋体"/>
          <w:snapToGrid w:val="0"/>
          <w:color w:val="auto"/>
          <w:kern w:val="0"/>
          <w:sz w:val="24"/>
          <w:lang w:val="zh-CN"/>
        </w:rPr>
        <w:t>③</w:t>
      </w:r>
      <w:r>
        <w:rPr>
          <w:rFonts w:ascii="Times New Roman" w:hAnsi="Times New Roman" w:eastAsia="宋体" w:cs="宋体"/>
          <w:snapToGrid w:val="0"/>
          <w:color w:val="auto"/>
          <w:kern w:val="0"/>
          <w:sz w:val="24"/>
          <w:lang w:val="zh-CN"/>
        </w:rPr>
        <w:t>进出车辆冲洗，冲洗水循环利用不外排；装载</w:t>
      </w:r>
      <w:r>
        <w:rPr>
          <w:rFonts w:hint="eastAsia" w:cs="宋体"/>
          <w:snapToGrid w:val="0"/>
          <w:color w:val="auto"/>
          <w:kern w:val="0"/>
          <w:sz w:val="24"/>
          <w:lang w:val="zh-CN"/>
        </w:rPr>
        <w:t>不宜</w:t>
      </w:r>
      <w:r>
        <w:rPr>
          <w:rFonts w:ascii="Times New Roman" w:hAnsi="Times New Roman" w:eastAsia="宋体" w:cs="宋体"/>
          <w:snapToGrid w:val="0"/>
          <w:color w:val="auto"/>
          <w:kern w:val="0"/>
          <w:sz w:val="24"/>
          <w:lang w:val="zh-CN"/>
        </w:rPr>
        <w:t>过满，采取遮盖、密闭措施，减少其沿途抛洒，并及时清扫散落在路面的泥土和灰尘。</w:t>
      </w:r>
    </w:p>
    <w:p w14:paraId="54C7C8A8">
      <w:pPr>
        <w:spacing w:line="360" w:lineRule="auto"/>
        <w:ind w:firstLine="480" w:firstLineChars="200"/>
        <w:rPr>
          <w:rFonts w:ascii="Times New Roman" w:hAnsi="Times New Roman" w:eastAsia="宋体" w:cs="宋体"/>
          <w:snapToGrid w:val="0"/>
          <w:color w:val="auto"/>
          <w:kern w:val="0"/>
          <w:sz w:val="24"/>
          <w:lang w:val="zh-CN"/>
        </w:rPr>
      </w:pPr>
      <w:r>
        <w:rPr>
          <w:rFonts w:hint="eastAsia" w:ascii="Times New Roman" w:hAnsi="Times New Roman" w:eastAsia="宋体" w:cs="宋体"/>
          <w:snapToGrid w:val="0"/>
          <w:color w:val="auto"/>
          <w:kern w:val="0"/>
          <w:sz w:val="24"/>
          <w:lang w:val="zh-CN"/>
        </w:rPr>
        <w:t>④</w:t>
      </w:r>
      <w:r>
        <w:rPr>
          <w:rFonts w:ascii="Times New Roman" w:hAnsi="Times New Roman" w:eastAsia="宋体" w:cs="宋体"/>
          <w:snapToGrid w:val="0"/>
          <w:color w:val="auto"/>
          <w:kern w:val="0"/>
          <w:sz w:val="24"/>
          <w:lang w:val="zh-CN"/>
        </w:rPr>
        <w:t>为防止材料运输中产生道路扬尘，定时对道路</w:t>
      </w:r>
      <w:r>
        <w:rPr>
          <w:rFonts w:hint="eastAsia" w:ascii="Times New Roman" w:hAnsi="Times New Roman" w:eastAsia="宋体" w:cs="宋体"/>
          <w:snapToGrid w:val="0"/>
          <w:color w:val="auto"/>
          <w:kern w:val="0"/>
          <w:sz w:val="24"/>
        </w:rPr>
        <w:t>进行</w:t>
      </w:r>
      <w:r>
        <w:rPr>
          <w:rFonts w:ascii="Times New Roman" w:hAnsi="Times New Roman" w:eastAsia="宋体" w:cs="宋体"/>
          <w:snapToGrid w:val="0"/>
          <w:color w:val="auto"/>
          <w:kern w:val="0"/>
          <w:sz w:val="24"/>
          <w:lang w:val="zh-CN"/>
        </w:rPr>
        <w:t>洒水抑尘。施工运输车辆行驶速度限制在20km/h以下，既可减少扬尘量，又可降低车辆噪声，同时有利于施工现场安全。卸料时，尽量降低高度，对散状物如沙子堆场采取洒水抑尘措施。</w:t>
      </w:r>
    </w:p>
    <w:p w14:paraId="0AC5C9D2">
      <w:pPr>
        <w:spacing w:line="360" w:lineRule="auto"/>
        <w:ind w:firstLine="480" w:firstLineChars="200"/>
        <w:rPr>
          <w:rFonts w:ascii="Times New Roman" w:hAnsi="Times New Roman" w:eastAsia="宋体" w:cs="宋体"/>
          <w:snapToGrid w:val="0"/>
          <w:color w:val="auto"/>
          <w:kern w:val="0"/>
          <w:sz w:val="24"/>
          <w:lang w:val="zh-CN"/>
        </w:rPr>
      </w:pPr>
      <w:r>
        <w:rPr>
          <w:rFonts w:hint="eastAsia" w:ascii="Times New Roman" w:hAnsi="Times New Roman" w:eastAsia="宋体" w:cs="宋体"/>
          <w:snapToGrid w:val="0"/>
          <w:color w:val="auto"/>
          <w:kern w:val="0"/>
          <w:sz w:val="24"/>
          <w:lang w:val="zh-CN"/>
        </w:rPr>
        <w:t>⑤</w:t>
      </w:r>
      <w:r>
        <w:rPr>
          <w:rFonts w:ascii="Times New Roman" w:hAnsi="Times New Roman" w:eastAsia="宋体" w:cs="宋体"/>
          <w:snapToGrid w:val="0"/>
          <w:color w:val="auto"/>
          <w:kern w:val="0"/>
          <w:sz w:val="24"/>
          <w:lang w:val="zh-CN"/>
        </w:rPr>
        <w:t>为防止物料堆场扬尘污染，对施工现场应进行科学管理，砂石料统一堆放，</w:t>
      </w:r>
      <w:r>
        <w:rPr>
          <w:rFonts w:hint="eastAsia" w:cs="宋体"/>
          <w:snapToGrid w:val="0"/>
          <w:color w:val="auto"/>
          <w:kern w:val="0"/>
          <w:sz w:val="24"/>
          <w:lang w:val="zh-CN"/>
        </w:rPr>
        <w:t>散装</w:t>
      </w:r>
      <w:r>
        <w:rPr>
          <w:rFonts w:ascii="Times New Roman" w:hAnsi="Times New Roman" w:eastAsia="宋体" w:cs="宋体"/>
          <w:snapToGrid w:val="0"/>
          <w:color w:val="auto"/>
          <w:kern w:val="0"/>
          <w:sz w:val="24"/>
          <w:lang w:val="zh-CN"/>
        </w:rPr>
        <w:t>建材设置简易材料棚，尽量减少搬运环节。在天气干燥、风速较大时，易扬尘物料及堆土场应采用帆布或物料布覆盖。</w:t>
      </w:r>
    </w:p>
    <w:p w14:paraId="38FDD971">
      <w:pPr>
        <w:spacing w:line="360" w:lineRule="auto"/>
        <w:ind w:firstLine="480" w:firstLineChars="200"/>
        <w:rPr>
          <w:rFonts w:ascii="Times New Roman" w:hAnsi="Times New Roman" w:eastAsia="宋体" w:cs="宋体"/>
          <w:snapToGrid w:val="0"/>
          <w:color w:val="auto"/>
          <w:kern w:val="0"/>
          <w:sz w:val="24"/>
          <w:lang w:val="zh-CN"/>
        </w:rPr>
      </w:pPr>
      <w:r>
        <w:rPr>
          <w:rFonts w:hint="eastAsia" w:ascii="Times New Roman" w:hAnsi="Times New Roman" w:eastAsia="宋体" w:cs="宋体"/>
          <w:snapToGrid w:val="0"/>
          <w:color w:val="auto"/>
          <w:kern w:val="0"/>
          <w:sz w:val="24"/>
          <w:lang w:val="zh-CN"/>
        </w:rPr>
        <w:t>⑥</w:t>
      </w:r>
      <w:r>
        <w:rPr>
          <w:rFonts w:ascii="Times New Roman" w:hAnsi="Times New Roman" w:eastAsia="宋体" w:cs="宋体"/>
          <w:snapToGrid w:val="0"/>
          <w:color w:val="auto"/>
          <w:kern w:val="0"/>
          <w:sz w:val="24"/>
          <w:lang w:val="zh-CN"/>
        </w:rPr>
        <w:t>合理优化临时施工道路，尽可能远离村庄，以免影响居住环境。对临时施工道路进行硬化处理，经常洒水，减少运输车辆行驶中尘土飞扬。</w:t>
      </w:r>
    </w:p>
    <w:p w14:paraId="6226FAA3">
      <w:pPr>
        <w:spacing w:line="360" w:lineRule="auto"/>
        <w:ind w:firstLine="480" w:firstLineChars="200"/>
        <w:rPr>
          <w:rFonts w:ascii="Times New Roman" w:hAnsi="Times New Roman" w:eastAsia="宋体" w:cs="宋体"/>
          <w:snapToGrid w:val="0"/>
          <w:color w:val="auto"/>
          <w:kern w:val="0"/>
          <w:sz w:val="24"/>
          <w:lang w:val="zh-CN"/>
        </w:rPr>
      </w:pPr>
      <w:r>
        <w:rPr>
          <w:rFonts w:hint="eastAsia" w:ascii="Times New Roman" w:hAnsi="Times New Roman" w:eastAsia="宋体" w:cs="宋体"/>
          <w:snapToGrid w:val="0"/>
          <w:color w:val="auto"/>
          <w:kern w:val="0"/>
          <w:sz w:val="24"/>
          <w:lang w:val="zh-CN"/>
        </w:rPr>
        <w:t>⑦</w:t>
      </w:r>
      <w:r>
        <w:rPr>
          <w:rFonts w:ascii="Times New Roman" w:hAnsi="Times New Roman" w:eastAsia="宋体" w:cs="宋体"/>
          <w:snapToGrid w:val="0"/>
          <w:color w:val="auto"/>
          <w:kern w:val="0"/>
          <w:sz w:val="24"/>
          <w:lang w:val="zh-CN"/>
        </w:rPr>
        <w:t>建议工程建设使用商品混凝土，减少施工现场搅拌作用对周边环境的影响。</w:t>
      </w:r>
    </w:p>
    <w:p w14:paraId="0F5DAC74">
      <w:pPr>
        <w:spacing w:line="360" w:lineRule="auto"/>
        <w:ind w:firstLine="480" w:firstLineChars="200"/>
        <w:rPr>
          <w:rFonts w:ascii="Times New Roman" w:hAnsi="Times New Roman" w:eastAsia="宋体" w:cs="宋体"/>
          <w:snapToGrid w:val="0"/>
          <w:color w:val="auto"/>
          <w:kern w:val="0"/>
          <w:sz w:val="24"/>
          <w:lang w:val="zh-CN"/>
        </w:rPr>
      </w:pPr>
      <w:r>
        <w:rPr>
          <w:rFonts w:hint="eastAsia" w:ascii="Times New Roman" w:hAnsi="Times New Roman" w:eastAsia="宋体" w:cs="宋体"/>
          <w:snapToGrid w:val="0"/>
          <w:color w:val="auto"/>
          <w:kern w:val="0"/>
          <w:sz w:val="24"/>
          <w:lang w:val="zh-CN"/>
        </w:rPr>
        <w:t>⑧</w:t>
      </w:r>
      <w:r>
        <w:rPr>
          <w:rFonts w:ascii="Times New Roman" w:hAnsi="Times New Roman" w:eastAsia="宋体" w:cs="宋体"/>
          <w:snapToGrid w:val="0"/>
          <w:color w:val="auto"/>
          <w:kern w:val="0"/>
          <w:sz w:val="24"/>
          <w:lang w:val="zh-CN"/>
        </w:rPr>
        <w:t>对施工和生产过程各方责任主体扬尘污染防治工作不到位的不良信息应纳入建筑市场信用管理体系。</w:t>
      </w:r>
    </w:p>
    <w:p w14:paraId="4481DD26">
      <w:pPr>
        <w:spacing w:line="360" w:lineRule="auto"/>
        <w:ind w:firstLine="480" w:firstLineChars="200"/>
        <w:rPr>
          <w:rFonts w:ascii="Times New Roman" w:hAnsi="Times New Roman" w:eastAsia="宋体" w:cs="宋体"/>
          <w:snapToGrid w:val="0"/>
          <w:color w:val="auto"/>
          <w:kern w:val="0"/>
          <w:sz w:val="24"/>
          <w:lang w:val="zh-CN"/>
        </w:rPr>
      </w:pPr>
      <w:r>
        <w:rPr>
          <w:rFonts w:hint="eastAsia" w:ascii="Times New Roman" w:hAnsi="Times New Roman" w:eastAsia="宋体" w:cs="宋体"/>
          <w:snapToGrid w:val="0"/>
          <w:color w:val="auto"/>
          <w:kern w:val="0"/>
          <w:sz w:val="24"/>
          <w:lang w:val="zh-CN"/>
        </w:rPr>
        <w:t>⑨</w:t>
      </w:r>
      <w:r>
        <w:rPr>
          <w:rFonts w:ascii="Times New Roman" w:hAnsi="Times New Roman" w:eastAsia="宋体" w:cs="宋体"/>
          <w:snapToGrid w:val="0"/>
          <w:color w:val="auto"/>
          <w:kern w:val="0"/>
          <w:sz w:val="24"/>
          <w:lang w:val="zh-CN"/>
        </w:rPr>
        <w:t>按照重污染天气黄色、橙色和红色三个预警响应级别，针对扬尘污染防治特点，应采取洒水降尘、局部停工、全面停工等应急响应措施。</w:t>
      </w:r>
    </w:p>
    <w:p w14:paraId="71D588B7">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6.1.2</w:t>
      </w:r>
      <w:r>
        <w:rPr>
          <w:rFonts w:ascii="Times New Roman" w:hAnsi="Times New Roman" w:eastAsia="黑体" w:cs="Times New Roman"/>
          <w:bCs/>
          <w:color w:val="auto"/>
          <w:kern w:val="2"/>
          <w:sz w:val="28"/>
          <w:szCs w:val="32"/>
          <w:lang w:val="en-US" w:eastAsia="zh-CN" w:bidi="ar-SA"/>
        </w:rPr>
        <w:t>施工期水污染防治措施</w:t>
      </w:r>
    </w:p>
    <w:p w14:paraId="0984B2A5">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工程地表水环境影响主要在施工期。施工期产生的废水主要为</w:t>
      </w:r>
      <w:r>
        <w:rPr>
          <w:rFonts w:hint="eastAsia" w:ascii="Times New Roman" w:hAnsi="Times New Roman" w:eastAsia="宋体" w:cs="宋体"/>
          <w:snapToGrid w:val="0"/>
          <w:color w:val="auto"/>
          <w:kern w:val="0"/>
          <w:sz w:val="24"/>
          <w:szCs w:val="21"/>
          <w:lang w:val="en-US" w:eastAsia="zh-CN" w:bidi="ar-SA"/>
        </w:rPr>
        <w:t>水下疏浚土方填至抛泥区后干化脱水而产生的余水、</w:t>
      </w:r>
      <w:r>
        <w:rPr>
          <w:rFonts w:ascii="Times New Roman" w:hAnsi="Times New Roman" w:eastAsia="宋体" w:cs="宋体"/>
          <w:snapToGrid w:val="0"/>
          <w:color w:val="auto"/>
          <w:kern w:val="0"/>
          <w:sz w:val="24"/>
          <w:szCs w:val="21"/>
          <w:lang w:val="zh-CN" w:eastAsia="zh-CN" w:bidi="ar-SA"/>
        </w:rPr>
        <w:t>施工机械车辆冲洗</w:t>
      </w:r>
      <w:r>
        <w:rPr>
          <w:rFonts w:hint="eastAsia" w:ascii="Times New Roman" w:hAnsi="Times New Roman" w:eastAsia="宋体" w:cs="宋体"/>
          <w:snapToGrid w:val="0"/>
          <w:color w:val="auto"/>
          <w:kern w:val="0"/>
          <w:sz w:val="24"/>
          <w:szCs w:val="21"/>
          <w:lang w:val="en-US" w:eastAsia="zh-CN" w:bidi="ar-SA"/>
        </w:rPr>
        <w:t>废</w:t>
      </w:r>
      <w:r>
        <w:rPr>
          <w:rFonts w:ascii="Times New Roman" w:hAnsi="Times New Roman" w:eastAsia="宋体" w:cs="宋体"/>
          <w:snapToGrid w:val="0"/>
          <w:color w:val="auto"/>
          <w:kern w:val="0"/>
          <w:sz w:val="24"/>
          <w:szCs w:val="21"/>
          <w:lang w:val="zh-CN" w:eastAsia="zh-CN" w:bidi="ar-SA"/>
        </w:rPr>
        <w:t>水</w:t>
      </w:r>
      <w:r>
        <w:rPr>
          <w:rFonts w:hint="eastAsia" w:ascii="Times New Roman" w:hAnsi="Times New Roman" w:eastAsia="宋体" w:cs="宋体"/>
          <w:snapToGrid w:val="0"/>
          <w:color w:val="auto"/>
          <w:kern w:val="0"/>
          <w:sz w:val="24"/>
          <w:szCs w:val="21"/>
          <w:lang w:val="zh-CN" w:eastAsia="zh-CN" w:bidi="ar-SA"/>
        </w:rPr>
        <w:t>、</w:t>
      </w:r>
      <w:r>
        <w:rPr>
          <w:rFonts w:ascii="Times New Roman" w:hAnsi="Times New Roman" w:eastAsia="宋体" w:cs="宋体"/>
          <w:snapToGrid w:val="0"/>
          <w:color w:val="auto"/>
          <w:kern w:val="0"/>
          <w:sz w:val="24"/>
          <w:szCs w:val="21"/>
          <w:lang w:val="zh-CN" w:eastAsia="zh-CN" w:bidi="ar-SA"/>
        </w:rPr>
        <w:t>施工船舶含油污水及生活污水、施工人员生活污水等。针对排放的废水不同，采取不同的措施进行处理。</w:t>
      </w:r>
    </w:p>
    <w:p w14:paraId="61BB9EDD">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6.1.2.1水下疏浚土方填至</w:t>
      </w:r>
      <w:r>
        <w:rPr>
          <w:rFonts w:ascii="Times New Roman" w:hAnsi="Times New Roman" w:eastAsia="黑体" w:cs="Times New Roman"/>
          <w:bCs/>
          <w:color w:val="auto"/>
          <w:kern w:val="2"/>
          <w:sz w:val="24"/>
          <w:szCs w:val="28"/>
          <w:lang w:val="en-US" w:eastAsia="zh-CN" w:bidi="ar-SA"/>
        </w:rPr>
        <w:t>抛泥区</w:t>
      </w:r>
      <w:r>
        <w:rPr>
          <w:rFonts w:hint="eastAsia" w:ascii="Times New Roman" w:hAnsi="Times New Roman" w:eastAsia="黑体" w:cs="Times New Roman"/>
          <w:bCs/>
          <w:color w:val="auto"/>
          <w:kern w:val="2"/>
          <w:sz w:val="24"/>
          <w:szCs w:val="28"/>
          <w:lang w:val="en-US" w:eastAsia="zh-CN" w:bidi="ar-SA"/>
        </w:rPr>
        <w:t>后干化脱水而产生的</w:t>
      </w:r>
      <w:r>
        <w:rPr>
          <w:rFonts w:ascii="Times New Roman" w:hAnsi="Times New Roman" w:eastAsia="黑体" w:cs="Times New Roman"/>
          <w:bCs/>
          <w:color w:val="auto"/>
          <w:kern w:val="2"/>
          <w:sz w:val="24"/>
          <w:szCs w:val="28"/>
          <w:lang w:val="en-US" w:eastAsia="zh-CN" w:bidi="ar-SA"/>
        </w:rPr>
        <w:t>余水防治措施</w:t>
      </w:r>
    </w:p>
    <w:p w14:paraId="370F02A4">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en-US" w:eastAsia="zh-CN" w:bidi="ar-SA"/>
        </w:rPr>
        <w:t>拟建</w:t>
      </w:r>
      <w:r>
        <w:rPr>
          <w:rFonts w:ascii="Times New Roman" w:hAnsi="Times New Roman" w:eastAsia="宋体" w:cs="宋体"/>
          <w:snapToGrid w:val="0"/>
          <w:color w:val="auto"/>
          <w:kern w:val="0"/>
          <w:sz w:val="24"/>
          <w:szCs w:val="21"/>
          <w:lang w:val="zh-CN" w:eastAsia="zh-CN" w:bidi="ar-SA"/>
        </w:rPr>
        <w:t>项目进港航道临水侧局部采用水下疏浚方式进行，疏浚泥浆吹填至</w:t>
      </w:r>
      <w:r>
        <w:rPr>
          <w:rFonts w:hint="eastAsia" w:ascii="Times New Roman" w:hAnsi="Times New Roman" w:eastAsia="宋体" w:cs="宋体"/>
          <w:snapToGrid w:val="0"/>
          <w:color w:val="auto"/>
          <w:kern w:val="0"/>
          <w:sz w:val="24"/>
          <w:szCs w:val="21"/>
          <w:lang w:val="en-US" w:eastAsia="zh-CN" w:bidi="ar-SA"/>
        </w:rPr>
        <w:t>抛泥区</w:t>
      </w:r>
      <w:r>
        <w:rPr>
          <w:rFonts w:ascii="Times New Roman" w:hAnsi="Times New Roman" w:eastAsia="宋体" w:cs="宋体"/>
          <w:snapToGrid w:val="0"/>
          <w:color w:val="auto"/>
          <w:kern w:val="0"/>
          <w:sz w:val="24"/>
          <w:szCs w:val="21"/>
          <w:lang w:val="zh-CN" w:eastAsia="zh-CN" w:bidi="ar-SA"/>
        </w:rPr>
        <w:t>回填使用，水下疏浚土方量约为49600m</w:t>
      </w:r>
      <w:r>
        <w:rPr>
          <w:rFonts w:ascii="Times New Roman" w:hAnsi="Times New Roman" w:eastAsia="宋体" w:cs="宋体"/>
          <w:snapToGrid w:val="0"/>
          <w:color w:val="auto"/>
          <w:kern w:val="0"/>
          <w:sz w:val="24"/>
          <w:szCs w:val="21"/>
          <w:vertAlign w:val="superscript"/>
          <w:lang w:val="zh-CN" w:eastAsia="zh-CN" w:bidi="ar-SA"/>
        </w:rPr>
        <w:t>3</w:t>
      </w:r>
      <w:r>
        <w:rPr>
          <w:rFonts w:ascii="Times New Roman" w:hAnsi="Times New Roman" w:eastAsia="宋体" w:cs="宋体"/>
          <w:snapToGrid w:val="0"/>
          <w:color w:val="auto"/>
          <w:kern w:val="0"/>
          <w:sz w:val="24"/>
          <w:szCs w:val="21"/>
          <w:lang w:val="zh-CN" w:eastAsia="zh-CN" w:bidi="ar-SA"/>
        </w:rPr>
        <w:t>。疏浚土方输送至抛泥区，泥浆水若直接外排，对淮河水质影响较大，为进一步减少对地表水的影响，抛泥区采取以下措施：</w:t>
      </w:r>
    </w:p>
    <w:p w14:paraId="5EDA9DAD">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（1）围堰</w:t>
      </w:r>
    </w:p>
    <w:p w14:paraId="7A922876">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抛泥区直接利用挖掘机开挖，将中间挖方堆在四周并夯实，并利用基坑开挖土方，制成围堰</w:t>
      </w:r>
      <w:r>
        <w:rPr>
          <w:rFonts w:hint="eastAsia" w:ascii="Times New Roman" w:hAnsi="Times New Roman" w:eastAsia="宋体" w:cs="宋体"/>
          <w:snapToGrid w:val="0"/>
          <w:color w:val="auto"/>
          <w:kern w:val="0"/>
          <w:sz w:val="24"/>
          <w:szCs w:val="21"/>
          <w:lang w:val="zh-CN" w:eastAsia="zh-CN" w:bidi="ar-SA"/>
        </w:rPr>
        <w:t>（</w:t>
      </w:r>
      <w:r>
        <w:rPr>
          <w:rFonts w:hint="eastAsia" w:ascii="Times New Roman" w:hAnsi="Times New Roman" w:eastAsia="宋体" w:cs="宋体"/>
          <w:snapToGrid w:val="0"/>
          <w:color w:val="auto"/>
          <w:kern w:val="0"/>
          <w:sz w:val="24"/>
          <w:szCs w:val="21"/>
          <w:lang w:val="en-US" w:eastAsia="zh-CN" w:bidi="ar-SA"/>
        </w:rPr>
        <w:t>使用</w:t>
      </w:r>
      <w:r>
        <w:rPr>
          <w:rFonts w:hint="eastAsia" w:ascii="Times New Roman" w:hAnsi="Times New Roman" w:eastAsia="宋体" w:cs="宋体"/>
          <w:snapToGrid w:val="0"/>
          <w:color w:val="auto"/>
          <w:kern w:val="0"/>
          <w:sz w:val="24"/>
          <w:szCs w:val="21"/>
          <w:lang w:val="zh-CN" w:eastAsia="zh-CN" w:bidi="ar-SA"/>
        </w:rPr>
        <w:t>钢</w:t>
      </w:r>
      <w:r>
        <w:rPr>
          <w:rFonts w:hint="eastAsia" w:ascii="Times New Roman" w:hAnsi="Times New Roman" w:eastAsia="宋体" w:cs="宋体"/>
          <w:snapToGrid w:val="0"/>
          <w:color w:val="auto"/>
          <w:kern w:val="0"/>
          <w:sz w:val="24"/>
          <w:szCs w:val="21"/>
          <w:lang w:val="en-US" w:eastAsia="zh-CN" w:bidi="ar-SA"/>
        </w:rPr>
        <w:t>材质，</w:t>
      </w:r>
      <w:r>
        <w:rPr>
          <w:rFonts w:hint="eastAsia" w:ascii="Times New Roman" w:hAnsi="Times New Roman" w:eastAsia="宋体" w:cs="宋体"/>
          <w:snapToGrid w:val="0"/>
          <w:color w:val="auto"/>
          <w:kern w:val="0"/>
          <w:sz w:val="24"/>
          <w:szCs w:val="21"/>
          <w:lang w:val="zh-CN" w:eastAsia="zh-CN" w:bidi="ar-SA"/>
        </w:rPr>
        <w:t>围堰</w:t>
      </w:r>
      <w:r>
        <w:rPr>
          <w:rFonts w:hint="eastAsia" w:ascii="Times New Roman" w:hAnsi="Times New Roman" w:eastAsia="宋体" w:cs="宋体"/>
          <w:snapToGrid w:val="0"/>
          <w:color w:val="auto"/>
          <w:kern w:val="0"/>
          <w:sz w:val="24"/>
          <w:szCs w:val="21"/>
          <w:lang w:val="en-US" w:eastAsia="zh-CN" w:bidi="ar-SA"/>
        </w:rPr>
        <w:t>尺寸约为5*5m</w:t>
      </w:r>
      <w:r>
        <w:rPr>
          <w:rFonts w:hint="eastAsia" w:ascii="Times New Roman" w:hAnsi="Times New Roman" w:eastAsia="宋体" w:cs="宋体"/>
          <w:snapToGrid w:val="0"/>
          <w:color w:val="auto"/>
          <w:kern w:val="0"/>
          <w:sz w:val="24"/>
          <w:szCs w:val="21"/>
          <w:lang w:val="zh-CN" w:eastAsia="zh-CN" w:bidi="ar-SA"/>
        </w:rPr>
        <w:t>）</w:t>
      </w:r>
      <w:r>
        <w:rPr>
          <w:rFonts w:ascii="Times New Roman" w:hAnsi="Times New Roman" w:eastAsia="宋体" w:cs="宋体"/>
          <w:snapToGrid w:val="0"/>
          <w:color w:val="auto"/>
          <w:kern w:val="0"/>
          <w:sz w:val="24"/>
          <w:szCs w:val="21"/>
          <w:lang w:val="zh-CN" w:eastAsia="zh-CN" w:bidi="ar-SA"/>
        </w:rPr>
        <w:t>，围堰堆高需高出水面1m，以防起风时水浪外溢。</w:t>
      </w:r>
    </w:p>
    <w:p w14:paraId="67240D7C">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（2）泄水口</w:t>
      </w:r>
    </w:p>
    <w:p w14:paraId="35C9B7A6">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泄水口又称水门，是泥浆在堆场内沉淀后余水的排泄口门，它的作用是调节泥浆流程，控制排泄流量，改善泥沙沉淀效果，减少流失及提高平整度等。</w:t>
      </w:r>
    </w:p>
    <w:p w14:paraId="4108FEE6">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根据工程实际情况，考虑到施工容易、易于拆迁、经济耐用等方面因素，本项目选用闸式泄水口，且在泄水口内侧筑一封闭式溢流堰以调节泄流水位。</w:t>
      </w:r>
    </w:p>
    <w:p w14:paraId="561AC2A8">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（3）后续</w:t>
      </w:r>
      <w:r>
        <w:rPr>
          <w:rFonts w:hint="eastAsia" w:ascii="Times New Roman" w:hAnsi="Times New Roman" w:eastAsia="宋体" w:cs="宋体"/>
          <w:snapToGrid w:val="0"/>
          <w:color w:val="auto"/>
          <w:kern w:val="0"/>
          <w:sz w:val="24"/>
          <w:szCs w:val="21"/>
          <w:lang w:val="zh-CN" w:eastAsia="zh-CN" w:bidi="ar-SA"/>
        </w:rPr>
        <w:t>隔油</w:t>
      </w:r>
      <w:r>
        <w:rPr>
          <w:rFonts w:ascii="Times New Roman" w:hAnsi="Times New Roman" w:eastAsia="宋体" w:cs="宋体"/>
          <w:snapToGrid w:val="0"/>
          <w:color w:val="auto"/>
          <w:kern w:val="0"/>
          <w:sz w:val="24"/>
          <w:szCs w:val="21"/>
          <w:lang w:val="zh-CN" w:eastAsia="zh-CN" w:bidi="ar-SA"/>
        </w:rPr>
        <w:t>沉淀池</w:t>
      </w:r>
    </w:p>
    <w:p w14:paraId="2BCD77FC">
      <w:pPr>
        <w:widowControl w:val="0"/>
        <w:spacing w:line="360" w:lineRule="auto"/>
        <w:ind w:firstLine="480" w:firstLineChars="200"/>
        <w:jc w:val="both"/>
        <w:rPr>
          <w:rFonts w:ascii="Times New Roman" w:hAnsi="Times New Roman" w:eastAsia="宋体" w:cs="宋体"/>
          <w:snapToGrid w:val="0"/>
          <w:color w:val="auto"/>
          <w:kern w:val="0"/>
          <w:sz w:val="24"/>
          <w:szCs w:val="21"/>
          <w:lang w:val="en-US" w:eastAsia="zh-CN" w:bidi="ar-SA"/>
        </w:rPr>
      </w:pPr>
      <w:r>
        <w:rPr>
          <w:rFonts w:ascii="Times New Roman" w:hAnsi="Times New Roman" w:eastAsia="宋体" w:cs="宋体"/>
          <w:snapToGrid w:val="0"/>
          <w:color w:val="auto"/>
          <w:kern w:val="0"/>
          <w:sz w:val="24"/>
          <w:szCs w:val="21"/>
          <w:lang w:val="zh-CN" w:eastAsia="zh-CN" w:bidi="ar-SA"/>
        </w:rPr>
        <w:t>设置后续</w:t>
      </w:r>
      <w:r>
        <w:rPr>
          <w:rFonts w:hint="eastAsia" w:ascii="Times New Roman" w:hAnsi="Times New Roman" w:eastAsia="宋体" w:cs="宋体"/>
          <w:snapToGrid w:val="0"/>
          <w:color w:val="auto"/>
          <w:kern w:val="0"/>
          <w:sz w:val="24"/>
          <w:szCs w:val="21"/>
          <w:lang w:val="zh-CN" w:eastAsia="zh-CN" w:bidi="ar-SA"/>
        </w:rPr>
        <w:t>隔油</w:t>
      </w:r>
      <w:r>
        <w:rPr>
          <w:rFonts w:ascii="Times New Roman" w:hAnsi="Times New Roman" w:eastAsia="宋体" w:cs="宋体"/>
          <w:snapToGrid w:val="0"/>
          <w:color w:val="auto"/>
          <w:kern w:val="0"/>
          <w:sz w:val="24"/>
          <w:szCs w:val="21"/>
          <w:lang w:val="zh-CN" w:eastAsia="zh-CN" w:bidi="ar-SA"/>
        </w:rPr>
        <w:t>沉淀池是为了尽量增加泥浆的沉淀时间，提高出水净化效果；此外，堆放场施工后期，大部分堆场已变为平地，后续</w:t>
      </w:r>
      <w:r>
        <w:rPr>
          <w:rFonts w:hint="eastAsia" w:ascii="Times New Roman" w:hAnsi="Times New Roman" w:eastAsia="宋体" w:cs="宋体"/>
          <w:snapToGrid w:val="0"/>
          <w:color w:val="auto"/>
          <w:kern w:val="0"/>
          <w:sz w:val="24"/>
          <w:szCs w:val="21"/>
          <w:lang w:val="zh-CN" w:eastAsia="zh-CN" w:bidi="ar-SA"/>
        </w:rPr>
        <w:t>隔油</w:t>
      </w:r>
      <w:r>
        <w:rPr>
          <w:rFonts w:ascii="Times New Roman" w:hAnsi="Times New Roman" w:eastAsia="宋体" w:cs="宋体"/>
          <w:snapToGrid w:val="0"/>
          <w:color w:val="auto"/>
          <w:kern w:val="0"/>
          <w:sz w:val="24"/>
          <w:szCs w:val="21"/>
          <w:lang w:val="zh-CN" w:eastAsia="zh-CN" w:bidi="ar-SA"/>
        </w:rPr>
        <w:t>沉淀</w:t>
      </w:r>
      <w:r>
        <w:rPr>
          <w:rFonts w:hint="eastAsia" w:ascii="Times New Roman" w:hAnsi="Times New Roman" w:eastAsia="宋体" w:cs="宋体"/>
          <w:snapToGrid w:val="0"/>
          <w:color w:val="auto"/>
          <w:kern w:val="0"/>
          <w:sz w:val="24"/>
          <w:szCs w:val="21"/>
          <w:lang w:val="zh-CN" w:eastAsia="zh-CN" w:bidi="ar-SA"/>
        </w:rPr>
        <w:t>（600m</w:t>
      </w:r>
      <w:r>
        <w:rPr>
          <w:rFonts w:hint="eastAsia" w:ascii="Times New Roman" w:hAnsi="Times New Roman" w:eastAsia="宋体" w:cs="宋体"/>
          <w:snapToGrid w:val="0"/>
          <w:color w:val="auto"/>
          <w:kern w:val="0"/>
          <w:sz w:val="24"/>
          <w:szCs w:val="21"/>
          <w:vertAlign w:val="superscript"/>
          <w:lang w:val="zh-CN" w:eastAsia="zh-CN" w:bidi="ar-SA"/>
        </w:rPr>
        <w:t>3</w:t>
      </w:r>
      <w:r>
        <w:rPr>
          <w:rFonts w:hint="eastAsia" w:ascii="Times New Roman" w:hAnsi="Times New Roman" w:eastAsia="宋体" w:cs="宋体"/>
          <w:snapToGrid w:val="0"/>
          <w:color w:val="auto"/>
          <w:kern w:val="0"/>
          <w:sz w:val="24"/>
          <w:szCs w:val="21"/>
          <w:lang w:val="zh-CN" w:eastAsia="zh-CN" w:bidi="ar-SA"/>
        </w:rPr>
        <w:t>沉淀池，</w:t>
      </w:r>
      <w:r>
        <w:rPr>
          <w:rFonts w:hint="eastAsia" w:ascii="Times New Roman" w:hAnsi="Times New Roman" w:eastAsia="宋体" w:cs="宋体"/>
          <w:snapToGrid w:val="0"/>
          <w:color w:val="auto"/>
          <w:kern w:val="0"/>
          <w:sz w:val="24"/>
          <w:szCs w:val="21"/>
          <w:lang w:val="en-US" w:eastAsia="zh-CN" w:bidi="ar-SA"/>
        </w:rPr>
        <w:t>钢结构</w:t>
      </w:r>
      <w:r>
        <w:rPr>
          <w:rFonts w:hint="eastAsia" w:ascii="Times New Roman" w:hAnsi="Times New Roman" w:eastAsia="宋体" w:cs="宋体"/>
          <w:snapToGrid w:val="0"/>
          <w:color w:val="auto"/>
          <w:kern w:val="0"/>
          <w:sz w:val="24"/>
          <w:szCs w:val="21"/>
          <w:lang w:val="zh-CN" w:eastAsia="zh-CN" w:bidi="ar-SA"/>
        </w:rPr>
        <w:t>）</w:t>
      </w:r>
      <w:r>
        <w:rPr>
          <w:rFonts w:ascii="Times New Roman" w:hAnsi="Times New Roman" w:eastAsia="宋体" w:cs="宋体"/>
          <w:snapToGrid w:val="0"/>
          <w:color w:val="auto"/>
          <w:kern w:val="0"/>
          <w:sz w:val="24"/>
          <w:szCs w:val="21"/>
          <w:lang w:val="zh-CN" w:eastAsia="zh-CN" w:bidi="ar-SA"/>
        </w:rPr>
        <w:t>就可以保证新输送的泥浆有足够的停留时间和稳定的处理效果。</w:t>
      </w:r>
    </w:p>
    <w:p w14:paraId="1A91B3D5">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拟在抛泥区外围设土质排水沟，排水沟连通平流式沉砂池，最后通过水泵排入淮河。抛泥区少量排放的余水经加药混凝沉淀池处理后外排水质能够达到《污水综合排放标准》一级</w:t>
      </w:r>
      <w:r>
        <w:rPr>
          <w:rFonts w:hint="eastAsia" w:ascii="Times New Roman" w:hAnsi="Times New Roman" w:eastAsia="宋体" w:cs="宋体"/>
          <w:snapToGrid w:val="0"/>
          <w:color w:val="auto"/>
          <w:kern w:val="0"/>
          <w:sz w:val="24"/>
          <w:szCs w:val="21"/>
          <w:lang w:val="en-US" w:eastAsia="zh-CN" w:bidi="ar-SA"/>
        </w:rPr>
        <w:t>排放</w:t>
      </w:r>
      <w:r>
        <w:rPr>
          <w:rFonts w:ascii="Times New Roman" w:hAnsi="Times New Roman" w:eastAsia="宋体" w:cs="宋体"/>
          <w:snapToGrid w:val="0"/>
          <w:color w:val="auto"/>
          <w:kern w:val="0"/>
          <w:sz w:val="24"/>
          <w:szCs w:val="21"/>
          <w:lang w:val="zh-CN" w:eastAsia="zh-CN" w:bidi="ar-SA"/>
        </w:rPr>
        <w:t>标准</w:t>
      </w:r>
      <w:r>
        <w:rPr>
          <w:rFonts w:hint="eastAsia" w:ascii="Times New Roman" w:hAnsi="Times New Roman" w:eastAsia="宋体" w:cs="宋体"/>
          <w:snapToGrid w:val="0"/>
          <w:color w:val="auto"/>
          <w:kern w:val="0"/>
          <w:sz w:val="24"/>
          <w:szCs w:val="21"/>
          <w:lang w:val="en-US" w:eastAsia="zh-CN" w:bidi="ar-SA"/>
        </w:rPr>
        <w:t>要求</w:t>
      </w:r>
      <w:r>
        <w:rPr>
          <w:rFonts w:ascii="Times New Roman" w:hAnsi="Times New Roman" w:eastAsia="宋体" w:cs="宋体"/>
          <w:snapToGrid w:val="0"/>
          <w:color w:val="auto"/>
          <w:kern w:val="0"/>
          <w:sz w:val="24"/>
          <w:szCs w:val="21"/>
          <w:lang w:val="zh-CN" w:eastAsia="zh-CN" w:bidi="ar-SA"/>
        </w:rPr>
        <w:t>，</w:t>
      </w:r>
      <w:r>
        <w:rPr>
          <w:rFonts w:hint="eastAsia" w:ascii="Times New Roman" w:hAnsi="Times New Roman" w:eastAsia="宋体" w:cs="宋体"/>
          <w:snapToGrid w:val="0"/>
          <w:color w:val="auto"/>
          <w:kern w:val="0"/>
          <w:sz w:val="24"/>
          <w:szCs w:val="21"/>
          <w:lang w:val="en-US" w:eastAsia="zh-CN" w:bidi="ar-SA"/>
        </w:rPr>
        <w:t>在</w:t>
      </w:r>
      <w:r>
        <w:rPr>
          <w:rFonts w:ascii="Times New Roman" w:hAnsi="Times New Roman" w:eastAsia="宋体" w:cs="宋体"/>
          <w:snapToGrid w:val="0"/>
          <w:color w:val="auto"/>
          <w:kern w:val="0"/>
          <w:sz w:val="24"/>
          <w:szCs w:val="21"/>
          <w:lang w:val="zh-CN" w:eastAsia="zh-CN" w:bidi="ar-SA"/>
        </w:rPr>
        <w:t>经</w:t>
      </w:r>
      <w:r>
        <w:rPr>
          <w:rFonts w:hint="eastAsia" w:ascii="Times New Roman" w:hAnsi="Times New Roman" w:eastAsia="宋体" w:cs="宋体"/>
          <w:snapToGrid w:val="0"/>
          <w:color w:val="auto"/>
          <w:kern w:val="0"/>
          <w:sz w:val="24"/>
          <w:szCs w:val="21"/>
          <w:lang w:val="en-US" w:eastAsia="zh-CN" w:bidi="ar-SA"/>
        </w:rPr>
        <w:t>自然沉淀达标后利用PVC管道排入淮河，</w:t>
      </w:r>
      <w:r>
        <w:rPr>
          <w:rFonts w:ascii="Times New Roman" w:hAnsi="Times New Roman" w:eastAsia="宋体" w:cs="宋体"/>
          <w:snapToGrid w:val="0"/>
          <w:color w:val="auto"/>
          <w:kern w:val="0"/>
          <w:sz w:val="24"/>
          <w:szCs w:val="21"/>
          <w:lang w:val="zh-CN" w:eastAsia="zh-CN" w:bidi="ar-SA"/>
        </w:rPr>
        <w:t>对淮河水质影响较小。</w:t>
      </w:r>
    </w:p>
    <w:p w14:paraId="4638A470">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6.1.2.2</w:t>
      </w:r>
      <w:r>
        <w:rPr>
          <w:rFonts w:ascii="Times New Roman" w:hAnsi="Times New Roman" w:eastAsia="黑体" w:cs="Times New Roman"/>
          <w:bCs/>
          <w:color w:val="auto"/>
          <w:kern w:val="2"/>
          <w:sz w:val="24"/>
          <w:szCs w:val="28"/>
          <w:lang w:val="en-US" w:eastAsia="zh-CN" w:bidi="ar-SA"/>
        </w:rPr>
        <w:t>施工生产废水</w:t>
      </w:r>
    </w:p>
    <w:p w14:paraId="11AD45D0">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w:t>
      </w:r>
      <w:r>
        <w:rPr>
          <w:rFonts w:hint="eastAsia" w:ascii="Times New Roman" w:hAnsi="Times New Roman" w:eastAsia="宋体" w:cs="宋体"/>
          <w:snapToGrid w:val="0"/>
          <w:color w:val="auto"/>
          <w:kern w:val="0"/>
          <w:sz w:val="24"/>
          <w:szCs w:val="21"/>
          <w:lang w:val="en-US" w:eastAsia="zh-CN" w:bidi="ar-SA"/>
        </w:rPr>
        <w:t>1</w:t>
      </w:r>
      <w:r>
        <w:rPr>
          <w:rFonts w:hint="eastAsia" w:ascii="Times New Roman" w:hAnsi="Times New Roman" w:eastAsia="宋体" w:cs="宋体"/>
          <w:snapToGrid w:val="0"/>
          <w:color w:val="auto"/>
          <w:kern w:val="0"/>
          <w:sz w:val="24"/>
          <w:szCs w:val="21"/>
          <w:lang w:val="zh-CN" w:eastAsia="zh-CN" w:bidi="ar-SA"/>
        </w:rPr>
        <w:t>）</w:t>
      </w:r>
      <w:r>
        <w:rPr>
          <w:rFonts w:ascii="Times New Roman" w:hAnsi="Times New Roman" w:eastAsia="宋体" w:cs="宋体"/>
          <w:snapToGrid w:val="0"/>
          <w:color w:val="auto"/>
          <w:kern w:val="0"/>
          <w:sz w:val="24"/>
          <w:szCs w:val="21"/>
          <w:lang w:val="zh-CN" w:eastAsia="zh-CN" w:bidi="ar-SA"/>
        </w:rPr>
        <w:t>施工生产区废水</w:t>
      </w:r>
    </w:p>
    <w:p w14:paraId="57C6664B">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施工机械、车辆</w:t>
      </w:r>
      <w:r>
        <w:rPr>
          <w:rFonts w:hint="eastAsia" w:ascii="Times New Roman" w:hAnsi="Times New Roman" w:eastAsia="宋体" w:cs="宋体"/>
          <w:snapToGrid w:val="0"/>
          <w:color w:val="auto"/>
          <w:kern w:val="0"/>
          <w:sz w:val="24"/>
          <w:szCs w:val="21"/>
          <w:lang w:val="zh-CN" w:eastAsia="zh-CN" w:bidi="ar-SA"/>
        </w:rPr>
        <w:t>、</w:t>
      </w:r>
      <w:r>
        <w:rPr>
          <w:rFonts w:ascii="Times New Roman" w:hAnsi="Times New Roman" w:eastAsia="宋体" w:cs="宋体"/>
          <w:snapToGrid w:val="0"/>
          <w:color w:val="auto"/>
          <w:kern w:val="0"/>
          <w:sz w:val="24"/>
          <w:szCs w:val="21"/>
          <w:lang w:val="zh-CN" w:eastAsia="zh-CN" w:bidi="ar-SA"/>
        </w:rPr>
        <w:t>砂石水泥物料运输车辆驶出预制构件场前，需对车轮进行冲洗，废水产生量约10m</w:t>
      </w:r>
      <w:r>
        <w:rPr>
          <w:rFonts w:ascii="Times New Roman" w:hAnsi="Times New Roman" w:eastAsia="宋体" w:cs="宋体"/>
          <w:snapToGrid w:val="0"/>
          <w:color w:val="auto"/>
          <w:kern w:val="0"/>
          <w:sz w:val="24"/>
          <w:szCs w:val="21"/>
          <w:vertAlign w:val="superscript"/>
          <w:lang w:val="zh-CN" w:eastAsia="zh-CN" w:bidi="ar-SA"/>
        </w:rPr>
        <w:t>3</w:t>
      </w:r>
      <w:r>
        <w:rPr>
          <w:rFonts w:ascii="Times New Roman" w:hAnsi="Times New Roman" w:eastAsia="宋体" w:cs="宋体"/>
          <w:snapToGrid w:val="0"/>
          <w:color w:val="auto"/>
          <w:kern w:val="0"/>
          <w:sz w:val="24"/>
          <w:szCs w:val="21"/>
          <w:lang w:val="zh-CN" w:eastAsia="zh-CN" w:bidi="ar-SA"/>
        </w:rPr>
        <w:t>/d，废水的主要污染物为SS。采用</w:t>
      </w:r>
      <w:r>
        <w:rPr>
          <w:rFonts w:hint="eastAsia" w:ascii="Times New Roman" w:hAnsi="Times New Roman" w:eastAsia="宋体" w:cs="宋体"/>
          <w:snapToGrid w:val="0"/>
          <w:color w:val="auto"/>
          <w:kern w:val="0"/>
          <w:sz w:val="24"/>
          <w:szCs w:val="21"/>
          <w:lang w:val="zh-CN" w:eastAsia="zh-CN" w:bidi="ar-SA"/>
        </w:rPr>
        <w:t>隔油沉淀</w:t>
      </w:r>
      <w:r>
        <w:rPr>
          <w:rFonts w:ascii="Times New Roman" w:hAnsi="Times New Roman" w:eastAsia="宋体" w:cs="宋体"/>
          <w:snapToGrid w:val="0"/>
          <w:color w:val="auto"/>
          <w:kern w:val="0"/>
          <w:sz w:val="24"/>
          <w:szCs w:val="21"/>
          <w:lang w:val="zh-CN" w:eastAsia="zh-CN" w:bidi="ar-SA"/>
        </w:rPr>
        <w:t>池沉降，在施工区域内设置处理规模为15m</w:t>
      </w:r>
      <w:r>
        <w:rPr>
          <w:rFonts w:ascii="Times New Roman" w:hAnsi="Times New Roman" w:eastAsia="宋体" w:cs="宋体"/>
          <w:snapToGrid w:val="0"/>
          <w:color w:val="auto"/>
          <w:kern w:val="0"/>
          <w:sz w:val="24"/>
          <w:szCs w:val="21"/>
          <w:vertAlign w:val="superscript"/>
          <w:lang w:val="zh-CN" w:eastAsia="zh-CN" w:bidi="ar-SA"/>
        </w:rPr>
        <w:t>3</w:t>
      </w:r>
      <w:r>
        <w:rPr>
          <w:rFonts w:ascii="Times New Roman" w:hAnsi="Times New Roman" w:eastAsia="宋体" w:cs="宋体"/>
          <w:snapToGrid w:val="0"/>
          <w:color w:val="auto"/>
          <w:kern w:val="0"/>
          <w:sz w:val="24"/>
          <w:szCs w:val="21"/>
          <w:lang w:val="zh-CN" w:eastAsia="zh-CN" w:bidi="ar-SA"/>
        </w:rPr>
        <w:t>的</w:t>
      </w:r>
      <w:r>
        <w:rPr>
          <w:rFonts w:hint="eastAsia" w:ascii="Times New Roman" w:hAnsi="Times New Roman" w:eastAsia="宋体" w:cs="宋体"/>
          <w:snapToGrid w:val="0"/>
          <w:color w:val="auto"/>
          <w:kern w:val="0"/>
          <w:sz w:val="24"/>
          <w:szCs w:val="21"/>
          <w:lang w:val="zh-CN" w:eastAsia="zh-CN" w:bidi="ar-SA"/>
        </w:rPr>
        <w:t>隔油沉淀</w:t>
      </w:r>
      <w:r>
        <w:rPr>
          <w:rFonts w:ascii="Times New Roman" w:hAnsi="Times New Roman" w:eastAsia="宋体" w:cs="宋体"/>
          <w:snapToGrid w:val="0"/>
          <w:color w:val="auto"/>
          <w:kern w:val="0"/>
          <w:sz w:val="24"/>
          <w:szCs w:val="21"/>
          <w:lang w:val="zh-CN" w:eastAsia="zh-CN" w:bidi="ar-SA"/>
        </w:rPr>
        <w:t>池（5m×2m×1.5m），经</w:t>
      </w:r>
      <w:r>
        <w:rPr>
          <w:rFonts w:hint="eastAsia" w:ascii="Times New Roman" w:hAnsi="Times New Roman" w:eastAsia="宋体" w:cs="宋体"/>
          <w:snapToGrid w:val="0"/>
          <w:color w:val="auto"/>
          <w:kern w:val="0"/>
          <w:sz w:val="24"/>
          <w:szCs w:val="21"/>
          <w:lang w:val="zh-CN" w:eastAsia="zh-CN" w:bidi="ar-SA"/>
        </w:rPr>
        <w:t>隔油沉淀</w:t>
      </w:r>
      <w:r>
        <w:rPr>
          <w:rFonts w:ascii="Times New Roman" w:hAnsi="Times New Roman" w:eastAsia="宋体" w:cs="宋体"/>
          <w:snapToGrid w:val="0"/>
          <w:color w:val="auto"/>
          <w:kern w:val="0"/>
          <w:sz w:val="24"/>
          <w:szCs w:val="21"/>
          <w:lang w:val="zh-CN" w:eastAsia="zh-CN" w:bidi="ar-SA"/>
        </w:rPr>
        <w:t>池处理后，回用于地面及车辆冲洗，不外排。收集的</w:t>
      </w:r>
      <w:r>
        <w:rPr>
          <w:rFonts w:hint="eastAsia" w:ascii="Times New Roman" w:hAnsi="Times New Roman" w:eastAsia="宋体" w:cs="宋体"/>
          <w:snapToGrid w:val="0"/>
          <w:color w:val="auto"/>
          <w:kern w:val="0"/>
          <w:sz w:val="24"/>
          <w:szCs w:val="21"/>
          <w:lang w:val="zh-CN" w:eastAsia="zh-CN" w:bidi="ar-SA"/>
        </w:rPr>
        <w:t>隔油沉淀池含油污泥</w:t>
      </w:r>
      <w:r>
        <w:rPr>
          <w:rFonts w:ascii="Times New Roman" w:hAnsi="Times New Roman" w:eastAsia="宋体" w:cs="宋体"/>
          <w:snapToGrid w:val="0"/>
          <w:color w:val="auto"/>
          <w:kern w:val="0"/>
          <w:sz w:val="24"/>
          <w:szCs w:val="21"/>
          <w:lang w:val="zh-CN" w:eastAsia="zh-CN" w:bidi="ar-SA"/>
        </w:rPr>
        <w:t>属危险废物，</w:t>
      </w:r>
      <w:r>
        <w:rPr>
          <w:rFonts w:hint="eastAsia" w:cs="宋体"/>
          <w:snapToGrid w:val="0"/>
          <w:color w:val="auto"/>
          <w:kern w:val="0"/>
          <w:sz w:val="24"/>
          <w:szCs w:val="21"/>
          <w:lang w:val="zh-CN" w:eastAsia="zh-CN" w:bidi="ar-SA"/>
        </w:rPr>
        <w:t>交由</w:t>
      </w:r>
      <w:r>
        <w:rPr>
          <w:rFonts w:ascii="Times New Roman" w:hAnsi="Times New Roman" w:eastAsia="宋体" w:cs="宋体"/>
          <w:snapToGrid w:val="0"/>
          <w:color w:val="auto"/>
          <w:kern w:val="0"/>
          <w:sz w:val="24"/>
          <w:szCs w:val="21"/>
          <w:lang w:val="zh-CN" w:eastAsia="zh-CN" w:bidi="ar-SA"/>
        </w:rPr>
        <w:t>相关资质单位处置。</w:t>
      </w:r>
    </w:p>
    <w:p w14:paraId="3E8E0E5C">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6.1.2.3</w:t>
      </w:r>
      <w:r>
        <w:rPr>
          <w:rFonts w:ascii="Times New Roman" w:hAnsi="Times New Roman" w:eastAsia="黑体" w:cs="Times New Roman"/>
          <w:bCs/>
          <w:color w:val="auto"/>
          <w:kern w:val="2"/>
          <w:sz w:val="24"/>
          <w:szCs w:val="28"/>
          <w:lang w:val="en-US" w:eastAsia="zh-CN" w:bidi="ar-SA"/>
        </w:rPr>
        <w:t>施工船舶污水</w:t>
      </w:r>
    </w:p>
    <w:p w14:paraId="37367391">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施工船舶污水包括船舶含油污水、船舶生活污水。施工船舶生活污水中主要污染因子为COD、BOD</w:t>
      </w:r>
      <w:r>
        <w:rPr>
          <w:rFonts w:ascii="Times New Roman" w:hAnsi="Times New Roman" w:eastAsia="宋体" w:cs="宋体"/>
          <w:snapToGrid w:val="0"/>
          <w:color w:val="auto"/>
          <w:kern w:val="0"/>
          <w:sz w:val="24"/>
          <w:szCs w:val="21"/>
          <w:vertAlign w:val="subscript"/>
          <w:lang w:val="zh-CN" w:eastAsia="zh-CN" w:bidi="ar-SA"/>
        </w:rPr>
        <w:t>5</w:t>
      </w:r>
      <w:r>
        <w:rPr>
          <w:rFonts w:ascii="Times New Roman" w:hAnsi="Times New Roman" w:eastAsia="宋体" w:cs="宋体"/>
          <w:snapToGrid w:val="0"/>
          <w:color w:val="auto"/>
          <w:kern w:val="0"/>
          <w:sz w:val="24"/>
          <w:szCs w:val="21"/>
          <w:lang w:val="zh-CN" w:eastAsia="zh-CN" w:bidi="ar-SA"/>
        </w:rPr>
        <w:t>和NH</w:t>
      </w:r>
      <w:r>
        <w:rPr>
          <w:rFonts w:ascii="Times New Roman" w:hAnsi="Times New Roman" w:eastAsia="宋体" w:cs="宋体"/>
          <w:snapToGrid w:val="0"/>
          <w:color w:val="auto"/>
          <w:kern w:val="0"/>
          <w:sz w:val="24"/>
          <w:szCs w:val="21"/>
          <w:vertAlign w:val="subscript"/>
          <w:lang w:val="zh-CN" w:eastAsia="zh-CN" w:bidi="ar-SA"/>
        </w:rPr>
        <w:t>3</w:t>
      </w:r>
      <w:r>
        <w:rPr>
          <w:rFonts w:ascii="Times New Roman" w:hAnsi="Times New Roman" w:eastAsia="宋体" w:cs="宋体"/>
          <w:snapToGrid w:val="0"/>
          <w:color w:val="auto"/>
          <w:kern w:val="0"/>
          <w:sz w:val="24"/>
          <w:szCs w:val="21"/>
          <w:lang w:val="zh-CN" w:eastAsia="zh-CN" w:bidi="ar-SA"/>
        </w:rPr>
        <w:t>-N，</w:t>
      </w:r>
      <w:r>
        <w:rPr>
          <w:rFonts w:ascii="Times New Roman" w:hAnsi="Times New Roman" w:eastAsia="宋体" w:cs="宋体"/>
          <w:snapToGrid/>
          <w:color w:val="auto"/>
          <w:kern w:val="0"/>
          <w:sz w:val="24"/>
          <w:szCs w:val="21"/>
          <w:lang w:val="zh-CN" w:eastAsia="zh-CN" w:bidi="ar-SA"/>
        </w:rPr>
        <w:t>收集后定期委托有资质的单位按照有关规定接收和处理</w:t>
      </w:r>
      <w:r>
        <w:rPr>
          <w:rFonts w:ascii="Times New Roman" w:hAnsi="Times New Roman" w:eastAsia="宋体" w:cs="宋体"/>
          <w:snapToGrid w:val="0"/>
          <w:color w:val="auto"/>
          <w:kern w:val="0"/>
          <w:sz w:val="24"/>
          <w:szCs w:val="21"/>
          <w:lang w:val="zh-CN" w:eastAsia="zh-CN" w:bidi="ar-SA"/>
        </w:rPr>
        <w:t>。工程施工期间禁止施工船舶在码头水域排放船舶含油污水，根据有关规定，船舶含油污水需经自带的油水分离器处理，石油类的浓度不大于15mg/L后</w:t>
      </w:r>
      <w:r>
        <w:rPr>
          <w:rFonts w:ascii="Times New Roman" w:hAnsi="Times New Roman" w:eastAsia="宋体" w:cs="宋体"/>
          <w:snapToGrid/>
          <w:color w:val="auto"/>
          <w:kern w:val="0"/>
          <w:sz w:val="24"/>
          <w:szCs w:val="21"/>
          <w:lang w:val="zh-CN" w:eastAsia="zh-CN" w:bidi="ar-SA"/>
        </w:rPr>
        <w:t>定期委托有资质的单位按照有关规定接收和处理</w:t>
      </w:r>
      <w:r>
        <w:rPr>
          <w:rFonts w:ascii="Times New Roman" w:hAnsi="Times New Roman" w:eastAsia="宋体" w:cs="宋体"/>
          <w:snapToGrid w:val="0"/>
          <w:color w:val="auto"/>
          <w:kern w:val="0"/>
          <w:sz w:val="24"/>
          <w:szCs w:val="21"/>
          <w:lang w:val="zh-CN" w:eastAsia="zh-CN" w:bidi="ar-SA"/>
        </w:rPr>
        <w:t>。</w:t>
      </w:r>
    </w:p>
    <w:p w14:paraId="5CBD9B3E">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6.1.2.4</w:t>
      </w:r>
      <w:r>
        <w:rPr>
          <w:rFonts w:ascii="Times New Roman" w:hAnsi="Times New Roman" w:eastAsia="黑体" w:cs="Times New Roman"/>
          <w:bCs/>
          <w:color w:val="auto"/>
          <w:kern w:val="2"/>
          <w:sz w:val="24"/>
          <w:szCs w:val="28"/>
          <w:lang w:val="en-US" w:eastAsia="zh-CN" w:bidi="ar-SA"/>
        </w:rPr>
        <w:t>施工人员生活污水</w:t>
      </w:r>
    </w:p>
    <w:p w14:paraId="2B53DFFD">
      <w:pPr>
        <w:widowControl w:val="0"/>
        <w:spacing w:after="0" w:line="360" w:lineRule="auto"/>
        <w:ind w:firstLine="480" w:firstLineChars="200"/>
        <w:jc w:val="both"/>
        <w:rPr>
          <w:rFonts w:ascii="宋体" w:hAnsi="宋体"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现场施工人员在场地内产生的生活污水可能对地表水产生一定影响，主要污染物为COD、BOD</w:t>
      </w:r>
      <w:r>
        <w:rPr>
          <w:rFonts w:ascii="Times New Roman" w:hAnsi="Times New Roman" w:eastAsia="宋体" w:cs="Times New Roman"/>
          <w:color w:val="auto"/>
          <w:kern w:val="2"/>
          <w:sz w:val="24"/>
          <w:szCs w:val="24"/>
          <w:vertAlign w:val="subscript"/>
          <w:lang w:val="en-US" w:eastAsia="zh-CN" w:bidi="ar-SA"/>
        </w:rPr>
        <w:t>5</w:t>
      </w:r>
      <w:r>
        <w:rPr>
          <w:rFonts w:ascii="Times New Roman" w:hAnsi="Times New Roman" w:eastAsia="宋体" w:cs="Times New Roman"/>
          <w:color w:val="auto"/>
          <w:kern w:val="2"/>
          <w:sz w:val="24"/>
          <w:szCs w:val="24"/>
          <w:lang w:val="en-US" w:eastAsia="zh-CN" w:bidi="ar-SA"/>
        </w:rPr>
        <w:t>、SS、NH</w:t>
      </w:r>
      <w:r>
        <w:rPr>
          <w:rFonts w:ascii="Times New Roman" w:hAnsi="Times New Roman" w:eastAsia="宋体" w:cs="Times New Roman"/>
          <w:color w:val="auto"/>
          <w:kern w:val="2"/>
          <w:sz w:val="24"/>
          <w:szCs w:val="24"/>
          <w:vertAlign w:val="subscript"/>
          <w:lang w:val="en-US" w:eastAsia="zh-CN" w:bidi="ar-SA"/>
        </w:rPr>
        <w:t>3</w:t>
      </w:r>
      <w:r>
        <w:rPr>
          <w:rFonts w:ascii="Times New Roman" w:hAnsi="Times New Roman" w:eastAsia="宋体" w:cs="Times New Roman"/>
          <w:color w:val="auto"/>
          <w:kern w:val="2"/>
          <w:sz w:val="24"/>
          <w:szCs w:val="24"/>
          <w:lang w:val="en-US" w:eastAsia="zh-CN" w:bidi="ar-SA"/>
        </w:rPr>
        <w:t>-N。现场施工人员22人计，施工营地生活污水</w:t>
      </w:r>
      <w:r>
        <w:rPr>
          <w:rFonts w:hint="eastAsia" w:ascii="宋体" w:hAnsi="宋体" w:eastAsia="宋体" w:cs="Times New Roman"/>
          <w:color w:val="auto"/>
          <w:kern w:val="2"/>
          <w:sz w:val="24"/>
          <w:szCs w:val="24"/>
          <w:lang w:val="en-US" w:eastAsia="zh-CN" w:bidi="ar-SA"/>
        </w:rPr>
        <w:t>利用周边已有旱厕，收集后用于当地农田或林地肥料</w:t>
      </w:r>
      <w:r>
        <w:rPr>
          <w:rFonts w:ascii="Times New Roman" w:hAnsi="Times New Roman" w:eastAsia="宋体" w:cs="Times New Roman"/>
          <w:color w:val="auto"/>
          <w:kern w:val="2"/>
          <w:sz w:val="24"/>
          <w:szCs w:val="24"/>
          <w:lang w:val="en-US" w:eastAsia="zh-CN" w:bidi="ar-SA"/>
        </w:rPr>
        <w:t>，不外排。</w:t>
      </w:r>
    </w:p>
    <w:p w14:paraId="5026A22E">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6.1.3</w:t>
      </w:r>
      <w:r>
        <w:rPr>
          <w:rFonts w:ascii="Times New Roman" w:hAnsi="Times New Roman" w:eastAsia="黑体" w:cs="Times New Roman"/>
          <w:bCs/>
          <w:color w:val="auto"/>
          <w:kern w:val="2"/>
          <w:sz w:val="28"/>
          <w:szCs w:val="32"/>
          <w:lang w:val="en-US" w:eastAsia="zh-CN" w:bidi="ar-SA"/>
        </w:rPr>
        <w:t>施工期噪声污染防治措施</w:t>
      </w:r>
    </w:p>
    <w:p w14:paraId="4535206A">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w:t>
      </w:r>
      <w:r>
        <w:rPr>
          <w:rFonts w:hint="eastAsia" w:ascii="Times New Roman" w:hAnsi="Times New Roman" w:eastAsia="宋体" w:cs="宋体"/>
          <w:snapToGrid w:val="0"/>
          <w:color w:val="auto"/>
          <w:kern w:val="0"/>
          <w:sz w:val="24"/>
          <w:szCs w:val="21"/>
          <w:lang w:val="en-US" w:eastAsia="zh-CN" w:bidi="ar-SA"/>
        </w:rPr>
        <w:t>1</w:t>
      </w:r>
      <w:r>
        <w:rPr>
          <w:rFonts w:hint="eastAsia" w:ascii="Times New Roman" w:hAnsi="Times New Roman" w:eastAsia="宋体" w:cs="宋体"/>
          <w:snapToGrid w:val="0"/>
          <w:color w:val="auto"/>
          <w:kern w:val="0"/>
          <w:sz w:val="24"/>
          <w:szCs w:val="21"/>
          <w:lang w:val="zh-CN" w:eastAsia="zh-CN" w:bidi="ar-SA"/>
        </w:rPr>
        <w:t>）</w:t>
      </w:r>
      <w:r>
        <w:rPr>
          <w:rFonts w:ascii="Times New Roman" w:hAnsi="Times New Roman" w:eastAsia="宋体" w:cs="宋体"/>
          <w:snapToGrid w:val="0"/>
          <w:color w:val="auto"/>
          <w:kern w:val="0"/>
          <w:sz w:val="24"/>
          <w:szCs w:val="21"/>
          <w:lang w:val="zh-CN" w:eastAsia="zh-CN" w:bidi="ar-SA"/>
        </w:rPr>
        <w:t>噪声源控制</w:t>
      </w:r>
    </w:p>
    <w:p w14:paraId="4B041262">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①</w:t>
      </w:r>
      <w:r>
        <w:rPr>
          <w:rFonts w:ascii="Times New Roman" w:hAnsi="Times New Roman" w:eastAsia="宋体" w:cs="宋体"/>
          <w:snapToGrid w:val="0"/>
          <w:color w:val="auto"/>
          <w:kern w:val="0"/>
          <w:sz w:val="24"/>
          <w:szCs w:val="21"/>
          <w:lang w:val="zh-CN" w:eastAsia="zh-CN" w:bidi="ar-SA"/>
        </w:rPr>
        <w:t>从声源上控制：建设单位在与施工单位签订合同时，应要求其使用的主要机械设备为低噪声机械设备，例如</w:t>
      </w:r>
      <w:r>
        <w:rPr>
          <w:rFonts w:hint="eastAsia" w:cs="宋体"/>
          <w:snapToGrid w:val="0"/>
          <w:color w:val="auto"/>
          <w:kern w:val="0"/>
          <w:sz w:val="24"/>
          <w:szCs w:val="21"/>
          <w:lang w:val="zh-CN" w:eastAsia="zh-CN" w:bidi="ar-SA"/>
        </w:rPr>
        <w:t>选择</w:t>
      </w:r>
      <w:r>
        <w:rPr>
          <w:rFonts w:ascii="Times New Roman" w:hAnsi="Times New Roman" w:eastAsia="宋体" w:cs="宋体"/>
          <w:snapToGrid w:val="0"/>
          <w:color w:val="auto"/>
          <w:kern w:val="0"/>
          <w:sz w:val="24"/>
          <w:szCs w:val="21"/>
          <w:lang w:val="zh-CN" w:eastAsia="zh-CN" w:bidi="ar-SA"/>
        </w:rPr>
        <w:t>液压机械取代燃油机械。同时在施工过程中施工单位应设专人对设备进行定期保养</w:t>
      </w:r>
      <w:r>
        <w:rPr>
          <w:rFonts w:hint="eastAsia" w:ascii="Times New Roman" w:hAnsi="Times New Roman" w:eastAsia="宋体" w:cs="宋体"/>
          <w:snapToGrid w:val="0"/>
          <w:color w:val="auto"/>
          <w:kern w:val="0"/>
          <w:sz w:val="24"/>
          <w:szCs w:val="21"/>
          <w:lang w:val="en-US" w:eastAsia="zh-CN" w:bidi="ar-SA"/>
        </w:rPr>
        <w:t>与</w:t>
      </w:r>
      <w:r>
        <w:rPr>
          <w:rFonts w:ascii="Times New Roman" w:hAnsi="Times New Roman" w:eastAsia="宋体" w:cs="宋体"/>
          <w:snapToGrid w:val="0"/>
          <w:color w:val="auto"/>
          <w:kern w:val="0"/>
          <w:sz w:val="24"/>
          <w:szCs w:val="21"/>
          <w:lang w:val="zh-CN" w:eastAsia="zh-CN" w:bidi="ar-SA"/>
        </w:rPr>
        <w:t>维护，并负责对现场工作人员进行培训，严格按操作规范使用各类机械；</w:t>
      </w:r>
    </w:p>
    <w:p w14:paraId="24E06442">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②</w:t>
      </w:r>
      <w:r>
        <w:rPr>
          <w:rFonts w:ascii="Times New Roman" w:hAnsi="Times New Roman" w:eastAsia="宋体" w:cs="宋体"/>
          <w:snapToGrid w:val="0"/>
          <w:color w:val="auto"/>
          <w:kern w:val="0"/>
          <w:sz w:val="24"/>
          <w:szCs w:val="21"/>
          <w:lang w:val="zh-CN" w:eastAsia="zh-CN" w:bidi="ar-SA"/>
        </w:rPr>
        <w:t>施工场地的施工车辆出入地点应尽量远离敏感点，运输车辆经过学校、居民区时应低速</w:t>
      </w:r>
      <w:r>
        <w:rPr>
          <w:rFonts w:hint="eastAsia" w:ascii="Times New Roman" w:hAnsi="Times New Roman" w:eastAsia="宋体" w:cs="宋体"/>
          <w:snapToGrid w:val="0"/>
          <w:color w:val="auto"/>
          <w:kern w:val="0"/>
          <w:sz w:val="24"/>
          <w:szCs w:val="21"/>
          <w:lang w:val="en-US" w:eastAsia="zh-CN" w:bidi="ar-SA"/>
        </w:rPr>
        <w:t>通过</w:t>
      </w:r>
      <w:r>
        <w:rPr>
          <w:rFonts w:ascii="Times New Roman" w:hAnsi="Times New Roman" w:eastAsia="宋体" w:cs="宋体"/>
          <w:snapToGrid w:val="0"/>
          <w:color w:val="auto"/>
          <w:kern w:val="0"/>
          <w:sz w:val="24"/>
          <w:szCs w:val="21"/>
          <w:lang w:val="zh-CN" w:eastAsia="zh-CN" w:bidi="ar-SA"/>
        </w:rPr>
        <w:t>、</w:t>
      </w:r>
      <w:r>
        <w:rPr>
          <w:rFonts w:hint="eastAsia" w:ascii="Times New Roman" w:hAnsi="Times New Roman" w:eastAsia="宋体" w:cs="宋体"/>
          <w:snapToGrid w:val="0"/>
          <w:color w:val="auto"/>
          <w:kern w:val="0"/>
          <w:sz w:val="24"/>
          <w:szCs w:val="21"/>
          <w:lang w:val="en-US" w:eastAsia="zh-CN" w:bidi="ar-SA"/>
        </w:rPr>
        <w:t>禁止鸣笛</w:t>
      </w:r>
      <w:r>
        <w:rPr>
          <w:rFonts w:ascii="Times New Roman" w:hAnsi="Times New Roman" w:eastAsia="宋体" w:cs="宋体"/>
          <w:snapToGrid w:val="0"/>
          <w:color w:val="auto"/>
          <w:kern w:val="0"/>
          <w:sz w:val="24"/>
          <w:szCs w:val="21"/>
          <w:lang w:val="zh-CN" w:eastAsia="zh-CN" w:bidi="ar-SA"/>
        </w:rPr>
        <w:t>；</w:t>
      </w:r>
    </w:p>
    <w:p w14:paraId="234874CC">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③</w:t>
      </w:r>
      <w:r>
        <w:rPr>
          <w:rFonts w:ascii="Times New Roman" w:hAnsi="Times New Roman" w:eastAsia="宋体" w:cs="宋体"/>
          <w:snapToGrid w:val="0"/>
          <w:color w:val="auto"/>
          <w:kern w:val="0"/>
          <w:sz w:val="24"/>
          <w:szCs w:val="21"/>
          <w:lang w:val="zh-CN" w:eastAsia="zh-CN" w:bidi="ar-SA"/>
        </w:rPr>
        <w:t>安排专人管理施工船舶交通安全，严禁施工船舶在施工区域内鸣笛；</w:t>
      </w:r>
    </w:p>
    <w:p w14:paraId="6FC3DCD9">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④</w:t>
      </w:r>
      <w:r>
        <w:rPr>
          <w:rFonts w:ascii="Times New Roman" w:hAnsi="Times New Roman" w:eastAsia="宋体" w:cs="宋体"/>
          <w:snapToGrid w:val="0"/>
          <w:color w:val="auto"/>
          <w:kern w:val="0"/>
          <w:sz w:val="24"/>
          <w:szCs w:val="21"/>
          <w:lang w:val="zh-CN" w:eastAsia="zh-CN" w:bidi="ar-SA"/>
        </w:rPr>
        <w:t>经常维护出入口道路，保证机械和运输车辆快速通行。</w:t>
      </w:r>
    </w:p>
    <w:p w14:paraId="7339FF06">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w:t>
      </w:r>
      <w:r>
        <w:rPr>
          <w:rFonts w:hint="eastAsia" w:ascii="Times New Roman" w:hAnsi="Times New Roman" w:eastAsia="宋体" w:cs="宋体"/>
          <w:snapToGrid w:val="0"/>
          <w:color w:val="auto"/>
          <w:kern w:val="0"/>
          <w:sz w:val="24"/>
          <w:szCs w:val="21"/>
          <w:lang w:val="en-US" w:eastAsia="zh-CN" w:bidi="ar-SA"/>
        </w:rPr>
        <w:t>2</w:t>
      </w:r>
      <w:r>
        <w:rPr>
          <w:rFonts w:hint="eastAsia" w:ascii="Times New Roman" w:hAnsi="Times New Roman" w:eastAsia="宋体" w:cs="宋体"/>
          <w:snapToGrid w:val="0"/>
          <w:color w:val="auto"/>
          <w:kern w:val="0"/>
          <w:sz w:val="24"/>
          <w:szCs w:val="21"/>
          <w:lang w:val="zh-CN" w:eastAsia="zh-CN" w:bidi="ar-SA"/>
        </w:rPr>
        <w:t>）</w:t>
      </w:r>
      <w:r>
        <w:rPr>
          <w:rFonts w:ascii="Times New Roman" w:hAnsi="Times New Roman" w:eastAsia="宋体" w:cs="宋体"/>
          <w:snapToGrid w:val="0"/>
          <w:color w:val="auto"/>
          <w:kern w:val="0"/>
          <w:sz w:val="24"/>
          <w:szCs w:val="21"/>
          <w:lang w:val="zh-CN" w:eastAsia="zh-CN" w:bidi="ar-SA"/>
        </w:rPr>
        <w:t>采用距离防护及隔声措施</w:t>
      </w:r>
    </w:p>
    <w:p w14:paraId="0E92FB1A">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①</w:t>
      </w:r>
      <w:r>
        <w:rPr>
          <w:rFonts w:ascii="Times New Roman" w:hAnsi="Times New Roman" w:eastAsia="宋体" w:cs="宋体"/>
          <w:snapToGrid w:val="0"/>
          <w:color w:val="auto"/>
          <w:kern w:val="0"/>
          <w:sz w:val="24"/>
          <w:szCs w:val="21"/>
          <w:lang w:val="zh-CN" w:eastAsia="zh-CN" w:bidi="ar-SA"/>
        </w:rPr>
        <w:t>在不影响施工情况下，将产噪设备尽量不集中安排，项目边界外</w:t>
      </w:r>
      <w:r>
        <w:rPr>
          <w:rFonts w:ascii="Times New Roman" w:hAnsi="Times New Roman" w:eastAsia="宋体" w:cs="宋体"/>
          <w:snapToGrid w:val="0"/>
          <w:color w:val="auto"/>
          <w:kern w:val="0"/>
          <w:sz w:val="24"/>
          <w:szCs w:val="21"/>
          <w:lang w:val="en-US" w:eastAsia="zh-CN" w:bidi="ar-SA"/>
        </w:rPr>
        <w:t>2</w:t>
      </w:r>
      <w:r>
        <w:rPr>
          <w:rFonts w:ascii="Times New Roman" w:hAnsi="Times New Roman" w:eastAsia="宋体" w:cs="宋体"/>
          <w:snapToGrid w:val="0"/>
          <w:color w:val="auto"/>
          <w:kern w:val="0"/>
          <w:sz w:val="24"/>
          <w:szCs w:val="21"/>
          <w:lang w:val="zh-CN" w:eastAsia="zh-CN" w:bidi="ar-SA"/>
        </w:rPr>
        <w:t>00m范围内</w:t>
      </w:r>
      <w:r>
        <w:rPr>
          <w:rFonts w:hint="eastAsia" w:ascii="Times New Roman" w:hAnsi="Times New Roman" w:eastAsia="宋体" w:cs="宋体"/>
          <w:snapToGrid w:val="0"/>
          <w:color w:val="auto"/>
          <w:kern w:val="0"/>
          <w:sz w:val="24"/>
          <w:szCs w:val="21"/>
          <w:lang w:val="zh-CN" w:eastAsia="zh-CN" w:bidi="ar-SA"/>
        </w:rPr>
        <w:t>有</w:t>
      </w:r>
      <w:r>
        <w:rPr>
          <w:rFonts w:ascii="Times New Roman" w:hAnsi="Times New Roman" w:eastAsia="宋体" w:cs="宋体"/>
          <w:snapToGrid w:val="0"/>
          <w:color w:val="auto"/>
          <w:kern w:val="0"/>
          <w:sz w:val="24"/>
          <w:szCs w:val="21"/>
          <w:lang w:val="zh-CN" w:eastAsia="zh-CN" w:bidi="ar-SA"/>
        </w:rPr>
        <w:t>声环境敏感区</w:t>
      </w:r>
      <w:r>
        <w:rPr>
          <w:rFonts w:hint="eastAsia" w:ascii="Times New Roman" w:hAnsi="Times New Roman" w:eastAsia="宋体" w:cs="宋体"/>
          <w:snapToGrid w:val="0"/>
          <w:color w:val="auto"/>
          <w:kern w:val="0"/>
          <w:sz w:val="24"/>
          <w:szCs w:val="21"/>
          <w:lang w:val="zh-CN" w:eastAsia="zh-CN" w:bidi="ar-SA"/>
        </w:rPr>
        <w:t>（陶郢孜、小孙家岗）</w:t>
      </w:r>
      <w:r>
        <w:rPr>
          <w:rFonts w:ascii="Times New Roman" w:hAnsi="Times New Roman" w:eastAsia="宋体" w:cs="宋体"/>
          <w:snapToGrid w:val="0"/>
          <w:color w:val="auto"/>
          <w:kern w:val="0"/>
          <w:sz w:val="24"/>
          <w:szCs w:val="21"/>
          <w:lang w:val="zh-CN" w:eastAsia="zh-CN" w:bidi="ar-SA"/>
        </w:rPr>
        <w:t>，</w:t>
      </w:r>
      <w:r>
        <w:rPr>
          <w:rFonts w:hint="eastAsia" w:ascii="Times New Roman" w:hAnsi="Times New Roman" w:eastAsia="宋体" w:cs="宋体"/>
          <w:snapToGrid w:val="0"/>
          <w:color w:val="auto"/>
          <w:kern w:val="0"/>
          <w:sz w:val="24"/>
          <w:szCs w:val="21"/>
          <w:lang w:val="zh-CN" w:eastAsia="zh-CN" w:bidi="ar-SA"/>
        </w:rPr>
        <w:t>为进一步降低施工噪声对外环境的影响，项目施工拟采用低噪声设备，对机械设备采取减振降噪措施，在</w:t>
      </w:r>
      <w:r>
        <w:rPr>
          <w:rFonts w:hint="eastAsia" w:ascii="Times New Roman" w:hAnsi="Times New Roman" w:eastAsia="宋体" w:cs="宋体"/>
          <w:snapToGrid w:val="0"/>
          <w:color w:val="auto"/>
          <w:kern w:val="0"/>
          <w:sz w:val="24"/>
          <w:szCs w:val="21"/>
          <w:lang w:val="en-US" w:eastAsia="zh-CN" w:bidi="ar-SA"/>
        </w:rPr>
        <w:t>场</w:t>
      </w:r>
      <w:r>
        <w:rPr>
          <w:rFonts w:hint="eastAsia" w:ascii="Times New Roman" w:hAnsi="Times New Roman" w:eastAsia="宋体" w:cs="宋体"/>
          <w:snapToGrid w:val="0"/>
          <w:color w:val="auto"/>
          <w:kern w:val="0"/>
          <w:sz w:val="24"/>
          <w:szCs w:val="21"/>
          <w:lang w:val="zh-CN" w:eastAsia="zh-CN" w:bidi="ar-SA"/>
        </w:rPr>
        <w:t>界处设置临时隔声屏障。</w:t>
      </w:r>
    </w:p>
    <w:p w14:paraId="0E37B4A8">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②</w:t>
      </w:r>
      <w:r>
        <w:rPr>
          <w:rFonts w:ascii="Times New Roman" w:hAnsi="Times New Roman" w:eastAsia="宋体" w:cs="宋体"/>
          <w:snapToGrid w:val="0"/>
          <w:color w:val="auto"/>
          <w:kern w:val="0"/>
          <w:sz w:val="24"/>
          <w:szCs w:val="21"/>
          <w:lang w:val="zh-CN" w:eastAsia="zh-CN" w:bidi="ar-SA"/>
        </w:rPr>
        <w:t>施工时设置高度不得低于2.5m的围挡，既</w:t>
      </w:r>
      <w:r>
        <w:rPr>
          <w:rFonts w:hint="eastAsia" w:ascii="Times New Roman" w:hAnsi="Times New Roman" w:eastAsia="宋体" w:cs="宋体"/>
          <w:snapToGrid w:val="0"/>
          <w:color w:val="auto"/>
          <w:kern w:val="0"/>
          <w:sz w:val="24"/>
          <w:szCs w:val="21"/>
          <w:lang w:val="en-US" w:eastAsia="zh-CN" w:bidi="ar-SA"/>
        </w:rPr>
        <w:t>防止</w:t>
      </w:r>
      <w:r>
        <w:rPr>
          <w:rFonts w:ascii="Times New Roman" w:hAnsi="Times New Roman" w:eastAsia="宋体" w:cs="宋体"/>
          <w:snapToGrid w:val="0"/>
          <w:color w:val="auto"/>
          <w:kern w:val="0"/>
          <w:sz w:val="24"/>
          <w:szCs w:val="21"/>
          <w:lang w:val="zh-CN" w:eastAsia="zh-CN" w:bidi="ar-SA"/>
        </w:rPr>
        <w:t>粉尘外逸，又可隔声降噪。</w:t>
      </w:r>
    </w:p>
    <w:p w14:paraId="47D9DB1C">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en-US" w:eastAsia="zh-CN" w:bidi="ar-SA"/>
        </w:rPr>
      </w:pPr>
      <w:r>
        <w:rPr>
          <w:rFonts w:hint="eastAsia" w:ascii="宋体" w:hAnsi="宋体" w:eastAsia="宋体" w:cs="宋体"/>
          <w:snapToGrid w:val="0"/>
          <w:color w:val="auto"/>
          <w:kern w:val="0"/>
          <w:sz w:val="24"/>
          <w:szCs w:val="21"/>
          <w:lang w:val="zh-CN" w:eastAsia="zh-CN" w:bidi="ar-SA"/>
        </w:rPr>
        <w:t>③</w:t>
      </w:r>
      <w:r>
        <w:rPr>
          <w:rFonts w:hint="eastAsia" w:ascii="Times New Roman" w:hAnsi="Times New Roman" w:eastAsia="宋体" w:cs="宋体"/>
          <w:snapToGrid w:val="0"/>
          <w:color w:val="auto"/>
          <w:kern w:val="0"/>
          <w:sz w:val="24"/>
          <w:szCs w:val="21"/>
          <w:lang w:val="en-US" w:eastAsia="zh-CN" w:bidi="ar-SA"/>
        </w:rPr>
        <w:t>同时在靠近敏感点一侧布设标准隔声屏障（采用反射-吸收复合型材料，根据保护目标与本项目的相对空间位置关系，选择路肩或路堑顶部处建隔声屏障）。</w:t>
      </w:r>
    </w:p>
    <w:p w14:paraId="78A35D3F">
      <w:pPr>
        <w:widowControl w:val="0"/>
        <w:spacing w:line="360" w:lineRule="auto"/>
        <w:ind w:firstLine="480" w:firstLineChars="200"/>
        <w:jc w:val="both"/>
        <w:rPr>
          <w:rFonts w:hint="default" w:ascii="Times New Roman" w:hAnsi="Times New Roman" w:eastAsia="宋体" w:cs="宋体"/>
          <w:snapToGrid w:val="0"/>
          <w:color w:val="auto"/>
          <w:kern w:val="0"/>
          <w:sz w:val="24"/>
          <w:szCs w:val="21"/>
          <w:lang w:val="en-US" w:eastAsia="zh-CN" w:bidi="ar-SA"/>
        </w:rPr>
      </w:pPr>
      <w:r>
        <w:rPr>
          <w:rFonts w:hint="eastAsia" w:ascii="宋体" w:hAnsi="宋体" w:eastAsia="宋体" w:cs="宋体"/>
          <w:color w:val="auto"/>
          <w:sz w:val="24"/>
        </w:rPr>
        <w:t>④</w:t>
      </w:r>
      <w:r>
        <w:rPr>
          <w:color w:val="auto"/>
          <w:sz w:val="24"/>
        </w:rPr>
        <w:t>在采取</w:t>
      </w:r>
      <w:r>
        <w:rPr>
          <w:rFonts w:hint="eastAsia"/>
          <w:color w:val="auto"/>
          <w:sz w:val="24"/>
          <w:lang w:eastAsia="zh-CN"/>
        </w:rPr>
        <w:t>声环境保护目标</w:t>
      </w:r>
      <w:r>
        <w:rPr>
          <w:color w:val="auto"/>
          <w:sz w:val="24"/>
        </w:rPr>
        <w:t>降噪措施的基础上，建立群众意见的定期回访制度和</w:t>
      </w:r>
      <w:r>
        <w:rPr>
          <w:rFonts w:hint="eastAsia"/>
          <w:color w:val="auto"/>
          <w:sz w:val="24"/>
          <w:lang w:eastAsia="zh-CN"/>
        </w:rPr>
        <w:t>声环境保护目标</w:t>
      </w:r>
      <w:r>
        <w:rPr>
          <w:color w:val="auto"/>
          <w:sz w:val="24"/>
        </w:rPr>
        <w:t>噪声定期监测制度，注意听取群众意见和感受，如有居民反映噪声扰民或投诉等可进行监测，当噪声超标时，根据监测结果和</w:t>
      </w:r>
      <w:r>
        <w:rPr>
          <w:rFonts w:hint="eastAsia"/>
          <w:color w:val="auto"/>
          <w:sz w:val="24"/>
          <w:lang w:eastAsia="zh-CN"/>
        </w:rPr>
        <w:t>声环境保护目标</w:t>
      </w:r>
      <w:r>
        <w:rPr>
          <w:color w:val="auto"/>
          <w:sz w:val="24"/>
        </w:rPr>
        <w:t>实际周围环境特征，按照前述原则确定可行有效的保护措施，保护群众正常的工作、学习和生活少受影响。</w:t>
      </w:r>
    </w:p>
    <w:p w14:paraId="167E155D">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w:t>
      </w:r>
      <w:r>
        <w:rPr>
          <w:rFonts w:hint="eastAsia" w:ascii="Times New Roman" w:hAnsi="Times New Roman" w:eastAsia="宋体" w:cs="宋体"/>
          <w:snapToGrid w:val="0"/>
          <w:color w:val="auto"/>
          <w:kern w:val="0"/>
          <w:sz w:val="24"/>
          <w:szCs w:val="21"/>
          <w:lang w:val="en-US" w:eastAsia="zh-CN" w:bidi="ar-SA"/>
        </w:rPr>
        <w:t>3</w:t>
      </w:r>
      <w:r>
        <w:rPr>
          <w:rFonts w:hint="eastAsia" w:ascii="Times New Roman" w:hAnsi="Times New Roman" w:eastAsia="宋体" w:cs="宋体"/>
          <w:snapToGrid w:val="0"/>
          <w:color w:val="auto"/>
          <w:kern w:val="0"/>
          <w:sz w:val="24"/>
          <w:szCs w:val="21"/>
          <w:lang w:val="zh-CN" w:eastAsia="zh-CN" w:bidi="ar-SA"/>
        </w:rPr>
        <w:t>）</w:t>
      </w:r>
      <w:r>
        <w:rPr>
          <w:rFonts w:ascii="Times New Roman" w:hAnsi="Times New Roman" w:eastAsia="宋体" w:cs="宋体"/>
          <w:snapToGrid w:val="0"/>
          <w:color w:val="auto"/>
          <w:kern w:val="0"/>
          <w:sz w:val="24"/>
          <w:szCs w:val="21"/>
          <w:lang w:val="zh-CN" w:eastAsia="zh-CN" w:bidi="ar-SA"/>
        </w:rPr>
        <w:t>管理措施</w:t>
      </w:r>
    </w:p>
    <w:p w14:paraId="17E082CA">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①</w:t>
      </w:r>
      <w:r>
        <w:rPr>
          <w:rFonts w:ascii="Times New Roman" w:hAnsi="Times New Roman" w:eastAsia="宋体" w:cs="宋体"/>
          <w:snapToGrid w:val="0"/>
          <w:color w:val="auto"/>
          <w:kern w:val="0"/>
          <w:sz w:val="24"/>
          <w:szCs w:val="21"/>
          <w:lang w:val="zh-CN" w:eastAsia="zh-CN" w:bidi="ar-SA"/>
        </w:rPr>
        <w:t>合理安排施工时间：施工单位应合理安排好施工时间，除工程</w:t>
      </w:r>
      <w:r>
        <w:rPr>
          <w:rFonts w:hint="eastAsia" w:cs="宋体"/>
          <w:snapToGrid w:val="0"/>
          <w:color w:val="auto"/>
          <w:kern w:val="0"/>
          <w:sz w:val="24"/>
          <w:szCs w:val="21"/>
          <w:lang w:val="zh-CN" w:eastAsia="zh-CN" w:bidi="ar-SA"/>
        </w:rPr>
        <w:t>必须</w:t>
      </w:r>
      <w:r>
        <w:rPr>
          <w:rFonts w:ascii="Times New Roman" w:hAnsi="Times New Roman" w:eastAsia="宋体" w:cs="宋体"/>
          <w:snapToGrid w:val="0"/>
          <w:color w:val="auto"/>
          <w:kern w:val="0"/>
          <w:sz w:val="24"/>
          <w:szCs w:val="21"/>
          <w:lang w:val="zh-CN" w:eastAsia="zh-CN" w:bidi="ar-SA"/>
        </w:rPr>
        <w:t>，并取得环保部门批准外，不得进行夜间施工，同时夜间施工需公告于周边居民；</w:t>
      </w:r>
    </w:p>
    <w:p w14:paraId="226B70F4">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②</w:t>
      </w:r>
      <w:r>
        <w:rPr>
          <w:rFonts w:ascii="Times New Roman" w:hAnsi="Times New Roman" w:eastAsia="宋体" w:cs="宋体"/>
          <w:snapToGrid w:val="0"/>
          <w:color w:val="auto"/>
          <w:kern w:val="0"/>
          <w:sz w:val="24"/>
          <w:szCs w:val="21"/>
          <w:lang w:val="zh-CN" w:eastAsia="zh-CN" w:bidi="ar-SA"/>
        </w:rPr>
        <w:t>建设管理部门应加强对施工场地的噪声管理，施工</w:t>
      </w:r>
      <w:r>
        <w:rPr>
          <w:rFonts w:hint="eastAsia" w:ascii="Times New Roman" w:hAnsi="Times New Roman" w:eastAsia="宋体" w:cs="宋体"/>
          <w:snapToGrid w:val="0"/>
          <w:color w:val="auto"/>
          <w:kern w:val="0"/>
          <w:sz w:val="24"/>
          <w:szCs w:val="21"/>
          <w:lang w:val="en-US" w:eastAsia="zh-CN" w:bidi="ar-SA"/>
        </w:rPr>
        <w:t>单位</w:t>
      </w:r>
      <w:r>
        <w:rPr>
          <w:rFonts w:ascii="Times New Roman" w:hAnsi="Times New Roman" w:eastAsia="宋体" w:cs="宋体"/>
          <w:snapToGrid w:val="0"/>
          <w:color w:val="auto"/>
          <w:kern w:val="0"/>
          <w:sz w:val="24"/>
          <w:szCs w:val="21"/>
          <w:lang w:val="zh-CN" w:eastAsia="zh-CN" w:bidi="ar-SA"/>
        </w:rPr>
        <w:t>也应对施工噪声进行自律，文明施工，避免因施工噪声产生纠纷；</w:t>
      </w:r>
    </w:p>
    <w:p w14:paraId="38D1B315">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③</w:t>
      </w:r>
      <w:r>
        <w:rPr>
          <w:rFonts w:ascii="Times New Roman" w:hAnsi="Times New Roman" w:eastAsia="宋体" w:cs="宋体"/>
          <w:snapToGrid w:val="0"/>
          <w:color w:val="auto"/>
          <w:kern w:val="0"/>
          <w:sz w:val="24"/>
          <w:szCs w:val="21"/>
          <w:lang w:val="zh-CN" w:eastAsia="zh-CN" w:bidi="ar-SA"/>
        </w:rPr>
        <w:t>建设</w:t>
      </w:r>
      <w:r>
        <w:rPr>
          <w:rFonts w:hint="eastAsia" w:ascii="Times New Roman" w:hAnsi="Times New Roman" w:eastAsia="宋体" w:cs="宋体"/>
          <w:snapToGrid w:val="0"/>
          <w:color w:val="auto"/>
          <w:kern w:val="0"/>
          <w:sz w:val="24"/>
          <w:szCs w:val="21"/>
          <w:lang w:val="en-US" w:eastAsia="zh-CN" w:bidi="ar-SA"/>
        </w:rPr>
        <w:t>单位</w:t>
      </w:r>
      <w:r>
        <w:rPr>
          <w:rFonts w:ascii="Times New Roman" w:hAnsi="Times New Roman" w:eastAsia="宋体" w:cs="宋体"/>
          <w:snapToGrid w:val="0"/>
          <w:color w:val="auto"/>
          <w:kern w:val="0"/>
          <w:sz w:val="24"/>
          <w:szCs w:val="21"/>
          <w:lang w:val="zh-CN" w:eastAsia="zh-CN" w:bidi="ar-SA"/>
        </w:rPr>
        <w:t>与施工单位还应与施工场地周围单位、居民建立良好的关系，及时让他们了解施工进度及采取的降噪措施，并取得大家的共同理解。若因工艺或特殊需要必须连续施工，施工单位应在施工前15日内报请地方</w:t>
      </w:r>
      <w:r>
        <w:rPr>
          <w:rFonts w:hint="eastAsia" w:ascii="Times New Roman" w:hAnsi="Times New Roman" w:eastAsia="宋体" w:cs="宋体"/>
          <w:snapToGrid w:val="0"/>
          <w:color w:val="auto"/>
          <w:kern w:val="0"/>
          <w:sz w:val="24"/>
          <w:szCs w:val="21"/>
          <w:lang w:val="zh-CN" w:eastAsia="zh-CN" w:bidi="ar-SA"/>
        </w:rPr>
        <w:t>生态</w:t>
      </w:r>
      <w:r>
        <w:rPr>
          <w:rFonts w:ascii="Times New Roman" w:hAnsi="Times New Roman" w:eastAsia="宋体" w:cs="宋体"/>
          <w:snapToGrid w:val="0"/>
          <w:color w:val="auto"/>
          <w:kern w:val="0"/>
          <w:sz w:val="24"/>
          <w:szCs w:val="21"/>
          <w:lang w:val="zh-CN" w:eastAsia="zh-CN" w:bidi="ar-SA"/>
        </w:rPr>
        <w:t>环境部门批准，并向施工场地周围的居民或单位发布公告，以征得公众的理解和支持；</w:t>
      </w:r>
    </w:p>
    <w:p w14:paraId="26C88D96">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④</w:t>
      </w:r>
      <w:r>
        <w:rPr>
          <w:rFonts w:ascii="Times New Roman" w:hAnsi="Times New Roman" w:eastAsia="宋体" w:cs="宋体"/>
          <w:snapToGrid w:val="0"/>
          <w:color w:val="auto"/>
          <w:kern w:val="0"/>
          <w:sz w:val="24"/>
          <w:szCs w:val="21"/>
          <w:lang w:val="zh-CN" w:eastAsia="zh-CN" w:bidi="ar-SA"/>
        </w:rPr>
        <w:t>加强施工区附近交通管理，避免交通</w:t>
      </w:r>
      <w:r>
        <w:rPr>
          <w:rFonts w:hint="eastAsia" w:ascii="Times New Roman" w:hAnsi="Times New Roman" w:eastAsia="宋体" w:cs="宋体"/>
          <w:snapToGrid w:val="0"/>
          <w:color w:val="auto"/>
          <w:kern w:val="0"/>
          <w:sz w:val="24"/>
          <w:szCs w:val="21"/>
          <w:lang w:val="en-US" w:eastAsia="zh-CN" w:bidi="ar-SA"/>
        </w:rPr>
        <w:t>堵塞</w:t>
      </w:r>
      <w:r>
        <w:rPr>
          <w:rFonts w:ascii="Times New Roman" w:hAnsi="Times New Roman" w:eastAsia="宋体" w:cs="宋体"/>
          <w:snapToGrid w:val="0"/>
          <w:color w:val="auto"/>
          <w:kern w:val="0"/>
          <w:sz w:val="24"/>
          <w:szCs w:val="21"/>
          <w:lang w:val="zh-CN" w:eastAsia="zh-CN" w:bidi="ar-SA"/>
        </w:rPr>
        <w:t>而增加车辆噪声。</w:t>
      </w:r>
    </w:p>
    <w:p w14:paraId="2911B70E">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在采取以上噪声污染防治措施后，施工期噪声可以做到达标排放。</w:t>
      </w:r>
    </w:p>
    <w:p w14:paraId="7F99AC03">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6.1.4</w:t>
      </w:r>
      <w:r>
        <w:rPr>
          <w:rFonts w:ascii="Times New Roman" w:hAnsi="Times New Roman" w:eastAsia="黑体" w:cs="Times New Roman"/>
          <w:bCs/>
          <w:color w:val="auto"/>
          <w:kern w:val="2"/>
          <w:sz w:val="28"/>
          <w:szCs w:val="32"/>
          <w:lang w:val="en-US" w:eastAsia="zh-CN" w:bidi="ar-SA"/>
        </w:rPr>
        <w:t>施工期固体废物污染防治措施</w:t>
      </w:r>
    </w:p>
    <w:p w14:paraId="11F462D1">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t>本项目施工期产生的固体废弃物主要为施工人员生活垃圾</w:t>
      </w:r>
      <w:r>
        <w:rPr>
          <w:rFonts w:hint="eastAsia" w:ascii="Times New Roman" w:hAnsi="Times New Roman" w:eastAsia="宋体" w:cs="Calibri"/>
          <w:color w:val="auto"/>
          <w:kern w:val="2"/>
          <w:sz w:val="24"/>
          <w:szCs w:val="24"/>
          <w:lang w:val="en-US" w:eastAsia="zh-CN" w:bidi="ar-SA"/>
        </w:rPr>
        <w:t>及废油</w:t>
      </w:r>
      <w:r>
        <w:rPr>
          <w:rFonts w:ascii="Times New Roman" w:hAnsi="Times New Roman" w:eastAsia="宋体" w:cs="Calibri"/>
          <w:color w:val="auto"/>
          <w:kern w:val="2"/>
          <w:sz w:val="24"/>
          <w:szCs w:val="24"/>
          <w:lang w:val="en-US" w:eastAsia="zh-CN" w:bidi="ar-SA"/>
        </w:rPr>
        <w:t>。</w:t>
      </w:r>
    </w:p>
    <w:p w14:paraId="482197DA">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w:t>
      </w:r>
      <w:r>
        <w:rPr>
          <w:rFonts w:ascii="Times New Roman" w:hAnsi="Times New Roman" w:eastAsia="宋体" w:cs="宋体"/>
          <w:snapToGrid w:val="0"/>
          <w:color w:val="auto"/>
          <w:kern w:val="0"/>
          <w:sz w:val="24"/>
          <w:szCs w:val="21"/>
          <w:lang w:val="zh-CN" w:eastAsia="zh-CN" w:bidi="ar-SA"/>
        </w:rPr>
        <w:t>1</w:t>
      </w:r>
      <w:r>
        <w:rPr>
          <w:rFonts w:hint="eastAsia" w:ascii="Times New Roman" w:hAnsi="Times New Roman" w:eastAsia="宋体" w:cs="宋体"/>
          <w:snapToGrid w:val="0"/>
          <w:color w:val="auto"/>
          <w:kern w:val="0"/>
          <w:sz w:val="24"/>
          <w:szCs w:val="21"/>
          <w:lang w:val="zh-CN" w:eastAsia="zh-CN" w:bidi="ar-SA"/>
        </w:rPr>
        <w:t>）本项目码头施工期施工人员生活垃圾可集中堆放后由环卫部门及时清运处置，减轻对环境的影响。</w:t>
      </w:r>
    </w:p>
    <w:p w14:paraId="2FF31844">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2</w:t>
      </w:r>
      <w:r>
        <w:rPr>
          <w:rFonts w:hint="eastAsia" w:ascii="Times New Roman" w:hAnsi="Times New Roman" w:eastAsia="宋体" w:cs="Times New Roman"/>
          <w:color w:val="auto"/>
          <w:sz w:val="24"/>
        </w:rPr>
        <w:t>）</w:t>
      </w:r>
      <w:r>
        <w:rPr>
          <w:rFonts w:ascii="Times New Roman" w:hAnsi="Times New Roman" w:eastAsia="宋体" w:cs="Times New Roman"/>
          <w:color w:val="auto"/>
          <w:sz w:val="24"/>
          <w:szCs w:val="24"/>
        </w:rPr>
        <w:t>施工机械、车辆</w:t>
      </w: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砂石水泥物料运输车辆车轮冲洗</w:t>
      </w:r>
      <w:r>
        <w:rPr>
          <w:rFonts w:hint="eastAsia" w:ascii="Times New Roman" w:hAnsi="Times New Roman" w:eastAsia="宋体" w:cs="Times New Roman"/>
          <w:color w:val="auto"/>
          <w:sz w:val="24"/>
          <w:szCs w:val="24"/>
        </w:rPr>
        <w:t>废水</w:t>
      </w:r>
      <w:r>
        <w:rPr>
          <w:rFonts w:ascii="Times New Roman" w:hAnsi="Times New Roman" w:eastAsia="宋体" w:cs="Times New Roman"/>
          <w:color w:val="auto"/>
          <w:sz w:val="24"/>
          <w:szCs w:val="24"/>
        </w:rPr>
        <w:t>采用</w:t>
      </w:r>
      <w:r>
        <w:rPr>
          <w:rFonts w:hint="eastAsia" w:ascii="Times New Roman" w:hAnsi="Times New Roman" w:eastAsia="宋体" w:cs="Times New Roman"/>
          <w:color w:val="auto"/>
          <w:sz w:val="24"/>
          <w:szCs w:val="24"/>
        </w:rPr>
        <w:t>隔油沉淀</w:t>
      </w:r>
      <w:r>
        <w:rPr>
          <w:rFonts w:ascii="Times New Roman" w:hAnsi="Times New Roman" w:eastAsia="宋体" w:cs="Times New Roman"/>
          <w:color w:val="auto"/>
          <w:sz w:val="24"/>
          <w:szCs w:val="24"/>
        </w:rPr>
        <w:t>池沉降，在施工区域内设置处理规模为15m</w:t>
      </w:r>
      <w:r>
        <w:rPr>
          <w:rFonts w:ascii="Times New Roman" w:hAnsi="Times New Roman" w:eastAsia="宋体" w:cs="Times New Roman"/>
          <w:color w:val="auto"/>
          <w:sz w:val="24"/>
          <w:szCs w:val="24"/>
          <w:vertAlign w:val="superscript"/>
        </w:rPr>
        <w:t>3</w:t>
      </w:r>
      <w:r>
        <w:rPr>
          <w:rFonts w:ascii="Times New Roman" w:hAnsi="Times New Roman" w:eastAsia="宋体" w:cs="Times New Roman"/>
          <w:color w:val="auto"/>
          <w:sz w:val="24"/>
          <w:szCs w:val="24"/>
        </w:rPr>
        <w:t>的</w:t>
      </w:r>
      <w:r>
        <w:rPr>
          <w:rFonts w:hint="eastAsia" w:ascii="Times New Roman" w:hAnsi="Times New Roman" w:eastAsia="宋体" w:cs="Times New Roman"/>
          <w:color w:val="auto"/>
          <w:sz w:val="24"/>
          <w:szCs w:val="24"/>
        </w:rPr>
        <w:t>隔油沉淀</w:t>
      </w:r>
      <w:r>
        <w:rPr>
          <w:rFonts w:ascii="Times New Roman" w:hAnsi="Times New Roman" w:eastAsia="宋体" w:cs="Times New Roman"/>
          <w:color w:val="auto"/>
          <w:sz w:val="24"/>
          <w:szCs w:val="24"/>
        </w:rPr>
        <w:t>池（5m×2m×1.5m），经</w:t>
      </w:r>
      <w:r>
        <w:rPr>
          <w:rFonts w:hint="eastAsia" w:ascii="Times New Roman" w:hAnsi="Times New Roman" w:eastAsia="宋体" w:cs="Times New Roman"/>
          <w:color w:val="auto"/>
          <w:sz w:val="24"/>
          <w:szCs w:val="24"/>
        </w:rPr>
        <w:t>隔油沉淀</w:t>
      </w:r>
      <w:r>
        <w:rPr>
          <w:rFonts w:ascii="Times New Roman" w:hAnsi="Times New Roman" w:eastAsia="宋体" w:cs="Times New Roman"/>
          <w:color w:val="auto"/>
          <w:sz w:val="24"/>
          <w:szCs w:val="24"/>
        </w:rPr>
        <w:t>池</w:t>
      </w:r>
      <w:r>
        <w:rPr>
          <w:rFonts w:hint="eastAsia" w:ascii="Times New Roman" w:hAnsi="Times New Roman" w:eastAsia="宋体" w:cs="Times New Roman"/>
          <w:color w:val="auto"/>
          <w:sz w:val="24"/>
          <w:szCs w:val="24"/>
        </w:rPr>
        <w:t>处理后</w:t>
      </w:r>
      <w:r>
        <w:rPr>
          <w:rFonts w:ascii="Times New Roman" w:hAnsi="Times New Roman" w:eastAsia="宋体" w:cs="Times New Roman"/>
          <w:color w:val="auto"/>
          <w:sz w:val="24"/>
          <w:szCs w:val="24"/>
        </w:rPr>
        <w:t>，回用于地面及车辆冲洗，不外排。收集的废油属危险废物，</w:t>
      </w:r>
      <w:r>
        <w:rPr>
          <w:rFonts w:hint="eastAsia" w:cs="Times New Roman"/>
          <w:color w:val="auto"/>
          <w:sz w:val="24"/>
          <w:szCs w:val="24"/>
          <w:lang w:eastAsia="zh-CN"/>
        </w:rPr>
        <w:t>交由</w:t>
      </w:r>
      <w:r>
        <w:rPr>
          <w:rFonts w:ascii="Times New Roman" w:hAnsi="Times New Roman" w:eastAsia="宋体" w:cs="Times New Roman"/>
          <w:color w:val="auto"/>
          <w:sz w:val="24"/>
          <w:szCs w:val="24"/>
        </w:rPr>
        <w:t>相关资质单位处置</w:t>
      </w:r>
      <w:r>
        <w:rPr>
          <w:rFonts w:hint="eastAsia" w:ascii="Times New Roman" w:hAnsi="Times New Roman" w:eastAsia="宋体" w:cs="Times New Roman"/>
          <w:color w:val="auto"/>
          <w:sz w:val="24"/>
          <w:szCs w:val="24"/>
        </w:rPr>
        <w:t>。</w:t>
      </w:r>
    </w:p>
    <w:p w14:paraId="126AD682">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w:t>
      </w:r>
      <w:r>
        <w:rPr>
          <w:rFonts w:ascii="Times New Roman" w:hAnsi="Times New Roman" w:eastAsia="宋体" w:cs="宋体"/>
          <w:snapToGrid w:val="0"/>
          <w:color w:val="auto"/>
          <w:kern w:val="0"/>
          <w:sz w:val="24"/>
          <w:szCs w:val="21"/>
          <w:lang w:val="zh-CN" w:eastAsia="zh-CN" w:bidi="ar-SA"/>
        </w:rPr>
        <w:t>3</w:t>
      </w:r>
      <w:r>
        <w:rPr>
          <w:rFonts w:hint="eastAsia" w:ascii="Times New Roman" w:hAnsi="Times New Roman" w:eastAsia="宋体" w:cs="宋体"/>
          <w:snapToGrid w:val="0"/>
          <w:color w:val="auto"/>
          <w:kern w:val="0"/>
          <w:sz w:val="24"/>
          <w:szCs w:val="21"/>
          <w:lang w:val="zh-CN" w:eastAsia="zh-CN" w:bidi="ar-SA"/>
        </w:rPr>
        <w:t>）对照《湖泊河流环保疏浚工程技术指南》（环办〔2014〕111号附件3），本次评价对工程水下疏浚施工污染防治工作提出以下要求：</w:t>
      </w:r>
    </w:p>
    <w:p w14:paraId="11F85A2F">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fldChar w:fldCharType="begin"/>
      </w:r>
      <w:r>
        <w:rPr>
          <w:rFonts w:hint="eastAsia" w:ascii="Times New Roman" w:hAnsi="Times New Roman" w:eastAsia="宋体" w:cs="宋体"/>
          <w:snapToGrid w:val="0"/>
          <w:color w:val="auto"/>
          <w:kern w:val="0"/>
          <w:sz w:val="24"/>
          <w:szCs w:val="21"/>
          <w:lang w:val="zh-CN" w:eastAsia="zh-CN" w:bidi="ar-SA"/>
        </w:rPr>
        <w:instrText xml:space="preserve"> = 1 \* GB3 </w:instrText>
      </w:r>
      <w:r>
        <w:rPr>
          <w:rFonts w:hint="eastAsia" w:ascii="Times New Roman" w:hAnsi="Times New Roman" w:eastAsia="宋体" w:cs="宋体"/>
          <w:snapToGrid w:val="0"/>
          <w:color w:val="auto"/>
          <w:kern w:val="0"/>
          <w:sz w:val="24"/>
          <w:szCs w:val="21"/>
          <w:lang w:val="zh-CN" w:eastAsia="zh-CN" w:bidi="ar-SA"/>
        </w:rPr>
        <w:fldChar w:fldCharType="separate"/>
      </w:r>
      <w:r>
        <w:rPr>
          <w:rFonts w:hint="eastAsia" w:ascii="Times New Roman" w:hAnsi="Times New Roman" w:eastAsia="宋体" w:cs="宋体"/>
          <w:snapToGrid w:val="0"/>
          <w:color w:val="auto"/>
          <w:kern w:val="0"/>
          <w:sz w:val="24"/>
          <w:szCs w:val="21"/>
          <w:lang w:val="zh-CN" w:eastAsia="zh-CN" w:bidi="ar-SA"/>
        </w:rPr>
        <w:t>①</w:t>
      </w:r>
      <w:r>
        <w:rPr>
          <w:rFonts w:hint="eastAsia" w:ascii="Times New Roman" w:hAnsi="Times New Roman" w:eastAsia="宋体" w:cs="宋体"/>
          <w:snapToGrid w:val="0"/>
          <w:color w:val="auto"/>
          <w:kern w:val="0"/>
          <w:sz w:val="24"/>
          <w:szCs w:val="21"/>
          <w:lang w:val="zh-CN" w:eastAsia="zh-CN" w:bidi="ar-SA"/>
        </w:rPr>
        <w:fldChar w:fldCharType="end"/>
      </w:r>
      <w:r>
        <w:rPr>
          <w:rFonts w:hint="eastAsia" w:ascii="Times New Roman" w:hAnsi="Times New Roman" w:eastAsia="宋体" w:cs="宋体"/>
          <w:snapToGrid w:val="0"/>
          <w:color w:val="auto"/>
          <w:kern w:val="0"/>
          <w:sz w:val="24"/>
          <w:szCs w:val="21"/>
          <w:lang w:val="zh-CN" w:eastAsia="zh-CN" w:bidi="ar-SA"/>
        </w:rPr>
        <w:t>环保疏浚前应进行细致、周密的调查和勘测，对污染物进行必要的现场调查、样品分析和室内外模拟研究，确定污染物的种类、含量、特性（挥发性及溶解性）、准确分布范围及其可能的生态环境效应，并对其进行生态风险评估。疏浚时应采用先进的低扰动、高固含率的底泥疏浚技术。在运输过程中应采取严格的密闭输</w:t>
      </w:r>
      <w:r>
        <w:rPr>
          <w:rFonts w:hint="eastAsia" w:cs="宋体"/>
          <w:snapToGrid w:val="0"/>
          <w:color w:val="auto"/>
          <w:kern w:val="0"/>
          <w:sz w:val="24"/>
          <w:szCs w:val="21"/>
          <w:lang w:val="zh-CN" w:eastAsia="zh-CN" w:bidi="ar-SA"/>
        </w:rPr>
        <w:t>送和</w:t>
      </w:r>
      <w:r>
        <w:rPr>
          <w:rFonts w:hint="eastAsia" w:ascii="Times New Roman" w:hAnsi="Times New Roman" w:eastAsia="宋体" w:cs="宋体"/>
          <w:snapToGrid w:val="0"/>
          <w:color w:val="auto"/>
          <w:kern w:val="0"/>
          <w:sz w:val="24"/>
          <w:szCs w:val="21"/>
          <w:lang w:val="zh-CN" w:eastAsia="zh-CN" w:bidi="ar-SA"/>
        </w:rPr>
        <w:t>防泄漏措施，以避免颗粒物的扩散和底泥中这部分污染物的</w:t>
      </w:r>
      <w:r>
        <w:rPr>
          <w:rFonts w:hint="eastAsia" w:cs="宋体"/>
          <w:snapToGrid w:val="0"/>
          <w:color w:val="auto"/>
          <w:kern w:val="0"/>
          <w:sz w:val="24"/>
          <w:szCs w:val="21"/>
          <w:lang w:val="zh-CN" w:eastAsia="zh-CN" w:bidi="ar-SA"/>
        </w:rPr>
        <w:t>解析</w:t>
      </w:r>
      <w:r>
        <w:rPr>
          <w:rFonts w:hint="eastAsia" w:ascii="Times New Roman" w:hAnsi="Times New Roman" w:eastAsia="宋体" w:cs="宋体"/>
          <w:snapToGrid w:val="0"/>
          <w:color w:val="auto"/>
          <w:kern w:val="0"/>
          <w:sz w:val="24"/>
          <w:szCs w:val="21"/>
          <w:lang w:val="zh-CN" w:eastAsia="zh-CN" w:bidi="ar-SA"/>
        </w:rPr>
        <w:t>。</w:t>
      </w:r>
    </w:p>
    <w:p w14:paraId="5F636736">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fldChar w:fldCharType="begin"/>
      </w:r>
      <w:r>
        <w:rPr>
          <w:rFonts w:hint="eastAsia" w:ascii="Times New Roman" w:hAnsi="Times New Roman" w:eastAsia="宋体" w:cs="宋体"/>
          <w:snapToGrid w:val="0"/>
          <w:color w:val="auto"/>
          <w:kern w:val="0"/>
          <w:sz w:val="24"/>
          <w:szCs w:val="21"/>
          <w:lang w:val="zh-CN" w:eastAsia="zh-CN" w:bidi="ar-SA"/>
        </w:rPr>
        <w:instrText xml:space="preserve"> = 2 \* GB3 </w:instrText>
      </w:r>
      <w:r>
        <w:rPr>
          <w:rFonts w:hint="eastAsia" w:ascii="Times New Roman" w:hAnsi="Times New Roman" w:eastAsia="宋体" w:cs="宋体"/>
          <w:snapToGrid w:val="0"/>
          <w:color w:val="auto"/>
          <w:kern w:val="0"/>
          <w:sz w:val="24"/>
          <w:szCs w:val="21"/>
          <w:lang w:val="zh-CN" w:eastAsia="zh-CN" w:bidi="ar-SA"/>
        </w:rPr>
        <w:fldChar w:fldCharType="separate"/>
      </w:r>
      <w:r>
        <w:rPr>
          <w:rFonts w:hint="eastAsia" w:ascii="Times New Roman" w:hAnsi="Times New Roman" w:eastAsia="宋体" w:cs="宋体"/>
          <w:snapToGrid w:val="0"/>
          <w:color w:val="auto"/>
          <w:kern w:val="0"/>
          <w:sz w:val="24"/>
          <w:szCs w:val="21"/>
          <w:lang w:val="zh-CN" w:eastAsia="zh-CN" w:bidi="ar-SA"/>
        </w:rPr>
        <w:t>②</w:t>
      </w:r>
      <w:r>
        <w:rPr>
          <w:rFonts w:hint="eastAsia" w:ascii="Times New Roman" w:hAnsi="Times New Roman" w:eastAsia="宋体" w:cs="宋体"/>
          <w:snapToGrid w:val="0"/>
          <w:color w:val="auto"/>
          <w:kern w:val="0"/>
          <w:sz w:val="24"/>
          <w:szCs w:val="21"/>
          <w:lang w:val="zh-CN" w:eastAsia="zh-CN" w:bidi="ar-SA"/>
        </w:rPr>
        <w:fldChar w:fldCharType="end"/>
      </w:r>
      <w:r>
        <w:rPr>
          <w:rFonts w:hint="eastAsia" w:ascii="Times New Roman" w:hAnsi="Times New Roman" w:eastAsia="宋体" w:cs="宋体"/>
          <w:snapToGrid w:val="0"/>
          <w:color w:val="auto"/>
          <w:kern w:val="0"/>
          <w:sz w:val="24"/>
          <w:szCs w:val="21"/>
          <w:lang w:val="zh-CN" w:eastAsia="zh-CN" w:bidi="ar-SA"/>
        </w:rPr>
        <w:t>弃土区及抛泥区位于本项目西北侧，抛泥区及弃土区占地面积约为</w:t>
      </w:r>
      <w:r>
        <w:rPr>
          <w:rFonts w:ascii="Times New Roman" w:hAnsi="Times New Roman" w:eastAsia="宋体" w:cs="宋体"/>
          <w:snapToGrid w:val="0"/>
          <w:color w:val="auto"/>
          <w:kern w:val="0"/>
          <w:sz w:val="24"/>
          <w:szCs w:val="21"/>
          <w:lang w:val="zh-CN" w:eastAsia="zh-CN" w:bidi="ar-SA"/>
        </w:rPr>
        <w:t>2000</w:t>
      </w:r>
      <w:r>
        <w:rPr>
          <w:rFonts w:hint="eastAsia" w:ascii="Times New Roman" w:hAnsi="Times New Roman" w:eastAsia="宋体" w:cs="宋体"/>
          <w:snapToGrid w:val="0"/>
          <w:color w:val="auto"/>
          <w:kern w:val="0"/>
          <w:sz w:val="24"/>
          <w:szCs w:val="21"/>
          <w:lang w:val="zh-CN" w:eastAsia="zh-CN" w:bidi="ar-SA"/>
        </w:rPr>
        <w:t>m</w:t>
      </w:r>
      <w:r>
        <w:rPr>
          <w:rFonts w:hint="eastAsia" w:ascii="Times New Roman" w:hAnsi="Times New Roman" w:eastAsia="宋体" w:cs="宋体"/>
          <w:snapToGrid w:val="0"/>
          <w:color w:val="auto"/>
          <w:kern w:val="0"/>
          <w:sz w:val="24"/>
          <w:szCs w:val="21"/>
          <w:vertAlign w:val="superscript"/>
          <w:lang w:val="zh-CN" w:eastAsia="zh-CN" w:bidi="ar-SA"/>
        </w:rPr>
        <w:t>2</w:t>
      </w:r>
      <w:r>
        <w:rPr>
          <w:rFonts w:hint="eastAsia" w:ascii="Times New Roman" w:hAnsi="Times New Roman" w:eastAsia="宋体" w:cs="宋体"/>
          <w:snapToGrid w:val="0"/>
          <w:color w:val="auto"/>
          <w:kern w:val="0"/>
          <w:sz w:val="24"/>
          <w:szCs w:val="21"/>
          <w:lang w:val="zh-CN" w:eastAsia="zh-CN" w:bidi="ar-SA"/>
        </w:rPr>
        <w:t>，容积</w:t>
      </w:r>
      <w:r>
        <w:rPr>
          <w:rFonts w:ascii="Times New Roman" w:hAnsi="Times New Roman" w:eastAsia="宋体" w:cs="宋体"/>
          <w:snapToGrid w:val="0"/>
          <w:color w:val="auto"/>
          <w:kern w:val="0"/>
          <w:sz w:val="24"/>
          <w:szCs w:val="21"/>
          <w:lang w:val="zh-CN" w:eastAsia="zh-CN" w:bidi="ar-SA"/>
        </w:rPr>
        <w:t>5124</w:t>
      </w:r>
      <w:r>
        <w:rPr>
          <w:rFonts w:hint="eastAsia" w:ascii="Times New Roman" w:hAnsi="Times New Roman" w:eastAsia="宋体" w:cs="宋体"/>
          <w:snapToGrid w:val="0"/>
          <w:color w:val="auto"/>
          <w:kern w:val="0"/>
          <w:sz w:val="24"/>
          <w:szCs w:val="21"/>
          <w:lang w:val="zh-CN" w:eastAsia="zh-CN" w:bidi="ar-SA"/>
        </w:rPr>
        <w:t>m</w:t>
      </w:r>
      <w:r>
        <w:rPr>
          <w:rFonts w:hint="eastAsia" w:ascii="Times New Roman" w:hAnsi="Times New Roman" w:eastAsia="宋体" w:cs="宋体"/>
          <w:snapToGrid w:val="0"/>
          <w:color w:val="auto"/>
          <w:kern w:val="0"/>
          <w:sz w:val="24"/>
          <w:szCs w:val="21"/>
          <w:vertAlign w:val="superscript"/>
          <w:lang w:val="zh-CN" w:eastAsia="zh-CN" w:bidi="ar-SA"/>
        </w:rPr>
        <w:t>3</w:t>
      </w:r>
      <w:r>
        <w:rPr>
          <w:rFonts w:hint="eastAsia" w:ascii="Times New Roman" w:hAnsi="Times New Roman" w:eastAsia="宋体" w:cs="宋体"/>
          <w:snapToGrid w:val="0"/>
          <w:color w:val="auto"/>
          <w:kern w:val="0"/>
          <w:sz w:val="24"/>
          <w:szCs w:val="21"/>
          <w:lang w:val="zh-CN" w:eastAsia="zh-CN" w:bidi="ar-SA"/>
        </w:rPr>
        <w:t>，采取严格的防渗措施及建造必要的防冲刷设施</w:t>
      </w:r>
      <w:r>
        <w:rPr>
          <w:rFonts w:hint="eastAsia" w:cs="宋体"/>
          <w:snapToGrid w:val="0"/>
          <w:color w:val="auto"/>
          <w:kern w:val="0"/>
          <w:sz w:val="24"/>
          <w:szCs w:val="21"/>
          <w:lang w:val="zh-CN" w:eastAsia="zh-CN" w:bidi="ar-SA"/>
        </w:rPr>
        <w:t>；建设单位应加强施工期间的监理，督促施工单位严格按照设计将各施工段弃方运送至指定弃土场堆置，防止施工单位因施工方便随意改变施工方案，从而使固废随意堆放造成环境污染，同时应对弃土区进行定期洒水，防止风吹扬尘，或者使用薄膜覆盖防风和降雨，堆放过程中要严格按照设计控制堆放高度，并采取建设挡栏等措施防止其被冲刷流失，待施工结束后可进行复耕处理</w:t>
      </w:r>
      <w:r>
        <w:rPr>
          <w:rFonts w:hint="eastAsia" w:ascii="Times New Roman" w:hAnsi="Times New Roman" w:eastAsia="宋体" w:cs="宋体"/>
          <w:snapToGrid w:val="0"/>
          <w:color w:val="auto"/>
          <w:kern w:val="0"/>
          <w:sz w:val="24"/>
          <w:szCs w:val="21"/>
          <w:lang w:val="zh-CN" w:eastAsia="zh-CN" w:bidi="ar-SA"/>
        </w:rPr>
        <w:t>。余水经集中收集处理后水质应达到《污水综合排放标准》（GB8978-1996）中规定的一级排放标准。疏浚后应采取必要的土壤修复对堆场进行快速恢复。</w:t>
      </w:r>
    </w:p>
    <w:p w14:paraId="29B3B9D7">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fldChar w:fldCharType="begin"/>
      </w:r>
      <w:r>
        <w:rPr>
          <w:rFonts w:hint="eastAsia" w:ascii="Times New Roman" w:hAnsi="Times New Roman" w:eastAsia="宋体" w:cs="宋体"/>
          <w:snapToGrid w:val="0"/>
          <w:color w:val="auto"/>
          <w:kern w:val="0"/>
          <w:sz w:val="24"/>
          <w:szCs w:val="21"/>
          <w:lang w:val="zh-CN" w:eastAsia="zh-CN" w:bidi="ar-SA"/>
        </w:rPr>
        <w:instrText xml:space="preserve"> = 3 \* GB3 </w:instrText>
      </w:r>
      <w:r>
        <w:rPr>
          <w:rFonts w:hint="eastAsia" w:ascii="Times New Roman" w:hAnsi="Times New Roman" w:eastAsia="宋体" w:cs="宋体"/>
          <w:snapToGrid w:val="0"/>
          <w:color w:val="auto"/>
          <w:kern w:val="0"/>
          <w:sz w:val="24"/>
          <w:szCs w:val="21"/>
          <w:lang w:val="zh-CN" w:eastAsia="zh-CN" w:bidi="ar-SA"/>
        </w:rPr>
        <w:fldChar w:fldCharType="separate"/>
      </w:r>
      <w:r>
        <w:rPr>
          <w:rFonts w:hint="eastAsia" w:ascii="Times New Roman" w:hAnsi="Times New Roman" w:eastAsia="宋体" w:cs="宋体"/>
          <w:snapToGrid w:val="0"/>
          <w:color w:val="auto"/>
          <w:kern w:val="0"/>
          <w:sz w:val="24"/>
          <w:szCs w:val="21"/>
          <w:lang w:val="zh-CN" w:eastAsia="zh-CN" w:bidi="ar-SA"/>
        </w:rPr>
        <w:t>③</w:t>
      </w:r>
      <w:r>
        <w:rPr>
          <w:rFonts w:hint="eastAsia" w:ascii="Times New Roman" w:hAnsi="Times New Roman" w:eastAsia="宋体" w:cs="宋体"/>
          <w:snapToGrid w:val="0"/>
          <w:color w:val="auto"/>
          <w:kern w:val="0"/>
          <w:sz w:val="24"/>
          <w:szCs w:val="21"/>
          <w:lang w:val="zh-CN" w:eastAsia="zh-CN" w:bidi="ar-SA"/>
        </w:rPr>
        <w:fldChar w:fldCharType="end"/>
      </w:r>
      <w:r>
        <w:rPr>
          <w:rFonts w:hint="eastAsia" w:ascii="Times New Roman" w:hAnsi="Times New Roman" w:eastAsia="宋体" w:cs="宋体"/>
          <w:snapToGrid w:val="0"/>
          <w:color w:val="auto"/>
          <w:kern w:val="0"/>
          <w:sz w:val="24"/>
          <w:szCs w:val="21"/>
          <w:lang w:val="zh-CN" w:eastAsia="zh-CN" w:bidi="ar-SA"/>
        </w:rPr>
        <w:t>应根据工程的施工环境、工程条件和环保要求，通过技术经济论证，综合比较，选择环保性能优良、挖泥精度高、施工效率高的疏浚设备。一般优先选用环保绞吸挖泥船，其次可选用环保抓斗挖泥船。</w:t>
      </w:r>
    </w:p>
    <w:p w14:paraId="60D7C30C">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在选定疏浚施工设备后，一般情况下根据不同条件采用分段、分层、分条施工方法。</w:t>
      </w:r>
    </w:p>
    <w:p w14:paraId="52109707">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对于环保绞吸式挖泥船，当挖槽长度大于挖泥船浮筒管线有效伸展长度时应分段施工；当挖泥厚度大于绞刀一次最大挖泥厚度时应分层施工；当挖槽宽度大于挖泥船一次最大挖宽时应分条施工。</w:t>
      </w:r>
    </w:p>
    <w:p w14:paraId="1FC66296">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对于环保斗式挖泥船，当挖槽长度大于挖泥船抛一次主锚所能提供的最大挖泥长度时应分段施工；当挖泥厚度大于泥斗一次有效挖泥厚度时应分层施工；当挖槽宽度大于挖泥船一次最大挖宽时应分条施工。</w:t>
      </w:r>
    </w:p>
    <w:p w14:paraId="790F08AB">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对环保疏浚工程，应先疏挖完上层流动浮泥后再疏挖下层污染底泥。对于近岸水域部分，为</w:t>
      </w:r>
      <w:r>
        <w:rPr>
          <w:rFonts w:hint="eastAsia" w:cs="宋体"/>
          <w:snapToGrid w:val="0"/>
          <w:color w:val="auto"/>
          <w:kern w:val="0"/>
          <w:sz w:val="24"/>
          <w:szCs w:val="21"/>
          <w:lang w:val="zh-CN" w:eastAsia="zh-CN" w:bidi="ar-SA"/>
        </w:rPr>
        <w:t>维护</w:t>
      </w:r>
      <w:r>
        <w:rPr>
          <w:rFonts w:hint="eastAsia" w:ascii="Times New Roman" w:hAnsi="Times New Roman" w:eastAsia="宋体" w:cs="宋体"/>
          <w:snapToGrid w:val="0"/>
          <w:color w:val="auto"/>
          <w:kern w:val="0"/>
          <w:sz w:val="24"/>
          <w:szCs w:val="21"/>
          <w:lang w:val="zh-CN" w:eastAsia="zh-CN" w:bidi="ar-SA"/>
        </w:rPr>
        <w:t>岸坡稳定，可采用“吸泥”方式施工。</w:t>
      </w:r>
    </w:p>
    <w:p w14:paraId="6D89F0FB">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fldChar w:fldCharType="begin"/>
      </w:r>
      <w:r>
        <w:rPr>
          <w:rFonts w:hint="eastAsia" w:ascii="Times New Roman" w:hAnsi="Times New Roman" w:eastAsia="宋体" w:cs="宋体"/>
          <w:snapToGrid w:val="0"/>
          <w:color w:val="auto"/>
          <w:kern w:val="0"/>
          <w:sz w:val="24"/>
          <w:szCs w:val="21"/>
          <w:lang w:val="zh-CN" w:eastAsia="zh-CN" w:bidi="ar-SA"/>
        </w:rPr>
        <w:instrText xml:space="preserve"> = 4 \* GB3 </w:instrText>
      </w:r>
      <w:r>
        <w:rPr>
          <w:rFonts w:hint="eastAsia" w:ascii="Times New Roman" w:hAnsi="Times New Roman" w:eastAsia="宋体" w:cs="宋体"/>
          <w:snapToGrid w:val="0"/>
          <w:color w:val="auto"/>
          <w:kern w:val="0"/>
          <w:sz w:val="24"/>
          <w:szCs w:val="21"/>
          <w:lang w:val="zh-CN" w:eastAsia="zh-CN" w:bidi="ar-SA"/>
        </w:rPr>
        <w:fldChar w:fldCharType="separate"/>
      </w:r>
      <w:r>
        <w:rPr>
          <w:rFonts w:hint="eastAsia" w:ascii="Times New Roman" w:hAnsi="Times New Roman" w:eastAsia="宋体" w:cs="宋体"/>
          <w:snapToGrid w:val="0"/>
          <w:color w:val="auto"/>
          <w:kern w:val="0"/>
          <w:sz w:val="24"/>
          <w:szCs w:val="21"/>
          <w:lang w:val="zh-CN" w:eastAsia="zh-CN" w:bidi="ar-SA"/>
        </w:rPr>
        <w:t>④</w:t>
      </w:r>
      <w:r>
        <w:rPr>
          <w:rFonts w:hint="eastAsia" w:ascii="Times New Roman" w:hAnsi="Times New Roman" w:eastAsia="宋体" w:cs="宋体"/>
          <w:snapToGrid w:val="0"/>
          <w:color w:val="auto"/>
          <w:kern w:val="0"/>
          <w:sz w:val="24"/>
          <w:szCs w:val="21"/>
          <w:lang w:val="zh-CN" w:eastAsia="zh-CN" w:bidi="ar-SA"/>
        </w:rPr>
        <w:fldChar w:fldCharType="end"/>
      </w:r>
      <w:r>
        <w:rPr>
          <w:rFonts w:hint="eastAsia" w:ascii="Times New Roman" w:hAnsi="Times New Roman" w:eastAsia="宋体" w:cs="宋体"/>
          <w:snapToGrid w:val="0"/>
          <w:color w:val="auto"/>
          <w:kern w:val="0"/>
          <w:sz w:val="24"/>
          <w:szCs w:val="21"/>
          <w:lang w:val="zh-CN" w:eastAsia="zh-CN" w:bidi="ar-SA"/>
        </w:rPr>
        <w:t>当选用环保绞吸式挖泥船施工时，其主要施工工艺流程根据输送距离长短分为两种。短距离输送：挖泥船挖泥→排泥管道输送→泥浆进入堆场→泥浆沉淀→余水处理→余水排放。长距离输送：挖泥船挖泥→排泥管道输送→接力泵输送→排泥管道输送→泥浆进入堆场→泥浆沉淀→余水处理→余水排放。</w:t>
      </w:r>
    </w:p>
    <w:p w14:paraId="5EC991BA">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当选用环保斗式挖泥船施工时，其主要施工工艺流程根据输送方式分为两种。陆上输送：挖泥船挖泥→泥驳运输→污泥卸驳上岸→封闭自卸汽车运送→污泥倒入堆场或二次利用。水上输送：挖泥船挖泥→泥驳运输→泥驳卸驳→堆场存放。</w:t>
      </w:r>
    </w:p>
    <w:p w14:paraId="4CD93404">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（4）对照《湖泊河流环保疏浚工程技术指南》（环办〔2014〕111号附件3），本次评价对工程抛泥区设置污染防治工作提出以下要求：</w:t>
      </w:r>
    </w:p>
    <w:p w14:paraId="02E1A554">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fldChar w:fldCharType="begin"/>
      </w:r>
      <w:r>
        <w:rPr>
          <w:rFonts w:hint="eastAsia" w:ascii="Times New Roman" w:hAnsi="Times New Roman" w:eastAsia="宋体" w:cs="宋体"/>
          <w:snapToGrid w:val="0"/>
          <w:color w:val="auto"/>
          <w:kern w:val="0"/>
          <w:sz w:val="24"/>
          <w:szCs w:val="21"/>
          <w:lang w:val="zh-CN" w:eastAsia="zh-CN" w:bidi="ar-SA"/>
        </w:rPr>
        <w:instrText xml:space="preserve"> = 1 \* GB3 </w:instrText>
      </w:r>
      <w:r>
        <w:rPr>
          <w:rFonts w:hint="eastAsia" w:ascii="Times New Roman" w:hAnsi="Times New Roman" w:eastAsia="宋体" w:cs="宋体"/>
          <w:snapToGrid w:val="0"/>
          <w:color w:val="auto"/>
          <w:kern w:val="0"/>
          <w:sz w:val="24"/>
          <w:szCs w:val="21"/>
          <w:lang w:val="zh-CN" w:eastAsia="zh-CN" w:bidi="ar-SA"/>
        </w:rPr>
        <w:fldChar w:fldCharType="separate"/>
      </w:r>
      <w:r>
        <w:rPr>
          <w:rFonts w:hint="eastAsia" w:ascii="Times New Roman" w:hAnsi="Times New Roman" w:eastAsia="宋体" w:cs="宋体"/>
          <w:snapToGrid w:val="0"/>
          <w:color w:val="auto"/>
          <w:kern w:val="0"/>
          <w:sz w:val="24"/>
          <w:szCs w:val="21"/>
          <w:lang w:val="zh-CN" w:eastAsia="zh-CN" w:bidi="ar-SA"/>
        </w:rPr>
        <w:t>①</w:t>
      </w:r>
      <w:r>
        <w:rPr>
          <w:rFonts w:hint="eastAsia" w:ascii="Times New Roman" w:hAnsi="Times New Roman" w:eastAsia="宋体" w:cs="宋体"/>
          <w:snapToGrid w:val="0"/>
          <w:color w:val="auto"/>
          <w:kern w:val="0"/>
          <w:sz w:val="24"/>
          <w:szCs w:val="21"/>
          <w:lang w:val="zh-CN" w:eastAsia="zh-CN" w:bidi="ar-SA"/>
        </w:rPr>
        <w:fldChar w:fldCharType="end"/>
      </w:r>
      <w:r>
        <w:rPr>
          <w:rFonts w:hint="eastAsia" w:ascii="Times New Roman" w:hAnsi="Times New Roman" w:eastAsia="宋体" w:cs="宋体"/>
          <w:snapToGrid w:val="0"/>
          <w:color w:val="auto"/>
          <w:kern w:val="0"/>
          <w:sz w:val="24"/>
          <w:szCs w:val="21"/>
          <w:lang w:val="zh-CN" w:eastAsia="zh-CN" w:bidi="ar-SA"/>
        </w:rPr>
        <w:t>本项目抛泥区及弃土区位于</w:t>
      </w:r>
      <w:r>
        <w:rPr>
          <w:rFonts w:hint="eastAsia" w:ascii="Times New Roman" w:hAnsi="Times New Roman" w:eastAsia="宋体" w:cs="宋体"/>
          <w:snapToGrid w:val="0"/>
          <w:color w:val="auto"/>
          <w:kern w:val="0"/>
          <w:sz w:val="24"/>
          <w:szCs w:val="21"/>
          <w:lang w:val="en-US" w:eastAsia="zh-CN" w:bidi="ar-SA"/>
        </w:rPr>
        <w:t>项目区西北侧（抛泥区位于下风向，同时距本项目约160m，且抛泥区之前作为店集码头抛泥区选址，且抛泥区周边道路便利）</w:t>
      </w:r>
      <w:r>
        <w:rPr>
          <w:rFonts w:hint="eastAsia" w:ascii="Times New Roman" w:hAnsi="Times New Roman" w:eastAsia="宋体" w:cs="宋体"/>
          <w:snapToGrid w:val="0"/>
          <w:color w:val="auto"/>
          <w:kern w:val="0"/>
          <w:sz w:val="24"/>
          <w:szCs w:val="21"/>
          <w:lang w:val="zh-CN" w:eastAsia="zh-CN" w:bidi="ar-SA"/>
        </w:rPr>
        <w:t>，占地面积共约为</w:t>
      </w:r>
      <w:r>
        <w:rPr>
          <w:rFonts w:ascii="Times New Roman" w:hAnsi="Times New Roman" w:eastAsia="宋体" w:cs="宋体"/>
          <w:snapToGrid w:val="0"/>
          <w:color w:val="auto"/>
          <w:kern w:val="0"/>
          <w:sz w:val="24"/>
          <w:szCs w:val="21"/>
          <w:lang w:val="zh-CN" w:eastAsia="zh-CN" w:bidi="ar-SA"/>
        </w:rPr>
        <w:t>2000</w:t>
      </w:r>
      <w:r>
        <w:rPr>
          <w:rFonts w:hint="eastAsia" w:ascii="Times New Roman" w:hAnsi="Times New Roman" w:eastAsia="宋体" w:cs="宋体"/>
          <w:snapToGrid w:val="0"/>
          <w:color w:val="auto"/>
          <w:kern w:val="0"/>
          <w:sz w:val="24"/>
          <w:szCs w:val="21"/>
          <w:lang w:val="zh-CN" w:eastAsia="zh-CN" w:bidi="ar-SA"/>
        </w:rPr>
        <w:t>m</w:t>
      </w:r>
      <w:r>
        <w:rPr>
          <w:rFonts w:hint="eastAsia" w:ascii="Times New Roman" w:hAnsi="Times New Roman" w:eastAsia="宋体" w:cs="宋体"/>
          <w:snapToGrid w:val="0"/>
          <w:color w:val="auto"/>
          <w:kern w:val="0"/>
          <w:sz w:val="24"/>
          <w:szCs w:val="21"/>
          <w:vertAlign w:val="superscript"/>
          <w:lang w:val="zh-CN" w:eastAsia="zh-CN" w:bidi="ar-SA"/>
        </w:rPr>
        <w:t>2</w:t>
      </w:r>
      <w:r>
        <w:rPr>
          <w:rFonts w:hint="eastAsia" w:ascii="Times New Roman" w:hAnsi="Times New Roman" w:eastAsia="宋体" w:cs="宋体"/>
          <w:snapToGrid w:val="0"/>
          <w:color w:val="auto"/>
          <w:kern w:val="0"/>
          <w:sz w:val="24"/>
          <w:szCs w:val="21"/>
          <w:lang w:val="zh-CN" w:eastAsia="zh-CN" w:bidi="ar-SA"/>
        </w:rPr>
        <w:t>，容积</w:t>
      </w:r>
      <w:r>
        <w:rPr>
          <w:rFonts w:ascii="Times New Roman" w:hAnsi="Times New Roman" w:eastAsia="宋体" w:cs="宋体"/>
          <w:snapToGrid w:val="0"/>
          <w:color w:val="auto"/>
          <w:kern w:val="0"/>
          <w:sz w:val="24"/>
          <w:szCs w:val="21"/>
          <w:lang w:val="zh-CN" w:eastAsia="zh-CN" w:bidi="ar-SA"/>
        </w:rPr>
        <w:t>5124</w:t>
      </w:r>
      <w:r>
        <w:rPr>
          <w:rFonts w:hint="eastAsia" w:ascii="Times New Roman" w:hAnsi="Times New Roman" w:eastAsia="宋体" w:cs="宋体"/>
          <w:snapToGrid w:val="0"/>
          <w:color w:val="auto"/>
          <w:kern w:val="0"/>
          <w:sz w:val="24"/>
          <w:szCs w:val="21"/>
          <w:lang w:val="zh-CN" w:eastAsia="zh-CN" w:bidi="ar-SA"/>
        </w:rPr>
        <w:t>m</w:t>
      </w:r>
      <w:r>
        <w:rPr>
          <w:rFonts w:hint="eastAsia" w:ascii="Times New Roman" w:hAnsi="Times New Roman" w:eastAsia="宋体" w:cs="宋体"/>
          <w:snapToGrid w:val="0"/>
          <w:color w:val="auto"/>
          <w:kern w:val="0"/>
          <w:sz w:val="24"/>
          <w:szCs w:val="21"/>
          <w:vertAlign w:val="superscript"/>
          <w:lang w:val="zh-CN" w:eastAsia="zh-CN" w:bidi="ar-SA"/>
        </w:rPr>
        <w:t>3</w:t>
      </w:r>
      <w:r>
        <w:rPr>
          <w:rFonts w:hint="eastAsia" w:ascii="Times New Roman" w:hAnsi="Times New Roman" w:eastAsia="宋体" w:cs="宋体"/>
          <w:snapToGrid w:val="0"/>
          <w:color w:val="auto"/>
          <w:kern w:val="0"/>
          <w:sz w:val="24"/>
          <w:szCs w:val="21"/>
          <w:lang w:val="zh-CN" w:eastAsia="zh-CN" w:bidi="ar-SA"/>
        </w:rPr>
        <w:t>。堆场面积和容积满足工程要求，堆场排水是否可行等；尽量选择低洼地、废弃的鱼塘等，</w:t>
      </w:r>
      <w:r>
        <w:rPr>
          <w:rFonts w:hint="eastAsia" w:ascii="Times New Roman" w:hAnsi="Times New Roman" w:eastAsia="宋体" w:cs="宋体"/>
          <w:snapToGrid w:val="0"/>
          <w:color w:val="auto"/>
          <w:kern w:val="0"/>
          <w:sz w:val="24"/>
          <w:szCs w:val="21"/>
          <w:lang w:val="en-US" w:eastAsia="zh-CN" w:bidi="ar-SA"/>
        </w:rPr>
        <w:t>不得</w:t>
      </w:r>
      <w:r>
        <w:rPr>
          <w:rFonts w:hint="eastAsia" w:ascii="Times New Roman" w:hAnsi="Times New Roman" w:eastAsia="宋体" w:cs="宋体"/>
          <w:snapToGrid w:val="0"/>
          <w:color w:val="auto"/>
          <w:kern w:val="0"/>
          <w:sz w:val="24"/>
          <w:szCs w:val="21"/>
          <w:lang w:val="zh-CN" w:eastAsia="zh-CN" w:bidi="ar-SA"/>
        </w:rPr>
        <w:t>占用耕地、</w:t>
      </w:r>
      <w:r>
        <w:rPr>
          <w:rFonts w:hint="eastAsia" w:ascii="Times New Roman" w:hAnsi="Times New Roman" w:eastAsia="宋体" w:cs="宋体"/>
          <w:snapToGrid w:val="0"/>
          <w:color w:val="auto"/>
          <w:kern w:val="0"/>
          <w:sz w:val="24"/>
          <w:szCs w:val="21"/>
          <w:lang w:val="en-US" w:eastAsia="zh-CN" w:bidi="ar-SA"/>
        </w:rPr>
        <w:t>林地</w:t>
      </w:r>
      <w:r>
        <w:rPr>
          <w:rFonts w:hint="eastAsia" w:ascii="Times New Roman" w:hAnsi="Times New Roman" w:eastAsia="宋体" w:cs="宋体"/>
          <w:snapToGrid w:val="0"/>
          <w:color w:val="auto"/>
          <w:kern w:val="0"/>
          <w:sz w:val="24"/>
          <w:szCs w:val="21"/>
          <w:lang w:val="zh-CN" w:eastAsia="zh-CN" w:bidi="ar-SA"/>
        </w:rPr>
        <w:t>；尽量选择具有渗透系数小或对污染物有吸附作用土层的场地。</w:t>
      </w:r>
    </w:p>
    <w:p w14:paraId="38EEFD7C">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fldChar w:fldCharType="begin"/>
      </w:r>
      <w:r>
        <w:rPr>
          <w:rFonts w:hint="eastAsia" w:ascii="Times New Roman" w:hAnsi="Times New Roman" w:eastAsia="宋体" w:cs="宋体"/>
          <w:snapToGrid w:val="0"/>
          <w:color w:val="auto"/>
          <w:kern w:val="0"/>
          <w:sz w:val="24"/>
          <w:szCs w:val="21"/>
          <w:lang w:val="zh-CN" w:eastAsia="zh-CN" w:bidi="ar-SA"/>
        </w:rPr>
        <w:instrText xml:space="preserve"> = 2 \* GB3 </w:instrText>
      </w:r>
      <w:r>
        <w:rPr>
          <w:rFonts w:hint="eastAsia" w:ascii="Times New Roman" w:hAnsi="Times New Roman" w:eastAsia="宋体" w:cs="宋体"/>
          <w:snapToGrid w:val="0"/>
          <w:color w:val="auto"/>
          <w:kern w:val="0"/>
          <w:sz w:val="24"/>
          <w:szCs w:val="21"/>
          <w:lang w:val="zh-CN" w:eastAsia="zh-CN" w:bidi="ar-SA"/>
        </w:rPr>
        <w:fldChar w:fldCharType="separate"/>
      </w:r>
      <w:r>
        <w:rPr>
          <w:rFonts w:hint="eastAsia" w:ascii="Times New Roman" w:hAnsi="Times New Roman" w:eastAsia="宋体" w:cs="宋体"/>
          <w:snapToGrid w:val="0"/>
          <w:color w:val="auto"/>
          <w:kern w:val="0"/>
          <w:sz w:val="24"/>
          <w:szCs w:val="21"/>
          <w:lang w:val="zh-CN" w:eastAsia="zh-CN" w:bidi="ar-SA"/>
        </w:rPr>
        <w:t>②</w:t>
      </w:r>
      <w:r>
        <w:rPr>
          <w:rFonts w:hint="eastAsia" w:ascii="Times New Roman" w:hAnsi="Times New Roman" w:eastAsia="宋体" w:cs="宋体"/>
          <w:snapToGrid w:val="0"/>
          <w:color w:val="auto"/>
          <w:kern w:val="0"/>
          <w:sz w:val="24"/>
          <w:szCs w:val="21"/>
          <w:lang w:val="zh-CN" w:eastAsia="zh-CN" w:bidi="ar-SA"/>
        </w:rPr>
        <w:fldChar w:fldCharType="end"/>
      </w:r>
      <w:r>
        <w:rPr>
          <w:rFonts w:hint="eastAsia" w:ascii="Times New Roman" w:hAnsi="Times New Roman" w:eastAsia="宋体" w:cs="宋体"/>
          <w:snapToGrid w:val="0"/>
          <w:color w:val="auto"/>
          <w:kern w:val="0"/>
          <w:sz w:val="24"/>
          <w:szCs w:val="21"/>
          <w:lang w:val="zh-CN" w:eastAsia="zh-CN" w:bidi="ar-SA"/>
        </w:rPr>
        <w:t>按照底泥堆存方式，可分为常规堆场和大型土工管袋堆场两种。常规堆场是通过建造围埝而形成的堆泥场，一般宜尽量利用现成的封闭低洼地、废弃的鱼塘等作为堆场，以减小围埝高度和降低围埝建造成本。土工管袋堆场由基础和高强度土工布织成的大型管、副坝等组成，污染底泥直接存储在大型土工管袋中。堆场底部应铺设防渗材料。</w:t>
      </w:r>
    </w:p>
    <w:p w14:paraId="2DAEBAAC">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fldChar w:fldCharType="begin"/>
      </w:r>
      <w:r>
        <w:rPr>
          <w:rFonts w:hint="eastAsia" w:ascii="Times New Roman" w:hAnsi="Times New Roman" w:eastAsia="宋体" w:cs="宋体"/>
          <w:snapToGrid w:val="0"/>
          <w:color w:val="auto"/>
          <w:kern w:val="0"/>
          <w:sz w:val="24"/>
          <w:szCs w:val="21"/>
          <w:lang w:val="zh-CN" w:eastAsia="zh-CN" w:bidi="ar-SA"/>
        </w:rPr>
        <w:instrText xml:space="preserve"> = 3 \* GB3 </w:instrText>
      </w:r>
      <w:r>
        <w:rPr>
          <w:rFonts w:hint="eastAsia" w:ascii="Times New Roman" w:hAnsi="Times New Roman" w:eastAsia="宋体" w:cs="宋体"/>
          <w:snapToGrid w:val="0"/>
          <w:color w:val="auto"/>
          <w:kern w:val="0"/>
          <w:sz w:val="24"/>
          <w:szCs w:val="21"/>
          <w:lang w:val="zh-CN" w:eastAsia="zh-CN" w:bidi="ar-SA"/>
        </w:rPr>
        <w:fldChar w:fldCharType="separate"/>
      </w:r>
      <w:r>
        <w:rPr>
          <w:rFonts w:hint="eastAsia" w:ascii="Times New Roman" w:hAnsi="Times New Roman" w:eastAsia="宋体" w:cs="宋体"/>
          <w:snapToGrid w:val="0"/>
          <w:color w:val="auto"/>
          <w:kern w:val="0"/>
          <w:sz w:val="24"/>
          <w:szCs w:val="21"/>
          <w:lang w:val="zh-CN" w:eastAsia="zh-CN" w:bidi="ar-SA"/>
        </w:rPr>
        <w:t>③</w:t>
      </w:r>
      <w:r>
        <w:rPr>
          <w:rFonts w:hint="eastAsia" w:ascii="Times New Roman" w:hAnsi="Times New Roman" w:eastAsia="宋体" w:cs="宋体"/>
          <w:snapToGrid w:val="0"/>
          <w:color w:val="auto"/>
          <w:kern w:val="0"/>
          <w:sz w:val="24"/>
          <w:szCs w:val="21"/>
          <w:lang w:val="zh-CN" w:eastAsia="zh-CN" w:bidi="ar-SA"/>
        </w:rPr>
        <w:fldChar w:fldCharType="end"/>
      </w:r>
      <w:r>
        <w:rPr>
          <w:rFonts w:hint="eastAsia" w:ascii="Times New Roman" w:hAnsi="Times New Roman" w:eastAsia="宋体" w:cs="宋体"/>
          <w:snapToGrid w:val="0"/>
          <w:color w:val="auto"/>
          <w:kern w:val="0"/>
          <w:sz w:val="24"/>
          <w:szCs w:val="21"/>
          <w:lang w:val="zh-CN" w:eastAsia="zh-CN" w:bidi="ar-SA"/>
        </w:rPr>
        <w:t>余水净化处理设施：</w:t>
      </w:r>
    </w:p>
    <w:p w14:paraId="16825DCF">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堆场结构。在计算堆场容积时必须保证沉淀所需要的空间，堆场结构应有利于污泥沉降，出水口应尽量远离泥浆进入口，合理设计溢流堰和排水管。有条件时可尽量利用现有土坝、塘埂等进行改造，以</w:t>
      </w:r>
      <w:r>
        <w:rPr>
          <w:rFonts w:hint="eastAsia" w:cs="宋体"/>
          <w:snapToGrid w:val="0"/>
          <w:color w:val="auto"/>
          <w:kern w:val="0"/>
          <w:sz w:val="24"/>
          <w:szCs w:val="21"/>
          <w:lang w:val="zh-CN" w:eastAsia="zh-CN" w:bidi="ar-SA"/>
        </w:rPr>
        <w:t>优化</w:t>
      </w:r>
      <w:r>
        <w:rPr>
          <w:rFonts w:hint="eastAsia" w:ascii="Times New Roman" w:hAnsi="Times New Roman" w:eastAsia="宋体" w:cs="宋体"/>
          <w:snapToGrid w:val="0"/>
          <w:color w:val="auto"/>
          <w:kern w:val="0"/>
          <w:sz w:val="24"/>
          <w:szCs w:val="21"/>
          <w:lang w:val="zh-CN" w:eastAsia="zh-CN" w:bidi="ar-SA"/>
        </w:rPr>
        <w:t>堆场自然沉淀条件，延长水流路径，防止短流。</w:t>
      </w:r>
    </w:p>
    <w:p w14:paraId="31CF1A1A">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疏浚作业。输泥管口的位置应尽量远离泄水口，以延长泥浆在堆场的流径，增加污泥的沉淀时间，强化沉淀效果，</w:t>
      </w:r>
      <w:r>
        <w:rPr>
          <w:rFonts w:hint="eastAsia" w:cs="宋体"/>
          <w:snapToGrid w:val="0"/>
          <w:color w:val="auto"/>
          <w:kern w:val="0"/>
          <w:sz w:val="24"/>
          <w:szCs w:val="21"/>
          <w:lang w:val="zh-CN" w:eastAsia="zh-CN" w:bidi="ar-SA"/>
        </w:rPr>
        <w:t>有利于</w:t>
      </w:r>
      <w:r>
        <w:rPr>
          <w:rFonts w:hint="eastAsia" w:ascii="Times New Roman" w:hAnsi="Times New Roman" w:eastAsia="宋体" w:cs="宋体"/>
          <w:snapToGrid w:val="0"/>
          <w:color w:val="auto"/>
          <w:kern w:val="0"/>
          <w:sz w:val="24"/>
          <w:szCs w:val="21"/>
          <w:lang w:val="zh-CN" w:eastAsia="zh-CN" w:bidi="ar-SA"/>
        </w:rPr>
        <w:t>水水质控制。在疏浚后期应尽可能减少泥浆输送量，以延长泥浆在堆场内的停留时间，保证一定的沉淀效果。当其他措施不能保证余水达标时，挖泥船可采取间歇作业方式，暂停对该堆场输泥，留出一定时间令泥浆静态沉降并排出清液，形成一定的堆场空间后再恢复作业。</w:t>
      </w:r>
    </w:p>
    <w:p w14:paraId="48FDEE47">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二次自然沉淀。为了使污泥颗粒有稳定的沉淀条件，可以在堆场沉淀的基础上，使堆场排放的余水进行二次沉淀。</w:t>
      </w:r>
    </w:p>
    <w:p w14:paraId="431D206B">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余水投药促沉：余水处理中常用的絮凝剂类别包括无机絮凝剂、有机高分子絮凝剂</w:t>
      </w:r>
      <w:r>
        <w:rPr>
          <w:rFonts w:hint="eastAsia" w:cs="宋体"/>
          <w:snapToGrid w:val="0"/>
          <w:color w:val="auto"/>
          <w:kern w:val="0"/>
          <w:sz w:val="24"/>
          <w:szCs w:val="21"/>
          <w:lang w:val="zh-CN" w:eastAsia="zh-CN" w:bidi="ar-SA"/>
        </w:rPr>
        <w:t>，以及</w:t>
      </w:r>
      <w:r>
        <w:rPr>
          <w:rFonts w:hint="eastAsia" w:ascii="Times New Roman" w:hAnsi="Times New Roman" w:eastAsia="宋体" w:cs="宋体"/>
          <w:snapToGrid w:val="0"/>
          <w:color w:val="auto"/>
          <w:kern w:val="0"/>
          <w:sz w:val="24"/>
          <w:szCs w:val="21"/>
          <w:lang w:val="zh-CN" w:eastAsia="zh-CN" w:bidi="ar-SA"/>
        </w:rPr>
        <w:t>复配絮凝剂。投药方式包括输泥管投药和堆场溢流口投药。</w:t>
      </w:r>
    </w:p>
    <w:p w14:paraId="55C43B4D">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fldChar w:fldCharType="begin"/>
      </w:r>
      <w:r>
        <w:rPr>
          <w:rFonts w:hint="eastAsia" w:ascii="Times New Roman" w:hAnsi="Times New Roman" w:eastAsia="宋体" w:cs="宋体"/>
          <w:snapToGrid w:val="0"/>
          <w:color w:val="auto"/>
          <w:kern w:val="0"/>
          <w:sz w:val="24"/>
          <w:szCs w:val="21"/>
          <w:lang w:val="zh-CN" w:eastAsia="zh-CN" w:bidi="ar-SA"/>
        </w:rPr>
        <w:instrText xml:space="preserve"> = 4 \* GB3 </w:instrText>
      </w:r>
      <w:r>
        <w:rPr>
          <w:rFonts w:hint="eastAsia" w:ascii="Times New Roman" w:hAnsi="Times New Roman" w:eastAsia="宋体" w:cs="宋体"/>
          <w:snapToGrid w:val="0"/>
          <w:color w:val="auto"/>
          <w:kern w:val="0"/>
          <w:sz w:val="24"/>
          <w:szCs w:val="21"/>
          <w:lang w:val="zh-CN" w:eastAsia="zh-CN" w:bidi="ar-SA"/>
        </w:rPr>
        <w:fldChar w:fldCharType="separate"/>
      </w:r>
      <w:r>
        <w:rPr>
          <w:rFonts w:hint="eastAsia" w:ascii="Times New Roman" w:hAnsi="Times New Roman" w:eastAsia="宋体" w:cs="宋体"/>
          <w:snapToGrid w:val="0"/>
          <w:color w:val="auto"/>
          <w:kern w:val="0"/>
          <w:sz w:val="24"/>
          <w:szCs w:val="21"/>
          <w:lang w:val="zh-CN" w:eastAsia="zh-CN" w:bidi="ar-SA"/>
        </w:rPr>
        <w:t>④</w:t>
      </w:r>
      <w:r>
        <w:rPr>
          <w:rFonts w:hint="eastAsia" w:ascii="Times New Roman" w:hAnsi="Times New Roman" w:eastAsia="宋体" w:cs="宋体"/>
          <w:snapToGrid w:val="0"/>
          <w:color w:val="auto"/>
          <w:kern w:val="0"/>
          <w:sz w:val="24"/>
          <w:szCs w:val="21"/>
          <w:lang w:val="zh-CN" w:eastAsia="zh-CN" w:bidi="ar-SA"/>
        </w:rPr>
        <w:fldChar w:fldCharType="end"/>
      </w:r>
      <w:r>
        <w:rPr>
          <w:rFonts w:hint="eastAsia" w:ascii="Times New Roman" w:hAnsi="Times New Roman" w:eastAsia="宋体" w:cs="宋体"/>
          <w:snapToGrid w:val="0"/>
          <w:color w:val="auto"/>
          <w:kern w:val="0"/>
          <w:sz w:val="24"/>
          <w:szCs w:val="21"/>
          <w:lang w:val="zh-CN" w:eastAsia="zh-CN" w:bidi="ar-SA"/>
        </w:rPr>
        <w:t>余水排水通道：尽量利用现成沟渠，少占用农田耕地；尽量减少穿越公路、河道次数，避免出现翻山和架桥；考虑下游沟渠、河道因增加水流流量而对泄洪能力的影响；考虑排出的水流对下游区域污染影响。一般采用明渠或管道方式，明渠断面常采用矩形、梯形、半圆形等型式，管道常采用钢管、混凝土管、聚乙烯（PVC）管等。</w:t>
      </w:r>
    </w:p>
    <w:p w14:paraId="7B3B1EEE">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fldChar w:fldCharType="begin"/>
      </w:r>
      <w:r>
        <w:rPr>
          <w:rFonts w:hint="eastAsia" w:ascii="Times New Roman" w:hAnsi="Times New Roman" w:eastAsia="宋体" w:cs="宋体"/>
          <w:snapToGrid w:val="0"/>
          <w:color w:val="auto"/>
          <w:kern w:val="0"/>
          <w:sz w:val="24"/>
          <w:szCs w:val="21"/>
          <w:lang w:val="zh-CN" w:eastAsia="zh-CN" w:bidi="ar-SA"/>
        </w:rPr>
        <w:instrText xml:space="preserve"> = 5 \* GB3 </w:instrText>
      </w:r>
      <w:r>
        <w:rPr>
          <w:rFonts w:hint="eastAsia" w:ascii="Times New Roman" w:hAnsi="Times New Roman" w:eastAsia="宋体" w:cs="宋体"/>
          <w:snapToGrid w:val="0"/>
          <w:color w:val="auto"/>
          <w:kern w:val="0"/>
          <w:sz w:val="24"/>
          <w:szCs w:val="21"/>
          <w:lang w:val="zh-CN" w:eastAsia="zh-CN" w:bidi="ar-SA"/>
        </w:rPr>
        <w:fldChar w:fldCharType="separate"/>
      </w:r>
      <w:r>
        <w:rPr>
          <w:rFonts w:hint="eastAsia" w:ascii="Times New Roman" w:hAnsi="Times New Roman" w:eastAsia="宋体" w:cs="宋体"/>
          <w:snapToGrid w:val="0"/>
          <w:color w:val="auto"/>
          <w:kern w:val="0"/>
          <w:sz w:val="24"/>
          <w:szCs w:val="21"/>
          <w:lang w:val="zh-CN" w:eastAsia="zh-CN" w:bidi="ar-SA"/>
        </w:rPr>
        <w:t>⑤</w:t>
      </w:r>
      <w:r>
        <w:rPr>
          <w:rFonts w:hint="eastAsia" w:ascii="Times New Roman" w:hAnsi="Times New Roman" w:eastAsia="宋体" w:cs="宋体"/>
          <w:snapToGrid w:val="0"/>
          <w:color w:val="auto"/>
          <w:kern w:val="0"/>
          <w:sz w:val="24"/>
          <w:szCs w:val="21"/>
          <w:lang w:val="zh-CN" w:eastAsia="zh-CN" w:bidi="ar-SA"/>
        </w:rPr>
        <w:fldChar w:fldCharType="end"/>
      </w:r>
      <w:r>
        <w:rPr>
          <w:rFonts w:hint="eastAsia" w:ascii="Times New Roman" w:hAnsi="Times New Roman" w:eastAsia="宋体" w:cs="宋体"/>
          <w:snapToGrid w:val="0"/>
          <w:color w:val="auto"/>
          <w:kern w:val="0"/>
          <w:sz w:val="24"/>
          <w:szCs w:val="21"/>
          <w:lang w:val="zh-CN" w:eastAsia="zh-CN" w:bidi="ar-SA"/>
        </w:rPr>
        <w:t>臭气控制</w:t>
      </w:r>
    </w:p>
    <w:p w14:paraId="6F370440">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抛泥区及弃土区位于项目区西北侧</w:t>
      </w:r>
      <w:r>
        <w:rPr>
          <w:rFonts w:hint="eastAsia" w:ascii="Times New Roman" w:hAnsi="Times New Roman" w:eastAsia="宋体" w:cs="宋体"/>
          <w:snapToGrid w:val="0"/>
          <w:color w:val="auto"/>
          <w:kern w:val="0"/>
          <w:sz w:val="24"/>
          <w:szCs w:val="21"/>
          <w:lang w:val="en-US" w:eastAsia="zh-CN" w:bidi="ar-SA"/>
        </w:rPr>
        <w:t>（抛泥区位于下风向，同时距本项目约160m，且抛泥区之前作为店集码头抛泥区选址，且抛泥区周边道路便利）</w:t>
      </w:r>
      <w:r>
        <w:rPr>
          <w:rFonts w:hint="eastAsia" w:ascii="Times New Roman" w:hAnsi="Times New Roman" w:eastAsia="宋体" w:cs="宋体"/>
          <w:snapToGrid w:val="0"/>
          <w:color w:val="auto"/>
          <w:kern w:val="0"/>
          <w:sz w:val="24"/>
          <w:szCs w:val="21"/>
          <w:lang w:val="zh-CN" w:eastAsia="zh-CN" w:bidi="ar-SA"/>
        </w:rPr>
        <w:t>，抛泥区及弃土区临时占地面积约为</w:t>
      </w:r>
      <w:r>
        <w:rPr>
          <w:rFonts w:ascii="Times New Roman" w:hAnsi="Times New Roman" w:eastAsia="宋体" w:cs="宋体"/>
          <w:snapToGrid w:val="0"/>
          <w:color w:val="auto"/>
          <w:kern w:val="0"/>
          <w:sz w:val="24"/>
          <w:szCs w:val="21"/>
          <w:lang w:val="zh-CN" w:eastAsia="zh-CN" w:bidi="ar-SA"/>
        </w:rPr>
        <w:t>2000</w:t>
      </w:r>
      <w:r>
        <w:rPr>
          <w:rFonts w:hint="eastAsia" w:ascii="Times New Roman" w:hAnsi="Times New Roman" w:eastAsia="宋体" w:cs="宋体"/>
          <w:snapToGrid w:val="0"/>
          <w:color w:val="auto"/>
          <w:kern w:val="0"/>
          <w:sz w:val="24"/>
          <w:szCs w:val="21"/>
          <w:lang w:val="zh-CN" w:eastAsia="zh-CN" w:bidi="ar-SA"/>
        </w:rPr>
        <w:t>m</w:t>
      </w:r>
      <w:r>
        <w:rPr>
          <w:rFonts w:hint="eastAsia" w:ascii="Times New Roman" w:hAnsi="Times New Roman" w:eastAsia="宋体" w:cs="宋体"/>
          <w:snapToGrid w:val="0"/>
          <w:color w:val="auto"/>
          <w:kern w:val="0"/>
          <w:sz w:val="24"/>
          <w:szCs w:val="21"/>
          <w:vertAlign w:val="superscript"/>
          <w:lang w:val="zh-CN" w:eastAsia="zh-CN" w:bidi="ar-SA"/>
        </w:rPr>
        <w:t>2</w:t>
      </w:r>
      <w:r>
        <w:rPr>
          <w:rFonts w:hint="eastAsia" w:ascii="Times New Roman" w:hAnsi="Times New Roman" w:eastAsia="宋体" w:cs="宋体"/>
          <w:snapToGrid w:val="0"/>
          <w:color w:val="auto"/>
          <w:kern w:val="0"/>
          <w:sz w:val="24"/>
          <w:szCs w:val="21"/>
          <w:lang w:val="zh-CN" w:eastAsia="zh-CN" w:bidi="ar-SA"/>
        </w:rPr>
        <w:t>，容积</w:t>
      </w:r>
      <w:r>
        <w:rPr>
          <w:rFonts w:ascii="Times New Roman" w:hAnsi="Times New Roman" w:eastAsia="宋体" w:cs="宋体"/>
          <w:snapToGrid w:val="0"/>
          <w:color w:val="auto"/>
          <w:kern w:val="0"/>
          <w:sz w:val="24"/>
          <w:szCs w:val="21"/>
          <w:lang w:val="zh-CN" w:eastAsia="zh-CN" w:bidi="ar-SA"/>
        </w:rPr>
        <w:t>5124</w:t>
      </w:r>
      <w:r>
        <w:rPr>
          <w:rFonts w:hint="eastAsia" w:ascii="Times New Roman" w:hAnsi="Times New Roman" w:eastAsia="宋体" w:cs="宋体"/>
          <w:snapToGrid w:val="0"/>
          <w:color w:val="auto"/>
          <w:kern w:val="0"/>
          <w:sz w:val="24"/>
          <w:szCs w:val="21"/>
          <w:lang w:val="zh-CN" w:eastAsia="zh-CN" w:bidi="ar-SA"/>
        </w:rPr>
        <w:t>m</w:t>
      </w:r>
      <w:r>
        <w:rPr>
          <w:rFonts w:hint="eastAsia" w:ascii="Times New Roman" w:hAnsi="Times New Roman" w:eastAsia="宋体" w:cs="宋体"/>
          <w:snapToGrid w:val="0"/>
          <w:color w:val="auto"/>
          <w:kern w:val="0"/>
          <w:sz w:val="24"/>
          <w:szCs w:val="21"/>
          <w:vertAlign w:val="superscript"/>
          <w:lang w:val="zh-CN" w:eastAsia="zh-CN" w:bidi="ar-SA"/>
        </w:rPr>
        <w:t>3</w:t>
      </w:r>
      <w:r>
        <w:rPr>
          <w:rFonts w:hint="eastAsia" w:ascii="Times New Roman" w:hAnsi="Times New Roman" w:eastAsia="宋体" w:cs="宋体"/>
          <w:snapToGrid w:val="0"/>
          <w:color w:val="auto"/>
          <w:kern w:val="0"/>
          <w:sz w:val="24"/>
          <w:szCs w:val="21"/>
          <w:lang w:val="zh-CN" w:eastAsia="zh-CN" w:bidi="ar-SA"/>
        </w:rPr>
        <w:t>，在疏浚底泥输送过程中，全程封闭，采用压力管道密闭输送，减少淤泥恶臭逸散。另外，在构建临时堆场时，可以考虑多组并行，尽量减少底泥与外界大气环境的接触面积和接触时间。在其中一格或者数格底泥堆置工作完成后，尽可能快地在堆置底泥顶部种植当地草本植物，减少底泥中残余的挥发性臭味外泄。</w:t>
      </w:r>
    </w:p>
    <w:p w14:paraId="0D26DC2C">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fldChar w:fldCharType="begin"/>
      </w:r>
      <w:r>
        <w:rPr>
          <w:rFonts w:hint="eastAsia" w:ascii="Times New Roman" w:hAnsi="Times New Roman" w:eastAsia="宋体" w:cs="宋体"/>
          <w:snapToGrid w:val="0"/>
          <w:color w:val="auto"/>
          <w:kern w:val="0"/>
          <w:sz w:val="24"/>
          <w:szCs w:val="21"/>
          <w:lang w:val="zh-CN" w:eastAsia="zh-CN" w:bidi="ar-SA"/>
        </w:rPr>
        <w:instrText xml:space="preserve"> = 6 \* GB3 </w:instrText>
      </w:r>
      <w:r>
        <w:rPr>
          <w:rFonts w:hint="eastAsia" w:ascii="Times New Roman" w:hAnsi="Times New Roman" w:eastAsia="宋体" w:cs="宋体"/>
          <w:snapToGrid w:val="0"/>
          <w:color w:val="auto"/>
          <w:kern w:val="0"/>
          <w:sz w:val="24"/>
          <w:szCs w:val="21"/>
          <w:lang w:val="zh-CN" w:eastAsia="zh-CN" w:bidi="ar-SA"/>
        </w:rPr>
        <w:fldChar w:fldCharType="separate"/>
      </w:r>
      <w:r>
        <w:rPr>
          <w:rFonts w:hint="eastAsia" w:ascii="Times New Roman" w:hAnsi="Times New Roman" w:eastAsia="宋体" w:cs="宋体"/>
          <w:snapToGrid w:val="0"/>
          <w:color w:val="auto"/>
          <w:kern w:val="0"/>
          <w:sz w:val="24"/>
          <w:szCs w:val="21"/>
          <w:lang w:val="zh-CN" w:eastAsia="zh-CN" w:bidi="ar-SA"/>
        </w:rPr>
        <w:t>⑥</w:t>
      </w:r>
      <w:r>
        <w:rPr>
          <w:rFonts w:hint="eastAsia" w:ascii="Times New Roman" w:hAnsi="Times New Roman" w:eastAsia="宋体" w:cs="宋体"/>
          <w:snapToGrid w:val="0"/>
          <w:color w:val="auto"/>
          <w:kern w:val="0"/>
          <w:sz w:val="24"/>
          <w:szCs w:val="21"/>
          <w:lang w:val="zh-CN" w:eastAsia="zh-CN" w:bidi="ar-SA"/>
        </w:rPr>
        <w:fldChar w:fldCharType="end"/>
      </w:r>
      <w:r>
        <w:rPr>
          <w:rFonts w:hint="eastAsia" w:ascii="Times New Roman" w:hAnsi="Times New Roman" w:eastAsia="宋体" w:cs="宋体"/>
          <w:snapToGrid w:val="0"/>
          <w:color w:val="auto"/>
          <w:kern w:val="0"/>
          <w:sz w:val="24"/>
          <w:szCs w:val="21"/>
          <w:lang w:val="zh-CN" w:eastAsia="zh-CN" w:bidi="ar-SA"/>
        </w:rPr>
        <w:t>堆场的二次污染措施</w:t>
      </w:r>
    </w:p>
    <w:p w14:paraId="1656C199">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fldChar w:fldCharType="begin"/>
      </w:r>
      <w:r>
        <w:rPr>
          <w:rFonts w:hint="eastAsia" w:ascii="Times New Roman" w:hAnsi="Times New Roman" w:eastAsia="宋体" w:cs="宋体"/>
          <w:snapToGrid w:val="0"/>
          <w:color w:val="auto"/>
          <w:kern w:val="0"/>
          <w:sz w:val="24"/>
          <w:szCs w:val="21"/>
          <w:lang w:val="zh-CN" w:eastAsia="zh-CN" w:bidi="ar-SA"/>
        </w:rPr>
        <w:instrText xml:space="preserve"> = 1 \* roman </w:instrText>
      </w:r>
      <w:r>
        <w:rPr>
          <w:rFonts w:hint="eastAsia" w:ascii="Times New Roman" w:hAnsi="Times New Roman" w:eastAsia="宋体" w:cs="宋体"/>
          <w:snapToGrid w:val="0"/>
          <w:color w:val="auto"/>
          <w:kern w:val="0"/>
          <w:sz w:val="24"/>
          <w:szCs w:val="21"/>
          <w:lang w:val="zh-CN" w:eastAsia="zh-CN" w:bidi="ar-SA"/>
        </w:rPr>
        <w:fldChar w:fldCharType="separate"/>
      </w:r>
      <w:r>
        <w:rPr>
          <w:rFonts w:hint="eastAsia" w:ascii="Times New Roman" w:hAnsi="Times New Roman" w:eastAsia="宋体" w:cs="宋体"/>
          <w:snapToGrid w:val="0"/>
          <w:color w:val="auto"/>
          <w:kern w:val="0"/>
          <w:sz w:val="24"/>
          <w:szCs w:val="21"/>
          <w:lang w:val="zh-CN" w:eastAsia="zh-CN" w:bidi="ar-SA"/>
        </w:rPr>
        <w:t>i</w:t>
      </w:r>
      <w:r>
        <w:rPr>
          <w:rFonts w:hint="eastAsia" w:ascii="Times New Roman" w:hAnsi="Times New Roman" w:eastAsia="宋体" w:cs="宋体"/>
          <w:snapToGrid w:val="0"/>
          <w:color w:val="auto"/>
          <w:kern w:val="0"/>
          <w:sz w:val="24"/>
          <w:szCs w:val="21"/>
          <w:lang w:val="zh-CN" w:eastAsia="zh-CN" w:bidi="ar-SA"/>
        </w:rPr>
        <w:fldChar w:fldCharType="end"/>
      </w:r>
      <w:r>
        <w:rPr>
          <w:rFonts w:hint="eastAsia" w:ascii="Times New Roman" w:hAnsi="Times New Roman" w:eastAsia="宋体" w:cs="宋体"/>
          <w:snapToGrid w:val="0"/>
          <w:color w:val="auto"/>
          <w:kern w:val="0"/>
          <w:sz w:val="24"/>
          <w:szCs w:val="21"/>
          <w:lang w:val="zh-CN" w:eastAsia="zh-CN" w:bidi="ar-SA"/>
        </w:rPr>
        <w:t>、堆场围埝防侧渗：</w:t>
      </w:r>
    </w:p>
    <w:p w14:paraId="728CB686">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围埝防渗可参照堤坝防渗的做法。目前常用的防渗方法包括构筑黏土夹心墙、铺设土工膜等。</w:t>
      </w:r>
    </w:p>
    <w:p w14:paraId="404E32C6">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fldChar w:fldCharType="begin"/>
      </w:r>
      <w:r>
        <w:rPr>
          <w:rFonts w:hint="eastAsia" w:ascii="Times New Roman" w:hAnsi="Times New Roman" w:eastAsia="宋体" w:cs="宋体"/>
          <w:snapToGrid w:val="0"/>
          <w:color w:val="auto"/>
          <w:kern w:val="0"/>
          <w:sz w:val="24"/>
          <w:szCs w:val="21"/>
          <w:lang w:val="zh-CN" w:eastAsia="zh-CN" w:bidi="ar-SA"/>
        </w:rPr>
        <w:instrText xml:space="preserve"> = 2 \* roman </w:instrText>
      </w:r>
      <w:r>
        <w:rPr>
          <w:rFonts w:hint="eastAsia" w:ascii="Times New Roman" w:hAnsi="Times New Roman" w:eastAsia="宋体" w:cs="宋体"/>
          <w:snapToGrid w:val="0"/>
          <w:color w:val="auto"/>
          <w:kern w:val="0"/>
          <w:sz w:val="24"/>
          <w:szCs w:val="21"/>
          <w:lang w:val="zh-CN" w:eastAsia="zh-CN" w:bidi="ar-SA"/>
        </w:rPr>
        <w:fldChar w:fldCharType="separate"/>
      </w:r>
      <w:r>
        <w:rPr>
          <w:rFonts w:hint="eastAsia" w:ascii="Times New Roman" w:hAnsi="Times New Roman" w:eastAsia="宋体" w:cs="宋体"/>
          <w:snapToGrid w:val="0"/>
          <w:color w:val="auto"/>
          <w:kern w:val="0"/>
          <w:sz w:val="24"/>
          <w:szCs w:val="21"/>
          <w:lang w:val="zh-CN" w:eastAsia="zh-CN" w:bidi="ar-SA"/>
        </w:rPr>
        <w:t>ii</w:t>
      </w:r>
      <w:r>
        <w:rPr>
          <w:rFonts w:hint="eastAsia" w:ascii="Times New Roman" w:hAnsi="Times New Roman" w:eastAsia="宋体" w:cs="宋体"/>
          <w:snapToGrid w:val="0"/>
          <w:color w:val="auto"/>
          <w:kern w:val="0"/>
          <w:sz w:val="24"/>
          <w:szCs w:val="21"/>
          <w:lang w:val="zh-CN" w:eastAsia="zh-CN" w:bidi="ar-SA"/>
        </w:rPr>
        <w:fldChar w:fldCharType="end"/>
      </w:r>
      <w:r>
        <w:rPr>
          <w:rFonts w:hint="eastAsia" w:ascii="Times New Roman" w:hAnsi="Times New Roman" w:eastAsia="宋体" w:cs="宋体"/>
          <w:snapToGrid w:val="0"/>
          <w:color w:val="auto"/>
          <w:kern w:val="0"/>
          <w:sz w:val="24"/>
          <w:szCs w:val="21"/>
          <w:lang w:val="zh-CN" w:eastAsia="zh-CN" w:bidi="ar-SA"/>
        </w:rPr>
        <w:t>、堆场底部防渗：</w:t>
      </w:r>
    </w:p>
    <w:p w14:paraId="23F10C6E">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建设在透水地基上的污染底泥堆场必须有效防止底部渗漏。堆场底部防渗可参照《</w:t>
      </w:r>
      <w:r>
        <w:rPr>
          <w:rFonts w:hint="eastAsia" w:cs="宋体"/>
          <w:snapToGrid w:val="0"/>
          <w:color w:val="auto"/>
          <w:kern w:val="0"/>
          <w:sz w:val="24"/>
          <w:szCs w:val="21"/>
          <w:lang w:val="zh-CN" w:eastAsia="zh-CN" w:bidi="ar-SA"/>
        </w:rPr>
        <w:t>生活垃圾卫生填埋场防渗系统工程技术标准</w:t>
      </w:r>
      <w:r>
        <w:rPr>
          <w:rFonts w:hint="eastAsia" w:ascii="Times New Roman" w:hAnsi="Times New Roman" w:eastAsia="宋体" w:cs="宋体"/>
          <w:snapToGrid w:val="0"/>
          <w:color w:val="auto"/>
          <w:kern w:val="0"/>
          <w:sz w:val="24"/>
          <w:szCs w:val="21"/>
          <w:lang w:val="zh-CN" w:eastAsia="zh-CN" w:bidi="ar-SA"/>
        </w:rPr>
        <w:t>》（</w:t>
      </w:r>
      <w:r>
        <w:rPr>
          <w:rFonts w:hint="eastAsia" w:cs="宋体"/>
          <w:snapToGrid w:val="0"/>
          <w:color w:val="auto"/>
          <w:kern w:val="0"/>
          <w:sz w:val="24"/>
          <w:szCs w:val="21"/>
          <w:lang w:val="zh-CN" w:eastAsia="zh-CN" w:bidi="ar-SA"/>
        </w:rPr>
        <w:t>GB/T 51403-2021</w:t>
      </w:r>
      <w:r>
        <w:rPr>
          <w:rFonts w:hint="eastAsia" w:ascii="Times New Roman" w:hAnsi="Times New Roman" w:eastAsia="宋体" w:cs="宋体"/>
          <w:snapToGrid w:val="0"/>
          <w:color w:val="auto"/>
          <w:kern w:val="0"/>
          <w:sz w:val="24"/>
          <w:szCs w:val="21"/>
          <w:lang w:val="zh-CN" w:eastAsia="zh-CN" w:bidi="ar-SA"/>
        </w:rPr>
        <w:t>）。堆场底部防渗措施必须具有经济性和实用性，因地制宜利用当地天然材料防渗应作为首选方案。</w:t>
      </w:r>
    </w:p>
    <w:p w14:paraId="1D7071C9">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fldChar w:fldCharType="begin"/>
      </w:r>
      <w:r>
        <w:rPr>
          <w:rFonts w:hint="eastAsia" w:ascii="Times New Roman" w:hAnsi="Times New Roman" w:eastAsia="宋体" w:cs="宋体"/>
          <w:snapToGrid w:val="0"/>
          <w:color w:val="auto"/>
          <w:kern w:val="0"/>
          <w:sz w:val="24"/>
          <w:szCs w:val="21"/>
          <w:lang w:val="zh-CN" w:eastAsia="zh-CN" w:bidi="ar-SA"/>
        </w:rPr>
        <w:instrText xml:space="preserve"> = 3 \* roman </w:instrText>
      </w:r>
      <w:r>
        <w:rPr>
          <w:rFonts w:hint="eastAsia" w:ascii="Times New Roman" w:hAnsi="Times New Roman" w:eastAsia="宋体" w:cs="宋体"/>
          <w:snapToGrid w:val="0"/>
          <w:color w:val="auto"/>
          <w:kern w:val="0"/>
          <w:sz w:val="24"/>
          <w:szCs w:val="21"/>
          <w:lang w:val="zh-CN" w:eastAsia="zh-CN" w:bidi="ar-SA"/>
        </w:rPr>
        <w:fldChar w:fldCharType="separate"/>
      </w:r>
      <w:r>
        <w:rPr>
          <w:rFonts w:hint="eastAsia" w:ascii="Times New Roman" w:hAnsi="Times New Roman" w:eastAsia="宋体" w:cs="宋体"/>
          <w:snapToGrid w:val="0"/>
          <w:color w:val="auto"/>
          <w:kern w:val="0"/>
          <w:sz w:val="24"/>
          <w:szCs w:val="21"/>
          <w:lang w:val="zh-CN" w:eastAsia="zh-CN" w:bidi="ar-SA"/>
        </w:rPr>
        <w:t>iii</w:t>
      </w:r>
      <w:r>
        <w:rPr>
          <w:rFonts w:hint="eastAsia" w:ascii="Times New Roman" w:hAnsi="Times New Roman" w:eastAsia="宋体" w:cs="宋体"/>
          <w:snapToGrid w:val="0"/>
          <w:color w:val="auto"/>
          <w:kern w:val="0"/>
          <w:sz w:val="24"/>
          <w:szCs w:val="21"/>
          <w:lang w:val="zh-CN" w:eastAsia="zh-CN" w:bidi="ar-SA"/>
        </w:rPr>
        <w:fldChar w:fldCharType="end"/>
      </w:r>
      <w:r>
        <w:rPr>
          <w:rFonts w:hint="eastAsia" w:ascii="Times New Roman" w:hAnsi="Times New Roman" w:eastAsia="宋体" w:cs="宋体"/>
          <w:snapToGrid w:val="0"/>
          <w:color w:val="auto"/>
          <w:kern w:val="0"/>
          <w:sz w:val="24"/>
          <w:szCs w:val="21"/>
          <w:lang w:val="zh-CN" w:eastAsia="zh-CN" w:bidi="ar-SA"/>
        </w:rPr>
        <w:t>、堆场顶部防冲刷：</w:t>
      </w:r>
    </w:p>
    <w:p w14:paraId="5460B2F0">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堆场顶部防冲刷措施主要有：生态防冲刷；植树种草，覆盖地面；混凝土喷射机防冲刷。</w:t>
      </w:r>
    </w:p>
    <w:p w14:paraId="20077E7A">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（5）对照《湖泊河流环保疏浚工程技术指南》（环办〔2014〕111号附件3），本次评价对水下疏浚及底泥处置提出以下管理措施：</w:t>
      </w:r>
    </w:p>
    <w:p w14:paraId="5A64AF8F">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fldChar w:fldCharType="begin"/>
      </w:r>
      <w:r>
        <w:rPr>
          <w:rFonts w:hint="eastAsia" w:ascii="Times New Roman" w:hAnsi="Times New Roman" w:eastAsia="宋体" w:cs="宋体"/>
          <w:snapToGrid w:val="0"/>
          <w:color w:val="auto"/>
          <w:kern w:val="0"/>
          <w:sz w:val="24"/>
          <w:szCs w:val="21"/>
          <w:lang w:val="zh-CN" w:eastAsia="zh-CN" w:bidi="ar-SA"/>
        </w:rPr>
        <w:instrText xml:space="preserve"> = 1 \* GB3 </w:instrText>
      </w:r>
      <w:r>
        <w:rPr>
          <w:rFonts w:hint="eastAsia" w:ascii="Times New Roman" w:hAnsi="Times New Roman" w:eastAsia="宋体" w:cs="宋体"/>
          <w:snapToGrid w:val="0"/>
          <w:color w:val="auto"/>
          <w:kern w:val="0"/>
          <w:sz w:val="24"/>
          <w:szCs w:val="21"/>
          <w:lang w:val="zh-CN" w:eastAsia="zh-CN" w:bidi="ar-SA"/>
        </w:rPr>
        <w:fldChar w:fldCharType="separate"/>
      </w:r>
      <w:r>
        <w:rPr>
          <w:rFonts w:hint="eastAsia" w:ascii="Times New Roman" w:hAnsi="Times New Roman" w:eastAsia="宋体" w:cs="宋体"/>
          <w:snapToGrid w:val="0"/>
          <w:color w:val="auto"/>
          <w:kern w:val="0"/>
          <w:sz w:val="24"/>
          <w:szCs w:val="21"/>
          <w:lang w:val="zh-CN" w:eastAsia="zh-CN" w:bidi="ar-SA"/>
        </w:rPr>
        <w:t>①</w:t>
      </w:r>
      <w:r>
        <w:rPr>
          <w:rFonts w:hint="eastAsia" w:ascii="Times New Roman" w:hAnsi="Times New Roman" w:eastAsia="宋体" w:cs="宋体"/>
          <w:snapToGrid w:val="0"/>
          <w:color w:val="auto"/>
          <w:kern w:val="0"/>
          <w:sz w:val="24"/>
          <w:szCs w:val="21"/>
          <w:lang w:val="zh-CN" w:eastAsia="zh-CN" w:bidi="ar-SA"/>
        </w:rPr>
        <w:fldChar w:fldCharType="end"/>
      </w:r>
      <w:r>
        <w:rPr>
          <w:rFonts w:hint="eastAsia" w:ascii="Times New Roman" w:hAnsi="Times New Roman" w:eastAsia="宋体" w:cs="宋体"/>
          <w:snapToGrid w:val="0"/>
          <w:color w:val="auto"/>
          <w:kern w:val="0"/>
          <w:sz w:val="24"/>
          <w:szCs w:val="21"/>
          <w:lang w:val="zh-CN" w:eastAsia="zh-CN" w:bidi="ar-SA"/>
        </w:rPr>
        <w:t>制定余水排放标准，控制排放水质</w:t>
      </w:r>
    </w:p>
    <w:p w14:paraId="3C52F9CA">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在堆场设计及施工操作中采用有利于污泥在堆场自然沉降的措施，在自然沉降不能达标时，采用投药沉淀方法，保证排放余水达到《污水综合排放标准》（GB8978-1996）中规定的一级排放标准要求。</w:t>
      </w:r>
    </w:p>
    <w:p w14:paraId="0134302C">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fldChar w:fldCharType="begin"/>
      </w:r>
      <w:r>
        <w:rPr>
          <w:rFonts w:hint="eastAsia" w:ascii="Times New Roman" w:hAnsi="Times New Roman" w:eastAsia="宋体" w:cs="宋体"/>
          <w:snapToGrid w:val="0"/>
          <w:color w:val="auto"/>
          <w:kern w:val="0"/>
          <w:sz w:val="24"/>
          <w:szCs w:val="21"/>
          <w:lang w:val="zh-CN" w:eastAsia="zh-CN" w:bidi="ar-SA"/>
        </w:rPr>
        <w:instrText xml:space="preserve"> = 2 \* GB3 </w:instrText>
      </w:r>
      <w:r>
        <w:rPr>
          <w:rFonts w:hint="eastAsia" w:ascii="Times New Roman" w:hAnsi="Times New Roman" w:eastAsia="宋体" w:cs="宋体"/>
          <w:snapToGrid w:val="0"/>
          <w:color w:val="auto"/>
          <w:kern w:val="0"/>
          <w:sz w:val="24"/>
          <w:szCs w:val="21"/>
          <w:lang w:val="zh-CN" w:eastAsia="zh-CN" w:bidi="ar-SA"/>
        </w:rPr>
        <w:fldChar w:fldCharType="separate"/>
      </w:r>
      <w:r>
        <w:rPr>
          <w:rFonts w:hint="eastAsia" w:ascii="Times New Roman" w:hAnsi="Times New Roman" w:eastAsia="宋体" w:cs="宋体"/>
          <w:snapToGrid w:val="0"/>
          <w:color w:val="auto"/>
          <w:kern w:val="0"/>
          <w:sz w:val="24"/>
          <w:szCs w:val="21"/>
          <w:lang w:val="zh-CN" w:eastAsia="zh-CN" w:bidi="ar-SA"/>
        </w:rPr>
        <w:t>②</w:t>
      </w:r>
      <w:r>
        <w:rPr>
          <w:rFonts w:hint="eastAsia" w:ascii="Times New Roman" w:hAnsi="Times New Roman" w:eastAsia="宋体" w:cs="宋体"/>
          <w:snapToGrid w:val="0"/>
          <w:color w:val="auto"/>
          <w:kern w:val="0"/>
          <w:sz w:val="24"/>
          <w:szCs w:val="21"/>
          <w:lang w:val="zh-CN" w:eastAsia="zh-CN" w:bidi="ar-SA"/>
        </w:rPr>
        <w:fldChar w:fldCharType="end"/>
      </w:r>
      <w:r>
        <w:rPr>
          <w:rFonts w:hint="eastAsia" w:ascii="Times New Roman" w:hAnsi="Times New Roman" w:eastAsia="宋体" w:cs="宋体"/>
          <w:snapToGrid w:val="0"/>
          <w:color w:val="auto"/>
          <w:kern w:val="0"/>
          <w:sz w:val="24"/>
          <w:szCs w:val="21"/>
          <w:lang w:val="zh-CN" w:eastAsia="zh-CN" w:bidi="ar-SA"/>
        </w:rPr>
        <w:t>施工中加强人员环保意识和责任教育</w:t>
      </w:r>
    </w:p>
    <w:p w14:paraId="17C06043">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在事故情况下，可能因泥浆输送管道泄漏、船只漏油等造成对水体和管道所经陆地的污染。为了避免此类事故的发生，必须实施严格的施工管理，加强对操作人员的技术培训，强化员工的环保意识，落实岗位责任制。</w:t>
      </w:r>
    </w:p>
    <w:p w14:paraId="4A355513">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fldChar w:fldCharType="begin"/>
      </w:r>
      <w:r>
        <w:rPr>
          <w:rFonts w:hint="eastAsia" w:ascii="Times New Roman" w:hAnsi="Times New Roman" w:eastAsia="宋体" w:cs="宋体"/>
          <w:snapToGrid w:val="0"/>
          <w:color w:val="auto"/>
          <w:kern w:val="0"/>
          <w:sz w:val="24"/>
          <w:szCs w:val="21"/>
          <w:lang w:val="zh-CN" w:eastAsia="zh-CN" w:bidi="ar-SA"/>
        </w:rPr>
        <w:instrText xml:space="preserve"> = 3 \* GB3 </w:instrText>
      </w:r>
      <w:r>
        <w:rPr>
          <w:rFonts w:hint="eastAsia" w:ascii="Times New Roman" w:hAnsi="Times New Roman" w:eastAsia="宋体" w:cs="宋体"/>
          <w:snapToGrid w:val="0"/>
          <w:color w:val="auto"/>
          <w:kern w:val="0"/>
          <w:sz w:val="24"/>
          <w:szCs w:val="21"/>
          <w:lang w:val="zh-CN" w:eastAsia="zh-CN" w:bidi="ar-SA"/>
        </w:rPr>
        <w:fldChar w:fldCharType="separate"/>
      </w:r>
      <w:r>
        <w:rPr>
          <w:rFonts w:hint="eastAsia" w:ascii="Times New Roman" w:hAnsi="Times New Roman" w:eastAsia="宋体" w:cs="宋体"/>
          <w:snapToGrid w:val="0"/>
          <w:color w:val="auto"/>
          <w:kern w:val="0"/>
          <w:sz w:val="24"/>
          <w:szCs w:val="21"/>
          <w:lang w:val="zh-CN" w:eastAsia="zh-CN" w:bidi="ar-SA"/>
        </w:rPr>
        <w:t>③</w:t>
      </w:r>
      <w:r>
        <w:rPr>
          <w:rFonts w:hint="eastAsia" w:ascii="Times New Roman" w:hAnsi="Times New Roman" w:eastAsia="宋体" w:cs="宋体"/>
          <w:snapToGrid w:val="0"/>
          <w:color w:val="auto"/>
          <w:kern w:val="0"/>
          <w:sz w:val="24"/>
          <w:szCs w:val="21"/>
          <w:lang w:val="zh-CN" w:eastAsia="zh-CN" w:bidi="ar-SA"/>
        </w:rPr>
        <w:fldChar w:fldCharType="end"/>
      </w:r>
      <w:r>
        <w:rPr>
          <w:rFonts w:hint="eastAsia" w:ascii="Times New Roman" w:hAnsi="Times New Roman" w:eastAsia="宋体" w:cs="宋体"/>
          <w:snapToGrid w:val="0"/>
          <w:color w:val="auto"/>
          <w:kern w:val="0"/>
          <w:sz w:val="24"/>
          <w:szCs w:val="21"/>
          <w:lang w:val="zh-CN" w:eastAsia="zh-CN" w:bidi="ar-SA"/>
        </w:rPr>
        <w:t>加强污染底泥利用管理</w:t>
      </w:r>
    </w:p>
    <w:p w14:paraId="5A132C5F">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在污染底泥综合利用的过程中，应根据利用途径的特点注意将污泥覆盖封闭或使污泥中的污染物分解去除，避免污染物的扩散。</w:t>
      </w:r>
    </w:p>
    <w:p w14:paraId="683A6C32">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6.1.5</w:t>
      </w:r>
      <w:r>
        <w:rPr>
          <w:rFonts w:ascii="Times New Roman" w:hAnsi="Times New Roman" w:eastAsia="黑体" w:cs="Times New Roman"/>
          <w:bCs/>
          <w:color w:val="auto"/>
          <w:kern w:val="2"/>
          <w:sz w:val="28"/>
          <w:szCs w:val="32"/>
          <w:lang w:val="en-US" w:eastAsia="zh-CN" w:bidi="ar-SA"/>
        </w:rPr>
        <w:t>施工期地下水污染防治措施</w:t>
      </w:r>
    </w:p>
    <w:p w14:paraId="5B2E083C">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本项目施工期对地下水水质的影响主要是港池及基坑开挖、抛泥区底泥余水对地下水的影响。</w:t>
      </w:r>
    </w:p>
    <w:p w14:paraId="07598EA4">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w:t>
      </w:r>
      <w:r>
        <w:rPr>
          <w:rFonts w:hint="eastAsia" w:ascii="Times New Roman" w:hAnsi="Times New Roman" w:eastAsia="宋体" w:cs="宋体"/>
          <w:snapToGrid w:val="0"/>
          <w:color w:val="auto"/>
          <w:kern w:val="0"/>
          <w:sz w:val="24"/>
          <w:szCs w:val="21"/>
          <w:lang w:val="en-US" w:eastAsia="zh-CN" w:bidi="ar-SA"/>
        </w:rPr>
        <w:t>1</w:t>
      </w:r>
      <w:r>
        <w:rPr>
          <w:rFonts w:hint="eastAsia" w:ascii="Times New Roman" w:hAnsi="Times New Roman" w:eastAsia="宋体" w:cs="宋体"/>
          <w:snapToGrid w:val="0"/>
          <w:color w:val="auto"/>
          <w:kern w:val="0"/>
          <w:sz w:val="24"/>
          <w:szCs w:val="21"/>
          <w:lang w:val="zh-CN" w:eastAsia="zh-CN" w:bidi="ar-SA"/>
        </w:rPr>
        <w:t>）</w:t>
      </w:r>
      <w:r>
        <w:rPr>
          <w:rFonts w:ascii="Times New Roman" w:hAnsi="Times New Roman" w:eastAsia="宋体" w:cs="宋体"/>
          <w:snapToGrid w:val="0"/>
          <w:color w:val="auto"/>
          <w:kern w:val="0"/>
          <w:sz w:val="24"/>
          <w:szCs w:val="21"/>
          <w:lang w:val="zh-CN" w:eastAsia="zh-CN" w:bidi="ar-SA"/>
        </w:rPr>
        <w:t>港池和基坑开挖对地下水保护措施</w:t>
      </w:r>
    </w:p>
    <w:p w14:paraId="243B46CE">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根据《中华人民共和国水法》有关于地下水的相关规定，“开采矿藏或者建设地下工程，因疏干排水导致地下水水位下降、水源枯竭或者地面塌陷，采矿单位或者建设单位应当采取补救措施”，“兴建地下工程设施或者进行地下勘探、采矿等活动，应当采取防护性措施，防止地下水污染”。本项目采取下列措施，防治地下水水污染，保护和改善地下水环境。</w:t>
      </w:r>
    </w:p>
    <w:p w14:paraId="5E7D68FE">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①</w:t>
      </w:r>
      <w:r>
        <w:rPr>
          <w:rFonts w:ascii="Times New Roman" w:hAnsi="Times New Roman" w:eastAsia="宋体" w:cs="宋体"/>
          <w:snapToGrid w:val="0"/>
          <w:color w:val="auto"/>
          <w:kern w:val="0"/>
          <w:sz w:val="24"/>
          <w:szCs w:val="21"/>
          <w:lang w:val="zh-CN" w:eastAsia="zh-CN" w:bidi="ar-SA"/>
        </w:rPr>
        <w:t>在港池和基坑开挖时保证施工机械的清洁，并严格文明、规范施工，避免油脂、油污等跑冒滴漏进而污染地下水；</w:t>
      </w:r>
    </w:p>
    <w:p w14:paraId="47EBA304">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②</w:t>
      </w:r>
      <w:r>
        <w:rPr>
          <w:rFonts w:ascii="Times New Roman" w:hAnsi="Times New Roman" w:eastAsia="宋体" w:cs="宋体"/>
          <w:snapToGrid w:val="0"/>
          <w:color w:val="auto"/>
          <w:kern w:val="0"/>
          <w:sz w:val="24"/>
          <w:szCs w:val="21"/>
          <w:lang w:val="zh-CN" w:eastAsia="zh-CN" w:bidi="ar-SA"/>
        </w:rPr>
        <w:t>做好施工、建筑等材料的存放、使用管理，特别是在开挖基坑四周设置截水沟，避免受到雨水、洪水的冲刷而进入地下水环境；</w:t>
      </w:r>
    </w:p>
    <w:p w14:paraId="05190771">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③</w:t>
      </w:r>
      <w:r>
        <w:rPr>
          <w:rFonts w:ascii="Times New Roman" w:hAnsi="Times New Roman" w:eastAsia="宋体" w:cs="宋体"/>
          <w:snapToGrid w:val="0"/>
          <w:color w:val="auto"/>
          <w:kern w:val="0"/>
          <w:sz w:val="24"/>
          <w:szCs w:val="21"/>
          <w:lang w:val="zh-CN" w:eastAsia="zh-CN" w:bidi="ar-SA"/>
        </w:rPr>
        <w:t>施工期产生的生活垃圾应集中管理，统一处置，以免废液渗入地下污染水质；</w:t>
      </w:r>
    </w:p>
    <w:p w14:paraId="43C9AF39">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④</w:t>
      </w:r>
      <w:r>
        <w:rPr>
          <w:rFonts w:ascii="Times New Roman" w:hAnsi="Times New Roman" w:eastAsia="宋体" w:cs="宋体"/>
          <w:snapToGrid w:val="0"/>
          <w:color w:val="auto"/>
          <w:kern w:val="0"/>
          <w:sz w:val="24"/>
          <w:szCs w:val="21"/>
          <w:lang w:val="zh-CN" w:eastAsia="zh-CN" w:bidi="ar-SA"/>
        </w:rPr>
        <w:t>由于项目区周边地下水层较浅，施工机械冲洗场地及隔油池需采取防渗漏措施，确保不污染地下水；</w:t>
      </w:r>
    </w:p>
    <w:p w14:paraId="6261100B">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⑤</w:t>
      </w:r>
      <w:r>
        <w:rPr>
          <w:rFonts w:ascii="Times New Roman" w:hAnsi="Times New Roman" w:eastAsia="宋体" w:cs="宋体"/>
          <w:snapToGrid w:val="0"/>
          <w:color w:val="auto"/>
          <w:kern w:val="0"/>
          <w:sz w:val="24"/>
          <w:szCs w:val="21"/>
          <w:lang w:val="zh-CN" w:eastAsia="zh-CN" w:bidi="ar-SA"/>
        </w:rPr>
        <w:t>建议采用坑内明排法疏干同时尽快施工，以便封堵地下水来源。</w:t>
      </w:r>
    </w:p>
    <w:p w14:paraId="0DE0D90D">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w:t>
      </w:r>
      <w:r>
        <w:rPr>
          <w:rFonts w:hint="eastAsia" w:ascii="Times New Roman" w:hAnsi="Times New Roman" w:eastAsia="宋体" w:cs="宋体"/>
          <w:snapToGrid w:val="0"/>
          <w:color w:val="auto"/>
          <w:kern w:val="0"/>
          <w:sz w:val="24"/>
          <w:szCs w:val="21"/>
          <w:lang w:val="en-US" w:eastAsia="zh-CN" w:bidi="ar-SA"/>
        </w:rPr>
        <w:t>2</w:t>
      </w:r>
      <w:r>
        <w:rPr>
          <w:rFonts w:hint="eastAsia" w:ascii="Times New Roman" w:hAnsi="Times New Roman" w:eastAsia="宋体" w:cs="宋体"/>
          <w:snapToGrid w:val="0"/>
          <w:color w:val="auto"/>
          <w:kern w:val="0"/>
          <w:sz w:val="24"/>
          <w:szCs w:val="21"/>
          <w:lang w:val="zh-CN" w:eastAsia="zh-CN" w:bidi="ar-SA"/>
        </w:rPr>
        <w:t>）</w:t>
      </w:r>
      <w:r>
        <w:rPr>
          <w:rFonts w:ascii="Times New Roman" w:hAnsi="Times New Roman" w:eastAsia="宋体" w:cs="宋体"/>
          <w:snapToGrid w:val="0"/>
          <w:color w:val="auto"/>
          <w:kern w:val="0"/>
          <w:sz w:val="24"/>
          <w:szCs w:val="21"/>
          <w:lang w:val="zh-CN" w:eastAsia="zh-CN" w:bidi="ar-SA"/>
        </w:rPr>
        <w:t>抛泥区地下水保护措施</w:t>
      </w:r>
    </w:p>
    <w:p w14:paraId="646644F0">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 xml:space="preserve">根据本项目底泥环境现状监测评价结果，底泥重金属污染物含量均小于《土壤环境质量 </w:t>
      </w:r>
      <w:r>
        <w:rPr>
          <w:rFonts w:hint="eastAsia" w:ascii="Times New Roman" w:hAnsi="Times New Roman" w:eastAsia="宋体" w:cs="宋体"/>
          <w:snapToGrid w:val="0"/>
          <w:color w:val="auto"/>
          <w:kern w:val="0"/>
          <w:sz w:val="24"/>
          <w:szCs w:val="21"/>
          <w:lang w:val="zh-CN" w:eastAsia="zh-CN" w:bidi="ar-SA"/>
        </w:rPr>
        <w:t>农</w:t>
      </w:r>
      <w:r>
        <w:rPr>
          <w:rFonts w:ascii="Times New Roman" w:hAnsi="Times New Roman" w:eastAsia="宋体" w:cs="宋体"/>
          <w:snapToGrid w:val="0"/>
          <w:color w:val="auto"/>
          <w:kern w:val="0"/>
          <w:sz w:val="24"/>
          <w:szCs w:val="21"/>
          <w:lang w:val="zh-CN" w:eastAsia="zh-CN" w:bidi="ar-SA"/>
        </w:rPr>
        <w:t>用地土壤污染风险管控标准（试行）》(GB15618-2018)</w:t>
      </w:r>
      <w:r>
        <w:rPr>
          <w:rFonts w:hint="eastAsia" w:ascii="Times New Roman" w:hAnsi="Times New Roman" w:eastAsia="宋体" w:cs="宋体"/>
          <w:snapToGrid w:val="0"/>
          <w:color w:val="auto"/>
          <w:kern w:val="0"/>
          <w:sz w:val="24"/>
          <w:szCs w:val="21"/>
          <w:lang w:val="zh-CN" w:eastAsia="zh-CN" w:bidi="ar-SA"/>
        </w:rPr>
        <w:t>风</w:t>
      </w:r>
      <w:r>
        <w:rPr>
          <w:rFonts w:ascii="Times New Roman" w:hAnsi="Times New Roman" w:eastAsia="宋体" w:cs="宋体"/>
          <w:snapToGrid w:val="0"/>
          <w:color w:val="auto"/>
          <w:kern w:val="0"/>
          <w:sz w:val="24"/>
          <w:szCs w:val="21"/>
          <w:lang w:val="zh-CN" w:eastAsia="zh-CN" w:bidi="ar-SA"/>
        </w:rPr>
        <w:t>险筛选值标准，抛泥区底泥的重金属不会对地下水造成大的影响。</w:t>
      </w:r>
    </w:p>
    <w:p w14:paraId="69A9C6EB">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根据工可研上有关地下水的资料：作业场地经平整、碾压、夯实处理后防渗性能尚好，区域渗透系数较小，可防止底泥中污染物渗入地下水。为继续减少对地下水的影响，还应采取以下措施：</w:t>
      </w:r>
    </w:p>
    <w:p w14:paraId="350A1FEB">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①</w:t>
      </w:r>
      <w:r>
        <w:rPr>
          <w:rFonts w:ascii="Times New Roman" w:hAnsi="Times New Roman" w:eastAsia="宋体" w:cs="宋体"/>
          <w:snapToGrid w:val="0"/>
          <w:color w:val="auto"/>
          <w:kern w:val="0"/>
          <w:sz w:val="24"/>
          <w:szCs w:val="21"/>
          <w:lang w:val="zh-CN" w:eastAsia="zh-CN" w:bidi="ar-SA"/>
        </w:rPr>
        <w:t>对围堰的设计要求</w:t>
      </w:r>
    </w:p>
    <w:p w14:paraId="1497A309">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围堰顶高程的确定应考虑设计吹填标高、预留沉量、安全超高、沉淀工作水位等参数，一般高出水平面1m。抛泥区设置独立的洪雨水导排系统，实现雨污分流，减少底泥余水的产生，抛泥区截洪沟和排水边沟截除场区周围汇水。</w:t>
      </w:r>
    </w:p>
    <w:p w14:paraId="4289CF35">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②</w:t>
      </w:r>
      <w:r>
        <w:rPr>
          <w:rFonts w:ascii="Times New Roman" w:hAnsi="Times New Roman" w:eastAsia="宋体" w:cs="宋体"/>
          <w:snapToGrid w:val="0"/>
          <w:color w:val="auto"/>
          <w:kern w:val="0"/>
          <w:sz w:val="24"/>
          <w:szCs w:val="21"/>
          <w:lang w:val="zh-CN" w:eastAsia="zh-CN" w:bidi="ar-SA"/>
        </w:rPr>
        <w:t>对抛泥区沉砂池水池内部四周边墙、隔墙1米高范围采用防渗处理。</w:t>
      </w:r>
    </w:p>
    <w:p w14:paraId="55F4CB3C">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6.1.6</w:t>
      </w:r>
      <w:r>
        <w:rPr>
          <w:rFonts w:ascii="Times New Roman" w:hAnsi="Times New Roman" w:eastAsia="黑体" w:cs="Times New Roman"/>
          <w:bCs/>
          <w:color w:val="auto"/>
          <w:kern w:val="2"/>
          <w:sz w:val="28"/>
          <w:szCs w:val="32"/>
          <w:lang w:val="en-US" w:eastAsia="zh-CN" w:bidi="ar-SA"/>
        </w:rPr>
        <w:t>施工期生态</w:t>
      </w:r>
      <w:r>
        <w:rPr>
          <w:rFonts w:hint="eastAsia" w:ascii="Times New Roman" w:hAnsi="Times New Roman" w:eastAsia="黑体" w:cs="Times New Roman"/>
          <w:bCs/>
          <w:color w:val="auto"/>
          <w:kern w:val="2"/>
          <w:sz w:val="28"/>
          <w:szCs w:val="32"/>
          <w:lang w:val="en-US" w:eastAsia="zh-CN" w:bidi="ar-SA"/>
        </w:rPr>
        <w:t>环境影响减缓</w:t>
      </w:r>
      <w:r>
        <w:rPr>
          <w:rFonts w:ascii="Times New Roman" w:hAnsi="Times New Roman" w:eastAsia="黑体" w:cs="Times New Roman"/>
          <w:bCs/>
          <w:color w:val="auto"/>
          <w:kern w:val="2"/>
          <w:sz w:val="28"/>
          <w:szCs w:val="32"/>
          <w:lang w:val="en-US" w:eastAsia="zh-CN" w:bidi="ar-SA"/>
        </w:rPr>
        <w:t>措施</w:t>
      </w:r>
    </w:p>
    <w:p w14:paraId="41EA1708">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6.1.6.1</w:t>
      </w:r>
      <w:r>
        <w:rPr>
          <w:rFonts w:hint="eastAsia" w:ascii="Times New Roman" w:hAnsi="Times New Roman" w:eastAsia="黑体" w:cs="Times New Roman"/>
          <w:bCs/>
          <w:color w:val="auto"/>
          <w:kern w:val="2"/>
          <w:sz w:val="24"/>
          <w:szCs w:val="28"/>
          <w:lang w:val="zh-CN" w:eastAsia="zh-CN" w:bidi="ar-SA"/>
        </w:rPr>
        <w:t>加强生态环境及生物保护性的宣传和管理力度</w:t>
      </w:r>
    </w:p>
    <w:p w14:paraId="6C52A0C6">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要求施工单位应充分认识到保护水生动物、保护渔业资源的重要性，做好对水上施工作业人员环境保护、生物多样性保护方面的宣传教育，严禁施工人员利用水上作业之便捕捞水生动物，以及随意猎捕野生动物的行为。</w:t>
      </w:r>
    </w:p>
    <w:p w14:paraId="35645A48">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6.1.6.2合理安排施工时间</w:t>
      </w:r>
    </w:p>
    <w:p w14:paraId="70999DDD">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为了减少水下施工活动对水生生物的影响，每年</w:t>
      </w:r>
      <w:r>
        <w:rPr>
          <w:rFonts w:hint="eastAsia" w:cs="宋体"/>
          <w:snapToGrid w:val="0"/>
          <w:color w:val="auto"/>
          <w:kern w:val="0"/>
          <w:sz w:val="24"/>
          <w:szCs w:val="21"/>
          <w:lang w:val="en-US" w:eastAsia="zh-CN" w:bidi="ar-SA"/>
        </w:rPr>
        <w:t>4-8月四大家鱼洄游</w:t>
      </w:r>
      <w:r>
        <w:rPr>
          <w:rFonts w:ascii="Times New Roman" w:hAnsi="Times New Roman" w:eastAsia="宋体" w:cs="宋体"/>
          <w:snapToGrid w:val="0"/>
          <w:color w:val="auto"/>
          <w:kern w:val="0"/>
          <w:sz w:val="24"/>
          <w:szCs w:val="21"/>
          <w:lang w:val="zh-CN" w:eastAsia="zh-CN" w:bidi="ar-SA"/>
        </w:rPr>
        <w:t>期间严禁进行水下作业。合理进行施工组织，工程水下施工尽量选择在11月</w:t>
      </w:r>
      <w:r>
        <w:rPr>
          <w:rFonts w:hint="eastAsia" w:ascii="Times New Roman" w:hAnsi="Times New Roman" w:eastAsia="宋体" w:cs="宋体"/>
          <w:snapToGrid w:val="0"/>
          <w:color w:val="auto"/>
          <w:kern w:val="0"/>
          <w:sz w:val="24"/>
          <w:szCs w:val="21"/>
          <w:lang w:val="zh-CN" w:eastAsia="zh-CN" w:bidi="ar-SA"/>
        </w:rPr>
        <w:t>至次年</w:t>
      </w:r>
      <w:r>
        <w:rPr>
          <w:rFonts w:ascii="Times New Roman" w:hAnsi="Times New Roman" w:eastAsia="宋体" w:cs="宋体"/>
          <w:snapToGrid w:val="0"/>
          <w:color w:val="auto"/>
          <w:kern w:val="0"/>
          <w:sz w:val="24"/>
          <w:szCs w:val="21"/>
          <w:lang w:val="zh-CN" w:eastAsia="zh-CN" w:bidi="ar-SA"/>
        </w:rPr>
        <w:t>2月的枯水季节进行。</w:t>
      </w:r>
    </w:p>
    <w:p w14:paraId="3D6BEC59">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6.1.6.3加强同渔政部门的协作，加强渔业资源保护</w:t>
      </w:r>
    </w:p>
    <w:p w14:paraId="553DDF8D">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为确保拟建工程作业期间不影响水生生物的正常活动，可以聘请渔政人员或有经验的渔民在现场水域巡视。如发现有异常时，应及时邀请有关水生生物专家、渔业专家前往指导，这样可以避免直接伤害，把影响减少到最低程度。</w:t>
      </w:r>
    </w:p>
    <w:p w14:paraId="37564960">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6.1.6.4建立高效有力的监管体系，加强水生生物的保护</w:t>
      </w:r>
    </w:p>
    <w:p w14:paraId="023C9B3E">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施工期施工单位应制定水生生物保护规定，使施工人员在施工中能自觉保护水生动物，并遵守相关的生态保护规定。严禁施工人员在施工河道内进行捕鱼或从事</w:t>
      </w:r>
      <w:r>
        <w:rPr>
          <w:rFonts w:hint="eastAsia" w:cs="宋体"/>
          <w:snapToGrid w:val="0"/>
          <w:color w:val="auto"/>
          <w:kern w:val="0"/>
          <w:sz w:val="24"/>
          <w:szCs w:val="21"/>
          <w:lang w:val="zh-CN" w:eastAsia="zh-CN" w:bidi="ar-SA"/>
        </w:rPr>
        <w:t>其他有碍</w:t>
      </w:r>
      <w:r>
        <w:rPr>
          <w:rFonts w:ascii="Times New Roman" w:hAnsi="Times New Roman" w:eastAsia="宋体" w:cs="宋体"/>
          <w:snapToGrid w:val="0"/>
          <w:color w:val="auto"/>
          <w:kern w:val="0"/>
          <w:sz w:val="24"/>
          <w:szCs w:val="21"/>
          <w:lang w:val="zh-CN" w:eastAsia="zh-CN" w:bidi="ar-SA"/>
        </w:rPr>
        <w:t>生态环境及鱼类保护的活动。</w:t>
      </w:r>
    </w:p>
    <w:p w14:paraId="4D27C0CF">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6.1.6.5</w:t>
      </w:r>
      <w:r>
        <w:rPr>
          <w:rFonts w:hint="eastAsia" w:ascii="Times New Roman" w:hAnsi="Times New Roman" w:eastAsia="黑体" w:cs="Times New Roman"/>
          <w:bCs/>
          <w:color w:val="auto"/>
          <w:kern w:val="2"/>
          <w:sz w:val="24"/>
          <w:szCs w:val="28"/>
          <w:lang w:val="zh-CN" w:eastAsia="zh-CN" w:bidi="ar-SA"/>
        </w:rPr>
        <w:t>优化施工管理和施工工艺</w:t>
      </w:r>
    </w:p>
    <w:p w14:paraId="07053273">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加强施工期环境管理加强科学管理，在确保施工质量前提下</w:t>
      </w:r>
      <w:r>
        <w:rPr>
          <w:rFonts w:hint="eastAsia" w:cs="宋体"/>
          <w:snapToGrid w:val="0"/>
          <w:color w:val="auto"/>
          <w:kern w:val="0"/>
          <w:sz w:val="24"/>
          <w:szCs w:val="21"/>
          <w:lang w:val="zh-CN" w:eastAsia="zh-CN" w:bidi="ar-SA"/>
        </w:rPr>
        <w:t>加快施工进度</w:t>
      </w:r>
      <w:r>
        <w:rPr>
          <w:rFonts w:ascii="Times New Roman" w:hAnsi="Times New Roman" w:eastAsia="宋体" w:cs="宋体"/>
          <w:snapToGrid w:val="0"/>
          <w:color w:val="auto"/>
          <w:kern w:val="0"/>
          <w:sz w:val="24"/>
          <w:szCs w:val="21"/>
          <w:lang w:val="zh-CN" w:eastAsia="zh-CN" w:bidi="ar-SA"/>
        </w:rPr>
        <w:t>以尽量缩短水下作业时间，水域施工范围应尽可能小，同时选在秋季至次年春季施工，该段时间水生生物活动较</w:t>
      </w:r>
      <w:r>
        <w:rPr>
          <w:rFonts w:hint="eastAsia" w:cs="宋体"/>
          <w:snapToGrid w:val="0"/>
          <w:color w:val="auto"/>
          <w:kern w:val="0"/>
          <w:sz w:val="24"/>
          <w:szCs w:val="21"/>
          <w:lang w:val="zh-CN" w:eastAsia="zh-CN" w:bidi="ar-SA"/>
        </w:rPr>
        <w:t>少</w:t>
      </w:r>
      <w:r>
        <w:rPr>
          <w:rFonts w:ascii="Times New Roman" w:hAnsi="Times New Roman" w:eastAsia="宋体" w:cs="宋体"/>
          <w:snapToGrid w:val="0"/>
          <w:color w:val="auto"/>
          <w:kern w:val="0"/>
          <w:sz w:val="24"/>
          <w:szCs w:val="21"/>
          <w:lang w:val="zh-CN" w:eastAsia="zh-CN" w:bidi="ar-SA"/>
        </w:rPr>
        <w:t>。加强对设备的管理与维修保养，杜绝</w:t>
      </w:r>
      <w:r>
        <w:rPr>
          <w:rFonts w:hint="eastAsia" w:cs="宋体"/>
          <w:snapToGrid w:val="0"/>
          <w:color w:val="auto"/>
          <w:kern w:val="0"/>
          <w:sz w:val="24"/>
          <w:szCs w:val="21"/>
          <w:lang w:val="zh-CN" w:eastAsia="zh-CN" w:bidi="ar-SA"/>
        </w:rPr>
        <w:t>泄漏</w:t>
      </w:r>
      <w:r>
        <w:rPr>
          <w:rFonts w:ascii="Times New Roman" w:hAnsi="Times New Roman" w:eastAsia="宋体" w:cs="宋体"/>
          <w:snapToGrid w:val="0"/>
          <w:color w:val="auto"/>
          <w:kern w:val="0"/>
          <w:sz w:val="24"/>
          <w:szCs w:val="21"/>
          <w:lang w:val="zh-CN" w:eastAsia="zh-CN" w:bidi="ar-SA"/>
        </w:rPr>
        <w:t>石油类物质以及所运送的建筑材料等，减少对水域污染的可能性；水上平台工作人员的生活污水及生活垃圾不允许直接排放或抛弃，划定施工作业区，禁止非施工船舶驶入，对施工船舶的作业、锚泊以及来往运输航行采取安全保障措施，避免事故对水生生态的影响。</w:t>
      </w:r>
    </w:p>
    <w:p w14:paraId="0FB0C086">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为避免施工船舶对河道内的水生生物造成伤害，施工单位应优化施工工艺方案，控制施工作业污染物排放，抓紧施工进度，尽量缩短水上作业时间。</w:t>
      </w:r>
    </w:p>
    <w:p w14:paraId="297413CF">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en-US" w:eastAsia="zh-CN" w:bidi="ar-SA"/>
        </w:rPr>
      </w:pPr>
      <w:r>
        <w:rPr>
          <w:rFonts w:ascii="Times New Roman" w:hAnsi="Times New Roman" w:eastAsia="宋体" w:cs="宋体"/>
          <w:snapToGrid w:val="0"/>
          <w:color w:val="auto"/>
          <w:kern w:val="0"/>
          <w:sz w:val="24"/>
          <w:szCs w:val="21"/>
          <w:lang w:val="zh-CN" w:eastAsia="zh-CN" w:bidi="ar-SA"/>
        </w:rPr>
        <w:t>水下施工SS发生量取决于施工机械、施工方法、土石质量和粒度分布情况及</w:t>
      </w:r>
      <w:r>
        <w:rPr>
          <w:rFonts w:hint="eastAsia" w:ascii="Times New Roman" w:hAnsi="Times New Roman" w:eastAsia="宋体" w:cs="宋体"/>
          <w:snapToGrid w:val="0"/>
          <w:color w:val="auto"/>
          <w:kern w:val="0"/>
          <w:sz w:val="24"/>
          <w:szCs w:val="21"/>
          <w:lang w:val="zh-CN" w:eastAsia="zh-CN" w:bidi="ar-SA"/>
        </w:rPr>
        <w:t>淮</w:t>
      </w:r>
      <w:r>
        <w:rPr>
          <w:rFonts w:ascii="Times New Roman" w:hAnsi="Times New Roman" w:eastAsia="宋体" w:cs="宋体"/>
          <w:snapToGrid w:val="0"/>
          <w:color w:val="auto"/>
          <w:kern w:val="0"/>
          <w:sz w:val="24"/>
          <w:szCs w:val="21"/>
          <w:lang w:val="zh-CN" w:eastAsia="zh-CN" w:bidi="ar-SA"/>
        </w:rPr>
        <w:t>河水文条件等，施工中应尽量采用先进的施工技术，最大限度地控制下水施工作业对底泥的搅动范围和强度，减少悬浮</w:t>
      </w:r>
      <w:r>
        <w:rPr>
          <w:rFonts w:hint="eastAsia" w:cs="宋体"/>
          <w:snapToGrid w:val="0"/>
          <w:color w:val="auto"/>
          <w:kern w:val="0"/>
          <w:sz w:val="24"/>
          <w:szCs w:val="21"/>
          <w:lang w:val="zh-CN" w:eastAsia="zh-CN" w:bidi="ar-SA"/>
        </w:rPr>
        <w:t>泥沙</w:t>
      </w:r>
      <w:r>
        <w:rPr>
          <w:rFonts w:ascii="Times New Roman" w:hAnsi="Times New Roman" w:eastAsia="宋体" w:cs="宋体"/>
          <w:snapToGrid w:val="0"/>
          <w:color w:val="auto"/>
          <w:kern w:val="0"/>
          <w:sz w:val="24"/>
          <w:szCs w:val="21"/>
          <w:lang w:val="zh-CN" w:eastAsia="zh-CN" w:bidi="ar-SA"/>
        </w:rPr>
        <w:t>的发生率。</w:t>
      </w:r>
    </w:p>
    <w:p w14:paraId="33ADA11A">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6.1.6.6</w:t>
      </w:r>
      <w:r>
        <w:rPr>
          <w:rFonts w:hint="eastAsia" w:ascii="Times New Roman" w:hAnsi="Times New Roman" w:eastAsia="黑体" w:cs="Times New Roman"/>
          <w:bCs/>
          <w:color w:val="auto"/>
          <w:kern w:val="2"/>
          <w:sz w:val="24"/>
          <w:szCs w:val="28"/>
          <w:lang w:val="zh-CN" w:eastAsia="zh-CN" w:bidi="ar-SA"/>
        </w:rPr>
        <w:t>严格管理施工船舶，加强对作业船舶的管理及生活污水的处置</w:t>
      </w:r>
    </w:p>
    <w:p w14:paraId="3573135B">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要加强对作业船舶的维护和管理，要求作业船舶安装油水分离器，并定期对其进行检查和维修。船舶底舱油污废水需经油水分离器处理达标后与船舶作业人员的生活污水一并交由指定的环保船舶接收处理，严禁船舶油污废水和船舶作业人员生活污水直接排入</w:t>
      </w:r>
      <w:r>
        <w:rPr>
          <w:rFonts w:hint="eastAsia" w:ascii="Times New Roman" w:hAnsi="Times New Roman" w:eastAsia="宋体" w:cs="宋体"/>
          <w:snapToGrid w:val="0"/>
          <w:color w:val="auto"/>
          <w:kern w:val="0"/>
          <w:sz w:val="24"/>
          <w:szCs w:val="21"/>
          <w:lang w:val="en-US" w:eastAsia="zh-CN" w:bidi="ar-SA"/>
        </w:rPr>
        <w:t>淮</w:t>
      </w:r>
      <w:r>
        <w:rPr>
          <w:rFonts w:ascii="Times New Roman" w:hAnsi="Times New Roman" w:eastAsia="宋体" w:cs="宋体"/>
          <w:snapToGrid w:val="0"/>
          <w:color w:val="auto"/>
          <w:kern w:val="0"/>
          <w:sz w:val="24"/>
          <w:szCs w:val="21"/>
          <w:lang w:val="zh-CN" w:eastAsia="zh-CN" w:bidi="ar-SA"/>
        </w:rPr>
        <w:t>河，造成对</w:t>
      </w:r>
      <w:r>
        <w:rPr>
          <w:rFonts w:hint="eastAsia" w:ascii="Times New Roman" w:hAnsi="Times New Roman" w:eastAsia="宋体" w:cs="宋体"/>
          <w:snapToGrid w:val="0"/>
          <w:color w:val="auto"/>
          <w:kern w:val="0"/>
          <w:sz w:val="24"/>
          <w:szCs w:val="21"/>
          <w:lang w:val="en-US" w:eastAsia="zh-CN" w:bidi="ar-SA"/>
        </w:rPr>
        <w:t>淮</w:t>
      </w:r>
      <w:r>
        <w:rPr>
          <w:rFonts w:ascii="Times New Roman" w:hAnsi="Times New Roman" w:eastAsia="宋体" w:cs="宋体"/>
          <w:snapToGrid w:val="0"/>
          <w:color w:val="auto"/>
          <w:kern w:val="0"/>
          <w:sz w:val="24"/>
          <w:szCs w:val="21"/>
          <w:lang w:val="zh-CN" w:eastAsia="zh-CN" w:bidi="ar-SA"/>
        </w:rPr>
        <w:t>河水质的影响。码头水域不得排放船舶生产废水及生活污水，施工期各种固体废物均进行收集处理，不得随意抛弃至</w:t>
      </w:r>
      <w:r>
        <w:rPr>
          <w:rFonts w:hint="eastAsia" w:ascii="Times New Roman" w:hAnsi="Times New Roman" w:eastAsia="宋体" w:cs="宋体"/>
          <w:snapToGrid w:val="0"/>
          <w:color w:val="auto"/>
          <w:kern w:val="0"/>
          <w:sz w:val="24"/>
          <w:szCs w:val="21"/>
          <w:lang w:val="en-US" w:eastAsia="zh-CN" w:bidi="ar-SA"/>
        </w:rPr>
        <w:t>淮</w:t>
      </w:r>
      <w:r>
        <w:rPr>
          <w:rFonts w:ascii="Times New Roman" w:hAnsi="Times New Roman" w:eastAsia="宋体" w:cs="宋体"/>
          <w:snapToGrid w:val="0"/>
          <w:color w:val="auto"/>
          <w:kern w:val="0"/>
          <w:sz w:val="24"/>
          <w:szCs w:val="21"/>
          <w:lang w:val="zh-CN" w:eastAsia="zh-CN" w:bidi="ar-SA"/>
        </w:rPr>
        <w:t>河中。</w:t>
      </w:r>
    </w:p>
    <w:p w14:paraId="00B3CA8D">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en-US" w:eastAsia="zh-CN" w:bidi="ar-SA"/>
        </w:rPr>
      </w:pPr>
      <w:r>
        <w:rPr>
          <w:rFonts w:ascii="Times New Roman" w:hAnsi="Times New Roman" w:eastAsia="宋体" w:cs="宋体"/>
          <w:snapToGrid w:val="0"/>
          <w:color w:val="auto"/>
          <w:kern w:val="0"/>
          <w:sz w:val="24"/>
          <w:szCs w:val="21"/>
          <w:lang w:val="zh-CN" w:eastAsia="zh-CN" w:bidi="ar-SA"/>
        </w:rPr>
        <w:t>施工单位应将施工废弃的砂、石、土必须运至管理部门规定的专门存放地堆放，不得向专门存放地以外的地点（包括</w:t>
      </w:r>
      <w:r>
        <w:rPr>
          <w:rFonts w:hint="eastAsia" w:ascii="Times New Roman" w:hAnsi="Times New Roman" w:eastAsia="宋体" w:cs="宋体"/>
          <w:snapToGrid w:val="0"/>
          <w:color w:val="auto"/>
          <w:kern w:val="0"/>
          <w:sz w:val="24"/>
          <w:szCs w:val="21"/>
          <w:lang w:val="en-US" w:eastAsia="zh-CN" w:bidi="ar-SA"/>
        </w:rPr>
        <w:t>淮</w:t>
      </w:r>
      <w:r>
        <w:rPr>
          <w:rFonts w:ascii="Times New Roman" w:hAnsi="Times New Roman" w:eastAsia="宋体" w:cs="宋体"/>
          <w:snapToGrid w:val="0"/>
          <w:color w:val="auto"/>
          <w:kern w:val="0"/>
          <w:sz w:val="24"/>
          <w:szCs w:val="21"/>
          <w:lang w:val="zh-CN" w:eastAsia="zh-CN" w:bidi="ar-SA"/>
        </w:rPr>
        <w:t>河）倾倒。</w:t>
      </w:r>
    </w:p>
    <w:p w14:paraId="24448B43">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6.1.7加强水土保持及生态恢复工作</w:t>
      </w:r>
    </w:p>
    <w:p w14:paraId="67CA0F05">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en-US" w:eastAsia="zh-CN" w:bidi="ar-SA"/>
        </w:rPr>
      </w:pPr>
      <w:r>
        <w:rPr>
          <w:rFonts w:ascii="Times New Roman" w:hAnsi="Times New Roman" w:eastAsia="宋体" w:cs="宋体"/>
          <w:snapToGrid w:val="0"/>
          <w:color w:val="auto"/>
          <w:kern w:val="0"/>
          <w:sz w:val="24"/>
          <w:szCs w:val="21"/>
          <w:lang w:val="en-US" w:eastAsia="zh-CN" w:bidi="ar-SA"/>
        </w:rPr>
        <w:t>项目施工前应对工程占用区域可利用的表土进行剥离，单独堆存，加强表土堆存防护及管理，确保有效回用。施工过程中，采取绿色施工工艺，减少地表开挖</w:t>
      </w:r>
      <w:r>
        <w:rPr>
          <w:rFonts w:hint="eastAsia" w:cs="宋体"/>
          <w:snapToGrid w:val="0"/>
          <w:color w:val="auto"/>
          <w:kern w:val="0"/>
          <w:sz w:val="24"/>
          <w:szCs w:val="21"/>
          <w:lang w:val="en-US" w:eastAsia="zh-CN" w:bidi="ar-SA"/>
        </w:rPr>
        <w:t>。</w:t>
      </w:r>
    </w:p>
    <w:p w14:paraId="68639A2D">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工程临时占地合理规划设计，严格规定施工车辆的行驶路线。严格划定施工作业范围，限制施工人员及施工机械在施工带内施工。严禁超挖深挖。设计时尽量使挖填方平衡，提高土、砂、石料利用率；施工时应尽量减少破坏地貌及植被；在建设临时施工道路时，不得将土石倾入河道，废土应合理堆放在指定范围并</w:t>
      </w:r>
      <w:r>
        <w:rPr>
          <w:rFonts w:hint="eastAsia" w:ascii="Times New Roman" w:hAnsi="Times New Roman" w:eastAsia="宋体" w:cs="宋体"/>
          <w:snapToGrid w:val="0"/>
          <w:color w:val="auto"/>
          <w:kern w:val="0"/>
          <w:sz w:val="24"/>
          <w:szCs w:val="21"/>
          <w:lang w:val="zh-CN" w:eastAsia="zh-CN" w:bidi="ar-SA"/>
        </w:rPr>
        <w:t>对弃土区设置围堰，防止雨季土方流失</w:t>
      </w:r>
      <w:r>
        <w:rPr>
          <w:rFonts w:ascii="Times New Roman" w:hAnsi="Times New Roman" w:eastAsia="宋体" w:cs="宋体"/>
          <w:snapToGrid w:val="0"/>
          <w:color w:val="auto"/>
          <w:kern w:val="0"/>
          <w:sz w:val="24"/>
          <w:szCs w:val="21"/>
          <w:lang w:val="zh-CN" w:eastAsia="zh-CN" w:bidi="ar-SA"/>
        </w:rPr>
        <w:t>；工程竣工时应搞好河道护坡</w:t>
      </w:r>
      <w:r>
        <w:rPr>
          <w:rFonts w:hint="eastAsia" w:ascii="Times New Roman" w:hAnsi="Times New Roman" w:eastAsia="宋体" w:cs="宋体"/>
          <w:snapToGrid w:val="0"/>
          <w:color w:val="auto"/>
          <w:kern w:val="0"/>
          <w:sz w:val="24"/>
          <w:szCs w:val="21"/>
          <w:lang w:val="en-US" w:eastAsia="zh-CN" w:bidi="ar-SA"/>
        </w:rPr>
        <w:t>及</w:t>
      </w:r>
      <w:r>
        <w:rPr>
          <w:rFonts w:ascii="Times New Roman" w:hAnsi="Times New Roman" w:eastAsia="宋体" w:cs="宋体"/>
          <w:snapToGrid w:val="0"/>
          <w:color w:val="auto"/>
          <w:kern w:val="0"/>
          <w:sz w:val="24"/>
          <w:szCs w:val="21"/>
          <w:lang w:val="zh-CN" w:eastAsia="zh-CN" w:bidi="ar-SA"/>
        </w:rPr>
        <w:t>港区绿化，使之具有一定的稳定性并满足防冲要求。</w:t>
      </w:r>
      <w:r>
        <w:rPr>
          <w:rFonts w:hint="eastAsia" w:ascii="Times New Roman" w:hAnsi="Times New Roman" w:eastAsia="宋体" w:cs="宋体"/>
          <w:snapToGrid w:val="0"/>
          <w:color w:val="auto"/>
          <w:kern w:val="0"/>
          <w:sz w:val="24"/>
          <w:szCs w:val="21"/>
          <w:lang w:val="en-US" w:eastAsia="zh-CN" w:bidi="ar-SA"/>
        </w:rPr>
        <w:t>充分考虑自然生态条件，因地制宜，制定生态修复方案，优先使用原生表土和选用乡土物种，防止外来生物入侵。</w:t>
      </w:r>
    </w:p>
    <w:p w14:paraId="77930A52">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ascii="Times New Roman" w:hAnsi="Times New Roman" w:eastAsia="宋体" w:cs="宋体"/>
          <w:snapToGrid w:val="0"/>
          <w:color w:val="auto"/>
          <w:kern w:val="0"/>
          <w:sz w:val="24"/>
          <w:szCs w:val="21"/>
          <w:lang w:val="zh-CN" w:eastAsia="zh-CN" w:bidi="ar-SA"/>
        </w:rPr>
        <w:t>避免在雨季进行大量施工和开挖工程。以施工区为重点防治区域，采取系统的防治措施。施工中尽量减少临时占地面积，采取护坡、挡土墙等防护措施。施工场地开挖过程中要做到随挖、随运、随填、随夯。在施工完成后，应及时进行恢复植被。</w:t>
      </w:r>
    </w:p>
    <w:p w14:paraId="1EAB5351">
      <w:pPr>
        <w:keepNext/>
        <w:keepLines/>
        <w:widowControl w:val="0"/>
        <w:numPr>
          <w:ilvl w:val="2"/>
          <w:numId w:val="0"/>
        </w:numPr>
        <w:spacing w:line="360" w:lineRule="auto"/>
        <w:jc w:val="both"/>
        <w:outlineLvl w:val="2"/>
        <w:rPr>
          <w:rFonts w:hint="default"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6.1.</w:t>
      </w:r>
      <w:r>
        <w:rPr>
          <w:rFonts w:hint="eastAsia" w:eastAsia="黑体" w:cs="Times New Roman"/>
          <w:bCs/>
          <w:color w:val="auto"/>
          <w:kern w:val="2"/>
          <w:sz w:val="28"/>
          <w:szCs w:val="32"/>
          <w:lang w:val="en-US" w:eastAsia="zh-CN" w:bidi="ar-SA"/>
        </w:rPr>
        <w:t>8施工期环境风险防范措施</w:t>
      </w:r>
    </w:p>
    <w:p w14:paraId="5F980823">
      <w:pPr>
        <w:keepNext/>
        <w:keepLines/>
        <w:widowControl w:val="0"/>
        <w:numPr>
          <w:ilvl w:val="3"/>
          <w:numId w:val="0"/>
        </w:numPr>
        <w:spacing w:line="360" w:lineRule="auto"/>
        <w:jc w:val="both"/>
        <w:outlineLvl w:val="3"/>
        <w:rPr>
          <w:rFonts w:hint="eastAsia" w:ascii="Times New Roman" w:hAnsi="Times New Roman" w:eastAsia="黑体" w:cs="Times New Roman"/>
          <w:bCs/>
          <w:color w:val="auto"/>
          <w:kern w:val="2"/>
          <w:sz w:val="24"/>
          <w:szCs w:val="28"/>
          <w:lang w:val="en-US" w:eastAsia="zh-CN" w:bidi="ar-SA"/>
        </w:rPr>
      </w:pPr>
      <w:r>
        <w:rPr>
          <w:rFonts w:hint="eastAsia" w:eastAsia="黑体" w:cs="Times New Roman"/>
          <w:bCs/>
          <w:color w:val="auto"/>
          <w:kern w:val="2"/>
          <w:sz w:val="24"/>
          <w:szCs w:val="28"/>
          <w:lang w:val="en-US" w:eastAsia="zh-CN" w:bidi="ar-SA"/>
        </w:rPr>
        <w:t>6.1.8</w:t>
      </w:r>
      <w:r>
        <w:rPr>
          <w:rFonts w:hint="eastAsia" w:ascii="Times New Roman" w:hAnsi="Times New Roman" w:eastAsia="黑体" w:cs="Times New Roman"/>
          <w:bCs/>
          <w:color w:val="auto"/>
          <w:kern w:val="2"/>
          <w:sz w:val="24"/>
          <w:szCs w:val="28"/>
          <w:lang w:val="en-US" w:eastAsia="zh-CN" w:bidi="ar-SA"/>
        </w:rPr>
        <w:t>.1施工期环境风险应急措施</w:t>
      </w:r>
    </w:p>
    <w:p w14:paraId="0F01BEEB">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为减少施工期内船舶污染事故发生的概率，避免发生事故后对环境造成污染影响，在工程施工阶段应采取事故风险防范措施，在事故发生时将污染控制在最低程度</w:t>
      </w:r>
      <w:r>
        <w:rPr>
          <w:rFonts w:ascii="Times New Roman" w:hAnsi="Times New Roman" w:eastAsia="宋体" w:cs="宋体"/>
          <w:snapToGrid w:val="0"/>
          <w:color w:val="auto"/>
          <w:kern w:val="0"/>
          <w:sz w:val="24"/>
          <w:szCs w:val="21"/>
          <w:lang w:val="zh-CN" w:eastAsia="zh-CN" w:bidi="ar-SA"/>
        </w:rPr>
        <w:t>。</w:t>
      </w:r>
    </w:p>
    <w:p w14:paraId="79CC8E58">
      <w:pPr>
        <w:keepNext/>
        <w:keepLines/>
        <w:pageBreakBefore w:val="0"/>
        <w:widowControl w:val="0"/>
        <w:numPr>
          <w:ilvl w:val="3"/>
          <w:numId w:val="0"/>
        </w:numPr>
        <w:kinsoku/>
        <w:wordWrap/>
        <w:overflowPunct/>
        <w:topLinePunct w:val="0"/>
        <w:autoSpaceDE/>
        <w:autoSpaceDN/>
        <w:bidi w:val="0"/>
        <w:adjustRightInd/>
        <w:snapToGrid/>
        <w:spacing w:line="360" w:lineRule="auto"/>
        <w:jc w:val="both"/>
        <w:textAlignment w:val="auto"/>
        <w:outlineLvl w:val="4"/>
        <w:rPr>
          <w:rFonts w:ascii="Times New Roman" w:hAnsi="Times New Roman" w:eastAsia="黑体" w:cs="Times New Roman"/>
          <w:bCs/>
          <w:color w:val="auto"/>
          <w:kern w:val="2"/>
          <w:sz w:val="24"/>
          <w:szCs w:val="28"/>
          <w:lang w:val="en-US" w:eastAsia="zh-CN" w:bidi="ar-SA"/>
        </w:rPr>
      </w:pPr>
      <w:r>
        <w:rPr>
          <w:rFonts w:hint="eastAsia" w:eastAsia="黑体" w:cs="Times New Roman"/>
          <w:bCs/>
          <w:color w:val="auto"/>
          <w:kern w:val="2"/>
          <w:sz w:val="24"/>
          <w:szCs w:val="28"/>
          <w:lang w:val="en-US" w:eastAsia="zh-CN" w:bidi="ar-SA"/>
        </w:rPr>
        <w:t>6.1.8</w:t>
      </w:r>
      <w:r>
        <w:rPr>
          <w:rFonts w:hint="eastAsia" w:ascii="Times New Roman" w:hAnsi="Times New Roman" w:eastAsia="黑体" w:cs="Times New Roman"/>
          <w:bCs/>
          <w:color w:val="auto"/>
          <w:kern w:val="2"/>
          <w:sz w:val="24"/>
          <w:szCs w:val="28"/>
          <w:lang w:val="en-US" w:eastAsia="zh-CN" w:bidi="ar-SA"/>
        </w:rPr>
        <w:t>.1.1船舶交通事故防范对策</w:t>
      </w:r>
    </w:p>
    <w:p w14:paraId="796E1DE6">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船舶交通事故的发生与船舶航行和停泊的地理条件、气象条件、运输装载的货种、船舶密度、导</w:t>
      </w:r>
      <w:r>
        <w:rPr>
          <w:rFonts w:ascii="Times New Roman" w:hAnsi="Times New Roman" w:eastAsia="宋体" w:cs="宋体"/>
          <w:snapToGrid w:val="0"/>
          <w:color w:val="auto"/>
          <w:kern w:val="0"/>
          <w:sz w:val="24"/>
          <w:szCs w:val="21"/>
          <w:lang w:val="zh-CN" w:eastAsia="zh-CN" w:bidi="ar-SA"/>
        </w:rPr>
        <w:t>/</w:t>
      </w:r>
      <w:r>
        <w:rPr>
          <w:rFonts w:hint="eastAsia" w:ascii="Times New Roman" w:hAnsi="Times New Roman" w:eastAsia="宋体" w:cs="宋体"/>
          <w:snapToGrid w:val="0"/>
          <w:color w:val="auto"/>
          <w:kern w:val="0"/>
          <w:sz w:val="24"/>
          <w:szCs w:val="21"/>
          <w:lang w:val="zh-CN" w:eastAsia="zh-CN" w:bidi="ar-SA"/>
        </w:rPr>
        <w:t>助航条件以及船舶驾驶等因素有关。施工期航道内船舶交通事故造成环境污染的可能性是存在的，一旦发生船舶交通事故，将会造成事故区域环境资源的严重损失，且其应急反应的人力物力财力消耗大，因此采取有效的措施预防船舶交通事故的发生意义重大。</w:t>
      </w:r>
    </w:p>
    <w:p w14:paraId="68BFA575">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船舶交通事故预防措施包括：</w:t>
      </w:r>
    </w:p>
    <w:p w14:paraId="031B17A8">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（1）工程航道内已经考虑的必要导助航等安全保障设施</w:t>
      </w:r>
    </w:p>
    <w:p w14:paraId="69B8B61E">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为了保障施工期航道内船舶的航行安全，施工方要接受该辖区内海事局对船舶交通和船舶报告等方面的协调、监督和管理，在船舶航行水域和船舶施工区设置必要的助航等安全保障设施。工程建设规划过程中已经根据本项目的工程和项目区域环境特点在船舶航行水域配备了必要的导助航等安全保障设施，下一步根据施工地点进一步调整安全保障设施。</w:t>
      </w:r>
    </w:p>
    <w:p w14:paraId="12ABBA61">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（2）推进船舶交通管理系统（</w:t>
      </w:r>
      <w:r>
        <w:rPr>
          <w:rFonts w:ascii="Times New Roman" w:hAnsi="Times New Roman" w:eastAsia="宋体" w:cs="宋体"/>
          <w:snapToGrid w:val="0"/>
          <w:color w:val="auto"/>
          <w:kern w:val="0"/>
          <w:sz w:val="24"/>
          <w:szCs w:val="21"/>
          <w:lang w:val="zh-CN" w:eastAsia="zh-CN" w:bidi="ar-SA"/>
        </w:rPr>
        <w:t>VTS</w:t>
      </w:r>
      <w:r>
        <w:rPr>
          <w:rFonts w:hint="eastAsia" w:ascii="Times New Roman" w:hAnsi="Times New Roman" w:eastAsia="宋体" w:cs="宋体"/>
          <w:snapToGrid w:val="0"/>
          <w:color w:val="auto"/>
          <w:kern w:val="0"/>
          <w:sz w:val="24"/>
          <w:szCs w:val="21"/>
          <w:lang w:val="zh-CN" w:eastAsia="zh-CN" w:bidi="ar-SA"/>
        </w:rPr>
        <w:t>）建设</w:t>
      </w:r>
    </w:p>
    <w:p w14:paraId="42985B2E">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建设</w:t>
      </w:r>
      <w:r>
        <w:rPr>
          <w:rFonts w:ascii="Times New Roman" w:hAnsi="Times New Roman" w:eastAsia="宋体" w:cs="宋体"/>
          <w:snapToGrid w:val="0"/>
          <w:color w:val="auto"/>
          <w:kern w:val="0"/>
          <w:sz w:val="24"/>
          <w:szCs w:val="21"/>
          <w:lang w:val="zh-CN" w:eastAsia="zh-CN" w:bidi="ar-SA"/>
        </w:rPr>
        <w:t>VTS</w:t>
      </w:r>
      <w:r>
        <w:rPr>
          <w:rFonts w:hint="eastAsia" w:ascii="Times New Roman" w:hAnsi="Times New Roman" w:eastAsia="宋体" w:cs="宋体"/>
          <w:snapToGrid w:val="0"/>
          <w:color w:val="auto"/>
          <w:kern w:val="0"/>
          <w:sz w:val="24"/>
          <w:szCs w:val="21"/>
          <w:lang w:val="zh-CN" w:eastAsia="zh-CN" w:bidi="ar-SA"/>
        </w:rPr>
        <w:t>是为了保障船舶安全航行，避免船舶碰撞事故的发生，辅助大型船舶在单向航道内安全航行，避免大型船舶过于靠近航道边缘或其他浅水区域而发生搁浅或触礁事故，此外还可以提高港口效率，方便组织有效搜救行动和事故应急反应等。</w:t>
      </w:r>
    </w:p>
    <w:p w14:paraId="643A7E02">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（3）加强航道内船舶交通秩序的管理</w:t>
      </w:r>
    </w:p>
    <w:p w14:paraId="5A17E321">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为避免航道内船舶发生碰撞事故而造成污染，港区航道交通管理部门应加强对航道内船舶交通秩序的管理，及时掌握进出航道船舶的动态，在危险品船通过时，</w:t>
      </w:r>
      <w:r>
        <w:rPr>
          <w:rFonts w:hint="eastAsia" w:cs="宋体"/>
          <w:snapToGrid w:val="0"/>
          <w:color w:val="auto"/>
          <w:kern w:val="0"/>
          <w:sz w:val="24"/>
          <w:szCs w:val="21"/>
          <w:lang w:val="zh-CN" w:eastAsia="zh-CN" w:bidi="ar-SA"/>
        </w:rPr>
        <w:t>其他</w:t>
      </w:r>
      <w:r>
        <w:rPr>
          <w:rFonts w:hint="eastAsia" w:ascii="Times New Roman" w:hAnsi="Times New Roman" w:eastAsia="宋体" w:cs="宋体"/>
          <w:snapToGrid w:val="0"/>
          <w:color w:val="auto"/>
          <w:kern w:val="0"/>
          <w:sz w:val="24"/>
          <w:szCs w:val="21"/>
          <w:lang w:val="zh-CN" w:eastAsia="zh-CN" w:bidi="ar-SA"/>
        </w:rPr>
        <w:t>船舶尽量采取避让措施等</w:t>
      </w:r>
      <w:r>
        <w:rPr>
          <w:rFonts w:ascii="Times New Roman" w:hAnsi="Times New Roman" w:eastAsia="宋体" w:cs="宋体"/>
          <w:snapToGrid w:val="0"/>
          <w:color w:val="auto"/>
          <w:kern w:val="0"/>
          <w:sz w:val="24"/>
          <w:szCs w:val="21"/>
          <w:lang w:val="zh-CN" w:eastAsia="zh-CN" w:bidi="ar-SA"/>
        </w:rPr>
        <w:t>。</w:t>
      </w:r>
    </w:p>
    <w:p w14:paraId="554A191F">
      <w:pPr>
        <w:keepNext/>
        <w:keepLines/>
        <w:pageBreakBefore w:val="0"/>
        <w:widowControl w:val="0"/>
        <w:numPr>
          <w:ilvl w:val="3"/>
          <w:numId w:val="0"/>
        </w:numPr>
        <w:kinsoku/>
        <w:wordWrap/>
        <w:overflowPunct/>
        <w:topLinePunct w:val="0"/>
        <w:autoSpaceDE/>
        <w:autoSpaceDN/>
        <w:bidi w:val="0"/>
        <w:adjustRightInd/>
        <w:snapToGrid/>
        <w:spacing w:line="360" w:lineRule="auto"/>
        <w:jc w:val="both"/>
        <w:textAlignment w:val="auto"/>
        <w:outlineLvl w:val="4"/>
        <w:rPr>
          <w:rFonts w:hint="eastAsia" w:ascii="Times New Roman" w:hAnsi="Times New Roman" w:eastAsia="黑体" w:cs="Times New Roman"/>
          <w:bCs/>
          <w:color w:val="auto"/>
          <w:kern w:val="2"/>
          <w:sz w:val="24"/>
          <w:szCs w:val="28"/>
          <w:lang w:val="en-US" w:eastAsia="zh-CN" w:bidi="ar-SA"/>
        </w:rPr>
      </w:pPr>
      <w:r>
        <w:rPr>
          <w:rFonts w:hint="eastAsia" w:eastAsia="黑体" w:cs="Times New Roman"/>
          <w:bCs/>
          <w:color w:val="auto"/>
          <w:kern w:val="2"/>
          <w:sz w:val="24"/>
          <w:szCs w:val="28"/>
          <w:lang w:val="en-US" w:eastAsia="zh-CN" w:bidi="ar-SA"/>
        </w:rPr>
        <w:t>6.1.8</w:t>
      </w:r>
      <w:r>
        <w:rPr>
          <w:rFonts w:hint="eastAsia" w:ascii="Times New Roman" w:hAnsi="Times New Roman" w:eastAsia="黑体" w:cs="Times New Roman"/>
          <w:bCs/>
          <w:color w:val="auto"/>
          <w:kern w:val="2"/>
          <w:sz w:val="24"/>
          <w:szCs w:val="28"/>
          <w:lang w:val="en-US" w:eastAsia="zh-CN" w:bidi="ar-SA"/>
        </w:rPr>
        <w:t>.1.2施工期风险防范措施</w:t>
      </w:r>
    </w:p>
    <w:p w14:paraId="473283A1">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（1）施工单位在施工组织安排时应详细考虑施工过程对过往船舶可能造成的影响，制定周密的施工计划，尽量减少不利影响。</w:t>
      </w:r>
    </w:p>
    <w:p w14:paraId="6C28E192">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2）施工前将施工水域及作业计划呈报当地海事和航道部门批准，会同相关单位商讨施工期间的通行处理措施，比如临时移动航标改变通行路线，或者确定临时断航时间、地点等，并由各自主管部门发布航行通告和航道通告，向施工点附近船舶告知施工地点及避让路线，以引起各</w:t>
      </w:r>
      <w:r>
        <w:rPr>
          <w:rFonts w:hint="eastAsia" w:cs="宋体"/>
          <w:snapToGrid w:val="0"/>
          <w:color w:val="auto"/>
          <w:kern w:val="0"/>
          <w:sz w:val="24"/>
          <w:szCs w:val="21"/>
          <w:lang w:val="zh-CN" w:eastAsia="zh-CN" w:bidi="ar-SA"/>
        </w:rPr>
        <w:t>有关</w:t>
      </w:r>
      <w:r>
        <w:rPr>
          <w:rFonts w:hint="eastAsia" w:ascii="Times New Roman" w:hAnsi="Times New Roman" w:eastAsia="宋体" w:cs="宋体"/>
          <w:snapToGrid w:val="0"/>
          <w:color w:val="auto"/>
          <w:kern w:val="0"/>
          <w:sz w:val="24"/>
          <w:szCs w:val="21"/>
          <w:lang w:val="zh-CN" w:eastAsia="zh-CN" w:bidi="ar-SA"/>
        </w:rPr>
        <w:t>单位的重视。</w:t>
      </w:r>
    </w:p>
    <w:p w14:paraId="450530C3">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（3）施工过程中，施工单位应加强内部管理，严格将施工船舶限制在划定的施工水域内，不得随意穿越航道，在主航道内抛锚应做好标记。</w:t>
      </w:r>
    </w:p>
    <w:p w14:paraId="1984D889">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（4）各施工船舶应重视船机性能的检查，加强与过往船舶的联系，避免发生碰撞事故，同时加强施工期航道维护管理，增加航标设置，合理划分施工水域和航行水域。</w:t>
      </w:r>
    </w:p>
    <w:p w14:paraId="4F50D841">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（5）在施工区域设置专用标志，警示通往船舶已进入施工区域，以便加强注意力。必要时在距离施工区域外</w:t>
      </w:r>
      <w:r>
        <w:rPr>
          <w:rFonts w:ascii="Times New Roman" w:hAnsi="Times New Roman" w:eastAsia="宋体" w:cs="宋体"/>
          <w:snapToGrid w:val="0"/>
          <w:color w:val="auto"/>
          <w:kern w:val="0"/>
          <w:sz w:val="24"/>
          <w:szCs w:val="21"/>
          <w:lang w:val="zh-CN" w:eastAsia="zh-CN" w:bidi="ar-SA"/>
        </w:rPr>
        <w:t>3km</w:t>
      </w:r>
      <w:r>
        <w:rPr>
          <w:rFonts w:hint="eastAsia" w:ascii="Times New Roman" w:hAnsi="Times New Roman" w:eastAsia="宋体" w:cs="宋体"/>
          <w:snapToGrid w:val="0"/>
          <w:color w:val="auto"/>
          <w:kern w:val="0"/>
          <w:sz w:val="24"/>
          <w:szCs w:val="21"/>
          <w:lang w:val="zh-CN" w:eastAsia="zh-CN" w:bidi="ar-SA"/>
        </w:rPr>
        <w:t>左右设置临时信号台，控制船舶的通航秩序。</w:t>
      </w:r>
    </w:p>
    <w:p w14:paraId="0DBC71F7">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（6）施工水域一旦发生险情及时通知附近各级水厂和生态环境部门。</w:t>
      </w:r>
    </w:p>
    <w:p w14:paraId="20831342">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（7）施工场地和施工船舶上配备应急物资：收油机</w:t>
      </w:r>
      <w:r>
        <w:rPr>
          <w:rFonts w:ascii="Times New Roman" w:hAnsi="Times New Roman" w:eastAsia="宋体" w:cs="宋体"/>
          <w:snapToGrid w:val="0"/>
          <w:color w:val="auto"/>
          <w:kern w:val="0"/>
          <w:sz w:val="24"/>
          <w:szCs w:val="21"/>
          <w:lang w:val="zh-CN" w:eastAsia="zh-CN" w:bidi="ar-SA"/>
        </w:rPr>
        <w:t>2</w:t>
      </w:r>
      <w:r>
        <w:rPr>
          <w:rFonts w:hint="eastAsia" w:ascii="Times New Roman" w:hAnsi="Times New Roman" w:eastAsia="宋体" w:cs="宋体"/>
          <w:snapToGrid w:val="0"/>
          <w:color w:val="auto"/>
          <w:kern w:val="0"/>
          <w:sz w:val="24"/>
          <w:szCs w:val="21"/>
          <w:lang w:val="zh-CN" w:eastAsia="zh-CN" w:bidi="ar-SA"/>
        </w:rPr>
        <w:t>台、围油栏</w:t>
      </w:r>
      <w:r>
        <w:rPr>
          <w:rFonts w:ascii="Times New Roman" w:hAnsi="Times New Roman" w:eastAsia="宋体" w:cs="宋体"/>
          <w:snapToGrid w:val="0"/>
          <w:color w:val="auto"/>
          <w:kern w:val="0"/>
          <w:sz w:val="24"/>
          <w:szCs w:val="21"/>
          <w:lang w:val="zh-CN" w:eastAsia="zh-CN" w:bidi="ar-SA"/>
        </w:rPr>
        <w:t>500</w:t>
      </w:r>
      <w:r>
        <w:rPr>
          <w:rFonts w:hint="eastAsia" w:ascii="Times New Roman" w:hAnsi="Times New Roman" w:eastAsia="宋体" w:cs="宋体"/>
          <w:snapToGrid w:val="0"/>
          <w:color w:val="auto"/>
          <w:kern w:val="0"/>
          <w:sz w:val="24"/>
          <w:szCs w:val="21"/>
          <w:lang w:val="zh-CN" w:eastAsia="zh-CN" w:bidi="ar-SA"/>
        </w:rPr>
        <w:t>米、吸油毡</w:t>
      </w:r>
      <w:r>
        <w:rPr>
          <w:rFonts w:ascii="Times New Roman" w:hAnsi="Times New Roman" w:eastAsia="宋体" w:cs="宋体"/>
          <w:snapToGrid w:val="0"/>
          <w:color w:val="auto"/>
          <w:kern w:val="0"/>
          <w:sz w:val="24"/>
          <w:szCs w:val="21"/>
          <w:lang w:val="zh-CN" w:eastAsia="zh-CN" w:bidi="ar-SA"/>
        </w:rPr>
        <w:t>1</w:t>
      </w:r>
      <w:r>
        <w:rPr>
          <w:rFonts w:hint="eastAsia" w:ascii="Times New Roman" w:hAnsi="Times New Roman" w:eastAsia="宋体" w:cs="宋体"/>
          <w:snapToGrid w:val="0"/>
          <w:color w:val="auto"/>
          <w:kern w:val="0"/>
          <w:sz w:val="24"/>
          <w:szCs w:val="21"/>
          <w:lang w:val="zh-CN" w:eastAsia="zh-CN" w:bidi="ar-SA"/>
        </w:rPr>
        <w:t>吨，同时配备报警系统及必要的通信器材，以便及时与当地的海事局和下游水厂建立联系，及时采取应急措施。</w:t>
      </w:r>
    </w:p>
    <w:p w14:paraId="4EC048F5">
      <w:pPr>
        <w:widowControl w:val="0"/>
        <w:spacing w:line="360" w:lineRule="auto"/>
        <w:ind w:firstLine="480" w:firstLineChars="200"/>
        <w:jc w:val="both"/>
        <w:rPr>
          <w:rFonts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（8）严禁施工期施工人员在水产种质资源保护区内捕猎鱼类。</w:t>
      </w:r>
    </w:p>
    <w:p w14:paraId="26B85A90">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（9）严禁施工作业单位擅自扩大施工作业安全区，严禁无关船舶进入施工作业水域。</w:t>
      </w:r>
    </w:p>
    <w:p w14:paraId="64D3059E">
      <w:pPr>
        <w:widowControl w:val="0"/>
        <w:spacing w:line="360" w:lineRule="auto"/>
        <w:ind w:firstLine="480" w:firstLineChars="200"/>
        <w:jc w:val="both"/>
        <w:rPr>
          <w:rFonts w:hint="eastAsia" w:ascii="Times New Roman" w:hAnsi="Times New Roman" w:eastAsia="宋体" w:cs="宋体"/>
          <w:snapToGrid w:val="0"/>
          <w:color w:val="auto"/>
          <w:kern w:val="0"/>
          <w:sz w:val="24"/>
          <w:szCs w:val="21"/>
          <w:lang w:val="zh-CN" w:eastAsia="zh-CN" w:bidi="ar-SA"/>
        </w:rPr>
      </w:pPr>
      <w:r>
        <w:rPr>
          <w:rFonts w:hint="eastAsia" w:ascii="Times New Roman" w:hAnsi="Times New Roman" w:eastAsia="宋体" w:cs="宋体"/>
          <w:snapToGrid w:val="0"/>
          <w:color w:val="auto"/>
          <w:kern w:val="0"/>
          <w:sz w:val="24"/>
          <w:szCs w:val="21"/>
          <w:lang w:val="zh-CN" w:eastAsia="zh-CN" w:bidi="ar-SA"/>
        </w:rPr>
        <w:t>（10）严禁施工船舶在施工水域排放船舶底油污水和生活污水，船舶底油污水和生活污水经收集后送有资质单位接受处理。</w:t>
      </w:r>
    </w:p>
    <w:p w14:paraId="45E41845">
      <w:pPr>
        <w:keepNext/>
        <w:keepLines/>
        <w:widowControl w:val="0"/>
        <w:numPr>
          <w:ilvl w:val="0"/>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291" w:name="_Toc4041"/>
      <w:r>
        <w:rPr>
          <w:rFonts w:hint="eastAsia" w:ascii="Times New Roman" w:hAnsi="Times New Roman" w:eastAsia="黑体" w:cs="Times New Roman"/>
          <w:bCs/>
          <w:color w:val="auto"/>
          <w:kern w:val="2"/>
          <w:sz w:val="30"/>
          <w:szCs w:val="32"/>
          <w:lang w:val="en-US" w:eastAsia="zh-CN" w:bidi="ar-SA"/>
        </w:rPr>
        <w:t>6.2</w:t>
      </w:r>
      <w:r>
        <w:rPr>
          <w:rFonts w:ascii="Times New Roman" w:hAnsi="Times New Roman" w:eastAsia="黑体" w:cs="Times New Roman"/>
          <w:bCs/>
          <w:color w:val="auto"/>
          <w:kern w:val="2"/>
          <w:sz w:val="30"/>
          <w:szCs w:val="32"/>
          <w:lang w:val="en-US" w:eastAsia="zh-CN" w:bidi="ar-SA"/>
        </w:rPr>
        <w:t>运营期污染防治措施</w:t>
      </w:r>
      <w:bookmarkEnd w:id="291"/>
    </w:p>
    <w:p w14:paraId="650AC4D5">
      <w:pPr>
        <w:keepNext/>
        <w:keepLines/>
        <w:widowControl w:val="0"/>
        <w:numPr>
          <w:ilvl w:val="0"/>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6.2.1</w:t>
      </w:r>
      <w:r>
        <w:rPr>
          <w:rFonts w:ascii="Times New Roman" w:hAnsi="Times New Roman" w:eastAsia="黑体" w:cs="Times New Roman"/>
          <w:bCs/>
          <w:color w:val="auto"/>
          <w:kern w:val="2"/>
          <w:sz w:val="28"/>
          <w:szCs w:val="32"/>
          <w:lang w:val="en-US" w:eastAsia="zh-CN" w:bidi="ar-SA"/>
        </w:rPr>
        <w:t>运营期水污染防治措施及可行性论证</w:t>
      </w:r>
    </w:p>
    <w:p w14:paraId="3B97666B">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本项目运营期</w:t>
      </w:r>
      <w:r>
        <w:rPr>
          <w:rFonts w:hint="eastAsia" w:ascii="Times New Roman" w:hAnsi="Times New Roman" w:eastAsia="宋体" w:cs="Times New Roman"/>
          <w:color w:val="auto"/>
          <w:sz w:val="24"/>
        </w:rPr>
        <w:t>产生的废水主要包括：</w:t>
      </w:r>
      <w:r>
        <w:rPr>
          <w:rFonts w:ascii="Times New Roman" w:hAnsi="Times New Roman" w:eastAsia="宋体" w:cs="Times New Roman"/>
          <w:color w:val="auto"/>
          <w:sz w:val="24"/>
        </w:rPr>
        <w:t>员工生活污水、初期雨水、码头地面冲洗废水、机械车辆冲洗废水、船舶生活污水和船舶含油污水。</w:t>
      </w:r>
    </w:p>
    <w:p w14:paraId="45249FEA">
      <w:pPr>
        <w:keepNext/>
        <w:keepLines/>
        <w:widowControl w:val="0"/>
        <w:numPr>
          <w:ilvl w:val="0"/>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6.2.1.1船舶生活污水及船舶含油污水</w:t>
      </w:r>
    </w:p>
    <w:p w14:paraId="6E0B0F15">
      <w:pPr>
        <w:spacing w:line="360" w:lineRule="auto"/>
        <w:ind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船舶含油污水及船舶生活污水收集后泵入隔油沉淀池（</w:t>
      </w:r>
      <w:r>
        <w:rPr>
          <w:rFonts w:ascii="Times New Roman" w:hAnsi="Times New Roman" w:eastAsia="宋体" w:cs="Times New Roman"/>
          <w:color w:val="auto"/>
          <w:sz w:val="24"/>
          <w:szCs w:val="24"/>
        </w:rPr>
        <w:t>15m×6m×2m</w:t>
      </w:r>
      <w:r>
        <w:rPr>
          <w:rFonts w:hint="eastAsia" w:ascii="Times New Roman" w:hAnsi="Times New Roman" w:eastAsia="宋体" w:cs="Times New Roman"/>
          <w:color w:val="auto"/>
          <w:sz w:val="24"/>
          <w:szCs w:val="24"/>
        </w:rPr>
        <w:t>）经沉淀预处理进入一体化处理设施达标后排入港区回用水池，废水处理后满足《城市污水再生利用 城市杂用水水质》</w:t>
      </w:r>
      <w:r>
        <w:rPr>
          <w:rFonts w:hint="eastAsia" w:cs="Times New Roman"/>
          <w:color w:val="auto"/>
          <w:sz w:val="24"/>
          <w:szCs w:val="24"/>
          <w:lang w:eastAsia="zh-CN"/>
        </w:rPr>
        <w:t>（</w:t>
      </w:r>
      <w:r>
        <w:rPr>
          <w:rFonts w:hint="eastAsia" w:ascii="Times New Roman" w:hAnsi="Times New Roman" w:eastAsia="宋体" w:cs="Times New Roman"/>
          <w:color w:val="auto"/>
          <w:sz w:val="24"/>
          <w:szCs w:val="24"/>
        </w:rPr>
        <w:t>GB/T18920-20</w:t>
      </w:r>
      <w:r>
        <w:rPr>
          <w:rFonts w:ascii="Times New Roman" w:hAnsi="Times New Roman" w:eastAsia="宋体" w:cs="Times New Roman"/>
          <w:color w:val="auto"/>
          <w:sz w:val="24"/>
          <w:szCs w:val="24"/>
        </w:rPr>
        <w:t>20</w:t>
      </w:r>
      <w:r>
        <w:rPr>
          <w:rFonts w:hint="eastAsia" w:ascii="Times New Roman" w:hAnsi="Times New Roman" w:eastAsia="宋体" w:cs="Times New Roman"/>
          <w:color w:val="auto"/>
          <w:sz w:val="24"/>
          <w:szCs w:val="24"/>
        </w:rPr>
        <w:t>）中“城市绿化</w:t>
      </w:r>
      <w:r>
        <w:rPr>
          <w:rFonts w:hint="eastAsia" w:cs="Times New Roman"/>
          <w:color w:val="auto"/>
          <w:sz w:val="24"/>
          <w:szCs w:val="24"/>
          <w:lang w:eastAsia="zh-CN"/>
        </w:rPr>
        <w:t>”“</w:t>
      </w:r>
      <w:r>
        <w:rPr>
          <w:rFonts w:hint="eastAsia" w:ascii="Times New Roman" w:hAnsi="Times New Roman" w:eastAsia="宋体" w:cs="Times New Roman"/>
          <w:color w:val="auto"/>
          <w:sz w:val="24"/>
          <w:szCs w:val="24"/>
        </w:rPr>
        <w:t>道路清扫、消防”及“车辆冲洗”相应标准，用于道路喷洒、绿化、机械车辆冲洗及码头地面冲洗，</w:t>
      </w:r>
      <w:r>
        <w:rPr>
          <w:rFonts w:ascii="Times New Roman" w:hAnsi="Times New Roman" w:eastAsia="宋体" w:cs="Times New Roman"/>
          <w:color w:val="auto"/>
          <w:sz w:val="24"/>
        </w:rPr>
        <w:t>不外排。</w:t>
      </w:r>
    </w:p>
    <w:p w14:paraId="47E6673D">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此外，项目建设单位应加强与港监部门的配合，积极做好到港船舶的环保监管工作，严禁向淮河水域排放各类污水、倾倒各类固体废物；船舶靠港装卸、补给期间，应通过宣传教育，</w:t>
      </w:r>
      <w:r>
        <w:rPr>
          <w:rFonts w:hint="eastAsia" w:cs="Times New Roman"/>
          <w:color w:val="auto"/>
          <w:sz w:val="24"/>
          <w:lang w:eastAsia="zh-CN"/>
        </w:rPr>
        <w:t>增强</w:t>
      </w:r>
      <w:r>
        <w:rPr>
          <w:rFonts w:hint="eastAsia" w:ascii="Times New Roman" w:hAnsi="Times New Roman" w:eastAsia="宋体" w:cs="Times New Roman"/>
          <w:color w:val="auto"/>
          <w:sz w:val="24"/>
        </w:rPr>
        <w:t>船员的节水意识，可显著减少船舶生活污水的排放量；加强船舶靠港装卸、补给期间冲洗设备的定期</w:t>
      </w:r>
      <w:r>
        <w:rPr>
          <w:rFonts w:hint="eastAsia" w:cs="Times New Roman"/>
          <w:color w:val="auto"/>
          <w:sz w:val="24"/>
          <w:lang w:eastAsia="zh-CN"/>
        </w:rPr>
        <w:t>检查</w:t>
      </w:r>
      <w:r>
        <w:rPr>
          <w:rFonts w:hint="eastAsia" w:ascii="Times New Roman" w:hAnsi="Times New Roman" w:eastAsia="宋体" w:cs="Times New Roman"/>
          <w:color w:val="auto"/>
          <w:sz w:val="24"/>
        </w:rPr>
        <w:t>，杜绝“跑、冒、滴、漏”现象，也有利于污水量的</w:t>
      </w:r>
      <w:r>
        <w:rPr>
          <w:rFonts w:hint="eastAsia" w:cs="Times New Roman"/>
          <w:color w:val="auto"/>
          <w:sz w:val="24"/>
          <w:lang w:eastAsia="zh-CN"/>
        </w:rPr>
        <w:t>最小化</w:t>
      </w:r>
      <w:r>
        <w:rPr>
          <w:rFonts w:hint="eastAsia" w:ascii="Times New Roman" w:hAnsi="Times New Roman" w:eastAsia="宋体" w:cs="Times New Roman"/>
          <w:color w:val="auto"/>
          <w:sz w:val="24"/>
        </w:rPr>
        <w:t>。</w:t>
      </w:r>
    </w:p>
    <w:p w14:paraId="2A8312D3">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为保证到港船舶污染物不污染码头水域，建议在码头前沿醒目处设置严禁排污的警示牌和标明污染物回收站点的指示牌，并加强与淮南市地方海事部门的沟通与协调，加强本码头水域的监管和巡</w:t>
      </w:r>
      <w:r>
        <w:rPr>
          <w:rFonts w:hint="eastAsia" w:cs="Times New Roman"/>
          <w:color w:val="auto"/>
          <w:sz w:val="24"/>
          <w:lang w:eastAsia="zh-CN"/>
        </w:rPr>
        <w:t>查</w:t>
      </w:r>
      <w:r>
        <w:rPr>
          <w:rFonts w:hint="eastAsia" w:ascii="Times New Roman" w:hAnsi="Times New Roman" w:eastAsia="宋体" w:cs="Times New Roman"/>
          <w:color w:val="auto"/>
          <w:sz w:val="24"/>
        </w:rPr>
        <w:t>。</w:t>
      </w:r>
    </w:p>
    <w:p w14:paraId="69B20E3B">
      <w:pPr>
        <w:keepNext/>
        <w:keepLines/>
        <w:widowControl w:val="0"/>
        <w:numPr>
          <w:ilvl w:val="0"/>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6.2.1.2陆域废水防治措施及可行性分析</w:t>
      </w:r>
    </w:p>
    <w:p w14:paraId="756FAF42">
      <w:pPr>
        <w:spacing w:line="360" w:lineRule="auto"/>
        <w:ind w:firstLine="480" w:firstLineChars="200"/>
        <w:rPr>
          <w:rFonts w:ascii="Times New Roman" w:hAnsi="Times New Roman" w:eastAsia="宋体" w:cs="Times New Roman"/>
          <w:color w:val="auto"/>
          <w:sz w:val="24"/>
        </w:rPr>
      </w:pPr>
      <w:bookmarkStart w:id="292" w:name="_Hlk108878727"/>
      <w:r>
        <w:rPr>
          <w:rFonts w:ascii="Times New Roman" w:hAnsi="Times New Roman" w:eastAsia="宋体" w:cs="Times New Roman"/>
          <w:color w:val="auto"/>
          <w:sz w:val="24"/>
        </w:rPr>
        <w:t>（</w:t>
      </w:r>
      <w:r>
        <w:rPr>
          <w:rFonts w:hint="eastAsia" w:ascii="Times New Roman" w:hAnsi="Times New Roman" w:eastAsia="宋体" w:cs="Times New Roman"/>
          <w:color w:val="auto"/>
          <w:sz w:val="24"/>
        </w:rPr>
        <w:t>1</w:t>
      </w:r>
      <w:r>
        <w:rPr>
          <w:rFonts w:ascii="Times New Roman" w:hAnsi="Times New Roman" w:eastAsia="宋体" w:cs="Times New Roman"/>
          <w:color w:val="auto"/>
          <w:sz w:val="24"/>
        </w:rPr>
        <w:t>）陆域生产废水处理系统</w:t>
      </w:r>
    </w:p>
    <w:p w14:paraId="5FBEC878">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w:instrText>
      </w:r>
      <w:r>
        <w:rPr>
          <w:rFonts w:hint="eastAsia" w:ascii="Times New Roman" w:hAnsi="Times New Roman" w:eastAsia="宋体" w:cs="Times New Roman"/>
          <w:color w:val="auto"/>
          <w:sz w:val="24"/>
        </w:rPr>
        <w:instrText xml:space="preserve">= 1 \* GB3</w:instrText>
      </w:r>
      <w:r>
        <w:rPr>
          <w:rFonts w:ascii="Times New Roman" w:hAnsi="Times New Roman" w:eastAsia="宋体" w:cs="Times New Roman"/>
          <w:color w:val="auto"/>
          <w:sz w:val="24"/>
        </w:rPr>
        <w:instrText xml:space="preserve"> </w:instrText>
      </w:r>
      <w:r>
        <w:rPr>
          <w:rFonts w:ascii="Times New Roman" w:hAnsi="Times New Roman" w:eastAsia="宋体" w:cs="Times New Roman"/>
          <w:color w:val="auto"/>
          <w:sz w:val="24"/>
        </w:rPr>
        <w:fldChar w:fldCharType="separate"/>
      </w:r>
      <w:r>
        <w:rPr>
          <w:rFonts w:hint="eastAsia" w:ascii="Times New Roman" w:hAnsi="Times New Roman" w:eastAsia="宋体" w:cs="Times New Roman"/>
          <w:color w:val="auto"/>
          <w:sz w:val="24"/>
        </w:rPr>
        <w:t>①</w:t>
      </w:r>
      <w:r>
        <w:rPr>
          <w:rFonts w:ascii="Times New Roman" w:hAnsi="Times New Roman" w:eastAsia="宋体" w:cs="Times New Roman"/>
          <w:color w:val="auto"/>
          <w:sz w:val="24"/>
        </w:rPr>
        <w:fldChar w:fldCharType="end"/>
      </w:r>
      <w:r>
        <w:rPr>
          <w:rFonts w:hint="eastAsia" w:ascii="Times New Roman" w:hAnsi="Times New Roman" w:eastAsia="宋体" w:cs="Times New Roman"/>
          <w:color w:val="auto"/>
          <w:sz w:val="24"/>
        </w:rPr>
        <w:t>废水处理工艺可行性分析：</w:t>
      </w:r>
    </w:p>
    <w:p w14:paraId="5228083E">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由于本项目为散货作业区，道路及作业区平台初期雨水、</w:t>
      </w:r>
      <w:r>
        <w:rPr>
          <w:rFonts w:hint="eastAsia" w:ascii="Times New Roman" w:hAnsi="Times New Roman" w:eastAsia="宋体" w:cs="Times New Roman"/>
          <w:color w:val="auto"/>
          <w:sz w:val="24"/>
        </w:rPr>
        <w:t>码头地面冲洗废水</w:t>
      </w:r>
      <w:r>
        <w:rPr>
          <w:rFonts w:ascii="Times New Roman" w:hAnsi="Times New Roman" w:eastAsia="宋体" w:cs="Times New Roman"/>
          <w:color w:val="auto"/>
          <w:sz w:val="24"/>
        </w:rPr>
        <w:t>中主要污染物为</w:t>
      </w:r>
      <w:r>
        <w:rPr>
          <w:rFonts w:hint="eastAsia" w:ascii="Times New Roman" w:hAnsi="Times New Roman" w:eastAsia="宋体" w:cs="Times New Roman"/>
          <w:color w:val="auto"/>
          <w:sz w:val="24"/>
        </w:rPr>
        <w:t>S</w:t>
      </w:r>
      <w:r>
        <w:rPr>
          <w:rFonts w:ascii="Times New Roman" w:hAnsi="Times New Roman" w:eastAsia="宋体" w:cs="Times New Roman"/>
          <w:color w:val="auto"/>
          <w:sz w:val="24"/>
        </w:rPr>
        <w:t>S，在水中极易沉淀。混凝沉淀的处理工艺目前已较为成熟，广泛用于水质简单、</w:t>
      </w:r>
      <w:r>
        <w:rPr>
          <w:rFonts w:hint="eastAsia" w:ascii="Times New Roman" w:hAnsi="Times New Roman" w:eastAsia="宋体" w:cs="Times New Roman"/>
          <w:color w:val="auto"/>
          <w:sz w:val="24"/>
        </w:rPr>
        <w:t>S</w:t>
      </w:r>
      <w:r>
        <w:rPr>
          <w:rFonts w:ascii="Times New Roman" w:hAnsi="Times New Roman" w:eastAsia="宋体" w:cs="Times New Roman"/>
          <w:color w:val="auto"/>
          <w:sz w:val="24"/>
        </w:rPr>
        <w:t>S浓度较高的废水回用处理中，该工艺具有稳定、简单可操作性强的优点，混凝沉淀池对废水中</w:t>
      </w:r>
      <w:r>
        <w:rPr>
          <w:rFonts w:hint="eastAsia" w:ascii="Times New Roman" w:hAnsi="Times New Roman" w:eastAsia="宋体" w:cs="Times New Roman"/>
          <w:color w:val="auto"/>
          <w:sz w:val="24"/>
        </w:rPr>
        <w:t>S</w:t>
      </w:r>
      <w:r>
        <w:rPr>
          <w:rFonts w:ascii="Times New Roman" w:hAnsi="Times New Roman" w:eastAsia="宋体" w:cs="Times New Roman"/>
          <w:color w:val="auto"/>
          <w:sz w:val="24"/>
        </w:rPr>
        <w:t>S的去除效率约为</w:t>
      </w:r>
      <w:r>
        <w:rPr>
          <w:rFonts w:hint="eastAsia" w:ascii="Times New Roman" w:hAnsi="Times New Roman" w:eastAsia="宋体" w:cs="Times New Roman"/>
          <w:color w:val="auto"/>
          <w:sz w:val="24"/>
        </w:rPr>
        <w:t>9</w:t>
      </w:r>
      <w:r>
        <w:rPr>
          <w:rFonts w:ascii="Times New Roman" w:hAnsi="Times New Roman" w:eastAsia="宋体" w:cs="Times New Roman"/>
          <w:color w:val="auto"/>
          <w:sz w:val="24"/>
        </w:rPr>
        <w:t>0%，</w:t>
      </w:r>
      <w:r>
        <w:rPr>
          <w:rFonts w:hint="eastAsia" w:ascii="Times New Roman" w:hAnsi="Times New Roman" w:eastAsia="宋体" w:cs="Times New Roman"/>
          <w:color w:val="auto"/>
          <w:sz w:val="24"/>
        </w:rPr>
        <w:t>沉淀池后废水进入好氧生物接触氧化池，然后经过沉淀，上层废水经消毒池消毒后进入回用水箱，用于项目道路喷洒、绿化及机械设备冲洗用水，下层污泥进入污泥池，污泥定期外运。从环保、经济、技</w:t>
      </w:r>
      <w:r>
        <w:rPr>
          <w:rFonts w:hint="eastAsia" w:cs="Times New Roman"/>
          <w:color w:val="auto"/>
          <w:sz w:val="24"/>
          <w:lang w:eastAsia="zh-CN"/>
        </w:rPr>
        <w:t>术等</w:t>
      </w:r>
      <w:r>
        <w:rPr>
          <w:rFonts w:hint="eastAsia" w:ascii="Times New Roman" w:hAnsi="Times New Roman" w:eastAsia="宋体" w:cs="Times New Roman"/>
          <w:color w:val="auto"/>
          <w:sz w:val="24"/>
        </w:rPr>
        <w:t>各方面</w:t>
      </w:r>
      <w:r>
        <w:rPr>
          <w:rFonts w:hint="eastAsia" w:cs="Times New Roman"/>
          <w:color w:val="auto"/>
          <w:sz w:val="24"/>
          <w:lang w:eastAsia="zh-CN"/>
        </w:rPr>
        <w:t>均</w:t>
      </w:r>
      <w:r>
        <w:rPr>
          <w:rFonts w:hint="eastAsia" w:ascii="Times New Roman" w:hAnsi="Times New Roman" w:eastAsia="宋体" w:cs="Times New Roman"/>
          <w:color w:val="auto"/>
          <w:sz w:val="24"/>
        </w:rPr>
        <w:t>具有可行性的。</w:t>
      </w:r>
    </w:p>
    <w:p w14:paraId="4A4B01E5">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根据《水运工程环境环保设计规范》（JTS149-2018）及</w:t>
      </w:r>
      <w:r>
        <w:rPr>
          <w:rFonts w:ascii="Times New Roman" w:hAnsi="Times New Roman" w:eastAsia="宋体" w:cs="Times New Roman"/>
          <w:color w:val="auto"/>
          <w:sz w:val="24"/>
          <w:szCs w:val="24"/>
        </w:rPr>
        <w:t>《排污许可证申请与核发技术规范 码头》（HJ1107-2020）</w:t>
      </w:r>
      <w:r>
        <w:rPr>
          <w:rFonts w:hint="eastAsia" w:ascii="Times New Roman" w:hAnsi="Times New Roman" w:eastAsia="宋体" w:cs="Times New Roman"/>
          <w:color w:val="auto"/>
          <w:sz w:val="24"/>
          <w:szCs w:val="24"/>
        </w:rPr>
        <w:t>，项目废水处理工艺见下图</w:t>
      </w:r>
      <w:r>
        <w:rPr>
          <w:rFonts w:hint="eastAsia" w:ascii="Times New Roman" w:hAnsi="Times New Roman" w:eastAsia="宋体" w:cs="Times New Roman"/>
          <w:color w:val="auto"/>
          <w:sz w:val="24"/>
        </w:rPr>
        <w:t>。</w:t>
      </w:r>
    </w:p>
    <w:p w14:paraId="3996298F">
      <w:pPr>
        <w:spacing w:line="360" w:lineRule="auto"/>
        <w:jc w:val="center"/>
        <w:rPr>
          <w:rFonts w:hint="eastAsia" w:ascii="Times New Roman" w:hAnsi="Times New Roman" w:eastAsia="黑体" w:cs="Times New Roman"/>
          <w:color w:val="auto"/>
          <w:sz w:val="24"/>
        </w:rPr>
      </w:pPr>
      <w:r>
        <w:rPr>
          <w:rFonts w:ascii="Times New Roman" w:hAnsi="Times New Roman" w:eastAsia="宋体" w:cs="Times New Roman"/>
          <w:color w:val="auto"/>
        </w:rPr>
        <w:object>
          <v:shape id="_x0000_i1056" o:spt="75" type="#_x0000_t75" style="height:151pt;width:453.05pt;" o:ole="t" filled="f" stroked="f" coordsize="21600,21600">
            <v:path/>
            <v:fill on="f" focussize="0,0"/>
            <v:stroke on="f"/>
            <v:imagedata r:id="rId209" o:title=""/>
            <o:lock v:ext="edit" aspectratio="t"/>
            <w10:wrap type="none"/>
            <w10:anchorlock/>
          </v:shape>
          <o:OLEObject Type="Embed" ProgID="RFFlow4" ShapeID="_x0000_i1056" DrawAspect="Content" ObjectID="_1468075756" r:id="rId208">
            <o:LockedField>false</o:LockedField>
          </o:OLEObject>
        </w:object>
      </w:r>
      <w:r>
        <w:rPr>
          <w:rFonts w:ascii="Times New Roman" w:hAnsi="Times New Roman" w:eastAsia="黑体" w:cs="Times New Roman"/>
          <w:color w:val="auto"/>
          <w:sz w:val="24"/>
        </w:rPr>
        <w:t>图6.2-1  废水处理工艺流程图</w:t>
      </w:r>
    </w:p>
    <w:p w14:paraId="165E64A5">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 xml:space="preserve">②处理规模 </w:t>
      </w:r>
    </w:p>
    <w:p w14:paraId="62FBB2BA">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机械设备冲洗水、码头地面冲洗水</w:t>
      </w:r>
      <w:r>
        <w:rPr>
          <w:rFonts w:ascii="Times New Roman" w:hAnsi="Times New Roman" w:eastAsia="宋体" w:cs="Times New Roman"/>
          <w:color w:val="auto"/>
          <w:sz w:val="24"/>
        </w:rPr>
        <w:t>和初期雨水</w:t>
      </w:r>
      <w:r>
        <w:rPr>
          <w:rFonts w:hint="eastAsia" w:ascii="Times New Roman" w:hAnsi="Times New Roman" w:eastAsia="宋体" w:cs="Times New Roman"/>
          <w:color w:val="auto"/>
          <w:sz w:val="24"/>
        </w:rPr>
        <w:t>，经隔油沉淀池预处理后，进入一体化污水处理设备处理，回用于码头地面冲洗、道路喷洒、机械车辆冲洗及绿化。</w:t>
      </w:r>
    </w:p>
    <w:p w14:paraId="45D94D09">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本项目拟建一座隔油沉淀池（15m×6m×2m）+一套陆域生产废水处理设施（3</w:t>
      </w:r>
      <w:r>
        <w:rPr>
          <w:rFonts w:ascii="Times New Roman" w:hAnsi="Times New Roman" w:eastAsia="宋体" w:cs="Times New Roman"/>
          <w:color w:val="auto"/>
          <w:sz w:val="24"/>
        </w:rPr>
        <w:t>0</w:t>
      </w:r>
      <w:r>
        <w:rPr>
          <w:rFonts w:hint="eastAsia" w:ascii="Times New Roman" w:hAnsi="Times New Roman" w:eastAsia="宋体" w:cs="Times New Roman"/>
          <w:color w:val="auto"/>
          <w:sz w:val="24"/>
        </w:rPr>
        <w:t>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cs="Times New Roman"/>
          <w:color w:val="auto"/>
          <w:sz w:val="24"/>
          <w:lang w:val="en-US" w:eastAsia="zh-CN"/>
        </w:rPr>
        <w:t>d</w:t>
      </w:r>
      <w:r>
        <w:rPr>
          <w:rFonts w:hint="eastAsia" w:ascii="Times New Roman" w:hAnsi="Times New Roman" w:eastAsia="宋体" w:cs="Times New Roman"/>
          <w:color w:val="auto"/>
          <w:sz w:val="24"/>
        </w:rPr>
        <w:t>），机械设备冲洗水、码头地面冲洗水</w:t>
      </w:r>
      <w:r>
        <w:rPr>
          <w:rFonts w:ascii="Times New Roman" w:hAnsi="Times New Roman" w:eastAsia="宋体" w:cs="Times New Roman"/>
          <w:color w:val="auto"/>
          <w:sz w:val="24"/>
        </w:rPr>
        <w:t>和初期雨水</w:t>
      </w:r>
      <w:r>
        <w:rPr>
          <w:rFonts w:hint="eastAsia" w:ascii="Times New Roman" w:hAnsi="Times New Roman" w:eastAsia="宋体" w:cs="Times New Roman"/>
          <w:color w:val="auto"/>
          <w:sz w:val="24"/>
        </w:rPr>
        <w:t>主要污染物为SS及石油类，本项目进入污水处理设施的废水量为5</w:t>
      </w:r>
      <w:r>
        <w:rPr>
          <w:rFonts w:ascii="Times New Roman" w:hAnsi="Times New Roman" w:eastAsia="宋体" w:cs="Times New Roman"/>
          <w:color w:val="auto"/>
          <w:sz w:val="24"/>
        </w:rPr>
        <w:t>685.6</w:t>
      </w:r>
      <w:r>
        <w:rPr>
          <w:rFonts w:hint="eastAsia" w:ascii="Times New Roman" w:hAnsi="Times New Roman" w:eastAsia="宋体" w:cs="Times New Roman"/>
          <w:color w:val="auto"/>
          <w:sz w:val="24"/>
        </w:rPr>
        <w:t>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a，即2</w:t>
      </w:r>
      <w:r>
        <w:rPr>
          <w:rFonts w:ascii="Times New Roman" w:hAnsi="Times New Roman" w:eastAsia="宋体" w:cs="Times New Roman"/>
          <w:color w:val="auto"/>
          <w:sz w:val="24"/>
        </w:rPr>
        <w:t>7.07</w:t>
      </w:r>
      <w:r>
        <w:rPr>
          <w:rFonts w:hint="eastAsia" w:ascii="Times New Roman" w:hAnsi="Times New Roman" w:eastAsia="宋体" w:cs="Times New Roman"/>
          <w:color w:val="auto"/>
          <w:sz w:val="24"/>
        </w:rPr>
        <w:t>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d，本项目一体化污水处理设施处理规模3</w:t>
      </w:r>
      <w:r>
        <w:rPr>
          <w:rFonts w:ascii="Times New Roman" w:hAnsi="Times New Roman" w:eastAsia="宋体" w:cs="Times New Roman"/>
          <w:color w:val="auto"/>
          <w:sz w:val="24"/>
        </w:rPr>
        <w:t>0</w:t>
      </w:r>
      <w:r>
        <w:rPr>
          <w:rFonts w:hint="eastAsia" w:ascii="Times New Roman" w:hAnsi="Times New Roman" w:eastAsia="宋体" w:cs="Times New Roman"/>
          <w:color w:val="auto"/>
          <w:sz w:val="24"/>
        </w:rPr>
        <w:t>m</w:t>
      </w:r>
      <w:r>
        <w:rPr>
          <w:rFonts w:ascii="Times New Roman" w:hAnsi="Times New Roman" w:eastAsia="宋体" w:cs="Times New Roman"/>
          <w:color w:val="auto"/>
          <w:sz w:val="24"/>
          <w:vertAlign w:val="superscript"/>
        </w:rPr>
        <w:t>3</w:t>
      </w:r>
      <w:r>
        <w:rPr>
          <w:rFonts w:ascii="Times New Roman" w:hAnsi="Times New Roman" w:eastAsia="宋体" w:cs="Times New Roman"/>
          <w:color w:val="auto"/>
          <w:sz w:val="24"/>
        </w:rPr>
        <w:t>/</w:t>
      </w:r>
      <w:r>
        <w:rPr>
          <w:rFonts w:hint="eastAsia" w:cs="Times New Roman"/>
          <w:color w:val="auto"/>
          <w:sz w:val="24"/>
          <w:lang w:val="en-US" w:eastAsia="zh-CN"/>
        </w:rPr>
        <w:t>d</w:t>
      </w:r>
      <w:r>
        <w:rPr>
          <w:rFonts w:hint="eastAsia" w:ascii="Times New Roman" w:hAnsi="Times New Roman" w:eastAsia="宋体" w:cs="Times New Roman"/>
          <w:color w:val="auto"/>
          <w:sz w:val="24"/>
        </w:rPr>
        <w:t>，因此，本项目一体化污水处理设施规模满足本项目废水需求。</w:t>
      </w:r>
    </w:p>
    <w:p w14:paraId="43170490">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③达标可行性分析</w:t>
      </w:r>
    </w:p>
    <w:p w14:paraId="14126AFC">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根据《生物接触氧化法污水处理工程技术规范》（H</w:t>
      </w:r>
      <w:r>
        <w:rPr>
          <w:rFonts w:ascii="Times New Roman" w:hAnsi="Times New Roman" w:eastAsia="宋体" w:cs="Times New Roman"/>
          <w:color w:val="auto"/>
          <w:sz w:val="24"/>
        </w:rPr>
        <w:t>J2009-2011</w:t>
      </w:r>
      <w:r>
        <w:rPr>
          <w:rFonts w:hint="eastAsia" w:ascii="Times New Roman" w:hAnsi="Times New Roman" w:eastAsia="宋体" w:cs="Times New Roman"/>
          <w:color w:val="auto"/>
          <w:sz w:val="24"/>
        </w:rPr>
        <w:t>）及同类型企业类别，项目废水产生、排放及隔油沉淀池及一体化污水处理设施各处理效率情况见下表。</w:t>
      </w:r>
    </w:p>
    <w:p w14:paraId="0C3D1AF4">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污水经处理后进、出水水质预测值见表6.2-2。</w:t>
      </w:r>
    </w:p>
    <w:p w14:paraId="416333A4">
      <w:pPr>
        <w:spacing w:line="300" w:lineRule="exact"/>
        <w:jc w:val="center"/>
        <w:rPr>
          <w:rFonts w:ascii="Times New Roman" w:hAnsi="Times New Roman" w:eastAsia="宋体" w:cs="Times New Roman"/>
          <w:color w:val="auto"/>
          <w:sz w:val="24"/>
        </w:rPr>
      </w:pPr>
      <w:r>
        <w:rPr>
          <w:rFonts w:hint="eastAsia" w:ascii="Times New Roman" w:hAnsi="Times New Roman" w:eastAsia="黑体" w:cs="Times New Roman"/>
          <w:color w:val="auto"/>
          <w:sz w:val="24"/>
        </w:rPr>
        <w:t>表</w:t>
      </w:r>
      <w:r>
        <w:rPr>
          <w:rFonts w:ascii="Times New Roman" w:hAnsi="Times New Roman" w:eastAsia="黑体" w:cs="Times New Roman"/>
          <w:color w:val="auto"/>
          <w:sz w:val="24"/>
        </w:rPr>
        <w:t xml:space="preserve">6.2-2  </w:t>
      </w:r>
      <w:r>
        <w:rPr>
          <w:rFonts w:hint="eastAsia" w:ascii="Times New Roman" w:hAnsi="Times New Roman" w:eastAsia="黑体" w:cs="Times New Roman"/>
          <w:color w:val="auto"/>
          <w:sz w:val="24"/>
        </w:rPr>
        <w:t>污水处理设施各工段进出水情况一览表</w:t>
      </w:r>
    </w:p>
    <w:tbl>
      <w:tblPr>
        <w:tblStyle w:val="53"/>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701"/>
        <w:gridCol w:w="1276"/>
        <w:gridCol w:w="1297"/>
        <w:gridCol w:w="1414"/>
        <w:gridCol w:w="1179"/>
        <w:gridCol w:w="1035"/>
      </w:tblGrid>
      <w:tr w14:paraId="1CE60C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85" w:type="dxa"/>
            <w:gridSpan w:val="2"/>
            <w:noWrap w:val="0"/>
            <w:vAlign w:val="center"/>
          </w:tcPr>
          <w:p w14:paraId="14F65317">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b/>
                <w:color w:val="auto"/>
              </w:rPr>
            </w:pPr>
            <w:r>
              <w:rPr>
                <w:rFonts w:hint="eastAsia" w:ascii="Times New Roman" w:hAnsi="Times New Roman" w:eastAsia="宋体" w:cs="Times New Roman"/>
                <w:b/>
                <w:color w:val="auto"/>
              </w:rPr>
              <w:t>类别</w:t>
            </w:r>
          </w:p>
        </w:tc>
        <w:tc>
          <w:tcPr>
            <w:tcW w:w="1276" w:type="dxa"/>
            <w:noWrap w:val="0"/>
            <w:vAlign w:val="center"/>
          </w:tcPr>
          <w:p w14:paraId="52E241C5">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b/>
                <w:color w:val="auto"/>
              </w:rPr>
            </w:pPr>
            <w:r>
              <w:rPr>
                <w:rFonts w:hint="eastAsia" w:ascii="Times New Roman" w:hAnsi="Times New Roman" w:eastAsia="宋体" w:cs="Times New Roman"/>
                <w:b/>
                <w:color w:val="auto"/>
              </w:rPr>
              <w:t>C</w:t>
            </w:r>
            <w:r>
              <w:rPr>
                <w:rFonts w:hint="default" w:ascii="Times New Roman" w:hAnsi="Times New Roman" w:eastAsia="宋体" w:cs="Times New Roman"/>
                <w:b/>
                <w:color w:val="auto"/>
              </w:rPr>
              <w:t>OD</w:t>
            </w:r>
          </w:p>
        </w:tc>
        <w:tc>
          <w:tcPr>
            <w:tcW w:w="1297" w:type="dxa"/>
            <w:noWrap w:val="0"/>
            <w:vAlign w:val="center"/>
          </w:tcPr>
          <w:p w14:paraId="4A2B77D9">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b/>
                <w:color w:val="auto"/>
              </w:rPr>
            </w:pPr>
            <w:r>
              <w:rPr>
                <w:rFonts w:hint="eastAsia" w:ascii="Times New Roman" w:hAnsi="Times New Roman" w:eastAsia="宋体" w:cs="Times New Roman"/>
                <w:b/>
                <w:color w:val="auto"/>
              </w:rPr>
              <w:t>B</w:t>
            </w:r>
            <w:r>
              <w:rPr>
                <w:rFonts w:hint="default" w:ascii="Times New Roman" w:hAnsi="Times New Roman" w:eastAsia="宋体" w:cs="Times New Roman"/>
                <w:b/>
                <w:color w:val="auto"/>
              </w:rPr>
              <w:t>OD</w:t>
            </w:r>
            <w:r>
              <w:rPr>
                <w:rFonts w:hint="default" w:ascii="Times New Roman" w:hAnsi="Times New Roman" w:eastAsia="宋体" w:cs="Times New Roman"/>
                <w:b/>
                <w:color w:val="auto"/>
                <w:vertAlign w:val="subscript"/>
              </w:rPr>
              <w:t>5</w:t>
            </w:r>
          </w:p>
        </w:tc>
        <w:tc>
          <w:tcPr>
            <w:tcW w:w="1414" w:type="dxa"/>
            <w:noWrap w:val="0"/>
            <w:vAlign w:val="center"/>
          </w:tcPr>
          <w:p w14:paraId="35809478">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b/>
                <w:color w:val="auto"/>
              </w:rPr>
            </w:pPr>
            <w:r>
              <w:rPr>
                <w:rFonts w:hint="eastAsia" w:ascii="Times New Roman" w:hAnsi="Times New Roman" w:eastAsia="宋体" w:cs="Times New Roman"/>
                <w:b/>
                <w:color w:val="auto"/>
              </w:rPr>
              <w:t>S</w:t>
            </w:r>
            <w:r>
              <w:rPr>
                <w:rFonts w:hint="default" w:ascii="Times New Roman" w:hAnsi="Times New Roman" w:eastAsia="宋体" w:cs="Times New Roman"/>
                <w:b/>
                <w:color w:val="auto"/>
              </w:rPr>
              <w:t>S</w:t>
            </w:r>
          </w:p>
        </w:tc>
        <w:tc>
          <w:tcPr>
            <w:tcW w:w="1179" w:type="dxa"/>
            <w:noWrap w:val="0"/>
            <w:vAlign w:val="center"/>
          </w:tcPr>
          <w:p w14:paraId="22CB924E">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b/>
                <w:color w:val="auto"/>
              </w:rPr>
            </w:pPr>
            <w:r>
              <w:rPr>
                <w:rFonts w:hint="eastAsia" w:ascii="Times New Roman" w:hAnsi="Times New Roman" w:eastAsia="宋体" w:cs="Times New Roman"/>
                <w:b/>
                <w:color w:val="auto"/>
              </w:rPr>
              <w:t>N</w:t>
            </w:r>
            <w:r>
              <w:rPr>
                <w:rFonts w:hint="default" w:ascii="Times New Roman" w:hAnsi="Times New Roman" w:eastAsia="宋体" w:cs="Times New Roman"/>
                <w:b/>
                <w:color w:val="auto"/>
              </w:rPr>
              <w:t>H</w:t>
            </w:r>
            <w:r>
              <w:rPr>
                <w:rFonts w:hint="default" w:ascii="Times New Roman" w:hAnsi="Times New Roman" w:eastAsia="宋体" w:cs="Times New Roman"/>
                <w:b/>
                <w:color w:val="auto"/>
                <w:vertAlign w:val="subscript"/>
              </w:rPr>
              <w:t>3</w:t>
            </w:r>
            <w:r>
              <w:rPr>
                <w:rFonts w:hint="default" w:ascii="Times New Roman" w:hAnsi="Times New Roman" w:eastAsia="宋体" w:cs="Times New Roman"/>
                <w:b/>
                <w:color w:val="auto"/>
              </w:rPr>
              <w:t>-N</w:t>
            </w:r>
          </w:p>
        </w:tc>
        <w:tc>
          <w:tcPr>
            <w:tcW w:w="1035" w:type="dxa"/>
            <w:noWrap w:val="0"/>
            <w:vAlign w:val="center"/>
          </w:tcPr>
          <w:p w14:paraId="3E71D0BC">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b/>
                <w:color w:val="auto"/>
              </w:rPr>
            </w:pPr>
            <w:r>
              <w:rPr>
                <w:rFonts w:hint="eastAsia" w:ascii="Times New Roman" w:hAnsi="Times New Roman" w:eastAsia="宋体" w:cs="Times New Roman"/>
                <w:b/>
                <w:color w:val="auto"/>
              </w:rPr>
              <w:t>石油类</w:t>
            </w:r>
          </w:p>
        </w:tc>
      </w:tr>
      <w:tr w14:paraId="7D11A7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85" w:type="dxa"/>
            <w:gridSpan w:val="2"/>
            <w:noWrap w:val="0"/>
            <w:vAlign w:val="center"/>
          </w:tcPr>
          <w:p w14:paraId="42474853">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初期雨水、机械设备冲洗废水、码头地面冲洗废水、船舶含油污水及船舶生活污水</w:t>
            </w:r>
          </w:p>
        </w:tc>
        <w:tc>
          <w:tcPr>
            <w:tcW w:w="1276" w:type="dxa"/>
            <w:noWrap w:val="0"/>
            <w:vAlign w:val="center"/>
          </w:tcPr>
          <w:p w14:paraId="3AC68233">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9</w:t>
            </w:r>
            <w:r>
              <w:rPr>
                <w:rFonts w:hint="default" w:ascii="Times New Roman" w:hAnsi="Times New Roman" w:eastAsia="宋体" w:cs="Times New Roman"/>
                <w:color w:val="auto"/>
              </w:rPr>
              <w:t>5.86</w:t>
            </w:r>
          </w:p>
        </w:tc>
        <w:tc>
          <w:tcPr>
            <w:tcW w:w="1297" w:type="dxa"/>
            <w:noWrap w:val="0"/>
            <w:vAlign w:val="center"/>
          </w:tcPr>
          <w:p w14:paraId="25601C64">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5</w:t>
            </w:r>
            <w:r>
              <w:rPr>
                <w:rFonts w:hint="default" w:ascii="Times New Roman" w:hAnsi="Times New Roman" w:eastAsia="宋体" w:cs="Times New Roman"/>
                <w:color w:val="auto"/>
              </w:rPr>
              <w:t>0.30</w:t>
            </w:r>
          </w:p>
        </w:tc>
        <w:tc>
          <w:tcPr>
            <w:tcW w:w="1414" w:type="dxa"/>
            <w:noWrap w:val="0"/>
            <w:vAlign w:val="center"/>
          </w:tcPr>
          <w:p w14:paraId="54F94CBB">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8</w:t>
            </w:r>
            <w:r>
              <w:rPr>
                <w:rFonts w:hint="default" w:ascii="Times New Roman" w:hAnsi="Times New Roman" w:eastAsia="宋体" w:cs="Times New Roman"/>
                <w:color w:val="auto"/>
              </w:rPr>
              <w:t>62.53</w:t>
            </w:r>
          </w:p>
        </w:tc>
        <w:tc>
          <w:tcPr>
            <w:tcW w:w="1179" w:type="dxa"/>
            <w:noWrap w:val="0"/>
            <w:vAlign w:val="center"/>
          </w:tcPr>
          <w:p w14:paraId="2B717A19">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3</w:t>
            </w:r>
            <w:r>
              <w:rPr>
                <w:rFonts w:hint="default" w:ascii="Times New Roman" w:hAnsi="Times New Roman" w:eastAsia="宋体" w:cs="Times New Roman"/>
                <w:color w:val="auto"/>
              </w:rPr>
              <w:t>.52</w:t>
            </w:r>
          </w:p>
        </w:tc>
        <w:tc>
          <w:tcPr>
            <w:tcW w:w="1035" w:type="dxa"/>
            <w:noWrap w:val="0"/>
            <w:vAlign w:val="center"/>
          </w:tcPr>
          <w:p w14:paraId="37C63E7D">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4</w:t>
            </w:r>
            <w:r>
              <w:rPr>
                <w:rFonts w:hint="default" w:ascii="Times New Roman" w:hAnsi="Times New Roman" w:eastAsia="宋体" w:cs="Times New Roman"/>
                <w:color w:val="auto"/>
              </w:rPr>
              <w:t>01.72</w:t>
            </w:r>
          </w:p>
        </w:tc>
      </w:tr>
      <w:tr w14:paraId="5D8DF1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84" w:type="dxa"/>
            <w:vMerge w:val="restart"/>
            <w:noWrap w:val="0"/>
            <w:vAlign w:val="center"/>
          </w:tcPr>
          <w:p w14:paraId="0E0AF48E">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隔油沉淀池</w:t>
            </w:r>
          </w:p>
        </w:tc>
        <w:tc>
          <w:tcPr>
            <w:tcW w:w="1701" w:type="dxa"/>
            <w:noWrap w:val="0"/>
            <w:vAlign w:val="center"/>
          </w:tcPr>
          <w:p w14:paraId="462DDD96">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宋体" w:hAnsi="宋体" w:eastAsia="宋体" w:cs="Times New Roman"/>
                <w:color w:val="auto"/>
              </w:rPr>
              <w:t>去除率</w:t>
            </w:r>
            <w:r>
              <w:rPr>
                <w:rFonts w:hint="eastAsia" w:ascii="宋体" w:hAnsi="宋体" w:eastAsia="宋体" w:cs="Times New Roman"/>
                <w:color w:val="auto"/>
              </w:rPr>
              <w:t>（</w:t>
            </w:r>
            <w:r>
              <w:rPr>
                <w:rFonts w:hint="default" w:ascii="Times New Roman" w:hAnsi="Times New Roman" w:eastAsia="宋体" w:cs="Times New Roman"/>
                <w:color w:val="auto"/>
              </w:rPr>
              <w:t>%</w:t>
            </w:r>
            <w:r>
              <w:rPr>
                <w:rFonts w:hint="eastAsia" w:ascii="宋体" w:hAnsi="宋体" w:eastAsia="宋体" w:cs="Times New Roman"/>
                <w:color w:val="auto"/>
              </w:rPr>
              <w:t>）</w:t>
            </w:r>
          </w:p>
        </w:tc>
        <w:tc>
          <w:tcPr>
            <w:tcW w:w="1276" w:type="dxa"/>
            <w:noWrap w:val="0"/>
            <w:vAlign w:val="center"/>
          </w:tcPr>
          <w:p w14:paraId="4F001737">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15</w:t>
            </w:r>
          </w:p>
        </w:tc>
        <w:tc>
          <w:tcPr>
            <w:tcW w:w="1297" w:type="dxa"/>
            <w:noWrap w:val="0"/>
            <w:vAlign w:val="center"/>
          </w:tcPr>
          <w:p w14:paraId="2AB71C46">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10</w:t>
            </w:r>
          </w:p>
        </w:tc>
        <w:tc>
          <w:tcPr>
            <w:tcW w:w="1414" w:type="dxa"/>
            <w:noWrap w:val="0"/>
            <w:vAlign w:val="center"/>
          </w:tcPr>
          <w:p w14:paraId="2FBC21BD">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15</w:t>
            </w:r>
          </w:p>
        </w:tc>
        <w:tc>
          <w:tcPr>
            <w:tcW w:w="1179" w:type="dxa"/>
            <w:noWrap w:val="0"/>
            <w:vAlign w:val="center"/>
          </w:tcPr>
          <w:p w14:paraId="0589D0B9">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0</w:t>
            </w:r>
          </w:p>
        </w:tc>
        <w:tc>
          <w:tcPr>
            <w:tcW w:w="1035" w:type="dxa"/>
            <w:noWrap w:val="0"/>
            <w:vAlign w:val="center"/>
          </w:tcPr>
          <w:p w14:paraId="6AD0E519">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50</w:t>
            </w:r>
          </w:p>
        </w:tc>
      </w:tr>
      <w:tr w14:paraId="1E7D7C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84" w:type="dxa"/>
            <w:vMerge w:val="continue"/>
            <w:noWrap w:val="0"/>
            <w:vAlign w:val="center"/>
          </w:tcPr>
          <w:p w14:paraId="4A745204">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p>
        </w:tc>
        <w:tc>
          <w:tcPr>
            <w:tcW w:w="1701" w:type="dxa"/>
            <w:noWrap w:val="0"/>
            <w:vAlign w:val="center"/>
          </w:tcPr>
          <w:p w14:paraId="11845E76">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宋体" w:hAnsi="宋体" w:eastAsia="宋体" w:cs="Times New Roman"/>
                <w:color w:val="auto"/>
              </w:rPr>
              <w:t>出水</w:t>
            </w:r>
            <w:r>
              <w:rPr>
                <w:rFonts w:hint="eastAsia" w:ascii="宋体" w:hAnsi="宋体" w:eastAsia="宋体" w:cs="Times New Roman"/>
                <w:color w:val="auto"/>
              </w:rPr>
              <w:t>（</w:t>
            </w:r>
            <w:r>
              <w:rPr>
                <w:rFonts w:hint="default" w:ascii="Times New Roman" w:hAnsi="Times New Roman" w:eastAsia="宋体" w:cs="Times New Roman"/>
                <w:color w:val="auto"/>
              </w:rPr>
              <w:t>mg/L</w:t>
            </w:r>
            <w:r>
              <w:rPr>
                <w:rFonts w:hint="eastAsia" w:ascii="宋体" w:hAnsi="宋体" w:eastAsia="宋体" w:cs="Times New Roman"/>
                <w:color w:val="auto"/>
              </w:rPr>
              <w:t>）</w:t>
            </w:r>
          </w:p>
        </w:tc>
        <w:tc>
          <w:tcPr>
            <w:tcW w:w="1276" w:type="dxa"/>
            <w:noWrap w:val="0"/>
            <w:vAlign w:val="center"/>
          </w:tcPr>
          <w:p w14:paraId="7AC0E5F1">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81.48</w:t>
            </w:r>
          </w:p>
        </w:tc>
        <w:tc>
          <w:tcPr>
            <w:tcW w:w="1297" w:type="dxa"/>
            <w:noWrap w:val="0"/>
            <w:vAlign w:val="center"/>
          </w:tcPr>
          <w:p w14:paraId="3FA4C7A2">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45.27</w:t>
            </w:r>
          </w:p>
        </w:tc>
        <w:tc>
          <w:tcPr>
            <w:tcW w:w="1414" w:type="dxa"/>
            <w:noWrap w:val="0"/>
            <w:vAlign w:val="center"/>
          </w:tcPr>
          <w:p w14:paraId="48090004">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733.15</w:t>
            </w:r>
          </w:p>
        </w:tc>
        <w:tc>
          <w:tcPr>
            <w:tcW w:w="1179" w:type="dxa"/>
            <w:noWrap w:val="0"/>
            <w:vAlign w:val="center"/>
          </w:tcPr>
          <w:p w14:paraId="2C987488">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3.52</w:t>
            </w:r>
          </w:p>
        </w:tc>
        <w:tc>
          <w:tcPr>
            <w:tcW w:w="1035" w:type="dxa"/>
            <w:noWrap w:val="0"/>
            <w:vAlign w:val="center"/>
          </w:tcPr>
          <w:p w14:paraId="63FE8FB0">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200.86</w:t>
            </w:r>
          </w:p>
        </w:tc>
      </w:tr>
      <w:tr w14:paraId="283A3C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84" w:type="dxa"/>
            <w:vMerge w:val="restart"/>
            <w:noWrap w:val="0"/>
            <w:vAlign w:val="center"/>
          </w:tcPr>
          <w:p w14:paraId="337077A4">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混凝沉淀池</w:t>
            </w:r>
          </w:p>
        </w:tc>
        <w:tc>
          <w:tcPr>
            <w:tcW w:w="1701" w:type="dxa"/>
            <w:noWrap w:val="0"/>
            <w:vAlign w:val="center"/>
          </w:tcPr>
          <w:p w14:paraId="4719973F">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宋体" w:hAnsi="宋体" w:eastAsia="宋体" w:cs="Times New Roman"/>
                <w:color w:val="auto"/>
              </w:rPr>
              <w:t>去除率</w:t>
            </w:r>
            <w:r>
              <w:rPr>
                <w:rFonts w:hint="eastAsia" w:ascii="宋体" w:hAnsi="宋体" w:eastAsia="宋体" w:cs="Times New Roman"/>
                <w:color w:val="auto"/>
              </w:rPr>
              <w:t>（</w:t>
            </w:r>
            <w:r>
              <w:rPr>
                <w:rFonts w:hint="default" w:ascii="Times New Roman" w:hAnsi="Times New Roman" w:eastAsia="宋体" w:cs="Times New Roman"/>
                <w:color w:val="auto"/>
              </w:rPr>
              <w:t>%</w:t>
            </w:r>
            <w:r>
              <w:rPr>
                <w:rFonts w:hint="eastAsia" w:ascii="宋体" w:hAnsi="宋体" w:eastAsia="宋体" w:cs="Times New Roman"/>
                <w:color w:val="auto"/>
              </w:rPr>
              <w:t>）</w:t>
            </w:r>
          </w:p>
        </w:tc>
        <w:tc>
          <w:tcPr>
            <w:tcW w:w="1276" w:type="dxa"/>
            <w:noWrap w:val="0"/>
            <w:vAlign w:val="center"/>
          </w:tcPr>
          <w:p w14:paraId="193AA4DB">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20</w:t>
            </w:r>
          </w:p>
        </w:tc>
        <w:tc>
          <w:tcPr>
            <w:tcW w:w="1297" w:type="dxa"/>
            <w:noWrap w:val="0"/>
            <w:vAlign w:val="center"/>
          </w:tcPr>
          <w:p w14:paraId="6DB62FDF">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10</w:t>
            </w:r>
          </w:p>
        </w:tc>
        <w:tc>
          <w:tcPr>
            <w:tcW w:w="1414" w:type="dxa"/>
            <w:noWrap w:val="0"/>
            <w:vAlign w:val="center"/>
          </w:tcPr>
          <w:p w14:paraId="793CB25B">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90</w:t>
            </w:r>
          </w:p>
        </w:tc>
        <w:tc>
          <w:tcPr>
            <w:tcW w:w="1179" w:type="dxa"/>
            <w:noWrap w:val="0"/>
            <w:vAlign w:val="center"/>
          </w:tcPr>
          <w:p w14:paraId="2B7A63E6">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0</w:t>
            </w:r>
          </w:p>
        </w:tc>
        <w:tc>
          <w:tcPr>
            <w:tcW w:w="1035" w:type="dxa"/>
            <w:noWrap w:val="0"/>
            <w:vAlign w:val="center"/>
          </w:tcPr>
          <w:p w14:paraId="4BEC9C1A">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30</w:t>
            </w:r>
          </w:p>
        </w:tc>
      </w:tr>
      <w:tr w14:paraId="2586AE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84" w:type="dxa"/>
            <w:vMerge w:val="continue"/>
            <w:noWrap w:val="0"/>
            <w:vAlign w:val="center"/>
          </w:tcPr>
          <w:p w14:paraId="516155B7">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p>
        </w:tc>
        <w:tc>
          <w:tcPr>
            <w:tcW w:w="1701" w:type="dxa"/>
            <w:noWrap w:val="0"/>
            <w:vAlign w:val="center"/>
          </w:tcPr>
          <w:p w14:paraId="5AB2EC2B">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宋体" w:hAnsi="宋体" w:eastAsia="宋体" w:cs="Times New Roman"/>
                <w:color w:val="auto"/>
              </w:rPr>
              <w:t>出水</w:t>
            </w:r>
            <w:r>
              <w:rPr>
                <w:rFonts w:hint="eastAsia" w:ascii="宋体" w:hAnsi="宋体" w:eastAsia="宋体" w:cs="Times New Roman"/>
                <w:color w:val="auto"/>
              </w:rPr>
              <w:t>（</w:t>
            </w:r>
            <w:r>
              <w:rPr>
                <w:rFonts w:hint="default" w:ascii="Times New Roman" w:hAnsi="Times New Roman" w:eastAsia="宋体" w:cs="Times New Roman"/>
                <w:color w:val="auto"/>
              </w:rPr>
              <w:t>mg/L</w:t>
            </w:r>
            <w:r>
              <w:rPr>
                <w:rFonts w:hint="eastAsia" w:ascii="宋体" w:hAnsi="宋体" w:eastAsia="宋体" w:cs="Times New Roman"/>
                <w:color w:val="auto"/>
              </w:rPr>
              <w:t>）</w:t>
            </w:r>
          </w:p>
        </w:tc>
        <w:tc>
          <w:tcPr>
            <w:tcW w:w="1276" w:type="dxa"/>
            <w:noWrap w:val="0"/>
            <w:vAlign w:val="center"/>
          </w:tcPr>
          <w:p w14:paraId="3237CE3B">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65.18</w:t>
            </w:r>
          </w:p>
        </w:tc>
        <w:tc>
          <w:tcPr>
            <w:tcW w:w="1297" w:type="dxa"/>
            <w:noWrap w:val="0"/>
            <w:vAlign w:val="center"/>
          </w:tcPr>
          <w:p w14:paraId="33FF4A76">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40.75</w:t>
            </w:r>
          </w:p>
        </w:tc>
        <w:tc>
          <w:tcPr>
            <w:tcW w:w="1414" w:type="dxa"/>
            <w:noWrap w:val="0"/>
            <w:vAlign w:val="center"/>
          </w:tcPr>
          <w:p w14:paraId="335330DC">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73.32</w:t>
            </w:r>
          </w:p>
        </w:tc>
        <w:tc>
          <w:tcPr>
            <w:tcW w:w="1179" w:type="dxa"/>
            <w:noWrap w:val="0"/>
            <w:vAlign w:val="center"/>
          </w:tcPr>
          <w:p w14:paraId="14CBF766">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3.52</w:t>
            </w:r>
          </w:p>
        </w:tc>
        <w:tc>
          <w:tcPr>
            <w:tcW w:w="1035" w:type="dxa"/>
            <w:noWrap w:val="0"/>
            <w:vAlign w:val="center"/>
          </w:tcPr>
          <w:p w14:paraId="54281B2B">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140.60</w:t>
            </w:r>
          </w:p>
        </w:tc>
      </w:tr>
      <w:tr w14:paraId="526DCD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84" w:type="dxa"/>
            <w:vMerge w:val="restart"/>
            <w:noWrap w:val="0"/>
            <w:vAlign w:val="center"/>
          </w:tcPr>
          <w:p w14:paraId="3247B955">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接触氧化池</w:t>
            </w:r>
          </w:p>
        </w:tc>
        <w:tc>
          <w:tcPr>
            <w:tcW w:w="1701" w:type="dxa"/>
            <w:noWrap w:val="0"/>
            <w:vAlign w:val="center"/>
          </w:tcPr>
          <w:p w14:paraId="5BF00652">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宋体" w:hAnsi="宋体" w:eastAsia="宋体" w:cs="Times New Roman"/>
                <w:color w:val="auto"/>
              </w:rPr>
              <w:t>去除率</w:t>
            </w:r>
            <w:r>
              <w:rPr>
                <w:rFonts w:hint="eastAsia" w:ascii="宋体" w:hAnsi="宋体" w:eastAsia="宋体" w:cs="Times New Roman"/>
                <w:color w:val="auto"/>
              </w:rPr>
              <w:t>（</w:t>
            </w:r>
            <w:r>
              <w:rPr>
                <w:rFonts w:hint="default" w:ascii="Times New Roman" w:hAnsi="Times New Roman" w:eastAsia="宋体" w:cs="Times New Roman"/>
                <w:color w:val="auto"/>
              </w:rPr>
              <w:t>%</w:t>
            </w:r>
            <w:r>
              <w:rPr>
                <w:rFonts w:hint="eastAsia" w:ascii="宋体" w:hAnsi="宋体" w:eastAsia="宋体" w:cs="Times New Roman"/>
                <w:color w:val="auto"/>
              </w:rPr>
              <w:t>）</w:t>
            </w:r>
          </w:p>
        </w:tc>
        <w:tc>
          <w:tcPr>
            <w:tcW w:w="1276" w:type="dxa"/>
            <w:noWrap w:val="0"/>
            <w:vAlign w:val="center"/>
          </w:tcPr>
          <w:p w14:paraId="4BBDB303">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70</w:t>
            </w:r>
          </w:p>
        </w:tc>
        <w:tc>
          <w:tcPr>
            <w:tcW w:w="1297" w:type="dxa"/>
            <w:noWrap w:val="0"/>
            <w:vAlign w:val="center"/>
          </w:tcPr>
          <w:p w14:paraId="774B6858">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82</w:t>
            </w:r>
          </w:p>
        </w:tc>
        <w:tc>
          <w:tcPr>
            <w:tcW w:w="1414" w:type="dxa"/>
            <w:noWrap w:val="0"/>
            <w:vAlign w:val="center"/>
          </w:tcPr>
          <w:p w14:paraId="4499C648">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80</w:t>
            </w:r>
          </w:p>
        </w:tc>
        <w:tc>
          <w:tcPr>
            <w:tcW w:w="1179" w:type="dxa"/>
            <w:noWrap w:val="0"/>
            <w:vAlign w:val="center"/>
          </w:tcPr>
          <w:p w14:paraId="5EBB73DE">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65</w:t>
            </w:r>
          </w:p>
        </w:tc>
        <w:tc>
          <w:tcPr>
            <w:tcW w:w="1035" w:type="dxa"/>
            <w:noWrap w:val="0"/>
            <w:vAlign w:val="center"/>
          </w:tcPr>
          <w:p w14:paraId="253E0F69">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60</w:t>
            </w:r>
          </w:p>
        </w:tc>
      </w:tr>
      <w:tr w14:paraId="66B519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84" w:type="dxa"/>
            <w:vMerge w:val="continue"/>
            <w:noWrap w:val="0"/>
            <w:vAlign w:val="center"/>
          </w:tcPr>
          <w:p w14:paraId="43A7C0FB">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p>
        </w:tc>
        <w:tc>
          <w:tcPr>
            <w:tcW w:w="1701" w:type="dxa"/>
            <w:noWrap w:val="0"/>
            <w:vAlign w:val="center"/>
          </w:tcPr>
          <w:p w14:paraId="0B0AE702">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宋体" w:hAnsi="宋体" w:eastAsia="宋体" w:cs="Times New Roman"/>
                <w:color w:val="auto"/>
              </w:rPr>
              <w:t>出水</w:t>
            </w:r>
            <w:r>
              <w:rPr>
                <w:rFonts w:hint="eastAsia" w:ascii="宋体" w:hAnsi="宋体" w:eastAsia="宋体" w:cs="Times New Roman"/>
                <w:color w:val="auto"/>
              </w:rPr>
              <w:t>（</w:t>
            </w:r>
            <w:r>
              <w:rPr>
                <w:rFonts w:hint="default" w:ascii="Times New Roman" w:hAnsi="Times New Roman" w:eastAsia="宋体" w:cs="Times New Roman"/>
                <w:color w:val="auto"/>
              </w:rPr>
              <w:t>mg/L</w:t>
            </w:r>
            <w:r>
              <w:rPr>
                <w:rFonts w:hint="eastAsia" w:ascii="宋体" w:hAnsi="宋体" w:eastAsia="宋体" w:cs="Times New Roman"/>
                <w:color w:val="auto"/>
              </w:rPr>
              <w:t>）</w:t>
            </w:r>
          </w:p>
        </w:tc>
        <w:tc>
          <w:tcPr>
            <w:tcW w:w="1276" w:type="dxa"/>
            <w:noWrap w:val="0"/>
            <w:vAlign w:val="center"/>
          </w:tcPr>
          <w:p w14:paraId="1A87B9D9">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19.56</w:t>
            </w:r>
          </w:p>
        </w:tc>
        <w:tc>
          <w:tcPr>
            <w:tcW w:w="1297" w:type="dxa"/>
            <w:noWrap w:val="0"/>
            <w:vAlign w:val="center"/>
          </w:tcPr>
          <w:p w14:paraId="387ECE79">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7.33</w:t>
            </w:r>
          </w:p>
        </w:tc>
        <w:tc>
          <w:tcPr>
            <w:tcW w:w="1414" w:type="dxa"/>
            <w:noWrap w:val="0"/>
            <w:vAlign w:val="center"/>
          </w:tcPr>
          <w:p w14:paraId="35CF6F18">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14.66</w:t>
            </w:r>
          </w:p>
        </w:tc>
        <w:tc>
          <w:tcPr>
            <w:tcW w:w="1179" w:type="dxa"/>
            <w:noWrap w:val="0"/>
            <w:vAlign w:val="center"/>
          </w:tcPr>
          <w:p w14:paraId="3874D81E">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1.23</w:t>
            </w:r>
          </w:p>
        </w:tc>
        <w:tc>
          <w:tcPr>
            <w:tcW w:w="1035" w:type="dxa"/>
            <w:noWrap w:val="0"/>
            <w:vAlign w:val="center"/>
          </w:tcPr>
          <w:p w14:paraId="5D4C1703">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56.24</w:t>
            </w:r>
          </w:p>
        </w:tc>
      </w:tr>
      <w:tr w14:paraId="6044C8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84" w:type="dxa"/>
            <w:vMerge w:val="restart"/>
            <w:noWrap w:val="0"/>
            <w:vAlign w:val="center"/>
          </w:tcPr>
          <w:p w14:paraId="218BA96C">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二沉池</w:t>
            </w:r>
          </w:p>
        </w:tc>
        <w:tc>
          <w:tcPr>
            <w:tcW w:w="1701" w:type="dxa"/>
            <w:noWrap w:val="0"/>
            <w:vAlign w:val="center"/>
          </w:tcPr>
          <w:p w14:paraId="5A84CD27">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宋体" w:hAnsi="宋体" w:eastAsia="宋体" w:cs="Times New Roman"/>
                <w:color w:val="auto"/>
              </w:rPr>
              <w:t>去除率</w:t>
            </w:r>
            <w:r>
              <w:rPr>
                <w:rFonts w:hint="eastAsia" w:ascii="宋体" w:hAnsi="宋体" w:eastAsia="宋体" w:cs="Times New Roman"/>
                <w:color w:val="auto"/>
              </w:rPr>
              <w:t>（</w:t>
            </w:r>
            <w:r>
              <w:rPr>
                <w:rFonts w:hint="default" w:ascii="Times New Roman" w:hAnsi="Times New Roman" w:eastAsia="宋体" w:cs="Times New Roman"/>
                <w:color w:val="auto"/>
              </w:rPr>
              <w:t>%</w:t>
            </w:r>
            <w:r>
              <w:rPr>
                <w:rFonts w:hint="eastAsia" w:ascii="宋体" w:hAnsi="宋体" w:eastAsia="宋体" w:cs="Times New Roman"/>
                <w:color w:val="auto"/>
              </w:rPr>
              <w:t>）</w:t>
            </w:r>
          </w:p>
        </w:tc>
        <w:tc>
          <w:tcPr>
            <w:tcW w:w="1276" w:type="dxa"/>
            <w:noWrap w:val="0"/>
            <w:vAlign w:val="center"/>
          </w:tcPr>
          <w:p w14:paraId="39637656">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0</w:t>
            </w:r>
          </w:p>
        </w:tc>
        <w:tc>
          <w:tcPr>
            <w:tcW w:w="1297" w:type="dxa"/>
            <w:noWrap w:val="0"/>
            <w:vAlign w:val="center"/>
          </w:tcPr>
          <w:p w14:paraId="3ADB8D5E">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0</w:t>
            </w:r>
          </w:p>
        </w:tc>
        <w:tc>
          <w:tcPr>
            <w:tcW w:w="1414" w:type="dxa"/>
            <w:noWrap w:val="0"/>
            <w:vAlign w:val="center"/>
          </w:tcPr>
          <w:p w14:paraId="567EB942">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50</w:t>
            </w:r>
          </w:p>
        </w:tc>
        <w:tc>
          <w:tcPr>
            <w:tcW w:w="1179" w:type="dxa"/>
            <w:noWrap w:val="0"/>
            <w:vAlign w:val="center"/>
          </w:tcPr>
          <w:p w14:paraId="5A48B3DC">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0</w:t>
            </w:r>
          </w:p>
        </w:tc>
        <w:tc>
          <w:tcPr>
            <w:tcW w:w="1035" w:type="dxa"/>
            <w:noWrap w:val="0"/>
            <w:vAlign w:val="center"/>
          </w:tcPr>
          <w:p w14:paraId="32DDC76D">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0</w:t>
            </w:r>
          </w:p>
        </w:tc>
      </w:tr>
      <w:tr w14:paraId="160CA7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84" w:type="dxa"/>
            <w:vMerge w:val="continue"/>
            <w:noWrap w:val="0"/>
            <w:vAlign w:val="center"/>
          </w:tcPr>
          <w:p w14:paraId="7DA3D203">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p>
        </w:tc>
        <w:tc>
          <w:tcPr>
            <w:tcW w:w="1701" w:type="dxa"/>
            <w:noWrap w:val="0"/>
            <w:vAlign w:val="center"/>
          </w:tcPr>
          <w:p w14:paraId="1EFD207D">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宋体" w:hAnsi="宋体" w:eastAsia="宋体" w:cs="Times New Roman"/>
                <w:color w:val="auto"/>
              </w:rPr>
              <w:t>出水</w:t>
            </w:r>
            <w:r>
              <w:rPr>
                <w:rFonts w:hint="eastAsia" w:ascii="宋体" w:hAnsi="宋体" w:eastAsia="宋体" w:cs="Times New Roman"/>
                <w:color w:val="auto"/>
              </w:rPr>
              <w:t>（</w:t>
            </w:r>
            <w:r>
              <w:rPr>
                <w:rFonts w:hint="default" w:ascii="Times New Roman" w:hAnsi="Times New Roman" w:eastAsia="宋体" w:cs="Times New Roman"/>
                <w:color w:val="auto"/>
              </w:rPr>
              <w:t>mg/L</w:t>
            </w:r>
            <w:r>
              <w:rPr>
                <w:rFonts w:hint="eastAsia" w:ascii="宋体" w:hAnsi="宋体" w:eastAsia="宋体" w:cs="Times New Roman"/>
                <w:color w:val="auto"/>
              </w:rPr>
              <w:t>）</w:t>
            </w:r>
          </w:p>
        </w:tc>
        <w:tc>
          <w:tcPr>
            <w:tcW w:w="1276" w:type="dxa"/>
            <w:noWrap w:val="0"/>
            <w:vAlign w:val="center"/>
          </w:tcPr>
          <w:p w14:paraId="24AE9F14">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19.56</w:t>
            </w:r>
          </w:p>
        </w:tc>
        <w:tc>
          <w:tcPr>
            <w:tcW w:w="1297" w:type="dxa"/>
            <w:noWrap w:val="0"/>
            <w:vAlign w:val="center"/>
          </w:tcPr>
          <w:p w14:paraId="2F4F21C5">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7.33</w:t>
            </w:r>
          </w:p>
        </w:tc>
        <w:tc>
          <w:tcPr>
            <w:tcW w:w="1414" w:type="dxa"/>
            <w:noWrap w:val="0"/>
            <w:vAlign w:val="center"/>
          </w:tcPr>
          <w:p w14:paraId="170F586B">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7.33</w:t>
            </w:r>
          </w:p>
        </w:tc>
        <w:tc>
          <w:tcPr>
            <w:tcW w:w="1179" w:type="dxa"/>
            <w:noWrap w:val="0"/>
            <w:vAlign w:val="center"/>
          </w:tcPr>
          <w:p w14:paraId="5F435822">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1.23</w:t>
            </w:r>
          </w:p>
        </w:tc>
        <w:tc>
          <w:tcPr>
            <w:tcW w:w="1035" w:type="dxa"/>
            <w:noWrap w:val="0"/>
            <w:vAlign w:val="center"/>
          </w:tcPr>
          <w:p w14:paraId="13851E23">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Times New Roman" w:hAnsi="Times New Roman" w:eastAsia="等线" w:cs="Times New Roman"/>
                <w:color w:val="auto"/>
              </w:rPr>
              <w:t>56.24</w:t>
            </w:r>
          </w:p>
        </w:tc>
      </w:tr>
      <w:tr w14:paraId="3A748D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85" w:type="dxa"/>
            <w:gridSpan w:val="2"/>
            <w:noWrap w:val="0"/>
            <w:vAlign w:val="center"/>
          </w:tcPr>
          <w:p w14:paraId="10AED3B8">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default" w:ascii="宋体" w:hAnsi="宋体" w:eastAsia="宋体" w:cs="Times New Roman"/>
                <w:color w:val="auto"/>
              </w:rPr>
              <w:t>出水</w:t>
            </w:r>
            <w:r>
              <w:rPr>
                <w:rFonts w:hint="eastAsia" w:ascii="宋体" w:hAnsi="宋体" w:eastAsia="宋体" w:cs="Times New Roman"/>
                <w:color w:val="auto"/>
              </w:rPr>
              <w:t>水质（</w:t>
            </w:r>
            <w:r>
              <w:rPr>
                <w:rFonts w:hint="default" w:ascii="Times New Roman" w:hAnsi="Times New Roman" w:eastAsia="宋体" w:cs="Times New Roman"/>
                <w:color w:val="auto"/>
              </w:rPr>
              <w:t>mg/L</w:t>
            </w:r>
            <w:r>
              <w:rPr>
                <w:rFonts w:hint="eastAsia" w:ascii="宋体" w:hAnsi="宋体" w:eastAsia="宋体" w:cs="Times New Roman"/>
                <w:color w:val="auto"/>
              </w:rPr>
              <w:t>）</w:t>
            </w:r>
          </w:p>
        </w:tc>
        <w:tc>
          <w:tcPr>
            <w:tcW w:w="1276" w:type="dxa"/>
            <w:noWrap w:val="0"/>
            <w:vAlign w:val="center"/>
          </w:tcPr>
          <w:p w14:paraId="53EC0CA0">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1</w:t>
            </w:r>
            <w:r>
              <w:rPr>
                <w:rFonts w:hint="default" w:ascii="Times New Roman" w:hAnsi="Times New Roman" w:eastAsia="宋体" w:cs="Times New Roman"/>
                <w:color w:val="auto"/>
              </w:rPr>
              <w:t>9.6</w:t>
            </w:r>
          </w:p>
        </w:tc>
        <w:tc>
          <w:tcPr>
            <w:tcW w:w="1297" w:type="dxa"/>
            <w:noWrap w:val="0"/>
            <w:vAlign w:val="center"/>
          </w:tcPr>
          <w:p w14:paraId="1AAA0619">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7</w:t>
            </w:r>
            <w:r>
              <w:rPr>
                <w:rFonts w:hint="default" w:ascii="Times New Roman" w:hAnsi="Times New Roman" w:eastAsia="宋体" w:cs="Times New Roman"/>
                <w:color w:val="auto"/>
              </w:rPr>
              <w:t>.4</w:t>
            </w:r>
          </w:p>
        </w:tc>
        <w:tc>
          <w:tcPr>
            <w:tcW w:w="1414" w:type="dxa"/>
            <w:noWrap w:val="0"/>
            <w:vAlign w:val="center"/>
          </w:tcPr>
          <w:p w14:paraId="2DFD9BC1">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7</w:t>
            </w:r>
            <w:r>
              <w:rPr>
                <w:rFonts w:hint="default" w:ascii="Times New Roman" w:hAnsi="Times New Roman" w:eastAsia="宋体" w:cs="Times New Roman"/>
                <w:color w:val="auto"/>
              </w:rPr>
              <w:t>.4</w:t>
            </w:r>
          </w:p>
        </w:tc>
        <w:tc>
          <w:tcPr>
            <w:tcW w:w="1179" w:type="dxa"/>
            <w:noWrap w:val="0"/>
            <w:vAlign w:val="center"/>
          </w:tcPr>
          <w:p w14:paraId="67EAFDEF">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1</w:t>
            </w:r>
            <w:r>
              <w:rPr>
                <w:rFonts w:hint="default" w:ascii="Times New Roman" w:hAnsi="Times New Roman" w:eastAsia="宋体" w:cs="Times New Roman"/>
                <w:color w:val="auto"/>
              </w:rPr>
              <w:t>.3</w:t>
            </w:r>
          </w:p>
        </w:tc>
        <w:tc>
          <w:tcPr>
            <w:tcW w:w="1035" w:type="dxa"/>
            <w:noWrap w:val="0"/>
            <w:vAlign w:val="center"/>
          </w:tcPr>
          <w:p w14:paraId="108BE230">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5</w:t>
            </w:r>
            <w:r>
              <w:rPr>
                <w:rFonts w:hint="default" w:ascii="Times New Roman" w:hAnsi="Times New Roman" w:eastAsia="宋体" w:cs="Times New Roman"/>
                <w:color w:val="auto"/>
              </w:rPr>
              <w:t>6.3</w:t>
            </w:r>
          </w:p>
        </w:tc>
      </w:tr>
      <w:tr w14:paraId="30473F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85" w:type="dxa"/>
            <w:gridSpan w:val="2"/>
            <w:noWrap w:val="0"/>
            <w:vAlign w:val="center"/>
          </w:tcPr>
          <w:p w14:paraId="1B1F3E3E">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G</w:t>
            </w:r>
            <w:r>
              <w:rPr>
                <w:rFonts w:hint="default" w:ascii="Times New Roman" w:hAnsi="Times New Roman" w:eastAsia="宋体" w:cs="Times New Roman"/>
                <w:color w:val="auto"/>
              </w:rPr>
              <w:t>B/T18920-2020</w:t>
            </w:r>
            <w:r>
              <w:rPr>
                <w:rFonts w:hint="eastAsia" w:ascii="Times New Roman" w:hAnsi="Times New Roman" w:eastAsia="宋体" w:cs="Times New Roman"/>
                <w:color w:val="auto"/>
              </w:rPr>
              <w:t>中</w:t>
            </w:r>
            <w:r>
              <w:rPr>
                <w:rFonts w:hint="default" w:ascii="Times New Roman" w:hAnsi="Times New Roman" w:eastAsia="宋体" w:cs="Times New Roman"/>
                <w:color w:val="auto"/>
              </w:rPr>
              <w:t>冲厕、车辆冲洗</w:t>
            </w:r>
            <w:r>
              <w:rPr>
                <w:rFonts w:hint="eastAsia" w:ascii="Times New Roman" w:hAnsi="Times New Roman" w:eastAsia="宋体" w:cs="Times New Roman"/>
                <w:color w:val="auto"/>
              </w:rPr>
              <w:t>、</w:t>
            </w:r>
            <w:r>
              <w:rPr>
                <w:rFonts w:hint="default" w:ascii="Times New Roman" w:hAnsi="Times New Roman" w:eastAsia="宋体" w:cs="Times New Roman"/>
                <w:color w:val="auto"/>
              </w:rPr>
              <w:t>城市绿化、道路清扫、消防、建筑施工</w:t>
            </w:r>
            <w:r>
              <w:rPr>
                <w:rFonts w:hint="eastAsia" w:ascii="Times New Roman" w:hAnsi="Times New Roman" w:eastAsia="宋体" w:cs="Times New Roman"/>
                <w:color w:val="auto"/>
              </w:rPr>
              <w:t>用水标准</w:t>
            </w:r>
          </w:p>
        </w:tc>
        <w:tc>
          <w:tcPr>
            <w:tcW w:w="1276" w:type="dxa"/>
            <w:noWrap w:val="0"/>
            <w:vAlign w:val="center"/>
          </w:tcPr>
          <w:p w14:paraId="0AA970F5">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w:t>
            </w:r>
          </w:p>
        </w:tc>
        <w:tc>
          <w:tcPr>
            <w:tcW w:w="1297" w:type="dxa"/>
            <w:noWrap w:val="0"/>
            <w:vAlign w:val="center"/>
          </w:tcPr>
          <w:p w14:paraId="441AA8E1">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1</w:t>
            </w:r>
            <w:r>
              <w:rPr>
                <w:rFonts w:hint="default" w:ascii="Times New Roman" w:hAnsi="Times New Roman" w:eastAsia="宋体" w:cs="Times New Roman"/>
                <w:color w:val="auto"/>
              </w:rPr>
              <w:t>0</w:t>
            </w:r>
          </w:p>
        </w:tc>
        <w:tc>
          <w:tcPr>
            <w:tcW w:w="1414" w:type="dxa"/>
            <w:noWrap w:val="0"/>
            <w:vAlign w:val="center"/>
          </w:tcPr>
          <w:p w14:paraId="6BADDC33">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w:t>
            </w:r>
          </w:p>
        </w:tc>
        <w:tc>
          <w:tcPr>
            <w:tcW w:w="1179" w:type="dxa"/>
            <w:noWrap w:val="0"/>
            <w:vAlign w:val="center"/>
          </w:tcPr>
          <w:p w14:paraId="70E43F9B">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8</w:t>
            </w:r>
          </w:p>
        </w:tc>
        <w:tc>
          <w:tcPr>
            <w:tcW w:w="1035" w:type="dxa"/>
            <w:noWrap w:val="0"/>
            <w:vAlign w:val="center"/>
          </w:tcPr>
          <w:p w14:paraId="755BFF49">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w:t>
            </w:r>
          </w:p>
        </w:tc>
      </w:tr>
    </w:tbl>
    <w:p w14:paraId="1C3D0DC1">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由上表预测可知，项目废水经处理后，</w:t>
      </w:r>
      <w:r>
        <w:rPr>
          <w:rFonts w:ascii="Times New Roman" w:hAnsi="Times New Roman" w:eastAsia="宋体" w:cs="Times New Roman"/>
          <w:color w:val="auto"/>
          <w:sz w:val="24"/>
        </w:rPr>
        <w:t>可达到《城市污水再生利用</w:t>
      </w:r>
      <w:r>
        <w:rPr>
          <w:rFonts w:hint="eastAsia" w:ascii="Times New Roman" w:hAnsi="Times New Roman" w:eastAsia="宋体" w:cs="Times New Roman"/>
          <w:color w:val="auto"/>
          <w:sz w:val="24"/>
        </w:rPr>
        <w:t xml:space="preserve"> 城市杂用水水质</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G</w:t>
      </w:r>
      <w:r>
        <w:rPr>
          <w:rFonts w:ascii="Times New Roman" w:hAnsi="Times New Roman" w:eastAsia="宋体" w:cs="Times New Roman"/>
          <w:color w:val="auto"/>
          <w:sz w:val="24"/>
        </w:rPr>
        <w:t>B/T18920-2020）</w:t>
      </w:r>
      <w:r>
        <w:rPr>
          <w:rFonts w:hint="eastAsia" w:ascii="Times New Roman" w:hAnsi="Times New Roman" w:eastAsia="宋体" w:cs="Times New Roman"/>
          <w:color w:val="auto"/>
          <w:sz w:val="24"/>
        </w:rPr>
        <w:t>表中标准，全部回用于道路喷洒、绿化及机械设备冲洗用水，从环保、经济、技术各方面均是具有可行性的。</w:t>
      </w:r>
    </w:p>
    <w:p w14:paraId="4E4A2871">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2</w:t>
      </w:r>
      <w:r>
        <w:rPr>
          <w:rFonts w:ascii="Times New Roman" w:hAnsi="Times New Roman" w:eastAsia="宋体" w:cs="Times New Roman"/>
          <w:color w:val="auto"/>
          <w:sz w:val="24"/>
        </w:rPr>
        <w:t>）陆域生活污水处理系统</w:t>
      </w:r>
    </w:p>
    <w:p w14:paraId="5023BCE0">
      <w:pPr>
        <w:widowControl w:val="0"/>
        <w:spacing w:after="0" w:line="360" w:lineRule="auto"/>
        <w:ind w:firstLine="480" w:firstLineChars="200"/>
        <w:jc w:val="both"/>
        <w:rPr>
          <w:rFonts w:ascii="宋体" w:hAnsi="宋体"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码头员工生活污水</w:t>
      </w:r>
      <w:r>
        <w:rPr>
          <w:rFonts w:hint="eastAsia" w:ascii="宋体" w:hAnsi="宋体" w:eastAsia="宋体" w:cs="Times New Roman"/>
          <w:color w:val="auto"/>
          <w:kern w:val="2"/>
          <w:sz w:val="24"/>
          <w:szCs w:val="24"/>
          <w:lang w:val="en-US" w:eastAsia="zh-CN" w:bidi="ar-SA"/>
        </w:rPr>
        <w:t>利用周边已有旱厕，收集后用于当地农田或林地肥料。</w:t>
      </w:r>
    </w:p>
    <w:bookmarkEnd w:id="292"/>
    <w:p w14:paraId="63A74BAD">
      <w:pPr>
        <w:spacing w:line="360" w:lineRule="auto"/>
        <w:ind w:firstLine="480" w:firstLineChars="200"/>
        <w:rPr>
          <w:rFonts w:hint="eastAsia"/>
          <w:color w:val="auto"/>
          <w:sz w:val="24"/>
        </w:rPr>
        <w:sectPr>
          <w:pgSz w:w="11906" w:h="16838"/>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59693F44">
      <w:pPr>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mc:AlternateContent>
          <mc:Choice Requires="wps">
            <w:drawing>
              <wp:anchor distT="0" distB="0" distL="114300" distR="114300" simplePos="0" relativeHeight="251782144" behindDoc="0" locked="0" layoutInCell="1" allowOverlap="1">
                <wp:simplePos x="0" y="0"/>
                <wp:positionH relativeFrom="column">
                  <wp:posOffset>1022985</wp:posOffset>
                </wp:positionH>
                <wp:positionV relativeFrom="paragraph">
                  <wp:posOffset>7774940</wp:posOffset>
                </wp:positionV>
                <wp:extent cx="431800" cy="0"/>
                <wp:effectExtent l="0" t="13970" r="6350" b="24130"/>
                <wp:wrapNone/>
                <wp:docPr id="333" name="直接箭头连接符 333"/>
                <wp:cNvGraphicFramePr/>
                <a:graphic xmlns:a="http://schemas.openxmlformats.org/drawingml/2006/main">
                  <a:graphicData uri="http://schemas.microsoft.com/office/word/2010/wordprocessingShape">
                    <wps:wsp>
                      <wps:cNvCnPr/>
                      <wps:spPr>
                        <a:xfrm>
                          <a:off x="0" y="0"/>
                          <a:ext cx="431800" cy="0"/>
                        </a:xfrm>
                        <a:prstGeom prst="straightConnector1">
                          <a:avLst/>
                        </a:prstGeom>
                        <a:ln w="28575"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80.55pt;margin-top:612.2pt;height:0pt;width:34pt;z-index:251782144;mso-width-relative:page;mso-height-relative:page;" filled="f" stroked="t" coordsize="21600,21600" o:gfxdata="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JqcY1gAAAA0BAAAPAAAAAAAAAAEAIAAAACIAAABkcnMvZG93&#10;bnJldi54bWxQSwECFAAUAAAACACHTuJAC/S75wICAADwAwAADgAAAAAAAAABACAAAAAlAQAAZHJz&#10;L2Uyb0RvYy54bWxQSwUGAAAAAAYABgBZAQAAmQUAAAAA&#10;">
                <v:fill on="f" focussize="0,0"/>
                <v:stroke weight="2.25pt" color="#FF0000" joinstyle="round"/>
                <v:imagedata o:title=""/>
                <o:lock v:ext="edit" aspectratio="f"/>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80096" behindDoc="0" locked="0" layoutInCell="1" allowOverlap="1">
                <wp:simplePos x="0" y="0"/>
                <wp:positionH relativeFrom="column">
                  <wp:posOffset>6204585</wp:posOffset>
                </wp:positionH>
                <wp:positionV relativeFrom="paragraph">
                  <wp:posOffset>4701540</wp:posOffset>
                </wp:positionV>
                <wp:extent cx="0" cy="396240"/>
                <wp:effectExtent l="13970" t="0" r="24130" b="3810"/>
                <wp:wrapNone/>
                <wp:docPr id="334" name="直接箭头连接符 334"/>
                <wp:cNvGraphicFramePr/>
                <a:graphic xmlns:a="http://schemas.openxmlformats.org/drawingml/2006/main">
                  <a:graphicData uri="http://schemas.microsoft.com/office/word/2010/wordprocessingShape">
                    <wps:wsp>
                      <wps:cNvCnPr/>
                      <wps:spPr>
                        <a:xfrm flipV="1">
                          <a:off x="0" y="0"/>
                          <a:ext cx="0" cy="396240"/>
                        </a:xfrm>
                        <a:prstGeom prst="straightConnector1">
                          <a:avLst/>
                        </a:prstGeom>
                        <a:ln w="28575" cap="flat" cmpd="sng">
                          <a:solidFill>
                            <a:srgbClr val="0000FF"/>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488.55pt;margin-top:370.2pt;height:31.2pt;width:0pt;z-index:251780096;mso-width-relative:page;mso-height-relative:page;" filled="f" stroked="t" coordsize="21600,21600" o:gfxdata="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1aLEB2wAAAAsBAAAPAAAAAAAAAAEAIAAA&#10;ACIAAABkcnMvZG93bnJldi54bWxQSwECFAAUAAAACACHTuJA1bBjuAkCAAD6AwAADgAAAAAAAAAB&#10;ACAAAAAqAQAAZHJzL2Uyb0RvYy54bWxQSwUGAAAAAAYABgBZAQAApQUAAAAA&#10;">
                <v:fill on="f" focussize="0,0"/>
                <v:stroke weight="2.25pt" color="#0000FF" joinstyle="round"/>
                <v:imagedata o:title=""/>
                <o:lock v:ext="edit" aspectratio="f"/>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76000" behindDoc="0" locked="0" layoutInCell="1" allowOverlap="1">
                <wp:simplePos x="0" y="0"/>
                <wp:positionH relativeFrom="column">
                  <wp:posOffset>1014095</wp:posOffset>
                </wp:positionH>
                <wp:positionV relativeFrom="paragraph">
                  <wp:posOffset>7990205</wp:posOffset>
                </wp:positionV>
                <wp:extent cx="431800" cy="0"/>
                <wp:effectExtent l="0" t="13970" r="6350" b="24130"/>
                <wp:wrapNone/>
                <wp:docPr id="335" name="直接箭头连接符 335"/>
                <wp:cNvGraphicFramePr/>
                <a:graphic xmlns:a="http://schemas.openxmlformats.org/drawingml/2006/main">
                  <a:graphicData uri="http://schemas.microsoft.com/office/word/2010/wordprocessingShape">
                    <wps:wsp>
                      <wps:cNvCnPr/>
                      <wps:spPr>
                        <a:xfrm>
                          <a:off x="0" y="0"/>
                          <a:ext cx="431800" cy="0"/>
                        </a:xfrm>
                        <a:prstGeom prst="straightConnector1">
                          <a:avLst/>
                        </a:prstGeom>
                        <a:ln w="28575" cap="flat" cmpd="sng">
                          <a:solidFill>
                            <a:srgbClr val="00B0F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79.85pt;margin-top:629.15pt;height:0pt;width:34pt;z-index:251776000;mso-width-relative:page;mso-height-relative:page;" filled="f" stroked="t" coordsize="21600,21600" o:gfxdata="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qHRk1wAAAA0BAAAPAAAAAAAAAAEAIAAAACIAAABkcnMvZG93&#10;bnJldi54bWxQSwECFAAUAAAACACHTuJAAZgksAECAADwAwAADgAAAAAAAAABACAAAAAmAQAAZHJz&#10;L2Uyb0RvYy54bWxQSwUGAAAAAAYABgBZAQAAmQUAAAAA&#10;">
                <v:fill on="f" focussize="0,0"/>
                <v:stroke weight="2.25pt" color="#00B0F0" joinstyle="round"/>
                <v:imagedata o:title=""/>
                <o:lock v:ext="edit" aspectratio="f"/>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77024" behindDoc="0" locked="0" layoutInCell="1" allowOverlap="1">
                <wp:simplePos x="0" y="0"/>
                <wp:positionH relativeFrom="column">
                  <wp:posOffset>1014095</wp:posOffset>
                </wp:positionH>
                <wp:positionV relativeFrom="paragraph">
                  <wp:posOffset>8227695</wp:posOffset>
                </wp:positionV>
                <wp:extent cx="431800" cy="0"/>
                <wp:effectExtent l="0" t="13970" r="6350" b="24130"/>
                <wp:wrapNone/>
                <wp:docPr id="336" name="直接箭头连接符 336"/>
                <wp:cNvGraphicFramePr/>
                <a:graphic xmlns:a="http://schemas.openxmlformats.org/drawingml/2006/main">
                  <a:graphicData uri="http://schemas.microsoft.com/office/word/2010/wordprocessingShape">
                    <wps:wsp>
                      <wps:cNvCnPr/>
                      <wps:spPr>
                        <a:xfrm>
                          <a:off x="0" y="0"/>
                          <a:ext cx="431800" cy="0"/>
                        </a:xfrm>
                        <a:prstGeom prst="straightConnector1">
                          <a:avLst/>
                        </a:prstGeom>
                        <a:ln w="28575" cap="flat" cmpd="sng">
                          <a:solidFill>
                            <a:srgbClr val="0000FF"/>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79.85pt;margin-top:647.85pt;height:0pt;width:34pt;z-index:251777024;mso-width-relative:page;mso-height-relative:page;" filled="f" stroked="t" coordsize="21600,21600" o:gfxdata="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vMgtcAAAANAQAADwAAAAAAAAABACAAAAAiAAAAZHJzL2Rv&#10;d25yZXYueG1sUEsBAhQAFAAAAAgAh07iQBe8+E4CAgAA8AMAAA4AAAAAAAAAAQAgAAAAJgEAAGRy&#10;cy9lMm9Eb2MueG1sUEsFBgAAAAAGAAYAWQEAAJoFAAAAAA==&#10;">
                <v:fill on="f" focussize="0,0"/>
                <v:stroke weight="2.25pt" color="#0000FF" joinstyle="round"/>
                <v:imagedata o:title=""/>
                <o:lock v:ext="edit" aspectratio="f"/>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63712" behindDoc="0" locked="0" layoutInCell="1" allowOverlap="1">
                <wp:simplePos x="0" y="0"/>
                <wp:positionH relativeFrom="column">
                  <wp:posOffset>6219190</wp:posOffset>
                </wp:positionH>
                <wp:positionV relativeFrom="paragraph">
                  <wp:posOffset>5090795</wp:posOffset>
                </wp:positionV>
                <wp:extent cx="2160270" cy="0"/>
                <wp:effectExtent l="0" t="13970" r="11430" b="24130"/>
                <wp:wrapNone/>
                <wp:docPr id="337" name="直接箭头连接符 337"/>
                <wp:cNvGraphicFramePr/>
                <a:graphic xmlns:a="http://schemas.openxmlformats.org/drawingml/2006/main">
                  <a:graphicData uri="http://schemas.microsoft.com/office/word/2010/wordprocessingShape">
                    <wps:wsp>
                      <wps:cNvCnPr/>
                      <wps:spPr>
                        <a:xfrm>
                          <a:off x="0" y="0"/>
                          <a:ext cx="2160270" cy="0"/>
                        </a:xfrm>
                        <a:prstGeom prst="straightConnector1">
                          <a:avLst/>
                        </a:prstGeom>
                        <a:ln w="28575" cap="flat" cmpd="sng">
                          <a:solidFill>
                            <a:srgbClr val="00B0F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89.7pt;margin-top:400.85pt;height:0pt;width:170.1pt;z-index:251763712;mso-width-relative:page;mso-height-relative:page;" filled="f" stroked="t" coordsize="21600,21600" o:gfxdata="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tyJNIdgAAAAMAQAADwAAAAAAAAABACAAAAAiAAAAZHJzL2Rv&#10;d25yZXYueG1sUEsBAhQAFAAAAAgAh07iQK6sLIwBAgAA8QMAAA4AAAAAAAAAAQAgAAAAJwEAAGRy&#10;cy9lMm9Eb2MueG1sUEsFBgAAAAAGAAYAWQEAAJoFAAAAAA==&#10;">
                <v:fill on="f" focussize="0,0"/>
                <v:stroke weight="2.25pt" color="#00B0F0" joinstyle="round"/>
                <v:imagedata o:title=""/>
                <o:lock v:ext="edit" aspectratio="f"/>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66784" behindDoc="0" locked="0" layoutInCell="1" allowOverlap="1">
                <wp:simplePos x="0" y="0"/>
                <wp:positionH relativeFrom="column">
                  <wp:posOffset>6208395</wp:posOffset>
                </wp:positionH>
                <wp:positionV relativeFrom="paragraph">
                  <wp:posOffset>5033645</wp:posOffset>
                </wp:positionV>
                <wp:extent cx="1979930" cy="0"/>
                <wp:effectExtent l="0" t="13970" r="1270" b="24130"/>
                <wp:wrapNone/>
                <wp:docPr id="338" name="直接箭头连接符 338"/>
                <wp:cNvGraphicFramePr/>
                <a:graphic xmlns:a="http://schemas.openxmlformats.org/drawingml/2006/main">
                  <a:graphicData uri="http://schemas.microsoft.com/office/word/2010/wordprocessingShape">
                    <wps:wsp>
                      <wps:cNvCnPr/>
                      <wps:spPr>
                        <a:xfrm flipV="1">
                          <a:off x="0" y="0"/>
                          <a:ext cx="1979930" cy="0"/>
                        </a:xfrm>
                        <a:prstGeom prst="straightConnector1">
                          <a:avLst/>
                        </a:prstGeom>
                        <a:ln w="28575"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488.85pt;margin-top:396.35pt;height:0pt;width:155.9pt;z-index:251766784;mso-width-relative:page;mso-height-relative:page;" filled="f" stroked="t" coordsize="21600,21600" o:gfxdata="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mSqgtUAAAAMAQAADwAAAAAAAAABACAAAAAiAAAA&#10;ZHJzL2Rvd25yZXYueG1sUEsBAhQAFAAAAAgAh07iQKCACdUKAgAA+wMAAA4AAAAAAAAAAQAgAAAA&#10;JAEAAGRycy9lMm9Eb2MueG1sUEsFBgAAAAAGAAYAWQEAAKAFAAAAAA==&#10;">
                <v:fill on="f" focussize="0,0"/>
                <v:stroke weight="2.25pt" color="#FF0000" joinstyle="round"/>
                <v:imagedata o:title=""/>
                <o:lock v:ext="edit" aspectratio="f"/>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74976" behindDoc="0" locked="0" layoutInCell="1" allowOverlap="1">
                <wp:simplePos x="0" y="0"/>
                <wp:positionH relativeFrom="column">
                  <wp:posOffset>890270</wp:posOffset>
                </wp:positionH>
                <wp:positionV relativeFrom="paragraph">
                  <wp:posOffset>7368540</wp:posOffset>
                </wp:positionV>
                <wp:extent cx="4229100" cy="1017905"/>
                <wp:effectExtent l="4445" t="5080" r="14605" b="5715"/>
                <wp:wrapNone/>
                <wp:docPr id="343" name="文本框 343"/>
                <wp:cNvGraphicFramePr/>
                <a:graphic xmlns:a="http://schemas.openxmlformats.org/drawingml/2006/main">
                  <a:graphicData uri="http://schemas.microsoft.com/office/word/2010/wordprocessingShape">
                    <wps:wsp>
                      <wps:cNvSpPr txBox="1"/>
                      <wps:spPr>
                        <a:xfrm>
                          <a:off x="0" y="0"/>
                          <a:ext cx="4229100" cy="10179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FF19A2A">
                            <w:pPr>
                              <w:spacing w:line="276" w:lineRule="auto"/>
                              <w:rPr>
                                <w:rFonts w:ascii="Times New Roman" w:hAnsi="Times New Roman" w:eastAsia="宋体" w:cs="Times New Roman"/>
                              </w:rPr>
                            </w:pPr>
                            <w:r>
                              <w:rPr>
                                <w:rFonts w:hint="eastAsia" w:ascii="Times New Roman" w:hAnsi="Times New Roman" w:eastAsia="宋体" w:cs="Times New Roman"/>
                              </w:rPr>
                              <w:t>图例：</w:t>
                            </w:r>
                          </w:p>
                          <w:p w14:paraId="08C12203">
                            <w:pPr>
                              <w:spacing w:line="276" w:lineRule="auto"/>
                              <w:rPr>
                                <w:rFonts w:hint="eastAsia" w:ascii="Times New Roman" w:hAnsi="Times New Roman" w:eastAsia="宋体" w:cs="Times New Roman"/>
                              </w:rPr>
                            </w:pPr>
                            <w:r>
                              <w:rPr>
                                <w:rFonts w:hint="eastAsia" w:ascii="Times New Roman" w:hAnsi="Times New Roman" w:eastAsia="宋体" w:cs="Times New Roman"/>
                              </w:rPr>
                              <w:t xml:space="preserve"> </w:t>
                            </w:r>
                            <w:r>
                              <w:rPr>
                                <w:rFonts w:ascii="Times New Roman" w:hAnsi="Times New Roman" w:eastAsia="宋体" w:cs="Times New Roman"/>
                              </w:rPr>
                              <w:t xml:space="preserve">     </w:t>
                            </w:r>
                            <w:r>
                              <w:rPr>
                                <w:rFonts w:hint="eastAsia" w:ascii="Times New Roman" w:hAnsi="Times New Roman" w:eastAsia="宋体" w:cs="Times New Roman"/>
                              </w:rPr>
                              <w:t xml:space="preserve"> </w:t>
                            </w:r>
                            <w:r>
                              <w:rPr>
                                <w:rFonts w:ascii="Times New Roman" w:hAnsi="Times New Roman" w:eastAsia="宋体" w:cs="Times New Roman"/>
                              </w:rPr>
                              <w:t xml:space="preserve"> </w:t>
                            </w:r>
                            <w:r>
                              <w:rPr>
                                <w:rFonts w:hint="eastAsia" w:ascii="Times New Roman" w:hAnsi="Times New Roman" w:eastAsia="宋体" w:cs="Times New Roman"/>
                              </w:rPr>
                              <w:t>船舶生活污水收集管网</w:t>
                            </w:r>
                          </w:p>
                          <w:p w14:paraId="0664B00E">
                            <w:pPr>
                              <w:spacing w:line="276" w:lineRule="auto"/>
                              <w:rPr>
                                <w:rFonts w:hint="eastAsia" w:ascii="Times New Roman" w:hAnsi="Times New Roman" w:eastAsia="宋体" w:cs="Times New Roman"/>
                              </w:rPr>
                            </w:pPr>
                            <w:r>
                              <w:rPr>
                                <w:rFonts w:hint="eastAsia" w:ascii="Times New Roman" w:hAnsi="Times New Roman" w:eastAsia="宋体" w:cs="Times New Roman"/>
                              </w:rPr>
                              <w:t xml:space="preserve"> </w:t>
                            </w:r>
                            <w:r>
                              <w:rPr>
                                <w:rFonts w:ascii="Times New Roman" w:hAnsi="Times New Roman" w:eastAsia="宋体" w:cs="Times New Roman"/>
                              </w:rPr>
                              <w:t xml:space="preserve">       </w:t>
                            </w:r>
                            <w:r>
                              <w:rPr>
                                <w:rFonts w:hint="eastAsia" w:ascii="Times New Roman" w:hAnsi="Times New Roman" w:eastAsia="宋体" w:cs="Times New Roman"/>
                              </w:rPr>
                              <w:t>船舶含油污水收集管网</w:t>
                            </w:r>
                          </w:p>
                          <w:p w14:paraId="434462E8">
                            <w:pPr>
                              <w:spacing w:line="276" w:lineRule="auto"/>
                              <w:rPr>
                                <w:rFonts w:hint="eastAsia" w:ascii="Times New Roman" w:hAnsi="Times New Roman" w:eastAsia="宋体" w:cs="Times New Roman"/>
                              </w:rPr>
                            </w:pPr>
                            <w:r>
                              <w:rPr>
                                <w:rFonts w:hint="eastAsia" w:ascii="Times New Roman" w:hAnsi="Times New Roman" w:eastAsia="宋体" w:cs="Times New Roman"/>
                              </w:rPr>
                              <w:t xml:space="preserve"> </w:t>
                            </w:r>
                            <w:r>
                              <w:rPr>
                                <w:rFonts w:ascii="Times New Roman" w:hAnsi="Times New Roman" w:eastAsia="宋体" w:cs="Times New Roman"/>
                              </w:rPr>
                              <w:t xml:space="preserve">       </w:t>
                            </w:r>
                            <w:r>
                              <w:rPr>
                                <w:rFonts w:hint="eastAsia" w:ascii="Times New Roman" w:hAnsi="Times New Roman" w:eastAsia="宋体" w:cs="Times New Roman"/>
                              </w:rPr>
                              <w:t>机械设备冲洗废水、初期雨水及码头地面冲洗废水收集管网</w:t>
                            </w:r>
                          </w:p>
                        </w:txbxContent>
                      </wps:txbx>
                      <wps:bodyPr upright="1"/>
                    </wps:wsp>
                  </a:graphicData>
                </a:graphic>
              </wp:anchor>
            </w:drawing>
          </mc:Choice>
          <mc:Fallback>
            <w:pict>
              <v:shape id="_x0000_s1026" o:spid="_x0000_s1026" o:spt="202" type="#_x0000_t202" style="position:absolute;left:0pt;margin-left:70.1pt;margin-top:580.2pt;height:80.15pt;width:333pt;z-index:251774976;mso-width-relative:page;mso-height-relative:page;" fillcolor="#FFFFFF" filled="t" stroked="t" coordsize="21600,21600" o:gfxdata="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OhZ9oAAAANAQAADwAAAAAAAAAB&#10;ACAAAAAiAAAAZHJzL2Rvd25yZXYueG1sUEsBAhQAFAAAAAgAh07iQI4W2rgOAgAAOwQAAA4AAAAA&#10;AAAAAQAgAAAAKQEAAGRycy9lMm9Eb2MueG1sUEsFBgAAAAAGAAYAWQEAAKkFAAAAAA==&#10;">
                <v:fill on="t" focussize="0,0"/>
                <v:stroke color="#000000" joinstyle="miter"/>
                <v:imagedata o:title=""/>
                <o:lock v:ext="edit" aspectratio="f"/>
                <v:textbox>
                  <w:txbxContent>
                    <w:p w14:paraId="3FF19A2A">
                      <w:pPr>
                        <w:spacing w:line="276" w:lineRule="auto"/>
                        <w:rPr>
                          <w:rFonts w:ascii="Times New Roman" w:hAnsi="Times New Roman" w:eastAsia="宋体" w:cs="Times New Roman"/>
                        </w:rPr>
                      </w:pPr>
                      <w:r>
                        <w:rPr>
                          <w:rFonts w:hint="eastAsia" w:ascii="Times New Roman" w:hAnsi="Times New Roman" w:eastAsia="宋体" w:cs="Times New Roman"/>
                        </w:rPr>
                        <w:t>图例：</w:t>
                      </w:r>
                    </w:p>
                    <w:p w14:paraId="08C12203">
                      <w:pPr>
                        <w:spacing w:line="276" w:lineRule="auto"/>
                        <w:rPr>
                          <w:rFonts w:hint="eastAsia" w:ascii="Times New Roman" w:hAnsi="Times New Roman" w:eastAsia="宋体" w:cs="Times New Roman"/>
                        </w:rPr>
                      </w:pPr>
                      <w:r>
                        <w:rPr>
                          <w:rFonts w:hint="eastAsia" w:ascii="Times New Roman" w:hAnsi="Times New Roman" w:eastAsia="宋体" w:cs="Times New Roman"/>
                        </w:rPr>
                        <w:t xml:space="preserve"> </w:t>
                      </w:r>
                      <w:r>
                        <w:rPr>
                          <w:rFonts w:ascii="Times New Roman" w:hAnsi="Times New Roman" w:eastAsia="宋体" w:cs="Times New Roman"/>
                        </w:rPr>
                        <w:t xml:space="preserve">     </w:t>
                      </w:r>
                      <w:r>
                        <w:rPr>
                          <w:rFonts w:hint="eastAsia" w:ascii="Times New Roman" w:hAnsi="Times New Roman" w:eastAsia="宋体" w:cs="Times New Roman"/>
                        </w:rPr>
                        <w:t xml:space="preserve"> </w:t>
                      </w:r>
                      <w:r>
                        <w:rPr>
                          <w:rFonts w:ascii="Times New Roman" w:hAnsi="Times New Roman" w:eastAsia="宋体" w:cs="Times New Roman"/>
                        </w:rPr>
                        <w:t xml:space="preserve"> </w:t>
                      </w:r>
                      <w:r>
                        <w:rPr>
                          <w:rFonts w:hint="eastAsia" w:ascii="Times New Roman" w:hAnsi="Times New Roman" w:eastAsia="宋体" w:cs="Times New Roman"/>
                        </w:rPr>
                        <w:t>船舶生活污水收集管网</w:t>
                      </w:r>
                    </w:p>
                    <w:p w14:paraId="0664B00E">
                      <w:pPr>
                        <w:spacing w:line="276" w:lineRule="auto"/>
                        <w:rPr>
                          <w:rFonts w:hint="eastAsia" w:ascii="Times New Roman" w:hAnsi="Times New Roman" w:eastAsia="宋体" w:cs="Times New Roman"/>
                        </w:rPr>
                      </w:pPr>
                      <w:r>
                        <w:rPr>
                          <w:rFonts w:hint="eastAsia" w:ascii="Times New Roman" w:hAnsi="Times New Roman" w:eastAsia="宋体" w:cs="Times New Roman"/>
                        </w:rPr>
                        <w:t xml:space="preserve"> </w:t>
                      </w:r>
                      <w:r>
                        <w:rPr>
                          <w:rFonts w:ascii="Times New Roman" w:hAnsi="Times New Roman" w:eastAsia="宋体" w:cs="Times New Roman"/>
                        </w:rPr>
                        <w:t xml:space="preserve">       </w:t>
                      </w:r>
                      <w:r>
                        <w:rPr>
                          <w:rFonts w:hint="eastAsia" w:ascii="Times New Roman" w:hAnsi="Times New Roman" w:eastAsia="宋体" w:cs="Times New Roman"/>
                        </w:rPr>
                        <w:t>船舶含油污水收集管网</w:t>
                      </w:r>
                    </w:p>
                    <w:p w14:paraId="434462E8">
                      <w:pPr>
                        <w:spacing w:line="276" w:lineRule="auto"/>
                        <w:rPr>
                          <w:rFonts w:hint="eastAsia" w:ascii="Times New Roman" w:hAnsi="Times New Roman" w:eastAsia="宋体" w:cs="Times New Roman"/>
                        </w:rPr>
                      </w:pPr>
                      <w:r>
                        <w:rPr>
                          <w:rFonts w:hint="eastAsia" w:ascii="Times New Roman" w:hAnsi="Times New Roman" w:eastAsia="宋体" w:cs="Times New Roman"/>
                        </w:rPr>
                        <w:t xml:space="preserve"> </w:t>
                      </w:r>
                      <w:r>
                        <w:rPr>
                          <w:rFonts w:ascii="Times New Roman" w:hAnsi="Times New Roman" w:eastAsia="宋体" w:cs="Times New Roman"/>
                        </w:rPr>
                        <w:t xml:space="preserve">       </w:t>
                      </w:r>
                      <w:r>
                        <w:rPr>
                          <w:rFonts w:hint="eastAsia" w:ascii="Times New Roman" w:hAnsi="Times New Roman" w:eastAsia="宋体" w:cs="Times New Roman"/>
                        </w:rPr>
                        <w:t>机械设备冲洗废水、初期雨水及码头地面冲洗废水收集管网</w:t>
                      </w:r>
                    </w:p>
                  </w:txbxContent>
                </v:textbox>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81120" behindDoc="0" locked="0" layoutInCell="1" allowOverlap="1">
                <wp:simplePos x="0" y="0"/>
                <wp:positionH relativeFrom="column">
                  <wp:posOffset>6765925</wp:posOffset>
                </wp:positionH>
                <wp:positionV relativeFrom="paragraph">
                  <wp:posOffset>4233545</wp:posOffset>
                </wp:positionV>
                <wp:extent cx="0" cy="447675"/>
                <wp:effectExtent l="13970" t="0" r="24130" b="9525"/>
                <wp:wrapNone/>
                <wp:docPr id="345" name="直接箭头连接符 345"/>
                <wp:cNvGraphicFramePr/>
                <a:graphic xmlns:a="http://schemas.openxmlformats.org/drawingml/2006/main">
                  <a:graphicData uri="http://schemas.microsoft.com/office/word/2010/wordprocessingShape">
                    <wps:wsp>
                      <wps:cNvCnPr/>
                      <wps:spPr>
                        <a:xfrm>
                          <a:off x="0" y="0"/>
                          <a:ext cx="0" cy="447675"/>
                        </a:xfrm>
                        <a:prstGeom prst="straightConnector1">
                          <a:avLst/>
                        </a:prstGeom>
                        <a:ln w="28575" cap="flat" cmpd="sng">
                          <a:solidFill>
                            <a:srgbClr val="0000FF"/>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32.75pt;margin-top:333.35pt;height:35.25pt;width:0pt;z-index:251781120;mso-width-relative:page;mso-height-relative:page;" filled="f" stroked="t" coordsize="21600,21600" o:gfxdata="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R6CIHaAAAADQEAAA8AAAAAAAAAAQAgAAAAIgAAAGRycy9k&#10;b3ducmV2LnhtbFBLAQIUABQAAAAIAIdO4kA/n5OrAAIAAPADAAAOAAAAAAAAAAEAIAAAACkBAABk&#10;cnMvZTJvRG9jLnhtbFBLBQYAAAAABgAGAFkBAACbBQAAAAA=&#10;">
                <v:fill on="f" focussize="0,0"/>
                <v:stroke weight="2.25pt" color="#0000FF" joinstyle="round"/>
                <v:imagedata o:title=""/>
                <o:lock v:ext="edit" aspectratio="f"/>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78048" behindDoc="0" locked="0" layoutInCell="1" allowOverlap="1">
                <wp:simplePos x="0" y="0"/>
                <wp:positionH relativeFrom="column">
                  <wp:posOffset>6204585</wp:posOffset>
                </wp:positionH>
                <wp:positionV relativeFrom="paragraph">
                  <wp:posOffset>4695825</wp:posOffset>
                </wp:positionV>
                <wp:extent cx="2844165" cy="0"/>
                <wp:effectExtent l="0" t="13970" r="13335" b="24130"/>
                <wp:wrapNone/>
                <wp:docPr id="351" name="直接箭头连接符 351"/>
                <wp:cNvGraphicFramePr/>
                <a:graphic xmlns:a="http://schemas.openxmlformats.org/drawingml/2006/main">
                  <a:graphicData uri="http://schemas.microsoft.com/office/word/2010/wordprocessingShape">
                    <wps:wsp>
                      <wps:cNvCnPr/>
                      <wps:spPr>
                        <a:xfrm flipV="1">
                          <a:off x="0" y="0"/>
                          <a:ext cx="2844165" cy="0"/>
                        </a:xfrm>
                        <a:prstGeom prst="straightConnector1">
                          <a:avLst/>
                        </a:prstGeom>
                        <a:ln w="28575" cap="flat" cmpd="sng">
                          <a:solidFill>
                            <a:srgbClr val="0000FF"/>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488.55pt;margin-top:369.75pt;height:0pt;width:223.95pt;z-index:251778048;mso-width-relative:page;mso-height-relative:page;" filled="f" stroked="t" coordsize="21600,21600" o:gfxdata="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kfd7bcAAAADAEAAA8AAAAAAAAAAQAgAAAA&#10;IgAAAGRycy9kb3ducmV2LnhtbFBLAQIUABQAAAAIAIdO4kDsb3OeBwIAAPsDAAAOAAAAAAAAAAEA&#10;IAAAACsBAABkcnMvZTJvRG9jLnhtbFBLBQYAAAAABgAGAFkBAACkBQAAAAA=&#10;">
                <v:fill on="f" focussize="0,0"/>
                <v:stroke weight="2.25pt" color="#0000FF" joinstyle="round"/>
                <v:imagedata o:title=""/>
                <o:lock v:ext="edit" aspectratio="f"/>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79072" behindDoc="0" locked="0" layoutInCell="1" allowOverlap="1">
                <wp:simplePos x="0" y="0"/>
                <wp:positionH relativeFrom="column">
                  <wp:posOffset>6202045</wp:posOffset>
                </wp:positionH>
                <wp:positionV relativeFrom="paragraph">
                  <wp:posOffset>4957445</wp:posOffset>
                </wp:positionV>
                <wp:extent cx="2700020" cy="0"/>
                <wp:effectExtent l="0" t="13970" r="5080" b="24130"/>
                <wp:wrapNone/>
                <wp:docPr id="352" name="直接箭头连接符 352"/>
                <wp:cNvGraphicFramePr/>
                <a:graphic xmlns:a="http://schemas.openxmlformats.org/drawingml/2006/main">
                  <a:graphicData uri="http://schemas.microsoft.com/office/word/2010/wordprocessingShape">
                    <wps:wsp>
                      <wps:cNvCnPr/>
                      <wps:spPr>
                        <a:xfrm flipV="1">
                          <a:off x="0" y="0"/>
                          <a:ext cx="2700020" cy="0"/>
                        </a:xfrm>
                        <a:prstGeom prst="straightConnector1">
                          <a:avLst/>
                        </a:prstGeom>
                        <a:ln w="28575" cap="flat" cmpd="sng">
                          <a:solidFill>
                            <a:srgbClr val="0000FF"/>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488.35pt;margin-top:390.35pt;height:0pt;width:212.6pt;z-index:251779072;mso-width-relative:page;mso-height-relative:page;" filled="f" stroked="t" coordsize="21600,21600" o:gfxdata="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o8NEdoAAAAMAQAADwAAAAAAAAABACAAAAAi&#10;AAAAZHJzL2Rvd25yZXYueG1sUEsBAhQAFAAAAAgAh07iQHUEN2IIAgAA+wMAAA4AAAAAAAAAAQAg&#10;AAAAKQEAAGRycy9lMm9Eb2MueG1sUEsFBgAAAAAGAAYAWQEAAKMFAAAAAA==&#10;">
                <v:fill on="f" focussize="0,0"/>
                <v:stroke weight="2.25pt" color="#0000FF" joinstyle="round"/>
                <v:imagedata o:title=""/>
                <o:lock v:ext="edit" aspectratio="f"/>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73952" behindDoc="0" locked="0" layoutInCell="1" allowOverlap="1">
                <wp:simplePos x="0" y="0"/>
                <wp:positionH relativeFrom="column">
                  <wp:posOffset>6757670</wp:posOffset>
                </wp:positionH>
                <wp:positionV relativeFrom="paragraph">
                  <wp:posOffset>4233545</wp:posOffset>
                </wp:positionV>
                <wp:extent cx="552450" cy="0"/>
                <wp:effectExtent l="0" t="13970" r="0" b="24130"/>
                <wp:wrapNone/>
                <wp:docPr id="353" name="直接箭头连接符 353"/>
                <wp:cNvGraphicFramePr/>
                <a:graphic xmlns:a="http://schemas.openxmlformats.org/drawingml/2006/main">
                  <a:graphicData uri="http://schemas.microsoft.com/office/word/2010/wordprocessingShape">
                    <wps:wsp>
                      <wps:cNvCnPr/>
                      <wps:spPr>
                        <a:xfrm>
                          <a:off x="0" y="0"/>
                          <a:ext cx="552450" cy="0"/>
                        </a:xfrm>
                        <a:prstGeom prst="straightConnector1">
                          <a:avLst/>
                        </a:prstGeom>
                        <a:ln w="28575" cap="flat" cmpd="sng">
                          <a:solidFill>
                            <a:srgbClr val="0000FF"/>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32.1pt;margin-top:333.35pt;height:0pt;width:43.5pt;z-index:251773952;mso-width-relative:page;mso-height-relative:page;" filled="f" stroked="t" coordsize="21600,21600" o:gfxdata="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cKlgodgAAAANAQAADwAAAAAAAAABACAAAAAiAAAAZHJzL2Rv&#10;d25yZXYueG1sUEsBAhQAFAAAAAgAh07iQLHUbVcBAgAA8AMAAA4AAAAAAAAAAQAgAAAAJwEAAGRy&#10;cy9lMm9Eb2MueG1sUEsFBgAAAAAGAAYAWQEAAJoFAAAAAA==&#10;">
                <v:fill on="f" focussize="0,0"/>
                <v:stroke weight="2.25pt" color="#0000FF" joinstyle="round"/>
                <v:imagedata o:title=""/>
                <o:lock v:ext="edit" aspectratio="f"/>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72928" behindDoc="0" locked="0" layoutInCell="1" allowOverlap="1">
                <wp:simplePos x="0" y="0"/>
                <wp:positionH relativeFrom="column">
                  <wp:posOffset>6443345</wp:posOffset>
                </wp:positionH>
                <wp:positionV relativeFrom="paragraph">
                  <wp:posOffset>3823970</wp:posOffset>
                </wp:positionV>
                <wp:extent cx="742950" cy="304800"/>
                <wp:effectExtent l="0" t="0" r="0" b="0"/>
                <wp:wrapNone/>
                <wp:docPr id="346" name="文本框 346"/>
                <wp:cNvGraphicFramePr/>
                <a:graphic xmlns:a="http://schemas.openxmlformats.org/drawingml/2006/main">
                  <a:graphicData uri="http://schemas.microsoft.com/office/word/2010/wordprocessingShape">
                    <wps:wsp>
                      <wps:cNvSpPr txBox="1"/>
                      <wps:spPr>
                        <a:xfrm>
                          <a:off x="0" y="0"/>
                          <a:ext cx="742950" cy="304800"/>
                        </a:xfrm>
                        <a:prstGeom prst="rect">
                          <a:avLst/>
                        </a:prstGeom>
                        <a:noFill/>
                        <a:ln>
                          <a:noFill/>
                        </a:ln>
                      </wps:spPr>
                      <wps:txbx>
                        <w:txbxContent>
                          <w:p w14:paraId="472A8F22">
                            <w:pPr>
                              <w:rPr>
                                <w:rFonts w:ascii="Times New Roman" w:hAnsi="Times New Roman" w:eastAsia="宋体" w:cs="Times New Roman"/>
                              </w:rPr>
                            </w:pPr>
                            <w:r>
                              <w:rPr>
                                <w:rFonts w:hint="eastAsia" w:ascii="Times New Roman" w:hAnsi="Times New Roman" w:eastAsia="宋体" w:cs="Times New Roman"/>
                              </w:rPr>
                              <w:t>洗车平台</w:t>
                            </w:r>
                          </w:p>
                        </w:txbxContent>
                      </wps:txbx>
                      <wps:bodyPr upright="1"/>
                    </wps:wsp>
                  </a:graphicData>
                </a:graphic>
              </wp:anchor>
            </w:drawing>
          </mc:Choice>
          <mc:Fallback>
            <w:pict>
              <v:shape id="_x0000_s1026" o:spid="_x0000_s1026" o:spt="202" type="#_x0000_t202" style="position:absolute;left:0pt;margin-left:507.35pt;margin-top:301.1pt;height:24pt;width:58.5pt;z-index:251772928;mso-width-relative:page;mso-height-relative:page;" filled="f" stroked="f" coordsize="21600,21600" o:gfxdata="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6c9z&#10;etgAAAANAQAADwAAAAAAAAABACAAAAAiAAAAZHJzL2Rvd25yZXYueG1sUEsBAhQAFAAAAAgAh07i&#10;QBzSiIywAQAAUQMAAA4AAAAAAAAAAQAgAAAAJwEAAGRycy9lMm9Eb2MueG1sUEsFBgAAAAAGAAYA&#10;WQEAAEkFAAAAAA==&#10;">
                <v:fill on="f" focussize="0,0"/>
                <v:stroke on="f"/>
                <v:imagedata o:title=""/>
                <o:lock v:ext="edit" aspectratio="f"/>
                <v:textbox>
                  <w:txbxContent>
                    <w:p w14:paraId="472A8F22">
                      <w:pPr>
                        <w:rPr>
                          <w:rFonts w:ascii="Times New Roman" w:hAnsi="Times New Roman" w:eastAsia="宋体" w:cs="Times New Roman"/>
                        </w:rPr>
                      </w:pPr>
                      <w:r>
                        <w:rPr>
                          <w:rFonts w:hint="eastAsia" w:ascii="Times New Roman" w:hAnsi="Times New Roman" w:eastAsia="宋体" w:cs="Times New Roman"/>
                        </w:rPr>
                        <w:t>洗车平台</w:t>
                      </w:r>
                    </w:p>
                  </w:txbxContent>
                </v:textbox>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71904" behindDoc="0" locked="0" layoutInCell="1" allowOverlap="1">
                <wp:simplePos x="0" y="0"/>
                <wp:positionH relativeFrom="column">
                  <wp:posOffset>6843395</wp:posOffset>
                </wp:positionH>
                <wp:positionV relativeFrom="paragraph">
                  <wp:posOffset>4043045</wp:posOffset>
                </wp:positionV>
                <wp:extent cx="466725" cy="152400"/>
                <wp:effectExtent l="1270" t="4445" r="8255" b="14605"/>
                <wp:wrapNone/>
                <wp:docPr id="344" name="直接箭头连接符 344"/>
                <wp:cNvGraphicFramePr/>
                <a:graphic xmlns:a="http://schemas.openxmlformats.org/drawingml/2006/main">
                  <a:graphicData uri="http://schemas.microsoft.com/office/word/2010/wordprocessingShape">
                    <wps:wsp>
                      <wps:cNvCnPr/>
                      <wps:spPr>
                        <a:xfrm>
                          <a:off x="0" y="0"/>
                          <a:ext cx="466725" cy="15240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538.85pt;margin-top:318.35pt;height:12pt;width:36.75pt;z-index:251771904;mso-width-relative:page;mso-height-relative:page;" filled="f" stroked="t" coordsize="21600,21600" o:gfxdata="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XZghXbAAAADQEAAA8AAAAAAAAAAQAg&#10;AAAAIgAAAGRycy9kb3ducmV2LnhtbFBLAQIUABQAAAAIAIdO4kBfKMVyCwIAAPgDAAAOAAAAAAAA&#10;AAEAIAAAACoBAABkcnMvZTJvRG9jLnhtbFBLBQYAAAAABgAGAFkBAACnBQAAAAA=&#10;">
                <v:fill on="f" focussize="0,0"/>
                <v:stroke color="#000000" joinstyle="round" endarrow="block"/>
                <v:imagedata o:title=""/>
                <o:lock v:ext="edit" aspectratio="f"/>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70880" behindDoc="0" locked="0" layoutInCell="1" allowOverlap="1">
                <wp:simplePos x="0" y="0"/>
                <wp:positionH relativeFrom="column">
                  <wp:posOffset>7319645</wp:posOffset>
                </wp:positionH>
                <wp:positionV relativeFrom="paragraph">
                  <wp:posOffset>4182745</wp:posOffset>
                </wp:positionV>
                <wp:extent cx="179705" cy="107950"/>
                <wp:effectExtent l="9525" t="9525" r="20320" b="15875"/>
                <wp:wrapNone/>
                <wp:docPr id="339" name="矩形 339"/>
                <wp:cNvGraphicFramePr/>
                <a:graphic xmlns:a="http://schemas.openxmlformats.org/drawingml/2006/main">
                  <a:graphicData uri="http://schemas.microsoft.com/office/word/2010/wordprocessingShape">
                    <wps:wsp>
                      <wps:cNvSpPr/>
                      <wps:spPr>
                        <a:xfrm>
                          <a:off x="0" y="0"/>
                          <a:ext cx="179705" cy="107950"/>
                        </a:xfrm>
                        <a:prstGeom prst="rect">
                          <a:avLst/>
                        </a:prstGeom>
                        <a:solidFill>
                          <a:srgbClr val="FFFFFF"/>
                        </a:solidFill>
                        <a:ln w="19050"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576.35pt;margin-top:329.35pt;height:8.5pt;width:14.15pt;z-index:251770880;mso-width-relative:page;mso-height-relative:page;" fillcolor="#FFFFFF" filled="t" stroked="t" coordsize="21600,21600" o:gfxdata="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fKQpC3AAAAA0BAAAPAAAAAAAAAAEAIAAAACIAAABkcnMv&#10;ZG93bnJldi54bWxQSwECFAAUAAAACACHTuJAffT/dP8BAAAiBAAADgAAAAAAAAABACAAAAArAQAA&#10;ZHJzL2Uyb0RvYy54bWxQSwUGAAAAAAYABgBZAQAAnAUAAAAA&#10;">
                <v:fill on="t" focussize="0,0"/>
                <v:stroke weight="1.5pt" color="#000000" joinstyle="miter"/>
                <v:imagedata o:title=""/>
                <o:lock v:ext="edit" aspectratio="f"/>
              </v:rect>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69856" behindDoc="0" locked="0" layoutInCell="1" allowOverlap="1">
                <wp:simplePos x="0" y="0"/>
                <wp:positionH relativeFrom="column">
                  <wp:posOffset>6138545</wp:posOffset>
                </wp:positionH>
                <wp:positionV relativeFrom="paragraph">
                  <wp:posOffset>4290695</wp:posOffset>
                </wp:positionV>
                <wp:extent cx="125730" cy="114300"/>
                <wp:effectExtent l="4445" t="4445" r="22225" b="14605"/>
                <wp:wrapNone/>
                <wp:docPr id="349" name="矩形 349"/>
                <wp:cNvGraphicFramePr/>
                <a:graphic xmlns:a="http://schemas.openxmlformats.org/drawingml/2006/main">
                  <a:graphicData uri="http://schemas.microsoft.com/office/word/2010/wordprocessingShape">
                    <wps:wsp>
                      <wps:cNvSpPr/>
                      <wps:spPr>
                        <a:xfrm>
                          <a:off x="0" y="0"/>
                          <a:ext cx="125730" cy="114300"/>
                        </a:xfrm>
                        <a:prstGeom prst="rect">
                          <a:avLst/>
                        </a:prstGeom>
                        <a:solidFill>
                          <a:srgbClr val="FF0000"/>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483.35pt;margin-top:337.85pt;height:9pt;width:9.9pt;z-index:251769856;mso-width-relative:page;mso-height-relative:page;" fillcolor="#FF0000" filled="t" stroked="t" coordsize="21600,21600" o:gfxdata="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lhHpXZAAAACwEAAA8AAAAAAAAAAQAgAAAAIgAAAGRycy9k&#10;b3ducmV2LnhtbFBLAQIUABQAAAAIAIdO4kAAoe4XAQIAACEEAAAOAAAAAAAAAAEAIAAAACgBAABk&#10;cnMvZTJvRG9jLnhtbFBLBQYAAAAABgAGAFkBAACbBQAAAAA=&#10;">
                <v:fill on="t" focussize="0,0"/>
                <v:stroke color="#000000" joinstyle="miter"/>
                <v:imagedata o:title=""/>
                <o:lock v:ext="edit" aspectratio="f"/>
              </v:rect>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68832" behindDoc="0" locked="0" layoutInCell="1" allowOverlap="1">
                <wp:simplePos x="0" y="0"/>
                <wp:positionH relativeFrom="column">
                  <wp:posOffset>8186420</wp:posOffset>
                </wp:positionH>
                <wp:positionV relativeFrom="paragraph">
                  <wp:posOffset>5033645</wp:posOffset>
                </wp:positionV>
                <wp:extent cx="0" cy="161925"/>
                <wp:effectExtent l="13970" t="0" r="24130" b="9525"/>
                <wp:wrapNone/>
                <wp:docPr id="348" name="直接箭头连接符 348"/>
                <wp:cNvGraphicFramePr/>
                <a:graphic xmlns:a="http://schemas.openxmlformats.org/drawingml/2006/main">
                  <a:graphicData uri="http://schemas.microsoft.com/office/word/2010/wordprocessingShape">
                    <wps:wsp>
                      <wps:cNvCnPr/>
                      <wps:spPr>
                        <a:xfrm flipH="1">
                          <a:off x="0" y="0"/>
                          <a:ext cx="0" cy="161925"/>
                        </a:xfrm>
                        <a:prstGeom prst="straightConnector1">
                          <a:avLst/>
                        </a:prstGeom>
                        <a:ln w="28575"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644.6pt;margin-top:396.35pt;height:12.75pt;width:0pt;z-index:251768832;mso-width-relative:page;mso-height-relative:page;" filled="f" stroked="t" coordsize="21600,21600" o:gfxdata="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Oyx28tYAAAANAQAADwAAAAAAAAABACAAAAAiAAAAZHJz&#10;L2Rvd25yZXYueG1sUEsBAhQAFAAAAAgAh07iQIfHgUcGAgAA+gMAAA4AAAAAAAAAAQAgAAAAJQEA&#10;AGRycy9lMm9Eb2MueG1sUEsFBgAAAAAGAAYAWQEAAJ0FAAAAAA==&#10;">
                <v:fill on="f" focussize="0,0"/>
                <v:stroke weight="2.25pt" color="#FF0000" joinstyle="round"/>
                <v:imagedata o:title=""/>
                <o:lock v:ext="edit" aspectratio="f"/>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67808" behindDoc="0" locked="0" layoutInCell="1" allowOverlap="1">
                <wp:simplePos x="0" y="0"/>
                <wp:positionH relativeFrom="column">
                  <wp:posOffset>6881495</wp:posOffset>
                </wp:positionH>
                <wp:positionV relativeFrom="paragraph">
                  <wp:posOffset>5024120</wp:posOffset>
                </wp:positionV>
                <wp:extent cx="0" cy="161925"/>
                <wp:effectExtent l="13970" t="0" r="24130" b="9525"/>
                <wp:wrapNone/>
                <wp:docPr id="350" name="直接箭头连接符 350"/>
                <wp:cNvGraphicFramePr/>
                <a:graphic xmlns:a="http://schemas.openxmlformats.org/drawingml/2006/main">
                  <a:graphicData uri="http://schemas.microsoft.com/office/word/2010/wordprocessingShape">
                    <wps:wsp>
                      <wps:cNvCnPr/>
                      <wps:spPr>
                        <a:xfrm flipH="1">
                          <a:off x="0" y="0"/>
                          <a:ext cx="0" cy="161925"/>
                        </a:xfrm>
                        <a:prstGeom prst="straightConnector1">
                          <a:avLst/>
                        </a:prstGeom>
                        <a:ln w="28575"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x;margin-left:541.85pt;margin-top:395.6pt;height:12.75pt;width:0pt;z-index:251767808;mso-width-relative:page;mso-height-relative:page;" filled="f" stroked="t" coordsize="21600,21600" o:gfxdata="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n/W7K9YAAAANAQAADwAAAAAAAAABACAAAAAiAAAAZHJz&#10;L2Rvd25yZXYueG1sUEsBAhQAFAAAAAgAh07iQOIyhCgGAgAA+gMAAA4AAAAAAAAAAQAgAAAAJQEA&#10;AGRycy9lMm9Eb2MueG1sUEsFBgAAAAAGAAYAWQEAAJ0FAAAAAA==&#10;">
                <v:fill on="f" focussize="0,0"/>
                <v:stroke weight="2.25pt" color="#FF0000" joinstyle="round"/>
                <v:imagedata o:title=""/>
                <o:lock v:ext="edit" aspectratio="f"/>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65760" behindDoc="0" locked="0" layoutInCell="1" allowOverlap="1">
                <wp:simplePos x="0" y="0"/>
                <wp:positionH relativeFrom="column">
                  <wp:posOffset>8386445</wp:posOffset>
                </wp:positionH>
                <wp:positionV relativeFrom="paragraph">
                  <wp:posOffset>5090795</wp:posOffset>
                </wp:positionV>
                <wp:extent cx="0" cy="85725"/>
                <wp:effectExtent l="13970" t="0" r="24130" b="9525"/>
                <wp:wrapNone/>
                <wp:docPr id="340" name="直接箭头连接符 340"/>
                <wp:cNvGraphicFramePr/>
                <a:graphic xmlns:a="http://schemas.openxmlformats.org/drawingml/2006/main">
                  <a:graphicData uri="http://schemas.microsoft.com/office/word/2010/wordprocessingShape">
                    <wps:wsp>
                      <wps:cNvCnPr/>
                      <wps:spPr>
                        <a:xfrm>
                          <a:off x="0" y="0"/>
                          <a:ext cx="0" cy="85725"/>
                        </a:xfrm>
                        <a:prstGeom prst="straightConnector1">
                          <a:avLst/>
                        </a:prstGeom>
                        <a:ln w="28575" cap="flat" cmpd="sng">
                          <a:solidFill>
                            <a:srgbClr val="00B0F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660.35pt;margin-top:400.85pt;height:6.75pt;width:0pt;z-index:251765760;mso-width-relative:page;mso-height-relative:page;" filled="f" stroked="t" coordsize="21600,21600" o:gfxdata="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WYyGJtcAAAANAQAADwAAAAAAAAABACAAAAAiAAAAZHJzL2Rvd25y&#10;ZXYueG1sUEsBAhQAFAAAAAgAh07iQMDFCFr/AQAA7wMAAA4AAAAAAAAAAQAgAAAAJgEAAGRycy9l&#10;Mm9Eb2MueG1sUEsFBgAAAAAGAAYAWQEAAJcFAAAAAA==&#10;">
                <v:fill on="f" focussize="0,0"/>
                <v:stroke weight="2.25pt" color="#00B0F0" joinstyle="round"/>
                <v:imagedata o:title=""/>
                <o:lock v:ext="edit" aspectratio="f"/>
              </v:shape>
            </w:pict>
          </mc:Fallback>
        </mc:AlternateContent>
      </w:r>
      <w:r>
        <w:rPr>
          <w:rFonts w:ascii="Times New Roman" w:hAnsi="Times New Roman" w:eastAsia="宋体" w:cs="Times New Roman"/>
          <w:color w:val="auto"/>
        </w:rPr>
        <mc:AlternateContent>
          <mc:Choice Requires="wps">
            <w:drawing>
              <wp:anchor distT="0" distB="0" distL="114300" distR="114300" simplePos="0" relativeHeight="251764736" behindDoc="0" locked="0" layoutInCell="1" allowOverlap="1">
                <wp:simplePos x="0" y="0"/>
                <wp:positionH relativeFrom="column">
                  <wp:posOffset>6986270</wp:posOffset>
                </wp:positionH>
                <wp:positionV relativeFrom="paragraph">
                  <wp:posOffset>5090795</wp:posOffset>
                </wp:positionV>
                <wp:extent cx="0" cy="85725"/>
                <wp:effectExtent l="13970" t="0" r="24130" b="9525"/>
                <wp:wrapNone/>
                <wp:docPr id="347" name="直接箭头连接符 347"/>
                <wp:cNvGraphicFramePr/>
                <a:graphic xmlns:a="http://schemas.openxmlformats.org/drawingml/2006/main">
                  <a:graphicData uri="http://schemas.microsoft.com/office/word/2010/wordprocessingShape">
                    <wps:wsp>
                      <wps:cNvCnPr/>
                      <wps:spPr>
                        <a:xfrm>
                          <a:off x="0" y="0"/>
                          <a:ext cx="0" cy="85725"/>
                        </a:xfrm>
                        <a:prstGeom prst="straightConnector1">
                          <a:avLst/>
                        </a:prstGeom>
                        <a:ln w="28575" cap="flat" cmpd="sng">
                          <a:solidFill>
                            <a:srgbClr val="00B0F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550.1pt;margin-top:400.85pt;height:6.75pt;width:0pt;z-index:251764736;mso-width-relative:page;mso-height-relative:page;" filled="f" stroked="t" coordsize="21600,21600" o:gfxdata="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Pbf1EXXAAAADQEAAA8AAAAAAAAAAQAgAAAAIgAAAGRycy9kb3du&#10;cmV2LnhtbFBLAQIUABQAAAAIAIdO4kA19Y4zAAIAAO8DAAAOAAAAAAAAAAEAIAAAACYBAABkcnMv&#10;ZTJvRG9jLnhtbFBLBQYAAAAABgAGAFkBAACYBQAAAAA=&#10;">
                <v:fill on="f" focussize="0,0"/>
                <v:stroke weight="2.25pt" color="#00B0F0" joinstyle="round"/>
                <v:imagedata o:title=""/>
                <o:lock v:ext="edit" aspectratio="f"/>
              </v:shape>
            </w:pict>
          </mc:Fallback>
        </mc:AlternateContent>
      </w:r>
      <w:r>
        <w:rPr>
          <w:rFonts w:ascii="Times New Roman" w:hAnsi="Times New Roman" w:eastAsia="宋体" w:cs="Times New Roman"/>
          <w:color w:val="auto"/>
        </w:rPr>
        <w:drawing>
          <wp:inline distT="0" distB="0" distL="114300" distR="114300">
            <wp:extent cx="11621770" cy="8369300"/>
            <wp:effectExtent l="0" t="0" r="17780" b="12700"/>
            <wp:docPr id="341"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65"/>
                    <pic:cNvPicPr>
                      <a:picLocks noChangeAspect="1"/>
                    </pic:cNvPicPr>
                  </pic:nvPicPr>
                  <pic:blipFill>
                    <a:blip r:embed="rId210"/>
                    <a:srcRect l="490" t="536" r="621" b="581"/>
                    <a:stretch>
                      <a:fillRect/>
                    </a:stretch>
                  </pic:blipFill>
                  <pic:spPr>
                    <a:xfrm>
                      <a:off x="0" y="0"/>
                      <a:ext cx="11621770" cy="8369300"/>
                    </a:xfrm>
                    <a:prstGeom prst="rect">
                      <a:avLst/>
                    </a:prstGeom>
                    <a:noFill/>
                    <a:ln>
                      <a:noFill/>
                    </a:ln>
                  </pic:spPr>
                </pic:pic>
              </a:graphicData>
            </a:graphic>
          </wp:inline>
        </w:drawing>
      </w:r>
    </w:p>
    <w:p w14:paraId="6A7C23BF">
      <w:pPr>
        <w:spacing w:line="360" w:lineRule="auto"/>
        <w:jc w:val="center"/>
        <w:rPr>
          <w:rFonts w:ascii="Times New Roman" w:hAnsi="Times New Roman" w:eastAsia="宋体" w:cs="Times New Roman"/>
          <w:color w:val="auto"/>
        </w:rPr>
      </w:pPr>
      <w:r>
        <w:rPr>
          <w:rFonts w:ascii="Times New Roman" w:hAnsi="Times New Roman" w:eastAsia="黑体" w:cs="Times New Roman"/>
          <w:color w:val="auto"/>
          <w:sz w:val="24"/>
        </w:rPr>
        <w:t>图6.2-</w:t>
      </w:r>
      <w:r>
        <w:rPr>
          <w:rFonts w:hint="eastAsia" w:ascii="Times New Roman" w:hAnsi="Times New Roman" w:eastAsia="黑体" w:cs="Times New Roman"/>
          <w:color w:val="auto"/>
          <w:sz w:val="24"/>
        </w:rPr>
        <w:t>2</w:t>
      </w:r>
      <w:r>
        <w:rPr>
          <w:rFonts w:ascii="Times New Roman" w:hAnsi="Times New Roman" w:eastAsia="黑体" w:cs="Times New Roman"/>
          <w:color w:val="auto"/>
          <w:sz w:val="24"/>
        </w:rPr>
        <w:t xml:space="preserve"> 拟建项目废水收集管网示意</w:t>
      </w:r>
      <w:r>
        <w:rPr>
          <w:rFonts w:hint="eastAsia" w:ascii="Times New Roman" w:hAnsi="Times New Roman" w:eastAsia="黑体" w:cs="Times New Roman"/>
          <w:color w:val="auto"/>
          <w:sz w:val="24"/>
        </w:rPr>
        <w:t>图</w:t>
      </w:r>
    </w:p>
    <w:p w14:paraId="3E116E7B">
      <w:pPr>
        <w:spacing w:line="360" w:lineRule="auto"/>
        <w:jc w:val="center"/>
        <w:rPr>
          <w:color w:val="auto"/>
        </w:rPr>
        <w:sectPr>
          <w:pgSz w:w="23808" w:h="16840" w:orient="landscape"/>
          <w:pgMar w:top="1418" w:right="1418" w:bottom="1418" w:left="1418" w:header="851" w:footer="851" w:gutter="0"/>
          <w:pgBorders>
            <w:top w:val="none" w:sz="0" w:space="0"/>
            <w:left w:val="none" w:sz="0" w:space="0"/>
            <w:bottom w:val="none" w:sz="0" w:space="0"/>
            <w:right w:val="none" w:sz="0" w:space="0"/>
          </w:pgBorders>
          <w:cols w:space="720" w:num="1"/>
          <w:docGrid w:type="lines" w:linePitch="312" w:charSpace="0"/>
        </w:sectPr>
      </w:pPr>
    </w:p>
    <w:p w14:paraId="6CFB493E">
      <w:pPr>
        <w:keepNext/>
        <w:keepLines/>
        <w:widowControl w:val="0"/>
        <w:numPr>
          <w:ilvl w:val="0"/>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6.2.2</w:t>
      </w:r>
      <w:r>
        <w:rPr>
          <w:rFonts w:ascii="Times New Roman" w:hAnsi="Times New Roman" w:eastAsia="黑体" w:cs="Times New Roman"/>
          <w:bCs/>
          <w:color w:val="auto"/>
          <w:kern w:val="2"/>
          <w:sz w:val="28"/>
          <w:szCs w:val="32"/>
          <w:lang w:val="en-US" w:eastAsia="zh-CN" w:bidi="ar-SA"/>
        </w:rPr>
        <w:t>运营期大气污染防治措施</w:t>
      </w:r>
    </w:p>
    <w:p w14:paraId="05D06AC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本项目营运期产生的废气主要</w:t>
      </w:r>
      <w:r>
        <w:rPr>
          <w:rFonts w:hint="eastAsia" w:cs="Times New Roman"/>
          <w:color w:val="auto"/>
          <w:sz w:val="24"/>
          <w:lang w:eastAsia="zh-CN"/>
        </w:rPr>
        <w:t>来源于</w:t>
      </w:r>
      <w:r>
        <w:rPr>
          <w:rFonts w:ascii="Times New Roman" w:hAnsi="Times New Roman" w:eastAsia="宋体" w:cs="Times New Roman"/>
          <w:color w:val="auto"/>
          <w:sz w:val="24"/>
        </w:rPr>
        <w:t>运输扬尘、装卸起尘。根据《安徽省大气污染防治条例》、《淮南市大气污染防治行动计划实施方案》以及同行业要求等规定，运营期应采取的大气污染防护措施如下。</w:t>
      </w:r>
    </w:p>
    <w:p w14:paraId="5AFED79F">
      <w:pPr>
        <w:keepNext/>
        <w:keepLines/>
        <w:widowControl w:val="0"/>
        <w:numPr>
          <w:ilvl w:val="0"/>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6.2.2.1</w:t>
      </w:r>
      <w:r>
        <w:rPr>
          <w:rFonts w:ascii="Times New Roman" w:hAnsi="Times New Roman" w:eastAsia="黑体" w:cs="Times New Roman"/>
          <w:bCs/>
          <w:color w:val="auto"/>
          <w:kern w:val="2"/>
          <w:sz w:val="24"/>
          <w:szCs w:val="28"/>
          <w:lang w:val="en-US" w:eastAsia="zh-CN" w:bidi="ar-SA"/>
        </w:rPr>
        <w:t>扬尘污染防治措施</w:t>
      </w:r>
    </w:p>
    <w:p w14:paraId="6F39A8AA">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w:t>
      </w:r>
      <w:r>
        <w:rPr>
          <w:rFonts w:hint="eastAsia" w:ascii="Times New Roman" w:hAnsi="Times New Roman" w:eastAsia="宋体" w:cs="Times New Roman"/>
          <w:color w:val="auto"/>
          <w:sz w:val="24"/>
        </w:rPr>
        <w:t>矿建材料</w:t>
      </w:r>
      <w:r>
        <w:rPr>
          <w:rFonts w:ascii="Times New Roman" w:hAnsi="Times New Roman" w:eastAsia="宋体" w:cs="Times New Roman"/>
          <w:color w:val="auto"/>
          <w:sz w:val="24"/>
        </w:rPr>
        <w:t>等散货在运输过程中要用挡板和</w:t>
      </w:r>
      <w:r>
        <w:rPr>
          <w:rFonts w:hint="eastAsia" w:cs="Times New Roman"/>
          <w:color w:val="auto"/>
          <w:sz w:val="24"/>
          <w:lang w:eastAsia="zh-CN"/>
        </w:rPr>
        <w:t>篷布</w:t>
      </w:r>
      <w:r>
        <w:rPr>
          <w:rFonts w:ascii="Times New Roman" w:hAnsi="Times New Roman" w:eastAsia="宋体" w:cs="Times New Roman"/>
          <w:color w:val="auto"/>
          <w:sz w:val="24"/>
        </w:rPr>
        <w:t>封闭，车辆不应装载过满，以免在运输途中震动洒落；</w:t>
      </w:r>
    </w:p>
    <w:p w14:paraId="6D25821B">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（2）对运输路线道路硬化处理，并安排专门洒水车对港区运输路线定时来回洒水抑尘；</w:t>
      </w:r>
    </w:p>
    <w:p w14:paraId="2F66879B">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（3）安排专人及时对散落的散货和道路灰尘及时清扫，并适当洒水；</w:t>
      </w:r>
    </w:p>
    <w:p w14:paraId="59E99B3E">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（4）装卸作业平台采取四周设置喷淋洒水设施，喷头视天气情况一天洒水0~3次。冬季干燥天气及大风天气时还应加大洒水强度和洒水频次；</w:t>
      </w:r>
    </w:p>
    <w:p w14:paraId="39E9B2F2">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（5）</w:t>
      </w:r>
      <w:r>
        <w:rPr>
          <w:rFonts w:hint="eastAsia" w:ascii="Times New Roman" w:hAnsi="Times New Roman" w:eastAsia="宋体" w:cs="Times New Roman"/>
          <w:color w:val="auto"/>
          <w:sz w:val="24"/>
        </w:rPr>
        <w:t>装卸</w:t>
      </w:r>
      <w:r>
        <w:rPr>
          <w:rFonts w:ascii="Times New Roman" w:hAnsi="Times New Roman" w:eastAsia="宋体" w:cs="Times New Roman"/>
          <w:color w:val="auto"/>
          <w:sz w:val="24"/>
        </w:rPr>
        <w:t>作业使用的装船机、</w:t>
      </w:r>
      <w:r>
        <w:rPr>
          <w:rFonts w:hint="eastAsia" w:ascii="Times New Roman" w:hAnsi="Times New Roman" w:eastAsia="宋体" w:cs="Times New Roman"/>
          <w:color w:val="auto"/>
          <w:sz w:val="24"/>
        </w:rPr>
        <w:t>泊位</w:t>
      </w:r>
      <w:r>
        <w:rPr>
          <w:rFonts w:ascii="Times New Roman" w:hAnsi="Times New Roman" w:eastAsia="宋体" w:cs="Times New Roman"/>
          <w:color w:val="auto"/>
          <w:sz w:val="24"/>
        </w:rPr>
        <w:t>设置喷雾抑尘系统，装船机</w:t>
      </w:r>
      <w:r>
        <w:rPr>
          <w:rFonts w:hint="eastAsia" w:ascii="Times New Roman" w:hAnsi="Times New Roman" w:eastAsia="宋体" w:cs="Times New Roman"/>
          <w:color w:val="auto"/>
          <w:sz w:val="24"/>
        </w:rPr>
        <w:t>配备</w:t>
      </w:r>
      <w:r>
        <w:rPr>
          <w:rFonts w:ascii="Times New Roman" w:hAnsi="Times New Roman" w:eastAsia="宋体" w:cs="Times New Roman"/>
          <w:color w:val="auto"/>
          <w:sz w:val="24"/>
        </w:rPr>
        <w:t>运输皮带进行封闭处理；</w:t>
      </w:r>
    </w:p>
    <w:p w14:paraId="110B8FA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（6）散货装卸作业时尽可能降低作业落差，通过控制落差降低起尘量；</w:t>
      </w:r>
    </w:p>
    <w:p w14:paraId="111FD402">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（7）要密切注意天气情况，遇有四级风以上大风天气不得进行装卸作业；在大风到来之前，做好</w:t>
      </w:r>
      <w:r>
        <w:rPr>
          <w:rFonts w:hint="eastAsia" w:ascii="Times New Roman" w:hAnsi="Times New Roman" w:eastAsia="宋体" w:cs="Times New Roman"/>
          <w:color w:val="auto"/>
          <w:sz w:val="24"/>
        </w:rPr>
        <w:t>作业</w:t>
      </w:r>
      <w:r>
        <w:rPr>
          <w:rFonts w:ascii="Times New Roman" w:hAnsi="Times New Roman" w:eastAsia="宋体" w:cs="Times New Roman"/>
          <w:color w:val="auto"/>
          <w:sz w:val="24"/>
        </w:rPr>
        <w:t>区的覆盖和喷淋工作，加大港区洒水强度及频次；对港区内洒落的散货及粉尘予以清扫；</w:t>
      </w:r>
    </w:p>
    <w:p w14:paraId="13A46F48">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8）充分利用港区空地，合理设置防尘绿化带，发挥花草、树木的滞尘、吸收粉尘等大气污染物的作用，减轻对大气环境的污染。防尘树种以广玉兰、夹竹桃、女贞、山茶、冬青、樟树、杨树、桃树等品种较佳。</w:t>
      </w:r>
    </w:p>
    <w:p w14:paraId="79CF0B7D">
      <w:pPr>
        <w:keepNext/>
        <w:keepLines/>
        <w:widowControl w:val="0"/>
        <w:numPr>
          <w:ilvl w:val="0"/>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6.2.2.2</w:t>
      </w:r>
      <w:r>
        <w:rPr>
          <w:rFonts w:ascii="Times New Roman" w:hAnsi="Times New Roman" w:eastAsia="黑体" w:cs="Times New Roman"/>
          <w:bCs/>
          <w:color w:val="auto"/>
          <w:kern w:val="2"/>
          <w:sz w:val="24"/>
          <w:szCs w:val="28"/>
          <w:lang w:val="en-US" w:eastAsia="zh-CN" w:bidi="ar-SA"/>
        </w:rPr>
        <w:t>汽车尾气</w:t>
      </w:r>
    </w:p>
    <w:p w14:paraId="056F5352">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参照《重污染天气重点行业应急减排措施制定技术指南》中关于清洁运输措施的相关要求，本项目运输车辆均使用新能源车辆，减少汽车尾气对项目区域的影响。</w:t>
      </w:r>
    </w:p>
    <w:p w14:paraId="3B8AC171">
      <w:pPr>
        <w:spacing w:line="360" w:lineRule="auto"/>
        <w:ind w:firstLine="480" w:firstLineChars="200"/>
        <w:rPr>
          <w:rFonts w:hint="default" w:ascii="Times New Roman" w:hAnsi="Times New Roman" w:eastAsia="宋体" w:cs="Times New Roman"/>
          <w:color w:val="auto"/>
          <w:sz w:val="24"/>
          <w:lang w:val="en-US"/>
        </w:rPr>
      </w:pPr>
      <w:r>
        <w:rPr>
          <w:rFonts w:hint="eastAsia" w:cs="Times New Roman"/>
          <w:color w:val="auto"/>
          <w:sz w:val="24"/>
          <w:lang w:val="en-US" w:eastAsia="zh-CN"/>
        </w:rPr>
        <w:t>按</w:t>
      </w:r>
      <w:r>
        <w:rPr>
          <w:rFonts w:hint="eastAsia" w:ascii="Times New Roman" w:hAnsi="Times New Roman" w:eastAsia="宋体" w:cs="Times New Roman"/>
          <w:color w:val="auto"/>
          <w:sz w:val="24"/>
          <w:lang w:val="en-US" w:eastAsia="zh-CN"/>
        </w:rPr>
        <w:t>照《港口工程绿色设计导则》（JTS/T189-2023）</w:t>
      </w:r>
      <w:r>
        <w:rPr>
          <w:rFonts w:hint="eastAsia" w:cs="Times New Roman"/>
          <w:color w:val="auto"/>
          <w:sz w:val="24"/>
          <w:lang w:val="en-US" w:eastAsia="zh-CN"/>
        </w:rPr>
        <w:t>，建立车辆预约和智能调度体系，对车辆进行跟踪、引导和组织，以减少车辆滞留造成的影响。</w:t>
      </w:r>
    </w:p>
    <w:p w14:paraId="4BD6EA5E">
      <w:pPr>
        <w:keepNext/>
        <w:keepLines/>
        <w:widowControl w:val="0"/>
        <w:numPr>
          <w:ilvl w:val="0"/>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6.2.2.3</w:t>
      </w:r>
      <w:r>
        <w:rPr>
          <w:rFonts w:ascii="Times New Roman" w:hAnsi="Times New Roman" w:eastAsia="黑体" w:cs="Times New Roman"/>
          <w:bCs/>
          <w:color w:val="auto"/>
          <w:kern w:val="2"/>
          <w:sz w:val="24"/>
          <w:szCs w:val="28"/>
          <w:lang w:val="en-US" w:eastAsia="zh-CN" w:bidi="ar-SA"/>
        </w:rPr>
        <w:t>大宗物料运输措施要求</w:t>
      </w:r>
    </w:p>
    <w:p w14:paraId="55E1ABEC">
      <w:pPr>
        <w:spacing w:line="360" w:lineRule="auto"/>
        <w:ind w:firstLine="480" w:firstLineChars="200"/>
        <w:rPr>
          <w:rFonts w:hint="eastAsia"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1</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运输车辆车厢采取有效的封闭或苫盖措施，防止货物撒落导致路面二次扬尘产生。</w:t>
      </w:r>
    </w:p>
    <w:p w14:paraId="74826433">
      <w:pPr>
        <w:spacing w:line="360" w:lineRule="auto"/>
        <w:ind w:firstLine="480" w:firstLineChars="200"/>
        <w:rPr>
          <w:rFonts w:hint="eastAsia"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2</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货物</w:t>
      </w:r>
      <w:r>
        <w:rPr>
          <w:rFonts w:ascii="Times New Roman" w:hAnsi="Times New Roman" w:eastAsia="宋体" w:cs="Times New Roman"/>
          <w:color w:val="auto"/>
          <w:sz w:val="24"/>
        </w:rPr>
        <w:t>采用绿色新能源车辆运输，可减免运输车辆尾气对运输路线大气环境影响。</w:t>
      </w:r>
    </w:p>
    <w:p w14:paraId="17790852">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（3）加强道路清洁和定期洒水是抑尘道路扬尘的最好方法，通过对路面定时进行洒水，可有效抑制扬尘。</w:t>
      </w:r>
    </w:p>
    <w:p w14:paraId="7E36B7B3">
      <w:pPr>
        <w:keepNext/>
        <w:keepLines/>
        <w:widowControl w:val="0"/>
        <w:numPr>
          <w:ilvl w:val="0"/>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6.2.3</w:t>
      </w:r>
      <w:r>
        <w:rPr>
          <w:rFonts w:ascii="Times New Roman" w:hAnsi="Times New Roman" w:eastAsia="黑体" w:cs="Times New Roman"/>
          <w:bCs/>
          <w:color w:val="auto"/>
          <w:kern w:val="2"/>
          <w:sz w:val="28"/>
          <w:szCs w:val="32"/>
          <w:lang w:val="en-US" w:eastAsia="zh-CN" w:bidi="ar-SA"/>
        </w:rPr>
        <w:t>运营期噪声</w:t>
      </w:r>
      <w:r>
        <w:rPr>
          <w:rFonts w:hint="eastAsia" w:eastAsia="黑体" w:cs="Times New Roman"/>
          <w:bCs/>
          <w:color w:val="auto"/>
          <w:kern w:val="2"/>
          <w:sz w:val="28"/>
          <w:szCs w:val="32"/>
          <w:lang w:val="en-US" w:eastAsia="zh-CN" w:bidi="ar-SA"/>
        </w:rPr>
        <w:t>、光</w:t>
      </w:r>
      <w:r>
        <w:rPr>
          <w:rFonts w:ascii="Times New Roman" w:hAnsi="Times New Roman" w:eastAsia="黑体" w:cs="Times New Roman"/>
          <w:bCs/>
          <w:color w:val="auto"/>
          <w:kern w:val="2"/>
          <w:sz w:val="28"/>
          <w:szCs w:val="32"/>
          <w:lang w:val="en-US" w:eastAsia="zh-CN" w:bidi="ar-SA"/>
        </w:rPr>
        <w:t>污染防治措施</w:t>
      </w:r>
    </w:p>
    <w:p w14:paraId="63CFB2EE">
      <w:pPr>
        <w:spacing w:line="360" w:lineRule="auto"/>
        <w:ind w:firstLine="480" w:firstLineChars="200"/>
        <w:rPr>
          <w:rFonts w:ascii="Times New Roman" w:hAnsi="Times New Roman" w:eastAsia="宋体" w:cs="Times New Roman"/>
          <w:color w:val="auto"/>
          <w:sz w:val="24"/>
        </w:rPr>
      </w:pPr>
      <w:bookmarkStart w:id="293" w:name="_Hlk108879017"/>
      <w:r>
        <w:rPr>
          <w:rFonts w:ascii="Times New Roman" w:hAnsi="Times New Roman" w:eastAsia="宋体" w:cs="Times New Roman"/>
          <w:color w:val="auto"/>
          <w:sz w:val="24"/>
        </w:rPr>
        <w:t>营运期的噪声主要来自装卸机械、泵机的作业运行噪声和</w:t>
      </w:r>
      <w:r>
        <w:rPr>
          <w:rFonts w:hint="eastAsia" w:ascii="Times New Roman" w:hAnsi="Times New Roman" w:eastAsia="宋体" w:cs="Times New Roman"/>
          <w:color w:val="auto"/>
          <w:sz w:val="24"/>
        </w:rPr>
        <w:t>运输</w:t>
      </w:r>
      <w:r>
        <w:rPr>
          <w:rFonts w:ascii="Times New Roman" w:hAnsi="Times New Roman" w:eastAsia="宋体" w:cs="Times New Roman"/>
          <w:color w:val="auto"/>
          <w:sz w:val="24"/>
        </w:rPr>
        <w:t>船舶</w:t>
      </w:r>
      <w:r>
        <w:rPr>
          <w:rFonts w:hint="eastAsia" w:ascii="Times New Roman" w:hAnsi="Times New Roman" w:eastAsia="宋体" w:cs="Times New Roman"/>
          <w:color w:val="auto"/>
          <w:sz w:val="24"/>
        </w:rPr>
        <w:t>及车辆</w:t>
      </w:r>
      <w:r>
        <w:rPr>
          <w:rFonts w:ascii="Times New Roman" w:hAnsi="Times New Roman" w:eastAsia="宋体" w:cs="Times New Roman"/>
          <w:color w:val="auto"/>
          <w:sz w:val="24"/>
        </w:rPr>
        <w:t>噪声，</w:t>
      </w:r>
      <w:r>
        <w:rPr>
          <w:rFonts w:hint="eastAsia" w:cs="Times New Roman"/>
          <w:color w:val="auto"/>
          <w:sz w:val="24"/>
          <w:lang w:val="en-US" w:eastAsia="zh-CN"/>
        </w:rPr>
        <w:t>按</w:t>
      </w:r>
      <w:r>
        <w:rPr>
          <w:rFonts w:hint="eastAsia" w:ascii="Times New Roman" w:hAnsi="Times New Roman" w:eastAsia="宋体" w:cs="Times New Roman"/>
          <w:color w:val="auto"/>
          <w:sz w:val="24"/>
          <w:lang w:val="en-US" w:eastAsia="zh-CN"/>
        </w:rPr>
        <w:t>照《港口工程绿色设计导则》（JTS/T189-2023）</w:t>
      </w:r>
      <w:r>
        <w:rPr>
          <w:rFonts w:hint="eastAsia" w:cs="Times New Roman"/>
          <w:color w:val="auto"/>
          <w:sz w:val="24"/>
          <w:lang w:val="en-US" w:eastAsia="zh-CN"/>
        </w:rPr>
        <w:t>，</w:t>
      </w:r>
      <w:r>
        <w:rPr>
          <w:rFonts w:ascii="Times New Roman" w:hAnsi="Times New Roman" w:eastAsia="宋体" w:cs="Times New Roman"/>
          <w:color w:val="auto"/>
          <w:sz w:val="24"/>
        </w:rPr>
        <w:t>拟采取以下措施降低噪声影响：</w:t>
      </w:r>
    </w:p>
    <w:p w14:paraId="1D745123">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（1）工艺设备合理布局，选购低噪声</w:t>
      </w:r>
      <w:r>
        <w:rPr>
          <w:rFonts w:hint="eastAsia" w:cs="Times New Roman"/>
          <w:color w:val="auto"/>
          <w:sz w:val="24"/>
          <w:lang w:eastAsia="zh-CN"/>
        </w:rPr>
        <w:t>、</w:t>
      </w:r>
      <w:r>
        <w:rPr>
          <w:rFonts w:hint="eastAsia" w:cs="Times New Roman"/>
          <w:color w:val="auto"/>
          <w:sz w:val="24"/>
          <w:lang w:val="en-US" w:eastAsia="zh-CN"/>
        </w:rPr>
        <w:t>振动小</w:t>
      </w:r>
      <w:r>
        <w:rPr>
          <w:rFonts w:ascii="Times New Roman" w:hAnsi="Times New Roman" w:eastAsia="宋体" w:cs="Times New Roman"/>
          <w:color w:val="auto"/>
          <w:sz w:val="24"/>
        </w:rPr>
        <w:t>高效的装卸机械、压缩机和泵等。</w:t>
      </w:r>
    </w:p>
    <w:p w14:paraId="065DCCF7">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（2）各类高噪声泵设备设置独立隔声间，采取基础减振措施，加强机械、设备的保养维修，保持正常运行、正常运转，降低噪声。</w:t>
      </w:r>
    </w:p>
    <w:p w14:paraId="7B7450F7">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（3）加强船岸协调，尽量减少船舶鸣笛次数；</w:t>
      </w:r>
    </w:p>
    <w:p w14:paraId="274C4AA5">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（4）加强汽车的运输调度，避免出现堵车排队现象；合理规划汽车进港道路，设置</w:t>
      </w:r>
      <w:r>
        <w:rPr>
          <w:rFonts w:hint="eastAsia" w:cs="Times New Roman"/>
          <w:color w:val="auto"/>
          <w:sz w:val="24"/>
          <w:lang w:val="en-US" w:eastAsia="zh-CN"/>
        </w:rPr>
        <w:t>车速限制、鸣笛限制</w:t>
      </w:r>
      <w:r>
        <w:rPr>
          <w:rFonts w:ascii="Times New Roman" w:hAnsi="Times New Roman" w:eastAsia="宋体" w:cs="Times New Roman"/>
          <w:color w:val="auto"/>
          <w:sz w:val="24"/>
        </w:rPr>
        <w:t>标志标牌；避让周边环境敏感区。</w:t>
      </w:r>
    </w:p>
    <w:p w14:paraId="116E4ECA">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（5）</w:t>
      </w:r>
      <w:r>
        <w:rPr>
          <w:rFonts w:hint="eastAsia" w:cs="Times New Roman"/>
          <w:color w:val="auto"/>
          <w:sz w:val="24"/>
          <w:lang w:val="en-US" w:eastAsia="zh-CN"/>
        </w:rPr>
        <w:t>港内道路周边设置声屏障、绿色隔离带，采用低噪声水泥路面，</w:t>
      </w:r>
      <w:r>
        <w:rPr>
          <w:rFonts w:ascii="Times New Roman" w:hAnsi="Times New Roman" w:eastAsia="宋体" w:cs="Times New Roman"/>
          <w:color w:val="auto"/>
          <w:sz w:val="24"/>
        </w:rPr>
        <w:t>既可降低噪声，又起到美化工作环境的作用。</w:t>
      </w:r>
      <w:bookmarkEnd w:id="293"/>
    </w:p>
    <w:p w14:paraId="04FCD173">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cs="Times New Roman"/>
          <w:color w:val="auto"/>
          <w:sz w:val="24"/>
          <w:lang w:val="en-US" w:eastAsia="zh-CN"/>
        </w:rPr>
        <w:t>6</w:t>
      </w:r>
      <w:r>
        <w:rPr>
          <w:rFonts w:ascii="Times New Roman" w:hAnsi="Times New Roman" w:eastAsia="宋体" w:cs="Times New Roman"/>
          <w:color w:val="auto"/>
          <w:sz w:val="24"/>
        </w:rPr>
        <w:t>）</w:t>
      </w:r>
      <w:r>
        <w:rPr>
          <w:rFonts w:hint="eastAsia" w:cs="Times New Roman"/>
          <w:color w:val="auto"/>
          <w:sz w:val="24"/>
          <w:lang w:val="en-US" w:eastAsia="zh-CN"/>
        </w:rPr>
        <w:t>管理用房噪声防护设计按照国家《民用建筑隔声设计规范》（GB50118-2010）的有关规定进行设计</w:t>
      </w:r>
      <w:r>
        <w:rPr>
          <w:rFonts w:ascii="Times New Roman" w:hAnsi="Times New Roman" w:eastAsia="宋体" w:cs="Times New Roman"/>
          <w:color w:val="auto"/>
          <w:sz w:val="24"/>
        </w:rPr>
        <w:t>。</w:t>
      </w:r>
    </w:p>
    <w:p w14:paraId="6AF0A0DF">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经过以上治理措施后，拟建项目各噪声设备均可降噪在20~25dB以上。噪声环境影响预测结果表明，采取降噪措施后，场界噪声能够达标。</w:t>
      </w:r>
    </w:p>
    <w:p w14:paraId="7E6ADA89">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营运期的</w:t>
      </w:r>
      <w:r>
        <w:rPr>
          <w:rFonts w:hint="eastAsia" w:cs="Times New Roman"/>
          <w:color w:val="auto"/>
          <w:sz w:val="24"/>
          <w:lang w:val="en-US" w:eastAsia="zh-CN"/>
        </w:rPr>
        <w:t>光污染</w:t>
      </w:r>
      <w:r>
        <w:rPr>
          <w:rFonts w:ascii="Times New Roman" w:hAnsi="Times New Roman" w:eastAsia="宋体" w:cs="Times New Roman"/>
          <w:color w:val="auto"/>
          <w:sz w:val="24"/>
        </w:rPr>
        <w:t>主要来自</w:t>
      </w:r>
      <w:r>
        <w:rPr>
          <w:rFonts w:hint="eastAsia" w:cs="Times New Roman"/>
          <w:color w:val="auto"/>
          <w:sz w:val="24"/>
          <w:lang w:val="en-US" w:eastAsia="zh-CN"/>
        </w:rPr>
        <w:t>码头、管理用房的灯光</w:t>
      </w:r>
      <w:r>
        <w:rPr>
          <w:rFonts w:ascii="Times New Roman" w:hAnsi="Times New Roman" w:eastAsia="宋体" w:cs="Times New Roman"/>
          <w:color w:val="auto"/>
          <w:sz w:val="24"/>
        </w:rPr>
        <w:t>，</w:t>
      </w:r>
      <w:r>
        <w:rPr>
          <w:rFonts w:hint="eastAsia" w:cs="Times New Roman"/>
          <w:color w:val="auto"/>
          <w:sz w:val="24"/>
          <w:lang w:val="en-US" w:eastAsia="zh-CN"/>
        </w:rPr>
        <w:t>按</w:t>
      </w:r>
      <w:r>
        <w:rPr>
          <w:rFonts w:hint="eastAsia" w:ascii="Times New Roman" w:hAnsi="Times New Roman" w:eastAsia="宋体" w:cs="Times New Roman"/>
          <w:color w:val="auto"/>
          <w:sz w:val="24"/>
          <w:lang w:val="en-US" w:eastAsia="zh-CN"/>
        </w:rPr>
        <w:t>照《港口工程绿色设计导则》（JTS/T189-2023）</w:t>
      </w:r>
      <w:r>
        <w:rPr>
          <w:rFonts w:hint="eastAsia" w:cs="Times New Roman"/>
          <w:color w:val="auto"/>
          <w:sz w:val="24"/>
          <w:lang w:val="en-US" w:eastAsia="zh-CN"/>
        </w:rPr>
        <w:t>，</w:t>
      </w:r>
      <w:r>
        <w:rPr>
          <w:rFonts w:ascii="Times New Roman" w:hAnsi="Times New Roman" w:eastAsia="宋体" w:cs="Times New Roman"/>
          <w:color w:val="auto"/>
          <w:sz w:val="24"/>
        </w:rPr>
        <w:t>拟采取以下措施降低</w:t>
      </w:r>
      <w:r>
        <w:rPr>
          <w:rFonts w:hint="eastAsia" w:cs="Times New Roman"/>
          <w:color w:val="auto"/>
          <w:sz w:val="24"/>
          <w:lang w:val="en-US" w:eastAsia="zh-CN"/>
        </w:rPr>
        <w:t>光污染的</w:t>
      </w:r>
      <w:r>
        <w:rPr>
          <w:rFonts w:ascii="Times New Roman" w:hAnsi="Times New Roman" w:eastAsia="宋体" w:cs="Times New Roman"/>
          <w:color w:val="auto"/>
          <w:sz w:val="24"/>
        </w:rPr>
        <w:t>影响：</w:t>
      </w:r>
    </w:p>
    <w:p w14:paraId="10BF337E">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w:t>
      </w:r>
      <w:r>
        <w:rPr>
          <w:rFonts w:hint="eastAsia" w:cs="Times New Roman"/>
          <w:color w:val="auto"/>
          <w:sz w:val="24"/>
          <w:lang w:val="en-US" w:eastAsia="zh-CN"/>
        </w:rPr>
        <w:t>选择符合国家标准的照明灯具，室内灯具符合《建筑照明设计标准》（GB/T 50034-2024），室外夜景灯具符合《室外照明干扰光限制规范》（GB/T 35626-2017），码头照明灯具应符合《港口高杆灯通用技术要求》（JT/T 1214-2018）等标准</w:t>
      </w:r>
      <w:r>
        <w:rPr>
          <w:rFonts w:ascii="Times New Roman" w:hAnsi="Times New Roman" w:eastAsia="宋体" w:cs="Times New Roman"/>
          <w:color w:val="auto"/>
          <w:sz w:val="24"/>
        </w:rPr>
        <w:t>。</w:t>
      </w:r>
    </w:p>
    <w:p w14:paraId="0CC2A1E8">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（2）</w:t>
      </w:r>
      <w:r>
        <w:rPr>
          <w:rFonts w:hint="eastAsia" w:cs="Times New Roman"/>
          <w:color w:val="auto"/>
          <w:sz w:val="24"/>
          <w:lang w:val="en-US" w:eastAsia="zh-CN"/>
        </w:rPr>
        <w:t>合理控制照明设施的高度和间距，建筑屋顶和外立面采用较深的颜色，减少对可见光的反射，从而减少对周边住宅区和水生生物的影响</w:t>
      </w:r>
      <w:r>
        <w:rPr>
          <w:rFonts w:ascii="Times New Roman" w:hAnsi="Times New Roman" w:eastAsia="宋体" w:cs="Times New Roman"/>
          <w:color w:val="auto"/>
          <w:sz w:val="24"/>
        </w:rPr>
        <w:t>。</w:t>
      </w:r>
    </w:p>
    <w:p w14:paraId="02C66514">
      <w:pPr>
        <w:keepNext/>
        <w:keepLines/>
        <w:widowControl w:val="0"/>
        <w:numPr>
          <w:ilvl w:val="0"/>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6.2.4</w:t>
      </w:r>
      <w:r>
        <w:rPr>
          <w:rFonts w:ascii="Times New Roman" w:hAnsi="Times New Roman" w:eastAsia="黑体" w:cs="Times New Roman"/>
          <w:bCs/>
          <w:color w:val="auto"/>
          <w:kern w:val="2"/>
          <w:sz w:val="28"/>
          <w:szCs w:val="32"/>
          <w:lang w:val="en-US" w:eastAsia="zh-CN" w:bidi="ar-SA"/>
        </w:rPr>
        <w:t>运营期固体废弃物污染防治措施</w:t>
      </w:r>
    </w:p>
    <w:p w14:paraId="06AAA231">
      <w:pPr>
        <w:spacing w:line="360" w:lineRule="auto"/>
        <w:ind w:firstLine="480" w:firstLineChars="200"/>
        <w:rPr>
          <w:rFonts w:ascii="宋体" w:hAnsi="Courier New" w:eastAsia="宋体" w:cs="Times New Roman"/>
          <w:color w:val="auto"/>
          <w:sz w:val="24"/>
        </w:rPr>
      </w:pPr>
      <w:bookmarkStart w:id="294" w:name="_Toc479340240"/>
      <w:bookmarkStart w:id="295" w:name="_Toc470795525"/>
      <w:r>
        <w:rPr>
          <w:rFonts w:ascii="Times New Roman" w:hAnsi="Times New Roman" w:eastAsia="宋体" w:cs="Times New Roman"/>
          <w:color w:val="auto"/>
          <w:sz w:val="24"/>
          <w:szCs w:val="24"/>
        </w:rPr>
        <w:t>本项目固体废弃物可分为</w:t>
      </w:r>
      <w:r>
        <w:rPr>
          <w:rFonts w:ascii="Times New Roman" w:hAnsi="Times New Roman" w:eastAsia="宋体" w:cs="Times New Roman"/>
          <w:color w:val="auto"/>
          <w:sz w:val="24"/>
        </w:rPr>
        <w:t>装卸期间产生的生活垃圾、陆域工作人员生活垃圾、含油</w:t>
      </w:r>
      <w:r>
        <w:rPr>
          <w:rFonts w:hint="eastAsia" w:ascii="Times New Roman" w:hAnsi="Times New Roman" w:eastAsia="宋体" w:cs="Times New Roman"/>
          <w:color w:val="auto"/>
          <w:sz w:val="24"/>
        </w:rPr>
        <w:t>废</w:t>
      </w:r>
      <w:r>
        <w:rPr>
          <w:rFonts w:ascii="Times New Roman" w:hAnsi="Times New Roman" w:eastAsia="宋体" w:cs="Times New Roman"/>
          <w:color w:val="auto"/>
          <w:sz w:val="24"/>
        </w:rPr>
        <w:t>水处</w:t>
      </w:r>
      <w:r>
        <w:rPr>
          <w:rFonts w:ascii="宋体" w:hAnsi="Courier New" w:eastAsia="宋体" w:cs="Times New Roman"/>
          <w:color w:val="auto"/>
          <w:sz w:val="24"/>
        </w:rPr>
        <w:t>理设施产生的含油污泥、废机油、沉淀池泥沙等。</w:t>
      </w:r>
    </w:p>
    <w:bookmarkEnd w:id="294"/>
    <w:bookmarkEnd w:id="295"/>
    <w:p w14:paraId="0A2E17AF">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（1）码头职工生活垃圾</w:t>
      </w:r>
    </w:p>
    <w:p w14:paraId="4ED56FD2">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码头职工生活垃圾经收集后交由当地环卫部门定期清运并处理。</w:t>
      </w:r>
    </w:p>
    <w:p w14:paraId="767774DA">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（2）船舶员工生活垃圾</w:t>
      </w:r>
    </w:p>
    <w:p w14:paraId="0AEA7B62">
      <w:pPr>
        <w:widowControl w:val="0"/>
        <w:spacing w:line="360" w:lineRule="auto"/>
        <w:ind w:firstLine="480" w:firstLineChars="200"/>
        <w:jc w:val="both"/>
        <w:rPr>
          <w:rFonts w:ascii="Times New Roman" w:hAnsi="Times New Roman" w:eastAsia="宋体" w:cs="Times New Roman"/>
          <w:color w:val="auto"/>
          <w:kern w:val="2"/>
          <w:sz w:val="24"/>
          <w:szCs w:val="21"/>
          <w:lang w:val="en-US" w:eastAsia="zh-CN" w:bidi="ar-SA"/>
        </w:rPr>
      </w:pPr>
      <w:r>
        <w:rPr>
          <w:rFonts w:ascii="Calibri" w:hAnsi="Calibri" w:eastAsia="宋体" w:cs="Times New Roman"/>
          <w:color w:val="auto"/>
          <w:kern w:val="2"/>
          <w:sz w:val="24"/>
          <w:szCs w:val="21"/>
          <w:lang w:val="en-US" w:eastAsia="zh-CN" w:bidi="ar-SA"/>
        </w:rPr>
        <w:t>船舶员工生活垃圾</w:t>
      </w:r>
      <w:r>
        <w:rPr>
          <w:rFonts w:ascii="Times New Roman" w:hAnsi="Times New Roman" w:eastAsia="宋体" w:cs="Times New Roman"/>
          <w:color w:val="auto"/>
          <w:kern w:val="2"/>
          <w:sz w:val="24"/>
          <w:szCs w:val="21"/>
          <w:lang w:val="en-US" w:eastAsia="zh-CN" w:bidi="ar-SA"/>
        </w:rPr>
        <w:t>经收集后交由当地环卫部门定期清运并处理。</w:t>
      </w:r>
    </w:p>
    <w:p w14:paraId="2F53D612">
      <w:pPr>
        <w:spacing w:line="360" w:lineRule="auto"/>
        <w:ind w:firstLine="480" w:firstLineChars="200"/>
        <w:rPr>
          <w:rFonts w:hint="eastAsia" w:ascii="Times New Roman" w:hAnsi="Times New Roman" w:eastAsia="宋体" w:cs="Times New Roman"/>
          <w:color w:val="auto"/>
          <w:sz w:val="24"/>
        </w:rPr>
      </w:pPr>
      <w:r>
        <w:rPr>
          <w:rFonts w:ascii="Times New Roman" w:hAnsi="Times New Roman" w:eastAsia="宋体" w:cs="Times New Roman"/>
          <w:color w:val="auto"/>
          <w:sz w:val="24"/>
        </w:rPr>
        <w:t>（3）沉淀池</w:t>
      </w:r>
      <w:r>
        <w:rPr>
          <w:rFonts w:hint="eastAsia" w:ascii="Times New Roman" w:hAnsi="Times New Roman" w:eastAsia="宋体" w:cs="Times New Roman"/>
          <w:color w:val="auto"/>
          <w:sz w:val="24"/>
        </w:rPr>
        <w:t>污泥</w:t>
      </w:r>
    </w:p>
    <w:p w14:paraId="6C8A5560">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沉淀池污泥成分主要为泥沙，泥沙经干化处理后交由当地环卫部门统一</w:t>
      </w:r>
      <w:r>
        <w:rPr>
          <w:rFonts w:hint="eastAsia" w:ascii="Times New Roman" w:hAnsi="Times New Roman" w:eastAsia="宋体" w:cs="Times New Roman"/>
          <w:color w:val="auto"/>
          <w:sz w:val="24"/>
        </w:rPr>
        <w:t>清运</w:t>
      </w:r>
      <w:r>
        <w:rPr>
          <w:rFonts w:ascii="Times New Roman" w:hAnsi="Times New Roman" w:eastAsia="宋体" w:cs="Times New Roman"/>
          <w:color w:val="auto"/>
          <w:sz w:val="24"/>
        </w:rPr>
        <w:t>处理。</w:t>
      </w:r>
    </w:p>
    <w:p w14:paraId="1759F413">
      <w:pPr>
        <w:widowControl w:val="0"/>
        <w:spacing w:line="360" w:lineRule="auto"/>
        <w:ind w:firstLine="480" w:firstLineChars="200"/>
        <w:jc w:val="both"/>
        <w:rPr>
          <w:rFonts w:ascii="Times New Roman" w:hAnsi="Times New Roman" w:eastAsia="宋体" w:cs="Times New Roman"/>
          <w:color w:val="auto"/>
          <w:kern w:val="2"/>
          <w:sz w:val="24"/>
          <w:szCs w:val="21"/>
          <w:lang w:val="en-US" w:eastAsia="zh-CN" w:bidi="ar-SA"/>
        </w:rPr>
      </w:pPr>
      <w:r>
        <w:rPr>
          <w:rFonts w:ascii="Times New Roman" w:hAnsi="Times New Roman" w:eastAsia="宋体" w:cs="Times New Roman"/>
          <w:color w:val="auto"/>
          <w:kern w:val="2"/>
          <w:sz w:val="24"/>
          <w:szCs w:val="21"/>
          <w:lang w:val="en-US" w:eastAsia="zh-CN" w:bidi="ar-SA"/>
        </w:rPr>
        <w:t>（4）</w:t>
      </w:r>
      <w:r>
        <w:rPr>
          <w:rFonts w:hint="eastAsia" w:ascii="Times New Roman" w:hAnsi="Times New Roman" w:eastAsia="宋体" w:cs="Times New Roman"/>
          <w:color w:val="auto"/>
          <w:kern w:val="2"/>
          <w:sz w:val="24"/>
          <w:szCs w:val="21"/>
          <w:lang w:val="en-US" w:eastAsia="zh-CN" w:bidi="ar-SA"/>
        </w:rPr>
        <w:t>隔</w:t>
      </w:r>
      <w:r>
        <w:rPr>
          <w:rFonts w:ascii="Times New Roman" w:hAnsi="Times New Roman" w:eastAsia="宋体" w:cs="Times New Roman"/>
          <w:color w:val="auto"/>
          <w:kern w:val="2"/>
          <w:sz w:val="24"/>
          <w:szCs w:val="21"/>
          <w:lang w:val="en-US" w:eastAsia="zh-CN" w:bidi="ar-SA"/>
        </w:rPr>
        <w:t>油</w:t>
      </w:r>
      <w:r>
        <w:rPr>
          <w:rFonts w:hint="eastAsia" w:ascii="Times New Roman" w:hAnsi="Times New Roman" w:eastAsia="宋体" w:cs="Times New Roman"/>
          <w:color w:val="auto"/>
          <w:kern w:val="2"/>
          <w:sz w:val="24"/>
          <w:szCs w:val="21"/>
          <w:lang w:val="en-US" w:eastAsia="zh-CN" w:bidi="ar-SA"/>
        </w:rPr>
        <w:t>沉淀池</w:t>
      </w:r>
      <w:r>
        <w:rPr>
          <w:rFonts w:ascii="Times New Roman" w:hAnsi="Times New Roman" w:eastAsia="宋体" w:cs="Times New Roman"/>
          <w:color w:val="auto"/>
          <w:kern w:val="2"/>
          <w:sz w:val="24"/>
          <w:szCs w:val="21"/>
          <w:lang w:val="en-US" w:eastAsia="zh-CN" w:bidi="ar-SA"/>
        </w:rPr>
        <w:t>含油污泥</w:t>
      </w:r>
    </w:p>
    <w:p w14:paraId="531237BA">
      <w:pPr>
        <w:widowControl w:val="0"/>
        <w:spacing w:line="360" w:lineRule="auto"/>
        <w:ind w:firstLine="480" w:firstLineChars="200"/>
        <w:jc w:val="both"/>
        <w:rPr>
          <w:rFonts w:ascii="Times New Roman" w:hAnsi="Times New Roman" w:eastAsia="宋体" w:cs="Times New Roman"/>
          <w:color w:val="auto"/>
          <w:kern w:val="2"/>
          <w:sz w:val="24"/>
          <w:szCs w:val="21"/>
          <w:lang w:val="en-US" w:eastAsia="zh-CN" w:bidi="ar-SA"/>
        </w:rPr>
      </w:pPr>
      <w:r>
        <w:rPr>
          <w:rFonts w:ascii="Times New Roman" w:hAnsi="Times New Roman" w:eastAsia="宋体" w:cs="Times New Roman"/>
          <w:color w:val="auto"/>
          <w:kern w:val="2"/>
          <w:sz w:val="24"/>
          <w:szCs w:val="21"/>
          <w:lang w:val="en-US" w:eastAsia="zh-CN" w:bidi="ar-SA"/>
        </w:rPr>
        <w:t>本项目</w:t>
      </w:r>
      <w:r>
        <w:rPr>
          <w:rFonts w:hint="eastAsia" w:ascii="Times New Roman" w:hAnsi="Times New Roman" w:eastAsia="宋体" w:cs="Times New Roman"/>
          <w:color w:val="auto"/>
          <w:kern w:val="2"/>
          <w:sz w:val="24"/>
          <w:szCs w:val="21"/>
          <w:lang w:val="en-US" w:eastAsia="zh-CN" w:bidi="ar-SA"/>
        </w:rPr>
        <w:t>隔油沉淀池</w:t>
      </w:r>
      <w:r>
        <w:rPr>
          <w:rFonts w:ascii="Times New Roman" w:hAnsi="Times New Roman" w:eastAsia="宋体" w:cs="Times New Roman"/>
          <w:color w:val="auto"/>
          <w:kern w:val="2"/>
          <w:sz w:val="24"/>
          <w:szCs w:val="21"/>
          <w:lang w:val="en-US" w:eastAsia="zh-CN" w:bidi="ar-SA"/>
        </w:rPr>
        <w:t>运行过程中将产生少量的含油污泥，经收集后采用专用的桶装，暂存于本项目危险废物暂存</w:t>
      </w:r>
      <w:r>
        <w:rPr>
          <w:rFonts w:hint="eastAsia" w:ascii="Times New Roman" w:hAnsi="Times New Roman" w:eastAsia="宋体" w:cs="Times New Roman"/>
          <w:color w:val="auto"/>
          <w:kern w:val="2"/>
          <w:sz w:val="24"/>
          <w:szCs w:val="21"/>
          <w:lang w:val="en-US" w:eastAsia="zh-CN" w:bidi="ar-SA"/>
        </w:rPr>
        <w:t>间（</w:t>
      </w:r>
      <w:r>
        <w:rPr>
          <w:rFonts w:ascii="Times New Roman" w:hAnsi="Times New Roman" w:eastAsia="宋体" w:cs="Times New Roman"/>
          <w:color w:val="auto"/>
          <w:kern w:val="2"/>
          <w:sz w:val="24"/>
          <w:szCs w:val="21"/>
          <w:lang w:val="en-US" w:eastAsia="zh-CN" w:bidi="ar-SA"/>
        </w:rPr>
        <w:t>5</w:t>
      </w:r>
      <w:r>
        <w:rPr>
          <w:rFonts w:hint="eastAsia" w:ascii="Times New Roman" w:hAnsi="Times New Roman" w:eastAsia="宋体" w:cs="Times New Roman"/>
          <w:color w:val="auto"/>
          <w:kern w:val="2"/>
          <w:sz w:val="24"/>
          <w:szCs w:val="21"/>
          <w:lang w:val="en-US" w:eastAsia="zh-CN" w:bidi="ar-SA"/>
        </w:rPr>
        <w:t>m</w:t>
      </w:r>
      <w:r>
        <w:rPr>
          <w:rFonts w:hint="eastAsia" w:ascii="Times New Roman" w:hAnsi="Times New Roman" w:eastAsia="宋体" w:cs="Times New Roman"/>
          <w:color w:val="auto"/>
          <w:kern w:val="2"/>
          <w:sz w:val="24"/>
          <w:szCs w:val="21"/>
          <w:vertAlign w:val="superscript"/>
          <w:lang w:val="en-US" w:eastAsia="zh-CN" w:bidi="ar-SA"/>
        </w:rPr>
        <w:t>2</w:t>
      </w:r>
      <w:r>
        <w:rPr>
          <w:rFonts w:hint="eastAsia" w:ascii="Times New Roman" w:hAnsi="Times New Roman" w:eastAsia="宋体" w:cs="Times New Roman"/>
          <w:color w:val="auto"/>
          <w:kern w:val="2"/>
          <w:sz w:val="24"/>
          <w:szCs w:val="21"/>
          <w:lang w:val="en-US" w:eastAsia="zh-CN" w:bidi="ar-SA"/>
        </w:rPr>
        <w:t>）</w:t>
      </w:r>
      <w:r>
        <w:rPr>
          <w:rFonts w:ascii="Times New Roman" w:hAnsi="Times New Roman" w:eastAsia="宋体" w:cs="Times New Roman"/>
          <w:color w:val="auto"/>
          <w:kern w:val="2"/>
          <w:sz w:val="24"/>
          <w:szCs w:val="21"/>
          <w:lang w:val="en-US" w:eastAsia="zh-CN" w:bidi="ar-SA"/>
        </w:rPr>
        <w:t>，交由有资质单位</w:t>
      </w:r>
      <w:r>
        <w:rPr>
          <w:rFonts w:hint="eastAsia" w:ascii="Times New Roman" w:hAnsi="Times New Roman" w:eastAsia="宋体" w:cs="Times New Roman"/>
          <w:color w:val="auto"/>
          <w:kern w:val="2"/>
          <w:sz w:val="24"/>
          <w:szCs w:val="21"/>
          <w:lang w:val="en-US" w:eastAsia="zh-CN" w:bidi="ar-SA"/>
        </w:rPr>
        <w:t>处理</w:t>
      </w:r>
      <w:r>
        <w:rPr>
          <w:rFonts w:ascii="Times New Roman" w:hAnsi="Times New Roman" w:eastAsia="宋体" w:cs="Times New Roman"/>
          <w:color w:val="auto"/>
          <w:kern w:val="2"/>
          <w:sz w:val="24"/>
          <w:szCs w:val="21"/>
          <w:lang w:val="en-US" w:eastAsia="zh-CN" w:bidi="ar-SA"/>
        </w:rPr>
        <w:t>处置。</w:t>
      </w:r>
    </w:p>
    <w:p w14:paraId="372C44E6">
      <w:pPr>
        <w:keepNext/>
        <w:keepLines/>
        <w:widowControl w:val="0"/>
        <w:numPr>
          <w:ilvl w:val="0"/>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6.2.5</w:t>
      </w:r>
      <w:r>
        <w:rPr>
          <w:rFonts w:ascii="Times New Roman" w:hAnsi="Times New Roman" w:eastAsia="黑体" w:cs="Times New Roman"/>
          <w:bCs/>
          <w:color w:val="auto"/>
          <w:kern w:val="2"/>
          <w:sz w:val="28"/>
          <w:szCs w:val="32"/>
          <w:lang w:val="en-US" w:eastAsia="zh-CN" w:bidi="ar-SA"/>
        </w:rPr>
        <w:t>运营期地下水污染防治措施</w:t>
      </w:r>
    </w:p>
    <w:p w14:paraId="70AB5E4A">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建设项目工程可能对地下水环境造成影响的环节主要包括污水管线、隔油沉淀池、一体化污水处理设施及消防水池的跑、冒、滴、漏等下渗对地下水影响。</w:t>
      </w:r>
    </w:p>
    <w:p w14:paraId="0CAF3244">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（1）</w:t>
      </w:r>
      <w:r>
        <w:rPr>
          <w:rFonts w:hint="eastAsia" w:cs="Times New Roman"/>
          <w:color w:val="auto"/>
          <w:sz w:val="24"/>
          <w:lang w:val="en-US" w:eastAsia="zh-CN"/>
        </w:rPr>
        <w:t>对</w:t>
      </w:r>
      <w:r>
        <w:rPr>
          <w:rFonts w:hint="eastAsia" w:ascii="Times New Roman" w:hAnsi="Times New Roman" w:eastAsia="宋体" w:cs="Times New Roman"/>
          <w:color w:val="auto"/>
          <w:sz w:val="24"/>
        </w:rPr>
        <w:t>污水管线、隔油沉淀池、一体化污水处理设施及消防水池</w:t>
      </w:r>
      <w:r>
        <w:rPr>
          <w:rFonts w:hint="eastAsia" w:cs="Times New Roman"/>
          <w:color w:val="auto"/>
          <w:sz w:val="24"/>
          <w:lang w:val="en-US" w:eastAsia="zh-CN"/>
        </w:rPr>
        <w:t>实施重点防渗，具体要求为：</w:t>
      </w:r>
      <w:r>
        <w:rPr>
          <w:rFonts w:hint="eastAsia" w:ascii="Times New Roman" w:hAnsi="Times New Roman" w:eastAsia="宋体" w:cs="Times New Roman"/>
          <w:color w:val="auto"/>
          <w:sz w:val="24"/>
        </w:rPr>
        <w:t>结合实际现场情况选用水泥土搅拌压实防渗措施，即利用常规标号水泥与天然土壤进行拌和，然后利用压路机进行碾压，在地表形成一层不透水盖层，达到地基防渗之功效。施工程序：水泥</w:t>
      </w:r>
      <w:r>
        <w:rPr>
          <w:rFonts w:hint="eastAsia" w:cs="Times New Roman"/>
          <w:color w:val="auto"/>
          <w:sz w:val="24"/>
          <w:lang w:eastAsia="zh-CN"/>
        </w:rPr>
        <w:t>：</w:t>
      </w:r>
      <w:r>
        <w:rPr>
          <w:rFonts w:hint="eastAsia" w:ascii="Times New Roman" w:hAnsi="Times New Roman" w:eastAsia="宋体" w:cs="Times New Roman"/>
          <w:color w:val="auto"/>
          <w:sz w:val="24"/>
        </w:rPr>
        <w:t>土混合</w:t>
      </w:r>
      <w:r>
        <w:rPr>
          <w:rFonts w:hint="eastAsia" w:cs="Times New Roman"/>
          <w:color w:val="auto"/>
          <w:sz w:val="24"/>
          <w:lang w:eastAsia="zh-CN"/>
        </w:rPr>
        <w:t>比例</w:t>
      </w:r>
      <w:r>
        <w:rPr>
          <w:rFonts w:hint="eastAsia" w:ascii="Times New Roman" w:hAnsi="Times New Roman" w:eastAsia="宋体" w:cs="Times New Roman"/>
          <w:color w:val="auto"/>
          <w:sz w:val="24"/>
        </w:rPr>
        <w:t>为3:7，将地表天然土壤搅拌均匀，然后分层利用压路机碾压或夯实。水泥土结构致密</w:t>
      </w:r>
      <w:r>
        <w:rPr>
          <w:rFonts w:hint="eastAsia" w:cs="Times New Roman"/>
          <w:color w:val="auto"/>
          <w:sz w:val="24"/>
          <w:lang w:eastAsia="zh-CN"/>
        </w:rPr>
        <w:t>，</w:t>
      </w:r>
      <w:r>
        <w:rPr>
          <w:rFonts w:hint="eastAsia" w:ascii="Times New Roman" w:hAnsi="Times New Roman" w:eastAsia="宋体" w:cs="Times New Roman"/>
          <w:color w:val="auto"/>
          <w:sz w:val="24"/>
        </w:rPr>
        <w:t>其渗透系数可小于</w:t>
      </w:r>
      <w:r>
        <w:rPr>
          <w:rFonts w:ascii="Times New Roman" w:hAnsi="Times New Roman" w:eastAsia="宋体" w:cs="Times New Roman"/>
          <w:color w:val="auto"/>
          <w:sz w:val="24"/>
        </w:rPr>
        <w:t>1×10</w:t>
      </w:r>
      <w:r>
        <w:rPr>
          <w:rFonts w:ascii="Times New Roman" w:hAnsi="Times New Roman" w:eastAsia="宋体" w:cs="Times New Roman"/>
          <w:color w:val="auto"/>
          <w:sz w:val="24"/>
          <w:vertAlign w:val="superscript"/>
        </w:rPr>
        <w:t>-9</w:t>
      </w:r>
      <w:r>
        <w:rPr>
          <w:rFonts w:ascii="Times New Roman" w:hAnsi="Times New Roman" w:eastAsia="宋体" w:cs="Times New Roman"/>
          <w:color w:val="auto"/>
          <w:sz w:val="24"/>
        </w:rPr>
        <w:t>~1×10</w:t>
      </w:r>
      <w:r>
        <w:rPr>
          <w:rFonts w:ascii="Times New Roman" w:hAnsi="Times New Roman" w:eastAsia="宋体" w:cs="Times New Roman"/>
          <w:color w:val="auto"/>
          <w:sz w:val="24"/>
          <w:vertAlign w:val="superscript"/>
        </w:rPr>
        <w:t>-11</w:t>
      </w:r>
      <w:r>
        <w:rPr>
          <w:rFonts w:hint="eastAsia" w:ascii="Times New Roman" w:hAnsi="Times New Roman" w:eastAsia="宋体" w:cs="Times New Roman"/>
          <w:color w:val="auto"/>
          <w:sz w:val="24"/>
        </w:rPr>
        <w:t>cm/s</w:t>
      </w:r>
      <w:r>
        <w:rPr>
          <w:rFonts w:hint="eastAsia" w:cs="Times New Roman"/>
          <w:color w:val="auto"/>
          <w:sz w:val="24"/>
          <w:lang w:eastAsia="zh-CN"/>
        </w:rPr>
        <w:t>（</w:t>
      </w:r>
      <w:r>
        <w:rPr>
          <w:rFonts w:hint="eastAsia" w:ascii="Times New Roman" w:hAnsi="Times New Roman" w:eastAsia="宋体" w:cs="Times New Roman"/>
          <w:color w:val="auto"/>
          <w:sz w:val="24"/>
        </w:rPr>
        <w:t>《地基处理手册》第二版)，防渗效果甚佳，再加上其他防渗措施，整个厂区各部分防渗系数均能够达到</w:t>
      </w:r>
      <w:r>
        <w:rPr>
          <w:rFonts w:ascii="Times New Roman" w:hAnsi="Times New Roman" w:eastAsia="宋体" w:cs="Times New Roman"/>
          <w:color w:val="auto"/>
          <w:sz w:val="24"/>
        </w:rPr>
        <w:t>1×10</w:t>
      </w:r>
      <w:r>
        <w:rPr>
          <w:rFonts w:ascii="Times New Roman" w:hAnsi="Times New Roman" w:eastAsia="宋体" w:cs="Times New Roman"/>
          <w:color w:val="auto"/>
          <w:sz w:val="24"/>
          <w:vertAlign w:val="superscript"/>
        </w:rPr>
        <w:t>-11</w:t>
      </w:r>
      <w:r>
        <w:rPr>
          <w:rFonts w:ascii="Times New Roman" w:hAnsi="Times New Roman" w:eastAsia="宋体" w:cs="Times New Roman"/>
          <w:color w:val="auto"/>
          <w:sz w:val="24"/>
        </w:rPr>
        <w:t>cm/s</w:t>
      </w:r>
      <w:r>
        <w:rPr>
          <w:rFonts w:hint="eastAsia" w:ascii="Times New Roman" w:hAnsi="Times New Roman" w:eastAsia="宋体" w:cs="Times New Roman"/>
          <w:color w:val="auto"/>
          <w:sz w:val="24"/>
        </w:rPr>
        <w:t>。</w:t>
      </w:r>
    </w:p>
    <w:p w14:paraId="4AA489C9">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水泥土施工过程中特别加强含水量、施工缝、密实度的质量控制，在回填时注意按规范施工、配比，错层设置，加强养护管理，及时取样检验压路机碾压或夯实密实度，若有问题及时整改。</w:t>
      </w:r>
    </w:p>
    <w:p w14:paraId="6C5A4F1C">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（2）混凝土地面在施工过程中加强质量控制管理，确保混凝土的抗渗性能、抗侵蚀性能。</w:t>
      </w:r>
    </w:p>
    <w:p w14:paraId="26E2F78B">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（3）绿化景观若需铺砌花岗岩先保证料石表面清洁，铺砌时注意料石间缝隙树脂胶泥的饱满；每</w:t>
      </w:r>
      <w:r>
        <w:rPr>
          <w:rFonts w:hint="eastAsia" w:cs="Times New Roman"/>
          <w:color w:val="auto"/>
          <w:sz w:val="24"/>
          <w:lang w:eastAsia="zh-CN"/>
        </w:rPr>
        <w:t>一道</w:t>
      </w:r>
      <w:r>
        <w:rPr>
          <w:rFonts w:hint="eastAsia" w:ascii="Times New Roman" w:hAnsi="Times New Roman" w:eastAsia="宋体" w:cs="Times New Roman"/>
          <w:color w:val="auto"/>
          <w:sz w:val="24"/>
        </w:rPr>
        <w:t>工序严格按规范、设计施工，同时加强中间的检查验收，确保施工质量。在运营后，加强现场巡查，特别是在卫生清理、下雨地面水量较大时，重点检查有无渗漏情况（如地面有气泡现象）。若发现问题，及时分析原因，找到泄漏点制定整改措施，尽快返修，确保防腐防渗层的完整性</w:t>
      </w:r>
      <w:r>
        <w:rPr>
          <w:rFonts w:ascii="Times New Roman" w:hAnsi="Times New Roman" w:eastAsia="宋体" w:cs="Times New Roman"/>
          <w:color w:val="auto"/>
          <w:sz w:val="24"/>
        </w:rPr>
        <w:t>。</w:t>
      </w:r>
    </w:p>
    <w:p w14:paraId="2C2F95C9">
      <w:pPr>
        <w:keepNext/>
        <w:keepLines/>
        <w:widowControl w:val="0"/>
        <w:numPr>
          <w:ilvl w:val="0"/>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6.2.6</w:t>
      </w:r>
      <w:r>
        <w:rPr>
          <w:rFonts w:ascii="Times New Roman" w:hAnsi="Times New Roman" w:eastAsia="黑体" w:cs="Times New Roman"/>
          <w:bCs/>
          <w:color w:val="auto"/>
          <w:kern w:val="2"/>
          <w:sz w:val="28"/>
          <w:szCs w:val="32"/>
          <w:lang w:val="en-US" w:eastAsia="zh-CN" w:bidi="ar-SA"/>
        </w:rPr>
        <w:t>运营期生态防护及恢复措施</w:t>
      </w:r>
    </w:p>
    <w:p w14:paraId="5205F416">
      <w:pPr>
        <w:keepNext/>
        <w:keepLines/>
        <w:widowControl w:val="0"/>
        <w:numPr>
          <w:ilvl w:val="0"/>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6.2.6.1生态保护措施</w:t>
      </w:r>
    </w:p>
    <w:p w14:paraId="21126C22">
      <w:pPr>
        <w:spacing w:line="360" w:lineRule="auto"/>
        <w:ind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工程建设单位应配合管理部门的工作，切实做好</w:t>
      </w:r>
      <w:r>
        <w:rPr>
          <w:rFonts w:hint="eastAsia" w:cs="Times New Roman"/>
          <w:color w:val="auto"/>
          <w:sz w:val="24"/>
          <w:szCs w:val="24"/>
          <w:lang w:val="en-US" w:eastAsia="zh-CN"/>
        </w:rPr>
        <w:t>陆生、</w:t>
      </w:r>
      <w:r>
        <w:rPr>
          <w:rFonts w:hint="eastAsia" w:ascii="Times New Roman" w:hAnsi="Times New Roman" w:eastAsia="宋体" w:cs="Times New Roman"/>
          <w:color w:val="auto"/>
          <w:sz w:val="24"/>
          <w:szCs w:val="24"/>
        </w:rPr>
        <w:t>水生生物保护工作，针对本项目施工及运营对淮河水生生态的影响，</w:t>
      </w:r>
      <w:r>
        <w:rPr>
          <w:rFonts w:hint="eastAsia" w:cs="Times New Roman"/>
          <w:color w:val="auto"/>
          <w:sz w:val="24"/>
          <w:szCs w:val="24"/>
          <w:lang w:val="en-US" w:eastAsia="zh-CN"/>
        </w:rPr>
        <w:t>陆生动植物</w:t>
      </w:r>
      <w:r>
        <w:rPr>
          <w:rFonts w:hint="eastAsia" w:ascii="Times New Roman" w:hAnsi="Times New Roman" w:eastAsia="宋体" w:cs="Times New Roman"/>
          <w:color w:val="auto"/>
          <w:sz w:val="24"/>
          <w:szCs w:val="24"/>
        </w:rPr>
        <w:t>生态保护措施如下：</w:t>
      </w:r>
    </w:p>
    <w:p w14:paraId="66D2386D">
      <w:pPr>
        <w:keepNext/>
        <w:keepLines/>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4"/>
        <w:rPr>
          <w:rFonts w:hint="default"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6.2.6.1.1陆生动植物保护措施</w:t>
      </w:r>
    </w:p>
    <w:p w14:paraId="2B85DB32">
      <w:pPr>
        <w:spacing w:line="360" w:lineRule="auto"/>
        <w:ind w:firstLine="480" w:firstLineChars="200"/>
        <w:rPr>
          <w:rFonts w:hint="eastAsia"/>
          <w:color w:val="auto"/>
        </w:rPr>
      </w:pPr>
      <w:r>
        <w:rPr>
          <w:rFonts w:hint="eastAsia" w:cs="Times New Roman"/>
          <w:color w:val="auto"/>
          <w:sz w:val="24"/>
          <w:szCs w:val="24"/>
          <w:lang w:val="en-US" w:eastAsia="zh-CN"/>
        </w:rPr>
        <w:t>严格控制各类污染物排放，严禁码头生产作业产生的生活、生产污水、固体废随意排放或堆放，选用高效低噪声设备，降低对周边陆生动植物的</w:t>
      </w:r>
      <w:r>
        <w:rPr>
          <w:rFonts w:hint="eastAsia" w:ascii="Times New Roman" w:hAnsi="Times New Roman" w:eastAsia="宋体" w:cs="Times New Roman"/>
          <w:color w:val="auto"/>
          <w:sz w:val="24"/>
          <w:szCs w:val="24"/>
        </w:rPr>
        <w:t>影响。</w:t>
      </w:r>
    </w:p>
    <w:p w14:paraId="43EC8DAB">
      <w:pPr>
        <w:keepNext/>
        <w:keepLines/>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4"/>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6.2.6.1.2水生生态保护措施</w:t>
      </w:r>
    </w:p>
    <w:p w14:paraId="081A6336">
      <w:pPr>
        <w:spacing w:line="360" w:lineRule="auto"/>
        <w:ind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（1）工程建设单位应以公告、宣传单、板报和会议等形式，加强对工作人员的环境保护宣传教育和保护野生动物常识的宣传，</w:t>
      </w:r>
      <w:r>
        <w:rPr>
          <w:rFonts w:hint="eastAsia" w:cs="Times New Roman"/>
          <w:color w:val="auto"/>
          <w:sz w:val="24"/>
          <w:szCs w:val="24"/>
          <w:lang w:eastAsia="zh-CN"/>
        </w:rPr>
        <w:t>增强</w:t>
      </w:r>
      <w:r>
        <w:rPr>
          <w:rFonts w:hint="eastAsia" w:ascii="Times New Roman" w:hAnsi="Times New Roman" w:eastAsia="宋体" w:cs="Times New Roman"/>
          <w:color w:val="auto"/>
          <w:sz w:val="24"/>
          <w:szCs w:val="24"/>
        </w:rPr>
        <w:t>工作人员的环境保护意识，尽量减少工程施工对水生生物的影响。</w:t>
      </w:r>
    </w:p>
    <w:p w14:paraId="6504F271">
      <w:pPr>
        <w:spacing w:line="360" w:lineRule="auto"/>
        <w:ind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2</w:t>
      </w:r>
      <w:r>
        <w:rPr>
          <w:rFonts w:hint="eastAsia" w:ascii="Times New Roman" w:hAnsi="Times New Roman" w:eastAsia="宋体" w:cs="Times New Roman"/>
          <w:color w:val="auto"/>
          <w:sz w:val="24"/>
          <w:szCs w:val="24"/>
        </w:rPr>
        <w:t>）加强淮河淮南段长吻鮠国家级水产种质资源保护区邻近水域的渔业资源管理和渔业资源繁殖的保护，加大对电、毒、炸及各类非法网具检查与清理力度。工程运营期间，对附近居民及工作人员等进行宣传，</w:t>
      </w:r>
      <w:r>
        <w:rPr>
          <w:rFonts w:hint="eastAsia" w:cs="Times New Roman"/>
          <w:color w:val="auto"/>
          <w:sz w:val="24"/>
          <w:szCs w:val="24"/>
          <w:lang w:eastAsia="zh-CN"/>
        </w:rPr>
        <w:t>增强</w:t>
      </w:r>
      <w:r>
        <w:rPr>
          <w:rFonts w:hint="eastAsia" w:ascii="Times New Roman" w:hAnsi="Times New Roman" w:eastAsia="宋体" w:cs="Times New Roman"/>
          <w:color w:val="auto"/>
          <w:sz w:val="24"/>
          <w:szCs w:val="24"/>
        </w:rPr>
        <w:t>环境资源保护意识，提倡、鼓励他们参与保护区的管理、监督工作，严防污染事故的发生并杜绝非法捕捞，共同做好保护区的环境生态及水生生物保护工作。</w:t>
      </w:r>
    </w:p>
    <w:p w14:paraId="52A9B7B2">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3</w:t>
      </w:r>
      <w:r>
        <w:rPr>
          <w:rFonts w:hint="eastAsia" w:ascii="Times New Roman" w:hAnsi="Times New Roman" w:eastAsia="宋体" w:cs="Times New Roman"/>
          <w:color w:val="auto"/>
          <w:sz w:val="24"/>
          <w:szCs w:val="24"/>
        </w:rPr>
        <w:t>）渔政管理部门和保护区管理部门应加强对保护区及相关水域的巡查，派专人进行瞭望，一旦发现偷捕现象，立即制止，一旦发现保护区冲入大片污染物，应立即组织专船专员打捞，</w:t>
      </w:r>
      <w:r>
        <w:rPr>
          <w:rFonts w:hint="eastAsia" w:cs="Times New Roman"/>
          <w:color w:val="auto"/>
          <w:sz w:val="24"/>
          <w:szCs w:val="24"/>
          <w:lang w:eastAsia="zh-CN"/>
        </w:rPr>
        <w:t>准确</w:t>
      </w:r>
      <w:r>
        <w:rPr>
          <w:rFonts w:hint="eastAsia" w:ascii="Times New Roman" w:hAnsi="Times New Roman" w:eastAsia="宋体" w:cs="Times New Roman"/>
          <w:color w:val="auto"/>
          <w:sz w:val="24"/>
          <w:szCs w:val="24"/>
        </w:rPr>
        <w:t>落实国家水产种质资源保护区的环境保护工作。</w:t>
      </w:r>
    </w:p>
    <w:p w14:paraId="4E51D6F1">
      <w:pPr>
        <w:spacing w:line="360" w:lineRule="auto"/>
        <w:ind w:firstLine="480" w:firstLineChars="200"/>
        <w:rPr>
          <w:rFonts w:hint="eastAsia"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4</w:t>
      </w:r>
      <w:r>
        <w:rPr>
          <w:rFonts w:hint="eastAsia" w:ascii="Times New Roman" w:hAnsi="Times New Roman" w:eastAsia="宋体" w:cs="Times New Roman"/>
          <w:color w:val="auto"/>
          <w:sz w:val="24"/>
          <w:szCs w:val="24"/>
        </w:rPr>
        <w:t>）建立并完善检查和监测制度，保证各项保护措施得以顺利实行。检查制度的执行由渔政部门与行政管理部门以及公安部门相互配合，杜绝一切非法捕捞行为，监测制度的执行应由渔政与生态环境部门、渔业科研单位等配合，主要监测以下指标：水质情况、渔业资源变动情况、饵料生物资源变动情况等。</w:t>
      </w:r>
    </w:p>
    <w:p w14:paraId="2EB9EDDD">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w:t>
      </w:r>
      <w:r>
        <w:rPr>
          <w:rFonts w:ascii="Times New Roman" w:hAnsi="Times New Roman" w:eastAsia="宋体" w:cs="Times New Roman"/>
          <w:color w:val="auto"/>
          <w:sz w:val="24"/>
          <w:szCs w:val="24"/>
        </w:rPr>
        <w:t>5</w:t>
      </w:r>
      <w:r>
        <w:rPr>
          <w:rFonts w:hint="eastAsia" w:ascii="Times New Roman" w:hAnsi="Times New Roman" w:eastAsia="宋体" w:cs="Times New Roman"/>
          <w:color w:val="auto"/>
          <w:sz w:val="24"/>
          <w:szCs w:val="24"/>
        </w:rPr>
        <w:t>）工程运营期要确保</w:t>
      </w:r>
      <w:r>
        <w:rPr>
          <w:rFonts w:hint="eastAsia" w:cs="Times New Roman"/>
          <w:color w:val="auto"/>
          <w:sz w:val="24"/>
          <w:szCs w:val="24"/>
          <w:lang w:eastAsia="zh-CN"/>
        </w:rPr>
        <w:t>对</w:t>
      </w:r>
      <w:r>
        <w:rPr>
          <w:rFonts w:hint="eastAsia" w:ascii="Times New Roman" w:hAnsi="Times New Roman" w:eastAsia="宋体" w:cs="Times New Roman"/>
          <w:color w:val="auto"/>
          <w:sz w:val="24"/>
          <w:szCs w:val="24"/>
        </w:rPr>
        <w:t>项目区的各项保护措施及时到位，并定期维护和检修，以减轻工程对项目区环境的影响。</w:t>
      </w:r>
    </w:p>
    <w:p w14:paraId="4235247F">
      <w:pPr>
        <w:keepNext/>
        <w:keepLines/>
        <w:widowControl w:val="0"/>
        <w:numPr>
          <w:ilvl w:val="0"/>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6.2.6.2渔业资源补偿及修复</w:t>
      </w:r>
    </w:p>
    <w:p w14:paraId="3C206BFF">
      <w:pPr>
        <w:spacing w:line="360" w:lineRule="auto"/>
        <w:ind w:firstLine="480" w:firstLineChars="200"/>
        <w:jc w:val="both"/>
        <w:rPr>
          <w:rFonts w:hint="eastAsia"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根据相关规定，工程方应对受损失的渔业资源采取必要的补偿措施。保护区主要保护鱼类多属于种群数量少、生境要求特殊、自我调节能力和抗外界干扰能力弱的物种，一旦破坏难以恢复。工程实施前工程方应与保护区管理部门沟通和协商，在开展施工期和运营期保护区影响评估及量化测算的基础上，对保护区渔业资源损失进行经济补偿，并对渔业资源补偿费用纳入环保投资。基于测算结果，考虑到工程影响类型及程度，结合保护区的实际情况，计划实施渔业资源增殖放流、水生生物资源状况评估、鱼类栖息地修复、水生生物科普宣教、渔政监管及协助巡护等作为生态补偿措施。</w:t>
      </w:r>
    </w:p>
    <w:p w14:paraId="21DE9E43">
      <w:pPr>
        <w:keepNext/>
        <w:keepLines/>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4"/>
        <w:rPr>
          <w:rFonts w:hint="eastAsia" w:ascii="Times New Roman" w:hAnsi="Times New Roman" w:eastAsia="黑体" w:cs="Times New Roman"/>
          <w:bCs/>
          <w:color w:val="auto"/>
          <w:kern w:val="2"/>
          <w:sz w:val="24"/>
          <w:szCs w:val="28"/>
          <w:lang w:val="en-US" w:eastAsia="en-US" w:bidi="ar-SA"/>
        </w:rPr>
      </w:pPr>
      <w:r>
        <w:rPr>
          <w:rFonts w:hint="eastAsia" w:ascii="Times New Roman" w:hAnsi="Times New Roman" w:eastAsia="黑体" w:cs="Times New Roman"/>
          <w:bCs/>
          <w:color w:val="auto"/>
          <w:kern w:val="2"/>
          <w:sz w:val="24"/>
          <w:szCs w:val="28"/>
          <w:lang w:val="en-US" w:eastAsia="zh-CN" w:bidi="ar-SA"/>
        </w:rPr>
        <w:t>6.2.6.2.1</w:t>
      </w:r>
      <w:r>
        <w:rPr>
          <w:rFonts w:hint="eastAsia" w:ascii="Times New Roman" w:hAnsi="Times New Roman" w:eastAsia="黑体" w:cs="Times New Roman"/>
          <w:bCs/>
          <w:color w:val="auto"/>
          <w:kern w:val="2"/>
          <w:sz w:val="24"/>
          <w:szCs w:val="28"/>
          <w:lang w:val="en-US" w:eastAsia="en-US" w:bidi="ar-SA"/>
        </w:rPr>
        <w:t>鱼类栖息地修复</w:t>
      </w:r>
    </w:p>
    <w:p w14:paraId="741BE9D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96" w:firstLineChars="200"/>
        <w:jc w:val="both"/>
        <w:textAlignment w:val="baseline"/>
        <w:rPr>
          <w:rFonts w:ascii="宋体" w:hAnsi="宋体" w:eastAsia="宋体" w:cs="宋体"/>
          <w:snapToGrid w:val="0"/>
          <w:color w:val="auto"/>
          <w:kern w:val="0"/>
          <w:sz w:val="24"/>
          <w:szCs w:val="24"/>
          <w:lang w:eastAsia="en-US"/>
        </w:rPr>
      </w:pPr>
      <w:r>
        <w:rPr>
          <w:rFonts w:ascii="宋体" w:hAnsi="宋体" w:eastAsia="宋体" w:cs="宋体"/>
          <w:snapToGrid w:val="0"/>
          <w:color w:val="auto"/>
          <w:spacing w:val="4"/>
          <w:kern w:val="0"/>
          <w:sz w:val="24"/>
          <w:szCs w:val="24"/>
          <w:lang w:eastAsia="en-US"/>
        </w:rPr>
        <w:t>淮南市兴华园贸易发展有限公司兴华园码头工程将对鱼类等水生生物的栖</w:t>
      </w:r>
      <w:r>
        <w:rPr>
          <w:rFonts w:ascii="宋体" w:hAnsi="宋体" w:eastAsia="宋体" w:cs="宋体"/>
          <w:snapToGrid w:val="0"/>
          <w:color w:val="auto"/>
          <w:spacing w:val="-3"/>
          <w:kern w:val="0"/>
          <w:sz w:val="24"/>
          <w:szCs w:val="24"/>
          <w:lang w:eastAsia="en-US"/>
        </w:rPr>
        <w:t>息生境产生影响，影响鱼类等水生生物繁殖和索饵，原先在该</w:t>
      </w:r>
      <w:r>
        <w:rPr>
          <w:rFonts w:ascii="宋体" w:hAnsi="宋体" w:eastAsia="宋体" w:cs="宋体"/>
          <w:snapToGrid w:val="0"/>
          <w:color w:val="auto"/>
          <w:spacing w:val="-4"/>
          <w:kern w:val="0"/>
          <w:sz w:val="24"/>
          <w:szCs w:val="24"/>
          <w:lang w:eastAsia="en-US"/>
        </w:rPr>
        <w:t>水域栖息、繁衍的</w:t>
      </w:r>
      <w:r>
        <w:rPr>
          <w:rFonts w:ascii="宋体" w:hAnsi="宋体" w:eastAsia="宋体" w:cs="宋体"/>
          <w:snapToGrid w:val="0"/>
          <w:color w:val="auto"/>
          <w:spacing w:val="-3"/>
          <w:kern w:val="0"/>
          <w:sz w:val="24"/>
          <w:szCs w:val="24"/>
          <w:lang w:eastAsia="en-US"/>
        </w:rPr>
        <w:t>鱼类资源将面临长期的扰动。为尽量降低拟建码头对保护区渔</w:t>
      </w:r>
      <w:r>
        <w:rPr>
          <w:rFonts w:ascii="宋体" w:hAnsi="宋体" w:eastAsia="宋体" w:cs="宋体"/>
          <w:snapToGrid w:val="0"/>
          <w:color w:val="auto"/>
          <w:spacing w:val="-4"/>
          <w:kern w:val="0"/>
          <w:sz w:val="24"/>
          <w:szCs w:val="24"/>
          <w:lang w:eastAsia="en-US"/>
        </w:rPr>
        <w:t>业资源及水质的影</w:t>
      </w:r>
      <w:r>
        <w:rPr>
          <w:rFonts w:ascii="宋体" w:hAnsi="宋体" w:eastAsia="宋体" w:cs="宋体"/>
          <w:snapToGrid w:val="0"/>
          <w:color w:val="auto"/>
          <w:spacing w:val="-8"/>
          <w:kern w:val="0"/>
          <w:sz w:val="24"/>
          <w:szCs w:val="24"/>
          <w:lang w:eastAsia="en-US"/>
        </w:rPr>
        <w:t>响，工程方或委托第三方开展植被恢复以修复鱼类栖息地，并开展修复效果评估。</w:t>
      </w:r>
    </w:p>
    <w:p w14:paraId="3516EEA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jc w:val="left"/>
        <w:textAlignment w:val="baseline"/>
        <w:outlineLvl w:val="9"/>
        <w:rPr>
          <w:rFonts w:ascii="宋体" w:hAnsi="宋体" w:eastAsia="宋体" w:cs="宋体"/>
          <w:snapToGrid w:val="0"/>
          <w:color w:val="auto"/>
          <w:kern w:val="0"/>
          <w:sz w:val="24"/>
          <w:szCs w:val="24"/>
          <w:lang w:eastAsia="en-US"/>
        </w:rPr>
      </w:pPr>
      <w:r>
        <w:rPr>
          <w:rFonts w:hint="eastAsia" w:ascii="Times New Roman" w:hAnsi="Times New Roman" w:eastAsia="宋体" w:cs="Times New Roman"/>
          <w:b/>
          <w:bCs/>
          <w:snapToGrid w:val="0"/>
          <w:color w:val="auto"/>
          <w:spacing w:val="-3"/>
          <w:kern w:val="0"/>
          <w:sz w:val="24"/>
          <w:szCs w:val="24"/>
          <w:lang w:eastAsia="zh-CN"/>
        </w:rPr>
        <w:t>（</w:t>
      </w:r>
      <w:r>
        <w:rPr>
          <w:rFonts w:ascii="Times New Roman" w:hAnsi="Times New Roman" w:eastAsia="Times New Roman" w:cs="Times New Roman"/>
          <w:b/>
          <w:bCs/>
          <w:snapToGrid w:val="0"/>
          <w:color w:val="auto"/>
          <w:spacing w:val="-3"/>
          <w:kern w:val="0"/>
          <w:sz w:val="24"/>
          <w:szCs w:val="24"/>
          <w:lang w:eastAsia="en-US"/>
        </w:rPr>
        <w:t>1</w:t>
      </w:r>
      <w:r>
        <w:rPr>
          <w:rFonts w:hint="eastAsia" w:ascii="Times New Roman" w:hAnsi="Times New Roman" w:eastAsia="宋体" w:cs="Times New Roman"/>
          <w:b/>
          <w:bCs/>
          <w:snapToGrid w:val="0"/>
          <w:color w:val="auto"/>
          <w:spacing w:val="-3"/>
          <w:kern w:val="0"/>
          <w:sz w:val="24"/>
          <w:szCs w:val="24"/>
          <w:lang w:eastAsia="zh-CN"/>
        </w:rPr>
        <w:t>）</w:t>
      </w:r>
      <w:r>
        <w:rPr>
          <w:rFonts w:ascii="宋体" w:hAnsi="宋体" w:eastAsia="宋体" w:cs="宋体"/>
          <w:b/>
          <w:bCs/>
          <w:snapToGrid w:val="0"/>
          <w:color w:val="auto"/>
          <w:spacing w:val="-3"/>
          <w:kern w:val="0"/>
          <w:sz w:val="24"/>
          <w:szCs w:val="24"/>
          <w:lang w:eastAsia="en-US"/>
        </w:rPr>
        <w:t>植被恢复</w:t>
      </w:r>
    </w:p>
    <w:p w14:paraId="1CA3D9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jc w:val="both"/>
        <w:textAlignment w:val="baseline"/>
        <w:outlineLvl w:val="9"/>
        <w:rPr>
          <w:rFonts w:ascii="宋体" w:hAnsi="宋体" w:eastAsia="宋体" w:cs="宋体"/>
          <w:snapToGrid w:val="0"/>
          <w:color w:val="auto"/>
          <w:kern w:val="0"/>
          <w:sz w:val="24"/>
          <w:szCs w:val="24"/>
          <w:lang w:eastAsia="en-US"/>
        </w:rPr>
      </w:pPr>
      <w:r>
        <w:rPr>
          <w:rFonts w:ascii="宋体" w:hAnsi="宋体" w:eastAsia="宋体" w:cs="宋体"/>
          <w:snapToGrid w:val="0"/>
          <w:color w:val="auto"/>
          <w:spacing w:val="-3"/>
          <w:kern w:val="0"/>
          <w:sz w:val="24"/>
          <w:szCs w:val="24"/>
          <w:lang w:eastAsia="en-US"/>
        </w:rPr>
        <w:t>水生维管植物在水生生态系统中具有重要功能</w:t>
      </w:r>
      <w:r>
        <w:rPr>
          <w:rFonts w:ascii="宋体" w:hAnsi="宋体" w:eastAsia="宋体" w:cs="宋体"/>
          <w:snapToGrid w:val="0"/>
          <w:color w:val="auto"/>
          <w:spacing w:val="-4"/>
          <w:kern w:val="0"/>
          <w:sz w:val="24"/>
          <w:szCs w:val="24"/>
          <w:lang w:eastAsia="en-US"/>
        </w:rPr>
        <w:t>，是鱼类的饵料基础，对改善</w:t>
      </w:r>
      <w:r>
        <w:rPr>
          <w:rFonts w:ascii="宋体" w:hAnsi="宋体" w:eastAsia="宋体" w:cs="宋体"/>
          <w:snapToGrid w:val="0"/>
          <w:color w:val="auto"/>
          <w:spacing w:val="-3"/>
          <w:kern w:val="0"/>
          <w:sz w:val="24"/>
          <w:szCs w:val="24"/>
          <w:lang w:eastAsia="en-US"/>
        </w:rPr>
        <w:t>水体理化条件和生物组成起到积极作用。水生维管植物在为植食性鱼类提</w:t>
      </w:r>
      <w:r>
        <w:rPr>
          <w:rFonts w:ascii="宋体" w:hAnsi="宋体" w:eastAsia="宋体" w:cs="宋体"/>
          <w:snapToGrid w:val="0"/>
          <w:color w:val="auto"/>
          <w:spacing w:val="-4"/>
          <w:kern w:val="0"/>
          <w:sz w:val="24"/>
          <w:szCs w:val="24"/>
          <w:lang w:eastAsia="en-US"/>
        </w:rPr>
        <w:t>供天然</w:t>
      </w:r>
      <w:r>
        <w:rPr>
          <w:rFonts w:ascii="宋体" w:hAnsi="宋体" w:eastAsia="宋体" w:cs="宋体"/>
          <w:snapToGrid w:val="0"/>
          <w:color w:val="auto"/>
          <w:spacing w:val="-3"/>
          <w:kern w:val="0"/>
          <w:sz w:val="24"/>
          <w:szCs w:val="24"/>
          <w:lang w:eastAsia="en-US"/>
        </w:rPr>
        <w:t>饵料的同时还可以为产粘性卵鱼类提供产卵基质，并为各类仔稚鱼提供多</w:t>
      </w:r>
      <w:r>
        <w:rPr>
          <w:rFonts w:ascii="宋体" w:hAnsi="宋体" w:eastAsia="宋体" w:cs="宋体"/>
          <w:snapToGrid w:val="0"/>
          <w:color w:val="auto"/>
          <w:spacing w:val="-4"/>
          <w:kern w:val="0"/>
          <w:sz w:val="24"/>
          <w:szCs w:val="24"/>
          <w:lang w:eastAsia="en-US"/>
        </w:rPr>
        <w:t>样化的</w:t>
      </w:r>
      <w:r>
        <w:rPr>
          <w:rFonts w:ascii="宋体" w:hAnsi="宋体" w:eastAsia="宋体" w:cs="宋体"/>
          <w:snapToGrid w:val="0"/>
          <w:color w:val="auto"/>
          <w:spacing w:val="-3"/>
          <w:kern w:val="0"/>
          <w:sz w:val="24"/>
          <w:szCs w:val="24"/>
          <w:lang w:eastAsia="en-US"/>
        </w:rPr>
        <w:t>庇护所和索饵场。涉水施工水域将严重破坏工程水域的水生维管植物，该</w:t>
      </w:r>
      <w:r>
        <w:rPr>
          <w:rFonts w:ascii="宋体" w:hAnsi="宋体" w:eastAsia="宋体" w:cs="宋体"/>
          <w:snapToGrid w:val="0"/>
          <w:color w:val="auto"/>
          <w:spacing w:val="-4"/>
          <w:kern w:val="0"/>
          <w:sz w:val="24"/>
          <w:szCs w:val="24"/>
          <w:lang w:eastAsia="en-US"/>
        </w:rPr>
        <w:t>破坏在</w:t>
      </w:r>
      <w:r>
        <w:rPr>
          <w:rFonts w:ascii="宋体" w:hAnsi="宋体" w:eastAsia="宋体" w:cs="宋体"/>
          <w:snapToGrid w:val="0"/>
          <w:color w:val="auto"/>
          <w:spacing w:val="-3"/>
          <w:kern w:val="0"/>
          <w:sz w:val="24"/>
          <w:szCs w:val="24"/>
          <w:lang w:eastAsia="en-US"/>
        </w:rPr>
        <w:t>较长时间内无法自然恢复。水生维管植物的破坏将对保护区水域生态环境</w:t>
      </w:r>
      <w:r>
        <w:rPr>
          <w:rFonts w:ascii="宋体" w:hAnsi="宋体" w:eastAsia="宋体" w:cs="宋体"/>
          <w:snapToGrid w:val="0"/>
          <w:color w:val="auto"/>
          <w:spacing w:val="-4"/>
          <w:kern w:val="0"/>
          <w:sz w:val="24"/>
          <w:szCs w:val="24"/>
          <w:lang w:eastAsia="en-US"/>
        </w:rPr>
        <w:t>及水生</w:t>
      </w:r>
      <w:r>
        <w:rPr>
          <w:rFonts w:ascii="宋体" w:hAnsi="宋体" w:eastAsia="宋体" w:cs="宋体"/>
          <w:snapToGrid w:val="0"/>
          <w:color w:val="auto"/>
          <w:spacing w:val="-3"/>
          <w:kern w:val="0"/>
          <w:sz w:val="24"/>
          <w:szCs w:val="24"/>
          <w:lang w:eastAsia="en-US"/>
        </w:rPr>
        <w:t>生物资源产生负面影响，为尽可能降低工程施工对保护区产生的影响，应</w:t>
      </w:r>
      <w:r>
        <w:rPr>
          <w:rFonts w:ascii="宋体" w:hAnsi="宋体" w:eastAsia="宋体" w:cs="宋体"/>
          <w:snapToGrid w:val="0"/>
          <w:color w:val="auto"/>
          <w:spacing w:val="-4"/>
          <w:kern w:val="0"/>
          <w:sz w:val="24"/>
          <w:szCs w:val="24"/>
          <w:lang w:eastAsia="en-US"/>
        </w:rPr>
        <w:t>按计划</w:t>
      </w:r>
      <w:r>
        <w:rPr>
          <w:rFonts w:ascii="宋体" w:hAnsi="宋体" w:eastAsia="宋体" w:cs="宋体"/>
          <w:snapToGrid w:val="0"/>
          <w:color w:val="auto"/>
          <w:spacing w:val="-1"/>
          <w:kern w:val="0"/>
          <w:sz w:val="24"/>
          <w:szCs w:val="24"/>
          <w:lang w:eastAsia="en-US"/>
        </w:rPr>
        <w:t>针对性恢复工程水域水生维管植物。</w:t>
      </w:r>
    </w:p>
    <w:p w14:paraId="355A533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left"/>
        <w:textAlignment w:val="baseline"/>
        <w:outlineLvl w:val="9"/>
        <w:rPr>
          <w:rFonts w:ascii="宋体" w:hAnsi="宋体" w:eastAsia="宋体" w:cs="宋体"/>
          <w:snapToGrid w:val="0"/>
          <w:color w:val="auto"/>
          <w:kern w:val="0"/>
          <w:sz w:val="24"/>
          <w:szCs w:val="24"/>
          <w:lang w:eastAsia="en-US"/>
        </w:rPr>
      </w:pPr>
      <w:r>
        <w:rPr>
          <w:rFonts w:ascii="宋体" w:hAnsi="宋体" w:eastAsia="宋体" w:cs="宋体"/>
          <w:snapToGrid w:val="0"/>
          <w:color w:val="auto"/>
          <w:spacing w:val="-2"/>
          <w:kern w:val="0"/>
          <w:sz w:val="24"/>
          <w:szCs w:val="24"/>
          <w:lang w:eastAsia="en-US"/>
        </w:rPr>
        <w:t>①恢复区域</w:t>
      </w:r>
    </w:p>
    <w:p w14:paraId="511F16A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outlineLvl w:val="9"/>
        <w:rPr>
          <w:rFonts w:ascii="宋体" w:hAnsi="宋体" w:eastAsia="宋体" w:cs="宋体"/>
          <w:snapToGrid w:val="0"/>
          <w:color w:val="auto"/>
          <w:kern w:val="0"/>
          <w:sz w:val="24"/>
          <w:szCs w:val="24"/>
          <w:lang w:eastAsia="en-US"/>
        </w:rPr>
      </w:pPr>
      <w:r>
        <w:rPr>
          <w:rFonts w:ascii="宋体" w:hAnsi="宋体" w:eastAsia="宋体" w:cs="宋体"/>
          <w:snapToGrid w:val="0"/>
          <w:color w:val="auto"/>
          <w:spacing w:val="-1"/>
          <w:kern w:val="0"/>
          <w:sz w:val="24"/>
          <w:szCs w:val="24"/>
          <w:lang w:eastAsia="en-US"/>
        </w:rPr>
        <w:t>建议在工程附近水域、沿岸带进行植被恢复，以修复栖息地生境。</w:t>
      </w:r>
    </w:p>
    <w:p w14:paraId="30758C8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2" w:firstLineChars="200"/>
        <w:jc w:val="left"/>
        <w:textAlignment w:val="baseline"/>
        <w:outlineLvl w:val="9"/>
        <w:rPr>
          <w:rFonts w:ascii="宋体" w:hAnsi="宋体" w:eastAsia="宋体" w:cs="宋体"/>
          <w:snapToGrid w:val="0"/>
          <w:color w:val="auto"/>
          <w:kern w:val="0"/>
          <w:sz w:val="24"/>
          <w:szCs w:val="24"/>
          <w:lang w:eastAsia="en-US"/>
        </w:rPr>
      </w:pPr>
      <w:r>
        <w:rPr>
          <w:rFonts w:ascii="宋体" w:hAnsi="宋体" w:eastAsia="宋体" w:cs="宋体"/>
          <w:snapToGrid w:val="0"/>
          <w:color w:val="auto"/>
          <w:spacing w:val="-2"/>
          <w:kern w:val="0"/>
          <w:sz w:val="24"/>
          <w:szCs w:val="24"/>
          <w:lang w:eastAsia="en-US"/>
        </w:rPr>
        <w:t>②恢复物种选择</w:t>
      </w:r>
    </w:p>
    <w:p w14:paraId="0FA1E8C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jc w:val="left"/>
        <w:textAlignment w:val="baseline"/>
        <w:outlineLvl w:val="9"/>
        <w:rPr>
          <w:rFonts w:ascii="宋体" w:hAnsi="宋体" w:eastAsia="宋体" w:cs="宋体"/>
          <w:snapToGrid w:val="0"/>
          <w:color w:val="auto"/>
          <w:kern w:val="0"/>
          <w:sz w:val="24"/>
          <w:szCs w:val="24"/>
          <w:lang w:eastAsia="en-US"/>
        </w:rPr>
      </w:pPr>
      <w:r>
        <w:rPr>
          <w:rFonts w:ascii="宋体" w:hAnsi="宋体" w:eastAsia="宋体" w:cs="宋体"/>
          <w:snapToGrid w:val="0"/>
          <w:color w:val="auto"/>
          <w:spacing w:val="-3"/>
          <w:kern w:val="0"/>
          <w:sz w:val="24"/>
          <w:szCs w:val="24"/>
          <w:lang w:eastAsia="en-US"/>
        </w:rPr>
        <w:t>水域建议选取沉水植物，如轮叶黑藻、苦草、</w:t>
      </w:r>
      <w:r>
        <w:rPr>
          <w:rFonts w:ascii="宋体" w:hAnsi="宋体" w:eastAsia="宋体" w:cs="宋体"/>
          <w:snapToGrid w:val="0"/>
          <w:color w:val="auto"/>
          <w:spacing w:val="-4"/>
          <w:kern w:val="0"/>
          <w:sz w:val="24"/>
          <w:szCs w:val="24"/>
          <w:lang w:eastAsia="en-US"/>
        </w:rPr>
        <w:t>金鱼藻、穗状狐尾藻等，在沿</w:t>
      </w:r>
      <w:r>
        <w:rPr>
          <w:rFonts w:ascii="宋体" w:hAnsi="宋体" w:eastAsia="宋体" w:cs="宋体"/>
          <w:snapToGrid w:val="0"/>
          <w:color w:val="auto"/>
          <w:spacing w:val="-7"/>
          <w:kern w:val="0"/>
          <w:sz w:val="24"/>
          <w:szCs w:val="24"/>
          <w:lang w:eastAsia="en-US"/>
        </w:rPr>
        <w:t>岸带选取芦苇、菰等挺水植物，及水芹、水</w:t>
      </w:r>
      <w:r>
        <w:rPr>
          <w:rFonts w:ascii="宋体" w:hAnsi="宋体" w:eastAsia="宋体" w:cs="宋体"/>
          <w:snapToGrid w:val="0"/>
          <w:color w:val="auto"/>
          <w:spacing w:val="-8"/>
          <w:kern w:val="0"/>
          <w:sz w:val="24"/>
          <w:szCs w:val="24"/>
          <w:lang w:eastAsia="en-US"/>
        </w:rPr>
        <w:t>蓼等湿生植物。沉水植物对净化水体、</w:t>
      </w:r>
      <w:r>
        <w:rPr>
          <w:rFonts w:ascii="宋体" w:hAnsi="宋体" w:eastAsia="宋体" w:cs="宋体"/>
          <w:snapToGrid w:val="0"/>
          <w:color w:val="auto"/>
          <w:spacing w:val="-3"/>
          <w:kern w:val="0"/>
          <w:sz w:val="24"/>
          <w:szCs w:val="24"/>
          <w:lang w:eastAsia="en-US"/>
        </w:rPr>
        <w:t>改善水环境及维持生态系统平衡具有重要作用；挺水植物根系发达，有</w:t>
      </w:r>
      <w:r>
        <w:rPr>
          <w:rFonts w:ascii="宋体" w:hAnsi="宋体" w:eastAsia="宋体" w:cs="宋体"/>
          <w:snapToGrid w:val="0"/>
          <w:color w:val="auto"/>
          <w:spacing w:val="-4"/>
          <w:kern w:val="0"/>
          <w:sz w:val="24"/>
          <w:szCs w:val="24"/>
          <w:lang w:eastAsia="en-US"/>
        </w:rPr>
        <w:t>利于净化</w:t>
      </w:r>
      <w:r>
        <w:rPr>
          <w:rFonts w:ascii="宋体" w:hAnsi="宋体" w:eastAsia="宋体" w:cs="宋体"/>
          <w:snapToGrid w:val="0"/>
          <w:color w:val="auto"/>
          <w:spacing w:val="-1"/>
          <w:kern w:val="0"/>
          <w:sz w:val="24"/>
          <w:szCs w:val="24"/>
          <w:lang w:eastAsia="en-US"/>
        </w:rPr>
        <w:t>水质，可控制水土流失，提高土壤肥力。</w:t>
      </w:r>
    </w:p>
    <w:p w14:paraId="7D3976F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outlineLvl w:val="9"/>
        <w:rPr>
          <w:rFonts w:ascii="宋体" w:hAnsi="宋体" w:eastAsia="宋体" w:cs="宋体"/>
          <w:snapToGrid w:val="0"/>
          <w:color w:val="auto"/>
          <w:kern w:val="0"/>
          <w:sz w:val="24"/>
          <w:szCs w:val="24"/>
          <w:lang w:eastAsia="en-US"/>
        </w:rPr>
      </w:pPr>
      <w:r>
        <w:rPr>
          <w:rFonts w:ascii="宋体" w:hAnsi="宋体" w:eastAsia="宋体" w:cs="宋体"/>
          <w:snapToGrid w:val="0"/>
          <w:color w:val="auto"/>
          <w:spacing w:val="-1"/>
          <w:kern w:val="0"/>
          <w:sz w:val="24"/>
          <w:szCs w:val="24"/>
          <w:lang w:eastAsia="en-US"/>
        </w:rPr>
        <w:t>具体恢复物种可根据保护区维管植物特征及分布状况进行选取。</w:t>
      </w:r>
    </w:p>
    <w:p w14:paraId="37C1036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jc w:val="left"/>
        <w:textAlignment w:val="baseline"/>
        <w:outlineLvl w:val="9"/>
        <w:rPr>
          <w:rFonts w:ascii="宋体" w:hAnsi="宋体" w:eastAsia="宋体" w:cs="宋体"/>
          <w:snapToGrid w:val="0"/>
          <w:color w:val="auto"/>
          <w:kern w:val="0"/>
          <w:sz w:val="24"/>
          <w:szCs w:val="24"/>
          <w:lang w:eastAsia="en-US"/>
        </w:rPr>
      </w:pPr>
      <w:r>
        <w:rPr>
          <w:rFonts w:hint="eastAsia" w:ascii="Times New Roman" w:hAnsi="Times New Roman" w:eastAsia="宋体" w:cs="Times New Roman"/>
          <w:b/>
          <w:bCs/>
          <w:snapToGrid w:val="0"/>
          <w:color w:val="auto"/>
          <w:spacing w:val="-3"/>
          <w:kern w:val="0"/>
          <w:sz w:val="24"/>
          <w:szCs w:val="24"/>
          <w:lang w:eastAsia="zh-CN"/>
        </w:rPr>
        <w:t>（</w:t>
      </w:r>
      <w:r>
        <w:rPr>
          <w:rFonts w:ascii="Times New Roman" w:hAnsi="Times New Roman" w:eastAsia="Times New Roman" w:cs="Times New Roman"/>
          <w:b/>
          <w:bCs/>
          <w:snapToGrid w:val="0"/>
          <w:color w:val="auto"/>
          <w:spacing w:val="-3"/>
          <w:kern w:val="0"/>
          <w:sz w:val="24"/>
          <w:szCs w:val="24"/>
          <w:lang w:eastAsia="en-US"/>
        </w:rPr>
        <w:t>2</w:t>
      </w:r>
      <w:r>
        <w:rPr>
          <w:rFonts w:hint="eastAsia" w:ascii="Times New Roman" w:hAnsi="Times New Roman" w:eastAsia="宋体" w:cs="Times New Roman"/>
          <w:b/>
          <w:bCs/>
          <w:snapToGrid w:val="0"/>
          <w:color w:val="auto"/>
          <w:spacing w:val="-3"/>
          <w:kern w:val="0"/>
          <w:sz w:val="24"/>
          <w:szCs w:val="24"/>
          <w:lang w:eastAsia="zh-CN"/>
        </w:rPr>
        <w:t>）</w:t>
      </w:r>
      <w:r>
        <w:rPr>
          <w:rFonts w:ascii="宋体" w:hAnsi="宋体" w:eastAsia="宋体" w:cs="宋体"/>
          <w:b/>
          <w:bCs/>
          <w:snapToGrid w:val="0"/>
          <w:color w:val="auto"/>
          <w:spacing w:val="-3"/>
          <w:kern w:val="0"/>
          <w:sz w:val="24"/>
          <w:szCs w:val="24"/>
          <w:lang w:eastAsia="en-US"/>
        </w:rPr>
        <w:t>修复效果评估</w:t>
      </w:r>
    </w:p>
    <w:p w14:paraId="04DA86D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76" w:firstLineChars="200"/>
        <w:jc w:val="left"/>
        <w:textAlignment w:val="baseline"/>
        <w:rPr>
          <w:rFonts w:ascii="宋体" w:hAnsi="宋体" w:eastAsia="宋体" w:cs="宋体"/>
          <w:snapToGrid w:val="0"/>
          <w:color w:val="auto"/>
          <w:kern w:val="0"/>
          <w:sz w:val="24"/>
          <w:szCs w:val="24"/>
          <w:lang w:eastAsia="en-US"/>
        </w:rPr>
      </w:pPr>
      <w:r>
        <w:rPr>
          <w:rFonts w:ascii="宋体" w:hAnsi="宋体" w:eastAsia="宋体" w:cs="宋体"/>
          <w:snapToGrid w:val="0"/>
          <w:color w:val="auto"/>
          <w:spacing w:val="-1"/>
          <w:kern w:val="0"/>
          <w:sz w:val="24"/>
          <w:szCs w:val="24"/>
          <w:lang w:eastAsia="en-US"/>
        </w:rPr>
        <w:t>重点开展鱼类栖息地修复后实施效果的评估。</w:t>
      </w:r>
    </w:p>
    <w:p w14:paraId="75D72F1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jc w:val="left"/>
        <w:textAlignment w:val="baseline"/>
        <w:rPr>
          <w:rFonts w:ascii="宋体" w:hAnsi="宋体" w:eastAsia="宋体" w:cs="宋体"/>
          <w:snapToGrid w:val="0"/>
          <w:color w:val="auto"/>
          <w:kern w:val="0"/>
          <w:sz w:val="24"/>
          <w:szCs w:val="24"/>
          <w:lang w:eastAsia="en-US"/>
        </w:rPr>
      </w:pPr>
      <w:r>
        <w:rPr>
          <w:rFonts w:ascii="宋体" w:hAnsi="宋体" w:eastAsia="宋体" w:cs="宋体"/>
          <w:snapToGrid w:val="0"/>
          <w:color w:val="auto"/>
          <w:spacing w:val="-3"/>
          <w:kern w:val="0"/>
          <w:sz w:val="24"/>
          <w:szCs w:val="24"/>
          <w:lang w:eastAsia="en-US"/>
        </w:rPr>
        <w:t>①评估要素：鱼类群落组成、优势种、群落多样性、生</w:t>
      </w:r>
      <w:r>
        <w:rPr>
          <w:rFonts w:ascii="宋体" w:hAnsi="宋体" w:eastAsia="宋体" w:cs="宋体"/>
          <w:snapToGrid w:val="0"/>
          <w:color w:val="auto"/>
          <w:spacing w:val="-4"/>
          <w:kern w:val="0"/>
          <w:sz w:val="24"/>
          <w:szCs w:val="24"/>
          <w:lang w:eastAsia="en-US"/>
        </w:rPr>
        <w:t>物学特征等；水环境</w:t>
      </w:r>
      <w:r>
        <w:rPr>
          <w:rFonts w:ascii="宋体" w:hAnsi="宋体" w:eastAsia="宋体" w:cs="宋体"/>
          <w:snapToGrid w:val="0"/>
          <w:color w:val="auto"/>
          <w:spacing w:val="-1"/>
          <w:kern w:val="0"/>
          <w:sz w:val="24"/>
          <w:szCs w:val="24"/>
          <w:lang w:eastAsia="en-US"/>
        </w:rPr>
        <w:t>指标等；主要保护对象生物学特征、分布特征等。</w:t>
      </w:r>
    </w:p>
    <w:p w14:paraId="50C76AD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68" w:firstLineChars="200"/>
        <w:jc w:val="left"/>
        <w:textAlignment w:val="baseline"/>
        <w:rPr>
          <w:rFonts w:ascii="宋体" w:hAnsi="宋体" w:eastAsia="宋体" w:cs="宋体"/>
          <w:snapToGrid w:val="0"/>
          <w:color w:val="auto"/>
          <w:kern w:val="0"/>
          <w:sz w:val="24"/>
          <w:szCs w:val="24"/>
          <w:lang w:eastAsia="en-US"/>
        </w:rPr>
      </w:pPr>
      <w:r>
        <w:rPr>
          <w:rFonts w:ascii="宋体" w:hAnsi="宋体" w:eastAsia="宋体" w:cs="宋体"/>
          <w:snapToGrid w:val="0"/>
          <w:color w:val="auto"/>
          <w:spacing w:val="-3"/>
          <w:kern w:val="0"/>
          <w:sz w:val="24"/>
          <w:szCs w:val="24"/>
          <w:lang w:eastAsia="en-US"/>
        </w:rPr>
        <w:t>②评估内容：实施生态补偿措施后渔业资源的保护效果、</w:t>
      </w:r>
      <w:r>
        <w:rPr>
          <w:rFonts w:ascii="宋体" w:hAnsi="宋体" w:eastAsia="宋体" w:cs="宋体"/>
          <w:snapToGrid w:val="0"/>
          <w:color w:val="auto"/>
          <w:spacing w:val="-4"/>
          <w:kern w:val="0"/>
          <w:sz w:val="24"/>
          <w:szCs w:val="24"/>
          <w:lang w:eastAsia="en-US"/>
        </w:rPr>
        <w:t>鱼类栖息地的修复</w:t>
      </w:r>
      <w:r>
        <w:rPr>
          <w:rFonts w:ascii="宋体" w:hAnsi="宋体" w:eastAsia="宋体" w:cs="宋体"/>
          <w:snapToGrid w:val="0"/>
          <w:color w:val="auto"/>
          <w:spacing w:val="-1"/>
          <w:kern w:val="0"/>
          <w:sz w:val="24"/>
          <w:szCs w:val="24"/>
          <w:lang w:eastAsia="en-US"/>
        </w:rPr>
        <w:t>效果；实施生态补偿措施后保护区水质状况。</w:t>
      </w:r>
    </w:p>
    <w:p w14:paraId="6970D99D">
      <w:pPr>
        <w:keepNext/>
        <w:keepLines/>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4"/>
        <w:rPr>
          <w:rFonts w:hint="eastAsia" w:ascii="Times New Roman" w:hAnsi="Times New Roman" w:eastAsia="黑体" w:cs="Times New Roman"/>
          <w:bCs/>
          <w:color w:val="auto"/>
          <w:kern w:val="2"/>
          <w:sz w:val="24"/>
          <w:szCs w:val="28"/>
          <w:lang w:val="en-US" w:eastAsia="en-US" w:bidi="ar-SA"/>
        </w:rPr>
      </w:pPr>
      <w:r>
        <w:rPr>
          <w:rFonts w:hint="eastAsia" w:ascii="Times New Roman" w:hAnsi="Times New Roman" w:eastAsia="黑体" w:cs="Times New Roman"/>
          <w:bCs/>
          <w:color w:val="auto"/>
          <w:kern w:val="2"/>
          <w:sz w:val="24"/>
          <w:szCs w:val="28"/>
          <w:lang w:val="en-US" w:eastAsia="zh-CN" w:bidi="ar-SA"/>
        </w:rPr>
        <w:t>6.2.6.2.2渔业资源增殖放流</w:t>
      </w:r>
    </w:p>
    <w:p w14:paraId="7CE24716">
      <w:pPr>
        <w:spacing w:line="360" w:lineRule="auto"/>
        <w:ind w:firstLine="480" w:firstLineChars="200"/>
        <w:jc w:val="both"/>
        <w:rPr>
          <w:rFonts w:hint="eastAsia" w:ascii="Times New Roman" w:hAnsi="Times New Roman" w:eastAsia="宋体" w:cs="Calibri"/>
          <w:color w:val="auto"/>
          <w:kern w:val="2"/>
          <w:sz w:val="24"/>
          <w:szCs w:val="24"/>
          <w:lang w:val="en-US" w:eastAsia="en-US" w:bidi="ar-SA"/>
        </w:rPr>
      </w:pPr>
      <w:r>
        <w:rPr>
          <w:rFonts w:hint="eastAsia" w:ascii="Times New Roman" w:hAnsi="Times New Roman" w:eastAsia="宋体" w:cs="Calibri"/>
          <w:color w:val="auto"/>
          <w:kern w:val="2"/>
          <w:sz w:val="24"/>
          <w:szCs w:val="24"/>
          <w:lang w:val="en-US" w:eastAsia="en-US" w:bidi="ar-SA"/>
        </w:rPr>
        <w:t>增殖放流是恢复天然渔业资源的重要手段，工程方或委托第三方通过有计划开展人工放流经济鱼类苗种，可以增加经济鱼类资源中低、幼龄鱼类数量，扩大群体规模，储备足够量的繁殖后备群体。鉴于工程对保护区渔业资源的潜在负面影响，采取水生生物增殖放流是补偿、修复保护区渔业资源最为直接有效的手段。根据《中华人民共和国渔业法》和《水产种质资源保护区管理暂行办法》等法律、法规的规定，工程业主应对损失的渔业资源采取必要的补救措施。增殖放流工作应根据《中国水生生物资源养护行动纲要》、《水生生物增殖放流管理规定》、《水生生物增殖放流技术规程》和《安徽省水生动物增殖放流技术规范》等规章制度执行。</w:t>
      </w:r>
    </w:p>
    <w:p w14:paraId="1D40CEC8">
      <w:pPr>
        <w:spacing w:line="360" w:lineRule="auto"/>
        <w:ind w:firstLine="480" w:firstLineChars="200"/>
        <w:jc w:val="both"/>
        <w:rPr>
          <w:rFonts w:hint="eastAsia" w:ascii="Times New Roman" w:hAnsi="Times New Roman" w:eastAsia="宋体" w:cs="Calibri"/>
          <w:b/>
          <w:bCs/>
          <w:color w:val="auto"/>
          <w:kern w:val="2"/>
          <w:sz w:val="24"/>
          <w:szCs w:val="24"/>
          <w:lang w:val="en-US" w:eastAsia="en-US" w:bidi="ar-SA"/>
        </w:rPr>
      </w:pPr>
      <w:r>
        <w:rPr>
          <w:rFonts w:hint="eastAsia" w:ascii="Times New Roman" w:hAnsi="Times New Roman" w:eastAsia="宋体" w:cs="Calibri"/>
          <w:b/>
          <w:bCs/>
          <w:color w:val="auto"/>
          <w:kern w:val="2"/>
          <w:sz w:val="24"/>
          <w:szCs w:val="24"/>
          <w:lang w:val="en-US" w:eastAsia="zh-CN" w:bidi="ar-SA"/>
        </w:rPr>
        <w:t>①</w:t>
      </w:r>
      <w:r>
        <w:rPr>
          <w:rFonts w:hint="eastAsia" w:ascii="Times New Roman" w:hAnsi="Times New Roman" w:eastAsia="宋体" w:cs="Calibri"/>
          <w:b/>
          <w:bCs/>
          <w:color w:val="auto"/>
          <w:kern w:val="2"/>
          <w:sz w:val="24"/>
          <w:szCs w:val="24"/>
          <w:lang w:val="en-US" w:eastAsia="en-US" w:bidi="ar-SA"/>
        </w:rPr>
        <w:t>放流苗种来源</w:t>
      </w:r>
    </w:p>
    <w:p w14:paraId="005E0EE8">
      <w:pPr>
        <w:spacing w:line="360" w:lineRule="auto"/>
        <w:ind w:firstLine="480" w:firstLineChars="200"/>
        <w:jc w:val="both"/>
        <w:rPr>
          <w:rFonts w:hint="eastAsia" w:ascii="Times New Roman" w:hAnsi="Times New Roman" w:eastAsia="宋体" w:cs="Calibri"/>
          <w:color w:val="auto"/>
          <w:kern w:val="2"/>
          <w:sz w:val="24"/>
          <w:szCs w:val="24"/>
          <w:lang w:val="en-US" w:eastAsia="en-US" w:bidi="ar-SA"/>
        </w:rPr>
      </w:pPr>
      <w:r>
        <w:rPr>
          <w:rFonts w:hint="eastAsia" w:ascii="Times New Roman" w:hAnsi="Times New Roman" w:eastAsia="宋体" w:cs="Calibri"/>
          <w:color w:val="auto"/>
          <w:kern w:val="2"/>
          <w:sz w:val="24"/>
          <w:szCs w:val="24"/>
          <w:lang w:val="en-US" w:eastAsia="en-US" w:bidi="ar-SA"/>
        </w:rPr>
        <w:t>增殖放流应确保苗种种质纯正，避免物种跨流域放流导致生态风险。在选择增殖放流苗种供应单位时，应优先考虑以下单位：信誉良好、管理规范、具备相应技术力量的国家级或省级水产原良种场、良种繁育场、渔业资源增殖站、野生水生动物驯养繁殖基地或救护中心、国家和各省主管部门公布的放流苗种供应单位等。苗种供应单位需持有放流对象的苗种生产许可证，放流的苗种必须是由野生亲本人工繁殖的子一代。应优先从农业农村部“智能渔技”综合信息服务平台“水生生物增殖放流苗种供应单位信息库”(</w:t>
      </w:r>
      <w:r>
        <w:rPr>
          <w:rFonts w:hint="eastAsia" w:ascii="Times New Roman" w:hAnsi="Times New Roman" w:eastAsia="宋体" w:cs="Calibri"/>
          <w:color w:val="auto"/>
          <w:kern w:val="2"/>
          <w:sz w:val="24"/>
          <w:szCs w:val="24"/>
          <w:lang w:val="en-US" w:eastAsia="en-US" w:bidi="ar-SA"/>
        </w:rPr>
        <w:fldChar w:fldCharType="begin"/>
      </w:r>
      <w:r>
        <w:rPr>
          <w:rFonts w:hint="eastAsia" w:ascii="Times New Roman" w:hAnsi="Times New Roman" w:eastAsia="宋体" w:cs="Calibri"/>
          <w:color w:val="auto"/>
          <w:kern w:val="2"/>
          <w:sz w:val="24"/>
          <w:szCs w:val="24"/>
          <w:lang w:val="en-US" w:eastAsia="en-US" w:bidi="ar-SA"/>
        </w:rPr>
        <w:instrText xml:space="preserve"> HYPERLINK "https://znyj.nftec.agri.cn/homepage/data" </w:instrText>
      </w:r>
      <w:r>
        <w:rPr>
          <w:rFonts w:hint="eastAsia" w:ascii="Times New Roman" w:hAnsi="Times New Roman" w:eastAsia="宋体" w:cs="Calibri"/>
          <w:color w:val="auto"/>
          <w:kern w:val="2"/>
          <w:sz w:val="24"/>
          <w:szCs w:val="24"/>
          <w:lang w:val="en-US" w:eastAsia="en-US" w:bidi="ar-SA"/>
        </w:rPr>
        <w:fldChar w:fldCharType="separate"/>
      </w:r>
      <w:r>
        <w:rPr>
          <w:rFonts w:hint="eastAsia" w:ascii="Times New Roman" w:hAnsi="Times New Roman" w:eastAsia="宋体" w:cs="Calibri"/>
          <w:color w:val="auto"/>
          <w:kern w:val="2"/>
          <w:sz w:val="24"/>
          <w:szCs w:val="24"/>
          <w:lang w:val="en-US" w:eastAsia="en-US" w:bidi="ar-SA"/>
        </w:rPr>
        <w:t>https://znyj.nftec.agri.cn/homepage/data</w:t>
      </w:r>
      <w:r>
        <w:rPr>
          <w:rFonts w:hint="eastAsia" w:ascii="Times New Roman" w:hAnsi="Times New Roman" w:eastAsia="宋体" w:cs="Calibri"/>
          <w:color w:val="auto"/>
          <w:kern w:val="2"/>
          <w:sz w:val="24"/>
          <w:szCs w:val="24"/>
          <w:lang w:val="en-US" w:eastAsia="en-US" w:bidi="ar-SA"/>
        </w:rPr>
        <w:fldChar w:fldCharType="end"/>
      </w:r>
      <w:r>
        <w:rPr>
          <w:rFonts w:hint="eastAsia" w:ascii="Times New Roman" w:hAnsi="Times New Roman" w:eastAsia="宋体" w:cs="Calibri"/>
          <w:color w:val="auto"/>
          <w:kern w:val="2"/>
          <w:sz w:val="24"/>
          <w:szCs w:val="24"/>
          <w:lang w:val="en-US" w:eastAsia="en-US" w:bidi="ar-SA"/>
        </w:rPr>
        <w:t>Search/baseList)与放流水域所属流域水系一致的单位中选取。同时应尽量遵循就近原则，以降低运输导致的鱼类应激反应，确保增殖放流成活率。</w:t>
      </w:r>
    </w:p>
    <w:p w14:paraId="17B05537">
      <w:pPr>
        <w:spacing w:line="360" w:lineRule="auto"/>
        <w:ind w:firstLine="480" w:firstLineChars="200"/>
        <w:jc w:val="both"/>
        <w:rPr>
          <w:rFonts w:hint="eastAsia" w:ascii="Times New Roman" w:hAnsi="Times New Roman" w:eastAsia="宋体" w:cs="Calibri"/>
          <w:b/>
          <w:bCs/>
          <w:color w:val="auto"/>
          <w:kern w:val="2"/>
          <w:sz w:val="24"/>
          <w:szCs w:val="24"/>
          <w:lang w:val="en-US" w:eastAsia="en-US" w:bidi="ar-SA"/>
        </w:rPr>
      </w:pPr>
      <w:r>
        <w:rPr>
          <w:rFonts w:hint="eastAsia" w:ascii="Times New Roman" w:hAnsi="Times New Roman" w:eastAsia="宋体" w:cs="Calibri"/>
          <w:b/>
          <w:bCs/>
          <w:color w:val="auto"/>
          <w:kern w:val="2"/>
          <w:sz w:val="24"/>
          <w:szCs w:val="24"/>
          <w:lang w:val="en-US" w:eastAsia="en-US" w:bidi="ar-SA"/>
        </w:rPr>
        <w:t>②放流苗种种质要求</w:t>
      </w:r>
    </w:p>
    <w:p w14:paraId="55C831DD">
      <w:pPr>
        <w:spacing w:line="360" w:lineRule="auto"/>
        <w:ind w:firstLine="480" w:firstLineChars="200"/>
        <w:jc w:val="both"/>
        <w:rPr>
          <w:rFonts w:hint="eastAsia" w:ascii="Times New Roman" w:hAnsi="Times New Roman" w:eastAsia="宋体" w:cs="Calibri"/>
          <w:color w:val="auto"/>
          <w:kern w:val="2"/>
          <w:sz w:val="24"/>
          <w:szCs w:val="24"/>
          <w:lang w:val="en-US" w:eastAsia="en-US" w:bidi="ar-SA"/>
        </w:rPr>
      </w:pPr>
      <w:r>
        <w:rPr>
          <w:rFonts w:hint="eastAsia" w:ascii="Times New Roman" w:hAnsi="Times New Roman" w:eastAsia="宋体" w:cs="Calibri"/>
          <w:color w:val="auto"/>
          <w:kern w:val="2"/>
          <w:sz w:val="24"/>
          <w:szCs w:val="24"/>
          <w:lang w:val="en-US" w:eastAsia="en-US" w:bidi="ar-SA"/>
        </w:rPr>
        <w:t>放流苗种必须是无伤残和病害、体格健壮，符合渔业行政主管部门制定放流苗种种质技术规范。放流前，苗种供应单位应提供放流苗种种质鉴定和疫病检验检疫报告，以保证用于增殖放流苗种的质量，避免对增殖放流水域生态造成不良影响。鱼类放流活动应与渔政管理机构及保护区管理机构协调，并在该机构的监督与指导下进行。保护区中的渔业生物放流任务应坚持长期进行，以消除工程施工及运营对渔业资源的影响。</w:t>
      </w:r>
    </w:p>
    <w:p w14:paraId="7B0F5EAB">
      <w:pPr>
        <w:spacing w:line="360" w:lineRule="auto"/>
        <w:ind w:firstLine="480" w:firstLineChars="200"/>
        <w:jc w:val="both"/>
        <w:rPr>
          <w:rFonts w:hint="eastAsia" w:ascii="Times New Roman" w:hAnsi="Times New Roman" w:eastAsia="宋体" w:cs="Calibri"/>
          <w:b/>
          <w:bCs/>
          <w:color w:val="auto"/>
          <w:kern w:val="2"/>
          <w:sz w:val="24"/>
          <w:szCs w:val="24"/>
          <w:lang w:val="en-US" w:eastAsia="en-US" w:bidi="ar-SA"/>
        </w:rPr>
      </w:pPr>
      <w:r>
        <w:rPr>
          <w:rFonts w:hint="eastAsia" w:ascii="Times New Roman" w:hAnsi="Times New Roman" w:eastAsia="宋体" w:cs="Calibri"/>
          <w:b/>
          <w:bCs/>
          <w:color w:val="auto"/>
          <w:kern w:val="2"/>
          <w:sz w:val="24"/>
          <w:szCs w:val="24"/>
          <w:lang w:val="en-US" w:eastAsia="en-US" w:bidi="ar-SA"/>
        </w:rPr>
        <w:t>③放流物种选择</w:t>
      </w:r>
    </w:p>
    <w:p w14:paraId="71753566">
      <w:pPr>
        <w:spacing w:line="360" w:lineRule="auto"/>
        <w:ind w:firstLine="480" w:firstLineChars="200"/>
        <w:jc w:val="both"/>
        <w:rPr>
          <w:rFonts w:hint="eastAsia" w:ascii="Times New Roman" w:hAnsi="Times New Roman" w:eastAsia="宋体" w:cs="Calibri"/>
          <w:color w:val="auto"/>
          <w:kern w:val="2"/>
          <w:sz w:val="24"/>
          <w:szCs w:val="24"/>
          <w:lang w:val="en-US" w:eastAsia="en-US" w:bidi="ar-SA"/>
        </w:rPr>
      </w:pPr>
      <w:r>
        <w:rPr>
          <w:rFonts w:hint="eastAsia" w:ascii="Times New Roman" w:hAnsi="Times New Roman" w:eastAsia="宋体" w:cs="Calibri"/>
          <w:color w:val="auto"/>
          <w:kern w:val="2"/>
          <w:sz w:val="24"/>
          <w:szCs w:val="24"/>
          <w:lang w:val="en-US" w:eastAsia="en-US" w:bidi="ar-SA"/>
        </w:rPr>
        <w:t>根据《农业农村部关于做好“十四五”水生生物增殖放流工作的指导意见》(农渔发〔2022〕1号)，加强统筹规划，科学确定增殖放流物种。要注重发挥增殖放流的生态效益，突出其在水质净化、水域生态修复及生物多样性保护等方面的作用，逐步加大珍贵濒危和地方特有物种的放流比重。</w:t>
      </w:r>
    </w:p>
    <w:p w14:paraId="15499946">
      <w:pPr>
        <w:spacing w:line="360" w:lineRule="auto"/>
        <w:ind w:firstLine="480" w:firstLineChars="200"/>
        <w:jc w:val="both"/>
        <w:rPr>
          <w:rFonts w:hint="eastAsia" w:ascii="Times New Roman" w:hAnsi="Times New Roman" w:eastAsia="宋体" w:cs="Calibri"/>
          <w:color w:val="auto"/>
          <w:kern w:val="2"/>
          <w:sz w:val="24"/>
          <w:szCs w:val="24"/>
          <w:lang w:val="en-US" w:eastAsia="en-US" w:bidi="ar-SA"/>
        </w:rPr>
      </w:pPr>
      <w:r>
        <w:rPr>
          <w:rFonts w:hint="eastAsia" w:ascii="Times New Roman" w:hAnsi="Times New Roman" w:eastAsia="宋体" w:cs="Calibri"/>
          <w:color w:val="auto"/>
          <w:kern w:val="2"/>
          <w:sz w:val="24"/>
          <w:szCs w:val="24"/>
          <w:lang w:val="en-US" w:eastAsia="en-US" w:bidi="ar-SA"/>
        </w:rPr>
        <w:t>长吻鮠、瓦氏黄颡鱼为保护区内主要保护对象，其种群数量较</w:t>
      </w:r>
      <w:r>
        <w:rPr>
          <w:rFonts w:hint="eastAsia" w:cs="Calibri"/>
          <w:color w:val="auto"/>
          <w:kern w:val="2"/>
          <w:sz w:val="24"/>
          <w:szCs w:val="24"/>
          <w:lang w:val="en-US" w:eastAsia="zh-CN" w:bidi="ar-SA"/>
        </w:rPr>
        <w:t>少</w:t>
      </w:r>
      <w:r>
        <w:rPr>
          <w:rFonts w:hint="eastAsia" w:ascii="Times New Roman" w:hAnsi="Times New Roman" w:eastAsia="宋体" w:cs="Calibri"/>
          <w:color w:val="auto"/>
          <w:kern w:val="2"/>
          <w:sz w:val="24"/>
          <w:szCs w:val="24"/>
          <w:lang w:val="en-US" w:eastAsia="en-US" w:bidi="ar-SA"/>
        </w:rPr>
        <w:t>，通过增殖放流长吻鮠苗种、瓦氏黄颡鱼，扩大其群体规模和繁殖规模，促进长吻鮠、瓦氏黄颡鱼种群形成稳定的可持续群体。</w:t>
      </w:r>
    </w:p>
    <w:p w14:paraId="6098C484">
      <w:pPr>
        <w:spacing w:line="360" w:lineRule="auto"/>
        <w:ind w:firstLine="480" w:firstLineChars="200"/>
        <w:jc w:val="both"/>
        <w:rPr>
          <w:rFonts w:hint="eastAsia" w:ascii="Times New Roman" w:hAnsi="Times New Roman" w:eastAsia="宋体" w:cs="Calibri"/>
          <w:color w:val="auto"/>
          <w:kern w:val="2"/>
          <w:sz w:val="24"/>
          <w:szCs w:val="24"/>
          <w:lang w:val="en-US" w:eastAsia="en-US" w:bidi="ar-SA"/>
        </w:rPr>
      </w:pPr>
      <w:r>
        <w:rPr>
          <w:rFonts w:hint="eastAsia" w:ascii="Times New Roman" w:hAnsi="Times New Roman" w:eastAsia="宋体" w:cs="Calibri"/>
          <w:color w:val="auto"/>
          <w:kern w:val="2"/>
          <w:sz w:val="24"/>
          <w:szCs w:val="24"/>
          <w:lang w:val="en-US" w:eastAsia="en-US" w:bidi="ar-SA"/>
        </w:rPr>
        <w:t>根据“长江中下游区重要江河增殖放流适宜性评价表”，长吻鮠、瓦氏黄颡鱼为淮河干流安徽段适宜放流物种，且长吻鮠和瓦氏黄颡鱼属于保护区主要保护对象，鳊为保护区其他保护物种，因此，放流物种选择长吻鮠和瓦氏黄颡鱼。</w:t>
      </w:r>
    </w:p>
    <w:p w14:paraId="32569E94">
      <w:pPr>
        <w:keepNext/>
        <w:keepLines/>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4"/>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6.2.6.2.3水生生物资源状况评估</w:t>
      </w:r>
    </w:p>
    <w:p w14:paraId="2B3DFABA">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工程建设及运营将对保护区水域生态环境产生不同程度的影响以及增殖放流对象种群的变化情况，在短期内并不能充分显现。为跟踪评估工程建设及运营引起的保护区水域生态环境变化及发展趋势，以及增殖放流对主要保护对象资源影响，应依托安徽省重点水域水生生物资源监测体系，委托具备资质的科研单位根据体系内该保护区的监测成果，掌握保护区水生生物资源和栖息环境状况及变动趋势，综合评估其受到的影响及程度，并根据实际情况提出进一步保护建议。</w:t>
      </w:r>
    </w:p>
    <w:p w14:paraId="507A7905">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委托具备资质的单位根据安徽省统一部署的监测体系在该保护区所获得的相关数据，包括鱼类群落组成、优势种、群落多样性、渔获规格及资源量等；浮游植物、浮游动物、底栖动物群落组成、密度及资源量等；水环境指标等；主要保护对象种群结构、资源密度及种质资源等，分析评估工程运营对保护区水生生物产生的影响，以及实施生态修复措施后渔业资源的保护效果。</w:t>
      </w:r>
    </w:p>
    <w:p w14:paraId="3568E956">
      <w:pPr>
        <w:spacing w:line="360" w:lineRule="auto"/>
        <w:ind w:firstLine="480" w:firstLineChars="200"/>
        <w:jc w:val="both"/>
        <w:rPr>
          <w:rFonts w:hint="eastAsia"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根据项目的实际情况，建议施工及运营期间对保护区水生生物资源状况开展定期评估，每年</w:t>
      </w:r>
      <w:r>
        <w:rPr>
          <w:rFonts w:hint="eastAsia" w:ascii="Times New Roman" w:hAnsi="Times New Roman" w:eastAsia="宋体" w:cs="Times New Roman"/>
          <w:color w:val="auto"/>
          <w:kern w:val="2"/>
          <w:sz w:val="24"/>
          <w:szCs w:val="24"/>
          <w:lang w:val="en-US" w:eastAsia="zh-CN" w:bidi="ar-SA"/>
        </w:rPr>
        <w:t>1</w:t>
      </w:r>
      <w:r>
        <w:rPr>
          <w:rFonts w:hint="eastAsia" w:ascii="Times New Roman" w:hAnsi="Times New Roman" w:eastAsia="宋体" w:cs="Calibri"/>
          <w:color w:val="auto"/>
          <w:kern w:val="2"/>
          <w:sz w:val="24"/>
          <w:szCs w:val="24"/>
          <w:lang w:val="en-US" w:eastAsia="zh-CN" w:bidi="ar-SA"/>
        </w:rPr>
        <w:t>次，施工期</w:t>
      </w:r>
      <w:r>
        <w:rPr>
          <w:rFonts w:hint="eastAsia" w:ascii="Times New Roman" w:hAnsi="Times New Roman" w:eastAsia="宋体" w:cs="Times New Roman"/>
          <w:color w:val="auto"/>
          <w:kern w:val="2"/>
          <w:sz w:val="24"/>
          <w:szCs w:val="24"/>
          <w:lang w:val="en-US" w:eastAsia="zh-CN" w:bidi="ar-SA"/>
        </w:rPr>
        <w:t>1</w:t>
      </w:r>
      <w:r>
        <w:rPr>
          <w:rFonts w:hint="eastAsia" w:ascii="Times New Roman" w:hAnsi="Times New Roman" w:eastAsia="宋体" w:cs="Calibri"/>
          <w:color w:val="auto"/>
          <w:kern w:val="2"/>
          <w:sz w:val="24"/>
          <w:szCs w:val="24"/>
          <w:lang w:val="en-US" w:eastAsia="zh-CN" w:bidi="ar-SA"/>
        </w:rPr>
        <w:t>年，运营期前</w:t>
      </w:r>
      <w:r>
        <w:rPr>
          <w:rFonts w:ascii="Times New Roman" w:hAnsi="Times New Roman" w:eastAsia="宋体" w:cs="Times New Roman"/>
          <w:color w:val="auto"/>
          <w:kern w:val="2"/>
          <w:sz w:val="24"/>
          <w:szCs w:val="24"/>
          <w:lang w:val="en-US" w:eastAsia="zh-CN" w:bidi="ar-SA"/>
        </w:rPr>
        <w:t>3</w:t>
      </w:r>
      <w:r>
        <w:rPr>
          <w:rFonts w:hint="eastAsia" w:ascii="Times New Roman" w:hAnsi="Times New Roman" w:eastAsia="宋体" w:cs="Calibri"/>
          <w:color w:val="auto"/>
          <w:kern w:val="2"/>
          <w:sz w:val="24"/>
          <w:szCs w:val="24"/>
          <w:lang w:val="en-US" w:eastAsia="zh-CN" w:bidi="ar-SA"/>
        </w:rPr>
        <w:t>年，每年列支</w:t>
      </w:r>
      <w:r>
        <w:rPr>
          <w:rFonts w:hint="eastAsia" w:ascii="Times New Roman" w:hAnsi="Times New Roman" w:eastAsia="宋体" w:cs="Times New Roman"/>
          <w:color w:val="auto"/>
          <w:kern w:val="2"/>
          <w:sz w:val="24"/>
          <w:szCs w:val="24"/>
          <w:lang w:val="en-US" w:eastAsia="zh-CN" w:bidi="ar-SA"/>
        </w:rPr>
        <w:t>1</w:t>
      </w:r>
      <w:r>
        <w:rPr>
          <w:rFonts w:hint="eastAsia" w:ascii="Times New Roman" w:hAnsi="Times New Roman" w:eastAsia="宋体" w:cs="Calibri"/>
          <w:color w:val="auto"/>
          <w:kern w:val="2"/>
          <w:sz w:val="24"/>
          <w:szCs w:val="24"/>
          <w:lang w:val="en-US" w:eastAsia="zh-CN" w:bidi="ar-SA"/>
        </w:rPr>
        <w:t>万元，共预计</w:t>
      </w:r>
      <w:r>
        <w:rPr>
          <w:rFonts w:hint="eastAsia" w:ascii="Times New Roman" w:hAnsi="Times New Roman" w:eastAsia="宋体" w:cs="Times New Roman"/>
          <w:color w:val="auto"/>
          <w:kern w:val="2"/>
          <w:sz w:val="24"/>
          <w:szCs w:val="24"/>
          <w:lang w:val="en-US" w:eastAsia="zh-CN" w:bidi="ar-SA"/>
        </w:rPr>
        <w:t>4</w:t>
      </w:r>
      <w:r>
        <w:rPr>
          <w:rFonts w:hint="eastAsia" w:ascii="Times New Roman" w:hAnsi="Times New Roman" w:eastAsia="宋体" w:cs="Calibri"/>
          <w:color w:val="auto"/>
          <w:kern w:val="2"/>
          <w:sz w:val="24"/>
          <w:szCs w:val="24"/>
          <w:lang w:val="en-US" w:eastAsia="zh-CN" w:bidi="ar-SA"/>
        </w:rPr>
        <w:t>万元。</w:t>
      </w:r>
    </w:p>
    <w:p w14:paraId="5DF59827">
      <w:pPr>
        <w:keepNext/>
        <w:keepLines/>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4"/>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6.2.6.2.4鱼类栖息地修复</w:t>
      </w:r>
    </w:p>
    <w:p w14:paraId="20C90C4C">
      <w:pPr>
        <w:spacing w:line="360" w:lineRule="auto"/>
        <w:ind w:firstLine="480" w:firstLineChars="200"/>
        <w:jc w:val="both"/>
        <w:rPr>
          <w:rFonts w:hint="eastAsia"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由于码头建设将破坏鱼类等水生生物的栖息生境，影响鱼类等水生生物繁殖和索饵，原先在该水域栖息、繁衍的鱼类资源</w:t>
      </w:r>
      <w:r>
        <w:rPr>
          <w:rFonts w:hint="eastAsia" w:cs="Calibri"/>
          <w:color w:val="auto"/>
          <w:kern w:val="2"/>
          <w:sz w:val="24"/>
          <w:szCs w:val="24"/>
          <w:lang w:val="en-US" w:eastAsia="zh-CN" w:bidi="ar-SA"/>
        </w:rPr>
        <w:t>将面临</w:t>
      </w:r>
      <w:r>
        <w:rPr>
          <w:rFonts w:hint="eastAsia" w:ascii="Times New Roman" w:hAnsi="Times New Roman" w:eastAsia="宋体" w:cs="Calibri"/>
          <w:color w:val="auto"/>
          <w:kern w:val="2"/>
          <w:sz w:val="24"/>
          <w:szCs w:val="24"/>
          <w:lang w:val="en-US" w:eastAsia="zh-CN" w:bidi="ar-SA"/>
        </w:rPr>
        <w:t>长期的负面扰动。为尽量降低拟建工程对淮河淮南段长吻鮠国家级水产种质资源保护区渔业资源的影响，现计划在潘集港作业区附近进行水生植被修复</w:t>
      </w:r>
      <w:r>
        <w:rPr>
          <w:rFonts w:ascii="Times New Roman" w:hAnsi="Times New Roman" w:eastAsia="宋体" w:cs="Times New Roman"/>
          <w:color w:val="auto"/>
          <w:kern w:val="2"/>
          <w:sz w:val="24"/>
          <w:szCs w:val="24"/>
          <w:lang w:val="en-US" w:eastAsia="zh-CN" w:bidi="ar-SA"/>
        </w:rPr>
        <w:t>(</w:t>
      </w:r>
      <w:r>
        <w:rPr>
          <w:rFonts w:hint="eastAsia" w:ascii="Times New Roman" w:hAnsi="Times New Roman" w:eastAsia="宋体" w:cs="Calibri"/>
          <w:color w:val="auto"/>
          <w:kern w:val="2"/>
          <w:sz w:val="24"/>
          <w:szCs w:val="24"/>
          <w:lang w:val="en-US" w:eastAsia="zh-CN" w:bidi="ar-SA"/>
        </w:rPr>
        <w:t>具体位置根据施工后水域实际情况确定</w:t>
      </w:r>
      <w:r>
        <w:rPr>
          <w:rFonts w:ascii="Times New Roman" w:hAnsi="Times New Roman" w:eastAsia="宋体" w:cs="Times New Roman"/>
          <w:color w:val="auto"/>
          <w:kern w:val="2"/>
          <w:sz w:val="24"/>
          <w:szCs w:val="24"/>
          <w:lang w:val="en-US" w:eastAsia="zh-CN" w:bidi="ar-SA"/>
        </w:rPr>
        <w:t>)</w:t>
      </w:r>
      <w:r>
        <w:rPr>
          <w:rFonts w:hint="eastAsia" w:ascii="Times New Roman" w:hAnsi="Times New Roman" w:eastAsia="宋体" w:cs="Calibri"/>
          <w:color w:val="auto"/>
          <w:kern w:val="2"/>
          <w:sz w:val="24"/>
          <w:szCs w:val="24"/>
          <w:lang w:val="en-US" w:eastAsia="zh-CN" w:bidi="ar-SA"/>
        </w:rPr>
        <w:t>，并且建设人工鱼巢，修复鱼类栖息地，为鱼类提供适宜的产卵和索饵场所。鱼类栖息地修复计划实施期限为运营期前</w:t>
      </w:r>
      <w:r>
        <w:rPr>
          <w:rFonts w:ascii="Times New Roman" w:hAnsi="Times New Roman" w:eastAsia="宋体" w:cs="Times New Roman"/>
          <w:color w:val="auto"/>
          <w:kern w:val="2"/>
          <w:sz w:val="24"/>
          <w:szCs w:val="24"/>
          <w:lang w:val="en-US" w:eastAsia="zh-CN" w:bidi="ar-SA"/>
        </w:rPr>
        <w:t>3</w:t>
      </w:r>
      <w:r>
        <w:rPr>
          <w:rFonts w:hint="eastAsia" w:ascii="Times New Roman" w:hAnsi="Times New Roman" w:eastAsia="宋体" w:cs="Calibri"/>
          <w:color w:val="auto"/>
          <w:kern w:val="2"/>
          <w:sz w:val="24"/>
          <w:szCs w:val="24"/>
          <w:lang w:val="en-US" w:eastAsia="zh-CN" w:bidi="ar-SA"/>
        </w:rPr>
        <w:t>年，每年预算</w:t>
      </w:r>
      <w:r>
        <w:rPr>
          <w:rFonts w:hint="eastAsia" w:ascii="Times New Roman" w:hAnsi="Times New Roman" w:eastAsia="宋体" w:cs="Times New Roman"/>
          <w:color w:val="auto"/>
          <w:kern w:val="2"/>
          <w:sz w:val="24"/>
          <w:szCs w:val="24"/>
          <w:lang w:val="en-US" w:eastAsia="zh-CN" w:bidi="ar-SA"/>
        </w:rPr>
        <w:t>1</w:t>
      </w:r>
      <w:r>
        <w:rPr>
          <w:rFonts w:hint="eastAsia" w:ascii="Times New Roman" w:hAnsi="Times New Roman" w:eastAsia="宋体" w:cs="Calibri"/>
          <w:color w:val="auto"/>
          <w:kern w:val="2"/>
          <w:sz w:val="24"/>
          <w:szCs w:val="24"/>
          <w:lang w:val="en-US" w:eastAsia="zh-CN" w:bidi="ar-SA"/>
        </w:rPr>
        <w:t>万元，共计预算</w:t>
      </w:r>
      <w:r>
        <w:rPr>
          <w:rFonts w:hint="eastAsia" w:ascii="Times New Roman" w:hAnsi="Times New Roman" w:eastAsia="宋体" w:cs="Times New Roman"/>
          <w:color w:val="auto"/>
          <w:kern w:val="2"/>
          <w:sz w:val="24"/>
          <w:szCs w:val="24"/>
          <w:lang w:val="en-US" w:eastAsia="zh-CN" w:bidi="ar-SA"/>
        </w:rPr>
        <w:t>3</w:t>
      </w:r>
      <w:r>
        <w:rPr>
          <w:rFonts w:hint="eastAsia" w:ascii="Times New Roman" w:hAnsi="Times New Roman" w:eastAsia="宋体" w:cs="Calibri"/>
          <w:color w:val="auto"/>
          <w:kern w:val="2"/>
          <w:sz w:val="24"/>
          <w:szCs w:val="24"/>
          <w:lang w:val="en-US" w:eastAsia="zh-CN" w:bidi="ar-SA"/>
        </w:rPr>
        <w:t>万元。</w:t>
      </w:r>
    </w:p>
    <w:p w14:paraId="44C64C8D">
      <w:pPr>
        <w:keepNext/>
        <w:keepLines/>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4"/>
        <w:rPr>
          <w:rFonts w:hint="eastAsia"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6.2.6.2.5水生生物科普宣教</w:t>
      </w:r>
    </w:p>
    <w:p w14:paraId="1CC964A2">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保护区应组织开展水生生物的保护宣传教育，以增强工作人员及周边居民的保护意识、技能等。计划实施期限为施工期</w:t>
      </w:r>
      <w:r>
        <w:rPr>
          <w:rFonts w:hint="eastAsia" w:ascii="Times New Roman" w:hAnsi="Times New Roman" w:eastAsia="宋体" w:cs="Times New Roman"/>
          <w:color w:val="auto"/>
          <w:kern w:val="2"/>
          <w:sz w:val="24"/>
          <w:szCs w:val="24"/>
          <w:lang w:val="en-US" w:eastAsia="zh-CN" w:bidi="ar-SA"/>
        </w:rPr>
        <w:t>1</w:t>
      </w:r>
      <w:r>
        <w:rPr>
          <w:rFonts w:hint="eastAsia" w:ascii="Times New Roman" w:hAnsi="Times New Roman" w:eastAsia="宋体" w:cs="Calibri"/>
          <w:color w:val="auto"/>
          <w:kern w:val="2"/>
          <w:sz w:val="24"/>
          <w:szCs w:val="24"/>
          <w:lang w:val="en-US" w:eastAsia="zh-CN" w:bidi="ar-SA"/>
        </w:rPr>
        <w:t>年，运营期前</w:t>
      </w:r>
      <w:r>
        <w:rPr>
          <w:rFonts w:ascii="Times New Roman" w:hAnsi="Times New Roman" w:eastAsia="宋体" w:cs="Times New Roman"/>
          <w:color w:val="auto"/>
          <w:kern w:val="2"/>
          <w:sz w:val="24"/>
          <w:szCs w:val="24"/>
          <w:lang w:val="en-US" w:eastAsia="zh-CN" w:bidi="ar-SA"/>
        </w:rPr>
        <w:t>3</w:t>
      </w:r>
      <w:r>
        <w:rPr>
          <w:rFonts w:hint="eastAsia" w:ascii="Times New Roman" w:hAnsi="Times New Roman" w:eastAsia="宋体" w:cs="Calibri"/>
          <w:color w:val="auto"/>
          <w:kern w:val="2"/>
          <w:sz w:val="24"/>
          <w:szCs w:val="24"/>
          <w:lang w:val="en-US" w:eastAsia="zh-CN" w:bidi="ar-SA"/>
        </w:rPr>
        <w:t>年，每年列支</w:t>
      </w:r>
      <w:r>
        <w:rPr>
          <w:rFonts w:ascii="Times New Roman" w:hAnsi="Times New Roman" w:eastAsia="宋体" w:cs="Times New Roman"/>
          <w:color w:val="auto"/>
          <w:kern w:val="2"/>
          <w:sz w:val="24"/>
          <w:szCs w:val="24"/>
          <w:lang w:val="en-US" w:eastAsia="zh-CN" w:bidi="ar-SA"/>
        </w:rPr>
        <w:t>1</w:t>
      </w:r>
      <w:r>
        <w:rPr>
          <w:rFonts w:hint="eastAsia" w:ascii="Times New Roman" w:hAnsi="Times New Roman" w:eastAsia="宋体" w:cs="Calibri"/>
          <w:color w:val="auto"/>
          <w:kern w:val="2"/>
          <w:sz w:val="24"/>
          <w:szCs w:val="24"/>
          <w:lang w:val="en-US" w:eastAsia="zh-CN" w:bidi="ar-SA"/>
        </w:rPr>
        <w:t>万元，共预计</w:t>
      </w:r>
      <w:r>
        <w:rPr>
          <w:rFonts w:hint="eastAsia" w:ascii="Times New Roman" w:hAnsi="Times New Roman" w:eastAsia="宋体" w:cs="Times New Roman"/>
          <w:color w:val="auto"/>
          <w:kern w:val="2"/>
          <w:sz w:val="24"/>
          <w:szCs w:val="24"/>
          <w:lang w:val="en-US" w:eastAsia="zh-CN" w:bidi="ar-SA"/>
        </w:rPr>
        <w:t>4</w:t>
      </w:r>
      <w:r>
        <w:rPr>
          <w:rFonts w:hint="eastAsia" w:ascii="Times New Roman" w:hAnsi="Times New Roman" w:eastAsia="宋体" w:cs="Calibri"/>
          <w:color w:val="auto"/>
          <w:kern w:val="2"/>
          <w:sz w:val="24"/>
          <w:szCs w:val="24"/>
          <w:lang w:val="en-US" w:eastAsia="zh-CN" w:bidi="ar-SA"/>
        </w:rPr>
        <w:t>万元。</w:t>
      </w:r>
    </w:p>
    <w:p w14:paraId="5BBD9A70">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w:t>
      </w:r>
      <w:r>
        <w:rPr>
          <w:rFonts w:hint="eastAsia" w:cs="Times New Roman"/>
          <w:color w:val="auto"/>
          <w:sz w:val="24"/>
          <w:szCs w:val="24"/>
          <w:lang w:val="en-US" w:eastAsia="zh-CN"/>
        </w:rPr>
        <w:t>5</w:t>
      </w:r>
      <w:r>
        <w:rPr>
          <w:rFonts w:ascii="Times New Roman" w:hAnsi="Times New Roman" w:eastAsia="宋体" w:cs="Times New Roman"/>
          <w:color w:val="auto"/>
          <w:sz w:val="24"/>
          <w:szCs w:val="24"/>
        </w:rPr>
        <w:t>）渔政监管及协助巡护</w:t>
      </w:r>
    </w:p>
    <w:p w14:paraId="67293B02">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协助巡护由保护区主管部门组织实施，组建社区共管协助巡护队，协助保护区管理部门对保护区内非法渔业生产活动进行巡护、管理等工作，购置宣传、通讯等看护工具、船只维修和燃油等费用。计划实施期限为施工期</w:t>
      </w:r>
      <w:r>
        <w:rPr>
          <w:rFonts w:hint="eastAsia" w:ascii="Times New Roman" w:hAnsi="Times New Roman" w:eastAsia="宋体" w:cs="Times New Roman"/>
          <w:color w:val="auto"/>
          <w:kern w:val="2"/>
          <w:sz w:val="24"/>
          <w:szCs w:val="24"/>
          <w:lang w:val="en-US" w:eastAsia="zh-CN" w:bidi="ar-SA"/>
        </w:rPr>
        <w:t>1</w:t>
      </w:r>
      <w:r>
        <w:rPr>
          <w:rFonts w:hint="eastAsia" w:ascii="Times New Roman" w:hAnsi="Times New Roman" w:eastAsia="宋体" w:cs="Calibri"/>
          <w:color w:val="auto"/>
          <w:kern w:val="2"/>
          <w:sz w:val="24"/>
          <w:szCs w:val="24"/>
          <w:lang w:val="en-US" w:eastAsia="zh-CN" w:bidi="ar-SA"/>
        </w:rPr>
        <w:t>年，运营期前</w:t>
      </w:r>
      <w:r>
        <w:rPr>
          <w:rFonts w:ascii="Times New Roman" w:hAnsi="Times New Roman" w:eastAsia="宋体" w:cs="Times New Roman"/>
          <w:color w:val="auto"/>
          <w:kern w:val="2"/>
          <w:sz w:val="24"/>
          <w:szCs w:val="24"/>
          <w:lang w:val="en-US" w:eastAsia="zh-CN" w:bidi="ar-SA"/>
        </w:rPr>
        <w:t>3</w:t>
      </w:r>
      <w:r>
        <w:rPr>
          <w:rFonts w:hint="eastAsia" w:ascii="Times New Roman" w:hAnsi="Times New Roman" w:eastAsia="宋体" w:cs="Calibri"/>
          <w:color w:val="auto"/>
          <w:kern w:val="2"/>
          <w:sz w:val="24"/>
          <w:szCs w:val="24"/>
          <w:lang w:val="en-US" w:eastAsia="zh-CN" w:bidi="ar-SA"/>
        </w:rPr>
        <w:t>年，每年列支</w:t>
      </w:r>
      <w:r>
        <w:rPr>
          <w:rFonts w:ascii="Times New Roman" w:hAnsi="Times New Roman" w:eastAsia="宋体" w:cs="Times New Roman"/>
          <w:color w:val="auto"/>
          <w:kern w:val="2"/>
          <w:sz w:val="24"/>
          <w:szCs w:val="24"/>
          <w:lang w:val="en-US" w:eastAsia="zh-CN" w:bidi="ar-SA"/>
        </w:rPr>
        <w:t>1</w:t>
      </w:r>
      <w:r>
        <w:rPr>
          <w:rFonts w:hint="eastAsia" w:ascii="Times New Roman" w:hAnsi="Times New Roman" w:eastAsia="宋体" w:cs="Calibri"/>
          <w:color w:val="auto"/>
          <w:kern w:val="2"/>
          <w:sz w:val="24"/>
          <w:szCs w:val="24"/>
          <w:lang w:val="en-US" w:eastAsia="zh-CN" w:bidi="ar-SA"/>
        </w:rPr>
        <w:t>万元，</w:t>
      </w:r>
      <w:r>
        <w:rPr>
          <w:rFonts w:hint="eastAsia" w:ascii="Times New Roman" w:hAnsi="Times New Roman" w:eastAsia="宋体" w:cs="Times New Roman"/>
          <w:color w:val="auto"/>
          <w:kern w:val="2"/>
          <w:sz w:val="24"/>
          <w:szCs w:val="24"/>
          <w:lang w:val="en-US" w:eastAsia="zh-CN" w:bidi="ar-SA"/>
        </w:rPr>
        <w:t>4</w:t>
      </w:r>
      <w:r>
        <w:rPr>
          <w:rFonts w:hint="eastAsia" w:ascii="Times New Roman" w:hAnsi="Times New Roman" w:eastAsia="宋体" w:cs="Calibri"/>
          <w:color w:val="auto"/>
          <w:kern w:val="2"/>
          <w:sz w:val="24"/>
          <w:szCs w:val="24"/>
          <w:lang w:val="en-US" w:eastAsia="zh-CN" w:bidi="ar-SA"/>
        </w:rPr>
        <w:t>年共预计预算</w:t>
      </w:r>
      <w:r>
        <w:rPr>
          <w:rFonts w:hint="eastAsia" w:ascii="Times New Roman" w:hAnsi="Times New Roman" w:eastAsia="宋体" w:cs="Times New Roman"/>
          <w:color w:val="auto"/>
          <w:kern w:val="2"/>
          <w:sz w:val="24"/>
          <w:szCs w:val="24"/>
          <w:lang w:val="en-US" w:eastAsia="zh-CN" w:bidi="ar-SA"/>
        </w:rPr>
        <w:t>4</w:t>
      </w:r>
      <w:r>
        <w:rPr>
          <w:rFonts w:hint="eastAsia" w:ascii="Times New Roman" w:hAnsi="Times New Roman" w:eastAsia="宋体" w:cs="Calibri"/>
          <w:color w:val="auto"/>
          <w:kern w:val="2"/>
          <w:sz w:val="24"/>
          <w:szCs w:val="24"/>
          <w:lang w:val="en-US" w:eastAsia="zh-CN" w:bidi="ar-SA"/>
        </w:rPr>
        <w:t>万元</w:t>
      </w:r>
      <w:r>
        <w:rPr>
          <w:rFonts w:ascii="Times New Roman" w:hAnsi="Times New Roman" w:eastAsia="宋体" w:cs="Calibri"/>
          <w:color w:val="auto"/>
          <w:kern w:val="2"/>
          <w:sz w:val="24"/>
          <w:szCs w:val="24"/>
          <w:lang w:val="en-US" w:eastAsia="zh-CN" w:bidi="ar-SA"/>
        </w:rPr>
        <w:t>。</w:t>
      </w:r>
    </w:p>
    <w:p w14:paraId="051B424D">
      <w:pPr>
        <w:keepNext/>
        <w:keepLines/>
        <w:widowControl w:val="0"/>
        <w:numPr>
          <w:ilvl w:val="0"/>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6.2.6.3</w:t>
      </w:r>
      <w:r>
        <w:rPr>
          <w:rFonts w:ascii="Times New Roman" w:hAnsi="Times New Roman" w:eastAsia="黑体" w:cs="Times New Roman"/>
          <w:bCs/>
          <w:color w:val="auto"/>
          <w:kern w:val="2"/>
          <w:sz w:val="24"/>
          <w:szCs w:val="28"/>
          <w:lang w:val="en-US" w:eastAsia="zh-CN" w:bidi="ar-SA"/>
        </w:rPr>
        <w:t>生态补偿投资估算</w:t>
      </w:r>
    </w:p>
    <w:p w14:paraId="7927FC4C">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基于工程影响类型及程度，并类比同类工程，计划在保护区主管部门的指导、监督下实施渔业资源增殖放流、水生生物资源状况评估、主要保护对象栖息地保护研究、水生生物科普宣教、渔政监管及协助巡护的生态补偿措施，测算补偿经费</w:t>
      </w:r>
      <w:r>
        <w:rPr>
          <w:rFonts w:hint="eastAsia" w:ascii="Times New Roman" w:hAnsi="Times New Roman" w:eastAsia="宋体" w:cs="Times New Roman"/>
          <w:color w:val="auto"/>
          <w:kern w:val="2"/>
          <w:sz w:val="24"/>
          <w:szCs w:val="24"/>
          <w:lang w:val="en-US" w:eastAsia="zh-CN" w:bidi="ar-SA"/>
        </w:rPr>
        <w:t>15</w:t>
      </w:r>
      <w:r>
        <w:rPr>
          <w:rFonts w:hint="eastAsia" w:ascii="Times New Roman" w:hAnsi="Times New Roman" w:eastAsia="宋体" w:cs="Calibri"/>
          <w:color w:val="auto"/>
          <w:kern w:val="2"/>
          <w:sz w:val="24"/>
          <w:szCs w:val="24"/>
          <w:lang w:val="en-US" w:eastAsia="zh-CN" w:bidi="ar-SA"/>
        </w:rPr>
        <w:t>万元</w:t>
      </w:r>
      <w:r>
        <w:rPr>
          <w:rFonts w:ascii="Times New Roman" w:hAnsi="Times New Roman" w:eastAsia="宋体" w:cs="Times New Roman"/>
          <w:color w:val="auto"/>
          <w:kern w:val="2"/>
          <w:sz w:val="24"/>
          <w:szCs w:val="24"/>
          <w:lang w:val="en-US" w:eastAsia="zh-CN" w:bidi="ar-SA"/>
        </w:rPr>
        <w:t>(</w:t>
      </w:r>
      <w:r>
        <w:rPr>
          <w:rFonts w:hint="eastAsia" w:ascii="Times New Roman" w:hAnsi="Times New Roman" w:eastAsia="宋体" w:cs="Calibri"/>
          <w:color w:val="auto"/>
          <w:kern w:val="2"/>
          <w:sz w:val="24"/>
          <w:szCs w:val="24"/>
          <w:lang w:val="en-US" w:eastAsia="zh-CN" w:bidi="ar-SA"/>
        </w:rPr>
        <w:t>表</w:t>
      </w:r>
      <w:r>
        <w:rPr>
          <w:rFonts w:ascii="Times New Roman" w:hAnsi="Times New Roman" w:eastAsia="宋体" w:cs="Times New Roman"/>
          <w:color w:val="auto"/>
          <w:kern w:val="2"/>
          <w:sz w:val="24"/>
          <w:szCs w:val="24"/>
          <w:lang w:val="en-US" w:eastAsia="zh-CN" w:bidi="ar-SA"/>
        </w:rPr>
        <w:t>6.2-1)</w:t>
      </w:r>
      <w:r>
        <w:rPr>
          <w:rFonts w:hint="eastAsia" w:ascii="Times New Roman" w:hAnsi="Times New Roman" w:eastAsia="宋体" w:cs="Calibri"/>
          <w:color w:val="auto"/>
          <w:kern w:val="2"/>
          <w:sz w:val="24"/>
          <w:szCs w:val="24"/>
          <w:lang w:val="en-US" w:eastAsia="zh-CN" w:bidi="ar-SA"/>
        </w:rPr>
        <w:t>，并由保护区主管部门组织验收</w:t>
      </w:r>
      <w:r>
        <w:rPr>
          <w:rFonts w:ascii="Times New Roman" w:hAnsi="Times New Roman" w:eastAsia="宋体" w:cs="Calibri"/>
          <w:color w:val="auto"/>
          <w:kern w:val="2"/>
          <w:sz w:val="24"/>
          <w:szCs w:val="24"/>
          <w:lang w:val="en-US" w:eastAsia="zh-CN" w:bidi="ar-SA"/>
        </w:rPr>
        <w:t>。</w:t>
      </w:r>
    </w:p>
    <w:p w14:paraId="72D45D35">
      <w:pPr>
        <w:spacing w:line="300" w:lineRule="exact"/>
        <w:jc w:val="center"/>
        <w:rPr>
          <w:rFonts w:eastAsia="黑体"/>
          <w:color w:val="auto"/>
          <w:sz w:val="24"/>
          <w:szCs w:val="24"/>
        </w:rPr>
        <w:sectPr>
          <w:pgSz w:w="11906" w:h="16838"/>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2FADE9F8">
      <w:pPr>
        <w:spacing w:line="300" w:lineRule="exact"/>
        <w:jc w:val="center"/>
        <w:rPr>
          <w:rFonts w:ascii="Times New Roman" w:hAnsi="Times New Roman" w:eastAsia="黑体" w:cs="Times New Roman"/>
          <w:color w:val="auto"/>
          <w:sz w:val="24"/>
          <w:szCs w:val="24"/>
        </w:rPr>
      </w:pPr>
      <w:r>
        <w:rPr>
          <w:rFonts w:ascii="Times New Roman" w:hAnsi="Times New Roman" w:eastAsia="黑体" w:cs="Times New Roman"/>
          <w:color w:val="auto"/>
          <w:sz w:val="24"/>
          <w:szCs w:val="24"/>
        </w:rPr>
        <w:t>表6.2-1  生态补偿投资估算</w:t>
      </w:r>
    </w:p>
    <w:tbl>
      <w:tblPr>
        <w:tblStyle w:val="53"/>
        <w:tblW w:w="0" w:type="auto"/>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992"/>
        <w:gridCol w:w="1251"/>
        <w:gridCol w:w="9315"/>
      </w:tblGrid>
      <w:tr w14:paraId="6B0AF3D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660" w:type="dxa"/>
            <w:noWrap w:val="0"/>
            <w:vAlign w:val="center"/>
          </w:tcPr>
          <w:p w14:paraId="51B9EDEA">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项目</w:t>
            </w:r>
          </w:p>
        </w:tc>
        <w:tc>
          <w:tcPr>
            <w:tcW w:w="992" w:type="dxa"/>
            <w:noWrap w:val="0"/>
            <w:vAlign w:val="center"/>
          </w:tcPr>
          <w:p w14:paraId="1DB53790">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实施年限（年）</w:t>
            </w:r>
          </w:p>
        </w:tc>
        <w:tc>
          <w:tcPr>
            <w:tcW w:w="1251" w:type="dxa"/>
            <w:noWrap w:val="0"/>
            <w:vAlign w:val="center"/>
          </w:tcPr>
          <w:p w14:paraId="4A1858FF">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预算经费（万元）</w:t>
            </w:r>
          </w:p>
        </w:tc>
        <w:tc>
          <w:tcPr>
            <w:tcW w:w="9315" w:type="dxa"/>
            <w:noWrap w:val="0"/>
            <w:vAlign w:val="center"/>
          </w:tcPr>
          <w:p w14:paraId="6F8A4A0A">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备注</w:t>
            </w:r>
          </w:p>
        </w:tc>
      </w:tr>
      <w:tr w14:paraId="02EDBF8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660" w:type="dxa"/>
            <w:noWrap w:val="0"/>
            <w:vAlign w:val="center"/>
          </w:tcPr>
          <w:p w14:paraId="47829F3F">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一</w:t>
            </w:r>
            <w:r>
              <w:rPr>
                <w:rFonts w:hint="default" w:ascii="Times New Roman" w:hAnsi="Times New Roman" w:eastAsia="宋体" w:cs="Times New Roman"/>
                <w:color w:val="auto"/>
              </w:rPr>
              <w:t>、水生生物资源状况评估</w:t>
            </w:r>
          </w:p>
        </w:tc>
        <w:tc>
          <w:tcPr>
            <w:tcW w:w="992" w:type="dxa"/>
            <w:noWrap w:val="0"/>
            <w:vAlign w:val="center"/>
          </w:tcPr>
          <w:p w14:paraId="499C9A8A">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4</w:t>
            </w:r>
          </w:p>
        </w:tc>
        <w:tc>
          <w:tcPr>
            <w:tcW w:w="1251" w:type="dxa"/>
            <w:noWrap w:val="0"/>
            <w:vAlign w:val="center"/>
          </w:tcPr>
          <w:p w14:paraId="1EB2C6C6">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1</w:t>
            </w:r>
          </w:p>
        </w:tc>
        <w:tc>
          <w:tcPr>
            <w:tcW w:w="9315" w:type="dxa"/>
            <w:noWrap w:val="0"/>
            <w:vAlign w:val="center"/>
          </w:tcPr>
          <w:p w14:paraId="58C16CB0">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根据安徽省统一部署监测的水生生物资源监测体系，视情开展工程临近水域补充调查，对保护区资源状况开展定期评估。施工期</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年，运营期前3年，每年列支</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万元，共计预算</w:t>
            </w:r>
            <w:r>
              <w:rPr>
                <w:rFonts w:hint="eastAsia" w:ascii="Times New Roman" w:hAnsi="Times New Roman" w:eastAsia="宋体" w:cs="Times New Roman"/>
                <w:color w:val="auto"/>
                <w:lang w:val="en-US" w:eastAsia="zh-CN"/>
              </w:rPr>
              <w:t>4</w:t>
            </w:r>
            <w:r>
              <w:rPr>
                <w:rFonts w:hint="eastAsia" w:ascii="Times New Roman" w:hAnsi="Times New Roman" w:eastAsia="宋体" w:cs="Times New Roman"/>
                <w:color w:val="auto"/>
              </w:rPr>
              <w:t>万元。</w:t>
            </w:r>
          </w:p>
        </w:tc>
      </w:tr>
      <w:tr w14:paraId="6A9B774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660" w:type="dxa"/>
            <w:noWrap w:val="0"/>
            <w:vAlign w:val="center"/>
          </w:tcPr>
          <w:p w14:paraId="6A3E9DCB">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二</w:t>
            </w:r>
            <w:r>
              <w:rPr>
                <w:rFonts w:hint="eastAsia" w:ascii="Times New Roman" w:hAnsi="Times New Roman" w:eastAsia="宋体" w:cs="Times New Roman"/>
                <w:color w:val="auto"/>
              </w:rPr>
              <w:t>、鱼类</w:t>
            </w:r>
            <w:r>
              <w:rPr>
                <w:rFonts w:hint="default" w:ascii="Times New Roman" w:hAnsi="Times New Roman" w:eastAsia="宋体" w:cs="Times New Roman"/>
                <w:color w:val="auto"/>
              </w:rPr>
              <w:t>栖息地修复</w:t>
            </w:r>
          </w:p>
        </w:tc>
        <w:tc>
          <w:tcPr>
            <w:tcW w:w="992" w:type="dxa"/>
            <w:noWrap w:val="0"/>
            <w:vAlign w:val="center"/>
          </w:tcPr>
          <w:p w14:paraId="669E7A6E">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3</w:t>
            </w:r>
          </w:p>
        </w:tc>
        <w:tc>
          <w:tcPr>
            <w:tcW w:w="1251" w:type="dxa"/>
            <w:noWrap w:val="0"/>
            <w:vAlign w:val="center"/>
          </w:tcPr>
          <w:p w14:paraId="1EA722EF">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1</w:t>
            </w:r>
          </w:p>
        </w:tc>
        <w:tc>
          <w:tcPr>
            <w:tcW w:w="9315" w:type="dxa"/>
            <w:noWrap w:val="0"/>
            <w:vAlign w:val="center"/>
          </w:tcPr>
          <w:p w14:paraId="2D5A5ACA">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在码头附近进行水生植被修复，建设人工鱼巢，改善鱼类生境，为鱼类提供适宜的产卵和索饵场所。运营期3年，每年预算1万元，共计3万元。</w:t>
            </w:r>
          </w:p>
        </w:tc>
      </w:tr>
      <w:tr w14:paraId="020139C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PrEx>
        <w:trPr>
          <w:trHeight w:val="369" w:hRule="atLeast"/>
          <w:jc w:val="center"/>
        </w:trPr>
        <w:tc>
          <w:tcPr>
            <w:tcW w:w="2660" w:type="dxa"/>
            <w:noWrap w:val="0"/>
            <w:vAlign w:val="center"/>
          </w:tcPr>
          <w:p w14:paraId="1EB0143C">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三</w:t>
            </w:r>
            <w:r>
              <w:rPr>
                <w:rFonts w:hint="default" w:ascii="Times New Roman" w:hAnsi="Times New Roman" w:eastAsia="宋体" w:cs="Times New Roman"/>
                <w:color w:val="auto"/>
              </w:rPr>
              <w:t>、水生生物科普宣教</w:t>
            </w:r>
          </w:p>
        </w:tc>
        <w:tc>
          <w:tcPr>
            <w:tcW w:w="992" w:type="dxa"/>
            <w:noWrap w:val="0"/>
            <w:vAlign w:val="center"/>
          </w:tcPr>
          <w:p w14:paraId="33CA37F8">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4</w:t>
            </w:r>
          </w:p>
        </w:tc>
        <w:tc>
          <w:tcPr>
            <w:tcW w:w="1251" w:type="dxa"/>
            <w:noWrap w:val="0"/>
            <w:vAlign w:val="center"/>
          </w:tcPr>
          <w:p w14:paraId="062F0CC4">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1</w:t>
            </w:r>
          </w:p>
        </w:tc>
        <w:tc>
          <w:tcPr>
            <w:tcW w:w="9315" w:type="dxa"/>
            <w:noWrap w:val="0"/>
            <w:vAlign w:val="center"/>
          </w:tcPr>
          <w:p w14:paraId="7C96CC9F">
            <w:pPr>
              <w:keepNext w:val="0"/>
              <w:keepLines w:val="0"/>
              <w:suppressLineNumbers w:val="0"/>
              <w:spacing w:before="0" w:beforeAutospacing="0" w:after="0" w:afterAutospacing="0" w:line="300" w:lineRule="exact"/>
              <w:ind w:left="0" w:right="0"/>
              <w:rPr>
                <w:rFonts w:hint="default" w:ascii="Times New Roman" w:hAnsi="Times New Roman" w:eastAsia="宋体" w:cs="Times New Roman"/>
                <w:color w:val="auto"/>
              </w:rPr>
            </w:pPr>
            <w:r>
              <w:rPr>
                <w:rFonts w:hint="eastAsia" w:ascii="Times New Roman" w:hAnsi="Times New Roman" w:eastAsia="宋体" w:cs="Times New Roman"/>
                <w:color w:val="auto"/>
              </w:rPr>
              <w:t>开展水生生物保护培训、加强保护宣传、进行媒体宣传等保护宣传措施。施工期2年，运营期前3年，每年列支1万元，共计预算</w:t>
            </w:r>
            <w:r>
              <w:rPr>
                <w:rFonts w:hint="eastAsia" w:ascii="Times New Roman" w:hAnsi="Times New Roman" w:eastAsia="宋体" w:cs="Times New Roman"/>
                <w:color w:val="auto"/>
                <w:lang w:val="en-US" w:eastAsia="zh-CN"/>
              </w:rPr>
              <w:t>4</w:t>
            </w:r>
            <w:r>
              <w:rPr>
                <w:rFonts w:hint="eastAsia" w:ascii="Times New Roman" w:hAnsi="Times New Roman" w:eastAsia="宋体" w:cs="Times New Roman"/>
                <w:color w:val="auto"/>
              </w:rPr>
              <w:t>万元。</w:t>
            </w:r>
          </w:p>
        </w:tc>
      </w:tr>
      <w:tr w14:paraId="0A2A988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660" w:type="dxa"/>
            <w:noWrap w:val="0"/>
            <w:vAlign w:val="center"/>
          </w:tcPr>
          <w:p w14:paraId="20355FF3">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四</w:t>
            </w:r>
            <w:r>
              <w:rPr>
                <w:rFonts w:hint="default" w:ascii="Times New Roman" w:hAnsi="Times New Roman" w:eastAsia="宋体" w:cs="Times New Roman"/>
                <w:color w:val="auto"/>
              </w:rPr>
              <w:t>、协助巡护</w:t>
            </w:r>
          </w:p>
        </w:tc>
        <w:tc>
          <w:tcPr>
            <w:tcW w:w="992" w:type="dxa"/>
            <w:noWrap w:val="0"/>
            <w:vAlign w:val="center"/>
          </w:tcPr>
          <w:p w14:paraId="1316E5F0">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4</w:t>
            </w:r>
          </w:p>
        </w:tc>
        <w:tc>
          <w:tcPr>
            <w:tcW w:w="1251" w:type="dxa"/>
            <w:noWrap w:val="0"/>
            <w:vAlign w:val="center"/>
          </w:tcPr>
          <w:p w14:paraId="12990909">
            <w:pPr>
              <w:keepNext w:val="0"/>
              <w:keepLines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1</w:t>
            </w:r>
          </w:p>
        </w:tc>
        <w:tc>
          <w:tcPr>
            <w:tcW w:w="9315" w:type="dxa"/>
            <w:noWrap w:val="0"/>
            <w:vAlign w:val="center"/>
          </w:tcPr>
          <w:p w14:paraId="61D4AE8E">
            <w:pPr>
              <w:keepNext w:val="0"/>
              <w:keepLines w:val="0"/>
              <w:suppressLineNumbers w:val="0"/>
              <w:spacing w:before="0" w:beforeAutospacing="0" w:after="0" w:afterAutospacing="0" w:line="300" w:lineRule="exact"/>
              <w:ind w:left="0" w:right="0"/>
              <w:rPr>
                <w:rFonts w:hint="eastAsia" w:ascii="Times New Roman" w:hAnsi="Times New Roman" w:eastAsia="宋体" w:cs="Times New Roman"/>
                <w:color w:val="auto"/>
              </w:rPr>
            </w:pPr>
            <w:r>
              <w:rPr>
                <w:rFonts w:hint="eastAsia" w:ascii="Times New Roman" w:hAnsi="Times New Roman" w:eastAsia="宋体" w:cs="Times New Roman"/>
                <w:color w:val="auto"/>
              </w:rPr>
              <w:t>利用现有的巡护队，协助保护区管理部门对保护区内非法渔业生产活动进行巡护、管理等工作。施工期</w:t>
            </w:r>
            <w:r>
              <w:rPr>
                <w:rFonts w:hint="eastAsia" w:ascii="Times New Roman" w:hAnsi="Times New Roman" w:eastAsia="宋体" w:cs="Times New Roman"/>
                <w:color w:val="auto"/>
                <w:lang w:val="en-US" w:eastAsia="zh-CN"/>
              </w:rPr>
              <w:t>1</w:t>
            </w:r>
            <w:r>
              <w:rPr>
                <w:rFonts w:hint="eastAsia" w:ascii="Times New Roman" w:hAnsi="Times New Roman" w:eastAsia="宋体" w:cs="Times New Roman"/>
                <w:color w:val="auto"/>
              </w:rPr>
              <w:t>年，运营期前3年，每年列支1万元，共计预算</w:t>
            </w:r>
            <w:r>
              <w:rPr>
                <w:rFonts w:hint="eastAsia" w:ascii="Times New Roman" w:hAnsi="Times New Roman" w:eastAsia="宋体" w:cs="Times New Roman"/>
                <w:color w:val="auto"/>
                <w:lang w:val="en-US" w:eastAsia="zh-CN"/>
              </w:rPr>
              <w:t>4</w:t>
            </w:r>
            <w:r>
              <w:rPr>
                <w:rFonts w:hint="eastAsia" w:ascii="Times New Roman" w:hAnsi="Times New Roman" w:eastAsia="宋体" w:cs="Times New Roman"/>
                <w:color w:val="auto"/>
              </w:rPr>
              <w:t>万元。</w:t>
            </w:r>
          </w:p>
        </w:tc>
      </w:tr>
      <w:tr w14:paraId="00A39CE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660" w:type="dxa"/>
            <w:noWrap w:val="0"/>
            <w:vAlign w:val="center"/>
          </w:tcPr>
          <w:p w14:paraId="51AC8C73">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合计</w:t>
            </w:r>
          </w:p>
        </w:tc>
        <w:tc>
          <w:tcPr>
            <w:tcW w:w="992" w:type="dxa"/>
            <w:noWrap w:val="0"/>
            <w:vAlign w:val="center"/>
          </w:tcPr>
          <w:p w14:paraId="0DD31AA1">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w:t>
            </w:r>
          </w:p>
        </w:tc>
        <w:tc>
          <w:tcPr>
            <w:tcW w:w="1251" w:type="dxa"/>
            <w:noWrap w:val="0"/>
            <w:vAlign w:val="center"/>
          </w:tcPr>
          <w:p w14:paraId="7FEEBBB9">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15</w:t>
            </w:r>
          </w:p>
        </w:tc>
        <w:tc>
          <w:tcPr>
            <w:tcW w:w="9315" w:type="dxa"/>
            <w:noWrap w:val="0"/>
            <w:vAlign w:val="center"/>
          </w:tcPr>
          <w:p w14:paraId="5551FC3E">
            <w:pPr>
              <w:keepNext w:val="0"/>
              <w:keepLines w:val="0"/>
              <w:suppressLineNumbers w:val="0"/>
              <w:spacing w:before="0" w:beforeAutospacing="0" w:after="0" w:afterAutospacing="0" w:line="300" w:lineRule="exact"/>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w:t>
            </w:r>
          </w:p>
        </w:tc>
      </w:tr>
    </w:tbl>
    <w:p w14:paraId="6EC953C7">
      <w:pPr>
        <w:numPr>
          <w:ilvl w:val="0"/>
          <w:numId w:val="0"/>
        </w:numPr>
        <w:rPr>
          <w:color w:val="auto"/>
        </w:rPr>
        <w:sectPr>
          <w:pgSz w:w="16838" w:h="11906" w:orient="landscape"/>
          <w:pgMar w:top="1418" w:right="1418" w:bottom="1418" w:left="1418" w:header="851" w:footer="851" w:gutter="0"/>
          <w:pgBorders>
            <w:top w:val="none" w:sz="0" w:space="0"/>
            <w:left w:val="none" w:sz="0" w:space="0"/>
            <w:bottom w:val="none" w:sz="0" w:space="0"/>
            <w:right w:val="none" w:sz="0" w:space="0"/>
          </w:pgBorders>
          <w:cols w:space="720" w:num="1"/>
          <w:docGrid w:type="lines" w:linePitch="312" w:charSpace="0"/>
        </w:sectPr>
      </w:pPr>
    </w:p>
    <w:p w14:paraId="07A1799A">
      <w:pPr>
        <w:pStyle w:val="4"/>
        <w:numPr>
          <w:ilvl w:val="0"/>
          <w:numId w:val="0"/>
        </w:numPr>
        <w:rPr>
          <w:rFonts w:hint="eastAsia" w:eastAsia="黑体"/>
          <w:color w:val="auto"/>
          <w:lang w:val="en-US" w:eastAsia="zh-CN"/>
        </w:rPr>
      </w:pPr>
      <w:r>
        <w:rPr>
          <w:rFonts w:hint="eastAsia"/>
          <w:color w:val="auto"/>
          <w:lang w:val="en-US" w:eastAsia="zh-CN"/>
        </w:rPr>
        <w:t>6.2</w:t>
      </w:r>
      <w:r>
        <w:rPr>
          <w:rFonts w:hint="eastAsia"/>
          <w:color w:val="auto"/>
        </w:rPr>
        <w:t>.7</w:t>
      </w:r>
      <w:r>
        <w:rPr>
          <w:rFonts w:hint="eastAsia"/>
          <w:color w:val="auto"/>
          <w:lang w:val="en-US" w:eastAsia="zh-CN"/>
        </w:rPr>
        <w:t>运营期</w:t>
      </w:r>
      <w:r>
        <w:rPr>
          <w:color w:val="auto"/>
        </w:rPr>
        <w:t>环境风险防范措施</w:t>
      </w:r>
      <w:r>
        <w:rPr>
          <w:rFonts w:hint="eastAsia"/>
          <w:color w:val="auto"/>
          <w:lang w:val="en-US" w:eastAsia="zh-CN"/>
        </w:rPr>
        <w:t>及应急预案</w:t>
      </w:r>
    </w:p>
    <w:p w14:paraId="5A272666">
      <w:pPr>
        <w:keepNext/>
        <w:keepLines/>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3"/>
        <w:rPr>
          <w:rFonts w:ascii="Times New Roman" w:hAnsi="Times New Roman" w:eastAsia="黑体" w:cs="Times New Roman"/>
          <w:bCs/>
          <w:color w:val="auto"/>
          <w:kern w:val="2"/>
          <w:sz w:val="28"/>
          <w:szCs w:val="32"/>
          <w:lang w:val="en-US" w:eastAsia="zh-CN" w:bidi="ar-SA"/>
        </w:rPr>
      </w:pPr>
      <w:r>
        <w:rPr>
          <w:rFonts w:hint="eastAsia" w:eastAsia="黑体" w:cs="Times New Roman"/>
          <w:bCs/>
          <w:color w:val="auto"/>
          <w:kern w:val="2"/>
          <w:sz w:val="24"/>
          <w:szCs w:val="28"/>
          <w:lang w:val="en-US" w:eastAsia="zh-CN" w:bidi="ar-SA"/>
        </w:rPr>
        <w:t>6.2</w:t>
      </w:r>
      <w:r>
        <w:rPr>
          <w:rFonts w:hint="eastAsia" w:ascii="Times New Roman" w:hAnsi="Times New Roman" w:eastAsia="黑体" w:cs="Times New Roman"/>
          <w:bCs/>
          <w:color w:val="auto"/>
          <w:kern w:val="2"/>
          <w:sz w:val="24"/>
          <w:szCs w:val="28"/>
          <w:lang w:val="en-US" w:eastAsia="zh-CN" w:bidi="ar-SA"/>
        </w:rPr>
        <w:t>.7.2</w:t>
      </w:r>
      <w:r>
        <w:rPr>
          <w:rFonts w:hint="eastAsia" w:eastAsia="黑体" w:cs="Times New Roman"/>
          <w:bCs/>
          <w:color w:val="auto"/>
          <w:kern w:val="2"/>
          <w:sz w:val="24"/>
          <w:szCs w:val="28"/>
          <w:lang w:val="en-US" w:eastAsia="zh-CN" w:bidi="ar-SA"/>
        </w:rPr>
        <w:t>运营期</w:t>
      </w:r>
      <w:r>
        <w:rPr>
          <w:rFonts w:hint="eastAsia" w:ascii="Times New Roman" w:hAnsi="Times New Roman" w:eastAsia="黑体" w:cs="Times New Roman"/>
          <w:bCs/>
          <w:color w:val="auto"/>
          <w:kern w:val="2"/>
          <w:sz w:val="24"/>
          <w:szCs w:val="28"/>
          <w:lang w:val="en-US" w:eastAsia="zh-CN" w:bidi="ar-SA"/>
        </w:rPr>
        <w:t>环境风险防范措施</w:t>
      </w:r>
    </w:p>
    <w:p w14:paraId="7A45652F">
      <w:pPr>
        <w:keepNext/>
        <w:keepLines/>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4"/>
        <w:rPr>
          <w:rFonts w:ascii="Times New Roman" w:hAnsi="Times New Roman" w:eastAsia="黑体" w:cs="Times New Roman"/>
          <w:bCs/>
          <w:color w:val="auto"/>
          <w:kern w:val="2"/>
          <w:sz w:val="24"/>
          <w:szCs w:val="28"/>
          <w:lang w:val="en-US" w:eastAsia="zh-CN" w:bidi="ar-SA"/>
        </w:rPr>
      </w:pPr>
      <w:r>
        <w:rPr>
          <w:rFonts w:hint="eastAsia" w:eastAsia="黑体" w:cs="Times New Roman"/>
          <w:bCs/>
          <w:color w:val="auto"/>
          <w:kern w:val="2"/>
          <w:sz w:val="24"/>
          <w:szCs w:val="28"/>
          <w:lang w:val="en-US" w:eastAsia="zh-CN" w:bidi="ar-SA"/>
        </w:rPr>
        <w:t>6.2</w:t>
      </w:r>
      <w:r>
        <w:rPr>
          <w:rFonts w:hint="eastAsia" w:ascii="Times New Roman" w:hAnsi="Times New Roman" w:eastAsia="黑体" w:cs="Times New Roman"/>
          <w:bCs/>
          <w:color w:val="auto"/>
          <w:kern w:val="2"/>
          <w:sz w:val="24"/>
          <w:szCs w:val="28"/>
          <w:lang w:val="en-US" w:eastAsia="zh-CN" w:bidi="ar-SA"/>
        </w:rPr>
        <w:t>.7.2.1溢油泄漏风险防范措施</w:t>
      </w:r>
    </w:p>
    <w:p w14:paraId="015A8AD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运营期港区船舶交通事故是导致溢油事故的主要原因，溢油事故的发生多与船舶航行和停泊的地理条件、气象海况、运输装载的货种、船舶密度、导助航条件以及船舶驾驶和管理人员的素质有关。因此，需要从以下几个方面对溢油事故进行防范：</w:t>
      </w:r>
    </w:p>
    <w:p w14:paraId="17DD86F9">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w:t>
      </w:r>
      <w:r>
        <w:rPr>
          <w:rFonts w:ascii="Times New Roman" w:hAnsi="Times New Roman" w:eastAsia="宋体" w:cs="Calibri"/>
          <w:color w:val="auto"/>
          <w:kern w:val="2"/>
          <w:sz w:val="24"/>
          <w:szCs w:val="24"/>
          <w:lang w:val="en-US" w:eastAsia="zh-CN" w:bidi="ar-SA"/>
        </w:rPr>
        <w:t>1</w:t>
      </w:r>
      <w:r>
        <w:rPr>
          <w:rFonts w:hint="eastAsia" w:ascii="Times New Roman" w:hAnsi="Times New Roman" w:eastAsia="宋体" w:cs="Calibri"/>
          <w:color w:val="auto"/>
          <w:kern w:val="2"/>
          <w:sz w:val="24"/>
          <w:szCs w:val="24"/>
          <w:lang w:val="en-US" w:eastAsia="zh-CN" w:bidi="ar-SA"/>
        </w:rPr>
        <w:t>）建立健全的船舶交通管制系统和安全保障系统，为进出港船舶创造必要的适航条件，辅以安全的助导航设施，避免船舶事故的发生。</w:t>
      </w:r>
    </w:p>
    <w:p w14:paraId="1547035F">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w:t>
      </w:r>
      <w:r>
        <w:rPr>
          <w:rFonts w:ascii="Times New Roman" w:hAnsi="Times New Roman" w:eastAsia="宋体" w:cs="Calibri"/>
          <w:color w:val="auto"/>
          <w:kern w:val="2"/>
          <w:sz w:val="24"/>
          <w:szCs w:val="24"/>
          <w:lang w:val="en-US" w:eastAsia="zh-CN" w:bidi="ar-SA"/>
        </w:rPr>
        <w:t>2</w:t>
      </w:r>
      <w:r>
        <w:rPr>
          <w:rFonts w:hint="eastAsia" w:ascii="Times New Roman" w:hAnsi="Times New Roman" w:eastAsia="宋体" w:cs="Calibri"/>
          <w:color w:val="auto"/>
          <w:kern w:val="2"/>
          <w:sz w:val="24"/>
          <w:szCs w:val="24"/>
          <w:lang w:val="en-US" w:eastAsia="zh-CN" w:bidi="ar-SA"/>
        </w:rPr>
        <w:t>）加强对作业人员操作技能和环保意识的培训，确保按照规范进行操作，树立良好的风险安全意识，减小因人为因素导致的溢油事故的</w:t>
      </w:r>
      <w:r>
        <w:rPr>
          <w:rFonts w:hint="eastAsia" w:cs="Calibri"/>
          <w:color w:val="auto"/>
          <w:kern w:val="2"/>
          <w:sz w:val="24"/>
          <w:szCs w:val="24"/>
          <w:lang w:val="en-US" w:eastAsia="zh-CN" w:bidi="ar-SA"/>
        </w:rPr>
        <w:t>发生概率</w:t>
      </w:r>
      <w:r>
        <w:rPr>
          <w:rFonts w:hint="eastAsia" w:ascii="Times New Roman" w:hAnsi="Times New Roman" w:eastAsia="宋体" w:cs="Calibri"/>
          <w:color w:val="auto"/>
          <w:kern w:val="2"/>
          <w:sz w:val="24"/>
          <w:szCs w:val="24"/>
          <w:lang w:val="en-US" w:eastAsia="zh-CN" w:bidi="ar-SA"/>
        </w:rPr>
        <w:t>。</w:t>
      </w:r>
    </w:p>
    <w:p w14:paraId="36760133">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w:t>
      </w:r>
      <w:r>
        <w:rPr>
          <w:rFonts w:ascii="Times New Roman" w:hAnsi="Times New Roman" w:eastAsia="宋体" w:cs="Calibri"/>
          <w:color w:val="auto"/>
          <w:kern w:val="2"/>
          <w:sz w:val="24"/>
          <w:szCs w:val="24"/>
          <w:lang w:val="en-US" w:eastAsia="zh-CN" w:bidi="ar-SA"/>
        </w:rPr>
        <w:t>3</w:t>
      </w:r>
      <w:r>
        <w:rPr>
          <w:rFonts w:hint="eastAsia" w:ascii="Times New Roman" w:hAnsi="Times New Roman" w:eastAsia="宋体" w:cs="Calibri"/>
          <w:color w:val="auto"/>
          <w:kern w:val="2"/>
          <w:sz w:val="24"/>
          <w:szCs w:val="24"/>
          <w:lang w:val="en-US" w:eastAsia="zh-CN" w:bidi="ar-SA"/>
        </w:rPr>
        <w:t>）应对港区船舶停泊水域和通航水深定期监测。</w:t>
      </w:r>
    </w:p>
    <w:p w14:paraId="09E4534C">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w:t>
      </w:r>
      <w:r>
        <w:rPr>
          <w:rFonts w:ascii="Times New Roman" w:hAnsi="Times New Roman" w:eastAsia="宋体" w:cs="Calibri"/>
          <w:color w:val="auto"/>
          <w:kern w:val="2"/>
          <w:sz w:val="24"/>
          <w:szCs w:val="24"/>
          <w:lang w:val="en-US" w:eastAsia="zh-CN" w:bidi="ar-SA"/>
        </w:rPr>
        <w:t>4</w:t>
      </w:r>
      <w:r>
        <w:rPr>
          <w:rFonts w:hint="eastAsia" w:ascii="Times New Roman" w:hAnsi="Times New Roman" w:eastAsia="宋体" w:cs="Calibri"/>
          <w:color w:val="auto"/>
          <w:kern w:val="2"/>
          <w:sz w:val="24"/>
          <w:szCs w:val="24"/>
          <w:lang w:val="en-US" w:eastAsia="zh-CN" w:bidi="ar-SA"/>
        </w:rPr>
        <w:t>）经常对船舶进行检查，进行必要的维修保养，避免由于机械故障或者出现跑、冒、滴、漏等情况所造成的对水体的污染，船舶燃料油、污染物质等应保存在合适的安全容器中，并放指定地点以免意外泄漏进入水体。</w:t>
      </w:r>
    </w:p>
    <w:p w14:paraId="20B04973">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w:t>
      </w:r>
      <w:r>
        <w:rPr>
          <w:rFonts w:ascii="Times New Roman" w:hAnsi="Times New Roman" w:eastAsia="宋体" w:cs="Calibri"/>
          <w:color w:val="auto"/>
          <w:kern w:val="2"/>
          <w:sz w:val="24"/>
          <w:szCs w:val="24"/>
          <w:lang w:val="en-US" w:eastAsia="zh-CN" w:bidi="ar-SA"/>
        </w:rPr>
        <w:t>5</w:t>
      </w:r>
      <w:r>
        <w:rPr>
          <w:rFonts w:hint="eastAsia" w:ascii="Times New Roman" w:hAnsi="Times New Roman" w:eastAsia="宋体" w:cs="Calibri"/>
          <w:color w:val="auto"/>
          <w:kern w:val="2"/>
          <w:sz w:val="24"/>
          <w:szCs w:val="24"/>
          <w:lang w:val="en-US" w:eastAsia="zh-CN" w:bidi="ar-SA"/>
        </w:rPr>
        <w:t>）根据国家有关法规和条例的要求，船舶应配备《船上油污应急计划》，在人员和器材配备上做到有备无患。</w:t>
      </w:r>
    </w:p>
    <w:p w14:paraId="25B9B5DD">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w:t>
      </w:r>
      <w:r>
        <w:rPr>
          <w:rFonts w:ascii="Times New Roman" w:hAnsi="Times New Roman" w:eastAsia="宋体" w:cs="Calibri"/>
          <w:color w:val="auto"/>
          <w:kern w:val="2"/>
          <w:sz w:val="24"/>
          <w:szCs w:val="24"/>
          <w:lang w:val="en-US" w:eastAsia="zh-CN" w:bidi="ar-SA"/>
        </w:rPr>
        <w:t>6</w:t>
      </w:r>
      <w:r>
        <w:rPr>
          <w:rFonts w:hint="eastAsia" w:ascii="Times New Roman" w:hAnsi="Times New Roman" w:eastAsia="宋体" w:cs="Calibri"/>
          <w:color w:val="auto"/>
          <w:kern w:val="2"/>
          <w:sz w:val="24"/>
          <w:szCs w:val="24"/>
          <w:lang w:val="en-US" w:eastAsia="zh-CN" w:bidi="ar-SA"/>
        </w:rPr>
        <w:t>）完善安全保障系统，建立港区安全监督机构，如港务监督、配置安全保障设施，如通讯联络、船舶导航、助航、引航、航道航标指示、海事警报、气象、海况预报等设施。</w:t>
      </w:r>
    </w:p>
    <w:p w14:paraId="4869DF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w:t>
      </w:r>
      <w:r>
        <w:rPr>
          <w:rFonts w:ascii="Times New Roman" w:hAnsi="Times New Roman" w:eastAsia="宋体" w:cs="Calibri"/>
          <w:color w:val="auto"/>
          <w:kern w:val="2"/>
          <w:sz w:val="24"/>
          <w:szCs w:val="24"/>
          <w:lang w:val="en-US" w:eastAsia="zh-CN" w:bidi="ar-SA"/>
        </w:rPr>
        <w:t>7</w:t>
      </w:r>
      <w:r>
        <w:rPr>
          <w:rFonts w:hint="eastAsia" w:ascii="Times New Roman" w:hAnsi="Times New Roman" w:eastAsia="宋体" w:cs="Calibri"/>
          <w:color w:val="auto"/>
          <w:kern w:val="2"/>
          <w:sz w:val="24"/>
          <w:szCs w:val="24"/>
          <w:lang w:val="en-US" w:eastAsia="zh-CN" w:bidi="ar-SA"/>
        </w:rPr>
        <w:t>）建立溢油应急系统和制定溢油应急计划，港区设置定点和船舶巡回监视系统，并组织协调各作业区人员，事故船舶及当事方共同承担港区附近水域溢油事故的监测监视及报警。对港口有关的作业人员进行培训作为兼职应急队伍，平时由港区管理部门统一组织应急业务培训，熟悉应急设施的操作使用。</w:t>
      </w:r>
    </w:p>
    <w:p w14:paraId="2E64FEFA">
      <w:pPr>
        <w:pStyle w:val="24"/>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（8）管理措施</w:t>
      </w:r>
    </w:p>
    <w:p w14:paraId="6C2C48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t>杜绝溢油事故，主要是从管理方面着手，制定切实可行的管理措施，此外，若发生溢油事故，必须采取相应的应急处理措施，以尽量减轻其所产生的危害。</w:t>
      </w:r>
    </w:p>
    <w:p w14:paraId="01E39D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1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①</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加强环保宣传教育，</w:t>
      </w:r>
      <w:r>
        <w:rPr>
          <w:rFonts w:hint="eastAsia" w:cs="Times New Roman"/>
          <w:color w:val="auto"/>
          <w:sz w:val="24"/>
          <w:lang w:eastAsia="zh-CN"/>
        </w:rPr>
        <w:t>增强</w:t>
      </w:r>
      <w:r>
        <w:rPr>
          <w:rFonts w:ascii="Times New Roman" w:hAnsi="Times New Roman" w:eastAsia="宋体" w:cs="Times New Roman"/>
          <w:color w:val="auto"/>
          <w:sz w:val="24"/>
        </w:rPr>
        <w:t>全体员工的环保意识和安全生产的高度责任感、责任心，增强对溢油事故危害和污染损害严重性的认识。提高实际操作应变能力，避免人为因素造成溢油事故。</w:t>
      </w:r>
    </w:p>
    <w:p w14:paraId="43C6B2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2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②</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制定一整套严格的安全生产操作规章制度，包括船舶交货出港引航员制度、引航员职责、业务技术培训与考核等制度。要建立起一个有效的污染事故防范体系。首先，要建立起一套严格的</w:t>
      </w:r>
      <w:r>
        <w:rPr>
          <w:rFonts w:hint="eastAsia" w:cs="Times New Roman"/>
          <w:color w:val="auto"/>
          <w:sz w:val="24"/>
          <w:lang w:eastAsia="zh-CN"/>
        </w:rPr>
        <w:t>日常</w:t>
      </w:r>
      <w:r>
        <w:rPr>
          <w:rFonts w:ascii="Times New Roman" w:hAnsi="Times New Roman" w:eastAsia="宋体" w:cs="Times New Roman"/>
          <w:color w:val="auto"/>
          <w:sz w:val="24"/>
        </w:rPr>
        <w:t>检查制度。有当班人员的自查，环保科长的日查，各工段的月查和不定期的抽查，环境保护科的季度检查和年度评估总结。对于自查和检查中的不符合，应及时纠正。</w:t>
      </w:r>
    </w:p>
    <w:p w14:paraId="070EDF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highlight w:val="lightGray"/>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3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③</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建立溢油应急体系和制订溢油防治计划。建议建设单位与政府相关管理部门相协调，联合组成抗溢油联网应急系统，成立溢油应急指挥中心。一旦发生溢油事故，应立即报告淮南市海事局应急指挥中心，由该中心指挥进行溢油事故处理。对于油料泄漏，应建立《应急准备和响应程序》。《应急程序》应组织演练，并被证明有效。并应配备足够的人力、物力资源。应保证24小时都有人值班，保证报警系统和通讯联络迅速、畅通，各种器材和交通工具可以随时到位。</w:t>
      </w:r>
    </w:p>
    <w:p w14:paraId="46C7B5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4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④</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配备溢油应急</w:t>
      </w:r>
      <w:r>
        <w:rPr>
          <w:rFonts w:hint="eastAsia" w:ascii="Times New Roman" w:hAnsi="Times New Roman" w:eastAsia="宋体" w:cs="Times New Roman"/>
          <w:color w:val="auto"/>
          <w:sz w:val="24"/>
        </w:rPr>
        <w:t>设</w:t>
      </w:r>
      <w:r>
        <w:rPr>
          <w:rFonts w:ascii="Times New Roman" w:hAnsi="Times New Roman" w:eastAsia="宋体" w:cs="Times New Roman"/>
          <w:color w:val="auto"/>
          <w:sz w:val="24"/>
        </w:rPr>
        <w:t>备及材料，主要有：</w:t>
      </w:r>
    </w:p>
    <w:p w14:paraId="7E660F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1 \* alphabetic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a</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.围油设备</w:t>
      </w:r>
    </w:p>
    <w:p w14:paraId="166A44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t>配备</w:t>
      </w:r>
      <w:r>
        <w:rPr>
          <w:rFonts w:hint="eastAsia" w:ascii="Times New Roman" w:hAnsi="Times New Roman" w:eastAsia="宋体" w:cs="Times New Roman"/>
          <w:color w:val="auto"/>
          <w:sz w:val="24"/>
        </w:rPr>
        <w:t>10</w:t>
      </w:r>
      <w:r>
        <w:rPr>
          <w:rFonts w:ascii="Times New Roman" w:hAnsi="Times New Roman" w:eastAsia="宋体" w:cs="Times New Roman"/>
          <w:color w:val="auto"/>
          <w:sz w:val="24"/>
        </w:rPr>
        <w:t>0m围油栏，围油栏高度80mm。</w:t>
      </w:r>
    </w:p>
    <w:p w14:paraId="4F2686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2 \* alphabetic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b</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.吸油材料</w:t>
      </w:r>
    </w:p>
    <w:p w14:paraId="74DD29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t>目前吸油材料有熔喷聚丙烯材料，其特点是吸油量大、速度快，有油拖把、油忱、油索等型式；另一种为无纺布聚丙烯吸油毡，吸油速率大，贮存占地面积小。吸油材料备用量2</w:t>
      </w:r>
      <w:r>
        <w:rPr>
          <w:rFonts w:hint="eastAsia" w:ascii="Times New Roman" w:hAnsi="Times New Roman" w:eastAsia="宋体" w:cs="Times New Roman"/>
          <w:color w:val="auto"/>
          <w:sz w:val="24"/>
        </w:rPr>
        <w:t>0</w:t>
      </w:r>
      <w:r>
        <w:rPr>
          <w:rFonts w:ascii="Times New Roman" w:hAnsi="Times New Roman" w:eastAsia="宋体" w:cs="Times New Roman"/>
          <w:color w:val="auto"/>
          <w:sz w:val="24"/>
        </w:rPr>
        <w:t>0公斤。</w:t>
      </w:r>
    </w:p>
    <w:p w14:paraId="015E00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3 \* alphabetic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c</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.溢油分散剂</w:t>
      </w:r>
    </w:p>
    <w:p w14:paraId="7F2F6A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t>国产JD86浓缩型分散剂处理能力高于常规型10倍，一般不主张将轻质油乳化至水内，但为了防止成品油溢油发生火灾爆炸，应尽快</w:t>
      </w:r>
      <w:r>
        <w:rPr>
          <w:rFonts w:hint="eastAsia" w:cs="Times New Roman"/>
          <w:color w:val="auto"/>
          <w:sz w:val="24"/>
          <w:lang w:eastAsia="zh-CN"/>
        </w:rPr>
        <w:t>喷洒</w:t>
      </w:r>
      <w:r>
        <w:rPr>
          <w:rFonts w:ascii="Times New Roman" w:hAnsi="Times New Roman" w:eastAsia="宋体" w:cs="Times New Roman"/>
          <w:color w:val="auto"/>
          <w:sz w:val="24"/>
        </w:rPr>
        <w:t>2~4%的浓缩型分散剂的水溶液避免火灾的发生。溢油分散剂备用量100公斤。</w:t>
      </w:r>
    </w:p>
    <w:p w14:paraId="3E80E5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t>加强突发灾害和事故的防范及应急措施，加固船舶靠泊，</w:t>
      </w:r>
      <w:r>
        <w:rPr>
          <w:rFonts w:hint="eastAsia" w:cs="Times New Roman"/>
          <w:color w:val="auto"/>
          <w:sz w:val="24"/>
          <w:lang w:eastAsia="zh-CN"/>
        </w:rPr>
        <w:t>防止</w:t>
      </w:r>
      <w:r>
        <w:rPr>
          <w:rFonts w:ascii="Times New Roman" w:hAnsi="Times New Roman" w:eastAsia="宋体" w:cs="Times New Roman"/>
          <w:color w:val="auto"/>
          <w:sz w:val="24"/>
        </w:rPr>
        <w:t>船舶之间的碰撞。</w:t>
      </w:r>
    </w:p>
    <w:p w14:paraId="5DEE81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t>加强溢油事故的应急措施，当发生溢油事故时，首先应使用围油栏把发生事故的水域圈围起来，而后采用浮油回收船、吸油浮筒、泡沫塑料等设施回收溢油。同时，加强职工人员的安全培训，配套必要的通讯器材，</w:t>
      </w:r>
      <w:r>
        <w:rPr>
          <w:rFonts w:hint="eastAsia" w:cs="Times New Roman"/>
          <w:color w:val="auto"/>
          <w:sz w:val="24"/>
          <w:lang w:eastAsia="zh-CN"/>
        </w:rPr>
        <w:t>制定</w:t>
      </w:r>
      <w:r>
        <w:rPr>
          <w:rFonts w:ascii="Times New Roman" w:hAnsi="Times New Roman" w:eastAsia="宋体" w:cs="Times New Roman"/>
          <w:color w:val="auto"/>
          <w:sz w:val="24"/>
        </w:rPr>
        <w:t>应急计划，确保溢油事故得到及时妥善</w:t>
      </w:r>
      <w:r>
        <w:rPr>
          <w:rFonts w:hint="eastAsia" w:cs="Times New Roman"/>
          <w:color w:val="auto"/>
          <w:sz w:val="24"/>
          <w:lang w:eastAsia="zh-CN"/>
        </w:rPr>
        <w:t>地</w:t>
      </w:r>
      <w:r>
        <w:rPr>
          <w:rFonts w:ascii="Times New Roman" w:hAnsi="Times New Roman" w:eastAsia="宋体" w:cs="Times New Roman"/>
          <w:color w:val="auto"/>
          <w:sz w:val="24"/>
        </w:rPr>
        <w:t>处理。</w:t>
      </w:r>
    </w:p>
    <w:p w14:paraId="272788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5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⑤</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码头应配备围油栏、吸油毡、</w:t>
      </w:r>
      <w:r>
        <w:rPr>
          <w:rFonts w:hint="eastAsia" w:ascii="Times New Roman" w:hAnsi="Times New Roman" w:eastAsia="宋体" w:cs="Times New Roman"/>
          <w:color w:val="auto"/>
          <w:sz w:val="24"/>
        </w:rPr>
        <w:t>溢油分散剂</w:t>
      </w:r>
      <w:r>
        <w:rPr>
          <w:rFonts w:ascii="Times New Roman" w:hAnsi="Times New Roman" w:eastAsia="宋体" w:cs="Times New Roman"/>
          <w:color w:val="auto"/>
          <w:sz w:val="24"/>
        </w:rPr>
        <w:t>等</w:t>
      </w:r>
      <w:r>
        <w:rPr>
          <w:rFonts w:hint="eastAsia" w:ascii="Times New Roman" w:hAnsi="Times New Roman" w:eastAsia="宋体" w:cs="Times New Roman"/>
          <w:color w:val="auto"/>
          <w:sz w:val="24"/>
        </w:rPr>
        <w:t>应急</w:t>
      </w:r>
      <w:r>
        <w:rPr>
          <w:rFonts w:ascii="Times New Roman" w:hAnsi="Times New Roman" w:eastAsia="宋体" w:cs="Times New Roman"/>
          <w:color w:val="auto"/>
          <w:sz w:val="24"/>
        </w:rPr>
        <w:t>物资，以便随时应对溢油事故。溢油事故发生时，应及时赶赴现场，迅速施放围油栏，防止溢油的扩散。立即启动《应急程序》，按预案进行补救。同时迅速报警，请求相关部门支援，协力施救，减少污染和损失。</w:t>
      </w:r>
    </w:p>
    <w:p w14:paraId="44F6C5D7">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6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⑥</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码头各生产和生活场所都应配备相应的消防器材，设置报警系统，一旦发生火灾可及时应对。情况紧急时，可立即启动《应急程序》，按预案进行补救。同时迅速报警，请求消防、公安等部门支援，协力施救，减少污染和损失。</w:t>
      </w:r>
    </w:p>
    <w:p w14:paraId="282E6FBA">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7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⑦</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污染事故发生后，应及时采取措施，尽量减少损失。事后应对事故进行深入调查、分析，找出原因，提出处理意见和整改措施，并形成书面报告，上报公司及市生态环境局。报告应归档。</w:t>
      </w:r>
    </w:p>
    <w:p w14:paraId="46252003">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9</w:t>
      </w:r>
      <w:r>
        <w:rPr>
          <w:rFonts w:ascii="Times New Roman" w:hAnsi="Times New Roman" w:eastAsia="宋体" w:cs="Times New Roman"/>
          <w:color w:val="auto"/>
          <w:sz w:val="24"/>
        </w:rPr>
        <w:t>）风险管理与风险防范措施</w:t>
      </w:r>
    </w:p>
    <w:p w14:paraId="2C300EFD">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船舶在回旋区域调头及码头靠停等都有可能发生事故，这与停泊时的地理条件、气象条件、船舶密度、导/助航条件以及船舶驾驶等因素有关，所以必须采取有效的防范措施减少风险事故发生的可能性。</w:t>
      </w:r>
    </w:p>
    <w:p w14:paraId="3F30D0A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1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①</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港区要接受该辖区内海事部门对船舶交通和船舶报告等方面的协调、监督和管理，在码头前沿和船舶掉头区设置必要的助航等安全保障设施。</w:t>
      </w:r>
    </w:p>
    <w:p w14:paraId="1D0EF197">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2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②</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为避免码头前沿船舶发生碰撞事故，进出码头的船舶必须根据水域船舶动态合理安排进出时间，按照</w:t>
      </w:r>
      <w:r>
        <w:rPr>
          <w:rFonts w:hint="eastAsia" w:cs="Times New Roman"/>
          <w:color w:val="auto"/>
          <w:sz w:val="24"/>
          <w:lang w:eastAsia="zh-CN"/>
        </w:rPr>
        <w:t>交通运输部</w:t>
      </w:r>
      <w:r>
        <w:rPr>
          <w:rFonts w:ascii="Times New Roman" w:hAnsi="Times New Roman" w:eastAsia="宋体" w:cs="Times New Roman"/>
          <w:color w:val="auto"/>
          <w:sz w:val="24"/>
        </w:rPr>
        <w:t>信号管理规定显示信号，加强过往船舶的安全调度管理。建设单位应选择有燃油舱保护措施的标准化船型。</w:t>
      </w:r>
    </w:p>
    <w:p w14:paraId="55675091">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3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③</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制定严格的操作规程，收集实时气象信息，确保进出码头、停靠的安全。</w:t>
      </w:r>
    </w:p>
    <w:p w14:paraId="49425CE9">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4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④</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船舶在发生紧急事件时，应立即采取必要的措施，同时向地方海事部门及有关单位报告。</w:t>
      </w:r>
    </w:p>
    <w:p w14:paraId="6701146F">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5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⑤</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监视船舶进出港过程，提早发现可能出现的事故隐患。</w:t>
      </w:r>
    </w:p>
    <w:p w14:paraId="01A4E880">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6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⑥</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对进出港船舶涉及船员加强管理，提高船员素质，降低</w:t>
      </w:r>
      <w:r>
        <w:rPr>
          <w:rFonts w:hint="eastAsia" w:cs="Times New Roman"/>
          <w:color w:val="auto"/>
          <w:sz w:val="24"/>
          <w:lang w:eastAsia="zh-CN"/>
        </w:rPr>
        <w:t>操作</w:t>
      </w:r>
      <w:r>
        <w:rPr>
          <w:rFonts w:ascii="Times New Roman" w:hAnsi="Times New Roman" w:eastAsia="宋体" w:cs="Times New Roman"/>
          <w:color w:val="auto"/>
          <w:sz w:val="24"/>
        </w:rPr>
        <w:t>失误。</w:t>
      </w:r>
    </w:p>
    <w:p w14:paraId="0C8D4FD9">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7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⑦</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注意气象和水流条件，密切关注航行条件，通过无线电、手机通信等通信手段提醒行驶船舶行驶条件，避免大风、大浪、大雨、大雾等恶劣天气造成事故发生的可能。</w:t>
      </w:r>
    </w:p>
    <w:p w14:paraId="37522EEB">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8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⑧</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码头配备一定数量的围油栏、吸油毡等应急物资，配备应急通讯设施，加强各单位涉及船员、人员的应急意识，一旦发生事故，可及时通知相关单位，启动应急预案。</w:t>
      </w:r>
    </w:p>
    <w:p w14:paraId="7CA3478D">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w:t>
      </w:r>
      <w:r>
        <w:rPr>
          <w:rFonts w:hint="eastAsia" w:ascii="Times New Roman" w:hAnsi="Times New Roman" w:eastAsia="宋体" w:cs="Times New Roman"/>
          <w:color w:val="auto"/>
          <w:sz w:val="24"/>
          <w:lang w:val="en-US" w:eastAsia="zh-CN"/>
        </w:rPr>
        <w:t>10</w:t>
      </w:r>
      <w:r>
        <w:rPr>
          <w:rFonts w:ascii="Times New Roman" w:hAnsi="Times New Roman" w:eastAsia="宋体" w:cs="Times New Roman"/>
          <w:color w:val="auto"/>
          <w:sz w:val="24"/>
        </w:rPr>
        <w:t>）项目所在区域饮用水源地突发环境事件应急预案</w:t>
      </w:r>
    </w:p>
    <w:p w14:paraId="24C232B6">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为有效防范和处置与下游取水口有关的各类突发性环境事件，确保饮用水源地环境安全，保障人民群众饮水安全和身体健康，沿线各生态环境局应制订了饮用水源地突发环境事件应急预案。突发环境事件的应急处理程序主要包括以下</w:t>
      </w:r>
      <w:r>
        <w:rPr>
          <w:rFonts w:ascii="Times New Roman" w:hAnsi="Times New Roman" w:eastAsia="宋体" w:cs="Times New Roman"/>
          <w:color w:val="auto"/>
          <w:sz w:val="24"/>
        </w:rPr>
        <w:t>6</w:t>
      </w:r>
      <w:r>
        <w:rPr>
          <w:rFonts w:hint="eastAsia" w:ascii="Times New Roman" w:hAnsi="Times New Roman" w:eastAsia="宋体" w:cs="Times New Roman"/>
          <w:color w:val="auto"/>
          <w:sz w:val="24"/>
        </w:rPr>
        <w:t>个方面：</w:t>
      </w:r>
    </w:p>
    <w:p w14:paraId="1BA9938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w:instrText>
      </w:r>
      <w:r>
        <w:rPr>
          <w:rFonts w:hint="eastAsia" w:ascii="Times New Roman" w:hAnsi="Times New Roman" w:eastAsia="宋体" w:cs="Times New Roman"/>
          <w:color w:val="auto"/>
          <w:sz w:val="24"/>
        </w:rPr>
        <w:instrText xml:space="preserve">= 1 \* GB3</w:instrText>
      </w:r>
      <w:r>
        <w:rPr>
          <w:rFonts w:ascii="Times New Roman" w:hAnsi="Times New Roman" w:eastAsia="宋体" w:cs="Times New Roman"/>
          <w:color w:val="auto"/>
          <w:sz w:val="24"/>
        </w:rPr>
        <w:instrText xml:space="preserve"> </w:instrText>
      </w:r>
      <w:r>
        <w:rPr>
          <w:rFonts w:ascii="Times New Roman" w:hAnsi="Times New Roman" w:eastAsia="宋体" w:cs="Times New Roman"/>
          <w:color w:val="auto"/>
          <w:sz w:val="24"/>
        </w:rPr>
        <w:fldChar w:fldCharType="separate"/>
      </w:r>
      <w:r>
        <w:rPr>
          <w:rFonts w:hint="eastAsia" w:ascii="Times New Roman" w:hAnsi="Times New Roman" w:eastAsia="宋体" w:cs="Times New Roman"/>
          <w:color w:val="auto"/>
          <w:sz w:val="24"/>
        </w:rPr>
        <w:t>①</w:t>
      </w:r>
      <w:r>
        <w:rPr>
          <w:rFonts w:ascii="Times New Roman" w:hAnsi="Times New Roman" w:eastAsia="宋体" w:cs="Times New Roman"/>
          <w:color w:val="auto"/>
          <w:sz w:val="24"/>
        </w:rPr>
        <w:fldChar w:fldCharType="end"/>
      </w:r>
      <w:r>
        <w:rPr>
          <w:rFonts w:hint="eastAsia" w:ascii="Times New Roman" w:hAnsi="Times New Roman" w:eastAsia="宋体" w:cs="Times New Roman"/>
          <w:color w:val="auto"/>
          <w:sz w:val="24"/>
        </w:rPr>
        <w:t>应急组织指挥体系与职责</w:t>
      </w:r>
    </w:p>
    <w:p w14:paraId="19374478">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沿线各生态环境局应设立饮用水源地突发环境事件应急工作领导小组，下设办公室和饮用水源地应急先遣小组、饮用水源地应急监察小组、饮用水源地应急监测小组等各专业应急小组。各</w:t>
      </w:r>
      <w:r>
        <w:rPr>
          <w:rFonts w:hint="eastAsia" w:cs="Times New Roman"/>
          <w:color w:val="auto"/>
          <w:sz w:val="24"/>
          <w:lang w:eastAsia="zh-CN"/>
        </w:rPr>
        <w:t>县（市、区）</w:t>
      </w:r>
      <w:r>
        <w:rPr>
          <w:rFonts w:hint="eastAsia" w:ascii="Times New Roman" w:hAnsi="Times New Roman" w:eastAsia="宋体" w:cs="Times New Roman"/>
          <w:color w:val="auto"/>
          <w:sz w:val="24"/>
        </w:rPr>
        <w:t>生态环境局成立相应的饮用水源地突发环境事件应急组织体系。</w:t>
      </w:r>
    </w:p>
    <w:p w14:paraId="43688DDF">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饮用水源地应急先遣小组：由沿线各市环境应急处理中心组建，接到饮用水源地应急事件报警后，在第一时间到达事故现场，了解掌握事故情况，并及时上报饮用水源地应急领导小组；配合现场有关部门划定警戒范围，维护现场秩序，控制事态发展；完成局饮用水源地应急领导小组交办的其他任务。</w:t>
      </w:r>
    </w:p>
    <w:p w14:paraId="57B58F3B">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饮用水源地应急监察小组：由沿线各市环境监察支队组建，负责监督检查饮用水源地主管单位和饮用水源地保护区内突发环境事件防控重点单位的风险防范与应急处置预案的制订工作；负责饮用水源地应急事件所造成的环境污染和生态破坏情况的调查、取证，提出处理建议；完成饮用水源地应急领导小组交办的其他任务。</w:t>
      </w:r>
    </w:p>
    <w:p w14:paraId="32940D1E">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饮用水源地应急监测小组：由沿线各市环境监测中心站组建，负责制订饮用水源地应急事件应急监测预案并组织实施演练；开展现场污染状况的应急监测和跟踪监测，确定污染物种类、浓度及污染范围，根据监测数据科学分析污染变化趋势，为指挥部及时做出科学决策提供技术支持；完成饮用水源地应急领导小组交办的其他任务。</w:t>
      </w:r>
    </w:p>
    <w:p w14:paraId="050B8601">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各</w:t>
      </w:r>
      <w:r>
        <w:rPr>
          <w:rFonts w:hint="eastAsia" w:cs="Times New Roman"/>
          <w:color w:val="auto"/>
          <w:sz w:val="24"/>
          <w:lang w:eastAsia="zh-CN"/>
        </w:rPr>
        <w:t>县（市、区）</w:t>
      </w:r>
      <w:r>
        <w:rPr>
          <w:rFonts w:hint="eastAsia" w:ascii="Times New Roman" w:hAnsi="Times New Roman" w:eastAsia="宋体" w:cs="Times New Roman"/>
          <w:color w:val="auto"/>
          <w:sz w:val="24"/>
        </w:rPr>
        <w:t>生态环境局：负责本辖区饮用水源地突发环境应急事件防范与处置的日常工作；按规定及时向市生态环境局报送本辖区饮用水源地应急事件的相关信息；参与全市饮用水源地应急事件处置的各项工作；完成市环保局交办的其他任务。</w:t>
      </w:r>
    </w:p>
    <w:p w14:paraId="36A39F83">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②应急响应方法</w:t>
      </w:r>
    </w:p>
    <w:p w14:paraId="32020730">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●沿线各市环境应急处理中心接到各类饮用水源地应急事件报警信息后，立即指令饮用水源地应急先遣小组在第一时间到达事故现场，并了解掌握事件的详细情况，及时向饮用水源地应急领导小组报告。</w:t>
      </w:r>
    </w:p>
    <w:p w14:paraId="32ADCC38">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●饮用水源地应急领导小组根据事件现场的情况报告及时做出初步评估，并根据评估结果向市突发环境事件应急处置领导小组提出启动应急预案或转事件发生地政府处理的建议。</w:t>
      </w:r>
    </w:p>
    <w:p w14:paraId="32742815">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●饮用水源地应急领导小组启动本预案后，立即指令饮用水源地应急监测小组赶赴现场，开展饮用水源地应急监测，并根据事件具体情况，指令饮用水源地应急监察小组，参与事件的应急处置。</w:t>
      </w:r>
    </w:p>
    <w:p w14:paraId="66DD6C0D">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●在事件得到有效处置，满足应急终止条件时，饮用水源地应急领导小组向市政府提出饮用水源地应急终止的建议。</w:t>
      </w:r>
    </w:p>
    <w:p w14:paraId="0F8B9E06">
      <w:pPr>
        <w:spacing w:line="360" w:lineRule="auto"/>
        <w:ind w:firstLine="480" w:firstLineChars="200"/>
        <w:jc w:val="left"/>
        <w:rPr>
          <w:rFonts w:ascii="Times New Roman" w:hAnsi="Times New Roman" w:eastAsia="宋体" w:cs="Times New Roman"/>
          <w:color w:val="auto"/>
          <w:sz w:val="24"/>
        </w:rPr>
      </w:pPr>
      <w:r>
        <w:rPr>
          <w:rFonts w:hint="eastAsia" w:ascii="Times New Roman" w:hAnsi="Times New Roman" w:eastAsia="宋体" w:cs="Times New Roman"/>
          <w:color w:val="auto"/>
          <w:sz w:val="24"/>
        </w:rPr>
        <w:t>●饮用水源地应急终止后，饮用水源地应急领导小组组织编制事件总结报告，并上报市政府</w:t>
      </w:r>
      <w:r>
        <w:rPr>
          <w:rFonts w:ascii="Times New Roman" w:hAnsi="Times New Roman" w:eastAsia="宋体" w:cs="Times New Roman"/>
          <w:color w:val="auto"/>
          <w:sz w:val="24"/>
        </w:rPr>
        <w:t>。</w:t>
      </w:r>
    </w:p>
    <w:p w14:paraId="6FEFAB85">
      <w:pPr>
        <w:keepNext/>
        <w:keepLines/>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4"/>
        <w:rPr>
          <w:rFonts w:hint="eastAsia" w:ascii="Times New Roman" w:hAnsi="Times New Roman" w:eastAsia="黑体" w:cs="Times New Roman"/>
          <w:bCs/>
          <w:color w:val="auto"/>
          <w:kern w:val="2"/>
          <w:sz w:val="24"/>
          <w:szCs w:val="28"/>
          <w:lang w:val="en-US" w:eastAsia="zh-CN" w:bidi="ar-SA"/>
        </w:rPr>
      </w:pPr>
      <w:r>
        <w:rPr>
          <w:rFonts w:hint="eastAsia" w:eastAsia="黑体" w:cs="Times New Roman"/>
          <w:bCs/>
          <w:color w:val="auto"/>
          <w:kern w:val="2"/>
          <w:sz w:val="24"/>
          <w:szCs w:val="28"/>
          <w:lang w:val="en-US" w:eastAsia="zh-CN" w:bidi="ar-SA"/>
        </w:rPr>
        <w:t>6.2</w:t>
      </w:r>
      <w:r>
        <w:rPr>
          <w:rFonts w:hint="eastAsia" w:ascii="Times New Roman" w:hAnsi="Times New Roman" w:eastAsia="黑体" w:cs="Times New Roman"/>
          <w:bCs/>
          <w:color w:val="auto"/>
          <w:kern w:val="2"/>
          <w:sz w:val="24"/>
          <w:szCs w:val="28"/>
          <w:lang w:val="en-US" w:eastAsia="zh-CN" w:bidi="ar-SA"/>
        </w:rPr>
        <w:t>.7.2.2火灾事故风险防范措施</w:t>
      </w:r>
    </w:p>
    <w:p w14:paraId="2D769B27">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（1）严格控制设备质量及其安装质量</w:t>
      </w:r>
    </w:p>
    <w:p w14:paraId="1E112BF0">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fldChar w:fldCharType="begin"/>
      </w:r>
      <w:r>
        <w:rPr>
          <w:rFonts w:ascii="Times New Roman" w:hAnsi="Times New Roman" w:eastAsia="宋体" w:cs="Calibri"/>
          <w:color w:val="auto"/>
          <w:kern w:val="2"/>
          <w:sz w:val="24"/>
          <w:szCs w:val="24"/>
          <w:lang w:val="en-US" w:eastAsia="zh-CN" w:bidi="ar-SA"/>
        </w:rPr>
        <w:instrText xml:space="preserve"> </w:instrText>
      </w:r>
      <w:r>
        <w:rPr>
          <w:rFonts w:hint="eastAsia" w:ascii="Times New Roman" w:hAnsi="Times New Roman" w:eastAsia="宋体" w:cs="Calibri"/>
          <w:color w:val="auto"/>
          <w:kern w:val="2"/>
          <w:sz w:val="24"/>
          <w:szCs w:val="24"/>
          <w:lang w:val="en-US" w:eastAsia="zh-CN" w:bidi="ar-SA"/>
        </w:rPr>
        <w:instrText xml:space="preserve">= 1 \* GB3</w:instrText>
      </w:r>
      <w:r>
        <w:rPr>
          <w:rFonts w:ascii="Times New Roman" w:hAnsi="Times New Roman" w:eastAsia="宋体" w:cs="Calibri"/>
          <w:color w:val="auto"/>
          <w:kern w:val="2"/>
          <w:sz w:val="24"/>
          <w:szCs w:val="24"/>
          <w:lang w:val="en-US" w:eastAsia="zh-CN" w:bidi="ar-SA"/>
        </w:rPr>
        <w:instrText xml:space="preserve"> </w:instrText>
      </w:r>
      <w:r>
        <w:rPr>
          <w:rFonts w:ascii="Times New Roman" w:hAnsi="Times New Roman" w:eastAsia="宋体" w:cs="Calibri"/>
          <w:color w:val="auto"/>
          <w:kern w:val="2"/>
          <w:sz w:val="24"/>
          <w:szCs w:val="24"/>
          <w:lang w:val="en-US" w:eastAsia="zh-CN" w:bidi="ar-SA"/>
        </w:rPr>
        <w:fldChar w:fldCharType="separate"/>
      </w:r>
      <w:r>
        <w:rPr>
          <w:rFonts w:hint="eastAsia" w:ascii="Times New Roman" w:hAnsi="Times New Roman" w:eastAsia="宋体" w:cs="Calibri"/>
          <w:color w:val="auto"/>
          <w:kern w:val="2"/>
          <w:sz w:val="24"/>
          <w:szCs w:val="24"/>
          <w:lang w:val="en-US" w:eastAsia="zh-CN" w:bidi="ar-SA"/>
        </w:rPr>
        <w:t>①</w:t>
      </w:r>
      <w:r>
        <w:rPr>
          <w:rFonts w:ascii="Times New Roman" w:hAnsi="Times New Roman" w:eastAsia="宋体" w:cs="Calibri"/>
          <w:color w:val="auto"/>
          <w:kern w:val="2"/>
          <w:sz w:val="24"/>
          <w:szCs w:val="24"/>
          <w:lang w:val="en-US" w:eastAsia="zh-CN" w:bidi="ar-SA"/>
        </w:rPr>
        <w:fldChar w:fldCharType="end"/>
      </w:r>
      <w:r>
        <w:rPr>
          <w:rFonts w:hint="eastAsia" w:ascii="Times New Roman" w:hAnsi="Times New Roman" w:eastAsia="宋体" w:cs="Calibri"/>
          <w:color w:val="auto"/>
          <w:kern w:val="2"/>
          <w:sz w:val="24"/>
          <w:szCs w:val="24"/>
          <w:lang w:val="en-US" w:eastAsia="zh-CN" w:bidi="ar-SA"/>
        </w:rPr>
        <w:t>泵、阀、管线等设备及其配套设备要选用合格产品，并把好安装质量关；</w:t>
      </w:r>
    </w:p>
    <w:p w14:paraId="2F9F696A">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fldChar w:fldCharType="begin"/>
      </w:r>
      <w:r>
        <w:rPr>
          <w:rFonts w:ascii="Times New Roman" w:hAnsi="Times New Roman" w:eastAsia="宋体" w:cs="Calibri"/>
          <w:color w:val="auto"/>
          <w:kern w:val="2"/>
          <w:sz w:val="24"/>
          <w:szCs w:val="24"/>
          <w:lang w:val="en-US" w:eastAsia="zh-CN" w:bidi="ar-SA"/>
        </w:rPr>
        <w:instrText xml:space="preserve"> </w:instrText>
      </w:r>
      <w:r>
        <w:rPr>
          <w:rFonts w:hint="eastAsia" w:ascii="Times New Roman" w:hAnsi="Times New Roman" w:eastAsia="宋体" w:cs="Calibri"/>
          <w:color w:val="auto"/>
          <w:kern w:val="2"/>
          <w:sz w:val="24"/>
          <w:szCs w:val="24"/>
          <w:lang w:val="en-US" w:eastAsia="zh-CN" w:bidi="ar-SA"/>
        </w:rPr>
        <w:instrText xml:space="preserve">= 2 \* GB3</w:instrText>
      </w:r>
      <w:r>
        <w:rPr>
          <w:rFonts w:ascii="Times New Roman" w:hAnsi="Times New Roman" w:eastAsia="宋体" w:cs="Calibri"/>
          <w:color w:val="auto"/>
          <w:kern w:val="2"/>
          <w:sz w:val="24"/>
          <w:szCs w:val="24"/>
          <w:lang w:val="en-US" w:eastAsia="zh-CN" w:bidi="ar-SA"/>
        </w:rPr>
        <w:instrText xml:space="preserve"> </w:instrText>
      </w:r>
      <w:r>
        <w:rPr>
          <w:rFonts w:ascii="Times New Roman" w:hAnsi="Times New Roman" w:eastAsia="宋体" w:cs="Calibri"/>
          <w:color w:val="auto"/>
          <w:kern w:val="2"/>
          <w:sz w:val="24"/>
          <w:szCs w:val="24"/>
          <w:lang w:val="en-US" w:eastAsia="zh-CN" w:bidi="ar-SA"/>
        </w:rPr>
        <w:fldChar w:fldCharType="separate"/>
      </w:r>
      <w:r>
        <w:rPr>
          <w:rFonts w:hint="eastAsia" w:ascii="Times New Roman" w:hAnsi="Times New Roman" w:eastAsia="宋体" w:cs="Calibri"/>
          <w:color w:val="auto"/>
          <w:kern w:val="2"/>
          <w:sz w:val="24"/>
          <w:szCs w:val="24"/>
          <w:lang w:val="en-US" w:eastAsia="zh-CN" w:bidi="ar-SA"/>
        </w:rPr>
        <w:t>②</w:t>
      </w:r>
      <w:r>
        <w:rPr>
          <w:rFonts w:ascii="Times New Roman" w:hAnsi="Times New Roman" w:eastAsia="宋体" w:cs="Calibri"/>
          <w:color w:val="auto"/>
          <w:kern w:val="2"/>
          <w:sz w:val="24"/>
          <w:szCs w:val="24"/>
          <w:lang w:val="en-US" w:eastAsia="zh-CN" w:bidi="ar-SA"/>
        </w:rPr>
        <w:fldChar w:fldCharType="end"/>
      </w:r>
      <w:r>
        <w:rPr>
          <w:rFonts w:hint="eastAsia" w:ascii="Times New Roman" w:hAnsi="Times New Roman" w:eastAsia="宋体" w:cs="Calibri"/>
          <w:color w:val="auto"/>
          <w:kern w:val="2"/>
          <w:sz w:val="24"/>
          <w:szCs w:val="24"/>
          <w:lang w:val="en-US" w:eastAsia="zh-CN" w:bidi="ar-SA"/>
        </w:rPr>
        <w:t>管道等有关设施在投产前要按要求进行试压；</w:t>
      </w:r>
    </w:p>
    <w:p w14:paraId="2D8FA57E">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fldChar w:fldCharType="begin"/>
      </w:r>
      <w:r>
        <w:rPr>
          <w:rFonts w:ascii="Times New Roman" w:hAnsi="Times New Roman" w:eastAsia="宋体" w:cs="Calibri"/>
          <w:color w:val="auto"/>
          <w:kern w:val="2"/>
          <w:sz w:val="24"/>
          <w:szCs w:val="24"/>
          <w:lang w:val="en-US" w:eastAsia="zh-CN" w:bidi="ar-SA"/>
        </w:rPr>
        <w:instrText xml:space="preserve"> </w:instrText>
      </w:r>
      <w:r>
        <w:rPr>
          <w:rFonts w:hint="eastAsia" w:ascii="Times New Roman" w:hAnsi="Times New Roman" w:eastAsia="宋体" w:cs="Calibri"/>
          <w:color w:val="auto"/>
          <w:kern w:val="2"/>
          <w:sz w:val="24"/>
          <w:szCs w:val="24"/>
          <w:lang w:val="en-US" w:eastAsia="zh-CN" w:bidi="ar-SA"/>
        </w:rPr>
        <w:instrText xml:space="preserve">= 3 \* GB3</w:instrText>
      </w:r>
      <w:r>
        <w:rPr>
          <w:rFonts w:ascii="Times New Roman" w:hAnsi="Times New Roman" w:eastAsia="宋体" w:cs="Calibri"/>
          <w:color w:val="auto"/>
          <w:kern w:val="2"/>
          <w:sz w:val="24"/>
          <w:szCs w:val="24"/>
          <w:lang w:val="en-US" w:eastAsia="zh-CN" w:bidi="ar-SA"/>
        </w:rPr>
        <w:instrText xml:space="preserve"> </w:instrText>
      </w:r>
      <w:r>
        <w:rPr>
          <w:rFonts w:ascii="Times New Roman" w:hAnsi="Times New Roman" w:eastAsia="宋体" w:cs="Calibri"/>
          <w:color w:val="auto"/>
          <w:kern w:val="2"/>
          <w:sz w:val="24"/>
          <w:szCs w:val="24"/>
          <w:lang w:val="en-US" w:eastAsia="zh-CN" w:bidi="ar-SA"/>
        </w:rPr>
        <w:fldChar w:fldCharType="separate"/>
      </w:r>
      <w:r>
        <w:rPr>
          <w:rFonts w:hint="eastAsia" w:ascii="Times New Roman" w:hAnsi="Times New Roman" w:eastAsia="宋体" w:cs="Calibri"/>
          <w:color w:val="auto"/>
          <w:kern w:val="2"/>
          <w:sz w:val="24"/>
          <w:szCs w:val="24"/>
          <w:lang w:val="en-US" w:eastAsia="zh-CN" w:bidi="ar-SA"/>
        </w:rPr>
        <w:t>③</w:t>
      </w:r>
      <w:r>
        <w:rPr>
          <w:rFonts w:ascii="Times New Roman" w:hAnsi="Times New Roman" w:eastAsia="宋体" w:cs="Calibri"/>
          <w:color w:val="auto"/>
          <w:kern w:val="2"/>
          <w:sz w:val="24"/>
          <w:szCs w:val="24"/>
          <w:lang w:val="en-US" w:eastAsia="zh-CN" w:bidi="ar-SA"/>
        </w:rPr>
        <w:fldChar w:fldCharType="end"/>
      </w:r>
      <w:r>
        <w:rPr>
          <w:rFonts w:hint="eastAsia" w:ascii="Times New Roman" w:hAnsi="Times New Roman" w:eastAsia="宋体" w:cs="Calibri"/>
          <w:color w:val="auto"/>
          <w:kern w:val="2"/>
          <w:sz w:val="24"/>
          <w:szCs w:val="24"/>
          <w:lang w:val="en-US" w:eastAsia="zh-CN" w:bidi="ar-SA"/>
        </w:rPr>
        <w:t>按规定要求，在易燃易爆场所选用合格的</w:t>
      </w:r>
      <w:r>
        <w:rPr>
          <w:rFonts w:hint="eastAsia" w:cs="Calibri"/>
          <w:color w:val="auto"/>
          <w:kern w:val="2"/>
          <w:sz w:val="24"/>
          <w:szCs w:val="24"/>
          <w:lang w:val="en-US" w:eastAsia="zh-CN" w:bidi="ar-SA"/>
        </w:rPr>
        <w:t>防爆电气设备</w:t>
      </w:r>
      <w:r>
        <w:rPr>
          <w:rFonts w:hint="eastAsia" w:ascii="Times New Roman" w:hAnsi="Times New Roman" w:eastAsia="宋体" w:cs="Calibri"/>
          <w:color w:val="auto"/>
          <w:kern w:val="2"/>
          <w:sz w:val="24"/>
          <w:szCs w:val="24"/>
          <w:lang w:val="en-US" w:eastAsia="zh-CN" w:bidi="ar-SA"/>
        </w:rPr>
        <w:t>；</w:t>
      </w:r>
    </w:p>
    <w:p w14:paraId="6592FA55">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fldChar w:fldCharType="begin"/>
      </w:r>
      <w:r>
        <w:rPr>
          <w:rFonts w:ascii="Times New Roman" w:hAnsi="Times New Roman" w:eastAsia="宋体" w:cs="Calibri"/>
          <w:color w:val="auto"/>
          <w:kern w:val="2"/>
          <w:sz w:val="24"/>
          <w:szCs w:val="24"/>
          <w:lang w:val="en-US" w:eastAsia="zh-CN" w:bidi="ar-SA"/>
        </w:rPr>
        <w:instrText xml:space="preserve"> </w:instrText>
      </w:r>
      <w:r>
        <w:rPr>
          <w:rFonts w:hint="eastAsia" w:ascii="Times New Roman" w:hAnsi="Times New Roman" w:eastAsia="宋体" w:cs="Calibri"/>
          <w:color w:val="auto"/>
          <w:kern w:val="2"/>
          <w:sz w:val="24"/>
          <w:szCs w:val="24"/>
          <w:lang w:val="en-US" w:eastAsia="zh-CN" w:bidi="ar-SA"/>
        </w:rPr>
        <w:instrText xml:space="preserve">= 4 \* GB3</w:instrText>
      </w:r>
      <w:r>
        <w:rPr>
          <w:rFonts w:ascii="Times New Roman" w:hAnsi="Times New Roman" w:eastAsia="宋体" w:cs="Calibri"/>
          <w:color w:val="auto"/>
          <w:kern w:val="2"/>
          <w:sz w:val="24"/>
          <w:szCs w:val="24"/>
          <w:lang w:val="en-US" w:eastAsia="zh-CN" w:bidi="ar-SA"/>
        </w:rPr>
        <w:instrText xml:space="preserve"> </w:instrText>
      </w:r>
      <w:r>
        <w:rPr>
          <w:rFonts w:ascii="Times New Roman" w:hAnsi="Times New Roman" w:eastAsia="宋体" w:cs="Calibri"/>
          <w:color w:val="auto"/>
          <w:kern w:val="2"/>
          <w:sz w:val="24"/>
          <w:szCs w:val="24"/>
          <w:lang w:val="en-US" w:eastAsia="zh-CN" w:bidi="ar-SA"/>
        </w:rPr>
        <w:fldChar w:fldCharType="separate"/>
      </w:r>
      <w:r>
        <w:rPr>
          <w:rFonts w:hint="eastAsia" w:ascii="Times New Roman" w:hAnsi="Times New Roman" w:eastAsia="宋体" w:cs="Calibri"/>
          <w:color w:val="auto"/>
          <w:kern w:val="2"/>
          <w:sz w:val="24"/>
          <w:szCs w:val="24"/>
          <w:lang w:val="en-US" w:eastAsia="zh-CN" w:bidi="ar-SA"/>
        </w:rPr>
        <w:t>④</w:t>
      </w:r>
      <w:r>
        <w:rPr>
          <w:rFonts w:ascii="Times New Roman" w:hAnsi="Times New Roman" w:eastAsia="宋体" w:cs="Calibri"/>
          <w:color w:val="auto"/>
          <w:kern w:val="2"/>
          <w:sz w:val="24"/>
          <w:szCs w:val="24"/>
          <w:lang w:val="en-US" w:eastAsia="zh-CN" w:bidi="ar-SA"/>
        </w:rPr>
        <w:fldChar w:fldCharType="end"/>
      </w:r>
      <w:r>
        <w:rPr>
          <w:rFonts w:hint="eastAsia" w:ascii="Times New Roman" w:hAnsi="Times New Roman" w:eastAsia="宋体" w:cs="Calibri"/>
          <w:color w:val="auto"/>
          <w:kern w:val="2"/>
          <w:sz w:val="24"/>
          <w:szCs w:val="24"/>
          <w:lang w:val="en-US" w:eastAsia="zh-CN" w:bidi="ar-SA"/>
        </w:rPr>
        <w:t>按规定要求，安装电气线路，并定期检查、维修、保养，保持完好状态；</w:t>
      </w:r>
    </w:p>
    <w:p w14:paraId="4229B177">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（2）控制和消除火源</w:t>
      </w:r>
    </w:p>
    <w:p w14:paraId="34A95620">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fldChar w:fldCharType="begin"/>
      </w:r>
      <w:r>
        <w:rPr>
          <w:rFonts w:ascii="Times New Roman" w:hAnsi="Times New Roman" w:eastAsia="宋体" w:cs="Calibri"/>
          <w:color w:val="auto"/>
          <w:kern w:val="2"/>
          <w:sz w:val="24"/>
          <w:szCs w:val="24"/>
          <w:lang w:val="en-US" w:eastAsia="zh-CN" w:bidi="ar-SA"/>
        </w:rPr>
        <w:instrText xml:space="preserve"> </w:instrText>
      </w:r>
      <w:r>
        <w:rPr>
          <w:rFonts w:hint="eastAsia" w:ascii="Times New Roman" w:hAnsi="Times New Roman" w:eastAsia="宋体" w:cs="Calibri"/>
          <w:color w:val="auto"/>
          <w:kern w:val="2"/>
          <w:sz w:val="24"/>
          <w:szCs w:val="24"/>
          <w:lang w:val="en-US" w:eastAsia="zh-CN" w:bidi="ar-SA"/>
        </w:rPr>
        <w:instrText xml:space="preserve">= 1 \* GB3</w:instrText>
      </w:r>
      <w:r>
        <w:rPr>
          <w:rFonts w:ascii="Times New Roman" w:hAnsi="Times New Roman" w:eastAsia="宋体" w:cs="Calibri"/>
          <w:color w:val="auto"/>
          <w:kern w:val="2"/>
          <w:sz w:val="24"/>
          <w:szCs w:val="24"/>
          <w:lang w:val="en-US" w:eastAsia="zh-CN" w:bidi="ar-SA"/>
        </w:rPr>
        <w:instrText xml:space="preserve"> </w:instrText>
      </w:r>
      <w:r>
        <w:rPr>
          <w:rFonts w:ascii="Times New Roman" w:hAnsi="Times New Roman" w:eastAsia="宋体" w:cs="Calibri"/>
          <w:color w:val="auto"/>
          <w:kern w:val="2"/>
          <w:sz w:val="24"/>
          <w:szCs w:val="24"/>
          <w:lang w:val="en-US" w:eastAsia="zh-CN" w:bidi="ar-SA"/>
        </w:rPr>
        <w:fldChar w:fldCharType="separate"/>
      </w:r>
      <w:r>
        <w:rPr>
          <w:rFonts w:hint="eastAsia" w:ascii="Times New Roman" w:hAnsi="Times New Roman" w:eastAsia="宋体" w:cs="Calibri"/>
          <w:color w:val="auto"/>
          <w:kern w:val="2"/>
          <w:sz w:val="24"/>
          <w:szCs w:val="24"/>
          <w:lang w:val="en-US" w:eastAsia="zh-CN" w:bidi="ar-SA"/>
        </w:rPr>
        <w:t>①</w:t>
      </w:r>
      <w:r>
        <w:rPr>
          <w:rFonts w:ascii="Times New Roman" w:hAnsi="Times New Roman" w:eastAsia="宋体" w:cs="Calibri"/>
          <w:color w:val="auto"/>
          <w:kern w:val="2"/>
          <w:sz w:val="24"/>
          <w:szCs w:val="24"/>
          <w:lang w:val="en-US" w:eastAsia="zh-CN" w:bidi="ar-SA"/>
        </w:rPr>
        <w:fldChar w:fldCharType="end"/>
      </w:r>
      <w:r>
        <w:rPr>
          <w:rFonts w:hint="eastAsia" w:ascii="Times New Roman" w:hAnsi="Times New Roman" w:eastAsia="宋体" w:cs="Calibri"/>
          <w:color w:val="auto"/>
          <w:kern w:val="2"/>
          <w:sz w:val="24"/>
          <w:szCs w:val="24"/>
          <w:lang w:val="en-US" w:eastAsia="zh-CN" w:bidi="ar-SA"/>
        </w:rPr>
        <w:t>严禁吸烟、</w:t>
      </w:r>
      <w:r>
        <w:rPr>
          <w:rFonts w:hint="eastAsia" w:cs="Calibri"/>
          <w:color w:val="auto"/>
          <w:kern w:val="2"/>
          <w:sz w:val="24"/>
          <w:szCs w:val="24"/>
          <w:lang w:val="en-US" w:eastAsia="zh-CN" w:bidi="ar-SA"/>
        </w:rPr>
        <w:t>携带火种、穿戴</w:t>
      </w:r>
      <w:r>
        <w:rPr>
          <w:rFonts w:hint="eastAsia" w:ascii="Times New Roman" w:hAnsi="Times New Roman" w:eastAsia="宋体" w:cs="Calibri"/>
          <w:color w:val="auto"/>
          <w:kern w:val="2"/>
          <w:sz w:val="24"/>
          <w:szCs w:val="24"/>
          <w:lang w:val="en-US" w:eastAsia="zh-CN" w:bidi="ar-SA"/>
        </w:rPr>
        <w:t>钉皮鞋进入易燃易爆场所；</w:t>
      </w:r>
    </w:p>
    <w:p w14:paraId="010F42B6">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fldChar w:fldCharType="begin"/>
      </w:r>
      <w:r>
        <w:rPr>
          <w:rFonts w:ascii="Times New Roman" w:hAnsi="Times New Roman" w:eastAsia="宋体" w:cs="Calibri"/>
          <w:color w:val="auto"/>
          <w:kern w:val="2"/>
          <w:sz w:val="24"/>
          <w:szCs w:val="24"/>
          <w:lang w:val="en-US" w:eastAsia="zh-CN" w:bidi="ar-SA"/>
        </w:rPr>
        <w:instrText xml:space="preserve"> </w:instrText>
      </w:r>
      <w:r>
        <w:rPr>
          <w:rFonts w:hint="eastAsia" w:ascii="Times New Roman" w:hAnsi="Times New Roman" w:eastAsia="宋体" w:cs="Calibri"/>
          <w:color w:val="auto"/>
          <w:kern w:val="2"/>
          <w:sz w:val="24"/>
          <w:szCs w:val="24"/>
          <w:lang w:val="en-US" w:eastAsia="zh-CN" w:bidi="ar-SA"/>
        </w:rPr>
        <w:instrText xml:space="preserve">= 2 \* GB3</w:instrText>
      </w:r>
      <w:r>
        <w:rPr>
          <w:rFonts w:ascii="Times New Roman" w:hAnsi="Times New Roman" w:eastAsia="宋体" w:cs="Calibri"/>
          <w:color w:val="auto"/>
          <w:kern w:val="2"/>
          <w:sz w:val="24"/>
          <w:szCs w:val="24"/>
          <w:lang w:val="en-US" w:eastAsia="zh-CN" w:bidi="ar-SA"/>
        </w:rPr>
        <w:instrText xml:space="preserve"> </w:instrText>
      </w:r>
      <w:r>
        <w:rPr>
          <w:rFonts w:ascii="Times New Roman" w:hAnsi="Times New Roman" w:eastAsia="宋体" w:cs="Calibri"/>
          <w:color w:val="auto"/>
          <w:kern w:val="2"/>
          <w:sz w:val="24"/>
          <w:szCs w:val="24"/>
          <w:lang w:val="en-US" w:eastAsia="zh-CN" w:bidi="ar-SA"/>
        </w:rPr>
        <w:fldChar w:fldCharType="separate"/>
      </w:r>
      <w:r>
        <w:rPr>
          <w:rFonts w:hint="eastAsia" w:ascii="Times New Roman" w:hAnsi="Times New Roman" w:eastAsia="宋体" w:cs="Calibri"/>
          <w:color w:val="auto"/>
          <w:kern w:val="2"/>
          <w:sz w:val="24"/>
          <w:szCs w:val="24"/>
          <w:lang w:val="en-US" w:eastAsia="zh-CN" w:bidi="ar-SA"/>
        </w:rPr>
        <w:t>②</w:t>
      </w:r>
      <w:r>
        <w:rPr>
          <w:rFonts w:ascii="Times New Roman" w:hAnsi="Times New Roman" w:eastAsia="宋体" w:cs="Calibri"/>
          <w:color w:val="auto"/>
          <w:kern w:val="2"/>
          <w:sz w:val="24"/>
          <w:szCs w:val="24"/>
          <w:lang w:val="en-US" w:eastAsia="zh-CN" w:bidi="ar-SA"/>
        </w:rPr>
        <w:fldChar w:fldCharType="end"/>
      </w:r>
      <w:r>
        <w:rPr>
          <w:rFonts w:hint="eastAsia" w:ascii="Times New Roman" w:hAnsi="Times New Roman" w:eastAsia="宋体" w:cs="Calibri"/>
          <w:color w:val="auto"/>
          <w:kern w:val="2"/>
          <w:sz w:val="24"/>
          <w:szCs w:val="24"/>
          <w:lang w:val="en-US" w:eastAsia="zh-CN" w:bidi="ar-SA"/>
        </w:rPr>
        <w:t>动火必须严格按动火手续办理动火证，并采取有效防范措施。</w:t>
      </w:r>
    </w:p>
    <w:p w14:paraId="3861B94F">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fldChar w:fldCharType="begin"/>
      </w:r>
      <w:r>
        <w:rPr>
          <w:rFonts w:ascii="Times New Roman" w:hAnsi="Times New Roman" w:eastAsia="宋体" w:cs="Calibri"/>
          <w:color w:val="auto"/>
          <w:kern w:val="2"/>
          <w:sz w:val="24"/>
          <w:szCs w:val="24"/>
          <w:lang w:val="en-US" w:eastAsia="zh-CN" w:bidi="ar-SA"/>
        </w:rPr>
        <w:instrText xml:space="preserve"> </w:instrText>
      </w:r>
      <w:r>
        <w:rPr>
          <w:rFonts w:hint="eastAsia" w:ascii="Times New Roman" w:hAnsi="Times New Roman" w:eastAsia="宋体" w:cs="Calibri"/>
          <w:color w:val="auto"/>
          <w:kern w:val="2"/>
          <w:sz w:val="24"/>
          <w:szCs w:val="24"/>
          <w:lang w:val="en-US" w:eastAsia="zh-CN" w:bidi="ar-SA"/>
        </w:rPr>
        <w:instrText xml:space="preserve">= 3 \* GB3</w:instrText>
      </w:r>
      <w:r>
        <w:rPr>
          <w:rFonts w:ascii="Times New Roman" w:hAnsi="Times New Roman" w:eastAsia="宋体" w:cs="Calibri"/>
          <w:color w:val="auto"/>
          <w:kern w:val="2"/>
          <w:sz w:val="24"/>
          <w:szCs w:val="24"/>
          <w:lang w:val="en-US" w:eastAsia="zh-CN" w:bidi="ar-SA"/>
        </w:rPr>
        <w:instrText xml:space="preserve"> </w:instrText>
      </w:r>
      <w:r>
        <w:rPr>
          <w:rFonts w:ascii="Times New Roman" w:hAnsi="Times New Roman" w:eastAsia="宋体" w:cs="Calibri"/>
          <w:color w:val="auto"/>
          <w:kern w:val="2"/>
          <w:sz w:val="24"/>
          <w:szCs w:val="24"/>
          <w:lang w:val="en-US" w:eastAsia="zh-CN" w:bidi="ar-SA"/>
        </w:rPr>
        <w:fldChar w:fldCharType="separate"/>
      </w:r>
      <w:r>
        <w:rPr>
          <w:rFonts w:hint="eastAsia" w:ascii="Times New Roman" w:hAnsi="Times New Roman" w:eastAsia="宋体" w:cs="Calibri"/>
          <w:color w:val="auto"/>
          <w:kern w:val="2"/>
          <w:sz w:val="24"/>
          <w:szCs w:val="24"/>
          <w:lang w:val="en-US" w:eastAsia="zh-CN" w:bidi="ar-SA"/>
        </w:rPr>
        <w:t>③</w:t>
      </w:r>
      <w:r>
        <w:rPr>
          <w:rFonts w:ascii="Times New Roman" w:hAnsi="Times New Roman" w:eastAsia="宋体" w:cs="Calibri"/>
          <w:color w:val="auto"/>
          <w:kern w:val="2"/>
          <w:sz w:val="24"/>
          <w:szCs w:val="24"/>
          <w:lang w:val="en-US" w:eastAsia="zh-CN" w:bidi="ar-SA"/>
        </w:rPr>
        <w:fldChar w:fldCharType="end"/>
      </w:r>
      <w:r>
        <w:rPr>
          <w:rFonts w:hint="eastAsia" w:ascii="Times New Roman" w:hAnsi="Times New Roman" w:eastAsia="宋体" w:cs="Calibri"/>
          <w:color w:val="auto"/>
          <w:kern w:val="2"/>
          <w:sz w:val="24"/>
          <w:szCs w:val="24"/>
          <w:lang w:val="en-US" w:eastAsia="zh-CN" w:bidi="ar-SA"/>
        </w:rPr>
        <w:t>使用青铜或镀铜工具，严禁钢质工具敲打、撞击、抛掷。</w:t>
      </w:r>
    </w:p>
    <w:p w14:paraId="79ABD2D3">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fldChar w:fldCharType="begin"/>
      </w:r>
      <w:r>
        <w:rPr>
          <w:rFonts w:ascii="Times New Roman" w:hAnsi="Times New Roman" w:eastAsia="宋体" w:cs="Calibri"/>
          <w:color w:val="auto"/>
          <w:kern w:val="2"/>
          <w:sz w:val="24"/>
          <w:szCs w:val="24"/>
          <w:lang w:val="en-US" w:eastAsia="zh-CN" w:bidi="ar-SA"/>
        </w:rPr>
        <w:instrText xml:space="preserve"> </w:instrText>
      </w:r>
      <w:r>
        <w:rPr>
          <w:rFonts w:hint="eastAsia" w:ascii="Times New Roman" w:hAnsi="Times New Roman" w:eastAsia="宋体" w:cs="Calibri"/>
          <w:color w:val="auto"/>
          <w:kern w:val="2"/>
          <w:sz w:val="24"/>
          <w:szCs w:val="24"/>
          <w:lang w:val="en-US" w:eastAsia="zh-CN" w:bidi="ar-SA"/>
        </w:rPr>
        <w:instrText xml:space="preserve">= 4 \* GB3</w:instrText>
      </w:r>
      <w:r>
        <w:rPr>
          <w:rFonts w:ascii="Times New Roman" w:hAnsi="Times New Roman" w:eastAsia="宋体" w:cs="Calibri"/>
          <w:color w:val="auto"/>
          <w:kern w:val="2"/>
          <w:sz w:val="24"/>
          <w:szCs w:val="24"/>
          <w:lang w:val="en-US" w:eastAsia="zh-CN" w:bidi="ar-SA"/>
        </w:rPr>
        <w:instrText xml:space="preserve"> </w:instrText>
      </w:r>
      <w:r>
        <w:rPr>
          <w:rFonts w:ascii="Times New Roman" w:hAnsi="Times New Roman" w:eastAsia="宋体" w:cs="Calibri"/>
          <w:color w:val="auto"/>
          <w:kern w:val="2"/>
          <w:sz w:val="24"/>
          <w:szCs w:val="24"/>
          <w:lang w:val="en-US" w:eastAsia="zh-CN" w:bidi="ar-SA"/>
        </w:rPr>
        <w:fldChar w:fldCharType="separate"/>
      </w:r>
      <w:r>
        <w:rPr>
          <w:rFonts w:hint="eastAsia" w:ascii="Times New Roman" w:hAnsi="Times New Roman" w:eastAsia="宋体" w:cs="Calibri"/>
          <w:color w:val="auto"/>
          <w:kern w:val="2"/>
          <w:sz w:val="24"/>
          <w:szCs w:val="24"/>
          <w:lang w:val="en-US" w:eastAsia="zh-CN" w:bidi="ar-SA"/>
        </w:rPr>
        <w:t>④</w:t>
      </w:r>
      <w:r>
        <w:rPr>
          <w:rFonts w:ascii="Times New Roman" w:hAnsi="Times New Roman" w:eastAsia="宋体" w:cs="Calibri"/>
          <w:color w:val="auto"/>
          <w:kern w:val="2"/>
          <w:sz w:val="24"/>
          <w:szCs w:val="24"/>
          <w:lang w:val="en-US" w:eastAsia="zh-CN" w:bidi="ar-SA"/>
        </w:rPr>
        <w:fldChar w:fldCharType="end"/>
      </w:r>
      <w:r>
        <w:rPr>
          <w:rFonts w:hint="eastAsia" w:ascii="Times New Roman" w:hAnsi="Times New Roman" w:eastAsia="宋体" w:cs="Calibri"/>
          <w:color w:val="auto"/>
          <w:kern w:val="2"/>
          <w:sz w:val="24"/>
          <w:szCs w:val="24"/>
          <w:lang w:val="en-US" w:eastAsia="zh-CN" w:bidi="ar-SA"/>
        </w:rPr>
        <w:t>按规定要求采取防静电措施，安装避雷装置；</w:t>
      </w:r>
    </w:p>
    <w:p w14:paraId="5BEC4EC9">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fldChar w:fldCharType="begin"/>
      </w:r>
      <w:r>
        <w:rPr>
          <w:rFonts w:ascii="Times New Roman" w:hAnsi="Times New Roman" w:eastAsia="宋体" w:cs="Calibri"/>
          <w:color w:val="auto"/>
          <w:kern w:val="2"/>
          <w:sz w:val="24"/>
          <w:szCs w:val="24"/>
          <w:lang w:val="en-US" w:eastAsia="zh-CN" w:bidi="ar-SA"/>
        </w:rPr>
        <w:instrText xml:space="preserve"> </w:instrText>
      </w:r>
      <w:r>
        <w:rPr>
          <w:rFonts w:hint="eastAsia" w:ascii="Times New Roman" w:hAnsi="Times New Roman" w:eastAsia="宋体" w:cs="Calibri"/>
          <w:color w:val="auto"/>
          <w:kern w:val="2"/>
          <w:sz w:val="24"/>
          <w:szCs w:val="24"/>
          <w:lang w:val="en-US" w:eastAsia="zh-CN" w:bidi="ar-SA"/>
        </w:rPr>
        <w:instrText xml:space="preserve">= 5 \* GB3</w:instrText>
      </w:r>
      <w:r>
        <w:rPr>
          <w:rFonts w:ascii="Times New Roman" w:hAnsi="Times New Roman" w:eastAsia="宋体" w:cs="Calibri"/>
          <w:color w:val="auto"/>
          <w:kern w:val="2"/>
          <w:sz w:val="24"/>
          <w:szCs w:val="24"/>
          <w:lang w:val="en-US" w:eastAsia="zh-CN" w:bidi="ar-SA"/>
        </w:rPr>
        <w:instrText xml:space="preserve"> </w:instrText>
      </w:r>
      <w:r>
        <w:rPr>
          <w:rFonts w:ascii="Times New Roman" w:hAnsi="Times New Roman" w:eastAsia="宋体" w:cs="Calibri"/>
          <w:color w:val="auto"/>
          <w:kern w:val="2"/>
          <w:sz w:val="24"/>
          <w:szCs w:val="24"/>
          <w:lang w:val="en-US" w:eastAsia="zh-CN" w:bidi="ar-SA"/>
        </w:rPr>
        <w:fldChar w:fldCharType="separate"/>
      </w:r>
      <w:r>
        <w:rPr>
          <w:rFonts w:hint="eastAsia" w:ascii="Times New Roman" w:hAnsi="Times New Roman" w:eastAsia="宋体" w:cs="Calibri"/>
          <w:color w:val="auto"/>
          <w:kern w:val="2"/>
          <w:sz w:val="24"/>
          <w:szCs w:val="24"/>
          <w:lang w:val="en-US" w:eastAsia="zh-CN" w:bidi="ar-SA"/>
        </w:rPr>
        <w:t>⑤</w:t>
      </w:r>
      <w:r>
        <w:rPr>
          <w:rFonts w:ascii="Times New Roman" w:hAnsi="Times New Roman" w:eastAsia="宋体" w:cs="Calibri"/>
          <w:color w:val="auto"/>
          <w:kern w:val="2"/>
          <w:sz w:val="24"/>
          <w:szCs w:val="24"/>
          <w:lang w:val="en-US" w:eastAsia="zh-CN" w:bidi="ar-SA"/>
        </w:rPr>
        <w:fldChar w:fldCharType="end"/>
      </w:r>
      <w:r>
        <w:rPr>
          <w:rFonts w:hint="eastAsia" w:ascii="Times New Roman" w:hAnsi="Times New Roman" w:eastAsia="宋体" w:cs="Calibri"/>
          <w:color w:val="auto"/>
          <w:kern w:val="2"/>
          <w:sz w:val="24"/>
          <w:szCs w:val="24"/>
          <w:lang w:val="en-US" w:eastAsia="zh-CN" w:bidi="ar-SA"/>
        </w:rPr>
        <w:t>加强管理，严禁与作业无关的人员、车辆进入易燃易爆危险区。</w:t>
      </w:r>
    </w:p>
    <w:p w14:paraId="3B34C04E">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fldChar w:fldCharType="begin"/>
      </w:r>
      <w:r>
        <w:rPr>
          <w:rFonts w:ascii="Times New Roman" w:hAnsi="Times New Roman" w:eastAsia="宋体" w:cs="Calibri"/>
          <w:color w:val="auto"/>
          <w:kern w:val="2"/>
          <w:sz w:val="24"/>
          <w:szCs w:val="24"/>
          <w:lang w:val="en-US" w:eastAsia="zh-CN" w:bidi="ar-SA"/>
        </w:rPr>
        <w:instrText xml:space="preserve"> </w:instrText>
      </w:r>
      <w:r>
        <w:rPr>
          <w:rFonts w:hint="eastAsia" w:ascii="Times New Roman" w:hAnsi="Times New Roman" w:eastAsia="宋体" w:cs="Calibri"/>
          <w:color w:val="auto"/>
          <w:kern w:val="2"/>
          <w:sz w:val="24"/>
          <w:szCs w:val="24"/>
          <w:lang w:val="en-US" w:eastAsia="zh-CN" w:bidi="ar-SA"/>
        </w:rPr>
        <w:instrText xml:space="preserve">= 6 \* GB3</w:instrText>
      </w:r>
      <w:r>
        <w:rPr>
          <w:rFonts w:ascii="Times New Roman" w:hAnsi="Times New Roman" w:eastAsia="宋体" w:cs="Calibri"/>
          <w:color w:val="auto"/>
          <w:kern w:val="2"/>
          <w:sz w:val="24"/>
          <w:szCs w:val="24"/>
          <w:lang w:val="en-US" w:eastAsia="zh-CN" w:bidi="ar-SA"/>
        </w:rPr>
        <w:instrText xml:space="preserve"> </w:instrText>
      </w:r>
      <w:r>
        <w:rPr>
          <w:rFonts w:ascii="Times New Roman" w:hAnsi="Times New Roman" w:eastAsia="宋体" w:cs="Calibri"/>
          <w:color w:val="auto"/>
          <w:kern w:val="2"/>
          <w:sz w:val="24"/>
          <w:szCs w:val="24"/>
          <w:lang w:val="en-US" w:eastAsia="zh-CN" w:bidi="ar-SA"/>
        </w:rPr>
        <w:fldChar w:fldCharType="separate"/>
      </w:r>
      <w:r>
        <w:rPr>
          <w:rFonts w:hint="eastAsia" w:ascii="Times New Roman" w:hAnsi="Times New Roman" w:eastAsia="宋体" w:cs="Calibri"/>
          <w:color w:val="auto"/>
          <w:kern w:val="2"/>
          <w:sz w:val="24"/>
          <w:szCs w:val="24"/>
          <w:lang w:val="en-US" w:eastAsia="zh-CN" w:bidi="ar-SA"/>
        </w:rPr>
        <w:t>⑥</w:t>
      </w:r>
      <w:r>
        <w:rPr>
          <w:rFonts w:ascii="Times New Roman" w:hAnsi="Times New Roman" w:eastAsia="宋体" w:cs="Calibri"/>
          <w:color w:val="auto"/>
          <w:kern w:val="2"/>
          <w:sz w:val="24"/>
          <w:szCs w:val="24"/>
          <w:lang w:val="en-US" w:eastAsia="zh-CN" w:bidi="ar-SA"/>
        </w:rPr>
        <w:fldChar w:fldCharType="end"/>
      </w:r>
      <w:r>
        <w:rPr>
          <w:rFonts w:hint="eastAsia" w:ascii="Times New Roman" w:hAnsi="Times New Roman" w:eastAsia="宋体" w:cs="Calibri"/>
          <w:color w:val="auto"/>
          <w:kern w:val="2"/>
          <w:sz w:val="24"/>
          <w:szCs w:val="24"/>
          <w:lang w:val="en-US" w:eastAsia="zh-CN" w:bidi="ar-SA"/>
        </w:rPr>
        <w:t>转动设备部位要保持清洁，防止因摩擦引起杂物等燃烧；</w:t>
      </w:r>
    </w:p>
    <w:p w14:paraId="0E0E2D52">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（3）加强管理、严格工艺纪律</w:t>
      </w:r>
    </w:p>
    <w:p w14:paraId="4DDA4F46">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fldChar w:fldCharType="begin"/>
      </w:r>
      <w:r>
        <w:rPr>
          <w:rFonts w:ascii="Times New Roman" w:hAnsi="Times New Roman" w:eastAsia="宋体" w:cs="Calibri"/>
          <w:color w:val="auto"/>
          <w:kern w:val="2"/>
          <w:sz w:val="24"/>
          <w:szCs w:val="24"/>
          <w:lang w:val="en-US" w:eastAsia="zh-CN" w:bidi="ar-SA"/>
        </w:rPr>
        <w:instrText xml:space="preserve"> </w:instrText>
      </w:r>
      <w:r>
        <w:rPr>
          <w:rFonts w:hint="eastAsia" w:ascii="Times New Roman" w:hAnsi="Times New Roman" w:eastAsia="宋体" w:cs="Calibri"/>
          <w:color w:val="auto"/>
          <w:kern w:val="2"/>
          <w:sz w:val="24"/>
          <w:szCs w:val="24"/>
          <w:lang w:val="en-US" w:eastAsia="zh-CN" w:bidi="ar-SA"/>
        </w:rPr>
        <w:instrText xml:space="preserve">= 1 \* GB3</w:instrText>
      </w:r>
      <w:r>
        <w:rPr>
          <w:rFonts w:ascii="Times New Roman" w:hAnsi="Times New Roman" w:eastAsia="宋体" w:cs="Calibri"/>
          <w:color w:val="auto"/>
          <w:kern w:val="2"/>
          <w:sz w:val="24"/>
          <w:szCs w:val="24"/>
          <w:lang w:val="en-US" w:eastAsia="zh-CN" w:bidi="ar-SA"/>
        </w:rPr>
        <w:instrText xml:space="preserve"> </w:instrText>
      </w:r>
      <w:r>
        <w:rPr>
          <w:rFonts w:ascii="Times New Roman" w:hAnsi="Times New Roman" w:eastAsia="宋体" w:cs="Calibri"/>
          <w:color w:val="auto"/>
          <w:kern w:val="2"/>
          <w:sz w:val="24"/>
          <w:szCs w:val="24"/>
          <w:lang w:val="en-US" w:eastAsia="zh-CN" w:bidi="ar-SA"/>
        </w:rPr>
        <w:fldChar w:fldCharType="separate"/>
      </w:r>
      <w:r>
        <w:rPr>
          <w:rFonts w:hint="eastAsia" w:ascii="Times New Roman" w:hAnsi="Times New Roman" w:eastAsia="宋体" w:cs="Calibri"/>
          <w:color w:val="auto"/>
          <w:kern w:val="2"/>
          <w:sz w:val="24"/>
          <w:szCs w:val="24"/>
          <w:lang w:val="en-US" w:eastAsia="zh-CN" w:bidi="ar-SA"/>
        </w:rPr>
        <w:t>①</w:t>
      </w:r>
      <w:r>
        <w:rPr>
          <w:rFonts w:ascii="Times New Roman" w:hAnsi="Times New Roman" w:eastAsia="宋体" w:cs="Calibri"/>
          <w:color w:val="auto"/>
          <w:kern w:val="2"/>
          <w:sz w:val="24"/>
          <w:szCs w:val="24"/>
          <w:lang w:val="en-US" w:eastAsia="zh-CN" w:bidi="ar-SA"/>
        </w:rPr>
        <w:fldChar w:fldCharType="end"/>
      </w:r>
      <w:r>
        <w:rPr>
          <w:rFonts w:hint="eastAsia" w:ascii="Times New Roman" w:hAnsi="Times New Roman" w:eastAsia="宋体" w:cs="Calibri"/>
          <w:color w:val="auto"/>
          <w:kern w:val="2"/>
          <w:sz w:val="24"/>
          <w:szCs w:val="24"/>
          <w:lang w:val="en-US" w:eastAsia="zh-CN" w:bidi="ar-SA"/>
        </w:rPr>
        <w:t>投产后对设备要进行定期检查、保养、维修，保持完好状态；</w:t>
      </w:r>
    </w:p>
    <w:p w14:paraId="60571C96">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fldChar w:fldCharType="begin"/>
      </w:r>
      <w:r>
        <w:rPr>
          <w:rFonts w:ascii="Times New Roman" w:hAnsi="Times New Roman" w:eastAsia="宋体" w:cs="Calibri"/>
          <w:color w:val="auto"/>
          <w:kern w:val="2"/>
          <w:sz w:val="24"/>
          <w:szCs w:val="24"/>
          <w:lang w:val="en-US" w:eastAsia="zh-CN" w:bidi="ar-SA"/>
        </w:rPr>
        <w:instrText xml:space="preserve"> </w:instrText>
      </w:r>
      <w:r>
        <w:rPr>
          <w:rFonts w:hint="eastAsia" w:ascii="Times New Roman" w:hAnsi="Times New Roman" w:eastAsia="宋体" w:cs="Calibri"/>
          <w:color w:val="auto"/>
          <w:kern w:val="2"/>
          <w:sz w:val="24"/>
          <w:szCs w:val="24"/>
          <w:lang w:val="en-US" w:eastAsia="zh-CN" w:bidi="ar-SA"/>
        </w:rPr>
        <w:instrText xml:space="preserve">= 2 \* GB3</w:instrText>
      </w:r>
      <w:r>
        <w:rPr>
          <w:rFonts w:ascii="Times New Roman" w:hAnsi="Times New Roman" w:eastAsia="宋体" w:cs="Calibri"/>
          <w:color w:val="auto"/>
          <w:kern w:val="2"/>
          <w:sz w:val="24"/>
          <w:szCs w:val="24"/>
          <w:lang w:val="en-US" w:eastAsia="zh-CN" w:bidi="ar-SA"/>
        </w:rPr>
        <w:instrText xml:space="preserve"> </w:instrText>
      </w:r>
      <w:r>
        <w:rPr>
          <w:rFonts w:ascii="Times New Roman" w:hAnsi="Times New Roman" w:eastAsia="宋体" w:cs="Calibri"/>
          <w:color w:val="auto"/>
          <w:kern w:val="2"/>
          <w:sz w:val="24"/>
          <w:szCs w:val="24"/>
          <w:lang w:val="en-US" w:eastAsia="zh-CN" w:bidi="ar-SA"/>
        </w:rPr>
        <w:fldChar w:fldCharType="separate"/>
      </w:r>
      <w:r>
        <w:rPr>
          <w:rFonts w:hint="eastAsia" w:ascii="Times New Roman" w:hAnsi="Times New Roman" w:eastAsia="宋体" w:cs="Calibri"/>
          <w:color w:val="auto"/>
          <w:kern w:val="2"/>
          <w:sz w:val="24"/>
          <w:szCs w:val="24"/>
          <w:lang w:val="en-US" w:eastAsia="zh-CN" w:bidi="ar-SA"/>
        </w:rPr>
        <w:t>②</w:t>
      </w:r>
      <w:r>
        <w:rPr>
          <w:rFonts w:ascii="Times New Roman" w:hAnsi="Times New Roman" w:eastAsia="宋体" w:cs="Calibri"/>
          <w:color w:val="auto"/>
          <w:kern w:val="2"/>
          <w:sz w:val="24"/>
          <w:szCs w:val="24"/>
          <w:lang w:val="en-US" w:eastAsia="zh-CN" w:bidi="ar-SA"/>
        </w:rPr>
        <w:fldChar w:fldCharType="end"/>
      </w:r>
      <w:r>
        <w:rPr>
          <w:rFonts w:hint="eastAsia" w:ascii="Times New Roman" w:hAnsi="Times New Roman" w:eastAsia="宋体" w:cs="Calibri"/>
          <w:color w:val="auto"/>
          <w:kern w:val="2"/>
          <w:sz w:val="24"/>
          <w:szCs w:val="24"/>
          <w:lang w:val="en-US" w:eastAsia="zh-CN" w:bidi="ar-SA"/>
        </w:rPr>
        <w:t>坚持巡回检查，发现问题及时处理；</w:t>
      </w:r>
    </w:p>
    <w:p w14:paraId="6B2AB80F">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fldChar w:fldCharType="begin"/>
      </w:r>
      <w:r>
        <w:rPr>
          <w:rFonts w:ascii="Times New Roman" w:hAnsi="Times New Roman" w:eastAsia="宋体" w:cs="Calibri"/>
          <w:color w:val="auto"/>
          <w:kern w:val="2"/>
          <w:sz w:val="24"/>
          <w:szCs w:val="24"/>
          <w:lang w:val="en-US" w:eastAsia="zh-CN" w:bidi="ar-SA"/>
        </w:rPr>
        <w:instrText xml:space="preserve"> </w:instrText>
      </w:r>
      <w:r>
        <w:rPr>
          <w:rFonts w:hint="eastAsia" w:ascii="Times New Roman" w:hAnsi="Times New Roman" w:eastAsia="宋体" w:cs="Calibri"/>
          <w:color w:val="auto"/>
          <w:kern w:val="2"/>
          <w:sz w:val="24"/>
          <w:szCs w:val="24"/>
          <w:lang w:val="en-US" w:eastAsia="zh-CN" w:bidi="ar-SA"/>
        </w:rPr>
        <w:instrText xml:space="preserve">= 3 \* GB3</w:instrText>
      </w:r>
      <w:r>
        <w:rPr>
          <w:rFonts w:ascii="Times New Roman" w:hAnsi="Times New Roman" w:eastAsia="宋体" w:cs="Calibri"/>
          <w:color w:val="auto"/>
          <w:kern w:val="2"/>
          <w:sz w:val="24"/>
          <w:szCs w:val="24"/>
          <w:lang w:val="en-US" w:eastAsia="zh-CN" w:bidi="ar-SA"/>
        </w:rPr>
        <w:instrText xml:space="preserve"> </w:instrText>
      </w:r>
      <w:r>
        <w:rPr>
          <w:rFonts w:ascii="Times New Roman" w:hAnsi="Times New Roman" w:eastAsia="宋体" w:cs="Calibri"/>
          <w:color w:val="auto"/>
          <w:kern w:val="2"/>
          <w:sz w:val="24"/>
          <w:szCs w:val="24"/>
          <w:lang w:val="en-US" w:eastAsia="zh-CN" w:bidi="ar-SA"/>
        </w:rPr>
        <w:fldChar w:fldCharType="separate"/>
      </w:r>
      <w:r>
        <w:rPr>
          <w:rFonts w:hint="eastAsia" w:ascii="Times New Roman" w:hAnsi="Times New Roman" w:eastAsia="宋体" w:cs="Calibri"/>
          <w:color w:val="auto"/>
          <w:kern w:val="2"/>
          <w:sz w:val="24"/>
          <w:szCs w:val="24"/>
          <w:lang w:val="en-US" w:eastAsia="zh-CN" w:bidi="ar-SA"/>
        </w:rPr>
        <w:t>③</w:t>
      </w:r>
      <w:r>
        <w:rPr>
          <w:rFonts w:ascii="Times New Roman" w:hAnsi="Times New Roman" w:eastAsia="宋体" w:cs="Calibri"/>
          <w:color w:val="auto"/>
          <w:kern w:val="2"/>
          <w:sz w:val="24"/>
          <w:szCs w:val="24"/>
          <w:lang w:val="en-US" w:eastAsia="zh-CN" w:bidi="ar-SA"/>
        </w:rPr>
        <w:fldChar w:fldCharType="end"/>
      </w:r>
      <w:r>
        <w:rPr>
          <w:rFonts w:hint="eastAsia" w:ascii="Times New Roman" w:hAnsi="Times New Roman" w:eastAsia="宋体" w:cs="Calibri"/>
          <w:color w:val="auto"/>
          <w:kern w:val="2"/>
          <w:sz w:val="24"/>
          <w:szCs w:val="24"/>
          <w:lang w:val="en-US" w:eastAsia="zh-CN" w:bidi="ar-SA"/>
        </w:rPr>
        <w:t>检查有否违章现象；</w:t>
      </w:r>
    </w:p>
    <w:p w14:paraId="20C36441">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fldChar w:fldCharType="begin"/>
      </w:r>
      <w:r>
        <w:rPr>
          <w:rFonts w:ascii="Times New Roman" w:hAnsi="Times New Roman" w:eastAsia="宋体" w:cs="Calibri"/>
          <w:color w:val="auto"/>
          <w:kern w:val="2"/>
          <w:sz w:val="24"/>
          <w:szCs w:val="24"/>
          <w:lang w:val="en-US" w:eastAsia="zh-CN" w:bidi="ar-SA"/>
        </w:rPr>
        <w:instrText xml:space="preserve"> </w:instrText>
      </w:r>
      <w:r>
        <w:rPr>
          <w:rFonts w:hint="eastAsia" w:ascii="Times New Roman" w:hAnsi="Times New Roman" w:eastAsia="宋体" w:cs="Calibri"/>
          <w:color w:val="auto"/>
          <w:kern w:val="2"/>
          <w:sz w:val="24"/>
          <w:szCs w:val="24"/>
          <w:lang w:val="en-US" w:eastAsia="zh-CN" w:bidi="ar-SA"/>
        </w:rPr>
        <w:instrText xml:space="preserve">= 4 \* GB3</w:instrText>
      </w:r>
      <w:r>
        <w:rPr>
          <w:rFonts w:ascii="Times New Roman" w:hAnsi="Times New Roman" w:eastAsia="宋体" w:cs="Calibri"/>
          <w:color w:val="auto"/>
          <w:kern w:val="2"/>
          <w:sz w:val="24"/>
          <w:szCs w:val="24"/>
          <w:lang w:val="en-US" w:eastAsia="zh-CN" w:bidi="ar-SA"/>
        </w:rPr>
        <w:instrText xml:space="preserve"> </w:instrText>
      </w:r>
      <w:r>
        <w:rPr>
          <w:rFonts w:ascii="Times New Roman" w:hAnsi="Times New Roman" w:eastAsia="宋体" w:cs="Calibri"/>
          <w:color w:val="auto"/>
          <w:kern w:val="2"/>
          <w:sz w:val="24"/>
          <w:szCs w:val="24"/>
          <w:lang w:val="en-US" w:eastAsia="zh-CN" w:bidi="ar-SA"/>
        </w:rPr>
        <w:fldChar w:fldCharType="separate"/>
      </w:r>
      <w:r>
        <w:rPr>
          <w:rFonts w:hint="eastAsia" w:ascii="Times New Roman" w:hAnsi="Times New Roman" w:eastAsia="宋体" w:cs="Calibri"/>
          <w:color w:val="auto"/>
          <w:kern w:val="2"/>
          <w:sz w:val="24"/>
          <w:szCs w:val="24"/>
          <w:lang w:val="en-US" w:eastAsia="zh-CN" w:bidi="ar-SA"/>
        </w:rPr>
        <w:t>④</w:t>
      </w:r>
      <w:r>
        <w:rPr>
          <w:rFonts w:ascii="Times New Roman" w:hAnsi="Times New Roman" w:eastAsia="宋体" w:cs="Calibri"/>
          <w:color w:val="auto"/>
          <w:kern w:val="2"/>
          <w:sz w:val="24"/>
          <w:szCs w:val="24"/>
          <w:lang w:val="en-US" w:eastAsia="zh-CN" w:bidi="ar-SA"/>
        </w:rPr>
        <w:fldChar w:fldCharType="end"/>
      </w:r>
      <w:r>
        <w:rPr>
          <w:rFonts w:hint="eastAsia" w:ascii="Times New Roman" w:hAnsi="Times New Roman" w:eastAsia="宋体" w:cs="Calibri"/>
          <w:color w:val="auto"/>
          <w:kern w:val="2"/>
          <w:sz w:val="24"/>
          <w:szCs w:val="24"/>
          <w:lang w:val="en-US" w:eastAsia="zh-CN" w:bidi="ar-SA"/>
        </w:rPr>
        <w:t>加强培训、教育、考核工作；</w:t>
      </w:r>
    </w:p>
    <w:p w14:paraId="384D073C">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fldChar w:fldCharType="begin"/>
      </w:r>
      <w:r>
        <w:rPr>
          <w:rFonts w:ascii="Times New Roman" w:hAnsi="Times New Roman" w:eastAsia="宋体" w:cs="Calibri"/>
          <w:color w:val="auto"/>
          <w:kern w:val="2"/>
          <w:sz w:val="24"/>
          <w:szCs w:val="24"/>
          <w:lang w:val="en-US" w:eastAsia="zh-CN" w:bidi="ar-SA"/>
        </w:rPr>
        <w:instrText xml:space="preserve"> </w:instrText>
      </w:r>
      <w:r>
        <w:rPr>
          <w:rFonts w:hint="eastAsia" w:ascii="Times New Roman" w:hAnsi="Times New Roman" w:eastAsia="宋体" w:cs="Calibri"/>
          <w:color w:val="auto"/>
          <w:kern w:val="2"/>
          <w:sz w:val="24"/>
          <w:szCs w:val="24"/>
          <w:lang w:val="en-US" w:eastAsia="zh-CN" w:bidi="ar-SA"/>
        </w:rPr>
        <w:instrText xml:space="preserve">= 5 \* GB3</w:instrText>
      </w:r>
      <w:r>
        <w:rPr>
          <w:rFonts w:ascii="Times New Roman" w:hAnsi="Times New Roman" w:eastAsia="宋体" w:cs="Calibri"/>
          <w:color w:val="auto"/>
          <w:kern w:val="2"/>
          <w:sz w:val="24"/>
          <w:szCs w:val="24"/>
          <w:lang w:val="en-US" w:eastAsia="zh-CN" w:bidi="ar-SA"/>
        </w:rPr>
        <w:instrText xml:space="preserve"> </w:instrText>
      </w:r>
      <w:r>
        <w:rPr>
          <w:rFonts w:ascii="Times New Roman" w:hAnsi="Times New Roman" w:eastAsia="宋体" w:cs="Calibri"/>
          <w:color w:val="auto"/>
          <w:kern w:val="2"/>
          <w:sz w:val="24"/>
          <w:szCs w:val="24"/>
          <w:lang w:val="en-US" w:eastAsia="zh-CN" w:bidi="ar-SA"/>
        </w:rPr>
        <w:fldChar w:fldCharType="separate"/>
      </w:r>
      <w:r>
        <w:rPr>
          <w:rFonts w:hint="eastAsia" w:ascii="Times New Roman" w:hAnsi="Times New Roman" w:eastAsia="宋体" w:cs="Calibri"/>
          <w:color w:val="auto"/>
          <w:kern w:val="2"/>
          <w:sz w:val="24"/>
          <w:szCs w:val="24"/>
          <w:lang w:val="en-US" w:eastAsia="zh-CN" w:bidi="ar-SA"/>
        </w:rPr>
        <w:t>⑤</w:t>
      </w:r>
      <w:r>
        <w:rPr>
          <w:rFonts w:ascii="Times New Roman" w:hAnsi="Times New Roman" w:eastAsia="宋体" w:cs="Calibri"/>
          <w:color w:val="auto"/>
          <w:kern w:val="2"/>
          <w:sz w:val="24"/>
          <w:szCs w:val="24"/>
          <w:lang w:val="en-US" w:eastAsia="zh-CN" w:bidi="ar-SA"/>
        </w:rPr>
        <w:fldChar w:fldCharType="end"/>
      </w:r>
      <w:r>
        <w:rPr>
          <w:rFonts w:hint="eastAsia" w:ascii="Times New Roman" w:hAnsi="Times New Roman" w:eastAsia="宋体" w:cs="Calibri"/>
          <w:color w:val="auto"/>
          <w:kern w:val="2"/>
          <w:sz w:val="24"/>
          <w:szCs w:val="24"/>
          <w:lang w:val="en-US" w:eastAsia="zh-CN" w:bidi="ar-SA"/>
        </w:rPr>
        <w:t>检修时，必须做好与其他部分的隔离，并且清洗要彻底干净，在分析合格后，</w:t>
      </w:r>
    </w:p>
    <w:p w14:paraId="2E9955D7">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并有现场监护及在通风良好的条件下方能动火；</w:t>
      </w:r>
    </w:p>
    <w:p w14:paraId="7FD3603D">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hint="eastAsia" w:ascii="Times New Roman" w:hAnsi="Times New Roman" w:eastAsia="宋体" w:cs="Calibri"/>
          <w:color w:val="auto"/>
          <w:kern w:val="2"/>
          <w:sz w:val="24"/>
          <w:szCs w:val="24"/>
          <w:lang w:val="en-US" w:eastAsia="zh-CN" w:bidi="ar-SA"/>
        </w:rPr>
        <w:t>（4）安全设施要齐全完好</w:t>
      </w:r>
    </w:p>
    <w:p w14:paraId="42AB8343">
      <w:pPr>
        <w:spacing w:line="360" w:lineRule="auto"/>
        <w:ind w:firstLine="480" w:firstLineChars="200"/>
        <w:jc w:val="both"/>
        <w:rPr>
          <w:rFonts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fldChar w:fldCharType="begin"/>
      </w:r>
      <w:r>
        <w:rPr>
          <w:rFonts w:ascii="Times New Roman" w:hAnsi="Times New Roman" w:eastAsia="宋体" w:cs="Calibri"/>
          <w:color w:val="auto"/>
          <w:kern w:val="2"/>
          <w:sz w:val="24"/>
          <w:szCs w:val="24"/>
          <w:lang w:val="en-US" w:eastAsia="zh-CN" w:bidi="ar-SA"/>
        </w:rPr>
        <w:instrText xml:space="preserve"> </w:instrText>
      </w:r>
      <w:r>
        <w:rPr>
          <w:rFonts w:hint="eastAsia" w:ascii="Times New Roman" w:hAnsi="Times New Roman" w:eastAsia="宋体" w:cs="Calibri"/>
          <w:color w:val="auto"/>
          <w:kern w:val="2"/>
          <w:sz w:val="24"/>
          <w:szCs w:val="24"/>
          <w:lang w:val="en-US" w:eastAsia="zh-CN" w:bidi="ar-SA"/>
        </w:rPr>
        <w:instrText xml:space="preserve">= 1 \* GB3</w:instrText>
      </w:r>
      <w:r>
        <w:rPr>
          <w:rFonts w:ascii="Times New Roman" w:hAnsi="Times New Roman" w:eastAsia="宋体" w:cs="Calibri"/>
          <w:color w:val="auto"/>
          <w:kern w:val="2"/>
          <w:sz w:val="24"/>
          <w:szCs w:val="24"/>
          <w:lang w:val="en-US" w:eastAsia="zh-CN" w:bidi="ar-SA"/>
        </w:rPr>
        <w:instrText xml:space="preserve"> </w:instrText>
      </w:r>
      <w:r>
        <w:rPr>
          <w:rFonts w:ascii="Times New Roman" w:hAnsi="Times New Roman" w:eastAsia="宋体" w:cs="Calibri"/>
          <w:color w:val="auto"/>
          <w:kern w:val="2"/>
          <w:sz w:val="24"/>
          <w:szCs w:val="24"/>
          <w:lang w:val="en-US" w:eastAsia="zh-CN" w:bidi="ar-SA"/>
        </w:rPr>
        <w:fldChar w:fldCharType="separate"/>
      </w:r>
      <w:r>
        <w:rPr>
          <w:rFonts w:hint="eastAsia" w:ascii="Times New Roman" w:hAnsi="Times New Roman" w:eastAsia="宋体" w:cs="Calibri"/>
          <w:color w:val="auto"/>
          <w:kern w:val="2"/>
          <w:sz w:val="24"/>
          <w:szCs w:val="24"/>
          <w:lang w:val="en-US" w:eastAsia="zh-CN" w:bidi="ar-SA"/>
        </w:rPr>
        <w:t>①</w:t>
      </w:r>
      <w:r>
        <w:rPr>
          <w:rFonts w:ascii="Times New Roman" w:hAnsi="Times New Roman" w:eastAsia="宋体" w:cs="Calibri"/>
          <w:color w:val="auto"/>
          <w:kern w:val="2"/>
          <w:sz w:val="24"/>
          <w:szCs w:val="24"/>
          <w:lang w:val="en-US" w:eastAsia="zh-CN" w:bidi="ar-SA"/>
        </w:rPr>
        <w:fldChar w:fldCharType="end"/>
      </w:r>
      <w:r>
        <w:rPr>
          <w:rFonts w:hint="eastAsia" w:ascii="Times New Roman" w:hAnsi="Times New Roman" w:eastAsia="宋体" w:cs="Calibri"/>
          <w:color w:val="auto"/>
          <w:kern w:val="2"/>
          <w:sz w:val="24"/>
          <w:szCs w:val="24"/>
          <w:lang w:val="en-US" w:eastAsia="zh-CN" w:bidi="ar-SA"/>
        </w:rPr>
        <w:t>配齐安全设施，如消防设施等，并保持完好；</w:t>
      </w:r>
    </w:p>
    <w:p w14:paraId="57187E67">
      <w:pPr>
        <w:spacing w:line="360" w:lineRule="auto"/>
        <w:ind w:firstLine="480" w:firstLineChars="200"/>
        <w:jc w:val="both"/>
        <w:rPr>
          <w:rFonts w:hint="eastAsia" w:ascii="Times New Roman" w:hAnsi="Times New Roman" w:eastAsia="宋体" w:cs="Calibri"/>
          <w:color w:val="auto"/>
          <w:kern w:val="2"/>
          <w:sz w:val="24"/>
          <w:szCs w:val="24"/>
          <w:lang w:val="en-US" w:eastAsia="zh-CN" w:bidi="ar-SA"/>
        </w:rPr>
      </w:pPr>
      <w:r>
        <w:rPr>
          <w:rFonts w:ascii="Times New Roman" w:hAnsi="Times New Roman" w:eastAsia="宋体" w:cs="Calibri"/>
          <w:color w:val="auto"/>
          <w:kern w:val="2"/>
          <w:sz w:val="24"/>
          <w:szCs w:val="24"/>
          <w:lang w:val="en-US" w:eastAsia="zh-CN" w:bidi="ar-SA"/>
        </w:rPr>
        <w:fldChar w:fldCharType="begin"/>
      </w:r>
      <w:r>
        <w:rPr>
          <w:rFonts w:ascii="Times New Roman" w:hAnsi="Times New Roman" w:eastAsia="宋体" w:cs="Calibri"/>
          <w:color w:val="auto"/>
          <w:kern w:val="2"/>
          <w:sz w:val="24"/>
          <w:szCs w:val="24"/>
          <w:lang w:val="en-US" w:eastAsia="zh-CN" w:bidi="ar-SA"/>
        </w:rPr>
        <w:instrText xml:space="preserve"> </w:instrText>
      </w:r>
      <w:r>
        <w:rPr>
          <w:rFonts w:hint="eastAsia" w:ascii="Times New Roman" w:hAnsi="Times New Roman" w:eastAsia="宋体" w:cs="Calibri"/>
          <w:color w:val="auto"/>
          <w:kern w:val="2"/>
          <w:sz w:val="24"/>
          <w:szCs w:val="24"/>
          <w:lang w:val="en-US" w:eastAsia="zh-CN" w:bidi="ar-SA"/>
        </w:rPr>
        <w:instrText xml:space="preserve">= 2 \* GB3</w:instrText>
      </w:r>
      <w:r>
        <w:rPr>
          <w:rFonts w:ascii="Times New Roman" w:hAnsi="Times New Roman" w:eastAsia="宋体" w:cs="Calibri"/>
          <w:color w:val="auto"/>
          <w:kern w:val="2"/>
          <w:sz w:val="24"/>
          <w:szCs w:val="24"/>
          <w:lang w:val="en-US" w:eastAsia="zh-CN" w:bidi="ar-SA"/>
        </w:rPr>
        <w:instrText xml:space="preserve"> </w:instrText>
      </w:r>
      <w:r>
        <w:rPr>
          <w:rFonts w:ascii="Times New Roman" w:hAnsi="Times New Roman" w:eastAsia="宋体" w:cs="Calibri"/>
          <w:color w:val="auto"/>
          <w:kern w:val="2"/>
          <w:sz w:val="24"/>
          <w:szCs w:val="24"/>
          <w:lang w:val="en-US" w:eastAsia="zh-CN" w:bidi="ar-SA"/>
        </w:rPr>
        <w:fldChar w:fldCharType="separate"/>
      </w:r>
      <w:r>
        <w:rPr>
          <w:rFonts w:hint="eastAsia" w:ascii="Times New Roman" w:hAnsi="Times New Roman" w:eastAsia="宋体" w:cs="Calibri"/>
          <w:color w:val="auto"/>
          <w:kern w:val="2"/>
          <w:sz w:val="24"/>
          <w:szCs w:val="24"/>
          <w:lang w:val="en-US" w:eastAsia="zh-CN" w:bidi="ar-SA"/>
        </w:rPr>
        <w:t>②</w:t>
      </w:r>
      <w:r>
        <w:rPr>
          <w:rFonts w:ascii="Times New Roman" w:hAnsi="Times New Roman" w:eastAsia="宋体" w:cs="Calibri"/>
          <w:color w:val="auto"/>
          <w:kern w:val="2"/>
          <w:sz w:val="24"/>
          <w:szCs w:val="24"/>
          <w:lang w:val="en-US" w:eastAsia="zh-CN" w:bidi="ar-SA"/>
        </w:rPr>
        <w:fldChar w:fldCharType="end"/>
      </w:r>
      <w:r>
        <w:rPr>
          <w:rFonts w:hint="eastAsia" w:ascii="Times New Roman" w:hAnsi="Times New Roman" w:eastAsia="宋体" w:cs="Calibri"/>
          <w:color w:val="auto"/>
          <w:kern w:val="2"/>
          <w:sz w:val="24"/>
          <w:szCs w:val="24"/>
          <w:lang w:val="en-US" w:eastAsia="zh-CN" w:bidi="ar-SA"/>
        </w:rPr>
        <w:t>易燃易爆场所安装可燃气体检测报警装置。</w:t>
      </w:r>
    </w:p>
    <w:p w14:paraId="3FCAF3DC">
      <w:pPr>
        <w:pStyle w:val="5"/>
        <w:numPr>
          <w:ilvl w:val="3"/>
          <w:numId w:val="0"/>
        </w:numPr>
        <w:bidi w:val="0"/>
        <w:ind w:leftChars="0"/>
        <w:rPr>
          <w:rFonts w:hint="eastAsia"/>
          <w:color w:val="auto"/>
          <w:lang w:val="en-US" w:eastAsia="zh-CN"/>
        </w:rPr>
      </w:pPr>
      <w:r>
        <w:rPr>
          <w:rFonts w:hint="eastAsia"/>
          <w:color w:val="auto"/>
          <w:lang w:val="en-US" w:eastAsia="zh-CN"/>
        </w:rPr>
        <w:t>6.2.8.2应急预案</w:t>
      </w:r>
    </w:p>
    <w:p w14:paraId="58DEEBE4">
      <w:pPr>
        <w:pStyle w:val="6"/>
        <w:bidi w:val="0"/>
        <w:rPr>
          <w:b/>
          <w:bCs w:val="0"/>
          <w:color w:val="auto"/>
        </w:rPr>
      </w:pPr>
      <w:r>
        <w:rPr>
          <w:rFonts w:hint="eastAsia"/>
          <w:b/>
          <w:bCs w:val="0"/>
          <w:color w:val="auto"/>
          <w:lang w:val="en-US" w:eastAsia="zh-CN"/>
        </w:rPr>
        <w:t>6.2</w:t>
      </w:r>
      <w:r>
        <w:rPr>
          <w:rFonts w:hint="eastAsia"/>
          <w:b/>
          <w:bCs w:val="0"/>
          <w:color w:val="auto"/>
        </w:rPr>
        <w:t>.8.</w:t>
      </w:r>
      <w:r>
        <w:rPr>
          <w:rFonts w:hint="eastAsia"/>
          <w:b/>
          <w:bCs w:val="0"/>
          <w:color w:val="auto"/>
          <w:lang w:val="en-US" w:eastAsia="zh-CN"/>
        </w:rPr>
        <w:t>2.</w:t>
      </w:r>
      <w:r>
        <w:rPr>
          <w:rFonts w:hint="eastAsia"/>
          <w:b/>
          <w:bCs w:val="0"/>
          <w:color w:val="auto"/>
        </w:rPr>
        <w:t>1</w:t>
      </w:r>
      <w:r>
        <w:rPr>
          <w:b/>
          <w:bCs w:val="0"/>
          <w:color w:val="auto"/>
        </w:rPr>
        <w:t>区域应急体系</w:t>
      </w:r>
    </w:p>
    <w:p w14:paraId="6EFD2072">
      <w:pPr>
        <w:spacing w:line="360" w:lineRule="auto"/>
        <w:ind w:firstLine="480" w:firstLineChars="200"/>
        <w:rPr>
          <w:color w:val="auto"/>
          <w:sz w:val="24"/>
        </w:rPr>
      </w:pPr>
      <w:r>
        <w:rPr>
          <w:color w:val="auto"/>
          <w:sz w:val="24"/>
        </w:rPr>
        <w:t>目前，安徽省已完成相应的水路交通突发公共事件应急预案，在省政府突发公共事件应急工作领导机构的领导下，设立省水路交通突发公共事件应急工作领导小组（简称省应急工作领导小组）作为应急领导机构，省应急工作领导小组下设办公室，办公室设在省地方海事局，具体负责处理省应急工作领导小组的日常管理和协调工作，其总值班室负责日常接警值班工作。现场指挥机构由事发地交通运输主管部门牵头成立现场应急指挥部，在当地人民政府的领导下，负责应急处置的现场指挥和协调工作。由交通、环保、气象、公安、卫生、水利、安全监督管理等行业专家、专业技术人员组成专家组，负责提供与应急工作相关的决策咨询意见和专业指导。</w:t>
      </w:r>
    </w:p>
    <w:p w14:paraId="12E1E644">
      <w:pPr>
        <w:pStyle w:val="6"/>
        <w:bidi w:val="0"/>
        <w:rPr>
          <w:b/>
          <w:bCs w:val="0"/>
          <w:color w:val="auto"/>
        </w:rPr>
      </w:pPr>
      <w:r>
        <w:rPr>
          <w:rFonts w:hint="eastAsia"/>
          <w:b/>
          <w:bCs w:val="0"/>
          <w:color w:val="auto"/>
          <w:lang w:val="en-US" w:eastAsia="zh-CN"/>
        </w:rPr>
        <w:t>6.2</w:t>
      </w:r>
      <w:r>
        <w:rPr>
          <w:rFonts w:hint="eastAsia"/>
          <w:b/>
          <w:bCs w:val="0"/>
          <w:color w:val="auto"/>
        </w:rPr>
        <w:t>.8.</w:t>
      </w:r>
      <w:r>
        <w:rPr>
          <w:rFonts w:hint="eastAsia"/>
          <w:b/>
          <w:bCs w:val="0"/>
          <w:color w:val="auto"/>
          <w:lang w:val="en-US" w:eastAsia="zh-CN"/>
        </w:rPr>
        <w:t>2.</w:t>
      </w:r>
      <w:r>
        <w:rPr>
          <w:rFonts w:hint="eastAsia"/>
          <w:b/>
          <w:bCs w:val="0"/>
          <w:color w:val="auto"/>
        </w:rPr>
        <w:t>2</w:t>
      </w:r>
      <w:r>
        <w:rPr>
          <w:b/>
          <w:bCs w:val="0"/>
          <w:color w:val="auto"/>
        </w:rPr>
        <w:t>本项目应急预案</w:t>
      </w:r>
    </w:p>
    <w:p w14:paraId="582DCCB7">
      <w:pPr>
        <w:spacing w:line="360" w:lineRule="auto"/>
        <w:ind w:firstLine="480" w:firstLineChars="200"/>
        <w:rPr>
          <w:color w:val="auto"/>
          <w:sz w:val="24"/>
        </w:rPr>
      </w:pPr>
      <w:r>
        <w:rPr>
          <w:color w:val="auto"/>
          <w:sz w:val="24"/>
        </w:rPr>
        <w:t>对本项目而言，根据本项目环境风险事故的特点应编制本项目的环境污染突发事件应急预案，可参考以下内容建立码头应急预案：</w:t>
      </w:r>
    </w:p>
    <w:p w14:paraId="757F03E8">
      <w:pPr>
        <w:spacing w:line="360" w:lineRule="auto"/>
        <w:ind w:firstLine="480" w:firstLineChars="200"/>
        <w:rPr>
          <w:color w:val="auto"/>
          <w:sz w:val="24"/>
        </w:rPr>
      </w:pPr>
      <w:r>
        <w:rPr>
          <w:color w:val="auto"/>
          <w:sz w:val="24"/>
        </w:rPr>
        <w:t>（1）应急计划区域</w:t>
      </w:r>
    </w:p>
    <w:p w14:paraId="09B8AC25">
      <w:pPr>
        <w:spacing w:line="360" w:lineRule="auto"/>
        <w:ind w:firstLine="480" w:firstLineChars="200"/>
        <w:rPr>
          <w:color w:val="auto"/>
          <w:sz w:val="24"/>
        </w:rPr>
      </w:pPr>
      <w:r>
        <w:rPr>
          <w:color w:val="auto"/>
          <w:sz w:val="24"/>
        </w:rPr>
        <w:t>应急计划区域应包含危险目标，如环境保护目标。故本项目应急计划区域为风险评价范围内的淮河段。</w:t>
      </w:r>
    </w:p>
    <w:p w14:paraId="6DDAC04E">
      <w:pPr>
        <w:spacing w:line="360" w:lineRule="auto"/>
        <w:ind w:firstLine="480" w:firstLineChars="200"/>
        <w:rPr>
          <w:color w:val="auto"/>
          <w:sz w:val="24"/>
        </w:rPr>
      </w:pPr>
      <w:r>
        <w:rPr>
          <w:color w:val="auto"/>
          <w:sz w:val="24"/>
        </w:rPr>
        <w:t>（2）应急组织机构、人员及职责</w:t>
      </w:r>
    </w:p>
    <w:p w14:paraId="2A1229DC">
      <w:pPr>
        <w:spacing w:line="360" w:lineRule="auto"/>
        <w:ind w:firstLine="480" w:firstLineChars="200"/>
        <w:rPr>
          <w:color w:val="auto"/>
          <w:sz w:val="24"/>
        </w:rPr>
      </w:pPr>
      <w:r>
        <w:rPr>
          <w:color w:val="auto"/>
          <w:sz w:val="24"/>
        </w:rPr>
        <w:t>本项目成立应急指挥小组，由码头后期成立的管理机构负责人担任组长，负责本项目的应急预案完善工作；成立码头应急指挥机构、应急行动小组和应急保障小组等机构；明确应急责任人和各小组的职责；负责应急实施，并在应急行动中，进行前期应急</w:t>
      </w:r>
      <w:r>
        <w:rPr>
          <w:rFonts w:hint="eastAsia"/>
          <w:color w:val="auto"/>
          <w:sz w:val="24"/>
          <w:lang w:eastAsia="zh-CN"/>
        </w:rPr>
        <w:t>及时</w:t>
      </w:r>
      <w:r>
        <w:rPr>
          <w:color w:val="auto"/>
          <w:sz w:val="24"/>
        </w:rPr>
        <w:t>处置，在应急响应过程中协助县区或市里应急行动的实施；负责本项目的预警预防工</w:t>
      </w:r>
      <w:r>
        <w:rPr>
          <w:rFonts w:hint="eastAsia"/>
          <w:color w:val="auto"/>
          <w:sz w:val="24"/>
          <w:lang w:eastAsia="zh-CN"/>
        </w:rPr>
        <w:t>作和</w:t>
      </w:r>
      <w:r>
        <w:rPr>
          <w:color w:val="auto"/>
          <w:sz w:val="24"/>
        </w:rPr>
        <w:t>应急监测、发布以及通报工作等。</w:t>
      </w:r>
    </w:p>
    <w:p w14:paraId="1DC1D158">
      <w:pPr>
        <w:spacing w:line="360" w:lineRule="auto"/>
        <w:ind w:firstLine="480" w:firstLineChars="200"/>
        <w:rPr>
          <w:color w:val="auto"/>
          <w:sz w:val="24"/>
        </w:rPr>
      </w:pPr>
      <w:r>
        <w:rPr>
          <w:color w:val="auto"/>
          <w:sz w:val="24"/>
        </w:rPr>
        <w:t>（3）预案分级响应条件</w:t>
      </w:r>
    </w:p>
    <w:p w14:paraId="703200A4">
      <w:pPr>
        <w:spacing w:line="360" w:lineRule="auto"/>
        <w:ind w:firstLine="480" w:firstLineChars="200"/>
        <w:rPr>
          <w:color w:val="auto"/>
          <w:sz w:val="24"/>
        </w:rPr>
      </w:pPr>
      <w:r>
        <w:rPr>
          <w:color w:val="auto"/>
          <w:sz w:val="24"/>
        </w:rPr>
        <w:t>本预案只适用于划分在本项目应急计划水域内发生交通事故，导致船舶溢油等污染事故。结合《安徽省水路交通突发公共事件应急预案》，本预案应急行动分为三级，即：一般应急、紧急应急和重（特）大应急。</w:t>
      </w:r>
    </w:p>
    <w:p w14:paraId="2216E7D5">
      <w:pPr>
        <w:spacing w:line="360" w:lineRule="auto"/>
        <w:ind w:firstLine="480" w:firstLineChars="200"/>
        <w:rPr>
          <w:color w:val="auto"/>
          <w:sz w:val="24"/>
        </w:rPr>
      </w:pPr>
      <w:r>
        <w:rPr>
          <w:color w:val="auto"/>
          <w:sz w:val="24"/>
        </w:rPr>
        <w:fldChar w:fldCharType="begin"/>
      </w:r>
      <w:r>
        <w:rPr>
          <w:color w:val="auto"/>
          <w:sz w:val="24"/>
        </w:rPr>
        <w:instrText xml:space="preserve"> </w:instrText>
      </w:r>
      <w:r>
        <w:rPr>
          <w:rFonts w:hint="eastAsia"/>
          <w:color w:val="auto"/>
          <w:sz w:val="24"/>
        </w:rPr>
        <w:instrText xml:space="preserve">= 1 \* GB3</w:instrText>
      </w:r>
      <w:r>
        <w:rPr>
          <w:color w:val="auto"/>
          <w:sz w:val="24"/>
        </w:rPr>
        <w:instrText xml:space="preserve"> </w:instrText>
      </w:r>
      <w:r>
        <w:rPr>
          <w:color w:val="auto"/>
          <w:sz w:val="24"/>
        </w:rPr>
        <w:fldChar w:fldCharType="separate"/>
      </w:r>
      <w:r>
        <w:rPr>
          <w:rFonts w:hint="eastAsia"/>
          <w:color w:val="auto"/>
          <w:sz w:val="24"/>
        </w:rPr>
        <w:t>①</w:t>
      </w:r>
      <w:r>
        <w:rPr>
          <w:color w:val="auto"/>
          <w:sz w:val="24"/>
        </w:rPr>
        <w:fldChar w:fldCharType="end"/>
      </w:r>
      <w:r>
        <w:rPr>
          <w:color w:val="auto"/>
          <w:sz w:val="24"/>
        </w:rPr>
        <w:t>特大应急</w:t>
      </w:r>
    </w:p>
    <w:p w14:paraId="0B9FFAB7">
      <w:pPr>
        <w:spacing w:line="360" w:lineRule="auto"/>
        <w:ind w:firstLine="480" w:firstLineChars="200"/>
        <w:rPr>
          <w:color w:val="auto"/>
          <w:sz w:val="24"/>
        </w:rPr>
      </w:pPr>
      <w:r>
        <w:rPr>
          <w:color w:val="auto"/>
          <w:sz w:val="24"/>
        </w:rPr>
        <w:t>溢油泄漏量很大，对保护目标、岸线、人体健康等造成严重影响，可能需要统一组织指挥调度全市相关公共资源和力量进行应急联动处置。</w:t>
      </w:r>
    </w:p>
    <w:p w14:paraId="1B9F4040">
      <w:pPr>
        <w:spacing w:line="360" w:lineRule="auto"/>
        <w:ind w:firstLine="480" w:firstLineChars="200"/>
        <w:rPr>
          <w:color w:val="auto"/>
          <w:sz w:val="24"/>
        </w:rPr>
      </w:pPr>
      <w:r>
        <w:rPr>
          <w:color w:val="auto"/>
          <w:sz w:val="24"/>
        </w:rPr>
        <w:fldChar w:fldCharType="begin"/>
      </w:r>
      <w:r>
        <w:rPr>
          <w:color w:val="auto"/>
          <w:sz w:val="24"/>
        </w:rPr>
        <w:instrText xml:space="preserve"> </w:instrText>
      </w:r>
      <w:r>
        <w:rPr>
          <w:rFonts w:hint="eastAsia"/>
          <w:color w:val="auto"/>
          <w:sz w:val="24"/>
        </w:rPr>
        <w:instrText xml:space="preserve">= 2 \* GB3</w:instrText>
      </w:r>
      <w:r>
        <w:rPr>
          <w:color w:val="auto"/>
          <w:sz w:val="24"/>
        </w:rPr>
        <w:instrText xml:space="preserve"> </w:instrText>
      </w:r>
      <w:r>
        <w:rPr>
          <w:color w:val="auto"/>
          <w:sz w:val="24"/>
        </w:rPr>
        <w:fldChar w:fldCharType="separate"/>
      </w:r>
      <w:r>
        <w:rPr>
          <w:rFonts w:hint="eastAsia"/>
          <w:color w:val="auto"/>
          <w:sz w:val="24"/>
        </w:rPr>
        <w:t>②</w:t>
      </w:r>
      <w:r>
        <w:rPr>
          <w:color w:val="auto"/>
          <w:sz w:val="24"/>
        </w:rPr>
        <w:fldChar w:fldCharType="end"/>
      </w:r>
      <w:r>
        <w:rPr>
          <w:color w:val="auto"/>
          <w:sz w:val="24"/>
        </w:rPr>
        <w:t>重大应急</w:t>
      </w:r>
    </w:p>
    <w:p w14:paraId="1F402BAD">
      <w:pPr>
        <w:spacing w:line="360" w:lineRule="auto"/>
        <w:ind w:firstLine="480" w:firstLineChars="200"/>
        <w:rPr>
          <w:color w:val="auto"/>
          <w:sz w:val="24"/>
        </w:rPr>
      </w:pPr>
      <w:r>
        <w:rPr>
          <w:color w:val="auto"/>
          <w:sz w:val="24"/>
        </w:rPr>
        <w:t>溢油泄漏量较大，泄漏极可能对保护目标、岸线、人体健康等造成较大影响；风险事故可通过启动《淮南市水上交通事故应急救援预案》进行应急联动处置得到控制。</w:t>
      </w:r>
    </w:p>
    <w:p w14:paraId="6BA41B50">
      <w:pPr>
        <w:spacing w:line="360" w:lineRule="auto"/>
        <w:ind w:firstLine="480" w:firstLineChars="200"/>
        <w:rPr>
          <w:color w:val="auto"/>
          <w:sz w:val="24"/>
        </w:rPr>
      </w:pPr>
      <w:r>
        <w:rPr>
          <w:color w:val="auto"/>
          <w:sz w:val="24"/>
        </w:rPr>
        <w:fldChar w:fldCharType="begin"/>
      </w:r>
      <w:r>
        <w:rPr>
          <w:color w:val="auto"/>
          <w:sz w:val="24"/>
        </w:rPr>
        <w:instrText xml:space="preserve"> </w:instrText>
      </w:r>
      <w:r>
        <w:rPr>
          <w:rFonts w:hint="eastAsia"/>
          <w:color w:val="auto"/>
          <w:sz w:val="24"/>
        </w:rPr>
        <w:instrText xml:space="preserve">= 3 \* GB3</w:instrText>
      </w:r>
      <w:r>
        <w:rPr>
          <w:color w:val="auto"/>
          <w:sz w:val="24"/>
        </w:rPr>
        <w:instrText xml:space="preserve"> </w:instrText>
      </w:r>
      <w:r>
        <w:rPr>
          <w:color w:val="auto"/>
          <w:sz w:val="24"/>
        </w:rPr>
        <w:fldChar w:fldCharType="separate"/>
      </w:r>
      <w:r>
        <w:rPr>
          <w:rFonts w:hint="eastAsia"/>
          <w:color w:val="auto"/>
          <w:sz w:val="24"/>
        </w:rPr>
        <w:t>③</w:t>
      </w:r>
      <w:r>
        <w:rPr>
          <w:color w:val="auto"/>
          <w:sz w:val="24"/>
        </w:rPr>
        <w:fldChar w:fldCharType="end"/>
      </w:r>
      <w:r>
        <w:rPr>
          <w:color w:val="auto"/>
          <w:sz w:val="24"/>
        </w:rPr>
        <w:t>较大应急</w:t>
      </w:r>
    </w:p>
    <w:p w14:paraId="66736766">
      <w:pPr>
        <w:spacing w:line="360" w:lineRule="auto"/>
        <w:ind w:firstLine="480" w:firstLineChars="200"/>
        <w:rPr>
          <w:color w:val="auto"/>
          <w:sz w:val="24"/>
        </w:rPr>
      </w:pPr>
      <w:r>
        <w:rPr>
          <w:color w:val="auto"/>
          <w:sz w:val="24"/>
        </w:rPr>
        <w:t>溢油泄漏量很少，且预计不会对保护目标、岸线、人体健康等造成影响，污染在本港应急指挥小组组织处理下能得到控制。</w:t>
      </w:r>
    </w:p>
    <w:p w14:paraId="3EC23668">
      <w:pPr>
        <w:spacing w:line="360" w:lineRule="auto"/>
        <w:ind w:firstLine="480" w:firstLineChars="200"/>
        <w:rPr>
          <w:color w:val="auto"/>
          <w:sz w:val="24"/>
        </w:rPr>
      </w:pPr>
      <w:r>
        <w:rPr>
          <w:color w:val="auto"/>
          <w:sz w:val="24"/>
        </w:rPr>
        <w:fldChar w:fldCharType="begin"/>
      </w:r>
      <w:r>
        <w:rPr>
          <w:color w:val="auto"/>
          <w:sz w:val="24"/>
        </w:rPr>
        <w:instrText xml:space="preserve"> </w:instrText>
      </w:r>
      <w:r>
        <w:rPr>
          <w:rFonts w:hint="eastAsia"/>
          <w:color w:val="auto"/>
          <w:sz w:val="24"/>
        </w:rPr>
        <w:instrText xml:space="preserve">= 4 \* GB3</w:instrText>
      </w:r>
      <w:r>
        <w:rPr>
          <w:color w:val="auto"/>
          <w:sz w:val="24"/>
        </w:rPr>
        <w:instrText xml:space="preserve"> </w:instrText>
      </w:r>
      <w:r>
        <w:rPr>
          <w:color w:val="auto"/>
          <w:sz w:val="24"/>
        </w:rPr>
        <w:fldChar w:fldCharType="separate"/>
      </w:r>
      <w:r>
        <w:rPr>
          <w:rFonts w:hint="eastAsia"/>
          <w:color w:val="auto"/>
          <w:sz w:val="24"/>
        </w:rPr>
        <w:t>④</w:t>
      </w:r>
      <w:r>
        <w:rPr>
          <w:color w:val="auto"/>
          <w:sz w:val="24"/>
        </w:rPr>
        <w:fldChar w:fldCharType="end"/>
      </w:r>
      <w:r>
        <w:rPr>
          <w:color w:val="auto"/>
          <w:sz w:val="24"/>
        </w:rPr>
        <w:t>一般应急</w:t>
      </w:r>
    </w:p>
    <w:p w14:paraId="05031C9F">
      <w:pPr>
        <w:spacing w:line="360" w:lineRule="auto"/>
        <w:ind w:firstLine="480" w:firstLineChars="200"/>
        <w:rPr>
          <w:color w:val="auto"/>
          <w:sz w:val="24"/>
        </w:rPr>
      </w:pPr>
      <w:r>
        <w:rPr>
          <w:color w:val="auto"/>
          <w:sz w:val="24"/>
        </w:rPr>
        <w:t>溢油泄漏量非常少，可通过本项目应急力量得到控制。</w:t>
      </w:r>
    </w:p>
    <w:p w14:paraId="511352E1">
      <w:pPr>
        <w:spacing w:line="360" w:lineRule="auto"/>
        <w:ind w:firstLine="480" w:firstLineChars="200"/>
        <w:rPr>
          <w:color w:val="auto"/>
          <w:sz w:val="24"/>
        </w:rPr>
      </w:pPr>
      <w:r>
        <w:rPr>
          <w:color w:val="auto"/>
          <w:sz w:val="24"/>
        </w:rPr>
        <w:t>（4）报警及通报机制</w:t>
      </w:r>
    </w:p>
    <w:p w14:paraId="1A473D3D">
      <w:pPr>
        <w:spacing w:line="360" w:lineRule="auto"/>
        <w:ind w:firstLine="480" w:firstLineChars="200"/>
        <w:rPr>
          <w:color w:val="auto"/>
          <w:sz w:val="24"/>
        </w:rPr>
      </w:pPr>
      <w:r>
        <w:rPr>
          <w:color w:val="auto"/>
          <w:sz w:val="24"/>
        </w:rPr>
        <w:t>应急反应过程中，及时对事故的通报是决定整个反应过程和消除污染效果的关键，因</w:t>
      </w:r>
      <w:r>
        <w:rPr>
          <w:rFonts w:hint="eastAsia"/>
          <w:color w:val="auto"/>
          <w:sz w:val="24"/>
          <w:lang w:eastAsia="zh-CN"/>
        </w:rPr>
        <w:t>此必</w:t>
      </w:r>
      <w:r>
        <w:rPr>
          <w:color w:val="auto"/>
          <w:sz w:val="24"/>
        </w:rPr>
        <w:t>须建立快速报警系统和通讯指挥联络系统，针对本项目风险事故，现建立下述应急预警机制。</w:t>
      </w:r>
    </w:p>
    <w:p w14:paraId="470FF99A">
      <w:pPr>
        <w:spacing w:line="360" w:lineRule="auto"/>
        <w:ind w:firstLine="480" w:firstLineChars="200"/>
        <w:rPr>
          <w:color w:val="auto"/>
          <w:sz w:val="24"/>
        </w:rPr>
      </w:pPr>
      <w:r>
        <w:rPr>
          <w:color w:val="auto"/>
          <w:sz w:val="24"/>
        </w:rPr>
        <w:t>单位、部门和个人可通过以下途径报告船舶污染事故和相关信息：直接拨打12395；省值班室。</w:t>
      </w:r>
    </w:p>
    <w:p w14:paraId="1BCEEDF7">
      <w:pPr>
        <w:spacing w:line="360" w:lineRule="auto"/>
        <w:ind w:firstLine="480" w:firstLineChars="200"/>
        <w:rPr>
          <w:color w:val="auto"/>
          <w:sz w:val="24"/>
        </w:rPr>
      </w:pPr>
      <w:r>
        <w:rPr>
          <w:color w:val="auto"/>
          <w:sz w:val="24"/>
        </w:rPr>
        <w:t>本港应急指挥中心在接到报警信息后，应对现场事故信息进行收集，核实事故时间、地点和气象，污染源，事故原因（如碰撞、搁浅等），污染物种类和数量以及污染区域的描述等。根据事故程度，本港应急指挥中心应及时将相关信息和动态，按上述报警通报机制逐级向市应急救援领</w:t>
      </w:r>
      <w:r>
        <w:rPr>
          <w:rFonts w:hint="eastAsia"/>
          <w:color w:val="auto"/>
          <w:sz w:val="24"/>
          <w:lang w:eastAsia="zh-CN"/>
        </w:rPr>
        <w:t>导小</w:t>
      </w:r>
      <w:r>
        <w:rPr>
          <w:color w:val="auto"/>
          <w:sz w:val="24"/>
        </w:rPr>
        <w:t>组、省应急工作领导小组等通报，做好相应的记录。</w:t>
      </w:r>
    </w:p>
    <w:p w14:paraId="58B00878">
      <w:pPr>
        <w:spacing w:line="360" w:lineRule="auto"/>
        <w:ind w:firstLine="480" w:firstLineChars="200"/>
        <w:rPr>
          <w:color w:val="auto"/>
          <w:sz w:val="24"/>
        </w:rPr>
      </w:pPr>
      <w:r>
        <w:rPr>
          <w:color w:val="auto"/>
          <w:sz w:val="24"/>
        </w:rPr>
        <w:t>（5）事故应急行动计划基本程序</w:t>
      </w:r>
    </w:p>
    <w:p w14:paraId="0FEEDED3">
      <w:pPr>
        <w:spacing w:line="360" w:lineRule="auto"/>
        <w:ind w:firstLine="480" w:firstLineChars="200"/>
        <w:rPr>
          <w:color w:val="auto"/>
          <w:sz w:val="24"/>
        </w:rPr>
      </w:pPr>
      <w:r>
        <w:rPr>
          <w:color w:val="auto"/>
          <w:sz w:val="24"/>
        </w:rPr>
        <w:t>根据本预案中对应急行动的分类，当发生较大、一般应急事故时，本港应急指挥中心应组织应急人员通过配备的应急物资进行应急响应，控制事故范围，并上报上级主管部门。</w:t>
      </w:r>
    </w:p>
    <w:p w14:paraId="2F3E662A">
      <w:pPr>
        <w:spacing w:line="360" w:lineRule="auto"/>
        <w:ind w:firstLine="480" w:firstLineChars="200"/>
        <w:rPr>
          <w:color w:val="auto"/>
          <w:sz w:val="24"/>
        </w:rPr>
      </w:pPr>
      <w:r>
        <w:rPr>
          <w:color w:val="auto"/>
          <w:sz w:val="24"/>
        </w:rPr>
        <w:t>当事故规模超过码头人员、设备所能解决的范围时，即重大、特大应急事故时，本港应急指挥中心应积极配合市应急救援领导组工作，并及时通知下游可能受影响的单位。</w:t>
      </w:r>
    </w:p>
    <w:p w14:paraId="687068EE">
      <w:pPr>
        <w:spacing w:line="360" w:lineRule="auto"/>
        <w:ind w:firstLine="480" w:firstLineChars="200"/>
        <w:rPr>
          <w:color w:val="auto"/>
          <w:sz w:val="24"/>
        </w:rPr>
      </w:pPr>
      <w:r>
        <w:rPr>
          <w:color w:val="auto"/>
          <w:sz w:val="24"/>
        </w:rPr>
        <w:t>（6）应急处置</w:t>
      </w:r>
    </w:p>
    <w:p w14:paraId="2B41BF5B">
      <w:pPr>
        <w:spacing w:line="360" w:lineRule="auto"/>
        <w:ind w:firstLine="480" w:firstLineChars="200"/>
        <w:rPr>
          <w:color w:val="auto"/>
          <w:sz w:val="24"/>
        </w:rPr>
      </w:pPr>
      <w:r>
        <w:rPr>
          <w:color w:val="auto"/>
          <w:sz w:val="24"/>
        </w:rPr>
        <w:t>①若本项目单位为第一发现人，应及时根据污染情况启动本项目应急预案，并根据应急响应条件及时采取行动；</w:t>
      </w:r>
    </w:p>
    <w:p w14:paraId="5DB2580F">
      <w:pPr>
        <w:spacing w:line="360" w:lineRule="auto"/>
        <w:ind w:firstLine="480" w:firstLineChars="200"/>
        <w:rPr>
          <w:color w:val="auto"/>
          <w:sz w:val="24"/>
        </w:rPr>
      </w:pPr>
      <w:r>
        <w:rPr>
          <w:color w:val="auto"/>
          <w:sz w:val="24"/>
        </w:rPr>
        <w:t>②通知市应急救援领导组及相关水产局、生态环境局和</w:t>
      </w:r>
      <w:r>
        <w:rPr>
          <w:rFonts w:hint="eastAsia"/>
          <w:color w:val="auto"/>
          <w:sz w:val="24"/>
        </w:rPr>
        <w:t>淮南第四自来水厂</w:t>
      </w:r>
      <w:r>
        <w:rPr>
          <w:color w:val="auto"/>
          <w:sz w:val="24"/>
        </w:rPr>
        <w:t>，加强水质监测，保证用水安全；</w:t>
      </w:r>
    </w:p>
    <w:p w14:paraId="4589556B">
      <w:pPr>
        <w:spacing w:line="360" w:lineRule="auto"/>
        <w:ind w:firstLine="480" w:firstLineChars="200"/>
        <w:rPr>
          <w:color w:val="auto"/>
          <w:sz w:val="24"/>
        </w:rPr>
      </w:pPr>
      <w:r>
        <w:rPr>
          <w:color w:val="auto"/>
          <w:sz w:val="24"/>
        </w:rPr>
        <w:t>③根据事故规模，合理布设围油栏，最低限度降低事故影响；</w:t>
      </w:r>
    </w:p>
    <w:p w14:paraId="581BFC47">
      <w:pPr>
        <w:spacing w:line="360" w:lineRule="auto"/>
        <w:ind w:firstLine="480" w:firstLineChars="200"/>
        <w:rPr>
          <w:color w:val="auto"/>
          <w:sz w:val="24"/>
        </w:rPr>
      </w:pPr>
      <w:r>
        <w:rPr>
          <w:color w:val="auto"/>
          <w:sz w:val="24"/>
        </w:rPr>
        <w:t>④加强与邻近码头之间的联动，建立应急体系的互助合作关系，增强事故发生后短时间调集社会互助资源的能力；</w:t>
      </w:r>
    </w:p>
    <w:p w14:paraId="2276D4D4">
      <w:pPr>
        <w:spacing w:line="360" w:lineRule="auto"/>
        <w:ind w:firstLine="480" w:firstLineChars="200"/>
        <w:rPr>
          <w:color w:val="auto"/>
          <w:sz w:val="24"/>
        </w:rPr>
      </w:pPr>
      <w:r>
        <w:rPr>
          <w:color w:val="auto"/>
          <w:sz w:val="24"/>
        </w:rPr>
        <w:t>⑤积极配合海事部门、消防救援部门、公安部门等单位工作，做好应急预案的实施。</w:t>
      </w:r>
    </w:p>
    <w:p w14:paraId="6DC2EA8F">
      <w:pPr>
        <w:spacing w:line="360" w:lineRule="auto"/>
        <w:ind w:firstLine="480" w:firstLineChars="200"/>
        <w:rPr>
          <w:color w:val="auto"/>
          <w:sz w:val="24"/>
        </w:rPr>
      </w:pPr>
      <w:r>
        <w:rPr>
          <w:color w:val="auto"/>
          <w:sz w:val="24"/>
        </w:rPr>
        <w:t>（7）应急控制、防护、清除泄漏、恢复措施</w:t>
      </w:r>
    </w:p>
    <w:p w14:paraId="72D313B3">
      <w:pPr>
        <w:spacing w:line="360" w:lineRule="auto"/>
        <w:ind w:firstLine="480" w:firstLineChars="200"/>
        <w:rPr>
          <w:color w:val="auto"/>
          <w:sz w:val="24"/>
        </w:rPr>
      </w:pPr>
      <w:r>
        <w:rPr>
          <w:color w:val="auto"/>
          <w:sz w:val="24"/>
        </w:rPr>
        <w:t>溢油泄漏事故一旦发生后，根据应急计划进行最初的应急反应后，还应根据溢出事故的具体情况，在现场指挥部的统一指挥下，组织调动人力物力，开展污染清除和生态恢复工作。一旦发生泄漏事故，围控设备、清污设备要尽快到达溢油现场。视事故情况对泄漏物采取相应的应急措施。</w:t>
      </w:r>
    </w:p>
    <w:p w14:paraId="3DF8F32D">
      <w:pPr>
        <w:spacing w:line="360" w:lineRule="auto"/>
        <w:ind w:firstLine="480" w:firstLineChars="200"/>
        <w:rPr>
          <w:color w:val="auto"/>
          <w:sz w:val="24"/>
        </w:rPr>
      </w:pPr>
      <w:r>
        <w:rPr>
          <w:color w:val="auto"/>
          <w:sz w:val="24"/>
        </w:rPr>
        <w:t>（8）与区域应急反应计划的衔接程序</w:t>
      </w:r>
    </w:p>
    <w:p w14:paraId="4CD40F00">
      <w:pPr>
        <w:spacing w:line="360" w:lineRule="auto"/>
        <w:ind w:firstLine="480" w:firstLineChars="200"/>
        <w:rPr>
          <w:color w:val="auto"/>
          <w:sz w:val="24"/>
        </w:rPr>
      </w:pPr>
      <w:r>
        <w:rPr>
          <w:color w:val="auto"/>
          <w:sz w:val="24"/>
        </w:rPr>
        <w:t>由本码头应急指挥中心迅速确定事故等级，由应急指挥中心总负责人做出请求区域协作的决策。请求区域协作时应优先考虑设备、人员到达灾区的时间、后勤保障及费用情况。</w:t>
      </w:r>
    </w:p>
    <w:p w14:paraId="7707F815">
      <w:pPr>
        <w:numPr>
          <w:ilvl w:val="0"/>
          <w:numId w:val="12"/>
        </w:numPr>
        <w:spacing w:line="360" w:lineRule="auto"/>
        <w:ind w:firstLine="480" w:firstLineChars="200"/>
        <w:rPr>
          <w:rFonts w:hint="eastAsia" w:ascii="Times New Roman" w:hAnsi="Times New Roman" w:eastAsia="宋体" w:cs="Times New Roman"/>
          <w:color w:val="auto"/>
          <w:sz w:val="24"/>
          <w:szCs w:val="21"/>
          <w:lang w:val="en-US" w:eastAsia="zh-CN"/>
        </w:rPr>
      </w:pPr>
      <w:r>
        <w:rPr>
          <w:rFonts w:hint="eastAsia" w:ascii="Times New Roman" w:hAnsi="Times New Roman" w:eastAsia="宋体" w:cs="Times New Roman"/>
          <w:color w:val="auto"/>
          <w:sz w:val="24"/>
          <w:szCs w:val="21"/>
          <w:lang w:val="en-US" w:eastAsia="zh-CN"/>
        </w:rPr>
        <w:t>建设单位正式运行前，完成企业突发环境事件应急预案备案，主动对接淮南港应急管理机构，签订应急联动协议，明确联络人、24h 应急联系电话；</w:t>
      </w:r>
    </w:p>
    <w:p w14:paraId="18ADBCE4">
      <w:pPr>
        <w:numPr>
          <w:ilvl w:val="0"/>
          <w:numId w:val="12"/>
        </w:numPr>
        <w:spacing w:line="360" w:lineRule="auto"/>
        <w:ind w:left="0" w:leftChars="0" w:firstLine="480" w:firstLineChars="200"/>
        <w:rPr>
          <w:rFonts w:hint="eastAsia" w:ascii="Times New Roman" w:hAnsi="Times New Roman" w:eastAsia="宋体" w:cs="Times New Roman"/>
          <w:color w:val="auto"/>
          <w:sz w:val="24"/>
          <w:szCs w:val="21"/>
          <w:lang w:val="en-US" w:eastAsia="zh-CN"/>
        </w:rPr>
      </w:pPr>
      <w:r>
        <w:rPr>
          <w:rFonts w:hint="eastAsia" w:ascii="Times New Roman" w:hAnsi="Times New Roman" w:eastAsia="宋体" w:cs="Times New Roman"/>
          <w:color w:val="auto"/>
          <w:sz w:val="24"/>
          <w:szCs w:val="21"/>
          <w:lang w:val="en-US" w:eastAsia="zh-CN"/>
        </w:rPr>
        <w:t>将淮河长吻鮠种质资源保护区、淮南市第四水厂水源地风险场景写入企业预案，作为与淮南港预案联动的重点触发条件；</w:t>
      </w:r>
    </w:p>
    <w:p w14:paraId="417A8194">
      <w:pPr>
        <w:numPr>
          <w:ilvl w:val="0"/>
          <w:numId w:val="12"/>
        </w:numPr>
        <w:spacing w:line="360" w:lineRule="auto"/>
        <w:ind w:left="0" w:leftChars="0" w:firstLine="480" w:firstLineChars="200"/>
        <w:rPr>
          <w:color w:val="auto"/>
          <w:sz w:val="24"/>
        </w:rPr>
      </w:pPr>
      <w:r>
        <w:rPr>
          <w:rFonts w:hint="eastAsia" w:ascii="Times New Roman" w:hAnsi="Times New Roman" w:eastAsia="宋体" w:cs="Times New Roman"/>
          <w:color w:val="auto"/>
          <w:sz w:val="24"/>
          <w:szCs w:val="21"/>
          <w:lang w:val="en-US" w:eastAsia="zh-CN"/>
        </w:rPr>
        <w:t>每年至少参加一次淮南港组织的港口突发环境事件联合应急演练，强化政企、港企联动实操能力。</w:t>
      </w:r>
    </w:p>
    <w:p w14:paraId="185A2D12">
      <w:pPr>
        <w:spacing w:line="360" w:lineRule="auto"/>
        <w:ind w:firstLine="480" w:firstLineChars="200"/>
        <w:rPr>
          <w:color w:val="auto"/>
          <w:sz w:val="24"/>
        </w:rPr>
      </w:pPr>
      <w:r>
        <w:rPr>
          <w:color w:val="auto"/>
          <w:sz w:val="24"/>
        </w:rPr>
        <w:t>（9）应急关闭程序</w:t>
      </w:r>
    </w:p>
    <w:p w14:paraId="75F4BCCD">
      <w:pPr>
        <w:spacing w:line="360" w:lineRule="auto"/>
        <w:ind w:firstLine="480" w:firstLineChars="200"/>
        <w:rPr>
          <w:color w:val="auto"/>
          <w:sz w:val="24"/>
        </w:rPr>
      </w:pPr>
      <w:r>
        <w:rPr>
          <w:color w:val="auto"/>
          <w:sz w:val="24"/>
        </w:rPr>
        <w:t>①应急关闭条件</w:t>
      </w:r>
    </w:p>
    <w:p w14:paraId="2114E550">
      <w:pPr>
        <w:spacing w:line="360" w:lineRule="auto"/>
        <w:ind w:firstLine="480" w:firstLineChars="200"/>
        <w:rPr>
          <w:color w:val="auto"/>
          <w:sz w:val="24"/>
        </w:rPr>
      </w:pPr>
      <w:r>
        <w:rPr>
          <w:color w:val="auto"/>
          <w:sz w:val="24"/>
        </w:rPr>
        <w:t>符合下列条件之一的，终止应急行动：事故现场得到控制，事故条件已经消除；事故所造成的危害已被彻底消除，无续发可能；事故现场的各种专业应急处置行动已无继续的必要；采取了必要的防护措施已能保证免受再次危害，并使事故可能引起的中长期影响趋于合理且尽量低的水平。</w:t>
      </w:r>
    </w:p>
    <w:p w14:paraId="4BA6C98D">
      <w:pPr>
        <w:spacing w:line="360" w:lineRule="auto"/>
        <w:ind w:firstLine="480" w:firstLineChars="200"/>
        <w:rPr>
          <w:color w:val="auto"/>
          <w:sz w:val="24"/>
        </w:rPr>
      </w:pPr>
      <w:r>
        <w:rPr>
          <w:color w:val="auto"/>
          <w:sz w:val="24"/>
        </w:rPr>
        <w:t>②应急终止的程序</w:t>
      </w:r>
    </w:p>
    <w:p w14:paraId="39761161">
      <w:pPr>
        <w:spacing w:line="360" w:lineRule="auto"/>
        <w:ind w:firstLine="480" w:firstLineChars="200"/>
        <w:rPr>
          <w:color w:val="auto"/>
          <w:sz w:val="24"/>
        </w:rPr>
      </w:pPr>
      <w:r>
        <w:rPr>
          <w:color w:val="auto"/>
          <w:sz w:val="24"/>
        </w:rPr>
        <w:t>现场应急指挥部视事件处置情况确认终止时机，提出应急结束的建议，报市、省应急指挥机构批准后，下达应急终止命令。</w:t>
      </w:r>
    </w:p>
    <w:p w14:paraId="1A9D7CFF">
      <w:pPr>
        <w:spacing w:line="360" w:lineRule="auto"/>
        <w:ind w:firstLine="480" w:firstLineChars="200"/>
        <w:rPr>
          <w:color w:val="auto"/>
          <w:sz w:val="24"/>
        </w:rPr>
      </w:pPr>
      <w:r>
        <w:rPr>
          <w:color w:val="auto"/>
          <w:sz w:val="24"/>
        </w:rPr>
        <w:t>③应急终止后的行动</w:t>
      </w:r>
    </w:p>
    <w:p w14:paraId="2485E07E">
      <w:pPr>
        <w:spacing w:line="360" w:lineRule="auto"/>
        <w:ind w:firstLine="480" w:firstLineChars="200"/>
        <w:rPr>
          <w:color w:val="auto"/>
          <w:sz w:val="24"/>
        </w:rPr>
      </w:pPr>
      <w:r>
        <w:rPr>
          <w:color w:val="auto"/>
          <w:sz w:val="24"/>
        </w:rPr>
        <w:t>进行事故分析，查找事故原因，防止类似问题的重复出现。参加应急行动的部门负责组织、指导环境应急队伍维护、保养应急仪器设备，使之始终保持良好的技术状态。</w:t>
      </w:r>
    </w:p>
    <w:p w14:paraId="15ACB1F1">
      <w:pPr>
        <w:spacing w:line="360" w:lineRule="auto"/>
        <w:ind w:firstLine="480" w:firstLineChars="200"/>
        <w:rPr>
          <w:color w:val="auto"/>
          <w:sz w:val="24"/>
        </w:rPr>
      </w:pPr>
      <w:r>
        <w:rPr>
          <w:color w:val="auto"/>
          <w:sz w:val="24"/>
        </w:rPr>
        <w:t>（10）应急培训计划</w:t>
      </w:r>
    </w:p>
    <w:p w14:paraId="0E5D3A26">
      <w:pPr>
        <w:spacing w:line="360" w:lineRule="auto"/>
        <w:ind w:firstLine="480" w:firstLineChars="200"/>
        <w:rPr>
          <w:color w:val="auto"/>
          <w:sz w:val="24"/>
        </w:rPr>
      </w:pPr>
      <w:r>
        <w:rPr>
          <w:color w:val="auto"/>
          <w:sz w:val="24"/>
        </w:rPr>
        <w:t>为了确保应急计划的有效性和可操作性，必须预先对计划中所涉及的人员、设备器材进行训练、维护和保养，使参加应急行动的每一个人都能做到应知应会、熟练掌握。</w:t>
      </w:r>
    </w:p>
    <w:p w14:paraId="64EBB71A">
      <w:pPr>
        <w:spacing w:line="360" w:lineRule="auto"/>
        <w:ind w:firstLine="480" w:firstLineChars="200"/>
        <w:rPr>
          <w:color w:val="auto"/>
          <w:sz w:val="24"/>
        </w:rPr>
      </w:pPr>
      <w:r>
        <w:rPr>
          <w:color w:val="auto"/>
          <w:sz w:val="24"/>
        </w:rPr>
        <w:t>每年定期组织应急人员培训，使受培训人员</w:t>
      </w:r>
      <w:r>
        <w:rPr>
          <w:rFonts w:hint="eastAsia"/>
          <w:color w:val="auto"/>
          <w:sz w:val="24"/>
          <w:lang w:eastAsia="zh-CN"/>
        </w:rPr>
        <w:t>能够</w:t>
      </w:r>
      <w:r>
        <w:rPr>
          <w:color w:val="auto"/>
          <w:sz w:val="24"/>
        </w:rPr>
        <w:t>掌握使用和维护、保养各种应急设备和器材，并具有在指挥人员指导下完成应急反应的能力。</w:t>
      </w:r>
    </w:p>
    <w:p w14:paraId="3A7A808D">
      <w:pPr>
        <w:spacing w:line="360" w:lineRule="auto"/>
        <w:ind w:firstLine="480" w:firstLineChars="200"/>
        <w:rPr>
          <w:color w:val="auto"/>
          <w:sz w:val="24"/>
        </w:rPr>
      </w:pPr>
      <w:r>
        <w:rPr>
          <w:color w:val="auto"/>
          <w:sz w:val="24"/>
        </w:rPr>
        <w:t>每1~2年进行一次应急演习，在模拟的事故状态下，检查应急机构，应急队伍，应急设备和器材，应急通讯等各方面的实战能力。通过演习，发现工作中薄弱环节，并修改、完善应急计划。</w:t>
      </w:r>
    </w:p>
    <w:p w14:paraId="372386BA">
      <w:pPr>
        <w:numPr>
          <w:ilvl w:val="0"/>
          <w:numId w:val="0"/>
        </w:numPr>
        <w:spacing w:line="360" w:lineRule="auto"/>
        <w:ind w:left="0" w:leftChars="0" w:firstLine="480" w:firstLineChars="200"/>
        <w:rPr>
          <w:rFonts w:hint="eastAsia"/>
          <w:color w:val="auto"/>
          <w:sz w:val="24"/>
          <w:lang w:val="en-US" w:eastAsia="zh-CN"/>
        </w:rPr>
      </w:pPr>
      <w:r>
        <w:rPr>
          <w:rFonts w:hint="eastAsia" w:ascii="Times New Roman" w:hAnsi="Times New Roman" w:eastAsia="宋体" w:cs="Times New Roman"/>
          <w:color w:val="auto"/>
          <w:kern w:val="2"/>
          <w:sz w:val="24"/>
          <w:szCs w:val="21"/>
          <w:lang w:val="en-US" w:eastAsia="zh-CN" w:bidi="ar-SA"/>
        </w:rPr>
        <w:t>（1</w:t>
      </w:r>
      <w:r>
        <w:rPr>
          <w:rFonts w:hint="eastAsia" w:cs="Times New Roman"/>
          <w:color w:val="auto"/>
          <w:kern w:val="2"/>
          <w:sz w:val="24"/>
          <w:szCs w:val="21"/>
          <w:lang w:val="en-US" w:eastAsia="zh-CN" w:bidi="ar-SA"/>
        </w:rPr>
        <w:t>1</w:t>
      </w:r>
      <w:r>
        <w:rPr>
          <w:rFonts w:hint="eastAsia" w:ascii="Times New Roman" w:hAnsi="Times New Roman" w:eastAsia="宋体" w:cs="Times New Roman"/>
          <w:color w:val="auto"/>
          <w:kern w:val="2"/>
          <w:sz w:val="24"/>
          <w:szCs w:val="21"/>
          <w:lang w:val="en-US" w:eastAsia="zh-CN" w:bidi="ar-SA"/>
        </w:rPr>
        <w:t>）</w:t>
      </w:r>
      <w:r>
        <w:rPr>
          <w:rFonts w:hint="eastAsia"/>
          <w:color w:val="auto"/>
          <w:sz w:val="24"/>
          <w:lang w:val="en-US" w:eastAsia="zh-CN"/>
        </w:rPr>
        <w:t>备案</w:t>
      </w:r>
    </w:p>
    <w:p w14:paraId="52317675">
      <w:pPr>
        <w:numPr>
          <w:ilvl w:val="0"/>
          <w:numId w:val="0"/>
        </w:numPr>
        <w:spacing w:line="360" w:lineRule="auto"/>
        <w:ind w:leftChars="200"/>
        <w:rPr>
          <w:rFonts w:hint="default"/>
          <w:color w:val="auto"/>
          <w:sz w:val="24"/>
          <w:lang w:val="en-US" w:eastAsia="zh-CN"/>
        </w:rPr>
      </w:pPr>
      <w:r>
        <w:rPr>
          <w:rFonts w:hint="eastAsia" w:ascii="Times New Roman" w:hAnsi="Times New Roman" w:eastAsia="宋体" w:cs="Times New Roman"/>
          <w:color w:val="auto"/>
          <w:sz w:val="24"/>
          <w:szCs w:val="21"/>
          <w:lang w:val="en-US" w:eastAsia="zh-CN"/>
        </w:rPr>
        <w:t>企业预案必须与《淮南港环境风险应急预案》、淮南市突发环境事件应急预案、淮河淮南段长吻鮠种质资源保护区应急管控方案、淮南市饮用水水源地突发环境事件应急预案有效衔接，建立信息上报、应急资源共享、分级响应、协同处置联动体系本码头作为淮南港作业组成部分，发生突发水环境事件，服从淮南港统一应急调度</w:t>
      </w:r>
      <w:r>
        <w:rPr>
          <w:rFonts w:hint="eastAsia" w:cs="Times New Roman"/>
          <w:color w:val="auto"/>
          <w:sz w:val="24"/>
          <w:szCs w:val="21"/>
          <w:lang w:val="en-US" w:eastAsia="zh-CN"/>
        </w:rPr>
        <w:t>。</w:t>
      </w:r>
    </w:p>
    <w:p w14:paraId="33B16C39">
      <w:pPr>
        <w:pStyle w:val="6"/>
        <w:bidi w:val="0"/>
        <w:rPr>
          <w:b/>
          <w:bCs w:val="0"/>
          <w:color w:val="auto"/>
        </w:rPr>
      </w:pPr>
      <w:r>
        <w:rPr>
          <w:rFonts w:hint="eastAsia"/>
          <w:b/>
          <w:bCs w:val="0"/>
          <w:color w:val="auto"/>
          <w:lang w:val="en-US" w:eastAsia="zh-CN"/>
        </w:rPr>
        <w:t>6.2</w:t>
      </w:r>
      <w:r>
        <w:rPr>
          <w:rFonts w:hint="eastAsia"/>
          <w:b/>
          <w:bCs w:val="0"/>
          <w:color w:val="auto"/>
        </w:rPr>
        <w:t>.8.</w:t>
      </w:r>
      <w:r>
        <w:rPr>
          <w:rFonts w:hint="eastAsia"/>
          <w:b/>
          <w:bCs w:val="0"/>
          <w:color w:val="auto"/>
          <w:lang w:val="en-US" w:eastAsia="zh-CN"/>
        </w:rPr>
        <w:t>2.</w:t>
      </w:r>
      <w:r>
        <w:rPr>
          <w:rFonts w:hint="eastAsia"/>
          <w:b/>
          <w:bCs w:val="0"/>
          <w:color w:val="auto"/>
        </w:rPr>
        <w:t>3</w:t>
      </w:r>
      <w:r>
        <w:rPr>
          <w:b/>
          <w:bCs w:val="0"/>
          <w:color w:val="auto"/>
        </w:rPr>
        <w:t>风险事故应急措施</w:t>
      </w:r>
    </w:p>
    <w:p w14:paraId="05F6A0FF">
      <w:pPr>
        <w:spacing w:line="360" w:lineRule="auto"/>
        <w:ind w:firstLine="480" w:firstLineChars="200"/>
        <w:rPr>
          <w:color w:val="auto"/>
          <w:sz w:val="24"/>
        </w:rPr>
      </w:pPr>
      <w:r>
        <w:rPr>
          <w:color w:val="auto"/>
          <w:sz w:val="24"/>
        </w:rPr>
        <w:t>风险事故一旦发生，立即按照应急程序采取有效应急措施，减少对环境的污染程度，降低对下游保护目标造成危害的可能性，具体如下：</w:t>
      </w:r>
    </w:p>
    <w:p w14:paraId="5C1F54A8">
      <w:pPr>
        <w:spacing w:line="360" w:lineRule="auto"/>
        <w:ind w:firstLine="480" w:firstLineChars="200"/>
        <w:rPr>
          <w:color w:val="auto"/>
          <w:sz w:val="24"/>
        </w:rPr>
      </w:pPr>
      <w:r>
        <w:rPr>
          <w:color w:val="auto"/>
          <w:sz w:val="24"/>
        </w:rPr>
        <w:t>（1）应急程序</w:t>
      </w:r>
    </w:p>
    <w:p w14:paraId="5EC11D85">
      <w:pPr>
        <w:spacing w:line="360" w:lineRule="auto"/>
        <w:ind w:firstLine="480" w:firstLineChars="200"/>
        <w:rPr>
          <w:color w:val="auto"/>
          <w:sz w:val="24"/>
        </w:rPr>
      </w:pPr>
      <w:r>
        <w:rPr>
          <w:color w:val="auto"/>
          <w:sz w:val="24"/>
        </w:rPr>
        <w:t>应急程序图见</w:t>
      </w:r>
      <w:r>
        <w:rPr>
          <w:rFonts w:hint="eastAsia"/>
          <w:color w:val="auto"/>
          <w:sz w:val="24"/>
        </w:rPr>
        <w:t>图</w:t>
      </w:r>
      <w:r>
        <w:rPr>
          <w:color w:val="auto"/>
          <w:sz w:val="24"/>
        </w:rPr>
        <w:t>5.</w:t>
      </w:r>
      <w:r>
        <w:rPr>
          <w:rFonts w:hint="eastAsia"/>
          <w:color w:val="auto"/>
          <w:sz w:val="24"/>
        </w:rPr>
        <w:t>4</w:t>
      </w:r>
      <w:r>
        <w:rPr>
          <w:color w:val="auto"/>
          <w:sz w:val="24"/>
        </w:rPr>
        <w:t>-1。事故应急指挥机构由淮南市海事局领导、淮南市兴华园贸易发展有限公司</w:t>
      </w:r>
      <w:r>
        <w:rPr>
          <w:rFonts w:hint="eastAsia"/>
          <w:color w:val="auto"/>
          <w:sz w:val="24"/>
        </w:rPr>
        <w:t>、淮南市兴华园码头复工建设工程</w:t>
      </w:r>
      <w:r>
        <w:rPr>
          <w:color w:val="auto"/>
          <w:sz w:val="24"/>
        </w:rPr>
        <w:t>安全生产主管领导组成。</w:t>
      </w:r>
    </w:p>
    <w:p w14:paraId="1F86FF88">
      <w:pPr>
        <w:spacing w:line="360" w:lineRule="auto"/>
        <w:ind w:firstLine="480" w:firstLineChars="200"/>
        <w:rPr>
          <w:color w:val="auto"/>
          <w:sz w:val="24"/>
        </w:rPr>
      </w:pPr>
      <w:r>
        <w:rPr>
          <w:color w:val="auto"/>
          <w:sz w:val="24"/>
        </w:rPr>
        <w:t>（2）应急反应</w:t>
      </w:r>
    </w:p>
    <w:p w14:paraId="2285B2D2">
      <w:pPr>
        <w:spacing w:line="360" w:lineRule="auto"/>
        <w:ind w:firstLine="480" w:firstLineChars="200"/>
        <w:rPr>
          <w:color w:val="auto"/>
          <w:sz w:val="24"/>
        </w:rPr>
      </w:pPr>
      <w:r>
        <w:rPr>
          <w:color w:val="auto"/>
          <w:sz w:val="24"/>
        </w:rPr>
        <w:t>发生溢油事故后，应急小组在接到事故报告后，应迅速进行溢油规模评估，估计溢油漂移趋势及对码头下游水域造成的影响，初步确定应急预案。在经过溢油事故初始评估后，应急小组组长决定是否启动应急计划。若溢油事故规模较小，码头人员、设备具备处理的能力，应立即组织人员、调用设备进行处理，若码头人员、设备不具备处理的能力，应立即启动应急计划。</w:t>
      </w:r>
    </w:p>
    <w:p w14:paraId="0D4F9A8A">
      <w:pPr>
        <w:spacing w:line="360" w:lineRule="auto"/>
        <w:ind w:firstLine="480" w:firstLineChars="200"/>
        <w:rPr>
          <w:color w:val="auto"/>
          <w:sz w:val="24"/>
        </w:rPr>
      </w:pPr>
      <w:r>
        <w:rPr>
          <w:color w:val="auto"/>
          <w:sz w:val="24"/>
        </w:rPr>
        <w:t>应急计划</w:t>
      </w:r>
      <w:r>
        <w:rPr>
          <w:rFonts w:hint="eastAsia"/>
          <w:color w:val="auto"/>
          <w:sz w:val="24"/>
          <w:lang w:eastAsia="zh-CN"/>
        </w:rPr>
        <w:t>反映</w:t>
      </w:r>
      <w:r>
        <w:rPr>
          <w:color w:val="auto"/>
          <w:sz w:val="24"/>
        </w:rPr>
        <w:t>内容包括：由组长或其指定的人员向上级主管部门以及与事故相关的货主、保险公司、海事、环保、水产等部门报告。报告内容应包括：</w:t>
      </w:r>
    </w:p>
    <w:p w14:paraId="5D8C44B9">
      <w:pPr>
        <w:spacing w:line="360" w:lineRule="auto"/>
        <w:ind w:firstLine="480" w:firstLineChars="200"/>
        <w:rPr>
          <w:color w:val="auto"/>
          <w:sz w:val="24"/>
        </w:rPr>
      </w:pPr>
      <w:r>
        <w:rPr>
          <w:color w:val="auto"/>
          <w:sz w:val="24"/>
        </w:rPr>
        <w:t>①事故发生的时间、地点、船名、位置；</w:t>
      </w:r>
    </w:p>
    <w:p w14:paraId="36E6BB91">
      <w:pPr>
        <w:spacing w:line="360" w:lineRule="auto"/>
        <w:ind w:firstLine="480" w:firstLineChars="200"/>
        <w:rPr>
          <w:color w:val="auto"/>
          <w:sz w:val="24"/>
        </w:rPr>
      </w:pPr>
      <w:r>
        <w:rPr>
          <w:color w:val="auto"/>
          <w:sz w:val="24"/>
        </w:rPr>
        <w:t>②事故发生河段气象、水文情况；</w:t>
      </w:r>
    </w:p>
    <w:p w14:paraId="0515D27E">
      <w:pPr>
        <w:spacing w:line="360" w:lineRule="auto"/>
        <w:ind w:firstLine="480" w:firstLineChars="200"/>
        <w:rPr>
          <w:color w:val="auto"/>
          <w:sz w:val="24"/>
        </w:rPr>
      </w:pPr>
      <w:r>
        <w:rPr>
          <w:color w:val="auto"/>
          <w:sz w:val="24"/>
        </w:rPr>
        <w:t>③事故发生后</w:t>
      </w:r>
      <w:r>
        <w:rPr>
          <w:rFonts w:hint="eastAsia"/>
          <w:color w:val="auto"/>
          <w:sz w:val="24"/>
          <w:lang w:eastAsia="zh-CN"/>
        </w:rPr>
        <w:t>已</w:t>
      </w:r>
      <w:r>
        <w:rPr>
          <w:color w:val="auto"/>
          <w:sz w:val="24"/>
        </w:rPr>
        <w:t>采取的措施及控制情况；</w:t>
      </w:r>
    </w:p>
    <w:p w14:paraId="675DF35D">
      <w:pPr>
        <w:spacing w:line="360" w:lineRule="auto"/>
        <w:ind w:firstLine="480" w:firstLineChars="200"/>
        <w:rPr>
          <w:color w:val="auto"/>
          <w:sz w:val="24"/>
        </w:rPr>
      </w:pPr>
      <w:r>
        <w:rPr>
          <w:color w:val="auto"/>
          <w:sz w:val="24"/>
        </w:rPr>
        <w:t>④事故发展势态、可能发生的严重后果；</w:t>
      </w:r>
    </w:p>
    <w:p w14:paraId="1018E794">
      <w:pPr>
        <w:spacing w:line="360" w:lineRule="auto"/>
        <w:ind w:firstLine="480" w:firstLineChars="200"/>
        <w:rPr>
          <w:color w:val="auto"/>
          <w:sz w:val="24"/>
        </w:rPr>
      </w:pPr>
      <w:r>
        <w:rPr>
          <w:color w:val="auto"/>
          <w:sz w:val="24"/>
        </w:rPr>
        <w:t>⑤需要的援助</w:t>
      </w:r>
      <w:r>
        <w:rPr>
          <w:rFonts w:hint="eastAsia"/>
          <w:color w:val="auto"/>
          <w:sz w:val="24"/>
        </w:rPr>
        <w:t>（</w:t>
      </w:r>
      <w:r>
        <w:rPr>
          <w:color w:val="auto"/>
          <w:sz w:val="24"/>
        </w:rPr>
        <w:t>应急设施和物资、人员、环境监测、医疗援助等</w:t>
      </w:r>
      <w:r>
        <w:rPr>
          <w:rFonts w:hint="eastAsia"/>
          <w:color w:val="auto"/>
          <w:sz w:val="24"/>
        </w:rPr>
        <w:t>）</w:t>
      </w:r>
      <w:r>
        <w:rPr>
          <w:color w:val="auto"/>
          <w:sz w:val="24"/>
        </w:rPr>
        <w:t>；</w:t>
      </w:r>
    </w:p>
    <w:p w14:paraId="2F8D79AE">
      <w:pPr>
        <w:spacing w:line="360" w:lineRule="auto"/>
        <w:ind w:firstLine="480" w:firstLineChars="200"/>
        <w:rPr>
          <w:color w:val="auto"/>
          <w:sz w:val="24"/>
        </w:rPr>
      </w:pPr>
      <w:r>
        <w:rPr>
          <w:color w:val="auto"/>
          <w:sz w:val="24"/>
        </w:rPr>
        <w:t>⑥事故报警单位、联系人及联系电话等。</w:t>
      </w:r>
    </w:p>
    <w:p w14:paraId="08CD22B4">
      <w:pPr>
        <w:spacing w:line="360" w:lineRule="auto"/>
        <w:ind w:firstLine="480" w:firstLineChars="200"/>
        <w:rPr>
          <w:color w:val="auto"/>
          <w:sz w:val="24"/>
        </w:rPr>
      </w:pPr>
      <w:r>
        <w:rPr>
          <w:color w:val="auto"/>
          <w:sz w:val="24"/>
        </w:rPr>
        <w:t>应急小组全体成员立即采取应急措施，包括溢油控制与清除，溢油的监测和监视等。当事故规模、气候条件使码头人员、设备无法满足要求时，码头应立即请求淮南市海事局提供外部力量支援，由淮南市海事局视溢油事故的程度和影响范围就近调拨应急设施、物资和工作人员等进行处理。</w:t>
      </w:r>
    </w:p>
    <w:p w14:paraId="1244FAEC">
      <w:pPr>
        <w:spacing w:line="360" w:lineRule="auto"/>
        <w:ind w:firstLine="480" w:firstLineChars="200"/>
        <w:rPr>
          <w:color w:val="auto"/>
          <w:sz w:val="24"/>
        </w:rPr>
      </w:pPr>
      <w:r>
        <w:rPr>
          <w:color w:val="auto"/>
          <w:sz w:val="24"/>
        </w:rPr>
        <w:t>（3）应急设施、设备、材料和管理</w:t>
      </w:r>
    </w:p>
    <w:p w14:paraId="082C2D2F">
      <w:pPr>
        <w:spacing w:line="360" w:lineRule="auto"/>
        <w:ind w:firstLine="480" w:firstLineChars="200"/>
        <w:rPr>
          <w:color w:val="auto"/>
          <w:sz w:val="24"/>
        </w:rPr>
      </w:pPr>
      <w:r>
        <w:rPr>
          <w:color w:val="auto"/>
          <w:sz w:val="24"/>
        </w:rPr>
        <w:t>根据《</w:t>
      </w:r>
      <w:r>
        <w:rPr>
          <w:rFonts w:hint="eastAsia"/>
          <w:color w:val="auto"/>
          <w:sz w:val="24"/>
          <w:lang w:eastAsia="zh-CN"/>
        </w:rPr>
        <w:t>港口码头水上污染事故应急防备能力要求</w:t>
      </w:r>
      <w:r>
        <w:rPr>
          <w:color w:val="auto"/>
          <w:sz w:val="24"/>
        </w:rPr>
        <w:t>》(JT/T451-2017)，本项目码头应配备必要的溢油应急设备，包括：围油栏及附属设备、</w:t>
      </w:r>
      <w:r>
        <w:rPr>
          <w:rFonts w:hint="eastAsia"/>
          <w:color w:val="auto"/>
          <w:sz w:val="24"/>
        </w:rPr>
        <w:t>捞</w:t>
      </w:r>
      <w:r>
        <w:rPr>
          <w:color w:val="auto"/>
          <w:sz w:val="24"/>
        </w:rPr>
        <w:t>油兜、油拖网、吸油毡、溢油分散剂、溢油分散剂喷洒装置、回收废油储存装置等。</w:t>
      </w:r>
    </w:p>
    <w:p w14:paraId="45503399">
      <w:pPr>
        <w:spacing w:line="360" w:lineRule="auto"/>
        <w:ind w:firstLine="480" w:firstLineChars="200"/>
        <w:rPr>
          <w:color w:val="auto"/>
          <w:sz w:val="24"/>
        </w:rPr>
      </w:pPr>
      <w:r>
        <w:rPr>
          <w:color w:val="auto"/>
          <w:sz w:val="24"/>
        </w:rPr>
        <w:t>（4）应急人员管理</w:t>
      </w:r>
    </w:p>
    <w:p w14:paraId="5153A52D">
      <w:pPr>
        <w:spacing w:line="360" w:lineRule="auto"/>
        <w:ind w:firstLine="480" w:firstLineChars="200"/>
        <w:rPr>
          <w:color w:val="auto"/>
          <w:sz w:val="24"/>
        </w:rPr>
      </w:pPr>
      <w:r>
        <w:rPr>
          <w:color w:val="auto"/>
          <w:sz w:val="24"/>
        </w:rPr>
        <w:t>参加应急反应的有关管理、应急清污人员应通过专业的培训和在职培训，掌握所需相关知识，逐步实现应急反应人员持证上岗，使应急人员具备应急反应理论和溢油控制及清污的实践经验。制定详尽的应急计划手册，更新应急组织指挥机构成员及联系方式，并适时举办综合演习，提高应急处置水平和指挥能力，增强应急队伍的应急处置和安全保护技能，加强各应急单位之间的配合与沟通。</w:t>
      </w:r>
    </w:p>
    <w:p w14:paraId="7954886F">
      <w:pPr>
        <w:spacing w:line="360" w:lineRule="auto"/>
        <w:ind w:firstLine="480" w:firstLineChars="200"/>
        <w:rPr>
          <w:color w:val="auto"/>
          <w:sz w:val="24"/>
        </w:rPr>
      </w:pPr>
      <w:r>
        <w:rPr>
          <w:color w:val="auto"/>
          <w:sz w:val="24"/>
        </w:rPr>
        <w:t>综上所述，在建立了上述风险管理、应急预案和应急措施之后，环境风险处于可控范围内，可以避免大的环境风险。</w:t>
      </w:r>
    </w:p>
    <w:p w14:paraId="771158CA">
      <w:pPr>
        <w:spacing w:line="360" w:lineRule="auto"/>
        <w:jc w:val="center"/>
        <w:rPr>
          <w:color w:val="auto"/>
        </w:rPr>
      </w:pPr>
      <w:r>
        <w:rPr>
          <w:color w:val="auto"/>
        </w:rPr>
        <w:drawing>
          <wp:inline distT="0" distB="0" distL="114300" distR="114300">
            <wp:extent cx="5219700" cy="3780155"/>
            <wp:effectExtent l="0" t="0" r="0" b="10795"/>
            <wp:docPr id="216" name="图片 1"/>
            <wp:cNvGraphicFramePr/>
            <a:graphic xmlns:a="http://schemas.openxmlformats.org/drawingml/2006/main">
              <a:graphicData uri="http://schemas.openxmlformats.org/drawingml/2006/picture">
                <pic:pic xmlns:pic="http://schemas.openxmlformats.org/drawingml/2006/picture">
                  <pic:nvPicPr>
                    <pic:cNvPr id="216" name="图片 1"/>
                    <pic:cNvPicPr preferRelativeResize="0"/>
                  </pic:nvPicPr>
                  <pic:blipFill>
                    <a:blip r:embed="rId211"/>
                    <a:stretch>
                      <a:fillRect/>
                    </a:stretch>
                  </pic:blipFill>
                  <pic:spPr>
                    <a:xfrm>
                      <a:off x="0" y="0"/>
                      <a:ext cx="5219700" cy="3780155"/>
                    </a:xfrm>
                    <a:prstGeom prst="rect">
                      <a:avLst/>
                    </a:prstGeom>
                    <a:noFill/>
                    <a:ln>
                      <a:noFill/>
                    </a:ln>
                  </pic:spPr>
                </pic:pic>
              </a:graphicData>
            </a:graphic>
          </wp:inline>
        </w:drawing>
      </w:r>
    </w:p>
    <w:p w14:paraId="2A12D341">
      <w:pPr>
        <w:spacing w:line="400" w:lineRule="exact"/>
        <w:jc w:val="center"/>
        <w:rPr>
          <w:color w:val="auto"/>
          <w:sz w:val="24"/>
        </w:rPr>
      </w:pPr>
      <w:r>
        <w:rPr>
          <w:rFonts w:eastAsia="黑体"/>
          <w:color w:val="auto"/>
          <w:sz w:val="24"/>
        </w:rPr>
        <w:t>图</w:t>
      </w:r>
      <w:r>
        <w:rPr>
          <w:rFonts w:hint="eastAsia" w:eastAsia="黑体"/>
          <w:color w:val="auto"/>
          <w:sz w:val="24"/>
          <w:lang w:val="en-US" w:eastAsia="zh-CN"/>
        </w:rPr>
        <w:t>6.2</w:t>
      </w:r>
      <w:r>
        <w:rPr>
          <w:rFonts w:eastAsia="黑体"/>
          <w:color w:val="auto"/>
          <w:sz w:val="24"/>
        </w:rPr>
        <w:t>-1  溢油事故应急流程</w:t>
      </w:r>
    </w:p>
    <w:p w14:paraId="28D9006D">
      <w:pPr>
        <w:pStyle w:val="5"/>
        <w:numPr>
          <w:ilvl w:val="3"/>
          <w:numId w:val="0"/>
        </w:numPr>
        <w:bidi w:val="0"/>
        <w:ind w:leftChars="0"/>
        <w:rPr>
          <w:rFonts w:hint="eastAsia"/>
          <w:color w:val="auto"/>
          <w:lang w:val="en-US" w:eastAsia="zh-CN"/>
        </w:rPr>
      </w:pPr>
      <w:r>
        <w:rPr>
          <w:rFonts w:hint="eastAsia"/>
          <w:color w:val="auto"/>
          <w:lang w:val="en-US" w:eastAsia="zh-CN"/>
        </w:rPr>
        <w:t>6.2.8.3环境风险评价结论</w:t>
      </w:r>
    </w:p>
    <w:p w14:paraId="71C45EFD">
      <w:pPr>
        <w:pStyle w:val="29"/>
        <w:spacing w:line="360" w:lineRule="auto"/>
        <w:ind w:firstLine="480" w:firstLineChars="200"/>
        <w:rPr>
          <w:rFonts w:hint="eastAsia" w:ascii="Times New Roman" w:hAnsi="Times New Roman"/>
          <w:color w:val="auto"/>
          <w:sz w:val="24"/>
          <w:szCs w:val="24"/>
        </w:rPr>
      </w:pPr>
      <w:r>
        <w:rPr>
          <w:rFonts w:hint="eastAsia" w:ascii="Times New Roman" w:hAnsi="Times New Roman"/>
          <w:color w:val="auto"/>
          <w:sz w:val="24"/>
          <w:szCs w:val="24"/>
        </w:rPr>
        <w:t>拟建项目装卸物质无危险废物及危化品等物质，发生的事故风险主要是船舶碰撞、搁浅、船体破损等产生的溢油导致的淮河淮南段水体污染。溢油事故发生后如果及时采取相应的措施，浮于水面的油对水体的影响可以大大的减轻，而且油膜破坏后，将在水力和风力作用下继续发生蒸发、溶解、分散、乳化、生物降解等，即受环境因素影响所发生的物理化学变化，在一定时间内逐步消散，在污染应急计划启动及时、措施到位的情况下，溢油事故对该航道的影响范围将</w:t>
      </w:r>
      <w:r>
        <w:rPr>
          <w:rFonts w:hint="eastAsia" w:ascii="Times New Roman" w:hAnsi="Times New Roman"/>
          <w:color w:val="auto"/>
          <w:sz w:val="24"/>
          <w:szCs w:val="24"/>
          <w:lang w:eastAsia="zh-CN"/>
        </w:rPr>
        <w:t>能得到有效控制</w:t>
      </w:r>
      <w:r>
        <w:rPr>
          <w:rFonts w:hint="eastAsia" w:ascii="Times New Roman" w:hAnsi="Times New Roman"/>
          <w:color w:val="auto"/>
          <w:sz w:val="24"/>
          <w:szCs w:val="24"/>
        </w:rPr>
        <w:t>。</w:t>
      </w:r>
    </w:p>
    <w:p w14:paraId="1D5C0BE5">
      <w:pPr>
        <w:pStyle w:val="29"/>
        <w:spacing w:line="360" w:lineRule="auto"/>
        <w:ind w:firstLine="480" w:firstLineChars="200"/>
        <w:rPr>
          <w:rFonts w:ascii="Times New Roman" w:hAnsi="Times New Roman"/>
          <w:color w:val="auto"/>
          <w:sz w:val="24"/>
          <w:szCs w:val="24"/>
        </w:rPr>
      </w:pPr>
      <w:r>
        <w:rPr>
          <w:rFonts w:hint="eastAsia" w:ascii="Times New Roman" w:hAnsi="Times New Roman"/>
          <w:color w:val="auto"/>
          <w:sz w:val="24"/>
          <w:szCs w:val="24"/>
        </w:rPr>
        <w:t>从分析结果看出，溢油事故将不可避免</w:t>
      </w:r>
      <w:r>
        <w:rPr>
          <w:rFonts w:hint="eastAsia" w:ascii="Times New Roman" w:hAnsi="Times New Roman"/>
          <w:color w:val="auto"/>
          <w:sz w:val="24"/>
          <w:szCs w:val="24"/>
          <w:lang w:eastAsia="zh-CN"/>
        </w:rPr>
        <w:t>地</w:t>
      </w:r>
      <w:r>
        <w:rPr>
          <w:rFonts w:hint="eastAsia" w:ascii="Times New Roman" w:hAnsi="Times New Roman"/>
          <w:color w:val="auto"/>
          <w:sz w:val="24"/>
          <w:szCs w:val="24"/>
        </w:rPr>
        <w:t>对下游水质产生一定的污染影响，并造成事故水域内一些鱼类和其他水生生物的伤亡，因此要加强航船管理，严防事故发生，减少对淮河淮南段水生生态的影响</w:t>
      </w:r>
      <w:r>
        <w:rPr>
          <w:rFonts w:ascii="Times New Roman" w:hAnsi="Times New Roman"/>
          <w:color w:val="auto"/>
          <w:sz w:val="24"/>
          <w:szCs w:val="24"/>
        </w:rPr>
        <w:t>。</w:t>
      </w:r>
    </w:p>
    <w:p w14:paraId="5A5A3BC3">
      <w:pPr>
        <w:pStyle w:val="29"/>
        <w:spacing w:line="400" w:lineRule="exact"/>
        <w:jc w:val="center"/>
        <w:rPr>
          <w:rFonts w:ascii="Times New Roman" w:hAnsi="Times New Roman" w:eastAsia="黑体"/>
          <w:color w:val="auto"/>
          <w:sz w:val="24"/>
          <w:szCs w:val="24"/>
        </w:rPr>
      </w:pPr>
      <w:r>
        <w:rPr>
          <w:rFonts w:ascii="Times New Roman" w:hAnsi="Times New Roman" w:eastAsia="黑体"/>
          <w:color w:val="auto"/>
          <w:sz w:val="24"/>
          <w:szCs w:val="24"/>
        </w:rPr>
        <w:t>表</w:t>
      </w:r>
      <w:r>
        <w:rPr>
          <w:rFonts w:hint="eastAsia" w:ascii="Times New Roman" w:hAnsi="Times New Roman" w:eastAsia="黑体"/>
          <w:color w:val="auto"/>
          <w:sz w:val="24"/>
          <w:szCs w:val="24"/>
          <w:lang w:val="en-US" w:eastAsia="zh-CN"/>
        </w:rPr>
        <w:t>6.2</w:t>
      </w:r>
      <w:r>
        <w:rPr>
          <w:rFonts w:ascii="Times New Roman" w:hAnsi="Times New Roman" w:eastAsia="黑体"/>
          <w:color w:val="auto"/>
          <w:sz w:val="24"/>
          <w:szCs w:val="24"/>
        </w:rPr>
        <w:t>-</w:t>
      </w:r>
      <w:r>
        <w:rPr>
          <w:rFonts w:hint="eastAsia" w:ascii="Times New Roman" w:hAnsi="Times New Roman" w:eastAsia="黑体"/>
          <w:color w:val="auto"/>
          <w:sz w:val="24"/>
          <w:szCs w:val="24"/>
        </w:rPr>
        <w:t>7</w:t>
      </w:r>
      <w:r>
        <w:rPr>
          <w:rFonts w:ascii="Times New Roman" w:hAnsi="Times New Roman" w:eastAsia="黑体"/>
          <w:color w:val="auto"/>
          <w:sz w:val="24"/>
          <w:szCs w:val="24"/>
        </w:rPr>
        <w:t xml:space="preserve">  环境风险评价自查表</w:t>
      </w:r>
    </w:p>
    <w:tbl>
      <w:tblPr>
        <w:tblStyle w:val="53"/>
        <w:tblW w:w="0" w:type="auto"/>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126"/>
        <w:gridCol w:w="1831"/>
        <w:gridCol w:w="1831"/>
        <w:gridCol w:w="1831"/>
      </w:tblGrid>
      <w:tr w14:paraId="6CC7AB2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68" w:type="dxa"/>
            <w:noWrap w:val="0"/>
            <w:vAlign w:val="center"/>
          </w:tcPr>
          <w:p w14:paraId="230AC616">
            <w:pPr>
              <w:pStyle w:val="29"/>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rPr>
            </w:pPr>
            <w:r>
              <w:rPr>
                <w:rFonts w:hint="eastAsia" w:ascii="Times New Roman" w:hAnsi="Times New Roman" w:cs="Times New Roman"/>
                <w:color w:val="auto"/>
                <w:szCs w:val="21"/>
              </w:rPr>
              <w:t>建设项目名称</w:t>
            </w:r>
          </w:p>
        </w:tc>
        <w:tc>
          <w:tcPr>
            <w:tcW w:w="7619" w:type="dxa"/>
            <w:gridSpan w:val="4"/>
            <w:noWrap w:val="0"/>
            <w:vAlign w:val="center"/>
          </w:tcPr>
          <w:p w14:paraId="1D1BEF1C">
            <w:pPr>
              <w:pStyle w:val="29"/>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rPr>
            </w:pPr>
            <w:r>
              <w:rPr>
                <w:rFonts w:hint="eastAsia" w:ascii="Times New Roman" w:hAnsi="Times New Roman" w:cs="Times New Roman"/>
                <w:color w:val="auto"/>
                <w:szCs w:val="21"/>
              </w:rPr>
              <w:t>淮南市兴华园码头复工建设项目</w:t>
            </w:r>
          </w:p>
        </w:tc>
      </w:tr>
      <w:tr w14:paraId="1345703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68" w:type="dxa"/>
            <w:noWrap w:val="0"/>
            <w:vAlign w:val="center"/>
          </w:tcPr>
          <w:p w14:paraId="2C835DC4">
            <w:pPr>
              <w:pStyle w:val="29"/>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rPr>
            </w:pPr>
            <w:r>
              <w:rPr>
                <w:rFonts w:hint="eastAsia" w:ascii="Times New Roman" w:hAnsi="Times New Roman" w:cs="Times New Roman"/>
                <w:color w:val="auto"/>
                <w:szCs w:val="21"/>
              </w:rPr>
              <w:t>建设地点</w:t>
            </w:r>
          </w:p>
        </w:tc>
        <w:tc>
          <w:tcPr>
            <w:tcW w:w="7619" w:type="dxa"/>
            <w:gridSpan w:val="4"/>
            <w:noWrap w:val="0"/>
            <w:vAlign w:val="center"/>
          </w:tcPr>
          <w:p w14:paraId="51D5F5C9">
            <w:pPr>
              <w:pStyle w:val="29"/>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rPr>
            </w:pPr>
            <w:r>
              <w:rPr>
                <w:rFonts w:hint="eastAsia" w:ascii="Times New Roman" w:hAnsi="Times New Roman" w:cs="Times New Roman"/>
                <w:color w:val="auto"/>
                <w:szCs w:val="21"/>
              </w:rPr>
              <w:t>淮南市潘集区平圩镇淮河北汊的左岸潘集港区规划作业区</w:t>
            </w:r>
          </w:p>
        </w:tc>
      </w:tr>
      <w:tr w14:paraId="64BD395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68" w:type="dxa"/>
            <w:noWrap w:val="0"/>
            <w:vAlign w:val="center"/>
          </w:tcPr>
          <w:p w14:paraId="23CCD9F0">
            <w:pPr>
              <w:pStyle w:val="29"/>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rPr>
            </w:pPr>
            <w:r>
              <w:rPr>
                <w:rFonts w:hint="eastAsia" w:ascii="Times New Roman" w:hAnsi="Times New Roman" w:cs="Times New Roman"/>
                <w:color w:val="auto"/>
                <w:szCs w:val="21"/>
              </w:rPr>
              <w:t>地理坐标</w:t>
            </w:r>
          </w:p>
        </w:tc>
        <w:tc>
          <w:tcPr>
            <w:tcW w:w="2126" w:type="dxa"/>
            <w:noWrap w:val="0"/>
            <w:vAlign w:val="center"/>
          </w:tcPr>
          <w:p w14:paraId="3562752F">
            <w:pPr>
              <w:pStyle w:val="29"/>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rPr>
            </w:pPr>
            <w:r>
              <w:rPr>
                <w:rFonts w:hint="eastAsia" w:ascii="Times New Roman" w:hAnsi="Times New Roman" w:cs="Times New Roman"/>
                <w:color w:val="auto"/>
                <w:szCs w:val="21"/>
              </w:rPr>
              <w:t>经度</w:t>
            </w:r>
          </w:p>
        </w:tc>
        <w:tc>
          <w:tcPr>
            <w:tcW w:w="1831" w:type="dxa"/>
            <w:noWrap w:val="0"/>
            <w:vAlign w:val="center"/>
          </w:tcPr>
          <w:p w14:paraId="14BF1F15">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116.90191001</w:t>
            </w:r>
          </w:p>
        </w:tc>
        <w:tc>
          <w:tcPr>
            <w:tcW w:w="1831" w:type="dxa"/>
            <w:noWrap w:val="0"/>
            <w:vAlign w:val="center"/>
          </w:tcPr>
          <w:p w14:paraId="21779574">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纬度</w:t>
            </w:r>
          </w:p>
        </w:tc>
        <w:tc>
          <w:tcPr>
            <w:tcW w:w="1831" w:type="dxa"/>
            <w:noWrap w:val="0"/>
            <w:vAlign w:val="center"/>
          </w:tcPr>
          <w:p w14:paraId="2204A1F4">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32.67087058</w:t>
            </w:r>
            <w:r>
              <w:rPr>
                <w:rFonts w:hint="eastAsia" w:ascii="Times New Roman" w:hAnsi="Times New Roman" w:cs="Times New Roman"/>
                <w:color w:val="auto"/>
                <w:szCs w:val="21"/>
              </w:rPr>
              <w:t>°</w:t>
            </w:r>
          </w:p>
        </w:tc>
      </w:tr>
      <w:tr w14:paraId="22DE6C9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68" w:type="dxa"/>
            <w:noWrap w:val="0"/>
            <w:vAlign w:val="center"/>
          </w:tcPr>
          <w:p w14:paraId="7310DAE8">
            <w:pPr>
              <w:pStyle w:val="29"/>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rPr>
            </w:pPr>
            <w:r>
              <w:rPr>
                <w:rFonts w:hint="eastAsia" w:ascii="Times New Roman" w:hAnsi="Times New Roman" w:cs="Times New Roman"/>
                <w:color w:val="auto"/>
                <w:szCs w:val="21"/>
              </w:rPr>
              <w:t>主要危险物质及分布</w:t>
            </w:r>
          </w:p>
        </w:tc>
        <w:tc>
          <w:tcPr>
            <w:tcW w:w="7619" w:type="dxa"/>
            <w:gridSpan w:val="4"/>
            <w:noWrap w:val="0"/>
            <w:vAlign w:val="center"/>
          </w:tcPr>
          <w:p w14:paraId="5816DE07">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default" w:ascii="Times New Roman" w:hAnsi="Times New Roman" w:cs="Times New Roman"/>
                <w:color w:val="auto"/>
                <w:szCs w:val="21"/>
              </w:rPr>
              <w:t>油类物质</w:t>
            </w:r>
          </w:p>
        </w:tc>
      </w:tr>
      <w:tr w14:paraId="2E6ADA7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68" w:type="dxa"/>
            <w:noWrap w:val="0"/>
            <w:vAlign w:val="center"/>
          </w:tcPr>
          <w:p w14:paraId="454EBBD4">
            <w:pPr>
              <w:pStyle w:val="29"/>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rPr>
            </w:pPr>
            <w:r>
              <w:rPr>
                <w:rFonts w:hint="eastAsia" w:ascii="Times New Roman" w:hAnsi="Times New Roman" w:cs="Times New Roman"/>
                <w:color w:val="auto"/>
                <w:szCs w:val="21"/>
              </w:rPr>
              <w:t>环境影响途径及危害后果</w:t>
            </w:r>
          </w:p>
        </w:tc>
        <w:tc>
          <w:tcPr>
            <w:tcW w:w="7619" w:type="dxa"/>
            <w:gridSpan w:val="4"/>
            <w:noWrap w:val="0"/>
            <w:vAlign w:val="center"/>
          </w:tcPr>
          <w:p w14:paraId="4E2C3EE3">
            <w:pPr>
              <w:pStyle w:val="29"/>
              <w:keepNext w:val="0"/>
              <w:keepLines w:val="0"/>
              <w:suppressLineNumbers w:val="0"/>
              <w:spacing w:before="0" w:beforeAutospacing="0" w:after="0" w:afterAutospacing="0"/>
              <w:ind w:left="0" w:right="0"/>
              <w:jc w:val="center"/>
              <w:rPr>
                <w:rFonts w:hint="eastAsia" w:ascii="Times New Roman" w:hAnsi="Times New Roman" w:cs="Times New Roman"/>
                <w:color w:val="auto"/>
                <w:szCs w:val="21"/>
              </w:rPr>
            </w:pPr>
            <w:r>
              <w:rPr>
                <w:rFonts w:hint="eastAsia" w:ascii="Times New Roman" w:hAnsi="Times New Roman" w:cs="Times New Roman"/>
                <w:color w:val="auto"/>
                <w:szCs w:val="21"/>
              </w:rPr>
              <w:t>地表水环境影响分析：运营期的环境风险主要是由于船舶本身出现设施损坏，或者发生船舶碰撞，有可能使油类及液体化学品泄漏溢出，造成航道的水环境污染。一旦发生溢油污染事故，将对航道内的生物、鱼类影响较大。建设单位必须严格制定并落实事故风险防范措施和事故应急预案。</w:t>
            </w:r>
          </w:p>
        </w:tc>
      </w:tr>
      <w:tr w14:paraId="10FACDE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68" w:type="dxa"/>
            <w:noWrap w:val="0"/>
            <w:vAlign w:val="center"/>
          </w:tcPr>
          <w:p w14:paraId="6885693A">
            <w:pPr>
              <w:pStyle w:val="29"/>
              <w:keepNext w:val="0"/>
              <w:keepLines w:val="0"/>
              <w:suppressLineNumbers w:val="0"/>
              <w:spacing w:before="0" w:beforeAutospacing="0" w:after="0" w:afterAutospacing="0"/>
              <w:ind w:left="0" w:right="0"/>
              <w:jc w:val="center"/>
              <w:rPr>
                <w:rFonts w:hint="default" w:ascii="Times New Roman" w:hAnsi="Times New Roman" w:cs="Times New Roman"/>
                <w:color w:val="auto"/>
                <w:szCs w:val="21"/>
              </w:rPr>
            </w:pPr>
            <w:r>
              <w:rPr>
                <w:rFonts w:hint="eastAsia" w:ascii="Times New Roman" w:hAnsi="Times New Roman" w:cs="Times New Roman"/>
                <w:color w:val="auto"/>
                <w:szCs w:val="21"/>
              </w:rPr>
              <w:t>风险防范措施要求</w:t>
            </w:r>
          </w:p>
        </w:tc>
        <w:tc>
          <w:tcPr>
            <w:tcW w:w="7619" w:type="dxa"/>
            <w:gridSpan w:val="4"/>
            <w:noWrap w:val="0"/>
            <w:vAlign w:val="center"/>
          </w:tcPr>
          <w:p w14:paraId="3E8C7DA9">
            <w:pPr>
              <w:pStyle w:val="29"/>
              <w:keepNext w:val="0"/>
              <w:keepLines w:val="0"/>
              <w:suppressLineNumbers w:val="0"/>
              <w:spacing w:before="0" w:beforeAutospacing="0" w:after="0" w:afterAutospacing="0"/>
              <w:ind w:left="0" w:right="0"/>
              <w:rPr>
                <w:rFonts w:hint="eastAsia" w:ascii="Times New Roman" w:hAnsi="Times New Roman" w:cs="Times New Roman"/>
                <w:color w:val="auto"/>
                <w:szCs w:val="21"/>
              </w:rPr>
            </w:pPr>
            <w:r>
              <w:rPr>
                <w:rFonts w:hint="eastAsia" w:ascii="Times New Roman" w:hAnsi="Times New Roman" w:cs="Times New Roman"/>
                <w:color w:val="auto"/>
                <w:szCs w:val="21"/>
              </w:rPr>
              <w:t>（1）航道沿线设置明显的航道标识以保证过往船只的通行协调性。在淮河淮南段项目地设立警示牌，内容为：①禁止船舶排放污水和垃圾；②应急救援电话12395。</w:t>
            </w:r>
          </w:p>
          <w:p w14:paraId="2D40BF62">
            <w:pPr>
              <w:pStyle w:val="29"/>
              <w:keepNext w:val="0"/>
              <w:keepLines w:val="0"/>
              <w:suppressLineNumbers w:val="0"/>
              <w:spacing w:before="0" w:beforeAutospacing="0" w:after="0" w:afterAutospacing="0"/>
              <w:ind w:left="0" w:right="0"/>
              <w:rPr>
                <w:rFonts w:hint="eastAsia" w:ascii="Times New Roman" w:hAnsi="Times New Roman" w:cs="Times New Roman"/>
                <w:color w:val="auto"/>
                <w:szCs w:val="21"/>
              </w:rPr>
            </w:pPr>
            <w:r>
              <w:rPr>
                <w:rFonts w:hint="eastAsia" w:ascii="Times New Roman" w:hAnsi="Times New Roman" w:cs="Times New Roman"/>
                <w:color w:val="auto"/>
                <w:szCs w:val="21"/>
              </w:rPr>
              <w:t>（</w:t>
            </w:r>
            <w:r>
              <w:rPr>
                <w:rFonts w:hint="default" w:ascii="Times New Roman" w:hAnsi="Times New Roman" w:cs="Times New Roman"/>
                <w:color w:val="auto"/>
                <w:szCs w:val="21"/>
              </w:rPr>
              <w:t>2</w:t>
            </w:r>
            <w:r>
              <w:rPr>
                <w:rFonts w:hint="eastAsia" w:ascii="Times New Roman" w:hAnsi="Times New Roman" w:cs="Times New Roman"/>
                <w:color w:val="auto"/>
                <w:szCs w:val="21"/>
              </w:rPr>
              <w:t>）通航船舶对应所运输的物料性质，在船上自备分散剂、围油栏或吸油毡等泄漏应急回收装置。若船舶发生溢油事故，考虑配备分散剂、围油设备（围油栏）、消防设备（消油剂及喷洒装置）、收油设备（吸油毡、吸油机）等应急物资。</w:t>
            </w:r>
          </w:p>
          <w:p w14:paraId="1D414C5C">
            <w:pPr>
              <w:pStyle w:val="29"/>
              <w:keepNext w:val="0"/>
              <w:keepLines w:val="0"/>
              <w:suppressLineNumbers w:val="0"/>
              <w:spacing w:before="0" w:beforeAutospacing="0" w:after="0" w:afterAutospacing="0"/>
              <w:ind w:left="0" w:right="0"/>
              <w:rPr>
                <w:rFonts w:hint="eastAsia" w:ascii="Times New Roman" w:hAnsi="Times New Roman" w:cs="Times New Roman"/>
                <w:color w:val="auto"/>
                <w:szCs w:val="21"/>
              </w:rPr>
            </w:pPr>
            <w:r>
              <w:rPr>
                <w:rFonts w:hint="eastAsia" w:ascii="Times New Roman" w:hAnsi="Times New Roman" w:cs="Times New Roman"/>
                <w:color w:val="auto"/>
                <w:szCs w:val="21"/>
              </w:rPr>
              <w:t>（3）海事部门应加强航道监管，重点巡查锚地、河道交叉、桥梁段船舶航行安全情况，检查船舶应急器材配备情况。对于运输列入《剧毒化学品目录》的剧毒化学品和国家禁止在内河运输的其他危险化学品的、船舶结构不符合危险化学品运输要求的、无危险货物适装证书的、无船舶污染损害责任保险证书或者财务担保证明的</w:t>
            </w:r>
            <w:r>
              <w:rPr>
                <w:rFonts w:hint="eastAsia" w:ascii="Times New Roman" w:hAnsi="Times New Roman" w:cs="Times New Roman"/>
                <w:color w:val="auto"/>
                <w:szCs w:val="21"/>
                <w:lang w:eastAsia="zh-CN"/>
              </w:rPr>
              <w:t>、</w:t>
            </w:r>
            <w:r>
              <w:rPr>
                <w:rFonts w:hint="eastAsia" w:ascii="Times New Roman" w:hAnsi="Times New Roman" w:cs="Times New Roman"/>
                <w:color w:val="auto"/>
                <w:szCs w:val="21"/>
              </w:rPr>
              <w:t>未配备必要应急器材的船舶，应禁止通行。</w:t>
            </w:r>
          </w:p>
          <w:p w14:paraId="0D8F7142">
            <w:pPr>
              <w:pStyle w:val="29"/>
              <w:keepNext w:val="0"/>
              <w:keepLines w:val="0"/>
              <w:suppressLineNumbers w:val="0"/>
              <w:spacing w:before="0" w:beforeAutospacing="0" w:after="0" w:afterAutospacing="0"/>
              <w:ind w:left="0" w:right="0"/>
              <w:rPr>
                <w:rFonts w:hint="default" w:ascii="Times New Roman" w:hAnsi="Times New Roman" w:cs="Times New Roman"/>
                <w:color w:val="auto"/>
                <w:szCs w:val="21"/>
              </w:rPr>
            </w:pPr>
            <w:r>
              <w:rPr>
                <w:rFonts w:hint="eastAsia" w:ascii="Times New Roman" w:hAnsi="Times New Roman" w:cs="Times New Roman"/>
                <w:color w:val="auto"/>
                <w:szCs w:val="21"/>
              </w:rPr>
              <w:t>（4）依托淮南市及地方海事局下属的内河水上搜救中心建立应急救援队伍，配备包括围油栏、收油机、围油栏布放艇、浮油回收船等在内的装备、器材。</w:t>
            </w:r>
          </w:p>
          <w:p w14:paraId="2D399345">
            <w:pPr>
              <w:pStyle w:val="29"/>
              <w:keepNext w:val="0"/>
              <w:keepLines w:val="0"/>
              <w:suppressLineNumbers w:val="0"/>
              <w:spacing w:before="0" w:beforeAutospacing="0" w:after="0" w:afterAutospacing="0"/>
              <w:ind w:left="0" w:right="0"/>
              <w:rPr>
                <w:rFonts w:hint="eastAsia" w:ascii="Times New Roman" w:hAnsi="Times New Roman" w:cs="Times New Roman"/>
                <w:color w:val="auto"/>
                <w:szCs w:val="21"/>
              </w:rPr>
            </w:pPr>
            <w:r>
              <w:rPr>
                <w:rFonts w:hint="eastAsia" w:ascii="Times New Roman" w:hAnsi="Times New Roman" w:cs="Times New Roman"/>
                <w:color w:val="auto"/>
                <w:szCs w:val="21"/>
              </w:rPr>
              <w:t>（5）一旦发生船舶碰撞泄漏环境风险事故，船方应立即报告主管部门（海事部门、生态环境部门、公安消防部门等）并实施应急计划，同时向邻近船舶请求共同协作，在保证船员人身安全的前提下及时用自备围油栏、吸油毡等进行初步堵漏控制，使事故产生的影响减至最小，最大程度减少对水环境保护目标的影响。</w:t>
            </w:r>
          </w:p>
          <w:p w14:paraId="57A8700B">
            <w:pPr>
              <w:pStyle w:val="29"/>
              <w:keepNext w:val="0"/>
              <w:keepLines w:val="0"/>
              <w:suppressLineNumbers w:val="0"/>
              <w:spacing w:before="0" w:beforeAutospacing="0" w:after="0" w:afterAutospacing="0"/>
              <w:ind w:left="0" w:right="0"/>
              <w:rPr>
                <w:rFonts w:hint="eastAsia" w:ascii="Times New Roman" w:hAnsi="Times New Roman" w:cs="Times New Roman"/>
                <w:color w:val="auto"/>
                <w:szCs w:val="21"/>
              </w:rPr>
            </w:pPr>
            <w:r>
              <w:rPr>
                <w:rFonts w:hint="eastAsia" w:ascii="Times New Roman" w:hAnsi="Times New Roman" w:cs="Times New Roman"/>
                <w:color w:val="auto"/>
                <w:szCs w:val="21"/>
              </w:rPr>
              <w:t>（6）内河水上搜救中心接到事故报告后，应根据事故性质、污染程度和救助要求，迅速评估事故等级，并及时启动水上危险化学品事故应急预案。</w:t>
            </w:r>
          </w:p>
          <w:p w14:paraId="218AADF7">
            <w:pPr>
              <w:pStyle w:val="29"/>
              <w:keepNext w:val="0"/>
              <w:keepLines w:val="0"/>
              <w:suppressLineNumbers w:val="0"/>
              <w:spacing w:before="0" w:beforeAutospacing="0" w:after="0" w:afterAutospacing="0"/>
              <w:ind w:left="0" w:right="0"/>
              <w:rPr>
                <w:rFonts w:hint="eastAsia" w:ascii="Times New Roman" w:hAnsi="Times New Roman" w:cs="Times New Roman"/>
                <w:color w:val="auto"/>
                <w:szCs w:val="21"/>
              </w:rPr>
            </w:pPr>
            <w:r>
              <w:rPr>
                <w:rFonts w:hint="eastAsia" w:ascii="Times New Roman" w:hAnsi="Times New Roman" w:cs="Times New Roman"/>
                <w:color w:val="auto"/>
                <w:szCs w:val="21"/>
              </w:rPr>
              <w:t>事故废水环境风险防范：制定事故应急减缓措施。</w:t>
            </w:r>
          </w:p>
        </w:tc>
      </w:tr>
    </w:tbl>
    <w:p w14:paraId="4CA9CEB2">
      <w:pPr>
        <w:keepNext/>
        <w:keepLines/>
        <w:widowControl w:val="0"/>
        <w:numPr>
          <w:ilvl w:val="0"/>
          <w:numId w:val="0"/>
        </w:numPr>
        <w:spacing w:line="360" w:lineRule="auto"/>
        <w:jc w:val="center"/>
        <w:outlineLvl w:val="0"/>
        <w:rPr>
          <w:rFonts w:hint="eastAsia" w:ascii="Times New Roman" w:hAnsi="Times New Roman" w:eastAsia="宋体" w:cs="Times New Roman"/>
          <w:b/>
          <w:bCs/>
          <w:color w:val="auto"/>
          <w:kern w:val="44"/>
          <w:sz w:val="44"/>
          <w:szCs w:val="44"/>
          <w:lang w:val="en-US" w:eastAsia="zh-CN" w:bidi="ar-SA"/>
        </w:rPr>
        <w:sectPr>
          <w:pgSz w:w="11906" w:h="16838"/>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45E4151C">
      <w:pPr>
        <w:keepNext/>
        <w:keepLines/>
        <w:widowControl w:val="0"/>
        <w:numPr>
          <w:ilvl w:val="0"/>
          <w:numId w:val="0"/>
        </w:numPr>
        <w:spacing w:line="360" w:lineRule="auto"/>
        <w:jc w:val="center"/>
        <w:outlineLvl w:val="0"/>
        <w:rPr>
          <w:rFonts w:ascii="Times New Roman" w:hAnsi="Times New Roman" w:eastAsia="宋体" w:cs="Times New Roman"/>
          <w:b/>
          <w:bCs/>
          <w:color w:val="auto"/>
          <w:kern w:val="44"/>
          <w:sz w:val="44"/>
          <w:szCs w:val="44"/>
          <w:lang w:val="en-US" w:eastAsia="zh-CN" w:bidi="ar-SA"/>
        </w:rPr>
      </w:pPr>
      <w:bookmarkStart w:id="296" w:name="_Toc26862"/>
      <w:r>
        <w:rPr>
          <w:rFonts w:hint="eastAsia" w:ascii="Times New Roman" w:hAnsi="Times New Roman" w:eastAsia="宋体" w:cs="Times New Roman"/>
          <w:b/>
          <w:bCs/>
          <w:color w:val="auto"/>
          <w:kern w:val="44"/>
          <w:sz w:val="44"/>
          <w:szCs w:val="44"/>
          <w:lang w:val="en-US" w:eastAsia="zh-CN" w:bidi="ar-SA"/>
        </w:rPr>
        <w:t>7</w:t>
      </w:r>
      <w:r>
        <w:rPr>
          <w:rFonts w:ascii="Times New Roman" w:hAnsi="Times New Roman" w:eastAsia="宋体" w:cs="Times New Roman"/>
          <w:b/>
          <w:bCs/>
          <w:color w:val="auto"/>
          <w:kern w:val="44"/>
          <w:sz w:val="44"/>
          <w:szCs w:val="44"/>
          <w:lang w:val="en-US" w:eastAsia="zh-CN" w:bidi="ar-SA"/>
        </w:rPr>
        <w:t>环境经济损益分析</w:t>
      </w:r>
      <w:bookmarkEnd w:id="296"/>
    </w:p>
    <w:p w14:paraId="79C9D17B">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297" w:name="_Toc14478"/>
      <w:r>
        <w:rPr>
          <w:rFonts w:hint="eastAsia" w:ascii="Times New Roman" w:hAnsi="Times New Roman" w:eastAsia="黑体" w:cs="Times New Roman"/>
          <w:bCs/>
          <w:color w:val="auto"/>
          <w:kern w:val="2"/>
          <w:sz w:val="30"/>
          <w:szCs w:val="32"/>
          <w:lang w:val="en-US" w:eastAsia="zh-CN" w:bidi="ar-SA"/>
        </w:rPr>
        <w:t>7.1</w:t>
      </w:r>
      <w:r>
        <w:rPr>
          <w:rFonts w:ascii="Times New Roman" w:hAnsi="Times New Roman" w:eastAsia="黑体" w:cs="Times New Roman"/>
          <w:bCs/>
          <w:color w:val="auto"/>
          <w:kern w:val="2"/>
          <w:sz w:val="30"/>
          <w:szCs w:val="32"/>
          <w:lang w:val="en-US" w:eastAsia="zh-CN" w:bidi="ar-SA"/>
        </w:rPr>
        <w:t>项目社会及经济效益分析</w:t>
      </w:r>
      <w:bookmarkEnd w:id="297"/>
    </w:p>
    <w:p w14:paraId="0E0D52F7">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本项目码头位于</w:t>
      </w:r>
      <w:r>
        <w:rPr>
          <w:rFonts w:hint="eastAsia" w:ascii="Times New Roman" w:hAnsi="Times New Roman" w:eastAsia="宋体" w:cs="Times New Roman"/>
          <w:color w:val="auto"/>
          <w:sz w:val="24"/>
        </w:rPr>
        <w:t>淮河北汊的左岸潘集港区规划作业区</w:t>
      </w:r>
      <w:r>
        <w:rPr>
          <w:rFonts w:ascii="Times New Roman" w:hAnsi="Times New Roman" w:eastAsia="宋体" w:cs="Times New Roman"/>
          <w:color w:val="auto"/>
          <w:sz w:val="24"/>
        </w:rPr>
        <w:t>，本项目的建设优化了资源配置，实现可持续发展的需要。本项目的建设也是腹地企业的需要。</w:t>
      </w:r>
    </w:p>
    <w:p w14:paraId="2489EEE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项目的运营将直接为社会提供就业岗位。同时，本项目可促进地方经济发展，在提高企业经济效益的同时，增加国家和地方税收收入。本项目实施后，为当地居民增加了社会服务容量，所在地区的消费水平预计将会有所提高。同时，对所在地区的居民收入将产生积极的影响，主要是由于带动了运输业、服务业、制造业发展，从而带动了当地居民收入的提高。</w:t>
      </w:r>
    </w:p>
    <w:p w14:paraId="169329EE">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因此，本项目的建设具有较好的社会经济效益。</w:t>
      </w:r>
    </w:p>
    <w:p w14:paraId="5C48972C">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298" w:name="_Toc28146"/>
      <w:r>
        <w:rPr>
          <w:rFonts w:hint="eastAsia" w:ascii="Times New Roman" w:hAnsi="Times New Roman" w:eastAsia="黑体" w:cs="Times New Roman"/>
          <w:bCs/>
          <w:color w:val="auto"/>
          <w:kern w:val="2"/>
          <w:sz w:val="30"/>
          <w:szCs w:val="32"/>
          <w:lang w:val="en-US" w:eastAsia="zh-CN" w:bidi="ar-SA"/>
        </w:rPr>
        <w:t>7.2</w:t>
      </w:r>
      <w:r>
        <w:rPr>
          <w:rFonts w:ascii="Times New Roman" w:hAnsi="Times New Roman" w:eastAsia="黑体" w:cs="Times New Roman"/>
          <w:bCs/>
          <w:color w:val="auto"/>
          <w:kern w:val="2"/>
          <w:sz w:val="30"/>
          <w:szCs w:val="32"/>
          <w:lang w:val="en-US" w:eastAsia="zh-CN" w:bidi="ar-SA"/>
        </w:rPr>
        <w:t>环保设施投资估算</w:t>
      </w:r>
      <w:bookmarkEnd w:id="298"/>
    </w:p>
    <w:p w14:paraId="19968790">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本项目涉及的环保措施包括：水、气、声污染防治措施、事故应急措施、绿化等。环保投资估算见表7.2-1。工程环保措施投资约</w:t>
      </w:r>
      <w:r>
        <w:rPr>
          <w:rFonts w:hint="eastAsia" w:ascii="Times New Roman" w:hAnsi="Times New Roman" w:eastAsia="宋体" w:cs="Times New Roman"/>
          <w:color w:val="auto"/>
          <w:sz w:val="24"/>
          <w:lang w:val="en-US" w:eastAsia="zh-CN"/>
        </w:rPr>
        <w:t>40</w:t>
      </w:r>
      <w:r>
        <w:rPr>
          <w:rFonts w:hint="eastAsia" w:ascii="Times New Roman" w:hAnsi="Times New Roman" w:eastAsia="宋体" w:cs="Times New Roman"/>
          <w:color w:val="auto"/>
          <w:sz w:val="24"/>
        </w:rPr>
        <w:t>万元，占本次工程总投资（总投资240.37万元）的</w:t>
      </w:r>
      <w:r>
        <w:rPr>
          <w:rFonts w:ascii="Times New Roman" w:hAnsi="Times New Roman" w:eastAsia="宋体" w:cs="Times New Roman"/>
          <w:color w:val="auto"/>
          <w:sz w:val="24"/>
        </w:rPr>
        <w:t>1</w:t>
      </w:r>
      <w:r>
        <w:rPr>
          <w:rFonts w:hint="eastAsia" w:ascii="Times New Roman" w:hAnsi="Times New Roman" w:eastAsia="宋体" w:cs="Times New Roman"/>
          <w:color w:val="auto"/>
          <w:sz w:val="24"/>
          <w:lang w:val="en-US" w:eastAsia="zh-CN"/>
        </w:rPr>
        <w:t>6.6</w:t>
      </w:r>
      <w:r>
        <w:rPr>
          <w:rFonts w:hint="eastAsia" w:ascii="Times New Roman" w:hAnsi="Times New Roman" w:eastAsia="宋体" w:cs="Times New Roman"/>
          <w:color w:val="auto"/>
          <w:sz w:val="24"/>
        </w:rPr>
        <w:t>%。本项目环保投资详见表7.2-1。</w:t>
      </w:r>
    </w:p>
    <w:p w14:paraId="5E5253AB">
      <w:pPr>
        <w:spacing w:line="400" w:lineRule="exact"/>
        <w:jc w:val="center"/>
        <w:rPr>
          <w:rFonts w:ascii="Times New Roman" w:hAnsi="Times New Roman" w:eastAsia="黑体" w:cs="Times New Roman"/>
          <w:color w:val="auto"/>
          <w:sz w:val="24"/>
        </w:rPr>
      </w:pPr>
      <w:r>
        <w:rPr>
          <w:rFonts w:ascii="Times New Roman" w:hAnsi="Times New Roman" w:eastAsia="黑体" w:cs="Times New Roman"/>
          <w:color w:val="auto"/>
          <w:sz w:val="24"/>
        </w:rPr>
        <w:t>表7.2-1  环保投资一览表</w:t>
      </w:r>
      <w:r>
        <w:rPr>
          <w:rFonts w:hint="eastAsia" w:ascii="Times New Roman" w:hAnsi="Times New Roman" w:eastAsia="黑体" w:cs="Times New Roman"/>
          <w:color w:val="auto"/>
          <w:sz w:val="24"/>
        </w:rPr>
        <w:t xml:space="preserve"> </w:t>
      </w:r>
      <w:r>
        <w:rPr>
          <w:rFonts w:ascii="Times New Roman" w:hAnsi="Times New Roman" w:eastAsia="黑体" w:cs="Times New Roman"/>
          <w:color w:val="auto"/>
          <w:sz w:val="24"/>
        </w:rPr>
        <w:t xml:space="preserve">  单位：万元</w:t>
      </w:r>
    </w:p>
    <w:tbl>
      <w:tblPr>
        <w:tblStyle w:val="53"/>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46"/>
        <w:gridCol w:w="2039"/>
        <w:gridCol w:w="2620"/>
        <w:gridCol w:w="2770"/>
        <w:gridCol w:w="707"/>
      </w:tblGrid>
      <w:tr w14:paraId="2E9E3F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170" w:hRule="atLeast"/>
          <w:jc w:val="center"/>
        </w:trPr>
        <w:tc>
          <w:tcPr>
            <w:tcW w:w="617" w:type="pct"/>
            <w:noWrap w:val="0"/>
            <w:vAlign w:val="center"/>
          </w:tcPr>
          <w:p w14:paraId="7C29EEB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类别</w:t>
            </w:r>
          </w:p>
        </w:tc>
        <w:tc>
          <w:tcPr>
            <w:tcW w:w="1098" w:type="pct"/>
            <w:noWrap w:val="0"/>
            <w:vAlign w:val="center"/>
          </w:tcPr>
          <w:p w14:paraId="62748F1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污染物</w:t>
            </w:r>
          </w:p>
        </w:tc>
        <w:tc>
          <w:tcPr>
            <w:tcW w:w="1411" w:type="pct"/>
            <w:noWrap w:val="0"/>
            <w:vAlign w:val="center"/>
          </w:tcPr>
          <w:p w14:paraId="616D62A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处理措施</w:t>
            </w:r>
          </w:p>
        </w:tc>
        <w:tc>
          <w:tcPr>
            <w:tcW w:w="1490" w:type="pct"/>
            <w:noWrap w:val="0"/>
            <w:vAlign w:val="center"/>
          </w:tcPr>
          <w:p w14:paraId="2C44649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处理效果</w:t>
            </w:r>
          </w:p>
        </w:tc>
        <w:tc>
          <w:tcPr>
            <w:tcW w:w="381" w:type="pct"/>
            <w:noWrap w:val="0"/>
            <w:vAlign w:val="center"/>
          </w:tcPr>
          <w:p w14:paraId="7958F3E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投资</w:t>
            </w:r>
          </w:p>
        </w:tc>
      </w:tr>
      <w:tr w14:paraId="32285B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17" w:type="pct"/>
            <w:vMerge w:val="restart"/>
            <w:noWrap w:val="0"/>
            <w:vAlign w:val="center"/>
          </w:tcPr>
          <w:p w14:paraId="63432D6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废水</w:t>
            </w:r>
          </w:p>
        </w:tc>
        <w:tc>
          <w:tcPr>
            <w:tcW w:w="1098" w:type="pct"/>
            <w:noWrap w:val="0"/>
            <w:vAlign w:val="center"/>
          </w:tcPr>
          <w:p w14:paraId="250C9CD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初期雨水</w:t>
            </w:r>
          </w:p>
        </w:tc>
        <w:tc>
          <w:tcPr>
            <w:tcW w:w="1411" w:type="pct"/>
            <w:vMerge w:val="restart"/>
            <w:noWrap w:val="0"/>
            <w:vAlign w:val="center"/>
          </w:tcPr>
          <w:p w14:paraId="352F654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kern w:val="0"/>
              </w:rPr>
              <w:t>经一体化污水处理设备处理后，</w:t>
            </w:r>
            <w:r>
              <w:rPr>
                <w:rFonts w:hint="default" w:ascii="Times New Roman" w:hAnsi="Times New Roman" w:eastAsia="宋体" w:cs="Times New Roman"/>
                <w:color w:val="auto"/>
                <w:kern w:val="0"/>
              </w:rPr>
              <w:t>回用于码头</w:t>
            </w:r>
            <w:r>
              <w:rPr>
                <w:rFonts w:hint="eastAsia" w:ascii="Times New Roman" w:hAnsi="Times New Roman" w:eastAsia="宋体" w:cs="Times New Roman"/>
                <w:color w:val="auto"/>
                <w:kern w:val="0"/>
              </w:rPr>
              <w:t>地面</w:t>
            </w:r>
            <w:r>
              <w:rPr>
                <w:rFonts w:hint="default" w:ascii="Times New Roman" w:hAnsi="Times New Roman" w:eastAsia="宋体" w:cs="Times New Roman"/>
                <w:color w:val="auto"/>
                <w:kern w:val="0"/>
              </w:rPr>
              <w:t>冲洗</w:t>
            </w:r>
            <w:r>
              <w:rPr>
                <w:rFonts w:hint="eastAsia" w:ascii="Times New Roman" w:hAnsi="Times New Roman" w:eastAsia="宋体" w:cs="Times New Roman"/>
                <w:color w:val="auto"/>
                <w:kern w:val="0"/>
              </w:rPr>
              <w:t>、道路喷洒及</w:t>
            </w:r>
            <w:r>
              <w:rPr>
                <w:rFonts w:hint="default" w:ascii="Times New Roman" w:hAnsi="Times New Roman" w:eastAsia="宋体" w:cs="Times New Roman"/>
                <w:color w:val="auto"/>
                <w:kern w:val="0"/>
              </w:rPr>
              <w:t>绿化</w:t>
            </w:r>
          </w:p>
        </w:tc>
        <w:tc>
          <w:tcPr>
            <w:tcW w:w="1490" w:type="pct"/>
            <w:vMerge w:val="restart"/>
            <w:noWrap w:val="0"/>
            <w:vAlign w:val="center"/>
          </w:tcPr>
          <w:p w14:paraId="402A9B3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rPr>
            </w:pPr>
            <w:r>
              <w:rPr>
                <w:rFonts w:hint="default" w:ascii="Times New Roman" w:hAnsi="Times New Roman" w:eastAsia="宋体" w:cs="Times New Roman"/>
                <w:color w:val="auto"/>
                <w:kern w:val="0"/>
              </w:rPr>
              <w:t>回用水水质满足《城市污水再生利用</w:t>
            </w:r>
            <w:r>
              <w:rPr>
                <w:rFonts w:hint="eastAsia" w:ascii="Times New Roman" w:hAnsi="Times New Roman" w:eastAsia="宋体" w:cs="Times New Roman"/>
                <w:color w:val="auto"/>
                <w:kern w:val="0"/>
              </w:rPr>
              <w:t xml:space="preserve"> 城市杂用水水质</w:t>
            </w:r>
            <w:r>
              <w:rPr>
                <w:rFonts w:hint="default" w:ascii="Times New Roman" w:hAnsi="Times New Roman" w:eastAsia="宋体" w:cs="Times New Roman"/>
                <w:color w:val="auto"/>
                <w:kern w:val="0"/>
              </w:rPr>
              <w:t>》（</w:t>
            </w:r>
            <w:r>
              <w:rPr>
                <w:rFonts w:hint="eastAsia" w:ascii="Times New Roman" w:hAnsi="Times New Roman" w:eastAsia="宋体" w:cs="Times New Roman"/>
                <w:color w:val="auto"/>
                <w:kern w:val="0"/>
              </w:rPr>
              <w:t>G</w:t>
            </w:r>
            <w:r>
              <w:rPr>
                <w:rFonts w:hint="default" w:ascii="Times New Roman" w:hAnsi="Times New Roman" w:eastAsia="宋体" w:cs="Times New Roman"/>
                <w:color w:val="auto"/>
                <w:kern w:val="0"/>
              </w:rPr>
              <w:t>B/T18920-2020）中城市绿化、道路清扫、车辆冲洗</w:t>
            </w:r>
            <w:r>
              <w:rPr>
                <w:rFonts w:hint="eastAsia" w:ascii="Times New Roman" w:hAnsi="Times New Roman" w:eastAsia="宋体" w:cs="Times New Roman"/>
                <w:color w:val="auto"/>
                <w:kern w:val="0"/>
              </w:rPr>
              <w:t>标准</w:t>
            </w:r>
          </w:p>
        </w:tc>
        <w:tc>
          <w:tcPr>
            <w:tcW w:w="381" w:type="pct"/>
            <w:vMerge w:val="restart"/>
            <w:noWrap w:val="0"/>
            <w:vAlign w:val="center"/>
          </w:tcPr>
          <w:p w14:paraId="4E42E92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15</w:t>
            </w:r>
          </w:p>
        </w:tc>
      </w:tr>
      <w:tr w14:paraId="07AC4E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17" w:type="pct"/>
            <w:vMerge w:val="continue"/>
            <w:noWrap w:val="0"/>
            <w:vAlign w:val="center"/>
          </w:tcPr>
          <w:p w14:paraId="79DED0B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c>
          <w:tcPr>
            <w:tcW w:w="1098" w:type="pct"/>
            <w:noWrap w:val="0"/>
            <w:vAlign w:val="center"/>
          </w:tcPr>
          <w:p w14:paraId="0C3A3EE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rPr>
            </w:pPr>
            <w:r>
              <w:rPr>
                <w:rFonts w:hint="default" w:ascii="Times New Roman" w:hAnsi="Times New Roman" w:eastAsia="宋体" w:cs="Times New Roman"/>
                <w:color w:val="auto"/>
                <w:kern w:val="0"/>
              </w:rPr>
              <w:t>码头</w:t>
            </w:r>
            <w:r>
              <w:rPr>
                <w:rFonts w:hint="eastAsia" w:ascii="Times New Roman" w:hAnsi="Times New Roman" w:eastAsia="宋体" w:cs="Times New Roman"/>
                <w:color w:val="auto"/>
                <w:kern w:val="0"/>
              </w:rPr>
              <w:t>地面</w:t>
            </w:r>
            <w:r>
              <w:rPr>
                <w:rFonts w:hint="default" w:ascii="Times New Roman" w:hAnsi="Times New Roman" w:eastAsia="宋体" w:cs="Times New Roman"/>
                <w:color w:val="auto"/>
                <w:kern w:val="0"/>
              </w:rPr>
              <w:t>冲洗</w:t>
            </w:r>
            <w:r>
              <w:rPr>
                <w:rFonts w:hint="eastAsia" w:ascii="Times New Roman" w:hAnsi="Times New Roman" w:eastAsia="宋体" w:cs="Times New Roman"/>
                <w:color w:val="auto"/>
                <w:kern w:val="0"/>
              </w:rPr>
              <w:t>废</w:t>
            </w:r>
            <w:r>
              <w:rPr>
                <w:rFonts w:hint="default" w:ascii="Times New Roman" w:hAnsi="Times New Roman" w:eastAsia="宋体" w:cs="Times New Roman"/>
                <w:color w:val="auto"/>
                <w:kern w:val="0"/>
              </w:rPr>
              <w:t>水</w:t>
            </w:r>
          </w:p>
        </w:tc>
        <w:tc>
          <w:tcPr>
            <w:tcW w:w="1411" w:type="pct"/>
            <w:vMerge w:val="continue"/>
            <w:noWrap w:val="0"/>
            <w:vAlign w:val="center"/>
          </w:tcPr>
          <w:p w14:paraId="1CB77A7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c>
          <w:tcPr>
            <w:tcW w:w="1490" w:type="pct"/>
            <w:vMerge w:val="continue"/>
            <w:noWrap w:val="0"/>
            <w:vAlign w:val="center"/>
          </w:tcPr>
          <w:p w14:paraId="17C2966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c>
          <w:tcPr>
            <w:tcW w:w="381" w:type="pct"/>
            <w:vMerge w:val="continue"/>
            <w:noWrap w:val="0"/>
            <w:vAlign w:val="center"/>
          </w:tcPr>
          <w:p w14:paraId="5EBB2D3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r>
      <w:tr w14:paraId="2A64DF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17" w:type="pct"/>
            <w:vMerge w:val="continue"/>
            <w:noWrap w:val="0"/>
            <w:vAlign w:val="center"/>
          </w:tcPr>
          <w:p w14:paraId="2254A9B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c>
          <w:tcPr>
            <w:tcW w:w="1098" w:type="pct"/>
            <w:noWrap w:val="0"/>
            <w:vAlign w:val="center"/>
          </w:tcPr>
          <w:p w14:paraId="60A958E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机械</w:t>
            </w:r>
            <w:r>
              <w:rPr>
                <w:rFonts w:hint="eastAsia" w:ascii="Times New Roman" w:hAnsi="Times New Roman" w:eastAsia="宋体" w:cs="Times New Roman"/>
                <w:color w:val="auto"/>
                <w:kern w:val="0"/>
              </w:rPr>
              <w:t>设备</w:t>
            </w:r>
            <w:r>
              <w:rPr>
                <w:rFonts w:hint="default" w:ascii="Times New Roman" w:hAnsi="Times New Roman" w:eastAsia="宋体" w:cs="Times New Roman"/>
                <w:color w:val="auto"/>
                <w:kern w:val="0"/>
              </w:rPr>
              <w:t>冲洗</w:t>
            </w:r>
            <w:r>
              <w:rPr>
                <w:rFonts w:hint="eastAsia" w:ascii="Times New Roman" w:hAnsi="Times New Roman" w:eastAsia="宋体" w:cs="Times New Roman"/>
                <w:color w:val="auto"/>
                <w:kern w:val="0"/>
              </w:rPr>
              <w:t>废</w:t>
            </w:r>
            <w:r>
              <w:rPr>
                <w:rFonts w:hint="default" w:ascii="Times New Roman" w:hAnsi="Times New Roman" w:eastAsia="宋体" w:cs="Times New Roman"/>
                <w:color w:val="auto"/>
                <w:kern w:val="0"/>
              </w:rPr>
              <w:t>水</w:t>
            </w:r>
          </w:p>
        </w:tc>
        <w:tc>
          <w:tcPr>
            <w:tcW w:w="1411" w:type="pct"/>
            <w:vMerge w:val="continue"/>
            <w:noWrap w:val="0"/>
            <w:vAlign w:val="center"/>
          </w:tcPr>
          <w:p w14:paraId="3EB2CC8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c>
          <w:tcPr>
            <w:tcW w:w="1490" w:type="pct"/>
            <w:vMerge w:val="continue"/>
            <w:noWrap w:val="0"/>
            <w:vAlign w:val="center"/>
          </w:tcPr>
          <w:p w14:paraId="2D186E2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c>
          <w:tcPr>
            <w:tcW w:w="381" w:type="pct"/>
            <w:vMerge w:val="continue"/>
            <w:noWrap w:val="0"/>
            <w:vAlign w:val="center"/>
          </w:tcPr>
          <w:p w14:paraId="6AF7614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r>
      <w:tr w14:paraId="47987C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17" w:type="pct"/>
            <w:vMerge w:val="continue"/>
            <w:noWrap w:val="0"/>
            <w:vAlign w:val="center"/>
          </w:tcPr>
          <w:p w14:paraId="26E30F7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c>
          <w:tcPr>
            <w:tcW w:w="1098" w:type="pct"/>
            <w:noWrap w:val="0"/>
            <w:vAlign w:val="center"/>
          </w:tcPr>
          <w:p w14:paraId="0E4580D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到港船舶含油污水</w:t>
            </w:r>
          </w:p>
        </w:tc>
        <w:tc>
          <w:tcPr>
            <w:tcW w:w="2902" w:type="pct"/>
            <w:gridSpan w:val="2"/>
            <w:noWrap w:val="0"/>
            <w:vAlign w:val="center"/>
          </w:tcPr>
          <w:p w14:paraId="51E4328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kern w:val="0"/>
              </w:rPr>
              <w:t>码头设置的接收设施接收</w:t>
            </w:r>
            <w:r>
              <w:rPr>
                <w:rFonts w:hint="eastAsia" w:ascii="Times New Roman" w:hAnsi="Times New Roman" w:eastAsia="宋体" w:cs="Times New Roman"/>
                <w:color w:val="auto"/>
              </w:rPr>
              <w:t>（</w:t>
            </w:r>
            <w:r>
              <w:rPr>
                <w:rFonts w:hint="default" w:ascii="Times New Roman" w:hAnsi="Times New Roman" w:eastAsia="宋体" w:cs="Times New Roman"/>
                <w:color w:val="auto"/>
              </w:rPr>
              <w:t>6</w:t>
            </w:r>
            <w:r>
              <w:rPr>
                <w:rFonts w:hint="eastAsia"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eastAsia" w:ascii="Times New Roman" w:hAnsi="Times New Roman" w:eastAsia="宋体" w:cs="Times New Roman"/>
                <w:color w:val="auto"/>
              </w:rPr>
              <w:t>）</w:t>
            </w:r>
            <w:r>
              <w:rPr>
                <w:rFonts w:hint="eastAsia" w:ascii="Times New Roman" w:hAnsi="Times New Roman" w:eastAsia="宋体" w:cs="Times New Roman"/>
                <w:color w:val="auto"/>
                <w:kern w:val="0"/>
              </w:rPr>
              <w:t>后，交由有资质单位处置</w:t>
            </w:r>
          </w:p>
        </w:tc>
        <w:tc>
          <w:tcPr>
            <w:tcW w:w="381" w:type="pct"/>
            <w:vMerge w:val="restart"/>
            <w:noWrap w:val="0"/>
            <w:vAlign w:val="center"/>
          </w:tcPr>
          <w:p w14:paraId="479B6FF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6</w:t>
            </w:r>
          </w:p>
        </w:tc>
      </w:tr>
      <w:tr w14:paraId="4BF6F7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17" w:type="pct"/>
            <w:vMerge w:val="continue"/>
            <w:noWrap w:val="0"/>
            <w:vAlign w:val="center"/>
          </w:tcPr>
          <w:p w14:paraId="04F73F3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c>
          <w:tcPr>
            <w:tcW w:w="1098" w:type="pct"/>
            <w:noWrap w:val="0"/>
            <w:vAlign w:val="center"/>
          </w:tcPr>
          <w:p w14:paraId="05EA3DE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rPr>
            </w:pPr>
            <w:r>
              <w:rPr>
                <w:rFonts w:hint="default" w:ascii="Times New Roman" w:hAnsi="Times New Roman" w:eastAsia="宋体" w:cs="Times New Roman"/>
                <w:color w:val="auto"/>
              </w:rPr>
              <w:t>到港船舶生活污水</w:t>
            </w:r>
          </w:p>
        </w:tc>
        <w:tc>
          <w:tcPr>
            <w:tcW w:w="2902" w:type="pct"/>
            <w:gridSpan w:val="2"/>
            <w:noWrap w:val="0"/>
            <w:vAlign w:val="center"/>
          </w:tcPr>
          <w:p w14:paraId="5437B0B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kern w:val="0"/>
              </w:rPr>
              <w:t>经码头设置的船舶污水接收设施接收</w:t>
            </w:r>
            <w:r>
              <w:rPr>
                <w:rFonts w:hint="eastAsia" w:ascii="Times New Roman" w:hAnsi="Times New Roman" w:eastAsia="宋体" w:cs="Times New Roman"/>
                <w:color w:val="auto"/>
              </w:rPr>
              <w:t>（1</w:t>
            </w:r>
            <w:r>
              <w:rPr>
                <w:rFonts w:hint="default" w:ascii="Times New Roman" w:hAnsi="Times New Roman" w:eastAsia="宋体" w:cs="Times New Roman"/>
                <w:color w:val="auto"/>
              </w:rPr>
              <w:t>2</w:t>
            </w:r>
            <w:r>
              <w:rPr>
                <w:rFonts w:hint="eastAsia"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eastAsia" w:ascii="Times New Roman" w:hAnsi="Times New Roman" w:eastAsia="宋体" w:cs="Times New Roman"/>
                <w:color w:val="auto"/>
              </w:rPr>
              <w:t>）</w:t>
            </w:r>
            <w:r>
              <w:rPr>
                <w:rFonts w:hint="eastAsia" w:ascii="Times New Roman" w:hAnsi="Times New Roman" w:eastAsia="宋体" w:cs="Times New Roman"/>
                <w:color w:val="auto"/>
                <w:kern w:val="0"/>
              </w:rPr>
              <w:t>后，转运至码头平台设置的船舶生活污水储存罐，定期就近转运至周边污水处理厂处理</w:t>
            </w:r>
          </w:p>
        </w:tc>
        <w:tc>
          <w:tcPr>
            <w:tcW w:w="381" w:type="pct"/>
            <w:vMerge w:val="continue"/>
            <w:noWrap w:val="0"/>
            <w:vAlign w:val="center"/>
          </w:tcPr>
          <w:p w14:paraId="287FA55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r>
      <w:tr w14:paraId="296BF7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17" w:type="pct"/>
            <w:vMerge w:val="continue"/>
            <w:noWrap w:val="0"/>
            <w:vAlign w:val="center"/>
          </w:tcPr>
          <w:p w14:paraId="16DB4DB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c>
          <w:tcPr>
            <w:tcW w:w="1098" w:type="pct"/>
            <w:noWrap w:val="0"/>
            <w:vAlign w:val="center"/>
          </w:tcPr>
          <w:p w14:paraId="6966327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码头生活污水</w:t>
            </w:r>
          </w:p>
        </w:tc>
        <w:tc>
          <w:tcPr>
            <w:tcW w:w="2902" w:type="pct"/>
            <w:gridSpan w:val="2"/>
            <w:noWrap w:val="0"/>
            <w:vAlign w:val="center"/>
          </w:tcPr>
          <w:p w14:paraId="1FF9B4B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0"/>
              </w:rPr>
            </w:pPr>
            <w:r>
              <w:rPr>
                <w:rFonts w:hint="eastAsia" w:ascii="Times New Roman" w:hAnsi="Times New Roman" w:eastAsia="宋体" w:cs="Times New Roman"/>
                <w:color w:val="auto"/>
                <w:kern w:val="0"/>
              </w:rPr>
              <w:t>利用周边已有旱厕，收集后用于当地农田或林地肥料</w:t>
            </w:r>
          </w:p>
        </w:tc>
        <w:tc>
          <w:tcPr>
            <w:tcW w:w="381" w:type="pct"/>
            <w:noWrap w:val="0"/>
            <w:vAlign w:val="center"/>
          </w:tcPr>
          <w:p w14:paraId="4021DA6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w:t>
            </w:r>
          </w:p>
        </w:tc>
      </w:tr>
      <w:tr w14:paraId="2832B7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17" w:type="pct"/>
            <w:vMerge w:val="restart"/>
            <w:noWrap w:val="0"/>
            <w:vAlign w:val="center"/>
          </w:tcPr>
          <w:p w14:paraId="3BF78F4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废气</w:t>
            </w:r>
          </w:p>
        </w:tc>
        <w:tc>
          <w:tcPr>
            <w:tcW w:w="1098" w:type="pct"/>
            <w:noWrap w:val="0"/>
            <w:vAlign w:val="center"/>
          </w:tcPr>
          <w:p w14:paraId="6E756B2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rPr>
            </w:pPr>
            <w:r>
              <w:rPr>
                <w:rFonts w:hint="default" w:ascii="Times New Roman" w:hAnsi="Times New Roman" w:eastAsia="宋体" w:cs="Times New Roman"/>
                <w:color w:val="auto"/>
              </w:rPr>
              <w:t>道路起尘</w:t>
            </w:r>
          </w:p>
        </w:tc>
        <w:tc>
          <w:tcPr>
            <w:tcW w:w="1411" w:type="pct"/>
            <w:noWrap w:val="0"/>
            <w:vAlign w:val="center"/>
          </w:tcPr>
          <w:p w14:paraId="1E80D4B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车辆冲洗装置，</w:t>
            </w:r>
            <w:r>
              <w:rPr>
                <w:rFonts w:hint="eastAsia" w:ascii="Times New Roman" w:hAnsi="Times New Roman" w:eastAsia="宋体" w:cs="Times New Roman"/>
                <w:color w:val="auto"/>
              </w:rPr>
              <w:t>吸尘式清扫车、</w:t>
            </w:r>
            <w:r>
              <w:rPr>
                <w:rFonts w:hint="default" w:ascii="Times New Roman" w:hAnsi="Times New Roman" w:eastAsia="宋体" w:cs="Times New Roman"/>
                <w:color w:val="auto"/>
              </w:rPr>
              <w:t>运输道路定期洒水</w:t>
            </w:r>
          </w:p>
        </w:tc>
        <w:tc>
          <w:tcPr>
            <w:tcW w:w="1490" w:type="pct"/>
            <w:vMerge w:val="restart"/>
            <w:noWrap w:val="0"/>
            <w:vAlign w:val="center"/>
          </w:tcPr>
          <w:p w14:paraId="7AF4DC7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达到</w:t>
            </w:r>
            <w:r>
              <w:rPr>
                <w:rFonts w:hint="default" w:ascii="Times New Roman" w:hAnsi="Times New Roman" w:eastAsia="宋体" w:cs="Times New Roman"/>
                <w:color w:val="auto"/>
                <w:kern w:val="0"/>
              </w:rPr>
              <w:t>《大气污染物综合排放标准》（</w:t>
            </w:r>
            <w:r>
              <w:rPr>
                <w:rFonts w:hint="default" w:ascii="Times New Roman" w:hAnsi="Times New Roman" w:eastAsia="TimesNewRomanPSMT" w:cs="Times New Roman"/>
                <w:color w:val="auto"/>
                <w:kern w:val="0"/>
              </w:rPr>
              <w:t>GB16297-1996</w:t>
            </w:r>
            <w:r>
              <w:rPr>
                <w:rFonts w:hint="default" w:ascii="Times New Roman" w:hAnsi="Times New Roman" w:eastAsia="宋体" w:cs="Times New Roman"/>
                <w:color w:val="auto"/>
                <w:kern w:val="0"/>
              </w:rPr>
              <w:t>）表</w:t>
            </w:r>
            <w:r>
              <w:rPr>
                <w:rFonts w:hint="default" w:ascii="Times New Roman" w:hAnsi="Times New Roman" w:eastAsia="TimesNewRomanPSMT" w:cs="Times New Roman"/>
                <w:color w:val="auto"/>
                <w:kern w:val="0"/>
              </w:rPr>
              <w:t>2</w:t>
            </w:r>
            <w:r>
              <w:rPr>
                <w:rFonts w:hint="default" w:ascii="Times New Roman" w:hAnsi="Times New Roman" w:eastAsia="宋体" w:cs="Times New Roman"/>
                <w:color w:val="auto"/>
                <w:kern w:val="0"/>
              </w:rPr>
              <w:t>中厂界颗粒物排放监控点浓度限值</w:t>
            </w:r>
          </w:p>
        </w:tc>
        <w:tc>
          <w:tcPr>
            <w:tcW w:w="381" w:type="pct"/>
            <w:vMerge w:val="restart"/>
            <w:noWrap w:val="0"/>
            <w:vAlign w:val="center"/>
          </w:tcPr>
          <w:p w14:paraId="695B453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5</w:t>
            </w:r>
          </w:p>
        </w:tc>
      </w:tr>
      <w:tr w14:paraId="3F6AA7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17" w:type="pct"/>
            <w:vMerge w:val="continue"/>
            <w:noWrap w:val="0"/>
            <w:vAlign w:val="center"/>
          </w:tcPr>
          <w:p w14:paraId="557658E5">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c>
          <w:tcPr>
            <w:tcW w:w="1098" w:type="pct"/>
            <w:noWrap w:val="0"/>
            <w:vAlign w:val="center"/>
          </w:tcPr>
          <w:p w14:paraId="3867F73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装卸扬尘</w:t>
            </w:r>
          </w:p>
        </w:tc>
        <w:tc>
          <w:tcPr>
            <w:tcW w:w="1411" w:type="pct"/>
            <w:noWrap w:val="0"/>
            <w:vAlign w:val="center"/>
          </w:tcPr>
          <w:p w14:paraId="35C11C2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rPr>
            </w:pPr>
            <w:r>
              <w:rPr>
                <w:rFonts w:hint="default" w:ascii="Times New Roman" w:hAnsi="Times New Roman" w:eastAsia="宋体" w:cs="Times New Roman"/>
                <w:color w:val="auto"/>
              </w:rPr>
              <w:t>装卸作业使用的装船机、</w:t>
            </w:r>
            <w:r>
              <w:rPr>
                <w:rFonts w:hint="eastAsia" w:ascii="Times New Roman" w:hAnsi="Times New Roman" w:eastAsia="宋体" w:cs="Times New Roman"/>
                <w:color w:val="auto"/>
              </w:rPr>
              <w:t>泊位</w:t>
            </w:r>
            <w:r>
              <w:rPr>
                <w:rFonts w:hint="default" w:ascii="Times New Roman" w:hAnsi="Times New Roman" w:eastAsia="宋体" w:cs="Times New Roman"/>
                <w:color w:val="auto"/>
              </w:rPr>
              <w:t>等设备设置喷雾洒水抑尘系统</w:t>
            </w:r>
            <w:r>
              <w:rPr>
                <w:rFonts w:hint="eastAsia" w:ascii="Times New Roman" w:hAnsi="Times New Roman" w:eastAsia="宋体" w:cs="Times New Roman"/>
                <w:color w:val="auto"/>
              </w:rPr>
              <w:t>，装船机皮带密闭</w:t>
            </w:r>
            <w:r>
              <w:rPr>
                <w:rFonts w:hint="default" w:ascii="Times New Roman" w:hAnsi="Times New Roman" w:eastAsia="宋体" w:cs="Times New Roman"/>
                <w:color w:val="auto"/>
              </w:rPr>
              <w:t>。</w:t>
            </w:r>
          </w:p>
        </w:tc>
        <w:tc>
          <w:tcPr>
            <w:tcW w:w="1490" w:type="pct"/>
            <w:vMerge w:val="continue"/>
            <w:noWrap w:val="0"/>
            <w:vAlign w:val="center"/>
          </w:tcPr>
          <w:p w14:paraId="2020975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c>
          <w:tcPr>
            <w:tcW w:w="381" w:type="pct"/>
            <w:vMerge w:val="continue"/>
            <w:noWrap w:val="0"/>
            <w:vAlign w:val="center"/>
          </w:tcPr>
          <w:p w14:paraId="360E27F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r>
      <w:tr w14:paraId="35D10E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17" w:type="pct"/>
            <w:noWrap w:val="0"/>
            <w:vAlign w:val="center"/>
          </w:tcPr>
          <w:p w14:paraId="2AEE23E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噪声</w:t>
            </w:r>
          </w:p>
        </w:tc>
        <w:tc>
          <w:tcPr>
            <w:tcW w:w="1098" w:type="pct"/>
            <w:noWrap w:val="0"/>
            <w:vAlign w:val="center"/>
          </w:tcPr>
          <w:p w14:paraId="77E7B94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噪声</w:t>
            </w:r>
          </w:p>
        </w:tc>
        <w:tc>
          <w:tcPr>
            <w:tcW w:w="1411" w:type="pct"/>
            <w:noWrap w:val="0"/>
            <w:vAlign w:val="center"/>
          </w:tcPr>
          <w:p w14:paraId="28BB96E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rPr>
            </w:pPr>
            <w:r>
              <w:rPr>
                <w:rFonts w:hint="default" w:ascii="Times New Roman" w:hAnsi="Times New Roman" w:eastAsia="宋体" w:cs="Times New Roman"/>
                <w:color w:val="auto"/>
              </w:rPr>
              <w:t>加强运输车辆、船舶管理、选择低噪声、减振设备</w:t>
            </w:r>
          </w:p>
        </w:tc>
        <w:tc>
          <w:tcPr>
            <w:tcW w:w="1490" w:type="pct"/>
            <w:noWrap w:val="0"/>
            <w:vAlign w:val="center"/>
          </w:tcPr>
          <w:p w14:paraId="3863123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rPr>
            </w:pPr>
            <w:r>
              <w:rPr>
                <w:rFonts w:hint="eastAsia" w:cs="Times New Roman"/>
                <w:color w:val="auto"/>
                <w:lang w:eastAsia="zh-CN"/>
              </w:rPr>
              <w:t>厂</w:t>
            </w:r>
            <w:r>
              <w:rPr>
                <w:rFonts w:hint="default" w:ascii="Times New Roman" w:hAnsi="Times New Roman" w:eastAsia="宋体" w:cs="Times New Roman"/>
                <w:color w:val="auto"/>
              </w:rPr>
              <w:t>界达标</w:t>
            </w:r>
          </w:p>
        </w:tc>
        <w:tc>
          <w:tcPr>
            <w:tcW w:w="381" w:type="pct"/>
            <w:noWrap w:val="0"/>
            <w:vAlign w:val="center"/>
          </w:tcPr>
          <w:p w14:paraId="0FD94BF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w:t>
            </w:r>
          </w:p>
        </w:tc>
      </w:tr>
      <w:tr w14:paraId="085D23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17" w:type="pct"/>
            <w:vMerge w:val="restart"/>
            <w:noWrap w:val="0"/>
            <w:vAlign w:val="center"/>
          </w:tcPr>
          <w:p w14:paraId="1D0C19E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固废</w:t>
            </w:r>
          </w:p>
        </w:tc>
        <w:tc>
          <w:tcPr>
            <w:tcW w:w="1098" w:type="pct"/>
            <w:noWrap w:val="0"/>
            <w:vAlign w:val="center"/>
          </w:tcPr>
          <w:p w14:paraId="71BC715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rPr>
            </w:pPr>
            <w:r>
              <w:rPr>
                <w:rFonts w:hint="default" w:ascii="Times New Roman" w:hAnsi="Times New Roman" w:eastAsia="宋体" w:cs="Times New Roman"/>
                <w:color w:val="auto"/>
              </w:rPr>
              <w:t>码头职工、到港船舶生活垃圾、沉淀池沉渣</w:t>
            </w:r>
          </w:p>
        </w:tc>
        <w:tc>
          <w:tcPr>
            <w:tcW w:w="1411" w:type="pct"/>
            <w:noWrap w:val="0"/>
            <w:vAlign w:val="center"/>
          </w:tcPr>
          <w:p w14:paraId="453F571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市政环卫部门统一清运处置</w:t>
            </w:r>
          </w:p>
        </w:tc>
        <w:tc>
          <w:tcPr>
            <w:tcW w:w="1490" w:type="pct"/>
            <w:noWrap w:val="0"/>
            <w:vAlign w:val="center"/>
          </w:tcPr>
          <w:p w14:paraId="302231E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不产生二次污染</w:t>
            </w:r>
          </w:p>
        </w:tc>
        <w:tc>
          <w:tcPr>
            <w:tcW w:w="381" w:type="pct"/>
            <w:noWrap w:val="0"/>
            <w:vAlign w:val="center"/>
          </w:tcPr>
          <w:p w14:paraId="2268EB4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w:t>
            </w:r>
          </w:p>
        </w:tc>
      </w:tr>
      <w:tr w14:paraId="7CD1D0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17" w:type="pct"/>
            <w:vMerge w:val="continue"/>
            <w:noWrap w:val="0"/>
            <w:vAlign w:val="center"/>
          </w:tcPr>
          <w:p w14:paraId="36554F7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c>
          <w:tcPr>
            <w:tcW w:w="1098" w:type="pct"/>
            <w:noWrap w:val="0"/>
            <w:vAlign w:val="center"/>
          </w:tcPr>
          <w:p w14:paraId="0466F1DD">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含油</w:t>
            </w:r>
            <w:r>
              <w:rPr>
                <w:rFonts w:hint="default" w:ascii="Times New Roman" w:hAnsi="Times New Roman" w:eastAsia="宋体" w:cs="Times New Roman"/>
                <w:color w:val="auto"/>
              </w:rPr>
              <w:t>污泥</w:t>
            </w:r>
          </w:p>
        </w:tc>
        <w:tc>
          <w:tcPr>
            <w:tcW w:w="1411" w:type="pct"/>
            <w:noWrap w:val="0"/>
            <w:vAlign w:val="center"/>
          </w:tcPr>
          <w:p w14:paraId="7464DE0E">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rPr>
            </w:pPr>
            <w:r>
              <w:rPr>
                <w:rFonts w:hint="default" w:ascii="Times New Roman" w:hAnsi="Times New Roman" w:eastAsia="宋体" w:cs="Times New Roman"/>
                <w:color w:val="auto"/>
              </w:rPr>
              <w:t>暂存于危废暂存间（5m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），交由有资质单位处置</w:t>
            </w:r>
          </w:p>
        </w:tc>
        <w:tc>
          <w:tcPr>
            <w:tcW w:w="1490" w:type="pct"/>
            <w:noWrap w:val="0"/>
            <w:vAlign w:val="center"/>
          </w:tcPr>
          <w:p w14:paraId="1D69B1F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危险废物暂存应严格按照《危险废物贮存污染控制标准》(GB18597-2023)中内容</w:t>
            </w:r>
          </w:p>
        </w:tc>
        <w:tc>
          <w:tcPr>
            <w:tcW w:w="381" w:type="pct"/>
            <w:noWrap w:val="0"/>
            <w:vAlign w:val="center"/>
          </w:tcPr>
          <w:p w14:paraId="081F2CB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w:t>
            </w:r>
          </w:p>
        </w:tc>
      </w:tr>
      <w:tr w14:paraId="486ACA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17" w:type="pct"/>
            <w:vMerge w:val="restart"/>
            <w:noWrap w:val="0"/>
            <w:vAlign w:val="center"/>
          </w:tcPr>
          <w:p w14:paraId="4EAD2B2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生态环境</w:t>
            </w:r>
          </w:p>
        </w:tc>
        <w:tc>
          <w:tcPr>
            <w:tcW w:w="2509" w:type="pct"/>
            <w:gridSpan w:val="2"/>
            <w:noWrap w:val="0"/>
            <w:vAlign w:val="center"/>
          </w:tcPr>
          <w:p w14:paraId="1FEF7AC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绿化面积</w:t>
            </w:r>
            <w:r>
              <w:rPr>
                <w:rFonts w:hint="eastAsia" w:ascii="Times New Roman" w:hAnsi="Times New Roman" w:eastAsia="宋体" w:cs="Times New Roman"/>
                <w:color w:val="auto"/>
              </w:rPr>
              <w:t>1</w:t>
            </w:r>
            <w:r>
              <w:rPr>
                <w:rFonts w:hint="default" w:ascii="Times New Roman" w:hAnsi="Times New Roman" w:eastAsia="宋体" w:cs="Times New Roman"/>
                <w:color w:val="auto"/>
              </w:rPr>
              <w:t>0000m</w:t>
            </w:r>
            <w:r>
              <w:rPr>
                <w:rFonts w:hint="default" w:ascii="Times New Roman" w:hAnsi="Times New Roman" w:eastAsia="宋体" w:cs="Times New Roman"/>
                <w:color w:val="auto"/>
                <w:vertAlign w:val="superscript"/>
              </w:rPr>
              <w:t>2</w:t>
            </w:r>
          </w:p>
        </w:tc>
        <w:tc>
          <w:tcPr>
            <w:tcW w:w="1490" w:type="pct"/>
            <w:noWrap w:val="0"/>
            <w:vAlign w:val="center"/>
          </w:tcPr>
          <w:p w14:paraId="7CD55F6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w:t>
            </w:r>
          </w:p>
        </w:tc>
        <w:tc>
          <w:tcPr>
            <w:tcW w:w="381" w:type="pct"/>
            <w:noWrap w:val="0"/>
            <w:vAlign w:val="center"/>
          </w:tcPr>
          <w:p w14:paraId="7CF1611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w:t>
            </w:r>
          </w:p>
        </w:tc>
      </w:tr>
      <w:tr w14:paraId="760B00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17" w:type="pct"/>
            <w:vMerge w:val="continue"/>
            <w:noWrap w:val="0"/>
            <w:vAlign w:val="center"/>
          </w:tcPr>
          <w:p w14:paraId="3DB98FE0">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c>
          <w:tcPr>
            <w:tcW w:w="2509" w:type="pct"/>
            <w:gridSpan w:val="2"/>
            <w:noWrap w:val="0"/>
            <w:vAlign w:val="center"/>
          </w:tcPr>
          <w:p w14:paraId="43E43C0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委托有技术能力的部门进行鱼</w:t>
            </w:r>
            <w:r>
              <w:rPr>
                <w:rFonts w:hint="eastAsia" w:ascii="Times New Roman" w:hAnsi="Times New Roman" w:eastAsia="宋体" w:cs="Times New Roman"/>
                <w:color w:val="auto"/>
              </w:rPr>
              <w:t>类</w:t>
            </w:r>
            <w:r>
              <w:rPr>
                <w:rFonts w:hint="default" w:ascii="Times New Roman" w:hAnsi="Times New Roman" w:eastAsia="宋体" w:cs="Times New Roman"/>
                <w:color w:val="auto"/>
              </w:rPr>
              <w:t>资源恢复、增殖与资源监测工作</w:t>
            </w:r>
          </w:p>
        </w:tc>
        <w:tc>
          <w:tcPr>
            <w:tcW w:w="1490" w:type="pct"/>
            <w:noWrap w:val="0"/>
            <w:vAlign w:val="center"/>
          </w:tcPr>
          <w:p w14:paraId="36093F2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w:t>
            </w:r>
          </w:p>
        </w:tc>
        <w:tc>
          <w:tcPr>
            <w:tcW w:w="381" w:type="pct"/>
            <w:noWrap w:val="0"/>
            <w:vAlign w:val="center"/>
          </w:tcPr>
          <w:p w14:paraId="5B76014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w:t>
            </w:r>
          </w:p>
        </w:tc>
      </w:tr>
      <w:tr w14:paraId="4505BD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17" w:type="pct"/>
            <w:vMerge w:val="continue"/>
            <w:noWrap w:val="0"/>
            <w:vAlign w:val="center"/>
          </w:tcPr>
          <w:p w14:paraId="51AD81B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p>
        </w:tc>
        <w:tc>
          <w:tcPr>
            <w:tcW w:w="2509" w:type="pct"/>
            <w:gridSpan w:val="2"/>
            <w:noWrap w:val="0"/>
            <w:vAlign w:val="center"/>
          </w:tcPr>
          <w:p w14:paraId="6210D7B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生态补偿投资</w:t>
            </w:r>
          </w:p>
        </w:tc>
        <w:tc>
          <w:tcPr>
            <w:tcW w:w="1490" w:type="pct"/>
            <w:noWrap w:val="0"/>
            <w:vAlign w:val="center"/>
          </w:tcPr>
          <w:p w14:paraId="1A6B81E2">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w:t>
            </w:r>
          </w:p>
        </w:tc>
        <w:tc>
          <w:tcPr>
            <w:tcW w:w="381" w:type="pct"/>
            <w:noWrap w:val="0"/>
            <w:vAlign w:val="center"/>
          </w:tcPr>
          <w:p w14:paraId="094D641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15</w:t>
            </w:r>
          </w:p>
        </w:tc>
      </w:tr>
      <w:tr w14:paraId="10256E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617" w:type="pct"/>
            <w:noWrap w:val="0"/>
            <w:vAlign w:val="center"/>
          </w:tcPr>
          <w:p w14:paraId="2D1ED9B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事故应急措施</w:t>
            </w:r>
          </w:p>
        </w:tc>
        <w:tc>
          <w:tcPr>
            <w:tcW w:w="1098" w:type="pct"/>
            <w:noWrap w:val="0"/>
            <w:vAlign w:val="center"/>
          </w:tcPr>
          <w:p w14:paraId="67B21B7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w:t>
            </w:r>
          </w:p>
        </w:tc>
        <w:tc>
          <w:tcPr>
            <w:tcW w:w="2902" w:type="pct"/>
            <w:gridSpan w:val="2"/>
            <w:noWrap w:val="0"/>
            <w:vAlign w:val="center"/>
          </w:tcPr>
          <w:p w14:paraId="7217F079">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Calibri"/>
                <w:color w:val="auto"/>
                <w:kern w:val="2"/>
                <w:sz w:val="21"/>
                <w:szCs w:val="21"/>
                <w:lang w:val="en-US" w:eastAsia="zh-CN" w:bidi="ar-SA"/>
              </w:rPr>
            </w:pPr>
            <w:r>
              <w:rPr>
                <w:rFonts w:hint="eastAsia" w:ascii="Times New Roman" w:hAnsi="Times New Roman" w:eastAsia="宋体" w:cs="Calibri"/>
                <w:color w:val="auto"/>
                <w:kern w:val="2"/>
                <w:sz w:val="21"/>
                <w:szCs w:val="21"/>
                <w:lang w:val="en-US" w:eastAsia="zh-CN" w:bidi="ar-SA"/>
              </w:rPr>
              <w:t>①配备必要的溢油应急设备，包括：围油栏及附属设备、收油机、油拖网、吸油毡、溢油分散剂、溢油分散剂喷洒装置、回收废油储存装置等；②按要求建立溢油应急体系和制订溢油应急预案；</w:t>
            </w:r>
            <w:r>
              <w:rPr>
                <w:rFonts w:hint="default" w:ascii="Times New Roman" w:hAnsi="Times New Roman" w:eastAsia="宋体" w:cs="Calibri"/>
                <w:color w:val="auto"/>
                <w:kern w:val="2"/>
                <w:sz w:val="21"/>
                <w:szCs w:val="21"/>
                <w:lang w:val="en-US" w:eastAsia="zh-CN" w:bidi="ar-SA"/>
              </w:rPr>
              <w:fldChar w:fldCharType="begin"/>
            </w:r>
            <w:r>
              <w:rPr>
                <w:rFonts w:hint="default" w:ascii="Times New Roman" w:hAnsi="Times New Roman" w:eastAsia="宋体" w:cs="Calibri"/>
                <w:color w:val="auto"/>
                <w:kern w:val="2"/>
                <w:sz w:val="21"/>
                <w:szCs w:val="21"/>
                <w:lang w:val="en-US" w:eastAsia="zh-CN" w:bidi="ar-SA"/>
              </w:rPr>
              <w:instrText xml:space="preserve"> </w:instrText>
            </w:r>
            <w:r>
              <w:rPr>
                <w:rFonts w:hint="eastAsia" w:ascii="Times New Roman" w:hAnsi="Times New Roman" w:eastAsia="宋体" w:cs="Calibri"/>
                <w:color w:val="auto"/>
                <w:kern w:val="2"/>
                <w:sz w:val="21"/>
                <w:szCs w:val="21"/>
                <w:lang w:val="en-US" w:eastAsia="zh-CN" w:bidi="ar-SA"/>
              </w:rPr>
              <w:instrText xml:space="preserve">= 3 \* GB3</w:instrText>
            </w:r>
            <w:r>
              <w:rPr>
                <w:rFonts w:hint="default" w:ascii="Times New Roman" w:hAnsi="Times New Roman" w:eastAsia="宋体" w:cs="Calibri"/>
                <w:color w:val="auto"/>
                <w:kern w:val="2"/>
                <w:sz w:val="21"/>
                <w:szCs w:val="21"/>
                <w:lang w:val="en-US" w:eastAsia="zh-CN" w:bidi="ar-SA"/>
              </w:rPr>
              <w:instrText xml:space="preserve"> </w:instrText>
            </w:r>
            <w:r>
              <w:rPr>
                <w:rFonts w:hint="default" w:ascii="Times New Roman" w:hAnsi="Times New Roman" w:eastAsia="宋体" w:cs="Calibri"/>
                <w:color w:val="auto"/>
                <w:kern w:val="2"/>
                <w:sz w:val="21"/>
                <w:szCs w:val="21"/>
                <w:lang w:val="en-US" w:eastAsia="zh-CN" w:bidi="ar-SA"/>
              </w:rPr>
              <w:fldChar w:fldCharType="separate"/>
            </w:r>
            <w:r>
              <w:rPr>
                <w:rFonts w:hint="eastAsia" w:ascii="Times New Roman" w:hAnsi="Times New Roman" w:eastAsia="宋体" w:cs="Calibri"/>
                <w:color w:val="auto"/>
                <w:kern w:val="2"/>
                <w:sz w:val="21"/>
                <w:szCs w:val="21"/>
                <w:lang w:val="en-US" w:eastAsia="zh-CN" w:bidi="ar-SA"/>
              </w:rPr>
              <w:t>③</w:t>
            </w:r>
            <w:r>
              <w:rPr>
                <w:rFonts w:hint="default" w:ascii="Times New Roman" w:hAnsi="Times New Roman" w:eastAsia="宋体" w:cs="Calibri"/>
                <w:color w:val="auto"/>
                <w:kern w:val="2"/>
                <w:sz w:val="21"/>
                <w:szCs w:val="21"/>
                <w:lang w:val="en-US" w:eastAsia="zh-CN" w:bidi="ar-SA"/>
              </w:rPr>
              <w:fldChar w:fldCharType="end"/>
            </w:r>
            <w:r>
              <w:rPr>
                <w:rFonts w:hint="eastAsia" w:ascii="Times New Roman" w:hAnsi="Times New Roman" w:eastAsia="宋体" w:cs="Calibri"/>
                <w:color w:val="auto"/>
                <w:kern w:val="2"/>
                <w:sz w:val="21"/>
                <w:szCs w:val="21"/>
                <w:lang w:val="en-US" w:eastAsia="zh-CN" w:bidi="ar-SA"/>
              </w:rPr>
              <w:t>加强环保宣传教育，</w:t>
            </w:r>
            <w:r>
              <w:rPr>
                <w:rFonts w:hint="eastAsia" w:cs="Calibri"/>
                <w:color w:val="auto"/>
                <w:kern w:val="2"/>
                <w:sz w:val="21"/>
                <w:szCs w:val="21"/>
                <w:lang w:val="en-US" w:eastAsia="zh-CN" w:bidi="ar-SA"/>
              </w:rPr>
              <w:t>增强</w:t>
            </w:r>
            <w:r>
              <w:rPr>
                <w:rFonts w:hint="eastAsia" w:ascii="Times New Roman" w:hAnsi="Times New Roman" w:eastAsia="宋体" w:cs="Calibri"/>
                <w:color w:val="auto"/>
                <w:kern w:val="2"/>
                <w:sz w:val="21"/>
                <w:szCs w:val="21"/>
                <w:lang w:val="en-US" w:eastAsia="zh-CN" w:bidi="ar-SA"/>
              </w:rPr>
              <w:t>船员和全体人员的环保意识；④制定一整套严格的安全生产操作规章制度。</w:t>
            </w:r>
          </w:p>
        </w:tc>
        <w:tc>
          <w:tcPr>
            <w:tcW w:w="381" w:type="pct"/>
            <w:noWrap w:val="0"/>
            <w:vAlign w:val="center"/>
          </w:tcPr>
          <w:p w14:paraId="1DC64AC4">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w:t>
            </w:r>
          </w:p>
        </w:tc>
      </w:tr>
      <w:tr w14:paraId="7EB01C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4618" w:type="pct"/>
            <w:gridSpan w:val="4"/>
            <w:noWrap w:val="0"/>
            <w:vAlign w:val="center"/>
          </w:tcPr>
          <w:p w14:paraId="0B3D9BD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合计</w:t>
            </w:r>
          </w:p>
        </w:tc>
        <w:tc>
          <w:tcPr>
            <w:tcW w:w="381" w:type="pct"/>
            <w:noWrap w:val="0"/>
            <w:vAlign w:val="center"/>
          </w:tcPr>
          <w:p w14:paraId="03C889D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40</w:t>
            </w:r>
          </w:p>
        </w:tc>
      </w:tr>
    </w:tbl>
    <w:p w14:paraId="53162FD1">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299" w:name="_Toc170"/>
      <w:r>
        <w:rPr>
          <w:rFonts w:hint="eastAsia" w:ascii="Times New Roman" w:hAnsi="Times New Roman" w:eastAsia="黑体" w:cs="Times New Roman"/>
          <w:bCs/>
          <w:color w:val="auto"/>
          <w:kern w:val="2"/>
          <w:sz w:val="30"/>
          <w:szCs w:val="32"/>
          <w:lang w:val="en-US" w:eastAsia="zh-CN" w:bidi="ar-SA"/>
        </w:rPr>
        <w:t>7.3</w:t>
      </w:r>
      <w:r>
        <w:rPr>
          <w:rFonts w:ascii="Times New Roman" w:hAnsi="Times New Roman" w:eastAsia="黑体" w:cs="Times New Roman"/>
          <w:bCs/>
          <w:color w:val="auto"/>
          <w:kern w:val="2"/>
          <w:sz w:val="30"/>
          <w:szCs w:val="32"/>
          <w:lang w:val="en-US" w:eastAsia="zh-CN" w:bidi="ar-SA"/>
        </w:rPr>
        <w:t>环境经济效益分析</w:t>
      </w:r>
      <w:bookmarkEnd w:id="299"/>
    </w:p>
    <w:p w14:paraId="1CC67002">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7.3.1</w:t>
      </w:r>
      <w:r>
        <w:rPr>
          <w:rFonts w:ascii="Times New Roman" w:hAnsi="Times New Roman" w:eastAsia="黑体" w:cs="Times New Roman"/>
          <w:bCs/>
          <w:color w:val="auto"/>
          <w:kern w:val="2"/>
          <w:sz w:val="28"/>
          <w:szCs w:val="32"/>
          <w:lang w:val="en-US" w:eastAsia="zh-CN" w:bidi="ar-SA"/>
        </w:rPr>
        <w:t>环境正效益分析</w:t>
      </w:r>
    </w:p>
    <w:p w14:paraId="6B85D013">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本项目为水运工程项目，属于大宗货物和中长途货物运输的“公转水”，水运运输相较于公路运输能耗强度和污染物排放强度均大幅降低，有利于</w:t>
      </w:r>
      <w:r>
        <w:rPr>
          <w:rFonts w:hint="eastAsia" w:ascii="Times New Roman" w:hAnsi="Times New Roman" w:eastAsia="宋体" w:cs="Times New Roman"/>
          <w:color w:val="auto"/>
          <w:sz w:val="24"/>
        </w:rPr>
        <w:t>淮南</w:t>
      </w:r>
      <w:r>
        <w:rPr>
          <w:rFonts w:ascii="Times New Roman" w:hAnsi="Times New Roman" w:eastAsia="宋体" w:cs="Times New Roman"/>
          <w:color w:val="auto"/>
          <w:sz w:val="24"/>
        </w:rPr>
        <w:t>市进一步优化调整运输结构，提升综合运输效率，降低社会物流成本，促进节能减排降碳，具有良好的环境</w:t>
      </w:r>
      <w:r>
        <w:rPr>
          <w:rFonts w:hint="eastAsia" w:ascii="Times New Roman" w:hAnsi="Times New Roman" w:eastAsia="宋体" w:cs="Times New Roman"/>
          <w:color w:val="auto"/>
          <w:sz w:val="24"/>
        </w:rPr>
        <w:t>正</w:t>
      </w:r>
      <w:r>
        <w:rPr>
          <w:rFonts w:ascii="Times New Roman" w:hAnsi="Times New Roman" w:eastAsia="宋体" w:cs="Times New Roman"/>
          <w:color w:val="auto"/>
          <w:sz w:val="24"/>
        </w:rPr>
        <w:t>效益。</w:t>
      </w:r>
    </w:p>
    <w:p w14:paraId="06AB11E1">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7.3.2</w:t>
      </w:r>
      <w:r>
        <w:rPr>
          <w:rFonts w:ascii="Times New Roman" w:hAnsi="Times New Roman" w:eastAsia="黑体" w:cs="Times New Roman"/>
          <w:bCs/>
          <w:color w:val="auto"/>
          <w:kern w:val="2"/>
          <w:sz w:val="28"/>
          <w:szCs w:val="32"/>
          <w:lang w:val="en-US" w:eastAsia="zh-CN" w:bidi="ar-SA"/>
        </w:rPr>
        <w:t>环境负效益分析</w:t>
      </w:r>
    </w:p>
    <w:p w14:paraId="372952FA">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根据对工程性质、建设规模、水工结构及施工组织等方面的分析，项目建设对环境的影响主要体现在：</w:t>
      </w:r>
    </w:p>
    <w:p w14:paraId="30017DE4">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7.3.2.1生态</w:t>
      </w:r>
      <w:r>
        <w:rPr>
          <w:rFonts w:ascii="Times New Roman" w:hAnsi="Times New Roman" w:eastAsia="黑体" w:cs="Times New Roman"/>
          <w:bCs/>
          <w:color w:val="auto"/>
          <w:kern w:val="2"/>
          <w:sz w:val="24"/>
          <w:szCs w:val="28"/>
          <w:lang w:val="en-US" w:eastAsia="zh-CN" w:bidi="ar-SA"/>
        </w:rPr>
        <w:t>环境</w:t>
      </w:r>
    </w:p>
    <w:p w14:paraId="793C65E6">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码头建设过程中，由于疏浚施工作业</w:t>
      </w:r>
      <w:r>
        <w:rPr>
          <w:rFonts w:hint="eastAsia" w:ascii="Times New Roman" w:hAnsi="Times New Roman" w:eastAsia="宋体" w:cs="Times New Roman"/>
          <w:color w:val="auto"/>
          <w:sz w:val="24"/>
          <w:szCs w:val="24"/>
        </w:rPr>
        <w:t>及水下</w:t>
      </w:r>
      <w:r>
        <w:rPr>
          <w:rFonts w:ascii="Times New Roman" w:hAnsi="Times New Roman" w:eastAsia="宋体" w:cs="Times New Roman"/>
          <w:color w:val="auto"/>
          <w:sz w:val="24"/>
          <w:szCs w:val="24"/>
        </w:rPr>
        <w:t>施工作业的进行，会引起施工水域内水体的</w:t>
      </w:r>
      <w:r>
        <w:rPr>
          <w:rFonts w:hint="eastAsia" w:cs="Times New Roman"/>
          <w:color w:val="auto"/>
          <w:sz w:val="24"/>
          <w:szCs w:val="24"/>
          <w:lang w:eastAsia="zh-CN"/>
        </w:rPr>
        <w:t>浑浊</w:t>
      </w:r>
      <w:r>
        <w:rPr>
          <w:rFonts w:ascii="Times New Roman" w:hAnsi="Times New Roman" w:eastAsia="宋体" w:cs="Times New Roman"/>
          <w:color w:val="auto"/>
          <w:sz w:val="24"/>
          <w:szCs w:val="24"/>
        </w:rPr>
        <w:t>，浮游生物将受到不同程度的影响。以上生态环境的损失部分是永久性的（如底栖生物的损失），有些则可以通过适当的环保措施来减缓直至消除，有些是阶段性的，主要是施工期的扰动影响将随施工期的结束而逐渐消失。</w:t>
      </w:r>
    </w:p>
    <w:p w14:paraId="67D023B4">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7.3.2.2水环境</w:t>
      </w:r>
    </w:p>
    <w:p w14:paraId="742F8DA0">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0"/>
        </w:rPr>
        <w:t>本项目到港船舶含油污水经接收设施接收后转运至码头平台设置的船舶含油污水储存罐，</w:t>
      </w:r>
      <w:r>
        <w:rPr>
          <w:rFonts w:hint="eastAsia" w:ascii="Times New Roman" w:hAnsi="Times New Roman" w:eastAsia="宋体" w:cs="Times New Roman"/>
          <w:color w:val="auto"/>
          <w:sz w:val="24"/>
          <w:szCs w:val="20"/>
        </w:rPr>
        <w:t>交由有资质单位处置</w:t>
      </w:r>
      <w:r>
        <w:rPr>
          <w:rFonts w:ascii="Times New Roman" w:hAnsi="Times New Roman" w:eastAsia="宋体" w:cs="Times New Roman"/>
          <w:color w:val="auto"/>
          <w:sz w:val="24"/>
          <w:szCs w:val="20"/>
        </w:rPr>
        <w:t>；到港船舶生活污水经码头区接收设施接收后</w:t>
      </w:r>
      <w:r>
        <w:rPr>
          <w:rFonts w:hint="eastAsia" w:ascii="Times New Roman" w:hAnsi="Times New Roman" w:eastAsia="宋体" w:cs="Times New Roman"/>
          <w:color w:val="auto"/>
          <w:sz w:val="24"/>
          <w:szCs w:val="20"/>
        </w:rPr>
        <w:t>转运至码头平台设置的船舶生活污水储存罐，定期就近转运至周边污水处理厂处理</w:t>
      </w:r>
      <w:r>
        <w:rPr>
          <w:rFonts w:ascii="Times New Roman" w:hAnsi="Times New Roman" w:eastAsia="宋体" w:cs="Times New Roman"/>
          <w:color w:val="auto"/>
          <w:sz w:val="24"/>
          <w:szCs w:val="20"/>
        </w:rPr>
        <w:t>；机械车辆冲洗水</w:t>
      </w:r>
      <w:r>
        <w:rPr>
          <w:rFonts w:hint="eastAsia" w:ascii="Times New Roman" w:hAnsi="Times New Roman" w:eastAsia="宋体" w:cs="Times New Roman"/>
          <w:color w:val="auto"/>
          <w:sz w:val="24"/>
          <w:szCs w:val="20"/>
        </w:rPr>
        <w:t>、</w:t>
      </w:r>
      <w:r>
        <w:rPr>
          <w:rFonts w:ascii="Times New Roman" w:hAnsi="Times New Roman" w:eastAsia="宋体" w:cs="Times New Roman"/>
          <w:color w:val="auto"/>
          <w:sz w:val="24"/>
          <w:szCs w:val="20"/>
        </w:rPr>
        <w:t>初期雨水</w:t>
      </w:r>
      <w:r>
        <w:rPr>
          <w:rFonts w:hint="eastAsia" w:ascii="Times New Roman" w:hAnsi="Times New Roman" w:eastAsia="宋体" w:cs="Times New Roman"/>
          <w:color w:val="auto"/>
          <w:sz w:val="24"/>
          <w:szCs w:val="20"/>
        </w:rPr>
        <w:t>，</w:t>
      </w:r>
      <w:r>
        <w:rPr>
          <w:rFonts w:ascii="Times New Roman" w:hAnsi="Times New Roman" w:eastAsia="宋体" w:cs="Times New Roman"/>
          <w:color w:val="auto"/>
          <w:sz w:val="24"/>
          <w:szCs w:val="20"/>
        </w:rPr>
        <w:t>码头地面冲洗</w:t>
      </w:r>
      <w:r>
        <w:rPr>
          <w:rFonts w:hint="eastAsia" w:ascii="Times New Roman" w:hAnsi="Times New Roman" w:eastAsia="宋体" w:cs="Times New Roman"/>
          <w:color w:val="auto"/>
          <w:sz w:val="24"/>
          <w:szCs w:val="20"/>
        </w:rPr>
        <w:t>废水经隔油沉淀池预处理后，进入一体化污水处理设备处理，</w:t>
      </w:r>
      <w:r>
        <w:rPr>
          <w:rFonts w:ascii="Times New Roman" w:hAnsi="Times New Roman" w:eastAsia="宋体" w:cs="Times New Roman"/>
          <w:color w:val="auto"/>
          <w:sz w:val="24"/>
          <w:szCs w:val="20"/>
        </w:rPr>
        <w:t>回用于码头</w:t>
      </w:r>
      <w:r>
        <w:rPr>
          <w:rFonts w:hint="eastAsia" w:ascii="Times New Roman" w:hAnsi="Times New Roman" w:eastAsia="宋体" w:cs="Times New Roman"/>
          <w:color w:val="auto"/>
          <w:sz w:val="24"/>
          <w:szCs w:val="20"/>
        </w:rPr>
        <w:t>地面</w:t>
      </w:r>
      <w:r>
        <w:rPr>
          <w:rFonts w:ascii="Times New Roman" w:hAnsi="Times New Roman" w:eastAsia="宋体" w:cs="Times New Roman"/>
          <w:color w:val="auto"/>
          <w:sz w:val="24"/>
          <w:szCs w:val="20"/>
        </w:rPr>
        <w:t>冲洗</w:t>
      </w:r>
      <w:r>
        <w:rPr>
          <w:rFonts w:hint="eastAsia" w:ascii="Times New Roman" w:hAnsi="Times New Roman" w:eastAsia="宋体" w:cs="Times New Roman"/>
          <w:color w:val="auto"/>
          <w:sz w:val="24"/>
          <w:szCs w:val="20"/>
        </w:rPr>
        <w:t>、道路喷洒、机械车辆冲洗及</w:t>
      </w:r>
      <w:r>
        <w:rPr>
          <w:rFonts w:ascii="Times New Roman" w:hAnsi="Times New Roman" w:eastAsia="宋体" w:cs="Times New Roman"/>
          <w:color w:val="auto"/>
          <w:sz w:val="24"/>
          <w:szCs w:val="20"/>
        </w:rPr>
        <w:t>绿化</w:t>
      </w:r>
      <w:r>
        <w:rPr>
          <w:rFonts w:hint="eastAsia" w:ascii="Times New Roman" w:hAnsi="Times New Roman" w:eastAsia="宋体" w:cs="Times New Roman"/>
          <w:color w:val="auto"/>
          <w:sz w:val="24"/>
          <w:szCs w:val="20"/>
        </w:rPr>
        <w:t>，不外排；码头生活污水</w:t>
      </w:r>
      <w:r>
        <w:rPr>
          <w:rFonts w:hint="eastAsia" w:ascii="Times New Roman" w:hAnsi="Times New Roman" w:eastAsia="宋体" w:cs="Times New Roman"/>
          <w:color w:val="auto"/>
          <w:sz w:val="24"/>
          <w:szCs w:val="24"/>
        </w:rPr>
        <w:t>利用周边已有旱厕，收集后用于当地农田或林地肥料，不外排。</w:t>
      </w:r>
    </w:p>
    <w:p w14:paraId="35446769">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综上所述，本项目运营期间产生的废水均得到了妥善处理，各类废水均不</w:t>
      </w:r>
      <w:r>
        <w:rPr>
          <w:rFonts w:hint="eastAsia" w:ascii="Times New Roman" w:hAnsi="Times New Roman" w:eastAsia="宋体" w:cs="Times New Roman"/>
          <w:color w:val="auto"/>
          <w:sz w:val="24"/>
          <w:szCs w:val="24"/>
        </w:rPr>
        <w:t>外排</w:t>
      </w:r>
      <w:r>
        <w:rPr>
          <w:rFonts w:ascii="Times New Roman" w:hAnsi="Times New Roman" w:eastAsia="宋体" w:cs="Times New Roman"/>
          <w:color w:val="auto"/>
          <w:sz w:val="24"/>
          <w:szCs w:val="24"/>
        </w:rPr>
        <w:t>，不会对淮河水环境产生污染影响。</w:t>
      </w:r>
    </w:p>
    <w:p w14:paraId="510F8132">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7.3.2.3</w:t>
      </w:r>
      <w:r>
        <w:rPr>
          <w:rFonts w:ascii="Times New Roman" w:hAnsi="Times New Roman" w:eastAsia="黑体" w:cs="Times New Roman"/>
          <w:bCs/>
          <w:color w:val="auto"/>
          <w:kern w:val="2"/>
          <w:sz w:val="24"/>
          <w:szCs w:val="28"/>
          <w:lang w:val="en-US" w:eastAsia="zh-CN" w:bidi="ar-SA"/>
        </w:rPr>
        <w:t>环境空气</w:t>
      </w:r>
    </w:p>
    <w:p w14:paraId="0D9FD468">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运营期加强运行管理，避免因操作不当等原因造成扬尘；加强码头区域绿化，发挥绿色植物吸尘滞尘、净化空气的作用。</w:t>
      </w:r>
      <w:r>
        <w:rPr>
          <w:rFonts w:hint="eastAsia" w:ascii="Times New Roman" w:hAnsi="Times New Roman" w:eastAsia="宋体" w:cs="Times New Roman"/>
          <w:color w:val="auto"/>
          <w:sz w:val="24"/>
          <w:szCs w:val="24"/>
        </w:rPr>
        <w:t>进场道路</w:t>
      </w:r>
      <w:r>
        <w:rPr>
          <w:rFonts w:ascii="Times New Roman" w:hAnsi="Times New Roman" w:eastAsia="宋体" w:cs="Times New Roman"/>
          <w:color w:val="auto"/>
          <w:sz w:val="24"/>
          <w:szCs w:val="24"/>
        </w:rPr>
        <w:t>进行洒水抑尘、装卸作业</w:t>
      </w:r>
      <w:r>
        <w:rPr>
          <w:rFonts w:hint="eastAsia" w:ascii="Times New Roman" w:hAnsi="Times New Roman" w:eastAsia="宋体" w:cs="Times New Roman"/>
          <w:color w:val="auto"/>
          <w:sz w:val="24"/>
          <w:szCs w:val="24"/>
        </w:rPr>
        <w:t>过程</w:t>
      </w:r>
      <w:r>
        <w:rPr>
          <w:rFonts w:ascii="Times New Roman" w:hAnsi="Times New Roman" w:eastAsia="宋体" w:cs="Times New Roman"/>
          <w:color w:val="auto"/>
          <w:sz w:val="24"/>
          <w:szCs w:val="24"/>
        </w:rPr>
        <w:t>中设置喷雾洒水抑尘系统。采取以上废气污染物防治措施后，本项目对区域环境空气的影响较小，不会改变区域空气环境功能。</w:t>
      </w:r>
    </w:p>
    <w:p w14:paraId="7E9B1B45">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7.3.2.4</w:t>
      </w:r>
      <w:r>
        <w:rPr>
          <w:rFonts w:ascii="Times New Roman" w:hAnsi="Times New Roman" w:eastAsia="黑体" w:cs="Times New Roman"/>
          <w:bCs/>
          <w:color w:val="auto"/>
          <w:kern w:val="2"/>
          <w:sz w:val="24"/>
          <w:szCs w:val="28"/>
          <w:lang w:val="en-US" w:eastAsia="zh-CN" w:bidi="ar-SA"/>
        </w:rPr>
        <w:t>声环境</w:t>
      </w:r>
    </w:p>
    <w:p w14:paraId="266073AA">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运营期通过采取绿化、隔声、减振等综合治理措施，噪声对区域声环境影响较小。</w:t>
      </w:r>
    </w:p>
    <w:p w14:paraId="6FB577B6">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从本项目的建设对环境正面影响和负面损失进行论证及对工程的社会效益、经济效益和环境效益的综合分析表明，本项目的建设带来的正效益明显。</w:t>
      </w:r>
    </w:p>
    <w:p w14:paraId="2C52C091">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300" w:name="_Toc4297"/>
      <w:r>
        <w:rPr>
          <w:rFonts w:hint="eastAsia" w:ascii="Times New Roman" w:hAnsi="Times New Roman" w:eastAsia="黑体" w:cs="Times New Roman"/>
          <w:bCs/>
          <w:color w:val="auto"/>
          <w:kern w:val="2"/>
          <w:sz w:val="30"/>
          <w:szCs w:val="32"/>
          <w:lang w:val="en-US" w:eastAsia="zh-CN" w:bidi="ar-SA"/>
        </w:rPr>
        <w:t>7.4</w:t>
      </w:r>
      <w:r>
        <w:rPr>
          <w:rFonts w:ascii="Times New Roman" w:hAnsi="Times New Roman" w:eastAsia="黑体" w:cs="Times New Roman"/>
          <w:bCs/>
          <w:color w:val="auto"/>
          <w:kern w:val="2"/>
          <w:sz w:val="30"/>
          <w:szCs w:val="32"/>
          <w:lang w:val="en-US" w:eastAsia="zh-CN" w:bidi="ar-SA"/>
        </w:rPr>
        <w:t>环境经济损益分析小结</w:t>
      </w:r>
      <w:bookmarkEnd w:id="300"/>
    </w:p>
    <w:p w14:paraId="52759577">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综上所述，</w:t>
      </w:r>
      <w:r>
        <w:rPr>
          <w:rFonts w:hint="eastAsia" w:ascii="Times New Roman" w:hAnsi="Times New Roman" w:eastAsia="宋体" w:cs="Times New Roman"/>
          <w:color w:val="auto"/>
          <w:sz w:val="24"/>
        </w:rPr>
        <w:t>本</w:t>
      </w:r>
      <w:r>
        <w:rPr>
          <w:rFonts w:ascii="Times New Roman" w:hAnsi="Times New Roman" w:eastAsia="宋体" w:cs="Times New Roman"/>
          <w:color w:val="auto"/>
          <w:sz w:val="24"/>
        </w:rPr>
        <w:t>项目在经济上是可行的；从社会影响方面分析表明，项目的建设和运营有助于</w:t>
      </w:r>
      <w:r>
        <w:rPr>
          <w:rFonts w:hint="eastAsia" w:ascii="Times New Roman" w:hAnsi="Times New Roman" w:eastAsia="宋体" w:cs="Times New Roman"/>
          <w:color w:val="auto"/>
          <w:sz w:val="24"/>
        </w:rPr>
        <w:t>毛集</w:t>
      </w:r>
      <w:r>
        <w:rPr>
          <w:rFonts w:ascii="Times New Roman" w:hAnsi="Times New Roman" w:eastAsia="宋体" w:cs="Times New Roman"/>
          <w:color w:val="auto"/>
          <w:sz w:val="24"/>
        </w:rPr>
        <w:t>区经济的发展和投资环境的改善，有助于提高当地居民的就业水平，与当地社会环境的互适性较好；从环境影响角度分析，本项目对区域环境影响不大，并采取了相应的环境保护措施，因此，本项目是可行的。</w:t>
      </w:r>
    </w:p>
    <w:p w14:paraId="25145062">
      <w:pPr>
        <w:spacing w:line="360" w:lineRule="auto"/>
        <w:ind w:firstLine="480" w:firstLineChars="200"/>
        <w:rPr>
          <w:rFonts w:ascii="Times New Roman" w:hAnsi="Times New Roman" w:eastAsia="宋体" w:cs="Times New Roman"/>
          <w:color w:val="auto"/>
          <w:sz w:val="24"/>
        </w:rPr>
      </w:pPr>
    </w:p>
    <w:p w14:paraId="209CD6FC">
      <w:pPr>
        <w:widowControl/>
        <w:spacing w:line="360" w:lineRule="auto"/>
        <w:ind w:firstLine="480" w:firstLineChars="200"/>
        <w:jc w:val="left"/>
        <w:rPr>
          <w:color w:val="auto"/>
          <w:sz w:val="24"/>
        </w:rPr>
        <w:sectPr>
          <w:pgSz w:w="11906" w:h="16838"/>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33629336">
      <w:pPr>
        <w:keepNext/>
        <w:keepLines/>
        <w:widowControl w:val="0"/>
        <w:numPr>
          <w:ilvl w:val="0"/>
          <w:numId w:val="0"/>
        </w:numPr>
        <w:spacing w:line="360" w:lineRule="auto"/>
        <w:jc w:val="center"/>
        <w:outlineLvl w:val="0"/>
        <w:rPr>
          <w:rFonts w:hint="eastAsia" w:ascii="Times New Roman" w:hAnsi="Times New Roman" w:eastAsia="宋体" w:cs="Times New Roman"/>
          <w:b/>
          <w:bCs/>
          <w:color w:val="auto"/>
          <w:kern w:val="44"/>
          <w:sz w:val="44"/>
          <w:szCs w:val="44"/>
          <w:lang w:val="en-US" w:eastAsia="zh-CN" w:bidi="ar-SA"/>
        </w:rPr>
      </w:pPr>
      <w:bookmarkStart w:id="301" w:name="_Toc9418"/>
      <w:r>
        <w:rPr>
          <w:rFonts w:hint="eastAsia" w:ascii="Times New Roman" w:hAnsi="Times New Roman" w:eastAsia="宋体" w:cs="Times New Roman"/>
          <w:b/>
          <w:bCs/>
          <w:color w:val="auto"/>
          <w:kern w:val="44"/>
          <w:sz w:val="44"/>
          <w:szCs w:val="44"/>
          <w:lang w:val="en-US" w:eastAsia="zh-CN" w:bidi="ar-SA"/>
        </w:rPr>
        <w:t>8环境管理和环境监测</w:t>
      </w:r>
      <w:bookmarkEnd w:id="301"/>
    </w:p>
    <w:p w14:paraId="2CE75F0F">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302" w:name="_Toc1049"/>
      <w:r>
        <w:rPr>
          <w:rFonts w:hint="eastAsia" w:ascii="Times New Roman" w:hAnsi="Times New Roman" w:eastAsia="黑体" w:cs="Times New Roman"/>
          <w:bCs/>
          <w:color w:val="auto"/>
          <w:kern w:val="2"/>
          <w:sz w:val="30"/>
          <w:szCs w:val="32"/>
          <w:lang w:val="en-US" w:eastAsia="zh-CN" w:bidi="ar-SA"/>
        </w:rPr>
        <w:t>8.1</w:t>
      </w:r>
      <w:r>
        <w:rPr>
          <w:rFonts w:ascii="Times New Roman" w:hAnsi="Times New Roman" w:eastAsia="黑体" w:cs="Times New Roman"/>
          <w:bCs/>
          <w:color w:val="auto"/>
          <w:kern w:val="2"/>
          <w:sz w:val="30"/>
          <w:szCs w:val="32"/>
          <w:lang w:val="en-US" w:eastAsia="zh-CN" w:bidi="ar-SA"/>
        </w:rPr>
        <w:t>环境管理</w:t>
      </w:r>
      <w:r>
        <w:rPr>
          <w:rFonts w:hint="eastAsia" w:ascii="Times New Roman" w:hAnsi="Times New Roman" w:eastAsia="黑体" w:cs="Times New Roman"/>
          <w:bCs/>
          <w:color w:val="auto"/>
          <w:kern w:val="2"/>
          <w:sz w:val="30"/>
          <w:szCs w:val="32"/>
          <w:lang w:val="en-US" w:eastAsia="zh-CN" w:bidi="ar-SA"/>
        </w:rPr>
        <w:t>要求</w:t>
      </w:r>
      <w:bookmarkEnd w:id="302"/>
    </w:p>
    <w:p w14:paraId="7E0C5214">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8.1.1环境管理目标</w:t>
      </w:r>
    </w:p>
    <w:p w14:paraId="1D0FF66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通过制订系统的、科学的环境管理计划，使本项目主体工程建设和环境保护设施建设符合国家同时设计、同时施工和同时投产的“三同时”制度要求，使环保措施得以具体落实，并落实排污许可证制度；为生态环境主管部门对其进行监督和管理提供依据。</w:t>
      </w:r>
    </w:p>
    <w:p w14:paraId="23BCB129">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通过实施环境管理计划，重视对环保防治措施的实施和管理，使拟建的</w:t>
      </w:r>
      <w:r>
        <w:rPr>
          <w:rFonts w:hint="eastAsia" w:ascii="Times New Roman" w:hAnsi="Times New Roman" w:eastAsia="宋体" w:cs="Times New Roman"/>
          <w:color w:val="auto"/>
          <w:sz w:val="24"/>
        </w:rPr>
        <w:t>淮南</w:t>
      </w:r>
      <w:r>
        <w:rPr>
          <w:rFonts w:ascii="Times New Roman" w:hAnsi="Times New Roman" w:eastAsia="宋体" w:cs="Times New Roman"/>
          <w:color w:val="auto"/>
          <w:sz w:val="24"/>
        </w:rPr>
        <w:t>码头工程项目的建设和营运对周边的大气环境、地表水环境、声环境、地下水环境、土壤环境、生态环境的负面影响降到最低，使本项目建设的经济效益和环境效益得以协调、持续和稳定发展。</w:t>
      </w:r>
    </w:p>
    <w:p w14:paraId="6E2D8DBA">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8.1.2环境管理机构的设置及职责</w:t>
      </w:r>
    </w:p>
    <w:p w14:paraId="132ECC51">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为更好地进行科学管理，保证环保管理制度得以落实，建设单位应组建专门的环保管理部门。法人代表为公司环境保护第一责任人，对企业的环境保护全面负责，是环保管理部门第一负责人。可下设一名部长，多名员工，专职负责环保管理工作。其余部门配合工作。</w:t>
      </w:r>
    </w:p>
    <w:p w14:paraId="2D89874A">
      <w:pPr>
        <w:spacing w:line="360" w:lineRule="auto"/>
        <w:ind w:firstLine="480" w:firstLineChars="200"/>
        <w:rPr>
          <w:rFonts w:hint="eastAsia" w:ascii="Times New Roman" w:hAnsi="Times New Roman" w:eastAsia="宋体" w:cs="Times New Roman"/>
          <w:color w:val="auto"/>
          <w:sz w:val="24"/>
        </w:rPr>
      </w:pPr>
      <w:r>
        <w:rPr>
          <w:rFonts w:ascii="Times New Roman" w:hAnsi="Times New Roman" w:eastAsia="宋体" w:cs="Times New Roman"/>
          <w:color w:val="auto"/>
          <w:sz w:val="24"/>
        </w:rPr>
        <w:t>环境保护管理部门的环保职责</w:t>
      </w:r>
      <w:r>
        <w:rPr>
          <w:rFonts w:hint="eastAsia" w:ascii="Times New Roman" w:hAnsi="Times New Roman" w:eastAsia="宋体" w:cs="Times New Roman"/>
          <w:color w:val="auto"/>
          <w:sz w:val="24"/>
        </w:rPr>
        <w:t>：</w:t>
      </w:r>
    </w:p>
    <w:p w14:paraId="5A385BD5">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（1）贯彻执行国家有关环境保护工作方针、政策、法令和上级有关规定，结合公司实际情况，制定和完善保护管理和工作计划，并负责具体实施。</w:t>
      </w:r>
    </w:p>
    <w:p w14:paraId="0E940C94">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（2）根据国家环境排放标准及排污许可的要求，确定污染源控制监测点，布置检测项目，整理汇总检测数据，遇有超标情况及时整改，并接受地方生态环境主管部门的监督。</w:t>
      </w:r>
    </w:p>
    <w:p w14:paraId="06DAB2C5">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（3）落实上级有关部门下达的各项环保指令，监督环保管理制度的执行，发现问题组织有关部门协商讨论，拿出解决问题的办法，随时向公司领导汇报。</w:t>
      </w:r>
    </w:p>
    <w:p w14:paraId="71D038F5">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（4）负责组织起草各项环保制度，并负责组织评审。</w:t>
      </w:r>
    </w:p>
    <w:p w14:paraId="59BB5B20">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（5）负责公司环保工作的宣传。</w:t>
      </w:r>
    </w:p>
    <w:p w14:paraId="0F122336">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（6）负责公司环保工作的日常管理、运行。</w:t>
      </w:r>
    </w:p>
    <w:p w14:paraId="192F3CD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（7）负责定期、不定期对企业环保治理设备进行保养检查，保证其正常运行。依据环境保护制度提出奖励或处罚意见，积极推广采用环保新技术、新设备、新工艺。</w:t>
      </w:r>
    </w:p>
    <w:p w14:paraId="64AA8623">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（8）负责编制环境事故应急预案，并定期组织人员进行演练。在环保治理设施一旦出现故障时，有“三废”外排的生产工序须采取应急措施，以尽可能减少污染物的排放。</w:t>
      </w:r>
    </w:p>
    <w:p w14:paraId="2846EC3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（9）在制定或审定有关设备制造、改造方案和编制设备检修计划时，应有相应的环保、减噪等措施内容，并确保实施，定期维护保养。</w:t>
      </w:r>
    </w:p>
    <w:p w14:paraId="45AA373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（10）负责定期、不定期检查企业产生污染的生产设施和污染防治设施运转情况。</w:t>
      </w:r>
    </w:p>
    <w:p w14:paraId="13181B46">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（11）负责处理公司环境污染事故和污染事件，应立即采取防止污染的应急措施，并立刻向生态环境主管部门汇报。</w:t>
      </w:r>
    </w:p>
    <w:p w14:paraId="5134E1F4">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（12）对环境知识和意识的培训、教育工作实行分级负责、统筹安排，将环境培训教育计划纳入员工培训教育计划。</w:t>
      </w:r>
    </w:p>
    <w:p w14:paraId="5426287A">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（13）组织安排员工和劳务工进行</w:t>
      </w:r>
      <w:r>
        <w:rPr>
          <w:rFonts w:hint="eastAsia" w:ascii="Times New Roman" w:hAnsi="Times New Roman" w:eastAsia="宋体" w:cs="Times New Roman"/>
          <w:color w:val="FF0000"/>
          <w:sz w:val="24"/>
          <w:lang w:eastAsia="zh-CN"/>
        </w:rPr>
        <w:t>《</w:t>
      </w:r>
      <w:r>
        <w:rPr>
          <w:rFonts w:hint="default" w:ascii="Times New Roman" w:hAnsi="Times New Roman" w:eastAsia="宋体" w:cs="Times New Roman"/>
          <w:color w:val="FF0000"/>
          <w:sz w:val="24"/>
        </w:rPr>
        <w:t>中华人民共和国生态环境法典</w:t>
      </w:r>
      <w:r>
        <w:rPr>
          <w:rFonts w:hint="eastAsia" w:ascii="Times New Roman" w:hAnsi="Times New Roman" w:eastAsia="宋体" w:cs="Times New Roman"/>
          <w:color w:val="FF0000"/>
          <w:sz w:val="24"/>
          <w:lang w:eastAsia="zh-CN"/>
        </w:rPr>
        <w:t>》</w:t>
      </w:r>
      <w:r>
        <w:rPr>
          <w:rFonts w:ascii="Times New Roman" w:hAnsi="Times New Roman" w:eastAsia="宋体" w:cs="Times New Roman"/>
          <w:color w:val="auto"/>
          <w:sz w:val="24"/>
        </w:rPr>
        <w:t>等法律法规，以及所在地政府和项目部的有关环境保护规定的学习教育，进行岗前环保知识教育，使全体员工熟悉环境保护的法规标准和管理办法，掌握本岗位的环境影响和环境因素，</w:t>
      </w:r>
      <w:r>
        <w:rPr>
          <w:rFonts w:hint="eastAsia" w:cs="Times New Roman"/>
          <w:color w:val="auto"/>
          <w:sz w:val="24"/>
          <w:lang w:eastAsia="zh-CN"/>
        </w:rPr>
        <w:t>增强</w:t>
      </w:r>
      <w:r>
        <w:rPr>
          <w:rFonts w:ascii="Times New Roman" w:hAnsi="Times New Roman" w:eastAsia="宋体" w:cs="Times New Roman"/>
          <w:color w:val="auto"/>
          <w:sz w:val="24"/>
        </w:rPr>
        <w:t>环保意识。</w:t>
      </w:r>
    </w:p>
    <w:p w14:paraId="4DFE55A6">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（14）负责安排日常各项环保活动，确保目标明确、力争实效，树立典型、以点带面促进环境保护工作的顺利开展。</w:t>
      </w:r>
    </w:p>
    <w:p w14:paraId="19AB7ED1">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8.1.3环境管理具体工作要求</w:t>
      </w:r>
    </w:p>
    <w:p w14:paraId="0A2DC838">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8.1.3.1施工期</w:t>
      </w:r>
      <w:r>
        <w:rPr>
          <w:rFonts w:ascii="Times New Roman" w:hAnsi="Times New Roman" w:eastAsia="黑体" w:cs="Times New Roman"/>
          <w:bCs/>
          <w:color w:val="auto"/>
          <w:kern w:val="2"/>
          <w:sz w:val="24"/>
          <w:szCs w:val="28"/>
          <w:lang w:val="en-US" w:eastAsia="zh-CN" w:bidi="ar-SA"/>
        </w:rPr>
        <w:t>环境管理</w:t>
      </w:r>
    </w:p>
    <w:p w14:paraId="1A85F952">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本项目的施工期是对生态环境影响最大的时期，为加强这一时期的环境管理工作，最大限度地减轻施工作业对环境的影响，确保各项环保措施的落实，应建立施工期环境管理体系。</w:t>
      </w:r>
    </w:p>
    <w:p w14:paraId="6B1361FB">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（1）明确环境管理机构在施工期环境管理上的主要职责</w:t>
      </w:r>
    </w:p>
    <w:p w14:paraId="6336116E">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①</w:t>
      </w:r>
      <w:r>
        <w:rPr>
          <w:rFonts w:ascii="Times New Roman" w:hAnsi="Times New Roman" w:eastAsia="宋体" w:cs="Times New Roman"/>
          <w:color w:val="auto"/>
          <w:sz w:val="24"/>
        </w:rPr>
        <w:t>贯彻执行国家环境保护的方针、政策和法律、法规；</w:t>
      </w:r>
    </w:p>
    <w:p w14:paraId="1E5E3792">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②</w:t>
      </w:r>
      <w:r>
        <w:rPr>
          <w:rFonts w:ascii="Times New Roman" w:hAnsi="Times New Roman" w:eastAsia="宋体" w:cs="Times New Roman"/>
          <w:color w:val="auto"/>
          <w:sz w:val="24"/>
        </w:rPr>
        <w:t>负责制定本项目施工作业的环境保护规定，根据施工中各工种的作业特点，分别制定各工种的环境保护方案，制定发生事故的应急计划；</w:t>
      </w:r>
    </w:p>
    <w:p w14:paraId="74E9E8AB">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③</w:t>
      </w:r>
      <w:r>
        <w:rPr>
          <w:rFonts w:ascii="Times New Roman" w:hAnsi="Times New Roman" w:eastAsia="宋体" w:cs="Times New Roman"/>
          <w:color w:val="auto"/>
          <w:sz w:val="24"/>
        </w:rPr>
        <w:t>负责组织施工期间的环境监理，审定、落实并督促实施生态恢复和污染治理方案监督生态恢复、污染治理资金和物资的使用；</w:t>
      </w:r>
    </w:p>
    <w:p w14:paraId="225B28D0">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④</w:t>
      </w:r>
      <w:r>
        <w:rPr>
          <w:rFonts w:ascii="Times New Roman" w:hAnsi="Times New Roman" w:eastAsia="宋体" w:cs="Times New Roman"/>
          <w:color w:val="auto"/>
          <w:sz w:val="24"/>
        </w:rPr>
        <w:t>监督检查保护生态环境和</w:t>
      </w:r>
      <w:r>
        <w:rPr>
          <w:rFonts w:hint="eastAsia" w:cs="Times New Roman"/>
          <w:color w:val="auto"/>
          <w:sz w:val="24"/>
          <w:lang w:eastAsia="zh-CN"/>
        </w:rPr>
        <w:t>防治</w:t>
      </w:r>
      <w:r>
        <w:rPr>
          <w:rFonts w:ascii="Times New Roman" w:hAnsi="Times New Roman" w:eastAsia="宋体" w:cs="Times New Roman"/>
          <w:color w:val="auto"/>
          <w:sz w:val="24"/>
        </w:rPr>
        <w:t>污染设施与项目主体工程同时设计、同时施工、同时投入使用的执行情况；</w:t>
      </w:r>
    </w:p>
    <w:p w14:paraId="1854E3A9">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⑤</w:t>
      </w:r>
      <w:r>
        <w:rPr>
          <w:rFonts w:ascii="Times New Roman" w:hAnsi="Times New Roman" w:eastAsia="宋体" w:cs="Times New Roman"/>
          <w:color w:val="auto"/>
          <w:sz w:val="24"/>
        </w:rPr>
        <w:t>监督施工期各项环保措施的落实及环保措施的落实情况；</w:t>
      </w:r>
    </w:p>
    <w:p w14:paraId="6C5BD25F">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⑥</w:t>
      </w:r>
      <w:r>
        <w:rPr>
          <w:rFonts w:ascii="Times New Roman" w:hAnsi="Times New Roman" w:eastAsia="宋体" w:cs="Times New Roman"/>
          <w:color w:val="auto"/>
          <w:sz w:val="24"/>
        </w:rPr>
        <w:t>负责调查处理工程建设中的环境破坏和污染事故；</w:t>
      </w:r>
    </w:p>
    <w:p w14:paraId="5333F196">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⑦</w:t>
      </w:r>
      <w:r>
        <w:rPr>
          <w:rFonts w:ascii="Times New Roman" w:hAnsi="Times New Roman" w:eastAsia="宋体" w:cs="Times New Roman"/>
          <w:color w:val="auto"/>
          <w:sz w:val="24"/>
        </w:rPr>
        <w:t>组织开展工程建设期间的</w:t>
      </w:r>
      <w:r>
        <w:rPr>
          <w:rFonts w:hint="eastAsia" w:cs="Times New Roman"/>
          <w:color w:val="auto"/>
          <w:sz w:val="24"/>
          <w:lang w:eastAsia="zh-CN"/>
        </w:rPr>
        <w:t>环境保护</w:t>
      </w:r>
      <w:r>
        <w:rPr>
          <w:rFonts w:ascii="Times New Roman" w:hAnsi="Times New Roman" w:eastAsia="宋体" w:cs="Times New Roman"/>
          <w:color w:val="auto"/>
          <w:sz w:val="24"/>
        </w:rPr>
        <w:t>宣传教育与培训工作。</w:t>
      </w:r>
    </w:p>
    <w:p w14:paraId="542A7B11">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（2）强化施工前的环境管理培训</w:t>
      </w:r>
    </w:p>
    <w:p w14:paraId="3DD1E5F8">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①</w:t>
      </w:r>
      <w:r>
        <w:rPr>
          <w:rFonts w:ascii="Times New Roman" w:hAnsi="Times New Roman" w:eastAsia="宋体" w:cs="Times New Roman"/>
          <w:color w:val="auto"/>
          <w:sz w:val="24"/>
        </w:rPr>
        <w:t>在施工作业之前必须对全体施工人员进行环境管理培训，以提高施工人员的环保知识、环保意识和处理跟环境有关的突发事件的能力。内容包括：</w:t>
      </w:r>
    </w:p>
    <w:p w14:paraId="0A3C863A">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②</w:t>
      </w:r>
      <w:r>
        <w:rPr>
          <w:rFonts w:ascii="Times New Roman" w:hAnsi="Times New Roman" w:eastAsia="宋体" w:cs="Times New Roman"/>
          <w:color w:val="auto"/>
          <w:sz w:val="24"/>
        </w:rPr>
        <w:t>了解国家和地方有关环境方面的法律、法规和标准；</w:t>
      </w:r>
    </w:p>
    <w:p w14:paraId="26F61E0F">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③</w:t>
      </w:r>
      <w:r>
        <w:rPr>
          <w:rFonts w:ascii="Times New Roman" w:hAnsi="Times New Roman" w:eastAsia="宋体" w:cs="Times New Roman"/>
          <w:color w:val="auto"/>
          <w:sz w:val="24"/>
        </w:rPr>
        <w:t>了解施工期的主要环境保护目标和要求；</w:t>
      </w:r>
    </w:p>
    <w:p w14:paraId="65DC67FE">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④</w:t>
      </w:r>
      <w:r>
        <w:rPr>
          <w:rFonts w:ascii="Times New Roman" w:hAnsi="Times New Roman" w:eastAsia="宋体" w:cs="Times New Roman"/>
          <w:color w:val="auto"/>
          <w:sz w:val="24"/>
        </w:rPr>
        <w:t>认识遵守有关环境管理规定的重要性，及违反规定带来后果的严重性；</w:t>
      </w:r>
    </w:p>
    <w:p w14:paraId="0629429C">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⑤</w:t>
      </w:r>
      <w:r>
        <w:rPr>
          <w:rFonts w:ascii="Times New Roman" w:hAnsi="Times New Roman" w:eastAsia="宋体" w:cs="Times New Roman"/>
          <w:color w:val="auto"/>
          <w:sz w:val="24"/>
        </w:rPr>
        <w:t>收集、处理固体废物的方法；</w:t>
      </w:r>
    </w:p>
    <w:p w14:paraId="7CD559D0">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⑥</w:t>
      </w:r>
      <w:r>
        <w:rPr>
          <w:rFonts w:ascii="Times New Roman" w:hAnsi="Times New Roman" w:eastAsia="宋体" w:cs="Times New Roman"/>
          <w:color w:val="auto"/>
          <w:sz w:val="24"/>
        </w:rPr>
        <w:t>管理、存放及处理危险物品的方法。</w:t>
      </w:r>
    </w:p>
    <w:p w14:paraId="1E1B3269">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（3）加强施工承包方的管理</w:t>
      </w:r>
    </w:p>
    <w:p w14:paraId="2213B7A0">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施工承包方是施工作业的直接参与者，他们的管理水平好坏将直接关系到环境管理的好坏，为此，在施工单位的选择与管理上应提出如下要求：</w:t>
      </w:r>
    </w:p>
    <w:p w14:paraId="03DB1F24">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①</w:t>
      </w:r>
      <w:r>
        <w:rPr>
          <w:rFonts w:ascii="Times New Roman" w:hAnsi="Times New Roman" w:eastAsia="宋体" w:cs="Times New Roman"/>
          <w:color w:val="auto"/>
          <w:sz w:val="24"/>
        </w:rPr>
        <w:t>在技术装备、人员素质等同的条件下，选择环境管理水平高、环保业绩好的承包方。施工期对环境的破坏程度与施工承包方的素质和管理水平有直接的关系，因此在工程招标过程中，对施工承包方的选择，除要考虑实力、人员素质和技术装备外，还要考虑其环境管理业绩，优先选择那些管理水平高、环保业绩好的队伍。</w:t>
      </w:r>
    </w:p>
    <w:p w14:paraId="567CB564">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②</w:t>
      </w:r>
      <w:r>
        <w:rPr>
          <w:rFonts w:ascii="Times New Roman" w:hAnsi="Times New Roman" w:eastAsia="宋体" w:cs="Times New Roman"/>
          <w:color w:val="auto"/>
          <w:sz w:val="24"/>
        </w:rPr>
        <w:t>在承包合同中应明确承包方的环保责任和义务，将有关环境保护条款，如环境保护目标、采取的水、气、声、生态保护及水土保持措施等，列入合同当中，并将环保工作的好坏作为工程验收的标准之一。</w:t>
      </w:r>
    </w:p>
    <w:p w14:paraId="6E22448F">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施工承包方应在施工作业前，编制详细的环境管理方案，连同施工计划一起呈报本项目环境管理部门，批准后方可开工。</w:t>
      </w:r>
    </w:p>
    <w:p w14:paraId="752B7BA5">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环境管理方案应包括以下措施：</w:t>
      </w:r>
    </w:p>
    <w:p w14:paraId="6F93A508">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——减少施工扬尘、粉尘、施工机械及车辆废气排放等大气污染防治措施；</w:t>
      </w:r>
    </w:p>
    <w:p w14:paraId="0B84862F">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——降低施工机械及车辆噪声、施工噪声，以及在</w:t>
      </w:r>
      <w:r>
        <w:rPr>
          <w:rFonts w:hint="eastAsia" w:ascii="Times New Roman" w:hAnsi="Times New Roman" w:eastAsia="宋体" w:cs="Times New Roman"/>
          <w:color w:val="auto"/>
          <w:sz w:val="24"/>
        </w:rPr>
        <w:t>场界</w:t>
      </w:r>
      <w:r>
        <w:rPr>
          <w:rFonts w:ascii="Times New Roman" w:hAnsi="Times New Roman" w:eastAsia="宋体" w:cs="Times New Roman"/>
          <w:color w:val="auto"/>
          <w:sz w:val="24"/>
        </w:rPr>
        <w:t>设置隔声设施等防治噪声污染的措施；</w:t>
      </w:r>
    </w:p>
    <w:p w14:paraId="0A51060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——减少施工废水、生活污水排放，并加以妥善处理，防止污染地表水环境的措施；</w:t>
      </w:r>
    </w:p>
    <w:p w14:paraId="2A629A3E">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——施工废渣、生活垃圾等处理处置措施；</w:t>
      </w:r>
    </w:p>
    <w:p w14:paraId="4E1E610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——限定施工活动范围、减少施工作业对土壤和植被的扰动和破坏、保护动植物等生态保护措施。</w:t>
      </w:r>
    </w:p>
    <w:p w14:paraId="507203D9">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③</w:t>
      </w:r>
      <w:r>
        <w:rPr>
          <w:rFonts w:ascii="Times New Roman" w:hAnsi="Times New Roman" w:eastAsia="宋体" w:cs="Times New Roman"/>
          <w:color w:val="auto"/>
          <w:sz w:val="24"/>
        </w:rPr>
        <w:t>施工单位要严格执行施工前的环境管理培训考核制度，施工人员必须经过相关部门的环保知识的宣传、教育和培训考核之后，成绩合格者方能进行施工，施工时要做到文明施工，环保施工。</w:t>
      </w:r>
    </w:p>
    <w:p w14:paraId="60CAB872">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④</w:t>
      </w:r>
      <w:r>
        <w:rPr>
          <w:rFonts w:ascii="Times New Roman" w:hAnsi="Times New Roman" w:eastAsia="宋体" w:cs="Times New Roman"/>
          <w:color w:val="auto"/>
          <w:sz w:val="24"/>
        </w:rPr>
        <w:t>施工单位要严格执行施工期的各项环保规定，落实各项环保措施，按要求选择适宜的施工时间、尽量</w:t>
      </w:r>
      <w:r>
        <w:rPr>
          <w:rFonts w:hint="eastAsia" w:cs="Times New Roman"/>
          <w:color w:val="auto"/>
          <w:sz w:val="24"/>
          <w:lang w:eastAsia="zh-CN"/>
        </w:rPr>
        <w:t>缩小</w:t>
      </w:r>
      <w:r>
        <w:rPr>
          <w:rFonts w:ascii="Times New Roman" w:hAnsi="Times New Roman" w:eastAsia="宋体" w:cs="Times New Roman"/>
          <w:color w:val="auto"/>
          <w:sz w:val="24"/>
        </w:rPr>
        <w:t>施工范围、废渣和垃圾集中堆放、泥浆等按规定进行处置、施工结束后做到工完料净、按规定对土地进行恢复。</w:t>
      </w:r>
    </w:p>
    <w:p w14:paraId="653DCB04">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⑤</w:t>
      </w:r>
      <w:r>
        <w:rPr>
          <w:rFonts w:ascii="Times New Roman" w:hAnsi="Times New Roman" w:eastAsia="宋体" w:cs="Times New Roman"/>
          <w:color w:val="auto"/>
          <w:sz w:val="24"/>
        </w:rPr>
        <w:t>在施工</w:t>
      </w:r>
      <w:r>
        <w:rPr>
          <w:rFonts w:hint="eastAsia" w:ascii="Times New Roman" w:hAnsi="Times New Roman" w:eastAsia="宋体" w:cs="Times New Roman"/>
          <w:color w:val="auto"/>
          <w:sz w:val="24"/>
        </w:rPr>
        <w:t>作业区设置临时围挡</w:t>
      </w:r>
      <w:r>
        <w:rPr>
          <w:rFonts w:ascii="Times New Roman" w:hAnsi="Times New Roman" w:eastAsia="宋体" w:cs="Times New Roman"/>
          <w:color w:val="auto"/>
          <w:sz w:val="24"/>
        </w:rPr>
        <w:t>。</w:t>
      </w:r>
    </w:p>
    <w:p w14:paraId="106FC23F">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⑥</w:t>
      </w:r>
      <w:r>
        <w:rPr>
          <w:rFonts w:ascii="Times New Roman" w:hAnsi="Times New Roman" w:eastAsia="宋体" w:cs="Times New Roman"/>
          <w:color w:val="auto"/>
          <w:sz w:val="24"/>
        </w:rPr>
        <w:t>建设单位的环境监管人员应随时对施工现场的环保设施、作业环境，以及环保措施的落实执行情况进行</w:t>
      </w:r>
      <w:r>
        <w:rPr>
          <w:rFonts w:hint="eastAsia" w:cs="Times New Roman"/>
          <w:color w:val="auto"/>
          <w:sz w:val="24"/>
          <w:lang w:eastAsia="zh-CN"/>
        </w:rPr>
        <w:t>认真</w:t>
      </w:r>
      <w:r>
        <w:rPr>
          <w:rFonts w:ascii="Times New Roman" w:hAnsi="Times New Roman" w:eastAsia="宋体" w:cs="Times New Roman"/>
          <w:color w:val="auto"/>
          <w:sz w:val="24"/>
        </w:rPr>
        <w:t>检查，并做好记录。</w:t>
      </w:r>
    </w:p>
    <w:p w14:paraId="36C64203">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⑦</w:t>
      </w:r>
      <w:r>
        <w:rPr>
          <w:rFonts w:ascii="Times New Roman" w:hAnsi="Times New Roman" w:eastAsia="宋体" w:cs="Times New Roman"/>
          <w:color w:val="auto"/>
          <w:sz w:val="24"/>
        </w:rPr>
        <w:t>对施工中出现的与环保有关的问题进行及时的协调和解决。</w:t>
      </w:r>
    </w:p>
    <w:p w14:paraId="56182A68">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（4）做好环境恢复的管理工作</w:t>
      </w:r>
    </w:p>
    <w:p w14:paraId="5FEAB6A8">
      <w:pPr>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sz w:val="24"/>
        </w:rPr>
        <w:t>工程建设不可避免地会对环境造成破坏，因此必须做好工程完成后的环境恢复工作。目前的生态恢复措施随机性很大，完全取决于参与者的专业技术水平和偏好，因此，除要求施工单位按规定实施生态恢复外，还应聘请专业的生态专家来指导生态恢复工作。</w:t>
      </w:r>
    </w:p>
    <w:p w14:paraId="3F718792">
      <w:pPr>
        <w:keepNext/>
        <w:keepLines/>
        <w:widowControl w:val="0"/>
        <w:numPr>
          <w:ilvl w:val="3"/>
          <w:numId w:val="0"/>
        </w:numPr>
        <w:spacing w:line="360" w:lineRule="auto"/>
        <w:jc w:val="both"/>
        <w:outlineLvl w:val="3"/>
        <w:rPr>
          <w:rFonts w:ascii="Times New Roman" w:hAnsi="Times New Roman" w:eastAsia="黑体" w:cs="Times New Roman"/>
          <w:bCs/>
          <w:color w:val="auto"/>
          <w:kern w:val="2"/>
          <w:sz w:val="24"/>
          <w:szCs w:val="28"/>
          <w:lang w:val="en-US" w:eastAsia="zh-CN" w:bidi="ar-SA"/>
        </w:rPr>
      </w:pPr>
      <w:r>
        <w:rPr>
          <w:rFonts w:hint="eastAsia" w:ascii="Times New Roman" w:hAnsi="Times New Roman" w:eastAsia="黑体" w:cs="Times New Roman"/>
          <w:bCs/>
          <w:color w:val="auto"/>
          <w:kern w:val="2"/>
          <w:sz w:val="24"/>
          <w:szCs w:val="28"/>
          <w:lang w:val="en-US" w:eastAsia="zh-CN" w:bidi="ar-SA"/>
        </w:rPr>
        <w:t>8.1.3.2运营期</w:t>
      </w:r>
      <w:r>
        <w:rPr>
          <w:rFonts w:ascii="Times New Roman" w:hAnsi="Times New Roman" w:eastAsia="黑体" w:cs="Times New Roman"/>
          <w:bCs/>
          <w:color w:val="auto"/>
          <w:kern w:val="2"/>
          <w:sz w:val="24"/>
          <w:szCs w:val="28"/>
          <w:lang w:val="en-US" w:eastAsia="zh-CN" w:bidi="ar-SA"/>
        </w:rPr>
        <w:t>环境管理</w:t>
      </w:r>
    </w:p>
    <w:p w14:paraId="48515540">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（1）运营期环境管理机构的设置</w:t>
      </w:r>
    </w:p>
    <w:p w14:paraId="1AB7D167">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在项目运营期，应建立和运行公司环境管理体系，在企业管理部门设置环境管理机构，配备2-3名环境管理工程师，同时在码头</w:t>
      </w:r>
      <w:r>
        <w:rPr>
          <w:rFonts w:hint="eastAsia" w:cs="Times New Roman"/>
          <w:color w:val="auto"/>
          <w:sz w:val="24"/>
          <w:lang w:eastAsia="zh-CN"/>
        </w:rPr>
        <w:t>设立</w:t>
      </w:r>
      <w:r>
        <w:rPr>
          <w:rFonts w:ascii="Times New Roman" w:hAnsi="Times New Roman" w:eastAsia="宋体" w:cs="Times New Roman"/>
          <w:color w:val="auto"/>
          <w:sz w:val="24"/>
        </w:rPr>
        <w:t>环保兼职人员，负责具体的环境监督管理。</w:t>
      </w:r>
    </w:p>
    <w:p w14:paraId="204AC17F">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环境管理机构的基本任务是负责组织、落实、监督本企业的环保工作，其主要职责如下：</w:t>
      </w:r>
    </w:p>
    <w:p w14:paraId="7823DD4C">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①</w:t>
      </w:r>
      <w:r>
        <w:rPr>
          <w:rFonts w:ascii="Times New Roman" w:hAnsi="Times New Roman" w:eastAsia="宋体" w:cs="Times New Roman"/>
          <w:color w:val="auto"/>
          <w:sz w:val="24"/>
        </w:rPr>
        <w:t>贯彻执行国家环境保护的方针、政策、法律和法规；</w:t>
      </w:r>
    </w:p>
    <w:p w14:paraId="292FFE5A">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②</w:t>
      </w:r>
      <w:r>
        <w:rPr>
          <w:rFonts w:ascii="Times New Roman" w:hAnsi="Times New Roman" w:eastAsia="宋体" w:cs="Times New Roman"/>
          <w:color w:val="auto"/>
          <w:sz w:val="24"/>
        </w:rPr>
        <w:t>组织制订企业的环境保护规章制度和标准并督促检查执行根据企业特点，制定污染控制及改善环境质量计划；</w:t>
      </w:r>
    </w:p>
    <w:p w14:paraId="528C0B04">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③</w:t>
      </w:r>
      <w:r>
        <w:rPr>
          <w:rFonts w:ascii="Times New Roman" w:hAnsi="Times New Roman" w:eastAsia="宋体" w:cs="Times New Roman"/>
          <w:color w:val="auto"/>
          <w:sz w:val="24"/>
        </w:rPr>
        <w:t>负责组织环境监测、事故防范以及外部协调工作，负责组织突发事故的应急处理和善后事宜；</w:t>
      </w:r>
    </w:p>
    <w:p w14:paraId="383766D9">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④</w:t>
      </w:r>
      <w:r>
        <w:rPr>
          <w:rFonts w:ascii="Times New Roman" w:hAnsi="Times New Roman" w:eastAsia="宋体" w:cs="Times New Roman"/>
          <w:color w:val="auto"/>
          <w:sz w:val="24"/>
        </w:rPr>
        <w:t>组织开展环境保护的科研、宣传教育和技术培训工作；</w:t>
      </w:r>
    </w:p>
    <w:p w14:paraId="556B4EA0">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⑤</w:t>
      </w:r>
      <w:r>
        <w:rPr>
          <w:rFonts w:ascii="Times New Roman" w:hAnsi="Times New Roman" w:eastAsia="宋体" w:cs="Times New Roman"/>
          <w:color w:val="auto"/>
          <w:sz w:val="24"/>
        </w:rPr>
        <w:t>监督“三同时”规定的执行情况，确保环境保护设施与主体工程同时设计、同时施工、同时运行，有效控制污染；</w:t>
      </w:r>
    </w:p>
    <w:p w14:paraId="0E1ABF53">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⑥</w:t>
      </w:r>
      <w:r>
        <w:rPr>
          <w:rFonts w:ascii="Times New Roman" w:hAnsi="Times New Roman" w:eastAsia="宋体" w:cs="Times New Roman"/>
          <w:color w:val="auto"/>
          <w:sz w:val="24"/>
        </w:rPr>
        <w:t>检查本单位环境保护设施的运行。</w:t>
      </w:r>
    </w:p>
    <w:p w14:paraId="1FAF8F88">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（2）运营期环境管理计划</w:t>
      </w:r>
    </w:p>
    <w:p w14:paraId="304327CF">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运营期的环境管理包括日常环境管理及事故情况下的环境管理两方面的内容。</w:t>
      </w:r>
    </w:p>
    <w:p w14:paraId="3DAB4023">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①</w:t>
      </w:r>
      <w:r>
        <w:rPr>
          <w:rFonts w:ascii="Times New Roman" w:hAnsi="Times New Roman" w:eastAsia="宋体" w:cs="Times New Roman"/>
          <w:color w:val="auto"/>
          <w:sz w:val="24"/>
        </w:rPr>
        <w:t>日常环境管理</w:t>
      </w:r>
    </w:p>
    <w:p w14:paraId="6B2529C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1）建立环保指标考核管理制度，定期对相关部门进行考核，以推动环保工作的开展；</w:t>
      </w:r>
    </w:p>
    <w:p w14:paraId="5212E94E">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2）定期进行环保工作检查，及时发现问题、处理问题，确保环保设施的正常运转，保证达标排放；</w:t>
      </w:r>
    </w:p>
    <w:p w14:paraId="7295C2B2">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3）对专、兼职环境管理人员进行环保业务知识的培训，并在全公司范围内进行环保知识的宣传和教育，树立全员的环保意识；</w:t>
      </w:r>
    </w:p>
    <w:p w14:paraId="1398BE9A">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4）定期组织召开环保工作例会，针对生产中存在的环保问题进行讨论，制定处理措施和改进方案，并报上级主管部门；</w:t>
      </w:r>
    </w:p>
    <w:p w14:paraId="4AABB347">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5）制定日常环境监测计划、事故时环境监测计划，以及对重大环境因素的监测计划和方案；</w:t>
      </w:r>
    </w:p>
    <w:p w14:paraId="4BFA11ED">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6）建立环境管理台账，制定重大环境因素的整改方案和计划</w:t>
      </w:r>
      <w:r>
        <w:rPr>
          <w:rFonts w:hint="eastAsia" w:cs="Times New Roman"/>
          <w:color w:val="auto"/>
          <w:sz w:val="24"/>
          <w:lang w:eastAsia="zh-CN"/>
        </w:rPr>
        <w:t>检查</w:t>
      </w:r>
      <w:r>
        <w:rPr>
          <w:rFonts w:ascii="Times New Roman" w:hAnsi="Times New Roman" w:eastAsia="宋体" w:cs="Times New Roman"/>
          <w:color w:val="auto"/>
          <w:sz w:val="24"/>
        </w:rPr>
        <w:t>，</w:t>
      </w:r>
      <w:r>
        <w:rPr>
          <w:rFonts w:hint="eastAsia" w:cs="Times New Roman"/>
          <w:color w:val="auto"/>
          <w:sz w:val="24"/>
          <w:lang w:eastAsia="zh-CN"/>
        </w:rPr>
        <w:t>并检</w:t>
      </w:r>
      <w:r>
        <w:rPr>
          <w:rFonts w:ascii="Times New Roman" w:hAnsi="Times New Roman" w:eastAsia="宋体" w:cs="Times New Roman"/>
          <w:color w:val="auto"/>
          <w:sz w:val="24"/>
        </w:rPr>
        <w:t>查其落实情况；</w:t>
      </w:r>
    </w:p>
    <w:p w14:paraId="01EB0416">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②</w:t>
      </w:r>
      <w:r>
        <w:rPr>
          <w:rFonts w:ascii="Times New Roman" w:hAnsi="Times New Roman" w:eastAsia="宋体" w:cs="Times New Roman"/>
          <w:color w:val="auto"/>
          <w:sz w:val="24"/>
        </w:rPr>
        <w:t>事故环境管理</w:t>
      </w:r>
    </w:p>
    <w:p w14:paraId="35BD70D4">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环境污染事故不同于一般的环境污染，它没有固定的排放方式和排放途径，具有发生突然、危害严重、污染影响长远且难于完全消除等特点。为此，必须制定相应的事故预防措施、事故应急措施以及恢复补偿措施等：</w:t>
      </w:r>
    </w:p>
    <w:p w14:paraId="5E67367E">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1）做好码头船舶</w:t>
      </w:r>
      <w:r>
        <w:rPr>
          <w:rFonts w:hint="eastAsia" w:cs="Times New Roman"/>
          <w:color w:val="auto"/>
          <w:sz w:val="24"/>
          <w:lang w:eastAsia="zh-CN"/>
        </w:rPr>
        <w:t>燃油泄漏</w:t>
      </w:r>
      <w:r>
        <w:rPr>
          <w:rFonts w:ascii="Times New Roman" w:hAnsi="Times New Roman" w:eastAsia="宋体" w:cs="Times New Roman"/>
          <w:color w:val="auto"/>
          <w:sz w:val="24"/>
        </w:rPr>
        <w:t>、污水管线破裂事故的预防工作，消除各类污染事故的隐患。</w:t>
      </w:r>
    </w:p>
    <w:p w14:paraId="14F40CF6">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2）制定各类环保事故的应急预案，定期组织员工对事故预案进行演练，以提高员工应急处理事故的能力，努力将环境风险降到最小；</w:t>
      </w:r>
    </w:p>
    <w:p w14:paraId="0D620669">
      <w:pPr>
        <w:spacing w:line="360" w:lineRule="auto"/>
        <w:ind w:firstLine="480" w:firstLineChars="200"/>
        <w:rPr>
          <w:rFonts w:hint="eastAsia" w:ascii="Times New Roman" w:hAnsi="Times New Roman" w:eastAsia="宋体" w:cs="Times New Roman"/>
          <w:color w:val="auto"/>
          <w:sz w:val="24"/>
        </w:rPr>
      </w:pPr>
      <w:r>
        <w:rPr>
          <w:rFonts w:ascii="Times New Roman" w:hAnsi="Times New Roman" w:eastAsia="宋体" w:cs="Times New Roman"/>
          <w:color w:val="auto"/>
          <w:sz w:val="24"/>
        </w:rPr>
        <w:t>3）组织对事故现场的环境进行监测，测定事故的危害区域，预测事故危害程度，指导污染控制措施的实施，负责事故现场的善后清污工作。</w:t>
      </w:r>
    </w:p>
    <w:p w14:paraId="3C14C319">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303" w:name="_Toc6886"/>
      <w:r>
        <w:rPr>
          <w:rFonts w:hint="eastAsia" w:ascii="Times New Roman" w:hAnsi="Times New Roman" w:eastAsia="黑体" w:cs="Times New Roman"/>
          <w:bCs/>
          <w:color w:val="auto"/>
          <w:kern w:val="2"/>
          <w:sz w:val="30"/>
          <w:szCs w:val="32"/>
          <w:lang w:val="en-US" w:eastAsia="zh-CN" w:bidi="ar-SA"/>
        </w:rPr>
        <w:t>8.2</w:t>
      </w:r>
      <w:r>
        <w:rPr>
          <w:rFonts w:ascii="Times New Roman" w:hAnsi="Times New Roman" w:eastAsia="黑体" w:cs="Times New Roman"/>
          <w:bCs/>
          <w:color w:val="auto"/>
          <w:kern w:val="2"/>
          <w:sz w:val="30"/>
          <w:szCs w:val="32"/>
          <w:lang w:val="en-US" w:eastAsia="zh-CN" w:bidi="ar-SA"/>
        </w:rPr>
        <w:t>环境</w:t>
      </w:r>
      <w:r>
        <w:rPr>
          <w:rFonts w:hint="eastAsia" w:ascii="Times New Roman" w:hAnsi="Times New Roman" w:eastAsia="黑体" w:cs="Times New Roman"/>
          <w:bCs/>
          <w:color w:val="auto"/>
          <w:kern w:val="2"/>
          <w:sz w:val="30"/>
          <w:szCs w:val="32"/>
          <w:lang w:val="en-US" w:eastAsia="zh-CN" w:bidi="ar-SA"/>
        </w:rPr>
        <w:t>信息公开制度</w:t>
      </w:r>
      <w:bookmarkEnd w:id="303"/>
    </w:p>
    <w:p w14:paraId="74F573F3">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根据《企业环境信息依法披露管理办法》（部令第24号）和《企业环境信息依法披露格式准则》（环办综合</w:t>
      </w:r>
      <w:r>
        <w:rPr>
          <w:rFonts w:hint="eastAsia" w:cs="Times New Roman"/>
          <w:color w:val="auto"/>
          <w:sz w:val="24"/>
          <w:lang w:eastAsia="zh-CN"/>
        </w:rPr>
        <w:t>〔2021〕32号</w:t>
      </w:r>
      <w:r>
        <w:rPr>
          <w:rFonts w:ascii="Times New Roman" w:hAnsi="Times New Roman" w:eastAsia="宋体" w:cs="Times New Roman"/>
          <w:color w:val="auto"/>
          <w:sz w:val="24"/>
        </w:rPr>
        <w:t>），企业事业单位应当建立健全本单位环境信息公开制度，指定机构负责本单位环境信息公开日常工作，建设单位应对以下信息进行公开。</w:t>
      </w:r>
    </w:p>
    <w:p w14:paraId="35F84621">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（1）基础信息，包括单位名称、组织机构代码、法定代表人、生产地址、联系方式，以及生产经营和管理服务的主要内容、产品及规模；</w:t>
      </w:r>
    </w:p>
    <w:p w14:paraId="61868EA7">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（2）排污信息，包括主要污染物及特征污染物的名称、排放方式、排放口数量和分布情况、排放浓度和总量、超标情况，以及执行的污染物排放标准、核定的排放总量；</w:t>
      </w:r>
    </w:p>
    <w:p w14:paraId="6E804B8B">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（3）防治污染设施的建设和运行情况；</w:t>
      </w:r>
    </w:p>
    <w:p w14:paraId="40957D5D">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（4）建设项目环境影响评价及其他环境保护行政许可情况；</w:t>
      </w:r>
    </w:p>
    <w:p w14:paraId="39AD9B50">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（5）突发环境事件应急预案；</w:t>
      </w:r>
    </w:p>
    <w:p w14:paraId="11492A55">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（6）其他应当公开的环境信息。</w:t>
      </w:r>
    </w:p>
    <w:p w14:paraId="33C8F20C">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建设单位应当通过其网站、企业事业单位环境信息公开平台或者当地报刊等便于公众知晓的方式公开环境信息，同时可以采取以下一种或者几种方式予以公开。</w:t>
      </w:r>
    </w:p>
    <w:p w14:paraId="2DAFC64E">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（1）公告或者公开发行的信息专刊；</w:t>
      </w:r>
    </w:p>
    <w:p w14:paraId="28EE463D">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（2）广播、电视等新闻媒体；</w:t>
      </w:r>
    </w:p>
    <w:p w14:paraId="76670C21">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（3）信息公开服务、监督热线电话；</w:t>
      </w:r>
    </w:p>
    <w:p w14:paraId="476C99E5">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（4）本单位的资料索取点、信息公开栏、信息亭、电子屏幕、电子触摸屏等场所或者设施；</w:t>
      </w:r>
    </w:p>
    <w:p w14:paraId="0291A526">
      <w:pPr>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sz w:val="24"/>
        </w:rPr>
        <w:t>（5）其他便于公众及时、准确获得信息的方式。</w:t>
      </w:r>
    </w:p>
    <w:p w14:paraId="0EC236FE">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304" w:name="_Toc25664"/>
      <w:r>
        <w:rPr>
          <w:rFonts w:hint="eastAsia" w:ascii="Times New Roman" w:hAnsi="Times New Roman" w:eastAsia="黑体" w:cs="Times New Roman"/>
          <w:bCs/>
          <w:color w:val="auto"/>
          <w:kern w:val="2"/>
          <w:sz w:val="30"/>
          <w:szCs w:val="32"/>
          <w:lang w:val="en-US" w:eastAsia="zh-CN" w:bidi="ar-SA"/>
        </w:rPr>
        <w:t>8.3环境监测计划</w:t>
      </w:r>
      <w:bookmarkEnd w:id="304"/>
    </w:p>
    <w:p w14:paraId="6807F240">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环境监测是指在工程的建设期、运行期对工程主要污染源及主要污染对象进行环境样品的采集、化验、数据处理与编制报告</w:t>
      </w:r>
      <w:r>
        <w:rPr>
          <w:rFonts w:hint="eastAsia" w:cs="Times New Roman"/>
          <w:color w:val="auto"/>
          <w:sz w:val="24"/>
          <w:lang w:eastAsia="zh-CN"/>
        </w:rPr>
        <w:t>等</w:t>
      </w:r>
      <w:r>
        <w:rPr>
          <w:rFonts w:ascii="Times New Roman" w:hAnsi="Times New Roman" w:eastAsia="宋体" w:cs="Times New Roman"/>
          <w:color w:val="auto"/>
          <w:sz w:val="24"/>
        </w:rPr>
        <w:t>活动。</w:t>
      </w:r>
    </w:p>
    <w:p w14:paraId="33A39811">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制定环境监测计划的目的，在于通过短期或长期的监测，了解项目可能产生的主要环境影响，并分析在环评阶段可能</w:t>
      </w:r>
      <w:r>
        <w:rPr>
          <w:rFonts w:hint="eastAsia" w:cs="Times New Roman"/>
          <w:color w:val="auto"/>
          <w:sz w:val="24"/>
          <w:lang w:eastAsia="zh-CN"/>
        </w:rPr>
        <w:t>未</w:t>
      </w:r>
      <w:r>
        <w:rPr>
          <w:rFonts w:ascii="Times New Roman" w:hAnsi="Times New Roman" w:eastAsia="宋体" w:cs="Times New Roman"/>
          <w:color w:val="auto"/>
          <w:sz w:val="24"/>
        </w:rPr>
        <w:t>被识别，而在建设、运行期间逐渐暴露出的潜在影响，以便及时修订环境保护行动计划，将不利影响减少到最低程度。</w:t>
      </w:r>
    </w:p>
    <w:p w14:paraId="5B3D795D">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环境监测计划应包括项目的建设</w:t>
      </w:r>
      <w:r>
        <w:rPr>
          <w:rFonts w:hint="eastAsia" w:cs="Times New Roman"/>
          <w:color w:val="auto"/>
          <w:sz w:val="24"/>
          <w:lang w:eastAsia="zh-CN"/>
        </w:rPr>
        <w:t>期和</w:t>
      </w:r>
      <w:r>
        <w:rPr>
          <w:rFonts w:ascii="Times New Roman" w:hAnsi="Times New Roman" w:eastAsia="宋体" w:cs="Times New Roman"/>
          <w:color w:val="auto"/>
          <w:sz w:val="24"/>
        </w:rPr>
        <w:t>施工期、运营期及服务期满后所必需的环境监测有关内容。监测计划的内容要根据现行的环境保护法规、标准和项目对环境产生的主要环境影响和经济条件而定，一般包括下列几个方面：选择合适的监测对象和环境要素；确定监测范围；选择监测方法；经费预算及实施机构等。</w:t>
      </w:r>
    </w:p>
    <w:p w14:paraId="0AA02FA0">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本项目环境监测计划主要分为施工期和运营期两部分。</w:t>
      </w:r>
    </w:p>
    <w:p w14:paraId="5CC23A5B">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8.3.1施工</w:t>
      </w:r>
      <w:r>
        <w:rPr>
          <w:rFonts w:ascii="Times New Roman" w:hAnsi="Times New Roman" w:eastAsia="黑体" w:cs="Times New Roman"/>
          <w:bCs/>
          <w:color w:val="auto"/>
          <w:kern w:val="2"/>
          <w:sz w:val="28"/>
          <w:szCs w:val="32"/>
          <w:lang w:val="en-US" w:eastAsia="zh-CN" w:bidi="ar-SA"/>
        </w:rPr>
        <w:t>期环境监测计划</w:t>
      </w:r>
    </w:p>
    <w:p w14:paraId="202A51B5">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施工期的环境监测主要是对施工作业场所的控制监测，重点关注水下疏浚施工及抛泥区；主要监测对象有水质、地下水、土壤、施工作业扬尘、抛泥区臭气及废水、施工噪声和恢复植被等。</w:t>
      </w:r>
    </w:p>
    <w:p w14:paraId="57F961EB">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对于施工期的事故监测可根据事故性质、事故影响的大小等，视具体情况监测气、土壤、水等；生态环境监测主要监测内容为项目建设所涉及的生态环境要素、生态环境问题、生态环保措施的落实情况。</w:t>
      </w:r>
    </w:p>
    <w:p w14:paraId="23600213">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结合《湖泊河流环保疏浚工程技术指南》（环办〔2014〕111号附件3），具体施工期环境监控计划见表</w:t>
      </w:r>
      <w:r>
        <w:rPr>
          <w:rFonts w:hint="eastAsia" w:ascii="Times New Roman" w:hAnsi="Times New Roman" w:eastAsia="宋体" w:cs="Times New Roman"/>
          <w:color w:val="auto"/>
          <w:sz w:val="24"/>
        </w:rPr>
        <w:t>8</w:t>
      </w:r>
      <w:r>
        <w:rPr>
          <w:rFonts w:ascii="Times New Roman" w:hAnsi="Times New Roman" w:eastAsia="宋体" w:cs="Times New Roman"/>
          <w:color w:val="auto"/>
          <w:sz w:val="24"/>
        </w:rPr>
        <w:t>.</w:t>
      </w:r>
      <w:r>
        <w:rPr>
          <w:rFonts w:hint="eastAsia" w:ascii="Times New Roman" w:hAnsi="Times New Roman" w:eastAsia="宋体" w:cs="Times New Roman"/>
          <w:color w:val="auto"/>
          <w:sz w:val="24"/>
        </w:rPr>
        <w:t>3</w:t>
      </w:r>
      <w:r>
        <w:rPr>
          <w:rFonts w:ascii="Times New Roman" w:hAnsi="Times New Roman" w:eastAsia="宋体" w:cs="Times New Roman"/>
          <w:color w:val="auto"/>
          <w:sz w:val="24"/>
        </w:rPr>
        <w:t>-1。</w:t>
      </w:r>
    </w:p>
    <w:p w14:paraId="26FAC516">
      <w:pPr>
        <w:adjustRightInd w:val="0"/>
        <w:snapToGrid w:val="0"/>
        <w:spacing w:line="400" w:lineRule="exact"/>
        <w:jc w:val="center"/>
        <w:rPr>
          <w:rFonts w:ascii="Times New Roman" w:hAnsi="Times New Roman" w:eastAsia="黑体" w:cs="Times New Roman"/>
          <w:color w:val="auto"/>
          <w:kern w:val="0"/>
          <w:sz w:val="24"/>
          <w:szCs w:val="24"/>
        </w:rPr>
      </w:pPr>
      <w:r>
        <w:rPr>
          <w:rFonts w:ascii="Times New Roman" w:hAnsi="Times New Roman" w:eastAsia="黑体" w:cs="Times New Roman"/>
          <w:color w:val="auto"/>
          <w:kern w:val="0"/>
          <w:sz w:val="24"/>
          <w:szCs w:val="24"/>
        </w:rPr>
        <w:t>表8.3-1  施工期环境监测、监控计划</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7"/>
        <w:gridCol w:w="734"/>
        <w:gridCol w:w="6111"/>
        <w:gridCol w:w="1584"/>
      </w:tblGrid>
      <w:tr w14:paraId="1C8BD8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591" w:type="dxa"/>
            <w:gridSpan w:val="2"/>
            <w:noWrap w:val="0"/>
            <w:vAlign w:val="center"/>
          </w:tcPr>
          <w:p w14:paraId="0B15A5B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监测项目</w:t>
            </w:r>
          </w:p>
        </w:tc>
        <w:tc>
          <w:tcPr>
            <w:tcW w:w="6111" w:type="dxa"/>
            <w:noWrap w:val="0"/>
            <w:vAlign w:val="center"/>
          </w:tcPr>
          <w:p w14:paraId="476E6BA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监测、监控内容</w:t>
            </w:r>
          </w:p>
        </w:tc>
        <w:tc>
          <w:tcPr>
            <w:tcW w:w="1584" w:type="dxa"/>
            <w:noWrap w:val="0"/>
            <w:vAlign w:val="center"/>
          </w:tcPr>
          <w:p w14:paraId="6FB3BC5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实施单位</w:t>
            </w:r>
          </w:p>
        </w:tc>
      </w:tr>
      <w:tr w14:paraId="6DB658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91" w:type="dxa"/>
            <w:gridSpan w:val="2"/>
            <w:noWrap w:val="0"/>
            <w:vAlign w:val="center"/>
          </w:tcPr>
          <w:p w14:paraId="528A571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施工现场清理</w:t>
            </w:r>
          </w:p>
        </w:tc>
        <w:tc>
          <w:tcPr>
            <w:tcW w:w="6111" w:type="dxa"/>
            <w:noWrap w:val="0"/>
            <w:vAlign w:val="center"/>
          </w:tcPr>
          <w:p w14:paraId="647F9E0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施工结束后，施工现场的弃土、石、渣等垃圾和生态环境恢复情况；</w:t>
            </w:r>
          </w:p>
          <w:p w14:paraId="179249F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监督频次：施工结束后1次；</w:t>
            </w:r>
          </w:p>
          <w:p w14:paraId="6D46330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监督点：各施工区域</w:t>
            </w:r>
          </w:p>
        </w:tc>
        <w:tc>
          <w:tcPr>
            <w:tcW w:w="1584" w:type="dxa"/>
            <w:noWrap w:val="0"/>
            <w:vAlign w:val="center"/>
          </w:tcPr>
          <w:p w14:paraId="5E213EB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建设单位</w:t>
            </w:r>
          </w:p>
        </w:tc>
      </w:tr>
      <w:tr w14:paraId="3E0AE2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91" w:type="dxa"/>
            <w:gridSpan w:val="2"/>
            <w:noWrap w:val="0"/>
            <w:vAlign w:val="center"/>
          </w:tcPr>
          <w:p w14:paraId="37B792D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施工噪声</w:t>
            </w:r>
          </w:p>
        </w:tc>
        <w:tc>
          <w:tcPr>
            <w:tcW w:w="6111" w:type="dxa"/>
            <w:noWrap w:val="0"/>
            <w:vAlign w:val="center"/>
          </w:tcPr>
          <w:p w14:paraId="2EF3830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监测频率：根据施工计划视情况而定，每个季度不少于1次；</w:t>
            </w:r>
          </w:p>
          <w:p w14:paraId="3912440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监测点：施工</w:t>
            </w:r>
            <w:r>
              <w:rPr>
                <w:rFonts w:hint="eastAsia" w:ascii="Times New Roman" w:hAnsi="Times New Roman" w:eastAsia="宋体" w:cs="Times New Roman"/>
                <w:color w:val="auto"/>
                <w:kern w:val="0"/>
              </w:rPr>
              <w:t>场界</w:t>
            </w:r>
            <w:r>
              <w:rPr>
                <w:rFonts w:hint="default" w:ascii="Times New Roman" w:hAnsi="Times New Roman" w:eastAsia="宋体" w:cs="Times New Roman"/>
                <w:color w:val="auto"/>
                <w:kern w:val="0"/>
              </w:rPr>
              <w:t>；</w:t>
            </w:r>
          </w:p>
          <w:p w14:paraId="3AC2331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监测因子：等效连续A声级</w:t>
            </w:r>
          </w:p>
        </w:tc>
        <w:tc>
          <w:tcPr>
            <w:tcW w:w="1584" w:type="dxa"/>
            <w:noWrap w:val="0"/>
            <w:vAlign w:val="center"/>
          </w:tcPr>
          <w:p w14:paraId="5E996DB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建设单位委托具有相应资质的监测单位</w:t>
            </w:r>
          </w:p>
        </w:tc>
      </w:tr>
      <w:tr w14:paraId="40E18B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57" w:type="dxa"/>
            <w:noWrap w:val="0"/>
            <w:vAlign w:val="center"/>
          </w:tcPr>
          <w:p w14:paraId="52F2BCB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疏浚区环境监测</w:t>
            </w:r>
          </w:p>
        </w:tc>
        <w:tc>
          <w:tcPr>
            <w:tcW w:w="734" w:type="dxa"/>
            <w:noWrap w:val="0"/>
            <w:vAlign w:val="center"/>
          </w:tcPr>
          <w:p w14:paraId="5537C9D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水质监测</w:t>
            </w:r>
          </w:p>
        </w:tc>
        <w:tc>
          <w:tcPr>
            <w:tcW w:w="6111" w:type="dxa"/>
            <w:noWrap w:val="0"/>
            <w:vAlign w:val="center"/>
          </w:tcPr>
          <w:p w14:paraId="162AACC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监测点位：在</w:t>
            </w:r>
            <w:r>
              <w:rPr>
                <w:rFonts w:hint="eastAsia" w:ascii="Times New Roman" w:hAnsi="Times New Roman" w:eastAsia="宋体" w:cs="Times New Roman"/>
                <w:color w:val="auto"/>
                <w:kern w:val="0"/>
              </w:rPr>
              <w:t>淮</w:t>
            </w:r>
            <w:r>
              <w:rPr>
                <w:rFonts w:hint="default" w:ascii="Times New Roman" w:hAnsi="Times New Roman" w:eastAsia="宋体" w:cs="Times New Roman"/>
                <w:color w:val="auto"/>
                <w:kern w:val="0"/>
              </w:rPr>
              <w:t>河疏浚区布设1个监测点，并在非疏浚区布设1个对照监测点；</w:t>
            </w:r>
          </w:p>
          <w:p w14:paraId="3D07294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监测频次：施工前、施工中、施工后各监测不少于两次。</w:t>
            </w:r>
          </w:p>
          <w:p w14:paraId="71A4647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监测因子：悬浮物、COD、氨氮等。</w:t>
            </w:r>
          </w:p>
        </w:tc>
        <w:tc>
          <w:tcPr>
            <w:tcW w:w="1584" w:type="dxa"/>
            <w:noWrap w:val="0"/>
            <w:vAlign w:val="center"/>
          </w:tcPr>
          <w:p w14:paraId="2F5B591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建设单位委托具有相应资质的监测单位</w:t>
            </w:r>
          </w:p>
        </w:tc>
      </w:tr>
      <w:tr w14:paraId="2D57A8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91" w:type="dxa"/>
            <w:gridSpan w:val="2"/>
            <w:noWrap w:val="0"/>
            <w:vAlign w:val="center"/>
          </w:tcPr>
          <w:p w14:paraId="696E4E75">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陆域施工废气</w:t>
            </w:r>
          </w:p>
        </w:tc>
        <w:tc>
          <w:tcPr>
            <w:tcW w:w="6111" w:type="dxa"/>
            <w:noWrap w:val="0"/>
            <w:vAlign w:val="center"/>
          </w:tcPr>
          <w:p w14:paraId="0045188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监测频率：根据施工计划视情况而定，每个季度不少于1次；</w:t>
            </w:r>
          </w:p>
          <w:p w14:paraId="04BFB5F7">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监测点：施工场地上下风向；</w:t>
            </w:r>
          </w:p>
          <w:p w14:paraId="7159115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监测因子：TSP</w:t>
            </w:r>
          </w:p>
        </w:tc>
        <w:tc>
          <w:tcPr>
            <w:tcW w:w="1584" w:type="dxa"/>
            <w:noWrap w:val="0"/>
            <w:vAlign w:val="center"/>
          </w:tcPr>
          <w:p w14:paraId="3EF03EC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委托具有相应资质的监测单位</w:t>
            </w:r>
          </w:p>
        </w:tc>
      </w:tr>
      <w:tr w14:paraId="1634963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91" w:type="dxa"/>
            <w:gridSpan w:val="2"/>
            <w:noWrap w:val="0"/>
            <w:vAlign w:val="center"/>
          </w:tcPr>
          <w:p w14:paraId="0FDB250C">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固体废弃物</w:t>
            </w:r>
          </w:p>
        </w:tc>
        <w:tc>
          <w:tcPr>
            <w:tcW w:w="6111" w:type="dxa"/>
            <w:noWrap w:val="0"/>
            <w:vAlign w:val="center"/>
          </w:tcPr>
          <w:p w14:paraId="704692CD">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对施工作业场地内产生的生活垃圾、废弃泥浆处理进行随检</w:t>
            </w:r>
            <w:r>
              <w:rPr>
                <w:rFonts w:hint="eastAsia" w:cs="Times New Roman"/>
                <w:color w:val="auto"/>
                <w:kern w:val="0"/>
                <w:lang w:eastAsia="zh-CN"/>
              </w:rPr>
              <w:t>即</w:t>
            </w:r>
            <w:r>
              <w:rPr>
                <w:rFonts w:hint="default" w:ascii="Times New Roman" w:hAnsi="Times New Roman" w:eastAsia="宋体" w:cs="Times New Roman"/>
                <w:color w:val="auto"/>
                <w:kern w:val="0"/>
              </w:rPr>
              <w:t>查</w:t>
            </w:r>
          </w:p>
        </w:tc>
        <w:tc>
          <w:tcPr>
            <w:tcW w:w="1584" w:type="dxa"/>
            <w:noWrap w:val="0"/>
            <w:vAlign w:val="center"/>
          </w:tcPr>
          <w:p w14:paraId="20510862">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建设单位</w:t>
            </w:r>
          </w:p>
        </w:tc>
      </w:tr>
      <w:tr w14:paraId="665E1D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91" w:type="dxa"/>
            <w:gridSpan w:val="2"/>
            <w:noWrap w:val="0"/>
            <w:vAlign w:val="center"/>
          </w:tcPr>
          <w:p w14:paraId="5BD2BCB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事故监测</w:t>
            </w:r>
          </w:p>
        </w:tc>
        <w:tc>
          <w:tcPr>
            <w:tcW w:w="6111" w:type="dxa"/>
            <w:noWrap w:val="0"/>
            <w:vAlign w:val="center"/>
          </w:tcPr>
          <w:p w14:paraId="7DF5D69A">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根据事故性质、事故影响的大小，视具体情况监测大气、土壤、水等</w:t>
            </w:r>
          </w:p>
        </w:tc>
        <w:tc>
          <w:tcPr>
            <w:tcW w:w="1584" w:type="dxa"/>
            <w:noWrap w:val="0"/>
            <w:vAlign w:val="center"/>
          </w:tcPr>
          <w:p w14:paraId="2E0FC586">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委托具有相应资质的监测单位</w:t>
            </w:r>
          </w:p>
        </w:tc>
      </w:tr>
    </w:tbl>
    <w:p w14:paraId="14F62034">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8.3.2</w:t>
      </w:r>
      <w:r>
        <w:rPr>
          <w:rFonts w:ascii="Times New Roman" w:hAnsi="Times New Roman" w:eastAsia="黑体" w:cs="Times New Roman"/>
          <w:bCs/>
          <w:color w:val="auto"/>
          <w:kern w:val="2"/>
          <w:sz w:val="28"/>
          <w:szCs w:val="32"/>
          <w:lang w:val="en-US" w:eastAsia="zh-CN" w:bidi="ar-SA"/>
        </w:rPr>
        <w:t>运营期环境监测计划</w:t>
      </w:r>
    </w:p>
    <w:p w14:paraId="63996545">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根据</w:t>
      </w:r>
      <w:r>
        <w:rPr>
          <w:rFonts w:ascii="Times New Roman" w:hAnsi="Times New Roman" w:eastAsia="宋体" w:cs="Times New Roman"/>
          <w:color w:val="auto"/>
          <w:sz w:val="24"/>
          <w:szCs w:val="24"/>
        </w:rPr>
        <w:t>《排污许可证申请与核发技术规范 码头》（HJ1107-2020）中相关要求，并结合本项目具体的污染源排放问题，本评价提出项目运营期环境监测计划如下：</w:t>
      </w:r>
    </w:p>
    <w:p w14:paraId="41CB91FF">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（1）大气污染源监测计划</w:t>
      </w:r>
    </w:p>
    <w:p w14:paraId="1DF661DE">
      <w:pPr>
        <w:spacing w:line="360" w:lineRule="auto"/>
        <w:ind w:firstLine="480"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根据</w:t>
      </w:r>
      <w:r>
        <w:rPr>
          <w:rFonts w:ascii="Times New Roman" w:hAnsi="Times New Roman" w:eastAsia="宋体" w:cs="Times New Roman"/>
          <w:color w:val="auto"/>
          <w:sz w:val="24"/>
          <w:szCs w:val="24"/>
        </w:rPr>
        <w:t>《排污许可证申请与核发技术规范  码头》（HJ1107-2020）及</w:t>
      </w:r>
      <w:r>
        <w:rPr>
          <w:rFonts w:hint="eastAsia" w:ascii="Times New Roman" w:hAnsi="Times New Roman" w:eastAsia="宋体" w:cs="Times New Roman"/>
          <w:color w:val="auto"/>
          <w:sz w:val="24"/>
          <w:szCs w:val="24"/>
        </w:rPr>
        <w:t>结合</w:t>
      </w:r>
      <w:r>
        <w:rPr>
          <w:rFonts w:ascii="Times New Roman" w:hAnsi="Times New Roman" w:eastAsia="宋体" w:cs="Times New Roman"/>
          <w:color w:val="auto"/>
          <w:sz w:val="24"/>
          <w:szCs w:val="24"/>
        </w:rPr>
        <w:t>淮南港总体规划调整（</w:t>
      </w:r>
      <w:r>
        <w:rPr>
          <w:rFonts w:hint="eastAsia" w:ascii="Times New Roman" w:hAnsi="Times New Roman" w:eastAsia="宋体" w:cs="Times New Roman"/>
          <w:color w:val="auto"/>
          <w:sz w:val="24"/>
          <w:szCs w:val="24"/>
        </w:rPr>
        <w:t>2</w:t>
      </w:r>
      <w:r>
        <w:rPr>
          <w:rFonts w:ascii="Times New Roman" w:hAnsi="Times New Roman" w:eastAsia="宋体" w:cs="Times New Roman"/>
          <w:color w:val="auto"/>
          <w:sz w:val="24"/>
          <w:szCs w:val="24"/>
        </w:rPr>
        <w:t>014-2025年）环境影响报告书审查意见要求</w:t>
      </w:r>
      <w:r>
        <w:rPr>
          <w:rFonts w:hint="eastAsia" w:ascii="Times New Roman" w:hAnsi="Times New Roman" w:eastAsia="宋体" w:cs="Times New Roman"/>
          <w:color w:val="auto"/>
          <w:sz w:val="24"/>
          <w:szCs w:val="24"/>
        </w:rPr>
        <w:t>，监测位置、</w:t>
      </w:r>
      <w:r>
        <w:rPr>
          <w:rFonts w:ascii="Times New Roman" w:hAnsi="Times New Roman" w:eastAsia="宋体" w:cs="Times New Roman"/>
          <w:color w:val="auto"/>
          <w:sz w:val="24"/>
          <w:szCs w:val="24"/>
        </w:rPr>
        <w:t>监测项目及监测频次见表</w:t>
      </w:r>
      <w:r>
        <w:rPr>
          <w:rFonts w:ascii="Times New Roman" w:hAnsi="Times New Roman" w:eastAsia="黑体" w:cs="Times New Roman"/>
          <w:color w:val="auto"/>
          <w:sz w:val="24"/>
          <w:szCs w:val="20"/>
        </w:rPr>
        <w:t>8.</w:t>
      </w:r>
      <w:r>
        <w:rPr>
          <w:rFonts w:hint="eastAsia" w:ascii="Times New Roman" w:hAnsi="Times New Roman" w:eastAsia="黑体" w:cs="Times New Roman"/>
          <w:color w:val="auto"/>
          <w:sz w:val="24"/>
          <w:szCs w:val="20"/>
        </w:rPr>
        <w:t>3</w:t>
      </w:r>
      <w:r>
        <w:rPr>
          <w:rFonts w:ascii="Times New Roman" w:hAnsi="Times New Roman" w:eastAsia="黑体" w:cs="Times New Roman"/>
          <w:color w:val="auto"/>
          <w:sz w:val="24"/>
          <w:szCs w:val="20"/>
        </w:rPr>
        <w:t>-2</w:t>
      </w:r>
      <w:r>
        <w:rPr>
          <w:rFonts w:ascii="Times New Roman" w:hAnsi="Times New Roman" w:eastAsia="宋体" w:cs="Times New Roman"/>
          <w:color w:val="auto"/>
          <w:sz w:val="24"/>
          <w:szCs w:val="24"/>
        </w:rPr>
        <w:t>。</w:t>
      </w:r>
    </w:p>
    <w:p w14:paraId="202DF184">
      <w:pPr>
        <w:spacing w:line="400" w:lineRule="exact"/>
        <w:jc w:val="center"/>
        <w:rPr>
          <w:rFonts w:ascii="Times New Roman" w:hAnsi="Times New Roman" w:eastAsia="黑体" w:cs="Times New Roman"/>
          <w:color w:val="auto"/>
          <w:sz w:val="24"/>
        </w:rPr>
        <w:sectPr>
          <w:pgSz w:w="11906" w:h="16838"/>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7A70FC71">
      <w:pPr>
        <w:spacing w:line="400" w:lineRule="exact"/>
        <w:jc w:val="center"/>
        <w:rPr>
          <w:rFonts w:ascii="Times New Roman" w:hAnsi="Times New Roman" w:eastAsia="黑体" w:cs="Times New Roman"/>
          <w:color w:val="auto"/>
          <w:sz w:val="24"/>
        </w:rPr>
      </w:pPr>
      <w:r>
        <w:rPr>
          <w:rFonts w:ascii="Times New Roman" w:hAnsi="Times New Roman" w:eastAsia="黑体" w:cs="Times New Roman"/>
          <w:color w:val="auto"/>
          <w:sz w:val="24"/>
        </w:rPr>
        <w:t>表8.</w:t>
      </w:r>
      <w:r>
        <w:rPr>
          <w:rFonts w:hint="eastAsia" w:ascii="Times New Roman" w:hAnsi="Times New Roman" w:eastAsia="黑体" w:cs="Times New Roman"/>
          <w:color w:val="auto"/>
          <w:sz w:val="24"/>
        </w:rPr>
        <w:t>3</w:t>
      </w:r>
      <w:r>
        <w:rPr>
          <w:rFonts w:ascii="Times New Roman" w:hAnsi="Times New Roman" w:eastAsia="黑体" w:cs="Times New Roman"/>
          <w:color w:val="auto"/>
          <w:sz w:val="24"/>
        </w:rPr>
        <w:t>-2  运营期大气污染源监测计划</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00"/>
        <w:gridCol w:w="2000"/>
        <w:gridCol w:w="2037"/>
        <w:gridCol w:w="2749"/>
      </w:tblGrid>
      <w:tr w14:paraId="0B6E1D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0" w:type="dxa"/>
            <w:noWrap/>
            <w:vAlign w:val="center"/>
          </w:tcPr>
          <w:p w14:paraId="39E8E57F">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类型</w:t>
            </w:r>
          </w:p>
        </w:tc>
        <w:tc>
          <w:tcPr>
            <w:tcW w:w="2000" w:type="dxa"/>
            <w:noWrap/>
            <w:vAlign w:val="center"/>
          </w:tcPr>
          <w:p w14:paraId="2C5759C8">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监测点位置</w:t>
            </w:r>
          </w:p>
        </w:tc>
        <w:tc>
          <w:tcPr>
            <w:tcW w:w="2037" w:type="dxa"/>
            <w:noWrap/>
            <w:vAlign w:val="center"/>
          </w:tcPr>
          <w:p w14:paraId="18123917">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监测项目</w:t>
            </w:r>
          </w:p>
        </w:tc>
        <w:tc>
          <w:tcPr>
            <w:tcW w:w="2749" w:type="dxa"/>
            <w:noWrap/>
            <w:vAlign w:val="center"/>
          </w:tcPr>
          <w:p w14:paraId="497A0E47">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b/>
                <w:color w:val="auto"/>
                <w:kern w:val="0"/>
              </w:rPr>
            </w:pPr>
            <w:r>
              <w:rPr>
                <w:rFonts w:hint="default" w:ascii="Times New Roman" w:hAnsi="Times New Roman" w:eastAsia="宋体" w:cs="Times New Roman"/>
                <w:b/>
                <w:color w:val="auto"/>
                <w:kern w:val="0"/>
              </w:rPr>
              <w:t>监测频率</w:t>
            </w:r>
          </w:p>
        </w:tc>
      </w:tr>
      <w:tr w14:paraId="697A1B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0" w:type="dxa"/>
            <w:noWrap/>
            <w:vAlign w:val="center"/>
          </w:tcPr>
          <w:p w14:paraId="5707C025">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无组织排放监控</w:t>
            </w:r>
          </w:p>
        </w:tc>
        <w:tc>
          <w:tcPr>
            <w:tcW w:w="2000" w:type="dxa"/>
            <w:noWrap/>
            <w:vAlign w:val="center"/>
          </w:tcPr>
          <w:p w14:paraId="3BD21EA8">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场</w:t>
            </w:r>
            <w:r>
              <w:rPr>
                <w:rFonts w:hint="default" w:ascii="Times New Roman" w:hAnsi="Times New Roman" w:eastAsia="宋体" w:cs="Times New Roman"/>
                <w:color w:val="auto"/>
                <w:kern w:val="0"/>
              </w:rPr>
              <w:t>界处</w:t>
            </w:r>
          </w:p>
        </w:tc>
        <w:tc>
          <w:tcPr>
            <w:tcW w:w="2037" w:type="dxa"/>
            <w:noWrap/>
            <w:vAlign w:val="center"/>
          </w:tcPr>
          <w:p w14:paraId="3447C439">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default" w:ascii="Times New Roman" w:hAnsi="Times New Roman" w:eastAsia="宋体" w:cs="Times New Roman"/>
                <w:color w:val="auto"/>
                <w:kern w:val="0"/>
              </w:rPr>
              <w:t>颗粒物</w:t>
            </w:r>
          </w:p>
        </w:tc>
        <w:tc>
          <w:tcPr>
            <w:tcW w:w="2749" w:type="dxa"/>
            <w:noWrap/>
            <w:vAlign w:val="center"/>
          </w:tcPr>
          <w:p w14:paraId="1A53282F">
            <w:pPr>
              <w:keepNext w:val="0"/>
              <w:keepLines w:val="0"/>
              <w:widowControl/>
              <w:suppressLineNumbers w:val="0"/>
              <w:spacing w:before="0" w:beforeAutospacing="0" w:after="0" w:afterAutospacing="0" w:line="300" w:lineRule="exact"/>
              <w:ind w:left="0" w:right="0"/>
              <w:jc w:val="center"/>
              <w:rPr>
                <w:rFonts w:hint="default" w:ascii="Times New Roman" w:hAnsi="Times New Roman" w:eastAsia="宋体" w:cs="Times New Roman"/>
                <w:color w:val="auto"/>
                <w:kern w:val="0"/>
              </w:rPr>
            </w:pPr>
            <w:r>
              <w:rPr>
                <w:rFonts w:hint="eastAsia" w:ascii="Times New Roman" w:hAnsi="Times New Roman" w:eastAsia="宋体" w:cs="Times New Roman"/>
                <w:color w:val="auto"/>
                <w:kern w:val="0"/>
              </w:rPr>
              <w:t>在线</w:t>
            </w:r>
            <w:r>
              <w:rPr>
                <w:rFonts w:hint="default" w:ascii="Times New Roman" w:hAnsi="Times New Roman" w:eastAsia="宋体" w:cs="Times New Roman"/>
                <w:color w:val="auto"/>
                <w:kern w:val="0"/>
              </w:rPr>
              <w:t>监测</w:t>
            </w:r>
          </w:p>
        </w:tc>
      </w:tr>
    </w:tbl>
    <w:p w14:paraId="02774668">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（2）水污染源监测计划</w:t>
      </w:r>
    </w:p>
    <w:p w14:paraId="2A74EF79">
      <w:pPr>
        <w:widowControl w:val="0"/>
        <w:spacing w:after="0" w:line="360" w:lineRule="auto"/>
        <w:ind w:firstLine="480" w:firstLineChars="200"/>
        <w:jc w:val="both"/>
        <w:rPr>
          <w:rFonts w:hint="eastAsia" w:ascii="宋体" w:hAnsi="宋体"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4"/>
          <w:lang w:val="en-US" w:eastAsia="zh-CN" w:bidi="ar-SA"/>
        </w:rPr>
        <w:t>本项目到港</w:t>
      </w:r>
      <w:r>
        <w:rPr>
          <w:rFonts w:hint="eastAsia" w:ascii="Times New Roman" w:hAnsi="Times New Roman" w:eastAsia="宋体" w:cs="Times New Roman"/>
          <w:color w:val="auto"/>
          <w:kern w:val="2"/>
          <w:sz w:val="24"/>
          <w:szCs w:val="24"/>
          <w:lang w:val="en-US" w:eastAsia="zh-CN" w:bidi="ar-SA"/>
        </w:rPr>
        <w:t>船舶生活污水由码头设置的船舶污水接收设施接收后，进入船舶生活污水储罐，定期就近转运至周边污水处理厂处理，不外排。船舶含油污水由码头设置的船舶含油污水接收设施接收后，进入船舶含油污水储罐，交由有资质单位处置。</w:t>
      </w:r>
      <w:r>
        <w:rPr>
          <w:rFonts w:ascii="Times New Roman" w:hAnsi="Times New Roman" w:eastAsia="宋体" w:cs="Times New Roman"/>
          <w:color w:val="auto"/>
          <w:kern w:val="2"/>
          <w:sz w:val="24"/>
          <w:szCs w:val="24"/>
          <w:lang w:val="en-US" w:eastAsia="zh-CN" w:bidi="ar-SA"/>
        </w:rPr>
        <w:t>初期雨水、机械车辆冲洗水、码头地面冲洗废水</w:t>
      </w:r>
      <w:r>
        <w:rPr>
          <w:rFonts w:hint="eastAsia" w:ascii="Times New Roman" w:hAnsi="Times New Roman" w:eastAsia="宋体" w:cs="Times New Roman"/>
          <w:color w:val="auto"/>
          <w:kern w:val="2"/>
          <w:sz w:val="24"/>
          <w:szCs w:val="24"/>
          <w:lang w:val="en-US" w:eastAsia="zh-CN" w:bidi="ar-SA"/>
        </w:rPr>
        <w:t>经隔油沉淀池预处理后，进入一体化污水处理设备处理，</w:t>
      </w:r>
      <w:r>
        <w:rPr>
          <w:rFonts w:ascii="Times New Roman" w:hAnsi="Times New Roman" w:eastAsia="宋体" w:cs="Times New Roman"/>
          <w:color w:val="auto"/>
          <w:kern w:val="2"/>
          <w:sz w:val="24"/>
          <w:szCs w:val="24"/>
          <w:lang w:val="en-US" w:eastAsia="zh-CN" w:bidi="ar-SA"/>
        </w:rPr>
        <w:t>回用于码头</w:t>
      </w:r>
      <w:r>
        <w:rPr>
          <w:rFonts w:hint="eastAsia" w:ascii="Times New Roman" w:hAnsi="Times New Roman" w:eastAsia="宋体" w:cs="Times New Roman"/>
          <w:color w:val="auto"/>
          <w:kern w:val="2"/>
          <w:sz w:val="24"/>
          <w:szCs w:val="24"/>
          <w:lang w:val="en-US" w:eastAsia="zh-CN" w:bidi="ar-SA"/>
        </w:rPr>
        <w:t>地面</w:t>
      </w:r>
      <w:r>
        <w:rPr>
          <w:rFonts w:ascii="Times New Roman" w:hAnsi="Times New Roman" w:eastAsia="宋体" w:cs="Times New Roman"/>
          <w:color w:val="auto"/>
          <w:kern w:val="2"/>
          <w:sz w:val="24"/>
          <w:szCs w:val="24"/>
          <w:lang w:val="en-US" w:eastAsia="zh-CN" w:bidi="ar-SA"/>
        </w:rPr>
        <w:t>冲洗</w:t>
      </w:r>
      <w:r>
        <w:rPr>
          <w:rFonts w:hint="eastAsia" w:ascii="Times New Roman" w:hAnsi="Times New Roman" w:eastAsia="宋体" w:cs="Times New Roman"/>
          <w:color w:val="auto"/>
          <w:kern w:val="2"/>
          <w:sz w:val="24"/>
          <w:szCs w:val="24"/>
          <w:lang w:val="en-US" w:eastAsia="zh-CN" w:bidi="ar-SA"/>
        </w:rPr>
        <w:t>、道路喷洒、机械车辆冲洗及</w:t>
      </w:r>
      <w:r>
        <w:rPr>
          <w:rFonts w:ascii="Times New Roman" w:hAnsi="Times New Roman" w:eastAsia="宋体" w:cs="Times New Roman"/>
          <w:color w:val="auto"/>
          <w:kern w:val="2"/>
          <w:sz w:val="24"/>
          <w:szCs w:val="24"/>
          <w:lang w:val="en-US" w:eastAsia="zh-CN" w:bidi="ar-SA"/>
        </w:rPr>
        <w:t>绿化。</w:t>
      </w:r>
      <w:r>
        <w:rPr>
          <w:rFonts w:hint="eastAsia" w:ascii="Times New Roman" w:hAnsi="Times New Roman" w:eastAsia="宋体" w:cs="Times New Roman"/>
          <w:color w:val="auto"/>
          <w:kern w:val="2"/>
          <w:sz w:val="24"/>
          <w:szCs w:val="24"/>
          <w:lang w:val="en-US" w:eastAsia="zh-CN" w:bidi="ar-SA"/>
        </w:rPr>
        <w:t>码头人员生活污水利用周边已有旱厕，</w:t>
      </w:r>
      <w:r>
        <w:rPr>
          <w:rFonts w:hint="eastAsia" w:ascii="宋体" w:hAnsi="宋体" w:eastAsia="宋体" w:cs="Times New Roman"/>
          <w:color w:val="auto"/>
          <w:kern w:val="2"/>
          <w:sz w:val="24"/>
          <w:szCs w:val="24"/>
          <w:lang w:val="en-US" w:eastAsia="zh-CN" w:bidi="ar-SA"/>
        </w:rPr>
        <w:t>收集后用于当地农田或林地肥料。</w:t>
      </w:r>
    </w:p>
    <w:p w14:paraId="1B10AB01">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本项目不设置污水排放口，</w:t>
      </w:r>
      <w:r>
        <w:rPr>
          <w:rFonts w:hint="eastAsia" w:cs="Times New Roman"/>
          <w:color w:val="auto"/>
          <w:sz w:val="24"/>
          <w:lang w:eastAsia="zh-CN"/>
        </w:rPr>
        <w:t>无需</w:t>
      </w:r>
      <w:r>
        <w:rPr>
          <w:rFonts w:ascii="Times New Roman" w:hAnsi="Times New Roman" w:eastAsia="宋体" w:cs="Times New Roman"/>
          <w:color w:val="auto"/>
          <w:sz w:val="24"/>
          <w:szCs w:val="24"/>
        </w:rPr>
        <w:t>进行水污染源监测。</w:t>
      </w:r>
    </w:p>
    <w:p w14:paraId="087433B4">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（3）噪声污染源监测计划</w:t>
      </w:r>
    </w:p>
    <w:p w14:paraId="4B22D360">
      <w:pPr>
        <w:spacing w:line="360" w:lineRule="auto"/>
        <w:ind w:firstLine="480" w:firstLineChars="200"/>
        <w:rPr>
          <w:rFonts w:hint="eastAsia"/>
          <w:color w:val="auto"/>
          <w:sz w:val="24"/>
          <w:lang w:eastAsia="zh-CN"/>
        </w:rPr>
      </w:pPr>
      <w:r>
        <w:rPr>
          <w:rFonts w:hint="eastAsia"/>
          <w:color w:val="auto"/>
          <w:sz w:val="24"/>
          <w:lang w:val="en-US" w:eastAsia="zh-CN"/>
        </w:rPr>
        <w:t>格局监测结果，</w:t>
      </w:r>
      <w:r>
        <w:rPr>
          <w:color w:val="auto"/>
          <w:sz w:val="24"/>
        </w:rPr>
        <w:t>码头区</w:t>
      </w:r>
      <w:r>
        <w:rPr>
          <w:rFonts w:hint="eastAsia"/>
          <w:color w:val="auto"/>
          <w:sz w:val="24"/>
          <w:lang w:val="en-US" w:eastAsia="zh-CN"/>
        </w:rPr>
        <w:t>南侧</w:t>
      </w:r>
      <w:r>
        <w:rPr>
          <w:color w:val="auto"/>
          <w:sz w:val="24"/>
        </w:rPr>
        <w:t>边界声环境质量现状符合《声环境质量标准》（</w:t>
      </w:r>
      <w:r>
        <w:rPr>
          <w:rFonts w:hint="eastAsia"/>
          <w:color w:val="auto"/>
          <w:sz w:val="24"/>
        </w:rPr>
        <w:t>G</w:t>
      </w:r>
      <w:r>
        <w:rPr>
          <w:color w:val="auto"/>
          <w:sz w:val="24"/>
        </w:rPr>
        <w:t>B3096-2008）中</w:t>
      </w:r>
      <w:r>
        <w:rPr>
          <w:rFonts w:hint="eastAsia"/>
          <w:color w:val="auto"/>
          <w:sz w:val="24"/>
        </w:rPr>
        <w:t>4a类标准要求，</w:t>
      </w:r>
      <w:r>
        <w:rPr>
          <w:rFonts w:hint="eastAsia"/>
          <w:color w:val="auto"/>
          <w:sz w:val="24"/>
          <w:lang w:val="en-US" w:eastAsia="zh-CN"/>
        </w:rPr>
        <w:t>东侧、西侧、北侧场界</w:t>
      </w:r>
      <w:r>
        <w:rPr>
          <w:rFonts w:hint="eastAsia"/>
          <w:color w:val="auto"/>
          <w:sz w:val="24"/>
        </w:rPr>
        <w:t>能够</w:t>
      </w:r>
      <w:r>
        <w:rPr>
          <w:rFonts w:hint="eastAsia"/>
          <w:color w:val="auto"/>
          <w:sz w:val="24"/>
          <w:lang w:val="en-US" w:eastAsia="zh-CN"/>
        </w:rPr>
        <w:t>满足</w:t>
      </w:r>
      <w:r>
        <w:rPr>
          <w:color w:val="auto"/>
          <w:sz w:val="24"/>
        </w:rPr>
        <w:t>《声环境质量标准》（</w:t>
      </w:r>
      <w:r>
        <w:rPr>
          <w:rFonts w:hint="eastAsia"/>
          <w:color w:val="auto"/>
          <w:sz w:val="24"/>
        </w:rPr>
        <w:t>G</w:t>
      </w:r>
      <w:r>
        <w:rPr>
          <w:color w:val="auto"/>
          <w:sz w:val="24"/>
        </w:rPr>
        <w:t>B3096-2008）中</w:t>
      </w:r>
      <w:r>
        <w:rPr>
          <w:rFonts w:hint="eastAsia"/>
          <w:color w:val="auto"/>
          <w:sz w:val="24"/>
        </w:rPr>
        <w:t>2类标准要求</w:t>
      </w:r>
      <w:r>
        <w:rPr>
          <w:rFonts w:hint="eastAsia"/>
          <w:color w:val="auto"/>
          <w:sz w:val="24"/>
          <w:lang w:eastAsia="zh-CN"/>
        </w:rPr>
        <w:t>；</w:t>
      </w:r>
      <w:r>
        <w:rPr>
          <w:rFonts w:hint="eastAsia"/>
          <w:color w:val="auto"/>
          <w:sz w:val="24"/>
          <w:lang w:val="en-US" w:eastAsia="zh-CN"/>
        </w:rPr>
        <w:t>周边敏感点（</w:t>
      </w:r>
      <w:r>
        <w:rPr>
          <w:rFonts w:hint="eastAsia"/>
          <w:color w:val="auto"/>
          <w:sz w:val="24"/>
        </w:rPr>
        <w:t>小孙家岗</w:t>
      </w:r>
      <w:r>
        <w:rPr>
          <w:rFonts w:hint="eastAsia"/>
          <w:color w:val="auto"/>
          <w:sz w:val="24"/>
          <w:lang w:eastAsia="zh-CN"/>
        </w:rPr>
        <w:t>、</w:t>
      </w:r>
      <w:r>
        <w:rPr>
          <w:rFonts w:hint="eastAsia"/>
          <w:color w:val="auto"/>
          <w:sz w:val="24"/>
        </w:rPr>
        <w:t>陶郢孜</w:t>
      </w:r>
      <w:r>
        <w:rPr>
          <w:rFonts w:hint="eastAsia"/>
          <w:color w:val="auto"/>
          <w:sz w:val="24"/>
          <w:lang w:val="en-US" w:eastAsia="zh-CN"/>
        </w:rPr>
        <w:t>）</w:t>
      </w:r>
      <w:r>
        <w:rPr>
          <w:rFonts w:hint="eastAsia"/>
          <w:color w:val="auto"/>
          <w:sz w:val="24"/>
        </w:rPr>
        <w:t>能够</w:t>
      </w:r>
      <w:r>
        <w:rPr>
          <w:rFonts w:hint="eastAsia"/>
          <w:color w:val="auto"/>
          <w:sz w:val="24"/>
          <w:lang w:val="en-US" w:eastAsia="zh-CN"/>
        </w:rPr>
        <w:t>满足</w:t>
      </w:r>
      <w:r>
        <w:rPr>
          <w:color w:val="auto"/>
          <w:sz w:val="24"/>
        </w:rPr>
        <w:t>《声环境质量标准》（</w:t>
      </w:r>
      <w:r>
        <w:rPr>
          <w:rFonts w:hint="eastAsia"/>
          <w:color w:val="auto"/>
          <w:sz w:val="24"/>
        </w:rPr>
        <w:t>G</w:t>
      </w:r>
      <w:r>
        <w:rPr>
          <w:color w:val="auto"/>
          <w:sz w:val="24"/>
        </w:rPr>
        <w:t>B3096-2008）中</w:t>
      </w:r>
      <w:r>
        <w:rPr>
          <w:rFonts w:hint="eastAsia"/>
          <w:color w:val="auto"/>
          <w:sz w:val="24"/>
        </w:rPr>
        <w:t>2类标准要求</w:t>
      </w:r>
      <w:r>
        <w:rPr>
          <w:rFonts w:hint="eastAsia"/>
          <w:color w:val="auto"/>
          <w:sz w:val="24"/>
          <w:lang w:eastAsia="zh-CN"/>
        </w:rPr>
        <w:t>。</w:t>
      </w:r>
    </w:p>
    <w:p w14:paraId="14223313">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定期监测港区</w:t>
      </w:r>
      <w:r>
        <w:rPr>
          <w:rFonts w:hint="eastAsia" w:ascii="Times New Roman" w:hAnsi="Times New Roman" w:eastAsia="宋体" w:cs="Times New Roman"/>
          <w:color w:val="auto"/>
          <w:sz w:val="24"/>
          <w:szCs w:val="24"/>
        </w:rPr>
        <w:t>边</w:t>
      </w:r>
      <w:r>
        <w:rPr>
          <w:rFonts w:ascii="Times New Roman" w:hAnsi="Times New Roman" w:eastAsia="宋体" w:cs="Times New Roman"/>
          <w:color w:val="auto"/>
          <w:sz w:val="24"/>
          <w:szCs w:val="24"/>
        </w:rPr>
        <w:t>界四周</w:t>
      </w:r>
      <w:r>
        <w:rPr>
          <w:rFonts w:hint="eastAsia" w:ascii="Times New Roman" w:hAnsi="Times New Roman" w:eastAsia="宋体" w:cs="Times New Roman"/>
          <w:color w:val="auto"/>
          <w:sz w:val="24"/>
          <w:szCs w:val="24"/>
        </w:rPr>
        <w:t>及周边居民点</w:t>
      </w:r>
      <w:r>
        <w:rPr>
          <w:rFonts w:ascii="Times New Roman" w:hAnsi="Times New Roman" w:eastAsia="宋体" w:cs="Times New Roman"/>
          <w:color w:val="auto"/>
          <w:sz w:val="24"/>
          <w:szCs w:val="24"/>
        </w:rPr>
        <w:t>噪声，共设置6个监测点位（东场界、南场界、西场界、北场界</w:t>
      </w:r>
      <w:r>
        <w:rPr>
          <w:rFonts w:hint="eastAsia" w:ascii="Times New Roman" w:hAnsi="Times New Roman" w:eastAsia="宋体" w:cs="Times New Roman"/>
          <w:color w:val="auto"/>
          <w:sz w:val="24"/>
          <w:szCs w:val="24"/>
        </w:rPr>
        <w:t>、小孙家岗及陶郢孜</w:t>
      </w:r>
      <w:r>
        <w:rPr>
          <w:rFonts w:ascii="Times New Roman" w:hAnsi="Times New Roman" w:eastAsia="宋体" w:cs="Times New Roman"/>
          <w:color w:val="auto"/>
          <w:sz w:val="24"/>
          <w:szCs w:val="24"/>
        </w:rPr>
        <w:t>），监测频率为每半年一次，并在噪声监测点附近醒目处设置环境保护图形标志牌。</w:t>
      </w:r>
    </w:p>
    <w:p w14:paraId="4B46BABC">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8.3.3</w:t>
      </w:r>
      <w:r>
        <w:rPr>
          <w:rFonts w:ascii="Times New Roman" w:hAnsi="Times New Roman" w:eastAsia="黑体" w:cs="Times New Roman"/>
          <w:bCs/>
          <w:color w:val="auto"/>
          <w:kern w:val="2"/>
          <w:sz w:val="28"/>
          <w:szCs w:val="32"/>
          <w:lang w:val="en-US" w:eastAsia="zh-CN" w:bidi="ar-SA"/>
        </w:rPr>
        <w:t>监测资料的统计汇总</w:t>
      </w:r>
    </w:p>
    <w:p w14:paraId="4B9224E6">
      <w:pPr>
        <w:widowControl/>
        <w:spacing w:line="360" w:lineRule="auto"/>
        <w:ind w:firstLine="480" w:firstLineChars="200"/>
        <w:jc w:val="left"/>
        <w:rPr>
          <w:rFonts w:ascii="Times New Roman" w:hAnsi="Times New Roman" w:eastAsia="宋体" w:cs="Times New Roman"/>
          <w:color w:val="auto"/>
          <w:sz w:val="24"/>
        </w:rPr>
      </w:pPr>
      <w:r>
        <w:rPr>
          <w:rFonts w:ascii="Times New Roman" w:hAnsi="Times New Roman" w:eastAsia="宋体" w:cs="Times New Roman"/>
          <w:color w:val="auto"/>
          <w:sz w:val="24"/>
        </w:rPr>
        <w:t>对获得的监测结果应及时进行统计汇总，编制环境监测报表，并报公司有关部门和当地环境保护行政主管部门。如发现问题，应及时采取纠正或预防措施，以防止可能伴随的环境污染。</w:t>
      </w:r>
    </w:p>
    <w:p w14:paraId="429578EB">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8.3.4</w:t>
      </w:r>
      <w:r>
        <w:rPr>
          <w:rFonts w:ascii="Times New Roman" w:hAnsi="Times New Roman" w:eastAsia="黑体" w:cs="Times New Roman"/>
          <w:bCs/>
          <w:color w:val="auto"/>
          <w:kern w:val="2"/>
          <w:sz w:val="28"/>
          <w:szCs w:val="32"/>
          <w:lang w:val="en-US" w:eastAsia="zh-CN" w:bidi="ar-SA"/>
        </w:rPr>
        <w:t>监测人员及监测设备的配置</w:t>
      </w:r>
    </w:p>
    <w:p w14:paraId="19E525BC">
      <w:pPr>
        <w:widowControl/>
        <w:spacing w:line="360" w:lineRule="auto"/>
        <w:ind w:firstLine="480" w:firstLineChars="200"/>
        <w:jc w:val="left"/>
        <w:rPr>
          <w:rFonts w:ascii="Times New Roman" w:hAnsi="Times New Roman" w:eastAsia="宋体" w:cs="Times New Roman"/>
          <w:color w:val="auto"/>
          <w:sz w:val="24"/>
        </w:rPr>
      </w:pPr>
      <w:r>
        <w:rPr>
          <w:rFonts w:ascii="Times New Roman" w:hAnsi="Times New Roman" w:eastAsia="宋体" w:cs="Times New Roman"/>
          <w:color w:val="auto"/>
          <w:sz w:val="24"/>
        </w:rPr>
        <w:t>本项目例行监测可委托有专业资质的环境监测</w:t>
      </w:r>
      <w:r>
        <w:rPr>
          <w:rFonts w:hint="eastAsia" w:ascii="Times New Roman" w:hAnsi="Times New Roman" w:eastAsia="宋体" w:cs="Times New Roman"/>
          <w:color w:val="auto"/>
          <w:sz w:val="24"/>
        </w:rPr>
        <w:t>公司</w:t>
      </w:r>
      <w:r>
        <w:rPr>
          <w:rFonts w:ascii="Times New Roman" w:hAnsi="Times New Roman" w:eastAsia="宋体" w:cs="Times New Roman"/>
          <w:color w:val="auto"/>
          <w:sz w:val="24"/>
        </w:rPr>
        <w:t>承担。</w:t>
      </w:r>
    </w:p>
    <w:p w14:paraId="1C54D32A">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8.3.5</w:t>
      </w:r>
      <w:r>
        <w:rPr>
          <w:rFonts w:ascii="Times New Roman" w:hAnsi="Times New Roman" w:eastAsia="黑体" w:cs="Times New Roman"/>
          <w:bCs/>
          <w:color w:val="auto"/>
          <w:kern w:val="2"/>
          <w:sz w:val="28"/>
          <w:szCs w:val="32"/>
          <w:lang w:val="en-US" w:eastAsia="zh-CN" w:bidi="ar-SA"/>
        </w:rPr>
        <w:t>监测分析方法</w:t>
      </w:r>
    </w:p>
    <w:p w14:paraId="12B8DC6A">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建设项目建成后，全厂环境监测计划中各监测因子的监测分析方案应按照国家规定的监测分析方法标准进行。</w:t>
      </w:r>
    </w:p>
    <w:p w14:paraId="692AF6AC">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305" w:name="_Toc6942"/>
      <w:r>
        <w:rPr>
          <w:rFonts w:hint="eastAsia" w:ascii="Times New Roman" w:hAnsi="Times New Roman" w:eastAsia="黑体" w:cs="Times New Roman"/>
          <w:bCs/>
          <w:color w:val="auto"/>
          <w:kern w:val="2"/>
          <w:sz w:val="30"/>
          <w:szCs w:val="32"/>
          <w:lang w:val="en-US" w:eastAsia="zh-CN" w:bidi="ar-SA"/>
        </w:rPr>
        <w:t>8.4</w:t>
      </w:r>
      <w:r>
        <w:rPr>
          <w:rFonts w:ascii="Times New Roman" w:hAnsi="Times New Roman" w:eastAsia="黑体" w:cs="Times New Roman"/>
          <w:bCs/>
          <w:color w:val="auto"/>
          <w:kern w:val="2"/>
          <w:sz w:val="30"/>
          <w:szCs w:val="32"/>
          <w:lang w:val="en-US" w:eastAsia="zh-CN" w:bidi="ar-SA"/>
        </w:rPr>
        <w:t>排污口规范化设置</w:t>
      </w:r>
      <w:bookmarkEnd w:id="305"/>
    </w:p>
    <w:p w14:paraId="38C80697">
      <w:pPr>
        <w:widowControl/>
        <w:spacing w:line="360" w:lineRule="auto"/>
        <w:ind w:firstLine="480" w:firstLineChars="200"/>
        <w:jc w:val="left"/>
        <w:rPr>
          <w:rFonts w:ascii="Times New Roman" w:hAnsi="Times New Roman" w:eastAsia="宋体" w:cs="Times New Roman"/>
          <w:color w:val="auto"/>
          <w:sz w:val="24"/>
        </w:rPr>
      </w:pPr>
      <w:r>
        <w:rPr>
          <w:rFonts w:ascii="Times New Roman" w:hAnsi="Times New Roman" w:eastAsia="宋体" w:cs="Times New Roman"/>
          <w:color w:val="auto"/>
          <w:sz w:val="24"/>
        </w:rPr>
        <w:t>根据原国家环境保护总局《关于开展排放口规范化整治工作的通知》及《安徽省污染源排放口规范化整治管理办法》和项目“三废”排放的实际情况，统一规划设置项目的废气排气筒、固定噪声源，规范固体废物贮存</w:t>
      </w:r>
      <w:r>
        <w:rPr>
          <w:rFonts w:hint="eastAsia" w:cs="Times New Roman"/>
          <w:color w:val="auto"/>
          <w:sz w:val="24"/>
          <w:lang w:eastAsia="zh-CN"/>
        </w:rPr>
        <w:t>（</w:t>
      </w:r>
      <w:r>
        <w:rPr>
          <w:rFonts w:ascii="Times New Roman" w:hAnsi="Times New Roman" w:eastAsia="宋体" w:cs="Times New Roman"/>
          <w:color w:val="auto"/>
          <w:sz w:val="24"/>
        </w:rPr>
        <w:t>处置)场所。</w:t>
      </w:r>
    </w:p>
    <w:p w14:paraId="4C78504D">
      <w:pPr>
        <w:widowControl/>
        <w:spacing w:line="360" w:lineRule="auto"/>
        <w:ind w:firstLine="480" w:firstLineChars="200"/>
        <w:jc w:val="left"/>
        <w:rPr>
          <w:rFonts w:ascii="Times New Roman" w:hAnsi="Times New Roman" w:eastAsia="宋体" w:cs="Times New Roman"/>
          <w:color w:val="auto"/>
          <w:sz w:val="24"/>
        </w:rPr>
      </w:pPr>
      <w:r>
        <w:rPr>
          <w:rFonts w:ascii="Times New Roman" w:hAnsi="Times New Roman" w:eastAsia="宋体" w:cs="Times New Roman"/>
          <w:color w:val="auto"/>
          <w:sz w:val="24"/>
        </w:rPr>
        <w:t>（1）废水出水口：本项目废水经处理后回用，不外排，因此无须设污水排放口。</w:t>
      </w:r>
    </w:p>
    <w:p w14:paraId="5A243E98">
      <w:pPr>
        <w:widowControl/>
        <w:spacing w:line="360" w:lineRule="auto"/>
        <w:ind w:firstLine="480" w:firstLineChars="200"/>
        <w:jc w:val="left"/>
        <w:rPr>
          <w:rFonts w:ascii="Times New Roman" w:hAnsi="Times New Roman" w:eastAsia="宋体" w:cs="Times New Roman"/>
          <w:color w:val="auto"/>
          <w:sz w:val="24"/>
        </w:rPr>
      </w:pPr>
      <w:r>
        <w:rPr>
          <w:rFonts w:ascii="Times New Roman" w:hAnsi="Times New Roman" w:eastAsia="宋体" w:cs="Times New Roman"/>
          <w:color w:val="auto"/>
          <w:sz w:val="24"/>
        </w:rPr>
        <w:t>（2）废气排放口：本项目废气均为无组织排放，因此无废气排放口。</w:t>
      </w:r>
    </w:p>
    <w:p w14:paraId="05D5E447">
      <w:pPr>
        <w:widowControl/>
        <w:spacing w:line="360" w:lineRule="auto"/>
        <w:ind w:firstLine="480" w:firstLineChars="200"/>
        <w:jc w:val="left"/>
        <w:rPr>
          <w:rFonts w:ascii="Times New Roman" w:hAnsi="Times New Roman" w:eastAsia="宋体" w:cs="Times New Roman"/>
          <w:color w:val="auto"/>
          <w:sz w:val="24"/>
        </w:rPr>
      </w:pPr>
      <w:r>
        <w:rPr>
          <w:rFonts w:ascii="Times New Roman" w:hAnsi="Times New Roman" w:eastAsia="宋体" w:cs="Times New Roman"/>
          <w:color w:val="auto"/>
          <w:sz w:val="24"/>
        </w:rPr>
        <w:t>（3）固定噪声源：根据不同噪声源的情况，采取减振降噪、吸声、隔声等措施，使</w:t>
      </w:r>
      <w:r>
        <w:rPr>
          <w:rFonts w:hint="eastAsia" w:ascii="Times New Roman" w:hAnsi="Times New Roman" w:eastAsia="宋体" w:cs="Times New Roman"/>
          <w:color w:val="auto"/>
          <w:sz w:val="24"/>
        </w:rPr>
        <w:t>场界</w:t>
      </w:r>
      <w:r>
        <w:rPr>
          <w:rFonts w:ascii="Times New Roman" w:hAnsi="Times New Roman" w:eastAsia="宋体" w:cs="Times New Roman"/>
          <w:color w:val="auto"/>
          <w:sz w:val="24"/>
        </w:rPr>
        <w:t>达到相应功能区的标准要求。在</w:t>
      </w:r>
      <w:r>
        <w:rPr>
          <w:rFonts w:hint="eastAsia" w:ascii="Times New Roman" w:hAnsi="Times New Roman" w:eastAsia="宋体" w:cs="Times New Roman"/>
          <w:color w:val="auto"/>
          <w:sz w:val="24"/>
        </w:rPr>
        <w:t>场界</w:t>
      </w:r>
      <w:r>
        <w:rPr>
          <w:rFonts w:ascii="Times New Roman" w:hAnsi="Times New Roman" w:eastAsia="宋体" w:cs="Times New Roman"/>
          <w:color w:val="auto"/>
          <w:sz w:val="24"/>
        </w:rPr>
        <w:t>噪声敏感且对外界影响最大处设置固定噪声源的监测点和噪声环境保护图形标志牌。</w:t>
      </w:r>
    </w:p>
    <w:p w14:paraId="2196912E">
      <w:pPr>
        <w:widowControl/>
        <w:spacing w:line="360" w:lineRule="auto"/>
        <w:ind w:firstLine="480" w:firstLineChars="200"/>
        <w:jc w:val="left"/>
        <w:rPr>
          <w:rFonts w:ascii="Times New Roman" w:hAnsi="Times New Roman" w:eastAsia="宋体" w:cs="Times New Roman"/>
          <w:color w:val="auto"/>
          <w:sz w:val="24"/>
        </w:rPr>
      </w:pPr>
      <w:r>
        <w:rPr>
          <w:rFonts w:ascii="Times New Roman" w:hAnsi="Times New Roman" w:eastAsia="宋体" w:cs="Times New Roman"/>
          <w:color w:val="auto"/>
          <w:sz w:val="24"/>
        </w:rPr>
        <w:t>（4）固废：对于一般固体废物和危险废物应设置专用贮存、堆放场地，并须有防扬散、防流失、防漏、防渗措施。各类固体废物贮存场所均应设置醒目的标志牌。</w:t>
      </w:r>
    </w:p>
    <w:p w14:paraId="23EAE3D1">
      <w:pPr>
        <w:spacing w:line="400" w:lineRule="exact"/>
        <w:jc w:val="center"/>
        <w:rPr>
          <w:rFonts w:ascii="Times New Roman" w:hAnsi="Times New Roman" w:eastAsia="黑体" w:cs="Times New Roman"/>
          <w:color w:val="auto"/>
          <w:sz w:val="24"/>
        </w:rPr>
      </w:pPr>
      <w:r>
        <w:rPr>
          <w:rFonts w:ascii="Times New Roman" w:hAnsi="Times New Roman" w:eastAsia="黑体" w:cs="Times New Roman"/>
          <w:color w:val="auto"/>
          <w:sz w:val="24"/>
        </w:rPr>
        <w:t>表8.</w:t>
      </w:r>
      <w:r>
        <w:rPr>
          <w:rFonts w:hint="eastAsia" w:ascii="Times New Roman" w:hAnsi="Times New Roman" w:eastAsia="黑体" w:cs="Times New Roman"/>
          <w:color w:val="auto"/>
          <w:sz w:val="24"/>
        </w:rPr>
        <w:t>4</w:t>
      </w:r>
      <w:r>
        <w:rPr>
          <w:rFonts w:ascii="Times New Roman" w:hAnsi="Times New Roman" w:eastAsia="黑体" w:cs="Times New Roman"/>
          <w:color w:val="auto"/>
          <w:sz w:val="24"/>
        </w:rPr>
        <w:t>-1   环境保护图形符号一览表</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2535"/>
        <w:gridCol w:w="2355"/>
        <w:gridCol w:w="2587"/>
      </w:tblGrid>
      <w:tr w14:paraId="385D66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1808" w:type="dxa"/>
            <w:noWrap w:val="0"/>
            <w:vAlign w:val="center"/>
          </w:tcPr>
          <w:p w14:paraId="78A635D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rPr>
              <w:drawing>
                <wp:inline distT="0" distB="0" distL="114300" distR="114300">
                  <wp:extent cx="914400" cy="940435"/>
                  <wp:effectExtent l="0" t="0" r="0" b="12065"/>
                  <wp:docPr id="342"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66"/>
                          <pic:cNvPicPr>
                            <a:picLocks noChangeAspect="1"/>
                          </pic:cNvPicPr>
                        </pic:nvPicPr>
                        <pic:blipFill>
                          <a:blip r:embed="rId212"/>
                          <a:stretch>
                            <a:fillRect/>
                          </a:stretch>
                        </pic:blipFill>
                        <pic:spPr>
                          <a:xfrm>
                            <a:off x="0" y="0"/>
                            <a:ext cx="914400" cy="940435"/>
                          </a:xfrm>
                          <a:prstGeom prst="rect">
                            <a:avLst/>
                          </a:prstGeom>
                          <a:noFill/>
                          <a:ln>
                            <a:noFill/>
                          </a:ln>
                        </pic:spPr>
                      </pic:pic>
                    </a:graphicData>
                  </a:graphic>
                </wp:inline>
              </w:drawing>
            </w:r>
          </w:p>
        </w:tc>
        <w:tc>
          <w:tcPr>
            <w:tcW w:w="2535" w:type="dxa"/>
            <w:noWrap w:val="0"/>
            <w:vAlign w:val="center"/>
          </w:tcPr>
          <w:p w14:paraId="04BA1734">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简介：</w:t>
            </w:r>
            <w:r>
              <w:rPr>
                <w:rFonts w:hint="default" w:ascii="Times New Roman" w:hAnsi="Times New Roman" w:eastAsia="宋体" w:cs="Times New Roman"/>
                <w:color w:val="auto"/>
              </w:rPr>
              <w:t>一般固体废物贮存、处置场</w:t>
            </w:r>
          </w:p>
          <w:p w14:paraId="0159DF5F">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rPr>
              <w:t>一般固体废物贮存、处置场</w:t>
            </w:r>
            <w:r>
              <w:rPr>
                <w:rFonts w:hint="default" w:ascii="Times New Roman" w:hAnsi="Times New Roman" w:eastAsia="宋体" w:cs="Times New Roman"/>
                <w:color w:val="auto"/>
                <w:szCs w:val="20"/>
              </w:rPr>
              <w:t>提示图形符号</w:t>
            </w:r>
          </w:p>
          <w:p w14:paraId="7F5A7389">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表示</w:t>
            </w:r>
            <w:r>
              <w:rPr>
                <w:rFonts w:hint="default" w:ascii="Times New Roman" w:hAnsi="Times New Roman" w:eastAsia="宋体" w:cs="Times New Roman"/>
                <w:color w:val="auto"/>
              </w:rPr>
              <w:t>一般固体废物贮存、处置</w:t>
            </w:r>
          </w:p>
        </w:tc>
        <w:tc>
          <w:tcPr>
            <w:tcW w:w="2355" w:type="dxa"/>
            <w:noWrap w:val="0"/>
            <w:vAlign w:val="center"/>
          </w:tcPr>
          <w:p w14:paraId="47F0543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rPr>
              <w:drawing>
                <wp:inline distT="0" distB="0" distL="114300" distR="114300">
                  <wp:extent cx="1061720" cy="999490"/>
                  <wp:effectExtent l="0" t="0" r="5080" b="10160"/>
                  <wp:docPr id="358"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67"/>
                          <pic:cNvPicPr>
                            <a:picLocks noChangeAspect="1"/>
                          </pic:cNvPicPr>
                        </pic:nvPicPr>
                        <pic:blipFill>
                          <a:blip r:embed="rId213"/>
                          <a:stretch>
                            <a:fillRect/>
                          </a:stretch>
                        </pic:blipFill>
                        <pic:spPr>
                          <a:xfrm>
                            <a:off x="0" y="0"/>
                            <a:ext cx="1061720" cy="999490"/>
                          </a:xfrm>
                          <a:prstGeom prst="rect">
                            <a:avLst/>
                          </a:prstGeom>
                          <a:noFill/>
                          <a:ln>
                            <a:noFill/>
                          </a:ln>
                        </pic:spPr>
                      </pic:pic>
                    </a:graphicData>
                  </a:graphic>
                </wp:inline>
              </w:drawing>
            </w:r>
          </w:p>
        </w:tc>
        <w:tc>
          <w:tcPr>
            <w:tcW w:w="2587" w:type="dxa"/>
            <w:noWrap w:val="0"/>
            <w:vAlign w:val="center"/>
          </w:tcPr>
          <w:p w14:paraId="40549A1E">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简介：</w:t>
            </w:r>
            <w:r>
              <w:rPr>
                <w:rFonts w:hint="default" w:ascii="Times New Roman" w:hAnsi="Times New Roman" w:eastAsia="宋体" w:cs="Times New Roman"/>
                <w:color w:val="auto"/>
              </w:rPr>
              <w:t>一般固体废物贮存、处置场</w:t>
            </w:r>
          </w:p>
          <w:p w14:paraId="105620E7">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警告图形符号</w:t>
            </w:r>
          </w:p>
          <w:p w14:paraId="7121050B">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表示</w:t>
            </w:r>
            <w:r>
              <w:rPr>
                <w:rFonts w:hint="default" w:ascii="Times New Roman" w:hAnsi="Times New Roman" w:eastAsia="宋体" w:cs="Times New Roman"/>
                <w:color w:val="auto"/>
              </w:rPr>
              <w:t>一般固体废物贮存、处置</w:t>
            </w:r>
          </w:p>
        </w:tc>
      </w:tr>
      <w:tr w14:paraId="574D2C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8" w:type="dxa"/>
            <w:noWrap w:val="0"/>
            <w:vAlign w:val="center"/>
          </w:tcPr>
          <w:p w14:paraId="15C562D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u w:val="none"/>
              </w:rPr>
              <w:drawing>
                <wp:inline distT="0" distB="0" distL="114300" distR="114300">
                  <wp:extent cx="971550" cy="971550"/>
                  <wp:effectExtent l="0" t="0" r="0" b="0"/>
                  <wp:docPr id="355" name="图片 68" descr="点击看大图及详细资料">
                    <a:hlinkClick xmlns:a="http://schemas.openxmlformats.org/drawingml/2006/main" r:id="rId2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图片 68" descr="点击看大图及详细资料"/>
                          <pic:cNvPicPr>
                            <a:picLocks noChangeAspect="1"/>
                          </pic:cNvPicPr>
                        </pic:nvPicPr>
                        <pic:blipFill>
                          <a:blip r:embed="rId215"/>
                          <a:stretch>
                            <a:fillRect/>
                          </a:stretch>
                        </pic:blipFill>
                        <pic:spPr>
                          <a:xfrm>
                            <a:off x="0" y="0"/>
                            <a:ext cx="971550" cy="971550"/>
                          </a:xfrm>
                          <a:prstGeom prst="rect">
                            <a:avLst/>
                          </a:prstGeom>
                          <a:noFill/>
                          <a:ln>
                            <a:noFill/>
                          </a:ln>
                        </pic:spPr>
                      </pic:pic>
                    </a:graphicData>
                  </a:graphic>
                </wp:inline>
              </w:drawing>
            </w:r>
          </w:p>
        </w:tc>
        <w:tc>
          <w:tcPr>
            <w:tcW w:w="2535" w:type="dxa"/>
            <w:noWrap w:val="0"/>
            <w:vAlign w:val="center"/>
          </w:tcPr>
          <w:p w14:paraId="66C443FA">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简介：噪声排放源</w:t>
            </w:r>
          </w:p>
          <w:p w14:paraId="28CC0271">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提示图形符号</w:t>
            </w:r>
          </w:p>
          <w:p w14:paraId="6ECFA5A0">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噪声排放源</w:t>
            </w:r>
          </w:p>
          <w:p w14:paraId="2FB82C2E">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表示噪声向外环境排放</w:t>
            </w:r>
          </w:p>
        </w:tc>
        <w:tc>
          <w:tcPr>
            <w:tcW w:w="2355" w:type="dxa"/>
            <w:noWrap w:val="0"/>
            <w:vAlign w:val="center"/>
          </w:tcPr>
          <w:p w14:paraId="2484DE1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18"/>
                <w:szCs w:val="18"/>
              </w:rPr>
            </w:pPr>
            <w:r>
              <w:rPr>
                <w:rFonts w:hint="default" w:ascii="Times New Roman" w:hAnsi="Times New Roman" w:eastAsia="宋体" w:cs="Times New Roman"/>
                <w:color w:val="auto"/>
                <w:sz w:val="18"/>
                <w:szCs w:val="18"/>
                <w:u w:val="none"/>
              </w:rPr>
              <w:drawing>
                <wp:inline distT="0" distB="0" distL="114300" distR="114300">
                  <wp:extent cx="971550" cy="838200"/>
                  <wp:effectExtent l="0" t="0" r="0" b="0"/>
                  <wp:docPr id="357" name="图片 69" descr="点击看大图及详细资料">
                    <a:hlinkClick xmlns:a="http://schemas.openxmlformats.org/drawingml/2006/main" r:id="rId2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69" descr="点击看大图及详细资料"/>
                          <pic:cNvPicPr>
                            <a:picLocks noChangeAspect="1"/>
                          </pic:cNvPicPr>
                        </pic:nvPicPr>
                        <pic:blipFill>
                          <a:blip r:embed="rId217"/>
                          <a:stretch>
                            <a:fillRect/>
                          </a:stretch>
                        </pic:blipFill>
                        <pic:spPr>
                          <a:xfrm>
                            <a:off x="0" y="0"/>
                            <a:ext cx="971550" cy="838200"/>
                          </a:xfrm>
                          <a:prstGeom prst="rect">
                            <a:avLst/>
                          </a:prstGeom>
                          <a:noFill/>
                          <a:ln>
                            <a:noFill/>
                          </a:ln>
                        </pic:spPr>
                      </pic:pic>
                    </a:graphicData>
                  </a:graphic>
                </wp:inline>
              </w:drawing>
            </w:r>
          </w:p>
        </w:tc>
        <w:tc>
          <w:tcPr>
            <w:tcW w:w="2587" w:type="dxa"/>
            <w:noWrap w:val="0"/>
            <w:vAlign w:val="center"/>
          </w:tcPr>
          <w:p w14:paraId="439A57C4">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简介：噪声排放源</w:t>
            </w:r>
          </w:p>
          <w:p w14:paraId="2E827838">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警告图形符号</w:t>
            </w:r>
          </w:p>
          <w:p w14:paraId="75C444FC">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噪声排放源</w:t>
            </w:r>
          </w:p>
          <w:p w14:paraId="01567585">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表示噪声向外环境排放</w:t>
            </w:r>
          </w:p>
        </w:tc>
      </w:tr>
      <w:tr w14:paraId="411171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08" w:type="dxa"/>
            <w:noWrap w:val="0"/>
            <w:vAlign w:val="center"/>
          </w:tcPr>
          <w:p w14:paraId="3AD3CE23">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rPr>
              <w:drawing>
                <wp:inline distT="0" distB="0" distL="114300" distR="114300">
                  <wp:extent cx="1045845" cy="650875"/>
                  <wp:effectExtent l="0" t="0" r="1905" b="15875"/>
                  <wp:docPr id="356"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70"/>
                          <pic:cNvPicPr>
                            <a:picLocks noChangeAspect="1"/>
                          </pic:cNvPicPr>
                        </pic:nvPicPr>
                        <pic:blipFill>
                          <a:blip r:embed="rId218"/>
                          <a:srcRect l="1015" t="1218" r="443" b="298"/>
                          <a:stretch>
                            <a:fillRect/>
                          </a:stretch>
                        </pic:blipFill>
                        <pic:spPr>
                          <a:xfrm>
                            <a:off x="0" y="0"/>
                            <a:ext cx="1045845" cy="650875"/>
                          </a:xfrm>
                          <a:prstGeom prst="rect">
                            <a:avLst/>
                          </a:prstGeom>
                          <a:noFill/>
                          <a:ln>
                            <a:noFill/>
                          </a:ln>
                        </pic:spPr>
                      </pic:pic>
                    </a:graphicData>
                  </a:graphic>
                </wp:inline>
              </w:drawing>
            </w:r>
          </w:p>
        </w:tc>
        <w:tc>
          <w:tcPr>
            <w:tcW w:w="2535" w:type="dxa"/>
            <w:noWrap w:val="0"/>
            <w:vAlign w:val="center"/>
          </w:tcPr>
          <w:p w14:paraId="2B0BE874">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简介：危废</w:t>
            </w:r>
            <w:r>
              <w:rPr>
                <w:rFonts w:hint="eastAsia" w:ascii="Times New Roman" w:hAnsi="Times New Roman" w:eastAsia="宋体" w:cs="Times New Roman"/>
                <w:color w:val="auto"/>
                <w:szCs w:val="20"/>
              </w:rPr>
              <w:t>贮存</w:t>
            </w:r>
            <w:r>
              <w:rPr>
                <w:rFonts w:hint="default" w:ascii="Times New Roman" w:hAnsi="Times New Roman" w:eastAsia="宋体" w:cs="Times New Roman"/>
                <w:color w:val="auto"/>
                <w:szCs w:val="20"/>
              </w:rPr>
              <w:t>场</w:t>
            </w:r>
          </w:p>
          <w:p w14:paraId="00A5C9E3">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提示图形符号</w:t>
            </w:r>
          </w:p>
        </w:tc>
        <w:tc>
          <w:tcPr>
            <w:tcW w:w="2355" w:type="dxa"/>
            <w:noWrap w:val="0"/>
            <w:vAlign w:val="center"/>
          </w:tcPr>
          <w:p w14:paraId="58C83882">
            <w:pPr>
              <w:keepNext w:val="0"/>
              <w:keepLines w:val="0"/>
              <w:suppressLineNumbers w:val="0"/>
              <w:spacing w:before="0" w:beforeAutospacing="0" w:after="0" w:afterAutospacing="0"/>
              <w:ind w:left="0" w:right="0"/>
              <w:jc w:val="center"/>
              <w:textAlignment w:val="baseline"/>
              <w:rPr>
                <w:rFonts w:hint="default" w:ascii="Times New Roman" w:hAnsi="Times New Roman" w:eastAsia="宋体" w:cs="Times New Roman"/>
                <w:color w:val="auto"/>
                <w:sz w:val="20"/>
                <w:szCs w:val="20"/>
              </w:rPr>
            </w:pPr>
            <w:r>
              <w:rPr>
                <w:rFonts w:hint="default" w:ascii="Times New Roman" w:hAnsi="Times New Roman" w:eastAsia="宋体" w:cs="Times New Roman"/>
                <w:color w:val="auto"/>
              </w:rPr>
              <w:drawing>
                <wp:inline distT="0" distB="0" distL="114300" distR="114300">
                  <wp:extent cx="1049655" cy="995045"/>
                  <wp:effectExtent l="0" t="0" r="17145" b="14605"/>
                  <wp:docPr id="354" name="图片 71" descr="C:\Users\Administrator\Desktop\群图片\4.p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图片 71" descr="C:\Users\Administrator\Desktop\群图片\4.png4"/>
                          <pic:cNvPicPr>
                            <a:picLocks noChangeAspect="1"/>
                          </pic:cNvPicPr>
                        </pic:nvPicPr>
                        <pic:blipFill>
                          <a:blip r:embed="rId219"/>
                          <a:stretch>
                            <a:fillRect/>
                          </a:stretch>
                        </pic:blipFill>
                        <pic:spPr>
                          <a:xfrm>
                            <a:off x="0" y="0"/>
                            <a:ext cx="1049655" cy="995045"/>
                          </a:xfrm>
                          <a:prstGeom prst="rect">
                            <a:avLst/>
                          </a:prstGeom>
                          <a:noFill/>
                          <a:ln>
                            <a:noFill/>
                          </a:ln>
                        </pic:spPr>
                      </pic:pic>
                    </a:graphicData>
                  </a:graphic>
                </wp:inline>
              </w:drawing>
            </w:r>
          </w:p>
        </w:tc>
        <w:tc>
          <w:tcPr>
            <w:tcW w:w="2587" w:type="dxa"/>
            <w:noWrap w:val="0"/>
            <w:vAlign w:val="center"/>
          </w:tcPr>
          <w:p w14:paraId="5EE1E18E">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宋体" w:cs="Times New Roman"/>
                <w:color w:val="auto"/>
                <w:szCs w:val="20"/>
              </w:rPr>
            </w:pPr>
            <w:r>
              <w:rPr>
                <w:rFonts w:hint="default" w:ascii="Times New Roman" w:hAnsi="Times New Roman" w:eastAsia="宋体" w:cs="Times New Roman"/>
                <w:color w:val="auto"/>
                <w:szCs w:val="20"/>
              </w:rPr>
              <w:t>危险废物贮存识别标签及标志</w:t>
            </w:r>
          </w:p>
        </w:tc>
      </w:tr>
    </w:tbl>
    <w:p w14:paraId="3DF180A4">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306" w:name="_Toc18737"/>
      <w:r>
        <w:rPr>
          <w:rFonts w:hint="eastAsia" w:ascii="Times New Roman" w:hAnsi="Times New Roman" w:eastAsia="黑体" w:cs="Times New Roman"/>
          <w:bCs/>
          <w:color w:val="auto"/>
          <w:kern w:val="2"/>
          <w:sz w:val="30"/>
          <w:szCs w:val="32"/>
          <w:lang w:val="en-US" w:eastAsia="zh-CN" w:bidi="ar-SA"/>
        </w:rPr>
        <w:t>8.5“三同时”</w:t>
      </w:r>
      <w:r>
        <w:rPr>
          <w:rFonts w:ascii="Times New Roman" w:hAnsi="Times New Roman" w:eastAsia="黑体" w:cs="Times New Roman"/>
          <w:bCs/>
          <w:color w:val="auto"/>
          <w:kern w:val="2"/>
          <w:sz w:val="30"/>
          <w:szCs w:val="32"/>
          <w:lang w:val="en-US" w:eastAsia="zh-CN" w:bidi="ar-SA"/>
        </w:rPr>
        <w:t>验收内容</w:t>
      </w:r>
      <w:bookmarkEnd w:id="306"/>
    </w:p>
    <w:p w14:paraId="2C9AE449">
      <w:pPr>
        <w:widowControl/>
        <w:spacing w:line="360" w:lineRule="auto"/>
        <w:ind w:firstLine="480" w:firstLineChars="200"/>
        <w:jc w:val="left"/>
        <w:rPr>
          <w:rFonts w:ascii="Times New Roman" w:hAnsi="Times New Roman" w:eastAsia="宋体" w:cs="Times New Roman"/>
          <w:color w:val="auto"/>
          <w:sz w:val="24"/>
        </w:rPr>
      </w:pPr>
      <w:r>
        <w:rPr>
          <w:rFonts w:hint="eastAsia" w:ascii="Times New Roman" w:hAnsi="Times New Roman" w:eastAsia="宋体" w:cs="Times New Roman"/>
          <w:color w:val="auto"/>
          <w:sz w:val="24"/>
        </w:rPr>
        <w:t>本</w:t>
      </w:r>
      <w:r>
        <w:rPr>
          <w:rFonts w:ascii="Times New Roman" w:hAnsi="Times New Roman" w:eastAsia="宋体" w:cs="Times New Roman"/>
          <w:color w:val="auto"/>
          <w:sz w:val="24"/>
        </w:rPr>
        <w:t>项目环境保护措施“三同时”验收内容见表</w:t>
      </w:r>
      <w:r>
        <w:rPr>
          <w:rFonts w:ascii="Times New Roman" w:hAnsi="Times New Roman" w:eastAsia="黑体" w:cs="Times New Roman"/>
          <w:color w:val="auto"/>
          <w:sz w:val="24"/>
        </w:rPr>
        <w:t>8.</w:t>
      </w:r>
      <w:r>
        <w:rPr>
          <w:rFonts w:hint="eastAsia" w:ascii="Times New Roman" w:hAnsi="Times New Roman" w:eastAsia="黑体" w:cs="Times New Roman"/>
          <w:color w:val="auto"/>
          <w:sz w:val="24"/>
        </w:rPr>
        <w:t>5</w:t>
      </w:r>
      <w:r>
        <w:rPr>
          <w:rFonts w:ascii="Times New Roman" w:hAnsi="Times New Roman" w:eastAsia="黑体" w:cs="Times New Roman"/>
          <w:color w:val="auto"/>
          <w:sz w:val="24"/>
        </w:rPr>
        <w:t>-1</w:t>
      </w:r>
      <w:r>
        <w:rPr>
          <w:rFonts w:ascii="Times New Roman" w:hAnsi="Times New Roman" w:eastAsia="宋体" w:cs="Times New Roman"/>
          <w:color w:val="auto"/>
          <w:sz w:val="24"/>
        </w:rPr>
        <w:t>。</w:t>
      </w:r>
    </w:p>
    <w:p w14:paraId="6FA6FECB">
      <w:pPr>
        <w:widowControl/>
        <w:spacing w:line="400" w:lineRule="exact"/>
        <w:jc w:val="center"/>
        <w:rPr>
          <w:rFonts w:ascii="Times New Roman" w:hAnsi="Times New Roman" w:eastAsia="黑体" w:cs="Times New Roman"/>
          <w:color w:val="auto"/>
          <w:sz w:val="24"/>
        </w:rPr>
      </w:pPr>
      <w:r>
        <w:rPr>
          <w:rFonts w:ascii="Times New Roman" w:hAnsi="Times New Roman" w:eastAsia="黑体" w:cs="Times New Roman"/>
          <w:color w:val="auto"/>
          <w:sz w:val="24"/>
        </w:rPr>
        <w:t>表8.</w:t>
      </w:r>
      <w:r>
        <w:rPr>
          <w:rFonts w:hint="eastAsia" w:ascii="Times New Roman" w:hAnsi="Times New Roman" w:eastAsia="黑体" w:cs="Times New Roman"/>
          <w:color w:val="auto"/>
          <w:sz w:val="24"/>
        </w:rPr>
        <w:t>5</w:t>
      </w:r>
      <w:r>
        <w:rPr>
          <w:rFonts w:ascii="Times New Roman" w:hAnsi="Times New Roman" w:eastAsia="黑体" w:cs="Times New Roman"/>
          <w:color w:val="auto"/>
          <w:sz w:val="24"/>
        </w:rPr>
        <w:t>-1  项目环保措施“三同时”验收一览表</w:t>
      </w:r>
    </w:p>
    <w:tbl>
      <w:tblPr>
        <w:tblStyle w:val="53"/>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6"/>
        <w:gridCol w:w="717"/>
        <w:gridCol w:w="5886"/>
        <w:gridCol w:w="2257"/>
      </w:tblGrid>
      <w:tr w14:paraId="5411B6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143" w:type="dxa"/>
            <w:gridSpan w:val="2"/>
            <w:noWrap w:val="0"/>
            <w:vAlign w:val="center"/>
          </w:tcPr>
          <w:p w14:paraId="35FF3201">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类别</w:t>
            </w:r>
          </w:p>
        </w:tc>
        <w:tc>
          <w:tcPr>
            <w:tcW w:w="5886" w:type="dxa"/>
            <w:noWrap w:val="0"/>
            <w:vAlign w:val="center"/>
          </w:tcPr>
          <w:p w14:paraId="2ED3F467">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主要环保措施</w:t>
            </w:r>
          </w:p>
        </w:tc>
        <w:tc>
          <w:tcPr>
            <w:tcW w:w="2257" w:type="dxa"/>
            <w:noWrap w:val="0"/>
            <w:vAlign w:val="center"/>
          </w:tcPr>
          <w:p w14:paraId="6BAF0F23">
            <w:pPr>
              <w:keepNext w:val="0"/>
              <w:keepLines w:val="0"/>
              <w:suppressLineNumbers w:val="0"/>
              <w:spacing w:before="0" w:beforeAutospacing="0" w:after="0" w:afterAutospacing="0"/>
              <w:ind w:left="0" w:right="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验收要求</w:t>
            </w:r>
          </w:p>
        </w:tc>
      </w:tr>
      <w:tr w14:paraId="560624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vMerge w:val="restart"/>
            <w:noWrap w:val="0"/>
            <w:vAlign w:val="center"/>
          </w:tcPr>
          <w:p w14:paraId="5E562FE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运营期</w:t>
            </w:r>
          </w:p>
        </w:tc>
        <w:tc>
          <w:tcPr>
            <w:tcW w:w="717" w:type="dxa"/>
            <w:vMerge w:val="restart"/>
            <w:noWrap w:val="0"/>
            <w:vAlign w:val="center"/>
          </w:tcPr>
          <w:p w14:paraId="7574EAD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废水治理</w:t>
            </w:r>
          </w:p>
        </w:tc>
        <w:tc>
          <w:tcPr>
            <w:tcW w:w="5886" w:type="dxa"/>
            <w:noWrap w:val="0"/>
            <w:vAlign w:val="center"/>
          </w:tcPr>
          <w:p w14:paraId="69A2C135">
            <w:pPr>
              <w:keepNext w:val="0"/>
              <w:keepLines w:val="0"/>
              <w:widowControl w:val="0"/>
              <w:suppressLineNumbers w:val="0"/>
              <w:spacing w:before="0" w:beforeAutospacing="0" w:after="0" w:afterAutospacing="0" w:line="300" w:lineRule="exact"/>
              <w:ind w:left="0" w:right="0"/>
              <w:jc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船舶含油污水</w:t>
            </w:r>
            <w:r>
              <w:rPr>
                <w:rFonts w:hint="eastAsia" w:ascii="Times New Roman" w:hAnsi="Times New Roman" w:eastAsia="宋体" w:cs="Times New Roman"/>
                <w:color w:val="auto"/>
                <w:kern w:val="2"/>
                <w:sz w:val="21"/>
                <w:szCs w:val="21"/>
                <w:lang w:val="en-US" w:eastAsia="zh-CN" w:bidi="ar-SA"/>
              </w:rPr>
              <w:t>经码头接收装置接收后，</w:t>
            </w:r>
            <w:r>
              <w:rPr>
                <w:rFonts w:hint="eastAsia" w:ascii="Times New Roman" w:hAnsi="Times New Roman" w:eastAsia="宋体" w:cs="Times New Roman"/>
                <w:color w:val="auto"/>
                <w:kern w:val="0"/>
                <w:sz w:val="21"/>
                <w:szCs w:val="21"/>
                <w:lang w:val="en-US" w:eastAsia="zh-CN" w:bidi="ar-SA"/>
              </w:rPr>
              <w:t>进入船舶含油污水储存罐</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6</w:t>
            </w:r>
            <w:r>
              <w:rPr>
                <w:rFonts w:hint="eastAsia" w:ascii="Times New Roman" w:hAnsi="Times New Roman" w:eastAsia="宋体"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vertAlign w:val="superscript"/>
                <w:lang w:val="en-US" w:eastAsia="zh-CN" w:bidi="ar-SA"/>
              </w:rPr>
              <w:t>3</w:t>
            </w:r>
            <w:r>
              <w:rPr>
                <w:rFonts w:hint="eastAsia" w:ascii="Times New Roman" w:hAnsi="Times New Roman" w:eastAsia="宋体" w:cs="Times New Roman"/>
                <w:color w:val="auto"/>
                <w:kern w:val="2"/>
                <w:sz w:val="21"/>
                <w:szCs w:val="21"/>
                <w:lang w:val="en-US" w:eastAsia="zh-CN" w:bidi="ar-SA"/>
              </w:rPr>
              <w:t>）</w:t>
            </w:r>
            <w:r>
              <w:rPr>
                <w:rFonts w:hint="eastAsia" w:ascii="Times New Roman" w:hAnsi="Times New Roman" w:eastAsia="宋体" w:cs="Times New Roman"/>
                <w:color w:val="auto"/>
                <w:kern w:val="0"/>
                <w:sz w:val="21"/>
                <w:szCs w:val="21"/>
                <w:lang w:val="en-US" w:eastAsia="zh-CN" w:bidi="ar-SA"/>
              </w:rPr>
              <w:t>，交由有资质单位处置</w:t>
            </w:r>
            <w:r>
              <w:rPr>
                <w:rFonts w:hint="eastAsia" w:ascii="Times New Roman" w:hAnsi="Times New Roman" w:eastAsia="宋体" w:cs="Times New Roman"/>
                <w:color w:val="auto"/>
                <w:kern w:val="2"/>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船舶生活污水经码头</w:t>
            </w:r>
            <w:r>
              <w:rPr>
                <w:rFonts w:hint="eastAsia" w:ascii="Times New Roman" w:hAnsi="Times New Roman" w:eastAsia="宋体" w:cs="Times New Roman"/>
                <w:color w:val="auto"/>
                <w:kern w:val="2"/>
                <w:sz w:val="21"/>
                <w:szCs w:val="21"/>
                <w:lang w:val="en-US" w:eastAsia="zh-CN" w:bidi="ar-SA"/>
              </w:rPr>
              <w:t>接收装置接收后，</w:t>
            </w:r>
            <w:r>
              <w:rPr>
                <w:rFonts w:hint="eastAsia" w:ascii="Times New Roman" w:hAnsi="Times New Roman" w:eastAsia="宋体" w:cs="Times New Roman"/>
                <w:color w:val="auto"/>
                <w:kern w:val="0"/>
                <w:sz w:val="21"/>
                <w:szCs w:val="21"/>
                <w:lang w:val="en-US" w:eastAsia="zh-CN" w:bidi="ar-SA"/>
              </w:rPr>
              <w:t>进入船舶生活污水储存罐</w:t>
            </w:r>
            <w:r>
              <w:rPr>
                <w:rFonts w:hint="eastAsia" w:ascii="Times New Roman" w:hAnsi="Times New Roman" w:eastAsia="宋体" w:cs="Times New Roman"/>
                <w:color w:val="auto"/>
                <w:kern w:val="2"/>
                <w:sz w:val="21"/>
                <w:szCs w:val="21"/>
                <w:lang w:val="en-US" w:eastAsia="zh-CN" w:bidi="ar-SA"/>
              </w:rPr>
              <w:t>（1</w:t>
            </w:r>
            <w:r>
              <w:rPr>
                <w:rFonts w:hint="default" w:ascii="Times New Roman" w:hAnsi="Times New Roman" w:eastAsia="宋体" w:cs="Times New Roman"/>
                <w:color w:val="auto"/>
                <w:kern w:val="2"/>
                <w:sz w:val="21"/>
                <w:szCs w:val="21"/>
                <w:lang w:val="en-US" w:eastAsia="zh-CN" w:bidi="ar-SA"/>
              </w:rPr>
              <w:t>2</w:t>
            </w:r>
            <w:r>
              <w:rPr>
                <w:rFonts w:hint="eastAsia" w:ascii="Times New Roman" w:hAnsi="Times New Roman" w:eastAsia="宋体" w:cs="Times New Roman"/>
                <w:color w:val="auto"/>
                <w:kern w:val="2"/>
                <w:sz w:val="21"/>
                <w:szCs w:val="21"/>
                <w:lang w:val="en-US" w:eastAsia="zh-CN" w:bidi="ar-SA"/>
              </w:rPr>
              <w:t>m</w:t>
            </w:r>
            <w:r>
              <w:rPr>
                <w:rFonts w:hint="default" w:ascii="Times New Roman" w:hAnsi="Times New Roman" w:eastAsia="宋体" w:cs="Times New Roman"/>
                <w:color w:val="auto"/>
                <w:kern w:val="2"/>
                <w:sz w:val="21"/>
                <w:szCs w:val="21"/>
                <w:vertAlign w:val="superscript"/>
                <w:lang w:val="en-US" w:eastAsia="zh-CN" w:bidi="ar-SA"/>
              </w:rPr>
              <w:t>3</w:t>
            </w:r>
            <w:r>
              <w:rPr>
                <w:rFonts w:hint="eastAsia" w:ascii="Times New Roman" w:hAnsi="Times New Roman" w:eastAsia="宋体" w:cs="Times New Roman"/>
                <w:color w:val="auto"/>
                <w:kern w:val="2"/>
                <w:sz w:val="21"/>
                <w:szCs w:val="21"/>
                <w:lang w:val="en-US" w:eastAsia="zh-CN" w:bidi="ar-SA"/>
              </w:rPr>
              <w:t>）</w:t>
            </w:r>
            <w:r>
              <w:rPr>
                <w:rFonts w:hint="eastAsia" w:ascii="Times New Roman" w:hAnsi="Times New Roman" w:eastAsia="宋体" w:cs="Times New Roman"/>
                <w:color w:val="auto"/>
                <w:kern w:val="0"/>
                <w:sz w:val="21"/>
                <w:szCs w:val="21"/>
                <w:lang w:val="en-US" w:eastAsia="zh-CN" w:bidi="ar-SA"/>
              </w:rPr>
              <w:t>，</w:t>
            </w:r>
            <w:r>
              <w:rPr>
                <w:rFonts w:hint="default" w:ascii="Times New Roman" w:hAnsi="Times New Roman" w:eastAsia="宋体" w:cs="Times New Roman"/>
                <w:color w:val="auto"/>
                <w:kern w:val="2"/>
                <w:sz w:val="21"/>
                <w:szCs w:val="21"/>
                <w:lang w:val="en-US" w:eastAsia="zh-CN" w:bidi="ar-SA"/>
              </w:rPr>
              <w:t>将生活污水储存罐的污水定期转运至就近的</w:t>
            </w:r>
            <w:r>
              <w:rPr>
                <w:rFonts w:hint="eastAsia" w:ascii="Times New Roman" w:hAnsi="Times New Roman" w:eastAsia="宋体" w:cs="Times New Roman"/>
                <w:color w:val="auto"/>
                <w:kern w:val="2"/>
                <w:sz w:val="21"/>
                <w:szCs w:val="21"/>
                <w:lang w:val="en-US" w:eastAsia="zh-CN" w:bidi="ar-SA"/>
              </w:rPr>
              <w:t>城市污水处理厂处理</w:t>
            </w:r>
            <w:r>
              <w:rPr>
                <w:rFonts w:hint="default" w:ascii="Times New Roman" w:hAnsi="Times New Roman" w:eastAsia="宋体" w:cs="Times New Roman"/>
                <w:color w:val="auto"/>
                <w:kern w:val="2"/>
                <w:sz w:val="21"/>
                <w:szCs w:val="21"/>
                <w:lang w:val="en-US" w:eastAsia="zh-CN" w:bidi="ar-SA"/>
              </w:rPr>
              <w:t>。</w:t>
            </w:r>
          </w:p>
        </w:tc>
        <w:tc>
          <w:tcPr>
            <w:tcW w:w="2257" w:type="dxa"/>
            <w:vMerge w:val="restart"/>
            <w:noWrap w:val="0"/>
            <w:vAlign w:val="center"/>
          </w:tcPr>
          <w:p w14:paraId="7C4D665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不外排</w:t>
            </w:r>
          </w:p>
        </w:tc>
      </w:tr>
      <w:tr w14:paraId="796B55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vMerge w:val="continue"/>
            <w:noWrap w:val="0"/>
            <w:vAlign w:val="center"/>
          </w:tcPr>
          <w:p w14:paraId="0AFE784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717" w:type="dxa"/>
            <w:vMerge w:val="continue"/>
            <w:noWrap w:val="0"/>
            <w:vAlign w:val="center"/>
          </w:tcPr>
          <w:p w14:paraId="6C202A2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5886" w:type="dxa"/>
            <w:noWrap w:val="0"/>
            <w:vAlign w:val="center"/>
          </w:tcPr>
          <w:p w14:paraId="4F3B3B61">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码头生活污水利用周边已有旱厕，收集后用于当地农田或林地肥料</w:t>
            </w:r>
          </w:p>
        </w:tc>
        <w:tc>
          <w:tcPr>
            <w:tcW w:w="2257" w:type="dxa"/>
            <w:vMerge w:val="continue"/>
            <w:noWrap w:val="0"/>
            <w:vAlign w:val="center"/>
          </w:tcPr>
          <w:p w14:paraId="03E62E0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r>
      <w:tr w14:paraId="26291B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vMerge w:val="continue"/>
            <w:noWrap w:val="0"/>
            <w:vAlign w:val="center"/>
          </w:tcPr>
          <w:p w14:paraId="762779B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717" w:type="dxa"/>
            <w:vMerge w:val="continue"/>
            <w:noWrap w:val="0"/>
            <w:vAlign w:val="center"/>
          </w:tcPr>
          <w:p w14:paraId="25D3D72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5886" w:type="dxa"/>
            <w:noWrap w:val="0"/>
            <w:vAlign w:val="center"/>
          </w:tcPr>
          <w:p w14:paraId="775BB4C2">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机械车辆冲洗水</w:t>
            </w:r>
            <w:r>
              <w:rPr>
                <w:rFonts w:hint="eastAsia" w:ascii="Times New Roman" w:hAnsi="Times New Roman" w:eastAsia="宋体" w:cs="Times New Roman"/>
                <w:color w:val="auto"/>
              </w:rPr>
              <w:t>、</w:t>
            </w:r>
            <w:r>
              <w:rPr>
                <w:rFonts w:hint="default" w:ascii="Times New Roman" w:hAnsi="Times New Roman" w:eastAsia="宋体" w:cs="Times New Roman"/>
                <w:color w:val="auto"/>
              </w:rPr>
              <w:t>初期雨水、码头地面冲洗废水</w:t>
            </w:r>
            <w:r>
              <w:rPr>
                <w:rFonts w:hint="eastAsia" w:ascii="Times New Roman" w:hAnsi="Times New Roman" w:eastAsia="宋体" w:cs="Times New Roman"/>
                <w:color w:val="auto"/>
              </w:rPr>
              <w:t>收集后经泵通过管道输送给隔油沉淀池（1</w:t>
            </w:r>
            <w:r>
              <w:rPr>
                <w:rFonts w:hint="default" w:ascii="Times New Roman" w:hAnsi="Times New Roman" w:eastAsia="宋体" w:cs="Times New Roman"/>
                <w:color w:val="auto"/>
              </w:rPr>
              <w:t>5</w:t>
            </w:r>
            <w:r>
              <w:rPr>
                <w:rFonts w:hint="eastAsia" w:ascii="Times New Roman" w:hAnsi="Times New Roman" w:eastAsia="宋体" w:cs="Times New Roman"/>
                <w:color w:val="auto"/>
              </w:rPr>
              <w:t>m×</w:t>
            </w:r>
            <w:r>
              <w:rPr>
                <w:rFonts w:hint="default" w:ascii="Times New Roman" w:hAnsi="Times New Roman" w:eastAsia="宋体" w:cs="Times New Roman"/>
                <w:color w:val="auto"/>
              </w:rPr>
              <w:t>6</w:t>
            </w:r>
            <w:r>
              <w:rPr>
                <w:rFonts w:hint="eastAsia" w:ascii="Times New Roman" w:hAnsi="Times New Roman" w:eastAsia="宋体" w:cs="Times New Roman"/>
                <w:color w:val="auto"/>
              </w:rPr>
              <w:t>m×</w:t>
            </w:r>
            <w:r>
              <w:rPr>
                <w:rFonts w:hint="default" w:ascii="Times New Roman" w:hAnsi="Times New Roman" w:eastAsia="宋体" w:cs="Times New Roman"/>
                <w:color w:val="auto"/>
              </w:rPr>
              <w:t>2</w:t>
            </w:r>
            <w:r>
              <w:rPr>
                <w:rFonts w:hint="eastAsia" w:ascii="Times New Roman" w:hAnsi="Times New Roman" w:eastAsia="宋体" w:cs="Times New Roman"/>
                <w:color w:val="auto"/>
              </w:rPr>
              <w:t>m）预处理后</w:t>
            </w:r>
            <w:r>
              <w:rPr>
                <w:rFonts w:hint="default" w:ascii="Times New Roman" w:hAnsi="Times New Roman" w:eastAsia="宋体" w:cs="Times New Roman"/>
                <w:color w:val="auto"/>
              </w:rPr>
              <w:t>进入</w:t>
            </w:r>
            <w:r>
              <w:rPr>
                <w:rFonts w:hint="eastAsia" w:ascii="Times New Roman" w:hAnsi="Times New Roman" w:eastAsia="宋体" w:cs="Times New Roman"/>
                <w:color w:val="auto"/>
              </w:rPr>
              <w:t>一体化处理设施（3</w:t>
            </w:r>
            <w:r>
              <w:rPr>
                <w:rFonts w:hint="default" w:ascii="Times New Roman" w:hAnsi="Times New Roman" w:eastAsia="宋体" w:cs="Times New Roman"/>
                <w:color w:val="auto"/>
              </w:rPr>
              <w:t>0</w:t>
            </w:r>
            <w:r>
              <w:rPr>
                <w:rFonts w:hint="eastAsia"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w:t>
            </w:r>
            <w:r>
              <w:rPr>
                <w:rFonts w:hint="eastAsia" w:cs="Times New Roman"/>
                <w:color w:val="auto"/>
                <w:lang w:val="en-US" w:eastAsia="zh-CN"/>
              </w:rPr>
              <w:t>d</w:t>
            </w:r>
            <w:r>
              <w:rPr>
                <w:rFonts w:hint="eastAsia" w:ascii="Times New Roman" w:hAnsi="Times New Roman" w:eastAsia="宋体" w:cs="Times New Roman"/>
                <w:color w:val="auto"/>
              </w:rPr>
              <w:t>）</w:t>
            </w:r>
            <w:r>
              <w:rPr>
                <w:rFonts w:hint="default" w:ascii="Times New Roman" w:hAnsi="Times New Roman" w:eastAsia="宋体" w:cs="Times New Roman"/>
                <w:color w:val="auto"/>
              </w:rPr>
              <w:t>处理</w:t>
            </w:r>
            <w:r>
              <w:rPr>
                <w:rFonts w:hint="eastAsia" w:ascii="Times New Roman" w:hAnsi="Times New Roman" w:eastAsia="宋体" w:cs="Times New Roman"/>
                <w:color w:val="auto"/>
              </w:rPr>
              <w:t>，</w:t>
            </w:r>
            <w:r>
              <w:rPr>
                <w:rFonts w:hint="default" w:ascii="Times New Roman" w:hAnsi="Times New Roman" w:eastAsia="宋体" w:cs="Times New Roman"/>
                <w:color w:val="auto"/>
              </w:rPr>
              <w:t>回用于</w:t>
            </w:r>
            <w:r>
              <w:rPr>
                <w:rFonts w:hint="eastAsia" w:ascii="Times New Roman" w:hAnsi="Times New Roman" w:eastAsia="宋体" w:cs="Times New Roman"/>
                <w:color w:val="auto"/>
              </w:rPr>
              <w:t>道路喷洒、机械车辆冲洗、绿化及码头地面冲洗</w:t>
            </w:r>
            <w:r>
              <w:rPr>
                <w:rFonts w:hint="default" w:ascii="Times New Roman" w:hAnsi="Times New Roman" w:eastAsia="宋体" w:cs="Times New Roman"/>
                <w:color w:val="auto"/>
              </w:rPr>
              <w:t>，不外排。</w:t>
            </w:r>
          </w:p>
        </w:tc>
        <w:tc>
          <w:tcPr>
            <w:tcW w:w="2257" w:type="dxa"/>
            <w:vMerge w:val="continue"/>
            <w:noWrap w:val="0"/>
            <w:vAlign w:val="center"/>
          </w:tcPr>
          <w:p w14:paraId="13EA6CC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r>
      <w:tr w14:paraId="3CBED4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vMerge w:val="continue"/>
            <w:noWrap w:val="0"/>
            <w:vAlign w:val="center"/>
          </w:tcPr>
          <w:p w14:paraId="654A108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717" w:type="dxa"/>
            <w:vMerge w:val="restart"/>
            <w:noWrap w:val="0"/>
            <w:vAlign w:val="center"/>
          </w:tcPr>
          <w:p w14:paraId="7AB30E3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废气治理</w:t>
            </w:r>
          </w:p>
        </w:tc>
        <w:tc>
          <w:tcPr>
            <w:tcW w:w="5886" w:type="dxa"/>
            <w:noWrap w:val="0"/>
            <w:vAlign w:val="center"/>
          </w:tcPr>
          <w:p w14:paraId="3E7C0767">
            <w:pPr>
              <w:keepNext w:val="0"/>
              <w:keepLines w:val="0"/>
              <w:widowControl w:val="0"/>
              <w:suppressLineNumbers w:val="0"/>
              <w:adjustRightInd w:val="0"/>
              <w:snapToGrid w:val="0"/>
              <w:spacing w:before="0" w:beforeAutospacing="0" w:after="0" w:afterAutospacing="0"/>
              <w:ind w:left="0" w:right="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装卸作业使用的装船机、泊位设置喷雾洒水抑尘系统，装船机皮带密闭</w:t>
            </w:r>
          </w:p>
        </w:tc>
        <w:tc>
          <w:tcPr>
            <w:tcW w:w="2257" w:type="dxa"/>
            <w:vMerge w:val="restart"/>
            <w:noWrap w:val="0"/>
            <w:vAlign w:val="center"/>
          </w:tcPr>
          <w:p w14:paraId="01BF8714">
            <w:pPr>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t>降低扬尘污染，粉尘排放达到《大气污染物综合排放标准》（GB 16297-1996）中无组织排放控制浓度限值</w:t>
            </w:r>
          </w:p>
        </w:tc>
      </w:tr>
      <w:tr w14:paraId="648D7B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vMerge w:val="continue"/>
            <w:noWrap w:val="0"/>
            <w:vAlign w:val="center"/>
          </w:tcPr>
          <w:p w14:paraId="42CC2BF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717" w:type="dxa"/>
            <w:vMerge w:val="continue"/>
            <w:noWrap w:val="0"/>
            <w:vAlign w:val="center"/>
          </w:tcPr>
          <w:p w14:paraId="5EECBA2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5886" w:type="dxa"/>
            <w:noWrap w:val="0"/>
            <w:vAlign w:val="center"/>
          </w:tcPr>
          <w:p w14:paraId="1550D52E">
            <w:pPr>
              <w:keepNext w:val="0"/>
              <w:keepLines w:val="0"/>
              <w:widowControl w:val="0"/>
              <w:suppressLineNumbers w:val="0"/>
              <w:adjustRightInd w:val="0"/>
              <w:snapToGrid w:val="0"/>
              <w:spacing w:before="0" w:beforeAutospacing="0" w:after="0" w:afterAutospacing="0"/>
              <w:ind w:left="0" w:right="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港区采用吸尘式清扫车进行清扫作业</w:t>
            </w:r>
          </w:p>
        </w:tc>
        <w:tc>
          <w:tcPr>
            <w:tcW w:w="2257" w:type="dxa"/>
            <w:vMerge w:val="continue"/>
            <w:noWrap w:val="0"/>
            <w:vAlign w:val="center"/>
          </w:tcPr>
          <w:p w14:paraId="6D32B498">
            <w:pPr>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p>
        </w:tc>
      </w:tr>
      <w:tr w14:paraId="48469A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vMerge w:val="continue"/>
            <w:noWrap w:val="0"/>
            <w:vAlign w:val="center"/>
          </w:tcPr>
          <w:p w14:paraId="0C6CF4A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717" w:type="dxa"/>
            <w:vMerge w:val="continue"/>
            <w:noWrap w:val="0"/>
            <w:vAlign w:val="center"/>
          </w:tcPr>
          <w:p w14:paraId="372E6B8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5886" w:type="dxa"/>
            <w:noWrap w:val="0"/>
            <w:vAlign w:val="center"/>
          </w:tcPr>
          <w:p w14:paraId="55488EBF">
            <w:pPr>
              <w:keepNext w:val="0"/>
              <w:keepLines w:val="0"/>
              <w:widowControl w:val="0"/>
              <w:suppressLineNumbers w:val="0"/>
              <w:adjustRightInd w:val="0"/>
              <w:snapToGrid w:val="0"/>
              <w:spacing w:before="0" w:beforeAutospacing="0" w:after="0" w:afterAutospacing="0"/>
              <w:ind w:left="0" w:right="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货物采用绿色新能源车辆进行运输</w:t>
            </w:r>
          </w:p>
        </w:tc>
        <w:tc>
          <w:tcPr>
            <w:tcW w:w="2257" w:type="dxa"/>
            <w:vMerge w:val="continue"/>
            <w:noWrap w:val="0"/>
            <w:vAlign w:val="center"/>
          </w:tcPr>
          <w:p w14:paraId="245442BD">
            <w:pPr>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p>
        </w:tc>
      </w:tr>
      <w:tr w14:paraId="3A4791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vMerge w:val="continue"/>
            <w:noWrap w:val="0"/>
            <w:vAlign w:val="center"/>
          </w:tcPr>
          <w:p w14:paraId="0BBBF78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717" w:type="dxa"/>
            <w:vMerge w:val="continue"/>
            <w:noWrap w:val="0"/>
            <w:vAlign w:val="center"/>
          </w:tcPr>
          <w:p w14:paraId="3C956A2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5886" w:type="dxa"/>
            <w:noWrap w:val="0"/>
            <w:vAlign w:val="center"/>
          </w:tcPr>
          <w:p w14:paraId="6FEC1CCF">
            <w:pPr>
              <w:keepNext w:val="0"/>
              <w:keepLines w:val="0"/>
              <w:widowControl w:val="0"/>
              <w:suppressLineNumbers w:val="0"/>
              <w:adjustRightInd w:val="0"/>
              <w:snapToGrid w:val="0"/>
              <w:spacing w:before="0" w:beforeAutospacing="0" w:after="0" w:afterAutospacing="0"/>
              <w:ind w:left="0" w:right="0" w:firstLine="0" w:firstLine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港区安装粉尘在线监控系统</w:t>
            </w:r>
          </w:p>
        </w:tc>
        <w:tc>
          <w:tcPr>
            <w:tcW w:w="2257" w:type="dxa"/>
            <w:vMerge w:val="continue"/>
            <w:noWrap w:val="0"/>
            <w:vAlign w:val="center"/>
          </w:tcPr>
          <w:p w14:paraId="37307B30">
            <w:pPr>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p>
        </w:tc>
      </w:tr>
      <w:tr w14:paraId="1B9CF0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vMerge w:val="continue"/>
            <w:noWrap w:val="0"/>
            <w:vAlign w:val="center"/>
          </w:tcPr>
          <w:p w14:paraId="72583B4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717" w:type="dxa"/>
            <w:vMerge w:val="continue"/>
            <w:noWrap w:val="0"/>
            <w:vAlign w:val="center"/>
          </w:tcPr>
          <w:p w14:paraId="666CBD6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5886" w:type="dxa"/>
            <w:noWrap w:val="0"/>
            <w:vAlign w:val="center"/>
          </w:tcPr>
          <w:p w14:paraId="44F4727E">
            <w:pPr>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对出场车辆车轮进行冲洗并对进场</w:t>
            </w:r>
            <w:r>
              <w:rPr>
                <w:rFonts w:hint="default" w:ascii="Times New Roman" w:hAnsi="Times New Roman" w:eastAsia="宋体" w:cs="Times New Roman"/>
                <w:color w:val="auto"/>
                <w:kern w:val="2"/>
                <w:sz w:val="21"/>
                <w:szCs w:val="21"/>
                <w:lang w:val="en-US" w:eastAsia="zh-CN" w:bidi="ar-SA"/>
              </w:rPr>
              <w:t>道路进行洒水抑尘</w:t>
            </w:r>
          </w:p>
        </w:tc>
        <w:tc>
          <w:tcPr>
            <w:tcW w:w="2257" w:type="dxa"/>
            <w:vMerge w:val="continue"/>
            <w:noWrap w:val="0"/>
            <w:vAlign w:val="center"/>
          </w:tcPr>
          <w:p w14:paraId="2D8613BA">
            <w:pPr>
              <w:keepNext w:val="0"/>
              <w:keepLines w:val="0"/>
              <w:widowControl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p>
        </w:tc>
      </w:tr>
      <w:tr w14:paraId="0136F9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vMerge w:val="continue"/>
            <w:noWrap w:val="0"/>
            <w:vAlign w:val="center"/>
          </w:tcPr>
          <w:p w14:paraId="7CC0A2E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717" w:type="dxa"/>
            <w:noWrap w:val="0"/>
            <w:vAlign w:val="center"/>
          </w:tcPr>
          <w:p w14:paraId="437AA5F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噪声治理</w:t>
            </w:r>
          </w:p>
        </w:tc>
        <w:tc>
          <w:tcPr>
            <w:tcW w:w="5886" w:type="dxa"/>
            <w:noWrap w:val="0"/>
            <w:vAlign w:val="center"/>
          </w:tcPr>
          <w:p w14:paraId="6F4ED5B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采取绿化、隔声、减振等措施</w:t>
            </w:r>
          </w:p>
        </w:tc>
        <w:tc>
          <w:tcPr>
            <w:tcW w:w="2257" w:type="dxa"/>
            <w:noWrap w:val="0"/>
            <w:vAlign w:val="center"/>
          </w:tcPr>
          <w:p w14:paraId="1FDE854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cs="Times New Roman"/>
                <w:color w:val="auto"/>
                <w:lang w:eastAsia="zh-CN"/>
              </w:rPr>
              <w:t>厂</w:t>
            </w:r>
            <w:r>
              <w:rPr>
                <w:rFonts w:hint="eastAsia" w:ascii="Times New Roman" w:hAnsi="Times New Roman" w:eastAsia="宋体" w:cs="Times New Roman"/>
                <w:color w:val="auto"/>
              </w:rPr>
              <w:t>界</w:t>
            </w:r>
            <w:r>
              <w:rPr>
                <w:rFonts w:hint="default" w:ascii="Times New Roman" w:hAnsi="Times New Roman" w:eastAsia="宋体" w:cs="Times New Roman"/>
                <w:color w:val="auto"/>
              </w:rPr>
              <w:t>处噪声满足《工业企业厂界环境噪声排放标准》中相应标准要求</w:t>
            </w:r>
          </w:p>
        </w:tc>
      </w:tr>
      <w:tr w14:paraId="01B806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vMerge w:val="continue"/>
            <w:noWrap w:val="0"/>
            <w:vAlign w:val="center"/>
          </w:tcPr>
          <w:p w14:paraId="3F01134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717" w:type="dxa"/>
            <w:vMerge w:val="restart"/>
            <w:noWrap w:val="0"/>
            <w:vAlign w:val="center"/>
          </w:tcPr>
          <w:p w14:paraId="341B215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固废</w:t>
            </w:r>
          </w:p>
        </w:tc>
        <w:tc>
          <w:tcPr>
            <w:tcW w:w="5886" w:type="dxa"/>
            <w:noWrap w:val="0"/>
            <w:vAlign w:val="center"/>
          </w:tcPr>
          <w:p w14:paraId="2C00CEA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生活垃圾收集设施（垃圾桶等）</w:t>
            </w:r>
          </w:p>
        </w:tc>
        <w:tc>
          <w:tcPr>
            <w:tcW w:w="2257" w:type="dxa"/>
            <w:noWrap w:val="0"/>
            <w:vAlign w:val="center"/>
          </w:tcPr>
          <w:p w14:paraId="7F72F4D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妥善处置</w:t>
            </w:r>
          </w:p>
        </w:tc>
      </w:tr>
      <w:tr w14:paraId="17D2F8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vMerge w:val="continue"/>
            <w:noWrap w:val="0"/>
            <w:vAlign w:val="center"/>
          </w:tcPr>
          <w:p w14:paraId="63E432A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717" w:type="dxa"/>
            <w:vMerge w:val="continue"/>
            <w:noWrap w:val="0"/>
            <w:vAlign w:val="center"/>
          </w:tcPr>
          <w:p w14:paraId="4E20430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5886" w:type="dxa"/>
            <w:noWrap w:val="0"/>
            <w:vAlign w:val="center"/>
          </w:tcPr>
          <w:p w14:paraId="01BF667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eastAsia" w:ascii="Times New Roman" w:hAnsi="Times New Roman" w:eastAsia="宋体" w:cs="Times New Roman"/>
                <w:color w:val="auto"/>
              </w:rPr>
              <w:t>含油</w:t>
            </w:r>
            <w:r>
              <w:rPr>
                <w:rFonts w:hint="default" w:ascii="Times New Roman" w:hAnsi="Times New Roman" w:eastAsia="宋体" w:cs="Times New Roman"/>
                <w:color w:val="auto"/>
              </w:rPr>
              <w:t>污泥危险废物</w:t>
            </w:r>
            <w:r>
              <w:rPr>
                <w:rFonts w:hint="eastAsia" w:ascii="Times New Roman" w:hAnsi="Times New Roman" w:eastAsia="宋体" w:cs="Times New Roman"/>
                <w:color w:val="auto"/>
              </w:rPr>
              <w:t>暂存</w:t>
            </w:r>
            <w:r>
              <w:rPr>
                <w:rFonts w:hint="default" w:ascii="Times New Roman" w:hAnsi="Times New Roman" w:eastAsia="宋体" w:cs="Times New Roman"/>
                <w:color w:val="auto"/>
              </w:rPr>
              <w:t>于危险废物暂存库中</w:t>
            </w:r>
            <w:r>
              <w:rPr>
                <w:rFonts w:hint="eastAsia" w:ascii="Times New Roman" w:hAnsi="Times New Roman" w:eastAsia="宋体" w:cs="Times New Roman"/>
                <w:color w:val="auto"/>
              </w:rPr>
              <w:t>定期交</w:t>
            </w:r>
            <w:r>
              <w:rPr>
                <w:rFonts w:hint="default" w:ascii="Times New Roman" w:hAnsi="Times New Roman" w:eastAsia="宋体" w:cs="Times New Roman"/>
                <w:color w:val="auto"/>
              </w:rPr>
              <w:t>由有资质单位处理，码头内设置一处占地5m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的危险废物暂存间</w:t>
            </w:r>
          </w:p>
        </w:tc>
        <w:tc>
          <w:tcPr>
            <w:tcW w:w="2257" w:type="dxa"/>
            <w:noWrap w:val="0"/>
            <w:vAlign w:val="center"/>
          </w:tcPr>
          <w:p w14:paraId="384F975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rPr>
              <w:t>暂存于危险废物暂存库中，定期</w:t>
            </w:r>
            <w:r>
              <w:rPr>
                <w:rFonts w:hint="eastAsia" w:ascii="Times New Roman" w:hAnsi="Times New Roman" w:eastAsia="宋体" w:cs="Times New Roman"/>
                <w:color w:val="auto"/>
                <w:kern w:val="0"/>
              </w:rPr>
              <w:t>委托有资质的公司处理</w:t>
            </w:r>
          </w:p>
        </w:tc>
      </w:tr>
      <w:tr w14:paraId="00D64D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vMerge w:val="continue"/>
            <w:noWrap w:val="0"/>
            <w:vAlign w:val="center"/>
          </w:tcPr>
          <w:p w14:paraId="4D262BB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717" w:type="dxa"/>
            <w:vMerge w:val="continue"/>
            <w:noWrap w:val="0"/>
            <w:vAlign w:val="center"/>
          </w:tcPr>
          <w:p w14:paraId="3D7771E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5886" w:type="dxa"/>
            <w:noWrap w:val="0"/>
            <w:vAlign w:val="center"/>
          </w:tcPr>
          <w:p w14:paraId="27B82B0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一般工业固废应收集并交由当地环卫部门处理。</w:t>
            </w:r>
          </w:p>
        </w:tc>
        <w:tc>
          <w:tcPr>
            <w:tcW w:w="2257" w:type="dxa"/>
            <w:noWrap w:val="0"/>
            <w:vAlign w:val="center"/>
          </w:tcPr>
          <w:p w14:paraId="3A427C6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妥善处置</w:t>
            </w:r>
          </w:p>
        </w:tc>
      </w:tr>
      <w:tr w14:paraId="1BB00D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26" w:type="dxa"/>
            <w:vMerge w:val="continue"/>
            <w:noWrap w:val="0"/>
            <w:vAlign w:val="center"/>
          </w:tcPr>
          <w:p w14:paraId="32104C9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p>
        </w:tc>
        <w:tc>
          <w:tcPr>
            <w:tcW w:w="717" w:type="dxa"/>
            <w:noWrap w:val="0"/>
            <w:vAlign w:val="center"/>
          </w:tcPr>
          <w:p w14:paraId="11586E9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生态</w:t>
            </w:r>
          </w:p>
        </w:tc>
        <w:tc>
          <w:tcPr>
            <w:tcW w:w="5886" w:type="dxa"/>
            <w:noWrap w:val="0"/>
            <w:vAlign w:val="center"/>
          </w:tcPr>
          <w:p w14:paraId="4E598F6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委托有技术能力的部门进行鱼类资源恢复、增殖与资源监测工作</w:t>
            </w:r>
          </w:p>
        </w:tc>
        <w:tc>
          <w:tcPr>
            <w:tcW w:w="2257" w:type="dxa"/>
            <w:noWrap w:val="0"/>
            <w:vAlign w:val="center"/>
          </w:tcPr>
          <w:p w14:paraId="47FFEC7D">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rPr>
            </w:pPr>
            <w:r>
              <w:rPr>
                <w:rFonts w:hint="default" w:ascii="Times New Roman" w:hAnsi="Times New Roman" w:eastAsia="宋体" w:cs="Times New Roman"/>
                <w:color w:val="auto"/>
              </w:rPr>
              <w:t>按相关要求进行</w:t>
            </w:r>
          </w:p>
        </w:tc>
      </w:tr>
      <w:tr w14:paraId="15A4F9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43" w:type="dxa"/>
            <w:gridSpan w:val="2"/>
            <w:noWrap w:val="0"/>
            <w:vAlign w:val="center"/>
          </w:tcPr>
          <w:p w14:paraId="21D9408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环境风险应急设施</w:t>
            </w:r>
          </w:p>
        </w:tc>
        <w:tc>
          <w:tcPr>
            <w:tcW w:w="5886" w:type="dxa"/>
            <w:noWrap w:val="0"/>
            <w:vAlign w:val="center"/>
          </w:tcPr>
          <w:p w14:paraId="4C5FD0C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项目配备围油栏（长500m，满足不低于设计船型的</w:t>
            </w:r>
            <w:r>
              <w:rPr>
                <w:rFonts w:hint="eastAsia" w:ascii="Times New Roman" w:hAnsi="Times New Roman" w:eastAsia="宋体" w:cs="Times New Roman"/>
                <w:color w:val="auto"/>
              </w:rPr>
              <w:t>3倍船长</w:t>
            </w:r>
            <w:r>
              <w:rPr>
                <w:rFonts w:hint="default" w:ascii="Times New Roman" w:hAnsi="Times New Roman" w:eastAsia="宋体" w:cs="Times New Roman"/>
                <w:color w:val="auto"/>
              </w:rPr>
              <w:t>）、收油机（2</w:t>
            </w:r>
            <w:r>
              <w:rPr>
                <w:rFonts w:hint="eastAsia" w:ascii="Times New Roman" w:hAnsi="Times New Roman" w:eastAsia="宋体" w:cs="Times New Roman"/>
                <w:color w:val="auto"/>
              </w:rPr>
              <w:t>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/h</w:t>
            </w:r>
            <w:r>
              <w:rPr>
                <w:rFonts w:hint="eastAsia" w:ascii="Times New Roman" w:hAnsi="Times New Roman" w:eastAsia="宋体" w:cs="Times New Roman"/>
                <w:color w:val="auto"/>
              </w:rPr>
              <w:t>，</w:t>
            </w:r>
            <w:r>
              <w:rPr>
                <w:rFonts w:hint="default" w:ascii="Times New Roman" w:hAnsi="Times New Roman" w:eastAsia="宋体" w:cs="Times New Roman"/>
                <w:color w:val="auto"/>
              </w:rPr>
              <w:t>2</w:t>
            </w:r>
            <w:r>
              <w:rPr>
                <w:rFonts w:hint="eastAsia" w:ascii="Times New Roman" w:hAnsi="Times New Roman" w:eastAsia="宋体" w:cs="Times New Roman"/>
                <w:color w:val="auto"/>
              </w:rPr>
              <w:t>台</w:t>
            </w:r>
            <w:r>
              <w:rPr>
                <w:rFonts w:hint="default" w:ascii="Times New Roman" w:hAnsi="Times New Roman" w:eastAsia="宋体" w:cs="Times New Roman"/>
                <w:color w:val="auto"/>
              </w:rPr>
              <w:t>）</w:t>
            </w:r>
            <w:r>
              <w:rPr>
                <w:rFonts w:hint="eastAsia" w:ascii="Times New Roman" w:hAnsi="Times New Roman" w:eastAsia="宋体" w:cs="Times New Roman"/>
                <w:color w:val="auto"/>
              </w:rPr>
              <w:t>、油拖网（</w:t>
            </w:r>
            <w:r>
              <w:rPr>
                <w:rFonts w:hint="default" w:ascii="Times New Roman" w:hAnsi="Times New Roman" w:eastAsia="宋体" w:cs="Times New Roman"/>
                <w:color w:val="auto"/>
              </w:rPr>
              <w:t>1</w:t>
            </w:r>
            <w:r>
              <w:rPr>
                <w:rFonts w:hint="eastAsia" w:ascii="Times New Roman" w:hAnsi="Times New Roman" w:eastAsia="宋体" w:cs="Times New Roman"/>
                <w:color w:val="auto"/>
              </w:rPr>
              <w:t>套）、溢油分散剂（</w:t>
            </w:r>
            <w:r>
              <w:rPr>
                <w:rFonts w:hint="default" w:ascii="Times New Roman" w:hAnsi="Times New Roman" w:eastAsia="宋体" w:cs="Times New Roman"/>
                <w:color w:val="auto"/>
              </w:rPr>
              <w:t>1t</w:t>
            </w:r>
            <w:r>
              <w:rPr>
                <w:rFonts w:hint="eastAsia" w:ascii="Times New Roman" w:hAnsi="Times New Roman" w:eastAsia="宋体" w:cs="Times New Roman"/>
                <w:color w:val="auto"/>
              </w:rPr>
              <w:t>）、吸油毡（</w:t>
            </w:r>
            <w:r>
              <w:rPr>
                <w:rFonts w:hint="default" w:ascii="Times New Roman" w:hAnsi="Times New Roman" w:eastAsia="宋体" w:cs="Times New Roman"/>
                <w:color w:val="auto"/>
              </w:rPr>
              <w:t>1吨</w:t>
            </w:r>
            <w:r>
              <w:rPr>
                <w:rFonts w:hint="eastAsia" w:ascii="Times New Roman" w:hAnsi="Times New Roman" w:eastAsia="宋体" w:cs="Times New Roman"/>
                <w:color w:val="auto"/>
              </w:rPr>
              <w:t>）、溢油分散剂喷洒装置（1套）、装油桶（1m</w:t>
            </w:r>
            <w:r>
              <w:rPr>
                <w:rFonts w:hint="default" w:ascii="Times New Roman" w:hAnsi="Times New Roman" w:eastAsia="宋体" w:cs="Times New Roman"/>
                <w:color w:val="auto"/>
                <w:vertAlign w:val="superscript"/>
              </w:rPr>
              <w:t>3</w:t>
            </w:r>
            <w:r>
              <w:rPr>
                <w:rFonts w:hint="eastAsia" w:ascii="Times New Roman" w:hAnsi="Times New Roman" w:eastAsia="宋体" w:cs="Times New Roman"/>
                <w:color w:val="auto"/>
              </w:rPr>
              <w:t>，</w:t>
            </w:r>
            <w:r>
              <w:rPr>
                <w:rFonts w:hint="default" w:ascii="Times New Roman" w:hAnsi="Times New Roman" w:eastAsia="宋体" w:cs="Times New Roman"/>
                <w:color w:val="auto"/>
              </w:rPr>
              <w:t>1</w:t>
            </w:r>
            <w:r>
              <w:rPr>
                <w:rFonts w:hint="eastAsia" w:ascii="Times New Roman" w:hAnsi="Times New Roman" w:eastAsia="宋体" w:cs="Times New Roman"/>
                <w:color w:val="auto"/>
              </w:rPr>
              <w:t>台）环境风险应急物资</w:t>
            </w:r>
          </w:p>
        </w:tc>
        <w:tc>
          <w:tcPr>
            <w:tcW w:w="2257" w:type="dxa"/>
            <w:noWrap w:val="0"/>
            <w:vAlign w:val="center"/>
          </w:tcPr>
          <w:p w14:paraId="76C5E23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rPr>
            </w:pPr>
            <w:r>
              <w:rPr>
                <w:rFonts w:hint="default" w:ascii="Times New Roman" w:hAnsi="Times New Roman" w:eastAsia="宋体" w:cs="Times New Roman"/>
                <w:color w:val="auto"/>
              </w:rPr>
              <w:t>降低环境风险影响</w:t>
            </w:r>
          </w:p>
        </w:tc>
      </w:tr>
    </w:tbl>
    <w:p w14:paraId="2AA024F4">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307" w:name="_Toc25764"/>
      <w:r>
        <w:rPr>
          <w:rFonts w:hint="eastAsia" w:ascii="Times New Roman" w:hAnsi="Times New Roman" w:eastAsia="黑体" w:cs="Times New Roman"/>
          <w:bCs/>
          <w:color w:val="auto"/>
          <w:kern w:val="2"/>
          <w:sz w:val="30"/>
          <w:szCs w:val="32"/>
          <w:lang w:val="en-US" w:eastAsia="zh-CN" w:bidi="ar-SA"/>
        </w:rPr>
        <w:t>8.6</w:t>
      </w:r>
      <w:r>
        <w:rPr>
          <w:rFonts w:ascii="Times New Roman" w:hAnsi="Times New Roman" w:eastAsia="黑体" w:cs="Times New Roman"/>
          <w:bCs/>
          <w:color w:val="auto"/>
          <w:kern w:val="2"/>
          <w:sz w:val="30"/>
          <w:szCs w:val="32"/>
          <w:lang w:val="en-US" w:eastAsia="zh-CN" w:bidi="ar-SA"/>
        </w:rPr>
        <w:t>总量控制</w:t>
      </w:r>
      <w:bookmarkEnd w:id="307"/>
    </w:p>
    <w:p w14:paraId="3782ED70">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（1）废水污染物总量指标</w:t>
      </w:r>
    </w:p>
    <w:p w14:paraId="1837D015">
      <w:pPr>
        <w:widowControl w:val="0"/>
        <w:spacing w:after="0" w:line="360" w:lineRule="auto"/>
        <w:ind w:firstLine="480" w:firstLineChars="200"/>
        <w:jc w:val="both"/>
        <w:rPr>
          <w:rFonts w:ascii="宋体" w:hAnsi="宋体" w:eastAsia="宋体" w:cs="Times New Roman"/>
          <w:color w:val="auto"/>
          <w:kern w:val="2"/>
          <w:sz w:val="24"/>
          <w:szCs w:val="24"/>
          <w:lang w:val="en-US" w:eastAsia="zh-CN" w:bidi="ar-SA"/>
        </w:rPr>
      </w:pPr>
      <w:r>
        <w:rPr>
          <w:rFonts w:ascii="Times New Roman" w:hAnsi="Times New Roman" w:eastAsia="宋体" w:cs="Times New Roman"/>
          <w:color w:val="auto"/>
          <w:kern w:val="2"/>
          <w:sz w:val="24"/>
          <w:szCs w:val="20"/>
          <w:lang w:val="en-US" w:eastAsia="zh-CN" w:bidi="ar-SA"/>
        </w:rPr>
        <w:t>本项目到港船舶含油污水经接收设施接收后转运至码头平台设置的船舶含油污水储存罐，</w:t>
      </w:r>
      <w:r>
        <w:rPr>
          <w:rFonts w:hint="eastAsia" w:ascii="Times New Roman" w:hAnsi="Times New Roman" w:eastAsia="宋体" w:cs="Times New Roman"/>
          <w:color w:val="auto"/>
          <w:kern w:val="2"/>
          <w:sz w:val="24"/>
          <w:szCs w:val="20"/>
          <w:lang w:val="en-US" w:eastAsia="zh-CN" w:bidi="ar-SA"/>
        </w:rPr>
        <w:t>交由有资质单位处置</w:t>
      </w:r>
      <w:r>
        <w:rPr>
          <w:rFonts w:ascii="Times New Roman" w:hAnsi="Times New Roman" w:eastAsia="宋体" w:cs="Times New Roman"/>
          <w:color w:val="auto"/>
          <w:kern w:val="2"/>
          <w:sz w:val="24"/>
          <w:szCs w:val="20"/>
          <w:lang w:val="en-US" w:eastAsia="zh-CN" w:bidi="ar-SA"/>
        </w:rPr>
        <w:t>；到港船舶生活污水经码头区接收设施接收后</w:t>
      </w:r>
      <w:r>
        <w:rPr>
          <w:rFonts w:hint="eastAsia" w:ascii="Times New Roman" w:hAnsi="Times New Roman" w:eastAsia="宋体" w:cs="Times New Roman"/>
          <w:color w:val="auto"/>
          <w:kern w:val="2"/>
          <w:sz w:val="24"/>
          <w:szCs w:val="20"/>
          <w:lang w:val="en-US" w:eastAsia="zh-CN" w:bidi="ar-SA"/>
        </w:rPr>
        <w:t>转运至码头平台设置的船舶生活污水储存罐，定期就近转运至周边污水处理厂处理</w:t>
      </w:r>
      <w:r>
        <w:rPr>
          <w:rFonts w:ascii="Times New Roman" w:hAnsi="Times New Roman" w:eastAsia="宋体" w:cs="Times New Roman"/>
          <w:color w:val="auto"/>
          <w:kern w:val="2"/>
          <w:sz w:val="24"/>
          <w:szCs w:val="20"/>
          <w:lang w:val="en-US" w:eastAsia="zh-CN" w:bidi="ar-SA"/>
        </w:rPr>
        <w:t>；机械车辆冲洗水</w:t>
      </w:r>
      <w:r>
        <w:rPr>
          <w:rFonts w:hint="eastAsia" w:ascii="Times New Roman" w:hAnsi="Times New Roman" w:eastAsia="宋体" w:cs="Times New Roman"/>
          <w:color w:val="auto"/>
          <w:kern w:val="2"/>
          <w:sz w:val="24"/>
          <w:szCs w:val="20"/>
          <w:lang w:val="en-US" w:eastAsia="zh-CN" w:bidi="ar-SA"/>
        </w:rPr>
        <w:t>、</w:t>
      </w:r>
      <w:r>
        <w:rPr>
          <w:rFonts w:ascii="Times New Roman" w:hAnsi="Times New Roman" w:eastAsia="宋体" w:cs="Times New Roman"/>
          <w:color w:val="auto"/>
          <w:kern w:val="2"/>
          <w:sz w:val="24"/>
          <w:szCs w:val="20"/>
          <w:lang w:val="en-US" w:eastAsia="zh-CN" w:bidi="ar-SA"/>
        </w:rPr>
        <w:t>初期雨水</w:t>
      </w:r>
      <w:r>
        <w:rPr>
          <w:rFonts w:hint="eastAsia" w:ascii="Times New Roman" w:hAnsi="Times New Roman" w:eastAsia="宋体" w:cs="Times New Roman"/>
          <w:color w:val="auto"/>
          <w:kern w:val="2"/>
          <w:sz w:val="24"/>
          <w:szCs w:val="20"/>
          <w:lang w:val="en-US" w:eastAsia="zh-CN" w:bidi="ar-SA"/>
        </w:rPr>
        <w:t>，</w:t>
      </w:r>
      <w:r>
        <w:rPr>
          <w:rFonts w:ascii="Times New Roman" w:hAnsi="Times New Roman" w:eastAsia="宋体" w:cs="Times New Roman"/>
          <w:color w:val="auto"/>
          <w:kern w:val="2"/>
          <w:sz w:val="24"/>
          <w:szCs w:val="20"/>
          <w:lang w:val="en-US" w:eastAsia="zh-CN" w:bidi="ar-SA"/>
        </w:rPr>
        <w:t>码头地面冲洗</w:t>
      </w:r>
      <w:r>
        <w:rPr>
          <w:rFonts w:hint="eastAsia" w:ascii="Times New Roman" w:hAnsi="Times New Roman" w:eastAsia="宋体" w:cs="Times New Roman"/>
          <w:color w:val="auto"/>
          <w:kern w:val="2"/>
          <w:sz w:val="24"/>
          <w:szCs w:val="20"/>
          <w:lang w:val="en-US" w:eastAsia="zh-CN" w:bidi="ar-SA"/>
        </w:rPr>
        <w:t>废水经隔油沉淀池预处理后，进入一体化污水处理设备处理，</w:t>
      </w:r>
      <w:r>
        <w:rPr>
          <w:rFonts w:ascii="Times New Roman" w:hAnsi="Times New Roman" w:eastAsia="宋体" w:cs="Times New Roman"/>
          <w:color w:val="auto"/>
          <w:kern w:val="2"/>
          <w:sz w:val="24"/>
          <w:szCs w:val="20"/>
          <w:lang w:val="en-US" w:eastAsia="zh-CN" w:bidi="ar-SA"/>
        </w:rPr>
        <w:t>回用于码头</w:t>
      </w:r>
      <w:r>
        <w:rPr>
          <w:rFonts w:hint="eastAsia" w:ascii="Times New Roman" w:hAnsi="Times New Roman" w:eastAsia="宋体" w:cs="Times New Roman"/>
          <w:color w:val="auto"/>
          <w:kern w:val="2"/>
          <w:sz w:val="24"/>
          <w:szCs w:val="20"/>
          <w:lang w:val="en-US" w:eastAsia="zh-CN" w:bidi="ar-SA"/>
        </w:rPr>
        <w:t>地面</w:t>
      </w:r>
      <w:r>
        <w:rPr>
          <w:rFonts w:ascii="Times New Roman" w:hAnsi="Times New Roman" w:eastAsia="宋体" w:cs="Times New Roman"/>
          <w:color w:val="auto"/>
          <w:kern w:val="2"/>
          <w:sz w:val="24"/>
          <w:szCs w:val="20"/>
          <w:lang w:val="en-US" w:eastAsia="zh-CN" w:bidi="ar-SA"/>
        </w:rPr>
        <w:t>冲洗</w:t>
      </w:r>
      <w:r>
        <w:rPr>
          <w:rFonts w:hint="eastAsia" w:ascii="Times New Roman" w:hAnsi="Times New Roman" w:eastAsia="宋体" w:cs="Times New Roman"/>
          <w:color w:val="auto"/>
          <w:kern w:val="2"/>
          <w:sz w:val="24"/>
          <w:szCs w:val="20"/>
          <w:lang w:val="en-US" w:eastAsia="zh-CN" w:bidi="ar-SA"/>
        </w:rPr>
        <w:t>、道路喷洒、机械车辆冲洗及</w:t>
      </w:r>
      <w:r>
        <w:rPr>
          <w:rFonts w:ascii="Times New Roman" w:hAnsi="Times New Roman" w:eastAsia="宋体" w:cs="Times New Roman"/>
          <w:color w:val="auto"/>
          <w:kern w:val="2"/>
          <w:sz w:val="24"/>
          <w:szCs w:val="20"/>
          <w:lang w:val="en-US" w:eastAsia="zh-CN" w:bidi="ar-SA"/>
        </w:rPr>
        <w:t>绿化</w:t>
      </w:r>
      <w:r>
        <w:rPr>
          <w:rFonts w:hint="eastAsia" w:ascii="Times New Roman" w:hAnsi="Times New Roman" w:eastAsia="宋体" w:cs="Times New Roman"/>
          <w:color w:val="auto"/>
          <w:kern w:val="2"/>
          <w:sz w:val="24"/>
          <w:szCs w:val="20"/>
          <w:lang w:val="en-US" w:eastAsia="zh-CN" w:bidi="ar-SA"/>
        </w:rPr>
        <w:t>，不外排；</w:t>
      </w:r>
      <w:r>
        <w:rPr>
          <w:rFonts w:hint="eastAsia" w:ascii="Times New Roman" w:hAnsi="Times New Roman" w:eastAsia="宋体" w:cs="Times New Roman"/>
          <w:color w:val="auto"/>
          <w:kern w:val="2"/>
          <w:sz w:val="24"/>
          <w:szCs w:val="24"/>
          <w:lang w:val="en-US" w:eastAsia="zh-CN" w:bidi="ar-SA"/>
        </w:rPr>
        <w:t>码头人员生活污水利用周边已有旱厕，</w:t>
      </w:r>
      <w:r>
        <w:rPr>
          <w:rFonts w:hint="eastAsia" w:ascii="宋体" w:hAnsi="宋体" w:eastAsia="宋体" w:cs="Times New Roman"/>
          <w:color w:val="auto"/>
          <w:kern w:val="2"/>
          <w:sz w:val="24"/>
          <w:szCs w:val="24"/>
          <w:lang w:val="en-US" w:eastAsia="zh-CN" w:bidi="ar-SA"/>
        </w:rPr>
        <w:t>收集后用于当地农田或林地肥料，不外排</w:t>
      </w:r>
      <w:r>
        <w:rPr>
          <w:rFonts w:hint="eastAsia" w:ascii="Times New Roman" w:hAnsi="Times New Roman" w:eastAsia="宋体" w:cs="Times New Roman"/>
          <w:color w:val="auto"/>
          <w:kern w:val="2"/>
          <w:sz w:val="24"/>
          <w:szCs w:val="20"/>
          <w:lang w:val="en-US" w:eastAsia="zh-CN" w:bidi="ar-SA"/>
        </w:rPr>
        <w:t>。</w:t>
      </w:r>
    </w:p>
    <w:p w14:paraId="12F1AACC">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rPr>
        <w:t>因此，本项目无需申请</w:t>
      </w:r>
      <w:r>
        <w:rPr>
          <w:rFonts w:ascii="Times New Roman" w:hAnsi="Times New Roman" w:eastAsia="宋体" w:cs="Times New Roman"/>
          <w:color w:val="auto"/>
          <w:sz w:val="24"/>
          <w:szCs w:val="24"/>
        </w:rPr>
        <w:t>废水污染物总量指标。</w:t>
      </w:r>
    </w:p>
    <w:p w14:paraId="72B25369">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（2）废气</w:t>
      </w:r>
    </w:p>
    <w:p w14:paraId="5C1C3460">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本项目无组织排放粉尘总量为</w:t>
      </w:r>
      <w:r>
        <w:rPr>
          <w:rFonts w:hint="eastAsia" w:cs="Times New Roman"/>
          <w:color w:val="auto"/>
          <w:sz w:val="24"/>
          <w:szCs w:val="20"/>
          <w:lang w:val="en-US" w:eastAsia="zh-CN"/>
        </w:rPr>
        <w:t>1.618</w:t>
      </w:r>
      <w:r>
        <w:rPr>
          <w:rFonts w:ascii="Times New Roman" w:hAnsi="Times New Roman" w:eastAsia="宋体" w:cs="Times New Roman"/>
          <w:color w:val="auto"/>
          <w:sz w:val="24"/>
          <w:szCs w:val="20"/>
        </w:rPr>
        <w:t>t/a，无需申请</w:t>
      </w:r>
      <w:r>
        <w:rPr>
          <w:rFonts w:ascii="Times New Roman" w:hAnsi="Times New Roman" w:eastAsia="宋体" w:cs="Times New Roman"/>
          <w:color w:val="auto"/>
          <w:sz w:val="24"/>
          <w:szCs w:val="24"/>
        </w:rPr>
        <w:t>废气污染物总量指标。</w:t>
      </w:r>
    </w:p>
    <w:p w14:paraId="31343173">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308" w:name="_Toc2099"/>
      <w:r>
        <w:rPr>
          <w:rFonts w:hint="eastAsia" w:ascii="Times New Roman" w:hAnsi="Times New Roman" w:eastAsia="黑体" w:cs="Times New Roman"/>
          <w:bCs/>
          <w:color w:val="auto"/>
          <w:kern w:val="2"/>
          <w:sz w:val="30"/>
          <w:szCs w:val="32"/>
          <w:lang w:val="en-US" w:eastAsia="zh-CN" w:bidi="ar-SA"/>
        </w:rPr>
        <w:t>8.7污染物</w:t>
      </w:r>
      <w:r>
        <w:rPr>
          <w:rFonts w:ascii="Times New Roman" w:hAnsi="Times New Roman" w:eastAsia="黑体" w:cs="Times New Roman"/>
          <w:bCs/>
          <w:color w:val="auto"/>
          <w:kern w:val="2"/>
          <w:sz w:val="30"/>
          <w:szCs w:val="32"/>
          <w:lang w:val="en-US" w:eastAsia="zh-CN" w:bidi="ar-SA"/>
        </w:rPr>
        <w:t>排放管理</w:t>
      </w:r>
      <w:bookmarkEnd w:id="308"/>
    </w:p>
    <w:p w14:paraId="5BA4D430">
      <w:pPr>
        <w:widowControl/>
        <w:spacing w:line="360" w:lineRule="auto"/>
        <w:ind w:firstLine="480" w:firstLineChars="200"/>
        <w:jc w:val="left"/>
        <w:rPr>
          <w:rFonts w:ascii="Times New Roman" w:hAnsi="Times New Roman" w:eastAsia="宋体" w:cs="Times New Roman"/>
          <w:color w:val="auto"/>
          <w:sz w:val="24"/>
        </w:rPr>
      </w:pPr>
    </w:p>
    <w:p w14:paraId="395D6A07">
      <w:pPr>
        <w:widowControl/>
        <w:spacing w:line="360" w:lineRule="auto"/>
        <w:ind w:firstLine="480" w:firstLineChars="200"/>
        <w:jc w:val="left"/>
        <w:rPr>
          <w:color w:val="auto"/>
          <w:sz w:val="24"/>
        </w:rPr>
        <w:sectPr>
          <w:pgSz w:w="11906" w:h="16838"/>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485AD96C">
      <w:pPr>
        <w:widowControl/>
        <w:spacing w:line="400" w:lineRule="exact"/>
        <w:jc w:val="center"/>
        <w:rPr>
          <w:rFonts w:ascii="Times New Roman" w:hAnsi="Times New Roman" w:eastAsia="黑体" w:cs="Times New Roman"/>
          <w:color w:val="auto"/>
          <w:sz w:val="24"/>
        </w:rPr>
      </w:pPr>
      <w:r>
        <w:rPr>
          <w:rFonts w:hint="eastAsia" w:eastAsia="黑体" w:cs="Times New Roman"/>
          <w:color w:val="auto"/>
          <w:sz w:val="24"/>
          <w:lang w:val="en-US" w:eastAsia="zh-CN"/>
        </w:rPr>
        <w:t>表</w:t>
      </w:r>
      <w:r>
        <w:rPr>
          <w:rFonts w:ascii="Times New Roman" w:hAnsi="Times New Roman" w:eastAsia="黑体" w:cs="Times New Roman"/>
          <w:color w:val="auto"/>
          <w:sz w:val="24"/>
        </w:rPr>
        <w:t>8.7-1  项目污染物排放清单一览表</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559"/>
        <w:gridCol w:w="1276"/>
        <w:gridCol w:w="3969"/>
        <w:gridCol w:w="1087"/>
        <w:gridCol w:w="897"/>
        <w:gridCol w:w="993"/>
        <w:gridCol w:w="3478"/>
      </w:tblGrid>
      <w:tr w14:paraId="232A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9" w:type="dxa"/>
            <w:vMerge w:val="restart"/>
            <w:tcBorders>
              <w:top w:val="single" w:color="auto" w:sz="12" w:space="0"/>
              <w:left w:val="nil"/>
            </w:tcBorders>
            <w:noWrap w:val="0"/>
            <w:vAlign w:val="center"/>
          </w:tcPr>
          <w:p w14:paraId="6A782DD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污染源</w:t>
            </w:r>
          </w:p>
        </w:tc>
        <w:tc>
          <w:tcPr>
            <w:tcW w:w="2835" w:type="dxa"/>
            <w:gridSpan w:val="2"/>
            <w:vMerge w:val="restart"/>
            <w:tcBorders>
              <w:top w:val="single" w:color="auto" w:sz="12" w:space="0"/>
            </w:tcBorders>
            <w:noWrap w:val="0"/>
            <w:vAlign w:val="center"/>
          </w:tcPr>
          <w:p w14:paraId="49AD4A1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污染物</w:t>
            </w:r>
          </w:p>
        </w:tc>
        <w:tc>
          <w:tcPr>
            <w:tcW w:w="3969" w:type="dxa"/>
            <w:vMerge w:val="restart"/>
            <w:tcBorders>
              <w:top w:val="single" w:color="auto" w:sz="12" w:space="0"/>
            </w:tcBorders>
            <w:noWrap w:val="0"/>
            <w:vAlign w:val="center"/>
          </w:tcPr>
          <w:p w14:paraId="36717624">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治理措施及运行参数</w:t>
            </w:r>
          </w:p>
        </w:tc>
        <w:tc>
          <w:tcPr>
            <w:tcW w:w="2977" w:type="dxa"/>
            <w:gridSpan w:val="3"/>
            <w:tcBorders>
              <w:top w:val="single" w:color="auto" w:sz="12" w:space="0"/>
            </w:tcBorders>
            <w:noWrap w:val="0"/>
            <w:vAlign w:val="center"/>
          </w:tcPr>
          <w:p w14:paraId="1925DC07">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排放情况</w:t>
            </w:r>
          </w:p>
        </w:tc>
        <w:tc>
          <w:tcPr>
            <w:tcW w:w="3478" w:type="dxa"/>
            <w:vMerge w:val="restart"/>
            <w:tcBorders>
              <w:top w:val="single" w:color="auto" w:sz="12" w:space="0"/>
              <w:right w:val="nil"/>
            </w:tcBorders>
            <w:noWrap w:val="0"/>
            <w:vAlign w:val="center"/>
          </w:tcPr>
          <w:p w14:paraId="6DC48E28">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标准及要求</w:t>
            </w:r>
          </w:p>
        </w:tc>
      </w:tr>
      <w:tr w14:paraId="5CE8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9" w:type="dxa"/>
            <w:vMerge w:val="continue"/>
            <w:tcBorders>
              <w:left w:val="nil"/>
            </w:tcBorders>
            <w:noWrap w:val="0"/>
            <w:vAlign w:val="center"/>
          </w:tcPr>
          <w:p w14:paraId="2B0D6FA8">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2835" w:type="dxa"/>
            <w:gridSpan w:val="2"/>
            <w:vMerge w:val="continue"/>
            <w:noWrap w:val="0"/>
            <w:vAlign w:val="center"/>
          </w:tcPr>
          <w:p w14:paraId="4EA3F129">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p>
        </w:tc>
        <w:tc>
          <w:tcPr>
            <w:tcW w:w="3969" w:type="dxa"/>
            <w:vMerge w:val="continue"/>
            <w:noWrap w:val="0"/>
            <w:vAlign w:val="center"/>
          </w:tcPr>
          <w:p w14:paraId="14CE971D">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1087" w:type="dxa"/>
            <w:noWrap w:val="0"/>
            <w:vAlign w:val="center"/>
          </w:tcPr>
          <w:p w14:paraId="11665C42">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浓度（mg/m</w:t>
            </w:r>
            <w:r>
              <w:rPr>
                <w:rFonts w:hint="default" w:ascii="Times New Roman" w:hAnsi="Times New Roman" w:eastAsia="宋体" w:cs="Times New Roman"/>
                <w:b/>
                <w:bCs/>
                <w:color w:val="auto"/>
                <w:vertAlign w:val="superscript"/>
              </w:rPr>
              <w:t>3</w:t>
            </w:r>
            <w:r>
              <w:rPr>
                <w:rFonts w:hint="default" w:ascii="Times New Roman" w:hAnsi="Times New Roman" w:eastAsia="宋体" w:cs="Times New Roman"/>
                <w:b/>
                <w:bCs/>
                <w:color w:val="auto"/>
              </w:rPr>
              <w:t>）</w:t>
            </w:r>
          </w:p>
        </w:tc>
        <w:tc>
          <w:tcPr>
            <w:tcW w:w="897" w:type="dxa"/>
            <w:noWrap w:val="0"/>
            <w:vAlign w:val="center"/>
          </w:tcPr>
          <w:p w14:paraId="3DCA4DDF">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速率（kg/h）</w:t>
            </w:r>
          </w:p>
        </w:tc>
        <w:tc>
          <w:tcPr>
            <w:tcW w:w="993" w:type="dxa"/>
            <w:noWrap w:val="0"/>
            <w:vAlign w:val="center"/>
          </w:tcPr>
          <w:p w14:paraId="7447C8E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排放量（t/a）</w:t>
            </w:r>
          </w:p>
        </w:tc>
        <w:tc>
          <w:tcPr>
            <w:tcW w:w="3478" w:type="dxa"/>
            <w:vMerge w:val="continue"/>
            <w:tcBorders>
              <w:right w:val="nil"/>
            </w:tcBorders>
            <w:noWrap w:val="0"/>
            <w:vAlign w:val="center"/>
          </w:tcPr>
          <w:p w14:paraId="7FF0E9C8">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r>
      <w:tr w14:paraId="07A5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9" w:type="dxa"/>
            <w:vMerge w:val="restart"/>
            <w:tcBorders>
              <w:left w:val="nil"/>
            </w:tcBorders>
            <w:noWrap w:val="0"/>
            <w:vAlign w:val="center"/>
          </w:tcPr>
          <w:p w14:paraId="34341F9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废气</w:t>
            </w:r>
          </w:p>
        </w:tc>
        <w:tc>
          <w:tcPr>
            <w:tcW w:w="1559" w:type="dxa"/>
            <w:noWrap w:val="0"/>
            <w:vAlign w:val="center"/>
          </w:tcPr>
          <w:p w14:paraId="46350DC7">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码头</w:t>
            </w:r>
            <w:r>
              <w:rPr>
                <w:rFonts w:hint="default" w:ascii="Times New Roman" w:hAnsi="Times New Roman" w:eastAsia="宋体" w:cs="Times New Roman"/>
                <w:color w:val="auto"/>
              </w:rPr>
              <w:t>道路扬尘</w:t>
            </w:r>
          </w:p>
        </w:tc>
        <w:tc>
          <w:tcPr>
            <w:tcW w:w="1276" w:type="dxa"/>
            <w:noWrap w:val="0"/>
            <w:vAlign w:val="center"/>
          </w:tcPr>
          <w:p w14:paraId="4B39DEC3">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T</w:t>
            </w:r>
            <w:r>
              <w:rPr>
                <w:rFonts w:hint="default" w:ascii="Times New Roman" w:hAnsi="Times New Roman" w:eastAsia="宋体" w:cs="Times New Roman"/>
                <w:color w:val="auto"/>
              </w:rPr>
              <w:t>SP</w:t>
            </w:r>
          </w:p>
        </w:tc>
        <w:tc>
          <w:tcPr>
            <w:tcW w:w="3969" w:type="dxa"/>
            <w:noWrap w:val="0"/>
            <w:vAlign w:val="center"/>
          </w:tcPr>
          <w:p w14:paraId="7C109C78">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宋体" w:hAnsi="Times New Roman" w:eastAsia="宋体" w:cs="宋体"/>
                <w:color w:val="auto"/>
                <w:kern w:val="0"/>
              </w:rPr>
            </w:pPr>
            <w:r>
              <w:rPr>
                <w:rFonts w:hint="default" w:ascii="宋体" w:hAnsi="Times New Roman" w:eastAsia="宋体" w:cs="宋体"/>
                <w:color w:val="auto"/>
                <w:kern w:val="0"/>
              </w:rPr>
              <w:t>吸尘式清扫车清扫作业平台及道路，运输道路定期洒水抑尘</w:t>
            </w:r>
          </w:p>
        </w:tc>
        <w:tc>
          <w:tcPr>
            <w:tcW w:w="1087" w:type="dxa"/>
            <w:noWrap w:val="0"/>
            <w:vAlign w:val="center"/>
          </w:tcPr>
          <w:p w14:paraId="2A67A1C0">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w:t>
            </w:r>
          </w:p>
        </w:tc>
        <w:tc>
          <w:tcPr>
            <w:tcW w:w="897" w:type="dxa"/>
            <w:noWrap w:val="0"/>
            <w:vAlign w:val="center"/>
          </w:tcPr>
          <w:p w14:paraId="280EDBCD">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default" w:ascii="Times New Roman" w:hAnsi="Times New Roman" w:eastAsia="宋体" w:cs="Times New Roman"/>
                <w:color w:val="auto"/>
              </w:rPr>
              <w:t>0.006</w:t>
            </w:r>
          </w:p>
        </w:tc>
        <w:tc>
          <w:tcPr>
            <w:tcW w:w="993" w:type="dxa"/>
            <w:noWrap w:val="0"/>
            <w:vAlign w:val="center"/>
          </w:tcPr>
          <w:p w14:paraId="09C2B59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default" w:ascii="Times New Roman" w:hAnsi="Times New Roman" w:eastAsia="宋体" w:cs="Times New Roman"/>
                <w:color w:val="auto"/>
              </w:rPr>
              <w:t>0.030</w:t>
            </w:r>
          </w:p>
        </w:tc>
        <w:tc>
          <w:tcPr>
            <w:tcW w:w="3478" w:type="dxa"/>
            <w:vMerge w:val="restart"/>
            <w:tcBorders>
              <w:right w:val="nil"/>
            </w:tcBorders>
            <w:noWrap w:val="0"/>
            <w:vAlign w:val="center"/>
          </w:tcPr>
          <w:p w14:paraId="619757B6">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《大气污染物综合排放标准》</w:t>
            </w:r>
          </w:p>
          <w:p w14:paraId="089ACA3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w:t>
            </w:r>
            <w:r>
              <w:rPr>
                <w:rFonts w:hint="default" w:ascii="Times New Roman" w:hAnsi="Times New Roman" w:eastAsia="宋体" w:cs="Times New Roman"/>
                <w:color w:val="auto"/>
              </w:rPr>
              <w:t>GB16297-1996</w:t>
            </w:r>
            <w:r>
              <w:rPr>
                <w:rFonts w:hint="eastAsia" w:ascii="Times New Roman" w:hAnsi="Times New Roman" w:eastAsia="宋体" w:cs="Times New Roman"/>
                <w:color w:val="auto"/>
              </w:rPr>
              <w:t>）</w:t>
            </w:r>
          </w:p>
        </w:tc>
      </w:tr>
      <w:tr w14:paraId="79EC0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9" w:type="dxa"/>
            <w:vMerge w:val="continue"/>
            <w:tcBorders>
              <w:left w:val="nil"/>
            </w:tcBorders>
            <w:noWrap w:val="0"/>
            <w:vAlign w:val="center"/>
          </w:tcPr>
          <w:p w14:paraId="689DA8D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1559" w:type="dxa"/>
            <w:noWrap w:val="0"/>
            <w:vAlign w:val="center"/>
          </w:tcPr>
          <w:p w14:paraId="0E260539">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default" w:ascii="Times New Roman" w:hAnsi="Times New Roman" w:eastAsia="宋体" w:cs="Times New Roman"/>
                <w:color w:val="auto"/>
              </w:rPr>
              <w:t>码头装卸扬尘</w:t>
            </w:r>
          </w:p>
        </w:tc>
        <w:tc>
          <w:tcPr>
            <w:tcW w:w="1276" w:type="dxa"/>
            <w:noWrap w:val="0"/>
            <w:vAlign w:val="center"/>
          </w:tcPr>
          <w:p w14:paraId="1E4B9778">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T</w:t>
            </w:r>
            <w:r>
              <w:rPr>
                <w:rFonts w:hint="default" w:ascii="Times New Roman" w:hAnsi="Times New Roman" w:eastAsia="宋体" w:cs="Times New Roman"/>
                <w:color w:val="auto"/>
              </w:rPr>
              <w:t>SP</w:t>
            </w:r>
          </w:p>
        </w:tc>
        <w:tc>
          <w:tcPr>
            <w:tcW w:w="3969" w:type="dxa"/>
            <w:noWrap w:val="0"/>
            <w:vAlign w:val="center"/>
          </w:tcPr>
          <w:p w14:paraId="52ADB651">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宋体" w:hAnsi="Times New Roman" w:eastAsia="宋体" w:cs="宋体"/>
                <w:color w:val="auto"/>
                <w:kern w:val="0"/>
              </w:rPr>
            </w:pPr>
            <w:r>
              <w:rPr>
                <w:rFonts w:hint="eastAsia" w:ascii="宋体" w:hAnsi="Times New Roman" w:eastAsia="宋体" w:cs="宋体"/>
                <w:color w:val="auto"/>
                <w:kern w:val="0"/>
              </w:rPr>
              <w:t>装船</w:t>
            </w:r>
            <w:r>
              <w:rPr>
                <w:rFonts w:hint="default" w:ascii="宋体" w:hAnsi="Times New Roman" w:eastAsia="宋体" w:cs="宋体"/>
                <w:color w:val="auto"/>
                <w:kern w:val="0"/>
              </w:rPr>
              <w:t>机头部设置密闭罩及</w:t>
            </w:r>
            <w:r>
              <w:rPr>
                <w:rFonts w:hint="eastAsia" w:ascii="宋体" w:hAnsi="Times New Roman" w:eastAsia="宋体" w:cs="宋体"/>
                <w:color w:val="auto"/>
                <w:kern w:val="0"/>
              </w:rPr>
              <w:t>泊位</w:t>
            </w:r>
            <w:r>
              <w:rPr>
                <w:rFonts w:hint="default" w:ascii="宋体" w:hAnsi="Times New Roman" w:eastAsia="宋体" w:cs="宋体"/>
                <w:color w:val="auto"/>
                <w:kern w:val="0"/>
              </w:rPr>
              <w:t>设置喷雾抑尘系统、卸料漏斗设置喷雾抑尘系统</w:t>
            </w:r>
          </w:p>
        </w:tc>
        <w:tc>
          <w:tcPr>
            <w:tcW w:w="1087" w:type="dxa"/>
            <w:noWrap w:val="0"/>
            <w:vAlign w:val="center"/>
          </w:tcPr>
          <w:p w14:paraId="17ED47A9">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w:t>
            </w:r>
          </w:p>
        </w:tc>
        <w:tc>
          <w:tcPr>
            <w:tcW w:w="897" w:type="dxa"/>
            <w:noWrap w:val="0"/>
            <w:vAlign w:val="center"/>
          </w:tcPr>
          <w:p w14:paraId="4EFDD4E6">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0.722</w:t>
            </w:r>
          </w:p>
        </w:tc>
        <w:tc>
          <w:tcPr>
            <w:tcW w:w="993" w:type="dxa"/>
            <w:noWrap w:val="0"/>
            <w:vAlign w:val="center"/>
          </w:tcPr>
          <w:p w14:paraId="43D448E4">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2.427</w:t>
            </w:r>
          </w:p>
        </w:tc>
        <w:tc>
          <w:tcPr>
            <w:tcW w:w="3478" w:type="dxa"/>
            <w:vMerge w:val="continue"/>
            <w:tcBorders>
              <w:right w:val="nil"/>
            </w:tcBorders>
            <w:noWrap w:val="0"/>
            <w:vAlign w:val="center"/>
          </w:tcPr>
          <w:p w14:paraId="7F817243">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r>
      <w:tr w14:paraId="14D6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9" w:type="dxa"/>
            <w:vMerge w:val="restart"/>
            <w:tcBorders>
              <w:left w:val="nil"/>
            </w:tcBorders>
            <w:noWrap w:val="0"/>
            <w:vAlign w:val="center"/>
          </w:tcPr>
          <w:p w14:paraId="2B72FEBC">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废水</w:t>
            </w:r>
          </w:p>
        </w:tc>
        <w:tc>
          <w:tcPr>
            <w:tcW w:w="1559" w:type="dxa"/>
            <w:noWrap w:val="0"/>
            <w:vAlign w:val="center"/>
          </w:tcPr>
          <w:p w14:paraId="6E5C870F">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船舶含油污水</w:t>
            </w:r>
          </w:p>
        </w:tc>
        <w:tc>
          <w:tcPr>
            <w:tcW w:w="1276" w:type="dxa"/>
            <w:noWrap w:val="0"/>
            <w:vAlign w:val="center"/>
          </w:tcPr>
          <w:p w14:paraId="025BCA3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COD</w:t>
            </w:r>
            <w:r>
              <w:rPr>
                <w:rFonts w:hint="eastAsia" w:ascii="Times New Roman" w:hAnsi="Times New Roman" w:eastAsia="宋体" w:cs="Times New Roman"/>
                <w:color w:val="auto"/>
              </w:rPr>
              <w:t>、</w:t>
            </w:r>
            <w:r>
              <w:rPr>
                <w:rFonts w:hint="default" w:ascii="Times New Roman" w:hAnsi="Times New Roman" w:eastAsia="宋体" w:cs="Times New Roman"/>
                <w:color w:val="auto"/>
              </w:rPr>
              <w:t>石油类</w:t>
            </w:r>
          </w:p>
        </w:tc>
        <w:tc>
          <w:tcPr>
            <w:tcW w:w="3969" w:type="dxa"/>
            <w:noWrap w:val="0"/>
            <w:vAlign w:val="center"/>
          </w:tcPr>
          <w:p w14:paraId="2589655A">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宋体" w:hAnsi="Times New Roman" w:eastAsia="宋体" w:cs="宋体"/>
                <w:color w:val="auto"/>
                <w:kern w:val="0"/>
              </w:rPr>
            </w:pPr>
            <w:r>
              <w:rPr>
                <w:rFonts w:hint="eastAsia" w:ascii="宋体" w:hAnsi="Times New Roman" w:eastAsia="宋体" w:cs="宋体"/>
                <w:color w:val="auto"/>
                <w:kern w:val="0"/>
              </w:rPr>
              <w:t>经码头设置的接收设施接收后，进入船舶含油污水储存罐，交由有资质单位处置</w:t>
            </w:r>
          </w:p>
        </w:tc>
        <w:tc>
          <w:tcPr>
            <w:tcW w:w="1087" w:type="dxa"/>
            <w:noWrap w:val="0"/>
            <w:vAlign w:val="center"/>
          </w:tcPr>
          <w:p w14:paraId="623B27AD">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c>
          <w:tcPr>
            <w:tcW w:w="897" w:type="dxa"/>
            <w:noWrap w:val="0"/>
            <w:vAlign w:val="center"/>
          </w:tcPr>
          <w:p w14:paraId="5D8AFB3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c>
          <w:tcPr>
            <w:tcW w:w="993" w:type="dxa"/>
            <w:noWrap w:val="0"/>
            <w:vAlign w:val="center"/>
          </w:tcPr>
          <w:p w14:paraId="414FAB2A">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c>
          <w:tcPr>
            <w:tcW w:w="3478" w:type="dxa"/>
            <w:vMerge w:val="restart"/>
            <w:tcBorders>
              <w:right w:val="nil"/>
            </w:tcBorders>
            <w:noWrap w:val="0"/>
            <w:vAlign w:val="center"/>
          </w:tcPr>
          <w:p w14:paraId="1A61B0D3">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不外排</w:t>
            </w:r>
          </w:p>
        </w:tc>
      </w:tr>
      <w:tr w14:paraId="6AF4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9" w:type="dxa"/>
            <w:vMerge w:val="continue"/>
            <w:tcBorders>
              <w:left w:val="nil"/>
            </w:tcBorders>
            <w:noWrap w:val="0"/>
            <w:vAlign w:val="center"/>
          </w:tcPr>
          <w:p w14:paraId="4FB6DFC2">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1559" w:type="dxa"/>
            <w:noWrap w:val="0"/>
            <w:vAlign w:val="center"/>
          </w:tcPr>
          <w:p w14:paraId="6E33317D">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船舶生活污水</w:t>
            </w:r>
          </w:p>
        </w:tc>
        <w:tc>
          <w:tcPr>
            <w:tcW w:w="1276" w:type="dxa"/>
            <w:noWrap w:val="0"/>
            <w:vAlign w:val="center"/>
          </w:tcPr>
          <w:p w14:paraId="0D3E3B3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C</w:t>
            </w:r>
            <w:r>
              <w:rPr>
                <w:rFonts w:hint="default" w:ascii="Times New Roman" w:hAnsi="Times New Roman" w:eastAsia="宋体" w:cs="Times New Roman"/>
                <w:color w:val="auto"/>
              </w:rPr>
              <w:t>OD、SS、氨氮</w:t>
            </w:r>
          </w:p>
        </w:tc>
        <w:tc>
          <w:tcPr>
            <w:tcW w:w="3969" w:type="dxa"/>
            <w:noWrap w:val="0"/>
            <w:vAlign w:val="center"/>
          </w:tcPr>
          <w:p w14:paraId="77B05007">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default" w:ascii="宋体" w:hAnsi="Times New Roman" w:eastAsia="宋体" w:cs="宋体"/>
                <w:color w:val="auto"/>
                <w:kern w:val="0"/>
              </w:rPr>
            </w:pPr>
            <w:r>
              <w:rPr>
                <w:rFonts w:hint="eastAsia" w:ascii="宋体" w:hAnsi="Times New Roman" w:eastAsia="宋体" w:cs="宋体"/>
                <w:color w:val="auto"/>
                <w:kern w:val="0"/>
              </w:rPr>
              <w:t>经码头设置的船舶污水接收设施接收后，进入船舶生活污水储存罐，定期就近转运至周边污水处理厂处理</w:t>
            </w:r>
          </w:p>
        </w:tc>
        <w:tc>
          <w:tcPr>
            <w:tcW w:w="1087" w:type="dxa"/>
            <w:vMerge w:val="restart"/>
            <w:noWrap w:val="0"/>
            <w:vAlign w:val="center"/>
          </w:tcPr>
          <w:p w14:paraId="5A58E6D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c>
          <w:tcPr>
            <w:tcW w:w="897" w:type="dxa"/>
            <w:vMerge w:val="restart"/>
            <w:noWrap w:val="0"/>
            <w:vAlign w:val="center"/>
          </w:tcPr>
          <w:p w14:paraId="2B4D3A33">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c>
          <w:tcPr>
            <w:tcW w:w="993" w:type="dxa"/>
            <w:vMerge w:val="restart"/>
            <w:noWrap w:val="0"/>
            <w:vAlign w:val="center"/>
          </w:tcPr>
          <w:p w14:paraId="0BA317E8">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c>
          <w:tcPr>
            <w:tcW w:w="3478" w:type="dxa"/>
            <w:vMerge w:val="continue"/>
            <w:tcBorders>
              <w:right w:val="nil"/>
            </w:tcBorders>
            <w:noWrap w:val="0"/>
            <w:vAlign w:val="center"/>
          </w:tcPr>
          <w:p w14:paraId="53427FCF">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r>
      <w:tr w14:paraId="328E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9" w:type="dxa"/>
            <w:vMerge w:val="continue"/>
            <w:tcBorders>
              <w:left w:val="nil"/>
            </w:tcBorders>
            <w:noWrap w:val="0"/>
            <w:vAlign w:val="center"/>
          </w:tcPr>
          <w:p w14:paraId="7CC9362B">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1559" w:type="dxa"/>
            <w:noWrap w:val="0"/>
            <w:vAlign w:val="center"/>
          </w:tcPr>
          <w:p w14:paraId="424D3DCB">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码头员工生活污水</w:t>
            </w:r>
          </w:p>
        </w:tc>
        <w:tc>
          <w:tcPr>
            <w:tcW w:w="1276" w:type="dxa"/>
            <w:noWrap w:val="0"/>
            <w:vAlign w:val="center"/>
          </w:tcPr>
          <w:p w14:paraId="7F917570">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C</w:t>
            </w:r>
            <w:r>
              <w:rPr>
                <w:rFonts w:hint="default" w:ascii="Times New Roman" w:hAnsi="Times New Roman" w:eastAsia="宋体" w:cs="Times New Roman"/>
                <w:color w:val="auto"/>
              </w:rPr>
              <w:t>OD、SS、氨氮</w:t>
            </w:r>
          </w:p>
        </w:tc>
        <w:tc>
          <w:tcPr>
            <w:tcW w:w="3969" w:type="dxa"/>
            <w:noWrap w:val="0"/>
            <w:vAlign w:val="center"/>
          </w:tcPr>
          <w:p w14:paraId="3CDD277A">
            <w:pPr>
              <w:keepNext w:val="0"/>
              <w:keepLines w:val="0"/>
              <w:pageBreakBefore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宋体" w:hAnsi="Times New Roman" w:eastAsia="宋体" w:cs="宋体"/>
                <w:color w:val="auto"/>
                <w:kern w:val="0"/>
              </w:rPr>
            </w:pPr>
            <w:r>
              <w:rPr>
                <w:rFonts w:hint="default" w:ascii="Times New Roman" w:hAnsi="Times New Roman" w:eastAsia="宋体" w:cs="Times New Roman"/>
                <w:color w:val="auto"/>
              </w:rPr>
              <w:t>码头员工生活污水</w:t>
            </w:r>
            <w:r>
              <w:rPr>
                <w:rFonts w:hint="eastAsia" w:ascii="宋体" w:hAnsi="Times New Roman" w:eastAsia="宋体" w:cs="宋体"/>
                <w:color w:val="auto"/>
                <w:kern w:val="0"/>
              </w:rPr>
              <w:t>利用周边已有旱厕，收集后用于当地农田或林地肥料</w:t>
            </w:r>
          </w:p>
        </w:tc>
        <w:tc>
          <w:tcPr>
            <w:tcW w:w="1087" w:type="dxa"/>
            <w:vMerge w:val="continue"/>
            <w:noWrap w:val="0"/>
            <w:vAlign w:val="center"/>
          </w:tcPr>
          <w:p w14:paraId="737C37D2">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897" w:type="dxa"/>
            <w:vMerge w:val="continue"/>
            <w:noWrap w:val="0"/>
            <w:vAlign w:val="center"/>
          </w:tcPr>
          <w:p w14:paraId="7B690181">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993" w:type="dxa"/>
            <w:vMerge w:val="continue"/>
            <w:noWrap w:val="0"/>
            <w:vAlign w:val="center"/>
          </w:tcPr>
          <w:p w14:paraId="3F41B2AB">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3478" w:type="dxa"/>
            <w:vMerge w:val="continue"/>
            <w:tcBorders>
              <w:right w:val="nil"/>
            </w:tcBorders>
            <w:noWrap w:val="0"/>
            <w:vAlign w:val="center"/>
          </w:tcPr>
          <w:p w14:paraId="6F797C8D">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r>
      <w:tr w14:paraId="41DF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9" w:type="dxa"/>
            <w:vMerge w:val="continue"/>
            <w:tcBorders>
              <w:left w:val="nil"/>
            </w:tcBorders>
            <w:noWrap w:val="0"/>
            <w:vAlign w:val="center"/>
          </w:tcPr>
          <w:p w14:paraId="7958506C">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1559" w:type="dxa"/>
            <w:noWrap w:val="0"/>
            <w:vAlign w:val="center"/>
          </w:tcPr>
          <w:p w14:paraId="434DCD0D">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default" w:ascii="Times New Roman" w:hAnsi="Times New Roman" w:eastAsia="宋体" w:cs="Times New Roman"/>
                <w:color w:val="auto"/>
              </w:rPr>
              <w:t>码头地面冲洗废水</w:t>
            </w:r>
          </w:p>
        </w:tc>
        <w:tc>
          <w:tcPr>
            <w:tcW w:w="1276" w:type="dxa"/>
            <w:noWrap w:val="0"/>
            <w:vAlign w:val="center"/>
          </w:tcPr>
          <w:p w14:paraId="3275465D">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SS</w:t>
            </w:r>
          </w:p>
        </w:tc>
        <w:tc>
          <w:tcPr>
            <w:tcW w:w="3969" w:type="dxa"/>
            <w:vMerge w:val="restart"/>
            <w:noWrap w:val="0"/>
            <w:vAlign w:val="center"/>
          </w:tcPr>
          <w:p w14:paraId="15720218">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宋体" w:hAnsi="Times New Roman" w:eastAsia="宋体" w:cs="宋体"/>
                <w:color w:val="auto"/>
                <w:kern w:val="0"/>
              </w:rPr>
            </w:pPr>
            <w:r>
              <w:rPr>
                <w:rFonts w:hint="eastAsia" w:ascii="宋体" w:hAnsi="Times New Roman" w:eastAsia="宋体" w:cs="宋体"/>
                <w:color w:val="auto"/>
                <w:kern w:val="0"/>
              </w:rPr>
              <w:t>经隔油沉淀池预处理后，进入一体化污水处理设备处理，</w:t>
            </w:r>
            <w:r>
              <w:rPr>
                <w:rFonts w:hint="default" w:ascii="宋体" w:hAnsi="Times New Roman" w:eastAsia="宋体" w:cs="宋体"/>
                <w:color w:val="auto"/>
                <w:kern w:val="0"/>
              </w:rPr>
              <w:t>回用于码头</w:t>
            </w:r>
            <w:r>
              <w:rPr>
                <w:rFonts w:hint="eastAsia" w:ascii="宋体" w:hAnsi="Times New Roman" w:eastAsia="宋体" w:cs="宋体"/>
                <w:color w:val="auto"/>
                <w:kern w:val="0"/>
              </w:rPr>
              <w:t>地面</w:t>
            </w:r>
            <w:r>
              <w:rPr>
                <w:rFonts w:hint="default" w:ascii="宋体" w:hAnsi="Times New Roman" w:eastAsia="宋体" w:cs="宋体"/>
                <w:color w:val="auto"/>
                <w:kern w:val="0"/>
              </w:rPr>
              <w:t>冲洗</w:t>
            </w:r>
            <w:r>
              <w:rPr>
                <w:rFonts w:hint="eastAsia" w:ascii="宋体" w:hAnsi="Times New Roman" w:eastAsia="宋体" w:cs="宋体"/>
                <w:color w:val="auto"/>
                <w:kern w:val="0"/>
              </w:rPr>
              <w:t>、道路喷洒、机械车辆冲洗及</w:t>
            </w:r>
            <w:r>
              <w:rPr>
                <w:rFonts w:hint="default" w:ascii="宋体" w:hAnsi="Times New Roman" w:eastAsia="宋体" w:cs="宋体"/>
                <w:color w:val="auto"/>
                <w:kern w:val="0"/>
              </w:rPr>
              <w:t>绿化</w:t>
            </w:r>
          </w:p>
        </w:tc>
        <w:tc>
          <w:tcPr>
            <w:tcW w:w="1087" w:type="dxa"/>
            <w:vMerge w:val="restart"/>
            <w:noWrap w:val="0"/>
            <w:vAlign w:val="center"/>
          </w:tcPr>
          <w:p w14:paraId="7AE3C746">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c>
          <w:tcPr>
            <w:tcW w:w="897" w:type="dxa"/>
            <w:vMerge w:val="restart"/>
            <w:noWrap w:val="0"/>
            <w:vAlign w:val="center"/>
          </w:tcPr>
          <w:p w14:paraId="6A66DD9B">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c>
          <w:tcPr>
            <w:tcW w:w="993" w:type="dxa"/>
            <w:vMerge w:val="restart"/>
            <w:noWrap w:val="0"/>
            <w:vAlign w:val="center"/>
          </w:tcPr>
          <w:p w14:paraId="1C302BF2">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c>
          <w:tcPr>
            <w:tcW w:w="3478" w:type="dxa"/>
            <w:vMerge w:val="restart"/>
            <w:tcBorders>
              <w:right w:val="nil"/>
            </w:tcBorders>
            <w:noWrap w:val="0"/>
            <w:vAlign w:val="center"/>
          </w:tcPr>
          <w:p w14:paraId="512E499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《城市污水再生利用城市杂用水水质》（</w:t>
            </w:r>
            <w:r>
              <w:rPr>
                <w:rFonts w:hint="default" w:ascii="Times New Roman" w:hAnsi="Times New Roman" w:eastAsia="宋体" w:cs="Times New Roman"/>
                <w:color w:val="auto"/>
              </w:rPr>
              <w:t>GB/T18920-2020</w:t>
            </w:r>
            <w:r>
              <w:rPr>
                <w:rFonts w:hint="eastAsia" w:ascii="Times New Roman" w:hAnsi="Times New Roman" w:eastAsia="宋体" w:cs="Times New Roman"/>
                <w:color w:val="auto"/>
              </w:rPr>
              <w:t>）</w:t>
            </w:r>
          </w:p>
        </w:tc>
      </w:tr>
      <w:tr w14:paraId="6149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9" w:type="dxa"/>
            <w:vMerge w:val="continue"/>
            <w:tcBorders>
              <w:left w:val="nil"/>
            </w:tcBorders>
            <w:noWrap w:val="0"/>
            <w:vAlign w:val="center"/>
          </w:tcPr>
          <w:p w14:paraId="4D376E96">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1559" w:type="dxa"/>
            <w:noWrap w:val="0"/>
            <w:vAlign w:val="center"/>
          </w:tcPr>
          <w:p w14:paraId="33637569">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机械车辆冲洗废水</w:t>
            </w:r>
          </w:p>
        </w:tc>
        <w:tc>
          <w:tcPr>
            <w:tcW w:w="1276" w:type="dxa"/>
            <w:noWrap w:val="0"/>
            <w:vAlign w:val="center"/>
          </w:tcPr>
          <w:p w14:paraId="63A18DE6">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C</w:t>
            </w:r>
            <w:r>
              <w:rPr>
                <w:rFonts w:hint="default" w:ascii="Times New Roman" w:hAnsi="Times New Roman" w:eastAsia="宋体" w:cs="Times New Roman"/>
                <w:color w:val="auto"/>
              </w:rPr>
              <w:t>OD、SS</w:t>
            </w:r>
            <w:r>
              <w:rPr>
                <w:rFonts w:hint="eastAsia" w:ascii="Times New Roman" w:hAnsi="Times New Roman" w:eastAsia="宋体" w:cs="Times New Roman"/>
                <w:color w:val="auto"/>
              </w:rPr>
              <w:t>、</w:t>
            </w:r>
            <w:r>
              <w:rPr>
                <w:rFonts w:hint="default" w:ascii="Times New Roman" w:hAnsi="Times New Roman" w:eastAsia="宋体" w:cs="Times New Roman"/>
                <w:color w:val="auto"/>
              </w:rPr>
              <w:t>石油类</w:t>
            </w:r>
          </w:p>
        </w:tc>
        <w:tc>
          <w:tcPr>
            <w:tcW w:w="3969" w:type="dxa"/>
            <w:vMerge w:val="continue"/>
            <w:noWrap w:val="0"/>
            <w:vAlign w:val="center"/>
          </w:tcPr>
          <w:p w14:paraId="1FC8A836">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宋体" w:hAnsi="Times New Roman" w:eastAsia="宋体" w:cs="宋体"/>
                <w:color w:val="auto"/>
                <w:kern w:val="0"/>
              </w:rPr>
            </w:pPr>
          </w:p>
        </w:tc>
        <w:tc>
          <w:tcPr>
            <w:tcW w:w="1087" w:type="dxa"/>
            <w:vMerge w:val="continue"/>
            <w:noWrap w:val="0"/>
            <w:vAlign w:val="center"/>
          </w:tcPr>
          <w:p w14:paraId="054D8ED7">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897" w:type="dxa"/>
            <w:vMerge w:val="continue"/>
            <w:noWrap w:val="0"/>
            <w:vAlign w:val="center"/>
          </w:tcPr>
          <w:p w14:paraId="56AE763B">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993" w:type="dxa"/>
            <w:vMerge w:val="continue"/>
            <w:noWrap w:val="0"/>
            <w:vAlign w:val="center"/>
          </w:tcPr>
          <w:p w14:paraId="4B9B2C29">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3478" w:type="dxa"/>
            <w:vMerge w:val="continue"/>
            <w:tcBorders>
              <w:right w:val="nil"/>
            </w:tcBorders>
            <w:noWrap w:val="0"/>
            <w:vAlign w:val="center"/>
          </w:tcPr>
          <w:p w14:paraId="6C148C79">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r>
      <w:tr w14:paraId="15D2D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9" w:type="dxa"/>
            <w:vMerge w:val="continue"/>
            <w:tcBorders>
              <w:left w:val="nil"/>
            </w:tcBorders>
            <w:noWrap w:val="0"/>
            <w:vAlign w:val="center"/>
          </w:tcPr>
          <w:p w14:paraId="7E6F5488">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1559" w:type="dxa"/>
            <w:noWrap w:val="0"/>
            <w:vAlign w:val="center"/>
          </w:tcPr>
          <w:p w14:paraId="5DE372C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初期雨水</w:t>
            </w:r>
          </w:p>
        </w:tc>
        <w:tc>
          <w:tcPr>
            <w:tcW w:w="1276" w:type="dxa"/>
            <w:noWrap w:val="0"/>
            <w:vAlign w:val="center"/>
          </w:tcPr>
          <w:p w14:paraId="7BCB8696">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SS</w:t>
            </w:r>
          </w:p>
        </w:tc>
        <w:tc>
          <w:tcPr>
            <w:tcW w:w="3969" w:type="dxa"/>
            <w:vMerge w:val="continue"/>
            <w:noWrap w:val="0"/>
            <w:vAlign w:val="center"/>
          </w:tcPr>
          <w:p w14:paraId="422DCBE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宋体" w:hAnsi="Times New Roman" w:eastAsia="宋体" w:cs="宋体"/>
                <w:color w:val="auto"/>
                <w:kern w:val="0"/>
              </w:rPr>
            </w:pPr>
          </w:p>
        </w:tc>
        <w:tc>
          <w:tcPr>
            <w:tcW w:w="1087" w:type="dxa"/>
            <w:vMerge w:val="continue"/>
            <w:noWrap w:val="0"/>
            <w:vAlign w:val="center"/>
          </w:tcPr>
          <w:p w14:paraId="4B68F871">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897" w:type="dxa"/>
            <w:vMerge w:val="continue"/>
            <w:noWrap w:val="0"/>
            <w:vAlign w:val="center"/>
          </w:tcPr>
          <w:p w14:paraId="4C9A9FC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993" w:type="dxa"/>
            <w:vMerge w:val="continue"/>
            <w:noWrap w:val="0"/>
            <w:vAlign w:val="center"/>
          </w:tcPr>
          <w:p w14:paraId="33D371E7">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3478" w:type="dxa"/>
            <w:vMerge w:val="continue"/>
            <w:tcBorders>
              <w:right w:val="nil"/>
            </w:tcBorders>
            <w:noWrap w:val="0"/>
            <w:vAlign w:val="center"/>
          </w:tcPr>
          <w:p w14:paraId="774D560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r>
      <w:tr w14:paraId="07658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9" w:type="dxa"/>
            <w:vMerge w:val="restart"/>
            <w:tcBorders>
              <w:left w:val="nil"/>
            </w:tcBorders>
            <w:noWrap w:val="0"/>
            <w:vAlign w:val="center"/>
          </w:tcPr>
          <w:p w14:paraId="6A4FEAFD">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固废</w:t>
            </w:r>
          </w:p>
        </w:tc>
        <w:tc>
          <w:tcPr>
            <w:tcW w:w="2835" w:type="dxa"/>
            <w:gridSpan w:val="2"/>
            <w:noWrap w:val="0"/>
            <w:vAlign w:val="center"/>
          </w:tcPr>
          <w:p w14:paraId="12115912">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船舶生活垃圾</w:t>
            </w:r>
          </w:p>
        </w:tc>
        <w:tc>
          <w:tcPr>
            <w:tcW w:w="3969" w:type="dxa"/>
            <w:vMerge w:val="restart"/>
            <w:noWrap w:val="0"/>
            <w:vAlign w:val="center"/>
          </w:tcPr>
          <w:p w14:paraId="35356BB6">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宋体" w:hAnsi="Times New Roman" w:eastAsia="宋体" w:cs="宋体"/>
                <w:color w:val="auto"/>
                <w:kern w:val="0"/>
              </w:rPr>
            </w:pPr>
            <w:r>
              <w:rPr>
                <w:rFonts w:hint="eastAsia" w:ascii="宋体" w:hAnsi="Times New Roman" w:eastAsia="宋体" w:cs="宋体"/>
                <w:color w:val="auto"/>
                <w:kern w:val="0"/>
              </w:rPr>
              <w:t>陆域生活垃圾、船</w:t>
            </w:r>
            <w:r>
              <w:rPr>
                <w:rFonts w:hint="default" w:ascii="Times New Roman" w:hAnsi="Times New Roman" w:eastAsia="宋体" w:cs="Times New Roman"/>
                <w:color w:val="auto"/>
                <w:kern w:val="0"/>
              </w:rPr>
              <w:t>舶生活垃圾交由当地环卫部门统一收集处理</w:t>
            </w:r>
          </w:p>
        </w:tc>
        <w:tc>
          <w:tcPr>
            <w:tcW w:w="1087" w:type="dxa"/>
            <w:noWrap w:val="0"/>
            <w:vAlign w:val="center"/>
          </w:tcPr>
          <w:p w14:paraId="1F5BB482">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897" w:type="dxa"/>
            <w:noWrap w:val="0"/>
            <w:vAlign w:val="center"/>
          </w:tcPr>
          <w:p w14:paraId="4C06C8E7">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993" w:type="dxa"/>
            <w:noWrap w:val="0"/>
            <w:vAlign w:val="center"/>
          </w:tcPr>
          <w:p w14:paraId="244A0A0D">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c>
          <w:tcPr>
            <w:tcW w:w="3478" w:type="dxa"/>
            <w:vMerge w:val="restart"/>
            <w:tcBorders>
              <w:right w:val="nil"/>
            </w:tcBorders>
            <w:noWrap w:val="0"/>
            <w:vAlign w:val="center"/>
          </w:tcPr>
          <w:p w14:paraId="14620B13">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一般工业固废执行《一般工业固体废物贮存和填埋污染控制标准》(GB18599-2020)中有关规定。危险废物执行《危险废物贮存污染控制标准》(GB18597-2023）中有关规定</w:t>
            </w:r>
          </w:p>
        </w:tc>
      </w:tr>
      <w:tr w14:paraId="7892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9" w:type="dxa"/>
            <w:vMerge w:val="continue"/>
            <w:tcBorders>
              <w:left w:val="nil"/>
            </w:tcBorders>
            <w:noWrap w:val="0"/>
            <w:vAlign w:val="center"/>
          </w:tcPr>
          <w:p w14:paraId="39D4689D">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2835" w:type="dxa"/>
            <w:gridSpan w:val="2"/>
            <w:noWrap w:val="0"/>
            <w:vAlign w:val="center"/>
          </w:tcPr>
          <w:p w14:paraId="7924280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陆域生活垃圾</w:t>
            </w:r>
          </w:p>
        </w:tc>
        <w:tc>
          <w:tcPr>
            <w:tcW w:w="3969" w:type="dxa"/>
            <w:vMerge w:val="continue"/>
            <w:noWrap w:val="0"/>
            <w:vAlign w:val="center"/>
          </w:tcPr>
          <w:p w14:paraId="4089BAB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1087" w:type="dxa"/>
            <w:noWrap w:val="0"/>
            <w:vAlign w:val="center"/>
          </w:tcPr>
          <w:p w14:paraId="7808DD5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w:t>
            </w:r>
          </w:p>
        </w:tc>
        <w:tc>
          <w:tcPr>
            <w:tcW w:w="897" w:type="dxa"/>
            <w:noWrap w:val="0"/>
            <w:vAlign w:val="center"/>
          </w:tcPr>
          <w:p w14:paraId="24F51292">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w:t>
            </w:r>
          </w:p>
        </w:tc>
        <w:tc>
          <w:tcPr>
            <w:tcW w:w="993" w:type="dxa"/>
            <w:noWrap w:val="0"/>
            <w:vAlign w:val="center"/>
          </w:tcPr>
          <w:p w14:paraId="55BA8603">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c>
          <w:tcPr>
            <w:tcW w:w="3478" w:type="dxa"/>
            <w:vMerge w:val="continue"/>
            <w:tcBorders>
              <w:right w:val="nil"/>
            </w:tcBorders>
            <w:noWrap w:val="0"/>
            <w:vAlign w:val="center"/>
          </w:tcPr>
          <w:p w14:paraId="40026508">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r>
      <w:tr w14:paraId="39A3E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959" w:type="dxa"/>
            <w:vMerge w:val="continue"/>
            <w:tcBorders>
              <w:left w:val="nil"/>
            </w:tcBorders>
            <w:noWrap w:val="0"/>
            <w:vAlign w:val="center"/>
          </w:tcPr>
          <w:p w14:paraId="6EEC0D2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2835" w:type="dxa"/>
            <w:gridSpan w:val="2"/>
            <w:noWrap w:val="0"/>
            <w:vAlign w:val="center"/>
          </w:tcPr>
          <w:p w14:paraId="46584143">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污泥</w:t>
            </w:r>
          </w:p>
        </w:tc>
        <w:tc>
          <w:tcPr>
            <w:tcW w:w="3969" w:type="dxa"/>
            <w:noWrap w:val="0"/>
            <w:vAlign w:val="center"/>
          </w:tcPr>
          <w:p w14:paraId="31C5C8CA">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交由污泥处置单位资源化利用</w:t>
            </w:r>
          </w:p>
        </w:tc>
        <w:tc>
          <w:tcPr>
            <w:tcW w:w="1087" w:type="dxa"/>
            <w:noWrap w:val="0"/>
            <w:vAlign w:val="center"/>
          </w:tcPr>
          <w:p w14:paraId="5DD2479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w:t>
            </w:r>
          </w:p>
        </w:tc>
        <w:tc>
          <w:tcPr>
            <w:tcW w:w="897" w:type="dxa"/>
            <w:noWrap w:val="0"/>
            <w:vAlign w:val="center"/>
          </w:tcPr>
          <w:p w14:paraId="4A186052">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w:t>
            </w:r>
          </w:p>
        </w:tc>
        <w:tc>
          <w:tcPr>
            <w:tcW w:w="993" w:type="dxa"/>
            <w:noWrap w:val="0"/>
            <w:vAlign w:val="center"/>
          </w:tcPr>
          <w:p w14:paraId="2A9B3807">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c>
          <w:tcPr>
            <w:tcW w:w="3478" w:type="dxa"/>
            <w:vMerge w:val="continue"/>
            <w:tcBorders>
              <w:right w:val="nil"/>
            </w:tcBorders>
            <w:noWrap w:val="0"/>
            <w:vAlign w:val="center"/>
          </w:tcPr>
          <w:p w14:paraId="133E0A21">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r>
      <w:tr w14:paraId="2442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9" w:type="dxa"/>
            <w:vMerge w:val="continue"/>
            <w:tcBorders>
              <w:left w:val="nil"/>
            </w:tcBorders>
            <w:noWrap w:val="0"/>
            <w:vAlign w:val="center"/>
          </w:tcPr>
          <w:p w14:paraId="309844A2">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c>
          <w:tcPr>
            <w:tcW w:w="2835" w:type="dxa"/>
            <w:gridSpan w:val="2"/>
            <w:noWrap w:val="0"/>
            <w:vAlign w:val="center"/>
          </w:tcPr>
          <w:p w14:paraId="773B20E4">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eastAsia" w:ascii="Times New Roman" w:hAnsi="Times New Roman" w:eastAsia="宋体" w:cs="Times New Roman"/>
                <w:color w:val="auto"/>
              </w:rPr>
            </w:pPr>
            <w:r>
              <w:rPr>
                <w:rFonts w:hint="eastAsia" w:ascii="Times New Roman" w:hAnsi="Times New Roman" w:eastAsia="宋体" w:cs="Times New Roman"/>
                <w:color w:val="auto"/>
              </w:rPr>
              <w:t>含油污泥</w:t>
            </w:r>
          </w:p>
        </w:tc>
        <w:tc>
          <w:tcPr>
            <w:tcW w:w="3969" w:type="dxa"/>
            <w:noWrap w:val="0"/>
            <w:vAlign w:val="center"/>
          </w:tcPr>
          <w:p w14:paraId="00745F5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含油污泥</w:t>
            </w:r>
            <w:r>
              <w:rPr>
                <w:rFonts w:hint="default" w:ascii="Times New Roman" w:hAnsi="Times New Roman" w:eastAsia="宋体" w:cs="Times New Roman"/>
                <w:color w:val="auto"/>
                <w:kern w:val="0"/>
              </w:rPr>
              <w:t>暂存于危险废物暂存库（占地面积5m</w:t>
            </w:r>
            <w:r>
              <w:rPr>
                <w:rFonts w:hint="default" w:ascii="Times New Roman" w:hAnsi="Times New Roman" w:eastAsia="宋体" w:cs="Times New Roman"/>
                <w:color w:val="auto"/>
                <w:kern w:val="0"/>
                <w:vertAlign w:val="superscript"/>
              </w:rPr>
              <w:t>2</w:t>
            </w:r>
            <w:r>
              <w:rPr>
                <w:rFonts w:hint="default" w:ascii="Times New Roman" w:hAnsi="Times New Roman" w:eastAsia="宋体" w:cs="Times New Roman"/>
                <w:color w:val="auto"/>
                <w:kern w:val="0"/>
              </w:rPr>
              <w:t>）中，定期委托有资质单位处理。</w:t>
            </w:r>
          </w:p>
        </w:tc>
        <w:tc>
          <w:tcPr>
            <w:tcW w:w="1087" w:type="dxa"/>
            <w:noWrap w:val="0"/>
            <w:vAlign w:val="center"/>
          </w:tcPr>
          <w:p w14:paraId="1B0825C1">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w:t>
            </w:r>
          </w:p>
        </w:tc>
        <w:tc>
          <w:tcPr>
            <w:tcW w:w="897" w:type="dxa"/>
            <w:noWrap w:val="0"/>
            <w:vAlign w:val="center"/>
          </w:tcPr>
          <w:p w14:paraId="5DBB6698">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w:t>
            </w:r>
          </w:p>
        </w:tc>
        <w:tc>
          <w:tcPr>
            <w:tcW w:w="993" w:type="dxa"/>
            <w:noWrap w:val="0"/>
            <w:vAlign w:val="center"/>
          </w:tcPr>
          <w:p w14:paraId="1216013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0</w:t>
            </w:r>
          </w:p>
        </w:tc>
        <w:tc>
          <w:tcPr>
            <w:tcW w:w="3478" w:type="dxa"/>
            <w:vMerge w:val="continue"/>
            <w:tcBorders>
              <w:right w:val="nil"/>
            </w:tcBorders>
            <w:noWrap w:val="0"/>
            <w:vAlign w:val="center"/>
          </w:tcPr>
          <w:p w14:paraId="3961566E">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p>
        </w:tc>
      </w:tr>
      <w:tr w14:paraId="6F90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59" w:type="dxa"/>
            <w:tcBorders>
              <w:left w:val="nil"/>
              <w:bottom w:val="single" w:color="auto" w:sz="12" w:space="0"/>
            </w:tcBorders>
            <w:noWrap w:val="0"/>
            <w:vAlign w:val="center"/>
          </w:tcPr>
          <w:p w14:paraId="2A384D07">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噪声</w:t>
            </w:r>
          </w:p>
        </w:tc>
        <w:tc>
          <w:tcPr>
            <w:tcW w:w="1559" w:type="dxa"/>
            <w:tcBorders>
              <w:bottom w:val="single" w:color="auto" w:sz="12" w:space="0"/>
            </w:tcBorders>
            <w:noWrap w:val="0"/>
            <w:vAlign w:val="center"/>
          </w:tcPr>
          <w:p w14:paraId="6C704733">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设备</w:t>
            </w:r>
          </w:p>
        </w:tc>
        <w:tc>
          <w:tcPr>
            <w:tcW w:w="1276" w:type="dxa"/>
            <w:tcBorders>
              <w:bottom w:val="single" w:color="auto" w:sz="12" w:space="0"/>
            </w:tcBorders>
            <w:noWrap w:val="0"/>
            <w:vAlign w:val="center"/>
          </w:tcPr>
          <w:p w14:paraId="51897B0A">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dB（</w:t>
            </w:r>
            <w:r>
              <w:rPr>
                <w:rFonts w:hint="eastAsia" w:ascii="Times New Roman" w:hAnsi="Times New Roman" w:eastAsia="宋体" w:cs="Times New Roman"/>
                <w:color w:val="auto"/>
              </w:rPr>
              <w:t>A</w:t>
            </w:r>
            <w:r>
              <w:rPr>
                <w:rFonts w:hint="default" w:ascii="Times New Roman" w:hAnsi="Times New Roman" w:eastAsia="宋体" w:cs="Times New Roman"/>
                <w:color w:val="auto"/>
              </w:rPr>
              <w:t>）</w:t>
            </w:r>
          </w:p>
        </w:tc>
        <w:tc>
          <w:tcPr>
            <w:tcW w:w="6946" w:type="dxa"/>
            <w:gridSpan w:val="4"/>
            <w:tcBorders>
              <w:bottom w:val="single" w:color="auto" w:sz="12" w:space="0"/>
            </w:tcBorders>
            <w:noWrap w:val="0"/>
            <w:vAlign w:val="center"/>
          </w:tcPr>
          <w:p w14:paraId="0660370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rPr>
              <w:t>基础减振、隔声等</w:t>
            </w:r>
          </w:p>
        </w:tc>
        <w:tc>
          <w:tcPr>
            <w:tcW w:w="3478" w:type="dxa"/>
            <w:tcBorders>
              <w:bottom w:val="single" w:color="auto" w:sz="12" w:space="0"/>
              <w:right w:val="nil"/>
            </w:tcBorders>
            <w:noWrap w:val="0"/>
            <w:vAlign w:val="center"/>
          </w:tcPr>
          <w:p w14:paraId="643AE7FD">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right="0"/>
              <w:jc w:val="center"/>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《工业企业厂界环境噪声排放标准》（</w:t>
            </w:r>
            <w:r>
              <w:rPr>
                <w:rFonts w:hint="eastAsia" w:ascii="Times New Roman" w:hAnsi="Times New Roman" w:eastAsia="宋体" w:cs="Times New Roman"/>
                <w:color w:val="auto"/>
              </w:rPr>
              <w:t>G</w:t>
            </w:r>
            <w:r>
              <w:rPr>
                <w:rFonts w:hint="default" w:ascii="Times New Roman" w:hAnsi="Times New Roman" w:eastAsia="宋体" w:cs="Times New Roman"/>
                <w:color w:val="auto"/>
              </w:rPr>
              <w:t>B12348-2008</w:t>
            </w:r>
            <w:r>
              <w:rPr>
                <w:rFonts w:hint="eastAsia" w:cs="Times New Roman"/>
                <w:color w:val="auto"/>
                <w:lang w:eastAsia="zh-CN"/>
              </w:rPr>
              <w:t>）</w:t>
            </w:r>
            <w:r>
              <w:rPr>
                <w:rFonts w:hint="default" w:ascii="Times New Roman" w:hAnsi="Times New Roman" w:eastAsia="宋体" w:cs="Times New Roman"/>
                <w:color w:val="auto"/>
              </w:rPr>
              <w:t>标准</w:t>
            </w:r>
          </w:p>
        </w:tc>
      </w:tr>
    </w:tbl>
    <w:p w14:paraId="39ED33E5">
      <w:pPr>
        <w:widowControl/>
        <w:spacing w:line="360" w:lineRule="auto"/>
        <w:jc w:val="left"/>
        <w:rPr>
          <w:rFonts w:hint="eastAsia"/>
          <w:color w:val="auto"/>
          <w:sz w:val="24"/>
        </w:rPr>
        <w:sectPr>
          <w:pgSz w:w="16838" w:h="11906" w:orient="landscape"/>
          <w:pgMar w:top="1418" w:right="1418" w:bottom="1418" w:left="1418" w:header="851" w:footer="850" w:gutter="0"/>
          <w:pgBorders>
            <w:top w:val="none" w:sz="0" w:space="0"/>
            <w:left w:val="none" w:sz="0" w:space="0"/>
            <w:bottom w:val="none" w:sz="0" w:space="0"/>
            <w:right w:val="none" w:sz="0" w:space="0"/>
          </w:pgBorders>
          <w:cols w:space="720" w:num="1"/>
          <w:docGrid w:type="linesAndChars" w:linePitch="312" w:charSpace="0"/>
        </w:sectPr>
      </w:pPr>
    </w:p>
    <w:p w14:paraId="60A74A2E">
      <w:pPr>
        <w:keepNext/>
        <w:keepLines/>
        <w:widowControl w:val="0"/>
        <w:numPr>
          <w:ilvl w:val="0"/>
          <w:numId w:val="0"/>
        </w:numPr>
        <w:spacing w:line="360" w:lineRule="auto"/>
        <w:jc w:val="center"/>
        <w:outlineLvl w:val="0"/>
        <w:rPr>
          <w:rFonts w:ascii="Times New Roman" w:hAnsi="Times New Roman" w:eastAsia="宋体" w:cs="Times New Roman"/>
          <w:b/>
          <w:bCs/>
          <w:color w:val="auto"/>
          <w:kern w:val="44"/>
          <w:sz w:val="44"/>
          <w:szCs w:val="44"/>
          <w:lang w:val="en-US" w:eastAsia="zh-CN" w:bidi="ar-SA"/>
        </w:rPr>
      </w:pPr>
      <w:bookmarkStart w:id="309" w:name="_Toc18172"/>
      <w:r>
        <w:rPr>
          <w:rFonts w:hint="eastAsia" w:ascii="Times New Roman" w:hAnsi="Times New Roman" w:eastAsia="宋体" w:cs="Times New Roman"/>
          <w:b/>
          <w:bCs/>
          <w:color w:val="auto"/>
          <w:kern w:val="44"/>
          <w:sz w:val="44"/>
          <w:szCs w:val="44"/>
          <w:lang w:val="en-US" w:eastAsia="zh-CN" w:bidi="ar-SA"/>
        </w:rPr>
        <w:t>9</w:t>
      </w:r>
      <w:r>
        <w:rPr>
          <w:rFonts w:ascii="Times New Roman" w:hAnsi="Times New Roman" w:eastAsia="宋体" w:cs="Times New Roman"/>
          <w:b/>
          <w:bCs/>
          <w:color w:val="auto"/>
          <w:kern w:val="44"/>
          <w:sz w:val="44"/>
          <w:szCs w:val="44"/>
          <w:lang w:val="en-US" w:eastAsia="zh-CN" w:bidi="ar-SA"/>
        </w:rPr>
        <w:t>环境影响评价结论</w:t>
      </w:r>
      <w:bookmarkEnd w:id="309"/>
    </w:p>
    <w:p w14:paraId="76FC1EBA">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310" w:name="_Toc11443"/>
      <w:r>
        <w:rPr>
          <w:rFonts w:hint="eastAsia" w:ascii="Times New Roman" w:hAnsi="Times New Roman" w:eastAsia="黑体" w:cs="Times New Roman"/>
          <w:bCs/>
          <w:color w:val="auto"/>
          <w:kern w:val="2"/>
          <w:sz w:val="30"/>
          <w:szCs w:val="32"/>
          <w:lang w:val="en-US" w:eastAsia="zh-CN" w:bidi="ar-SA"/>
        </w:rPr>
        <w:t>9.1</w:t>
      </w:r>
      <w:r>
        <w:rPr>
          <w:rFonts w:ascii="Times New Roman" w:hAnsi="Times New Roman" w:eastAsia="黑体" w:cs="Times New Roman"/>
          <w:bCs/>
          <w:color w:val="auto"/>
          <w:kern w:val="2"/>
          <w:sz w:val="30"/>
          <w:szCs w:val="32"/>
          <w:lang w:val="en-US" w:eastAsia="zh-CN" w:bidi="ar-SA"/>
        </w:rPr>
        <w:t>项目建设概况</w:t>
      </w:r>
      <w:bookmarkEnd w:id="310"/>
    </w:p>
    <w:p w14:paraId="006DB966">
      <w:pPr>
        <w:spacing w:line="360" w:lineRule="auto"/>
        <w:ind w:firstLine="480" w:firstLineChars="200"/>
        <w:rPr>
          <w:rFonts w:hint="eastAsia" w:ascii="Times New Roman" w:hAnsi="Times New Roman" w:eastAsia="宋体" w:cs="Times New Roman"/>
          <w:color w:val="auto"/>
          <w:sz w:val="24"/>
        </w:rPr>
      </w:pPr>
      <w:r>
        <w:rPr>
          <w:rFonts w:ascii="Times New Roman" w:hAnsi="Times New Roman" w:eastAsia="宋体" w:cs="Times New Roman"/>
          <w:color w:val="auto"/>
          <w:sz w:val="24"/>
        </w:rPr>
        <w:t>项目名称：淮南市兴华园码头复工建设项目</w:t>
      </w:r>
    </w:p>
    <w:p w14:paraId="38E046A2">
      <w:pPr>
        <w:spacing w:line="360" w:lineRule="auto"/>
        <w:ind w:firstLine="480" w:firstLineChars="200"/>
        <w:rPr>
          <w:rFonts w:hint="eastAsia" w:ascii="Times New Roman" w:hAnsi="Times New Roman" w:eastAsia="宋体" w:cs="Times New Roman"/>
          <w:color w:val="auto"/>
          <w:sz w:val="24"/>
        </w:rPr>
      </w:pPr>
      <w:r>
        <w:rPr>
          <w:rFonts w:ascii="Times New Roman" w:hAnsi="Times New Roman" w:eastAsia="宋体" w:cs="Times New Roman"/>
          <w:color w:val="auto"/>
          <w:sz w:val="24"/>
        </w:rPr>
        <w:t>项目性质：</w:t>
      </w:r>
      <w:r>
        <w:rPr>
          <w:rFonts w:hint="eastAsia" w:ascii="Times New Roman" w:hAnsi="Times New Roman" w:eastAsia="宋体" w:cs="Times New Roman"/>
          <w:color w:val="auto"/>
          <w:sz w:val="24"/>
        </w:rPr>
        <w:t>新建（</w:t>
      </w:r>
      <w:r>
        <w:rPr>
          <w:rFonts w:hint="eastAsia" w:cs="Times New Roman"/>
          <w:color w:val="auto"/>
          <w:sz w:val="24"/>
          <w:lang w:val="en-US" w:eastAsia="zh-CN"/>
        </w:rPr>
        <w:t>重新报批</w:t>
      </w:r>
      <w:r>
        <w:rPr>
          <w:rFonts w:hint="eastAsia" w:ascii="Times New Roman" w:hAnsi="Times New Roman" w:eastAsia="宋体" w:cs="Times New Roman"/>
          <w:color w:val="auto"/>
          <w:sz w:val="24"/>
        </w:rPr>
        <w:t>）</w:t>
      </w:r>
    </w:p>
    <w:p w14:paraId="6DA1B99D">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行业类别：货运港口（行业代码G5532）</w:t>
      </w:r>
    </w:p>
    <w:p w14:paraId="3364AC01">
      <w:pPr>
        <w:spacing w:line="360" w:lineRule="auto"/>
        <w:ind w:firstLine="480" w:firstLineChars="200"/>
        <w:rPr>
          <w:rFonts w:hint="eastAsia" w:ascii="Times New Roman" w:hAnsi="Times New Roman" w:eastAsia="宋体" w:cs="Times New Roman"/>
          <w:color w:val="auto"/>
          <w:sz w:val="24"/>
        </w:rPr>
      </w:pPr>
      <w:r>
        <w:rPr>
          <w:rFonts w:ascii="Times New Roman" w:hAnsi="Times New Roman" w:eastAsia="宋体" w:cs="Times New Roman"/>
          <w:color w:val="auto"/>
          <w:sz w:val="24"/>
        </w:rPr>
        <w:t>建设单位：</w:t>
      </w:r>
      <w:r>
        <w:rPr>
          <w:rFonts w:hint="eastAsia" w:ascii="Times New Roman" w:hAnsi="Times New Roman" w:eastAsia="宋体" w:cs="Times New Roman"/>
          <w:color w:val="auto"/>
          <w:sz w:val="24"/>
        </w:rPr>
        <w:t>淮南市兴华园贸易发展有限公司</w:t>
      </w:r>
    </w:p>
    <w:p w14:paraId="178AE4BD">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建设投资：项目总投资</w:t>
      </w:r>
      <w:r>
        <w:rPr>
          <w:rFonts w:hint="eastAsia" w:ascii="Times New Roman" w:hAnsi="Times New Roman" w:eastAsia="宋体" w:cs="Times New Roman"/>
          <w:color w:val="auto"/>
          <w:sz w:val="24"/>
        </w:rPr>
        <w:t>240.37</w:t>
      </w:r>
      <w:r>
        <w:rPr>
          <w:rFonts w:ascii="Times New Roman" w:hAnsi="Times New Roman" w:eastAsia="宋体" w:cs="Times New Roman"/>
          <w:color w:val="auto"/>
          <w:sz w:val="24"/>
        </w:rPr>
        <w:t>万元，其中环保投资</w:t>
      </w:r>
      <w:r>
        <w:rPr>
          <w:rFonts w:hint="eastAsia" w:ascii="Times New Roman" w:hAnsi="Times New Roman" w:eastAsia="宋体" w:cs="Times New Roman"/>
          <w:color w:val="auto"/>
          <w:sz w:val="24"/>
          <w:lang w:val="en-US" w:eastAsia="zh-CN"/>
        </w:rPr>
        <w:t>40</w:t>
      </w:r>
      <w:r>
        <w:rPr>
          <w:rFonts w:ascii="Times New Roman" w:hAnsi="Times New Roman" w:eastAsia="宋体" w:cs="Times New Roman"/>
          <w:color w:val="auto"/>
          <w:sz w:val="24"/>
        </w:rPr>
        <w:t>万元，占总投资的1</w:t>
      </w:r>
      <w:r>
        <w:rPr>
          <w:rFonts w:hint="eastAsia" w:ascii="Times New Roman" w:hAnsi="Times New Roman" w:eastAsia="宋体" w:cs="Times New Roman"/>
          <w:color w:val="auto"/>
          <w:sz w:val="24"/>
          <w:lang w:val="en-US" w:eastAsia="zh-CN"/>
        </w:rPr>
        <w:t>6.6</w:t>
      </w:r>
      <w:r>
        <w:rPr>
          <w:rFonts w:ascii="Times New Roman" w:hAnsi="Times New Roman" w:eastAsia="宋体" w:cs="Times New Roman"/>
          <w:color w:val="auto"/>
          <w:sz w:val="24"/>
        </w:rPr>
        <w:t>%。</w:t>
      </w:r>
    </w:p>
    <w:p w14:paraId="030A3F29">
      <w:pPr>
        <w:spacing w:line="360" w:lineRule="auto"/>
        <w:ind w:firstLine="480" w:firstLineChars="200"/>
        <w:rPr>
          <w:rFonts w:hint="eastAsia" w:ascii="Times New Roman" w:hAnsi="Times New Roman" w:eastAsia="宋体" w:cs="Times New Roman"/>
          <w:color w:val="auto"/>
          <w:sz w:val="24"/>
        </w:rPr>
      </w:pPr>
      <w:r>
        <w:rPr>
          <w:rFonts w:ascii="Times New Roman" w:hAnsi="Times New Roman" w:eastAsia="宋体" w:cs="Times New Roman"/>
          <w:color w:val="auto"/>
          <w:sz w:val="24"/>
        </w:rPr>
        <w:t>建设地点：</w:t>
      </w:r>
      <w:r>
        <w:rPr>
          <w:rFonts w:hint="eastAsia" w:ascii="Times New Roman" w:hAnsi="Times New Roman" w:eastAsia="宋体" w:cs="Times New Roman"/>
          <w:color w:val="auto"/>
          <w:sz w:val="24"/>
        </w:rPr>
        <w:t>位于淮南市潘集区平圩镇淮河北汊的左岸潘集港区规划作业区，对应淮北大堤饶荆段桩号</w:t>
      </w:r>
      <w:r>
        <w:rPr>
          <w:rFonts w:hint="eastAsia" w:cs="Times New Roman"/>
          <w:color w:val="auto"/>
          <w:sz w:val="24"/>
          <w:lang w:eastAsia="zh-CN"/>
        </w:rPr>
        <w:t>68+052~68+254</w:t>
      </w:r>
      <w:r>
        <w:rPr>
          <w:rFonts w:hint="eastAsia" w:ascii="Times New Roman" w:hAnsi="Times New Roman" w:eastAsia="宋体" w:cs="Times New Roman"/>
          <w:color w:val="auto"/>
          <w:sz w:val="24"/>
        </w:rPr>
        <w:t>，上距平圩大件码头约136m，鹏源码头约500m；下距店集码头约75m，下距淮南淮河大桥约2.</w:t>
      </w:r>
      <w:r>
        <w:rPr>
          <w:rFonts w:hint="eastAsia" w:cs="Times New Roman"/>
          <w:color w:val="auto"/>
          <w:sz w:val="24"/>
          <w:lang w:val="en-US" w:eastAsia="zh-CN"/>
        </w:rPr>
        <w:t>5</w:t>
      </w:r>
      <w:r>
        <w:rPr>
          <w:rFonts w:hint="eastAsia" w:ascii="Times New Roman" w:hAnsi="Times New Roman" w:eastAsia="宋体" w:cs="Times New Roman"/>
          <w:color w:val="auto"/>
          <w:sz w:val="24"/>
        </w:rPr>
        <w:t>km。地理位置中心坐标为经度：</w:t>
      </w:r>
      <w:r>
        <w:rPr>
          <w:rFonts w:ascii="Times New Roman" w:hAnsi="Times New Roman" w:eastAsia="宋体" w:cs="Times New Roman"/>
          <w:color w:val="auto"/>
          <w:sz w:val="24"/>
        </w:rPr>
        <w:t>116.90191001</w:t>
      </w:r>
      <w:r>
        <w:rPr>
          <w:rFonts w:hint="eastAsia" w:ascii="Times New Roman" w:hAnsi="Times New Roman" w:eastAsia="宋体" w:cs="Times New Roman"/>
          <w:color w:val="auto"/>
          <w:sz w:val="24"/>
        </w:rPr>
        <w:t>°，纬度：</w:t>
      </w:r>
      <w:r>
        <w:rPr>
          <w:rFonts w:ascii="Times New Roman" w:hAnsi="Times New Roman" w:eastAsia="宋体" w:cs="Times New Roman"/>
          <w:color w:val="auto"/>
          <w:sz w:val="24"/>
        </w:rPr>
        <w:t>32.67087058</w:t>
      </w:r>
      <w:r>
        <w:rPr>
          <w:rFonts w:hint="eastAsia" w:ascii="Times New Roman" w:hAnsi="Times New Roman" w:eastAsia="宋体" w:cs="Times New Roman"/>
          <w:color w:val="auto"/>
          <w:sz w:val="24"/>
        </w:rPr>
        <w:t>°。</w:t>
      </w:r>
    </w:p>
    <w:p w14:paraId="363687B0">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311" w:name="_Toc31240"/>
      <w:r>
        <w:rPr>
          <w:rFonts w:hint="eastAsia" w:ascii="Times New Roman" w:hAnsi="Times New Roman" w:eastAsia="黑体" w:cs="Times New Roman"/>
          <w:bCs/>
          <w:color w:val="auto"/>
          <w:kern w:val="2"/>
          <w:sz w:val="30"/>
          <w:szCs w:val="32"/>
          <w:lang w:val="en-US" w:eastAsia="zh-CN" w:bidi="ar-SA"/>
        </w:rPr>
        <w:t>9.2</w:t>
      </w:r>
      <w:r>
        <w:rPr>
          <w:rFonts w:ascii="Times New Roman" w:hAnsi="Times New Roman" w:eastAsia="黑体" w:cs="Times New Roman"/>
          <w:bCs/>
          <w:color w:val="auto"/>
          <w:kern w:val="2"/>
          <w:sz w:val="30"/>
          <w:szCs w:val="32"/>
          <w:lang w:val="en-US" w:eastAsia="zh-CN" w:bidi="ar-SA"/>
        </w:rPr>
        <w:t>产业政策及规划相符性</w:t>
      </w:r>
      <w:bookmarkEnd w:id="311"/>
    </w:p>
    <w:p w14:paraId="71D8DA8D">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9.2.1</w:t>
      </w:r>
      <w:r>
        <w:rPr>
          <w:rFonts w:ascii="Times New Roman" w:hAnsi="Times New Roman" w:eastAsia="黑体" w:cs="Times New Roman"/>
          <w:bCs/>
          <w:color w:val="auto"/>
          <w:kern w:val="2"/>
          <w:sz w:val="28"/>
          <w:szCs w:val="32"/>
          <w:lang w:val="en-US" w:eastAsia="zh-CN" w:bidi="ar-SA"/>
        </w:rPr>
        <w:t>产业政策符合性分析</w:t>
      </w:r>
    </w:p>
    <w:p w14:paraId="2BF9C8C1">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根据《国民经济行业分类》（GB/T4754-2017）</w:t>
      </w:r>
      <w:r>
        <w:rPr>
          <w:rFonts w:hint="eastAsia" w:ascii="Times New Roman" w:hAnsi="Times New Roman" w:eastAsia="宋体" w:cs="Times New Roman"/>
          <w:color w:val="auto"/>
          <w:sz w:val="24"/>
        </w:rPr>
        <w:t>及其修改单</w:t>
      </w:r>
      <w:r>
        <w:rPr>
          <w:rFonts w:ascii="Times New Roman" w:hAnsi="Times New Roman" w:eastAsia="宋体" w:cs="Times New Roman"/>
          <w:color w:val="auto"/>
          <w:sz w:val="24"/>
        </w:rPr>
        <w:t>，本项目属于“货运港口（行业代码G5532）”；</w:t>
      </w:r>
      <w:r>
        <w:rPr>
          <w:color w:val="auto"/>
          <w:sz w:val="24"/>
        </w:rPr>
        <w:t>根据</w:t>
      </w:r>
      <w:r>
        <w:rPr>
          <w:rFonts w:hint="eastAsia"/>
          <w:color w:val="auto"/>
          <w:sz w:val="24"/>
        </w:rPr>
        <w:t>《产业结构调整指导目录（20</w:t>
      </w:r>
      <w:r>
        <w:rPr>
          <w:rFonts w:hint="eastAsia"/>
          <w:color w:val="auto"/>
          <w:sz w:val="24"/>
          <w:lang w:val="en-US" w:eastAsia="zh-CN"/>
        </w:rPr>
        <w:t>24年</w:t>
      </w:r>
      <w:r>
        <w:rPr>
          <w:rFonts w:hint="eastAsia"/>
          <w:color w:val="auto"/>
          <w:sz w:val="24"/>
        </w:rPr>
        <w:t>本）</w:t>
      </w:r>
      <w:r>
        <w:rPr>
          <w:rFonts w:hint="eastAsia"/>
          <w:color w:val="auto"/>
          <w:sz w:val="24"/>
          <w:lang w:eastAsia="zh-CN"/>
        </w:rPr>
        <w:t>》</w:t>
      </w:r>
      <w:r>
        <w:rPr>
          <w:color w:val="auto"/>
          <w:sz w:val="24"/>
        </w:rPr>
        <w:t>，本项目属于“鼓励类：二十五、水运一</w:t>
      </w:r>
      <w:r>
        <w:rPr>
          <w:rFonts w:hint="eastAsia"/>
          <w:color w:val="auto"/>
          <w:sz w:val="24"/>
          <w:lang w:val="en-US" w:eastAsia="zh-CN"/>
        </w:rPr>
        <w:t>2</w:t>
      </w:r>
      <w:r>
        <w:rPr>
          <w:color w:val="auto"/>
          <w:sz w:val="24"/>
        </w:rPr>
        <w:t>、</w:t>
      </w:r>
      <w:r>
        <w:rPr>
          <w:color w:val="auto"/>
          <w:sz w:val="24"/>
          <w:lang w:val="en-US" w:eastAsia="zh-CN"/>
        </w:rPr>
        <w:t>港口枢纽建设：</w:t>
      </w:r>
      <w:r>
        <w:rPr>
          <w:b/>
          <w:bCs/>
          <w:color w:val="auto"/>
          <w:sz w:val="24"/>
          <w:lang w:val="en-US" w:eastAsia="zh-CN"/>
        </w:rPr>
        <w:t>码头泊位建设</w:t>
      </w:r>
      <w:r>
        <w:rPr>
          <w:color w:val="auto"/>
          <w:sz w:val="24"/>
          <w:lang w:val="en-US" w:eastAsia="zh-CN"/>
        </w:rPr>
        <w:t>，船舶污染物港口接收处置</w:t>
      </w:r>
      <w:r>
        <w:rPr>
          <w:rFonts w:hint="default"/>
          <w:color w:val="auto"/>
          <w:sz w:val="24"/>
          <w:lang w:val="en-US" w:eastAsia="zh-CN"/>
        </w:rPr>
        <w:t>设施建设及设备制造，港口危险化学品、油品应急设施建设及设备制造，国际邮轮运输及邮轮母港建设，港口岸电系统建设及船舶受电设施改造，船舶 LNG 加注设施和电动船充换电设施建设</w:t>
      </w:r>
      <w:r>
        <w:rPr>
          <w:color w:val="auto"/>
          <w:sz w:val="24"/>
        </w:rPr>
        <w:t>。</w:t>
      </w:r>
    </w:p>
    <w:p w14:paraId="3627CF3F">
      <w:pPr>
        <w:widowControl/>
        <w:spacing w:line="360" w:lineRule="auto"/>
        <w:ind w:firstLine="464" w:firstLineChars="200"/>
        <w:jc w:val="left"/>
        <w:rPr>
          <w:rFonts w:ascii="Times New Roman" w:hAnsi="Times New Roman" w:eastAsia="宋体" w:cs="Times New Roman"/>
          <w:color w:val="auto"/>
          <w:spacing w:val="-4"/>
          <w:sz w:val="24"/>
        </w:rPr>
      </w:pPr>
      <w:r>
        <w:rPr>
          <w:rFonts w:hint="eastAsia" w:ascii="Times New Roman" w:hAnsi="Times New Roman" w:eastAsia="宋体" w:cs="Times New Roman"/>
          <w:color w:val="auto"/>
          <w:spacing w:val="-4"/>
          <w:sz w:val="24"/>
        </w:rPr>
        <w:t>因此</w:t>
      </w:r>
      <w:r>
        <w:rPr>
          <w:rFonts w:ascii="Times New Roman" w:hAnsi="Times New Roman" w:eastAsia="宋体" w:cs="Times New Roman"/>
          <w:color w:val="auto"/>
          <w:spacing w:val="-4"/>
          <w:sz w:val="24"/>
        </w:rPr>
        <w:t>，本项目建设符合国家产业政策。</w:t>
      </w:r>
    </w:p>
    <w:p w14:paraId="3F26E622">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9.2.2</w:t>
      </w:r>
      <w:r>
        <w:rPr>
          <w:rFonts w:ascii="Times New Roman" w:hAnsi="Times New Roman" w:eastAsia="黑体" w:cs="Times New Roman"/>
          <w:bCs/>
          <w:color w:val="auto"/>
          <w:kern w:val="2"/>
          <w:sz w:val="28"/>
          <w:szCs w:val="32"/>
          <w:lang w:val="en-US" w:eastAsia="zh-CN" w:bidi="ar-SA"/>
        </w:rPr>
        <w:t>规划符合性分析</w:t>
      </w:r>
    </w:p>
    <w:p w14:paraId="45151EC9">
      <w:pPr>
        <w:spacing w:line="360" w:lineRule="auto"/>
        <w:ind w:firstLine="464" w:firstLineChars="200"/>
        <w:rPr>
          <w:rFonts w:ascii="Times New Roman" w:hAnsi="Times New Roman" w:eastAsia="宋体" w:cs="Times New Roman"/>
          <w:color w:val="auto"/>
          <w:sz w:val="24"/>
        </w:rPr>
      </w:pPr>
      <w:r>
        <w:rPr>
          <w:rFonts w:ascii="Times New Roman" w:hAnsi="Times New Roman" w:eastAsia="宋体" w:cs="Times New Roman"/>
          <w:color w:val="auto"/>
          <w:spacing w:val="-4"/>
          <w:sz w:val="24"/>
        </w:rPr>
        <w:t>本项目选址位于</w:t>
      </w:r>
      <w:r>
        <w:rPr>
          <w:rFonts w:hint="eastAsia" w:ascii="Times New Roman" w:hAnsi="Times New Roman" w:eastAsia="宋体" w:cs="Times New Roman"/>
          <w:color w:val="auto"/>
          <w:spacing w:val="-4"/>
          <w:sz w:val="24"/>
        </w:rPr>
        <w:t>淮南市潘集港区平圩作业区</w:t>
      </w:r>
      <w:r>
        <w:rPr>
          <w:rFonts w:ascii="Times New Roman" w:hAnsi="Times New Roman" w:eastAsia="宋体" w:cs="Times New Roman"/>
          <w:color w:val="auto"/>
          <w:spacing w:val="-4"/>
          <w:sz w:val="24"/>
        </w:rPr>
        <w:t>。</w:t>
      </w:r>
      <w:r>
        <w:rPr>
          <w:rFonts w:ascii="Times New Roman" w:hAnsi="Times New Roman" w:eastAsia="宋体" w:cs="Times New Roman"/>
          <w:color w:val="auto"/>
          <w:sz w:val="24"/>
        </w:rPr>
        <w:t>根据</w:t>
      </w:r>
      <w:r>
        <w:rPr>
          <w:rFonts w:hint="eastAsia" w:ascii="Times New Roman" w:hAnsi="Times New Roman" w:eastAsia="宋体" w:cs="Times New Roman"/>
          <w:color w:val="auto"/>
          <w:sz w:val="24"/>
        </w:rPr>
        <w:t>《淮南港总体规划（2035年）》</w:t>
      </w:r>
      <w:r>
        <w:rPr>
          <w:rFonts w:ascii="Times New Roman" w:hAnsi="Times New Roman" w:eastAsia="宋体" w:cs="Times New Roman"/>
          <w:color w:val="auto"/>
          <w:sz w:val="24"/>
        </w:rPr>
        <w:t>，淮南港划分为毛集港区、凤台港区、八公山港区、</w:t>
      </w:r>
      <w:r>
        <w:rPr>
          <w:rFonts w:hint="eastAsia" w:ascii="Times New Roman" w:hAnsi="Times New Roman" w:eastAsia="宋体" w:cs="Times New Roman"/>
          <w:color w:val="auto"/>
          <w:sz w:val="24"/>
        </w:rPr>
        <w:t>潘集</w:t>
      </w:r>
      <w:r>
        <w:rPr>
          <w:rFonts w:ascii="Times New Roman" w:hAnsi="Times New Roman" w:eastAsia="宋体" w:cs="Times New Roman"/>
          <w:color w:val="auto"/>
          <w:sz w:val="24"/>
        </w:rPr>
        <w:t>港区、田家庵港区、大通港区、寿县港区等七个港区，各港区按照位置、航道条件、服务范围和港区特点等因素，下设多个作业区，主要位于淮河干流及其支流航道上。其中</w:t>
      </w:r>
      <w:r>
        <w:rPr>
          <w:rFonts w:hint="eastAsia" w:ascii="Times New Roman" w:hAnsi="Times New Roman" w:eastAsia="宋体" w:cs="Times New Roman"/>
          <w:color w:val="auto"/>
          <w:spacing w:val="-4"/>
          <w:sz w:val="24"/>
        </w:rPr>
        <w:t>潘集港区</w:t>
      </w:r>
      <w:r>
        <w:rPr>
          <w:rFonts w:ascii="Times New Roman" w:hAnsi="Times New Roman" w:eastAsia="宋体" w:cs="Times New Roman"/>
          <w:color w:val="auto"/>
          <w:sz w:val="24"/>
        </w:rPr>
        <w:t>包括</w:t>
      </w:r>
      <w:r>
        <w:rPr>
          <w:rFonts w:hint="eastAsia" w:ascii="Times New Roman" w:hAnsi="Times New Roman" w:eastAsia="宋体" w:cs="Times New Roman"/>
          <w:color w:val="auto"/>
          <w:sz w:val="24"/>
        </w:rPr>
        <w:t>架河</w:t>
      </w:r>
      <w:r>
        <w:rPr>
          <w:rFonts w:ascii="Times New Roman" w:hAnsi="Times New Roman" w:eastAsia="宋体" w:cs="Times New Roman"/>
          <w:color w:val="auto"/>
          <w:sz w:val="24"/>
        </w:rPr>
        <w:t>作业区</w:t>
      </w:r>
      <w:r>
        <w:rPr>
          <w:rFonts w:hint="eastAsia" w:ascii="Times New Roman" w:hAnsi="Times New Roman" w:eastAsia="宋体" w:cs="Times New Roman"/>
          <w:color w:val="auto"/>
          <w:sz w:val="24"/>
        </w:rPr>
        <w:t>、祁集作业区</w:t>
      </w:r>
      <w:r>
        <w:rPr>
          <w:rFonts w:ascii="Times New Roman" w:hAnsi="Times New Roman" w:eastAsia="宋体" w:cs="Times New Roman"/>
          <w:color w:val="auto"/>
          <w:sz w:val="24"/>
        </w:rPr>
        <w:t>和</w:t>
      </w:r>
      <w:r>
        <w:rPr>
          <w:rFonts w:hint="eastAsia" w:ascii="Times New Roman" w:hAnsi="Times New Roman" w:eastAsia="宋体" w:cs="Times New Roman"/>
          <w:color w:val="auto"/>
          <w:sz w:val="24"/>
        </w:rPr>
        <w:t>平圩</w:t>
      </w:r>
      <w:r>
        <w:rPr>
          <w:rFonts w:ascii="Times New Roman" w:hAnsi="Times New Roman" w:eastAsia="宋体" w:cs="Times New Roman"/>
          <w:color w:val="auto"/>
          <w:sz w:val="24"/>
        </w:rPr>
        <w:t>作业区。</w:t>
      </w:r>
      <w:r>
        <w:rPr>
          <w:rFonts w:ascii="Times New Roman" w:hAnsi="Times New Roman" w:eastAsia="宋体" w:cs="Times New Roman"/>
          <w:color w:val="auto"/>
          <w:spacing w:val="-4"/>
          <w:sz w:val="24"/>
          <w:szCs w:val="24"/>
        </w:rPr>
        <w:t>本项目建设符合其规划环评及其审查意见的要求。</w:t>
      </w:r>
      <w:r>
        <w:rPr>
          <w:rFonts w:ascii="Times New Roman" w:hAnsi="Times New Roman" w:eastAsia="宋体" w:cs="Times New Roman"/>
          <w:color w:val="auto"/>
          <w:spacing w:val="-4"/>
          <w:sz w:val="24"/>
        </w:rPr>
        <w:t>因此，该项目的建设符合</w:t>
      </w:r>
      <w:r>
        <w:rPr>
          <w:rFonts w:hint="eastAsia" w:ascii="Times New Roman" w:hAnsi="Times New Roman" w:eastAsia="宋体" w:cs="Times New Roman"/>
          <w:color w:val="auto"/>
          <w:spacing w:val="-4"/>
          <w:sz w:val="24"/>
        </w:rPr>
        <w:t>《淮南港总体规划（2035年）》</w:t>
      </w:r>
      <w:r>
        <w:rPr>
          <w:rFonts w:ascii="Times New Roman" w:hAnsi="Times New Roman" w:eastAsia="宋体" w:cs="Times New Roman"/>
          <w:color w:val="auto"/>
          <w:spacing w:val="-4"/>
          <w:sz w:val="24"/>
        </w:rPr>
        <w:t>及规划环评</w:t>
      </w:r>
      <w:r>
        <w:rPr>
          <w:rFonts w:hint="eastAsia" w:cs="Times New Roman"/>
          <w:color w:val="auto"/>
          <w:spacing w:val="-4"/>
          <w:sz w:val="24"/>
          <w:lang w:eastAsia="zh-CN"/>
        </w:rPr>
        <w:t>要</w:t>
      </w:r>
      <w:r>
        <w:rPr>
          <w:rFonts w:ascii="Times New Roman" w:hAnsi="Times New Roman" w:eastAsia="宋体" w:cs="Times New Roman"/>
          <w:color w:val="auto"/>
          <w:spacing w:val="-4"/>
          <w:sz w:val="24"/>
        </w:rPr>
        <w:t>求。</w:t>
      </w:r>
    </w:p>
    <w:p w14:paraId="2B987B63">
      <w:pPr>
        <w:keepNext/>
        <w:keepLines/>
        <w:widowControl w:val="0"/>
        <w:numPr>
          <w:ilvl w:val="2"/>
          <w:numId w:val="0"/>
        </w:numPr>
        <w:spacing w:line="360" w:lineRule="auto"/>
        <w:jc w:val="both"/>
        <w:outlineLvl w:val="2"/>
        <w:rPr>
          <w:rFonts w:ascii="Times New Roman" w:hAnsi="Times New Roman" w:eastAsia="黑体" w:cs="Times New Roman"/>
          <w:bCs/>
          <w:color w:val="auto"/>
          <w:kern w:val="2"/>
          <w:sz w:val="28"/>
          <w:szCs w:val="32"/>
          <w:lang w:val="en-US" w:eastAsia="zh-CN" w:bidi="ar-SA"/>
        </w:rPr>
      </w:pPr>
      <w:r>
        <w:rPr>
          <w:rFonts w:hint="eastAsia" w:ascii="Times New Roman" w:hAnsi="Times New Roman" w:eastAsia="黑体" w:cs="Times New Roman"/>
          <w:bCs/>
          <w:color w:val="auto"/>
          <w:kern w:val="2"/>
          <w:sz w:val="28"/>
          <w:szCs w:val="32"/>
          <w:lang w:val="en-US" w:eastAsia="zh-CN" w:bidi="ar-SA"/>
        </w:rPr>
        <w:t>9.2.3</w:t>
      </w:r>
      <w:r>
        <w:rPr>
          <w:rFonts w:ascii="Times New Roman" w:hAnsi="Times New Roman" w:eastAsia="黑体" w:cs="Times New Roman"/>
          <w:bCs/>
          <w:color w:val="auto"/>
          <w:kern w:val="2"/>
          <w:sz w:val="28"/>
          <w:szCs w:val="32"/>
          <w:lang w:val="en-US" w:eastAsia="zh-CN" w:bidi="ar-SA"/>
        </w:rPr>
        <w:t>“三线一单”符合性分析</w:t>
      </w:r>
    </w:p>
    <w:p w14:paraId="6B3CAC92">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（1）生态保护红线</w:t>
      </w:r>
    </w:p>
    <w:p w14:paraId="7C174736">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经对比结果表明，本项目码头位置不占用淮南市生态保护红线范围</w:t>
      </w:r>
      <w:r>
        <w:rPr>
          <w:rFonts w:ascii="Times New Roman" w:hAnsi="Times New Roman" w:eastAsia="宋体" w:cs="Times New Roman"/>
          <w:color w:val="auto"/>
          <w:sz w:val="24"/>
        </w:rPr>
        <w:t>。</w:t>
      </w:r>
    </w:p>
    <w:p w14:paraId="111489F4">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（2）环境质量底线</w:t>
      </w:r>
    </w:p>
    <w:p w14:paraId="0C5FC61F">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1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①</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环境空气</w:t>
      </w:r>
    </w:p>
    <w:p w14:paraId="6D24BDBA">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根据</w:t>
      </w:r>
      <w:r>
        <w:rPr>
          <w:rFonts w:hint="eastAsia" w:cs="Times New Roman"/>
          <w:color w:val="auto"/>
          <w:sz w:val="24"/>
          <w:lang w:eastAsia="zh-CN"/>
        </w:rPr>
        <w:t>《2025年淮南市生态环境质量状况公报》</w:t>
      </w:r>
      <w:r>
        <w:rPr>
          <w:rFonts w:ascii="Times New Roman" w:hAnsi="Times New Roman" w:eastAsia="宋体" w:cs="Times New Roman"/>
          <w:color w:val="auto"/>
          <w:sz w:val="24"/>
        </w:rPr>
        <w:t>，</w:t>
      </w:r>
      <w:r>
        <w:rPr>
          <w:rFonts w:hint="eastAsia" w:cs="Times New Roman"/>
          <w:color w:val="auto"/>
          <w:sz w:val="24"/>
          <w:szCs w:val="28"/>
          <w:highlight w:val="none"/>
          <w:lang w:val="en-US" w:eastAsia="zh-CN"/>
        </w:rPr>
        <w:t>对照</w:t>
      </w:r>
      <w:r>
        <w:rPr>
          <w:rFonts w:hint="default" w:ascii="Times New Roman" w:hAnsi="Times New Roman" w:eastAsia="宋体" w:cs="Times New Roman"/>
          <w:color w:val="auto"/>
          <w:sz w:val="24"/>
          <w:szCs w:val="28"/>
          <w:highlight w:val="none"/>
        </w:rPr>
        <w:t>《环境空气质量标准》（GB3095-2012）二级标准</w:t>
      </w:r>
      <w:r>
        <w:rPr>
          <w:rFonts w:hint="default" w:ascii="Times New Roman" w:hAnsi="Times New Roman" w:eastAsia="宋体" w:cs="Times New Roman"/>
          <w:color w:val="auto"/>
          <w:sz w:val="24"/>
          <w:szCs w:val="28"/>
          <w:highlight w:val="none"/>
          <w:lang w:val="en-US" w:eastAsia="zh-CN"/>
        </w:rPr>
        <w:t>及修改单</w:t>
      </w:r>
      <w:r>
        <w:rPr>
          <w:rFonts w:hint="eastAsia" w:cs="Times New Roman"/>
          <w:color w:val="auto"/>
          <w:sz w:val="24"/>
          <w:szCs w:val="28"/>
          <w:highlight w:val="none"/>
          <w:lang w:val="en-US" w:eastAsia="zh-CN"/>
        </w:rPr>
        <w:t>，</w:t>
      </w:r>
      <w:r>
        <w:rPr>
          <w:rFonts w:hint="eastAsia" w:ascii="Times New Roman" w:hAnsi="Times New Roman" w:eastAsia="宋体" w:cs="Times New Roman"/>
          <w:color w:val="auto"/>
          <w:sz w:val="24"/>
          <w:szCs w:val="24"/>
          <w:highlight w:val="none"/>
          <w:lang w:val="en-US" w:eastAsia="zh-CN"/>
        </w:rPr>
        <w:t>2025</w:t>
      </w:r>
      <w:r>
        <w:rPr>
          <w:rFonts w:hint="default" w:ascii="Times New Roman" w:hAnsi="Times New Roman" w:eastAsia="宋体" w:cs="Times New Roman"/>
          <w:color w:val="auto"/>
          <w:sz w:val="24"/>
          <w:szCs w:val="24"/>
          <w:highlight w:val="none"/>
          <w:lang w:val="en-US" w:eastAsia="zh-CN"/>
        </w:rPr>
        <w:t>年</w:t>
      </w:r>
      <w:r>
        <w:rPr>
          <w:rFonts w:hint="eastAsia" w:eastAsia="宋体" w:cs="Times New Roman"/>
          <w:color w:val="auto"/>
          <w:sz w:val="24"/>
          <w:szCs w:val="24"/>
          <w:highlight w:val="none"/>
          <w:lang w:val="en-US" w:eastAsia="zh-CN"/>
        </w:rPr>
        <w:t>淮南</w:t>
      </w:r>
      <w:r>
        <w:rPr>
          <w:rFonts w:hint="default" w:ascii="Times New Roman" w:hAnsi="Times New Roman" w:eastAsia="宋体" w:cs="Times New Roman"/>
          <w:color w:val="auto"/>
          <w:sz w:val="24"/>
          <w:szCs w:val="24"/>
          <w:highlight w:val="none"/>
        </w:rPr>
        <w:t>市属于</w:t>
      </w:r>
      <w:r>
        <w:rPr>
          <w:rFonts w:hint="eastAsia" w:eastAsia="宋体" w:cs="Times New Roman"/>
          <w:color w:val="auto"/>
          <w:sz w:val="24"/>
          <w:szCs w:val="24"/>
          <w:highlight w:val="none"/>
          <w:lang w:val="en-US" w:eastAsia="zh-CN"/>
        </w:rPr>
        <w:t>不</w:t>
      </w:r>
      <w:r>
        <w:rPr>
          <w:rFonts w:hint="default" w:ascii="Times New Roman" w:hAnsi="Times New Roman" w:eastAsia="宋体" w:cs="Times New Roman"/>
          <w:color w:val="auto"/>
          <w:sz w:val="24"/>
          <w:szCs w:val="24"/>
          <w:highlight w:val="none"/>
        </w:rPr>
        <w:t>达标区域</w:t>
      </w:r>
      <w:r>
        <w:rPr>
          <w:rFonts w:hint="eastAsia" w:eastAsia="宋体" w:cs="Times New Roman"/>
          <w:color w:val="auto"/>
          <w:kern w:val="0"/>
          <w:sz w:val="24"/>
          <w:szCs w:val="24"/>
          <w:highlight w:val="none"/>
          <w:lang w:eastAsia="zh-CN"/>
        </w:rPr>
        <w:t>；</w:t>
      </w:r>
      <w:r>
        <w:rPr>
          <w:rFonts w:hint="default" w:ascii="Times New Roman" w:hAnsi="Times New Roman" w:eastAsia="宋体" w:cs="Times New Roman"/>
          <w:color w:val="auto"/>
          <w:sz w:val="24"/>
          <w:szCs w:val="21"/>
          <w:highlight w:val="none"/>
          <w:lang w:val="en-US" w:eastAsia="zh-CN"/>
        </w:rPr>
        <w:t>对照</w:t>
      </w:r>
      <w:r>
        <w:rPr>
          <w:rFonts w:hint="default" w:ascii="Times New Roman" w:hAnsi="Times New Roman" w:eastAsia="宋体" w:cs="Times New Roman"/>
          <w:color w:val="auto"/>
          <w:sz w:val="24"/>
          <w:szCs w:val="21"/>
          <w:highlight w:val="none"/>
        </w:rPr>
        <w:t>《环境空气质量标准》（GB3095-20</w:t>
      </w:r>
      <w:r>
        <w:rPr>
          <w:rFonts w:hint="default" w:ascii="Times New Roman" w:hAnsi="Times New Roman" w:eastAsia="宋体" w:cs="Times New Roman"/>
          <w:color w:val="auto"/>
          <w:sz w:val="24"/>
          <w:szCs w:val="21"/>
          <w:highlight w:val="none"/>
          <w:lang w:val="en-US" w:eastAsia="zh-CN"/>
        </w:rPr>
        <w:t>26），</w:t>
      </w:r>
      <w:r>
        <w:rPr>
          <w:rFonts w:hint="eastAsia" w:ascii="Times New Roman" w:hAnsi="Times New Roman" w:eastAsia="宋体" w:cs="Times New Roman"/>
          <w:color w:val="auto"/>
          <w:sz w:val="24"/>
          <w:szCs w:val="21"/>
          <w:highlight w:val="none"/>
          <w:lang w:val="en-US" w:eastAsia="zh-CN"/>
        </w:rPr>
        <w:t>2025年</w:t>
      </w:r>
      <w:r>
        <w:rPr>
          <w:rFonts w:hint="eastAsia" w:eastAsia="宋体" w:cs="Times New Roman"/>
          <w:color w:val="auto"/>
          <w:sz w:val="24"/>
          <w:szCs w:val="21"/>
          <w:highlight w:val="none"/>
          <w:lang w:val="en-US" w:eastAsia="zh-CN"/>
        </w:rPr>
        <w:t>淮南</w:t>
      </w:r>
      <w:r>
        <w:rPr>
          <w:rFonts w:hint="eastAsia" w:ascii="Times New Roman" w:hAnsi="Times New Roman" w:eastAsia="宋体" w:cs="Times New Roman"/>
          <w:color w:val="auto"/>
          <w:sz w:val="24"/>
          <w:szCs w:val="21"/>
          <w:highlight w:val="none"/>
          <w:lang w:val="en-US" w:eastAsia="zh-CN"/>
        </w:rPr>
        <w:t>市</w:t>
      </w:r>
      <w:r>
        <w:rPr>
          <w:rFonts w:hint="default" w:ascii="Times New Roman" w:hAnsi="Times New Roman" w:eastAsia="宋体" w:cs="Times New Roman"/>
          <w:color w:val="auto"/>
          <w:sz w:val="24"/>
          <w:szCs w:val="21"/>
          <w:highlight w:val="none"/>
          <w:lang w:val="en-US" w:eastAsia="zh-CN"/>
        </w:rPr>
        <w:t>PM</w:t>
      </w:r>
      <w:r>
        <w:rPr>
          <w:rFonts w:hint="default" w:ascii="Times New Roman" w:hAnsi="Times New Roman" w:eastAsia="宋体" w:cs="Times New Roman"/>
          <w:color w:val="auto"/>
          <w:sz w:val="24"/>
          <w:szCs w:val="21"/>
          <w:highlight w:val="none"/>
          <w:vertAlign w:val="subscript"/>
          <w:lang w:val="en-US" w:eastAsia="zh-CN"/>
        </w:rPr>
        <w:t>10</w:t>
      </w:r>
      <w:r>
        <w:rPr>
          <w:rFonts w:hint="eastAsia" w:ascii="Times New Roman" w:hAnsi="Times New Roman" w:eastAsia="宋体" w:cs="Times New Roman"/>
          <w:color w:val="auto"/>
          <w:sz w:val="24"/>
          <w:szCs w:val="21"/>
          <w:highlight w:val="none"/>
          <w:vertAlign w:val="baseline"/>
          <w:lang w:val="en-US" w:eastAsia="zh-CN"/>
        </w:rPr>
        <w:t>、</w:t>
      </w:r>
      <w:r>
        <w:rPr>
          <w:rFonts w:hint="default" w:ascii="Times New Roman" w:hAnsi="Times New Roman" w:eastAsia="宋体" w:cs="Times New Roman"/>
          <w:color w:val="auto"/>
          <w:sz w:val="24"/>
          <w:szCs w:val="21"/>
          <w:highlight w:val="none"/>
          <w:lang w:val="en-US" w:eastAsia="zh-CN"/>
        </w:rPr>
        <w:t>PM</w:t>
      </w:r>
      <w:r>
        <w:rPr>
          <w:rFonts w:hint="eastAsia" w:ascii="Times New Roman" w:hAnsi="Times New Roman" w:eastAsia="宋体" w:cs="Times New Roman"/>
          <w:color w:val="auto"/>
          <w:sz w:val="24"/>
          <w:szCs w:val="21"/>
          <w:highlight w:val="none"/>
          <w:vertAlign w:val="subscript"/>
          <w:lang w:val="en-US" w:eastAsia="zh-CN"/>
        </w:rPr>
        <w:t>2.5</w:t>
      </w:r>
      <w:r>
        <w:rPr>
          <w:rFonts w:hint="default" w:ascii="Times New Roman" w:hAnsi="Times New Roman" w:eastAsia="宋体" w:cs="Times New Roman"/>
          <w:color w:val="auto"/>
          <w:sz w:val="24"/>
          <w:szCs w:val="21"/>
          <w:highlight w:val="none"/>
          <w:lang w:val="en-US" w:eastAsia="zh-CN"/>
        </w:rPr>
        <w:t>年均浓度超过</w:t>
      </w:r>
      <w:r>
        <w:rPr>
          <w:rFonts w:hint="default" w:ascii="Times New Roman" w:hAnsi="Times New Roman" w:eastAsia="宋体" w:cs="Times New Roman"/>
          <w:color w:val="auto"/>
          <w:sz w:val="24"/>
          <w:szCs w:val="21"/>
          <w:highlight w:val="none"/>
        </w:rPr>
        <w:t>GB3095-20</w:t>
      </w:r>
      <w:r>
        <w:rPr>
          <w:rFonts w:hint="default" w:ascii="Times New Roman" w:hAnsi="Times New Roman" w:eastAsia="宋体" w:cs="Times New Roman"/>
          <w:color w:val="auto"/>
          <w:sz w:val="24"/>
          <w:szCs w:val="21"/>
          <w:highlight w:val="none"/>
          <w:lang w:val="en-US" w:eastAsia="zh-CN"/>
        </w:rPr>
        <w:t>26表1中过渡阶段</w:t>
      </w:r>
      <w:r>
        <w:rPr>
          <w:rFonts w:hint="default" w:ascii="Times New Roman" w:hAnsi="Times New Roman" w:eastAsia="宋体" w:cs="Times New Roman"/>
          <w:color w:val="auto"/>
          <w:sz w:val="24"/>
          <w:szCs w:val="21"/>
          <w:highlight w:val="none"/>
        </w:rPr>
        <w:t>二级</w:t>
      </w:r>
      <w:r>
        <w:rPr>
          <w:rFonts w:hint="default" w:ascii="Times New Roman" w:hAnsi="Times New Roman" w:eastAsia="宋体" w:cs="Times New Roman"/>
          <w:color w:val="auto"/>
          <w:sz w:val="24"/>
          <w:szCs w:val="21"/>
          <w:highlight w:val="none"/>
          <w:lang w:val="en-US" w:eastAsia="zh-CN"/>
        </w:rPr>
        <w:t>浓度限值（PM</w:t>
      </w:r>
      <w:r>
        <w:rPr>
          <w:rFonts w:hint="default" w:ascii="Times New Roman" w:hAnsi="Times New Roman" w:eastAsia="宋体" w:cs="Times New Roman"/>
          <w:color w:val="auto"/>
          <w:sz w:val="24"/>
          <w:szCs w:val="21"/>
          <w:highlight w:val="none"/>
          <w:vertAlign w:val="subscript"/>
          <w:lang w:val="en-US" w:eastAsia="zh-CN"/>
        </w:rPr>
        <w:t>10</w:t>
      </w:r>
      <w:r>
        <w:rPr>
          <w:rFonts w:hint="default" w:ascii="Times New Roman" w:hAnsi="Times New Roman" w:eastAsia="宋体" w:cs="Times New Roman"/>
          <w:color w:val="auto"/>
          <w:sz w:val="24"/>
          <w:szCs w:val="21"/>
          <w:highlight w:val="none"/>
          <w:lang w:val="en-US" w:eastAsia="zh-CN"/>
        </w:rPr>
        <w:t>限值60μg/m</w:t>
      </w:r>
      <w:r>
        <w:rPr>
          <w:rFonts w:hint="default" w:ascii="Times New Roman" w:hAnsi="Times New Roman" w:eastAsia="宋体" w:cs="Times New Roman"/>
          <w:color w:val="auto"/>
          <w:sz w:val="24"/>
          <w:szCs w:val="21"/>
          <w:highlight w:val="none"/>
          <w:vertAlign w:val="superscript"/>
          <w:lang w:val="en-US" w:eastAsia="zh-CN"/>
        </w:rPr>
        <w:t>3</w:t>
      </w:r>
      <w:r>
        <w:rPr>
          <w:rFonts w:hint="eastAsia" w:ascii="Times New Roman" w:hAnsi="Times New Roman" w:eastAsia="宋体" w:cs="Times New Roman"/>
          <w:color w:val="auto"/>
          <w:sz w:val="24"/>
          <w:szCs w:val="21"/>
          <w:highlight w:val="none"/>
          <w:vertAlign w:val="baseline"/>
          <w:lang w:val="en-US" w:eastAsia="zh-CN"/>
        </w:rPr>
        <w:t>、</w:t>
      </w:r>
      <w:r>
        <w:rPr>
          <w:rFonts w:hint="default" w:ascii="Times New Roman" w:hAnsi="Times New Roman" w:eastAsia="宋体" w:cs="Times New Roman"/>
          <w:color w:val="auto"/>
          <w:sz w:val="24"/>
          <w:szCs w:val="21"/>
          <w:highlight w:val="none"/>
          <w:lang w:val="en-US" w:eastAsia="zh-CN"/>
        </w:rPr>
        <w:t>PM</w:t>
      </w:r>
      <w:r>
        <w:rPr>
          <w:rFonts w:hint="eastAsia" w:ascii="Times New Roman" w:hAnsi="Times New Roman" w:eastAsia="宋体" w:cs="Times New Roman"/>
          <w:color w:val="auto"/>
          <w:sz w:val="24"/>
          <w:szCs w:val="21"/>
          <w:highlight w:val="none"/>
          <w:vertAlign w:val="subscript"/>
          <w:lang w:val="en-US" w:eastAsia="zh-CN"/>
        </w:rPr>
        <w:t>2.5</w:t>
      </w:r>
      <w:r>
        <w:rPr>
          <w:rFonts w:hint="default" w:ascii="Times New Roman" w:hAnsi="Times New Roman" w:eastAsia="宋体" w:cs="Times New Roman"/>
          <w:color w:val="auto"/>
          <w:sz w:val="24"/>
          <w:szCs w:val="21"/>
          <w:highlight w:val="none"/>
          <w:lang w:val="en-US" w:eastAsia="zh-CN"/>
        </w:rPr>
        <w:t>限值</w:t>
      </w:r>
      <w:r>
        <w:rPr>
          <w:rFonts w:hint="eastAsia" w:ascii="Times New Roman" w:hAnsi="Times New Roman" w:eastAsia="宋体" w:cs="Times New Roman"/>
          <w:color w:val="auto"/>
          <w:sz w:val="24"/>
          <w:szCs w:val="21"/>
          <w:highlight w:val="none"/>
          <w:lang w:val="en-US" w:eastAsia="zh-CN"/>
        </w:rPr>
        <w:t>30</w:t>
      </w:r>
      <w:r>
        <w:rPr>
          <w:rFonts w:hint="default" w:ascii="Times New Roman" w:hAnsi="Times New Roman" w:eastAsia="宋体" w:cs="Times New Roman"/>
          <w:color w:val="auto"/>
          <w:sz w:val="24"/>
          <w:szCs w:val="21"/>
          <w:highlight w:val="none"/>
          <w:lang w:val="en-US" w:eastAsia="zh-CN"/>
        </w:rPr>
        <w:t>μg/m</w:t>
      </w:r>
      <w:r>
        <w:rPr>
          <w:rFonts w:hint="default" w:ascii="Times New Roman" w:hAnsi="Times New Roman" w:eastAsia="宋体" w:cs="Times New Roman"/>
          <w:color w:val="auto"/>
          <w:sz w:val="24"/>
          <w:szCs w:val="21"/>
          <w:highlight w:val="none"/>
          <w:vertAlign w:val="superscript"/>
          <w:lang w:val="en-US" w:eastAsia="zh-CN"/>
        </w:rPr>
        <w:t>3</w:t>
      </w:r>
      <w:r>
        <w:rPr>
          <w:rFonts w:hint="default" w:ascii="Times New Roman" w:hAnsi="Times New Roman" w:eastAsia="宋体" w:cs="Times New Roman"/>
          <w:color w:val="auto"/>
          <w:sz w:val="24"/>
          <w:szCs w:val="21"/>
          <w:highlight w:val="none"/>
          <w:lang w:val="en-US" w:eastAsia="zh-CN"/>
        </w:rPr>
        <w:t>）</w:t>
      </w:r>
      <w:r>
        <w:rPr>
          <w:rFonts w:ascii="Times New Roman" w:hAnsi="Times New Roman" w:eastAsia="宋体" w:cs="Times New Roman"/>
          <w:color w:val="auto"/>
          <w:sz w:val="24"/>
        </w:rPr>
        <w:t>。根据补充监测结果，项目区</w:t>
      </w:r>
      <w:r>
        <w:rPr>
          <w:rFonts w:hint="eastAsia" w:ascii="Times New Roman" w:hAnsi="Times New Roman" w:eastAsia="宋体" w:cs="Times New Roman"/>
          <w:color w:val="auto"/>
          <w:sz w:val="24"/>
        </w:rPr>
        <w:t>T</w:t>
      </w:r>
      <w:r>
        <w:rPr>
          <w:rFonts w:ascii="Times New Roman" w:hAnsi="Times New Roman" w:eastAsia="宋体" w:cs="Times New Roman"/>
          <w:color w:val="auto"/>
          <w:sz w:val="24"/>
        </w:rPr>
        <w:t>SP浓度均能满足《环境空气质量标准》（</w:t>
      </w:r>
      <w:r>
        <w:rPr>
          <w:rFonts w:hint="eastAsia" w:cs="Times New Roman"/>
          <w:color w:val="auto"/>
          <w:sz w:val="24"/>
          <w:lang w:eastAsia="zh-CN"/>
        </w:rPr>
        <w:t>GB 3095-2026</w:t>
      </w:r>
      <w:r>
        <w:rPr>
          <w:rFonts w:ascii="Times New Roman" w:hAnsi="Times New Roman" w:eastAsia="宋体" w:cs="Times New Roman"/>
          <w:color w:val="auto"/>
          <w:sz w:val="24"/>
        </w:rPr>
        <w:t>）中二级标准要求。本项目排放的污染物为颗粒物，根据预测结果，正常生产情况下，颗粒物最大落地点浓度均小于其标准浓度限值，项目对评价区域影响较小。</w:t>
      </w:r>
    </w:p>
    <w:p w14:paraId="37BC9D14">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2 \* GB3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②</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地表水环境</w:t>
      </w:r>
    </w:p>
    <w:p w14:paraId="2EDDC3CF">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地表水环境质量现状评价结果表明，</w:t>
      </w:r>
      <w:r>
        <w:rPr>
          <w:rFonts w:hint="eastAsia" w:ascii="Times New Roman" w:hAnsi="Times New Roman" w:eastAsia="宋体" w:cs="Times New Roman"/>
          <w:color w:val="auto"/>
          <w:sz w:val="24"/>
        </w:rPr>
        <w:t>各监测断面</w:t>
      </w:r>
      <w:r>
        <w:rPr>
          <w:rFonts w:ascii="Times New Roman" w:hAnsi="Times New Roman" w:eastAsia="宋体" w:cs="Times New Roman"/>
          <w:color w:val="auto"/>
          <w:sz w:val="24"/>
        </w:rPr>
        <w:t>各项指标均满足《地表水环境质量标准》(GB3838-2002)中的</w:t>
      </w:r>
      <w:r>
        <w:rPr>
          <w:rFonts w:ascii="Times New Roman" w:hAnsi="Times New Roman" w:eastAsia="宋体" w:cs="Times New Roman"/>
          <w:color w:val="auto"/>
          <w:sz w:val="24"/>
        </w:rPr>
        <w:fldChar w:fldCharType="begin"/>
      </w:r>
      <w:r>
        <w:rPr>
          <w:rFonts w:ascii="Times New Roman" w:hAnsi="Times New Roman" w:eastAsia="宋体" w:cs="Times New Roman"/>
          <w:color w:val="auto"/>
          <w:sz w:val="24"/>
        </w:rPr>
        <w:instrText xml:space="preserve"> = 3 \* ROMAN </w:instrText>
      </w:r>
      <w:r>
        <w:rPr>
          <w:rFonts w:ascii="Times New Roman" w:hAnsi="Times New Roman" w:eastAsia="宋体" w:cs="Times New Roman"/>
          <w:color w:val="auto"/>
          <w:sz w:val="24"/>
        </w:rPr>
        <w:fldChar w:fldCharType="separate"/>
      </w:r>
      <w:r>
        <w:rPr>
          <w:rFonts w:ascii="Times New Roman" w:hAnsi="Times New Roman" w:eastAsia="宋体" w:cs="Times New Roman"/>
          <w:color w:val="auto"/>
          <w:sz w:val="24"/>
        </w:rPr>
        <w:t>III</w:t>
      </w:r>
      <w:r>
        <w:rPr>
          <w:rFonts w:ascii="Times New Roman" w:hAnsi="Times New Roman" w:eastAsia="宋体" w:cs="Times New Roman"/>
          <w:color w:val="auto"/>
          <w:sz w:val="24"/>
        </w:rPr>
        <w:fldChar w:fldCharType="end"/>
      </w:r>
      <w:r>
        <w:rPr>
          <w:rFonts w:ascii="Times New Roman" w:hAnsi="Times New Roman" w:eastAsia="宋体" w:cs="Times New Roman"/>
          <w:color w:val="auto"/>
          <w:sz w:val="24"/>
        </w:rPr>
        <w:t>类标准。</w:t>
      </w:r>
    </w:p>
    <w:p w14:paraId="3EFE2BEF">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综上，本项目建设满足环境质量底线要求。</w:t>
      </w:r>
    </w:p>
    <w:p w14:paraId="4E4ED1CB">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（3）资源利用上线</w:t>
      </w:r>
    </w:p>
    <w:p w14:paraId="1AF48667">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bCs/>
          <w:color w:val="auto"/>
          <w:sz w:val="24"/>
        </w:rPr>
        <w:t>本项目位于</w:t>
      </w:r>
      <w:r>
        <w:rPr>
          <w:rFonts w:hint="eastAsia" w:ascii="Times New Roman" w:hAnsi="Times New Roman" w:eastAsia="宋体" w:cs="Times New Roman"/>
          <w:color w:val="auto"/>
          <w:sz w:val="24"/>
        </w:rPr>
        <w:t>淮南市潘集区平圩镇淮河北汊的左岸潘集港区规划作业区，对应淮北大堤饶荆段桩号</w:t>
      </w:r>
      <w:r>
        <w:rPr>
          <w:rFonts w:hint="eastAsia" w:cs="Times New Roman"/>
          <w:color w:val="auto"/>
          <w:sz w:val="24"/>
          <w:lang w:eastAsia="zh-CN"/>
        </w:rPr>
        <w:t>68+052~68+254</w:t>
      </w:r>
      <w:r>
        <w:rPr>
          <w:rFonts w:hint="eastAsia" w:ascii="Times New Roman" w:hAnsi="Times New Roman" w:eastAsia="宋体" w:cs="Times New Roman"/>
          <w:color w:val="auto"/>
          <w:sz w:val="24"/>
        </w:rPr>
        <w:t>，</w:t>
      </w:r>
      <w:r>
        <w:rPr>
          <w:rFonts w:hint="eastAsia" w:ascii="Times New Roman" w:hAnsi="Times New Roman" w:eastAsia="宋体" w:cs="Times New Roman"/>
          <w:bCs/>
          <w:color w:val="auto"/>
          <w:sz w:val="24"/>
        </w:rPr>
        <w:t>属淮南港潘集港区平圩作业区。</w:t>
      </w:r>
      <w:r>
        <w:rPr>
          <w:rFonts w:hint="eastAsia" w:ascii="Times New Roman" w:hAnsi="Times New Roman" w:eastAsia="宋体" w:cs="Times New Roman"/>
          <w:color w:val="auto"/>
          <w:sz w:val="24"/>
        </w:rPr>
        <w:t>项目选址、岸线使用及陆域用地规模符合《淮南港总体规划（2035年）》及规划环评要求。</w:t>
      </w:r>
    </w:p>
    <w:p w14:paraId="57BABD12">
      <w:pPr>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拟建</w:t>
      </w:r>
      <w:r>
        <w:rPr>
          <w:rFonts w:ascii="Times New Roman" w:hAnsi="Times New Roman" w:eastAsia="宋体" w:cs="Times New Roman"/>
          <w:color w:val="auto"/>
          <w:sz w:val="24"/>
        </w:rPr>
        <w:t>项目</w:t>
      </w:r>
      <w:r>
        <w:rPr>
          <w:rFonts w:hint="eastAsia" w:ascii="Times New Roman" w:hAnsi="Times New Roman" w:eastAsia="宋体" w:cs="Times New Roman"/>
          <w:color w:val="auto"/>
          <w:sz w:val="24"/>
        </w:rPr>
        <w:t>供电由当地电网解决；本项目用水来自市政供水管网，本项目为水运工程基础设施项目，不属于高耗水、高耗能项目。</w:t>
      </w:r>
    </w:p>
    <w:p w14:paraId="299E76EA">
      <w:pPr>
        <w:spacing w:line="360" w:lineRule="auto"/>
        <w:ind w:firstLine="480" w:firstLineChars="200"/>
        <w:rPr>
          <w:rFonts w:ascii="Times New Roman" w:hAnsi="Times New Roman" w:eastAsia="宋体" w:cs="Times New Roman"/>
          <w:color w:val="auto"/>
          <w:sz w:val="24"/>
        </w:rPr>
      </w:pPr>
      <w:r>
        <w:rPr>
          <w:rFonts w:hint="eastAsia" w:ascii="Times New Roman" w:hAnsi="Times New Roman" w:eastAsia="宋体" w:cs="Times New Roman"/>
          <w:color w:val="auto"/>
          <w:sz w:val="24"/>
        </w:rPr>
        <w:t>因此，项目建设不会超出区域资源利用上限要求。</w:t>
      </w:r>
    </w:p>
    <w:p w14:paraId="26FBAF02">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（4）生态环境准入清单</w:t>
      </w:r>
    </w:p>
    <w:p w14:paraId="31199C35">
      <w:pPr>
        <w:widowControl w:val="0"/>
        <w:spacing w:line="360" w:lineRule="auto"/>
        <w:ind w:firstLine="480" w:firstLineChars="200"/>
        <w:jc w:val="both"/>
        <w:rPr>
          <w:rFonts w:ascii="Times New Roman" w:hAnsi="Times New Roman" w:eastAsia="宋体" w:cs="Times New Roman"/>
          <w:snapToGrid w:val="0"/>
          <w:color w:val="auto"/>
          <w:kern w:val="2"/>
          <w:sz w:val="24"/>
          <w:szCs w:val="21"/>
          <w:lang w:val="en-US" w:eastAsia="zh-CN" w:bidi="ar-SA"/>
        </w:rPr>
      </w:pPr>
      <w:r>
        <w:rPr>
          <w:color w:val="auto"/>
          <w:sz w:val="24"/>
        </w:rPr>
        <w:t>根据</w:t>
      </w:r>
      <w:r>
        <w:rPr>
          <w:rFonts w:hint="eastAsia"/>
          <w:color w:val="auto"/>
          <w:sz w:val="24"/>
        </w:rPr>
        <w:t>《产业结构调整指导目录（20</w:t>
      </w:r>
      <w:r>
        <w:rPr>
          <w:rFonts w:hint="eastAsia"/>
          <w:color w:val="auto"/>
          <w:sz w:val="24"/>
          <w:lang w:val="en-US" w:eastAsia="zh-CN"/>
        </w:rPr>
        <w:t>24年</w:t>
      </w:r>
      <w:r>
        <w:rPr>
          <w:rFonts w:hint="eastAsia"/>
          <w:color w:val="auto"/>
          <w:sz w:val="24"/>
        </w:rPr>
        <w:t>本）</w:t>
      </w:r>
      <w:r>
        <w:rPr>
          <w:rFonts w:hint="eastAsia"/>
          <w:color w:val="auto"/>
          <w:sz w:val="24"/>
          <w:lang w:eastAsia="zh-CN"/>
        </w:rPr>
        <w:t>》</w:t>
      </w:r>
      <w:r>
        <w:rPr>
          <w:color w:val="auto"/>
          <w:sz w:val="24"/>
        </w:rPr>
        <w:t>，本项目属于“鼓励类：二十五、水运一</w:t>
      </w:r>
      <w:r>
        <w:rPr>
          <w:rFonts w:hint="eastAsia"/>
          <w:color w:val="auto"/>
          <w:sz w:val="24"/>
          <w:lang w:val="en-US" w:eastAsia="zh-CN"/>
        </w:rPr>
        <w:t>2</w:t>
      </w:r>
      <w:r>
        <w:rPr>
          <w:color w:val="auto"/>
          <w:sz w:val="24"/>
        </w:rPr>
        <w:t>、</w:t>
      </w:r>
      <w:r>
        <w:rPr>
          <w:color w:val="auto"/>
          <w:sz w:val="24"/>
          <w:lang w:val="en-US" w:eastAsia="zh-CN"/>
        </w:rPr>
        <w:t>港口枢纽建设：</w:t>
      </w:r>
      <w:r>
        <w:rPr>
          <w:b/>
          <w:bCs/>
          <w:color w:val="auto"/>
          <w:sz w:val="24"/>
          <w:lang w:val="en-US" w:eastAsia="zh-CN"/>
        </w:rPr>
        <w:t>码头泊位建设</w:t>
      </w:r>
      <w:r>
        <w:rPr>
          <w:color w:val="auto"/>
          <w:sz w:val="24"/>
          <w:lang w:val="en-US" w:eastAsia="zh-CN"/>
        </w:rPr>
        <w:t>，船舶污染物港口接收处置</w:t>
      </w:r>
      <w:r>
        <w:rPr>
          <w:rFonts w:hint="default"/>
          <w:color w:val="auto"/>
          <w:sz w:val="24"/>
          <w:lang w:val="en-US" w:eastAsia="zh-CN"/>
        </w:rPr>
        <w:t>设施建设及设备制造，港口危险化学品、油品应急设施建设及设备制造，国际邮轮运输及邮轮母港建设，港口岸电系统建设及船舶受电设施改造，船舶 LNG 加注设施和电动船充换电设施建设</w:t>
      </w:r>
      <w:r>
        <w:rPr>
          <w:rFonts w:hint="eastAsia" w:ascii="宋体" w:hAnsi="宋体" w:eastAsia="宋体" w:cs="宋体"/>
          <w:snapToGrid w:val="0"/>
          <w:color w:val="auto"/>
          <w:kern w:val="2"/>
          <w:sz w:val="24"/>
          <w:szCs w:val="21"/>
          <w:lang w:val="en-US" w:eastAsia="zh-CN" w:bidi="ar-SA"/>
        </w:rPr>
        <w:t>，</w:t>
      </w:r>
      <w:r>
        <w:rPr>
          <w:rFonts w:ascii="宋体" w:hAnsi="宋体" w:eastAsia="宋体" w:cs="宋体"/>
          <w:snapToGrid w:val="0"/>
          <w:color w:val="auto"/>
          <w:kern w:val="2"/>
          <w:sz w:val="24"/>
          <w:szCs w:val="21"/>
          <w:lang w:val="en-US" w:eastAsia="zh-CN" w:bidi="ar-SA"/>
        </w:rPr>
        <w:t>故本项目的建设符合国家产业政策</w:t>
      </w:r>
      <w:r>
        <w:rPr>
          <w:rFonts w:ascii="Times New Roman" w:hAnsi="Times New Roman" w:eastAsia="宋体" w:cs="Times New Roman"/>
          <w:snapToGrid w:val="0"/>
          <w:color w:val="auto"/>
          <w:kern w:val="2"/>
          <w:sz w:val="24"/>
          <w:szCs w:val="21"/>
          <w:lang w:val="en-US" w:eastAsia="zh-CN" w:bidi="ar-SA"/>
        </w:rPr>
        <w:t>。本项目位于</w:t>
      </w:r>
      <w:r>
        <w:rPr>
          <w:rFonts w:hint="eastAsia" w:ascii="Times New Roman" w:hAnsi="Times New Roman" w:eastAsia="宋体" w:cs="Times New Roman"/>
          <w:snapToGrid w:val="0"/>
          <w:color w:val="auto"/>
          <w:kern w:val="2"/>
          <w:sz w:val="24"/>
          <w:szCs w:val="21"/>
          <w:lang w:val="en-US" w:eastAsia="zh-CN" w:bidi="ar-SA"/>
        </w:rPr>
        <w:t>潘集港区平圩作业区</w:t>
      </w:r>
      <w:r>
        <w:rPr>
          <w:rFonts w:ascii="Times New Roman" w:hAnsi="Times New Roman" w:eastAsia="宋体" w:cs="Times New Roman"/>
          <w:snapToGrid w:val="0"/>
          <w:color w:val="auto"/>
          <w:kern w:val="2"/>
          <w:sz w:val="24"/>
          <w:szCs w:val="21"/>
          <w:lang w:val="en-US" w:eastAsia="zh-CN" w:bidi="ar-SA"/>
        </w:rPr>
        <w:t>，符合</w:t>
      </w:r>
      <w:r>
        <w:rPr>
          <w:rFonts w:hint="eastAsia" w:ascii="Times New Roman" w:hAnsi="Times New Roman" w:eastAsia="宋体" w:cs="Times New Roman"/>
          <w:snapToGrid w:val="0"/>
          <w:color w:val="auto"/>
          <w:kern w:val="2"/>
          <w:sz w:val="24"/>
          <w:szCs w:val="21"/>
          <w:lang w:val="en-US" w:eastAsia="zh-CN" w:bidi="ar-SA"/>
        </w:rPr>
        <w:t>《淮南港总体规划（2035年）》</w:t>
      </w:r>
      <w:r>
        <w:rPr>
          <w:rFonts w:ascii="Times New Roman" w:hAnsi="Times New Roman" w:eastAsia="宋体" w:cs="Times New Roman"/>
          <w:snapToGrid w:val="0"/>
          <w:color w:val="auto"/>
          <w:kern w:val="2"/>
          <w:sz w:val="24"/>
          <w:szCs w:val="21"/>
          <w:lang w:val="en-US" w:eastAsia="zh-CN" w:bidi="ar-SA"/>
        </w:rPr>
        <w:t>及其规划环评要求。因此，本项目的建设与国家的产业政策相符，满足生态环境准入清单管理要求。</w:t>
      </w:r>
    </w:p>
    <w:p w14:paraId="66B1BC62">
      <w:pPr>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综上，本项目建设符合“三线一单”相关要求</w:t>
      </w:r>
      <w:r>
        <w:rPr>
          <w:rFonts w:ascii="Times New Roman" w:hAnsi="Times New Roman" w:eastAsia="宋体" w:cs="Times New Roman"/>
          <w:color w:val="auto"/>
          <w:spacing w:val="-4"/>
          <w:sz w:val="24"/>
        </w:rPr>
        <w:t>。</w:t>
      </w:r>
    </w:p>
    <w:p w14:paraId="4203BD36">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312" w:name="_Toc10374"/>
      <w:r>
        <w:rPr>
          <w:rFonts w:hint="eastAsia" w:ascii="Times New Roman" w:hAnsi="Times New Roman" w:eastAsia="黑体" w:cs="Times New Roman"/>
          <w:bCs/>
          <w:color w:val="auto"/>
          <w:kern w:val="2"/>
          <w:sz w:val="30"/>
          <w:szCs w:val="32"/>
          <w:lang w:val="en-US" w:eastAsia="zh-CN" w:bidi="ar-SA"/>
        </w:rPr>
        <w:t>9.3</w:t>
      </w:r>
      <w:r>
        <w:rPr>
          <w:rFonts w:ascii="Times New Roman" w:hAnsi="Times New Roman" w:eastAsia="黑体" w:cs="Times New Roman"/>
          <w:bCs/>
          <w:color w:val="auto"/>
          <w:kern w:val="2"/>
          <w:sz w:val="30"/>
          <w:szCs w:val="32"/>
          <w:lang w:val="en-US" w:eastAsia="zh-CN" w:bidi="ar-SA"/>
        </w:rPr>
        <w:t>环境质量现状</w:t>
      </w:r>
      <w:bookmarkEnd w:id="312"/>
    </w:p>
    <w:p w14:paraId="6E60BC28">
      <w:pPr>
        <w:widowControl/>
        <w:spacing w:line="360" w:lineRule="auto"/>
        <w:ind w:firstLine="464" w:firstLineChars="200"/>
        <w:jc w:val="left"/>
        <w:rPr>
          <w:rFonts w:ascii="Times New Roman" w:hAnsi="Times New Roman" w:eastAsia="宋体" w:cs="Times New Roman"/>
          <w:color w:val="auto"/>
          <w:spacing w:val="-4"/>
          <w:sz w:val="24"/>
        </w:rPr>
      </w:pPr>
      <w:r>
        <w:rPr>
          <w:rFonts w:ascii="Times New Roman" w:hAnsi="Times New Roman" w:eastAsia="宋体" w:cs="Times New Roman"/>
          <w:color w:val="auto"/>
          <w:spacing w:val="-4"/>
          <w:sz w:val="24"/>
        </w:rPr>
        <w:t>（1）空气环境</w:t>
      </w:r>
    </w:p>
    <w:p w14:paraId="7CF80462">
      <w:pPr>
        <w:widowControl/>
        <w:spacing w:line="360" w:lineRule="auto"/>
        <w:ind w:firstLine="480" w:firstLineChars="200"/>
        <w:jc w:val="both"/>
        <w:rPr>
          <w:rFonts w:ascii="Times New Roman" w:hAnsi="Times New Roman" w:eastAsia="宋体" w:cs="Times New Roman"/>
          <w:color w:val="auto"/>
          <w:spacing w:val="-4"/>
          <w:sz w:val="24"/>
        </w:rPr>
      </w:pPr>
      <w:r>
        <w:rPr>
          <w:rFonts w:hint="eastAsia" w:cs="Times New Roman"/>
          <w:bCs/>
          <w:color w:val="auto"/>
          <w:sz w:val="24"/>
          <w:lang w:val="en-US" w:eastAsia="zh-CN"/>
        </w:rPr>
        <w:t>根据</w:t>
      </w:r>
      <w:r>
        <w:rPr>
          <w:rFonts w:hint="eastAsia" w:cs="Times New Roman"/>
          <w:bCs/>
          <w:color w:val="auto"/>
          <w:sz w:val="24"/>
          <w:lang w:eastAsia="zh-CN"/>
        </w:rPr>
        <w:t>《2025年淮南市生态环境质量状况公报》</w:t>
      </w:r>
      <w:r>
        <w:rPr>
          <w:rFonts w:ascii="Times New Roman" w:hAnsi="Times New Roman" w:eastAsia="宋体" w:cs="Times New Roman"/>
          <w:bCs/>
          <w:color w:val="auto"/>
          <w:sz w:val="24"/>
        </w:rPr>
        <w:t>，</w:t>
      </w:r>
      <w:r>
        <w:rPr>
          <w:rFonts w:hint="eastAsia" w:cs="Times New Roman"/>
          <w:color w:val="auto"/>
          <w:sz w:val="24"/>
          <w:szCs w:val="28"/>
          <w:highlight w:val="none"/>
          <w:lang w:val="en-US" w:eastAsia="zh-CN"/>
        </w:rPr>
        <w:t>对照</w:t>
      </w:r>
      <w:r>
        <w:rPr>
          <w:rFonts w:hint="default" w:ascii="Times New Roman" w:hAnsi="Times New Roman" w:eastAsia="宋体" w:cs="Times New Roman"/>
          <w:color w:val="auto"/>
          <w:sz w:val="24"/>
          <w:szCs w:val="28"/>
          <w:highlight w:val="none"/>
        </w:rPr>
        <w:t>《环境空气质量标准》（GB3095-2012）二级标准</w:t>
      </w:r>
      <w:r>
        <w:rPr>
          <w:rFonts w:hint="default" w:ascii="Times New Roman" w:hAnsi="Times New Roman" w:eastAsia="宋体" w:cs="Times New Roman"/>
          <w:color w:val="auto"/>
          <w:sz w:val="24"/>
          <w:szCs w:val="28"/>
          <w:highlight w:val="none"/>
          <w:lang w:val="en-US" w:eastAsia="zh-CN"/>
        </w:rPr>
        <w:t>及修改单</w:t>
      </w:r>
      <w:r>
        <w:rPr>
          <w:rFonts w:hint="eastAsia" w:cs="Times New Roman"/>
          <w:color w:val="auto"/>
          <w:sz w:val="24"/>
          <w:szCs w:val="28"/>
          <w:highlight w:val="none"/>
          <w:lang w:val="en-US" w:eastAsia="zh-CN"/>
        </w:rPr>
        <w:t>，</w:t>
      </w:r>
      <w:r>
        <w:rPr>
          <w:rFonts w:hint="eastAsia" w:ascii="Times New Roman" w:hAnsi="Times New Roman" w:eastAsia="宋体" w:cs="Times New Roman"/>
          <w:color w:val="auto"/>
          <w:sz w:val="24"/>
          <w:szCs w:val="24"/>
          <w:highlight w:val="none"/>
          <w:lang w:val="en-US" w:eastAsia="zh-CN"/>
        </w:rPr>
        <w:t>2025</w:t>
      </w:r>
      <w:r>
        <w:rPr>
          <w:rFonts w:hint="default" w:ascii="Times New Roman" w:hAnsi="Times New Roman" w:eastAsia="宋体" w:cs="Times New Roman"/>
          <w:color w:val="auto"/>
          <w:sz w:val="24"/>
          <w:szCs w:val="24"/>
          <w:highlight w:val="none"/>
          <w:lang w:val="en-US" w:eastAsia="zh-CN"/>
        </w:rPr>
        <w:t>年</w:t>
      </w:r>
      <w:r>
        <w:rPr>
          <w:rFonts w:hint="eastAsia" w:eastAsia="宋体" w:cs="Times New Roman"/>
          <w:color w:val="auto"/>
          <w:sz w:val="24"/>
          <w:szCs w:val="24"/>
          <w:highlight w:val="none"/>
          <w:lang w:val="en-US" w:eastAsia="zh-CN"/>
        </w:rPr>
        <w:t>淮南</w:t>
      </w:r>
      <w:r>
        <w:rPr>
          <w:rFonts w:hint="default" w:ascii="Times New Roman" w:hAnsi="Times New Roman" w:eastAsia="宋体" w:cs="Times New Roman"/>
          <w:color w:val="auto"/>
          <w:sz w:val="24"/>
          <w:szCs w:val="24"/>
          <w:highlight w:val="none"/>
        </w:rPr>
        <w:t>市属于</w:t>
      </w:r>
      <w:r>
        <w:rPr>
          <w:rFonts w:hint="eastAsia" w:eastAsia="宋体" w:cs="Times New Roman"/>
          <w:color w:val="auto"/>
          <w:sz w:val="24"/>
          <w:szCs w:val="24"/>
          <w:highlight w:val="none"/>
          <w:lang w:val="en-US" w:eastAsia="zh-CN"/>
        </w:rPr>
        <w:t>不</w:t>
      </w:r>
      <w:r>
        <w:rPr>
          <w:rFonts w:hint="default" w:ascii="Times New Roman" w:hAnsi="Times New Roman" w:eastAsia="宋体" w:cs="Times New Roman"/>
          <w:color w:val="auto"/>
          <w:sz w:val="24"/>
          <w:szCs w:val="24"/>
          <w:highlight w:val="none"/>
        </w:rPr>
        <w:t>达标区域</w:t>
      </w:r>
      <w:r>
        <w:rPr>
          <w:rFonts w:hint="eastAsia" w:eastAsia="宋体" w:cs="Times New Roman"/>
          <w:color w:val="auto"/>
          <w:kern w:val="0"/>
          <w:sz w:val="24"/>
          <w:szCs w:val="24"/>
          <w:highlight w:val="none"/>
          <w:lang w:eastAsia="zh-CN"/>
        </w:rPr>
        <w:t>；</w:t>
      </w:r>
      <w:r>
        <w:rPr>
          <w:rFonts w:hint="default" w:ascii="Times New Roman" w:hAnsi="Times New Roman" w:eastAsia="宋体" w:cs="Times New Roman"/>
          <w:color w:val="auto"/>
          <w:sz w:val="24"/>
          <w:szCs w:val="21"/>
          <w:highlight w:val="none"/>
          <w:lang w:val="en-US" w:eastAsia="zh-CN"/>
        </w:rPr>
        <w:t>对照</w:t>
      </w:r>
      <w:r>
        <w:rPr>
          <w:rFonts w:hint="default" w:ascii="Times New Roman" w:hAnsi="Times New Roman" w:eastAsia="宋体" w:cs="Times New Roman"/>
          <w:color w:val="auto"/>
          <w:sz w:val="24"/>
          <w:szCs w:val="21"/>
          <w:highlight w:val="none"/>
        </w:rPr>
        <w:t>《环境空气质量标准》（GB3095-20</w:t>
      </w:r>
      <w:r>
        <w:rPr>
          <w:rFonts w:hint="default" w:ascii="Times New Roman" w:hAnsi="Times New Roman" w:eastAsia="宋体" w:cs="Times New Roman"/>
          <w:color w:val="auto"/>
          <w:sz w:val="24"/>
          <w:szCs w:val="21"/>
          <w:highlight w:val="none"/>
          <w:lang w:val="en-US" w:eastAsia="zh-CN"/>
        </w:rPr>
        <w:t>26），</w:t>
      </w:r>
      <w:r>
        <w:rPr>
          <w:rFonts w:hint="eastAsia" w:ascii="Times New Roman" w:hAnsi="Times New Roman" w:eastAsia="宋体" w:cs="Times New Roman"/>
          <w:color w:val="auto"/>
          <w:sz w:val="24"/>
          <w:szCs w:val="21"/>
          <w:highlight w:val="none"/>
          <w:lang w:val="en-US" w:eastAsia="zh-CN"/>
        </w:rPr>
        <w:t>2025年</w:t>
      </w:r>
      <w:r>
        <w:rPr>
          <w:rFonts w:hint="eastAsia" w:eastAsia="宋体" w:cs="Times New Roman"/>
          <w:color w:val="auto"/>
          <w:sz w:val="24"/>
          <w:szCs w:val="21"/>
          <w:highlight w:val="none"/>
          <w:lang w:val="en-US" w:eastAsia="zh-CN"/>
        </w:rPr>
        <w:t>淮南</w:t>
      </w:r>
      <w:r>
        <w:rPr>
          <w:rFonts w:hint="eastAsia" w:ascii="Times New Roman" w:hAnsi="Times New Roman" w:eastAsia="宋体" w:cs="Times New Roman"/>
          <w:color w:val="auto"/>
          <w:sz w:val="24"/>
          <w:szCs w:val="21"/>
          <w:highlight w:val="none"/>
          <w:lang w:val="en-US" w:eastAsia="zh-CN"/>
        </w:rPr>
        <w:t>市</w:t>
      </w:r>
      <w:r>
        <w:rPr>
          <w:rFonts w:hint="default" w:ascii="Times New Roman" w:hAnsi="Times New Roman" w:eastAsia="宋体" w:cs="Times New Roman"/>
          <w:color w:val="auto"/>
          <w:sz w:val="24"/>
          <w:szCs w:val="21"/>
          <w:highlight w:val="none"/>
          <w:lang w:val="en-US" w:eastAsia="zh-CN"/>
        </w:rPr>
        <w:t>PM</w:t>
      </w:r>
      <w:r>
        <w:rPr>
          <w:rFonts w:hint="default" w:ascii="Times New Roman" w:hAnsi="Times New Roman" w:eastAsia="宋体" w:cs="Times New Roman"/>
          <w:color w:val="auto"/>
          <w:sz w:val="24"/>
          <w:szCs w:val="21"/>
          <w:highlight w:val="none"/>
          <w:vertAlign w:val="subscript"/>
          <w:lang w:val="en-US" w:eastAsia="zh-CN"/>
        </w:rPr>
        <w:t>10</w:t>
      </w:r>
      <w:r>
        <w:rPr>
          <w:rFonts w:hint="eastAsia" w:ascii="Times New Roman" w:hAnsi="Times New Roman" w:eastAsia="宋体" w:cs="Times New Roman"/>
          <w:color w:val="auto"/>
          <w:sz w:val="24"/>
          <w:szCs w:val="21"/>
          <w:highlight w:val="none"/>
          <w:vertAlign w:val="baseline"/>
          <w:lang w:val="en-US" w:eastAsia="zh-CN"/>
        </w:rPr>
        <w:t>、</w:t>
      </w:r>
      <w:r>
        <w:rPr>
          <w:rFonts w:hint="default" w:ascii="Times New Roman" w:hAnsi="Times New Roman" w:eastAsia="宋体" w:cs="Times New Roman"/>
          <w:color w:val="auto"/>
          <w:sz w:val="24"/>
          <w:szCs w:val="21"/>
          <w:highlight w:val="none"/>
          <w:lang w:val="en-US" w:eastAsia="zh-CN"/>
        </w:rPr>
        <w:t>PM</w:t>
      </w:r>
      <w:r>
        <w:rPr>
          <w:rFonts w:hint="eastAsia" w:ascii="Times New Roman" w:hAnsi="Times New Roman" w:eastAsia="宋体" w:cs="Times New Roman"/>
          <w:color w:val="auto"/>
          <w:sz w:val="24"/>
          <w:szCs w:val="21"/>
          <w:highlight w:val="none"/>
          <w:vertAlign w:val="subscript"/>
          <w:lang w:val="en-US" w:eastAsia="zh-CN"/>
        </w:rPr>
        <w:t>2.5</w:t>
      </w:r>
      <w:r>
        <w:rPr>
          <w:rFonts w:hint="default" w:ascii="Times New Roman" w:hAnsi="Times New Roman" w:eastAsia="宋体" w:cs="Times New Roman"/>
          <w:color w:val="auto"/>
          <w:sz w:val="24"/>
          <w:szCs w:val="21"/>
          <w:highlight w:val="none"/>
          <w:lang w:val="en-US" w:eastAsia="zh-CN"/>
        </w:rPr>
        <w:t>年均浓度超过</w:t>
      </w:r>
      <w:r>
        <w:rPr>
          <w:rFonts w:hint="default" w:ascii="Times New Roman" w:hAnsi="Times New Roman" w:eastAsia="宋体" w:cs="Times New Roman"/>
          <w:color w:val="auto"/>
          <w:sz w:val="24"/>
          <w:szCs w:val="21"/>
          <w:highlight w:val="none"/>
        </w:rPr>
        <w:t>GB3095-20</w:t>
      </w:r>
      <w:r>
        <w:rPr>
          <w:rFonts w:hint="default" w:ascii="Times New Roman" w:hAnsi="Times New Roman" w:eastAsia="宋体" w:cs="Times New Roman"/>
          <w:color w:val="auto"/>
          <w:sz w:val="24"/>
          <w:szCs w:val="21"/>
          <w:highlight w:val="none"/>
          <w:lang w:val="en-US" w:eastAsia="zh-CN"/>
        </w:rPr>
        <w:t>26表1中过渡阶段</w:t>
      </w:r>
      <w:r>
        <w:rPr>
          <w:rFonts w:hint="default" w:ascii="Times New Roman" w:hAnsi="Times New Roman" w:eastAsia="宋体" w:cs="Times New Roman"/>
          <w:color w:val="auto"/>
          <w:sz w:val="24"/>
          <w:szCs w:val="21"/>
          <w:highlight w:val="none"/>
        </w:rPr>
        <w:t>二级</w:t>
      </w:r>
      <w:r>
        <w:rPr>
          <w:rFonts w:hint="default" w:ascii="Times New Roman" w:hAnsi="Times New Roman" w:eastAsia="宋体" w:cs="Times New Roman"/>
          <w:color w:val="auto"/>
          <w:sz w:val="24"/>
          <w:szCs w:val="21"/>
          <w:highlight w:val="none"/>
          <w:lang w:val="en-US" w:eastAsia="zh-CN"/>
        </w:rPr>
        <w:t>浓度限值（PM</w:t>
      </w:r>
      <w:r>
        <w:rPr>
          <w:rFonts w:hint="default" w:ascii="Times New Roman" w:hAnsi="Times New Roman" w:eastAsia="宋体" w:cs="Times New Roman"/>
          <w:color w:val="auto"/>
          <w:sz w:val="24"/>
          <w:szCs w:val="21"/>
          <w:highlight w:val="none"/>
          <w:vertAlign w:val="subscript"/>
          <w:lang w:val="en-US" w:eastAsia="zh-CN"/>
        </w:rPr>
        <w:t>10</w:t>
      </w:r>
      <w:r>
        <w:rPr>
          <w:rFonts w:hint="default" w:ascii="Times New Roman" w:hAnsi="Times New Roman" w:eastAsia="宋体" w:cs="Times New Roman"/>
          <w:color w:val="auto"/>
          <w:sz w:val="24"/>
          <w:szCs w:val="21"/>
          <w:highlight w:val="none"/>
          <w:lang w:val="en-US" w:eastAsia="zh-CN"/>
        </w:rPr>
        <w:t>限值60μg/m</w:t>
      </w:r>
      <w:r>
        <w:rPr>
          <w:rFonts w:hint="default" w:ascii="Times New Roman" w:hAnsi="Times New Roman" w:eastAsia="宋体" w:cs="Times New Roman"/>
          <w:color w:val="auto"/>
          <w:sz w:val="24"/>
          <w:szCs w:val="21"/>
          <w:highlight w:val="none"/>
          <w:vertAlign w:val="superscript"/>
          <w:lang w:val="en-US" w:eastAsia="zh-CN"/>
        </w:rPr>
        <w:t>3</w:t>
      </w:r>
      <w:r>
        <w:rPr>
          <w:rFonts w:hint="eastAsia" w:ascii="Times New Roman" w:hAnsi="Times New Roman" w:eastAsia="宋体" w:cs="Times New Roman"/>
          <w:color w:val="auto"/>
          <w:sz w:val="24"/>
          <w:szCs w:val="21"/>
          <w:highlight w:val="none"/>
          <w:vertAlign w:val="baseline"/>
          <w:lang w:val="en-US" w:eastAsia="zh-CN"/>
        </w:rPr>
        <w:t>、</w:t>
      </w:r>
      <w:r>
        <w:rPr>
          <w:rFonts w:hint="default" w:ascii="Times New Roman" w:hAnsi="Times New Roman" w:eastAsia="宋体" w:cs="Times New Roman"/>
          <w:color w:val="auto"/>
          <w:sz w:val="24"/>
          <w:szCs w:val="21"/>
          <w:highlight w:val="none"/>
          <w:lang w:val="en-US" w:eastAsia="zh-CN"/>
        </w:rPr>
        <w:t>PM</w:t>
      </w:r>
      <w:r>
        <w:rPr>
          <w:rFonts w:hint="eastAsia" w:ascii="Times New Roman" w:hAnsi="Times New Roman" w:eastAsia="宋体" w:cs="Times New Roman"/>
          <w:color w:val="auto"/>
          <w:sz w:val="24"/>
          <w:szCs w:val="21"/>
          <w:highlight w:val="none"/>
          <w:vertAlign w:val="subscript"/>
          <w:lang w:val="en-US" w:eastAsia="zh-CN"/>
        </w:rPr>
        <w:t>2.5</w:t>
      </w:r>
      <w:r>
        <w:rPr>
          <w:rFonts w:hint="default" w:ascii="Times New Roman" w:hAnsi="Times New Roman" w:eastAsia="宋体" w:cs="Times New Roman"/>
          <w:color w:val="auto"/>
          <w:sz w:val="24"/>
          <w:szCs w:val="21"/>
          <w:highlight w:val="none"/>
          <w:lang w:val="en-US" w:eastAsia="zh-CN"/>
        </w:rPr>
        <w:t>限值</w:t>
      </w:r>
      <w:r>
        <w:rPr>
          <w:rFonts w:hint="eastAsia" w:ascii="Times New Roman" w:hAnsi="Times New Roman" w:eastAsia="宋体" w:cs="Times New Roman"/>
          <w:color w:val="auto"/>
          <w:sz w:val="24"/>
          <w:szCs w:val="21"/>
          <w:highlight w:val="none"/>
          <w:lang w:val="en-US" w:eastAsia="zh-CN"/>
        </w:rPr>
        <w:t>30</w:t>
      </w:r>
      <w:r>
        <w:rPr>
          <w:rFonts w:hint="default" w:ascii="Times New Roman" w:hAnsi="Times New Roman" w:eastAsia="宋体" w:cs="Times New Roman"/>
          <w:color w:val="auto"/>
          <w:sz w:val="24"/>
          <w:szCs w:val="21"/>
          <w:highlight w:val="none"/>
          <w:lang w:val="en-US" w:eastAsia="zh-CN"/>
        </w:rPr>
        <w:t>μg/m</w:t>
      </w:r>
      <w:r>
        <w:rPr>
          <w:rFonts w:hint="default" w:ascii="Times New Roman" w:hAnsi="Times New Roman" w:eastAsia="宋体" w:cs="Times New Roman"/>
          <w:color w:val="auto"/>
          <w:sz w:val="24"/>
          <w:szCs w:val="21"/>
          <w:highlight w:val="none"/>
          <w:vertAlign w:val="superscript"/>
          <w:lang w:val="en-US" w:eastAsia="zh-CN"/>
        </w:rPr>
        <w:t>3</w:t>
      </w:r>
      <w:r>
        <w:rPr>
          <w:rFonts w:hint="default" w:ascii="Times New Roman" w:hAnsi="Times New Roman" w:eastAsia="宋体" w:cs="Times New Roman"/>
          <w:color w:val="auto"/>
          <w:sz w:val="24"/>
          <w:szCs w:val="21"/>
          <w:highlight w:val="none"/>
          <w:lang w:val="en-US" w:eastAsia="zh-CN"/>
        </w:rPr>
        <w:t>）</w:t>
      </w:r>
      <w:r>
        <w:rPr>
          <w:rFonts w:ascii="Times New Roman" w:hAnsi="Times New Roman" w:eastAsia="宋体" w:cs="Times New Roman"/>
          <w:bCs/>
          <w:color w:val="auto"/>
          <w:sz w:val="24"/>
        </w:rPr>
        <w:t>。</w:t>
      </w:r>
    </w:p>
    <w:p w14:paraId="00A25764">
      <w:pPr>
        <w:widowControl/>
        <w:spacing w:line="360" w:lineRule="auto"/>
        <w:ind w:firstLine="464" w:firstLineChars="200"/>
        <w:jc w:val="left"/>
        <w:rPr>
          <w:rFonts w:ascii="Times New Roman" w:hAnsi="Times New Roman" w:eastAsia="宋体" w:cs="Times New Roman"/>
          <w:color w:val="auto"/>
          <w:spacing w:val="-4"/>
          <w:sz w:val="24"/>
        </w:rPr>
      </w:pPr>
      <w:r>
        <w:rPr>
          <w:rFonts w:ascii="Times New Roman" w:hAnsi="Times New Roman" w:eastAsia="宋体" w:cs="Times New Roman"/>
          <w:color w:val="auto"/>
          <w:spacing w:val="-4"/>
          <w:sz w:val="24"/>
        </w:rPr>
        <w:t>（2）地表水环境</w:t>
      </w:r>
    </w:p>
    <w:p w14:paraId="6FDBBD28">
      <w:pPr>
        <w:widowControl/>
        <w:spacing w:line="360" w:lineRule="auto"/>
        <w:ind w:firstLine="480" w:firstLineChars="200"/>
        <w:rPr>
          <w:rFonts w:ascii="Times New Roman" w:hAnsi="Times New Roman" w:eastAsia="宋体" w:cs="Times New Roman"/>
          <w:color w:val="auto"/>
          <w:spacing w:val="-4"/>
          <w:sz w:val="24"/>
        </w:rPr>
      </w:pPr>
      <w:r>
        <w:rPr>
          <w:rFonts w:ascii="Times New Roman" w:hAnsi="Times New Roman" w:eastAsia="宋体" w:cs="Times New Roman"/>
          <w:color w:val="auto"/>
          <w:sz w:val="24"/>
        </w:rPr>
        <w:t>地表水环境质量现状评价结果表明，淮河各监测断面各项指标均满足《地表水环境质量标准》(GB3838-2002)中的Ⅲ类标准。</w:t>
      </w:r>
    </w:p>
    <w:p w14:paraId="0836F6A2">
      <w:pPr>
        <w:widowControl/>
        <w:spacing w:line="360" w:lineRule="auto"/>
        <w:ind w:firstLine="464" w:firstLineChars="200"/>
        <w:jc w:val="left"/>
        <w:rPr>
          <w:rFonts w:ascii="Times New Roman" w:hAnsi="Times New Roman" w:eastAsia="宋体" w:cs="Times New Roman"/>
          <w:color w:val="auto"/>
          <w:spacing w:val="-4"/>
          <w:sz w:val="24"/>
        </w:rPr>
      </w:pPr>
      <w:r>
        <w:rPr>
          <w:rFonts w:ascii="Times New Roman" w:hAnsi="Times New Roman" w:eastAsia="宋体" w:cs="Times New Roman"/>
          <w:color w:val="auto"/>
          <w:spacing w:val="-4"/>
          <w:sz w:val="24"/>
        </w:rPr>
        <w:t>（3）声环境</w:t>
      </w:r>
    </w:p>
    <w:p w14:paraId="07899837">
      <w:pPr>
        <w:widowControl/>
        <w:spacing w:line="360" w:lineRule="auto"/>
        <w:ind w:firstLine="464" w:firstLineChars="200"/>
        <w:jc w:val="left"/>
        <w:rPr>
          <w:rFonts w:ascii="Times New Roman" w:hAnsi="Times New Roman" w:eastAsia="宋体" w:cs="Times New Roman"/>
          <w:color w:val="auto"/>
          <w:spacing w:val="-4"/>
          <w:sz w:val="24"/>
        </w:rPr>
      </w:pPr>
      <w:r>
        <w:rPr>
          <w:rFonts w:hint="eastAsia" w:ascii="Times New Roman" w:hAnsi="Times New Roman" w:eastAsia="宋体" w:cs="Times New Roman"/>
          <w:color w:val="auto"/>
          <w:spacing w:val="-4"/>
          <w:sz w:val="24"/>
        </w:rPr>
        <w:t>根据声</w:t>
      </w:r>
      <w:r>
        <w:rPr>
          <w:rFonts w:ascii="Times New Roman" w:hAnsi="Times New Roman" w:eastAsia="宋体" w:cs="Times New Roman"/>
          <w:color w:val="auto"/>
          <w:spacing w:val="-4"/>
          <w:sz w:val="24"/>
        </w:rPr>
        <w:t>现状监测结果，建设项目区域声环境满足《声环境质量标准》(GB3096-2008)相应标准。</w:t>
      </w:r>
    </w:p>
    <w:p w14:paraId="2A5079CC">
      <w:pPr>
        <w:widowControl/>
        <w:spacing w:line="360" w:lineRule="auto"/>
        <w:ind w:firstLine="464" w:firstLineChars="200"/>
        <w:jc w:val="left"/>
        <w:rPr>
          <w:rFonts w:ascii="Times New Roman" w:hAnsi="Times New Roman" w:eastAsia="宋体" w:cs="Times New Roman"/>
          <w:color w:val="auto"/>
          <w:spacing w:val="-4"/>
          <w:sz w:val="24"/>
        </w:rPr>
      </w:pPr>
      <w:r>
        <w:rPr>
          <w:rFonts w:ascii="Times New Roman" w:hAnsi="Times New Roman" w:eastAsia="宋体" w:cs="Times New Roman"/>
          <w:color w:val="auto"/>
          <w:spacing w:val="-4"/>
          <w:sz w:val="24"/>
        </w:rPr>
        <w:t>（4）底泥环境</w:t>
      </w:r>
    </w:p>
    <w:p w14:paraId="7A0D027A">
      <w:pPr>
        <w:widowControl/>
        <w:spacing w:line="360" w:lineRule="auto"/>
        <w:ind w:firstLine="464" w:firstLineChars="200"/>
        <w:jc w:val="left"/>
        <w:rPr>
          <w:rFonts w:ascii="Times New Roman" w:hAnsi="Times New Roman" w:eastAsia="宋体" w:cs="Times New Roman"/>
          <w:color w:val="auto"/>
          <w:spacing w:val="-4"/>
          <w:sz w:val="24"/>
        </w:rPr>
      </w:pPr>
      <w:r>
        <w:rPr>
          <w:rFonts w:ascii="Times New Roman" w:hAnsi="Times New Roman" w:eastAsia="宋体" w:cs="Times New Roman"/>
          <w:color w:val="auto"/>
          <w:spacing w:val="-4"/>
          <w:sz w:val="24"/>
        </w:rPr>
        <w:t>根据现状监测结果，淮河工程码头</w:t>
      </w:r>
      <w:r>
        <w:rPr>
          <w:rFonts w:hint="eastAsia" w:ascii="Times New Roman" w:hAnsi="Times New Roman" w:eastAsia="宋体" w:cs="Times New Roman"/>
          <w:color w:val="auto"/>
          <w:spacing w:val="-4"/>
          <w:sz w:val="24"/>
        </w:rPr>
        <w:t>处</w:t>
      </w:r>
      <w:r>
        <w:rPr>
          <w:rFonts w:ascii="Times New Roman" w:hAnsi="Times New Roman" w:eastAsia="宋体" w:cs="Times New Roman"/>
          <w:color w:val="auto"/>
          <w:spacing w:val="-4"/>
          <w:sz w:val="24"/>
        </w:rPr>
        <w:t>底泥中各项指标均满足</w:t>
      </w:r>
      <w:r>
        <w:rPr>
          <w:rFonts w:ascii="Times New Roman" w:hAnsi="Times New Roman" w:eastAsia="宋体" w:cs="Times New Roman"/>
          <w:color w:val="auto"/>
          <w:sz w:val="24"/>
        </w:rPr>
        <w:t xml:space="preserve">《土壤环境质量 </w:t>
      </w:r>
      <w:r>
        <w:rPr>
          <w:rFonts w:hint="eastAsia" w:ascii="Times New Roman" w:hAnsi="Times New Roman" w:eastAsia="宋体" w:cs="Times New Roman"/>
          <w:color w:val="auto"/>
          <w:sz w:val="24"/>
        </w:rPr>
        <w:t>农</w:t>
      </w:r>
      <w:r>
        <w:rPr>
          <w:rFonts w:ascii="Times New Roman" w:hAnsi="Times New Roman" w:eastAsia="宋体" w:cs="Times New Roman"/>
          <w:color w:val="auto"/>
          <w:sz w:val="24"/>
        </w:rPr>
        <w:t>用地土壤污染风险管控标准（试行）》(GB15618-2018)风险筛选值标准要求</w:t>
      </w:r>
      <w:r>
        <w:rPr>
          <w:rFonts w:ascii="Times New Roman" w:hAnsi="Times New Roman" w:eastAsia="宋体" w:cs="Times New Roman"/>
          <w:color w:val="auto"/>
          <w:spacing w:val="-4"/>
          <w:sz w:val="24"/>
        </w:rPr>
        <w:t>。</w:t>
      </w:r>
    </w:p>
    <w:p w14:paraId="2F0FAC3B">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313" w:name="_Toc25542"/>
      <w:r>
        <w:rPr>
          <w:rFonts w:hint="eastAsia" w:ascii="Times New Roman" w:hAnsi="Times New Roman" w:eastAsia="黑体" w:cs="Times New Roman"/>
          <w:bCs/>
          <w:color w:val="auto"/>
          <w:kern w:val="2"/>
          <w:sz w:val="30"/>
          <w:szCs w:val="32"/>
          <w:lang w:val="en-US" w:eastAsia="zh-CN" w:bidi="ar-SA"/>
        </w:rPr>
        <w:t>9.4</w:t>
      </w:r>
      <w:r>
        <w:rPr>
          <w:rFonts w:ascii="Times New Roman" w:hAnsi="Times New Roman" w:eastAsia="黑体" w:cs="Times New Roman"/>
          <w:bCs/>
          <w:color w:val="auto"/>
          <w:kern w:val="2"/>
          <w:sz w:val="30"/>
          <w:szCs w:val="32"/>
          <w:lang w:val="en-US" w:eastAsia="zh-CN" w:bidi="ar-SA"/>
        </w:rPr>
        <w:t>环境影响评价结论</w:t>
      </w:r>
      <w:bookmarkEnd w:id="313"/>
    </w:p>
    <w:p w14:paraId="0657E4F8">
      <w:pPr>
        <w:spacing w:line="360" w:lineRule="auto"/>
        <w:ind w:firstLine="464"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pacing w:val="-4"/>
          <w:sz w:val="24"/>
          <w:szCs w:val="24"/>
        </w:rPr>
        <w:t>（1）</w:t>
      </w:r>
      <w:r>
        <w:rPr>
          <w:rFonts w:ascii="Times New Roman" w:hAnsi="Times New Roman" w:eastAsia="宋体" w:cs="Times New Roman"/>
          <w:color w:val="auto"/>
          <w:sz w:val="24"/>
          <w:szCs w:val="24"/>
        </w:rPr>
        <w:t>本项目无组织排放的粉尘污染物对外界环境影响较小，所采取的废气治理措施是可行的，大气环境影响可接受。</w:t>
      </w:r>
    </w:p>
    <w:p w14:paraId="6D9D3F46">
      <w:pPr>
        <w:widowControl w:val="0"/>
        <w:spacing w:after="0" w:line="360" w:lineRule="auto"/>
        <w:ind w:firstLine="464" w:firstLineChars="200"/>
        <w:jc w:val="both"/>
        <w:rPr>
          <w:rFonts w:hint="eastAsia" w:ascii="宋体" w:hAnsi="宋体" w:eastAsia="宋体" w:cs="Times New Roman"/>
          <w:color w:val="auto"/>
          <w:kern w:val="2"/>
          <w:sz w:val="24"/>
          <w:szCs w:val="24"/>
          <w:lang w:val="en-US" w:eastAsia="zh-CN" w:bidi="ar-SA"/>
        </w:rPr>
      </w:pPr>
      <w:r>
        <w:rPr>
          <w:rFonts w:ascii="Times New Roman" w:hAnsi="Times New Roman" w:eastAsia="宋体" w:cs="Times New Roman"/>
          <w:color w:val="auto"/>
          <w:spacing w:val="-4"/>
          <w:kern w:val="2"/>
          <w:sz w:val="24"/>
          <w:szCs w:val="24"/>
          <w:lang w:val="en-US" w:eastAsia="zh-CN" w:bidi="ar-SA"/>
        </w:rPr>
        <w:t>（2）</w:t>
      </w:r>
      <w:r>
        <w:rPr>
          <w:rFonts w:ascii="Times New Roman" w:hAnsi="Times New Roman" w:eastAsia="宋体" w:cs="Times New Roman"/>
          <w:color w:val="auto"/>
          <w:kern w:val="2"/>
          <w:sz w:val="24"/>
          <w:szCs w:val="20"/>
          <w:lang w:val="en-US" w:eastAsia="zh-CN" w:bidi="ar-SA"/>
        </w:rPr>
        <w:t>本项目到港船舶含油污水经接收设施接收后</w:t>
      </w:r>
      <w:r>
        <w:rPr>
          <w:rFonts w:hint="eastAsia" w:ascii="Times New Roman" w:hAnsi="Times New Roman" w:eastAsia="宋体" w:cs="Times New Roman"/>
          <w:color w:val="auto"/>
          <w:kern w:val="2"/>
          <w:sz w:val="24"/>
          <w:szCs w:val="20"/>
          <w:lang w:val="en-US" w:eastAsia="zh-CN" w:bidi="ar-SA"/>
        </w:rPr>
        <w:t>，进入</w:t>
      </w:r>
      <w:r>
        <w:rPr>
          <w:rFonts w:ascii="Times New Roman" w:hAnsi="Times New Roman" w:eastAsia="宋体" w:cs="Times New Roman"/>
          <w:color w:val="auto"/>
          <w:kern w:val="2"/>
          <w:sz w:val="24"/>
          <w:szCs w:val="20"/>
          <w:lang w:val="en-US" w:eastAsia="zh-CN" w:bidi="ar-SA"/>
        </w:rPr>
        <w:t>船舶含油污水储存罐，</w:t>
      </w:r>
      <w:r>
        <w:rPr>
          <w:rFonts w:hint="eastAsia" w:ascii="Times New Roman" w:hAnsi="Times New Roman" w:eastAsia="宋体" w:cs="Times New Roman"/>
          <w:color w:val="auto"/>
          <w:kern w:val="2"/>
          <w:sz w:val="24"/>
          <w:szCs w:val="20"/>
          <w:lang w:val="en-US" w:eastAsia="zh-CN" w:bidi="ar-SA"/>
        </w:rPr>
        <w:t>交由有资质单位处置</w:t>
      </w:r>
      <w:r>
        <w:rPr>
          <w:rFonts w:ascii="Times New Roman" w:hAnsi="Times New Roman" w:eastAsia="宋体" w:cs="Times New Roman"/>
          <w:color w:val="auto"/>
          <w:kern w:val="2"/>
          <w:sz w:val="24"/>
          <w:szCs w:val="20"/>
          <w:lang w:val="en-US" w:eastAsia="zh-CN" w:bidi="ar-SA"/>
        </w:rPr>
        <w:t>；到港船舶生活污水经码头区接收设施接收后</w:t>
      </w:r>
      <w:r>
        <w:rPr>
          <w:rFonts w:hint="eastAsia" w:ascii="Times New Roman" w:hAnsi="Times New Roman" w:eastAsia="宋体" w:cs="Times New Roman"/>
          <w:color w:val="auto"/>
          <w:kern w:val="2"/>
          <w:sz w:val="24"/>
          <w:szCs w:val="20"/>
          <w:lang w:val="en-US" w:eastAsia="zh-CN" w:bidi="ar-SA"/>
        </w:rPr>
        <w:t>，进入</w:t>
      </w:r>
      <w:r>
        <w:rPr>
          <w:rFonts w:ascii="Times New Roman" w:hAnsi="Times New Roman" w:eastAsia="宋体" w:cs="Times New Roman"/>
          <w:color w:val="auto"/>
          <w:kern w:val="2"/>
          <w:sz w:val="24"/>
          <w:szCs w:val="20"/>
          <w:lang w:val="en-US" w:eastAsia="zh-CN" w:bidi="ar-SA"/>
        </w:rPr>
        <w:t>船舶</w:t>
      </w:r>
      <w:r>
        <w:rPr>
          <w:rFonts w:hint="eastAsia" w:ascii="Times New Roman" w:hAnsi="Times New Roman" w:eastAsia="宋体" w:cs="Times New Roman"/>
          <w:color w:val="auto"/>
          <w:kern w:val="2"/>
          <w:sz w:val="24"/>
          <w:szCs w:val="20"/>
          <w:lang w:val="en-US" w:eastAsia="zh-CN" w:bidi="ar-SA"/>
        </w:rPr>
        <w:t>生活</w:t>
      </w:r>
      <w:r>
        <w:rPr>
          <w:rFonts w:ascii="Times New Roman" w:hAnsi="Times New Roman" w:eastAsia="宋体" w:cs="Times New Roman"/>
          <w:color w:val="auto"/>
          <w:kern w:val="2"/>
          <w:sz w:val="24"/>
          <w:szCs w:val="20"/>
          <w:lang w:val="en-US" w:eastAsia="zh-CN" w:bidi="ar-SA"/>
        </w:rPr>
        <w:t>污水储存罐，</w:t>
      </w:r>
      <w:r>
        <w:rPr>
          <w:rFonts w:hint="eastAsia" w:ascii="Times New Roman" w:hAnsi="Times New Roman" w:eastAsia="宋体" w:cs="Times New Roman"/>
          <w:color w:val="auto"/>
          <w:kern w:val="2"/>
          <w:sz w:val="24"/>
          <w:szCs w:val="20"/>
          <w:lang w:val="en-US" w:eastAsia="zh-CN" w:bidi="ar-SA"/>
        </w:rPr>
        <w:t>定期就近转运至周边污水处理厂处理</w:t>
      </w:r>
      <w:r>
        <w:rPr>
          <w:rFonts w:ascii="Times New Roman" w:hAnsi="Times New Roman" w:eastAsia="宋体" w:cs="Times New Roman"/>
          <w:color w:val="auto"/>
          <w:kern w:val="2"/>
          <w:sz w:val="24"/>
          <w:szCs w:val="20"/>
          <w:lang w:val="en-US" w:eastAsia="zh-CN" w:bidi="ar-SA"/>
        </w:rPr>
        <w:t>；机械车辆冲洗水</w:t>
      </w:r>
      <w:r>
        <w:rPr>
          <w:rFonts w:hint="eastAsia" w:ascii="Times New Roman" w:hAnsi="Times New Roman" w:eastAsia="宋体" w:cs="Times New Roman"/>
          <w:color w:val="auto"/>
          <w:kern w:val="2"/>
          <w:sz w:val="24"/>
          <w:szCs w:val="20"/>
          <w:lang w:val="en-US" w:eastAsia="zh-CN" w:bidi="ar-SA"/>
        </w:rPr>
        <w:t>、</w:t>
      </w:r>
      <w:r>
        <w:rPr>
          <w:rFonts w:ascii="Times New Roman" w:hAnsi="Times New Roman" w:eastAsia="宋体" w:cs="Times New Roman"/>
          <w:color w:val="auto"/>
          <w:kern w:val="2"/>
          <w:sz w:val="24"/>
          <w:szCs w:val="20"/>
          <w:lang w:val="en-US" w:eastAsia="zh-CN" w:bidi="ar-SA"/>
        </w:rPr>
        <w:t>初期雨水</w:t>
      </w:r>
      <w:r>
        <w:rPr>
          <w:rFonts w:hint="eastAsia" w:ascii="Times New Roman" w:hAnsi="Times New Roman" w:eastAsia="宋体" w:cs="Times New Roman"/>
          <w:color w:val="auto"/>
          <w:kern w:val="2"/>
          <w:sz w:val="24"/>
          <w:szCs w:val="20"/>
          <w:lang w:val="en-US" w:eastAsia="zh-CN" w:bidi="ar-SA"/>
        </w:rPr>
        <w:t>，</w:t>
      </w:r>
      <w:r>
        <w:rPr>
          <w:rFonts w:ascii="Times New Roman" w:hAnsi="Times New Roman" w:eastAsia="宋体" w:cs="Times New Roman"/>
          <w:color w:val="auto"/>
          <w:kern w:val="2"/>
          <w:sz w:val="24"/>
          <w:szCs w:val="20"/>
          <w:lang w:val="en-US" w:eastAsia="zh-CN" w:bidi="ar-SA"/>
        </w:rPr>
        <w:t>码头地面冲洗</w:t>
      </w:r>
      <w:r>
        <w:rPr>
          <w:rFonts w:hint="eastAsia" w:ascii="Times New Roman" w:hAnsi="Times New Roman" w:eastAsia="宋体" w:cs="Times New Roman"/>
          <w:color w:val="auto"/>
          <w:kern w:val="2"/>
          <w:sz w:val="24"/>
          <w:szCs w:val="20"/>
          <w:lang w:val="en-US" w:eastAsia="zh-CN" w:bidi="ar-SA"/>
        </w:rPr>
        <w:t>废水经隔油沉淀池预处理后，进入一体化污水处理设备处理，</w:t>
      </w:r>
      <w:r>
        <w:rPr>
          <w:rFonts w:ascii="Times New Roman" w:hAnsi="Times New Roman" w:eastAsia="宋体" w:cs="Times New Roman"/>
          <w:color w:val="auto"/>
          <w:kern w:val="2"/>
          <w:sz w:val="24"/>
          <w:szCs w:val="20"/>
          <w:lang w:val="en-US" w:eastAsia="zh-CN" w:bidi="ar-SA"/>
        </w:rPr>
        <w:t>回用于码头</w:t>
      </w:r>
      <w:r>
        <w:rPr>
          <w:rFonts w:hint="eastAsia" w:ascii="Times New Roman" w:hAnsi="Times New Roman" w:eastAsia="宋体" w:cs="Times New Roman"/>
          <w:color w:val="auto"/>
          <w:kern w:val="2"/>
          <w:sz w:val="24"/>
          <w:szCs w:val="20"/>
          <w:lang w:val="en-US" w:eastAsia="zh-CN" w:bidi="ar-SA"/>
        </w:rPr>
        <w:t>地面</w:t>
      </w:r>
      <w:r>
        <w:rPr>
          <w:rFonts w:ascii="Times New Roman" w:hAnsi="Times New Roman" w:eastAsia="宋体" w:cs="Times New Roman"/>
          <w:color w:val="auto"/>
          <w:kern w:val="2"/>
          <w:sz w:val="24"/>
          <w:szCs w:val="20"/>
          <w:lang w:val="en-US" w:eastAsia="zh-CN" w:bidi="ar-SA"/>
        </w:rPr>
        <w:t>冲洗</w:t>
      </w:r>
      <w:r>
        <w:rPr>
          <w:rFonts w:hint="eastAsia" w:ascii="Times New Roman" w:hAnsi="Times New Roman" w:eastAsia="宋体" w:cs="Times New Roman"/>
          <w:color w:val="auto"/>
          <w:kern w:val="2"/>
          <w:sz w:val="24"/>
          <w:szCs w:val="20"/>
          <w:lang w:val="en-US" w:eastAsia="zh-CN" w:bidi="ar-SA"/>
        </w:rPr>
        <w:t>、道路喷洒、机械车辆冲洗及</w:t>
      </w:r>
      <w:r>
        <w:rPr>
          <w:rFonts w:ascii="Times New Roman" w:hAnsi="Times New Roman" w:eastAsia="宋体" w:cs="Times New Roman"/>
          <w:color w:val="auto"/>
          <w:kern w:val="2"/>
          <w:sz w:val="24"/>
          <w:szCs w:val="20"/>
          <w:lang w:val="en-US" w:eastAsia="zh-CN" w:bidi="ar-SA"/>
        </w:rPr>
        <w:t>绿化</w:t>
      </w:r>
      <w:r>
        <w:rPr>
          <w:rFonts w:hint="eastAsia" w:ascii="Times New Roman" w:hAnsi="Times New Roman" w:eastAsia="宋体" w:cs="Times New Roman"/>
          <w:color w:val="auto"/>
          <w:kern w:val="2"/>
          <w:sz w:val="24"/>
          <w:szCs w:val="20"/>
          <w:lang w:val="en-US" w:eastAsia="zh-CN" w:bidi="ar-SA"/>
        </w:rPr>
        <w:t>，不外排。</w:t>
      </w:r>
      <w:r>
        <w:rPr>
          <w:rFonts w:hint="eastAsia" w:ascii="Times New Roman" w:hAnsi="Times New Roman" w:eastAsia="宋体" w:cs="Times New Roman"/>
          <w:color w:val="auto"/>
          <w:kern w:val="2"/>
          <w:sz w:val="24"/>
          <w:szCs w:val="24"/>
          <w:lang w:val="en-US" w:eastAsia="zh-CN" w:bidi="ar-SA"/>
        </w:rPr>
        <w:t>码头人员生活污水利用周边已有旱厕，</w:t>
      </w:r>
      <w:r>
        <w:rPr>
          <w:rFonts w:hint="eastAsia" w:ascii="宋体" w:hAnsi="宋体" w:eastAsia="宋体" w:cs="Times New Roman"/>
          <w:color w:val="auto"/>
          <w:kern w:val="2"/>
          <w:sz w:val="24"/>
          <w:szCs w:val="24"/>
          <w:lang w:val="en-US" w:eastAsia="zh-CN" w:bidi="ar-SA"/>
        </w:rPr>
        <w:t>收集后用于当地农田或林地肥料。</w:t>
      </w:r>
    </w:p>
    <w:p w14:paraId="0CDF1ACF">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综上所述，本项目运营期间产生的废水均得到了妥善处理，各类废水均不</w:t>
      </w:r>
      <w:r>
        <w:rPr>
          <w:rFonts w:hint="eastAsia" w:ascii="Times New Roman" w:hAnsi="Times New Roman" w:eastAsia="宋体" w:cs="Times New Roman"/>
          <w:color w:val="auto"/>
          <w:sz w:val="24"/>
          <w:szCs w:val="24"/>
        </w:rPr>
        <w:t>外排</w:t>
      </w:r>
      <w:r>
        <w:rPr>
          <w:rFonts w:ascii="Times New Roman" w:hAnsi="Times New Roman" w:eastAsia="宋体" w:cs="Times New Roman"/>
          <w:color w:val="auto"/>
          <w:sz w:val="24"/>
          <w:szCs w:val="24"/>
        </w:rPr>
        <w:t>，不会对淮河水环境产生污染影响。</w:t>
      </w:r>
    </w:p>
    <w:p w14:paraId="52D95156">
      <w:pPr>
        <w:widowControl/>
        <w:spacing w:line="360" w:lineRule="auto"/>
        <w:ind w:firstLine="464" w:firstLineChars="200"/>
        <w:rPr>
          <w:rFonts w:ascii="Times New Roman" w:hAnsi="Times New Roman" w:eastAsia="宋体" w:cs="Times New Roman"/>
          <w:color w:val="auto"/>
          <w:spacing w:val="-4"/>
          <w:sz w:val="24"/>
        </w:rPr>
      </w:pPr>
      <w:r>
        <w:rPr>
          <w:rFonts w:hint="eastAsia" w:ascii="Times New Roman" w:hAnsi="Times New Roman" w:eastAsia="宋体" w:cs="Times New Roman"/>
          <w:color w:val="auto"/>
          <w:spacing w:val="-4"/>
          <w:sz w:val="24"/>
          <w:szCs w:val="24"/>
        </w:rPr>
        <w:t>（</w:t>
      </w:r>
      <w:r>
        <w:rPr>
          <w:rFonts w:ascii="Times New Roman" w:hAnsi="Times New Roman" w:eastAsia="宋体" w:cs="Times New Roman"/>
          <w:color w:val="auto"/>
          <w:spacing w:val="-4"/>
          <w:sz w:val="24"/>
          <w:szCs w:val="24"/>
        </w:rPr>
        <w:t>3</w:t>
      </w:r>
      <w:r>
        <w:rPr>
          <w:rFonts w:hint="eastAsia" w:ascii="Times New Roman" w:hAnsi="Times New Roman" w:eastAsia="宋体" w:cs="Times New Roman"/>
          <w:color w:val="auto"/>
          <w:spacing w:val="-4"/>
          <w:sz w:val="24"/>
          <w:szCs w:val="24"/>
        </w:rPr>
        <w:t>）</w:t>
      </w:r>
      <w:r>
        <w:rPr>
          <w:rFonts w:ascii="Times New Roman" w:hAnsi="Times New Roman" w:eastAsia="宋体" w:cs="Times New Roman"/>
          <w:color w:val="auto"/>
          <w:spacing w:val="-4"/>
          <w:sz w:val="24"/>
        </w:rPr>
        <w:t>通过采取减振、绿化等措施，</w:t>
      </w:r>
      <w:r>
        <w:rPr>
          <w:rFonts w:hint="eastAsia" w:cs="Times New Roman"/>
          <w:color w:val="auto"/>
          <w:spacing w:val="-4"/>
          <w:sz w:val="24"/>
          <w:lang w:eastAsia="zh-CN"/>
        </w:rPr>
        <w:t>各厂</w:t>
      </w:r>
      <w:r>
        <w:rPr>
          <w:rFonts w:ascii="Times New Roman" w:hAnsi="Times New Roman" w:eastAsia="宋体" w:cs="Times New Roman"/>
          <w:color w:val="auto"/>
          <w:spacing w:val="-4"/>
          <w:sz w:val="24"/>
        </w:rPr>
        <w:t>界噪声符合《工业企业厂界环境噪声排放标准》(GB12348-2008)相应标准要求。</w:t>
      </w:r>
    </w:p>
    <w:p w14:paraId="045096D3">
      <w:pPr>
        <w:spacing w:line="360" w:lineRule="auto"/>
        <w:ind w:firstLine="464" w:firstLineChars="200"/>
        <w:rPr>
          <w:rFonts w:ascii="Times New Roman" w:hAnsi="Times New Roman" w:eastAsia="宋体" w:cs="Times New Roman"/>
          <w:color w:val="auto"/>
          <w:sz w:val="24"/>
          <w:szCs w:val="24"/>
        </w:rPr>
      </w:pPr>
      <w:r>
        <w:rPr>
          <w:rFonts w:hint="eastAsia" w:ascii="Times New Roman" w:hAnsi="Times New Roman" w:eastAsia="宋体" w:cs="Times New Roman"/>
          <w:color w:val="auto"/>
          <w:spacing w:val="-4"/>
          <w:sz w:val="24"/>
          <w:szCs w:val="24"/>
        </w:rPr>
        <w:t>（</w:t>
      </w:r>
      <w:r>
        <w:rPr>
          <w:rFonts w:ascii="Times New Roman" w:hAnsi="Times New Roman" w:eastAsia="宋体" w:cs="Times New Roman"/>
          <w:color w:val="auto"/>
          <w:spacing w:val="-4"/>
          <w:sz w:val="24"/>
          <w:szCs w:val="24"/>
        </w:rPr>
        <w:t>4</w:t>
      </w:r>
      <w:r>
        <w:rPr>
          <w:rFonts w:hint="eastAsia" w:ascii="Times New Roman" w:hAnsi="Times New Roman" w:eastAsia="宋体" w:cs="Times New Roman"/>
          <w:color w:val="auto"/>
          <w:spacing w:val="-4"/>
          <w:sz w:val="24"/>
          <w:szCs w:val="24"/>
        </w:rPr>
        <w:t>）</w:t>
      </w:r>
      <w:r>
        <w:rPr>
          <w:rFonts w:ascii="Times New Roman" w:hAnsi="Times New Roman" w:eastAsia="宋体" w:cs="Times New Roman"/>
          <w:color w:val="auto"/>
          <w:sz w:val="24"/>
          <w:szCs w:val="24"/>
        </w:rPr>
        <w:t>本项目运营期产生的各种固废均能得到有效处理处置，不会对周围环境造成</w:t>
      </w:r>
      <w:r>
        <w:rPr>
          <w:rFonts w:hint="eastAsia" w:ascii="Times New Roman" w:hAnsi="Times New Roman" w:eastAsia="宋体" w:cs="Times New Roman"/>
          <w:color w:val="auto"/>
          <w:sz w:val="24"/>
          <w:szCs w:val="24"/>
        </w:rPr>
        <w:t>不良</w:t>
      </w:r>
      <w:r>
        <w:rPr>
          <w:rFonts w:ascii="Times New Roman" w:hAnsi="Times New Roman" w:eastAsia="宋体" w:cs="Times New Roman"/>
          <w:color w:val="auto"/>
          <w:sz w:val="24"/>
          <w:szCs w:val="24"/>
        </w:rPr>
        <w:t>影响。</w:t>
      </w:r>
    </w:p>
    <w:p w14:paraId="20335ED8">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314" w:name="_Toc32585"/>
      <w:r>
        <w:rPr>
          <w:rFonts w:hint="eastAsia" w:ascii="Times New Roman" w:hAnsi="Times New Roman" w:eastAsia="黑体" w:cs="Times New Roman"/>
          <w:bCs/>
          <w:color w:val="auto"/>
          <w:kern w:val="2"/>
          <w:sz w:val="30"/>
          <w:szCs w:val="32"/>
          <w:lang w:val="en-US" w:eastAsia="zh-CN" w:bidi="ar-SA"/>
        </w:rPr>
        <w:t>9.5</w:t>
      </w:r>
      <w:r>
        <w:rPr>
          <w:rFonts w:ascii="Times New Roman" w:hAnsi="Times New Roman" w:eastAsia="黑体" w:cs="Times New Roman"/>
          <w:bCs/>
          <w:color w:val="auto"/>
          <w:kern w:val="2"/>
          <w:sz w:val="30"/>
          <w:szCs w:val="32"/>
          <w:lang w:val="en-US" w:eastAsia="zh-CN" w:bidi="ar-SA"/>
        </w:rPr>
        <w:t>环境风险影响评价</w:t>
      </w:r>
      <w:bookmarkEnd w:id="314"/>
    </w:p>
    <w:p w14:paraId="6FAD37CA">
      <w:pPr>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本项目发生的事故风险主要是船舶碰撞等事故产生的泄漏油品导致的淮河水体污染，油品泄漏时应及时采取合理可行的环境风险应急措施，</w:t>
      </w:r>
      <w:r>
        <w:rPr>
          <w:rFonts w:ascii="Times New Roman" w:hAnsi="Times New Roman" w:eastAsia="宋体" w:cs="Times New Roman"/>
          <w:color w:val="auto"/>
          <w:spacing w:val="-4"/>
          <w:sz w:val="24"/>
          <w:szCs w:val="20"/>
        </w:rPr>
        <w:t>通过，风险防范措施和应急预案的设立，可以较为有效的最大限度</w:t>
      </w:r>
      <w:r>
        <w:rPr>
          <w:rFonts w:hint="eastAsia" w:cs="Times New Roman"/>
          <w:color w:val="auto"/>
          <w:spacing w:val="-4"/>
          <w:sz w:val="24"/>
          <w:szCs w:val="20"/>
          <w:lang w:eastAsia="zh-CN"/>
        </w:rPr>
        <w:t>防止</w:t>
      </w:r>
      <w:r>
        <w:rPr>
          <w:rFonts w:ascii="Times New Roman" w:hAnsi="Times New Roman" w:eastAsia="宋体" w:cs="Times New Roman"/>
          <w:color w:val="auto"/>
          <w:spacing w:val="-4"/>
          <w:sz w:val="24"/>
          <w:szCs w:val="20"/>
        </w:rPr>
        <w:t>风险事故的发生和有效处置，并结合建设单位在下步设计、运营过程中不断制定和完善的风险防范措施和应急预案，本项目所发生的环境风险可以控制在较低的水平，事故风险处于可</w:t>
      </w:r>
      <w:r>
        <w:rPr>
          <w:rFonts w:hint="eastAsia" w:cs="Times New Roman"/>
          <w:color w:val="auto"/>
          <w:spacing w:val="-4"/>
          <w:sz w:val="24"/>
          <w:szCs w:val="20"/>
          <w:lang w:eastAsia="zh-CN"/>
        </w:rPr>
        <w:t>接受</w:t>
      </w:r>
      <w:r>
        <w:rPr>
          <w:rFonts w:ascii="Times New Roman" w:hAnsi="Times New Roman" w:eastAsia="宋体" w:cs="Times New Roman"/>
          <w:color w:val="auto"/>
          <w:spacing w:val="-4"/>
          <w:sz w:val="24"/>
          <w:szCs w:val="20"/>
        </w:rPr>
        <w:t>水平。</w:t>
      </w:r>
    </w:p>
    <w:p w14:paraId="03A98CAE">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315" w:name="_Toc8360"/>
      <w:r>
        <w:rPr>
          <w:rFonts w:hint="eastAsia" w:ascii="Times New Roman" w:hAnsi="Times New Roman" w:eastAsia="黑体" w:cs="Times New Roman"/>
          <w:bCs/>
          <w:color w:val="auto"/>
          <w:kern w:val="2"/>
          <w:sz w:val="30"/>
          <w:szCs w:val="32"/>
          <w:lang w:val="en-US" w:eastAsia="zh-CN" w:bidi="ar-SA"/>
        </w:rPr>
        <w:t>9.6</w:t>
      </w:r>
      <w:r>
        <w:rPr>
          <w:rFonts w:ascii="Times New Roman" w:hAnsi="Times New Roman" w:eastAsia="黑体" w:cs="Times New Roman"/>
          <w:bCs/>
          <w:color w:val="auto"/>
          <w:kern w:val="2"/>
          <w:sz w:val="30"/>
          <w:szCs w:val="32"/>
          <w:lang w:val="en-US" w:eastAsia="zh-CN" w:bidi="ar-SA"/>
        </w:rPr>
        <w:t>公众意见采纳情况</w:t>
      </w:r>
      <w:bookmarkEnd w:id="315"/>
    </w:p>
    <w:p w14:paraId="28178172">
      <w:pPr>
        <w:widowControl w:val="0"/>
        <w:spacing w:line="360" w:lineRule="auto"/>
        <w:ind w:firstLine="480" w:firstLineChars="200"/>
        <w:jc w:val="both"/>
        <w:rPr>
          <w:rFonts w:ascii="Times New Roman" w:hAnsi="Times New Roman" w:eastAsia="宋体" w:cs="Times New Roman"/>
          <w:color w:val="auto"/>
          <w:kern w:val="2"/>
          <w:sz w:val="24"/>
          <w:szCs w:val="21"/>
          <w:lang w:val="en-US" w:eastAsia="zh-CN" w:bidi="ar-SA"/>
        </w:rPr>
      </w:pPr>
      <w:r>
        <w:rPr>
          <w:rFonts w:ascii="Times New Roman" w:hAnsi="Times New Roman" w:eastAsia="宋体" w:cs="Times New Roman"/>
          <w:color w:val="auto"/>
          <w:kern w:val="2"/>
          <w:sz w:val="24"/>
          <w:szCs w:val="21"/>
          <w:lang w:val="en-US" w:eastAsia="zh-CN" w:bidi="ar-SA"/>
        </w:rPr>
        <w:t>本项目</w:t>
      </w:r>
      <w:r>
        <w:rPr>
          <w:rFonts w:ascii="Calibri" w:hAnsi="Calibri" w:eastAsia="宋体" w:cs="Times New Roman"/>
          <w:color w:val="auto"/>
          <w:kern w:val="2"/>
          <w:sz w:val="24"/>
          <w:szCs w:val="21"/>
          <w:lang w:val="en-US" w:eastAsia="zh-CN" w:bidi="ar-SA"/>
        </w:rPr>
        <w:t>位于</w:t>
      </w:r>
      <w:r>
        <w:rPr>
          <w:rFonts w:hint="eastAsia" w:ascii="Calibri" w:hAnsi="Calibri" w:eastAsia="宋体" w:cs="Times New Roman"/>
          <w:color w:val="auto"/>
          <w:kern w:val="2"/>
          <w:sz w:val="24"/>
          <w:szCs w:val="21"/>
          <w:lang w:val="en-US" w:eastAsia="zh-CN" w:bidi="ar-SA"/>
        </w:rPr>
        <w:t>淮南市潘集区平圩镇淮河北汊的左岸潘集港区规划作业区，</w:t>
      </w:r>
      <w:r>
        <w:rPr>
          <w:rFonts w:ascii="Times New Roman" w:hAnsi="Times New Roman" w:eastAsia="宋体" w:cs="Times New Roman"/>
          <w:color w:val="auto"/>
          <w:kern w:val="2"/>
          <w:sz w:val="24"/>
          <w:szCs w:val="21"/>
          <w:lang w:val="en-US" w:eastAsia="zh-CN" w:bidi="ar-SA"/>
        </w:rPr>
        <w:t>项目所在区域对外交通、供电、供水、通讯等基础设施较完善。</w:t>
      </w:r>
    </w:p>
    <w:p w14:paraId="196E555A">
      <w:pPr>
        <w:widowControl w:val="0"/>
        <w:spacing w:line="360" w:lineRule="auto"/>
        <w:ind w:firstLine="480" w:firstLineChars="200"/>
        <w:jc w:val="both"/>
        <w:rPr>
          <w:rFonts w:ascii="Times New Roman" w:hAnsi="Times New Roman" w:eastAsia="宋体" w:cs="Times New Roman"/>
          <w:color w:val="auto"/>
          <w:kern w:val="2"/>
          <w:sz w:val="24"/>
          <w:szCs w:val="21"/>
          <w:lang w:val="en-US" w:eastAsia="zh-CN" w:bidi="ar-SA"/>
        </w:rPr>
      </w:pPr>
      <w:r>
        <w:rPr>
          <w:rFonts w:ascii="Times New Roman" w:hAnsi="Times New Roman" w:eastAsia="宋体" w:cs="Times New Roman"/>
          <w:color w:val="auto"/>
          <w:kern w:val="2"/>
          <w:sz w:val="24"/>
          <w:szCs w:val="21"/>
          <w:lang w:val="en-US" w:eastAsia="zh-CN" w:bidi="ar-SA"/>
        </w:rPr>
        <w:t>根据《环境影响评价公众参与办法》(部令第4号)及《建设项目环境影响评价技术导则总纲》(HJ2.1-2016)相关要求，评价过程中，为了充分了解评价范围公众的意见，建设单位于2023年9月</w:t>
      </w:r>
      <w:r>
        <w:rPr>
          <w:rFonts w:hint="eastAsia" w:ascii="Times New Roman" w:hAnsi="Times New Roman" w:eastAsia="宋体" w:cs="Times New Roman"/>
          <w:color w:val="auto"/>
          <w:kern w:val="2"/>
          <w:sz w:val="24"/>
          <w:szCs w:val="21"/>
          <w:lang w:val="en-US" w:eastAsia="zh-CN" w:bidi="ar-SA"/>
        </w:rPr>
        <w:t>1</w:t>
      </w:r>
      <w:r>
        <w:rPr>
          <w:rFonts w:ascii="Times New Roman" w:hAnsi="Times New Roman" w:eastAsia="宋体" w:cs="Times New Roman"/>
          <w:color w:val="auto"/>
          <w:kern w:val="2"/>
          <w:sz w:val="24"/>
          <w:szCs w:val="21"/>
          <w:lang w:val="en-US" w:eastAsia="zh-CN" w:bidi="ar-SA"/>
        </w:rPr>
        <w:t>8日，在淮南市生态环境局网站上对本次环境影响评价工作进行了首次公示；2023年</w:t>
      </w:r>
      <w:r>
        <w:rPr>
          <w:rFonts w:hint="eastAsia" w:ascii="Times New Roman" w:hAnsi="Times New Roman" w:eastAsia="宋体" w:cs="Times New Roman"/>
          <w:color w:val="auto"/>
          <w:kern w:val="2"/>
          <w:sz w:val="24"/>
          <w:szCs w:val="21"/>
          <w:lang w:val="en-US" w:eastAsia="zh-CN" w:bidi="ar-SA"/>
        </w:rPr>
        <w:t>10</w:t>
      </w:r>
      <w:r>
        <w:rPr>
          <w:rFonts w:ascii="Times New Roman" w:hAnsi="Times New Roman" w:eastAsia="宋体" w:cs="Times New Roman"/>
          <w:color w:val="auto"/>
          <w:kern w:val="2"/>
          <w:sz w:val="24"/>
          <w:szCs w:val="21"/>
          <w:lang w:val="en-US" w:eastAsia="zh-CN" w:bidi="ar-SA"/>
        </w:rPr>
        <w:t>月</w:t>
      </w:r>
      <w:r>
        <w:rPr>
          <w:rFonts w:hint="eastAsia" w:ascii="Times New Roman" w:hAnsi="Times New Roman" w:eastAsia="宋体" w:cs="Times New Roman"/>
          <w:color w:val="auto"/>
          <w:kern w:val="2"/>
          <w:sz w:val="24"/>
          <w:szCs w:val="21"/>
          <w:lang w:val="en-US" w:eastAsia="zh-CN" w:bidi="ar-SA"/>
        </w:rPr>
        <w:t>30</w:t>
      </w:r>
      <w:r>
        <w:rPr>
          <w:rFonts w:ascii="Times New Roman" w:hAnsi="Times New Roman" w:eastAsia="宋体" w:cs="Times New Roman"/>
          <w:color w:val="auto"/>
          <w:kern w:val="2"/>
          <w:sz w:val="24"/>
          <w:szCs w:val="21"/>
          <w:lang w:val="en-US" w:eastAsia="zh-CN" w:bidi="ar-SA"/>
        </w:rPr>
        <w:t>日，建设单位在淮南市生态环境局网站对本次环境影响评价工作的进展以及初步评价结论进行了征求意见稿公示。在征求意见稿公示期间，建设单位在区域内居民点张贴了项目公告，并在</w:t>
      </w:r>
      <w:r>
        <w:rPr>
          <w:rFonts w:hint="eastAsia" w:ascii="Times New Roman" w:hAnsi="Times New Roman" w:eastAsia="宋体" w:cs="Times New Roman"/>
          <w:color w:val="auto"/>
          <w:kern w:val="2"/>
          <w:sz w:val="24"/>
          <w:szCs w:val="21"/>
          <w:lang w:val="en-US" w:eastAsia="zh-CN" w:bidi="ar-SA"/>
        </w:rPr>
        <w:t>安徽日报</w:t>
      </w:r>
      <w:r>
        <w:rPr>
          <w:rFonts w:ascii="Times New Roman" w:hAnsi="Times New Roman" w:eastAsia="宋体" w:cs="Times New Roman"/>
          <w:color w:val="auto"/>
          <w:kern w:val="2"/>
          <w:sz w:val="24"/>
          <w:szCs w:val="21"/>
          <w:lang w:val="en-US" w:eastAsia="zh-CN" w:bidi="ar-SA"/>
        </w:rPr>
        <w:t>进行了两次登报公示。</w:t>
      </w:r>
    </w:p>
    <w:p w14:paraId="43AD409A">
      <w:pPr>
        <w:widowControl w:val="0"/>
        <w:spacing w:line="360" w:lineRule="auto"/>
        <w:ind w:firstLine="480" w:firstLineChars="200"/>
        <w:jc w:val="both"/>
        <w:rPr>
          <w:rFonts w:ascii="Times New Roman" w:hAnsi="Times New Roman" w:eastAsia="宋体" w:cs="Times New Roman"/>
          <w:color w:val="auto"/>
          <w:kern w:val="2"/>
          <w:sz w:val="24"/>
          <w:szCs w:val="21"/>
          <w:lang w:val="en-US" w:eastAsia="zh-CN" w:bidi="ar-SA"/>
        </w:rPr>
      </w:pPr>
      <w:r>
        <w:rPr>
          <w:rFonts w:ascii="Times New Roman" w:hAnsi="Times New Roman" w:eastAsia="宋体" w:cs="Times New Roman"/>
          <w:color w:val="auto"/>
          <w:kern w:val="2"/>
          <w:sz w:val="24"/>
          <w:szCs w:val="21"/>
          <w:lang w:val="en-US" w:eastAsia="zh-CN" w:bidi="ar-SA"/>
        </w:rPr>
        <w:t>上述公示期间，均未收到个人或集体的反馈意见。</w:t>
      </w:r>
    </w:p>
    <w:p w14:paraId="73213B1C">
      <w:pPr>
        <w:keepNext/>
        <w:keepLines/>
        <w:widowControl w:val="0"/>
        <w:numPr>
          <w:ilvl w:val="1"/>
          <w:numId w:val="0"/>
        </w:numPr>
        <w:spacing w:line="360" w:lineRule="auto"/>
        <w:ind w:left="0"/>
        <w:jc w:val="both"/>
        <w:outlineLvl w:val="1"/>
        <w:rPr>
          <w:rFonts w:ascii="Times New Roman" w:hAnsi="Times New Roman" w:eastAsia="黑体" w:cs="Times New Roman"/>
          <w:bCs/>
          <w:color w:val="auto"/>
          <w:kern w:val="2"/>
          <w:sz w:val="30"/>
          <w:szCs w:val="32"/>
          <w:lang w:val="en-US" w:eastAsia="zh-CN" w:bidi="ar-SA"/>
        </w:rPr>
      </w:pPr>
      <w:bookmarkStart w:id="316" w:name="_Toc3527"/>
      <w:r>
        <w:rPr>
          <w:rFonts w:hint="eastAsia" w:ascii="Times New Roman" w:hAnsi="Times New Roman" w:eastAsia="黑体" w:cs="Times New Roman"/>
          <w:bCs/>
          <w:color w:val="auto"/>
          <w:kern w:val="2"/>
          <w:sz w:val="30"/>
          <w:szCs w:val="32"/>
          <w:lang w:val="en-US" w:eastAsia="zh-CN" w:bidi="ar-SA"/>
        </w:rPr>
        <w:t>9.7</w:t>
      </w:r>
      <w:r>
        <w:rPr>
          <w:rFonts w:ascii="Times New Roman" w:hAnsi="Times New Roman" w:eastAsia="黑体" w:cs="Times New Roman"/>
          <w:bCs/>
          <w:color w:val="auto"/>
          <w:kern w:val="2"/>
          <w:sz w:val="30"/>
          <w:szCs w:val="32"/>
          <w:lang w:val="en-US" w:eastAsia="zh-CN" w:bidi="ar-SA"/>
        </w:rPr>
        <w:t>环评总结论</w:t>
      </w:r>
      <w:bookmarkEnd w:id="316"/>
    </w:p>
    <w:p w14:paraId="6F78C7CF">
      <w:pPr>
        <w:spacing w:line="360" w:lineRule="auto"/>
        <w:ind w:firstLine="480" w:firstLineChars="200"/>
        <w:rPr>
          <w:rFonts w:hint="eastAsia" w:hAnsi="宋体"/>
          <w:color w:val="auto"/>
          <w:sz w:val="24"/>
          <w:szCs w:val="24"/>
        </w:rPr>
      </w:pPr>
      <w:r>
        <w:rPr>
          <w:rFonts w:hint="eastAsia" w:hAnsi="宋体"/>
          <w:color w:val="auto"/>
          <w:sz w:val="24"/>
          <w:szCs w:val="24"/>
        </w:rPr>
        <w:t>环评单位通过调查、分析和综合评价后认为：本项目符合国家和地方有关环境保护法律法规、标准、政策、规范及相关规划要求；生产过程中所采用的各项污染防治措施技术可行、经济合理，能保证各类污染物长期稳定达标排放；预测结果表明项目所排放的污染物对周围环境和环境保护目标影响较小，对环境的影响可接受；通过采取有针对性的风险防范措施并落实应急预案，项目的环境风险可控。建设单位按照《环境影响评价公众参与办法》开展了公众参与调查，公示期间未收到反馈意见。</w:t>
      </w:r>
    </w:p>
    <w:p w14:paraId="5162FC49">
      <w:pPr>
        <w:spacing w:line="360" w:lineRule="auto"/>
        <w:ind w:firstLine="480" w:firstLineChars="200"/>
        <w:rPr>
          <w:rFonts w:hint="eastAsia" w:hAnsi="宋体"/>
          <w:color w:val="auto"/>
          <w:sz w:val="24"/>
          <w:szCs w:val="24"/>
        </w:rPr>
      </w:pPr>
      <w:r>
        <w:rPr>
          <w:rFonts w:hint="eastAsia" w:hAnsi="宋体"/>
          <w:color w:val="auto"/>
          <w:sz w:val="24"/>
          <w:szCs w:val="24"/>
        </w:rPr>
        <w:t>综上所述，在落实本报告书中的各项环保措施、水产种质资源保护区的影响专题论证报告中各项措施以及各级环保主管部门管理要求的前提下，从环保角度分析，本项目的建设具有环境可行性。</w:t>
      </w:r>
    </w:p>
    <w:p w14:paraId="041BCECC">
      <w:pPr>
        <w:pStyle w:val="2"/>
        <w:numPr>
          <w:ilvl w:val="0"/>
          <w:numId w:val="0"/>
        </w:numPr>
        <w:rPr>
          <w:rFonts w:hint="eastAsia"/>
          <w:color w:val="auto"/>
          <w:highlight w:val="cyan"/>
        </w:rPr>
      </w:pPr>
    </w:p>
    <w:sectPr>
      <w:footerReference r:id="rId22" w:type="default"/>
      <w:pgSz w:w="11907" w:h="16840"/>
      <w:pgMar w:top="1418" w:right="1418" w:bottom="1418" w:left="1418"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4D"/>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楷体_GB2312">
    <w:altName w:val="楷体"/>
    <w:panose1 w:val="00000000000000000000"/>
    <w:charset w:val="86"/>
    <w:family w:val="modern"/>
    <w:pitch w:val="default"/>
    <w:sig w:usb0="00000000" w:usb1="00000000" w:usb2="00000000" w:usb3="00000000" w:csb0="00040000" w:csb1="00000000"/>
  </w:font>
  <w:font w:name="MingLiU">
    <w:altName w:val="PMingLiU-ExtB"/>
    <w:panose1 w:val="02010609000101010101"/>
    <w:charset w:val="88"/>
    <w:family w:val="modern"/>
    <w:pitch w:val="default"/>
    <w:sig w:usb0="00000000" w:usb1="00000000" w:usb2="00000016" w:usb3="00000000" w:csb0="00100001" w:csb1="00000000"/>
  </w:font>
  <w:font w:name="Georgia">
    <w:panose1 w:val="02040502050405020303"/>
    <w:charset w:val="00"/>
    <w:family w:val="roman"/>
    <w:pitch w:val="default"/>
    <w:sig w:usb0="00000287" w:usb1="00000000" w:usb2="00000000" w:usb3="00000000" w:csb0="2000009F" w:csb1="00000000"/>
  </w:font>
  <w:font w:name="华文楷体">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仿宋体">
    <w:altName w:val="宋体"/>
    <w:panose1 w:val="00000000000000000000"/>
    <w:charset w:val="86"/>
    <w:family w:val="roman"/>
    <w:pitch w:val="default"/>
    <w:sig w:usb0="00000000" w:usb1="00000000" w:usb2="00000010" w:usb3="00000000" w:csb0="00040000" w:csb1="0000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MS Mincho">
    <w:altName w:val="Yu Gothic"/>
    <w:panose1 w:val="00000000000000000000"/>
    <w:charset w:val="80"/>
    <w:family w:val="modern"/>
    <w:pitch w:val="default"/>
    <w:sig w:usb0="00000000" w:usb1="00000000" w:usb2="08000012" w:usb3="00000000" w:csb0="0002009F" w:csb1="00000000"/>
  </w:font>
  <w:font w:name="TimesNewRomanPSMT">
    <w:altName w:val="宋体"/>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 w:name="PMingLiU-ExtB">
    <w:panose1 w:val="02020500000000000000"/>
    <w:charset w:val="88"/>
    <w:family w:val="auto"/>
    <w:pitch w:val="default"/>
    <w:sig w:usb0="8000002F" w:usb1="02000008" w:usb2="00000000" w:usb3="00000000" w:csb0="00100001" w:csb1="0000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0CD4E">
    <w:pPr>
      <w:pStyle w:val="35"/>
      <w:ind w:right="270"/>
      <w:rPr>
        <w:rFonts w:hint="eastAsia"/>
        <w:sz w:val="21"/>
        <w:szCs w:val="21"/>
        <w:u w:val="single"/>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1E802">
    <w:pPr>
      <w:pStyle w:val="35"/>
      <w:ind w:right="272"/>
      <w:jc w:val="center"/>
      <w:rPr>
        <w:rFonts w:hint="eastAsia"/>
        <w:sz w:val="21"/>
        <w:szCs w:val="21"/>
        <w:u w:val="single"/>
      </w:rPr>
    </w:pPr>
    <w:r>
      <w:fldChar w:fldCharType="begin"/>
    </w:r>
    <w:r>
      <w:rPr>
        <w:rStyle w:val="59"/>
      </w:rPr>
      <w:instrText xml:space="preserve"> PAGE </w:instrText>
    </w:r>
    <w:r>
      <w:fldChar w:fldCharType="separate"/>
    </w:r>
    <w:r>
      <w:rPr>
        <w:rStyle w:val="59"/>
      </w:rPr>
      <w:t>83</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FA720">
    <w:pPr>
      <w:pStyle w:val="35"/>
      <w:ind w:right="270"/>
      <w:jc w:val="center"/>
      <w:rPr>
        <w:rFonts w:hint="eastAsia"/>
        <w:sz w:val="21"/>
        <w:szCs w:val="21"/>
        <w:u w:val="single"/>
      </w:rPr>
    </w:pPr>
    <w:r>
      <w:fldChar w:fldCharType="begin"/>
    </w:r>
    <w:r>
      <w:rPr>
        <w:rStyle w:val="59"/>
      </w:rPr>
      <w:instrText xml:space="preserve"> PAGE </w:instrText>
    </w:r>
    <w:r>
      <w:fldChar w:fldCharType="separate"/>
    </w:r>
    <w:r>
      <w:rPr>
        <w:rStyle w:val="59"/>
      </w:rPr>
      <w:t>158</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69418">
    <w:pPr>
      <w:pStyle w:val="35"/>
      <w:ind w:right="270"/>
      <w:jc w:val="center"/>
      <w:rPr>
        <w:rFonts w:hint="eastAsia"/>
        <w:sz w:val="21"/>
        <w:szCs w:val="21"/>
        <w:u w:val="single"/>
      </w:rPr>
    </w:pPr>
    <w: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-93980</wp:posOffset>
              </wp:positionV>
              <wp:extent cx="8839835" cy="11430"/>
              <wp:effectExtent l="0" t="4445" r="18415" b="12700"/>
              <wp:wrapNone/>
              <wp:docPr id="227" name="自选图形 1032"/>
              <wp:cNvGraphicFramePr/>
              <a:graphic xmlns:a="http://schemas.openxmlformats.org/drawingml/2006/main">
                <a:graphicData uri="http://schemas.microsoft.com/office/word/2010/wordprocessingShape">
                  <wps:wsp>
                    <wps:cNvCnPr/>
                    <wps:spPr>
                      <a:xfrm flipV="1">
                        <a:off x="0" y="0"/>
                        <a:ext cx="8839835" cy="11430"/>
                      </a:xfrm>
                      <a:prstGeom prst="straightConnector1">
                        <a:avLst/>
                      </a:prstGeom>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1032" o:spid="_x0000_s1026" o:spt="32" type="#_x0000_t32" style="position:absolute;left:0pt;flip:y;margin-left:-0.95pt;margin-top:-7.4pt;height:0.9pt;width:696.05pt;z-index:251659264;mso-width-relative:page;mso-height-relative:page;" filled="f" stroked="t" coordsize="21600,21600" o:gfxdata="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Y59dfYAAAACwEAAA8A&#10;AAAAAAAAAQAgAAAAIgAAAGRycy9kb3ducmV2LnhtbFBLAQIUABQAAAAIAIdO4kDJyfFhFwIAABAE&#10;AAAOAAAAAAAAAAEAIAAAACcBAABkcnMvZTJvRG9jLnhtbFBLBQYAAAAABgAGAFkBAACwBQAAAAA=&#10;">
              <v:fill on="f" focussize="0,0"/>
              <v:stroke color="#000000" joinstyle="round"/>
              <v:imagedata o:title=""/>
              <o:lock v:ext="edit" aspectratio="f"/>
            </v:shape>
          </w:pict>
        </mc:Fallback>
      </mc:AlternateContent>
    </w:r>
    <w:r>
      <w:fldChar w:fldCharType="begin"/>
    </w:r>
    <w:r>
      <w:rPr>
        <w:rStyle w:val="59"/>
      </w:rPr>
      <w:instrText xml:space="preserve"> PAGE </w:instrText>
    </w:r>
    <w:r>
      <w:fldChar w:fldCharType="separate"/>
    </w:r>
    <w:r>
      <w:rPr>
        <w:rStyle w:val="59"/>
      </w:rPr>
      <w:t>159</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1575B">
    <w:pPr>
      <w:pStyle w:val="35"/>
      <w:ind w:right="270"/>
      <w:jc w:val="center"/>
      <w:rPr>
        <w:rFonts w:hint="eastAsia"/>
        <w:sz w:val="21"/>
        <w:szCs w:val="21"/>
        <w:u w:val="single"/>
      </w:rPr>
    </w:pPr>
    <w:r>
      <w:fldChar w:fldCharType="begin"/>
    </w:r>
    <w:r>
      <w:rPr>
        <w:rStyle w:val="59"/>
      </w:rPr>
      <w:instrText xml:space="preserve"> PAGE </w:instrText>
    </w:r>
    <w:r>
      <w:fldChar w:fldCharType="separate"/>
    </w:r>
    <w:r>
      <w:rPr>
        <w:rStyle w:val="59"/>
      </w:rPr>
      <w:t>235</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28942">
    <w:pPr>
      <w:pBdr>
        <w:top w:val="single" w:color="auto" w:sz="4" w:space="0"/>
      </w:pBdr>
      <w:adjustRightInd w:val="0"/>
      <w:snapToGrid w:val="0"/>
      <w:spacing w:line="240" w:lineRule="auto"/>
      <w:ind w:firstLine="0" w:firstLineChars="0"/>
      <w:jc w:val="left"/>
      <w:rPr>
        <w:rFonts w:ascii="仿宋_GB2312" w:hAnsi="宋体" w:eastAsia="仿宋_GB2312" w:cs="Times New Roman"/>
        <w:color w:val="000000"/>
        <w:sz w:val="18"/>
        <w:szCs w:val="18"/>
      </w:rPr>
    </w:pPr>
    <w:r>
      <w:rPr>
        <w:rFonts w:ascii="Calibri" w:hAnsi="Calibri" w:eastAsia="宋体" w:cs="Times New Roman"/>
        <w:color w:val="000000"/>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30505" cy="1828800"/>
              <wp:effectExtent l="0" t="0" r="0" b="0"/>
              <wp:wrapNone/>
              <wp:docPr id="228" name="文本框 2"/>
              <wp:cNvGraphicFramePr/>
              <a:graphic xmlns:a="http://schemas.openxmlformats.org/drawingml/2006/main">
                <a:graphicData uri="http://schemas.microsoft.com/office/word/2010/wordprocessingShape">
                  <wps:wsp>
                    <wps:cNvSpPr txBox="1"/>
                    <wps:spPr>
                      <a:xfrm>
                        <a:off x="0" y="0"/>
                        <a:ext cx="230505" cy="1828800"/>
                      </a:xfrm>
                      <a:prstGeom prst="rect">
                        <a:avLst/>
                      </a:prstGeom>
                      <a:noFill/>
                      <a:ln>
                        <a:noFill/>
                      </a:ln>
                      <a:effectLst/>
                    </wps:spPr>
                    <wps:txbx>
                      <w:txbxContent>
                        <w:p w14:paraId="23366ADE">
                          <w:pPr>
                            <w:adjustRightInd w:val="0"/>
                            <w:snapToGrid w:val="0"/>
                            <w:spacing w:line="240" w:lineRule="atLeast"/>
                            <w:ind w:firstLine="0" w:firstLineChars="0"/>
                            <w:jc w:val="center"/>
                            <w:rPr>
                              <w:rFonts w:hint="eastAsia" w:ascii="Calibri" w:hAnsi="Calibri" w:eastAsia="宋体" w:cs="Times New Roman"/>
                              <w:color w:val="000000"/>
                              <w:sz w:val="18"/>
                              <w:szCs w:val="18"/>
                            </w:rPr>
                          </w:pPr>
                          <w:r>
                            <w:rPr>
                              <w:rFonts w:ascii="Times New Roman" w:hAnsi="Times New Roman" w:eastAsia="宋体" w:cs="Times New Roman"/>
                              <w:color w:val="000000"/>
                              <w:sz w:val="18"/>
                              <w:szCs w:val="18"/>
                            </w:rPr>
                            <w:fldChar w:fldCharType="begin"/>
                          </w:r>
                          <w:r>
                            <w:rPr>
                              <w:rFonts w:ascii="Times New Roman" w:hAnsi="Times New Roman" w:eastAsia="宋体" w:cs="Times New Roman"/>
                              <w:color w:val="000000"/>
                              <w:sz w:val="18"/>
                              <w:szCs w:val="18"/>
                            </w:rPr>
                            <w:instrText xml:space="preserve"> PAGE  \* MERGEFORMAT </w:instrText>
                          </w:r>
                          <w:r>
                            <w:rPr>
                              <w:rFonts w:ascii="Times New Roman" w:hAnsi="Times New Roman" w:eastAsia="宋体" w:cs="Times New Roman"/>
                              <w:color w:val="000000"/>
                              <w:sz w:val="18"/>
                              <w:szCs w:val="18"/>
                            </w:rPr>
                            <w:fldChar w:fldCharType="separate"/>
                          </w:r>
                          <w:r>
                            <w:rPr>
                              <w:rFonts w:ascii="Times New Roman" w:hAnsi="Times New Roman" w:eastAsia="宋体" w:cs="Times New Roman"/>
                              <w:color w:val="000000"/>
                              <w:sz w:val="18"/>
                              <w:szCs w:val="18"/>
                            </w:rPr>
                            <w:t>4</w:t>
                          </w:r>
                          <w:r>
                            <w:rPr>
                              <w:rFonts w:ascii="Times New Roman" w:hAnsi="Times New Roman" w:eastAsia="宋体" w:cs="Times New Roman"/>
                              <w:color w:val="000000"/>
                              <w:sz w:val="18"/>
                              <w:szCs w:val="18"/>
                            </w:rPr>
                            <w:fldChar w:fldCharType="end"/>
                          </w:r>
                        </w:p>
                      </w:txbxContent>
                    </wps:txbx>
                    <wps:bodyPr vert="horz" wrap="square" lIns="0" tIns="0" rIns="0" bIns="0" anchor="t" anchorCtr="0" upright="0">
                      <a:spAutoFit/>
                    </wps:bodyPr>
                  </wps:wsp>
                </a:graphicData>
              </a:graphic>
            </wp:anchor>
          </w:drawing>
        </mc:Choice>
        <mc:Fallback>
          <w:pict>
            <v:shape id="文本框 2" o:spid="_x0000_s1026" o:spt="202" type="#_x0000_t202" style="position:absolute;left:0pt;margin-top:0pt;height:144pt;width:18.15pt;mso-position-horizontal:center;mso-position-horizontal-relative:margin;z-index:251660288;mso-width-relative:page;mso-height-relative:page;" filled="f" stroked="f" coordsize="21600,21600" o:gfxdata="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zA8avT&#10;AAAABAEAAA8AAAAAAAAAAQAgAAAAIgAAAGRycy9kb3ducmV2LnhtbFBLAQIUABQAAAAIAIdO4kD6&#10;5GTn7AEAAM8DAAAOAAAAAAAAAAEAIAAAACIBAABkcnMvZTJvRG9jLnhtbFBLBQYAAAAABgAGAFkB&#10;AACABQAAAAA=&#10;">
              <v:fill on="f" focussize="0,0"/>
              <v:stroke on="f"/>
              <v:imagedata o:title=""/>
              <o:lock v:ext="edit" aspectratio="f"/>
              <v:textbox inset="0mm,0mm,0mm,0mm" style="mso-fit-shape-to-text:t;">
                <w:txbxContent>
                  <w:p w14:paraId="23366ADE">
                    <w:pPr>
                      <w:adjustRightInd w:val="0"/>
                      <w:snapToGrid w:val="0"/>
                      <w:spacing w:line="240" w:lineRule="atLeast"/>
                      <w:ind w:firstLine="0" w:firstLineChars="0"/>
                      <w:jc w:val="center"/>
                      <w:rPr>
                        <w:rFonts w:hint="eastAsia" w:ascii="Calibri" w:hAnsi="Calibri" w:eastAsia="宋体" w:cs="Times New Roman"/>
                        <w:color w:val="000000"/>
                        <w:sz w:val="18"/>
                        <w:szCs w:val="18"/>
                      </w:rPr>
                    </w:pPr>
                    <w:r>
                      <w:rPr>
                        <w:rFonts w:ascii="Times New Roman" w:hAnsi="Times New Roman" w:eastAsia="宋体" w:cs="Times New Roman"/>
                        <w:color w:val="000000"/>
                        <w:sz w:val="18"/>
                        <w:szCs w:val="18"/>
                      </w:rPr>
                      <w:fldChar w:fldCharType="begin"/>
                    </w:r>
                    <w:r>
                      <w:rPr>
                        <w:rFonts w:ascii="Times New Roman" w:hAnsi="Times New Roman" w:eastAsia="宋体" w:cs="Times New Roman"/>
                        <w:color w:val="000000"/>
                        <w:sz w:val="18"/>
                        <w:szCs w:val="18"/>
                      </w:rPr>
                      <w:instrText xml:space="preserve"> PAGE  \* MERGEFORMAT </w:instrText>
                    </w:r>
                    <w:r>
                      <w:rPr>
                        <w:rFonts w:ascii="Times New Roman" w:hAnsi="Times New Roman" w:eastAsia="宋体" w:cs="Times New Roman"/>
                        <w:color w:val="000000"/>
                        <w:sz w:val="18"/>
                        <w:szCs w:val="18"/>
                      </w:rPr>
                      <w:fldChar w:fldCharType="separate"/>
                    </w:r>
                    <w:r>
                      <w:rPr>
                        <w:rFonts w:ascii="Times New Roman" w:hAnsi="Times New Roman" w:eastAsia="宋体" w:cs="Times New Roman"/>
                        <w:color w:val="000000"/>
                        <w:sz w:val="18"/>
                        <w:szCs w:val="18"/>
                      </w:rPr>
                      <w:t>4</w:t>
                    </w:r>
                    <w:r>
                      <w:rPr>
                        <w:rFonts w:ascii="Times New Roman" w:hAnsi="Times New Roman" w:eastAsia="宋体" w:cs="Times New Roman"/>
                        <w:color w:val="000000"/>
                        <w:sz w:val="18"/>
                        <w:szCs w:val="18"/>
                      </w:rPr>
                      <w:fldChar w:fldCharType="end"/>
                    </w:r>
                  </w:p>
                </w:txbxContent>
              </v:textbox>
            </v:shape>
          </w:pict>
        </mc:Fallback>
      </mc:AlternateContent>
    </w:r>
    <w:r>
      <w:rPr>
        <w:rFonts w:hint="eastAsia" w:ascii="Times New Roman" w:hAnsi="Times New Roman" w:eastAsia="宋体" w:cs="Times New Roman"/>
        <w:color w:val="000000"/>
        <w:sz w:val="18"/>
        <w:szCs w:val="18"/>
      </w:rPr>
      <w:t>安徽睿晟环境科技有限公司</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1D67B">
    <w:pPr>
      <w:pBdr>
        <w:top w:val="single" w:color="auto" w:sz="4" w:space="0"/>
      </w:pBdr>
      <w:spacing w:line="240" w:lineRule="auto"/>
      <w:ind w:firstLine="0" w:firstLineChars="0"/>
      <w:jc w:val="left"/>
      <w:rPr>
        <w:rFonts w:ascii="仿宋_GB2312" w:hAnsi="宋体" w:eastAsia="仿宋_GB2312"/>
        <w:color w:val="000000"/>
        <w:sz w:val="18"/>
        <w:szCs w:val="18"/>
      </w:rPr>
    </w:pPr>
    <w:r>
      <w:rPr>
        <w:rFonts w:ascii="Calibri" w:hAnsi="Calibri"/>
        <w:color w:val="000000"/>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30505" cy="1828800"/>
              <wp:effectExtent l="0" t="0" r="0" b="0"/>
              <wp:wrapNone/>
              <wp:docPr id="229" name="文本框 2"/>
              <wp:cNvGraphicFramePr/>
              <a:graphic xmlns:a="http://schemas.openxmlformats.org/drawingml/2006/main">
                <a:graphicData uri="http://schemas.microsoft.com/office/word/2010/wordprocessingShape">
                  <wps:wsp>
                    <wps:cNvSpPr txBox="1"/>
                    <wps:spPr>
                      <a:xfrm>
                        <a:off x="0" y="0"/>
                        <a:ext cx="230505" cy="1828800"/>
                      </a:xfrm>
                      <a:prstGeom prst="rect">
                        <a:avLst/>
                      </a:prstGeom>
                      <a:noFill/>
                      <a:ln>
                        <a:noFill/>
                      </a:ln>
                      <a:effectLst/>
                    </wps:spPr>
                    <wps:txbx>
                      <w:txbxContent>
                        <w:p w14:paraId="6198C508">
                          <w:pPr>
                            <w:spacing w:line="240" w:lineRule="atLeast"/>
                            <w:ind w:firstLine="0" w:firstLineChars="0"/>
                            <w:jc w:val="center"/>
                            <w:rPr>
                              <w:rFonts w:hint="eastAsia" w:ascii="Calibri" w:hAnsi="Calibri"/>
                              <w:color w:val="000000"/>
                              <w:sz w:val="18"/>
                              <w:szCs w:val="18"/>
                            </w:rPr>
                          </w:pPr>
                          <w:r>
                            <w:rPr>
                              <w:color w:val="000000"/>
                              <w:sz w:val="18"/>
                              <w:szCs w:val="18"/>
                            </w:rPr>
                            <w:fldChar w:fldCharType="begin"/>
                          </w:r>
                          <w:r>
                            <w:rPr>
                              <w:color w:val="000000"/>
                              <w:sz w:val="18"/>
                              <w:szCs w:val="18"/>
                            </w:rPr>
                            <w:instrText xml:space="preserve"> PAGE  \* MERGEFORMAT </w:instrText>
                          </w:r>
                          <w:r>
                            <w:rPr>
                              <w:color w:val="000000"/>
                              <w:sz w:val="18"/>
                              <w:szCs w:val="18"/>
                            </w:rPr>
                            <w:fldChar w:fldCharType="separate"/>
                          </w:r>
                          <w:r>
                            <w:rPr>
                              <w:color w:val="000000"/>
                              <w:sz w:val="18"/>
                              <w:szCs w:val="18"/>
                            </w:rPr>
                            <w:t>4</w:t>
                          </w:r>
                          <w:r>
                            <w:rPr>
                              <w:color w:val="000000"/>
                              <w:sz w:val="18"/>
                              <w:szCs w:val="18"/>
                            </w:rPr>
                            <w:fldChar w:fldCharType="end"/>
                          </w:r>
                        </w:p>
                      </w:txbxContent>
                    </wps:txbx>
                    <wps:bodyPr vert="horz" wrap="square" lIns="0" tIns="0" rIns="0" bIns="0" anchor="t" anchorCtr="0" upright="0">
                      <a:spAutoFit/>
                    </wps:bodyPr>
                  </wps:wsp>
                </a:graphicData>
              </a:graphic>
            </wp:anchor>
          </w:drawing>
        </mc:Choice>
        <mc:Fallback>
          <w:pict>
            <v:shape id="文本框 2" o:spid="_x0000_s1026" o:spt="202" type="#_x0000_t202" style="position:absolute;left:0pt;margin-top:0pt;height:144pt;width:18.15pt;mso-position-horizontal:center;mso-position-horizontal-relative:margin;z-index:251661312;mso-width-relative:page;mso-height-relative:page;" filled="f" stroked="f" coordsize="21600,21600" o:gfxdata="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zA8avT&#10;AAAABAEAAA8AAAAAAAAAAQAgAAAAIgAAAGRycy9kb3ducmV2LnhtbFBLAQIUABQAAAAIAIdO4kC9&#10;3ANX7AEAAM8DAAAOAAAAAAAAAAEAIAAAACIBAABkcnMvZTJvRG9jLnhtbFBLBQYAAAAABgAGAFkB&#10;AACABQAAAAA=&#10;">
              <v:fill on="f" focussize="0,0"/>
              <v:stroke on="f"/>
              <v:imagedata o:title=""/>
              <o:lock v:ext="edit" aspectratio="f"/>
              <v:textbox inset="0mm,0mm,0mm,0mm" style="mso-fit-shape-to-text:t;">
                <w:txbxContent>
                  <w:p w14:paraId="6198C508">
                    <w:pPr>
                      <w:spacing w:line="240" w:lineRule="atLeast"/>
                      <w:ind w:firstLine="0" w:firstLineChars="0"/>
                      <w:jc w:val="center"/>
                      <w:rPr>
                        <w:rFonts w:hint="eastAsia" w:ascii="Calibri" w:hAnsi="Calibri"/>
                        <w:color w:val="000000"/>
                        <w:sz w:val="18"/>
                        <w:szCs w:val="18"/>
                      </w:rPr>
                    </w:pPr>
                    <w:r>
                      <w:rPr>
                        <w:color w:val="000000"/>
                        <w:sz w:val="18"/>
                        <w:szCs w:val="18"/>
                      </w:rPr>
                      <w:fldChar w:fldCharType="begin"/>
                    </w:r>
                    <w:r>
                      <w:rPr>
                        <w:color w:val="000000"/>
                        <w:sz w:val="18"/>
                        <w:szCs w:val="18"/>
                      </w:rPr>
                      <w:instrText xml:space="preserve"> PAGE  \* MERGEFORMAT </w:instrText>
                    </w:r>
                    <w:r>
                      <w:rPr>
                        <w:color w:val="000000"/>
                        <w:sz w:val="18"/>
                        <w:szCs w:val="18"/>
                      </w:rPr>
                      <w:fldChar w:fldCharType="separate"/>
                    </w:r>
                    <w:r>
                      <w:rPr>
                        <w:color w:val="000000"/>
                        <w:sz w:val="18"/>
                        <w:szCs w:val="18"/>
                      </w:rPr>
                      <w:t>4</w:t>
                    </w:r>
                    <w:r>
                      <w:rPr>
                        <w:color w:val="000000"/>
                        <w:sz w:val="18"/>
                        <w:szCs w:val="18"/>
                      </w:rPr>
                      <w:fldChar w:fldCharType="end"/>
                    </w:r>
                  </w:p>
                </w:txbxContent>
              </v:textbox>
            </v:shape>
          </w:pict>
        </mc:Fallback>
      </mc:AlternateContent>
    </w:r>
    <w:r>
      <w:rPr>
        <w:rFonts w:hint="eastAsia"/>
        <w:color w:val="000000"/>
        <w:sz w:val="18"/>
        <w:szCs w:val="18"/>
      </w:rPr>
      <w:t>安徽睿晟环境科技有限公司</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9248E">
    <w:pPr>
      <w:widowControl w:val="0"/>
      <w:snapToGrid w:val="0"/>
      <w:ind w:right="270"/>
      <w:jc w:val="center"/>
      <w:rPr>
        <w:rFonts w:hint="eastAsia" w:ascii="Times New Roman" w:hAnsi="Times New Roman" w:eastAsia="宋体" w:cs="Times New Roman"/>
        <w:kern w:val="2"/>
        <w:sz w:val="21"/>
        <w:szCs w:val="21"/>
        <w:u w:val="single"/>
        <w:lang w:val="en-US" w:eastAsia="zh-CN" w:bidi="ar-SA"/>
      </w:rPr>
    </w:pPr>
    <w:r>
      <w:rPr>
        <w:rFonts w:ascii="Times New Roman" w:hAnsi="Times New Roman" w:eastAsia="宋体" w:cs="Times New Roman"/>
        <w:kern w:val="2"/>
        <w:sz w:val="18"/>
        <w:szCs w:val="18"/>
        <w:lang w:val="en-US" w:eastAsia="zh-CN" w:bidi="ar-SA"/>
      </w:rPr>
      <w:fldChar w:fldCharType="begin"/>
    </w:r>
    <w:r>
      <w:rPr>
        <w:rStyle w:val="59"/>
        <w:rFonts w:ascii="Times New Roman" w:hAnsi="Times New Roman" w:eastAsia="宋体" w:cs="Times New Roman"/>
        <w:kern w:val="2"/>
        <w:sz w:val="21"/>
        <w:szCs w:val="21"/>
        <w:lang w:val="en-US" w:eastAsia="zh-CN" w:bidi="ar-SA"/>
      </w:rPr>
      <w:instrText xml:space="preserve"> PAGE </w:instrText>
    </w:r>
    <w:r>
      <w:rPr>
        <w:rFonts w:ascii="Times New Roman" w:hAnsi="Times New Roman" w:eastAsia="宋体" w:cs="Times New Roman"/>
        <w:kern w:val="2"/>
        <w:sz w:val="18"/>
        <w:szCs w:val="18"/>
        <w:lang w:val="en-US" w:eastAsia="zh-CN" w:bidi="ar-SA"/>
      </w:rPr>
      <w:fldChar w:fldCharType="separate"/>
    </w:r>
    <w:r>
      <w:rPr>
        <w:rStyle w:val="59"/>
        <w:rFonts w:ascii="Times New Roman" w:hAnsi="Times New Roman" w:eastAsia="宋体" w:cs="Times New Roman"/>
        <w:kern w:val="2"/>
        <w:sz w:val="21"/>
        <w:szCs w:val="21"/>
        <w:lang w:val="en-US" w:eastAsia="zh-CN" w:bidi="ar-SA"/>
      </w:rPr>
      <w:t>250</w:t>
    </w:r>
    <w:r>
      <w:rPr>
        <w:rFonts w:ascii="Times New Roman" w:hAnsi="Times New Roman" w:eastAsia="宋体" w:cs="Times New Roman"/>
        <w:kern w:val="2"/>
        <w:sz w:val="18"/>
        <w:szCs w:val="18"/>
        <w:lang w:val="en-US" w:eastAsia="zh-CN" w:bidi="ar-S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D4E9A">
    <w:pPr>
      <w:pStyle w:val="35"/>
      <w:ind w:right="270"/>
      <w:jc w:val="center"/>
      <w:rPr>
        <w:rFonts w:hint="eastAsia"/>
        <w:sz w:val="21"/>
        <w:szCs w:val="21"/>
        <w:u w:val="single"/>
      </w:rPr>
    </w:pPr>
    <w:r>
      <w:fldChar w:fldCharType="begin"/>
    </w:r>
    <w:r>
      <w:rPr>
        <w:rStyle w:val="59"/>
      </w:rPr>
      <w:instrText xml:space="preserve"> PAGE </w:instrText>
    </w:r>
    <w:r>
      <w:fldChar w:fldCharType="separate"/>
    </w:r>
    <w:r>
      <w:rPr>
        <w:rStyle w:val="59"/>
      </w:rP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901D9">
    <w:pPr>
      <w:pStyle w:val="35"/>
      <w:ind w:right="272"/>
      <w:jc w:val="center"/>
      <w:rPr>
        <w:rFonts w:hint="eastAsia"/>
        <w:sz w:val="21"/>
        <w:szCs w:val="21"/>
        <w:u w:val="single"/>
      </w:rPr>
    </w:pPr>
    <w:r>
      <w:fldChar w:fldCharType="begin"/>
    </w:r>
    <w:r>
      <w:rPr>
        <w:rStyle w:val="59"/>
      </w:rPr>
      <w:instrText xml:space="preserve"> PAGE </w:instrText>
    </w:r>
    <w:r>
      <w:fldChar w:fldCharType="separate"/>
    </w:r>
    <w:r>
      <w:rPr>
        <w:rStyle w:val="59"/>
      </w:rPr>
      <w:t>27</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ABE53">
    <w:pPr>
      <w:pStyle w:val="35"/>
      <w:ind w:right="270"/>
      <w:jc w:val="center"/>
      <w:rPr>
        <w:rFonts w:hint="eastAsia"/>
        <w:sz w:val="21"/>
        <w:szCs w:val="21"/>
        <w:u w:val="single"/>
      </w:rPr>
    </w:pPr>
    <w:r>
      <w:fldChar w:fldCharType="begin"/>
    </w:r>
    <w:r>
      <w:rPr>
        <w:rStyle w:val="59"/>
      </w:rPr>
      <w:instrText xml:space="preserve"> PAGE </w:instrText>
    </w:r>
    <w:r>
      <w:fldChar w:fldCharType="separate"/>
    </w:r>
    <w:r>
      <w:rPr>
        <w:rStyle w:val="59"/>
      </w:rPr>
      <w:t>51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BED2E">
    <w:pPr>
      <w:pStyle w:val="35"/>
      <w:ind w:right="270"/>
      <w:jc w:val="center"/>
      <w:rPr>
        <w:rFonts w:hint="eastAsia"/>
        <w:sz w:val="21"/>
        <w:szCs w:val="21"/>
        <w:u w:val="single"/>
      </w:rPr>
    </w:pPr>
    <w:r>
      <w:fldChar w:fldCharType="begin"/>
    </w:r>
    <w:r>
      <w:rPr>
        <w:rStyle w:val="59"/>
      </w:rPr>
      <w:instrText xml:space="preserve"> PAGE </w:instrText>
    </w:r>
    <w:r>
      <w:fldChar w:fldCharType="separate"/>
    </w:r>
    <w:r>
      <w:rPr>
        <w:rStyle w:val="59"/>
      </w:rPr>
      <w:t>55</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A801B">
    <w:pPr>
      <w:widowControl w:val="0"/>
      <w:snapToGrid w:val="0"/>
      <w:ind w:right="270"/>
      <w:jc w:val="center"/>
      <w:rPr>
        <w:rFonts w:hint="eastAsia" w:ascii="Times New Roman" w:hAnsi="Times New Roman" w:eastAsia="宋体" w:cs="Times New Roman"/>
        <w:kern w:val="2"/>
        <w:sz w:val="21"/>
        <w:szCs w:val="21"/>
        <w:u w:val="single"/>
        <w:lang w:val="en-US" w:eastAsia="zh-CN" w:bidi="ar-SA"/>
      </w:rPr>
    </w:pPr>
    <w:r>
      <w:rPr>
        <w:rFonts w:ascii="Times New Roman" w:hAnsi="Times New Roman" w:eastAsia="宋体" w:cs="Times New Roman"/>
        <w:kern w:val="2"/>
        <w:sz w:val="18"/>
        <w:szCs w:val="18"/>
        <w:lang w:val="en-US" w:eastAsia="zh-CN" w:bidi="ar-SA"/>
      </w:rPr>
      <w:fldChar w:fldCharType="begin"/>
    </w:r>
    <w:r>
      <w:rPr>
        <w:rStyle w:val="59"/>
        <w:rFonts w:ascii="Times New Roman" w:hAnsi="Times New Roman" w:eastAsia="宋体" w:cs="Times New Roman"/>
        <w:kern w:val="2"/>
        <w:sz w:val="21"/>
        <w:szCs w:val="21"/>
        <w:lang w:val="en-US" w:eastAsia="zh-CN" w:bidi="ar-SA"/>
      </w:rPr>
      <w:instrText xml:space="preserve"> PAGE </w:instrText>
    </w:r>
    <w:r>
      <w:rPr>
        <w:rFonts w:ascii="Times New Roman" w:hAnsi="Times New Roman" w:eastAsia="宋体" w:cs="Times New Roman"/>
        <w:kern w:val="2"/>
        <w:sz w:val="18"/>
        <w:szCs w:val="18"/>
        <w:lang w:val="en-US" w:eastAsia="zh-CN" w:bidi="ar-SA"/>
      </w:rPr>
      <w:fldChar w:fldCharType="separate"/>
    </w:r>
    <w:r>
      <w:rPr>
        <w:rStyle w:val="59"/>
        <w:rFonts w:ascii="Times New Roman" w:hAnsi="Times New Roman" w:eastAsia="宋体" w:cs="Times New Roman"/>
        <w:kern w:val="2"/>
        <w:sz w:val="21"/>
        <w:szCs w:val="21"/>
        <w:lang w:val="en-US" w:eastAsia="zh-CN" w:bidi="ar-SA"/>
      </w:rPr>
      <w:t>57</w:t>
    </w:r>
    <w:r>
      <w:rPr>
        <w:rFonts w:ascii="Times New Roman" w:hAnsi="Times New Roman" w:eastAsia="宋体" w:cs="Times New Roman"/>
        <w:kern w:val="2"/>
        <w:sz w:val="18"/>
        <w:szCs w:val="18"/>
        <w:lang w:val="en-US" w:eastAsia="zh-CN" w:bidi="ar-SA"/>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F2EEE">
    <w:pPr>
      <w:widowControl w:val="0"/>
      <w:snapToGrid w:val="0"/>
      <w:ind w:right="270"/>
      <w:jc w:val="center"/>
      <w:rPr>
        <w:rFonts w:hint="eastAsia" w:ascii="Times New Roman" w:hAnsi="Times New Roman" w:eastAsia="宋体" w:cs="Times New Roman"/>
        <w:kern w:val="2"/>
        <w:sz w:val="21"/>
        <w:szCs w:val="21"/>
        <w:u w:val="single"/>
        <w:lang w:val="en-US" w:eastAsia="zh-CN" w:bidi="ar-SA"/>
      </w:rPr>
    </w:pPr>
    <w:r>
      <w:rPr>
        <w:rFonts w:ascii="Times New Roman" w:hAnsi="Times New Roman" w:eastAsia="宋体" w:cs="Times New Roman"/>
        <w:kern w:val="2"/>
        <w:sz w:val="18"/>
        <w:szCs w:val="18"/>
        <w:lang w:val="en-US" w:eastAsia="zh-CN" w:bidi="ar-SA"/>
      </w:rPr>
      <w:fldChar w:fldCharType="begin"/>
    </w:r>
    <w:r>
      <w:rPr>
        <w:rStyle w:val="59"/>
        <w:rFonts w:ascii="Times New Roman" w:hAnsi="Times New Roman" w:eastAsia="宋体" w:cs="Times New Roman"/>
        <w:kern w:val="2"/>
        <w:sz w:val="21"/>
        <w:szCs w:val="21"/>
        <w:lang w:val="en-US" w:eastAsia="zh-CN" w:bidi="ar-SA"/>
      </w:rPr>
      <w:instrText xml:space="preserve"> PAGE </w:instrText>
    </w:r>
    <w:r>
      <w:rPr>
        <w:rFonts w:ascii="Times New Roman" w:hAnsi="Times New Roman" w:eastAsia="宋体" w:cs="Times New Roman"/>
        <w:kern w:val="2"/>
        <w:sz w:val="18"/>
        <w:szCs w:val="18"/>
        <w:lang w:val="en-US" w:eastAsia="zh-CN" w:bidi="ar-SA"/>
      </w:rPr>
      <w:fldChar w:fldCharType="separate"/>
    </w:r>
    <w:r>
      <w:rPr>
        <w:rStyle w:val="59"/>
        <w:rFonts w:ascii="Times New Roman" w:hAnsi="Times New Roman" w:eastAsia="宋体" w:cs="Times New Roman"/>
        <w:kern w:val="2"/>
        <w:sz w:val="21"/>
        <w:szCs w:val="21"/>
        <w:lang w:val="en-US" w:eastAsia="zh-CN" w:bidi="ar-SA"/>
      </w:rPr>
      <w:t>57</w:t>
    </w:r>
    <w:r>
      <w:rPr>
        <w:rFonts w:ascii="Times New Roman" w:hAnsi="Times New Roman" w:eastAsia="宋体" w:cs="Times New Roman"/>
        <w:kern w:val="2"/>
        <w:sz w:val="18"/>
        <w:szCs w:val="18"/>
        <w:lang w:val="en-US" w:eastAsia="zh-CN" w:bidi="ar-SA"/>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B483E">
    <w:pPr>
      <w:widowControl w:val="0"/>
      <w:snapToGrid w:val="0"/>
      <w:ind w:right="272"/>
      <w:jc w:val="center"/>
      <w:rPr>
        <w:rFonts w:hint="eastAsia" w:ascii="Times New Roman" w:hAnsi="Times New Roman" w:eastAsia="宋体" w:cs="Times New Roman"/>
        <w:kern w:val="2"/>
        <w:sz w:val="18"/>
        <w:szCs w:val="18"/>
        <w:u w:val="single"/>
        <w:lang w:val="en-US" w:eastAsia="zh-CN" w:bidi="ar-SA"/>
      </w:rPr>
    </w:pPr>
    <w:r>
      <w:rPr>
        <w:rFonts w:ascii="Times New Roman" w:hAnsi="Times New Roman" w:eastAsia="宋体" w:cs="Times New Roman"/>
        <w:kern w:val="2"/>
        <w:sz w:val="18"/>
        <w:szCs w:val="18"/>
        <w:lang w:val="en-US" w:eastAsia="zh-CN" w:bidi="ar-SA"/>
      </w:rPr>
      <w:fldChar w:fldCharType="begin"/>
    </w:r>
    <w:r>
      <w:rPr>
        <w:rStyle w:val="59"/>
        <w:rFonts w:ascii="Times New Roman" w:hAnsi="Times New Roman" w:eastAsia="宋体" w:cs="Times New Roman"/>
        <w:kern w:val="2"/>
        <w:sz w:val="21"/>
        <w:szCs w:val="21"/>
        <w:lang w:val="en-US" w:eastAsia="zh-CN" w:bidi="ar-SA"/>
      </w:rPr>
      <w:instrText xml:space="preserve"> PAGE </w:instrText>
    </w:r>
    <w:r>
      <w:rPr>
        <w:rFonts w:ascii="Times New Roman" w:hAnsi="Times New Roman" w:eastAsia="宋体" w:cs="Times New Roman"/>
        <w:kern w:val="2"/>
        <w:sz w:val="18"/>
        <w:szCs w:val="18"/>
        <w:lang w:val="en-US" w:eastAsia="zh-CN" w:bidi="ar-SA"/>
      </w:rPr>
      <w:fldChar w:fldCharType="separate"/>
    </w:r>
    <w:r>
      <w:rPr>
        <w:rStyle w:val="59"/>
        <w:rFonts w:ascii="Times New Roman" w:hAnsi="Times New Roman" w:eastAsia="宋体" w:cs="Times New Roman"/>
        <w:kern w:val="2"/>
        <w:sz w:val="21"/>
        <w:szCs w:val="21"/>
        <w:lang w:val="en-US" w:eastAsia="zh-CN" w:bidi="ar-SA"/>
      </w:rPr>
      <w:t>83</w:t>
    </w:r>
    <w:r>
      <w:rPr>
        <w:rFonts w:ascii="Times New Roman" w:hAnsi="Times New Roman" w:eastAsia="宋体" w:cs="Times New Roman"/>
        <w:kern w:val="2"/>
        <w:sz w:val="18"/>
        <w:szCs w:val="18"/>
        <w:lang w:val="en-US" w:eastAsia="zh-CN" w:bidi="ar-SA"/>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AABED">
    <w:pPr>
      <w:pStyle w:val="35"/>
      <w:ind w:right="272"/>
      <w:jc w:val="center"/>
      <w:rPr>
        <w:rFonts w:hint="eastAsia"/>
        <w:u w:val="single"/>
      </w:rPr>
    </w:pPr>
    <w:r>
      <w:fldChar w:fldCharType="begin"/>
    </w:r>
    <w:r>
      <w:rPr>
        <w:rStyle w:val="59"/>
      </w:rPr>
      <w:instrText xml:space="preserve"> PAGE </w:instrText>
    </w:r>
    <w:r>
      <w:fldChar w:fldCharType="separate"/>
    </w:r>
    <w:r>
      <w:rPr>
        <w:rStyle w:val="59"/>
      </w:rPr>
      <w:t>83</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65E97">
    <w:pPr>
      <w:pStyle w:val="36"/>
      <w:pBdr>
        <w:bottom w:val="none" w:color="auto" w:sz="0" w:space="0"/>
      </w:pBdr>
      <w:jc w:val="both"/>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41257">
    <w:pPr>
      <w:pStyle w:val="36"/>
      <w:rPr>
        <w:rFonts w:hint="eastAsia" w:eastAsia="宋体"/>
        <w:lang w:eastAsia="zh-CN"/>
      </w:rPr>
    </w:pPr>
    <w:r>
      <w:rPr>
        <w:rFonts w:hint="eastAsia" w:hAnsi="宋体"/>
        <w:bCs/>
        <w:lang w:eastAsia="zh-CN"/>
      </w:rPr>
      <w:t>淮南市兴华园贸易发展有限公司淮南市兴华园码头复工建设项目生态环境影响报告书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6B4F3">
    <w:pPr>
      <w:pBdr>
        <w:bottom w:val="single" w:color="auto" w:sz="6" w:space="1"/>
      </w:pBdr>
      <w:adjustRightInd w:val="0"/>
      <w:snapToGrid w:val="0"/>
      <w:spacing w:line="240" w:lineRule="atLeast"/>
      <w:ind w:firstLine="0" w:firstLineChars="0"/>
      <w:jc w:val="center"/>
      <w:rPr>
        <w:rFonts w:hint="eastAsia" w:ascii="Calibri" w:hAnsi="Calibri" w:eastAsia="宋体" w:cs="Times New Roman"/>
        <w:color w:val="000000"/>
        <w:sz w:val="18"/>
        <w:szCs w:val="18"/>
        <w:lang w:eastAsia="zh-CN"/>
      </w:rPr>
    </w:pPr>
    <w:r>
      <w:rPr>
        <w:rFonts w:hint="eastAsia" w:cs="Times New Roman"/>
        <w:sz w:val="18"/>
        <w:szCs w:val="18"/>
        <w:lang w:eastAsia="zh-CN"/>
      </w:rPr>
      <w:t>淮南市兴华园贸易发展有限公司淮南市兴华园码头复工建设项目生态环境影响报告书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588D7">
    <w:pPr>
      <w:pBdr>
        <w:bottom w:val="single" w:color="auto" w:sz="6" w:space="1"/>
      </w:pBdr>
      <w:spacing w:line="240" w:lineRule="atLeast"/>
      <w:ind w:firstLine="0" w:firstLineChars="0"/>
      <w:jc w:val="center"/>
      <w:rPr>
        <w:rFonts w:hint="eastAsia" w:ascii="Calibri" w:hAnsi="Calibri" w:eastAsia="宋体"/>
        <w:color w:val="000000"/>
        <w:sz w:val="18"/>
        <w:szCs w:val="18"/>
        <w:lang w:eastAsia="zh-CN"/>
      </w:rPr>
    </w:pPr>
    <w:r>
      <w:rPr>
        <w:rFonts w:hint="eastAsia"/>
        <w:sz w:val="18"/>
        <w:szCs w:val="18"/>
        <w:lang w:eastAsia="zh-CN"/>
      </w:rPr>
      <w:t>淮南市兴华园贸易发展有限公司淮南市兴华园码头复工建设项目生态环境影响报告书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A5EC67"/>
    <w:multiLevelType w:val="singleLevel"/>
    <w:tmpl w:val="A7A5EC67"/>
    <w:lvl w:ilvl="0" w:tentative="0">
      <w:start w:val="5"/>
      <w:numFmt w:val="decimal"/>
      <w:suff w:val="nothing"/>
      <w:lvlText w:val="（%1）"/>
      <w:lvlJc w:val="left"/>
    </w:lvl>
  </w:abstractNum>
  <w:abstractNum w:abstractNumId="1">
    <w:nsid w:val="CE9BE358"/>
    <w:multiLevelType w:val="singleLevel"/>
    <w:tmpl w:val="CE9BE358"/>
    <w:lvl w:ilvl="0" w:tentative="0">
      <w:start w:val="1"/>
      <w:numFmt w:val="bullet"/>
      <w:pStyle w:val="30"/>
      <w:lvlText w:val=""/>
      <w:lvlJc w:val="left"/>
      <w:pPr>
        <w:tabs>
          <w:tab w:val="left" w:pos="2040"/>
        </w:tabs>
        <w:ind w:left="2040" w:hanging="360"/>
      </w:pPr>
      <w:rPr>
        <w:rFonts w:hint="default" w:ascii="Wingdings" w:hAnsi="Wingdings"/>
      </w:rPr>
    </w:lvl>
  </w:abstractNum>
  <w:abstractNum w:abstractNumId="2">
    <w:nsid w:val="CF628489"/>
    <w:multiLevelType w:val="singleLevel"/>
    <w:tmpl w:val="CF628489"/>
    <w:lvl w:ilvl="0" w:tentative="0">
      <w:start w:val="1"/>
      <w:numFmt w:val="decimal"/>
      <w:suff w:val="nothing"/>
      <w:lvlText w:val="%1）"/>
      <w:lvlJc w:val="left"/>
    </w:lvl>
  </w:abstractNum>
  <w:abstractNum w:abstractNumId="3">
    <w:nsid w:val="DE0160E1"/>
    <w:multiLevelType w:val="singleLevel"/>
    <w:tmpl w:val="DE0160E1"/>
    <w:lvl w:ilvl="0" w:tentative="0">
      <w:start w:val="1"/>
      <w:numFmt w:val="decimal"/>
      <w:pStyle w:val="159"/>
      <w:lvlText w:val="%1."/>
      <w:lvlJc w:val="left"/>
      <w:pPr>
        <w:tabs>
          <w:tab w:val="left" w:pos="360"/>
        </w:tabs>
        <w:ind w:left="360" w:hanging="360"/>
      </w:pPr>
    </w:lvl>
  </w:abstractNum>
  <w:abstractNum w:abstractNumId="4">
    <w:nsid w:val="E7E7343B"/>
    <w:multiLevelType w:val="singleLevel"/>
    <w:tmpl w:val="E7E7343B"/>
    <w:lvl w:ilvl="0" w:tentative="0">
      <w:start w:val="1"/>
      <w:numFmt w:val="decimal"/>
      <w:suff w:val="nothing"/>
      <w:lvlText w:val="%1）"/>
      <w:lvlJc w:val="left"/>
    </w:lvl>
  </w:abstractNum>
  <w:abstractNum w:abstractNumId="5">
    <w:nsid w:val="F830D434"/>
    <w:multiLevelType w:val="singleLevel"/>
    <w:tmpl w:val="F830D434"/>
    <w:lvl w:ilvl="0" w:tentative="0">
      <w:start w:val="1"/>
      <w:numFmt w:val="decimal"/>
      <w:suff w:val="nothing"/>
      <w:lvlText w:val="%1、"/>
      <w:lvlJc w:val="left"/>
    </w:lvl>
  </w:abstractNum>
  <w:abstractNum w:abstractNumId="6">
    <w:nsid w:val="12806576"/>
    <w:multiLevelType w:val="multilevel"/>
    <w:tmpl w:val="12806576"/>
    <w:lvl w:ilvl="0" w:tentative="0">
      <w:start w:val="1"/>
      <w:numFmt w:val="decimal"/>
      <w:suff w:val="nothing"/>
      <w:lvlText w:val="（%1）"/>
      <w:lvlJc w:val="left"/>
      <w:pPr>
        <w:ind w:left="26" w:firstLine="400"/>
      </w:pPr>
      <w:rPr>
        <w:rFonts w:hint="eastAsia"/>
      </w:rPr>
    </w:lvl>
    <w:lvl w:ilvl="1" w:tentative="0">
      <w:start w:val="1"/>
      <w:numFmt w:val="decimalEnclosedCircle"/>
      <w:lvlText w:val="%2"/>
      <w:lvlJc w:val="left"/>
      <w:pPr>
        <w:tabs>
          <w:tab w:val="left" w:pos="1260"/>
        </w:tabs>
        <w:ind w:left="1260" w:hanging="360"/>
      </w:pPr>
      <w:rPr>
        <w:rFonts w:hint="default" w:ascii="宋体" w:hAnsi="宋体" w:eastAsia="宋体"/>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16206E4A"/>
    <w:multiLevelType w:val="multilevel"/>
    <w:tmpl w:val="16206E4A"/>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8">
    <w:nsid w:val="268D23C5"/>
    <w:multiLevelType w:val="multilevel"/>
    <w:tmpl w:val="268D23C5"/>
    <w:lvl w:ilvl="0" w:tentative="0">
      <w:start w:val="1"/>
      <w:numFmt w:val="decimal"/>
      <w:pStyle w:val="281"/>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30B122DE"/>
    <w:multiLevelType w:val="multilevel"/>
    <w:tmpl w:val="30B122DE"/>
    <w:lvl w:ilvl="0" w:tentative="0">
      <w:start w:val="1"/>
      <w:numFmt w:val="decimal"/>
      <w:pStyle w:val="2"/>
      <w:suff w:val="space"/>
      <w:lvlText w:val="%1"/>
      <w:lvlJc w:val="left"/>
      <w:pPr>
        <w:ind w:left="0" w:firstLine="0"/>
      </w:pPr>
      <w:rPr>
        <w:rFonts w:hint="eastAsia"/>
      </w:rPr>
    </w:lvl>
    <w:lvl w:ilvl="1" w:tentative="0">
      <w:start w:val="1"/>
      <w:numFmt w:val="decimal"/>
      <w:pStyle w:val="3"/>
      <w:lvlText w:val="%1.%2"/>
      <w:lvlJc w:val="left"/>
      <w:pPr>
        <w:ind w:left="141" w:firstLine="0"/>
      </w:pPr>
      <w:rPr>
        <w:rFonts w:hint="eastAsia"/>
      </w:rPr>
    </w:lvl>
    <w:lvl w:ilvl="2" w:tentative="0">
      <w:start w:val="1"/>
      <w:numFmt w:val="decimal"/>
      <w:pStyle w:val="4"/>
      <w:lvlText w:val="%1.%2.%3"/>
      <w:lvlJc w:val="left"/>
      <w:pPr>
        <w:ind w:left="0" w:firstLine="0"/>
      </w:pPr>
      <w:rPr>
        <w:rFonts w:hint="eastAsia"/>
      </w:rPr>
    </w:lvl>
    <w:lvl w:ilvl="3" w:tentative="0">
      <w:start w:val="1"/>
      <w:numFmt w:val="decimal"/>
      <w:pStyle w:val="5"/>
      <w:lvlText w:val="%1.%2.%3.%4"/>
      <w:lvlJc w:val="left"/>
      <w:pPr>
        <w:ind w:left="0" w:firstLine="0"/>
      </w:pPr>
      <w:rPr>
        <w:rFonts w:hint="eastAsia"/>
        <w:sz w:val="24"/>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0">
    <w:nsid w:val="5991A00F"/>
    <w:multiLevelType w:val="singleLevel"/>
    <w:tmpl w:val="5991A00F"/>
    <w:lvl w:ilvl="0" w:tentative="0">
      <w:start w:val="3"/>
      <w:numFmt w:val="decimal"/>
      <w:pStyle w:val="251"/>
      <w:suff w:val="nothing"/>
      <w:lvlText w:val="%1、"/>
      <w:lvlJc w:val="left"/>
    </w:lvl>
  </w:abstractNum>
  <w:abstractNum w:abstractNumId="11">
    <w:nsid w:val="5FD0769E"/>
    <w:multiLevelType w:val="singleLevel"/>
    <w:tmpl w:val="5FD0769E"/>
    <w:lvl w:ilvl="0" w:tentative="0">
      <w:start w:val="12"/>
      <w:numFmt w:val="upperLetter"/>
      <w:suff w:val="nothing"/>
      <w:lvlText w:val="%1-"/>
      <w:lvlJc w:val="left"/>
    </w:lvl>
  </w:abstractNum>
  <w:num w:numId="1">
    <w:abstractNumId w:val="9"/>
  </w:num>
  <w:num w:numId="2">
    <w:abstractNumId w:val="3"/>
  </w:num>
  <w:num w:numId="3">
    <w:abstractNumId w:val="1"/>
  </w:num>
  <w:num w:numId="4">
    <w:abstractNumId w:val="10"/>
  </w:num>
  <w:num w:numId="5">
    <w:abstractNumId w:val="8"/>
  </w:num>
  <w:num w:numId="6">
    <w:abstractNumId w:val="7"/>
  </w:num>
  <w:num w:numId="7">
    <w:abstractNumId w:val="6"/>
  </w:num>
  <w:num w:numId="8">
    <w:abstractNumId w:val="0"/>
  </w:num>
  <w:num w:numId="9">
    <w:abstractNumId w:val="5"/>
  </w:num>
  <w:num w:numId="10">
    <w:abstractNumId w:val="11"/>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yNDlhYjQ5YzcwYWVlODg2ZjJjOTNlMTIwMTY2MGEifQ=="/>
  </w:docVars>
  <w:rsids>
    <w:rsidRoot w:val="00172A27"/>
    <w:rsid w:val="0000026E"/>
    <w:rsid w:val="00000583"/>
    <w:rsid w:val="000005AF"/>
    <w:rsid w:val="000005E0"/>
    <w:rsid w:val="000005E1"/>
    <w:rsid w:val="00000718"/>
    <w:rsid w:val="00000B88"/>
    <w:rsid w:val="00000D17"/>
    <w:rsid w:val="00000EC6"/>
    <w:rsid w:val="00001068"/>
    <w:rsid w:val="0000143C"/>
    <w:rsid w:val="000014BC"/>
    <w:rsid w:val="0000199D"/>
    <w:rsid w:val="00001C8C"/>
    <w:rsid w:val="00001D80"/>
    <w:rsid w:val="000020A4"/>
    <w:rsid w:val="000021C1"/>
    <w:rsid w:val="000022E7"/>
    <w:rsid w:val="0000239D"/>
    <w:rsid w:val="00002403"/>
    <w:rsid w:val="00002540"/>
    <w:rsid w:val="0000266B"/>
    <w:rsid w:val="00002754"/>
    <w:rsid w:val="000028E2"/>
    <w:rsid w:val="00002CC9"/>
    <w:rsid w:val="00002D2E"/>
    <w:rsid w:val="00002DDA"/>
    <w:rsid w:val="000031CD"/>
    <w:rsid w:val="000035A4"/>
    <w:rsid w:val="0000363B"/>
    <w:rsid w:val="00003741"/>
    <w:rsid w:val="0000384E"/>
    <w:rsid w:val="00003941"/>
    <w:rsid w:val="000039CF"/>
    <w:rsid w:val="00003A35"/>
    <w:rsid w:val="00003AA5"/>
    <w:rsid w:val="00003AEB"/>
    <w:rsid w:val="00003BA3"/>
    <w:rsid w:val="00003D4E"/>
    <w:rsid w:val="00003E03"/>
    <w:rsid w:val="00003F06"/>
    <w:rsid w:val="00003FDF"/>
    <w:rsid w:val="00004147"/>
    <w:rsid w:val="000041CC"/>
    <w:rsid w:val="000044C3"/>
    <w:rsid w:val="00004AB5"/>
    <w:rsid w:val="00004F55"/>
    <w:rsid w:val="000051D7"/>
    <w:rsid w:val="00005259"/>
    <w:rsid w:val="00005521"/>
    <w:rsid w:val="00005747"/>
    <w:rsid w:val="000058A4"/>
    <w:rsid w:val="00005EBA"/>
    <w:rsid w:val="00006553"/>
    <w:rsid w:val="00006CBE"/>
    <w:rsid w:val="00006ED3"/>
    <w:rsid w:val="00006ED6"/>
    <w:rsid w:val="0000729D"/>
    <w:rsid w:val="00007300"/>
    <w:rsid w:val="0000748D"/>
    <w:rsid w:val="00007653"/>
    <w:rsid w:val="000077C9"/>
    <w:rsid w:val="000078A7"/>
    <w:rsid w:val="00007A0D"/>
    <w:rsid w:val="00007D74"/>
    <w:rsid w:val="0001009B"/>
    <w:rsid w:val="00010498"/>
    <w:rsid w:val="000107C4"/>
    <w:rsid w:val="0001083D"/>
    <w:rsid w:val="00010988"/>
    <w:rsid w:val="00010A47"/>
    <w:rsid w:val="00010A9D"/>
    <w:rsid w:val="00010B1D"/>
    <w:rsid w:val="00010C37"/>
    <w:rsid w:val="00011153"/>
    <w:rsid w:val="0001131B"/>
    <w:rsid w:val="0001144E"/>
    <w:rsid w:val="0001166B"/>
    <w:rsid w:val="000116B2"/>
    <w:rsid w:val="000117A7"/>
    <w:rsid w:val="0001199A"/>
    <w:rsid w:val="000119EE"/>
    <w:rsid w:val="00011A22"/>
    <w:rsid w:val="00011BD1"/>
    <w:rsid w:val="00011E27"/>
    <w:rsid w:val="0001245B"/>
    <w:rsid w:val="00012600"/>
    <w:rsid w:val="00012618"/>
    <w:rsid w:val="00012890"/>
    <w:rsid w:val="0001296D"/>
    <w:rsid w:val="00012B01"/>
    <w:rsid w:val="00012B59"/>
    <w:rsid w:val="00012E12"/>
    <w:rsid w:val="0001315E"/>
    <w:rsid w:val="000131B8"/>
    <w:rsid w:val="000131C4"/>
    <w:rsid w:val="000132D8"/>
    <w:rsid w:val="000134A5"/>
    <w:rsid w:val="00013792"/>
    <w:rsid w:val="000138B8"/>
    <w:rsid w:val="00013A5F"/>
    <w:rsid w:val="0001437F"/>
    <w:rsid w:val="000143E5"/>
    <w:rsid w:val="00014629"/>
    <w:rsid w:val="0001486F"/>
    <w:rsid w:val="00014871"/>
    <w:rsid w:val="0001495B"/>
    <w:rsid w:val="00014B14"/>
    <w:rsid w:val="00014EA5"/>
    <w:rsid w:val="00014F30"/>
    <w:rsid w:val="00014F98"/>
    <w:rsid w:val="00015298"/>
    <w:rsid w:val="00015428"/>
    <w:rsid w:val="000155B2"/>
    <w:rsid w:val="000157E2"/>
    <w:rsid w:val="000159EC"/>
    <w:rsid w:val="00015A47"/>
    <w:rsid w:val="00015FBC"/>
    <w:rsid w:val="000160C2"/>
    <w:rsid w:val="0001619B"/>
    <w:rsid w:val="0001624C"/>
    <w:rsid w:val="000162C4"/>
    <w:rsid w:val="000168A1"/>
    <w:rsid w:val="0001692B"/>
    <w:rsid w:val="0001698B"/>
    <w:rsid w:val="00016A17"/>
    <w:rsid w:val="00016D87"/>
    <w:rsid w:val="000171A7"/>
    <w:rsid w:val="0001723E"/>
    <w:rsid w:val="0001770A"/>
    <w:rsid w:val="000177AB"/>
    <w:rsid w:val="00017914"/>
    <w:rsid w:val="00017AE9"/>
    <w:rsid w:val="00017BFD"/>
    <w:rsid w:val="000203BD"/>
    <w:rsid w:val="00020454"/>
    <w:rsid w:val="000207BB"/>
    <w:rsid w:val="00020949"/>
    <w:rsid w:val="00020C29"/>
    <w:rsid w:val="00020D42"/>
    <w:rsid w:val="000213F9"/>
    <w:rsid w:val="00021412"/>
    <w:rsid w:val="000214BC"/>
    <w:rsid w:val="0002163C"/>
    <w:rsid w:val="00021C95"/>
    <w:rsid w:val="00021F01"/>
    <w:rsid w:val="00022095"/>
    <w:rsid w:val="0002226A"/>
    <w:rsid w:val="000224BD"/>
    <w:rsid w:val="000226CB"/>
    <w:rsid w:val="0002280D"/>
    <w:rsid w:val="0002297B"/>
    <w:rsid w:val="000230EA"/>
    <w:rsid w:val="00023356"/>
    <w:rsid w:val="000233D5"/>
    <w:rsid w:val="00023457"/>
    <w:rsid w:val="00023580"/>
    <w:rsid w:val="00023738"/>
    <w:rsid w:val="0002373A"/>
    <w:rsid w:val="00023773"/>
    <w:rsid w:val="0002382C"/>
    <w:rsid w:val="00023897"/>
    <w:rsid w:val="00023925"/>
    <w:rsid w:val="00023979"/>
    <w:rsid w:val="00023AD2"/>
    <w:rsid w:val="00023C92"/>
    <w:rsid w:val="00023D75"/>
    <w:rsid w:val="00023F11"/>
    <w:rsid w:val="00024043"/>
    <w:rsid w:val="00024606"/>
    <w:rsid w:val="00024697"/>
    <w:rsid w:val="000246C1"/>
    <w:rsid w:val="00024A75"/>
    <w:rsid w:val="00024D67"/>
    <w:rsid w:val="00024DBD"/>
    <w:rsid w:val="00025313"/>
    <w:rsid w:val="00025517"/>
    <w:rsid w:val="00025596"/>
    <w:rsid w:val="00025696"/>
    <w:rsid w:val="000256D6"/>
    <w:rsid w:val="000257AB"/>
    <w:rsid w:val="000257CF"/>
    <w:rsid w:val="000258F2"/>
    <w:rsid w:val="00025CDD"/>
    <w:rsid w:val="00025E00"/>
    <w:rsid w:val="00025F2E"/>
    <w:rsid w:val="00026083"/>
    <w:rsid w:val="0002618F"/>
    <w:rsid w:val="00026722"/>
    <w:rsid w:val="00026BFF"/>
    <w:rsid w:val="00026FD2"/>
    <w:rsid w:val="00027147"/>
    <w:rsid w:val="00027315"/>
    <w:rsid w:val="0002731F"/>
    <w:rsid w:val="0002736E"/>
    <w:rsid w:val="000273CC"/>
    <w:rsid w:val="000276A9"/>
    <w:rsid w:val="00027E06"/>
    <w:rsid w:val="00030019"/>
    <w:rsid w:val="00030284"/>
    <w:rsid w:val="00030325"/>
    <w:rsid w:val="0003034D"/>
    <w:rsid w:val="00030404"/>
    <w:rsid w:val="0003067E"/>
    <w:rsid w:val="0003095C"/>
    <w:rsid w:val="00030A14"/>
    <w:rsid w:val="00030FE3"/>
    <w:rsid w:val="0003102B"/>
    <w:rsid w:val="000310EB"/>
    <w:rsid w:val="0003119F"/>
    <w:rsid w:val="0003148C"/>
    <w:rsid w:val="0003194F"/>
    <w:rsid w:val="00031CB4"/>
    <w:rsid w:val="00032026"/>
    <w:rsid w:val="00032276"/>
    <w:rsid w:val="000329CB"/>
    <w:rsid w:val="0003319B"/>
    <w:rsid w:val="00033270"/>
    <w:rsid w:val="00033310"/>
    <w:rsid w:val="000333F5"/>
    <w:rsid w:val="00033727"/>
    <w:rsid w:val="00033BE5"/>
    <w:rsid w:val="00033F84"/>
    <w:rsid w:val="00034077"/>
    <w:rsid w:val="000341F9"/>
    <w:rsid w:val="000345BD"/>
    <w:rsid w:val="0003485E"/>
    <w:rsid w:val="00034AC6"/>
    <w:rsid w:val="00034EE0"/>
    <w:rsid w:val="00034F0A"/>
    <w:rsid w:val="000352CF"/>
    <w:rsid w:val="00035401"/>
    <w:rsid w:val="000354EC"/>
    <w:rsid w:val="000358A5"/>
    <w:rsid w:val="00035CCB"/>
    <w:rsid w:val="00035F5C"/>
    <w:rsid w:val="00036020"/>
    <w:rsid w:val="000362EB"/>
    <w:rsid w:val="00036856"/>
    <w:rsid w:val="00036BFC"/>
    <w:rsid w:val="00036E18"/>
    <w:rsid w:val="000370F7"/>
    <w:rsid w:val="0003732E"/>
    <w:rsid w:val="00037AD9"/>
    <w:rsid w:val="00037C12"/>
    <w:rsid w:val="00037C5E"/>
    <w:rsid w:val="00037C6F"/>
    <w:rsid w:val="00037CB3"/>
    <w:rsid w:val="00037D04"/>
    <w:rsid w:val="00037F5F"/>
    <w:rsid w:val="0004037B"/>
    <w:rsid w:val="0004041B"/>
    <w:rsid w:val="000404BE"/>
    <w:rsid w:val="0004059F"/>
    <w:rsid w:val="00041017"/>
    <w:rsid w:val="0004105B"/>
    <w:rsid w:val="000413E3"/>
    <w:rsid w:val="0004176A"/>
    <w:rsid w:val="00041BE6"/>
    <w:rsid w:val="00041F6B"/>
    <w:rsid w:val="0004218C"/>
    <w:rsid w:val="000423E6"/>
    <w:rsid w:val="0004267F"/>
    <w:rsid w:val="0004276D"/>
    <w:rsid w:val="000427C5"/>
    <w:rsid w:val="00042845"/>
    <w:rsid w:val="00042C80"/>
    <w:rsid w:val="00042C91"/>
    <w:rsid w:val="00042D19"/>
    <w:rsid w:val="00042D4F"/>
    <w:rsid w:val="00042EB8"/>
    <w:rsid w:val="00042F05"/>
    <w:rsid w:val="000430A2"/>
    <w:rsid w:val="000432FE"/>
    <w:rsid w:val="00043569"/>
    <w:rsid w:val="000435CA"/>
    <w:rsid w:val="00043601"/>
    <w:rsid w:val="0004391B"/>
    <w:rsid w:val="000439C6"/>
    <w:rsid w:val="000441DC"/>
    <w:rsid w:val="0004441F"/>
    <w:rsid w:val="000445F4"/>
    <w:rsid w:val="0004475B"/>
    <w:rsid w:val="00044829"/>
    <w:rsid w:val="0004541B"/>
    <w:rsid w:val="0004572E"/>
    <w:rsid w:val="00045A3B"/>
    <w:rsid w:val="00046044"/>
    <w:rsid w:val="00046185"/>
    <w:rsid w:val="0004638A"/>
    <w:rsid w:val="0004649B"/>
    <w:rsid w:val="000469F9"/>
    <w:rsid w:val="0004737F"/>
    <w:rsid w:val="00047446"/>
    <w:rsid w:val="00047632"/>
    <w:rsid w:val="0004769E"/>
    <w:rsid w:val="00047704"/>
    <w:rsid w:val="00047858"/>
    <w:rsid w:val="0004790D"/>
    <w:rsid w:val="00047D9F"/>
    <w:rsid w:val="00050068"/>
    <w:rsid w:val="0005021D"/>
    <w:rsid w:val="0005025F"/>
    <w:rsid w:val="000506B9"/>
    <w:rsid w:val="00050C20"/>
    <w:rsid w:val="00050E0C"/>
    <w:rsid w:val="00050E5F"/>
    <w:rsid w:val="00050F09"/>
    <w:rsid w:val="00051288"/>
    <w:rsid w:val="00051402"/>
    <w:rsid w:val="00051444"/>
    <w:rsid w:val="000514ED"/>
    <w:rsid w:val="00051936"/>
    <w:rsid w:val="00051E00"/>
    <w:rsid w:val="00052C9A"/>
    <w:rsid w:val="00052D6B"/>
    <w:rsid w:val="00052DBD"/>
    <w:rsid w:val="0005300A"/>
    <w:rsid w:val="0005327B"/>
    <w:rsid w:val="0005346D"/>
    <w:rsid w:val="00053854"/>
    <w:rsid w:val="00053855"/>
    <w:rsid w:val="000542B6"/>
    <w:rsid w:val="00054569"/>
    <w:rsid w:val="0005499D"/>
    <w:rsid w:val="00054EE0"/>
    <w:rsid w:val="00054F33"/>
    <w:rsid w:val="00055289"/>
    <w:rsid w:val="00055356"/>
    <w:rsid w:val="00055361"/>
    <w:rsid w:val="00055720"/>
    <w:rsid w:val="00055783"/>
    <w:rsid w:val="00055918"/>
    <w:rsid w:val="0005596F"/>
    <w:rsid w:val="00055FEB"/>
    <w:rsid w:val="0005600F"/>
    <w:rsid w:val="000560BB"/>
    <w:rsid w:val="00056105"/>
    <w:rsid w:val="000561BD"/>
    <w:rsid w:val="000564D8"/>
    <w:rsid w:val="00056510"/>
    <w:rsid w:val="00056589"/>
    <w:rsid w:val="00056C61"/>
    <w:rsid w:val="00056C97"/>
    <w:rsid w:val="00056DEE"/>
    <w:rsid w:val="00057187"/>
    <w:rsid w:val="00057314"/>
    <w:rsid w:val="00057316"/>
    <w:rsid w:val="0005750D"/>
    <w:rsid w:val="00057560"/>
    <w:rsid w:val="000578A0"/>
    <w:rsid w:val="00057B05"/>
    <w:rsid w:val="00057B85"/>
    <w:rsid w:val="00057E0C"/>
    <w:rsid w:val="0006048C"/>
    <w:rsid w:val="000605F0"/>
    <w:rsid w:val="00060A57"/>
    <w:rsid w:val="00060E27"/>
    <w:rsid w:val="00060FFB"/>
    <w:rsid w:val="00061006"/>
    <w:rsid w:val="00061319"/>
    <w:rsid w:val="00061517"/>
    <w:rsid w:val="00061557"/>
    <w:rsid w:val="00061696"/>
    <w:rsid w:val="000618A7"/>
    <w:rsid w:val="00061A84"/>
    <w:rsid w:val="00061D9D"/>
    <w:rsid w:val="00061E05"/>
    <w:rsid w:val="0006231C"/>
    <w:rsid w:val="000623BC"/>
    <w:rsid w:val="000623FC"/>
    <w:rsid w:val="0006291C"/>
    <w:rsid w:val="00062970"/>
    <w:rsid w:val="0006297F"/>
    <w:rsid w:val="00062A7D"/>
    <w:rsid w:val="00062F9B"/>
    <w:rsid w:val="00063734"/>
    <w:rsid w:val="00063BEA"/>
    <w:rsid w:val="00063D5F"/>
    <w:rsid w:val="000644F3"/>
    <w:rsid w:val="00064F01"/>
    <w:rsid w:val="00064FF6"/>
    <w:rsid w:val="0006541E"/>
    <w:rsid w:val="0006546A"/>
    <w:rsid w:val="000654A3"/>
    <w:rsid w:val="000654EE"/>
    <w:rsid w:val="00065803"/>
    <w:rsid w:val="00065BFF"/>
    <w:rsid w:val="00065CA7"/>
    <w:rsid w:val="00065D7D"/>
    <w:rsid w:val="00066048"/>
    <w:rsid w:val="0006611D"/>
    <w:rsid w:val="00066167"/>
    <w:rsid w:val="000663D1"/>
    <w:rsid w:val="0006650F"/>
    <w:rsid w:val="0006684F"/>
    <w:rsid w:val="00066887"/>
    <w:rsid w:val="00066A34"/>
    <w:rsid w:val="00066A9E"/>
    <w:rsid w:val="00066ED3"/>
    <w:rsid w:val="00066FE9"/>
    <w:rsid w:val="0006751F"/>
    <w:rsid w:val="00067582"/>
    <w:rsid w:val="00067775"/>
    <w:rsid w:val="000678EF"/>
    <w:rsid w:val="000679DD"/>
    <w:rsid w:val="00067A75"/>
    <w:rsid w:val="00067D0F"/>
    <w:rsid w:val="000701CC"/>
    <w:rsid w:val="00070289"/>
    <w:rsid w:val="0007052B"/>
    <w:rsid w:val="000706B4"/>
    <w:rsid w:val="00070792"/>
    <w:rsid w:val="00070CA2"/>
    <w:rsid w:val="00070DA6"/>
    <w:rsid w:val="00070E4C"/>
    <w:rsid w:val="00070F6B"/>
    <w:rsid w:val="0007165A"/>
    <w:rsid w:val="000716B2"/>
    <w:rsid w:val="00071735"/>
    <w:rsid w:val="00071EF8"/>
    <w:rsid w:val="00072152"/>
    <w:rsid w:val="000721A4"/>
    <w:rsid w:val="000722C1"/>
    <w:rsid w:val="00072425"/>
    <w:rsid w:val="00072586"/>
    <w:rsid w:val="00072C10"/>
    <w:rsid w:val="00072CAE"/>
    <w:rsid w:val="00072E1B"/>
    <w:rsid w:val="00073461"/>
    <w:rsid w:val="0007382E"/>
    <w:rsid w:val="00073AFD"/>
    <w:rsid w:val="00073D7B"/>
    <w:rsid w:val="00074012"/>
    <w:rsid w:val="00074155"/>
    <w:rsid w:val="00074190"/>
    <w:rsid w:val="0007449E"/>
    <w:rsid w:val="0007468E"/>
    <w:rsid w:val="00074795"/>
    <w:rsid w:val="000748C4"/>
    <w:rsid w:val="00074BD3"/>
    <w:rsid w:val="00074CCA"/>
    <w:rsid w:val="00074F2C"/>
    <w:rsid w:val="00074F60"/>
    <w:rsid w:val="0007509B"/>
    <w:rsid w:val="00075446"/>
    <w:rsid w:val="00075710"/>
    <w:rsid w:val="000759B3"/>
    <w:rsid w:val="00075C16"/>
    <w:rsid w:val="00075C33"/>
    <w:rsid w:val="00075C64"/>
    <w:rsid w:val="00075CB4"/>
    <w:rsid w:val="00075D26"/>
    <w:rsid w:val="00075D7D"/>
    <w:rsid w:val="00076031"/>
    <w:rsid w:val="000764F8"/>
    <w:rsid w:val="0007667E"/>
    <w:rsid w:val="000767C5"/>
    <w:rsid w:val="00076921"/>
    <w:rsid w:val="00076E08"/>
    <w:rsid w:val="000776A1"/>
    <w:rsid w:val="0007770E"/>
    <w:rsid w:val="0007785D"/>
    <w:rsid w:val="00077A71"/>
    <w:rsid w:val="00077AF1"/>
    <w:rsid w:val="00077BAD"/>
    <w:rsid w:val="00077BED"/>
    <w:rsid w:val="00077C27"/>
    <w:rsid w:val="00077EB8"/>
    <w:rsid w:val="00077F41"/>
    <w:rsid w:val="0008036C"/>
    <w:rsid w:val="00080412"/>
    <w:rsid w:val="000805E8"/>
    <w:rsid w:val="0008062B"/>
    <w:rsid w:val="00080880"/>
    <w:rsid w:val="00080C90"/>
    <w:rsid w:val="00080CAB"/>
    <w:rsid w:val="0008173E"/>
    <w:rsid w:val="00081825"/>
    <w:rsid w:val="00081A23"/>
    <w:rsid w:val="00081A53"/>
    <w:rsid w:val="00081B94"/>
    <w:rsid w:val="00081C32"/>
    <w:rsid w:val="00081C8C"/>
    <w:rsid w:val="00081D8E"/>
    <w:rsid w:val="0008207A"/>
    <w:rsid w:val="0008207E"/>
    <w:rsid w:val="000820A5"/>
    <w:rsid w:val="00082321"/>
    <w:rsid w:val="00082416"/>
    <w:rsid w:val="0008249B"/>
    <w:rsid w:val="000825B4"/>
    <w:rsid w:val="0008275E"/>
    <w:rsid w:val="0008276F"/>
    <w:rsid w:val="00082798"/>
    <w:rsid w:val="0008292D"/>
    <w:rsid w:val="00082940"/>
    <w:rsid w:val="00082B2A"/>
    <w:rsid w:val="00082D74"/>
    <w:rsid w:val="00082EFC"/>
    <w:rsid w:val="00083063"/>
    <w:rsid w:val="0008313D"/>
    <w:rsid w:val="00083170"/>
    <w:rsid w:val="00083575"/>
    <w:rsid w:val="000836BA"/>
    <w:rsid w:val="000836DC"/>
    <w:rsid w:val="00083705"/>
    <w:rsid w:val="00083FB1"/>
    <w:rsid w:val="0008496A"/>
    <w:rsid w:val="00084F0F"/>
    <w:rsid w:val="000850B6"/>
    <w:rsid w:val="00085D27"/>
    <w:rsid w:val="00085FE2"/>
    <w:rsid w:val="00085FFB"/>
    <w:rsid w:val="00086149"/>
    <w:rsid w:val="00086392"/>
    <w:rsid w:val="000864C0"/>
    <w:rsid w:val="00086667"/>
    <w:rsid w:val="00086A26"/>
    <w:rsid w:val="00086B73"/>
    <w:rsid w:val="00086BE0"/>
    <w:rsid w:val="00086C6D"/>
    <w:rsid w:val="00086CEC"/>
    <w:rsid w:val="00086CF5"/>
    <w:rsid w:val="000870CF"/>
    <w:rsid w:val="00087561"/>
    <w:rsid w:val="00087634"/>
    <w:rsid w:val="0008785C"/>
    <w:rsid w:val="00087C95"/>
    <w:rsid w:val="00087F49"/>
    <w:rsid w:val="000901F8"/>
    <w:rsid w:val="000902C1"/>
    <w:rsid w:val="0009066A"/>
    <w:rsid w:val="00090C6B"/>
    <w:rsid w:val="00091388"/>
    <w:rsid w:val="000916A4"/>
    <w:rsid w:val="00091ED2"/>
    <w:rsid w:val="000923EC"/>
    <w:rsid w:val="0009253B"/>
    <w:rsid w:val="000925AC"/>
    <w:rsid w:val="0009270C"/>
    <w:rsid w:val="00092775"/>
    <w:rsid w:val="00092794"/>
    <w:rsid w:val="000930C8"/>
    <w:rsid w:val="00093482"/>
    <w:rsid w:val="00093512"/>
    <w:rsid w:val="00093564"/>
    <w:rsid w:val="00093681"/>
    <w:rsid w:val="000937B5"/>
    <w:rsid w:val="00093829"/>
    <w:rsid w:val="00093913"/>
    <w:rsid w:val="00093C78"/>
    <w:rsid w:val="00093D51"/>
    <w:rsid w:val="00093D91"/>
    <w:rsid w:val="00093DCA"/>
    <w:rsid w:val="00093F6E"/>
    <w:rsid w:val="00093F72"/>
    <w:rsid w:val="00093FAA"/>
    <w:rsid w:val="00094147"/>
    <w:rsid w:val="00094316"/>
    <w:rsid w:val="0009442D"/>
    <w:rsid w:val="0009443B"/>
    <w:rsid w:val="00094458"/>
    <w:rsid w:val="000944CC"/>
    <w:rsid w:val="00094573"/>
    <w:rsid w:val="00094705"/>
    <w:rsid w:val="00094727"/>
    <w:rsid w:val="0009484B"/>
    <w:rsid w:val="00094E54"/>
    <w:rsid w:val="00094E96"/>
    <w:rsid w:val="00095075"/>
    <w:rsid w:val="00095195"/>
    <w:rsid w:val="000953A9"/>
    <w:rsid w:val="000957D3"/>
    <w:rsid w:val="000958AA"/>
    <w:rsid w:val="00095B59"/>
    <w:rsid w:val="00095C67"/>
    <w:rsid w:val="00095EEC"/>
    <w:rsid w:val="00095F0E"/>
    <w:rsid w:val="0009615D"/>
    <w:rsid w:val="00096226"/>
    <w:rsid w:val="00096518"/>
    <w:rsid w:val="00096572"/>
    <w:rsid w:val="00096630"/>
    <w:rsid w:val="0009669D"/>
    <w:rsid w:val="000966A3"/>
    <w:rsid w:val="00096A01"/>
    <w:rsid w:val="00096B56"/>
    <w:rsid w:val="00096B8A"/>
    <w:rsid w:val="00096F24"/>
    <w:rsid w:val="00096FAB"/>
    <w:rsid w:val="00096FAF"/>
    <w:rsid w:val="000971C8"/>
    <w:rsid w:val="00097213"/>
    <w:rsid w:val="0009721F"/>
    <w:rsid w:val="00097278"/>
    <w:rsid w:val="00097530"/>
    <w:rsid w:val="0009755F"/>
    <w:rsid w:val="0009770C"/>
    <w:rsid w:val="00097762"/>
    <w:rsid w:val="00097CEE"/>
    <w:rsid w:val="00097E4D"/>
    <w:rsid w:val="000A0244"/>
    <w:rsid w:val="000A03FE"/>
    <w:rsid w:val="000A05C0"/>
    <w:rsid w:val="000A07D7"/>
    <w:rsid w:val="000A07F7"/>
    <w:rsid w:val="000A0A92"/>
    <w:rsid w:val="000A0B47"/>
    <w:rsid w:val="000A0D9A"/>
    <w:rsid w:val="000A0E37"/>
    <w:rsid w:val="000A0E5D"/>
    <w:rsid w:val="000A0F14"/>
    <w:rsid w:val="000A0F33"/>
    <w:rsid w:val="000A1220"/>
    <w:rsid w:val="000A13A9"/>
    <w:rsid w:val="000A1711"/>
    <w:rsid w:val="000A1D1B"/>
    <w:rsid w:val="000A1D60"/>
    <w:rsid w:val="000A2135"/>
    <w:rsid w:val="000A22C7"/>
    <w:rsid w:val="000A2635"/>
    <w:rsid w:val="000A2702"/>
    <w:rsid w:val="000A2959"/>
    <w:rsid w:val="000A2BCC"/>
    <w:rsid w:val="000A2CAC"/>
    <w:rsid w:val="000A2E2B"/>
    <w:rsid w:val="000A2F0B"/>
    <w:rsid w:val="000A3098"/>
    <w:rsid w:val="000A328E"/>
    <w:rsid w:val="000A3A8A"/>
    <w:rsid w:val="000A3B8B"/>
    <w:rsid w:val="000A3BA3"/>
    <w:rsid w:val="000A3C38"/>
    <w:rsid w:val="000A3F72"/>
    <w:rsid w:val="000A459B"/>
    <w:rsid w:val="000A45A5"/>
    <w:rsid w:val="000A47EC"/>
    <w:rsid w:val="000A48FD"/>
    <w:rsid w:val="000A4A66"/>
    <w:rsid w:val="000A4A6D"/>
    <w:rsid w:val="000A4D3B"/>
    <w:rsid w:val="000A4DE6"/>
    <w:rsid w:val="000A4F04"/>
    <w:rsid w:val="000A5159"/>
    <w:rsid w:val="000A51C7"/>
    <w:rsid w:val="000A52A9"/>
    <w:rsid w:val="000A538A"/>
    <w:rsid w:val="000A589A"/>
    <w:rsid w:val="000A5AB5"/>
    <w:rsid w:val="000A5C61"/>
    <w:rsid w:val="000A608E"/>
    <w:rsid w:val="000A63A8"/>
    <w:rsid w:val="000A659A"/>
    <w:rsid w:val="000A6651"/>
    <w:rsid w:val="000A6775"/>
    <w:rsid w:val="000A6A1E"/>
    <w:rsid w:val="000A7251"/>
    <w:rsid w:val="000A73A4"/>
    <w:rsid w:val="000A7543"/>
    <w:rsid w:val="000A7716"/>
    <w:rsid w:val="000A79B8"/>
    <w:rsid w:val="000A7EED"/>
    <w:rsid w:val="000B002A"/>
    <w:rsid w:val="000B0085"/>
    <w:rsid w:val="000B0192"/>
    <w:rsid w:val="000B0E9E"/>
    <w:rsid w:val="000B12DE"/>
    <w:rsid w:val="000B14A7"/>
    <w:rsid w:val="000B19D1"/>
    <w:rsid w:val="000B19E1"/>
    <w:rsid w:val="000B1AB7"/>
    <w:rsid w:val="000B1F2B"/>
    <w:rsid w:val="000B1F77"/>
    <w:rsid w:val="000B2180"/>
    <w:rsid w:val="000B2248"/>
    <w:rsid w:val="000B2478"/>
    <w:rsid w:val="000B2665"/>
    <w:rsid w:val="000B2751"/>
    <w:rsid w:val="000B2952"/>
    <w:rsid w:val="000B3049"/>
    <w:rsid w:val="000B3111"/>
    <w:rsid w:val="000B35EF"/>
    <w:rsid w:val="000B3686"/>
    <w:rsid w:val="000B384C"/>
    <w:rsid w:val="000B3876"/>
    <w:rsid w:val="000B39C3"/>
    <w:rsid w:val="000B39FE"/>
    <w:rsid w:val="000B3A74"/>
    <w:rsid w:val="000B3F01"/>
    <w:rsid w:val="000B3F14"/>
    <w:rsid w:val="000B4217"/>
    <w:rsid w:val="000B45AA"/>
    <w:rsid w:val="000B46C8"/>
    <w:rsid w:val="000B4879"/>
    <w:rsid w:val="000B4EB5"/>
    <w:rsid w:val="000B4F99"/>
    <w:rsid w:val="000B5123"/>
    <w:rsid w:val="000B51A7"/>
    <w:rsid w:val="000B5200"/>
    <w:rsid w:val="000B533C"/>
    <w:rsid w:val="000B5370"/>
    <w:rsid w:val="000B5399"/>
    <w:rsid w:val="000B5B10"/>
    <w:rsid w:val="000B5DDF"/>
    <w:rsid w:val="000B6040"/>
    <w:rsid w:val="000B61F4"/>
    <w:rsid w:val="000B661D"/>
    <w:rsid w:val="000B6991"/>
    <w:rsid w:val="000B6BFB"/>
    <w:rsid w:val="000B6D82"/>
    <w:rsid w:val="000B6ED3"/>
    <w:rsid w:val="000B718F"/>
    <w:rsid w:val="000B73E5"/>
    <w:rsid w:val="000B7547"/>
    <w:rsid w:val="000B7681"/>
    <w:rsid w:val="000B7690"/>
    <w:rsid w:val="000B7B9A"/>
    <w:rsid w:val="000B7BDF"/>
    <w:rsid w:val="000B7C0F"/>
    <w:rsid w:val="000B7C2D"/>
    <w:rsid w:val="000C0133"/>
    <w:rsid w:val="000C0143"/>
    <w:rsid w:val="000C01BA"/>
    <w:rsid w:val="000C0241"/>
    <w:rsid w:val="000C04C3"/>
    <w:rsid w:val="000C0511"/>
    <w:rsid w:val="000C0622"/>
    <w:rsid w:val="000C0B7C"/>
    <w:rsid w:val="000C0C60"/>
    <w:rsid w:val="000C0FFC"/>
    <w:rsid w:val="000C1069"/>
    <w:rsid w:val="000C1460"/>
    <w:rsid w:val="000C165F"/>
    <w:rsid w:val="000C16C5"/>
    <w:rsid w:val="000C19D4"/>
    <w:rsid w:val="000C2597"/>
    <w:rsid w:val="000C2769"/>
    <w:rsid w:val="000C2F1F"/>
    <w:rsid w:val="000C3082"/>
    <w:rsid w:val="000C3F80"/>
    <w:rsid w:val="000C4074"/>
    <w:rsid w:val="000C4244"/>
    <w:rsid w:val="000C4443"/>
    <w:rsid w:val="000C4857"/>
    <w:rsid w:val="000C4A98"/>
    <w:rsid w:val="000C4D25"/>
    <w:rsid w:val="000C4E49"/>
    <w:rsid w:val="000C5135"/>
    <w:rsid w:val="000C52A2"/>
    <w:rsid w:val="000C56DF"/>
    <w:rsid w:val="000C572D"/>
    <w:rsid w:val="000C5958"/>
    <w:rsid w:val="000C5C28"/>
    <w:rsid w:val="000C5D65"/>
    <w:rsid w:val="000C5F4D"/>
    <w:rsid w:val="000C61A9"/>
    <w:rsid w:val="000C61BC"/>
    <w:rsid w:val="000C65ED"/>
    <w:rsid w:val="000C6656"/>
    <w:rsid w:val="000C66CC"/>
    <w:rsid w:val="000C68FE"/>
    <w:rsid w:val="000C694F"/>
    <w:rsid w:val="000C69CB"/>
    <w:rsid w:val="000C6D0C"/>
    <w:rsid w:val="000C6DE5"/>
    <w:rsid w:val="000C70A2"/>
    <w:rsid w:val="000C718C"/>
    <w:rsid w:val="000C755B"/>
    <w:rsid w:val="000C7866"/>
    <w:rsid w:val="000C78A3"/>
    <w:rsid w:val="000D019D"/>
    <w:rsid w:val="000D0288"/>
    <w:rsid w:val="000D02A5"/>
    <w:rsid w:val="000D02CB"/>
    <w:rsid w:val="000D055F"/>
    <w:rsid w:val="000D0A65"/>
    <w:rsid w:val="000D0C82"/>
    <w:rsid w:val="000D0D38"/>
    <w:rsid w:val="000D0D51"/>
    <w:rsid w:val="000D1022"/>
    <w:rsid w:val="000D1186"/>
    <w:rsid w:val="000D11A6"/>
    <w:rsid w:val="000D156F"/>
    <w:rsid w:val="000D160A"/>
    <w:rsid w:val="000D175B"/>
    <w:rsid w:val="000D1EF5"/>
    <w:rsid w:val="000D1FA5"/>
    <w:rsid w:val="000D2053"/>
    <w:rsid w:val="000D22B2"/>
    <w:rsid w:val="000D236C"/>
    <w:rsid w:val="000D2381"/>
    <w:rsid w:val="000D24B3"/>
    <w:rsid w:val="000D29A0"/>
    <w:rsid w:val="000D29BE"/>
    <w:rsid w:val="000D2B47"/>
    <w:rsid w:val="000D2D73"/>
    <w:rsid w:val="000D2DD5"/>
    <w:rsid w:val="000D2FC6"/>
    <w:rsid w:val="000D32CD"/>
    <w:rsid w:val="000D3351"/>
    <w:rsid w:val="000D344D"/>
    <w:rsid w:val="000D351E"/>
    <w:rsid w:val="000D37BC"/>
    <w:rsid w:val="000D3B7C"/>
    <w:rsid w:val="000D3C09"/>
    <w:rsid w:val="000D3F83"/>
    <w:rsid w:val="000D413A"/>
    <w:rsid w:val="000D424F"/>
    <w:rsid w:val="000D426A"/>
    <w:rsid w:val="000D44E9"/>
    <w:rsid w:val="000D46E5"/>
    <w:rsid w:val="000D4EB2"/>
    <w:rsid w:val="000D52C6"/>
    <w:rsid w:val="000D559F"/>
    <w:rsid w:val="000D5776"/>
    <w:rsid w:val="000D597F"/>
    <w:rsid w:val="000D59B0"/>
    <w:rsid w:val="000D5DB6"/>
    <w:rsid w:val="000D627F"/>
    <w:rsid w:val="000D66B7"/>
    <w:rsid w:val="000D6A3B"/>
    <w:rsid w:val="000D6A89"/>
    <w:rsid w:val="000D6B0A"/>
    <w:rsid w:val="000D6D6D"/>
    <w:rsid w:val="000D7040"/>
    <w:rsid w:val="000D7121"/>
    <w:rsid w:val="000D724A"/>
    <w:rsid w:val="000D72B0"/>
    <w:rsid w:val="000D7672"/>
    <w:rsid w:val="000D78FA"/>
    <w:rsid w:val="000D7B20"/>
    <w:rsid w:val="000D7C33"/>
    <w:rsid w:val="000D7C9A"/>
    <w:rsid w:val="000D7E67"/>
    <w:rsid w:val="000D7FBC"/>
    <w:rsid w:val="000E017A"/>
    <w:rsid w:val="000E0498"/>
    <w:rsid w:val="000E05D4"/>
    <w:rsid w:val="000E0601"/>
    <w:rsid w:val="000E0648"/>
    <w:rsid w:val="000E0848"/>
    <w:rsid w:val="000E0935"/>
    <w:rsid w:val="000E098D"/>
    <w:rsid w:val="000E0A48"/>
    <w:rsid w:val="000E0AF1"/>
    <w:rsid w:val="000E0C74"/>
    <w:rsid w:val="000E0E73"/>
    <w:rsid w:val="000E0EED"/>
    <w:rsid w:val="000E1124"/>
    <w:rsid w:val="000E1311"/>
    <w:rsid w:val="000E14A7"/>
    <w:rsid w:val="000E1ADD"/>
    <w:rsid w:val="000E1DF9"/>
    <w:rsid w:val="000E1FF0"/>
    <w:rsid w:val="000E2144"/>
    <w:rsid w:val="000E2430"/>
    <w:rsid w:val="000E2545"/>
    <w:rsid w:val="000E25F6"/>
    <w:rsid w:val="000E28D6"/>
    <w:rsid w:val="000E2AFA"/>
    <w:rsid w:val="000E2E98"/>
    <w:rsid w:val="000E2ECA"/>
    <w:rsid w:val="000E31C5"/>
    <w:rsid w:val="000E32D5"/>
    <w:rsid w:val="000E36DC"/>
    <w:rsid w:val="000E3712"/>
    <w:rsid w:val="000E3CBA"/>
    <w:rsid w:val="000E441D"/>
    <w:rsid w:val="000E49E2"/>
    <w:rsid w:val="000E49F4"/>
    <w:rsid w:val="000E4AAA"/>
    <w:rsid w:val="000E4B70"/>
    <w:rsid w:val="000E4EE7"/>
    <w:rsid w:val="000E5385"/>
    <w:rsid w:val="000E56D1"/>
    <w:rsid w:val="000E5861"/>
    <w:rsid w:val="000E5945"/>
    <w:rsid w:val="000E59FC"/>
    <w:rsid w:val="000E5A17"/>
    <w:rsid w:val="000E5D9F"/>
    <w:rsid w:val="000E5F46"/>
    <w:rsid w:val="000E5FD6"/>
    <w:rsid w:val="000E639F"/>
    <w:rsid w:val="000E6617"/>
    <w:rsid w:val="000E67A8"/>
    <w:rsid w:val="000E692B"/>
    <w:rsid w:val="000E6A71"/>
    <w:rsid w:val="000E6B6E"/>
    <w:rsid w:val="000E6D71"/>
    <w:rsid w:val="000E7008"/>
    <w:rsid w:val="000E70BB"/>
    <w:rsid w:val="000E7271"/>
    <w:rsid w:val="000E73A5"/>
    <w:rsid w:val="000E7453"/>
    <w:rsid w:val="000E74A5"/>
    <w:rsid w:val="000E74F0"/>
    <w:rsid w:val="000E783B"/>
    <w:rsid w:val="000E78A8"/>
    <w:rsid w:val="000E7ABC"/>
    <w:rsid w:val="000E7B61"/>
    <w:rsid w:val="000E7BDB"/>
    <w:rsid w:val="000E7BE8"/>
    <w:rsid w:val="000E7D23"/>
    <w:rsid w:val="000E7EF2"/>
    <w:rsid w:val="000E7F98"/>
    <w:rsid w:val="000F00DA"/>
    <w:rsid w:val="000F0546"/>
    <w:rsid w:val="000F06D5"/>
    <w:rsid w:val="000F07D1"/>
    <w:rsid w:val="000F0895"/>
    <w:rsid w:val="000F08D6"/>
    <w:rsid w:val="000F08DC"/>
    <w:rsid w:val="000F0902"/>
    <w:rsid w:val="000F0BA9"/>
    <w:rsid w:val="000F0CAD"/>
    <w:rsid w:val="000F1992"/>
    <w:rsid w:val="000F19AB"/>
    <w:rsid w:val="000F1DFC"/>
    <w:rsid w:val="000F21A2"/>
    <w:rsid w:val="000F2256"/>
    <w:rsid w:val="000F23C9"/>
    <w:rsid w:val="000F3088"/>
    <w:rsid w:val="000F345C"/>
    <w:rsid w:val="000F369A"/>
    <w:rsid w:val="000F36C8"/>
    <w:rsid w:val="000F3A36"/>
    <w:rsid w:val="000F41A4"/>
    <w:rsid w:val="000F4371"/>
    <w:rsid w:val="000F452E"/>
    <w:rsid w:val="000F45B9"/>
    <w:rsid w:val="000F45E0"/>
    <w:rsid w:val="000F4D19"/>
    <w:rsid w:val="000F5015"/>
    <w:rsid w:val="000F5203"/>
    <w:rsid w:val="000F5463"/>
    <w:rsid w:val="000F55B5"/>
    <w:rsid w:val="000F5926"/>
    <w:rsid w:val="000F5C02"/>
    <w:rsid w:val="000F5D03"/>
    <w:rsid w:val="000F5D16"/>
    <w:rsid w:val="000F6084"/>
    <w:rsid w:val="000F6283"/>
    <w:rsid w:val="000F63C9"/>
    <w:rsid w:val="000F697E"/>
    <w:rsid w:val="000F69BF"/>
    <w:rsid w:val="000F72CC"/>
    <w:rsid w:val="000F749C"/>
    <w:rsid w:val="000F7564"/>
    <w:rsid w:val="000F7678"/>
    <w:rsid w:val="000F76C3"/>
    <w:rsid w:val="000F77FE"/>
    <w:rsid w:val="000F7817"/>
    <w:rsid w:val="000F7997"/>
    <w:rsid w:val="000F7B65"/>
    <w:rsid w:val="000F7C34"/>
    <w:rsid w:val="000F7E10"/>
    <w:rsid w:val="000F7F62"/>
    <w:rsid w:val="000F7FDB"/>
    <w:rsid w:val="001000ED"/>
    <w:rsid w:val="00100139"/>
    <w:rsid w:val="001006AD"/>
    <w:rsid w:val="001006EF"/>
    <w:rsid w:val="00100A17"/>
    <w:rsid w:val="00100F95"/>
    <w:rsid w:val="00101093"/>
    <w:rsid w:val="001011C7"/>
    <w:rsid w:val="001011D2"/>
    <w:rsid w:val="0010126B"/>
    <w:rsid w:val="001015B5"/>
    <w:rsid w:val="00101633"/>
    <w:rsid w:val="00101A29"/>
    <w:rsid w:val="00101A87"/>
    <w:rsid w:val="00101AE5"/>
    <w:rsid w:val="00101B34"/>
    <w:rsid w:val="0010214C"/>
    <w:rsid w:val="001021C8"/>
    <w:rsid w:val="00102306"/>
    <w:rsid w:val="00102399"/>
    <w:rsid w:val="0010272E"/>
    <w:rsid w:val="00102A57"/>
    <w:rsid w:val="00102B22"/>
    <w:rsid w:val="00102E70"/>
    <w:rsid w:val="00102FFA"/>
    <w:rsid w:val="001032F9"/>
    <w:rsid w:val="00103469"/>
    <w:rsid w:val="00103DE7"/>
    <w:rsid w:val="00103FFA"/>
    <w:rsid w:val="0010432E"/>
    <w:rsid w:val="00104BB9"/>
    <w:rsid w:val="00104CC0"/>
    <w:rsid w:val="00104CEB"/>
    <w:rsid w:val="001050F8"/>
    <w:rsid w:val="001053C7"/>
    <w:rsid w:val="001055CB"/>
    <w:rsid w:val="0010565A"/>
    <w:rsid w:val="001056F3"/>
    <w:rsid w:val="001058CE"/>
    <w:rsid w:val="00105989"/>
    <w:rsid w:val="00105DD2"/>
    <w:rsid w:val="00105F21"/>
    <w:rsid w:val="001060C6"/>
    <w:rsid w:val="00106146"/>
    <w:rsid w:val="001063FB"/>
    <w:rsid w:val="001068BB"/>
    <w:rsid w:val="00106A3D"/>
    <w:rsid w:val="00106A62"/>
    <w:rsid w:val="00106A65"/>
    <w:rsid w:val="00106BDC"/>
    <w:rsid w:val="00106CD4"/>
    <w:rsid w:val="00106DAD"/>
    <w:rsid w:val="00106F6E"/>
    <w:rsid w:val="001070F1"/>
    <w:rsid w:val="001078B0"/>
    <w:rsid w:val="001079A9"/>
    <w:rsid w:val="00107D36"/>
    <w:rsid w:val="00107D7D"/>
    <w:rsid w:val="00107E34"/>
    <w:rsid w:val="0011035C"/>
    <w:rsid w:val="001106DB"/>
    <w:rsid w:val="00110A9A"/>
    <w:rsid w:val="00110C9D"/>
    <w:rsid w:val="00110EC9"/>
    <w:rsid w:val="00110EF3"/>
    <w:rsid w:val="00110EF8"/>
    <w:rsid w:val="00111162"/>
    <w:rsid w:val="001111CE"/>
    <w:rsid w:val="00111312"/>
    <w:rsid w:val="00111533"/>
    <w:rsid w:val="00111813"/>
    <w:rsid w:val="00111D26"/>
    <w:rsid w:val="0011200E"/>
    <w:rsid w:val="00112091"/>
    <w:rsid w:val="001120C8"/>
    <w:rsid w:val="00112183"/>
    <w:rsid w:val="00112354"/>
    <w:rsid w:val="00112459"/>
    <w:rsid w:val="001125C2"/>
    <w:rsid w:val="00112632"/>
    <w:rsid w:val="00112947"/>
    <w:rsid w:val="00112AF3"/>
    <w:rsid w:val="00112D17"/>
    <w:rsid w:val="0011324D"/>
    <w:rsid w:val="00113294"/>
    <w:rsid w:val="00113437"/>
    <w:rsid w:val="0011347E"/>
    <w:rsid w:val="00113586"/>
    <w:rsid w:val="001135B4"/>
    <w:rsid w:val="00113617"/>
    <w:rsid w:val="001136E6"/>
    <w:rsid w:val="00113BFB"/>
    <w:rsid w:val="00113C77"/>
    <w:rsid w:val="00114043"/>
    <w:rsid w:val="001140D2"/>
    <w:rsid w:val="00114144"/>
    <w:rsid w:val="001142E6"/>
    <w:rsid w:val="00114493"/>
    <w:rsid w:val="0011493C"/>
    <w:rsid w:val="001150EF"/>
    <w:rsid w:val="00115135"/>
    <w:rsid w:val="001151FF"/>
    <w:rsid w:val="0011568B"/>
    <w:rsid w:val="00115CBD"/>
    <w:rsid w:val="00115E8B"/>
    <w:rsid w:val="00116218"/>
    <w:rsid w:val="001169D1"/>
    <w:rsid w:val="00116C94"/>
    <w:rsid w:val="00116D4A"/>
    <w:rsid w:val="00116DA3"/>
    <w:rsid w:val="00116DF6"/>
    <w:rsid w:val="00116E67"/>
    <w:rsid w:val="00117031"/>
    <w:rsid w:val="00117859"/>
    <w:rsid w:val="001179B2"/>
    <w:rsid w:val="00117A03"/>
    <w:rsid w:val="00117C1C"/>
    <w:rsid w:val="00117D5D"/>
    <w:rsid w:val="00117E77"/>
    <w:rsid w:val="00120172"/>
    <w:rsid w:val="001204AE"/>
    <w:rsid w:val="0012072E"/>
    <w:rsid w:val="00120A6E"/>
    <w:rsid w:val="00120D1A"/>
    <w:rsid w:val="00120F6D"/>
    <w:rsid w:val="001211A7"/>
    <w:rsid w:val="00121281"/>
    <w:rsid w:val="0012134E"/>
    <w:rsid w:val="0012169E"/>
    <w:rsid w:val="0012184D"/>
    <w:rsid w:val="00121BC3"/>
    <w:rsid w:val="00121CFB"/>
    <w:rsid w:val="00121DB6"/>
    <w:rsid w:val="00122330"/>
    <w:rsid w:val="00122370"/>
    <w:rsid w:val="001223AF"/>
    <w:rsid w:val="001223EE"/>
    <w:rsid w:val="00122635"/>
    <w:rsid w:val="00122711"/>
    <w:rsid w:val="00122742"/>
    <w:rsid w:val="0012297C"/>
    <w:rsid w:val="0012298F"/>
    <w:rsid w:val="00122BB8"/>
    <w:rsid w:val="00122C9B"/>
    <w:rsid w:val="00122E06"/>
    <w:rsid w:val="0012337B"/>
    <w:rsid w:val="001237A6"/>
    <w:rsid w:val="00123E4D"/>
    <w:rsid w:val="00124823"/>
    <w:rsid w:val="00124B3E"/>
    <w:rsid w:val="00124BAC"/>
    <w:rsid w:val="00124D89"/>
    <w:rsid w:val="00125448"/>
    <w:rsid w:val="001256BA"/>
    <w:rsid w:val="0012570A"/>
    <w:rsid w:val="001257A6"/>
    <w:rsid w:val="00125959"/>
    <w:rsid w:val="00125B55"/>
    <w:rsid w:val="00125B95"/>
    <w:rsid w:val="00125D08"/>
    <w:rsid w:val="00126129"/>
    <w:rsid w:val="00126147"/>
    <w:rsid w:val="00126149"/>
    <w:rsid w:val="0012629A"/>
    <w:rsid w:val="001265CF"/>
    <w:rsid w:val="00126744"/>
    <w:rsid w:val="0012676A"/>
    <w:rsid w:val="0012676D"/>
    <w:rsid w:val="0012678A"/>
    <w:rsid w:val="00126829"/>
    <w:rsid w:val="00126890"/>
    <w:rsid w:val="001268D5"/>
    <w:rsid w:val="0012695E"/>
    <w:rsid w:val="00126ABD"/>
    <w:rsid w:val="00126BE6"/>
    <w:rsid w:val="00126C56"/>
    <w:rsid w:val="00126D20"/>
    <w:rsid w:val="001279D5"/>
    <w:rsid w:val="00127BA7"/>
    <w:rsid w:val="00127CDF"/>
    <w:rsid w:val="00127F21"/>
    <w:rsid w:val="00130369"/>
    <w:rsid w:val="0013072A"/>
    <w:rsid w:val="00130764"/>
    <w:rsid w:val="00130BE6"/>
    <w:rsid w:val="00130C5C"/>
    <w:rsid w:val="001310E2"/>
    <w:rsid w:val="001312BC"/>
    <w:rsid w:val="001316AE"/>
    <w:rsid w:val="00131858"/>
    <w:rsid w:val="001318EC"/>
    <w:rsid w:val="001319A8"/>
    <w:rsid w:val="00131E50"/>
    <w:rsid w:val="00131F0F"/>
    <w:rsid w:val="00132310"/>
    <w:rsid w:val="0013232C"/>
    <w:rsid w:val="0013265C"/>
    <w:rsid w:val="00132D87"/>
    <w:rsid w:val="00132DF1"/>
    <w:rsid w:val="00133016"/>
    <w:rsid w:val="00133048"/>
    <w:rsid w:val="001331B8"/>
    <w:rsid w:val="0013340B"/>
    <w:rsid w:val="0013352C"/>
    <w:rsid w:val="001335C0"/>
    <w:rsid w:val="001335F4"/>
    <w:rsid w:val="0013369F"/>
    <w:rsid w:val="00133A97"/>
    <w:rsid w:val="00133C6F"/>
    <w:rsid w:val="00133E25"/>
    <w:rsid w:val="00134152"/>
    <w:rsid w:val="00134469"/>
    <w:rsid w:val="00134490"/>
    <w:rsid w:val="00134570"/>
    <w:rsid w:val="001345C9"/>
    <w:rsid w:val="0013494E"/>
    <w:rsid w:val="00134A23"/>
    <w:rsid w:val="00134A37"/>
    <w:rsid w:val="00134D9E"/>
    <w:rsid w:val="00134E5B"/>
    <w:rsid w:val="00134F44"/>
    <w:rsid w:val="00135115"/>
    <w:rsid w:val="00135437"/>
    <w:rsid w:val="0013553E"/>
    <w:rsid w:val="00135650"/>
    <w:rsid w:val="0013582E"/>
    <w:rsid w:val="001359D6"/>
    <w:rsid w:val="00135A16"/>
    <w:rsid w:val="00135AC3"/>
    <w:rsid w:val="00135C52"/>
    <w:rsid w:val="00135EA4"/>
    <w:rsid w:val="00136065"/>
    <w:rsid w:val="00136241"/>
    <w:rsid w:val="001362C2"/>
    <w:rsid w:val="001362C6"/>
    <w:rsid w:val="0013641F"/>
    <w:rsid w:val="001365CE"/>
    <w:rsid w:val="001365F3"/>
    <w:rsid w:val="00136803"/>
    <w:rsid w:val="00136C3F"/>
    <w:rsid w:val="00136DB9"/>
    <w:rsid w:val="00137400"/>
    <w:rsid w:val="00137484"/>
    <w:rsid w:val="00137542"/>
    <w:rsid w:val="00137606"/>
    <w:rsid w:val="00137CB9"/>
    <w:rsid w:val="00137D69"/>
    <w:rsid w:val="00140029"/>
    <w:rsid w:val="0014041D"/>
    <w:rsid w:val="0014086B"/>
    <w:rsid w:val="00140906"/>
    <w:rsid w:val="00140A02"/>
    <w:rsid w:val="00140B18"/>
    <w:rsid w:val="00140BF9"/>
    <w:rsid w:val="00140C22"/>
    <w:rsid w:val="00140F82"/>
    <w:rsid w:val="001411C0"/>
    <w:rsid w:val="001413D4"/>
    <w:rsid w:val="00141786"/>
    <w:rsid w:val="00141C1A"/>
    <w:rsid w:val="00141C47"/>
    <w:rsid w:val="00141EE8"/>
    <w:rsid w:val="00141EF7"/>
    <w:rsid w:val="00142205"/>
    <w:rsid w:val="0014239E"/>
    <w:rsid w:val="0014249C"/>
    <w:rsid w:val="0014249F"/>
    <w:rsid w:val="001424E5"/>
    <w:rsid w:val="0014251F"/>
    <w:rsid w:val="001426B2"/>
    <w:rsid w:val="00142A21"/>
    <w:rsid w:val="00142A37"/>
    <w:rsid w:val="00142C88"/>
    <w:rsid w:val="00142D4A"/>
    <w:rsid w:val="00142D91"/>
    <w:rsid w:val="00142E57"/>
    <w:rsid w:val="001433AF"/>
    <w:rsid w:val="00143527"/>
    <w:rsid w:val="00143554"/>
    <w:rsid w:val="001437C5"/>
    <w:rsid w:val="00143BCC"/>
    <w:rsid w:val="00143D2D"/>
    <w:rsid w:val="00143DD5"/>
    <w:rsid w:val="00143DE5"/>
    <w:rsid w:val="00143FC6"/>
    <w:rsid w:val="0014443F"/>
    <w:rsid w:val="00144620"/>
    <w:rsid w:val="00144F61"/>
    <w:rsid w:val="0014523B"/>
    <w:rsid w:val="001454B9"/>
    <w:rsid w:val="001454F5"/>
    <w:rsid w:val="00145790"/>
    <w:rsid w:val="00145845"/>
    <w:rsid w:val="0014592E"/>
    <w:rsid w:val="00145ABB"/>
    <w:rsid w:val="001461B2"/>
    <w:rsid w:val="00146303"/>
    <w:rsid w:val="00146417"/>
    <w:rsid w:val="0014693D"/>
    <w:rsid w:val="00146ACE"/>
    <w:rsid w:val="00146D90"/>
    <w:rsid w:val="00147203"/>
    <w:rsid w:val="00147459"/>
    <w:rsid w:val="00147B75"/>
    <w:rsid w:val="00147B8E"/>
    <w:rsid w:val="00147BF0"/>
    <w:rsid w:val="00150160"/>
    <w:rsid w:val="00150241"/>
    <w:rsid w:val="001502E2"/>
    <w:rsid w:val="0015030F"/>
    <w:rsid w:val="00150986"/>
    <w:rsid w:val="00150AE0"/>
    <w:rsid w:val="0015107F"/>
    <w:rsid w:val="00151279"/>
    <w:rsid w:val="00152098"/>
    <w:rsid w:val="001523F9"/>
    <w:rsid w:val="00152516"/>
    <w:rsid w:val="00152670"/>
    <w:rsid w:val="00152759"/>
    <w:rsid w:val="001528E0"/>
    <w:rsid w:val="0015293A"/>
    <w:rsid w:val="00152A5F"/>
    <w:rsid w:val="00152C72"/>
    <w:rsid w:val="00152D0A"/>
    <w:rsid w:val="00152D61"/>
    <w:rsid w:val="00152E09"/>
    <w:rsid w:val="00152E0A"/>
    <w:rsid w:val="00152FB9"/>
    <w:rsid w:val="00153421"/>
    <w:rsid w:val="00153505"/>
    <w:rsid w:val="001535E2"/>
    <w:rsid w:val="00153945"/>
    <w:rsid w:val="001539D2"/>
    <w:rsid w:val="00153DF0"/>
    <w:rsid w:val="00153F3E"/>
    <w:rsid w:val="001541E0"/>
    <w:rsid w:val="00154535"/>
    <w:rsid w:val="00154B70"/>
    <w:rsid w:val="00154CBA"/>
    <w:rsid w:val="001550CB"/>
    <w:rsid w:val="001551B9"/>
    <w:rsid w:val="00155215"/>
    <w:rsid w:val="00155545"/>
    <w:rsid w:val="001557A3"/>
    <w:rsid w:val="001558AE"/>
    <w:rsid w:val="00155D7A"/>
    <w:rsid w:val="00155F29"/>
    <w:rsid w:val="0015620F"/>
    <w:rsid w:val="00156252"/>
    <w:rsid w:val="0015668D"/>
    <w:rsid w:val="0015675F"/>
    <w:rsid w:val="001567C7"/>
    <w:rsid w:val="001568D2"/>
    <w:rsid w:val="00156900"/>
    <w:rsid w:val="00156B3A"/>
    <w:rsid w:val="00156C6E"/>
    <w:rsid w:val="00156E62"/>
    <w:rsid w:val="0015723B"/>
    <w:rsid w:val="001572C6"/>
    <w:rsid w:val="00157432"/>
    <w:rsid w:val="00157770"/>
    <w:rsid w:val="0015780F"/>
    <w:rsid w:val="00157951"/>
    <w:rsid w:val="001579E7"/>
    <w:rsid w:val="00157B0E"/>
    <w:rsid w:val="00157D88"/>
    <w:rsid w:val="00157EAB"/>
    <w:rsid w:val="0016000F"/>
    <w:rsid w:val="00160093"/>
    <w:rsid w:val="00160167"/>
    <w:rsid w:val="001605D0"/>
    <w:rsid w:val="001605E3"/>
    <w:rsid w:val="00160774"/>
    <w:rsid w:val="00160AFC"/>
    <w:rsid w:val="00160BF3"/>
    <w:rsid w:val="00160F8B"/>
    <w:rsid w:val="00161DD5"/>
    <w:rsid w:val="001621F5"/>
    <w:rsid w:val="001624DF"/>
    <w:rsid w:val="00162679"/>
    <w:rsid w:val="0016274F"/>
    <w:rsid w:val="001630C9"/>
    <w:rsid w:val="0016314F"/>
    <w:rsid w:val="00163179"/>
    <w:rsid w:val="00163193"/>
    <w:rsid w:val="00163198"/>
    <w:rsid w:val="001633BC"/>
    <w:rsid w:val="001635F8"/>
    <w:rsid w:val="00163783"/>
    <w:rsid w:val="001637B3"/>
    <w:rsid w:val="00163857"/>
    <w:rsid w:val="00163959"/>
    <w:rsid w:val="00163C3F"/>
    <w:rsid w:val="00163CC2"/>
    <w:rsid w:val="00163D68"/>
    <w:rsid w:val="0016443C"/>
    <w:rsid w:val="00164465"/>
    <w:rsid w:val="00164565"/>
    <w:rsid w:val="001646D1"/>
    <w:rsid w:val="00164712"/>
    <w:rsid w:val="001648DD"/>
    <w:rsid w:val="00164911"/>
    <w:rsid w:val="001649C1"/>
    <w:rsid w:val="00164ACB"/>
    <w:rsid w:val="00164C26"/>
    <w:rsid w:val="00164D92"/>
    <w:rsid w:val="00164E5D"/>
    <w:rsid w:val="0016516F"/>
    <w:rsid w:val="00165264"/>
    <w:rsid w:val="00165844"/>
    <w:rsid w:val="00165A58"/>
    <w:rsid w:val="00166467"/>
    <w:rsid w:val="001667B6"/>
    <w:rsid w:val="001668D9"/>
    <w:rsid w:val="00166BB5"/>
    <w:rsid w:val="00166C5C"/>
    <w:rsid w:val="00166E4E"/>
    <w:rsid w:val="00166EBD"/>
    <w:rsid w:val="00166EF2"/>
    <w:rsid w:val="00167020"/>
    <w:rsid w:val="001670BA"/>
    <w:rsid w:val="001670D8"/>
    <w:rsid w:val="00167469"/>
    <w:rsid w:val="00167556"/>
    <w:rsid w:val="0016755D"/>
    <w:rsid w:val="00167681"/>
    <w:rsid w:val="00167E32"/>
    <w:rsid w:val="001700D9"/>
    <w:rsid w:val="001702FF"/>
    <w:rsid w:val="00170362"/>
    <w:rsid w:val="001704F4"/>
    <w:rsid w:val="00170532"/>
    <w:rsid w:val="0017059B"/>
    <w:rsid w:val="001705D0"/>
    <w:rsid w:val="0017065C"/>
    <w:rsid w:val="001708BE"/>
    <w:rsid w:val="00170C64"/>
    <w:rsid w:val="00170F2F"/>
    <w:rsid w:val="00171010"/>
    <w:rsid w:val="00171167"/>
    <w:rsid w:val="00171243"/>
    <w:rsid w:val="001716B9"/>
    <w:rsid w:val="0017185C"/>
    <w:rsid w:val="0017198B"/>
    <w:rsid w:val="00171C1B"/>
    <w:rsid w:val="00171C1E"/>
    <w:rsid w:val="00171CBC"/>
    <w:rsid w:val="00171D3E"/>
    <w:rsid w:val="00171EBA"/>
    <w:rsid w:val="00171F5A"/>
    <w:rsid w:val="00172057"/>
    <w:rsid w:val="001721B3"/>
    <w:rsid w:val="00172847"/>
    <w:rsid w:val="001728B2"/>
    <w:rsid w:val="00172A6D"/>
    <w:rsid w:val="00172D02"/>
    <w:rsid w:val="0017322C"/>
    <w:rsid w:val="0017333D"/>
    <w:rsid w:val="0017347E"/>
    <w:rsid w:val="0017373A"/>
    <w:rsid w:val="00173D56"/>
    <w:rsid w:val="0017417A"/>
    <w:rsid w:val="001742F1"/>
    <w:rsid w:val="001743CA"/>
    <w:rsid w:val="001743EA"/>
    <w:rsid w:val="0017453E"/>
    <w:rsid w:val="0017473B"/>
    <w:rsid w:val="001749A9"/>
    <w:rsid w:val="00174D7C"/>
    <w:rsid w:val="00174DEE"/>
    <w:rsid w:val="00175977"/>
    <w:rsid w:val="00175B8E"/>
    <w:rsid w:val="00175C72"/>
    <w:rsid w:val="00175EBC"/>
    <w:rsid w:val="00175F18"/>
    <w:rsid w:val="00175F39"/>
    <w:rsid w:val="0017618A"/>
    <w:rsid w:val="00176297"/>
    <w:rsid w:val="001763EB"/>
    <w:rsid w:val="00176A19"/>
    <w:rsid w:val="00176A69"/>
    <w:rsid w:val="00176CF1"/>
    <w:rsid w:val="0017704B"/>
    <w:rsid w:val="0017741F"/>
    <w:rsid w:val="00177A76"/>
    <w:rsid w:val="00177AAF"/>
    <w:rsid w:val="00177AB3"/>
    <w:rsid w:val="00177D29"/>
    <w:rsid w:val="00177E48"/>
    <w:rsid w:val="00177EDE"/>
    <w:rsid w:val="00180181"/>
    <w:rsid w:val="001801DA"/>
    <w:rsid w:val="0018056E"/>
    <w:rsid w:val="0018061B"/>
    <w:rsid w:val="001806AE"/>
    <w:rsid w:val="00180ECB"/>
    <w:rsid w:val="001811C6"/>
    <w:rsid w:val="00181586"/>
    <w:rsid w:val="001816DD"/>
    <w:rsid w:val="001817F0"/>
    <w:rsid w:val="00181D76"/>
    <w:rsid w:val="00181ED6"/>
    <w:rsid w:val="00181FF6"/>
    <w:rsid w:val="0018250B"/>
    <w:rsid w:val="0018262C"/>
    <w:rsid w:val="0018268B"/>
    <w:rsid w:val="00182DEA"/>
    <w:rsid w:val="00182E7C"/>
    <w:rsid w:val="00182F50"/>
    <w:rsid w:val="0018313E"/>
    <w:rsid w:val="001831ED"/>
    <w:rsid w:val="0018326F"/>
    <w:rsid w:val="001833ED"/>
    <w:rsid w:val="001836C3"/>
    <w:rsid w:val="00183745"/>
    <w:rsid w:val="001837E0"/>
    <w:rsid w:val="00183872"/>
    <w:rsid w:val="00183974"/>
    <w:rsid w:val="001839AF"/>
    <w:rsid w:val="001839B4"/>
    <w:rsid w:val="00183AF4"/>
    <w:rsid w:val="00184174"/>
    <w:rsid w:val="00184398"/>
    <w:rsid w:val="001845C9"/>
    <w:rsid w:val="00184D26"/>
    <w:rsid w:val="0018514F"/>
    <w:rsid w:val="00185248"/>
    <w:rsid w:val="00185476"/>
    <w:rsid w:val="0018554E"/>
    <w:rsid w:val="001855AB"/>
    <w:rsid w:val="00185897"/>
    <w:rsid w:val="0018594A"/>
    <w:rsid w:val="001859CE"/>
    <w:rsid w:val="00185FBD"/>
    <w:rsid w:val="00186285"/>
    <w:rsid w:val="001863E4"/>
    <w:rsid w:val="001868BF"/>
    <w:rsid w:val="00186AF1"/>
    <w:rsid w:val="001870F2"/>
    <w:rsid w:val="0018719A"/>
    <w:rsid w:val="00187271"/>
    <w:rsid w:val="001874A4"/>
    <w:rsid w:val="001877B8"/>
    <w:rsid w:val="0018798B"/>
    <w:rsid w:val="00187E0B"/>
    <w:rsid w:val="00187F0E"/>
    <w:rsid w:val="00187F4E"/>
    <w:rsid w:val="00187F62"/>
    <w:rsid w:val="00190075"/>
    <w:rsid w:val="00190141"/>
    <w:rsid w:val="001906F7"/>
    <w:rsid w:val="00190C8F"/>
    <w:rsid w:val="001913A5"/>
    <w:rsid w:val="00191512"/>
    <w:rsid w:val="00191648"/>
    <w:rsid w:val="0019170D"/>
    <w:rsid w:val="001919A1"/>
    <w:rsid w:val="00191C1F"/>
    <w:rsid w:val="00191C61"/>
    <w:rsid w:val="00192377"/>
    <w:rsid w:val="00192420"/>
    <w:rsid w:val="001926C1"/>
    <w:rsid w:val="00192926"/>
    <w:rsid w:val="00193017"/>
    <w:rsid w:val="0019314B"/>
    <w:rsid w:val="001934CA"/>
    <w:rsid w:val="001934CB"/>
    <w:rsid w:val="00193920"/>
    <w:rsid w:val="00193AAE"/>
    <w:rsid w:val="00193BD1"/>
    <w:rsid w:val="00193E03"/>
    <w:rsid w:val="00193E9D"/>
    <w:rsid w:val="00193FBF"/>
    <w:rsid w:val="00193FFE"/>
    <w:rsid w:val="001941F9"/>
    <w:rsid w:val="001943B9"/>
    <w:rsid w:val="00194475"/>
    <w:rsid w:val="0019450E"/>
    <w:rsid w:val="00194DAB"/>
    <w:rsid w:val="00195157"/>
    <w:rsid w:val="00195267"/>
    <w:rsid w:val="00195284"/>
    <w:rsid w:val="001955AA"/>
    <w:rsid w:val="00195678"/>
    <w:rsid w:val="00195746"/>
    <w:rsid w:val="001958E6"/>
    <w:rsid w:val="00195B56"/>
    <w:rsid w:val="00195BDD"/>
    <w:rsid w:val="00195F53"/>
    <w:rsid w:val="00196032"/>
    <w:rsid w:val="00196405"/>
    <w:rsid w:val="00196603"/>
    <w:rsid w:val="00196608"/>
    <w:rsid w:val="001966A7"/>
    <w:rsid w:val="001967E1"/>
    <w:rsid w:val="00196845"/>
    <w:rsid w:val="00196A16"/>
    <w:rsid w:val="00196A89"/>
    <w:rsid w:val="00196BBB"/>
    <w:rsid w:val="00196F06"/>
    <w:rsid w:val="0019705A"/>
    <w:rsid w:val="00197307"/>
    <w:rsid w:val="00197437"/>
    <w:rsid w:val="0019782A"/>
    <w:rsid w:val="001979DC"/>
    <w:rsid w:val="00197AD8"/>
    <w:rsid w:val="00197B42"/>
    <w:rsid w:val="00197F05"/>
    <w:rsid w:val="00197FC8"/>
    <w:rsid w:val="001A00BD"/>
    <w:rsid w:val="001A04C8"/>
    <w:rsid w:val="001A0AEB"/>
    <w:rsid w:val="001A0C46"/>
    <w:rsid w:val="001A0ECB"/>
    <w:rsid w:val="001A108E"/>
    <w:rsid w:val="001A1218"/>
    <w:rsid w:val="001A12BA"/>
    <w:rsid w:val="001A131C"/>
    <w:rsid w:val="001A136D"/>
    <w:rsid w:val="001A13E2"/>
    <w:rsid w:val="001A17C5"/>
    <w:rsid w:val="001A17D3"/>
    <w:rsid w:val="001A1CE2"/>
    <w:rsid w:val="001A1EF4"/>
    <w:rsid w:val="001A2397"/>
    <w:rsid w:val="001A255B"/>
    <w:rsid w:val="001A2583"/>
    <w:rsid w:val="001A2839"/>
    <w:rsid w:val="001A2BEE"/>
    <w:rsid w:val="001A2C9A"/>
    <w:rsid w:val="001A2EA1"/>
    <w:rsid w:val="001A30E4"/>
    <w:rsid w:val="001A30EC"/>
    <w:rsid w:val="001A31E5"/>
    <w:rsid w:val="001A3B5B"/>
    <w:rsid w:val="001A4121"/>
    <w:rsid w:val="001A4137"/>
    <w:rsid w:val="001A414D"/>
    <w:rsid w:val="001A4336"/>
    <w:rsid w:val="001A4342"/>
    <w:rsid w:val="001A4564"/>
    <w:rsid w:val="001A4572"/>
    <w:rsid w:val="001A4634"/>
    <w:rsid w:val="001A47A7"/>
    <w:rsid w:val="001A4999"/>
    <w:rsid w:val="001A52A8"/>
    <w:rsid w:val="001A5365"/>
    <w:rsid w:val="001A53DA"/>
    <w:rsid w:val="001A56B9"/>
    <w:rsid w:val="001A5B13"/>
    <w:rsid w:val="001A5C6A"/>
    <w:rsid w:val="001A60E8"/>
    <w:rsid w:val="001A6123"/>
    <w:rsid w:val="001A6822"/>
    <w:rsid w:val="001A68F9"/>
    <w:rsid w:val="001A69BF"/>
    <w:rsid w:val="001A702B"/>
    <w:rsid w:val="001A73FC"/>
    <w:rsid w:val="001A750F"/>
    <w:rsid w:val="001A7528"/>
    <w:rsid w:val="001A76FB"/>
    <w:rsid w:val="001A7708"/>
    <w:rsid w:val="001A786E"/>
    <w:rsid w:val="001A7999"/>
    <w:rsid w:val="001A7B2B"/>
    <w:rsid w:val="001A7C83"/>
    <w:rsid w:val="001A7DAA"/>
    <w:rsid w:val="001A7E26"/>
    <w:rsid w:val="001B0078"/>
    <w:rsid w:val="001B0244"/>
    <w:rsid w:val="001B046E"/>
    <w:rsid w:val="001B1019"/>
    <w:rsid w:val="001B105F"/>
    <w:rsid w:val="001B122F"/>
    <w:rsid w:val="001B15DF"/>
    <w:rsid w:val="001B1859"/>
    <w:rsid w:val="001B187B"/>
    <w:rsid w:val="001B191B"/>
    <w:rsid w:val="001B1955"/>
    <w:rsid w:val="001B1AE3"/>
    <w:rsid w:val="001B1B9F"/>
    <w:rsid w:val="001B1BD2"/>
    <w:rsid w:val="001B1D4D"/>
    <w:rsid w:val="001B1E74"/>
    <w:rsid w:val="001B1EF9"/>
    <w:rsid w:val="001B1F9D"/>
    <w:rsid w:val="001B1FCA"/>
    <w:rsid w:val="001B207A"/>
    <w:rsid w:val="001B2606"/>
    <w:rsid w:val="001B26A8"/>
    <w:rsid w:val="001B279F"/>
    <w:rsid w:val="001B290E"/>
    <w:rsid w:val="001B2AC3"/>
    <w:rsid w:val="001B2D49"/>
    <w:rsid w:val="001B2DD1"/>
    <w:rsid w:val="001B2DDB"/>
    <w:rsid w:val="001B2FFA"/>
    <w:rsid w:val="001B301E"/>
    <w:rsid w:val="001B3641"/>
    <w:rsid w:val="001B377A"/>
    <w:rsid w:val="001B37C9"/>
    <w:rsid w:val="001B3DCA"/>
    <w:rsid w:val="001B4078"/>
    <w:rsid w:val="001B45F0"/>
    <w:rsid w:val="001B4773"/>
    <w:rsid w:val="001B4A83"/>
    <w:rsid w:val="001B4AB9"/>
    <w:rsid w:val="001B4E3C"/>
    <w:rsid w:val="001B5169"/>
    <w:rsid w:val="001B52BC"/>
    <w:rsid w:val="001B5352"/>
    <w:rsid w:val="001B53D1"/>
    <w:rsid w:val="001B5653"/>
    <w:rsid w:val="001B5751"/>
    <w:rsid w:val="001B5A77"/>
    <w:rsid w:val="001B5D9A"/>
    <w:rsid w:val="001B60C4"/>
    <w:rsid w:val="001B625C"/>
    <w:rsid w:val="001B6329"/>
    <w:rsid w:val="001B65C3"/>
    <w:rsid w:val="001B665C"/>
    <w:rsid w:val="001B669A"/>
    <w:rsid w:val="001B6932"/>
    <w:rsid w:val="001B6987"/>
    <w:rsid w:val="001B6A9A"/>
    <w:rsid w:val="001B6B87"/>
    <w:rsid w:val="001B6E35"/>
    <w:rsid w:val="001B70E0"/>
    <w:rsid w:val="001B7100"/>
    <w:rsid w:val="001B7221"/>
    <w:rsid w:val="001B72D9"/>
    <w:rsid w:val="001B7461"/>
    <w:rsid w:val="001B75EE"/>
    <w:rsid w:val="001B7CB9"/>
    <w:rsid w:val="001B7D5D"/>
    <w:rsid w:val="001B7F25"/>
    <w:rsid w:val="001C00F2"/>
    <w:rsid w:val="001C0134"/>
    <w:rsid w:val="001C068F"/>
    <w:rsid w:val="001C0694"/>
    <w:rsid w:val="001C08E6"/>
    <w:rsid w:val="001C0953"/>
    <w:rsid w:val="001C0B07"/>
    <w:rsid w:val="001C0D6A"/>
    <w:rsid w:val="001C0DDC"/>
    <w:rsid w:val="001C0E97"/>
    <w:rsid w:val="001C0FFC"/>
    <w:rsid w:val="001C11A4"/>
    <w:rsid w:val="001C121D"/>
    <w:rsid w:val="001C124B"/>
    <w:rsid w:val="001C1416"/>
    <w:rsid w:val="001C149A"/>
    <w:rsid w:val="001C14B5"/>
    <w:rsid w:val="001C15E2"/>
    <w:rsid w:val="001C180C"/>
    <w:rsid w:val="001C185C"/>
    <w:rsid w:val="001C18A4"/>
    <w:rsid w:val="001C1BA1"/>
    <w:rsid w:val="001C1BE4"/>
    <w:rsid w:val="001C1D1A"/>
    <w:rsid w:val="001C28E6"/>
    <w:rsid w:val="001C2B43"/>
    <w:rsid w:val="001C2B45"/>
    <w:rsid w:val="001C2B90"/>
    <w:rsid w:val="001C2EC1"/>
    <w:rsid w:val="001C3013"/>
    <w:rsid w:val="001C357F"/>
    <w:rsid w:val="001C3585"/>
    <w:rsid w:val="001C366C"/>
    <w:rsid w:val="001C37DA"/>
    <w:rsid w:val="001C38E8"/>
    <w:rsid w:val="001C3AEA"/>
    <w:rsid w:val="001C3D6F"/>
    <w:rsid w:val="001C3F47"/>
    <w:rsid w:val="001C3FA1"/>
    <w:rsid w:val="001C419B"/>
    <w:rsid w:val="001C4513"/>
    <w:rsid w:val="001C45C7"/>
    <w:rsid w:val="001C4648"/>
    <w:rsid w:val="001C46C1"/>
    <w:rsid w:val="001C481F"/>
    <w:rsid w:val="001C49FE"/>
    <w:rsid w:val="001C4D28"/>
    <w:rsid w:val="001C4D31"/>
    <w:rsid w:val="001C500E"/>
    <w:rsid w:val="001C5292"/>
    <w:rsid w:val="001C548C"/>
    <w:rsid w:val="001C54EC"/>
    <w:rsid w:val="001C5626"/>
    <w:rsid w:val="001C5939"/>
    <w:rsid w:val="001C5AB9"/>
    <w:rsid w:val="001C5AEB"/>
    <w:rsid w:val="001C5F32"/>
    <w:rsid w:val="001C63F8"/>
    <w:rsid w:val="001C6434"/>
    <w:rsid w:val="001C6489"/>
    <w:rsid w:val="001C6A46"/>
    <w:rsid w:val="001C6A70"/>
    <w:rsid w:val="001C6A8A"/>
    <w:rsid w:val="001C6E92"/>
    <w:rsid w:val="001C736A"/>
    <w:rsid w:val="001C785E"/>
    <w:rsid w:val="001D01A5"/>
    <w:rsid w:val="001D01B0"/>
    <w:rsid w:val="001D04D2"/>
    <w:rsid w:val="001D04ED"/>
    <w:rsid w:val="001D05AD"/>
    <w:rsid w:val="001D065D"/>
    <w:rsid w:val="001D079E"/>
    <w:rsid w:val="001D08AE"/>
    <w:rsid w:val="001D0CC8"/>
    <w:rsid w:val="001D12BA"/>
    <w:rsid w:val="001D12D4"/>
    <w:rsid w:val="001D16D7"/>
    <w:rsid w:val="001D1752"/>
    <w:rsid w:val="001D1A37"/>
    <w:rsid w:val="001D1A3A"/>
    <w:rsid w:val="001D1F28"/>
    <w:rsid w:val="001D251E"/>
    <w:rsid w:val="001D2AD3"/>
    <w:rsid w:val="001D2B45"/>
    <w:rsid w:val="001D2CF8"/>
    <w:rsid w:val="001D2D24"/>
    <w:rsid w:val="001D2D73"/>
    <w:rsid w:val="001D3012"/>
    <w:rsid w:val="001D30C7"/>
    <w:rsid w:val="001D34B3"/>
    <w:rsid w:val="001D34DE"/>
    <w:rsid w:val="001D368E"/>
    <w:rsid w:val="001D36EF"/>
    <w:rsid w:val="001D3D76"/>
    <w:rsid w:val="001D4057"/>
    <w:rsid w:val="001D4725"/>
    <w:rsid w:val="001D4799"/>
    <w:rsid w:val="001D48D5"/>
    <w:rsid w:val="001D4E15"/>
    <w:rsid w:val="001D4EAB"/>
    <w:rsid w:val="001D50D5"/>
    <w:rsid w:val="001D5516"/>
    <w:rsid w:val="001D57AC"/>
    <w:rsid w:val="001D5C45"/>
    <w:rsid w:val="001D602A"/>
    <w:rsid w:val="001D6C43"/>
    <w:rsid w:val="001D6DDD"/>
    <w:rsid w:val="001D7047"/>
    <w:rsid w:val="001D74C1"/>
    <w:rsid w:val="001D7517"/>
    <w:rsid w:val="001D7BE1"/>
    <w:rsid w:val="001D7BE7"/>
    <w:rsid w:val="001D7F7F"/>
    <w:rsid w:val="001E015A"/>
    <w:rsid w:val="001E0355"/>
    <w:rsid w:val="001E0457"/>
    <w:rsid w:val="001E07B3"/>
    <w:rsid w:val="001E097F"/>
    <w:rsid w:val="001E0998"/>
    <w:rsid w:val="001E09E0"/>
    <w:rsid w:val="001E0A87"/>
    <w:rsid w:val="001E0AAE"/>
    <w:rsid w:val="001E0DD5"/>
    <w:rsid w:val="001E1238"/>
    <w:rsid w:val="001E1306"/>
    <w:rsid w:val="001E133E"/>
    <w:rsid w:val="001E149B"/>
    <w:rsid w:val="001E16E5"/>
    <w:rsid w:val="001E19CD"/>
    <w:rsid w:val="001E1B02"/>
    <w:rsid w:val="001E1BC1"/>
    <w:rsid w:val="001E1C74"/>
    <w:rsid w:val="001E1CCD"/>
    <w:rsid w:val="001E1CFE"/>
    <w:rsid w:val="001E1EFE"/>
    <w:rsid w:val="001E2358"/>
    <w:rsid w:val="001E237F"/>
    <w:rsid w:val="001E2C3B"/>
    <w:rsid w:val="001E2C6D"/>
    <w:rsid w:val="001E326A"/>
    <w:rsid w:val="001E32E6"/>
    <w:rsid w:val="001E3395"/>
    <w:rsid w:val="001E345B"/>
    <w:rsid w:val="001E34D7"/>
    <w:rsid w:val="001E3575"/>
    <w:rsid w:val="001E37A9"/>
    <w:rsid w:val="001E37E2"/>
    <w:rsid w:val="001E39B8"/>
    <w:rsid w:val="001E39D3"/>
    <w:rsid w:val="001E3B7E"/>
    <w:rsid w:val="001E4381"/>
    <w:rsid w:val="001E4430"/>
    <w:rsid w:val="001E4B81"/>
    <w:rsid w:val="001E4C18"/>
    <w:rsid w:val="001E4D9C"/>
    <w:rsid w:val="001E4DDF"/>
    <w:rsid w:val="001E5056"/>
    <w:rsid w:val="001E50B7"/>
    <w:rsid w:val="001E51E9"/>
    <w:rsid w:val="001E52CD"/>
    <w:rsid w:val="001E53CD"/>
    <w:rsid w:val="001E53EC"/>
    <w:rsid w:val="001E583A"/>
    <w:rsid w:val="001E58C0"/>
    <w:rsid w:val="001E5D07"/>
    <w:rsid w:val="001E5E85"/>
    <w:rsid w:val="001E5FB5"/>
    <w:rsid w:val="001E627C"/>
    <w:rsid w:val="001E6695"/>
    <w:rsid w:val="001E68D9"/>
    <w:rsid w:val="001E6CAF"/>
    <w:rsid w:val="001E7391"/>
    <w:rsid w:val="001E752B"/>
    <w:rsid w:val="001E75C4"/>
    <w:rsid w:val="001F00BA"/>
    <w:rsid w:val="001F0165"/>
    <w:rsid w:val="001F0671"/>
    <w:rsid w:val="001F0900"/>
    <w:rsid w:val="001F0A05"/>
    <w:rsid w:val="001F0B6A"/>
    <w:rsid w:val="001F0B8C"/>
    <w:rsid w:val="001F0B9B"/>
    <w:rsid w:val="001F0D98"/>
    <w:rsid w:val="001F1759"/>
    <w:rsid w:val="001F1A14"/>
    <w:rsid w:val="001F1A3D"/>
    <w:rsid w:val="001F1C00"/>
    <w:rsid w:val="001F1CA0"/>
    <w:rsid w:val="001F1DC3"/>
    <w:rsid w:val="001F216D"/>
    <w:rsid w:val="001F244A"/>
    <w:rsid w:val="001F270C"/>
    <w:rsid w:val="001F2778"/>
    <w:rsid w:val="001F29DB"/>
    <w:rsid w:val="001F29E4"/>
    <w:rsid w:val="001F29F6"/>
    <w:rsid w:val="001F2D03"/>
    <w:rsid w:val="001F2DE8"/>
    <w:rsid w:val="001F3263"/>
    <w:rsid w:val="001F339E"/>
    <w:rsid w:val="001F3A5F"/>
    <w:rsid w:val="001F3A92"/>
    <w:rsid w:val="001F3BCB"/>
    <w:rsid w:val="001F3C08"/>
    <w:rsid w:val="001F3CE9"/>
    <w:rsid w:val="001F3E37"/>
    <w:rsid w:val="001F3E88"/>
    <w:rsid w:val="001F3F1C"/>
    <w:rsid w:val="001F4057"/>
    <w:rsid w:val="001F4188"/>
    <w:rsid w:val="001F41DF"/>
    <w:rsid w:val="001F4244"/>
    <w:rsid w:val="001F42CC"/>
    <w:rsid w:val="001F4305"/>
    <w:rsid w:val="001F47F9"/>
    <w:rsid w:val="001F4888"/>
    <w:rsid w:val="001F48CC"/>
    <w:rsid w:val="001F48FA"/>
    <w:rsid w:val="001F4A53"/>
    <w:rsid w:val="001F4D15"/>
    <w:rsid w:val="001F4F10"/>
    <w:rsid w:val="001F5034"/>
    <w:rsid w:val="001F5184"/>
    <w:rsid w:val="001F5394"/>
    <w:rsid w:val="001F53EF"/>
    <w:rsid w:val="001F54DE"/>
    <w:rsid w:val="001F57E2"/>
    <w:rsid w:val="001F5F5E"/>
    <w:rsid w:val="001F5FFF"/>
    <w:rsid w:val="001F609E"/>
    <w:rsid w:val="001F6414"/>
    <w:rsid w:val="001F66A7"/>
    <w:rsid w:val="001F6D91"/>
    <w:rsid w:val="001F7026"/>
    <w:rsid w:val="001F7517"/>
    <w:rsid w:val="001F7590"/>
    <w:rsid w:val="001F765E"/>
    <w:rsid w:val="001F7997"/>
    <w:rsid w:val="001F7E2E"/>
    <w:rsid w:val="001F7E61"/>
    <w:rsid w:val="001F7EF9"/>
    <w:rsid w:val="002003F4"/>
    <w:rsid w:val="002005C4"/>
    <w:rsid w:val="002009A6"/>
    <w:rsid w:val="00200D54"/>
    <w:rsid w:val="002011F4"/>
    <w:rsid w:val="002013C3"/>
    <w:rsid w:val="00201733"/>
    <w:rsid w:val="002019E9"/>
    <w:rsid w:val="00201DE3"/>
    <w:rsid w:val="00201F85"/>
    <w:rsid w:val="00201FC0"/>
    <w:rsid w:val="00202294"/>
    <w:rsid w:val="002023CA"/>
    <w:rsid w:val="00202569"/>
    <w:rsid w:val="00202977"/>
    <w:rsid w:val="00202EB7"/>
    <w:rsid w:val="002031B7"/>
    <w:rsid w:val="00203551"/>
    <w:rsid w:val="00203640"/>
    <w:rsid w:val="00203A33"/>
    <w:rsid w:val="00203AD5"/>
    <w:rsid w:val="00203AD7"/>
    <w:rsid w:val="00203B0B"/>
    <w:rsid w:val="00203EBA"/>
    <w:rsid w:val="00204053"/>
    <w:rsid w:val="0020408E"/>
    <w:rsid w:val="00204228"/>
    <w:rsid w:val="002042E1"/>
    <w:rsid w:val="0020455A"/>
    <w:rsid w:val="0020467F"/>
    <w:rsid w:val="00204B47"/>
    <w:rsid w:val="00204C1C"/>
    <w:rsid w:val="00204C2D"/>
    <w:rsid w:val="00204CF7"/>
    <w:rsid w:val="00204D1B"/>
    <w:rsid w:val="002055E2"/>
    <w:rsid w:val="0020582D"/>
    <w:rsid w:val="00205953"/>
    <w:rsid w:val="00205A9D"/>
    <w:rsid w:val="002063A4"/>
    <w:rsid w:val="0020697D"/>
    <w:rsid w:val="0020698B"/>
    <w:rsid w:val="00206B34"/>
    <w:rsid w:val="00206EB4"/>
    <w:rsid w:val="00206F2D"/>
    <w:rsid w:val="002072F3"/>
    <w:rsid w:val="002073D9"/>
    <w:rsid w:val="0020742D"/>
    <w:rsid w:val="00207AB8"/>
    <w:rsid w:val="00207C5C"/>
    <w:rsid w:val="0021028D"/>
    <w:rsid w:val="00210A1D"/>
    <w:rsid w:val="00210A2F"/>
    <w:rsid w:val="00210DD4"/>
    <w:rsid w:val="00211232"/>
    <w:rsid w:val="00211527"/>
    <w:rsid w:val="002115FA"/>
    <w:rsid w:val="00211A3B"/>
    <w:rsid w:val="00211FD5"/>
    <w:rsid w:val="00212357"/>
    <w:rsid w:val="002124AC"/>
    <w:rsid w:val="00212880"/>
    <w:rsid w:val="002128A9"/>
    <w:rsid w:val="00212DED"/>
    <w:rsid w:val="00212DF8"/>
    <w:rsid w:val="00212E67"/>
    <w:rsid w:val="00212F25"/>
    <w:rsid w:val="00212F27"/>
    <w:rsid w:val="00213092"/>
    <w:rsid w:val="0021319C"/>
    <w:rsid w:val="00213371"/>
    <w:rsid w:val="00213494"/>
    <w:rsid w:val="00213498"/>
    <w:rsid w:val="00213630"/>
    <w:rsid w:val="00213A41"/>
    <w:rsid w:val="00213E27"/>
    <w:rsid w:val="00213F88"/>
    <w:rsid w:val="0021401A"/>
    <w:rsid w:val="0021411B"/>
    <w:rsid w:val="00214199"/>
    <w:rsid w:val="00214221"/>
    <w:rsid w:val="00214347"/>
    <w:rsid w:val="0021435B"/>
    <w:rsid w:val="002143E2"/>
    <w:rsid w:val="0021493B"/>
    <w:rsid w:val="00214C04"/>
    <w:rsid w:val="002152D8"/>
    <w:rsid w:val="00215339"/>
    <w:rsid w:val="002154BA"/>
    <w:rsid w:val="00215627"/>
    <w:rsid w:val="002157E7"/>
    <w:rsid w:val="00215B97"/>
    <w:rsid w:val="00215CC4"/>
    <w:rsid w:val="00216003"/>
    <w:rsid w:val="00216105"/>
    <w:rsid w:val="002167F8"/>
    <w:rsid w:val="002168A7"/>
    <w:rsid w:val="002169C6"/>
    <w:rsid w:val="002171AE"/>
    <w:rsid w:val="00217441"/>
    <w:rsid w:val="0021752C"/>
    <w:rsid w:val="00217693"/>
    <w:rsid w:val="00217817"/>
    <w:rsid w:val="002178CA"/>
    <w:rsid w:val="00217C35"/>
    <w:rsid w:val="00217EF6"/>
    <w:rsid w:val="002201B7"/>
    <w:rsid w:val="0022053A"/>
    <w:rsid w:val="002206D4"/>
    <w:rsid w:val="0022086E"/>
    <w:rsid w:val="002209CF"/>
    <w:rsid w:val="00220BCF"/>
    <w:rsid w:val="00220FD6"/>
    <w:rsid w:val="00220FF6"/>
    <w:rsid w:val="002216E1"/>
    <w:rsid w:val="00221FB6"/>
    <w:rsid w:val="0022201A"/>
    <w:rsid w:val="002221EE"/>
    <w:rsid w:val="0022252C"/>
    <w:rsid w:val="0022286F"/>
    <w:rsid w:val="002228F2"/>
    <w:rsid w:val="002228F5"/>
    <w:rsid w:val="002229F8"/>
    <w:rsid w:val="00222F00"/>
    <w:rsid w:val="00222F9C"/>
    <w:rsid w:val="00222F9F"/>
    <w:rsid w:val="00223013"/>
    <w:rsid w:val="0022305E"/>
    <w:rsid w:val="0022309D"/>
    <w:rsid w:val="0022341B"/>
    <w:rsid w:val="00223770"/>
    <w:rsid w:val="002237A9"/>
    <w:rsid w:val="00223923"/>
    <w:rsid w:val="00223B81"/>
    <w:rsid w:val="00224074"/>
    <w:rsid w:val="0022449C"/>
    <w:rsid w:val="002244E4"/>
    <w:rsid w:val="002244F5"/>
    <w:rsid w:val="0022459B"/>
    <w:rsid w:val="0022478E"/>
    <w:rsid w:val="0022479B"/>
    <w:rsid w:val="0022488A"/>
    <w:rsid w:val="00225B44"/>
    <w:rsid w:val="00225E3F"/>
    <w:rsid w:val="00225F2D"/>
    <w:rsid w:val="00226BF0"/>
    <w:rsid w:val="00226C08"/>
    <w:rsid w:val="002270BF"/>
    <w:rsid w:val="00227171"/>
    <w:rsid w:val="002271B9"/>
    <w:rsid w:val="002271E0"/>
    <w:rsid w:val="00227298"/>
    <w:rsid w:val="0022757D"/>
    <w:rsid w:val="00227AC2"/>
    <w:rsid w:val="00227FD8"/>
    <w:rsid w:val="0023067E"/>
    <w:rsid w:val="002306D2"/>
    <w:rsid w:val="00230781"/>
    <w:rsid w:val="002309B8"/>
    <w:rsid w:val="00230E53"/>
    <w:rsid w:val="00231300"/>
    <w:rsid w:val="00231550"/>
    <w:rsid w:val="0023176E"/>
    <w:rsid w:val="00231945"/>
    <w:rsid w:val="00232353"/>
    <w:rsid w:val="002323DC"/>
    <w:rsid w:val="00232584"/>
    <w:rsid w:val="00232599"/>
    <w:rsid w:val="002331F5"/>
    <w:rsid w:val="002336FF"/>
    <w:rsid w:val="00233B81"/>
    <w:rsid w:val="002340BD"/>
    <w:rsid w:val="00234471"/>
    <w:rsid w:val="0023448C"/>
    <w:rsid w:val="00234609"/>
    <w:rsid w:val="002346F7"/>
    <w:rsid w:val="00234708"/>
    <w:rsid w:val="00234BC1"/>
    <w:rsid w:val="00234C53"/>
    <w:rsid w:val="00234E1E"/>
    <w:rsid w:val="0023553C"/>
    <w:rsid w:val="00235DAB"/>
    <w:rsid w:val="00235F08"/>
    <w:rsid w:val="00235FE5"/>
    <w:rsid w:val="00236077"/>
    <w:rsid w:val="00236090"/>
    <w:rsid w:val="00236162"/>
    <w:rsid w:val="00236190"/>
    <w:rsid w:val="00236314"/>
    <w:rsid w:val="002366E3"/>
    <w:rsid w:val="00236A7B"/>
    <w:rsid w:val="00236AF3"/>
    <w:rsid w:val="00236D44"/>
    <w:rsid w:val="00236F76"/>
    <w:rsid w:val="00237288"/>
    <w:rsid w:val="00237334"/>
    <w:rsid w:val="00237368"/>
    <w:rsid w:val="00237C44"/>
    <w:rsid w:val="00237EDB"/>
    <w:rsid w:val="00240165"/>
    <w:rsid w:val="00240466"/>
    <w:rsid w:val="00240552"/>
    <w:rsid w:val="00240601"/>
    <w:rsid w:val="0024080A"/>
    <w:rsid w:val="00240A64"/>
    <w:rsid w:val="002410A3"/>
    <w:rsid w:val="0024123A"/>
    <w:rsid w:val="00241259"/>
    <w:rsid w:val="002412B3"/>
    <w:rsid w:val="0024134B"/>
    <w:rsid w:val="002414C4"/>
    <w:rsid w:val="00241706"/>
    <w:rsid w:val="002417D3"/>
    <w:rsid w:val="00241916"/>
    <w:rsid w:val="002419C3"/>
    <w:rsid w:val="0024221E"/>
    <w:rsid w:val="002422F7"/>
    <w:rsid w:val="002425C6"/>
    <w:rsid w:val="00242A43"/>
    <w:rsid w:val="00242CC8"/>
    <w:rsid w:val="00242CFC"/>
    <w:rsid w:val="00242D21"/>
    <w:rsid w:val="0024397B"/>
    <w:rsid w:val="0024399D"/>
    <w:rsid w:val="00243A31"/>
    <w:rsid w:val="00243A89"/>
    <w:rsid w:val="00243C59"/>
    <w:rsid w:val="00243D7C"/>
    <w:rsid w:val="002449F7"/>
    <w:rsid w:val="00244A8D"/>
    <w:rsid w:val="00244C3A"/>
    <w:rsid w:val="002450CA"/>
    <w:rsid w:val="002451E0"/>
    <w:rsid w:val="0024576F"/>
    <w:rsid w:val="00245C14"/>
    <w:rsid w:val="00245E6D"/>
    <w:rsid w:val="00245F26"/>
    <w:rsid w:val="002461CF"/>
    <w:rsid w:val="00246293"/>
    <w:rsid w:val="002464BE"/>
    <w:rsid w:val="0024656A"/>
    <w:rsid w:val="002468D4"/>
    <w:rsid w:val="00246D0B"/>
    <w:rsid w:val="00246D42"/>
    <w:rsid w:val="00246E28"/>
    <w:rsid w:val="00246EB3"/>
    <w:rsid w:val="00246F6D"/>
    <w:rsid w:val="00247343"/>
    <w:rsid w:val="0024759A"/>
    <w:rsid w:val="00247660"/>
    <w:rsid w:val="00247688"/>
    <w:rsid w:val="00247922"/>
    <w:rsid w:val="002479F1"/>
    <w:rsid w:val="00247F15"/>
    <w:rsid w:val="00247F4B"/>
    <w:rsid w:val="00250058"/>
    <w:rsid w:val="00250482"/>
    <w:rsid w:val="00250888"/>
    <w:rsid w:val="00250C86"/>
    <w:rsid w:val="00250CD7"/>
    <w:rsid w:val="00250EAD"/>
    <w:rsid w:val="00251201"/>
    <w:rsid w:val="0025133A"/>
    <w:rsid w:val="002513B4"/>
    <w:rsid w:val="0025146A"/>
    <w:rsid w:val="0025147E"/>
    <w:rsid w:val="0025150A"/>
    <w:rsid w:val="002515CB"/>
    <w:rsid w:val="0025180B"/>
    <w:rsid w:val="002518C3"/>
    <w:rsid w:val="00251912"/>
    <w:rsid w:val="0025192D"/>
    <w:rsid w:val="002519C0"/>
    <w:rsid w:val="00251E32"/>
    <w:rsid w:val="00251F35"/>
    <w:rsid w:val="00251FEF"/>
    <w:rsid w:val="00252540"/>
    <w:rsid w:val="0025276E"/>
    <w:rsid w:val="002529E7"/>
    <w:rsid w:val="00252D6C"/>
    <w:rsid w:val="0025325A"/>
    <w:rsid w:val="0025345A"/>
    <w:rsid w:val="002537BC"/>
    <w:rsid w:val="00253B8A"/>
    <w:rsid w:val="00253ED0"/>
    <w:rsid w:val="00254246"/>
    <w:rsid w:val="0025453D"/>
    <w:rsid w:val="0025455F"/>
    <w:rsid w:val="00254B7B"/>
    <w:rsid w:val="00254BB6"/>
    <w:rsid w:val="00254BC6"/>
    <w:rsid w:val="00254CF4"/>
    <w:rsid w:val="002550C1"/>
    <w:rsid w:val="0025529F"/>
    <w:rsid w:val="002552B7"/>
    <w:rsid w:val="002555C4"/>
    <w:rsid w:val="002556A0"/>
    <w:rsid w:val="002556BE"/>
    <w:rsid w:val="002556D5"/>
    <w:rsid w:val="002558BD"/>
    <w:rsid w:val="00255ADC"/>
    <w:rsid w:val="00255CB2"/>
    <w:rsid w:val="00255E85"/>
    <w:rsid w:val="00255F0C"/>
    <w:rsid w:val="00255F72"/>
    <w:rsid w:val="00256345"/>
    <w:rsid w:val="00256358"/>
    <w:rsid w:val="002565B3"/>
    <w:rsid w:val="00256612"/>
    <w:rsid w:val="00256677"/>
    <w:rsid w:val="00256974"/>
    <w:rsid w:val="00256C05"/>
    <w:rsid w:val="00256E56"/>
    <w:rsid w:val="002573A3"/>
    <w:rsid w:val="00257429"/>
    <w:rsid w:val="002576D1"/>
    <w:rsid w:val="00257863"/>
    <w:rsid w:val="00257CF7"/>
    <w:rsid w:val="00257DBD"/>
    <w:rsid w:val="00257DCA"/>
    <w:rsid w:val="00257F56"/>
    <w:rsid w:val="002604EC"/>
    <w:rsid w:val="00260563"/>
    <w:rsid w:val="002608CD"/>
    <w:rsid w:val="002608F4"/>
    <w:rsid w:val="00260A97"/>
    <w:rsid w:val="00260CD4"/>
    <w:rsid w:val="00260D24"/>
    <w:rsid w:val="0026117F"/>
    <w:rsid w:val="002611B9"/>
    <w:rsid w:val="0026156F"/>
    <w:rsid w:val="002617E3"/>
    <w:rsid w:val="00261822"/>
    <w:rsid w:val="002619B0"/>
    <w:rsid w:val="002619BB"/>
    <w:rsid w:val="00261ADE"/>
    <w:rsid w:val="00261C52"/>
    <w:rsid w:val="00261F43"/>
    <w:rsid w:val="00261FB0"/>
    <w:rsid w:val="002620BD"/>
    <w:rsid w:val="002622FF"/>
    <w:rsid w:val="002624BE"/>
    <w:rsid w:val="002627CD"/>
    <w:rsid w:val="0026283F"/>
    <w:rsid w:val="00262A7D"/>
    <w:rsid w:val="00262AEC"/>
    <w:rsid w:val="00262B45"/>
    <w:rsid w:val="00262D73"/>
    <w:rsid w:val="00262F02"/>
    <w:rsid w:val="002630B1"/>
    <w:rsid w:val="002636C9"/>
    <w:rsid w:val="00263AE1"/>
    <w:rsid w:val="00263C28"/>
    <w:rsid w:val="00263CA8"/>
    <w:rsid w:val="002640D6"/>
    <w:rsid w:val="002643E8"/>
    <w:rsid w:val="00264605"/>
    <w:rsid w:val="00264691"/>
    <w:rsid w:val="002647D0"/>
    <w:rsid w:val="0026498F"/>
    <w:rsid w:val="00265246"/>
    <w:rsid w:val="0026565B"/>
    <w:rsid w:val="002656C3"/>
    <w:rsid w:val="002659D2"/>
    <w:rsid w:val="00265A71"/>
    <w:rsid w:val="00266016"/>
    <w:rsid w:val="00266274"/>
    <w:rsid w:val="002662E4"/>
    <w:rsid w:val="00266629"/>
    <w:rsid w:val="00266686"/>
    <w:rsid w:val="002667A2"/>
    <w:rsid w:val="00266A1A"/>
    <w:rsid w:val="0026715E"/>
    <w:rsid w:val="00267161"/>
    <w:rsid w:val="0026761E"/>
    <w:rsid w:val="0026775D"/>
    <w:rsid w:val="002679A4"/>
    <w:rsid w:val="00267B23"/>
    <w:rsid w:val="00267BF4"/>
    <w:rsid w:val="00267D0B"/>
    <w:rsid w:val="00267DB2"/>
    <w:rsid w:val="00267F0B"/>
    <w:rsid w:val="00270337"/>
    <w:rsid w:val="0027056C"/>
    <w:rsid w:val="002706AB"/>
    <w:rsid w:val="00270B2B"/>
    <w:rsid w:val="00270FC6"/>
    <w:rsid w:val="00271187"/>
    <w:rsid w:val="002711EF"/>
    <w:rsid w:val="002712DD"/>
    <w:rsid w:val="00271500"/>
    <w:rsid w:val="0027156F"/>
    <w:rsid w:val="00271819"/>
    <w:rsid w:val="00271848"/>
    <w:rsid w:val="00271C8F"/>
    <w:rsid w:val="00271E92"/>
    <w:rsid w:val="0027229C"/>
    <w:rsid w:val="00272374"/>
    <w:rsid w:val="002724C8"/>
    <w:rsid w:val="002725D2"/>
    <w:rsid w:val="00272B2B"/>
    <w:rsid w:val="00272D37"/>
    <w:rsid w:val="00272EBC"/>
    <w:rsid w:val="00272ED9"/>
    <w:rsid w:val="0027320E"/>
    <w:rsid w:val="002732EF"/>
    <w:rsid w:val="0027360E"/>
    <w:rsid w:val="0027388B"/>
    <w:rsid w:val="002740A0"/>
    <w:rsid w:val="00274177"/>
    <w:rsid w:val="002741DE"/>
    <w:rsid w:val="002742DD"/>
    <w:rsid w:val="002743ED"/>
    <w:rsid w:val="00274AF3"/>
    <w:rsid w:val="00274DC5"/>
    <w:rsid w:val="002752EA"/>
    <w:rsid w:val="00275458"/>
    <w:rsid w:val="0027547F"/>
    <w:rsid w:val="00275643"/>
    <w:rsid w:val="002757D6"/>
    <w:rsid w:val="002759DD"/>
    <w:rsid w:val="00275E07"/>
    <w:rsid w:val="00276099"/>
    <w:rsid w:val="00276584"/>
    <w:rsid w:val="002768F7"/>
    <w:rsid w:val="00276C05"/>
    <w:rsid w:val="00276E33"/>
    <w:rsid w:val="00276F14"/>
    <w:rsid w:val="00276F6F"/>
    <w:rsid w:val="00276F84"/>
    <w:rsid w:val="00277697"/>
    <w:rsid w:val="00277826"/>
    <w:rsid w:val="00277ED0"/>
    <w:rsid w:val="00280014"/>
    <w:rsid w:val="002801EF"/>
    <w:rsid w:val="00280204"/>
    <w:rsid w:val="00280385"/>
    <w:rsid w:val="00280811"/>
    <w:rsid w:val="00280BF0"/>
    <w:rsid w:val="00280F8B"/>
    <w:rsid w:val="0028101B"/>
    <w:rsid w:val="002812BD"/>
    <w:rsid w:val="00281374"/>
    <w:rsid w:val="00281478"/>
    <w:rsid w:val="002814BA"/>
    <w:rsid w:val="00281B3B"/>
    <w:rsid w:val="00281BC3"/>
    <w:rsid w:val="00281C1C"/>
    <w:rsid w:val="00282513"/>
    <w:rsid w:val="00282521"/>
    <w:rsid w:val="0028279A"/>
    <w:rsid w:val="002827BA"/>
    <w:rsid w:val="0028290F"/>
    <w:rsid w:val="0028293A"/>
    <w:rsid w:val="00282DD7"/>
    <w:rsid w:val="00282EA2"/>
    <w:rsid w:val="00282FCB"/>
    <w:rsid w:val="0028302C"/>
    <w:rsid w:val="00283473"/>
    <w:rsid w:val="002834DD"/>
    <w:rsid w:val="00283551"/>
    <w:rsid w:val="0028364A"/>
    <w:rsid w:val="0028372F"/>
    <w:rsid w:val="002838C1"/>
    <w:rsid w:val="00283A13"/>
    <w:rsid w:val="00283D47"/>
    <w:rsid w:val="00283D80"/>
    <w:rsid w:val="00283E10"/>
    <w:rsid w:val="00283E57"/>
    <w:rsid w:val="00283FD8"/>
    <w:rsid w:val="002842A8"/>
    <w:rsid w:val="00284349"/>
    <w:rsid w:val="002844F0"/>
    <w:rsid w:val="00284A2D"/>
    <w:rsid w:val="00284D6B"/>
    <w:rsid w:val="002851C4"/>
    <w:rsid w:val="0028537B"/>
    <w:rsid w:val="0028539B"/>
    <w:rsid w:val="00285432"/>
    <w:rsid w:val="00285A82"/>
    <w:rsid w:val="00285B7A"/>
    <w:rsid w:val="00285C04"/>
    <w:rsid w:val="00285F69"/>
    <w:rsid w:val="00286105"/>
    <w:rsid w:val="0028674C"/>
    <w:rsid w:val="00286A0C"/>
    <w:rsid w:val="00286BD0"/>
    <w:rsid w:val="00286C23"/>
    <w:rsid w:val="00287290"/>
    <w:rsid w:val="002873EB"/>
    <w:rsid w:val="0028747F"/>
    <w:rsid w:val="002874F3"/>
    <w:rsid w:val="002879C6"/>
    <w:rsid w:val="002901EF"/>
    <w:rsid w:val="0029030D"/>
    <w:rsid w:val="002903BC"/>
    <w:rsid w:val="002903EA"/>
    <w:rsid w:val="00290652"/>
    <w:rsid w:val="00290810"/>
    <w:rsid w:val="002908F2"/>
    <w:rsid w:val="00290DF6"/>
    <w:rsid w:val="002910E7"/>
    <w:rsid w:val="0029117A"/>
    <w:rsid w:val="002911A4"/>
    <w:rsid w:val="002911F3"/>
    <w:rsid w:val="002913CA"/>
    <w:rsid w:val="00291995"/>
    <w:rsid w:val="00291B4A"/>
    <w:rsid w:val="00291B73"/>
    <w:rsid w:val="00291BDF"/>
    <w:rsid w:val="00291C33"/>
    <w:rsid w:val="00291D23"/>
    <w:rsid w:val="00291D96"/>
    <w:rsid w:val="00291E4C"/>
    <w:rsid w:val="00291F29"/>
    <w:rsid w:val="00291FB2"/>
    <w:rsid w:val="00292670"/>
    <w:rsid w:val="0029268A"/>
    <w:rsid w:val="00292811"/>
    <w:rsid w:val="00292B63"/>
    <w:rsid w:val="00292D00"/>
    <w:rsid w:val="002930A9"/>
    <w:rsid w:val="00293541"/>
    <w:rsid w:val="00293604"/>
    <w:rsid w:val="00293924"/>
    <w:rsid w:val="00294166"/>
    <w:rsid w:val="002945A1"/>
    <w:rsid w:val="0029489B"/>
    <w:rsid w:val="00295043"/>
    <w:rsid w:val="0029517C"/>
    <w:rsid w:val="002951FC"/>
    <w:rsid w:val="0029537C"/>
    <w:rsid w:val="00295428"/>
    <w:rsid w:val="0029543A"/>
    <w:rsid w:val="0029552E"/>
    <w:rsid w:val="0029599F"/>
    <w:rsid w:val="00295C39"/>
    <w:rsid w:val="00295EBE"/>
    <w:rsid w:val="00296517"/>
    <w:rsid w:val="002969DD"/>
    <w:rsid w:val="00296C16"/>
    <w:rsid w:val="0029702A"/>
    <w:rsid w:val="002970A4"/>
    <w:rsid w:val="00297676"/>
    <w:rsid w:val="002977F8"/>
    <w:rsid w:val="00297B8D"/>
    <w:rsid w:val="00297D92"/>
    <w:rsid w:val="002A01F7"/>
    <w:rsid w:val="002A039D"/>
    <w:rsid w:val="002A044C"/>
    <w:rsid w:val="002A04D3"/>
    <w:rsid w:val="002A053A"/>
    <w:rsid w:val="002A066D"/>
    <w:rsid w:val="002A0FF2"/>
    <w:rsid w:val="002A1163"/>
    <w:rsid w:val="002A1171"/>
    <w:rsid w:val="002A16BD"/>
    <w:rsid w:val="002A1AF2"/>
    <w:rsid w:val="002A1C2F"/>
    <w:rsid w:val="002A1CF8"/>
    <w:rsid w:val="002A1D49"/>
    <w:rsid w:val="002A2469"/>
    <w:rsid w:val="002A2814"/>
    <w:rsid w:val="002A2A47"/>
    <w:rsid w:val="002A2E70"/>
    <w:rsid w:val="002A2EA7"/>
    <w:rsid w:val="002A2F56"/>
    <w:rsid w:val="002A34D0"/>
    <w:rsid w:val="002A35D5"/>
    <w:rsid w:val="002A3636"/>
    <w:rsid w:val="002A379E"/>
    <w:rsid w:val="002A3AC4"/>
    <w:rsid w:val="002A3E34"/>
    <w:rsid w:val="002A42B6"/>
    <w:rsid w:val="002A4385"/>
    <w:rsid w:val="002A4399"/>
    <w:rsid w:val="002A43E3"/>
    <w:rsid w:val="002A468B"/>
    <w:rsid w:val="002A4901"/>
    <w:rsid w:val="002A499E"/>
    <w:rsid w:val="002A49CE"/>
    <w:rsid w:val="002A4C2B"/>
    <w:rsid w:val="002A4D34"/>
    <w:rsid w:val="002A5158"/>
    <w:rsid w:val="002A5228"/>
    <w:rsid w:val="002A529A"/>
    <w:rsid w:val="002A530F"/>
    <w:rsid w:val="002A5345"/>
    <w:rsid w:val="002A55E3"/>
    <w:rsid w:val="002A5965"/>
    <w:rsid w:val="002A59AE"/>
    <w:rsid w:val="002A5A4C"/>
    <w:rsid w:val="002A5BD4"/>
    <w:rsid w:val="002A636B"/>
    <w:rsid w:val="002A6472"/>
    <w:rsid w:val="002A6856"/>
    <w:rsid w:val="002A6A7C"/>
    <w:rsid w:val="002A6BF3"/>
    <w:rsid w:val="002A6E05"/>
    <w:rsid w:val="002A7001"/>
    <w:rsid w:val="002A7219"/>
    <w:rsid w:val="002A7780"/>
    <w:rsid w:val="002A7CBA"/>
    <w:rsid w:val="002A7CF9"/>
    <w:rsid w:val="002A7D5C"/>
    <w:rsid w:val="002A7FCC"/>
    <w:rsid w:val="002B005E"/>
    <w:rsid w:val="002B032E"/>
    <w:rsid w:val="002B03A0"/>
    <w:rsid w:val="002B03FA"/>
    <w:rsid w:val="002B05FD"/>
    <w:rsid w:val="002B0623"/>
    <w:rsid w:val="002B068D"/>
    <w:rsid w:val="002B0846"/>
    <w:rsid w:val="002B0A50"/>
    <w:rsid w:val="002B132F"/>
    <w:rsid w:val="002B1A27"/>
    <w:rsid w:val="002B1B58"/>
    <w:rsid w:val="002B1C28"/>
    <w:rsid w:val="002B1EDF"/>
    <w:rsid w:val="002B1EFF"/>
    <w:rsid w:val="002B1FAA"/>
    <w:rsid w:val="002B209B"/>
    <w:rsid w:val="002B2163"/>
    <w:rsid w:val="002B2183"/>
    <w:rsid w:val="002B21C2"/>
    <w:rsid w:val="002B23DD"/>
    <w:rsid w:val="002B2608"/>
    <w:rsid w:val="002B26F2"/>
    <w:rsid w:val="002B29EF"/>
    <w:rsid w:val="002B2B95"/>
    <w:rsid w:val="002B2BD4"/>
    <w:rsid w:val="002B2CF8"/>
    <w:rsid w:val="002B2F87"/>
    <w:rsid w:val="002B30B7"/>
    <w:rsid w:val="002B37BD"/>
    <w:rsid w:val="002B37C9"/>
    <w:rsid w:val="002B38BE"/>
    <w:rsid w:val="002B38F0"/>
    <w:rsid w:val="002B3B3E"/>
    <w:rsid w:val="002B3BD1"/>
    <w:rsid w:val="002B3F57"/>
    <w:rsid w:val="002B412B"/>
    <w:rsid w:val="002B42B4"/>
    <w:rsid w:val="002B4AE8"/>
    <w:rsid w:val="002B4D28"/>
    <w:rsid w:val="002B4E79"/>
    <w:rsid w:val="002B4EC7"/>
    <w:rsid w:val="002B4EE4"/>
    <w:rsid w:val="002B4FC7"/>
    <w:rsid w:val="002B5212"/>
    <w:rsid w:val="002B531D"/>
    <w:rsid w:val="002B5698"/>
    <w:rsid w:val="002B5727"/>
    <w:rsid w:val="002B57A0"/>
    <w:rsid w:val="002B6023"/>
    <w:rsid w:val="002B607E"/>
    <w:rsid w:val="002B6381"/>
    <w:rsid w:val="002B6521"/>
    <w:rsid w:val="002B66D4"/>
    <w:rsid w:val="002B68D4"/>
    <w:rsid w:val="002B6CCB"/>
    <w:rsid w:val="002B6EE4"/>
    <w:rsid w:val="002B6F70"/>
    <w:rsid w:val="002B7535"/>
    <w:rsid w:val="002B7614"/>
    <w:rsid w:val="002B7807"/>
    <w:rsid w:val="002B798E"/>
    <w:rsid w:val="002B79E0"/>
    <w:rsid w:val="002B7CE9"/>
    <w:rsid w:val="002B7D23"/>
    <w:rsid w:val="002B7D82"/>
    <w:rsid w:val="002B7FC9"/>
    <w:rsid w:val="002B7FCA"/>
    <w:rsid w:val="002C0279"/>
    <w:rsid w:val="002C0306"/>
    <w:rsid w:val="002C0569"/>
    <w:rsid w:val="002C078A"/>
    <w:rsid w:val="002C095F"/>
    <w:rsid w:val="002C09FE"/>
    <w:rsid w:val="002C0A56"/>
    <w:rsid w:val="002C0A5C"/>
    <w:rsid w:val="002C0E85"/>
    <w:rsid w:val="002C0EA0"/>
    <w:rsid w:val="002C0F36"/>
    <w:rsid w:val="002C1008"/>
    <w:rsid w:val="002C11E3"/>
    <w:rsid w:val="002C177C"/>
    <w:rsid w:val="002C1818"/>
    <w:rsid w:val="002C199F"/>
    <w:rsid w:val="002C20A3"/>
    <w:rsid w:val="002C2295"/>
    <w:rsid w:val="002C2391"/>
    <w:rsid w:val="002C23C2"/>
    <w:rsid w:val="002C2666"/>
    <w:rsid w:val="002C2727"/>
    <w:rsid w:val="002C2864"/>
    <w:rsid w:val="002C2D0B"/>
    <w:rsid w:val="002C2D13"/>
    <w:rsid w:val="002C2D84"/>
    <w:rsid w:val="002C31CB"/>
    <w:rsid w:val="002C328E"/>
    <w:rsid w:val="002C32F2"/>
    <w:rsid w:val="002C34A0"/>
    <w:rsid w:val="002C34F0"/>
    <w:rsid w:val="002C351F"/>
    <w:rsid w:val="002C3703"/>
    <w:rsid w:val="002C38CB"/>
    <w:rsid w:val="002C3A14"/>
    <w:rsid w:val="002C3EA3"/>
    <w:rsid w:val="002C3F3B"/>
    <w:rsid w:val="002C4006"/>
    <w:rsid w:val="002C4050"/>
    <w:rsid w:val="002C448C"/>
    <w:rsid w:val="002C4671"/>
    <w:rsid w:val="002C4890"/>
    <w:rsid w:val="002C4EA4"/>
    <w:rsid w:val="002C4FCF"/>
    <w:rsid w:val="002C5193"/>
    <w:rsid w:val="002C52F5"/>
    <w:rsid w:val="002C539A"/>
    <w:rsid w:val="002C5700"/>
    <w:rsid w:val="002C588E"/>
    <w:rsid w:val="002C58BB"/>
    <w:rsid w:val="002C58BD"/>
    <w:rsid w:val="002C5E08"/>
    <w:rsid w:val="002C5FC9"/>
    <w:rsid w:val="002C6184"/>
    <w:rsid w:val="002C61F8"/>
    <w:rsid w:val="002C6275"/>
    <w:rsid w:val="002C63F5"/>
    <w:rsid w:val="002C6448"/>
    <w:rsid w:val="002C6487"/>
    <w:rsid w:val="002C6982"/>
    <w:rsid w:val="002C6B05"/>
    <w:rsid w:val="002C6FBB"/>
    <w:rsid w:val="002C71FF"/>
    <w:rsid w:val="002C75C8"/>
    <w:rsid w:val="002C75EB"/>
    <w:rsid w:val="002C76BF"/>
    <w:rsid w:val="002C7702"/>
    <w:rsid w:val="002C7730"/>
    <w:rsid w:val="002C792B"/>
    <w:rsid w:val="002C7BBC"/>
    <w:rsid w:val="002C7E8C"/>
    <w:rsid w:val="002C7FB9"/>
    <w:rsid w:val="002C7FD6"/>
    <w:rsid w:val="002D034A"/>
    <w:rsid w:val="002D0385"/>
    <w:rsid w:val="002D05D0"/>
    <w:rsid w:val="002D0688"/>
    <w:rsid w:val="002D08EE"/>
    <w:rsid w:val="002D0B8A"/>
    <w:rsid w:val="002D0E43"/>
    <w:rsid w:val="002D1073"/>
    <w:rsid w:val="002D11AC"/>
    <w:rsid w:val="002D1734"/>
    <w:rsid w:val="002D1831"/>
    <w:rsid w:val="002D1B88"/>
    <w:rsid w:val="002D1F7E"/>
    <w:rsid w:val="002D1FDB"/>
    <w:rsid w:val="002D20B8"/>
    <w:rsid w:val="002D217C"/>
    <w:rsid w:val="002D22B2"/>
    <w:rsid w:val="002D22E3"/>
    <w:rsid w:val="002D2402"/>
    <w:rsid w:val="002D2552"/>
    <w:rsid w:val="002D25BA"/>
    <w:rsid w:val="002D2765"/>
    <w:rsid w:val="002D2BF7"/>
    <w:rsid w:val="002D2FBC"/>
    <w:rsid w:val="002D3125"/>
    <w:rsid w:val="002D370F"/>
    <w:rsid w:val="002D38E2"/>
    <w:rsid w:val="002D3B8A"/>
    <w:rsid w:val="002D3DBC"/>
    <w:rsid w:val="002D3EF8"/>
    <w:rsid w:val="002D436A"/>
    <w:rsid w:val="002D450C"/>
    <w:rsid w:val="002D492A"/>
    <w:rsid w:val="002D4B4E"/>
    <w:rsid w:val="002D4B51"/>
    <w:rsid w:val="002D4B5C"/>
    <w:rsid w:val="002D4BE0"/>
    <w:rsid w:val="002D4C69"/>
    <w:rsid w:val="002D4DB7"/>
    <w:rsid w:val="002D4DDD"/>
    <w:rsid w:val="002D4F3D"/>
    <w:rsid w:val="002D51D1"/>
    <w:rsid w:val="002D56BF"/>
    <w:rsid w:val="002D5986"/>
    <w:rsid w:val="002D599A"/>
    <w:rsid w:val="002D5A78"/>
    <w:rsid w:val="002D5A7C"/>
    <w:rsid w:val="002D5B1A"/>
    <w:rsid w:val="002D5CC8"/>
    <w:rsid w:val="002D6097"/>
    <w:rsid w:val="002D6723"/>
    <w:rsid w:val="002D6C6C"/>
    <w:rsid w:val="002D6D3C"/>
    <w:rsid w:val="002D6D7C"/>
    <w:rsid w:val="002D72B2"/>
    <w:rsid w:val="002D733B"/>
    <w:rsid w:val="002D735E"/>
    <w:rsid w:val="002D73AE"/>
    <w:rsid w:val="002D73E5"/>
    <w:rsid w:val="002D772A"/>
    <w:rsid w:val="002D7737"/>
    <w:rsid w:val="002D78E0"/>
    <w:rsid w:val="002D7ADC"/>
    <w:rsid w:val="002D7BB0"/>
    <w:rsid w:val="002E0031"/>
    <w:rsid w:val="002E023F"/>
    <w:rsid w:val="002E02EA"/>
    <w:rsid w:val="002E03C6"/>
    <w:rsid w:val="002E0612"/>
    <w:rsid w:val="002E0707"/>
    <w:rsid w:val="002E09B1"/>
    <w:rsid w:val="002E0FC8"/>
    <w:rsid w:val="002E1070"/>
    <w:rsid w:val="002E116E"/>
    <w:rsid w:val="002E15D2"/>
    <w:rsid w:val="002E1663"/>
    <w:rsid w:val="002E1665"/>
    <w:rsid w:val="002E18DD"/>
    <w:rsid w:val="002E19C0"/>
    <w:rsid w:val="002E1C76"/>
    <w:rsid w:val="002E1E09"/>
    <w:rsid w:val="002E1E18"/>
    <w:rsid w:val="002E205B"/>
    <w:rsid w:val="002E2080"/>
    <w:rsid w:val="002E21D3"/>
    <w:rsid w:val="002E241F"/>
    <w:rsid w:val="002E283E"/>
    <w:rsid w:val="002E28BF"/>
    <w:rsid w:val="002E28FC"/>
    <w:rsid w:val="002E2904"/>
    <w:rsid w:val="002E2D66"/>
    <w:rsid w:val="002E2EF0"/>
    <w:rsid w:val="002E2F9C"/>
    <w:rsid w:val="002E3132"/>
    <w:rsid w:val="002E3815"/>
    <w:rsid w:val="002E3DAD"/>
    <w:rsid w:val="002E40BA"/>
    <w:rsid w:val="002E41B0"/>
    <w:rsid w:val="002E43C9"/>
    <w:rsid w:val="002E454B"/>
    <w:rsid w:val="002E4B8F"/>
    <w:rsid w:val="002E4E63"/>
    <w:rsid w:val="002E4EBC"/>
    <w:rsid w:val="002E4F58"/>
    <w:rsid w:val="002E5173"/>
    <w:rsid w:val="002E52E6"/>
    <w:rsid w:val="002E5486"/>
    <w:rsid w:val="002E5AEC"/>
    <w:rsid w:val="002E5BC9"/>
    <w:rsid w:val="002E5E93"/>
    <w:rsid w:val="002E60CF"/>
    <w:rsid w:val="002E628E"/>
    <w:rsid w:val="002E62F1"/>
    <w:rsid w:val="002E6339"/>
    <w:rsid w:val="002E6792"/>
    <w:rsid w:val="002E684C"/>
    <w:rsid w:val="002E6A92"/>
    <w:rsid w:val="002E6D60"/>
    <w:rsid w:val="002E6DAE"/>
    <w:rsid w:val="002E6F79"/>
    <w:rsid w:val="002E6F8B"/>
    <w:rsid w:val="002E78DC"/>
    <w:rsid w:val="002E7926"/>
    <w:rsid w:val="002E7DBA"/>
    <w:rsid w:val="002E7F58"/>
    <w:rsid w:val="002E7FF4"/>
    <w:rsid w:val="002F0334"/>
    <w:rsid w:val="002F0A73"/>
    <w:rsid w:val="002F0AE9"/>
    <w:rsid w:val="002F0D43"/>
    <w:rsid w:val="002F0ED4"/>
    <w:rsid w:val="002F0FD9"/>
    <w:rsid w:val="002F10AE"/>
    <w:rsid w:val="002F1229"/>
    <w:rsid w:val="002F1359"/>
    <w:rsid w:val="002F1370"/>
    <w:rsid w:val="002F1583"/>
    <w:rsid w:val="002F1878"/>
    <w:rsid w:val="002F1C57"/>
    <w:rsid w:val="002F1E99"/>
    <w:rsid w:val="002F24BF"/>
    <w:rsid w:val="002F281A"/>
    <w:rsid w:val="002F29E8"/>
    <w:rsid w:val="002F2A77"/>
    <w:rsid w:val="002F2ADB"/>
    <w:rsid w:val="002F2B21"/>
    <w:rsid w:val="002F2B53"/>
    <w:rsid w:val="002F2DF3"/>
    <w:rsid w:val="002F2EAC"/>
    <w:rsid w:val="002F3229"/>
    <w:rsid w:val="002F35AD"/>
    <w:rsid w:val="002F37E7"/>
    <w:rsid w:val="002F3985"/>
    <w:rsid w:val="002F3D87"/>
    <w:rsid w:val="002F3FB6"/>
    <w:rsid w:val="002F4031"/>
    <w:rsid w:val="002F4065"/>
    <w:rsid w:val="002F4541"/>
    <w:rsid w:val="002F5054"/>
    <w:rsid w:val="002F51E4"/>
    <w:rsid w:val="002F51E8"/>
    <w:rsid w:val="002F527B"/>
    <w:rsid w:val="002F53D9"/>
    <w:rsid w:val="002F565F"/>
    <w:rsid w:val="002F5A54"/>
    <w:rsid w:val="002F5B51"/>
    <w:rsid w:val="002F5C93"/>
    <w:rsid w:val="002F5D1D"/>
    <w:rsid w:val="002F5E4A"/>
    <w:rsid w:val="002F5EA0"/>
    <w:rsid w:val="002F5FB9"/>
    <w:rsid w:val="002F60C5"/>
    <w:rsid w:val="002F672E"/>
    <w:rsid w:val="002F67FC"/>
    <w:rsid w:val="002F6D7F"/>
    <w:rsid w:val="002F6DF4"/>
    <w:rsid w:val="002F6F7E"/>
    <w:rsid w:val="002F6FA5"/>
    <w:rsid w:val="002F759F"/>
    <w:rsid w:val="002F78CD"/>
    <w:rsid w:val="002F7D05"/>
    <w:rsid w:val="002F7E36"/>
    <w:rsid w:val="0030091A"/>
    <w:rsid w:val="00300CA7"/>
    <w:rsid w:val="00300D47"/>
    <w:rsid w:val="00300D4F"/>
    <w:rsid w:val="00300F9E"/>
    <w:rsid w:val="00301596"/>
    <w:rsid w:val="003017CF"/>
    <w:rsid w:val="00301A9C"/>
    <w:rsid w:val="00301B30"/>
    <w:rsid w:val="00301B4A"/>
    <w:rsid w:val="00301CDB"/>
    <w:rsid w:val="00301DFF"/>
    <w:rsid w:val="003025E8"/>
    <w:rsid w:val="003026E8"/>
    <w:rsid w:val="00302BF2"/>
    <w:rsid w:val="00302EB5"/>
    <w:rsid w:val="0030300E"/>
    <w:rsid w:val="00303018"/>
    <w:rsid w:val="003031D9"/>
    <w:rsid w:val="00303427"/>
    <w:rsid w:val="003034A5"/>
    <w:rsid w:val="0030368A"/>
    <w:rsid w:val="00303C23"/>
    <w:rsid w:val="00303F7A"/>
    <w:rsid w:val="00303F9F"/>
    <w:rsid w:val="00303FBF"/>
    <w:rsid w:val="00303FC2"/>
    <w:rsid w:val="0030400D"/>
    <w:rsid w:val="00304415"/>
    <w:rsid w:val="003044C6"/>
    <w:rsid w:val="003044EE"/>
    <w:rsid w:val="0030459F"/>
    <w:rsid w:val="00304934"/>
    <w:rsid w:val="00304C13"/>
    <w:rsid w:val="00304D35"/>
    <w:rsid w:val="00304EE3"/>
    <w:rsid w:val="00304F2D"/>
    <w:rsid w:val="003053FC"/>
    <w:rsid w:val="003054F7"/>
    <w:rsid w:val="0030550A"/>
    <w:rsid w:val="00305D16"/>
    <w:rsid w:val="0030607D"/>
    <w:rsid w:val="003062D3"/>
    <w:rsid w:val="003062F4"/>
    <w:rsid w:val="00306350"/>
    <w:rsid w:val="00306484"/>
    <w:rsid w:val="00306561"/>
    <w:rsid w:val="00306684"/>
    <w:rsid w:val="003067F6"/>
    <w:rsid w:val="003067F7"/>
    <w:rsid w:val="00306825"/>
    <w:rsid w:val="00306848"/>
    <w:rsid w:val="0030691E"/>
    <w:rsid w:val="00306A90"/>
    <w:rsid w:val="00306B2B"/>
    <w:rsid w:val="00306D6A"/>
    <w:rsid w:val="00306DFF"/>
    <w:rsid w:val="00307005"/>
    <w:rsid w:val="00307120"/>
    <w:rsid w:val="003073D9"/>
    <w:rsid w:val="003074E6"/>
    <w:rsid w:val="00307612"/>
    <w:rsid w:val="003076E9"/>
    <w:rsid w:val="003077B7"/>
    <w:rsid w:val="00307864"/>
    <w:rsid w:val="0030787B"/>
    <w:rsid w:val="00307D11"/>
    <w:rsid w:val="00310165"/>
    <w:rsid w:val="00310681"/>
    <w:rsid w:val="00310A94"/>
    <w:rsid w:val="00310FCA"/>
    <w:rsid w:val="00310FD6"/>
    <w:rsid w:val="00311924"/>
    <w:rsid w:val="0031196E"/>
    <w:rsid w:val="003119C9"/>
    <w:rsid w:val="00311A5F"/>
    <w:rsid w:val="00311F66"/>
    <w:rsid w:val="00311FC1"/>
    <w:rsid w:val="0031216F"/>
    <w:rsid w:val="0031227E"/>
    <w:rsid w:val="00312449"/>
    <w:rsid w:val="003125E1"/>
    <w:rsid w:val="003126D4"/>
    <w:rsid w:val="00312900"/>
    <w:rsid w:val="00312D2B"/>
    <w:rsid w:val="00312D83"/>
    <w:rsid w:val="00312DD5"/>
    <w:rsid w:val="003131E3"/>
    <w:rsid w:val="00313472"/>
    <w:rsid w:val="0031362A"/>
    <w:rsid w:val="0031375C"/>
    <w:rsid w:val="00313884"/>
    <w:rsid w:val="00313DF2"/>
    <w:rsid w:val="00313F8D"/>
    <w:rsid w:val="00314002"/>
    <w:rsid w:val="003140C5"/>
    <w:rsid w:val="0031437D"/>
    <w:rsid w:val="003143ED"/>
    <w:rsid w:val="003145F0"/>
    <w:rsid w:val="00314698"/>
    <w:rsid w:val="003146FA"/>
    <w:rsid w:val="00314A5A"/>
    <w:rsid w:val="00314BCB"/>
    <w:rsid w:val="00314EB5"/>
    <w:rsid w:val="003151BC"/>
    <w:rsid w:val="003154FB"/>
    <w:rsid w:val="00315505"/>
    <w:rsid w:val="00315B7D"/>
    <w:rsid w:val="00315BED"/>
    <w:rsid w:val="00315D3C"/>
    <w:rsid w:val="00315DF9"/>
    <w:rsid w:val="00315E05"/>
    <w:rsid w:val="003160A1"/>
    <w:rsid w:val="0031613D"/>
    <w:rsid w:val="003162C9"/>
    <w:rsid w:val="00316473"/>
    <w:rsid w:val="003166B1"/>
    <w:rsid w:val="003168DF"/>
    <w:rsid w:val="00316EFD"/>
    <w:rsid w:val="00317491"/>
    <w:rsid w:val="00317941"/>
    <w:rsid w:val="00317967"/>
    <w:rsid w:val="00317D5B"/>
    <w:rsid w:val="00317E72"/>
    <w:rsid w:val="00317F69"/>
    <w:rsid w:val="0032001C"/>
    <w:rsid w:val="0032004F"/>
    <w:rsid w:val="00320527"/>
    <w:rsid w:val="00320539"/>
    <w:rsid w:val="003208D5"/>
    <w:rsid w:val="003208FF"/>
    <w:rsid w:val="0032096F"/>
    <w:rsid w:val="00320D1A"/>
    <w:rsid w:val="00320FF3"/>
    <w:rsid w:val="0032101C"/>
    <w:rsid w:val="0032122E"/>
    <w:rsid w:val="00321341"/>
    <w:rsid w:val="00321514"/>
    <w:rsid w:val="00321768"/>
    <w:rsid w:val="0032179C"/>
    <w:rsid w:val="00321941"/>
    <w:rsid w:val="00321C24"/>
    <w:rsid w:val="0032218F"/>
    <w:rsid w:val="00322254"/>
    <w:rsid w:val="0032233C"/>
    <w:rsid w:val="003223F3"/>
    <w:rsid w:val="00322436"/>
    <w:rsid w:val="00322608"/>
    <w:rsid w:val="0032265D"/>
    <w:rsid w:val="003228DF"/>
    <w:rsid w:val="003229B1"/>
    <w:rsid w:val="00322A63"/>
    <w:rsid w:val="00322A65"/>
    <w:rsid w:val="00322B4B"/>
    <w:rsid w:val="00322D5D"/>
    <w:rsid w:val="00322FEF"/>
    <w:rsid w:val="003230FC"/>
    <w:rsid w:val="0032313F"/>
    <w:rsid w:val="00323182"/>
    <w:rsid w:val="003234EB"/>
    <w:rsid w:val="00323617"/>
    <w:rsid w:val="00323849"/>
    <w:rsid w:val="00323A64"/>
    <w:rsid w:val="00323AFE"/>
    <w:rsid w:val="00323BEA"/>
    <w:rsid w:val="00323BEE"/>
    <w:rsid w:val="00323C06"/>
    <w:rsid w:val="00323D46"/>
    <w:rsid w:val="00323DBA"/>
    <w:rsid w:val="00323E1A"/>
    <w:rsid w:val="0032452E"/>
    <w:rsid w:val="00324841"/>
    <w:rsid w:val="00324EFF"/>
    <w:rsid w:val="00324F96"/>
    <w:rsid w:val="0032552E"/>
    <w:rsid w:val="00325CE3"/>
    <w:rsid w:val="00325FA9"/>
    <w:rsid w:val="00326058"/>
    <w:rsid w:val="00326080"/>
    <w:rsid w:val="00326190"/>
    <w:rsid w:val="003262BD"/>
    <w:rsid w:val="00326324"/>
    <w:rsid w:val="003265BE"/>
    <w:rsid w:val="00326C32"/>
    <w:rsid w:val="00326D24"/>
    <w:rsid w:val="00326E45"/>
    <w:rsid w:val="00326E7C"/>
    <w:rsid w:val="003272ED"/>
    <w:rsid w:val="00327A23"/>
    <w:rsid w:val="00327C78"/>
    <w:rsid w:val="00327CA6"/>
    <w:rsid w:val="00327CF0"/>
    <w:rsid w:val="00330021"/>
    <w:rsid w:val="00330095"/>
    <w:rsid w:val="0033009D"/>
    <w:rsid w:val="00330179"/>
    <w:rsid w:val="003306C8"/>
    <w:rsid w:val="00330990"/>
    <w:rsid w:val="00330A50"/>
    <w:rsid w:val="00330D14"/>
    <w:rsid w:val="003312E6"/>
    <w:rsid w:val="00331877"/>
    <w:rsid w:val="00331980"/>
    <w:rsid w:val="00331D70"/>
    <w:rsid w:val="00331F1F"/>
    <w:rsid w:val="00331FD1"/>
    <w:rsid w:val="0033255B"/>
    <w:rsid w:val="003327E5"/>
    <w:rsid w:val="0033289A"/>
    <w:rsid w:val="00332DA5"/>
    <w:rsid w:val="00332ED4"/>
    <w:rsid w:val="00333583"/>
    <w:rsid w:val="003335A9"/>
    <w:rsid w:val="00333C14"/>
    <w:rsid w:val="00333F01"/>
    <w:rsid w:val="00333F12"/>
    <w:rsid w:val="00334009"/>
    <w:rsid w:val="0033434B"/>
    <w:rsid w:val="003343FC"/>
    <w:rsid w:val="00334B1B"/>
    <w:rsid w:val="00334B49"/>
    <w:rsid w:val="00334BEA"/>
    <w:rsid w:val="00334C33"/>
    <w:rsid w:val="00334D39"/>
    <w:rsid w:val="003350EC"/>
    <w:rsid w:val="003353FB"/>
    <w:rsid w:val="00335713"/>
    <w:rsid w:val="00335B2A"/>
    <w:rsid w:val="00336386"/>
    <w:rsid w:val="00336547"/>
    <w:rsid w:val="00336817"/>
    <w:rsid w:val="00336961"/>
    <w:rsid w:val="00336D6E"/>
    <w:rsid w:val="00336F79"/>
    <w:rsid w:val="003370CF"/>
    <w:rsid w:val="00337135"/>
    <w:rsid w:val="00337D98"/>
    <w:rsid w:val="00337E35"/>
    <w:rsid w:val="00337EB8"/>
    <w:rsid w:val="00337ECE"/>
    <w:rsid w:val="00340191"/>
    <w:rsid w:val="00340404"/>
    <w:rsid w:val="003406B4"/>
    <w:rsid w:val="003407A0"/>
    <w:rsid w:val="003407DF"/>
    <w:rsid w:val="00340D2A"/>
    <w:rsid w:val="00340F11"/>
    <w:rsid w:val="00341029"/>
    <w:rsid w:val="00341427"/>
    <w:rsid w:val="003417FB"/>
    <w:rsid w:val="00341C6B"/>
    <w:rsid w:val="00341D91"/>
    <w:rsid w:val="00341E10"/>
    <w:rsid w:val="00341F1F"/>
    <w:rsid w:val="003425AB"/>
    <w:rsid w:val="00342741"/>
    <w:rsid w:val="003427F1"/>
    <w:rsid w:val="00342B45"/>
    <w:rsid w:val="00342D23"/>
    <w:rsid w:val="00342E65"/>
    <w:rsid w:val="0034307A"/>
    <w:rsid w:val="0034311E"/>
    <w:rsid w:val="003432B5"/>
    <w:rsid w:val="003432F6"/>
    <w:rsid w:val="003434FC"/>
    <w:rsid w:val="003435AE"/>
    <w:rsid w:val="003435CD"/>
    <w:rsid w:val="00343687"/>
    <w:rsid w:val="003437C5"/>
    <w:rsid w:val="003437CE"/>
    <w:rsid w:val="003440B9"/>
    <w:rsid w:val="0034412D"/>
    <w:rsid w:val="0034459D"/>
    <w:rsid w:val="003446E3"/>
    <w:rsid w:val="00344830"/>
    <w:rsid w:val="00344D8D"/>
    <w:rsid w:val="00344F73"/>
    <w:rsid w:val="00345137"/>
    <w:rsid w:val="003455D8"/>
    <w:rsid w:val="00345884"/>
    <w:rsid w:val="00345D1D"/>
    <w:rsid w:val="00345DA3"/>
    <w:rsid w:val="00345F1D"/>
    <w:rsid w:val="00345FD2"/>
    <w:rsid w:val="003462E0"/>
    <w:rsid w:val="003466AA"/>
    <w:rsid w:val="00346910"/>
    <w:rsid w:val="00346AE1"/>
    <w:rsid w:val="00346CF9"/>
    <w:rsid w:val="00346D73"/>
    <w:rsid w:val="00347271"/>
    <w:rsid w:val="00347466"/>
    <w:rsid w:val="00347649"/>
    <w:rsid w:val="0034770B"/>
    <w:rsid w:val="00347811"/>
    <w:rsid w:val="00347D9A"/>
    <w:rsid w:val="00347DED"/>
    <w:rsid w:val="00347E2C"/>
    <w:rsid w:val="00350123"/>
    <w:rsid w:val="00350489"/>
    <w:rsid w:val="00350753"/>
    <w:rsid w:val="00350A00"/>
    <w:rsid w:val="00350B8F"/>
    <w:rsid w:val="00350D2B"/>
    <w:rsid w:val="0035127C"/>
    <w:rsid w:val="003512E0"/>
    <w:rsid w:val="0035189E"/>
    <w:rsid w:val="00351977"/>
    <w:rsid w:val="003519BF"/>
    <w:rsid w:val="00351C40"/>
    <w:rsid w:val="00351E27"/>
    <w:rsid w:val="003523BF"/>
    <w:rsid w:val="003524B4"/>
    <w:rsid w:val="003526B5"/>
    <w:rsid w:val="00352908"/>
    <w:rsid w:val="00352D86"/>
    <w:rsid w:val="00352DBB"/>
    <w:rsid w:val="00352EF7"/>
    <w:rsid w:val="00353157"/>
    <w:rsid w:val="00353300"/>
    <w:rsid w:val="00353522"/>
    <w:rsid w:val="003536DC"/>
    <w:rsid w:val="00353964"/>
    <w:rsid w:val="00353977"/>
    <w:rsid w:val="00353B0B"/>
    <w:rsid w:val="00353C0F"/>
    <w:rsid w:val="00353D8D"/>
    <w:rsid w:val="00354185"/>
    <w:rsid w:val="003545DD"/>
    <w:rsid w:val="003547E2"/>
    <w:rsid w:val="00354819"/>
    <w:rsid w:val="003549E9"/>
    <w:rsid w:val="00354B67"/>
    <w:rsid w:val="00354D1C"/>
    <w:rsid w:val="00354E46"/>
    <w:rsid w:val="00355375"/>
    <w:rsid w:val="003553B1"/>
    <w:rsid w:val="0035541D"/>
    <w:rsid w:val="00355611"/>
    <w:rsid w:val="0035587A"/>
    <w:rsid w:val="00355A85"/>
    <w:rsid w:val="00355BA0"/>
    <w:rsid w:val="0035615B"/>
    <w:rsid w:val="003564D5"/>
    <w:rsid w:val="00356694"/>
    <w:rsid w:val="00356986"/>
    <w:rsid w:val="00356A80"/>
    <w:rsid w:val="00356E07"/>
    <w:rsid w:val="00357192"/>
    <w:rsid w:val="003572EB"/>
    <w:rsid w:val="0035732C"/>
    <w:rsid w:val="0035734E"/>
    <w:rsid w:val="00357511"/>
    <w:rsid w:val="0035758D"/>
    <w:rsid w:val="00360678"/>
    <w:rsid w:val="00360793"/>
    <w:rsid w:val="00360884"/>
    <w:rsid w:val="003608D2"/>
    <w:rsid w:val="00360A59"/>
    <w:rsid w:val="00360BC6"/>
    <w:rsid w:val="00360C0F"/>
    <w:rsid w:val="00360D2F"/>
    <w:rsid w:val="00360E6D"/>
    <w:rsid w:val="00360EFB"/>
    <w:rsid w:val="0036100E"/>
    <w:rsid w:val="00361126"/>
    <w:rsid w:val="00361149"/>
    <w:rsid w:val="00361195"/>
    <w:rsid w:val="0036123B"/>
    <w:rsid w:val="00361B4B"/>
    <w:rsid w:val="00361BBE"/>
    <w:rsid w:val="00361D68"/>
    <w:rsid w:val="00362104"/>
    <w:rsid w:val="003621DE"/>
    <w:rsid w:val="0036229E"/>
    <w:rsid w:val="003625B3"/>
    <w:rsid w:val="00362715"/>
    <w:rsid w:val="003628CB"/>
    <w:rsid w:val="00362BBC"/>
    <w:rsid w:val="00362CA0"/>
    <w:rsid w:val="00362EE4"/>
    <w:rsid w:val="00362EFA"/>
    <w:rsid w:val="00362FB5"/>
    <w:rsid w:val="00362FDE"/>
    <w:rsid w:val="00363224"/>
    <w:rsid w:val="00363277"/>
    <w:rsid w:val="00363610"/>
    <w:rsid w:val="0036375F"/>
    <w:rsid w:val="00363868"/>
    <w:rsid w:val="00363CB8"/>
    <w:rsid w:val="003641B4"/>
    <w:rsid w:val="00364289"/>
    <w:rsid w:val="00364403"/>
    <w:rsid w:val="003646A6"/>
    <w:rsid w:val="003646E0"/>
    <w:rsid w:val="00364844"/>
    <w:rsid w:val="0036488A"/>
    <w:rsid w:val="003648BB"/>
    <w:rsid w:val="0036491B"/>
    <w:rsid w:val="0036493E"/>
    <w:rsid w:val="00364983"/>
    <w:rsid w:val="00364A44"/>
    <w:rsid w:val="00364A8F"/>
    <w:rsid w:val="00364BEB"/>
    <w:rsid w:val="00364CA5"/>
    <w:rsid w:val="00364EEC"/>
    <w:rsid w:val="003650FA"/>
    <w:rsid w:val="003651B3"/>
    <w:rsid w:val="003651C1"/>
    <w:rsid w:val="00365296"/>
    <w:rsid w:val="0036536E"/>
    <w:rsid w:val="00365C85"/>
    <w:rsid w:val="00365D7B"/>
    <w:rsid w:val="00365F33"/>
    <w:rsid w:val="00365F5B"/>
    <w:rsid w:val="003667C6"/>
    <w:rsid w:val="00366B9C"/>
    <w:rsid w:val="00366CA0"/>
    <w:rsid w:val="00366DA1"/>
    <w:rsid w:val="00366E21"/>
    <w:rsid w:val="00366E22"/>
    <w:rsid w:val="00366EA7"/>
    <w:rsid w:val="00367151"/>
    <w:rsid w:val="00367692"/>
    <w:rsid w:val="0036775D"/>
    <w:rsid w:val="00367BCC"/>
    <w:rsid w:val="00367E6F"/>
    <w:rsid w:val="0037009D"/>
    <w:rsid w:val="00370445"/>
    <w:rsid w:val="003707FD"/>
    <w:rsid w:val="00370B27"/>
    <w:rsid w:val="00370D3A"/>
    <w:rsid w:val="003710C5"/>
    <w:rsid w:val="00371124"/>
    <w:rsid w:val="00371451"/>
    <w:rsid w:val="00371582"/>
    <w:rsid w:val="003718F8"/>
    <w:rsid w:val="00371B72"/>
    <w:rsid w:val="00371C2F"/>
    <w:rsid w:val="00371C94"/>
    <w:rsid w:val="00371E59"/>
    <w:rsid w:val="00371F25"/>
    <w:rsid w:val="0037206E"/>
    <w:rsid w:val="003722E0"/>
    <w:rsid w:val="003725A8"/>
    <w:rsid w:val="003725F4"/>
    <w:rsid w:val="003727E3"/>
    <w:rsid w:val="00372A4D"/>
    <w:rsid w:val="00372A57"/>
    <w:rsid w:val="00372BA1"/>
    <w:rsid w:val="00372BFC"/>
    <w:rsid w:val="00372CC7"/>
    <w:rsid w:val="00373214"/>
    <w:rsid w:val="00373358"/>
    <w:rsid w:val="0037387F"/>
    <w:rsid w:val="00373AE1"/>
    <w:rsid w:val="00373AFD"/>
    <w:rsid w:val="00373BB8"/>
    <w:rsid w:val="00373EEB"/>
    <w:rsid w:val="0037414D"/>
    <w:rsid w:val="003741AE"/>
    <w:rsid w:val="00374B4B"/>
    <w:rsid w:val="00374D3B"/>
    <w:rsid w:val="00374E40"/>
    <w:rsid w:val="00374E48"/>
    <w:rsid w:val="00375293"/>
    <w:rsid w:val="00375503"/>
    <w:rsid w:val="0037553F"/>
    <w:rsid w:val="003756DF"/>
    <w:rsid w:val="0037591C"/>
    <w:rsid w:val="00375CE4"/>
    <w:rsid w:val="00376068"/>
    <w:rsid w:val="003760A3"/>
    <w:rsid w:val="003762BB"/>
    <w:rsid w:val="003764FF"/>
    <w:rsid w:val="00376662"/>
    <w:rsid w:val="00376907"/>
    <w:rsid w:val="00376B5C"/>
    <w:rsid w:val="00376B81"/>
    <w:rsid w:val="00376C37"/>
    <w:rsid w:val="00376D97"/>
    <w:rsid w:val="00376F97"/>
    <w:rsid w:val="00376FBF"/>
    <w:rsid w:val="003771E6"/>
    <w:rsid w:val="00377492"/>
    <w:rsid w:val="003776A9"/>
    <w:rsid w:val="003778EC"/>
    <w:rsid w:val="00377C1F"/>
    <w:rsid w:val="00377DC4"/>
    <w:rsid w:val="00377E50"/>
    <w:rsid w:val="00377E83"/>
    <w:rsid w:val="00377F60"/>
    <w:rsid w:val="00377FCF"/>
    <w:rsid w:val="0038006A"/>
    <w:rsid w:val="00380398"/>
    <w:rsid w:val="00380536"/>
    <w:rsid w:val="0038080D"/>
    <w:rsid w:val="0038088C"/>
    <w:rsid w:val="0038090B"/>
    <w:rsid w:val="0038092D"/>
    <w:rsid w:val="00380A09"/>
    <w:rsid w:val="00380BE6"/>
    <w:rsid w:val="00380E85"/>
    <w:rsid w:val="00381019"/>
    <w:rsid w:val="003810A1"/>
    <w:rsid w:val="0038113A"/>
    <w:rsid w:val="003812A4"/>
    <w:rsid w:val="0038175E"/>
    <w:rsid w:val="00381A98"/>
    <w:rsid w:val="00381B27"/>
    <w:rsid w:val="00381C09"/>
    <w:rsid w:val="00381E2B"/>
    <w:rsid w:val="00381E46"/>
    <w:rsid w:val="00381EAD"/>
    <w:rsid w:val="00381F47"/>
    <w:rsid w:val="003822C6"/>
    <w:rsid w:val="003829F7"/>
    <w:rsid w:val="00382BDA"/>
    <w:rsid w:val="0038346F"/>
    <w:rsid w:val="00383579"/>
    <w:rsid w:val="003837A0"/>
    <w:rsid w:val="0038381C"/>
    <w:rsid w:val="00383B74"/>
    <w:rsid w:val="00383BA4"/>
    <w:rsid w:val="00383D8D"/>
    <w:rsid w:val="00383FA2"/>
    <w:rsid w:val="00384056"/>
    <w:rsid w:val="00384222"/>
    <w:rsid w:val="00384439"/>
    <w:rsid w:val="0038467E"/>
    <w:rsid w:val="0038469A"/>
    <w:rsid w:val="003846ED"/>
    <w:rsid w:val="00385218"/>
    <w:rsid w:val="003854A0"/>
    <w:rsid w:val="00385AEB"/>
    <w:rsid w:val="00385DBD"/>
    <w:rsid w:val="00385E70"/>
    <w:rsid w:val="00386088"/>
    <w:rsid w:val="003862F9"/>
    <w:rsid w:val="00386ED7"/>
    <w:rsid w:val="00386FBE"/>
    <w:rsid w:val="00387197"/>
    <w:rsid w:val="003874C3"/>
    <w:rsid w:val="0038751D"/>
    <w:rsid w:val="0038786D"/>
    <w:rsid w:val="0038788B"/>
    <w:rsid w:val="00387D49"/>
    <w:rsid w:val="00387D7D"/>
    <w:rsid w:val="00387E08"/>
    <w:rsid w:val="00387E92"/>
    <w:rsid w:val="00390034"/>
    <w:rsid w:val="00390186"/>
    <w:rsid w:val="00390888"/>
    <w:rsid w:val="00390A76"/>
    <w:rsid w:val="00390FED"/>
    <w:rsid w:val="0039158D"/>
    <w:rsid w:val="00391A44"/>
    <w:rsid w:val="00391F78"/>
    <w:rsid w:val="00392471"/>
    <w:rsid w:val="003926E2"/>
    <w:rsid w:val="00392739"/>
    <w:rsid w:val="0039297A"/>
    <w:rsid w:val="00392C95"/>
    <w:rsid w:val="00392D77"/>
    <w:rsid w:val="00393026"/>
    <w:rsid w:val="0039311B"/>
    <w:rsid w:val="003932FF"/>
    <w:rsid w:val="003934BE"/>
    <w:rsid w:val="003935D2"/>
    <w:rsid w:val="0039368F"/>
    <w:rsid w:val="00393950"/>
    <w:rsid w:val="00393DC8"/>
    <w:rsid w:val="00393DEA"/>
    <w:rsid w:val="00393ECC"/>
    <w:rsid w:val="003941B9"/>
    <w:rsid w:val="003945CD"/>
    <w:rsid w:val="003947FE"/>
    <w:rsid w:val="00394BF8"/>
    <w:rsid w:val="00394CEA"/>
    <w:rsid w:val="00394D15"/>
    <w:rsid w:val="00394D19"/>
    <w:rsid w:val="00394FC4"/>
    <w:rsid w:val="00395023"/>
    <w:rsid w:val="0039505F"/>
    <w:rsid w:val="0039510E"/>
    <w:rsid w:val="0039525B"/>
    <w:rsid w:val="0039527B"/>
    <w:rsid w:val="00395415"/>
    <w:rsid w:val="0039554C"/>
    <w:rsid w:val="003955F7"/>
    <w:rsid w:val="0039574F"/>
    <w:rsid w:val="003959C7"/>
    <w:rsid w:val="00395A56"/>
    <w:rsid w:val="00395AEF"/>
    <w:rsid w:val="00395DDB"/>
    <w:rsid w:val="00395F41"/>
    <w:rsid w:val="00395F6F"/>
    <w:rsid w:val="00395F71"/>
    <w:rsid w:val="00395F8F"/>
    <w:rsid w:val="0039609B"/>
    <w:rsid w:val="00396365"/>
    <w:rsid w:val="0039642C"/>
    <w:rsid w:val="00396726"/>
    <w:rsid w:val="00396817"/>
    <w:rsid w:val="0039735B"/>
    <w:rsid w:val="0039761F"/>
    <w:rsid w:val="0039765B"/>
    <w:rsid w:val="003977BF"/>
    <w:rsid w:val="00397CF8"/>
    <w:rsid w:val="003A027E"/>
    <w:rsid w:val="003A0314"/>
    <w:rsid w:val="003A059E"/>
    <w:rsid w:val="003A063C"/>
    <w:rsid w:val="003A0871"/>
    <w:rsid w:val="003A0AFE"/>
    <w:rsid w:val="003A0B4D"/>
    <w:rsid w:val="003A0FC9"/>
    <w:rsid w:val="003A1157"/>
    <w:rsid w:val="003A148A"/>
    <w:rsid w:val="003A15BB"/>
    <w:rsid w:val="003A18DA"/>
    <w:rsid w:val="003A19DC"/>
    <w:rsid w:val="003A1B95"/>
    <w:rsid w:val="003A1CD1"/>
    <w:rsid w:val="003A1D7C"/>
    <w:rsid w:val="003A1DAF"/>
    <w:rsid w:val="003A1E64"/>
    <w:rsid w:val="003A1FD7"/>
    <w:rsid w:val="003A2245"/>
    <w:rsid w:val="003A2549"/>
    <w:rsid w:val="003A265D"/>
    <w:rsid w:val="003A2A39"/>
    <w:rsid w:val="003A2B5A"/>
    <w:rsid w:val="003A2BC9"/>
    <w:rsid w:val="003A2C73"/>
    <w:rsid w:val="003A3253"/>
    <w:rsid w:val="003A3599"/>
    <w:rsid w:val="003A35C1"/>
    <w:rsid w:val="003A3983"/>
    <w:rsid w:val="003A3BA8"/>
    <w:rsid w:val="003A3D80"/>
    <w:rsid w:val="003A3DBF"/>
    <w:rsid w:val="003A4652"/>
    <w:rsid w:val="003A4868"/>
    <w:rsid w:val="003A4934"/>
    <w:rsid w:val="003A4F51"/>
    <w:rsid w:val="003A4F79"/>
    <w:rsid w:val="003A4F7E"/>
    <w:rsid w:val="003A5133"/>
    <w:rsid w:val="003A5177"/>
    <w:rsid w:val="003A5664"/>
    <w:rsid w:val="003A591C"/>
    <w:rsid w:val="003A5B27"/>
    <w:rsid w:val="003A5BA1"/>
    <w:rsid w:val="003A5E2C"/>
    <w:rsid w:val="003A5EEE"/>
    <w:rsid w:val="003A65CF"/>
    <w:rsid w:val="003A664C"/>
    <w:rsid w:val="003A673F"/>
    <w:rsid w:val="003A6793"/>
    <w:rsid w:val="003A6E0E"/>
    <w:rsid w:val="003A6F00"/>
    <w:rsid w:val="003A6F97"/>
    <w:rsid w:val="003A71DE"/>
    <w:rsid w:val="003A7359"/>
    <w:rsid w:val="003A75BF"/>
    <w:rsid w:val="003A764F"/>
    <w:rsid w:val="003A7791"/>
    <w:rsid w:val="003A7E1E"/>
    <w:rsid w:val="003A7E76"/>
    <w:rsid w:val="003B0329"/>
    <w:rsid w:val="003B0415"/>
    <w:rsid w:val="003B0874"/>
    <w:rsid w:val="003B0CE8"/>
    <w:rsid w:val="003B0D6A"/>
    <w:rsid w:val="003B0F62"/>
    <w:rsid w:val="003B119C"/>
    <w:rsid w:val="003B12A2"/>
    <w:rsid w:val="003B1E14"/>
    <w:rsid w:val="003B1E50"/>
    <w:rsid w:val="003B1F9C"/>
    <w:rsid w:val="003B1FD7"/>
    <w:rsid w:val="003B2027"/>
    <w:rsid w:val="003B2092"/>
    <w:rsid w:val="003B2691"/>
    <w:rsid w:val="003B2692"/>
    <w:rsid w:val="003B2A35"/>
    <w:rsid w:val="003B2B75"/>
    <w:rsid w:val="003B2ED7"/>
    <w:rsid w:val="003B2F5D"/>
    <w:rsid w:val="003B33AF"/>
    <w:rsid w:val="003B352E"/>
    <w:rsid w:val="003B3904"/>
    <w:rsid w:val="003B3AD2"/>
    <w:rsid w:val="003B3AD3"/>
    <w:rsid w:val="003B3B99"/>
    <w:rsid w:val="003B3C0D"/>
    <w:rsid w:val="003B3F35"/>
    <w:rsid w:val="003B3FF1"/>
    <w:rsid w:val="003B438B"/>
    <w:rsid w:val="003B4653"/>
    <w:rsid w:val="003B46B4"/>
    <w:rsid w:val="003B488F"/>
    <w:rsid w:val="003B4A8E"/>
    <w:rsid w:val="003B4C28"/>
    <w:rsid w:val="003B4D2E"/>
    <w:rsid w:val="003B4E68"/>
    <w:rsid w:val="003B4FDD"/>
    <w:rsid w:val="003B50EF"/>
    <w:rsid w:val="003B54D7"/>
    <w:rsid w:val="003B5543"/>
    <w:rsid w:val="003B55D4"/>
    <w:rsid w:val="003B5802"/>
    <w:rsid w:val="003B58BE"/>
    <w:rsid w:val="003B5A2B"/>
    <w:rsid w:val="003B5C96"/>
    <w:rsid w:val="003B6032"/>
    <w:rsid w:val="003B6083"/>
    <w:rsid w:val="003B63AA"/>
    <w:rsid w:val="003B66BE"/>
    <w:rsid w:val="003B6726"/>
    <w:rsid w:val="003B69B3"/>
    <w:rsid w:val="003B6BFD"/>
    <w:rsid w:val="003B6C42"/>
    <w:rsid w:val="003B6CF7"/>
    <w:rsid w:val="003B6E86"/>
    <w:rsid w:val="003B6ECE"/>
    <w:rsid w:val="003B71A8"/>
    <w:rsid w:val="003B7440"/>
    <w:rsid w:val="003B7495"/>
    <w:rsid w:val="003C0115"/>
    <w:rsid w:val="003C024C"/>
    <w:rsid w:val="003C03CF"/>
    <w:rsid w:val="003C0459"/>
    <w:rsid w:val="003C0654"/>
    <w:rsid w:val="003C0862"/>
    <w:rsid w:val="003C0A6C"/>
    <w:rsid w:val="003C0BB2"/>
    <w:rsid w:val="003C0C05"/>
    <w:rsid w:val="003C1272"/>
    <w:rsid w:val="003C1338"/>
    <w:rsid w:val="003C1B62"/>
    <w:rsid w:val="003C1C56"/>
    <w:rsid w:val="003C1F5A"/>
    <w:rsid w:val="003C2058"/>
    <w:rsid w:val="003C2093"/>
    <w:rsid w:val="003C2539"/>
    <w:rsid w:val="003C2583"/>
    <w:rsid w:val="003C260A"/>
    <w:rsid w:val="003C295A"/>
    <w:rsid w:val="003C296C"/>
    <w:rsid w:val="003C29B9"/>
    <w:rsid w:val="003C2DAC"/>
    <w:rsid w:val="003C2DEE"/>
    <w:rsid w:val="003C2DF5"/>
    <w:rsid w:val="003C2EE3"/>
    <w:rsid w:val="003C32B8"/>
    <w:rsid w:val="003C33E7"/>
    <w:rsid w:val="003C3915"/>
    <w:rsid w:val="003C3AC4"/>
    <w:rsid w:val="003C42E3"/>
    <w:rsid w:val="003C4410"/>
    <w:rsid w:val="003C46B1"/>
    <w:rsid w:val="003C48E0"/>
    <w:rsid w:val="003C4953"/>
    <w:rsid w:val="003C4A1F"/>
    <w:rsid w:val="003C4CBA"/>
    <w:rsid w:val="003C4D70"/>
    <w:rsid w:val="003C4DA4"/>
    <w:rsid w:val="003C5003"/>
    <w:rsid w:val="003C50B4"/>
    <w:rsid w:val="003C519A"/>
    <w:rsid w:val="003C5333"/>
    <w:rsid w:val="003C545C"/>
    <w:rsid w:val="003C5607"/>
    <w:rsid w:val="003C59F9"/>
    <w:rsid w:val="003C5A0A"/>
    <w:rsid w:val="003C5F01"/>
    <w:rsid w:val="003C601D"/>
    <w:rsid w:val="003C6068"/>
    <w:rsid w:val="003C61A7"/>
    <w:rsid w:val="003C6389"/>
    <w:rsid w:val="003C68A9"/>
    <w:rsid w:val="003C6E13"/>
    <w:rsid w:val="003C72EE"/>
    <w:rsid w:val="003C76A6"/>
    <w:rsid w:val="003C7B3C"/>
    <w:rsid w:val="003D018B"/>
    <w:rsid w:val="003D0286"/>
    <w:rsid w:val="003D0641"/>
    <w:rsid w:val="003D07F6"/>
    <w:rsid w:val="003D098B"/>
    <w:rsid w:val="003D0BB3"/>
    <w:rsid w:val="003D0DFB"/>
    <w:rsid w:val="003D12CA"/>
    <w:rsid w:val="003D19EF"/>
    <w:rsid w:val="003D19F4"/>
    <w:rsid w:val="003D1B55"/>
    <w:rsid w:val="003D1BEB"/>
    <w:rsid w:val="003D1C9A"/>
    <w:rsid w:val="003D1DA3"/>
    <w:rsid w:val="003D1E17"/>
    <w:rsid w:val="003D2010"/>
    <w:rsid w:val="003D21A0"/>
    <w:rsid w:val="003D2285"/>
    <w:rsid w:val="003D2BCB"/>
    <w:rsid w:val="003D2EAF"/>
    <w:rsid w:val="003D3317"/>
    <w:rsid w:val="003D36DE"/>
    <w:rsid w:val="003D3A32"/>
    <w:rsid w:val="003D3F7A"/>
    <w:rsid w:val="003D436F"/>
    <w:rsid w:val="003D45CC"/>
    <w:rsid w:val="003D4A7B"/>
    <w:rsid w:val="003D4B91"/>
    <w:rsid w:val="003D4B98"/>
    <w:rsid w:val="003D4CBD"/>
    <w:rsid w:val="003D4D8A"/>
    <w:rsid w:val="003D4DBE"/>
    <w:rsid w:val="003D4FAB"/>
    <w:rsid w:val="003D520A"/>
    <w:rsid w:val="003D5262"/>
    <w:rsid w:val="003D5369"/>
    <w:rsid w:val="003D563D"/>
    <w:rsid w:val="003D5974"/>
    <w:rsid w:val="003D5DA5"/>
    <w:rsid w:val="003D659E"/>
    <w:rsid w:val="003D67BE"/>
    <w:rsid w:val="003D6C41"/>
    <w:rsid w:val="003D6FB1"/>
    <w:rsid w:val="003D7166"/>
    <w:rsid w:val="003D7287"/>
    <w:rsid w:val="003D75DF"/>
    <w:rsid w:val="003D79E6"/>
    <w:rsid w:val="003D7C04"/>
    <w:rsid w:val="003D7D06"/>
    <w:rsid w:val="003D7D7C"/>
    <w:rsid w:val="003E0289"/>
    <w:rsid w:val="003E052A"/>
    <w:rsid w:val="003E06B1"/>
    <w:rsid w:val="003E070B"/>
    <w:rsid w:val="003E0857"/>
    <w:rsid w:val="003E08BF"/>
    <w:rsid w:val="003E091E"/>
    <w:rsid w:val="003E092E"/>
    <w:rsid w:val="003E1183"/>
    <w:rsid w:val="003E11D0"/>
    <w:rsid w:val="003E16AE"/>
    <w:rsid w:val="003E1702"/>
    <w:rsid w:val="003E177E"/>
    <w:rsid w:val="003E1975"/>
    <w:rsid w:val="003E1C66"/>
    <w:rsid w:val="003E1D85"/>
    <w:rsid w:val="003E1D8E"/>
    <w:rsid w:val="003E2016"/>
    <w:rsid w:val="003E204A"/>
    <w:rsid w:val="003E225F"/>
    <w:rsid w:val="003E2387"/>
    <w:rsid w:val="003E28DD"/>
    <w:rsid w:val="003E2C61"/>
    <w:rsid w:val="003E31B0"/>
    <w:rsid w:val="003E327B"/>
    <w:rsid w:val="003E32B7"/>
    <w:rsid w:val="003E32F1"/>
    <w:rsid w:val="003E3362"/>
    <w:rsid w:val="003E3928"/>
    <w:rsid w:val="003E3B16"/>
    <w:rsid w:val="003E3F60"/>
    <w:rsid w:val="003E4192"/>
    <w:rsid w:val="003E46A1"/>
    <w:rsid w:val="003E49F4"/>
    <w:rsid w:val="003E53DE"/>
    <w:rsid w:val="003E542E"/>
    <w:rsid w:val="003E546C"/>
    <w:rsid w:val="003E5956"/>
    <w:rsid w:val="003E5D4B"/>
    <w:rsid w:val="003E5E8B"/>
    <w:rsid w:val="003E5EAD"/>
    <w:rsid w:val="003E5F64"/>
    <w:rsid w:val="003E63A9"/>
    <w:rsid w:val="003E64EE"/>
    <w:rsid w:val="003E6581"/>
    <w:rsid w:val="003E660C"/>
    <w:rsid w:val="003E6726"/>
    <w:rsid w:val="003E685B"/>
    <w:rsid w:val="003E7037"/>
    <w:rsid w:val="003E7545"/>
    <w:rsid w:val="003E7600"/>
    <w:rsid w:val="003E7628"/>
    <w:rsid w:val="003E7FB1"/>
    <w:rsid w:val="003E7FDD"/>
    <w:rsid w:val="003F0077"/>
    <w:rsid w:val="003F0996"/>
    <w:rsid w:val="003F0A5D"/>
    <w:rsid w:val="003F0C9D"/>
    <w:rsid w:val="003F111C"/>
    <w:rsid w:val="003F11AC"/>
    <w:rsid w:val="003F1966"/>
    <w:rsid w:val="003F19EF"/>
    <w:rsid w:val="003F1B43"/>
    <w:rsid w:val="003F1C32"/>
    <w:rsid w:val="003F1C78"/>
    <w:rsid w:val="003F1CD6"/>
    <w:rsid w:val="003F2014"/>
    <w:rsid w:val="003F214F"/>
    <w:rsid w:val="003F219C"/>
    <w:rsid w:val="003F224A"/>
    <w:rsid w:val="003F227C"/>
    <w:rsid w:val="003F2398"/>
    <w:rsid w:val="003F23C8"/>
    <w:rsid w:val="003F2659"/>
    <w:rsid w:val="003F26B0"/>
    <w:rsid w:val="003F279E"/>
    <w:rsid w:val="003F299C"/>
    <w:rsid w:val="003F29D2"/>
    <w:rsid w:val="003F2A84"/>
    <w:rsid w:val="003F3188"/>
    <w:rsid w:val="003F318A"/>
    <w:rsid w:val="003F32BE"/>
    <w:rsid w:val="003F330C"/>
    <w:rsid w:val="003F33DF"/>
    <w:rsid w:val="003F39C6"/>
    <w:rsid w:val="003F3A55"/>
    <w:rsid w:val="003F3CAE"/>
    <w:rsid w:val="003F3DF9"/>
    <w:rsid w:val="003F3FB6"/>
    <w:rsid w:val="003F413B"/>
    <w:rsid w:val="003F4BC7"/>
    <w:rsid w:val="003F521E"/>
    <w:rsid w:val="003F531E"/>
    <w:rsid w:val="003F556F"/>
    <w:rsid w:val="003F5635"/>
    <w:rsid w:val="003F563B"/>
    <w:rsid w:val="003F592A"/>
    <w:rsid w:val="003F5FB4"/>
    <w:rsid w:val="003F60ED"/>
    <w:rsid w:val="003F61A6"/>
    <w:rsid w:val="003F6417"/>
    <w:rsid w:val="003F6487"/>
    <w:rsid w:val="003F672E"/>
    <w:rsid w:val="003F68BA"/>
    <w:rsid w:val="003F69C5"/>
    <w:rsid w:val="003F6B13"/>
    <w:rsid w:val="003F6BE1"/>
    <w:rsid w:val="003F6C2A"/>
    <w:rsid w:val="003F6D06"/>
    <w:rsid w:val="003F6E5A"/>
    <w:rsid w:val="003F6FB5"/>
    <w:rsid w:val="003F7139"/>
    <w:rsid w:val="003F744E"/>
    <w:rsid w:val="003F74A5"/>
    <w:rsid w:val="003F74CB"/>
    <w:rsid w:val="003F764B"/>
    <w:rsid w:val="003F7854"/>
    <w:rsid w:val="003F7BB5"/>
    <w:rsid w:val="003F7DDF"/>
    <w:rsid w:val="003F7DFC"/>
    <w:rsid w:val="004004EA"/>
    <w:rsid w:val="00400533"/>
    <w:rsid w:val="00400AFB"/>
    <w:rsid w:val="00400EF8"/>
    <w:rsid w:val="004010A7"/>
    <w:rsid w:val="004013B7"/>
    <w:rsid w:val="0040160A"/>
    <w:rsid w:val="00401DC4"/>
    <w:rsid w:val="00401F05"/>
    <w:rsid w:val="00401F24"/>
    <w:rsid w:val="00401FD9"/>
    <w:rsid w:val="004026B7"/>
    <w:rsid w:val="0040273E"/>
    <w:rsid w:val="00402768"/>
    <w:rsid w:val="00402A55"/>
    <w:rsid w:val="00402A87"/>
    <w:rsid w:val="00402CB0"/>
    <w:rsid w:val="00402F31"/>
    <w:rsid w:val="00403194"/>
    <w:rsid w:val="004031AB"/>
    <w:rsid w:val="0040381D"/>
    <w:rsid w:val="004038B5"/>
    <w:rsid w:val="00403A7D"/>
    <w:rsid w:val="00403E05"/>
    <w:rsid w:val="00403F6D"/>
    <w:rsid w:val="00403FFE"/>
    <w:rsid w:val="004041B0"/>
    <w:rsid w:val="00404257"/>
    <w:rsid w:val="0040439C"/>
    <w:rsid w:val="00404523"/>
    <w:rsid w:val="00404558"/>
    <w:rsid w:val="004045B0"/>
    <w:rsid w:val="00404670"/>
    <w:rsid w:val="00404701"/>
    <w:rsid w:val="00404946"/>
    <w:rsid w:val="00404D6F"/>
    <w:rsid w:val="00404E72"/>
    <w:rsid w:val="00404EA4"/>
    <w:rsid w:val="00404EF8"/>
    <w:rsid w:val="00405174"/>
    <w:rsid w:val="004054F0"/>
    <w:rsid w:val="00405860"/>
    <w:rsid w:val="00405910"/>
    <w:rsid w:val="00405CB5"/>
    <w:rsid w:val="00405FFB"/>
    <w:rsid w:val="00406013"/>
    <w:rsid w:val="0040613A"/>
    <w:rsid w:val="004061AB"/>
    <w:rsid w:val="004061BC"/>
    <w:rsid w:val="00406B26"/>
    <w:rsid w:val="00406CF5"/>
    <w:rsid w:val="00406F22"/>
    <w:rsid w:val="00407264"/>
    <w:rsid w:val="0040777F"/>
    <w:rsid w:val="00407EB6"/>
    <w:rsid w:val="0041052D"/>
    <w:rsid w:val="0041054C"/>
    <w:rsid w:val="0041056A"/>
    <w:rsid w:val="00410A03"/>
    <w:rsid w:val="00410B02"/>
    <w:rsid w:val="00410B1F"/>
    <w:rsid w:val="00410D5B"/>
    <w:rsid w:val="00411042"/>
    <w:rsid w:val="0041113E"/>
    <w:rsid w:val="00411208"/>
    <w:rsid w:val="0041129B"/>
    <w:rsid w:val="00411B47"/>
    <w:rsid w:val="00412048"/>
    <w:rsid w:val="00412307"/>
    <w:rsid w:val="00412312"/>
    <w:rsid w:val="004125A8"/>
    <w:rsid w:val="00412683"/>
    <w:rsid w:val="00412730"/>
    <w:rsid w:val="00412981"/>
    <w:rsid w:val="00412B94"/>
    <w:rsid w:val="00412C98"/>
    <w:rsid w:val="00412EB2"/>
    <w:rsid w:val="00412FA2"/>
    <w:rsid w:val="00413195"/>
    <w:rsid w:val="00413251"/>
    <w:rsid w:val="004132E2"/>
    <w:rsid w:val="00413325"/>
    <w:rsid w:val="0041361A"/>
    <w:rsid w:val="00413840"/>
    <w:rsid w:val="00413B10"/>
    <w:rsid w:val="00413E82"/>
    <w:rsid w:val="00413F8F"/>
    <w:rsid w:val="0041404C"/>
    <w:rsid w:val="00414268"/>
    <w:rsid w:val="004144C3"/>
    <w:rsid w:val="00414569"/>
    <w:rsid w:val="004145B3"/>
    <w:rsid w:val="00414782"/>
    <w:rsid w:val="0041480E"/>
    <w:rsid w:val="0041489B"/>
    <w:rsid w:val="00414915"/>
    <w:rsid w:val="00414AAC"/>
    <w:rsid w:val="00414D2C"/>
    <w:rsid w:val="00414D92"/>
    <w:rsid w:val="00414EEB"/>
    <w:rsid w:val="004150C5"/>
    <w:rsid w:val="004150D9"/>
    <w:rsid w:val="004151D4"/>
    <w:rsid w:val="00415541"/>
    <w:rsid w:val="00415714"/>
    <w:rsid w:val="004159BC"/>
    <w:rsid w:val="00415A20"/>
    <w:rsid w:val="00415B1F"/>
    <w:rsid w:val="00415DF6"/>
    <w:rsid w:val="00415F36"/>
    <w:rsid w:val="00416531"/>
    <w:rsid w:val="00416562"/>
    <w:rsid w:val="00416639"/>
    <w:rsid w:val="00416714"/>
    <w:rsid w:val="00416A01"/>
    <w:rsid w:val="00416AFD"/>
    <w:rsid w:val="00416DC4"/>
    <w:rsid w:val="00417009"/>
    <w:rsid w:val="00417066"/>
    <w:rsid w:val="00417196"/>
    <w:rsid w:val="004171A1"/>
    <w:rsid w:val="00417923"/>
    <w:rsid w:val="0041795C"/>
    <w:rsid w:val="00417998"/>
    <w:rsid w:val="00417E7D"/>
    <w:rsid w:val="00417F67"/>
    <w:rsid w:val="00420026"/>
    <w:rsid w:val="004203B0"/>
    <w:rsid w:val="004205C7"/>
    <w:rsid w:val="004206A2"/>
    <w:rsid w:val="0042070C"/>
    <w:rsid w:val="0042074F"/>
    <w:rsid w:val="004209E2"/>
    <w:rsid w:val="00420A50"/>
    <w:rsid w:val="00420D3F"/>
    <w:rsid w:val="00420ED4"/>
    <w:rsid w:val="0042125C"/>
    <w:rsid w:val="004213DE"/>
    <w:rsid w:val="00421450"/>
    <w:rsid w:val="0042181C"/>
    <w:rsid w:val="0042183C"/>
    <w:rsid w:val="004221B4"/>
    <w:rsid w:val="004225BC"/>
    <w:rsid w:val="00422F25"/>
    <w:rsid w:val="004238BA"/>
    <w:rsid w:val="00423A60"/>
    <w:rsid w:val="00424319"/>
    <w:rsid w:val="004245F8"/>
    <w:rsid w:val="00424630"/>
    <w:rsid w:val="0042506D"/>
    <w:rsid w:val="00425300"/>
    <w:rsid w:val="00425489"/>
    <w:rsid w:val="004259B6"/>
    <w:rsid w:val="00425EFD"/>
    <w:rsid w:val="00426044"/>
    <w:rsid w:val="00426070"/>
    <w:rsid w:val="004261ED"/>
    <w:rsid w:val="00426313"/>
    <w:rsid w:val="004263A6"/>
    <w:rsid w:val="00426533"/>
    <w:rsid w:val="00426575"/>
    <w:rsid w:val="00426619"/>
    <w:rsid w:val="00426AB5"/>
    <w:rsid w:val="00426D1C"/>
    <w:rsid w:val="004271AE"/>
    <w:rsid w:val="004272E7"/>
    <w:rsid w:val="0042730E"/>
    <w:rsid w:val="0042760D"/>
    <w:rsid w:val="00427E59"/>
    <w:rsid w:val="00427F56"/>
    <w:rsid w:val="00430ACA"/>
    <w:rsid w:val="00430B70"/>
    <w:rsid w:val="00430CA0"/>
    <w:rsid w:val="00430CD3"/>
    <w:rsid w:val="0043147A"/>
    <w:rsid w:val="004314BD"/>
    <w:rsid w:val="004318A0"/>
    <w:rsid w:val="00431900"/>
    <w:rsid w:val="0043191E"/>
    <w:rsid w:val="00431A2B"/>
    <w:rsid w:val="00431B2B"/>
    <w:rsid w:val="00431B3B"/>
    <w:rsid w:val="00431B7E"/>
    <w:rsid w:val="00431BB6"/>
    <w:rsid w:val="00431F1F"/>
    <w:rsid w:val="0043324D"/>
    <w:rsid w:val="004336AE"/>
    <w:rsid w:val="00433987"/>
    <w:rsid w:val="004339A3"/>
    <w:rsid w:val="00433AAE"/>
    <w:rsid w:val="00433C07"/>
    <w:rsid w:val="00433FA0"/>
    <w:rsid w:val="00433FE0"/>
    <w:rsid w:val="00434353"/>
    <w:rsid w:val="004344B2"/>
    <w:rsid w:val="00434574"/>
    <w:rsid w:val="00434581"/>
    <w:rsid w:val="00434589"/>
    <w:rsid w:val="00434A06"/>
    <w:rsid w:val="00434BCB"/>
    <w:rsid w:val="00434CEE"/>
    <w:rsid w:val="00435074"/>
    <w:rsid w:val="00435156"/>
    <w:rsid w:val="00435181"/>
    <w:rsid w:val="004352A8"/>
    <w:rsid w:val="00435463"/>
    <w:rsid w:val="00435755"/>
    <w:rsid w:val="00435D10"/>
    <w:rsid w:val="00435DA1"/>
    <w:rsid w:val="004363F4"/>
    <w:rsid w:val="00436454"/>
    <w:rsid w:val="004364E7"/>
    <w:rsid w:val="004365CB"/>
    <w:rsid w:val="004367E2"/>
    <w:rsid w:val="004368F7"/>
    <w:rsid w:val="00436A5B"/>
    <w:rsid w:val="00436D6D"/>
    <w:rsid w:val="004372D1"/>
    <w:rsid w:val="004373D6"/>
    <w:rsid w:val="004374EC"/>
    <w:rsid w:val="004377B5"/>
    <w:rsid w:val="00437F3E"/>
    <w:rsid w:val="00437FA1"/>
    <w:rsid w:val="00437FBA"/>
    <w:rsid w:val="004404AE"/>
    <w:rsid w:val="00440541"/>
    <w:rsid w:val="00440651"/>
    <w:rsid w:val="004406AE"/>
    <w:rsid w:val="004407D9"/>
    <w:rsid w:val="00440A6F"/>
    <w:rsid w:val="00441E3D"/>
    <w:rsid w:val="00441E57"/>
    <w:rsid w:val="00441F61"/>
    <w:rsid w:val="0044218B"/>
    <w:rsid w:val="004423F5"/>
    <w:rsid w:val="004427EC"/>
    <w:rsid w:val="0044314E"/>
    <w:rsid w:val="00443201"/>
    <w:rsid w:val="00443602"/>
    <w:rsid w:val="004436C8"/>
    <w:rsid w:val="004438C2"/>
    <w:rsid w:val="00443A27"/>
    <w:rsid w:val="00443B0F"/>
    <w:rsid w:val="00443C3A"/>
    <w:rsid w:val="00443D70"/>
    <w:rsid w:val="00443E5F"/>
    <w:rsid w:val="004440BA"/>
    <w:rsid w:val="00444537"/>
    <w:rsid w:val="004447AB"/>
    <w:rsid w:val="004448FA"/>
    <w:rsid w:val="00444987"/>
    <w:rsid w:val="00444CEC"/>
    <w:rsid w:val="00444DEC"/>
    <w:rsid w:val="00444DF0"/>
    <w:rsid w:val="00444EBA"/>
    <w:rsid w:val="00444FE6"/>
    <w:rsid w:val="0044535F"/>
    <w:rsid w:val="004458AC"/>
    <w:rsid w:val="00445B82"/>
    <w:rsid w:val="00446526"/>
    <w:rsid w:val="004467EA"/>
    <w:rsid w:val="00446AC1"/>
    <w:rsid w:val="00446E16"/>
    <w:rsid w:val="00446E1A"/>
    <w:rsid w:val="0044704B"/>
    <w:rsid w:val="0044726A"/>
    <w:rsid w:val="00447285"/>
    <w:rsid w:val="00447681"/>
    <w:rsid w:val="004476B1"/>
    <w:rsid w:val="00450077"/>
    <w:rsid w:val="004501E9"/>
    <w:rsid w:val="00450435"/>
    <w:rsid w:val="004507DC"/>
    <w:rsid w:val="00450B2F"/>
    <w:rsid w:val="00450CE4"/>
    <w:rsid w:val="00450EF5"/>
    <w:rsid w:val="00450F3C"/>
    <w:rsid w:val="0045140E"/>
    <w:rsid w:val="004514BC"/>
    <w:rsid w:val="00451655"/>
    <w:rsid w:val="00451897"/>
    <w:rsid w:val="004519FD"/>
    <w:rsid w:val="004519FE"/>
    <w:rsid w:val="00451E61"/>
    <w:rsid w:val="00451ED4"/>
    <w:rsid w:val="00451FA8"/>
    <w:rsid w:val="0045203E"/>
    <w:rsid w:val="00452760"/>
    <w:rsid w:val="00452776"/>
    <w:rsid w:val="00452BED"/>
    <w:rsid w:val="00452D91"/>
    <w:rsid w:val="0045342B"/>
    <w:rsid w:val="0045385B"/>
    <w:rsid w:val="00453AC7"/>
    <w:rsid w:val="00453B55"/>
    <w:rsid w:val="00453F12"/>
    <w:rsid w:val="00453F85"/>
    <w:rsid w:val="004542C1"/>
    <w:rsid w:val="00454360"/>
    <w:rsid w:val="00454384"/>
    <w:rsid w:val="00454469"/>
    <w:rsid w:val="0045454A"/>
    <w:rsid w:val="004546FA"/>
    <w:rsid w:val="004547C7"/>
    <w:rsid w:val="004548A6"/>
    <w:rsid w:val="0045497C"/>
    <w:rsid w:val="004549B3"/>
    <w:rsid w:val="00454A57"/>
    <w:rsid w:val="00455038"/>
    <w:rsid w:val="004550BC"/>
    <w:rsid w:val="00455622"/>
    <w:rsid w:val="00455983"/>
    <w:rsid w:val="00455A43"/>
    <w:rsid w:val="00455AB4"/>
    <w:rsid w:val="00455E26"/>
    <w:rsid w:val="004562C6"/>
    <w:rsid w:val="0045654E"/>
    <w:rsid w:val="00456890"/>
    <w:rsid w:val="00456934"/>
    <w:rsid w:val="00456A5F"/>
    <w:rsid w:val="00456CA1"/>
    <w:rsid w:val="00456E8C"/>
    <w:rsid w:val="004570C4"/>
    <w:rsid w:val="00457ACF"/>
    <w:rsid w:val="00457C41"/>
    <w:rsid w:val="00457C5C"/>
    <w:rsid w:val="00457D83"/>
    <w:rsid w:val="00457D8A"/>
    <w:rsid w:val="00457F6A"/>
    <w:rsid w:val="004600E6"/>
    <w:rsid w:val="004605B2"/>
    <w:rsid w:val="00460792"/>
    <w:rsid w:val="004609D0"/>
    <w:rsid w:val="00460CE2"/>
    <w:rsid w:val="00460D1B"/>
    <w:rsid w:val="0046122A"/>
    <w:rsid w:val="004612D2"/>
    <w:rsid w:val="004614C7"/>
    <w:rsid w:val="004615AA"/>
    <w:rsid w:val="004618A8"/>
    <w:rsid w:val="00461B23"/>
    <w:rsid w:val="00461DB0"/>
    <w:rsid w:val="0046208B"/>
    <w:rsid w:val="004621CA"/>
    <w:rsid w:val="0046220D"/>
    <w:rsid w:val="00462723"/>
    <w:rsid w:val="004627CA"/>
    <w:rsid w:val="00462ABC"/>
    <w:rsid w:val="00462AC8"/>
    <w:rsid w:val="00463203"/>
    <w:rsid w:val="00463252"/>
    <w:rsid w:val="004634D2"/>
    <w:rsid w:val="0046374A"/>
    <w:rsid w:val="0046384B"/>
    <w:rsid w:val="0046397E"/>
    <w:rsid w:val="00463B47"/>
    <w:rsid w:val="00463BDC"/>
    <w:rsid w:val="00463CF2"/>
    <w:rsid w:val="004641A6"/>
    <w:rsid w:val="00464333"/>
    <w:rsid w:val="00464490"/>
    <w:rsid w:val="0046463B"/>
    <w:rsid w:val="00464685"/>
    <w:rsid w:val="0046490C"/>
    <w:rsid w:val="0046491E"/>
    <w:rsid w:val="00464B71"/>
    <w:rsid w:val="00464CB3"/>
    <w:rsid w:val="00464EA9"/>
    <w:rsid w:val="00465114"/>
    <w:rsid w:val="004658C6"/>
    <w:rsid w:val="004658EA"/>
    <w:rsid w:val="00465942"/>
    <w:rsid w:val="00465B6E"/>
    <w:rsid w:val="00465BAE"/>
    <w:rsid w:val="00465EE4"/>
    <w:rsid w:val="0046643F"/>
    <w:rsid w:val="00466611"/>
    <w:rsid w:val="00466990"/>
    <w:rsid w:val="00466A10"/>
    <w:rsid w:val="00466A4E"/>
    <w:rsid w:val="00466B8E"/>
    <w:rsid w:val="00466DA1"/>
    <w:rsid w:val="00467146"/>
    <w:rsid w:val="0046718F"/>
    <w:rsid w:val="00467359"/>
    <w:rsid w:val="004677A9"/>
    <w:rsid w:val="004677DF"/>
    <w:rsid w:val="00470248"/>
    <w:rsid w:val="00470369"/>
    <w:rsid w:val="00470BF1"/>
    <w:rsid w:val="00470CF5"/>
    <w:rsid w:val="00470E18"/>
    <w:rsid w:val="00470FA2"/>
    <w:rsid w:val="0047147F"/>
    <w:rsid w:val="00471496"/>
    <w:rsid w:val="00471576"/>
    <w:rsid w:val="00471672"/>
    <w:rsid w:val="0047177A"/>
    <w:rsid w:val="004718C2"/>
    <w:rsid w:val="00471A7B"/>
    <w:rsid w:val="00471A7E"/>
    <w:rsid w:val="00471A91"/>
    <w:rsid w:val="00471D15"/>
    <w:rsid w:val="00471E38"/>
    <w:rsid w:val="0047218F"/>
    <w:rsid w:val="00472229"/>
    <w:rsid w:val="004722C1"/>
    <w:rsid w:val="00472D91"/>
    <w:rsid w:val="0047318F"/>
    <w:rsid w:val="004735AB"/>
    <w:rsid w:val="004736B6"/>
    <w:rsid w:val="00473835"/>
    <w:rsid w:val="00473907"/>
    <w:rsid w:val="004739DF"/>
    <w:rsid w:val="004739E0"/>
    <w:rsid w:val="00473B59"/>
    <w:rsid w:val="00473D06"/>
    <w:rsid w:val="00473D68"/>
    <w:rsid w:val="00473E65"/>
    <w:rsid w:val="004742AD"/>
    <w:rsid w:val="004744F2"/>
    <w:rsid w:val="004745AF"/>
    <w:rsid w:val="004748A9"/>
    <w:rsid w:val="004751E1"/>
    <w:rsid w:val="00475251"/>
    <w:rsid w:val="00475319"/>
    <w:rsid w:val="0047564E"/>
    <w:rsid w:val="00475748"/>
    <w:rsid w:val="00475907"/>
    <w:rsid w:val="00475C77"/>
    <w:rsid w:val="00475CC6"/>
    <w:rsid w:val="00475F1C"/>
    <w:rsid w:val="004761E2"/>
    <w:rsid w:val="0047631C"/>
    <w:rsid w:val="00476338"/>
    <w:rsid w:val="00476412"/>
    <w:rsid w:val="004764F3"/>
    <w:rsid w:val="00476640"/>
    <w:rsid w:val="004769BA"/>
    <w:rsid w:val="00476DBF"/>
    <w:rsid w:val="00476E71"/>
    <w:rsid w:val="00476FED"/>
    <w:rsid w:val="0047745B"/>
    <w:rsid w:val="00480078"/>
    <w:rsid w:val="00480496"/>
    <w:rsid w:val="004805AF"/>
    <w:rsid w:val="00480816"/>
    <w:rsid w:val="004808A6"/>
    <w:rsid w:val="00480BA3"/>
    <w:rsid w:val="00480E84"/>
    <w:rsid w:val="00480EBC"/>
    <w:rsid w:val="004813D7"/>
    <w:rsid w:val="0048142F"/>
    <w:rsid w:val="004818F5"/>
    <w:rsid w:val="004819B3"/>
    <w:rsid w:val="00481C6E"/>
    <w:rsid w:val="00481D7A"/>
    <w:rsid w:val="00481D92"/>
    <w:rsid w:val="00481E39"/>
    <w:rsid w:val="00481EF7"/>
    <w:rsid w:val="00481FFF"/>
    <w:rsid w:val="0048232B"/>
    <w:rsid w:val="0048243B"/>
    <w:rsid w:val="00482640"/>
    <w:rsid w:val="00482F1D"/>
    <w:rsid w:val="00482F62"/>
    <w:rsid w:val="0048317D"/>
    <w:rsid w:val="00483287"/>
    <w:rsid w:val="004832FF"/>
    <w:rsid w:val="0048394B"/>
    <w:rsid w:val="00483AA1"/>
    <w:rsid w:val="00483D98"/>
    <w:rsid w:val="00483F3F"/>
    <w:rsid w:val="00483FCD"/>
    <w:rsid w:val="004841FA"/>
    <w:rsid w:val="00484320"/>
    <w:rsid w:val="0048457A"/>
    <w:rsid w:val="004845CD"/>
    <w:rsid w:val="0048466F"/>
    <w:rsid w:val="004847A6"/>
    <w:rsid w:val="00484877"/>
    <w:rsid w:val="00484AB5"/>
    <w:rsid w:val="00484AEF"/>
    <w:rsid w:val="00484B9F"/>
    <w:rsid w:val="00484C66"/>
    <w:rsid w:val="004850B4"/>
    <w:rsid w:val="004850BA"/>
    <w:rsid w:val="00485154"/>
    <w:rsid w:val="004851BB"/>
    <w:rsid w:val="00485235"/>
    <w:rsid w:val="004853D1"/>
    <w:rsid w:val="00485EF4"/>
    <w:rsid w:val="00486028"/>
    <w:rsid w:val="004860BD"/>
    <w:rsid w:val="00486100"/>
    <w:rsid w:val="0048641E"/>
    <w:rsid w:val="0048677A"/>
    <w:rsid w:val="00486848"/>
    <w:rsid w:val="004868C7"/>
    <w:rsid w:val="004869A1"/>
    <w:rsid w:val="00486E56"/>
    <w:rsid w:val="00486FA4"/>
    <w:rsid w:val="00487033"/>
    <w:rsid w:val="0048715F"/>
    <w:rsid w:val="004871C1"/>
    <w:rsid w:val="00487330"/>
    <w:rsid w:val="00487398"/>
    <w:rsid w:val="0048739A"/>
    <w:rsid w:val="00487D0E"/>
    <w:rsid w:val="00487E2A"/>
    <w:rsid w:val="00490039"/>
    <w:rsid w:val="004901C5"/>
    <w:rsid w:val="004903DF"/>
    <w:rsid w:val="00490709"/>
    <w:rsid w:val="004907FB"/>
    <w:rsid w:val="00490BBB"/>
    <w:rsid w:val="004911D7"/>
    <w:rsid w:val="004916F6"/>
    <w:rsid w:val="00491876"/>
    <w:rsid w:val="0049190D"/>
    <w:rsid w:val="004919CE"/>
    <w:rsid w:val="00491EAA"/>
    <w:rsid w:val="00491ECF"/>
    <w:rsid w:val="00492040"/>
    <w:rsid w:val="00492055"/>
    <w:rsid w:val="00492724"/>
    <w:rsid w:val="00492937"/>
    <w:rsid w:val="00492CC4"/>
    <w:rsid w:val="00492CEA"/>
    <w:rsid w:val="004933AE"/>
    <w:rsid w:val="004935D9"/>
    <w:rsid w:val="00493604"/>
    <w:rsid w:val="004936E3"/>
    <w:rsid w:val="004939A1"/>
    <w:rsid w:val="00493A54"/>
    <w:rsid w:val="00493A91"/>
    <w:rsid w:val="004940D3"/>
    <w:rsid w:val="00494177"/>
    <w:rsid w:val="00494299"/>
    <w:rsid w:val="00494B55"/>
    <w:rsid w:val="00494BDF"/>
    <w:rsid w:val="00494CBA"/>
    <w:rsid w:val="00494F75"/>
    <w:rsid w:val="00495041"/>
    <w:rsid w:val="004950C9"/>
    <w:rsid w:val="00495103"/>
    <w:rsid w:val="00495267"/>
    <w:rsid w:val="004952AB"/>
    <w:rsid w:val="00495528"/>
    <w:rsid w:val="004955AB"/>
    <w:rsid w:val="00495F23"/>
    <w:rsid w:val="00495FAB"/>
    <w:rsid w:val="0049650E"/>
    <w:rsid w:val="004967FE"/>
    <w:rsid w:val="0049686F"/>
    <w:rsid w:val="00496A40"/>
    <w:rsid w:val="00496DE9"/>
    <w:rsid w:val="00496FFE"/>
    <w:rsid w:val="00497026"/>
    <w:rsid w:val="0049708F"/>
    <w:rsid w:val="004974FF"/>
    <w:rsid w:val="004975EA"/>
    <w:rsid w:val="00497624"/>
    <w:rsid w:val="0049787F"/>
    <w:rsid w:val="004979DC"/>
    <w:rsid w:val="00497ABE"/>
    <w:rsid w:val="00497C2E"/>
    <w:rsid w:val="00497DB0"/>
    <w:rsid w:val="004A0179"/>
    <w:rsid w:val="004A0774"/>
    <w:rsid w:val="004A08AD"/>
    <w:rsid w:val="004A0999"/>
    <w:rsid w:val="004A09A6"/>
    <w:rsid w:val="004A0B04"/>
    <w:rsid w:val="004A0CD9"/>
    <w:rsid w:val="004A0E8D"/>
    <w:rsid w:val="004A0E95"/>
    <w:rsid w:val="004A104A"/>
    <w:rsid w:val="004A1181"/>
    <w:rsid w:val="004A11D9"/>
    <w:rsid w:val="004A18D3"/>
    <w:rsid w:val="004A1959"/>
    <w:rsid w:val="004A1FFE"/>
    <w:rsid w:val="004A2004"/>
    <w:rsid w:val="004A236B"/>
    <w:rsid w:val="004A242F"/>
    <w:rsid w:val="004A26E8"/>
    <w:rsid w:val="004A297F"/>
    <w:rsid w:val="004A2E91"/>
    <w:rsid w:val="004A2F43"/>
    <w:rsid w:val="004A3315"/>
    <w:rsid w:val="004A391A"/>
    <w:rsid w:val="004A3EE7"/>
    <w:rsid w:val="004A4448"/>
    <w:rsid w:val="004A445C"/>
    <w:rsid w:val="004A4E04"/>
    <w:rsid w:val="004A5004"/>
    <w:rsid w:val="004A5095"/>
    <w:rsid w:val="004A5967"/>
    <w:rsid w:val="004A5B47"/>
    <w:rsid w:val="004A5BE6"/>
    <w:rsid w:val="004A5CBB"/>
    <w:rsid w:val="004A5D2A"/>
    <w:rsid w:val="004A5F30"/>
    <w:rsid w:val="004A6047"/>
    <w:rsid w:val="004A607B"/>
    <w:rsid w:val="004A611D"/>
    <w:rsid w:val="004A6136"/>
    <w:rsid w:val="004A63E4"/>
    <w:rsid w:val="004A66B5"/>
    <w:rsid w:val="004A6C8E"/>
    <w:rsid w:val="004A6D3E"/>
    <w:rsid w:val="004A6FCB"/>
    <w:rsid w:val="004A701B"/>
    <w:rsid w:val="004A71DA"/>
    <w:rsid w:val="004A7272"/>
    <w:rsid w:val="004A73E8"/>
    <w:rsid w:val="004A7658"/>
    <w:rsid w:val="004A76A0"/>
    <w:rsid w:val="004A778F"/>
    <w:rsid w:val="004A7867"/>
    <w:rsid w:val="004A78C4"/>
    <w:rsid w:val="004A78F2"/>
    <w:rsid w:val="004A7A2B"/>
    <w:rsid w:val="004A7ACA"/>
    <w:rsid w:val="004A7C41"/>
    <w:rsid w:val="004A7D98"/>
    <w:rsid w:val="004A7E69"/>
    <w:rsid w:val="004B0068"/>
    <w:rsid w:val="004B0085"/>
    <w:rsid w:val="004B0319"/>
    <w:rsid w:val="004B0357"/>
    <w:rsid w:val="004B0362"/>
    <w:rsid w:val="004B084B"/>
    <w:rsid w:val="004B08A1"/>
    <w:rsid w:val="004B09A9"/>
    <w:rsid w:val="004B0CF6"/>
    <w:rsid w:val="004B0DBE"/>
    <w:rsid w:val="004B1B42"/>
    <w:rsid w:val="004B1C46"/>
    <w:rsid w:val="004B1F40"/>
    <w:rsid w:val="004B201D"/>
    <w:rsid w:val="004B20F9"/>
    <w:rsid w:val="004B2121"/>
    <w:rsid w:val="004B2271"/>
    <w:rsid w:val="004B22E4"/>
    <w:rsid w:val="004B2DC6"/>
    <w:rsid w:val="004B2DF2"/>
    <w:rsid w:val="004B30CE"/>
    <w:rsid w:val="004B30F8"/>
    <w:rsid w:val="004B31C9"/>
    <w:rsid w:val="004B336E"/>
    <w:rsid w:val="004B3576"/>
    <w:rsid w:val="004B35FC"/>
    <w:rsid w:val="004B3AA2"/>
    <w:rsid w:val="004B3E73"/>
    <w:rsid w:val="004B4000"/>
    <w:rsid w:val="004B4757"/>
    <w:rsid w:val="004B4A5D"/>
    <w:rsid w:val="004B4D8A"/>
    <w:rsid w:val="004B5743"/>
    <w:rsid w:val="004B58D1"/>
    <w:rsid w:val="004B5CFA"/>
    <w:rsid w:val="004B5E2F"/>
    <w:rsid w:val="004B6251"/>
    <w:rsid w:val="004B66AD"/>
    <w:rsid w:val="004B6973"/>
    <w:rsid w:val="004B6B3A"/>
    <w:rsid w:val="004B6B98"/>
    <w:rsid w:val="004B6D24"/>
    <w:rsid w:val="004B6DCA"/>
    <w:rsid w:val="004B6ED8"/>
    <w:rsid w:val="004B711D"/>
    <w:rsid w:val="004B71A0"/>
    <w:rsid w:val="004B71DC"/>
    <w:rsid w:val="004B780A"/>
    <w:rsid w:val="004B7957"/>
    <w:rsid w:val="004B7E7A"/>
    <w:rsid w:val="004C00B2"/>
    <w:rsid w:val="004C01CE"/>
    <w:rsid w:val="004C031C"/>
    <w:rsid w:val="004C0602"/>
    <w:rsid w:val="004C06C2"/>
    <w:rsid w:val="004C06F9"/>
    <w:rsid w:val="004C0AFD"/>
    <w:rsid w:val="004C0B8F"/>
    <w:rsid w:val="004C0C36"/>
    <w:rsid w:val="004C0CFC"/>
    <w:rsid w:val="004C0D2B"/>
    <w:rsid w:val="004C0FF5"/>
    <w:rsid w:val="004C104D"/>
    <w:rsid w:val="004C1271"/>
    <w:rsid w:val="004C134F"/>
    <w:rsid w:val="004C18CE"/>
    <w:rsid w:val="004C1977"/>
    <w:rsid w:val="004C1ABB"/>
    <w:rsid w:val="004C1AEA"/>
    <w:rsid w:val="004C1CD5"/>
    <w:rsid w:val="004C1D47"/>
    <w:rsid w:val="004C1EFB"/>
    <w:rsid w:val="004C1F0B"/>
    <w:rsid w:val="004C1F50"/>
    <w:rsid w:val="004C228F"/>
    <w:rsid w:val="004C22DE"/>
    <w:rsid w:val="004C235D"/>
    <w:rsid w:val="004C241C"/>
    <w:rsid w:val="004C2424"/>
    <w:rsid w:val="004C295B"/>
    <w:rsid w:val="004C2C05"/>
    <w:rsid w:val="004C2DD9"/>
    <w:rsid w:val="004C2EAF"/>
    <w:rsid w:val="004C3208"/>
    <w:rsid w:val="004C330B"/>
    <w:rsid w:val="004C3374"/>
    <w:rsid w:val="004C3512"/>
    <w:rsid w:val="004C3786"/>
    <w:rsid w:val="004C3A01"/>
    <w:rsid w:val="004C3A37"/>
    <w:rsid w:val="004C3A8E"/>
    <w:rsid w:val="004C3C2D"/>
    <w:rsid w:val="004C3C76"/>
    <w:rsid w:val="004C3F52"/>
    <w:rsid w:val="004C403F"/>
    <w:rsid w:val="004C42C5"/>
    <w:rsid w:val="004C4CC3"/>
    <w:rsid w:val="004C5138"/>
    <w:rsid w:val="004C516D"/>
    <w:rsid w:val="004C52B3"/>
    <w:rsid w:val="004C577A"/>
    <w:rsid w:val="004C5A12"/>
    <w:rsid w:val="004C5A6E"/>
    <w:rsid w:val="004C5ABE"/>
    <w:rsid w:val="004C5B29"/>
    <w:rsid w:val="004C5EFF"/>
    <w:rsid w:val="004C5F92"/>
    <w:rsid w:val="004C5FEA"/>
    <w:rsid w:val="004C6167"/>
    <w:rsid w:val="004C6A23"/>
    <w:rsid w:val="004C6B74"/>
    <w:rsid w:val="004C7086"/>
    <w:rsid w:val="004C7210"/>
    <w:rsid w:val="004C7774"/>
    <w:rsid w:val="004C7A26"/>
    <w:rsid w:val="004C7C15"/>
    <w:rsid w:val="004C7CD3"/>
    <w:rsid w:val="004C7FAA"/>
    <w:rsid w:val="004D00BF"/>
    <w:rsid w:val="004D08A5"/>
    <w:rsid w:val="004D0C8B"/>
    <w:rsid w:val="004D0EAB"/>
    <w:rsid w:val="004D0F0A"/>
    <w:rsid w:val="004D0F54"/>
    <w:rsid w:val="004D157D"/>
    <w:rsid w:val="004D1774"/>
    <w:rsid w:val="004D17C4"/>
    <w:rsid w:val="004D1D5A"/>
    <w:rsid w:val="004D1D72"/>
    <w:rsid w:val="004D204A"/>
    <w:rsid w:val="004D22A0"/>
    <w:rsid w:val="004D2601"/>
    <w:rsid w:val="004D268E"/>
    <w:rsid w:val="004D27B6"/>
    <w:rsid w:val="004D287F"/>
    <w:rsid w:val="004D2D8B"/>
    <w:rsid w:val="004D34DA"/>
    <w:rsid w:val="004D35C8"/>
    <w:rsid w:val="004D388D"/>
    <w:rsid w:val="004D39E9"/>
    <w:rsid w:val="004D3B4E"/>
    <w:rsid w:val="004D3E12"/>
    <w:rsid w:val="004D41BC"/>
    <w:rsid w:val="004D47B9"/>
    <w:rsid w:val="004D4BD4"/>
    <w:rsid w:val="004D4D51"/>
    <w:rsid w:val="004D50A3"/>
    <w:rsid w:val="004D5998"/>
    <w:rsid w:val="004D5B85"/>
    <w:rsid w:val="004D5BAD"/>
    <w:rsid w:val="004D5BB4"/>
    <w:rsid w:val="004D5EB0"/>
    <w:rsid w:val="004D5ED7"/>
    <w:rsid w:val="004D630F"/>
    <w:rsid w:val="004D647C"/>
    <w:rsid w:val="004D676E"/>
    <w:rsid w:val="004D69D5"/>
    <w:rsid w:val="004D6DCA"/>
    <w:rsid w:val="004D7259"/>
    <w:rsid w:val="004D76B3"/>
    <w:rsid w:val="004D7865"/>
    <w:rsid w:val="004D7AD8"/>
    <w:rsid w:val="004D7C2F"/>
    <w:rsid w:val="004D7F82"/>
    <w:rsid w:val="004D7FE7"/>
    <w:rsid w:val="004E0072"/>
    <w:rsid w:val="004E0084"/>
    <w:rsid w:val="004E00B0"/>
    <w:rsid w:val="004E02B2"/>
    <w:rsid w:val="004E03A5"/>
    <w:rsid w:val="004E03AD"/>
    <w:rsid w:val="004E0426"/>
    <w:rsid w:val="004E093C"/>
    <w:rsid w:val="004E0968"/>
    <w:rsid w:val="004E0B78"/>
    <w:rsid w:val="004E0D2B"/>
    <w:rsid w:val="004E0D36"/>
    <w:rsid w:val="004E1144"/>
    <w:rsid w:val="004E1171"/>
    <w:rsid w:val="004E132D"/>
    <w:rsid w:val="004E15DA"/>
    <w:rsid w:val="004E1976"/>
    <w:rsid w:val="004E19C2"/>
    <w:rsid w:val="004E1A36"/>
    <w:rsid w:val="004E1CEA"/>
    <w:rsid w:val="004E1F2C"/>
    <w:rsid w:val="004E1F84"/>
    <w:rsid w:val="004E1FE2"/>
    <w:rsid w:val="004E20BE"/>
    <w:rsid w:val="004E32CF"/>
    <w:rsid w:val="004E4038"/>
    <w:rsid w:val="004E43BF"/>
    <w:rsid w:val="004E44BB"/>
    <w:rsid w:val="004E44BE"/>
    <w:rsid w:val="004E4647"/>
    <w:rsid w:val="004E4996"/>
    <w:rsid w:val="004E4999"/>
    <w:rsid w:val="004E4ECB"/>
    <w:rsid w:val="004E4EF9"/>
    <w:rsid w:val="004E4F7B"/>
    <w:rsid w:val="004E5305"/>
    <w:rsid w:val="004E53B4"/>
    <w:rsid w:val="004E5469"/>
    <w:rsid w:val="004E564C"/>
    <w:rsid w:val="004E58AE"/>
    <w:rsid w:val="004E5B0E"/>
    <w:rsid w:val="004E5C10"/>
    <w:rsid w:val="004E5E06"/>
    <w:rsid w:val="004E603B"/>
    <w:rsid w:val="004E6814"/>
    <w:rsid w:val="004E699E"/>
    <w:rsid w:val="004E6B16"/>
    <w:rsid w:val="004E6CD9"/>
    <w:rsid w:val="004E6DA9"/>
    <w:rsid w:val="004E7207"/>
    <w:rsid w:val="004E741D"/>
    <w:rsid w:val="004E745A"/>
    <w:rsid w:val="004E770B"/>
    <w:rsid w:val="004E794C"/>
    <w:rsid w:val="004E7C13"/>
    <w:rsid w:val="004E7D0D"/>
    <w:rsid w:val="004E7F92"/>
    <w:rsid w:val="004F00F9"/>
    <w:rsid w:val="004F0154"/>
    <w:rsid w:val="004F0532"/>
    <w:rsid w:val="004F05CD"/>
    <w:rsid w:val="004F0D84"/>
    <w:rsid w:val="004F1091"/>
    <w:rsid w:val="004F1109"/>
    <w:rsid w:val="004F1259"/>
    <w:rsid w:val="004F1BFF"/>
    <w:rsid w:val="004F2012"/>
    <w:rsid w:val="004F2445"/>
    <w:rsid w:val="004F267B"/>
    <w:rsid w:val="004F28B9"/>
    <w:rsid w:val="004F2A96"/>
    <w:rsid w:val="004F2E7C"/>
    <w:rsid w:val="004F2F63"/>
    <w:rsid w:val="004F3133"/>
    <w:rsid w:val="004F3486"/>
    <w:rsid w:val="004F37F0"/>
    <w:rsid w:val="004F3BD9"/>
    <w:rsid w:val="004F3C3E"/>
    <w:rsid w:val="004F4429"/>
    <w:rsid w:val="004F4531"/>
    <w:rsid w:val="004F4673"/>
    <w:rsid w:val="004F4733"/>
    <w:rsid w:val="004F477B"/>
    <w:rsid w:val="004F4B5D"/>
    <w:rsid w:val="004F4C1C"/>
    <w:rsid w:val="004F4DA9"/>
    <w:rsid w:val="004F522E"/>
    <w:rsid w:val="004F5439"/>
    <w:rsid w:val="004F5500"/>
    <w:rsid w:val="004F5A21"/>
    <w:rsid w:val="004F5A55"/>
    <w:rsid w:val="004F5C39"/>
    <w:rsid w:val="004F5D8C"/>
    <w:rsid w:val="004F5F3D"/>
    <w:rsid w:val="004F5F5C"/>
    <w:rsid w:val="004F71ED"/>
    <w:rsid w:val="004F7715"/>
    <w:rsid w:val="004F7A3D"/>
    <w:rsid w:val="004F7C31"/>
    <w:rsid w:val="004F7C9F"/>
    <w:rsid w:val="004F7CD9"/>
    <w:rsid w:val="004F7CFC"/>
    <w:rsid w:val="004F7E74"/>
    <w:rsid w:val="005000B8"/>
    <w:rsid w:val="0050014D"/>
    <w:rsid w:val="00500197"/>
    <w:rsid w:val="0050063A"/>
    <w:rsid w:val="00500666"/>
    <w:rsid w:val="00500DDE"/>
    <w:rsid w:val="00500E96"/>
    <w:rsid w:val="00501109"/>
    <w:rsid w:val="00501143"/>
    <w:rsid w:val="00501237"/>
    <w:rsid w:val="00501565"/>
    <w:rsid w:val="005015C5"/>
    <w:rsid w:val="005016E0"/>
    <w:rsid w:val="00501C38"/>
    <w:rsid w:val="00501D52"/>
    <w:rsid w:val="00502162"/>
    <w:rsid w:val="00502340"/>
    <w:rsid w:val="0050244F"/>
    <w:rsid w:val="0050273F"/>
    <w:rsid w:val="00502840"/>
    <w:rsid w:val="005028C7"/>
    <w:rsid w:val="00502E11"/>
    <w:rsid w:val="005030F3"/>
    <w:rsid w:val="00503960"/>
    <w:rsid w:val="00503B4C"/>
    <w:rsid w:val="00503CA8"/>
    <w:rsid w:val="00503EED"/>
    <w:rsid w:val="00503FC7"/>
    <w:rsid w:val="005043E0"/>
    <w:rsid w:val="00504451"/>
    <w:rsid w:val="005045BA"/>
    <w:rsid w:val="00504BBD"/>
    <w:rsid w:val="00504EFB"/>
    <w:rsid w:val="00505361"/>
    <w:rsid w:val="0050543E"/>
    <w:rsid w:val="0050544E"/>
    <w:rsid w:val="005055D9"/>
    <w:rsid w:val="005059E1"/>
    <w:rsid w:val="00505BE4"/>
    <w:rsid w:val="00505DC5"/>
    <w:rsid w:val="00505E54"/>
    <w:rsid w:val="00506028"/>
    <w:rsid w:val="00506141"/>
    <w:rsid w:val="0050619E"/>
    <w:rsid w:val="0050620A"/>
    <w:rsid w:val="005063DC"/>
    <w:rsid w:val="00506448"/>
    <w:rsid w:val="00506929"/>
    <w:rsid w:val="00506A0F"/>
    <w:rsid w:val="00506B8E"/>
    <w:rsid w:val="0050735E"/>
    <w:rsid w:val="00507752"/>
    <w:rsid w:val="00507922"/>
    <w:rsid w:val="00507AFE"/>
    <w:rsid w:val="005101C6"/>
    <w:rsid w:val="00510227"/>
    <w:rsid w:val="005102DC"/>
    <w:rsid w:val="0051039D"/>
    <w:rsid w:val="005103BC"/>
    <w:rsid w:val="00510641"/>
    <w:rsid w:val="0051068B"/>
    <w:rsid w:val="005107E1"/>
    <w:rsid w:val="00510872"/>
    <w:rsid w:val="00510A92"/>
    <w:rsid w:val="00510EF1"/>
    <w:rsid w:val="0051116D"/>
    <w:rsid w:val="005111BB"/>
    <w:rsid w:val="005113E1"/>
    <w:rsid w:val="005114D1"/>
    <w:rsid w:val="00511870"/>
    <w:rsid w:val="00511E5C"/>
    <w:rsid w:val="0051231F"/>
    <w:rsid w:val="005124B1"/>
    <w:rsid w:val="005127E2"/>
    <w:rsid w:val="00512A8D"/>
    <w:rsid w:val="00512D6D"/>
    <w:rsid w:val="005130F0"/>
    <w:rsid w:val="005131AD"/>
    <w:rsid w:val="00513282"/>
    <w:rsid w:val="005140D0"/>
    <w:rsid w:val="00514325"/>
    <w:rsid w:val="005144F1"/>
    <w:rsid w:val="0051483D"/>
    <w:rsid w:val="00514B52"/>
    <w:rsid w:val="00514BE1"/>
    <w:rsid w:val="00514CDD"/>
    <w:rsid w:val="00514DF3"/>
    <w:rsid w:val="00514F5E"/>
    <w:rsid w:val="005150D6"/>
    <w:rsid w:val="0051538C"/>
    <w:rsid w:val="0051550E"/>
    <w:rsid w:val="00515938"/>
    <w:rsid w:val="00516028"/>
    <w:rsid w:val="0051614B"/>
    <w:rsid w:val="00516668"/>
    <w:rsid w:val="0051672E"/>
    <w:rsid w:val="00516A55"/>
    <w:rsid w:val="00516D1E"/>
    <w:rsid w:val="00517125"/>
    <w:rsid w:val="00517299"/>
    <w:rsid w:val="0051747F"/>
    <w:rsid w:val="00517595"/>
    <w:rsid w:val="005177AF"/>
    <w:rsid w:val="00517BE2"/>
    <w:rsid w:val="00517C7D"/>
    <w:rsid w:val="00517CAE"/>
    <w:rsid w:val="00517CEC"/>
    <w:rsid w:val="00517D2D"/>
    <w:rsid w:val="00517E1D"/>
    <w:rsid w:val="00517FAD"/>
    <w:rsid w:val="00520089"/>
    <w:rsid w:val="005204E3"/>
    <w:rsid w:val="00520603"/>
    <w:rsid w:val="005209A8"/>
    <w:rsid w:val="00520D8C"/>
    <w:rsid w:val="005210BF"/>
    <w:rsid w:val="00521259"/>
    <w:rsid w:val="00521360"/>
    <w:rsid w:val="00521932"/>
    <w:rsid w:val="00521B10"/>
    <w:rsid w:val="00521B32"/>
    <w:rsid w:val="00521EBD"/>
    <w:rsid w:val="005220D6"/>
    <w:rsid w:val="00522244"/>
    <w:rsid w:val="0052228B"/>
    <w:rsid w:val="005225FB"/>
    <w:rsid w:val="00522749"/>
    <w:rsid w:val="00522AAC"/>
    <w:rsid w:val="0052306A"/>
    <w:rsid w:val="005230A3"/>
    <w:rsid w:val="00523144"/>
    <w:rsid w:val="00523153"/>
    <w:rsid w:val="005235A8"/>
    <w:rsid w:val="00523603"/>
    <w:rsid w:val="00523794"/>
    <w:rsid w:val="00523910"/>
    <w:rsid w:val="00523A84"/>
    <w:rsid w:val="00523F19"/>
    <w:rsid w:val="005244D8"/>
    <w:rsid w:val="00524913"/>
    <w:rsid w:val="00524CAC"/>
    <w:rsid w:val="005251F7"/>
    <w:rsid w:val="005255B7"/>
    <w:rsid w:val="00525625"/>
    <w:rsid w:val="00525C65"/>
    <w:rsid w:val="00525F6F"/>
    <w:rsid w:val="00526210"/>
    <w:rsid w:val="005266C1"/>
    <w:rsid w:val="005267C4"/>
    <w:rsid w:val="0052680E"/>
    <w:rsid w:val="00526A5C"/>
    <w:rsid w:val="00526B3D"/>
    <w:rsid w:val="00526B96"/>
    <w:rsid w:val="005272FC"/>
    <w:rsid w:val="0052799D"/>
    <w:rsid w:val="00527A1C"/>
    <w:rsid w:val="00527ABC"/>
    <w:rsid w:val="0053021E"/>
    <w:rsid w:val="005309C7"/>
    <w:rsid w:val="00530D25"/>
    <w:rsid w:val="00530E32"/>
    <w:rsid w:val="005310B7"/>
    <w:rsid w:val="00531509"/>
    <w:rsid w:val="00531901"/>
    <w:rsid w:val="00531A81"/>
    <w:rsid w:val="00531C90"/>
    <w:rsid w:val="005321D3"/>
    <w:rsid w:val="0053221F"/>
    <w:rsid w:val="005324DB"/>
    <w:rsid w:val="005326D9"/>
    <w:rsid w:val="005326F3"/>
    <w:rsid w:val="00532B6D"/>
    <w:rsid w:val="00532CB7"/>
    <w:rsid w:val="00532F2B"/>
    <w:rsid w:val="00533239"/>
    <w:rsid w:val="00533547"/>
    <w:rsid w:val="005336FF"/>
    <w:rsid w:val="00533A96"/>
    <w:rsid w:val="00533B4A"/>
    <w:rsid w:val="00533DD3"/>
    <w:rsid w:val="00533EE0"/>
    <w:rsid w:val="00533F42"/>
    <w:rsid w:val="005340E4"/>
    <w:rsid w:val="005342E2"/>
    <w:rsid w:val="0053433A"/>
    <w:rsid w:val="005343E2"/>
    <w:rsid w:val="0053474E"/>
    <w:rsid w:val="00534FBC"/>
    <w:rsid w:val="00535206"/>
    <w:rsid w:val="00535264"/>
    <w:rsid w:val="0053527F"/>
    <w:rsid w:val="00535401"/>
    <w:rsid w:val="0053547C"/>
    <w:rsid w:val="005357C8"/>
    <w:rsid w:val="00535AAA"/>
    <w:rsid w:val="00535D33"/>
    <w:rsid w:val="00536078"/>
    <w:rsid w:val="005361CA"/>
    <w:rsid w:val="0053628E"/>
    <w:rsid w:val="005362BD"/>
    <w:rsid w:val="005365A3"/>
    <w:rsid w:val="00536651"/>
    <w:rsid w:val="00536A5D"/>
    <w:rsid w:val="00536AAB"/>
    <w:rsid w:val="00536C78"/>
    <w:rsid w:val="00536D19"/>
    <w:rsid w:val="00536E91"/>
    <w:rsid w:val="00536F04"/>
    <w:rsid w:val="00537210"/>
    <w:rsid w:val="00537575"/>
    <w:rsid w:val="0053765A"/>
    <w:rsid w:val="00537698"/>
    <w:rsid w:val="005378DF"/>
    <w:rsid w:val="00537C1E"/>
    <w:rsid w:val="00537E18"/>
    <w:rsid w:val="00537F2F"/>
    <w:rsid w:val="0054017A"/>
    <w:rsid w:val="0054026A"/>
    <w:rsid w:val="005402D9"/>
    <w:rsid w:val="00540574"/>
    <w:rsid w:val="00540CEF"/>
    <w:rsid w:val="00540DAB"/>
    <w:rsid w:val="00540F29"/>
    <w:rsid w:val="0054117A"/>
    <w:rsid w:val="00541189"/>
    <w:rsid w:val="005413F2"/>
    <w:rsid w:val="00541435"/>
    <w:rsid w:val="00541487"/>
    <w:rsid w:val="005417AE"/>
    <w:rsid w:val="00541A00"/>
    <w:rsid w:val="00541B3F"/>
    <w:rsid w:val="00541D30"/>
    <w:rsid w:val="00541DE9"/>
    <w:rsid w:val="00541E0F"/>
    <w:rsid w:val="00542362"/>
    <w:rsid w:val="00542370"/>
    <w:rsid w:val="0054250D"/>
    <w:rsid w:val="00542553"/>
    <w:rsid w:val="005425FD"/>
    <w:rsid w:val="005427C0"/>
    <w:rsid w:val="00542CF4"/>
    <w:rsid w:val="005433BE"/>
    <w:rsid w:val="005433F7"/>
    <w:rsid w:val="0054348A"/>
    <w:rsid w:val="005435EE"/>
    <w:rsid w:val="00543825"/>
    <w:rsid w:val="00543A14"/>
    <w:rsid w:val="00543CCF"/>
    <w:rsid w:val="00543DA1"/>
    <w:rsid w:val="00543F00"/>
    <w:rsid w:val="005440C3"/>
    <w:rsid w:val="005442F4"/>
    <w:rsid w:val="00544356"/>
    <w:rsid w:val="005445B9"/>
    <w:rsid w:val="00544B1C"/>
    <w:rsid w:val="005458A3"/>
    <w:rsid w:val="00545CBD"/>
    <w:rsid w:val="00546152"/>
    <w:rsid w:val="005461D2"/>
    <w:rsid w:val="00546372"/>
    <w:rsid w:val="005463C6"/>
    <w:rsid w:val="005464C8"/>
    <w:rsid w:val="005465CE"/>
    <w:rsid w:val="005468EA"/>
    <w:rsid w:val="00546EC3"/>
    <w:rsid w:val="0054719F"/>
    <w:rsid w:val="005474B2"/>
    <w:rsid w:val="00547616"/>
    <w:rsid w:val="00547645"/>
    <w:rsid w:val="0054784A"/>
    <w:rsid w:val="00547857"/>
    <w:rsid w:val="005478CD"/>
    <w:rsid w:val="00547993"/>
    <w:rsid w:val="00547A8C"/>
    <w:rsid w:val="00547AD9"/>
    <w:rsid w:val="00547B4F"/>
    <w:rsid w:val="00547C6C"/>
    <w:rsid w:val="00547EA9"/>
    <w:rsid w:val="00547EC3"/>
    <w:rsid w:val="005505B1"/>
    <w:rsid w:val="0055076C"/>
    <w:rsid w:val="005509C3"/>
    <w:rsid w:val="00550E42"/>
    <w:rsid w:val="00550E78"/>
    <w:rsid w:val="00550FF5"/>
    <w:rsid w:val="0055108A"/>
    <w:rsid w:val="005510B8"/>
    <w:rsid w:val="0055114A"/>
    <w:rsid w:val="005512E2"/>
    <w:rsid w:val="005513F2"/>
    <w:rsid w:val="00551746"/>
    <w:rsid w:val="00551819"/>
    <w:rsid w:val="00551B9A"/>
    <w:rsid w:val="00551C82"/>
    <w:rsid w:val="00551C8A"/>
    <w:rsid w:val="00551FD1"/>
    <w:rsid w:val="0055202C"/>
    <w:rsid w:val="00552039"/>
    <w:rsid w:val="005520D1"/>
    <w:rsid w:val="00552117"/>
    <w:rsid w:val="005522FA"/>
    <w:rsid w:val="005526CA"/>
    <w:rsid w:val="005527B0"/>
    <w:rsid w:val="005527B4"/>
    <w:rsid w:val="005527CC"/>
    <w:rsid w:val="00552D14"/>
    <w:rsid w:val="0055322C"/>
    <w:rsid w:val="0055334F"/>
    <w:rsid w:val="00553375"/>
    <w:rsid w:val="005533DF"/>
    <w:rsid w:val="005534F9"/>
    <w:rsid w:val="00553516"/>
    <w:rsid w:val="005537B8"/>
    <w:rsid w:val="0055381A"/>
    <w:rsid w:val="005539E0"/>
    <w:rsid w:val="005539E1"/>
    <w:rsid w:val="00553B79"/>
    <w:rsid w:val="00553DB7"/>
    <w:rsid w:val="00553E23"/>
    <w:rsid w:val="00553E67"/>
    <w:rsid w:val="005542F0"/>
    <w:rsid w:val="00554663"/>
    <w:rsid w:val="00554CE0"/>
    <w:rsid w:val="00554E74"/>
    <w:rsid w:val="00554F4C"/>
    <w:rsid w:val="005554D0"/>
    <w:rsid w:val="00555ADD"/>
    <w:rsid w:val="005565A2"/>
    <w:rsid w:val="00556611"/>
    <w:rsid w:val="005567A9"/>
    <w:rsid w:val="00556C57"/>
    <w:rsid w:val="00556DE1"/>
    <w:rsid w:val="005570E8"/>
    <w:rsid w:val="005571B6"/>
    <w:rsid w:val="005571BF"/>
    <w:rsid w:val="0055725F"/>
    <w:rsid w:val="005573D0"/>
    <w:rsid w:val="005577B0"/>
    <w:rsid w:val="005578BE"/>
    <w:rsid w:val="00557A15"/>
    <w:rsid w:val="00557C90"/>
    <w:rsid w:val="00557E04"/>
    <w:rsid w:val="00560777"/>
    <w:rsid w:val="0056091E"/>
    <w:rsid w:val="00560CE2"/>
    <w:rsid w:val="00561658"/>
    <w:rsid w:val="00561720"/>
    <w:rsid w:val="0056183A"/>
    <w:rsid w:val="005618B2"/>
    <w:rsid w:val="00561955"/>
    <w:rsid w:val="00561994"/>
    <w:rsid w:val="005619A9"/>
    <w:rsid w:val="00561CD3"/>
    <w:rsid w:val="00561FAD"/>
    <w:rsid w:val="0056228F"/>
    <w:rsid w:val="005628FE"/>
    <w:rsid w:val="00562D25"/>
    <w:rsid w:val="00562F48"/>
    <w:rsid w:val="0056300A"/>
    <w:rsid w:val="00563259"/>
    <w:rsid w:val="00563276"/>
    <w:rsid w:val="0056330A"/>
    <w:rsid w:val="0056350A"/>
    <w:rsid w:val="00563539"/>
    <w:rsid w:val="005636E6"/>
    <w:rsid w:val="005637AE"/>
    <w:rsid w:val="00563950"/>
    <w:rsid w:val="00563965"/>
    <w:rsid w:val="00563C3C"/>
    <w:rsid w:val="0056400C"/>
    <w:rsid w:val="005640C4"/>
    <w:rsid w:val="00564109"/>
    <w:rsid w:val="00564472"/>
    <w:rsid w:val="0056461D"/>
    <w:rsid w:val="00564A30"/>
    <w:rsid w:val="00564F86"/>
    <w:rsid w:val="00565164"/>
    <w:rsid w:val="00565289"/>
    <w:rsid w:val="0056536D"/>
    <w:rsid w:val="0056577A"/>
    <w:rsid w:val="00565811"/>
    <w:rsid w:val="00565C35"/>
    <w:rsid w:val="00566097"/>
    <w:rsid w:val="00566166"/>
    <w:rsid w:val="00566188"/>
    <w:rsid w:val="005663E5"/>
    <w:rsid w:val="00566836"/>
    <w:rsid w:val="00566952"/>
    <w:rsid w:val="00566A13"/>
    <w:rsid w:val="00566C94"/>
    <w:rsid w:val="00566CF1"/>
    <w:rsid w:val="00566EC4"/>
    <w:rsid w:val="00566FB2"/>
    <w:rsid w:val="005670C7"/>
    <w:rsid w:val="005671B5"/>
    <w:rsid w:val="0056724A"/>
    <w:rsid w:val="00567489"/>
    <w:rsid w:val="0056767C"/>
    <w:rsid w:val="005677B6"/>
    <w:rsid w:val="00567923"/>
    <w:rsid w:val="00567A28"/>
    <w:rsid w:val="00567A44"/>
    <w:rsid w:val="00567AC6"/>
    <w:rsid w:val="00567C08"/>
    <w:rsid w:val="00567C37"/>
    <w:rsid w:val="00567FC7"/>
    <w:rsid w:val="00567FEC"/>
    <w:rsid w:val="0057011C"/>
    <w:rsid w:val="0057015E"/>
    <w:rsid w:val="005706ED"/>
    <w:rsid w:val="0057074B"/>
    <w:rsid w:val="00570A1C"/>
    <w:rsid w:val="00570B5A"/>
    <w:rsid w:val="00570E8B"/>
    <w:rsid w:val="00570F08"/>
    <w:rsid w:val="0057108C"/>
    <w:rsid w:val="005714DD"/>
    <w:rsid w:val="00571915"/>
    <w:rsid w:val="00571983"/>
    <w:rsid w:val="00571EE6"/>
    <w:rsid w:val="00571F7E"/>
    <w:rsid w:val="005724CD"/>
    <w:rsid w:val="005724FA"/>
    <w:rsid w:val="00572564"/>
    <w:rsid w:val="00572832"/>
    <w:rsid w:val="00572934"/>
    <w:rsid w:val="00572B32"/>
    <w:rsid w:val="00572B41"/>
    <w:rsid w:val="00572D99"/>
    <w:rsid w:val="00573049"/>
    <w:rsid w:val="005730AD"/>
    <w:rsid w:val="00573177"/>
    <w:rsid w:val="00573246"/>
    <w:rsid w:val="005735C7"/>
    <w:rsid w:val="005738C2"/>
    <w:rsid w:val="00573C3E"/>
    <w:rsid w:val="00573C9F"/>
    <w:rsid w:val="00573DB9"/>
    <w:rsid w:val="00574149"/>
    <w:rsid w:val="00574424"/>
    <w:rsid w:val="00574673"/>
    <w:rsid w:val="005748ED"/>
    <w:rsid w:val="00574B1F"/>
    <w:rsid w:val="00574CE6"/>
    <w:rsid w:val="00574CFD"/>
    <w:rsid w:val="00574E28"/>
    <w:rsid w:val="005751E0"/>
    <w:rsid w:val="005753E1"/>
    <w:rsid w:val="0057546F"/>
    <w:rsid w:val="005759B8"/>
    <w:rsid w:val="00575D8B"/>
    <w:rsid w:val="00575E81"/>
    <w:rsid w:val="00575FC3"/>
    <w:rsid w:val="0057604F"/>
    <w:rsid w:val="005760F1"/>
    <w:rsid w:val="0057631D"/>
    <w:rsid w:val="00576459"/>
    <w:rsid w:val="005768C7"/>
    <w:rsid w:val="00576AE1"/>
    <w:rsid w:val="00576CA6"/>
    <w:rsid w:val="00576DFE"/>
    <w:rsid w:val="00577452"/>
    <w:rsid w:val="0057758E"/>
    <w:rsid w:val="00577850"/>
    <w:rsid w:val="00577952"/>
    <w:rsid w:val="00577C29"/>
    <w:rsid w:val="00577C6F"/>
    <w:rsid w:val="00577E1A"/>
    <w:rsid w:val="00577F62"/>
    <w:rsid w:val="00580099"/>
    <w:rsid w:val="0058019E"/>
    <w:rsid w:val="005802FF"/>
    <w:rsid w:val="00580412"/>
    <w:rsid w:val="005807E8"/>
    <w:rsid w:val="00580A0A"/>
    <w:rsid w:val="00580A49"/>
    <w:rsid w:val="00580B75"/>
    <w:rsid w:val="00580F2A"/>
    <w:rsid w:val="00580FD9"/>
    <w:rsid w:val="0058116F"/>
    <w:rsid w:val="005812BD"/>
    <w:rsid w:val="005813AE"/>
    <w:rsid w:val="0058146C"/>
    <w:rsid w:val="0058170B"/>
    <w:rsid w:val="00581BF8"/>
    <w:rsid w:val="00582030"/>
    <w:rsid w:val="00582097"/>
    <w:rsid w:val="0058251B"/>
    <w:rsid w:val="00582D1E"/>
    <w:rsid w:val="0058323A"/>
    <w:rsid w:val="00583417"/>
    <w:rsid w:val="00583500"/>
    <w:rsid w:val="0058362C"/>
    <w:rsid w:val="00583870"/>
    <w:rsid w:val="005838C3"/>
    <w:rsid w:val="005840AB"/>
    <w:rsid w:val="005840FB"/>
    <w:rsid w:val="005845ED"/>
    <w:rsid w:val="00584690"/>
    <w:rsid w:val="0058483E"/>
    <w:rsid w:val="0058492E"/>
    <w:rsid w:val="00584DAE"/>
    <w:rsid w:val="00584DB0"/>
    <w:rsid w:val="00584E2F"/>
    <w:rsid w:val="00584FC1"/>
    <w:rsid w:val="00585755"/>
    <w:rsid w:val="00585A9B"/>
    <w:rsid w:val="00585C48"/>
    <w:rsid w:val="00585C55"/>
    <w:rsid w:val="00585E61"/>
    <w:rsid w:val="005863A1"/>
    <w:rsid w:val="00586565"/>
    <w:rsid w:val="0058667C"/>
    <w:rsid w:val="00586824"/>
    <w:rsid w:val="00586831"/>
    <w:rsid w:val="0058688A"/>
    <w:rsid w:val="0058696E"/>
    <w:rsid w:val="00586A4F"/>
    <w:rsid w:val="00586CA3"/>
    <w:rsid w:val="00586D68"/>
    <w:rsid w:val="00586FB9"/>
    <w:rsid w:val="005870CC"/>
    <w:rsid w:val="005873DB"/>
    <w:rsid w:val="00587541"/>
    <w:rsid w:val="00587563"/>
    <w:rsid w:val="00587C59"/>
    <w:rsid w:val="00587F11"/>
    <w:rsid w:val="00590055"/>
    <w:rsid w:val="005901DA"/>
    <w:rsid w:val="00590338"/>
    <w:rsid w:val="0059040B"/>
    <w:rsid w:val="005906C1"/>
    <w:rsid w:val="0059073F"/>
    <w:rsid w:val="005908B9"/>
    <w:rsid w:val="00590C7E"/>
    <w:rsid w:val="00590F8B"/>
    <w:rsid w:val="00591001"/>
    <w:rsid w:val="005912FB"/>
    <w:rsid w:val="005913E2"/>
    <w:rsid w:val="005914BB"/>
    <w:rsid w:val="00591677"/>
    <w:rsid w:val="0059188B"/>
    <w:rsid w:val="005918D4"/>
    <w:rsid w:val="005919EC"/>
    <w:rsid w:val="00591B4D"/>
    <w:rsid w:val="00591BA7"/>
    <w:rsid w:val="0059295A"/>
    <w:rsid w:val="00592A09"/>
    <w:rsid w:val="00592F6C"/>
    <w:rsid w:val="00592FD2"/>
    <w:rsid w:val="005931BD"/>
    <w:rsid w:val="00593531"/>
    <w:rsid w:val="005935CE"/>
    <w:rsid w:val="0059369D"/>
    <w:rsid w:val="00593DE6"/>
    <w:rsid w:val="00593FD8"/>
    <w:rsid w:val="005941BB"/>
    <w:rsid w:val="0059426A"/>
    <w:rsid w:val="0059436B"/>
    <w:rsid w:val="00594464"/>
    <w:rsid w:val="005946F1"/>
    <w:rsid w:val="005947EC"/>
    <w:rsid w:val="00594998"/>
    <w:rsid w:val="00594A21"/>
    <w:rsid w:val="00594C76"/>
    <w:rsid w:val="00594D59"/>
    <w:rsid w:val="00595197"/>
    <w:rsid w:val="00595B9B"/>
    <w:rsid w:val="00595F8A"/>
    <w:rsid w:val="00595FC2"/>
    <w:rsid w:val="0059609B"/>
    <w:rsid w:val="005960AE"/>
    <w:rsid w:val="00596169"/>
    <w:rsid w:val="0059654E"/>
    <w:rsid w:val="0059658B"/>
    <w:rsid w:val="00596B68"/>
    <w:rsid w:val="00596C16"/>
    <w:rsid w:val="00596C82"/>
    <w:rsid w:val="00596CC4"/>
    <w:rsid w:val="00596E0A"/>
    <w:rsid w:val="005970D8"/>
    <w:rsid w:val="0059713D"/>
    <w:rsid w:val="005972F0"/>
    <w:rsid w:val="005975F9"/>
    <w:rsid w:val="0059780D"/>
    <w:rsid w:val="00597849"/>
    <w:rsid w:val="00597BF6"/>
    <w:rsid w:val="00597C71"/>
    <w:rsid w:val="00597CA0"/>
    <w:rsid w:val="005A0125"/>
    <w:rsid w:val="005A035D"/>
    <w:rsid w:val="005A03B7"/>
    <w:rsid w:val="005A0800"/>
    <w:rsid w:val="005A087A"/>
    <w:rsid w:val="005A0E46"/>
    <w:rsid w:val="005A15DE"/>
    <w:rsid w:val="005A1D0E"/>
    <w:rsid w:val="005A1D3D"/>
    <w:rsid w:val="005A2029"/>
    <w:rsid w:val="005A206D"/>
    <w:rsid w:val="005A2321"/>
    <w:rsid w:val="005A26B2"/>
    <w:rsid w:val="005A297A"/>
    <w:rsid w:val="005A2E01"/>
    <w:rsid w:val="005A30E3"/>
    <w:rsid w:val="005A317A"/>
    <w:rsid w:val="005A37C7"/>
    <w:rsid w:val="005A3B2D"/>
    <w:rsid w:val="005A3E76"/>
    <w:rsid w:val="005A4440"/>
    <w:rsid w:val="005A463B"/>
    <w:rsid w:val="005A4B75"/>
    <w:rsid w:val="005A4BA8"/>
    <w:rsid w:val="005A4D42"/>
    <w:rsid w:val="005A5163"/>
    <w:rsid w:val="005A548E"/>
    <w:rsid w:val="005A55B2"/>
    <w:rsid w:val="005A56C5"/>
    <w:rsid w:val="005A5855"/>
    <w:rsid w:val="005A5F0B"/>
    <w:rsid w:val="005A5F0D"/>
    <w:rsid w:val="005A6479"/>
    <w:rsid w:val="005A6647"/>
    <w:rsid w:val="005A6794"/>
    <w:rsid w:val="005A6921"/>
    <w:rsid w:val="005A6936"/>
    <w:rsid w:val="005A6942"/>
    <w:rsid w:val="005A6997"/>
    <w:rsid w:val="005A69E7"/>
    <w:rsid w:val="005A6A16"/>
    <w:rsid w:val="005A6AF6"/>
    <w:rsid w:val="005A6F1F"/>
    <w:rsid w:val="005A7065"/>
    <w:rsid w:val="005A71B4"/>
    <w:rsid w:val="005A71C4"/>
    <w:rsid w:val="005A71FF"/>
    <w:rsid w:val="005A7494"/>
    <w:rsid w:val="005A7830"/>
    <w:rsid w:val="005A7A07"/>
    <w:rsid w:val="005A7EC0"/>
    <w:rsid w:val="005B0231"/>
    <w:rsid w:val="005B0356"/>
    <w:rsid w:val="005B0505"/>
    <w:rsid w:val="005B05B4"/>
    <w:rsid w:val="005B0788"/>
    <w:rsid w:val="005B0F1F"/>
    <w:rsid w:val="005B0F22"/>
    <w:rsid w:val="005B10AF"/>
    <w:rsid w:val="005B11FB"/>
    <w:rsid w:val="005B1245"/>
    <w:rsid w:val="005B1487"/>
    <w:rsid w:val="005B1B0E"/>
    <w:rsid w:val="005B1B5B"/>
    <w:rsid w:val="005B1C2E"/>
    <w:rsid w:val="005B1FDB"/>
    <w:rsid w:val="005B2103"/>
    <w:rsid w:val="005B2349"/>
    <w:rsid w:val="005B245F"/>
    <w:rsid w:val="005B26A6"/>
    <w:rsid w:val="005B295C"/>
    <w:rsid w:val="005B2E08"/>
    <w:rsid w:val="005B306A"/>
    <w:rsid w:val="005B33B8"/>
    <w:rsid w:val="005B36F3"/>
    <w:rsid w:val="005B3703"/>
    <w:rsid w:val="005B38F6"/>
    <w:rsid w:val="005B3B7F"/>
    <w:rsid w:val="005B3DD1"/>
    <w:rsid w:val="005B3EC4"/>
    <w:rsid w:val="005B40DD"/>
    <w:rsid w:val="005B43B9"/>
    <w:rsid w:val="005B4B2B"/>
    <w:rsid w:val="005B4FE3"/>
    <w:rsid w:val="005B50F4"/>
    <w:rsid w:val="005B5437"/>
    <w:rsid w:val="005B5515"/>
    <w:rsid w:val="005B5865"/>
    <w:rsid w:val="005B5B71"/>
    <w:rsid w:val="005B5C4A"/>
    <w:rsid w:val="005B5F03"/>
    <w:rsid w:val="005B5FBD"/>
    <w:rsid w:val="005B625D"/>
    <w:rsid w:val="005B6526"/>
    <w:rsid w:val="005B6957"/>
    <w:rsid w:val="005B6AEF"/>
    <w:rsid w:val="005B6AF5"/>
    <w:rsid w:val="005B6E9A"/>
    <w:rsid w:val="005B724C"/>
    <w:rsid w:val="005B72AD"/>
    <w:rsid w:val="005B739C"/>
    <w:rsid w:val="005B7712"/>
    <w:rsid w:val="005B78AE"/>
    <w:rsid w:val="005C0240"/>
    <w:rsid w:val="005C02CB"/>
    <w:rsid w:val="005C02DB"/>
    <w:rsid w:val="005C0FC8"/>
    <w:rsid w:val="005C10E7"/>
    <w:rsid w:val="005C1467"/>
    <w:rsid w:val="005C1532"/>
    <w:rsid w:val="005C15D1"/>
    <w:rsid w:val="005C1669"/>
    <w:rsid w:val="005C1788"/>
    <w:rsid w:val="005C17C2"/>
    <w:rsid w:val="005C17FC"/>
    <w:rsid w:val="005C1B3B"/>
    <w:rsid w:val="005C1CEB"/>
    <w:rsid w:val="005C1E3F"/>
    <w:rsid w:val="005C2284"/>
    <w:rsid w:val="005C2537"/>
    <w:rsid w:val="005C2703"/>
    <w:rsid w:val="005C273F"/>
    <w:rsid w:val="005C2BAD"/>
    <w:rsid w:val="005C2F92"/>
    <w:rsid w:val="005C334B"/>
    <w:rsid w:val="005C36DE"/>
    <w:rsid w:val="005C389D"/>
    <w:rsid w:val="005C3A98"/>
    <w:rsid w:val="005C3B35"/>
    <w:rsid w:val="005C3C4E"/>
    <w:rsid w:val="005C3CA8"/>
    <w:rsid w:val="005C3D21"/>
    <w:rsid w:val="005C3E27"/>
    <w:rsid w:val="005C441C"/>
    <w:rsid w:val="005C49B9"/>
    <w:rsid w:val="005C4B0F"/>
    <w:rsid w:val="005C4BAC"/>
    <w:rsid w:val="005C4BC1"/>
    <w:rsid w:val="005C5357"/>
    <w:rsid w:val="005C5793"/>
    <w:rsid w:val="005C5D03"/>
    <w:rsid w:val="005C5D65"/>
    <w:rsid w:val="005C6366"/>
    <w:rsid w:val="005C65A8"/>
    <w:rsid w:val="005C68E0"/>
    <w:rsid w:val="005C6B93"/>
    <w:rsid w:val="005C7085"/>
    <w:rsid w:val="005C7168"/>
    <w:rsid w:val="005C727C"/>
    <w:rsid w:val="005C7308"/>
    <w:rsid w:val="005C73ED"/>
    <w:rsid w:val="005C7769"/>
    <w:rsid w:val="005C7BA0"/>
    <w:rsid w:val="005C7CD6"/>
    <w:rsid w:val="005C7DD7"/>
    <w:rsid w:val="005C7E46"/>
    <w:rsid w:val="005C7F3A"/>
    <w:rsid w:val="005D00C8"/>
    <w:rsid w:val="005D01D6"/>
    <w:rsid w:val="005D0402"/>
    <w:rsid w:val="005D0449"/>
    <w:rsid w:val="005D04F4"/>
    <w:rsid w:val="005D0509"/>
    <w:rsid w:val="005D0D00"/>
    <w:rsid w:val="005D0E4A"/>
    <w:rsid w:val="005D1068"/>
    <w:rsid w:val="005D1091"/>
    <w:rsid w:val="005D139D"/>
    <w:rsid w:val="005D1C4D"/>
    <w:rsid w:val="005D271C"/>
    <w:rsid w:val="005D2A93"/>
    <w:rsid w:val="005D2B76"/>
    <w:rsid w:val="005D2CD3"/>
    <w:rsid w:val="005D2D5C"/>
    <w:rsid w:val="005D2EED"/>
    <w:rsid w:val="005D3217"/>
    <w:rsid w:val="005D340D"/>
    <w:rsid w:val="005D3559"/>
    <w:rsid w:val="005D3802"/>
    <w:rsid w:val="005D421F"/>
    <w:rsid w:val="005D43BA"/>
    <w:rsid w:val="005D4448"/>
    <w:rsid w:val="005D4829"/>
    <w:rsid w:val="005D4C3F"/>
    <w:rsid w:val="005D4E73"/>
    <w:rsid w:val="005D4F4E"/>
    <w:rsid w:val="005D511D"/>
    <w:rsid w:val="005D55C4"/>
    <w:rsid w:val="005D5632"/>
    <w:rsid w:val="005D58DB"/>
    <w:rsid w:val="005D5982"/>
    <w:rsid w:val="005D5B70"/>
    <w:rsid w:val="005D5E8E"/>
    <w:rsid w:val="005D5F8E"/>
    <w:rsid w:val="005D6292"/>
    <w:rsid w:val="005D6A09"/>
    <w:rsid w:val="005D6BCD"/>
    <w:rsid w:val="005D6D69"/>
    <w:rsid w:val="005D6F5D"/>
    <w:rsid w:val="005D7266"/>
    <w:rsid w:val="005D739B"/>
    <w:rsid w:val="005D7454"/>
    <w:rsid w:val="005D74DA"/>
    <w:rsid w:val="005E03B9"/>
    <w:rsid w:val="005E0AD7"/>
    <w:rsid w:val="005E0D70"/>
    <w:rsid w:val="005E12FD"/>
    <w:rsid w:val="005E1344"/>
    <w:rsid w:val="005E1728"/>
    <w:rsid w:val="005E1A11"/>
    <w:rsid w:val="005E1AD7"/>
    <w:rsid w:val="005E201D"/>
    <w:rsid w:val="005E231C"/>
    <w:rsid w:val="005E24B4"/>
    <w:rsid w:val="005E24B8"/>
    <w:rsid w:val="005E2627"/>
    <w:rsid w:val="005E28A3"/>
    <w:rsid w:val="005E28F3"/>
    <w:rsid w:val="005E2F9A"/>
    <w:rsid w:val="005E2FD5"/>
    <w:rsid w:val="005E30A7"/>
    <w:rsid w:val="005E3100"/>
    <w:rsid w:val="005E364F"/>
    <w:rsid w:val="005E36FF"/>
    <w:rsid w:val="005E3739"/>
    <w:rsid w:val="005E3A8C"/>
    <w:rsid w:val="005E3CD0"/>
    <w:rsid w:val="005E3E2B"/>
    <w:rsid w:val="005E3E3A"/>
    <w:rsid w:val="005E3E68"/>
    <w:rsid w:val="005E3FD4"/>
    <w:rsid w:val="005E3FEA"/>
    <w:rsid w:val="005E422E"/>
    <w:rsid w:val="005E4346"/>
    <w:rsid w:val="005E46A3"/>
    <w:rsid w:val="005E49BC"/>
    <w:rsid w:val="005E4B4E"/>
    <w:rsid w:val="005E4E31"/>
    <w:rsid w:val="005E5312"/>
    <w:rsid w:val="005E567A"/>
    <w:rsid w:val="005E5978"/>
    <w:rsid w:val="005E59BE"/>
    <w:rsid w:val="005E5B5D"/>
    <w:rsid w:val="005E5C33"/>
    <w:rsid w:val="005E6232"/>
    <w:rsid w:val="005E62DC"/>
    <w:rsid w:val="005E63BF"/>
    <w:rsid w:val="005E66C1"/>
    <w:rsid w:val="005E686D"/>
    <w:rsid w:val="005E6CE4"/>
    <w:rsid w:val="005E6EB1"/>
    <w:rsid w:val="005E6F20"/>
    <w:rsid w:val="005E6FFC"/>
    <w:rsid w:val="005E7057"/>
    <w:rsid w:val="005E7228"/>
    <w:rsid w:val="005E7280"/>
    <w:rsid w:val="005E74F2"/>
    <w:rsid w:val="005E7792"/>
    <w:rsid w:val="005E7AEB"/>
    <w:rsid w:val="005F0486"/>
    <w:rsid w:val="005F0B4B"/>
    <w:rsid w:val="005F0CBC"/>
    <w:rsid w:val="005F1051"/>
    <w:rsid w:val="005F1BA9"/>
    <w:rsid w:val="005F234B"/>
    <w:rsid w:val="005F23A1"/>
    <w:rsid w:val="005F254F"/>
    <w:rsid w:val="005F26EC"/>
    <w:rsid w:val="005F28F6"/>
    <w:rsid w:val="005F29EB"/>
    <w:rsid w:val="005F2BEE"/>
    <w:rsid w:val="005F2DA6"/>
    <w:rsid w:val="005F32E3"/>
    <w:rsid w:val="005F33EA"/>
    <w:rsid w:val="005F376E"/>
    <w:rsid w:val="005F3C05"/>
    <w:rsid w:val="005F3D84"/>
    <w:rsid w:val="005F42E8"/>
    <w:rsid w:val="005F4549"/>
    <w:rsid w:val="005F45E5"/>
    <w:rsid w:val="005F4689"/>
    <w:rsid w:val="005F4803"/>
    <w:rsid w:val="005F4812"/>
    <w:rsid w:val="005F4EDB"/>
    <w:rsid w:val="005F4EE8"/>
    <w:rsid w:val="005F5430"/>
    <w:rsid w:val="005F5673"/>
    <w:rsid w:val="005F5734"/>
    <w:rsid w:val="005F5939"/>
    <w:rsid w:val="005F596D"/>
    <w:rsid w:val="005F5B38"/>
    <w:rsid w:val="005F67D5"/>
    <w:rsid w:val="005F67D8"/>
    <w:rsid w:val="005F6B68"/>
    <w:rsid w:val="005F6D0B"/>
    <w:rsid w:val="005F7B71"/>
    <w:rsid w:val="005F7ED4"/>
    <w:rsid w:val="005F7F44"/>
    <w:rsid w:val="006001F2"/>
    <w:rsid w:val="006003A6"/>
    <w:rsid w:val="006006DA"/>
    <w:rsid w:val="006006F0"/>
    <w:rsid w:val="00600982"/>
    <w:rsid w:val="00600AD1"/>
    <w:rsid w:val="00600AF6"/>
    <w:rsid w:val="00600BCD"/>
    <w:rsid w:val="00600C33"/>
    <w:rsid w:val="00600D9E"/>
    <w:rsid w:val="00600ED6"/>
    <w:rsid w:val="0060108A"/>
    <w:rsid w:val="006010F6"/>
    <w:rsid w:val="0060111B"/>
    <w:rsid w:val="0060139F"/>
    <w:rsid w:val="006018A9"/>
    <w:rsid w:val="0060193A"/>
    <w:rsid w:val="006019DE"/>
    <w:rsid w:val="006019F5"/>
    <w:rsid w:val="00601E7D"/>
    <w:rsid w:val="006027FF"/>
    <w:rsid w:val="00602814"/>
    <w:rsid w:val="00602BA7"/>
    <w:rsid w:val="006031D1"/>
    <w:rsid w:val="006034C5"/>
    <w:rsid w:val="006034EA"/>
    <w:rsid w:val="0060376A"/>
    <w:rsid w:val="00603979"/>
    <w:rsid w:val="00603BE0"/>
    <w:rsid w:val="00603CDC"/>
    <w:rsid w:val="00603DB3"/>
    <w:rsid w:val="00603E18"/>
    <w:rsid w:val="0060402E"/>
    <w:rsid w:val="00604031"/>
    <w:rsid w:val="00604180"/>
    <w:rsid w:val="00604693"/>
    <w:rsid w:val="00604AA7"/>
    <w:rsid w:val="00604BB9"/>
    <w:rsid w:val="00604FE9"/>
    <w:rsid w:val="0060503C"/>
    <w:rsid w:val="00605091"/>
    <w:rsid w:val="006050F0"/>
    <w:rsid w:val="006051EE"/>
    <w:rsid w:val="00605331"/>
    <w:rsid w:val="006054CF"/>
    <w:rsid w:val="0060562B"/>
    <w:rsid w:val="006059DC"/>
    <w:rsid w:val="00605C37"/>
    <w:rsid w:val="00605E33"/>
    <w:rsid w:val="0060602B"/>
    <w:rsid w:val="00606073"/>
    <w:rsid w:val="006063A0"/>
    <w:rsid w:val="006065D0"/>
    <w:rsid w:val="0060689B"/>
    <w:rsid w:val="006069FA"/>
    <w:rsid w:val="00606C5C"/>
    <w:rsid w:val="00606CC3"/>
    <w:rsid w:val="00606D15"/>
    <w:rsid w:val="00606DC4"/>
    <w:rsid w:val="00606DD7"/>
    <w:rsid w:val="00606F63"/>
    <w:rsid w:val="00607005"/>
    <w:rsid w:val="0060770E"/>
    <w:rsid w:val="00607737"/>
    <w:rsid w:val="00607741"/>
    <w:rsid w:val="006077BB"/>
    <w:rsid w:val="00607A88"/>
    <w:rsid w:val="0061041F"/>
    <w:rsid w:val="00610551"/>
    <w:rsid w:val="00610797"/>
    <w:rsid w:val="00610916"/>
    <w:rsid w:val="006109FA"/>
    <w:rsid w:val="00610A8D"/>
    <w:rsid w:val="00610C6F"/>
    <w:rsid w:val="00611075"/>
    <w:rsid w:val="00611429"/>
    <w:rsid w:val="006114C0"/>
    <w:rsid w:val="0061178B"/>
    <w:rsid w:val="0061189E"/>
    <w:rsid w:val="00611BC6"/>
    <w:rsid w:val="00611CF2"/>
    <w:rsid w:val="00611DCF"/>
    <w:rsid w:val="00611F1F"/>
    <w:rsid w:val="00611F6B"/>
    <w:rsid w:val="0061230D"/>
    <w:rsid w:val="00612402"/>
    <w:rsid w:val="006127D9"/>
    <w:rsid w:val="00612906"/>
    <w:rsid w:val="0061298F"/>
    <w:rsid w:val="00612A03"/>
    <w:rsid w:val="00612E47"/>
    <w:rsid w:val="00612EBB"/>
    <w:rsid w:val="00613643"/>
    <w:rsid w:val="006138CC"/>
    <w:rsid w:val="00613EFA"/>
    <w:rsid w:val="00613FD0"/>
    <w:rsid w:val="00613FFE"/>
    <w:rsid w:val="00614239"/>
    <w:rsid w:val="00614521"/>
    <w:rsid w:val="006145DB"/>
    <w:rsid w:val="00614714"/>
    <w:rsid w:val="006147E0"/>
    <w:rsid w:val="00614835"/>
    <w:rsid w:val="006148F3"/>
    <w:rsid w:val="00614C3A"/>
    <w:rsid w:val="00614F92"/>
    <w:rsid w:val="00615315"/>
    <w:rsid w:val="00615327"/>
    <w:rsid w:val="0061539F"/>
    <w:rsid w:val="00615416"/>
    <w:rsid w:val="0061549A"/>
    <w:rsid w:val="006154DF"/>
    <w:rsid w:val="0061554B"/>
    <w:rsid w:val="006157CB"/>
    <w:rsid w:val="00615CC3"/>
    <w:rsid w:val="00616015"/>
    <w:rsid w:val="006162B9"/>
    <w:rsid w:val="006165D8"/>
    <w:rsid w:val="006165FA"/>
    <w:rsid w:val="0061695C"/>
    <w:rsid w:val="006169D4"/>
    <w:rsid w:val="00616BED"/>
    <w:rsid w:val="00616D9F"/>
    <w:rsid w:val="00616FD2"/>
    <w:rsid w:val="00616FD8"/>
    <w:rsid w:val="00616FE0"/>
    <w:rsid w:val="00617062"/>
    <w:rsid w:val="006173C8"/>
    <w:rsid w:val="0061743E"/>
    <w:rsid w:val="00617962"/>
    <w:rsid w:val="00617D81"/>
    <w:rsid w:val="00617E69"/>
    <w:rsid w:val="00617F8D"/>
    <w:rsid w:val="0062069A"/>
    <w:rsid w:val="00620C96"/>
    <w:rsid w:val="00620E3E"/>
    <w:rsid w:val="00621084"/>
    <w:rsid w:val="006210A4"/>
    <w:rsid w:val="00621767"/>
    <w:rsid w:val="0062184F"/>
    <w:rsid w:val="00621D46"/>
    <w:rsid w:val="00621F6E"/>
    <w:rsid w:val="006225BE"/>
    <w:rsid w:val="006229E0"/>
    <w:rsid w:val="00622DE5"/>
    <w:rsid w:val="00622EBC"/>
    <w:rsid w:val="0062306D"/>
    <w:rsid w:val="00623249"/>
    <w:rsid w:val="00623353"/>
    <w:rsid w:val="00623632"/>
    <w:rsid w:val="006236BF"/>
    <w:rsid w:val="00623AA3"/>
    <w:rsid w:val="00623B8D"/>
    <w:rsid w:val="00623BA2"/>
    <w:rsid w:val="00623CF4"/>
    <w:rsid w:val="00623D8D"/>
    <w:rsid w:val="00624198"/>
    <w:rsid w:val="0062454E"/>
    <w:rsid w:val="00624879"/>
    <w:rsid w:val="00624884"/>
    <w:rsid w:val="00624C89"/>
    <w:rsid w:val="00624CE2"/>
    <w:rsid w:val="00624D13"/>
    <w:rsid w:val="006251B4"/>
    <w:rsid w:val="00625525"/>
    <w:rsid w:val="006255D1"/>
    <w:rsid w:val="006257E5"/>
    <w:rsid w:val="00625A7D"/>
    <w:rsid w:val="00625C7A"/>
    <w:rsid w:val="00625FCD"/>
    <w:rsid w:val="0062629B"/>
    <w:rsid w:val="00626404"/>
    <w:rsid w:val="00627208"/>
    <w:rsid w:val="00627B5C"/>
    <w:rsid w:val="00627D54"/>
    <w:rsid w:val="00627E9F"/>
    <w:rsid w:val="00627EE6"/>
    <w:rsid w:val="006302BB"/>
    <w:rsid w:val="00630623"/>
    <w:rsid w:val="006307E2"/>
    <w:rsid w:val="00630917"/>
    <w:rsid w:val="00630C7E"/>
    <w:rsid w:val="00630D9E"/>
    <w:rsid w:val="006311F2"/>
    <w:rsid w:val="00631293"/>
    <w:rsid w:val="006313A2"/>
    <w:rsid w:val="006319D2"/>
    <w:rsid w:val="00631CF9"/>
    <w:rsid w:val="00631E5E"/>
    <w:rsid w:val="006321EE"/>
    <w:rsid w:val="00632377"/>
    <w:rsid w:val="0063245B"/>
    <w:rsid w:val="006324BD"/>
    <w:rsid w:val="006325C0"/>
    <w:rsid w:val="00632740"/>
    <w:rsid w:val="00632B35"/>
    <w:rsid w:val="00632D22"/>
    <w:rsid w:val="00632EF1"/>
    <w:rsid w:val="00632F18"/>
    <w:rsid w:val="00633139"/>
    <w:rsid w:val="00633716"/>
    <w:rsid w:val="00633D35"/>
    <w:rsid w:val="00633DA3"/>
    <w:rsid w:val="00633DE9"/>
    <w:rsid w:val="00633EEC"/>
    <w:rsid w:val="006344E6"/>
    <w:rsid w:val="006345F4"/>
    <w:rsid w:val="00634679"/>
    <w:rsid w:val="00634698"/>
    <w:rsid w:val="0063479E"/>
    <w:rsid w:val="00634D81"/>
    <w:rsid w:val="00635033"/>
    <w:rsid w:val="0063517C"/>
    <w:rsid w:val="006351C4"/>
    <w:rsid w:val="006353C2"/>
    <w:rsid w:val="00635695"/>
    <w:rsid w:val="00635829"/>
    <w:rsid w:val="00635D48"/>
    <w:rsid w:val="00635F47"/>
    <w:rsid w:val="00636120"/>
    <w:rsid w:val="00636142"/>
    <w:rsid w:val="006362B2"/>
    <w:rsid w:val="006363DF"/>
    <w:rsid w:val="00636755"/>
    <w:rsid w:val="00636902"/>
    <w:rsid w:val="0063697D"/>
    <w:rsid w:val="00636A97"/>
    <w:rsid w:val="00636D4D"/>
    <w:rsid w:val="00636D54"/>
    <w:rsid w:val="00636F91"/>
    <w:rsid w:val="0063711F"/>
    <w:rsid w:val="00637147"/>
    <w:rsid w:val="006374D5"/>
    <w:rsid w:val="00637808"/>
    <w:rsid w:val="00637B53"/>
    <w:rsid w:val="00637D98"/>
    <w:rsid w:val="00637F01"/>
    <w:rsid w:val="00637F2C"/>
    <w:rsid w:val="00637FCA"/>
    <w:rsid w:val="006401E1"/>
    <w:rsid w:val="0064026E"/>
    <w:rsid w:val="0064065A"/>
    <w:rsid w:val="0064082F"/>
    <w:rsid w:val="00640894"/>
    <w:rsid w:val="006408E3"/>
    <w:rsid w:val="00640A50"/>
    <w:rsid w:val="00640AF8"/>
    <w:rsid w:val="00640D68"/>
    <w:rsid w:val="00640F33"/>
    <w:rsid w:val="00641050"/>
    <w:rsid w:val="00641066"/>
    <w:rsid w:val="0064112C"/>
    <w:rsid w:val="0064140B"/>
    <w:rsid w:val="0064163F"/>
    <w:rsid w:val="00641AC4"/>
    <w:rsid w:val="00641AFE"/>
    <w:rsid w:val="00641C4B"/>
    <w:rsid w:val="00641CB1"/>
    <w:rsid w:val="00641FF8"/>
    <w:rsid w:val="00642463"/>
    <w:rsid w:val="006424F7"/>
    <w:rsid w:val="006425A5"/>
    <w:rsid w:val="006425E9"/>
    <w:rsid w:val="006428B6"/>
    <w:rsid w:val="00642BD0"/>
    <w:rsid w:val="00642DF3"/>
    <w:rsid w:val="00642F8D"/>
    <w:rsid w:val="006430F5"/>
    <w:rsid w:val="006431F8"/>
    <w:rsid w:val="0064325E"/>
    <w:rsid w:val="0064360F"/>
    <w:rsid w:val="00643727"/>
    <w:rsid w:val="006437F2"/>
    <w:rsid w:val="00643BE6"/>
    <w:rsid w:val="00643D1F"/>
    <w:rsid w:val="00643D58"/>
    <w:rsid w:val="006441CE"/>
    <w:rsid w:val="006441D7"/>
    <w:rsid w:val="006444A5"/>
    <w:rsid w:val="00644846"/>
    <w:rsid w:val="00644871"/>
    <w:rsid w:val="006448CF"/>
    <w:rsid w:val="0064544A"/>
    <w:rsid w:val="0064587F"/>
    <w:rsid w:val="006459A9"/>
    <w:rsid w:val="00645F0F"/>
    <w:rsid w:val="0064676A"/>
    <w:rsid w:val="00647574"/>
    <w:rsid w:val="0064768F"/>
    <w:rsid w:val="0064781F"/>
    <w:rsid w:val="00647866"/>
    <w:rsid w:val="00647952"/>
    <w:rsid w:val="00647BB0"/>
    <w:rsid w:val="00647C22"/>
    <w:rsid w:val="00647CF4"/>
    <w:rsid w:val="00650569"/>
    <w:rsid w:val="00650D9B"/>
    <w:rsid w:val="00651068"/>
    <w:rsid w:val="006510BD"/>
    <w:rsid w:val="0065129A"/>
    <w:rsid w:val="00651301"/>
    <w:rsid w:val="0065174C"/>
    <w:rsid w:val="00651836"/>
    <w:rsid w:val="006518B2"/>
    <w:rsid w:val="00651E50"/>
    <w:rsid w:val="00651EBF"/>
    <w:rsid w:val="00652044"/>
    <w:rsid w:val="0065207C"/>
    <w:rsid w:val="006520B8"/>
    <w:rsid w:val="00652399"/>
    <w:rsid w:val="006523EB"/>
    <w:rsid w:val="00653021"/>
    <w:rsid w:val="0065336A"/>
    <w:rsid w:val="00653A57"/>
    <w:rsid w:val="00653A8D"/>
    <w:rsid w:val="00653CBF"/>
    <w:rsid w:val="006540A3"/>
    <w:rsid w:val="006544C4"/>
    <w:rsid w:val="00654524"/>
    <w:rsid w:val="006548E6"/>
    <w:rsid w:val="00654AE1"/>
    <w:rsid w:val="00654D52"/>
    <w:rsid w:val="00654DB0"/>
    <w:rsid w:val="00654DFB"/>
    <w:rsid w:val="0065549D"/>
    <w:rsid w:val="0065597A"/>
    <w:rsid w:val="00655D4E"/>
    <w:rsid w:val="00655FA0"/>
    <w:rsid w:val="006563DC"/>
    <w:rsid w:val="00656A6F"/>
    <w:rsid w:val="00656CD0"/>
    <w:rsid w:val="00657232"/>
    <w:rsid w:val="006576B6"/>
    <w:rsid w:val="006577F6"/>
    <w:rsid w:val="00657918"/>
    <w:rsid w:val="00657926"/>
    <w:rsid w:val="00657997"/>
    <w:rsid w:val="00657B8E"/>
    <w:rsid w:val="00657D5D"/>
    <w:rsid w:val="00657DF3"/>
    <w:rsid w:val="006602EE"/>
    <w:rsid w:val="00660434"/>
    <w:rsid w:val="006609F4"/>
    <w:rsid w:val="00660CB5"/>
    <w:rsid w:val="00660DDE"/>
    <w:rsid w:val="006611F7"/>
    <w:rsid w:val="00661252"/>
    <w:rsid w:val="006612F7"/>
    <w:rsid w:val="0066157A"/>
    <w:rsid w:val="00661AB5"/>
    <w:rsid w:val="00661ACB"/>
    <w:rsid w:val="00661DBF"/>
    <w:rsid w:val="00661F55"/>
    <w:rsid w:val="00662493"/>
    <w:rsid w:val="006627AA"/>
    <w:rsid w:val="006629A1"/>
    <w:rsid w:val="00663201"/>
    <w:rsid w:val="00663590"/>
    <w:rsid w:val="00663649"/>
    <w:rsid w:val="006636A9"/>
    <w:rsid w:val="006637C1"/>
    <w:rsid w:val="00663963"/>
    <w:rsid w:val="00663B12"/>
    <w:rsid w:val="0066433A"/>
    <w:rsid w:val="00664500"/>
    <w:rsid w:val="006645E4"/>
    <w:rsid w:val="0066486F"/>
    <w:rsid w:val="00664D57"/>
    <w:rsid w:val="0066526B"/>
    <w:rsid w:val="00665990"/>
    <w:rsid w:val="00665A6C"/>
    <w:rsid w:val="00665E33"/>
    <w:rsid w:val="00665E6B"/>
    <w:rsid w:val="006663FA"/>
    <w:rsid w:val="00666501"/>
    <w:rsid w:val="00666513"/>
    <w:rsid w:val="00666954"/>
    <w:rsid w:val="00666DF7"/>
    <w:rsid w:val="00666F6D"/>
    <w:rsid w:val="00667425"/>
    <w:rsid w:val="00667559"/>
    <w:rsid w:val="006675A8"/>
    <w:rsid w:val="00667734"/>
    <w:rsid w:val="00667FCE"/>
    <w:rsid w:val="006701D0"/>
    <w:rsid w:val="00670878"/>
    <w:rsid w:val="00670C1F"/>
    <w:rsid w:val="00670FD2"/>
    <w:rsid w:val="00671185"/>
    <w:rsid w:val="006716EE"/>
    <w:rsid w:val="00671815"/>
    <w:rsid w:val="006719AA"/>
    <w:rsid w:val="00671CD9"/>
    <w:rsid w:val="00671D3C"/>
    <w:rsid w:val="0067214A"/>
    <w:rsid w:val="0067216F"/>
    <w:rsid w:val="00672527"/>
    <w:rsid w:val="0067254D"/>
    <w:rsid w:val="00672728"/>
    <w:rsid w:val="00672744"/>
    <w:rsid w:val="00672793"/>
    <w:rsid w:val="00672BB4"/>
    <w:rsid w:val="006738E8"/>
    <w:rsid w:val="006739FE"/>
    <w:rsid w:val="00673CEA"/>
    <w:rsid w:val="00673D2C"/>
    <w:rsid w:val="00673D6A"/>
    <w:rsid w:val="00673DB0"/>
    <w:rsid w:val="0067418E"/>
    <w:rsid w:val="00674242"/>
    <w:rsid w:val="006743C2"/>
    <w:rsid w:val="00674500"/>
    <w:rsid w:val="0067459A"/>
    <w:rsid w:val="00674A40"/>
    <w:rsid w:val="00674B1B"/>
    <w:rsid w:val="00674E44"/>
    <w:rsid w:val="006750D0"/>
    <w:rsid w:val="00675202"/>
    <w:rsid w:val="00675367"/>
    <w:rsid w:val="006754AA"/>
    <w:rsid w:val="006755C2"/>
    <w:rsid w:val="006759BF"/>
    <w:rsid w:val="00675A29"/>
    <w:rsid w:val="00675B9F"/>
    <w:rsid w:val="00675E66"/>
    <w:rsid w:val="00675F0D"/>
    <w:rsid w:val="00675FDC"/>
    <w:rsid w:val="00676195"/>
    <w:rsid w:val="00676249"/>
    <w:rsid w:val="0067635A"/>
    <w:rsid w:val="00676606"/>
    <w:rsid w:val="00676912"/>
    <w:rsid w:val="00676CD1"/>
    <w:rsid w:val="006770F8"/>
    <w:rsid w:val="00677204"/>
    <w:rsid w:val="006774CC"/>
    <w:rsid w:val="00677769"/>
    <w:rsid w:val="006777D9"/>
    <w:rsid w:val="00677A9F"/>
    <w:rsid w:val="0068002A"/>
    <w:rsid w:val="00680302"/>
    <w:rsid w:val="00680400"/>
    <w:rsid w:val="00680885"/>
    <w:rsid w:val="00680AF8"/>
    <w:rsid w:val="00680B27"/>
    <w:rsid w:val="00680B95"/>
    <w:rsid w:val="00680C39"/>
    <w:rsid w:val="00680CD4"/>
    <w:rsid w:val="00680DD8"/>
    <w:rsid w:val="00680E2F"/>
    <w:rsid w:val="0068109E"/>
    <w:rsid w:val="00681473"/>
    <w:rsid w:val="00681B8F"/>
    <w:rsid w:val="00681C07"/>
    <w:rsid w:val="00681C77"/>
    <w:rsid w:val="00681DB0"/>
    <w:rsid w:val="00681EFB"/>
    <w:rsid w:val="00681F4F"/>
    <w:rsid w:val="006820C3"/>
    <w:rsid w:val="00682270"/>
    <w:rsid w:val="00682340"/>
    <w:rsid w:val="006826E2"/>
    <w:rsid w:val="00682A9F"/>
    <w:rsid w:val="00682C5C"/>
    <w:rsid w:val="00682C83"/>
    <w:rsid w:val="00683035"/>
    <w:rsid w:val="00683233"/>
    <w:rsid w:val="00683410"/>
    <w:rsid w:val="00683478"/>
    <w:rsid w:val="00683680"/>
    <w:rsid w:val="00683926"/>
    <w:rsid w:val="00683A07"/>
    <w:rsid w:val="00683CC2"/>
    <w:rsid w:val="00683D96"/>
    <w:rsid w:val="0068420D"/>
    <w:rsid w:val="006846B0"/>
    <w:rsid w:val="00684743"/>
    <w:rsid w:val="00684B9F"/>
    <w:rsid w:val="00684BD7"/>
    <w:rsid w:val="00684BD8"/>
    <w:rsid w:val="00684E52"/>
    <w:rsid w:val="00684F30"/>
    <w:rsid w:val="006852ED"/>
    <w:rsid w:val="00685490"/>
    <w:rsid w:val="006857F3"/>
    <w:rsid w:val="00686298"/>
    <w:rsid w:val="0068641A"/>
    <w:rsid w:val="00686578"/>
    <w:rsid w:val="0068657E"/>
    <w:rsid w:val="00686654"/>
    <w:rsid w:val="0068702C"/>
    <w:rsid w:val="00687319"/>
    <w:rsid w:val="00687786"/>
    <w:rsid w:val="00687A84"/>
    <w:rsid w:val="00687BD9"/>
    <w:rsid w:val="00687BE0"/>
    <w:rsid w:val="00687CCE"/>
    <w:rsid w:val="00690101"/>
    <w:rsid w:val="006907E1"/>
    <w:rsid w:val="00690823"/>
    <w:rsid w:val="00690BF5"/>
    <w:rsid w:val="00690C85"/>
    <w:rsid w:val="00690F86"/>
    <w:rsid w:val="006910A3"/>
    <w:rsid w:val="0069137E"/>
    <w:rsid w:val="0069142C"/>
    <w:rsid w:val="00691795"/>
    <w:rsid w:val="006917B1"/>
    <w:rsid w:val="0069181E"/>
    <w:rsid w:val="00691A9E"/>
    <w:rsid w:val="00691BF0"/>
    <w:rsid w:val="00692476"/>
    <w:rsid w:val="006928BE"/>
    <w:rsid w:val="006928F5"/>
    <w:rsid w:val="00692A95"/>
    <w:rsid w:val="00692BC3"/>
    <w:rsid w:val="00692CF5"/>
    <w:rsid w:val="00693141"/>
    <w:rsid w:val="00693195"/>
    <w:rsid w:val="00693238"/>
    <w:rsid w:val="0069357F"/>
    <w:rsid w:val="0069365D"/>
    <w:rsid w:val="0069389E"/>
    <w:rsid w:val="006938C5"/>
    <w:rsid w:val="00693CB7"/>
    <w:rsid w:val="00694287"/>
    <w:rsid w:val="0069441D"/>
    <w:rsid w:val="006944C2"/>
    <w:rsid w:val="006948F3"/>
    <w:rsid w:val="00694B91"/>
    <w:rsid w:val="00694C56"/>
    <w:rsid w:val="00694D1A"/>
    <w:rsid w:val="00694E06"/>
    <w:rsid w:val="00694EC2"/>
    <w:rsid w:val="0069512C"/>
    <w:rsid w:val="006951B2"/>
    <w:rsid w:val="006955C9"/>
    <w:rsid w:val="0069587A"/>
    <w:rsid w:val="0069588A"/>
    <w:rsid w:val="00695A46"/>
    <w:rsid w:val="00695A75"/>
    <w:rsid w:val="00695AF7"/>
    <w:rsid w:val="00695C25"/>
    <w:rsid w:val="00695CB4"/>
    <w:rsid w:val="00695E6E"/>
    <w:rsid w:val="00695EE8"/>
    <w:rsid w:val="006963BC"/>
    <w:rsid w:val="006963C0"/>
    <w:rsid w:val="006963F3"/>
    <w:rsid w:val="00696821"/>
    <w:rsid w:val="00696C48"/>
    <w:rsid w:val="00696C64"/>
    <w:rsid w:val="00696ECF"/>
    <w:rsid w:val="0069711C"/>
    <w:rsid w:val="006974A8"/>
    <w:rsid w:val="00697570"/>
    <w:rsid w:val="00697598"/>
    <w:rsid w:val="00697A23"/>
    <w:rsid w:val="006A05D0"/>
    <w:rsid w:val="006A0615"/>
    <w:rsid w:val="006A0A77"/>
    <w:rsid w:val="006A0B31"/>
    <w:rsid w:val="006A0BB4"/>
    <w:rsid w:val="006A0C3E"/>
    <w:rsid w:val="006A0CEA"/>
    <w:rsid w:val="006A0D74"/>
    <w:rsid w:val="006A0E16"/>
    <w:rsid w:val="006A0E39"/>
    <w:rsid w:val="006A124F"/>
    <w:rsid w:val="006A126C"/>
    <w:rsid w:val="006A12E9"/>
    <w:rsid w:val="006A1344"/>
    <w:rsid w:val="006A1AEC"/>
    <w:rsid w:val="006A1C07"/>
    <w:rsid w:val="006A1C32"/>
    <w:rsid w:val="006A1DF8"/>
    <w:rsid w:val="006A1F91"/>
    <w:rsid w:val="006A219B"/>
    <w:rsid w:val="006A2277"/>
    <w:rsid w:val="006A22F7"/>
    <w:rsid w:val="006A2369"/>
    <w:rsid w:val="006A2BF0"/>
    <w:rsid w:val="006A2BFC"/>
    <w:rsid w:val="006A2EE1"/>
    <w:rsid w:val="006A3096"/>
    <w:rsid w:val="006A32D9"/>
    <w:rsid w:val="006A3311"/>
    <w:rsid w:val="006A37F2"/>
    <w:rsid w:val="006A3826"/>
    <w:rsid w:val="006A3D0E"/>
    <w:rsid w:val="006A3E41"/>
    <w:rsid w:val="006A4026"/>
    <w:rsid w:val="006A4103"/>
    <w:rsid w:val="006A41E7"/>
    <w:rsid w:val="006A4508"/>
    <w:rsid w:val="006A45A2"/>
    <w:rsid w:val="006A46E5"/>
    <w:rsid w:val="006A485C"/>
    <w:rsid w:val="006A49BC"/>
    <w:rsid w:val="006A4ACC"/>
    <w:rsid w:val="006A4D97"/>
    <w:rsid w:val="006A5284"/>
    <w:rsid w:val="006A53C9"/>
    <w:rsid w:val="006A5786"/>
    <w:rsid w:val="006A5983"/>
    <w:rsid w:val="006A59AE"/>
    <w:rsid w:val="006A59CF"/>
    <w:rsid w:val="006A5E4E"/>
    <w:rsid w:val="006A5F2A"/>
    <w:rsid w:val="006A6461"/>
    <w:rsid w:val="006A646B"/>
    <w:rsid w:val="006A7211"/>
    <w:rsid w:val="006A7397"/>
    <w:rsid w:val="006A77C7"/>
    <w:rsid w:val="006A7910"/>
    <w:rsid w:val="006A7E6F"/>
    <w:rsid w:val="006A7F0D"/>
    <w:rsid w:val="006B0009"/>
    <w:rsid w:val="006B03D4"/>
    <w:rsid w:val="006B0850"/>
    <w:rsid w:val="006B09F1"/>
    <w:rsid w:val="006B0A14"/>
    <w:rsid w:val="006B0A55"/>
    <w:rsid w:val="006B0C36"/>
    <w:rsid w:val="006B0DD2"/>
    <w:rsid w:val="006B0F48"/>
    <w:rsid w:val="006B1132"/>
    <w:rsid w:val="006B14A2"/>
    <w:rsid w:val="006B185C"/>
    <w:rsid w:val="006B1965"/>
    <w:rsid w:val="006B1AE8"/>
    <w:rsid w:val="006B2107"/>
    <w:rsid w:val="006B241F"/>
    <w:rsid w:val="006B27EA"/>
    <w:rsid w:val="006B280D"/>
    <w:rsid w:val="006B2A3D"/>
    <w:rsid w:val="006B2A4B"/>
    <w:rsid w:val="006B2C1D"/>
    <w:rsid w:val="006B2D04"/>
    <w:rsid w:val="006B2D63"/>
    <w:rsid w:val="006B2E7B"/>
    <w:rsid w:val="006B2F19"/>
    <w:rsid w:val="006B2F67"/>
    <w:rsid w:val="006B312E"/>
    <w:rsid w:val="006B3315"/>
    <w:rsid w:val="006B348E"/>
    <w:rsid w:val="006B359C"/>
    <w:rsid w:val="006B35F1"/>
    <w:rsid w:val="006B37A3"/>
    <w:rsid w:val="006B39B7"/>
    <w:rsid w:val="006B3B57"/>
    <w:rsid w:val="006B3C61"/>
    <w:rsid w:val="006B3CD4"/>
    <w:rsid w:val="006B3D6B"/>
    <w:rsid w:val="006B41BC"/>
    <w:rsid w:val="006B438B"/>
    <w:rsid w:val="006B4543"/>
    <w:rsid w:val="006B48D3"/>
    <w:rsid w:val="006B4F20"/>
    <w:rsid w:val="006B50EA"/>
    <w:rsid w:val="006B5163"/>
    <w:rsid w:val="006B5338"/>
    <w:rsid w:val="006B546C"/>
    <w:rsid w:val="006B5D8D"/>
    <w:rsid w:val="006B5FF8"/>
    <w:rsid w:val="006B61D7"/>
    <w:rsid w:val="006B6860"/>
    <w:rsid w:val="006B690B"/>
    <w:rsid w:val="006B697C"/>
    <w:rsid w:val="006B69DD"/>
    <w:rsid w:val="006B7357"/>
    <w:rsid w:val="006B7477"/>
    <w:rsid w:val="006B7652"/>
    <w:rsid w:val="006B7A11"/>
    <w:rsid w:val="006B7AFE"/>
    <w:rsid w:val="006B7E11"/>
    <w:rsid w:val="006B7E14"/>
    <w:rsid w:val="006B7ECF"/>
    <w:rsid w:val="006C007F"/>
    <w:rsid w:val="006C00F4"/>
    <w:rsid w:val="006C01D6"/>
    <w:rsid w:val="006C0502"/>
    <w:rsid w:val="006C0981"/>
    <w:rsid w:val="006C0A5B"/>
    <w:rsid w:val="006C0AE5"/>
    <w:rsid w:val="006C0B55"/>
    <w:rsid w:val="006C1078"/>
    <w:rsid w:val="006C18C9"/>
    <w:rsid w:val="006C19D6"/>
    <w:rsid w:val="006C1CE9"/>
    <w:rsid w:val="006C256A"/>
    <w:rsid w:val="006C260C"/>
    <w:rsid w:val="006C2624"/>
    <w:rsid w:val="006C28CE"/>
    <w:rsid w:val="006C2970"/>
    <w:rsid w:val="006C2B6C"/>
    <w:rsid w:val="006C2BB0"/>
    <w:rsid w:val="006C2CA6"/>
    <w:rsid w:val="006C2D6D"/>
    <w:rsid w:val="006C3209"/>
    <w:rsid w:val="006C3373"/>
    <w:rsid w:val="006C339B"/>
    <w:rsid w:val="006C34C1"/>
    <w:rsid w:val="006C394D"/>
    <w:rsid w:val="006C395E"/>
    <w:rsid w:val="006C3974"/>
    <w:rsid w:val="006C3A41"/>
    <w:rsid w:val="006C41FB"/>
    <w:rsid w:val="006C4A66"/>
    <w:rsid w:val="006C4B15"/>
    <w:rsid w:val="006C4B5B"/>
    <w:rsid w:val="006C4C6E"/>
    <w:rsid w:val="006C537E"/>
    <w:rsid w:val="006C5560"/>
    <w:rsid w:val="006C571A"/>
    <w:rsid w:val="006C59A2"/>
    <w:rsid w:val="006C5B0E"/>
    <w:rsid w:val="006C5CFD"/>
    <w:rsid w:val="006C5FB1"/>
    <w:rsid w:val="006C6318"/>
    <w:rsid w:val="006C672A"/>
    <w:rsid w:val="006C6A7E"/>
    <w:rsid w:val="006C6B40"/>
    <w:rsid w:val="006C6C71"/>
    <w:rsid w:val="006C6CF1"/>
    <w:rsid w:val="006C72B2"/>
    <w:rsid w:val="006C7510"/>
    <w:rsid w:val="006C7A5D"/>
    <w:rsid w:val="006C7B2D"/>
    <w:rsid w:val="006C7B2E"/>
    <w:rsid w:val="006C7B65"/>
    <w:rsid w:val="006C7ED2"/>
    <w:rsid w:val="006C7F3B"/>
    <w:rsid w:val="006C7FC0"/>
    <w:rsid w:val="006D0051"/>
    <w:rsid w:val="006D046B"/>
    <w:rsid w:val="006D04BB"/>
    <w:rsid w:val="006D04D5"/>
    <w:rsid w:val="006D055C"/>
    <w:rsid w:val="006D0590"/>
    <w:rsid w:val="006D0E6D"/>
    <w:rsid w:val="006D10AA"/>
    <w:rsid w:val="006D1409"/>
    <w:rsid w:val="006D14B2"/>
    <w:rsid w:val="006D170E"/>
    <w:rsid w:val="006D19C5"/>
    <w:rsid w:val="006D19E2"/>
    <w:rsid w:val="006D1B7D"/>
    <w:rsid w:val="006D2176"/>
    <w:rsid w:val="006D2601"/>
    <w:rsid w:val="006D28FC"/>
    <w:rsid w:val="006D296F"/>
    <w:rsid w:val="006D2C13"/>
    <w:rsid w:val="006D2C97"/>
    <w:rsid w:val="006D2E17"/>
    <w:rsid w:val="006D2E91"/>
    <w:rsid w:val="006D3589"/>
    <w:rsid w:val="006D39F9"/>
    <w:rsid w:val="006D3A39"/>
    <w:rsid w:val="006D3DA4"/>
    <w:rsid w:val="006D40BB"/>
    <w:rsid w:val="006D41DC"/>
    <w:rsid w:val="006D44EC"/>
    <w:rsid w:val="006D4654"/>
    <w:rsid w:val="006D49E1"/>
    <w:rsid w:val="006D4AEC"/>
    <w:rsid w:val="006D4FA8"/>
    <w:rsid w:val="006D503C"/>
    <w:rsid w:val="006D523E"/>
    <w:rsid w:val="006D5364"/>
    <w:rsid w:val="006D538D"/>
    <w:rsid w:val="006D5428"/>
    <w:rsid w:val="006D5445"/>
    <w:rsid w:val="006D549C"/>
    <w:rsid w:val="006D54EF"/>
    <w:rsid w:val="006D5CD0"/>
    <w:rsid w:val="006D5FBE"/>
    <w:rsid w:val="006D610D"/>
    <w:rsid w:val="006D63AE"/>
    <w:rsid w:val="006D6475"/>
    <w:rsid w:val="006D6483"/>
    <w:rsid w:val="006D64BC"/>
    <w:rsid w:val="006D660C"/>
    <w:rsid w:val="006D6BB7"/>
    <w:rsid w:val="006D6DC0"/>
    <w:rsid w:val="006D6DF1"/>
    <w:rsid w:val="006D7005"/>
    <w:rsid w:val="006D7336"/>
    <w:rsid w:val="006D77B3"/>
    <w:rsid w:val="006D77EB"/>
    <w:rsid w:val="006D78E1"/>
    <w:rsid w:val="006D7E1C"/>
    <w:rsid w:val="006D7FA2"/>
    <w:rsid w:val="006E00B5"/>
    <w:rsid w:val="006E0142"/>
    <w:rsid w:val="006E074C"/>
    <w:rsid w:val="006E07C1"/>
    <w:rsid w:val="006E0A16"/>
    <w:rsid w:val="006E0A86"/>
    <w:rsid w:val="006E0B41"/>
    <w:rsid w:val="006E0E8F"/>
    <w:rsid w:val="006E0FA2"/>
    <w:rsid w:val="006E1098"/>
    <w:rsid w:val="006E11FA"/>
    <w:rsid w:val="006E13FD"/>
    <w:rsid w:val="006E1C50"/>
    <w:rsid w:val="006E1CA4"/>
    <w:rsid w:val="006E1E80"/>
    <w:rsid w:val="006E2170"/>
    <w:rsid w:val="006E2389"/>
    <w:rsid w:val="006E2458"/>
    <w:rsid w:val="006E29AE"/>
    <w:rsid w:val="006E2B30"/>
    <w:rsid w:val="006E2D02"/>
    <w:rsid w:val="006E2F1A"/>
    <w:rsid w:val="006E3035"/>
    <w:rsid w:val="006E3140"/>
    <w:rsid w:val="006E3301"/>
    <w:rsid w:val="006E34E4"/>
    <w:rsid w:val="006E36DD"/>
    <w:rsid w:val="006E36E2"/>
    <w:rsid w:val="006E3746"/>
    <w:rsid w:val="006E3D9F"/>
    <w:rsid w:val="006E3DD2"/>
    <w:rsid w:val="006E3DEB"/>
    <w:rsid w:val="006E42F7"/>
    <w:rsid w:val="006E4377"/>
    <w:rsid w:val="006E43A2"/>
    <w:rsid w:val="006E455F"/>
    <w:rsid w:val="006E4587"/>
    <w:rsid w:val="006E46FC"/>
    <w:rsid w:val="006E48F9"/>
    <w:rsid w:val="006E4C2B"/>
    <w:rsid w:val="006E501D"/>
    <w:rsid w:val="006E5091"/>
    <w:rsid w:val="006E54BA"/>
    <w:rsid w:val="006E55A1"/>
    <w:rsid w:val="006E573B"/>
    <w:rsid w:val="006E588C"/>
    <w:rsid w:val="006E5903"/>
    <w:rsid w:val="006E5962"/>
    <w:rsid w:val="006E5D79"/>
    <w:rsid w:val="006E5DE9"/>
    <w:rsid w:val="006E619C"/>
    <w:rsid w:val="006E63EE"/>
    <w:rsid w:val="006E6554"/>
    <w:rsid w:val="006E657F"/>
    <w:rsid w:val="006E6598"/>
    <w:rsid w:val="006E6952"/>
    <w:rsid w:val="006E6992"/>
    <w:rsid w:val="006E6A8F"/>
    <w:rsid w:val="006E7141"/>
    <w:rsid w:val="006E74A4"/>
    <w:rsid w:val="006E752A"/>
    <w:rsid w:val="006E76AD"/>
    <w:rsid w:val="006E77AB"/>
    <w:rsid w:val="006E7A90"/>
    <w:rsid w:val="006E7B93"/>
    <w:rsid w:val="006E7D8A"/>
    <w:rsid w:val="006E7F9E"/>
    <w:rsid w:val="006F00B3"/>
    <w:rsid w:val="006F049A"/>
    <w:rsid w:val="006F050A"/>
    <w:rsid w:val="006F06A7"/>
    <w:rsid w:val="006F093D"/>
    <w:rsid w:val="006F0BE1"/>
    <w:rsid w:val="006F0C06"/>
    <w:rsid w:val="006F0FE5"/>
    <w:rsid w:val="006F11B7"/>
    <w:rsid w:val="006F11C1"/>
    <w:rsid w:val="006F12B7"/>
    <w:rsid w:val="006F1538"/>
    <w:rsid w:val="006F159D"/>
    <w:rsid w:val="006F17A6"/>
    <w:rsid w:val="006F1973"/>
    <w:rsid w:val="006F1ADB"/>
    <w:rsid w:val="006F1D05"/>
    <w:rsid w:val="006F282E"/>
    <w:rsid w:val="006F2894"/>
    <w:rsid w:val="006F29E4"/>
    <w:rsid w:val="006F2A9F"/>
    <w:rsid w:val="006F341A"/>
    <w:rsid w:val="006F3467"/>
    <w:rsid w:val="006F3547"/>
    <w:rsid w:val="006F356D"/>
    <w:rsid w:val="006F36AA"/>
    <w:rsid w:val="006F3806"/>
    <w:rsid w:val="006F3AC7"/>
    <w:rsid w:val="006F3B19"/>
    <w:rsid w:val="006F3B1E"/>
    <w:rsid w:val="006F3BF6"/>
    <w:rsid w:val="006F3FFC"/>
    <w:rsid w:val="006F444C"/>
    <w:rsid w:val="006F457B"/>
    <w:rsid w:val="006F46CE"/>
    <w:rsid w:val="006F4775"/>
    <w:rsid w:val="006F47FD"/>
    <w:rsid w:val="006F49F4"/>
    <w:rsid w:val="006F576E"/>
    <w:rsid w:val="006F57D3"/>
    <w:rsid w:val="006F5E15"/>
    <w:rsid w:val="006F5ECE"/>
    <w:rsid w:val="006F6219"/>
    <w:rsid w:val="006F624A"/>
    <w:rsid w:val="006F631F"/>
    <w:rsid w:val="006F680F"/>
    <w:rsid w:val="006F69A3"/>
    <w:rsid w:val="006F6A6F"/>
    <w:rsid w:val="006F6BB7"/>
    <w:rsid w:val="006F6D1F"/>
    <w:rsid w:val="006F6F5F"/>
    <w:rsid w:val="006F78BE"/>
    <w:rsid w:val="006F79BE"/>
    <w:rsid w:val="006F7C35"/>
    <w:rsid w:val="00700179"/>
    <w:rsid w:val="007002B7"/>
    <w:rsid w:val="0070064B"/>
    <w:rsid w:val="00700E7C"/>
    <w:rsid w:val="007013B5"/>
    <w:rsid w:val="007014B4"/>
    <w:rsid w:val="0070162A"/>
    <w:rsid w:val="007017D8"/>
    <w:rsid w:val="007017F7"/>
    <w:rsid w:val="00701DA5"/>
    <w:rsid w:val="00701FAB"/>
    <w:rsid w:val="00701FBE"/>
    <w:rsid w:val="0070226A"/>
    <w:rsid w:val="00702316"/>
    <w:rsid w:val="007023AD"/>
    <w:rsid w:val="00702846"/>
    <w:rsid w:val="00702867"/>
    <w:rsid w:val="00702BFD"/>
    <w:rsid w:val="00702DD0"/>
    <w:rsid w:val="00702E22"/>
    <w:rsid w:val="00702F33"/>
    <w:rsid w:val="0070396D"/>
    <w:rsid w:val="007039C0"/>
    <w:rsid w:val="00703A1D"/>
    <w:rsid w:val="00703B2B"/>
    <w:rsid w:val="00703D01"/>
    <w:rsid w:val="00703DF6"/>
    <w:rsid w:val="00703F69"/>
    <w:rsid w:val="007042D2"/>
    <w:rsid w:val="007047B1"/>
    <w:rsid w:val="007049CE"/>
    <w:rsid w:val="00704AC9"/>
    <w:rsid w:val="00704C5B"/>
    <w:rsid w:val="00705056"/>
    <w:rsid w:val="00705152"/>
    <w:rsid w:val="007052F8"/>
    <w:rsid w:val="0070534B"/>
    <w:rsid w:val="00705448"/>
    <w:rsid w:val="007054A2"/>
    <w:rsid w:val="0070585F"/>
    <w:rsid w:val="00705BFE"/>
    <w:rsid w:val="00706D37"/>
    <w:rsid w:val="0070710F"/>
    <w:rsid w:val="00707126"/>
    <w:rsid w:val="0070768E"/>
    <w:rsid w:val="007077D8"/>
    <w:rsid w:val="00707E3E"/>
    <w:rsid w:val="00707E7E"/>
    <w:rsid w:val="007101A1"/>
    <w:rsid w:val="007101D0"/>
    <w:rsid w:val="007101F4"/>
    <w:rsid w:val="0071030F"/>
    <w:rsid w:val="00710365"/>
    <w:rsid w:val="0071044F"/>
    <w:rsid w:val="0071075B"/>
    <w:rsid w:val="00710905"/>
    <w:rsid w:val="00710A67"/>
    <w:rsid w:val="00710EA9"/>
    <w:rsid w:val="00710FCC"/>
    <w:rsid w:val="00711295"/>
    <w:rsid w:val="007115EA"/>
    <w:rsid w:val="007116E2"/>
    <w:rsid w:val="007116E6"/>
    <w:rsid w:val="00711809"/>
    <w:rsid w:val="0071189A"/>
    <w:rsid w:val="00711959"/>
    <w:rsid w:val="0071199D"/>
    <w:rsid w:val="00711D41"/>
    <w:rsid w:val="00711FC1"/>
    <w:rsid w:val="007120E0"/>
    <w:rsid w:val="007126BB"/>
    <w:rsid w:val="00712956"/>
    <w:rsid w:val="00712A7A"/>
    <w:rsid w:val="00712AA3"/>
    <w:rsid w:val="00712B47"/>
    <w:rsid w:val="007131E2"/>
    <w:rsid w:val="0071361F"/>
    <w:rsid w:val="007137BF"/>
    <w:rsid w:val="00713B7D"/>
    <w:rsid w:val="00713E8C"/>
    <w:rsid w:val="007140CA"/>
    <w:rsid w:val="00714422"/>
    <w:rsid w:val="007144C3"/>
    <w:rsid w:val="0071468D"/>
    <w:rsid w:val="00714A51"/>
    <w:rsid w:val="00714B62"/>
    <w:rsid w:val="00714D2D"/>
    <w:rsid w:val="00714E2C"/>
    <w:rsid w:val="00714EFA"/>
    <w:rsid w:val="00714F6A"/>
    <w:rsid w:val="00715141"/>
    <w:rsid w:val="00715816"/>
    <w:rsid w:val="00715991"/>
    <w:rsid w:val="00715AA9"/>
    <w:rsid w:val="00715E8A"/>
    <w:rsid w:val="007161FB"/>
    <w:rsid w:val="00716435"/>
    <w:rsid w:val="0071658C"/>
    <w:rsid w:val="007169E0"/>
    <w:rsid w:val="00716C1E"/>
    <w:rsid w:val="00716CB5"/>
    <w:rsid w:val="00716CB9"/>
    <w:rsid w:val="00717035"/>
    <w:rsid w:val="007172C5"/>
    <w:rsid w:val="007172FB"/>
    <w:rsid w:val="00717371"/>
    <w:rsid w:val="0071770C"/>
    <w:rsid w:val="007179A5"/>
    <w:rsid w:val="00717B33"/>
    <w:rsid w:val="00717B60"/>
    <w:rsid w:val="00717B68"/>
    <w:rsid w:val="00717F9E"/>
    <w:rsid w:val="0072021E"/>
    <w:rsid w:val="007202CF"/>
    <w:rsid w:val="00720623"/>
    <w:rsid w:val="007206D1"/>
    <w:rsid w:val="0072070C"/>
    <w:rsid w:val="00720998"/>
    <w:rsid w:val="00720E10"/>
    <w:rsid w:val="00721456"/>
    <w:rsid w:val="007214EE"/>
    <w:rsid w:val="0072163D"/>
    <w:rsid w:val="00721745"/>
    <w:rsid w:val="007218B5"/>
    <w:rsid w:val="0072195E"/>
    <w:rsid w:val="00721C2C"/>
    <w:rsid w:val="00721D24"/>
    <w:rsid w:val="00721DBA"/>
    <w:rsid w:val="0072246B"/>
    <w:rsid w:val="00722628"/>
    <w:rsid w:val="0072283A"/>
    <w:rsid w:val="0072293C"/>
    <w:rsid w:val="00722D93"/>
    <w:rsid w:val="00722ECA"/>
    <w:rsid w:val="00723200"/>
    <w:rsid w:val="007233ED"/>
    <w:rsid w:val="00723874"/>
    <w:rsid w:val="0072388B"/>
    <w:rsid w:val="00723FEE"/>
    <w:rsid w:val="00724BD8"/>
    <w:rsid w:val="00724DF8"/>
    <w:rsid w:val="00725127"/>
    <w:rsid w:val="0072552E"/>
    <w:rsid w:val="00725916"/>
    <w:rsid w:val="00725A2D"/>
    <w:rsid w:val="00725B06"/>
    <w:rsid w:val="00725B69"/>
    <w:rsid w:val="00725B89"/>
    <w:rsid w:val="00725CC6"/>
    <w:rsid w:val="00726274"/>
    <w:rsid w:val="007263D1"/>
    <w:rsid w:val="00726672"/>
    <w:rsid w:val="00726829"/>
    <w:rsid w:val="00726D2E"/>
    <w:rsid w:val="00726EC4"/>
    <w:rsid w:val="00727496"/>
    <w:rsid w:val="00727947"/>
    <w:rsid w:val="0073078D"/>
    <w:rsid w:val="00730BCD"/>
    <w:rsid w:val="00730F29"/>
    <w:rsid w:val="007312E7"/>
    <w:rsid w:val="00731368"/>
    <w:rsid w:val="00731413"/>
    <w:rsid w:val="0073160C"/>
    <w:rsid w:val="0073191F"/>
    <w:rsid w:val="00731CDB"/>
    <w:rsid w:val="00731D0B"/>
    <w:rsid w:val="00731F5F"/>
    <w:rsid w:val="00731FF4"/>
    <w:rsid w:val="007320A0"/>
    <w:rsid w:val="0073218D"/>
    <w:rsid w:val="00732263"/>
    <w:rsid w:val="00732359"/>
    <w:rsid w:val="00732575"/>
    <w:rsid w:val="00732635"/>
    <w:rsid w:val="007326AD"/>
    <w:rsid w:val="00732720"/>
    <w:rsid w:val="0073294D"/>
    <w:rsid w:val="007329B7"/>
    <w:rsid w:val="00732C27"/>
    <w:rsid w:val="00732F5E"/>
    <w:rsid w:val="0073309D"/>
    <w:rsid w:val="00733488"/>
    <w:rsid w:val="007334ED"/>
    <w:rsid w:val="007337FB"/>
    <w:rsid w:val="007339FB"/>
    <w:rsid w:val="00733D5C"/>
    <w:rsid w:val="00733E0F"/>
    <w:rsid w:val="00734090"/>
    <w:rsid w:val="00734162"/>
    <w:rsid w:val="00734179"/>
    <w:rsid w:val="00734525"/>
    <w:rsid w:val="007346A3"/>
    <w:rsid w:val="00734A62"/>
    <w:rsid w:val="00734BEB"/>
    <w:rsid w:val="00734BF7"/>
    <w:rsid w:val="007350B8"/>
    <w:rsid w:val="00735205"/>
    <w:rsid w:val="00735566"/>
    <w:rsid w:val="00735627"/>
    <w:rsid w:val="00735751"/>
    <w:rsid w:val="007358AF"/>
    <w:rsid w:val="00735D29"/>
    <w:rsid w:val="00735E43"/>
    <w:rsid w:val="00735FF2"/>
    <w:rsid w:val="0073616C"/>
    <w:rsid w:val="00736693"/>
    <w:rsid w:val="00736706"/>
    <w:rsid w:val="00736832"/>
    <w:rsid w:val="00736A59"/>
    <w:rsid w:val="00736CE9"/>
    <w:rsid w:val="007372BA"/>
    <w:rsid w:val="007372E8"/>
    <w:rsid w:val="007376EC"/>
    <w:rsid w:val="00737F04"/>
    <w:rsid w:val="00740065"/>
    <w:rsid w:val="00740619"/>
    <w:rsid w:val="0074095F"/>
    <w:rsid w:val="00740C3E"/>
    <w:rsid w:val="00740F3F"/>
    <w:rsid w:val="00740FC1"/>
    <w:rsid w:val="0074109D"/>
    <w:rsid w:val="00741172"/>
    <w:rsid w:val="00741208"/>
    <w:rsid w:val="0074120A"/>
    <w:rsid w:val="0074124F"/>
    <w:rsid w:val="00741303"/>
    <w:rsid w:val="00741339"/>
    <w:rsid w:val="0074153E"/>
    <w:rsid w:val="007418B5"/>
    <w:rsid w:val="0074196A"/>
    <w:rsid w:val="00741B8C"/>
    <w:rsid w:val="00741CFD"/>
    <w:rsid w:val="00741E23"/>
    <w:rsid w:val="007420A0"/>
    <w:rsid w:val="007420F5"/>
    <w:rsid w:val="0074241D"/>
    <w:rsid w:val="007424F7"/>
    <w:rsid w:val="007425C3"/>
    <w:rsid w:val="007427E8"/>
    <w:rsid w:val="0074286E"/>
    <w:rsid w:val="00742B69"/>
    <w:rsid w:val="00742E76"/>
    <w:rsid w:val="00742E77"/>
    <w:rsid w:val="0074308E"/>
    <w:rsid w:val="007431E9"/>
    <w:rsid w:val="00743280"/>
    <w:rsid w:val="007433B2"/>
    <w:rsid w:val="007436E0"/>
    <w:rsid w:val="00743A36"/>
    <w:rsid w:val="007441A1"/>
    <w:rsid w:val="007441A2"/>
    <w:rsid w:val="00744363"/>
    <w:rsid w:val="00744B0C"/>
    <w:rsid w:val="00744BA1"/>
    <w:rsid w:val="00744E58"/>
    <w:rsid w:val="0074547E"/>
    <w:rsid w:val="00745572"/>
    <w:rsid w:val="00745764"/>
    <w:rsid w:val="00745916"/>
    <w:rsid w:val="00745D46"/>
    <w:rsid w:val="007460BC"/>
    <w:rsid w:val="007462A7"/>
    <w:rsid w:val="0074633F"/>
    <w:rsid w:val="007463A2"/>
    <w:rsid w:val="007463D7"/>
    <w:rsid w:val="007465A7"/>
    <w:rsid w:val="0074678B"/>
    <w:rsid w:val="00746ADA"/>
    <w:rsid w:val="00746AF1"/>
    <w:rsid w:val="00746BB1"/>
    <w:rsid w:val="00747143"/>
    <w:rsid w:val="00747357"/>
    <w:rsid w:val="00747500"/>
    <w:rsid w:val="00747708"/>
    <w:rsid w:val="007477F8"/>
    <w:rsid w:val="00747838"/>
    <w:rsid w:val="00747870"/>
    <w:rsid w:val="00747881"/>
    <w:rsid w:val="0074788A"/>
    <w:rsid w:val="00747DE6"/>
    <w:rsid w:val="00747F33"/>
    <w:rsid w:val="00747F82"/>
    <w:rsid w:val="00750086"/>
    <w:rsid w:val="0075022A"/>
    <w:rsid w:val="00750677"/>
    <w:rsid w:val="00750731"/>
    <w:rsid w:val="00750979"/>
    <w:rsid w:val="007509EC"/>
    <w:rsid w:val="007509FD"/>
    <w:rsid w:val="00750A05"/>
    <w:rsid w:val="00750AAB"/>
    <w:rsid w:val="00750BE2"/>
    <w:rsid w:val="00750F97"/>
    <w:rsid w:val="00750FE9"/>
    <w:rsid w:val="0075112F"/>
    <w:rsid w:val="0075139B"/>
    <w:rsid w:val="0075141A"/>
    <w:rsid w:val="0075142E"/>
    <w:rsid w:val="00751A13"/>
    <w:rsid w:val="00751AF4"/>
    <w:rsid w:val="007520B3"/>
    <w:rsid w:val="007520F1"/>
    <w:rsid w:val="00752163"/>
    <w:rsid w:val="00752389"/>
    <w:rsid w:val="007526D4"/>
    <w:rsid w:val="007527AC"/>
    <w:rsid w:val="007527C8"/>
    <w:rsid w:val="007528FC"/>
    <w:rsid w:val="00752908"/>
    <w:rsid w:val="00752944"/>
    <w:rsid w:val="00752C11"/>
    <w:rsid w:val="00752CAB"/>
    <w:rsid w:val="00752D90"/>
    <w:rsid w:val="00752DD5"/>
    <w:rsid w:val="00752FB1"/>
    <w:rsid w:val="00753155"/>
    <w:rsid w:val="0075331F"/>
    <w:rsid w:val="00753752"/>
    <w:rsid w:val="007541B4"/>
    <w:rsid w:val="007544E7"/>
    <w:rsid w:val="00754715"/>
    <w:rsid w:val="00754978"/>
    <w:rsid w:val="00754DB1"/>
    <w:rsid w:val="007550D3"/>
    <w:rsid w:val="007551BB"/>
    <w:rsid w:val="00755215"/>
    <w:rsid w:val="0075529E"/>
    <w:rsid w:val="007552CD"/>
    <w:rsid w:val="0075533A"/>
    <w:rsid w:val="00755379"/>
    <w:rsid w:val="0075541D"/>
    <w:rsid w:val="007557CB"/>
    <w:rsid w:val="00755A4F"/>
    <w:rsid w:val="00755ED4"/>
    <w:rsid w:val="0075615B"/>
    <w:rsid w:val="0075616B"/>
    <w:rsid w:val="007561E2"/>
    <w:rsid w:val="0075654E"/>
    <w:rsid w:val="00756621"/>
    <w:rsid w:val="00756670"/>
    <w:rsid w:val="00756A17"/>
    <w:rsid w:val="00756DA8"/>
    <w:rsid w:val="00757005"/>
    <w:rsid w:val="0075701B"/>
    <w:rsid w:val="007570E6"/>
    <w:rsid w:val="00757228"/>
    <w:rsid w:val="007572E6"/>
    <w:rsid w:val="0075734F"/>
    <w:rsid w:val="007575B1"/>
    <w:rsid w:val="00757899"/>
    <w:rsid w:val="00757B61"/>
    <w:rsid w:val="00757D47"/>
    <w:rsid w:val="00757EF0"/>
    <w:rsid w:val="00760661"/>
    <w:rsid w:val="00760703"/>
    <w:rsid w:val="007608A8"/>
    <w:rsid w:val="00760A77"/>
    <w:rsid w:val="00760ABC"/>
    <w:rsid w:val="00760CCC"/>
    <w:rsid w:val="00760E73"/>
    <w:rsid w:val="0076110E"/>
    <w:rsid w:val="007613E2"/>
    <w:rsid w:val="00761471"/>
    <w:rsid w:val="007616B1"/>
    <w:rsid w:val="00761850"/>
    <w:rsid w:val="00761A4B"/>
    <w:rsid w:val="00761B55"/>
    <w:rsid w:val="00761C2B"/>
    <w:rsid w:val="00761D30"/>
    <w:rsid w:val="00761E5F"/>
    <w:rsid w:val="00761EDC"/>
    <w:rsid w:val="00761F43"/>
    <w:rsid w:val="0076211D"/>
    <w:rsid w:val="007621DF"/>
    <w:rsid w:val="00762487"/>
    <w:rsid w:val="00762762"/>
    <w:rsid w:val="007629BC"/>
    <w:rsid w:val="00762AEE"/>
    <w:rsid w:val="00762F11"/>
    <w:rsid w:val="00763029"/>
    <w:rsid w:val="0076315A"/>
    <w:rsid w:val="007634F4"/>
    <w:rsid w:val="007635E4"/>
    <w:rsid w:val="00763660"/>
    <w:rsid w:val="00763761"/>
    <w:rsid w:val="0076387F"/>
    <w:rsid w:val="00763A08"/>
    <w:rsid w:val="00763A11"/>
    <w:rsid w:val="00763D72"/>
    <w:rsid w:val="0076409D"/>
    <w:rsid w:val="007640C4"/>
    <w:rsid w:val="00764122"/>
    <w:rsid w:val="007641B1"/>
    <w:rsid w:val="00764332"/>
    <w:rsid w:val="0076434D"/>
    <w:rsid w:val="00764500"/>
    <w:rsid w:val="007646CB"/>
    <w:rsid w:val="00764D73"/>
    <w:rsid w:val="00764DFE"/>
    <w:rsid w:val="00764E70"/>
    <w:rsid w:val="00764E88"/>
    <w:rsid w:val="00764EAC"/>
    <w:rsid w:val="00764EFD"/>
    <w:rsid w:val="00764FEC"/>
    <w:rsid w:val="007655E5"/>
    <w:rsid w:val="00765787"/>
    <w:rsid w:val="007657B0"/>
    <w:rsid w:val="0076585A"/>
    <w:rsid w:val="00765C08"/>
    <w:rsid w:val="00765C26"/>
    <w:rsid w:val="007663A6"/>
    <w:rsid w:val="007664B3"/>
    <w:rsid w:val="00766547"/>
    <w:rsid w:val="007667E1"/>
    <w:rsid w:val="00766877"/>
    <w:rsid w:val="007668E0"/>
    <w:rsid w:val="00766CED"/>
    <w:rsid w:val="00766FA5"/>
    <w:rsid w:val="00767652"/>
    <w:rsid w:val="007678C0"/>
    <w:rsid w:val="00767BD1"/>
    <w:rsid w:val="00767DAE"/>
    <w:rsid w:val="00767F30"/>
    <w:rsid w:val="007704B7"/>
    <w:rsid w:val="007707EF"/>
    <w:rsid w:val="0077084D"/>
    <w:rsid w:val="0077088E"/>
    <w:rsid w:val="007708DA"/>
    <w:rsid w:val="0077093F"/>
    <w:rsid w:val="00770A08"/>
    <w:rsid w:val="00770F88"/>
    <w:rsid w:val="00771A84"/>
    <w:rsid w:val="00771CD7"/>
    <w:rsid w:val="00771D32"/>
    <w:rsid w:val="00771FE2"/>
    <w:rsid w:val="00772021"/>
    <w:rsid w:val="00772425"/>
    <w:rsid w:val="007726EF"/>
    <w:rsid w:val="00772899"/>
    <w:rsid w:val="00772A83"/>
    <w:rsid w:val="00772C66"/>
    <w:rsid w:val="007736B0"/>
    <w:rsid w:val="007737D4"/>
    <w:rsid w:val="00773809"/>
    <w:rsid w:val="007738B4"/>
    <w:rsid w:val="007739A1"/>
    <w:rsid w:val="00773CDC"/>
    <w:rsid w:val="00773E6E"/>
    <w:rsid w:val="00773F03"/>
    <w:rsid w:val="00774091"/>
    <w:rsid w:val="0077447D"/>
    <w:rsid w:val="0077450F"/>
    <w:rsid w:val="00774621"/>
    <w:rsid w:val="00774632"/>
    <w:rsid w:val="00774CBD"/>
    <w:rsid w:val="00774D1F"/>
    <w:rsid w:val="00774F6F"/>
    <w:rsid w:val="0077508A"/>
    <w:rsid w:val="007751D0"/>
    <w:rsid w:val="00775382"/>
    <w:rsid w:val="007755DE"/>
    <w:rsid w:val="007756EB"/>
    <w:rsid w:val="007758B3"/>
    <w:rsid w:val="00775B11"/>
    <w:rsid w:val="00775B17"/>
    <w:rsid w:val="00775E33"/>
    <w:rsid w:val="00775EC2"/>
    <w:rsid w:val="0077601A"/>
    <w:rsid w:val="00776276"/>
    <w:rsid w:val="00776339"/>
    <w:rsid w:val="0077645F"/>
    <w:rsid w:val="00776583"/>
    <w:rsid w:val="00776697"/>
    <w:rsid w:val="00776703"/>
    <w:rsid w:val="00776970"/>
    <w:rsid w:val="00776AF9"/>
    <w:rsid w:val="00776D26"/>
    <w:rsid w:val="00776E83"/>
    <w:rsid w:val="00777175"/>
    <w:rsid w:val="0077746C"/>
    <w:rsid w:val="007775BA"/>
    <w:rsid w:val="0077794C"/>
    <w:rsid w:val="00777CBF"/>
    <w:rsid w:val="00777DEF"/>
    <w:rsid w:val="00777FB7"/>
    <w:rsid w:val="007803DA"/>
    <w:rsid w:val="0078043A"/>
    <w:rsid w:val="0078057F"/>
    <w:rsid w:val="007806C9"/>
    <w:rsid w:val="00780790"/>
    <w:rsid w:val="007809DE"/>
    <w:rsid w:val="00780A67"/>
    <w:rsid w:val="00780C3C"/>
    <w:rsid w:val="00780D72"/>
    <w:rsid w:val="007812DD"/>
    <w:rsid w:val="00781426"/>
    <w:rsid w:val="007814B6"/>
    <w:rsid w:val="0078150E"/>
    <w:rsid w:val="00781A3D"/>
    <w:rsid w:val="00781B0C"/>
    <w:rsid w:val="00781ED3"/>
    <w:rsid w:val="00781EE8"/>
    <w:rsid w:val="007822ED"/>
    <w:rsid w:val="0078239D"/>
    <w:rsid w:val="0078265D"/>
    <w:rsid w:val="00782B6A"/>
    <w:rsid w:val="00782BD0"/>
    <w:rsid w:val="00782C22"/>
    <w:rsid w:val="00782C4A"/>
    <w:rsid w:val="00782FFA"/>
    <w:rsid w:val="0078309D"/>
    <w:rsid w:val="00783332"/>
    <w:rsid w:val="00783CFF"/>
    <w:rsid w:val="00783D39"/>
    <w:rsid w:val="0078401C"/>
    <w:rsid w:val="007841C1"/>
    <w:rsid w:val="0078433C"/>
    <w:rsid w:val="0078451B"/>
    <w:rsid w:val="00784591"/>
    <w:rsid w:val="007847F1"/>
    <w:rsid w:val="007848D9"/>
    <w:rsid w:val="00784963"/>
    <w:rsid w:val="00784AA5"/>
    <w:rsid w:val="00784B60"/>
    <w:rsid w:val="00784C1A"/>
    <w:rsid w:val="00784DFD"/>
    <w:rsid w:val="00785108"/>
    <w:rsid w:val="00785232"/>
    <w:rsid w:val="0078588C"/>
    <w:rsid w:val="0078595A"/>
    <w:rsid w:val="00785C23"/>
    <w:rsid w:val="00785C6C"/>
    <w:rsid w:val="00785D8F"/>
    <w:rsid w:val="00786063"/>
    <w:rsid w:val="00786091"/>
    <w:rsid w:val="0078618C"/>
    <w:rsid w:val="0078620A"/>
    <w:rsid w:val="0078664E"/>
    <w:rsid w:val="007866AE"/>
    <w:rsid w:val="0078681D"/>
    <w:rsid w:val="00786908"/>
    <w:rsid w:val="00786D7B"/>
    <w:rsid w:val="007871AC"/>
    <w:rsid w:val="007871D8"/>
    <w:rsid w:val="00787458"/>
    <w:rsid w:val="0078791C"/>
    <w:rsid w:val="00787A35"/>
    <w:rsid w:val="00790479"/>
    <w:rsid w:val="007904FE"/>
    <w:rsid w:val="0079058E"/>
    <w:rsid w:val="007906ED"/>
    <w:rsid w:val="00791014"/>
    <w:rsid w:val="007911EF"/>
    <w:rsid w:val="00791220"/>
    <w:rsid w:val="00791B50"/>
    <w:rsid w:val="00791D62"/>
    <w:rsid w:val="00792270"/>
    <w:rsid w:val="00792286"/>
    <w:rsid w:val="00792311"/>
    <w:rsid w:val="00792487"/>
    <w:rsid w:val="00792699"/>
    <w:rsid w:val="007926B7"/>
    <w:rsid w:val="00792789"/>
    <w:rsid w:val="00792AB7"/>
    <w:rsid w:val="00792E6F"/>
    <w:rsid w:val="00792F52"/>
    <w:rsid w:val="00792F56"/>
    <w:rsid w:val="007931B7"/>
    <w:rsid w:val="00793216"/>
    <w:rsid w:val="0079327D"/>
    <w:rsid w:val="00793387"/>
    <w:rsid w:val="00793547"/>
    <w:rsid w:val="0079361D"/>
    <w:rsid w:val="007937D0"/>
    <w:rsid w:val="00793B59"/>
    <w:rsid w:val="00793D10"/>
    <w:rsid w:val="00793D83"/>
    <w:rsid w:val="00794178"/>
    <w:rsid w:val="00794711"/>
    <w:rsid w:val="00794807"/>
    <w:rsid w:val="00794870"/>
    <w:rsid w:val="00794E79"/>
    <w:rsid w:val="00795342"/>
    <w:rsid w:val="00795347"/>
    <w:rsid w:val="0079571F"/>
    <w:rsid w:val="007957CE"/>
    <w:rsid w:val="00795C56"/>
    <w:rsid w:val="00795C68"/>
    <w:rsid w:val="00795F74"/>
    <w:rsid w:val="00795F9C"/>
    <w:rsid w:val="00796193"/>
    <w:rsid w:val="0079623F"/>
    <w:rsid w:val="0079652A"/>
    <w:rsid w:val="00796706"/>
    <w:rsid w:val="0079676F"/>
    <w:rsid w:val="0079684D"/>
    <w:rsid w:val="00796AE0"/>
    <w:rsid w:val="00796C66"/>
    <w:rsid w:val="00796C7F"/>
    <w:rsid w:val="00796CDB"/>
    <w:rsid w:val="00796EE1"/>
    <w:rsid w:val="00796F7F"/>
    <w:rsid w:val="007977E0"/>
    <w:rsid w:val="00797A0E"/>
    <w:rsid w:val="00797C58"/>
    <w:rsid w:val="00797C8D"/>
    <w:rsid w:val="007A081F"/>
    <w:rsid w:val="007A0A5C"/>
    <w:rsid w:val="007A101F"/>
    <w:rsid w:val="007A14DA"/>
    <w:rsid w:val="007A1591"/>
    <w:rsid w:val="007A1A28"/>
    <w:rsid w:val="007A1ABD"/>
    <w:rsid w:val="007A1C97"/>
    <w:rsid w:val="007A1CA2"/>
    <w:rsid w:val="007A1E62"/>
    <w:rsid w:val="007A20B0"/>
    <w:rsid w:val="007A2451"/>
    <w:rsid w:val="007A2672"/>
    <w:rsid w:val="007A285E"/>
    <w:rsid w:val="007A2B3E"/>
    <w:rsid w:val="007A2DFB"/>
    <w:rsid w:val="007A2E0D"/>
    <w:rsid w:val="007A2E20"/>
    <w:rsid w:val="007A2FA3"/>
    <w:rsid w:val="007A33BB"/>
    <w:rsid w:val="007A34EC"/>
    <w:rsid w:val="007A3545"/>
    <w:rsid w:val="007A3A8B"/>
    <w:rsid w:val="007A3CAC"/>
    <w:rsid w:val="007A40D9"/>
    <w:rsid w:val="007A4220"/>
    <w:rsid w:val="007A436A"/>
    <w:rsid w:val="007A4484"/>
    <w:rsid w:val="007A4835"/>
    <w:rsid w:val="007A491F"/>
    <w:rsid w:val="007A4E56"/>
    <w:rsid w:val="007A4ED8"/>
    <w:rsid w:val="007A5348"/>
    <w:rsid w:val="007A5420"/>
    <w:rsid w:val="007A58C4"/>
    <w:rsid w:val="007A5A00"/>
    <w:rsid w:val="007A5C44"/>
    <w:rsid w:val="007A5C82"/>
    <w:rsid w:val="007A5CCA"/>
    <w:rsid w:val="007A5EBB"/>
    <w:rsid w:val="007A62A5"/>
    <w:rsid w:val="007A6435"/>
    <w:rsid w:val="007A66B5"/>
    <w:rsid w:val="007A693E"/>
    <w:rsid w:val="007A6C7E"/>
    <w:rsid w:val="007A6D51"/>
    <w:rsid w:val="007A6F72"/>
    <w:rsid w:val="007A6FF9"/>
    <w:rsid w:val="007A7032"/>
    <w:rsid w:val="007A7035"/>
    <w:rsid w:val="007A7191"/>
    <w:rsid w:val="007A720B"/>
    <w:rsid w:val="007A790D"/>
    <w:rsid w:val="007A7930"/>
    <w:rsid w:val="007A7B88"/>
    <w:rsid w:val="007B0087"/>
    <w:rsid w:val="007B0116"/>
    <w:rsid w:val="007B0378"/>
    <w:rsid w:val="007B056E"/>
    <w:rsid w:val="007B091E"/>
    <w:rsid w:val="007B0BA0"/>
    <w:rsid w:val="007B0FF8"/>
    <w:rsid w:val="007B1210"/>
    <w:rsid w:val="007B14F0"/>
    <w:rsid w:val="007B175D"/>
    <w:rsid w:val="007B1847"/>
    <w:rsid w:val="007B1964"/>
    <w:rsid w:val="007B19DC"/>
    <w:rsid w:val="007B1ABD"/>
    <w:rsid w:val="007B203E"/>
    <w:rsid w:val="007B2206"/>
    <w:rsid w:val="007B2234"/>
    <w:rsid w:val="007B22C7"/>
    <w:rsid w:val="007B2A37"/>
    <w:rsid w:val="007B2C6C"/>
    <w:rsid w:val="007B33C4"/>
    <w:rsid w:val="007B3A6C"/>
    <w:rsid w:val="007B3D9D"/>
    <w:rsid w:val="007B3F02"/>
    <w:rsid w:val="007B40B1"/>
    <w:rsid w:val="007B43C0"/>
    <w:rsid w:val="007B43F1"/>
    <w:rsid w:val="007B4409"/>
    <w:rsid w:val="007B4E74"/>
    <w:rsid w:val="007B4FEF"/>
    <w:rsid w:val="007B5095"/>
    <w:rsid w:val="007B54C2"/>
    <w:rsid w:val="007B5560"/>
    <w:rsid w:val="007B5622"/>
    <w:rsid w:val="007B56E9"/>
    <w:rsid w:val="007B5E0B"/>
    <w:rsid w:val="007B5F20"/>
    <w:rsid w:val="007B633D"/>
    <w:rsid w:val="007B664D"/>
    <w:rsid w:val="007B693A"/>
    <w:rsid w:val="007B6A5C"/>
    <w:rsid w:val="007B6C47"/>
    <w:rsid w:val="007B6E12"/>
    <w:rsid w:val="007B6EC6"/>
    <w:rsid w:val="007B70F0"/>
    <w:rsid w:val="007B742A"/>
    <w:rsid w:val="007B7447"/>
    <w:rsid w:val="007B752C"/>
    <w:rsid w:val="007B764D"/>
    <w:rsid w:val="007B76C4"/>
    <w:rsid w:val="007B776B"/>
    <w:rsid w:val="007B77EB"/>
    <w:rsid w:val="007B7ACD"/>
    <w:rsid w:val="007B7E03"/>
    <w:rsid w:val="007C00F0"/>
    <w:rsid w:val="007C034C"/>
    <w:rsid w:val="007C049E"/>
    <w:rsid w:val="007C0692"/>
    <w:rsid w:val="007C07C4"/>
    <w:rsid w:val="007C09DF"/>
    <w:rsid w:val="007C0BD1"/>
    <w:rsid w:val="007C0EF3"/>
    <w:rsid w:val="007C1355"/>
    <w:rsid w:val="007C149C"/>
    <w:rsid w:val="007C165E"/>
    <w:rsid w:val="007C167E"/>
    <w:rsid w:val="007C17F8"/>
    <w:rsid w:val="007C18EB"/>
    <w:rsid w:val="007C19ED"/>
    <w:rsid w:val="007C1B0F"/>
    <w:rsid w:val="007C1B24"/>
    <w:rsid w:val="007C1C87"/>
    <w:rsid w:val="007C256C"/>
    <w:rsid w:val="007C2804"/>
    <w:rsid w:val="007C28B8"/>
    <w:rsid w:val="007C2F12"/>
    <w:rsid w:val="007C3A79"/>
    <w:rsid w:val="007C3AAF"/>
    <w:rsid w:val="007C4046"/>
    <w:rsid w:val="007C4262"/>
    <w:rsid w:val="007C42FB"/>
    <w:rsid w:val="007C471C"/>
    <w:rsid w:val="007C47DA"/>
    <w:rsid w:val="007C4A9C"/>
    <w:rsid w:val="007C4CF5"/>
    <w:rsid w:val="007C4E3A"/>
    <w:rsid w:val="007C4E80"/>
    <w:rsid w:val="007C4EC7"/>
    <w:rsid w:val="007C5724"/>
    <w:rsid w:val="007C5C07"/>
    <w:rsid w:val="007C5FB1"/>
    <w:rsid w:val="007C6129"/>
    <w:rsid w:val="007C664C"/>
    <w:rsid w:val="007C684C"/>
    <w:rsid w:val="007C6A65"/>
    <w:rsid w:val="007C7090"/>
    <w:rsid w:val="007C7138"/>
    <w:rsid w:val="007C73F6"/>
    <w:rsid w:val="007C74E4"/>
    <w:rsid w:val="007C74F5"/>
    <w:rsid w:val="007C7507"/>
    <w:rsid w:val="007C7538"/>
    <w:rsid w:val="007C75F3"/>
    <w:rsid w:val="007C7A30"/>
    <w:rsid w:val="007C7E12"/>
    <w:rsid w:val="007D01D9"/>
    <w:rsid w:val="007D06C9"/>
    <w:rsid w:val="007D091C"/>
    <w:rsid w:val="007D0995"/>
    <w:rsid w:val="007D0BD6"/>
    <w:rsid w:val="007D0BD9"/>
    <w:rsid w:val="007D0C91"/>
    <w:rsid w:val="007D0ED1"/>
    <w:rsid w:val="007D0EDB"/>
    <w:rsid w:val="007D0FA3"/>
    <w:rsid w:val="007D0FCA"/>
    <w:rsid w:val="007D0FEB"/>
    <w:rsid w:val="007D100B"/>
    <w:rsid w:val="007D122E"/>
    <w:rsid w:val="007D133E"/>
    <w:rsid w:val="007D1554"/>
    <w:rsid w:val="007D1584"/>
    <w:rsid w:val="007D16EC"/>
    <w:rsid w:val="007D1753"/>
    <w:rsid w:val="007D17D4"/>
    <w:rsid w:val="007D1DA8"/>
    <w:rsid w:val="007D1DF1"/>
    <w:rsid w:val="007D1F9E"/>
    <w:rsid w:val="007D2034"/>
    <w:rsid w:val="007D253D"/>
    <w:rsid w:val="007D25BB"/>
    <w:rsid w:val="007D26F3"/>
    <w:rsid w:val="007D2A3F"/>
    <w:rsid w:val="007D2B43"/>
    <w:rsid w:val="007D2C8B"/>
    <w:rsid w:val="007D2E17"/>
    <w:rsid w:val="007D2F77"/>
    <w:rsid w:val="007D3028"/>
    <w:rsid w:val="007D3946"/>
    <w:rsid w:val="007D3E04"/>
    <w:rsid w:val="007D3E1D"/>
    <w:rsid w:val="007D4038"/>
    <w:rsid w:val="007D4170"/>
    <w:rsid w:val="007D4560"/>
    <w:rsid w:val="007D4623"/>
    <w:rsid w:val="007D463F"/>
    <w:rsid w:val="007D4640"/>
    <w:rsid w:val="007D497E"/>
    <w:rsid w:val="007D4C0D"/>
    <w:rsid w:val="007D4D91"/>
    <w:rsid w:val="007D4F07"/>
    <w:rsid w:val="007D4F65"/>
    <w:rsid w:val="007D5068"/>
    <w:rsid w:val="007D586E"/>
    <w:rsid w:val="007D58C3"/>
    <w:rsid w:val="007D5C5F"/>
    <w:rsid w:val="007D5C66"/>
    <w:rsid w:val="007D5FB7"/>
    <w:rsid w:val="007D6116"/>
    <w:rsid w:val="007D61D8"/>
    <w:rsid w:val="007D6420"/>
    <w:rsid w:val="007D64F9"/>
    <w:rsid w:val="007D65CA"/>
    <w:rsid w:val="007D6ADB"/>
    <w:rsid w:val="007D6CA9"/>
    <w:rsid w:val="007D6DE0"/>
    <w:rsid w:val="007D6DF1"/>
    <w:rsid w:val="007D703F"/>
    <w:rsid w:val="007D7045"/>
    <w:rsid w:val="007D74EC"/>
    <w:rsid w:val="007D7771"/>
    <w:rsid w:val="007D7D11"/>
    <w:rsid w:val="007D7D66"/>
    <w:rsid w:val="007D7EB7"/>
    <w:rsid w:val="007D7EEC"/>
    <w:rsid w:val="007E0076"/>
    <w:rsid w:val="007E016A"/>
    <w:rsid w:val="007E01D9"/>
    <w:rsid w:val="007E02BD"/>
    <w:rsid w:val="007E0694"/>
    <w:rsid w:val="007E0757"/>
    <w:rsid w:val="007E0825"/>
    <w:rsid w:val="007E0873"/>
    <w:rsid w:val="007E0916"/>
    <w:rsid w:val="007E09FB"/>
    <w:rsid w:val="007E0E9A"/>
    <w:rsid w:val="007E0F69"/>
    <w:rsid w:val="007E0FE9"/>
    <w:rsid w:val="007E11A5"/>
    <w:rsid w:val="007E1A44"/>
    <w:rsid w:val="007E1D34"/>
    <w:rsid w:val="007E1F63"/>
    <w:rsid w:val="007E21A2"/>
    <w:rsid w:val="007E22E5"/>
    <w:rsid w:val="007E2747"/>
    <w:rsid w:val="007E2C70"/>
    <w:rsid w:val="007E2CEA"/>
    <w:rsid w:val="007E2D2B"/>
    <w:rsid w:val="007E2FAC"/>
    <w:rsid w:val="007E31EA"/>
    <w:rsid w:val="007E3492"/>
    <w:rsid w:val="007E35C2"/>
    <w:rsid w:val="007E3644"/>
    <w:rsid w:val="007E3894"/>
    <w:rsid w:val="007E3940"/>
    <w:rsid w:val="007E3B80"/>
    <w:rsid w:val="007E3BBB"/>
    <w:rsid w:val="007E3D57"/>
    <w:rsid w:val="007E414F"/>
    <w:rsid w:val="007E4262"/>
    <w:rsid w:val="007E452C"/>
    <w:rsid w:val="007E458F"/>
    <w:rsid w:val="007E4605"/>
    <w:rsid w:val="007E464E"/>
    <w:rsid w:val="007E4A6B"/>
    <w:rsid w:val="007E5393"/>
    <w:rsid w:val="007E5412"/>
    <w:rsid w:val="007E599F"/>
    <w:rsid w:val="007E5AE2"/>
    <w:rsid w:val="007E5B4D"/>
    <w:rsid w:val="007E5D64"/>
    <w:rsid w:val="007E5FD6"/>
    <w:rsid w:val="007E6215"/>
    <w:rsid w:val="007E6785"/>
    <w:rsid w:val="007E67DF"/>
    <w:rsid w:val="007E680A"/>
    <w:rsid w:val="007E6911"/>
    <w:rsid w:val="007E6AC3"/>
    <w:rsid w:val="007E737F"/>
    <w:rsid w:val="007E7387"/>
    <w:rsid w:val="007E73F2"/>
    <w:rsid w:val="007E7729"/>
    <w:rsid w:val="007E7760"/>
    <w:rsid w:val="007E7826"/>
    <w:rsid w:val="007E7D0D"/>
    <w:rsid w:val="007E7E3A"/>
    <w:rsid w:val="007E7E6C"/>
    <w:rsid w:val="007F03EB"/>
    <w:rsid w:val="007F0E42"/>
    <w:rsid w:val="007F0F45"/>
    <w:rsid w:val="007F136D"/>
    <w:rsid w:val="007F154E"/>
    <w:rsid w:val="007F17CD"/>
    <w:rsid w:val="007F1815"/>
    <w:rsid w:val="007F1A86"/>
    <w:rsid w:val="007F1FB7"/>
    <w:rsid w:val="007F2036"/>
    <w:rsid w:val="007F2071"/>
    <w:rsid w:val="007F2163"/>
    <w:rsid w:val="007F25BB"/>
    <w:rsid w:val="007F25D1"/>
    <w:rsid w:val="007F2636"/>
    <w:rsid w:val="007F27CB"/>
    <w:rsid w:val="007F2917"/>
    <w:rsid w:val="007F291B"/>
    <w:rsid w:val="007F29F2"/>
    <w:rsid w:val="007F2EA1"/>
    <w:rsid w:val="007F2F0A"/>
    <w:rsid w:val="007F309A"/>
    <w:rsid w:val="007F31E8"/>
    <w:rsid w:val="007F3248"/>
    <w:rsid w:val="007F36D2"/>
    <w:rsid w:val="007F3AA8"/>
    <w:rsid w:val="007F3E20"/>
    <w:rsid w:val="007F434A"/>
    <w:rsid w:val="007F43F4"/>
    <w:rsid w:val="007F47CF"/>
    <w:rsid w:val="007F4847"/>
    <w:rsid w:val="007F4977"/>
    <w:rsid w:val="007F4A8C"/>
    <w:rsid w:val="007F4D11"/>
    <w:rsid w:val="007F529A"/>
    <w:rsid w:val="007F53B7"/>
    <w:rsid w:val="007F58C4"/>
    <w:rsid w:val="007F5D2E"/>
    <w:rsid w:val="007F5EE8"/>
    <w:rsid w:val="007F5F1F"/>
    <w:rsid w:val="007F62A2"/>
    <w:rsid w:val="007F6625"/>
    <w:rsid w:val="007F693E"/>
    <w:rsid w:val="007F6E27"/>
    <w:rsid w:val="007F7093"/>
    <w:rsid w:val="007F7254"/>
    <w:rsid w:val="007F7291"/>
    <w:rsid w:val="007F72AF"/>
    <w:rsid w:val="007F72B0"/>
    <w:rsid w:val="007F7574"/>
    <w:rsid w:val="007F77D8"/>
    <w:rsid w:val="007F792B"/>
    <w:rsid w:val="007F7A08"/>
    <w:rsid w:val="007F7D50"/>
    <w:rsid w:val="007F7D59"/>
    <w:rsid w:val="007F7DEA"/>
    <w:rsid w:val="007F7FF7"/>
    <w:rsid w:val="00800037"/>
    <w:rsid w:val="0080018E"/>
    <w:rsid w:val="00800327"/>
    <w:rsid w:val="00800704"/>
    <w:rsid w:val="00800754"/>
    <w:rsid w:val="00800873"/>
    <w:rsid w:val="00800963"/>
    <w:rsid w:val="00800994"/>
    <w:rsid w:val="0080112D"/>
    <w:rsid w:val="008011EC"/>
    <w:rsid w:val="00801B44"/>
    <w:rsid w:val="00801E15"/>
    <w:rsid w:val="00801FBB"/>
    <w:rsid w:val="00802437"/>
    <w:rsid w:val="00802563"/>
    <w:rsid w:val="008026D9"/>
    <w:rsid w:val="008029C3"/>
    <w:rsid w:val="00802B29"/>
    <w:rsid w:val="00802BD0"/>
    <w:rsid w:val="00802C1B"/>
    <w:rsid w:val="00803596"/>
    <w:rsid w:val="00803829"/>
    <w:rsid w:val="00803FBA"/>
    <w:rsid w:val="008040D3"/>
    <w:rsid w:val="008042E9"/>
    <w:rsid w:val="008043FA"/>
    <w:rsid w:val="0080445E"/>
    <w:rsid w:val="008046AE"/>
    <w:rsid w:val="008047FB"/>
    <w:rsid w:val="00804829"/>
    <w:rsid w:val="00804859"/>
    <w:rsid w:val="00804A0D"/>
    <w:rsid w:val="00804A1E"/>
    <w:rsid w:val="00804DEC"/>
    <w:rsid w:val="00804F11"/>
    <w:rsid w:val="00805053"/>
    <w:rsid w:val="008051D4"/>
    <w:rsid w:val="00805454"/>
    <w:rsid w:val="008054AC"/>
    <w:rsid w:val="008056D6"/>
    <w:rsid w:val="00805A1C"/>
    <w:rsid w:val="00805AF0"/>
    <w:rsid w:val="00805BCE"/>
    <w:rsid w:val="00805EE4"/>
    <w:rsid w:val="00805FB9"/>
    <w:rsid w:val="00805FEA"/>
    <w:rsid w:val="008064EA"/>
    <w:rsid w:val="00806512"/>
    <w:rsid w:val="008065B7"/>
    <w:rsid w:val="00806A55"/>
    <w:rsid w:val="00806BAF"/>
    <w:rsid w:val="00806BE9"/>
    <w:rsid w:val="008073EC"/>
    <w:rsid w:val="008075E1"/>
    <w:rsid w:val="00807B38"/>
    <w:rsid w:val="00807E08"/>
    <w:rsid w:val="0081028E"/>
    <w:rsid w:val="008102EE"/>
    <w:rsid w:val="00810819"/>
    <w:rsid w:val="00810869"/>
    <w:rsid w:val="00810870"/>
    <w:rsid w:val="00810A41"/>
    <w:rsid w:val="00810A75"/>
    <w:rsid w:val="00810C25"/>
    <w:rsid w:val="008110BD"/>
    <w:rsid w:val="0081120A"/>
    <w:rsid w:val="008114CE"/>
    <w:rsid w:val="008118C6"/>
    <w:rsid w:val="00811D35"/>
    <w:rsid w:val="00811E42"/>
    <w:rsid w:val="00811EA0"/>
    <w:rsid w:val="00811EBC"/>
    <w:rsid w:val="00811F28"/>
    <w:rsid w:val="00811F4B"/>
    <w:rsid w:val="00811FD2"/>
    <w:rsid w:val="008122AD"/>
    <w:rsid w:val="0081247C"/>
    <w:rsid w:val="008125EA"/>
    <w:rsid w:val="008126B5"/>
    <w:rsid w:val="008129F3"/>
    <w:rsid w:val="00812BB3"/>
    <w:rsid w:val="00812CAB"/>
    <w:rsid w:val="00812D2B"/>
    <w:rsid w:val="008130FD"/>
    <w:rsid w:val="0081310A"/>
    <w:rsid w:val="0081348D"/>
    <w:rsid w:val="0081350B"/>
    <w:rsid w:val="008139A1"/>
    <w:rsid w:val="00813ABA"/>
    <w:rsid w:val="00813ADE"/>
    <w:rsid w:val="00813B50"/>
    <w:rsid w:val="00813DD7"/>
    <w:rsid w:val="00813DE5"/>
    <w:rsid w:val="00813ED4"/>
    <w:rsid w:val="00814014"/>
    <w:rsid w:val="00814226"/>
    <w:rsid w:val="0081424F"/>
    <w:rsid w:val="00814520"/>
    <w:rsid w:val="008145DF"/>
    <w:rsid w:val="00814727"/>
    <w:rsid w:val="00814916"/>
    <w:rsid w:val="00814993"/>
    <w:rsid w:val="008149C2"/>
    <w:rsid w:val="00814AA9"/>
    <w:rsid w:val="00814AAD"/>
    <w:rsid w:val="00814BC4"/>
    <w:rsid w:val="00814C89"/>
    <w:rsid w:val="00814C8C"/>
    <w:rsid w:val="00814D8F"/>
    <w:rsid w:val="00814FB8"/>
    <w:rsid w:val="008150D4"/>
    <w:rsid w:val="008155D9"/>
    <w:rsid w:val="00815B36"/>
    <w:rsid w:val="00815CFE"/>
    <w:rsid w:val="00815D93"/>
    <w:rsid w:val="00815F2C"/>
    <w:rsid w:val="008162AB"/>
    <w:rsid w:val="008163CC"/>
    <w:rsid w:val="0081647E"/>
    <w:rsid w:val="00816F1C"/>
    <w:rsid w:val="00817190"/>
    <w:rsid w:val="008171C5"/>
    <w:rsid w:val="008171E5"/>
    <w:rsid w:val="008173CF"/>
    <w:rsid w:val="008173F0"/>
    <w:rsid w:val="008175DE"/>
    <w:rsid w:val="0082043F"/>
    <w:rsid w:val="00820682"/>
    <w:rsid w:val="0082078B"/>
    <w:rsid w:val="008207F8"/>
    <w:rsid w:val="00820CDF"/>
    <w:rsid w:val="00820EB8"/>
    <w:rsid w:val="00821229"/>
    <w:rsid w:val="008212D4"/>
    <w:rsid w:val="0082133B"/>
    <w:rsid w:val="00821656"/>
    <w:rsid w:val="008219CE"/>
    <w:rsid w:val="00821A25"/>
    <w:rsid w:val="00821E3E"/>
    <w:rsid w:val="008221D7"/>
    <w:rsid w:val="008223EA"/>
    <w:rsid w:val="00822548"/>
    <w:rsid w:val="00822570"/>
    <w:rsid w:val="00822689"/>
    <w:rsid w:val="00822E3E"/>
    <w:rsid w:val="00822E6F"/>
    <w:rsid w:val="00822FE7"/>
    <w:rsid w:val="0082328A"/>
    <w:rsid w:val="00823292"/>
    <w:rsid w:val="0082359F"/>
    <w:rsid w:val="0082366B"/>
    <w:rsid w:val="008237B6"/>
    <w:rsid w:val="00823A43"/>
    <w:rsid w:val="00823A9B"/>
    <w:rsid w:val="00823AA0"/>
    <w:rsid w:val="00823BE6"/>
    <w:rsid w:val="00823D94"/>
    <w:rsid w:val="00823F30"/>
    <w:rsid w:val="00824430"/>
    <w:rsid w:val="008245D8"/>
    <w:rsid w:val="008248A9"/>
    <w:rsid w:val="00824BB9"/>
    <w:rsid w:val="00824BDB"/>
    <w:rsid w:val="00824E07"/>
    <w:rsid w:val="00824F8C"/>
    <w:rsid w:val="008250C3"/>
    <w:rsid w:val="008250F0"/>
    <w:rsid w:val="0082518A"/>
    <w:rsid w:val="00825614"/>
    <w:rsid w:val="0082563A"/>
    <w:rsid w:val="0082564F"/>
    <w:rsid w:val="00825A48"/>
    <w:rsid w:val="00825B15"/>
    <w:rsid w:val="00825B67"/>
    <w:rsid w:val="00825DA7"/>
    <w:rsid w:val="00825E12"/>
    <w:rsid w:val="00826C78"/>
    <w:rsid w:val="00826E39"/>
    <w:rsid w:val="00826EB2"/>
    <w:rsid w:val="00827392"/>
    <w:rsid w:val="00827724"/>
    <w:rsid w:val="008277FB"/>
    <w:rsid w:val="00827D3C"/>
    <w:rsid w:val="00830132"/>
    <w:rsid w:val="008301B7"/>
    <w:rsid w:val="008301F4"/>
    <w:rsid w:val="008305C6"/>
    <w:rsid w:val="00830780"/>
    <w:rsid w:val="0083087D"/>
    <w:rsid w:val="0083089D"/>
    <w:rsid w:val="008308D3"/>
    <w:rsid w:val="00830DA5"/>
    <w:rsid w:val="00831241"/>
    <w:rsid w:val="008314C2"/>
    <w:rsid w:val="00831752"/>
    <w:rsid w:val="008317CD"/>
    <w:rsid w:val="00831992"/>
    <w:rsid w:val="00831A45"/>
    <w:rsid w:val="00831B8E"/>
    <w:rsid w:val="00831BEC"/>
    <w:rsid w:val="00831D74"/>
    <w:rsid w:val="00832206"/>
    <w:rsid w:val="00832542"/>
    <w:rsid w:val="0083256F"/>
    <w:rsid w:val="00832703"/>
    <w:rsid w:val="00832A7B"/>
    <w:rsid w:val="00832C0A"/>
    <w:rsid w:val="00832E56"/>
    <w:rsid w:val="00832F1F"/>
    <w:rsid w:val="0083305F"/>
    <w:rsid w:val="00833227"/>
    <w:rsid w:val="00833419"/>
    <w:rsid w:val="00833A0C"/>
    <w:rsid w:val="00833B3C"/>
    <w:rsid w:val="00833B69"/>
    <w:rsid w:val="00833C79"/>
    <w:rsid w:val="00833F10"/>
    <w:rsid w:val="00834071"/>
    <w:rsid w:val="008343E6"/>
    <w:rsid w:val="0083456B"/>
    <w:rsid w:val="008345C9"/>
    <w:rsid w:val="008346CC"/>
    <w:rsid w:val="00834929"/>
    <w:rsid w:val="008351AF"/>
    <w:rsid w:val="0083550C"/>
    <w:rsid w:val="00835735"/>
    <w:rsid w:val="0083587E"/>
    <w:rsid w:val="0083591E"/>
    <w:rsid w:val="00835BDB"/>
    <w:rsid w:val="00835FF5"/>
    <w:rsid w:val="008360C0"/>
    <w:rsid w:val="0083620F"/>
    <w:rsid w:val="00836443"/>
    <w:rsid w:val="00836756"/>
    <w:rsid w:val="00836E24"/>
    <w:rsid w:val="00836EA8"/>
    <w:rsid w:val="00837023"/>
    <w:rsid w:val="008370B3"/>
    <w:rsid w:val="00837364"/>
    <w:rsid w:val="008376B4"/>
    <w:rsid w:val="008379AB"/>
    <w:rsid w:val="00837A8B"/>
    <w:rsid w:val="00837D57"/>
    <w:rsid w:val="00837DBF"/>
    <w:rsid w:val="00837E42"/>
    <w:rsid w:val="008400BB"/>
    <w:rsid w:val="00840155"/>
    <w:rsid w:val="008403A4"/>
    <w:rsid w:val="008405A0"/>
    <w:rsid w:val="0084065F"/>
    <w:rsid w:val="0084070E"/>
    <w:rsid w:val="008408B9"/>
    <w:rsid w:val="00840C1C"/>
    <w:rsid w:val="00840D89"/>
    <w:rsid w:val="00841195"/>
    <w:rsid w:val="008412CF"/>
    <w:rsid w:val="00841474"/>
    <w:rsid w:val="008415B7"/>
    <w:rsid w:val="00841A5B"/>
    <w:rsid w:val="00841D20"/>
    <w:rsid w:val="0084233A"/>
    <w:rsid w:val="00842592"/>
    <w:rsid w:val="008425DE"/>
    <w:rsid w:val="00842631"/>
    <w:rsid w:val="00842983"/>
    <w:rsid w:val="00842A1B"/>
    <w:rsid w:val="00842F86"/>
    <w:rsid w:val="0084303B"/>
    <w:rsid w:val="008430C7"/>
    <w:rsid w:val="00843594"/>
    <w:rsid w:val="00843835"/>
    <w:rsid w:val="00843867"/>
    <w:rsid w:val="00843DCF"/>
    <w:rsid w:val="00843EA2"/>
    <w:rsid w:val="00844370"/>
    <w:rsid w:val="00844843"/>
    <w:rsid w:val="00844BF8"/>
    <w:rsid w:val="00844F59"/>
    <w:rsid w:val="00845423"/>
    <w:rsid w:val="00845449"/>
    <w:rsid w:val="008454DB"/>
    <w:rsid w:val="00845923"/>
    <w:rsid w:val="00845BB7"/>
    <w:rsid w:val="00845D4E"/>
    <w:rsid w:val="008460B6"/>
    <w:rsid w:val="00846151"/>
    <w:rsid w:val="00846256"/>
    <w:rsid w:val="00846311"/>
    <w:rsid w:val="008464AA"/>
    <w:rsid w:val="00846801"/>
    <w:rsid w:val="0084690C"/>
    <w:rsid w:val="008471F9"/>
    <w:rsid w:val="00847316"/>
    <w:rsid w:val="00847699"/>
    <w:rsid w:val="008478A9"/>
    <w:rsid w:val="008479F1"/>
    <w:rsid w:val="00847A75"/>
    <w:rsid w:val="00847B35"/>
    <w:rsid w:val="00847BAE"/>
    <w:rsid w:val="00847C54"/>
    <w:rsid w:val="00847E18"/>
    <w:rsid w:val="00847EC8"/>
    <w:rsid w:val="0085007B"/>
    <w:rsid w:val="008500F3"/>
    <w:rsid w:val="00850149"/>
    <w:rsid w:val="00850280"/>
    <w:rsid w:val="0085043D"/>
    <w:rsid w:val="00850489"/>
    <w:rsid w:val="0085062F"/>
    <w:rsid w:val="00850827"/>
    <w:rsid w:val="008508E1"/>
    <w:rsid w:val="00850AF6"/>
    <w:rsid w:val="00850CDB"/>
    <w:rsid w:val="008511A9"/>
    <w:rsid w:val="00851565"/>
    <w:rsid w:val="00851890"/>
    <w:rsid w:val="00851F75"/>
    <w:rsid w:val="008522E5"/>
    <w:rsid w:val="00852434"/>
    <w:rsid w:val="00852693"/>
    <w:rsid w:val="00852987"/>
    <w:rsid w:val="00852BF0"/>
    <w:rsid w:val="00852D21"/>
    <w:rsid w:val="00852D2D"/>
    <w:rsid w:val="00852F97"/>
    <w:rsid w:val="008531D3"/>
    <w:rsid w:val="0085358F"/>
    <w:rsid w:val="00853A42"/>
    <w:rsid w:val="00854033"/>
    <w:rsid w:val="00854151"/>
    <w:rsid w:val="00854194"/>
    <w:rsid w:val="008542FC"/>
    <w:rsid w:val="00854579"/>
    <w:rsid w:val="00854773"/>
    <w:rsid w:val="00854BD0"/>
    <w:rsid w:val="00854CE8"/>
    <w:rsid w:val="0085546E"/>
    <w:rsid w:val="00855BE3"/>
    <w:rsid w:val="00855C74"/>
    <w:rsid w:val="00855CAE"/>
    <w:rsid w:val="00855DD2"/>
    <w:rsid w:val="00855FC8"/>
    <w:rsid w:val="00856023"/>
    <w:rsid w:val="008565BB"/>
    <w:rsid w:val="00856617"/>
    <w:rsid w:val="008568BA"/>
    <w:rsid w:val="00856A08"/>
    <w:rsid w:val="00856D4A"/>
    <w:rsid w:val="008570C0"/>
    <w:rsid w:val="008578F4"/>
    <w:rsid w:val="00857987"/>
    <w:rsid w:val="00857A91"/>
    <w:rsid w:val="00857DF2"/>
    <w:rsid w:val="00857E58"/>
    <w:rsid w:val="00860378"/>
    <w:rsid w:val="008604FE"/>
    <w:rsid w:val="0086055C"/>
    <w:rsid w:val="008609CE"/>
    <w:rsid w:val="00860C32"/>
    <w:rsid w:val="00860D1C"/>
    <w:rsid w:val="0086141B"/>
    <w:rsid w:val="00861C48"/>
    <w:rsid w:val="00861CF5"/>
    <w:rsid w:val="00861DC2"/>
    <w:rsid w:val="00862037"/>
    <w:rsid w:val="008627C0"/>
    <w:rsid w:val="00862B18"/>
    <w:rsid w:val="00863355"/>
    <w:rsid w:val="008635C7"/>
    <w:rsid w:val="00863691"/>
    <w:rsid w:val="0086378F"/>
    <w:rsid w:val="008637A9"/>
    <w:rsid w:val="008637D2"/>
    <w:rsid w:val="008639B8"/>
    <w:rsid w:val="00863A99"/>
    <w:rsid w:val="00863B16"/>
    <w:rsid w:val="00863CBF"/>
    <w:rsid w:val="00863EB2"/>
    <w:rsid w:val="00863F5F"/>
    <w:rsid w:val="008642A8"/>
    <w:rsid w:val="008645F0"/>
    <w:rsid w:val="00864649"/>
    <w:rsid w:val="008646AD"/>
    <w:rsid w:val="008649A3"/>
    <w:rsid w:val="00864B57"/>
    <w:rsid w:val="00865444"/>
    <w:rsid w:val="008655A2"/>
    <w:rsid w:val="00865992"/>
    <w:rsid w:val="00865D4F"/>
    <w:rsid w:val="00865DA5"/>
    <w:rsid w:val="00865F1F"/>
    <w:rsid w:val="00865F71"/>
    <w:rsid w:val="0086629B"/>
    <w:rsid w:val="008662DA"/>
    <w:rsid w:val="008667F5"/>
    <w:rsid w:val="008668F2"/>
    <w:rsid w:val="00866B93"/>
    <w:rsid w:val="00866C2F"/>
    <w:rsid w:val="00866DF7"/>
    <w:rsid w:val="00867043"/>
    <w:rsid w:val="008670CF"/>
    <w:rsid w:val="00867869"/>
    <w:rsid w:val="00867A2F"/>
    <w:rsid w:val="00867BA6"/>
    <w:rsid w:val="00867CC9"/>
    <w:rsid w:val="00870298"/>
    <w:rsid w:val="00870570"/>
    <w:rsid w:val="0087069F"/>
    <w:rsid w:val="008706E9"/>
    <w:rsid w:val="00870902"/>
    <w:rsid w:val="00870D2B"/>
    <w:rsid w:val="00871049"/>
    <w:rsid w:val="00871708"/>
    <w:rsid w:val="0087181C"/>
    <w:rsid w:val="008718C2"/>
    <w:rsid w:val="00871B35"/>
    <w:rsid w:val="00871BD0"/>
    <w:rsid w:val="00871D92"/>
    <w:rsid w:val="008720CC"/>
    <w:rsid w:val="0087254A"/>
    <w:rsid w:val="00872797"/>
    <w:rsid w:val="00872BF0"/>
    <w:rsid w:val="00873158"/>
    <w:rsid w:val="008731CE"/>
    <w:rsid w:val="00873321"/>
    <w:rsid w:val="00873692"/>
    <w:rsid w:val="00873948"/>
    <w:rsid w:val="00873BA4"/>
    <w:rsid w:val="00873C3A"/>
    <w:rsid w:val="00873D35"/>
    <w:rsid w:val="00873F68"/>
    <w:rsid w:val="00874135"/>
    <w:rsid w:val="00874192"/>
    <w:rsid w:val="00874193"/>
    <w:rsid w:val="008741EC"/>
    <w:rsid w:val="00874269"/>
    <w:rsid w:val="008750FA"/>
    <w:rsid w:val="00875560"/>
    <w:rsid w:val="00875AC5"/>
    <w:rsid w:val="00875B73"/>
    <w:rsid w:val="00875C7F"/>
    <w:rsid w:val="00875DDD"/>
    <w:rsid w:val="00875F4F"/>
    <w:rsid w:val="00875F8F"/>
    <w:rsid w:val="00875F98"/>
    <w:rsid w:val="0087637E"/>
    <w:rsid w:val="00876805"/>
    <w:rsid w:val="00876D5E"/>
    <w:rsid w:val="00876E8A"/>
    <w:rsid w:val="00876E9B"/>
    <w:rsid w:val="00877117"/>
    <w:rsid w:val="00877371"/>
    <w:rsid w:val="008773A9"/>
    <w:rsid w:val="008773F9"/>
    <w:rsid w:val="00877707"/>
    <w:rsid w:val="0087772E"/>
    <w:rsid w:val="00877956"/>
    <w:rsid w:val="008779D9"/>
    <w:rsid w:val="00877CB7"/>
    <w:rsid w:val="00880090"/>
    <w:rsid w:val="008800EF"/>
    <w:rsid w:val="008804DC"/>
    <w:rsid w:val="008804EC"/>
    <w:rsid w:val="00880684"/>
    <w:rsid w:val="00880927"/>
    <w:rsid w:val="00880AF5"/>
    <w:rsid w:val="00880EF3"/>
    <w:rsid w:val="00881064"/>
    <w:rsid w:val="0088108D"/>
    <w:rsid w:val="00881208"/>
    <w:rsid w:val="00881486"/>
    <w:rsid w:val="0088150B"/>
    <w:rsid w:val="008818DA"/>
    <w:rsid w:val="00881ABB"/>
    <w:rsid w:val="00881BED"/>
    <w:rsid w:val="00881CB0"/>
    <w:rsid w:val="00881F73"/>
    <w:rsid w:val="00882223"/>
    <w:rsid w:val="00882851"/>
    <w:rsid w:val="008828EF"/>
    <w:rsid w:val="00882AFA"/>
    <w:rsid w:val="00883108"/>
    <w:rsid w:val="00883188"/>
    <w:rsid w:val="00883273"/>
    <w:rsid w:val="00883285"/>
    <w:rsid w:val="008833C7"/>
    <w:rsid w:val="00883637"/>
    <w:rsid w:val="00883694"/>
    <w:rsid w:val="00883719"/>
    <w:rsid w:val="008839F8"/>
    <w:rsid w:val="00883ED2"/>
    <w:rsid w:val="00884460"/>
    <w:rsid w:val="00884E54"/>
    <w:rsid w:val="00884E91"/>
    <w:rsid w:val="00884EAD"/>
    <w:rsid w:val="00884EC2"/>
    <w:rsid w:val="00884F42"/>
    <w:rsid w:val="008850C1"/>
    <w:rsid w:val="00885432"/>
    <w:rsid w:val="008854F9"/>
    <w:rsid w:val="00885516"/>
    <w:rsid w:val="008863E4"/>
    <w:rsid w:val="0088647F"/>
    <w:rsid w:val="008864D6"/>
    <w:rsid w:val="0088678F"/>
    <w:rsid w:val="00886C2E"/>
    <w:rsid w:val="00886D1E"/>
    <w:rsid w:val="00886F22"/>
    <w:rsid w:val="00887478"/>
    <w:rsid w:val="0088772D"/>
    <w:rsid w:val="008878DB"/>
    <w:rsid w:val="008879B6"/>
    <w:rsid w:val="00887BD5"/>
    <w:rsid w:val="00887D47"/>
    <w:rsid w:val="00887FD4"/>
    <w:rsid w:val="00890357"/>
    <w:rsid w:val="008903A2"/>
    <w:rsid w:val="00890958"/>
    <w:rsid w:val="00890ACE"/>
    <w:rsid w:val="008912B1"/>
    <w:rsid w:val="008912F9"/>
    <w:rsid w:val="0089164E"/>
    <w:rsid w:val="00891843"/>
    <w:rsid w:val="00891A3A"/>
    <w:rsid w:val="00891A72"/>
    <w:rsid w:val="00891BC9"/>
    <w:rsid w:val="00891CDF"/>
    <w:rsid w:val="00891E54"/>
    <w:rsid w:val="00892035"/>
    <w:rsid w:val="00892052"/>
    <w:rsid w:val="0089212D"/>
    <w:rsid w:val="008922F4"/>
    <w:rsid w:val="0089249E"/>
    <w:rsid w:val="0089273E"/>
    <w:rsid w:val="008929EA"/>
    <w:rsid w:val="008932A9"/>
    <w:rsid w:val="00893649"/>
    <w:rsid w:val="008937CD"/>
    <w:rsid w:val="0089382E"/>
    <w:rsid w:val="00893AE3"/>
    <w:rsid w:val="00893BFA"/>
    <w:rsid w:val="00893C68"/>
    <w:rsid w:val="008940B5"/>
    <w:rsid w:val="00894400"/>
    <w:rsid w:val="008944D6"/>
    <w:rsid w:val="008945F0"/>
    <w:rsid w:val="00894AFD"/>
    <w:rsid w:val="008956D9"/>
    <w:rsid w:val="008958CE"/>
    <w:rsid w:val="008959C7"/>
    <w:rsid w:val="00895C6D"/>
    <w:rsid w:val="008960F8"/>
    <w:rsid w:val="00896296"/>
    <w:rsid w:val="008962E8"/>
    <w:rsid w:val="008964CD"/>
    <w:rsid w:val="00896520"/>
    <w:rsid w:val="0089656D"/>
    <w:rsid w:val="00896801"/>
    <w:rsid w:val="0089680E"/>
    <w:rsid w:val="00896925"/>
    <w:rsid w:val="00896950"/>
    <w:rsid w:val="00896AC9"/>
    <w:rsid w:val="00896BF2"/>
    <w:rsid w:val="00897116"/>
    <w:rsid w:val="00897387"/>
    <w:rsid w:val="008974AF"/>
    <w:rsid w:val="008974DB"/>
    <w:rsid w:val="00897649"/>
    <w:rsid w:val="00897747"/>
    <w:rsid w:val="00897CCD"/>
    <w:rsid w:val="008A01EB"/>
    <w:rsid w:val="008A0573"/>
    <w:rsid w:val="008A0610"/>
    <w:rsid w:val="008A0648"/>
    <w:rsid w:val="008A0655"/>
    <w:rsid w:val="008A06C6"/>
    <w:rsid w:val="008A07C5"/>
    <w:rsid w:val="008A085B"/>
    <w:rsid w:val="008A0955"/>
    <w:rsid w:val="008A098F"/>
    <w:rsid w:val="008A0B6A"/>
    <w:rsid w:val="008A0C62"/>
    <w:rsid w:val="008A0C72"/>
    <w:rsid w:val="008A0EC0"/>
    <w:rsid w:val="008A0F13"/>
    <w:rsid w:val="008A1859"/>
    <w:rsid w:val="008A193F"/>
    <w:rsid w:val="008A19FA"/>
    <w:rsid w:val="008A1CD9"/>
    <w:rsid w:val="008A2087"/>
    <w:rsid w:val="008A2094"/>
    <w:rsid w:val="008A2452"/>
    <w:rsid w:val="008A247E"/>
    <w:rsid w:val="008A24CF"/>
    <w:rsid w:val="008A266B"/>
    <w:rsid w:val="008A2901"/>
    <w:rsid w:val="008A2BBF"/>
    <w:rsid w:val="008A2BF5"/>
    <w:rsid w:val="008A2C5B"/>
    <w:rsid w:val="008A3092"/>
    <w:rsid w:val="008A3241"/>
    <w:rsid w:val="008A3424"/>
    <w:rsid w:val="008A3996"/>
    <w:rsid w:val="008A3E4C"/>
    <w:rsid w:val="008A4168"/>
    <w:rsid w:val="008A4996"/>
    <w:rsid w:val="008A49EC"/>
    <w:rsid w:val="008A49F6"/>
    <w:rsid w:val="008A4B6B"/>
    <w:rsid w:val="008A4BFC"/>
    <w:rsid w:val="008A4ED2"/>
    <w:rsid w:val="008A5092"/>
    <w:rsid w:val="008A5248"/>
    <w:rsid w:val="008A53B8"/>
    <w:rsid w:val="008A54E9"/>
    <w:rsid w:val="008A58D8"/>
    <w:rsid w:val="008A5B1A"/>
    <w:rsid w:val="008A5E02"/>
    <w:rsid w:val="008A5E6D"/>
    <w:rsid w:val="008A6038"/>
    <w:rsid w:val="008A619F"/>
    <w:rsid w:val="008A62F7"/>
    <w:rsid w:val="008A65C8"/>
    <w:rsid w:val="008A6627"/>
    <w:rsid w:val="008A6C10"/>
    <w:rsid w:val="008A6C48"/>
    <w:rsid w:val="008A6DB3"/>
    <w:rsid w:val="008A6E01"/>
    <w:rsid w:val="008A6FC8"/>
    <w:rsid w:val="008A6FE3"/>
    <w:rsid w:val="008A70A4"/>
    <w:rsid w:val="008A7565"/>
    <w:rsid w:val="008A75DD"/>
    <w:rsid w:val="008A7792"/>
    <w:rsid w:val="008A7A23"/>
    <w:rsid w:val="008B068F"/>
    <w:rsid w:val="008B0C50"/>
    <w:rsid w:val="008B0D5C"/>
    <w:rsid w:val="008B0DC9"/>
    <w:rsid w:val="008B0F81"/>
    <w:rsid w:val="008B11B2"/>
    <w:rsid w:val="008B1353"/>
    <w:rsid w:val="008B1432"/>
    <w:rsid w:val="008B1734"/>
    <w:rsid w:val="008B18E7"/>
    <w:rsid w:val="008B1AB9"/>
    <w:rsid w:val="008B1BAD"/>
    <w:rsid w:val="008B1F2B"/>
    <w:rsid w:val="008B22F2"/>
    <w:rsid w:val="008B24D4"/>
    <w:rsid w:val="008B2507"/>
    <w:rsid w:val="008B2685"/>
    <w:rsid w:val="008B2981"/>
    <w:rsid w:val="008B2A4A"/>
    <w:rsid w:val="008B309F"/>
    <w:rsid w:val="008B3136"/>
    <w:rsid w:val="008B319D"/>
    <w:rsid w:val="008B3811"/>
    <w:rsid w:val="008B3D45"/>
    <w:rsid w:val="008B3F06"/>
    <w:rsid w:val="008B4095"/>
    <w:rsid w:val="008B412B"/>
    <w:rsid w:val="008B41A0"/>
    <w:rsid w:val="008B437F"/>
    <w:rsid w:val="008B43AF"/>
    <w:rsid w:val="008B4413"/>
    <w:rsid w:val="008B45D9"/>
    <w:rsid w:val="008B4689"/>
    <w:rsid w:val="008B4803"/>
    <w:rsid w:val="008B4855"/>
    <w:rsid w:val="008B4E12"/>
    <w:rsid w:val="008B4F8E"/>
    <w:rsid w:val="008B520B"/>
    <w:rsid w:val="008B52BE"/>
    <w:rsid w:val="008B551D"/>
    <w:rsid w:val="008B5AB4"/>
    <w:rsid w:val="008B6187"/>
    <w:rsid w:val="008B61A9"/>
    <w:rsid w:val="008B635B"/>
    <w:rsid w:val="008B6394"/>
    <w:rsid w:val="008B63E9"/>
    <w:rsid w:val="008B64BB"/>
    <w:rsid w:val="008B66F0"/>
    <w:rsid w:val="008B672E"/>
    <w:rsid w:val="008B6A2E"/>
    <w:rsid w:val="008B6C77"/>
    <w:rsid w:val="008B6D77"/>
    <w:rsid w:val="008B707E"/>
    <w:rsid w:val="008B7193"/>
    <w:rsid w:val="008B7500"/>
    <w:rsid w:val="008B78EC"/>
    <w:rsid w:val="008B7904"/>
    <w:rsid w:val="008B7B4B"/>
    <w:rsid w:val="008B7ED6"/>
    <w:rsid w:val="008C0208"/>
    <w:rsid w:val="008C04E4"/>
    <w:rsid w:val="008C0532"/>
    <w:rsid w:val="008C07EE"/>
    <w:rsid w:val="008C084F"/>
    <w:rsid w:val="008C0919"/>
    <w:rsid w:val="008C0C81"/>
    <w:rsid w:val="008C0C9C"/>
    <w:rsid w:val="008C0E9A"/>
    <w:rsid w:val="008C0F65"/>
    <w:rsid w:val="008C0FE3"/>
    <w:rsid w:val="008C17D2"/>
    <w:rsid w:val="008C17F8"/>
    <w:rsid w:val="008C1805"/>
    <w:rsid w:val="008C1B4C"/>
    <w:rsid w:val="008C1CF3"/>
    <w:rsid w:val="008C1E0F"/>
    <w:rsid w:val="008C2241"/>
    <w:rsid w:val="008C25F2"/>
    <w:rsid w:val="008C27B6"/>
    <w:rsid w:val="008C2903"/>
    <w:rsid w:val="008C2930"/>
    <w:rsid w:val="008C30E4"/>
    <w:rsid w:val="008C335D"/>
    <w:rsid w:val="008C3652"/>
    <w:rsid w:val="008C3747"/>
    <w:rsid w:val="008C4051"/>
    <w:rsid w:val="008C414E"/>
    <w:rsid w:val="008C4187"/>
    <w:rsid w:val="008C41C8"/>
    <w:rsid w:val="008C43DB"/>
    <w:rsid w:val="008C4822"/>
    <w:rsid w:val="008C4989"/>
    <w:rsid w:val="008C4BC7"/>
    <w:rsid w:val="008C5124"/>
    <w:rsid w:val="008C5A90"/>
    <w:rsid w:val="008C5B93"/>
    <w:rsid w:val="008C5E8C"/>
    <w:rsid w:val="008C642D"/>
    <w:rsid w:val="008C65FA"/>
    <w:rsid w:val="008C6A5C"/>
    <w:rsid w:val="008C6A74"/>
    <w:rsid w:val="008C6C13"/>
    <w:rsid w:val="008C6D2A"/>
    <w:rsid w:val="008C6FB4"/>
    <w:rsid w:val="008C71B5"/>
    <w:rsid w:val="008C737E"/>
    <w:rsid w:val="008C7417"/>
    <w:rsid w:val="008C74A1"/>
    <w:rsid w:val="008C76AB"/>
    <w:rsid w:val="008C782A"/>
    <w:rsid w:val="008C7ED4"/>
    <w:rsid w:val="008D00A2"/>
    <w:rsid w:val="008D02A1"/>
    <w:rsid w:val="008D0348"/>
    <w:rsid w:val="008D04A3"/>
    <w:rsid w:val="008D05C3"/>
    <w:rsid w:val="008D09BF"/>
    <w:rsid w:val="008D0FE2"/>
    <w:rsid w:val="008D10A6"/>
    <w:rsid w:val="008D142C"/>
    <w:rsid w:val="008D1652"/>
    <w:rsid w:val="008D1727"/>
    <w:rsid w:val="008D175A"/>
    <w:rsid w:val="008D1819"/>
    <w:rsid w:val="008D1B22"/>
    <w:rsid w:val="008D1B84"/>
    <w:rsid w:val="008D1CDF"/>
    <w:rsid w:val="008D1FC2"/>
    <w:rsid w:val="008D24B7"/>
    <w:rsid w:val="008D2ADE"/>
    <w:rsid w:val="008D2BA6"/>
    <w:rsid w:val="008D2D86"/>
    <w:rsid w:val="008D2E75"/>
    <w:rsid w:val="008D2F3B"/>
    <w:rsid w:val="008D33C1"/>
    <w:rsid w:val="008D3623"/>
    <w:rsid w:val="008D391C"/>
    <w:rsid w:val="008D39D5"/>
    <w:rsid w:val="008D3A9B"/>
    <w:rsid w:val="008D3AC7"/>
    <w:rsid w:val="008D3D59"/>
    <w:rsid w:val="008D414C"/>
    <w:rsid w:val="008D417C"/>
    <w:rsid w:val="008D434F"/>
    <w:rsid w:val="008D4992"/>
    <w:rsid w:val="008D4C38"/>
    <w:rsid w:val="008D4C5A"/>
    <w:rsid w:val="008D4D4F"/>
    <w:rsid w:val="008D4E18"/>
    <w:rsid w:val="008D50F8"/>
    <w:rsid w:val="008D53A4"/>
    <w:rsid w:val="008D5471"/>
    <w:rsid w:val="008D5502"/>
    <w:rsid w:val="008D5862"/>
    <w:rsid w:val="008D5C4F"/>
    <w:rsid w:val="008D5EB7"/>
    <w:rsid w:val="008D604D"/>
    <w:rsid w:val="008D654C"/>
    <w:rsid w:val="008D6642"/>
    <w:rsid w:val="008D66C8"/>
    <w:rsid w:val="008D693B"/>
    <w:rsid w:val="008D6C97"/>
    <w:rsid w:val="008D6D2F"/>
    <w:rsid w:val="008D6E35"/>
    <w:rsid w:val="008D6FC3"/>
    <w:rsid w:val="008D71CB"/>
    <w:rsid w:val="008D72DB"/>
    <w:rsid w:val="008D73AF"/>
    <w:rsid w:val="008D7431"/>
    <w:rsid w:val="008D75AF"/>
    <w:rsid w:val="008D7B74"/>
    <w:rsid w:val="008D7D4F"/>
    <w:rsid w:val="008D7E71"/>
    <w:rsid w:val="008D7EB2"/>
    <w:rsid w:val="008E002F"/>
    <w:rsid w:val="008E0B50"/>
    <w:rsid w:val="008E0D70"/>
    <w:rsid w:val="008E109D"/>
    <w:rsid w:val="008E11F7"/>
    <w:rsid w:val="008E134F"/>
    <w:rsid w:val="008E1485"/>
    <w:rsid w:val="008E14A7"/>
    <w:rsid w:val="008E16EB"/>
    <w:rsid w:val="008E172B"/>
    <w:rsid w:val="008E182B"/>
    <w:rsid w:val="008E194B"/>
    <w:rsid w:val="008E1E00"/>
    <w:rsid w:val="008E2005"/>
    <w:rsid w:val="008E20EE"/>
    <w:rsid w:val="008E21EA"/>
    <w:rsid w:val="008E234A"/>
    <w:rsid w:val="008E24D9"/>
    <w:rsid w:val="008E2814"/>
    <w:rsid w:val="008E29D6"/>
    <w:rsid w:val="008E2B3C"/>
    <w:rsid w:val="008E2B4C"/>
    <w:rsid w:val="008E2F2C"/>
    <w:rsid w:val="008E2FD6"/>
    <w:rsid w:val="008E30C9"/>
    <w:rsid w:val="008E30D1"/>
    <w:rsid w:val="008E3474"/>
    <w:rsid w:val="008E348F"/>
    <w:rsid w:val="008E34FA"/>
    <w:rsid w:val="008E3547"/>
    <w:rsid w:val="008E35E6"/>
    <w:rsid w:val="008E39DE"/>
    <w:rsid w:val="008E3A5D"/>
    <w:rsid w:val="008E3A7B"/>
    <w:rsid w:val="008E3F5A"/>
    <w:rsid w:val="008E41F3"/>
    <w:rsid w:val="008E42E0"/>
    <w:rsid w:val="008E44AF"/>
    <w:rsid w:val="008E44CD"/>
    <w:rsid w:val="008E4623"/>
    <w:rsid w:val="008E4827"/>
    <w:rsid w:val="008E4A04"/>
    <w:rsid w:val="008E4ADF"/>
    <w:rsid w:val="008E4BE6"/>
    <w:rsid w:val="008E4C1F"/>
    <w:rsid w:val="008E4CB6"/>
    <w:rsid w:val="008E50C8"/>
    <w:rsid w:val="008E520B"/>
    <w:rsid w:val="008E5369"/>
    <w:rsid w:val="008E54F4"/>
    <w:rsid w:val="008E5AE5"/>
    <w:rsid w:val="008E5E86"/>
    <w:rsid w:val="008E5F3E"/>
    <w:rsid w:val="008E6128"/>
    <w:rsid w:val="008E63DF"/>
    <w:rsid w:val="008E6480"/>
    <w:rsid w:val="008E64BC"/>
    <w:rsid w:val="008E6912"/>
    <w:rsid w:val="008E6D22"/>
    <w:rsid w:val="008E700E"/>
    <w:rsid w:val="008F010F"/>
    <w:rsid w:val="008F0585"/>
    <w:rsid w:val="008F100A"/>
    <w:rsid w:val="008F147E"/>
    <w:rsid w:val="008F1877"/>
    <w:rsid w:val="008F1B10"/>
    <w:rsid w:val="008F1C8A"/>
    <w:rsid w:val="008F1D5E"/>
    <w:rsid w:val="008F21E2"/>
    <w:rsid w:val="008F26DD"/>
    <w:rsid w:val="008F283E"/>
    <w:rsid w:val="008F2897"/>
    <w:rsid w:val="008F2D91"/>
    <w:rsid w:val="008F2FD5"/>
    <w:rsid w:val="008F30CE"/>
    <w:rsid w:val="008F3142"/>
    <w:rsid w:val="008F3200"/>
    <w:rsid w:val="008F326C"/>
    <w:rsid w:val="008F33AE"/>
    <w:rsid w:val="008F3811"/>
    <w:rsid w:val="008F38AD"/>
    <w:rsid w:val="008F3921"/>
    <w:rsid w:val="008F3BC3"/>
    <w:rsid w:val="008F3E61"/>
    <w:rsid w:val="008F41BB"/>
    <w:rsid w:val="008F43D2"/>
    <w:rsid w:val="008F43EA"/>
    <w:rsid w:val="008F47EC"/>
    <w:rsid w:val="008F492E"/>
    <w:rsid w:val="008F4964"/>
    <w:rsid w:val="008F5216"/>
    <w:rsid w:val="008F53DC"/>
    <w:rsid w:val="008F56D1"/>
    <w:rsid w:val="008F56F8"/>
    <w:rsid w:val="008F5A26"/>
    <w:rsid w:val="008F5E93"/>
    <w:rsid w:val="008F5FF9"/>
    <w:rsid w:val="008F6243"/>
    <w:rsid w:val="008F6261"/>
    <w:rsid w:val="008F6451"/>
    <w:rsid w:val="008F64B7"/>
    <w:rsid w:val="008F697C"/>
    <w:rsid w:val="008F699A"/>
    <w:rsid w:val="008F69FE"/>
    <w:rsid w:val="008F6C10"/>
    <w:rsid w:val="008F6CFE"/>
    <w:rsid w:val="008F6E54"/>
    <w:rsid w:val="008F6EEA"/>
    <w:rsid w:val="008F7667"/>
    <w:rsid w:val="008F78FE"/>
    <w:rsid w:val="008F7B11"/>
    <w:rsid w:val="008F7B31"/>
    <w:rsid w:val="008F7C13"/>
    <w:rsid w:val="008F7E0C"/>
    <w:rsid w:val="0090002A"/>
    <w:rsid w:val="00900580"/>
    <w:rsid w:val="009007C3"/>
    <w:rsid w:val="0090130A"/>
    <w:rsid w:val="00901406"/>
    <w:rsid w:val="00901715"/>
    <w:rsid w:val="00901734"/>
    <w:rsid w:val="00901B5C"/>
    <w:rsid w:val="00901C17"/>
    <w:rsid w:val="00901DAF"/>
    <w:rsid w:val="00902081"/>
    <w:rsid w:val="0090237A"/>
    <w:rsid w:val="009027DC"/>
    <w:rsid w:val="00902A38"/>
    <w:rsid w:val="00902A3D"/>
    <w:rsid w:val="00902CAD"/>
    <w:rsid w:val="009031FF"/>
    <w:rsid w:val="009033A9"/>
    <w:rsid w:val="009035FB"/>
    <w:rsid w:val="009036D2"/>
    <w:rsid w:val="009038D9"/>
    <w:rsid w:val="00903B6E"/>
    <w:rsid w:val="00903C37"/>
    <w:rsid w:val="00903CA2"/>
    <w:rsid w:val="00904076"/>
    <w:rsid w:val="00904140"/>
    <w:rsid w:val="0090439D"/>
    <w:rsid w:val="0090477A"/>
    <w:rsid w:val="00904A6F"/>
    <w:rsid w:val="00904B9A"/>
    <w:rsid w:val="00904EF5"/>
    <w:rsid w:val="00904FE6"/>
    <w:rsid w:val="00905486"/>
    <w:rsid w:val="00905545"/>
    <w:rsid w:val="00905554"/>
    <w:rsid w:val="009055C4"/>
    <w:rsid w:val="00905669"/>
    <w:rsid w:val="00905B8F"/>
    <w:rsid w:val="00905F5B"/>
    <w:rsid w:val="00906010"/>
    <w:rsid w:val="009061B1"/>
    <w:rsid w:val="0090622D"/>
    <w:rsid w:val="00906349"/>
    <w:rsid w:val="0090681E"/>
    <w:rsid w:val="00906A24"/>
    <w:rsid w:val="00906B55"/>
    <w:rsid w:val="00906CA4"/>
    <w:rsid w:val="00907055"/>
    <w:rsid w:val="0090727C"/>
    <w:rsid w:val="00907308"/>
    <w:rsid w:val="00907404"/>
    <w:rsid w:val="009076D7"/>
    <w:rsid w:val="009078AD"/>
    <w:rsid w:val="00907C9A"/>
    <w:rsid w:val="00907ED5"/>
    <w:rsid w:val="00910107"/>
    <w:rsid w:val="009101E1"/>
    <w:rsid w:val="00910268"/>
    <w:rsid w:val="00910350"/>
    <w:rsid w:val="00910991"/>
    <w:rsid w:val="00910AB9"/>
    <w:rsid w:val="00910B42"/>
    <w:rsid w:val="00910E88"/>
    <w:rsid w:val="00910F85"/>
    <w:rsid w:val="0091128D"/>
    <w:rsid w:val="00911317"/>
    <w:rsid w:val="0091134D"/>
    <w:rsid w:val="009115B4"/>
    <w:rsid w:val="009117E7"/>
    <w:rsid w:val="009119E3"/>
    <w:rsid w:val="00911BF3"/>
    <w:rsid w:val="00911CC9"/>
    <w:rsid w:val="0091210B"/>
    <w:rsid w:val="009122D7"/>
    <w:rsid w:val="00912457"/>
    <w:rsid w:val="0091249C"/>
    <w:rsid w:val="00912641"/>
    <w:rsid w:val="00912BEC"/>
    <w:rsid w:val="00912E20"/>
    <w:rsid w:val="00912E84"/>
    <w:rsid w:val="00912ED9"/>
    <w:rsid w:val="00913099"/>
    <w:rsid w:val="00913147"/>
    <w:rsid w:val="009134D2"/>
    <w:rsid w:val="009136CA"/>
    <w:rsid w:val="00913F86"/>
    <w:rsid w:val="00914007"/>
    <w:rsid w:val="0091402C"/>
    <w:rsid w:val="00914713"/>
    <w:rsid w:val="009148EF"/>
    <w:rsid w:val="00914A58"/>
    <w:rsid w:val="00914AF9"/>
    <w:rsid w:val="00914C8B"/>
    <w:rsid w:val="00914EFA"/>
    <w:rsid w:val="009151A4"/>
    <w:rsid w:val="0091580B"/>
    <w:rsid w:val="00915B35"/>
    <w:rsid w:val="00916057"/>
    <w:rsid w:val="009161CA"/>
    <w:rsid w:val="0091624C"/>
    <w:rsid w:val="009163BB"/>
    <w:rsid w:val="0091641E"/>
    <w:rsid w:val="00916F92"/>
    <w:rsid w:val="00917586"/>
    <w:rsid w:val="00917662"/>
    <w:rsid w:val="00917A86"/>
    <w:rsid w:val="00920CE6"/>
    <w:rsid w:val="00920E19"/>
    <w:rsid w:val="009212CA"/>
    <w:rsid w:val="0092139B"/>
    <w:rsid w:val="00921503"/>
    <w:rsid w:val="00921837"/>
    <w:rsid w:val="00921BB0"/>
    <w:rsid w:val="00921C0A"/>
    <w:rsid w:val="0092209B"/>
    <w:rsid w:val="009222BF"/>
    <w:rsid w:val="00922435"/>
    <w:rsid w:val="0092244D"/>
    <w:rsid w:val="009227B6"/>
    <w:rsid w:val="00922C73"/>
    <w:rsid w:val="00922D17"/>
    <w:rsid w:val="0092305B"/>
    <w:rsid w:val="00923094"/>
    <w:rsid w:val="00923197"/>
    <w:rsid w:val="0092319D"/>
    <w:rsid w:val="0092395E"/>
    <w:rsid w:val="00923AA3"/>
    <w:rsid w:val="00923BC2"/>
    <w:rsid w:val="00923BD4"/>
    <w:rsid w:val="00923C4D"/>
    <w:rsid w:val="00923DF9"/>
    <w:rsid w:val="00923F63"/>
    <w:rsid w:val="00924373"/>
    <w:rsid w:val="009243C1"/>
    <w:rsid w:val="00924445"/>
    <w:rsid w:val="00924582"/>
    <w:rsid w:val="00924C10"/>
    <w:rsid w:val="00924F10"/>
    <w:rsid w:val="00925378"/>
    <w:rsid w:val="00925444"/>
    <w:rsid w:val="0092566E"/>
    <w:rsid w:val="00925797"/>
    <w:rsid w:val="009257F3"/>
    <w:rsid w:val="00925A02"/>
    <w:rsid w:val="00925A12"/>
    <w:rsid w:val="00925AB2"/>
    <w:rsid w:val="00925EB9"/>
    <w:rsid w:val="00926418"/>
    <w:rsid w:val="00926437"/>
    <w:rsid w:val="0092646B"/>
    <w:rsid w:val="00926558"/>
    <w:rsid w:val="00926560"/>
    <w:rsid w:val="00926612"/>
    <w:rsid w:val="0092673C"/>
    <w:rsid w:val="009267BC"/>
    <w:rsid w:val="00926836"/>
    <w:rsid w:val="00926A81"/>
    <w:rsid w:val="00926B82"/>
    <w:rsid w:val="00926CB3"/>
    <w:rsid w:val="0092722F"/>
    <w:rsid w:val="009278EC"/>
    <w:rsid w:val="00927C5B"/>
    <w:rsid w:val="00927F5A"/>
    <w:rsid w:val="0093005F"/>
    <w:rsid w:val="00930391"/>
    <w:rsid w:val="00930436"/>
    <w:rsid w:val="009304D7"/>
    <w:rsid w:val="00930A2A"/>
    <w:rsid w:val="00931441"/>
    <w:rsid w:val="00931672"/>
    <w:rsid w:val="009317CC"/>
    <w:rsid w:val="00931828"/>
    <w:rsid w:val="00931CFB"/>
    <w:rsid w:val="00931DF7"/>
    <w:rsid w:val="00931E4E"/>
    <w:rsid w:val="00931F46"/>
    <w:rsid w:val="00932182"/>
    <w:rsid w:val="00932258"/>
    <w:rsid w:val="0093233E"/>
    <w:rsid w:val="0093258F"/>
    <w:rsid w:val="0093267D"/>
    <w:rsid w:val="00932F5E"/>
    <w:rsid w:val="00932FBA"/>
    <w:rsid w:val="009332D8"/>
    <w:rsid w:val="009335CD"/>
    <w:rsid w:val="009335DF"/>
    <w:rsid w:val="0093361F"/>
    <w:rsid w:val="00933727"/>
    <w:rsid w:val="00933742"/>
    <w:rsid w:val="0093387B"/>
    <w:rsid w:val="009339B1"/>
    <w:rsid w:val="00933BDB"/>
    <w:rsid w:val="00933C3F"/>
    <w:rsid w:val="00933C60"/>
    <w:rsid w:val="00933E33"/>
    <w:rsid w:val="00933F2D"/>
    <w:rsid w:val="00933F6F"/>
    <w:rsid w:val="009341D7"/>
    <w:rsid w:val="00934226"/>
    <w:rsid w:val="009342AF"/>
    <w:rsid w:val="00934586"/>
    <w:rsid w:val="009349F9"/>
    <w:rsid w:val="00934A8B"/>
    <w:rsid w:val="00934BF2"/>
    <w:rsid w:val="009352B8"/>
    <w:rsid w:val="0093546E"/>
    <w:rsid w:val="0093579D"/>
    <w:rsid w:val="009358D5"/>
    <w:rsid w:val="009358E1"/>
    <w:rsid w:val="00935C9C"/>
    <w:rsid w:val="00935D01"/>
    <w:rsid w:val="00935F21"/>
    <w:rsid w:val="009360D4"/>
    <w:rsid w:val="00936348"/>
    <w:rsid w:val="00936410"/>
    <w:rsid w:val="00936431"/>
    <w:rsid w:val="00936560"/>
    <w:rsid w:val="00936857"/>
    <w:rsid w:val="0093687D"/>
    <w:rsid w:val="00936AE2"/>
    <w:rsid w:val="00936CA7"/>
    <w:rsid w:val="00937076"/>
    <w:rsid w:val="00937AFA"/>
    <w:rsid w:val="00937BB9"/>
    <w:rsid w:val="00937D01"/>
    <w:rsid w:val="00940446"/>
    <w:rsid w:val="009406F6"/>
    <w:rsid w:val="00940BB9"/>
    <w:rsid w:val="00941407"/>
    <w:rsid w:val="009415CF"/>
    <w:rsid w:val="0094173A"/>
    <w:rsid w:val="00941745"/>
    <w:rsid w:val="009417F5"/>
    <w:rsid w:val="009418A8"/>
    <w:rsid w:val="00941982"/>
    <w:rsid w:val="00941AA7"/>
    <w:rsid w:val="00941F2E"/>
    <w:rsid w:val="0094210B"/>
    <w:rsid w:val="0094244D"/>
    <w:rsid w:val="00942AF1"/>
    <w:rsid w:val="00942BDF"/>
    <w:rsid w:val="00942C09"/>
    <w:rsid w:val="00942E44"/>
    <w:rsid w:val="00942EBC"/>
    <w:rsid w:val="0094340D"/>
    <w:rsid w:val="0094348D"/>
    <w:rsid w:val="0094361A"/>
    <w:rsid w:val="00943A6E"/>
    <w:rsid w:val="00943AFD"/>
    <w:rsid w:val="00944099"/>
    <w:rsid w:val="00944114"/>
    <w:rsid w:val="0094412C"/>
    <w:rsid w:val="009441F4"/>
    <w:rsid w:val="0094422A"/>
    <w:rsid w:val="00944242"/>
    <w:rsid w:val="009447A4"/>
    <w:rsid w:val="009449DB"/>
    <w:rsid w:val="00944C4E"/>
    <w:rsid w:val="009451AC"/>
    <w:rsid w:val="00945279"/>
    <w:rsid w:val="0094545D"/>
    <w:rsid w:val="009456A8"/>
    <w:rsid w:val="0094572D"/>
    <w:rsid w:val="009458A0"/>
    <w:rsid w:val="00945B29"/>
    <w:rsid w:val="00945F8D"/>
    <w:rsid w:val="00946118"/>
    <w:rsid w:val="009465C7"/>
    <w:rsid w:val="009465D4"/>
    <w:rsid w:val="00946828"/>
    <w:rsid w:val="009469D3"/>
    <w:rsid w:val="00946B8B"/>
    <w:rsid w:val="00946D07"/>
    <w:rsid w:val="00946F80"/>
    <w:rsid w:val="00947305"/>
    <w:rsid w:val="0094746F"/>
    <w:rsid w:val="0094758C"/>
    <w:rsid w:val="0094782F"/>
    <w:rsid w:val="009478C6"/>
    <w:rsid w:val="00947967"/>
    <w:rsid w:val="00947BAF"/>
    <w:rsid w:val="00947D9B"/>
    <w:rsid w:val="00947DA3"/>
    <w:rsid w:val="00947F03"/>
    <w:rsid w:val="009500F7"/>
    <w:rsid w:val="009502A8"/>
    <w:rsid w:val="00950394"/>
    <w:rsid w:val="00950B1A"/>
    <w:rsid w:val="00950ECC"/>
    <w:rsid w:val="0095151C"/>
    <w:rsid w:val="009515A8"/>
    <w:rsid w:val="00951760"/>
    <w:rsid w:val="009517B2"/>
    <w:rsid w:val="00951826"/>
    <w:rsid w:val="0095185A"/>
    <w:rsid w:val="0095187E"/>
    <w:rsid w:val="00951AC4"/>
    <w:rsid w:val="009524C6"/>
    <w:rsid w:val="00952AC4"/>
    <w:rsid w:val="00952BFB"/>
    <w:rsid w:val="00952C56"/>
    <w:rsid w:val="0095324F"/>
    <w:rsid w:val="009532EB"/>
    <w:rsid w:val="00953601"/>
    <w:rsid w:val="009538CD"/>
    <w:rsid w:val="00953BB9"/>
    <w:rsid w:val="00953D39"/>
    <w:rsid w:val="00953ED1"/>
    <w:rsid w:val="00954124"/>
    <w:rsid w:val="00954204"/>
    <w:rsid w:val="00954662"/>
    <w:rsid w:val="0095495F"/>
    <w:rsid w:val="009550F1"/>
    <w:rsid w:val="00955125"/>
    <w:rsid w:val="0095524C"/>
    <w:rsid w:val="009553AD"/>
    <w:rsid w:val="00955452"/>
    <w:rsid w:val="00955791"/>
    <w:rsid w:val="009559C4"/>
    <w:rsid w:val="00955A79"/>
    <w:rsid w:val="00955B49"/>
    <w:rsid w:val="00955CB1"/>
    <w:rsid w:val="0095611D"/>
    <w:rsid w:val="0095645F"/>
    <w:rsid w:val="009564D5"/>
    <w:rsid w:val="00956659"/>
    <w:rsid w:val="00956805"/>
    <w:rsid w:val="00956AF1"/>
    <w:rsid w:val="00956B1D"/>
    <w:rsid w:val="00956BDE"/>
    <w:rsid w:val="00956C2B"/>
    <w:rsid w:val="00956E75"/>
    <w:rsid w:val="00956F5B"/>
    <w:rsid w:val="00957802"/>
    <w:rsid w:val="00957DD2"/>
    <w:rsid w:val="0096077D"/>
    <w:rsid w:val="009607D7"/>
    <w:rsid w:val="009608D7"/>
    <w:rsid w:val="009608FE"/>
    <w:rsid w:val="00960CA3"/>
    <w:rsid w:val="00960FBC"/>
    <w:rsid w:val="00961109"/>
    <w:rsid w:val="0096117D"/>
    <w:rsid w:val="00961482"/>
    <w:rsid w:val="00961556"/>
    <w:rsid w:val="0096159B"/>
    <w:rsid w:val="009615F0"/>
    <w:rsid w:val="00961978"/>
    <w:rsid w:val="00961E0B"/>
    <w:rsid w:val="00961E31"/>
    <w:rsid w:val="00961F93"/>
    <w:rsid w:val="00961FA2"/>
    <w:rsid w:val="009620D9"/>
    <w:rsid w:val="009622C3"/>
    <w:rsid w:val="0096248C"/>
    <w:rsid w:val="00962635"/>
    <w:rsid w:val="00962DB8"/>
    <w:rsid w:val="00962DF2"/>
    <w:rsid w:val="00963434"/>
    <w:rsid w:val="00963636"/>
    <w:rsid w:val="00963689"/>
    <w:rsid w:val="00963A61"/>
    <w:rsid w:val="00963BD1"/>
    <w:rsid w:val="00963EC0"/>
    <w:rsid w:val="00963EE4"/>
    <w:rsid w:val="00964968"/>
    <w:rsid w:val="00964C82"/>
    <w:rsid w:val="00964EF2"/>
    <w:rsid w:val="009652DB"/>
    <w:rsid w:val="009653D9"/>
    <w:rsid w:val="0096543E"/>
    <w:rsid w:val="0096591D"/>
    <w:rsid w:val="00965A28"/>
    <w:rsid w:val="00965D84"/>
    <w:rsid w:val="00965FCA"/>
    <w:rsid w:val="009661EB"/>
    <w:rsid w:val="00966703"/>
    <w:rsid w:val="00966770"/>
    <w:rsid w:val="00966844"/>
    <w:rsid w:val="00966A54"/>
    <w:rsid w:val="00966C51"/>
    <w:rsid w:val="00966D05"/>
    <w:rsid w:val="0096705E"/>
    <w:rsid w:val="00967220"/>
    <w:rsid w:val="009672EF"/>
    <w:rsid w:val="00967306"/>
    <w:rsid w:val="00967640"/>
    <w:rsid w:val="0096767C"/>
    <w:rsid w:val="009676DB"/>
    <w:rsid w:val="00967A4E"/>
    <w:rsid w:val="00967A50"/>
    <w:rsid w:val="00970535"/>
    <w:rsid w:val="009708A6"/>
    <w:rsid w:val="009709D5"/>
    <w:rsid w:val="00970BCE"/>
    <w:rsid w:val="00970C08"/>
    <w:rsid w:val="00970D66"/>
    <w:rsid w:val="00970ED6"/>
    <w:rsid w:val="00970F9D"/>
    <w:rsid w:val="009710BD"/>
    <w:rsid w:val="0097144C"/>
    <w:rsid w:val="00971566"/>
    <w:rsid w:val="009715A6"/>
    <w:rsid w:val="0097198A"/>
    <w:rsid w:val="009719AC"/>
    <w:rsid w:val="00971BE9"/>
    <w:rsid w:val="00971D30"/>
    <w:rsid w:val="00971D93"/>
    <w:rsid w:val="00971F4A"/>
    <w:rsid w:val="00971F64"/>
    <w:rsid w:val="009723C9"/>
    <w:rsid w:val="0097240B"/>
    <w:rsid w:val="00972852"/>
    <w:rsid w:val="00972A67"/>
    <w:rsid w:val="00972AE6"/>
    <w:rsid w:val="00972D9A"/>
    <w:rsid w:val="00973072"/>
    <w:rsid w:val="00973196"/>
    <w:rsid w:val="00973521"/>
    <w:rsid w:val="009735DF"/>
    <w:rsid w:val="009738F1"/>
    <w:rsid w:val="009739DE"/>
    <w:rsid w:val="00973C93"/>
    <w:rsid w:val="00973D22"/>
    <w:rsid w:val="00973D2A"/>
    <w:rsid w:val="00973FBE"/>
    <w:rsid w:val="0097402C"/>
    <w:rsid w:val="009740A9"/>
    <w:rsid w:val="0097412D"/>
    <w:rsid w:val="00974972"/>
    <w:rsid w:val="00974A34"/>
    <w:rsid w:val="00974AD6"/>
    <w:rsid w:val="00974D00"/>
    <w:rsid w:val="00974D41"/>
    <w:rsid w:val="00974E94"/>
    <w:rsid w:val="00975040"/>
    <w:rsid w:val="009750C2"/>
    <w:rsid w:val="009750EA"/>
    <w:rsid w:val="00975119"/>
    <w:rsid w:val="00975AF1"/>
    <w:rsid w:val="00975B17"/>
    <w:rsid w:val="00975ED3"/>
    <w:rsid w:val="00975FD5"/>
    <w:rsid w:val="00976092"/>
    <w:rsid w:val="009760B7"/>
    <w:rsid w:val="00976217"/>
    <w:rsid w:val="00976290"/>
    <w:rsid w:val="00976343"/>
    <w:rsid w:val="00976455"/>
    <w:rsid w:val="009764CF"/>
    <w:rsid w:val="00976605"/>
    <w:rsid w:val="00976691"/>
    <w:rsid w:val="0097694F"/>
    <w:rsid w:val="009769C5"/>
    <w:rsid w:val="009770B7"/>
    <w:rsid w:val="0097746A"/>
    <w:rsid w:val="00977702"/>
    <w:rsid w:val="0097780C"/>
    <w:rsid w:val="009778C3"/>
    <w:rsid w:val="00977C16"/>
    <w:rsid w:val="00977C25"/>
    <w:rsid w:val="00977E36"/>
    <w:rsid w:val="0098020A"/>
    <w:rsid w:val="00980211"/>
    <w:rsid w:val="009802F3"/>
    <w:rsid w:val="009804A6"/>
    <w:rsid w:val="009808F1"/>
    <w:rsid w:val="00980AD7"/>
    <w:rsid w:val="009810A4"/>
    <w:rsid w:val="0098112A"/>
    <w:rsid w:val="00981A11"/>
    <w:rsid w:val="00981BAC"/>
    <w:rsid w:val="00981D44"/>
    <w:rsid w:val="00982103"/>
    <w:rsid w:val="009821BE"/>
    <w:rsid w:val="00982424"/>
    <w:rsid w:val="00982614"/>
    <w:rsid w:val="00982684"/>
    <w:rsid w:val="00982B20"/>
    <w:rsid w:val="00982BB8"/>
    <w:rsid w:val="00982C1F"/>
    <w:rsid w:val="00982EEB"/>
    <w:rsid w:val="00982FB5"/>
    <w:rsid w:val="0098300D"/>
    <w:rsid w:val="009830BD"/>
    <w:rsid w:val="00983208"/>
    <w:rsid w:val="009832D9"/>
    <w:rsid w:val="009835BE"/>
    <w:rsid w:val="009835E6"/>
    <w:rsid w:val="009839DC"/>
    <w:rsid w:val="00983AE8"/>
    <w:rsid w:val="00983DAC"/>
    <w:rsid w:val="00983FC2"/>
    <w:rsid w:val="00984131"/>
    <w:rsid w:val="00984257"/>
    <w:rsid w:val="0098466F"/>
    <w:rsid w:val="009846B6"/>
    <w:rsid w:val="0098470E"/>
    <w:rsid w:val="0098471B"/>
    <w:rsid w:val="009848FB"/>
    <w:rsid w:val="00984932"/>
    <w:rsid w:val="009849BB"/>
    <w:rsid w:val="00984B86"/>
    <w:rsid w:val="00984C7C"/>
    <w:rsid w:val="00984D69"/>
    <w:rsid w:val="00984FAB"/>
    <w:rsid w:val="0098505C"/>
    <w:rsid w:val="00985300"/>
    <w:rsid w:val="00985657"/>
    <w:rsid w:val="00985847"/>
    <w:rsid w:val="00985853"/>
    <w:rsid w:val="00985BD8"/>
    <w:rsid w:val="00985E6F"/>
    <w:rsid w:val="0098622C"/>
    <w:rsid w:val="009868E0"/>
    <w:rsid w:val="009869DA"/>
    <w:rsid w:val="00986A2E"/>
    <w:rsid w:val="00986BF9"/>
    <w:rsid w:val="00986C4A"/>
    <w:rsid w:val="00986E38"/>
    <w:rsid w:val="00986FDC"/>
    <w:rsid w:val="00987077"/>
    <w:rsid w:val="009873B6"/>
    <w:rsid w:val="009873FC"/>
    <w:rsid w:val="00987402"/>
    <w:rsid w:val="00987876"/>
    <w:rsid w:val="00987A1C"/>
    <w:rsid w:val="00987D69"/>
    <w:rsid w:val="00987EFD"/>
    <w:rsid w:val="00990113"/>
    <w:rsid w:val="0099055E"/>
    <w:rsid w:val="009905F9"/>
    <w:rsid w:val="009909C0"/>
    <w:rsid w:val="00990B3A"/>
    <w:rsid w:val="00990B5A"/>
    <w:rsid w:val="00990E62"/>
    <w:rsid w:val="00990FF4"/>
    <w:rsid w:val="00991212"/>
    <w:rsid w:val="009913FE"/>
    <w:rsid w:val="0099140A"/>
    <w:rsid w:val="00991516"/>
    <w:rsid w:val="009915DF"/>
    <w:rsid w:val="00991733"/>
    <w:rsid w:val="009917C4"/>
    <w:rsid w:val="009918A2"/>
    <w:rsid w:val="00991A51"/>
    <w:rsid w:val="00991ABE"/>
    <w:rsid w:val="00991B00"/>
    <w:rsid w:val="00991F35"/>
    <w:rsid w:val="00991FF2"/>
    <w:rsid w:val="00992231"/>
    <w:rsid w:val="00992323"/>
    <w:rsid w:val="00992336"/>
    <w:rsid w:val="0099249C"/>
    <w:rsid w:val="009924A4"/>
    <w:rsid w:val="00992AB6"/>
    <w:rsid w:val="00992B06"/>
    <w:rsid w:val="00992C0A"/>
    <w:rsid w:val="00992CA1"/>
    <w:rsid w:val="00993051"/>
    <w:rsid w:val="0099341D"/>
    <w:rsid w:val="009934BD"/>
    <w:rsid w:val="00993512"/>
    <w:rsid w:val="00993716"/>
    <w:rsid w:val="0099387F"/>
    <w:rsid w:val="00993A50"/>
    <w:rsid w:val="00993ABB"/>
    <w:rsid w:val="00993CE4"/>
    <w:rsid w:val="00993F6E"/>
    <w:rsid w:val="00993F7E"/>
    <w:rsid w:val="0099441C"/>
    <w:rsid w:val="009945E0"/>
    <w:rsid w:val="009947F4"/>
    <w:rsid w:val="00994DEE"/>
    <w:rsid w:val="009959E3"/>
    <w:rsid w:val="009959EF"/>
    <w:rsid w:val="009959FF"/>
    <w:rsid w:val="00995DC4"/>
    <w:rsid w:val="009961D0"/>
    <w:rsid w:val="0099623D"/>
    <w:rsid w:val="00996281"/>
    <w:rsid w:val="009963CD"/>
    <w:rsid w:val="009966B3"/>
    <w:rsid w:val="009967D3"/>
    <w:rsid w:val="00996A25"/>
    <w:rsid w:val="0099704D"/>
    <w:rsid w:val="0099705F"/>
    <w:rsid w:val="0099726D"/>
    <w:rsid w:val="009977F6"/>
    <w:rsid w:val="009978D4"/>
    <w:rsid w:val="00997DA9"/>
    <w:rsid w:val="009A010B"/>
    <w:rsid w:val="009A08B4"/>
    <w:rsid w:val="009A09AC"/>
    <w:rsid w:val="009A0AD9"/>
    <w:rsid w:val="009A10C0"/>
    <w:rsid w:val="009A11D3"/>
    <w:rsid w:val="009A185E"/>
    <w:rsid w:val="009A18AE"/>
    <w:rsid w:val="009A18E9"/>
    <w:rsid w:val="009A1B11"/>
    <w:rsid w:val="009A1BA9"/>
    <w:rsid w:val="009A1C3E"/>
    <w:rsid w:val="009A1CA8"/>
    <w:rsid w:val="009A20C7"/>
    <w:rsid w:val="009A22DA"/>
    <w:rsid w:val="009A23C3"/>
    <w:rsid w:val="009A2AE8"/>
    <w:rsid w:val="009A2BCD"/>
    <w:rsid w:val="009A2F0B"/>
    <w:rsid w:val="009A3275"/>
    <w:rsid w:val="009A3657"/>
    <w:rsid w:val="009A3B5F"/>
    <w:rsid w:val="009A3E04"/>
    <w:rsid w:val="009A407F"/>
    <w:rsid w:val="009A424B"/>
    <w:rsid w:val="009A43CF"/>
    <w:rsid w:val="009A4462"/>
    <w:rsid w:val="009A4B20"/>
    <w:rsid w:val="009A4CE1"/>
    <w:rsid w:val="009A4D3F"/>
    <w:rsid w:val="009A5414"/>
    <w:rsid w:val="009A5769"/>
    <w:rsid w:val="009A5B6E"/>
    <w:rsid w:val="009A5C41"/>
    <w:rsid w:val="009A5C94"/>
    <w:rsid w:val="009A5C98"/>
    <w:rsid w:val="009A5D51"/>
    <w:rsid w:val="009A5EC9"/>
    <w:rsid w:val="009A64B9"/>
    <w:rsid w:val="009A6583"/>
    <w:rsid w:val="009A6596"/>
    <w:rsid w:val="009A65C0"/>
    <w:rsid w:val="009A686B"/>
    <w:rsid w:val="009A6CF5"/>
    <w:rsid w:val="009A704C"/>
    <w:rsid w:val="009A71A1"/>
    <w:rsid w:val="009A71DD"/>
    <w:rsid w:val="009A7282"/>
    <w:rsid w:val="009A72CF"/>
    <w:rsid w:val="009A7373"/>
    <w:rsid w:val="009A73CD"/>
    <w:rsid w:val="009A73FE"/>
    <w:rsid w:val="009A7686"/>
    <w:rsid w:val="009A793A"/>
    <w:rsid w:val="009A7A32"/>
    <w:rsid w:val="009A7ACD"/>
    <w:rsid w:val="009A7AE5"/>
    <w:rsid w:val="009A7E42"/>
    <w:rsid w:val="009B0123"/>
    <w:rsid w:val="009B04A1"/>
    <w:rsid w:val="009B04C0"/>
    <w:rsid w:val="009B0583"/>
    <w:rsid w:val="009B063C"/>
    <w:rsid w:val="009B0B43"/>
    <w:rsid w:val="009B0C90"/>
    <w:rsid w:val="009B0DDF"/>
    <w:rsid w:val="009B0DE7"/>
    <w:rsid w:val="009B1031"/>
    <w:rsid w:val="009B10C0"/>
    <w:rsid w:val="009B16A0"/>
    <w:rsid w:val="009B19B9"/>
    <w:rsid w:val="009B1A68"/>
    <w:rsid w:val="009B1C56"/>
    <w:rsid w:val="009B2219"/>
    <w:rsid w:val="009B27B1"/>
    <w:rsid w:val="009B29D8"/>
    <w:rsid w:val="009B2BA3"/>
    <w:rsid w:val="009B2E46"/>
    <w:rsid w:val="009B2E77"/>
    <w:rsid w:val="009B34E7"/>
    <w:rsid w:val="009B3F43"/>
    <w:rsid w:val="009B3FD0"/>
    <w:rsid w:val="009B40B5"/>
    <w:rsid w:val="009B4421"/>
    <w:rsid w:val="009B45F1"/>
    <w:rsid w:val="009B4654"/>
    <w:rsid w:val="009B4E01"/>
    <w:rsid w:val="009B51C5"/>
    <w:rsid w:val="009B5814"/>
    <w:rsid w:val="009B5970"/>
    <w:rsid w:val="009B5AFB"/>
    <w:rsid w:val="009B5D03"/>
    <w:rsid w:val="009B5D3E"/>
    <w:rsid w:val="009B5E82"/>
    <w:rsid w:val="009B610F"/>
    <w:rsid w:val="009B6302"/>
    <w:rsid w:val="009B6454"/>
    <w:rsid w:val="009B6472"/>
    <w:rsid w:val="009B658A"/>
    <w:rsid w:val="009B65F8"/>
    <w:rsid w:val="009B6718"/>
    <w:rsid w:val="009B67DC"/>
    <w:rsid w:val="009B6D32"/>
    <w:rsid w:val="009B6D79"/>
    <w:rsid w:val="009B773C"/>
    <w:rsid w:val="009B78E4"/>
    <w:rsid w:val="009B7DFA"/>
    <w:rsid w:val="009B7F82"/>
    <w:rsid w:val="009C0414"/>
    <w:rsid w:val="009C0680"/>
    <w:rsid w:val="009C0933"/>
    <w:rsid w:val="009C0A48"/>
    <w:rsid w:val="009C0ACE"/>
    <w:rsid w:val="009C0BC6"/>
    <w:rsid w:val="009C0CAA"/>
    <w:rsid w:val="009C0D35"/>
    <w:rsid w:val="009C0EBB"/>
    <w:rsid w:val="009C1021"/>
    <w:rsid w:val="009C1121"/>
    <w:rsid w:val="009C1384"/>
    <w:rsid w:val="009C1AED"/>
    <w:rsid w:val="009C212D"/>
    <w:rsid w:val="009C22EC"/>
    <w:rsid w:val="009C2679"/>
    <w:rsid w:val="009C2686"/>
    <w:rsid w:val="009C26C1"/>
    <w:rsid w:val="009C2726"/>
    <w:rsid w:val="009C2A5E"/>
    <w:rsid w:val="009C2C55"/>
    <w:rsid w:val="009C30E8"/>
    <w:rsid w:val="009C3149"/>
    <w:rsid w:val="009C3288"/>
    <w:rsid w:val="009C3435"/>
    <w:rsid w:val="009C3B77"/>
    <w:rsid w:val="009C3DFE"/>
    <w:rsid w:val="009C4573"/>
    <w:rsid w:val="009C47B3"/>
    <w:rsid w:val="009C4891"/>
    <w:rsid w:val="009C48C3"/>
    <w:rsid w:val="009C4B28"/>
    <w:rsid w:val="009C4ECB"/>
    <w:rsid w:val="009C4FEA"/>
    <w:rsid w:val="009C55D4"/>
    <w:rsid w:val="009C5778"/>
    <w:rsid w:val="009C5928"/>
    <w:rsid w:val="009C5D88"/>
    <w:rsid w:val="009C5E08"/>
    <w:rsid w:val="009C6265"/>
    <w:rsid w:val="009C63D6"/>
    <w:rsid w:val="009C6497"/>
    <w:rsid w:val="009C6B03"/>
    <w:rsid w:val="009C6C41"/>
    <w:rsid w:val="009C6ED6"/>
    <w:rsid w:val="009C6F1A"/>
    <w:rsid w:val="009C6F9B"/>
    <w:rsid w:val="009C724A"/>
    <w:rsid w:val="009C74C2"/>
    <w:rsid w:val="009C7516"/>
    <w:rsid w:val="009C768B"/>
    <w:rsid w:val="009C776A"/>
    <w:rsid w:val="009C7C4E"/>
    <w:rsid w:val="009C7EAA"/>
    <w:rsid w:val="009C7ED1"/>
    <w:rsid w:val="009D00AB"/>
    <w:rsid w:val="009D02AA"/>
    <w:rsid w:val="009D0453"/>
    <w:rsid w:val="009D0795"/>
    <w:rsid w:val="009D07CA"/>
    <w:rsid w:val="009D0CC3"/>
    <w:rsid w:val="009D0CFB"/>
    <w:rsid w:val="009D0DB3"/>
    <w:rsid w:val="009D0FA9"/>
    <w:rsid w:val="009D1119"/>
    <w:rsid w:val="009D1124"/>
    <w:rsid w:val="009D1187"/>
    <w:rsid w:val="009D153D"/>
    <w:rsid w:val="009D1C63"/>
    <w:rsid w:val="009D2169"/>
    <w:rsid w:val="009D23E3"/>
    <w:rsid w:val="009D24EC"/>
    <w:rsid w:val="009D2701"/>
    <w:rsid w:val="009D272F"/>
    <w:rsid w:val="009D27AE"/>
    <w:rsid w:val="009D296A"/>
    <w:rsid w:val="009D2B14"/>
    <w:rsid w:val="009D2C05"/>
    <w:rsid w:val="009D2D11"/>
    <w:rsid w:val="009D2DCD"/>
    <w:rsid w:val="009D2F10"/>
    <w:rsid w:val="009D2FC5"/>
    <w:rsid w:val="009D30A6"/>
    <w:rsid w:val="009D30AB"/>
    <w:rsid w:val="009D312A"/>
    <w:rsid w:val="009D3196"/>
    <w:rsid w:val="009D31B6"/>
    <w:rsid w:val="009D3954"/>
    <w:rsid w:val="009D3AA3"/>
    <w:rsid w:val="009D3D31"/>
    <w:rsid w:val="009D3E13"/>
    <w:rsid w:val="009D3F94"/>
    <w:rsid w:val="009D401B"/>
    <w:rsid w:val="009D446F"/>
    <w:rsid w:val="009D44AF"/>
    <w:rsid w:val="009D4593"/>
    <w:rsid w:val="009D49B5"/>
    <w:rsid w:val="009D49B7"/>
    <w:rsid w:val="009D4A6E"/>
    <w:rsid w:val="009D4F41"/>
    <w:rsid w:val="009D52A6"/>
    <w:rsid w:val="009D5415"/>
    <w:rsid w:val="009D5562"/>
    <w:rsid w:val="009D5839"/>
    <w:rsid w:val="009D58E4"/>
    <w:rsid w:val="009D5C0E"/>
    <w:rsid w:val="009D5CA8"/>
    <w:rsid w:val="009D5E51"/>
    <w:rsid w:val="009D60BA"/>
    <w:rsid w:val="009D6733"/>
    <w:rsid w:val="009D6897"/>
    <w:rsid w:val="009D694C"/>
    <w:rsid w:val="009D6C51"/>
    <w:rsid w:val="009D6D17"/>
    <w:rsid w:val="009D6F6B"/>
    <w:rsid w:val="009D709C"/>
    <w:rsid w:val="009D727E"/>
    <w:rsid w:val="009D7758"/>
    <w:rsid w:val="009D7895"/>
    <w:rsid w:val="009D79F8"/>
    <w:rsid w:val="009D7A58"/>
    <w:rsid w:val="009D7A6F"/>
    <w:rsid w:val="009D7AF7"/>
    <w:rsid w:val="009D7B39"/>
    <w:rsid w:val="009D7C3A"/>
    <w:rsid w:val="009D7EC3"/>
    <w:rsid w:val="009E01F4"/>
    <w:rsid w:val="009E048C"/>
    <w:rsid w:val="009E07E9"/>
    <w:rsid w:val="009E0838"/>
    <w:rsid w:val="009E0906"/>
    <w:rsid w:val="009E09A1"/>
    <w:rsid w:val="009E09AC"/>
    <w:rsid w:val="009E105B"/>
    <w:rsid w:val="009E13F5"/>
    <w:rsid w:val="009E1D35"/>
    <w:rsid w:val="009E1FA4"/>
    <w:rsid w:val="009E21EA"/>
    <w:rsid w:val="009E227F"/>
    <w:rsid w:val="009E228F"/>
    <w:rsid w:val="009E2322"/>
    <w:rsid w:val="009E269D"/>
    <w:rsid w:val="009E295C"/>
    <w:rsid w:val="009E2AFE"/>
    <w:rsid w:val="009E2B8E"/>
    <w:rsid w:val="009E3419"/>
    <w:rsid w:val="009E39C2"/>
    <w:rsid w:val="009E3AE8"/>
    <w:rsid w:val="009E3C35"/>
    <w:rsid w:val="009E3DC8"/>
    <w:rsid w:val="009E4010"/>
    <w:rsid w:val="009E406A"/>
    <w:rsid w:val="009E4202"/>
    <w:rsid w:val="009E4484"/>
    <w:rsid w:val="009E4B12"/>
    <w:rsid w:val="009E53CD"/>
    <w:rsid w:val="009E54CB"/>
    <w:rsid w:val="009E575A"/>
    <w:rsid w:val="009E5AFF"/>
    <w:rsid w:val="009E64CF"/>
    <w:rsid w:val="009E656E"/>
    <w:rsid w:val="009E66FC"/>
    <w:rsid w:val="009E6954"/>
    <w:rsid w:val="009E6976"/>
    <w:rsid w:val="009E6BA1"/>
    <w:rsid w:val="009E6C2D"/>
    <w:rsid w:val="009E743F"/>
    <w:rsid w:val="009E759D"/>
    <w:rsid w:val="009E75DC"/>
    <w:rsid w:val="009E7732"/>
    <w:rsid w:val="009E7955"/>
    <w:rsid w:val="009E7AC7"/>
    <w:rsid w:val="009E7C7C"/>
    <w:rsid w:val="009E7D91"/>
    <w:rsid w:val="009F01B8"/>
    <w:rsid w:val="009F023D"/>
    <w:rsid w:val="009F02F7"/>
    <w:rsid w:val="009F03EF"/>
    <w:rsid w:val="009F0457"/>
    <w:rsid w:val="009F05ED"/>
    <w:rsid w:val="009F0636"/>
    <w:rsid w:val="009F06F9"/>
    <w:rsid w:val="009F07E2"/>
    <w:rsid w:val="009F0810"/>
    <w:rsid w:val="009F08A4"/>
    <w:rsid w:val="009F0924"/>
    <w:rsid w:val="009F0A56"/>
    <w:rsid w:val="009F0AF6"/>
    <w:rsid w:val="009F0B30"/>
    <w:rsid w:val="009F0C0E"/>
    <w:rsid w:val="009F0CE9"/>
    <w:rsid w:val="009F0ECE"/>
    <w:rsid w:val="009F1017"/>
    <w:rsid w:val="009F1071"/>
    <w:rsid w:val="009F108C"/>
    <w:rsid w:val="009F125F"/>
    <w:rsid w:val="009F1479"/>
    <w:rsid w:val="009F19D6"/>
    <w:rsid w:val="009F1CDA"/>
    <w:rsid w:val="009F1DD6"/>
    <w:rsid w:val="009F1F06"/>
    <w:rsid w:val="009F2828"/>
    <w:rsid w:val="009F2A89"/>
    <w:rsid w:val="009F2D24"/>
    <w:rsid w:val="009F2E35"/>
    <w:rsid w:val="009F3107"/>
    <w:rsid w:val="009F34DE"/>
    <w:rsid w:val="009F3C71"/>
    <w:rsid w:val="009F3D24"/>
    <w:rsid w:val="009F3F50"/>
    <w:rsid w:val="009F4017"/>
    <w:rsid w:val="009F4026"/>
    <w:rsid w:val="009F447C"/>
    <w:rsid w:val="009F450A"/>
    <w:rsid w:val="009F4B0D"/>
    <w:rsid w:val="009F4BB0"/>
    <w:rsid w:val="009F4CEB"/>
    <w:rsid w:val="009F4D21"/>
    <w:rsid w:val="009F4F63"/>
    <w:rsid w:val="009F514C"/>
    <w:rsid w:val="009F51FE"/>
    <w:rsid w:val="009F541B"/>
    <w:rsid w:val="009F5420"/>
    <w:rsid w:val="009F54AD"/>
    <w:rsid w:val="009F54B6"/>
    <w:rsid w:val="009F54C5"/>
    <w:rsid w:val="009F57FB"/>
    <w:rsid w:val="009F5918"/>
    <w:rsid w:val="009F618A"/>
    <w:rsid w:val="009F66E7"/>
    <w:rsid w:val="009F6952"/>
    <w:rsid w:val="009F6966"/>
    <w:rsid w:val="009F6B5A"/>
    <w:rsid w:val="009F6DCF"/>
    <w:rsid w:val="009F70F0"/>
    <w:rsid w:val="009F7534"/>
    <w:rsid w:val="009F7601"/>
    <w:rsid w:val="009F7C1E"/>
    <w:rsid w:val="009F7D9B"/>
    <w:rsid w:val="009F7F10"/>
    <w:rsid w:val="00A002D1"/>
    <w:rsid w:val="00A004CF"/>
    <w:rsid w:val="00A00815"/>
    <w:rsid w:val="00A008BB"/>
    <w:rsid w:val="00A0097B"/>
    <w:rsid w:val="00A00A62"/>
    <w:rsid w:val="00A00D91"/>
    <w:rsid w:val="00A00E54"/>
    <w:rsid w:val="00A01213"/>
    <w:rsid w:val="00A017A6"/>
    <w:rsid w:val="00A0187B"/>
    <w:rsid w:val="00A018D3"/>
    <w:rsid w:val="00A01AED"/>
    <w:rsid w:val="00A01C73"/>
    <w:rsid w:val="00A01C7C"/>
    <w:rsid w:val="00A01D04"/>
    <w:rsid w:val="00A026CA"/>
    <w:rsid w:val="00A02B2E"/>
    <w:rsid w:val="00A02D5F"/>
    <w:rsid w:val="00A02D6E"/>
    <w:rsid w:val="00A033CB"/>
    <w:rsid w:val="00A03552"/>
    <w:rsid w:val="00A03F9D"/>
    <w:rsid w:val="00A03FB8"/>
    <w:rsid w:val="00A040FC"/>
    <w:rsid w:val="00A041C0"/>
    <w:rsid w:val="00A043FB"/>
    <w:rsid w:val="00A04BF0"/>
    <w:rsid w:val="00A04E46"/>
    <w:rsid w:val="00A054D4"/>
    <w:rsid w:val="00A0572E"/>
    <w:rsid w:val="00A05AA3"/>
    <w:rsid w:val="00A05DB3"/>
    <w:rsid w:val="00A05DBC"/>
    <w:rsid w:val="00A05F0F"/>
    <w:rsid w:val="00A061F2"/>
    <w:rsid w:val="00A06253"/>
    <w:rsid w:val="00A0648F"/>
    <w:rsid w:val="00A065D1"/>
    <w:rsid w:val="00A066E2"/>
    <w:rsid w:val="00A06719"/>
    <w:rsid w:val="00A06890"/>
    <w:rsid w:val="00A068D6"/>
    <w:rsid w:val="00A06B31"/>
    <w:rsid w:val="00A06BAE"/>
    <w:rsid w:val="00A06C2D"/>
    <w:rsid w:val="00A06CEE"/>
    <w:rsid w:val="00A06D14"/>
    <w:rsid w:val="00A06F0F"/>
    <w:rsid w:val="00A07267"/>
    <w:rsid w:val="00A07397"/>
    <w:rsid w:val="00A077CD"/>
    <w:rsid w:val="00A078BC"/>
    <w:rsid w:val="00A07A45"/>
    <w:rsid w:val="00A07AA8"/>
    <w:rsid w:val="00A07C09"/>
    <w:rsid w:val="00A07E25"/>
    <w:rsid w:val="00A1095A"/>
    <w:rsid w:val="00A10AA9"/>
    <w:rsid w:val="00A10C6C"/>
    <w:rsid w:val="00A10FFD"/>
    <w:rsid w:val="00A116D2"/>
    <w:rsid w:val="00A1176C"/>
    <w:rsid w:val="00A11C86"/>
    <w:rsid w:val="00A12466"/>
    <w:rsid w:val="00A12C1F"/>
    <w:rsid w:val="00A12CB2"/>
    <w:rsid w:val="00A12D38"/>
    <w:rsid w:val="00A12EE8"/>
    <w:rsid w:val="00A12F0C"/>
    <w:rsid w:val="00A1309A"/>
    <w:rsid w:val="00A132A7"/>
    <w:rsid w:val="00A135B0"/>
    <w:rsid w:val="00A13633"/>
    <w:rsid w:val="00A13681"/>
    <w:rsid w:val="00A1371D"/>
    <w:rsid w:val="00A13971"/>
    <w:rsid w:val="00A13D06"/>
    <w:rsid w:val="00A13D52"/>
    <w:rsid w:val="00A1427B"/>
    <w:rsid w:val="00A14317"/>
    <w:rsid w:val="00A14529"/>
    <w:rsid w:val="00A148BE"/>
    <w:rsid w:val="00A14AB4"/>
    <w:rsid w:val="00A14E42"/>
    <w:rsid w:val="00A14EC0"/>
    <w:rsid w:val="00A1559D"/>
    <w:rsid w:val="00A155E8"/>
    <w:rsid w:val="00A15673"/>
    <w:rsid w:val="00A1578C"/>
    <w:rsid w:val="00A15AD8"/>
    <w:rsid w:val="00A15FBC"/>
    <w:rsid w:val="00A162AD"/>
    <w:rsid w:val="00A1637E"/>
    <w:rsid w:val="00A16638"/>
    <w:rsid w:val="00A168D0"/>
    <w:rsid w:val="00A16AD5"/>
    <w:rsid w:val="00A16BA1"/>
    <w:rsid w:val="00A16C31"/>
    <w:rsid w:val="00A16CCD"/>
    <w:rsid w:val="00A16D7A"/>
    <w:rsid w:val="00A16EB6"/>
    <w:rsid w:val="00A16EC7"/>
    <w:rsid w:val="00A17109"/>
    <w:rsid w:val="00A17296"/>
    <w:rsid w:val="00A1747F"/>
    <w:rsid w:val="00A1772A"/>
    <w:rsid w:val="00A17747"/>
    <w:rsid w:val="00A17B23"/>
    <w:rsid w:val="00A17DCB"/>
    <w:rsid w:val="00A17E76"/>
    <w:rsid w:val="00A17FA5"/>
    <w:rsid w:val="00A203A8"/>
    <w:rsid w:val="00A20679"/>
    <w:rsid w:val="00A20924"/>
    <w:rsid w:val="00A20ED4"/>
    <w:rsid w:val="00A21233"/>
    <w:rsid w:val="00A213A3"/>
    <w:rsid w:val="00A21714"/>
    <w:rsid w:val="00A223C8"/>
    <w:rsid w:val="00A2295F"/>
    <w:rsid w:val="00A22A49"/>
    <w:rsid w:val="00A22BB0"/>
    <w:rsid w:val="00A2303F"/>
    <w:rsid w:val="00A23121"/>
    <w:rsid w:val="00A2341C"/>
    <w:rsid w:val="00A234FD"/>
    <w:rsid w:val="00A23555"/>
    <w:rsid w:val="00A236DC"/>
    <w:rsid w:val="00A23C63"/>
    <w:rsid w:val="00A23D32"/>
    <w:rsid w:val="00A23D65"/>
    <w:rsid w:val="00A23DD7"/>
    <w:rsid w:val="00A24278"/>
    <w:rsid w:val="00A24520"/>
    <w:rsid w:val="00A2474A"/>
    <w:rsid w:val="00A24A3A"/>
    <w:rsid w:val="00A24BF3"/>
    <w:rsid w:val="00A24D35"/>
    <w:rsid w:val="00A24D73"/>
    <w:rsid w:val="00A24E58"/>
    <w:rsid w:val="00A24F79"/>
    <w:rsid w:val="00A25039"/>
    <w:rsid w:val="00A2539B"/>
    <w:rsid w:val="00A25AAC"/>
    <w:rsid w:val="00A25D0E"/>
    <w:rsid w:val="00A25E2D"/>
    <w:rsid w:val="00A26367"/>
    <w:rsid w:val="00A26597"/>
    <w:rsid w:val="00A26652"/>
    <w:rsid w:val="00A26C75"/>
    <w:rsid w:val="00A26FED"/>
    <w:rsid w:val="00A27044"/>
    <w:rsid w:val="00A270DD"/>
    <w:rsid w:val="00A271B6"/>
    <w:rsid w:val="00A27400"/>
    <w:rsid w:val="00A2753E"/>
    <w:rsid w:val="00A27AAF"/>
    <w:rsid w:val="00A3011B"/>
    <w:rsid w:val="00A303D0"/>
    <w:rsid w:val="00A304C7"/>
    <w:rsid w:val="00A305CE"/>
    <w:rsid w:val="00A308C7"/>
    <w:rsid w:val="00A30D8A"/>
    <w:rsid w:val="00A31121"/>
    <w:rsid w:val="00A311D2"/>
    <w:rsid w:val="00A3140A"/>
    <w:rsid w:val="00A317C6"/>
    <w:rsid w:val="00A317EB"/>
    <w:rsid w:val="00A3180C"/>
    <w:rsid w:val="00A3188D"/>
    <w:rsid w:val="00A318A2"/>
    <w:rsid w:val="00A318C9"/>
    <w:rsid w:val="00A31C06"/>
    <w:rsid w:val="00A3232F"/>
    <w:rsid w:val="00A32340"/>
    <w:rsid w:val="00A329E6"/>
    <w:rsid w:val="00A32D85"/>
    <w:rsid w:val="00A32D98"/>
    <w:rsid w:val="00A332EC"/>
    <w:rsid w:val="00A3337E"/>
    <w:rsid w:val="00A334BB"/>
    <w:rsid w:val="00A3355D"/>
    <w:rsid w:val="00A335EF"/>
    <w:rsid w:val="00A33612"/>
    <w:rsid w:val="00A33787"/>
    <w:rsid w:val="00A3381C"/>
    <w:rsid w:val="00A3389A"/>
    <w:rsid w:val="00A33B58"/>
    <w:rsid w:val="00A33DF7"/>
    <w:rsid w:val="00A340B3"/>
    <w:rsid w:val="00A34649"/>
    <w:rsid w:val="00A34762"/>
    <w:rsid w:val="00A348B8"/>
    <w:rsid w:val="00A34961"/>
    <w:rsid w:val="00A3507E"/>
    <w:rsid w:val="00A350A5"/>
    <w:rsid w:val="00A3511E"/>
    <w:rsid w:val="00A355AE"/>
    <w:rsid w:val="00A35734"/>
    <w:rsid w:val="00A357AA"/>
    <w:rsid w:val="00A35922"/>
    <w:rsid w:val="00A35BCA"/>
    <w:rsid w:val="00A35D81"/>
    <w:rsid w:val="00A35D88"/>
    <w:rsid w:val="00A35DB2"/>
    <w:rsid w:val="00A360CB"/>
    <w:rsid w:val="00A3644D"/>
    <w:rsid w:val="00A36540"/>
    <w:rsid w:val="00A368EC"/>
    <w:rsid w:val="00A36D42"/>
    <w:rsid w:val="00A3703A"/>
    <w:rsid w:val="00A372D5"/>
    <w:rsid w:val="00A374B1"/>
    <w:rsid w:val="00A37AA2"/>
    <w:rsid w:val="00A37B81"/>
    <w:rsid w:val="00A37E8A"/>
    <w:rsid w:val="00A407F1"/>
    <w:rsid w:val="00A40C74"/>
    <w:rsid w:val="00A41BB8"/>
    <w:rsid w:val="00A41DCE"/>
    <w:rsid w:val="00A4214E"/>
    <w:rsid w:val="00A422DE"/>
    <w:rsid w:val="00A4257E"/>
    <w:rsid w:val="00A42ABB"/>
    <w:rsid w:val="00A42B95"/>
    <w:rsid w:val="00A42DAC"/>
    <w:rsid w:val="00A42E9E"/>
    <w:rsid w:val="00A42FA7"/>
    <w:rsid w:val="00A43521"/>
    <w:rsid w:val="00A436CE"/>
    <w:rsid w:val="00A43911"/>
    <w:rsid w:val="00A43A42"/>
    <w:rsid w:val="00A440C2"/>
    <w:rsid w:val="00A44117"/>
    <w:rsid w:val="00A441EA"/>
    <w:rsid w:val="00A44466"/>
    <w:rsid w:val="00A44671"/>
    <w:rsid w:val="00A446AF"/>
    <w:rsid w:val="00A4482A"/>
    <w:rsid w:val="00A44847"/>
    <w:rsid w:val="00A44C4F"/>
    <w:rsid w:val="00A44C88"/>
    <w:rsid w:val="00A44F06"/>
    <w:rsid w:val="00A4552B"/>
    <w:rsid w:val="00A45576"/>
    <w:rsid w:val="00A45585"/>
    <w:rsid w:val="00A456AD"/>
    <w:rsid w:val="00A45801"/>
    <w:rsid w:val="00A4580F"/>
    <w:rsid w:val="00A45876"/>
    <w:rsid w:val="00A45A97"/>
    <w:rsid w:val="00A45C8A"/>
    <w:rsid w:val="00A45CFA"/>
    <w:rsid w:val="00A45E71"/>
    <w:rsid w:val="00A45F00"/>
    <w:rsid w:val="00A45F0A"/>
    <w:rsid w:val="00A46010"/>
    <w:rsid w:val="00A460FE"/>
    <w:rsid w:val="00A46374"/>
    <w:rsid w:val="00A46670"/>
    <w:rsid w:val="00A46BBA"/>
    <w:rsid w:val="00A46D2E"/>
    <w:rsid w:val="00A46F91"/>
    <w:rsid w:val="00A4711C"/>
    <w:rsid w:val="00A47233"/>
    <w:rsid w:val="00A47368"/>
    <w:rsid w:val="00A4746F"/>
    <w:rsid w:val="00A47B04"/>
    <w:rsid w:val="00A47B68"/>
    <w:rsid w:val="00A47F94"/>
    <w:rsid w:val="00A500F5"/>
    <w:rsid w:val="00A5039C"/>
    <w:rsid w:val="00A50C3C"/>
    <w:rsid w:val="00A50F55"/>
    <w:rsid w:val="00A50FA8"/>
    <w:rsid w:val="00A51112"/>
    <w:rsid w:val="00A51193"/>
    <w:rsid w:val="00A511C1"/>
    <w:rsid w:val="00A51269"/>
    <w:rsid w:val="00A51277"/>
    <w:rsid w:val="00A515E9"/>
    <w:rsid w:val="00A517AC"/>
    <w:rsid w:val="00A51835"/>
    <w:rsid w:val="00A51929"/>
    <w:rsid w:val="00A51D9D"/>
    <w:rsid w:val="00A51F2C"/>
    <w:rsid w:val="00A52248"/>
    <w:rsid w:val="00A52397"/>
    <w:rsid w:val="00A524E4"/>
    <w:rsid w:val="00A5270A"/>
    <w:rsid w:val="00A527FD"/>
    <w:rsid w:val="00A52A75"/>
    <w:rsid w:val="00A52ACF"/>
    <w:rsid w:val="00A52BD9"/>
    <w:rsid w:val="00A52F01"/>
    <w:rsid w:val="00A530DC"/>
    <w:rsid w:val="00A53612"/>
    <w:rsid w:val="00A5378F"/>
    <w:rsid w:val="00A53AC4"/>
    <w:rsid w:val="00A53E8E"/>
    <w:rsid w:val="00A54138"/>
    <w:rsid w:val="00A541AF"/>
    <w:rsid w:val="00A542C1"/>
    <w:rsid w:val="00A54357"/>
    <w:rsid w:val="00A544C7"/>
    <w:rsid w:val="00A54562"/>
    <w:rsid w:val="00A547A6"/>
    <w:rsid w:val="00A5488B"/>
    <w:rsid w:val="00A549A7"/>
    <w:rsid w:val="00A54AE5"/>
    <w:rsid w:val="00A54B84"/>
    <w:rsid w:val="00A54C72"/>
    <w:rsid w:val="00A54CB9"/>
    <w:rsid w:val="00A5551A"/>
    <w:rsid w:val="00A556A4"/>
    <w:rsid w:val="00A55875"/>
    <w:rsid w:val="00A55A23"/>
    <w:rsid w:val="00A55BF0"/>
    <w:rsid w:val="00A55C62"/>
    <w:rsid w:val="00A55C90"/>
    <w:rsid w:val="00A55CF2"/>
    <w:rsid w:val="00A55D15"/>
    <w:rsid w:val="00A55F8E"/>
    <w:rsid w:val="00A56155"/>
    <w:rsid w:val="00A5617C"/>
    <w:rsid w:val="00A5633A"/>
    <w:rsid w:val="00A56AE1"/>
    <w:rsid w:val="00A56C13"/>
    <w:rsid w:val="00A56D11"/>
    <w:rsid w:val="00A5718A"/>
    <w:rsid w:val="00A573AD"/>
    <w:rsid w:val="00A575AA"/>
    <w:rsid w:val="00A577A2"/>
    <w:rsid w:val="00A57F12"/>
    <w:rsid w:val="00A60156"/>
    <w:rsid w:val="00A602C2"/>
    <w:rsid w:val="00A60658"/>
    <w:rsid w:val="00A60E32"/>
    <w:rsid w:val="00A612A6"/>
    <w:rsid w:val="00A61413"/>
    <w:rsid w:val="00A619F5"/>
    <w:rsid w:val="00A61D72"/>
    <w:rsid w:val="00A61DF3"/>
    <w:rsid w:val="00A61EBD"/>
    <w:rsid w:val="00A62218"/>
    <w:rsid w:val="00A62549"/>
    <w:rsid w:val="00A627D8"/>
    <w:rsid w:val="00A627E9"/>
    <w:rsid w:val="00A628B6"/>
    <w:rsid w:val="00A62995"/>
    <w:rsid w:val="00A6332B"/>
    <w:rsid w:val="00A63632"/>
    <w:rsid w:val="00A6378F"/>
    <w:rsid w:val="00A64394"/>
    <w:rsid w:val="00A64506"/>
    <w:rsid w:val="00A64626"/>
    <w:rsid w:val="00A6462B"/>
    <w:rsid w:val="00A64666"/>
    <w:rsid w:val="00A6473D"/>
    <w:rsid w:val="00A648AA"/>
    <w:rsid w:val="00A64B66"/>
    <w:rsid w:val="00A64D10"/>
    <w:rsid w:val="00A64E70"/>
    <w:rsid w:val="00A64E9C"/>
    <w:rsid w:val="00A650E6"/>
    <w:rsid w:val="00A65171"/>
    <w:rsid w:val="00A65381"/>
    <w:rsid w:val="00A653A2"/>
    <w:rsid w:val="00A653C5"/>
    <w:rsid w:val="00A654AA"/>
    <w:rsid w:val="00A656BB"/>
    <w:rsid w:val="00A6587B"/>
    <w:rsid w:val="00A65D19"/>
    <w:rsid w:val="00A65F35"/>
    <w:rsid w:val="00A65FFA"/>
    <w:rsid w:val="00A66176"/>
    <w:rsid w:val="00A662F2"/>
    <w:rsid w:val="00A663DC"/>
    <w:rsid w:val="00A664E1"/>
    <w:rsid w:val="00A668A7"/>
    <w:rsid w:val="00A668A8"/>
    <w:rsid w:val="00A66909"/>
    <w:rsid w:val="00A66D82"/>
    <w:rsid w:val="00A66DBA"/>
    <w:rsid w:val="00A66E28"/>
    <w:rsid w:val="00A67096"/>
    <w:rsid w:val="00A671D3"/>
    <w:rsid w:val="00A673C5"/>
    <w:rsid w:val="00A67B90"/>
    <w:rsid w:val="00A67DF0"/>
    <w:rsid w:val="00A67E79"/>
    <w:rsid w:val="00A67EB3"/>
    <w:rsid w:val="00A67FFD"/>
    <w:rsid w:val="00A703B6"/>
    <w:rsid w:val="00A70526"/>
    <w:rsid w:val="00A7058D"/>
    <w:rsid w:val="00A7080D"/>
    <w:rsid w:val="00A7083D"/>
    <w:rsid w:val="00A70A2A"/>
    <w:rsid w:val="00A70B12"/>
    <w:rsid w:val="00A70C05"/>
    <w:rsid w:val="00A718A8"/>
    <w:rsid w:val="00A7197C"/>
    <w:rsid w:val="00A71FFF"/>
    <w:rsid w:val="00A72177"/>
    <w:rsid w:val="00A72798"/>
    <w:rsid w:val="00A72D1F"/>
    <w:rsid w:val="00A72D3E"/>
    <w:rsid w:val="00A72E2B"/>
    <w:rsid w:val="00A72F11"/>
    <w:rsid w:val="00A730CF"/>
    <w:rsid w:val="00A7319F"/>
    <w:rsid w:val="00A73211"/>
    <w:rsid w:val="00A7346C"/>
    <w:rsid w:val="00A73643"/>
    <w:rsid w:val="00A73884"/>
    <w:rsid w:val="00A73B1B"/>
    <w:rsid w:val="00A73C27"/>
    <w:rsid w:val="00A73F9A"/>
    <w:rsid w:val="00A74032"/>
    <w:rsid w:val="00A74391"/>
    <w:rsid w:val="00A74460"/>
    <w:rsid w:val="00A746D3"/>
    <w:rsid w:val="00A74B7B"/>
    <w:rsid w:val="00A750CA"/>
    <w:rsid w:val="00A751D1"/>
    <w:rsid w:val="00A7530D"/>
    <w:rsid w:val="00A75971"/>
    <w:rsid w:val="00A75AFD"/>
    <w:rsid w:val="00A75CF2"/>
    <w:rsid w:val="00A75CFC"/>
    <w:rsid w:val="00A75E1C"/>
    <w:rsid w:val="00A75FF5"/>
    <w:rsid w:val="00A7620F"/>
    <w:rsid w:val="00A7640A"/>
    <w:rsid w:val="00A76483"/>
    <w:rsid w:val="00A76530"/>
    <w:rsid w:val="00A7667B"/>
    <w:rsid w:val="00A76960"/>
    <w:rsid w:val="00A77308"/>
    <w:rsid w:val="00A7779F"/>
    <w:rsid w:val="00A77CD4"/>
    <w:rsid w:val="00A77D18"/>
    <w:rsid w:val="00A77D94"/>
    <w:rsid w:val="00A77E28"/>
    <w:rsid w:val="00A80050"/>
    <w:rsid w:val="00A800CD"/>
    <w:rsid w:val="00A8022A"/>
    <w:rsid w:val="00A80616"/>
    <w:rsid w:val="00A80707"/>
    <w:rsid w:val="00A8080F"/>
    <w:rsid w:val="00A80943"/>
    <w:rsid w:val="00A809B6"/>
    <w:rsid w:val="00A80AA2"/>
    <w:rsid w:val="00A80BDF"/>
    <w:rsid w:val="00A80C10"/>
    <w:rsid w:val="00A80C8D"/>
    <w:rsid w:val="00A80CEB"/>
    <w:rsid w:val="00A80DE0"/>
    <w:rsid w:val="00A80F70"/>
    <w:rsid w:val="00A81380"/>
    <w:rsid w:val="00A81585"/>
    <w:rsid w:val="00A8158D"/>
    <w:rsid w:val="00A81752"/>
    <w:rsid w:val="00A818C6"/>
    <w:rsid w:val="00A8198A"/>
    <w:rsid w:val="00A81A2F"/>
    <w:rsid w:val="00A81B28"/>
    <w:rsid w:val="00A81B49"/>
    <w:rsid w:val="00A81D1E"/>
    <w:rsid w:val="00A8220B"/>
    <w:rsid w:val="00A825AE"/>
    <w:rsid w:val="00A82637"/>
    <w:rsid w:val="00A82953"/>
    <w:rsid w:val="00A830AD"/>
    <w:rsid w:val="00A83605"/>
    <w:rsid w:val="00A83644"/>
    <w:rsid w:val="00A838E5"/>
    <w:rsid w:val="00A839F9"/>
    <w:rsid w:val="00A83E11"/>
    <w:rsid w:val="00A83E2D"/>
    <w:rsid w:val="00A83E93"/>
    <w:rsid w:val="00A83EEB"/>
    <w:rsid w:val="00A83EF0"/>
    <w:rsid w:val="00A84476"/>
    <w:rsid w:val="00A844BF"/>
    <w:rsid w:val="00A845F1"/>
    <w:rsid w:val="00A84646"/>
    <w:rsid w:val="00A8468B"/>
    <w:rsid w:val="00A84951"/>
    <w:rsid w:val="00A84E26"/>
    <w:rsid w:val="00A84E5B"/>
    <w:rsid w:val="00A85205"/>
    <w:rsid w:val="00A8531A"/>
    <w:rsid w:val="00A857DE"/>
    <w:rsid w:val="00A859E5"/>
    <w:rsid w:val="00A85D8D"/>
    <w:rsid w:val="00A86433"/>
    <w:rsid w:val="00A865EF"/>
    <w:rsid w:val="00A86775"/>
    <w:rsid w:val="00A868AF"/>
    <w:rsid w:val="00A86940"/>
    <w:rsid w:val="00A86A48"/>
    <w:rsid w:val="00A86B09"/>
    <w:rsid w:val="00A86C3B"/>
    <w:rsid w:val="00A86CE5"/>
    <w:rsid w:val="00A86DF7"/>
    <w:rsid w:val="00A873C1"/>
    <w:rsid w:val="00A8741C"/>
    <w:rsid w:val="00A87B07"/>
    <w:rsid w:val="00A87C6A"/>
    <w:rsid w:val="00A90324"/>
    <w:rsid w:val="00A903E3"/>
    <w:rsid w:val="00A9044A"/>
    <w:rsid w:val="00A904B2"/>
    <w:rsid w:val="00A907C0"/>
    <w:rsid w:val="00A90882"/>
    <w:rsid w:val="00A909DC"/>
    <w:rsid w:val="00A90AA7"/>
    <w:rsid w:val="00A90AB7"/>
    <w:rsid w:val="00A90C34"/>
    <w:rsid w:val="00A90CC6"/>
    <w:rsid w:val="00A90F18"/>
    <w:rsid w:val="00A91120"/>
    <w:rsid w:val="00A9119D"/>
    <w:rsid w:val="00A91224"/>
    <w:rsid w:val="00A914BF"/>
    <w:rsid w:val="00A9192E"/>
    <w:rsid w:val="00A91C7B"/>
    <w:rsid w:val="00A92625"/>
    <w:rsid w:val="00A928D8"/>
    <w:rsid w:val="00A92FCF"/>
    <w:rsid w:val="00A93187"/>
    <w:rsid w:val="00A93615"/>
    <w:rsid w:val="00A9380B"/>
    <w:rsid w:val="00A93D21"/>
    <w:rsid w:val="00A93DD2"/>
    <w:rsid w:val="00A940E9"/>
    <w:rsid w:val="00A9425F"/>
    <w:rsid w:val="00A947A6"/>
    <w:rsid w:val="00A94920"/>
    <w:rsid w:val="00A949DE"/>
    <w:rsid w:val="00A94BE3"/>
    <w:rsid w:val="00A94EAD"/>
    <w:rsid w:val="00A94FA1"/>
    <w:rsid w:val="00A953D9"/>
    <w:rsid w:val="00A95474"/>
    <w:rsid w:val="00A95478"/>
    <w:rsid w:val="00A95505"/>
    <w:rsid w:val="00A956AC"/>
    <w:rsid w:val="00A958DD"/>
    <w:rsid w:val="00A95973"/>
    <w:rsid w:val="00A95A05"/>
    <w:rsid w:val="00A95A8E"/>
    <w:rsid w:val="00A95B20"/>
    <w:rsid w:val="00A95BE3"/>
    <w:rsid w:val="00A95CE9"/>
    <w:rsid w:val="00A964B4"/>
    <w:rsid w:val="00A9657B"/>
    <w:rsid w:val="00A966C5"/>
    <w:rsid w:val="00A96B09"/>
    <w:rsid w:val="00A96B68"/>
    <w:rsid w:val="00A96BEA"/>
    <w:rsid w:val="00A96C3B"/>
    <w:rsid w:val="00A96FC9"/>
    <w:rsid w:val="00A96FF7"/>
    <w:rsid w:val="00A973A3"/>
    <w:rsid w:val="00A97718"/>
    <w:rsid w:val="00A97853"/>
    <w:rsid w:val="00A97A2E"/>
    <w:rsid w:val="00A97C02"/>
    <w:rsid w:val="00A97DB9"/>
    <w:rsid w:val="00AA037D"/>
    <w:rsid w:val="00AA053B"/>
    <w:rsid w:val="00AA05EF"/>
    <w:rsid w:val="00AA0783"/>
    <w:rsid w:val="00AA094A"/>
    <w:rsid w:val="00AA09BC"/>
    <w:rsid w:val="00AA0A93"/>
    <w:rsid w:val="00AA0C09"/>
    <w:rsid w:val="00AA0DE8"/>
    <w:rsid w:val="00AA1167"/>
    <w:rsid w:val="00AA119E"/>
    <w:rsid w:val="00AA11AC"/>
    <w:rsid w:val="00AA11BE"/>
    <w:rsid w:val="00AA1627"/>
    <w:rsid w:val="00AA1729"/>
    <w:rsid w:val="00AA1C5A"/>
    <w:rsid w:val="00AA228E"/>
    <w:rsid w:val="00AA25F0"/>
    <w:rsid w:val="00AA275C"/>
    <w:rsid w:val="00AA2870"/>
    <w:rsid w:val="00AA28A9"/>
    <w:rsid w:val="00AA333B"/>
    <w:rsid w:val="00AA3377"/>
    <w:rsid w:val="00AA34D4"/>
    <w:rsid w:val="00AA38DE"/>
    <w:rsid w:val="00AA3989"/>
    <w:rsid w:val="00AA39F3"/>
    <w:rsid w:val="00AA3B18"/>
    <w:rsid w:val="00AA3C96"/>
    <w:rsid w:val="00AA3DB7"/>
    <w:rsid w:val="00AA3EED"/>
    <w:rsid w:val="00AA4155"/>
    <w:rsid w:val="00AA4431"/>
    <w:rsid w:val="00AA45F6"/>
    <w:rsid w:val="00AA4637"/>
    <w:rsid w:val="00AA480E"/>
    <w:rsid w:val="00AA4C16"/>
    <w:rsid w:val="00AA4E80"/>
    <w:rsid w:val="00AA505E"/>
    <w:rsid w:val="00AA549E"/>
    <w:rsid w:val="00AA5574"/>
    <w:rsid w:val="00AA578E"/>
    <w:rsid w:val="00AA59B6"/>
    <w:rsid w:val="00AA5A3A"/>
    <w:rsid w:val="00AA5A53"/>
    <w:rsid w:val="00AA5AF8"/>
    <w:rsid w:val="00AA5BF6"/>
    <w:rsid w:val="00AA6799"/>
    <w:rsid w:val="00AA693A"/>
    <w:rsid w:val="00AA6988"/>
    <w:rsid w:val="00AA6A98"/>
    <w:rsid w:val="00AA6B38"/>
    <w:rsid w:val="00AA6DF7"/>
    <w:rsid w:val="00AA6E19"/>
    <w:rsid w:val="00AA6E2E"/>
    <w:rsid w:val="00AA6EBA"/>
    <w:rsid w:val="00AA7662"/>
    <w:rsid w:val="00AB030F"/>
    <w:rsid w:val="00AB0322"/>
    <w:rsid w:val="00AB034B"/>
    <w:rsid w:val="00AB036D"/>
    <w:rsid w:val="00AB0440"/>
    <w:rsid w:val="00AB0855"/>
    <w:rsid w:val="00AB08D1"/>
    <w:rsid w:val="00AB0B26"/>
    <w:rsid w:val="00AB0B59"/>
    <w:rsid w:val="00AB0BF0"/>
    <w:rsid w:val="00AB0E87"/>
    <w:rsid w:val="00AB1008"/>
    <w:rsid w:val="00AB1079"/>
    <w:rsid w:val="00AB1100"/>
    <w:rsid w:val="00AB164C"/>
    <w:rsid w:val="00AB1B8F"/>
    <w:rsid w:val="00AB1F78"/>
    <w:rsid w:val="00AB214A"/>
    <w:rsid w:val="00AB2169"/>
    <w:rsid w:val="00AB21B0"/>
    <w:rsid w:val="00AB21BC"/>
    <w:rsid w:val="00AB228C"/>
    <w:rsid w:val="00AB287C"/>
    <w:rsid w:val="00AB2E83"/>
    <w:rsid w:val="00AB304D"/>
    <w:rsid w:val="00AB35C0"/>
    <w:rsid w:val="00AB3667"/>
    <w:rsid w:val="00AB3715"/>
    <w:rsid w:val="00AB37DF"/>
    <w:rsid w:val="00AB389D"/>
    <w:rsid w:val="00AB39AB"/>
    <w:rsid w:val="00AB39B0"/>
    <w:rsid w:val="00AB3CD1"/>
    <w:rsid w:val="00AB418E"/>
    <w:rsid w:val="00AB42C3"/>
    <w:rsid w:val="00AB4480"/>
    <w:rsid w:val="00AB492A"/>
    <w:rsid w:val="00AB4ABC"/>
    <w:rsid w:val="00AB5090"/>
    <w:rsid w:val="00AB56DF"/>
    <w:rsid w:val="00AB5A48"/>
    <w:rsid w:val="00AB5A64"/>
    <w:rsid w:val="00AB5B66"/>
    <w:rsid w:val="00AB5BAD"/>
    <w:rsid w:val="00AB5BF4"/>
    <w:rsid w:val="00AB5CEA"/>
    <w:rsid w:val="00AB5D39"/>
    <w:rsid w:val="00AB5D4C"/>
    <w:rsid w:val="00AB61B7"/>
    <w:rsid w:val="00AB63B1"/>
    <w:rsid w:val="00AB6567"/>
    <w:rsid w:val="00AB688A"/>
    <w:rsid w:val="00AB6B3E"/>
    <w:rsid w:val="00AB6E22"/>
    <w:rsid w:val="00AB7225"/>
    <w:rsid w:val="00AB7352"/>
    <w:rsid w:val="00AB73B0"/>
    <w:rsid w:val="00AB73F0"/>
    <w:rsid w:val="00AB745C"/>
    <w:rsid w:val="00AB7993"/>
    <w:rsid w:val="00AB7C0F"/>
    <w:rsid w:val="00AB7C87"/>
    <w:rsid w:val="00AC00E9"/>
    <w:rsid w:val="00AC01EB"/>
    <w:rsid w:val="00AC0325"/>
    <w:rsid w:val="00AC08F1"/>
    <w:rsid w:val="00AC09EF"/>
    <w:rsid w:val="00AC0CEE"/>
    <w:rsid w:val="00AC0D90"/>
    <w:rsid w:val="00AC12DD"/>
    <w:rsid w:val="00AC1543"/>
    <w:rsid w:val="00AC1560"/>
    <w:rsid w:val="00AC1610"/>
    <w:rsid w:val="00AC1909"/>
    <w:rsid w:val="00AC1C00"/>
    <w:rsid w:val="00AC1C2B"/>
    <w:rsid w:val="00AC1C47"/>
    <w:rsid w:val="00AC1F8A"/>
    <w:rsid w:val="00AC2197"/>
    <w:rsid w:val="00AC21F4"/>
    <w:rsid w:val="00AC23AE"/>
    <w:rsid w:val="00AC2426"/>
    <w:rsid w:val="00AC2506"/>
    <w:rsid w:val="00AC2549"/>
    <w:rsid w:val="00AC26F4"/>
    <w:rsid w:val="00AC28A9"/>
    <w:rsid w:val="00AC2975"/>
    <w:rsid w:val="00AC297A"/>
    <w:rsid w:val="00AC2DB3"/>
    <w:rsid w:val="00AC2DF6"/>
    <w:rsid w:val="00AC2E44"/>
    <w:rsid w:val="00AC2EDF"/>
    <w:rsid w:val="00AC3021"/>
    <w:rsid w:val="00AC3407"/>
    <w:rsid w:val="00AC352D"/>
    <w:rsid w:val="00AC353D"/>
    <w:rsid w:val="00AC3666"/>
    <w:rsid w:val="00AC3725"/>
    <w:rsid w:val="00AC372B"/>
    <w:rsid w:val="00AC3A0E"/>
    <w:rsid w:val="00AC3AB9"/>
    <w:rsid w:val="00AC3FC2"/>
    <w:rsid w:val="00AC40B5"/>
    <w:rsid w:val="00AC41FA"/>
    <w:rsid w:val="00AC4322"/>
    <w:rsid w:val="00AC44A7"/>
    <w:rsid w:val="00AC46D7"/>
    <w:rsid w:val="00AC4816"/>
    <w:rsid w:val="00AC4B88"/>
    <w:rsid w:val="00AC4C27"/>
    <w:rsid w:val="00AC4C96"/>
    <w:rsid w:val="00AC4E48"/>
    <w:rsid w:val="00AC5279"/>
    <w:rsid w:val="00AC528B"/>
    <w:rsid w:val="00AC5627"/>
    <w:rsid w:val="00AC5AB8"/>
    <w:rsid w:val="00AC5BEC"/>
    <w:rsid w:val="00AC6180"/>
    <w:rsid w:val="00AC6564"/>
    <w:rsid w:val="00AC6608"/>
    <w:rsid w:val="00AC67D4"/>
    <w:rsid w:val="00AC6894"/>
    <w:rsid w:val="00AC6E08"/>
    <w:rsid w:val="00AC6E0B"/>
    <w:rsid w:val="00AC6E2A"/>
    <w:rsid w:val="00AC6F2B"/>
    <w:rsid w:val="00AC6FCF"/>
    <w:rsid w:val="00AC711E"/>
    <w:rsid w:val="00AC72C4"/>
    <w:rsid w:val="00AC7307"/>
    <w:rsid w:val="00AC74B2"/>
    <w:rsid w:val="00AC7DFE"/>
    <w:rsid w:val="00AC7E4C"/>
    <w:rsid w:val="00AC7E8B"/>
    <w:rsid w:val="00AD00AC"/>
    <w:rsid w:val="00AD016C"/>
    <w:rsid w:val="00AD017D"/>
    <w:rsid w:val="00AD0A89"/>
    <w:rsid w:val="00AD0C2C"/>
    <w:rsid w:val="00AD0D98"/>
    <w:rsid w:val="00AD1372"/>
    <w:rsid w:val="00AD1455"/>
    <w:rsid w:val="00AD172D"/>
    <w:rsid w:val="00AD1C1C"/>
    <w:rsid w:val="00AD1F4D"/>
    <w:rsid w:val="00AD1F76"/>
    <w:rsid w:val="00AD206F"/>
    <w:rsid w:val="00AD20CA"/>
    <w:rsid w:val="00AD227F"/>
    <w:rsid w:val="00AD250B"/>
    <w:rsid w:val="00AD25DE"/>
    <w:rsid w:val="00AD29C8"/>
    <w:rsid w:val="00AD314E"/>
    <w:rsid w:val="00AD3859"/>
    <w:rsid w:val="00AD38CE"/>
    <w:rsid w:val="00AD3B1C"/>
    <w:rsid w:val="00AD3B66"/>
    <w:rsid w:val="00AD3E2E"/>
    <w:rsid w:val="00AD3F2B"/>
    <w:rsid w:val="00AD4763"/>
    <w:rsid w:val="00AD4A4B"/>
    <w:rsid w:val="00AD4A58"/>
    <w:rsid w:val="00AD4F09"/>
    <w:rsid w:val="00AD51DE"/>
    <w:rsid w:val="00AD556A"/>
    <w:rsid w:val="00AD556C"/>
    <w:rsid w:val="00AD557F"/>
    <w:rsid w:val="00AD56D8"/>
    <w:rsid w:val="00AD5821"/>
    <w:rsid w:val="00AD586C"/>
    <w:rsid w:val="00AD5C11"/>
    <w:rsid w:val="00AD5C14"/>
    <w:rsid w:val="00AD5CE3"/>
    <w:rsid w:val="00AD5D7B"/>
    <w:rsid w:val="00AD5F15"/>
    <w:rsid w:val="00AD616F"/>
    <w:rsid w:val="00AD63DD"/>
    <w:rsid w:val="00AD648B"/>
    <w:rsid w:val="00AD69AF"/>
    <w:rsid w:val="00AD6A91"/>
    <w:rsid w:val="00AD6A97"/>
    <w:rsid w:val="00AD6FF6"/>
    <w:rsid w:val="00AD7000"/>
    <w:rsid w:val="00AD71FE"/>
    <w:rsid w:val="00AD73F6"/>
    <w:rsid w:val="00AD7750"/>
    <w:rsid w:val="00AD7BFB"/>
    <w:rsid w:val="00AD7C6B"/>
    <w:rsid w:val="00AD7C7B"/>
    <w:rsid w:val="00AE01F2"/>
    <w:rsid w:val="00AE02FE"/>
    <w:rsid w:val="00AE03DD"/>
    <w:rsid w:val="00AE0889"/>
    <w:rsid w:val="00AE0DBF"/>
    <w:rsid w:val="00AE125F"/>
    <w:rsid w:val="00AE12A3"/>
    <w:rsid w:val="00AE14AD"/>
    <w:rsid w:val="00AE18B6"/>
    <w:rsid w:val="00AE1AB4"/>
    <w:rsid w:val="00AE1D22"/>
    <w:rsid w:val="00AE1D44"/>
    <w:rsid w:val="00AE1F50"/>
    <w:rsid w:val="00AE2237"/>
    <w:rsid w:val="00AE24A2"/>
    <w:rsid w:val="00AE26B7"/>
    <w:rsid w:val="00AE2849"/>
    <w:rsid w:val="00AE2885"/>
    <w:rsid w:val="00AE2D92"/>
    <w:rsid w:val="00AE2E2A"/>
    <w:rsid w:val="00AE3218"/>
    <w:rsid w:val="00AE32A4"/>
    <w:rsid w:val="00AE3342"/>
    <w:rsid w:val="00AE359F"/>
    <w:rsid w:val="00AE39C6"/>
    <w:rsid w:val="00AE3A2E"/>
    <w:rsid w:val="00AE3A40"/>
    <w:rsid w:val="00AE3AE5"/>
    <w:rsid w:val="00AE41A0"/>
    <w:rsid w:val="00AE470B"/>
    <w:rsid w:val="00AE4710"/>
    <w:rsid w:val="00AE48E8"/>
    <w:rsid w:val="00AE4BA9"/>
    <w:rsid w:val="00AE4D33"/>
    <w:rsid w:val="00AE4D86"/>
    <w:rsid w:val="00AE4ED1"/>
    <w:rsid w:val="00AE51D0"/>
    <w:rsid w:val="00AE54F5"/>
    <w:rsid w:val="00AE55F5"/>
    <w:rsid w:val="00AE566A"/>
    <w:rsid w:val="00AE593C"/>
    <w:rsid w:val="00AE5BCE"/>
    <w:rsid w:val="00AE5BF4"/>
    <w:rsid w:val="00AE5D58"/>
    <w:rsid w:val="00AE5EA7"/>
    <w:rsid w:val="00AE5F6A"/>
    <w:rsid w:val="00AE6208"/>
    <w:rsid w:val="00AE6440"/>
    <w:rsid w:val="00AE6494"/>
    <w:rsid w:val="00AE658A"/>
    <w:rsid w:val="00AE659F"/>
    <w:rsid w:val="00AE6D2E"/>
    <w:rsid w:val="00AE6E58"/>
    <w:rsid w:val="00AE6F06"/>
    <w:rsid w:val="00AE71BE"/>
    <w:rsid w:val="00AE723F"/>
    <w:rsid w:val="00AE7EC6"/>
    <w:rsid w:val="00AE7F46"/>
    <w:rsid w:val="00AE7FA6"/>
    <w:rsid w:val="00AF0160"/>
    <w:rsid w:val="00AF0E48"/>
    <w:rsid w:val="00AF115B"/>
    <w:rsid w:val="00AF117F"/>
    <w:rsid w:val="00AF1260"/>
    <w:rsid w:val="00AF12BB"/>
    <w:rsid w:val="00AF131B"/>
    <w:rsid w:val="00AF1541"/>
    <w:rsid w:val="00AF180E"/>
    <w:rsid w:val="00AF1862"/>
    <w:rsid w:val="00AF1F5A"/>
    <w:rsid w:val="00AF20EC"/>
    <w:rsid w:val="00AF2233"/>
    <w:rsid w:val="00AF247C"/>
    <w:rsid w:val="00AF253F"/>
    <w:rsid w:val="00AF2ACA"/>
    <w:rsid w:val="00AF3202"/>
    <w:rsid w:val="00AF35AF"/>
    <w:rsid w:val="00AF377C"/>
    <w:rsid w:val="00AF38D0"/>
    <w:rsid w:val="00AF3B4C"/>
    <w:rsid w:val="00AF3B4F"/>
    <w:rsid w:val="00AF3D1A"/>
    <w:rsid w:val="00AF3DA7"/>
    <w:rsid w:val="00AF3DD9"/>
    <w:rsid w:val="00AF3FEC"/>
    <w:rsid w:val="00AF413E"/>
    <w:rsid w:val="00AF44B9"/>
    <w:rsid w:val="00AF458A"/>
    <w:rsid w:val="00AF45CB"/>
    <w:rsid w:val="00AF4635"/>
    <w:rsid w:val="00AF470C"/>
    <w:rsid w:val="00AF4769"/>
    <w:rsid w:val="00AF4940"/>
    <w:rsid w:val="00AF4AC3"/>
    <w:rsid w:val="00AF4F08"/>
    <w:rsid w:val="00AF4F3C"/>
    <w:rsid w:val="00AF517C"/>
    <w:rsid w:val="00AF58B2"/>
    <w:rsid w:val="00AF5936"/>
    <w:rsid w:val="00AF5D8D"/>
    <w:rsid w:val="00AF63B8"/>
    <w:rsid w:val="00AF642A"/>
    <w:rsid w:val="00AF686B"/>
    <w:rsid w:val="00AF6A92"/>
    <w:rsid w:val="00AF6FE8"/>
    <w:rsid w:val="00AF70F1"/>
    <w:rsid w:val="00AF718B"/>
    <w:rsid w:val="00AF7348"/>
    <w:rsid w:val="00AF734C"/>
    <w:rsid w:val="00AF739D"/>
    <w:rsid w:val="00AF73CA"/>
    <w:rsid w:val="00AF7B7C"/>
    <w:rsid w:val="00AF7FAC"/>
    <w:rsid w:val="00B0006E"/>
    <w:rsid w:val="00B0051E"/>
    <w:rsid w:val="00B006BA"/>
    <w:rsid w:val="00B0086E"/>
    <w:rsid w:val="00B0088B"/>
    <w:rsid w:val="00B00B45"/>
    <w:rsid w:val="00B00C0F"/>
    <w:rsid w:val="00B00D76"/>
    <w:rsid w:val="00B00ECC"/>
    <w:rsid w:val="00B00F5A"/>
    <w:rsid w:val="00B01574"/>
    <w:rsid w:val="00B01698"/>
    <w:rsid w:val="00B01F30"/>
    <w:rsid w:val="00B020D8"/>
    <w:rsid w:val="00B021C0"/>
    <w:rsid w:val="00B025BE"/>
    <w:rsid w:val="00B02665"/>
    <w:rsid w:val="00B02B55"/>
    <w:rsid w:val="00B03406"/>
    <w:rsid w:val="00B03681"/>
    <w:rsid w:val="00B03684"/>
    <w:rsid w:val="00B03876"/>
    <w:rsid w:val="00B038A0"/>
    <w:rsid w:val="00B03F25"/>
    <w:rsid w:val="00B041FB"/>
    <w:rsid w:val="00B04268"/>
    <w:rsid w:val="00B04300"/>
    <w:rsid w:val="00B04485"/>
    <w:rsid w:val="00B045A8"/>
    <w:rsid w:val="00B046D6"/>
    <w:rsid w:val="00B04708"/>
    <w:rsid w:val="00B04DF2"/>
    <w:rsid w:val="00B05045"/>
    <w:rsid w:val="00B05365"/>
    <w:rsid w:val="00B053FC"/>
    <w:rsid w:val="00B0555A"/>
    <w:rsid w:val="00B05C30"/>
    <w:rsid w:val="00B06054"/>
    <w:rsid w:val="00B063FF"/>
    <w:rsid w:val="00B06521"/>
    <w:rsid w:val="00B0677B"/>
    <w:rsid w:val="00B069BF"/>
    <w:rsid w:val="00B06C2D"/>
    <w:rsid w:val="00B070AD"/>
    <w:rsid w:val="00B0778F"/>
    <w:rsid w:val="00B078BB"/>
    <w:rsid w:val="00B0795A"/>
    <w:rsid w:val="00B07AF2"/>
    <w:rsid w:val="00B07CEB"/>
    <w:rsid w:val="00B10108"/>
    <w:rsid w:val="00B10285"/>
    <w:rsid w:val="00B102FB"/>
    <w:rsid w:val="00B1049F"/>
    <w:rsid w:val="00B10992"/>
    <w:rsid w:val="00B10BC8"/>
    <w:rsid w:val="00B10C35"/>
    <w:rsid w:val="00B10CD5"/>
    <w:rsid w:val="00B11010"/>
    <w:rsid w:val="00B11229"/>
    <w:rsid w:val="00B11241"/>
    <w:rsid w:val="00B112B1"/>
    <w:rsid w:val="00B113E5"/>
    <w:rsid w:val="00B11568"/>
    <w:rsid w:val="00B1164C"/>
    <w:rsid w:val="00B116AC"/>
    <w:rsid w:val="00B11F4B"/>
    <w:rsid w:val="00B12098"/>
    <w:rsid w:val="00B120E7"/>
    <w:rsid w:val="00B1225B"/>
    <w:rsid w:val="00B12281"/>
    <w:rsid w:val="00B12350"/>
    <w:rsid w:val="00B1240D"/>
    <w:rsid w:val="00B124A3"/>
    <w:rsid w:val="00B12659"/>
    <w:rsid w:val="00B12982"/>
    <w:rsid w:val="00B12C53"/>
    <w:rsid w:val="00B12CA0"/>
    <w:rsid w:val="00B12DC0"/>
    <w:rsid w:val="00B12E5B"/>
    <w:rsid w:val="00B13001"/>
    <w:rsid w:val="00B13220"/>
    <w:rsid w:val="00B13443"/>
    <w:rsid w:val="00B135A0"/>
    <w:rsid w:val="00B13852"/>
    <w:rsid w:val="00B13AEB"/>
    <w:rsid w:val="00B13B33"/>
    <w:rsid w:val="00B13DB7"/>
    <w:rsid w:val="00B13DF2"/>
    <w:rsid w:val="00B13EFF"/>
    <w:rsid w:val="00B1460D"/>
    <w:rsid w:val="00B14737"/>
    <w:rsid w:val="00B14BED"/>
    <w:rsid w:val="00B14CB9"/>
    <w:rsid w:val="00B14D88"/>
    <w:rsid w:val="00B14EA7"/>
    <w:rsid w:val="00B14F89"/>
    <w:rsid w:val="00B150F5"/>
    <w:rsid w:val="00B157F5"/>
    <w:rsid w:val="00B15CD7"/>
    <w:rsid w:val="00B15CFC"/>
    <w:rsid w:val="00B15F1B"/>
    <w:rsid w:val="00B16456"/>
    <w:rsid w:val="00B16503"/>
    <w:rsid w:val="00B16822"/>
    <w:rsid w:val="00B16979"/>
    <w:rsid w:val="00B16D02"/>
    <w:rsid w:val="00B17473"/>
    <w:rsid w:val="00B17536"/>
    <w:rsid w:val="00B17555"/>
    <w:rsid w:val="00B1799B"/>
    <w:rsid w:val="00B17A4E"/>
    <w:rsid w:val="00B17BC9"/>
    <w:rsid w:val="00B17C7B"/>
    <w:rsid w:val="00B17CA6"/>
    <w:rsid w:val="00B17E36"/>
    <w:rsid w:val="00B17FB9"/>
    <w:rsid w:val="00B200DB"/>
    <w:rsid w:val="00B2029A"/>
    <w:rsid w:val="00B20498"/>
    <w:rsid w:val="00B206E1"/>
    <w:rsid w:val="00B2078F"/>
    <w:rsid w:val="00B208DF"/>
    <w:rsid w:val="00B209F8"/>
    <w:rsid w:val="00B20AA2"/>
    <w:rsid w:val="00B20E8F"/>
    <w:rsid w:val="00B20EA4"/>
    <w:rsid w:val="00B21109"/>
    <w:rsid w:val="00B21618"/>
    <w:rsid w:val="00B21655"/>
    <w:rsid w:val="00B2181C"/>
    <w:rsid w:val="00B21B76"/>
    <w:rsid w:val="00B21C36"/>
    <w:rsid w:val="00B2220C"/>
    <w:rsid w:val="00B224E6"/>
    <w:rsid w:val="00B22520"/>
    <w:rsid w:val="00B225DF"/>
    <w:rsid w:val="00B2277D"/>
    <w:rsid w:val="00B2282D"/>
    <w:rsid w:val="00B22BAF"/>
    <w:rsid w:val="00B22BBE"/>
    <w:rsid w:val="00B2307F"/>
    <w:rsid w:val="00B231F6"/>
    <w:rsid w:val="00B2330A"/>
    <w:rsid w:val="00B23438"/>
    <w:rsid w:val="00B2373A"/>
    <w:rsid w:val="00B23756"/>
    <w:rsid w:val="00B23B39"/>
    <w:rsid w:val="00B23CF3"/>
    <w:rsid w:val="00B23D8E"/>
    <w:rsid w:val="00B24077"/>
    <w:rsid w:val="00B24582"/>
    <w:rsid w:val="00B24AB5"/>
    <w:rsid w:val="00B253A1"/>
    <w:rsid w:val="00B25420"/>
    <w:rsid w:val="00B25426"/>
    <w:rsid w:val="00B256AA"/>
    <w:rsid w:val="00B258FE"/>
    <w:rsid w:val="00B25C53"/>
    <w:rsid w:val="00B25CFB"/>
    <w:rsid w:val="00B25ED8"/>
    <w:rsid w:val="00B26035"/>
    <w:rsid w:val="00B260FA"/>
    <w:rsid w:val="00B2622A"/>
    <w:rsid w:val="00B26243"/>
    <w:rsid w:val="00B263CF"/>
    <w:rsid w:val="00B264F8"/>
    <w:rsid w:val="00B26744"/>
    <w:rsid w:val="00B268E2"/>
    <w:rsid w:val="00B269B8"/>
    <w:rsid w:val="00B2706E"/>
    <w:rsid w:val="00B272F6"/>
    <w:rsid w:val="00B273A7"/>
    <w:rsid w:val="00B27733"/>
    <w:rsid w:val="00B277A6"/>
    <w:rsid w:val="00B278A5"/>
    <w:rsid w:val="00B27C49"/>
    <w:rsid w:val="00B27DA7"/>
    <w:rsid w:val="00B27E7B"/>
    <w:rsid w:val="00B3004F"/>
    <w:rsid w:val="00B30500"/>
    <w:rsid w:val="00B306FC"/>
    <w:rsid w:val="00B30703"/>
    <w:rsid w:val="00B307B7"/>
    <w:rsid w:val="00B30B6C"/>
    <w:rsid w:val="00B30E67"/>
    <w:rsid w:val="00B30F01"/>
    <w:rsid w:val="00B30F5B"/>
    <w:rsid w:val="00B311F4"/>
    <w:rsid w:val="00B31489"/>
    <w:rsid w:val="00B31639"/>
    <w:rsid w:val="00B316FE"/>
    <w:rsid w:val="00B3195F"/>
    <w:rsid w:val="00B319EA"/>
    <w:rsid w:val="00B31B27"/>
    <w:rsid w:val="00B31CFA"/>
    <w:rsid w:val="00B322A0"/>
    <w:rsid w:val="00B32338"/>
    <w:rsid w:val="00B32363"/>
    <w:rsid w:val="00B323F1"/>
    <w:rsid w:val="00B3248E"/>
    <w:rsid w:val="00B32B28"/>
    <w:rsid w:val="00B334AE"/>
    <w:rsid w:val="00B33ADA"/>
    <w:rsid w:val="00B33D52"/>
    <w:rsid w:val="00B34226"/>
    <w:rsid w:val="00B34278"/>
    <w:rsid w:val="00B3436E"/>
    <w:rsid w:val="00B343AD"/>
    <w:rsid w:val="00B34690"/>
    <w:rsid w:val="00B3480A"/>
    <w:rsid w:val="00B34C42"/>
    <w:rsid w:val="00B34E43"/>
    <w:rsid w:val="00B35149"/>
    <w:rsid w:val="00B35156"/>
    <w:rsid w:val="00B35343"/>
    <w:rsid w:val="00B355F2"/>
    <w:rsid w:val="00B35A91"/>
    <w:rsid w:val="00B35ACD"/>
    <w:rsid w:val="00B35EF6"/>
    <w:rsid w:val="00B36419"/>
    <w:rsid w:val="00B3664B"/>
    <w:rsid w:val="00B366D3"/>
    <w:rsid w:val="00B36846"/>
    <w:rsid w:val="00B36B1B"/>
    <w:rsid w:val="00B37111"/>
    <w:rsid w:val="00B37129"/>
    <w:rsid w:val="00B3753D"/>
    <w:rsid w:val="00B37CAF"/>
    <w:rsid w:val="00B37CE3"/>
    <w:rsid w:val="00B37EAA"/>
    <w:rsid w:val="00B37FDD"/>
    <w:rsid w:val="00B37FFC"/>
    <w:rsid w:val="00B401DF"/>
    <w:rsid w:val="00B404DB"/>
    <w:rsid w:val="00B40593"/>
    <w:rsid w:val="00B40782"/>
    <w:rsid w:val="00B407A7"/>
    <w:rsid w:val="00B408B7"/>
    <w:rsid w:val="00B4090D"/>
    <w:rsid w:val="00B40A5C"/>
    <w:rsid w:val="00B40B64"/>
    <w:rsid w:val="00B40C10"/>
    <w:rsid w:val="00B41047"/>
    <w:rsid w:val="00B411BD"/>
    <w:rsid w:val="00B412E6"/>
    <w:rsid w:val="00B41920"/>
    <w:rsid w:val="00B41A01"/>
    <w:rsid w:val="00B41B36"/>
    <w:rsid w:val="00B41C1F"/>
    <w:rsid w:val="00B41C38"/>
    <w:rsid w:val="00B41C93"/>
    <w:rsid w:val="00B41DE3"/>
    <w:rsid w:val="00B42178"/>
    <w:rsid w:val="00B422CA"/>
    <w:rsid w:val="00B424D5"/>
    <w:rsid w:val="00B4269D"/>
    <w:rsid w:val="00B42974"/>
    <w:rsid w:val="00B42AAF"/>
    <w:rsid w:val="00B42AFB"/>
    <w:rsid w:val="00B42B3B"/>
    <w:rsid w:val="00B42D26"/>
    <w:rsid w:val="00B434F6"/>
    <w:rsid w:val="00B435A0"/>
    <w:rsid w:val="00B4372E"/>
    <w:rsid w:val="00B439BD"/>
    <w:rsid w:val="00B43A42"/>
    <w:rsid w:val="00B43D2C"/>
    <w:rsid w:val="00B43D3A"/>
    <w:rsid w:val="00B43FF5"/>
    <w:rsid w:val="00B44369"/>
    <w:rsid w:val="00B44626"/>
    <w:rsid w:val="00B448A9"/>
    <w:rsid w:val="00B44E90"/>
    <w:rsid w:val="00B45236"/>
    <w:rsid w:val="00B45524"/>
    <w:rsid w:val="00B455B5"/>
    <w:rsid w:val="00B4568F"/>
    <w:rsid w:val="00B456FB"/>
    <w:rsid w:val="00B45780"/>
    <w:rsid w:val="00B45A21"/>
    <w:rsid w:val="00B45D6D"/>
    <w:rsid w:val="00B4608E"/>
    <w:rsid w:val="00B4628E"/>
    <w:rsid w:val="00B46435"/>
    <w:rsid w:val="00B4647C"/>
    <w:rsid w:val="00B4658B"/>
    <w:rsid w:val="00B466A5"/>
    <w:rsid w:val="00B46752"/>
    <w:rsid w:val="00B4698C"/>
    <w:rsid w:val="00B46BB8"/>
    <w:rsid w:val="00B46D8B"/>
    <w:rsid w:val="00B46FC4"/>
    <w:rsid w:val="00B47601"/>
    <w:rsid w:val="00B47688"/>
    <w:rsid w:val="00B4794F"/>
    <w:rsid w:val="00B479F9"/>
    <w:rsid w:val="00B47C1E"/>
    <w:rsid w:val="00B501AD"/>
    <w:rsid w:val="00B5048C"/>
    <w:rsid w:val="00B5076E"/>
    <w:rsid w:val="00B50CAE"/>
    <w:rsid w:val="00B5108C"/>
    <w:rsid w:val="00B512B8"/>
    <w:rsid w:val="00B5140B"/>
    <w:rsid w:val="00B51628"/>
    <w:rsid w:val="00B51694"/>
    <w:rsid w:val="00B518A3"/>
    <w:rsid w:val="00B5192D"/>
    <w:rsid w:val="00B51B6D"/>
    <w:rsid w:val="00B524FD"/>
    <w:rsid w:val="00B526BB"/>
    <w:rsid w:val="00B52A97"/>
    <w:rsid w:val="00B52B87"/>
    <w:rsid w:val="00B52D79"/>
    <w:rsid w:val="00B52E2D"/>
    <w:rsid w:val="00B52F9B"/>
    <w:rsid w:val="00B52FC4"/>
    <w:rsid w:val="00B52FCA"/>
    <w:rsid w:val="00B53023"/>
    <w:rsid w:val="00B53284"/>
    <w:rsid w:val="00B538B5"/>
    <w:rsid w:val="00B53ABB"/>
    <w:rsid w:val="00B53AC8"/>
    <w:rsid w:val="00B53E8C"/>
    <w:rsid w:val="00B540FC"/>
    <w:rsid w:val="00B543B5"/>
    <w:rsid w:val="00B5443B"/>
    <w:rsid w:val="00B5463A"/>
    <w:rsid w:val="00B547AB"/>
    <w:rsid w:val="00B548E4"/>
    <w:rsid w:val="00B54B5D"/>
    <w:rsid w:val="00B54DE0"/>
    <w:rsid w:val="00B54EB1"/>
    <w:rsid w:val="00B55A1A"/>
    <w:rsid w:val="00B55AD7"/>
    <w:rsid w:val="00B5630C"/>
    <w:rsid w:val="00B565C4"/>
    <w:rsid w:val="00B56863"/>
    <w:rsid w:val="00B56923"/>
    <w:rsid w:val="00B56A56"/>
    <w:rsid w:val="00B56FDD"/>
    <w:rsid w:val="00B5715D"/>
    <w:rsid w:val="00B57602"/>
    <w:rsid w:val="00B576C7"/>
    <w:rsid w:val="00B57CB1"/>
    <w:rsid w:val="00B6015E"/>
    <w:rsid w:val="00B6039D"/>
    <w:rsid w:val="00B604BC"/>
    <w:rsid w:val="00B611D7"/>
    <w:rsid w:val="00B61454"/>
    <w:rsid w:val="00B617F6"/>
    <w:rsid w:val="00B618B3"/>
    <w:rsid w:val="00B618C4"/>
    <w:rsid w:val="00B61909"/>
    <w:rsid w:val="00B61C6B"/>
    <w:rsid w:val="00B61DC9"/>
    <w:rsid w:val="00B61EE8"/>
    <w:rsid w:val="00B62187"/>
    <w:rsid w:val="00B6267A"/>
    <w:rsid w:val="00B6277D"/>
    <w:rsid w:val="00B62F83"/>
    <w:rsid w:val="00B62F9F"/>
    <w:rsid w:val="00B62FA5"/>
    <w:rsid w:val="00B631CB"/>
    <w:rsid w:val="00B63574"/>
    <w:rsid w:val="00B635A7"/>
    <w:rsid w:val="00B6364B"/>
    <w:rsid w:val="00B63900"/>
    <w:rsid w:val="00B63CC3"/>
    <w:rsid w:val="00B63DB1"/>
    <w:rsid w:val="00B64107"/>
    <w:rsid w:val="00B64200"/>
    <w:rsid w:val="00B643C4"/>
    <w:rsid w:val="00B64455"/>
    <w:rsid w:val="00B645DA"/>
    <w:rsid w:val="00B65043"/>
    <w:rsid w:val="00B65084"/>
    <w:rsid w:val="00B654CD"/>
    <w:rsid w:val="00B656FB"/>
    <w:rsid w:val="00B66327"/>
    <w:rsid w:val="00B66A5C"/>
    <w:rsid w:val="00B66A6F"/>
    <w:rsid w:val="00B66C36"/>
    <w:rsid w:val="00B66D98"/>
    <w:rsid w:val="00B66DA8"/>
    <w:rsid w:val="00B670F0"/>
    <w:rsid w:val="00B67358"/>
    <w:rsid w:val="00B673CC"/>
    <w:rsid w:val="00B67515"/>
    <w:rsid w:val="00B677CF"/>
    <w:rsid w:val="00B67A88"/>
    <w:rsid w:val="00B67BB8"/>
    <w:rsid w:val="00B67F55"/>
    <w:rsid w:val="00B67FCA"/>
    <w:rsid w:val="00B700D4"/>
    <w:rsid w:val="00B70178"/>
    <w:rsid w:val="00B7026B"/>
    <w:rsid w:val="00B703BD"/>
    <w:rsid w:val="00B70650"/>
    <w:rsid w:val="00B7070D"/>
    <w:rsid w:val="00B709D1"/>
    <w:rsid w:val="00B70B68"/>
    <w:rsid w:val="00B70E3F"/>
    <w:rsid w:val="00B70E5F"/>
    <w:rsid w:val="00B711F3"/>
    <w:rsid w:val="00B7127C"/>
    <w:rsid w:val="00B71473"/>
    <w:rsid w:val="00B71521"/>
    <w:rsid w:val="00B7171D"/>
    <w:rsid w:val="00B718C8"/>
    <w:rsid w:val="00B719D7"/>
    <w:rsid w:val="00B71C71"/>
    <w:rsid w:val="00B71C76"/>
    <w:rsid w:val="00B71C89"/>
    <w:rsid w:val="00B71FAD"/>
    <w:rsid w:val="00B72014"/>
    <w:rsid w:val="00B723CD"/>
    <w:rsid w:val="00B72412"/>
    <w:rsid w:val="00B72558"/>
    <w:rsid w:val="00B7261E"/>
    <w:rsid w:val="00B72C73"/>
    <w:rsid w:val="00B72D3C"/>
    <w:rsid w:val="00B72E76"/>
    <w:rsid w:val="00B73244"/>
    <w:rsid w:val="00B732E2"/>
    <w:rsid w:val="00B736D0"/>
    <w:rsid w:val="00B73786"/>
    <w:rsid w:val="00B7386A"/>
    <w:rsid w:val="00B73A85"/>
    <w:rsid w:val="00B73BC2"/>
    <w:rsid w:val="00B73CB3"/>
    <w:rsid w:val="00B73D46"/>
    <w:rsid w:val="00B73FEA"/>
    <w:rsid w:val="00B742B1"/>
    <w:rsid w:val="00B7430A"/>
    <w:rsid w:val="00B7440A"/>
    <w:rsid w:val="00B745BD"/>
    <w:rsid w:val="00B74799"/>
    <w:rsid w:val="00B74BB8"/>
    <w:rsid w:val="00B74D92"/>
    <w:rsid w:val="00B75893"/>
    <w:rsid w:val="00B75897"/>
    <w:rsid w:val="00B758CD"/>
    <w:rsid w:val="00B75B54"/>
    <w:rsid w:val="00B75CD2"/>
    <w:rsid w:val="00B75DD6"/>
    <w:rsid w:val="00B75F19"/>
    <w:rsid w:val="00B75F3F"/>
    <w:rsid w:val="00B761DD"/>
    <w:rsid w:val="00B76376"/>
    <w:rsid w:val="00B763B3"/>
    <w:rsid w:val="00B764A8"/>
    <w:rsid w:val="00B765DF"/>
    <w:rsid w:val="00B766E6"/>
    <w:rsid w:val="00B769D6"/>
    <w:rsid w:val="00B769ED"/>
    <w:rsid w:val="00B76F7B"/>
    <w:rsid w:val="00B775FA"/>
    <w:rsid w:val="00B776A0"/>
    <w:rsid w:val="00B77D33"/>
    <w:rsid w:val="00B77D7F"/>
    <w:rsid w:val="00B77FEA"/>
    <w:rsid w:val="00B80101"/>
    <w:rsid w:val="00B804C8"/>
    <w:rsid w:val="00B805E3"/>
    <w:rsid w:val="00B80787"/>
    <w:rsid w:val="00B8080C"/>
    <w:rsid w:val="00B8088D"/>
    <w:rsid w:val="00B80DC1"/>
    <w:rsid w:val="00B80EB0"/>
    <w:rsid w:val="00B8126D"/>
    <w:rsid w:val="00B81394"/>
    <w:rsid w:val="00B813E9"/>
    <w:rsid w:val="00B81B10"/>
    <w:rsid w:val="00B8207E"/>
    <w:rsid w:val="00B82186"/>
    <w:rsid w:val="00B821DE"/>
    <w:rsid w:val="00B8250A"/>
    <w:rsid w:val="00B82639"/>
    <w:rsid w:val="00B827D3"/>
    <w:rsid w:val="00B82860"/>
    <w:rsid w:val="00B8292D"/>
    <w:rsid w:val="00B82A2A"/>
    <w:rsid w:val="00B82C54"/>
    <w:rsid w:val="00B82DCB"/>
    <w:rsid w:val="00B82F66"/>
    <w:rsid w:val="00B830B4"/>
    <w:rsid w:val="00B8334D"/>
    <w:rsid w:val="00B833A6"/>
    <w:rsid w:val="00B8369A"/>
    <w:rsid w:val="00B838B4"/>
    <w:rsid w:val="00B83A91"/>
    <w:rsid w:val="00B84810"/>
    <w:rsid w:val="00B84962"/>
    <w:rsid w:val="00B84A14"/>
    <w:rsid w:val="00B84D8E"/>
    <w:rsid w:val="00B84FE6"/>
    <w:rsid w:val="00B85740"/>
    <w:rsid w:val="00B8579B"/>
    <w:rsid w:val="00B85AA7"/>
    <w:rsid w:val="00B85F6E"/>
    <w:rsid w:val="00B86298"/>
    <w:rsid w:val="00B8631D"/>
    <w:rsid w:val="00B86658"/>
    <w:rsid w:val="00B86E3D"/>
    <w:rsid w:val="00B87257"/>
    <w:rsid w:val="00B8750E"/>
    <w:rsid w:val="00B8778D"/>
    <w:rsid w:val="00B8797B"/>
    <w:rsid w:val="00B879BC"/>
    <w:rsid w:val="00B87B9C"/>
    <w:rsid w:val="00B87C5D"/>
    <w:rsid w:val="00B87D86"/>
    <w:rsid w:val="00B87FA7"/>
    <w:rsid w:val="00B90207"/>
    <w:rsid w:val="00B90667"/>
    <w:rsid w:val="00B910C2"/>
    <w:rsid w:val="00B91103"/>
    <w:rsid w:val="00B912F3"/>
    <w:rsid w:val="00B91335"/>
    <w:rsid w:val="00B9165A"/>
    <w:rsid w:val="00B917EA"/>
    <w:rsid w:val="00B91861"/>
    <w:rsid w:val="00B91AF1"/>
    <w:rsid w:val="00B91F61"/>
    <w:rsid w:val="00B91F9A"/>
    <w:rsid w:val="00B920F6"/>
    <w:rsid w:val="00B921C8"/>
    <w:rsid w:val="00B92557"/>
    <w:rsid w:val="00B925AE"/>
    <w:rsid w:val="00B9273F"/>
    <w:rsid w:val="00B92B39"/>
    <w:rsid w:val="00B933CB"/>
    <w:rsid w:val="00B934B5"/>
    <w:rsid w:val="00B9351E"/>
    <w:rsid w:val="00B93566"/>
    <w:rsid w:val="00B936E8"/>
    <w:rsid w:val="00B9387D"/>
    <w:rsid w:val="00B939C8"/>
    <w:rsid w:val="00B93ACF"/>
    <w:rsid w:val="00B93B42"/>
    <w:rsid w:val="00B93BD7"/>
    <w:rsid w:val="00B93C7A"/>
    <w:rsid w:val="00B93CB5"/>
    <w:rsid w:val="00B93CC6"/>
    <w:rsid w:val="00B94493"/>
    <w:rsid w:val="00B94591"/>
    <w:rsid w:val="00B945B9"/>
    <w:rsid w:val="00B94731"/>
    <w:rsid w:val="00B9487F"/>
    <w:rsid w:val="00B948F5"/>
    <w:rsid w:val="00B9585E"/>
    <w:rsid w:val="00B95BC9"/>
    <w:rsid w:val="00B95C35"/>
    <w:rsid w:val="00B96018"/>
    <w:rsid w:val="00B9621A"/>
    <w:rsid w:val="00B96265"/>
    <w:rsid w:val="00B96355"/>
    <w:rsid w:val="00B96372"/>
    <w:rsid w:val="00B963AF"/>
    <w:rsid w:val="00B9667F"/>
    <w:rsid w:val="00B966D6"/>
    <w:rsid w:val="00B9670E"/>
    <w:rsid w:val="00B96984"/>
    <w:rsid w:val="00B96D69"/>
    <w:rsid w:val="00B96ED0"/>
    <w:rsid w:val="00B9711E"/>
    <w:rsid w:val="00B972D6"/>
    <w:rsid w:val="00B97660"/>
    <w:rsid w:val="00B9769E"/>
    <w:rsid w:val="00B97F0C"/>
    <w:rsid w:val="00B97FE3"/>
    <w:rsid w:val="00BA0069"/>
    <w:rsid w:val="00BA0739"/>
    <w:rsid w:val="00BA0762"/>
    <w:rsid w:val="00BA1136"/>
    <w:rsid w:val="00BA1414"/>
    <w:rsid w:val="00BA1476"/>
    <w:rsid w:val="00BA15FD"/>
    <w:rsid w:val="00BA1A48"/>
    <w:rsid w:val="00BA1D0E"/>
    <w:rsid w:val="00BA22B4"/>
    <w:rsid w:val="00BA2D18"/>
    <w:rsid w:val="00BA2D6A"/>
    <w:rsid w:val="00BA30EB"/>
    <w:rsid w:val="00BA32B3"/>
    <w:rsid w:val="00BA33FF"/>
    <w:rsid w:val="00BA3669"/>
    <w:rsid w:val="00BA36BF"/>
    <w:rsid w:val="00BA378B"/>
    <w:rsid w:val="00BA3AB9"/>
    <w:rsid w:val="00BA3EC0"/>
    <w:rsid w:val="00BA3FE0"/>
    <w:rsid w:val="00BA400A"/>
    <w:rsid w:val="00BA4096"/>
    <w:rsid w:val="00BA4104"/>
    <w:rsid w:val="00BA423A"/>
    <w:rsid w:val="00BA456F"/>
    <w:rsid w:val="00BA4641"/>
    <w:rsid w:val="00BA46DA"/>
    <w:rsid w:val="00BA46E6"/>
    <w:rsid w:val="00BA4AC2"/>
    <w:rsid w:val="00BA4DE5"/>
    <w:rsid w:val="00BA4E9E"/>
    <w:rsid w:val="00BA4EF9"/>
    <w:rsid w:val="00BA54F2"/>
    <w:rsid w:val="00BA5526"/>
    <w:rsid w:val="00BA55D0"/>
    <w:rsid w:val="00BA5888"/>
    <w:rsid w:val="00BA67F0"/>
    <w:rsid w:val="00BA6A34"/>
    <w:rsid w:val="00BA6D96"/>
    <w:rsid w:val="00BA6E99"/>
    <w:rsid w:val="00BA6FB6"/>
    <w:rsid w:val="00BA729A"/>
    <w:rsid w:val="00BA73D9"/>
    <w:rsid w:val="00BA7476"/>
    <w:rsid w:val="00BA74AB"/>
    <w:rsid w:val="00BA74EB"/>
    <w:rsid w:val="00BA7700"/>
    <w:rsid w:val="00BA7776"/>
    <w:rsid w:val="00BA77B5"/>
    <w:rsid w:val="00BA791F"/>
    <w:rsid w:val="00BA7B32"/>
    <w:rsid w:val="00BA7B52"/>
    <w:rsid w:val="00BA7C9D"/>
    <w:rsid w:val="00BB0159"/>
    <w:rsid w:val="00BB0448"/>
    <w:rsid w:val="00BB0614"/>
    <w:rsid w:val="00BB078E"/>
    <w:rsid w:val="00BB07F3"/>
    <w:rsid w:val="00BB09DF"/>
    <w:rsid w:val="00BB0A77"/>
    <w:rsid w:val="00BB0E37"/>
    <w:rsid w:val="00BB1403"/>
    <w:rsid w:val="00BB1BFA"/>
    <w:rsid w:val="00BB1C71"/>
    <w:rsid w:val="00BB1CB6"/>
    <w:rsid w:val="00BB26E9"/>
    <w:rsid w:val="00BB2789"/>
    <w:rsid w:val="00BB2B15"/>
    <w:rsid w:val="00BB2C41"/>
    <w:rsid w:val="00BB2C51"/>
    <w:rsid w:val="00BB2CA8"/>
    <w:rsid w:val="00BB2ED9"/>
    <w:rsid w:val="00BB32E1"/>
    <w:rsid w:val="00BB38D4"/>
    <w:rsid w:val="00BB3CD0"/>
    <w:rsid w:val="00BB3E88"/>
    <w:rsid w:val="00BB3F0B"/>
    <w:rsid w:val="00BB40EE"/>
    <w:rsid w:val="00BB4165"/>
    <w:rsid w:val="00BB41C6"/>
    <w:rsid w:val="00BB425C"/>
    <w:rsid w:val="00BB4470"/>
    <w:rsid w:val="00BB4C6C"/>
    <w:rsid w:val="00BB4E02"/>
    <w:rsid w:val="00BB5399"/>
    <w:rsid w:val="00BB5413"/>
    <w:rsid w:val="00BB57E0"/>
    <w:rsid w:val="00BB5862"/>
    <w:rsid w:val="00BB5E35"/>
    <w:rsid w:val="00BB62A8"/>
    <w:rsid w:val="00BB6899"/>
    <w:rsid w:val="00BB6AF9"/>
    <w:rsid w:val="00BB72A0"/>
    <w:rsid w:val="00BB7355"/>
    <w:rsid w:val="00BB737E"/>
    <w:rsid w:val="00BB74AD"/>
    <w:rsid w:val="00BB75FD"/>
    <w:rsid w:val="00BB767E"/>
    <w:rsid w:val="00BB7999"/>
    <w:rsid w:val="00BB7A16"/>
    <w:rsid w:val="00BB7B28"/>
    <w:rsid w:val="00BB7D7E"/>
    <w:rsid w:val="00BB7DC6"/>
    <w:rsid w:val="00BC0031"/>
    <w:rsid w:val="00BC00FE"/>
    <w:rsid w:val="00BC02F6"/>
    <w:rsid w:val="00BC05BF"/>
    <w:rsid w:val="00BC095A"/>
    <w:rsid w:val="00BC0C2E"/>
    <w:rsid w:val="00BC0E98"/>
    <w:rsid w:val="00BC11FB"/>
    <w:rsid w:val="00BC1920"/>
    <w:rsid w:val="00BC1A3E"/>
    <w:rsid w:val="00BC20AE"/>
    <w:rsid w:val="00BC221F"/>
    <w:rsid w:val="00BC224F"/>
    <w:rsid w:val="00BC2296"/>
    <w:rsid w:val="00BC22C9"/>
    <w:rsid w:val="00BC23F3"/>
    <w:rsid w:val="00BC25E7"/>
    <w:rsid w:val="00BC273B"/>
    <w:rsid w:val="00BC2F3F"/>
    <w:rsid w:val="00BC322D"/>
    <w:rsid w:val="00BC3336"/>
    <w:rsid w:val="00BC37F6"/>
    <w:rsid w:val="00BC39A7"/>
    <w:rsid w:val="00BC39E7"/>
    <w:rsid w:val="00BC3A5C"/>
    <w:rsid w:val="00BC43EA"/>
    <w:rsid w:val="00BC447B"/>
    <w:rsid w:val="00BC4A5D"/>
    <w:rsid w:val="00BC4E4C"/>
    <w:rsid w:val="00BC50AD"/>
    <w:rsid w:val="00BC5190"/>
    <w:rsid w:val="00BC591C"/>
    <w:rsid w:val="00BC5976"/>
    <w:rsid w:val="00BC5AEE"/>
    <w:rsid w:val="00BC5C0D"/>
    <w:rsid w:val="00BC631E"/>
    <w:rsid w:val="00BC65E7"/>
    <w:rsid w:val="00BC6AAE"/>
    <w:rsid w:val="00BC6AE2"/>
    <w:rsid w:val="00BC6BBF"/>
    <w:rsid w:val="00BC6E80"/>
    <w:rsid w:val="00BC7257"/>
    <w:rsid w:val="00BC72DC"/>
    <w:rsid w:val="00BC72E1"/>
    <w:rsid w:val="00BC7574"/>
    <w:rsid w:val="00BC78B5"/>
    <w:rsid w:val="00BC7912"/>
    <w:rsid w:val="00BC7F14"/>
    <w:rsid w:val="00BD0010"/>
    <w:rsid w:val="00BD03CF"/>
    <w:rsid w:val="00BD03F8"/>
    <w:rsid w:val="00BD06B3"/>
    <w:rsid w:val="00BD0733"/>
    <w:rsid w:val="00BD0834"/>
    <w:rsid w:val="00BD09E5"/>
    <w:rsid w:val="00BD0C3D"/>
    <w:rsid w:val="00BD0CC6"/>
    <w:rsid w:val="00BD128A"/>
    <w:rsid w:val="00BD130F"/>
    <w:rsid w:val="00BD1463"/>
    <w:rsid w:val="00BD153B"/>
    <w:rsid w:val="00BD163A"/>
    <w:rsid w:val="00BD1C3E"/>
    <w:rsid w:val="00BD1DD5"/>
    <w:rsid w:val="00BD20A0"/>
    <w:rsid w:val="00BD2116"/>
    <w:rsid w:val="00BD2370"/>
    <w:rsid w:val="00BD2399"/>
    <w:rsid w:val="00BD2632"/>
    <w:rsid w:val="00BD2856"/>
    <w:rsid w:val="00BD2912"/>
    <w:rsid w:val="00BD2958"/>
    <w:rsid w:val="00BD2B17"/>
    <w:rsid w:val="00BD2D39"/>
    <w:rsid w:val="00BD2FD4"/>
    <w:rsid w:val="00BD34A4"/>
    <w:rsid w:val="00BD35B9"/>
    <w:rsid w:val="00BD3644"/>
    <w:rsid w:val="00BD366C"/>
    <w:rsid w:val="00BD3C16"/>
    <w:rsid w:val="00BD3F6D"/>
    <w:rsid w:val="00BD4170"/>
    <w:rsid w:val="00BD432E"/>
    <w:rsid w:val="00BD479E"/>
    <w:rsid w:val="00BD4976"/>
    <w:rsid w:val="00BD4BAE"/>
    <w:rsid w:val="00BD4CDC"/>
    <w:rsid w:val="00BD4D63"/>
    <w:rsid w:val="00BD4E0E"/>
    <w:rsid w:val="00BD504D"/>
    <w:rsid w:val="00BD5300"/>
    <w:rsid w:val="00BD53E9"/>
    <w:rsid w:val="00BD5405"/>
    <w:rsid w:val="00BD54AF"/>
    <w:rsid w:val="00BD54B0"/>
    <w:rsid w:val="00BD5555"/>
    <w:rsid w:val="00BD55BA"/>
    <w:rsid w:val="00BD56BE"/>
    <w:rsid w:val="00BD5816"/>
    <w:rsid w:val="00BD5CCE"/>
    <w:rsid w:val="00BD5FB4"/>
    <w:rsid w:val="00BD649C"/>
    <w:rsid w:val="00BD6ACF"/>
    <w:rsid w:val="00BD7034"/>
    <w:rsid w:val="00BD7326"/>
    <w:rsid w:val="00BD73A3"/>
    <w:rsid w:val="00BD740C"/>
    <w:rsid w:val="00BD798C"/>
    <w:rsid w:val="00BD7A0D"/>
    <w:rsid w:val="00BD7DE3"/>
    <w:rsid w:val="00BD7E1E"/>
    <w:rsid w:val="00BD7FB9"/>
    <w:rsid w:val="00BD7FD4"/>
    <w:rsid w:val="00BE0096"/>
    <w:rsid w:val="00BE0307"/>
    <w:rsid w:val="00BE03BF"/>
    <w:rsid w:val="00BE08F5"/>
    <w:rsid w:val="00BE0A3C"/>
    <w:rsid w:val="00BE0B10"/>
    <w:rsid w:val="00BE0CDF"/>
    <w:rsid w:val="00BE0F26"/>
    <w:rsid w:val="00BE0F39"/>
    <w:rsid w:val="00BE1A2F"/>
    <w:rsid w:val="00BE1CD1"/>
    <w:rsid w:val="00BE1DC1"/>
    <w:rsid w:val="00BE1DFA"/>
    <w:rsid w:val="00BE213E"/>
    <w:rsid w:val="00BE23ED"/>
    <w:rsid w:val="00BE265C"/>
    <w:rsid w:val="00BE3448"/>
    <w:rsid w:val="00BE368C"/>
    <w:rsid w:val="00BE36FE"/>
    <w:rsid w:val="00BE37A8"/>
    <w:rsid w:val="00BE38FC"/>
    <w:rsid w:val="00BE3BD7"/>
    <w:rsid w:val="00BE3D3E"/>
    <w:rsid w:val="00BE3D83"/>
    <w:rsid w:val="00BE3F3D"/>
    <w:rsid w:val="00BE4011"/>
    <w:rsid w:val="00BE40B0"/>
    <w:rsid w:val="00BE423D"/>
    <w:rsid w:val="00BE44D0"/>
    <w:rsid w:val="00BE44FC"/>
    <w:rsid w:val="00BE478E"/>
    <w:rsid w:val="00BE486F"/>
    <w:rsid w:val="00BE49B5"/>
    <w:rsid w:val="00BE4B51"/>
    <w:rsid w:val="00BE4CC5"/>
    <w:rsid w:val="00BE4DFA"/>
    <w:rsid w:val="00BE53BD"/>
    <w:rsid w:val="00BE5596"/>
    <w:rsid w:val="00BE55F8"/>
    <w:rsid w:val="00BE560A"/>
    <w:rsid w:val="00BE5842"/>
    <w:rsid w:val="00BE5843"/>
    <w:rsid w:val="00BE584B"/>
    <w:rsid w:val="00BE5A6C"/>
    <w:rsid w:val="00BE5F0D"/>
    <w:rsid w:val="00BE6080"/>
    <w:rsid w:val="00BE6229"/>
    <w:rsid w:val="00BE623E"/>
    <w:rsid w:val="00BE654A"/>
    <w:rsid w:val="00BE6685"/>
    <w:rsid w:val="00BE66A2"/>
    <w:rsid w:val="00BE6B06"/>
    <w:rsid w:val="00BE6DF4"/>
    <w:rsid w:val="00BE6DF5"/>
    <w:rsid w:val="00BE6ECE"/>
    <w:rsid w:val="00BE703D"/>
    <w:rsid w:val="00BE7218"/>
    <w:rsid w:val="00BE73FF"/>
    <w:rsid w:val="00BE752A"/>
    <w:rsid w:val="00BE755C"/>
    <w:rsid w:val="00BE77B5"/>
    <w:rsid w:val="00BE7966"/>
    <w:rsid w:val="00BE7A1B"/>
    <w:rsid w:val="00BE7A65"/>
    <w:rsid w:val="00BE7A7A"/>
    <w:rsid w:val="00BE7D8F"/>
    <w:rsid w:val="00BE7EF6"/>
    <w:rsid w:val="00BF00B3"/>
    <w:rsid w:val="00BF033A"/>
    <w:rsid w:val="00BF08CF"/>
    <w:rsid w:val="00BF0AC8"/>
    <w:rsid w:val="00BF0ADA"/>
    <w:rsid w:val="00BF0AE0"/>
    <w:rsid w:val="00BF0B52"/>
    <w:rsid w:val="00BF0EFE"/>
    <w:rsid w:val="00BF1227"/>
    <w:rsid w:val="00BF15F2"/>
    <w:rsid w:val="00BF18CD"/>
    <w:rsid w:val="00BF1A18"/>
    <w:rsid w:val="00BF1A86"/>
    <w:rsid w:val="00BF1CF5"/>
    <w:rsid w:val="00BF1CFD"/>
    <w:rsid w:val="00BF1EBC"/>
    <w:rsid w:val="00BF1ED8"/>
    <w:rsid w:val="00BF2102"/>
    <w:rsid w:val="00BF2291"/>
    <w:rsid w:val="00BF2475"/>
    <w:rsid w:val="00BF2548"/>
    <w:rsid w:val="00BF277F"/>
    <w:rsid w:val="00BF2C70"/>
    <w:rsid w:val="00BF2F90"/>
    <w:rsid w:val="00BF331B"/>
    <w:rsid w:val="00BF3592"/>
    <w:rsid w:val="00BF3629"/>
    <w:rsid w:val="00BF36EE"/>
    <w:rsid w:val="00BF396A"/>
    <w:rsid w:val="00BF3ABA"/>
    <w:rsid w:val="00BF3B0B"/>
    <w:rsid w:val="00BF3B3B"/>
    <w:rsid w:val="00BF3C52"/>
    <w:rsid w:val="00BF3CE0"/>
    <w:rsid w:val="00BF3F72"/>
    <w:rsid w:val="00BF41CA"/>
    <w:rsid w:val="00BF44AD"/>
    <w:rsid w:val="00BF48AE"/>
    <w:rsid w:val="00BF48B6"/>
    <w:rsid w:val="00BF497A"/>
    <w:rsid w:val="00BF49B6"/>
    <w:rsid w:val="00BF4BAE"/>
    <w:rsid w:val="00BF4E84"/>
    <w:rsid w:val="00BF4F59"/>
    <w:rsid w:val="00BF503C"/>
    <w:rsid w:val="00BF52BD"/>
    <w:rsid w:val="00BF55DE"/>
    <w:rsid w:val="00BF56A7"/>
    <w:rsid w:val="00BF5A9E"/>
    <w:rsid w:val="00BF5CC9"/>
    <w:rsid w:val="00BF5CEA"/>
    <w:rsid w:val="00BF5F47"/>
    <w:rsid w:val="00BF61EF"/>
    <w:rsid w:val="00BF6315"/>
    <w:rsid w:val="00BF64D0"/>
    <w:rsid w:val="00BF673B"/>
    <w:rsid w:val="00BF7243"/>
    <w:rsid w:val="00BF729F"/>
    <w:rsid w:val="00BF72EA"/>
    <w:rsid w:val="00BF7477"/>
    <w:rsid w:val="00BF758A"/>
    <w:rsid w:val="00BF7789"/>
    <w:rsid w:val="00BF77F4"/>
    <w:rsid w:val="00BF789A"/>
    <w:rsid w:val="00BF78A4"/>
    <w:rsid w:val="00BF7B2C"/>
    <w:rsid w:val="00C00130"/>
    <w:rsid w:val="00C00424"/>
    <w:rsid w:val="00C005E0"/>
    <w:rsid w:val="00C00A74"/>
    <w:rsid w:val="00C00BCE"/>
    <w:rsid w:val="00C00D54"/>
    <w:rsid w:val="00C00D5B"/>
    <w:rsid w:val="00C00DA5"/>
    <w:rsid w:val="00C00FCA"/>
    <w:rsid w:val="00C0117A"/>
    <w:rsid w:val="00C011B2"/>
    <w:rsid w:val="00C01457"/>
    <w:rsid w:val="00C01521"/>
    <w:rsid w:val="00C015BB"/>
    <w:rsid w:val="00C01635"/>
    <w:rsid w:val="00C018B6"/>
    <w:rsid w:val="00C01A87"/>
    <w:rsid w:val="00C01F9B"/>
    <w:rsid w:val="00C02931"/>
    <w:rsid w:val="00C02CEA"/>
    <w:rsid w:val="00C035B7"/>
    <w:rsid w:val="00C0364E"/>
    <w:rsid w:val="00C03826"/>
    <w:rsid w:val="00C0393D"/>
    <w:rsid w:val="00C0398B"/>
    <w:rsid w:val="00C039D4"/>
    <w:rsid w:val="00C03CA3"/>
    <w:rsid w:val="00C03E54"/>
    <w:rsid w:val="00C040FF"/>
    <w:rsid w:val="00C041AA"/>
    <w:rsid w:val="00C04730"/>
    <w:rsid w:val="00C047A6"/>
    <w:rsid w:val="00C0486C"/>
    <w:rsid w:val="00C04BF3"/>
    <w:rsid w:val="00C04FA2"/>
    <w:rsid w:val="00C04FBC"/>
    <w:rsid w:val="00C05149"/>
    <w:rsid w:val="00C0516A"/>
    <w:rsid w:val="00C05374"/>
    <w:rsid w:val="00C05772"/>
    <w:rsid w:val="00C057C4"/>
    <w:rsid w:val="00C05841"/>
    <w:rsid w:val="00C058FA"/>
    <w:rsid w:val="00C05DC0"/>
    <w:rsid w:val="00C06392"/>
    <w:rsid w:val="00C063D7"/>
    <w:rsid w:val="00C06410"/>
    <w:rsid w:val="00C0654B"/>
    <w:rsid w:val="00C06586"/>
    <w:rsid w:val="00C06D15"/>
    <w:rsid w:val="00C06E6A"/>
    <w:rsid w:val="00C06F4C"/>
    <w:rsid w:val="00C0730E"/>
    <w:rsid w:val="00C07693"/>
    <w:rsid w:val="00C076C6"/>
    <w:rsid w:val="00C076D3"/>
    <w:rsid w:val="00C076E3"/>
    <w:rsid w:val="00C0774B"/>
    <w:rsid w:val="00C078B3"/>
    <w:rsid w:val="00C07A38"/>
    <w:rsid w:val="00C07A98"/>
    <w:rsid w:val="00C07F45"/>
    <w:rsid w:val="00C10344"/>
    <w:rsid w:val="00C1040A"/>
    <w:rsid w:val="00C10629"/>
    <w:rsid w:val="00C1088E"/>
    <w:rsid w:val="00C11039"/>
    <w:rsid w:val="00C11219"/>
    <w:rsid w:val="00C112B8"/>
    <w:rsid w:val="00C11EB2"/>
    <w:rsid w:val="00C12108"/>
    <w:rsid w:val="00C12885"/>
    <w:rsid w:val="00C12A27"/>
    <w:rsid w:val="00C12D90"/>
    <w:rsid w:val="00C12DA6"/>
    <w:rsid w:val="00C12E1F"/>
    <w:rsid w:val="00C12EFF"/>
    <w:rsid w:val="00C12F20"/>
    <w:rsid w:val="00C12F69"/>
    <w:rsid w:val="00C13035"/>
    <w:rsid w:val="00C13090"/>
    <w:rsid w:val="00C1320F"/>
    <w:rsid w:val="00C132A3"/>
    <w:rsid w:val="00C13356"/>
    <w:rsid w:val="00C134C9"/>
    <w:rsid w:val="00C13576"/>
    <w:rsid w:val="00C137C8"/>
    <w:rsid w:val="00C13A1D"/>
    <w:rsid w:val="00C13A34"/>
    <w:rsid w:val="00C13E4E"/>
    <w:rsid w:val="00C13F34"/>
    <w:rsid w:val="00C13F55"/>
    <w:rsid w:val="00C1406F"/>
    <w:rsid w:val="00C140B4"/>
    <w:rsid w:val="00C14189"/>
    <w:rsid w:val="00C14317"/>
    <w:rsid w:val="00C144DE"/>
    <w:rsid w:val="00C14599"/>
    <w:rsid w:val="00C14752"/>
    <w:rsid w:val="00C14778"/>
    <w:rsid w:val="00C14A25"/>
    <w:rsid w:val="00C15485"/>
    <w:rsid w:val="00C15689"/>
    <w:rsid w:val="00C159F6"/>
    <w:rsid w:val="00C15AF8"/>
    <w:rsid w:val="00C15C1C"/>
    <w:rsid w:val="00C15D1C"/>
    <w:rsid w:val="00C15FE7"/>
    <w:rsid w:val="00C1600B"/>
    <w:rsid w:val="00C161EA"/>
    <w:rsid w:val="00C16275"/>
    <w:rsid w:val="00C1632F"/>
    <w:rsid w:val="00C164C2"/>
    <w:rsid w:val="00C16501"/>
    <w:rsid w:val="00C1673E"/>
    <w:rsid w:val="00C168DE"/>
    <w:rsid w:val="00C16912"/>
    <w:rsid w:val="00C1691D"/>
    <w:rsid w:val="00C16ACF"/>
    <w:rsid w:val="00C16D10"/>
    <w:rsid w:val="00C16F85"/>
    <w:rsid w:val="00C17175"/>
    <w:rsid w:val="00C17830"/>
    <w:rsid w:val="00C179BE"/>
    <w:rsid w:val="00C17D6C"/>
    <w:rsid w:val="00C17EBD"/>
    <w:rsid w:val="00C2010C"/>
    <w:rsid w:val="00C20185"/>
    <w:rsid w:val="00C2039A"/>
    <w:rsid w:val="00C20998"/>
    <w:rsid w:val="00C209E9"/>
    <w:rsid w:val="00C20BAE"/>
    <w:rsid w:val="00C20E76"/>
    <w:rsid w:val="00C21486"/>
    <w:rsid w:val="00C215BA"/>
    <w:rsid w:val="00C2168B"/>
    <w:rsid w:val="00C2188E"/>
    <w:rsid w:val="00C2193E"/>
    <w:rsid w:val="00C21BAA"/>
    <w:rsid w:val="00C21E9D"/>
    <w:rsid w:val="00C21F6E"/>
    <w:rsid w:val="00C22199"/>
    <w:rsid w:val="00C22709"/>
    <w:rsid w:val="00C227C3"/>
    <w:rsid w:val="00C22A81"/>
    <w:rsid w:val="00C22E45"/>
    <w:rsid w:val="00C22ECA"/>
    <w:rsid w:val="00C22FEC"/>
    <w:rsid w:val="00C230A9"/>
    <w:rsid w:val="00C23156"/>
    <w:rsid w:val="00C23282"/>
    <w:rsid w:val="00C2343D"/>
    <w:rsid w:val="00C2345B"/>
    <w:rsid w:val="00C234C3"/>
    <w:rsid w:val="00C235D2"/>
    <w:rsid w:val="00C2417E"/>
    <w:rsid w:val="00C24258"/>
    <w:rsid w:val="00C244FE"/>
    <w:rsid w:val="00C2482F"/>
    <w:rsid w:val="00C248FE"/>
    <w:rsid w:val="00C2518B"/>
    <w:rsid w:val="00C252C0"/>
    <w:rsid w:val="00C2535D"/>
    <w:rsid w:val="00C2556E"/>
    <w:rsid w:val="00C25576"/>
    <w:rsid w:val="00C256B7"/>
    <w:rsid w:val="00C25A52"/>
    <w:rsid w:val="00C25B8B"/>
    <w:rsid w:val="00C25FAE"/>
    <w:rsid w:val="00C2606E"/>
    <w:rsid w:val="00C2621D"/>
    <w:rsid w:val="00C26904"/>
    <w:rsid w:val="00C26AE9"/>
    <w:rsid w:val="00C26C43"/>
    <w:rsid w:val="00C26C62"/>
    <w:rsid w:val="00C26DA1"/>
    <w:rsid w:val="00C2745C"/>
    <w:rsid w:val="00C27923"/>
    <w:rsid w:val="00C27974"/>
    <w:rsid w:val="00C27981"/>
    <w:rsid w:val="00C279BC"/>
    <w:rsid w:val="00C27D9E"/>
    <w:rsid w:val="00C30160"/>
    <w:rsid w:val="00C30272"/>
    <w:rsid w:val="00C3037B"/>
    <w:rsid w:val="00C3078E"/>
    <w:rsid w:val="00C3078F"/>
    <w:rsid w:val="00C308CE"/>
    <w:rsid w:val="00C309C6"/>
    <w:rsid w:val="00C30B65"/>
    <w:rsid w:val="00C31077"/>
    <w:rsid w:val="00C311F6"/>
    <w:rsid w:val="00C31204"/>
    <w:rsid w:val="00C313B4"/>
    <w:rsid w:val="00C313BB"/>
    <w:rsid w:val="00C3144B"/>
    <w:rsid w:val="00C314B8"/>
    <w:rsid w:val="00C315D1"/>
    <w:rsid w:val="00C3180F"/>
    <w:rsid w:val="00C31863"/>
    <w:rsid w:val="00C31A47"/>
    <w:rsid w:val="00C31A6F"/>
    <w:rsid w:val="00C31B94"/>
    <w:rsid w:val="00C31D23"/>
    <w:rsid w:val="00C321AE"/>
    <w:rsid w:val="00C3239E"/>
    <w:rsid w:val="00C327BA"/>
    <w:rsid w:val="00C3286A"/>
    <w:rsid w:val="00C32B01"/>
    <w:rsid w:val="00C32F96"/>
    <w:rsid w:val="00C33238"/>
    <w:rsid w:val="00C338AE"/>
    <w:rsid w:val="00C33C5D"/>
    <w:rsid w:val="00C33D06"/>
    <w:rsid w:val="00C33EA5"/>
    <w:rsid w:val="00C34042"/>
    <w:rsid w:val="00C3429B"/>
    <w:rsid w:val="00C345D7"/>
    <w:rsid w:val="00C3469C"/>
    <w:rsid w:val="00C346EA"/>
    <w:rsid w:val="00C34C93"/>
    <w:rsid w:val="00C34D77"/>
    <w:rsid w:val="00C34F07"/>
    <w:rsid w:val="00C3504C"/>
    <w:rsid w:val="00C353AD"/>
    <w:rsid w:val="00C3549B"/>
    <w:rsid w:val="00C354BE"/>
    <w:rsid w:val="00C3566A"/>
    <w:rsid w:val="00C35E9D"/>
    <w:rsid w:val="00C35EEE"/>
    <w:rsid w:val="00C36116"/>
    <w:rsid w:val="00C3611F"/>
    <w:rsid w:val="00C36126"/>
    <w:rsid w:val="00C36302"/>
    <w:rsid w:val="00C368FE"/>
    <w:rsid w:val="00C36B02"/>
    <w:rsid w:val="00C36B74"/>
    <w:rsid w:val="00C36C68"/>
    <w:rsid w:val="00C36E16"/>
    <w:rsid w:val="00C37009"/>
    <w:rsid w:val="00C37160"/>
    <w:rsid w:val="00C37280"/>
    <w:rsid w:val="00C373DC"/>
    <w:rsid w:val="00C37D88"/>
    <w:rsid w:val="00C4025F"/>
    <w:rsid w:val="00C40492"/>
    <w:rsid w:val="00C406C7"/>
    <w:rsid w:val="00C412D1"/>
    <w:rsid w:val="00C41494"/>
    <w:rsid w:val="00C41572"/>
    <w:rsid w:val="00C41C5D"/>
    <w:rsid w:val="00C41D92"/>
    <w:rsid w:val="00C41EA0"/>
    <w:rsid w:val="00C41EC6"/>
    <w:rsid w:val="00C4205E"/>
    <w:rsid w:val="00C423C8"/>
    <w:rsid w:val="00C425DA"/>
    <w:rsid w:val="00C42A38"/>
    <w:rsid w:val="00C42FA2"/>
    <w:rsid w:val="00C4327F"/>
    <w:rsid w:val="00C436D8"/>
    <w:rsid w:val="00C43A5C"/>
    <w:rsid w:val="00C43B7D"/>
    <w:rsid w:val="00C43F54"/>
    <w:rsid w:val="00C44022"/>
    <w:rsid w:val="00C4426B"/>
    <w:rsid w:val="00C442B0"/>
    <w:rsid w:val="00C44372"/>
    <w:rsid w:val="00C4443D"/>
    <w:rsid w:val="00C44A33"/>
    <w:rsid w:val="00C44FC9"/>
    <w:rsid w:val="00C4501E"/>
    <w:rsid w:val="00C4512F"/>
    <w:rsid w:val="00C45431"/>
    <w:rsid w:val="00C4546C"/>
    <w:rsid w:val="00C4547B"/>
    <w:rsid w:val="00C45905"/>
    <w:rsid w:val="00C45BB1"/>
    <w:rsid w:val="00C45CCC"/>
    <w:rsid w:val="00C45CDF"/>
    <w:rsid w:val="00C45FF5"/>
    <w:rsid w:val="00C46076"/>
    <w:rsid w:val="00C4618F"/>
    <w:rsid w:val="00C46646"/>
    <w:rsid w:val="00C46A94"/>
    <w:rsid w:val="00C46AA2"/>
    <w:rsid w:val="00C46C6A"/>
    <w:rsid w:val="00C46C75"/>
    <w:rsid w:val="00C46DAC"/>
    <w:rsid w:val="00C46E9A"/>
    <w:rsid w:val="00C46ED5"/>
    <w:rsid w:val="00C47605"/>
    <w:rsid w:val="00C4786A"/>
    <w:rsid w:val="00C47AA8"/>
    <w:rsid w:val="00C47F0B"/>
    <w:rsid w:val="00C47FBB"/>
    <w:rsid w:val="00C500B4"/>
    <w:rsid w:val="00C5024A"/>
    <w:rsid w:val="00C502E0"/>
    <w:rsid w:val="00C5042C"/>
    <w:rsid w:val="00C509D7"/>
    <w:rsid w:val="00C50D29"/>
    <w:rsid w:val="00C50E60"/>
    <w:rsid w:val="00C513AA"/>
    <w:rsid w:val="00C5146D"/>
    <w:rsid w:val="00C5178F"/>
    <w:rsid w:val="00C517DB"/>
    <w:rsid w:val="00C518B0"/>
    <w:rsid w:val="00C51A28"/>
    <w:rsid w:val="00C51B6C"/>
    <w:rsid w:val="00C51B89"/>
    <w:rsid w:val="00C51CD1"/>
    <w:rsid w:val="00C51F15"/>
    <w:rsid w:val="00C5207A"/>
    <w:rsid w:val="00C523E6"/>
    <w:rsid w:val="00C52479"/>
    <w:rsid w:val="00C525CC"/>
    <w:rsid w:val="00C526CA"/>
    <w:rsid w:val="00C52741"/>
    <w:rsid w:val="00C5276A"/>
    <w:rsid w:val="00C52917"/>
    <w:rsid w:val="00C52990"/>
    <w:rsid w:val="00C52D6B"/>
    <w:rsid w:val="00C5305A"/>
    <w:rsid w:val="00C530D1"/>
    <w:rsid w:val="00C5322E"/>
    <w:rsid w:val="00C5361D"/>
    <w:rsid w:val="00C5390A"/>
    <w:rsid w:val="00C53978"/>
    <w:rsid w:val="00C53A38"/>
    <w:rsid w:val="00C53CF4"/>
    <w:rsid w:val="00C53E89"/>
    <w:rsid w:val="00C54266"/>
    <w:rsid w:val="00C543D5"/>
    <w:rsid w:val="00C544ED"/>
    <w:rsid w:val="00C549F5"/>
    <w:rsid w:val="00C54D80"/>
    <w:rsid w:val="00C54F85"/>
    <w:rsid w:val="00C5505F"/>
    <w:rsid w:val="00C550C3"/>
    <w:rsid w:val="00C55275"/>
    <w:rsid w:val="00C55453"/>
    <w:rsid w:val="00C55806"/>
    <w:rsid w:val="00C55CDB"/>
    <w:rsid w:val="00C55EB2"/>
    <w:rsid w:val="00C562E7"/>
    <w:rsid w:val="00C56372"/>
    <w:rsid w:val="00C5640B"/>
    <w:rsid w:val="00C5657C"/>
    <w:rsid w:val="00C5660C"/>
    <w:rsid w:val="00C5669B"/>
    <w:rsid w:val="00C56A3D"/>
    <w:rsid w:val="00C56A83"/>
    <w:rsid w:val="00C56EC8"/>
    <w:rsid w:val="00C5707A"/>
    <w:rsid w:val="00C57097"/>
    <w:rsid w:val="00C57119"/>
    <w:rsid w:val="00C571D0"/>
    <w:rsid w:val="00C5762D"/>
    <w:rsid w:val="00C57839"/>
    <w:rsid w:val="00C57965"/>
    <w:rsid w:val="00C57B4B"/>
    <w:rsid w:val="00C57C22"/>
    <w:rsid w:val="00C600FB"/>
    <w:rsid w:val="00C601AE"/>
    <w:rsid w:val="00C60670"/>
    <w:rsid w:val="00C60780"/>
    <w:rsid w:val="00C609FA"/>
    <w:rsid w:val="00C60AC5"/>
    <w:rsid w:val="00C60D7F"/>
    <w:rsid w:val="00C60F4F"/>
    <w:rsid w:val="00C61230"/>
    <w:rsid w:val="00C6139D"/>
    <w:rsid w:val="00C613D0"/>
    <w:rsid w:val="00C61466"/>
    <w:rsid w:val="00C614BC"/>
    <w:rsid w:val="00C61675"/>
    <w:rsid w:val="00C61B2A"/>
    <w:rsid w:val="00C62101"/>
    <w:rsid w:val="00C62388"/>
    <w:rsid w:val="00C62414"/>
    <w:rsid w:val="00C62A98"/>
    <w:rsid w:val="00C632E7"/>
    <w:rsid w:val="00C632F7"/>
    <w:rsid w:val="00C634F5"/>
    <w:rsid w:val="00C636D9"/>
    <w:rsid w:val="00C63AF4"/>
    <w:rsid w:val="00C63CC2"/>
    <w:rsid w:val="00C63CF7"/>
    <w:rsid w:val="00C640D2"/>
    <w:rsid w:val="00C64299"/>
    <w:rsid w:val="00C64341"/>
    <w:rsid w:val="00C6468D"/>
    <w:rsid w:val="00C64697"/>
    <w:rsid w:val="00C64879"/>
    <w:rsid w:val="00C64A33"/>
    <w:rsid w:val="00C64A90"/>
    <w:rsid w:val="00C64B12"/>
    <w:rsid w:val="00C64C57"/>
    <w:rsid w:val="00C64DA1"/>
    <w:rsid w:val="00C64E1E"/>
    <w:rsid w:val="00C650C8"/>
    <w:rsid w:val="00C653A4"/>
    <w:rsid w:val="00C658B8"/>
    <w:rsid w:val="00C65C1D"/>
    <w:rsid w:val="00C65E51"/>
    <w:rsid w:val="00C662CD"/>
    <w:rsid w:val="00C6669A"/>
    <w:rsid w:val="00C666B5"/>
    <w:rsid w:val="00C666DC"/>
    <w:rsid w:val="00C667CB"/>
    <w:rsid w:val="00C66C0A"/>
    <w:rsid w:val="00C66FBD"/>
    <w:rsid w:val="00C67028"/>
    <w:rsid w:val="00C6736A"/>
    <w:rsid w:val="00C6740A"/>
    <w:rsid w:val="00C675D0"/>
    <w:rsid w:val="00C6771D"/>
    <w:rsid w:val="00C67901"/>
    <w:rsid w:val="00C67B7F"/>
    <w:rsid w:val="00C709A2"/>
    <w:rsid w:val="00C70CCF"/>
    <w:rsid w:val="00C7111C"/>
    <w:rsid w:val="00C713F0"/>
    <w:rsid w:val="00C71571"/>
    <w:rsid w:val="00C71714"/>
    <w:rsid w:val="00C71A94"/>
    <w:rsid w:val="00C71B31"/>
    <w:rsid w:val="00C7234E"/>
    <w:rsid w:val="00C72351"/>
    <w:rsid w:val="00C72490"/>
    <w:rsid w:val="00C725CF"/>
    <w:rsid w:val="00C72696"/>
    <w:rsid w:val="00C72A54"/>
    <w:rsid w:val="00C72E51"/>
    <w:rsid w:val="00C73261"/>
    <w:rsid w:val="00C7346C"/>
    <w:rsid w:val="00C73BA6"/>
    <w:rsid w:val="00C73C54"/>
    <w:rsid w:val="00C73DE1"/>
    <w:rsid w:val="00C7400F"/>
    <w:rsid w:val="00C7433E"/>
    <w:rsid w:val="00C7469D"/>
    <w:rsid w:val="00C751B5"/>
    <w:rsid w:val="00C75368"/>
    <w:rsid w:val="00C7556F"/>
    <w:rsid w:val="00C75750"/>
    <w:rsid w:val="00C75880"/>
    <w:rsid w:val="00C75B62"/>
    <w:rsid w:val="00C75BEC"/>
    <w:rsid w:val="00C75C5F"/>
    <w:rsid w:val="00C75DAD"/>
    <w:rsid w:val="00C75DDF"/>
    <w:rsid w:val="00C75EE8"/>
    <w:rsid w:val="00C76095"/>
    <w:rsid w:val="00C7611E"/>
    <w:rsid w:val="00C766AD"/>
    <w:rsid w:val="00C76732"/>
    <w:rsid w:val="00C76B95"/>
    <w:rsid w:val="00C76B9B"/>
    <w:rsid w:val="00C76E87"/>
    <w:rsid w:val="00C77201"/>
    <w:rsid w:val="00C7728B"/>
    <w:rsid w:val="00C77D4D"/>
    <w:rsid w:val="00C77FC8"/>
    <w:rsid w:val="00C800C1"/>
    <w:rsid w:val="00C801F0"/>
    <w:rsid w:val="00C8043C"/>
    <w:rsid w:val="00C804C9"/>
    <w:rsid w:val="00C80532"/>
    <w:rsid w:val="00C80549"/>
    <w:rsid w:val="00C806BA"/>
    <w:rsid w:val="00C80884"/>
    <w:rsid w:val="00C80897"/>
    <w:rsid w:val="00C80EE8"/>
    <w:rsid w:val="00C80F63"/>
    <w:rsid w:val="00C8109A"/>
    <w:rsid w:val="00C81223"/>
    <w:rsid w:val="00C8127C"/>
    <w:rsid w:val="00C812CD"/>
    <w:rsid w:val="00C8154E"/>
    <w:rsid w:val="00C81574"/>
    <w:rsid w:val="00C8182A"/>
    <w:rsid w:val="00C81E34"/>
    <w:rsid w:val="00C824D1"/>
    <w:rsid w:val="00C82AC2"/>
    <w:rsid w:val="00C82B24"/>
    <w:rsid w:val="00C82C2F"/>
    <w:rsid w:val="00C83138"/>
    <w:rsid w:val="00C8332D"/>
    <w:rsid w:val="00C835CA"/>
    <w:rsid w:val="00C83788"/>
    <w:rsid w:val="00C83971"/>
    <w:rsid w:val="00C839C2"/>
    <w:rsid w:val="00C83CFB"/>
    <w:rsid w:val="00C83D06"/>
    <w:rsid w:val="00C83EBF"/>
    <w:rsid w:val="00C84225"/>
    <w:rsid w:val="00C8424D"/>
    <w:rsid w:val="00C842B8"/>
    <w:rsid w:val="00C84356"/>
    <w:rsid w:val="00C843E7"/>
    <w:rsid w:val="00C84415"/>
    <w:rsid w:val="00C84422"/>
    <w:rsid w:val="00C8477A"/>
    <w:rsid w:val="00C847C0"/>
    <w:rsid w:val="00C848ED"/>
    <w:rsid w:val="00C84DC5"/>
    <w:rsid w:val="00C84DE5"/>
    <w:rsid w:val="00C84ED1"/>
    <w:rsid w:val="00C852C8"/>
    <w:rsid w:val="00C85342"/>
    <w:rsid w:val="00C85398"/>
    <w:rsid w:val="00C85414"/>
    <w:rsid w:val="00C8573D"/>
    <w:rsid w:val="00C85CDC"/>
    <w:rsid w:val="00C85D07"/>
    <w:rsid w:val="00C862CE"/>
    <w:rsid w:val="00C86BDB"/>
    <w:rsid w:val="00C86D77"/>
    <w:rsid w:val="00C86D92"/>
    <w:rsid w:val="00C86DCA"/>
    <w:rsid w:val="00C87168"/>
    <w:rsid w:val="00C876A0"/>
    <w:rsid w:val="00C87A14"/>
    <w:rsid w:val="00C87D8C"/>
    <w:rsid w:val="00C87DE9"/>
    <w:rsid w:val="00C87FC1"/>
    <w:rsid w:val="00C900CD"/>
    <w:rsid w:val="00C9023B"/>
    <w:rsid w:val="00C90246"/>
    <w:rsid w:val="00C904B8"/>
    <w:rsid w:val="00C90A96"/>
    <w:rsid w:val="00C90AD2"/>
    <w:rsid w:val="00C90BCE"/>
    <w:rsid w:val="00C90CF6"/>
    <w:rsid w:val="00C90DCD"/>
    <w:rsid w:val="00C9118C"/>
    <w:rsid w:val="00C91236"/>
    <w:rsid w:val="00C913F1"/>
    <w:rsid w:val="00C915FE"/>
    <w:rsid w:val="00C9168C"/>
    <w:rsid w:val="00C916DF"/>
    <w:rsid w:val="00C91A11"/>
    <w:rsid w:val="00C91D67"/>
    <w:rsid w:val="00C91DA9"/>
    <w:rsid w:val="00C92673"/>
    <w:rsid w:val="00C9272C"/>
    <w:rsid w:val="00C92DF2"/>
    <w:rsid w:val="00C92E3D"/>
    <w:rsid w:val="00C93431"/>
    <w:rsid w:val="00C93567"/>
    <w:rsid w:val="00C93711"/>
    <w:rsid w:val="00C9382D"/>
    <w:rsid w:val="00C938E1"/>
    <w:rsid w:val="00C938E9"/>
    <w:rsid w:val="00C93AA9"/>
    <w:rsid w:val="00C93BFE"/>
    <w:rsid w:val="00C93C79"/>
    <w:rsid w:val="00C93EFD"/>
    <w:rsid w:val="00C940B5"/>
    <w:rsid w:val="00C940C5"/>
    <w:rsid w:val="00C941F8"/>
    <w:rsid w:val="00C943C4"/>
    <w:rsid w:val="00C94420"/>
    <w:rsid w:val="00C94525"/>
    <w:rsid w:val="00C94557"/>
    <w:rsid w:val="00C9455C"/>
    <w:rsid w:val="00C9496C"/>
    <w:rsid w:val="00C94D34"/>
    <w:rsid w:val="00C94EB3"/>
    <w:rsid w:val="00C94EBF"/>
    <w:rsid w:val="00C953B6"/>
    <w:rsid w:val="00C954CA"/>
    <w:rsid w:val="00C95567"/>
    <w:rsid w:val="00C955BE"/>
    <w:rsid w:val="00C95662"/>
    <w:rsid w:val="00C956E8"/>
    <w:rsid w:val="00C95B23"/>
    <w:rsid w:val="00C95B27"/>
    <w:rsid w:val="00C95F96"/>
    <w:rsid w:val="00C96002"/>
    <w:rsid w:val="00C9663C"/>
    <w:rsid w:val="00C968A1"/>
    <w:rsid w:val="00C96ADB"/>
    <w:rsid w:val="00C96EC0"/>
    <w:rsid w:val="00C9750A"/>
    <w:rsid w:val="00C97539"/>
    <w:rsid w:val="00C976FD"/>
    <w:rsid w:val="00C977ED"/>
    <w:rsid w:val="00C97D2E"/>
    <w:rsid w:val="00C97DE0"/>
    <w:rsid w:val="00C97F54"/>
    <w:rsid w:val="00CA033D"/>
    <w:rsid w:val="00CA06A3"/>
    <w:rsid w:val="00CA081E"/>
    <w:rsid w:val="00CA083F"/>
    <w:rsid w:val="00CA0E57"/>
    <w:rsid w:val="00CA1049"/>
    <w:rsid w:val="00CA10F3"/>
    <w:rsid w:val="00CA1332"/>
    <w:rsid w:val="00CA1668"/>
    <w:rsid w:val="00CA17D9"/>
    <w:rsid w:val="00CA18DD"/>
    <w:rsid w:val="00CA1A19"/>
    <w:rsid w:val="00CA1C33"/>
    <w:rsid w:val="00CA1C8F"/>
    <w:rsid w:val="00CA1DB0"/>
    <w:rsid w:val="00CA20B1"/>
    <w:rsid w:val="00CA22EE"/>
    <w:rsid w:val="00CA282D"/>
    <w:rsid w:val="00CA2B6A"/>
    <w:rsid w:val="00CA3055"/>
    <w:rsid w:val="00CA3248"/>
    <w:rsid w:val="00CA3343"/>
    <w:rsid w:val="00CA3360"/>
    <w:rsid w:val="00CA3879"/>
    <w:rsid w:val="00CA3B13"/>
    <w:rsid w:val="00CA3EC5"/>
    <w:rsid w:val="00CA4265"/>
    <w:rsid w:val="00CA436C"/>
    <w:rsid w:val="00CA4A2E"/>
    <w:rsid w:val="00CA4C08"/>
    <w:rsid w:val="00CA56B2"/>
    <w:rsid w:val="00CA5736"/>
    <w:rsid w:val="00CA590F"/>
    <w:rsid w:val="00CA5936"/>
    <w:rsid w:val="00CA59A3"/>
    <w:rsid w:val="00CA59A8"/>
    <w:rsid w:val="00CA5A56"/>
    <w:rsid w:val="00CA5D09"/>
    <w:rsid w:val="00CA5E66"/>
    <w:rsid w:val="00CA6013"/>
    <w:rsid w:val="00CA617F"/>
    <w:rsid w:val="00CA61D1"/>
    <w:rsid w:val="00CA7145"/>
    <w:rsid w:val="00CA71C1"/>
    <w:rsid w:val="00CA71C3"/>
    <w:rsid w:val="00CA742E"/>
    <w:rsid w:val="00CA74A6"/>
    <w:rsid w:val="00CA77E4"/>
    <w:rsid w:val="00CA79EE"/>
    <w:rsid w:val="00CA79FB"/>
    <w:rsid w:val="00CB0007"/>
    <w:rsid w:val="00CB012A"/>
    <w:rsid w:val="00CB02B8"/>
    <w:rsid w:val="00CB0303"/>
    <w:rsid w:val="00CB04C1"/>
    <w:rsid w:val="00CB04FE"/>
    <w:rsid w:val="00CB0689"/>
    <w:rsid w:val="00CB0794"/>
    <w:rsid w:val="00CB0E16"/>
    <w:rsid w:val="00CB0FD4"/>
    <w:rsid w:val="00CB149B"/>
    <w:rsid w:val="00CB1651"/>
    <w:rsid w:val="00CB1736"/>
    <w:rsid w:val="00CB1B3B"/>
    <w:rsid w:val="00CB20B3"/>
    <w:rsid w:val="00CB259B"/>
    <w:rsid w:val="00CB2D9D"/>
    <w:rsid w:val="00CB2E51"/>
    <w:rsid w:val="00CB2EA7"/>
    <w:rsid w:val="00CB32A1"/>
    <w:rsid w:val="00CB3F13"/>
    <w:rsid w:val="00CB3F2F"/>
    <w:rsid w:val="00CB3FE1"/>
    <w:rsid w:val="00CB4061"/>
    <w:rsid w:val="00CB40F3"/>
    <w:rsid w:val="00CB415C"/>
    <w:rsid w:val="00CB4477"/>
    <w:rsid w:val="00CB473D"/>
    <w:rsid w:val="00CB4BD7"/>
    <w:rsid w:val="00CB4C39"/>
    <w:rsid w:val="00CB55EE"/>
    <w:rsid w:val="00CB5608"/>
    <w:rsid w:val="00CB578F"/>
    <w:rsid w:val="00CB57A9"/>
    <w:rsid w:val="00CB5A99"/>
    <w:rsid w:val="00CB5B1A"/>
    <w:rsid w:val="00CB5E21"/>
    <w:rsid w:val="00CB5EF9"/>
    <w:rsid w:val="00CB5F52"/>
    <w:rsid w:val="00CB618C"/>
    <w:rsid w:val="00CB62EC"/>
    <w:rsid w:val="00CB65F3"/>
    <w:rsid w:val="00CB687A"/>
    <w:rsid w:val="00CB69B1"/>
    <w:rsid w:val="00CB6ACF"/>
    <w:rsid w:val="00CB6D5E"/>
    <w:rsid w:val="00CB6EBE"/>
    <w:rsid w:val="00CB71FC"/>
    <w:rsid w:val="00CB73FA"/>
    <w:rsid w:val="00CB743A"/>
    <w:rsid w:val="00CB7749"/>
    <w:rsid w:val="00CB77D9"/>
    <w:rsid w:val="00CB7AC2"/>
    <w:rsid w:val="00CB7D08"/>
    <w:rsid w:val="00CB7E70"/>
    <w:rsid w:val="00CB7E84"/>
    <w:rsid w:val="00CB7EDA"/>
    <w:rsid w:val="00CC005D"/>
    <w:rsid w:val="00CC006B"/>
    <w:rsid w:val="00CC01C8"/>
    <w:rsid w:val="00CC03A1"/>
    <w:rsid w:val="00CC03D0"/>
    <w:rsid w:val="00CC069D"/>
    <w:rsid w:val="00CC0877"/>
    <w:rsid w:val="00CC08F1"/>
    <w:rsid w:val="00CC0941"/>
    <w:rsid w:val="00CC09EF"/>
    <w:rsid w:val="00CC0D11"/>
    <w:rsid w:val="00CC0E25"/>
    <w:rsid w:val="00CC0EAA"/>
    <w:rsid w:val="00CC10B2"/>
    <w:rsid w:val="00CC11D2"/>
    <w:rsid w:val="00CC1449"/>
    <w:rsid w:val="00CC1834"/>
    <w:rsid w:val="00CC1A6A"/>
    <w:rsid w:val="00CC216F"/>
    <w:rsid w:val="00CC2248"/>
    <w:rsid w:val="00CC2B14"/>
    <w:rsid w:val="00CC2C84"/>
    <w:rsid w:val="00CC2D24"/>
    <w:rsid w:val="00CC30DB"/>
    <w:rsid w:val="00CC32C2"/>
    <w:rsid w:val="00CC32DD"/>
    <w:rsid w:val="00CC33EC"/>
    <w:rsid w:val="00CC37BA"/>
    <w:rsid w:val="00CC38FF"/>
    <w:rsid w:val="00CC3AEE"/>
    <w:rsid w:val="00CC3D05"/>
    <w:rsid w:val="00CC4385"/>
    <w:rsid w:val="00CC4810"/>
    <w:rsid w:val="00CC4B62"/>
    <w:rsid w:val="00CC4E7D"/>
    <w:rsid w:val="00CC4FF3"/>
    <w:rsid w:val="00CC50F3"/>
    <w:rsid w:val="00CC516F"/>
    <w:rsid w:val="00CC529B"/>
    <w:rsid w:val="00CC5590"/>
    <w:rsid w:val="00CC55F7"/>
    <w:rsid w:val="00CC5998"/>
    <w:rsid w:val="00CC599A"/>
    <w:rsid w:val="00CC5D24"/>
    <w:rsid w:val="00CC5F8B"/>
    <w:rsid w:val="00CC5FA1"/>
    <w:rsid w:val="00CC60A5"/>
    <w:rsid w:val="00CC61DE"/>
    <w:rsid w:val="00CC6292"/>
    <w:rsid w:val="00CC6610"/>
    <w:rsid w:val="00CC6680"/>
    <w:rsid w:val="00CC67CC"/>
    <w:rsid w:val="00CC69EC"/>
    <w:rsid w:val="00CC6F1F"/>
    <w:rsid w:val="00CC6F34"/>
    <w:rsid w:val="00CC71F3"/>
    <w:rsid w:val="00CC7367"/>
    <w:rsid w:val="00CC7497"/>
    <w:rsid w:val="00CC7F99"/>
    <w:rsid w:val="00CD000C"/>
    <w:rsid w:val="00CD003A"/>
    <w:rsid w:val="00CD0059"/>
    <w:rsid w:val="00CD02B6"/>
    <w:rsid w:val="00CD08C0"/>
    <w:rsid w:val="00CD0A3B"/>
    <w:rsid w:val="00CD0B90"/>
    <w:rsid w:val="00CD108E"/>
    <w:rsid w:val="00CD1216"/>
    <w:rsid w:val="00CD1319"/>
    <w:rsid w:val="00CD15B0"/>
    <w:rsid w:val="00CD1CCA"/>
    <w:rsid w:val="00CD2209"/>
    <w:rsid w:val="00CD29DD"/>
    <w:rsid w:val="00CD2A91"/>
    <w:rsid w:val="00CD2B47"/>
    <w:rsid w:val="00CD31D3"/>
    <w:rsid w:val="00CD33AC"/>
    <w:rsid w:val="00CD34CE"/>
    <w:rsid w:val="00CD3548"/>
    <w:rsid w:val="00CD3737"/>
    <w:rsid w:val="00CD3945"/>
    <w:rsid w:val="00CD3FF0"/>
    <w:rsid w:val="00CD42F1"/>
    <w:rsid w:val="00CD482A"/>
    <w:rsid w:val="00CD493B"/>
    <w:rsid w:val="00CD4B64"/>
    <w:rsid w:val="00CD4C76"/>
    <w:rsid w:val="00CD5062"/>
    <w:rsid w:val="00CD570B"/>
    <w:rsid w:val="00CD570C"/>
    <w:rsid w:val="00CD5855"/>
    <w:rsid w:val="00CD591D"/>
    <w:rsid w:val="00CD5AB4"/>
    <w:rsid w:val="00CD5C09"/>
    <w:rsid w:val="00CD5C6A"/>
    <w:rsid w:val="00CD5E8D"/>
    <w:rsid w:val="00CD6107"/>
    <w:rsid w:val="00CD6703"/>
    <w:rsid w:val="00CD691A"/>
    <w:rsid w:val="00CD6A5C"/>
    <w:rsid w:val="00CD6C57"/>
    <w:rsid w:val="00CD6C6E"/>
    <w:rsid w:val="00CD720A"/>
    <w:rsid w:val="00CD7389"/>
    <w:rsid w:val="00CD73C7"/>
    <w:rsid w:val="00CD79CE"/>
    <w:rsid w:val="00CD7AC4"/>
    <w:rsid w:val="00CE0053"/>
    <w:rsid w:val="00CE01D9"/>
    <w:rsid w:val="00CE033C"/>
    <w:rsid w:val="00CE0608"/>
    <w:rsid w:val="00CE0637"/>
    <w:rsid w:val="00CE0690"/>
    <w:rsid w:val="00CE0715"/>
    <w:rsid w:val="00CE07E0"/>
    <w:rsid w:val="00CE0831"/>
    <w:rsid w:val="00CE0879"/>
    <w:rsid w:val="00CE0994"/>
    <w:rsid w:val="00CE1019"/>
    <w:rsid w:val="00CE1208"/>
    <w:rsid w:val="00CE1597"/>
    <w:rsid w:val="00CE1765"/>
    <w:rsid w:val="00CE189E"/>
    <w:rsid w:val="00CE1A3D"/>
    <w:rsid w:val="00CE1C0B"/>
    <w:rsid w:val="00CE1DB4"/>
    <w:rsid w:val="00CE20C6"/>
    <w:rsid w:val="00CE2225"/>
    <w:rsid w:val="00CE22D5"/>
    <w:rsid w:val="00CE2594"/>
    <w:rsid w:val="00CE25B5"/>
    <w:rsid w:val="00CE2657"/>
    <w:rsid w:val="00CE26F8"/>
    <w:rsid w:val="00CE2746"/>
    <w:rsid w:val="00CE288D"/>
    <w:rsid w:val="00CE28B8"/>
    <w:rsid w:val="00CE298C"/>
    <w:rsid w:val="00CE2AAE"/>
    <w:rsid w:val="00CE2DE2"/>
    <w:rsid w:val="00CE2F95"/>
    <w:rsid w:val="00CE3376"/>
    <w:rsid w:val="00CE3A62"/>
    <w:rsid w:val="00CE3AC1"/>
    <w:rsid w:val="00CE3B70"/>
    <w:rsid w:val="00CE3C05"/>
    <w:rsid w:val="00CE4119"/>
    <w:rsid w:val="00CE488A"/>
    <w:rsid w:val="00CE4A77"/>
    <w:rsid w:val="00CE4A7F"/>
    <w:rsid w:val="00CE4A85"/>
    <w:rsid w:val="00CE4BB7"/>
    <w:rsid w:val="00CE4C1D"/>
    <w:rsid w:val="00CE4E1F"/>
    <w:rsid w:val="00CE502C"/>
    <w:rsid w:val="00CE539F"/>
    <w:rsid w:val="00CE5539"/>
    <w:rsid w:val="00CE56D0"/>
    <w:rsid w:val="00CE56EE"/>
    <w:rsid w:val="00CE5AA7"/>
    <w:rsid w:val="00CE5BCC"/>
    <w:rsid w:val="00CE5BFC"/>
    <w:rsid w:val="00CE5D53"/>
    <w:rsid w:val="00CE5D8C"/>
    <w:rsid w:val="00CE5EDB"/>
    <w:rsid w:val="00CE600A"/>
    <w:rsid w:val="00CE6236"/>
    <w:rsid w:val="00CE6468"/>
    <w:rsid w:val="00CE6A5A"/>
    <w:rsid w:val="00CE7041"/>
    <w:rsid w:val="00CE72CC"/>
    <w:rsid w:val="00CE72FF"/>
    <w:rsid w:val="00CE73F5"/>
    <w:rsid w:val="00CE742C"/>
    <w:rsid w:val="00CE7770"/>
    <w:rsid w:val="00CE7901"/>
    <w:rsid w:val="00CE7953"/>
    <w:rsid w:val="00CE7ADF"/>
    <w:rsid w:val="00CF1577"/>
    <w:rsid w:val="00CF15F1"/>
    <w:rsid w:val="00CF1A81"/>
    <w:rsid w:val="00CF1ABF"/>
    <w:rsid w:val="00CF1C2F"/>
    <w:rsid w:val="00CF1D91"/>
    <w:rsid w:val="00CF1DC9"/>
    <w:rsid w:val="00CF20DC"/>
    <w:rsid w:val="00CF2164"/>
    <w:rsid w:val="00CF28AD"/>
    <w:rsid w:val="00CF2BCD"/>
    <w:rsid w:val="00CF2D51"/>
    <w:rsid w:val="00CF2EBA"/>
    <w:rsid w:val="00CF3058"/>
    <w:rsid w:val="00CF3277"/>
    <w:rsid w:val="00CF331A"/>
    <w:rsid w:val="00CF36A1"/>
    <w:rsid w:val="00CF37C0"/>
    <w:rsid w:val="00CF3BE9"/>
    <w:rsid w:val="00CF3EE3"/>
    <w:rsid w:val="00CF417A"/>
    <w:rsid w:val="00CF4641"/>
    <w:rsid w:val="00CF46F5"/>
    <w:rsid w:val="00CF4963"/>
    <w:rsid w:val="00CF4BFD"/>
    <w:rsid w:val="00CF4D47"/>
    <w:rsid w:val="00CF4E6B"/>
    <w:rsid w:val="00CF5883"/>
    <w:rsid w:val="00CF5D22"/>
    <w:rsid w:val="00CF5D32"/>
    <w:rsid w:val="00CF5D4F"/>
    <w:rsid w:val="00CF5DBD"/>
    <w:rsid w:val="00CF5EEB"/>
    <w:rsid w:val="00CF5EF5"/>
    <w:rsid w:val="00CF6051"/>
    <w:rsid w:val="00CF627F"/>
    <w:rsid w:val="00CF62B4"/>
    <w:rsid w:val="00CF6400"/>
    <w:rsid w:val="00CF65F5"/>
    <w:rsid w:val="00CF6955"/>
    <w:rsid w:val="00CF6ACE"/>
    <w:rsid w:val="00CF6AEE"/>
    <w:rsid w:val="00CF710F"/>
    <w:rsid w:val="00CF72B4"/>
    <w:rsid w:val="00CF72CA"/>
    <w:rsid w:val="00D00091"/>
    <w:rsid w:val="00D0069D"/>
    <w:rsid w:val="00D0078C"/>
    <w:rsid w:val="00D00A14"/>
    <w:rsid w:val="00D00C78"/>
    <w:rsid w:val="00D00DF7"/>
    <w:rsid w:val="00D012C1"/>
    <w:rsid w:val="00D013C1"/>
    <w:rsid w:val="00D013CA"/>
    <w:rsid w:val="00D01474"/>
    <w:rsid w:val="00D014AA"/>
    <w:rsid w:val="00D0179A"/>
    <w:rsid w:val="00D01981"/>
    <w:rsid w:val="00D01B36"/>
    <w:rsid w:val="00D01C2E"/>
    <w:rsid w:val="00D01D56"/>
    <w:rsid w:val="00D01D81"/>
    <w:rsid w:val="00D02363"/>
    <w:rsid w:val="00D023F3"/>
    <w:rsid w:val="00D025E4"/>
    <w:rsid w:val="00D026F0"/>
    <w:rsid w:val="00D02863"/>
    <w:rsid w:val="00D028D9"/>
    <w:rsid w:val="00D0292B"/>
    <w:rsid w:val="00D029C5"/>
    <w:rsid w:val="00D029FF"/>
    <w:rsid w:val="00D02A9E"/>
    <w:rsid w:val="00D02BB1"/>
    <w:rsid w:val="00D02BDA"/>
    <w:rsid w:val="00D02BF9"/>
    <w:rsid w:val="00D0314C"/>
    <w:rsid w:val="00D031C0"/>
    <w:rsid w:val="00D037B9"/>
    <w:rsid w:val="00D03B0C"/>
    <w:rsid w:val="00D03E12"/>
    <w:rsid w:val="00D03F18"/>
    <w:rsid w:val="00D0404F"/>
    <w:rsid w:val="00D0454B"/>
    <w:rsid w:val="00D04AC4"/>
    <w:rsid w:val="00D04B9A"/>
    <w:rsid w:val="00D04D00"/>
    <w:rsid w:val="00D04DE5"/>
    <w:rsid w:val="00D04EA6"/>
    <w:rsid w:val="00D0506E"/>
    <w:rsid w:val="00D050A3"/>
    <w:rsid w:val="00D053A7"/>
    <w:rsid w:val="00D05757"/>
    <w:rsid w:val="00D05AF6"/>
    <w:rsid w:val="00D05F76"/>
    <w:rsid w:val="00D06625"/>
    <w:rsid w:val="00D0682F"/>
    <w:rsid w:val="00D06A12"/>
    <w:rsid w:val="00D06ACC"/>
    <w:rsid w:val="00D06B5E"/>
    <w:rsid w:val="00D06C11"/>
    <w:rsid w:val="00D06E80"/>
    <w:rsid w:val="00D06F4F"/>
    <w:rsid w:val="00D07284"/>
    <w:rsid w:val="00D0732D"/>
    <w:rsid w:val="00D07387"/>
    <w:rsid w:val="00D074C6"/>
    <w:rsid w:val="00D076AE"/>
    <w:rsid w:val="00D076D7"/>
    <w:rsid w:val="00D07756"/>
    <w:rsid w:val="00D0778E"/>
    <w:rsid w:val="00D07F93"/>
    <w:rsid w:val="00D07FA5"/>
    <w:rsid w:val="00D10653"/>
    <w:rsid w:val="00D1092E"/>
    <w:rsid w:val="00D10A3F"/>
    <w:rsid w:val="00D10DC1"/>
    <w:rsid w:val="00D1169A"/>
    <w:rsid w:val="00D11825"/>
    <w:rsid w:val="00D11E51"/>
    <w:rsid w:val="00D1208D"/>
    <w:rsid w:val="00D12138"/>
    <w:rsid w:val="00D121D6"/>
    <w:rsid w:val="00D125B7"/>
    <w:rsid w:val="00D12612"/>
    <w:rsid w:val="00D12946"/>
    <w:rsid w:val="00D1298A"/>
    <w:rsid w:val="00D12C71"/>
    <w:rsid w:val="00D12D7D"/>
    <w:rsid w:val="00D12F8C"/>
    <w:rsid w:val="00D13219"/>
    <w:rsid w:val="00D1346A"/>
    <w:rsid w:val="00D13690"/>
    <w:rsid w:val="00D13A24"/>
    <w:rsid w:val="00D13C5E"/>
    <w:rsid w:val="00D13DFE"/>
    <w:rsid w:val="00D13E10"/>
    <w:rsid w:val="00D13F04"/>
    <w:rsid w:val="00D13F22"/>
    <w:rsid w:val="00D13F70"/>
    <w:rsid w:val="00D14304"/>
    <w:rsid w:val="00D143D2"/>
    <w:rsid w:val="00D146EF"/>
    <w:rsid w:val="00D1491F"/>
    <w:rsid w:val="00D14C64"/>
    <w:rsid w:val="00D14D9E"/>
    <w:rsid w:val="00D14DE7"/>
    <w:rsid w:val="00D14E23"/>
    <w:rsid w:val="00D14FBC"/>
    <w:rsid w:val="00D1502B"/>
    <w:rsid w:val="00D15276"/>
    <w:rsid w:val="00D15745"/>
    <w:rsid w:val="00D15863"/>
    <w:rsid w:val="00D15A62"/>
    <w:rsid w:val="00D15B84"/>
    <w:rsid w:val="00D15D51"/>
    <w:rsid w:val="00D15D89"/>
    <w:rsid w:val="00D15E79"/>
    <w:rsid w:val="00D1611B"/>
    <w:rsid w:val="00D161B2"/>
    <w:rsid w:val="00D163C2"/>
    <w:rsid w:val="00D163FB"/>
    <w:rsid w:val="00D16435"/>
    <w:rsid w:val="00D164DF"/>
    <w:rsid w:val="00D166D3"/>
    <w:rsid w:val="00D16DCD"/>
    <w:rsid w:val="00D16F71"/>
    <w:rsid w:val="00D17160"/>
    <w:rsid w:val="00D17229"/>
    <w:rsid w:val="00D17336"/>
    <w:rsid w:val="00D17350"/>
    <w:rsid w:val="00D1738F"/>
    <w:rsid w:val="00D17456"/>
    <w:rsid w:val="00D17622"/>
    <w:rsid w:val="00D17930"/>
    <w:rsid w:val="00D17D6A"/>
    <w:rsid w:val="00D17DA9"/>
    <w:rsid w:val="00D17F5B"/>
    <w:rsid w:val="00D20305"/>
    <w:rsid w:val="00D20371"/>
    <w:rsid w:val="00D20A2C"/>
    <w:rsid w:val="00D20A97"/>
    <w:rsid w:val="00D20CA0"/>
    <w:rsid w:val="00D20F1F"/>
    <w:rsid w:val="00D2101D"/>
    <w:rsid w:val="00D2109C"/>
    <w:rsid w:val="00D211D6"/>
    <w:rsid w:val="00D213DC"/>
    <w:rsid w:val="00D214CD"/>
    <w:rsid w:val="00D21599"/>
    <w:rsid w:val="00D21BBB"/>
    <w:rsid w:val="00D21C52"/>
    <w:rsid w:val="00D22221"/>
    <w:rsid w:val="00D224C7"/>
    <w:rsid w:val="00D224E8"/>
    <w:rsid w:val="00D226E5"/>
    <w:rsid w:val="00D22C23"/>
    <w:rsid w:val="00D22C9E"/>
    <w:rsid w:val="00D23267"/>
    <w:rsid w:val="00D23403"/>
    <w:rsid w:val="00D2354C"/>
    <w:rsid w:val="00D236F8"/>
    <w:rsid w:val="00D237FA"/>
    <w:rsid w:val="00D23BDB"/>
    <w:rsid w:val="00D23C85"/>
    <w:rsid w:val="00D243F3"/>
    <w:rsid w:val="00D2455C"/>
    <w:rsid w:val="00D2467F"/>
    <w:rsid w:val="00D246A3"/>
    <w:rsid w:val="00D24851"/>
    <w:rsid w:val="00D2496B"/>
    <w:rsid w:val="00D24D5C"/>
    <w:rsid w:val="00D25040"/>
    <w:rsid w:val="00D250D3"/>
    <w:rsid w:val="00D254AB"/>
    <w:rsid w:val="00D25611"/>
    <w:rsid w:val="00D2571F"/>
    <w:rsid w:val="00D257A9"/>
    <w:rsid w:val="00D257D2"/>
    <w:rsid w:val="00D25851"/>
    <w:rsid w:val="00D25920"/>
    <w:rsid w:val="00D259FE"/>
    <w:rsid w:val="00D25AFA"/>
    <w:rsid w:val="00D25B7C"/>
    <w:rsid w:val="00D25FDC"/>
    <w:rsid w:val="00D2615A"/>
    <w:rsid w:val="00D264CC"/>
    <w:rsid w:val="00D264E5"/>
    <w:rsid w:val="00D26647"/>
    <w:rsid w:val="00D26959"/>
    <w:rsid w:val="00D26A0E"/>
    <w:rsid w:val="00D26E78"/>
    <w:rsid w:val="00D26EDE"/>
    <w:rsid w:val="00D2712E"/>
    <w:rsid w:val="00D2725C"/>
    <w:rsid w:val="00D27501"/>
    <w:rsid w:val="00D27528"/>
    <w:rsid w:val="00D27644"/>
    <w:rsid w:val="00D27A1C"/>
    <w:rsid w:val="00D27BCE"/>
    <w:rsid w:val="00D27D90"/>
    <w:rsid w:val="00D27DDC"/>
    <w:rsid w:val="00D30124"/>
    <w:rsid w:val="00D30154"/>
    <w:rsid w:val="00D30366"/>
    <w:rsid w:val="00D30394"/>
    <w:rsid w:val="00D305B2"/>
    <w:rsid w:val="00D306C6"/>
    <w:rsid w:val="00D30A3F"/>
    <w:rsid w:val="00D30D9E"/>
    <w:rsid w:val="00D311E5"/>
    <w:rsid w:val="00D314D2"/>
    <w:rsid w:val="00D31618"/>
    <w:rsid w:val="00D3161D"/>
    <w:rsid w:val="00D31673"/>
    <w:rsid w:val="00D3175F"/>
    <w:rsid w:val="00D31793"/>
    <w:rsid w:val="00D317CF"/>
    <w:rsid w:val="00D31890"/>
    <w:rsid w:val="00D31C57"/>
    <w:rsid w:val="00D3238C"/>
    <w:rsid w:val="00D32454"/>
    <w:rsid w:val="00D32472"/>
    <w:rsid w:val="00D3272F"/>
    <w:rsid w:val="00D32C6E"/>
    <w:rsid w:val="00D32FFF"/>
    <w:rsid w:val="00D3308D"/>
    <w:rsid w:val="00D33297"/>
    <w:rsid w:val="00D33609"/>
    <w:rsid w:val="00D336D6"/>
    <w:rsid w:val="00D33881"/>
    <w:rsid w:val="00D33A83"/>
    <w:rsid w:val="00D33BDB"/>
    <w:rsid w:val="00D33CB9"/>
    <w:rsid w:val="00D33CCB"/>
    <w:rsid w:val="00D33F42"/>
    <w:rsid w:val="00D34476"/>
    <w:rsid w:val="00D347C4"/>
    <w:rsid w:val="00D349E0"/>
    <w:rsid w:val="00D34A45"/>
    <w:rsid w:val="00D34B46"/>
    <w:rsid w:val="00D34B53"/>
    <w:rsid w:val="00D351A4"/>
    <w:rsid w:val="00D35321"/>
    <w:rsid w:val="00D35B5B"/>
    <w:rsid w:val="00D35D46"/>
    <w:rsid w:val="00D35DA3"/>
    <w:rsid w:val="00D35EEC"/>
    <w:rsid w:val="00D362A5"/>
    <w:rsid w:val="00D362D2"/>
    <w:rsid w:val="00D3631E"/>
    <w:rsid w:val="00D3643C"/>
    <w:rsid w:val="00D3694B"/>
    <w:rsid w:val="00D36976"/>
    <w:rsid w:val="00D36B6E"/>
    <w:rsid w:val="00D36EDA"/>
    <w:rsid w:val="00D370A3"/>
    <w:rsid w:val="00D3712B"/>
    <w:rsid w:val="00D376E2"/>
    <w:rsid w:val="00D377D0"/>
    <w:rsid w:val="00D37809"/>
    <w:rsid w:val="00D40074"/>
    <w:rsid w:val="00D402BC"/>
    <w:rsid w:val="00D402E4"/>
    <w:rsid w:val="00D4042F"/>
    <w:rsid w:val="00D40453"/>
    <w:rsid w:val="00D404BE"/>
    <w:rsid w:val="00D405FB"/>
    <w:rsid w:val="00D40D90"/>
    <w:rsid w:val="00D412DC"/>
    <w:rsid w:val="00D41643"/>
    <w:rsid w:val="00D4187A"/>
    <w:rsid w:val="00D41999"/>
    <w:rsid w:val="00D41E71"/>
    <w:rsid w:val="00D41E79"/>
    <w:rsid w:val="00D42417"/>
    <w:rsid w:val="00D4241C"/>
    <w:rsid w:val="00D427F1"/>
    <w:rsid w:val="00D428F1"/>
    <w:rsid w:val="00D42996"/>
    <w:rsid w:val="00D42D34"/>
    <w:rsid w:val="00D42EC3"/>
    <w:rsid w:val="00D43637"/>
    <w:rsid w:val="00D439D4"/>
    <w:rsid w:val="00D43E93"/>
    <w:rsid w:val="00D43F8A"/>
    <w:rsid w:val="00D440AD"/>
    <w:rsid w:val="00D440C7"/>
    <w:rsid w:val="00D444C4"/>
    <w:rsid w:val="00D44580"/>
    <w:rsid w:val="00D4459B"/>
    <w:rsid w:val="00D4491C"/>
    <w:rsid w:val="00D44AED"/>
    <w:rsid w:val="00D44B74"/>
    <w:rsid w:val="00D44C92"/>
    <w:rsid w:val="00D44E28"/>
    <w:rsid w:val="00D44E9D"/>
    <w:rsid w:val="00D45101"/>
    <w:rsid w:val="00D45157"/>
    <w:rsid w:val="00D4523F"/>
    <w:rsid w:val="00D4534C"/>
    <w:rsid w:val="00D453CD"/>
    <w:rsid w:val="00D4560F"/>
    <w:rsid w:val="00D45945"/>
    <w:rsid w:val="00D459E6"/>
    <w:rsid w:val="00D45A1C"/>
    <w:rsid w:val="00D45BDD"/>
    <w:rsid w:val="00D45E11"/>
    <w:rsid w:val="00D467C0"/>
    <w:rsid w:val="00D46A40"/>
    <w:rsid w:val="00D46ADD"/>
    <w:rsid w:val="00D46BF5"/>
    <w:rsid w:val="00D47068"/>
    <w:rsid w:val="00D470FE"/>
    <w:rsid w:val="00D471AE"/>
    <w:rsid w:val="00D47738"/>
    <w:rsid w:val="00D50059"/>
    <w:rsid w:val="00D50186"/>
    <w:rsid w:val="00D501B7"/>
    <w:rsid w:val="00D50D22"/>
    <w:rsid w:val="00D50FB7"/>
    <w:rsid w:val="00D51050"/>
    <w:rsid w:val="00D510E2"/>
    <w:rsid w:val="00D5120E"/>
    <w:rsid w:val="00D51227"/>
    <w:rsid w:val="00D51637"/>
    <w:rsid w:val="00D517ED"/>
    <w:rsid w:val="00D51866"/>
    <w:rsid w:val="00D51A63"/>
    <w:rsid w:val="00D51D6B"/>
    <w:rsid w:val="00D51E62"/>
    <w:rsid w:val="00D51E67"/>
    <w:rsid w:val="00D51F41"/>
    <w:rsid w:val="00D51FB6"/>
    <w:rsid w:val="00D52838"/>
    <w:rsid w:val="00D5290F"/>
    <w:rsid w:val="00D529F3"/>
    <w:rsid w:val="00D52B39"/>
    <w:rsid w:val="00D52B9D"/>
    <w:rsid w:val="00D52BBE"/>
    <w:rsid w:val="00D52D68"/>
    <w:rsid w:val="00D52E09"/>
    <w:rsid w:val="00D52FB3"/>
    <w:rsid w:val="00D534F3"/>
    <w:rsid w:val="00D53584"/>
    <w:rsid w:val="00D537EA"/>
    <w:rsid w:val="00D5381C"/>
    <w:rsid w:val="00D5389B"/>
    <w:rsid w:val="00D538C6"/>
    <w:rsid w:val="00D53B68"/>
    <w:rsid w:val="00D53F27"/>
    <w:rsid w:val="00D53F6D"/>
    <w:rsid w:val="00D54021"/>
    <w:rsid w:val="00D54156"/>
    <w:rsid w:val="00D5425D"/>
    <w:rsid w:val="00D542AA"/>
    <w:rsid w:val="00D546EE"/>
    <w:rsid w:val="00D54884"/>
    <w:rsid w:val="00D548FF"/>
    <w:rsid w:val="00D54A48"/>
    <w:rsid w:val="00D54B3A"/>
    <w:rsid w:val="00D54C88"/>
    <w:rsid w:val="00D54E74"/>
    <w:rsid w:val="00D54ED2"/>
    <w:rsid w:val="00D5506A"/>
    <w:rsid w:val="00D55A73"/>
    <w:rsid w:val="00D55AD6"/>
    <w:rsid w:val="00D55B44"/>
    <w:rsid w:val="00D55C27"/>
    <w:rsid w:val="00D55CDB"/>
    <w:rsid w:val="00D55D68"/>
    <w:rsid w:val="00D55DFD"/>
    <w:rsid w:val="00D55FFA"/>
    <w:rsid w:val="00D56031"/>
    <w:rsid w:val="00D5603A"/>
    <w:rsid w:val="00D56312"/>
    <w:rsid w:val="00D56459"/>
    <w:rsid w:val="00D56928"/>
    <w:rsid w:val="00D56B9C"/>
    <w:rsid w:val="00D56E89"/>
    <w:rsid w:val="00D5727F"/>
    <w:rsid w:val="00D574AF"/>
    <w:rsid w:val="00D57814"/>
    <w:rsid w:val="00D578E3"/>
    <w:rsid w:val="00D57948"/>
    <w:rsid w:val="00D57B2D"/>
    <w:rsid w:val="00D57B84"/>
    <w:rsid w:val="00D57C6D"/>
    <w:rsid w:val="00D6017E"/>
    <w:rsid w:val="00D6040A"/>
    <w:rsid w:val="00D60DBD"/>
    <w:rsid w:val="00D6121D"/>
    <w:rsid w:val="00D61316"/>
    <w:rsid w:val="00D613F4"/>
    <w:rsid w:val="00D614BA"/>
    <w:rsid w:val="00D6168A"/>
    <w:rsid w:val="00D6172A"/>
    <w:rsid w:val="00D6177F"/>
    <w:rsid w:val="00D618DD"/>
    <w:rsid w:val="00D61B54"/>
    <w:rsid w:val="00D620EA"/>
    <w:rsid w:val="00D624CE"/>
    <w:rsid w:val="00D6250C"/>
    <w:rsid w:val="00D62698"/>
    <w:rsid w:val="00D626CF"/>
    <w:rsid w:val="00D62E92"/>
    <w:rsid w:val="00D630A2"/>
    <w:rsid w:val="00D637E7"/>
    <w:rsid w:val="00D638D9"/>
    <w:rsid w:val="00D63A15"/>
    <w:rsid w:val="00D63BEA"/>
    <w:rsid w:val="00D63EDC"/>
    <w:rsid w:val="00D644DC"/>
    <w:rsid w:val="00D64741"/>
    <w:rsid w:val="00D648A6"/>
    <w:rsid w:val="00D64953"/>
    <w:rsid w:val="00D64E3F"/>
    <w:rsid w:val="00D64F30"/>
    <w:rsid w:val="00D65017"/>
    <w:rsid w:val="00D65117"/>
    <w:rsid w:val="00D65261"/>
    <w:rsid w:val="00D6544D"/>
    <w:rsid w:val="00D654F4"/>
    <w:rsid w:val="00D655A0"/>
    <w:rsid w:val="00D65D2B"/>
    <w:rsid w:val="00D65E90"/>
    <w:rsid w:val="00D65F5E"/>
    <w:rsid w:val="00D6635C"/>
    <w:rsid w:val="00D66607"/>
    <w:rsid w:val="00D66797"/>
    <w:rsid w:val="00D66A07"/>
    <w:rsid w:val="00D66DD7"/>
    <w:rsid w:val="00D6702A"/>
    <w:rsid w:val="00D67121"/>
    <w:rsid w:val="00D67706"/>
    <w:rsid w:val="00D677CE"/>
    <w:rsid w:val="00D67CC5"/>
    <w:rsid w:val="00D67E20"/>
    <w:rsid w:val="00D67E8C"/>
    <w:rsid w:val="00D67FF4"/>
    <w:rsid w:val="00D7037B"/>
    <w:rsid w:val="00D7038A"/>
    <w:rsid w:val="00D70506"/>
    <w:rsid w:val="00D70602"/>
    <w:rsid w:val="00D7067D"/>
    <w:rsid w:val="00D706D5"/>
    <w:rsid w:val="00D709FE"/>
    <w:rsid w:val="00D70B8B"/>
    <w:rsid w:val="00D70DFB"/>
    <w:rsid w:val="00D712E7"/>
    <w:rsid w:val="00D714B2"/>
    <w:rsid w:val="00D7166A"/>
    <w:rsid w:val="00D717C5"/>
    <w:rsid w:val="00D71ACD"/>
    <w:rsid w:val="00D71E74"/>
    <w:rsid w:val="00D720D8"/>
    <w:rsid w:val="00D72224"/>
    <w:rsid w:val="00D72934"/>
    <w:rsid w:val="00D72948"/>
    <w:rsid w:val="00D729A3"/>
    <w:rsid w:val="00D72B91"/>
    <w:rsid w:val="00D73086"/>
    <w:rsid w:val="00D731D9"/>
    <w:rsid w:val="00D73464"/>
    <w:rsid w:val="00D734A2"/>
    <w:rsid w:val="00D7361C"/>
    <w:rsid w:val="00D7379F"/>
    <w:rsid w:val="00D737F6"/>
    <w:rsid w:val="00D73A22"/>
    <w:rsid w:val="00D73AAE"/>
    <w:rsid w:val="00D73BA3"/>
    <w:rsid w:val="00D73C82"/>
    <w:rsid w:val="00D73ECF"/>
    <w:rsid w:val="00D74205"/>
    <w:rsid w:val="00D742AE"/>
    <w:rsid w:val="00D74598"/>
    <w:rsid w:val="00D7480E"/>
    <w:rsid w:val="00D74A01"/>
    <w:rsid w:val="00D74B23"/>
    <w:rsid w:val="00D75379"/>
    <w:rsid w:val="00D754CF"/>
    <w:rsid w:val="00D755A2"/>
    <w:rsid w:val="00D7564D"/>
    <w:rsid w:val="00D756D6"/>
    <w:rsid w:val="00D75752"/>
    <w:rsid w:val="00D758DA"/>
    <w:rsid w:val="00D75AB4"/>
    <w:rsid w:val="00D75C19"/>
    <w:rsid w:val="00D75CAE"/>
    <w:rsid w:val="00D75D35"/>
    <w:rsid w:val="00D75F39"/>
    <w:rsid w:val="00D76230"/>
    <w:rsid w:val="00D76611"/>
    <w:rsid w:val="00D76A48"/>
    <w:rsid w:val="00D76D4B"/>
    <w:rsid w:val="00D76DB3"/>
    <w:rsid w:val="00D76F2C"/>
    <w:rsid w:val="00D76F84"/>
    <w:rsid w:val="00D76FDB"/>
    <w:rsid w:val="00D772E1"/>
    <w:rsid w:val="00D774CB"/>
    <w:rsid w:val="00D77942"/>
    <w:rsid w:val="00D77B8C"/>
    <w:rsid w:val="00D77C44"/>
    <w:rsid w:val="00D80284"/>
    <w:rsid w:val="00D80A22"/>
    <w:rsid w:val="00D80AEA"/>
    <w:rsid w:val="00D80D24"/>
    <w:rsid w:val="00D80DEF"/>
    <w:rsid w:val="00D81173"/>
    <w:rsid w:val="00D811C6"/>
    <w:rsid w:val="00D81295"/>
    <w:rsid w:val="00D817EF"/>
    <w:rsid w:val="00D81808"/>
    <w:rsid w:val="00D8187C"/>
    <w:rsid w:val="00D8193E"/>
    <w:rsid w:val="00D81A7A"/>
    <w:rsid w:val="00D81AC4"/>
    <w:rsid w:val="00D81DBB"/>
    <w:rsid w:val="00D81F2E"/>
    <w:rsid w:val="00D8258B"/>
    <w:rsid w:val="00D826A2"/>
    <w:rsid w:val="00D82A0A"/>
    <w:rsid w:val="00D82FA5"/>
    <w:rsid w:val="00D830D3"/>
    <w:rsid w:val="00D836BF"/>
    <w:rsid w:val="00D83A0D"/>
    <w:rsid w:val="00D83D7B"/>
    <w:rsid w:val="00D83DFA"/>
    <w:rsid w:val="00D83EAD"/>
    <w:rsid w:val="00D8402F"/>
    <w:rsid w:val="00D84098"/>
    <w:rsid w:val="00D84550"/>
    <w:rsid w:val="00D8473A"/>
    <w:rsid w:val="00D84867"/>
    <w:rsid w:val="00D848A7"/>
    <w:rsid w:val="00D84FA1"/>
    <w:rsid w:val="00D85199"/>
    <w:rsid w:val="00D854B6"/>
    <w:rsid w:val="00D85557"/>
    <w:rsid w:val="00D85BE5"/>
    <w:rsid w:val="00D85FE5"/>
    <w:rsid w:val="00D85FFE"/>
    <w:rsid w:val="00D861B8"/>
    <w:rsid w:val="00D86493"/>
    <w:rsid w:val="00D864C0"/>
    <w:rsid w:val="00D865B6"/>
    <w:rsid w:val="00D86CA5"/>
    <w:rsid w:val="00D86DB3"/>
    <w:rsid w:val="00D86DD7"/>
    <w:rsid w:val="00D86E2E"/>
    <w:rsid w:val="00D86EAD"/>
    <w:rsid w:val="00D86FF5"/>
    <w:rsid w:val="00D87067"/>
    <w:rsid w:val="00D87098"/>
    <w:rsid w:val="00D870BC"/>
    <w:rsid w:val="00D87104"/>
    <w:rsid w:val="00D87238"/>
    <w:rsid w:val="00D872A8"/>
    <w:rsid w:val="00D873A7"/>
    <w:rsid w:val="00D8777D"/>
    <w:rsid w:val="00D87DFD"/>
    <w:rsid w:val="00D9008E"/>
    <w:rsid w:val="00D90328"/>
    <w:rsid w:val="00D9076D"/>
    <w:rsid w:val="00D907F8"/>
    <w:rsid w:val="00D9082D"/>
    <w:rsid w:val="00D90D04"/>
    <w:rsid w:val="00D90D4D"/>
    <w:rsid w:val="00D90D8D"/>
    <w:rsid w:val="00D90DC5"/>
    <w:rsid w:val="00D90ED1"/>
    <w:rsid w:val="00D91185"/>
    <w:rsid w:val="00D9134C"/>
    <w:rsid w:val="00D916F7"/>
    <w:rsid w:val="00D91720"/>
    <w:rsid w:val="00D919A1"/>
    <w:rsid w:val="00D91A20"/>
    <w:rsid w:val="00D91A58"/>
    <w:rsid w:val="00D91E81"/>
    <w:rsid w:val="00D91F33"/>
    <w:rsid w:val="00D9206F"/>
    <w:rsid w:val="00D92503"/>
    <w:rsid w:val="00D92899"/>
    <w:rsid w:val="00D92B34"/>
    <w:rsid w:val="00D9335D"/>
    <w:rsid w:val="00D9372A"/>
    <w:rsid w:val="00D937AB"/>
    <w:rsid w:val="00D93912"/>
    <w:rsid w:val="00D939E0"/>
    <w:rsid w:val="00D93A74"/>
    <w:rsid w:val="00D93D18"/>
    <w:rsid w:val="00D93E7E"/>
    <w:rsid w:val="00D93EB0"/>
    <w:rsid w:val="00D94286"/>
    <w:rsid w:val="00D942AB"/>
    <w:rsid w:val="00D94C81"/>
    <w:rsid w:val="00D94E64"/>
    <w:rsid w:val="00D94F9B"/>
    <w:rsid w:val="00D94FE9"/>
    <w:rsid w:val="00D952DB"/>
    <w:rsid w:val="00D95926"/>
    <w:rsid w:val="00D95BB3"/>
    <w:rsid w:val="00D95CD9"/>
    <w:rsid w:val="00D95ED1"/>
    <w:rsid w:val="00D96142"/>
    <w:rsid w:val="00D96576"/>
    <w:rsid w:val="00D96638"/>
    <w:rsid w:val="00D96997"/>
    <w:rsid w:val="00D96A84"/>
    <w:rsid w:val="00D96BEE"/>
    <w:rsid w:val="00D96CF8"/>
    <w:rsid w:val="00D96D39"/>
    <w:rsid w:val="00D96D41"/>
    <w:rsid w:val="00D96DDA"/>
    <w:rsid w:val="00D96E6C"/>
    <w:rsid w:val="00D96F87"/>
    <w:rsid w:val="00D96FD1"/>
    <w:rsid w:val="00D97051"/>
    <w:rsid w:val="00D97474"/>
    <w:rsid w:val="00D97632"/>
    <w:rsid w:val="00D97786"/>
    <w:rsid w:val="00D978F4"/>
    <w:rsid w:val="00D97A63"/>
    <w:rsid w:val="00D97ECB"/>
    <w:rsid w:val="00DA02AB"/>
    <w:rsid w:val="00DA0328"/>
    <w:rsid w:val="00DA0A2C"/>
    <w:rsid w:val="00DA0B7D"/>
    <w:rsid w:val="00DA0CE7"/>
    <w:rsid w:val="00DA0EA6"/>
    <w:rsid w:val="00DA0ED8"/>
    <w:rsid w:val="00DA0F43"/>
    <w:rsid w:val="00DA0F53"/>
    <w:rsid w:val="00DA1009"/>
    <w:rsid w:val="00DA1043"/>
    <w:rsid w:val="00DA128B"/>
    <w:rsid w:val="00DA1325"/>
    <w:rsid w:val="00DA1534"/>
    <w:rsid w:val="00DA15FA"/>
    <w:rsid w:val="00DA1681"/>
    <w:rsid w:val="00DA189A"/>
    <w:rsid w:val="00DA190C"/>
    <w:rsid w:val="00DA198F"/>
    <w:rsid w:val="00DA199F"/>
    <w:rsid w:val="00DA1A5E"/>
    <w:rsid w:val="00DA1B67"/>
    <w:rsid w:val="00DA1C43"/>
    <w:rsid w:val="00DA1D81"/>
    <w:rsid w:val="00DA1E87"/>
    <w:rsid w:val="00DA1EE4"/>
    <w:rsid w:val="00DA209B"/>
    <w:rsid w:val="00DA20D0"/>
    <w:rsid w:val="00DA21CD"/>
    <w:rsid w:val="00DA2462"/>
    <w:rsid w:val="00DA248C"/>
    <w:rsid w:val="00DA253C"/>
    <w:rsid w:val="00DA26FA"/>
    <w:rsid w:val="00DA27C1"/>
    <w:rsid w:val="00DA290C"/>
    <w:rsid w:val="00DA2D9F"/>
    <w:rsid w:val="00DA2E22"/>
    <w:rsid w:val="00DA334D"/>
    <w:rsid w:val="00DA33DA"/>
    <w:rsid w:val="00DA3522"/>
    <w:rsid w:val="00DA35A3"/>
    <w:rsid w:val="00DA3672"/>
    <w:rsid w:val="00DA3792"/>
    <w:rsid w:val="00DA3DDC"/>
    <w:rsid w:val="00DA3EA3"/>
    <w:rsid w:val="00DA40FD"/>
    <w:rsid w:val="00DA43FF"/>
    <w:rsid w:val="00DA46A2"/>
    <w:rsid w:val="00DA48CA"/>
    <w:rsid w:val="00DA4A92"/>
    <w:rsid w:val="00DA4B1B"/>
    <w:rsid w:val="00DA4C19"/>
    <w:rsid w:val="00DA4D96"/>
    <w:rsid w:val="00DA4DC6"/>
    <w:rsid w:val="00DA4F10"/>
    <w:rsid w:val="00DA4F21"/>
    <w:rsid w:val="00DA5173"/>
    <w:rsid w:val="00DA530C"/>
    <w:rsid w:val="00DA5734"/>
    <w:rsid w:val="00DA5906"/>
    <w:rsid w:val="00DA5E27"/>
    <w:rsid w:val="00DA65A7"/>
    <w:rsid w:val="00DA65D4"/>
    <w:rsid w:val="00DA66D7"/>
    <w:rsid w:val="00DA67AE"/>
    <w:rsid w:val="00DA6A02"/>
    <w:rsid w:val="00DA6A47"/>
    <w:rsid w:val="00DA6AA3"/>
    <w:rsid w:val="00DA6AB1"/>
    <w:rsid w:val="00DA6AC0"/>
    <w:rsid w:val="00DA6B89"/>
    <w:rsid w:val="00DA736D"/>
    <w:rsid w:val="00DA73F7"/>
    <w:rsid w:val="00DA7671"/>
    <w:rsid w:val="00DA79A5"/>
    <w:rsid w:val="00DA7DE4"/>
    <w:rsid w:val="00DA7EA3"/>
    <w:rsid w:val="00DB0113"/>
    <w:rsid w:val="00DB01FD"/>
    <w:rsid w:val="00DB0238"/>
    <w:rsid w:val="00DB0382"/>
    <w:rsid w:val="00DB062E"/>
    <w:rsid w:val="00DB0632"/>
    <w:rsid w:val="00DB0696"/>
    <w:rsid w:val="00DB0B3F"/>
    <w:rsid w:val="00DB0E0E"/>
    <w:rsid w:val="00DB0F67"/>
    <w:rsid w:val="00DB1111"/>
    <w:rsid w:val="00DB120C"/>
    <w:rsid w:val="00DB14DB"/>
    <w:rsid w:val="00DB161D"/>
    <w:rsid w:val="00DB17A5"/>
    <w:rsid w:val="00DB1D8E"/>
    <w:rsid w:val="00DB1EAC"/>
    <w:rsid w:val="00DB20B6"/>
    <w:rsid w:val="00DB20B9"/>
    <w:rsid w:val="00DB24AC"/>
    <w:rsid w:val="00DB24FD"/>
    <w:rsid w:val="00DB2847"/>
    <w:rsid w:val="00DB2D49"/>
    <w:rsid w:val="00DB3020"/>
    <w:rsid w:val="00DB3578"/>
    <w:rsid w:val="00DB371A"/>
    <w:rsid w:val="00DB372E"/>
    <w:rsid w:val="00DB399C"/>
    <w:rsid w:val="00DB39ED"/>
    <w:rsid w:val="00DB3C25"/>
    <w:rsid w:val="00DB3E2A"/>
    <w:rsid w:val="00DB3FE1"/>
    <w:rsid w:val="00DB40BF"/>
    <w:rsid w:val="00DB4173"/>
    <w:rsid w:val="00DB45F4"/>
    <w:rsid w:val="00DB4DD2"/>
    <w:rsid w:val="00DB5254"/>
    <w:rsid w:val="00DB52E7"/>
    <w:rsid w:val="00DB53D1"/>
    <w:rsid w:val="00DB584B"/>
    <w:rsid w:val="00DB5869"/>
    <w:rsid w:val="00DB5963"/>
    <w:rsid w:val="00DB5CE1"/>
    <w:rsid w:val="00DB5DA3"/>
    <w:rsid w:val="00DB5EC8"/>
    <w:rsid w:val="00DB5FCA"/>
    <w:rsid w:val="00DB6092"/>
    <w:rsid w:val="00DB60FA"/>
    <w:rsid w:val="00DB62F5"/>
    <w:rsid w:val="00DB6C82"/>
    <w:rsid w:val="00DB716B"/>
    <w:rsid w:val="00DB72C2"/>
    <w:rsid w:val="00DB73B1"/>
    <w:rsid w:val="00DB758A"/>
    <w:rsid w:val="00DB7737"/>
    <w:rsid w:val="00DB7D6A"/>
    <w:rsid w:val="00DC002C"/>
    <w:rsid w:val="00DC01DE"/>
    <w:rsid w:val="00DC03FD"/>
    <w:rsid w:val="00DC063B"/>
    <w:rsid w:val="00DC07C9"/>
    <w:rsid w:val="00DC101E"/>
    <w:rsid w:val="00DC128B"/>
    <w:rsid w:val="00DC13FC"/>
    <w:rsid w:val="00DC1594"/>
    <w:rsid w:val="00DC1E96"/>
    <w:rsid w:val="00DC23B4"/>
    <w:rsid w:val="00DC2411"/>
    <w:rsid w:val="00DC243F"/>
    <w:rsid w:val="00DC2475"/>
    <w:rsid w:val="00DC24FB"/>
    <w:rsid w:val="00DC2576"/>
    <w:rsid w:val="00DC25F2"/>
    <w:rsid w:val="00DC2678"/>
    <w:rsid w:val="00DC2866"/>
    <w:rsid w:val="00DC2A25"/>
    <w:rsid w:val="00DC2A6D"/>
    <w:rsid w:val="00DC2E0C"/>
    <w:rsid w:val="00DC2F38"/>
    <w:rsid w:val="00DC2FEA"/>
    <w:rsid w:val="00DC3012"/>
    <w:rsid w:val="00DC3054"/>
    <w:rsid w:val="00DC308A"/>
    <w:rsid w:val="00DC35E3"/>
    <w:rsid w:val="00DC3693"/>
    <w:rsid w:val="00DC3890"/>
    <w:rsid w:val="00DC3C13"/>
    <w:rsid w:val="00DC3CB6"/>
    <w:rsid w:val="00DC3E57"/>
    <w:rsid w:val="00DC3E5D"/>
    <w:rsid w:val="00DC41B6"/>
    <w:rsid w:val="00DC46E4"/>
    <w:rsid w:val="00DC479C"/>
    <w:rsid w:val="00DC4899"/>
    <w:rsid w:val="00DC48D7"/>
    <w:rsid w:val="00DC5025"/>
    <w:rsid w:val="00DC50B6"/>
    <w:rsid w:val="00DC5406"/>
    <w:rsid w:val="00DC554F"/>
    <w:rsid w:val="00DC587C"/>
    <w:rsid w:val="00DC58DC"/>
    <w:rsid w:val="00DC59F2"/>
    <w:rsid w:val="00DC5F95"/>
    <w:rsid w:val="00DC6023"/>
    <w:rsid w:val="00DC6050"/>
    <w:rsid w:val="00DC623E"/>
    <w:rsid w:val="00DC6487"/>
    <w:rsid w:val="00DC662E"/>
    <w:rsid w:val="00DC66DF"/>
    <w:rsid w:val="00DC6A5B"/>
    <w:rsid w:val="00DC6EBD"/>
    <w:rsid w:val="00DC728C"/>
    <w:rsid w:val="00DC7317"/>
    <w:rsid w:val="00DC7497"/>
    <w:rsid w:val="00DC7523"/>
    <w:rsid w:val="00DC7A76"/>
    <w:rsid w:val="00DC7AAA"/>
    <w:rsid w:val="00DC7B40"/>
    <w:rsid w:val="00DC7B49"/>
    <w:rsid w:val="00DC7C51"/>
    <w:rsid w:val="00DC7EFD"/>
    <w:rsid w:val="00DD000F"/>
    <w:rsid w:val="00DD0268"/>
    <w:rsid w:val="00DD03FE"/>
    <w:rsid w:val="00DD0429"/>
    <w:rsid w:val="00DD04CD"/>
    <w:rsid w:val="00DD057C"/>
    <w:rsid w:val="00DD0720"/>
    <w:rsid w:val="00DD0797"/>
    <w:rsid w:val="00DD0858"/>
    <w:rsid w:val="00DD0878"/>
    <w:rsid w:val="00DD0A61"/>
    <w:rsid w:val="00DD0BC2"/>
    <w:rsid w:val="00DD0E8B"/>
    <w:rsid w:val="00DD10D8"/>
    <w:rsid w:val="00DD10F5"/>
    <w:rsid w:val="00DD1408"/>
    <w:rsid w:val="00DD20EA"/>
    <w:rsid w:val="00DD262E"/>
    <w:rsid w:val="00DD2722"/>
    <w:rsid w:val="00DD2ACB"/>
    <w:rsid w:val="00DD2AD1"/>
    <w:rsid w:val="00DD2C3E"/>
    <w:rsid w:val="00DD2C49"/>
    <w:rsid w:val="00DD2DBF"/>
    <w:rsid w:val="00DD2DFA"/>
    <w:rsid w:val="00DD2F09"/>
    <w:rsid w:val="00DD330D"/>
    <w:rsid w:val="00DD376B"/>
    <w:rsid w:val="00DD3900"/>
    <w:rsid w:val="00DD3B70"/>
    <w:rsid w:val="00DD3C94"/>
    <w:rsid w:val="00DD3D1C"/>
    <w:rsid w:val="00DD4367"/>
    <w:rsid w:val="00DD443F"/>
    <w:rsid w:val="00DD4489"/>
    <w:rsid w:val="00DD4550"/>
    <w:rsid w:val="00DD45BA"/>
    <w:rsid w:val="00DD4F80"/>
    <w:rsid w:val="00DD511D"/>
    <w:rsid w:val="00DD518A"/>
    <w:rsid w:val="00DD51A1"/>
    <w:rsid w:val="00DD51B3"/>
    <w:rsid w:val="00DD5274"/>
    <w:rsid w:val="00DD5540"/>
    <w:rsid w:val="00DD56FD"/>
    <w:rsid w:val="00DD59C3"/>
    <w:rsid w:val="00DD5A67"/>
    <w:rsid w:val="00DD5C46"/>
    <w:rsid w:val="00DD5D28"/>
    <w:rsid w:val="00DD5D76"/>
    <w:rsid w:val="00DD605E"/>
    <w:rsid w:val="00DD6234"/>
    <w:rsid w:val="00DD624F"/>
    <w:rsid w:val="00DD62D5"/>
    <w:rsid w:val="00DD631F"/>
    <w:rsid w:val="00DD667A"/>
    <w:rsid w:val="00DD6684"/>
    <w:rsid w:val="00DD6A7C"/>
    <w:rsid w:val="00DD6BBF"/>
    <w:rsid w:val="00DD6BDB"/>
    <w:rsid w:val="00DD6F73"/>
    <w:rsid w:val="00DD73B5"/>
    <w:rsid w:val="00DD777D"/>
    <w:rsid w:val="00DD77A0"/>
    <w:rsid w:val="00DD77DC"/>
    <w:rsid w:val="00DD7C40"/>
    <w:rsid w:val="00DD7D9E"/>
    <w:rsid w:val="00DD7E46"/>
    <w:rsid w:val="00DE027E"/>
    <w:rsid w:val="00DE02AA"/>
    <w:rsid w:val="00DE037B"/>
    <w:rsid w:val="00DE061D"/>
    <w:rsid w:val="00DE0945"/>
    <w:rsid w:val="00DE0B37"/>
    <w:rsid w:val="00DE0FA7"/>
    <w:rsid w:val="00DE0FAB"/>
    <w:rsid w:val="00DE1111"/>
    <w:rsid w:val="00DE1421"/>
    <w:rsid w:val="00DE19FD"/>
    <w:rsid w:val="00DE1AA3"/>
    <w:rsid w:val="00DE24AF"/>
    <w:rsid w:val="00DE25B8"/>
    <w:rsid w:val="00DE2DB1"/>
    <w:rsid w:val="00DE35C5"/>
    <w:rsid w:val="00DE3660"/>
    <w:rsid w:val="00DE39D5"/>
    <w:rsid w:val="00DE410F"/>
    <w:rsid w:val="00DE411F"/>
    <w:rsid w:val="00DE4DFB"/>
    <w:rsid w:val="00DE4E8B"/>
    <w:rsid w:val="00DE4F4F"/>
    <w:rsid w:val="00DE4F97"/>
    <w:rsid w:val="00DE4FDB"/>
    <w:rsid w:val="00DE53F3"/>
    <w:rsid w:val="00DE554B"/>
    <w:rsid w:val="00DE580E"/>
    <w:rsid w:val="00DE589B"/>
    <w:rsid w:val="00DE5D40"/>
    <w:rsid w:val="00DE5FFF"/>
    <w:rsid w:val="00DE60BE"/>
    <w:rsid w:val="00DE6106"/>
    <w:rsid w:val="00DE6167"/>
    <w:rsid w:val="00DE61D2"/>
    <w:rsid w:val="00DE628E"/>
    <w:rsid w:val="00DE6766"/>
    <w:rsid w:val="00DE684D"/>
    <w:rsid w:val="00DE7072"/>
    <w:rsid w:val="00DE7136"/>
    <w:rsid w:val="00DE7496"/>
    <w:rsid w:val="00DE7786"/>
    <w:rsid w:val="00DE7DDE"/>
    <w:rsid w:val="00DF014B"/>
    <w:rsid w:val="00DF0177"/>
    <w:rsid w:val="00DF019D"/>
    <w:rsid w:val="00DF04EE"/>
    <w:rsid w:val="00DF068E"/>
    <w:rsid w:val="00DF09AC"/>
    <w:rsid w:val="00DF0B8D"/>
    <w:rsid w:val="00DF0EAD"/>
    <w:rsid w:val="00DF109F"/>
    <w:rsid w:val="00DF14CF"/>
    <w:rsid w:val="00DF14E1"/>
    <w:rsid w:val="00DF1627"/>
    <w:rsid w:val="00DF1A18"/>
    <w:rsid w:val="00DF1A7D"/>
    <w:rsid w:val="00DF1F01"/>
    <w:rsid w:val="00DF2108"/>
    <w:rsid w:val="00DF22DC"/>
    <w:rsid w:val="00DF2425"/>
    <w:rsid w:val="00DF3B1F"/>
    <w:rsid w:val="00DF3B5C"/>
    <w:rsid w:val="00DF3CD3"/>
    <w:rsid w:val="00DF408D"/>
    <w:rsid w:val="00DF411A"/>
    <w:rsid w:val="00DF440F"/>
    <w:rsid w:val="00DF452F"/>
    <w:rsid w:val="00DF4E92"/>
    <w:rsid w:val="00DF51E2"/>
    <w:rsid w:val="00DF5314"/>
    <w:rsid w:val="00DF568A"/>
    <w:rsid w:val="00DF5B0A"/>
    <w:rsid w:val="00DF5D33"/>
    <w:rsid w:val="00DF5D5D"/>
    <w:rsid w:val="00DF608D"/>
    <w:rsid w:val="00DF61D6"/>
    <w:rsid w:val="00DF627B"/>
    <w:rsid w:val="00DF649D"/>
    <w:rsid w:val="00DF6600"/>
    <w:rsid w:val="00DF661C"/>
    <w:rsid w:val="00DF6803"/>
    <w:rsid w:val="00DF6A6A"/>
    <w:rsid w:val="00DF6A82"/>
    <w:rsid w:val="00DF6BD6"/>
    <w:rsid w:val="00DF6FAF"/>
    <w:rsid w:val="00DF7450"/>
    <w:rsid w:val="00DF75D4"/>
    <w:rsid w:val="00DF7A10"/>
    <w:rsid w:val="00E001E2"/>
    <w:rsid w:val="00E0039C"/>
    <w:rsid w:val="00E00548"/>
    <w:rsid w:val="00E00549"/>
    <w:rsid w:val="00E00584"/>
    <w:rsid w:val="00E0059D"/>
    <w:rsid w:val="00E00AFF"/>
    <w:rsid w:val="00E01420"/>
    <w:rsid w:val="00E01588"/>
    <w:rsid w:val="00E017B0"/>
    <w:rsid w:val="00E02045"/>
    <w:rsid w:val="00E02227"/>
    <w:rsid w:val="00E02408"/>
    <w:rsid w:val="00E024B3"/>
    <w:rsid w:val="00E025D4"/>
    <w:rsid w:val="00E02A68"/>
    <w:rsid w:val="00E02D2A"/>
    <w:rsid w:val="00E02D7C"/>
    <w:rsid w:val="00E02D8A"/>
    <w:rsid w:val="00E02FB1"/>
    <w:rsid w:val="00E0310C"/>
    <w:rsid w:val="00E0350A"/>
    <w:rsid w:val="00E0375C"/>
    <w:rsid w:val="00E03792"/>
    <w:rsid w:val="00E038F4"/>
    <w:rsid w:val="00E03AA6"/>
    <w:rsid w:val="00E04191"/>
    <w:rsid w:val="00E042BD"/>
    <w:rsid w:val="00E0445E"/>
    <w:rsid w:val="00E045D1"/>
    <w:rsid w:val="00E04B48"/>
    <w:rsid w:val="00E04C66"/>
    <w:rsid w:val="00E04D73"/>
    <w:rsid w:val="00E04E8A"/>
    <w:rsid w:val="00E05328"/>
    <w:rsid w:val="00E056B7"/>
    <w:rsid w:val="00E057E7"/>
    <w:rsid w:val="00E0584D"/>
    <w:rsid w:val="00E05854"/>
    <w:rsid w:val="00E058ED"/>
    <w:rsid w:val="00E0593F"/>
    <w:rsid w:val="00E05B4B"/>
    <w:rsid w:val="00E05B68"/>
    <w:rsid w:val="00E05C19"/>
    <w:rsid w:val="00E05D72"/>
    <w:rsid w:val="00E06242"/>
    <w:rsid w:val="00E062AB"/>
    <w:rsid w:val="00E062C1"/>
    <w:rsid w:val="00E06579"/>
    <w:rsid w:val="00E06597"/>
    <w:rsid w:val="00E06A91"/>
    <w:rsid w:val="00E06E88"/>
    <w:rsid w:val="00E06F8E"/>
    <w:rsid w:val="00E07000"/>
    <w:rsid w:val="00E070A7"/>
    <w:rsid w:val="00E07127"/>
    <w:rsid w:val="00E0727B"/>
    <w:rsid w:val="00E0752D"/>
    <w:rsid w:val="00E076AC"/>
    <w:rsid w:val="00E07704"/>
    <w:rsid w:val="00E07770"/>
    <w:rsid w:val="00E0778C"/>
    <w:rsid w:val="00E078BA"/>
    <w:rsid w:val="00E078EB"/>
    <w:rsid w:val="00E079D6"/>
    <w:rsid w:val="00E07A41"/>
    <w:rsid w:val="00E07B0A"/>
    <w:rsid w:val="00E07B2E"/>
    <w:rsid w:val="00E07C81"/>
    <w:rsid w:val="00E07E1E"/>
    <w:rsid w:val="00E10560"/>
    <w:rsid w:val="00E106F2"/>
    <w:rsid w:val="00E1078C"/>
    <w:rsid w:val="00E107A6"/>
    <w:rsid w:val="00E1083C"/>
    <w:rsid w:val="00E10BD6"/>
    <w:rsid w:val="00E10BDA"/>
    <w:rsid w:val="00E10C87"/>
    <w:rsid w:val="00E10D56"/>
    <w:rsid w:val="00E11081"/>
    <w:rsid w:val="00E11113"/>
    <w:rsid w:val="00E11775"/>
    <w:rsid w:val="00E11843"/>
    <w:rsid w:val="00E11875"/>
    <w:rsid w:val="00E11DBC"/>
    <w:rsid w:val="00E11EFE"/>
    <w:rsid w:val="00E12355"/>
    <w:rsid w:val="00E12447"/>
    <w:rsid w:val="00E124F4"/>
    <w:rsid w:val="00E129E7"/>
    <w:rsid w:val="00E12D1A"/>
    <w:rsid w:val="00E131C7"/>
    <w:rsid w:val="00E1363C"/>
    <w:rsid w:val="00E13CCC"/>
    <w:rsid w:val="00E13CE0"/>
    <w:rsid w:val="00E1413C"/>
    <w:rsid w:val="00E14280"/>
    <w:rsid w:val="00E14852"/>
    <w:rsid w:val="00E149D1"/>
    <w:rsid w:val="00E14A72"/>
    <w:rsid w:val="00E14F77"/>
    <w:rsid w:val="00E15060"/>
    <w:rsid w:val="00E1506E"/>
    <w:rsid w:val="00E153EF"/>
    <w:rsid w:val="00E15464"/>
    <w:rsid w:val="00E157F4"/>
    <w:rsid w:val="00E159E1"/>
    <w:rsid w:val="00E16143"/>
    <w:rsid w:val="00E162FA"/>
    <w:rsid w:val="00E1670E"/>
    <w:rsid w:val="00E16ED6"/>
    <w:rsid w:val="00E16F40"/>
    <w:rsid w:val="00E16FDE"/>
    <w:rsid w:val="00E170B8"/>
    <w:rsid w:val="00E172BC"/>
    <w:rsid w:val="00E172ED"/>
    <w:rsid w:val="00E17477"/>
    <w:rsid w:val="00E17827"/>
    <w:rsid w:val="00E17D71"/>
    <w:rsid w:val="00E17DD9"/>
    <w:rsid w:val="00E2021A"/>
    <w:rsid w:val="00E20670"/>
    <w:rsid w:val="00E2087F"/>
    <w:rsid w:val="00E20945"/>
    <w:rsid w:val="00E20AA5"/>
    <w:rsid w:val="00E20B44"/>
    <w:rsid w:val="00E20D58"/>
    <w:rsid w:val="00E20E8E"/>
    <w:rsid w:val="00E20F47"/>
    <w:rsid w:val="00E2100C"/>
    <w:rsid w:val="00E2101E"/>
    <w:rsid w:val="00E211F1"/>
    <w:rsid w:val="00E2120C"/>
    <w:rsid w:val="00E215A3"/>
    <w:rsid w:val="00E2166B"/>
    <w:rsid w:val="00E216DD"/>
    <w:rsid w:val="00E21968"/>
    <w:rsid w:val="00E21AEF"/>
    <w:rsid w:val="00E21B18"/>
    <w:rsid w:val="00E227BE"/>
    <w:rsid w:val="00E22B6A"/>
    <w:rsid w:val="00E22BEF"/>
    <w:rsid w:val="00E23021"/>
    <w:rsid w:val="00E230CB"/>
    <w:rsid w:val="00E23485"/>
    <w:rsid w:val="00E236CE"/>
    <w:rsid w:val="00E23828"/>
    <w:rsid w:val="00E23966"/>
    <w:rsid w:val="00E23B9F"/>
    <w:rsid w:val="00E2419C"/>
    <w:rsid w:val="00E2447A"/>
    <w:rsid w:val="00E2494A"/>
    <w:rsid w:val="00E24F72"/>
    <w:rsid w:val="00E2509F"/>
    <w:rsid w:val="00E253C5"/>
    <w:rsid w:val="00E254A0"/>
    <w:rsid w:val="00E25ABF"/>
    <w:rsid w:val="00E25AD9"/>
    <w:rsid w:val="00E25CA9"/>
    <w:rsid w:val="00E25E3C"/>
    <w:rsid w:val="00E25EA3"/>
    <w:rsid w:val="00E263D7"/>
    <w:rsid w:val="00E2676D"/>
    <w:rsid w:val="00E26793"/>
    <w:rsid w:val="00E26A67"/>
    <w:rsid w:val="00E26CE0"/>
    <w:rsid w:val="00E26E35"/>
    <w:rsid w:val="00E26E41"/>
    <w:rsid w:val="00E26E6F"/>
    <w:rsid w:val="00E27196"/>
    <w:rsid w:val="00E27283"/>
    <w:rsid w:val="00E27382"/>
    <w:rsid w:val="00E274FF"/>
    <w:rsid w:val="00E27821"/>
    <w:rsid w:val="00E2790A"/>
    <w:rsid w:val="00E279F7"/>
    <w:rsid w:val="00E27B73"/>
    <w:rsid w:val="00E27B83"/>
    <w:rsid w:val="00E304FD"/>
    <w:rsid w:val="00E305C2"/>
    <w:rsid w:val="00E309F9"/>
    <w:rsid w:val="00E30CFE"/>
    <w:rsid w:val="00E30DFA"/>
    <w:rsid w:val="00E30FAC"/>
    <w:rsid w:val="00E3104A"/>
    <w:rsid w:val="00E311BB"/>
    <w:rsid w:val="00E3121E"/>
    <w:rsid w:val="00E31309"/>
    <w:rsid w:val="00E31397"/>
    <w:rsid w:val="00E313EF"/>
    <w:rsid w:val="00E315B1"/>
    <w:rsid w:val="00E318AC"/>
    <w:rsid w:val="00E319FC"/>
    <w:rsid w:val="00E31CC3"/>
    <w:rsid w:val="00E31F0F"/>
    <w:rsid w:val="00E32981"/>
    <w:rsid w:val="00E32A3D"/>
    <w:rsid w:val="00E32DDB"/>
    <w:rsid w:val="00E32DF6"/>
    <w:rsid w:val="00E32E34"/>
    <w:rsid w:val="00E32F25"/>
    <w:rsid w:val="00E32FC5"/>
    <w:rsid w:val="00E330B6"/>
    <w:rsid w:val="00E331EA"/>
    <w:rsid w:val="00E337D3"/>
    <w:rsid w:val="00E3396A"/>
    <w:rsid w:val="00E33A02"/>
    <w:rsid w:val="00E33B7B"/>
    <w:rsid w:val="00E33EA7"/>
    <w:rsid w:val="00E33EB6"/>
    <w:rsid w:val="00E341DC"/>
    <w:rsid w:val="00E341F5"/>
    <w:rsid w:val="00E342F6"/>
    <w:rsid w:val="00E344D0"/>
    <w:rsid w:val="00E3457F"/>
    <w:rsid w:val="00E346E3"/>
    <w:rsid w:val="00E35096"/>
    <w:rsid w:val="00E3530E"/>
    <w:rsid w:val="00E35409"/>
    <w:rsid w:val="00E3589F"/>
    <w:rsid w:val="00E35E03"/>
    <w:rsid w:val="00E35E3A"/>
    <w:rsid w:val="00E35F87"/>
    <w:rsid w:val="00E361EA"/>
    <w:rsid w:val="00E36540"/>
    <w:rsid w:val="00E36661"/>
    <w:rsid w:val="00E36825"/>
    <w:rsid w:val="00E36D96"/>
    <w:rsid w:val="00E36F68"/>
    <w:rsid w:val="00E36FBC"/>
    <w:rsid w:val="00E37303"/>
    <w:rsid w:val="00E3765C"/>
    <w:rsid w:val="00E376B8"/>
    <w:rsid w:val="00E37757"/>
    <w:rsid w:val="00E37795"/>
    <w:rsid w:val="00E37D30"/>
    <w:rsid w:val="00E37E80"/>
    <w:rsid w:val="00E37ECA"/>
    <w:rsid w:val="00E4007E"/>
    <w:rsid w:val="00E400D7"/>
    <w:rsid w:val="00E400ED"/>
    <w:rsid w:val="00E4027A"/>
    <w:rsid w:val="00E402B4"/>
    <w:rsid w:val="00E40579"/>
    <w:rsid w:val="00E408D2"/>
    <w:rsid w:val="00E40C6F"/>
    <w:rsid w:val="00E412B2"/>
    <w:rsid w:val="00E41371"/>
    <w:rsid w:val="00E416DE"/>
    <w:rsid w:val="00E41905"/>
    <w:rsid w:val="00E41B59"/>
    <w:rsid w:val="00E41D4C"/>
    <w:rsid w:val="00E41E29"/>
    <w:rsid w:val="00E424FA"/>
    <w:rsid w:val="00E42646"/>
    <w:rsid w:val="00E42E32"/>
    <w:rsid w:val="00E42E41"/>
    <w:rsid w:val="00E43242"/>
    <w:rsid w:val="00E43353"/>
    <w:rsid w:val="00E433F3"/>
    <w:rsid w:val="00E4347A"/>
    <w:rsid w:val="00E43823"/>
    <w:rsid w:val="00E43825"/>
    <w:rsid w:val="00E43B05"/>
    <w:rsid w:val="00E43C2C"/>
    <w:rsid w:val="00E43DC8"/>
    <w:rsid w:val="00E441F2"/>
    <w:rsid w:val="00E4431D"/>
    <w:rsid w:val="00E44338"/>
    <w:rsid w:val="00E446C8"/>
    <w:rsid w:val="00E449F9"/>
    <w:rsid w:val="00E45042"/>
    <w:rsid w:val="00E450BC"/>
    <w:rsid w:val="00E451ED"/>
    <w:rsid w:val="00E453BE"/>
    <w:rsid w:val="00E454CF"/>
    <w:rsid w:val="00E455FE"/>
    <w:rsid w:val="00E45679"/>
    <w:rsid w:val="00E45BA3"/>
    <w:rsid w:val="00E45C73"/>
    <w:rsid w:val="00E45E00"/>
    <w:rsid w:val="00E45E9A"/>
    <w:rsid w:val="00E45F58"/>
    <w:rsid w:val="00E46439"/>
    <w:rsid w:val="00E46501"/>
    <w:rsid w:val="00E4654A"/>
    <w:rsid w:val="00E4657C"/>
    <w:rsid w:val="00E4682E"/>
    <w:rsid w:val="00E46898"/>
    <w:rsid w:val="00E46A0C"/>
    <w:rsid w:val="00E474D2"/>
    <w:rsid w:val="00E475DA"/>
    <w:rsid w:val="00E47881"/>
    <w:rsid w:val="00E47AA4"/>
    <w:rsid w:val="00E47B48"/>
    <w:rsid w:val="00E47B9F"/>
    <w:rsid w:val="00E47BC4"/>
    <w:rsid w:val="00E47C1E"/>
    <w:rsid w:val="00E47D20"/>
    <w:rsid w:val="00E50065"/>
    <w:rsid w:val="00E5053F"/>
    <w:rsid w:val="00E50633"/>
    <w:rsid w:val="00E50A73"/>
    <w:rsid w:val="00E50C82"/>
    <w:rsid w:val="00E50D0D"/>
    <w:rsid w:val="00E50D94"/>
    <w:rsid w:val="00E50F28"/>
    <w:rsid w:val="00E50F89"/>
    <w:rsid w:val="00E5109D"/>
    <w:rsid w:val="00E51385"/>
    <w:rsid w:val="00E5179F"/>
    <w:rsid w:val="00E51B3E"/>
    <w:rsid w:val="00E51BA5"/>
    <w:rsid w:val="00E51C24"/>
    <w:rsid w:val="00E51D98"/>
    <w:rsid w:val="00E52015"/>
    <w:rsid w:val="00E5206D"/>
    <w:rsid w:val="00E520B7"/>
    <w:rsid w:val="00E5234E"/>
    <w:rsid w:val="00E52696"/>
    <w:rsid w:val="00E528C4"/>
    <w:rsid w:val="00E52B6F"/>
    <w:rsid w:val="00E52D83"/>
    <w:rsid w:val="00E52EDE"/>
    <w:rsid w:val="00E52F8D"/>
    <w:rsid w:val="00E53009"/>
    <w:rsid w:val="00E5328C"/>
    <w:rsid w:val="00E5331E"/>
    <w:rsid w:val="00E53465"/>
    <w:rsid w:val="00E53547"/>
    <w:rsid w:val="00E536DA"/>
    <w:rsid w:val="00E537F7"/>
    <w:rsid w:val="00E53841"/>
    <w:rsid w:val="00E53BA0"/>
    <w:rsid w:val="00E540CF"/>
    <w:rsid w:val="00E540DA"/>
    <w:rsid w:val="00E542F8"/>
    <w:rsid w:val="00E54500"/>
    <w:rsid w:val="00E54705"/>
    <w:rsid w:val="00E54711"/>
    <w:rsid w:val="00E54A1D"/>
    <w:rsid w:val="00E54D30"/>
    <w:rsid w:val="00E54F0D"/>
    <w:rsid w:val="00E5536F"/>
    <w:rsid w:val="00E554AA"/>
    <w:rsid w:val="00E558D1"/>
    <w:rsid w:val="00E55B35"/>
    <w:rsid w:val="00E55C16"/>
    <w:rsid w:val="00E55D0A"/>
    <w:rsid w:val="00E55DB8"/>
    <w:rsid w:val="00E55EBB"/>
    <w:rsid w:val="00E55FC8"/>
    <w:rsid w:val="00E56321"/>
    <w:rsid w:val="00E563C6"/>
    <w:rsid w:val="00E567AC"/>
    <w:rsid w:val="00E56849"/>
    <w:rsid w:val="00E56A99"/>
    <w:rsid w:val="00E56C3B"/>
    <w:rsid w:val="00E571D3"/>
    <w:rsid w:val="00E57410"/>
    <w:rsid w:val="00E574F1"/>
    <w:rsid w:val="00E5780A"/>
    <w:rsid w:val="00E57CAE"/>
    <w:rsid w:val="00E57F02"/>
    <w:rsid w:val="00E57F92"/>
    <w:rsid w:val="00E600EC"/>
    <w:rsid w:val="00E6019F"/>
    <w:rsid w:val="00E601FD"/>
    <w:rsid w:val="00E60398"/>
    <w:rsid w:val="00E60613"/>
    <w:rsid w:val="00E607EB"/>
    <w:rsid w:val="00E607F4"/>
    <w:rsid w:val="00E60B25"/>
    <w:rsid w:val="00E60DDD"/>
    <w:rsid w:val="00E610E1"/>
    <w:rsid w:val="00E61196"/>
    <w:rsid w:val="00E612B4"/>
    <w:rsid w:val="00E612D3"/>
    <w:rsid w:val="00E614F8"/>
    <w:rsid w:val="00E61616"/>
    <w:rsid w:val="00E61A8D"/>
    <w:rsid w:val="00E61F8A"/>
    <w:rsid w:val="00E620EC"/>
    <w:rsid w:val="00E6223B"/>
    <w:rsid w:val="00E62520"/>
    <w:rsid w:val="00E62C5E"/>
    <w:rsid w:val="00E62CE3"/>
    <w:rsid w:val="00E62FCA"/>
    <w:rsid w:val="00E6312E"/>
    <w:rsid w:val="00E6319D"/>
    <w:rsid w:val="00E633E8"/>
    <w:rsid w:val="00E6341E"/>
    <w:rsid w:val="00E6352C"/>
    <w:rsid w:val="00E6357A"/>
    <w:rsid w:val="00E6391F"/>
    <w:rsid w:val="00E63A92"/>
    <w:rsid w:val="00E63AF2"/>
    <w:rsid w:val="00E6407D"/>
    <w:rsid w:val="00E64474"/>
    <w:rsid w:val="00E64A49"/>
    <w:rsid w:val="00E64D4C"/>
    <w:rsid w:val="00E64E14"/>
    <w:rsid w:val="00E64EA0"/>
    <w:rsid w:val="00E64F77"/>
    <w:rsid w:val="00E659D7"/>
    <w:rsid w:val="00E65A29"/>
    <w:rsid w:val="00E65A37"/>
    <w:rsid w:val="00E65B28"/>
    <w:rsid w:val="00E65C2A"/>
    <w:rsid w:val="00E662CC"/>
    <w:rsid w:val="00E66476"/>
    <w:rsid w:val="00E6666A"/>
    <w:rsid w:val="00E666AD"/>
    <w:rsid w:val="00E66A87"/>
    <w:rsid w:val="00E66D61"/>
    <w:rsid w:val="00E66ED6"/>
    <w:rsid w:val="00E66FB9"/>
    <w:rsid w:val="00E67261"/>
    <w:rsid w:val="00E6777D"/>
    <w:rsid w:val="00E67B39"/>
    <w:rsid w:val="00E7013A"/>
    <w:rsid w:val="00E70328"/>
    <w:rsid w:val="00E7080D"/>
    <w:rsid w:val="00E7087E"/>
    <w:rsid w:val="00E70ADD"/>
    <w:rsid w:val="00E70B26"/>
    <w:rsid w:val="00E71087"/>
    <w:rsid w:val="00E712DA"/>
    <w:rsid w:val="00E7134A"/>
    <w:rsid w:val="00E714E8"/>
    <w:rsid w:val="00E715BA"/>
    <w:rsid w:val="00E71810"/>
    <w:rsid w:val="00E71960"/>
    <w:rsid w:val="00E71A4B"/>
    <w:rsid w:val="00E71EB4"/>
    <w:rsid w:val="00E720A7"/>
    <w:rsid w:val="00E720B2"/>
    <w:rsid w:val="00E72145"/>
    <w:rsid w:val="00E7220E"/>
    <w:rsid w:val="00E7237F"/>
    <w:rsid w:val="00E724C2"/>
    <w:rsid w:val="00E726AD"/>
    <w:rsid w:val="00E726CC"/>
    <w:rsid w:val="00E726DF"/>
    <w:rsid w:val="00E7294D"/>
    <w:rsid w:val="00E72A6F"/>
    <w:rsid w:val="00E72C5A"/>
    <w:rsid w:val="00E7301E"/>
    <w:rsid w:val="00E731A1"/>
    <w:rsid w:val="00E73234"/>
    <w:rsid w:val="00E73CAA"/>
    <w:rsid w:val="00E73E69"/>
    <w:rsid w:val="00E73E9F"/>
    <w:rsid w:val="00E73ECE"/>
    <w:rsid w:val="00E7419A"/>
    <w:rsid w:val="00E7424B"/>
    <w:rsid w:val="00E743EA"/>
    <w:rsid w:val="00E74509"/>
    <w:rsid w:val="00E7468B"/>
    <w:rsid w:val="00E7485A"/>
    <w:rsid w:val="00E749B7"/>
    <w:rsid w:val="00E74BA0"/>
    <w:rsid w:val="00E74BB7"/>
    <w:rsid w:val="00E74BBF"/>
    <w:rsid w:val="00E74EC6"/>
    <w:rsid w:val="00E74F3B"/>
    <w:rsid w:val="00E74FCF"/>
    <w:rsid w:val="00E75088"/>
    <w:rsid w:val="00E75318"/>
    <w:rsid w:val="00E75366"/>
    <w:rsid w:val="00E754CE"/>
    <w:rsid w:val="00E7556B"/>
    <w:rsid w:val="00E75718"/>
    <w:rsid w:val="00E757D9"/>
    <w:rsid w:val="00E75912"/>
    <w:rsid w:val="00E75E5F"/>
    <w:rsid w:val="00E75FC0"/>
    <w:rsid w:val="00E76345"/>
    <w:rsid w:val="00E763B8"/>
    <w:rsid w:val="00E763E6"/>
    <w:rsid w:val="00E76415"/>
    <w:rsid w:val="00E76546"/>
    <w:rsid w:val="00E767B8"/>
    <w:rsid w:val="00E76970"/>
    <w:rsid w:val="00E76998"/>
    <w:rsid w:val="00E76A43"/>
    <w:rsid w:val="00E76CF9"/>
    <w:rsid w:val="00E76E6A"/>
    <w:rsid w:val="00E76F9D"/>
    <w:rsid w:val="00E7725C"/>
    <w:rsid w:val="00E773EE"/>
    <w:rsid w:val="00E775A7"/>
    <w:rsid w:val="00E776AD"/>
    <w:rsid w:val="00E77BA5"/>
    <w:rsid w:val="00E77FFD"/>
    <w:rsid w:val="00E80078"/>
    <w:rsid w:val="00E80186"/>
    <w:rsid w:val="00E8018B"/>
    <w:rsid w:val="00E802BE"/>
    <w:rsid w:val="00E8032D"/>
    <w:rsid w:val="00E806D8"/>
    <w:rsid w:val="00E809E6"/>
    <w:rsid w:val="00E80A6A"/>
    <w:rsid w:val="00E80F32"/>
    <w:rsid w:val="00E80F6E"/>
    <w:rsid w:val="00E81609"/>
    <w:rsid w:val="00E8162D"/>
    <w:rsid w:val="00E81CA6"/>
    <w:rsid w:val="00E81CCB"/>
    <w:rsid w:val="00E81F11"/>
    <w:rsid w:val="00E822C0"/>
    <w:rsid w:val="00E8282B"/>
    <w:rsid w:val="00E82BB6"/>
    <w:rsid w:val="00E82D67"/>
    <w:rsid w:val="00E82D90"/>
    <w:rsid w:val="00E82DEB"/>
    <w:rsid w:val="00E83484"/>
    <w:rsid w:val="00E836B9"/>
    <w:rsid w:val="00E837D6"/>
    <w:rsid w:val="00E83884"/>
    <w:rsid w:val="00E8408B"/>
    <w:rsid w:val="00E844A5"/>
    <w:rsid w:val="00E84692"/>
    <w:rsid w:val="00E84847"/>
    <w:rsid w:val="00E84856"/>
    <w:rsid w:val="00E85037"/>
    <w:rsid w:val="00E85112"/>
    <w:rsid w:val="00E852EA"/>
    <w:rsid w:val="00E85386"/>
    <w:rsid w:val="00E85A06"/>
    <w:rsid w:val="00E85BF1"/>
    <w:rsid w:val="00E85F52"/>
    <w:rsid w:val="00E8608E"/>
    <w:rsid w:val="00E861FB"/>
    <w:rsid w:val="00E862D6"/>
    <w:rsid w:val="00E86628"/>
    <w:rsid w:val="00E8665E"/>
    <w:rsid w:val="00E86729"/>
    <w:rsid w:val="00E86B95"/>
    <w:rsid w:val="00E86DD2"/>
    <w:rsid w:val="00E870E7"/>
    <w:rsid w:val="00E87218"/>
    <w:rsid w:val="00E8725B"/>
    <w:rsid w:val="00E874F9"/>
    <w:rsid w:val="00E87525"/>
    <w:rsid w:val="00E876AF"/>
    <w:rsid w:val="00E879CF"/>
    <w:rsid w:val="00E87B81"/>
    <w:rsid w:val="00E87C78"/>
    <w:rsid w:val="00E87F3C"/>
    <w:rsid w:val="00E901C2"/>
    <w:rsid w:val="00E9036C"/>
    <w:rsid w:val="00E905AC"/>
    <w:rsid w:val="00E905ED"/>
    <w:rsid w:val="00E90638"/>
    <w:rsid w:val="00E9081F"/>
    <w:rsid w:val="00E90AEA"/>
    <w:rsid w:val="00E90D58"/>
    <w:rsid w:val="00E912F3"/>
    <w:rsid w:val="00E91550"/>
    <w:rsid w:val="00E915F9"/>
    <w:rsid w:val="00E919F6"/>
    <w:rsid w:val="00E91A1E"/>
    <w:rsid w:val="00E91A8C"/>
    <w:rsid w:val="00E91E67"/>
    <w:rsid w:val="00E921B5"/>
    <w:rsid w:val="00E9274D"/>
    <w:rsid w:val="00E9278E"/>
    <w:rsid w:val="00E9297B"/>
    <w:rsid w:val="00E92AEC"/>
    <w:rsid w:val="00E92D10"/>
    <w:rsid w:val="00E92D15"/>
    <w:rsid w:val="00E93303"/>
    <w:rsid w:val="00E934CE"/>
    <w:rsid w:val="00E934D2"/>
    <w:rsid w:val="00E93745"/>
    <w:rsid w:val="00E93BA9"/>
    <w:rsid w:val="00E93BE1"/>
    <w:rsid w:val="00E940A7"/>
    <w:rsid w:val="00E94241"/>
    <w:rsid w:val="00E94312"/>
    <w:rsid w:val="00E944F4"/>
    <w:rsid w:val="00E94591"/>
    <w:rsid w:val="00E949BC"/>
    <w:rsid w:val="00E94E1D"/>
    <w:rsid w:val="00E9512F"/>
    <w:rsid w:val="00E9525D"/>
    <w:rsid w:val="00E9557B"/>
    <w:rsid w:val="00E95774"/>
    <w:rsid w:val="00E95986"/>
    <w:rsid w:val="00E95D5B"/>
    <w:rsid w:val="00E95F03"/>
    <w:rsid w:val="00E95F37"/>
    <w:rsid w:val="00E95F8D"/>
    <w:rsid w:val="00E96535"/>
    <w:rsid w:val="00E96AE5"/>
    <w:rsid w:val="00E96DAD"/>
    <w:rsid w:val="00E96FC6"/>
    <w:rsid w:val="00E97201"/>
    <w:rsid w:val="00E97388"/>
    <w:rsid w:val="00E9754B"/>
    <w:rsid w:val="00E9799C"/>
    <w:rsid w:val="00E979DB"/>
    <w:rsid w:val="00E97A22"/>
    <w:rsid w:val="00E97BFC"/>
    <w:rsid w:val="00E97D1B"/>
    <w:rsid w:val="00E97D37"/>
    <w:rsid w:val="00E97F07"/>
    <w:rsid w:val="00E97F86"/>
    <w:rsid w:val="00EA003A"/>
    <w:rsid w:val="00EA03F8"/>
    <w:rsid w:val="00EA05C2"/>
    <w:rsid w:val="00EA0A12"/>
    <w:rsid w:val="00EA0A52"/>
    <w:rsid w:val="00EA0AC9"/>
    <w:rsid w:val="00EA0D08"/>
    <w:rsid w:val="00EA11DF"/>
    <w:rsid w:val="00EA13C3"/>
    <w:rsid w:val="00EA1588"/>
    <w:rsid w:val="00EA159D"/>
    <w:rsid w:val="00EA1947"/>
    <w:rsid w:val="00EA19FE"/>
    <w:rsid w:val="00EA1A62"/>
    <w:rsid w:val="00EA1C11"/>
    <w:rsid w:val="00EA209F"/>
    <w:rsid w:val="00EA228D"/>
    <w:rsid w:val="00EA22A5"/>
    <w:rsid w:val="00EA24AF"/>
    <w:rsid w:val="00EA257B"/>
    <w:rsid w:val="00EA2876"/>
    <w:rsid w:val="00EA2881"/>
    <w:rsid w:val="00EA2A1A"/>
    <w:rsid w:val="00EA2A41"/>
    <w:rsid w:val="00EA2AA3"/>
    <w:rsid w:val="00EA2D26"/>
    <w:rsid w:val="00EA32DE"/>
    <w:rsid w:val="00EA33C9"/>
    <w:rsid w:val="00EA3C19"/>
    <w:rsid w:val="00EA3E2C"/>
    <w:rsid w:val="00EA403C"/>
    <w:rsid w:val="00EA4105"/>
    <w:rsid w:val="00EA4210"/>
    <w:rsid w:val="00EA4381"/>
    <w:rsid w:val="00EA43CA"/>
    <w:rsid w:val="00EA4788"/>
    <w:rsid w:val="00EA4987"/>
    <w:rsid w:val="00EA4C6C"/>
    <w:rsid w:val="00EA531A"/>
    <w:rsid w:val="00EA5453"/>
    <w:rsid w:val="00EA56B8"/>
    <w:rsid w:val="00EA5A4A"/>
    <w:rsid w:val="00EA5C63"/>
    <w:rsid w:val="00EA5D83"/>
    <w:rsid w:val="00EA60DB"/>
    <w:rsid w:val="00EA61E6"/>
    <w:rsid w:val="00EA67EB"/>
    <w:rsid w:val="00EA6934"/>
    <w:rsid w:val="00EA6CE2"/>
    <w:rsid w:val="00EA6FC5"/>
    <w:rsid w:val="00EA6FD0"/>
    <w:rsid w:val="00EA75F6"/>
    <w:rsid w:val="00EA7740"/>
    <w:rsid w:val="00EA77BF"/>
    <w:rsid w:val="00EA7861"/>
    <w:rsid w:val="00EA7902"/>
    <w:rsid w:val="00EA7D4B"/>
    <w:rsid w:val="00EA7DD4"/>
    <w:rsid w:val="00EA7E3F"/>
    <w:rsid w:val="00EA7FE2"/>
    <w:rsid w:val="00EB00DD"/>
    <w:rsid w:val="00EB016E"/>
    <w:rsid w:val="00EB0294"/>
    <w:rsid w:val="00EB037A"/>
    <w:rsid w:val="00EB0ADC"/>
    <w:rsid w:val="00EB0CFA"/>
    <w:rsid w:val="00EB0DD0"/>
    <w:rsid w:val="00EB0E3A"/>
    <w:rsid w:val="00EB0EA2"/>
    <w:rsid w:val="00EB0FE0"/>
    <w:rsid w:val="00EB1866"/>
    <w:rsid w:val="00EB1BE7"/>
    <w:rsid w:val="00EB230D"/>
    <w:rsid w:val="00EB2352"/>
    <w:rsid w:val="00EB23C5"/>
    <w:rsid w:val="00EB247E"/>
    <w:rsid w:val="00EB2480"/>
    <w:rsid w:val="00EB25A3"/>
    <w:rsid w:val="00EB25CD"/>
    <w:rsid w:val="00EB280C"/>
    <w:rsid w:val="00EB320B"/>
    <w:rsid w:val="00EB3336"/>
    <w:rsid w:val="00EB3722"/>
    <w:rsid w:val="00EB377B"/>
    <w:rsid w:val="00EB3789"/>
    <w:rsid w:val="00EB3F67"/>
    <w:rsid w:val="00EB4110"/>
    <w:rsid w:val="00EB428E"/>
    <w:rsid w:val="00EB48D8"/>
    <w:rsid w:val="00EB4AF3"/>
    <w:rsid w:val="00EB4BD2"/>
    <w:rsid w:val="00EB4FBB"/>
    <w:rsid w:val="00EB5481"/>
    <w:rsid w:val="00EB54FC"/>
    <w:rsid w:val="00EB58E0"/>
    <w:rsid w:val="00EB5A11"/>
    <w:rsid w:val="00EB5CC1"/>
    <w:rsid w:val="00EB5D18"/>
    <w:rsid w:val="00EB5E23"/>
    <w:rsid w:val="00EB6787"/>
    <w:rsid w:val="00EB67C6"/>
    <w:rsid w:val="00EB6836"/>
    <w:rsid w:val="00EB691B"/>
    <w:rsid w:val="00EB6E0E"/>
    <w:rsid w:val="00EB76A2"/>
    <w:rsid w:val="00EB79EA"/>
    <w:rsid w:val="00EB7EB1"/>
    <w:rsid w:val="00EB7F25"/>
    <w:rsid w:val="00EC0208"/>
    <w:rsid w:val="00EC0271"/>
    <w:rsid w:val="00EC02B6"/>
    <w:rsid w:val="00EC03F0"/>
    <w:rsid w:val="00EC079A"/>
    <w:rsid w:val="00EC0D3D"/>
    <w:rsid w:val="00EC1394"/>
    <w:rsid w:val="00EC1435"/>
    <w:rsid w:val="00EC163D"/>
    <w:rsid w:val="00EC1710"/>
    <w:rsid w:val="00EC1715"/>
    <w:rsid w:val="00EC1A69"/>
    <w:rsid w:val="00EC1AFB"/>
    <w:rsid w:val="00EC1F9E"/>
    <w:rsid w:val="00EC21BB"/>
    <w:rsid w:val="00EC220C"/>
    <w:rsid w:val="00EC2413"/>
    <w:rsid w:val="00EC25FF"/>
    <w:rsid w:val="00EC27AF"/>
    <w:rsid w:val="00EC2AA5"/>
    <w:rsid w:val="00EC2BD3"/>
    <w:rsid w:val="00EC2C5E"/>
    <w:rsid w:val="00EC2D8F"/>
    <w:rsid w:val="00EC2DF1"/>
    <w:rsid w:val="00EC31CD"/>
    <w:rsid w:val="00EC3357"/>
    <w:rsid w:val="00EC39BB"/>
    <w:rsid w:val="00EC4176"/>
    <w:rsid w:val="00EC42B8"/>
    <w:rsid w:val="00EC4761"/>
    <w:rsid w:val="00EC4819"/>
    <w:rsid w:val="00EC4989"/>
    <w:rsid w:val="00EC4A23"/>
    <w:rsid w:val="00EC4AED"/>
    <w:rsid w:val="00EC4CD2"/>
    <w:rsid w:val="00EC4CF3"/>
    <w:rsid w:val="00EC4E69"/>
    <w:rsid w:val="00EC4ED5"/>
    <w:rsid w:val="00EC4EF9"/>
    <w:rsid w:val="00EC4FC4"/>
    <w:rsid w:val="00EC5521"/>
    <w:rsid w:val="00EC5816"/>
    <w:rsid w:val="00EC5B97"/>
    <w:rsid w:val="00EC5D35"/>
    <w:rsid w:val="00EC5DB6"/>
    <w:rsid w:val="00EC617D"/>
    <w:rsid w:val="00EC62D1"/>
    <w:rsid w:val="00EC6364"/>
    <w:rsid w:val="00EC6416"/>
    <w:rsid w:val="00EC676B"/>
    <w:rsid w:val="00EC6967"/>
    <w:rsid w:val="00EC696D"/>
    <w:rsid w:val="00EC6E07"/>
    <w:rsid w:val="00EC706B"/>
    <w:rsid w:val="00EC735A"/>
    <w:rsid w:val="00EC742E"/>
    <w:rsid w:val="00EC75A1"/>
    <w:rsid w:val="00EC7B81"/>
    <w:rsid w:val="00EC7B8E"/>
    <w:rsid w:val="00EC7D6F"/>
    <w:rsid w:val="00ED0161"/>
    <w:rsid w:val="00ED01A9"/>
    <w:rsid w:val="00ED04CF"/>
    <w:rsid w:val="00ED0736"/>
    <w:rsid w:val="00ED078F"/>
    <w:rsid w:val="00ED07F1"/>
    <w:rsid w:val="00ED088D"/>
    <w:rsid w:val="00ED08A2"/>
    <w:rsid w:val="00ED0E5A"/>
    <w:rsid w:val="00ED127E"/>
    <w:rsid w:val="00ED12A3"/>
    <w:rsid w:val="00ED15C5"/>
    <w:rsid w:val="00ED194B"/>
    <w:rsid w:val="00ED195B"/>
    <w:rsid w:val="00ED1B98"/>
    <w:rsid w:val="00ED1BB4"/>
    <w:rsid w:val="00ED1BD9"/>
    <w:rsid w:val="00ED1D16"/>
    <w:rsid w:val="00ED1DF2"/>
    <w:rsid w:val="00ED1E1B"/>
    <w:rsid w:val="00ED20B0"/>
    <w:rsid w:val="00ED21C2"/>
    <w:rsid w:val="00ED2767"/>
    <w:rsid w:val="00ED27FD"/>
    <w:rsid w:val="00ED2AFB"/>
    <w:rsid w:val="00ED2BCE"/>
    <w:rsid w:val="00ED2D79"/>
    <w:rsid w:val="00ED2E86"/>
    <w:rsid w:val="00ED2F2F"/>
    <w:rsid w:val="00ED3304"/>
    <w:rsid w:val="00ED3A27"/>
    <w:rsid w:val="00ED3E27"/>
    <w:rsid w:val="00ED402D"/>
    <w:rsid w:val="00ED4349"/>
    <w:rsid w:val="00ED441F"/>
    <w:rsid w:val="00ED46DD"/>
    <w:rsid w:val="00ED47AC"/>
    <w:rsid w:val="00ED47C1"/>
    <w:rsid w:val="00ED47C6"/>
    <w:rsid w:val="00ED47FA"/>
    <w:rsid w:val="00ED491A"/>
    <w:rsid w:val="00ED4AAE"/>
    <w:rsid w:val="00ED503A"/>
    <w:rsid w:val="00ED5183"/>
    <w:rsid w:val="00ED5342"/>
    <w:rsid w:val="00ED543A"/>
    <w:rsid w:val="00ED5717"/>
    <w:rsid w:val="00ED571C"/>
    <w:rsid w:val="00ED5796"/>
    <w:rsid w:val="00ED5803"/>
    <w:rsid w:val="00ED58CC"/>
    <w:rsid w:val="00ED5A06"/>
    <w:rsid w:val="00ED6346"/>
    <w:rsid w:val="00ED6771"/>
    <w:rsid w:val="00ED68BF"/>
    <w:rsid w:val="00ED6C9E"/>
    <w:rsid w:val="00ED6E82"/>
    <w:rsid w:val="00ED6EBC"/>
    <w:rsid w:val="00ED7295"/>
    <w:rsid w:val="00ED72B1"/>
    <w:rsid w:val="00ED73DF"/>
    <w:rsid w:val="00ED73E5"/>
    <w:rsid w:val="00ED7492"/>
    <w:rsid w:val="00ED76DD"/>
    <w:rsid w:val="00ED78BA"/>
    <w:rsid w:val="00ED78D6"/>
    <w:rsid w:val="00ED7BD1"/>
    <w:rsid w:val="00ED7FE4"/>
    <w:rsid w:val="00EE0140"/>
    <w:rsid w:val="00EE0518"/>
    <w:rsid w:val="00EE0567"/>
    <w:rsid w:val="00EE0570"/>
    <w:rsid w:val="00EE05DE"/>
    <w:rsid w:val="00EE073E"/>
    <w:rsid w:val="00EE0866"/>
    <w:rsid w:val="00EE0AD0"/>
    <w:rsid w:val="00EE0C69"/>
    <w:rsid w:val="00EE0EB3"/>
    <w:rsid w:val="00EE0EEF"/>
    <w:rsid w:val="00EE142C"/>
    <w:rsid w:val="00EE1650"/>
    <w:rsid w:val="00EE1B30"/>
    <w:rsid w:val="00EE204A"/>
    <w:rsid w:val="00EE20B1"/>
    <w:rsid w:val="00EE27DE"/>
    <w:rsid w:val="00EE2AD7"/>
    <w:rsid w:val="00EE2D4B"/>
    <w:rsid w:val="00EE2D90"/>
    <w:rsid w:val="00EE30D0"/>
    <w:rsid w:val="00EE3318"/>
    <w:rsid w:val="00EE41CE"/>
    <w:rsid w:val="00EE46DA"/>
    <w:rsid w:val="00EE4C54"/>
    <w:rsid w:val="00EE4D4E"/>
    <w:rsid w:val="00EE52C6"/>
    <w:rsid w:val="00EE55D5"/>
    <w:rsid w:val="00EE58E8"/>
    <w:rsid w:val="00EE5E05"/>
    <w:rsid w:val="00EE6311"/>
    <w:rsid w:val="00EE6732"/>
    <w:rsid w:val="00EE6989"/>
    <w:rsid w:val="00EE6D87"/>
    <w:rsid w:val="00EE6E0A"/>
    <w:rsid w:val="00EE7097"/>
    <w:rsid w:val="00EE74E0"/>
    <w:rsid w:val="00EE75F9"/>
    <w:rsid w:val="00EE75FD"/>
    <w:rsid w:val="00EE7684"/>
    <w:rsid w:val="00EE783C"/>
    <w:rsid w:val="00EE7A50"/>
    <w:rsid w:val="00EE7DCA"/>
    <w:rsid w:val="00EE7ED6"/>
    <w:rsid w:val="00EF0182"/>
    <w:rsid w:val="00EF03EE"/>
    <w:rsid w:val="00EF05F1"/>
    <w:rsid w:val="00EF0993"/>
    <w:rsid w:val="00EF0AFE"/>
    <w:rsid w:val="00EF0C7A"/>
    <w:rsid w:val="00EF1130"/>
    <w:rsid w:val="00EF1186"/>
    <w:rsid w:val="00EF14C7"/>
    <w:rsid w:val="00EF162A"/>
    <w:rsid w:val="00EF1923"/>
    <w:rsid w:val="00EF19AE"/>
    <w:rsid w:val="00EF1DA6"/>
    <w:rsid w:val="00EF2191"/>
    <w:rsid w:val="00EF239B"/>
    <w:rsid w:val="00EF2687"/>
    <w:rsid w:val="00EF29AE"/>
    <w:rsid w:val="00EF2EDB"/>
    <w:rsid w:val="00EF307A"/>
    <w:rsid w:val="00EF30B4"/>
    <w:rsid w:val="00EF31CA"/>
    <w:rsid w:val="00EF3258"/>
    <w:rsid w:val="00EF359E"/>
    <w:rsid w:val="00EF35A8"/>
    <w:rsid w:val="00EF3A79"/>
    <w:rsid w:val="00EF3B88"/>
    <w:rsid w:val="00EF3C0B"/>
    <w:rsid w:val="00EF3E04"/>
    <w:rsid w:val="00EF428C"/>
    <w:rsid w:val="00EF43C4"/>
    <w:rsid w:val="00EF453D"/>
    <w:rsid w:val="00EF48F7"/>
    <w:rsid w:val="00EF4B78"/>
    <w:rsid w:val="00EF4E94"/>
    <w:rsid w:val="00EF5340"/>
    <w:rsid w:val="00EF547A"/>
    <w:rsid w:val="00EF5515"/>
    <w:rsid w:val="00EF5713"/>
    <w:rsid w:val="00EF599F"/>
    <w:rsid w:val="00EF5DF0"/>
    <w:rsid w:val="00EF6098"/>
    <w:rsid w:val="00EF645C"/>
    <w:rsid w:val="00EF6495"/>
    <w:rsid w:val="00EF64A7"/>
    <w:rsid w:val="00EF659D"/>
    <w:rsid w:val="00EF6D24"/>
    <w:rsid w:val="00EF7011"/>
    <w:rsid w:val="00EF70A1"/>
    <w:rsid w:val="00EF719C"/>
    <w:rsid w:val="00EF729B"/>
    <w:rsid w:val="00EF7382"/>
    <w:rsid w:val="00EF748E"/>
    <w:rsid w:val="00EF7503"/>
    <w:rsid w:val="00EF76FF"/>
    <w:rsid w:val="00EF7AD7"/>
    <w:rsid w:val="00EF7B70"/>
    <w:rsid w:val="00EF7BB6"/>
    <w:rsid w:val="00F0054D"/>
    <w:rsid w:val="00F005F1"/>
    <w:rsid w:val="00F009BA"/>
    <w:rsid w:val="00F00C0C"/>
    <w:rsid w:val="00F00CD5"/>
    <w:rsid w:val="00F00E29"/>
    <w:rsid w:val="00F00E69"/>
    <w:rsid w:val="00F010A0"/>
    <w:rsid w:val="00F0147B"/>
    <w:rsid w:val="00F014DD"/>
    <w:rsid w:val="00F01638"/>
    <w:rsid w:val="00F01F00"/>
    <w:rsid w:val="00F01F36"/>
    <w:rsid w:val="00F01F39"/>
    <w:rsid w:val="00F0213F"/>
    <w:rsid w:val="00F02247"/>
    <w:rsid w:val="00F0227D"/>
    <w:rsid w:val="00F02367"/>
    <w:rsid w:val="00F023D3"/>
    <w:rsid w:val="00F0246C"/>
    <w:rsid w:val="00F02910"/>
    <w:rsid w:val="00F0296E"/>
    <w:rsid w:val="00F02A7E"/>
    <w:rsid w:val="00F02AFB"/>
    <w:rsid w:val="00F02E66"/>
    <w:rsid w:val="00F02E6A"/>
    <w:rsid w:val="00F02E94"/>
    <w:rsid w:val="00F02F2E"/>
    <w:rsid w:val="00F0304B"/>
    <w:rsid w:val="00F03675"/>
    <w:rsid w:val="00F0391C"/>
    <w:rsid w:val="00F03C0F"/>
    <w:rsid w:val="00F0407E"/>
    <w:rsid w:val="00F04099"/>
    <w:rsid w:val="00F041BD"/>
    <w:rsid w:val="00F0422A"/>
    <w:rsid w:val="00F04444"/>
    <w:rsid w:val="00F0487A"/>
    <w:rsid w:val="00F048F5"/>
    <w:rsid w:val="00F04B1C"/>
    <w:rsid w:val="00F04DB0"/>
    <w:rsid w:val="00F05035"/>
    <w:rsid w:val="00F05244"/>
    <w:rsid w:val="00F052B1"/>
    <w:rsid w:val="00F0531F"/>
    <w:rsid w:val="00F05387"/>
    <w:rsid w:val="00F0581F"/>
    <w:rsid w:val="00F059BB"/>
    <w:rsid w:val="00F05AD1"/>
    <w:rsid w:val="00F0618F"/>
    <w:rsid w:val="00F06229"/>
    <w:rsid w:val="00F0634E"/>
    <w:rsid w:val="00F06395"/>
    <w:rsid w:val="00F06943"/>
    <w:rsid w:val="00F069C8"/>
    <w:rsid w:val="00F069FF"/>
    <w:rsid w:val="00F06E8C"/>
    <w:rsid w:val="00F06EE4"/>
    <w:rsid w:val="00F070E8"/>
    <w:rsid w:val="00F07314"/>
    <w:rsid w:val="00F07643"/>
    <w:rsid w:val="00F07673"/>
    <w:rsid w:val="00F076BB"/>
    <w:rsid w:val="00F07896"/>
    <w:rsid w:val="00F07ACB"/>
    <w:rsid w:val="00F07B99"/>
    <w:rsid w:val="00F07D8B"/>
    <w:rsid w:val="00F101B8"/>
    <w:rsid w:val="00F101BD"/>
    <w:rsid w:val="00F10247"/>
    <w:rsid w:val="00F102C4"/>
    <w:rsid w:val="00F10528"/>
    <w:rsid w:val="00F10740"/>
    <w:rsid w:val="00F1076E"/>
    <w:rsid w:val="00F10C93"/>
    <w:rsid w:val="00F10C98"/>
    <w:rsid w:val="00F11442"/>
    <w:rsid w:val="00F114A2"/>
    <w:rsid w:val="00F114C5"/>
    <w:rsid w:val="00F11516"/>
    <w:rsid w:val="00F11E2D"/>
    <w:rsid w:val="00F11F08"/>
    <w:rsid w:val="00F12146"/>
    <w:rsid w:val="00F12635"/>
    <w:rsid w:val="00F12648"/>
    <w:rsid w:val="00F126BB"/>
    <w:rsid w:val="00F12E6F"/>
    <w:rsid w:val="00F12EE1"/>
    <w:rsid w:val="00F1308A"/>
    <w:rsid w:val="00F1309D"/>
    <w:rsid w:val="00F13121"/>
    <w:rsid w:val="00F134EC"/>
    <w:rsid w:val="00F1350E"/>
    <w:rsid w:val="00F135B6"/>
    <w:rsid w:val="00F139CA"/>
    <w:rsid w:val="00F13D2A"/>
    <w:rsid w:val="00F13E42"/>
    <w:rsid w:val="00F13E57"/>
    <w:rsid w:val="00F1401F"/>
    <w:rsid w:val="00F1425D"/>
    <w:rsid w:val="00F14377"/>
    <w:rsid w:val="00F14640"/>
    <w:rsid w:val="00F1468E"/>
    <w:rsid w:val="00F1477D"/>
    <w:rsid w:val="00F1487B"/>
    <w:rsid w:val="00F14909"/>
    <w:rsid w:val="00F149BC"/>
    <w:rsid w:val="00F14B30"/>
    <w:rsid w:val="00F14DB0"/>
    <w:rsid w:val="00F14F0A"/>
    <w:rsid w:val="00F15306"/>
    <w:rsid w:val="00F154E0"/>
    <w:rsid w:val="00F156B7"/>
    <w:rsid w:val="00F157B1"/>
    <w:rsid w:val="00F158FE"/>
    <w:rsid w:val="00F15992"/>
    <w:rsid w:val="00F15B92"/>
    <w:rsid w:val="00F15C2A"/>
    <w:rsid w:val="00F15E9D"/>
    <w:rsid w:val="00F15F3D"/>
    <w:rsid w:val="00F16014"/>
    <w:rsid w:val="00F16282"/>
    <w:rsid w:val="00F162DB"/>
    <w:rsid w:val="00F168C7"/>
    <w:rsid w:val="00F16961"/>
    <w:rsid w:val="00F16A3A"/>
    <w:rsid w:val="00F16CBC"/>
    <w:rsid w:val="00F16F14"/>
    <w:rsid w:val="00F17444"/>
    <w:rsid w:val="00F174A2"/>
    <w:rsid w:val="00F17657"/>
    <w:rsid w:val="00F17776"/>
    <w:rsid w:val="00F17B5F"/>
    <w:rsid w:val="00F17C19"/>
    <w:rsid w:val="00F17D79"/>
    <w:rsid w:val="00F17DB3"/>
    <w:rsid w:val="00F17F28"/>
    <w:rsid w:val="00F17FEC"/>
    <w:rsid w:val="00F20315"/>
    <w:rsid w:val="00F2041D"/>
    <w:rsid w:val="00F20434"/>
    <w:rsid w:val="00F2047D"/>
    <w:rsid w:val="00F212AC"/>
    <w:rsid w:val="00F213B1"/>
    <w:rsid w:val="00F215B2"/>
    <w:rsid w:val="00F21602"/>
    <w:rsid w:val="00F21968"/>
    <w:rsid w:val="00F21A7D"/>
    <w:rsid w:val="00F21E0E"/>
    <w:rsid w:val="00F21FC6"/>
    <w:rsid w:val="00F22040"/>
    <w:rsid w:val="00F22260"/>
    <w:rsid w:val="00F223AB"/>
    <w:rsid w:val="00F22649"/>
    <w:rsid w:val="00F22701"/>
    <w:rsid w:val="00F22857"/>
    <w:rsid w:val="00F228F3"/>
    <w:rsid w:val="00F22AD4"/>
    <w:rsid w:val="00F2346D"/>
    <w:rsid w:val="00F235FA"/>
    <w:rsid w:val="00F23703"/>
    <w:rsid w:val="00F23B44"/>
    <w:rsid w:val="00F23D54"/>
    <w:rsid w:val="00F23E21"/>
    <w:rsid w:val="00F2406E"/>
    <w:rsid w:val="00F24353"/>
    <w:rsid w:val="00F24659"/>
    <w:rsid w:val="00F24757"/>
    <w:rsid w:val="00F247D6"/>
    <w:rsid w:val="00F24828"/>
    <w:rsid w:val="00F248EC"/>
    <w:rsid w:val="00F24926"/>
    <w:rsid w:val="00F24C5F"/>
    <w:rsid w:val="00F25132"/>
    <w:rsid w:val="00F25179"/>
    <w:rsid w:val="00F251BC"/>
    <w:rsid w:val="00F251CC"/>
    <w:rsid w:val="00F252D9"/>
    <w:rsid w:val="00F25606"/>
    <w:rsid w:val="00F256BF"/>
    <w:rsid w:val="00F257ED"/>
    <w:rsid w:val="00F259E2"/>
    <w:rsid w:val="00F25E2B"/>
    <w:rsid w:val="00F25FDB"/>
    <w:rsid w:val="00F26011"/>
    <w:rsid w:val="00F26168"/>
    <w:rsid w:val="00F261C9"/>
    <w:rsid w:val="00F2640F"/>
    <w:rsid w:val="00F2652B"/>
    <w:rsid w:val="00F26649"/>
    <w:rsid w:val="00F26893"/>
    <w:rsid w:val="00F269BE"/>
    <w:rsid w:val="00F269D3"/>
    <w:rsid w:val="00F26B5F"/>
    <w:rsid w:val="00F26BB6"/>
    <w:rsid w:val="00F26E8F"/>
    <w:rsid w:val="00F26E9A"/>
    <w:rsid w:val="00F2701D"/>
    <w:rsid w:val="00F2701E"/>
    <w:rsid w:val="00F27091"/>
    <w:rsid w:val="00F2746A"/>
    <w:rsid w:val="00F274FC"/>
    <w:rsid w:val="00F27597"/>
    <w:rsid w:val="00F27834"/>
    <w:rsid w:val="00F27A4E"/>
    <w:rsid w:val="00F27C51"/>
    <w:rsid w:val="00F3006D"/>
    <w:rsid w:val="00F3057E"/>
    <w:rsid w:val="00F307EC"/>
    <w:rsid w:val="00F30812"/>
    <w:rsid w:val="00F30851"/>
    <w:rsid w:val="00F30974"/>
    <w:rsid w:val="00F30AFC"/>
    <w:rsid w:val="00F30DBB"/>
    <w:rsid w:val="00F31658"/>
    <w:rsid w:val="00F31C2A"/>
    <w:rsid w:val="00F31F84"/>
    <w:rsid w:val="00F322C1"/>
    <w:rsid w:val="00F32720"/>
    <w:rsid w:val="00F32D12"/>
    <w:rsid w:val="00F32D92"/>
    <w:rsid w:val="00F32DD4"/>
    <w:rsid w:val="00F32F8F"/>
    <w:rsid w:val="00F333A9"/>
    <w:rsid w:val="00F33494"/>
    <w:rsid w:val="00F3369E"/>
    <w:rsid w:val="00F338E7"/>
    <w:rsid w:val="00F33A84"/>
    <w:rsid w:val="00F33DE4"/>
    <w:rsid w:val="00F33F3B"/>
    <w:rsid w:val="00F343BB"/>
    <w:rsid w:val="00F34490"/>
    <w:rsid w:val="00F3454D"/>
    <w:rsid w:val="00F34B26"/>
    <w:rsid w:val="00F3504A"/>
    <w:rsid w:val="00F350CB"/>
    <w:rsid w:val="00F351C4"/>
    <w:rsid w:val="00F355B5"/>
    <w:rsid w:val="00F3570D"/>
    <w:rsid w:val="00F35730"/>
    <w:rsid w:val="00F35997"/>
    <w:rsid w:val="00F35C33"/>
    <w:rsid w:val="00F35D76"/>
    <w:rsid w:val="00F35DE8"/>
    <w:rsid w:val="00F35E50"/>
    <w:rsid w:val="00F35F99"/>
    <w:rsid w:val="00F3610E"/>
    <w:rsid w:val="00F36247"/>
    <w:rsid w:val="00F36396"/>
    <w:rsid w:val="00F36527"/>
    <w:rsid w:val="00F3653D"/>
    <w:rsid w:val="00F367D3"/>
    <w:rsid w:val="00F36956"/>
    <w:rsid w:val="00F36BB0"/>
    <w:rsid w:val="00F36BCF"/>
    <w:rsid w:val="00F36CBB"/>
    <w:rsid w:val="00F36CDD"/>
    <w:rsid w:val="00F36D8E"/>
    <w:rsid w:val="00F36E07"/>
    <w:rsid w:val="00F3747F"/>
    <w:rsid w:val="00F37726"/>
    <w:rsid w:val="00F404B7"/>
    <w:rsid w:val="00F40915"/>
    <w:rsid w:val="00F40AF7"/>
    <w:rsid w:val="00F40BA7"/>
    <w:rsid w:val="00F40BB5"/>
    <w:rsid w:val="00F40CBB"/>
    <w:rsid w:val="00F40E38"/>
    <w:rsid w:val="00F40F62"/>
    <w:rsid w:val="00F41087"/>
    <w:rsid w:val="00F4126A"/>
    <w:rsid w:val="00F413EC"/>
    <w:rsid w:val="00F41543"/>
    <w:rsid w:val="00F418A6"/>
    <w:rsid w:val="00F41A53"/>
    <w:rsid w:val="00F41F3F"/>
    <w:rsid w:val="00F41FE1"/>
    <w:rsid w:val="00F4211D"/>
    <w:rsid w:val="00F422A5"/>
    <w:rsid w:val="00F422C8"/>
    <w:rsid w:val="00F422F7"/>
    <w:rsid w:val="00F42605"/>
    <w:rsid w:val="00F429E6"/>
    <w:rsid w:val="00F42B49"/>
    <w:rsid w:val="00F42CC1"/>
    <w:rsid w:val="00F42CC9"/>
    <w:rsid w:val="00F42DEA"/>
    <w:rsid w:val="00F42FC3"/>
    <w:rsid w:val="00F42FF9"/>
    <w:rsid w:val="00F43258"/>
    <w:rsid w:val="00F43377"/>
    <w:rsid w:val="00F439D9"/>
    <w:rsid w:val="00F43EEF"/>
    <w:rsid w:val="00F44540"/>
    <w:rsid w:val="00F446B9"/>
    <w:rsid w:val="00F448F9"/>
    <w:rsid w:val="00F44B08"/>
    <w:rsid w:val="00F44BBA"/>
    <w:rsid w:val="00F44F0D"/>
    <w:rsid w:val="00F45655"/>
    <w:rsid w:val="00F45790"/>
    <w:rsid w:val="00F45B19"/>
    <w:rsid w:val="00F45CC3"/>
    <w:rsid w:val="00F45E14"/>
    <w:rsid w:val="00F45F03"/>
    <w:rsid w:val="00F45F08"/>
    <w:rsid w:val="00F46067"/>
    <w:rsid w:val="00F4610E"/>
    <w:rsid w:val="00F46253"/>
    <w:rsid w:val="00F465CE"/>
    <w:rsid w:val="00F4665A"/>
    <w:rsid w:val="00F46BF3"/>
    <w:rsid w:val="00F46CC9"/>
    <w:rsid w:val="00F47195"/>
    <w:rsid w:val="00F473F3"/>
    <w:rsid w:val="00F474A1"/>
    <w:rsid w:val="00F474B5"/>
    <w:rsid w:val="00F47744"/>
    <w:rsid w:val="00F47766"/>
    <w:rsid w:val="00F47A22"/>
    <w:rsid w:val="00F47AE8"/>
    <w:rsid w:val="00F47B13"/>
    <w:rsid w:val="00F47BD9"/>
    <w:rsid w:val="00F47FC5"/>
    <w:rsid w:val="00F50049"/>
    <w:rsid w:val="00F502C1"/>
    <w:rsid w:val="00F5047F"/>
    <w:rsid w:val="00F505F4"/>
    <w:rsid w:val="00F5069D"/>
    <w:rsid w:val="00F50767"/>
    <w:rsid w:val="00F508DF"/>
    <w:rsid w:val="00F509F9"/>
    <w:rsid w:val="00F50CB6"/>
    <w:rsid w:val="00F50CEE"/>
    <w:rsid w:val="00F50D08"/>
    <w:rsid w:val="00F50E6A"/>
    <w:rsid w:val="00F51272"/>
    <w:rsid w:val="00F515E4"/>
    <w:rsid w:val="00F5186D"/>
    <w:rsid w:val="00F518D6"/>
    <w:rsid w:val="00F51BEE"/>
    <w:rsid w:val="00F51D76"/>
    <w:rsid w:val="00F51F0F"/>
    <w:rsid w:val="00F524F8"/>
    <w:rsid w:val="00F526FA"/>
    <w:rsid w:val="00F527EB"/>
    <w:rsid w:val="00F53035"/>
    <w:rsid w:val="00F530E7"/>
    <w:rsid w:val="00F53318"/>
    <w:rsid w:val="00F533D2"/>
    <w:rsid w:val="00F5350A"/>
    <w:rsid w:val="00F538F4"/>
    <w:rsid w:val="00F53A5E"/>
    <w:rsid w:val="00F53C39"/>
    <w:rsid w:val="00F53C72"/>
    <w:rsid w:val="00F53CD7"/>
    <w:rsid w:val="00F53D88"/>
    <w:rsid w:val="00F53DEE"/>
    <w:rsid w:val="00F53F7F"/>
    <w:rsid w:val="00F5400F"/>
    <w:rsid w:val="00F5409A"/>
    <w:rsid w:val="00F54438"/>
    <w:rsid w:val="00F5461B"/>
    <w:rsid w:val="00F54710"/>
    <w:rsid w:val="00F54743"/>
    <w:rsid w:val="00F54750"/>
    <w:rsid w:val="00F5499C"/>
    <w:rsid w:val="00F54B3A"/>
    <w:rsid w:val="00F54CB8"/>
    <w:rsid w:val="00F54D0A"/>
    <w:rsid w:val="00F5515C"/>
    <w:rsid w:val="00F553E4"/>
    <w:rsid w:val="00F55453"/>
    <w:rsid w:val="00F55736"/>
    <w:rsid w:val="00F55814"/>
    <w:rsid w:val="00F559AA"/>
    <w:rsid w:val="00F55C08"/>
    <w:rsid w:val="00F55C27"/>
    <w:rsid w:val="00F55CB1"/>
    <w:rsid w:val="00F56079"/>
    <w:rsid w:val="00F560CA"/>
    <w:rsid w:val="00F562AB"/>
    <w:rsid w:val="00F565C7"/>
    <w:rsid w:val="00F56627"/>
    <w:rsid w:val="00F5679C"/>
    <w:rsid w:val="00F5689A"/>
    <w:rsid w:val="00F56B6C"/>
    <w:rsid w:val="00F56DE3"/>
    <w:rsid w:val="00F56F5B"/>
    <w:rsid w:val="00F570F0"/>
    <w:rsid w:val="00F57106"/>
    <w:rsid w:val="00F57139"/>
    <w:rsid w:val="00F57AD0"/>
    <w:rsid w:val="00F57B03"/>
    <w:rsid w:val="00F6015B"/>
    <w:rsid w:val="00F601CD"/>
    <w:rsid w:val="00F6068F"/>
    <w:rsid w:val="00F61481"/>
    <w:rsid w:val="00F6155D"/>
    <w:rsid w:val="00F61815"/>
    <w:rsid w:val="00F61845"/>
    <w:rsid w:val="00F61B16"/>
    <w:rsid w:val="00F61DDE"/>
    <w:rsid w:val="00F61F4B"/>
    <w:rsid w:val="00F62274"/>
    <w:rsid w:val="00F62646"/>
    <w:rsid w:val="00F62788"/>
    <w:rsid w:val="00F627BD"/>
    <w:rsid w:val="00F62887"/>
    <w:rsid w:val="00F629AE"/>
    <w:rsid w:val="00F6338B"/>
    <w:rsid w:val="00F63416"/>
    <w:rsid w:val="00F63CE8"/>
    <w:rsid w:val="00F6414A"/>
    <w:rsid w:val="00F64388"/>
    <w:rsid w:val="00F64396"/>
    <w:rsid w:val="00F6448D"/>
    <w:rsid w:val="00F64875"/>
    <w:rsid w:val="00F6489C"/>
    <w:rsid w:val="00F64BA5"/>
    <w:rsid w:val="00F64DA7"/>
    <w:rsid w:val="00F64DF7"/>
    <w:rsid w:val="00F64F42"/>
    <w:rsid w:val="00F64FDC"/>
    <w:rsid w:val="00F651B8"/>
    <w:rsid w:val="00F65245"/>
    <w:rsid w:val="00F6525E"/>
    <w:rsid w:val="00F65559"/>
    <w:rsid w:val="00F65DFC"/>
    <w:rsid w:val="00F66128"/>
    <w:rsid w:val="00F66129"/>
    <w:rsid w:val="00F661A4"/>
    <w:rsid w:val="00F66596"/>
    <w:rsid w:val="00F667AB"/>
    <w:rsid w:val="00F66880"/>
    <w:rsid w:val="00F66904"/>
    <w:rsid w:val="00F66BDE"/>
    <w:rsid w:val="00F66D89"/>
    <w:rsid w:val="00F66EA4"/>
    <w:rsid w:val="00F66F0A"/>
    <w:rsid w:val="00F66FC9"/>
    <w:rsid w:val="00F670AF"/>
    <w:rsid w:val="00F676A1"/>
    <w:rsid w:val="00F67727"/>
    <w:rsid w:val="00F67854"/>
    <w:rsid w:val="00F67BAA"/>
    <w:rsid w:val="00F67D15"/>
    <w:rsid w:val="00F67E84"/>
    <w:rsid w:val="00F67EAE"/>
    <w:rsid w:val="00F67FCC"/>
    <w:rsid w:val="00F702D8"/>
    <w:rsid w:val="00F704FE"/>
    <w:rsid w:val="00F705E2"/>
    <w:rsid w:val="00F70B51"/>
    <w:rsid w:val="00F70CC4"/>
    <w:rsid w:val="00F70E04"/>
    <w:rsid w:val="00F70F8A"/>
    <w:rsid w:val="00F71145"/>
    <w:rsid w:val="00F712C3"/>
    <w:rsid w:val="00F71C58"/>
    <w:rsid w:val="00F71E07"/>
    <w:rsid w:val="00F72089"/>
    <w:rsid w:val="00F72446"/>
    <w:rsid w:val="00F72699"/>
    <w:rsid w:val="00F72810"/>
    <w:rsid w:val="00F72C23"/>
    <w:rsid w:val="00F72F6F"/>
    <w:rsid w:val="00F73126"/>
    <w:rsid w:val="00F73142"/>
    <w:rsid w:val="00F73366"/>
    <w:rsid w:val="00F733EA"/>
    <w:rsid w:val="00F73512"/>
    <w:rsid w:val="00F73752"/>
    <w:rsid w:val="00F74287"/>
    <w:rsid w:val="00F743AB"/>
    <w:rsid w:val="00F743E0"/>
    <w:rsid w:val="00F74631"/>
    <w:rsid w:val="00F74850"/>
    <w:rsid w:val="00F74854"/>
    <w:rsid w:val="00F74CF2"/>
    <w:rsid w:val="00F74EFE"/>
    <w:rsid w:val="00F74F26"/>
    <w:rsid w:val="00F75043"/>
    <w:rsid w:val="00F75273"/>
    <w:rsid w:val="00F753F7"/>
    <w:rsid w:val="00F754BE"/>
    <w:rsid w:val="00F75516"/>
    <w:rsid w:val="00F755D3"/>
    <w:rsid w:val="00F75620"/>
    <w:rsid w:val="00F7563B"/>
    <w:rsid w:val="00F75677"/>
    <w:rsid w:val="00F75692"/>
    <w:rsid w:val="00F75842"/>
    <w:rsid w:val="00F75D2E"/>
    <w:rsid w:val="00F75F4A"/>
    <w:rsid w:val="00F76167"/>
    <w:rsid w:val="00F761AF"/>
    <w:rsid w:val="00F762E9"/>
    <w:rsid w:val="00F76599"/>
    <w:rsid w:val="00F76624"/>
    <w:rsid w:val="00F76B2B"/>
    <w:rsid w:val="00F76F09"/>
    <w:rsid w:val="00F77147"/>
    <w:rsid w:val="00F7718D"/>
    <w:rsid w:val="00F773D4"/>
    <w:rsid w:val="00F773FE"/>
    <w:rsid w:val="00F775D1"/>
    <w:rsid w:val="00F77951"/>
    <w:rsid w:val="00F779D5"/>
    <w:rsid w:val="00F77C51"/>
    <w:rsid w:val="00F77EAF"/>
    <w:rsid w:val="00F800C5"/>
    <w:rsid w:val="00F8016E"/>
    <w:rsid w:val="00F80D82"/>
    <w:rsid w:val="00F80DE4"/>
    <w:rsid w:val="00F80E35"/>
    <w:rsid w:val="00F81076"/>
    <w:rsid w:val="00F8108C"/>
    <w:rsid w:val="00F81502"/>
    <w:rsid w:val="00F81C75"/>
    <w:rsid w:val="00F82294"/>
    <w:rsid w:val="00F8248C"/>
    <w:rsid w:val="00F82795"/>
    <w:rsid w:val="00F829D2"/>
    <w:rsid w:val="00F82FC3"/>
    <w:rsid w:val="00F8319D"/>
    <w:rsid w:val="00F83353"/>
    <w:rsid w:val="00F83B1E"/>
    <w:rsid w:val="00F83B27"/>
    <w:rsid w:val="00F842B7"/>
    <w:rsid w:val="00F844C4"/>
    <w:rsid w:val="00F8482F"/>
    <w:rsid w:val="00F849D7"/>
    <w:rsid w:val="00F84AE3"/>
    <w:rsid w:val="00F84C9D"/>
    <w:rsid w:val="00F84D52"/>
    <w:rsid w:val="00F85009"/>
    <w:rsid w:val="00F851A5"/>
    <w:rsid w:val="00F8532B"/>
    <w:rsid w:val="00F857A4"/>
    <w:rsid w:val="00F857ED"/>
    <w:rsid w:val="00F858DB"/>
    <w:rsid w:val="00F8595E"/>
    <w:rsid w:val="00F85FAC"/>
    <w:rsid w:val="00F86182"/>
    <w:rsid w:val="00F863E1"/>
    <w:rsid w:val="00F8689C"/>
    <w:rsid w:val="00F86A38"/>
    <w:rsid w:val="00F86BDB"/>
    <w:rsid w:val="00F86D33"/>
    <w:rsid w:val="00F86D53"/>
    <w:rsid w:val="00F86FDA"/>
    <w:rsid w:val="00F86FF7"/>
    <w:rsid w:val="00F8732D"/>
    <w:rsid w:val="00F875DD"/>
    <w:rsid w:val="00F87AAC"/>
    <w:rsid w:val="00F87C29"/>
    <w:rsid w:val="00F87D5B"/>
    <w:rsid w:val="00F90038"/>
    <w:rsid w:val="00F90065"/>
    <w:rsid w:val="00F90162"/>
    <w:rsid w:val="00F904EC"/>
    <w:rsid w:val="00F90827"/>
    <w:rsid w:val="00F90976"/>
    <w:rsid w:val="00F90A52"/>
    <w:rsid w:val="00F90C7E"/>
    <w:rsid w:val="00F90D36"/>
    <w:rsid w:val="00F91923"/>
    <w:rsid w:val="00F919D7"/>
    <w:rsid w:val="00F91BE5"/>
    <w:rsid w:val="00F91D38"/>
    <w:rsid w:val="00F925AB"/>
    <w:rsid w:val="00F92A34"/>
    <w:rsid w:val="00F92ADE"/>
    <w:rsid w:val="00F92B9A"/>
    <w:rsid w:val="00F92BEC"/>
    <w:rsid w:val="00F9317E"/>
    <w:rsid w:val="00F93796"/>
    <w:rsid w:val="00F937A7"/>
    <w:rsid w:val="00F938CB"/>
    <w:rsid w:val="00F939AD"/>
    <w:rsid w:val="00F93BF5"/>
    <w:rsid w:val="00F94001"/>
    <w:rsid w:val="00F941AA"/>
    <w:rsid w:val="00F94384"/>
    <w:rsid w:val="00F943B3"/>
    <w:rsid w:val="00F943FA"/>
    <w:rsid w:val="00F94427"/>
    <w:rsid w:val="00F94464"/>
    <w:rsid w:val="00F9452E"/>
    <w:rsid w:val="00F946D2"/>
    <w:rsid w:val="00F9487D"/>
    <w:rsid w:val="00F94A0E"/>
    <w:rsid w:val="00F94A28"/>
    <w:rsid w:val="00F94A8C"/>
    <w:rsid w:val="00F94AC6"/>
    <w:rsid w:val="00F94B6E"/>
    <w:rsid w:val="00F94D54"/>
    <w:rsid w:val="00F94F4E"/>
    <w:rsid w:val="00F94FD1"/>
    <w:rsid w:val="00F9504E"/>
    <w:rsid w:val="00F952E4"/>
    <w:rsid w:val="00F95486"/>
    <w:rsid w:val="00F9550B"/>
    <w:rsid w:val="00F956B7"/>
    <w:rsid w:val="00F95B89"/>
    <w:rsid w:val="00F95DBD"/>
    <w:rsid w:val="00F95F53"/>
    <w:rsid w:val="00F9601C"/>
    <w:rsid w:val="00F96554"/>
    <w:rsid w:val="00F96818"/>
    <w:rsid w:val="00F96A4B"/>
    <w:rsid w:val="00F96A4E"/>
    <w:rsid w:val="00F96A77"/>
    <w:rsid w:val="00F96BDF"/>
    <w:rsid w:val="00F96EDE"/>
    <w:rsid w:val="00F9706A"/>
    <w:rsid w:val="00F973EA"/>
    <w:rsid w:val="00F974FD"/>
    <w:rsid w:val="00F978BD"/>
    <w:rsid w:val="00F97B32"/>
    <w:rsid w:val="00F97B60"/>
    <w:rsid w:val="00F97DBA"/>
    <w:rsid w:val="00F97E88"/>
    <w:rsid w:val="00FA0498"/>
    <w:rsid w:val="00FA04E8"/>
    <w:rsid w:val="00FA05B0"/>
    <w:rsid w:val="00FA085D"/>
    <w:rsid w:val="00FA0CFD"/>
    <w:rsid w:val="00FA0E9A"/>
    <w:rsid w:val="00FA10D1"/>
    <w:rsid w:val="00FA10D3"/>
    <w:rsid w:val="00FA12FB"/>
    <w:rsid w:val="00FA159F"/>
    <w:rsid w:val="00FA1608"/>
    <w:rsid w:val="00FA1DFA"/>
    <w:rsid w:val="00FA1E86"/>
    <w:rsid w:val="00FA2355"/>
    <w:rsid w:val="00FA2412"/>
    <w:rsid w:val="00FA245B"/>
    <w:rsid w:val="00FA260C"/>
    <w:rsid w:val="00FA28B7"/>
    <w:rsid w:val="00FA29F6"/>
    <w:rsid w:val="00FA2C57"/>
    <w:rsid w:val="00FA3235"/>
    <w:rsid w:val="00FA345E"/>
    <w:rsid w:val="00FA3479"/>
    <w:rsid w:val="00FA3624"/>
    <w:rsid w:val="00FA37B8"/>
    <w:rsid w:val="00FA3B62"/>
    <w:rsid w:val="00FA3D83"/>
    <w:rsid w:val="00FA3DC3"/>
    <w:rsid w:val="00FA3E47"/>
    <w:rsid w:val="00FA3F30"/>
    <w:rsid w:val="00FA40EF"/>
    <w:rsid w:val="00FA4133"/>
    <w:rsid w:val="00FA43A1"/>
    <w:rsid w:val="00FA45BB"/>
    <w:rsid w:val="00FA4634"/>
    <w:rsid w:val="00FA4A71"/>
    <w:rsid w:val="00FA4CF3"/>
    <w:rsid w:val="00FA4EA3"/>
    <w:rsid w:val="00FA5154"/>
    <w:rsid w:val="00FA51C1"/>
    <w:rsid w:val="00FA52BB"/>
    <w:rsid w:val="00FA55FB"/>
    <w:rsid w:val="00FA5ADF"/>
    <w:rsid w:val="00FA5B65"/>
    <w:rsid w:val="00FA5BEE"/>
    <w:rsid w:val="00FA5E34"/>
    <w:rsid w:val="00FA5E3B"/>
    <w:rsid w:val="00FA5F7F"/>
    <w:rsid w:val="00FA6025"/>
    <w:rsid w:val="00FA6581"/>
    <w:rsid w:val="00FA69CE"/>
    <w:rsid w:val="00FA6B41"/>
    <w:rsid w:val="00FA6C62"/>
    <w:rsid w:val="00FA6CD3"/>
    <w:rsid w:val="00FA7131"/>
    <w:rsid w:val="00FA715E"/>
    <w:rsid w:val="00FA723A"/>
    <w:rsid w:val="00FA7997"/>
    <w:rsid w:val="00FA7B2A"/>
    <w:rsid w:val="00FA7B40"/>
    <w:rsid w:val="00FA7E56"/>
    <w:rsid w:val="00FA7FE2"/>
    <w:rsid w:val="00FB010F"/>
    <w:rsid w:val="00FB0538"/>
    <w:rsid w:val="00FB0732"/>
    <w:rsid w:val="00FB07A9"/>
    <w:rsid w:val="00FB07EB"/>
    <w:rsid w:val="00FB1284"/>
    <w:rsid w:val="00FB165A"/>
    <w:rsid w:val="00FB19C6"/>
    <w:rsid w:val="00FB202D"/>
    <w:rsid w:val="00FB29D3"/>
    <w:rsid w:val="00FB2F25"/>
    <w:rsid w:val="00FB31EF"/>
    <w:rsid w:val="00FB32A1"/>
    <w:rsid w:val="00FB35E6"/>
    <w:rsid w:val="00FB383F"/>
    <w:rsid w:val="00FB3B93"/>
    <w:rsid w:val="00FB3E2C"/>
    <w:rsid w:val="00FB407F"/>
    <w:rsid w:val="00FB40CF"/>
    <w:rsid w:val="00FB4219"/>
    <w:rsid w:val="00FB43DB"/>
    <w:rsid w:val="00FB4439"/>
    <w:rsid w:val="00FB45F5"/>
    <w:rsid w:val="00FB4901"/>
    <w:rsid w:val="00FB4904"/>
    <w:rsid w:val="00FB494C"/>
    <w:rsid w:val="00FB4B5F"/>
    <w:rsid w:val="00FB4E00"/>
    <w:rsid w:val="00FB4EF3"/>
    <w:rsid w:val="00FB52E2"/>
    <w:rsid w:val="00FB54B1"/>
    <w:rsid w:val="00FB562A"/>
    <w:rsid w:val="00FB563C"/>
    <w:rsid w:val="00FB5741"/>
    <w:rsid w:val="00FB5B06"/>
    <w:rsid w:val="00FB5DF3"/>
    <w:rsid w:val="00FB5FE9"/>
    <w:rsid w:val="00FB6509"/>
    <w:rsid w:val="00FB6662"/>
    <w:rsid w:val="00FB6CA3"/>
    <w:rsid w:val="00FB71B7"/>
    <w:rsid w:val="00FB7445"/>
    <w:rsid w:val="00FB767C"/>
    <w:rsid w:val="00FB7FE3"/>
    <w:rsid w:val="00FC0097"/>
    <w:rsid w:val="00FC00E0"/>
    <w:rsid w:val="00FC056D"/>
    <w:rsid w:val="00FC070A"/>
    <w:rsid w:val="00FC0746"/>
    <w:rsid w:val="00FC0848"/>
    <w:rsid w:val="00FC0864"/>
    <w:rsid w:val="00FC08BC"/>
    <w:rsid w:val="00FC08FB"/>
    <w:rsid w:val="00FC0A07"/>
    <w:rsid w:val="00FC0AF6"/>
    <w:rsid w:val="00FC0C6E"/>
    <w:rsid w:val="00FC1018"/>
    <w:rsid w:val="00FC102A"/>
    <w:rsid w:val="00FC108B"/>
    <w:rsid w:val="00FC10E4"/>
    <w:rsid w:val="00FC146F"/>
    <w:rsid w:val="00FC15AF"/>
    <w:rsid w:val="00FC16B0"/>
    <w:rsid w:val="00FC1ACF"/>
    <w:rsid w:val="00FC1E06"/>
    <w:rsid w:val="00FC1EDC"/>
    <w:rsid w:val="00FC207A"/>
    <w:rsid w:val="00FC22B7"/>
    <w:rsid w:val="00FC2399"/>
    <w:rsid w:val="00FC2526"/>
    <w:rsid w:val="00FC26E5"/>
    <w:rsid w:val="00FC294B"/>
    <w:rsid w:val="00FC2ADF"/>
    <w:rsid w:val="00FC2BAB"/>
    <w:rsid w:val="00FC2C95"/>
    <w:rsid w:val="00FC2F08"/>
    <w:rsid w:val="00FC2F7A"/>
    <w:rsid w:val="00FC3601"/>
    <w:rsid w:val="00FC3670"/>
    <w:rsid w:val="00FC381F"/>
    <w:rsid w:val="00FC3A1D"/>
    <w:rsid w:val="00FC3DCD"/>
    <w:rsid w:val="00FC414A"/>
    <w:rsid w:val="00FC4435"/>
    <w:rsid w:val="00FC47C7"/>
    <w:rsid w:val="00FC47DB"/>
    <w:rsid w:val="00FC47EB"/>
    <w:rsid w:val="00FC48FF"/>
    <w:rsid w:val="00FC4905"/>
    <w:rsid w:val="00FC4C5E"/>
    <w:rsid w:val="00FC4E2B"/>
    <w:rsid w:val="00FC50FB"/>
    <w:rsid w:val="00FC57C7"/>
    <w:rsid w:val="00FC5900"/>
    <w:rsid w:val="00FC5CDD"/>
    <w:rsid w:val="00FC5D19"/>
    <w:rsid w:val="00FC5E3C"/>
    <w:rsid w:val="00FC5E90"/>
    <w:rsid w:val="00FC614B"/>
    <w:rsid w:val="00FC61E1"/>
    <w:rsid w:val="00FC626B"/>
    <w:rsid w:val="00FC64F3"/>
    <w:rsid w:val="00FC6661"/>
    <w:rsid w:val="00FC66A2"/>
    <w:rsid w:val="00FC67A7"/>
    <w:rsid w:val="00FC68D5"/>
    <w:rsid w:val="00FC6E53"/>
    <w:rsid w:val="00FC6F37"/>
    <w:rsid w:val="00FC6FF0"/>
    <w:rsid w:val="00FC728D"/>
    <w:rsid w:val="00FC74F2"/>
    <w:rsid w:val="00FC7517"/>
    <w:rsid w:val="00FC7697"/>
    <w:rsid w:val="00FC7DC7"/>
    <w:rsid w:val="00FC7ECD"/>
    <w:rsid w:val="00FD010E"/>
    <w:rsid w:val="00FD024E"/>
    <w:rsid w:val="00FD051C"/>
    <w:rsid w:val="00FD0533"/>
    <w:rsid w:val="00FD06FC"/>
    <w:rsid w:val="00FD073C"/>
    <w:rsid w:val="00FD09E7"/>
    <w:rsid w:val="00FD0ADE"/>
    <w:rsid w:val="00FD14BB"/>
    <w:rsid w:val="00FD1BB8"/>
    <w:rsid w:val="00FD1C8D"/>
    <w:rsid w:val="00FD1C93"/>
    <w:rsid w:val="00FD1E79"/>
    <w:rsid w:val="00FD1EDE"/>
    <w:rsid w:val="00FD1FEB"/>
    <w:rsid w:val="00FD21F7"/>
    <w:rsid w:val="00FD27F2"/>
    <w:rsid w:val="00FD2A91"/>
    <w:rsid w:val="00FD2BB4"/>
    <w:rsid w:val="00FD2C38"/>
    <w:rsid w:val="00FD2C58"/>
    <w:rsid w:val="00FD2E56"/>
    <w:rsid w:val="00FD2FE0"/>
    <w:rsid w:val="00FD303D"/>
    <w:rsid w:val="00FD3196"/>
    <w:rsid w:val="00FD3355"/>
    <w:rsid w:val="00FD345F"/>
    <w:rsid w:val="00FD3A2D"/>
    <w:rsid w:val="00FD3D28"/>
    <w:rsid w:val="00FD3EAB"/>
    <w:rsid w:val="00FD4138"/>
    <w:rsid w:val="00FD456A"/>
    <w:rsid w:val="00FD46D4"/>
    <w:rsid w:val="00FD4882"/>
    <w:rsid w:val="00FD4DF4"/>
    <w:rsid w:val="00FD5265"/>
    <w:rsid w:val="00FD529E"/>
    <w:rsid w:val="00FD531B"/>
    <w:rsid w:val="00FD5539"/>
    <w:rsid w:val="00FD55E2"/>
    <w:rsid w:val="00FD5C2E"/>
    <w:rsid w:val="00FD5CA7"/>
    <w:rsid w:val="00FD5EC8"/>
    <w:rsid w:val="00FD5FF7"/>
    <w:rsid w:val="00FD613A"/>
    <w:rsid w:val="00FD645B"/>
    <w:rsid w:val="00FD6464"/>
    <w:rsid w:val="00FD6882"/>
    <w:rsid w:val="00FD6C20"/>
    <w:rsid w:val="00FD6D72"/>
    <w:rsid w:val="00FD6DEB"/>
    <w:rsid w:val="00FD7001"/>
    <w:rsid w:val="00FD7101"/>
    <w:rsid w:val="00FD730E"/>
    <w:rsid w:val="00FD743D"/>
    <w:rsid w:val="00FD74B2"/>
    <w:rsid w:val="00FD74F8"/>
    <w:rsid w:val="00FD7A09"/>
    <w:rsid w:val="00FD7BF5"/>
    <w:rsid w:val="00FD7DDF"/>
    <w:rsid w:val="00FD7F4D"/>
    <w:rsid w:val="00FE030A"/>
    <w:rsid w:val="00FE06E0"/>
    <w:rsid w:val="00FE0744"/>
    <w:rsid w:val="00FE09F8"/>
    <w:rsid w:val="00FE0BDA"/>
    <w:rsid w:val="00FE1500"/>
    <w:rsid w:val="00FE16D2"/>
    <w:rsid w:val="00FE1CE6"/>
    <w:rsid w:val="00FE1DD4"/>
    <w:rsid w:val="00FE1E1A"/>
    <w:rsid w:val="00FE1EA2"/>
    <w:rsid w:val="00FE22AA"/>
    <w:rsid w:val="00FE23C8"/>
    <w:rsid w:val="00FE23E6"/>
    <w:rsid w:val="00FE2797"/>
    <w:rsid w:val="00FE2DF0"/>
    <w:rsid w:val="00FE2DF4"/>
    <w:rsid w:val="00FE2EE1"/>
    <w:rsid w:val="00FE32B4"/>
    <w:rsid w:val="00FE3688"/>
    <w:rsid w:val="00FE383F"/>
    <w:rsid w:val="00FE39E1"/>
    <w:rsid w:val="00FE3D63"/>
    <w:rsid w:val="00FE3E10"/>
    <w:rsid w:val="00FE3FC2"/>
    <w:rsid w:val="00FE4003"/>
    <w:rsid w:val="00FE4016"/>
    <w:rsid w:val="00FE404D"/>
    <w:rsid w:val="00FE417F"/>
    <w:rsid w:val="00FE4234"/>
    <w:rsid w:val="00FE42D8"/>
    <w:rsid w:val="00FE4516"/>
    <w:rsid w:val="00FE4781"/>
    <w:rsid w:val="00FE480A"/>
    <w:rsid w:val="00FE483C"/>
    <w:rsid w:val="00FE4C86"/>
    <w:rsid w:val="00FE4C93"/>
    <w:rsid w:val="00FE501E"/>
    <w:rsid w:val="00FE50A6"/>
    <w:rsid w:val="00FE5483"/>
    <w:rsid w:val="00FE64B1"/>
    <w:rsid w:val="00FE651B"/>
    <w:rsid w:val="00FE6563"/>
    <w:rsid w:val="00FE65E0"/>
    <w:rsid w:val="00FE6694"/>
    <w:rsid w:val="00FE687E"/>
    <w:rsid w:val="00FE6BAA"/>
    <w:rsid w:val="00FE6D2D"/>
    <w:rsid w:val="00FE6E28"/>
    <w:rsid w:val="00FE7156"/>
    <w:rsid w:val="00FE725F"/>
    <w:rsid w:val="00FE76E1"/>
    <w:rsid w:val="00FE77C7"/>
    <w:rsid w:val="00FE7A44"/>
    <w:rsid w:val="00FE7B28"/>
    <w:rsid w:val="00FE7EF6"/>
    <w:rsid w:val="00FE7F27"/>
    <w:rsid w:val="00FF0741"/>
    <w:rsid w:val="00FF0F55"/>
    <w:rsid w:val="00FF1046"/>
    <w:rsid w:val="00FF1676"/>
    <w:rsid w:val="00FF1686"/>
    <w:rsid w:val="00FF1BD9"/>
    <w:rsid w:val="00FF1D65"/>
    <w:rsid w:val="00FF1DF5"/>
    <w:rsid w:val="00FF2117"/>
    <w:rsid w:val="00FF24A3"/>
    <w:rsid w:val="00FF25A2"/>
    <w:rsid w:val="00FF2837"/>
    <w:rsid w:val="00FF2847"/>
    <w:rsid w:val="00FF2E09"/>
    <w:rsid w:val="00FF334D"/>
    <w:rsid w:val="00FF373B"/>
    <w:rsid w:val="00FF3AF2"/>
    <w:rsid w:val="00FF3CF7"/>
    <w:rsid w:val="00FF3DA9"/>
    <w:rsid w:val="00FF419B"/>
    <w:rsid w:val="00FF42ED"/>
    <w:rsid w:val="00FF471B"/>
    <w:rsid w:val="00FF4A58"/>
    <w:rsid w:val="00FF4C84"/>
    <w:rsid w:val="00FF4CC6"/>
    <w:rsid w:val="00FF4D3B"/>
    <w:rsid w:val="00FF4D50"/>
    <w:rsid w:val="00FF4D7D"/>
    <w:rsid w:val="00FF5531"/>
    <w:rsid w:val="00FF5640"/>
    <w:rsid w:val="00FF571A"/>
    <w:rsid w:val="00FF5C42"/>
    <w:rsid w:val="00FF5CAB"/>
    <w:rsid w:val="00FF686D"/>
    <w:rsid w:val="00FF69A4"/>
    <w:rsid w:val="00FF6E1B"/>
    <w:rsid w:val="00FF7229"/>
    <w:rsid w:val="00FF727A"/>
    <w:rsid w:val="00FF7381"/>
    <w:rsid w:val="00FF77D4"/>
    <w:rsid w:val="00FF7CE6"/>
    <w:rsid w:val="010351AA"/>
    <w:rsid w:val="010C5220"/>
    <w:rsid w:val="010E7B40"/>
    <w:rsid w:val="012631A8"/>
    <w:rsid w:val="01367813"/>
    <w:rsid w:val="01512DEC"/>
    <w:rsid w:val="0156177E"/>
    <w:rsid w:val="01593285"/>
    <w:rsid w:val="015E252A"/>
    <w:rsid w:val="01695955"/>
    <w:rsid w:val="017D5815"/>
    <w:rsid w:val="01804A4C"/>
    <w:rsid w:val="01830099"/>
    <w:rsid w:val="01B21ABA"/>
    <w:rsid w:val="01E76AED"/>
    <w:rsid w:val="01FF64E2"/>
    <w:rsid w:val="02092E45"/>
    <w:rsid w:val="02427B53"/>
    <w:rsid w:val="02447828"/>
    <w:rsid w:val="024A0BB7"/>
    <w:rsid w:val="025E3202"/>
    <w:rsid w:val="025F0B06"/>
    <w:rsid w:val="02753018"/>
    <w:rsid w:val="02777BFD"/>
    <w:rsid w:val="02781BC8"/>
    <w:rsid w:val="02836B0F"/>
    <w:rsid w:val="02A14C7A"/>
    <w:rsid w:val="02AB3D4B"/>
    <w:rsid w:val="02B4250C"/>
    <w:rsid w:val="02BC1AB4"/>
    <w:rsid w:val="02C75295"/>
    <w:rsid w:val="02C86101"/>
    <w:rsid w:val="02CD31BD"/>
    <w:rsid w:val="02EC4D9D"/>
    <w:rsid w:val="02F1741B"/>
    <w:rsid w:val="03123DCA"/>
    <w:rsid w:val="0323389B"/>
    <w:rsid w:val="03250AC9"/>
    <w:rsid w:val="032F1DBD"/>
    <w:rsid w:val="03453536"/>
    <w:rsid w:val="0355045A"/>
    <w:rsid w:val="03561F09"/>
    <w:rsid w:val="0358309E"/>
    <w:rsid w:val="03634626"/>
    <w:rsid w:val="036711BC"/>
    <w:rsid w:val="03681A6D"/>
    <w:rsid w:val="038C112E"/>
    <w:rsid w:val="03912A09"/>
    <w:rsid w:val="03A33962"/>
    <w:rsid w:val="03B85614"/>
    <w:rsid w:val="03C52F1A"/>
    <w:rsid w:val="03D21B34"/>
    <w:rsid w:val="03E2379C"/>
    <w:rsid w:val="03EA4B4B"/>
    <w:rsid w:val="03EE2141"/>
    <w:rsid w:val="03F37758"/>
    <w:rsid w:val="03F95CAB"/>
    <w:rsid w:val="03FF3601"/>
    <w:rsid w:val="04022778"/>
    <w:rsid w:val="04545D1C"/>
    <w:rsid w:val="04583A5F"/>
    <w:rsid w:val="049251C3"/>
    <w:rsid w:val="049D750D"/>
    <w:rsid w:val="04A44EF6"/>
    <w:rsid w:val="04AD3DAA"/>
    <w:rsid w:val="04AE4FAE"/>
    <w:rsid w:val="04C84554"/>
    <w:rsid w:val="04C87E66"/>
    <w:rsid w:val="04CC0A46"/>
    <w:rsid w:val="04D34891"/>
    <w:rsid w:val="04E4345A"/>
    <w:rsid w:val="04E83870"/>
    <w:rsid w:val="04F55751"/>
    <w:rsid w:val="05013BD8"/>
    <w:rsid w:val="05300538"/>
    <w:rsid w:val="0530521E"/>
    <w:rsid w:val="053067DA"/>
    <w:rsid w:val="053F305D"/>
    <w:rsid w:val="05461B09"/>
    <w:rsid w:val="05551D4C"/>
    <w:rsid w:val="05672871"/>
    <w:rsid w:val="056E2A83"/>
    <w:rsid w:val="05776166"/>
    <w:rsid w:val="057F6DC9"/>
    <w:rsid w:val="058201CC"/>
    <w:rsid w:val="05932CAD"/>
    <w:rsid w:val="05972365"/>
    <w:rsid w:val="05A32D56"/>
    <w:rsid w:val="05AA5F48"/>
    <w:rsid w:val="05AC1BFE"/>
    <w:rsid w:val="05B90BC2"/>
    <w:rsid w:val="05BB1137"/>
    <w:rsid w:val="05C23CDB"/>
    <w:rsid w:val="05C869C2"/>
    <w:rsid w:val="05DB04A3"/>
    <w:rsid w:val="05E2428C"/>
    <w:rsid w:val="05E25B9F"/>
    <w:rsid w:val="06035C4C"/>
    <w:rsid w:val="06135229"/>
    <w:rsid w:val="061E18D6"/>
    <w:rsid w:val="06430CCF"/>
    <w:rsid w:val="06432036"/>
    <w:rsid w:val="065232E5"/>
    <w:rsid w:val="06587D46"/>
    <w:rsid w:val="06654211"/>
    <w:rsid w:val="06690F20"/>
    <w:rsid w:val="066C1A43"/>
    <w:rsid w:val="06891246"/>
    <w:rsid w:val="069074E0"/>
    <w:rsid w:val="069B1336"/>
    <w:rsid w:val="06B21349"/>
    <w:rsid w:val="06C453DB"/>
    <w:rsid w:val="06C5559D"/>
    <w:rsid w:val="06D53145"/>
    <w:rsid w:val="06DA075B"/>
    <w:rsid w:val="07104571"/>
    <w:rsid w:val="07163DF5"/>
    <w:rsid w:val="071C4121"/>
    <w:rsid w:val="07222102"/>
    <w:rsid w:val="072440CC"/>
    <w:rsid w:val="073A2879"/>
    <w:rsid w:val="074402CA"/>
    <w:rsid w:val="07490ADF"/>
    <w:rsid w:val="07554285"/>
    <w:rsid w:val="07591FC8"/>
    <w:rsid w:val="075C1AB8"/>
    <w:rsid w:val="077A3CEC"/>
    <w:rsid w:val="079270C9"/>
    <w:rsid w:val="079C0106"/>
    <w:rsid w:val="07AA45D1"/>
    <w:rsid w:val="07BC4DD3"/>
    <w:rsid w:val="07BE007D"/>
    <w:rsid w:val="07BE1E2B"/>
    <w:rsid w:val="07C37441"/>
    <w:rsid w:val="07C50D60"/>
    <w:rsid w:val="07C75183"/>
    <w:rsid w:val="07CC279A"/>
    <w:rsid w:val="07CE7162"/>
    <w:rsid w:val="07E01DA1"/>
    <w:rsid w:val="07E342FF"/>
    <w:rsid w:val="07F046C2"/>
    <w:rsid w:val="07F150FE"/>
    <w:rsid w:val="07F94451"/>
    <w:rsid w:val="080812F8"/>
    <w:rsid w:val="083C19B1"/>
    <w:rsid w:val="08563376"/>
    <w:rsid w:val="08637683"/>
    <w:rsid w:val="0889683A"/>
    <w:rsid w:val="088D4A57"/>
    <w:rsid w:val="08970740"/>
    <w:rsid w:val="089B22C1"/>
    <w:rsid w:val="08A515BF"/>
    <w:rsid w:val="08A54B35"/>
    <w:rsid w:val="08C43471"/>
    <w:rsid w:val="08CA5E7D"/>
    <w:rsid w:val="08D107D5"/>
    <w:rsid w:val="08E57C57"/>
    <w:rsid w:val="08E81855"/>
    <w:rsid w:val="08FB2C0B"/>
    <w:rsid w:val="09000221"/>
    <w:rsid w:val="090221EB"/>
    <w:rsid w:val="09023DF1"/>
    <w:rsid w:val="09062F96"/>
    <w:rsid w:val="090944A7"/>
    <w:rsid w:val="090C3711"/>
    <w:rsid w:val="090E293E"/>
    <w:rsid w:val="092D370C"/>
    <w:rsid w:val="0946657C"/>
    <w:rsid w:val="09491BC8"/>
    <w:rsid w:val="09540C99"/>
    <w:rsid w:val="09697C41"/>
    <w:rsid w:val="097E7AC3"/>
    <w:rsid w:val="097F383C"/>
    <w:rsid w:val="09811362"/>
    <w:rsid w:val="098826F0"/>
    <w:rsid w:val="09882FB7"/>
    <w:rsid w:val="098F153E"/>
    <w:rsid w:val="0995305F"/>
    <w:rsid w:val="09A025D3"/>
    <w:rsid w:val="09A4124F"/>
    <w:rsid w:val="09AA1703"/>
    <w:rsid w:val="09CA0BB9"/>
    <w:rsid w:val="09DE0562"/>
    <w:rsid w:val="09E3201C"/>
    <w:rsid w:val="09E7679D"/>
    <w:rsid w:val="09F2225F"/>
    <w:rsid w:val="09F2400E"/>
    <w:rsid w:val="0A073F5D"/>
    <w:rsid w:val="0A0B50CF"/>
    <w:rsid w:val="0A1A2CE6"/>
    <w:rsid w:val="0A2061C6"/>
    <w:rsid w:val="0A216EF0"/>
    <w:rsid w:val="0A36214C"/>
    <w:rsid w:val="0A3B1765"/>
    <w:rsid w:val="0A4D4A3C"/>
    <w:rsid w:val="0A4F2CAF"/>
    <w:rsid w:val="0A587B48"/>
    <w:rsid w:val="0A592595"/>
    <w:rsid w:val="0A6A030E"/>
    <w:rsid w:val="0A6D20CC"/>
    <w:rsid w:val="0A747118"/>
    <w:rsid w:val="0A781A55"/>
    <w:rsid w:val="0A911A78"/>
    <w:rsid w:val="0A9867C9"/>
    <w:rsid w:val="0A9D666F"/>
    <w:rsid w:val="0AA277E2"/>
    <w:rsid w:val="0AA417AC"/>
    <w:rsid w:val="0AB45767"/>
    <w:rsid w:val="0AB623FF"/>
    <w:rsid w:val="0AB9662C"/>
    <w:rsid w:val="0ABB6AF5"/>
    <w:rsid w:val="0AD0378E"/>
    <w:rsid w:val="0ADF0A36"/>
    <w:rsid w:val="0B0B37C4"/>
    <w:rsid w:val="0B0D30E0"/>
    <w:rsid w:val="0B1256F9"/>
    <w:rsid w:val="0B481FE1"/>
    <w:rsid w:val="0B4B60CB"/>
    <w:rsid w:val="0B574A70"/>
    <w:rsid w:val="0B7078E0"/>
    <w:rsid w:val="0B85559E"/>
    <w:rsid w:val="0B896BF3"/>
    <w:rsid w:val="0B8E420A"/>
    <w:rsid w:val="0B8E5FB8"/>
    <w:rsid w:val="0B9043FF"/>
    <w:rsid w:val="0B91765B"/>
    <w:rsid w:val="0B9679B3"/>
    <w:rsid w:val="0B9D4534"/>
    <w:rsid w:val="0B9F01C5"/>
    <w:rsid w:val="0BB53545"/>
    <w:rsid w:val="0BD575CF"/>
    <w:rsid w:val="0BD91096"/>
    <w:rsid w:val="0BE502CE"/>
    <w:rsid w:val="0BEC6B1F"/>
    <w:rsid w:val="0BF80469"/>
    <w:rsid w:val="0BFA023F"/>
    <w:rsid w:val="0BFE1625"/>
    <w:rsid w:val="0C1464BD"/>
    <w:rsid w:val="0C2B1A59"/>
    <w:rsid w:val="0C3E54E5"/>
    <w:rsid w:val="0C416044"/>
    <w:rsid w:val="0C45497E"/>
    <w:rsid w:val="0C550884"/>
    <w:rsid w:val="0C674136"/>
    <w:rsid w:val="0C6805B7"/>
    <w:rsid w:val="0C684A5B"/>
    <w:rsid w:val="0C6C62F9"/>
    <w:rsid w:val="0C760F26"/>
    <w:rsid w:val="0C7C4062"/>
    <w:rsid w:val="0C980E30"/>
    <w:rsid w:val="0C9F0AB9"/>
    <w:rsid w:val="0CA24551"/>
    <w:rsid w:val="0CAF4438"/>
    <w:rsid w:val="0CB27867"/>
    <w:rsid w:val="0CB4123F"/>
    <w:rsid w:val="0CB97065"/>
    <w:rsid w:val="0CC75D6A"/>
    <w:rsid w:val="0CC84A20"/>
    <w:rsid w:val="0CD520F0"/>
    <w:rsid w:val="0CE916E4"/>
    <w:rsid w:val="0CF3634C"/>
    <w:rsid w:val="0D2070E4"/>
    <w:rsid w:val="0D384B64"/>
    <w:rsid w:val="0D41005C"/>
    <w:rsid w:val="0D444B80"/>
    <w:rsid w:val="0D5A438B"/>
    <w:rsid w:val="0D5D758A"/>
    <w:rsid w:val="0D5F19BA"/>
    <w:rsid w:val="0D672B93"/>
    <w:rsid w:val="0D6F756B"/>
    <w:rsid w:val="0D7338B7"/>
    <w:rsid w:val="0D7F205C"/>
    <w:rsid w:val="0DA815B3"/>
    <w:rsid w:val="0DCD2DC7"/>
    <w:rsid w:val="0DE528BF"/>
    <w:rsid w:val="0DED16BC"/>
    <w:rsid w:val="0DF563DE"/>
    <w:rsid w:val="0E02744A"/>
    <w:rsid w:val="0E0D58BA"/>
    <w:rsid w:val="0E0D7668"/>
    <w:rsid w:val="0E121122"/>
    <w:rsid w:val="0E2147FD"/>
    <w:rsid w:val="0E356BBF"/>
    <w:rsid w:val="0E39045D"/>
    <w:rsid w:val="0E3A31F9"/>
    <w:rsid w:val="0E53712E"/>
    <w:rsid w:val="0E5E57C3"/>
    <w:rsid w:val="0E6354DA"/>
    <w:rsid w:val="0E7B501C"/>
    <w:rsid w:val="0E8D69FB"/>
    <w:rsid w:val="0E9037CB"/>
    <w:rsid w:val="0E9C68BC"/>
    <w:rsid w:val="0EC51CF1"/>
    <w:rsid w:val="0EC736A2"/>
    <w:rsid w:val="0ED2440E"/>
    <w:rsid w:val="0ED40186"/>
    <w:rsid w:val="0ED62150"/>
    <w:rsid w:val="0EE54141"/>
    <w:rsid w:val="0EF80F88"/>
    <w:rsid w:val="0F114F36"/>
    <w:rsid w:val="0F2570C6"/>
    <w:rsid w:val="0F324E82"/>
    <w:rsid w:val="0F35646D"/>
    <w:rsid w:val="0F4277E5"/>
    <w:rsid w:val="0F427928"/>
    <w:rsid w:val="0F4946D0"/>
    <w:rsid w:val="0F5B777F"/>
    <w:rsid w:val="0F6459AD"/>
    <w:rsid w:val="0F7163E4"/>
    <w:rsid w:val="0F784FB5"/>
    <w:rsid w:val="0F88196A"/>
    <w:rsid w:val="0F8971C2"/>
    <w:rsid w:val="0F8A6A96"/>
    <w:rsid w:val="0F957915"/>
    <w:rsid w:val="0F9B035F"/>
    <w:rsid w:val="0FA062BA"/>
    <w:rsid w:val="0FBC30F4"/>
    <w:rsid w:val="0FCD5301"/>
    <w:rsid w:val="0FF03D51"/>
    <w:rsid w:val="10081B39"/>
    <w:rsid w:val="10090303"/>
    <w:rsid w:val="10196EF9"/>
    <w:rsid w:val="10523A58"/>
    <w:rsid w:val="1053426A"/>
    <w:rsid w:val="10572E1C"/>
    <w:rsid w:val="10703EDE"/>
    <w:rsid w:val="107957C7"/>
    <w:rsid w:val="10852E7D"/>
    <w:rsid w:val="109C6E08"/>
    <w:rsid w:val="10CC0F84"/>
    <w:rsid w:val="10D73F5D"/>
    <w:rsid w:val="10EC5C5A"/>
    <w:rsid w:val="10FC035F"/>
    <w:rsid w:val="10FD1C16"/>
    <w:rsid w:val="111156C1"/>
    <w:rsid w:val="112D7194"/>
    <w:rsid w:val="113C45A8"/>
    <w:rsid w:val="11717F0E"/>
    <w:rsid w:val="117B6FDE"/>
    <w:rsid w:val="11963E18"/>
    <w:rsid w:val="119E6026"/>
    <w:rsid w:val="11A46DDB"/>
    <w:rsid w:val="11A716C1"/>
    <w:rsid w:val="11D502F2"/>
    <w:rsid w:val="11DA1F57"/>
    <w:rsid w:val="11E86941"/>
    <w:rsid w:val="11E9219A"/>
    <w:rsid w:val="11EC57E6"/>
    <w:rsid w:val="11F823DD"/>
    <w:rsid w:val="11FC183E"/>
    <w:rsid w:val="12095F07"/>
    <w:rsid w:val="120A60E3"/>
    <w:rsid w:val="1212349F"/>
    <w:rsid w:val="121F5BBC"/>
    <w:rsid w:val="122A2071"/>
    <w:rsid w:val="12395518"/>
    <w:rsid w:val="123A3F3B"/>
    <w:rsid w:val="12541D09"/>
    <w:rsid w:val="126B7053"/>
    <w:rsid w:val="126D30EB"/>
    <w:rsid w:val="127325C5"/>
    <w:rsid w:val="127B61EA"/>
    <w:rsid w:val="1283439D"/>
    <w:rsid w:val="1284343C"/>
    <w:rsid w:val="12A6008B"/>
    <w:rsid w:val="12A87F14"/>
    <w:rsid w:val="12AA7B7B"/>
    <w:rsid w:val="12D22C2E"/>
    <w:rsid w:val="12DB5F87"/>
    <w:rsid w:val="12E60856"/>
    <w:rsid w:val="13004D7A"/>
    <w:rsid w:val="130112D4"/>
    <w:rsid w:val="131507D3"/>
    <w:rsid w:val="131750AF"/>
    <w:rsid w:val="131E2317"/>
    <w:rsid w:val="1324448F"/>
    <w:rsid w:val="132A2A6A"/>
    <w:rsid w:val="13451652"/>
    <w:rsid w:val="134578A4"/>
    <w:rsid w:val="13504BBE"/>
    <w:rsid w:val="13507829"/>
    <w:rsid w:val="13517FF7"/>
    <w:rsid w:val="13793B79"/>
    <w:rsid w:val="1386304E"/>
    <w:rsid w:val="139B74C4"/>
    <w:rsid w:val="139C13E5"/>
    <w:rsid w:val="13C93A45"/>
    <w:rsid w:val="13DB3D64"/>
    <w:rsid w:val="13DC1BE8"/>
    <w:rsid w:val="13E64BE3"/>
    <w:rsid w:val="13E67280"/>
    <w:rsid w:val="13F90CA2"/>
    <w:rsid w:val="13FA41EA"/>
    <w:rsid w:val="141A488D"/>
    <w:rsid w:val="141F16A1"/>
    <w:rsid w:val="14410A6B"/>
    <w:rsid w:val="144162BD"/>
    <w:rsid w:val="14432035"/>
    <w:rsid w:val="1448764C"/>
    <w:rsid w:val="144F21BD"/>
    <w:rsid w:val="14544329"/>
    <w:rsid w:val="149E726C"/>
    <w:rsid w:val="14AA148A"/>
    <w:rsid w:val="14B52114"/>
    <w:rsid w:val="14C34F24"/>
    <w:rsid w:val="14C447F8"/>
    <w:rsid w:val="14CD7B51"/>
    <w:rsid w:val="14CE4728"/>
    <w:rsid w:val="14DB04C0"/>
    <w:rsid w:val="14E12B1B"/>
    <w:rsid w:val="14E46C49"/>
    <w:rsid w:val="14FA1AF0"/>
    <w:rsid w:val="15082937"/>
    <w:rsid w:val="15104538"/>
    <w:rsid w:val="151848B0"/>
    <w:rsid w:val="151F477A"/>
    <w:rsid w:val="15325C06"/>
    <w:rsid w:val="153951E6"/>
    <w:rsid w:val="15461A98"/>
    <w:rsid w:val="154E65FB"/>
    <w:rsid w:val="15567B46"/>
    <w:rsid w:val="15781D56"/>
    <w:rsid w:val="15785D0F"/>
    <w:rsid w:val="157D50D3"/>
    <w:rsid w:val="158B2D0B"/>
    <w:rsid w:val="15932B49"/>
    <w:rsid w:val="159B75A7"/>
    <w:rsid w:val="15A82A07"/>
    <w:rsid w:val="15A97283"/>
    <w:rsid w:val="15BB209F"/>
    <w:rsid w:val="15C43A83"/>
    <w:rsid w:val="15C5475E"/>
    <w:rsid w:val="15D54F0F"/>
    <w:rsid w:val="15DD38F4"/>
    <w:rsid w:val="15DF596A"/>
    <w:rsid w:val="16041350"/>
    <w:rsid w:val="161930EE"/>
    <w:rsid w:val="16225C7A"/>
    <w:rsid w:val="163E2AD9"/>
    <w:rsid w:val="16565924"/>
    <w:rsid w:val="165F30E0"/>
    <w:rsid w:val="16646293"/>
    <w:rsid w:val="16702E8A"/>
    <w:rsid w:val="16766361"/>
    <w:rsid w:val="167871D8"/>
    <w:rsid w:val="168B7CC4"/>
    <w:rsid w:val="16A14DF1"/>
    <w:rsid w:val="16AE1A74"/>
    <w:rsid w:val="16AF07A6"/>
    <w:rsid w:val="16AF3EDE"/>
    <w:rsid w:val="16C466C6"/>
    <w:rsid w:val="16C652A6"/>
    <w:rsid w:val="16E24BFC"/>
    <w:rsid w:val="16E641F3"/>
    <w:rsid w:val="16F77107"/>
    <w:rsid w:val="17147CB9"/>
    <w:rsid w:val="172F064F"/>
    <w:rsid w:val="17321A57"/>
    <w:rsid w:val="17465999"/>
    <w:rsid w:val="17485BB5"/>
    <w:rsid w:val="174D31CB"/>
    <w:rsid w:val="174D3A03"/>
    <w:rsid w:val="174F6F43"/>
    <w:rsid w:val="175016D5"/>
    <w:rsid w:val="1754780D"/>
    <w:rsid w:val="176B760F"/>
    <w:rsid w:val="176B7E7E"/>
    <w:rsid w:val="176E5DD1"/>
    <w:rsid w:val="176F6C9D"/>
    <w:rsid w:val="177B6D2A"/>
    <w:rsid w:val="17966920"/>
    <w:rsid w:val="17982698"/>
    <w:rsid w:val="17A60604"/>
    <w:rsid w:val="17BD032F"/>
    <w:rsid w:val="17C214C3"/>
    <w:rsid w:val="17C81174"/>
    <w:rsid w:val="17C84600"/>
    <w:rsid w:val="17CC40F0"/>
    <w:rsid w:val="17D14A92"/>
    <w:rsid w:val="17D2722C"/>
    <w:rsid w:val="17D42FA4"/>
    <w:rsid w:val="17D80CE7"/>
    <w:rsid w:val="17E03A9D"/>
    <w:rsid w:val="17E95B0E"/>
    <w:rsid w:val="17EB450E"/>
    <w:rsid w:val="17F9325A"/>
    <w:rsid w:val="182923BE"/>
    <w:rsid w:val="182B350C"/>
    <w:rsid w:val="18383533"/>
    <w:rsid w:val="183D4FEE"/>
    <w:rsid w:val="18475E6C"/>
    <w:rsid w:val="188E687B"/>
    <w:rsid w:val="18A94431"/>
    <w:rsid w:val="18CB077C"/>
    <w:rsid w:val="18CF55FE"/>
    <w:rsid w:val="18D92F68"/>
    <w:rsid w:val="18E35613"/>
    <w:rsid w:val="18E611E1"/>
    <w:rsid w:val="18ED14A8"/>
    <w:rsid w:val="18FC27B3"/>
    <w:rsid w:val="18FF4D05"/>
    <w:rsid w:val="19023B6B"/>
    <w:rsid w:val="190B4AAB"/>
    <w:rsid w:val="191728EC"/>
    <w:rsid w:val="192341E3"/>
    <w:rsid w:val="192A5572"/>
    <w:rsid w:val="192F70D4"/>
    <w:rsid w:val="1932121F"/>
    <w:rsid w:val="19355CC5"/>
    <w:rsid w:val="1940130A"/>
    <w:rsid w:val="1941466A"/>
    <w:rsid w:val="19494D42"/>
    <w:rsid w:val="19616ABA"/>
    <w:rsid w:val="19726F19"/>
    <w:rsid w:val="19A312AE"/>
    <w:rsid w:val="19A4086C"/>
    <w:rsid w:val="19A928E0"/>
    <w:rsid w:val="19A96E4F"/>
    <w:rsid w:val="19B150A8"/>
    <w:rsid w:val="19BE5C7C"/>
    <w:rsid w:val="19DC4392"/>
    <w:rsid w:val="19EB0401"/>
    <w:rsid w:val="19F65454"/>
    <w:rsid w:val="1A057D8D"/>
    <w:rsid w:val="1A0A3369"/>
    <w:rsid w:val="1A0F07E1"/>
    <w:rsid w:val="1A1104E0"/>
    <w:rsid w:val="1A116732"/>
    <w:rsid w:val="1A1D50D7"/>
    <w:rsid w:val="1A2067E1"/>
    <w:rsid w:val="1A2B77F4"/>
    <w:rsid w:val="1A3D0E82"/>
    <w:rsid w:val="1A3F504D"/>
    <w:rsid w:val="1A4408B5"/>
    <w:rsid w:val="1A440A74"/>
    <w:rsid w:val="1A5D1977"/>
    <w:rsid w:val="1A5D54D3"/>
    <w:rsid w:val="1A622AE9"/>
    <w:rsid w:val="1A66691F"/>
    <w:rsid w:val="1A732F49"/>
    <w:rsid w:val="1A78055F"/>
    <w:rsid w:val="1A7E49B9"/>
    <w:rsid w:val="1A8D4B6A"/>
    <w:rsid w:val="1A914743"/>
    <w:rsid w:val="1A976C37"/>
    <w:rsid w:val="1A9A32B2"/>
    <w:rsid w:val="1A9D321A"/>
    <w:rsid w:val="1AAA5D51"/>
    <w:rsid w:val="1AAE3F81"/>
    <w:rsid w:val="1AAE5D2F"/>
    <w:rsid w:val="1AB86BAD"/>
    <w:rsid w:val="1AD079FC"/>
    <w:rsid w:val="1AD14166"/>
    <w:rsid w:val="1AD81468"/>
    <w:rsid w:val="1AF1728D"/>
    <w:rsid w:val="1AF44089"/>
    <w:rsid w:val="1AF74216"/>
    <w:rsid w:val="1B05696E"/>
    <w:rsid w:val="1B0B48DE"/>
    <w:rsid w:val="1B0C270A"/>
    <w:rsid w:val="1B0F3806"/>
    <w:rsid w:val="1B1520C8"/>
    <w:rsid w:val="1B1C7C04"/>
    <w:rsid w:val="1B430B6D"/>
    <w:rsid w:val="1B4B5C73"/>
    <w:rsid w:val="1B5271FE"/>
    <w:rsid w:val="1B530684"/>
    <w:rsid w:val="1B5E08D6"/>
    <w:rsid w:val="1B701236"/>
    <w:rsid w:val="1B7F1479"/>
    <w:rsid w:val="1B8E181A"/>
    <w:rsid w:val="1B926FB3"/>
    <w:rsid w:val="1B9273FE"/>
    <w:rsid w:val="1B966EEF"/>
    <w:rsid w:val="1B974A15"/>
    <w:rsid w:val="1B9961C0"/>
    <w:rsid w:val="1B9D672E"/>
    <w:rsid w:val="1B9E0266"/>
    <w:rsid w:val="1BA43320"/>
    <w:rsid w:val="1BAA0BEC"/>
    <w:rsid w:val="1BAD67AF"/>
    <w:rsid w:val="1BB11F7A"/>
    <w:rsid w:val="1BB15E44"/>
    <w:rsid w:val="1BB76E65"/>
    <w:rsid w:val="1BC73F59"/>
    <w:rsid w:val="1BCE264C"/>
    <w:rsid w:val="1BD13ABB"/>
    <w:rsid w:val="1BD6553D"/>
    <w:rsid w:val="1BE85270"/>
    <w:rsid w:val="1BEC2FB3"/>
    <w:rsid w:val="1BFE2697"/>
    <w:rsid w:val="1C0320AA"/>
    <w:rsid w:val="1C093B64"/>
    <w:rsid w:val="1C100890"/>
    <w:rsid w:val="1C166281"/>
    <w:rsid w:val="1C1C783C"/>
    <w:rsid w:val="1C3361BF"/>
    <w:rsid w:val="1C4032FE"/>
    <w:rsid w:val="1C47159B"/>
    <w:rsid w:val="1C494995"/>
    <w:rsid w:val="1C8A5AF2"/>
    <w:rsid w:val="1C98152A"/>
    <w:rsid w:val="1CAA0778"/>
    <w:rsid w:val="1CAA1BA2"/>
    <w:rsid w:val="1CAD51F9"/>
    <w:rsid w:val="1CC47A8B"/>
    <w:rsid w:val="1CD00D9F"/>
    <w:rsid w:val="1CE67A02"/>
    <w:rsid w:val="1CE712D2"/>
    <w:rsid w:val="1CEC2B3E"/>
    <w:rsid w:val="1CF33ECD"/>
    <w:rsid w:val="1CF46060"/>
    <w:rsid w:val="1D04257E"/>
    <w:rsid w:val="1D0460DA"/>
    <w:rsid w:val="1D174D30"/>
    <w:rsid w:val="1D1E2032"/>
    <w:rsid w:val="1D3927C4"/>
    <w:rsid w:val="1D3D1E31"/>
    <w:rsid w:val="1D414461"/>
    <w:rsid w:val="1D421907"/>
    <w:rsid w:val="1D4F1A4B"/>
    <w:rsid w:val="1D50131F"/>
    <w:rsid w:val="1D5828DC"/>
    <w:rsid w:val="1D5F5A06"/>
    <w:rsid w:val="1D641BF0"/>
    <w:rsid w:val="1D681A07"/>
    <w:rsid w:val="1D741997"/>
    <w:rsid w:val="1D743260"/>
    <w:rsid w:val="1D7A45EE"/>
    <w:rsid w:val="1D7F202C"/>
    <w:rsid w:val="1D840FC9"/>
    <w:rsid w:val="1D8F6472"/>
    <w:rsid w:val="1D95347B"/>
    <w:rsid w:val="1DDC0E05"/>
    <w:rsid w:val="1DE0740A"/>
    <w:rsid w:val="1E0C793C"/>
    <w:rsid w:val="1E2439C2"/>
    <w:rsid w:val="1E2B736A"/>
    <w:rsid w:val="1E39597D"/>
    <w:rsid w:val="1E3C09E6"/>
    <w:rsid w:val="1E3D7AF5"/>
    <w:rsid w:val="1E432C32"/>
    <w:rsid w:val="1E4A2212"/>
    <w:rsid w:val="1E543091"/>
    <w:rsid w:val="1E55286D"/>
    <w:rsid w:val="1E5F5CBE"/>
    <w:rsid w:val="1E630712"/>
    <w:rsid w:val="1E652BA8"/>
    <w:rsid w:val="1E7F6837"/>
    <w:rsid w:val="1E860B0F"/>
    <w:rsid w:val="1E8A0861"/>
    <w:rsid w:val="1E8A260F"/>
    <w:rsid w:val="1E960FB4"/>
    <w:rsid w:val="1E965458"/>
    <w:rsid w:val="1E9C221C"/>
    <w:rsid w:val="1EA336D1"/>
    <w:rsid w:val="1EAD1372"/>
    <w:rsid w:val="1EB1403F"/>
    <w:rsid w:val="1EB47D5D"/>
    <w:rsid w:val="1EBE453C"/>
    <w:rsid w:val="1ECA20E8"/>
    <w:rsid w:val="1ECD1D9F"/>
    <w:rsid w:val="1EDF5D2E"/>
    <w:rsid w:val="1EE21909"/>
    <w:rsid w:val="1EF04110"/>
    <w:rsid w:val="1F1F1B7F"/>
    <w:rsid w:val="1F23368D"/>
    <w:rsid w:val="1F253FD9"/>
    <w:rsid w:val="1F345A28"/>
    <w:rsid w:val="1F3F5E7C"/>
    <w:rsid w:val="1F400167"/>
    <w:rsid w:val="1F572E39"/>
    <w:rsid w:val="1F603D1D"/>
    <w:rsid w:val="1F6327C7"/>
    <w:rsid w:val="1F664E2A"/>
    <w:rsid w:val="1F9574BD"/>
    <w:rsid w:val="1FA37E2C"/>
    <w:rsid w:val="1FA63478"/>
    <w:rsid w:val="1FC60099"/>
    <w:rsid w:val="1FC81641"/>
    <w:rsid w:val="1FDF5BB1"/>
    <w:rsid w:val="1FEB2573"/>
    <w:rsid w:val="1FEF3071"/>
    <w:rsid w:val="1FF00B97"/>
    <w:rsid w:val="2006285B"/>
    <w:rsid w:val="200F7274"/>
    <w:rsid w:val="20120B0E"/>
    <w:rsid w:val="20193933"/>
    <w:rsid w:val="20210D51"/>
    <w:rsid w:val="202C7E22"/>
    <w:rsid w:val="20367D9A"/>
    <w:rsid w:val="204038CD"/>
    <w:rsid w:val="20410142"/>
    <w:rsid w:val="20491554"/>
    <w:rsid w:val="205253AE"/>
    <w:rsid w:val="20686CAF"/>
    <w:rsid w:val="20760B1C"/>
    <w:rsid w:val="20770277"/>
    <w:rsid w:val="20783067"/>
    <w:rsid w:val="20823EE5"/>
    <w:rsid w:val="208E26E5"/>
    <w:rsid w:val="209241AC"/>
    <w:rsid w:val="20B63B8F"/>
    <w:rsid w:val="20DD071C"/>
    <w:rsid w:val="20DD55C0"/>
    <w:rsid w:val="20E3388B"/>
    <w:rsid w:val="20E56222"/>
    <w:rsid w:val="20EC75B1"/>
    <w:rsid w:val="20FB77F4"/>
    <w:rsid w:val="2105675C"/>
    <w:rsid w:val="21117017"/>
    <w:rsid w:val="211B179B"/>
    <w:rsid w:val="213056EF"/>
    <w:rsid w:val="21313216"/>
    <w:rsid w:val="213810DE"/>
    <w:rsid w:val="214449CF"/>
    <w:rsid w:val="214E5B76"/>
    <w:rsid w:val="215018EE"/>
    <w:rsid w:val="216154D0"/>
    <w:rsid w:val="21817CF9"/>
    <w:rsid w:val="219703D2"/>
    <w:rsid w:val="219F4F90"/>
    <w:rsid w:val="21A60A43"/>
    <w:rsid w:val="21A954A2"/>
    <w:rsid w:val="21AB2FC8"/>
    <w:rsid w:val="21AB746C"/>
    <w:rsid w:val="21AC3DB3"/>
    <w:rsid w:val="21AE5327"/>
    <w:rsid w:val="21BF4CC5"/>
    <w:rsid w:val="21D20555"/>
    <w:rsid w:val="21D70AEC"/>
    <w:rsid w:val="21E12EE9"/>
    <w:rsid w:val="21E45001"/>
    <w:rsid w:val="22174D39"/>
    <w:rsid w:val="22250889"/>
    <w:rsid w:val="22585C50"/>
    <w:rsid w:val="226226CC"/>
    <w:rsid w:val="22714B76"/>
    <w:rsid w:val="22737E15"/>
    <w:rsid w:val="22853819"/>
    <w:rsid w:val="22857CBD"/>
    <w:rsid w:val="22891A5C"/>
    <w:rsid w:val="22A46395"/>
    <w:rsid w:val="22AA14D2"/>
    <w:rsid w:val="22B42350"/>
    <w:rsid w:val="22D725F4"/>
    <w:rsid w:val="22DA2031"/>
    <w:rsid w:val="22E23150"/>
    <w:rsid w:val="22EE6EE2"/>
    <w:rsid w:val="22F4099F"/>
    <w:rsid w:val="23012161"/>
    <w:rsid w:val="230E380E"/>
    <w:rsid w:val="23130AEE"/>
    <w:rsid w:val="23212434"/>
    <w:rsid w:val="232B2612"/>
    <w:rsid w:val="232F19D7"/>
    <w:rsid w:val="233E3859"/>
    <w:rsid w:val="234678B4"/>
    <w:rsid w:val="235D4796"/>
    <w:rsid w:val="23621DAC"/>
    <w:rsid w:val="23693467"/>
    <w:rsid w:val="23713D9D"/>
    <w:rsid w:val="237F4601"/>
    <w:rsid w:val="238241FC"/>
    <w:rsid w:val="238F4F64"/>
    <w:rsid w:val="23905F23"/>
    <w:rsid w:val="23A245C8"/>
    <w:rsid w:val="23A45829"/>
    <w:rsid w:val="23B0550D"/>
    <w:rsid w:val="23BD5235"/>
    <w:rsid w:val="23BF2D5B"/>
    <w:rsid w:val="23C80EDF"/>
    <w:rsid w:val="23DE58D7"/>
    <w:rsid w:val="23FD1357"/>
    <w:rsid w:val="24151E4A"/>
    <w:rsid w:val="2418246B"/>
    <w:rsid w:val="243B4F45"/>
    <w:rsid w:val="243E0914"/>
    <w:rsid w:val="244C3F71"/>
    <w:rsid w:val="245053EE"/>
    <w:rsid w:val="24594F5D"/>
    <w:rsid w:val="245A2AD1"/>
    <w:rsid w:val="245F009A"/>
    <w:rsid w:val="247A404C"/>
    <w:rsid w:val="24884A5F"/>
    <w:rsid w:val="249C309C"/>
    <w:rsid w:val="24B86128"/>
    <w:rsid w:val="24C20D54"/>
    <w:rsid w:val="24C60CE2"/>
    <w:rsid w:val="24CD1BC1"/>
    <w:rsid w:val="24EA02AB"/>
    <w:rsid w:val="250A6257"/>
    <w:rsid w:val="251260C3"/>
    <w:rsid w:val="251D5F8B"/>
    <w:rsid w:val="252217F3"/>
    <w:rsid w:val="252F3F10"/>
    <w:rsid w:val="25310D78"/>
    <w:rsid w:val="25333A00"/>
    <w:rsid w:val="25342694"/>
    <w:rsid w:val="25382DC5"/>
    <w:rsid w:val="254123DA"/>
    <w:rsid w:val="25493224"/>
    <w:rsid w:val="25497AED"/>
    <w:rsid w:val="254E25E8"/>
    <w:rsid w:val="25657932"/>
    <w:rsid w:val="257D1F44"/>
    <w:rsid w:val="258C4EBE"/>
    <w:rsid w:val="259B1656"/>
    <w:rsid w:val="25BF3561"/>
    <w:rsid w:val="25C02ABC"/>
    <w:rsid w:val="25C60D09"/>
    <w:rsid w:val="25D66724"/>
    <w:rsid w:val="25DA10C0"/>
    <w:rsid w:val="25E1345C"/>
    <w:rsid w:val="25F82554"/>
    <w:rsid w:val="25FC53B3"/>
    <w:rsid w:val="26061115"/>
    <w:rsid w:val="26142ECD"/>
    <w:rsid w:val="26190E48"/>
    <w:rsid w:val="26282E39"/>
    <w:rsid w:val="262B2929"/>
    <w:rsid w:val="26367A4C"/>
    <w:rsid w:val="263730B3"/>
    <w:rsid w:val="26541E80"/>
    <w:rsid w:val="266813A1"/>
    <w:rsid w:val="267E514F"/>
    <w:rsid w:val="269E30FB"/>
    <w:rsid w:val="26AA1FC5"/>
    <w:rsid w:val="26D365F5"/>
    <w:rsid w:val="26EB042A"/>
    <w:rsid w:val="26FD0383"/>
    <w:rsid w:val="270B530F"/>
    <w:rsid w:val="270D202F"/>
    <w:rsid w:val="274570EF"/>
    <w:rsid w:val="2758774E"/>
    <w:rsid w:val="275B0FEC"/>
    <w:rsid w:val="27606603"/>
    <w:rsid w:val="27675EA2"/>
    <w:rsid w:val="27677991"/>
    <w:rsid w:val="27706A3C"/>
    <w:rsid w:val="277F117F"/>
    <w:rsid w:val="27A135B5"/>
    <w:rsid w:val="27AB7546"/>
    <w:rsid w:val="27B01338"/>
    <w:rsid w:val="27BE3C67"/>
    <w:rsid w:val="27CE5C62"/>
    <w:rsid w:val="27D8088F"/>
    <w:rsid w:val="27E26FA8"/>
    <w:rsid w:val="27E62FAC"/>
    <w:rsid w:val="27F75178"/>
    <w:rsid w:val="280C05F4"/>
    <w:rsid w:val="281615C1"/>
    <w:rsid w:val="28164F13"/>
    <w:rsid w:val="28196B08"/>
    <w:rsid w:val="281B7DE6"/>
    <w:rsid w:val="281E0082"/>
    <w:rsid w:val="28221B0A"/>
    <w:rsid w:val="28261BFA"/>
    <w:rsid w:val="282633A8"/>
    <w:rsid w:val="282B09BF"/>
    <w:rsid w:val="2832107C"/>
    <w:rsid w:val="28333D17"/>
    <w:rsid w:val="28353321"/>
    <w:rsid w:val="285D0AB8"/>
    <w:rsid w:val="286332DD"/>
    <w:rsid w:val="286B3457"/>
    <w:rsid w:val="28773CA1"/>
    <w:rsid w:val="28861EB0"/>
    <w:rsid w:val="28A54C15"/>
    <w:rsid w:val="28AA222B"/>
    <w:rsid w:val="28AC3423"/>
    <w:rsid w:val="28AD37CB"/>
    <w:rsid w:val="28B633F3"/>
    <w:rsid w:val="28BD003F"/>
    <w:rsid w:val="28C52BC1"/>
    <w:rsid w:val="28D3353C"/>
    <w:rsid w:val="28DB383C"/>
    <w:rsid w:val="28DE7285"/>
    <w:rsid w:val="28E54BC4"/>
    <w:rsid w:val="28EC1051"/>
    <w:rsid w:val="28F04E5E"/>
    <w:rsid w:val="28F74D45"/>
    <w:rsid w:val="28F866EF"/>
    <w:rsid w:val="290B62C6"/>
    <w:rsid w:val="29180297"/>
    <w:rsid w:val="293554AA"/>
    <w:rsid w:val="294033B8"/>
    <w:rsid w:val="29477A7A"/>
    <w:rsid w:val="29542197"/>
    <w:rsid w:val="295B3526"/>
    <w:rsid w:val="29714AF7"/>
    <w:rsid w:val="29842A7C"/>
    <w:rsid w:val="29844C90"/>
    <w:rsid w:val="299B1B74"/>
    <w:rsid w:val="29AB625B"/>
    <w:rsid w:val="29BB2216"/>
    <w:rsid w:val="29C14F55"/>
    <w:rsid w:val="29D56BC2"/>
    <w:rsid w:val="29DD03DE"/>
    <w:rsid w:val="2A01667B"/>
    <w:rsid w:val="2A1275E5"/>
    <w:rsid w:val="2A181417"/>
    <w:rsid w:val="2A247EDF"/>
    <w:rsid w:val="2A2C4EF9"/>
    <w:rsid w:val="2A2D4302"/>
    <w:rsid w:val="2A2D4EC2"/>
    <w:rsid w:val="2A2E29E8"/>
    <w:rsid w:val="2A4D57CE"/>
    <w:rsid w:val="2A6541E7"/>
    <w:rsid w:val="2A7339F7"/>
    <w:rsid w:val="2A781EB5"/>
    <w:rsid w:val="2A7960CD"/>
    <w:rsid w:val="2A7E7DB6"/>
    <w:rsid w:val="2A992557"/>
    <w:rsid w:val="2AAA4765"/>
    <w:rsid w:val="2AAF3B29"/>
    <w:rsid w:val="2ACC6008"/>
    <w:rsid w:val="2ADF3CE2"/>
    <w:rsid w:val="2AE00186"/>
    <w:rsid w:val="2AF37C9F"/>
    <w:rsid w:val="2B0A5203"/>
    <w:rsid w:val="2B0B1B03"/>
    <w:rsid w:val="2B0D6AA1"/>
    <w:rsid w:val="2B226845"/>
    <w:rsid w:val="2B3B360F"/>
    <w:rsid w:val="2B3C1135"/>
    <w:rsid w:val="2B4B22E0"/>
    <w:rsid w:val="2B5E5693"/>
    <w:rsid w:val="2B681F2A"/>
    <w:rsid w:val="2B6C01DB"/>
    <w:rsid w:val="2B715282"/>
    <w:rsid w:val="2B774D38"/>
    <w:rsid w:val="2B88437A"/>
    <w:rsid w:val="2B936A4F"/>
    <w:rsid w:val="2BAF272F"/>
    <w:rsid w:val="2BD3162B"/>
    <w:rsid w:val="2BEE1A93"/>
    <w:rsid w:val="2BEE541D"/>
    <w:rsid w:val="2C0B1233"/>
    <w:rsid w:val="2C194D6A"/>
    <w:rsid w:val="2C1B3211"/>
    <w:rsid w:val="2C1C3440"/>
    <w:rsid w:val="2C1F3A83"/>
    <w:rsid w:val="2C2A54CD"/>
    <w:rsid w:val="2C2B0B8C"/>
    <w:rsid w:val="2C4B162F"/>
    <w:rsid w:val="2C4D184B"/>
    <w:rsid w:val="2C550700"/>
    <w:rsid w:val="2C701096"/>
    <w:rsid w:val="2C8045B1"/>
    <w:rsid w:val="2CA71FAE"/>
    <w:rsid w:val="2CB03B88"/>
    <w:rsid w:val="2CB95B41"/>
    <w:rsid w:val="2CD36AA4"/>
    <w:rsid w:val="2CDB23C5"/>
    <w:rsid w:val="2CDE06F5"/>
    <w:rsid w:val="2CE657FC"/>
    <w:rsid w:val="2CE66E31"/>
    <w:rsid w:val="2CE83322"/>
    <w:rsid w:val="2D0839C4"/>
    <w:rsid w:val="2D1A7254"/>
    <w:rsid w:val="2D1E4F96"/>
    <w:rsid w:val="2D1F30D0"/>
    <w:rsid w:val="2D23435A"/>
    <w:rsid w:val="2D240FC2"/>
    <w:rsid w:val="2D3E09BA"/>
    <w:rsid w:val="2D40315E"/>
    <w:rsid w:val="2D5903B7"/>
    <w:rsid w:val="2D691DE4"/>
    <w:rsid w:val="2D7740A4"/>
    <w:rsid w:val="2D7F7E73"/>
    <w:rsid w:val="2D9139BA"/>
    <w:rsid w:val="2DA10393"/>
    <w:rsid w:val="2DA921BD"/>
    <w:rsid w:val="2DB87198"/>
    <w:rsid w:val="2DC01BA9"/>
    <w:rsid w:val="2DC41843"/>
    <w:rsid w:val="2DC7118A"/>
    <w:rsid w:val="2DCC1F34"/>
    <w:rsid w:val="2DFC1100"/>
    <w:rsid w:val="2E0349B5"/>
    <w:rsid w:val="2E057F04"/>
    <w:rsid w:val="2E163EBF"/>
    <w:rsid w:val="2E213D04"/>
    <w:rsid w:val="2E370301"/>
    <w:rsid w:val="2E4272A0"/>
    <w:rsid w:val="2E4F2F2D"/>
    <w:rsid w:val="2E5A0250"/>
    <w:rsid w:val="2E5D7529"/>
    <w:rsid w:val="2E5F307B"/>
    <w:rsid w:val="2E65232E"/>
    <w:rsid w:val="2E7F1461"/>
    <w:rsid w:val="2E8664B6"/>
    <w:rsid w:val="2E8B099B"/>
    <w:rsid w:val="2EBC6814"/>
    <w:rsid w:val="2EC42878"/>
    <w:rsid w:val="2EDD5EC1"/>
    <w:rsid w:val="2EE46F73"/>
    <w:rsid w:val="2EE70DB5"/>
    <w:rsid w:val="2F01691D"/>
    <w:rsid w:val="2F0248E8"/>
    <w:rsid w:val="2F0748E1"/>
    <w:rsid w:val="2F10285D"/>
    <w:rsid w:val="2F152A49"/>
    <w:rsid w:val="2F316B28"/>
    <w:rsid w:val="2F57478F"/>
    <w:rsid w:val="2F594063"/>
    <w:rsid w:val="2F602B42"/>
    <w:rsid w:val="2F756FED"/>
    <w:rsid w:val="2F77098D"/>
    <w:rsid w:val="2F9C6646"/>
    <w:rsid w:val="2FA01C92"/>
    <w:rsid w:val="2FB43990"/>
    <w:rsid w:val="2FB83480"/>
    <w:rsid w:val="2FBA31A0"/>
    <w:rsid w:val="2FBC42B4"/>
    <w:rsid w:val="2FC912BA"/>
    <w:rsid w:val="2FCD4A51"/>
    <w:rsid w:val="2FE13898"/>
    <w:rsid w:val="2FF7281C"/>
    <w:rsid w:val="30041C4E"/>
    <w:rsid w:val="301560CB"/>
    <w:rsid w:val="301D7787"/>
    <w:rsid w:val="30240E69"/>
    <w:rsid w:val="302503E9"/>
    <w:rsid w:val="30264639"/>
    <w:rsid w:val="30330D58"/>
    <w:rsid w:val="304E02C8"/>
    <w:rsid w:val="305D180E"/>
    <w:rsid w:val="3062519A"/>
    <w:rsid w:val="306C5B5B"/>
    <w:rsid w:val="307341E8"/>
    <w:rsid w:val="30740070"/>
    <w:rsid w:val="307859DD"/>
    <w:rsid w:val="3078676B"/>
    <w:rsid w:val="307A6AFD"/>
    <w:rsid w:val="30802FEA"/>
    <w:rsid w:val="309335A5"/>
    <w:rsid w:val="30A25EFD"/>
    <w:rsid w:val="30AA08EF"/>
    <w:rsid w:val="30B9482F"/>
    <w:rsid w:val="30CD1D3E"/>
    <w:rsid w:val="30DF4A3C"/>
    <w:rsid w:val="30E20088"/>
    <w:rsid w:val="30F12126"/>
    <w:rsid w:val="30F97DDF"/>
    <w:rsid w:val="31052FA1"/>
    <w:rsid w:val="310D5099"/>
    <w:rsid w:val="312468F3"/>
    <w:rsid w:val="3142251E"/>
    <w:rsid w:val="31434FCB"/>
    <w:rsid w:val="31490108"/>
    <w:rsid w:val="31490245"/>
    <w:rsid w:val="314B68FF"/>
    <w:rsid w:val="31611E6B"/>
    <w:rsid w:val="31624F2A"/>
    <w:rsid w:val="31723B02"/>
    <w:rsid w:val="317A4765"/>
    <w:rsid w:val="317F3B29"/>
    <w:rsid w:val="318908BB"/>
    <w:rsid w:val="318F6462"/>
    <w:rsid w:val="3195334D"/>
    <w:rsid w:val="3196159F"/>
    <w:rsid w:val="31962945"/>
    <w:rsid w:val="319A0963"/>
    <w:rsid w:val="31C118A2"/>
    <w:rsid w:val="31CB13C9"/>
    <w:rsid w:val="31CF4AB1"/>
    <w:rsid w:val="31F664E1"/>
    <w:rsid w:val="32053B5E"/>
    <w:rsid w:val="320627F7"/>
    <w:rsid w:val="32140715"/>
    <w:rsid w:val="32153EFC"/>
    <w:rsid w:val="322F3FB8"/>
    <w:rsid w:val="323D4DDE"/>
    <w:rsid w:val="324048F2"/>
    <w:rsid w:val="325A081E"/>
    <w:rsid w:val="325F4087"/>
    <w:rsid w:val="328E04C8"/>
    <w:rsid w:val="32AB107A"/>
    <w:rsid w:val="32AC4DF2"/>
    <w:rsid w:val="32B53CA7"/>
    <w:rsid w:val="32C72463"/>
    <w:rsid w:val="32DA1453"/>
    <w:rsid w:val="32DE2D20"/>
    <w:rsid w:val="32F5040A"/>
    <w:rsid w:val="32FC7B27"/>
    <w:rsid w:val="3304078A"/>
    <w:rsid w:val="330C763F"/>
    <w:rsid w:val="33226E62"/>
    <w:rsid w:val="333028B9"/>
    <w:rsid w:val="33423060"/>
    <w:rsid w:val="33490893"/>
    <w:rsid w:val="334C2057"/>
    <w:rsid w:val="33614751"/>
    <w:rsid w:val="33732D77"/>
    <w:rsid w:val="33997107"/>
    <w:rsid w:val="33A55B31"/>
    <w:rsid w:val="33E11B47"/>
    <w:rsid w:val="33E41628"/>
    <w:rsid w:val="33F52982"/>
    <w:rsid w:val="340117C4"/>
    <w:rsid w:val="34140EA1"/>
    <w:rsid w:val="341B5499"/>
    <w:rsid w:val="341F753D"/>
    <w:rsid w:val="34207846"/>
    <w:rsid w:val="34237336"/>
    <w:rsid w:val="34342A16"/>
    <w:rsid w:val="343B01DB"/>
    <w:rsid w:val="34441786"/>
    <w:rsid w:val="34546A3D"/>
    <w:rsid w:val="345614B9"/>
    <w:rsid w:val="34586FDF"/>
    <w:rsid w:val="34621C0C"/>
    <w:rsid w:val="347B2C5B"/>
    <w:rsid w:val="348A1163"/>
    <w:rsid w:val="348A6083"/>
    <w:rsid w:val="349B162A"/>
    <w:rsid w:val="349B57C6"/>
    <w:rsid w:val="34AE6BFF"/>
    <w:rsid w:val="34B17679"/>
    <w:rsid w:val="34CC6788"/>
    <w:rsid w:val="34F0546A"/>
    <w:rsid w:val="350E769E"/>
    <w:rsid w:val="351A4295"/>
    <w:rsid w:val="35244234"/>
    <w:rsid w:val="353D61D5"/>
    <w:rsid w:val="354F3660"/>
    <w:rsid w:val="3555418C"/>
    <w:rsid w:val="35580645"/>
    <w:rsid w:val="35613C72"/>
    <w:rsid w:val="35621232"/>
    <w:rsid w:val="356279EA"/>
    <w:rsid w:val="35721109"/>
    <w:rsid w:val="357C6CFE"/>
    <w:rsid w:val="35803BC1"/>
    <w:rsid w:val="3586192A"/>
    <w:rsid w:val="35895269"/>
    <w:rsid w:val="358B7B22"/>
    <w:rsid w:val="35A324DC"/>
    <w:rsid w:val="35BE10C4"/>
    <w:rsid w:val="35CD57AB"/>
    <w:rsid w:val="35D6236E"/>
    <w:rsid w:val="35D94164"/>
    <w:rsid w:val="35F1149A"/>
    <w:rsid w:val="35F76384"/>
    <w:rsid w:val="36174C78"/>
    <w:rsid w:val="3619454C"/>
    <w:rsid w:val="361B3181"/>
    <w:rsid w:val="3631101A"/>
    <w:rsid w:val="36405F7D"/>
    <w:rsid w:val="36483314"/>
    <w:rsid w:val="36513CE6"/>
    <w:rsid w:val="366566E5"/>
    <w:rsid w:val="36806379"/>
    <w:rsid w:val="3683080D"/>
    <w:rsid w:val="369D4362"/>
    <w:rsid w:val="36A4650C"/>
    <w:rsid w:val="36BD75CE"/>
    <w:rsid w:val="36CE4D5A"/>
    <w:rsid w:val="36DB27E6"/>
    <w:rsid w:val="36ED281A"/>
    <w:rsid w:val="36F17277"/>
    <w:rsid w:val="36F93CE9"/>
    <w:rsid w:val="370D2222"/>
    <w:rsid w:val="370E7E29"/>
    <w:rsid w:val="37180CA8"/>
    <w:rsid w:val="371A07CC"/>
    <w:rsid w:val="371D0B33"/>
    <w:rsid w:val="371D62BE"/>
    <w:rsid w:val="371F2036"/>
    <w:rsid w:val="37250D2B"/>
    <w:rsid w:val="372633C5"/>
    <w:rsid w:val="373F6684"/>
    <w:rsid w:val="374316AB"/>
    <w:rsid w:val="374926A0"/>
    <w:rsid w:val="37492F3D"/>
    <w:rsid w:val="37505428"/>
    <w:rsid w:val="37517D16"/>
    <w:rsid w:val="37537F32"/>
    <w:rsid w:val="375F68D7"/>
    <w:rsid w:val="37643EED"/>
    <w:rsid w:val="37721F02"/>
    <w:rsid w:val="377A54BF"/>
    <w:rsid w:val="37941132"/>
    <w:rsid w:val="37A61E10"/>
    <w:rsid w:val="37BC1633"/>
    <w:rsid w:val="37CB5D1A"/>
    <w:rsid w:val="37CD3840"/>
    <w:rsid w:val="37D63BBF"/>
    <w:rsid w:val="37EB3CC7"/>
    <w:rsid w:val="37EF54C3"/>
    <w:rsid w:val="38003C50"/>
    <w:rsid w:val="380B0872"/>
    <w:rsid w:val="382556DE"/>
    <w:rsid w:val="383D6974"/>
    <w:rsid w:val="38436E4E"/>
    <w:rsid w:val="386230FE"/>
    <w:rsid w:val="386E2FB9"/>
    <w:rsid w:val="38763A8C"/>
    <w:rsid w:val="38765C86"/>
    <w:rsid w:val="388D7E55"/>
    <w:rsid w:val="388E2B6A"/>
    <w:rsid w:val="38997BC6"/>
    <w:rsid w:val="389E6F8B"/>
    <w:rsid w:val="38A65E3F"/>
    <w:rsid w:val="38B4055C"/>
    <w:rsid w:val="38B865C7"/>
    <w:rsid w:val="38BE7523"/>
    <w:rsid w:val="38C61715"/>
    <w:rsid w:val="38D86941"/>
    <w:rsid w:val="38FF067B"/>
    <w:rsid w:val="39052B58"/>
    <w:rsid w:val="390858B2"/>
    <w:rsid w:val="390C77BE"/>
    <w:rsid w:val="390C7982"/>
    <w:rsid w:val="390E4110"/>
    <w:rsid w:val="3914549F"/>
    <w:rsid w:val="3914724D"/>
    <w:rsid w:val="393873DF"/>
    <w:rsid w:val="39447B32"/>
    <w:rsid w:val="395F51E1"/>
    <w:rsid w:val="396B4DB7"/>
    <w:rsid w:val="3972239A"/>
    <w:rsid w:val="397228F1"/>
    <w:rsid w:val="399B0698"/>
    <w:rsid w:val="39A22379"/>
    <w:rsid w:val="39A405D1"/>
    <w:rsid w:val="39C21C7F"/>
    <w:rsid w:val="39C3314D"/>
    <w:rsid w:val="39D1036D"/>
    <w:rsid w:val="39DE703E"/>
    <w:rsid w:val="39E135D3"/>
    <w:rsid w:val="39E41315"/>
    <w:rsid w:val="3A182A4E"/>
    <w:rsid w:val="3A396F6B"/>
    <w:rsid w:val="3A4122C4"/>
    <w:rsid w:val="3A575643"/>
    <w:rsid w:val="3A870A5F"/>
    <w:rsid w:val="3A89578B"/>
    <w:rsid w:val="3A9655D1"/>
    <w:rsid w:val="3A9F59B9"/>
    <w:rsid w:val="3AA827C9"/>
    <w:rsid w:val="3AB900AC"/>
    <w:rsid w:val="3AC058DE"/>
    <w:rsid w:val="3AC33322"/>
    <w:rsid w:val="3AC64B87"/>
    <w:rsid w:val="3AD35612"/>
    <w:rsid w:val="3ADB1C7A"/>
    <w:rsid w:val="3B00217F"/>
    <w:rsid w:val="3B027CA5"/>
    <w:rsid w:val="3B245E6D"/>
    <w:rsid w:val="3B274A2D"/>
    <w:rsid w:val="3B343BD6"/>
    <w:rsid w:val="3B3760F2"/>
    <w:rsid w:val="3B47390A"/>
    <w:rsid w:val="3B514788"/>
    <w:rsid w:val="3B5B73B5"/>
    <w:rsid w:val="3B600EEA"/>
    <w:rsid w:val="3B661F2B"/>
    <w:rsid w:val="3B6C15C2"/>
    <w:rsid w:val="3B6C511E"/>
    <w:rsid w:val="3B6E09BC"/>
    <w:rsid w:val="3B712735"/>
    <w:rsid w:val="3B7B2140"/>
    <w:rsid w:val="3B7F3E93"/>
    <w:rsid w:val="3B7F48FF"/>
    <w:rsid w:val="3B802918"/>
    <w:rsid w:val="3B897B93"/>
    <w:rsid w:val="3B8E4274"/>
    <w:rsid w:val="3B90705F"/>
    <w:rsid w:val="3B993054"/>
    <w:rsid w:val="3BCA0204"/>
    <w:rsid w:val="3BD5458B"/>
    <w:rsid w:val="3BD62830"/>
    <w:rsid w:val="3BE64ED1"/>
    <w:rsid w:val="3C027831"/>
    <w:rsid w:val="3C125CC6"/>
    <w:rsid w:val="3C2026DE"/>
    <w:rsid w:val="3C2A2FBD"/>
    <w:rsid w:val="3C4604BE"/>
    <w:rsid w:val="3C6F136A"/>
    <w:rsid w:val="3C794110"/>
    <w:rsid w:val="3C8226B1"/>
    <w:rsid w:val="3C88242C"/>
    <w:rsid w:val="3C9D307C"/>
    <w:rsid w:val="3C9D609A"/>
    <w:rsid w:val="3CA05045"/>
    <w:rsid w:val="3CB123E6"/>
    <w:rsid w:val="3CBD6CE2"/>
    <w:rsid w:val="3CD1792F"/>
    <w:rsid w:val="3CED228F"/>
    <w:rsid w:val="3D0B609A"/>
    <w:rsid w:val="3D0C0B50"/>
    <w:rsid w:val="3D1C4922"/>
    <w:rsid w:val="3D3D6E92"/>
    <w:rsid w:val="3D3F3AD0"/>
    <w:rsid w:val="3D422DC3"/>
    <w:rsid w:val="3D5553C2"/>
    <w:rsid w:val="3D5A3DC8"/>
    <w:rsid w:val="3D645E7B"/>
    <w:rsid w:val="3D670ACB"/>
    <w:rsid w:val="3D80667C"/>
    <w:rsid w:val="3D87453E"/>
    <w:rsid w:val="3D8860A4"/>
    <w:rsid w:val="3D8F1791"/>
    <w:rsid w:val="3DA70690"/>
    <w:rsid w:val="3DAC15A8"/>
    <w:rsid w:val="3DC56451"/>
    <w:rsid w:val="3DC92CFC"/>
    <w:rsid w:val="3DCB0822"/>
    <w:rsid w:val="3DCB25D0"/>
    <w:rsid w:val="3DD671C7"/>
    <w:rsid w:val="3DDD2538"/>
    <w:rsid w:val="3DE40EFD"/>
    <w:rsid w:val="3E035A30"/>
    <w:rsid w:val="3E271EB8"/>
    <w:rsid w:val="3E390470"/>
    <w:rsid w:val="3E3F6B1A"/>
    <w:rsid w:val="3E42660A"/>
    <w:rsid w:val="3E4928E7"/>
    <w:rsid w:val="3E4A245B"/>
    <w:rsid w:val="3E507983"/>
    <w:rsid w:val="3E5755E5"/>
    <w:rsid w:val="3E69737D"/>
    <w:rsid w:val="3E6D1878"/>
    <w:rsid w:val="3E7A3FF6"/>
    <w:rsid w:val="3EA51073"/>
    <w:rsid w:val="3EC961E7"/>
    <w:rsid w:val="3ED90D1D"/>
    <w:rsid w:val="3EDB170F"/>
    <w:rsid w:val="3F1A0FBD"/>
    <w:rsid w:val="3F3337EC"/>
    <w:rsid w:val="3F396379"/>
    <w:rsid w:val="3F606D53"/>
    <w:rsid w:val="3F626F64"/>
    <w:rsid w:val="3F7C4554"/>
    <w:rsid w:val="3F9A4950"/>
    <w:rsid w:val="3F9B5FD2"/>
    <w:rsid w:val="3F9D20F3"/>
    <w:rsid w:val="3FA255B3"/>
    <w:rsid w:val="3FB27214"/>
    <w:rsid w:val="3FCC6AD3"/>
    <w:rsid w:val="3FD9024B"/>
    <w:rsid w:val="3FE47E4C"/>
    <w:rsid w:val="3FFF0C57"/>
    <w:rsid w:val="40095632"/>
    <w:rsid w:val="4013025E"/>
    <w:rsid w:val="40216000"/>
    <w:rsid w:val="403717F6"/>
    <w:rsid w:val="404E573A"/>
    <w:rsid w:val="40526FD9"/>
    <w:rsid w:val="4062346F"/>
    <w:rsid w:val="40704BED"/>
    <w:rsid w:val="40712EDE"/>
    <w:rsid w:val="40783567"/>
    <w:rsid w:val="408D1DBF"/>
    <w:rsid w:val="408F6041"/>
    <w:rsid w:val="40BC0654"/>
    <w:rsid w:val="40C77495"/>
    <w:rsid w:val="40CF582C"/>
    <w:rsid w:val="40D73166"/>
    <w:rsid w:val="40E13EB9"/>
    <w:rsid w:val="40E816EB"/>
    <w:rsid w:val="40EE1C71"/>
    <w:rsid w:val="41160006"/>
    <w:rsid w:val="411B6C88"/>
    <w:rsid w:val="41281712"/>
    <w:rsid w:val="413C37E5"/>
    <w:rsid w:val="413C5593"/>
    <w:rsid w:val="413E3084"/>
    <w:rsid w:val="4140047A"/>
    <w:rsid w:val="414B3B0C"/>
    <w:rsid w:val="41513A32"/>
    <w:rsid w:val="415648A7"/>
    <w:rsid w:val="4162149D"/>
    <w:rsid w:val="4163290A"/>
    <w:rsid w:val="416767E3"/>
    <w:rsid w:val="416F761C"/>
    <w:rsid w:val="41733B91"/>
    <w:rsid w:val="41831414"/>
    <w:rsid w:val="418C02C8"/>
    <w:rsid w:val="41A05B22"/>
    <w:rsid w:val="41A27ABE"/>
    <w:rsid w:val="41AD023F"/>
    <w:rsid w:val="41B07B63"/>
    <w:rsid w:val="41C55588"/>
    <w:rsid w:val="41CE2C89"/>
    <w:rsid w:val="41D4552E"/>
    <w:rsid w:val="41DF2AEE"/>
    <w:rsid w:val="42004757"/>
    <w:rsid w:val="42021C48"/>
    <w:rsid w:val="4226071D"/>
    <w:rsid w:val="42293D69"/>
    <w:rsid w:val="422A4E15"/>
    <w:rsid w:val="42424E2B"/>
    <w:rsid w:val="424741EF"/>
    <w:rsid w:val="4249440B"/>
    <w:rsid w:val="424D3EFC"/>
    <w:rsid w:val="425D58C3"/>
    <w:rsid w:val="4262727B"/>
    <w:rsid w:val="4264549A"/>
    <w:rsid w:val="4269685C"/>
    <w:rsid w:val="42703746"/>
    <w:rsid w:val="42876CE2"/>
    <w:rsid w:val="42971EFF"/>
    <w:rsid w:val="429E01E7"/>
    <w:rsid w:val="42A96C58"/>
    <w:rsid w:val="42AE24C0"/>
    <w:rsid w:val="42B2168D"/>
    <w:rsid w:val="42CB4E20"/>
    <w:rsid w:val="42DE2DA6"/>
    <w:rsid w:val="42DE5160"/>
    <w:rsid w:val="42F00D2B"/>
    <w:rsid w:val="42F141F3"/>
    <w:rsid w:val="4303280C"/>
    <w:rsid w:val="431E31A2"/>
    <w:rsid w:val="43342D1D"/>
    <w:rsid w:val="43572B58"/>
    <w:rsid w:val="435B59FD"/>
    <w:rsid w:val="43671E93"/>
    <w:rsid w:val="436E79BF"/>
    <w:rsid w:val="43852B3F"/>
    <w:rsid w:val="4387343D"/>
    <w:rsid w:val="43963DEB"/>
    <w:rsid w:val="43AB7A8A"/>
    <w:rsid w:val="43E72417"/>
    <w:rsid w:val="43E90031"/>
    <w:rsid w:val="43EC14F2"/>
    <w:rsid w:val="43F24FF2"/>
    <w:rsid w:val="43FE4D82"/>
    <w:rsid w:val="4404721B"/>
    <w:rsid w:val="44093E52"/>
    <w:rsid w:val="440B7ADA"/>
    <w:rsid w:val="4415711B"/>
    <w:rsid w:val="4436451B"/>
    <w:rsid w:val="44394A16"/>
    <w:rsid w:val="443E2A36"/>
    <w:rsid w:val="445175A7"/>
    <w:rsid w:val="445D7A85"/>
    <w:rsid w:val="44646E8E"/>
    <w:rsid w:val="448505E6"/>
    <w:rsid w:val="44A37EC3"/>
    <w:rsid w:val="44A7469E"/>
    <w:rsid w:val="44C361AF"/>
    <w:rsid w:val="44E26451"/>
    <w:rsid w:val="44EE3048"/>
    <w:rsid w:val="44F721A7"/>
    <w:rsid w:val="44FA7B99"/>
    <w:rsid w:val="450F4957"/>
    <w:rsid w:val="452A3203"/>
    <w:rsid w:val="452C701B"/>
    <w:rsid w:val="4537679D"/>
    <w:rsid w:val="45505CD5"/>
    <w:rsid w:val="455546D4"/>
    <w:rsid w:val="455A182E"/>
    <w:rsid w:val="455F7598"/>
    <w:rsid w:val="45725A27"/>
    <w:rsid w:val="45800144"/>
    <w:rsid w:val="45AA51C1"/>
    <w:rsid w:val="45AD1CD4"/>
    <w:rsid w:val="45B147A1"/>
    <w:rsid w:val="45B63B66"/>
    <w:rsid w:val="45C42C62"/>
    <w:rsid w:val="45DA4F1C"/>
    <w:rsid w:val="45DC20DD"/>
    <w:rsid w:val="45E95AF5"/>
    <w:rsid w:val="45F1020F"/>
    <w:rsid w:val="45F35B6A"/>
    <w:rsid w:val="45F50A87"/>
    <w:rsid w:val="45FE6C26"/>
    <w:rsid w:val="460222FB"/>
    <w:rsid w:val="460949EE"/>
    <w:rsid w:val="46113492"/>
    <w:rsid w:val="461D1E37"/>
    <w:rsid w:val="4622744D"/>
    <w:rsid w:val="46304ADA"/>
    <w:rsid w:val="463347F0"/>
    <w:rsid w:val="46342239"/>
    <w:rsid w:val="46364E41"/>
    <w:rsid w:val="463673DA"/>
    <w:rsid w:val="463D4C33"/>
    <w:rsid w:val="4662784A"/>
    <w:rsid w:val="4665733A"/>
    <w:rsid w:val="46687A77"/>
    <w:rsid w:val="466F1F67"/>
    <w:rsid w:val="467460EE"/>
    <w:rsid w:val="46777892"/>
    <w:rsid w:val="467F03FC"/>
    <w:rsid w:val="46862D23"/>
    <w:rsid w:val="469A6AFE"/>
    <w:rsid w:val="46A00372"/>
    <w:rsid w:val="46A460B4"/>
    <w:rsid w:val="46B1257F"/>
    <w:rsid w:val="46B856BC"/>
    <w:rsid w:val="46BF5A44"/>
    <w:rsid w:val="46D63D94"/>
    <w:rsid w:val="46F37769"/>
    <w:rsid w:val="47170634"/>
    <w:rsid w:val="471843AC"/>
    <w:rsid w:val="472E597E"/>
    <w:rsid w:val="47451645"/>
    <w:rsid w:val="47480D31"/>
    <w:rsid w:val="475233E9"/>
    <w:rsid w:val="4755115C"/>
    <w:rsid w:val="47573126"/>
    <w:rsid w:val="475953F1"/>
    <w:rsid w:val="476D64A6"/>
    <w:rsid w:val="477D544D"/>
    <w:rsid w:val="478163F5"/>
    <w:rsid w:val="479223B1"/>
    <w:rsid w:val="47987A1F"/>
    <w:rsid w:val="47A66414"/>
    <w:rsid w:val="47A85730"/>
    <w:rsid w:val="47D9289D"/>
    <w:rsid w:val="47EA3F9B"/>
    <w:rsid w:val="47ED304C"/>
    <w:rsid w:val="47EF6E61"/>
    <w:rsid w:val="47F6649C"/>
    <w:rsid w:val="47FA38D4"/>
    <w:rsid w:val="47FE6B56"/>
    <w:rsid w:val="48305468"/>
    <w:rsid w:val="483B7566"/>
    <w:rsid w:val="48496F13"/>
    <w:rsid w:val="485E04E5"/>
    <w:rsid w:val="487A531F"/>
    <w:rsid w:val="48822425"/>
    <w:rsid w:val="489A151D"/>
    <w:rsid w:val="48BD520B"/>
    <w:rsid w:val="48C447EC"/>
    <w:rsid w:val="48C93F7A"/>
    <w:rsid w:val="48D32C81"/>
    <w:rsid w:val="48F67F8C"/>
    <w:rsid w:val="490462EC"/>
    <w:rsid w:val="490E6D6F"/>
    <w:rsid w:val="49115557"/>
    <w:rsid w:val="49290AF3"/>
    <w:rsid w:val="492E05EF"/>
    <w:rsid w:val="493E459E"/>
    <w:rsid w:val="4950607F"/>
    <w:rsid w:val="49776048"/>
    <w:rsid w:val="497A6719"/>
    <w:rsid w:val="499E1B8B"/>
    <w:rsid w:val="49B10BC5"/>
    <w:rsid w:val="49B20AE8"/>
    <w:rsid w:val="49BC54C3"/>
    <w:rsid w:val="49BE56DF"/>
    <w:rsid w:val="49D21641"/>
    <w:rsid w:val="49E14F29"/>
    <w:rsid w:val="49F64E79"/>
    <w:rsid w:val="49FE4E19"/>
    <w:rsid w:val="4A08695A"/>
    <w:rsid w:val="4A182708"/>
    <w:rsid w:val="4A2512BA"/>
    <w:rsid w:val="4A266DE0"/>
    <w:rsid w:val="4A336902"/>
    <w:rsid w:val="4A526713"/>
    <w:rsid w:val="4A534079"/>
    <w:rsid w:val="4A7A63BB"/>
    <w:rsid w:val="4A8701CE"/>
    <w:rsid w:val="4A9106FD"/>
    <w:rsid w:val="4A9A1CA8"/>
    <w:rsid w:val="4AA77F21"/>
    <w:rsid w:val="4AAC5537"/>
    <w:rsid w:val="4AAE5753"/>
    <w:rsid w:val="4AAF5028"/>
    <w:rsid w:val="4ABE526B"/>
    <w:rsid w:val="4AC07235"/>
    <w:rsid w:val="4AC26B09"/>
    <w:rsid w:val="4AC45FA4"/>
    <w:rsid w:val="4AEE358C"/>
    <w:rsid w:val="4B100438"/>
    <w:rsid w:val="4B1B26BD"/>
    <w:rsid w:val="4B1D0C39"/>
    <w:rsid w:val="4B29302C"/>
    <w:rsid w:val="4B2E561A"/>
    <w:rsid w:val="4B3223A6"/>
    <w:rsid w:val="4B3D2633"/>
    <w:rsid w:val="4B3E382E"/>
    <w:rsid w:val="4B427C4A"/>
    <w:rsid w:val="4B555BCF"/>
    <w:rsid w:val="4B5C6F5D"/>
    <w:rsid w:val="4B661B8A"/>
    <w:rsid w:val="4B685902"/>
    <w:rsid w:val="4B765793"/>
    <w:rsid w:val="4B885FA4"/>
    <w:rsid w:val="4B977F95"/>
    <w:rsid w:val="4BAD77B9"/>
    <w:rsid w:val="4BB06C8D"/>
    <w:rsid w:val="4BB952DB"/>
    <w:rsid w:val="4BCE14DD"/>
    <w:rsid w:val="4BCE403B"/>
    <w:rsid w:val="4BDF193C"/>
    <w:rsid w:val="4BEB349F"/>
    <w:rsid w:val="4BF05304"/>
    <w:rsid w:val="4C21363D"/>
    <w:rsid w:val="4C2E5100"/>
    <w:rsid w:val="4C3E75CF"/>
    <w:rsid w:val="4C4F6857"/>
    <w:rsid w:val="4C5D1145"/>
    <w:rsid w:val="4C8A7685"/>
    <w:rsid w:val="4C910E89"/>
    <w:rsid w:val="4C9B3AB5"/>
    <w:rsid w:val="4C9D15DC"/>
    <w:rsid w:val="4CA41E94"/>
    <w:rsid w:val="4CA4286F"/>
    <w:rsid w:val="4CB10B61"/>
    <w:rsid w:val="4CCD5AED"/>
    <w:rsid w:val="4D27359B"/>
    <w:rsid w:val="4D2770F7"/>
    <w:rsid w:val="4D2A496C"/>
    <w:rsid w:val="4D37082D"/>
    <w:rsid w:val="4D422183"/>
    <w:rsid w:val="4D4B6C1F"/>
    <w:rsid w:val="4D4C2A01"/>
    <w:rsid w:val="4D5D0D6B"/>
    <w:rsid w:val="4D77007F"/>
    <w:rsid w:val="4D7A7DD8"/>
    <w:rsid w:val="4D8004B2"/>
    <w:rsid w:val="4D9218E1"/>
    <w:rsid w:val="4D92309B"/>
    <w:rsid w:val="4D9431AD"/>
    <w:rsid w:val="4DA50D3D"/>
    <w:rsid w:val="4DC1579E"/>
    <w:rsid w:val="4DC31516"/>
    <w:rsid w:val="4DC4528E"/>
    <w:rsid w:val="4DC62DB4"/>
    <w:rsid w:val="4DDF5AFB"/>
    <w:rsid w:val="4DF46B41"/>
    <w:rsid w:val="4E037B64"/>
    <w:rsid w:val="4E1E04FA"/>
    <w:rsid w:val="4E3F057B"/>
    <w:rsid w:val="4E49233A"/>
    <w:rsid w:val="4E61488B"/>
    <w:rsid w:val="4E795B5F"/>
    <w:rsid w:val="4E7C3177"/>
    <w:rsid w:val="4E7F2C11"/>
    <w:rsid w:val="4E877363"/>
    <w:rsid w:val="4E881E17"/>
    <w:rsid w:val="4E9764FE"/>
    <w:rsid w:val="4E9D4C26"/>
    <w:rsid w:val="4EA24E1D"/>
    <w:rsid w:val="4EC05A55"/>
    <w:rsid w:val="4EC4477A"/>
    <w:rsid w:val="4ED80FF1"/>
    <w:rsid w:val="4EDB08B6"/>
    <w:rsid w:val="4EDC3E46"/>
    <w:rsid w:val="4EDD7A7E"/>
    <w:rsid w:val="4EEF00E8"/>
    <w:rsid w:val="4EF274B5"/>
    <w:rsid w:val="4EF46EAF"/>
    <w:rsid w:val="4EFA7BA9"/>
    <w:rsid w:val="4F144D58"/>
    <w:rsid w:val="4F1D07B2"/>
    <w:rsid w:val="4F277882"/>
    <w:rsid w:val="4F2935FA"/>
    <w:rsid w:val="4F3D6138"/>
    <w:rsid w:val="4F4A3CE2"/>
    <w:rsid w:val="4F53436C"/>
    <w:rsid w:val="4F54674E"/>
    <w:rsid w:val="4F56098E"/>
    <w:rsid w:val="4F5912F0"/>
    <w:rsid w:val="4F647FAF"/>
    <w:rsid w:val="4F6665FD"/>
    <w:rsid w:val="4F74239C"/>
    <w:rsid w:val="4F8E7901"/>
    <w:rsid w:val="4F9E1C4E"/>
    <w:rsid w:val="4FA9668F"/>
    <w:rsid w:val="4FB27ACC"/>
    <w:rsid w:val="4FC86546"/>
    <w:rsid w:val="4FD55530"/>
    <w:rsid w:val="4FEE7CED"/>
    <w:rsid w:val="4FF5172F"/>
    <w:rsid w:val="50010825"/>
    <w:rsid w:val="50136025"/>
    <w:rsid w:val="50170E82"/>
    <w:rsid w:val="501E6ED7"/>
    <w:rsid w:val="5029166D"/>
    <w:rsid w:val="502A5F3B"/>
    <w:rsid w:val="50302D4A"/>
    <w:rsid w:val="50343B34"/>
    <w:rsid w:val="503A2AB3"/>
    <w:rsid w:val="503B5A21"/>
    <w:rsid w:val="503F2879"/>
    <w:rsid w:val="504D3319"/>
    <w:rsid w:val="50522379"/>
    <w:rsid w:val="506616A5"/>
    <w:rsid w:val="506B28C6"/>
    <w:rsid w:val="50772E93"/>
    <w:rsid w:val="507F724A"/>
    <w:rsid w:val="50854EDF"/>
    <w:rsid w:val="50884CD3"/>
    <w:rsid w:val="508D7BB9"/>
    <w:rsid w:val="50966A6E"/>
    <w:rsid w:val="509727E6"/>
    <w:rsid w:val="50A30487"/>
    <w:rsid w:val="50A62A29"/>
    <w:rsid w:val="50AF51FF"/>
    <w:rsid w:val="50B26176"/>
    <w:rsid w:val="50C057AC"/>
    <w:rsid w:val="50C25AB5"/>
    <w:rsid w:val="50D574E2"/>
    <w:rsid w:val="50D95D43"/>
    <w:rsid w:val="50E7376D"/>
    <w:rsid w:val="50E75601"/>
    <w:rsid w:val="5100482F"/>
    <w:rsid w:val="5107750D"/>
    <w:rsid w:val="51142088"/>
    <w:rsid w:val="51295B34"/>
    <w:rsid w:val="51296268"/>
    <w:rsid w:val="512A575E"/>
    <w:rsid w:val="513C27E9"/>
    <w:rsid w:val="514209A3"/>
    <w:rsid w:val="51446B8B"/>
    <w:rsid w:val="514951D3"/>
    <w:rsid w:val="51610292"/>
    <w:rsid w:val="5161660F"/>
    <w:rsid w:val="51826252"/>
    <w:rsid w:val="51830EE8"/>
    <w:rsid w:val="5184720E"/>
    <w:rsid w:val="518E3BE9"/>
    <w:rsid w:val="5195620F"/>
    <w:rsid w:val="519A258E"/>
    <w:rsid w:val="51A451BA"/>
    <w:rsid w:val="51A52CE0"/>
    <w:rsid w:val="51A90A23"/>
    <w:rsid w:val="51AD057B"/>
    <w:rsid w:val="51DB6702"/>
    <w:rsid w:val="51E43809"/>
    <w:rsid w:val="52026230"/>
    <w:rsid w:val="52150E7F"/>
    <w:rsid w:val="52287B99"/>
    <w:rsid w:val="523A5B1F"/>
    <w:rsid w:val="524A28BB"/>
    <w:rsid w:val="52552958"/>
    <w:rsid w:val="52562C78"/>
    <w:rsid w:val="525B0D78"/>
    <w:rsid w:val="525D7430"/>
    <w:rsid w:val="526E7576"/>
    <w:rsid w:val="528B637A"/>
    <w:rsid w:val="52903880"/>
    <w:rsid w:val="52903990"/>
    <w:rsid w:val="52A80CDA"/>
    <w:rsid w:val="52AD5988"/>
    <w:rsid w:val="52AE016E"/>
    <w:rsid w:val="52B150D7"/>
    <w:rsid w:val="52CC2C1B"/>
    <w:rsid w:val="52D4327E"/>
    <w:rsid w:val="52D4686F"/>
    <w:rsid w:val="52DF776B"/>
    <w:rsid w:val="52E2243E"/>
    <w:rsid w:val="530B3195"/>
    <w:rsid w:val="531262E7"/>
    <w:rsid w:val="53186861"/>
    <w:rsid w:val="531A7D56"/>
    <w:rsid w:val="533B56AA"/>
    <w:rsid w:val="533C1422"/>
    <w:rsid w:val="533F163E"/>
    <w:rsid w:val="53400E57"/>
    <w:rsid w:val="535454FF"/>
    <w:rsid w:val="536F7A4A"/>
    <w:rsid w:val="53735C3B"/>
    <w:rsid w:val="537C7DFC"/>
    <w:rsid w:val="537D5CC3"/>
    <w:rsid w:val="537E2514"/>
    <w:rsid w:val="538277C4"/>
    <w:rsid w:val="538370BE"/>
    <w:rsid w:val="53840D3D"/>
    <w:rsid w:val="53A05E55"/>
    <w:rsid w:val="53B4545D"/>
    <w:rsid w:val="53D8739D"/>
    <w:rsid w:val="53E0500A"/>
    <w:rsid w:val="53EA4C3A"/>
    <w:rsid w:val="53EE0073"/>
    <w:rsid w:val="53F02939"/>
    <w:rsid w:val="53F326A1"/>
    <w:rsid w:val="53F57F4F"/>
    <w:rsid w:val="540208BE"/>
    <w:rsid w:val="541A1764"/>
    <w:rsid w:val="54224ABC"/>
    <w:rsid w:val="54324CFF"/>
    <w:rsid w:val="54460374"/>
    <w:rsid w:val="54467B70"/>
    <w:rsid w:val="54493DF7"/>
    <w:rsid w:val="544D7D8B"/>
    <w:rsid w:val="545F186C"/>
    <w:rsid w:val="546B6DC2"/>
    <w:rsid w:val="5472094E"/>
    <w:rsid w:val="5486329D"/>
    <w:rsid w:val="54984D36"/>
    <w:rsid w:val="54AF5068"/>
    <w:rsid w:val="54C34FB0"/>
    <w:rsid w:val="54CF2274"/>
    <w:rsid w:val="54EF30D9"/>
    <w:rsid w:val="54F71DA5"/>
    <w:rsid w:val="5503369C"/>
    <w:rsid w:val="55061B79"/>
    <w:rsid w:val="55162754"/>
    <w:rsid w:val="551D5F9C"/>
    <w:rsid w:val="55206C5C"/>
    <w:rsid w:val="55221ECF"/>
    <w:rsid w:val="55322ADD"/>
    <w:rsid w:val="554E3DBB"/>
    <w:rsid w:val="55562C6F"/>
    <w:rsid w:val="555D2250"/>
    <w:rsid w:val="555E1B24"/>
    <w:rsid w:val="55654C60"/>
    <w:rsid w:val="556E620B"/>
    <w:rsid w:val="55760C1C"/>
    <w:rsid w:val="558110E9"/>
    <w:rsid w:val="558D4517"/>
    <w:rsid w:val="559246F5"/>
    <w:rsid w:val="559300EC"/>
    <w:rsid w:val="5595676E"/>
    <w:rsid w:val="55974A50"/>
    <w:rsid w:val="55A32FF3"/>
    <w:rsid w:val="55A50147"/>
    <w:rsid w:val="55B300C2"/>
    <w:rsid w:val="55B6370E"/>
    <w:rsid w:val="55BB2AD2"/>
    <w:rsid w:val="55D336DC"/>
    <w:rsid w:val="55DC290C"/>
    <w:rsid w:val="55F85AD5"/>
    <w:rsid w:val="56026953"/>
    <w:rsid w:val="56076719"/>
    <w:rsid w:val="56175486"/>
    <w:rsid w:val="561F3061"/>
    <w:rsid w:val="562A4416"/>
    <w:rsid w:val="564C5E20"/>
    <w:rsid w:val="56520AD5"/>
    <w:rsid w:val="56530F5D"/>
    <w:rsid w:val="566B4385"/>
    <w:rsid w:val="567B117E"/>
    <w:rsid w:val="567D7B45"/>
    <w:rsid w:val="568129C5"/>
    <w:rsid w:val="56816AA4"/>
    <w:rsid w:val="568411BB"/>
    <w:rsid w:val="56A25A40"/>
    <w:rsid w:val="56A814DF"/>
    <w:rsid w:val="56AC04E7"/>
    <w:rsid w:val="56AE2637"/>
    <w:rsid w:val="56AE30BE"/>
    <w:rsid w:val="56B3048E"/>
    <w:rsid w:val="56B952F1"/>
    <w:rsid w:val="56CA2358"/>
    <w:rsid w:val="56D06A51"/>
    <w:rsid w:val="56D137DB"/>
    <w:rsid w:val="56EF512A"/>
    <w:rsid w:val="56F00EA2"/>
    <w:rsid w:val="56FC7846"/>
    <w:rsid w:val="57032983"/>
    <w:rsid w:val="570B7A8A"/>
    <w:rsid w:val="570E36C7"/>
    <w:rsid w:val="571050A0"/>
    <w:rsid w:val="572C46CA"/>
    <w:rsid w:val="572F6246"/>
    <w:rsid w:val="57352530"/>
    <w:rsid w:val="57432CFF"/>
    <w:rsid w:val="57460AC2"/>
    <w:rsid w:val="575652A3"/>
    <w:rsid w:val="57636ED5"/>
    <w:rsid w:val="57776ECD"/>
    <w:rsid w:val="578B68BB"/>
    <w:rsid w:val="57A35F14"/>
    <w:rsid w:val="57A6025A"/>
    <w:rsid w:val="57B11829"/>
    <w:rsid w:val="57B36157"/>
    <w:rsid w:val="57D32355"/>
    <w:rsid w:val="57DD7A72"/>
    <w:rsid w:val="57E22433"/>
    <w:rsid w:val="57E502DB"/>
    <w:rsid w:val="57E57349"/>
    <w:rsid w:val="57EC2A50"/>
    <w:rsid w:val="580D2F98"/>
    <w:rsid w:val="5814071D"/>
    <w:rsid w:val="58145A7D"/>
    <w:rsid w:val="581B5404"/>
    <w:rsid w:val="5827444F"/>
    <w:rsid w:val="582C5F09"/>
    <w:rsid w:val="583628E4"/>
    <w:rsid w:val="583A0626"/>
    <w:rsid w:val="584119B5"/>
    <w:rsid w:val="584B2834"/>
    <w:rsid w:val="585A65D3"/>
    <w:rsid w:val="585C276F"/>
    <w:rsid w:val="5875340D"/>
    <w:rsid w:val="587A3E0C"/>
    <w:rsid w:val="587F428B"/>
    <w:rsid w:val="588C4A17"/>
    <w:rsid w:val="58980F6D"/>
    <w:rsid w:val="58AA180B"/>
    <w:rsid w:val="58B55EFF"/>
    <w:rsid w:val="58B959EF"/>
    <w:rsid w:val="58C83E84"/>
    <w:rsid w:val="58CD4FF7"/>
    <w:rsid w:val="58DF11CE"/>
    <w:rsid w:val="58EB1921"/>
    <w:rsid w:val="590617C1"/>
    <w:rsid w:val="590B5B1F"/>
    <w:rsid w:val="591C41D0"/>
    <w:rsid w:val="592129AE"/>
    <w:rsid w:val="59236CE8"/>
    <w:rsid w:val="593B3E82"/>
    <w:rsid w:val="593C3F2A"/>
    <w:rsid w:val="594C6863"/>
    <w:rsid w:val="59545718"/>
    <w:rsid w:val="59590F80"/>
    <w:rsid w:val="595E6596"/>
    <w:rsid w:val="59684D1F"/>
    <w:rsid w:val="596A0A97"/>
    <w:rsid w:val="597B7CD4"/>
    <w:rsid w:val="597E09E7"/>
    <w:rsid w:val="598C3C46"/>
    <w:rsid w:val="598D29D8"/>
    <w:rsid w:val="5991500E"/>
    <w:rsid w:val="599D630C"/>
    <w:rsid w:val="59A83672"/>
    <w:rsid w:val="59C57D92"/>
    <w:rsid w:val="59CF64A7"/>
    <w:rsid w:val="59EA607C"/>
    <w:rsid w:val="59ED04AB"/>
    <w:rsid w:val="59F91E1B"/>
    <w:rsid w:val="5A042160"/>
    <w:rsid w:val="5A177FC4"/>
    <w:rsid w:val="5A2570B4"/>
    <w:rsid w:val="5A315346"/>
    <w:rsid w:val="5A421A14"/>
    <w:rsid w:val="5A6F4D3F"/>
    <w:rsid w:val="5A7F396D"/>
    <w:rsid w:val="5A867B53"/>
    <w:rsid w:val="5A9658BC"/>
    <w:rsid w:val="5AA06C59"/>
    <w:rsid w:val="5AB66396"/>
    <w:rsid w:val="5AB7309E"/>
    <w:rsid w:val="5ABF6639"/>
    <w:rsid w:val="5AC327C3"/>
    <w:rsid w:val="5AD36B10"/>
    <w:rsid w:val="5ADD34EB"/>
    <w:rsid w:val="5AE40D1D"/>
    <w:rsid w:val="5AE70F20"/>
    <w:rsid w:val="5AF90236"/>
    <w:rsid w:val="5B0E7818"/>
    <w:rsid w:val="5B1038C0"/>
    <w:rsid w:val="5B1E2E42"/>
    <w:rsid w:val="5B2703BF"/>
    <w:rsid w:val="5B2F1F99"/>
    <w:rsid w:val="5B3369C3"/>
    <w:rsid w:val="5B3515EF"/>
    <w:rsid w:val="5B3C6463"/>
    <w:rsid w:val="5B413F46"/>
    <w:rsid w:val="5B480E34"/>
    <w:rsid w:val="5B5269EE"/>
    <w:rsid w:val="5B644A23"/>
    <w:rsid w:val="5B650361"/>
    <w:rsid w:val="5B653C0C"/>
    <w:rsid w:val="5B6634E0"/>
    <w:rsid w:val="5B783BA2"/>
    <w:rsid w:val="5B7B5AF5"/>
    <w:rsid w:val="5B7F2398"/>
    <w:rsid w:val="5B9C6F02"/>
    <w:rsid w:val="5BA87F9D"/>
    <w:rsid w:val="5BB71F8E"/>
    <w:rsid w:val="5BB95E08"/>
    <w:rsid w:val="5BC44AE3"/>
    <w:rsid w:val="5BC546AB"/>
    <w:rsid w:val="5BE64117"/>
    <w:rsid w:val="5BED775E"/>
    <w:rsid w:val="5BF56422"/>
    <w:rsid w:val="5C050F4B"/>
    <w:rsid w:val="5C086EE6"/>
    <w:rsid w:val="5C0C6506"/>
    <w:rsid w:val="5C114178"/>
    <w:rsid w:val="5C147FC6"/>
    <w:rsid w:val="5C2E2BCD"/>
    <w:rsid w:val="5C3A1D29"/>
    <w:rsid w:val="5C3A6E47"/>
    <w:rsid w:val="5C423A06"/>
    <w:rsid w:val="5C533A65"/>
    <w:rsid w:val="5C5679F9"/>
    <w:rsid w:val="5C576950"/>
    <w:rsid w:val="5C677510"/>
    <w:rsid w:val="5C741C2D"/>
    <w:rsid w:val="5C8276A5"/>
    <w:rsid w:val="5C8B5B86"/>
    <w:rsid w:val="5C901A04"/>
    <w:rsid w:val="5C9E6C3D"/>
    <w:rsid w:val="5CBD1826"/>
    <w:rsid w:val="5CC52E42"/>
    <w:rsid w:val="5CD22042"/>
    <w:rsid w:val="5CD34BA6"/>
    <w:rsid w:val="5CD8040E"/>
    <w:rsid w:val="5CD923EB"/>
    <w:rsid w:val="5CE648D9"/>
    <w:rsid w:val="5D0C4031"/>
    <w:rsid w:val="5D120C2C"/>
    <w:rsid w:val="5D156A58"/>
    <w:rsid w:val="5D170F36"/>
    <w:rsid w:val="5D1C64FA"/>
    <w:rsid w:val="5D2F6417"/>
    <w:rsid w:val="5D437F7D"/>
    <w:rsid w:val="5D4A130C"/>
    <w:rsid w:val="5D557CB0"/>
    <w:rsid w:val="5D5743EF"/>
    <w:rsid w:val="5D5A37ED"/>
    <w:rsid w:val="5D8803DF"/>
    <w:rsid w:val="5D9B4A25"/>
    <w:rsid w:val="5DE41FD2"/>
    <w:rsid w:val="5DEF7705"/>
    <w:rsid w:val="5DF440DB"/>
    <w:rsid w:val="5DF62B48"/>
    <w:rsid w:val="5DFF4054"/>
    <w:rsid w:val="5E112247"/>
    <w:rsid w:val="5E2D4789"/>
    <w:rsid w:val="5E3478C6"/>
    <w:rsid w:val="5E451AD3"/>
    <w:rsid w:val="5E4C37EF"/>
    <w:rsid w:val="5E5F5205"/>
    <w:rsid w:val="5E653F23"/>
    <w:rsid w:val="5E68756F"/>
    <w:rsid w:val="5E8048B9"/>
    <w:rsid w:val="5E824AD5"/>
    <w:rsid w:val="5E982979"/>
    <w:rsid w:val="5EB04079"/>
    <w:rsid w:val="5EC155FD"/>
    <w:rsid w:val="5EC16736"/>
    <w:rsid w:val="5ED65B32"/>
    <w:rsid w:val="5EEC0743"/>
    <w:rsid w:val="5EFA1418"/>
    <w:rsid w:val="5EFD0600"/>
    <w:rsid w:val="5F024F5E"/>
    <w:rsid w:val="5F0E45BB"/>
    <w:rsid w:val="5F1552C0"/>
    <w:rsid w:val="5F1C0A86"/>
    <w:rsid w:val="5F2142FA"/>
    <w:rsid w:val="5F382868"/>
    <w:rsid w:val="5F463D55"/>
    <w:rsid w:val="5F487ACD"/>
    <w:rsid w:val="5F4F3618"/>
    <w:rsid w:val="5F50072F"/>
    <w:rsid w:val="5F553807"/>
    <w:rsid w:val="5F5F6BC4"/>
    <w:rsid w:val="5F7B42E3"/>
    <w:rsid w:val="5F83018E"/>
    <w:rsid w:val="5F864151"/>
    <w:rsid w:val="5F8D49E7"/>
    <w:rsid w:val="5F926F9A"/>
    <w:rsid w:val="5F9920D6"/>
    <w:rsid w:val="5FC133DB"/>
    <w:rsid w:val="5FC86AF5"/>
    <w:rsid w:val="5FD229ED"/>
    <w:rsid w:val="5FE64A52"/>
    <w:rsid w:val="600339F4"/>
    <w:rsid w:val="600357A2"/>
    <w:rsid w:val="60145C01"/>
    <w:rsid w:val="6017124D"/>
    <w:rsid w:val="60174144"/>
    <w:rsid w:val="601E082E"/>
    <w:rsid w:val="60244C16"/>
    <w:rsid w:val="602A0F80"/>
    <w:rsid w:val="60410ACC"/>
    <w:rsid w:val="60536729"/>
    <w:rsid w:val="605449F5"/>
    <w:rsid w:val="606721D5"/>
    <w:rsid w:val="60996056"/>
    <w:rsid w:val="609A2ACF"/>
    <w:rsid w:val="609D79A4"/>
    <w:rsid w:val="60A06F83"/>
    <w:rsid w:val="60A3109B"/>
    <w:rsid w:val="60ED6811"/>
    <w:rsid w:val="61105D4E"/>
    <w:rsid w:val="61226487"/>
    <w:rsid w:val="613A433F"/>
    <w:rsid w:val="615D0EE2"/>
    <w:rsid w:val="616404C2"/>
    <w:rsid w:val="6164129C"/>
    <w:rsid w:val="61695AD8"/>
    <w:rsid w:val="617F70AA"/>
    <w:rsid w:val="618356CF"/>
    <w:rsid w:val="618F69CF"/>
    <w:rsid w:val="61901FE5"/>
    <w:rsid w:val="61926DDD"/>
    <w:rsid w:val="619F73C4"/>
    <w:rsid w:val="61AD5173"/>
    <w:rsid w:val="61C176C2"/>
    <w:rsid w:val="61C2458D"/>
    <w:rsid w:val="61F950AE"/>
    <w:rsid w:val="61FC4B9F"/>
    <w:rsid w:val="620610E4"/>
    <w:rsid w:val="62083129"/>
    <w:rsid w:val="620C2843"/>
    <w:rsid w:val="622639C9"/>
    <w:rsid w:val="622A34BA"/>
    <w:rsid w:val="625642AF"/>
    <w:rsid w:val="625B7B17"/>
    <w:rsid w:val="627961EF"/>
    <w:rsid w:val="62842E16"/>
    <w:rsid w:val="62866233"/>
    <w:rsid w:val="628D11A7"/>
    <w:rsid w:val="62935DB1"/>
    <w:rsid w:val="62943029"/>
    <w:rsid w:val="6299063F"/>
    <w:rsid w:val="62A3326C"/>
    <w:rsid w:val="62C531E2"/>
    <w:rsid w:val="62DF233A"/>
    <w:rsid w:val="62E17A7F"/>
    <w:rsid w:val="62F35FA1"/>
    <w:rsid w:val="62F615EE"/>
    <w:rsid w:val="630E06E5"/>
    <w:rsid w:val="6311467A"/>
    <w:rsid w:val="631C1FCC"/>
    <w:rsid w:val="632C3261"/>
    <w:rsid w:val="633C5B4F"/>
    <w:rsid w:val="635637C7"/>
    <w:rsid w:val="636522D0"/>
    <w:rsid w:val="63660D91"/>
    <w:rsid w:val="637D3ABD"/>
    <w:rsid w:val="637F41CC"/>
    <w:rsid w:val="63A454EE"/>
    <w:rsid w:val="63B95549"/>
    <w:rsid w:val="63C16388"/>
    <w:rsid w:val="63C65464"/>
    <w:rsid w:val="63CE4319"/>
    <w:rsid w:val="64030141"/>
    <w:rsid w:val="64104931"/>
    <w:rsid w:val="64195594"/>
    <w:rsid w:val="641C3740"/>
    <w:rsid w:val="643B2E62"/>
    <w:rsid w:val="64610CE9"/>
    <w:rsid w:val="648616E5"/>
    <w:rsid w:val="64CC0858"/>
    <w:rsid w:val="64CF0348"/>
    <w:rsid w:val="64DD2B95"/>
    <w:rsid w:val="64DD4813"/>
    <w:rsid w:val="64E22AF5"/>
    <w:rsid w:val="64F2779B"/>
    <w:rsid w:val="650049A6"/>
    <w:rsid w:val="65167D25"/>
    <w:rsid w:val="65183A9D"/>
    <w:rsid w:val="6525440C"/>
    <w:rsid w:val="65312DB1"/>
    <w:rsid w:val="65381467"/>
    <w:rsid w:val="65454724"/>
    <w:rsid w:val="65586590"/>
    <w:rsid w:val="65607442"/>
    <w:rsid w:val="65660CAD"/>
    <w:rsid w:val="656D26BB"/>
    <w:rsid w:val="65750EF0"/>
    <w:rsid w:val="657E0853"/>
    <w:rsid w:val="65841133"/>
    <w:rsid w:val="65913850"/>
    <w:rsid w:val="65A61523"/>
    <w:rsid w:val="65D04378"/>
    <w:rsid w:val="65E23AA0"/>
    <w:rsid w:val="65EB4803"/>
    <w:rsid w:val="65F12A35"/>
    <w:rsid w:val="65FF4C5D"/>
    <w:rsid w:val="66032435"/>
    <w:rsid w:val="660622F8"/>
    <w:rsid w:val="6623094C"/>
    <w:rsid w:val="66344CDB"/>
    <w:rsid w:val="663B1447"/>
    <w:rsid w:val="66415276"/>
    <w:rsid w:val="66485DC8"/>
    <w:rsid w:val="66507267"/>
    <w:rsid w:val="666D5E42"/>
    <w:rsid w:val="667271DD"/>
    <w:rsid w:val="668D04BB"/>
    <w:rsid w:val="668F4233"/>
    <w:rsid w:val="66BB4A33"/>
    <w:rsid w:val="66DA06EA"/>
    <w:rsid w:val="66E557FD"/>
    <w:rsid w:val="66FE4F15"/>
    <w:rsid w:val="670818F0"/>
    <w:rsid w:val="671B37F7"/>
    <w:rsid w:val="671B7875"/>
    <w:rsid w:val="67317098"/>
    <w:rsid w:val="67380427"/>
    <w:rsid w:val="67383A5D"/>
    <w:rsid w:val="673F1407"/>
    <w:rsid w:val="67422D62"/>
    <w:rsid w:val="67472418"/>
    <w:rsid w:val="675151E0"/>
    <w:rsid w:val="6759039D"/>
    <w:rsid w:val="675C175D"/>
    <w:rsid w:val="675C250A"/>
    <w:rsid w:val="675D1087"/>
    <w:rsid w:val="675D2461"/>
    <w:rsid w:val="676E3648"/>
    <w:rsid w:val="67746F85"/>
    <w:rsid w:val="677C1CC2"/>
    <w:rsid w:val="67896ED4"/>
    <w:rsid w:val="678F1105"/>
    <w:rsid w:val="67966EFB"/>
    <w:rsid w:val="67C738FF"/>
    <w:rsid w:val="67D5044D"/>
    <w:rsid w:val="67E05DA8"/>
    <w:rsid w:val="67EB3CE9"/>
    <w:rsid w:val="67ED2FEA"/>
    <w:rsid w:val="67EF294E"/>
    <w:rsid w:val="67F325A0"/>
    <w:rsid w:val="6837354F"/>
    <w:rsid w:val="683C7E7F"/>
    <w:rsid w:val="68466B73"/>
    <w:rsid w:val="685059BF"/>
    <w:rsid w:val="68681B0A"/>
    <w:rsid w:val="687B6875"/>
    <w:rsid w:val="687D178A"/>
    <w:rsid w:val="68C176C4"/>
    <w:rsid w:val="68C22A13"/>
    <w:rsid w:val="68C33D20"/>
    <w:rsid w:val="68CA55C5"/>
    <w:rsid w:val="68D34A52"/>
    <w:rsid w:val="68F20AA9"/>
    <w:rsid w:val="68F4037D"/>
    <w:rsid w:val="690031C6"/>
    <w:rsid w:val="69012E9C"/>
    <w:rsid w:val="690A194F"/>
    <w:rsid w:val="690F6F65"/>
    <w:rsid w:val="69222322"/>
    <w:rsid w:val="693B5D12"/>
    <w:rsid w:val="693E784B"/>
    <w:rsid w:val="694D259A"/>
    <w:rsid w:val="694F1A58"/>
    <w:rsid w:val="69780FAF"/>
    <w:rsid w:val="698C4A5A"/>
    <w:rsid w:val="69B55AF0"/>
    <w:rsid w:val="69BD47C3"/>
    <w:rsid w:val="69D70A46"/>
    <w:rsid w:val="69DB3CB7"/>
    <w:rsid w:val="69E06F59"/>
    <w:rsid w:val="69F26E0F"/>
    <w:rsid w:val="6A026A5C"/>
    <w:rsid w:val="6A0C7949"/>
    <w:rsid w:val="6A1011E7"/>
    <w:rsid w:val="6A165DB1"/>
    <w:rsid w:val="6A214348"/>
    <w:rsid w:val="6A331379"/>
    <w:rsid w:val="6A356EA0"/>
    <w:rsid w:val="6A463C7C"/>
    <w:rsid w:val="6A487CC5"/>
    <w:rsid w:val="6A633A0D"/>
    <w:rsid w:val="6A700C47"/>
    <w:rsid w:val="6A7774B8"/>
    <w:rsid w:val="6A7A6958"/>
    <w:rsid w:val="6A7B70A2"/>
    <w:rsid w:val="6A8C64AB"/>
    <w:rsid w:val="6A8F3B8F"/>
    <w:rsid w:val="6A974EF2"/>
    <w:rsid w:val="6AA45084"/>
    <w:rsid w:val="6AB62A0E"/>
    <w:rsid w:val="6AD15F3E"/>
    <w:rsid w:val="6B014FD4"/>
    <w:rsid w:val="6B036F9E"/>
    <w:rsid w:val="6B122D3D"/>
    <w:rsid w:val="6B170353"/>
    <w:rsid w:val="6B6B1005"/>
    <w:rsid w:val="6B9876E6"/>
    <w:rsid w:val="6B9E0A74"/>
    <w:rsid w:val="6BBC2AED"/>
    <w:rsid w:val="6BC32289"/>
    <w:rsid w:val="6BE16C6F"/>
    <w:rsid w:val="6BE40B7D"/>
    <w:rsid w:val="6BF54B38"/>
    <w:rsid w:val="6C180827"/>
    <w:rsid w:val="6C1C260E"/>
    <w:rsid w:val="6C1F6FDB"/>
    <w:rsid w:val="6C281E78"/>
    <w:rsid w:val="6C3D3038"/>
    <w:rsid w:val="6C44161C"/>
    <w:rsid w:val="6C4A590D"/>
    <w:rsid w:val="6C54644A"/>
    <w:rsid w:val="6C5908A3"/>
    <w:rsid w:val="6C5C68A6"/>
    <w:rsid w:val="6C5F32E0"/>
    <w:rsid w:val="6C733EC2"/>
    <w:rsid w:val="6C9B45C8"/>
    <w:rsid w:val="6CA125CA"/>
    <w:rsid w:val="6CB71DEE"/>
    <w:rsid w:val="6CC4450B"/>
    <w:rsid w:val="6CC54C64"/>
    <w:rsid w:val="6CD84C8F"/>
    <w:rsid w:val="6CE4549A"/>
    <w:rsid w:val="6CE54BAD"/>
    <w:rsid w:val="6CED5810"/>
    <w:rsid w:val="6CF27452"/>
    <w:rsid w:val="6CF7043C"/>
    <w:rsid w:val="6CF73A7A"/>
    <w:rsid w:val="6D033D14"/>
    <w:rsid w:val="6D0B486F"/>
    <w:rsid w:val="6D194C0E"/>
    <w:rsid w:val="6D1D70C2"/>
    <w:rsid w:val="6D2F4EA7"/>
    <w:rsid w:val="6D463172"/>
    <w:rsid w:val="6D5E495F"/>
    <w:rsid w:val="6D836174"/>
    <w:rsid w:val="6D8E489E"/>
    <w:rsid w:val="6D967C55"/>
    <w:rsid w:val="6D9A71CE"/>
    <w:rsid w:val="6DA32372"/>
    <w:rsid w:val="6DAB7F9D"/>
    <w:rsid w:val="6DB81974"/>
    <w:rsid w:val="6DE76703"/>
    <w:rsid w:val="6E0A0375"/>
    <w:rsid w:val="6E0E4EE9"/>
    <w:rsid w:val="6E133BD9"/>
    <w:rsid w:val="6E1B45FE"/>
    <w:rsid w:val="6E1B64BA"/>
    <w:rsid w:val="6E1D2124"/>
    <w:rsid w:val="6E3336F6"/>
    <w:rsid w:val="6E363B46"/>
    <w:rsid w:val="6E4476B1"/>
    <w:rsid w:val="6E53323C"/>
    <w:rsid w:val="6E5C3496"/>
    <w:rsid w:val="6E647D53"/>
    <w:rsid w:val="6E6E472E"/>
    <w:rsid w:val="6E71421E"/>
    <w:rsid w:val="6E843F52"/>
    <w:rsid w:val="6E8710B9"/>
    <w:rsid w:val="6E8B3532"/>
    <w:rsid w:val="6E8D6012"/>
    <w:rsid w:val="6EAD67F9"/>
    <w:rsid w:val="6EAE7221"/>
    <w:rsid w:val="6EB20ABF"/>
    <w:rsid w:val="6EBE3E8A"/>
    <w:rsid w:val="6ED120B7"/>
    <w:rsid w:val="6EDD0C1C"/>
    <w:rsid w:val="6EE0690B"/>
    <w:rsid w:val="6EF966EE"/>
    <w:rsid w:val="6EFC4430"/>
    <w:rsid w:val="6F0926A9"/>
    <w:rsid w:val="6F0D7E9E"/>
    <w:rsid w:val="6F163DD2"/>
    <w:rsid w:val="6F1C418A"/>
    <w:rsid w:val="6F1F39F4"/>
    <w:rsid w:val="6F225BAA"/>
    <w:rsid w:val="6F3E67F6"/>
    <w:rsid w:val="6F6124E5"/>
    <w:rsid w:val="6F687893"/>
    <w:rsid w:val="6F6A5A8F"/>
    <w:rsid w:val="6F703AFA"/>
    <w:rsid w:val="6F775864"/>
    <w:rsid w:val="6F8E6CD5"/>
    <w:rsid w:val="6F906926"/>
    <w:rsid w:val="6F997ED1"/>
    <w:rsid w:val="6F9E54E7"/>
    <w:rsid w:val="6FA93C57"/>
    <w:rsid w:val="6FAA3E8C"/>
    <w:rsid w:val="6FC30BA5"/>
    <w:rsid w:val="6FC5117A"/>
    <w:rsid w:val="6FD44A65"/>
    <w:rsid w:val="6FF9096F"/>
    <w:rsid w:val="70180DF5"/>
    <w:rsid w:val="701A2DBF"/>
    <w:rsid w:val="702F3C83"/>
    <w:rsid w:val="70400B93"/>
    <w:rsid w:val="704F233D"/>
    <w:rsid w:val="70621E82"/>
    <w:rsid w:val="706A7EB6"/>
    <w:rsid w:val="706B04AD"/>
    <w:rsid w:val="706C6C22"/>
    <w:rsid w:val="70725E34"/>
    <w:rsid w:val="70781894"/>
    <w:rsid w:val="708C7593"/>
    <w:rsid w:val="709C26CE"/>
    <w:rsid w:val="709D624E"/>
    <w:rsid w:val="70A415A4"/>
    <w:rsid w:val="70A42689"/>
    <w:rsid w:val="70CD6084"/>
    <w:rsid w:val="70D171F6"/>
    <w:rsid w:val="70D3159E"/>
    <w:rsid w:val="710235F6"/>
    <w:rsid w:val="7105497D"/>
    <w:rsid w:val="71096990"/>
    <w:rsid w:val="710B44B6"/>
    <w:rsid w:val="711317EE"/>
    <w:rsid w:val="711F256C"/>
    <w:rsid w:val="7123073F"/>
    <w:rsid w:val="712330CA"/>
    <w:rsid w:val="712E4649"/>
    <w:rsid w:val="713464E8"/>
    <w:rsid w:val="71346C20"/>
    <w:rsid w:val="713F23B2"/>
    <w:rsid w:val="714B51FB"/>
    <w:rsid w:val="716304F2"/>
    <w:rsid w:val="716763DC"/>
    <w:rsid w:val="716D33C3"/>
    <w:rsid w:val="717E3F6A"/>
    <w:rsid w:val="71AD37BF"/>
    <w:rsid w:val="71BB7EAA"/>
    <w:rsid w:val="71C54FAD"/>
    <w:rsid w:val="71D55BE5"/>
    <w:rsid w:val="71E74F23"/>
    <w:rsid w:val="71F14AF3"/>
    <w:rsid w:val="720A53F1"/>
    <w:rsid w:val="720F43E2"/>
    <w:rsid w:val="72100F31"/>
    <w:rsid w:val="72113D4E"/>
    <w:rsid w:val="72216874"/>
    <w:rsid w:val="722B72BA"/>
    <w:rsid w:val="723C62EB"/>
    <w:rsid w:val="723E08BB"/>
    <w:rsid w:val="72457E9C"/>
    <w:rsid w:val="72513DDF"/>
    <w:rsid w:val="725E2D0C"/>
    <w:rsid w:val="72747DC5"/>
    <w:rsid w:val="72833456"/>
    <w:rsid w:val="7289452A"/>
    <w:rsid w:val="729273D1"/>
    <w:rsid w:val="729C51E9"/>
    <w:rsid w:val="72A42E14"/>
    <w:rsid w:val="72AB5F51"/>
    <w:rsid w:val="72CD4767"/>
    <w:rsid w:val="72D4094B"/>
    <w:rsid w:val="72D6475F"/>
    <w:rsid w:val="72DC3D0E"/>
    <w:rsid w:val="72E27499"/>
    <w:rsid w:val="72E72D01"/>
    <w:rsid w:val="72E763FD"/>
    <w:rsid w:val="72F21F81"/>
    <w:rsid w:val="72F62F44"/>
    <w:rsid w:val="73012015"/>
    <w:rsid w:val="73025CFD"/>
    <w:rsid w:val="7315161C"/>
    <w:rsid w:val="731E2396"/>
    <w:rsid w:val="7327625C"/>
    <w:rsid w:val="733D43CB"/>
    <w:rsid w:val="734E4569"/>
    <w:rsid w:val="735265BF"/>
    <w:rsid w:val="73640BBD"/>
    <w:rsid w:val="73656370"/>
    <w:rsid w:val="73740A39"/>
    <w:rsid w:val="737779B6"/>
    <w:rsid w:val="73794114"/>
    <w:rsid w:val="738A5FB7"/>
    <w:rsid w:val="73994ACC"/>
    <w:rsid w:val="73A00786"/>
    <w:rsid w:val="73BC6D60"/>
    <w:rsid w:val="73BF3D9C"/>
    <w:rsid w:val="73BF6DF7"/>
    <w:rsid w:val="73C13552"/>
    <w:rsid w:val="73C372CA"/>
    <w:rsid w:val="73C445EE"/>
    <w:rsid w:val="73CA0460"/>
    <w:rsid w:val="73F85EC6"/>
    <w:rsid w:val="74016CFC"/>
    <w:rsid w:val="74061605"/>
    <w:rsid w:val="74122000"/>
    <w:rsid w:val="74123DAE"/>
    <w:rsid w:val="741470CC"/>
    <w:rsid w:val="741B4CCC"/>
    <w:rsid w:val="74307888"/>
    <w:rsid w:val="743812C0"/>
    <w:rsid w:val="743E2DF5"/>
    <w:rsid w:val="744D4DE6"/>
    <w:rsid w:val="74575C64"/>
    <w:rsid w:val="746F05F6"/>
    <w:rsid w:val="747D1B6F"/>
    <w:rsid w:val="74843EF7"/>
    <w:rsid w:val="74930DC7"/>
    <w:rsid w:val="749B1FF5"/>
    <w:rsid w:val="74B11819"/>
    <w:rsid w:val="74BE74FC"/>
    <w:rsid w:val="74CA2E58"/>
    <w:rsid w:val="74D21440"/>
    <w:rsid w:val="74D3353D"/>
    <w:rsid w:val="74F87C64"/>
    <w:rsid w:val="75090587"/>
    <w:rsid w:val="75091655"/>
    <w:rsid w:val="75243D99"/>
    <w:rsid w:val="7535469C"/>
    <w:rsid w:val="75363ACC"/>
    <w:rsid w:val="75461F61"/>
    <w:rsid w:val="75490C6A"/>
    <w:rsid w:val="754B7577"/>
    <w:rsid w:val="754E0E15"/>
    <w:rsid w:val="75575F1C"/>
    <w:rsid w:val="7567206A"/>
    <w:rsid w:val="756A2F68"/>
    <w:rsid w:val="7571317C"/>
    <w:rsid w:val="75791793"/>
    <w:rsid w:val="75886F8B"/>
    <w:rsid w:val="75A44ED9"/>
    <w:rsid w:val="75B23A9A"/>
    <w:rsid w:val="75B3511C"/>
    <w:rsid w:val="75B908DD"/>
    <w:rsid w:val="75BF3E9C"/>
    <w:rsid w:val="75C35263"/>
    <w:rsid w:val="75E13314"/>
    <w:rsid w:val="75E34603"/>
    <w:rsid w:val="75E83018"/>
    <w:rsid w:val="75EB4A9B"/>
    <w:rsid w:val="75F75951"/>
    <w:rsid w:val="75FE02B8"/>
    <w:rsid w:val="76045978"/>
    <w:rsid w:val="76092B19"/>
    <w:rsid w:val="761B28E8"/>
    <w:rsid w:val="763617E2"/>
    <w:rsid w:val="76375ADD"/>
    <w:rsid w:val="76426BCC"/>
    <w:rsid w:val="764566BC"/>
    <w:rsid w:val="76480CDA"/>
    <w:rsid w:val="764E2556"/>
    <w:rsid w:val="76636B42"/>
    <w:rsid w:val="766F54E7"/>
    <w:rsid w:val="767567D8"/>
    <w:rsid w:val="767E572A"/>
    <w:rsid w:val="76930B91"/>
    <w:rsid w:val="76984A3E"/>
    <w:rsid w:val="76A342F7"/>
    <w:rsid w:val="76E77696"/>
    <w:rsid w:val="76F1301C"/>
    <w:rsid w:val="76F30489"/>
    <w:rsid w:val="770C61B4"/>
    <w:rsid w:val="7711659E"/>
    <w:rsid w:val="77185C44"/>
    <w:rsid w:val="77212CD0"/>
    <w:rsid w:val="7726029C"/>
    <w:rsid w:val="77316029"/>
    <w:rsid w:val="7733135F"/>
    <w:rsid w:val="774E334F"/>
    <w:rsid w:val="77514274"/>
    <w:rsid w:val="775C1F10"/>
    <w:rsid w:val="77750427"/>
    <w:rsid w:val="777A3AF4"/>
    <w:rsid w:val="77825766"/>
    <w:rsid w:val="778925D9"/>
    <w:rsid w:val="778B7078"/>
    <w:rsid w:val="77904EAF"/>
    <w:rsid w:val="77961B8C"/>
    <w:rsid w:val="77A118C6"/>
    <w:rsid w:val="77B5517C"/>
    <w:rsid w:val="77C875A5"/>
    <w:rsid w:val="77DD1042"/>
    <w:rsid w:val="77E12415"/>
    <w:rsid w:val="7817324A"/>
    <w:rsid w:val="781E5814"/>
    <w:rsid w:val="78250553"/>
    <w:rsid w:val="78320EC2"/>
    <w:rsid w:val="78342545"/>
    <w:rsid w:val="783512CE"/>
    <w:rsid w:val="783863BB"/>
    <w:rsid w:val="78491BAC"/>
    <w:rsid w:val="785500E6"/>
    <w:rsid w:val="7855070D"/>
    <w:rsid w:val="78680440"/>
    <w:rsid w:val="78793335"/>
    <w:rsid w:val="787B4617"/>
    <w:rsid w:val="78813C2C"/>
    <w:rsid w:val="78827754"/>
    <w:rsid w:val="788B1F02"/>
    <w:rsid w:val="788F00C3"/>
    <w:rsid w:val="78971952"/>
    <w:rsid w:val="78B4677E"/>
    <w:rsid w:val="78B70967"/>
    <w:rsid w:val="78C31B1A"/>
    <w:rsid w:val="78C935D5"/>
    <w:rsid w:val="78D35C78"/>
    <w:rsid w:val="78D83818"/>
    <w:rsid w:val="78F07D11"/>
    <w:rsid w:val="78F22CBC"/>
    <w:rsid w:val="78FE6CBF"/>
    <w:rsid w:val="79050385"/>
    <w:rsid w:val="790E548B"/>
    <w:rsid w:val="7910665E"/>
    <w:rsid w:val="791245C2"/>
    <w:rsid w:val="79522C4C"/>
    <w:rsid w:val="79652BD2"/>
    <w:rsid w:val="796D61F5"/>
    <w:rsid w:val="79725A1A"/>
    <w:rsid w:val="797351A6"/>
    <w:rsid w:val="79860C21"/>
    <w:rsid w:val="798C582B"/>
    <w:rsid w:val="79A0443F"/>
    <w:rsid w:val="79B24069"/>
    <w:rsid w:val="79B7342D"/>
    <w:rsid w:val="79C33D0A"/>
    <w:rsid w:val="79CD5792"/>
    <w:rsid w:val="79DD09BA"/>
    <w:rsid w:val="79E24659"/>
    <w:rsid w:val="7A0528DD"/>
    <w:rsid w:val="7A1C7585"/>
    <w:rsid w:val="7A262361"/>
    <w:rsid w:val="7A2B5BC9"/>
    <w:rsid w:val="7A4204C1"/>
    <w:rsid w:val="7A48677B"/>
    <w:rsid w:val="7A8772A3"/>
    <w:rsid w:val="7A88301C"/>
    <w:rsid w:val="7A884DCA"/>
    <w:rsid w:val="7A996FD7"/>
    <w:rsid w:val="7AA5597C"/>
    <w:rsid w:val="7AA70C00"/>
    <w:rsid w:val="7AA91740"/>
    <w:rsid w:val="7AAD1D53"/>
    <w:rsid w:val="7AE7143A"/>
    <w:rsid w:val="7AED354F"/>
    <w:rsid w:val="7AEF309B"/>
    <w:rsid w:val="7AF661D7"/>
    <w:rsid w:val="7AF67B71"/>
    <w:rsid w:val="7AFB0918"/>
    <w:rsid w:val="7B14613F"/>
    <w:rsid w:val="7B1D3764"/>
    <w:rsid w:val="7B2F16E9"/>
    <w:rsid w:val="7B4B0B81"/>
    <w:rsid w:val="7B551150"/>
    <w:rsid w:val="7B5A4A97"/>
    <w:rsid w:val="7B62386D"/>
    <w:rsid w:val="7B6A53AF"/>
    <w:rsid w:val="7B744983"/>
    <w:rsid w:val="7B834B10"/>
    <w:rsid w:val="7B8D6BCE"/>
    <w:rsid w:val="7BA4716E"/>
    <w:rsid w:val="7BC47442"/>
    <w:rsid w:val="7BC57E1C"/>
    <w:rsid w:val="7BCB7664"/>
    <w:rsid w:val="7BCC6F38"/>
    <w:rsid w:val="7BD81D81"/>
    <w:rsid w:val="7BDA1655"/>
    <w:rsid w:val="7BDE0BC1"/>
    <w:rsid w:val="7BE70FEE"/>
    <w:rsid w:val="7BF5648F"/>
    <w:rsid w:val="7BFA3AA5"/>
    <w:rsid w:val="7C120DEF"/>
    <w:rsid w:val="7C1B23D7"/>
    <w:rsid w:val="7C224DAA"/>
    <w:rsid w:val="7C2C7727"/>
    <w:rsid w:val="7C492337"/>
    <w:rsid w:val="7C4D1E27"/>
    <w:rsid w:val="7C527A26"/>
    <w:rsid w:val="7C5577A6"/>
    <w:rsid w:val="7C615A99"/>
    <w:rsid w:val="7C6F7FEF"/>
    <w:rsid w:val="7C8B5C72"/>
    <w:rsid w:val="7C920181"/>
    <w:rsid w:val="7C95557C"/>
    <w:rsid w:val="7C9E08D4"/>
    <w:rsid w:val="7CA12173"/>
    <w:rsid w:val="7CBC51FE"/>
    <w:rsid w:val="7CBE7128"/>
    <w:rsid w:val="7CC13A9B"/>
    <w:rsid w:val="7CC13AEF"/>
    <w:rsid w:val="7CCA1B2B"/>
    <w:rsid w:val="7CD95DB0"/>
    <w:rsid w:val="7CE537A9"/>
    <w:rsid w:val="7CE8316E"/>
    <w:rsid w:val="7CF46746"/>
    <w:rsid w:val="7CFE75C5"/>
    <w:rsid w:val="7D016EE9"/>
    <w:rsid w:val="7D0B583E"/>
    <w:rsid w:val="7D100919"/>
    <w:rsid w:val="7D1D4E05"/>
    <w:rsid w:val="7D1E1A15"/>
    <w:rsid w:val="7D2C64CA"/>
    <w:rsid w:val="7D376633"/>
    <w:rsid w:val="7D40198C"/>
    <w:rsid w:val="7D480840"/>
    <w:rsid w:val="7D4A280A"/>
    <w:rsid w:val="7D586CD5"/>
    <w:rsid w:val="7D5C1CE5"/>
    <w:rsid w:val="7D6B26ED"/>
    <w:rsid w:val="7D711B45"/>
    <w:rsid w:val="7D793737"/>
    <w:rsid w:val="7D7C7D8C"/>
    <w:rsid w:val="7D851A94"/>
    <w:rsid w:val="7D9176B5"/>
    <w:rsid w:val="7D965A4F"/>
    <w:rsid w:val="7D983576"/>
    <w:rsid w:val="7DBF6D54"/>
    <w:rsid w:val="7DC9372F"/>
    <w:rsid w:val="7DCC7AD0"/>
    <w:rsid w:val="7DEE3196"/>
    <w:rsid w:val="7E01736D"/>
    <w:rsid w:val="7E1621A7"/>
    <w:rsid w:val="7E176B90"/>
    <w:rsid w:val="7E202393"/>
    <w:rsid w:val="7E286CCD"/>
    <w:rsid w:val="7E2D0162"/>
    <w:rsid w:val="7E33504C"/>
    <w:rsid w:val="7E36223B"/>
    <w:rsid w:val="7E370FE0"/>
    <w:rsid w:val="7E3808B5"/>
    <w:rsid w:val="7E6B0C8A"/>
    <w:rsid w:val="7E702F91"/>
    <w:rsid w:val="7E867872"/>
    <w:rsid w:val="7E8B2E7D"/>
    <w:rsid w:val="7E9E5C86"/>
    <w:rsid w:val="7EA128FE"/>
    <w:rsid w:val="7EB20667"/>
    <w:rsid w:val="7EB94356"/>
    <w:rsid w:val="7EBE43AC"/>
    <w:rsid w:val="7EC63C37"/>
    <w:rsid w:val="7ED002D9"/>
    <w:rsid w:val="7EDC275B"/>
    <w:rsid w:val="7EDD2876"/>
    <w:rsid w:val="7EE30820"/>
    <w:rsid w:val="7EF66A44"/>
    <w:rsid w:val="7F076C05"/>
    <w:rsid w:val="7F0B1BAB"/>
    <w:rsid w:val="7F0C421B"/>
    <w:rsid w:val="7F0F65E7"/>
    <w:rsid w:val="7F1629A4"/>
    <w:rsid w:val="7F166E48"/>
    <w:rsid w:val="7F1B26B0"/>
    <w:rsid w:val="7F2005B6"/>
    <w:rsid w:val="7F2B6834"/>
    <w:rsid w:val="7F315A30"/>
    <w:rsid w:val="7F367487"/>
    <w:rsid w:val="7F4219EB"/>
    <w:rsid w:val="7F6531DB"/>
    <w:rsid w:val="7F724BB2"/>
    <w:rsid w:val="7F8F09A8"/>
    <w:rsid w:val="7FA83267"/>
    <w:rsid w:val="7FAA57E2"/>
    <w:rsid w:val="7FB26F74"/>
    <w:rsid w:val="7FB36445"/>
    <w:rsid w:val="7FBC395C"/>
    <w:rsid w:val="7FBD418D"/>
    <w:rsid w:val="7FBD5515"/>
    <w:rsid w:val="7FC21A64"/>
    <w:rsid w:val="7FC31546"/>
    <w:rsid w:val="7FCB420E"/>
    <w:rsid w:val="7FD4460D"/>
    <w:rsid w:val="7FDF36DE"/>
    <w:rsid w:val="7FFB3B44"/>
    <w:rsid w:val="7FFE10D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qFormat="1"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qFormat="1"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qFormat="1"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65"/>
    <w:qFormat/>
    <w:uiPriority w:val="0"/>
    <w:pPr>
      <w:keepNext/>
      <w:keepLines/>
      <w:numPr>
        <w:ilvl w:val="0"/>
        <w:numId w:val="1"/>
      </w:numPr>
      <w:spacing w:line="360" w:lineRule="auto"/>
      <w:jc w:val="center"/>
      <w:outlineLvl w:val="0"/>
    </w:pPr>
    <w:rPr>
      <w:b/>
      <w:bCs/>
      <w:kern w:val="44"/>
      <w:sz w:val="44"/>
      <w:szCs w:val="44"/>
    </w:rPr>
  </w:style>
  <w:style w:type="paragraph" w:styleId="3">
    <w:name w:val="heading 2"/>
    <w:basedOn w:val="1"/>
    <w:next w:val="1"/>
    <w:link w:val="66"/>
    <w:qFormat/>
    <w:uiPriority w:val="0"/>
    <w:pPr>
      <w:keepNext/>
      <w:keepLines/>
      <w:numPr>
        <w:ilvl w:val="1"/>
        <w:numId w:val="1"/>
      </w:numPr>
      <w:spacing w:line="360" w:lineRule="auto"/>
      <w:ind w:left="0"/>
      <w:outlineLvl w:val="1"/>
    </w:pPr>
    <w:rPr>
      <w:rFonts w:eastAsia="黑体"/>
      <w:bCs/>
      <w:sz w:val="30"/>
      <w:szCs w:val="32"/>
    </w:rPr>
  </w:style>
  <w:style w:type="paragraph" w:styleId="4">
    <w:name w:val="heading 3"/>
    <w:basedOn w:val="1"/>
    <w:next w:val="1"/>
    <w:link w:val="67"/>
    <w:qFormat/>
    <w:uiPriority w:val="0"/>
    <w:pPr>
      <w:keepNext/>
      <w:keepLines/>
      <w:numPr>
        <w:ilvl w:val="2"/>
        <w:numId w:val="1"/>
      </w:numPr>
      <w:spacing w:line="360" w:lineRule="auto"/>
      <w:outlineLvl w:val="2"/>
    </w:pPr>
    <w:rPr>
      <w:rFonts w:eastAsia="黑体"/>
      <w:bCs/>
      <w:sz w:val="28"/>
      <w:szCs w:val="32"/>
    </w:rPr>
  </w:style>
  <w:style w:type="paragraph" w:styleId="5">
    <w:name w:val="heading 4"/>
    <w:basedOn w:val="1"/>
    <w:next w:val="1"/>
    <w:link w:val="68"/>
    <w:qFormat/>
    <w:uiPriority w:val="9"/>
    <w:pPr>
      <w:keepNext/>
      <w:keepLines/>
      <w:numPr>
        <w:ilvl w:val="3"/>
        <w:numId w:val="1"/>
      </w:numPr>
      <w:spacing w:line="360" w:lineRule="auto"/>
      <w:outlineLvl w:val="3"/>
    </w:pPr>
    <w:rPr>
      <w:rFonts w:eastAsia="黑体"/>
      <w:bCs/>
      <w:sz w:val="24"/>
      <w:szCs w:val="28"/>
    </w:rPr>
  </w:style>
  <w:style w:type="paragraph" w:styleId="6">
    <w:name w:val="heading 5"/>
    <w:basedOn w:val="1"/>
    <w:next w:val="1"/>
    <w:link w:val="69"/>
    <w:qFormat/>
    <w:uiPriority w:val="0"/>
    <w:pPr>
      <w:keepNext/>
      <w:keepLines/>
      <w:spacing w:line="360" w:lineRule="auto"/>
      <w:jc w:val="left"/>
      <w:outlineLvl w:val="4"/>
    </w:pPr>
    <w:rPr>
      <w:bCs/>
      <w:sz w:val="24"/>
      <w:szCs w:val="28"/>
    </w:rPr>
  </w:style>
  <w:style w:type="paragraph" w:styleId="7">
    <w:name w:val="heading 6"/>
    <w:basedOn w:val="1"/>
    <w:next w:val="1"/>
    <w:link w:val="70"/>
    <w:qFormat/>
    <w:uiPriority w:val="0"/>
    <w:pPr>
      <w:keepNext/>
      <w:keepLines/>
      <w:overflowPunct w:val="0"/>
      <w:autoSpaceDE w:val="0"/>
      <w:autoSpaceDN w:val="0"/>
      <w:adjustRightInd w:val="0"/>
      <w:spacing w:line="360" w:lineRule="auto"/>
      <w:textAlignment w:val="baseline"/>
      <w:outlineLvl w:val="5"/>
    </w:pPr>
    <w:rPr>
      <w:rFonts w:ascii="Arial" w:hAnsi="Arial"/>
      <w:b/>
      <w:spacing w:val="-4"/>
      <w:kern w:val="20"/>
      <w:sz w:val="18"/>
      <w:szCs w:val="20"/>
    </w:rPr>
  </w:style>
  <w:style w:type="paragraph" w:styleId="8">
    <w:name w:val="heading 7"/>
    <w:basedOn w:val="1"/>
    <w:next w:val="1"/>
    <w:link w:val="71"/>
    <w:qFormat/>
    <w:uiPriority w:val="0"/>
    <w:pPr>
      <w:keepNext/>
      <w:keepLines/>
      <w:overflowPunct w:val="0"/>
      <w:autoSpaceDE w:val="0"/>
      <w:autoSpaceDN w:val="0"/>
      <w:adjustRightInd w:val="0"/>
      <w:spacing w:line="360" w:lineRule="auto"/>
      <w:textAlignment w:val="baseline"/>
      <w:outlineLvl w:val="6"/>
    </w:pPr>
    <w:rPr>
      <w:spacing w:val="-4"/>
      <w:kern w:val="20"/>
      <w:sz w:val="24"/>
      <w:szCs w:val="20"/>
    </w:rPr>
  </w:style>
  <w:style w:type="paragraph" w:styleId="9">
    <w:name w:val="heading 8"/>
    <w:basedOn w:val="1"/>
    <w:next w:val="1"/>
    <w:link w:val="72"/>
    <w:qFormat/>
    <w:uiPriority w:val="0"/>
    <w:pPr>
      <w:keepNext/>
      <w:keepLines/>
      <w:overflowPunct w:val="0"/>
      <w:autoSpaceDE w:val="0"/>
      <w:autoSpaceDN w:val="0"/>
      <w:adjustRightInd w:val="0"/>
      <w:spacing w:line="360" w:lineRule="auto"/>
      <w:textAlignment w:val="baseline"/>
      <w:outlineLvl w:val="7"/>
    </w:pPr>
    <w:rPr>
      <w:rFonts w:ascii="Arial" w:hAnsi="Arial"/>
      <w:b/>
      <w:spacing w:val="-4"/>
      <w:kern w:val="20"/>
      <w:sz w:val="18"/>
      <w:szCs w:val="20"/>
    </w:rPr>
  </w:style>
  <w:style w:type="paragraph" w:styleId="10">
    <w:name w:val="heading 9"/>
    <w:basedOn w:val="1"/>
    <w:next w:val="1"/>
    <w:link w:val="73"/>
    <w:qFormat/>
    <w:uiPriority w:val="0"/>
    <w:pPr>
      <w:keepNext/>
      <w:keepLines/>
      <w:overflowPunct w:val="0"/>
      <w:autoSpaceDE w:val="0"/>
      <w:autoSpaceDN w:val="0"/>
      <w:adjustRightInd w:val="0"/>
      <w:spacing w:line="360" w:lineRule="auto"/>
      <w:textAlignment w:val="baseline"/>
      <w:outlineLvl w:val="8"/>
    </w:pPr>
    <w:rPr>
      <w:rFonts w:ascii="Arial" w:hAnsi="Arial"/>
      <w:spacing w:val="-6"/>
      <w:kern w:val="20"/>
      <w:sz w:val="18"/>
      <w:szCs w:val="20"/>
    </w:rPr>
  </w:style>
  <w:style w:type="character" w:default="1" w:styleId="57">
    <w:name w:val="Default Paragraph Font"/>
    <w:semiHidden/>
    <w:qFormat/>
    <w:uiPriority w:val="0"/>
  </w:style>
  <w:style w:type="table" w:default="1" w:styleId="5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semiHidden/>
    <w:qFormat/>
    <w:uiPriority w:val="0"/>
    <w:pPr>
      <w:ind w:left="1260"/>
      <w:jc w:val="left"/>
    </w:pPr>
    <w:rPr>
      <w:sz w:val="18"/>
      <w:szCs w:val="18"/>
    </w:rPr>
  </w:style>
  <w:style w:type="paragraph" w:styleId="12">
    <w:name w:val="table of authorities"/>
    <w:basedOn w:val="1"/>
    <w:next w:val="1"/>
    <w:qFormat/>
    <w:uiPriority w:val="0"/>
    <w:pPr>
      <w:ind w:left="420" w:leftChars="200"/>
    </w:pPr>
    <w:rPr>
      <w:sz w:val="32"/>
    </w:rPr>
  </w:style>
  <w:style w:type="paragraph" w:styleId="13">
    <w:name w:val="Note Heading"/>
    <w:basedOn w:val="1"/>
    <w:qFormat/>
    <w:uiPriority w:val="0"/>
    <w:pPr>
      <w:widowControl/>
      <w:spacing w:before="100" w:beforeAutospacing="1" w:after="100" w:afterAutospacing="1"/>
      <w:jc w:val="left"/>
    </w:pPr>
    <w:rPr>
      <w:rFonts w:ascii="宋体" w:hAnsi="宋体"/>
      <w:kern w:val="0"/>
      <w:sz w:val="24"/>
    </w:rPr>
  </w:style>
  <w:style w:type="paragraph" w:styleId="14">
    <w:name w:val="List Number"/>
    <w:basedOn w:val="1"/>
    <w:qFormat/>
    <w:uiPriority w:val="0"/>
    <w:pPr>
      <w:numPr>
        <w:ilvl w:val="0"/>
        <w:numId w:val="2"/>
      </w:numPr>
    </w:pPr>
  </w:style>
  <w:style w:type="paragraph" w:styleId="15">
    <w:name w:val="Normal Indent"/>
    <w:basedOn w:val="1"/>
    <w:next w:val="16"/>
    <w:link w:val="74"/>
    <w:qFormat/>
    <w:uiPriority w:val="0"/>
    <w:pPr>
      <w:ind w:firstLine="420"/>
    </w:pPr>
    <w:rPr>
      <w:szCs w:val="20"/>
    </w:rPr>
  </w:style>
  <w:style w:type="paragraph" w:styleId="16">
    <w:name w:val="Body Text First Indent 2"/>
    <w:basedOn w:val="17"/>
    <w:next w:val="1"/>
    <w:qFormat/>
    <w:uiPriority w:val="0"/>
    <w:pPr>
      <w:ind w:firstLine="420" w:firstLineChars="200"/>
    </w:pPr>
  </w:style>
  <w:style w:type="paragraph" w:styleId="17">
    <w:name w:val="Body Text Indent"/>
    <w:basedOn w:val="1"/>
    <w:next w:val="18"/>
    <w:link w:val="75"/>
    <w:qFormat/>
    <w:uiPriority w:val="0"/>
    <w:pPr>
      <w:spacing w:after="120"/>
      <w:ind w:left="420" w:leftChars="200"/>
    </w:pPr>
  </w:style>
  <w:style w:type="paragraph" w:styleId="18">
    <w:name w:val="envelope return"/>
    <w:basedOn w:val="1"/>
    <w:qFormat/>
    <w:uiPriority w:val="99"/>
    <w:pPr>
      <w:widowControl w:val="0"/>
      <w:snapToGrid w:val="0"/>
      <w:jc w:val="both"/>
    </w:pPr>
    <w:rPr>
      <w:rFonts w:ascii="Arial" w:hAnsi="Arial" w:eastAsia="宋体" w:cs="Times New Roman"/>
      <w:kern w:val="2"/>
      <w:sz w:val="21"/>
      <w:szCs w:val="24"/>
      <w:lang w:val="en-US" w:eastAsia="zh-CN" w:bidi="ar-SA"/>
    </w:rPr>
  </w:style>
  <w:style w:type="paragraph" w:styleId="19">
    <w:name w:val="caption"/>
    <w:basedOn w:val="1"/>
    <w:next w:val="1"/>
    <w:qFormat/>
    <w:uiPriority w:val="99"/>
    <w:pPr>
      <w:adjustRightInd w:val="0"/>
      <w:snapToGrid w:val="0"/>
      <w:spacing w:before="50" w:beforeLines="50" w:after="80"/>
      <w:jc w:val="left"/>
    </w:pPr>
    <w:rPr>
      <w:rFonts w:eastAsia="黑体" w:cs="Arial"/>
      <w:snapToGrid w:val="0"/>
      <w:kern w:val="24"/>
      <w:sz w:val="26"/>
      <w:szCs w:val="28"/>
    </w:rPr>
  </w:style>
  <w:style w:type="paragraph" w:styleId="20">
    <w:name w:val="List Bullet"/>
    <w:basedOn w:val="1"/>
    <w:qFormat/>
    <w:uiPriority w:val="0"/>
    <w:pPr>
      <w:tabs>
        <w:tab w:val="left" w:pos="360"/>
      </w:tabs>
      <w:ind w:left="360" w:hanging="360" w:hangingChars="200"/>
    </w:pPr>
  </w:style>
  <w:style w:type="paragraph" w:styleId="21">
    <w:name w:val="Document Map"/>
    <w:basedOn w:val="1"/>
    <w:semiHidden/>
    <w:qFormat/>
    <w:uiPriority w:val="0"/>
    <w:pPr>
      <w:shd w:val="clear" w:color="auto" w:fill="000080"/>
    </w:pPr>
  </w:style>
  <w:style w:type="paragraph" w:styleId="22">
    <w:name w:val="annotation text"/>
    <w:basedOn w:val="1"/>
    <w:link w:val="76"/>
    <w:qFormat/>
    <w:uiPriority w:val="0"/>
    <w:pPr>
      <w:jc w:val="left"/>
    </w:pPr>
  </w:style>
  <w:style w:type="paragraph" w:styleId="23">
    <w:name w:val="Body Text 3"/>
    <w:basedOn w:val="1"/>
    <w:qFormat/>
    <w:uiPriority w:val="0"/>
    <w:pPr>
      <w:jc w:val="center"/>
    </w:pPr>
    <w:rPr>
      <w:sz w:val="22"/>
    </w:rPr>
  </w:style>
  <w:style w:type="paragraph" w:styleId="24">
    <w:name w:val="Body Text"/>
    <w:basedOn w:val="1"/>
    <w:next w:val="1"/>
    <w:link w:val="77"/>
    <w:qFormat/>
    <w:uiPriority w:val="0"/>
    <w:pPr>
      <w:spacing w:after="120"/>
    </w:pPr>
  </w:style>
  <w:style w:type="paragraph" w:styleId="25">
    <w:name w:val="Block Text"/>
    <w:basedOn w:val="1"/>
    <w:qFormat/>
    <w:uiPriority w:val="0"/>
    <w:pPr>
      <w:spacing w:line="360" w:lineRule="auto"/>
      <w:ind w:left="311" w:leftChars="148" w:right="210" w:rightChars="100" w:firstLine="560" w:firstLineChars="200"/>
      <w:jc w:val="left"/>
    </w:pPr>
    <w:rPr>
      <w:rFonts w:ascii="宋体"/>
      <w:sz w:val="28"/>
      <w:szCs w:val="20"/>
    </w:rPr>
  </w:style>
  <w:style w:type="paragraph" w:styleId="26">
    <w:name w:val="HTML Address"/>
    <w:basedOn w:val="1"/>
    <w:qFormat/>
    <w:uiPriority w:val="0"/>
    <w:rPr>
      <w:i/>
      <w:iCs/>
    </w:rPr>
  </w:style>
  <w:style w:type="paragraph" w:styleId="27">
    <w:name w:val="toc 5"/>
    <w:basedOn w:val="1"/>
    <w:next w:val="1"/>
    <w:semiHidden/>
    <w:qFormat/>
    <w:uiPriority w:val="0"/>
    <w:pPr>
      <w:ind w:left="840"/>
      <w:jc w:val="left"/>
    </w:pPr>
    <w:rPr>
      <w:sz w:val="18"/>
      <w:szCs w:val="18"/>
    </w:rPr>
  </w:style>
  <w:style w:type="paragraph" w:styleId="28">
    <w:name w:val="toc 3"/>
    <w:basedOn w:val="1"/>
    <w:next w:val="1"/>
    <w:semiHidden/>
    <w:qFormat/>
    <w:uiPriority w:val="0"/>
    <w:pPr>
      <w:ind w:left="420"/>
      <w:jc w:val="left"/>
    </w:pPr>
    <w:rPr>
      <w:i/>
      <w:iCs/>
      <w:sz w:val="20"/>
      <w:szCs w:val="20"/>
    </w:rPr>
  </w:style>
  <w:style w:type="paragraph" w:styleId="29">
    <w:name w:val="Plain Text"/>
    <w:basedOn w:val="1"/>
    <w:next w:val="1"/>
    <w:link w:val="78"/>
    <w:qFormat/>
    <w:uiPriority w:val="0"/>
    <w:rPr>
      <w:rFonts w:ascii="宋体" w:hAnsi="Courier New"/>
      <w:szCs w:val="20"/>
    </w:rPr>
  </w:style>
  <w:style w:type="paragraph" w:styleId="30">
    <w:name w:val="List Bullet 5"/>
    <w:basedOn w:val="1"/>
    <w:qFormat/>
    <w:uiPriority w:val="0"/>
    <w:pPr>
      <w:numPr>
        <w:ilvl w:val="0"/>
        <w:numId w:val="3"/>
      </w:numPr>
    </w:pPr>
  </w:style>
  <w:style w:type="paragraph" w:styleId="31">
    <w:name w:val="toc 8"/>
    <w:basedOn w:val="1"/>
    <w:next w:val="1"/>
    <w:semiHidden/>
    <w:qFormat/>
    <w:uiPriority w:val="0"/>
    <w:pPr>
      <w:ind w:left="1470"/>
      <w:jc w:val="left"/>
    </w:pPr>
    <w:rPr>
      <w:sz w:val="18"/>
      <w:szCs w:val="18"/>
    </w:rPr>
  </w:style>
  <w:style w:type="paragraph" w:styleId="32">
    <w:name w:val="Date"/>
    <w:basedOn w:val="1"/>
    <w:next w:val="1"/>
    <w:qFormat/>
    <w:uiPriority w:val="0"/>
    <w:pPr>
      <w:ind w:left="100" w:leftChars="2500"/>
    </w:pPr>
  </w:style>
  <w:style w:type="paragraph" w:styleId="33">
    <w:name w:val="Body Text Indent 2"/>
    <w:basedOn w:val="1"/>
    <w:next w:val="16"/>
    <w:qFormat/>
    <w:uiPriority w:val="0"/>
    <w:pPr>
      <w:spacing w:after="120" w:line="480" w:lineRule="auto"/>
      <w:ind w:left="420" w:leftChars="200"/>
    </w:pPr>
  </w:style>
  <w:style w:type="paragraph" w:styleId="34">
    <w:name w:val="Balloon Text"/>
    <w:basedOn w:val="1"/>
    <w:link w:val="79"/>
    <w:qFormat/>
    <w:uiPriority w:val="99"/>
    <w:rPr>
      <w:sz w:val="18"/>
      <w:szCs w:val="18"/>
    </w:rPr>
  </w:style>
  <w:style w:type="paragraph" w:styleId="35">
    <w:name w:val="footer"/>
    <w:basedOn w:val="1"/>
    <w:link w:val="80"/>
    <w:qFormat/>
    <w:uiPriority w:val="0"/>
    <w:pPr>
      <w:tabs>
        <w:tab w:val="center" w:pos="4153"/>
        <w:tab w:val="right" w:pos="8306"/>
      </w:tabs>
      <w:snapToGrid w:val="0"/>
      <w:jc w:val="left"/>
    </w:pPr>
    <w:rPr>
      <w:sz w:val="18"/>
      <w:szCs w:val="18"/>
    </w:rPr>
  </w:style>
  <w:style w:type="paragraph" w:styleId="36">
    <w:name w:val="header"/>
    <w:basedOn w:val="1"/>
    <w:next w:val="37"/>
    <w:link w:val="81"/>
    <w:qFormat/>
    <w:uiPriority w:val="0"/>
    <w:pPr>
      <w:pBdr>
        <w:bottom w:val="single" w:color="auto" w:sz="6" w:space="1"/>
      </w:pBdr>
      <w:tabs>
        <w:tab w:val="center" w:pos="4153"/>
        <w:tab w:val="right" w:pos="8306"/>
      </w:tabs>
      <w:snapToGrid w:val="0"/>
      <w:jc w:val="center"/>
    </w:pPr>
    <w:rPr>
      <w:sz w:val="18"/>
      <w:szCs w:val="18"/>
    </w:rPr>
  </w:style>
  <w:style w:type="paragraph" w:customStyle="1" w:styleId="37">
    <w:name w:val="样式5"/>
    <w:basedOn w:val="1"/>
    <w:next w:val="1"/>
    <w:qFormat/>
    <w:uiPriority w:val="0"/>
    <w:pPr>
      <w:spacing w:line="500" w:lineRule="exact"/>
      <w:ind w:firstLine="480" w:firstLineChars="200"/>
    </w:pPr>
    <w:rPr>
      <w:rFonts w:hAnsi="宋体"/>
      <w:bCs/>
      <w:color w:val="000000"/>
      <w:sz w:val="24"/>
    </w:rPr>
  </w:style>
  <w:style w:type="paragraph" w:styleId="38">
    <w:name w:val="toc 1"/>
    <w:basedOn w:val="1"/>
    <w:next w:val="1"/>
    <w:link w:val="82"/>
    <w:qFormat/>
    <w:uiPriority w:val="39"/>
    <w:pPr>
      <w:spacing w:before="120" w:after="120"/>
      <w:jc w:val="left"/>
    </w:pPr>
    <w:rPr>
      <w:b/>
      <w:bCs/>
      <w:caps/>
      <w:sz w:val="20"/>
      <w:szCs w:val="20"/>
    </w:rPr>
  </w:style>
  <w:style w:type="paragraph" w:styleId="39">
    <w:name w:val="toc 4"/>
    <w:basedOn w:val="1"/>
    <w:next w:val="1"/>
    <w:semiHidden/>
    <w:qFormat/>
    <w:uiPriority w:val="0"/>
    <w:pPr>
      <w:ind w:left="630"/>
      <w:jc w:val="left"/>
    </w:pPr>
    <w:rPr>
      <w:sz w:val="18"/>
      <w:szCs w:val="18"/>
    </w:rPr>
  </w:style>
  <w:style w:type="paragraph" w:styleId="40">
    <w:name w:val="Subtitle"/>
    <w:basedOn w:val="1"/>
    <w:next w:val="1"/>
    <w:link w:val="83"/>
    <w:qFormat/>
    <w:uiPriority w:val="0"/>
    <w:pPr>
      <w:spacing w:before="240" w:after="60" w:line="312" w:lineRule="auto"/>
      <w:jc w:val="center"/>
      <w:outlineLvl w:val="1"/>
    </w:pPr>
    <w:rPr>
      <w:rFonts w:ascii="Cambria" w:hAnsi="Cambria"/>
      <w:b/>
      <w:bCs/>
      <w:kern w:val="28"/>
      <w:sz w:val="32"/>
      <w:szCs w:val="32"/>
    </w:rPr>
  </w:style>
  <w:style w:type="paragraph" w:styleId="41">
    <w:name w:val="toc 6"/>
    <w:basedOn w:val="1"/>
    <w:next w:val="1"/>
    <w:semiHidden/>
    <w:qFormat/>
    <w:uiPriority w:val="0"/>
    <w:pPr>
      <w:ind w:left="1050"/>
      <w:jc w:val="left"/>
    </w:pPr>
    <w:rPr>
      <w:sz w:val="18"/>
      <w:szCs w:val="18"/>
    </w:rPr>
  </w:style>
  <w:style w:type="paragraph" w:styleId="42">
    <w:name w:val="Body Text Indent 3"/>
    <w:basedOn w:val="1"/>
    <w:qFormat/>
    <w:uiPriority w:val="0"/>
    <w:pPr>
      <w:spacing w:line="560" w:lineRule="exact"/>
      <w:ind w:firstLine="570"/>
    </w:pPr>
    <w:rPr>
      <w:sz w:val="24"/>
    </w:rPr>
  </w:style>
  <w:style w:type="paragraph" w:styleId="43">
    <w:name w:val="table of figures"/>
    <w:basedOn w:val="1"/>
    <w:next w:val="1"/>
    <w:qFormat/>
    <w:uiPriority w:val="0"/>
    <w:pPr>
      <w:spacing w:line="500" w:lineRule="atLeast"/>
      <w:jc w:val="center"/>
    </w:pPr>
    <w:rPr>
      <w:rFonts w:hint="eastAsia" w:ascii="仿宋_GB2312" w:hAnsi="Times New Roman" w:eastAsia="仿宋_GB2312" w:cs="Times New Roman"/>
      <w:sz w:val="28"/>
      <w:szCs w:val="24"/>
    </w:rPr>
  </w:style>
  <w:style w:type="paragraph" w:styleId="44">
    <w:name w:val="toc 2"/>
    <w:basedOn w:val="1"/>
    <w:next w:val="1"/>
    <w:link w:val="84"/>
    <w:qFormat/>
    <w:uiPriority w:val="39"/>
    <w:pPr>
      <w:ind w:left="210"/>
      <w:jc w:val="left"/>
    </w:pPr>
    <w:rPr>
      <w:smallCaps/>
      <w:sz w:val="20"/>
      <w:szCs w:val="20"/>
    </w:rPr>
  </w:style>
  <w:style w:type="paragraph" w:styleId="45">
    <w:name w:val="toc 9"/>
    <w:basedOn w:val="1"/>
    <w:next w:val="1"/>
    <w:semiHidden/>
    <w:qFormat/>
    <w:uiPriority w:val="0"/>
    <w:pPr>
      <w:ind w:left="1680"/>
      <w:jc w:val="left"/>
    </w:pPr>
    <w:rPr>
      <w:sz w:val="18"/>
      <w:szCs w:val="18"/>
    </w:rPr>
  </w:style>
  <w:style w:type="paragraph" w:styleId="46">
    <w:name w:val="Body Text 2"/>
    <w:basedOn w:val="1"/>
    <w:qFormat/>
    <w:uiPriority w:val="0"/>
    <w:pPr>
      <w:spacing w:after="120" w:line="480" w:lineRule="auto"/>
    </w:pPr>
  </w:style>
  <w:style w:type="paragraph" w:styleId="4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9">
    <w:name w:val="index 1"/>
    <w:basedOn w:val="1"/>
    <w:next w:val="1"/>
    <w:qFormat/>
    <w:uiPriority w:val="0"/>
    <w:pPr>
      <w:jc w:val="center"/>
    </w:pPr>
    <w:rPr>
      <w:rFonts w:ascii="宋体" w:hAnsi="宋体"/>
      <w:color w:val="000000"/>
      <w:sz w:val="24"/>
      <w:szCs w:val="21"/>
    </w:rPr>
  </w:style>
  <w:style w:type="paragraph" w:styleId="50">
    <w:name w:val="Title"/>
    <w:basedOn w:val="1"/>
    <w:next w:val="51"/>
    <w:qFormat/>
    <w:uiPriority w:val="0"/>
    <w:pPr>
      <w:adjustRightInd w:val="0"/>
      <w:snapToGrid w:val="0"/>
      <w:spacing w:before="156" w:beforeLines="50" w:line="360" w:lineRule="auto"/>
      <w:jc w:val="center"/>
    </w:pPr>
    <w:rPr>
      <w:b/>
      <w:bCs/>
      <w:sz w:val="32"/>
      <w:szCs w:val="32"/>
    </w:rPr>
  </w:style>
  <w:style w:type="paragraph" w:styleId="51">
    <w:name w:val="Body Text First Indent"/>
    <w:basedOn w:val="24"/>
    <w:next w:val="43"/>
    <w:link w:val="85"/>
    <w:qFormat/>
    <w:uiPriority w:val="0"/>
    <w:pPr>
      <w:ind w:firstLine="420" w:firstLineChars="100"/>
    </w:pPr>
  </w:style>
  <w:style w:type="paragraph" w:styleId="52">
    <w:name w:val="annotation subject"/>
    <w:basedOn w:val="22"/>
    <w:next w:val="22"/>
    <w:qFormat/>
    <w:uiPriority w:val="0"/>
    <w:rPr>
      <w:b/>
      <w:sz w:val="24"/>
      <w:szCs w:val="20"/>
    </w:rPr>
  </w:style>
  <w:style w:type="table" w:styleId="54">
    <w:name w:val="Table Grid"/>
    <w:basedOn w:val="5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5">
    <w:name w:val="Table Theme"/>
    <w:basedOn w:val="5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56">
    <w:name w:val="Table Grid 1"/>
    <w:basedOn w:val="5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character" w:styleId="58">
    <w:name w:val="Strong"/>
    <w:basedOn w:val="57"/>
    <w:qFormat/>
    <w:uiPriority w:val="0"/>
    <w:rPr>
      <w:b/>
    </w:rPr>
  </w:style>
  <w:style w:type="character" w:styleId="59">
    <w:name w:val="page number"/>
    <w:qFormat/>
    <w:uiPriority w:val="0"/>
  </w:style>
  <w:style w:type="character" w:styleId="60">
    <w:name w:val="Emphasis"/>
    <w:qFormat/>
    <w:uiPriority w:val="20"/>
    <w:rPr>
      <w:i/>
      <w:iCs/>
    </w:rPr>
  </w:style>
  <w:style w:type="character" w:styleId="61">
    <w:name w:val="Hyperlink"/>
    <w:qFormat/>
    <w:uiPriority w:val="99"/>
    <w:rPr>
      <w:color w:val="0000FF"/>
      <w:u w:val="single"/>
    </w:rPr>
  </w:style>
  <w:style w:type="character" w:styleId="62">
    <w:name w:val="annotation reference"/>
    <w:semiHidden/>
    <w:qFormat/>
    <w:uiPriority w:val="0"/>
    <w:rPr>
      <w:sz w:val="21"/>
      <w:szCs w:val="21"/>
    </w:rPr>
  </w:style>
  <w:style w:type="paragraph" w:customStyle="1" w:styleId="63">
    <w:name w:val="xl27"/>
    <w:basedOn w:val="1"/>
    <w:next w:val="64"/>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PMingLiU" w:eastAsia="PMingLiU" w:cs="Times New Roman"/>
      <w:kern w:val="0"/>
      <w:sz w:val="16"/>
      <w:szCs w:val="16"/>
      <w:lang w:eastAsia="zh-TW"/>
    </w:rPr>
  </w:style>
  <w:style w:type="paragraph" w:customStyle="1" w:styleId="64">
    <w:name w:val="A正文"/>
    <w:basedOn w:val="1"/>
    <w:next w:val="24"/>
    <w:qFormat/>
    <w:uiPriority w:val="0"/>
    <w:pPr>
      <w:widowControl/>
      <w:overflowPunct w:val="0"/>
      <w:autoSpaceDE w:val="0"/>
      <w:autoSpaceDN w:val="0"/>
      <w:adjustRightInd w:val="0"/>
      <w:spacing w:line="360" w:lineRule="auto"/>
      <w:ind w:firstLine="200" w:firstLineChars="200"/>
      <w:jc w:val="left"/>
      <w:textAlignment w:val="baseline"/>
    </w:pPr>
    <w:rPr>
      <w:rFonts w:ascii="Times New Roman" w:hAnsi="Times New Roman" w:eastAsia="仿宋_GB2312" w:cs="Times New Roman"/>
      <w:kern w:val="0"/>
      <w:szCs w:val="24"/>
    </w:rPr>
  </w:style>
  <w:style w:type="character" w:customStyle="1" w:styleId="65">
    <w:name w:val="标题 1 字符"/>
    <w:link w:val="2"/>
    <w:qFormat/>
    <w:uiPriority w:val="0"/>
    <w:rPr>
      <w:b/>
      <w:bCs/>
      <w:kern w:val="44"/>
      <w:sz w:val="44"/>
      <w:szCs w:val="44"/>
    </w:rPr>
  </w:style>
  <w:style w:type="character" w:customStyle="1" w:styleId="66">
    <w:name w:val="标题 2 字符"/>
    <w:link w:val="3"/>
    <w:qFormat/>
    <w:uiPriority w:val="0"/>
    <w:rPr>
      <w:rFonts w:eastAsia="黑体"/>
      <w:bCs/>
      <w:kern w:val="2"/>
      <w:sz w:val="30"/>
      <w:szCs w:val="32"/>
    </w:rPr>
  </w:style>
  <w:style w:type="character" w:customStyle="1" w:styleId="67">
    <w:name w:val="标题 3 字符"/>
    <w:link w:val="4"/>
    <w:qFormat/>
    <w:uiPriority w:val="0"/>
    <w:rPr>
      <w:rFonts w:eastAsia="黑体"/>
      <w:bCs/>
      <w:kern w:val="2"/>
      <w:sz w:val="28"/>
      <w:szCs w:val="32"/>
    </w:rPr>
  </w:style>
  <w:style w:type="character" w:customStyle="1" w:styleId="68">
    <w:name w:val="标题 4 字符"/>
    <w:link w:val="5"/>
    <w:qFormat/>
    <w:uiPriority w:val="9"/>
    <w:rPr>
      <w:rFonts w:eastAsia="黑体"/>
      <w:bCs/>
      <w:kern w:val="2"/>
      <w:sz w:val="24"/>
      <w:szCs w:val="28"/>
    </w:rPr>
  </w:style>
  <w:style w:type="character" w:customStyle="1" w:styleId="69">
    <w:name w:val="标题 5 字符"/>
    <w:link w:val="6"/>
    <w:qFormat/>
    <w:uiPriority w:val="0"/>
    <w:rPr>
      <w:bCs/>
      <w:kern w:val="2"/>
      <w:sz w:val="24"/>
      <w:szCs w:val="28"/>
    </w:rPr>
  </w:style>
  <w:style w:type="character" w:customStyle="1" w:styleId="70">
    <w:name w:val="标题 6 字符"/>
    <w:link w:val="7"/>
    <w:qFormat/>
    <w:uiPriority w:val="0"/>
    <w:rPr>
      <w:rFonts w:ascii="Arial" w:hAnsi="Arial" w:eastAsia="宋体"/>
      <w:b/>
      <w:spacing w:val="-4"/>
      <w:kern w:val="20"/>
      <w:sz w:val="18"/>
      <w:lang w:val="en-US" w:eastAsia="zh-CN" w:bidi="ar-SA"/>
    </w:rPr>
  </w:style>
  <w:style w:type="character" w:customStyle="1" w:styleId="71">
    <w:name w:val="标题 7 字符"/>
    <w:link w:val="8"/>
    <w:qFormat/>
    <w:uiPriority w:val="0"/>
    <w:rPr>
      <w:rFonts w:eastAsia="宋体"/>
      <w:spacing w:val="-4"/>
      <w:kern w:val="20"/>
      <w:sz w:val="24"/>
      <w:lang w:val="en-US" w:eastAsia="zh-CN" w:bidi="ar-SA"/>
    </w:rPr>
  </w:style>
  <w:style w:type="character" w:customStyle="1" w:styleId="72">
    <w:name w:val="标题 8 字符"/>
    <w:link w:val="9"/>
    <w:qFormat/>
    <w:uiPriority w:val="0"/>
    <w:rPr>
      <w:rFonts w:ascii="Arial" w:hAnsi="Arial" w:eastAsia="宋体"/>
      <w:b/>
      <w:spacing w:val="-4"/>
      <w:kern w:val="20"/>
      <w:sz w:val="18"/>
      <w:lang w:val="en-US" w:eastAsia="zh-CN" w:bidi="ar-SA"/>
    </w:rPr>
  </w:style>
  <w:style w:type="character" w:customStyle="1" w:styleId="73">
    <w:name w:val="标题 9 字符"/>
    <w:link w:val="10"/>
    <w:qFormat/>
    <w:uiPriority w:val="0"/>
    <w:rPr>
      <w:rFonts w:ascii="Arial" w:hAnsi="Arial" w:eastAsia="宋体"/>
      <w:spacing w:val="-6"/>
      <w:kern w:val="20"/>
      <w:sz w:val="18"/>
      <w:lang w:val="en-US" w:eastAsia="zh-CN" w:bidi="ar-SA"/>
    </w:rPr>
  </w:style>
  <w:style w:type="character" w:customStyle="1" w:styleId="74">
    <w:name w:val="正文缩进 字符"/>
    <w:link w:val="15"/>
    <w:qFormat/>
    <w:uiPriority w:val="0"/>
    <w:rPr>
      <w:rFonts w:eastAsia="宋体"/>
      <w:kern w:val="2"/>
      <w:sz w:val="21"/>
      <w:lang w:val="en-US" w:eastAsia="zh-CN" w:bidi="ar-SA"/>
    </w:rPr>
  </w:style>
  <w:style w:type="character" w:customStyle="1" w:styleId="75">
    <w:name w:val="正文文本缩进 字符"/>
    <w:link w:val="17"/>
    <w:qFormat/>
    <w:uiPriority w:val="0"/>
    <w:rPr>
      <w:rFonts w:eastAsia="宋体"/>
      <w:kern w:val="2"/>
      <w:sz w:val="21"/>
      <w:szCs w:val="24"/>
      <w:lang w:val="en-US" w:eastAsia="zh-CN" w:bidi="ar-SA"/>
    </w:rPr>
  </w:style>
  <w:style w:type="character" w:customStyle="1" w:styleId="76">
    <w:name w:val="批注文字 字符"/>
    <w:link w:val="22"/>
    <w:semiHidden/>
    <w:qFormat/>
    <w:uiPriority w:val="0"/>
    <w:rPr>
      <w:rFonts w:eastAsia="宋体"/>
      <w:kern w:val="2"/>
      <w:sz w:val="21"/>
      <w:szCs w:val="24"/>
      <w:lang w:val="en-US" w:eastAsia="zh-CN" w:bidi="ar-SA"/>
    </w:rPr>
  </w:style>
  <w:style w:type="character" w:customStyle="1" w:styleId="77">
    <w:name w:val="正文文本 字符"/>
    <w:link w:val="24"/>
    <w:qFormat/>
    <w:uiPriority w:val="0"/>
    <w:rPr>
      <w:rFonts w:eastAsia="宋体"/>
      <w:kern w:val="2"/>
      <w:sz w:val="21"/>
      <w:szCs w:val="24"/>
      <w:lang w:val="en-US" w:eastAsia="zh-CN" w:bidi="ar-SA"/>
    </w:rPr>
  </w:style>
  <w:style w:type="character" w:customStyle="1" w:styleId="78">
    <w:name w:val="纯文本 字符"/>
    <w:link w:val="29"/>
    <w:qFormat/>
    <w:uiPriority w:val="0"/>
    <w:rPr>
      <w:rFonts w:ascii="宋体" w:hAnsi="Courier New" w:eastAsia="宋体"/>
      <w:kern w:val="2"/>
      <w:sz w:val="21"/>
      <w:lang w:val="en-US" w:eastAsia="zh-CN" w:bidi="ar-SA"/>
    </w:rPr>
  </w:style>
  <w:style w:type="character" w:customStyle="1" w:styleId="79">
    <w:name w:val="批注框文本 字符"/>
    <w:link w:val="34"/>
    <w:qFormat/>
    <w:uiPriority w:val="99"/>
    <w:rPr>
      <w:rFonts w:eastAsia="宋体"/>
      <w:kern w:val="2"/>
      <w:sz w:val="18"/>
      <w:szCs w:val="18"/>
      <w:lang w:val="en-US" w:eastAsia="zh-CN" w:bidi="ar-SA"/>
    </w:rPr>
  </w:style>
  <w:style w:type="character" w:customStyle="1" w:styleId="80">
    <w:name w:val="页脚 字符"/>
    <w:link w:val="35"/>
    <w:semiHidden/>
    <w:qFormat/>
    <w:uiPriority w:val="0"/>
    <w:rPr>
      <w:rFonts w:eastAsia="宋体"/>
      <w:kern w:val="2"/>
      <w:sz w:val="18"/>
      <w:szCs w:val="18"/>
      <w:lang w:val="en-US" w:eastAsia="zh-CN" w:bidi="ar-SA"/>
    </w:rPr>
  </w:style>
  <w:style w:type="character" w:customStyle="1" w:styleId="81">
    <w:name w:val="页眉 字符"/>
    <w:link w:val="36"/>
    <w:semiHidden/>
    <w:qFormat/>
    <w:uiPriority w:val="0"/>
    <w:rPr>
      <w:rFonts w:eastAsia="宋体"/>
      <w:kern w:val="2"/>
      <w:sz w:val="18"/>
      <w:szCs w:val="18"/>
      <w:lang w:val="en-US" w:eastAsia="zh-CN" w:bidi="ar-SA"/>
    </w:rPr>
  </w:style>
  <w:style w:type="character" w:customStyle="1" w:styleId="82">
    <w:name w:val="TOC 1 字符"/>
    <w:link w:val="38"/>
    <w:qFormat/>
    <w:uiPriority w:val="0"/>
    <w:rPr>
      <w:rFonts w:eastAsia="宋体"/>
      <w:b/>
      <w:bCs/>
      <w:caps/>
      <w:kern w:val="2"/>
      <w:lang w:val="en-US" w:eastAsia="zh-CN" w:bidi="ar-SA"/>
    </w:rPr>
  </w:style>
  <w:style w:type="character" w:customStyle="1" w:styleId="83">
    <w:name w:val="副标题 字符"/>
    <w:link w:val="40"/>
    <w:qFormat/>
    <w:uiPriority w:val="0"/>
    <w:rPr>
      <w:rFonts w:ascii="Cambria" w:hAnsi="Cambria" w:eastAsia="宋体"/>
      <w:b/>
      <w:bCs/>
      <w:kern w:val="28"/>
      <w:sz w:val="32"/>
      <w:szCs w:val="32"/>
      <w:lang w:val="en-US" w:eastAsia="zh-CN" w:bidi="ar-SA"/>
    </w:rPr>
  </w:style>
  <w:style w:type="character" w:customStyle="1" w:styleId="84">
    <w:name w:val="TOC 2 字符"/>
    <w:link w:val="44"/>
    <w:qFormat/>
    <w:uiPriority w:val="0"/>
    <w:rPr>
      <w:rFonts w:eastAsia="宋体"/>
      <w:smallCaps/>
      <w:kern w:val="2"/>
      <w:lang w:val="en-US" w:eastAsia="zh-CN" w:bidi="ar-SA"/>
    </w:rPr>
  </w:style>
  <w:style w:type="character" w:customStyle="1" w:styleId="85">
    <w:name w:val="正文文本首行缩进 字符"/>
    <w:link w:val="51"/>
    <w:qFormat/>
    <w:uiPriority w:val="0"/>
    <w:rPr>
      <w:rFonts w:eastAsia="宋体"/>
      <w:kern w:val="2"/>
      <w:sz w:val="21"/>
      <w:szCs w:val="24"/>
      <w:lang w:val="en-US" w:eastAsia="zh-CN" w:bidi="ar-SA"/>
    </w:rPr>
  </w:style>
  <w:style w:type="character" w:customStyle="1" w:styleId="86">
    <w:name w:val="ask-title"/>
    <w:qFormat/>
    <w:uiPriority w:val="0"/>
  </w:style>
  <w:style w:type="character" w:customStyle="1" w:styleId="87">
    <w:name w:val="页脚 Char"/>
    <w:semiHidden/>
    <w:qFormat/>
    <w:uiPriority w:val="0"/>
    <w:rPr>
      <w:rFonts w:eastAsia="宋体"/>
      <w:kern w:val="2"/>
      <w:sz w:val="18"/>
      <w:szCs w:val="18"/>
      <w:lang w:val="en-US" w:eastAsia="zh-CN" w:bidi="ar-SA"/>
    </w:rPr>
  </w:style>
  <w:style w:type="character" w:customStyle="1" w:styleId="88">
    <w:name w:val="样式 Arial"/>
    <w:qFormat/>
    <w:uiPriority w:val="0"/>
    <w:rPr>
      <w:rFonts w:ascii="Arial" w:hAnsi="Arial"/>
    </w:rPr>
  </w:style>
  <w:style w:type="character" w:customStyle="1" w:styleId="89">
    <w:name w:val="表头 Char1"/>
    <w:qFormat/>
    <w:uiPriority w:val="0"/>
    <w:rPr>
      <w:rFonts w:eastAsia="黑体"/>
      <w:kern w:val="10"/>
      <w:sz w:val="24"/>
      <w:lang w:val="en-US" w:eastAsia="zh-CN" w:bidi="ar-SA"/>
    </w:rPr>
  </w:style>
  <w:style w:type="character" w:customStyle="1" w:styleId="90">
    <w:name w:val="样式 小4居中 + Char"/>
    <w:link w:val="91"/>
    <w:qFormat/>
    <w:uiPriority w:val="0"/>
    <w:rPr>
      <w:sz w:val="24"/>
      <w:szCs w:val="24"/>
    </w:rPr>
  </w:style>
  <w:style w:type="paragraph" w:customStyle="1" w:styleId="91">
    <w:name w:val="样式 小4居中 +"/>
    <w:basedOn w:val="1"/>
    <w:link w:val="90"/>
    <w:qFormat/>
    <w:uiPriority w:val="0"/>
    <w:pPr>
      <w:snapToGrid w:val="0"/>
      <w:spacing w:before="15" w:beforeLines="15" w:after="15" w:afterLines="15" w:line="320" w:lineRule="atLeast"/>
      <w:jc w:val="center"/>
    </w:pPr>
    <w:rPr>
      <w:kern w:val="0"/>
      <w:sz w:val="24"/>
    </w:rPr>
  </w:style>
  <w:style w:type="character" w:customStyle="1" w:styleId="92">
    <w:name w:val="font11"/>
    <w:qFormat/>
    <w:uiPriority w:val="0"/>
    <w:rPr>
      <w:rFonts w:hint="default" w:ascii="Times New Roman" w:hAnsi="Times New Roman" w:cs="Times New Roman"/>
      <w:color w:val="0000FF"/>
      <w:sz w:val="21"/>
      <w:szCs w:val="21"/>
      <w:u w:val="none"/>
    </w:rPr>
  </w:style>
  <w:style w:type="character" w:customStyle="1" w:styleId="93">
    <w:name w:val="页眉 Char"/>
    <w:semiHidden/>
    <w:qFormat/>
    <w:uiPriority w:val="0"/>
    <w:rPr>
      <w:rFonts w:eastAsia="宋体"/>
      <w:kern w:val="2"/>
      <w:sz w:val="18"/>
      <w:szCs w:val="18"/>
      <w:lang w:val="en-US" w:eastAsia="zh-CN" w:bidi="ar-SA"/>
    </w:rPr>
  </w:style>
  <w:style w:type="character" w:customStyle="1" w:styleId="94">
    <w:name w:val="评2级 Char"/>
    <w:link w:val="95"/>
    <w:qFormat/>
    <w:uiPriority w:val="0"/>
    <w:rPr>
      <w:rFonts w:ascii="楷体_GB2312" w:hAnsi="宋体" w:eastAsia="楷体_GB2312"/>
      <w:b/>
      <w:bCs/>
      <w:sz w:val="32"/>
      <w:szCs w:val="27"/>
    </w:rPr>
  </w:style>
  <w:style w:type="paragraph" w:customStyle="1" w:styleId="95">
    <w:name w:val="评2级"/>
    <w:basedOn w:val="96"/>
    <w:link w:val="94"/>
    <w:qFormat/>
    <w:uiPriority w:val="0"/>
    <w:pPr>
      <w:spacing w:before="145" w:after="145"/>
    </w:pPr>
    <w:rPr>
      <w:color w:val="auto"/>
      <w:kern w:val="0"/>
    </w:rPr>
  </w:style>
  <w:style w:type="paragraph" w:customStyle="1" w:styleId="96">
    <w:name w:val="安评2级标题"/>
    <w:basedOn w:val="2"/>
    <w:link w:val="97"/>
    <w:qFormat/>
    <w:uiPriority w:val="0"/>
    <w:pPr>
      <w:keepNext w:val="0"/>
      <w:keepLines w:val="0"/>
      <w:spacing w:after="156" w:afterLines="50" w:line="600" w:lineRule="exact"/>
      <w:ind w:right="105" w:rightChars="50"/>
    </w:pPr>
    <w:rPr>
      <w:rFonts w:ascii="楷体_GB2312" w:hAnsi="宋体" w:eastAsia="楷体_GB2312"/>
      <w:color w:val="000000"/>
      <w:sz w:val="32"/>
      <w:szCs w:val="27"/>
    </w:rPr>
  </w:style>
  <w:style w:type="character" w:customStyle="1" w:styleId="97">
    <w:name w:val="安评2级标题 Char"/>
    <w:link w:val="96"/>
    <w:qFormat/>
    <w:uiPriority w:val="0"/>
    <w:rPr>
      <w:rFonts w:ascii="楷体_GB2312" w:hAnsi="宋体" w:eastAsia="楷体_GB2312"/>
      <w:b/>
      <w:bCs/>
      <w:color w:val="000000"/>
      <w:kern w:val="44"/>
      <w:sz w:val="32"/>
      <w:szCs w:val="27"/>
    </w:rPr>
  </w:style>
  <w:style w:type="character" w:customStyle="1" w:styleId="98">
    <w:name w:val="标题 9 Char"/>
    <w:qFormat/>
    <w:uiPriority w:val="0"/>
    <w:rPr>
      <w:rFonts w:ascii="Arial" w:hAnsi="Arial" w:eastAsia="宋体"/>
      <w:spacing w:val="-6"/>
      <w:kern w:val="20"/>
      <w:sz w:val="18"/>
      <w:lang w:val="en-US" w:eastAsia="zh-CN" w:bidi="ar-SA"/>
    </w:rPr>
  </w:style>
  <w:style w:type="character" w:customStyle="1" w:styleId="99">
    <w:name w:val="明显引用 字符"/>
    <w:link w:val="100"/>
    <w:qFormat/>
    <w:uiPriority w:val="0"/>
    <w:rPr>
      <w:rFonts w:ascii="Calibri" w:hAnsi="Calibri" w:eastAsia="宋体"/>
      <w:b/>
      <w:bCs/>
      <w:i/>
      <w:iCs/>
      <w:color w:val="4F81BD"/>
      <w:kern w:val="2"/>
      <w:sz w:val="21"/>
      <w:szCs w:val="21"/>
      <w:lang w:val="en-US" w:eastAsia="zh-CN" w:bidi="ar-SA"/>
    </w:rPr>
  </w:style>
  <w:style w:type="paragraph" w:styleId="100">
    <w:name w:val="Intense Quote"/>
    <w:basedOn w:val="1"/>
    <w:next w:val="1"/>
    <w:link w:val="99"/>
    <w:qFormat/>
    <w:uiPriority w:val="0"/>
    <w:pPr>
      <w:pBdr>
        <w:bottom w:val="single" w:color="4F81BD" w:sz="4" w:space="4"/>
      </w:pBdr>
      <w:spacing w:before="200" w:after="280"/>
      <w:ind w:left="936" w:right="936"/>
    </w:pPr>
    <w:rPr>
      <w:rFonts w:ascii="Calibri" w:hAnsi="Calibri"/>
      <w:b/>
      <w:bCs/>
      <w:i/>
      <w:iCs/>
      <w:color w:val="4F81BD"/>
      <w:szCs w:val="21"/>
    </w:rPr>
  </w:style>
  <w:style w:type="character" w:customStyle="1" w:styleId="101">
    <w:name w:val="标题三三 Char"/>
    <w:link w:val="102"/>
    <w:qFormat/>
    <w:uiPriority w:val="0"/>
    <w:rPr>
      <w:rFonts w:eastAsia="黑体"/>
      <w:kern w:val="2"/>
      <w:sz w:val="28"/>
      <w:szCs w:val="22"/>
    </w:rPr>
  </w:style>
  <w:style w:type="paragraph" w:customStyle="1" w:styleId="102">
    <w:name w:val="标题三三"/>
    <w:basedOn w:val="103"/>
    <w:next w:val="1"/>
    <w:link w:val="101"/>
    <w:qFormat/>
    <w:uiPriority w:val="0"/>
    <w:pPr>
      <w:adjustRightInd w:val="0"/>
      <w:snapToGrid w:val="0"/>
      <w:spacing w:before="240" w:after="120" w:line="360" w:lineRule="auto"/>
      <w:jc w:val="left"/>
      <w:outlineLvl w:val="2"/>
    </w:pPr>
    <w:rPr>
      <w:rFonts w:eastAsia="黑体"/>
      <w:sz w:val="28"/>
      <w:szCs w:val="22"/>
    </w:rPr>
  </w:style>
  <w:style w:type="paragraph" w:customStyle="1" w:styleId="103">
    <w:name w:val="标题二二"/>
    <w:basedOn w:val="104"/>
    <w:next w:val="1"/>
    <w:qFormat/>
    <w:uiPriority w:val="0"/>
    <w:pPr>
      <w:spacing w:before="360" w:after="360"/>
      <w:outlineLvl w:val="1"/>
    </w:pPr>
    <w:rPr>
      <w:sz w:val="32"/>
    </w:rPr>
  </w:style>
  <w:style w:type="paragraph" w:customStyle="1" w:styleId="104">
    <w:name w:val="标题一一"/>
    <w:basedOn w:val="1"/>
    <w:next w:val="1"/>
    <w:qFormat/>
    <w:uiPriority w:val="0"/>
    <w:pPr>
      <w:spacing w:before="960" w:after="480"/>
      <w:ind w:firstLine="0" w:firstLineChars="0"/>
      <w:jc w:val="left"/>
      <w:outlineLvl w:val="0"/>
    </w:pPr>
    <w:rPr>
      <w:rFonts w:eastAsia="黑体"/>
      <w:sz w:val="44"/>
    </w:rPr>
  </w:style>
  <w:style w:type="character" w:customStyle="1" w:styleId="105">
    <w:name w:val="表格内容 Char Char"/>
    <w:link w:val="106"/>
    <w:qFormat/>
    <w:uiPriority w:val="0"/>
    <w:rPr>
      <w:sz w:val="18"/>
    </w:rPr>
  </w:style>
  <w:style w:type="paragraph" w:customStyle="1" w:styleId="106">
    <w:name w:val="表格内容"/>
    <w:basedOn w:val="1"/>
    <w:link w:val="105"/>
    <w:qFormat/>
    <w:uiPriority w:val="0"/>
    <w:pPr>
      <w:overflowPunct w:val="0"/>
      <w:adjustRightInd w:val="0"/>
      <w:jc w:val="center"/>
      <w:textAlignment w:val="baseline"/>
    </w:pPr>
    <w:rPr>
      <w:kern w:val="0"/>
      <w:sz w:val="18"/>
      <w:szCs w:val="20"/>
    </w:rPr>
  </w:style>
  <w:style w:type="character" w:customStyle="1" w:styleId="107">
    <w:name w:val="样式 标题 2节标题 1.1标题 1.1h2l22nd levelTitre22Header 2BSH-2H...1 Char"/>
    <w:link w:val="108"/>
    <w:qFormat/>
    <w:uiPriority w:val="0"/>
    <w:rPr>
      <w:bCs/>
      <w:kern w:val="2"/>
      <w:sz w:val="28"/>
      <w:szCs w:val="32"/>
    </w:rPr>
  </w:style>
  <w:style w:type="paragraph" w:customStyle="1" w:styleId="108">
    <w:name w:val="样式 标题 2节标题 1.1标题 1.1h2l22nd levelTitre22Header 2BSH-2H...1"/>
    <w:basedOn w:val="3"/>
    <w:link w:val="107"/>
    <w:qFormat/>
    <w:uiPriority w:val="0"/>
    <w:rPr>
      <w:rFonts w:ascii="Times New Roman" w:hAnsi="Times New Roman" w:eastAsia="宋体"/>
      <w:sz w:val="28"/>
    </w:rPr>
  </w:style>
  <w:style w:type="character" w:customStyle="1" w:styleId="109">
    <w:name w:val="正文1 Char"/>
    <w:link w:val="110"/>
    <w:qFormat/>
    <w:uiPriority w:val="0"/>
    <w:rPr>
      <w:rFonts w:ascii="仿宋_GB2312" w:eastAsia="仿宋_GB2312"/>
      <w:kern w:val="2"/>
      <w:sz w:val="21"/>
      <w:szCs w:val="21"/>
      <w:lang w:val="en-US" w:eastAsia="zh-CN" w:bidi="ar-SA"/>
    </w:rPr>
  </w:style>
  <w:style w:type="paragraph" w:customStyle="1" w:styleId="110">
    <w:name w:val="正文1"/>
    <w:basedOn w:val="1"/>
    <w:next w:val="1"/>
    <w:link w:val="109"/>
    <w:qFormat/>
    <w:uiPriority w:val="0"/>
    <w:pPr>
      <w:widowControl/>
      <w:jc w:val="left"/>
    </w:pPr>
    <w:rPr>
      <w:rFonts w:ascii="仿宋_GB2312" w:eastAsia="仿宋_GB2312"/>
      <w:szCs w:val="21"/>
    </w:rPr>
  </w:style>
  <w:style w:type="character" w:customStyle="1" w:styleId="111">
    <w:name w:val="Char5 Char Char1"/>
    <w:qFormat/>
    <w:uiPriority w:val="0"/>
    <w:rPr>
      <w:rFonts w:eastAsia="宋体"/>
      <w:kern w:val="2"/>
      <w:sz w:val="18"/>
      <w:szCs w:val="18"/>
      <w:lang w:val="en-US" w:eastAsia="zh-CN" w:bidi="ar-SA"/>
    </w:rPr>
  </w:style>
  <w:style w:type="character" w:customStyle="1" w:styleId="112">
    <w:name w:val="标题 7 Char"/>
    <w:qFormat/>
    <w:uiPriority w:val="0"/>
    <w:rPr>
      <w:rFonts w:eastAsia="宋体"/>
      <w:spacing w:val="-4"/>
      <w:kern w:val="20"/>
      <w:sz w:val="24"/>
      <w:lang w:val="en-US" w:eastAsia="zh-CN" w:bidi="ar-SA"/>
    </w:rPr>
  </w:style>
  <w:style w:type="character" w:customStyle="1" w:styleId="113">
    <w:name w:val="表格正文 Char1"/>
    <w:link w:val="114"/>
    <w:qFormat/>
    <w:uiPriority w:val="0"/>
    <w:rPr>
      <w:kern w:val="2"/>
      <w:sz w:val="21"/>
      <w:szCs w:val="22"/>
    </w:rPr>
  </w:style>
  <w:style w:type="paragraph" w:customStyle="1" w:styleId="114">
    <w:name w:val="表格正文"/>
    <w:basedOn w:val="15"/>
    <w:next w:val="1"/>
    <w:link w:val="113"/>
    <w:qFormat/>
    <w:uiPriority w:val="0"/>
    <w:pPr>
      <w:widowControl/>
      <w:adjustRightInd w:val="0"/>
      <w:snapToGrid w:val="0"/>
      <w:spacing w:line="360" w:lineRule="exact"/>
      <w:ind w:firstLine="0"/>
      <w:jc w:val="center"/>
    </w:pPr>
    <w:rPr>
      <w:szCs w:val="22"/>
    </w:rPr>
  </w:style>
  <w:style w:type="character" w:customStyle="1" w:styleId="115">
    <w:name w:val="批注文字 Char1"/>
    <w:semiHidden/>
    <w:qFormat/>
    <w:uiPriority w:val="0"/>
    <w:rPr>
      <w:kern w:val="2"/>
      <w:sz w:val="28"/>
    </w:rPr>
  </w:style>
  <w:style w:type="character" w:customStyle="1" w:styleId="116">
    <w:name w:val="bititle"/>
    <w:qFormat/>
    <w:uiPriority w:val="0"/>
  </w:style>
  <w:style w:type="character" w:customStyle="1" w:styleId="117">
    <w:name w:val="标题 2 Char"/>
    <w:qFormat/>
    <w:uiPriority w:val="0"/>
    <w:rPr>
      <w:rFonts w:eastAsia="黑体"/>
      <w:bCs/>
      <w:kern w:val="2"/>
      <w:sz w:val="30"/>
      <w:szCs w:val="32"/>
    </w:rPr>
  </w:style>
  <w:style w:type="character" w:customStyle="1" w:styleId="118">
    <w:name w:val="样式 正文文本 + 首行缩进:  0.8 厘米 Char"/>
    <w:link w:val="119"/>
    <w:qFormat/>
    <w:uiPriority w:val="0"/>
    <w:rPr>
      <w:rFonts w:ascii="仿宋_GB2312" w:hAnsi="宋体" w:eastAsia="仿宋_GB2312" w:cs="宋体"/>
      <w:spacing w:val="-8"/>
      <w:sz w:val="28"/>
      <w:szCs w:val="28"/>
      <w:lang w:val="en-US" w:eastAsia="zh-CN" w:bidi="ar-SA"/>
    </w:rPr>
  </w:style>
  <w:style w:type="paragraph" w:customStyle="1" w:styleId="119">
    <w:name w:val="样式 正文文本 + 首行缩进:  0.8 厘米"/>
    <w:basedOn w:val="24"/>
    <w:link w:val="118"/>
    <w:qFormat/>
    <w:uiPriority w:val="0"/>
    <w:pPr>
      <w:spacing w:after="0" w:line="360" w:lineRule="auto"/>
      <w:ind w:firstLine="200" w:firstLineChars="200"/>
    </w:pPr>
    <w:rPr>
      <w:rFonts w:ascii="仿宋_GB2312" w:hAnsi="宋体" w:eastAsia="仿宋_GB2312" w:cs="宋体"/>
      <w:spacing w:val="-8"/>
      <w:kern w:val="0"/>
      <w:sz w:val="28"/>
      <w:szCs w:val="28"/>
    </w:rPr>
  </w:style>
  <w:style w:type="character" w:customStyle="1" w:styleId="120">
    <w:name w:val="样式 标题 5 + Char"/>
    <w:link w:val="121"/>
    <w:qFormat/>
    <w:uiPriority w:val="0"/>
    <w:rPr>
      <w:rFonts w:eastAsia="宋体"/>
      <w:b/>
      <w:bCs/>
      <w:sz w:val="28"/>
      <w:szCs w:val="28"/>
      <w:lang w:val="en-US" w:eastAsia="zh-CN" w:bidi="ar-SA"/>
    </w:rPr>
  </w:style>
  <w:style w:type="paragraph" w:customStyle="1" w:styleId="121">
    <w:name w:val="样式 标题 5 +"/>
    <w:basedOn w:val="6"/>
    <w:link w:val="120"/>
    <w:qFormat/>
    <w:uiPriority w:val="0"/>
    <w:pPr>
      <w:spacing w:before="0" w:after="0" w:line="360" w:lineRule="auto"/>
    </w:pPr>
    <w:rPr>
      <w:kern w:val="0"/>
    </w:rPr>
  </w:style>
  <w:style w:type="character" w:customStyle="1" w:styleId="122">
    <w:name w:val="18"/>
    <w:qFormat/>
    <w:uiPriority w:val="0"/>
    <w:rPr>
      <w:rFonts w:hint="eastAsia" w:ascii="MingLiU" w:eastAsia="MingLiU"/>
      <w:color w:val="000000"/>
      <w:spacing w:val="0"/>
      <w:sz w:val="13"/>
      <w:szCs w:val="13"/>
    </w:rPr>
  </w:style>
  <w:style w:type="character" w:customStyle="1" w:styleId="123">
    <w:name w:val="我的正文 Char"/>
    <w:link w:val="124"/>
    <w:qFormat/>
    <w:uiPriority w:val="0"/>
    <w:rPr>
      <w:rFonts w:ascii="宋体" w:hAnsi="宋体" w:eastAsia="宋体"/>
      <w:kern w:val="2"/>
      <w:sz w:val="28"/>
      <w:szCs w:val="28"/>
      <w:lang w:val="en-US" w:eastAsia="zh-CN" w:bidi="ar-SA"/>
    </w:rPr>
  </w:style>
  <w:style w:type="paragraph" w:customStyle="1" w:styleId="124">
    <w:name w:val="我的正文"/>
    <w:basedOn w:val="1"/>
    <w:link w:val="123"/>
    <w:qFormat/>
    <w:uiPriority w:val="0"/>
    <w:pPr>
      <w:spacing w:line="480" w:lineRule="exact"/>
      <w:ind w:firstLine="560" w:firstLineChars="200"/>
    </w:pPr>
    <w:rPr>
      <w:rFonts w:ascii="宋体" w:hAnsi="宋体"/>
      <w:sz w:val="28"/>
      <w:szCs w:val="28"/>
    </w:rPr>
  </w:style>
  <w:style w:type="character" w:customStyle="1" w:styleId="125">
    <w:name w:val="批注框文本 Char"/>
    <w:qFormat/>
    <w:uiPriority w:val="99"/>
    <w:rPr>
      <w:rFonts w:eastAsia="宋体"/>
      <w:kern w:val="2"/>
      <w:sz w:val="18"/>
      <w:szCs w:val="18"/>
      <w:lang w:val="en-US" w:eastAsia="zh-CN" w:bidi="ar-SA"/>
    </w:rPr>
  </w:style>
  <w:style w:type="character" w:customStyle="1" w:styleId="126">
    <w:name w:val="纯文本 Char"/>
    <w:qFormat/>
    <w:uiPriority w:val="0"/>
    <w:rPr>
      <w:rFonts w:ascii="宋体" w:hAnsi="Courier New" w:eastAsia="宋体"/>
      <w:kern w:val="2"/>
      <w:sz w:val="21"/>
      <w:lang w:val="en-US" w:eastAsia="zh-CN" w:bidi="ar-SA"/>
    </w:rPr>
  </w:style>
  <w:style w:type="character" w:customStyle="1" w:styleId="127">
    <w:name w:val="apple-converted-space"/>
    <w:qFormat/>
    <w:uiPriority w:val="0"/>
  </w:style>
  <w:style w:type="character" w:customStyle="1" w:styleId="128">
    <w:name w:val="font21"/>
    <w:qFormat/>
    <w:uiPriority w:val="0"/>
    <w:rPr>
      <w:rFonts w:hint="eastAsia" w:ascii="宋体" w:hAnsi="宋体" w:eastAsia="宋体"/>
      <w:color w:val="0000FF"/>
      <w:sz w:val="21"/>
      <w:szCs w:val="21"/>
      <w:u w:val="none"/>
    </w:rPr>
  </w:style>
  <w:style w:type="character" w:customStyle="1" w:styleId="129">
    <w:name w:val="节标题 1.1 Char1"/>
    <w:qFormat/>
    <w:uiPriority w:val="0"/>
    <w:rPr>
      <w:rFonts w:ascii="Arial" w:hAnsi="Arial" w:eastAsia="黑体"/>
      <w:b/>
      <w:bCs/>
      <w:kern w:val="2"/>
      <w:sz w:val="32"/>
      <w:szCs w:val="32"/>
      <w:lang w:val="en-US" w:eastAsia="zh-CN" w:bidi="ar-SA"/>
    </w:rPr>
  </w:style>
  <w:style w:type="character" w:customStyle="1" w:styleId="130">
    <w:name w:val=" Char Char13"/>
    <w:qFormat/>
    <w:uiPriority w:val="0"/>
    <w:rPr>
      <w:rFonts w:eastAsia="宋体"/>
      <w:kern w:val="2"/>
      <w:sz w:val="21"/>
      <w:szCs w:val="24"/>
      <w:lang w:val="en-US" w:eastAsia="zh-CN" w:bidi="ar-SA"/>
    </w:rPr>
  </w:style>
  <w:style w:type="character" w:customStyle="1" w:styleId="131">
    <w:name w:val="标题 3 Char"/>
    <w:qFormat/>
    <w:uiPriority w:val="0"/>
    <w:rPr>
      <w:rFonts w:eastAsia="黑体"/>
      <w:bCs/>
      <w:kern w:val="2"/>
      <w:sz w:val="28"/>
      <w:szCs w:val="32"/>
    </w:rPr>
  </w:style>
  <w:style w:type="character" w:customStyle="1" w:styleId="132">
    <w:name w:val="标题 4 Char"/>
    <w:qFormat/>
    <w:uiPriority w:val="0"/>
    <w:rPr>
      <w:rFonts w:eastAsia="宋体"/>
      <w:b/>
      <w:kern w:val="20"/>
      <w:sz w:val="24"/>
      <w:lang w:val="en-US" w:eastAsia="zh-CN" w:bidi="ar-SA"/>
    </w:rPr>
  </w:style>
  <w:style w:type="character" w:customStyle="1" w:styleId="133">
    <w:name w:val="明显引用 Char"/>
    <w:qFormat/>
    <w:uiPriority w:val="0"/>
    <w:rPr>
      <w:rFonts w:ascii="Calibri" w:hAnsi="Calibri" w:eastAsia="宋体"/>
      <w:b/>
      <w:bCs/>
      <w:i/>
      <w:iCs/>
      <w:color w:val="4F81BD"/>
      <w:kern w:val="2"/>
      <w:sz w:val="21"/>
      <w:szCs w:val="21"/>
      <w:lang w:val="en-US" w:eastAsia="zh-CN" w:bidi="ar-SA"/>
    </w:rPr>
  </w:style>
  <w:style w:type="character" w:customStyle="1" w:styleId="134">
    <w:name w:val="17"/>
    <w:qFormat/>
    <w:uiPriority w:val="0"/>
    <w:rPr>
      <w:rFonts w:hint="eastAsia" w:ascii="MingLiU" w:eastAsia="MingLiU"/>
      <w:color w:val="000000"/>
      <w:spacing w:val="0"/>
      <w:sz w:val="13"/>
      <w:szCs w:val="13"/>
    </w:rPr>
  </w:style>
  <w:style w:type="character" w:customStyle="1" w:styleId="135">
    <w:name w:val="表内格式[858D7CFB-ED40-4347-BF05-701D383B685F]1"/>
    <w:link w:val="136"/>
    <w:qFormat/>
    <w:uiPriority w:val="0"/>
    <w:rPr>
      <w:rFonts w:eastAsia="仿宋_GB2312"/>
      <w:sz w:val="21"/>
      <w:lang w:bidi="ar-SA"/>
    </w:rPr>
  </w:style>
  <w:style w:type="paragraph" w:customStyle="1" w:styleId="136">
    <w:name w:val="表内格式"/>
    <w:basedOn w:val="1"/>
    <w:link w:val="135"/>
    <w:qFormat/>
    <w:uiPriority w:val="0"/>
    <w:pPr>
      <w:keepLines/>
    </w:pPr>
    <w:rPr>
      <w:rFonts w:eastAsia="仿宋_GB2312"/>
      <w:kern w:val="0"/>
      <w:szCs w:val="20"/>
    </w:rPr>
  </w:style>
  <w:style w:type="character" w:customStyle="1" w:styleId="137">
    <w:name w:val="表文字 Char"/>
    <w:link w:val="138"/>
    <w:qFormat/>
    <w:uiPriority w:val="0"/>
    <w:rPr>
      <w:rFonts w:eastAsia="宋体"/>
      <w:sz w:val="24"/>
      <w:lang w:val="en-US" w:eastAsia="zh-CN" w:bidi="ar-SA"/>
    </w:rPr>
  </w:style>
  <w:style w:type="paragraph" w:customStyle="1" w:styleId="138">
    <w:name w:val="表文字"/>
    <w:basedOn w:val="1"/>
    <w:link w:val="137"/>
    <w:qFormat/>
    <w:uiPriority w:val="0"/>
    <w:pPr>
      <w:overflowPunct w:val="0"/>
      <w:autoSpaceDE w:val="0"/>
      <w:autoSpaceDN w:val="0"/>
      <w:adjustRightInd w:val="0"/>
      <w:spacing w:line="240" w:lineRule="atLeast"/>
      <w:jc w:val="center"/>
      <w:textAlignment w:val="baseline"/>
    </w:pPr>
    <w:rPr>
      <w:kern w:val="0"/>
      <w:sz w:val="24"/>
      <w:szCs w:val="20"/>
    </w:rPr>
  </w:style>
  <w:style w:type="character" w:customStyle="1" w:styleId="139">
    <w:name w:val="标题 5[858D7CFB-ED40-4347-BF05-701D383B685F]"/>
    <w:qFormat/>
    <w:uiPriority w:val="0"/>
    <w:rPr>
      <w:rFonts w:eastAsia="宋体"/>
      <w:b/>
      <w:bCs/>
      <w:kern w:val="2"/>
      <w:sz w:val="28"/>
      <w:szCs w:val="28"/>
      <w:lang w:val="en-US" w:eastAsia="zh-CN" w:bidi="ar-SA"/>
    </w:rPr>
  </w:style>
  <w:style w:type="character" w:customStyle="1" w:styleId="140">
    <w:name w:val="标题 6 Char"/>
    <w:qFormat/>
    <w:uiPriority w:val="0"/>
    <w:rPr>
      <w:rFonts w:ascii="Arial" w:hAnsi="Arial" w:eastAsia="宋体"/>
      <w:b/>
      <w:spacing w:val="-4"/>
      <w:kern w:val="20"/>
      <w:sz w:val="18"/>
      <w:lang w:val="en-US" w:eastAsia="zh-CN" w:bidi="ar-SA"/>
    </w:rPr>
  </w:style>
  <w:style w:type="character" w:customStyle="1" w:styleId="141">
    <w:name w:val="20"/>
    <w:qFormat/>
    <w:uiPriority w:val="0"/>
    <w:rPr>
      <w:rFonts w:hint="eastAsia" w:ascii="MingLiU" w:eastAsia="MingLiU"/>
      <w:color w:val="B63A47"/>
      <w:spacing w:val="0"/>
      <w:sz w:val="15"/>
      <w:szCs w:val="15"/>
    </w:rPr>
  </w:style>
  <w:style w:type="character" w:customStyle="1" w:styleId="142">
    <w:name w:val="正文（4号字 首行缩2） Char"/>
    <w:link w:val="143"/>
    <w:qFormat/>
    <w:uiPriority w:val="0"/>
    <w:rPr>
      <w:rFonts w:hAnsi="宋体" w:eastAsia="宋体"/>
      <w:kern w:val="2"/>
      <w:sz w:val="28"/>
      <w:szCs w:val="28"/>
      <w:lang w:bidi="ar-SA"/>
    </w:rPr>
  </w:style>
  <w:style w:type="paragraph" w:customStyle="1" w:styleId="143">
    <w:name w:val="正文（4号字 首行缩2）"/>
    <w:basedOn w:val="1"/>
    <w:link w:val="142"/>
    <w:qFormat/>
    <w:uiPriority w:val="0"/>
    <w:pPr>
      <w:spacing w:line="560" w:lineRule="exact"/>
      <w:ind w:firstLine="560" w:firstLineChars="200"/>
      <w:jc w:val="left"/>
    </w:pPr>
    <w:rPr>
      <w:rFonts w:hAnsi="宋体"/>
      <w:sz w:val="28"/>
      <w:szCs w:val="28"/>
    </w:rPr>
  </w:style>
  <w:style w:type="character" w:customStyle="1" w:styleId="144">
    <w:name w:val="标题 8 Char"/>
    <w:qFormat/>
    <w:uiPriority w:val="0"/>
    <w:rPr>
      <w:rFonts w:ascii="Arial" w:hAnsi="Arial" w:eastAsia="宋体"/>
      <w:b/>
      <w:spacing w:val="-4"/>
      <w:kern w:val="20"/>
      <w:sz w:val="18"/>
      <w:lang w:val="en-US" w:eastAsia="zh-CN" w:bidi="ar-SA"/>
    </w:rPr>
  </w:style>
  <w:style w:type="character" w:customStyle="1" w:styleId="145">
    <w:name w:val="节标题 1.1 Char"/>
    <w:qFormat/>
    <w:uiPriority w:val="0"/>
    <w:rPr>
      <w:rFonts w:ascii="Arial" w:hAnsi="Arial" w:eastAsia="黑体"/>
      <w:b/>
      <w:bCs/>
      <w:kern w:val="2"/>
      <w:sz w:val="32"/>
      <w:szCs w:val="32"/>
      <w:lang w:val="en-US" w:eastAsia="zh-CN" w:bidi="ar-SA"/>
    </w:rPr>
  </w:style>
  <w:style w:type="character" w:customStyle="1" w:styleId="146">
    <w:name w:val="正文文本 Char"/>
    <w:qFormat/>
    <w:uiPriority w:val="0"/>
    <w:rPr>
      <w:rFonts w:eastAsia="宋体"/>
      <w:kern w:val="2"/>
      <w:sz w:val="21"/>
      <w:szCs w:val="24"/>
      <w:lang w:val="en-US" w:eastAsia="zh-CN" w:bidi="ar-SA"/>
    </w:rPr>
  </w:style>
  <w:style w:type="character" w:customStyle="1" w:styleId="147">
    <w:name w:val="表文 Char"/>
    <w:link w:val="148"/>
    <w:qFormat/>
    <w:locked/>
    <w:uiPriority w:val="0"/>
    <w:rPr>
      <w:rFonts w:eastAsia="宋体"/>
      <w:position w:val="-24"/>
      <w:sz w:val="21"/>
      <w:szCs w:val="21"/>
      <w:lang w:val="en-US" w:eastAsia="zh-CN" w:bidi="ar-SA"/>
    </w:rPr>
  </w:style>
  <w:style w:type="paragraph" w:customStyle="1" w:styleId="148">
    <w:name w:val="表文"/>
    <w:basedOn w:val="1"/>
    <w:link w:val="147"/>
    <w:qFormat/>
    <w:uiPriority w:val="0"/>
    <w:pPr>
      <w:tabs>
        <w:tab w:val="left" w:pos="1021"/>
      </w:tabs>
      <w:jc w:val="center"/>
    </w:pPr>
    <w:rPr>
      <w:kern w:val="0"/>
      <w:position w:val="-24"/>
      <w:szCs w:val="21"/>
    </w:rPr>
  </w:style>
  <w:style w:type="character" w:customStyle="1" w:styleId="149">
    <w:name w:val="表格内字体 Char9"/>
    <w:qFormat/>
    <w:uiPriority w:val="0"/>
    <w:rPr>
      <w:rFonts w:hint="default" w:ascii="宋体" w:hAnsi="宋体" w:eastAsia="宋体" w:cs="Times New Roman"/>
      <w:color w:val="000000"/>
      <w:kern w:val="2"/>
      <w:sz w:val="21"/>
      <w:szCs w:val="24"/>
      <w:u w:val="none"/>
      <w:lang w:val="en-US" w:eastAsia="zh-CN"/>
    </w:rPr>
  </w:style>
  <w:style w:type="character" w:customStyle="1" w:styleId="150">
    <w:name w:val="首行缩进两字 Char1"/>
    <w:qFormat/>
    <w:uiPriority w:val="0"/>
    <w:rPr>
      <w:rFonts w:eastAsia="宋体"/>
      <w:kern w:val="2"/>
      <w:sz w:val="21"/>
      <w:lang w:val="en-US" w:eastAsia="zh-CN" w:bidi="ar-SA"/>
    </w:rPr>
  </w:style>
  <w:style w:type="character" w:customStyle="1" w:styleId="151">
    <w:name w:val="标题 4 Char1"/>
    <w:qFormat/>
    <w:uiPriority w:val="9"/>
    <w:rPr>
      <w:rFonts w:eastAsia="黑体"/>
      <w:bCs/>
      <w:kern w:val="2"/>
      <w:sz w:val="24"/>
      <w:szCs w:val="28"/>
    </w:rPr>
  </w:style>
  <w:style w:type="character" w:customStyle="1" w:styleId="152">
    <w:name w:val="样式 首行缩进:  2 字符 Char"/>
    <w:link w:val="153"/>
    <w:qFormat/>
    <w:uiPriority w:val="0"/>
    <w:rPr>
      <w:rFonts w:ascii="宋体" w:eastAsia="宋体" w:cs="宋体"/>
      <w:kern w:val="2"/>
      <w:sz w:val="28"/>
      <w:szCs w:val="28"/>
      <w:lang w:bidi="ar-SA"/>
    </w:rPr>
  </w:style>
  <w:style w:type="paragraph" w:customStyle="1" w:styleId="153">
    <w:name w:val="样式 首行缩进:  2 字符"/>
    <w:basedOn w:val="1"/>
    <w:link w:val="152"/>
    <w:qFormat/>
    <w:uiPriority w:val="0"/>
    <w:pPr>
      <w:overflowPunct w:val="0"/>
      <w:snapToGrid w:val="0"/>
      <w:spacing w:line="480" w:lineRule="exact"/>
      <w:ind w:firstLine="560" w:firstLineChars="200"/>
    </w:pPr>
    <w:rPr>
      <w:rFonts w:ascii="宋体" w:cs="宋体"/>
      <w:sz w:val="28"/>
      <w:szCs w:val="28"/>
    </w:rPr>
  </w:style>
  <w:style w:type="character" w:customStyle="1" w:styleId="154">
    <w:name w:val="段落 Char"/>
    <w:link w:val="155"/>
    <w:qFormat/>
    <w:uiPriority w:val="0"/>
    <w:rPr>
      <w:rFonts w:eastAsia="宋体"/>
      <w:color w:val="000000"/>
      <w:spacing w:val="6"/>
      <w:kern w:val="24"/>
      <w:sz w:val="24"/>
      <w:szCs w:val="24"/>
      <w:lang w:val="en-US" w:eastAsia="zh-CN" w:bidi="ar-SA"/>
    </w:rPr>
  </w:style>
  <w:style w:type="paragraph" w:customStyle="1" w:styleId="155">
    <w:name w:val="段落"/>
    <w:basedOn w:val="1"/>
    <w:link w:val="154"/>
    <w:qFormat/>
    <w:uiPriority w:val="0"/>
    <w:pPr>
      <w:tabs>
        <w:tab w:val="left" w:pos="1021"/>
        <w:tab w:val="left" w:pos="1320"/>
      </w:tabs>
      <w:spacing w:line="360" w:lineRule="auto"/>
      <w:ind w:firstLine="504" w:firstLineChars="200"/>
    </w:pPr>
    <w:rPr>
      <w:color w:val="000000"/>
      <w:spacing w:val="6"/>
      <w:kern w:val="24"/>
      <w:sz w:val="24"/>
    </w:rPr>
  </w:style>
  <w:style w:type="character" w:customStyle="1" w:styleId="156">
    <w:name w:val="目录 1 Char"/>
    <w:qFormat/>
    <w:uiPriority w:val="0"/>
    <w:rPr>
      <w:rFonts w:eastAsia="宋体"/>
      <w:b/>
      <w:bCs/>
      <w:caps/>
      <w:kern w:val="2"/>
      <w:lang w:val="en-US" w:eastAsia="zh-CN" w:bidi="ar-SA"/>
    </w:rPr>
  </w:style>
  <w:style w:type="character" w:customStyle="1" w:styleId="157">
    <w:name w:val="f121"/>
    <w:qFormat/>
    <w:uiPriority w:val="0"/>
    <w:rPr>
      <w:color w:val="000000"/>
      <w:sz w:val="18"/>
      <w:szCs w:val="18"/>
      <w:u w:val="none"/>
    </w:rPr>
  </w:style>
  <w:style w:type="character" w:customStyle="1" w:styleId="158">
    <w:name w:val="表标题 Char Char"/>
    <w:link w:val="159"/>
    <w:qFormat/>
    <w:uiPriority w:val="0"/>
    <w:rPr>
      <w:rFonts w:eastAsia="黑体"/>
      <w:sz w:val="24"/>
    </w:rPr>
  </w:style>
  <w:style w:type="paragraph" w:customStyle="1" w:styleId="159">
    <w:name w:val="表标题"/>
    <w:basedOn w:val="14"/>
    <w:next w:val="1"/>
    <w:link w:val="158"/>
    <w:qFormat/>
    <w:uiPriority w:val="0"/>
    <w:pPr>
      <w:numPr>
        <w:ilvl w:val="0"/>
        <w:numId w:val="2"/>
      </w:numPr>
      <w:adjustRightInd w:val="0"/>
      <w:snapToGrid w:val="0"/>
      <w:spacing w:line="440" w:lineRule="exact"/>
      <w:jc w:val="center"/>
    </w:pPr>
    <w:rPr>
      <w:rFonts w:eastAsia="黑体"/>
      <w:kern w:val="0"/>
      <w:sz w:val="24"/>
      <w:szCs w:val="20"/>
    </w:rPr>
  </w:style>
  <w:style w:type="character" w:customStyle="1" w:styleId="160">
    <w:name w:val="表号 Char"/>
    <w:link w:val="161"/>
    <w:qFormat/>
    <w:uiPriority w:val="0"/>
    <w:rPr>
      <w:sz w:val="21"/>
      <w:lang w:val="en-US" w:eastAsia="zh-CN" w:bidi="ar-SA"/>
    </w:rPr>
  </w:style>
  <w:style w:type="paragraph" w:customStyle="1" w:styleId="161">
    <w:name w:val="表号"/>
    <w:link w:val="160"/>
    <w:qFormat/>
    <w:uiPriority w:val="0"/>
    <w:pPr>
      <w:adjustRightInd w:val="0"/>
      <w:snapToGrid w:val="0"/>
      <w:spacing w:line="240" w:lineRule="atLeast"/>
      <w:jc w:val="both"/>
      <w:outlineLvl w:val="4"/>
    </w:pPr>
    <w:rPr>
      <w:rFonts w:ascii="Times New Roman" w:hAnsi="Times New Roman" w:eastAsia="宋体" w:cs="Times New Roman"/>
      <w:sz w:val="21"/>
      <w:lang w:val="en-US" w:eastAsia="zh-CN" w:bidi="ar-SA"/>
    </w:rPr>
  </w:style>
  <w:style w:type="character" w:customStyle="1" w:styleId="162">
    <w:name w:val="表格文字（居中） Char"/>
    <w:link w:val="163"/>
    <w:qFormat/>
    <w:uiPriority w:val="0"/>
    <w:rPr>
      <w:rFonts w:ascii="Arial" w:hAnsi="Arial" w:cs="Arial"/>
      <w:bCs/>
      <w:kern w:val="2"/>
      <w:sz w:val="21"/>
      <w:szCs w:val="24"/>
    </w:rPr>
  </w:style>
  <w:style w:type="paragraph" w:customStyle="1" w:styleId="163">
    <w:name w:val="表格文字（居中）"/>
    <w:basedOn w:val="2"/>
    <w:link w:val="162"/>
    <w:qFormat/>
    <w:uiPriority w:val="0"/>
    <w:pPr>
      <w:keepNext w:val="0"/>
      <w:keepLines w:val="0"/>
      <w:spacing w:after="156" w:afterLines="50" w:line="600" w:lineRule="exact"/>
      <w:ind w:right="105" w:rightChars="50"/>
      <w:outlineLvl w:val="9"/>
    </w:pPr>
    <w:rPr>
      <w:rFonts w:ascii="Arial" w:hAnsi="Arial" w:cs="Arial"/>
      <w:b w:val="0"/>
      <w:kern w:val="2"/>
      <w:sz w:val="21"/>
      <w:szCs w:val="24"/>
    </w:rPr>
  </w:style>
  <w:style w:type="character" w:customStyle="1" w:styleId="164">
    <w:name w:val="批注文字 Char"/>
    <w:semiHidden/>
    <w:qFormat/>
    <w:uiPriority w:val="0"/>
    <w:rPr>
      <w:rFonts w:eastAsia="宋体"/>
      <w:kern w:val="2"/>
      <w:sz w:val="21"/>
      <w:szCs w:val="24"/>
      <w:lang w:val="en-US" w:eastAsia="zh-CN" w:bidi="ar-SA"/>
    </w:rPr>
  </w:style>
  <w:style w:type="character" w:customStyle="1" w:styleId="165">
    <w:name w:val="表格正文zhanghuan 字符"/>
    <w:link w:val="166"/>
    <w:qFormat/>
    <w:uiPriority w:val="0"/>
    <w:rPr>
      <w:kern w:val="2"/>
      <w:sz w:val="21"/>
      <w:szCs w:val="21"/>
    </w:rPr>
  </w:style>
  <w:style w:type="paragraph" w:customStyle="1" w:styleId="166">
    <w:name w:val="表格正文zhanghuan"/>
    <w:basedOn w:val="1"/>
    <w:link w:val="165"/>
    <w:qFormat/>
    <w:uiPriority w:val="0"/>
    <w:pPr>
      <w:snapToGrid w:val="0"/>
      <w:jc w:val="center"/>
    </w:pPr>
    <w:rPr>
      <w:szCs w:val="21"/>
    </w:rPr>
  </w:style>
  <w:style w:type="character" w:customStyle="1" w:styleId="167">
    <w:name w:val="正文缩进 Char"/>
    <w:qFormat/>
    <w:uiPriority w:val="0"/>
    <w:rPr>
      <w:rFonts w:eastAsia="宋体"/>
      <w:kern w:val="2"/>
      <w:sz w:val="21"/>
      <w:lang w:val="en-US" w:eastAsia="zh-CN" w:bidi="ar-SA"/>
    </w:rPr>
  </w:style>
  <w:style w:type="character" w:customStyle="1" w:styleId="168">
    <w:name w:val="标题1.1.1.1.1 Char5"/>
    <w:qFormat/>
    <w:uiPriority w:val="0"/>
    <w:rPr>
      <w:rFonts w:eastAsia="宋体"/>
      <w:b/>
      <w:bCs/>
      <w:kern w:val="2"/>
      <w:sz w:val="28"/>
      <w:szCs w:val="28"/>
      <w:lang w:val="en-US" w:eastAsia="zh-CN" w:bidi="ar-SA"/>
    </w:rPr>
  </w:style>
  <w:style w:type="character" w:customStyle="1" w:styleId="169">
    <w:name w:val="正文文本缩进 Char"/>
    <w:qFormat/>
    <w:uiPriority w:val="0"/>
    <w:rPr>
      <w:rFonts w:eastAsia="宋体"/>
      <w:kern w:val="2"/>
      <w:sz w:val="21"/>
      <w:szCs w:val="24"/>
      <w:lang w:val="en-US" w:eastAsia="zh-CN" w:bidi="ar-SA"/>
    </w:rPr>
  </w:style>
  <w:style w:type="character" w:customStyle="1" w:styleId="170">
    <w:name w:val="表格标题 Char"/>
    <w:link w:val="171"/>
    <w:qFormat/>
    <w:uiPriority w:val="0"/>
    <w:rPr>
      <w:rFonts w:eastAsia="宋体"/>
      <w:b/>
      <w:kern w:val="2"/>
      <w:sz w:val="24"/>
      <w:lang w:val="en-US" w:eastAsia="zh-CN" w:bidi="ar-SA"/>
    </w:rPr>
  </w:style>
  <w:style w:type="paragraph" w:customStyle="1" w:styleId="171">
    <w:name w:val="表格标题"/>
    <w:basedOn w:val="1"/>
    <w:link w:val="170"/>
    <w:qFormat/>
    <w:uiPriority w:val="0"/>
    <w:pPr>
      <w:spacing w:before="156" w:beforeLines="50" w:line="360" w:lineRule="auto"/>
      <w:jc w:val="center"/>
    </w:pPr>
    <w:rPr>
      <w:b/>
      <w:sz w:val="24"/>
      <w:szCs w:val="20"/>
    </w:rPr>
  </w:style>
  <w:style w:type="character" w:customStyle="1" w:styleId="172">
    <w:name w:val="副标题 Char"/>
    <w:qFormat/>
    <w:uiPriority w:val="0"/>
    <w:rPr>
      <w:rFonts w:ascii="Cambria" w:hAnsi="Cambria" w:eastAsia="宋体"/>
      <w:b/>
      <w:bCs/>
      <w:kern w:val="28"/>
      <w:sz w:val="32"/>
      <w:szCs w:val="32"/>
      <w:lang w:val="en-US" w:eastAsia="zh-CN" w:bidi="ar-SA"/>
    </w:rPr>
  </w:style>
  <w:style w:type="character" w:customStyle="1" w:styleId="173">
    <w:name w:val="条标题1.1.1 Char1"/>
    <w:qFormat/>
    <w:uiPriority w:val="0"/>
    <w:rPr>
      <w:rFonts w:ascii="Times New Roman" w:hAnsi="Times New Roman" w:eastAsia="宋体" w:cs="Times New Roman"/>
      <w:b/>
      <w:bCs/>
      <w:sz w:val="32"/>
      <w:szCs w:val="32"/>
    </w:rPr>
  </w:style>
  <w:style w:type="character" w:customStyle="1" w:styleId="174">
    <w:name w:val="报告正文 Char"/>
    <w:link w:val="175"/>
    <w:qFormat/>
    <w:uiPriority w:val="0"/>
    <w:rPr>
      <w:rFonts w:ascii="宋体" w:hAnsi="宋体" w:eastAsia="宋体"/>
      <w:kern w:val="2"/>
      <w:sz w:val="28"/>
      <w:lang w:val="en-US" w:eastAsia="zh-CN" w:bidi="ar-SA"/>
    </w:rPr>
  </w:style>
  <w:style w:type="paragraph" w:customStyle="1" w:styleId="175">
    <w:name w:val="报告正文"/>
    <w:basedOn w:val="1"/>
    <w:link w:val="174"/>
    <w:qFormat/>
    <w:uiPriority w:val="0"/>
    <w:pPr>
      <w:spacing w:line="360" w:lineRule="auto"/>
      <w:ind w:firstLine="200" w:firstLineChars="200"/>
    </w:pPr>
    <w:rPr>
      <w:rFonts w:ascii="宋体" w:hAnsi="宋体"/>
      <w:sz w:val="28"/>
      <w:szCs w:val="20"/>
    </w:rPr>
  </w:style>
  <w:style w:type="character" w:customStyle="1" w:styleId="176">
    <w:name w:val="16"/>
    <w:qFormat/>
    <w:uiPriority w:val="0"/>
    <w:rPr>
      <w:rFonts w:hint="default" w:ascii="Georgia" w:hAnsi="Georgia"/>
      <w:color w:val="000000"/>
      <w:spacing w:val="0"/>
      <w:sz w:val="13"/>
      <w:szCs w:val="13"/>
    </w:rPr>
  </w:style>
  <w:style w:type="character" w:customStyle="1" w:styleId="177">
    <w:name w:val="正文文本 (2)_"/>
    <w:link w:val="178"/>
    <w:qFormat/>
    <w:locked/>
    <w:uiPriority w:val="0"/>
    <w:rPr>
      <w:rFonts w:ascii="MingLiU" w:eastAsia="MingLiU"/>
      <w:b/>
      <w:bCs/>
      <w:spacing w:val="10"/>
      <w:sz w:val="26"/>
      <w:szCs w:val="26"/>
      <w:shd w:val="clear" w:color="auto" w:fill="FFFFFF"/>
      <w:lang w:bidi="ar-SA"/>
    </w:rPr>
  </w:style>
  <w:style w:type="paragraph" w:customStyle="1" w:styleId="178">
    <w:name w:val="正文文本 (2)"/>
    <w:basedOn w:val="1"/>
    <w:link w:val="177"/>
    <w:qFormat/>
    <w:uiPriority w:val="0"/>
    <w:pPr>
      <w:shd w:val="clear" w:color="auto" w:fill="FFFFFF"/>
      <w:spacing w:after="300" w:line="240" w:lineRule="atLeast"/>
      <w:jc w:val="distribute"/>
    </w:pPr>
    <w:rPr>
      <w:rFonts w:ascii="MingLiU" w:eastAsia="MingLiU"/>
      <w:b/>
      <w:bCs/>
      <w:spacing w:val="10"/>
      <w:kern w:val="0"/>
      <w:sz w:val="26"/>
      <w:szCs w:val="26"/>
      <w:shd w:val="clear" w:color="auto" w:fill="FFFFFF"/>
    </w:rPr>
  </w:style>
  <w:style w:type="character" w:customStyle="1" w:styleId="179">
    <w:name w:val="纯文本 Char1"/>
    <w:qFormat/>
    <w:uiPriority w:val="0"/>
    <w:rPr>
      <w:rFonts w:ascii="宋体" w:hAnsi="Courier New" w:eastAsia="宋体"/>
      <w:kern w:val="2"/>
      <w:sz w:val="21"/>
      <w:lang w:val="en-US" w:eastAsia="zh-CN" w:bidi="ar-SA"/>
    </w:rPr>
  </w:style>
  <w:style w:type="character" w:customStyle="1" w:styleId="180">
    <w:name w:val="表格内容 Char"/>
    <w:qFormat/>
    <w:uiPriority w:val="0"/>
    <w:rPr>
      <w:kern w:val="2"/>
      <w:sz w:val="21"/>
      <w:szCs w:val="21"/>
    </w:rPr>
  </w:style>
  <w:style w:type="character" w:customStyle="1" w:styleId="181">
    <w:name w:val="表格名称 Char"/>
    <w:link w:val="182"/>
    <w:qFormat/>
    <w:uiPriority w:val="0"/>
    <w:rPr>
      <w:rFonts w:ascii="黑体" w:hAnsi="Arial" w:eastAsia="黑体" w:cs="宋体"/>
      <w:snapToGrid/>
      <w:sz w:val="24"/>
      <w:szCs w:val="24"/>
      <w:lang w:val="zh-CN"/>
    </w:rPr>
  </w:style>
  <w:style w:type="paragraph" w:customStyle="1" w:styleId="182">
    <w:name w:val="表格名称"/>
    <w:basedOn w:val="1"/>
    <w:link w:val="181"/>
    <w:qFormat/>
    <w:uiPriority w:val="0"/>
    <w:pPr>
      <w:wordWrap w:val="0"/>
      <w:spacing w:line="520" w:lineRule="exact"/>
      <w:ind w:right="240" w:rightChars="100"/>
      <w:jc w:val="right"/>
    </w:pPr>
    <w:rPr>
      <w:rFonts w:ascii="黑体" w:hAnsi="Arial" w:eastAsia="黑体" w:cs="宋体"/>
      <w:snapToGrid w:val="0"/>
      <w:kern w:val="0"/>
      <w:sz w:val="24"/>
      <w:lang w:val="zh-CN"/>
    </w:rPr>
  </w:style>
  <w:style w:type="character" w:customStyle="1" w:styleId="183">
    <w:name w:val="正文2 Char"/>
    <w:qFormat/>
    <w:uiPriority w:val="0"/>
    <w:rPr>
      <w:rFonts w:eastAsia="宋体"/>
      <w:kern w:val="2"/>
      <w:sz w:val="24"/>
      <w:lang w:val="en-US" w:eastAsia="zh-CN" w:bidi="ar-SA"/>
    </w:rPr>
  </w:style>
  <w:style w:type="character" w:customStyle="1" w:styleId="184">
    <w:name w:val="表头 Char"/>
    <w:link w:val="185"/>
    <w:qFormat/>
    <w:uiPriority w:val="0"/>
    <w:rPr>
      <w:rFonts w:eastAsia="黑体"/>
      <w:color w:val="000000"/>
      <w:kern w:val="24"/>
      <w:sz w:val="24"/>
      <w:szCs w:val="24"/>
      <w:lang w:val="en-US" w:eastAsia="zh-CN" w:bidi="ar-SA"/>
    </w:rPr>
  </w:style>
  <w:style w:type="paragraph" w:customStyle="1" w:styleId="185">
    <w:name w:val="表头"/>
    <w:basedOn w:val="1"/>
    <w:link w:val="184"/>
    <w:qFormat/>
    <w:uiPriority w:val="0"/>
    <w:pPr>
      <w:tabs>
        <w:tab w:val="left" w:pos="1021"/>
      </w:tabs>
      <w:spacing w:line="288" w:lineRule="auto"/>
      <w:jc w:val="center"/>
    </w:pPr>
    <w:rPr>
      <w:rFonts w:eastAsia="黑体"/>
      <w:color w:val="000000"/>
      <w:kern w:val="24"/>
      <w:sz w:val="24"/>
    </w:rPr>
  </w:style>
  <w:style w:type="character" w:customStyle="1" w:styleId="186">
    <w:name w:val="ca-21"/>
    <w:qFormat/>
    <w:uiPriority w:val="0"/>
    <w:rPr>
      <w:rFonts w:hint="eastAsia" w:ascii="仿宋_GB2312" w:eastAsia="仿宋_GB2312"/>
      <w:sz w:val="32"/>
      <w:szCs w:val="32"/>
    </w:rPr>
  </w:style>
  <w:style w:type="character" w:customStyle="1" w:styleId="187">
    <w:name w:val="15"/>
    <w:qFormat/>
    <w:uiPriority w:val="0"/>
    <w:rPr>
      <w:rFonts w:hint="default" w:ascii="Times New Roman" w:hAnsi="Times New Roman" w:cs="Times New Roman"/>
      <w:color w:val="CC0000"/>
    </w:rPr>
  </w:style>
  <w:style w:type="character" w:customStyle="1" w:styleId="188">
    <w:name w:val="标题 1 Char"/>
    <w:qFormat/>
    <w:uiPriority w:val="0"/>
    <w:rPr>
      <w:b/>
      <w:bCs/>
      <w:kern w:val="44"/>
      <w:sz w:val="44"/>
      <w:szCs w:val="44"/>
    </w:rPr>
  </w:style>
  <w:style w:type="character" w:customStyle="1" w:styleId="189">
    <w:name w:val="标题3 Char"/>
    <w:link w:val="190"/>
    <w:qFormat/>
    <w:uiPriority w:val="0"/>
    <w:rPr>
      <w:rFonts w:eastAsia="黑体"/>
      <w:bCs/>
      <w:kern w:val="2"/>
      <w:sz w:val="24"/>
      <w:szCs w:val="32"/>
    </w:rPr>
  </w:style>
  <w:style w:type="paragraph" w:customStyle="1" w:styleId="190">
    <w:name w:val="标题3"/>
    <w:basedOn w:val="4"/>
    <w:link w:val="189"/>
    <w:qFormat/>
    <w:uiPriority w:val="0"/>
    <w:pPr>
      <w:spacing w:before="120" w:after="120" w:line="480" w:lineRule="exact"/>
    </w:pPr>
    <w:rPr>
      <w:sz w:val="24"/>
    </w:rPr>
  </w:style>
  <w:style w:type="character" w:customStyle="1" w:styleId="191">
    <w:name w:val="我的样式（正文） Char Char"/>
    <w:qFormat/>
    <w:uiPriority w:val="0"/>
    <w:rPr>
      <w:rFonts w:ascii="宋体" w:hAnsi="华文楷体" w:eastAsia="宋体"/>
      <w:kern w:val="2"/>
      <w:sz w:val="24"/>
      <w:szCs w:val="24"/>
      <w:lang w:val="en-US" w:eastAsia="zh-CN"/>
    </w:rPr>
  </w:style>
  <w:style w:type="character" w:customStyle="1" w:styleId="192">
    <w:name w:val="标题 5 Char"/>
    <w:qFormat/>
    <w:uiPriority w:val="0"/>
    <w:rPr>
      <w:rFonts w:eastAsia="宋体"/>
      <w:b/>
      <w:bCs/>
      <w:kern w:val="2"/>
      <w:sz w:val="28"/>
      <w:szCs w:val="28"/>
      <w:lang w:val="en-US" w:eastAsia="zh-CN" w:bidi="ar-SA"/>
    </w:rPr>
  </w:style>
  <w:style w:type="character" w:customStyle="1" w:styleId="193">
    <w:name w:val="样式 标题 3 + (西文) Arial (中文) 黑体 四号 非加粗 Char"/>
    <w:link w:val="194"/>
    <w:qFormat/>
    <w:uiPriority w:val="0"/>
    <w:rPr>
      <w:rFonts w:ascii="Arial" w:hAnsi="Arial" w:eastAsia="黑体" w:cs="Arial"/>
      <w:bCs/>
      <w:kern w:val="2"/>
      <w:sz w:val="28"/>
      <w:szCs w:val="28"/>
    </w:rPr>
  </w:style>
  <w:style w:type="paragraph" w:customStyle="1" w:styleId="194">
    <w:name w:val="样式 标题 3 + (西文) Arial (中文) 黑体 四号 非加粗"/>
    <w:basedOn w:val="4"/>
    <w:link w:val="193"/>
    <w:qFormat/>
    <w:uiPriority w:val="0"/>
    <w:pPr>
      <w:spacing w:beforeLines="50" w:afterLines="50" w:line="240" w:lineRule="auto"/>
    </w:pPr>
    <w:rPr>
      <w:rFonts w:ascii="Arial" w:hAnsi="Arial" w:eastAsia="黑体" w:cs="Arial"/>
      <w:sz w:val="28"/>
      <w:szCs w:val="28"/>
    </w:rPr>
  </w:style>
  <w:style w:type="character" w:customStyle="1" w:styleId="195">
    <w:name w:val="表内格式[858D7CFB-ED40-4347-BF05-701D383B685F]"/>
    <w:qFormat/>
    <w:uiPriority w:val="0"/>
    <w:rPr>
      <w:rFonts w:eastAsia="仿宋_GB2312"/>
      <w:sz w:val="21"/>
      <w:lang w:bidi="ar-SA"/>
    </w:rPr>
  </w:style>
  <w:style w:type="character" w:customStyle="1" w:styleId="196">
    <w:name w:val="表格文字（左缩1字） Char"/>
    <w:link w:val="197"/>
    <w:qFormat/>
    <w:uiPriority w:val="0"/>
    <w:rPr>
      <w:rFonts w:ascii="Arial" w:hAnsi="Arial" w:eastAsia="宋体" w:cs="Arial"/>
      <w:bCs/>
      <w:kern w:val="2"/>
      <w:sz w:val="21"/>
      <w:szCs w:val="24"/>
      <w:lang w:val="en-US" w:eastAsia="zh-CN" w:bidi="ar-SA"/>
    </w:rPr>
  </w:style>
  <w:style w:type="paragraph" w:customStyle="1" w:styleId="197">
    <w:name w:val="表格文字（左缩1字）"/>
    <w:basedOn w:val="1"/>
    <w:link w:val="196"/>
    <w:qFormat/>
    <w:uiPriority w:val="0"/>
    <w:pPr>
      <w:ind w:firstLine="100" w:firstLineChars="100"/>
    </w:pPr>
    <w:rPr>
      <w:rFonts w:ascii="Arial" w:hAnsi="Arial" w:cs="Arial"/>
      <w:bCs/>
    </w:rPr>
  </w:style>
  <w:style w:type="character" w:customStyle="1" w:styleId="198">
    <w:name w:val="表格文字 Char"/>
    <w:link w:val="199"/>
    <w:qFormat/>
    <w:uiPriority w:val="0"/>
    <w:rPr>
      <w:rFonts w:eastAsia="宋体"/>
      <w:kern w:val="2"/>
      <w:sz w:val="21"/>
      <w:szCs w:val="21"/>
      <w:lang w:val="en-US" w:eastAsia="zh-CN" w:bidi="ar-SA"/>
    </w:rPr>
  </w:style>
  <w:style w:type="paragraph" w:customStyle="1" w:styleId="199">
    <w:name w:val="表格文字"/>
    <w:basedOn w:val="51"/>
    <w:link w:val="198"/>
    <w:qFormat/>
    <w:uiPriority w:val="0"/>
    <w:pPr>
      <w:adjustRightInd w:val="0"/>
      <w:snapToGrid w:val="0"/>
      <w:spacing w:after="0"/>
      <w:ind w:firstLine="0" w:firstLineChars="0"/>
      <w:jc w:val="center"/>
    </w:pPr>
    <w:rPr>
      <w:szCs w:val="21"/>
    </w:rPr>
  </w:style>
  <w:style w:type="character" w:customStyle="1" w:styleId="200">
    <w:name w:val="正文首行缩进 Char"/>
    <w:qFormat/>
    <w:uiPriority w:val="0"/>
    <w:rPr>
      <w:rFonts w:eastAsia="宋体"/>
      <w:kern w:val="2"/>
      <w:sz w:val="21"/>
      <w:szCs w:val="24"/>
      <w:lang w:val="en-US" w:eastAsia="zh-CN" w:bidi="ar-SA"/>
    </w:rPr>
  </w:style>
  <w:style w:type="character" w:customStyle="1" w:styleId="201">
    <w:name w:val="19"/>
    <w:qFormat/>
    <w:uiPriority w:val="0"/>
    <w:rPr>
      <w:rFonts w:hint="eastAsia" w:ascii="MingLiU" w:eastAsia="MingLiU"/>
      <w:color w:val="C91928"/>
      <w:spacing w:val="0"/>
      <w:sz w:val="15"/>
      <w:szCs w:val="15"/>
    </w:rPr>
  </w:style>
  <w:style w:type="character" w:customStyle="1" w:styleId="202">
    <w:name w:val="目录 2 Char"/>
    <w:qFormat/>
    <w:uiPriority w:val="0"/>
    <w:rPr>
      <w:rFonts w:eastAsia="宋体"/>
      <w:smallCaps/>
      <w:kern w:val="2"/>
      <w:lang w:val="en-US" w:eastAsia="zh-CN" w:bidi="ar-SA"/>
    </w:rPr>
  </w:style>
  <w:style w:type="character" w:customStyle="1" w:styleId="203">
    <w:name w:val="21"/>
    <w:qFormat/>
    <w:uiPriority w:val="0"/>
    <w:rPr>
      <w:rFonts w:hint="default" w:ascii="Georgia" w:hAnsi="Georgia"/>
      <w:color w:val="000000"/>
      <w:spacing w:val="0"/>
      <w:sz w:val="16"/>
      <w:szCs w:val="16"/>
    </w:rPr>
  </w:style>
  <w:style w:type="paragraph" w:customStyle="1" w:styleId="204">
    <w:name w:val="xl71"/>
    <w:basedOn w:val="1"/>
    <w:qFormat/>
    <w:uiPriority w:val="0"/>
    <w:pPr>
      <w:widowControl/>
      <w:pBdr>
        <w:left w:val="single" w:color="auto" w:sz="4" w:space="0"/>
        <w:right w:val="single" w:color="auto" w:sz="4" w:space="0"/>
      </w:pBdr>
      <w:spacing w:before="100" w:beforeAutospacing="1" w:after="100" w:afterAutospacing="1"/>
      <w:jc w:val="center"/>
    </w:pPr>
    <w:rPr>
      <w:rFonts w:hint="eastAsia" w:ascii="宋体" w:hAnsi="宋体"/>
      <w:color w:val="000000"/>
      <w:kern w:val="0"/>
      <w:sz w:val="24"/>
    </w:rPr>
  </w:style>
  <w:style w:type="paragraph" w:customStyle="1" w:styleId="205">
    <w:name w:val=" Char4 Char Char Char"/>
    <w:basedOn w:val="1"/>
    <w:semiHidden/>
    <w:qFormat/>
    <w:uiPriority w:val="0"/>
    <w:pPr>
      <w:adjustRightInd w:val="0"/>
      <w:snapToGrid w:val="0"/>
      <w:spacing w:line="360" w:lineRule="auto"/>
      <w:ind w:firstLine="200" w:firstLineChars="200"/>
    </w:pPr>
    <w:rPr>
      <w:rFonts w:ascii="宋体" w:hAnsi="宋体" w:cs="宋体"/>
      <w:sz w:val="24"/>
      <w:szCs w:val="26"/>
    </w:rPr>
  </w:style>
  <w:style w:type="paragraph" w:customStyle="1" w:styleId="206">
    <w:name w:val="表格 32"/>
    <w:basedOn w:val="1"/>
    <w:qFormat/>
    <w:uiPriority w:val="0"/>
    <w:pPr>
      <w:autoSpaceDE w:val="0"/>
      <w:autoSpaceDN w:val="0"/>
      <w:adjustRightInd w:val="0"/>
      <w:jc w:val="center"/>
      <w:textAlignment w:val="baseline"/>
    </w:pPr>
    <w:rPr>
      <w:rFonts w:eastAsia="楷体_GB2312"/>
      <w:kern w:val="0"/>
      <w:sz w:val="24"/>
      <w:szCs w:val="20"/>
    </w:rPr>
  </w:style>
  <w:style w:type="paragraph" w:customStyle="1" w:styleId="207">
    <w:name w:val="评4级标题"/>
    <w:basedOn w:val="208"/>
    <w:qFormat/>
    <w:uiPriority w:val="0"/>
    <w:pPr>
      <w:spacing w:beforeLines="0" w:afterLines="0" w:line="360" w:lineRule="auto"/>
    </w:pPr>
    <w:rPr>
      <w:rFonts w:eastAsia="宋体"/>
    </w:rPr>
  </w:style>
  <w:style w:type="paragraph" w:customStyle="1" w:styleId="208">
    <w:name w:val="评3级标题"/>
    <w:basedOn w:val="209"/>
    <w:next w:val="15"/>
    <w:qFormat/>
    <w:uiPriority w:val="0"/>
    <w:rPr>
      <w:sz w:val="28"/>
    </w:rPr>
  </w:style>
  <w:style w:type="paragraph" w:customStyle="1" w:styleId="209">
    <w:name w:val="评2级标题"/>
    <w:basedOn w:val="17"/>
    <w:qFormat/>
    <w:uiPriority w:val="0"/>
    <w:pPr>
      <w:spacing w:beforeLines="50" w:after="0" w:afterLines="50"/>
      <w:ind w:left="0" w:leftChars="0"/>
    </w:pPr>
    <w:rPr>
      <w:rFonts w:ascii="黑体" w:hAnsi="华文细黑" w:eastAsia="黑体"/>
      <w:sz w:val="32"/>
      <w:szCs w:val="28"/>
    </w:rPr>
  </w:style>
  <w:style w:type="paragraph" w:customStyle="1" w:styleId="210">
    <w:name w:val="正文文本 (23)"/>
    <w:basedOn w:val="1"/>
    <w:qFormat/>
    <w:uiPriority w:val="0"/>
    <w:pPr>
      <w:shd w:val="clear" w:color="auto" w:fill="FFFFFF"/>
      <w:spacing w:after="140" w:line="188" w:lineRule="exact"/>
      <w:jc w:val="left"/>
    </w:pPr>
    <w:rPr>
      <w:color w:val="000000"/>
      <w:kern w:val="0"/>
      <w:sz w:val="17"/>
      <w:szCs w:val="17"/>
    </w:rPr>
  </w:style>
  <w:style w:type="paragraph" w:customStyle="1" w:styleId="211">
    <w:name w:val="表格文字(居中)"/>
    <w:basedOn w:val="1"/>
    <w:qFormat/>
    <w:uiPriority w:val="0"/>
    <w:pPr>
      <w:jc w:val="center"/>
    </w:pPr>
  </w:style>
  <w:style w:type="paragraph" w:customStyle="1" w:styleId="212">
    <w:name w:val="表题"/>
    <w:basedOn w:val="19"/>
    <w:next w:val="213"/>
    <w:qFormat/>
    <w:uiPriority w:val="0"/>
    <w:pPr>
      <w:jc w:val="center"/>
    </w:pPr>
    <w:rPr>
      <w:rFonts w:eastAsia="Times New Roman" w:cs="黑体"/>
      <w:b/>
      <w:bCs/>
      <w:szCs w:val="24"/>
      <w:lang w:val="en-GB"/>
    </w:rPr>
  </w:style>
  <w:style w:type="paragraph" w:customStyle="1" w:styleId="213">
    <w:name w:val="正文样式"/>
    <w:basedOn w:val="1"/>
    <w:qFormat/>
    <w:uiPriority w:val="0"/>
    <w:pPr>
      <w:spacing w:before="156" w:after="156"/>
      <w:ind w:firstLine="480"/>
    </w:pPr>
    <w:rPr>
      <w:spacing w:val="10"/>
    </w:rPr>
  </w:style>
  <w:style w:type="paragraph" w:customStyle="1" w:styleId="214">
    <w:name w:val="xl51"/>
    <w:basedOn w:val="1"/>
    <w:qFormat/>
    <w:uiPriority w:val="0"/>
    <w:pPr>
      <w:widowControl/>
      <w:spacing w:before="100" w:beforeAutospacing="1" w:after="100" w:afterAutospacing="1"/>
      <w:jc w:val="center"/>
    </w:pPr>
    <w:rPr>
      <w:rFonts w:hint="eastAsia" w:ascii="仿宋_GB2312" w:hAnsi="宋体" w:eastAsia="仿宋_GB2312"/>
      <w:b/>
      <w:bCs/>
      <w:kern w:val="0"/>
      <w:sz w:val="32"/>
      <w:szCs w:val="32"/>
    </w:rPr>
  </w:style>
  <w:style w:type="paragraph" w:customStyle="1" w:styleId="215">
    <w:name w:val="样式1"/>
    <w:basedOn w:val="1"/>
    <w:qFormat/>
    <w:uiPriority w:val="0"/>
    <w:pPr>
      <w:spacing w:line="480" w:lineRule="atLeast"/>
      <w:jc w:val="center"/>
    </w:pPr>
    <w:rPr>
      <w:b/>
      <w:bCs/>
      <w:sz w:val="30"/>
      <w:szCs w:val="30"/>
    </w:rPr>
  </w:style>
  <w:style w:type="paragraph" w:customStyle="1" w:styleId="216">
    <w:name w:val="表字"/>
    <w:qFormat/>
    <w:uiPriority w:val="0"/>
    <w:pPr>
      <w:spacing w:line="400" w:lineRule="exact"/>
      <w:jc w:val="center"/>
    </w:pPr>
    <w:rPr>
      <w:rFonts w:ascii="宋体" w:hAnsi="宋体" w:eastAsia="宋体" w:cs="MingLiU"/>
      <w:kern w:val="2"/>
      <w:sz w:val="21"/>
      <w:szCs w:val="18"/>
      <w:lang w:val="en-US" w:eastAsia="zh-CN" w:bidi="ar-SA"/>
    </w:rPr>
  </w:style>
  <w:style w:type="paragraph" w:customStyle="1" w:styleId="217">
    <w:name w:val="CM7"/>
    <w:basedOn w:val="1"/>
    <w:next w:val="1"/>
    <w:qFormat/>
    <w:uiPriority w:val="0"/>
    <w:pPr>
      <w:autoSpaceDE w:val="0"/>
      <w:autoSpaceDN w:val="0"/>
      <w:adjustRightInd w:val="0"/>
      <w:spacing w:line="440" w:lineRule="atLeast"/>
      <w:jc w:val="left"/>
    </w:pPr>
    <w:rPr>
      <w:rFonts w:ascii="黑体" w:eastAsia="黑体" w:cs="黑体"/>
      <w:kern w:val="0"/>
      <w:sz w:val="24"/>
    </w:rPr>
  </w:style>
  <w:style w:type="paragraph" w:customStyle="1" w:styleId="218">
    <w:name w:val="表尾"/>
    <w:basedOn w:val="1"/>
    <w:qFormat/>
    <w:uiPriority w:val="0"/>
    <w:pPr>
      <w:tabs>
        <w:tab w:val="left" w:pos="1021"/>
      </w:tabs>
      <w:spacing w:line="160" w:lineRule="atLeast"/>
    </w:pPr>
    <w:rPr>
      <w:sz w:val="10"/>
    </w:rPr>
  </w:style>
  <w:style w:type="paragraph" w:customStyle="1" w:styleId="219">
    <w:name w:val="CM13"/>
    <w:basedOn w:val="220"/>
    <w:next w:val="220"/>
    <w:qFormat/>
    <w:uiPriority w:val="0"/>
    <w:rPr>
      <w:rFonts w:ascii="黑体" w:eastAsia="黑体" w:cs="黑体"/>
      <w:color w:val="auto"/>
    </w:rPr>
  </w:style>
  <w:style w:type="paragraph" w:customStyle="1" w:styleId="2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21">
    <w:name w:val="正文 + 仿宋_GB2312"/>
    <w:basedOn w:val="1"/>
    <w:qFormat/>
    <w:uiPriority w:val="0"/>
    <w:pPr>
      <w:spacing w:line="560" w:lineRule="exact"/>
      <w:ind w:firstLine="1027" w:firstLineChars="321"/>
    </w:pPr>
    <w:rPr>
      <w:rFonts w:ascii="仿宋_GB2312" w:hAnsi="宋体" w:eastAsia="仿宋_GB2312"/>
      <w:sz w:val="32"/>
      <w:szCs w:val="32"/>
    </w:rPr>
  </w:style>
  <w:style w:type="paragraph" w:customStyle="1" w:styleId="222">
    <w:name w:val="样式 表头 + 加宽量  0.35 磅"/>
    <w:basedOn w:val="1"/>
    <w:qFormat/>
    <w:uiPriority w:val="0"/>
    <w:pPr>
      <w:overflowPunct w:val="0"/>
      <w:autoSpaceDE w:val="0"/>
      <w:autoSpaceDN w:val="0"/>
      <w:adjustRightInd w:val="0"/>
      <w:jc w:val="center"/>
      <w:textAlignment w:val="baseline"/>
    </w:pPr>
    <w:rPr>
      <w:rFonts w:eastAsia="黑体"/>
      <w:color w:val="000000"/>
      <w:kern w:val="0"/>
      <w:sz w:val="24"/>
    </w:rPr>
  </w:style>
  <w:style w:type="paragraph" w:customStyle="1" w:styleId="223">
    <w:name w:val="CM143"/>
    <w:basedOn w:val="220"/>
    <w:next w:val="220"/>
    <w:qFormat/>
    <w:uiPriority w:val="0"/>
    <w:pPr>
      <w:spacing w:after="618"/>
    </w:pPr>
    <w:rPr>
      <w:rFonts w:ascii="黑体" w:eastAsia="黑体" w:cs="黑体"/>
      <w:color w:val="auto"/>
    </w:rPr>
  </w:style>
  <w:style w:type="paragraph" w:customStyle="1" w:styleId="224">
    <w:name w:val="标号正文"/>
    <w:basedOn w:val="1"/>
    <w:next w:val="1"/>
    <w:qFormat/>
    <w:uiPriority w:val="0"/>
    <w:pPr>
      <w:tabs>
        <w:tab w:val="left" w:pos="432"/>
      </w:tabs>
      <w:overflowPunct w:val="0"/>
      <w:snapToGrid w:val="0"/>
      <w:spacing w:line="480" w:lineRule="exact"/>
      <w:ind w:left="432" w:hanging="432"/>
      <w:jc w:val="left"/>
    </w:pPr>
    <w:rPr>
      <w:rFonts w:ascii="宋体"/>
      <w:sz w:val="28"/>
      <w:szCs w:val="20"/>
    </w:rPr>
  </w:style>
  <w:style w:type="paragraph" w:customStyle="1" w:styleId="225">
    <w:name w:val="正文（用）"/>
    <w:basedOn w:val="1"/>
    <w:qFormat/>
    <w:uiPriority w:val="0"/>
    <w:pPr>
      <w:spacing w:line="360" w:lineRule="auto"/>
      <w:ind w:firstLine="480" w:firstLineChars="200"/>
      <w:jc w:val="left"/>
    </w:pPr>
    <w:rPr>
      <w:rFonts w:ascii="宋体" w:hAnsi="宋体" w:cs="宋体"/>
      <w:sz w:val="24"/>
      <w:szCs w:val="20"/>
    </w:rPr>
  </w:style>
  <w:style w:type="paragraph" w:customStyle="1" w:styleId="226">
    <w:name w:val="3 Char Char Char Char"/>
    <w:basedOn w:val="1"/>
    <w:next w:val="3"/>
    <w:qFormat/>
    <w:uiPriority w:val="0"/>
    <w:rPr>
      <w:szCs w:val="20"/>
    </w:rPr>
  </w:style>
  <w:style w:type="paragraph" w:customStyle="1" w:styleId="227">
    <w:name w:val="图表标题"/>
    <w:basedOn w:val="1"/>
    <w:qFormat/>
    <w:uiPriority w:val="0"/>
    <w:pPr>
      <w:spacing w:before="48" w:after="120"/>
      <w:jc w:val="center"/>
      <w:outlineLvl w:val="4"/>
    </w:pPr>
    <w:rPr>
      <w:rFonts w:eastAsia="黑体"/>
      <w:b/>
      <w:bCs/>
      <w:snapToGrid w:val="0"/>
      <w:sz w:val="24"/>
    </w:rPr>
  </w:style>
  <w:style w:type="paragraph" w:customStyle="1" w:styleId="228">
    <w:name w:val="CM9"/>
    <w:basedOn w:val="220"/>
    <w:next w:val="220"/>
    <w:qFormat/>
    <w:uiPriority w:val="0"/>
    <w:pPr>
      <w:spacing w:line="440" w:lineRule="atLeast"/>
    </w:pPr>
    <w:rPr>
      <w:rFonts w:ascii="黑体" w:eastAsia="黑体" w:cs="黑体"/>
      <w:color w:val="auto"/>
    </w:rPr>
  </w:style>
  <w:style w:type="paragraph" w:customStyle="1" w:styleId="229">
    <w:name w:val="（符号）宋体4号缩2字"/>
    <w:basedOn w:val="1"/>
    <w:qFormat/>
    <w:uiPriority w:val="0"/>
    <w:pPr>
      <w:spacing w:line="360" w:lineRule="auto"/>
      <w:ind w:firstLine="200" w:firstLineChars="200"/>
    </w:pPr>
    <w:rPr>
      <w:sz w:val="28"/>
      <w:szCs w:val="28"/>
    </w:rPr>
  </w:style>
  <w:style w:type="paragraph" w:customStyle="1" w:styleId="230">
    <w:name w:val="CM16"/>
    <w:basedOn w:val="220"/>
    <w:next w:val="220"/>
    <w:qFormat/>
    <w:uiPriority w:val="0"/>
    <w:rPr>
      <w:rFonts w:ascii="黑体" w:eastAsia="黑体" w:cs="黑体"/>
      <w:color w:val="auto"/>
    </w:rPr>
  </w:style>
  <w:style w:type="paragraph" w:customStyle="1" w:styleId="231">
    <w:name w:val="pic-info"/>
    <w:basedOn w:val="1"/>
    <w:qFormat/>
    <w:uiPriority w:val="0"/>
    <w:pPr>
      <w:widowControl/>
      <w:spacing w:before="100" w:beforeAutospacing="1" w:after="100" w:afterAutospacing="1"/>
      <w:jc w:val="left"/>
    </w:pPr>
    <w:rPr>
      <w:rFonts w:ascii="宋体" w:hAnsi="宋体" w:cs="宋体"/>
      <w:kern w:val="0"/>
      <w:sz w:val="24"/>
    </w:rPr>
  </w:style>
  <w:style w:type="paragraph" w:customStyle="1" w:styleId="232">
    <w:name w:val="安评3级标题"/>
    <w:basedOn w:val="1"/>
    <w:next w:val="5"/>
    <w:qFormat/>
    <w:uiPriority w:val="0"/>
    <w:pPr>
      <w:keepNext/>
      <w:keepLines/>
      <w:spacing w:before="100" w:beforeAutospacing="1" w:after="100" w:afterAutospacing="1" w:line="360" w:lineRule="auto"/>
      <w:ind w:firstLine="200" w:firstLineChars="200"/>
      <w:outlineLvl w:val="2"/>
    </w:pPr>
    <w:rPr>
      <w:rFonts w:ascii="黑体" w:hAnsi="宋体" w:eastAsia="黑体"/>
      <w:smallCaps/>
      <w:kern w:val="0"/>
      <w:sz w:val="28"/>
      <w:szCs w:val="27"/>
    </w:rPr>
  </w:style>
  <w:style w:type="paragraph" w:customStyle="1" w:styleId="233">
    <w:name w:val="谢杰的正文"/>
    <w:basedOn w:val="1"/>
    <w:qFormat/>
    <w:uiPriority w:val="0"/>
    <w:pPr>
      <w:spacing w:line="360" w:lineRule="auto"/>
      <w:ind w:firstLine="480" w:firstLineChars="200"/>
    </w:pPr>
    <w:rPr>
      <w:rFonts w:ascii="宋体" w:hAnsi="宋体" w:cs="宋体"/>
      <w:snapToGrid w:val="0"/>
      <w:sz w:val="24"/>
      <w:szCs w:val="21"/>
    </w:rPr>
  </w:style>
  <w:style w:type="paragraph" w:customStyle="1" w:styleId="234">
    <w:name w:val="表头加黑lq"/>
    <w:basedOn w:val="1"/>
    <w:qFormat/>
    <w:uiPriority w:val="0"/>
    <w:pPr>
      <w:widowControl/>
      <w:adjustRightInd w:val="0"/>
      <w:snapToGrid w:val="0"/>
      <w:spacing w:before="100" w:beforeAutospacing="1"/>
      <w:jc w:val="center"/>
    </w:pPr>
    <w:rPr>
      <w:b/>
      <w:bCs/>
      <w:color w:val="000000"/>
      <w:kern w:val="0"/>
      <w:sz w:val="18"/>
      <w:szCs w:val="18"/>
    </w:rPr>
  </w:style>
  <w:style w:type="paragraph" w:customStyle="1" w:styleId="235">
    <w:name w:val="安评1级标题"/>
    <w:basedOn w:val="2"/>
    <w:qFormat/>
    <w:uiPriority w:val="0"/>
    <w:pPr>
      <w:keepNext w:val="0"/>
      <w:keepLines w:val="0"/>
      <w:pageBreakBefore/>
      <w:spacing w:beforeLines="200" w:after="156" w:afterLines="50"/>
      <w:ind w:right="105" w:rightChars="50"/>
    </w:pPr>
    <w:rPr>
      <w:rFonts w:ascii="黑体" w:hAnsi="宋体" w:eastAsia="黑体"/>
      <w:kern w:val="0"/>
      <w:sz w:val="36"/>
      <w:szCs w:val="27"/>
    </w:rPr>
  </w:style>
  <w:style w:type="paragraph" w:customStyle="1" w:styleId="236">
    <w:name w:val="样式 表标题5.12 + 居中 段前: 1 行"/>
    <w:basedOn w:val="1"/>
    <w:qFormat/>
    <w:uiPriority w:val="0"/>
    <w:pPr>
      <w:tabs>
        <w:tab w:val="left" w:pos="4080"/>
        <w:tab w:val="right" w:pos="8261"/>
      </w:tabs>
      <w:suppressAutoHyphens/>
      <w:adjustRightInd w:val="0"/>
      <w:spacing w:before="312" w:beforeLines="100" w:line="0" w:lineRule="atLeast"/>
      <w:ind w:left="3544"/>
      <w:jc w:val="center"/>
    </w:pPr>
    <w:rPr>
      <w:rFonts w:ascii="黑体" w:eastAsia="黑体" w:cs="宋体"/>
      <w:b/>
      <w:bCs/>
      <w:snapToGrid w:val="0"/>
      <w:spacing w:val="6"/>
      <w:kern w:val="0"/>
      <w:sz w:val="24"/>
      <w:szCs w:val="20"/>
    </w:rPr>
  </w:style>
  <w:style w:type="paragraph" w:customStyle="1" w:styleId="237">
    <w:name w:val="!正文"/>
    <w:qFormat/>
    <w:uiPriority w:val="0"/>
    <w:pPr>
      <w:spacing w:line="360" w:lineRule="auto"/>
      <w:ind w:firstLine="200" w:firstLineChars="200"/>
      <w:jc w:val="both"/>
    </w:pPr>
    <w:rPr>
      <w:rFonts w:ascii="Times New Roman" w:hAnsi="Times New Roman" w:eastAsia="宋体" w:cs="Calibri"/>
      <w:kern w:val="2"/>
      <w:sz w:val="24"/>
      <w:szCs w:val="24"/>
      <w:lang w:val="en-US" w:eastAsia="zh-CN" w:bidi="ar-SA"/>
    </w:rPr>
  </w:style>
  <w:style w:type="paragraph" w:customStyle="1" w:styleId="238">
    <w:name w:val="wtext"/>
    <w:basedOn w:val="1"/>
    <w:qFormat/>
    <w:uiPriority w:val="0"/>
    <w:pPr>
      <w:widowControl/>
      <w:spacing w:before="100" w:beforeAutospacing="1" w:after="100" w:afterAutospacing="1"/>
      <w:ind w:firstLine="480"/>
      <w:jc w:val="left"/>
    </w:pPr>
    <w:rPr>
      <w:rFonts w:ascii="ˎ̥" w:hAnsi="ˎ̥" w:cs="宋体"/>
      <w:color w:val="000000"/>
      <w:kern w:val="0"/>
      <w:sz w:val="22"/>
      <w:szCs w:val="22"/>
    </w:rPr>
  </w:style>
  <w:style w:type="paragraph" w:customStyle="1" w:styleId="239">
    <w:name w:val="1文章"/>
    <w:basedOn w:val="1"/>
    <w:qFormat/>
    <w:uiPriority w:val="0"/>
    <w:pPr>
      <w:snapToGrid w:val="0"/>
      <w:spacing w:line="360" w:lineRule="auto"/>
      <w:ind w:firstLine="573"/>
    </w:pPr>
    <w:rPr>
      <w:rFonts w:eastAsia="仿宋_GB2312"/>
      <w:sz w:val="28"/>
      <w:szCs w:val="20"/>
    </w:rPr>
  </w:style>
  <w:style w:type="paragraph" w:customStyle="1" w:styleId="240">
    <w:name w:val="1表头"/>
    <w:basedOn w:val="1"/>
    <w:qFormat/>
    <w:uiPriority w:val="0"/>
    <w:pPr>
      <w:spacing w:line="400" w:lineRule="exact"/>
      <w:jc w:val="center"/>
    </w:pPr>
    <w:rPr>
      <w:rFonts w:hAnsi="宋体" w:eastAsia="黑体"/>
      <w:sz w:val="24"/>
      <w:szCs w:val="20"/>
    </w:rPr>
  </w:style>
  <w:style w:type="paragraph" w:customStyle="1" w:styleId="241">
    <w:name w:val="表格文字（两端对齐）"/>
    <w:basedOn w:val="1"/>
    <w:qFormat/>
    <w:uiPriority w:val="0"/>
    <w:rPr>
      <w:szCs w:val="28"/>
    </w:rPr>
  </w:style>
  <w:style w:type="paragraph" w:customStyle="1" w:styleId="242">
    <w:name w:val="Char Char Char Char"/>
    <w:basedOn w:val="1"/>
    <w:qFormat/>
    <w:uiPriority w:val="0"/>
    <w:pPr>
      <w:widowControl/>
      <w:adjustRightInd w:val="0"/>
      <w:spacing w:after="160" w:line="240" w:lineRule="exact"/>
      <w:jc w:val="left"/>
      <w:textAlignment w:val="baseline"/>
    </w:pPr>
    <w:rPr>
      <w:rFonts w:ascii="Arial" w:hAnsi="Arial" w:eastAsia="Times New Roman" w:cs="Verdana"/>
      <w:b/>
      <w:kern w:val="0"/>
      <w:sz w:val="24"/>
      <w:lang w:eastAsia="en-US"/>
    </w:rPr>
  </w:style>
  <w:style w:type="paragraph" w:customStyle="1" w:styleId="243">
    <w:name w:val="reader-word-layer reader-word-s3-6"/>
    <w:basedOn w:val="1"/>
    <w:qFormat/>
    <w:uiPriority w:val="0"/>
    <w:pPr>
      <w:widowControl/>
      <w:spacing w:before="100" w:beforeAutospacing="1" w:after="100" w:afterAutospacing="1"/>
      <w:jc w:val="left"/>
    </w:pPr>
    <w:rPr>
      <w:rFonts w:ascii="宋体" w:hAnsi="宋体" w:cs="宋体"/>
      <w:kern w:val="0"/>
      <w:sz w:val="24"/>
    </w:rPr>
  </w:style>
  <w:style w:type="paragraph" w:customStyle="1" w:styleId="244">
    <w:name w:val="style1"/>
    <w:basedOn w:val="1"/>
    <w:qFormat/>
    <w:uiPriority w:val="0"/>
    <w:pPr>
      <w:widowControl/>
      <w:spacing w:before="100" w:beforeAutospacing="1" w:after="100" w:afterAutospacing="1" w:line="473" w:lineRule="atLeast"/>
      <w:jc w:val="left"/>
    </w:pPr>
    <w:rPr>
      <w:rFonts w:ascii="宋体" w:hAnsi="宋体" w:cs="宋体"/>
      <w:b/>
      <w:bCs/>
      <w:kern w:val="0"/>
      <w:sz w:val="22"/>
      <w:szCs w:val="22"/>
    </w:rPr>
  </w:style>
  <w:style w:type="paragraph" w:customStyle="1" w:styleId="245">
    <w:name w:val="正文zhanghuan"/>
    <w:basedOn w:val="1"/>
    <w:qFormat/>
    <w:uiPriority w:val="0"/>
    <w:pPr>
      <w:spacing w:line="360" w:lineRule="auto"/>
      <w:ind w:firstLine="480" w:firstLineChars="200"/>
    </w:pPr>
    <w:rPr>
      <w:rFonts w:cs="宋体"/>
      <w:sz w:val="24"/>
    </w:rPr>
  </w:style>
  <w:style w:type="paragraph" w:customStyle="1" w:styleId="246">
    <w:name w:val="Char"/>
    <w:basedOn w:val="1"/>
    <w:qFormat/>
    <w:uiPriority w:val="0"/>
  </w:style>
  <w:style w:type="paragraph" w:customStyle="1" w:styleId="247">
    <w:name w:val="样式 宋体 首行缩进:  2 字符"/>
    <w:basedOn w:val="1"/>
    <w:qFormat/>
    <w:uiPriority w:val="0"/>
    <w:pPr>
      <w:ind w:firstLine="560" w:firstLineChars="200"/>
    </w:pPr>
    <w:rPr>
      <w:sz w:val="28"/>
      <w:szCs w:val="28"/>
    </w:rPr>
  </w:style>
  <w:style w:type="paragraph" w:customStyle="1" w:styleId="248">
    <w:name w:val="正文文本 (2)8"/>
    <w:basedOn w:val="1"/>
    <w:qFormat/>
    <w:uiPriority w:val="0"/>
    <w:pPr>
      <w:shd w:val="clear" w:color="auto" w:fill="FFFFFF"/>
      <w:spacing w:before="280" w:line="150" w:lineRule="exact"/>
      <w:jc w:val="center"/>
    </w:pPr>
    <w:rPr>
      <w:rFonts w:ascii="MingLiU" w:hAnsi="宋体" w:eastAsia="MingLiU" w:cs="宋体"/>
      <w:color w:val="000000"/>
      <w:kern w:val="0"/>
      <w:sz w:val="15"/>
      <w:szCs w:val="15"/>
    </w:rPr>
  </w:style>
  <w:style w:type="paragraph" w:customStyle="1" w:styleId="249">
    <w:name w:val="表格 23"/>
    <w:basedOn w:val="1"/>
    <w:qFormat/>
    <w:uiPriority w:val="0"/>
    <w:pPr>
      <w:autoSpaceDE w:val="0"/>
      <w:autoSpaceDN w:val="0"/>
      <w:adjustRightInd w:val="0"/>
      <w:jc w:val="center"/>
    </w:pPr>
    <w:rPr>
      <w:rFonts w:eastAsia="仿宋体"/>
      <w:kern w:val="0"/>
      <w:szCs w:val="20"/>
    </w:rPr>
  </w:style>
  <w:style w:type="paragraph" w:customStyle="1" w:styleId="250">
    <w:name w:val="Char Char1 Char Char Char Char Char Char"/>
    <w:basedOn w:val="1"/>
    <w:qFormat/>
    <w:uiPriority w:val="0"/>
    <w:pPr>
      <w:spacing w:line="360" w:lineRule="auto"/>
    </w:pPr>
    <w:rPr>
      <w:sz w:val="24"/>
    </w:rPr>
  </w:style>
  <w:style w:type="paragraph" w:customStyle="1" w:styleId="251">
    <w:name w:val="样式 标题 1 + (西文) Arial (中文) 黑体 三号 段后: 2 磅"/>
    <w:basedOn w:val="2"/>
    <w:qFormat/>
    <w:uiPriority w:val="0"/>
    <w:pPr>
      <w:numPr>
        <w:ilvl w:val="0"/>
        <w:numId w:val="4"/>
      </w:numPr>
      <w:tabs>
        <w:tab w:val="left" w:pos="1474"/>
      </w:tabs>
      <w:adjustRightInd w:val="0"/>
      <w:snapToGrid w:val="0"/>
      <w:spacing w:before="240" w:beforeLines="100" w:after="40"/>
      <w:ind w:firstLineChars="200"/>
      <w:textAlignment w:val="baseline"/>
    </w:pPr>
    <w:rPr>
      <w:rFonts w:ascii="Arial" w:hAnsi="Arial" w:eastAsia="黑体" w:cs="宋体"/>
      <w:b w:val="0"/>
      <w:sz w:val="32"/>
      <w:szCs w:val="20"/>
    </w:rPr>
  </w:style>
  <w:style w:type="paragraph" w:customStyle="1" w:styleId="252">
    <w:name w:val="表格居中lq"/>
    <w:basedOn w:val="1"/>
    <w:qFormat/>
    <w:uiPriority w:val="0"/>
    <w:pPr>
      <w:adjustRightInd w:val="0"/>
      <w:snapToGrid w:val="0"/>
      <w:spacing w:before="120" w:line="320" w:lineRule="atLeast"/>
      <w:jc w:val="center"/>
    </w:pPr>
    <w:rPr>
      <w:bCs/>
      <w:color w:val="000000"/>
      <w:sz w:val="18"/>
      <w:szCs w:val="18"/>
    </w:rPr>
  </w:style>
  <w:style w:type="paragraph" w:customStyle="1" w:styleId="253">
    <w:name w:val="表格文字5号两端对齐"/>
    <w:basedOn w:val="1"/>
    <w:qFormat/>
    <w:uiPriority w:val="0"/>
    <w:rPr>
      <w:rFonts w:ascii="宋体"/>
      <w:sz w:val="28"/>
      <w:szCs w:val="28"/>
    </w:rPr>
  </w:style>
  <w:style w:type="paragraph" w:customStyle="1" w:styleId="254">
    <w:name w:val="默认段落字体 Para Char Char Char Char Char Char Char Char Char Char"/>
    <w:basedOn w:val="4"/>
    <w:qFormat/>
    <w:uiPriority w:val="0"/>
    <w:pPr>
      <w:tabs>
        <w:tab w:val="left" w:pos="360"/>
        <w:tab w:val="left" w:pos="900"/>
      </w:tabs>
      <w:snapToGrid w:val="0"/>
      <w:spacing w:before="120" w:after="120"/>
      <w:ind w:left="542" w:leftChars="-12" w:firstLine="200" w:firstLineChars="200"/>
      <w:jc w:val="left"/>
    </w:pPr>
    <w:rPr>
      <w:rFonts w:eastAsia="黑体"/>
      <w:b/>
      <w:bCs w:val="0"/>
      <w:snapToGrid w:val="0"/>
      <w:sz w:val="24"/>
      <w:szCs w:val="24"/>
    </w:rPr>
  </w:style>
  <w:style w:type="paragraph" w:customStyle="1" w:styleId="255">
    <w:name w:val="Normal"/>
    <w:qFormat/>
    <w:uiPriority w:val="0"/>
    <w:pPr>
      <w:jc w:val="both"/>
    </w:pPr>
    <w:rPr>
      <w:rFonts w:ascii="Times New Roman" w:hAnsi="Times New Roman" w:eastAsia="宋体" w:cs="Times New Roman"/>
      <w:kern w:val="2"/>
      <w:sz w:val="21"/>
      <w:szCs w:val="21"/>
      <w:lang w:val="en-US" w:eastAsia="zh-CN" w:bidi="ar-SA"/>
    </w:rPr>
  </w:style>
  <w:style w:type="paragraph" w:styleId="256">
    <w:name w:val="List Paragraph"/>
    <w:basedOn w:val="1"/>
    <w:qFormat/>
    <w:uiPriority w:val="99"/>
    <w:pPr>
      <w:ind w:firstLine="420" w:firstLineChars="200"/>
    </w:pPr>
    <w:rPr>
      <w:rFonts w:ascii="Calibri" w:hAnsi="Calibri"/>
      <w:szCs w:val="21"/>
    </w:rPr>
  </w:style>
  <w:style w:type="paragraph" w:customStyle="1" w:styleId="257">
    <w:name w:val="CM103"/>
    <w:basedOn w:val="220"/>
    <w:next w:val="220"/>
    <w:qFormat/>
    <w:uiPriority w:val="0"/>
    <w:pPr>
      <w:spacing w:line="626" w:lineRule="atLeast"/>
    </w:pPr>
    <w:rPr>
      <w:rFonts w:ascii="黑体" w:eastAsia="黑体" w:cs="黑体"/>
      <w:color w:val="auto"/>
    </w:rPr>
  </w:style>
  <w:style w:type="paragraph" w:customStyle="1" w:styleId="258">
    <w:name w:val="样式13"/>
    <w:basedOn w:val="1"/>
    <w:qFormat/>
    <w:uiPriority w:val="0"/>
    <w:pPr>
      <w:jc w:val="center"/>
    </w:pPr>
    <w:rPr>
      <w:szCs w:val="21"/>
    </w:rPr>
  </w:style>
  <w:style w:type="paragraph" w:customStyle="1" w:styleId="259">
    <w:name w:val="表格1"/>
    <w:basedOn w:val="1"/>
    <w:qFormat/>
    <w:uiPriority w:val="0"/>
    <w:pPr>
      <w:adjustRightInd w:val="0"/>
      <w:snapToGrid w:val="0"/>
      <w:jc w:val="center"/>
    </w:pPr>
    <w:rPr>
      <w:snapToGrid w:val="0"/>
      <w:color w:val="000000"/>
      <w:sz w:val="24"/>
      <w:szCs w:val="21"/>
    </w:rPr>
  </w:style>
  <w:style w:type="paragraph" w:customStyle="1" w:styleId="260">
    <w:name w:val="CM134"/>
    <w:basedOn w:val="220"/>
    <w:next w:val="220"/>
    <w:qFormat/>
    <w:uiPriority w:val="0"/>
    <w:pPr>
      <w:spacing w:after="270"/>
    </w:pPr>
    <w:rPr>
      <w:rFonts w:ascii="黑体" w:eastAsia="黑体" w:cs="黑体"/>
      <w:color w:val="auto"/>
    </w:rPr>
  </w:style>
  <w:style w:type="paragraph" w:customStyle="1" w:styleId="261">
    <w:name w:val="小罗文本"/>
    <w:basedOn w:val="1"/>
    <w:qFormat/>
    <w:uiPriority w:val="0"/>
    <w:pPr>
      <w:spacing w:line="500" w:lineRule="exact"/>
      <w:ind w:firstLine="200" w:firstLineChars="200"/>
      <w:outlineLvl w:val="0"/>
    </w:pPr>
    <w:rPr>
      <w:rFonts w:ascii="宋体"/>
      <w:sz w:val="24"/>
    </w:rPr>
  </w:style>
  <w:style w:type="paragraph" w:customStyle="1" w:styleId="262">
    <w:name w:val="九晟正文"/>
    <w:basedOn w:val="1"/>
    <w:qFormat/>
    <w:uiPriority w:val="0"/>
    <w:pPr>
      <w:spacing w:line="360" w:lineRule="auto"/>
      <w:ind w:right="113" w:firstLine="560" w:firstLineChars="200"/>
    </w:pPr>
    <w:rPr>
      <w:bCs/>
      <w:spacing w:val="20"/>
      <w:sz w:val="24"/>
    </w:rPr>
  </w:style>
  <w:style w:type="paragraph" w:customStyle="1" w:styleId="263">
    <w:name w:val="Tblhead"/>
    <w:basedOn w:val="1"/>
    <w:next w:val="1"/>
    <w:qFormat/>
    <w:uiPriority w:val="0"/>
    <w:pPr>
      <w:pageBreakBefore/>
      <w:suppressAutoHyphens/>
      <w:autoSpaceDE w:val="0"/>
      <w:autoSpaceDN w:val="0"/>
      <w:adjustRightInd w:val="0"/>
      <w:jc w:val="center"/>
      <w:textAlignment w:val="baseline"/>
    </w:pPr>
    <w:rPr>
      <w:rFonts w:ascii="宋体"/>
      <w:spacing w:val="-3"/>
      <w:kern w:val="0"/>
      <w:sz w:val="24"/>
      <w:szCs w:val="20"/>
    </w:rPr>
  </w:style>
  <w:style w:type="paragraph" w:customStyle="1" w:styleId="264">
    <w:name w:val="样式 (中文) 华文新魏 小初 居中 加宽量  8 磅 行距: 固定值 27 磅"/>
    <w:basedOn w:val="1"/>
    <w:qFormat/>
    <w:uiPriority w:val="0"/>
    <w:pPr>
      <w:spacing w:beforeLines="50" w:line="520" w:lineRule="exact"/>
      <w:jc w:val="center"/>
    </w:pPr>
    <w:rPr>
      <w:rFonts w:ascii="Calibri" w:hAnsi="Calibri" w:eastAsia="华文新魏" w:cs="宋体"/>
      <w:snapToGrid w:val="0"/>
      <w:spacing w:val="160"/>
      <w:sz w:val="72"/>
      <w:szCs w:val="20"/>
    </w:rPr>
  </w:style>
  <w:style w:type="paragraph" w:customStyle="1" w:styleId="265">
    <w:name w:val="xl47"/>
    <w:basedOn w:val="1"/>
    <w:qFormat/>
    <w:uiPriority w:val="0"/>
    <w:pPr>
      <w:widowControl/>
      <w:pBdr>
        <w:bottom w:val="single" w:color="auto" w:sz="4" w:space="0"/>
        <w:right w:val="single" w:color="auto" w:sz="4" w:space="0"/>
      </w:pBdr>
      <w:spacing w:before="100" w:beforeAutospacing="1" w:after="100" w:afterAutospacing="1"/>
      <w:jc w:val="center"/>
    </w:pPr>
    <w:rPr>
      <w:rFonts w:hint="eastAsia" w:ascii="宋体" w:hAnsi="宋体"/>
      <w:kern w:val="0"/>
      <w:szCs w:val="21"/>
    </w:rPr>
  </w:style>
  <w:style w:type="paragraph" w:customStyle="1" w:styleId="266">
    <w:name w:val="图、表内容"/>
    <w:basedOn w:val="1"/>
    <w:qFormat/>
    <w:uiPriority w:val="0"/>
    <w:pPr>
      <w:spacing w:line="240" w:lineRule="auto"/>
      <w:ind w:firstLine="0" w:firstLineChars="0"/>
      <w:jc w:val="center"/>
    </w:pPr>
    <w:rPr>
      <w:sz w:val="21"/>
    </w:rPr>
  </w:style>
  <w:style w:type="paragraph" w:customStyle="1" w:styleId="267">
    <w:name w:val="Char Char1"/>
    <w:basedOn w:val="1"/>
    <w:qFormat/>
    <w:uiPriority w:val="0"/>
    <w:pPr>
      <w:widowControl/>
      <w:spacing w:before="100" w:beforeAutospacing="1" w:after="100" w:afterAutospacing="1"/>
      <w:ind w:firstLine="200" w:firstLineChars="200"/>
      <w:jc w:val="left"/>
    </w:pPr>
  </w:style>
  <w:style w:type="paragraph" w:customStyle="1" w:styleId="268">
    <w:name w:val="样式 样式 样式 首行缩进:  1 厘米 行距: 固定值 25 磅 + Times New Roman 首行缩进:  0.85 ...1"/>
    <w:basedOn w:val="1"/>
    <w:qFormat/>
    <w:uiPriority w:val="0"/>
    <w:pPr>
      <w:adjustRightInd w:val="0"/>
      <w:snapToGrid w:val="0"/>
      <w:spacing w:line="360" w:lineRule="auto"/>
      <w:ind w:firstLine="200" w:firstLineChars="200"/>
    </w:pPr>
    <w:rPr>
      <w:rFonts w:cs="宋体"/>
      <w:snapToGrid w:val="0"/>
      <w:kern w:val="24"/>
      <w:sz w:val="24"/>
    </w:rPr>
  </w:style>
  <w:style w:type="paragraph" w:customStyle="1" w:styleId="269">
    <w:name w:val="xl33"/>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70">
    <w:name w:val="样式7"/>
    <w:basedOn w:val="3"/>
    <w:qFormat/>
    <w:uiPriority w:val="0"/>
    <w:pPr>
      <w:spacing w:before="100" w:beforeAutospacing="1" w:after="100" w:afterAutospacing="1" w:line="600" w:lineRule="exact"/>
      <w:jc w:val="left"/>
    </w:pPr>
    <w:rPr>
      <w:rFonts w:ascii="Times New Roman" w:hAnsi="Times New Roman" w:eastAsia="宋体"/>
      <w:b/>
      <w:bCs w:val="0"/>
      <w:kern w:val="0"/>
    </w:rPr>
  </w:style>
  <w:style w:type="paragraph" w:customStyle="1" w:styleId="271">
    <w:name w:val=" Char Char Char Char Char Char Char Char Char Char Char Char Char Char Char1 Char Char Char Char Char Char Char Char Char Char Char Char Char"/>
    <w:basedOn w:val="1"/>
    <w:qFormat/>
    <w:uiPriority w:val="0"/>
    <w:pPr>
      <w:autoSpaceDE w:val="0"/>
      <w:autoSpaceDN w:val="0"/>
      <w:adjustRightInd w:val="0"/>
      <w:snapToGrid w:val="0"/>
      <w:spacing w:before="50" w:after="50" w:line="360" w:lineRule="auto"/>
      <w:ind w:firstLine="560" w:firstLineChars="200"/>
    </w:pPr>
    <w:rPr>
      <w:rFonts w:eastAsia="仿宋_GB2312"/>
      <w:color w:val="000000"/>
      <w:sz w:val="24"/>
    </w:rPr>
  </w:style>
  <w:style w:type="paragraph" w:customStyle="1" w:styleId="272">
    <w:name w:val="！正文"/>
    <w:basedOn w:val="1"/>
    <w:qFormat/>
    <w:uiPriority w:val="0"/>
    <w:pPr>
      <w:ind w:firstLine="480"/>
    </w:pPr>
    <w:rPr>
      <w:rFonts w:cs="宋体"/>
      <w:szCs w:val="20"/>
    </w:rPr>
  </w:style>
  <w:style w:type="paragraph" w:customStyle="1" w:styleId="273">
    <w:name w:val="表号、图号"/>
    <w:basedOn w:val="1"/>
    <w:qFormat/>
    <w:uiPriority w:val="0"/>
    <w:pPr>
      <w:jc w:val="center"/>
    </w:pPr>
    <w:rPr>
      <w:rFonts w:ascii="黑体" w:hAnsi="黑体" w:eastAsia="黑体"/>
    </w:rPr>
  </w:style>
  <w:style w:type="paragraph" w:customStyle="1" w:styleId="274">
    <w:name w:val="_Style 269"/>
    <w:basedOn w:val="2"/>
    <w:next w:val="1"/>
    <w:qFormat/>
    <w:uiPriority w:val="0"/>
    <w:pPr>
      <w:widowControl/>
      <w:spacing w:before="480" w:line="276" w:lineRule="auto"/>
      <w:jc w:val="left"/>
      <w:outlineLvl w:val="9"/>
    </w:pPr>
    <w:rPr>
      <w:rFonts w:ascii="Cambria" w:hAnsi="Cambria"/>
      <w:color w:val="365F91"/>
      <w:kern w:val="0"/>
      <w:sz w:val="28"/>
      <w:szCs w:val="28"/>
    </w:rPr>
  </w:style>
  <w:style w:type="paragraph" w:customStyle="1" w:styleId="275">
    <w:name w:val="样本"/>
    <w:basedOn w:val="1"/>
    <w:qFormat/>
    <w:uiPriority w:val="0"/>
    <w:pPr>
      <w:spacing w:before="100" w:after="100" w:line="500" w:lineRule="exact"/>
      <w:ind w:firstLine="200" w:firstLineChars="200"/>
    </w:pPr>
    <w:rPr>
      <w:kern w:val="44"/>
      <w:sz w:val="28"/>
      <w:szCs w:val="20"/>
    </w:rPr>
  </w:style>
  <w:style w:type="paragraph" w:customStyle="1" w:styleId="276">
    <w:name w:val="CM14"/>
    <w:basedOn w:val="220"/>
    <w:next w:val="220"/>
    <w:qFormat/>
    <w:uiPriority w:val="0"/>
    <w:rPr>
      <w:rFonts w:ascii="黑体" w:eastAsia="黑体" w:cs="黑体"/>
      <w:color w:val="auto"/>
    </w:rPr>
  </w:style>
  <w:style w:type="paragraph" w:customStyle="1" w:styleId="277">
    <w:name w:val="报告书表格正文"/>
    <w:basedOn w:val="1"/>
    <w:qFormat/>
    <w:uiPriority w:val="0"/>
    <w:pPr>
      <w:widowControl/>
      <w:adjustRightInd w:val="0"/>
      <w:snapToGrid w:val="0"/>
      <w:jc w:val="center"/>
    </w:pPr>
    <w:rPr>
      <w:sz w:val="18"/>
      <w:szCs w:val="22"/>
    </w:rPr>
  </w:style>
  <w:style w:type="paragraph" w:customStyle="1" w:styleId="278">
    <w:name w:val=" Char Char1 Char Char Char Char Char Char Char Char Char Char Char Char Char Char Char Char Char Char Char Char1 Char"/>
    <w:basedOn w:val="1"/>
    <w:qFormat/>
    <w:uiPriority w:val="0"/>
    <w:pPr>
      <w:spacing w:line="360" w:lineRule="auto"/>
      <w:ind w:firstLine="200" w:firstLineChars="200"/>
    </w:pPr>
    <w:rPr>
      <w:rFonts w:ascii="宋体" w:hAnsi="宋体" w:cs="宋体"/>
      <w:sz w:val="24"/>
    </w:rPr>
  </w:style>
  <w:style w:type="paragraph" w:customStyle="1" w:styleId="279">
    <w:name w:val="表格文字5号缩1"/>
    <w:basedOn w:val="1"/>
    <w:qFormat/>
    <w:uiPriority w:val="0"/>
    <w:pPr>
      <w:ind w:firstLine="210" w:firstLineChars="100"/>
    </w:pPr>
    <w:rPr>
      <w:rFonts w:cs="宋体"/>
      <w:kern w:val="0"/>
      <w:szCs w:val="21"/>
    </w:rPr>
  </w:style>
  <w:style w:type="paragraph" w:customStyle="1" w:styleId="280">
    <w:name w:val=" Char1 Char Char Char"/>
    <w:basedOn w:val="1"/>
    <w:qFormat/>
    <w:uiPriority w:val="0"/>
    <w:rPr>
      <w:szCs w:val="20"/>
    </w:rPr>
  </w:style>
  <w:style w:type="paragraph" w:customStyle="1" w:styleId="281">
    <w:name w:val="表标题1.7－2"/>
    <w:basedOn w:val="1"/>
    <w:qFormat/>
    <w:uiPriority w:val="0"/>
    <w:pPr>
      <w:numPr>
        <w:ilvl w:val="0"/>
        <w:numId w:val="5"/>
      </w:numPr>
      <w:tabs>
        <w:tab w:val="left" w:pos="1931"/>
      </w:tabs>
      <w:spacing w:before="100" w:beforeLines="100" w:line="0" w:lineRule="atLeast"/>
      <w:ind w:firstLineChars="200"/>
    </w:pPr>
    <w:rPr>
      <w:snapToGrid w:val="0"/>
      <w:color w:val="000000"/>
      <w:sz w:val="24"/>
    </w:rPr>
  </w:style>
  <w:style w:type="paragraph" w:customStyle="1" w:styleId="282">
    <w:name w:val="默认段落字体 Para Char"/>
    <w:basedOn w:val="1"/>
    <w:qFormat/>
    <w:uiPriority w:val="0"/>
    <w:pPr>
      <w:spacing w:line="360" w:lineRule="auto"/>
      <w:ind w:firstLine="200" w:firstLineChars="200"/>
    </w:pPr>
    <w:rPr>
      <w:rFonts w:ascii="宋体" w:hAnsi="宋体" w:cs="宋体"/>
      <w:sz w:val="24"/>
    </w:rPr>
  </w:style>
  <w:style w:type="paragraph" w:customStyle="1" w:styleId="283">
    <w:name w:val="CM10"/>
    <w:basedOn w:val="220"/>
    <w:next w:val="220"/>
    <w:qFormat/>
    <w:uiPriority w:val="0"/>
    <w:rPr>
      <w:rFonts w:ascii="黑体" w:eastAsia="黑体" w:cs="黑体"/>
      <w:color w:val="auto"/>
    </w:rPr>
  </w:style>
  <w:style w:type="paragraph" w:customStyle="1" w:styleId="284">
    <w:name w:val="正文 缩进"/>
    <w:basedOn w:val="1"/>
    <w:qFormat/>
    <w:uiPriority w:val="0"/>
    <w:pPr>
      <w:spacing w:line="440" w:lineRule="exact"/>
      <w:ind w:firstLine="480" w:firstLineChars="200"/>
    </w:pPr>
    <w:rPr>
      <w:rFonts w:eastAsia="宋体"/>
      <w:sz w:val="24"/>
      <w:lang w:bidi="ar-SA"/>
    </w:rPr>
  </w:style>
  <w:style w:type="paragraph" w:customStyle="1" w:styleId="285">
    <w:name w:val="默认段落字体 Para Char Char Char Char"/>
    <w:basedOn w:val="1"/>
    <w:qFormat/>
    <w:uiPriority w:val="0"/>
    <w:pPr>
      <w:spacing w:line="360" w:lineRule="auto"/>
      <w:ind w:firstLine="200" w:firstLineChars="200"/>
    </w:pPr>
    <w:rPr>
      <w:rFonts w:ascii="宋体" w:hAnsi="宋体" w:cs="宋体"/>
      <w:sz w:val="24"/>
    </w:rPr>
  </w:style>
  <w:style w:type="paragraph" w:customStyle="1" w:styleId="286">
    <w:name w:val="表格03"/>
    <w:basedOn w:val="1"/>
    <w:qFormat/>
    <w:uiPriority w:val="0"/>
    <w:pPr>
      <w:spacing w:line="400" w:lineRule="exact"/>
      <w:jc w:val="center"/>
    </w:pPr>
    <w:rPr>
      <w:szCs w:val="21"/>
    </w:rPr>
  </w:style>
  <w:style w:type="paragraph" w:customStyle="1" w:styleId="287">
    <w:name w:val="段落 Char Char Char"/>
    <w:basedOn w:val="1"/>
    <w:qFormat/>
    <w:uiPriority w:val="0"/>
    <w:pPr>
      <w:tabs>
        <w:tab w:val="left" w:pos="1021"/>
      </w:tabs>
      <w:adjustRightInd w:val="0"/>
      <w:spacing w:line="480" w:lineRule="exact"/>
      <w:jc w:val="center"/>
    </w:pPr>
    <w:rPr>
      <w:rFonts w:ascii="宋体" w:hAnsi="宋体"/>
      <w:b/>
      <w:sz w:val="24"/>
    </w:rPr>
  </w:style>
  <w:style w:type="paragraph" w:customStyle="1" w:styleId="288">
    <w:name w:val="样式15454645656"/>
    <w:basedOn w:val="24"/>
    <w:qFormat/>
    <w:uiPriority w:val="0"/>
    <w:pPr>
      <w:spacing w:after="0" w:line="420" w:lineRule="exact"/>
      <w:ind w:firstLine="200" w:firstLineChars="200"/>
    </w:pPr>
    <w:rPr>
      <w:sz w:val="24"/>
      <w:szCs w:val="24"/>
    </w:rPr>
  </w:style>
  <w:style w:type="paragraph" w:customStyle="1" w:styleId="289">
    <w:name w:val="CM11"/>
    <w:basedOn w:val="220"/>
    <w:next w:val="220"/>
    <w:qFormat/>
    <w:uiPriority w:val="0"/>
    <w:rPr>
      <w:rFonts w:ascii="黑体" w:eastAsia="黑体" w:cs="黑体"/>
      <w:color w:val="auto"/>
    </w:rPr>
  </w:style>
  <w:style w:type="paragraph" w:customStyle="1" w:styleId="290">
    <w:name w:val="Char1"/>
    <w:basedOn w:val="1"/>
    <w:qFormat/>
    <w:uiPriority w:val="0"/>
    <w:pPr>
      <w:keepNext/>
      <w:keepLines/>
      <w:tabs>
        <w:tab w:val="left" w:pos="2160"/>
      </w:tabs>
      <w:adjustRightInd w:val="0"/>
      <w:snapToGrid w:val="0"/>
      <w:spacing w:before="120" w:after="120" w:line="360" w:lineRule="auto"/>
      <w:ind w:left="2160" w:hanging="420"/>
      <w:textAlignment w:val="baseline"/>
      <w:outlineLvl w:val="3"/>
    </w:pPr>
    <w:rPr>
      <w:rFonts w:ascii="Arial" w:hAnsi="Arial"/>
      <w:bCs/>
      <w:kern w:val="0"/>
      <w:sz w:val="28"/>
      <w:szCs w:val="21"/>
    </w:rPr>
  </w:style>
  <w:style w:type="paragraph" w:customStyle="1" w:styleId="291">
    <w:name w:val="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92">
    <w:name w:val=" Char Char Char Char"/>
    <w:basedOn w:val="1"/>
    <w:qFormat/>
    <w:uiPriority w:val="0"/>
    <w:rPr>
      <w:rFonts w:ascii="宋体" w:hAnsi="宋体" w:cs="Courier New"/>
      <w:sz w:val="32"/>
      <w:szCs w:val="32"/>
    </w:rPr>
  </w:style>
  <w:style w:type="paragraph" w:customStyle="1" w:styleId="293">
    <w:name w:val="正"/>
    <w:basedOn w:val="4"/>
    <w:qFormat/>
    <w:uiPriority w:val="0"/>
    <w:pPr>
      <w:tabs>
        <w:tab w:val="left" w:pos="-720"/>
      </w:tabs>
      <w:snapToGrid w:val="0"/>
      <w:spacing w:line="336" w:lineRule="auto"/>
      <w:ind w:left="-720" w:firstLine="615"/>
    </w:pPr>
    <w:rPr>
      <w:rFonts w:ascii="宋体" w:cs="宋体"/>
      <w:sz w:val="28"/>
      <w:szCs w:val="28"/>
    </w:rPr>
  </w:style>
  <w:style w:type="paragraph" w:customStyle="1" w:styleId="294">
    <w:name w:val="CM6"/>
    <w:basedOn w:val="1"/>
    <w:next w:val="1"/>
    <w:qFormat/>
    <w:uiPriority w:val="0"/>
    <w:pPr>
      <w:autoSpaceDE w:val="0"/>
      <w:autoSpaceDN w:val="0"/>
      <w:adjustRightInd w:val="0"/>
      <w:spacing w:line="440" w:lineRule="atLeast"/>
      <w:jc w:val="left"/>
    </w:pPr>
    <w:rPr>
      <w:rFonts w:ascii="黑体" w:eastAsia="黑体" w:cs="黑体"/>
      <w:kern w:val="0"/>
      <w:sz w:val="24"/>
    </w:rPr>
  </w:style>
  <w:style w:type="paragraph" w:customStyle="1" w:styleId="295">
    <w:name w:val="wxy表名"/>
    <w:basedOn w:val="110"/>
    <w:qFormat/>
    <w:uiPriority w:val="0"/>
    <w:pPr>
      <w:widowControl w:val="0"/>
      <w:spacing w:before="120" w:beforeLines="50" w:line="240" w:lineRule="auto"/>
      <w:ind w:firstLine="480"/>
    </w:pPr>
    <w:rPr>
      <w:rFonts w:ascii="Times New Roman" w:eastAsia="黑体"/>
      <w:sz w:val="24"/>
      <w:szCs w:val="24"/>
    </w:rPr>
  </w:style>
  <w:style w:type="paragraph" w:customStyle="1" w:styleId="296">
    <w:name w:val="表格标题小四黑体对中"/>
    <w:basedOn w:val="1"/>
    <w:qFormat/>
    <w:uiPriority w:val="0"/>
    <w:pPr>
      <w:spacing w:line="360" w:lineRule="auto"/>
      <w:jc w:val="center"/>
    </w:pPr>
    <w:rPr>
      <w:rFonts w:ascii="黑体" w:eastAsia="黑体"/>
      <w:sz w:val="24"/>
      <w:szCs w:val="28"/>
    </w:rPr>
  </w:style>
  <w:style w:type="paragraph" w:customStyle="1" w:styleId="297">
    <w:name w:val="Char Char1 Char Char Char Char"/>
    <w:basedOn w:val="21"/>
    <w:qFormat/>
    <w:uiPriority w:val="0"/>
    <w:pPr>
      <w:adjustRightInd w:val="0"/>
      <w:spacing w:before="120" w:after="120" w:line="436" w:lineRule="exact"/>
      <w:ind w:left="357"/>
      <w:jc w:val="left"/>
      <w:outlineLvl w:val="3"/>
    </w:pPr>
    <w:rPr>
      <w:rFonts w:ascii="Tahoma" w:hAnsi="Tahoma"/>
      <w:b/>
      <w:sz w:val="24"/>
    </w:rPr>
  </w:style>
  <w:style w:type="paragraph" w:customStyle="1" w:styleId="298">
    <w:name w:val="xl29"/>
    <w:basedOn w:val="1"/>
    <w:qFormat/>
    <w:uiPriority w:val="0"/>
    <w:pPr>
      <w:widowControl/>
      <w:pBdr>
        <w:left w:val="single" w:color="auto" w:sz="4" w:space="0"/>
        <w:right w:val="single" w:color="auto" w:sz="4" w:space="0"/>
      </w:pBdr>
      <w:spacing w:before="100" w:beforeAutospacing="1" w:after="100" w:afterAutospacing="1"/>
      <w:jc w:val="center"/>
    </w:pPr>
    <w:rPr>
      <w:rFonts w:hint="eastAsia" w:ascii="宋体" w:hAnsi="宋体"/>
      <w:kern w:val="0"/>
      <w:sz w:val="28"/>
      <w:szCs w:val="28"/>
    </w:rPr>
  </w:style>
  <w:style w:type="paragraph" w:customStyle="1" w:styleId="299">
    <w:name w:val="1表格文字"/>
    <w:qFormat/>
    <w:uiPriority w:val="0"/>
    <w:pPr>
      <w:spacing w:line="360" w:lineRule="exact"/>
      <w:jc w:val="center"/>
    </w:pPr>
    <w:rPr>
      <w:rFonts w:ascii="Times New Roman" w:hAnsi="Times New Roman" w:eastAsia="宋体" w:cs="Times New Roman"/>
      <w:sz w:val="21"/>
      <w:szCs w:val="24"/>
      <w:lang w:val="en-US" w:eastAsia="zh-CN" w:bidi="en-US"/>
    </w:rPr>
  </w:style>
  <w:style w:type="paragraph" w:customStyle="1" w:styleId="300">
    <w:name w:val="CM135"/>
    <w:basedOn w:val="1"/>
    <w:next w:val="1"/>
    <w:qFormat/>
    <w:uiPriority w:val="0"/>
    <w:pPr>
      <w:autoSpaceDE w:val="0"/>
      <w:autoSpaceDN w:val="0"/>
      <w:adjustRightInd w:val="0"/>
      <w:spacing w:after="558"/>
      <w:jc w:val="left"/>
    </w:pPr>
    <w:rPr>
      <w:rFonts w:ascii="黑体" w:eastAsia="黑体" w:cs="黑体"/>
      <w:kern w:val="0"/>
      <w:sz w:val="24"/>
    </w:rPr>
  </w:style>
  <w:style w:type="paragraph" w:customStyle="1" w:styleId="301">
    <w:name w:val="样式 标题 1H1大标题ASAPHeading 1标题1Heading 06h11st levelSectio..."/>
    <w:basedOn w:val="2"/>
    <w:qFormat/>
    <w:uiPriority w:val="0"/>
    <w:pPr>
      <w:keepNext w:val="0"/>
      <w:keepLines w:val="0"/>
      <w:overflowPunct w:val="0"/>
      <w:autoSpaceDE w:val="0"/>
      <w:autoSpaceDN w:val="0"/>
      <w:adjustRightInd w:val="0"/>
      <w:spacing w:before="720" w:after="480" w:line="640" w:lineRule="exact"/>
      <w:textAlignment w:val="baseline"/>
    </w:pPr>
    <w:rPr>
      <w:rFonts w:ascii="仿宋_GB2312" w:hAnsi="Arial" w:cs="宋体"/>
      <w:spacing w:val="-10"/>
      <w:kern w:val="20"/>
      <w:szCs w:val="20"/>
    </w:rPr>
  </w:style>
  <w:style w:type="paragraph" w:customStyle="1" w:styleId="302">
    <w:name w:val="表格"/>
    <w:basedOn w:val="1"/>
    <w:qFormat/>
    <w:uiPriority w:val="0"/>
    <w:pPr>
      <w:widowControl/>
      <w:spacing w:line="360" w:lineRule="atLeast"/>
      <w:jc w:val="center"/>
    </w:pPr>
    <w:rPr>
      <w:rFonts w:cs="宋体"/>
    </w:rPr>
  </w:style>
  <w:style w:type="paragraph" w:customStyle="1" w:styleId="303">
    <w:name w:val="CM132"/>
    <w:basedOn w:val="220"/>
    <w:next w:val="220"/>
    <w:qFormat/>
    <w:uiPriority w:val="0"/>
    <w:pPr>
      <w:spacing w:after="480"/>
    </w:pPr>
    <w:rPr>
      <w:rFonts w:ascii="黑体" w:eastAsia="黑体" w:cs="黑体"/>
      <w:color w:val="auto"/>
    </w:rPr>
  </w:style>
  <w:style w:type="paragraph" w:customStyle="1" w:styleId="304">
    <w:name w:val="评1级标题"/>
    <w:basedOn w:val="2"/>
    <w:qFormat/>
    <w:uiPriority w:val="0"/>
    <w:pPr>
      <w:spacing w:before="100" w:beforeAutospacing="1" w:after="100" w:afterAutospacing="1"/>
      <w:ind w:right="105" w:rightChars="50"/>
    </w:pPr>
    <w:rPr>
      <w:rFonts w:ascii="宋体" w:hAnsi="宋体"/>
      <w:b w:val="0"/>
      <w:kern w:val="0"/>
      <w:sz w:val="36"/>
      <w:szCs w:val="27"/>
    </w:rPr>
  </w:style>
  <w:style w:type="paragraph" w:customStyle="1" w:styleId="305">
    <w:name w:val="正文文本 (22)"/>
    <w:basedOn w:val="1"/>
    <w:qFormat/>
    <w:uiPriority w:val="0"/>
    <w:pPr>
      <w:shd w:val="clear" w:color="auto" w:fill="FFFFFF"/>
      <w:spacing w:before="200" w:after="200" w:line="170" w:lineRule="exact"/>
    </w:pPr>
    <w:rPr>
      <w:rFonts w:ascii="MingLiU" w:hAnsi="宋体" w:eastAsia="MingLiU" w:cs="宋体"/>
      <w:color w:val="000000"/>
      <w:kern w:val="0"/>
      <w:sz w:val="17"/>
      <w:szCs w:val="17"/>
    </w:rPr>
  </w:style>
  <w:style w:type="paragraph" w:customStyle="1" w:styleId="306">
    <w:name w:val="Table Paragraph"/>
    <w:basedOn w:val="1"/>
    <w:qFormat/>
    <w:uiPriority w:val="1"/>
    <w:pPr>
      <w:jc w:val="center"/>
    </w:pPr>
    <w:rPr>
      <w:rFonts w:ascii="宋体" w:hAnsi="宋体" w:eastAsia="宋体" w:cs="宋体"/>
      <w:lang w:val="zh-CN" w:eastAsia="zh-CN" w:bidi="zh-CN"/>
    </w:rPr>
  </w:style>
  <w:style w:type="paragraph" w:customStyle="1" w:styleId="307">
    <w:name w:val="wxy图名"/>
    <w:basedOn w:val="308"/>
    <w:qFormat/>
    <w:uiPriority w:val="0"/>
    <w:pPr>
      <w:spacing w:before="0" w:beforeLines="0"/>
      <w:ind w:firstLine="0" w:firstLineChars="0"/>
      <w:jc w:val="center"/>
    </w:pPr>
  </w:style>
  <w:style w:type="paragraph" w:customStyle="1" w:styleId="308">
    <w:name w:val="wxy1表名"/>
    <w:basedOn w:val="295"/>
    <w:qFormat/>
    <w:uiPriority w:val="0"/>
    <w:pPr>
      <w:jc w:val="left"/>
    </w:pPr>
  </w:style>
  <w:style w:type="paragraph" w:customStyle="1" w:styleId="309">
    <w:name w:val="样式2"/>
    <w:basedOn w:val="1"/>
    <w:qFormat/>
    <w:uiPriority w:val="0"/>
    <w:pPr>
      <w:spacing w:line="500" w:lineRule="exact"/>
      <w:ind w:firstLine="480" w:firstLineChars="200"/>
    </w:pPr>
    <w:rPr>
      <w:rFonts w:ascii="宋体" w:hAnsi="宋体"/>
      <w:sz w:val="24"/>
    </w:rPr>
  </w:style>
  <w:style w:type="paragraph" w:customStyle="1" w:styleId="310">
    <w:name w:val="正文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11">
    <w:name w:val="报告书正文"/>
    <w:basedOn w:val="1"/>
    <w:qFormat/>
    <w:uiPriority w:val="0"/>
    <w:pPr>
      <w:spacing w:line="300" w:lineRule="auto"/>
      <w:ind w:firstLine="200" w:firstLineChars="200"/>
    </w:pPr>
    <w:rPr>
      <w:sz w:val="24"/>
      <w:szCs w:val="20"/>
    </w:rPr>
  </w:style>
  <w:style w:type="paragraph" w:customStyle="1" w:styleId="312">
    <w:name w:val="xl25"/>
    <w:basedOn w:val="1"/>
    <w:qFormat/>
    <w:uiPriority w:val="0"/>
    <w:pPr>
      <w:widowControl/>
      <w:pBdr>
        <w:bottom w:val="single" w:color="auto" w:sz="4" w:space="0"/>
        <w:right w:val="single" w:color="auto" w:sz="4" w:space="0"/>
      </w:pBdr>
      <w:spacing w:before="100" w:beforeAutospacing="1" w:after="100" w:afterAutospacing="1"/>
    </w:pPr>
    <w:rPr>
      <w:kern w:val="0"/>
      <w:szCs w:val="21"/>
    </w:rPr>
  </w:style>
  <w:style w:type="paragraph" w:customStyle="1" w:styleId="313">
    <w:name w:val="CM129"/>
    <w:basedOn w:val="220"/>
    <w:next w:val="220"/>
    <w:qFormat/>
    <w:uiPriority w:val="0"/>
    <w:pPr>
      <w:spacing w:line="626" w:lineRule="atLeast"/>
    </w:pPr>
    <w:rPr>
      <w:rFonts w:ascii="黑体" w:eastAsia="黑体" w:cs="黑体"/>
      <w:color w:val="auto"/>
    </w:rPr>
  </w:style>
  <w:style w:type="paragraph" w:customStyle="1" w:styleId="314">
    <w:name w:val="Char Char Char Char1"/>
    <w:basedOn w:val="1"/>
    <w:qFormat/>
    <w:uiPriority w:val="0"/>
    <w:pPr>
      <w:widowControl/>
      <w:adjustRightInd w:val="0"/>
      <w:spacing w:after="160" w:line="240" w:lineRule="exact"/>
      <w:jc w:val="left"/>
      <w:textAlignment w:val="baseline"/>
    </w:pPr>
    <w:rPr>
      <w:rFonts w:ascii="Arial" w:hAnsi="Arial" w:eastAsia="Times New Roman" w:cs="Verdana"/>
      <w:b/>
      <w:kern w:val="0"/>
      <w:sz w:val="24"/>
      <w:lang w:eastAsia="en-US"/>
    </w:rPr>
  </w:style>
  <w:style w:type="paragraph" w:customStyle="1" w:styleId="31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316">
    <w:name w:val="reader-word-layer reader-word-s3-19"/>
    <w:basedOn w:val="1"/>
    <w:qFormat/>
    <w:uiPriority w:val="0"/>
    <w:pPr>
      <w:widowControl/>
      <w:spacing w:before="100" w:beforeAutospacing="1" w:after="100" w:afterAutospacing="1"/>
      <w:jc w:val="left"/>
    </w:pPr>
    <w:rPr>
      <w:rFonts w:ascii="宋体" w:hAnsi="宋体" w:cs="宋体"/>
      <w:kern w:val="0"/>
      <w:sz w:val="24"/>
    </w:rPr>
  </w:style>
  <w:style w:type="paragraph" w:customStyle="1" w:styleId="317">
    <w:name w:val="正文 + 四号"/>
    <w:basedOn w:val="1"/>
    <w:qFormat/>
    <w:uiPriority w:val="0"/>
    <w:rPr>
      <w:b/>
      <w:sz w:val="28"/>
      <w:szCs w:val="28"/>
    </w:rPr>
  </w:style>
  <w:style w:type="paragraph" w:styleId="318">
    <w:name w:val="No Spacing"/>
    <w:qFormat/>
    <w:uiPriority w:val="0"/>
    <w:pPr>
      <w:widowControl w:val="0"/>
      <w:jc w:val="center"/>
    </w:pPr>
    <w:rPr>
      <w:rFonts w:ascii="Calibri" w:hAnsi="Calibri" w:eastAsia="宋体" w:cs="Times New Roman"/>
      <w:kern w:val="2"/>
      <w:sz w:val="21"/>
      <w:szCs w:val="22"/>
      <w:lang w:val="en-US" w:eastAsia="zh-CN" w:bidi="ar-SA"/>
    </w:rPr>
  </w:style>
  <w:style w:type="paragraph" w:customStyle="1" w:styleId="319">
    <w:name w:val="正文文本缩进 21"/>
    <w:basedOn w:val="1"/>
    <w:qFormat/>
    <w:uiPriority w:val="0"/>
    <w:pPr>
      <w:adjustRightInd w:val="0"/>
      <w:snapToGrid w:val="0"/>
      <w:spacing w:line="480" w:lineRule="exact"/>
      <w:ind w:firstLine="560" w:firstLineChars="200"/>
    </w:pPr>
    <w:rPr>
      <w:sz w:val="28"/>
    </w:rPr>
  </w:style>
  <w:style w:type="paragraph" w:customStyle="1" w:styleId="320">
    <w:name w:val="报告书正文段落"/>
    <w:basedOn w:val="1"/>
    <w:qFormat/>
    <w:uiPriority w:val="0"/>
    <w:pPr>
      <w:spacing w:line="360" w:lineRule="auto"/>
      <w:ind w:firstLine="200" w:firstLineChars="200"/>
    </w:pPr>
    <w:rPr>
      <w:rFonts w:cs="宋体"/>
      <w:snapToGrid w:val="0"/>
      <w:kern w:val="0"/>
      <w:sz w:val="24"/>
      <w:lang w:val="zh-CN"/>
    </w:rPr>
  </w:style>
  <w:style w:type="paragraph" w:customStyle="1" w:styleId="321">
    <w:name w:val="CM130"/>
    <w:basedOn w:val="220"/>
    <w:next w:val="220"/>
    <w:qFormat/>
    <w:uiPriority w:val="0"/>
    <w:pPr>
      <w:spacing w:line="626" w:lineRule="atLeast"/>
    </w:pPr>
    <w:rPr>
      <w:rFonts w:ascii="黑体" w:eastAsia="黑体" w:cs="黑体"/>
      <w:color w:val="auto"/>
    </w:rPr>
  </w:style>
  <w:style w:type="paragraph" w:customStyle="1" w:styleId="322">
    <w:name w:val="环评报告书"/>
    <w:basedOn w:val="2"/>
    <w:next w:val="3"/>
    <w:qFormat/>
    <w:uiPriority w:val="0"/>
    <w:pPr>
      <w:keepNext w:val="0"/>
      <w:keepLines w:val="0"/>
      <w:spacing w:before="120" w:after="120"/>
    </w:pPr>
    <w:rPr>
      <w:rFonts w:ascii="宋体" w:hAnsi="宋体"/>
      <w:bCs w:val="0"/>
      <w:kern w:val="0"/>
      <w:sz w:val="24"/>
      <w:szCs w:val="24"/>
    </w:rPr>
  </w:style>
  <w:style w:type="paragraph" w:customStyle="1" w:styleId="323">
    <w:name w:val="正文01"/>
    <w:basedOn w:val="1"/>
    <w:qFormat/>
    <w:uiPriority w:val="0"/>
    <w:pPr>
      <w:adjustRightInd w:val="0"/>
      <w:spacing w:line="420" w:lineRule="exact"/>
      <w:ind w:firstLine="2253" w:firstLineChars="935"/>
      <w:textAlignment w:val="baseline"/>
    </w:pPr>
    <w:rPr>
      <w:rFonts w:ascii="宋体" w:hAnsi="宋体"/>
      <w:b/>
      <w:bCs/>
      <w:color w:val="FF0000"/>
      <w:sz w:val="24"/>
      <w:u w:val="single"/>
      <w:lang w:val="en-GB"/>
    </w:rPr>
  </w:style>
  <w:style w:type="paragraph" w:customStyle="1" w:styleId="324">
    <w:name w:val="表格文字5号缩1字"/>
    <w:basedOn w:val="1"/>
    <w:qFormat/>
    <w:uiPriority w:val="0"/>
    <w:pPr>
      <w:ind w:firstLine="100" w:firstLineChars="100"/>
    </w:pPr>
    <w:rPr>
      <w:rFonts w:ascii="宋体"/>
      <w:sz w:val="28"/>
      <w:szCs w:val="28"/>
    </w:rPr>
  </w:style>
  <w:style w:type="paragraph" w:customStyle="1" w:styleId="325">
    <w:name w:val="正文修改"/>
    <w:basedOn w:val="1"/>
    <w:qFormat/>
    <w:uiPriority w:val="0"/>
    <w:pPr>
      <w:ind w:firstLine="480"/>
    </w:pPr>
    <w:rPr>
      <w:rFonts w:cs="宋体"/>
      <w:sz w:val="24"/>
    </w:rPr>
  </w:style>
  <w:style w:type="paragraph" w:customStyle="1" w:styleId="326">
    <w:name w:val="章标题"/>
    <w:next w:val="4"/>
    <w:qFormat/>
    <w:uiPriority w:val="0"/>
    <w:pPr>
      <w:tabs>
        <w:tab w:val="left" w:pos="360"/>
      </w:tabs>
      <w:spacing w:before="182" w:beforeLines="50" w:after="182" w:afterLines="50"/>
      <w:ind w:left="360" w:hanging="360"/>
      <w:jc w:val="both"/>
      <w:outlineLvl w:val="1"/>
    </w:pPr>
    <w:rPr>
      <w:rFonts w:ascii="Times New Roman" w:hAnsi="Times New Roman" w:eastAsia="黑体" w:cs="Times New Roman"/>
      <w:sz w:val="21"/>
      <w:lang w:val="en-US" w:eastAsia="zh-CN" w:bidi="ar-SA"/>
    </w:rPr>
  </w:style>
  <w:style w:type="paragraph" w:customStyle="1" w:styleId="327">
    <w:name w:val="表"/>
    <w:basedOn w:val="1"/>
    <w:qFormat/>
    <w:uiPriority w:val="0"/>
    <w:pPr>
      <w:snapToGrid w:val="0"/>
      <w:jc w:val="center"/>
    </w:pPr>
    <w:rPr>
      <w:spacing w:val="2"/>
      <w:szCs w:val="20"/>
    </w:rPr>
  </w:style>
  <w:style w:type="paragraph" w:customStyle="1" w:styleId="328">
    <w:name w:val="表字居中"/>
    <w:basedOn w:val="1"/>
    <w:qFormat/>
    <w:uiPriority w:val="0"/>
    <w:pPr>
      <w:tabs>
        <w:tab w:val="left" w:pos="3626"/>
      </w:tabs>
      <w:spacing w:line="240" w:lineRule="exact"/>
      <w:jc w:val="center"/>
    </w:pPr>
    <w:rPr>
      <w:sz w:val="18"/>
      <w:szCs w:val="18"/>
    </w:rPr>
  </w:style>
  <w:style w:type="paragraph" w:customStyle="1" w:styleId="329">
    <w:name w:val="表格字体"/>
    <w:basedOn w:val="1"/>
    <w:qFormat/>
    <w:uiPriority w:val="0"/>
    <w:pPr>
      <w:widowControl/>
      <w:jc w:val="center"/>
    </w:pPr>
  </w:style>
  <w:style w:type="paragraph" w:customStyle="1" w:styleId="330">
    <w:name w:val="图、表标题"/>
    <w:basedOn w:val="1"/>
    <w:qFormat/>
    <w:uiPriority w:val="0"/>
    <w:pPr>
      <w:jc w:val="center"/>
    </w:pPr>
    <w:rPr>
      <w:rFonts w:cs="Times New Roman"/>
      <w:b/>
      <w:sz w:val="21"/>
    </w:rPr>
  </w:style>
  <w:style w:type="paragraph" w:customStyle="1" w:styleId="331">
    <w:name w:val="正文缩进小四"/>
    <w:basedOn w:val="1"/>
    <w:qFormat/>
    <w:uiPriority w:val="0"/>
    <w:pPr>
      <w:spacing w:line="360" w:lineRule="auto"/>
      <w:ind w:firstLine="200" w:firstLineChars="200"/>
    </w:pPr>
    <w:rPr>
      <w:sz w:val="24"/>
      <w:szCs w:val="28"/>
    </w:rPr>
  </w:style>
  <w:style w:type="paragraph" w:customStyle="1" w:styleId="332">
    <w:name w:val="样式 评2级 + 段前: 0.5 行 段后: 0.5 行"/>
    <w:basedOn w:val="95"/>
    <w:qFormat/>
    <w:uiPriority w:val="0"/>
    <w:rPr>
      <w:rFonts w:ascii="华文细黑" w:hAnsi="华文细黑" w:cs="宋体"/>
      <w:szCs w:val="32"/>
    </w:rPr>
  </w:style>
  <w:style w:type="paragraph" w:customStyle="1" w:styleId="333">
    <w:name w:val="正文 32"/>
    <w:basedOn w:val="1"/>
    <w:qFormat/>
    <w:uiPriority w:val="0"/>
    <w:pPr>
      <w:autoSpaceDE w:val="0"/>
      <w:autoSpaceDN w:val="0"/>
      <w:adjustRightInd w:val="0"/>
      <w:spacing w:line="300" w:lineRule="auto"/>
      <w:ind w:firstLine="567"/>
      <w:textAlignment w:val="baseline"/>
    </w:pPr>
    <w:rPr>
      <w:rFonts w:eastAsia="楷体_GB2312"/>
      <w:kern w:val="0"/>
      <w:sz w:val="24"/>
      <w:szCs w:val="20"/>
    </w:rPr>
  </w:style>
  <w:style w:type="paragraph" w:customStyle="1" w:styleId="334">
    <w:name w:val="环评标题2"/>
    <w:basedOn w:val="1"/>
    <w:qFormat/>
    <w:uiPriority w:val="0"/>
    <w:pPr>
      <w:spacing w:line="500" w:lineRule="exact"/>
      <w:outlineLvl w:val="1"/>
    </w:pPr>
    <w:rPr>
      <w:rFonts w:hAnsi="宋体" w:eastAsia="Times New Roman"/>
      <w:b/>
      <w:bCs/>
      <w:spacing w:val="6"/>
      <w:sz w:val="24"/>
    </w:rPr>
  </w:style>
  <w:style w:type="paragraph" w:customStyle="1" w:styleId="335">
    <w:name w:val="表中文字"/>
    <w:basedOn w:val="1"/>
    <w:qFormat/>
    <w:uiPriority w:val="0"/>
    <w:pPr>
      <w:adjustRightInd w:val="0"/>
      <w:snapToGrid w:val="0"/>
      <w:jc w:val="center"/>
    </w:pPr>
    <w:rPr>
      <w:szCs w:val="21"/>
    </w:rPr>
  </w:style>
  <w:style w:type="paragraph" w:customStyle="1" w:styleId="336">
    <w:name w:val="1表格"/>
    <w:basedOn w:val="1"/>
    <w:qFormat/>
    <w:uiPriority w:val="0"/>
    <w:pPr>
      <w:snapToGrid w:val="0"/>
      <w:jc w:val="center"/>
    </w:pPr>
    <w:rPr>
      <w:sz w:val="18"/>
      <w:szCs w:val="20"/>
    </w:rPr>
  </w:style>
  <w:style w:type="paragraph" w:customStyle="1" w:styleId="337">
    <w:name w:val="评3级"/>
    <w:basedOn w:val="1"/>
    <w:qFormat/>
    <w:uiPriority w:val="0"/>
    <w:pPr>
      <w:spacing w:line="560" w:lineRule="exact"/>
      <w:ind w:firstLine="560" w:firstLineChars="200"/>
      <w:jc w:val="left"/>
    </w:pPr>
    <w:rPr>
      <w:rFonts w:ascii="宋体" w:hAnsi="宋体"/>
      <w:color w:val="000000"/>
      <w:sz w:val="28"/>
      <w:szCs w:val="28"/>
    </w:rPr>
  </w:style>
  <w:style w:type="paragraph" w:customStyle="1" w:styleId="338">
    <w:name w:val="样式13 New"/>
    <w:basedOn w:val="1"/>
    <w:qFormat/>
    <w:uiPriority w:val="0"/>
    <w:pPr>
      <w:jc w:val="center"/>
    </w:pPr>
    <w:rPr>
      <w:sz w:val="18"/>
      <w:szCs w:val="18"/>
    </w:rPr>
  </w:style>
  <w:style w:type="paragraph" w:customStyle="1" w:styleId="339">
    <w:name w:val="表头 Char Char1"/>
    <w:basedOn w:val="1"/>
    <w:qFormat/>
    <w:uiPriority w:val="0"/>
    <w:pPr>
      <w:tabs>
        <w:tab w:val="left" w:pos="1021"/>
      </w:tabs>
      <w:spacing w:before="48" w:beforeLines="20" w:after="120" w:line="240" w:lineRule="exact"/>
      <w:jc w:val="center"/>
    </w:pPr>
    <w:rPr>
      <w:rFonts w:ascii="宋体" w:hAnsi="宋体"/>
      <w:b/>
      <w:kern w:val="24"/>
      <w:sz w:val="24"/>
    </w:rPr>
  </w:style>
  <w:style w:type="paragraph" w:customStyle="1" w:styleId="340">
    <w:name w:val=" Char2"/>
    <w:basedOn w:val="1"/>
    <w:semiHidden/>
    <w:qFormat/>
    <w:uiPriority w:val="0"/>
    <w:pPr>
      <w:spacing w:line="360" w:lineRule="auto"/>
      <w:ind w:firstLine="200" w:firstLineChars="200"/>
    </w:pPr>
    <w:rPr>
      <w:rFonts w:ascii="宋体" w:hAnsi="宋体" w:cs="宋体"/>
      <w:sz w:val="24"/>
    </w:rPr>
  </w:style>
  <w:style w:type="paragraph" w:customStyle="1" w:styleId="341">
    <w:name w:val="特殊标题３"/>
    <w:basedOn w:val="1"/>
    <w:qFormat/>
    <w:uiPriority w:val="0"/>
    <w:pPr>
      <w:overflowPunct w:val="0"/>
      <w:autoSpaceDE w:val="0"/>
      <w:autoSpaceDN w:val="0"/>
      <w:adjustRightInd w:val="0"/>
      <w:spacing w:line="360" w:lineRule="auto"/>
      <w:textAlignment w:val="baseline"/>
    </w:pPr>
    <w:rPr>
      <w:rFonts w:eastAsia="仿宋_GB2312"/>
      <w:kern w:val="0"/>
      <w:sz w:val="28"/>
      <w:szCs w:val="28"/>
    </w:rPr>
  </w:style>
  <w:style w:type="paragraph" w:customStyle="1" w:styleId="342">
    <w:name w:val=" Char Char Char Char Char Char Char Char Char Char Char1 Char"/>
    <w:basedOn w:val="1"/>
    <w:qFormat/>
    <w:uiPriority w:val="0"/>
    <w:rPr>
      <w:sz w:val="24"/>
      <w:szCs w:val="20"/>
    </w:rPr>
  </w:style>
  <w:style w:type="paragraph" w:customStyle="1" w:styleId="343">
    <w:name w:val="标题2"/>
    <w:basedOn w:val="42"/>
    <w:qFormat/>
    <w:uiPriority w:val="0"/>
    <w:pPr>
      <w:adjustRightInd w:val="0"/>
      <w:snapToGrid w:val="0"/>
      <w:spacing w:line="360" w:lineRule="auto"/>
      <w:ind w:firstLine="0"/>
    </w:pPr>
    <w:rPr>
      <w:rFonts w:ascii="宋体" w:hAnsi="Arial" w:cs="宋体"/>
      <w:b/>
      <w:bCs/>
    </w:rPr>
  </w:style>
  <w:style w:type="paragraph" w:customStyle="1" w:styleId="344">
    <w:name w:val="CM133"/>
    <w:basedOn w:val="220"/>
    <w:next w:val="220"/>
    <w:qFormat/>
    <w:uiPriority w:val="0"/>
    <w:pPr>
      <w:spacing w:after="130"/>
    </w:pPr>
    <w:rPr>
      <w:rFonts w:ascii="黑体" w:eastAsia="黑体" w:cs="黑体"/>
      <w:color w:val="auto"/>
    </w:rPr>
  </w:style>
  <w:style w:type="paragraph" w:customStyle="1" w:styleId="345">
    <w:name w:val="CM136"/>
    <w:basedOn w:val="220"/>
    <w:next w:val="220"/>
    <w:qFormat/>
    <w:uiPriority w:val="0"/>
    <w:pPr>
      <w:spacing w:after="368"/>
    </w:pPr>
    <w:rPr>
      <w:rFonts w:ascii="黑体" w:eastAsia="黑体" w:cs="黑体"/>
      <w:color w:val="auto"/>
    </w:rPr>
  </w:style>
  <w:style w:type="paragraph" w:customStyle="1" w:styleId="346">
    <w:name w:val="p0"/>
    <w:basedOn w:val="1"/>
    <w:qFormat/>
    <w:uiPriority w:val="0"/>
    <w:pPr>
      <w:widowControl/>
    </w:pPr>
    <w:rPr>
      <w:kern w:val="0"/>
      <w:szCs w:val="20"/>
    </w:rPr>
  </w:style>
  <w:style w:type="paragraph" w:customStyle="1" w:styleId="347">
    <w:name w:val="xl26"/>
    <w:basedOn w:val="1"/>
    <w:qFormat/>
    <w:uiPriority w:val="0"/>
    <w:pPr>
      <w:widowControl/>
      <w:pBdr>
        <w:bottom w:val="single" w:color="auto" w:sz="4" w:space="0"/>
        <w:right w:val="single" w:color="auto" w:sz="4" w:space="0"/>
      </w:pBdr>
      <w:spacing w:before="100" w:beforeAutospacing="1" w:after="100" w:afterAutospacing="1"/>
      <w:jc w:val="center"/>
    </w:pPr>
    <w:rPr>
      <w:kern w:val="0"/>
      <w:szCs w:val="21"/>
    </w:rPr>
  </w:style>
  <w:style w:type="paragraph" w:customStyle="1" w:styleId="348">
    <w:name w:val="Char Char Char"/>
    <w:basedOn w:val="21"/>
    <w:qFormat/>
    <w:uiPriority w:val="0"/>
    <w:pPr>
      <w:adjustRightInd w:val="0"/>
      <w:spacing w:line="436" w:lineRule="exact"/>
      <w:ind w:left="357"/>
      <w:jc w:val="left"/>
      <w:outlineLvl w:val="3"/>
    </w:pPr>
    <w:rPr>
      <w:rFonts w:ascii="Tahoma" w:hAnsi="Tahoma"/>
      <w:b/>
      <w:sz w:val="44"/>
    </w:rPr>
  </w:style>
  <w:style w:type="paragraph" w:customStyle="1" w:styleId="349">
    <w:name w:val="表格文字5号对中"/>
    <w:basedOn w:val="1"/>
    <w:qFormat/>
    <w:uiPriority w:val="0"/>
    <w:pPr>
      <w:jc w:val="center"/>
    </w:pPr>
    <w:rPr>
      <w:rFonts w:ascii="宋体"/>
      <w:sz w:val="28"/>
      <w:szCs w:val="28"/>
    </w:rPr>
  </w:style>
  <w:style w:type="paragraph" w:customStyle="1" w:styleId="350">
    <w:name w:val="表头zhanghuan"/>
    <w:basedOn w:val="1"/>
    <w:qFormat/>
    <w:uiPriority w:val="0"/>
    <w:pPr>
      <w:widowControl/>
      <w:spacing w:line="360" w:lineRule="auto"/>
      <w:jc w:val="center"/>
    </w:pPr>
    <w:rPr>
      <w:rFonts w:ascii="黑体" w:hAnsi="黑体" w:eastAsia="黑体" w:cs="宋体"/>
      <w:kern w:val="0"/>
      <w:sz w:val="24"/>
      <w:szCs w:val="20"/>
      <w:lang w:bidi="en-US"/>
    </w:rPr>
  </w:style>
  <w:style w:type="paragraph" w:customStyle="1" w:styleId="351">
    <w:name w:val="reader-word-layer reader-word-s3-34"/>
    <w:basedOn w:val="1"/>
    <w:qFormat/>
    <w:uiPriority w:val="0"/>
    <w:pPr>
      <w:widowControl/>
      <w:spacing w:before="100" w:beforeAutospacing="1" w:after="100" w:afterAutospacing="1"/>
      <w:jc w:val="left"/>
    </w:pPr>
    <w:rPr>
      <w:rFonts w:ascii="宋体" w:hAnsi="宋体" w:cs="宋体"/>
      <w:kern w:val="0"/>
      <w:sz w:val="24"/>
    </w:rPr>
  </w:style>
  <w:style w:type="table" w:customStyle="1" w:styleId="352">
    <w:name w:val="网格型1"/>
    <w:basedOn w:val="53"/>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3">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354">
    <w:name w:val="AAAAA报告书四级标题"/>
    <w:next w:val="1"/>
    <w:qFormat/>
    <w:uiPriority w:val="0"/>
    <w:pPr>
      <w:widowControl/>
      <w:spacing w:before="20" w:beforeLines="20" w:after="20" w:afterLines="20" w:line="360" w:lineRule="auto"/>
      <w:ind w:firstLine="0" w:firstLineChars="0"/>
      <w:jc w:val="left"/>
      <w:outlineLvl w:val="3"/>
    </w:pPr>
    <w:rPr>
      <w:rFonts w:ascii="Times New Roman" w:hAnsi="Times New Roman" w:eastAsia="宋体" w:cs="Times New Roman"/>
      <w:b/>
      <w:snapToGrid w:val="0"/>
      <w:color w:val="000000"/>
      <w:sz w:val="24"/>
      <w:szCs w:val="24"/>
    </w:rPr>
  </w:style>
  <w:style w:type="paragraph" w:customStyle="1" w:styleId="355">
    <w:name w:val="lyx表头"/>
    <w:basedOn w:val="356"/>
    <w:qFormat/>
    <w:uiPriority w:val="0"/>
    <w:pPr>
      <w:spacing w:line="500" w:lineRule="exact"/>
      <w:ind w:firstLine="0" w:firstLineChars="0"/>
    </w:pPr>
    <w:rPr>
      <w:rFonts w:eastAsia="黑体" w:cs="Times New Roman"/>
      <w:color w:val="000000"/>
    </w:rPr>
  </w:style>
  <w:style w:type="paragraph" w:customStyle="1" w:styleId="356">
    <w:name w:val="表字1"/>
    <w:basedOn w:val="1"/>
    <w:semiHidden/>
    <w:qFormat/>
    <w:uiPriority w:val="0"/>
    <w:pPr>
      <w:widowControl/>
      <w:jc w:val="center"/>
      <w:textAlignment w:val="baseline"/>
    </w:pPr>
    <w:rPr>
      <w:rFonts w:ascii="宋体" w:hAnsi="宋体" w:cs="宋体"/>
      <w:kern w:val="0"/>
      <w:szCs w:val="20"/>
    </w:rPr>
  </w:style>
  <w:style w:type="paragraph" w:customStyle="1" w:styleId="357">
    <w:name w:val="首行"/>
    <w:basedOn w:val="1"/>
    <w:qFormat/>
    <w:uiPriority w:val="0"/>
    <w:pPr>
      <w:ind w:firstLine="200" w:firstLineChars="200"/>
    </w:pPr>
    <w:rPr>
      <w:rFonts w:eastAsia="宋体" w:cs="Times New Roman"/>
    </w:rPr>
  </w:style>
  <w:style w:type="paragraph" w:customStyle="1" w:styleId="358">
    <w:name w:val="表内图内"/>
    <w:basedOn w:val="1"/>
    <w:qFormat/>
    <w:uiPriority w:val="0"/>
    <w:pPr>
      <w:keepNext w:val="0"/>
      <w:keepLines w:val="0"/>
      <w:widowControl/>
      <w:suppressLineNumbers w:val="0"/>
      <w:adjustRightInd w:val="0"/>
      <w:spacing w:before="0" w:beforeAutospacing="0" w:after="0" w:afterAutospacing="0"/>
      <w:ind w:left="0" w:right="0"/>
      <w:jc w:val="left"/>
    </w:pPr>
    <w:rPr>
      <w:rFonts w:hint="default" w:ascii="Times New Roman" w:hAnsi="Times New Roman" w:eastAsia="宋体" w:cs="Times New Roman"/>
      <w:b/>
      <w:kern w:val="2"/>
      <w:sz w:val="28"/>
      <w:szCs w:val="22"/>
      <w:lang w:val="en-US" w:eastAsia="zh-CN" w:bidi="ar"/>
    </w:rPr>
  </w:style>
  <w:style w:type="paragraph" w:customStyle="1" w:styleId="359">
    <w:name w:val="正文格式"/>
    <w:basedOn w:val="360"/>
    <w:qFormat/>
    <w:uiPriority w:val="0"/>
    <w:pPr>
      <w:ind w:firstLine="560" w:firstLineChars="200"/>
    </w:pPr>
    <w:rPr>
      <w:rFonts w:eastAsia="宋体" w:cs="Times New Roman"/>
      <w:color w:val="000000"/>
      <w:sz w:val="28"/>
      <w:szCs w:val="28"/>
    </w:rPr>
  </w:style>
  <w:style w:type="paragraph" w:customStyle="1" w:styleId="360">
    <w:name w:val="1056正文"/>
    <w:qFormat/>
    <w:uiPriority w:val="0"/>
    <w:pPr>
      <w:widowControl w:val="0"/>
      <w:spacing w:line="360" w:lineRule="auto"/>
      <w:ind w:firstLine="560" w:firstLineChars="200"/>
      <w:jc w:val="both"/>
    </w:pPr>
    <w:rPr>
      <w:rFonts w:ascii="宋体" w:hAnsi="宋体" w:eastAsia="等线" w:cs="Times New Roman"/>
      <w:bCs/>
      <w:color w:val="000000"/>
      <w:kern w:val="2"/>
      <w:sz w:val="28"/>
      <w:szCs w:val="28"/>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65.jpeg"/><Relationship Id="rId98" Type="http://schemas.openxmlformats.org/officeDocument/2006/relationships/image" Target="media/image64.jpeg"/><Relationship Id="rId97" Type="http://schemas.openxmlformats.org/officeDocument/2006/relationships/image" Target="media/image63.png"/><Relationship Id="rId96" Type="http://schemas.openxmlformats.org/officeDocument/2006/relationships/image" Target="media/image62.jpeg"/><Relationship Id="rId95" Type="http://schemas.openxmlformats.org/officeDocument/2006/relationships/image" Target="media/image61.jpeg"/><Relationship Id="rId94" Type="http://schemas.openxmlformats.org/officeDocument/2006/relationships/image" Target="media/image60.jpeg"/><Relationship Id="rId93" Type="http://schemas.openxmlformats.org/officeDocument/2006/relationships/image" Target="media/image59.jpeg"/><Relationship Id="rId92" Type="http://schemas.openxmlformats.org/officeDocument/2006/relationships/image" Target="media/image58.jpeg"/><Relationship Id="rId91" Type="http://schemas.openxmlformats.org/officeDocument/2006/relationships/image" Target="media/image57.jpeg"/><Relationship Id="rId90" Type="http://schemas.openxmlformats.org/officeDocument/2006/relationships/image" Target="media/image56.jpeg"/><Relationship Id="rId9" Type="http://schemas.openxmlformats.org/officeDocument/2006/relationships/footer" Target="footer5.xml"/><Relationship Id="rId89" Type="http://schemas.openxmlformats.org/officeDocument/2006/relationships/image" Target="media/image55.jpeg"/><Relationship Id="rId88" Type="http://schemas.openxmlformats.org/officeDocument/2006/relationships/image" Target="media/image54.png"/><Relationship Id="rId87" Type="http://schemas.openxmlformats.org/officeDocument/2006/relationships/image" Target="media/image53.wmf"/><Relationship Id="rId86" Type="http://schemas.openxmlformats.org/officeDocument/2006/relationships/oleObject" Target="embeddings/oleObject11.bin"/><Relationship Id="rId85" Type="http://schemas.openxmlformats.org/officeDocument/2006/relationships/image" Target="media/image52.png"/><Relationship Id="rId84" Type="http://schemas.openxmlformats.org/officeDocument/2006/relationships/image" Target="media/image51.wmf"/><Relationship Id="rId83" Type="http://schemas.openxmlformats.org/officeDocument/2006/relationships/oleObject" Target="embeddings/oleObject10.bin"/><Relationship Id="rId82" Type="http://schemas.openxmlformats.org/officeDocument/2006/relationships/image" Target="media/image50.png"/><Relationship Id="rId81" Type="http://schemas.openxmlformats.org/officeDocument/2006/relationships/image" Target="media/image49.jpeg"/><Relationship Id="rId80" Type="http://schemas.openxmlformats.org/officeDocument/2006/relationships/image" Target="media/image48.jpeg"/><Relationship Id="rId8" Type="http://schemas.openxmlformats.org/officeDocument/2006/relationships/footer" Target="footer4.xml"/><Relationship Id="rId79" Type="http://schemas.openxmlformats.org/officeDocument/2006/relationships/image" Target="media/image47.png"/><Relationship Id="rId78" Type="http://schemas.openxmlformats.org/officeDocument/2006/relationships/image" Target="media/image46.png"/><Relationship Id="rId77" Type="http://schemas.openxmlformats.org/officeDocument/2006/relationships/image" Target="media/image45.png"/><Relationship Id="rId76" Type="http://schemas.openxmlformats.org/officeDocument/2006/relationships/image" Target="media/image44.png"/><Relationship Id="rId75" Type="http://schemas.openxmlformats.org/officeDocument/2006/relationships/image" Target="media/image43.png"/><Relationship Id="rId74" Type="http://schemas.openxmlformats.org/officeDocument/2006/relationships/image" Target="media/image42.wmf"/><Relationship Id="rId73" Type="http://schemas.openxmlformats.org/officeDocument/2006/relationships/oleObject" Target="embeddings/oleObject9.bin"/><Relationship Id="rId72" Type="http://schemas.openxmlformats.org/officeDocument/2006/relationships/image" Target="media/image41.wmf"/><Relationship Id="rId71" Type="http://schemas.openxmlformats.org/officeDocument/2006/relationships/oleObject" Target="embeddings/oleObject8.bin"/><Relationship Id="rId70" Type="http://schemas.openxmlformats.org/officeDocument/2006/relationships/image" Target="media/image40.wmf"/><Relationship Id="rId7" Type="http://schemas.openxmlformats.org/officeDocument/2006/relationships/footer" Target="footer3.xml"/><Relationship Id="rId69" Type="http://schemas.openxmlformats.org/officeDocument/2006/relationships/oleObject" Target="embeddings/oleObject7.bin"/><Relationship Id="rId68" Type="http://schemas.openxmlformats.org/officeDocument/2006/relationships/image" Target="media/image39.wmf"/><Relationship Id="rId67" Type="http://schemas.openxmlformats.org/officeDocument/2006/relationships/oleObject" Target="embeddings/oleObject6.bin"/><Relationship Id="rId66" Type="http://schemas.openxmlformats.org/officeDocument/2006/relationships/image" Target="media/image38.emf"/><Relationship Id="rId65" Type="http://schemas.openxmlformats.org/officeDocument/2006/relationships/oleObject" Target="embeddings/oleObject5.bin"/><Relationship Id="rId64" Type="http://schemas.openxmlformats.org/officeDocument/2006/relationships/image" Target="media/image37.wmf"/><Relationship Id="rId63" Type="http://schemas.openxmlformats.org/officeDocument/2006/relationships/oleObject" Target="embeddings/oleObject4.bin"/><Relationship Id="rId62" Type="http://schemas.openxmlformats.org/officeDocument/2006/relationships/image" Target="media/image36.wmf"/><Relationship Id="rId61" Type="http://schemas.openxmlformats.org/officeDocument/2006/relationships/oleObject" Target="embeddings/oleObject3.bin"/><Relationship Id="rId60" Type="http://schemas.openxmlformats.org/officeDocument/2006/relationships/image" Target="media/image35.jpeg"/><Relationship Id="rId6" Type="http://schemas.openxmlformats.org/officeDocument/2006/relationships/footer" Target="footer2.xml"/><Relationship Id="rId59" Type="http://schemas.openxmlformats.org/officeDocument/2006/relationships/image" Target="media/image34.png"/><Relationship Id="rId58" Type="http://schemas.openxmlformats.org/officeDocument/2006/relationships/image" Target="media/image33.jpeg"/><Relationship Id="rId57" Type="http://schemas.openxmlformats.org/officeDocument/2006/relationships/image" Target="media/image32.jpeg"/><Relationship Id="rId56" Type="http://schemas.openxmlformats.org/officeDocument/2006/relationships/image" Target="media/image31.png"/><Relationship Id="rId55" Type="http://schemas.openxmlformats.org/officeDocument/2006/relationships/image" Target="media/image30.png"/><Relationship Id="rId54" Type="http://schemas.openxmlformats.org/officeDocument/2006/relationships/image" Target="media/image29.png"/><Relationship Id="rId53" Type="http://schemas.openxmlformats.org/officeDocument/2006/relationships/image" Target="media/image28.emf"/><Relationship Id="rId52" Type="http://schemas.openxmlformats.org/officeDocument/2006/relationships/oleObject" Target="embeddings/oleObject2.bin"/><Relationship Id="rId51" Type="http://schemas.openxmlformats.org/officeDocument/2006/relationships/image" Target="media/image27.emf"/><Relationship Id="rId50" Type="http://schemas.openxmlformats.org/officeDocument/2006/relationships/oleObject" Target="embeddings/oleObject1.bin"/><Relationship Id="rId5" Type="http://schemas.openxmlformats.org/officeDocument/2006/relationships/header" Target="header2.xml"/><Relationship Id="rId49" Type="http://schemas.openxmlformats.org/officeDocument/2006/relationships/image" Target="media/image26.png"/><Relationship Id="rId48" Type="http://schemas.openxmlformats.org/officeDocument/2006/relationships/image" Target="media/image25.png"/><Relationship Id="rId47" Type="http://schemas.openxmlformats.org/officeDocument/2006/relationships/image" Target="media/image24.png"/><Relationship Id="rId46" Type="http://schemas.openxmlformats.org/officeDocument/2006/relationships/image" Target="media/image23.png"/><Relationship Id="rId45" Type="http://schemas.openxmlformats.org/officeDocument/2006/relationships/image" Target="media/image22.png"/><Relationship Id="rId44" Type="http://schemas.openxmlformats.org/officeDocument/2006/relationships/image" Target="media/image21.jpeg"/><Relationship Id="rId43" Type="http://schemas.openxmlformats.org/officeDocument/2006/relationships/image" Target="media/image20.png"/><Relationship Id="rId42" Type="http://schemas.openxmlformats.org/officeDocument/2006/relationships/image" Target="media/image19.jpeg"/><Relationship Id="rId41" Type="http://schemas.openxmlformats.org/officeDocument/2006/relationships/image" Target="media/image18.png"/><Relationship Id="rId40" Type="http://schemas.openxmlformats.org/officeDocument/2006/relationships/image" Target="media/image17.jpeg"/><Relationship Id="rId4" Type="http://schemas.openxmlformats.org/officeDocument/2006/relationships/footer" Target="footer1.xml"/><Relationship Id="rId39" Type="http://schemas.openxmlformats.org/officeDocument/2006/relationships/image" Target="media/image16.png"/><Relationship Id="rId38" Type="http://schemas.openxmlformats.org/officeDocument/2006/relationships/image" Target="media/image15.jpeg"/><Relationship Id="rId37" Type="http://schemas.openxmlformats.org/officeDocument/2006/relationships/image" Target="media/image14.png"/><Relationship Id="rId36" Type="http://schemas.openxmlformats.org/officeDocument/2006/relationships/image" Target="media/image13.jpeg"/><Relationship Id="rId35" Type="http://schemas.openxmlformats.org/officeDocument/2006/relationships/image" Target="media/image12.png"/><Relationship Id="rId34" Type="http://schemas.openxmlformats.org/officeDocument/2006/relationships/image" Target="media/image11.jpeg"/><Relationship Id="rId33" Type="http://schemas.openxmlformats.org/officeDocument/2006/relationships/image" Target="media/image10.png"/><Relationship Id="rId32" Type="http://schemas.openxmlformats.org/officeDocument/2006/relationships/image" Target="media/image9.jpeg"/><Relationship Id="rId31" Type="http://schemas.openxmlformats.org/officeDocument/2006/relationships/image" Target="media/image8.png"/><Relationship Id="rId30" Type="http://schemas.openxmlformats.org/officeDocument/2006/relationships/image" Target="media/image7.jpeg"/><Relationship Id="rId3" Type="http://schemas.openxmlformats.org/officeDocument/2006/relationships/header" Target="header1.xml"/><Relationship Id="rId29" Type="http://schemas.openxmlformats.org/officeDocument/2006/relationships/image" Target="media/image6.png"/><Relationship Id="rId28" Type="http://schemas.openxmlformats.org/officeDocument/2006/relationships/image" Target="media/image5.png"/><Relationship Id="rId27" Type="http://schemas.openxmlformats.org/officeDocument/2006/relationships/image" Target="media/image4.png"/><Relationship Id="rId26" Type="http://schemas.openxmlformats.org/officeDocument/2006/relationships/image" Target="media/image3.png"/><Relationship Id="rId25" Type="http://schemas.openxmlformats.org/officeDocument/2006/relationships/image" Target="media/image2.emf"/><Relationship Id="rId24" Type="http://schemas.openxmlformats.org/officeDocument/2006/relationships/image" Target="media/image1.jpeg"/><Relationship Id="rId23" Type="http://schemas.openxmlformats.org/officeDocument/2006/relationships/theme" Target="theme/theme1.xml"/><Relationship Id="rId223" Type="http://schemas.openxmlformats.org/officeDocument/2006/relationships/fontTable" Target="fontTable.xml"/><Relationship Id="rId222" Type="http://schemas.openxmlformats.org/officeDocument/2006/relationships/customXml" Target="../customXml/item2.xml"/><Relationship Id="rId221" Type="http://schemas.openxmlformats.org/officeDocument/2006/relationships/numbering" Target="numbering.xml"/><Relationship Id="rId220" Type="http://schemas.openxmlformats.org/officeDocument/2006/relationships/customXml" Target="../customXml/item1.xml"/><Relationship Id="rId22" Type="http://schemas.openxmlformats.org/officeDocument/2006/relationships/footer" Target="footer16.xml"/><Relationship Id="rId219" Type="http://schemas.openxmlformats.org/officeDocument/2006/relationships/image" Target="media/image157.png"/><Relationship Id="rId218" Type="http://schemas.openxmlformats.org/officeDocument/2006/relationships/image" Target="media/image156.png"/><Relationship Id="rId217" Type="http://schemas.openxmlformats.org/officeDocument/2006/relationships/image" Target="media/image155.png"/><Relationship Id="rId216" Type="http://schemas.openxmlformats.org/officeDocument/2006/relationships/hyperlink" Target="http://www.biaozhi.net/eNews/news/200602/0029_0000000910.shtml" TargetMode="External"/><Relationship Id="rId215" Type="http://schemas.openxmlformats.org/officeDocument/2006/relationships/image" Target="media/image154.png"/><Relationship Id="rId214" Type="http://schemas.openxmlformats.org/officeDocument/2006/relationships/hyperlink" Target="http://www.biaozhi.net/eNews/news/200602/0029_0000000909.shtml" TargetMode="External"/><Relationship Id="rId213" Type="http://schemas.openxmlformats.org/officeDocument/2006/relationships/image" Target="media/image153.png"/><Relationship Id="rId212" Type="http://schemas.openxmlformats.org/officeDocument/2006/relationships/image" Target="media/image152.png"/><Relationship Id="rId211" Type="http://schemas.openxmlformats.org/officeDocument/2006/relationships/image" Target="media/image151.png"/><Relationship Id="rId210" Type="http://schemas.openxmlformats.org/officeDocument/2006/relationships/image" Target="media/image150.png"/><Relationship Id="rId21" Type="http://schemas.openxmlformats.org/officeDocument/2006/relationships/footer" Target="footer15.xml"/><Relationship Id="rId209" Type="http://schemas.openxmlformats.org/officeDocument/2006/relationships/image" Target="media/image149.emf"/><Relationship Id="rId208" Type="http://schemas.openxmlformats.org/officeDocument/2006/relationships/oleObject" Target="embeddings/oleObject32.bin"/><Relationship Id="rId207" Type="http://schemas.openxmlformats.org/officeDocument/2006/relationships/image" Target="media/image148.png"/><Relationship Id="rId206" Type="http://schemas.openxmlformats.org/officeDocument/2006/relationships/image" Target="media/image147.png"/><Relationship Id="rId205" Type="http://schemas.openxmlformats.org/officeDocument/2006/relationships/image" Target="media/image146.png"/><Relationship Id="rId204" Type="http://schemas.openxmlformats.org/officeDocument/2006/relationships/image" Target="media/image145.png"/><Relationship Id="rId203" Type="http://schemas.openxmlformats.org/officeDocument/2006/relationships/image" Target="media/image144.png"/><Relationship Id="rId202" Type="http://schemas.openxmlformats.org/officeDocument/2006/relationships/image" Target="media/image143.png"/><Relationship Id="rId201" Type="http://schemas.openxmlformats.org/officeDocument/2006/relationships/image" Target="media/image142.png"/><Relationship Id="rId200" Type="http://schemas.openxmlformats.org/officeDocument/2006/relationships/image" Target="media/image141.png"/><Relationship Id="rId20" Type="http://schemas.openxmlformats.org/officeDocument/2006/relationships/header" Target="header4.xml"/><Relationship Id="rId2" Type="http://schemas.openxmlformats.org/officeDocument/2006/relationships/settings" Target="settings.xml"/><Relationship Id="rId199" Type="http://schemas.openxmlformats.org/officeDocument/2006/relationships/image" Target="media/image140.png"/><Relationship Id="rId198" Type="http://schemas.openxmlformats.org/officeDocument/2006/relationships/image" Target="media/image139.png"/><Relationship Id="rId197" Type="http://schemas.openxmlformats.org/officeDocument/2006/relationships/image" Target="media/image138.png"/><Relationship Id="rId196" Type="http://schemas.openxmlformats.org/officeDocument/2006/relationships/image" Target="media/image137.png"/><Relationship Id="rId195" Type="http://schemas.openxmlformats.org/officeDocument/2006/relationships/image" Target="media/image136.jpeg"/><Relationship Id="rId194" Type="http://schemas.openxmlformats.org/officeDocument/2006/relationships/image" Target="media/image135.wmf"/><Relationship Id="rId193" Type="http://schemas.openxmlformats.org/officeDocument/2006/relationships/oleObject" Target="embeddings/oleObject31.bin"/><Relationship Id="rId192" Type="http://schemas.openxmlformats.org/officeDocument/2006/relationships/image" Target="media/image134.wmf"/><Relationship Id="rId191" Type="http://schemas.openxmlformats.org/officeDocument/2006/relationships/oleObject" Target="embeddings/oleObject30.bin"/><Relationship Id="rId190" Type="http://schemas.openxmlformats.org/officeDocument/2006/relationships/image" Target="media/image133.wmf"/><Relationship Id="rId19" Type="http://schemas.openxmlformats.org/officeDocument/2006/relationships/footer" Target="footer14.xml"/><Relationship Id="rId189" Type="http://schemas.openxmlformats.org/officeDocument/2006/relationships/oleObject" Target="embeddings/oleObject29.bin"/><Relationship Id="rId188" Type="http://schemas.openxmlformats.org/officeDocument/2006/relationships/image" Target="media/image132.wmf"/><Relationship Id="rId187" Type="http://schemas.openxmlformats.org/officeDocument/2006/relationships/oleObject" Target="embeddings/oleObject28.bin"/><Relationship Id="rId186" Type="http://schemas.openxmlformats.org/officeDocument/2006/relationships/image" Target="media/image131.wmf"/><Relationship Id="rId185" Type="http://schemas.openxmlformats.org/officeDocument/2006/relationships/oleObject" Target="embeddings/oleObject27.bin"/><Relationship Id="rId184" Type="http://schemas.openxmlformats.org/officeDocument/2006/relationships/image" Target="media/image130.png"/><Relationship Id="rId183" Type="http://schemas.openxmlformats.org/officeDocument/2006/relationships/image" Target="media/image129.png"/><Relationship Id="rId182" Type="http://schemas.openxmlformats.org/officeDocument/2006/relationships/image" Target="media/image128.png"/><Relationship Id="rId181" Type="http://schemas.openxmlformats.org/officeDocument/2006/relationships/image" Target="media/image127.png"/><Relationship Id="rId180" Type="http://schemas.openxmlformats.org/officeDocument/2006/relationships/image" Target="media/image126.png"/><Relationship Id="rId18" Type="http://schemas.openxmlformats.org/officeDocument/2006/relationships/header" Target="header3.xml"/><Relationship Id="rId179" Type="http://schemas.openxmlformats.org/officeDocument/2006/relationships/image" Target="media/image125.png"/><Relationship Id="rId178" Type="http://schemas.openxmlformats.org/officeDocument/2006/relationships/image" Target="media/image124.png"/><Relationship Id="rId177" Type="http://schemas.openxmlformats.org/officeDocument/2006/relationships/image" Target="media/image123.png"/><Relationship Id="rId176" Type="http://schemas.openxmlformats.org/officeDocument/2006/relationships/chart" Target="charts/chart5.xml"/><Relationship Id="rId175" Type="http://schemas.openxmlformats.org/officeDocument/2006/relationships/chart" Target="charts/chart4.xml"/><Relationship Id="rId174" Type="http://schemas.openxmlformats.org/officeDocument/2006/relationships/chart" Target="charts/chart3.xml"/><Relationship Id="rId173" Type="http://schemas.openxmlformats.org/officeDocument/2006/relationships/image" Target="media/image122.png"/><Relationship Id="rId172" Type="http://schemas.openxmlformats.org/officeDocument/2006/relationships/chart" Target="charts/chart2.xml"/><Relationship Id="rId171" Type="http://schemas.openxmlformats.org/officeDocument/2006/relationships/chart" Target="charts/chart1.xml"/><Relationship Id="rId170" Type="http://schemas.openxmlformats.org/officeDocument/2006/relationships/image" Target="media/image121.png"/><Relationship Id="rId17" Type="http://schemas.openxmlformats.org/officeDocument/2006/relationships/footer" Target="footer13.xml"/><Relationship Id="rId169" Type="http://schemas.openxmlformats.org/officeDocument/2006/relationships/image" Target="media/image120.png"/><Relationship Id="rId168" Type="http://schemas.openxmlformats.org/officeDocument/2006/relationships/image" Target="media/image119.png"/><Relationship Id="rId167" Type="http://schemas.openxmlformats.org/officeDocument/2006/relationships/image" Target="media/image118.wmf"/><Relationship Id="rId166" Type="http://schemas.openxmlformats.org/officeDocument/2006/relationships/image" Target="media/image117.wmf"/><Relationship Id="rId165" Type="http://schemas.openxmlformats.org/officeDocument/2006/relationships/image" Target="media/image116.wmf"/><Relationship Id="rId164" Type="http://schemas.openxmlformats.org/officeDocument/2006/relationships/oleObject" Target="embeddings/oleObject26.bin"/><Relationship Id="rId163" Type="http://schemas.openxmlformats.org/officeDocument/2006/relationships/image" Target="media/image115.png"/><Relationship Id="rId162" Type="http://schemas.openxmlformats.org/officeDocument/2006/relationships/oleObject" Target="embeddings/oleObject25.bin"/><Relationship Id="rId161" Type="http://schemas.openxmlformats.org/officeDocument/2006/relationships/image" Target="media/image114.png"/><Relationship Id="rId160" Type="http://schemas.openxmlformats.org/officeDocument/2006/relationships/oleObject" Target="embeddings/oleObject24.bin"/><Relationship Id="rId16" Type="http://schemas.openxmlformats.org/officeDocument/2006/relationships/footer" Target="footer12.xml"/><Relationship Id="rId159" Type="http://schemas.openxmlformats.org/officeDocument/2006/relationships/image" Target="media/image113.png"/><Relationship Id="rId158" Type="http://schemas.openxmlformats.org/officeDocument/2006/relationships/oleObject" Target="embeddings/oleObject23.bin"/><Relationship Id="rId157" Type="http://schemas.openxmlformats.org/officeDocument/2006/relationships/image" Target="media/image112.png"/><Relationship Id="rId156" Type="http://schemas.openxmlformats.org/officeDocument/2006/relationships/oleObject" Target="embeddings/oleObject22.bin"/><Relationship Id="rId155" Type="http://schemas.openxmlformats.org/officeDocument/2006/relationships/image" Target="media/image111.png"/><Relationship Id="rId154" Type="http://schemas.openxmlformats.org/officeDocument/2006/relationships/oleObject" Target="embeddings/oleObject21.bin"/><Relationship Id="rId153" Type="http://schemas.openxmlformats.org/officeDocument/2006/relationships/image" Target="media/image110.png"/><Relationship Id="rId152" Type="http://schemas.openxmlformats.org/officeDocument/2006/relationships/image" Target="media/image109.png"/><Relationship Id="rId151" Type="http://schemas.openxmlformats.org/officeDocument/2006/relationships/image" Target="media/image108.png"/><Relationship Id="rId150" Type="http://schemas.openxmlformats.org/officeDocument/2006/relationships/oleObject" Target="embeddings/oleObject20.bin"/><Relationship Id="rId15" Type="http://schemas.openxmlformats.org/officeDocument/2006/relationships/footer" Target="footer11.xml"/><Relationship Id="rId149" Type="http://schemas.openxmlformats.org/officeDocument/2006/relationships/image" Target="media/image107.png"/><Relationship Id="rId148" Type="http://schemas.openxmlformats.org/officeDocument/2006/relationships/oleObject" Target="embeddings/oleObject19.bin"/><Relationship Id="rId147" Type="http://schemas.openxmlformats.org/officeDocument/2006/relationships/image" Target="media/image106.png"/><Relationship Id="rId146" Type="http://schemas.openxmlformats.org/officeDocument/2006/relationships/oleObject" Target="embeddings/oleObject18.bin"/><Relationship Id="rId145" Type="http://schemas.openxmlformats.org/officeDocument/2006/relationships/image" Target="media/image105.png"/><Relationship Id="rId144" Type="http://schemas.openxmlformats.org/officeDocument/2006/relationships/oleObject" Target="embeddings/oleObject17.bin"/><Relationship Id="rId143" Type="http://schemas.openxmlformats.org/officeDocument/2006/relationships/image" Target="media/image104.png"/><Relationship Id="rId142" Type="http://schemas.openxmlformats.org/officeDocument/2006/relationships/oleObject" Target="embeddings/oleObject16.bin"/><Relationship Id="rId141" Type="http://schemas.openxmlformats.org/officeDocument/2006/relationships/image" Target="media/image103.png"/><Relationship Id="rId140" Type="http://schemas.openxmlformats.org/officeDocument/2006/relationships/oleObject" Target="embeddings/oleObject15.bin"/><Relationship Id="rId14" Type="http://schemas.openxmlformats.org/officeDocument/2006/relationships/footer" Target="footer10.xml"/><Relationship Id="rId139" Type="http://schemas.openxmlformats.org/officeDocument/2006/relationships/image" Target="media/image102.jpeg"/><Relationship Id="rId138" Type="http://schemas.openxmlformats.org/officeDocument/2006/relationships/image" Target="media/image101.jpeg"/><Relationship Id="rId137" Type="http://schemas.openxmlformats.org/officeDocument/2006/relationships/image" Target="media/image100.jpeg"/><Relationship Id="rId136" Type="http://schemas.openxmlformats.org/officeDocument/2006/relationships/image" Target="media/image99.jpeg"/><Relationship Id="rId135" Type="http://schemas.openxmlformats.org/officeDocument/2006/relationships/image" Target="media/image98.jpeg"/><Relationship Id="rId134" Type="http://schemas.openxmlformats.org/officeDocument/2006/relationships/image" Target="media/image97.jpeg"/><Relationship Id="rId133" Type="http://schemas.openxmlformats.org/officeDocument/2006/relationships/image" Target="media/image96.jpeg"/><Relationship Id="rId132" Type="http://schemas.openxmlformats.org/officeDocument/2006/relationships/image" Target="media/image95.jpeg"/><Relationship Id="rId131" Type="http://schemas.openxmlformats.org/officeDocument/2006/relationships/image" Target="media/image94.jpeg"/><Relationship Id="rId130" Type="http://schemas.openxmlformats.org/officeDocument/2006/relationships/image" Target="media/image93.jpeg"/><Relationship Id="rId13" Type="http://schemas.openxmlformats.org/officeDocument/2006/relationships/footer" Target="footer9.xml"/><Relationship Id="rId129" Type="http://schemas.openxmlformats.org/officeDocument/2006/relationships/image" Target="media/image92.jpeg"/><Relationship Id="rId128" Type="http://schemas.openxmlformats.org/officeDocument/2006/relationships/image" Target="media/image91.jpeg"/><Relationship Id="rId127" Type="http://schemas.openxmlformats.org/officeDocument/2006/relationships/image" Target="media/image90.png"/><Relationship Id="rId126" Type="http://schemas.openxmlformats.org/officeDocument/2006/relationships/image" Target="media/image89.png"/><Relationship Id="rId125" Type="http://schemas.openxmlformats.org/officeDocument/2006/relationships/image" Target="media/image88.png"/><Relationship Id="rId124" Type="http://schemas.openxmlformats.org/officeDocument/2006/relationships/image" Target="media/image87.png"/><Relationship Id="rId123" Type="http://schemas.openxmlformats.org/officeDocument/2006/relationships/image" Target="media/image86.png"/><Relationship Id="rId122" Type="http://schemas.openxmlformats.org/officeDocument/2006/relationships/image" Target="media/image85.png"/><Relationship Id="rId121" Type="http://schemas.openxmlformats.org/officeDocument/2006/relationships/image" Target="media/image84.png"/><Relationship Id="rId120" Type="http://schemas.openxmlformats.org/officeDocument/2006/relationships/image" Target="media/image83.png"/><Relationship Id="rId12" Type="http://schemas.openxmlformats.org/officeDocument/2006/relationships/footer" Target="footer8.xml"/><Relationship Id="rId119" Type="http://schemas.openxmlformats.org/officeDocument/2006/relationships/image" Target="media/image82.png"/><Relationship Id="rId118" Type="http://schemas.openxmlformats.org/officeDocument/2006/relationships/image" Target="media/image81.png"/><Relationship Id="rId117" Type="http://schemas.openxmlformats.org/officeDocument/2006/relationships/image" Target="media/image80.png"/><Relationship Id="rId116" Type="http://schemas.openxmlformats.org/officeDocument/2006/relationships/oleObject" Target="embeddings/oleObject14.bin"/><Relationship Id="rId115" Type="http://schemas.openxmlformats.org/officeDocument/2006/relationships/image" Target="media/image79.png"/><Relationship Id="rId114" Type="http://schemas.openxmlformats.org/officeDocument/2006/relationships/image" Target="media/image78.png"/><Relationship Id="rId113" Type="http://schemas.openxmlformats.org/officeDocument/2006/relationships/image" Target="media/image77.png"/><Relationship Id="rId112" Type="http://schemas.openxmlformats.org/officeDocument/2006/relationships/image" Target="media/image76.png"/><Relationship Id="rId111" Type="http://schemas.openxmlformats.org/officeDocument/2006/relationships/image" Target="media/image75.png"/><Relationship Id="rId110" Type="http://schemas.openxmlformats.org/officeDocument/2006/relationships/image" Target="media/image74.png"/><Relationship Id="rId11" Type="http://schemas.openxmlformats.org/officeDocument/2006/relationships/footer" Target="footer7.xml"/><Relationship Id="rId109" Type="http://schemas.openxmlformats.org/officeDocument/2006/relationships/image" Target="media/image73.jpeg"/><Relationship Id="rId108" Type="http://schemas.openxmlformats.org/officeDocument/2006/relationships/image" Target="media/image72.jpeg"/><Relationship Id="rId107" Type="http://schemas.openxmlformats.org/officeDocument/2006/relationships/image" Target="media/image71.jpeg"/><Relationship Id="rId106" Type="http://schemas.openxmlformats.org/officeDocument/2006/relationships/image" Target="media/image70.jpeg"/><Relationship Id="rId105" Type="http://schemas.openxmlformats.org/officeDocument/2006/relationships/image" Target="media/image69.png"/><Relationship Id="rId104" Type="http://schemas.openxmlformats.org/officeDocument/2006/relationships/oleObject" Target="embeddings/oleObject13.bin"/><Relationship Id="rId103" Type="http://schemas.openxmlformats.org/officeDocument/2006/relationships/image" Target="media/image68.png"/><Relationship Id="rId102" Type="http://schemas.openxmlformats.org/officeDocument/2006/relationships/oleObject" Target="embeddings/oleObject12.bin"/><Relationship Id="rId101" Type="http://schemas.openxmlformats.org/officeDocument/2006/relationships/image" Target="media/image67.png"/><Relationship Id="rId100" Type="http://schemas.openxmlformats.org/officeDocument/2006/relationships/image" Target="media/image66.tiff"/><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E:\0&#29615;&#35780;&#39033;&#30446;\2022&#24180;&#39033;&#30446;\2022.8.11%20&#28142;&#21335;&#27743;&#28142;&#26530;&#32445;&#28207;&#20309;&#21488;&#20316;&#19994;&#21306;&#24037;&#31243;&#39033;&#30446;\&#22823;&#27668;&#39044;&#27979;&#36807;&#31243;\&#27668;&#35937;&#25968;&#25454;\&#25311;&#24314;&#39033;&#30446;&#27668;&#35937;&#25968;&#25454;\&#24037;&#20316;&#31807;2.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E:\0&#29615;&#35780;&#39033;&#30446;\2022&#24180;&#39033;&#30446;\2022.8.11%20&#28142;&#21335;&#27743;&#28142;&#26530;&#32445;&#28207;&#20309;&#21488;&#20316;&#19994;&#21306;&#24037;&#31243;&#39033;&#30446;\&#22823;&#27668;&#39044;&#27979;&#36807;&#31243;\&#27668;&#35937;&#25968;&#25454;\&#25311;&#24314;&#39033;&#30446;&#27668;&#35937;&#25968;&#25454;\&#24037;&#20316;&#31807;2.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E:\0&#29615;&#35780;&#39033;&#30446;\2022&#24180;&#39033;&#30446;\2022.8.11%20&#28142;&#21335;&#27743;&#28142;&#26530;&#32445;&#28207;&#20309;&#21488;&#20316;&#19994;&#21306;&#24037;&#31243;&#39033;&#30446;\&#22823;&#27668;&#39044;&#27979;&#36807;&#31243;\&#27668;&#35937;&#25968;&#25454;\&#25311;&#24314;&#39033;&#30446;&#27668;&#35937;&#25968;&#25454;\&#24037;&#20316;&#31807;2.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0&#29615;&#35780;&#39033;&#30446;\2022&#24180;&#39033;&#30446;\2022.8.11%20&#28142;&#21335;&#27743;&#28142;&#26530;&#32445;&#28207;&#20309;&#21488;&#20316;&#19994;&#21306;&#24037;&#31243;&#39033;&#30446;\&#22823;&#27668;&#39044;&#27979;&#36807;&#31243;\&#27668;&#35937;&#25968;&#25454;\&#25311;&#24314;&#39033;&#30446;&#27668;&#35937;&#25968;&#25454;\&#24037;&#20316;&#31807;2.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0&#29615;&#35780;&#39033;&#30446;\2022&#24180;&#39033;&#30446;\2022.8.11%20&#28142;&#21335;&#27743;&#28142;&#26530;&#32445;&#28207;&#20309;&#21488;&#20316;&#19994;&#21306;&#24037;&#31243;&#39033;&#30446;\&#22823;&#27668;&#39044;&#27979;&#36807;&#31243;\&#27668;&#35937;&#25968;&#25454;\&#25311;&#24314;&#39033;&#30446;&#27668;&#35937;&#25968;&#25454;\&#24037;&#20316;&#318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sz="1100"/>
              <a:t>温度 °C</a:t>
            </a:r>
            <a:endParaRPr sz="1100"/>
          </a:p>
        </c:rich>
      </c:tx>
      <c:layout>
        <c:manualLayout>
          <c:xMode val="edge"/>
          <c:yMode val="edge"/>
          <c:x val="0.04625"/>
          <c:y val="0.0104166666666667"/>
        </c:manualLayout>
      </c:layout>
      <c:overlay val="0"/>
      <c:spPr>
        <a:noFill/>
        <a:ln>
          <a:noFill/>
        </a:ln>
        <a:effectLst/>
      </c:spPr>
    </c:title>
    <c:autoTitleDeleted val="0"/>
    <c:plotArea>
      <c:layout>
        <c:manualLayout>
          <c:layoutTarget val="inner"/>
          <c:xMode val="edge"/>
          <c:yMode val="edge"/>
          <c:x val="0.0355"/>
          <c:y val="0.00694444444444444"/>
          <c:w val="0.907555555555556"/>
          <c:h val="0.734351851851852"/>
        </c:manualLayout>
      </c:layout>
      <c:lineChart>
        <c:grouping val="stacked"/>
        <c:varyColors val="0"/>
        <c:ser>
          <c:idx val="0"/>
          <c:order val="0"/>
          <c:tx>
            <c:strRef>
              <c:f>[工作簿2.xlsx]Sheet2!$A$2</c:f>
              <c:strCache>
                <c:ptCount val="1"/>
                <c:pt idx="0">
                  <c:v>温度</c:v>
                </c:pt>
              </c:strCache>
            </c:strRef>
          </c:tx>
          <c:spPr>
            <a:ln w="9525" cap="rnd">
              <a:solidFill>
                <a:srgbClr val="4F81BD"/>
              </a:solidFill>
              <a:round/>
            </a:ln>
            <a:effectLst/>
            <a:sp3d contourW="9525"/>
          </c:spPr>
          <c:marker>
            <c:symbol val="circle"/>
            <c:size val="5"/>
            <c:spPr>
              <a:solidFill>
                <a:srgbClr val="4F81BD"/>
              </a:solidFill>
              <a:ln w="9525">
                <a:solidFill>
                  <a:srgbClr val="4F81BD"/>
                </a:solidFill>
              </a:ln>
              <a:effectLst/>
            </c:spPr>
          </c:marker>
          <c:dLbls>
            <c:delete val="1"/>
          </c:dLbls>
          <c:cat>
            <c:strRef>
              <c:f>[工作簿2.xlsx]Sheet2!$B$1:$M$1</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[工作簿2.xlsx]Sheet2!$B$2:$M$2</c:f>
              <c:numCache>
                <c:formatCode>General</c:formatCode>
                <c:ptCount val="12"/>
                <c:pt idx="0">
                  <c:v>3.16</c:v>
                </c:pt>
                <c:pt idx="1">
                  <c:v>5.94</c:v>
                </c:pt>
                <c:pt idx="2">
                  <c:v>11.16</c:v>
                </c:pt>
                <c:pt idx="3">
                  <c:v>17.01</c:v>
                </c:pt>
                <c:pt idx="4">
                  <c:v>22.32</c:v>
                </c:pt>
                <c:pt idx="5">
                  <c:v>26.2</c:v>
                </c:pt>
                <c:pt idx="6">
                  <c:v>28.38</c:v>
                </c:pt>
                <c:pt idx="7">
                  <c:v>27.76</c:v>
                </c:pt>
                <c:pt idx="8">
                  <c:v>23.51</c:v>
                </c:pt>
                <c:pt idx="9">
                  <c:v>18.24</c:v>
                </c:pt>
                <c:pt idx="10">
                  <c:v>11.66</c:v>
                </c:pt>
                <c:pt idx="11">
                  <c:v>5.09</c:v>
                </c:pt>
              </c:numCache>
            </c:numRef>
          </c:val>
          <c:smooth val="0"/>
        </c:ser>
        <c:dLbls>
          <c:showLegendKey val="0"/>
          <c:showVal val="0"/>
          <c:showCatName val="0"/>
          <c:showSerName val="0"/>
          <c:showPercent val="0"/>
          <c:showBubbleSize val="0"/>
        </c:dLbls>
        <c:marker val="1"/>
        <c:smooth val="0"/>
        <c:axId val="183605988"/>
        <c:axId val="415770870"/>
      </c:lineChart>
      <c:catAx>
        <c:axId val="183605988"/>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15770870"/>
        <c:crosses val="autoZero"/>
        <c:auto val="1"/>
        <c:lblAlgn val="ctr"/>
        <c:lblOffset val="100"/>
        <c:noMultiLvlLbl val="0"/>
      </c:catAx>
      <c:valAx>
        <c:axId val="415770870"/>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83605988"/>
        <c:crosses val="autoZero"/>
        <c:crossBetween val="between"/>
      </c:valAx>
      <c:spPr>
        <a:noFill/>
        <a:ln>
          <a:noFill/>
        </a:ln>
        <a:effectLst/>
      </c:spPr>
    </c:plotArea>
    <c:plotVisOnly val="1"/>
    <c:dispBlanksAs val="zero"/>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sz="1100"/>
              <a:t>风速</a:t>
            </a:r>
            <a:r>
              <a:rPr lang="en-US" altLang="zh-CN" sz="1100"/>
              <a:t>m/s</a:t>
            </a:r>
            <a:endParaRPr sz="1100"/>
          </a:p>
        </c:rich>
      </c:tx>
      <c:layout>
        <c:manualLayout>
          <c:xMode val="edge"/>
          <c:yMode val="edge"/>
          <c:x val="0.0500694444444444"/>
          <c:y val="0.0173611111111111"/>
        </c:manualLayout>
      </c:layout>
      <c:overlay val="0"/>
      <c:spPr>
        <a:noFill/>
        <a:ln>
          <a:noFill/>
        </a:ln>
        <a:effectLst/>
      </c:spPr>
    </c:title>
    <c:autoTitleDeleted val="0"/>
    <c:plotArea>
      <c:layout>
        <c:manualLayout>
          <c:layoutTarget val="inner"/>
          <c:xMode val="edge"/>
          <c:yMode val="edge"/>
          <c:x val="0.0586944444444444"/>
          <c:y val="0.0965277777777778"/>
          <c:w val="0.901027777777778"/>
          <c:h val="0.711666666666667"/>
        </c:manualLayout>
      </c:layout>
      <c:lineChart>
        <c:grouping val="standard"/>
        <c:varyColors val="0"/>
        <c:ser>
          <c:idx val="0"/>
          <c:order val="0"/>
          <c:tx>
            <c:strRef>
              <c:f>[工作簿2.xlsx]Sheet3!$A$2</c:f>
              <c:strCache>
                <c:ptCount val="1"/>
                <c:pt idx="0">
                  <c:v>风速</c:v>
                </c:pt>
              </c:strCache>
            </c:strRef>
          </c:tx>
          <c:spPr>
            <a:ln w="9525" cap="rnd">
              <a:solidFill>
                <a:srgbClr val="254061">
                  <a:lumMod val="50000"/>
                </a:srgbClr>
              </a:solidFill>
              <a:round/>
            </a:ln>
            <a:effectLst/>
            <a:sp3d contourW="9525"/>
          </c:spPr>
          <c:marker>
            <c:symbol val="circle"/>
            <c:size val="5"/>
            <c:spPr>
              <a:solidFill>
                <a:srgbClr val="4F81BD"/>
              </a:solidFill>
              <a:ln w="9525">
                <a:solidFill>
                  <a:srgbClr val="4F81BD"/>
                </a:solidFill>
              </a:ln>
              <a:effectLst/>
            </c:spPr>
          </c:marker>
          <c:dLbls>
            <c:delete val="1"/>
          </c:dLbls>
          <c:cat>
            <c:strRef>
              <c:f>[工作簿2.xlsx]Sheet3!$B$1:$M$1</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[工作簿2.xlsx]Sheet3!$B$2:$M$2</c:f>
              <c:numCache>
                <c:formatCode>General</c:formatCode>
                <c:ptCount val="12"/>
                <c:pt idx="0">
                  <c:v>1.55</c:v>
                </c:pt>
                <c:pt idx="1">
                  <c:v>1.72</c:v>
                </c:pt>
                <c:pt idx="2">
                  <c:v>1.94</c:v>
                </c:pt>
                <c:pt idx="3">
                  <c:v>1.94</c:v>
                </c:pt>
                <c:pt idx="4">
                  <c:v>1.9</c:v>
                </c:pt>
                <c:pt idx="5">
                  <c:v>1.82</c:v>
                </c:pt>
                <c:pt idx="6">
                  <c:v>1.73</c:v>
                </c:pt>
                <c:pt idx="7">
                  <c:v>1.69</c:v>
                </c:pt>
                <c:pt idx="8">
                  <c:v>1.55</c:v>
                </c:pt>
                <c:pt idx="9">
                  <c:v>1.47</c:v>
                </c:pt>
                <c:pt idx="10">
                  <c:v>1.51</c:v>
                </c:pt>
                <c:pt idx="11">
                  <c:v>1.48</c:v>
                </c:pt>
              </c:numCache>
            </c:numRef>
          </c:val>
          <c:smooth val="0"/>
        </c:ser>
        <c:dLbls>
          <c:showLegendKey val="0"/>
          <c:showVal val="0"/>
          <c:showCatName val="0"/>
          <c:showSerName val="0"/>
          <c:showPercent val="0"/>
          <c:showBubbleSize val="0"/>
        </c:dLbls>
        <c:marker val="1"/>
        <c:smooth val="0"/>
        <c:axId val="471843634"/>
        <c:axId val="337555590"/>
      </c:lineChart>
      <c:catAx>
        <c:axId val="471843634"/>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337555590"/>
        <c:crosses val="autoZero"/>
        <c:auto val="1"/>
        <c:lblAlgn val="ctr"/>
        <c:lblOffset val="100"/>
        <c:noMultiLvlLbl val="0"/>
      </c:catAx>
      <c:valAx>
        <c:axId val="337555590"/>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471843634"/>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0" i="0" u="none" strike="noStrike" kern="1200" spc="0" baseline="0">
                <a:solidFill>
                  <a:srgbClr val="595959">
                    <a:lumMod val="65000"/>
                    <a:lumOff val="35000"/>
                  </a:srgbClr>
                </a:solidFill>
                <a:latin typeface="+mn-lt"/>
                <a:ea typeface="+mn-ea"/>
                <a:cs typeface="+mn-cs"/>
              </a:defRPr>
            </a:pPr>
            <a:r>
              <a:rPr sz="960"/>
              <a:t>温度°</a:t>
            </a:r>
            <a:r>
              <a:rPr lang="en-US" altLang="zh-CN" sz="960"/>
              <a:t>C</a:t>
            </a:r>
            <a:endParaRPr lang="en-US" altLang="zh-CN" sz="960"/>
          </a:p>
        </c:rich>
      </c:tx>
      <c:layout>
        <c:manualLayout>
          <c:xMode val="edge"/>
          <c:yMode val="edge"/>
          <c:x val="0.00972222222222222"/>
          <c:y val="0.0208333333333333"/>
        </c:manualLayout>
      </c:layout>
      <c:overlay val="0"/>
      <c:spPr>
        <a:noFill/>
        <a:ln>
          <a:noFill/>
        </a:ln>
        <a:effectLst/>
      </c:spPr>
    </c:title>
    <c:autoTitleDeleted val="0"/>
    <c:plotArea>
      <c:layout/>
      <c:lineChart>
        <c:grouping val="standard"/>
        <c:varyColors val="0"/>
        <c:ser>
          <c:idx val="0"/>
          <c:order val="0"/>
          <c:tx>
            <c:strRef>
              <c:f>[工作簿2.xlsx]合肥市!$A$2</c:f>
              <c:strCache>
                <c:ptCount val="1"/>
                <c:pt idx="0">
                  <c:v>温度</c:v>
                </c:pt>
              </c:strCache>
            </c:strRef>
          </c:tx>
          <c:spPr>
            <a:ln w="28575" cap="rnd">
              <a:solidFill>
                <a:srgbClr val="4F81BD"/>
              </a:solidFill>
              <a:round/>
            </a:ln>
            <a:effectLst/>
          </c:spPr>
          <c:marker>
            <c:symbol val="circle"/>
            <c:size val="5"/>
            <c:spPr>
              <a:solidFill>
                <a:srgbClr val="4F81BD"/>
              </a:solidFill>
              <a:ln w="9525">
                <a:solidFill>
                  <a:srgbClr val="4F81BD"/>
                </a:solidFill>
              </a:ln>
              <a:effectLst/>
            </c:spPr>
          </c:marker>
          <c:dLbls>
            <c:delete val="1"/>
          </c:dLbls>
          <c:cat>
            <c:strRef>
              <c:f>[工作簿2.xlsx]合肥市!$B$1:$M$1</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[工作簿2.xlsx]合肥市!$B$2:$M$2</c:f>
              <c:numCache>
                <c:formatCode>General</c:formatCode>
                <c:ptCount val="12"/>
                <c:pt idx="0">
                  <c:v>3.78</c:v>
                </c:pt>
                <c:pt idx="1">
                  <c:v>9.52</c:v>
                </c:pt>
                <c:pt idx="2">
                  <c:v>11.03</c:v>
                </c:pt>
                <c:pt idx="3">
                  <c:v>15.36</c:v>
                </c:pt>
                <c:pt idx="4">
                  <c:v>21.4</c:v>
                </c:pt>
                <c:pt idx="5">
                  <c:v>26.19</c:v>
                </c:pt>
                <c:pt idx="6">
                  <c:v>27.21</c:v>
                </c:pt>
                <c:pt idx="7">
                  <c:v>26.59</c:v>
                </c:pt>
                <c:pt idx="8">
                  <c:v>24.88</c:v>
                </c:pt>
                <c:pt idx="9">
                  <c:v>17.33</c:v>
                </c:pt>
                <c:pt idx="10">
                  <c:v>11.76</c:v>
                </c:pt>
                <c:pt idx="11">
                  <c:v>6.17</c:v>
                </c:pt>
              </c:numCache>
            </c:numRef>
          </c:val>
          <c:smooth val="0"/>
        </c:ser>
        <c:dLbls>
          <c:showLegendKey val="0"/>
          <c:showVal val="0"/>
          <c:showCatName val="0"/>
          <c:showSerName val="0"/>
          <c:showPercent val="0"/>
          <c:showBubbleSize val="0"/>
        </c:dLbls>
        <c:marker val="1"/>
        <c:smooth val="0"/>
        <c:axId val="384567504"/>
        <c:axId val="79718074"/>
      </c:lineChart>
      <c:catAx>
        <c:axId val="384567504"/>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800" b="0" i="0" u="none" strike="noStrike" kern="1200" baseline="0">
                <a:solidFill>
                  <a:srgbClr val="595959">
                    <a:lumMod val="65000"/>
                    <a:lumOff val="35000"/>
                  </a:srgbClr>
                </a:solidFill>
                <a:latin typeface="+mn-lt"/>
                <a:ea typeface="+mn-ea"/>
                <a:cs typeface="+mn-cs"/>
              </a:defRPr>
            </a:pPr>
          </a:p>
        </c:txPr>
        <c:crossAx val="79718074"/>
        <c:crosses val="autoZero"/>
        <c:auto val="1"/>
        <c:lblAlgn val="ctr"/>
        <c:lblOffset val="100"/>
        <c:noMultiLvlLbl val="0"/>
      </c:catAx>
      <c:valAx>
        <c:axId val="79718074"/>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rgbClr val="595959">
                    <a:lumMod val="65000"/>
                    <a:lumOff val="35000"/>
                  </a:srgbClr>
                </a:solidFill>
                <a:latin typeface="+mn-lt"/>
                <a:ea typeface="+mn-ea"/>
                <a:cs typeface="+mn-cs"/>
              </a:defRPr>
            </a:pPr>
          </a:p>
        </c:txPr>
        <c:crossAx val="384567504"/>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sz="8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rgbClr val="595959">
                    <a:lumMod val="65000"/>
                    <a:lumOff val="35000"/>
                  </a:srgbClr>
                </a:solidFill>
                <a:latin typeface="+mn-lt"/>
                <a:ea typeface="+mn-ea"/>
                <a:cs typeface="+mn-cs"/>
              </a:defRPr>
            </a:pPr>
            <a:r>
              <a:rPr sz="1000"/>
              <a:t>风速</a:t>
            </a:r>
            <a:r>
              <a:rPr lang="en-US" altLang="zh-CN" sz="1000"/>
              <a:t>m/s</a:t>
            </a:r>
            <a:endParaRPr lang="en-US" altLang="zh-CN" sz="1000"/>
          </a:p>
        </c:rich>
      </c:tx>
      <c:layout>
        <c:manualLayout>
          <c:xMode val="edge"/>
          <c:yMode val="edge"/>
          <c:x val="0.0217361111111111"/>
          <c:y val="0.0277777777777778"/>
        </c:manualLayout>
      </c:layout>
      <c:overlay val="0"/>
      <c:spPr>
        <a:noFill/>
        <a:ln>
          <a:noFill/>
        </a:ln>
        <a:effectLst/>
      </c:spPr>
    </c:title>
    <c:autoTitleDeleted val="0"/>
    <c:plotArea>
      <c:layout/>
      <c:lineChart>
        <c:grouping val="stacked"/>
        <c:varyColors val="0"/>
        <c:ser>
          <c:idx val="0"/>
          <c:order val="0"/>
          <c:tx>
            <c:strRef>
              <c:f>[工作簿2.xlsx]合肥市!$A$23</c:f>
              <c:strCache>
                <c:ptCount val="1"/>
                <c:pt idx="0">
                  <c:v>风速</c:v>
                </c:pt>
              </c:strCache>
            </c:strRef>
          </c:tx>
          <c:spPr>
            <a:ln w="28575" cap="rnd">
              <a:solidFill>
                <a:srgbClr val="4F81BD"/>
              </a:solidFill>
              <a:round/>
            </a:ln>
            <a:effectLst/>
          </c:spPr>
          <c:marker>
            <c:symbol val="circle"/>
            <c:size val="5"/>
            <c:spPr>
              <a:solidFill>
                <a:srgbClr val="4F81BD"/>
              </a:solidFill>
              <a:ln w="9525">
                <a:solidFill>
                  <a:srgbClr val="4F81BD"/>
                </a:solidFill>
              </a:ln>
              <a:effectLst/>
            </c:spPr>
          </c:marker>
          <c:dLbls>
            <c:delete val="1"/>
          </c:dLbls>
          <c:cat>
            <c:strRef>
              <c:f>[工作簿2.xlsx]合肥市!$B$22:$M$22</c:f>
              <c:strCache>
                <c:ptCount val="12"/>
                <c:pt idx="0">
                  <c:v>1月</c:v>
                </c:pt>
                <c:pt idx="1">
                  <c:v>2月</c:v>
                </c:pt>
                <c:pt idx="2">
                  <c:v>3月</c:v>
                </c:pt>
                <c:pt idx="3">
                  <c:v>4月</c:v>
                </c:pt>
                <c:pt idx="4">
                  <c:v>5月</c:v>
                </c:pt>
                <c:pt idx="5">
                  <c:v>6月</c:v>
                </c:pt>
                <c:pt idx="6">
                  <c:v>7月</c:v>
                </c:pt>
                <c:pt idx="7">
                  <c:v>8月</c:v>
                </c:pt>
                <c:pt idx="8">
                  <c:v>9月</c:v>
                </c:pt>
                <c:pt idx="9">
                  <c:v>10月</c:v>
                </c:pt>
                <c:pt idx="10">
                  <c:v>11月</c:v>
                </c:pt>
                <c:pt idx="11">
                  <c:v>12月</c:v>
                </c:pt>
              </c:strCache>
            </c:strRef>
          </c:cat>
          <c:val>
            <c:numRef>
              <c:f>[工作簿2.xlsx]合肥市!$B$23:$M$23</c:f>
              <c:numCache>
                <c:formatCode>General</c:formatCode>
                <c:ptCount val="12"/>
                <c:pt idx="0">
                  <c:v>2.51</c:v>
                </c:pt>
                <c:pt idx="1">
                  <c:v>2.94</c:v>
                </c:pt>
                <c:pt idx="2">
                  <c:v>2.72</c:v>
                </c:pt>
                <c:pt idx="3">
                  <c:v>2.36</c:v>
                </c:pt>
                <c:pt idx="4">
                  <c:v>2.32</c:v>
                </c:pt>
                <c:pt idx="5">
                  <c:v>2.16</c:v>
                </c:pt>
                <c:pt idx="6">
                  <c:v>2.75</c:v>
                </c:pt>
                <c:pt idx="7">
                  <c:v>1.87</c:v>
                </c:pt>
                <c:pt idx="8">
                  <c:v>2.18</c:v>
                </c:pt>
                <c:pt idx="9">
                  <c:v>2.06</c:v>
                </c:pt>
                <c:pt idx="10">
                  <c:v>2.35</c:v>
                </c:pt>
                <c:pt idx="11">
                  <c:v>2.12</c:v>
                </c:pt>
              </c:numCache>
            </c:numRef>
          </c:val>
          <c:smooth val="0"/>
        </c:ser>
        <c:dLbls>
          <c:showLegendKey val="0"/>
          <c:showVal val="0"/>
          <c:showCatName val="0"/>
          <c:showSerName val="0"/>
          <c:showPercent val="0"/>
          <c:showBubbleSize val="0"/>
        </c:dLbls>
        <c:marker val="1"/>
        <c:smooth val="0"/>
        <c:axId val="146813202"/>
        <c:axId val="836893537"/>
      </c:lineChart>
      <c:catAx>
        <c:axId val="146813202"/>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836893537"/>
        <c:crosses val="autoZero"/>
        <c:auto val="1"/>
        <c:lblAlgn val="ctr"/>
        <c:lblOffset val="100"/>
        <c:noMultiLvlLbl val="0"/>
      </c:catAx>
      <c:valAx>
        <c:axId val="836893537"/>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146813202"/>
        <c:crosses val="autoZero"/>
        <c:crossBetween val="between"/>
      </c:valAx>
      <c:spPr>
        <a:noFill/>
        <a:ln>
          <a:noFill/>
        </a:ln>
        <a:effectLst/>
      </c:spPr>
    </c:plotArea>
    <c:plotVisOnly val="1"/>
    <c:dispBlanksAs val="zero"/>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r>
              <a:rPr sz="1000"/>
              <a:t>风速（</a:t>
            </a:r>
            <a:r>
              <a:rPr lang="en-US" altLang="zh-CN" sz="1000"/>
              <a:t>m/s</a:t>
            </a:r>
            <a:r>
              <a:rPr sz="1000"/>
              <a:t>）</a:t>
            </a:r>
            <a:endParaRPr sz="1000"/>
          </a:p>
        </c:rich>
      </c:tx>
      <c:layout>
        <c:manualLayout>
          <c:xMode val="edge"/>
          <c:yMode val="edge"/>
          <c:x val="0.00708333333333333"/>
          <c:y val="0.170138888888889"/>
        </c:manualLayout>
      </c:layout>
      <c:overlay val="0"/>
      <c:spPr>
        <a:noFill/>
        <a:ln>
          <a:noFill/>
        </a:ln>
        <a:effectLst/>
      </c:spPr>
    </c:title>
    <c:autoTitleDeleted val="0"/>
    <c:plotArea>
      <c:layout>
        <c:manualLayout>
          <c:layoutTarget val="inner"/>
          <c:xMode val="edge"/>
          <c:yMode val="edge"/>
          <c:x val="0.102289877699714"/>
          <c:y val="0.262420382165605"/>
          <c:w val="0.852432995055946"/>
          <c:h val="0.587133757961783"/>
        </c:manualLayout>
      </c:layout>
      <c:lineChart>
        <c:grouping val="standard"/>
        <c:varyColors val="0"/>
        <c:ser>
          <c:idx val="1"/>
          <c:order val="0"/>
          <c:tx>
            <c:strRef>
              <c:f>[工作簿2.xlsx]合肥市!$A$46</c:f>
              <c:strCache>
                <c:ptCount val="1"/>
                <c:pt idx="0">
                  <c:v>春季</c:v>
                </c:pt>
              </c:strCache>
            </c:strRef>
          </c:tx>
          <c:spPr>
            <a:ln w="28575" cap="rnd">
              <a:solidFill>
                <a:srgbClr val="C0504D"/>
              </a:solidFill>
              <a:round/>
            </a:ln>
            <a:effectLst/>
          </c:spPr>
          <c:marker>
            <c:symbol val="circle"/>
            <c:size val="5"/>
            <c:spPr>
              <a:solidFill>
                <a:srgbClr val="C0504D"/>
              </a:solidFill>
              <a:ln w="9525">
                <a:solidFill>
                  <a:srgbClr val="C0504D"/>
                </a:solidFill>
              </a:ln>
              <a:effectLst/>
            </c:spPr>
          </c:marker>
          <c:dLbls>
            <c:delete val="1"/>
          </c:dLbls>
          <c:val>
            <c:numRef>
              <c:f>[工作簿2.xlsx]合肥市!$B$46:$Y$46</c:f>
              <c:numCache>
                <c:formatCode>General</c:formatCode>
                <c:ptCount val="24"/>
                <c:pt idx="0">
                  <c:v>1.85</c:v>
                </c:pt>
                <c:pt idx="1">
                  <c:v>1.97</c:v>
                </c:pt>
                <c:pt idx="2">
                  <c:v>1.97</c:v>
                </c:pt>
                <c:pt idx="3">
                  <c:v>1.9</c:v>
                </c:pt>
                <c:pt idx="4">
                  <c:v>1.92</c:v>
                </c:pt>
                <c:pt idx="5">
                  <c:v>1.97</c:v>
                </c:pt>
                <c:pt idx="6">
                  <c:v>2.2</c:v>
                </c:pt>
                <c:pt idx="7">
                  <c:v>2.52</c:v>
                </c:pt>
                <c:pt idx="8">
                  <c:v>2.86</c:v>
                </c:pt>
                <c:pt idx="9">
                  <c:v>3.17</c:v>
                </c:pt>
                <c:pt idx="10">
                  <c:v>3.22</c:v>
                </c:pt>
                <c:pt idx="11">
                  <c:v>3.24</c:v>
                </c:pt>
                <c:pt idx="12">
                  <c:v>3.32</c:v>
                </c:pt>
                <c:pt idx="13">
                  <c:v>3.29</c:v>
                </c:pt>
                <c:pt idx="14">
                  <c:v>3.26</c:v>
                </c:pt>
                <c:pt idx="15">
                  <c:v>3.13</c:v>
                </c:pt>
                <c:pt idx="16">
                  <c:v>2.95</c:v>
                </c:pt>
                <c:pt idx="17">
                  <c:v>2.4</c:v>
                </c:pt>
                <c:pt idx="18">
                  <c:v>2.15</c:v>
                </c:pt>
                <c:pt idx="19">
                  <c:v>2.06</c:v>
                </c:pt>
                <c:pt idx="20">
                  <c:v>1.94</c:v>
                </c:pt>
                <c:pt idx="21">
                  <c:v>2.03</c:v>
                </c:pt>
                <c:pt idx="22">
                  <c:v>1.95</c:v>
                </c:pt>
                <c:pt idx="23">
                  <c:v>1.87</c:v>
                </c:pt>
              </c:numCache>
            </c:numRef>
          </c:val>
          <c:smooth val="1"/>
        </c:ser>
        <c:ser>
          <c:idx val="2"/>
          <c:order val="1"/>
          <c:tx>
            <c:strRef>
              <c:f>[工作簿2.xlsx]合肥市!$A$47</c:f>
              <c:strCache>
                <c:ptCount val="1"/>
                <c:pt idx="0">
                  <c:v>夏季</c:v>
                </c:pt>
              </c:strCache>
            </c:strRef>
          </c:tx>
          <c:spPr>
            <a:ln w="28575" cap="rnd">
              <a:solidFill>
                <a:srgbClr val="9BBB59"/>
              </a:solidFill>
              <a:round/>
            </a:ln>
            <a:effectLst/>
          </c:spPr>
          <c:marker>
            <c:symbol val="circle"/>
            <c:size val="5"/>
            <c:spPr>
              <a:solidFill>
                <a:srgbClr val="9BBB59"/>
              </a:solidFill>
              <a:ln w="9525">
                <a:solidFill>
                  <a:srgbClr val="9BBB59"/>
                </a:solidFill>
              </a:ln>
              <a:effectLst/>
            </c:spPr>
          </c:marker>
          <c:dLbls>
            <c:delete val="1"/>
          </c:dLbls>
          <c:val>
            <c:numRef>
              <c:f>[工作簿2.xlsx]合肥市!$B$47:$Y$47</c:f>
              <c:numCache>
                <c:formatCode>General</c:formatCode>
                <c:ptCount val="24"/>
                <c:pt idx="0">
                  <c:v>1.88</c:v>
                </c:pt>
                <c:pt idx="1">
                  <c:v>1.71</c:v>
                </c:pt>
                <c:pt idx="2">
                  <c:v>1.67</c:v>
                </c:pt>
                <c:pt idx="3">
                  <c:v>1.69</c:v>
                </c:pt>
                <c:pt idx="4">
                  <c:v>1.71</c:v>
                </c:pt>
                <c:pt idx="5">
                  <c:v>1.83</c:v>
                </c:pt>
                <c:pt idx="6">
                  <c:v>1.99</c:v>
                </c:pt>
                <c:pt idx="7">
                  <c:v>2.42</c:v>
                </c:pt>
                <c:pt idx="8">
                  <c:v>2.47</c:v>
                </c:pt>
                <c:pt idx="9">
                  <c:v>2.66</c:v>
                </c:pt>
                <c:pt idx="10">
                  <c:v>2.69</c:v>
                </c:pt>
                <c:pt idx="11">
                  <c:v>2.88</c:v>
                </c:pt>
                <c:pt idx="12">
                  <c:v>3</c:v>
                </c:pt>
                <c:pt idx="13">
                  <c:v>3.03</c:v>
                </c:pt>
                <c:pt idx="14">
                  <c:v>3.01</c:v>
                </c:pt>
                <c:pt idx="15">
                  <c:v>2.85</c:v>
                </c:pt>
                <c:pt idx="16">
                  <c:v>2.66</c:v>
                </c:pt>
                <c:pt idx="17">
                  <c:v>2.44</c:v>
                </c:pt>
                <c:pt idx="18">
                  <c:v>2.07</c:v>
                </c:pt>
                <c:pt idx="19">
                  <c:v>2.02</c:v>
                </c:pt>
                <c:pt idx="20">
                  <c:v>1.98</c:v>
                </c:pt>
                <c:pt idx="21">
                  <c:v>1.86</c:v>
                </c:pt>
                <c:pt idx="22">
                  <c:v>1.81</c:v>
                </c:pt>
                <c:pt idx="23">
                  <c:v>1.86</c:v>
                </c:pt>
              </c:numCache>
            </c:numRef>
          </c:val>
          <c:smooth val="1"/>
        </c:ser>
        <c:ser>
          <c:idx val="3"/>
          <c:order val="2"/>
          <c:tx>
            <c:strRef>
              <c:f>[工作簿2.xlsx]合肥市!$A$48</c:f>
              <c:strCache>
                <c:ptCount val="1"/>
                <c:pt idx="0">
                  <c:v>秋季</c:v>
                </c:pt>
              </c:strCache>
            </c:strRef>
          </c:tx>
          <c:spPr>
            <a:ln w="28575" cap="rnd">
              <a:solidFill>
                <a:srgbClr val="8064A2"/>
              </a:solidFill>
              <a:round/>
            </a:ln>
            <a:effectLst/>
          </c:spPr>
          <c:marker>
            <c:symbol val="circle"/>
            <c:size val="5"/>
            <c:spPr>
              <a:solidFill>
                <a:srgbClr val="8064A2"/>
              </a:solidFill>
              <a:ln w="9525">
                <a:solidFill>
                  <a:srgbClr val="8064A2"/>
                </a:solidFill>
              </a:ln>
              <a:effectLst/>
            </c:spPr>
          </c:marker>
          <c:dLbls>
            <c:delete val="1"/>
          </c:dLbls>
          <c:val>
            <c:numRef>
              <c:f>[工作簿2.xlsx]合肥市!$B$48:$Y$48</c:f>
              <c:numCache>
                <c:formatCode>General</c:formatCode>
                <c:ptCount val="24"/>
                <c:pt idx="0">
                  <c:v>1.76</c:v>
                </c:pt>
                <c:pt idx="1">
                  <c:v>1.7</c:v>
                </c:pt>
                <c:pt idx="2">
                  <c:v>1.71</c:v>
                </c:pt>
                <c:pt idx="3">
                  <c:v>1.67</c:v>
                </c:pt>
                <c:pt idx="4">
                  <c:v>1.69</c:v>
                </c:pt>
                <c:pt idx="5">
                  <c:v>1.77</c:v>
                </c:pt>
                <c:pt idx="6">
                  <c:v>1.84</c:v>
                </c:pt>
                <c:pt idx="7">
                  <c:v>2.19</c:v>
                </c:pt>
                <c:pt idx="8">
                  <c:v>2.64</c:v>
                </c:pt>
                <c:pt idx="9">
                  <c:v>3.03</c:v>
                </c:pt>
                <c:pt idx="10">
                  <c:v>2.97</c:v>
                </c:pt>
                <c:pt idx="11">
                  <c:v>3.02</c:v>
                </c:pt>
                <c:pt idx="12">
                  <c:v>2.97</c:v>
                </c:pt>
                <c:pt idx="13">
                  <c:v>3.06</c:v>
                </c:pt>
                <c:pt idx="14">
                  <c:v>2.93</c:v>
                </c:pt>
                <c:pt idx="15">
                  <c:v>2.67</c:v>
                </c:pt>
                <c:pt idx="16">
                  <c:v>2.32</c:v>
                </c:pt>
                <c:pt idx="17">
                  <c:v>1.93</c:v>
                </c:pt>
                <c:pt idx="18">
                  <c:v>1.8</c:v>
                </c:pt>
                <c:pt idx="19">
                  <c:v>1.91</c:v>
                </c:pt>
                <c:pt idx="20">
                  <c:v>1.93</c:v>
                </c:pt>
                <c:pt idx="21">
                  <c:v>1.81</c:v>
                </c:pt>
                <c:pt idx="22">
                  <c:v>1.74</c:v>
                </c:pt>
                <c:pt idx="23">
                  <c:v>1.7</c:v>
                </c:pt>
              </c:numCache>
            </c:numRef>
          </c:val>
          <c:smooth val="1"/>
        </c:ser>
        <c:ser>
          <c:idx val="4"/>
          <c:order val="3"/>
          <c:tx>
            <c:strRef>
              <c:f>[工作簿2.xlsx]合肥市!$A$49</c:f>
              <c:strCache>
                <c:ptCount val="1"/>
                <c:pt idx="0">
                  <c:v>冬季</c:v>
                </c:pt>
              </c:strCache>
            </c:strRef>
          </c:tx>
          <c:spPr>
            <a:ln w="28575" cap="rnd">
              <a:solidFill>
                <a:srgbClr val="4BACC6"/>
              </a:solidFill>
              <a:round/>
            </a:ln>
            <a:effectLst/>
          </c:spPr>
          <c:marker>
            <c:symbol val="circle"/>
            <c:size val="5"/>
            <c:spPr>
              <a:solidFill>
                <a:srgbClr val="4BACC6"/>
              </a:solidFill>
              <a:ln w="9525">
                <a:solidFill>
                  <a:srgbClr val="4BACC6"/>
                </a:solidFill>
              </a:ln>
              <a:effectLst/>
            </c:spPr>
          </c:marker>
          <c:dLbls>
            <c:delete val="1"/>
          </c:dLbls>
          <c:val>
            <c:numRef>
              <c:f>[工作簿2.xlsx]合肥市!$B$49:$Y$49</c:f>
              <c:numCache>
                <c:formatCode>General</c:formatCode>
                <c:ptCount val="24"/>
                <c:pt idx="0">
                  <c:v>1.96</c:v>
                </c:pt>
                <c:pt idx="1">
                  <c:v>1.99</c:v>
                </c:pt>
                <c:pt idx="2">
                  <c:v>2.08</c:v>
                </c:pt>
                <c:pt idx="3">
                  <c:v>2.04</c:v>
                </c:pt>
                <c:pt idx="4">
                  <c:v>2.02</c:v>
                </c:pt>
                <c:pt idx="5">
                  <c:v>2.03</c:v>
                </c:pt>
                <c:pt idx="6">
                  <c:v>1.96</c:v>
                </c:pt>
                <c:pt idx="7">
                  <c:v>2.04</c:v>
                </c:pt>
                <c:pt idx="8">
                  <c:v>2.6</c:v>
                </c:pt>
                <c:pt idx="9">
                  <c:v>3.18</c:v>
                </c:pt>
                <c:pt idx="10">
                  <c:v>3.47</c:v>
                </c:pt>
                <c:pt idx="11">
                  <c:v>3.58</c:v>
                </c:pt>
                <c:pt idx="12">
                  <c:v>3.67</c:v>
                </c:pt>
                <c:pt idx="13">
                  <c:v>3.6</c:v>
                </c:pt>
                <c:pt idx="14">
                  <c:v>3.47</c:v>
                </c:pt>
                <c:pt idx="15">
                  <c:v>3.29</c:v>
                </c:pt>
                <c:pt idx="16">
                  <c:v>2.68</c:v>
                </c:pt>
                <c:pt idx="17">
                  <c:v>2.28</c:v>
                </c:pt>
                <c:pt idx="18">
                  <c:v>2.11</c:v>
                </c:pt>
                <c:pt idx="19">
                  <c:v>2.06</c:v>
                </c:pt>
                <c:pt idx="20">
                  <c:v>2.07</c:v>
                </c:pt>
                <c:pt idx="21">
                  <c:v>1.98</c:v>
                </c:pt>
                <c:pt idx="22">
                  <c:v>2.07</c:v>
                </c:pt>
                <c:pt idx="23">
                  <c:v>1.97</c:v>
                </c:pt>
              </c:numCache>
            </c:numRef>
          </c:val>
          <c:smooth val="1"/>
        </c:ser>
        <c:dLbls>
          <c:showLegendKey val="0"/>
          <c:showVal val="0"/>
          <c:showCatName val="0"/>
          <c:showSerName val="0"/>
          <c:showPercent val="0"/>
          <c:showBubbleSize val="0"/>
        </c:dLbls>
        <c:marker val="1"/>
        <c:smooth val="1"/>
        <c:axId val="536887967"/>
        <c:axId val="221427620"/>
      </c:lineChart>
      <c:catAx>
        <c:axId val="536887967"/>
        <c:scaling>
          <c:orientation val="minMax"/>
        </c:scaling>
        <c:delete val="0"/>
        <c:axPos val="b"/>
        <c:numFmt formatCode="General" sourceLinked="1"/>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221427620"/>
        <c:crosses val="autoZero"/>
        <c:auto val="1"/>
        <c:lblAlgn val="ctr"/>
        <c:lblOffset val="100"/>
        <c:noMultiLvlLbl val="0"/>
      </c:catAx>
      <c:valAx>
        <c:axId val="221427620"/>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crossAx val="536887967"/>
        <c:crosses val="autoZero"/>
        <c:crossBetween val="between"/>
      </c:valAx>
      <c:spPr>
        <a:noFill/>
        <a:ln>
          <a:noFill/>
        </a:ln>
        <a:effectLst/>
      </c:spPr>
    </c:plotArea>
    <c:legend>
      <c:legendPos val="b"/>
      <c:layout>
        <c:manualLayout>
          <c:xMode val="edge"/>
          <c:yMode val="edge"/>
          <c:x val="0.241670123047145"/>
          <c:y val="0.10490856592877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f7859e9b-bc7c-4c56-a352-ac34f9029f6d</errorID>
      <errorWord>安徽省淮南市港航局管理文件</errorWord>
      <group>L1_Other</group>
      <groupName>其他问题</groupName>
      <ability>L2_Consistency</ability>
      <abilityName>一致性检查</abilityName>
      <candidateList>
        <item>安徽省淮南市港航管理局</item>
      </candidateList>
      <explain>实体一致性，前后相同机构名称表述不一致，原文其他部分均使用“安徽省淮南市港航管理局”这一名称</explain>
      <paraID>787B83EB</paraID>
      <start>4</start>
      <end>17</end>
      <status>ignored</status>
      <modifiedWord/>
      <trackRevisions>false</trackRevisions>
    </reviewItem>
    <reviewItem>
      <errorID>e479aca5-71fc-4fe4-920c-276de0ff392a</errorID>
      <errorWord>32</errorWord>
      <group>L1_Grammar</group>
      <groupName>语法问题</groupName>
      <ability>L2_Grammar</ability>
      <abilityName>语法错误</abilityName>
      <candidateList>
        <item>总储量的32</item>
      </candidateList>
      <explain/>
      <paraID>21505D5B</paraID>
      <start>49</start>
      <end>51</end>
      <status>unmodified</status>
      <modifiedWord/>
      <trackRevisions>false</trackRevisions>
    </reviewItem>
    <reviewItem>
      <errorID>a3acce6b-fb4f-4205-975c-a82629524d36</errorID>
      <errorWord>。</errorWord>
      <group>L1_Punc</group>
      <groupName>标点问题</groupName>
      <ability>L2_Punc_CN</ability>
      <abilityName>标点符号问题</abilityName>
      <candidateList>
        <item/>
      </candidateList>
      <explain/>
      <paraID>4DA35E3A</paraID>
      <start>78</start>
      <end>79</end>
      <status>unmodified</status>
      <modifiedWord/>
      <trackRevisions>false</trackRevisions>
    </reviewItem>
    <reviewItem>
      <errorID>64012306-7264-4b55-9209-0b39a82da071</errorID>
      <errorWord>分析</errorWord>
      <group>L1_Word</group>
      <groupName>字词问题</groupName>
      <ability>L2_Typo</ability>
      <abilityName>字词错误</abilityName>
      <candidateList>
        <item> 分析</item>
      </candidateList>
      <explain/>
      <paraID>4535A7A4</paraID>
      <start>3</start>
      <end>6</end>
      <status>modified</status>
      <modifiedWord> 分析</modifiedWord>
      <trackRevisions>false</trackRevisions>
    </reviewItem>
    <reviewItem>
      <errorID>58cbbd70-d80a-4d98-af40-807139cffe84</errorID>
      <errorWord>产业政策</errorWord>
      <group>L1_Word</group>
      <groupName>字词问题</groupName>
      <ability>L2_Typo</ability>
      <abilityName>字词错误</abilityName>
      <candidateList>
        <item> 产业政策</item>
      </candidateList>
      <explain/>
      <paraID>28A89C9B</paraID>
      <start>5</start>
      <end>9</end>
      <status>unmodified</status>
      <modifiedWord/>
      <trackRevisions>false</trackRevisions>
    </reviewItem>
    <reviewItem>
      <errorID>55ca3bbc-5088-445b-a2d1-ed66d2aa8a3b</errorID>
      <errorWord>一</errorWord>
      <group>L1_Word</group>
      <groupName>字词问题</groupName>
      <ability>L2_Typo</ability>
      <abilityName>字词错误</abilityName>
      <candidateList>
        <item>—</item>
      </candidateList>
      <explain/>
      <paraID>623E1997</paraID>
      <start>95</start>
      <end>96</end>
      <status>unmodified</status>
      <modifiedWord/>
      <trackRevisions>false</trackRevisions>
    </reviewItem>
    <reviewItem>
      <errorID>8c010d1c-30b1-48c9-8313-c55133e19186</errorID>
      <errorWord>相关</errorWord>
      <group>L1_Word</group>
      <groupName>字词问题</groupName>
      <ability>L2_Typo</ability>
      <abilityName>字词错误</abilityName>
      <candidateList>
        <item> 相关</item>
      </candidateList>
      <explain/>
      <paraID>47AC886A</paraID>
      <start>5</start>
      <end>7</end>
      <status>unmodified</status>
      <modifiedWord/>
      <trackRevisions>false</trackRevisions>
    </reviewItem>
    <reviewItem>
      <errorID>d01dce6c-d66e-468c-9516-7a7beca8c3c1</errorID>
      <errorWord>问题包括</errorWord>
      <group>L1_Grammar</group>
      <groupName>语法问题</groupName>
      <ability>L2_Grammar</ability>
      <abilityName>语法错误</abilityName>
      <candidateList>
        <item>问题</item>
      </candidateList>
      <explain/>
      <paraID>2C14838D</paraID>
      <start>16</start>
      <end>20</end>
      <status>unmodified</status>
      <modifiedWord/>
      <trackRevisions>false</trackRevisions>
    </reviewItem>
    <reviewItem>
      <errorID>36620ccf-c851-496c-874e-149d62371bd7</errorID>
      <errorWord>实施</errorWord>
      <group>L1_Word</group>
      <groupName>字词问题</groupName>
      <ability>L2_Typo</ability>
      <abilityName>字词错误</abilityName>
      <candidateList>
        <item>施行</item>
      </candidateList>
      <explain/>
      <paraID>42CB8F4C</paraID>
      <start>24</start>
      <end>26</end>
      <status>unmodified</status>
      <modifiedWord/>
      <trackRevisions>false</trackRevisions>
    </reviewItem>
    <reviewItem>
      <errorID>54fc7d4a-f748-4a1d-a9c0-e0882e4dcb96</errorID>
      <errorWord>月1日施行</errorWord>
      <group>L1_Word</group>
      <groupName>字词问题</groupName>
      <ability>L2_Typo</ability>
      <abilityName>字词错误</abilityName>
      <candidateList>
        <item>月1日起施行</item>
      </candidateList>
      <explain/>
      <paraID>2782C3A6</paraID>
      <start>17</start>
      <end>22</end>
      <status>unmodified</status>
      <modifiedWord/>
      <trackRevisions>false</trackRevisions>
    </reviewItem>
    <reviewItem>
      <errorID>59e96c49-c7d4-44b4-b30d-01931456d15e</errorID>
      <errorWord>月1日施行</errorWord>
      <group>L1_Word</group>
      <groupName>字词问题</groupName>
      <ability>L2_Typo</ability>
      <abilityName>字词错误</abilityName>
      <candidateList>
        <item>月1日起施行</item>
      </candidateList>
      <explain/>
      <paraID>1569C393</paraID>
      <start>35</start>
      <end>40</end>
      <status>unmodified</status>
      <modifiedWord/>
      <trackRevisions>false</trackRevisions>
    </reviewItem>
    <reviewItem>
      <errorID>733b0977-10e0-46b9-b5b3-371966c4ea78</errorID>
      <errorWord>月1日实施</errorWord>
      <group>L1_Word</group>
      <groupName>字词问题</groupName>
      <ability>L2_Typo</ability>
      <abilityName>字词错误</abilityName>
      <candidateList>
        <item>月1日起实施</item>
      </candidateList>
      <explain/>
      <paraID>3055BC69</paraID>
      <start>34</start>
      <end>39</end>
      <status>unmodified</status>
      <modifiedWord/>
      <trackRevisions>false</trackRevisions>
    </reviewItem>
    <reviewItem>
      <errorID>152cb636-1fb0-476a-b6f9-ac428f5ad642</errorID>
      <errorWord> </errorWord>
      <group>L1_Punc</group>
      <groupName>标点问题</groupName>
      <ability>L2_Punc_CN</ability>
      <abilityName>标点符号问题</abilityName>
      <candidateList>
        <item>，</item>
      </candidateList>
      <explain/>
      <paraID>5036F81A</paraID>
      <start>51</start>
      <end>52</end>
      <status>unmodified</status>
      <modifiedWord/>
      <trackRevisions>false</trackRevisions>
    </reviewItem>
    <reviewItem>
      <errorID>94baec7c-43d7-4dca-94cb-a7ec77a0beb0</errorID>
      <errorWord>地方法规</errorWord>
      <group>L1_Political</group>
      <groupName>政治性问题</groupName>
      <ability>L2_Unpolitical</ability>
      <abilityName>政治敏感错误</abilityName>
      <candidateList>
        <item>地方性法规</item>
      </candidateList>
      <explain/>
      <paraID>21E58512</paraID>
      <start>5</start>
      <end>9</end>
      <status>unmodified</status>
      <modifiedWord/>
      <trackRevisions>false</trackRevisions>
    </reviewItem>
    <reviewItem>
      <errorID>8fb23701-1c0c-44ff-8a7a-dc174b684ca0</errorID>
      <errorWord>评价执行</errorWord>
      <group>L1_Grammar</group>
      <groupName>语法问题</groupName>
      <ability>L2_Grammar</ability>
      <abilityName>语法错误</abilityName>
      <candidateList>
        <item>评价</item>
      </candidateList>
      <explain/>
      <paraID>68748117</paraID>
      <start>7</start>
      <end>11</end>
      <status>unmodified</status>
      <modifiedWord/>
      <trackRevisions>false</trackRevisions>
    </reviewItem>
    <reviewItem>
      <errorID>5f1fe0e0-5afb-4710-94b0-8f71fff4c7d3</errorID>
      <errorWord>日起</errorWord>
      <group>L1_Word</group>
      <groupName>字词问题</groupName>
      <ability>L2_Typo</ability>
      <abilityName>字词错误</abilityName>
      <candidateList>
        <item>日</item>
      </candidateList>
      <explain/>
      <paraID>6F194337</paraID>
      <start>40</start>
      <end>42</end>
      <status>unmodified</status>
      <modifiedWord/>
      <trackRevisions>false</trackRevisions>
    </reviewItem>
    <reviewItem>
      <errorID>abbe0fc8-babd-4610-8a84-0c4a63bad35b</errorID>
      <errorWord>GB3096</errorWord>
      <group>L1_Word</group>
      <groupName>字词问题</groupName>
      <ability>L2_Typo</ability>
      <abilityName>字词错误</abilityName>
      <candidateList>
        <item>GB 3096</item>
      </candidateList>
      <explain/>
      <paraID>723FC599</paraID>
      <start>20</start>
      <end>27</end>
      <status>modified</status>
      <modifiedWord>GB 3096</modifiedWord>
      <trackRevisions>false</trackRevisions>
    </reviewItem>
    <reviewItem>
      <errorID>f4a944b4-b97a-4a6b-bcc3-1981db0d04d4</errorID>
      <errorWord>GB3096</errorWord>
      <group>L1_Word</group>
      <groupName>字词问题</groupName>
      <ability>L2_Typo</ability>
      <abilityName>字词错误</abilityName>
      <candidateList>
        <item>GB 3096</item>
      </candidateList>
      <explain/>
      <paraID>723FC599</paraID>
      <start>66</start>
      <end>73</end>
      <status>modified</status>
      <modifiedWord>GB 3096</modifiedWord>
      <trackRevisions>false</trackRevisions>
    </reviewItem>
    <reviewItem>
      <errorID>aaf8a39b-e9bb-4158-8137-10c88ee8f935</errorID>
      <errorWord>*</errorWord>
      <group>L1_Punc</group>
      <groupName>标点问题</groupName>
      <ability>L2_Punc_CN</ability>
      <abilityName>标点符号问题</abilityName>
      <candidateList/>
      <explain/>
      <paraID> 6D2B3AC</paraID>
      <start>0</start>
      <end>1</end>
      <status>ignored</status>
      <modifiedWord/>
      <trackRevisions>false</trackRevisions>
    </reviewItem>
    <reviewItem>
      <errorID>b6fa492d-c707-46a7-9e74-a2c604c76c7e</errorID>
      <errorWord>一日</errorWord>
      <group>L1_Word</group>
      <groupName>字词问题</groupName>
      <ability>L2_Typo</ability>
      <abilityName>字词错误</abilityName>
      <candidateList>
        <item>指一日</item>
      </candidateList>
      <explain/>
      <paraID> 6D2B3AC</paraID>
      <start>2</start>
      <end>4</end>
      <status>unmodified</status>
      <modifiedWord/>
      <trackRevisions>false</trackRevisions>
    </reviewItem>
    <reviewItem>
      <errorID>8fa8bc8d-c190-45e6-b1fa-5f37555778df</errorID>
      <errorWord>（</errorWord>
      <group>L1_Format</group>
      <groupName>格式问题</groupName>
      <ability>L2_HalfPunc_CN</ability>
      <abilityName>全半角问题</abilityName>
      <candidateList>
        <item>(</item>
      </candidateList>
      <explain>文本全半角错误。</explain>
      <paraID>1E15A953</paraID>
      <start>0</start>
      <end>1</end>
      <status>ignored</status>
      <modifiedWord/>
      <trackRevisions>false</trackRevisions>
    </reviewItem>
    <reviewItem>
      <errorID>72bb7c17-7623-454c-889c-2c9bf215d9b5</errorID>
      <errorWord>）（</errorWord>
      <group>L1_Format</group>
      <groupName>格式问题</groupName>
      <ability>L2_HalfPunc_CN</ability>
      <abilityName>全半角问题</abilityName>
      <candidateList>
        <item>)(</item>
      </candidateList>
      <explain>文本全半角错误。</explain>
      <paraID>1E15A953</paraID>
      <start>5</start>
      <end>7</end>
      <status>ignored</status>
      <modifiedWord/>
      <trackRevisions>false</trackRevisions>
    </reviewItem>
    <reviewItem>
      <errorID>88b0615d-f090-4e4d-9f95-c850c675f44c</errorID>
      <errorWord>）</errorWord>
      <group>L1_Format</group>
      <groupName>格式问题</groupName>
      <ability>L2_HalfPunc_CN</ability>
      <abilityName>全半角问题</abilityName>
      <candidateList>
        <item>)</item>
      </candidateList>
      <explain>文本全半角错误。</explain>
      <paraID>1E15A953</paraID>
      <start>9</start>
      <end>10</end>
      <status>ignored</status>
      <modifiedWord/>
      <trackRevisions>false</trackRevisions>
    </reviewItem>
    <reviewItem>
      <errorID>e220ce54-3d65-4ae5-92eb-b6ca02e24428</errorID>
      <errorWord>（</errorWord>
      <group>L1_Format</group>
      <groupName>格式问题</groupName>
      <ability>L2_HalfPunc_CN</ability>
      <abilityName>全半角问题</abilityName>
      <candidateList>
        <item>(</item>
      </candidateList>
      <explain>文本全半角错误。</explain>
      <paraID>1548B2BF</paraID>
      <start>0</start>
      <end>1</end>
      <status>ignored</status>
      <modifiedWord/>
      <trackRevisions>false</trackRevisions>
    </reviewItem>
    <reviewItem>
      <errorID>90780ff0-b38c-40ab-bb33-73eb1b62f764</errorID>
      <errorWord>）</errorWord>
      <group>L1_Format</group>
      <groupName>格式问题</groupName>
      <ability>L2_HalfPunc_CN</ability>
      <abilityName>全半角问题</abilityName>
      <candidateList>
        <item>)</item>
      </candidateList>
      <explain>文本全半角错误。</explain>
      <paraID>1548B2BF</paraID>
      <start>6</start>
      <end>7</end>
      <status>ignored</status>
      <modifiedWord/>
      <trackRevisions>false</trackRevisions>
    </reviewItem>
    <reviewItem>
      <errorID>59dcc1f6-ad3a-45b8-88b7-a1fe8a1ed5e6</errorID>
      <errorWord>（</errorWord>
      <group>L1_Format</group>
      <groupName>格式问题</groupName>
      <ability>L2_HalfPunc_CN</ability>
      <abilityName>全半角问题</abilityName>
      <candidateList>
        <item>(</item>
      </candidateList>
      <explain>文本全半角错误。</explain>
      <paraID>4BA9B343</paraID>
      <start>0</start>
      <end>1</end>
      <status>ignored</status>
      <modifiedWord/>
      <trackRevisions>false</trackRevisions>
    </reviewItem>
    <reviewItem>
      <errorID>77365df4-bc2f-43dd-8321-0e21a84bbb2d</errorID>
      <errorWord>）</errorWord>
      <group>L1_Format</group>
      <groupName>格式问题</groupName>
      <ability>L2_HalfPunc_CN</ability>
      <abilityName>全半角问题</abilityName>
      <candidateList>
        <item>)</item>
      </candidateList>
      <explain>文本全半角错误。</explain>
      <paraID>4BA9B343</paraID>
      <start>6</start>
      <end>7</end>
      <status>ignored</status>
      <modifiedWord/>
      <trackRevisions>false</trackRevisions>
    </reviewItem>
    <reviewItem>
      <errorID>32d43745-3685-47c3-8d43-0c65db4d575d</errorID>
      <errorWord>（</errorWord>
      <group>L1_Format</group>
      <groupName>格式问题</groupName>
      <ability>L2_HalfPunc_CN</ability>
      <abilityName>全半角问题</abilityName>
      <candidateList>
        <item>(</item>
      </candidateList>
      <explain>文本全半角错误。</explain>
      <paraID>16070C6D</paraID>
      <start>0</start>
      <end>1</end>
      <status>ignored</status>
      <modifiedWord/>
      <trackRevisions>false</trackRevisions>
    </reviewItem>
    <reviewItem>
      <errorID>00e2e5a3-b708-4647-a8f1-8c9685f7713f</errorID>
      <errorWord>）</errorWord>
      <group>L1_Format</group>
      <groupName>格式问题</groupName>
      <ability>L2_HalfPunc_CN</ability>
      <abilityName>全半角问题</abilityName>
      <candidateList>
        <item>)</item>
      </candidateList>
      <explain>文本全半角错误。</explain>
      <paraID>16070C6D</paraID>
      <start>6</start>
      <end>7</end>
      <status>ignored</status>
      <modifiedWord/>
      <trackRevisions>false</trackRevisions>
    </reviewItem>
    <reviewItem>
      <errorID>5f26944b-6c8b-4ea0-a27c-7c0bc9bef2ce</errorID>
      <errorWord>（</errorWord>
      <group>L1_Format</group>
      <groupName>格式问题</groupName>
      <ability>L2_HalfPunc_CN</ability>
      <abilityName>全半角问题</abilityName>
      <candidateList>
        <item>(</item>
      </candidateList>
      <explain>文本全半角错误。</explain>
      <paraID>53DF17C9</paraID>
      <start>0</start>
      <end>1</end>
      <status>ignored</status>
      <modifiedWord/>
      <trackRevisions>false</trackRevisions>
    </reviewItem>
    <reviewItem>
      <errorID>26e73608-8aa5-465b-a3b3-78009a2143bc</errorID>
      <errorWord>）</errorWord>
      <group>L1_Format</group>
      <groupName>格式问题</groupName>
      <ability>L2_HalfPunc_CN</ability>
      <abilityName>全半角问题</abilityName>
      <candidateList>
        <item>)</item>
      </candidateList>
      <explain>文本全半角错误。</explain>
      <paraID>53DF17C9</paraID>
      <start>6</start>
      <end>7</end>
      <status>ignored</status>
      <modifiedWord/>
      <trackRevisions>false</trackRevisions>
    </reviewItem>
    <reviewItem>
      <errorID>bdf5b50b-8b08-4c1a-b5e0-db8683de2afd</errorID>
      <errorWord>（</errorWord>
      <group>L1_Format</group>
      <groupName>格式问题</groupName>
      <ability>L2_HalfPunc_CN</ability>
      <abilityName>全半角问题</abilityName>
      <candidateList>
        <item>(</item>
      </candidateList>
      <explain>文本全半角错误。</explain>
      <paraID>4DAF141D</paraID>
      <start>0</start>
      <end>1</end>
      <status>ignored</status>
      <modifiedWord/>
      <trackRevisions>false</trackRevisions>
    </reviewItem>
    <reviewItem>
      <errorID>69cf39c0-94fe-42d3-95d1-fd2ddd2ded2b</errorID>
      <errorWord>）</errorWord>
      <group>L1_Format</group>
      <groupName>格式问题</groupName>
      <ability>L2_HalfPunc_CN</ability>
      <abilityName>全半角问题</abilityName>
      <candidateList>
        <item>)</item>
      </candidateList>
      <explain>文本全半角错误。</explain>
      <paraID>4DAF141D</paraID>
      <start>6</start>
      <end>7</end>
      <status>ignored</status>
      <modifiedWord/>
      <trackRevisions>false</trackRevisions>
    </reviewItem>
    <reviewItem>
      <errorID>06242198-8a73-4fde-a2e9-50b107d39b99</errorID>
      <errorWord>的自</errorWord>
      <group>L1_Word</group>
      <groupName>字词问题</groupName>
      <ability>L2_Typo</ability>
      <abilityName>字词错误</abilityName>
      <candidateList>
        <item>且在</item>
      </candidateList>
      <explain/>
      <paraID>52498955</paraID>
      <start>24</start>
      <end>26</end>
      <status>unmodified</status>
      <modifiedWord/>
      <trackRevisions>false</trackRevisions>
    </reviewItem>
    <reviewItem>
      <errorID>316cf516-d27d-4be8-9a23-265dd586cc02</errorID>
      <errorWord>。</errorWord>
      <group>L1_Punc</group>
      <groupName>标点问题</groupName>
      <ability>L2_Punc_CN</ability>
      <abilityName>标点符号问题</abilityName>
      <candidateList>
        <item/>
      </candidateList>
      <explain/>
      <paraID>58D1A356</paraID>
      <start>74</start>
      <end>75</end>
      <status>ignored</status>
      <modifiedWord/>
      <trackRevisions>false</trackRevisions>
    </reviewItem>
    <reviewItem>
      <errorID>e7639a0d-745b-496c-ae2e-42158d544a92</errorID>
      <errorWord>（</errorWord>
      <group>L1_Format</group>
      <groupName>格式问题</groupName>
      <ability>L2_HalfPunc_CN</ability>
      <abilityName>全半角问题</abilityName>
      <candidateList>
        <item>(</item>
      </candidateList>
      <explain>文本全半角错误。</explain>
      <paraID>134DDAFA</paraID>
      <start>4</start>
      <end>5</end>
      <status>ignored</status>
      <modifiedWord/>
      <trackRevisions>false</trackRevisions>
    </reviewItem>
    <reviewItem>
      <errorID>90735688-7a41-4470-8be2-39d443cf42cc</errorID>
      <errorWord>）</errorWord>
      <group>L1_Format</group>
      <groupName>格式问题</groupName>
      <ability>L2_HalfPunc_CN</ability>
      <abilityName>全半角问题</abilityName>
      <candidateList>
        <item>)</item>
      </candidateList>
      <explain>文本全半角错误。</explain>
      <paraID>134DDAFA</paraID>
      <start>9</start>
      <end>10</end>
      <status>ignored</status>
      <modifiedWord/>
      <trackRevisions>false</trackRevisions>
    </reviewItem>
    <reviewItem>
      <errorID>961db451-7010-4e82-9aa1-a8921de85883</errorID>
      <errorWord>（</errorWord>
      <group>L1_Format</group>
      <groupName>格式问题</groupName>
      <ability>L2_HalfPunc_CN</ability>
      <abilityName>全半角问题</abilityName>
      <candidateList>
        <item>(</item>
      </candidateList>
      <explain>文本全半角错误。</explain>
      <paraID>35E3F9E4</paraID>
      <start>2</start>
      <end>3</end>
      <status>ignored</status>
      <modifiedWord/>
      <trackRevisions>false</trackRevisions>
    </reviewItem>
    <reviewItem>
      <errorID>5c1da632-be52-4fd3-bded-2692db5de282</errorID>
      <errorWord>）</errorWord>
      <group>L1_Format</group>
      <groupName>格式问题</groupName>
      <ability>L2_HalfPunc_CN</ability>
      <abilityName>全半角问题</abilityName>
      <candidateList>
        <item>)</item>
      </candidateList>
      <explain>文本全半角错误。</explain>
      <paraID>35E3F9E4</paraID>
      <start>7</start>
      <end>8</end>
      <status>ignored</status>
      <modifiedWord/>
      <trackRevisions>false</trackRevisions>
    </reviewItem>
    <reviewItem>
      <errorID>bd06c386-5d57-4a4d-9cd1-ce24f3a7fbbb</errorID>
      <errorWord>（</errorWord>
      <group>L1_Format</group>
      <groupName>格式问题</groupName>
      <ability>L2_HalfPunc_CN</ability>
      <abilityName>全半角问题</abilityName>
      <candidateList>
        <item>(</item>
      </candidateList>
      <explain>文本全半角错误。</explain>
      <paraID>7F2AB725</paraID>
      <start>3</start>
      <end>4</end>
      <status>ignored</status>
      <modifiedWord/>
      <trackRevisions>false</trackRevisions>
    </reviewItem>
    <reviewItem>
      <errorID>80974a49-b92b-42e1-9b97-f0fb1cb7b04d</errorID>
      <errorWord>）</errorWord>
      <group>L1_Format</group>
      <groupName>格式问题</groupName>
      <ability>L2_HalfPunc_CN</ability>
      <abilityName>全半角问题</abilityName>
      <candidateList>
        <item>)</item>
      </candidateList>
      <explain>文本全半角错误。</explain>
      <paraID>7F2AB725</paraID>
      <start>8</start>
      <end>9</end>
      <status>ignored</status>
      <modifiedWord/>
      <trackRevisions>false</trackRevisions>
    </reviewItem>
    <reviewItem>
      <errorID>39361b2b-6a9c-4e9f-bbd1-5a3e88521680</errorID>
      <errorWord>无不</errorWord>
      <group>L1_Word</group>
      <groupName>字词问题</groupName>
      <ability>L2_Typo</ability>
      <abilityName>字词错误</abilityName>
      <candidateList>
        <item>无比</item>
      </candidateList>
      <explain>存在发音相近字词的误用。</explain>
      <paraID> 7F01D74</paraID>
      <start>0</start>
      <end>2</end>
      <status>ignored</status>
      <modifiedWord/>
      <trackRevisions>false</trackRevisions>
    </reviewItem>
    <reviewItem>
      <errorID>0eab6483-623e-440e-a1c9-f557b71c1dd7</errorID>
      <errorWord>无不</errorWord>
      <group>L1_Word</group>
      <groupName>字词问题</groupName>
      <ability>L2_Typo</ability>
      <abilityName>字词错误</abilityName>
      <candidateList>
        <item>无比</item>
      </candidateList>
      <explain>存在发音相近字词的误用。</explain>
      <paraID>506E326A</paraID>
      <start>0</start>
      <end>2</end>
      <status>ignored</status>
      <modifiedWord/>
      <trackRevisions>false</trackRevisions>
    </reviewItem>
    <reviewItem>
      <errorID>a13cef27-a542-48d7-91ab-7ca010843d42</errorID>
      <errorWord>（</errorWord>
      <group>L1_Format</group>
      <groupName>格式问题</groupName>
      <ability>L2_HalfPunc_CN</ability>
      <abilityName>全半角问题</abilityName>
      <candidateList>
        <item>(</item>
      </candidateList>
      <explain>文本全半角错误。</explain>
      <paraID>4FA5FF95</paraID>
      <start>4</start>
      <end>5</end>
      <status>ignored</status>
      <modifiedWord/>
      <trackRevisions>false</trackRevisions>
    </reviewItem>
    <reviewItem>
      <errorID>8606d446-6d73-4112-a2e3-0469fcb3a8f2</errorID>
      <errorWord>）</errorWord>
      <group>L1_Format</group>
      <groupName>格式问题</groupName>
      <ability>L2_HalfPunc_CN</ability>
      <abilityName>全半角问题</abilityName>
      <candidateList>
        <item>)</item>
      </candidateList>
      <explain>文本全半角错误。</explain>
      <paraID>4FA5FF95</paraID>
      <start>9</start>
      <end>10</end>
      <status>ignored</status>
      <modifiedWord/>
      <trackRevisions>false</trackRevisions>
    </reviewItem>
    <reviewItem>
      <errorID>05dcd8cf-d47c-4dfd-b60a-0593237e82f8</errorID>
      <errorWord>（</errorWord>
      <group>L1_Format</group>
      <groupName>格式问题</groupName>
      <ability>L2_HalfPunc_CN</ability>
      <abilityName>全半角问题</abilityName>
      <candidateList>
        <item>(</item>
      </candidateList>
      <explain>文本全半角错误。</explain>
      <paraID>447FBBD9</paraID>
      <start>4</start>
      <end>5</end>
      <status>ignored</status>
      <modifiedWord/>
      <trackRevisions>false</trackRevisions>
    </reviewItem>
    <reviewItem>
      <errorID>2e831860-bc9e-4eee-8560-4356834240fb</errorID>
      <errorWord>）</errorWord>
      <group>L1_Format</group>
      <groupName>格式问题</groupName>
      <ability>L2_HalfPunc_CN</ability>
      <abilityName>全半角问题</abilityName>
      <candidateList>
        <item>)</item>
      </candidateList>
      <explain>文本全半角错误。</explain>
      <paraID>447FBBD9</paraID>
      <start>9</start>
      <end>10</end>
      <status>ignored</status>
      <modifiedWord/>
      <trackRevisions>false</trackRevisions>
    </reviewItem>
    <reviewItem>
      <errorID>aa79fe4d-be0b-40bf-9c28-ffd82e0cc836</errorID>
      <errorWord>噪声</errorWord>
      <group>L1_Grammar</group>
      <groupName>语法问题</groupName>
      <ability>L2_Grammar</ability>
      <abilityName>语法错误</abilityName>
      <candidateList>
        <item>场界环境噪声</item>
      </candidateList>
      <explain/>
      <paraID>2B331314</paraID>
      <start>17</start>
      <end>19</end>
      <status>ignored</status>
      <modifiedWord/>
      <trackRevisions>false</trackRevisions>
    </reviewItem>
    <reviewItem>
      <errorID>24eedc50-912e-459b-b949-cdb469db6a29</errorID>
      <errorWord>GB12348</errorWord>
      <group>L1_Word</group>
      <groupName>字词问题</groupName>
      <ability>L2_Typo</ability>
      <abilityName>字词错误</abilityName>
      <candidateList>
        <item>GB 12348</item>
      </candidateList>
      <explain/>
      <paraID>284C0299</paraID>
      <start>40</start>
      <end>48</end>
      <status>modified</status>
      <modifiedWord>GB 12348</modifiedWord>
      <trackRevisions>false</trackRevisions>
    </reviewItem>
    <reviewItem>
      <errorID>89f57838-cf3b-46bf-9812-b7e3ee3043b0</errorID>
      <errorWord>（Ci/C0i）</errorWord>
      <group>L1_Punc</group>
      <groupName>标点问题</groupName>
      <ability>L2_Punc_CN</ability>
      <abilityName>标点符号问题</abilityName>
      <candidateList>
        <item>(Ci/C0i)</item>
      </candidateList>
      <explain/>
      <paraID>15D96EFB</paraID>
      <start>3</start>
      <end>11</end>
      <status>ignored</status>
      <modifiedWord/>
      <trackRevisions>false</trackRevisions>
    </reviewItem>
    <reviewItem>
      <errorID>3cbbede0-ec47-40bf-b9d8-632721806e69</errorID>
      <errorWord>(</errorWord>
      <group>L1_Format</group>
      <groupName>格式问题</groupName>
      <ability>L2_HalfPunc_CN</ability>
      <abilityName>全半角问题</abilityName>
      <candidateList>
        <item>（</item>
      </candidateList>
      <explain>文本全半角错误。</explain>
      <paraID>14F52004</paraID>
      <start>6</start>
      <end>7</end>
      <status>ignored</status>
      <modifiedWord/>
      <trackRevisions>false</trackRevisions>
    </reviewItem>
    <reviewItem>
      <errorID>bb774012-4b4e-4e97-9b86-f02edf2c1c7f</errorID>
      <errorWord>20km2</errorWord>
      <group>L1_Word</group>
      <groupName>字词问题</groupName>
      <ability>L2_Typo</ability>
      <abilityName>字词错误</abilityName>
      <candidateList>
        <item>20km²</item>
      </candidateList>
      <explain/>
      <paraID>1369949F</paraID>
      <start>18</start>
      <end>23</end>
      <status>unmodified</status>
      <modifiedWord/>
      <trackRevisions>false</trackRevisions>
    </reviewItem>
    <reviewItem>
      <errorID>0ed9a0f0-8a98-46f7-bdbc-ead62b2e0d17</errorID>
      <errorWord>0024km2</errorWord>
      <group>L1_Word</group>
      <groupName>字词问题</groupName>
      <ability>L2_Typo</ability>
      <abilityName>字词错误</abilityName>
      <candidateList>
        <item>0024km²</item>
      </candidateList>
      <explain/>
      <paraID>407B7109</paraID>
      <start>10</start>
      <end>17</end>
      <status>unmodified</status>
      <modifiedWord/>
      <trackRevisions>false</trackRevisions>
    </reviewItem>
    <reviewItem>
      <errorID>1c3df03c-52d5-460a-b272-d16f596d1ad1</errorID>
      <errorWord>20km2</errorWord>
      <group>L1_Word</group>
      <groupName>字词问题</groupName>
      <ability>L2_Typo</ability>
      <abilityName>字词错误</abilityName>
      <candidateList>
        <item>20km²</item>
      </candidateList>
      <explain/>
      <paraID>407B7109</paraID>
      <start>18</start>
      <end>23</end>
      <status>unmodified</status>
      <modifiedWord/>
      <trackRevisions>false</trackRevisions>
    </reviewItem>
    <reviewItem>
      <errorID>4509967b-1fec-45cc-945f-8b78ed71a546</errorID>
      <errorWord>61m3左右</errorWord>
      <group>L1_Grammar</group>
      <groupName>语法问题</groupName>
      <ability>L2_Grammar</ability>
      <abilityName>语法错误</abilityName>
      <candidateList>
        <item>61m³</item>
      </candidateList>
      <explain/>
      <paraID>7EC2A93C</paraID>
      <start>187</start>
      <end>193</end>
      <status>unmodified</status>
      <modifiedWord/>
      <trackRevisions>false</trackRevisions>
    </reviewItem>
    <reviewItem>
      <errorID>0a7a69e5-ebbf-46e3-985f-e4f658874b0b</errorID>
      <errorWord>IV</errorWord>
      <group>L1_Knowledge</group>
      <groupName>知识性问题</groupName>
      <ability>L2_Knowledge</ability>
      <abilityName>其他知识</abilityName>
      <candidateList>
        <item>Ⅳ</item>
      </candidateList>
      <explain>中文环境下罗马数字格式错误。</explain>
      <paraID>1294ABE5</paraID>
      <start>0</start>
      <end>2</end>
      <status>unmodified</status>
      <modifiedWord/>
      <trackRevisions>false</trackRevisions>
    </reviewItem>
    <reviewItem>
      <errorID>37f48476-a88a-492f-b090-108110ff1606</errorID>
      <errorWord>III</errorWord>
      <group>L1_Word</group>
      <groupName>字词问题</groupName>
      <ability>L2_Typo</ability>
      <abilityName>字词错误</abilityName>
      <candidateList>
        <item>Ⅲ</item>
      </candidateList>
      <explain/>
      <paraID>73D25796</paraID>
      <start>0</start>
      <end>3</end>
      <status>unmodified</status>
      <modifiedWord/>
      <trackRevisions>false</trackRevisions>
    </reviewItem>
    <reviewItem>
      <errorID>5ab506ac-5bf9-4c96-b6ce-af69ea4c4eab</errorID>
      <errorWord>。</errorWord>
      <group>L1_Punc</group>
      <groupName>标点问题</groupName>
      <ability>L2_Punc_CN</ability>
      <abilityName>标点符号问题</abilityName>
      <candidateList>
        <item>”</item>
      </candidateList>
      <explain/>
      <paraID>62C01933</paraID>
      <start>209</start>
      <end>210</end>
      <status>unmodified</status>
      <modifiedWord/>
      <trackRevisions>false</trackRevisions>
    </reviewItem>
    <reviewItem>
      <errorID>75af5032-1578-4c28-a0cb-25659bdc45a2</errorID>
      <errorWord>”</errorWord>
      <group>L1_Punc</group>
      <groupName>标点问题</groupName>
      <ability>L2_Punc_CN</ability>
      <abilityName>标点符号问题</abilityName>
      <candidateList>
        <item/>
      </candidateList>
      <explain/>
      <paraID>62C01933</paraID>
      <start>263</start>
      <end>264</end>
      <status>unmodified</status>
      <modifiedWord/>
      <trackRevisions>false</trackRevisions>
    </reviewItem>
    <reviewItem>
      <errorID>347ce854-2455-43be-bcf2-c783a84b777d</errorID>
      <errorWord>、</errorWord>
      <group>L1_Word</group>
      <groupName>字词问题</groupName>
      <ability>L2_Typo</ability>
      <abilityName>字词错误</abilityName>
      <candidateList>
        <item>和</item>
      </candidateList>
      <explain/>
      <paraID>6F2CE068</paraID>
      <start>233</start>
      <end>234</end>
      <status>unmodified</status>
      <modifiedWord/>
      <trackRevisions>false</trackRevisions>
    </reviewItem>
    <reviewItem>
      <errorID>65396679-424d-4a85-bbda-6c0a4f0b79d6</errorID>
      <errorWord>。</errorWord>
      <group>L1_Punc</group>
      <groupName>标点问题</groupName>
      <ability>L2_Punc_CN</ability>
      <abilityName>标点符号问题</abilityName>
      <candidateList>
        <item>，</item>
      </candidateList>
      <explain/>
      <paraID>3C9DE904</paraID>
      <start>52</start>
      <end>53</end>
      <status>unmodified</status>
      <modifiedWord/>
      <trackRevisions>false</trackRevisions>
    </reviewItem>
    <reviewItem>
      <errorID>0698a98f-c692-4829-8728-27e4e3464250</errorID>
      <errorWord>长度</errorWord>
      <group>L1_Word</group>
      <groupName>字词问题</groupName>
      <ability>L2_Typo</ability>
      <abilityName>字词错误</abilityName>
      <candidateList>
        <item>的距离</item>
      </candidateList>
      <explain/>
      <paraID> 7DB08D0</paraID>
      <start>67</start>
      <end>69</end>
      <status>unmodified</status>
      <modifiedWord/>
      <trackRevisions>false</trackRevisions>
    </reviewItem>
    <reviewItem>
      <errorID>bbc0df59-e13d-4fe9-98cb-fdfba368302e</errorID>
      <errorWord>长度</errorWord>
      <group>L1_Word</group>
      <groupName>字词问题</groupName>
      <ability>L2_Typo</ability>
      <abilityName>字词错误</abilityName>
      <candidateList>
        <item>的距离</item>
      </candidateList>
      <explain/>
      <paraID> 7DB08D0</paraID>
      <start>114</start>
      <end>116</end>
      <status>unmodified</status>
      <modifiedWord/>
      <trackRevisions>false</trackRevisions>
    </reviewItem>
    <reviewItem>
      <errorID>389939f1-5ecf-4f58-9ffb-36c51f75a9df</errorID>
      <errorWord>；</errorWord>
      <group>L1_Punc</group>
      <groupName>标点问题</groupName>
      <ability>L2_Punc_CN</ability>
      <abilityName>标点符号问题</abilityName>
      <candidateList>
        <item>。</item>
      </candidateList>
      <explain/>
      <paraID>5D19AA9C</paraID>
      <start>100</start>
      <end>101</end>
      <status>modified</status>
      <modifiedWord>。</modifiedWord>
      <trackRevisions>false</trackRevisions>
    </reviewItem>
    <reviewItem>
      <errorID>5a9a6b12-cec9-459f-8bf6-893c774202e6</errorID>
      <errorWord>亿元</errorWord>
      <group>L1_Grammar</group>
      <groupName>语法问题</groupName>
      <ability>L2_Grammar</ability>
      <abilityName>语法错误</abilityName>
      <candidateList>
        <item>若干亿元</item>
      </candidateList>
      <explain/>
      <paraID>5D234034</paraID>
      <start>164</start>
      <end>166</end>
      <status>unmodified</status>
      <modifiedWord/>
      <trackRevisions>false</trackRevisions>
    </reviewItem>
    <reviewItem>
      <errorID>0febeb38-3cb1-448f-8769-48b8e64e8964</errorID>
      <errorWord>污染环境</errorWord>
      <group>L1_Grammar</group>
      <groupName>语法问题</groupName>
      <ability>L2_Grammar</ability>
      <abilityName>语法错误</abilityName>
      <candidateList>
        <item>避免污染环境</item>
      </candidateList>
      <explain/>
      <paraID>37C5D67E</paraID>
      <start>77</start>
      <end>81</end>
      <status>unmodified</status>
      <modifiedWord/>
      <trackRevisions>false</trackRevisions>
    </reviewItem>
    <reviewItem>
      <errorID>7a5d895f-faa3-4ede-8aa4-a5b8e8c49cd7</errorID>
      <errorWord>建设</errorWord>
      <group>L1_Grammar</group>
      <groupName>语法问题</groupName>
      <ability>L2_Grammar</ability>
      <abilityName>语法错误</abilityName>
      <candidateList>
        <item>使其建设</item>
      </candidateList>
      <explain/>
      <paraID>57083829</paraID>
      <start>110</start>
      <end>112</end>
      <status>unmodified</status>
      <modifiedWord/>
      <trackRevisions>false</trackRevisions>
    </reviewItem>
    <reviewItem>
      <errorID>9d84d598-eab9-4c2d-b12d-08dae4313ec9</errorID>
      <errorWord>段</errorWord>
      <group>L1_Grammar</group>
      <groupName>语法问题</groupName>
      <ability>L2_Grammar</ability>
      <abilityName>语法错误</abilityName>
      <candidateList>
        <item>段所在岸段</item>
      </candidateList>
      <explain/>
      <paraID>60F20AE9</paraID>
      <start>14</start>
      <end>15</end>
      <status>unmodified</status>
      <modifiedWord/>
      <trackRevisions>false</trackRevisions>
    </reviewItem>
    <reviewItem>
      <errorID>ef59708f-2989-4633-848a-ff4fafaccd5b</errorID>
      <errorWord>（</errorWord>
      <group>L1_Punc</group>
      <groupName>标点问题</groupName>
      <ability>L2_Punc_CN</ability>
      <abilityName>标点符号问题</abilityName>
      <candidateList/>
      <explain>同一形式括号套用。</explain>
      <paraID>6D3C944A</paraID>
      <start>13</start>
      <end>14</end>
      <status>ignored</status>
      <modifiedWord/>
      <trackRevisions>false</trackRevisions>
    </reviewItem>
    <reviewItem>
      <errorID>64cc21d6-00e4-4129-91b4-f81c535d0674</errorID>
      <errorWord>）</errorWord>
      <group>L1_Punc</group>
      <groupName>标点问题</groupName>
      <ability>L2_Punc_CN</ability>
      <abilityName>标点符号问题</abilityName>
      <candidateList/>
      <explain>同一形式括号套用。</explain>
      <paraID>6D3C944A</paraID>
      <start>16</start>
      <end>17</end>
      <status>unmodified</status>
      <modifiedWord/>
      <trackRevisions>false</trackRevisions>
    </reviewItem>
    <reviewItem>
      <errorID>4ba97662-88e6-4093-bb2e-5f83ad152183</errorID>
      <errorWord>（</errorWord>
      <group>L1_Punc</group>
      <groupName>标点问题</groupName>
      <ability>L2_Punc_CN</ability>
      <abilityName>标点符号问题</abilityName>
      <candidateList/>
      <explain>同一形式括号套用。</explain>
      <paraID>740A6275</paraID>
      <start>13</start>
      <end>14</end>
      <status>ignored</status>
      <modifiedWord/>
      <trackRevisions>false</trackRevisions>
    </reviewItem>
    <reviewItem>
      <errorID>bb06f1bc-7aa0-4541-b197-d8052f841d31</errorID>
      <errorWord>）</errorWord>
      <group>L1_Punc</group>
      <groupName>标点问题</groupName>
      <ability>L2_Punc_CN</ability>
      <abilityName>标点符号问题</abilityName>
      <candidateList/>
      <explain>同一形式括号套用。</explain>
      <paraID>740A6275</paraID>
      <start>16</start>
      <end>17</end>
      <status>unmodified</status>
      <modifiedWord/>
      <trackRevisions>false</trackRevisions>
    </reviewItem>
    <reviewItem>
      <errorID>c546d2af-fe5f-4d1d-a3b4-c0308794c681</errorID>
      <errorWord>农业部</errorWord>
      <group>L1_Knowledge</group>
      <groupName>知识性问题</groupName>
      <ability>L2_Knowledge</ability>
      <abilityName>其他知识</abilityName>
      <candidateList>
        <item>农业农村部</item>
      </candidateList>
      <explain/>
      <paraID>6517B4D5</paraID>
      <start>17</start>
      <end>20</end>
      <status>unmodified</status>
      <modifiedWord/>
      <trackRevisions>false</trackRevisions>
    </reviewItem>
    <reviewItem>
      <errorID>83ccd085-a02b-4fa1-ab58-037f2f4efd48</errorID>
      <errorWord>农业部</errorWord>
      <group>L1_Knowledge</group>
      <groupName>知识性问题</groupName>
      <ability>L2_Knowledge</ability>
      <abilityName>其他知识</abilityName>
      <candidateList>
        <item>农业农村部</item>
      </candidateList>
      <explain/>
      <paraID>1A9E009D</paraID>
      <start>0</start>
      <end>3</end>
      <status>unmodified</status>
      <modifiedWord/>
      <trackRevisions>false</trackRevisions>
    </reviewItem>
    <reviewItem>
      <errorID>de683ee9-4017-43f9-920c-e1b9d844ad03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8DB4DD5</paraID>
      <start>0</start>
      <end>2</end>
      <status>unmodified</status>
      <modifiedWord/>
      <trackRevisions>false</trackRevisions>
    </reviewItem>
    <reviewItem>
      <errorID>5ad10f81-b5c7-4daa-843d-9464872524d2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34E521E8</paraID>
      <start>0</start>
      <end>2</end>
      <status>unmodified</status>
      <modifiedWord/>
      <trackRevisions>false</trackRevisions>
    </reviewItem>
    <reviewItem>
      <errorID>5cbcb982-97c7-4ea5-95de-9cc3de312bfe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4A3BF9ED</paraID>
      <start>0</start>
      <end>2</end>
      <status>unmodified</status>
      <modifiedWord/>
      <trackRevisions>false</trackRevisions>
    </reviewItem>
    <reviewItem>
      <errorID>3d26a9a9-4941-4c76-bd2d-44d9ad8024be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7B8F7A1B</paraID>
      <start>0</start>
      <end>2</end>
      <status>unmodified</status>
      <modifiedWord/>
      <trackRevisions>false</trackRevisions>
    </reviewItem>
    <reviewItem>
      <errorID>344b8f1d-5b5b-4a9c-bd36-5a680d749ad4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1700D487</paraID>
      <start>0</start>
      <end>2</end>
      <status>unmodified</status>
      <modifiedWord/>
      <trackRevisions>false</trackRevisions>
    </reviewItem>
    <reviewItem>
      <errorID>ea807c80-5a8d-48fd-9a14-bd1422bfd702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200E78DF</paraID>
      <start>0</start>
      <end>3</end>
      <status>unmodified</status>
      <modifiedWord/>
      <trackRevisions>false</trackRevisions>
    </reviewItem>
    <reviewItem>
      <errorID>7a531fa7-fa5a-4918-bebe-ac665734c8a1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255EB375</paraID>
      <start>0</start>
      <end>3</end>
      <status>unmodified</status>
      <modifiedWord/>
      <trackRevisions>false</trackRevisions>
    </reviewItem>
    <reviewItem>
      <errorID>8b2d1b2d-7d59-4405-a078-1f11a81d0e30</errorID>
      <errorWord>店</errorWord>
      <group>L1_Word</group>
      <groupName>字词问题</groupName>
      <ability>L2_Typo</ability>
      <abilityName>字词错误</abilityName>
      <candidateList>
        <item>潘</item>
      </candidateList>
      <explain/>
      <paraID>4B4821FB</paraID>
      <start>33</start>
      <end>34</end>
      <status>ignored</status>
      <modifiedWord/>
      <trackRevisions>false</trackRevisions>
    </reviewItem>
    <reviewItem>
      <errorID>25432b15-c32c-4e13-ae29-61aa4a30de75</errorID>
      <errorWord>（</errorWord>
      <group>L1_Punc</group>
      <groupName>标点问题</groupName>
      <ability>L2_Punc_CN</ability>
      <abilityName>标点符号问题</abilityName>
      <candidateList/>
      <explain>同一形式括号套用。</explain>
      <paraID>10172F23</paraID>
      <start>33</start>
      <end>34</end>
      <status>ignored</status>
      <modifiedWord/>
      <trackRevisions>false</trackRevisions>
    </reviewItem>
    <reviewItem>
      <errorID>7f346a55-f27c-4938-b4e6-38fe3db05fa0</errorID>
      <errorWord>）</errorWord>
      <group>L1_Punc</group>
      <groupName>标点问题</groupName>
      <ability>L2_Punc_CN</ability>
      <abilityName>标点符号问题</abilityName>
      <candidateList/>
      <explain>同一形式括号套用。</explain>
      <paraID>10172F23</paraID>
      <start>42</start>
      <end>43</end>
      <status>unmodified</status>
      <modifiedWord/>
      <trackRevisions>false</trackRevisions>
    </reviewItem>
    <reviewItem>
      <errorID>1cf65b3e-4325-4528-b32a-bd7302e11056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5B055011</paraID>
      <start>0</start>
      <end>2</end>
      <status>unmodified</status>
      <modifiedWord/>
      <trackRevisions>false</trackRevisions>
    </reviewItem>
    <reviewItem>
      <errorID>8c961970-09c5-477c-a6f0-bd82371a9933</errorID>
      <errorWord>剐</errorWord>
      <group>L1_Word</group>
      <groupName>字词问题</groupName>
      <ability>L2_Typo</ability>
      <abilityName>字词错误</abilityName>
      <candidateList>
        <item>刮</item>
      </candidateList>
      <explain>存在发音相同字词的误用。</explain>
      <paraID>5F8BA6FF</paraID>
      <start>130</start>
      <end>131</end>
      <status>unmodified</status>
      <modifiedWord/>
      <trackRevisions>false</trackRevisions>
    </reviewItem>
    <reviewItem>
      <errorID>c16595c7-4114-4381-8246-455e3ced20b2</errorID>
      <errorWord>（</errorWord>
      <group>L1_Punc</group>
      <groupName>标点问题</groupName>
      <ability>L2_Punc_CN</ability>
      <abilityName>标点符号问题</abilityName>
      <candidateList/>
      <explain>同一形式括号套用。</explain>
      <paraID>50E8043C</paraID>
      <start>22</start>
      <end>23</end>
      <status>ignored</status>
      <modifiedWord/>
      <trackRevisions>false</trackRevisions>
    </reviewItem>
    <reviewItem>
      <errorID>6db300d7-4ef4-44c9-b48f-38010cab077c</errorID>
      <errorWord>）</errorWord>
      <group>L1_Punc</group>
      <groupName>标点问题</groupName>
      <ability>L2_Punc_CN</ability>
      <abilityName>标点符号问题</abilityName>
      <candidateList/>
      <explain>同一形式括号套用。</explain>
      <paraID>50E8043C</paraID>
      <start>28</start>
      <end>29</end>
      <status>unmodified</status>
      <modifiedWord/>
      <trackRevisions>false</trackRevisions>
    </reviewItem>
    <reviewItem>
      <errorID>33d89b81-c62e-49a1-acdc-b50722f2cf8f</errorID>
      <errorWord>（</errorWord>
      <group>L1_Punc</group>
      <groupName>标点问题</groupName>
      <ability>L2_Punc_CN</ability>
      <abilityName>标点符号问题</abilityName>
      <candidateList/>
      <explain>同一形式括号套用。</explain>
      <paraID>50E8043C</paraID>
      <start>33</start>
      <end>34</end>
      <status>ignored</status>
      <modifiedWord/>
      <trackRevisions>false</trackRevisions>
    </reviewItem>
    <reviewItem>
      <errorID>af254a68-98d4-4926-805b-e59a741b317d</errorID>
      <errorWord>）</errorWord>
      <group>L1_Punc</group>
      <groupName>标点问题</groupName>
      <ability>L2_Punc_CN</ability>
      <abilityName>标点符号问题</abilityName>
      <candidateList/>
      <explain>同一形式括号套用。</explain>
      <paraID>50E8043C</paraID>
      <start>39</start>
      <end>40</end>
      <status>unmodified</status>
      <modifiedWord/>
      <trackRevisions>false</trackRevisions>
    </reviewItem>
    <reviewItem>
      <errorID>8ccacb8d-f409-4b78-b395-c08b5bb5cafd</errorID>
      <errorWord>（</errorWord>
      <group>L1_Format</group>
      <groupName>格式问题</groupName>
      <ability>L2_HalfPunc_CN</ability>
      <abilityName>全半角问题</abilityName>
      <candidateList>
        <item>(</item>
      </candidateList>
      <explain>文本全半角错误。</explain>
      <paraID>216E3BB2</paraID>
      <start>0</start>
      <end>1</end>
      <status>ignored</status>
      <modifiedWord/>
      <trackRevisions>false</trackRevisions>
    </reviewItem>
    <reviewItem>
      <errorID>a12d6644-d1dd-4240-aefa-93456f609c74</errorID>
      <errorWord>）</errorWord>
      <group>L1_Format</group>
      <groupName>格式问题</groupName>
      <ability>L2_HalfPunc_CN</ability>
      <abilityName>全半角问题</abilityName>
      <candidateList>
        <item>)</item>
      </candidateList>
      <explain>文本全半角错误。</explain>
      <paraID>216E3BB2</paraID>
      <start>5</start>
      <end>6</end>
      <status>ignored</status>
      <modifiedWord/>
      <trackRevisions>false</trackRevisions>
    </reviewItem>
    <reviewItem>
      <errorID>b18e1271-32dd-419f-88d5-5067cb0d4de3</errorID>
      <errorWord>（</errorWord>
      <group>L1_Format</group>
      <groupName>格式问题</groupName>
      <ability>L2_HalfPunc_CN</ability>
      <abilityName>全半角问题</abilityName>
      <candidateList>
        <item>(</item>
      </candidateList>
      <explain>文本全半角错误。</explain>
      <paraID>47273B64</paraID>
      <start>0</start>
      <end>1</end>
      <status>ignored</status>
      <modifiedWord/>
      <trackRevisions>false</trackRevisions>
    </reviewItem>
    <reviewItem>
      <errorID>4072377b-d741-4770-835c-29a76229cb66</errorID>
      <errorWord>）</errorWord>
      <group>L1_Format</group>
      <groupName>格式问题</groupName>
      <ability>L2_HalfPunc_CN</ability>
      <abilityName>全半角问题</abilityName>
      <candidateList>
        <item>)</item>
      </candidateList>
      <explain>文本全半角错误。</explain>
      <paraID>47273B64</paraID>
      <start>5</start>
      <end>6</end>
      <status>ignored</status>
      <modifiedWord/>
      <trackRevisions>false</trackRevisions>
    </reviewItem>
    <reviewItem>
      <errorID>ccdf1b15-b6ef-4788-bb2e-2e6b2b71abec</errorID>
      <errorWord>（</errorWord>
      <group>L1_Format</group>
      <groupName>格式问题</groupName>
      <ability>L2_HalfPunc_CN</ability>
      <abilityName>全半角问题</abilityName>
      <candidateList>
        <item>(</item>
      </candidateList>
      <explain>文本全半角错误。</explain>
      <paraID>17531A63</paraID>
      <start>0</start>
      <end>1</end>
      <status>ignored</status>
      <modifiedWord/>
      <trackRevisions>false</trackRevisions>
    </reviewItem>
    <reviewItem>
      <errorID>0b891006-82e0-44b0-83b0-97f22d781d20</errorID>
      <errorWord>）</errorWord>
      <group>L1_Format</group>
      <groupName>格式问题</groupName>
      <ability>L2_HalfPunc_CN</ability>
      <abilityName>全半角问题</abilityName>
      <candidateList>
        <item>)</item>
      </candidateList>
      <explain>文本全半角错误。</explain>
      <paraID>17531A63</paraID>
      <start>5</start>
      <end>6</end>
      <status>ignored</status>
      <modifiedWord/>
      <trackRevisions>false</trackRevisions>
    </reviewItem>
    <reviewItem>
      <errorID>79987470-f297-490c-b976-52eb7b6ebd02</errorID>
      <errorWord>（</errorWord>
      <group>L1_Format</group>
      <groupName>格式问题</groupName>
      <ability>L2_HalfPunc_CN</ability>
      <abilityName>全半角问题</abilityName>
      <candidateList>
        <item>(</item>
      </candidateList>
      <explain>文本全半角错误。</explain>
      <paraID>6FF2BE12</paraID>
      <start>14</start>
      <end>15</end>
      <status>ignored</status>
      <modifiedWord/>
      <trackRevisions>false</trackRevisions>
    </reviewItem>
    <reviewItem>
      <errorID>00d5e021-08fa-459e-a4a2-38adedeb3b3c</errorID>
      <errorWord>）</errorWord>
      <group>L1_Format</group>
      <groupName>格式问题</groupName>
      <ability>L2_HalfPunc_CN</ability>
      <abilityName>全半角问题</abilityName>
      <candidateList>
        <item>)</item>
      </candidateList>
      <explain>文本全半角错误。</explain>
      <paraID>6FF2BE12</paraID>
      <start>16</start>
      <end>17</end>
      <status>ignored</status>
      <modifiedWord/>
      <trackRevisions>false</trackRevisions>
    </reviewItem>
    <reviewItem>
      <errorID>105c5ca9-0708-4068-bf60-494fedfefa34</errorID>
      <errorWord>（</errorWord>
      <group>L1_Format</group>
      <groupName>格式问题</groupName>
      <ability>L2_HalfPunc_CN</ability>
      <abilityName>全半角问题</abilityName>
      <candidateList>
        <item>(</item>
      </candidateList>
      <explain>文本全半角错误。</explain>
      <paraID>6FF2BE12</paraID>
      <start>21</start>
      <end>22</end>
      <status>ignored</status>
      <modifiedWord/>
      <trackRevisions>false</trackRevisions>
    </reviewItem>
    <reviewItem>
      <errorID>0da9623e-3932-4228-8a11-1ed480ee5b0d</errorID>
      <errorWord>）</errorWord>
      <group>L1_Format</group>
      <groupName>格式问题</groupName>
      <ability>L2_HalfPunc_CN</ability>
      <abilityName>全半角问题</abilityName>
      <candidateList>
        <item>)</item>
      </candidateList>
      <explain>文本全半角错误。</explain>
      <paraID>6FF2BE12</paraID>
      <start>25</start>
      <end>26</end>
      <status>ignored</status>
      <modifiedWord/>
      <trackRevisions>false</trackRevisions>
    </reviewItem>
    <reviewItem>
      <errorID>eb4545a4-63d7-43c7-a8b5-8d17a27c1a3f</errorID>
      <errorWord>（</errorWord>
      <group>L1_Format</group>
      <groupName>格式问题</groupName>
      <ability>L2_HalfPunc_CN</ability>
      <abilityName>全半角问题</abilityName>
      <candidateList>
        <item>(</item>
      </candidateList>
      <explain>文本全半角错误。</explain>
      <paraID>4750E48C</paraID>
      <start>25</start>
      <end>26</end>
      <status>ignored</status>
      <modifiedWord/>
      <trackRevisions>false</trackRevisions>
    </reviewItem>
    <reviewItem>
      <errorID>c5b67954-fe84-4718-a216-8890a4719ae2</errorID>
      <errorWord>）</errorWord>
      <group>L1_Format</group>
      <groupName>格式问题</groupName>
      <ability>L2_HalfPunc_CN</ability>
      <abilityName>全半角问题</abilityName>
      <candidateList>
        <item>)</item>
      </candidateList>
      <explain>文本全半角错误。</explain>
      <paraID>4750E48C</paraID>
      <start>27</start>
      <end>28</end>
      <status>ignored</status>
      <modifiedWord/>
      <trackRevisions>false</trackRevisions>
    </reviewItem>
    <reviewItem>
      <errorID>74b6e04e-5c0b-4910-9c0d-1011bf09f9e8</errorID>
      <errorWord>（</errorWord>
      <group>L1_Format</group>
      <groupName>格式问题</groupName>
      <ability>L2_HalfPunc_CN</ability>
      <abilityName>全半角问题</abilityName>
      <candidateList>
        <item>(</item>
      </candidateList>
      <explain>文本全半角错误。</explain>
      <paraID>22E68BE4</paraID>
      <start>29</start>
      <end>30</end>
      <status>ignored</status>
      <modifiedWord/>
      <trackRevisions>false</trackRevisions>
    </reviewItem>
    <reviewItem>
      <errorID>11f27b9f-4c10-4cf0-9216-cccc9421e94a</errorID>
      <errorWord>）</errorWord>
      <group>L1_Format</group>
      <groupName>格式问题</groupName>
      <ability>L2_HalfPunc_CN</ability>
      <abilityName>全半角问题</abilityName>
      <candidateList>
        <item>)</item>
      </candidateList>
      <explain>文本全半角错误。</explain>
      <paraID>22E68BE4</paraID>
      <start>31</start>
      <end>32</end>
      <status>ignored</status>
      <modifiedWord/>
      <trackRevisions>false</trackRevisions>
    </reviewItem>
    <reviewItem>
      <errorID>9e030b8b-6aab-4b43-aa5a-e2a7e6c5ab38</errorID>
      <errorWord>（</errorWord>
      <group>L1_Format</group>
      <groupName>格式问题</groupName>
      <ability>L2_HalfPunc_CN</ability>
      <abilityName>全半角问题</abilityName>
      <candidateList>
        <item>(</item>
      </candidateList>
      <explain>文本全半角错误。</explain>
      <paraID>6F8F0DCE</paraID>
      <start>30</start>
      <end>31</end>
      <status>ignored</status>
      <modifiedWord/>
      <trackRevisions>false</trackRevisions>
    </reviewItem>
    <reviewItem>
      <errorID>efa81b62-4962-43e1-a0cc-633db4e0f283</errorID>
      <errorWord>）</errorWord>
      <group>L1_Format</group>
      <groupName>格式问题</groupName>
      <ability>L2_HalfPunc_CN</ability>
      <abilityName>全半角问题</abilityName>
      <candidateList>
        <item>)</item>
      </candidateList>
      <explain>文本全半角错误。</explain>
      <paraID>6F8F0DCE</paraID>
      <start>32</start>
      <end>33</end>
      <status>ignored</status>
      <modifiedWord/>
      <trackRevisions>false</trackRevisions>
    </reviewItem>
    <reviewItem>
      <errorID>90986e0b-93ed-4045-8d6d-c4c05a944676</errorID>
      <errorWord>（</errorWord>
      <group>L1_Format</group>
      <groupName>格式问题</groupName>
      <ability>L2_HalfPunc_CN</ability>
      <abilityName>全半角问题</abilityName>
      <candidateList>
        <item>(</item>
      </candidateList>
      <explain>文本全半角错误。</explain>
      <paraID>1EC1EA69</paraID>
      <start>24</start>
      <end>25</end>
      <status>ignored</status>
      <modifiedWord/>
      <trackRevisions>false</trackRevisions>
    </reviewItem>
    <reviewItem>
      <errorID>0374842c-5398-42c5-a629-e4ede84ccdcc</errorID>
      <errorWord>）</errorWord>
      <group>L1_Format</group>
      <groupName>格式问题</groupName>
      <ability>L2_HalfPunc_CN</ability>
      <abilityName>全半角问题</abilityName>
      <candidateList>
        <item>)</item>
      </candidateList>
      <explain>文本全半角错误。</explain>
      <paraID>1EC1EA69</paraID>
      <start>26</start>
      <end>27</end>
      <status>ignored</status>
      <modifiedWord/>
      <trackRevisions>false</trackRevisions>
    </reviewItem>
    <reviewItem>
      <errorID>7fb80cc7-3780-4967-ba7c-c764726a3098</errorID>
      <errorWord>（</errorWord>
      <group>L1_Format</group>
      <groupName>格式问题</groupName>
      <ability>L2_HalfPunc_CN</ability>
      <abilityName>全半角问题</abilityName>
      <candidateList>
        <item>(</item>
      </candidateList>
      <explain>文本全半角错误。</explain>
      <paraID>61A5ADC1</paraID>
      <start>0</start>
      <end>1</end>
      <status>ignored</status>
      <modifiedWord/>
      <trackRevisions>false</trackRevisions>
    </reviewItem>
    <reviewItem>
      <errorID>2242dcd3-23d7-454a-9013-ca6f90e3d91f</errorID>
      <errorWord>）</errorWord>
      <group>L1_Format</group>
      <groupName>格式问题</groupName>
      <ability>L2_HalfPunc_CN</ability>
      <abilityName>全半角问题</abilityName>
      <candidateList>
        <item>)</item>
      </candidateList>
      <explain>文本全半角错误。</explain>
      <paraID>61A5ADC1</paraID>
      <start>5</start>
      <end>6</end>
      <status>ignored</status>
      <modifiedWord/>
      <trackRevisions>false</trackRevisions>
    </reviewItem>
    <reviewItem>
      <errorID>247e56bf-c024-49d4-88f4-dee3f8b50d43</errorID>
      <errorWord>（</errorWord>
      <group>L1_Format</group>
      <groupName>格式问题</groupName>
      <ability>L2_HalfPunc_CN</ability>
      <abilityName>全半角问题</abilityName>
      <candidateList>
        <item>(</item>
      </candidateList>
      <explain>文本全半角错误。</explain>
      <paraID> 8B7EED7</paraID>
      <start>2</start>
      <end>3</end>
      <status>ignored</status>
      <modifiedWord/>
      <trackRevisions>false</trackRevisions>
    </reviewItem>
    <reviewItem>
      <errorID>1eb4abc9-6cb4-430c-89e7-63e51715b539</errorID>
      <errorWord>）</errorWord>
      <group>L1_Format</group>
      <groupName>格式问题</groupName>
      <ability>L2_HalfPunc_CN</ability>
      <abilityName>全半角问题</abilityName>
      <candidateList>
        <item>)</item>
      </candidateList>
      <explain>文本全半角错误。</explain>
      <paraID> 8B7EED7</paraID>
      <start>4</start>
      <end>5</end>
      <status>ignored</status>
      <modifiedWord/>
      <trackRevisions>false</trackRevisions>
    </reviewItem>
    <reviewItem>
      <errorID>7c4d08b8-38ea-4854-9440-718c640a08e2</errorID>
      <errorWord>(</errorWord>
      <group>L1_Format</group>
      <groupName>格式问题</groupName>
      <ability>L2_HalfPunc_CN</ability>
      <abilityName>全半角问题</abilityName>
      <candidateList>
        <item>（</item>
      </candidateList>
      <explain>文本全半角错误。</explain>
      <paraID> 20A66A6</paraID>
      <start>3</start>
      <end>4</end>
      <status>ignored</status>
      <modifiedWord/>
      <trackRevisions>false</trackRevisions>
    </reviewItem>
    <reviewItem>
      <errorID>5e428ad5-9eb3-4971-97e5-082d2f16e846</errorID>
      <errorWord>(</errorWord>
      <group>L1_Format</group>
      <groupName>格式问题</groupName>
      <ability>L2_HalfPunc_CN</ability>
      <abilityName>全半角问题</abilityName>
      <candidateList>
        <item>（</item>
      </candidateList>
      <explain>文本全半角错误。</explain>
      <paraID>6EA81CA2</paraID>
      <start>3</start>
      <end>4</end>
      <status>ignored</status>
      <modifiedWord/>
      <trackRevisions>false</trackRevisions>
    </reviewItem>
    <reviewItem>
      <errorID>e21543bd-89b5-4728-8b64-ce5f959bd83b</errorID>
      <errorWord>(</errorWord>
      <group>L1_Format</group>
      <groupName>格式问题</groupName>
      <ability>L2_HalfPunc_CN</ability>
      <abilityName>全半角问题</abilityName>
      <candidateList>
        <item>（</item>
      </candidateList>
      <explain>文本全半角错误。</explain>
      <paraID>649257A9</paraID>
      <start>5</start>
      <end>6</end>
      <status>ignored</status>
      <modifiedWord/>
      <trackRevisions>false</trackRevisions>
    </reviewItem>
    <reviewItem>
      <errorID>79e4c5f2-c8ba-49f0-be63-def140f4cc9f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738E0E14</paraID>
      <start>0</start>
      <end>2</end>
      <status>unmodified</status>
      <modifiedWord/>
      <trackRevisions>false</trackRevisions>
    </reviewItem>
    <reviewItem>
      <errorID>3af86938-cd1b-4f86-aa24-3e6340ce7fea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5B0DDFE0</paraID>
      <start>0</start>
      <end>2</end>
      <status>unmodified</status>
      <modifiedWord/>
      <trackRevisions>false</trackRevisions>
    </reviewItem>
    <reviewItem>
      <errorID>13b151f3-3f18-4b60-95ff-afddd485c672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2470C2B7</paraID>
      <start>0</start>
      <end>2</end>
      <status>unmodified</status>
      <modifiedWord/>
      <trackRevisions>false</trackRevisions>
    </reviewItem>
    <reviewItem>
      <errorID>b468e374-ad6b-405c-8f32-fa4279e56584</errorID>
      <errorWord>矛</errorWord>
      <group>L1_Word</group>
      <groupName>字词问题</groupName>
      <ability>L2_Typo</ability>
      <abilityName>字词错误</abilityName>
      <candidateList>
        <item>茅</item>
      </candidateList>
      <explain>存在发音相同字词的误用。</explain>
      <paraID>19BD7D8D</paraID>
      <start>60</start>
      <end>61</end>
      <status>unmodified</status>
      <modifiedWord/>
      <trackRevisions>false</trackRevisions>
    </reviewItem>
    <reviewItem>
      <errorID>fe44b37a-1279-4d3e-8f65-d0556a40222c</errorID>
      <errorWord>台</errorWord>
      <group>L1_Word</group>
      <groupName>字词问题</groupName>
      <ability>L2_Typo</ability>
      <abilityName>字词错误</abilityName>
      <candidateList>
        <item>台县</item>
      </candidateList>
      <explain/>
      <paraID>19BD7D8D</paraID>
      <start>204</start>
      <end>205</end>
      <status>unmodified</status>
      <modifiedWord/>
      <trackRevisions>false</trackRevisions>
    </reviewItem>
    <reviewItem>
      <errorID>9d10a0cd-177e-44b5-8ee1-f8783b728b85</errorID>
      <errorWord>农业部</errorWord>
      <group>L1_Knowledge</group>
      <groupName>知识性问题</groupName>
      <ability>L2_Knowledge</ability>
      <abilityName>其他知识</abilityName>
      <candidateList>
        <item>农业农村部</item>
      </candidateList>
      <explain/>
      <paraID>6257F4B9</paraID>
      <start>63</start>
      <end>66</end>
      <status>unmodified</status>
      <modifiedWord/>
      <trackRevisions>false</trackRevisions>
    </reviewItem>
    <reviewItem>
      <errorID>5eef1e3b-92d1-40f1-9b4c-50c9553b553f</errorID>
      <errorWord>（</errorWord>
      <group>L1_Format</group>
      <groupName>格式问题</groupName>
      <ability>L2_HalfPunc_CN</ability>
      <abilityName>全半角问题</abilityName>
      <candidateList>
        <item>(</item>
      </candidateList>
      <explain>文本全半角错误。</explain>
      <paraID>43FE4B25</paraID>
      <start>3</start>
      <end>4</end>
      <status>ignored</status>
      <modifiedWord/>
      <trackRevisions>false</trackRevisions>
    </reviewItem>
    <reviewItem>
      <errorID>f8d30eb9-b459-42c0-9aa6-87fdfef6cc1a</errorID>
      <errorWord>）</errorWord>
      <group>L1_Format</group>
      <groupName>格式问题</groupName>
      <ability>L2_HalfPunc_CN</ability>
      <abilityName>全半角问题</abilityName>
      <candidateList>
        <item>)</item>
      </candidateList>
      <explain>文本全半角错误。</explain>
      <paraID>43FE4B25</paraID>
      <start>9</start>
      <end>10</end>
      <status>ignored</status>
      <modifiedWord/>
      <trackRevisions>false</trackRevisions>
    </reviewItem>
    <reviewItem>
      <errorID>945a8401-3261-4c5e-9ad5-f1a1cd5e3450</errorID>
      <errorWord>（</errorWord>
      <group>L1_Format</group>
      <groupName>格式问题</groupName>
      <ability>L2_HalfPunc_CN</ability>
      <abilityName>全半角问题</abilityName>
      <candidateList>
        <item>(</item>
      </candidateList>
      <explain>文本全半角错误。</explain>
      <paraID>11C93A4D</paraID>
      <start>3</start>
      <end>4</end>
      <status>ignored</status>
      <modifiedWord/>
      <trackRevisions>false</trackRevisions>
    </reviewItem>
    <reviewItem>
      <errorID>dd29c4e7-d187-40ae-ab72-a672110e76b0</errorID>
      <errorWord>）</errorWord>
      <group>L1_Format</group>
      <groupName>格式问题</groupName>
      <ability>L2_HalfPunc_CN</ability>
      <abilityName>全半角问题</abilityName>
      <candidateList>
        <item>)</item>
      </candidateList>
      <explain>文本全半角错误。</explain>
      <paraID>11C93A4D</paraID>
      <start>9</start>
      <end>10</end>
      <status>ignored</status>
      <modifiedWord/>
      <trackRevisions>false</trackRevisions>
    </reviewItem>
    <reviewItem>
      <errorID>e20fe430-def4-4421-a985-2cc94c83a68c</errorID>
      <errorWord>（</errorWord>
      <group>L1_Format</group>
      <groupName>格式问题</groupName>
      <ability>L2_HalfPunc_CN</ability>
      <abilityName>全半角问题</abilityName>
      <candidateList>
        <item>(</item>
      </candidateList>
      <explain>文本全半角错误。</explain>
      <paraID>4DBBE815</paraID>
      <start>3</start>
      <end>4</end>
      <status>ignored</status>
      <modifiedWord/>
      <trackRevisions>false</trackRevisions>
    </reviewItem>
    <reviewItem>
      <errorID>7fd420b2-153b-4dde-a2e4-a00ce9bb252e</errorID>
      <errorWord>）</errorWord>
      <group>L1_Format</group>
      <groupName>格式问题</groupName>
      <ability>L2_HalfPunc_CN</ability>
      <abilityName>全半角问题</abilityName>
      <candidateList>
        <item>)</item>
      </candidateList>
      <explain>文本全半角错误。</explain>
      <paraID>4DBBE815</paraID>
      <start>9</start>
      <end>10</end>
      <status>ignored</status>
      <modifiedWord/>
      <trackRevisions>false</trackRevisions>
    </reviewItem>
    <reviewItem>
      <errorID>1714d0c9-d231-4f0a-a670-886d7f6e2136</errorID>
      <errorWord>（</errorWord>
      <group>L1_Format</group>
      <groupName>格式问题</groupName>
      <ability>L2_HalfPunc_CN</ability>
      <abilityName>全半角问题</abilityName>
      <candidateList>
        <item>(</item>
      </candidateList>
      <explain>文本全半角错误。</explain>
      <paraID>585AAA7C</paraID>
      <start>3</start>
      <end>4</end>
      <status>ignored</status>
      <modifiedWord/>
      <trackRevisions>false</trackRevisions>
    </reviewItem>
    <reviewItem>
      <errorID>93b0f1a2-aff0-44a6-b588-e58a4c8e126f</errorID>
      <errorWord>）</errorWord>
      <group>L1_Format</group>
      <groupName>格式问题</groupName>
      <ability>L2_HalfPunc_CN</ability>
      <abilityName>全半角问题</abilityName>
      <candidateList>
        <item>)</item>
      </candidateList>
      <explain>文本全半角错误。</explain>
      <paraID>585AAA7C</paraID>
      <start>9</start>
      <end>10</end>
      <status>ignored</status>
      <modifiedWord/>
      <trackRevisions>false</trackRevisions>
    </reviewItem>
    <reviewItem>
      <errorID>a42c69b4-5c92-4c91-83cc-fd21254cd319</errorID>
      <errorWord>（</errorWord>
      <group>L1_Format</group>
      <groupName>格式问题</groupName>
      <ability>L2_HalfPunc_CN</ability>
      <abilityName>全半角问题</abilityName>
      <candidateList>
        <item>(</item>
      </candidateList>
      <explain>文本全半角错误。</explain>
      <paraID>42AFDA01</paraID>
      <start>3</start>
      <end>4</end>
      <status>ignored</status>
      <modifiedWord/>
      <trackRevisions>false</trackRevisions>
    </reviewItem>
    <reviewItem>
      <errorID>9f85febb-9d01-43be-a70c-f24c8ce9aea6</errorID>
      <errorWord>）</errorWord>
      <group>L1_Format</group>
      <groupName>格式问题</groupName>
      <ability>L2_HalfPunc_CN</ability>
      <abilityName>全半角问题</abilityName>
      <candidateList>
        <item>)</item>
      </candidateList>
      <explain>文本全半角错误。</explain>
      <paraID>42AFDA01</paraID>
      <start>9</start>
      <end>10</end>
      <status>ignored</status>
      <modifiedWord/>
      <trackRevisions>false</trackRevisions>
    </reviewItem>
    <reviewItem>
      <errorID>97699726-951f-483b-95a5-de3bd9d2524d</errorID>
      <errorWord>（</errorWord>
      <group>L1_Format</group>
      <groupName>格式问题</groupName>
      <ability>L2_HalfPunc_CN</ability>
      <abilityName>全半角问题</abilityName>
      <candidateList>
        <item>(</item>
      </candidateList>
      <explain>文本全半角错误。</explain>
      <paraID>2E14C990</paraID>
      <start>3</start>
      <end>4</end>
      <status>ignored</status>
      <modifiedWord/>
      <trackRevisions>false</trackRevisions>
    </reviewItem>
    <reviewItem>
      <errorID>c0ac3167-69bc-489e-b9a4-6a17b16abfd8</errorID>
      <errorWord>）</errorWord>
      <group>L1_Format</group>
      <groupName>格式问题</groupName>
      <ability>L2_HalfPunc_CN</ability>
      <abilityName>全半角问题</abilityName>
      <candidateList>
        <item>)</item>
      </candidateList>
      <explain>文本全半角错误。</explain>
      <paraID>2E14C990</paraID>
      <start>9</start>
      <end>10</end>
      <status>ignored</status>
      <modifiedWord/>
      <trackRevisions>false</trackRevisions>
    </reviewItem>
    <reviewItem>
      <errorID>3b35fe70-4fa2-4294-8bac-f55cf7aeba76</errorID>
      <errorWord>（</errorWord>
      <group>L1_Format</group>
      <groupName>格式问题</groupName>
      <ability>L2_HalfPunc_CN</ability>
      <abilityName>全半角问题</abilityName>
      <candidateList>
        <item>(</item>
      </candidateList>
      <explain>文本全半角错误。</explain>
      <paraID>7AA7EA19</paraID>
      <start>3</start>
      <end>4</end>
      <status>ignored</status>
      <modifiedWord/>
      <trackRevisions>false</trackRevisions>
    </reviewItem>
    <reviewItem>
      <errorID>ed8f79fd-a15f-4e82-98dd-01b56a7cc9ca</errorID>
      <errorWord>）</errorWord>
      <group>L1_Format</group>
      <groupName>格式问题</groupName>
      <ability>L2_HalfPunc_CN</ability>
      <abilityName>全半角问题</abilityName>
      <candidateList>
        <item>)</item>
      </candidateList>
      <explain>文本全半角错误。</explain>
      <paraID>7AA7EA19</paraID>
      <start>9</start>
      <end>10</end>
      <status>ignored</status>
      <modifiedWord/>
      <trackRevisions>false</trackRevisions>
    </reviewItem>
    <reviewItem>
      <errorID>3fe7a14e-200c-43f1-9f27-e1750e8fda76</errorID>
      <errorWord>（</errorWord>
      <group>L1_Format</group>
      <groupName>格式问题</groupName>
      <ability>L2_HalfPunc_CN</ability>
      <abilityName>全半角问题</abilityName>
      <candidateList>
        <item>(</item>
      </candidateList>
      <explain>文本全半角错误。</explain>
      <paraID>5B9D812E</paraID>
      <start>3</start>
      <end>4</end>
      <status>ignored</status>
      <modifiedWord/>
      <trackRevisions>false</trackRevisions>
    </reviewItem>
    <reviewItem>
      <errorID>78727e2c-4fe4-44f9-8a69-a925fd486c62</errorID>
      <errorWord>）</errorWord>
      <group>L1_Format</group>
      <groupName>格式问题</groupName>
      <ability>L2_HalfPunc_CN</ability>
      <abilityName>全半角问题</abilityName>
      <candidateList>
        <item>)</item>
      </candidateList>
      <explain>文本全半角错误。</explain>
      <paraID>5B9D812E</paraID>
      <start>9</start>
      <end>10</end>
      <status>ignored</status>
      <modifiedWord/>
      <trackRevisions>false</trackRevisions>
    </reviewItem>
    <reviewItem>
      <errorID>506ab7cc-e21d-48e5-9236-0e725cb5c7a7</errorID>
      <errorWord>（</errorWord>
      <group>L1_Format</group>
      <groupName>格式问题</groupName>
      <ability>L2_HalfPunc_CN</ability>
      <abilityName>全半角问题</abilityName>
      <candidateList>
        <item>(</item>
      </candidateList>
      <explain>文本全半角错误。</explain>
      <paraID>2265393A</paraID>
      <start>3</start>
      <end>4</end>
      <status>ignored</status>
      <modifiedWord/>
      <trackRevisions>false</trackRevisions>
    </reviewItem>
    <reviewItem>
      <errorID>9c4e4303-f39d-49b3-b62b-ed7593926ca8</errorID>
      <errorWord>）</errorWord>
      <group>L1_Format</group>
      <groupName>格式问题</groupName>
      <ability>L2_HalfPunc_CN</ability>
      <abilityName>全半角问题</abilityName>
      <candidateList>
        <item>)</item>
      </candidateList>
      <explain>文本全半角错误。</explain>
      <paraID>2265393A</paraID>
      <start>9</start>
      <end>10</end>
      <status>ignored</status>
      <modifiedWord/>
      <trackRevisions>false</trackRevisions>
    </reviewItem>
    <reviewItem>
      <errorID>581c9e4d-0e38-4e07-a23c-05555d506534</errorID>
      <errorWord>（</errorWord>
      <group>L1_Format</group>
      <groupName>格式问题</groupName>
      <ability>L2_HalfPunc_CN</ability>
      <abilityName>全半角问题</abilityName>
      <candidateList>
        <item>(</item>
      </candidateList>
      <explain>文本全半角错误。</explain>
      <paraID>4EB3D19B</paraID>
      <start>3</start>
      <end>4</end>
      <status>ignored</status>
      <modifiedWord/>
      <trackRevisions>false</trackRevisions>
    </reviewItem>
    <reviewItem>
      <errorID>5e75e12b-51eb-4fe7-850e-fef23d94d9eb</errorID>
      <errorWord>）</errorWord>
      <group>L1_Format</group>
      <groupName>格式问题</groupName>
      <ability>L2_HalfPunc_CN</ability>
      <abilityName>全半角问题</abilityName>
      <candidateList>
        <item>)</item>
      </candidateList>
      <explain>文本全半角错误。</explain>
      <paraID>4EB3D19B</paraID>
      <start>9</start>
      <end>10</end>
      <status>ignored</status>
      <modifiedWord/>
      <trackRevisions>false</trackRevisions>
    </reviewItem>
    <reviewItem>
      <errorID>97c5add1-42ca-4911-8862-1bf1c973c499</errorID>
      <errorWord>（</errorWord>
      <group>L1_Format</group>
      <groupName>格式问题</groupName>
      <ability>L2_HalfPunc_CN</ability>
      <abilityName>全半角问题</abilityName>
      <candidateList>
        <item>(</item>
      </candidateList>
      <explain>文本全半角错误。</explain>
      <paraID> FAE26BD</paraID>
      <start>3</start>
      <end>4</end>
      <status>ignored</status>
      <modifiedWord/>
      <trackRevisions>false</trackRevisions>
    </reviewItem>
    <reviewItem>
      <errorID>3edce5f9-47d7-4b45-9706-fca4bb4966be</errorID>
      <errorWord>）</errorWord>
      <group>L1_Format</group>
      <groupName>格式问题</groupName>
      <ability>L2_HalfPunc_CN</ability>
      <abilityName>全半角问题</abilityName>
      <candidateList>
        <item>)</item>
      </candidateList>
      <explain>文本全半角错误。</explain>
      <paraID> FAE26BD</paraID>
      <start>9</start>
      <end>10</end>
      <status>ignored</status>
      <modifiedWord/>
      <trackRevisions>false</trackRevisions>
    </reviewItem>
    <reviewItem>
      <errorID>bac50723-bbe6-4f70-a7f7-92c78c418f74</errorID>
      <errorWord>（</errorWord>
      <group>L1_Format</group>
      <groupName>格式问题</groupName>
      <ability>L2_HalfPunc_CN</ability>
      <abilityName>全半角问题</abilityName>
      <candidateList>
        <item>(</item>
      </candidateList>
      <explain>文本全半角错误。</explain>
      <paraID>75F52DCD</paraID>
      <start>3</start>
      <end>4</end>
      <status>ignored</status>
      <modifiedWord/>
      <trackRevisions>false</trackRevisions>
    </reviewItem>
    <reviewItem>
      <errorID>9a3ec736-0ae4-4f29-8c91-44a96baa1072</errorID>
      <errorWord>）</errorWord>
      <group>L1_Format</group>
      <groupName>格式问题</groupName>
      <ability>L2_HalfPunc_CN</ability>
      <abilityName>全半角问题</abilityName>
      <candidateList>
        <item>)</item>
      </candidateList>
      <explain>文本全半角错误。</explain>
      <paraID>75F52DCD</paraID>
      <start>9</start>
      <end>10</end>
      <status>ignored</status>
      <modifiedWord/>
      <trackRevisions>false</trackRevisions>
    </reviewItem>
    <reviewItem>
      <errorID>5eb2cf6e-c61c-47d4-a104-36c2744dd117</errorID>
      <errorWord>(</errorWord>
      <group>L1_Format</group>
      <groupName>格式问题</groupName>
      <ability>L2_HalfPunc_CN</ability>
      <abilityName>全半角问题</abilityName>
      <candidateList>
        <item>（</item>
      </candidateList>
      <explain>文本全半角错误。</explain>
      <paraID>241CB181</paraID>
      <start>17</start>
      <end>18</end>
      <status>ignored</status>
      <modifiedWord/>
      <trackRevisions>false</trackRevisions>
    </reviewItem>
    <reviewItem>
      <errorID>a71fbef4-0748-4a30-b205-5e67ec2f5725</errorID>
      <errorWord>(</errorWord>
      <group>L1_Format</group>
      <groupName>格式问题</groupName>
      <ability>L2_HalfPunc_CN</ability>
      <abilityName>全半角问题</abilityName>
      <candidateList>
        <item>（</item>
      </candidateList>
      <explain>文本全半角错误。</explain>
      <paraID>6F1D29FB</paraID>
      <start>35</start>
      <end>36</end>
      <status>ignored</status>
      <modifiedWord/>
      <trackRevisions>false</trackRevisions>
    </reviewItem>
    <reviewItem>
      <errorID>5cdadbc5-4001-4c73-939d-84ad6c641ded</errorID>
      <errorWord>(</errorWord>
      <group>L1_Format</group>
      <groupName>格式问题</groupName>
      <ability>L2_HalfPunc_CN</ability>
      <abilityName>全半角问题</abilityName>
      <candidateList>
        <item>（</item>
      </candidateList>
      <explain>文本全半角错误。</explain>
      <paraID>494F31B3</paraID>
      <start>28</start>
      <end>29</end>
      <status>ignored</status>
      <modifiedWord/>
      <trackRevisions>false</trackRevisions>
    </reviewItem>
    <reviewItem>
      <errorID>c4ad5118-2bde-4cf1-a316-41fa5d33be74</errorID>
      <errorWord>（</errorWord>
      <group>L1_Format</group>
      <groupName>格式问题</groupName>
      <ability>L2_HalfPunc_CN</ability>
      <abilityName>全半角问题</abilityName>
      <candidateList>
        <item>(</item>
      </candidateList>
      <explain>文本全半角错误。</explain>
      <paraID>293BEA26</paraID>
      <start>4</start>
      <end>5</end>
      <status>ignored</status>
      <modifiedWord/>
      <trackRevisions>false</trackRevisions>
    </reviewItem>
    <reviewItem>
      <errorID>65996690-f3ea-462f-b05c-72af3c01df6f</errorID>
      <errorWord>）</errorWord>
      <group>L1_Format</group>
      <groupName>格式问题</groupName>
      <ability>L2_HalfPunc_CN</ability>
      <abilityName>全半角问题</abilityName>
      <candidateList>
        <item>)</item>
      </candidateList>
      <explain>文本全半角错误。</explain>
      <paraID>293BEA26</paraID>
      <start>10</start>
      <end>11</end>
      <status>ignored</status>
      <modifiedWord/>
      <trackRevisions>false</trackRevisions>
    </reviewItem>
    <reviewItem>
      <errorID>ceb41f69-9a33-486f-a3b3-155291006c1d</errorID>
      <errorWord>(</errorWord>
      <group>L1_Format</group>
      <groupName>格式问题</groupName>
      <ability>L2_HalfPunc_CN</ability>
      <abilityName>全半角问题</abilityName>
      <candidateList>
        <item>（</item>
      </candidateList>
      <explain>文本全半角错误。</explain>
      <paraID>74CD5FA1</paraID>
      <start>61</start>
      <end>62</end>
      <status>ignored</status>
      <modifiedWord/>
      <trackRevisions>false</trackRevisions>
    </reviewItem>
    <reviewItem>
      <errorID>779e6fbe-c8c3-407e-8578-56f5e493cfd7</errorID>
      <errorWord>(</errorWord>
      <group>L1_Format</group>
      <groupName>格式问题</groupName>
      <ability>L2_HalfPunc_CN</ability>
      <abilityName>全半角问题</abilityName>
      <candidateList>
        <item>（</item>
      </candidateList>
      <explain>文本全半角错误。</explain>
      <paraID>7B1B1305</paraID>
      <start>156</start>
      <end>157</end>
      <status>ignored</status>
      <modifiedWord/>
      <trackRevisions>false</trackRevisions>
    </reviewItem>
    <reviewItem>
      <errorID>eb5df3f6-1eb6-48ab-9cbc-2f277f7f6fca</errorID>
      <errorWord>,</errorWord>
      <group>L1_Format</group>
      <groupName>格式问题</groupName>
      <ability>L2_HalfPunc_CN</ability>
      <abilityName>全半角问题</abilityName>
      <candidateList>
        <item>，</item>
      </candidateList>
      <explain>文本全半角错误。</explain>
      <paraID>7B1B1305</paraID>
      <start>165</start>
      <end>166</end>
      <status>modified</status>
      <modifiedWord>，</modifiedWord>
      <trackRevisions>false</trackRevisions>
    </reviewItem>
    <reviewItem>
      <errorID>66012277-c0df-4cf5-9987-87739fb689a7</errorID>
      <errorWord>./</errorWord>
      <group>L1_Punc</group>
      <groupName>标点问题</groupName>
      <ability>L2_Punc_CN</ability>
      <abilityName>标点符号问题</abilityName>
      <candidateList>
        <item>.</item>
      </candidateList>
      <explain/>
      <paraID>5989895A</paraID>
      <start>140</start>
      <end>142</end>
      <status>ignored</status>
      <modifiedWord/>
      <trackRevisions>false</trackRevisions>
    </reviewItem>
    <reviewItem>
      <errorID>acbcca10-9b50-4f4b-9c05-6b71e65c16e9</errorID>
      <errorWord>倒须</errorWord>
      <group>L1_Word</group>
      <groupName>字词问题</groupName>
      <ability>L2_Typo</ability>
      <abilityName>字词错误</abilityName>
      <candidateList>
        <item>倒</item>
      </candidateList>
      <explain/>
      <paraID>366EAB3F</paraID>
      <start>54</start>
      <end>56</end>
      <status>ignored</status>
      <modifiedWord/>
      <trackRevisions>false</trackRevisions>
    </reviewItem>
    <reviewItem>
      <errorID>c9377fca-94ef-49fc-82d4-6b46feef7869</errorID>
      <errorWord>monggolicus</errorWord>
      <group>L1_English</group>
      <groupName>英文问题</groupName>
      <ability>L2_Spell</ability>
      <abilityName>拼写问题</abilityName>
      <candidateList>
        <item>mongolicus</item>
      </candidateList>
      <explain>疑似单词拼写有误，建议将monggolicus修改为mongolicus</explain>
      <paraID>6895EC71</paraID>
      <start>10</start>
      <end>21</end>
      <status>unmodified</status>
      <modifiedWord/>
      <trackRevisions>false</trackRevisions>
    </reviewItem>
    <reviewItem>
      <errorID>7fe32d43-80ea-423c-a257-0d83a82fe2a4</errorID>
      <errorWord>Siliris</errorWord>
      <group>L1_English</group>
      <groupName>英文问题</groupName>
      <ability>L2_Spell</ability>
      <abilityName>拼写问题</abilityName>
      <candidateList>
        <item>Silurus</item>
      </candidateList>
      <explain>疑似单词拼写有误，建议将Siliris修改为Silurus</explain>
      <paraID>3BABB24D</paraID>
      <start>1</start>
      <end>8</end>
      <status>unmodified</status>
      <modifiedWord/>
      <trackRevisions>false</trackRevisions>
    </reviewItem>
    <reviewItem>
      <errorID>c496c44e-5f06-4d11-98e9-6ce8739a3512</errorID>
      <errorWord>(</errorWord>
      <group>L1_Format</group>
      <groupName>格式问题</groupName>
      <ability>L2_HalfPunc_CN</ability>
      <abilityName>全半角问题</abilityName>
      <candidateList>
        <item>（</item>
      </candidateList>
      <explain>文本全半角错误。</explain>
      <paraID>1FF23EE1</paraID>
      <start>41</start>
      <end>42</end>
      <status>ignored</status>
      <modifiedWord/>
      <trackRevisions>false</trackRevisions>
    </reviewItem>
    <reviewItem>
      <errorID>79db67f1-f298-4b4b-85e8-37ff6f47ecc9</errorID>
      <errorWord>(</errorWord>
      <group>L1_Format</group>
      <groupName>格式问题</groupName>
      <ability>L2_HalfPunc_CN</ability>
      <abilityName>全半角问题</abilityName>
      <candidateList>
        <item>（</item>
      </candidateList>
      <explain>文本全半角错误。</explain>
      <paraID>1FF23EE1</paraID>
      <start>62</start>
      <end>63</end>
      <status>ignored</status>
      <modifiedWord/>
      <trackRevisions>false</trackRevisions>
    </reviewItem>
    <reviewItem>
      <errorID>3914bad2-4af6-4b58-88c0-f4ed13889365</errorID>
      <errorWord>(</errorWord>
      <group>L1_Format</group>
      <groupName>格式问题</groupName>
      <ability>L2_HalfPunc_CN</ability>
      <abilityName>全半角问题</abilityName>
      <candidateList>
        <item>（</item>
      </candidateList>
      <explain>文本全半角错误。</explain>
      <paraID>1FF23EE1</paraID>
      <start>83</start>
      <end>84</end>
      <status>ignored</status>
      <modifiedWord/>
      <trackRevisions>false</trackRevisions>
    </reviewItem>
    <reviewItem>
      <errorID>f1b74d67-7937-4351-aa9c-1a1cf893b0ac</errorID>
      <errorWord>(</errorWord>
      <group>L1_Format</group>
      <groupName>格式问题</groupName>
      <ability>L2_HalfPunc_CN</ability>
      <abilityName>全半角问题</abilityName>
      <candidateList>
        <item>（</item>
      </candidateList>
      <explain>文本全半角错误。</explain>
      <paraID>1FF23EE1</paraID>
      <start>105</start>
      <end>106</end>
      <status>ignored</status>
      <modifiedWord/>
      <trackRevisions>false</trackRevisions>
    </reviewItem>
    <reviewItem>
      <errorID>dbebd607-5f1f-40f6-b321-12b9d9173e50</errorID>
      <errorWord>(</errorWord>
      <group>L1_Format</group>
      <groupName>格式问题</groupName>
      <ability>L2_HalfPunc_CN</ability>
      <abilityName>全半角问题</abilityName>
      <candidateList>
        <item>（</item>
      </candidateList>
      <explain>文本全半角错误。</explain>
      <paraID>1FF23EE1</paraID>
      <start>113</start>
      <end>114</end>
      <status>ignored</status>
      <modifiedWord/>
      <trackRevisions>false</trackRevisions>
    </reviewItem>
    <reviewItem>
      <errorID>8f2fb40b-6cef-4fc2-b6b4-4bc4ff77ec00</errorID>
      <errorWord>(</errorWord>
      <group>L1_Format</group>
      <groupName>格式问题</groupName>
      <ability>L2_HalfPunc_CN</ability>
      <abilityName>全半角问题</abilityName>
      <candidateList>
        <item>（</item>
      </candidateList>
      <explain>文本全半角错误。</explain>
      <paraID>59E972E8</paraID>
      <start>33</start>
      <end>34</end>
      <status>ignored</status>
      <modifiedWord/>
      <trackRevisions>false</trackRevisions>
    </reviewItem>
    <reviewItem>
      <errorID>ab88cf45-77a0-45df-8840-0228091c5649</errorID>
      <errorWord>(</errorWord>
      <group>L1_Format</group>
      <groupName>格式问题</groupName>
      <ability>L2_HalfPunc_CN</ability>
      <abilityName>全半角问题</abilityName>
      <candidateList>
        <item>（</item>
      </candidateList>
      <explain>文本全半角错误。</explain>
      <paraID>59E972E8</paraID>
      <start>54</start>
      <end>55</end>
      <status>ignored</status>
      <modifiedWord/>
      <trackRevisions>false</trackRevisions>
    </reviewItem>
    <reviewItem>
      <errorID>597a523e-6460-43dc-ba55-be56874af5a1</errorID>
      <errorWord>(</errorWord>
      <group>L1_Format</group>
      <groupName>格式问题</groupName>
      <ability>L2_HalfPunc_CN</ability>
      <abilityName>全半角问题</abilityName>
      <candidateList>
        <item>（</item>
      </candidateList>
      <explain>文本全半角错误。</explain>
      <paraID>59E972E8</paraID>
      <start>75</start>
      <end>76</end>
      <status>ignored</status>
      <modifiedWord/>
      <trackRevisions>false</trackRevisions>
    </reviewItem>
    <reviewItem>
      <errorID>47028cff-e9d7-432a-95eb-2e87aedab343</errorID>
      <errorWord>(</errorWord>
      <group>L1_Format</group>
      <groupName>格式问题</groupName>
      <ability>L2_HalfPunc_CN</ability>
      <abilityName>全半角问题</abilityName>
      <candidateList>
        <item>（</item>
      </candidateList>
      <explain>文本全半角错误。</explain>
      <paraID>59E972E8</paraID>
      <start>97</start>
      <end>98</end>
      <status>ignored</status>
      <modifiedWord/>
      <trackRevisions>false</trackRevisions>
    </reviewItem>
    <reviewItem>
      <errorID>bd043856-b5f8-41a9-b36b-32396665d57f</errorID>
      <errorWord>(</errorWord>
      <group>L1_Format</group>
      <groupName>格式问题</groupName>
      <ability>L2_HalfPunc_CN</ability>
      <abilityName>全半角问题</abilityName>
      <candidateList>
        <item>（</item>
      </candidateList>
      <explain>文本全半角错误。</explain>
      <paraID> DFC8E21</paraID>
      <start>33</start>
      <end>34</end>
      <status>ignored</status>
      <modifiedWord/>
      <trackRevisions>false</trackRevisions>
    </reviewItem>
    <reviewItem>
      <errorID>ec38f1cf-7e34-4bbc-b7b5-a962b775c859</errorID>
      <errorWord>(</errorWord>
      <group>L1_Format</group>
      <groupName>格式问题</groupName>
      <ability>L2_HalfPunc_CN</ability>
      <abilityName>全半角问题</abilityName>
      <candidateList>
        <item>（</item>
      </candidateList>
      <explain>文本全半角错误。</explain>
      <paraID> DFC8E21</paraID>
      <start>54</start>
      <end>55</end>
      <status>ignored</status>
      <modifiedWord/>
      <trackRevisions>false</trackRevisions>
    </reviewItem>
    <reviewItem>
      <errorID>b0e78a6f-c01b-4313-8d3d-ee61d2306e70</errorID>
      <errorWord>(</errorWord>
      <group>L1_Format</group>
      <groupName>格式问题</groupName>
      <ability>L2_HalfPunc_CN</ability>
      <abilityName>全半角问题</abilityName>
      <candidateList>
        <item>（</item>
      </candidateList>
      <explain>文本全半角错误。</explain>
      <paraID> DFC8E21</paraID>
      <start>75</start>
      <end>76</end>
      <status>ignored</status>
      <modifiedWord/>
      <trackRevisions>false</trackRevisions>
    </reviewItem>
    <reviewItem>
      <errorID>ad5bb5fe-700e-42c1-a7f4-3a3cab86a1db</errorID>
      <errorWord>(</errorWord>
      <group>L1_Format</group>
      <groupName>格式问题</groupName>
      <ability>L2_HalfPunc_CN</ability>
      <abilityName>全半角问题</abilityName>
      <candidateList>
        <item>（</item>
      </candidateList>
      <explain>文本全半角错误。</explain>
      <paraID> DFC8E21</paraID>
      <start>97</start>
      <end>98</end>
      <status>ignored</status>
      <modifiedWord/>
      <trackRevisions>false</trackRevisions>
    </reviewItem>
    <reviewItem>
      <errorID>34862206-5262-4d25-9dc9-a96f23a07725</errorID>
      <errorWord>(</errorWord>
      <group>L1_Format</group>
      <groupName>格式问题</groupName>
      <ability>L2_HalfPunc_CN</ability>
      <abilityName>全半角问题</abilityName>
      <candidateList>
        <item>（</item>
      </candidateList>
      <explain>文本全半角错误。</explain>
      <paraID>35E7F9BE</paraID>
      <start>123</start>
      <end>124</end>
      <status>ignored</status>
      <modifiedWord/>
      <trackRevisions>false</trackRevisions>
    </reviewItem>
    <reviewItem>
      <errorID>9acbb6e0-4b79-49c5-9391-85b8ca510e00</errorID>
      <errorWord>./</errorWord>
      <group>L1_Punc</group>
      <groupName>标点问题</groupName>
      <ability>L2_Punc_CN</ability>
      <abilityName>标点符号问题</abilityName>
      <candidateList>
        <item>.</item>
      </candidateList>
      <explain/>
      <paraID>6D44C795</paraID>
      <start>41</start>
      <end>43</end>
      <status>ignored</status>
      <modifiedWord/>
      <trackRevisions>false</trackRevisions>
    </reviewItem>
    <reviewItem>
      <errorID>aa463f4a-4490-4bcd-94d1-281bafa593ed</errorID>
      <errorWord>./</errorWord>
      <group>L1_Punc</group>
      <groupName>标点问题</groupName>
      <ability>L2_Punc_CN</ability>
      <abilityName>标点符号问题</abilityName>
      <candidateList>
        <item>.</item>
      </candidateList>
      <explain/>
      <paraID>6D44C795</paraID>
      <start>66</start>
      <end>68</end>
      <status>ignored</status>
      <modifiedWord/>
      <trackRevisions>false</trackRevisions>
    </reviewItem>
    <reviewItem>
      <errorID>c17e661c-7a62-41cc-933e-48ff0bbea19a</errorID>
      <errorWord>./</errorWord>
      <group>L1_Punc</group>
      <groupName>标点问题</groupName>
      <ability>L2_Punc_CN</ability>
      <abilityName>标点符号问题</abilityName>
      <candidateList>
        <item>.</item>
      </candidateList>
      <explain/>
      <paraID>545C90EB</paraID>
      <start>29</start>
      <end>31</end>
      <status>ignored</status>
      <modifiedWord/>
      <trackRevisions>false</trackRevisions>
    </reviewItem>
    <reviewItem>
      <errorID>fe683e14-0d5c-4029-a764-a28088c903e2</errorID>
      <errorWord>./</errorWord>
      <group>L1_Punc</group>
      <groupName>标点问题</groupName>
      <ability>L2_Punc_CN</ability>
      <abilityName>标点符号问题</abilityName>
      <candidateList>
        <item>.</item>
      </candidateList>
      <explain/>
      <paraID>545C90EB</paraID>
      <start>56</start>
      <end>58</end>
      <status>ignored</status>
      <modifiedWord/>
      <trackRevisions>false</trackRevisions>
    </reviewItem>
    <reviewItem>
      <errorID>3a7c6e50-2636-477a-a22a-dc16e4ec8c72</errorID>
      <errorWord>./</errorWord>
      <group>L1_Punc</group>
      <groupName>标点问题</groupName>
      <ability>L2_Punc_CN</ability>
      <abilityName>标点符号问题</abilityName>
      <candidateList>
        <item>.</item>
      </candidateList>
      <explain/>
      <paraID> 46E667A</paraID>
      <start>31</start>
      <end>33</end>
      <status>ignored</status>
      <modifiedWord/>
      <trackRevisions>false</trackRevisions>
    </reviewItem>
    <reviewItem>
      <errorID>57628333-09a9-4c0f-936d-e56947273112</errorID>
      <errorWord>./</errorWord>
      <group>L1_Punc</group>
      <groupName>标点问题</groupName>
      <ability>L2_Punc_CN</ability>
      <abilityName>标点符号问题</abilityName>
      <candidateList>
        <item>.</item>
      </candidateList>
      <explain/>
      <paraID> 46E667A</paraID>
      <start>56</start>
      <end>58</end>
      <status>ignored</status>
      <modifiedWord/>
      <trackRevisions>false</trackRevisions>
    </reviewItem>
    <reviewItem>
      <errorID>f0d12225-c5db-4c6d-96a5-48143caec438</errorID>
      <errorWord>./</errorWord>
      <group>L1_Punc</group>
      <groupName>标点问题</groupName>
      <ability>L2_Punc_CN</ability>
      <abilityName>标点符号问题</abilityName>
      <candidateList>
        <item>.</item>
      </candidateList>
      <explain/>
      <paraID>2AA881C3</paraID>
      <start>31</start>
      <end>33</end>
      <status>ignored</status>
      <modifiedWord/>
      <trackRevisions>false</trackRevisions>
    </reviewItem>
    <reviewItem>
      <errorID>b8d89226-defb-4f80-8248-48badb41be1b</errorID>
      <errorWord>./</errorWord>
      <group>L1_Punc</group>
      <groupName>标点问题</groupName>
      <ability>L2_Punc_CN</ability>
      <abilityName>标点符号问题</abilityName>
      <candidateList>
        <item>.</item>
      </candidateList>
      <explain/>
      <paraID>2AA881C3</paraID>
      <start>58</start>
      <end>60</end>
      <status>ignored</status>
      <modifiedWord/>
      <trackRevisions>false</trackRevisions>
    </reviewItem>
    <reviewItem>
      <errorID>70536e24-12b0-4370-a503-f7be79a6a5bd</errorID>
      <errorWord>(</errorWord>
      <group>L1_Format</group>
      <groupName>格式问题</groupName>
      <ability>L2_HalfPunc_CN</ability>
      <abilityName>全半角问题</abilityName>
      <candidateList>
        <item>（</item>
      </candidateList>
      <explain>文本全半角错误。</explain>
      <paraID>3FF2125C</paraID>
      <start>20</start>
      <end>21</end>
      <status>ignored</status>
      <modifiedWord/>
      <trackRevisions>false</trackRevisions>
    </reviewItem>
    <reviewItem>
      <errorID>17d46e62-5551-4805-8399-016e5b77a354</errorID>
      <errorWord>(</errorWord>
      <group>L1_Format</group>
      <groupName>格式问题</groupName>
      <ability>L2_HalfPunc_CN</ability>
      <abilityName>全半角问题</abilityName>
      <candidateList>
        <item>（</item>
      </candidateList>
      <explain>文本全半角错误。</explain>
      <paraID>3FF2125C</paraID>
      <start>33</start>
      <end>34</end>
      <status>ignored</status>
      <modifiedWord/>
      <trackRevisions>false</trackRevisions>
    </reviewItem>
    <reviewItem>
      <errorID>2a1eda49-6c73-476f-927b-080e8b71e041</errorID>
      <errorWord>(</errorWord>
      <group>L1_Format</group>
      <groupName>格式问题</groupName>
      <ability>L2_HalfPunc_CN</ability>
      <abilityName>全半角问题</abilityName>
      <candidateList>
        <item>（</item>
      </candidateList>
      <explain>文本全半角错误。</explain>
      <paraID>3FF2125C</paraID>
      <start>178</start>
      <end>179</end>
      <status>ignored</status>
      <modifiedWord/>
      <trackRevisions>false</trackRevisions>
    </reviewItem>
    <reviewItem>
      <errorID>5f3de31e-8f32-4a53-87ce-5dbaf68a032e</errorID>
      <errorWord>./</errorWord>
      <group>L1_Punc</group>
      <groupName>标点问题</groupName>
      <ability>L2_Punc_CN</ability>
      <abilityName>标点符号问题</abilityName>
      <candidateList>
        <item>.</item>
      </candidateList>
      <explain/>
      <paraID>33964F48</paraID>
      <start>21</start>
      <end>23</end>
      <status>ignored</status>
      <modifiedWord/>
      <trackRevisions>false</trackRevisions>
    </reviewItem>
    <reviewItem>
      <errorID>c4c322b6-8e4d-4736-9593-02583178ab50</errorID>
      <errorWord>./</errorWord>
      <group>L1_Punc</group>
      <groupName>标点问题</groupName>
      <ability>L2_Punc_CN</ability>
      <abilityName>标点符号问题</abilityName>
      <candidateList>
        <item>.</item>
      </candidateList>
      <explain/>
      <paraID>33964F48</paraID>
      <start>44</start>
      <end>46</end>
      <status>ignored</status>
      <modifiedWord/>
      <trackRevisions>false</trackRevisions>
    </reviewItem>
    <reviewItem>
      <errorID>32ccc4af-9a42-4273-b51e-33087980ba6c</errorID>
      <errorWord>./</errorWord>
      <group>L1_Punc</group>
      <groupName>标点问题</groupName>
      <ability>L2_Punc_CN</ability>
      <abilityName>标点符号问题</abilityName>
      <candidateList>
        <item>.</item>
      </candidateList>
      <explain/>
      <paraID>33964F48</paraID>
      <start>90</start>
      <end>92</end>
      <status>ignored</status>
      <modifiedWord/>
      <trackRevisions>false</trackRevisions>
    </reviewItem>
    <reviewItem>
      <errorID>6bfe6da7-fd1c-426b-8d2c-fa0513a0b691</errorID>
      <errorWord>./</errorWord>
      <group>L1_Punc</group>
      <groupName>标点问题</groupName>
      <ability>L2_Punc_CN</ability>
      <abilityName>标点符号问题</abilityName>
      <candidateList>
        <item>.</item>
      </candidateList>
      <explain/>
      <paraID>33964F48</paraID>
      <start>103</start>
      <end>105</end>
      <status>ignored</status>
      <modifiedWord/>
      <trackRevisions>false</trackRevisions>
    </reviewItem>
    <reviewItem>
      <errorID>45f96695-487b-4ff1-bd49-f49c173d835e</errorID>
      <errorWord>./</errorWord>
      <group>L1_Punc</group>
      <groupName>标点问题</groupName>
      <ability>L2_Punc_CN</ability>
      <abilityName>标点符号问题</abilityName>
      <candidateList>
        <item>.</item>
      </candidateList>
      <explain/>
      <paraID>33964F48</paraID>
      <start>118</start>
      <end>120</end>
      <status>ignored</status>
      <modifiedWord/>
      <trackRevisions>false</trackRevisions>
    </reviewItem>
    <reviewItem>
      <errorID>4ac95a9e-68a4-4dbc-a2c3-e759df3788ca</errorID>
      <errorWord>(</errorWord>
      <group>L1_Format</group>
      <groupName>格式问题</groupName>
      <ability>L2_HalfPunc_CN</ability>
      <abilityName>全半角问题</abilityName>
      <candidateList>
        <item>（</item>
      </candidateList>
      <explain>文本全半角错误。</explain>
      <paraID>5E1ED179</paraID>
      <start>52</start>
      <end>53</end>
      <status>ignored</status>
      <modifiedWord/>
      <trackRevisions>false</trackRevisions>
    </reviewItem>
    <reviewItem>
      <errorID>dee7ea21-5e99-452b-b9bb-7440c198b818</errorID>
      <errorWord>二十世纪70年代</errorWord>
      <group>L1_Knowledge</group>
      <groupName>知识性问题</groupName>
      <ability>L2_Time</ability>
      <abilityName>日期时间</abilityName>
      <candidateList/>
      <explain>数字形式不统一。</explain>
      <paraID>153E42E6</paraID>
      <start>78</start>
      <end>86</end>
      <status>ignored</status>
      <modifiedWord/>
      <trackRevisions>false</trackRevisions>
    </reviewItem>
    <reviewItem>
      <errorID>31e89749-51a6-40e4-b193-a12ad48dfb57</errorID>
      <errorWord>(</errorWord>
      <group>L1_Format</group>
      <groupName>格式问题</groupName>
      <ability>L2_HalfPunc_CN</ability>
      <abilityName>全半角问题</abilityName>
      <candidateList>
        <item>（</item>
      </candidateList>
      <explain>文本全半角错误。</explain>
      <paraID>653EF6EA</paraID>
      <start>3</start>
      <end>4</end>
      <status>ignored</status>
      <modifiedWord/>
      <trackRevisions>false</trackRevisions>
    </reviewItem>
    <reviewItem>
      <errorID>731ec082-ae61-43a8-a5e2-c6ccab166127</errorID>
      <errorWord>II类</errorWord>
      <group>L1_Knowledge</group>
      <groupName>知识性问题</groupName>
      <ability>L2_Knowledge</ability>
      <abilityName>其他知识</abilityName>
      <candidateList>
        <item>Ⅱ类</item>
      </candidateList>
      <explain>中文环境下罗马数字格式错误。</explain>
      <paraID>653EF6EA</paraID>
      <start>4</start>
      <end>7</end>
      <status>unmodified</status>
      <modifiedWord/>
      <trackRevisions>false</trackRevisions>
    </reviewItem>
    <reviewItem>
      <errorID>34ceda83-0ec5-4acb-a552-d0d9961da7c8</errorID>
      <errorWord>(</errorWord>
      <group>L1_Format</group>
      <groupName>格式问题</groupName>
      <ability>L2_HalfPunc_CN</ability>
      <abilityName>全半角问题</abilityName>
      <candidateList>
        <item>（</item>
      </candidateList>
      <explain>文本全半角错误。</explain>
      <paraID>2D792BEA</paraID>
      <start>0</start>
      <end>1</end>
      <status>ignored</status>
      <modifiedWord/>
      <trackRevisions>false</trackRevisions>
    </reviewItem>
    <reviewItem>
      <errorID>4a87f197-3a43-486a-9309-c0d9825f2e6c</errorID>
      <errorWord>II类</errorWord>
      <group>L1_Knowledge</group>
      <groupName>知识性问题</groupName>
      <ability>L2_Knowledge</ability>
      <abilityName>其他知识</abilityName>
      <candidateList>
        <item>Ⅱ类</item>
      </candidateList>
      <explain>中文环境下罗马数字格式错误。</explain>
      <paraID>321C23FE</paraID>
      <start>48</start>
      <end>51</end>
      <status>unmodified</status>
      <modifiedWord/>
      <trackRevisions>false</trackRevisions>
    </reviewItem>
    <reviewItem>
      <errorID>37c5c376-19e4-4633-ba46-7ffa24632d2a</errorID>
      <errorWord>II类</errorWord>
      <group>L1_Knowledge</group>
      <groupName>知识性问题</groupName>
      <ability>L2_Knowledge</ability>
      <abilityName>其他知识</abilityName>
      <candidateList>
        <item>Ⅱ类</item>
      </candidateList>
      <explain>中文环境下罗马数字格式错误。</explain>
      <paraID>6CA46817</paraID>
      <start>138</start>
      <end>141</end>
      <status>unmodified</status>
      <modifiedWord/>
      <trackRevisions>false</trackRevisions>
    </reviewItem>
    <reviewItem>
      <errorID>7127dda7-2555-4b0c-bedb-6091d876e767</errorID>
      <errorWord>II类</errorWord>
      <group>L1_Knowledge</group>
      <groupName>知识性问题</groupName>
      <ability>L2_Knowledge</ability>
      <abilityName>其他知识</abilityName>
      <candidateList>
        <item>Ⅱ类</item>
      </candidateList>
      <explain>中文环境下罗马数字格式错误。</explain>
      <paraID>6CA46817</paraID>
      <start>163</start>
      <end>166</end>
      <status>unmodified</status>
      <modifiedWord/>
      <trackRevisions>false</trackRevisions>
    </reviewItem>
    <reviewItem>
      <errorID>cbe66861-5ff1-4850-b0d8-e95cdd0e46c1</errorID>
      <errorWord>II类</errorWord>
      <group>L1_Knowledge</group>
      <groupName>知识性问题</groupName>
      <ability>L2_Knowledge</ability>
      <abilityName>其他知识</abilityName>
      <candidateList>
        <item>Ⅱ类</item>
      </candidateList>
      <explain>中文环境下罗马数字格式错误。</explain>
      <paraID> 136BAC1</paraID>
      <start>129</start>
      <end>132</end>
      <status>unmodified</status>
      <modifiedWord/>
      <trackRevisions>false</trackRevisions>
    </reviewItem>
    <reviewItem>
      <errorID>63589fbd-04e7-41fa-8616-24c734397c05</errorID>
      <errorWord>II类</errorWord>
      <group>L1_Knowledge</group>
      <groupName>知识性问题</groupName>
      <ability>L2_Knowledge</ability>
      <abilityName>其他知识</abilityName>
      <candidateList>
        <item>Ⅱ类</item>
      </candidateList>
      <explain>中文环境下罗马数字格式错误。</explain>
      <paraID> 136BAC1</paraID>
      <start>154</start>
      <end>157</end>
      <status>unmodified</status>
      <modifiedWord/>
      <trackRevisions>false</trackRevisions>
    </reviewItem>
    <reviewItem>
      <errorID>e4bc53b1-fd41-4834-bf57-7a08e32a75de</errorID>
      <errorWord>II类</errorWord>
      <group>L1_Knowledge</group>
      <groupName>知识性问题</groupName>
      <ability>L2_Knowledge</ability>
      <abilityName>其他知识</abilityName>
      <candidateList>
        <item>Ⅱ类</item>
      </candidateList>
      <explain>中文环境下罗马数字格式错误。</explain>
      <paraID> 6543153</paraID>
      <start>127</start>
      <end>130</end>
      <status>unmodified</status>
      <modifiedWord/>
      <trackRevisions>false</trackRevisions>
    </reviewItem>
    <reviewItem>
      <errorID>7e90b354-7b19-4ac1-b2d3-e0a3aab41fa5</errorID>
      <errorWord>II类</errorWord>
      <group>L1_Knowledge</group>
      <groupName>知识性问题</groupName>
      <ability>L2_Knowledge</ability>
      <abilityName>其他知识</abilityName>
      <candidateList>
        <item>Ⅱ类</item>
      </candidateList>
      <explain>中文环境下罗马数字格式错误。</explain>
      <paraID> 6543153</paraID>
      <start>152</start>
      <end>155</end>
      <status>unmodified</status>
      <modifiedWord/>
      <trackRevisions>false</trackRevisions>
    </reviewItem>
    <reviewItem>
      <errorID>b589bb2f-d670-425d-8214-ced2679a1d3e</errorID>
      <errorWord>(</errorWord>
      <group>L1_Format</group>
      <groupName>格式问题</groupName>
      <ability>L2_HalfPunc_CN</ability>
      <abilityName>全半角问题</abilityName>
      <candidateList>
        <item>（</item>
      </candidateList>
      <explain>文本全半角错误。</explain>
      <paraID>5A477FEF</paraID>
      <start>32</start>
      <end>33</end>
      <status>ignored</status>
      <modifiedWord/>
      <trackRevisions>false</trackRevisions>
    </reviewItem>
    <reviewItem>
      <errorID>2c5f2f5c-f9ca-4661-b84e-00c7124710ad</errorID>
      <errorWord>(</errorWord>
      <group>L1_Format</group>
      <groupName>格式问题</groupName>
      <ability>L2_HalfPunc_CN</ability>
      <abilityName>全半角问题</abilityName>
      <candidateList>
        <item>（</item>
      </candidateList>
      <explain>文本全半角错误。</explain>
      <paraID>5A477FEF</paraID>
      <start>66</start>
      <end>67</end>
      <status>ignored</status>
      <modifiedWord/>
      <trackRevisions>false</trackRevisions>
    </reviewItem>
    <reviewItem>
      <errorID>5968dba9-4226-4731-9c25-3b2674249493</errorID>
      <errorWord>(</errorWord>
      <group>L1_Format</group>
      <groupName>格式问题</groupName>
      <ability>L2_HalfPunc_CN</ability>
      <abilityName>全半角问题</abilityName>
      <candidateList>
        <item>（</item>
      </candidateList>
      <explain>文本全半角错误。</explain>
      <paraID>5A477FEF</paraID>
      <start>97</start>
      <end>98</end>
      <status>ignored</status>
      <modifiedWord/>
      <trackRevisions>false</trackRevisions>
    </reviewItem>
    <reviewItem>
      <errorID>d8cc4659-18b4-4b7b-bf06-661b89532d70</errorID>
      <errorWord>(</errorWord>
      <group>L1_Format</group>
      <groupName>格式问题</groupName>
      <ability>L2_HalfPunc_CN</ability>
      <abilityName>全半角问题</abilityName>
      <candidateList>
        <item>（</item>
      </candidateList>
      <explain>文本全半角错误。</explain>
      <paraID>5A477FEF</paraID>
      <start>116</start>
      <end>117</end>
      <status>ignored</status>
      <modifiedWord/>
      <trackRevisions>false</trackRevisions>
    </reviewItem>
    <reviewItem>
      <errorID>65d5ace9-aa07-474c-ba32-43f96779bc2a</errorID>
      <errorWord>(</errorWord>
      <group>L1_Format</group>
      <groupName>格式问题</groupName>
      <ability>L2_HalfPunc_CN</ability>
      <abilityName>全半角问题</abilityName>
      <candidateList>
        <item>（</item>
      </candidateList>
      <explain>文本全半角错误。</explain>
      <paraID>5A477FEF</paraID>
      <start>134</start>
      <end>135</end>
      <status>ignored</status>
      <modifiedWord/>
      <trackRevisions>false</trackRevisions>
    </reviewItem>
    <reviewItem>
      <errorID>cfd46b2f-c420-4e88-aeb0-57ee967a0ffd</errorID>
      <errorWord>(</errorWord>
      <group>L1_Format</group>
      <groupName>格式问题</groupName>
      <ability>L2_HalfPunc_CN</ability>
      <abilityName>全半角问题</abilityName>
      <candidateList>
        <item>（</item>
      </candidateList>
      <explain>文本全半角错误。</explain>
      <paraID>5A477FEF</paraID>
      <start>152</start>
      <end>153</end>
      <status>ignored</status>
      <modifiedWord/>
      <trackRevisions>false</trackRevisions>
    </reviewItem>
    <reviewItem>
      <errorID>b190ff90-04dd-4130-bc35-487c3b2d04e2</errorID>
      <errorWord>(</errorWord>
      <group>L1_Format</group>
      <groupName>格式问题</groupName>
      <ability>L2_HalfPunc_CN</ability>
      <abilityName>全半角问题</abilityName>
      <candidateList>
        <item>（</item>
      </candidateList>
      <explain>文本全半角错误。</explain>
      <paraID>5A477FEF</paraID>
      <start>170</start>
      <end>171</end>
      <status>ignored</status>
      <modifiedWord/>
      <trackRevisions>false</trackRevisions>
    </reviewItem>
    <reviewItem>
      <errorID>3f7e783b-9e5e-4eaa-bb86-67a8be84475d</errorID>
      <errorWord>(</errorWord>
      <group>L1_Format</group>
      <groupName>格式问题</groupName>
      <ability>L2_HalfPunc_CN</ability>
      <abilityName>全半角问题</abilityName>
      <candidateList>
        <item>（</item>
      </candidateList>
      <explain>文本全半角错误。</explain>
      <paraID>5A477FEF</paraID>
      <start>188</start>
      <end>189</end>
      <status>ignored</status>
      <modifiedWord/>
      <trackRevisions>false</trackRevisions>
    </reviewItem>
    <reviewItem>
      <errorID>0bc32b2a-16f6-4bb9-9020-038e83ba5d38</errorID>
      <errorWord>(</errorWord>
      <group>L1_Format</group>
      <groupName>格式问题</groupName>
      <ability>L2_HalfPunc_CN</ability>
      <abilityName>全半角问题</abilityName>
      <candidateList>
        <item>（</item>
      </candidateList>
      <explain>文本全半角错误。</explain>
      <paraID>65187D90</paraID>
      <start>66</start>
      <end>67</end>
      <status>ignored</status>
      <modifiedWord/>
      <trackRevisions>false</trackRevisions>
    </reviewItem>
    <reviewItem>
      <errorID>b41a96f6-a7af-4667-9841-507456a64cbe</errorID>
      <errorWord>(</errorWord>
      <group>L1_Format</group>
      <groupName>格式问题</groupName>
      <ability>L2_HalfPunc_CN</ability>
      <abilityName>全半角问题</abilityName>
      <candidateList>
        <item>（</item>
      </candidateList>
      <explain>文本全半角错误。</explain>
      <paraID>65187D90</paraID>
      <start>97</start>
      <end>98</end>
      <status>ignored</status>
      <modifiedWord/>
      <trackRevisions>false</trackRevisions>
    </reviewItem>
    <reviewItem>
      <errorID>6b7f8674-d65b-4af5-8b50-92eaee6e0644</errorID>
      <errorWord>(</errorWord>
      <group>L1_Format</group>
      <groupName>格式问题</groupName>
      <ability>L2_HalfPunc_CN</ability>
      <abilityName>全半角问题</abilityName>
      <candidateList>
        <item>（</item>
      </candidateList>
      <explain>文本全半角错误。</explain>
      <paraID>65187D90</paraID>
      <start>116</start>
      <end>117</end>
      <status>ignored</status>
      <modifiedWord/>
      <trackRevisions>false</trackRevisions>
    </reviewItem>
    <reviewItem>
      <errorID>95343c04-37d5-4f90-a200-f9d7caf33495</errorID>
      <errorWord>(</errorWord>
      <group>L1_Format</group>
      <groupName>格式问题</groupName>
      <ability>L2_HalfPunc_CN</ability>
      <abilityName>全半角问题</abilityName>
      <candidateList>
        <item>（</item>
      </candidateList>
      <explain>文本全半角错误。</explain>
      <paraID>65187D90</paraID>
      <start>134</start>
      <end>135</end>
      <status>ignored</status>
      <modifiedWord/>
      <trackRevisions>false</trackRevisions>
    </reviewItem>
    <reviewItem>
      <errorID>e9a59fd7-cf1e-44c0-87fd-ac2b16a7354d</errorID>
      <errorWord>(</errorWord>
      <group>L1_Format</group>
      <groupName>格式问题</groupName>
      <ability>L2_HalfPunc_CN</ability>
      <abilityName>全半角问题</abilityName>
      <candidateList>
        <item>（</item>
      </candidateList>
      <explain>文本全半角错误。</explain>
      <paraID>65187D90</paraID>
      <start>152</start>
      <end>153</end>
      <status>ignored</status>
      <modifiedWord/>
      <trackRevisions>false</trackRevisions>
    </reviewItem>
    <reviewItem>
      <errorID>1deceaab-ec70-4e0c-8444-4dbe4128172a</errorID>
      <errorWord>(</errorWord>
      <group>L1_Format</group>
      <groupName>格式问题</groupName>
      <ability>L2_HalfPunc_CN</ability>
      <abilityName>全半角问题</abilityName>
      <candidateList>
        <item>（</item>
      </candidateList>
      <explain>文本全半角错误。</explain>
      <paraID>65187D90</paraID>
      <start>170</start>
      <end>171</end>
      <status>ignored</status>
      <modifiedWord/>
      <trackRevisions>false</trackRevisions>
    </reviewItem>
    <reviewItem>
      <errorID>c1d6b80f-55f1-417f-b4b1-4bfac4a0c36c</errorID>
      <errorWord>(</errorWord>
      <group>L1_Format</group>
      <groupName>格式问题</groupName>
      <ability>L2_HalfPunc_CN</ability>
      <abilityName>全半角问题</abilityName>
      <candidateList>
        <item>（</item>
      </candidateList>
      <explain>文本全半角错误。</explain>
      <paraID>65187D90</paraID>
      <start>182</start>
      <end>183</end>
      <status>ignored</status>
      <modifiedWord/>
      <trackRevisions>false</trackRevisions>
    </reviewItem>
    <reviewItem>
      <errorID>a003ea80-1914-411d-9d0d-ae748086f38a</errorID>
      <errorWord>(</errorWord>
      <group>L1_Format</group>
      <groupName>格式问题</groupName>
      <ability>L2_HalfPunc_CN</ability>
      <abilityName>全半角问题</abilityName>
      <candidateList>
        <item>（</item>
      </candidateList>
      <explain>文本全半角错误。</explain>
      <paraID>73EF4787</paraID>
      <start>20</start>
      <end>21</end>
      <status>ignored</status>
      <modifiedWord/>
      <trackRevisions>false</trackRevisions>
    </reviewItem>
    <reviewItem>
      <errorID>e1fbcc84-2181-493f-907a-d072d9c4a890</errorID>
      <errorWord>(</errorWord>
      <group>L1_Format</group>
      <groupName>格式问题</groupName>
      <ability>L2_HalfPunc_CN</ability>
      <abilityName>全半角问题</abilityName>
      <candidateList>
        <item>（</item>
      </candidateList>
      <explain>文本全半角错误。</explain>
      <paraID>73EF4787</paraID>
      <start>66</start>
      <end>67</end>
      <status>ignored</status>
      <modifiedWord/>
      <trackRevisions>false</trackRevisions>
    </reviewItem>
    <reviewItem>
      <errorID>0b7c5965-9462-45c8-b353-d5db53808cce</errorID>
      <errorWord>(</errorWord>
      <group>L1_Format</group>
      <groupName>格式问题</groupName>
      <ability>L2_HalfPunc_CN</ability>
      <abilityName>全半角问题</abilityName>
      <candidateList>
        <item>（</item>
      </candidateList>
      <explain>文本全半角错误。</explain>
      <paraID>73EF4787</paraID>
      <start>96</start>
      <end>97</end>
      <status>ignored</status>
      <modifiedWord/>
      <trackRevisions>false</trackRevisions>
    </reviewItem>
    <reviewItem>
      <errorID>c430e272-4545-4d7c-86cd-596db0047ae5</errorID>
      <errorWord>(</errorWord>
      <group>L1_Format</group>
      <groupName>格式问题</groupName>
      <ability>L2_HalfPunc_CN</ability>
      <abilityName>全半角问题</abilityName>
      <candidateList>
        <item>（</item>
      </candidateList>
      <explain>文本全半角错误。</explain>
      <paraID>73EF4787</paraID>
      <start>115</start>
      <end>116</end>
      <status>ignored</status>
      <modifiedWord/>
      <trackRevisions>false</trackRevisions>
    </reviewItem>
    <reviewItem>
      <errorID>171e1c4a-6ddd-4bc4-969a-ab5d5c242a6a</errorID>
      <errorWord>(</errorWord>
      <group>L1_Format</group>
      <groupName>格式问题</groupName>
      <ability>L2_HalfPunc_CN</ability>
      <abilityName>全半角问题</abilityName>
      <candidateList>
        <item>（</item>
      </candidateList>
      <explain>文本全半角错误。</explain>
      <paraID>73EF4787</paraID>
      <start>134</start>
      <end>135</end>
      <status>ignored</status>
      <modifiedWord/>
      <trackRevisions>false</trackRevisions>
    </reviewItem>
    <reviewItem>
      <errorID>2e3034ce-9e8e-4c57-9363-263c9f81fad2</errorID>
      <errorWord>(</errorWord>
      <group>L1_Format</group>
      <groupName>格式问题</groupName>
      <ability>L2_HalfPunc_CN</ability>
      <abilityName>全半角问题</abilityName>
      <candidateList>
        <item>（</item>
      </candidateList>
      <explain>文本全半角错误。</explain>
      <paraID>73EF4787</paraID>
      <start>152</start>
      <end>153</end>
      <status>ignored</status>
      <modifiedWord/>
      <trackRevisions>false</trackRevisions>
    </reviewItem>
    <reviewItem>
      <errorID>0572f7ee-24d9-4350-8aae-9ca3da87fd24</errorID>
      <errorWord>(</errorWord>
      <group>L1_Format</group>
      <groupName>格式问题</groupName>
      <ability>L2_HalfPunc_CN</ability>
      <abilityName>全半角问题</abilityName>
      <candidateList>
        <item>（</item>
      </candidateList>
      <explain>文本全半角错误。</explain>
      <paraID>73EF4787</paraID>
      <start>170</start>
      <end>171</end>
      <status>ignored</status>
      <modifiedWord/>
      <trackRevisions>false</trackRevisions>
    </reviewItem>
    <reviewItem>
      <errorID>07ebf60d-f8fb-4f92-8f26-a23b2781e12b</errorID>
      <errorWord>(</errorWord>
      <group>L1_Format</group>
      <groupName>格式问题</groupName>
      <ability>L2_HalfPunc_CN</ability>
      <abilityName>全半角问题</abilityName>
      <candidateList>
        <item>（</item>
      </candidateList>
      <explain>文本全半角错误。</explain>
      <paraID>73EF4787</paraID>
      <start>188</start>
      <end>189</end>
      <status>ignored</status>
      <modifiedWord/>
      <trackRevisions>false</trackRevisions>
    </reviewItem>
    <reviewItem>
      <errorID>2fb335af-a5ed-4762-93f6-118d987bbc17</errorID>
      <errorWord>(</errorWord>
      <group>L1_Format</group>
      <groupName>格式问题</groupName>
      <ability>L2_HalfPunc_CN</ability>
      <abilityName>全半角问题</abilityName>
      <candidateList>
        <item>（</item>
      </candidateList>
      <explain>文本全半角错误。</explain>
      <paraID>73EF4787</paraID>
      <start>200</start>
      <end>201</end>
      <status>ignored</status>
      <modifiedWord/>
      <trackRevisions>false</trackRevisions>
    </reviewItem>
    <reviewItem>
      <errorID>16798a15-d466-4b62-b613-aa2a7f8ef322</errorID>
      <errorWord>(</errorWord>
      <group>L1_Format</group>
      <groupName>格式问题</groupName>
      <ability>L2_HalfPunc_CN</ability>
      <abilityName>全半角问题</abilityName>
      <candidateList>
        <item>（</item>
      </candidateList>
      <explain>文本全半角错误。</explain>
      <paraID>615E0620</paraID>
      <start>33</start>
      <end>34</end>
      <status>ignored</status>
      <modifiedWord/>
      <trackRevisions>false</trackRevisions>
    </reviewItem>
    <reviewItem>
      <errorID>e968a768-466f-496a-95af-87935744ea00</errorID>
      <errorWord>(</errorWord>
      <group>L1_Format</group>
      <groupName>格式问题</groupName>
      <ability>L2_HalfPunc_CN</ability>
      <abilityName>全半角问题</abilityName>
      <candidateList>
        <item>（</item>
      </candidateList>
      <explain>文本全半角错误。</explain>
      <paraID>615E0620</paraID>
      <start>54</start>
      <end>55</end>
      <status>ignored</status>
      <modifiedWord/>
      <trackRevisions>false</trackRevisions>
    </reviewItem>
    <reviewItem>
      <errorID>2de9b5af-37a5-4f2a-9c64-994f820557b3</errorID>
      <errorWord>(</errorWord>
      <group>L1_Format</group>
      <groupName>格式问题</groupName>
      <ability>L2_HalfPunc_CN</ability>
      <abilityName>全半角问题</abilityName>
      <candidateList>
        <item>（</item>
      </candidateList>
      <explain>文本全半角错误。</explain>
      <paraID>615E0620</paraID>
      <start>78</start>
      <end>79</end>
      <status>ignored</status>
      <modifiedWord/>
      <trackRevisions>false</trackRevisions>
    </reviewItem>
    <reviewItem>
      <errorID>74b679a4-fdca-4d1c-8a50-0b25a6cb1caa</errorID>
      <errorWord>(</errorWord>
      <group>L1_Format</group>
      <groupName>格式问题</groupName>
      <ability>L2_HalfPunc_CN</ability>
      <abilityName>全半角问题</abilityName>
      <candidateList>
        <item>（</item>
      </candidateList>
      <explain>文本全半角错误。</explain>
      <paraID>615E0620</paraID>
      <start>102</start>
      <end>103</end>
      <status>ignored</status>
      <modifiedWord/>
      <trackRevisions>false</trackRevisions>
    </reviewItem>
    <reviewItem>
      <errorID>47854612-ad7f-4a46-92f7-8dc062797a89</errorID>
      <errorWord>(</errorWord>
      <group>L1_Format</group>
      <groupName>格式问题</groupName>
      <ability>L2_HalfPunc_CN</ability>
      <abilityName>全半角问题</abilityName>
      <candidateList>
        <item>（</item>
      </candidateList>
      <explain>文本全半角错误。</explain>
      <paraID>615E0620</paraID>
      <start>120</start>
      <end>121</end>
      <status>ignored</status>
      <modifiedWord/>
      <trackRevisions>false</trackRevisions>
    </reviewItem>
    <reviewItem>
      <errorID>a8322887-f063-4c1e-add9-2c2c7645d2bc</errorID>
      <errorWord>(</errorWord>
      <group>L1_Format</group>
      <groupName>格式问题</groupName>
      <ability>L2_HalfPunc_CN</ability>
      <abilityName>全半角问题</abilityName>
      <candidateList>
        <item>（</item>
      </candidateList>
      <explain>文本全半角错误。</explain>
      <paraID>5D31F945</paraID>
      <start>23</start>
      <end>24</end>
      <status>ignored</status>
      <modifiedWord/>
      <trackRevisions>false</trackRevisions>
    </reviewItem>
    <reviewItem>
      <errorID>ad1504b8-dddb-48cf-b157-3910018604c1</errorID>
      <errorWord>(</errorWord>
      <group>L1_Format</group>
      <groupName>格式问题</groupName>
      <ability>L2_HalfPunc_CN</ability>
      <abilityName>全半角问题</abilityName>
      <candidateList>
        <item>（</item>
      </candidateList>
      <explain>文本全半角错误。</explain>
      <paraID>5D31F945</paraID>
      <start>45</start>
      <end>46</end>
      <status>ignored</status>
      <modifiedWord/>
      <trackRevisions>false</trackRevisions>
    </reviewItem>
    <reviewItem>
      <errorID>7bdc1178-6caa-4476-8a92-07546412c90e</errorID>
      <errorWord>(</errorWord>
      <group>L1_Format</group>
      <groupName>格式问题</groupName>
      <ability>L2_HalfPunc_CN</ability>
      <abilityName>全半角问题</abilityName>
      <candidateList>
        <item>（</item>
      </candidateList>
      <explain>文本全半角错误。</explain>
      <paraID>5D31F945</paraID>
      <start>64</start>
      <end>65</end>
      <status>ignored</status>
      <modifiedWord/>
      <trackRevisions>false</trackRevisions>
    </reviewItem>
    <reviewItem>
      <errorID>0f23cd6a-7354-42ea-b330-c74b9a05870c</errorID>
      <errorWord>(</errorWord>
      <group>L1_Format</group>
      <groupName>格式问题</groupName>
      <ability>L2_HalfPunc_CN</ability>
      <abilityName>全半角问题</abilityName>
      <candidateList>
        <item>（</item>
      </candidateList>
      <explain>文本全半角错误。</explain>
      <paraID>5D31F945</paraID>
      <start>93</start>
      <end>94</end>
      <status>ignored</status>
      <modifiedWord/>
      <trackRevisions>false</trackRevisions>
    </reviewItem>
    <reviewItem>
      <errorID>209bad85-c3ab-40a2-9ae4-b7b9e587fd34</errorID>
      <errorWord>(</errorWord>
      <group>L1_Format</group>
      <groupName>格式问题</groupName>
      <ability>L2_HalfPunc_CN</ability>
      <abilityName>全半角问题</abilityName>
      <candidateList>
        <item>（</item>
      </candidateList>
      <explain>文本全半角错误。</explain>
      <paraID>5D31F945</paraID>
      <start>136</start>
      <end>137</end>
      <status>ignored</status>
      <modifiedWord/>
      <trackRevisions>false</trackRevisions>
    </reviewItem>
    <reviewItem>
      <errorID>34f9b80f-85c6-4d39-b8dd-a7de9e077327</errorID>
      <errorWord>(</errorWord>
      <group>L1_Format</group>
      <groupName>格式问题</groupName>
      <ability>L2_HalfPunc_CN</ability>
      <abilityName>全半角问题</abilityName>
      <candidateList>
        <item>（</item>
      </candidateList>
      <explain>文本全半角错误。</explain>
      <paraID>5D31F945</paraID>
      <start>155</start>
      <end>156</end>
      <status>ignored</status>
      <modifiedWord/>
      <trackRevisions>false</trackRevisions>
    </reviewItem>
    <reviewItem>
      <errorID>9e67a74c-e291-40d6-b1b8-99e4982f951d</errorID>
      <errorWord>(</errorWord>
      <group>L1_Format</group>
      <groupName>格式问题</groupName>
      <ability>L2_HalfPunc_CN</ability>
      <abilityName>全半角问题</abilityName>
      <candidateList>
        <item>（</item>
      </candidateList>
      <explain>文本全半角错误。</explain>
      <paraID>5D31F945</paraID>
      <start>179</start>
      <end>180</end>
      <status>ignored</status>
      <modifiedWord/>
      <trackRevisions>false</trackRevisions>
    </reviewItem>
    <reviewItem>
      <errorID>61e95000-c6b5-41ae-b55c-b798414c7238</errorID>
      <errorWord>(</errorWord>
      <group>L1_Format</group>
      <groupName>格式问题</groupName>
      <ability>L2_HalfPunc_CN</ability>
      <abilityName>全半角问题</abilityName>
      <candidateList>
        <item>（</item>
      </candidateList>
      <explain>文本全半角错误。</explain>
      <paraID>5D31F945</paraID>
      <start>199</start>
      <end>200</end>
      <status>ignored</status>
      <modifiedWord/>
      <trackRevisions>false</trackRevisions>
    </reviewItem>
    <reviewItem>
      <errorID>7e8dff3f-729f-438c-afec-be5d2e2f6d49</errorID>
      <errorWord>(</errorWord>
      <group>L1_Format</group>
      <groupName>格式问题</groupName>
      <ability>L2_HalfPunc_CN</ability>
      <abilityName>全半角问题</abilityName>
      <candidateList>
        <item>（</item>
      </candidateList>
      <explain>文本全半角错误。</explain>
      <paraID>5D31F945</paraID>
      <start>222</start>
      <end>223</end>
      <status>ignored</status>
      <modifiedWord/>
      <trackRevisions>false</trackRevisions>
    </reviewItem>
    <reviewItem>
      <errorID>a3410569-603f-4c94-ac71-4abd53bdf4c4</errorID>
      <errorWord>(</errorWord>
      <group>L1_Format</group>
      <groupName>格式问题</groupName>
      <ability>L2_HalfPunc_CN</ability>
      <abilityName>全半角问题</abilityName>
      <candidateList>
        <item>（</item>
      </candidateList>
      <explain>文本全半角错误。</explain>
      <paraID>5D31F945</paraID>
      <start>244</start>
      <end>245</end>
      <status>ignored</status>
      <modifiedWord/>
      <trackRevisions>false</trackRevisions>
    </reviewItem>
    <reviewItem>
      <errorID>503d3b29-41ad-480c-a827-67654aabf521</errorID>
      <errorWord>(</errorWord>
      <group>L1_Format</group>
      <groupName>格式问题</groupName>
      <ability>L2_HalfPunc_CN</ability>
      <abilityName>全半角问题</abilityName>
      <candidateList>
        <item>（</item>
      </candidateList>
      <explain>文本全半角错误。</explain>
      <paraID>5D31F945</paraID>
      <start>268</start>
      <end>269</end>
      <status>ignored</status>
      <modifiedWord/>
      <trackRevisions>false</trackRevisions>
    </reviewItem>
    <reviewItem>
      <errorID>ecb54182-14ae-4114-8e9b-4d7a610d2bb9</errorID>
      <errorWord>(</errorWord>
      <group>L1_Format</group>
      <groupName>格式问题</groupName>
      <ability>L2_HalfPunc_CN</ability>
      <abilityName>全半角问题</abilityName>
      <candidateList>
        <item>（</item>
      </candidateList>
      <explain>文本全半角错误。</explain>
      <paraID>3C4D3950</paraID>
      <start>21</start>
      <end>22</end>
      <status>ignored</status>
      <modifiedWord/>
      <trackRevisions>false</trackRevisions>
    </reviewItem>
    <reviewItem>
      <errorID>00aadc31-1085-4a5b-9df7-0cb1bec2bf1c</errorID>
      <errorWord>(</errorWord>
      <group>L1_Format</group>
      <groupName>格式问题</groupName>
      <ability>L2_HalfPunc_CN</ability>
      <abilityName>全半角问题</abilityName>
      <candidateList>
        <item>（</item>
      </candidateList>
      <explain>文本全半角错误。</explain>
      <paraID>3C4D3950</paraID>
      <start>42</start>
      <end>43</end>
      <status>ignored</status>
      <modifiedWord/>
      <trackRevisions>false</trackRevisions>
    </reviewItem>
    <reviewItem>
      <errorID>0ee7c34b-940a-47f2-824f-3e7f81552946</errorID>
      <errorWord>(</errorWord>
      <group>L1_Format</group>
      <groupName>格式问题</groupName>
      <ability>L2_HalfPunc_CN</ability>
      <abilityName>全半角问题</abilityName>
      <candidateList>
        <item>（</item>
      </candidateList>
      <explain>文本全半角错误。</explain>
      <paraID>3C4D3950</paraID>
      <start>63</start>
      <end>64</end>
      <status>ignored</status>
      <modifiedWord/>
      <trackRevisions>false</trackRevisions>
    </reviewItem>
    <reviewItem>
      <errorID>f5a56b53-961d-4ce0-9476-fc96521bb35d</errorID>
      <errorWord>(</errorWord>
      <group>L1_Format</group>
      <groupName>格式问题</groupName>
      <ability>L2_HalfPunc_CN</ability>
      <abilityName>全半角问题</abilityName>
      <candidateList>
        <item>（</item>
      </candidateList>
      <explain>文本全半角错误。</explain>
      <paraID>3C4D3950</paraID>
      <start>86</start>
      <end>87</end>
      <status>ignored</status>
      <modifiedWord/>
      <trackRevisions>false</trackRevisions>
    </reviewItem>
    <reviewItem>
      <errorID>ffdb604d-fbf5-41f9-b74f-1bb837ba4dfe</errorID>
      <errorWord>(</errorWord>
      <group>L1_Format</group>
      <groupName>格式问题</groupName>
      <ability>L2_HalfPunc_CN</ability>
      <abilityName>全半角问题</abilityName>
      <candidateList>
        <item>（</item>
      </candidateList>
      <explain>文本全半角错误。</explain>
      <paraID>3C4D3950</paraID>
      <start>110</start>
      <end>111</end>
      <status>ignored</status>
      <modifiedWord/>
      <trackRevisions>false</trackRevisions>
    </reviewItem>
    <reviewItem>
      <errorID>4dcc1628-ed68-485a-9afd-66e5a8d901b8</errorID>
      <errorWord>(</errorWord>
      <group>L1_Format</group>
      <groupName>格式问题</groupName>
      <ability>L2_HalfPunc_CN</ability>
      <abilityName>全半角问题</abilityName>
      <candidateList>
        <item>（</item>
      </candidateList>
      <explain>文本全半角错误。</explain>
      <paraID>2D904B2C</paraID>
      <start>57</start>
      <end>58</end>
      <status>ignored</status>
      <modifiedWord/>
      <trackRevisions>false</trackRevisions>
    </reviewItem>
    <reviewItem>
      <errorID>9a2930e3-9831-4ec9-9480-aa99505a87fc</errorID>
      <errorWord>(</errorWord>
      <group>L1_Format</group>
      <groupName>格式问题</groupName>
      <ability>L2_HalfPunc_CN</ability>
      <abilityName>全半角问题</abilityName>
      <candidateList>
        <item>（</item>
      </candidateList>
      <explain>文本全半角错误。</explain>
      <paraID>2EC08E60</paraID>
      <start>40</start>
      <end>41</end>
      <status>ignored</status>
      <modifiedWord/>
      <trackRevisions>false</trackRevisions>
    </reviewItem>
    <reviewItem>
      <errorID>50c2604b-ac87-4203-9da4-c5a616ebb400</errorID>
      <errorWord>(</errorWord>
      <group>L1_Format</group>
      <groupName>格式问题</groupName>
      <ability>L2_HalfPunc_CN</ability>
      <abilityName>全半角问题</abilityName>
      <candidateList>
        <item>（</item>
      </candidateList>
      <explain>文本全半角错误。</explain>
      <paraID>2EC08E60</paraID>
      <start>61</start>
      <end>62</end>
      <status>ignored</status>
      <modifiedWord/>
      <trackRevisions>false</trackRevisions>
    </reviewItem>
    <reviewItem>
      <errorID>2ac12a7c-85ed-422a-8c03-33730ea44682</errorID>
      <errorWord>(</errorWord>
      <group>L1_Format</group>
      <groupName>格式问题</groupName>
      <ability>L2_HalfPunc_CN</ability>
      <abilityName>全半角问题</abilityName>
      <candidateList>
        <item>（</item>
      </candidateList>
      <explain>文本全半角错误。</explain>
      <paraID>2EC08E60</paraID>
      <start>82</start>
      <end>83</end>
      <status>ignored</status>
      <modifiedWord/>
      <trackRevisions>false</trackRevisions>
    </reviewItem>
    <reviewItem>
      <errorID>ccd4dfb6-480a-482d-b339-9efe8228b00c</errorID>
      <errorWord>(</errorWord>
      <group>L1_Format</group>
      <groupName>格式问题</groupName>
      <ability>L2_HalfPunc_CN</ability>
      <abilityName>全半角问题</abilityName>
      <candidateList>
        <item>（</item>
      </candidateList>
      <explain>文本全半角错误。</explain>
      <paraID>2EC08E60</paraID>
      <start>104</start>
      <end>105</end>
      <status>ignored</status>
      <modifiedWord/>
      <trackRevisions>false</trackRevisions>
    </reviewItem>
    <reviewItem>
      <errorID>2c1bcecd-58b0-4597-b93f-89f8dba2f8d1</errorID>
      <errorWord>(</errorWord>
      <group>L1_Format</group>
      <groupName>格式问题</groupName>
      <ability>L2_HalfPunc_CN</ability>
      <abilityName>全半角问题</abilityName>
      <candidateList>
        <item>（</item>
      </candidateList>
      <explain>文本全半角错误。</explain>
      <paraID>2EC08E60</paraID>
      <start>112</start>
      <end>113</end>
      <status>ignored</status>
      <modifiedWord/>
      <trackRevisions>false</trackRevisions>
    </reviewItem>
    <reviewItem>
      <errorID>b40f9ba6-7de3-4a1a-8a04-9b990f95feb0</errorID>
      <errorWord>(</errorWord>
      <group>L1_Format</group>
      <groupName>格式问题</groupName>
      <ability>L2_HalfPunc_CN</ability>
      <abilityName>全半角问题</abilityName>
      <candidateList>
        <item>（</item>
      </candidateList>
      <explain>文本全半角错误。</explain>
      <paraID> 81FCBE9</paraID>
      <start>26</start>
      <end>27</end>
      <status>ignored</status>
      <modifiedWord/>
      <trackRevisions>false</trackRevisions>
    </reviewItem>
    <reviewItem>
      <errorID>49ee73a2-b4ab-4f01-8250-916219f1bc67</errorID>
      <errorWord>(</errorWord>
      <group>L1_Format</group>
      <groupName>格式问题</groupName>
      <ability>L2_HalfPunc_CN</ability>
      <abilityName>全半角问题</abilityName>
      <candidateList>
        <item>（</item>
      </candidateList>
      <explain>文本全半角错误。</explain>
      <paraID> 81FCBE9</paraID>
      <start>47</start>
      <end>48</end>
      <status>ignored</status>
      <modifiedWord/>
      <trackRevisions>false</trackRevisions>
    </reviewItem>
    <reviewItem>
      <errorID>e757e1f5-9ce9-46d9-96d5-81a2aa710a45</errorID>
      <errorWord>(</errorWord>
      <group>L1_Format</group>
      <groupName>格式问题</groupName>
      <ability>L2_HalfPunc_CN</ability>
      <abilityName>全半角问题</abilityName>
      <candidateList>
        <item>（</item>
      </candidateList>
      <explain>文本全半角错误。</explain>
      <paraID> 81FCBE9</paraID>
      <start>68</start>
      <end>69</end>
      <status>ignored</status>
      <modifiedWord/>
      <trackRevisions>false</trackRevisions>
    </reviewItem>
    <reviewItem>
      <errorID>92decb15-6e8a-4fd5-a355-f28242aeb5a8</errorID>
      <errorWord>(</errorWord>
      <group>L1_Format</group>
      <groupName>格式问题</groupName>
      <ability>L2_HalfPunc_CN</ability>
      <abilityName>全半角问题</abilityName>
      <candidateList>
        <item>（</item>
      </candidateList>
      <explain>文本全半角错误。</explain>
      <paraID> 81FCBE9</paraID>
      <start>90</start>
      <end>91</end>
      <status>ignored</status>
      <modifiedWord/>
      <trackRevisions>false</trackRevisions>
    </reviewItem>
    <reviewItem>
      <errorID>a0b365ce-7a59-42b6-aba4-b1124846ffb3</errorID>
      <errorWord>(</errorWord>
      <group>L1_Format</group>
      <groupName>格式问题</groupName>
      <ability>L2_HalfPunc_CN</ability>
      <abilityName>全半角问题</abilityName>
      <candidateList>
        <item>（</item>
      </candidateList>
      <explain>文本全半角错误。</explain>
      <paraID>10E84715</paraID>
      <start>26</start>
      <end>27</end>
      <status>ignored</status>
      <modifiedWord/>
      <trackRevisions>false</trackRevisions>
    </reviewItem>
    <reviewItem>
      <errorID>ea165a24-89c4-4054-bdfa-25a3dd411219</errorID>
      <errorWord>(</errorWord>
      <group>L1_Format</group>
      <groupName>格式问题</groupName>
      <ability>L2_HalfPunc_CN</ability>
      <abilityName>全半角问题</abilityName>
      <candidateList>
        <item>（</item>
      </candidateList>
      <explain>文本全半角错误。</explain>
      <paraID>10E84715</paraID>
      <start>47</start>
      <end>48</end>
      <status>ignored</status>
      <modifiedWord/>
      <trackRevisions>false</trackRevisions>
    </reviewItem>
    <reviewItem>
      <errorID>b4b1f682-b619-4bc0-9725-bfa6b696981d</errorID>
      <errorWord>(</errorWord>
      <group>L1_Format</group>
      <groupName>格式问题</groupName>
      <ability>L2_HalfPunc_CN</ability>
      <abilityName>全半角问题</abilityName>
      <candidateList>
        <item>（</item>
      </candidateList>
      <explain>文本全半角错误。</explain>
      <paraID>10E84715</paraID>
      <start>68</start>
      <end>69</end>
      <status>ignored</status>
      <modifiedWord/>
      <trackRevisions>false</trackRevisions>
    </reviewItem>
    <reviewItem>
      <errorID>2423e4ef-8ddd-44ae-9b90-970b3b570b73</errorID>
      <errorWord>(</errorWord>
      <group>L1_Format</group>
      <groupName>格式问题</groupName>
      <ability>L2_HalfPunc_CN</ability>
      <abilityName>全半角问题</abilityName>
      <candidateList>
        <item>（</item>
      </candidateList>
      <explain>文本全半角错误。</explain>
      <paraID>10E84715</paraID>
      <start>90</start>
      <end>91</end>
      <status>ignored</status>
      <modifiedWord/>
      <trackRevisions>false</trackRevisions>
    </reviewItem>
    <reviewItem>
      <errorID>ea224d6e-13ac-4d9f-81a1-0a0464654eae</errorID>
      <errorWord>(</errorWord>
      <group>L1_Format</group>
      <groupName>格式问题</groupName>
      <ability>L2_HalfPunc_CN</ability>
      <abilityName>全半角问题</abilityName>
      <candidateList>
        <item>（</item>
      </candidateList>
      <explain>文本全半角错误。</explain>
      <paraID>47C745CF</paraID>
      <start>27</start>
      <end>28</end>
      <status>ignored</status>
      <modifiedWord/>
      <trackRevisions>false</trackRevisions>
    </reviewItem>
    <reviewItem>
      <errorID>b5860961-0f06-41ec-a3f2-ee6ec91a26e2</errorID>
      <errorWord>(</errorWord>
      <group>L1_Format</group>
      <groupName>格式问题</groupName>
      <ability>L2_HalfPunc_CN</ability>
      <abilityName>全半角问题</abilityName>
      <candidateList>
        <item>（</item>
      </candidateList>
      <explain>文本全半角错误。</explain>
      <paraID>47C745CF</paraID>
      <start>65</start>
      <end>66</end>
      <status>ignored</status>
      <modifiedWord/>
      <trackRevisions>false</trackRevisions>
    </reviewItem>
    <reviewItem>
      <errorID>cbd70e36-d74d-4f57-af06-bff723c8b3bd</errorID>
      <errorWord>(</errorWord>
      <group>L1_Format</group>
      <groupName>格式问题</groupName>
      <ability>L2_HalfPunc_CN</ability>
      <abilityName>全半角问题</abilityName>
      <candidateList>
        <item>（</item>
      </candidateList>
      <explain>文本全半角错误。</explain>
      <paraID>47C745CF</paraID>
      <start>91</start>
      <end>92</end>
      <status>ignored</status>
      <modifiedWord/>
      <trackRevisions>false</trackRevisions>
    </reviewItem>
    <reviewItem>
      <errorID>883da218-7a72-45af-b954-4f4be06b196b</errorID>
      <errorWord>(</errorWord>
      <group>L1_Format</group>
      <groupName>格式问题</groupName>
      <ability>L2_HalfPunc_CN</ability>
      <abilityName>全半角问题</abilityName>
      <candidateList>
        <item>（</item>
      </candidateList>
      <explain>文本全半角错误。</explain>
      <paraID>47C745CF</paraID>
      <start>110</start>
      <end>111</end>
      <status>ignored</status>
      <modifiedWord/>
      <trackRevisions>false</trackRevisions>
    </reviewItem>
    <reviewItem>
      <errorID>89d84e9e-664f-4b36-a28a-74cf7499409b</errorID>
      <errorWord>(</errorWord>
      <group>L1_Format</group>
      <groupName>格式问题</groupName>
      <ability>L2_HalfPunc_CN</ability>
      <abilityName>全半角问题</abilityName>
      <candidateList>
        <item>（</item>
      </candidateList>
      <explain>文本全半角错误。</explain>
      <paraID>47C745CF</paraID>
      <start>129</start>
      <end>130</end>
      <status>ignored</status>
      <modifiedWord/>
      <trackRevisions>false</trackRevisions>
    </reviewItem>
    <reviewItem>
      <errorID>8823b712-a2aa-495a-93a1-b642e61b6d5e</errorID>
      <errorWord>(</errorWord>
      <group>L1_Format</group>
      <groupName>格式问题</groupName>
      <ability>L2_HalfPunc_CN</ability>
      <abilityName>全半角问题</abilityName>
      <candidateList>
        <item>（</item>
      </candidateList>
      <explain>文本全半角错误。</explain>
      <paraID>47C745CF</paraID>
      <start>142</start>
      <end>143</end>
      <status>ignored</status>
      <modifiedWord/>
      <trackRevisions>false</trackRevisions>
    </reviewItem>
    <reviewItem>
      <errorID>e00b1e1d-9da8-4da8-b95b-51fb9be1c1fa</errorID>
      <errorWord>(</errorWord>
      <group>L1_Format</group>
      <groupName>格式问题</groupName>
      <ability>L2_HalfPunc_CN</ability>
      <abilityName>全半角问题</abilityName>
      <candidateList>
        <item>（</item>
      </candidateList>
      <explain>文本全半角错误。</explain>
      <paraID>3717F653</paraID>
      <start>12</start>
      <end>13</end>
      <status>ignored</status>
      <modifiedWord/>
      <trackRevisions>false</trackRevisions>
    </reviewItem>
    <reviewItem>
      <errorID>370c6190-9cb6-46b8-82ac-2e79f906e9f4</errorID>
      <errorWord>(</errorWord>
      <group>L1_Format</group>
      <groupName>格式问题</groupName>
      <ability>L2_HalfPunc_CN</ability>
      <abilityName>全半角问题</abilityName>
      <candidateList>
        <item>（</item>
      </candidateList>
      <explain>文本全半角错误。</explain>
      <paraID>3717F653</paraID>
      <start>39</start>
      <end>40</end>
      <status>ignored</status>
      <modifiedWord/>
      <trackRevisions>false</trackRevisions>
    </reviewItem>
    <reviewItem>
      <errorID>874b07f1-58af-4411-a10c-989cf450d45a</errorID>
      <errorWord>(</errorWord>
      <group>L1_Format</group>
      <groupName>格式问题</groupName>
      <ability>L2_HalfPunc_CN</ability>
      <abilityName>全半角问题</abilityName>
      <candidateList>
        <item>（</item>
      </candidateList>
      <explain>文本全半角错误。</explain>
      <paraID>3717F653</paraID>
      <start>65</start>
      <end>66</end>
      <status>ignored</status>
      <modifiedWord/>
      <trackRevisions>false</trackRevisions>
    </reviewItem>
    <reviewItem>
      <errorID>b6b3b824-5568-489c-b6d4-3740b8540afe</errorID>
      <errorWord>(</errorWord>
      <group>L1_Format</group>
      <groupName>格式问题</groupName>
      <ability>L2_HalfPunc_CN</ability>
      <abilityName>全半角问题</abilityName>
      <candidateList>
        <item>（</item>
      </candidateList>
      <explain>文本全半角错误。</explain>
      <paraID>3717F653</paraID>
      <start>81</start>
      <end>82</end>
      <status>ignored</status>
      <modifiedWord/>
      <trackRevisions>false</trackRevisions>
    </reviewItem>
    <reviewItem>
      <errorID>3494eeaf-acb8-49f9-96d3-9ed1506c3073</errorID>
      <errorWord>(</errorWord>
      <group>L1_Format</group>
      <groupName>格式问题</groupName>
      <ability>L2_HalfPunc_CN</ability>
      <abilityName>全半角问题</abilityName>
      <candidateList>
        <item>（</item>
      </candidateList>
      <explain>文本全半角错误。</explain>
      <paraID>3717F653</paraID>
      <start>99</start>
      <end>100</end>
      <status>ignored</status>
      <modifiedWord/>
      <trackRevisions>false</trackRevisions>
    </reviewItem>
    <reviewItem>
      <errorID>0ae0a1a2-8dfd-4f7a-8e71-14fbd42cb0c4</errorID>
      <errorWord>(</errorWord>
      <group>L1_Format</group>
      <groupName>格式问题</groupName>
      <ability>L2_HalfPunc_CN</ability>
      <abilityName>全半角问题</abilityName>
      <candidateList>
        <item>（</item>
      </candidateList>
      <explain>文本全半角错误。</explain>
      <paraID>4B2A47A6</paraID>
      <start>12</start>
      <end>13</end>
      <status>ignored</status>
      <modifiedWord/>
      <trackRevisions>false</trackRevisions>
    </reviewItem>
    <reviewItem>
      <errorID>234238b4-8b61-44df-bec4-f79bab4141a1</errorID>
      <errorWord>(</errorWord>
      <group>L1_Format</group>
      <groupName>格式问题</groupName>
      <ability>L2_HalfPunc_CN</ability>
      <abilityName>全半角问题</abilityName>
      <candidateList>
        <item>（</item>
      </candidateList>
      <explain>文本全半角错误。</explain>
      <paraID>4B2A47A6</paraID>
      <start>40</start>
      <end>41</end>
      <status>ignored</status>
      <modifiedWord/>
      <trackRevisions>false</trackRevisions>
    </reviewItem>
    <reviewItem>
      <errorID>11fd5514-6d9a-4b1e-86c6-9247b319507a</errorID>
      <errorWord>(</errorWord>
      <group>L1_Format</group>
      <groupName>格式问题</groupName>
      <ability>L2_HalfPunc_CN</ability>
      <abilityName>全半角问题</abilityName>
      <candidateList>
        <item>（</item>
      </candidateList>
      <explain>文本全半角错误。</explain>
      <paraID>4B2A47A6</paraID>
      <start>66</start>
      <end>67</end>
      <status>ignored</status>
      <modifiedWord/>
      <trackRevisions>false</trackRevisions>
    </reviewItem>
    <reviewItem>
      <errorID>e86b31b6-0f3c-4977-9a70-b7c2d33cfaee</errorID>
      <errorWord>(</errorWord>
      <group>L1_Format</group>
      <groupName>格式问题</groupName>
      <ability>L2_HalfPunc_CN</ability>
      <abilityName>全半角问题</abilityName>
      <candidateList>
        <item>（</item>
      </candidateList>
      <explain>文本全半角错误。</explain>
      <paraID>4B2A47A6</paraID>
      <start>84</start>
      <end>85</end>
      <status>ignored</status>
      <modifiedWord/>
      <trackRevisions>false</trackRevisions>
    </reviewItem>
    <reviewItem>
      <errorID>0b4006f9-f73a-47e9-ab7e-079807b7b46a</errorID>
      <errorWord>(</errorWord>
      <group>L1_Format</group>
      <groupName>格式问题</groupName>
      <ability>L2_HalfPunc_CN</ability>
      <abilityName>全半角问题</abilityName>
      <candidateList>
        <item>（</item>
      </candidateList>
      <explain>文本全半角错误。</explain>
      <paraID>4B2A47A6</paraID>
      <start>103</start>
      <end>104</end>
      <status>ignored</status>
      <modifiedWord/>
      <trackRevisions>false</trackRevisions>
    </reviewItem>
    <reviewItem>
      <errorID>af1d2b44-81e3-42f6-944e-312e3b084adb</errorID>
      <errorWord>(</errorWord>
      <group>L1_Format</group>
      <groupName>格式问题</groupName>
      <ability>L2_HalfPunc_CN</ability>
      <abilityName>全半角问题</abilityName>
      <candidateList>
        <item>（</item>
      </candidateList>
      <explain>文本全半角错误。</explain>
      <paraID>6D0EF8C7</paraID>
      <start>35</start>
      <end>36</end>
      <status>ignored</status>
      <modifiedWord/>
      <trackRevisions>false</trackRevisions>
    </reviewItem>
    <reviewItem>
      <errorID>4e1f48a9-cc69-45ac-a19c-59461c7a27fd</errorID>
      <errorWord>(</errorWord>
      <group>L1_Format</group>
      <groupName>格式问题</groupName>
      <ability>L2_HalfPunc_CN</ability>
      <abilityName>全半角问题</abilityName>
      <candidateList>
        <item>（</item>
      </candidateList>
      <explain>文本全半角错误。</explain>
      <paraID>6D0EF8C7</paraID>
      <start>63</start>
      <end>64</end>
      <status>ignored</status>
      <modifiedWord/>
      <trackRevisions>false</trackRevisions>
    </reviewItem>
    <reviewItem>
      <errorID>6a397023-976f-4e40-ac0f-97f674f71b2c</errorID>
      <errorWord>(</errorWord>
      <group>L1_Format</group>
      <groupName>格式问题</groupName>
      <ability>L2_HalfPunc_CN</ability>
      <abilityName>全半角问题</abilityName>
      <candidateList>
        <item>（</item>
      </candidateList>
      <explain>文本全半角错误。</explain>
      <paraID>6D0EF8C7</paraID>
      <start>89</start>
      <end>90</end>
      <status>ignored</status>
      <modifiedWord/>
      <trackRevisions>false</trackRevisions>
    </reviewItem>
    <reviewItem>
      <errorID>76a3d2b7-8d39-4d2d-af6c-e0d4621f491a</errorID>
      <errorWord>(</errorWord>
      <group>L1_Format</group>
      <groupName>格式问题</groupName>
      <ability>L2_HalfPunc_CN</ability>
      <abilityName>全半角问题</abilityName>
      <candidateList>
        <item>（</item>
      </candidateList>
      <explain>文本全半角错误。</explain>
      <paraID>3DD6AB9F</paraID>
      <start>13</start>
      <end>14</end>
      <status>ignored</status>
      <modifiedWord/>
      <trackRevisions>false</trackRevisions>
    </reviewItem>
    <reviewItem>
      <errorID>77c580fc-8bce-4be4-9465-5a95dc10df6d</errorID>
      <errorWord>(</errorWord>
      <group>L1_Format</group>
      <groupName>格式问题</groupName>
      <ability>L2_HalfPunc_CN</ability>
      <abilityName>全半角问题</abilityName>
      <candidateList>
        <item>（</item>
      </candidateList>
      <explain>文本全半角错误。</explain>
      <paraID>3DD6AB9F</paraID>
      <start>26</start>
      <end>27</end>
      <status>ignored</status>
      <modifiedWord/>
      <trackRevisions>false</trackRevisions>
    </reviewItem>
    <reviewItem>
      <errorID>a2ecb87c-2540-4932-8751-9dc2dffd2b8a</errorID>
      <errorWord>(</errorWord>
      <group>L1_Format</group>
      <groupName>格式问题</groupName>
      <ability>L2_HalfPunc_CN</ability>
      <abilityName>全半角问题</abilityName>
      <candidateList>
        <item>（</item>
      </candidateList>
      <explain>文本全半角错误。</explain>
      <paraID>3DD6AB9F</paraID>
      <start>52</start>
      <end>53</end>
      <status>ignored</status>
      <modifiedWord/>
      <trackRevisions>false</trackRevisions>
    </reviewItem>
    <reviewItem>
      <errorID>ccec9181-690b-4d45-8b18-904057641dea</errorID>
      <errorWord>(</errorWord>
      <group>L1_Format</group>
      <groupName>格式问题</groupName>
      <ability>L2_HalfPunc_CN</ability>
      <abilityName>全半角问题</abilityName>
      <candidateList>
        <item>（</item>
      </candidateList>
      <explain>文本全半角错误。</explain>
      <paraID>3DD6AB9F</paraID>
      <start>74</start>
      <end>75</end>
      <status>ignored</status>
      <modifiedWord/>
      <trackRevisions>false</trackRevisions>
    </reviewItem>
    <reviewItem>
      <errorID>5b6b2ff1-33c7-4511-b0b3-0c083a5127ff</errorID>
      <errorWord>(</errorWord>
      <group>L1_Format</group>
      <groupName>格式问题</groupName>
      <ability>L2_HalfPunc_CN</ability>
      <abilityName>全半角问题</abilityName>
      <candidateList>
        <item>（</item>
      </candidateList>
      <explain>文本全半角错误。</explain>
      <paraID>2B4CAB8E</paraID>
      <start>13</start>
      <end>14</end>
      <status>ignored</status>
      <modifiedWord/>
      <trackRevisions>false</trackRevisions>
    </reviewItem>
    <reviewItem>
      <errorID>9cbf84c7-81c7-4c0c-b24b-c31195eef929</errorID>
      <errorWord>(</errorWord>
      <group>L1_Format</group>
      <groupName>格式问题</groupName>
      <ability>L2_HalfPunc_CN</ability>
      <abilityName>全半角问题</abilityName>
      <candidateList>
        <item>（</item>
      </candidateList>
      <explain>文本全半角错误。</explain>
      <paraID>2B4CAB8E</paraID>
      <start>22</start>
      <end>23</end>
      <status>ignored</status>
      <modifiedWord/>
      <trackRevisions>false</trackRevisions>
    </reviewItem>
    <reviewItem>
      <errorID>454bc215-6f98-498e-92ea-5b20e12c2f71</errorID>
      <errorWord>(</errorWord>
      <group>L1_Format</group>
      <groupName>格式问题</groupName>
      <ability>L2_HalfPunc_CN</ability>
      <abilityName>全半角问题</abilityName>
      <candidateList>
        <item>（</item>
      </candidateList>
      <explain>文本全半角错误。</explain>
      <paraID>2B4CAB8E</paraID>
      <start>56</start>
      <end>57</end>
      <status>ignored</status>
      <modifiedWord/>
      <trackRevisions>false</trackRevisions>
    </reviewItem>
    <reviewItem>
      <errorID>10fdae6b-5901-421d-9962-b1ea88dc30b2</errorID>
      <errorWord>(</errorWord>
      <group>L1_Format</group>
      <groupName>格式问题</groupName>
      <ability>L2_HalfPunc_CN</ability>
      <abilityName>全半角问题</abilityName>
      <candidateList>
        <item>（</item>
      </candidateList>
      <explain>文本全半角错误。</explain>
      <paraID>2B4CAB8E</paraID>
      <start>83</start>
      <end>84</end>
      <status>ignored</status>
      <modifiedWord/>
      <trackRevisions>false</trackRevisions>
    </reviewItem>
    <reviewItem>
      <errorID>ed106cfe-7bed-4306-9efd-b9b5bafdb94d</errorID>
      <errorWord>(</errorWord>
      <group>L1_Format</group>
      <groupName>格式问题</groupName>
      <ability>L2_HalfPunc_CN</ability>
      <abilityName>全半角问题</abilityName>
      <candidateList>
        <item>（</item>
      </candidateList>
      <explain>文本全半角错误。</explain>
      <paraID>2B4CAB8E</paraID>
      <start>113</start>
      <end>114</end>
      <status>ignored</status>
      <modifiedWord/>
      <trackRevisions>false</trackRevisions>
    </reviewItem>
    <reviewItem>
      <errorID>65b1b06f-cf3a-4844-b777-146abadc906f</errorID>
      <errorWord>(</errorWord>
      <group>L1_Format</group>
      <groupName>格式问题</groupName>
      <ability>L2_HalfPunc_CN</ability>
      <abilityName>全半角问题</abilityName>
      <candidateList>
        <item>（</item>
      </candidateList>
      <explain>文本全半角错误。</explain>
      <paraID>2B4CAB8E</paraID>
      <start>139</start>
      <end>140</end>
      <status>ignored</status>
      <modifiedWord/>
      <trackRevisions>false</trackRevisions>
    </reviewItem>
    <reviewItem>
      <errorID>e90ae0e6-6997-45c3-b454-71b5ec55af7b</errorID>
      <errorWord>./</errorWord>
      <group>L1_Punc</group>
      <groupName>标点问题</groupName>
      <ability>L2_Punc_CN</ability>
      <abilityName>标点符号问题</abilityName>
      <candidateList>
        <item>.</item>
      </candidateList>
      <explain/>
      <paraID>1024AC57</paraID>
      <start>38</start>
      <end>40</end>
      <status>ignored</status>
      <modifiedWord/>
      <trackRevisions>false</trackRevisions>
    </reviewItem>
    <reviewItem>
      <errorID>2e893914-9be9-4f98-820d-7068b25c628e</errorID>
      <errorWord>./</errorWord>
      <group>L1_Punc</group>
      <groupName>标点问题</groupName>
      <ability>L2_Punc_CN</ability>
      <abilityName>标点符号问题</abilityName>
      <candidateList>
        <item>.</item>
      </candidateList>
      <explain/>
      <paraID>1024AC57</paraID>
      <start>53</start>
      <end>55</end>
      <status>ignored</status>
      <modifiedWord/>
      <trackRevisions>false</trackRevisions>
    </reviewItem>
    <reviewItem>
      <errorID>9b767fb3-dd6e-44b0-acec-11ae2f756d8c</errorID>
      <errorWord>(</errorWord>
      <group>L1_Format</group>
      <groupName>格式问题</groupName>
      <ability>L2_HalfPunc_CN</ability>
      <abilityName>全半角问题</abilityName>
      <candidateList>
        <item>（</item>
      </candidateList>
      <explain>文本全半角错误。</explain>
      <paraID>1024AC57</paraID>
      <start>56</start>
      <end>57</end>
      <status>ignored</status>
      <modifiedWord/>
      <trackRevisions>false</trackRevisions>
    </reviewItem>
    <reviewItem>
      <errorID>6369b7fd-afe5-4284-b538-c6fa10714937</errorID>
      <errorWord>./</errorWord>
      <group>L1_Punc</group>
      <groupName>标点问题</groupName>
      <ability>L2_Punc_CN</ability>
      <abilityName>标点符号问题</abilityName>
      <candidateList>
        <item>.</item>
      </candidateList>
      <explain/>
      <paraID>1F54E7B4</paraID>
      <start>27</start>
      <end>29</end>
      <status>ignored</status>
      <modifiedWord/>
      <trackRevisions>false</trackRevisions>
    </reviewItem>
    <reviewItem>
      <errorID>cb17abac-e527-46cb-8938-a783b863886a</errorID>
      <errorWord>./</errorWord>
      <group>L1_Punc</group>
      <groupName>标点问题</groupName>
      <ability>L2_Punc_CN</ability>
      <abilityName>标点符号问题</abilityName>
      <candidateList>
        <item>.</item>
      </candidateList>
      <explain/>
      <paraID>1F54E7B4</paraID>
      <start>42</start>
      <end>44</end>
      <status>ignored</status>
      <modifiedWord/>
      <trackRevisions>false</trackRevisions>
    </reviewItem>
    <reviewItem>
      <errorID>1471a1c7-7ebb-47af-b33e-d319e2a6ab3e</errorID>
      <errorWord>./</errorWord>
      <group>L1_Punc</group>
      <groupName>标点问题</groupName>
      <ability>L2_Punc_CN</ability>
      <abilityName>标点符号问题</abilityName>
      <candidateList>
        <item>.</item>
      </candidateList>
      <explain/>
      <paraID> DE52582</paraID>
      <start>33</start>
      <end>35</end>
      <status>ignored</status>
      <modifiedWord/>
      <trackRevisions>false</trackRevisions>
    </reviewItem>
    <reviewItem>
      <errorID>b8db9f3e-b3b9-42d7-9cba-8a0fa1f4961d</errorID>
      <errorWord>./</errorWord>
      <group>L1_Punc</group>
      <groupName>标点问题</groupName>
      <ability>L2_Punc_CN</ability>
      <abilityName>标点符号问题</abilityName>
      <candidateList>
        <item>.</item>
      </candidateList>
      <explain/>
      <paraID> DE52582</paraID>
      <start>50</start>
      <end>52</end>
      <status>ignored</status>
      <modifiedWord/>
      <trackRevisions>false</trackRevisions>
    </reviewItem>
    <reviewItem>
      <errorID>14a7b544-79b3-48f0-84ad-e83d4b13c11b</errorID>
      <errorWord>(</errorWord>
      <group>L1_Format</group>
      <groupName>格式问题</groupName>
      <ability>L2_HalfPunc_CN</ability>
      <abilityName>全半角问题</abilityName>
      <candidateList>
        <item>（</item>
      </candidateList>
      <explain>文本全半角错误。</explain>
      <paraID> DE52582</paraID>
      <start>53</start>
      <end>54</end>
      <status>ignored</status>
      <modifiedWord/>
      <trackRevisions>false</trackRevisions>
    </reviewItem>
    <reviewItem>
      <errorID>b74ae13a-8fe3-4a9d-a10c-087b0c910b06</errorID>
      <errorWord>./</errorWord>
      <group>L1_Punc</group>
      <groupName>标点问题</groupName>
      <ability>L2_Punc_CN</ability>
      <abilityName>标点符号问题</abilityName>
      <candidateList>
        <item>.</item>
      </candidateList>
      <explain/>
      <paraID>74BD2A51</paraID>
      <start>26</start>
      <end>28</end>
      <status>ignored</status>
      <modifiedWord/>
      <trackRevisions>false</trackRevisions>
    </reviewItem>
    <reviewItem>
      <errorID>e62c401b-141d-4521-9619-e355d23e4342</errorID>
      <errorWord>./</errorWord>
      <group>L1_Punc</group>
      <groupName>标点问题</groupName>
      <ability>L2_Punc_CN</ability>
      <abilityName>标点符号问题</abilityName>
      <candidateList>
        <item>.</item>
      </candidateList>
      <explain/>
      <paraID>74BD2A51</paraID>
      <start>40</start>
      <end>42</end>
      <status>ignored</status>
      <modifiedWord/>
      <trackRevisions>false</trackRevisions>
    </reviewItem>
    <reviewItem>
      <errorID>4b859b43-3d0c-45cb-8912-97b5860997a7</errorID>
      <errorWord>(</errorWord>
      <group>L1_Format</group>
      <groupName>格式问题</groupName>
      <ability>L2_HalfPunc_CN</ability>
      <abilityName>全半角问题</abilityName>
      <candidateList>
        <item>（</item>
      </candidateList>
      <explain>文本全半角错误。</explain>
      <paraID>74BD2A51</paraID>
      <start>43</start>
      <end>44</end>
      <status>ignored</status>
      <modifiedWord/>
      <trackRevisions>false</trackRevisions>
    </reviewItem>
    <reviewItem>
      <errorID>8dc01585-b9a2-4b2e-a015-eb997d99f9b9</errorID>
      <errorWord>(</errorWord>
      <group>L1_Format</group>
      <groupName>格式问题</groupName>
      <ability>L2_HalfPunc_CN</ability>
      <abilityName>全半角问题</abilityName>
      <candidateList>
        <item>（</item>
      </candidateList>
      <explain>文本全半角错误。</explain>
      <paraID>1F850886</paraID>
      <start>52</start>
      <end>53</end>
      <status>ignored</status>
      <modifiedWord/>
      <trackRevisions>false</trackRevisions>
    </reviewItem>
    <reviewItem>
      <errorID>12517cd5-1139-40cf-9800-ea2264286a59</errorID>
      <errorWord>(</errorWord>
      <group>L1_Format</group>
      <groupName>格式问题</groupName>
      <ability>L2_HalfPunc_CN</ability>
      <abilityName>全半角问题</abilityName>
      <candidateList>
        <item>（</item>
      </candidateList>
      <explain>文本全半角错误。</explain>
      <paraID>57ED6423</paraID>
      <start>38</start>
      <end>39</end>
      <status>ignored</status>
      <modifiedWord/>
      <trackRevisions>false</trackRevisions>
    </reviewItem>
    <reviewItem>
      <errorID>1ecc1bf8-786c-4c6f-9386-c5e3d56511dd</errorID>
      <errorWord>(</errorWord>
      <group>L1_Format</group>
      <groupName>格式问题</groupName>
      <ability>L2_HalfPunc_CN</ability>
      <abilityName>全半角问题</abilityName>
      <candidateList>
        <item>（</item>
      </candidateList>
      <explain>文本全半角错误。</explain>
      <paraID>57ED6423</paraID>
      <start>59</start>
      <end>60</end>
      <status>ignored</status>
      <modifiedWord/>
      <trackRevisions>false</trackRevisions>
    </reviewItem>
    <reviewItem>
      <errorID>3dfd2603-922e-41b1-b244-212e6d81ff7a</errorID>
      <errorWord>(</errorWord>
      <group>L1_Format</group>
      <groupName>格式问题</groupName>
      <ability>L2_HalfPunc_CN</ability>
      <abilityName>全半角问题</abilityName>
      <candidateList>
        <item>（</item>
      </candidateList>
      <explain>文本全半角错误。</explain>
      <paraID>57ED6423</paraID>
      <start>80</start>
      <end>81</end>
      <status>ignored</status>
      <modifiedWord/>
      <trackRevisions>false</trackRevisions>
    </reviewItem>
    <reviewItem>
      <errorID>e37a3fea-d927-4d39-afed-17a97a72254c</errorID>
      <errorWord>(</errorWord>
      <group>L1_Format</group>
      <groupName>格式问题</groupName>
      <ability>L2_HalfPunc_CN</ability>
      <abilityName>全半角问题</abilityName>
      <candidateList>
        <item>（</item>
      </candidateList>
      <explain>文本全半角错误。</explain>
      <paraID>57ED6423</paraID>
      <start>102</start>
      <end>103</end>
      <status>ignored</status>
      <modifiedWord/>
      <trackRevisions>false</trackRevisions>
    </reviewItem>
    <reviewItem>
      <errorID>c3c14482-5b62-4959-b67c-61692d5c729b</errorID>
      <errorWord>(</errorWord>
      <group>L1_Format</group>
      <groupName>格式问题</groupName>
      <ability>L2_HalfPunc_CN</ability>
      <abilityName>全半角问题</abilityName>
      <candidateList>
        <item>（</item>
      </candidateList>
      <explain>文本全半角错误。</explain>
      <paraID>57ED6423</paraID>
      <start>110</start>
      <end>111</end>
      <status>ignored</status>
      <modifiedWord/>
      <trackRevisions>false</trackRevisions>
    </reviewItem>
    <reviewItem>
      <errorID>b875a99a-59c1-4375-975c-2c7ee48fb7a5</errorID>
      <errorWord>(</errorWord>
      <group>L1_Format</group>
      <groupName>格式问题</groupName>
      <ability>L2_HalfPunc_CN</ability>
      <abilityName>全半角问题</abilityName>
      <candidateList>
        <item>（</item>
      </candidateList>
      <explain>文本全半角错误。</explain>
      <paraID>1F209260</paraID>
      <start>26</start>
      <end>27</end>
      <status>ignored</status>
      <modifiedWord/>
      <trackRevisions>false</trackRevisions>
    </reviewItem>
    <reviewItem>
      <errorID>9ac6971a-83e9-4596-af96-132fd88be968</errorID>
      <errorWord>(</errorWord>
      <group>L1_Format</group>
      <groupName>格式问题</groupName>
      <ability>L2_HalfPunc_CN</ability>
      <abilityName>全半角问题</abilityName>
      <candidateList>
        <item>（</item>
      </candidateList>
      <explain>文本全半角错误。</explain>
      <paraID>1F209260</paraID>
      <start>47</start>
      <end>48</end>
      <status>ignored</status>
      <modifiedWord/>
      <trackRevisions>false</trackRevisions>
    </reviewItem>
    <reviewItem>
      <errorID>472d5148-3eb7-430d-98f7-2a919791c052</errorID>
      <errorWord>(</errorWord>
      <group>L1_Format</group>
      <groupName>格式问题</groupName>
      <ability>L2_HalfPunc_CN</ability>
      <abilityName>全半角问题</abilityName>
      <candidateList>
        <item>（</item>
      </candidateList>
      <explain>文本全半角错误。</explain>
      <paraID>1F209260</paraID>
      <start>68</start>
      <end>69</end>
      <status>ignored</status>
      <modifiedWord/>
      <trackRevisions>false</trackRevisions>
    </reviewItem>
    <reviewItem>
      <errorID>619d07ee-e005-436e-a98c-bf18cd81c547</errorID>
      <errorWord>(</errorWord>
      <group>L1_Format</group>
      <groupName>格式问题</groupName>
      <ability>L2_HalfPunc_CN</ability>
      <abilityName>全半角问题</abilityName>
      <candidateList>
        <item>（</item>
      </candidateList>
      <explain>文本全半角错误。</explain>
      <paraID>1F209260</paraID>
      <start>90</start>
      <end>91</end>
      <status>ignored</status>
      <modifiedWord/>
      <trackRevisions>false</trackRevisions>
    </reviewItem>
    <reviewItem>
      <errorID>401f0f80-1485-4c63-a8cf-a730466e3d23</errorID>
      <errorWord>(</errorWord>
      <group>L1_Format</group>
      <groupName>格式问题</groupName>
      <ability>L2_HalfPunc_CN</ability>
      <abilityName>全半角问题</abilityName>
      <candidateList>
        <item>（</item>
      </candidateList>
      <explain>文本全半角错误。</explain>
      <paraID>1E140960</paraID>
      <start>26</start>
      <end>27</end>
      <status>ignored</status>
      <modifiedWord/>
      <trackRevisions>false</trackRevisions>
    </reviewItem>
    <reviewItem>
      <errorID>72f8c52f-8794-4eea-95c9-daa214912b59</errorID>
      <errorWord>(</errorWord>
      <group>L1_Format</group>
      <groupName>格式问题</groupName>
      <ability>L2_HalfPunc_CN</ability>
      <abilityName>全半角问题</abilityName>
      <candidateList>
        <item>（</item>
      </candidateList>
      <explain>文本全半角错误。</explain>
      <paraID>1E140960</paraID>
      <start>47</start>
      <end>48</end>
      <status>ignored</status>
      <modifiedWord/>
      <trackRevisions>false</trackRevisions>
    </reviewItem>
    <reviewItem>
      <errorID>bff4df01-36e5-4199-87d0-785254cfb069</errorID>
      <errorWord>(</errorWord>
      <group>L1_Format</group>
      <groupName>格式问题</groupName>
      <ability>L2_HalfPunc_CN</ability>
      <abilityName>全半角问题</abilityName>
      <candidateList>
        <item>（</item>
      </candidateList>
      <explain>文本全半角错误。</explain>
      <paraID>1E140960</paraID>
      <start>68</start>
      <end>69</end>
      <status>ignored</status>
      <modifiedWord/>
      <trackRevisions>false</trackRevisions>
    </reviewItem>
    <reviewItem>
      <errorID>593894c4-3c9a-4170-836a-eb031dc514db</errorID>
      <errorWord>(</errorWord>
      <group>L1_Format</group>
      <groupName>格式问题</groupName>
      <ability>L2_HalfPunc_CN</ability>
      <abilityName>全半角问题</abilityName>
      <candidateList>
        <item>（</item>
      </candidateList>
      <explain>文本全半角错误。</explain>
      <paraID>1E140960</paraID>
      <start>90</start>
      <end>91</end>
      <status>ignored</status>
      <modifiedWord/>
      <trackRevisions>false</trackRevisions>
    </reviewItem>
    <reviewItem>
      <errorID>45191fcd-9ecd-4cb9-b7e8-b9fc8553a370</errorID>
      <errorWord>(</errorWord>
      <group>L1_Format</group>
      <groupName>格式问题</groupName>
      <ability>L2_HalfPunc_CN</ability>
      <abilityName>全半角问题</abilityName>
      <candidateList>
        <item>（</item>
      </candidateList>
      <explain>文本全半角错误。</explain>
      <paraID>1E140960</paraID>
      <start>98</start>
      <end>99</end>
      <status>ignored</status>
      <modifiedWord/>
      <trackRevisions>false</trackRevisions>
    </reviewItem>
    <reviewItem>
      <errorID>f0d3c0bf-8b59-4d9b-85cf-0b5840fe61cd</errorID>
      <errorWord>(</errorWord>
      <group>L1_Format</group>
      <groupName>格式问题</groupName>
      <ability>L2_HalfPunc_CN</ability>
      <abilityName>全半角问题</abilityName>
      <candidateList>
        <item>（</item>
      </candidateList>
      <explain>文本全半角错误。</explain>
      <paraID>7AC637F3</paraID>
      <start>33</start>
      <end>34</end>
      <status>ignored</status>
      <modifiedWord/>
      <trackRevisions>false</trackRevisions>
    </reviewItem>
    <reviewItem>
      <errorID>56b79a3f-41bf-4261-9e8c-a6d93f3ede63</errorID>
      <errorWord>(</errorWord>
      <group>L1_Format</group>
      <groupName>格式问题</groupName>
      <ability>L2_HalfPunc_CN</ability>
      <abilityName>全半角问题</abilityName>
      <candidateList>
        <item>（</item>
      </candidateList>
      <explain>文本全半角错误。</explain>
      <paraID>7AC637F3</paraID>
      <start>59</start>
      <end>60</end>
      <status>ignored</status>
      <modifiedWord/>
      <trackRevisions>false</trackRevisions>
    </reviewItem>
    <reviewItem>
      <errorID>ecae9960-e37f-4244-b2b8-908144c4fd4b</errorID>
      <errorWord>(</errorWord>
      <group>L1_Format</group>
      <groupName>格式问题</groupName>
      <ability>L2_HalfPunc_CN</ability>
      <abilityName>全半角问题</abilityName>
      <candidateList>
        <item>（</item>
      </candidateList>
      <explain>文本全半角错误。</explain>
      <paraID>7AC637F3</paraID>
      <start>93</start>
      <end>94</end>
      <status>ignored</status>
      <modifiedWord/>
      <trackRevisions>false</trackRevisions>
    </reviewItem>
    <reviewItem>
      <errorID>41b5f8e7-52b5-4c59-b1cc-fe13935f6537</errorID>
      <errorWord>(</errorWord>
      <group>L1_Format</group>
      <groupName>格式问题</groupName>
      <ability>L2_HalfPunc_CN</ability>
      <abilityName>全半角问题</abilityName>
      <candidateList>
        <item>（</item>
      </candidateList>
      <explain>文本全半角错误。</explain>
      <paraID>7AC637F3</paraID>
      <start>119</start>
      <end>120</end>
      <status>ignored</status>
      <modifiedWord/>
      <trackRevisions>false</trackRevisions>
    </reviewItem>
    <reviewItem>
      <errorID>2a23acfa-7830-427c-8e65-a1d5eda78c2d</errorID>
      <errorWord>(</errorWord>
      <group>L1_Format</group>
      <groupName>格式问题</groupName>
      <ability>L2_HalfPunc_CN</ability>
      <abilityName>全半角问题</abilityName>
      <candidateList>
        <item>（</item>
      </candidateList>
      <explain>文本全半角错误。</explain>
      <paraID>7AC637F3</paraID>
      <start>131</start>
      <end>132</end>
      <status>ignored</status>
      <modifiedWord/>
      <trackRevisions>false</trackRevisions>
    </reviewItem>
    <reviewItem>
      <errorID>efeee553-7fa3-4ba5-aae5-af773ece3684</errorID>
      <errorWord>(</errorWord>
      <group>L1_Format</group>
      <groupName>格式问题</groupName>
      <ability>L2_HalfPunc_CN</ability>
      <abilityName>全半角问题</abilityName>
      <candidateList>
        <item>（</item>
      </candidateList>
      <explain>文本全半角错误。</explain>
      <paraID>43A1A1A6</paraID>
      <start>21</start>
      <end>22</end>
      <status>ignored</status>
      <modifiedWord/>
      <trackRevisions>false</trackRevisions>
    </reviewItem>
    <reviewItem>
      <errorID>5e7f35ad-bd85-48ff-ba7f-3105ac59ce6c</errorID>
      <errorWord>(</errorWord>
      <group>L1_Format</group>
      <groupName>格式问题</groupName>
      <ability>L2_HalfPunc_CN</ability>
      <abilityName>全半角问题</abilityName>
      <candidateList>
        <item>（</item>
      </candidateList>
      <explain>文本全半角错误。</explain>
      <paraID>43A1A1A6</paraID>
      <start>47</start>
      <end>48</end>
      <status>ignored</status>
      <modifiedWord/>
      <trackRevisions>false</trackRevisions>
    </reviewItem>
    <reviewItem>
      <errorID>a903eb0a-b2bb-471d-a0b1-ebfb53adcc1f</errorID>
      <errorWord>(</errorWord>
      <group>L1_Format</group>
      <groupName>格式问题</groupName>
      <ability>L2_HalfPunc_CN</ability>
      <abilityName>全半角问题</abilityName>
      <candidateList>
        <item>（</item>
      </candidateList>
      <explain>文本全半角错误。</explain>
      <paraID>43A1A1A6</paraID>
      <start>81</start>
      <end>82</end>
      <status>ignored</status>
      <modifiedWord/>
      <trackRevisions>false</trackRevisions>
    </reviewItem>
    <reviewItem>
      <errorID>601f2425-b0f4-4813-adb3-f8f123aab4e9</errorID>
      <errorWord>(</errorWord>
      <group>L1_Format</group>
      <groupName>格式问题</groupName>
      <ability>L2_HalfPunc_CN</ability>
      <abilityName>全半角问题</abilityName>
      <candidateList>
        <item>（</item>
      </candidateList>
      <explain>文本全半角错误。</explain>
      <paraID>43A1A1A6</paraID>
      <start>107</start>
      <end>108</end>
      <status>ignored</status>
      <modifiedWord/>
      <trackRevisions>false</trackRevisions>
    </reviewItem>
    <reviewItem>
      <errorID>7bb78e84-b90d-407b-bc7c-d2807856ca65</errorID>
      <errorWord>(</errorWord>
      <group>L1_Format</group>
      <groupName>格式问题</groupName>
      <ability>L2_HalfPunc_CN</ability>
      <abilityName>全半角问题</abilityName>
      <candidateList>
        <item>（</item>
      </candidateList>
      <explain>文本全半角错误。</explain>
      <paraID>36990DB3</paraID>
      <start>21</start>
      <end>22</end>
      <status>ignored</status>
      <modifiedWord/>
      <trackRevisions>false</trackRevisions>
    </reviewItem>
    <reviewItem>
      <errorID>fc7897a9-cbfe-4a72-87e6-859415604291</errorID>
      <errorWord>(</errorWord>
      <group>L1_Format</group>
      <groupName>格式问题</groupName>
      <ability>L2_HalfPunc_CN</ability>
      <abilityName>全半角问题</abilityName>
      <candidateList>
        <item>（</item>
      </candidateList>
      <explain>文本全半角错误。</explain>
      <paraID>36990DB3</paraID>
      <start>47</start>
      <end>48</end>
      <status>ignored</status>
      <modifiedWord/>
      <trackRevisions>false</trackRevisions>
    </reviewItem>
    <reviewItem>
      <errorID>f85287e1-5ba7-4ac8-aa81-b30193fecccb</errorID>
      <errorWord>(</errorWord>
      <group>L1_Format</group>
      <groupName>格式问题</groupName>
      <ability>L2_HalfPunc_CN</ability>
      <abilityName>全半角问题</abilityName>
      <candidateList>
        <item>（</item>
      </candidateList>
      <explain>文本全半角错误。</explain>
      <paraID>36990DB3</paraID>
      <start>81</start>
      <end>82</end>
      <status>ignored</status>
      <modifiedWord/>
      <trackRevisions>false</trackRevisions>
    </reviewItem>
    <reviewItem>
      <errorID>7aedadde-3c0c-455e-9f38-7df0a44adc66</errorID>
      <errorWord>(</errorWord>
      <group>L1_Format</group>
      <groupName>格式问题</groupName>
      <ability>L2_HalfPunc_CN</ability>
      <abilityName>全半角问题</abilityName>
      <candidateList>
        <item>（</item>
      </candidateList>
      <explain>文本全半角错误。</explain>
      <paraID>36990DB3</paraID>
      <start>107</start>
      <end>108</end>
      <status>ignored</status>
      <modifiedWord/>
      <trackRevisions>false</trackRevisions>
    </reviewItem>
    <reviewItem>
      <errorID>43b68131-eae6-4fcd-80e8-4fba6c5d003c</errorID>
      <errorWord>(</errorWord>
      <group>L1_Format</group>
      <groupName>格式问题</groupName>
      <ability>L2_HalfPunc_CN</ability>
      <abilityName>全半角问题</abilityName>
      <candidateList>
        <item>（</item>
      </candidateList>
      <explain>文本全半角错误。</explain>
      <paraID>4D71688A</paraID>
      <start>25</start>
      <end>26</end>
      <status>ignored</status>
      <modifiedWord/>
      <trackRevisions>false</trackRevisions>
    </reviewItem>
    <reviewItem>
      <errorID>ec7d2dea-6be4-46ff-9046-171022c60f15</errorID>
      <errorWord>(</errorWord>
      <group>L1_Format</group>
      <groupName>格式问题</groupName>
      <ability>L2_HalfPunc_CN</ability>
      <abilityName>全半角问题</abilityName>
      <candidateList>
        <item>（</item>
      </candidateList>
      <explain>文本全半角错误。</explain>
      <paraID>4D71688A</paraID>
      <start>38</start>
      <end>39</end>
      <status>ignored</status>
      <modifiedWord/>
      <trackRevisions>false</trackRevisions>
    </reviewItem>
    <reviewItem>
      <errorID>c40e8542-68c2-4fa6-8245-fec904e50587</errorID>
      <errorWord>(</errorWord>
      <group>L1_Format</group>
      <groupName>格式问题</groupName>
      <ability>L2_HalfPunc_CN</ability>
      <abilityName>全半角问题</abilityName>
      <candidateList>
        <item>（</item>
      </candidateList>
      <explain>文本全半角错误。</explain>
      <paraID>4D71688A</paraID>
      <start>59</start>
      <end>60</end>
      <status>ignored</status>
      <modifiedWord/>
      <trackRevisions>false</trackRevisions>
    </reviewItem>
    <reviewItem>
      <errorID>6c09e20f-d2cc-4448-a8f7-21f65701ed87</errorID>
      <errorWord>(</errorWord>
      <group>L1_Format</group>
      <groupName>格式问题</groupName>
      <ability>L2_HalfPunc_CN</ability>
      <abilityName>全半角问题</abilityName>
      <candidateList>
        <item>（</item>
      </candidateList>
      <explain>文本全半角错误。</explain>
      <paraID>4D71688A</paraID>
      <start>83</start>
      <end>84</end>
      <status>ignored</status>
      <modifiedWord/>
      <trackRevisions>false</trackRevisions>
    </reviewItem>
    <reviewItem>
      <errorID>d34f19c9-9973-4b54-9d74-4f88f316a352</errorID>
      <errorWord>(</errorWord>
      <group>L1_Format</group>
      <groupName>格式问题</groupName>
      <ability>L2_HalfPunc_CN</ability>
      <abilityName>全半角问题</abilityName>
      <candidateList>
        <item>（</item>
      </candidateList>
      <explain>文本全半角错误。</explain>
      <paraID>4D71688A</paraID>
      <start>117</start>
      <end>118</end>
      <status>ignored</status>
      <modifiedWord/>
      <trackRevisions>false</trackRevisions>
    </reviewItem>
    <reviewItem>
      <errorID>76be01fe-b7e5-4866-b00e-c9612483b2a7</errorID>
      <errorWord>(</errorWord>
      <group>L1_Format</group>
      <groupName>格式问题</groupName>
      <ability>L2_HalfPunc_CN</ability>
      <abilityName>全半角问题</abilityName>
      <candidateList>
        <item>（</item>
      </candidateList>
      <explain>文本全半角错误。</explain>
      <paraID>4D71688A</paraID>
      <start>143</start>
      <end>144</end>
      <status>ignored</status>
      <modifiedWord/>
      <trackRevisions>false</trackRevisions>
    </reviewItem>
    <reviewItem>
      <errorID>e8853c54-7fc4-49e6-8aba-58f39c143cb2</errorID>
      <errorWord>(</errorWord>
      <group>L1_Format</group>
      <groupName>格式问题</groupName>
      <ability>L2_HalfPunc_CN</ability>
      <abilityName>全半角问题</abilityName>
      <candidateList>
        <item>（</item>
      </candidateList>
      <explain>文本全半角错误。</explain>
      <paraID>4D71688A</paraID>
      <start>164</start>
      <end>165</end>
      <status>ignored</status>
      <modifiedWord/>
      <trackRevisions>false</trackRevisions>
    </reviewItem>
    <reviewItem>
      <errorID>4cb76900-a858-430d-9df6-0c4328b73895</errorID>
      <errorWord>(</errorWord>
      <group>L1_Format</group>
      <groupName>格式问题</groupName>
      <ability>L2_HalfPunc_CN</ability>
      <abilityName>全半角问题</abilityName>
      <candidateList>
        <item>（</item>
      </candidateList>
      <explain>文本全半角错误。</explain>
      <paraID>5EFDA54C</paraID>
      <start>13</start>
      <end>14</end>
      <status>ignored</status>
      <modifiedWord/>
      <trackRevisions>false</trackRevisions>
    </reviewItem>
    <reviewItem>
      <errorID>9fdbf719-9683-4968-8a83-69e2a56082b6</errorID>
      <errorWord>(</errorWord>
      <group>L1_Format</group>
      <groupName>格式问题</groupName>
      <ability>L2_HalfPunc_CN</ability>
      <abilityName>全半角问题</abilityName>
      <candidateList>
        <item>（</item>
      </candidateList>
      <explain>文本全半角错误。</explain>
      <paraID>5EFDA54C</paraID>
      <start>26</start>
      <end>27</end>
      <status>ignored</status>
      <modifiedWord/>
      <trackRevisions>false</trackRevisions>
    </reviewItem>
    <reviewItem>
      <errorID>bb5967da-b240-4668-82e0-e7953e7d94ce</errorID>
      <errorWord>(</errorWord>
      <group>L1_Format</group>
      <groupName>格式问题</groupName>
      <ability>L2_HalfPunc_CN</ability>
      <abilityName>全半角问题</abilityName>
      <candidateList>
        <item>（</item>
      </candidateList>
      <explain>文本全半角错误。</explain>
      <paraID>5EFDA54C</paraID>
      <start>60</start>
      <end>61</end>
      <status>ignored</status>
      <modifiedWord/>
      <trackRevisions>false</trackRevisions>
    </reviewItem>
    <reviewItem>
      <errorID>12c1935e-c0a6-461a-98d4-8b60b6bd2d44</errorID>
      <errorWord>(</errorWord>
      <group>L1_Format</group>
      <groupName>格式问题</groupName>
      <ability>L2_HalfPunc_CN</ability>
      <abilityName>全半角问题</abilityName>
      <candidateList>
        <item>（</item>
      </candidateList>
      <explain>文本全半角错误。</explain>
      <paraID>5EFDA54C</paraID>
      <start>94</start>
      <end>95</end>
      <status>ignored</status>
      <modifiedWord/>
      <trackRevisions>false</trackRevisions>
    </reviewItem>
    <reviewItem>
      <errorID>04764dce-667c-4822-96e0-b2a5de277663</errorID>
      <errorWord>(</errorWord>
      <group>L1_Format</group>
      <groupName>格式问题</groupName>
      <ability>L2_HalfPunc_CN</ability>
      <abilityName>全半角问题</abilityName>
      <candidateList>
        <item>（</item>
      </candidateList>
      <explain>文本全半角错误。</explain>
      <paraID>5EFDA54C</paraID>
      <start>118</start>
      <end>119</end>
      <status>ignored</status>
      <modifiedWord/>
      <trackRevisions>false</trackRevisions>
    </reviewItem>
    <reviewItem>
      <errorID>0bd16d10-7534-4567-8c77-ca436a306555</errorID>
      <errorWord>(</errorWord>
      <group>L1_Format</group>
      <groupName>格式问题</groupName>
      <ability>L2_HalfPunc_CN</ability>
      <abilityName>全半角问题</abilityName>
      <candidateList>
        <item>（</item>
      </candidateList>
      <explain>文本全半角错误。</explain>
      <paraID>5EFDA54C</paraID>
      <start>137</start>
      <end>138</end>
      <status>ignored</status>
      <modifiedWord/>
      <trackRevisions>false</trackRevisions>
    </reviewItem>
    <reviewItem>
      <errorID>f350dea9-ba84-471f-becd-95f1d8a1bc00</errorID>
      <errorWord>(</errorWord>
      <group>L1_Format</group>
      <groupName>格式问题</groupName>
      <ability>L2_HalfPunc_CN</ability>
      <abilityName>全半角问题</abilityName>
      <candidateList>
        <item>（</item>
      </candidateList>
      <explain>文本全半角错误。</explain>
      <paraID>5EFDA54C</paraID>
      <start>158</start>
      <end>159</end>
      <status>ignored</status>
      <modifiedWord/>
      <trackRevisions>false</trackRevisions>
    </reviewItem>
    <reviewItem>
      <errorID>a41eb880-2f62-44f3-aa65-21daf80af575</errorID>
      <errorWord>(</errorWord>
      <group>L1_Format</group>
      <groupName>格式问题</groupName>
      <ability>L2_HalfPunc_CN</ability>
      <abilityName>全半角问题</abilityName>
      <candidateList>
        <item>（</item>
      </candidateList>
      <explain>文本全半角错误。</explain>
      <paraID>5EFDA54C</paraID>
      <start>185</start>
      <end>186</end>
      <status>ignored</status>
      <modifiedWord/>
      <trackRevisions>false</trackRevisions>
    </reviewItem>
    <reviewItem>
      <errorID>f6e38004-4564-4a0d-80de-c09631f1f3dd</errorID>
      <errorWord>(</errorWord>
      <group>L1_Format</group>
      <groupName>格式问题</groupName>
      <ability>L2_HalfPunc_CN</ability>
      <abilityName>全半角问题</abilityName>
      <candidateList>
        <item>（</item>
      </candidateList>
      <explain>文本全半角错误。</explain>
      <paraID>57DD5480</paraID>
      <start>13</start>
      <end>14</end>
      <status>ignored</status>
      <modifiedWord/>
      <trackRevisions>false</trackRevisions>
    </reviewItem>
    <reviewItem>
      <errorID>8ca6f4f2-16d2-4663-97ad-2038f249f076</errorID>
      <errorWord>(</errorWord>
      <group>L1_Format</group>
      <groupName>格式问题</groupName>
      <ability>L2_HalfPunc_CN</ability>
      <abilityName>全半角问题</abilityName>
      <candidateList>
        <item>（</item>
      </candidateList>
      <explain>文本全半角错误。</explain>
      <paraID>57DD5480</paraID>
      <start>26</start>
      <end>27</end>
      <status>ignored</status>
      <modifiedWord/>
      <trackRevisions>false</trackRevisions>
    </reviewItem>
    <reviewItem>
      <errorID>02cbd5e5-9ab3-4f94-ae01-9005d22ff2a9</errorID>
      <errorWord>(</errorWord>
      <group>L1_Format</group>
      <groupName>格式问题</groupName>
      <ability>L2_HalfPunc_CN</ability>
      <abilityName>全半角问题</abilityName>
      <candidateList>
        <item>（</item>
      </candidateList>
      <explain>文本全半角错误。</explain>
      <paraID>57DD5480</paraID>
      <start>47</start>
      <end>48</end>
      <status>ignored</status>
      <modifiedWord/>
      <trackRevisions>false</trackRevisions>
    </reviewItem>
    <reviewItem>
      <errorID>0dff3c0c-4c6f-40d9-be5c-fbe5aed327e8</errorID>
      <errorWord>(</errorWord>
      <group>L1_Format</group>
      <groupName>格式问题</groupName>
      <ability>L2_HalfPunc_CN</ability>
      <abilityName>全半角问题</abilityName>
      <candidateList>
        <item>（</item>
      </candidateList>
      <explain>文本全半角错误。</explain>
      <paraID>57DD5480</paraID>
      <start>70</start>
      <end>71</end>
      <status>ignored</status>
      <modifiedWord/>
      <trackRevisions>false</trackRevisions>
    </reviewItem>
    <reviewItem>
      <errorID>77e7f1c9-428f-439b-a975-6b8c71c0ca06</errorID>
      <errorWord>(</errorWord>
      <group>L1_Format</group>
      <groupName>格式问题</groupName>
      <ability>L2_HalfPunc_CN</ability>
      <abilityName>全半角问题</abilityName>
      <candidateList>
        <item>（</item>
      </candidateList>
      <explain>文本全半角错误。</explain>
      <paraID>57DD5480</paraID>
      <start>98</start>
      <end>99</end>
      <status>ignored</status>
      <modifiedWord/>
      <trackRevisions>false</trackRevisions>
    </reviewItem>
    <reviewItem>
      <errorID>90b001fb-e1f4-47a4-a1c3-bcf3730655cd</errorID>
      <errorWord>(</errorWord>
      <group>L1_Format</group>
      <groupName>格式问题</groupName>
      <ability>L2_HalfPunc_CN</ability>
      <abilityName>全半角问题</abilityName>
      <candidateList>
        <item>（</item>
      </candidateList>
      <explain>文本全半角错误。</explain>
      <paraID>57DD5480</paraID>
      <start>128</start>
      <end>129</end>
      <status>ignored</status>
      <modifiedWord/>
      <trackRevisions>false</trackRevisions>
    </reviewItem>
    <reviewItem>
      <errorID>10522b3b-e321-467e-a41d-36d50fe84c65</errorID>
      <errorWord>(</errorWord>
      <group>L1_Format</group>
      <groupName>格式问题</groupName>
      <ability>L2_HalfPunc_CN</ability>
      <abilityName>全半角问题</abilityName>
      <candidateList>
        <item>（</item>
      </candidateList>
      <explain>文本全半角错误。</explain>
      <paraID>57DD5480</paraID>
      <start>152</start>
      <end>153</end>
      <status>ignored</status>
      <modifiedWord/>
      <trackRevisions>false</trackRevisions>
    </reviewItem>
    <reviewItem>
      <errorID>f9d7d4b5-df6d-4b25-be1d-40b9cf0a1b50</errorID>
      <errorWord>./</errorWord>
      <group>L1_Punc</group>
      <groupName>标点问题</groupName>
      <ability>L2_Punc_CN</ability>
      <abilityName>标点符号问题</abilityName>
      <candidateList>
        <item>.</item>
      </candidateList>
      <explain/>
      <paraID> F975C96</paraID>
      <start>36</start>
      <end>38</end>
      <status>ignored</status>
      <modifiedWord/>
      <trackRevisions>false</trackRevisions>
    </reviewItem>
    <reviewItem>
      <errorID>034df3a9-0e55-4ea1-b6c6-a7193e19c5cf</errorID>
      <errorWord>./</errorWord>
      <group>L1_Punc</group>
      <groupName>标点问题</groupName>
      <ability>L2_Punc_CN</ability>
      <abilityName>标点符号问题</abilityName>
      <candidateList>
        <item>.</item>
      </candidateList>
      <explain/>
      <paraID> F975C96</paraID>
      <start>51</start>
      <end>53</end>
      <status>ignored</status>
      <modifiedWord/>
      <trackRevisions>false</trackRevisions>
    </reviewItem>
    <reviewItem>
      <errorID>94b6a483-d28d-4cf0-a039-2c702d86c3c9</errorID>
      <errorWord>./</errorWord>
      <group>L1_Punc</group>
      <groupName>标点问题</groupName>
      <ability>L2_Punc_CN</ability>
      <abilityName>标点符号问题</abilityName>
      <candidateList>
        <item>.</item>
      </candidateList>
      <explain/>
      <paraID>1B1FBBEF</paraID>
      <start>25</start>
      <end>27</end>
      <status>ignored</status>
      <modifiedWord/>
      <trackRevisions>false</trackRevisions>
    </reviewItem>
    <reviewItem>
      <errorID>9cb84261-3e19-4277-9e2d-77a2f8d3fa7d</errorID>
      <errorWord>./</errorWord>
      <group>L1_Punc</group>
      <groupName>标点问题</groupName>
      <ability>L2_Punc_CN</ability>
      <abilityName>标点符号问题</abilityName>
      <candidateList>
        <item>.</item>
      </candidateList>
      <explain/>
      <paraID>1B1FBBEF</paraID>
      <start>40</start>
      <end>42</end>
      <status>ignored</status>
      <modifiedWord/>
      <trackRevisions>false</trackRevisions>
    </reviewItem>
    <reviewItem>
      <errorID>22c78edb-6f67-4a28-b896-3519235a19b3</errorID>
      <errorWord>./</errorWord>
      <group>L1_Punc</group>
      <groupName>标点问题</groupName>
      <ability>L2_Punc_CN</ability>
      <abilityName>标点符号问题</abilityName>
      <candidateList>
        <item>.</item>
      </candidateList>
      <explain/>
      <paraID>20855335</paraID>
      <start>24</start>
      <end>26</end>
      <status>ignored</status>
      <modifiedWord/>
      <trackRevisions>false</trackRevisions>
    </reviewItem>
    <reviewItem>
      <errorID>0b0a2802-12f1-45cb-9387-df7b7b221179</errorID>
      <errorWord>./</errorWord>
      <group>L1_Punc</group>
      <groupName>标点问题</groupName>
      <ability>L2_Punc_CN</ability>
      <abilityName>标点符号问题</abilityName>
      <candidateList>
        <item>.</item>
      </candidateList>
      <explain/>
      <paraID>20855335</paraID>
      <start>39</start>
      <end>41</end>
      <status>ignored</status>
      <modifiedWord/>
      <trackRevisions>false</trackRevisions>
    </reviewItem>
    <reviewItem>
      <errorID>bc51ce33-0a4f-419a-bf1d-4ef1e691634a</errorID>
      <errorWord>(</errorWord>
      <group>L1_Format</group>
      <groupName>格式问题</groupName>
      <ability>L2_HalfPunc_CN</ability>
      <abilityName>全半角问题</abilityName>
      <candidateList>
        <item>（</item>
      </candidateList>
      <explain>文本全半角错误。</explain>
      <paraID>308A730A</paraID>
      <start>38</start>
      <end>39</end>
      <status>ignored</status>
      <modifiedWord/>
      <trackRevisions>false</trackRevisions>
    </reviewItem>
    <reviewItem>
      <errorID>006d0334-9a91-4601-a4ba-4ae743854c53</errorID>
      <errorWord>(</errorWord>
      <group>L1_Format</group>
      <groupName>格式问题</groupName>
      <ability>L2_HalfPunc_CN</ability>
      <abilityName>全半角问题</abilityName>
      <candidateList>
        <item>（</item>
      </candidateList>
      <explain>文本全半角错误。</explain>
      <paraID>308A730A</paraID>
      <start>59</start>
      <end>60</end>
      <status>ignored</status>
      <modifiedWord/>
      <trackRevisions>false</trackRevisions>
    </reviewItem>
    <reviewItem>
      <errorID>e876eb19-1bbb-42f5-8332-d6b0a31f9605</errorID>
      <errorWord>(</errorWord>
      <group>L1_Format</group>
      <groupName>格式问题</groupName>
      <ability>L2_HalfPunc_CN</ability>
      <abilityName>全半角问题</abilityName>
      <candidateList>
        <item>（</item>
      </candidateList>
      <explain>文本全半角错误。</explain>
      <paraID>308A730A</paraID>
      <start>80</start>
      <end>81</end>
      <status>ignored</status>
      <modifiedWord/>
      <trackRevisions>false</trackRevisions>
    </reviewItem>
    <reviewItem>
      <errorID>2ea36775-c986-4d7c-b4a4-1cc89e9ec6fc</errorID>
      <errorWord>(</errorWord>
      <group>L1_Format</group>
      <groupName>格式问题</groupName>
      <ability>L2_HalfPunc_CN</ability>
      <abilityName>全半角问题</abilityName>
      <candidateList>
        <item>（</item>
      </candidateList>
      <explain>文本全半角错误。</explain>
      <paraID>308A730A</paraID>
      <start>102</start>
      <end>103</end>
      <status>ignored</status>
      <modifiedWord/>
      <trackRevisions>false</trackRevisions>
    </reviewItem>
    <reviewItem>
      <errorID>3153688c-67d3-4d5d-831b-35d239042005</errorID>
      <errorWord>(</errorWord>
      <group>L1_Format</group>
      <groupName>格式问题</groupName>
      <ability>L2_HalfPunc_CN</ability>
      <abilityName>全半角问题</abilityName>
      <candidateList>
        <item>（</item>
      </candidateList>
      <explain>文本全半角错误。</explain>
      <paraID>308A730A</paraID>
      <start>110</start>
      <end>111</end>
      <status>ignored</status>
      <modifiedWord/>
      <trackRevisions>false</trackRevisions>
    </reviewItem>
    <reviewItem>
      <errorID>16cf3d8d-a205-42e6-9726-8855dc6eed4b</errorID>
      <errorWord>(</errorWord>
      <group>L1_Format</group>
      <groupName>格式问题</groupName>
      <ability>L2_HalfPunc_CN</ability>
      <abilityName>全半角问题</abilityName>
      <candidateList>
        <item>（</item>
      </candidateList>
      <explain>文本全半角错误。</explain>
      <paraID>52F86341</paraID>
      <start>26</start>
      <end>27</end>
      <status>ignored</status>
      <modifiedWord/>
      <trackRevisions>false</trackRevisions>
    </reviewItem>
    <reviewItem>
      <errorID>4964d6a0-d243-4ddc-9e41-ee603c5dfbb2</errorID>
      <errorWord>(</errorWord>
      <group>L1_Format</group>
      <groupName>格式问题</groupName>
      <ability>L2_HalfPunc_CN</ability>
      <abilityName>全半角问题</abilityName>
      <candidateList>
        <item>（</item>
      </candidateList>
      <explain>文本全半角错误。</explain>
      <paraID>52F86341</paraID>
      <start>47</start>
      <end>48</end>
      <status>ignored</status>
      <modifiedWord/>
      <trackRevisions>false</trackRevisions>
    </reviewItem>
    <reviewItem>
      <errorID>a8bd9624-c800-4335-bbe4-23db8521489d</errorID>
      <errorWord>(</errorWord>
      <group>L1_Format</group>
      <groupName>格式问题</groupName>
      <ability>L2_HalfPunc_CN</ability>
      <abilityName>全半角问题</abilityName>
      <candidateList>
        <item>（</item>
      </candidateList>
      <explain>文本全半角错误。</explain>
      <paraID>52F86341</paraID>
      <start>68</start>
      <end>69</end>
      <status>ignored</status>
      <modifiedWord/>
      <trackRevisions>false</trackRevisions>
    </reviewItem>
    <reviewItem>
      <errorID>533557af-ad4f-4163-b28f-223260f34ae4</errorID>
      <errorWord>(</errorWord>
      <group>L1_Format</group>
      <groupName>格式问题</groupName>
      <ability>L2_HalfPunc_CN</ability>
      <abilityName>全半角问题</abilityName>
      <candidateList>
        <item>（</item>
      </candidateList>
      <explain>文本全半角错误。</explain>
      <paraID>52F86341</paraID>
      <start>90</start>
      <end>91</end>
      <status>ignored</status>
      <modifiedWord/>
      <trackRevisions>false</trackRevisions>
    </reviewItem>
    <reviewItem>
      <errorID>e18893a3-d5c5-4860-9c57-9f395a853ff8</errorID>
      <errorWord>(</errorWord>
      <group>L1_Format</group>
      <groupName>格式问题</groupName>
      <ability>L2_HalfPunc_CN</ability>
      <abilityName>全半角问题</abilityName>
      <candidateList>
        <item>（</item>
      </candidateList>
      <explain>文本全半角错误。</explain>
      <paraID>3DCDBD14</paraID>
      <start>26</start>
      <end>27</end>
      <status>ignored</status>
      <modifiedWord/>
      <trackRevisions>false</trackRevisions>
    </reviewItem>
    <reviewItem>
      <errorID>45955713-a549-4461-99ae-046aa69bd209</errorID>
      <errorWord>(</errorWord>
      <group>L1_Format</group>
      <groupName>格式问题</groupName>
      <ability>L2_HalfPunc_CN</ability>
      <abilityName>全半角问题</abilityName>
      <candidateList>
        <item>（</item>
      </candidateList>
      <explain>文本全半角错误。</explain>
      <paraID>3DCDBD14</paraID>
      <start>47</start>
      <end>48</end>
      <status>ignored</status>
      <modifiedWord/>
      <trackRevisions>false</trackRevisions>
    </reviewItem>
    <reviewItem>
      <errorID>09ef2ee5-4ffd-4726-96e9-db3dd4c01070</errorID>
      <errorWord>(</errorWord>
      <group>L1_Format</group>
      <groupName>格式问题</groupName>
      <ability>L2_HalfPunc_CN</ability>
      <abilityName>全半角问题</abilityName>
      <candidateList>
        <item>（</item>
      </candidateList>
      <explain>文本全半角错误。</explain>
      <paraID>3DCDBD14</paraID>
      <start>68</start>
      <end>69</end>
      <status>ignored</status>
      <modifiedWord/>
      <trackRevisions>false</trackRevisions>
    </reviewItem>
    <reviewItem>
      <errorID>f4ee7022-ab13-495a-84e9-21765da31440</errorID>
      <errorWord>(</errorWord>
      <group>L1_Format</group>
      <groupName>格式问题</groupName>
      <ability>L2_HalfPunc_CN</ability>
      <abilityName>全半角问题</abilityName>
      <candidateList>
        <item>（</item>
      </candidateList>
      <explain>文本全半角错误。</explain>
      <paraID>3DCDBD14</paraID>
      <start>90</start>
      <end>91</end>
      <status>ignored</status>
      <modifiedWord/>
      <trackRevisions>false</trackRevisions>
    </reviewItem>
    <reviewItem>
      <errorID>f446c3e3-851f-402e-88ea-af9ab6dfa4c9</errorID>
      <errorWord>(</errorWord>
      <group>L1_Format</group>
      <groupName>格式问题</groupName>
      <ability>L2_HalfPunc_CN</ability>
      <abilityName>全半角问题</abilityName>
      <candidateList>
        <item>（</item>
      </candidateList>
      <explain>文本全半角错误。</explain>
      <paraID>76B54FA8</paraID>
      <start>49</start>
      <end>50</end>
      <status>ignored</status>
      <modifiedWord/>
      <trackRevisions>false</trackRevisions>
    </reviewItem>
    <reviewItem>
      <errorID>6417f4cd-805a-48f9-a6e1-cf45ed62db71</errorID>
      <errorWord>(</errorWord>
      <group>L1_Format</group>
      <groupName>格式问题</groupName>
      <ability>L2_HalfPunc_CN</ability>
      <abilityName>全半角问题</abilityName>
      <candidateList>
        <item>（</item>
      </candidateList>
      <explain>文本全半角错误。</explain>
      <paraID> 8F609B7</paraID>
      <start>30</start>
      <end>31</end>
      <status>ignored</status>
      <modifiedWord/>
      <trackRevisions>false</trackRevisions>
    </reviewItem>
    <reviewItem>
      <errorID>8d6562d8-3af3-4a94-8e25-0e43c7721afc</errorID>
      <errorWord>(</errorWord>
      <group>L1_Format</group>
      <groupName>格式问题</groupName>
      <ability>L2_HalfPunc_CN</ability>
      <abilityName>全半角问题</abilityName>
      <candidateList>
        <item>（</item>
      </candidateList>
      <explain>文本全半角错误。</explain>
      <paraID> 8F609B7</paraID>
      <start>54</start>
      <end>55</end>
      <status>ignored</status>
      <modifiedWord/>
      <trackRevisions>false</trackRevisions>
    </reviewItem>
    <reviewItem>
      <errorID>314383a6-509d-403f-b848-8ea35985f8c9</errorID>
      <errorWord>1、</errorWord>
      <group>L1_Format</group>
      <groupName>格式问题</groupName>
      <ability>L2_Ordinal</ability>
      <abilityName>序号格式</abilityName>
      <candidateList>
        <item>1.</item>
      </candidateList>
      <explain>当前序号格式不规范，建议修改为规范格式[1.]。</explain>
      <paraID> 3B9E8E9</paraID>
      <start>0</start>
      <end>2</end>
      <status>unmodified</status>
      <modifiedWord/>
      <trackRevisions>false</trackRevisions>
    </reviewItem>
    <reviewItem>
      <errorID>5a496381-09d0-4108-af69-11450e5d597e</errorID>
      <errorWord>7、</errorWord>
      <group>L1_Format</group>
      <groupName>格式问题</groupName>
      <ability>L2_Ordinal</ability>
      <abilityName>序号格式</abilityName>
      <candidateList>
        <item>7.</item>
      </candidateList>
      <explain>当前序号格式不规范，建议修改为规范格式[7.]。</explain>
      <paraID> BF0E70E</paraID>
      <start>0</start>
      <end>2</end>
      <status>unmodified</status>
      <modifiedWord/>
      <trackRevisions>false</trackRevisions>
    </reviewItem>
    <reviewItem>
      <errorID>07c0ea5e-1725-4c09-bb87-cdeeb4ff7db2</errorID>
      <errorWord>8、</errorWord>
      <group>L1_Format</group>
      <groupName>格式问题</groupName>
      <ability>L2_Ordinal</ability>
      <abilityName>序号格式</abilityName>
      <candidateList>
        <item>8.</item>
      </candidateList>
      <explain>当前序号格式不规范，建议修改为规范格式[8.]。</explain>
      <paraID>4DB458BB</paraID>
      <start>0</start>
      <end>2</end>
      <status>unmodified</status>
      <modifiedWord/>
      <trackRevisions>false</trackRevisions>
    </reviewItem>
    <reviewItem>
      <errorID>805bb6fd-101b-4d49-b631-3279664c4c65</errorID>
      <errorWord>9、</errorWord>
      <group>L1_Format</group>
      <groupName>格式问题</groupName>
      <ability>L2_Ordinal</ability>
      <abilityName>序号格式</abilityName>
      <candidateList>
        <item>9.</item>
      </candidateList>
      <explain>当前序号格式不规范，建议修改为规范格式[9.]。</explain>
      <paraID>1986D1D2</paraID>
      <start>0</start>
      <end>2</end>
      <status>unmodified</status>
      <modifiedWord/>
      <trackRevisions>false</trackRevisions>
    </reviewItem>
    <reviewItem>
      <errorID>baa79c21-80aa-45b3-a8fb-9398e513c31c</errorID>
      <errorWord>10、</errorWord>
      <group>L1_Format</group>
      <groupName>格式问题</groupName>
      <ability>L2_Ordinal</ability>
      <abilityName>序号格式</abilityName>
      <candidateList>
        <item>10.</item>
      </candidateList>
      <explain>当前序号格式不规范，建议修改为规范格式[10.]。</explain>
      <paraID>6160369F</paraID>
      <start>0</start>
      <end>3</end>
      <status>unmodified</status>
      <modifiedWord/>
      <trackRevisions>false</trackRevisions>
    </reviewItem>
    <reviewItem>
      <errorID>e5fce8c5-9d25-4bb0-aee8-73831e3b4130</errorID>
      <errorWord>11、</errorWord>
      <group>L1_Format</group>
      <groupName>格式问题</groupName>
      <ability>L2_Ordinal</ability>
      <abilityName>序号格式</abilityName>
      <candidateList>
        <item>11.</item>
      </candidateList>
      <explain>当前序号格式不规范，建议修改为规范格式[11.]。</explain>
      <paraID>5E363650</paraID>
      <start>0</start>
      <end>3</end>
      <status>unmodified</status>
      <modifiedWord/>
      <trackRevisions>false</trackRevisions>
    </reviewItem>
    <reviewItem>
      <errorID>95df2142-7f2e-4931-8dd5-ddda3f352e98</errorID>
      <errorWord>17、</errorWord>
      <group>L1_Format</group>
      <groupName>格式问题</groupName>
      <ability>L2_Ordinal</ability>
      <abilityName>序号格式</abilityName>
      <candidateList>
        <item>17.</item>
      </candidateList>
      <explain>当前序号格式不规范，建议修改为规范格式[17.]。</explain>
      <paraID>58A0C1DA</paraID>
      <start>0</start>
      <end>3</end>
      <status>unmodified</status>
      <modifiedWord/>
      <trackRevisions>false</trackRevisions>
    </reviewItem>
    <reviewItem>
      <errorID>ea764b06-28e7-4cca-b10f-bfe1a9e1b3f6</errorID>
      <errorWord>18、</errorWord>
      <group>L1_Format</group>
      <groupName>格式问题</groupName>
      <ability>L2_Ordinal</ability>
      <abilityName>序号格式</abilityName>
      <candidateList>
        <item>18.</item>
      </candidateList>
      <explain>当前序号格式不规范，建议修改为规范格式[18.]。</explain>
      <paraID>2EE301EC</paraID>
      <start>0</start>
      <end>3</end>
      <status>unmodified</status>
      <modifiedWord/>
      <trackRevisions>false</trackRevisions>
    </reviewItem>
    <reviewItem>
      <errorID>c90ca0f7-c10e-4e70-958b-85d60520d9d1</errorID>
      <errorWord>19、</errorWord>
      <group>L1_Format</group>
      <groupName>格式问题</groupName>
      <ability>L2_Ordinal</ability>
      <abilityName>序号格式</abilityName>
      <candidateList>
        <item>19.</item>
      </candidateList>
      <explain>当前序号格式不规范，建议修改为规范格式[19.]。</explain>
      <paraID>5B2A7F12</paraID>
      <start>0</start>
      <end>3</end>
      <status>unmodified</status>
      <modifiedWord/>
      <trackRevisions>false</trackRevisions>
    </reviewItem>
    <reviewItem>
      <errorID>2da1fd0d-038a-447b-87b1-b4816cedb3be</errorID>
      <errorWord>20、</errorWord>
      <group>L1_Format</group>
      <groupName>格式问题</groupName>
      <ability>L2_Ordinal</ability>
      <abilityName>序号格式</abilityName>
      <candidateList>
        <item>20.</item>
      </candidateList>
      <explain>当前序号格式不规范，建议修改为规范格式[20.]。</explain>
      <paraID>4FF21FCE</paraID>
      <start>0</start>
      <end>3</end>
      <status>unmodified</status>
      <modifiedWord/>
      <trackRevisions>false</trackRevisions>
    </reviewItem>
    <reviewItem>
      <errorID>8b0499ef-cc27-42a8-887f-fc402d70f91f</errorID>
      <errorWord>21、</errorWord>
      <group>L1_Format</group>
      <groupName>格式问题</groupName>
      <ability>L2_Ordinal</ability>
      <abilityName>序号格式</abilityName>
      <candidateList>
        <item>21.</item>
      </candidateList>
      <explain>当前序号格式不规范，建议修改为规范格式[21.]。</explain>
      <paraID> 7D71EFE</paraID>
      <start>0</start>
      <end>3</end>
      <status>unmodified</status>
      <modifiedWord/>
      <trackRevisions>false</trackRevisions>
    </reviewItem>
    <reviewItem>
      <errorID>f037e294-b605-469a-aa15-39e0058b796d</errorID>
      <errorWord>27、</errorWord>
      <group>L1_Format</group>
      <groupName>格式问题</groupName>
      <ability>L2_Ordinal</ability>
      <abilityName>序号格式</abilityName>
      <candidateList>
        <item>27.</item>
      </candidateList>
      <explain>当前序号格式不规范，建议修改为规范格式[27.]。</explain>
      <paraID>3C91EF9C</paraID>
      <start>0</start>
      <end>3</end>
      <status>unmodified</status>
      <modifiedWord/>
      <trackRevisions>false</trackRevisions>
    </reviewItem>
    <reviewItem>
      <errorID>fa9a11d7-987d-4a8f-92f1-f287d2a6818b</errorID>
      <errorWord>28、</errorWord>
      <group>L1_Format</group>
      <groupName>格式问题</groupName>
      <ability>L2_Ordinal</ability>
      <abilityName>序号格式</abilityName>
      <candidateList>
        <item>28.</item>
      </candidateList>
      <explain>当前序号格式不规范，建议修改为规范格式[28.]。</explain>
      <paraID>76D6F086</paraID>
      <start>0</start>
      <end>3</end>
      <status>unmodified</status>
      <modifiedWord/>
      <trackRevisions>false</trackRevisions>
    </reviewItem>
    <reviewItem>
      <errorID>3089d953-10a5-41ec-9f7f-aabfc7c23a97</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12962631</paraID>
      <start>0</start>
      <end>3</end>
      <status>unmodified</status>
      <modifiedWord/>
      <trackRevisions>false</trackRevisions>
    </reviewItem>
    <reviewItem>
      <errorID>b27f5bb9-de6b-48ae-b4a1-f34cfd04b9ea</errorID>
      <errorWord>30、</errorWord>
      <group>L1_Format</group>
      <groupName>格式问题</groupName>
      <ability>L2_Ordinal</ability>
      <abilityName>序号格式</abilityName>
      <candidateList>
        <item>30.</item>
      </candidateList>
      <explain>当前序号格式不规范，建议修改为规范格式[30.]。</explain>
      <paraID>4BA564E0</paraID>
      <start>0</start>
      <end>3</end>
      <status>unmodified</status>
      <modifiedWord/>
      <trackRevisions>false</trackRevisions>
    </reviewItem>
    <reviewItem>
      <errorID>11005be6-6c33-458f-b3f5-abde78c05bbe</errorID>
      <errorWord>31、</errorWord>
      <group>L1_Format</group>
      <groupName>格式问题</groupName>
      <ability>L2_Ordinal</ability>
      <abilityName>序号格式</abilityName>
      <candidateList>
        <item>31.</item>
      </candidateList>
      <explain>当前序号格式不规范，建议修改为规范格式[31.]。</explain>
      <paraID>6595752E</paraID>
      <start>0</start>
      <end>3</end>
      <status>unmodified</status>
      <modifiedWord/>
      <trackRevisions>false</trackRevisions>
    </reviewItem>
    <reviewItem>
      <errorID>9491300e-fd70-49d1-b07e-9ae59192f65a</errorID>
      <errorWord>爵床</errorWord>
      <group>L1_Word</group>
      <groupName>字词问题</groupName>
      <ability>L2_Typo</ability>
      <abilityName>字词错误</abilityName>
      <candidateList>
        <item>临床</item>
      </candidateList>
      <explain/>
      <paraID>3AFB0328</paraID>
      <start>0</start>
      <end>2</end>
      <status>unmodified</status>
      <modifiedWord/>
      <trackRevisions>false</trackRevisions>
    </reviewItem>
    <reviewItem>
      <errorID>94865f46-68cb-43c1-9d1d-df5d9d60d3e2</errorID>
      <errorWord>37、</errorWord>
      <group>L1_Format</group>
      <groupName>格式问题</groupName>
      <ability>L2_Ordinal</ability>
      <abilityName>序号格式</abilityName>
      <candidateList>
        <item>37.</item>
      </candidateList>
      <explain>当前序号格式不规范，建议修改为规范格式[37.]。</explain>
      <paraID>1BEA3DCB</paraID>
      <start>0</start>
      <end>3</end>
      <status>unmodified</status>
      <modifiedWord/>
      <trackRevisions>false</trackRevisions>
    </reviewItem>
    <reviewItem>
      <errorID>71d3ee55-a71a-45e6-8bc9-adc102d7f5da</errorID>
      <errorWord>38、</errorWord>
      <group>L1_Format</group>
      <groupName>格式问题</groupName>
      <ability>L2_Ordinal</ability>
      <abilityName>序号格式</abilityName>
      <candidateList>
        <item>38.</item>
      </candidateList>
      <explain>当前序号格式不规范，建议修改为规范格式[38.]。</explain>
      <paraID>7E938C49</paraID>
      <start>0</start>
      <end>3</end>
      <status>unmodified</status>
      <modifiedWord/>
      <trackRevisions>false</trackRevisions>
    </reviewItem>
    <reviewItem>
      <errorID>1f598af9-0c5a-4492-af8b-175204a51be6</errorID>
      <errorWord>39、</errorWord>
      <group>L1_Format</group>
      <groupName>格式问题</groupName>
      <ability>L2_Ordinal</ability>
      <abilityName>序号格式</abilityName>
      <candidateList>
        <item>39.</item>
      </candidateList>
      <explain>当前序号格式不规范，建议修改为规范格式[39.]。</explain>
      <paraID> 94ADE5E</paraID>
      <start>0</start>
      <end>3</end>
      <status>unmodified</status>
      <modifiedWord/>
      <trackRevisions>false</trackRevisions>
    </reviewItem>
    <reviewItem>
      <errorID>8bdb2271-2ed8-4e7f-b03f-7ad17a9445e9</errorID>
      <errorWord>40、</errorWord>
      <group>L1_Format</group>
      <groupName>格式问题</groupName>
      <ability>L2_Ordinal</ability>
      <abilityName>序号格式</abilityName>
      <candidateList>
        <item>40.</item>
      </candidateList>
      <explain>当前序号格式不规范，建议修改为规范格式[40.]。</explain>
      <paraID>68455E9F</paraID>
      <start>0</start>
      <end>3</end>
      <status>unmodified</status>
      <modifiedWord/>
      <trackRevisions>false</trackRevisions>
    </reviewItem>
    <reviewItem>
      <errorID>2ea51aca-c520-4e17-b5e5-6fe4d597af8d</errorID>
      <errorWord>41、</errorWord>
      <group>L1_Format</group>
      <groupName>格式问题</groupName>
      <ability>L2_Ordinal</ability>
      <abilityName>序号格式</abilityName>
      <candidateList>
        <item>41.</item>
      </candidateList>
      <explain>当前序号格式不规范，建议修改为规范格式[41.]。</explain>
      <paraID>5AD6257C</paraID>
      <start>0</start>
      <end>3</end>
      <status>unmodified</status>
      <modifiedWord/>
      <trackRevisions>false</trackRevisions>
    </reviewItem>
    <reviewItem>
      <errorID>ee499de6-af43-46d9-9143-540db118899f</errorID>
      <errorWord>47、</errorWord>
      <group>L1_Format</group>
      <groupName>格式问题</groupName>
      <ability>L2_Ordinal</ability>
      <abilityName>序号格式</abilityName>
      <candidateList>
        <item>47.</item>
      </candidateList>
      <explain>当前序号格式不规范，建议修改为规范格式[47.]。</explain>
      <paraID>  832C1F</paraID>
      <start>0</start>
      <end>3</end>
      <status>unmodified</status>
      <modifiedWord/>
      <trackRevisions>false</trackRevisions>
    </reviewItem>
    <reviewItem>
      <errorID>34f4d98a-8484-4dd1-9a01-34bb47aa0a71</errorID>
      <errorWord>48、</errorWord>
      <group>L1_Format</group>
      <groupName>格式问题</groupName>
      <ability>L2_Ordinal</ability>
      <abilityName>序号格式</abilityName>
      <candidateList>
        <item>48.</item>
      </candidateList>
      <explain>当前序号格式不规范，建议修改为规范格式[48.]。</explain>
      <paraID>64492EC1</paraID>
      <start>0</start>
      <end>3</end>
      <status>unmodified</status>
      <modifiedWord/>
      <trackRevisions>false</trackRevisions>
    </reviewItem>
    <reviewItem>
      <errorID>0af472e8-6d8d-4cc3-a1f6-f175ca6e8042</errorID>
      <errorWord>49、</errorWord>
      <group>L1_Format</group>
      <groupName>格式问题</groupName>
      <ability>L2_Ordinal</ability>
      <abilityName>序号格式</abilityName>
      <candidateList>
        <item>49.</item>
      </candidateList>
      <explain>当前序号格式不规范，建议修改为规范格式[49.]。</explain>
      <paraID>22720D01</paraID>
      <start>0</start>
      <end>3</end>
      <status>unmodified</status>
      <modifiedWord/>
      <trackRevisions>false</trackRevisions>
    </reviewItem>
    <reviewItem>
      <errorID>5380dff3-b441-4255-b1dd-92fb24f91080</errorID>
      <errorWord>60、</errorWord>
      <group>L1_Format</group>
      <groupName>格式问题</groupName>
      <ability>L2_Ordinal</ability>
      <abilityName>序号格式</abilityName>
      <candidateList>
        <item>60.</item>
      </candidateList>
      <explain>当前序号格式不规范，建议修改为规范格式[60.]。</explain>
      <paraID> B10B9FF</paraID>
      <start>0</start>
      <end>3</end>
      <status>unmodified</status>
      <modifiedWord/>
      <trackRevisions>false</trackRevisions>
    </reviewItem>
    <reviewItem>
      <errorID>a16c1638-cb21-405e-a8e4-3e3231c23004</errorID>
      <errorWord>莕</errorWord>
      <group>L1_Word</group>
      <groupName>字词问题</groupName>
      <ability>L2_Variant</ability>
      <abilityName>异形词</abilityName>
      <candidateList>
        <item>荇</item>
      </candidateList>
      <explain>词汇[莕]的规范词形写作[荇]。</explain>
      <paraID>5EF54653</paraID>
      <start>0</start>
      <end>1</end>
      <status>unmodified</status>
      <modifiedWord/>
      <trackRevisions>false</trackRevisions>
    </reviewItem>
    <reviewItem>
      <errorID>9ec3ccc2-50c9-4f5c-85aa-addfc06c824e</errorID>
      <errorWord>61、</errorWord>
      <group>L1_Format</group>
      <groupName>格式问题</groupName>
      <ability>L2_Ordinal</ability>
      <abilityName>序号格式</abilityName>
      <candidateList>
        <item>61.</item>
      </candidateList>
      <explain>当前序号格式不规范，建议修改为规范格式[61.]。</explain>
      <paraID>6BA89644</paraID>
      <start>0</start>
      <end>3</end>
      <status>unmodified</status>
      <modifiedWord/>
      <trackRevisions>false</trackRevisions>
    </reviewItem>
    <reviewItem>
      <errorID>eca9ae94-ec37-4b6c-ad09-7263f6e005a9</errorID>
      <errorWord>67、</errorWord>
      <group>L1_Format</group>
      <groupName>格式问题</groupName>
      <ability>L2_Ordinal</ability>
      <abilityName>序号格式</abilityName>
      <candidateList>
        <item>67.</item>
      </candidateList>
      <explain>当前序号格式不规范，建议修改为规范格式[67.]。</explain>
      <paraID>2CCA8D49</paraID>
      <start>0</start>
      <end>3</end>
      <status>unmodified</status>
      <modifiedWord/>
      <trackRevisions>false</trackRevisions>
    </reviewItem>
    <reviewItem>
      <errorID>28b079e6-8ade-4b75-a308-ede0c19dabc2</errorID>
      <errorWord>68、</errorWord>
      <group>L1_Format</group>
      <groupName>格式问题</groupName>
      <ability>L2_Ordinal</ability>
      <abilityName>序号格式</abilityName>
      <candidateList>
        <item>68.</item>
      </candidateList>
      <explain>当前序号格式不规范，建议修改为规范格式[68.]。</explain>
      <paraID>2340A22B</paraID>
      <start>0</start>
      <end>3</end>
      <status>unmodified</status>
      <modifiedWord/>
      <trackRevisions>false</trackRevisions>
    </reviewItem>
    <reviewItem>
      <errorID>19402adb-45e2-42da-a947-829f6e1d46ad</errorID>
      <errorWord>69、</errorWord>
      <group>L1_Format</group>
      <groupName>格式问题</groupName>
      <ability>L2_Ordinal</ability>
      <abilityName>序号格式</abilityName>
      <candidateList>
        <item>69.</item>
      </candidateList>
      <explain>当前序号格式不规范，建议修改为规范格式[69.]。</explain>
      <paraID>46A942B6</paraID>
      <start>0</start>
      <end>3</end>
      <status>unmodified</status>
      <modifiedWord/>
      <trackRevisions>false</trackRevisions>
    </reviewItem>
    <reviewItem>
      <errorID>88966d10-a203-4125-92e0-c081d9bd708f</errorID>
      <errorWord>70、</errorWord>
      <group>L1_Format</group>
      <groupName>格式问题</groupName>
      <ability>L2_Ordinal</ability>
      <abilityName>序号格式</abilityName>
      <candidateList>
        <item>70.</item>
      </candidateList>
      <explain>当前序号格式不规范，建议修改为规范格式[70.]。</explain>
      <paraID>709AF324</paraID>
      <start>0</start>
      <end>3</end>
      <status>unmodified</status>
      <modifiedWord/>
      <trackRevisions>false</trackRevisions>
    </reviewItem>
    <reviewItem>
      <errorID>fd54450b-5db7-4c53-b371-4f436a264997</errorID>
      <errorWord>71、</errorWord>
      <group>L1_Format</group>
      <groupName>格式问题</groupName>
      <ability>L2_Ordinal</ability>
      <abilityName>序号格式</abilityName>
      <candidateList>
        <item>71.</item>
      </candidateList>
      <explain>当前序号格式不规范，建议修改为规范格式[71.]。</explain>
      <paraID>3FD7858E</paraID>
      <start>0</start>
      <end>3</end>
      <status>unmodified</status>
      <modifiedWord/>
      <trackRevisions>false</trackRevisions>
    </reviewItem>
    <reviewItem>
      <errorID>671c60fb-65dd-4693-bfd2-be09aa811f1d</errorID>
      <errorWord>77、</errorWord>
      <group>L1_Format</group>
      <groupName>格式问题</groupName>
      <ability>L2_Ordinal</ability>
      <abilityName>序号格式</abilityName>
      <candidateList>
        <item>77.</item>
      </candidateList>
      <explain>当前序号格式不规范，建议修改为规范格式[77.]。</explain>
      <paraID>17F6D759</paraID>
      <start>0</start>
      <end>3</end>
      <status>unmodified</status>
      <modifiedWord/>
      <trackRevisions>false</trackRevisions>
    </reviewItem>
    <reviewItem>
      <errorID>57422e1d-e08b-4222-9f3d-278ea5a1d4c5</errorID>
      <errorWord>78、</errorWord>
      <group>L1_Format</group>
      <groupName>格式问题</groupName>
      <ability>L2_Ordinal</ability>
      <abilityName>序号格式</abilityName>
      <candidateList>
        <item>78.</item>
      </candidateList>
      <explain>当前序号格式不规范，建议修改为规范格式[78.]。</explain>
      <paraID>5B679409</paraID>
      <start>0</start>
      <end>3</end>
      <status>unmodified</status>
      <modifiedWord/>
      <trackRevisions>false</trackRevisions>
    </reviewItem>
    <reviewItem>
      <errorID>1489c072-deb8-488b-8b99-80a279f404f4</errorID>
      <errorWord>79、</errorWord>
      <group>L1_Format</group>
      <groupName>格式问题</groupName>
      <ability>L2_Ordinal</ability>
      <abilityName>序号格式</abilityName>
      <candidateList>
        <item>79.</item>
      </candidateList>
      <explain>当前序号格式不规范，建议修改为规范格式[79.]。</explain>
      <paraID>2A95D750</paraID>
      <start>0</start>
      <end>3</end>
      <status>unmodified</status>
      <modifiedWord/>
      <trackRevisions>false</trackRevisions>
    </reviewItem>
    <reviewItem>
      <errorID>ac23005b-3226-4761-8aa8-4f76f695f384</errorID>
      <errorWord>(</errorWord>
      <group>L1_Format</group>
      <groupName>格式问题</groupName>
      <ability>L2_HalfPunc_CN</ability>
      <abilityName>全半角问题</abilityName>
      <candidateList>
        <item>（</item>
      </candidateList>
      <explain>文本全半角错误。</explain>
      <paraID>4B69B279</paraID>
      <start>142</start>
      <end>143</end>
      <status>ignored</status>
      <modifiedWord/>
      <trackRevisions>false</trackRevisions>
    </reviewItem>
    <reviewItem>
      <errorID>6bc27f0b-dd13-4fde-a3cd-783719cc6d50</errorID>
      <errorWord>(</errorWord>
      <group>L1_Format</group>
      <groupName>格式问题</groupName>
      <ability>L2_HalfPunc_CN</ability>
      <abilityName>全半角问题</abilityName>
      <candidateList>
        <item>（</item>
      </candidateList>
      <explain>文本全半角错误。</explain>
      <paraID>4B69B279</paraID>
      <start>150</start>
      <end>151</end>
      <status>ignored</status>
      <modifiedWord/>
      <trackRevisions>false</trackRevisions>
    </reviewItem>
    <reviewItem>
      <errorID>143c3956-8a84-4ee1-a8d9-7b9e28112f7b</errorID>
      <errorWord>(</errorWord>
      <group>L1_Format</group>
      <groupName>格式问题</groupName>
      <ability>L2_HalfPunc_CN</ability>
      <abilityName>全半角问题</abilityName>
      <candidateList>
        <item>（</item>
      </candidateList>
      <explain>文本全半角错误。</explain>
      <paraID>25D1C7A6</paraID>
      <start>4</start>
      <end>5</end>
      <status>ignored</status>
      <modifiedWord/>
      <trackRevisions>false</trackRevisions>
    </reviewItem>
    <reviewItem>
      <errorID>ca6b0338-310d-425f-a087-2d8e8d5f6a9e</errorID>
      <errorWord>(</errorWord>
      <group>L1_Format</group>
      <groupName>格式问题</groupName>
      <ability>L2_HalfPunc_CN</ability>
      <abilityName>全半角问题</abilityName>
      <candidateList>
        <item>（</item>
      </candidateList>
      <explain>文本全半角错误。</explain>
      <paraID>5E503C43</paraID>
      <start>39</start>
      <end>40</end>
      <status>ignored</status>
      <modifiedWord/>
      <trackRevisions>false</trackRevisions>
    </reviewItem>
    <reviewItem>
      <errorID>a5bf208d-a63b-4a40-a402-14ff7a603862</errorID>
      <errorWord>(</errorWord>
      <group>L1_Format</group>
      <groupName>格式问题</groupName>
      <ability>L2_HalfPunc_CN</ability>
      <abilityName>全半角问题</abilityName>
      <candidateList>
        <item>（</item>
      </candidateList>
      <explain>文本全半角错误。</explain>
      <paraID>4895434D</paraID>
      <start>1</start>
      <end>2</end>
      <status>ignored</status>
      <modifiedWord/>
      <trackRevisions>false</trackRevisions>
    </reviewItem>
    <reviewItem>
      <errorID>7a237053-f463-41e1-8d20-53a669cf3ab7</errorID>
      <errorWord>(</errorWord>
      <group>L1_Format</group>
      <groupName>格式问题</groupName>
      <ability>L2_HalfPunc_CN</ability>
      <abilityName>全半角问题</abilityName>
      <candidateList>
        <item>（</item>
      </candidateList>
      <explain>文本全半角错误。</explain>
      <paraID>5F6A007B</paraID>
      <start>3</start>
      <end>4</end>
      <status>ignored</status>
      <modifiedWord/>
      <trackRevisions>false</trackRevisions>
    </reviewItem>
    <reviewItem>
      <errorID>4c990ddf-caa6-45cb-9e47-e75b1b6c251a</errorID>
      <errorWord>(</errorWord>
      <group>L1_Format</group>
      <groupName>格式问题</groupName>
      <ability>L2_HalfPunc_CN</ability>
      <abilityName>全半角问题</abilityName>
      <candidateList>
        <item>（</item>
      </candidateList>
      <explain>文本全半角错误。</explain>
      <paraID>2D025DCE</paraID>
      <start>119</start>
      <end>120</end>
      <status>ignored</status>
      <modifiedWord/>
      <trackRevisions>false</trackRevisions>
    </reviewItem>
    <reviewItem>
      <errorID>151cc0e5-08d4-4b98-981d-9e489f2538ff</errorID>
      <errorWord>(</errorWord>
      <group>L1_Format</group>
      <groupName>格式问题</groupName>
      <ability>L2_HalfPunc_CN</ability>
      <abilityName>全半角问题</abilityName>
      <candidateList>
        <item>（</item>
      </candidateList>
      <explain>文本全半角错误。</explain>
      <paraID>1DAF80F0</paraID>
      <start>0</start>
      <end>1</end>
      <status>ignored</status>
      <modifiedWord/>
      <trackRevisions>false</trackRevisions>
    </reviewItem>
    <reviewItem>
      <errorID>2666ca7a-0469-4184-a52a-6b6d1def8625</errorID>
      <errorWord>(</errorWord>
      <group>L1_Format</group>
      <groupName>格式问题</groupName>
      <ability>L2_HalfPunc_CN</ability>
      <abilityName>全半角问题</abilityName>
      <candidateList>
        <item>（</item>
      </candidateList>
      <explain>文本全半角错误。</explain>
      <paraID>7A86BE8F</paraID>
      <start>0</start>
      <end>1</end>
      <status>ignored</status>
      <modifiedWord/>
      <trackRevisions>false</trackRevisions>
    </reviewItem>
    <reviewItem>
      <errorID>c58c4ed4-e95d-4127-add5-edafa861482f</errorID>
      <errorWord>(</errorWord>
      <group>L1_Format</group>
      <groupName>格式问题</groupName>
      <ability>L2_HalfPunc_CN</ability>
      <abilityName>全半角问题</abilityName>
      <candidateList>
        <item>（</item>
      </candidateList>
      <explain>文本全半角错误。</explain>
      <paraID>331D2FD6</paraID>
      <start>0</start>
      <end>1</end>
      <status>ignored</status>
      <modifiedWord/>
      <trackRevisions>false</trackRevisions>
    </reviewItem>
    <reviewItem>
      <errorID>778f8ed1-7bc9-45b1-9d99-265c2f8d6202</errorID>
      <errorWord>(</errorWord>
      <group>L1_Format</group>
      <groupName>格式问题</groupName>
      <ability>L2_HalfPunc_CN</ability>
      <abilityName>全半角问题</abilityName>
      <candidateList>
        <item>（</item>
      </candidateList>
      <explain>文本全半角错误。</explain>
      <paraID> 14E1762</paraID>
      <start>0</start>
      <end>1</end>
      <status>ignored</status>
      <modifiedWord/>
      <trackRevisions>false</trackRevisions>
    </reviewItem>
    <reviewItem>
      <errorID>6e9f2a65-b2b6-4b82-9509-53eb26a54c3f</errorID>
      <errorWord>(</errorWord>
      <group>L1_Format</group>
      <groupName>格式问题</groupName>
      <ability>L2_HalfPunc_CN</ability>
      <abilityName>全半角问题</abilityName>
      <candidateList>
        <item>（</item>
      </candidateList>
      <explain>文本全半角错误。</explain>
      <paraID> 8B05A85</paraID>
      <start>0</start>
      <end>1</end>
      <status>ignored</status>
      <modifiedWord/>
      <trackRevisions>false</trackRevisions>
    </reviewItem>
    <reviewItem>
      <errorID>c1546139-0039-4f05-9179-2bda54beb574</errorID>
      <errorWord>(</errorWord>
      <group>L1_Format</group>
      <groupName>格式问题</groupName>
      <ability>L2_HalfPunc_CN</ability>
      <abilityName>全半角问题</abilityName>
      <candidateList>
        <item>（</item>
      </candidateList>
      <explain>文本全半角错误。</explain>
      <paraID>26B208C7</paraID>
      <start>0</start>
      <end>1</end>
      <status>ignored</status>
      <modifiedWord/>
      <trackRevisions>false</trackRevisions>
    </reviewItem>
    <reviewItem>
      <errorID>89ec3846-fde5-4317-8527-085276a565f9</errorID>
      <errorWord>(</errorWord>
      <group>L1_Format</group>
      <groupName>格式问题</groupName>
      <ability>L2_HalfPunc_CN</ability>
      <abilityName>全半角问题</abilityName>
      <candidateList>
        <item>（</item>
      </candidateList>
      <explain>文本全半角错误。</explain>
      <paraID> B12B72D</paraID>
      <start>0</start>
      <end>1</end>
      <status>ignored</status>
      <modifiedWord/>
      <trackRevisions>false</trackRevisions>
    </reviewItem>
    <reviewItem>
      <errorID>9d0c9099-b101-4541-b4e2-0d4418d93708</errorID>
      <errorWord>(</errorWord>
      <group>L1_Format</group>
      <groupName>格式问题</groupName>
      <ability>L2_HalfPunc_CN</ability>
      <abilityName>全半角问题</abilityName>
      <candidateList>
        <item>（</item>
      </candidateList>
      <explain>文本全半角错误。</explain>
      <paraID>23CC70C8</paraID>
      <start>0</start>
      <end>1</end>
      <status>ignored</status>
      <modifiedWord/>
      <trackRevisions>false</trackRevisions>
    </reviewItem>
    <reviewItem>
      <errorID>8f9180fb-0d61-4941-b66d-e6a8b6cf9afd</errorID>
      <errorWord>(</errorWord>
      <group>L1_Format</group>
      <groupName>格式问题</groupName>
      <ability>L2_HalfPunc_CN</ability>
      <abilityName>全半角问题</abilityName>
      <candidateList>
        <item>（</item>
      </candidateList>
      <explain>文本全半角错误。</explain>
      <paraID>58C83D91</paraID>
      <start>0</start>
      <end>1</end>
      <status>ignored</status>
      <modifiedWord/>
      <trackRevisions>false</trackRevisions>
    </reviewItem>
    <reviewItem>
      <errorID>2f70a8fe-7615-49df-a83f-c60c1553e96b</errorID>
      <errorWord>(</errorWord>
      <group>L1_Format</group>
      <groupName>格式问题</groupName>
      <ability>L2_HalfPunc_CN</ability>
      <abilityName>全半角问题</abilityName>
      <candidateList>
        <item>（</item>
      </candidateList>
      <explain>文本全半角错误。</explain>
      <paraID> 3406CF6</paraID>
      <start>0</start>
      <end>1</end>
      <status>ignored</status>
      <modifiedWord/>
      <trackRevisions>false</trackRevisions>
    </reviewItem>
    <reviewItem>
      <errorID>7201edfe-5044-42fe-bcd1-b1483593163d</errorID>
      <errorWord>(</errorWord>
      <group>L1_Format</group>
      <groupName>格式问题</groupName>
      <ability>L2_HalfPunc_CN</ability>
      <abilityName>全半角问题</abilityName>
      <candidateList>
        <item>（</item>
      </candidateList>
      <explain>文本全半角错误。</explain>
      <paraID>26953D56</paraID>
      <start>0</start>
      <end>1</end>
      <status>ignored</status>
      <modifiedWord/>
      <trackRevisions>false</trackRevisions>
    </reviewItem>
    <reviewItem>
      <errorID>d41cec61-7876-4319-8251-c44bbaf1e51e</errorID>
      <errorWord>(</errorWord>
      <group>L1_Format</group>
      <groupName>格式问题</groupName>
      <ability>L2_HalfPunc_CN</ability>
      <abilityName>全半角问题</abilityName>
      <candidateList>
        <item>（</item>
      </candidateList>
      <explain>文本全半角错误。</explain>
      <paraID>64E24BE6</paraID>
      <start>0</start>
      <end>1</end>
      <status>ignored</status>
      <modifiedWord/>
      <trackRevisions>false</trackRevisions>
    </reviewItem>
    <reviewItem>
      <errorID>d923f32d-99bd-46eb-83fe-59089a00fdde</errorID>
      <errorWord>(</errorWord>
      <group>L1_Format</group>
      <groupName>格式问题</groupName>
      <ability>L2_HalfPunc_CN</ability>
      <abilityName>全半角问题</abilityName>
      <candidateList>
        <item>（</item>
      </candidateList>
      <explain>文本全半角错误。</explain>
      <paraID>7A4932DF</paraID>
      <start>0</start>
      <end>1</end>
      <status>ignored</status>
      <modifiedWord/>
      <trackRevisions>false</trackRevisions>
    </reviewItem>
    <reviewItem>
      <errorID>9f067eb0-672c-4881-a347-234692b4a61e</errorID>
      <errorWord>(</errorWord>
      <group>L1_Format</group>
      <groupName>格式问题</groupName>
      <ability>L2_HalfPunc_CN</ability>
      <abilityName>全半角问题</abilityName>
      <candidateList>
        <item>（</item>
      </candidateList>
      <explain>文本全半角错误。</explain>
      <paraID>3C65BCAA</paraID>
      <start>0</start>
      <end>1</end>
      <status>ignored</status>
      <modifiedWord/>
      <trackRevisions>false</trackRevisions>
    </reviewItem>
    <reviewItem>
      <errorID>29cc9fe9-343b-44cc-9210-82ec5cd3d47e</errorID>
      <errorWord>(</errorWord>
      <group>L1_Format</group>
      <groupName>格式问题</groupName>
      <ability>L2_HalfPunc_CN</ability>
      <abilityName>全半角问题</abilityName>
      <candidateList>
        <item>（</item>
      </candidateList>
      <explain>文本全半角错误。</explain>
      <paraID>5B2D99DE</paraID>
      <start>0</start>
      <end>1</end>
      <status>ignored</status>
      <modifiedWord/>
      <trackRevisions>false</trackRevisions>
    </reviewItem>
    <reviewItem>
      <errorID>12cdea38-dc04-43be-8a11-7a07a71d377b</errorID>
      <errorWord>(</errorWord>
      <group>L1_Format</group>
      <groupName>格式问题</groupName>
      <ability>L2_HalfPunc_CN</ability>
      <abilityName>全半角问题</abilityName>
      <candidateList>
        <item>（</item>
      </candidateList>
      <explain>文本全半角错误。</explain>
      <paraID>79ADEFF2</paraID>
      <start>0</start>
      <end>1</end>
      <status>ignored</status>
      <modifiedWord/>
      <trackRevisions>false</trackRevisions>
    </reviewItem>
    <reviewItem>
      <errorID>297d0466-4dab-48c7-8894-f3d7491487da</errorID>
      <errorWord>(</errorWord>
      <group>L1_Format</group>
      <groupName>格式问题</groupName>
      <ability>L2_HalfPunc_CN</ability>
      <abilityName>全半角问题</abilityName>
      <candidateList>
        <item>（</item>
      </candidateList>
      <explain>文本全半角错误。</explain>
      <paraID>328B16E9</paraID>
      <start>0</start>
      <end>1</end>
      <status>ignored</status>
      <modifiedWord/>
      <trackRevisions>false</trackRevisions>
    </reviewItem>
    <reviewItem>
      <errorID>32c41353-7e23-4542-b613-6e9dc68dde92</errorID>
      <errorWord>(</errorWord>
      <group>L1_Format</group>
      <groupName>格式问题</groupName>
      <ability>L2_HalfPunc_CN</ability>
      <abilityName>全半角问题</abilityName>
      <candidateList>
        <item>（</item>
      </candidateList>
      <explain>文本全半角错误。</explain>
      <paraID>38C7B7E7</paraID>
      <start>0</start>
      <end>1</end>
      <status>ignored</status>
      <modifiedWord/>
      <trackRevisions>false</trackRevisions>
    </reviewItem>
    <reviewItem>
      <errorID>ef4df6b3-d399-48d3-9f79-1a4d249599af</errorID>
      <errorWord>(</errorWord>
      <group>L1_Format</group>
      <groupName>格式问题</groupName>
      <ability>L2_HalfPunc_CN</ability>
      <abilityName>全半角问题</abilityName>
      <candidateList>
        <item>（</item>
      </candidateList>
      <explain>文本全半角错误。</explain>
      <paraID>5ED20206</paraID>
      <start>0</start>
      <end>1</end>
      <status>ignored</status>
      <modifiedWord/>
      <trackRevisions>false</trackRevisions>
    </reviewItem>
    <reviewItem>
      <errorID>16436d68-56d5-435b-b6d4-601f69431af7</errorID>
      <errorWord>(</errorWord>
      <group>L1_Format</group>
      <groupName>格式问题</groupName>
      <ability>L2_HalfPunc_CN</ability>
      <abilityName>全半角问题</abilityName>
      <candidateList>
        <item>（</item>
      </candidateList>
      <explain>文本全半角错误。</explain>
      <paraID>760E1C59</paraID>
      <start>0</start>
      <end>1</end>
      <status>ignored</status>
      <modifiedWord/>
      <trackRevisions>false</trackRevisions>
    </reviewItem>
    <reviewItem>
      <errorID>e8b7beda-3e71-44c6-95ce-529730feb166</errorID>
      <errorWord>(</errorWord>
      <group>L1_Format</group>
      <groupName>格式问题</groupName>
      <ability>L2_HalfPunc_CN</ability>
      <abilityName>全半角问题</abilityName>
      <candidateList>
        <item>（</item>
      </candidateList>
      <explain>文本全半角错误。</explain>
      <paraID>10F9716A</paraID>
      <start>0</start>
      <end>1</end>
      <status>ignored</status>
      <modifiedWord/>
      <trackRevisions>false</trackRevisions>
    </reviewItem>
    <reviewItem>
      <errorID>b3c2c165-b06e-4a90-864c-f360d27a8754</errorID>
      <errorWord>(</errorWord>
      <group>L1_Format</group>
      <groupName>格式问题</groupName>
      <ability>L2_HalfPunc_CN</ability>
      <abilityName>全半角问题</abilityName>
      <candidateList>
        <item>（</item>
      </candidateList>
      <explain>文本全半角错误。</explain>
      <paraID>14A95293</paraID>
      <start>0</start>
      <end>1</end>
      <status>ignored</status>
      <modifiedWord/>
      <trackRevisions>false</trackRevisions>
    </reviewItem>
    <reviewItem>
      <errorID>a47c111c-e65c-4219-b70b-3922ecc49aea</errorID>
      <errorWord>(</errorWord>
      <group>L1_Format</group>
      <groupName>格式问题</groupName>
      <ability>L2_HalfPunc_CN</ability>
      <abilityName>全半角问题</abilityName>
      <candidateList>
        <item>（</item>
      </candidateList>
      <explain>文本全半角错误。</explain>
      <paraID>2D1771AD</paraID>
      <start>0</start>
      <end>1</end>
      <status>ignored</status>
      <modifiedWord/>
      <trackRevisions>false</trackRevisions>
    </reviewItem>
    <reviewItem>
      <errorID>bb1fefb4-0e16-4717-8716-4785b58d7d62</errorID>
      <errorWord>(</errorWord>
      <group>L1_Format</group>
      <groupName>格式问题</groupName>
      <ability>L2_HalfPunc_CN</ability>
      <abilityName>全半角问题</abilityName>
      <candidateList>
        <item>（</item>
      </candidateList>
      <explain>文本全半角错误。</explain>
      <paraID>3C82AC60</paraID>
      <start>0</start>
      <end>1</end>
      <status>ignored</status>
      <modifiedWord/>
      <trackRevisions>false</trackRevisions>
    </reviewItem>
    <reviewItem>
      <errorID>34752719-aac1-446a-bdca-22a3ff8a3439</errorID>
      <errorWord>(</errorWord>
      <group>L1_Format</group>
      <groupName>格式问题</groupName>
      <ability>L2_HalfPunc_CN</ability>
      <abilityName>全半角问题</abilityName>
      <candidateList>
        <item>（</item>
      </candidateList>
      <explain>文本全半角错误。</explain>
      <paraID>257F9CE1</paraID>
      <start>0</start>
      <end>1</end>
      <status>ignored</status>
      <modifiedWord/>
      <trackRevisions>false</trackRevisions>
    </reviewItem>
    <reviewItem>
      <errorID>568a37e8-f923-4885-869f-f0a0e720ec6c</errorID>
      <errorWord>(</errorWord>
      <group>L1_Format</group>
      <groupName>格式问题</groupName>
      <ability>L2_HalfPunc_CN</ability>
      <abilityName>全半角问题</abilityName>
      <candidateList>
        <item>（</item>
      </candidateList>
      <explain>文本全半角错误。</explain>
      <paraID>4D1ECC50</paraID>
      <start>0</start>
      <end>1</end>
      <status>ignored</status>
      <modifiedWord/>
      <trackRevisions>false</trackRevisions>
    </reviewItem>
    <reviewItem>
      <errorID>44bd69b1-35e0-48ef-93c9-3fdb34e0eb63</errorID>
      <errorWord>(</errorWord>
      <group>L1_Format</group>
      <groupName>格式问题</groupName>
      <ability>L2_HalfPunc_CN</ability>
      <abilityName>全半角问题</abilityName>
      <candidateList>
        <item>（</item>
      </candidateList>
      <explain>文本全半角错误。</explain>
      <paraID>36F12D6A</paraID>
      <start>0</start>
      <end>1</end>
      <status>ignored</status>
      <modifiedWord/>
      <trackRevisions>false</trackRevisions>
    </reviewItem>
    <reviewItem>
      <errorID>9368781e-869a-4811-8492-119eeb2979f8</errorID>
      <errorWord>(</errorWord>
      <group>L1_Format</group>
      <groupName>格式问题</groupName>
      <ability>L2_HalfPunc_CN</ability>
      <abilityName>全半角问题</abilityName>
      <candidateList>
        <item>（</item>
      </candidateList>
      <explain>文本全半角错误。</explain>
      <paraID>1AD10CEB</paraID>
      <start>0</start>
      <end>1</end>
      <status>ignored</status>
      <modifiedWord/>
      <trackRevisions>false</trackRevisions>
    </reviewItem>
    <reviewItem>
      <errorID>00ace8af-24f6-4d1e-ada1-c59c5c9b30dd</errorID>
      <errorWord>(</errorWord>
      <group>L1_Format</group>
      <groupName>格式问题</groupName>
      <ability>L2_HalfPunc_CN</ability>
      <abilityName>全半角问题</abilityName>
      <candidateList>
        <item>（</item>
      </candidateList>
      <explain>文本全半角错误。</explain>
      <paraID>653A6FCE</paraID>
      <start>0</start>
      <end>1</end>
      <status>ignored</status>
      <modifiedWord/>
      <trackRevisions>false</trackRevisions>
    </reviewItem>
    <reviewItem>
      <errorID>a8cbfb0e-19d9-4f6f-a36f-3ded8211b084</errorID>
      <errorWord>(</errorWord>
      <group>L1_Format</group>
      <groupName>格式问题</groupName>
      <ability>L2_HalfPunc_CN</ability>
      <abilityName>全半角问题</abilityName>
      <candidateList>
        <item>（</item>
      </candidateList>
      <explain>文本全半角错误。</explain>
      <paraID>27446AFF</paraID>
      <start>115</start>
      <end>116</end>
      <status>ignored</status>
      <modifiedWord/>
      <trackRevisions>false</trackRevisions>
    </reviewItem>
    <reviewItem>
      <errorID>201d55d1-5524-47ff-8d85-6a9a9336c726</errorID>
      <errorWord>(</errorWord>
      <group>L1_Format</group>
      <groupName>格式问题</groupName>
      <ability>L2_HalfPunc_CN</ability>
      <abilityName>全半角问题</abilityName>
      <candidateList>
        <item>（</item>
      </candidateList>
      <explain>文本全半角错误。</explain>
      <paraID>6FB0A54F</paraID>
      <start>143</start>
      <end>144</end>
      <status>ignored</status>
      <modifiedWord/>
      <trackRevisions>false</trackRevisions>
    </reviewItem>
    <reviewItem>
      <errorID>6fed5606-3d98-40de-a64b-baf2baf081f2</errorID>
      <errorWord>(</errorWord>
      <group>L1_Format</group>
      <groupName>格式问题</groupName>
      <ability>L2_HalfPunc_CN</ability>
      <abilityName>全半角问题</abilityName>
      <candidateList>
        <item>（</item>
      </candidateList>
      <explain>文本全半角错误。</explain>
      <paraID>7A2DB526</paraID>
      <start>46</start>
      <end>47</end>
      <status>ignored</status>
      <modifiedWord/>
      <trackRevisions>false</trackRevisions>
    </reviewItem>
    <reviewItem>
      <errorID>3c0a88c8-cb8a-40f2-b192-e3f5e0cce03a</errorID>
      <errorWord>(</errorWord>
      <group>L1_Format</group>
      <groupName>格式问题</groupName>
      <ability>L2_HalfPunc_CN</ability>
      <abilityName>全半角问题</abilityName>
      <candidateList>
        <item>（</item>
      </candidateList>
      <explain>文本全半角错误。</explain>
      <paraID>7A2DB526</paraID>
      <start>70</start>
      <end>71</end>
      <status>ignored</status>
      <modifiedWord/>
      <trackRevisions>false</trackRevisions>
    </reviewItem>
    <reviewItem>
      <errorID>073c1b96-e5bf-4876-b018-ed64d1a03f74</errorID>
      <errorWord>(</errorWord>
      <group>L1_Format</group>
      <groupName>格式问题</groupName>
      <ability>L2_HalfPunc_CN</ability>
      <abilityName>全半角问题</abilityName>
      <candidateList>
        <item>（</item>
      </candidateList>
      <explain>文本全半角错误。</explain>
      <paraID>7A2DB526</paraID>
      <start>93</start>
      <end>94</end>
      <status>ignored</status>
      <modifiedWord/>
      <trackRevisions>false</trackRevisions>
    </reviewItem>
    <reviewItem>
      <errorID>e2328cb8-60ac-4bab-9afe-4e7e4937b6dc</errorID>
      <errorWord>(</errorWord>
      <group>L1_Format</group>
      <groupName>格式问题</groupName>
      <ability>L2_HalfPunc_CN</ability>
      <abilityName>全半角问题</abilityName>
      <candidateList>
        <item>（</item>
      </candidateList>
      <explain>文本全半角错误。</explain>
      <paraID>7A2DB526</paraID>
      <start>114</start>
      <end>115</end>
      <status>ignored</status>
      <modifiedWord/>
      <trackRevisions>false</trackRevisions>
    </reviewItem>
    <reviewItem>
      <errorID>07ae0e4a-56d9-40ed-853a-2450291f6b8a</errorID>
      <errorWord>(</errorWord>
      <group>L1_Format</group>
      <groupName>格式问题</groupName>
      <ability>L2_HalfPunc_CN</ability>
      <abilityName>全半角问题</abilityName>
      <candidateList>
        <item>（</item>
      </candidateList>
      <explain>文本全半角错误。</explain>
      <paraID>7A2DB526</paraID>
      <start>124</start>
      <end>125</end>
      <status>ignored</status>
      <modifiedWord/>
      <trackRevisions>false</trackRevisions>
    </reviewItem>
    <reviewItem>
      <errorID>64abfc15-97a6-4779-8131-f2aa93aa2c7b</errorID>
      <errorWord>(</errorWord>
      <group>L1_Format</group>
      <groupName>格式问题</groupName>
      <ability>L2_HalfPunc_CN</ability>
      <abilityName>全半角问题</abilityName>
      <candidateList>
        <item>（</item>
      </candidateList>
      <explain>文本全半角错误。</explain>
      <paraID>2D6287E1</paraID>
      <start>72</start>
      <end>73</end>
      <status>ignored</status>
      <modifiedWord/>
      <trackRevisions>false</trackRevisions>
    </reviewItem>
    <reviewItem>
      <errorID>a8f4fb82-4245-4c76-8474-f6a7bef113c0</errorID>
      <errorWord>(</errorWord>
      <group>L1_Format</group>
      <groupName>格式问题</groupName>
      <ability>L2_HalfPunc_CN</ability>
      <abilityName>全半角问题</abilityName>
      <candidateList>
        <item>（</item>
      </candidateList>
      <explain>文本全半角错误。</explain>
      <paraID>4708CA76</paraID>
      <start>71</start>
      <end>72</end>
      <status>ignored</status>
      <modifiedWord/>
      <trackRevisions>false</trackRevisions>
    </reviewItem>
    <reviewItem>
      <errorID>8ed40eb4-6d62-46ae-9d42-7f93f9ad81b0</errorID>
      <errorWord>./</errorWord>
      <group>L1_Punc</group>
      <groupName>标点问题</groupName>
      <ability>L2_Punc_CN</ability>
      <abilityName>标点符号问题</abilityName>
      <candidateList>
        <item>.</item>
      </candidateList>
      <explain/>
      <paraID> DF69F42</paraID>
      <start>37</start>
      <end>39</end>
      <status>ignored</status>
      <modifiedWord/>
      <trackRevisions>false</trackRevisions>
    </reviewItem>
    <reviewItem>
      <errorID>f6da77f2-cdde-48cb-bb19-47d3550bd6ee</errorID>
      <errorWord>./</errorWord>
      <group>L1_Punc</group>
      <groupName>标点问题</groupName>
      <ability>L2_Punc_CN</ability>
      <abilityName>标点符号问题</abilityName>
      <candidateList>
        <item>.</item>
      </candidateList>
      <explain/>
      <paraID> DF69F42</paraID>
      <start>59</start>
      <end>61</end>
      <status>ignored</status>
      <modifiedWord/>
      <trackRevisions>false</trackRevisions>
    </reviewItem>
    <reviewItem>
      <errorID>292b0363-638d-4113-9314-234835d98466</errorID>
      <errorWord>./</errorWord>
      <group>L1_Punc</group>
      <groupName>标点问题</groupName>
      <ability>L2_Punc_CN</ability>
      <abilityName>标点符号问题</abilityName>
      <candidateList>
        <item>.</item>
      </candidateList>
      <explain/>
      <paraID> DF69F42</paraID>
      <start>89</start>
      <end>91</end>
      <status>ignored</status>
      <modifiedWord/>
      <trackRevisions>false</trackRevisions>
    </reviewItem>
    <reviewItem>
      <errorID>8db874f8-e539-4483-b897-3fb0cd1ab254</errorID>
      <errorWord>(</errorWord>
      <group>L1_Format</group>
      <groupName>格式问题</groupName>
      <ability>L2_HalfPunc_CN</ability>
      <abilityName>全半角问题</abilityName>
      <candidateList>
        <item>（</item>
      </candidateList>
      <explain>文本全半角错误。</explain>
      <paraID> DF69F42</paraID>
      <start>96</start>
      <end>97</end>
      <status>ignored</status>
      <modifiedWord/>
      <trackRevisions>false</trackRevisions>
    </reviewItem>
    <reviewItem>
      <errorID>356da802-53ca-4079-ae98-dc5fcd9cdc4d</errorID>
      <errorWord>(</errorWord>
      <group>L1_Format</group>
      <groupName>格式问题</groupName>
      <ability>L2_HalfPunc_CN</ability>
      <abilityName>全半角问题</abilityName>
      <candidateList>
        <item>（</item>
      </candidateList>
      <explain>文本全半角错误。</explain>
      <paraID>7AD790E1</paraID>
      <start>3</start>
      <end>4</end>
      <status>ignored</status>
      <modifiedWord/>
      <trackRevisions>false</trackRevisions>
    </reviewItem>
    <reviewItem>
      <errorID>32606456-6a8a-4096-a4c4-a0b2c8319ed3</errorID>
      <errorWord>II类</errorWord>
      <group>L1_Knowledge</group>
      <groupName>知识性问题</groupName>
      <ability>L2_Knowledge</ability>
      <abilityName>其他知识</abilityName>
      <candidateList>
        <item>Ⅱ类</item>
      </candidateList>
      <explain>中文环境下罗马数字格式错误。</explain>
      <paraID>7AD790E1</paraID>
      <start>4</start>
      <end>7</end>
      <status>unmodified</status>
      <modifiedWord/>
      <trackRevisions>false</trackRevisions>
    </reviewItem>
    <reviewItem>
      <errorID>6a2f8b4b-ee63-4a86-9be7-fd304c4b2b42</errorID>
      <errorWord>(</errorWord>
      <group>L1_Format</group>
      <groupName>格式问题</groupName>
      <ability>L2_HalfPunc_CN</ability>
      <abilityName>全半角问题</abilityName>
      <candidateList>
        <item>（</item>
      </candidateList>
      <explain>文本全半角错误。</explain>
      <paraID>10CD6FB9</paraID>
      <start>0</start>
      <end>1</end>
      <status>ignored</status>
      <modifiedWord/>
      <trackRevisions>false</trackRevisions>
    </reviewItem>
    <reviewItem>
      <errorID>4a21507b-8b42-414c-8868-87886a5aa453</errorID>
      <errorWord>(</errorWord>
      <group>L1_Format</group>
      <groupName>格式问题</groupName>
      <ability>L2_HalfPunc_CN</ability>
      <abilityName>全半角问题</abilityName>
      <candidateList>
        <item>（</item>
      </candidateList>
      <explain>文本全半角错误。</explain>
      <paraID>5227207E</paraID>
      <start>13</start>
      <end>14</end>
      <status>ignored</status>
      <modifiedWord/>
      <trackRevisions>false</trackRevisions>
    </reviewItem>
    <reviewItem>
      <errorID>7197a59a-20a2-4c1f-956f-66c69895dcd9</errorID>
      <errorWord>(</errorWord>
      <group>L1_Format</group>
      <groupName>格式问题</groupName>
      <ability>L2_HalfPunc_CN</ability>
      <abilityName>全半角问题</abilityName>
      <candidateList>
        <item>（</item>
      </candidateList>
      <explain>文本全半角错误。</explain>
      <paraID>288170B3</paraID>
      <start>51</start>
      <end>52</end>
      <status>ignored</status>
      <modifiedWord/>
      <trackRevisions>false</trackRevisions>
    </reviewItem>
    <reviewItem>
      <errorID>104671eb-80b4-4102-a5c5-aa4dc257a3b9</errorID>
      <errorWord>(</errorWord>
      <group>L1_Format</group>
      <groupName>格式问题</groupName>
      <ability>L2_HalfPunc_CN</ability>
      <abilityName>全半角问题</abilityName>
      <candidateList>
        <item>（</item>
      </candidateList>
      <explain>文本全半角错误。</explain>
      <paraID> 48CFA8B</paraID>
      <start>10</start>
      <end>11</end>
      <status>ignored</status>
      <modifiedWord/>
      <trackRevisions>false</trackRevisions>
    </reviewItem>
    <reviewItem>
      <errorID>35220a9a-46f8-4306-94c6-a64ec390aa75</errorID>
      <errorWord>(</errorWord>
      <group>L1_Format</group>
      <groupName>格式问题</groupName>
      <ability>L2_HalfPunc_CN</ability>
      <abilityName>全半角问题</abilityName>
      <candidateList>
        <item>（</item>
      </candidateList>
      <explain>文本全半角错误。</explain>
      <paraID> 48CFA8B</paraID>
      <start>34</start>
      <end>35</end>
      <status>ignored</status>
      <modifiedWord/>
      <trackRevisions>false</trackRevisions>
    </reviewItem>
    <reviewItem>
      <errorID>f29e1d2c-873a-492a-affd-5f878e2cbf75</errorID>
      <errorWord>(</errorWord>
      <group>L1_Format</group>
      <groupName>格式问题</groupName>
      <ability>L2_HalfPunc_CN</ability>
      <abilityName>全半角问题</abilityName>
      <candidateList>
        <item>（</item>
      </candidateList>
      <explain>文本全半角错误。</explain>
      <paraID>731BD5FD</paraID>
      <start>34</start>
      <end>35</end>
      <status>ignored</status>
      <modifiedWord/>
      <trackRevisions>false</trackRevisions>
    </reviewItem>
    <reviewItem>
      <errorID>34e3a8ee-2635-4054-a460-d033cd55e517</errorID>
      <errorWord>(</errorWord>
      <group>L1_Format</group>
      <groupName>格式问题</groupName>
      <ability>L2_HalfPunc_CN</ability>
      <abilityName>全半角问题</abilityName>
      <candidateList>
        <item>（</item>
      </candidateList>
      <explain>文本全半角错误。</explain>
      <paraID>731BD5FD</paraID>
      <start>51</start>
      <end>52</end>
      <status>ignored</status>
      <modifiedWord/>
      <trackRevisions>false</trackRevisions>
    </reviewItem>
    <reviewItem>
      <errorID>b7fc7dce-c0c2-4cc7-9ed6-bca2de1b4c3f</errorID>
      <errorWord>(</errorWord>
      <group>L1_Format</group>
      <groupName>格式问题</groupName>
      <ability>L2_HalfPunc_CN</ability>
      <abilityName>全半角问题</abilityName>
      <candidateList>
        <item>（</item>
      </candidateList>
      <explain>文本全半角错误。</explain>
      <paraID>731BD5FD</paraID>
      <start>76</start>
      <end>77</end>
      <status>ignored</status>
      <modifiedWord/>
      <trackRevisions>false</trackRevisions>
    </reviewItem>
    <reviewItem>
      <errorID>cb982d77-22f6-4020-95f9-3fa138c3de3b</errorID>
      <errorWord>(</errorWord>
      <group>L1_Format</group>
      <groupName>格式问题</groupName>
      <ability>L2_HalfPunc_CN</ability>
      <abilityName>全半角问题</abilityName>
      <candidateList>
        <item>（</item>
      </candidateList>
      <explain>文本全半角错误。</explain>
      <paraID>731BD5FD</paraID>
      <start>94</start>
      <end>95</end>
      <status>ignored</status>
      <modifiedWord/>
      <trackRevisions>false</trackRevisions>
    </reviewItem>
    <reviewItem>
      <errorID>e2ea8864-455e-474e-91a4-2eb9b84916ba</errorID>
      <errorWord>(</errorWord>
      <group>L1_Format</group>
      <groupName>格式问题</groupName>
      <ability>L2_HalfPunc_CN</ability>
      <abilityName>全半角问题</abilityName>
      <candidateList>
        <item>（</item>
      </candidateList>
      <explain>文本全半角错误。</explain>
      <paraID>56F985AD</paraID>
      <start>84</start>
      <end>85</end>
      <status>ignored</status>
      <modifiedWord/>
      <trackRevisions>false</trackRevisions>
    </reviewItem>
    <reviewItem>
      <errorID>7b36ad63-7527-43c4-926e-3c88b79fc612</errorID>
      <errorWord>(</errorWord>
      <group>L1_Format</group>
      <groupName>格式问题</groupName>
      <ability>L2_HalfPunc_CN</ability>
      <abilityName>全半角问题</abilityName>
      <candidateList>
        <item>（</item>
      </candidateList>
      <explain>文本全半角错误。</explain>
      <paraID>56F985AD</paraID>
      <start>103</start>
      <end>104</end>
      <status>ignored</status>
      <modifiedWord/>
      <trackRevisions>false</trackRevisions>
    </reviewItem>
    <reviewItem>
      <errorID>679d7568-2942-4f2d-842b-99383632e2d8</errorID>
      <errorWord>(</errorWord>
      <group>L1_Format</group>
      <groupName>格式问题</groupName>
      <ability>L2_HalfPunc_CN</ability>
      <abilityName>全半角问题</abilityName>
      <candidateList>
        <item>（</item>
      </candidateList>
      <explain>文本全半角错误。</explain>
      <paraID>6D3F752E</paraID>
      <start>31</start>
      <end>32</end>
      <status>ignored</status>
      <modifiedWord/>
      <trackRevisions>false</trackRevisions>
    </reviewItem>
    <reviewItem>
      <errorID>08a4e570-8425-4024-b38f-133799915f3e</errorID>
      <errorWord>(</errorWord>
      <group>L1_Format</group>
      <groupName>格式问题</groupName>
      <ability>L2_HalfPunc_CN</ability>
      <abilityName>全半角问题</abilityName>
      <candidateList>
        <item>（</item>
      </candidateList>
      <explain>文本全半角错误。</explain>
      <paraID>6D3F752E</paraID>
      <start>42</start>
      <end>43</end>
      <status>ignored</status>
      <modifiedWord/>
      <trackRevisions>false</trackRevisions>
    </reviewItem>
    <reviewItem>
      <errorID>79a34879-db40-4db6-9809-7988d13c8550</errorID>
      <errorWord>(</errorWord>
      <group>L1_Format</group>
      <groupName>格式问题</groupName>
      <ability>L2_HalfPunc_CN</ability>
      <abilityName>全半角问题</abilityName>
      <candidateList>
        <item>（</item>
      </candidateList>
      <explain>文本全半角错误。</explain>
      <paraID>6D3F752E</paraID>
      <start>65</start>
      <end>66</end>
      <status>ignored</status>
      <modifiedWord/>
      <trackRevisions>false</trackRevisions>
    </reviewItem>
    <reviewItem>
      <errorID>76ce4b43-9c18-48ef-bb6e-2639f3567efd</errorID>
      <errorWord>(</errorWord>
      <group>L1_Format</group>
      <groupName>格式问题</groupName>
      <ability>L2_HalfPunc_CN</ability>
      <abilityName>全半角问题</abilityName>
      <candidateList>
        <item>（</item>
      </candidateList>
      <explain>文本全半角错误。</explain>
      <paraID>6D3F752E</paraID>
      <start>86</start>
      <end>87</end>
      <status>ignored</status>
      <modifiedWord/>
      <trackRevisions>false</trackRevisions>
    </reviewItem>
    <reviewItem>
      <errorID>31750c59-6c50-412c-8ff9-96ef2d95b59e</errorID>
      <errorWord>(</errorWord>
      <group>L1_Format</group>
      <groupName>格式问题</groupName>
      <ability>L2_HalfPunc_CN</ability>
      <abilityName>全半角问题</abilityName>
      <candidateList>
        <item>（</item>
      </candidateList>
      <explain>文本全半角错误。</explain>
      <paraID>6D3F752E</paraID>
      <start>119</start>
      <end>120</end>
      <status>ignored</status>
      <modifiedWord/>
      <trackRevisions>false</trackRevisions>
    </reviewItem>
    <reviewItem>
      <errorID>7324f08f-330a-4c31-be85-6ffdcbfec65f</errorID>
      <errorWord>(</errorWord>
      <group>L1_Format</group>
      <groupName>格式问题</groupName>
      <ability>L2_HalfPunc_CN</ability>
      <abilityName>全半角问题</abilityName>
      <candidateList>
        <item>（</item>
      </candidateList>
      <explain>文本全半角错误。</explain>
      <paraID>6D3F752E</paraID>
      <start>153</start>
      <end>154</end>
      <status>ignored</status>
      <modifiedWord/>
      <trackRevisions>false</trackRevisions>
    </reviewItem>
    <reviewItem>
      <errorID>47ab688a-aac6-4dc4-ae97-7c972abf2c87</errorID>
      <errorWord>(</errorWord>
      <group>L1_Format</group>
      <groupName>格式问题</groupName>
      <ability>L2_HalfPunc_CN</ability>
      <abilityName>全半角问题</abilityName>
      <candidateList>
        <item>（</item>
      </candidateList>
      <explain>文本全半角错误。</explain>
      <paraID>6D3F752E</paraID>
      <start>180</start>
      <end>181</end>
      <status>ignored</status>
      <modifiedWord/>
      <trackRevisions>false</trackRevisions>
    </reviewItem>
    <reviewItem>
      <errorID>2a5e6993-ea08-45f1-b848-5fe963e92c7e</errorID>
      <errorWord>./</errorWord>
      <group>L1_Punc</group>
      <groupName>标点问题</groupName>
      <ability>L2_Punc_CN</ability>
      <abilityName>标点符号问题</abilityName>
      <candidateList>
        <item>.</item>
      </candidateList>
      <explain/>
      <paraID>48508BFB</paraID>
      <start>42</start>
      <end>44</end>
      <status>ignored</status>
      <modifiedWord/>
      <trackRevisions>false</trackRevisions>
    </reviewItem>
    <reviewItem>
      <errorID>d8166e57-db84-4272-bd2c-b7c05016c82f</errorID>
      <errorWord>./</errorWord>
      <group>L1_Punc</group>
      <groupName>标点问题</groupName>
      <ability>L2_Punc_CN</ability>
      <abilityName>标点符号问题</abilityName>
      <candidateList>
        <item>.</item>
      </candidateList>
      <explain/>
      <paraID>48508BFB</paraID>
      <start>56</start>
      <end>58</end>
      <status>ignored</status>
      <modifiedWord/>
      <trackRevisions>false</trackRevisions>
    </reviewItem>
    <reviewItem>
      <errorID>1d82ae5f-a1b6-4ab1-96ae-15413755e740</errorID>
      <errorWord>(</errorWord>
      <group>L1_Format</group>
      <groupName>格式问题</groupName>
      <ability>L2_HalfPunc_CN</ability>
      <abilityName>全半角问题</abilityName>
      <candidateList>
        <item>（</item>
      </candidateList>
      <explain>文本全半角错误。</explain>
      <paraID>48508BFB</paraID>
      <start>59</start>
      <end>60</end>
      <status>ignored</status>
      <modifiedWord/>
      <trackRevisions>false</trackRevisions>
    </reviewItem>
    <reviewItem>
      <errorID>6de28919-c76f-48e1-b5fe-de9c24228491</errorID>
      <errorWord>(</errorWord>
      <group>L1_Format</group>
      <groupName>格式问题</groupName>
      <ability>L2_HalfPunc_CN</ability>
      <abilityName>全半角问题</abilityName>
      <candidateList>
        <item>（</item>
      </candidateList>
      <explain>文本全半角错误。</explain>
      <paraID>2C99C164</paraID>
      <start>56</start>
      <end>57</end>
      <status>ignored</status>
      <modifiedWord/>
      <trackRevisions>false</trackRevisions>
    </reviewItem>
    <reviewItem>
      <errorID>6790c894-28ab-4a25-b6a4-d33cbd34e9f2</errorID>
      <errorWord>(</errorWord>
      <group>L1_Format</group>
      <groupName>格式问题</groupName>
      <ability>L2_HalfPunc_CN</ability>
      <abilityName>全半角问题</abilityName>
      <candidateList>
        <item>（</item>
      </candidateList>
      <explain>文本全半角错误。</explain>
      <paraID>2083BCC1</paraID>
      <start>29</start>
      <end>30</end>
      <status>ignored</status>
      <modifiedWord/>
      <trackRevisions>false</trackRevisions>
    </reviewItem>
    <reviewItem>
      <errorID>49822514-85f5-4e43-b873-c9742aebb5a0</errorID>
      <errorWord>(</errorWord>
      <group>L1_Format</group>
      <groupName>格式问题</groupName>
      <ability>L2_HalfPunc_CN</ability>
      <abilityName>全半角问题</abilityName>
      <candidateList>
        <item>（</item>
      </candidateList>
      <explain>文本全半角错误。</explain>
      <paraID>2083BCC1</paraID>
      <start>45</start>
      <end>46</end>
      <status>ignored</status>
      <modifiedWord/>
      <trackRevisions>false</trackRevisions>
    </reviewItem>
    <reviewItem>
      <errorID>c0bd54f6-e2fe-49b9-be12-03a3ea3c5286</errorID>
      <errorWord>(</errorWord>
      <group>L1_Format</group>
      <groupName>格式问题</groupName>
      <ability>L2_HalfPunc_CN</ability>
      <abilityName>全半角问题</abilityName>
      <candidateList>
        <item>（</item>
      </candidateList>
      <explain>文本全半角错误。</explain>
      <paraID>2083BCC1</paraID>
      <start>61</start>
      <end>62</end>
      <status>ignored</status>
      <modifiedWord/>
      <trackRevisions>false</trackRevisions>
    </reviewItem>
    <reviewItem>
      <errorID>bf28da9c-7011-40fa-b947-c55eba8e9e17</errorID>
      <errorWord>(</errorWord>
      <group>L1_Format</group>
      <groupName>格式问题</groupName>
      <ability>L2_HalfPunc_CN</ability>
      <abilityName>全半角问题</abilityName>
      <candidateList>
        <item>（</item>
      </candidateList>
      <explain>文本全半角错误。</explain>
      <paraID>2083BCC1</paraID>
      <start>85</start>
      <end>86</end>
      <status>ignored</status>
      <modifiedWord/>
      <trackRevisions>false</trackRevisions>
    </reviewItem>
    <reviewItem>
      <errorID>503d25ff-5dbe-4842-a1fb-404b0c7fe6e6</errorID>
      <errorWord>(</errorWord>
      <group>L1_Format</group>
      <groupName>格式问题</groupName>
      <ability>L2_HalfPunc_CN</ability>
      <abilityName>全半角问题</abilityName>
      <candidateList>
        <item>（</item>
      </candidateList>
      <explain>文本全半角错误。</explain>
      <paraID>2083BCC1</paraID>
      <start>142</start>
      <end>143</end>
      <status>ignored</status>
      <modifiedWord/>
      <trackRevisions>false</trackRevisions>
    </reviewItem>
    <reviewItem>
      <errorID>725cc423-032f-4a9f-b96c-e3000e2e1f45</errorID>
      <errorWord>(</errorWord>
      <group>L1_Format</group>
      <groupName>格式问题</groupName>
      <ability>L2_HalfPunc_CN</ability>
      <abilityName>全半角问题</abilityName>
      <candidateList>
        <item>（</item>
      </candidateList>
      <explain>文本全半角错误。</explain>
      <paraID>2083BCC1</paraID>
      <start>178</start>
      <end>179</end>
      <status>ignored</status>
      <modifiedWord/>
      <trackRevisions>false</trackRevisions>
    </reviewItem>
    <reviewItem>
      <errorID>1596b022-f942-4a54-adae-6eb773a73fd2</errorID>
      <errorWord>(</errorWord>
      <group>L1_Format</group>
      <groupName>格式问题</groupName>
      <ability>L2_HalfPunc_CN</ability>
      <abilityName>全半角问题</abilityName>
      <candidateList>
        <item>（</item>
      </candidateList>
      <explain>文本全半角错误。</explain>
      <paraID>5CC27933</paraID>
      <start>26</start>
      <end>27</end>
      <status>ignored</status>
      <modifiedWord/>
      <trackRevisions>false</trackRevisions>
    </reviewItem>
    <reviewItem>
      <errorID>c8376954-f279-45ec-9dbe-6b0bd668b430</errorID>
      <errorWord>(</errorWord>
      <group>L1_Format</group>
      <groupName>格式问题</groupName>
      <ability>L2_HalfPunc_CN</ability>
      <abilityName>全半角问题</abilityName>
      <candidateList>
        <item>（</item>
      </candidateList>
      <explain>文本全半角错误。</explain>
      <paraID>5CC27933</paraID>
      <start>37</start>
      <end>38</end>
      <status>ignored</status>
      <modifiedWord/>
      <trackRevisions>false</trackRevisions>
    </reviewItem>
    <reviewItem>
      <errorID>6ab7e89b-8941-4aff-b802-e2a942dc7d14</errorID>
      <errorWord>(</errorWord>
      <group>L1_Format</group>
      <groupName>格式问题</groupName>
      <ability>L2_HalfPunc_CN</ability>
      <abilityName>全半角问题</abilityName>
      <candidateList>
        <item>（</item>
      </candidateList>
      <explain>文本全半角错误。</explain>
      <paraID>5CC27933</paraID>
      <start>65</start>
      <end>66</end>
      <status>ignored</status>
      <modifiedWord/>
      <trackRevisions>false</trackRevisions>
    </reviewItem>
    <reviewItem>
      <errorID>47480727-c451-482e-ac3a-a89e658c245d</errorID>
      <errorWord>(</errorWord>
      <group>L1_Format</group>
      <groupName>格式问题</groupName>
      <ability>L2_HalfPunc_CN</ability>
      <abilityName>全半角问题</abilityName>
      <candidateList>
        <item>（</item>
      </candidateList>
      <explain>文本全半角错误。</explain>
      <paraID>5CC27933</paraID>
      <start>87</start>
      <end>88</end>
      <status>ignored</status>
      <modifiedWord/>
      <trackRevisions>false</trackRevisions>
    </reviewItem>
    <reviewItem>
      <errorID>b51d60d3-0d94-464f-ad74-be00fa38788c</errorID>
      <errorWord>(</errorWord>
      <group>L1_Format</group>
      <groupName>格式问题</groupName>
      <ability>L2_HalfPunc_CN</ability>
      <abilityName>全半角问题</abilityName>
      <candidateList>
        <item>（</item>
      </candidateList>
      <explain>文本全半角错误。</explain>
      <paraID>5CC27933</paraID>
      <start>114</start>
      <end>115</end>
      <status>ignored</status>
      <modifiedWord/>
      <trackRevisions>false</trackRevisions>
    </reviewItem>
    <reviewItem>
      <errorID>1ed2ab67-e04c-4949-b317-851c899975e1</errorID>
      <errorWord>(</errorWord>
      <group>L1_Format</group>
      <groupName>格式问题</groupName>
      <ability>L2_HalfPunc_CN</ability>
      <abilityName>全半角问题</abilityName>
      <candidateList>
        <item>（</item>
      </candidateList>
      <explain>文本全半角错误。</explain>
      <paraID>5CC27933</paraID>
      <start>148</start>
      <end>149</end>
      <status>ignored</status>
      <modifiedWord/>
      <trackRevisions>false</trackRevisions>
    </reviewItem>
    <reviewItem>
      <errorID>58ee7f3c-f589-4bf8-af8b-23290644694d</errorID>
      <errorWord>./</errorWord>
      <group>L1_Punc</group>
      <groupName>标点问题</groupName>
      <ability>L2_Punc_CN</ability>
      <abilityName>标点符号问题</abilityName>
      <candidateList>
        <item>.</item>
      </candidateList>
      <explain/>
      <paraID>7CD5EB8D</paraID>
      <start>37</start>
      <end>39</end>
      <status>ignored</status>
      <modifiedWord/>
      <trackRevisions>false</trackRevisions>
    </reviewItem>
    <reviewItem>
      <errorID>fe6014ae-0c10-4c7d-a630-98869cc33032</errorID>
      <errorWord>./</errorWord>
      <group>L1_Punc</group>
      <groupName>标点问题</groupName>
      <ability>L2_Punc_CN</ability>
      <abilityName>标点符号问题</abilityName>
      <candidateList>
        <item>.</item>
      </candidateList>
      <explain/>
      <paraID>7CD5EB8D</paraID>
      <start>51</start>
      <end>53</end>
      <status>ignored</status>
      <modifiedWord/>
      <trackRevisions>false</trackRevisions>
    </reviewItem>
    <reviewItem>
      <errorID>990e506a-6df3-4df7-b953-7a9c98cb1f13</errorID>
      <errorWord>(</errorWord>
      <group>L1_Format</group>
      <groupName>格式问题</groupName>
      <ability>L2_HalfPunc_CN</ability>
      <abilityName>全半角问题</abilityName>
      <candidateList>
        <item>（</item>
      </candidateList>
      <explain>文本全半角错误。</explain>
      <paraID>7CD5EB8D</paraID>
      <start>55</start>
      <end>56</end>
      <status>ignored</status>
      <modifiedWord/>
      <trackRevisions>false</trackRevisions>
    </reviewItem>
    <reviewItem>
      <errorID>5bd6de2a-f15c-46d9-87da-53da22f1ad11</errorID>
      <errorWord>(</errorWord>
      <group>L1_Format</group>
      <groupName>格式问题</groupName>
      <ability>L2_HalfPunc_CN</ability>
      <abilityName>全半角问题</abilityName>
      <candidateList>
        <item>（</item>
      </candidateList>
      <explain>文本全半角错误。</explain>
      <paraID>4EEC8654</paraID>
      <start>62</start>
      <end>63</end>
      <status>ignored</status>
      <modifiedWord/>
      <trackRevisions>false</trackRevisions>
    </reviewItem>
    <reviewItem>
      <errorID>dc03e555-7a60-4b6e-bb1d-03f58126cb35</errorID>
      <errorWord>(</errorWord>
      <group>L1_Format</group>
      <groupName>格式问题</groupName>
      <ability>L2_HalfPunc_CN</ability>
      <abilityName>全半角问题</abilityName>
      <candidateList>
        <item>（</item>
      </candidateList>
      <explain>文本全半角错误。</explain>
      <paraID>589AEAA6</paraID>
      <start>46</start>
      <end>47</end>
      <status>ignored</status>
      <modifiedWord/>
      <trackRevisions>false</trackRevisions>
    </reviewItem>
    <reviewItem>
      <errorID>82a4a0a9-5d0c-4c7c-ac0b-57c0d544dafb</errorID>
      <errorWord>(</errorWord>
      <group>L1_Format</group>
      <groupName>格式问题</groupName>
      <ability>L2_HalfPunc_CN</ability>
      <abilityName>全半角问题</abilityName>
      <candidateList>
        <item>（</item>
      </candidateList>
      <explain>文本全半角错误。</explain>
      <paraID> 766D74A</paraID>
      <start>143</start>
      <end>144</end>
      <status>ignored</status>
      <modifiedWord/>
      <trackRevisions>false</trackRevisions>
    </reviewItem>
    <reviewItem>
      <errorID>9cc00da3-e490-4c01-815e-f22eed23340b</errorID>
      <errorWord>来自于</errorWord>
      <group>L1_Grammar</group>
      <groupName>语法问题</groupName>
      <ability>L2_Grammar</ability>
      <abilityName>语法错误</abilityName>
      <candidateList>
        <item>来自</item>
      </candidateList>
      <explain>该表达中的“来自于”存在语义重复。【词汇解析】来自：表示“来源于”。包含了“于”的意思。</explain>
      <paraID>11154CDA</paraID>
      <start>14</start>
      <end>17</end>
      <status>unmodified</status>
      <modifiedWord/>
      <trackRevisions>false</trackRevisions>
    </reviewItem>
    <reviewItem>
      <errorID>6ed2d7e2-7c00-4cd4-8fbb-bb26ce9f4bb5</errorID>
      <errorWord>（</errorWord>
      <group>L1_Punc</group>
      <groupName>标点问题</groupName>
      <ability>L2_Punc_CN</ability>
      <abilityName>标点符号问题</abilityName>
      <candidateList/>
      <explain>同一形式括号套用。</explain>
      <paraID>10E96F83</paraID>
      <start>78</start>
      <end>79</end>
      <status>ignored</status>
      <modifiedWord/>
      <trackRevisions>false</trackRevisions>
    </reviewItem>
    <reviewItem>
      <errorID>8af30718-6a97-4860-b7e9-dcc5ffae2ddc</errorID>
      <errorWord>）</errorWord>
      <group>L1_Punc</group>
      <groupName>标点问题</groupName>
      <ability>L2_Punc_CN</ability>
      <abilityName>标点符号问题</abilityName>
      <candidateList/>
      <explain>同一形式括号套用。</explain>
      <paraID>10E96F83</paraID>
      <start>92</start>
      <end>93</end>
      <status>unmodified</status>
      <modifiedWord/>
      <trackRevisions>false</trackRevisions>
    </reviewItem>
    <reviewItem>
      <errorID>f44d4a99-2244-4dc9-bbbd-5fe48738823e</errorID>
      <errorWord>重点保护与</errorWord>
      <group>L1_Word</group>
      <groupName>字词问题</groupName>
      <ability>L2_Typo</ability>
      <abilityName>字词错误</abilityName>
      <candidateList>
        <item>重点保护</item>
      </candidateList>
      <explain/>
      <paraID>23EF3E08</paraID>
      <start>0</start>
      <end>5</end>
      <status>unmodified</status>
      <modifiedWord/>
      <trackRevisions>false</trackRevisions>
    </reviewItem>
    <reviewItem>
      <errorID>d7902d0e-652d-46e0-af33-5170280c96a8</errorID>
      <errorWord>II类</errorWord>
      <group>L1_Knowledge</group>
      <groupName>知识性问题</groupName>
      <ability>L2_Knowledge</ability>
      <abilityName>其他知识</abilityName>
      <candidateList>
        <item>Ⅱ类</item>
      </candidateList>
      <explain>中文环境下罗马数字格式错误。</explain>
      <paraID>356F3DA5</paraID>
      <start>13</start>
      <end>16</end>
      <status>unmodified</status>
      <modifiedWord/>
      <trackRevisions>false</trackRevisions>
    </reviewItem>
    <reviewItem>
      <errorID>c315d933-008a-4e4a-8e4d-9628b8df1395</errorID>
      <errorWord>（/</errorWord>
      <group>L1_Punc</group>
      <groupName>标点问题</groupName>
      <ability>L2_Punc_CN</ability>
      <abilityName>标点符号问题</abilityName>
      <candidateList>
        <item>（</item>
      </candidateList>
      <explain/>
      <paraID>210BD86C</paraID>
      <start>5</start>
      <end>7</end>
      <status>ignored</status>
      <modifiedWord/>
      <trackRevisions>false</trackRevisions>
    </reviewItem>
    <reviewItem>
      <errorID>dd2d0e61-9763-4a33-b11e-0a1e899ca8bb</errorID>
      <errorWord>（/</errorWord>
      <group>L1_Punc</group>
      <groupName>标点问题</groupName>
      <ability>L2_Punc_CN</ability>
      <abilityName>标点符号问题</abilityName>
      <candidateList>
        <item>（</item>
      </candidateList>
      <explain/>
      <paraID>210BD86C</paraID>
      <start>24</start>
      <end>26</end>
      <status>ignored</status>
      <modifiedWord/>
      <trackRevisions>false</trackRevisions>
    </reviewItem>
    <reviewItem>
      <errorID>b66f7446-d08a-4a2b-a4e6-269beaa58408</errorID>
      <errorWord>（/</errorWord>
      <group>L1_Punc</group>
      <groupName>标点问题</groupName>
      <ability>L2_Punc_CN</ability>
      <abilityName>标点符号问题</abilityName>
      <candidateList>
        <item>（</item>
      </candidateList>
      <explain/>
      <paraID>7FC28577</paraID>
      <start>0</start>
      <end>2</end>
      <status>ignored</status>
      <modifiedWord/>
      <trackRevisions>false</trackRevisions>
    </reviewItem>
    <reviewItem>
      <errorID>39544603-0429-4f68-955a-5c130dc27a72</errorID>
      <errorWord>（</errorWord>
      <group>L1_Format</group>
      <groupName>格式问题</groupName>
      <ability>L2_HalfPunc_CN</ability>
      <abilityName>全半角问题</abilityName>
      <candidateList>
        <item>(</item>
      </candidateList>
      <explain>文本全半角错误。</explain>
      <paraID>5E956FF7</paraID>
      <start>0</start>
      <end>1</end>
      <status>ignored</status>
      <modifiedWord/>
      <trackRevisions>false</trackRevisions>
    </reviewItem>
    <reviewItem>
      <errorID>d29bb286-d66e-4317-a140-112c3ce628ad</errorID>
      <errorWord>）</errorWord>
      <group>L1_Format</group>
      <groupName>格式问题</groupName>
      <ability>L2_HalfPunc_CN</ability>
      <abilityName>全半角问题</abilityName>
      <candidateList>
        <item>)</item>
      </candidateList>
      <explain>文本全半角错误。</explain>
      <paraID>5E956FF7</paraID>
      <start>4</start>
      <end>5</end>
      <status>ignored</status>
      <modifiedWord/>
      <trackRevisions>false</trackRevisions>
    </reviewItem>
    <reviewItem>
      <errorID>d165f8e3-36df-47df-9dcb-299eee09676b</errorID>
      <errorWord>（</errorWord>
      <group>L1_Format</group>
      <groupName>格式问题</groupName>
      <ability>L2_HalfPunc_CN</ability>
      <abilityName>全半角问题</abilityName>
      <candidateList>
        <item>(</item>
      </candidateList>
      <explain>文本全半角错误。</explain>
      <paraID>1AB91A48</paraID>
      <start>0</start>
      <end>1</end>
      <status>ignored</status>
      <modifiedWord/>
      <trackRevisions>false</trackRevisions>
    </reviewItem>
    <reviewItem>
      <errorID>1575ea99-dee8-4ffc-be3e-e28f25d3c144</errorID>
      <errorWord>）</errorWord>
      <group>L1_Format</group>
      <groupName>格式问题</groupName>
      <ability>L2_HalfPunc_CN</ability>
      <abilityName>全半角问题</abilityName>
      <candidateList>
        <item>)</item>
      </candidateList>
      <explain>文本全半角错误。</explain>
      <paraID>1AB91A48</paraID>
      <start>2</start>
      <end>3</end>
      <status>ignored</status>
      <modifiedWord/>
      <trackRevisions>false</trackRevisions>
    </reviewItem>
    <reviewItem>
      <errorID>4de66800-c4bb-4ee5-b4fc-c0bc80570d01</errorID>
      <errorWord>（</errorWord>
      <group>L1_Format</group>
      <groupName>格式问题</groupName>
      <ability>L2_HalfPunc_CN</ability>
      <abilityName>全半角问题</abilityName>
      <candidateList>
        <item>(</item>
      </candidateList>
      <explain>文本全半角错误。</explain>
      <paraID>6DFD602B</paraID>
      <start>0</start>
      <end>1</end>
      <status>ignored</status>
      <modifiedWord/>
      <trackRevisions>false</trackRevisions>
    </reviewItem>
    <reviewItem>
      <errorID>5a13f628-e469-4c18-bae1-099e5dc82138</errorID>
      <errorWord>）</errorWord>
      <group>L1_Format</group>
      <groupName>格式问题</groupName>
      <ability>L2_HalfPunc_CN</ability>
      <abilityName>全半角问题</abilityName>
      <candidateList>
        <item>)</item>
      </candidateList>
      <explain>文本全半角错误。</explain>
      <paraID>6DFD602B</paraID>
      <start>2</start>
      <end>3</end>
      <status>ignored</status>
      <modifiedWord/>
      <trackRevisions>false</trackRevisions>
    </reviewItem>
    <reviewItem>
      <errorID>0b99d2d7-3e7e-4061-9cec-83959a1476f9</errorID>
      <errorWord>（</errorWord>
      <group>L1_Format</group>
      <groupName>格式问题</groupName>
      <ability>L2_HalfPunc_CN</ability>
      <abilityName>全半角问题</abilityName>
      <candidateList>
        <item>(</item>
      </candidateList>
      <explain>文本全半角错误。</explain>
      <paraID>7CB86733</paraID>
      <start>0</start>
      <end>1</end>
      <status>ignored</status>
      <modifiedWord/>
      <trackRevisions>false</trackRevisions>
    </reviewItem>
    <reviewItem>
      <errorID>bd6d3c12-0722-4d43-9768-e1b2121d663d</errorID>
      <errorWord>）</errorWord>
      <group>L1_Format</group>
      <groupName>格式问题</groupName>
      <ability>L2_HalfPunc_CN</ability>
      <abilityName>全半角问题</abilityName>
      <candidateList>
        <item>)</item>
      </candidateList>
      <explain>文本全半角错误。</explain>
      <paraID>7CB86733</paraID>
      <start>2</start>
      <end>3</end>
      <status>ignored</status>
      <modifiedWord/>
      <trackRevisions>false</trackRevisions>
    </reviewItem>
    <reviewItem>
      <errorID>30489cf1-bf05-4d39-baaf-4bd1d64dce7a</errorID>
      <errorWord>（</errorWord>
      <group>L1_Format</group>
      <groupName>格式问题</groupName>
      <ability>L2_HalfPunc_CN</ability>
      <abilityName>全半角问题</abilityName>
      <candidateList>
        <item>(</item>
      </candidateList>
      <explain>文本全半角错误。</explain>
      <paraID> C326A6E</paraID>
      <start>0</start>
      <end>1</end>
      <status>ignored</status>
      <modifiedWord/>
      <trackRevisions>false</trackRevisions>
    </reviewItem>
    <reviewItem>
      <errorID>7e7db551-c861-4551-a17f-3f652f642cf0</errorID>
      <errorWord>）</errorWord>
      <group>L1_Format</group>
      <groupName>格式问题</groupName>
      <ability>L2_HalfPunc_CN</ability>
      <abilityName>全半角问题</abilityName>
      <candidateList>
        <item>)</item>
      </candidateList>
      <explain>文本全半角错误。</explain>
      <paraID> C326A6E</paraID>
      <start>2</start>
      <end>3</end>
      <status>ignored</status>
      <modifiedWord/>
      <trackRevisions>false</trackRevisions>
    </reviewItem>
    <reviewItem>
      <errorID>9f94cf89-cc96-4939-9fe2-501e586d2bf2</errorID>
      <errorWord>（/</errorWord>
      <group>L1_Punc</group>
      <groupName>标点问题</groupName>
      <ability>L2_Punc_CN</ability>
      <abilityName>标点符号问题</abilityName>
      <candidateList>
        <item>（</item>
      </candidateList>
      <explain/>
      <paraID>22AF72D2</paraID>
      <start>0</start>
      <end>2</end>
      <status>ignored</status>
      <modifiedWord/>
      <trackRevisions>false</trackRevisions>
    </reviewItem>
    <reviewItem>
      <errorID>93e0da69-1d70-4ca1-a2bc-f9173ca57c36</errorID>
      <errorWord>（/</errorWord>
      <group>L1_Punc</group>
      <groupName>标点问题</groupName>
      <ability>L2_Punc_CN</ability>
      <abilityName>标点符号问题</abilityName>
      <candidateList>
        <item>（</item>
      </candidateList>
      <explain/>
      <paraID>2BA4E533</paraID>
      <start>0</start>
      <end>2</end>
      <status>ignored</status>
      <modifiedWord/>
      <trackRevisions>false</trackRevisions>
    </reviewItem>
    <reviewItem>
      <errorID>981746c1-6698-4618-991c-1b97b5335343</errorID>
      <errorWord>（/</errorWord>
      <group>L1_Punc</group>
      <groupName>标点问题</groupName>
      <ability>L2_Punc_CN</ability>
      <abilityName>标点符号问题</abilityName>
      <candidateList>
        <item>（</item>
      </candidateList>
      <explain/>
      <paraID>1B8D979E</paraID>
      <start>0</start>
      <end>2</end>
      <status>ignored</status>
      <modifiedWord/>
      <trackRevisions>false</trackRevisions>
    </reviewItem>
    <reviewItem>
      <errorID>21c1a669-b81a-40f0-9023-785344c13f81</errorID>
      <errorWord>（/</errorWord>
      <group>L1_Punc</group>
      <groupName>标点问题</groupName>
      <ability>L2_Punc_CN</ability>
      <abilityName>标点符号问题</abilityName>
      <candidateList>
        <item>（</item>
      </candidateList>
      <explain/>
      <paraID>4A41E2C5</paraID>
      <start>0</start>
      <end>2</end>
      <status>ignored</status>
      <modifiedWord/>
      <trackRevisions>false</trackRevisions>
    </reviewItem>
    <reviewItem>
      <errorID>bb0e223b-0ac3-442e-b5e4-565bfa0360f7</errorID>
      <errorWord>（/</errorWord>
      <group>L1_Punc</group>
      <groupName>标点问题</groupName>
      <ability>L2_Punc_CN</ability>
      <abilityName>标点符号问题</abilityName>
      <candidateList>
        <item>（</item>
      </candidateList>
      <explain/>
      <paraID> AF61840</paraID>
      <start>0</start>
      <end>2</end>
      <status>ignored</status>
      <modifiedWord/>
      <trackRevisions>false</trackRevisions>
    </reviewItem>
    <reviewItem>
      <errorID>2fc25138-cef2-4800-9413-0b486349d475</errorID>
      <errorWord>（/</errorWord>
      <group>L1_Punc</group>
      <groupName>标点问题</groupName>
      <ability>L2_Punc_CN</ability>
      <abilityName>标点符号问题</abilityName>
      <candidateList>
        <item>（</item>
      </candidateList>
      <explain/>
      <paraID>46FF1074</paraID>
      <start>0</start>
      <end>2</end>
      <status>ignored</status>
      <modifiedWord/>
      <trackRevisions>false</trackRevisions>
    </reviewItem>
    <reviewItem>
      <errorID>04144a21-ccc6-45ed-ae07-d66b8ad9c655</errorID>
      <errorWord>（/</errorWord>
      <group>L1_Punc</group>
      <groupName>标点问题</groupName>
      <ability>L2_Punc_CN</ability>
      <abilityName>标点符号问题</abilityName>
      <candidateList>
        <item>（</item>
      </candidateList>
      <explain/>
      <paraID>71BB12E7</paraID>
      <start>0</start>
      <end>2</end>
      <status>ignored</status>
      <modifiedWord/>
      <trackRevisions>false</trackRevisions>
    </reviewItem>
    <reviewItem>
      <errorID>d7f589a3-1a49-4c96-94b4-1e55ac534657</errorID>
      <errorWord>(</errorWord>
      <group>L1_Format</group>
      <groupName>格式问题</groupName>
      <ability>L2_HalfPunc_CN</ability>
      <abilityName>全半角问题</abilityName>
      <candidateList>
        <item>（</item>
      </candidateList>
      <explain>文本全半角错误。</explain>
      <paraID>7996F3B2</paraID>
      <start>32</start>
      <end>33</end>
      <status>ignored</status>
      <modifiedWord/>
      <trackRevisions>false</trackRevisions>
    </reviewItem>
    <reviewItem>
      <errorID>324c2fd9-6d45-4e3a-a98e-3e39e0a3608b</errorID>
      <errorWord>(</errorWord>
      <group>L1_Format</group>
      <groupName>格式问题</groupName>
      <ability>L2_HalfPunc_CN</ability>
      <abilityName>全半角问题</abilityName>
      <candidateList>
        <item>（</item>
      </candidateList>
      <explain>文本全半角错误。</explain>
      <paraID>6444ED1A</paraID>
      <start>4</start>
      <end>5</end>
      <status>ignored</status>
      <modifiedWord/>
      <trackRevisions>false</trackRevisions>
    </reviewItem>
    <reviewItem>
      <errorID>a506ef5d-03fe-4fe6-ab95-03a15625788d</errorID>
      <errorWord>（/</errorWord>
      <group>L1_Punc</group>
      <groupName>标点问题</groupName>
      <ability>L2_Punc_CN</ability>
      <abilityName>标点符号问题</abilityName>
      <candidateList>
        <item>（</item>
      </candidateList>
      <explain/>
      <paraID>42FF536F</paraID>
      <start>4</start>
      <end>6</end>
      <status>ignored</status>
      <modifiedWord/>
      <trackRevisions>false</trackRevisions>
    </reviewItem>
    <reviewItem>
      <errorID>a50c8ea7-4121-4822-a628-9214fb719045</errorID>
      <errorWord>（</errorWord>
      <group>L1_Format</group>
      <groupName>格式问题</groupName>
      <ability>L2_HalfPunc_CN</ability>
      <abilityName>全半角问题</abilityName>
      <candidateList>
        <item>(</item>
      </candidateList>
      <explain>文本全半角错误。</explain>
      <paraID>283A36A1</paraID>
      <start>0</start>
      <end>1</end>
      <status>ignored</status>
      <modifiedWord/>
      <trackRevisions>false</trackRevisions>
    </reviewItem>
    <reviewItem>
      <errorID>82f7f2ff-8e54-4f0a-ab73-5d02695001b8</errorID>
      <errorWord>）</errorWord>
      <group>L1_Format</group>
      <groupName>格式问题</groupName>
      <ability>L2_HalfPunc_CN</ability>
      <abilityName>全半角问题</abilityName>
      <candidateList>
        <item>)</item>
      </candidateList>
      <explain>文本全半角错误。</explain>
      <paraID>283A36A1</paraID>
      <start>2</start>
      <end>3</end>
      <status>ignored</status>
      <modifiedWord/>
      <trackRevisions>false</trackRevisions>
    </reviewItem>
    <reviewItem>
      <errorID>db3b99ec-0ffe-484c-a0bb-fb9ffefce189</errorID>
      <errorWord>（/</errorWord>
      <group>L1_Punc</group>
      <groupName>标点问题</groupName>
      <ability>L2_Punc_CN</ability>
      <abilityName>标点符号问题</abilityName>
      <candidateList>
        <item>（</item>
      </candidateList>
      <explain/>
      <paraID>3DDCA5EA</paraID>
      <start>1</start>
      <end>3</end>
      <status>ignored</status>
      <modifiedWord/>
      <trackRevisions>false</trackRevisions>
    </reviewItem>
    <reviewItem>
      <errorID>9107e8af-4800-4e1a-b02c-3cbc24dfaa47</errorID>
      <errorWord>(/</errorWord>
      <group>L1_Punc</group>
      <groupName>标点问题</groupName>
      <ability>L2_Punc_CN</ability>
      <abilityName>标点符号问题</abilityName>
      <candidateList>
        <item>(</item>
      </candidateList>
      <explain/>
      <paraID>1A686E55</paraID>
      <start>4</start>
      <end>6</end>
      <status>unmodified</status>
      <modifiedWord/>
      <trackRevisions>false</trackRevisions>
    </reviewItem>
    <reviewItem>
      <errorID>52cbf4f0-6f26-4ccb-9eeb-cc3d1af3900b</errorID>
      <errorWord>(/</errorWord>
      <group>L1_Punc</group>
      <groupName>标点问题</groupName>
      <ability>L2_Punc_CN</ability>
      <abilityName>标点符号问题</abilityName>
      <candidateList>
        <item>(</item>
      </candidateList>
      <explain/>
      <paraID>77802047</paraID>
      <start>4</start>
      <end>6</end>
      <status>unmodified</status>
      <modifiedWord/>
      <trackRevisions>false</trackRevisions>
    </reviewItem>
    <reviewItem>
      <errorID>77f80ddc-b93c-480c-b469-c7390547c506</errorID>
      <errorWord>:</errorWord>
      <group>L1_Format</group>
      <groupName>格式问题</groupName>
      <ability>L2_HalfPunc_CN</ability>
      <abilityName>全半角问题</abilityName>
      <candidateList>
        <item>：</item>
      </candidateList>
      <explain>文本全半角错误。</explain>
      <paraID>7CCA5270</paraID>
      <start>3</start>
      <end>4</end>
      <status>unmodified</status>
      <modifiedWord/>
      <trackRevisions>false</trackRevisions>
    </reviewItem>
    <reviewItem>
      <errorID>ebdfae39-d028-4106-a00d-54378564b62a</errorID>
      <errorWord>(/</errorWord>
      <group>L1_Punc</group>
      <groupName>标点问题</groupName>
      <ability>L2_Punc_CN</ability>
      <abilityName>标点符号问题</abilityName>
      <candidateList>
        <item>(</item>
      </candidateList>
      <explain/>
      <paraID>4775C5E8</paraID>
      <start>5</start>
      <end>7</end>
      <status>unmodified</status>
      <modifiedWord/>
      <trackRevisions>false</trackRevisions>
    </reviewItem>
    <reviewItem>
      <errorID>dfe31b65-9b24-4b7e-87e2-0532812533a1</errorID>
      <errorWord>（</errorWord>
      <group>L1_Format</group>
      <groupName>格式问题</groupName>
      <ability>L2_HalfPunc_CN</ability>
      <abilityName>全半角问题</abilityName>
      <candidateList>
        <item>(</item>
      </candidateList>
      <explain>文本全半角错误。</explain>
      <paraID>39CEC8F4</paraID>
      <start>2</start>
      <end>3</end>
      <status>ignored</status>
      <modifiedWord/>
      <trackRevisions>false</trackRevisions>
    </reviewItem>
    <reviewItem>
      <errorID>60776c46-c2ae-462a-b90a-a6ca0120ffac</errorID>
      <errorWord>）</errorWord>
      <group>L1_Format</group>
      <groupName>格式问题</groupName>
      <ability>L2_HalfPunc_CN</ability>
      <abilityName>全半角问题</abilityName>
      <candidateList>
        <item>)</item>
      </candidateList>
      <explain>文本全半角错误。</explain>
      <paraID>39CEC8F4</paraID>
      <start>4</start>
      <end>5</end>
      <status>ignored</status>
      <modifiedWord/>
      <trackRevisions>false</trackRevisions>
    </reviewItem>
    <reviewItem>
      <errorID>5160c78b-b619-4e1e-b9cf-9222bc4b277b</errorID>
      <errorWord>it</errorWord>
      <group>L1_English</group>
      <groupName>英文问题</groupName>
      <ability>L2_Other_Grammar</ability>
      <abilityName>其他语法问题</abilityName>
      <candidateList>
        <item>ti</item>
      </candidateList>
      <explain>疑似单词/词组使用不当, 建议将it修改为ti</explain>
      <paraID>18FAB9DE</paraID>
      <start>77</start>
      <end>79</end>
      <status>unmodified</status>
      <modifiedWord/>
      <trackRevisions>false</trackRevisions>
    </reviewItem>
    <reviewItem>
      <errorID>6df4aa33-d991-47a5-863e-d843a48d4cc9</errorID>
      <errorWord>(</errorWord>
      <group>L1_Format</group>
      <groupName>格式问题</groupName>
      <ability>L2_HalfPunc_CN</ability>
      <abilityName>全半角问题</abilityName>
      <candidateList>
        <item>（</item>
      </candidateList>
      <explain>文本全半角错误。</explain>
      <paraID>4067E034</paraID>
      <start>17</start>
      <end>18</end>
      <status>ignored</status>
      <modifiedWord/>
      <trackRevisions>false</trackRevisions>
    </reviewItem>
    <reviewItem>
      <errorID>024fdd89-7e9e-42bd-adde-506cd02ae594</errorID>
      <errorWord>＋</errorWord>
      <group>L1_Format</group>
      <groupName>格式问题</groupName>
      <ability>L2_HalfPunc_CN</ability>
      <abilityName>全半角问题</abilityName>
      <candidateList>
        <item>+</item>
      </candidateList>
      <explain>文本全半角错误。</explain>
      <paraID>54F3CC4E</paraID>
      <start>101</start>
      <end>102</end>
      <status>unmodified</status>
      <modifiedWord/>
      <trackRevisions>false</trackRevisions>
    </reviewItem>
    <reviewItem>
      <errorID>0a37251f-7731-46ca-92e4-c9985a186c5f</errorID>
      <errorWord>(</errorWord>
      <group>L1_Format</group>
      <groupName>格式问题</groupName>
      <ability>L2_HalfPunc_CN</ability>
      <abilityName>全半角问题</abilityName>
      <candidateList>
        <item>（</item>
      </candidateList>
      <explain>文本全半角错误。</explain>
      <paraID>57AF3DF8</paraID>
      <start>20</start>
      <end>21</end>
      <status>ignored</status>
      <modifiedWord/>
      <trackRevisions>false</trackRevisions>
    </reviewItem>
    <reviewItem>
      <errorID>cd646d00-3b65-4f2f-9a20-fd83e226f416</errorID>
      <errorWord>由其它</errorWord>
      <group>L1_Word</group>
      <groupName>字词问题</groupName>
      <ability>L2_Alias</ability>
      <abilityName>也作/曾用词</abilityName>
      <candidateList>
        <item>由其他</item>
      </candidateList>
      <explain>词汇[由其它]为不规范表述或旧称，其规范书面表述为[由其他]。</explain>
      <paraID>6D08040F</paraID>
      <start>4</start>
      <end>7</end>
      <status>unmodified</status>
      <modifiedWord/>
      <trackRevisions>false</trackRevisions>
    </reviewItem>
    <reviewItem>
      <errorID>0d53e74c-520c-4033-b86c-6d5e7b012e4e</errorID>
      <errorWord>(</errorWord>
      <group>L1_Format</group>
      <groupName>格式问题</groupName>
      <ability>L2_HalfPunc_CN</ability>
      <abilityName>全半角问题</abilityName>
      <candidateList>
        <item>（</item>
      </candidateList>
      <explain>文本全半角错误。</explain>
      <paraID>23E7A0F7</paraID>
      <start>3</start>
      <end>4</end>
      <status>ignored</status>
      <modifiedWord/>
      <trackRevisions>false</trackRevisions>
    </reviewItem>
    <reviewItem>
      <errorID>dbcebbc1-cb53-4c3e-a39c-6cd1ac4537bf</errorID>
      <errorWord>(</errorWord>
      <group>L1_Format</group>
      <groupName>格式问题</groupName>
      <ability>L2_HalfPunc_CN</ability>
      <abilityName>全半角问题</abilityName>
      <candidateList>
        <item>（</item>
      </candidateList>
      <explain>文本全半角错误。</explain>
      <paraID>23E7A0F7</paraID>
      <start>11</start>
      <end>12</end>
      <status>ignored</status>
      <modifiedWord/>
      <trackRevisions>false</trackRevisions>
    </reviewItem>
    <reviewItem>
      <errorID>3755fc72-cb90-4497-8121-f11c7eeca7b7</errorID>
      <errorWord>(</errorWord>
      <group>L1_Format</group>
      <groupName>格式问题</groupName>
      <ability>L2_HalfPunc_CN</ability>
      <abilityName>全半角问题</abilityName>
      <candidateList>
        <item>（</item>
      </candidateList>
      <explain>文本全半角错误。</explain>
      <paraID>23E7A0F7</paraID>
      <start>19</start>
      <end>20</end>
      <status>ignored</status>
      <modifiedWord/>
      <trackRevisions>false</trackRevisions>
    </reviewItem>
    <reviewItem>
      <errorID>26576b7f-dcf8-41d3-879b-c08be857e7f3</errorID>
      <errorWord>（</errorWord>
      <group>L1_Punc</group>
      <groupName>标点问题</groupName>
      <ability>L2_Punc_CN</ability>
      <abilityName>标点符号问题</abilityName>
      <candidateList/>
      <explain>同一形式括号套用。</explain>
      <paraID>517B03D2</paraID>
      <start>5</start>
      <end>6</end>
      <status>ignored</status>
      <modifiedWord/>
      <trackRevisions>false</trackRevisions>
    </reviewItem>
    <reviewItem>
      <errorID>7cb378bc-c05b-442c-8be3-4fdbe6dd4b2c</errorID>
      <errorWord>(</errorWord>
      <group>L1_Punc</group>
      <groupName>标点问题</groupName>
      <ability>L2_Punc_CN</ability>
      <abilityName>标点符号问题</abilityName>
      <candidateList/>
      <explain>同一形式括号套用。</explain>
      <paraID>517B03D2</paraID>
      <start>13</start>
      <end>14</end>
      <status>unmodified</status>
      <modifiedWord/>
      <trackRevisions>false</trackRevisions>
    </reviewItem>
    <reviewItem>
      <errorID>d04179f3-dcc3-4900-bd1b-4ef9c4096af1</errorID>
      <errorWord>）</errorWord>
      <group>L1_Punc</group>
      <groupName>标点问题</groupName>
      <ability>L2_Punc_CN</ability>
      <abilityName>标点符号问题</abilityName>
      <candidateList/>
      <explain/>
      <paraID>7B47D282</paraID>
      <start>0</start>
      <end>1</end>
      <status>unmodified</status>
      <modifiedWord/>
      <trackRevisions>false</trackRevisions>
    </reviewItem>
    <reviewItem>
      <errorID>52b618fd-e60f-425d-80de-6c4d135f3118</errorID>
      <errorWord>（/</errorWord>
      <group>L1_Punc</group>
      <groupName>标点问题</groupName>
      <ability>L2_Punc_CN</ability>
      <abilityName>标点符号问题</abilityName>
      <candidateList>
        <item>（</item>
      </candidateList>
      <explain/>
      <paraID>7A1C834D</paraID>
      <start>5</start>
      <end>7</end>
      <status>ignored</status>
      <modifiedWord/>
      <trackRevisions>false</trackRevisions>
    </reviewItem>
    <reviewItem>
      <errorID>963d163c-1e78-4616-9501-f77ee5b8d80d</errorID>
      <errorWord>类</errorWord>
      <group>L1_Word</group>
      <groupName>字词问题</groupName>
      <ability>L2_Typo</ability>
      <abilityName>字词错误</abilityName>
      <candidateList>
        <item>类等</item>
      </candidateList>
      <explain/>
      <paraID>1B480CBC</paraID>
      <start>132</start>
      <end>133</end>
      <status>unmodified</status>
      <modifiedWord/>
      <trackRevisions>false</trackRevisions>
    </reviewItem>
    <reviewItem>
      <errorID>e750719f-0f51-4da5-8cee-ec1ead85e35e</errorID>
      <errorWord>(</errorWord>
      <group>L1_Format</group>
      <groupName>格式问题</groupName>
      <ability>L2_HalfPunc_CN</ability>
      <abilityName>全半角问题</abilityName>
      <candidateList>
        <item>（</item>
      </candidateList>
      <explain>文本全半角错误。</explain>
      <paraID>7E80483C</paraID>
      <start>4</start>
      <end>5</end>
      <status>ignored</status>
      <modifiedWord/>
      <trackRevisions>false</trackRevisions>
    </reviewItem>
    <reviewItem>
      <errorID>0d73f45b-e792-46d0-84cb-fca75a9cc739</errorID>
      <errorWord>其它</errorWord>
      <group>L1_Word</group>
      <groupName>字词问题</groupName>
      <ability>L2_Alias</ability>
      <abilityName>也作/曾用词</abilityName>
      <candidateList>
        <item>其他</item>
      </candidateList>
      <explain>词汇[其它]为不规范表述或旧称，其规范书面表述为[其他]。</explain>
      <paraID>65CEEDE2</paraID>
      <start>0</start>
      <end>2</end>
      <status>unmodified</status>
      <modifiedWord/>
      <trackRevisions>false</trackRevisions>
    </reviewItem>
    <reviewItem>
      <errorID>7de6b2eb-edfa-4e35-8410-3c961d9e1430</errorID>
      <errorWord>(</errorWord>
      <group>L1_Format</group>
      <groupName>格式问题</groupName>
      <ability>L2_HalfPunc_CN</ability>
      <abilityName>全半角问题</abilityName>
      <candidateList>
        <item>（</item>
      </candidateList>
      <explain>文本全半角错误。</explain>
      <paraID>61807431</paraID>
      <start>4</start>
      <end>5</end>
      <status>ignored</status>
      <modifiedWord/>
      <trackRevisions>false</trackRevisions>
    </reviewItem>
    <reviewItem>
      <errorID>8d86ec5c-0f26-4c06-87a2-2468eb3175da</errorID>
      <errorWord>(</errorWord>
      <group>L1_Format</group>
      <groupName>格式问题</groupName>
      <ability>L2_HalfPunc_CN</ability>
      <abilityName>全半角问题</abilityName>
      <candidateList>
        <item>（</item>
      </candidateList>
      <explain>文本全半角错误。</explain>
      <paraID>445AC85C</paraID>
      <start>4</start>
      <end>5</end>
      <status>ignored</status>
      <modifiedWord/>
      <trackRevisions>false</trackRevisions>
    </reviewItem>
    <reviewItem>
      <errorID>c96b1721-7d87-4dac-8b39-2f495916933f</errorID>
      <errorWord>(</errorWord>
      <group>L1_Format</group>
      <groupName>格式问题</groupName>
      <ability>L2_HalfPunc_CN</ability>
      <abilityName>全半角问题</abilityName>
      <candidateList>
        <item>（</item>
      </candidateList>
      <explain>文本全半角错误。</explain>
      <paraID>51CFFEE6</paraID>
      <start>20</start>
      <end>21</end>
      <status>ignored</status>
      <modifiedWord/>
      <trackRevisions>false</trackRevisions>
    </reviewItem>
    <reviewItem>
      <errorID>3034efc6-d11e-46a7-8b5f-d5e8aa159514</errorID>
      <errorWord>(</errorWord>
      <group>L1_Format</group>
      <groupName>格式问题</groupName>
      <ability>L2_HalfPunc_CN</ability>
      <abilityName>全半角问题</abilityName>
      <candidateList>
        <item>（</item>
      </candidateList>
      <explain>文本全半角错误。</explain>
      <paraID>21E0108A</paraID>
      <start>29</start>
      <end>30</end>
      <status>ignored</status>
      <modifiedWord/>
      <trackRevisions>false</trackRevisions>
    </reviewItem>
    <reviewItem>
      <errorID>717f4662-a41d-49fd-9b78-ef08d988cb03</errorID>
      <errorWord>(</errorWord>
      <group>L1_Format</group>
      <groupName>格式问题</groupName>
      <ability>L2_HalfPunc_CN</ability>
      <abilityName>全半角问题</abilityName>
      <candidateList>
        <item>（</item>
      </candidateList>
      <explain>文本全半角错误。</explain>
      <paraID>6E316E8E</paraID>
      <start>37</start>
      <end>38</end>
      <status>ignored</status>
      <modifiedWord/>
      <trackRevisions>false</trackRevisions>
    </reviewItem>
    <reviewItem>
      <errorID>dca99c3e-277f-43ac-a931-d959e1571e41</errorID>
      <errorWord>(</errorWord>
      <group>L1_Format</group>
      <groupName>格式问题</groupName>
      <ability>L2_HalfPunc_CN</ability>
      <abilityName>全半角问题</abilityName>
      <candidateList>
        <item>（</item>
      </candidateList>
      <explain>文本全半角错误。</explain>
      <paraID>6E316E8E</paraID>
      <start>51</start>
      <end>52</end>
      <status>ignored</status>
      <modifiedWord/>
      <trackRevisions>false</trackRevisions>
    </reviewItem>
    <reviewItem>
      <errorID>8cc7e351-9dd9-4c78-93e0-d1c15e32c06c</errorID>
      <errorWord>(</errorWord>
      <group>L1_Format</group>
      <groupName>格式问题</groupName>
      <ability>L2_HalfPunc_CN</ability>
      <abilityName>全半角问题</abilityName>
      <candidateList>
        <item>（</item>
      </candidateList>
      <explain>文本全半角错误。</explain>
      <paraID>6E316E8E</paraID>
      <start>66</start>
      <end>67</end>
      <status>ignored</status>
      <modifiedWord/>
      <trackRevisions>false</trackRevisions>
    </reviewItem>
    <reviewItem>
      <errorID>83bfda55-20c7-47a9-8c5a-74308bff7f75</errorID>
      <errorWord>(</errorWord>
      <group>L1_Format</group>
      <groupName>格式问题</groupName>
      <ability>L2_HalfPunc_CN</ability>
      <abilityName>全半角问题</abilityName>
      <candidateList>
        <item>（</item>
      </candidateList>
      <explain>文本全半角错误。</explain>
      <paraID>17405543</paraID>
      <start>26</start>
      <end>27</end>
      <status>ignored</status>
      <modifiedWord/>
      <trackRevisions>false</trackRevisions>
    </reviewItem>
    <reviewItem>
      <errorID>380a19d3-98ce-4726-ae34-606b059ef2ed</errorID>
      <errorWord>(</errorWord>
      <group>L1_Format</group>
      <groupName>格式问题</groupName>
      <ability>L2_HalfPunc_CN</ability>
      <abilityName>全半角问题</abilityName>
      <candidateList>
        <item>（</item>
      </candidateList>
      <explain>文本全半角错误。</explain>
      <paraID>5784F6F3</paraID>
      <start>35</start>
      <end>36</end>
      <status>ignored</status>
      <modifiedWord/>
      <trackRevisions>false</trackRevisions>
    </reviewItem>
    <reviewItem>
      <errorID>13a5fbd8-a599-49f5-b0d0-b5b726538573</errorID>
      <errorWord>(</errorWord>
      <group>L1_Format</group>
      <groupName>格式问题</groupName>
      <ability>L2_HalfPunc_CN</ability>
      <abilityName>全半角问题</abilityName>
      <candidateList>
        <item>（</item>
      </candidateList>
      <explain>文本全半角错误。</explain>
      <paraID>47F6FDBD</paraID>
      <start>17</start>
      <end>18</end>
      <status>ignored</status>
      <modifiedWord/>
      <trackRevisions>false</trackRevisions>
    </reviewItem>
    <reviewItem>
      <errorID>df5cf486-fe72-46f0-a4b6-ecbc84e66323</errorID>
      <errorWord>的的</errorWord>
      <group>L1_Word</group>
      <groupName>字词问题</groupName>
      <ability>L2_Typo</ability>
      <abilityName>字词错误</abilityName>
      <candidateList>
        <item>的</item>
      </candidateList>
      <explain/>
      <paraID>  4326AF</paraID>
      <start>19</start>
      <end>20</end>
      <status>modified</status>
      <modifiedWord>的</modifiedWord>
      <trackRevisions>false</trackRevisions>
    </reviewItem>
    <reviewItem>
      <errorID>bdf64e95-eec3-4dfe-8a8d-74d22227d54c</errorID>
      <errorWord>(</errorWord>
      <group>L1_Format</group>
      <groupName>格式问题</groupName>
      <ability>L2_HalfPunc_CN</ability>
      <abilityName>全半角问题</abilityName>
      <candidateList>
        <item>（</item>
      </candidateList>
      <explain>文本全半角错误。</explain>
      <paraID>75DEA73E</paraID>
      <start>4</start>
      <end>5</end>
      <status>ignored</status>
      <modifiedWord/>
      <trackRevisions>false</trackRevisions>
    </reviewItem>
    <reviewItem>
      <errorID>fd2f6410-fa1b-4688-9281-96717f845cb1</errorID>
      <errorWord>(</errorWord>
      <group>L1_Format</group>
      <groupName>格式问题</groupName>
      <ability>L2_HalfPunc_CN</ability>
      <abilityName>全半角问题</abilityName>
      <candidateList>
        <item>（</item>
      </candidateList>
      <explain>文本全半角错误。</explain>
      <paraID>1A011041</paraID>
      <start>2</start>
      <end>3</end>
      <status>ignored</status>
      <modifiedWord/>
      <trackRevisions>false</trackRevisions>
    </reviewItem>
    <reviewItem>
      <errorID>7e3ef6e6-cd45-45f2-9000-6f65fc668730</errorID>
      <errorWord>(</errorWord>
      <group>L1_Format</group>
      <groupName>格式问题</groupName>
      <ability>L2_HalfPunc_CN</ability>
      <abilityName>全半角问题</abilityName>
      <candidateList>
        <item>（</item>
      </candidateList>
      <explain>文本全半角错误。</explain>
      <paraID> 404B182</paraID>
      <start>6</start>
      <end>7</end>
      <status>ignored</status>
      <modifiedWord/>
      <trackRevisions>false</trackRevisions>
    </reviewItem>
    <reviewItem>
      <errorID>3cf6e607-a89b-476c-8458-f937ecccea99</errorID>
      <errorWord>(</errorWord>
      <group>L1_Format</group>
      <groupName>格式问题</groupName>
      <ability>L2_HalfPunc_CN</ability>
      <abilityName>全半角问题</abilityName>
      <candidateList>
        <item>（</item>
      </candidateList>
      <explain>文本全半角错误。</explain>
      <paraID>1BA8CD3A</paraID>
      <start>5</start>
      <end>6</end>
      <status>ignored</status>
      <modifiedWord/>
      <trackRevisions>false</trackRevisions>
    </reviewItem>
    <reviewItem>
      <errorID>b25214da-be67-42fe-ae7e-ff79574b9df4</errorID>
      <errorWord>(</errorWord>
      <group>L1_Format</group>
      <groupName>格式问题</groupName>
      <ability>L2_HalfPunc_CN</ability>
      <abilityName>全半角问题</abilityName>
      <candidateList>
        <item>（</item>
      </candidateList>
      <explain>文本全半角错误。</explain>
      <paraID>6781B5D0</paraID>
      <start>27</start>
      <end>28</end>
      <status>ignored</status>
      <modifiedWord/>
      <trackRevisions>false</trackRevisions>
    </reviewItem>
    <reviewItem>
      <errorID>f2b98bcf-904b-4766-9430-e2dc8c0ba82c</errorID>
      <errorWord>(</errorWord>
      <group>L1_Format</group>
      <groupName>格式问题</groupName>
      <ability>L2_HalfPunc_CN</ability>
      <abilityName>全半角问题</abilityName>
      <candidateList>
        <item>（</item>
      </candidateList>
      <explain>文本全半角错误。</explain>
      <paraID>24FC2317</paraID>
      <start>23</start>
      <end>24</end>
      <status>ignored</status>
      <modifiedWord/>
      <trackRevisions>false</trackRevisions>
    </reviewItem>
    <reviewItem>
      <errorID>614abcc9-62ae-4787-a7ef-feea6a73787f</errorID>
      <errorWord>(</errorWord>
      <group>L1_Format</group>
      <groupName>格式问题</groupName>
      <ability>L2_HalfPunc_CN</ability>
      <abilityName>全半角问题</abilityName>
      <candidateList>
        <item>（</item>
      </candidateList>
      <explain>文本全半角错误。</explain>
      <paraID>24FC2317</paraID>
      <start>31</start>
      <end>32</end>
      <status>ignored</status>
      <modifiedWord/>
      <trackRevisions>false</trackRevisions>
    </reviewItem>
    <reviewItem>
      <errorID>695e9d91-e6ea-42f6-b597-6c7d4ebad8e9</errorID>
      <errorWord>(</errorWord>
      <group>L1_Punc</group>
      <groupName>标点问题</groupName>
      <ability>L2_Punc_CN</ability>
      <abilityName>标点符号问题</abilityName>
      <candidateList/>
      <explain>同一形式括号套用。</explain>
      <paraID>24FC2317</paraID>
      <start>33</start>
      <end>34</end>
      <status>unmodified</status>
      <modifiedWord/>
      <trackRevisions>false</trackRevisions>
    </reviewItem>
    <reviewItem>
      <errorID>7f4f1129-d71c-4fcb-b757-0918e997c683</errorID>
      <errorWord>(</errorWord>
      <group>L1_Format</group>
      <groupName>格式问题</groupName>
      <ability>L2_HalfPunc_CN</ability>
      <abilityName>全半角问题</abilityName>
      <candidateList>
        <item>（</item>
      </candidateList>
      <explain>文本全半角错误。</explain>
      <paraID>24FC2317</paraID>
      <start>43</start>
      <end>44</end>
      <status>ignored</status>
      <modifiedWord/>
      <trackRevisions>false</trackRevisions>
    </reviewItem>
    <reviewItem>
      <errorID>08fbbfaa-9970-4dca-b52d-16b9e50fdf89</errorID>
      <errorWord>(</errorWord>
      <group>L1_Format</group>
      <groupName>格式问题</groupName>
      <ability>L2_HalfPunc_CN</ability>
      <abilityName>全半角问题</abilityName>
      <candidateList>
        <item>（</item>
      </candidateList>
      <explain>文本全半角错误。</explain>
      <paraID>24FC2317</paraID>
      <start>51</start>
      <end>52</end>
      <status>ignored</status>
      <modifiedWord/>
      <trackRevisions>false</trackRevisions>
    </reviewItem>
    <reviewItem>
      <errorID>f9195d70-b161-4a72-8560-8eb1562df028</errorID>
      <errorWord>(</errorWord>
      <group>L1_Punc</group>
      <groupName>标点问题</groupName>
      <ability>L2_Punc_CN</ability>
      <abilityName>标点符号问题</abilityName>
      <candidateList/>
      <explain>同一形式括号套用。</explain>
      <paraID>24FC2317</paraID>
      <start>53</start>
      <end>54</end>
      <status>unmodified</status>
      <modifiedWord/>
      <trackRevisions>false</trackRevisions>
    </reviewItem>
    <reviewItem>
      <errorID>52c4d8be-ccaf-48bd-9403-5574da626bec</errorID>
      <errorWord>(</errorWord>
      <group>L1_Format</group>
      <groupName>格式问题</groupName>
      <ability>L2_HalfPunc_CN</ability>
      <abilityName>全半角问题</abilityName>
      <candidateList>
        <item>（</item>
      </candidateList>
      <explain>文本全半角错误。</explain>
      <paraID>24FC2317</paraID>
      <start>69</start>
      <end>70</end>
      <status>ignored</status>
      <modifiedWord/>
      <trackRevisions>false</trackRevisions>
    </reviewItem>
    <reviewItem>
      <errorID>b398f930-6ff7-4ee2-a955-5a0c4d732647</errorID>
      <errorWord>(</errorWord>
      <group>L1_Format</group>
      <groupName>格式问题</groupName>
      <ability>L2_HalfPunc_CN</ability>
      <abilityName>全半角问题</abilityName>
      <candidateList>
        <item>（</item>
      </candidateList>
      <explain>文本全半角错误。</explain>
      <paraID>606CF28D</paraID>
      <start>31</start>
      <end>32</end>
      <status>ignored</status>
      <modifiedWord/>
      <trackRevisions>false</trackRevisions>
    </reviewItem>
    <reviewItem>
      <errorID>2840a471-5648-4dba-93fe-92e3abb0d9f0</errorID>
      <errorWord>(</errorWord>
      <group>L1_Format</group>
      <groupName>格式问题</groupName>
      <ability>L2_HalfPunc_CN</ability>
      <abilityName>全半角问题</abilityName>
      <candidateList>
        <item>（</item>
      </candidateList>
      <explain>文本全半角错误。</explain>
      <paraID>606CF28D</paraID>
      <start>41</start>
      <end>42</end>
      <status>ignored</status>
      <modifiedWord/>
      <trackRevisions>false</trackRevisions>
    </reviewItem>
    <reviewItem>
      <errorID>091ba19c-f1cb-4c0c-b592-df2748380bc0</errorID>
      <errorWord>(</errorWord>
      <group>L1_Format</group>
      <groupName>格式问题</groupName>
      <ability>L2_HalfPunc_CN</ability>
      <abilityName>全半角问题</abilityName>
      <candidateList>
        <item>（</item>
      </candidateList>
      <explain>文本全半角错误。</explain>
      <paraID>24519660</paraID>
      <start>4</start>
      <end>5</end>
      <status>ignored</status>
      <modifiedWord/>
      <trackRevisions>false</trackRevisions>
    </reviewItem>
    <reviewItem>
      <errorID>8368a375-43a4-4a1d-a043-93ab9937b577</errorID>
      <errorWord>(</errorWord>
      <group>L1_Format</group>
      <groupName>格式问题</groupName>
      <ability>L2_HalfPunc_CN</ability>
      <abilityName>全半角问题</abilityName>
      <candidateList>
        <item>（</item>
      </candidateList>
      <explain>文本全半角错误。</explain>
      <paraID>4183377A</paraID>
      <start>2</start>
      <end>3</end>
      <status>ignored</status>
      <modifiedWord/>
      <trackRevisions>false</trackRevisions>
    </reviewItem>
    <reviewItem>
      <errorID>4fcc6b73-f21d-4f82-b0a9-62f7b37d748e</errorID>
      <errorWord>(</errorWord>
      <group>L1_Format</group>
      <groupName>格式问题</groupName>
      <ability>L2_HalfPunc_CN</ability>
      <abilityName>全半角问题</abilityName>
      <candidateList>
        <item>（</item>
      </candidateList>
      <explain>文本全半角错误。</explain>
      <paraID>717DDEF5</paraID>
      <start>3</start>
      <end>4</end>
      <status>ignored</status>
      <modifiedWord/>
      <trackRevisions>false</trackRevisions>
    </reviewItem>
    <reviewItem>
      <errorID>db6e31a7-eb5e-4055-9c08-102d901f8e0f</errorID>
      <errorWord>(</errorWord>
      <group>L1_Format</group>
      <groupName>格式问题</groupName>
      <ability>L2_HalfPunc_CN</ability>
      <abilityName>全半角问题</abilityName>
      <candidateList>
        <item>（</item>
      </candidateList>
      <explain>文本全半角错误。</explain>
      <paraID>500FD729</paraID>
      <start>4</start>
      <end>5</end>
      <status>ignored</status>
      <modifiedWord/>
      <trackRevisions>false</trackRevisions>
    </reviewItem>
    <reviewItem>
      <errorID>54503fc2-1053-40dd-8f40-3c79211a7d70</errorID>
      <errorWord>(</errorWord>
      <group>L1_Format</group>
      <groupName>格式问题</groupName>
      <ability>L2_HalfPunc_CN</ability>
      <abilityName>全半角问题</abilityName>
      <candidateList>
        <item>（</item>
      </candidateList>
      <explain>文本全半角错误。</explain>
      <paraID>35AC60FD</paraID>
      <start>2</start>
      <end>3</end>
      <status>ignored</status>
      <modifiedWord/>
      <trackRevisions>false</trackRevisions>
    </reviewItem>
    <reviewItem>
      <errorID>8b27d6e3-6d8a-4834-bc8f-8c9903f619b8</errorID>
      <errorWord>(</errorWord>
      <group>L1_Format</group>
      <groupName>格式问题</groupName>
      <ability>L2_HalfPunc_CN</ability>
      <abilityName>全半角问题</abilityName>
      <candidateList>
        <item>（</item>
      </candidateList>
      <explain>文本全半角错误。</explain>
      <paraID>53C60FEC</paraID>
      <start>3</start>
      <end>4</end>
      <status>ignored</status>
      <modifiedWord/>
      <trackRevisions>false</trackRevisions>
    </reviewItem>
    <reviewItem>
      <errorID>2dbe93e8-fe28-45a2-a1d7-6349b78c78a0</errorID>
      <errorWord>./</errorWord>
      <group>L1_Punc</group>
      <groupName>标点问题</groupName>
      <ability>L2_Punc_CN</ability>
      <abilityName>标点符号问题</abilityName>
      <candidateList>
        <item>.</item>
      </candidateList>
      <explain/>
      <paraID>4891DECF</paraID>
      <start>59</start>
      <end>61</end>
      <status>ignored</status>
      <modifiedWord/>
      <trackRevisions>false</trackRevisions>
    </reviewItem>
    <reviewItem>
      <errorID>d95ef6df-ef88-472d-ab6a-62e8dd1fac17</errorID>
      <errorWord>(</errorWord>
      <group>L1_Format</group>
      <groupName>格式问题</groupName>
      <ability>L2_HalfPunc_CN</ability>
      <abilityName>全半角问题</abilityName>
      <candidateList>
        <item>（</item>
      </candidateList>
      <explain>文本全半角错误。</explain>
      <paraID>6B4D440E</paraID>
      <start>5</start>
      <end>6</end>
      <status>ignored</status>
      <modifiedWord/>
      <trackRevisions>false</trackRevisions>
    </reviewItem>
    <reviewItem>
      <errorID>6d04a3f7-e5ab-41b9-9caa-24d1a9048c4b</errorID>
      <errorWord>./</errorWord>
      <group>L1_Punc</group>
      <groupName>标点问题</groupName>
      <ability>L2_Punc_CN</ability>
      <abilityName>标点符号问题</abilityName>
      <candidateList>
        <item>.</item>
      </candidateList>
      <explain/>
      <paraID>6B4D440E</paraID>
      <start>9</start>
      <end>11</end>
      <status>ignored</status>
      <modifiedWord/>
      <trackRevisions>false</trackRevisions>
    </reviewItem>
    <reviewItem>
      <errorID>56d7489f-741f-4376-b4ea-32c58d1ac5ea</errorID>
      <errorWord>(</errorWord>
      <group>L1_Format</group>
      <groupName>格式问题</groupName>
      <ability>L2_HalfPunc_CN</ability>
      <abilityName>全半角问题</abilityName>
      <candidateList>
        <item>（</item>
      </candidateList>
      <explain>文本全半角错误。</explain>
      <paraID>3A0E9770</paraID>
      <start>2</start>
      <end>3</end>
      <status>ignored</status>
      <modifiedWord/>
      <trackRevisions>false</trackRevisions>
    </reviewItem>
    <reviewItem>
      <errorID>5c829d1e-a10b-4aeb-85e6-85c8f35f0c69</errorID>
      <errorWord>(</errorWord>
      <group>L1_Format</group>
      <groupName>格式问题</groupName>
      <ability>L2_HalfPunc_CN</ability>
      <abilityName>全半角问题</abilityName>
      <candidateList>
        <item>（</item>
      </candidateList>
      <explain>文本全半角错误。</explain>
      <paraID> 9BE759E</paraID>
      <start>6</start>
      <end>7</end>
      <status>ignored</status>
      <modifiedWord/>
      <trackRevisions>false</trackRevisions>
    </reviewItem>
    <reviewItem>
      <errorID>62c00f13-793e-48e7-ae04-c9b686d80e28</errorID>
      <errorWord>(</errorWord>
      <group>L1_Format</group>
      <groupName>格式问题</groupName>
      <ability>L2_HalfPunc_CN</ability>
      <abilityName>全半角问题</abilityName>
      <candidateList>
        <item>（</item>
      </candidateList>
      <explain>文本全半角错误。</explain>
      <paraID>4B19D4C5</paraID>
      <start>7</start>
      <end>8</end>
      <status>ignored</status>
      <modifiedWord/>
      <trackRevisions>false</trackRevisions>
    </reviewItem>
    <reviewItem>
      <errorID>82314d47-1e6d-4565-a189-efcdb28a1548</errorID>
      <errorWord>./</errorWord>
      <group>L1_Punc</group>
      <groupName>标点问题</groupName>
      <ability>L2_Punc_CN</ability>
      <abilityName>标点符号问题</abilityName>
      <candidateList>
        <item>.</item>
      </candidateList>
      <explain/>
      <paraID>4B19D4C5</paraID>
      <start>11</start>
      <end>13</end>
      <status>ignored</status>
      <modifiedWord/>
      <trackRevisions>false</trackRevisions>
    </reviewItem>
    <reviewItem>
      <errorID>2e10461a-33e5-409a-b954-9d247e0bee7a</errorID>
      <errorWord>./</errorWord>
      <group>L1_Punc</group>
      <groupName>标点问题</groupName>
      <ability>L2_Punc_CN</ability>
      <abilityName>标点符号问题</abilityName>
      <candidateList>
        <item>.</item>
      </candidateList>
      <explain/>
      <paraID> 98854C2</paraID>
      <start>54</start>
      <end>56</end>
      <status>ignored</status>
      <modifiedWord/>
      <trackRevisions>false</trackRevisions>
    </reviewItem>
    <reviewItem>
      <errorID>b8e68b69-ee12-4680-810b-ab01fcc530cd</errorID>
      <errorWord>(</errorWord>
      <group>L1_Format</group>
      <groupName>格式问题</groupName>
      <ability>L2_HalfPunc_CN</ability>
      <abilityName>全半角问题</abilityName>
      <candidateList>
        <item>（</item>
      </candidateList>
      <explain>文本全半角错误。</explain>
      <paraID>48D5E3CF</paraID>
      <start>5</start>
      <end>6</end>
      <status>ignored</status>
      <modifiedWord/>
      <trackRevisions>false</trackRevisions>
    </reviewItem>
    <reviewItem>
      <errorID>febe821d-0b06-476e-bd78-a50cec611f57</errorID>
      <errorWord>./</errorWord>
      <group>L1_Punc</group>
      <groupName>标点问题</groupName>
      <ability>L2_Punc_CN</ability>
      <abilityName>标点符号问题</abilityName>
      <candidateList>
        <item>.</item>
      </candidateList>
      <explain/>
      <paraID>48D5E3CF</paraID>
      <start>9</start>
      <end>11</end>
      <status>ignored</status>
      <modifiedWord/>
      <trackRevisions>false</trackRevisions>
    </reviewItem>
    <reviewItem>
      <errorID>4a6be35a-64c0-4da4-a353-0b49943478a6</errorID>
      <errorWord>(</errorWord>
      <group>L1_Format</group>
      <groupName>格式问题</groupName>
      <ability>L2_HalfPunc_CN</ability>
      <abilityName>全半角问题</abilityName>
      <candidateList>
        <item>（</item>
      </candidateList>
      <explain>文本全半角错误。</explain>
      <paraID>4E1342FE</paraID>
      <start>2</start>
      <end>3</end>
      <status>ignored</status>
      <modifiedWord/>
      <trackRevisions>false</trackRevisions>
    </reviewItem>
    <reviewItem>
      <errorID>9ac502f2-05e6-4c6a-ad61-2e5b856ead84</errorID>
      <errorWord>(</errorWord>
      <group>L1_Format</group>
      <groupName>格式问题</groupName>
      <ability>L2_HalfPunc_CN</ability>
      <abilityName>全半角问题</abilityName>
      <candidateList>
        <item>（</item>
      </candidateList>
      <explain>文本全半角错误。</explain>
      <paraID>3DE9DA4E</paraID>
      <start>3</start>
      <end>4</end>
      <status>ignored</status>
      <modifiedWord/>
      <trackRevisions>false</trackRevisions>
    </reviewItem>
    <reviewItem>
      <errorID>1585939f-90aa-4abf-9dd9-7ad924cf009d</errorID>
      <errorWord>./</errorWord>
      <group>L1_Punc</group>
      <groupName>标点问题</groupName>
      <ability>L2_Punc_CN</ability>
      <abilityName>标点符号问题</abilityName>
      <candidateList>
        <item>.</item>
      </candidateList>
      <explain/>
      <paraID>3DE9DA4E</paraID>
      <start>7</start>
      <end>9</end>
      <status>ignored</status>
      <modifiedWord/>
      <trackRevisions>false</trackRevisions>
    </reviewItem>
    <reviewItem>
      <errorID>1220f9c8-8380-4ff5-8b61-f69d0332acd3</errorID>
      <errorWord>./</errorWord>
      <group>L1_Punc</group>
      <groupName>标点问题</groupName>
      <ability>L2_Punc_CN</ability>
      <abilityName>标点符号问题</abilityName>
      <candidateList>
        <item>.</item>
      </candidateList>
      <explain/>
      <paraID>1C03AC7A</paraID>
      <start>62</start>
      <end>64</end>
      <status>ignored</status>
      <modifiedWord/>
      <trackRevisions>false</trackRevisions>
    </reviewItem>
    <reviewItem>
      <errorID>7f761592-c245-4daa-b4be-40bf52cbc37b</errorID>
      <errorWord>(</errorWord>
      <group>L1_Format</group>
      <groupName>格式问题</groupName>
      <ability>L2_HalfPunc_CN</ability>
      <abilityName>全半角问题</abilityName>
      <candidateList>
        <item>（</item>
      </candidateList>
      <explain>文本全半角错误。</explain>
      <paraID>39E92A60</paraID>
      <start>5</start>
      <end>6</end>
      <status>ignored</status>
      <modifiedWord/>
      <trackRevisions>false</trackRevisions>
    </reviewItem>
    <reviewItem>
      <errorID>d2d1958b-e511-430c-8910-f6bf0998a492</errorID>
      <errorWord>./</errorWord>
      <group>L1_Punc</group>
      <groupName>标点问题</groupName>
      <ability>L2_Punc_CN</ability>
      <abilityName>标点符号问题</abilityName>
      <candidateList>
        <item>.</item>
      </candidateList>
      <explain/>
      <paraID>39E92A60</paraID>
      <start>9</start>
      <end>11</end>
      <status>ignored</status>
      <modifiedWord/>
      <trackRevisions>false</trackRevisions>
    </reviewItem>
    <reviewItem>
      <errorID>8f65fe08-b145-4296-ab3d-39ec7c2d3719</errorID>
      <errorWord>(</errorWord>
      <group>L1_Format</group>
      <groupName>格式问题</groupName>
      <ability>L2_HalfPunc_CN</ability>
      <abilityName>全半角问题</abilityName>
      <candidateList>
        <item>（</item>
      </candidateList>
      <explain>文本全半角错误。</explain>
      <paraID>299605ED</paraID>
      <start>2</start>
      <end>3</end>
      <status>ignored</status>
      <modifiedWord/>
      <trackRevisions>false</trackRevisions>
    </reviewItem>
    <reviewItem>
      <errorID>3d5b3a28-63c1-4689-bfd8-285479e8daac</errorID>
      <errorWord>(</errorWord>
      <group>L1_Format</group>
      <groupName>格式问题</groupName>
      <ability>L2_HalfPunc_CN</ability>
      <abilityName>全半角问题</abilityName>
      <candidateList>
        <item>（</item>
      </candidateList>
      <explain>文本全半角错误。</explain>
      <paraID>7C55A1EC</paraID>
      <start>4</start>
      <end>5</end>
      <status>ignored</status>
      <modifiedWord/>
      <trackRevisions>false</trackRevisions>
    </reviewItem>
    <reviewItem>
      <errorID>656566e1-d471-43a8-bcab-aae05dc45609</errorID>
      <errorWord>./</errorWord>
      <group>L1_Punc</group>
      <groupName>标点问题</groupName>
      <ability>L2_Punc_CN</ability>
      <abilityName>标点符号问题</abilityName>
      <candidateList>
        <item>.</item>
      </candidateList>
      <explain/>
      <paraID>7C55A1EC</paraID>
      <start>8</start>
      <end>10</end>
      <status>ignored</status>
      <modifiedWord/>
      <trackRevisions>false</trackRevisions>
    </reviewItem>
    <reviewItem>
      <errorID>ed564bec-d51c-4ca5-bc6d-dc578ba404b0</errorID>
      <errorWord>(</errorWord>
      <group>L1_Format</group>
      <groupName>格式问题</groupName>
      <ability>L2_HalfPunc_CN</ability>
      <abilityName>全半角问题</abilityName>
      <candidateList>
        <item>（</item>
      </candidateList>
      <explain>文本全半角错误。</explain>
      <paraID>2A147DE1</paraID>
      <start>55</start>
      <end>56</end>
      <status>ignored</status>
      <modifiedWord/>
      <trackRevisions>false</trackRevisions>
    </reviewItem>
    <reviewItem>
      <errorID>83b9cd33-6061-4ef0-a3fb-d32cd499c5be</errorID>
      <errorWord>其它</errorWord>
      <group>L1_Word</group>
      <groupName>字词问题</groupName>
      <ability>L2_Alias</ability>
      <abilityName>也作/曾用词</abilityName>
      <candidateList>
        <item>其他</item>
      </candidateList>
      <explain>词汇[其它]为不规范表述或旧称，其规范书面表述为[其他]。</explain>
      <paraID>7CBDA9EF</paraID>
      <start>87</start>
      <end>89</end>
      <status>modified</status>
      <modifiedWord>其他</modifiedWord>
      <trackRevisions>false</trackRevisions>
    </reviewItem>
    <reviewItem>
      <errorID>1b4e857c-160a-4047-92ce-dd5b4e90dde2</errorID>
      <errorWord>(</errorWord>
      <group>L1_Format</group>
      <groupName>格式问题</groupName>
      <ability>L2_HalfPunc_CN</ability>
      <abilityName>全半角问题</abilityName>
      <candidateList>
        <item>（</item>
      </candidateList>
      <explain>文本全半角错误。</explain>
      <paraID>6A1761EA</paraID>
      <start>7</start>
      <end>8</end>
      <status>ignored</status>
      <modifiedWord/>
      <trackRevisions>false</trackRevisions>
    </reviewItem>
    <reviewItem>
      <errorID>84dfd49b-74c1-40db-a59a-6b8603705a94</errorID>
      <errorWord>(</errorWord>
      <group>L1_Format</group>
      <groupName>格式问题</groupName>
      <ability>L2_HalfPunc_CN</ability>
      <abilityName>全半角问题</abilityName>
      <candidateList>
        <item>（</item>
      </candidateList>
      <explain>文本全半角错误。</explain>
      <paraID>4A2D4D1C</paraID>
      <start>2</start>
      <end>3</end>
      <status>ignored</status>
      <modifiedWord/>
      <trackRevisions>false</trackRevisions>
    </reviewItem>
    <reviewItem>
      <errorID>33db8a6e-3551-4fd1-8cbb-8a4f33cddea4</errorID>
      <errorWord>(</errorWord>
      <group>L1_Format</group>
      <groupName>格式问题</groupName>
      <ability>L2_HalfPunc_CN</ability>
      <abilityName>全半角问题</abilityName>
      <candidateList>
        <item>（</item>
      </candidateList>
      <explain>文本全半角错误。</explain>
      <paraID>78FFABDB</paraID>
      <start>3</start>
      <end>4</end>
      <status>ignored</status>
      <modifiedWord/>
      <trackRevisions>false</trackRevisions>
    </reviewItem>
    <reviewItem>
      <errorID>b4ef86d5-f8d4-4574-a881-1b22556fb075</errorID>
      <errorWord>(</errorWord>
      <group>L1_Format</group>
      <groupName>格式问题</groupName>
      <ability>L2_HalfPunc_CN</ability>
      <abilityName>全半角问题</abilityName>
      <candidateList>
        <item>（</item>
      </candidateList>
      <explain>文本全半角错误。</explain>
      <paraID>67DAAAAD</paraID>
      <start>8</start>
      <end>9</end>
      <status>ignored</status>
      <modifiedWord/>
      <trackRevisions>false</trackRevisions>
    </reviewItem>
    <reviewItem>
      <errorID>4983213a-9f4e-4034-8fbd-ab9c62fb0586</errorID>
      <errorWord>(</errorWord>
      <group>L1_Format</group>
      <groupName>格式问题</groupName>
      <ability>L2_HalfPunc_CN</ability>
      <abilityName>全半角问题</abilityName>
      <candidateList>
        <item>（</item>
      </candidateList>
      <explain>文本全半角错误。</explain>
      <paraID> C3178B5</paraID>
      <start>7</start>
      <end>8</end>
      <status>ignored</status>
      <modifiedWord/>
      <trackRevisions>false</trackRevisions>
    </reviewItem>
    <reviewItem>
      <errorID>4e3c17b5-3268-4b5a-83f5-1922d239bc55</errorID>
      <errorWord>(</errorWord>
      <group>L1_Format</group>
      <groupName>格式问题</groupName>
      <ability>L2_HalfPunc_CN</ability>
      <abilityName>全半角问题</abilityName>
      <candidateList>
        <item>（</item>
      </candidateList>
      <explain>文本全半角错误。</explain>
      <paraID>1F9C061E</paraID>
      <start>2</start>
      <end>3</end>
      <status>ignored</status>
      <modifiedWord/>
      <trackRevisions>false</trackRevisions>
    </reviewItem>
    <reviewItem>
      <errorID>909855fb-dcf9-430e-b9a1-58260dda861f</errorID>
      <errorWord>(</errorWord>
      <group>L1_Format</group>
      <groupName>格式问题</groupName>
      <ability>L2_HalfPunc_CN</ability>
      <abilityName>全半角问题</abilityName>
      <candidateList>
        <item>（</item>
      </candidateList>
      <explain>文本全半角错误。</explain>
      <paraID>5B873D66</paraID>
      <start>3</start>
      <end>4</end>
      <status>ignored</status>
      <modifiedWord/>
      <trackRevisions>false</trackRevisions>
    </reviewItem>
    <reviewItem>
      <errorID>9a6c84cc-3b65-41b1-ad09-e95826482efe</errorID>
      <errorWord>(</errorWord>
      <group>L1_Format</group>
      <groupName>格式问题</groupName>
      <ability>L2_HalfPunc_CN</ability>
      <abilityName>全半角问题</abilityName>
      <candidateList>
        <item>（</item>
      </candidateList>
      <explain>文本全半角错误。</explain>
      <paraID> 6F1FD03</paraID>
      <start>8</start>
      <end>9</end>
      <status>ignored</status>
      <modifiedWord/>
      <trackRevisions>false</trackRevisions>
    </reviewItem>
    <reviewItem>
      <errorID>8271dc74-c622-46cb-87c7-546f49bea5ab</errorID>
      <errorWord>(</errorWord>
      <group>L1_Format</group>
      <groupName>格式问题</groupName>
      <ability>L2_HalfPunc_CN</ability>
      <abilityName>全半角问题</abilityName>
      <candidateList>
        <item>（</item>
      </candidateList>
      <explain>文本全半角错误。</explain>
      <paraID> 33C87BC</paraID>
      <start>3</start>
      <end>4</end>
      <status>ignored</status>
      <modifiedWord/>
      <trackRevisions>false</trackRevisions>
    </reviewItem>
    <reviewItem>
      <errorID>c099bd79-8c1c-4e5a-93ff-a2aa56e556b8</errorID>
      <errorWord>(</errorWord>
      <group>L1_Format</group>
      <groupName>格式问题</groupName>
      <ability>L2_HalfPunc_CN</ability>
      <abilityName>全半角问题</abilityName>
      <candidateList>
        <item>（</item>
      </candidateList>
      <explain>文本全半角错误。</explain>
      <paraID>3E373408</paraID>
      <start>2</start>
      <end>3</end>
      <status>ignored</status>
      <modifiedWord/>
      <trackRevisions>false</trackRevisions>
    </reviewItem>
    <reviewItem>
      <errorID>5c54f9a6-a7cd-4284-949a-eae7786678fd</errorID>
      <errorWord>(</errorWord>
      <group>L1_Format</group>
      <groupName>格式问题</groupName>
      <ability>L2_HalfPunc_CN</ability>
      <abilityName>全半角问题</abilityName>
      <candidateList>
        <item>（</item>
      </candidateList>
      <explain>文本全半角错误。</explain>
      <paraID>76DC9E12</paraID>
      <start>3</start>
      <end>4</end>
      <status>ignored</status>
      <modifiedWord/>
      <trackRevisions>false</trackRevisions>
    </reviewItem>
    <reviewItem>
      <errorID>d20f037d-d7a5-44ca-96a2-d99570d9bce0</errorID>
      <errorWord>(</errorWord>
      <group>L1_Format</group>
      <groupName>格式问题</groupName>
      <ability>L2_HalfPunc_CN</ability>
      <abilityName>全半角问题</abilityName>
      <candidateList>
        <item>（</item>
      </candidateList>
      <explain>文本全半角错误。</explain>
      <paraID>1D5BC32F</paraID>
      <start>3</start>
      <end>4</end>
      <status>ignored</status>
      <modifiedWord/>
      <trackRevisions>false</trackRevisions>
    </reviewItem>
    <reviewItem>
      <errorID>c800b131-711e-4776-a75b-2658b2bee78a</errorID>
      <errorWord>(</errorWord>
      <group>L1_Format</group>
      <groupName>格式问题</groupName>
      <ability>L2_HalfPunc_CN</ability>
      <abilityName>全半角问题</abilityName>
      <candidateList>
        <item>（</item>
      </candidateList>
      <explain>文本全半角错误。</explain>
      <paraID>1C8BD77D</paraID>
      <start>2</start>
      <end>3</end>
      <status>ignored</status>
      <modifiedWord/>
      <trackRevisions>false</trackRevisions>
    </reviewItem>
    <reviewItem>
      <errorID>b3faf8d9-4223-4475-8d50-d0a6fd909a83</errorID>
      <errorWord>(</errorWord>
      <group>L1_Format</group>
      <groupName>格式问题</groupName>
      <ability>L2_HalfPunc_CN</ability>
      <abilityName>全半角问题</abilityName>
      <candidateList>
        <item>（</item>
      </candidateList>
      <explain>文本全半角错误。</explain>
      <paraID> 610C071</paraID>
      <start>3</start>
      <end>4</end>
      <status>ignored</status>
      <modifiedWord/>
      <trackRevisions>false</trackRevisions>
    </reviewItem>
    <reviewItem>
      <errorID>70991230-141d-4f92-942a-8222797d44aa</errorID>
      <errorWord>(</errorWord>
      <group>L1_Format</group>
      <groupName>格式问题</groupName>
      <ability>L2_HalfPunc_CN</ability>
      <abilityName>全半角问题</abilityName>
      <candidateList>
        <item>（</item>
      </candidateList>
      <explain>文本全半角错误。</explain>
      <paraID>7F4C32E0</paraID>
      <start>212</start>
      <end>213</end>
      <status>ignored</status>
      <modifiedWord/>
      <trackRevisions>false</trackRevisions>
    </reviewItem>
    <reviewItem>
      <errorID>659bfdac-ee1b-4fb5-a3d7-c8e7100236d7</errorID>
      <errorWord>(</errorWord>
      <group>L1_Format</group>
      <groupName>格式问题</groupName>
      <ability>L2_HalfPunc_CN</ability>
      <abilityName>全半角问题</abilityName>
      <candidateList>
        <item>（</item>
      </candidateList>
      <explain>文本全半角错误。</explain>
      <paraID>35203EC1</paraID>
      <start>6</start>
      <end>7</end>
      <status>ignored</status>
      <modifiedWord/>
      <trackRevisions>false</trackRevisions>
    </reviewItem>
    <reviewItem>
      <errorID>b827c223-2ecb-4119-9b6b-705680db38c7</errorID>
      <errorWord>(</errorWord>
      <group>L1_Format</group>
      <groupName>格式问题</groupName>
      <ability>L2_HalfPunc_CN</ability>
      <abilityName>全半角问题</abilityName>
      <candidateList>
        <item>（</item>
      </candidateList>
      <explain>文本全半角错误。</explain>
      <paraID>4DE0C414</paraID>
      <start>2</start>
      <end>3</end>
      <status>ignored</status>
      <modifiedWord/>
      <trackRevisions>false</trackRevisions>
    </reviewItem>
    <reviewItem>
      <errorID>786ff07f-294c-4cf8-90db-a39a99d3891c</errorID>
      <errorWord>(</errorWord>
      <group>L1_Format</group>
      <groupName>格式问题</groupName>
      <ability>L2_HalfPunc_CN</ability>
      <abilityName>全半角问题</abilityName>
      <candidateList>
        <item>（</item>
      </candidateList>
      <explain>文本全半角错误。</explain>
      <paraID>19B97FF9</paraID>
      <start>3</start>
      <end>4</end>
      <status>ignored</status>
      <modifiedWord/>
      <trackRevisions>false</trackRevisions>
    </reviewItem>
    <reviewItem>
      <errorID>b49fbfb1-cab7-4242-8e2c-7d973a64ea6c</errorID>
      <errorWord>(</errorWord>
      <group>L1_Format</group>
      <groupName>格式问题</groupName>
      <ability>L2_HalfPunc_CN</ability>
      <abilityName>全半角问题</abilityName>
      <candidateList>
        <item>（</item>
      </candidateList>
      <explain>文本全半角错误。</explain>
      <paraID>207FAA9D</paraID>
      <start>8</start>
      <end>9</end>
      <status>ignored</status>
      <modifiedWord/>
      <trackRevisions>false</trackRevisions>
    </reviewItem>
    <reviewItem>
      <errorID>4b6257ca-802e-4db4-9af1-87730449a01a</errorID>
      <errorWord>(</errorWord>
      <group>L1_Format</group>
      <groupName>格式问题</groupName>
      <ability>L2_HalfPunc_CN</ability>
      <abilityName>全半角问题</abilityName>
      <candidateList>
        <item>（</item>
      </candidateList>
      <explain>文本全半角错误。</explain>
      <paraID>61BB0F5D</paraID>
      <start>3</start>
      <end>4</end>
      <status>ignored</status>
      <modifiedWord/>
      <trackRevisions>false</trackRevisions>
    </reviewItem>
    <reviewItem>
      <errorID>4c1a32cc-90f8-4b53-bd3d-60d576e0593a</errorID>
      <errorWord>(</errorWord>
      <group>L1_Format</group>
      <groupName>格式问题</groupName>
      <ability>L2_HalfPunc_CN</ability>
      <abilityName>全半角问题</abilityName>
      <candidateList>
        <item>（</item>
      </candidateList>
      <explain>文本全半角错误。</explain>
      <paraID>1BE60B56</paraID>
      <start>2</start>
      <end>3</end>
      <status>ignored</status>
      <modifiedWord/>
      <trackRevisions>false</trackRevisions>
    </reviewItem>
    <reviewItem>
      <errorID>510f239e-1c58-4104-9483-6f39aea4f90a</errorID>
      <errorWord>(</errorWord>
      <group>L1_Format</group>
      <groupName>格式问题</groupName>
      <ability>L2_HalfPunc_CN</ability>
      <abilityName>全半角问题</abilityName>
      <candidateList>
        <item>（</item>
      </candidateList>
      <explain>文本全半角错误。</explain>
      <paraID>1B0197E6</paraID>
      <start>3</start>
      <end>4</end>
      <status>ignored</status>
      <modifiedWord/>
      <trackRevisions>false</trackRevisions>
    </reviewItem>
    <reviewItem>
      <errorID>34bf0092-45b7-4ffc-969d-fd99dd46aef5</errorID>
      <errorWord>(</errorWord>
      <group>L1_Format</group>
      <groupName>格式问题</groupName>
      <ability>L2_HalfPunc_CN</ability>
      <abilityName>全半角问题</abilityName>
      <candidateList>
        <item>（</item>
      </candidateList>
      <explain>文本全半角错误。</explain>
      <paraID>6C39B11E</paraID>
      <start>3</start>
      <end>4</end>
      <status>ignored</status>
      <modifiedWord/>
      <trackRevisions>false</trackRevisions>
    </reviewItem>
    <reviewItem>
      <errorID>f4eb3c76-b65f-42f1-ae3c-49539c9d37ba</errorID>
      <errorWord>(</errorWord>
      <group>L1_Format</group>
      <groupName>格式问题</groupName>
      <ability>L2_HalfPunc_CN</ability>
      <abilityName>全半角问题</abilityName>
      <candidateList>
        <item>（</item>
      </candidateList>
      <explain>文本全半角错误。</explain>
      <paraID>4E44347C</paraID>
      <start>2</start>
      <end>3</end>
      <status>ignored</status>
      <modifiedWord/>
      <trackRevisions>false</trackRevisions>
    </reviewItem>
    <reviewItem>
      <errorID>706f459e-cf59-4d3f-a4da-31b79701b534</errorID>
      <errorWord>(</errorWord>
      <group>L1_Format</group>
      <groupName>格式问题</groupName>
      <ability>L2_HalfPunc_CN</ability>
      <abilityName>全半角问题</abilityName>
      <candidateList>
        <item>（</item>
      </candidateList>
      <explain>文本全半角错误。</explain>
      <paraID>79009BBF</paraID>
      <start>3</start>
      <end>4</end>
      <status>ignored</status>
      <modifiedWord/>
      <trackRevisions>false</trackRevisions>
    </reviewItem>
    <reviewItem>
      <errorID>64d220c0-510d-4920-81d4-c4e257280d72</errorID>
      <errorWord>临近</errorWord>
      <group>L1_Word</group>
      <groupName>字词问题</groupName>
      <ability>L2_Typo</ability>
      <abilityName>字词错误</abilityName>
      <candidateList>
        <item>邻近</item>
      </candidateList>
      <explain>存在发音相同字词的误用。</explain>
      <paraID>4CB423E9</paraID>
      <start>72</start>
      <end>74</end>
      <status>modified</status>
      <modifiedWord>邻近</modifiedWord>
      <trackRevisions>false</trackRevisions>
    </reviewItem>
    <reviewItem>
      <errorID>d5ac52ff-539c-4038-b579-61a4fd8bd4be</errorID>
      <errorWord>临近</errorWord>
      <group>L1_Word</group>
      <groupName>字词问题</groupName>
      <ability>L2_Typo</ability>
      <abilityName>字词错误</abilityName>
      <candidateList>
        <item>邻近</item>
      </candidateList>
      <explain>存在发音相同字词的误用。</explain>
      <paraID>5281810F</paraID>
      <start>54</start>
      <end>56</end>
      <status>modified</status>
      <modifiedWord>邻近</modifiedWord>
      <trackRevisions>false</trackRevisions>
    </reviewItem>
    <reviewItem>
      <errorID>b82d5e1a-0cde-4159-87a8-7abe43d2e5e0</errorID>
      <errorWord>物</errorWord>
      <group>L1_Word</group>
      <groupName>字词问题</groupName>
      <ability>L2_Typo</ability>
      <abilityName>字词错误</abilityName>
      <candidateList>
        <item>物和</item>
      </candidateList>
      <explain/>
      <paraID>7A6D90D2</paraID>
      <start>64</start>
      <end>66</end>
      <status>modified</status>
      <modifiedWord>物和</modifiedWord>
      <trackRevisions>false</trackRevisions>
    </reviewItem>
    <reviewItem>
      <errorID>1af66d2e-3b54-4f89-ae10-b918d6e40f65</errorID>
      <errorWord>造成了</errorWord>
      <group>L1_Word</group>
      <groupName>字词问题</groupName>
      <ability>L2_Typo</ability>
      <abilityName>字词错误</abilityName>
      <candidateList>
        <item>造成</item>
      </candidateList>
      <explain/>
      <paraID>7A6D90D2</paraID>
      <start>118</start>
      <end>120</end>
      <status>modified</status>
      <modifiedWord>造成</modifiedWord>
      <trackRevisions>false</trackRevisions>
    </reviewItem>
    <reviewItem>
      <errorID>1fa662ff-1114-460f-b341-b0d555859bb7</errorID>
      <errorWord>征状</errorWord>
      <group>L1_Word</group>
      <groupName>字词问题</groupName>
      <ability>L2_Typo</ability>
      <abilityName>字词错误</abilityName>
      <candidateList>
        <item>症状</item>
      </candidateList>
      <explain/>
      <paraID>54641413</paraID>
      <start>90</start>
      <end>92</end>
      <status>modified</status>
      <modifiedWord>症状</modifiedWord>
      <trackRevisions>false</trackRevisions>
    </reviewItem>
    <reviewItem>
      <errorID>74567180-b9db-406d-b02a-6691acd90afe</errorID>
      <errorWord>stiver</errorWord>
      <group>L1_English</group>
      <groupName>英文问题</groupName>
      <ability>L2_Case</ability>
      <abilityName>大小写问题</abilityName>
      <candidateList>
        <item>Stiver</item>
      </candidateList>
      <explain>疑似单词大小写错误，建议将stiver修改为Stiver</explain>
      <paraID>1B90781E</paraID>
      <start>60</start>
      <end>66</end>
      <status>modified</status>
      <modifiedWord>Stiver</modifiedWord>
      <trackRevisions>false</trackRevisions>
    </reviewItem>
    <reviewItem>
      <errorID>1ff26877-9f63-4f19-b083-95c483d9b620</errorID>
      <errorWord>步</errorWord>
      <group>L1_Word</group>
      <groupName>字词问题</groupName>
      <ability>L2_Typo</ability>
      <abilityName>字词错误</abilityName>
      <candidateList>
        <item>不</item>
      </candidateList>
      <explain/>
      <paraID>3535D170</paraID>
      <start>2</start>
      <end>3</end>
      <status>unmodified</status>
      <modifiedWord/>
      <trackRevisions>false</trackRevisions>
    </reviewItem>
    <reviewItem>
      <errorID>987d204c-cf76-469c-994f-adb3debf74ed</errorID>
      <errorWord>粘附</errorWord>
      <group>L1_Word</group>
      <groupName>字词问题</groupName>
      <ability>L2_Alias</ability>
      <abilityName>也作/曾用词</abilityName>
      <candidateList>
        <item>黏附</item>
      </candidateList>
      <explain>词汇[粘附]为不规范表述或旧称，其规范书面表述为[黏附]。</explain>
      <paraID>23FFB08C</paraID>
      <start>106</start>
      <end>108</end>
      <status>unmodified</status>
      <modifiedWord/>
      <trackRevisions>false</trackRevisions>
    </reviewItem>
    <reviewItem>
      <errorID>b2ba4b9f-c7f5-4c2a-95b1-0ae69cf6b18a</errorID>
      <errorWord>必需</errorWord>
      <group>L1_Word</group>
      <groupName>字词问题</groupName>
      <ability>L2_Typo</ability>
      <abilityName>字词错误</abilityName>
      <candidateList>
        <item>必须</item>
      </candidateList>
      <explain>存在发音相同字词的误用。</explain>
      <paraID>17E082CA</paraID>
      <start>28</start>
      <end>30</end>
      <status>modified</status>
      <modifiedWord>必须</modifiedWord>
      <trackRevisions>false</trackRevisions>
    </reviewItem>
    <reviewItem>
      <errorID>2bcd61a9-fd76-4ade-9888-27286ec25275</errorID>
      <errorWord>送</errorWord>
      <group>L1_Word</group>
      <groupName>字词问题</groupName>
      <ability>L2_Typo</ability>
      <abilityName>字词错误</abilityName>
      <candidateList>
        <item>送和</item>
      </candidateList>
      <explain/>
      <paraID>11F85A2F</paraID>
      <start>157</start>
      <end>159</end>
      <status>modified</status>
      <modifiedWord>送和</modifiedWord>
      <trackRevisions>false</trackRevisions>
    </reviewItem>
    <reviewItem>
      <errorID>7798db03-a4f6-457e-86da-9ceb2f3f9244</errorID>
      <errorWord>i、</errorWord>
      <group>L1_Format</group>
      <groupName>格式问题</groupName>
      <ability>L2_Ordinal</ability>
      <abilityName>序号格式</abilityName>
      <candidateList>
        <item>i.</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1656C199</paraID>
      <start>16</start>
      <end>18</end>
      <status>unmodified</status>
      <modifiedWord/>
      <trackRevisions>false</trackRevisions>
    </reviewItem>
    <reviewItem>
      <errorID>0d301a40-d480-4768-b487-5ae3a896fa5a</errorID>
      <errorWord>ii</errorWord>
      <group>L1_Knowledge</group>
      <groupName>知识性问题</groupName>
      <ability>L2_Knowledge</ability>
      <abilityName>其他知识</abilityName>
      <candidateList>
        <item>ⅱ</item>
      </candidateList>
      <explain>中文环境下罗马数字格式错误。</explain>
      <paraID>404E32C6</paraID>
      <start>16</start>
      <end>18</end>
      <status>unmodified</status>
      <modifiedWord/>
      <trackRevisions>false</trackRevisions>
    </reviewItem>
    <reviewItem>
      <errorID>cab9e4fe-8152-4086-81af-dae1729ce1e6</errorID>
      <errorWord>iii</errorWord>
      <group>L1_Knowledge</group>
      <groupName>知识性问题</groupName>
      <ability>L2_Knowledge</ability>
      <abilityName>其他知识</abilityName>
      <candidateList>
        <item>ⅲ</item>
      </candidateList>
      <explain>中文环境下罗马数字格式错误。</explain>
      <paraID>1D7071C9</paraID>
      <start>16</start>
      <end>19</end>
      <status>unmodified</status>
      <modifiedWord/>
      <trackRevisions>false</trackRevisions>
    </reviewItem>
    <reviewItem>
      <errorID>af653f67-7e52-4b58-9ea5-1c816e0771e6</errorID>
      <errorWord>(</errorWord>
      <group>L1_Format</group>
      <groupName>格式问题</groupName>
      <ability>L2_HalfPunc_CN</ability>
      <abilityName>全半角问题</abilityName>
      <candidateList>
        <item>（</item>
      </candidateList>
      <explain>文本全半角错误。</explain>
      <paraID>646644F0</paraID>
      <start>57</start>
      <end>58</end>
      <status>ignored</status>
      <modifiedWord/>
      <trackRevisions>false</trackRevisions>
    </reviewItem>
    <reviewItem>
      <errorID>1ada40ee-835c-4fb6-b466-e6c397f992bf</errorID>
      <errorWord>干扰能</errorWord>
      <group>L1_Knowledge</group>
      <groupName>知识性问题</groupName>
      <ability>L2_Term</ability>
      <abilityName>专业术语</abilityName>
      <candidateList>
        <item>干扰素</item>
      </candidateList>
      <explain>医学名词[干扰能]为不规范表述或旧称，其规范书面表述为[干扰素]。</explain>
      <paraID>3C206BFF</paraID>
      <start>65</start>
      <end>68</end>
      <status>unmodified</status>
      <modifiedWord/>
      <trackRevisions>false</trackRevisions>
    </reviewItem>
    <reviewItem>
      <errorID>9dc493c1-e43d-4a53-9971-2135a69ed681</errorID>
      <errorWord>(</errorWord>
      <group>L1_Format</group>
      <groupName>格式问题</groupName>
      <ability>L2_HalfPunc_CN</ability>
      <abilityName>全半角问题</abilityName>
      <candidateList>
        <item>（</item>
      </candidateList>
      <explain>文本全半角错误。</explain>
      <paraID>  5E0EE8</paraID>
      <start>227</start>
      <end>228</end>
      <status>ignored</status>
      <modifiedWord/>
      <trackRevisions>false</trackRevisions>
    </reviewItem>
    <reviewItem>
      <errorID>77f7b324-4d26-4217-9d10-e311d583a27b</errorID>
      <errorWord>(</errorWord>
      <group>L1_Format</group>
      <groupName>格式问题</groupName>
      <ability>L2_HalfPunc_CN</ability>
      <abilityName>全半角问题</abilityName>
      <candidateList>
        <item>（</item>
      </candidateList>
      <explain>文本全半角错误。</explain>
      <paraID>71753566</paraID>
      <start>33</start>
      <end>34</end>
      <status>ignored</status>
      <modifiedWord/>
      <trackRevisions>false</trackRevisions>
    </reviewItem>
    <reviewItem>
      <errorID>6dd40b35-395c-44d9-8d5a-8c5d98530b73</errorID>
      <errorWord>(</errorWord>
      <group>L1_Format</group>
      <groupName>格式问题</groupName>
      <ability>L2_HalfPunc_CN</ability>
      <abilityName>全半角问题</abilityName>
      <candidateList>
        <item>（</item>
      </candidateList>
      <explain>文本全半角错误。</explain>
      <paraID>20C90C4C</paraID>
      <start>122</start>
      <end>123</end>
      <status>ignored</status>
      <modifiedWord/>
      <trackRevisions>false</trackRevisions>
    </reviewItem>
    <reviewItem>
      <errorID>1a9060b4-600f-4df8-b62c-1e5ad8cc864a</errorID>
      <errorWord>(</errorWord>
      <group>L1_Format</group>
      <groupName>格式问题</groupName>
      <ability>L2_HalfPunc_CN</ability>
      <abilityName>全半角问题</abilityName>
      <candidateList>
        <item>（</item>
      </candidateList>
      <explain>文本全半角错误。</explain>
      <paraID>7927FC4C</paraID>
      <start>109</start>
      <end>110</end>
      <status>ignored</status>
      <modifiedWord/>
      <trackRevisions>false</trackRevisions>
    </reviewItem>
    <reviewItem>
      <errorID>c4c1e116-bff9-42a6-b8f0-78b0b5d481bb</errorID>
      <errorWord>(</errorWord>
      <group>L1_Format</group>
      <groupName>格式问题</groupName>
      <ability>L2_HalfPunc_CN</ability>
      <abilityName>全半角问题</abilityName>
      <candidateList>
        <item>（</item>
      </candidateList>
      <explain>文本全半角错误。</explain>
      <paraID> 82C2D2F</paraID>
      <start>22</start>
      <end>23</end>
      <status>ignored</status>
      <modifiedWord/>
      <trackRevisions>false</trackRevisions>
    </reviewItem>
    <reviewItem>
      <errorID>5e122cee-a97e-47c5-8eca-027b961e1c42</errorID>
      <errorWord>(</errorWord>
      <group>L1_Format</group>
      <groupName>格式问题</groupName>
      <ability>L2_HalfPunc_CN</ability>
      <abilityName>全半角问题</abilityName>
      <candidateList>
        <item>（</item>
      </candidateList>
      <explain>文本全半角错误。</explain>
      <paraID>1D69B1FA</paraID>
      <start>25</start>
      <end>26</end>
      <status>ignored</status>
      <modifiedWord/>
      <trackRevisions>false</trackRevisions>
    </reviewItem>
    <reviewItem>
      <errorID>6917abd2-a098-4b88-b301-b1fce646b5c3</errorID>
      <errorWord>（</errorWord>
      <group>L1_Format</group>
      <groupName>格式问题</groupName>
      <ability>L2_HalfPunc_CN</ability>
      <abilityName>全半角问题</abilityName>
      <candidateList>
        <item>(</item>
      </candidateList>
      <explain>文本全半角错误。</explain>
      <paraID> 89ACA37</paraID>
      <start>0</start>
      <end>1</end>
      <status>ignored</status>
      <modifiedWord/>
      <trackRevisions>false</trackRevisions>
    </reviewItem>
    <reviewItem>
      <errorID>f28b9d93-0df3-44c5-8555-498ddb980ca7</errorID>
      <errorWord>）</errorWord>
      <group>L1_Format</group>
      <groupName>格式问题</groupName>
      <ability>L2_HalfPunc_CN</ability>
      <abilityName>全半角问题</abilityName>
      <candidateList>
        <item>)</item>
      </candidateList>
      <explain>文本全半角错误。</explain>
      <paraID> 89ACA37</paraID>
      <start>13</start>
      <end>14</end>
      <status>ignored</status>
      <modifiedWord/>
      <trackRevisions>false</trackRevisions>
    </reviewItem>
    <reviewItem>
      <errorID>42f08aa6-8579-4679-a705-fa86c6d5b10e</errorID>
      <errorWord>(</errorWord>
      <group>L1_Format</group>
      <groupName>格式问题</groupName>
      <ability>L2_HalfPunc_CN</ability>
      <abilityName>全半角问题</abilityName>
      <candidateList>
        <item>（</item>
      </candidateList>
      <explain>文本全半角错误。</explain>
      <paraID>14620B13</paraID>
      <start>29</start>
      <end>30</end>
      <status>ignored</status>
      <modifiedWord/>
      <trackRevisions>false</trackRevisions>
    </reviewItem>
    <reviewItem>
      <errorID>b63bf55a-3fe5-41b1-8d60-f1d960ff7928</errorID>
      <errorWord>(</errorWord>
      <group>L1_Format</group>
      <groupName>格式问题</groupName>
      <ability>L2_HalfPunc_CN</ability>
      <abilityName>全半角问题</abilityName>
      <candidateList>
        <item>（</item>
      </candidateList>
      <explain>文本全半角错误。</explain>
      <paraID>14620B13</paraID>
      <start>69</start>
      <end>70</end>
      <status>ignored</status>
      <modifiedWord/>
      <trackRevisions>false</trackRevisions>
    </reviewItem>
    <reviewItem>
      <errorID>dd95f9ec-db00-4b76-bc05-4d7183bdc33e</errorID>
      <errorWord>（</errorWord>
      <group>L1_Format</group>
      <groupName>格式问题</groupName>
      <ability>L2_HalfPunc_CN</ability>
      <abilityName>全半角问题</abilityName>
      <candidateList>
        <item>(</item>
      </candidateList>
      <explain>文本全半角错误。</explain>
      <paraID>51897B0A</paraID>
      <start>2</start>
      <end>3</end>
      <status>ignored</status>
      <modifiedWord/>
      <trackRevisions>false</trackRevisions>
    </reviewItem>
    <reviewItem>
      <errorID>0af8af97-931e-429d-b0e6-3805020a4cb5</errorID>
      <errorWord>）</errorWord>
      <group>L1_Format</group>
      <groupName>格式问题</groupName>
      <ability>L2_HalfPunc_CN</ability>
      <abilityName>全半角问题</abilityName>
      <candidateList>
        <item>)</item>
      </candidateList>
      <explain>文本全半角错误。</explain>
      <paraID>51897B0A</paraID>
      <start>4</start>
      <end>5</end>
      <status>ignored</status>
      <modifiedWord/>
      <trackRevisions>false</trackRevisions>
    </reviewItem>
    <reviewItem>
      <errorID>4238ee93-24c5-4d04-9737-70ef3d4e94f5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2BF9C8C1</paraID>
      <start>84</start>
      <end>85</end>
      <status>unmodified</status>
      <modifiedWord/>
      <trackRevisions>false</trackRevisions>
    </reviewItem>
    <reviewItem>
      <errorID>62156465-ec01-48ed-b403-d758cab93535</errorID>
      <errorWord>(</errorWord>
      <group>L1_Format</group>
      <groupName>格式问题</groupName>
      <ability>L2_HalfPunc_CN</ability>
      <abilityName>全半角问题</abilityName>
      <candidateList>
        <item>（</item>
      </candidateList>
      <explain>文本全半角错误。</explain>
      <paraID>2EDDC3CF</paraID>
      <start>39</start>
      <end>40</end>
      <status>ignored</status>
      <modifiedWord/>
      <trackRevisions>false</trackRevisions>
    </reviewItem>
    <reviewItem>
      <errorID>dffe8668-44b9-4fd2-a115-e48ef16806fc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31199C35</paraID>
      <start>28</start>
      <end>29</end>
      <status>unmodified</status>
      <modifiedWord/>
      <trackRevisions>false</trackRevisions>
    </reviewItem>
    <reviewItem>
      <errorID>978406e3-40d9-4f6c-9cd3-4ceb2cc3eb91</errorID>
      <errorWord>(</errorWord>
      <group>L1_Format</group>
      <groupName>格式问题</groupName>
      <ability>L2_HalfPunc_CN</ability>
      <abilityName>全半角问题</abilityName>
      <candidateList>
        <item>（</item>
      </candidateList>
      <explain>文本全半角错误。</explain>
      <paraID>6FDBBD28</paraID>
      <start>41</start>
      <end>42</end>
      <status>ignored</status>
      <modifiedWord/>
      <trackRevisions>false</trackRevisions>
    </reviewItem>
    <reviewItem>
      <errorID>24d83097-b71d-475d-b43e-ea8bd6683c23</errorID>
      <errorWord>(</errorWord>
      <group>L1_Format</group>
      <groupName>格式问题</groupName>
      <ability>L2_HalfPunc_CN</ability>
      <abilityName>全半角问题</abilityName>
      <candidateList>
        <item>（</item>
      </candidateList>
      <explain>文本全半角错误。</explain>
      <paraID> 7899837</paraID>
      <start>30</start>
      <end>31</end>
      <status>ignored</status>
      <modifiedWord/>
      <trackRevisions>false</trackRevisions>
    </reviewItem>
    <reviewItem>
      <errorID>62ee2e4c-2191-4d6e-a9cf-1cefed2f78fd</errorID>
      <errorWord>(</errorWord>
      <group>L1_Format</group>
      <groupName>格式问题</groupName>
      <ability>L2_HalfPunc_CN</ability>
      <abilityName>全半角问题</abilityName>
      <candidateList>
        <item>（</item>
      </candidateList>
      <explain>文本全半角错误。</explain>
      <paraID>7A0D027A</paraID>
      <start>52</start>
      <end>53</end>
      <status>ignored</status>
      <modifiedWord/>
      <trackRevisions>false</trackRevisions>
    </reviewItem>
    <reviewItem>
      <errorID>dcdc7fb4-2151-4815-b22f-483103c279ac</errorID>
      <errorWord>(</errorWord>
      <group>L1_Format</group>
      <groupName>格式问题</groupName>
      <ability>L2_HalfPunc_CN</ability>
      <abilityName>全半角问题</abilityName>
      <candidateList>
        <item>（</item>
      </candidateList>
      <explain>文本全半角错误。</explain>
      <paraID>52D95156</paraID>
      <start>39</start>
      <end>40</end>
      <status>ignored</status>
      <modifiedWord/>
      <trackRevisions>false</trackRevisions>
    </reviewItem>
    <reviewItem>
      <errorID>251bdc69-55fe-4b0a-be1a-5c7fb7f7c5cd</errorID>
      <errorWord>(</errorWord>
      <group>L1_Format</group>
      <groupName>格式问题</groupName>
      <ability>L2_HalfPunc_CN</ability>
      <abilityName>全半角问题</abilityName>
      <candidateList>
        <item>（</item>
      </candidateList>
      <explain>文本全半角错误。</explain>
      <paraID>196E555A</paraID>
      <start>16</start>
      <end>17</end>
      <status>ignored</status>
      <modifiedWord/>
      <trackRevisions>false</trackRevisions>
    </reviewItem>
    <reviewItem>
      <errorID>f3652024-85c3-47d3-8896-2370c24b39e2</errorID>
      <errorWord>(</errorWord>
      <group>L1_Format</group>
      <groupName>格式问题</groupName>
      <ability>L2_HalfPunc_CN</ability>
      <abilityName>全半角问题</abilityName>
      <candidateList>
        <item>（</item>
      </candidateList>
      <explain>文本全半角错误。</explain>
      <paraID>196E555A</paraID>
      <start>42</start>
      <end>43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986aec-94f4-491c-a71d-b28ab3aaf89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351</Pages>
  <Words>15047</Words>
  <Characters>18094</Characters>
  <Lines>1</Lines>
  <Paragraphs>1</Paragraphs>
  <TotalTime>12</TotalTime>
  <ScaleCrop>false</ScaleCrop>
  <LinksUpToDate>false</LinksUpToDate>
  <CharactersWithSpaces>18298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2022-10-20T10:23:00Z</dcterms:created>
  <dc:creator>walkinnet</dc:creator>
  <cp:lastModifiedBy>Draven</cp:lastModifiedBy>
  <cp:lastPrinted>2022-06-09T02:02:00Z</cp:lastPrinted>
  <dcterms:modified xsi:type="dcterms:W3CDTF">2026-08-22T14:06:56Z</dcterms:modified>
  <dc:title>湖南华信有色金属有限公司</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3E07BBD4E9984E9494DD78EE36CB7742_13</vt:lpwstr>
  </property>
  <property fmtid="{D5CDD505-2E9C-101B-9397-08002B2CF9AE}" pid="4" name="KSOTemplateDocerSaveRecord">
    <vt:lpwstr>eyJoZGlkIjoiODg0YWNhZDk3MDE2OTk4MGIxMDQxOGY1ZDE1ZjMzZGEiLCJ1c2VySWQiOiIxNTc0NzMyNjk3In0=</vt:lpwstr>
  </property>
</Properties>
</file>